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8851D" w14:textId="193F5521" w:rsidR="00354A12" w:rsidRPr="003C36E9" w:rsidRDefault="002E18AB" w:rsidP="00354A1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p>
    <w:p w14:paraId="13E77EBB" w14:textId="77777777" w:rsidR="00EA1AAE" w:rsidRDefault="00EA1AAE" w:rsidP="00EA1AAE">
      <w:pPr>
        <w:spacing w:line="360" w:lineRule="auto"/>
        <w:jc w:val="center"/>
        <w:rPr>
          <w:rFonts w:ascii="Times New Roman" w:hAnsi="Times New Roman" w:cs="Times New Roman"/>
          <w:sz w:val="28"/>
          <w:szCs w:val="28"/>
        </w:rPr>
      </w:pPr>
      <w:r>
        <w:rPr>
          <w:noProof/>
          <w:lang w:eastAsia="en-ZA"/>
        </w:rPr>
        <w:drawing>
          <wp:inline distT="0" distB="0" distL="0" distR="0" wp14:anchorId="678E69D8" wp14:editId="5D7F785B">
            <wp:extent cx="1225550" cy="12096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225550" cy="1209675"/>
                    </a:xfrm>
                    <a:prstGeom prst="rect">
                      <a:avLst/>
                    </a:prstGeom>
                    <a:noFill/>
                    <a:ln>
                      <a:noFill/>
                    </a:ln>
                  </pic:spPr>
                </pic:pic>
              </a:graphicData>
            </a:graphic>
          </wp:inline>
        </w:drawing>
      </w:r>
    </w:p>
    <w:p w14:paraId="32F59391" w14:textId="77777777" w:rsidR="002E6345" w:rsidRDefault="002E6345" w:rsidP="00EA1AAE">
      <w:pPr>
        <w:spacing w:line="360" w:lineRule="auto"/>
        <w:jc w:val="center"/>
        <w:rPr>
          <w:rFonts w:ascii="Times New Roman" w:hAnsi="Times New Roman" w:cs="Times New Roman"/>
          <w:sz w:val="28"/>
          <w:szCs w:val="28"/>
        </w:rPr>
      </w:pPr>
    </w:p>
    <w:p w14:paraId="122AEE08" w14:textId="77777777" w:rsidR="00EA1AAE" w:rsidRPr="00E649C5" w:rsidRDefault="00EA1AAE" w:rsidP="00EA1AAE">
      <w:pPr>
        <w:spacing w:line="360" w:lineRule="auto"/>
        <w:jc w:val="center"/>
        <w:rPr>
          <w:rFonts w:ascii="Times New Roman" w:hAnsi="Times New Roman" w:cs="Times New Roman"/>
          <w:b/>
          <w:sz w:val="25"/>
          <w:szCs w:val="25"/>
        </w:rPr>
      </w:pPr>
      <w:r w:rsidRPr="00E649C5">
        <w:rPr>
          <w:rFonts w:ascii="Times New Roman" w:hAnsi="Times New Roman" w:cs="Times New Roman"/>
          <w:b/>
          <w:sz w:val="25"/>
          <w:szCs w:val="25"/>
        </w:rPr>
        <w:t>IN THE HIGH COURT OF SOUTH AFRICA</w:t>
      </w:r>
    </w:p>
    <w:p w14:paraId="13FA5FE8" w14:textId="77777777" w:rsidR="00EA1AAE" w:rsidRPr="00E649C5" w:rsidRDefault="00EA1AAE" w:rsidP="00EA1AAE">
      <w:pPr>
        <w:spacing w:line="360" w:lineRule="auto"/>
        <w:jc w:val="center"/>
        <w:rPr>
          <w:rFonts w:ascii="Times New Roman" w:hAnsi="Times New Roman" w:cs="Times New Roman"/>
          <w:b/>
          <w:sz w:val="25"/>
          <w:szCs w:val="25"/>
        </w:rPr>
      </w:pPr>
      <w:r w:rsidRPr="00E649C5">
        <w:rPr>
          <w:rFonts w:ascii="Times New Roman" w:hAnsi="Times New Roman" w:cs="Times New Roman"/>
          <w:b/>
          <w:sz w:val="25"/>
          <w:szCs w:val="25"/>
        </w:rPr>
        <w:t xml:space="preserve">(EASTERN CAPE DIVISION, </w:t>
      </w:r>
      <w:r w:rsidR="00DD6E7E" w:rsidRPr="00E649C5">
        <w:rPr>
          <w:rFonts w:ascii="Times New Roman" w:hAnsi="Times New Roman" w:cs="Times New Roman"/>
          <w:b/>
          <w:sz w:val="25"/>
          <w:szCs w:val="25"/>
        </w:rPr>
        <w:t>MAKHANDA</w:t>
      </w:r>
      <w:r w:rsidRPr="00E649C5">
        <w:rPr>
          <w:rFonts w:ascii="Times New Roman" w:hAnsi="Times New Roman" w:cs="Times New Roman"/>
          <w:b/>
          <w:sz w:val="25"/>
          <w:szCs w:val="25"/>
        </w:rPr>
        <w:t>)</w:t>
      </w:r>
    </w:p>
    <w:p w14:paraId="073E0733" w14:textId="77777777" w:rsidR="00EA1AAE" w:rsidRPr="00E649C5" w:rsidRDefault="00EA1AAE" w:rsidP="006E728B">
      <w:pPr>
        <w:spacing w:line="360" w:lineRule="auto"/>
        <w:ind w:left="720" w:firstLine="720"/>
        <w:jc w:val="both"/>
        <w:rPr>
          <w:rFonts w:ascii="Times New Roman" w:hAnsi="Times New Roman" w:cs="Times New Roman"/>
          <w:b/>
          <w:sz w:val="25"/>
          <w:szCs w:val="25"/>
        </w:rPr>
      </w:pPr>
      <w:r w:rsidRPr="00E649C5">
        <w:rPr>
          <w:rFonts w:ascii="Times New Roman" w:hAnsi="Times New Roman" w:cs="Times New Roman"/>
          <w:b/>
          <w:sz w:val="25"/>
          <w:szCs w:val="25"/>
        </w:rPr>
        <w:t xml:space="preserve"> </w:t>
      </w:r>
      <w:r w:rsidRPr="00E649C5">
        <w:rPr>
          <w:rFonts w:ascii="Times New Roman" w:hAnsi="Times New Roman" w:cs="Times New Roman"/>
          <w:b/>
          <w:sz w:val="25"/>
          <w:szCs w:val="25"/>
        </w:rPr>
        <w:tab/>
      </w:r>
      <w:r w:rsidRPr="00E649C5">
        <w:rPr>
          <w:rFonts w:ascii="Times New Roman" w:hAnsi="Times New Roman" w:cs="Times New Roman"/>
          <w:b/>
          <w:sz w:val="25"/>
          <w:szCs w:val="25"/>
        </w:rPr>
        <w:tab/>
      </w:r>
      <w:r w:rsidRPr="00E649C5">
        <w:rPr>
          <w:rFonts w:ascii="Times New Roman" w:hAnsi="Times New Roman" w:cs="Times New Roman"/>
          <w:b/>
          <w:sz w:val="25"/>
          <w:szCs w:val="25"/>
        </w:rPr>
        <w:tab/>
      </w:r>
      <w:r w:rsidRPr="00E649C5">
        <w:rPr>
          <w:rFonts w:ascii="Times New Roman" w:hAnsi="Times New Roman" w:cs="Times New Roman"/>
          <w:b/>
          <w:sz w:val="25"/>
          <w:szCs w:val="25"/>
        </w:rPr>
        <w:tab/>
      </w:r>
      <w:r w:rsidRPr="00E649C5">
        <w:rPr>
          <w:rFonts w:ascii="Times New Roman" w:hAnsi="Times New Roman" w:cs="Times New Roman"/>
          <w:b/>
          <w:sz w:val="25"/>
          <w:szCs w:val="25"/>
        </w:rPr>
        <w:tab/>
      </w:r>
      <w:r w:rsidRPr="00E649C5">
        <w:rPr>
          <w:rFonts w:ascii="Times New Roman" w:hAnsi="Times New Roman" w:cs="Times New Roman"/>
          <w:b/>
          <w:sz w:val="25"/>
          <w:szCs w:val="25"/>
        </w:rPr>
        <w:tab/>
        <w:t xml:space="preserve">         </w:t>
      </w:r>
      <w:r w:rsidR="00E649C5">
        <w:rPr>
          <w:rFonts w:ascii="Times New Roman" w:hAnsi="Times New Roman" w:cs="Times New Roman"/>
          <w:b/>
          <w:sz w:val="25"/>
          <w:szCs w:val="25"/>
        </w:rPr>
        <w:tab/>
        <w:t xml:space="preserve">   </w:t>
      </w:r>
      <w:r w:rsidRPr="00E649C5">
        <w:rPr>
          <w:rFonts w:ascii="Times New Roman" w:hAnsi="Times New Roman" w:cs="Times New Roman"/>
          <w:b/>
          <w:sz w:val="25"/>
          <w:szCs w:val="25"/>
        </w:rPr>
        <w:t xml:space="preserve"> CASE NO. </w:t>
      </w:r>
      <w:r w:rsidR="00C2502E" w:rsidRPr="00E649C5">
        <w:rPr>
          <w:rFonts w:ascii="Times New Roman" w:hAnsi="Times New Roman" w:cs="Times New Roman"/>
          <w:b/>
          <w:sz w:val="25"/>
          <w:szCs w:val="25"/>
        </w:rPr>
        <w:t>2278/2022</w:t>
      </w:r>
    </w:p>
    <w:p w14:paraId="71A6E0AD" w14:textId="77777777" w:rsidR="00EA1AAE" w:rsidRPr="00E649C5" w:rsidRDefault="00EA1AAE" w:rsidP="00EA1AAE">
      <w:pPr>
        <w:spacing w:line="360" w:lineRule="auto"/>
        <w:jc w:val="both"/>
        <w:rPr>
          <w:rFonts w:ascii="Times New Roman" w:hAnsi="Times New Roman" w:cs="Times New Roman"/>
          <w:sz w:val="25"/>
          <w:szCs w:val="25"/>
        </w:rPr>
      </w:pPr>
      <w:r w:rsidRPr="00E649C5">
        <w:rPr>
          <w:rFonts w:ascii="Times New Roman" w:hAnsi="Times New Roman" w:cs="Times New Roman"/>
          <w:sz w:val="25"/>
          <w:szCs w:val="25"/>
        </w:rPr>
        <w:t>In the matter between:</w:t>
      </w:r>
    </w:p>
    <w:p w14:paraId="2A06530C" w14:textId="77777777" w:rsidR="00EA1AAE" w:rsidRPr="00E649C5" w:rsidRDefault="00EA1AAE" w:rsidP="00EA1AAE">
      <w:pPr>
        <w:spacing w:line="360" w:lineRule="auto"/>
        <w:jc w:val="both"/>
        <w:rPr>
          <w:rFonts w:ascii="Times New Roman" w:hAnsi="Times New Roman" w:cs="Times New Roman"/>
          <w:sz w:val="25"/>
          <w:szCs w:val="25"/>
        </w:rPr>
      </w:pPr>
    </w:p>
    <w:p w14:paraId="4FACB31F" w14:textId="77777777" w:rsidR="00C2502E" w:rsidRPr="00E649C5" w:rsidRDefault="00C2502E" w:rsidP="00EA1AAE">
      <w:pPr>
        <w:spacing w:line="360" w:lineRule="auto"/>
        <w:jc w:val="both"/>
        <w:rPr>
          <w:rFonts w:ascii="Times New Roman" w:hAnsi="Times New Roman" w:cs="Times New Roman"/>
          <w:b/>
          <w:sz w:val="25"/>
          <w:szCs w:val="25"/>
        </w:rPr>
      </w:pPr>
      <w:r w:rsidRPr="00E649C5">
        <w:rPr>
          <w:rFonts w:ascii="Times New Roman" w:hAnsi="Times New Roman" w:cs="Times New Roman"/>
          <w:b/>
          <w:sz w:val="25"/>
          <w:szCs w:val="25"/>
        </w:rPr>
        <w:t xml:space="preserve">LOT 38 BIZANA PROPERTIES CC </w:t>
      </w:r>
      <w:r w:rsidR="00215D12" w:rsidRPr="00E649C5">
        <w:rPr>
          <w:rFonts w:ascii="Times New Roman" w:hAnsi="Times New Roman" w:cs="Times New Roman"/>
          <w:b/>
          <w:sz w:val="25"/>
          <w:szCs w:val="25"/>
        </w:rPr>
        <w:tab/>
      </w:r>
      <w:r w:rsidR="00215D12" w:rsidRPr="00E649C5">
        <w:rPr>
          <w:rFonts w:ascii="Times New Roman" w:hAnsi="Times New Roman" w:cs="Times New Roman"/>
          <w:b/>
          <w:sz w:val="25"/>
          <w:szCs w:val="25"/>
        </w:rPr>
        <w:tab/>
      </w:r>
      <w:r w:rsidR="00E649C5">
        <w:rPr>
          <w:rFonts w:ascii="Times New Roman" w:hAnsi="Times New Roman" w:cs="Times New Roman"/>
          <w:b/>
          <w:sz w:val="25"/>
          <w:szCs w:val="25"/>
        </w:rPr>
        <w:tab/>
        <w:t xml:space="preserve">      </w:t>
      </w:r>
      <w:r w:rsidRPr="00E649C5">
        <w:rPr>
          <w:rFonts w:ascii="Times New Roman" w:hAnsi="Times New Roman" w:cs="Times New Roman"/>
          <w:b/>
          <w:sz w:val="25"/>
          <w:szCs w:val="25"/>
        </w:rPr>
        <w:t>APPLICANT/PLAINTIFF</w:t>
      </w:r>
    </w:p>
    <w:p w14:paraId="2F609C35" w14:textId="77777777" w:rsidR="00C2502E" w:rsidRPr="00E649C5" w:rsidRDefault="00C2502E" w:rsidP="00EA1AAE">
      <w:pPr>
        <w:spacing w:line="360" w:lineRule="auto"/>
        <w:jc w:val="both"/>
        <w:rPr>
          <w:rFonts w:ascii="Times New Roman" w:hAnsi="Times New Roman" w:cs="Times New Roman"/>
          <w:sz w:val="25"/>
          <w:szCs w:val="25"/>
        </w:rPr>
      </w:pPr>
    </w:p>
    <w:p w14:paraId="28555EF8" w14:textId="77777777" w:rsidR="00C2502E" w:rsidRPr="00E649C5" w:rsidRDefault="00215D12" w:rsidP="00EA1AAE">
      <w:pPr>
        <w:spacing w:line="360" w:lineRule="auto"/>
        <w:jc w:val="both"/>
        <w:rPr>
          <w:rFonts w:ascii="Times New Roman" w:hAnsi="Times New Roman" w:cs="Times New Roman"/>
          <w:sz w:val="25"/>
          <w:szCs w:val="25"/>
        </w:rPr>
      </w:pPr>
      <w:r w:rsidRPr="00E649C5">
        <w:rPr>
          <w:rFonts w:ascii="Times New Roman" w:hAnsi="Times New Roman" w:cs="Times New Roman"/>
          <w:sz w:val="25"/>
          <w:szCs w:val="25"/>
        </w:rPr>
        <w:t>a</w:t>
      </w:r>
      <w:r w:rsidR="00C2502E" w:rsidRPr="00E649C5">
        <w:rPr>
          <w:rFonts w:ascii="Times New Roman" w:hAnsi="Times New Roman" w:cs="Times New Roman"/>
          <w:sz w:val="25"/>
          <w:szCs w:val="25"/>
        </w:rPr>
        <w:t>nd</w:t>
      </w:r>
    </w:p>
    <w:p w14:paraId="6E290F08" w14:textId="77777777" w:rsidR="00C2502E" w:rsidRPr="00E649C5" w:rsidRDefault="00C2502E" w:rsidP="00EA1AAE">
      <w:pPr>
        <w:spacing w:line="360" w:lineRule="auto"/>
        <w:jc w:val="both"/>
        <w:rPr>
          <w:rFonts w:ascii="Times New Roman" w:hAnsi="Times New Roman" w:cs="Times New Roman"/>
          <w:sz w:val="25"/>
          <w:szCs w:val="25"/>
        </w:rPr>
      </w:pPr>
    </w:p>
    <w:p w14:paraId="383295ED" w14:textId="77777777" w:rsidR="00C2502E" w:rsidRPr="00E649C5" w:rsidRDefault="00C2502E" w:rsidP="00EA1AAE">
      <w:pPr>
        <w:spacing w:line="360" w:lineRule="auto"/>
        <w:jc w:val="both"/>
        <w:rPr>
          <w:rFonts w:ascii="Times New Roman" w:hAnsi="Times New Roman" w:cs="Times New Roman"/>
          <w:b/>
          <w:sz w:val="25"/>
          <w:szCs w:val="25"/>
        </w:rPr>
      </w:pPr>
      <w:r w:rsidRPr="00E649C5">
        <w:rPr>
          <w:rFonts w:ascii="Times New Roman" w:hAnsi="Times New Roman" w:cs="Times New Roman"/>
          <w:b/>
          <w:sz w:val="25"/>
          <w:szCs w:val="25"/>
        </w:rPr>
        <w:t>TIADOR 119CC (IN LIQUIDATION)</w:t>
      </w:r>
      <w:r w:rsidR="002E6345">
        <w:rPr>
          <w:rFonts w:ascii="Times New Roman" w:hAnsi="Times New Roman" w:cs="Times New Roman"/>
          <w:b/>
          <w:sz w:val="25"/>
          <w:szCs w:val="25"/>
        </w:rPr>
        <w:t xml:space="preserve"> F</w:t>
      </w:r>
      <w:r w:rsidRPr="00E649C5">
        <w:rPr>
          <w:rFonts w:ascii="Times New Roman" w:hAnsi="Times New Roman" w:cs="Times New Roman"/>
          <w:b/>
          <w:sz w:val="25"/>
          <w:szCs w:val="25"/>
        </w:rPr>
        <w:t>IRST RESPONDENT</w:t>
      </w:r>
      <w:r w:rsidR="002E6345">
        <w:rPr>
          <w:rFonts w:ascii="Times New Roman" w:hAnsi="Times New Roman" w:cs="Times New Roman"/>
          <w:b/>
          <w:sz w:val="25"/>
          <w:szCs w:val="25"/>
        </w:rPr>
        <w:t>/FIRST DEFENDANT</w:t>
      </w:r>
    </w:p>
    <w:p w14:paraId="07AE6DDB" w14:textId="77777777" w:rsidR="008B63B4" w:rsidRPr="00E649C5" w:rsidRDefault="008B63B4" w:rsidP="00EA1AAE">
      <w:pPr>
        <w:spacing w:line="360" w:lineRule="auto"/>
        <w:jc w:val="both"/>
        <w:rPr>
          <w:rFonts w:ascii="Times New Roman" w:hAnsi="Times New Roman" w:cs="Times New Roman"/>
          <w:b/>
          <w:sz w:val="25"/>
          <w:szCs w:val="25"/>
        </w:rPr>
      </w:pPr>
    </w:p>
    <w:p w14:paraId="49B92C58" w14:textId="77777777" w:rsidR="004C72ED" w:rsidRPr="00E649C5" w:rsidRDefault="004C72ED" w:rsidP="00E649C5">
      <w:pPr>
        <w:spacing w:line="360" w:lineRule="auto"/>
        <w:ind w:left="3600" w:hanging="3600"/>
        <w:jc w:val="both"/>
        <w:rPr>
          <w:rFonts w:ascii="Times New Roman" w:hAnsi="Times New Roman" w:cs="Times New Roman"/>
          <w:b/>
          <w:sz w:val="25"/>
          <w:szCs w:val="25"/>
        </w:rPr>
      </w:pPr>
      <w:r w:rsidRPr="00E649C5">
        <w:rPr>
          <w:rFonts w:ascii="Times New Roman" w:hAnsi="Times New Roman" w:cs="Times New Roman"/>
          <w:b/>
          <w:sz w:val="25"/>
          <w:szCs w:val="25"/>
        </w:rPr>
        <w:t xml:space="preserve">ABSA BANK LIMITED </w:t>
      </w:r>
      <w:r w:rsidR="00DD28B2" w:rsidRPr="00E649C5">
        <w:rPr>
          <w:rFonts w:ascii="Times New Roman" w:hAnsi="Times New Roman" w:cs="Times New Roman"/>
          <w:b/>
          <w:sz w:val="25"/>
          <w:szCs w:val="25"/>
        </w:rPr>
        <w:t xml:space="preserve"> </w:t>
      </w:r>
      <w:r w:rsidR="00E649C5">
        <w:rPr>
          <w:rFonts w:ascii="Times New Roman" w:hAnsi="Times New Roman" w:cs="Times New Roman"/>
          <w:b/>
          <w:sz w:val="25"/>
          <w:szCs w:val="25"/>
        </w:rPr>
        <w:t xml:space="preserve">              </w:t>
      </w:r>
      <w:r w:rsidRPr="00E649C5">
        <w:rPr>
          <w:rFonts w:ascii="Times New Roman" w:hAnsi="Times New Roman" w:cs="Times New Roman"/>
          <w:b/>
          <w:sz w:val="25"/>
          <w:szCs w:val="25"/>
        </w:rPr>
        <w:t>SECOND</w:t>
      </w:r>
      <w:r w:rsidR="00DD28B2" w:rsidRPr="00E649C5">
        <w:rPr>
          <w:rFonts w:ascii="Times New Roman" w:hAnsi="Times New Roman" w:cs="Times New Roman"/>
          <w:b/>
          <w:sz w:val="25"/>
          <w:szCs w:val="25"/>
        </w:rPr>
        <w:t xml:space="preserve"> </w:t>
      </w:r>
      <w:r w:rsidRPr="00E649C5">
        <w:rPr>
          <w:rFonts w:ascii="Times New Roman" w:hAnsi="Times New Roman" w:cs="Times New Roman"/>
          <w:b/>
          <w:sz w:val="25"/>
          <w:szCs w:val="25"/>
        </w:rPr>
        <w:t>RESPONDENT</w:t>
      </w:r>
      <w:r w:rsidR="00E649C5">
        <w:rPr>
          <w:rFonts w:ascii="Times New Roman" w:hAnsi="Times New Roman" w:cs="Times New Roman"/>
          <w:b/>
          <w:sz w:val="25"/>
          <w:szCs w:val="25"/>
        </w:rPr>
        <w:t>/SECOND</w:t>
      </w:r>
      <w:r w:rsidR="007C368D">
        <w:rPr>
          <w:rFonts w:ascii="Times New Roman" w:hAnsi="Times New Roman" w:cs="Times New Roman"/>
          <w:b/>
          <w:sz w:val="25"/>
          <w:szCs w:val="25"/>
        </w:rPr>
        <w:t xml:space="preserve"> </w:t>
      </w:r>
      <w:r w:rsidR="00DD28B2" w:rsidRPr="00E649C5">
        <w:rPr>
          <w:rFonts w:ascii="Times New Roman" w:hAnsi="Times New Roman" w:cs="Times New Roman"/>
          <w:b/>
          <w:sz w:val="25"/>
          <w:szCs w:val="25"/>
        </w:rPr>
        <w:t>DEFENDANT</w:t>
      </w:r>
    </w:p>
    <w:p w14:paraId="5FE7183D" w14:textId="77777777" w:rsidR="008B63B4" w:rsidRPr="00E649C5" w:rsidRDefault="008B63B4" w:rsidP="00EA1AAE">
      <w:pPr>
        <w:spacing w:line="360" w:lineRule="auto"/>
        <w:jc w:val="both"/>
        <w:rPr>
          <w:rFonts w:ascii="Times New Roman" w:hAnsi="Times New Roman" w:cs="Times New Roman"/>
          <w:b/>
          <w:sz w:val="25"/>
          <w:szCs w:val="25"/>
        </w:rPr>
      </w:pPr>
    </w:p>
    <w:p w14:paraId="3F99C80F" w14:textId="77777777" w:rsidR="004C72ED" w:rsidRPr="00E649C5" w:rsidRDefault="004C72ED" w:rsidP="00E649C5">
      <w:pPr>
        <w:spacing w:line="360" w:lineRule="auto"/>
        <w:ind w:left="4320" w:hanging="4320"/>
        <w:jc w:val="both"/>
        <w:rPr>
          <w:rFonts w:ascii="Times New Roman" w:hAnsi="Times New Roman" w:cs="Times New Roman"/>
          <w:b/>
          <w:sz w:val="25"/>
          <w:szCs w:val="25"/>
        </w:rPr>
      </w:pPr>
      <w:r w:rsidRPr="00E649C5">
        <w:rPr>
          <w:rFonts w:ascii="Times New Roman" w:hAnsi="Times New Roman" w:cs="Times New Roman"/>
          <w:b/>
          <w:sz w:val="25"/>
          <w:szCs w:val="25"/>
        </w:rPr>
        <w:t xml:space="preserve">GARY RONALD VAN WYK N.O. </w:t>
      </w:r>
      <w:r w:rsidR="00500467">
        <w:rPr>
          <w:rFonts w:ascii="Times New Roman" w:hAnsi="Times New Roman" w:cs="Times New Roman"/>
          <w:b/>
          <w:sz w:val="25"/>
          <w:szCs w:val="25"/>
        </w:rPr>
        <w:t xml:space="preserve">   </w:t>
      </w:r>
      <w:r w:rsidRPr="00E649C5">
        <w:rPr>
          <w:rFonts w:ascii="Times New Roman" w:hAnsi="Times New Roman" w:cs="Times New Roman"/>
          <w:b/>
          <w:sz w:val="25"/>
          <w:szCs w:val="25"/>
        </w:rPr>
        <w:t>THIRD RESPONDENT</w:t>
      </w:r>
      <w:r w:rsidR="00294982" w:rsidRPr="00E649C5">
        <w:rPr>
          <w:rFonts w:ascii="Times New Roman" w:hAnsi="Times New Roman" w:cs="Times New Roman"/>
          <w:b/>
          <w:sz w:val="25"/>
          <w:szCs w:val="25"/>
        </w:rPr>
        <w:t>/THIRD DEFENDANT</w:t>
      </w:r>
    </w:p>
    <w:p w14:paraId="099CB082" w14:textId="77777777" w:rsidR="004C72ED" w:rsidRPr="00E649C5" w:rsidRDefault="004C72ED" w:rsidP="00EA1AAE">
      <w:pPr>
        <w:spacing w:line="360" w:lineRule="auto"/>
        <w:jc w:val="both"/>
        <w:rPr>
          <w:rFonts w:ascii="Times New Roman" w:hAnsi="Times New Roman" w:cs="Times New Roman"/>
          <w:sz w:val="25"/>
          <w:szCs w:val="25"/>
        </w:rPr>
      </w:pPr>
      <w:r w:rsidRPr="00E649C5">
        <w:rPr>
          <w:rFonts w:ascii="Times New Roman" w:hAnsi="Times New Roman" w:cs="Times New Roman"/>
          <w:sz w:val="25"/>
          <w:szCs w:val="25"/>
        </w:rPr>
        <w:t>(in his capacity as Executor of the Estate</w:t>
      </w:r>
    </w:p>
    <w:p w14:paraId="5B2C2286" w14:textId="77777777" w:rsidR="004C72ED" w:rsidRPr="00E649C5" w:rsidRDefault="004C72ED" w:rsidP="00EA1AAE">
      <w:pPr>
        <w:spacing w:line="360" w:lineRule="auto"/>
        <w:jc w:val="both"/>
        <w:rPr>
          <w:rFonts w:ascii="Times New Roman" w:hAnsi="Times New Roman" w:cs="Times New Roman"/>
          <w:sz w:val="25"/>
          <w:szCs w:val="25"/>
        </w:rPr>
      </w:pPr>
      <w:r w:rsidRPr="00E649C5">
        <w:rPr>
          <w:rFonts w:ascii="Times New Roman" w:hAnsi="Times New Roman" w:cs="Times New Roman"/>
          <w:sz w:val="25"/>
          <w:szCs w:val="25"/>
        </w:rPr>
        <w:t>of the late Vuyani Stanley Godlawana)</w:t>
      </w:r>
    </w:p>
    <w:p w14:paraId="47354A77" w14:textId="77777777" w:rsidR="008B63B4" w:rsidRPr="00E649C5" w:rsidRDefault="008B63B4" w:rsidP="00EA1AAE">
      <w:pPr>
        <w:spacing w:line="360" w:lineRule="auto"/>
        <w:jc w:val="both"/>
        <w:rPr>
          <w:rFonts w:ascii="Times New Roman" w:hAnsi="Times New Roman" w:cs="Times New Roman"/>
          <w:sz w:val="25"/>
          <w:szCs w:val="25"/>
        </w:rPr>
      </w:pPr>
    </w:p>
    <w:p w14:paraId="6276A4A0" w14:textId="77777777" w:rsidR="00C236E5" w:rsidRPr="00E649C5" w:rsidRDefault="00215D12" w:rsidP="00EA1AAE">
      <w:pPr>
        <w:spacing w:line="360" w:lineRule="auto"/>
        <w:jc w:val="both"/>
        <w:rPr>
          <w:rFonts w:ascii="Times New Roman" w:hAnsi="Times New Roman" w:cs="Times New Roman"/>
          <w:b/>
          <w:sz w:val="25"/>
          <w:szCs w:val="25"/>
        </w:rPr>
      </w:pPr>
      <w:r w:rsidRPr="00E649C5">
        <w:rPr>
          <w:rFonts w:ascii="Times New Roman" w:hAnsi="Times New Roman" w:cs="Times New Roman"/>
          <w:b/>
          <w:sz w:val="25"/>
          <w:szCs w:val="25"/>
        </w:rPr>
        <w:t>THE REGISTRAR OF DEEDS</w:t>
      </w:r>
    </w:p>
    <w:p w14:paraId="7C966F74" w14:textId="77777777" w:rsidR="004C72ED" w:rsidRPr="00E649C5" w:rsidRDefault="00215D12" w:rsidP="00500467">
      <w:pPr>
        <w:spacing w:line="360" w:lineRule="auto"/>
        <w:jc w:val="both"/>
        <w:rPr>
          <w:rFonts w:ascii="Times New Roman" w:hAnsi="Times New Roman" w:cs="Times New Roman"/>
          <w:b/>
          <w:sz w:val="25"/>
          <w:szCs w:val="25"/>
        </w:rPr>
      </w:pPr>
      <w:r w:rsidRPr="00E649C5">
        <w:rPr>
          <w:rFonts w:ascii="Times New Roman" w:hAnsi="Times New Roman" w:cs="Times New Roman"/>
          <w:b/>
          <w:sz w:val="25"/>
          <w:szCs w:val="25"/>
        </w:rPr>
        <w:t>MTHATHA</w:t>
      </w:r>
      <w:r w:rsidR="00500467">
        <w:rPr>
          <w:rFonts w:ascii="Times New Roman" w:hAnsi="Times New Roman" w:cs="Times New Roman"/>
          <w:b/>
          <w:sz w:val="25"/>
          <w:szCs w:val="25"/>
        </w:rPr>
        <w:tab/>
      </w:r>
      <w:r w:rsidR="00500467">
        <w:rPr>
          <w:rFonts w:ascii="Times New Roman" w:hAnsi="Times New Roman" w:cs="Times New Roman"/>
          <w:b/>
          <w:sz w:val="25"/>
          <w:szCs w:val="25"/>
        </w:rPr>
        <w:tab/>
      </w:r>
      <w:r w:rsidR="00500467">
        <w:rPr>
          <w:rFonts w:ascii="Times New Roman" w:hAnsi="Times New Roman" w:cs="Times New Roman"/>
          <w:b/>
          <w:sz w:val="25"/>
          <w:szCs w:val="25"/>
        </w:rPr>
        <w:tab/>
        <w:t xml:space="preserve">         </w:t>
      </w:r>
      <w:r w:rsidR="004C72ED" w:rsidRPr="00E649C5">
        <w:rPr>
          <w:rFonts w:ascii="Times New Roman" w:hAnsi="Times New Roman" w:cs="Times New Roman"/>
          <w:b/>
          <w:sz w:val="25"/>
          <w:szCs w:val="25"/>
        </w:rPr>
        <w:t>FOURTH RESPONDENT</w:t>
      </w:r>
      <w:r w:rsidR="00C236E5" w:rsidRPr="00E649C5">
        <w:rPr>
          <w:rFonts w:ascii="Times New Roman" w:hAnsi="Times New Roman" w:cs="Times New Roman"/>
          <w:b/>
          <w:sz w:val="25"/>
          <w:szCs w:val="25"/>
        </w:rPr>
        <w:t>/FOURTH</w:t>
      </w:r>
      <w:r w:rsidR="00500467">
        <w:rPr>
          <w:rFonts w:ascii="Times New Roman" w:hAnsi="Times New Roman" w:cs="Times New Roman"/>
          <w:b/>
          <w:sz w:val="25"/>
          <w:szCs w:val="25"/>
        </w:rPr>
        <w:t xml:space="preserve"> </w:t>
      </w:r>
      <w:r w:rsidR="00C236E5" w:rsidRPr="00E649C5">
        <w:rPr>
          <w:rFonts w:ascii="Times New Roman" w:hAnsi="Times New Roman" w:cs="Times New Roman"/>
          <w:b/>
          <w:sz w:val="25"/>
          <w:szCs w:val="25"/>
        </w:rPr>
        <w:t>DEFENDANT</w:t>
      </w:r>
    </w:p>
    <w:p w14:paraId="323EB379" w14:textId="77777777" w:rsidR="008B63B4" w:rsidRPr="00E649C5" w:rsidRDefault="008B63B4" w:rsidP="00EA1AAE">
      <w:pPr>
        <w:spacing w:line="360" w:lineRule="auto"/>
        <w:jc w:val="both"/>
        <w:rPr>
          <w:rFonts w:ascii="Times New Roman" w:hAnsi="Times New Roman" w:cs="Times New Roman"/>
          <w:b/>
          <w:sz w:val="25"/>
          <w:szCs w:val="25"/>
        </w:rPr>
      </w:pPr>
    </w:p>
    <w:p w14:paraId="2A77E606" w14:textId="77777777" w:rsidR="00215D12" w:rsidRPr="00E649C5" w:rsidRDefault="004C72ED" w:rsidP="00EA1AAE">
      <w:pPr>
        <w:spacing w:line="360" w:lineRule="auto"/>
        <w:jc w:val="both"/>
        <w:rPr>
          <w:rFonts w:ascii="Times New Roman" w:hAnsi="Times New Roman" w:cs="Times New Roman"/>
          <w:b/>
          <w:sz w:val="25"/>
          <w:szCs w:val="25"/>
        </w:rPr>
      </w:pPr>
      <w:r w:rsidRPr="00E649C5">
        <w:rPr>
          <w:rFonts w:ascii="Times New Roman" w:hAnsi="Times New Roman" w:cs="Times New Roman"/>
          <w:b/>
          <w:sz w:val="25"/>
          <w:szCs w:val="25"/>
        </w:rPr>
        <w:t>THE MASTER OF THE</w:t>
      </w:r>
    </w:p>
    <w:p w14:paraId="54C04F71" w14:textId="77777777" w:rsidR="004C72ED" w:rsidRDefault="004C72ED" w:rsidP="00500467">
      <w:pPr>
        <w:spacing w:line="360" w:lineRule="auto"/>
        <w:ind w:left="5040" w:hanging="5040"/>
        <w:jc w:val="both"/>
        <w:rPr>
          <w:rFonts w:ascii="Times New Roman" w:hAnsi="Times New Roman" w:cs="Times New Roman"/>
          <w:b/>
          <w:sz w:val="25"/>
          <w:szCs w:val="25"/>
        </w:rPr>
      </w:pPr>
      <w:r w:rsidRPr="00E649C5">
        <w:rPr>
          <w:rFonts w:ascii="Times New Roman" w:hAnsi="Times New Roman" w:cs="Times New Roman"/>
          <w:b/>
          <w:sz w:val="25"/>
          <w:szCs w:val="25"/>
        </w:rPr>
        <w:t>HIGH COURT MTHATHA</w:t>
      </w:r>
      <w:r w:rsidR="00500467">
        <w:rPr>
          <w:rFonts w:ascii="Times New Roman" w:hAnsi="Times New Roman" w:cs="Times New Roman"/>
          <w:b/>
          <w:sz w:val="25"/>
          <w:szCs w:val="25"/>
        </w:rPr>
        <w:t xml:space="preserve">                 </w:t>
      </w:r>
      <w:r w:rsidR="00215D12" w:rsidRPr="00E649C5">
        <w:rPr>
          <w:rFonts w:ascii="Times New Roman" w:hAnsi="Times New Roman" w:cs="Times New Roman"/>
          <w:b/>
          <w:sz w:val="25"/>
          <w:szCs w:val="25"/>
        </w:rPr>
        <w:t>FIFTH RESPONDENT</w:t>
      </w:r>
      <w:r w:rsidR="00C236E5" w:rsidRPr="00E649C5">
        <w:rPr>
          <w:rFonts w:ascii="Times New Roman" w:hAnsi="Times New Roman" w:cs="Times New Roman"/>
          <w:b/>
          <w:sz w:val="25"/>
          <w:szCs w:val="25"/>
        </w:rPr>
        <w:t>/FIFTH DEFENDANT</w:t>
      </w:r>
    </w:p>
    <w:p w14:paraId="70B48507" w14:textId="77777777" w:rsidR="002E6345" w:rsidRDefault="002E6345" w:rsidP="00500467">
      <w:pPr>
        <w:spacing w:line="360" w:lineRule="auto"/>
        <w:ind w:left="5040" w:hanging="5040"/>
        <w:jc w:val="both"/>
        <w:rPr>
          <w:rFonts w:ascii="Times New Roman" w:hAnsi="Times New Roman" w:cs="Times New Roman"/>
          <w:b/>
          <w:sz w:val="25"/>
          <w:szCs w:val="25"/>
        </w:rPr>
      </w:pPr>
    </w:p>
    <w:p w14:paraId="58605BB9" w14:textId="77777777" w:rsidR="002E6345" w:rsidRDefault="002E6345" w:rsidP="00500467">
      <w:pPr>
        <w:spacing w:line="360" w:lineRule="auto"/>
        <w:ind w:left="5040" w:hanging="5040"/>
        <w:jc w:val="both"/>
        <w:rPr>
          <w:rFonts w:ascii="Times New Roman" w:hAnsi="Times New Roman" w:cs="Times New Roman"/>
          <w:b/>
          <w:sz w:val="25"/>
          <w:szCs w:val="25"/>
        </w:rPr>
      </w:pPr>
    </w:p>
    <w:p w14:paraId="03AB9D8E" w14:textId="77777777" w:rsidR="002E6345" w:rsidRDefault="002E6345" w:rsidP="00500467">
      <w:pPr>
        <w:spacing w:line="360" w:lineRule="auto"/>
        <w:ind w:left="5040" w:hanging="5040"/>
        <w:jc w:val="both"/>
        <w:rPr>
          <w:rFonts w:ascii="Times New Roman" w:hAnsi="Times New Roman" w:cs="Times New Roman"/>
          <w:b/>
          <w:sz w:val="25"/>
          <w:szCs w:val="25"/>
        </w:rPr>
      </w:pPr>
    </w:p>
    <w:p w14:paraId="69C7FFCA" w14:textId="77777777" w:rsidR="00354A12" w:rsidRPr="003C36E9" w:rsidRDefault="00354A12" w:rsidP="00354A12">
      <w:pPr>
        <w:pBdr>
          <w:bottom w:val="single" w:sz="12" w:space="1" w:color="auto"/>
        </w:pBdr>
        <w:spacing w:line="240" w:lineRule="auto"/>
        <w:jc w:val="both"/>
        <w:rPr>
          <w:rFonts w:ascii="Times New Roman" w:hAnsi="Times New Roman" w:cs="Times New Roman"/>
          <w:sz w:val="28"/>
          <w:szCs w:val="28"/>
        </w:rPr>
      </w:pPr>
    </w:p>
    <w:p w14:paraId="38ACD2DB" w14:textId="77777777" w:rsidR="00354A12" w:rsidRPr="003C36E9" w:rsidRDefault="00354A12" w:rsidP="00354A12">
      <w:pPr>
        <w:spacing w:line="240" w:lineRule="auto"/>
        <w:jc w:val="both"/>
        <w:rPr>
          <w:rFonts w:ascii="Times New Roman" w:hAnsi="Times New Roman" w:cs="Times New Roman"/>
          <w:sz w:val="28"/>
          <w:szCs w:val="28"/>
        </w:rPr>
      </w:pPr>
    </w:p>
    <w:p w14:paraId="5921F9AB" w14:textId="77777777" w:rsidR="00354A12" w:rsidRPr="003C36E9" w:rsidRDefault="00354A12" w:rsidP="00354A12">
      <w:pPr>
        <w:pBdr>
          <w:bottom w:val="single" w:sz="12" w:space="1" w:color="auto"/>
        </w:pBdr>
        <w:spacing w:line="240" w:lineRule="auto"/>
        <w:jc w:val="center"/>
        <w:rPr>
          <w:rFonts w:ascii="Times New Roman" w:hAnsi="Times New Roman" w:cs="Times New Roman"/>
          <w:b/>
          <w:sz w:val="28"/>
          <w:szCs w:val="28"/>
        </w:rPr>
      </w:pPr>
      <w:r w:rsidRPr="003C36E9">
        <w:rPr>
          <w:rFonts w:ascii="Times New Roman" w:hAnsi="Times New Roman" w:cs="Times New Roman"/>
          <w:b/>
          <w:sz w:val="28"/>
          <w:szCs w:val="28"/>
        </w:rPr>
        <w:t>JUDGMENT</w:t>
      </w:r>
    </w:p>
    <w:p w14:paraId="0773F45C" w14:textId="77777777" w:rsidR="00354A12" w:rsidRPr="003C36E9" w:rsidRDefault="00354A12" w:rsidP="00354A12">
      <w:pPr>
        <w:pBdr>
          <w:bottom w:val="single" w:sz="12" w:space="1" w:color="auto"/>
        </w:pBdr>
        <w:spacing w:line="240" w:lineRule="auto"/>
        <w:jc w:val="both"/>
        <w:rPr>
          <w:rFonts w:ascii="Times New Roman" w:hAnsi="Times New Roman" w:cs="Times New Roman"/>
          <w:sz w:val="28"/>
          <w:szCs w:val="28"/>
        </w:rPr>
      </w:pPr>
    </w:p>
    <w:p w14:paraId="06721BBB" w14:textId="77777777" w:rsidR="00354A12" w:rsidRPr="003C36E9" w:rsidRDefault="00354A12" w:rsidP="00354A12">
      <w:pPr>
        <w:spacing w:line="240" w:lineRule="auto"/>
        <w:jc w:val="both"/>
        <w:rPr>
          <w:rFonts w:ascii="Times New Roman" w:hAnsi="Times New Roman" w:cs="Times New Roman"/>
          <w:sz w:val="28"/>
          <w:szCs w:val="28"/>
        </w:rPr>
      </w:pPr>
    </w:p>
    <w:p w14:paraId="629E9226" w14:textId="77777777" w:rsidR="00354A12" w:rsidRPr="00EA1AAE" w:rsidRDefault="00354A12" w:rsidP="00354A12">
      <w:pPr>
        <w:spacing w:line="360" w:lineRule="auto"/>
        <w:jc w:val="both"/>
        <w:rPr>
          <w:rFonts w:ascii="Times New Roman" w:hAnsi="Times New Roman" w:cs="Times New Roman"/>
          <w:b/>
          <w:sz w:val="28"/>
          <w:szCs w:val="28"/>
        </w:rPr>
      </w:pPr>
      <w:r w:rsidRPr="00EA1AAE">
        <w:rPr>
          <w:rFonts w:ascii="Times New Roman" w:hAnsi="Times New Roman" w:cs="Times New Roman"/>
          <w:b/>
          <w:sz w:val="28"/>
          <w:szCs w:val="28"/>
        </w:rPr>
        <w:t>R</w:t>
      </w:r>
      <w:r w:rsidR="003C36E9" w:rsidRPr="00EA1AAE">
        <w:rPr>
          <w:rFonts w:ascii="Times New Roman" w:hAnsi="Times New Roman" w:cs="Times New Roman"/>
          <w:b/>
          <w:sz w:val="28"/>
          <w:szCs w:val="28"/>
        </w:rPr>
        <w:t xml:space="preserve">ugunanan </w:t>
      </w:r>
      <w:r w:rsidR="00D45647" w:rsidRPr="00EA1AAE">
        <w:rPr>
          <w:rFonts w:ascii="Times New Roman" w:hAnsi="Times New Roman" w:cs="Times New Roman"/>
          <w:b/>
          <w:sz w:val="28"/>
          <w:szCs w:val="28"/>
        </w:rPr>
        <w:t>J</w:t>
      </w:r>
    </w:p>
    <w:p w14:paraId="7859A500" w14:textId="77777777" w:rsidR="00354A12" w:rsidRPr="00EA1AAE" w:rsidRDefault="00354A12" w:rsidP="00354A12">
      <w:pPr>
        <w:spacing w:line="360" w:lineRule="auto"/>
        <w:jc w:val="both"/>
        <w:rPr>
          <w:rFonts w:ascii="Times New Roman" w:hAnsi="Times New Roman" w:cs="Times New Roman"/>
          <w:b/>
          <w:sz w:val="28"/>
          <w:szCs w:val="28"/>
        </w:rPr>
      </w:pPr>
    </w:p>
    <w:p w14:paraId="221BF21B" w14:textId="15A95EDD" w:rsidR="00B27DEC" w:rsidRDefault="00194C69" w:rsidP="00194C69">
      <w:pPr>
        <w:pStyle w:val="LegalList1"/>
        <w:spacing w:line="360" w:lineRule="auto"/>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D478F7">
        <w:rPr>
          <w:rFonts w:ascii="Times New Roman" w:hAnsi="Times New Roman"/>
          <w:sz w:val="28"/>
          <w:szCs w:val="28"/>
        </w:rPr>
        <w:t xml:space="preserve">This is an </w:t>
      </w:r>
      <w:r w:rsidR="00810563">
        <w:rPr>
          <w:rFonts w:ascii="Times New Roman" w:hAnsi="Times New Roman"/>
          <w:sz w:val="28"/>
          <w:szCs w:val="28"/>
        </w:rPr>
        <w:t xml:space="preserve">opposed </w:t>
      </w:r>
      <w:r w:rsidR="00D478F7">
        <w:rPr>
          <w:rFonts w:ascii="Times New Roman" w:hAnsi="Times New Roman"/>
          <w:sz w:val="28"/>
          <w:szCs w:val="28"/>
        </w:rPr>
        <w:t>application in terms of rule 30A of the Uniform Rules of Court</w:t>
      </w:r>
      <w:r w:rsidR="00B27DEC">
        <w:rPr>
          <w:rFonts w:ascii="Times New Roman" w:hAnsi="Times New Roman"/>
          <w:sz w:val="28"/>
          <w:szCs w:val="28"/>
        </w:rPr>
        <w:t xml:space="preserve">. </w:t>
      </w:r>
      <w:r w:rsidR="00810563">
        <w:rPr>
          <w:rFonts w:ascii="Times New Roman" w:hAnsi="Times New Roman"/>
          <w:sz w:val="28"/>
          <w:szCs w:val="28"/>
        </w:rPr>
        <w:t>Except for the second respondent, the remaining respondents have not entered opposition in these proceedings.</w:t>
      </w:r>
    </w:p>
    <w:p w14:paraId="2523A816" w14:textId="2D4D9DBE" w:rsidR="00FD39B4" w:rsidRDefault="00194C69" w:rsidP="00194C69">
      <w:pPr>
        <w:pStyle w:val="LegalList1"/>
        <w:spacing w:line="360" w:lineRule="auto"/>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B27DEC">
        <w:rPr>
          <w:rFonts w:ascii="Times New Roman" w:hAnsi="Times New Roman"/>
          <w:sz w:val="28"/>
          <w:szCs w:val="28"/>
        </w:rPr>
        <w:t>T</w:t>
      </w:r>
      <w:r w:rsidR="00926FAD">
        <w:rPr>
          <w:rFonts w:ascii="Times New Roman" w:hAnsi="Times New Roman"/>
          <w:sz w:val="28"/>
          <w:szCs w:val="28"/>
        </w:rPr>
        <w:t xml:space="preserve">he </w:t>
      </w:r>
      <w:r w:rsidR="0001086B">
        <w:rPr>
          <w:rFonts w:ascii="Times New Roman" w:hAnsi="Times New Roman"/>
          <w:sz w:val="28"/>
          <w:szCs w:val="28"/>
        </w:rPr>
        <w:t>applicant</w:t>
      </w:r>
      <w:r w:rsidR="000B6A70">
        <w:rPr>
          <w:rFonts w:ascii="Times New Roman" w:hAnsi="Times New Roman"/>
          <w:sz w:val="28"/>
          <w:szCs w:val="28"/>
        </w:rPr>
        <w:t xml:space="preserve">, the </w:t>
      </w:r>
      <w:r w:rsidR="0001086B">
        <w:rPr>
          <w:rFonts w:ascii="Times New Roman" w:hAnsi="Times New Roman"/>
          <w:sz w:val="28"/>
          <w:szCs w:val="28"/>
        </w:rPr>
        <w:t>plaintiff in the main action</w:t>
      </w:r>
      <w:r w:rsidR="000B6A70">
        <w:rPr>
          <w:rFonts w:ascii="Times New Roman" w:hAnsi="Times New Roman"/>
          <w:sz w:val="28"/>
          <w:szCs w:val="28"/>
        </w:rPr>
        <w:t>,</w:t>
      </w:r>
      <w:r w:rsidR="0001086B">
        <w:rPr>
          <w:rFonts w:ascii="Times New Roman" w:hAnsi="Times New Roman"/>
          <w:sz w:val="28"/>
          <w:szCs w:val="28"/>
        </w:rPr>
        <w:t xml:space="preserve"> served a notice in terms of </w:t>
      </w:r>
      <w:r w:rsidR="000B6A70">
        <w:rPr>
          <w:rFonts w:ascii="Times New Roman" w:hAnsi="Times New Roman"/>
          <w:sz w:val="28"/>
          <w:szCs w:val="28"/>
        </w:rPr>
        <w:t>r</w:t>
      </w:r>
      <w:r w:rsidR="0001086B">
        <w:rPr>
          <w:rFonts w:ascii="Times New Roman" w:hAnsi="Times New Roman"/>
          <w:sz w:val="28"/>
          <w:szCs w:val="28"/>
        </w:rPr>
        <w:t xml:space="preserve">ule 35(3) </w:t>
      </w:r>
      <w:r w:rsidR="000B6A70">
        <w:rPr>
          <w:rFonts w:ascii="Times New Roman" w:hAnsi="Times New Roman"/>
          <w:sz w:val="28"/>
          <w:szCs w:val="28"/>
        </w:rPr>
        <w:t>upon the second respondent, the second defendant in the main action,</w:t>
      </w:r>
      <w:r w:rsidR="00FF1916">
        <w:rPr>
          <w:rFonts w:ascii="Times New Roman" w:hAnsi="Times New Roman"/>
          <w:sz w:val="28"/>
          <w:szCs w:val="28"/>
        </w:rPr>
        <w:t xml:space="preserve"> calling for</w:t>
      </w:r>
      <w:r w:rsidR="00D157F0">
        <w:rPr>
          <w:rFonts w:ascii="Times New Roman" w:hAnsi="Times New Roman"/>
          <w:sz w:val="28"/>
          <w:szCs w:val="28"/>
        </w:rPr>
        <w:t xml:space="preserve"> discovery of specified documents</w:t>
      </w:r>
      <w:r w:rsidR="00FD39B4">
        <w:rPr>
          <w:rFonts w:ascii="Times New Roman" w:hAnsi="Times New Roman"/>
          <w:sz w:val="28"/>
          <w:szCs w:val="28"/>
        </w:rPr>
        <w:t>, namely:</w:t>
      </w:r>
    </w:p>
    <w:p w14:paraId="63F42942" w14:textId="77777777" w:rsidR="00FD39B4" w:rsidRPr="00FC0296" w:rsidRDefault="00FD39B4" w:rsidP="00FF1916">
      <w:pPr>
        <w:pStyle w:val="LegalList1"/>
        <w:spacing w:line="360" w:lineRule="auto"/>
        <w:ind w:left="720" w:hanging="720"/>
        <w:rPr>
          <w:rFonts w:ascii="Times New Roman" w:hAnsi="Times New Roman"/>
        </w:rPr>
      </w:pPr>
      <w:r w:rsidRPr="00FC0296">
        <w:rPr>
          <w:rFonts w:ascii="Times New Roman" w:hAnsi="Times New Roman"/>
        </w:rPr>
        <w:t>‘1.</w:t>
      </w:r>
      <w:r w:rsidRPr="00FC0296">
        <w:rPr>
          <w:rFonts w:ascii="Times New Roman" w:hAnsi="Times New Roman"/>
        </w:rPr>
        <w:tab/>
        <w:t>Written tripartite agreement concluded between First Defendant, Second Defendant and the late Vuyani Stanley Godlwana in respect of Second Defendant’s</w:t>
      </w:r>
      <w:r w:rsidR="00934068" w:rsidRPr="00FC0296">
        <w:rPr>
          <w:rFonts w:ascii="Times New Roman" w:hAnsi="Times New Roman"/>
        </w:rPr>
        <w:t xml:space="preserve"> bond dated 31 July 2012 registered over the notarial deed of lease, “POC 8” to the Plaintiff’s particulars of claim dated 19 July 2022.</w:t>
      </w:r>
    </w:p>
    <w:p w14:paraId="28DFBDF1" w14:textId="77777777" w:rsidR="00934068" w:rsidRPr="00FC0296" w:rsidRDefault="00934068" w:rsidP="00FF1916">
      <w:pPr>
        <w:pStyle w:val="LegalList1"/>
        <w:spacing w:line="360" w:lineRule="auto"/>
        <w:ind w:left="720" w:hanging="720"/>
        <w:rPr>
          <w:rFonts w:ascii="Times New Roman" w:hAnsi="Times New Roman"/>
        </w:rPr>
      </w:pPr>
      <w:r w:rsidRPr="00FC0296">
        <w:rPr>
          <w:rFonts w:ascii="Times New Roman" w:hAnsi="Times New Roman"/>
        </w:rPr>
        <w:t>2.</w:t>
      </w:r>
      <w:r w:rsidRPr="00FC0296">
        <w:rPr>
          <w:rFonts w:ascii="Times New Roman" w:hAnsi="Times New Roman"/>
        </w:rPr>
        <w:tab/>
        <w:t>Written resolution of First Defendant dated 19 February 2008 concluded at Pinetown, referred to on page 2 of Notarial Agreement of Lease, “POC 7” to the Plaintiff’s particulars of claim dated 19 July 2022, concluded between First Defendant and the late Vuyani Stanley Godlwana.</w:t>
      </w:r>
    </w:p>
    <w:p w14:paraId="2A868EC9" w14:textId="77777777" w:rsidR="00934068" w:rsidRPr="00FC0296" w:rsidRDefault="00934068" w:rsidP="00FF1916">
      <w:pPr>
        <w:pStyle w:val="LegalList1"/>
        <w:spacing w:line="360" w:lineRule="auto"/>
        <w:ind w:left="720" w:hanging="720"/>
        <w:rPr>
          <w:rFonts w:ascii="Times New Roman" w:hAnsi="Times New Roman"/>
        </w:rPr>
      </w:pPr>
      <w:r w:rsidRPr="00FC0296">
        <w:rPr>
          <w:rFonts w:ascii="Times New Roman" w:hAnsi="Times New Roman"/>
        </w:rPr>
        <w:t>3.</w:t>
      </w:r>
      <w:r w:rsidRPr="00FC0296">
        <w:rPr>
          <w:rFonts w:ascii="Times New Roman" w:hAnsi="Times New Roman"/>
        </w:rPr>
        <w:tab/>
      </w:r>
      <w:r w:rsidR="006E4E2E" w:rsidRPr="00FC0296">
        <w:rPr>
          <w:rFonts w:ascii="Times New Roman" w:hAnsi="Times New Roman"/>
        </w:rPr>
        <w:t>Written resolution of First Defendant authorising a power of attorney in respect of the ABSA Bank Limited mortgage bond dated 31 July 2012, “POC 8” to the Plaintiff’s particulars of claim dated 19 July 2022.</w:t>
      </w:r>
    </w:p>
    <w:p w14:paraId="07206C65" w14:textId="77777777" w:rsidR="006E4E2E" w:rsidRPr="00FC0296" w:rsidRDefault="006E4E2E" w:rsidP="00FF1916">
      <w:pPr>
        <w:pStyle w:val="LegalList1"/>
        <w:spacing w:line="360" w:lineRule="auto"/>
        <w:ind w:left="720" w:hanging="720"/>
        <w:rPr>
          <w:rFonts w:ascii="Times New Roman" w:hAnsi="Times New Roman"/>
        </w:rPr>
      </w:pPr>
      <w:r w:rsidRPr="00FC0296">
        <w:rPr>
          <w:rFonts w:ascii="Times New Roman" w:hAnsi="Times New Roman"/>
        </w:rPr>
        <w:t>4.</w:t>
      </w:r>
      <w:r w:rsidRPr="00FC0296">
        <w:rPr>
          <w:rFonts w:ascii="Times New Roman" w:hAnsi="Times New Roman"/>
        </w:rPr>
        <w:tab/>
        <w:t>All documentary proof of the Second Defendant’s due diligence processes and findings in accordance with the Second Defendant’s banking practices in respect of “POC 8” and prior registration of the bond over the notarial deed of lease, dated 31 July 2012 “POC 8” to the Plaintiff’s particulars of claim dated 19 July 2022.’</w:t>
      </w:r>
    </w:p>
    <w:p w14:paraId="01EB1B16" w14:textId="6B8A222A" w:rsidR="00AB53A8" w:rsidRDefault="00194C69" w:rsidP="00194C69">
      <w:pPr>
        <w:pStyle w:val="LegalList1"/>
        <w:spacing w:line="360" w:lineRule="auto"/>
        <w:rPr>
          <w:rFonts w:ascii="Times New Roman" w:hAnsi="Times New Roman"/>
          <w:sz w:val="28"/>
          <w:szCs w:val="28"/>
        </w:rPr>
      </w:pPr>
      <w:r>
        <w:rPr>
          <w:rFonts w:ascii="Times New Roman" w:hAnsi="Times New Roman"/>
          <w:sz w:val="28"/>
          <w:szCs w:val="28"/>
        </w:rPr>
        <w:lastRenderedPageBreak/>
        <w:t>[3]</w:t>
      </w:r>
      <w:r>
        <w:rPr>
          <w:rFonts w:ascii="Times New Roman" w:hAnsi="Times New Roman"/>
          <w:sz w:val="28"/>
          <w:szCs w:val="28"/>
        </w:rPr>
        <w:tab/>
      </w:r>
      <w:r w:rsidR="00E576D8" w:rsidRPr="00FC0296">
        <w:rPr>
          <w:rFonts w:ascii="Times New Roman" w:hAnsi="Times New Roman"/>
          <w:sz w:val="28"/>
          <w:szCs w:val="28"/>
        </w:rPr>
        <w:t>The notice was served on the second defendant’s attorneys of record on 15</w:t>
      </w:r>
      <w:r w:rsidR="009F46EE">
        <w:rPr>
          <w:rFonts w:ascii="Times New Roman" w:hAnsi="Times New Roman"/>
          <w:sz w:val="28"/>
          <w:szCs w:val="28"/>
        </w:rPr>
        <w:t> </w:t>
      </w:r>
      <w:r w:rsidR="00E576D8" w:rsidRPr="00FC0296">
        <w:rPr>
          <w:rFonts w:ascii="Times New Roman" w:hAnsi="Times New Roman"/>
          <w:sz w:val="28"/>
          <w:szCs w:val="28"/>
        </w:rPr>
        <w:t>November 2022</w:t>
      </w:r>
      <w:r w:rsidR="00046C7A" w:rsidRPr="00FC0296">
        <w:rPr>
          <w:rFonts w:ascii="Times New Roman" w:hAnsi="Times New Roman"/>
          <w:sz w:val="28"/>
          <w:szCs w:val="28"/>
        </w:rPr>
        <w:t xml:space="preserve">. It called upon the second defendant to make the documents specified </w:t>
      </w:r>
      <w:r w:rsidR="00A66185" w:rsidRPr="00FC0296">
        <w:rPr>
          <w:rFonts w:ascii="Times New Roman" w:hAnsi="Times New Roman"/>
          <w:sz w:val="28"/>
          <w:szCs w:val="28"/>
        </w:rPr>
        <w:t xml:space="preserve">therein </w:t>
      </w:r>
      <w:r w:rsidR="00046C7A" w:rsidRPr="00FC0296">
        <w:rPr>
          <w:rFonts w:ascii="Times New Roman" w:hAnsi="Times New Roman"/>
          <w:sz w:val="28"/>
          <w:szCs w:val="28"/>
        </w:rPr>
        <w:t>available for inspection or to state under oath that such documents are not in the</w:t>
      </w:r>
      <w:r w:rsidR="00A66185" w:rsidRPr="00FC0296">
        <w:rPr>
          <w:rFonts w:ascii="Times New Roman" w:hAnsi="Times New Roman"/>
          <w:sz w:val="28"/>
          <w:szCs w:val="28"/>
        </w:rPr>
        <w:t xml:space="preserve"> second defendant’s possession – in which event the latter was required to state their whereabouts.</w:t>
      </w:r>
    </w:p>
    <w:p w14:paraId="337ADDE7" w14:textId="502661FE" w:rsidR="0036155D" w:rsidRDefault="00194C69" w:rsidP="00194C69">
      <w:pPr>
        <w:pStyle w:val="LegalList1"/>
        <w:spacing w:line="360" w:lineRule="auto"/>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6608D0">
        <w:rPr>
          <w:rFonts w:ascii="Times New Roman" w:hAnsi="Times New Roman"/>
          <w:sz w:val="28"/>
          <w:szCs w:val="28"/>
        </w:rPr>
        <w:t>On 6 December 2022 and p</w:t>
      </w:r>
      <w:r w:rsidR="00FC0D97">
        <w:rPr>
          <w:rFonts w:ascii="Times New Roman" w:hAnsi="Times New Roman"/>
          <w:sz w:val="28"/>
          <w:szCs w:val="28"/>
        </w:rPr>
        <w:t xml:space="preserve">urportedly </w:t>
      </w:r>
      <w:r w:rsidR="00751354">
        <w:rPr>
          <w:rFonts w:ascii="Times New Roman" w:hAnsi="Times New Roman"/>
          <w:sz w:val="28"/>
          <w:szCs w:val="28"/>
        </w:rPr>
        <w:t>in response to the plaintiff’</w:t>
      </w:r>
      <w:r w:rsidR="00926FAD">
        <w:rPr>
          <w:rFonts w:ascii="Times New Roman" w:hAnsi="Times New Roman"/>
          <w:sz w:val="28"/>
          <w:szCs w:val="28"/>
        </w:rPr>
        <w:t>s notice the second defendant delivered an affidavit deposed by its ‘Senior Legal Couns</w:t>
      </w:r>
      <w:r w:rsidR="00710A01">
        <w:rPr>
          <w:rFonts w:ascii="Times New Roman" w:hAnsi="Times New Roman"/>
          <w:sz w:val="28"/>
          <w:szCs w:val="28"/>
        </w:rPr>
        <w:t>el in the Group Legal Division’. (</w:t>
      </w:r>
      <w:r w:rsidR="000F0FEE">
        <w:rPr>
          <w:rFonts w:ascii="Times New Roman" w:hAnsi="Times New Roman"/>
          <w:sz w:val="28"/>
          <w:szCs w:val="28"/>
        </w:rPr>
        <w:t xml:space="preserve">hereinafter </w:t>
      </w:r>
      <w:r w:rsidR="005E6D37">
        <w:rPr>
          <w:rFonts w:ascii="Times New Roman" w:hAnsi="Times New Roman"/>
          <w:sz w:val="28"/>
          <w:szCs w:val="28"/>
        </w:rPr>
        <w:t xml:space="preserve">interchangeably </w:t>
      </w:r>
      <w:r w:rsidR="000F0FEE">
        <w:rPr>
          <w:rFonts w:ascii="Times New Roman" w:hAnsi="Times New Roman"/>
          <w:sz w:val="28"/>
          <w:szCs w:val="28"/>
        </w:rPr>
        <w:t xml:space="preserve">referred to as ‘the affidavit’ or ‘the response’ </w:t>
      </w:r>
      <w:r w:rsidR="00710A01">
        <w:rPr>
          <w:rFonts w:ascii="Times New Roman" w:hAnsi="Times New Roman"/>
          <w:sz w:val="28"/>
          <w:szCs w:val="28"/>
        </w:rPr>
        <w:t xml:space="preserve">or ‘the second defendant’s answer’ </w:t>
      </w:r>
      <w:r w:rsidR="000F0FEE">
        <w:rPr>
          <w:rFonts w:ascii="Times New Roman" w:hAnsi="Times New Roman"/>
          <w:sz w:val="28"/>
          <w:szCs w:val="28"/>
        </w:rPr>
        <w:t>depending on the appropriate context</w:t>
      </w:r>
      <w:r w:rsidR="00710A01">
        <w:rPr>
          <w:rFonts w:ascii="Times New Roman" w:hAnsi="Times New Roman"/>
          <w:sz w:val="28"/>
          <w:szCs w:val="28"/>
        </w:rPr>
        <w:t>)</w:t>
      </w:r>
      <w:r w:rsidR="000F0FEE">
        <w:rPr>
          <w:rFonts w:ascii="Times New Roman" w:hAnsi="Times New Roman"/>
          <w:sz w:val="28"/>
          <w:szCs w:val="28"/>
        </w:rPr>
        <w:t>.</w:t>
      </w:r>
    </w:p>
    <w:p w14:paraId="0B9FC8A1" w14:textId="134B7078" w:rsidR="00FC0D97" w:rsidRDefault="00194C69" w:rsidP="00194C69">
      <w:pPr>
        <w:pStyle w:val="LegalList1"/>
        <w:spacing w:line="360" w:lineRule="auto"/>
        <w:rPr>
          <w:rFonts w:ascii="Times New Roman" w:hAnsi="Times New Roman"/>
          <w:sz w:val="28"/>
          <w:szCs w:val="28"/>
        </w:rPr>
      </w:pPr>
      <w:r>
        <w:rPr>
          <w:rFonts w:ascii="Times New Roman" w:hAnsi="Times New Roman"/>
          <w:sz w:val="28"/>
          <w:szCs w:val="28"/>
        </w:rPr>
        <w:t>[5]</w:t>
      </w:r>
      <w:r>
        <w:rPr>
          <w:rFonts w:ascii="Times New Roman" w:hAnsi="Times New Roman"/>
          <w:sz w:val="28"/>
          <w:szCs w:val="28"/>
        </w:rPr>
        <w:tab/>
      </w:r>
      <w:r w:rsidR="00751354">
        <w:rPr>
          <w:rFonts w:ascii="Times New Roman" w:hAnsi="Times New Roman"/>
          <w:sz w:val="28"/>
          <w:szCs w:val="28"/>
        </w:rPr>
        <w:t>Quoting only where relevant</w:t>
      </w:r>
      <w:r w:rsidR="00FC0D97">
        <w:rPr>
          <w:rFonts w:ascii="Times New Roman" w:hAnsi="Times New Roman"/>
          <w:sz w:val="28"/>
          <w:szCs w:val="28"/>
        </w:rPr>
        <w:t>, the deponent thereto makes the following averments:</w:t>
      </w:r>
    </w:p>
    <w:p w14:paraId="0BE08D93" w14:textId="77777777" w:rsidR="00FC0D97" w:rsidRPr="008E1C1E" w:rsidRDefault="007056C7" w:rsidP="008E1C1E">
      <w:pPr>
        <w:pStyle w:val="LegalList1"/>
        <w:spacing w:line="360" w:lineRule="auto"/>
        <w:ind w:left="720" w:hanging="720"/>
        <w:rPr>
          <w:rFonts w:ascii="Times New Roman" w:hAnsi="Times New Roman"/>
        </w:rPr>
      </w:pPr>
      <w:r w:rsidRPr="008E1C1E">
        <w:rPr>
          <w:rFonts w:ascii="Times New Roman" w:hAnsi="Times New Roman"/>
        </w:rPr>
        <w:t>‘4.</w:t>
      </w:r>
      <w:r w:rsidRPr="008E1C1E">
        <w:rPr>
          <w:rFonts w:ascii="Times New Roman" w:hAnsi="Times New Roman"/>
        </w:rPr>
        <w:tab/>
        <w:t>The Second Defendant is not (and would not be expected to be) privy to the document sought in paragraph [2] above.</w:t>
      </w:r>
    </w:p>
    <w:p w14:paraId="40A40603" w14:textId="77777777" w:rsidR="007056C7" w:rsidRPr="008E1C1E" w:rsidRDefault="007056C7" w:rsidP="008E1C1E">
      <w:pPr>
        <w:pStyle w:val="LegalList1"/>
        <w:spacing w:line="360" w:lineRule="auto"/>
        <w:ind w:left="720" w:hanging="720"/>
        <w:rPr>
          <w:rFonts w:ascii="Times New Roman" w:hAnsi="Times New Roman"/>
        </w:rPr>
      </w:pPr>
      <w:r w:rsidRPr="008E1C1E">
        <w:rPr>
          <w:rFonts w:ascii="Times New Roman" w:hAnsi="Times New Roman"/>
        </w:rPr>
        <w:t>5.</w:t>
      </w:r>
      <w:r w:rsidRPr="008E1C1E">
        <w:rPr>
          <w:rFonts w:ascii="Times New Roman" w:hAnsi="Times New Roman"/>
        </w:rPr>
        <w:tab/>
        <w:t>The Second Defendant is not in possession or control of the documents sought in subparagraphs [1] and [3] above and,</w:t>
      </w:r>
      <w:r w:rsidR="00495849" w:rsidRPr="008E1C1E">
        <w:rPr>
          <w:rFonts w:ascii="Times New Roman" w:hAnsi="Times New Roman"/>
        </w:rPr>
        <w:t xml:space="preserve"> despite a diligent and thorough search, neither the original requested documents nor copies thereof can be located.</w:t>
      </w:r>
    </w:p>
    <w:p w14:paraId="6F87711C" w14:textId="77777777" w:rsidR="00495849" w:rsidRPr="008E1C1E" w:rsidRDefault="00495849" w:rsidP="008E1C1E">
      <w:pPr>
        <w:pStyle w:val="LegalList1"/>
        <w:spacing w:line="360" w:lineRule="auto"/>
        <w:ind w:left="720" w:hanging="720"/>
        <w:rPr>
          <w:rFonts w:ascii="Times New Roman" w:hAnsi="Times New Roman"/>
        </w:rPr>
      </w:pPr>
      <w:r w:rsidRPr="008E1C1E">
        <w:rPr>
          <w:rFonts w:ascii="Times New Roman" w:hAnsi="Times New Roman"/>
        </w:rPr>
        <w:t>6.</w:t>
      </w:r>
      <w:r w:rsidRPr="008E1C1E">
        <w:rPr>
          <w:rFonts w:ascii="Times New Roman" w:hAnsi="Times New Roman"/>
        </w:rPr>
        <w:tab/>
        <w:t>In relation to the request recorded in paragraph [4] of the said notice, the documents sought are privileged, confidential and are subject to protection pursuant to inter alia the Protection of Personal Information Act, 2013. The plaintiff is accordingly not entitled to them.</w:t>
      </w:r>
    </w:p>
    <w:p w14:paraId="3A0B3F13" w14:textId="77777777" w:rsidR="00495849" w:rsidRPr="008E1C1E" w:rsidRDefault="00495849" w:rsidP="008E1C1E">
      <w:pPr>
        <w:pStyle w:val="LegalList1"/>
        <w:spacing w:line="360" w:lineRule="auto"/>
        <w:ind w:left="720" w:hanging="720"/>
        <w:rPr>
          <w:rFonts w:ascii="Times New Roman" w:hAnsi="Times New Roman"/>
        </w:rPr>
      </w:pPr>
      <w:r w:rsidRPr="008E1C1E">
        <w:rPr>
          <w:rFonts w:ascii="Times New Roman" w:hAnsi="Times New Roman"/>
        </w:rPr>
        <w:t>7.</w:t>
      </w:r>
      <w:r w:rsidRPr="008E1C1E">
        <w:rPr>
          <w:rFonts w:ascii="Times New Roman" w:hAnsi="Times New Roman"/>
        </w:rPr>
        <w:tab/>
        <w:t xml:space="preserve">In any event, Second Defendant is not in possession or control of the documents sought in subparagraph [4] </w:t>
      </w:r>
      <w:r w:rsidR="00874445">
        <w:rPr>
          <w:rFonts w:ascii="Times New Roman" w:hAnsi="Times New Roman"/>
        </w:rPr>
        <w:t xml:space="preserve">… </w:t>
      </w:r>
      <w:r w:rsidRPr="008E1C1E">
        <w:rPr>
          <w:rFonts w:ascii="Times New Roman" w:hAnsi="Times New Roman"/>
        </w:rPr>
        <w:t>and despite a diligent and thorough search, such documents cannot be located.’</w:t>
      </w:r>
    </w:p>
    <w:p w14:paraId="5C7F9823" w14:textId="32CD9149" w:rsidR="00D567B1" w:rsidRDefault="00194C69" w:rsidP="00194C69">
      <w:pPr>
        <w:pStyle w:val="LegalList1"/>
        <w:spacing w:line="360" w:lineRule="auto"/>
        <w:rPr>
          <w:rFonts w:ascii="Times New Roman" w:hAnsi="Times New Roman"/>
          <w:sz w:val="28"/>
          <w:szCs w:val="28"/>
        </w:rPr>
      </w:pPr>
      <w:r>
        <w:rPr>
          <w:rFonts w:ascii="Times New Roman" w:hAnsi="Times New Roman"/>
          <w:sz w:val="28"/>
          <w:szCs w:val="28"/>
        </w:rPr>
        <w:lastRenderedPageBreak/>
        <w:t>[6]</w:t>
      </w:r>
      <w:r>
        <w:rPr>
          <w:rFonts w:ascii="Times New Roman" w:hAnsi="Times New Roman"/>
          <w:sz w:val="28"/>
          <w:szCs w:val="28"/>
        </w:rPr>
        <w:tab/>
      </w:r>
      <w:r w:rsidR="00C31FD4">
        <w:rPr>
          <w:rFonts w:ascii="Times New Roman" w:hAnsi="Times New Roman"/>
          <w:sz w:val="28"/>
          <w:szCs w:val="28"/>
        </w:rPr>
        <w:t>Straightforwardly, the very simple issue for decision is whether the second defendant’s reply to the plaintiff’s notice complies with the provisions of rule 35(3)</w:t>
      </w:r>
      <w:r w:rsidR="00E43E75">
        <w:rPr>
          <w:rFonts w:ascii="Times New Roman" w:hAnsi="Times New Roman"/>
          <w:sz w:val="28"/>
          <w:szCs w:val="28"/>
        </w:rPr>
        <w:t xml:space="preserve"> (hereinafter </w:t>
      </w:r>
      <w:r w:rsidR="00710A01">
        <w:rPr>
          <w:rFonts w:ascii="Times New Roman" w:hAnsi="Times New Roman"/>
          <w:sz w:val="28"/>
          <w:szCs w:val="28"/>
        </w:rPr>
        <w:t>‘</w:t>
      </w:r>
      <w:r w:rsidR="00E43E75">
        <w:rPr>
          <w:rFonts w:ascii="Times New Roman" w:hAnsi="Times New Roman"/>
          <w:sz w:val="28"/>
          <w:szCs w:val="28"/>
        </w:rPr>
        <w:t>the rule</w:t>
      </w:r>
      <w:r w:rsidR="00710A01">
        <w:rPr>
          <w:rFonts w:ascii="Times New Roman" w:hAnsi="Times New Roman"/>
          <w:sz w:val="28"/>
          <w:szCs w:val="28"/>
        </w:rPr>
        <w:t>’</w:t>
      </w:r>
      <w:r w:rsidR="00E43E75">
        <w:rPr>
          <w:rFonts w:ascii="Times New Roman" w:hAnsi="Times New Roman"/>
          <w:sz w:val="28"/>
          <w:szCs w:val="28"/>
        </w:rPr>
        <w:t xml:space="preserve">, </w:t>
      </w:r>
      <w:r w:rsidR="00710A01">
        <w:rPr>
          <w:rFonts w:ascii="Times New Roman" w:hAnsi="Times New Roman"/>
          <w:sz w:val="28"/>
          <w:szCs w:val="28"/>
        </w:rPr>
        <w:t xml:space="preserve">where </w:t>
      </w:r>
      <w:r w:rsidR="001929E7">
        <w:rPr>
          <w:rFonts w:ascii="Times New Roman" w:hAnsi="Times New Roman"/>
          <w:sz w:val="28"/>
          <w:szCs w:val="28"/>
        </w:rPr>
        <w:t>contextually suitable</w:t>
      </w:r>
      <w:r w:rsidR="00E43E75">
        <w:rPr>
          <w:rFonts w:ascii="Times New Roman" w:hAnsi="Times New Roman"/>
          <w:sz w:val="28"/>
          <w:szCs w:val="28"/>
        </w:rPr>
        <w:t>)</w:t>
      </w:r>
      <w:r w:rsidR="00C31FD4">
        <w:rPr>
          <w:rFonts w:ascii="Times New Roman" w:hAnsi="Times New Roman"/>
          <w:sz w:val="28"/>
          <w:szCs w:val="28"/>
        </w:rPr>
        <w:t xml:space="preserve">. </w:t>
      </w:r>
      <w:r w:rsidR="001929E7">
        <w:rPr>
          <w:rFonts w:ascii="Times New Roman" w:hAnsi="Times New Roman"/>
          <w:sz w:val="28"/>
          <w:szCs w:val="28"/>
        </w:rPr>
        <w:t>T</w:t>
      </w:r>
      <w:r w:rsidR="00C31FD4">
        <w:rPr>
          <w:rFonts w:ascii="Times New Roman" w:hAnsi="Times New Roman"/>
          <w:sz w:val="28"/>
          <w:szCs w:val="28"/>
        </w:rPr>
        <w:t>he essential relief being claimed by the plaintiff is for an order directing the second defendant to comply with the provisions of the rule.</w:t>
      </w:r>
      <w:r w:rsidR="007262A2" w:rsidRPr="007262A2">
        <w:rPr>
          <w:rFonts w:ascii="Times New Roman" w:hAnsi="Times New Roman"/>
          <w:sz w:val="28"/>
          <w:szCs w:val="28"/>
        </w:rPr>
        <w:t xml:space="preserve"> </w:t>
      </w:r>
      <w:r w:rsidR="00AF2C08">
        <w:rPr>
          <w:rFonts w:ascii="Times New Roman" w:hAnsi="Times New Roman"/>
          <w:sz w:val="28"/>
          <w:szCs w:val="28"/>
        </w:rPr>
        <w:t>I</w:t>
      </w:r>
      <w:r w:rsidR="005833ED">
        <w:rPr>
          <w:rFonts w:ascii="Times New Roman" w:hAnsi="Times New Roman"/>
          <w:sz w:val="28"/>
          <w:szCs w:val="28"/>
        </w:rPr>
        <w:t>n addition</w:t>
      </w:r>
      <w:r w:rsidR="00AF2C08">
        <w:rPr>
          <w:rFonts w:ascii="Times New Roman" w:hAnsi="Times New Roman"/>
          <w:sz w:val="28"/>
          <w:szCs w:val="28"/>
        </w:rPr>
        <w:t>,</w:t>
      </w:r>
      <w:r w:rsidR="00AF2C08" w:rsidRPr="00AF2C08">
        <w:rPr>
          <w:rFonts w:ascii="Times New Roman" w:hAnsi="Times New Roman"/>
          <w:sz w:val="28"/>
          <w:szCs w:val="28"/>
        </w:rPr>
        <w:t xml:space="preserve"> </w:t>
      </w:r>
      <w:r w:rsidR="00AF2C08">
        <w:rPr>
          <w:rFonts w:ascii="Times New Roman" w:hAnsi="Times New Roman"/>
          <w:sz w:val="28"/>
          <w:szCs w:val="28"/>
        </w:rPr>
        <w:t>the plaintiff</w:t>
      </w:r>
      <w:r w:rsidR="005833ED">
        <w:rPr>
          <w:rFonts w:ascii="Times New Roman" w:hAnsi="Times New Roman"/>
          <w:sz w:val="28"/>
          <w:szCs w:val="28"/>
        </w:rPr>
        <w:t xml:space="preserve"> seeks condonation for its recourse to rule 30A as opposed to rule 35(7). Nothing turns on this </w:t>
      </w:r>
      <w:r w:rsidR="00B45C72">
        <w:rPr>
          <w:rFonts w:ascii="Times New Roman" w:hAnsi="Times New Roman"/>
          <w:sz w:val="28"/>
          <w:szCs w:val="28"/>
        </w:rPr>
        <w:t xml:space="preserve">and </w:t>
      </w:r>
      <w:r w:rsidR="005833ED">
        <w:rPr>
          <w:rFonts w:ascii="Times New Roman" w:hAnsi="Times New Roman"/>
          <w:sz w:val="28"/>
          <w:szCs w:val="28"/>
        </w:rPr>
        <w:t xml:space="preserve">since the relief </w:t>
      </w:r>
      <w:r w:rsidR="00065E0F">
        <w:rPr>
          <w:rFonts w:ascii="Times New Roman" w:hAnsi="Times New Roman"/>
          <w:sz w:val="28"/>
          <w:szCs w:val="28"/>
        </w:rPr>
        <w:t xml:space="preserve">contemplated </w:t>
      </w:r>
      <w:r w:rsidR="005833ED">
        <w:rPr>
          <w:rFonts w:ascii="Times New Roman" w:hAnsi="Times New Roman"/>
          <w:sz w:val="28"/>
          <w:szCs w:val="28"/>
        </w:rPr>
        <w:t>in each of these rules is similar</w:t>
      </w:r>
      <w:r w:rsidR="00B45C72">
        <w:rPr>
          <w:rFonts w:ascii="Times New Roman" w:hAnsi="Times New Roman"/>
          <w:sz w:val="28"/>
          <w:szCs w:val="28"/>
        </w:rPr>
        <w:t xml:space="preserve"> </w:t>
      </w:r>
      <w:r w:rsidR="00AF2C08">
        <w:rPr>
          <w:rFonts w:ascii="Times New Roman" w:hAnsi="Times New Roman"/>
          <w:sz w:val="28"/>
          <w:szCs w:val="28"/>
        </w:rPr>
        <w:t xml:space="preserve">it is </w:t>
      </w:r>
      <w:r w:rsidR="00B45C72">
        <w:rPr>
          <w:rFonts w:ascii="Times New Roman" w:hAnsi="Times New Roman"/>
          <w:sz w:val="28"/>
          <w:szCs w:val="28"/>
        </w:rPr>
        <w:t>consider</w:t>
      </w:r>
      <w:r w:rsidR="00AF2C08">
        <w:rPr>
          <w:rFonts w:ascii="Times New Roman" w:hAnsi="Times New Roman"/>
          <w:sz w:val="28"/>
          <w:szCs w:val="28"/>
        </w:rPr>
        <w:t>ed</w:t>
      </w:r>
      <w:r w:rsidR="00B45C72">
        <w:rPr>
          <w:rFonts w:ascii="Times New Roman" w:hAnsi="Times New Roman"/>
          <w:sz w:val="28"/>
          <w:szCs w:val="28"/>
        </w:rPr>
        <w:t xml:space="preserve"> that the necessity for seeking condonation does not arise</w:t>
      </w:r>
      <w:r w:rsidR="005833ED">
        <w:rPr>
          <w:rFonts w:ascii="Times New Roman" w:hAnsi="Times New Roman"/>
          <w:sz w:val="28"/>
          <w:szCs w:val="28"/>
        </w:rPr>
        <w:t>.</w:t>
      </w:r>
    </w:p>
    <w:p w14:paraId="25FC678F" w14:textId="20C7F9F9" w:rsidR="00C31FD4" w:rsidRDefault="00194C69" w:rsidP="00194C69">
      <w:pPr>
        <w:pStyle w:val="LegalList1"/>
        <w:spacing w:line="360" w:lineRule="auto"/>
        <w:rPr>
          <w:rFonts w:ascii="Times New Roman" w:hAnsi="Times New Roman"/>
          <w:sz w:val="28"/>
          <w:szCs w:val="28"/>
        </w:rPr>
      </w:pPr>
      <w:r>
        <w:rPr>
          <w:rFonts w:ascii="Times New Roman" w:hAnsi="Times New Roman"/>
          <w:sz w:val="28"/>
          <w:szCs w:val="28"/>
        </w:rPr>
        <w:t>[7]</w:t>
      </w:r>
      <w:r>
        <w:rPr>
          <w:rFonts w:ascii="Times New Roman" w:hAnsi="Times New Roman"/>
          <w:sz w:val="28"/>
          <w:szCs w:val="28"/>
        </w:rPr>
        <w:tab/>
      </w:r>
      <w:r w:rsidR="007262A2">
        <w:rPr>
          <w:rFonts w:ascii="Times New Roman" w:hAnsi="Times New Roman"/>
          <w:sz w:val="28"/>
          <w:szCs w:val="28"/>
        </w:rPr>
        <w:t>The detailed background to the matter is set out in the papers before me. To repeat the material at length would be an unneeded exercise – it is intended to say what is only considered absolutely necessary for resolving the issue.</w:t>
      </w:r>
    </w:p>
    <w:p w14:paraId="5F1DA18E" w14:textId="13EDB1BA" w:rsidR="00FA3EA2" w:rsidRDefault="00194C69" w:rsidP="00194C69">
      <w:pPr>
        <w:pStyle w:val="LegalList1"/>
        <w:spacing w:after="0" w:line="360" w:lineRule="auto"/>
        <w:rPr>
          <w:rFonts w:ascii="Times New Roman" w:hAnsi="Times New Roman"/>
          <w:sz w:val="28"/>
          <w:szCs w:val="28"/>
        </w:rPr>
      </w:pPr>
      <w:r>
        <w:rPr>
          <w:rFonts w:ascii="Times New Roman" w:hAnsi="Times New Roman"/>
          <w:sz w:val="28"/>
          <w:szCs w:val="28"/>
        </w:rPr>
        <w:t>[8]</w:t>
      </w:r>
      <w:r>
        <w:rPr>
          <w:rFonts w:ascii="Times New Roman" w:hAnsi="Times New Roman"/>
          <w:sz w:val="28"/>
          <w:szCs w:val="28"/>
        </w:rPr>
        <w:tab/>
      </w:r>
      <w:r w:rsidR="00BB3C80">
        <w:rPr>
          <w:rFonts w:ascii="Times New Roman" w:hAnsi="Times New Roman"/>
          <w:sz w:val="28"/>
          <w:szCs w:val="28"/>
        </w:rPr>
        <w:t>Rule 35(3)</w:t>
      </w:r>
      <w:r w:rsidR="00377F67">
        <w:rPr>
          <w:rFonts w:ascii="Times New Roman" w:hAnsi="Times New Roman"/>
          <w:sz w:val="28"/>
          <w:szCs w:val="28"/>
        </w:rPr>
        <w:t xml:space="preserve"> entitles a party who believes that, in addition to documents discovered under rule 35(2), there are other documents in the possession of the other party which may be relevant to any matter in question, to give notice to require the other party</w:t>
      </w:r>
      <w:r w:rsidR="004B7809">
        <w:rPr>
          <w:rFonts w:ascii="Times New Roman" w:hAnsi="Times New Roman"/>
          <w:sz w:val="28"/>
          <w:szCs w:val="28"/>
        </w:rPr>
        <w:t xml:space="preserve"> to make such additional documents available for inspectio</w:t>
      </w:r>
      <w:r w:rsidR="000B7FF6">
        <w:rPr>
          <w:rFonts w:ascii="Times New Roman" w:hAnsi="Times New Roman"/>
          <w:sz w:val="28"/>
          <w:szCs w:val="28"/>
        </w:rPr>
        <w:t>n in accordance with rule 35(6),</w:t>
      </w:r>
      <w:r w:rsidR="00346954">
        <w:rPr>
          <w:rStyle w:val="FootnoteReference"/>
          <w:rFonts w:ascii="Times New Roman" w:hAnsi="Times New Roman"/>
          <w:sz w:val="28"/>
          <w:szCs w:val="28"/>
        </w:rPr>
        <w:footnoteReference w:id="1"/>
      </w:r>
    </w:p>
    <w:p w14:paraId="0ECB9ECE" w14:textId="77777777" w:rsidR="004B7809" w:rsidRPr="000B7FF6" w:rsidRDefault="004B7809" w:rsidP="000B7FF6">
      <w:pPr>
        <w:pStyle w:val="LegalList1"/>
        <w:spacing w:line="360" w:lineRule="auto"/>
        <w:rPr>
          <w:rFonts w:ascii="Times New Roman" w:hAnsi="Times New Roman"/>
        </w:rPr>
      </w:pPr>
      <w:r w:rsidRPr="000B7FF6">
        <w:rPr>
          <w:rFonts w:ascii="Times New Roman" w:hAnsi="Times New Roman"/>
        </w:rPr>
        <w:t>‘ … or to state on oath within 10 days that such documents or tape recordings are not in such party’s possession, in which event the party making the disclosure</w:t>
      </w:r>
      <w:r w:rsidR="000B7FF6" w:rsidRPr="000B7FF6">
        <w:rPr>
          <w:rFonts w:ascii="Times New Roman" w:hAnsi="Times New Roman"/>
        </w:rPr>
        <w:t xml:space="preserve"> shall state their whereabouts if known…’</w:t>
      </w:r>
    </w:p>
    <w:p w14:paraId="3497ECA0" w14:textId="4CB9EE09" w:rsidR="008A117F" w:rsidRDefault="00194C69" w:rsidP="00194C69">
      <w:pPr>
        <w:pStyle w:val="LegalList1"/>
        <w:spacing w:line="360" w:lineRule="auto"/>
        <w:rPr>
          <w:rFonts w:ascii="Times New Roman" w:hAnsi="Times New Roman"/>
          <w:sz w:val="28"/>
          <w:szCs w:val="28"/>
        </w:rPr>
      </w:pPr>
      <w:r>
        <w:rPr>
          <w:rFonts w:ascii="Times New Roman" w:hAnsi="Times New Roman"/>
          <w:sz w:val="28"/>
          <w:szCs w:val="28"/>
        </w:rPr>
        <w:t>[9]</w:t>
      </w:r>
      <w:r>
        <w:rPr>
          <w:rFonts w:ascii="Times New Roman" w:hAnsi="Times New Roman"/>
          <w:sz w:val="28"/>
          <w:szCs w:val="28"/>
        </w:rPr>
        <w:tab/>
      </w:r>
      <w:r w:rsidR="000D73A6">
        <w:rPr>
          <w:rFonts w:ascii="Times New Roman" w:hAnsi="Times New Roman"/>
          <w:sz w:val="28"/>
          <w:szCs w:val="28"/>
        </w:rPr>
        <w:t xml:space="preserve">The </w:t>
      </w:r>
      <w:r w:rsidR="000F4812">
        <w:rPr>
          <w:rFonts w:ascii="Times New Roman" w:hAnsi="Times New Roman"/>
          <w:sz w:val="28"/>
          <w:szCs w:val="28"/>
        </w:rPr>
        <w:t xml:space="preserve">aforementioned </w:t>
      </w:r>
      <w:r w:rsidR="00C0622C">
        <w:rPr>
          <w:rFonts w:ascii="Times New Roman" w:hAnsi="Times New Roman"/>
          <w:sz w:val="28"/>
          <w:szCs w:val="28"/>
        </w:rPr>
        <w:t xml:space="preserve">affidavit </w:t>
      </w:r>
      <w:r w:rsidR="000D73A6">
        <w:rPr>
          <w:rFonts w:ascii="Times New Roman" w:hAnsi="Times New Roman"/>
          <w:sz w:val="28"/>
          <w:szCs w:val="28"/>
        </w:rPr>
        <w:t xml:space="preserve">prompted </w:t>
      </w:r>
      <w:r w:rsidR="000943E1">
        <w:rPr>
          <w:rFonts w:ascii="Times New Roman" w:hAnsi="Times New Roman"/>
          <w:sz w:val="28"/>
          <w:szCs w:val="28"/>
        </w:rPr>
        <w:t xml:space="preserve">the plaintiff to file </w:t>
      </w:r>
      <w:r w:rsidR="00BE2081">
        <w:rPr>
          <w:rFonts w:ascii="Times New Roman" w:hAnsi="Times New Roman"/>
          <w:sz w:val="28"/>
          <w:szCs w:val="28"/>
        </w:rPr>
        <w:t>a notice in terms of rule 30A</w:t>
      </w:r>
      <w:r w:rsidR="002A3CD2">
        <w:rPr>
          <w:rFonts w:ascii="Times New Roman" w:hAnsi="Times New Roman"/>
          <w:sz w:val="28"/>
          <w:szCs w:val="28"/>
        </w:rPr>
        <w:t xml:space="preserve"> in which </w:t>
      </w:r>
      <w:r w:rsidR="00131C3A">
        <w:rPr>
          <w:rFonts w:ascii="Times New Roman" w:hAnsi="Times New Roman"/>
          <w:sz w:val="28"/>
          <w:szCs w:val="28"/>
        </w:rPr>
        <w:t>it</w:t>
      </w:r>
      <w:r w:rsidR="002A3CD2">
        <w:rPr>
          <w:rFonts w:ascii="Times New Roman" w:hAnsi="Times New Roman"/>
          <w:sz w:val="28"/>
          <w:szCs w:val="28"/>
        </w:rPr>
        <w:t xml:space="preserve"> </w:t>
      </w:r>
      <w:r w:rsidR="007519DC">
        <w:rPr>
          <w:rFonts w:ascii="Times New Roman" w:hAnsi="Times New Roman"/>
          <w:sz w:val="28"/>
          <w:szCs w:val="28"/>
        </w:rPr>
        <w:t xml:space="preserve">contends </w:t>
      </w:r>
      <w:r w:rsidR="002A3CD2">
        <w:rPr>
          <w:rFonts w:ascii="Times New Roman" w:hAnsi="Times New Roman"/>
          <w:sz w:val="28"/>
          <w:szCs w:val="28"/>
        </w:rPr>
        <w:t xml:space="preserve">that the second defendant’s </w:t>
      </w:r>
      <w:r w:rsidR="007519DC">
        <w:rPr>
          <w:rFonts w:ascii="Times New Roman" w:hAnsi="Times New Roman"/>
          <w:sz w:val="28"/>
          <w:szCs w:val="28"/>
        </w:rPr>
        <w:t xml:space="preserve">answer </w:t>
      </w:r>
      <w:r w:rsidR="00DD2917">
        <w:rPr>
          <w:rFonts w:ascii="Times New Roman" w:hAnsi="Times New Roman"/>
          <w:sz w:val="28"/>
          <w:szCs w:val="28"/>
        </w:rPr>
        <w:t xml:space="preserve">constitutes </w:t>
      </w:r>
      <w:r w:rsidR="002A3CD2">
        <w:rPr>
          <w:rFonts w:ascii="Times New Roman" w:hAnsi="Times New Roman"/>
          <w:sz w:val="28"/>
          <w:szCs w:val="28"/>
        </w:rPr>
        <w:t xml:space="preserve">non-compliance </w:t>
      </w:r>
      <w:r w:rsidR="00640846">
        <w:rPr>
          <w:rFonts w:ascii="Times New Roman" w:hAnsi="Times New Roman"/>
          <w:sz w:val="28"/>
          <w:szCs w:val="28"/>
        </w:rPr>
        <w:t>with rule 35(3)</w:t>
      </w:r>
      <w:r w:rsidR="00131C3A">
        <w:rPr>
          <w:rFonts w:ascii="Times New Roman" w:hAnsi="Times New Roman"/>
          <w:sz w:val="28"/>
          <w:szCs w:val="28"/>
        </w:rPr>
        <w:t>.</w:t>
      </w:r>
    </w:p>
    <w:p w14:paraId="435D7AE9" w14:textId="2FB84EF6" w:rsidR="00984E79" w:rsidRDefault="00194C69" w:rsidP="00194C69">
      <w:pPr>
        <w:pStyle w:val="LegalList1"/>
        <w:spacing w:after="0" w:line="360" w:lineRule="auto"/>
        <w:rPr>
          <w:rFonts w:ascii="Times New Roman" w:hAnsi="Times New Roman"/>
          <w:sz w:val="28"/>
          <w:szCs w:val="28"/>
        </w:rPr>
      </w:pPr>
      <w:r>
        <w:rPr>
          <w:rFonts w:ascii="Times New Roman" w:hAnsi="Times New Roman"/>
          <w:sz w:val="28"/>
          <w:szCs w:val="28"/>
        </w:rPr>
        <w:t>[10]</w:t>
      </w:r>
      <w:r>
        <w:rPr>
          <w:rFonts w:ascii="Times New Roman" w:hAnsi="Times New Roman"/>
          <w:sz w:val="28"/>
          <w:szCs w:val="28"/>
        </w:rPr>
        <w:tab/>
      </w:r>
      <w:r w:rsidR="00131C3A">
        <w:rPr>
          <w:rFonts w:ascii="Times New Roman" w:hAnsi="Times New Roman"/>
          <w:sz w:val="28"/>
          <w:szCs w:val="28"/>
        </w:rPr>
        <w:t xml:space="preserve">In summary the plaintiff’s </w:t>
      </w:r>
      <w:r w:rsidR="00640846">
        <w:rPr>
          <w:rFonts w:ascii="Times New Roman" w:hAnsi="Times New Roman"/>
          <w:sz w:val="28"/>
          <w:szCs w:val="28"/>
        </w:rPr>
        <w:t xml:space="preserve"> </w:t>
      </w:r>
      <w:r w:rsidR="00131C3A">
        <w:rPr>
          <w:rFonts w:ascii="Times New Roman" w:hAnsi="Times New Roman"/>
          <w:sz w:val="28"/>
          <w:szCs w:val="28"/>
        </w:rPr>
        <w:t>complaint</w:t>
      </w:r>
      <w:r w:rsidR="00EA548F">
        <w:rPr>
          <w:rFonts w:ascii="Times New Roman" w:hAnsi="Times New Roman"/>
          <w:sz w:val="28"/>
          <w:szCs w:val="28"/>
        </w:rPr>
        <w:t xml:space="preserve"> is that</w:t>
      </w:r>
      <w:r w:rsidR="00131C3A">
        <w:rPr>
          <w:rFonts w:ascii="Times New Roman" w:hAnsi="Times New Roman"/>
          <w:sz w:val="28"/>
          <w:szCs w:val="28"/>
        </w:rPr>
        <w:t xml:space="preserve">: </w:t>
      </w:r>
    </w:p>
    <w:p w14:paraId="74410CBD" w14:textId="77777777" w:rsidR="00D7070A" w:rsidRDefault="004215FD" w:rsidP="00984E79">
      <w:pPr>
        <w:pStyle w:val="LegalList1"/>
        <w:spacing w:after="0" w:line="360" w:lineRule="auto"/>
        <w:rPr>
          <w:rFonts w:ascii="Times New Roman" w:hAnsi="Times New Roman"/>
          <w:sz w:val="28"/>
          <w:szCs w:val="28"/>
        </w:rPr>
      </w:pPr>
      <w:r>
        <w:rPr>
          <w:rFonts w:ascii="Times New Roman" w:hAnsi="Times New Roman"/>
          <w:sz w:val="28"/>
          <w:szCs w:val="28"/>
        </w:rPr>
        <w:t>10</w:t>
      </w:r>
      <w:r w:rsidR="003B6E4B">
        <w:rPr>
          <w:rFonts w:ascii="Times New Roman" w:hAnsi="Times New Roman"/>
          <w:sz w:val="28"/>
          <w:szCs w:val="28"/>
        </w:rPr>
        <w:t>.1</w:t>
      </w:r>
      <w:r w:rsidR="003B6E4B">
        <w:rPr>
          <w:rFonts w:ascii="Times New Roman" w:hAnsi="Times New Roman"/>
          <w:sz w:val="28"/>
          <w:szCs w:val="28"/>
        </w:rPr>
        <w:tab/>
      </w:r>
      <w:r w:rsidR="004D6842" w:rsidRPr="003B6E4B">
        <w:rPr>
          <w:rFonts w:ascii="Times New Roman" w:hAnsi="Times New Roman"/>
          <w:sz w:val="28"/>
          <w:szCs w:val="28"/>
        </w:rPr>
        <w:t xml:space="preserve">the second defendant having </w:t>
      </w:r>
      <w:r w:rsidR="00286161">
        <w:rPr>
          <w:rFonts w:ascii="Times New Roman" w:hAnsi="Times New Roman"/>
          <w:sz w:val="28"/>
          <w:szCs w:val="28"/>
        </w:rPr>
        <w:t xml:space="preserve">indicated </w:t>
      </w:r>
      <w:r w:rsidR="004D6842" w:rsidRPr="003B6E4B">
        <w:rPr>
          <w:rFonts w:ascii="Times New Roman" w:hAnsi="Times New Roman"/>
          <w:sz w:val="28"/>
          <w:szCs w:val="28"/>
        </w:rPr>
        <w:t xml:space="preserve">that it is not in possession or in control of the documents identified in paragraphs 1, 3, and 4 of the plaintiff’s </w:t>
      </w:r>
      <w:r w:rsidR="004D6842" w:rsidRPr="003B6E4B">
        <w:rPr>
          <w:rFonts w:ascii="Times New Roman" w:hAnsi="Times New Roman"/>
          <w:sz w:val="28"/>
          <w:szCs w:val="28"/>
        </w:rPr>
        <w:lastRenderedPageBreak/>
        <w:t xml:space="preserve">notice, failed to disclose whether the whereabouts </w:t>
      </w:r>
      <w:r w:rsidR="00536DF3">
        <w:rPr>
          <w:rFonts w:ascii="Times New Roman" w:hAnsi="Times New Roman"/>
          <w:sz w:val="28"/>
          <w:szCs w:val="28"/>
        </w:rPr>
        <w:t xml:space="preserve">of the </w:t>
      </w:r>
      <w:r w:rsidR="00286161">
        <w:rPr>
          <w:rFonts w:ascii="Times New Roman" w:hAnsi="Times New Roman"/>
          <w:sz w:val="28"/>
          <w:szCs w:val="28"/>
        </w:rPr>
        <w:t xml:space="preserve">documents </w:t>
      </w:r>
      <w:r w:rsidR="004D6842" w:rsidRPr="003B6E4B">
        <w:rPr>
          <w:rFonts w:ascii="Times New Roman" w:hAnsi="Times New Roman"/>
          <w:sz w:val="28"/>
          <w:szCs w:val="28"/>
        </w:rPr>
        <w:t xml:space="preserve">are known to </w:t>
      </w:r>
      <w:r w:rsidR="008A117F">
        <w:rPr>
          <w:rFonts w:ascii="Times New Roman" w:hAnsi="Times New Roman"/>
          <w:sz w:val="28"/>
          <w:szCs w:val="28"/>
        </w:rPr>
        <w:t>the second defendant</w:t>
      </w:r>
      <w:r w:rsidR="004D6842" w:rsidRPr="003B6E4B">
        <w:rPr>
          <w:rFonts w:ascii="Times New Roman" w:hAnsi="Times New Roman"/>
          <w:sz w:val="28"/>
          <w:szCs w:val="28"/>
        </w:rPr>
        <w:t xml:space="preserve">; </w:t>
      </w:r>
    </w:p>
    <w:p w14:paraId="7E92B587" w14:textId="77777777" w:rsidR="00B054CA" w:rsidRDefault="004215FD" w:rsidP="003B6E4B">
      <w:pPr>
        <w:pStyle w:val="LegalList1"/>
        <w:spacing w:line="360" w:lineRule="auto"/>
        <w:rPr>
          <w:rFonts w:ascii="Times New Roman" w:hAnsi="Times New Roman"/>
          <w:sz w:val="28"/>
          <w:szCs w:val="28"/>
        </w:rPr>
      </w:pPr>
      <w:r>
        <w:rPr>
          <w:rFonts w:ascii="Times New Roman" w:hAnsi="Times New Roman"/>
          <w:sz w:val="28"/>
          <w:szCs w:val="28"/>
        </w:rPr>
        <w:t>10</w:t>
      </w:r>
      <w:r w:rsidR="003B6E4B">
        <w:rPr>
          <w:rFonts w:ascii="Times New Roman" w:hAnsi="Times New Roman"/>
          <w:sz w:val="28"/>
          <w:szCs w:val="28"/>
        </w:rPr>
        <w:t>.2</w:t>
      </w:r>
      <w:r w:rsidR="003B6E4B">
        <w:rPr>
          <w:rFonts w:ascii="Times New Roman" w:hAnsi="Times New Roman"/>
          <w:sz w:val="28"/>
          <w:szCs w:val="28"/>
        </w:rPr>
        <w:tab/>
      </w:r>
      <w:r w:rsidR="008C3A8B">
        <w:rPr>
          <w:rFonts w:ascii="Times New Roman" w:hAnsi="Times New Roman"/>
          <w:sz w:val="28"/>
          <w:szCs w:val="28"/>
        </w:rPr>
        <w:t xml:space="preserve">with regard to </w:t>
      </w:r>
      <w:r w:rsidR="009F37DE" w:rsidRPr="0096572A">
        <w:rPr>
          <w:rFonts w:ascii="Times New Roman" w:hAnsi="Times New Roman"/>
          <w:sz w:val="28"/>
          <w:szCs w:val="28"/>
        </w:rPr>
        <w:t>the documents identified in paragraph 4 of the plaintiff’</w:t>
      </w:r>
      <w:r w:rsidR="00B054CA">
        <w:rPr>
          <w:rFonts w:ascii="Times New Roman" w:hAnsi="Times New Roman"/>
          <w:sz w:val="28"/>
          <w:szCs w:val="28"/>
        </w:rPr>
        <w:t>s notice</w:t>
      </w:r>
      <w:r w:rsidR="009F37DE" w:rsidRPr="0096572A">
        <w:rPr>
          <w:rFonts w:ascii="Times New Roman" w:hAnsi="Times New Roman"/>
          <w:sz w:val="28"/>
          <w:szCs w:val="28"/>
        </w:rPr>
        <w:t xml:space="preserve"> </w:t>
      </w:r>
      <w:r w:rsidR="00A56AB9" w:rsidRPr="0096572A">
        <w:rPr>
          <w:rFonts w:ascii="Times New Roman" w:hAnsi="Times New Roman"/>
          <w:sz w:val="28"/>
          <w:szCs w:val="28"/>
        </w:rPr>
        <w:t>the</w:t>
      </w:r>
      <w:r w:rsidR="002570C8">
        <w:rPr>
          <w:rFonts w:ascii="Times New Roman" w:hAnsi="Times New Roman"/>
          <w:sz w:val="28"/>
          <w:szCs w:val="28"/>
        </w:rPr>
        <w:t xml:space="preserve">re is </w:t>
      </w:r>
      <w:r w:rsidR="00527E9C">
        <w:rPr>
          <w:rFonts w:ascii="Times New Roman" w:hAnsi="Times New Roman"/>
          <w:sz w:val="28"/>
          <w:szCs w:val="28"/>
        </w:rPr>
        <w:t>in the first instance</w:t>
      </w:r>
      <w:r w:rsidR="00C73A72">
        <w:rPr>
          <w:rFonts w:ascii="Times New Roman" w:hAnsi="Times New Roman"/>
          <w:sz w:val="28"/>
          <w:szCs w:val="28"/>
        </w:rPr>
        <w:t xml:space="preserve">, </w:t>
      </w:r>
      <w:r w:rsidR="002570C8">
        <w:rPr>
          <w:rFonts w:ascii="Times New Roman" w:hAnsi="Times New Roman"/>
          <w:sz w:val="28"/>
          <w:szCs w:val="28"/>
        </w:rPr>
        <w:t>a contradiction between the</w:t>
      </w:r>
      <w:r w:rsidR="00A56AB9" w:rsidRPr="0096572A">
        <w:rPr>
          <w:rFonts w:ascii="Times New Roman" w:hAnsi="Times New Roman"/>
          <w:sz w:val="28"/>
          <w:szCs w:val="28"/>
        </w:rPr>
        <w:t xml:space="preserve"> second defendant</w:t>
      </w:r>
      <w:r w:rsidR="002570C8">
        <w:rPr>
          <w:rFonts w:ascii="Times New Roman" w:hAnsi="Times New Roman"/>
          <w:sz w:val="28"/>
          <w:szCs w:val="28"/>
        </w:rPr>
        <w:t>’s</w:t>
      </w:r>
      <w:r w:rsidR="008176F6" w:rsidRPr="0096572A">
        <w:rPr>
          <w:rFonts w:ascii="Times New Roman" w:hAnsi="Times New Roman"/>
          <w:sz w:val="28"/>
          <w:szCs w:val="28"/>
        </w:rPr>
        <w:t xml:space="preserve"> claim</w:t>
      </w:r>
      <w:r w:rsidR="002570C8">
        <w:rPr>
          <w:rFonts w:ascii="Times New Roman" w:hAnsi="Times New Roman"/>
          <w:sz w:val="28"/>
          <w:szCs w:val="28"/>
        </w:rPr>
        <w:t xml:space="preserve"> to</w:t>
      </w:r>
      <w:r w:rsidR="008176F6" w:rsidRPr="0096572A">
        <w:rPr>
          <w:rFonts w:ascii="Times New Roman" w:hAnsi="Times New Roman"/>
          <w:sz w:val="28"/>
          <w:szCs w:val="28"/>
        </w:rPr>
        <w:t xml:space="preserve"> privilege in terms of the Protection of Personal Information Act</w:t>
      </w:r>
      <w:r w:rsidR="008176F6">
        <w:rPr>
          <w:rStyle w:val="FootnoteReference"/>
          <w:rFonts w:ascii="Times New Roman" w:hAnsi="Times New Roman"/>
          <w:sz w:val="28"/>
          <w:szCs w:val="28"/>
        </w:rPr>
        <w:footnoteReference w:id="2"/>
      </w:r>
      <w:r w:rsidR="004A0278" w:rsidRPr="0096572A">
        <w:rPr>
          <w:rFonts w:ascii="Times New Roman" w:hAnsi="Times New Roman"/>
          <w:sz w:val="28"/>
          <w:szCs w:val="28"/>
        </w:rPr>
        <w:t xml:space="preserve"> </w:t>
      </w:r>
      <w:r w:rsidR="002570C8">
        <w:rPr>
          <w:rFonts w:ascii="Times New Roman" w:hAnsi="Times New Roman"/>
          <w:sz w:val="28"/>
          <w:szCs w:val="28"/>
        </w:rPr>
        <w:t xml:space="preserve">and its affirmation </w:t>
      </w:r>
      <w:r w:rsidR="008176F6" w:rsidRPr="0096572A">
        <w:rPr>
          <w:rFonts w:ascii="Times New Roman" w:hAnsi="Times New Roman"/>
          <w:sz w:val="28"/>
          <w:szCs w:val="28"/>
        </w:rPr>
        <w:t>that it is not in possession or in control of th</w:t>
      </w:r>
      <w:r w:rsidR="00B054CA">
        <w:rPr>
          <w:rFonts w:ascii="Times New Roman" w:hAnsi="Times New Roman"/>
          <w:sz w:val="28"/>
          <w:szCs w:val="28"/>
        </w:rPr>
        <w:t>ose</w:t>
      </w:r>
      <w:r w:rsidR="008176F6" w:rsidRPr="0096572A">
        <w:rPr>
          <w:rFonts w:ascii="Times New Roman" w:hAnsi="Times New Roman"/>
          <w:sz w:val="28"/>
          <w:szCs w:val="28"/>
        </w:rPr>
        <w:t xml:space="preserve"> documents</w:t>
      </w:r>
      <w:r w:rsidR="00B054CA">
        <w:rPr>
          <w:rFonts w:ascii="Times New Roman" w:hAnsi="Times New Roman"/>
          <w:sz w:val="28"/>
          <w:szCs w:val="28"/>
        </w:rPr>
        <w:t xml:space="preserve">; and </w:t>
      </w:r>
      <w:r w:rsidR="00527E9C">
        <w:rPr>
          <w:rFonts w:ascii="Times New Roman" w:hAnsi="Times New Roman"/>
          <w:sz w:val="28"/>
          <w:szCs w:val="28"/>
        </w:rPr>
        <w:t>in the second instance,</w:t>
      </w:r>
      <w:r w:rsidR="00A33FC5">
        <w:rPr>
          <w:rFonts w:ascii="Times New Roman" w:hAnsi="Times New Roman"/>
          <w:sz w:val="28"/>
          <w:szCs w:val="28"/>
        </w:rPr>
        <w:t xml:space="preserve"> the</w:t>
      </w:r>
      <w:r w:rsidR="00EB0D1F">
        <w:rPr>
          <w:rFonts w:ascii="Times New Roman" w:hAnsi="Times New Roman"/>
          <w:sz w:val="28"/>
          <w:szCs w:val="28"/>
        </w:rPr>
        <w:t>re has been a failure</w:t>
      </w:r>
      <w:r w:rsidR="00A33FC5">
        <w:rPr>
          <w:rFonts w:ascii="Times New Roman" w:hAnsi="Times New Roman"/>
          <w:sz w:val="28"/>
          <w:szCs w:val="28"/>
        </w:rPr>
        <w:t xml:space="preserve"> to </w:t>
      </w:r>
      <w:r w:rsidR="00A33FC5" w:rsidRPr="0096572A">
        <w:rPr>
          <w:rFonts w:ascii="Times New Roman" w:hAnsi="Times New Roman"/>
          <w:sz w:val="28"/>
          <w:szCs w:val="28"/>
        </w:rPr>
        <w:t>sufficiently disclose the reasons</w:t>
      </w:r>
      <w:r w:rsidR="00E17AB4">
        <w:rPr>
          <w:rStyle w:val="FootnoteReference"/>
          <w:rFonts w:ascii="Times New Roman" w:hAnsi="Times New Roman"/>
          <w:sz w:val="28"/>
          <w:szCs w:val="28"/>
        </w:rPr>
        <w:footnoteReference w:id="3"/>
      </w:r>
      <w:r w:rsidR="00502085">
        <w:rPr>
          <w:rFonts w:ascii="Times New Roman" w:hAnsi="Times New Roman"/>
          <w:sz w:val="28"/>
          <w:szCs w:val="28"/>
        </w:rPr>
        <w:t xml:space="preserve"> for asserting privilege under the Act.</w:t>
      </w:r>
    </w:p>
    <w:p w14:paraId="5D4AFA72" w14:textId="7AFBFA25" w:rsidR="00EA548F" w:rsidRDefault="00194C69" w:rsidP="00194C69">
      <w:pPr>
        <w:pStyle w:val="LegalList1"/>
        <w:spacing w:line="360" w:lineRule="auto"/>
        <w:rPr>
          <w:rFonts w:ascii="Times New Roman" w:hAnsi="Times New Roman"/>
          <w:sz w:val="28"/>
          <w:szCs w:val="28"/>
        </w:rPr>
      </w:pPr>
      <w:r>
        <w:rPr>
          <w:rFonts w:ascii="Times New Roman" w:hAnsi="Times New Roman"/>
          <w:sz w:val="28"/>
          <w:szCs w:val="28"/>
        </w:rPr>
        <w:t>[11]</w:t>
      </w:r>
      <w:r>
        <w:rPr>
          <w:rFonts w:ascii="Times New Roman" w:hAnsi="Times New Roman"/>
          <w:sz w:val="28"/>
          <w:szCs w:val="28"/>
        </w:rPr>
        <w:tab/>
      </w:r>
      <w:r w:rsidR="00EA548F">
        <w:rPr>
          <w:rFonts w:ascii="Times New Roman" w:hAnsi="Times New Roman"/>
          <w:sz w:val="28"/>
          <w:szCs w:val="28"/>
        </w:rPr>
        <w:t>The complaint at every level is not without merit.</w:t>
      </w:r>
    </w:p>
    <w:p w14:paraId="2076D1BD" w14:textId="4DEC3D64" w:rsidR="00DD6E7E" w:rsidRDefault="00194C69" w:rsidP="00194C69">
      <w:pPr>
        <w:pStyle w:val="LegalList1"/>
        <w:spacing w:after="0" w:line="360" w:lineRule="auto"/>
        <w:rPr>
          <w:rFonts w:ascii="Times New Roman" w:hAnsi="Times New Roman"/>
          <w:sz w:val="28"/>
          <w:szCs w:val="28"/>
        </w:rPr>
      </w:pPr>
      <w:r>
        <w:rPr>
          <w:rFonts w:ascii="Times New Roman" w:hAnsi="Times New Roman"/>
          <w:sz w:val="28"/>
          <w:szCs w:val="28"/>
        </w:rPr>
        <w:t>[12]</w:t>
      </w:r>
      <w:r>
        <w:rPr>
          <w:rFonts w:ascii="Times New Roman" w:hAnsi="Times New Roman"/>
          <w:sz w:val="28"/>
          <w:szCs w:val="28"/>
        </w:rPr>
        <w:tab/>
      </w:r>
      <w:r w:rsidR="007F4CC7">
        <w:rPr>
          <w:rFonts w:ascii="Times New Roman" w:hAnsi="Times New Roman"/>
          <w:sz w:val="28"/>
          <w:szCs w:val="28"/>
        </w:rPr>
        <w:t xml:space="preserve">The rule </w:t>
      </w:r>
      <w:r w:rsidR="00772CE4">
        <w:rPr>
          <w:rFonts w:ascii="Times New Roman" w:hAnsi="Times New Roman"/>
          <w:sz w:val="28"/>
          <w:szCs w:val="28"/>
        </w:rPr>
        <w:t xml:space="preserve">requires </w:t>
      </w:r>
      <w:r w:rsidR="00333286">
        <w:rPr>
          <w:rFonts w:ascii="Times New Roman" w:hAnsi="Times New Roman"/>
          <w:sz w:val="28"/>
          <w:szCs w:val="28"/>
        </w:rPr>
        <w:t>a</w:t>
      </w:r>
      <w:r w:rsidR="00772CE4">
        <w:rPr>
          <w:rFonts w:ascii="Times New Roman" w:hAnsi="Times New Roman"/>
          <w:sz w:val="28"/>
          <w:szCs w:val="28"/>
        </w:rPr>
        <w:t xml:space="preserve"> party to whom notice is given to </w:t>
      </w:r>
      <w:r w:rsidR="008C3D1C">
        <w:rPr>
          <w:rFonts w:ascii="Times New Roman" w:hAnsi="Times New Roman"/>
          <w:sz w:val="28"/>
          <w:szCs w:val="28"/>
        </w:rPr>
        <w:t xml:space="preserve">answer </w:t>
      </w:r>
      <w:r w:rsidR="00772CE4">
        <w:rPr>
          <w:rFonts w:ascii="Times New Roman" w:hAnsi="Times New Roman"/>
          <w:sz w:val="28"/>
          <w:szCs w:val="28"/>
        </w:rPr>
        <w:t xml:space="preserve">on oath. </w:t>
      </w:r>
      <w:r w:rsidR="00F95878">
        <w:rPr>
          <w:rFonts w:ascii="Times New Roman" w:hAnsi="Times New Roman"/>
          <w:sz w:val="28"/>
          <w:szCs w:val="28"/>
        </w:rPr>
        <w:t xml:space="preserve">This requires the </w:t>
      </w:r>
      <w:r w:rsidR="008C3D1C">
        <w:rPr>
          <w:rFonts w:ascii="Times New Roman" w:hAnsi="Times New Roman"/>
          <w:sz w:val="28"/>
          <w:szCs w:val="28"/>
        </w:rPr>
        <w:t>declarant</w:t>
      </w:r>
      <w:r w:rsidR="00F95878">
        <w:rPr>
          <w:rFonts w:ascii="Times New Roman" w:hAnsi="Times New Roman"/>
          <w:sz w:val="28"/>
          <w:szCs w:val="28"/>
        </w:rPr>
        <w:t xml:space="preserve"> to provide the information </w:t>
      </w:r>
      <w:r w:rsidR="00C73A72">
        <w:rPr>
          <w:rFonts w:ascii="Times New Roman" w:hAnsi="Times New Roman"/>
          <w:sz w:val="28"/>
          <w:szCs w:val="28"/>
        </w:rPr>
        <w:t xml:space="preserve">enjoined </w:t>
      </w:r>
      <w:r w:rsidR="00F95878">
        <w:rPr>
          <w:rFonts w:ascii="Times New Roman" w:hAnsi="Times New Roman"/>
          <w:sz w:val="28"/>
          <w:szCs w:val="28"/>
        </w:rPr>
        <w:t>by the rule</w:t>
      </w:r>
      <w:r w:rsidR="007C283D">
        <w:rPr>
          <w:rFonts w:ascii="Times New Roman" w:hAnsi="Times New Roman"/>
          <w:sz w:val="28"/>
          <w:szCs w:val="28"/>
        </w:rPr>
        <w:t xml:space="preserve"> knowing that he/she is dealing with a solemn execution of an important document</w:t>
      </w:r>
      <w:r w:rsidR="00674CA2">
        <w:rPr>
          <w:rFonts w:ascii="Times New Roman" w:hAnsi="Times New Roman"/>
          <w:sz w:val="28"/>
          <w:szCs w:val="28"/>
        </w:rPr>
        <w:t xml:space="preserve">. The importance of a </w:t>
      </w:r>
      <w:r w:rsidR="00CD50D7">
        <w:rPr>
          <w:rFonts w:ascii="Times New Roman" w:hAnsi="Times New Roman"/>
          <w:sz w:val="28"/>
          <w:szCs w:val="28"/>
        </w:rPr>
        <w:t xml:space="preserve">conscientious disclosure in appreciation of the oath was emphasised in </w:t>
      </w:r>
      <w:r w:rsidR="00CD50D7" w:rsidRPr="00F0532D">
        <w:rPr>
          <w:rFonts w:ascii="Times New Roman" w:hAnsi="Times New Roman"/>
          <w:i/>
          <w:sz w:val="28"/>
          <w:szCs w:val="28"/>
        </w:rPr>
        <w:t>Van Vuuren v Agricura Laboratoria (Edms) Bpk</w:t>
      </w:r>
      <w:r w:rsidR="00CD50D7">
        <w:rPr>
          <w:rStyle w:val="FootnoteReference"/>
          <w:rFonts w:ascii="Times New Roman" w:hAnsi="Times New Roman"/>
          <w:sz w:val="28"/>
          <w:szCs w:val="28"/>
        </w:rPr>
        <w:footnoteReference w:id="4"/>
      </w:r>
      <w:r w:rsidR="00394CB5">
        <w:rPr>
          <w:rFonts w:ascii="Times New Roman" w:hAnsi="Times New Roman"/>
          <w:sz w:val="28"/>
          <w:szCs w:val="28"/>
        </w:rPr>
        <w:t xml:space="preserve"> where it is stated:</w:t>
      </w:r>
    </w:p>
    <w:p w14:paraId="09590FD6" w14:textId="77777777" w:rsidR="00394CB5" w:rsidRPr="001B58B6" w:rsidRDefault="00394CB5" w:rsidP="001B58B6">
      <w:pPr>
        <w:pStyle w:val="LegalList1"/>
        <w:spacing w:line="360" w:lineRule="auto"/>
        <w:rPr>
          <w:rFonts w:ascii="Times New Roman" w:hAnsi="Times New Roman"/>
        </w:rPr>
      </w:pPr>
      <w:r w:rsidRPr="001B58B6">
        <w:rPr>
          <w:rFonts w:ascii="Times New Roman" w:hAnsi="Times New Roman"/>
        </w:rPr>
        <w:t>‘[B]lootlegginsverklarings is belangrike dokumente and die voorlegger moe</w:t>
      </w:r>
      <w:r w:rsidR="00F0532D" w:rsidRPr="001B58B6">
        <w:rPr>
          <w:rFonts w:ascii="Times New Roman" w:hAnsi="Times New Roman"/>
        </w:rPr>
        <w:t>t</w:t>
      </w:r>
      <w:r w:rsidRPr="001B58B6">
        <w:rPr>
          <w:rFonts w:ascii="Times New Roman" w:hAnsi="Times New Roman"/>
        </w:rPr>
        <w:t xml:space="preserve"> bewustelik die nodige inligting verstrek welwetende dat hy met ‘n plegtige verlyding van ‘n belangrike </w:t>
      </w:r>
      <w:r w:rsidR="00F0532D" w:rsidRPr="001B58B6">
        <w:rPr>
          <w:rFonts w:ascii="Times New Roman" w:hAnsi="Times New Roman"/>
        </w:rPr>
        <w:t>document te make het wanneer die eedsverklaring gedoen word.’</w:t>
      </w:r>
    </w:p>
    <w:p w14:paraId="38C145DB" w14:textId="03898627" w:rsidR="007F4CC7" w:rsidRDefault="00194C69" w:rsidP="00194C69">
      <w:pPr>
        <w:pStyle w:val="LegalList1"/>
        <w:spacing w:line="360" w:lineRule="auto"/>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r>
      <w:r w:rsidR="0064181B">
        <w:rPr>
          <w:rFonts w:ascii="Times New Roman" w:hAnsi="Times New Roman"/>
          <w:sz w:val="28"/>
          <w:szCs w:val="28"/>
        </w:rPr>
        <w:t xml:space="preserve">Consistent with </w:t>
      </w:r>
      <w:r w:rsidR="007F4CC7">
        <w:rPr>
          <w:rFonts w:ascii="Times New Roman" w:hAnsi="Times New Roman"/>
          <w:sz w:val="28"/>
          <w:szCs w:val="28"/>
        </w:rPr>
        <w:t xml:space="preserve">answering </w:t>
      </w:r>
      <w:r w:rsidR="0064181B">
        <w:rPr>
          <w:rFonts w:ascii="Times New Roman" w:hAnsi="Times New Roman"/>
          <w:sz w:val="28"/>
          <w:szCs w:val="28"/>
        </w:rPr>
        <w:t xml:space="preserve">in </w:t>
      </w:r>
      <w:r w:rsidR="00386FBC">
        <w:rPr>
          <w:rFonts w:ascii="Times New Roman" w:hAnsi="Times New Roman"/>
          <w:sz w:val="28"/>
          <w:szCs w:val="28"/>
        </w:rPr>
        <w:t xml:space="preserve">appreciation of the </w:t>
      </w:r>
      <w:r w:rsidR="007F4CC7">
        <w:rPr>
          <w:rFonts w:ascii="Times New Roman" w:hAnsi="Times New Roman"/>
          <w:sz w:val="28"/>
          <w:szCs w:val="28"/>
        </w:rPr>
        <w:t xml:space="preserve">oath, the rule requires the </w:t>
      </w:r>
      <w:r w:rsidR="00984AE3">
        <w:rPr>
          <w:rFonts w:ascii="Times New Roman" w:hAnsi="Times New Roman"/>
          <w:sz w:val="28"/>
          <w:szCs w:val="28"/>
        </w:rPr>
        <w:t>whereabouts of requested documents</w:t>
      </w:r>
      <w:r w:rsidR="001552C9">
        <w:rPr>
          <w:rFonts w:ascii="Times New Roman" w:hAnsi="Times New Roman"/>
          <w:sz w:val="28"/>
          <w:szCs w:val="28"/>
        </w:rPr>
        <w:t xml:space="preserve"> to be disclosed only if known. </w:t>
      </w:r>
      <w:r w:rsidR="00523434">
        <w:rPr>
          <w:rFonts w:ascii="Times New Roman" w:hAnsi="Times New Roman"/>
          <w:sz w:val="28"/>
          <w:szCs w:val="28"/>
        </w:rPr>
        <w:t xml:space="preserve">There is no further requirement or obligation on a party to whom notice is given </w:t>
      </w:r>
      <w:r w:rsidR="00DA5C6A">
        <w:rPr>
          <w:rFonts w:ascii="Times New Roman" w:hAnsi="Times New Roman"/>
          <w:sz w:val="28"/>
          <w:szCs w:val="28"/>
        </w:rPr>
        <w:t xml:space="preserve">to </w:t>
      </w:r>
      <w:r w:rsidR="00AE609C">
        <w:rPr>
          <w:rFonts w:ascii="Times New Roman" w:hAnsi="Times New Roman"/>
          <w:sz w:val="28"/>
          <w:szCs w:val="28"/>
        </w:rPr>
        <w:t xml:space="preserve">explicitly </w:t>
      </w:r>
      <w:r w:rsidR="00DA5C6A">
        <w:rPr>
          <w:rFonts w:ascii="Times New Roman" w:hAnsi="Times New Roman"/>
          <w:sz w:val="28"/>
          <w:szCs w:val="28"/>
        </w:rPr>
        <w:t xml:space="preserve">state that it is not aware of the whereabouts of </w:t>
      </w:r>
      <w:r w:rsidR="00AC7701">
        <w:rPr>
          <w:rFonts w:ascii="Times New Roman" w:hAnsi="Times New Roman"/>
          <w:sz w:val="28"/>
          <w:szCs w:val="28"/>
        </w:rPr>
        <w:t xml:space="preserve">requested </w:t>
      </w:r>
      <w:r w:rsidR="00DA5C6A">
        <w:rPr>
          <w:rFonts w:ascii="Times New Roman" w:hAnsi="Times New Roman"/>
          <w:sz w:val="28"/>
          <w:szCs w:val="28"/>
        </w:rPr>
        <w:t xml:space="preserve">documents. </w:t>
      </w:r>
      <w:r w:rsidR="005933AC">
        <w:rPr>
          <w:rFonts w:ascii="Times New Roman" w:hAnsi="Times New Roman"/>
          <w:sz w:val="28"/>
          <w:szCs w:val="28"/>
        </w:rPr>
        <w:t>To read this into the rule would be tantamount to amendment by interpretation.</w:t>
      </w:r>
    </w:p>
    <w:p w14:paraId="69A1B67A" w14:textId="058CBF0A" w:rsidR="00CC4112" w:rsidRDefault="00194C69" w:rsidP="00194C69">
      <w:pPr>
        <w:pStyle w:val="LegalList1"/>
        <w:spacing w:line="360" w:lineRule="auto"/>
        <w:rPr>
          <w:rFonts w:ascii="Times New Roman" w:hAnsi="Times New Roman"/>
          <w:sz w:val="28"/>
          <w:szCs w:val="28"/>
        </w:rPr>
      </w:pPr>
      <w:r>
        <w:rPr>
          <w:rFonts w:ascii="Times New Roman" w:hAnsi="Times New Roman"/>
          <w:sz w:val="28"/>
          <w:szCs w:val="28"/>
        </w:rPr>
        <w:lastRenderedPageBreak/>
        <w:t>[14]</w:t>
      </w:r>
      <w:r>
        <w:rPr>
          <w:rFonts w:ascii="Times New Roman" w:hAnsi="Times New Roman"/>
          <w:sz w:val="28"/>
          <w:szCs w:val="28"/>
        </w:rPr>
        <w:tab/>
      </w:r>
      <w:r w:rsidR="00CC4112" w:rsidRPr="00AF47D0">
        <w:rPr>
          <w:rFonts w:ascii="Times New Roman" w:hAnsi="Times New Roman"/>
          <w:sz w:val="28"/>
          <w:szCs w:val="28"/>
        </w:rPr>
        <w:t xml:space="preserve">It is </w:t>
      </w:r>
      <w:r w:rsidR="00CC4112">
        <w:rPr>
          <w:rFonts w:ascii="Times New Roman" w:hAnsi="Times New Roman"/>
          <w:sz w:val="28"/>
          <w:szCs w:val="28"/>
        </w:rPr>
        <w:t xml:space="preserve">obvious </w:t>
      </w:r>
      <w:r w:rsidR="00CC4112" w:rsidRPr="00AF47D0">
        <w:rPr>
          <w:rFonts w:ascii="Times New Roman" w:hAnsi="Times New Roman"/>
          <w:sz w:val="28"/>
          <w:szCs w:val="28"/>
        </w:rPr>
        <w:t>that the second defendant’s answer to the plaintiff’s notice does not address the issue whether it has any knowledge of the whereabouts of the requested documents.</w:t>
      </w:r>
      <w:r w:rsidR="00CC4112">
        <w:rPr>
          <w:rFonts w:ascii="Times New Roman" w:hAnsi="Times New Roman"/>
          <w:sz w:val="28"/>
          <w:szCs w:val="28"/>
        </w:rPr>
        <w:t xml:space="preserve"> </w:t>
      </w:r>
      <w:r w:rsidR="0065712A">
        <w:rPr>
          <w:rFonts w:ascii="Times New Roman" w:hAnsi="Times New Roman"/>
          <w:sz w:val="28"/>
          <w:szCs w:val="28"/>
        </w:rPr>
        <w:t xml:space="preserve">In heads of argument the second defendant appears to contend that it does not need </w:t>
      </w:r>
      <w:r w:rsidR="00CC4112">
        <w:rPr>
          <w:rFonts w:ascii="Times New Roman" w:hAnsi="Times New Roman"/>
          <w:sz w:val="28"/>
          <w:szCs w:val="28"/>
        </w:rPr>
        <w:t xml:space="preserve">to </w:t>
      </w:r>
      <w:r w:rsidR="0065712A">
        <w:rPr>
          <w:rFonts w:ascii="Times New Roman" w:hAnsi="Times New Roman"/>
          <w:sz w:val="28"/>
          <w:szCs w:val="28"/>
        </w:rPr>
        <w:t>go any</w:t>
      </w:r>
      <w:r w:rsidR="005352CB">
        <w:rPr>
          <w:rFonts w:ascii="Times New Roman" w:hAnsi="Times New Roman"/>
          <w:sz w:val="28"/>
          <w:szCs w:val="28"/>
        </w:rPr>
        <w:t xml:space="preserve"> further than </w:t>
      </w:r>
      <w:r w:rsidR="004F3295">
        <w:rPr>
          <w:rFonts w:ascii="Times New Roman" w:hAnsi="Times New Roman"/>
          <w:sz w:val="28"/>
          <w:szCs w:val="28"/>
        </w:rPr>
        <w:t xml:space="preserve">having stated </w:t>
      </w:r>
      <w:r w:rsidR="0065712A">
        <w:rPr>
          <w:rFonts w:ascii="Times New Roman" w:hAnsi="Times New Roman"/>
          <w:sz w:val="28"/>
          <w:szCs w:val="28"/>
        </w:rPr>
        <w:t xml:space="preserve">that the documents cannot be located despite diligent search and that this implies </w:t>
      </w:r>
      <w:r w:rsidR="00B114BE">
        <w:rPr>
          <w:rFonts w:ascii="Times New Roman" w:hAnsi="Times New Roman"/>
          <w:sz w:val="28"/>
          <w:szCs w:val="28"/>
        </w:rPr>
        <w:t>a lack of knowledge of their whereabouts</w:t>
      </w:r>
      <w:r w:rsidR="004F3295">
        <w:rPr>
          <w:rFonts w:ascii="Times New Roman" w:hAnsi="Times New Roman"/>
          <w:sz w:val="28"/>
          <w:szCs w:val="28"/>
        </w:rPr>
        <w:t xml:space="preserve">. </w:t>
      </w:r>
      <w:r w:rsidR="00CC4112">
        <w:rPr>
          <w:rFonts w:ascii="Times New Roman" w:hAnsi="Times New Roman"/>
          <w:sz w:val="28"/>
          <w:szCs w:val="28"/>
        </w:rPr>
        <w:t>T</w:t>
      </w:r>
      <w:r w:rsidR="00CC4112" w:rsidRPr="00AF47D0">
        <w:rPr>
          <w:rFonts w:ascii="Times New Roman" w:hAnsi="Times New Roman"/>
          <w:sz w:val="28"/>
          <w:szCs w:val="28"/>
        </w:rPr>
        <w:t>hat</w:t>
      </w:r>
      <w:r w:rsidR="00CC4112">
        <w:rPr>
          <w:rFonts w:ascii="Times New Roman" w:hAnsi="Times New Roman"/>
          <w:sz w:val="28"/>
          <w:szCs w:val="28"/>
        </w:rPr>
        <w:t>, however,</w:t>
      </w:r>
      <w:r w:rsidR="00CC4112" w:rsidRPr="00AF47D0">
        <w:rPr>
          <w:rFonts w:ascii="Times New Roman" w:hAnsi="Times New Roman"/>
          <w:sz w:val="28"/>
          <w:szCs w:val="28"/>
        </w:rPr>
        <w:t xml:space="preserve"> is not where the matter ends</w:t>
      </w:r>
      <w:r w:rsidR="00CC4112">
        <w:rPr>
          <w:rFonts w:ascii="Times New Roman" w:hAnsi="Times New Roman"/>
          <w:sz w:val="28"/>
          <w:szCs w:val="28"/>
        </w:rPr>
        <w:t xml:space="preserve"> since </w:t>
      </w:r>
      <w:r w:rsidR="00065E0F">
        <w:rPr>
          <w:rFonts w:ascii="Times New Roman" w:hAnsi="Times New Roman"/>
          <w:sz w:val="28"/>
          <w:szCs w:val="28"/>
        </w:rPr>
        <w:t xml:space="preserve">the contention </w:t>
      </w:r>
      <w:r w:rsidR="001E6DA2">
        <w:rPr>
          <w:rFonts w:ascii="Times New Roman" w:hAnsi="Times New Roman"/>
          <w:sz w:val="28"/>
          <w:szCs w:val="28"/>
        </w:rPr>
        <w:t xml:space="preserve">entirely </w:t>
      </w:r>
      <w:r w:rsidR="005352CB">
        <w:rPr>
          <w:rFonts w:ascii="Times New Roman" w:hAnsi="Times New Roman"/>
          <w:sz w:val="28"/>
          <w:szCs w:val="28"/>
        </w:rPr>
        <w:t xml:space="preserve">ignores </w:t>
      </w:r>
      <w:r w:rsidR="00CC4112">
        <w:rPr>
          <w:rFonts w:ascii="Times New Roman" w:hAnsi="Times New Roman"/>
          <w:sz w:val="28"/>
          <w:szCs w:val="28"/>
        </w:rPr>
        <w:t>the content</w:t>
      </w:r>
      <w:r w:rsidR="00FD53AB">
        <w:rPr>
          <w:rFonts w:ascii="Times New Roman" w:hAnsi="Times New Roman"/>
          <w:sz w:val="28"/>
          <w:szCs w:val="28"/>
        </w:rPr>
        <w:t>s</w:t>
      </w:r>
      <w:r w:rsidR="00CC4112">
        <w:rPr>
          <w:rFonts w:ascii="Times New Roman" w:hAnsi="Times New Roman"/>
          <w:sz w:val="28"/>
          <w:szCs w:val="28"/>
        </w:rPr>
        <w:t xml:space="preserve"> of the </w:t>
      </w:r>
      <w:r w:rsidR="00CC4112" w:rsidRPr="00AF47D0">
        <w:rPr>
          <w:rFonts w:ascii="Times New Roman" w:hAnsi="Times New Roman"/>
          <w:sz w:val="28"/>
          <w:szCs w:val="28"/>
        </w:rPr>
        <w:t>second defendant’s affidavit in opposition to the rule 30A application.</w:t>
      </w:r>
    </w:p>
    <w:p w14:paraId="7BE250F1" w14:textId="332AA1C5" w:rsidR="006B6B31" w:rsidRDefault="00194C69" w:rsidP="00194C69">
      <w:pPr>
        <w:pStyle w:val="LegalList1"/>
        <w:spacing w:after="0" w:line="360" w:lineRule="auto"/>
        <w:rPr>
          <w:rFonts w:ascii="Times New Roman" w:hAnsi="Times New Roman"/>
          <w:sz w:val="28"/>
          <w:szCs w:val="28"/>
        </w:rPr>
      </w:pPr>
      <w:r>
        <w:rPr>
          <w:rFonts w:ascii="Times New Roman" w:hAnsi="Times New Roman"/>
          <w:sz w:val="28"/>
          <w:szCs w:val="28"/>
        </w:rPr>
        <w:t>[15]</w:t>
      </w:r>
      <w:r>
        <w:rPr>
          <w:rFonts w:ascii="Times New Roman" w:hAnsi="Times New Roman"/>
          <w:sz w:val="28"/>
          <w:szCs w:val="28"/>
        </w:rPr>
        <w:tab/>
      </w:r>
      <w:r w:rsidR="00AF47D0">
        <w:rPr>
          <w:rFonts w:ascii="Times New Roman" w:hAnsi="Times New Roman"/>
          <w:sz w:val="28"/>
          <w:szCs w:val="28"/>
        </w:rPr>
        <w:t>In reply to th</w:t>
      </w:r>
      <w:r w:rsidR="002E7E7F">
        <w:rPr>
          <w:rFonts w:ascii="Times New Roman" w:hAnsi="Times New Roman"/>
          <w:sz w:val="28"/>
          <w:szCs w:val="28"/>
        </w:rPr>
        <w:t>at affidavit</w:t>
      </w:r>
      <w:r w:rsidR="00AF47D0">
        <w:rPr>
          <w:rFonts w:ascii="Times New Roman" w:hAnsi="Times New Roman"/>
          <w:sz w:val="28"/>
          <w:szCs w:val="28"/>
        </w:rPr>
        <w:t xml:space="preserve"> the deponent on behalf of the plaintiff makes the following </w:t>
      </w:r>
      <w:r w:rsidR="006B6B31">
        <w:rPr>
          <w:rFonts w:ascii="Times New Roman" w:hAnsi="Times New Roman"/>
          <w:sz w:val="28"/>
          <w:szCs w:val="28"/>
        </w:rPr>
        <w:t>observation</w:t>
      </w:r>
      <w:r w:rsidR="001324B7">
        <w:rPr>
          <w:rFonts w:ascii="Times New Roman" w:hAnsi="Times New Roman"/>
          <w:sz w:val="28"/>
          <w:szCs w:val="28"/>
        </w:rPr>
        <w:t xml:space="preserve"> (all </w:t>
      </w:r>
      <w:r w:rsidR="001324B7" w:rsidRPr="001324B7">
        <w:rPr>
          <w:rFonts w:ascii="Times New Roman" w:hAnsi="Times New Roman"/>
          <w:i/>
          <w:sz w:val="28"/>
          <w:szCs w:val="28"/>
        </w:rPr>
        <w:t>sic</w:t>
      </w:r>
      <w:r w:rsidR="001324B7">
        <w:rPr>
          <w:rFonts w:ascii="Times New Roman" w:hAnsi="Times New Roman"/>
          <w:sz w:val="28"/>
          <w:szCs w:val="28"/>
        </w:rPr>
        <w:t>)</w:t>
      </w:r>
      <w:r w:rsidR="006B6B31">
        <w:rPr>
          <w:rFonts w:ascii="Times New Roman" w:hAnsi="Times New Roman"/>
          <w:sz w:val="28"/>
          <w:szCs w:val="28"/>
        </w:rPr>
        <w:t>:</w:t>
      </w:r>
    </w:p>
    <w:p w14:paraId="34481999" w14:textId="77777777" w:rsidR="00FD4119" w:rsidRPr="00803035" w:rsidRDefault="000D444C" w:rsidP="00803035">
      <w:pPr>
        <w:pStyle w:val="LegalList1"/>
        <w:spacing w:line="360" w:lineRule="auto"/>
        <w:ind w:left="720" w:hanging="720"/>
        <w:rPr>
          <w:rFonts w:ascii="Times New Roman" w:hAnsi="Times New Roman"/>
        </w:rPr>
      </w:pPr>
      <w:r w:rsidRPr="00803035">
        <w:rPr>
          <w:rFonts w:ascii="Times New Roman" w:hAnsi="Times New Roman"/>
        </w:rPr>
        <w:t>‘6.4</w:t>
      </w:r>
      <w:r w:rsidRPr="00803035">
        <w:rPr>
          <w:rFonts w:ascii="Times New Roman" w:hAnsi="Times New Roman"/>
        </w:rPr>
        <w:tab/>
      </w:r>
      <w:r w:rsidR="00803035" w:rsidRPr="00803035">
        <w:rPr>
          <w:rFonts w:ascii="Times New Roman" w:hAnsi="Times New Roman"/>
        </w:rPr>
        <w:t>T</w:t>
      </w:r>
      <w:r w:rsidRPr="00803035">
        <w:rPr>
          <w:rFonts w:ascii="Times New Roman" w:hAnsi="Times New Roman"/>
        </w:rPr>
        <w:t>he “searches” conducted by the Second Defendant, in reply to the Plaintiff’s rule</w:t>
      </w:r>
      <w:r w:rsidR="00803035" w:rsidRPr="00803035">
        <w:rPr>
          <w:rFonts w:ascii="Times New Roman" w:hAnsi="Times New Roman"/>
        </w:rPr>
        <w:t xml:space="preserve"> 35</w:t>
      </w:r>
      <w:r w:rsidRPr="00803035">
        <w:rPr>
          <w:rFonts w:ascii="Times New Roman" w:hAnsi="Times New Roman"/>
        </w:rPr>
        <w:t>(3)</w:t>
      </w:r>
      <w:r w:rsidR="001324B7" w:rsidRPr="00803035">
        <w:rPr>
          <w:rFonts w:ascii="Times New Roman" w:hAnsi="Times New Roman"/>
        </w:rPr>
        <w:t xml:space="preserve"> were </w:t>
      </w:r>
      <w:r w:rsidRPr="00803035">
        <w:rPr>
          <w:rFonts w:ascii="Times New Roman" w:hAnsi="Times New Roman"/>
        </w:rPr>
        <w:t>clearly conducted</w:t>
      </w:r>
      <w:r w:rsidR="001324B7" w:rsidRPr="00803035">
        <w:rPr>
          <w:rFonts w:ascii="Times New Roman" w:hAnsi="Times New Roman"/>
        </w:rPr>
        <w:t xml:space="preserve"> only after this application was launched if regard is had to annexures A, B1, and B 2 of the opposing affidavit. This correspondence is irrefutable evidence that:</w:t>
      </w:r>
    </w:p>
    <w:p w14:paraId="4D0AD9B9" w14:textId="77777777" w:rsidR="001324B7" w:rsidRPr="00803035" w:rsidRDefault="001324B7" w:rsidP="00FE497B">
      <w:pPr>
        <w:pStyle w:val="LegalList1"/>
        <w:spacing w:line="360" w:lineRule="auto"/>
        <w:ind w:left="720" w:hanging="720"/>
        <w:rPr>
          <w:rFonts w:ascii="Times New Roman" w:hAnsi="Times New Roman"/>
        </w:rPr>
      </w:pPr>
      <w:r w:rsidRPr="00803035">
        <w:rPr>
          <w:rFonts w:ascii="Times New Roman" w:hAnsi="Times New Roman"/>
        </w:rPr>
        <w:t>6.4.1</w:t>
      </w:r>
      <w:r w:rsidRPr="00803035">
        <w:rPr>
          <w:rFonts w:ascii="Times New Roman" w:hAnsi="Times New Roman"/>
        </w:rPr>
        <w:tab/>
      </w:r>
      <w:r w:rsidR="00803035" w:rsidRPr="00803035">
        <w:rPr>
          <w:rFonts w:ascii="Times New Roman" w:hAnsi="Times New Roman"/>
        </w:rPr>
        <w:t>S</w:t>
      </w:r>
      <w:r w:rsidRPr="00803035">
        <w:rPr>
          <w:rFonts w:ascii="Times New Roman" w:hAnsi="Times New Roman"/>
        </w:rPr>
        <w:t xml:space="preserve">econd </w:t>
      </w:r>
      <w:r w:rsidR="00803035" w:rsidRPr="00803035">
        <w:rPr>
          <w:rFonts w:ascii="Times New Roman" w:hAnsi="Times New Roman"/>
        </w:rPr>
        <w:t>D</w:t>
      </w:r>
      <w:r w:rsidRPr="00803035">
        <w:rPr>
          <w:rFonts w:ascii="Times New Roman" w:hAnsi="Times New Roman"/>
        </w:rPr>
        <w:t>efendant had knowledge at the time of its reply to</w:t>
      </w:r>
      <w:r w:rsidR="0001161E" w:rsidRPr="00803035">
        <w:rPr>
          <w:rFonts w:ascii="Times New Roman" w:hAnsi="Times New Roman"/>
        </w:rPr>
        <w:t xml:space="preserve"> rule 35(3) dated 6</w:t>
      </w:r>
      <w:r w:rsidR="00D063D9">
        <w:t> </w:t>
      </w:r>
      <w:r w:rsidR="0001161E" w:rsidRPr="00803035">
        <w:rPr>
          <w:rFonts w:ascii="Times New Roman" w:hAnsi="Times New Roman"/>
        </w:rPr>
        <w:t>November 2022, that some or all of the requested documents may have been in the possession of Moors Dlamini (formerly Grobler &amp; Moors) yet failed to state so in its aforesaid reply to rule 35(3).</w:t>
      </w:r>
    </w:p>
    <w:p w14:paraId="344F7190" w14:textId="77777777" w:rsidR="0001161E" w:rsidRPr="00803035" w:rsidRDefault="0001161E" w:rsidP="00FE497B">
      <w:pPr>
        <w:pStyle w:val="LegalList1"/>
        <w:spacing w:line="360" w:lineRule="auto"/>
        <w:ind w:left="720" w:hanging="720"/>
        <w:rPr>
          <w:rFonts w:ascii="Times New Roman" w:hAnsi="Times New Roman"/>
        </w:rPr>
      </w:pPr>
      <w:r w:rsidRPr="00803035">
        <w:rPr>
          <w:rFonts w:ascii="Times New Roman" w:hAnsi="Times New Roman"/>
        </w:rPr>
        <w:t>6.4.2</w:t>
      </w:r>
      <w:r w:rsidRPr="00803035">
        <w:rPr>
          <w:rFonts w:ascii="Times New Roman" w:hAnsi="Times New Roman"/>
        </w:rPr>
        <w:tab/>
      </w:r>
      <w:r w:rsidR="00803035" w:rsidRPr="00803035">
        <w:rPr>
          <w:rFonts w:ascii="Times New Roman" w:hAnsi="Times New Roman"/>
        </w:rPr>
        <w:t>E</w:t>
      </w:r>
      <w:r w:rsidRPr="00803035">
        <w:rPr>
          <w:rFonts w:ascii="Times New Roman" w:hAnsi="Times New Roman"/>
        </w:rPr>
        <w:t>vidence of “searches” conducted clearly indicate, that same was only done on 20</w:t>
      </w:r>
      <w:r w:rsidR="00D063D9">
        <w:rPr>
          <w:rFonts w:ascii="Times New Roman" w:hAnsi="Times New Roman"/>
        </w:rPr>
        <w:t> </w:t>
      </w:r>
      <w:r w:rsidRPr="00803035">
        <w:rPr>
          <w:rFonts w:ascii="Times New Roman" w:hAnsi="Times New Roman"/>
        </w:rPr>
        <w:t>February 2023 when the second defendant’s reply to rule 35(3) was delivered on 6</w:t>
      </w:r>
      <w:r w:rsidR="00D063D9">
        <w:rPr>
          <w:rFonts w:ascii="Times New Roman" w:hAnsi="Times New Roman"/>
        </w:rPr>
        <w:t> </w:t>
      </w:r>
      <w:r w:rsidRPr="00803035">
        <w:rPr>
          <w:rFonts w:ascii="Times New Roman" w:hAnsi="Times New Roman"/>
        </w:rPr>
        <w:t>December 2022.’</w:t>
      </w:r>
    </w:p>
    <w:p w14:paraId="66C4759B" w14:textId="4CE97497" w:rsidR="00E93E51" w:rsidRDefault="00194C69" w:rsidP="00194C69">
      <w:pPr>
        <w:pStyle w:val="LegalList1"/>
        <w:spacing w:after="0" w:line="360" w:lineRule="auto"/>
        <w:rPr>
          <w:rFonts w:ascii="Times New Roman" w:hAnsi="Times New Roman"/>
          <w:sz w:val="28"/>
          <w:szCs w:val="28"/>
        </w:rPr>
      </w:pPr>
      <w:r>
        <w:rPr>
          <w:rFonts w:ascii="Times New Roman" w:hAnsi="Times New Roman"/>
          <w:sz w:val="28"/>
          <w:szCs w:val="28"/>
        </w:rPr>
        <w:t>[16]</w:t>
      </w:r>
      <w:r>
        <w:rPr>
          <w:rFonts w:ascii="Times New Roman" w:hAnsi="Times New Roman"/>
          <w:sz w:val="28"/>
          <w:szCs w:val="28"/>
        </w:rPr>
        <w:tab/>
      </w:r>
      <w:r w:rsidR="00FD53AB">
        <w:rPr>
          <w:rFonts w:ascii="Times New Roman" w:hAnsi="Times New Roman"/>
          <w:sz w:val="28"/>
          <w:szCs w:val="28"/>
        </w:rPr>
        <w:t xml:space="preserve">What is revealing about these </w:t>
      </w:r>
      <w:r w:rsidR="00D063D9">
        <w:rPr>
          <w:rFonts w:ascii="Times New Roman" w:hAnsi="Times New Roman"/>
          <w:sz w:val="28"/>
          <w:szCs w:val="28"/>
        </w:rPr>
        <w:t>averments</w:t>
      </w:r>
      <w:r w:rsidR="00791800">
        <w:rPr>
          <w:rFonts w:ascii="Times New Roman" w:hAnsi="Times New Roman"/>
          <w:sz w:val="28"/>
          <w:szCs w:val="28"/>
        </w:rPr>
        <w:t xml:space="preserve"> (when read with the second defendant’s opposing affidavit and annexures thereto)</w:t>
      </w:r>
      <w:r w:rsidR="0070377C">
        <w:rPr>
          <w:rFonts w:ascii="Times New Roman" w:hAnsi="Times New Roman"/>
          <w:sz w:val="28"/>
          <w:szCs w:val="28"/>
        </w:rPr>
        <w:t xml:space="preserve"> is that the second defendant </w:t>
      </w:r>
      <w:r w:rsidR="00791800">
        <w:rPr>
          <w:rFonts w:ascii="Times New Roman" w:hAnsi="Times New Roman"/>
          <w:sz w:val="28"/>
          <w:szCs w:val="28"/>
        </w:rPr>
        <w:t>is aware of the possibility that the whereabouts of certain documents may be ascertained.</w:t>
      </w:r>
      <w:r w:rsidR="00790E1F">
        <w:rPr>
          <w:rFonts w:ascii="Times New Roman" w:hAnsi="Times New Roman"/>
          <w:sz w:val="28"/>
          <w:szCs w:val="28"/>
        </w:rPr>
        <w:t xml:space="preserve"> This ought to have been disclosed in the second defendant’s </w:t>
      </w:r>
      <w:r w:rsidR="00790E1F">
        <w:rPr>
          <w:rFonts w:ascii="Times New Roman" w:hAnsi="Times New Roman"/>
          <w:sz w:val="28"/>
          <w:szCs w:val="28"/>
        </w:rPr>
        <w:lastRenderedPageBreak/>
        <w:t xml:space="preserve">answer to the plaintiff’s rule 35(3) notice. In </w:t>
      </w:r>
      <w:r w:rsidR="00790E1F" w:rsidRPr="00F0532D">
        <w:rPr>
          <w:rFonts w:ascii="Times New Roman" w:hAnsi="Times New Roman"/>
          <w:i/>
          <w:sz w:val="28"/>
          <w:szCs w:val="28"/>
        </w:rPr>
        <w:t>Van Vuuren</w:t>
      </w:r>
      <w:r w:rsidR="00790E1F">
        <w:rPr>
          <w:rStyle w:val="FootnoteReference"/>
          <w:rFonts w:ascii="Times New Roman" w:hAnsi="Times New Roman"/>
          <w:i/>
          <w:sz w:val="28"/>
          <w:szCs w:val="28"/>
        </w:rPr>
        <w:footnoteReference w:id="5"/>
      </w:r>
      <w:r w:rsidR="00790E1F">
        <w:rPr>
          <w:rFonts w:ascii="Times New Roman" w:hAnsi="Times New Roman"/>
          <w:i/>
          <w:sz w:val="28"/>
          <w:szCs w:val="28"/>
        </w:rPr>
        <w:t xml:space="preserve"> </w:t>
      </w:r>
      <w:r w:rsidR="009E6434">
        <w:rPr>
          <w:rFonts w:ascii="Times New Roman" w:hAnsi="Times New Roman"/>
          <w:sz w:val="28"/>
          <w:szCs w:val="28"/>
        </w:rPr>
        <w:t>the court appositely stated:</w:t>
      </w:r>
      <w:r w:rsidR="00540A8B">
        <w:rPr>
          <w:rStyle w:val="FootnoteReference"/>
          <w:rFonts w:ascii="Times New Roman" w:hAnsi="Times New Roman"/>
          <w:sz w:val="28"/>
          <w:szCs w:val="28"/>
        </w:rPr>
        <w:footnoteReference w:id="6"/>
      </w:r>
    </w:p>
    <w:p w14:paraId="19E0A26A" w14:textId="77777777" w:rsidR="009E6434" w:rsidRPr="00333286" w:rsidRDefault="009E6434" w:rsidP="009E6434">
      <w:pPr>
        <w:pStyle w:val="LegalList1"/>
        <w:spacing w:line="360" w:lineRule="auto"/>
        <w:rPr>
          <w:rFonts w:ascii="Times New Roman" w:hAnsi="Times New Roman"/>
        </w:rPr>
      </w:pPr>
      <w:r w:rsidRPr="00333286">
        <w:rPr>
          <w:rFonts w:ascii="Times New Roman" w:hAnsi="Times New Roman"/>
        </w:rPr>
        <w:t>‘Vir my is dit duidelik dat reël 35(2) gebiedend is en dat eiser se blootleggingsverklaring beide wat vorm en substansie betref nie in orde is nie.’</w:t>
      </w:r>
    </w:p>
    <w:p w14:paraId="59C36D96" w14:textId="070B05C8" w:rsidR="007A0749" w:rsidRPr="00DE4675" w:rsidRDefault="00194C69" w:rsidP="00194C69">
      <w:pPr>
        <w:pStyle w:val="LegalList1"/>
        <w:spacing w:line="360" w:lineRule="auto"/>
        <w:rPr>
          <w:rFonts w:ascii="Times New Roman" w:hAnsi="Times New Roman"/>
          <w:sz w:val="28"/>
          <w:szCs w:val="28"/>
        </w:rPr>
      </w:pPr>
      <w:r w:rsidRPr="00DE4675">
        <w:rPr>
          <w:rFonts w:ascii="Times New Roman" w:hAnsi="Times New Roman"/>
          <w:sz w:val="28"/>
          <w:szCs w:val="28"/>
        </w:rPr>
        <w:t>[17]</w:t>
      </w:r>
      <w:r w:rsidRPr="00DE4675">
        <w:rPr>
          <w:rFonts w:ascii="Times New Roman" w:hAnsi="Times New Roman"/>
          <w:sz w:val="28"/>
          <w:szCs w:val="28"/>
        </w:rPr>
        <w:tab/>
      </w:r>
      <w:r w:rsidR="009E6434" w:rsidRPr="00DE4675">
        <w:rPr>
          <w:rFonts w:ascii="Times New Roman" w:hAnsi="Times New Roman"/>
          <w:sz w:val="28"/>
          <w:szCs w:val="28"/>
        </w:rPr>
        <w:t xml:space="preserve">I </w:t>
      </w:r>
      <w:r w:rsidR="007A0749" w:rsidRPr="00DE4675">
        <w:rPr>
          <w:rFonts w:ascii="Times New Roman" w:hAnsi="Times New Roman"/>
          <w:sz w:val="28"/>
          <w:szCs w:val="28"/>
        </w:rPr>
        <w:t xml:space="preserve">am unreservedly in </w:t>
      </w:r>
      <w:r w:rsidR="009E6434" w:rsidRPr="00DE4675">
        <w:rPr>
          <w:rFonts w:ascii="Times New Roman" w:hAnsi="Times New Roman"/>
          <w:sz w:val="28"/>
          <w:szCs w:val="28"/>
        </w:rPr>
        <w:t xml:space="preserve">agreement </w:t>
      </w:r>
      <w:r w:rsidR="007A0749" w:rsidRPr="00DE4675">
        <w:rPr>
          <w:rFonts w:ascii="Times New Roman" w:hAnsi="Times New Roman"/>
          <w:sz w:val="28"/>
          <w:szCs w:val="28"/>
        </w:rPr>
        <w:t>therewith</w:t>
      </w:r>
      <w:r w:rsidR="00EB57D8">
        <w:rPr>
          <w:rFonts w:ascii="Times New Roman" w:hAnsi="Times New Roman"/>
          <w:sz w:val="28"/>
          <w:szCs w:val="28"/>
        </w:rPr>
        <w:t xml:space="preserve"> – and </w:t>
      </w:r>
      <w:r w:rsidR="009E6434" w:rsidRPr="00DE4675">
        <w:rPr>
          <w:rFonts w:ascii="Times New Roman" w:hAnsi="Times New Roman"/>
          <w:sz w:val="28"/>
          <w:szCs w:val="28"/>
        </w:rPr>
        <w:t>the same holds true for rule 35(3)</w:t>
      </w:r>
      <w:r w:rsidR="00EB57D8">
        <w:rPr>
          <w:rFonts w:ascii="Times New Roman" w:hAnsi="Times New Roman"/>
          <w:sz w:val="28"/>
          <w:szCs w:val="28"/>
        </w:rPr>
        <w:t xml:space="preserve"> considering that it is circumscribed by </w:t>
      </w:r>
      <w:r w:rsidR="00EB57D8" w:rsidRPr="00FE7F35">
        <w:rPr>
          <w:rFonts w:ascii="Times New Roman" w:hAnsi="Times New Roman"/>
          <w:i/>
          <w:sz w:val="28"/>
          <w:szCs w:val="28"/>
        </w:rPr>
        <w:t>inter alia</w:t>
      </w:r>
      <w:r w:rsidR="00EB57D8">
        <w:rPr>
          <w:rFonts w:ascii="Times New Roman" w:hAnsi="Times New Roman"/>
          <w:sz w:val="28"/>
          <w:szCs w:val="28"/>
        </w:rPr>
        <w:t xml:space="preserve"> the requirements of rules 35(1) and 35(2) and must be read in context</w:t>
      </w:r>
      <w:r w:rsidR="009E6434" w:rsidRPr="00DE4675">
        <w:rPr>
          <w:rFonts w:ascii="Times New Roman" w:hAnsi="Times New Roman"/>
          <w:sz w:val="28"/>
          <w:szCs w:val="28"/>
        </w:rPr>
        <w:t>.</w:t>
      </w:r>
      <w:r w:rsidR="00EB57D8">
        <w:rPr>
          <w:rStyle w:val="FootnoteReference"/>
          <w:rFonts w:ascii="Times New Roman" w:hAnsi="Times New Roman"/>
          <w:sz w:val="28"/>
          <w:szCs w:val="28"/>
        </w:rPr>
        <w:footnoteReference w:id="7"/>
      </w:r>
      <w:r w:rsidR="00DE4675" w:rsidRPr="00DE4675">
        <w:rPr>
          <w:rFonts w:ascii="Times New Roman" w:hAnsi="Times New Roman"/>
          <w:sz w:val="28"/>
          <w:szCs w:val="28"/>
        </w:rPr>
        <w:t xml:space="preserve"> That said,</w:t>
      </w:r>
      <w:r w:rsidR="007A0749" w:rsidRPr="00DE4675">
        <w:rPr>
          <w:rFonts w:ascii="Times New Roman" w:hAnsi="Times New Roman"/>
          <w:sz w:val="28"/>
          <w:szCs w:val="28"/>
        </w:rPr>
        <w:t xml:space="preserve"> the </w:t>
      </w:r>
      <w:r w:rsidR="005B0518" w:rsidRPr="00DE4675">
        <w:rPr>
          <w:rFonts w:ascii="Times New Roman" w:hAnsi="Times New Roman"/>
          <w:sz w:val="28"/>
          <w:szCs w:val="28"/>
        </w:rPr>
        <w:t>answer/</w:t>
      </w:r>
      <w:r w:rsidR="007A0749" w:rsidRPr="00DE4675">
        <w:rPr>
          <w:rFonts w:ascii="Times New Roman" w:hAnsi="Times New Roman"/>
          <w:sz w:val="28"/>
          <w:szCs w:val="28"/>
        </w:rPr>
        <w:t xml:space="preserve">disclosure in the </w:t>
      </w:r>
      <w:r w:rsidR="005B0518" w:rsidRPr="00DE4675">
        <w:rPr>
          <w:rFonts w:ascii="Times New Roman" w:hAnsi="Times New Roman"/>
          <w:sz w:val="28"/>
          <w:szCs w:val="28"/>
        </w:rPr>
        <w:t>second defendant’s opposing affidavit must properly be brought within the parameters of rule 35(3).</w:t>
      </w:r>
    </w:p>
    <w:p w14:paraId="394FEC5C" w14:textId="044C8806" w:rsidR="00CF7682" w:rsidRDefault="00194C69" w:rsidP="00194C69">
      <w:pPr>
        <w:pStyle w:val="LegalList1"/>
        <w:spacing w:line="360" w:lineRule="auto"/>
        <w:rPr>
          <w:rFonts w:ascii="Times New Roman" w:hAnsi="Times New Roman"/>
          <w:sz w:val="28"/>
          <w:szCs w:val="28"/>
        </w:rPr>
      </w:pPr>
      <w:r>
        <w:rPr>
          <w:rFonts w:ascii="Times New Roman" w:hAnsi="Times New Roman"/>
          <w:sz w:val="28"/>
          <w:szCs w:val="28"/>
        </w:rPr>
        <w:t>[18]</w:t>
      </w:r>
      <w:r>
        <w:rPr>
          <w:rFonts w:ascii="Times New Roman" w:hAnsi="Times New Roman"/>
          <w:sz w:val="28"/>
          <w:szCs w:val="28"/>
        </w:rPr>
        <w:tab/>
      </w:r>
      <w:r w:rsidR="00D64BFB" w:rsidRPr="00CD6C7A">
        <w:rPr>
          <w:rFonts w:ascii="Times New Roman" w:hAnsi="Times New Roman"/>
          <w:sz w:val="28"/>
          <w:szCs w:val="28"/>
        </w:rPr>
        <w:t xml:space="preserve">Before concluding </w:t>
      </w:r>
      <w:r w:rsidR="0010563B">
        <w:rPr>
          <w:rFonts w:ascii="Times New Roman" w:hAnsi="Times New Roman"/>
          <w:sz w:val="28"/>
          <w:szCs w:val="28"/>
        </w:rPr>
        <w:t xml:space="preserve">it is timely at this juncture to say something </w:t>
      </w:r>
      <w:r w:rsidR="00D64BFB" w:rsidRPr="00CD6C7A">
        <w:rPr>
          <w:rFonts w:ascii="Times New Roman" w:hAnsi="Times New Roman"/>
          <w:sz w:val="28"/>
          <w:szCs w:val="28"/>
        </w:rPr>
        <w:t>about the second defendant’s general approach to this application.</w:t>
      </w:r>
    </w:p>
    <w:p w14:paraId="4A2B493B" w14:textId="3A9BC11F" w:rsidR="00CF7682" w:rsidRDefault="00194C69" w:rsidP="00194C69">
      <w:pPr>
        <w:pStyle w:val="LegalList1"/>
        <w:spacing w:line="360" w:lineRule="auto"/>
        <w:rPr>
          <w:rFonts w:ascii="Times New Roman" w:hAnsi="Times New Roman"/>
          <w:sz w:val="28"/>
          <w:szCs w:val="28"/>
        </w:rPr>
      </w:pPr>
      <w:r>
        <w:rPr>
          <w:rFonts w:ascii="Times New Roman" w:hAnsi="Times New Roman"/>
          <w:sz w:val="28"/>
          <w:szCs w:val="28"/>
        </w:rPr>
        <w:t>[19]</w:t>
      </w:r>
      <w:r>
        <w:rPr>
          <w:rFonts w:ascii="Times New Roman" w:hAnsi="Times New Roman"/>
          <w:sz w:val="28"/>
          <w:szCs w:val="28"/>
        </w:rPr>
        <w:tab/>
      </w:r>
      <w:r w:rsidR="00D64BFB" w:rsidRPr="00CD6C7A">
        <w:rPr>
          <w:rFonts w:ascii="Times New Roman" w:hAnsi="Times New Roman"/>
          <w:sz w:val="28"/>
          <w:szCs w:val="28"/>
        </w:rPr>
        <w:t>Its opposing affidavit and its heads of argument (</w:t>
      </w:r>
      <w:r w:rsidR="00D64BFB">
        <w:rPr>
          <w:rFonts w:ascii="Times New Roman" w:hAnsi="Times New Roman"/>
          <w:sz w:val="28"/>
          <w:szCs w:val="28"/>
        </w:rPr>
        <w:t xml:space="preserve">pointless, albeit </w:t>
      </w:r>
      <w:r w:rsidR="00D64BFB" w:rsidRPr="00CD6C7A">
        <w:rPr>
          <w:rFonts w:ascii="Times New Roman" w:hAnsi="Times New Roman"/>
          <w:sz w:val="28"/>
          <w:szCs w:val="28"/>
        </w:rPr>
        <w:t>not drafted by counsel who appeared) misconceives the nature of the application and the relief sought</w:t>
      </w:r>
      <w:r w:rsidR="00CF7682">
        <w:rPr>
          <w:rFonts w:ascii="Times New Roman" w:hAnsi="Times New Roman"/>
          <w:sz w:val="28"/>
          <w:szCs w:val="28"/>
        </w:rPr>
        <w:t>.</w:t>
      </w:r>
    </w:p>
    <w:p w14:paraId="79A54508" w14:textId="58A7DB7A" w:rsidR="00D64BFB" w:rsidRDefault="00194C69" w:rsidP="00194C69">
      <w:pPr>
        <w:pStyle w:val="LegalList1"/>
        <w:spacing w:line="360" w:lineRule="auto"/>
        <w:rPr>
          <w:rFonts w:ascii="Times New Roman" w:hAnsi="Times New Roman"/>
          <w:sz w:val="28"/>
          <w:szCs w:val="28"/>
        </w:rPr>
      </w:pPr>
      <w:r>
        <w:rPr>
          <w:rFonts w:ascii="Times New Roman" w:hAnsi="Times New Roman"/>
          <w:sz w:val="28"/>
          <w:szCs w:val="28"/>
        </w:rPr>
        <w:t>[20]</w:t>
      </w:r>
      <w:r>
        <w:rPr>
          <w:rFonts w:ascii="Times New Roman" w:hAnsi="Times New Roman"/>
          <w:sz w:val="28"/>
          <w:szCs w:val="28"/>
        </w:rPr>
        <w:tab/>
      </w:r>
      <w:r w:rsidR="00D64BFB" w:rsidRPr="00CD6C7A">
        <w:rPr>
          <w:rFonts w:ascii="Times New Roman" w:hAnsi="Times New Roman"/>
          <w:sz w:val="28"/>
          <w:szCs w:val="28"/>
        </w:rPr>
        <w:t xml:space="preserve">On this footing, counsel for the second defendant </w:t>
      </w:r>
      <w:r w:rsidR="00D64BFB">
        <w:rPr>
          <w:rFonts w:ascii="Times New Roman" w:hAnsi="Times New Roman"/>
          <w:sz w:val="28"/>
          <w:szCs w:val="28"/>
        </w:rPr>
        <w:t xml:space="preserve">referred to the particulars of claim read with the second defendant’s plea and </w:t>
      </w:r>
      <w:r w:rsidR="00D64BFB" w:rsidRPr="00CD6C7A">
        <w:rPr>
          <w:rFonts w:ascii="Times New Roman" w:hAnsi="Times New Roman"/>
          <w:sz w:val="28"/>
          <w:szCs w:val="28"/>
        </w:rPr>
        <w:t>submitted that the documents requested in paragraphs 1, 2, 3 and 4 of the plaintiff’s rule 35(3) notice are irrelevant</w:t>
      </w:r>
      <w:r w:rsidR="00DA10FA">
        <w:rPr>
          <w:rFonts w:ascii="Times New Roman" w:hAnsi="Times New Roman"/>
          <w:sz w:val="28"/>
          <w:szCs w:val="28"/>
        </w:rPr>
        <w:t xml:space="preserve">. The matter was </w:t>
      </w:r>
      <w:r w:rsidR="00D64BFB" w:rsidRPr="00CD6C7A">
        <w:rPr>
          <w:rFonts w:ascii="Times New Roman" w:hAnsi="Times New Roman"/>
          <w:sz w:val="28"/>
          <w:szCs w:val="28"/>
        </w:rPr>
        <w:t>undeservingly disdain</w:t>
      </w:r>
      <w:r w:rsidR="00D64BFB">
        <w:rPr>
          <w:rFonts w:ascii="Times New Roman" w:hAnsi="Times New Roman"/>
          <w:sz w:val="28"/>
          <w:szCs w:val="28"/>
        </w:rPr>
        <w:t xml:space="preserve">ed as </w:t>
      </w:r>
      <w:r w:rsidR="00D64BFB" w:rsidRPr="00CD6C7A">
        <w:rPr>
          <w:rFonts w:ascii="Times New Roman" w:hAnsi="Times New Roman"/>
          <w:sz w:val="28"/>
          <w:szCs w:val="28"/>
        </w:rPr>
        <w:t xml:space="preserve">a fishing expedition to compel discovery. </w:t>
      </w:r>
      <w:r w:rsidR="00D64BFB">
        <w:rPr>
          <w:rFonts w:ascii="Times New Roman" w:hAnsi="Times New Roman"/>
          <w:sz w:val="28"/>
          <w:szCs w:val="28"/>
        </w:rPr>
        <w:t>I accept that relevance</w:t>
      </w:r>
      <w:r w:rsidR="00D64BFB" w:rsidRPr="00CD6C7A">
        <w:rPr>
          <w:rFonts w:ascii="Times New Roman" w:hAnsi="Times New Roman"/>
          <w:sz w:val="28"/>
          <w:szCs w:val="28"/>
        </w:rPr>
        <w:t xml:space="preserve"> is an issue determined with reference to the pleadings</w:t>
      </w:r>
      <w:r w:rsidR="00D64BFB">
        <w:rPr>
          <w:rStyle w:val="FootnoteReference"/>
          <w:rFonts w:ascii="Times New Roman" w:hAnsi="Times New Roman"/>
          <w:sz w:val="28"/>
          <w:szCs w:val="28"/>
        </w:rPr>
        <w:footnoteReference w:id="8"/>
      </w:r>
      <w:r w:rsidR="00D64BFB" w:rsidRPr="00CD6C7A">
        <w:rPr>
          <w:rFonts w:ascii="Times New Roman" w:hAnsi="Times New Roman"/>
          <w:sz w:val="28"/>
          <w:szCs w:val="28"/>
        </w:rPr>
        <w:t xml:space="preserve"> but the issue, as submitted by the plaintiff, is not to be </w:t>
      </w:r>
      <w:r w:rsidR="00D64BFB">
        <w:rPr>
          <w:rFonts w:ascii="Times New Roman" w:hAnsi="Times New Roman"/>
          <w:sz w:val="28"/>
          <w:szCs w:val="28"/>
        </w:rPr>
        <w:t xml:space="preserve">convoluted </w:t>
      </w:r>
      <w:r w:rsidR="00D64BFB" w:rsidRPr="00CD6C7A">
        <w:rPr>
          <w:rFonts w:ascii="Times New Roman" w:hAnsi="Times New Roman"/>
          <w:sz w:val="28"/>
          <w:szCs w:val="28"/>
        </w:rPr>
        <w:t>with the relief sought in these proceedings</w:t>
      </w:r>
      <w:r w:rsidR="00D64BFB">
        <w:rPr>
          <w:rFonts w:ascii="Times New Roman" w:hAnsi="Times New Roman"/>
          <w:sz w:val="28"/>
          <w:szCs w:val="28"/>
        </w:rPr>
        <w:t> </w:t>
      </w:r>
      <w:r w:rsidR="00D64BFB" w:rsidRPr="00CD6C7A">
        <w:rPr>
          <w:rFonts w:ascii="Times New Roman" w:hAnsi="Times New Roman"/>
          <w:sz w:val="28"/>
          <w:szCs w:val="28"/>
        </w:rPr>
        <w:t xml:space="preserve"> </w:t>
      </w:r>
      <w:r w:rsidR="00D64BFB">
        <w:rPr>
          <w:rFonts w:ascii="Times New Roman" w:hAnsi="Times New Roman"/>
          <w:sz w:val="28"/>
          <w:szCs w:val="28"/>
        </w:rPr>
        <w:t xml:space="preserve">– it </w:t>
      </w:r>
      <w:r w:rsidR="00D64BFB" w:rsidRPr="00CD6C7A">
        <w:rPr>
          <w:rFonts w:ascii="Times New Roman" w:hAnsi="Times New Roman"/>
          <w:sz w:val="28"/>
          <w:szCs w:val="28"/>
        </w:rPr>
        <w:t>correctly falls to be addressed in the second defendant’s answer to rule 35(3).</w:t>
      </w:r>
    </w:p>
    <w:p w14:paraId="545633A0" w14:textId="50B118A9" w:rsidR="00DD6E7E" w:rsidRPr="00CD6C7A" w:rsidRDefault="00194C69" w:rsidP="00194C69">
      <w:pPr>
        <w:pStyle w:val="LegalList1"/>
        <w:spacing w:line="360" w:lineRule="auto"/>
        <w:rPr>
          <w:rFonts w:ascii="Times New Roman" w:hAnsi="Times New Roman"/>
          <w:sz w:val="28"/>
          <w:szCs w:val="28"/>
        </w:rPr>
      </w:pPr>
      <w:r w:rsidRPr="00CD6C7A">
        <w:rPr>
          <w:rFonts w:ascii="Times New Roman" w:hAnsi="Times New Roman"/>
          <w:sz w:val="28"/>
          <w:szCs w:val="28"/>
        </w:rPr>
        <w:lastRenderedPageBreak/>
        <w:t>[21]</w:t>
      </w:r>
      <w:r w:rsidRPr="00CD6C7A">
        <w:rPr>
          <w:rFonts w:ascii="Times New Roman" w:hAnsi="Times New Roman"/>
          <w:sz w:val="28"/>
          <w:szCs w:val="28"/>
        </w:rPr>
        <w:tab/>
      </w:r>
      <w:r w:rsidR="00D567B1" w:rsidRPr="00CD6C7A">
        <w:rPr>
          <w:rFonts w:ascii="Times New Roman" w:hAnsi="Times New Roman"/>
          <w:sz w:val="28"/>
          <w:szCs w:val="28"/>
        </w:rPr>
        <w:t>In the circumstances I make the following order</w:t>
      </w:r>
      <w:r w:rsidR="00CD6C7A">
        <w:rPr>
          <w:rFonts w:ascii="Times New Roman" w:hAnsi="Times New Roman"/>
          <w:sz w:val="28"/>
          <w:szCs w:val="28"/>
        </w:rPr>
        <w:t>:</w:t>
      </w:r>
      <w:r w:rsidR="00744E45">
        <w:rPr>
          <w:rFonts w:ascii="Times New Roman" w:hAnsi="Times New Roman"/>
          <w:sz w:val="28"/>
          <w:szCs w:val="28"/>
        </w:rPr>
        <w:t xml:space="preserve"> </w:t>
      </w:r>
    </w:p>
    <w:p w14:paraId="0A075460" w14:textId="34C3A581" w:rsidR="00DD6E7E" w:rsidRDefault="00194C69" w:rsidP="00194C69">
      <w:pPr>
        <w:pStyle w:val="LegalList1"/>
        <w:spacing w:line="360" w:lineRule="auto"/>
        <w:ind w:left="1080" w:hanging="360"/>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E92BF1">
        <w:rPr>
          <w:rFonts w:ascii="Times New Roman" w:hAnsi="Times New Roman"/>
          <w:sz w:val="28"/>
          <w:szCs w:val="28"/>
        </w:rPr>
        <w:t>The second defendant/second respondent is ordered to comply with the provisions of rule 35(3) of the Uniform Rules of Court</w:t>
      </w:r>
      <w:r w:rsidR="00E54EC9">
        <w:rPr>
          <w:rFonts w:ascii="Times New Roman" w:hAnsi="Times New Roman"/>
          <w:sz w:val="28"/>
          <w:szCs w:val="28"/>
        </w:rPr>
        <w:t xml:space="preserve"> in respect of the notice delivered by the plaintiff/applica</w:t>
      </w:r>
      <w:r w:rsidR="00001204">
        <w:rPr>
          <w:rFonts w:ascii="Times New Roman" w:hAnsi="Times New Roman"/>
          <w:sz w:val="28"/>
          <w:szCs w:val="28"/>
        </w:rPr>
        <w:t xml:space="preserve">nt on 15 November 2022 within </w:t>
      </w:r>
      <w:r w:rsidR="000441B5">
        <w:rPr>
          <w:rFonts w:ascii="Times New Roman" w:hAnsi="Times New Roman"/>
          <w:sz w:val="28"/>
          <w:szCs w:val="28"/>
        </w:rPr>
        <w:t>fifteen</w:t>
      </w:r>
      <w:r w:rsidR="00001204">
        <w:rPr>
          <w:rFonts w:ascii="Times New Roman" w:hAnsi="Times New Roman"/>
          <w:sz w:val="28"/>
          <w:szCs w:val="28"/>
        </w:rPr>
        <w:t xml:space="preserve"> (1</w:t>
      </w:r>
      <w:r w:rsidR="000441B5">
        <w:rPr>
          <w:rFonts w:ascii="Times New Roman" w:hAnsi="Times New Roman"/>
          <w:sz w:val="28"/>
          <w:szCs w:val="28"/>
        </w:rPr>
        <w:t>5</w:t>
      </w:r>
      <w:r w:rsidR="00001204">
        <w:rPr>
          <w:rFonts w:ascii="Times New Roman" w:hAnsi="Times New Roman"/>
          <w:sz w:val="28"/>
          <w:szCs w:val="28"/>
        </w:rPr>
        <w:t>)</w:t>
      </w:r>
      <w:r w:rsidR="00E54EC9">
        <w:rPr>
          <w:rFonts w:ascii="Times New Roman" w:hAnsi="Times New Roman"/>
          <w:sz w:val="28"/>
          <w:szCs w:val="28"/>
        </w:rPr>
        <w:t xml:space="preserve"> days</w:t>
      </w:r>
      <w:r w:rsidR="00001204">
        <w:rPr>
          <w:rFonts w:ascii="Times New Roman" w:hAnsi="Times New Roman"/>
          <w:sz w:val="28"/>
          <w:szCs w:val="28"/>
        </w:rPr>
        <w:t xml:space="preserve"> of the date of this order.</w:t>
      </w:r>
    </w:p>
    <w:p w14:paraId="563C92C8" w14:textId="7477D8C3" w:rsidR="00001204" w:rsidRDefault="00194C69" w:rsidP="00194C69">
      <w:pPr>
        <w:pStyle w:val="LegalList1"/>
        <w:spacing w:line="360" w:lineRule="auto"/>
        <w:ind w:left="1080" w:hanging="360"/>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001204" w:rsidRPr="00395763">
        <w:rPr>
          <w:rFonts w:ascii="Times New Roman" w:hAnsi="Times New Roman"/>
          <w:sz w:val="28"/>
          <w:szCs w:val="28"/>
        </w:rPr>
        <w:t>In the event of a failure by the second defendant/second respondent to comply with paragraph 1 of this order</w:t>
      </w:r>
      <w:r w:rsidR="00487FEE" w:rsidRPr="00395763">
        <w:rPr>
          <w:rFonts w:ascii="Times New Roman" w:hAnsi="Times New Roman"/>
          <w:sz w:val="28"/>
          <w:szCs w:val="28"/>
        </w:rPr>
        <w:t xml:space="preserve">, the plaintiff/applicant is </w:t>
      </w:r>
      <w:r w:rsidR="00F63E6E">
        <w:rPr>
          <w:rFonts w:ascii="Times New Roman" w:hAnsi="Times New Roman"/>
          <w:sz w:val="28"/>
          <w:szCs w:val="28"/>
        </w:rPr>
        <w:t xml:space="preserve">hereby </w:t>
      </w:r>
      <w:r w:rsidR="00487FEE" w:rsidRPr="00395763">
        <w:rPr>
          <w:rFonts w:ascii="Times New Roman" w:hAnsi="Times New Roman"/>
          <w:sz w:val="28"/>
          <w:szCs w:val="28"/>
        </w:rPr>
        <w:t>given leave</w:t>
      </w:r>
      <w:r w:rsidR="007F5645" w:rsidRPr="00395763">
        <w:rPr>
          <w:rFonts w:ascii="Times New Roman" w:hAnsi="Times New Roman"/>
          <w:sz w:val="28"/>
          <w:szCs w:val="28"/>
        </w:rPr>
        <w:t xml:space="preserve"> to approach this Court on the same papers, supplemented</w:t>
      </w:r>
      <w:r w:rsidR="00F63E6E">
        <w:rPr>
          <w:rFonts w:ascii="Times New Roman" w:hAnsi="Times New Roman"/>
          <w:sz w:val="28"/>
          <w:szCs w:val="28"/>
        </w:rPr>
        <w:t xml:space="preserve"> if necessary</w:t>
      </w:r>
      <w:r w:rsidR="007F5645" w:rsidRPr="00395763">
        <w:rPr>
          <w:rFonts w:ascii="Times New Roman" w:hAnsi="Times New Roman"/>
          <w:sz w:val="28"/>
          <w:szCs w:val="28"/>
        </w:rPr>
        <w:t>, and on ten (10) days’ notice</w:t>
      </w:r>
      <w:r w:rsidR="001F08FC">
        <w:rPr>
          <w:rFonts w:ascii="Times New Roman" w:hAnsi="Times New Roman"/>
          <w:sz w:val="28"/>
          <w:szCs w:val="28"/>
        </w:rPr>
        <w:t>,</w:t>
      </w:r>
      <w:r w:rsidR="007F5645" w:rsidRPr="00395763">
        <w:rPr>
          <w:rFonts w:ascii="Times New Roman" w:hAnsi="Times New Roman"/>
          <w:sz w:val="28"/>
          <w:szCs w:val="28"/>
        </w:rPr>
        <w:t xml:space="preserve"> for an order striking out the defence of the second respondent/second defendant together with an appropriate costs order.</w:t>
      </w:r>
    </w:p>
    <w:p w14:paraId="6CD7ED6D" w14:textId="286637CF" w:rsidR="00131BFE" w:rsidRPr="00395763" w:rsidRDefault="00194C69" w:rsidP="00194C69">
      <w:pPr>
        <w:pStyle w:val="LegalList1"/>
        <w:spacing w:line="360" w:lineRule="auto"/>
        <w:ind w:left="1080" w:hanging="360"/>
        <w:rPr>
          <w:rFonts w:ascii="Times New Roman" w:hAnsi="Times New Roman"/>
          <w:sz w:val="28"/>
          <w:szCs w:val="28"/>
        </w:rPr>
      </w:pPr>
      <w:r w:rsidRPr="00395763">
        <w:rPr>
          <w:rFonts w:ascii="Times New Roman" w:hAnsi="Times New Roman"/>
          <w:sz w:val="28"/>
          <w:szCs w:val="28"/>
        </w:rPr>
        <w:t>3.</w:t>
      </w:r>
      <w:r w:rsidRPr="00395763">
        <w:rPr>
          <w:rFonts w:ascii="Times New Roman" w:hAnsi="Times New Roman"/>
          <w:sz w:val="28"/>
          <w:szCs w:val="28"/>
        </w:rPr>
        <w:tab/>
      </w:r>
      <w:r w:rsidR="007F5645" w:rsidRPr="00395763">
        <w:rPr>
          <w:rFonts w:ascii="Times New Roman" w:hAnsi="Times New Roman"/>
          <w:sz w:val="28"/>
          <w:szCs w:val="28"/>
        </w:rPr>
        <w:t>The second respondent/second defendant</w:t>
      </w:r>
      <w:r w:rsidR="00395763" w:rsidRPr="00395763">
        <w:rPr>
          <w:rFonts w:ascii="Times New Roman" w:hAnsi="Times New Roman"/>
          <w:sz w:val="28"/>
          <w:szCs w:val="28"/>
        </w:rPr>
        <w:t xml:space="preserve"> shall pay the costs of this application.</w:t>
      </w:r>
    </w:p>
    <w:p w14:paraId="32BC6895" w14:textId="77777777" w:rsidR="00835C60" w:rsidRDefault="00835C60" w:rsidP="00395763">
      <w:pPr>
        <w:pStyle w:val="LegalList1"/>
        <w:spacing w:line="360" w:lineRule="auto"/>
        <w:rPr>
          <w:rFonts w:ascii="Times New Roman" w:hAnsi="Times New Roman"/>
          <w:sz w:val="28"/>
          <w:szCs w:val="28"/>
        </w:rPr>
      </w:pPr>
    </w:p>
    <w:p w14:paraId="0104EAE2" w14:textId="77777777" w:rsidR="00B37A3E" w:rsidRPr="00CD6C14" w:rsidRDefault="00B37A3E" w:rsidP="00395763">
      <w:pPr>
        <w:pStyle w:val="LegalList1"/>
        <w:spacing w:line="360" w:lineRule="auto"/>
        <w:rPr>
          <w:rFonts w:ascii="Times New Roman" w:hAnsi="Times New Roman"/>
          <w:sz w:val="28"/>
          <w:szCs w:val="28"/>
        </w:rPr>
      </w:pPr>
    </w:p>
    <w:p w14:paraId="34B38FE8" w14:textId="77777777" w:rsidR="00835C60" w:rsidRPr="00CD6C14" w:rsidRDefault="00835C60" w:rsidP="00835C60">
      <w:pPr>
        <w:pStyle w:val="LegalList1"/>
        <w:spacing w:after="0" w:line="360" w:lineRule="auto"/>
        <w:rPr>
          <w:rFonts w:ascii="Times New Roman" w:hAnsi="Times New Roman"/>
          <w:sz w:val="28"/>
          <w:szCs w:val="28"/>
        </w:rPr>
      </w:pPr>
      <w:r w:rsidRPr="00CD6C14">
        <w:rPr>
          <w:rFonts w:ascii="Times New Roman" w:hAnsi="Times New Roman"/>
          <w:sz w:val="28"/>
          <w:szCs w:val="28"/>
        </w:rPr>
        <w:t>____________________________</w:t>
      </w:r>
    </w:p>
    <w:p w14:paraId="67A48CC6" w14:textId="77777777" w:rsidR="00835C60" w:rsidRPr="00CD6C14" w:rsidRDefault="00835C60" w:rsidP="00835C60">
      <w:pPr>
        <w:pStyle w:val="LegalList1"/>
        <w:spacing w:after="0" w:line="360" w:lineRule="auto"/>
        <w:rPr>
          <w:rFonts w:ascii="Times New Roman" w:hAnsi="Times New Roman"/>
          <w:b/>
          <w:sz w:val="28"/>
          <w:szCs w:val="28"/>
        </w:rPr>
      </w:pPr>
      <w:r w:rsidRPr="00CD6C14">
        <w:rPr>
          <w:rFonts w:ascii="Times New Roman" w:hAnsi="Times New Roman"/>
          <w:b/>
          <w:sz w:val="28"/>
          <w:szCs w:val="28"/>
        </w:rPr>
        <w:t>M S RUGUNANAN</w:t>
      </w:r>
    </w:p>
    <w:p w14:paraId="2EB976F0" w14:textId="77777777" w:rsidR="00835C60" w:rsidRDefault="00835C60" w:rsidP="00835C60">
      <w:pPr>
        <w:pStyle w:val="LegalList1"/>
        <w:spacing w:after="0" w:line="360" w:lineRule="auto"/>
        <w:rPr>
          <w:rFonts w:ascii="Times New Roman" w:hAnsi="Times New Roman"/>
          <w:b/>
          <w:sz w:val="28"/>
          <w:szCs w:val="28"/>
        </w:rPr>
      </w:pPr>
      <w:r w:rsidRPr="00CD6C14">
        <w:rPr>
          <w:rFonts w:ascii="Times New Roman" w:hAnsi="Times New Roman"/>
          <w:b/>
          <w:sz w:val="28"/>
          <w:szCs w:val="28"/>
        </w:rPr>
        <w:t>JUDGE OF THE HIGH COURT</w:t>
      </w:r>
    </w:p>
    <w:p w14:paraId="1C149FAB" w14:textId="77777777" w:rsidR="00835C60" w:rsidRDefault="00835C60" w:rsidP="00835C60">
      <w:pPr>
        <w:pStyle w:val="LegalList1"/>
        <w:spacing w:after="0" w:line="360" w:lineRule="auto"/>
        <w:rPr>
          <w:rFonts w:ascii="Times New Roman" w:hAnsi="Times New Roman"/>
          <w:sz w:val="28"/>
          <w:szCs w:val="28"/>
        </w:rPr>
      </w:pPr>
    </w:p>
    <w:p w14:paraId="5E3E2BBA" w14:textId="77777777" w:rsidR="00017EC1" w:rsidRDefault="00017EC1" w:rsidP="00835C60">
      <w:pPr>
        <w:pStyle w:val="LegalList1"/>
        <w:spacing w:after="0" w:line="360" w:lineRule="auto"/>
        <w:rPr>
          <w:rFonts w:ascii="Times New Roman" w:hAnsi="Times New Roman"/>
          <w:sz w:val="28"/>
          <w:szCs w:val="28"/>
        </w:rPr>
      </w:pPr>
    </w:p>
    <w:p w14:paraId="122058C9" w14:textId="77777777" w:rsidR="00B37A3E" w:rsidRDefault="00B37A3E" w:rsidP="00835C60">
      <w:pPr>
        <w:pStyle w:val="LegalList1"/>
        <w:spacing w:after="0" w:line="360" w:lineRule="auto"/>
        <w:rPr>
          <w:rFonts w:ascii="Times New Roman" w:hAnsi="Times New Roman"/>
          <w:sz w:val="28"/>
          <w:szCs w:val="28"/>
        </w:rPr>
      </w:pPr>
    </w:p>
    <w:p w14:paraId="7DFAE52B" w14:textId="77777777" w:rsidR="00B37A3E" w:rsidRDefault="00B37A3E" w:rsidP="00835C60">
      <w:pPr>
        <w:pStyle w:val="LegalList1"/>
        <w:spacing w:after="0" w:line="360" w:lineRule="auto"/>
        <w:rPr>
          <w:rFonts w:ascii="Times New Roman" w:hAnsi="Times New Roman"/>
          <w:sz w:val="28"/>
          <w:szCs w:val="28"/>
        </w:rPr>
      </w:pPr>
    </w:p>
    <w:p w14:paraId="1D368DC5" w14:textId="77777777" w:rsidR="00B37A3E" w:rsidRDefault="00B37A3E" w:rsidP="00835C60">
      <w:pPr>
        <w:pStyle w:val="LegalList1"/>
        <w:spacing w:after="0" w:line="360" w:lineRule="auto"/>
        <w:rPr>
          <w:rFonts w:ascii="Times New Roman" w:hAnsi="Times New Roman"/>
          <w:sz w:val="28"/>
          <w:szCs w:val="28"/>
        </w:rPr>
      </w:pPr>
    </w:p>
    <w:p w14:paraId="50E98ED0" w14:textId="77777777" w:rsidR="00B37A3E" w:rsidRDefault="00B37A3E" w:rsidP="00835C60">
      <w:pPr>
        <w:pStyle w:val="LegalList1"/>
        <w:spacing w:after="0" w:line="360" w:lineRule="auto"/>
        <w:rPr>
          <w:rFonts w:ascii="Times New Roman" w:hAnsi="Times New Roman"/>
          <w:sz w:val="28"/>
          <w:szCs w:val="28"/>
        </w:rPr>
      </w:pPr>
    </w:p>
    <w:p w14:paraId="2B18B002" w14:textId="77777777" w:rsidR="00017EC1" w:rsidRDefault="00017EC1" w:rsidP="00017EC1">
      <w:pPr>
        <w:pStyle w:val="LegalList1"/>
        <w:spacing w:after="0" w:line="360" w:lineRule="auto"/>
        <w:rPr>
          <w:rFonts w:ascii="Times New Roman" w:hAnsi="Times New Roman"/>
          <w:sz w:val="28"/>
          <w:szCs w:val="28"/>
        </w:rPr>
      </w:pPr>
      <w:r w:rsidRPr="00B91145">
        <w:rPr>
          <w:rFonts w:ascii="Times New Roman" w:hAnsi="Times New Roman"/>
          <w:sz w:val="28"/>
          <w:szCs w:val="28"/>
        </w:rPr>
        <w:lastRenderedPageBreak/>
        <w:t>Appearances:</w:t>
      </w:r>
    </w:p>
    <w:p w14:paraId="6D250C86" w14:textId="77777777" w:rsidR="00017EC1" w:rsidRPr="00B91145" w:rsidRDefault="00017EC1" w:rsidP="00017EC1">
      <w:pPr>
        <w:pStyle w:val="LegalList1"/>
        <w:spacing w:after="0" w:line="360" w:lineRule="auto"/>
        <w:rPr>
          <w:rFonts w:ascii="Times New Roman" w:hAnsi="Times New Roman"/>
          <w:sz w:val="28"/>
          <w:szCs w:val="28"/>
        </w:rPr>
      </w:pPr>
    </w:p>
    <w:p w14:paraId="415E5BAD" w14:textId="77777777" w:rsidR="00017EC1" w:rsidRDefault="00017EC1" w:rsidP="00017EC1">
      <w:pPr>
        <w:pStyle w:val="LegalList1"/>
        <w:spacing w:after="0" w:line="360" w:lineRule="auto"/>
        <w:rPr>
          <w:rFonts w:ascii="Times New Roman" w:hAnsi="Times New Roman"/>
          <w:sz w:val="28"/>
          <w:szCs w:val="28"/>
        </w:rPr>
      </w:pPr>
      <w:r w:rsidRPr="00B91145">
        <w:rPr>
          <w:rFonts w:ascii="Times New Roman" w:hAnsi="Times New Roman"/>
          <w:sz w:val="28"/>
          <w:szCs w:val="28"/>
        </w:rPr>
        <w:t xml:space="preserve">For the </w:t>
      </w:r>
      <w:r w:rsidR="001743DD">
        <w:rPr>
          <w:rFonts w:ascii="Times New Roman" w:hAnsi="Times New Roman"/>
          <w:sz w:val="28"/>
          <w:szCs w:val="28"/>
        </w:rPr>
        <w:t>Applicant/</w:t>
      </w:r>
      <w:r w:rsidR="00DD28B2">
        <w:rPr>
          <w:rFonts w:ascii="Times New Roman" w:hAnsi="Times New Roman"/>
          <w:sz w:val="28"/>
          <w:szCs w:val="28"/>
        </w:rPr>
        <w:t>Plaintiff</w:t>
      </w:r>
      <w:r w:rsidRPr="00B91145">
        <w:rPr>
          <w:rFonts w:ascii="Times New Roman" w:hAnsi="Times New Roman"/>
          <w:sz w:val="28"/>
          <w:szCs w:val="28"/>
        </w:rPr>
        <w:t xml:space="preserve">: </w:t>
      </w:r>
      <w:r w:rsidR="00700F24" w:rsidRPr="00DD28B2">
        <w:rPr>
          <w:rFonts w:ascii="Times New Roman" w:hAnsi="Times New Roman"/>
          <w:i/>
          <w:sz w:val="28"/>
          <w:szCs w:val="28"/>
        </w:rPr>
        <w:t>W H Olivier</w:t>
      </w:r>
      <w:r w:rsidRPr="00B91145">
        <w:rPr>
          <w:rFonts w:ascii="Times New Roman" w:hAnsi="Times New Roman"/>
          <w:sz w:val="28"/>
          <w:szCs w:val="28"/>
        </w:rPr>
        <w:t xml:space="preserve">, Instructed by </w:t>
      </w:r>
      <w:r w:rsidR="00700F24">
        <w:rPr>
          <w:rFonts w:ascii="Times New Roman" w:hAnsi="Times New Roman"/>
          <w:sz w:val="28"/>
          <w:szCs w:val="28"/>
        </w:rPr>
        <w:t>De Jager &amp; Lordan Inc.,</w:t>
      </w:r>
      <w:r>
        <w:rPr>
          <w:rFonts w:ascii="Times New Roman" w:hAnsi="Times New Roman"/>
          <w:sz w:val="28"/>
          <w:szCs w:val="28"/>
        </w:rPr>
        <w:t xml:space="preserve"> </w:t>
      </w:r>
      <w:r w:rsidR="00DD28B2">
        <w:rPr>
          <w:rFonts w:ascii="Times New Roman" w:hAnsi="Times New Roman"/>
          <w:sz w:val="28"/>
          <w:szCs w:val="28"/>
        </w:rPr>
        <w:t xml:space="preserve">Makhanda, Tel: 046-622 2799 </w:t>
      </w:r>
      <w:r>
        <w:rPr>
          <w:rFonts w:ascii="Times New Roman" w:hAnsi="Times New Roman"/>
          <w:sz w:val="28"/>
          <w:szCs w:val="28"/>
        </w:rPr>
        <w:t xml:space="preserve">(Ref: </w:t>
      </w:r>
      <w:r w:rsidR="00700F24" w:rsidRPr="00700F24">
        <w:rPr>
          <w:rFonts w:ascii="Times New Roman" w:hAnsi="Times New Roman"/>
          <w:i/>
          <w:sz w:val="28"/>
          <w:szCs w:val="28"/>
        </w:rPr>
        <w:t>L Vaccaro</w:t>
      </w:r>
      <w:r w:rsidR="00700F24">
        <w:rPr>
          <w:rFonts w:ascii="Times New Roman" w:hAnsi="Times New Roman"/>
          <w:sz w:val="28"/>
          <w:szCs w:val="28"/>
        </w:rPr>
        <w:t>)</w:t>
      </w:r>
      <w:r w:rsidR="00703063">
        <w:rPr>
          <w:rFonts w:ascii="Times New Roman" w:hAnsi="Times New Roman"/>
          <w:sz w:val="28"/>
          <w:szCs w:val="28"/>
        </w:rPr>
        <w:t>.</w:t>
      </w:r>
    </w:p>
    <w:p w14:paraId="5BEFE45F" w14:textId="77777777" w:rsidR="00017EC1" w:rsidRDefault="00017EC1" w:rsidP="00017EC1">
      <w:pPr>
        <w:pStyle w:val="LegalList1"/>
        <w:spacing w:after="0" w:line="360" w:lineRule="auto"/>
        <w:rPr>
          <w:rFonts w:ascii="Times New Roman" w:hAnsi="Times New Roman"/>
          <w:sz w:val="28"/>
          <w:szCs w:val="28"/>
        </w:rPr>
      </w:pPr>
    </w:p>
    <w:p w14:paraId="1D18F944" w14:textId="77777777" w:rsidR="00017EC1" w:rsidRDefault="00017EC1" w:rsidP="00017EC1">
      <w:pPr>
        <w:pStyle w:val="LegalList1"/>
        <w:spacing w:after="0" w:line="360" w:lineRule="auto"/>
        <w:rPr>
          <w:rFonts w:ascii="Times New Roman" w:hAnsi="Times New Roman"/>
          <w:sz w:val="28"/>
          <w:szCs w:val="28"/>
        </w:rPr>
      </w:pPr>
      <w:r w:rsidRPr="00B91145">
        <w:rPr>
          <w:rFonts w:ascii="Times New Roman" w:hAnsi="Times New Roman"/>
          <w:sz w:val="28"/>
          <w:szCs w:val="28"/>
        </w:rPr>
        <w:t xml:space="preserve">For the </w:t>
      </w:r>
      <w:r w:rsidR="004A2B09">
        <w:rPr>
          <w:rFonts w:ascii="Times New Roman" w:hAnsi="Times New Roman"/>
          <w:sz w:val="28"/>
          <w:szCs w:val="28"/>
        </w:rPr>
        <w:t>Second Respondent/</w:t>
      </w:r>
      <w:r w:rsidR="001743DD">
        <w:rPr>
          <w:rFonts w:ascii="Times New Roman" w:hAnsi="Times New Roman"/>
          <w:sz w:val="28"/>
          <w:szCs w:val="28"/>
        </w:rPr>
        <w:t>S</w:t>
      </w:r>
      <w:r w:rsidR="004A2B09">
        <w:rPr>
          <w:rFonts w:ascii="Times New Roman" w:hAnsi="Times New Roman"/>
          <w:sz w:val="28"/>
          <w:szCs w:val="28"/>
        </w:rPr>
        <w:t>econd Def</w:t>
      </w:r>
      <w:r w:rsidR="001743DD">
        <w:rPr>
          <w:rFonts w:ascii="Times New Roman" w:hAnsi="Times New Roman"/>
          <w:sz w:val="28"/>
          <w:szCs w:val="28"/>
        </w:rPr>
        <w:t>endant</w:t>
      </w:r>
      <w:r w:rsidRPr="00B91145">
        <w:rPr>
          <w:rFonts w:ascii="Times New Roman" w:hAnsi="Times New Roman"/>
          <w:sz w:val="28"/>
          <w:szCs w:val="28"/>
        </w:rPr>
        <w:t xml:space="preserve">: </w:t>
      </w:r>
      <w:r w:rsidRPr="00A3242E">
        <w:rPr>
          <w:rFonts w:ascii="Times New Roman" w:hAnsi="Times New Roman"/>
          <w:i/>
          <w:sz w:val="28"/>
          <w:szCs w:val="28"/>
        </w:rPr>
        <w:t>K L Watt</w:t>
      </w:r>
      <w:r w:rsidR="00B37A3E">
        <w:rPr>
          <w:rFonts w:ascii="Times New Roman" w:hAnsi="Times New Roman"/>
          <w:i/>
          <w:sz w:val="28"/>
          <w:szCs w:val="28"/>
        </w:rPr>
        <w:t xml:space="preserve"> </w:t>
      </w:r>
      <w:r w:rsidR="00B37A3E" w:rsidRPr="00B37A3E">
        <w:rPr>
          <w:rFonts w:ascii="Times New Roman" w:hAnsi="Times New Roman"/>
          <w:sz w:val="28"/>
          <w:szCs w:val="28"/>
        </w:rPr>
        <w:t xml:space="preserve">(heads of argument drafted by </w:t>
      </w:r>
      <w:r w:rsidR="00B37A3E">
        <w:rPr>
          <w:rFonts w:ascii="Times New Roman" w:hAnsi="Times New Roman"/>
          <w:i/>
          <w:sz w:val="28"/>
          <w:szCs w:val="28"/>
        </w:rPr>
        <w:t>L M Mills</w:t>
      </w:r>
      <w:r w:rsidR="00B37A3E" w:rsidRPr="00B37A3E">
        <w:rPr>
          <w:rFonts w:ascii="Times New Roman" w:hAnsi="Times New Roman"/>
          <w:sz w:val="28"/>
          <w:szCs w:val="28"/>
        </w:rPr>
        <w:t>)</w:t>
      </w:r>
      <w:r w:rsidRPr="00B91145">
        <w:rPr>
          <w:rFonts w:ascii="Times New Roman" w:hAnsi="Times New Roman"/>
          <w:sz w:val="28"/>
          <w:szCs w:val="28"/>
        </w:rPr>
        <w:t>, Instructed by</w:t>
      </w:r>
      <w:r>
        <w:rPr>
          <w:rFonts w:ascii="Times New Roman" w:hAnsi="Times New Roman"/>
          <w:sz w:val="28"/>
          <w:szCs w:val="28"/>
        </w:rPr>
        <w:t xml:space="preserve"> </w:t>
      </w:r>
      <w:r w:rsidR="001743DD">
        <w:rPr>
          <w:rFonts w:ascii="Times New Roman" w:hAnsi="Times New Roman"/>
          <w:sz w:val="28"/>
          <w:szCs w:val="28"/>
        </w:rPr>
        <w:t>Wheeldon Rushmere &amp; Cole Inc.,</w:t>
      </w:r>
      <w:r w:rsidR="007B7212">
        <w:rPr>
          <w:rFonts w:ascii="Times New Roman" w:hAnsi="Times New Roman"/>
          <w:sz w:val="28"/>
          <w:szCs w:val="28"/>
        </w:rPr>
        <w:t xml:space="preserve"> Tel: 046-622 7005 </w:t>
      </w:r>
      <w:r>
        <w:rPr>
          <w:rFonts w:ascii="Times New Roman" w:hAnsi="Times New Roman"/>
          <w:sz w:val="28"/>
          <w:szCs w:val="28"/>
        </w:rPr>
        <w:t xml:space="preserve">(Ref: </w:t>
      </w:r>
      <w:r w:rsidR="007B7212" w:rsidRPr="007B7212">
        <w:rPr>
          <w:rFonts w:ascii="Times New Roman" w:hAnsi="Times New Roman"/>
          <w:i/>
          <w:sz w:val="28"/>
          <w:szCs w:val="28"/>
        </w:rPr>
        <w:t>M Van der Veen</w:t>
      </w:r>
      <w:r>
        <w:rPr>
          <w:rFonts w:ascii="Times New Roman" w:hAnsi="Times New Roman"/>
          <w:sz w:val="28"/>
          <w:szCs w:val="28"/>
        </w:rPr>
        <w:t>)</w:t>
      </w:r>
      <w:r w:rsidR="00703063">
        <w:rPr>
          <w:rFonts w:ascii="Times New Roman" w:hAnsi="Times New Roman"/>
          <w:sz w:val="28"/>
          <w:szCs w:val="28"/>
        </w:rPr>
        <w:t>.</w:t>
      </w:r>
    </w:p>
    <w:p w14:paraId="621F56A1" w14:textId="77777777" w:rsidR="00017EC1" w:rsidRDefault="00017EC1" w:rsidP="00017EC1">
      <w:pPr>
        <w:pStyle w:val="LegalList1"/>
        <w:spacing w:after="0" w:line="360" w:lineRule="auto"/>
        <w:rPr>
          <w:rFonts w:ascii="Times New Roman" w:hAnsi="Times New Roman"/>
          <w:sz w:val="28"/>
          <w:szCs w:val="28"/>
        </w:rPr>
      </w:pPr>
    </w:p>
    <w:p w14:paraId="674B4FC7" w14:textId="77777777" w:rsidR="00017EC1" w:rsidRDefault="00017EC1" w:rsidP="00017EC1">
      <w:pPr>
        <w:pStyle w:val="LegalList1"/>
        <w:spacing w:after="0" w:line="360" w:lineRule="auto"/>
        <w:rPr>
          <w:rFonts w:ascii="Times New Roman" w:hAnsi="Times New Roman"/>
          <w:sz w:val="28"/>
          <w:szCs w:val="28"/>
        </w:rPr>
      </w:pPr>
    </w:p>
    <w:p w14:paraId="4F4077B5" w14:textId="77777777" w:rsidR="00017EC1" w:rsidRPr="00672E20" w:rsidRDefault="00017EC1" w:rsidP="00017EC1">
      <w:pPr>
        <w:pStyle w:val="LegalList1"/>
        <w:spacing w:after="0" w:line="360" w:lineRule="auto"/>
        <w:rPr>
          <w:rFonts w:ascii="Times New Roman" w:hAnsi="Times New Roman"/>
          <w:sz w:val="28"/>
          <w:szCs w:val="28"/>
        </w:rPr>
      </w:pPr>
      <w:r>
        <w:rPr>
          <w:rFonts w:ascii="Times New Roman" w:hAnsi="Times New Roman"/>
          <w:sz w:val="28"/>
          <w:szCs w:val="28"/>
        </w:rPr>
        <w:t>Date heard:</w:t>
      </w:r>
      <w:r>
        <w:rPr>
          <w:rFonts w:ascii="Times New Roman" w:hAnsi="Times New Roman"/>
          <w:sz w:val="28"/>
          <w:szCs w:val="28"/>
        </w:rPr>
        <w:tab/>
      </w:r>
      <w:r>
        <w:rPr>
          <w:rFonts w:ascii="Times New Roman" w:hAnsi="Times New Roman"/>
          <w:sz w:val="28"/>
          <w:szCs w:val="28"/>
        </w:rPr>
        <w:tab/>
        <w:t>12 October 2023.</w:t>
      </w:r>
    </w:p>
    <w:p w14:paraId="773D429A" w14:textId="77777777" w:rsidR="00017EC1" w:rsidRPr="00672E20" w:rsidRDefault="00017EC1" w:rsidP="00017EC1">
      <w:pPr>
        <w:pStyle w:val="LegalList1"/>
        <w:spacing w:after="0" w:line="360" w:lineRule="auto"/>
        <w:rPr>
          <w:rFonts w:ascii="Times New Roman" w:hAnsi="Times New Roman"/>
          <w:sz w:val="28"/>
          <w:szCs w:val="28"/>
        </w:rPr>
      </w:pPr>
      <w:r>
        <w:rPr>
          <w:rFonts w:ascii="Times New Roman" w:hAnsi="Times New Roman"/>
          <w:sz w:val="28"/>
          <w:szCs w:val="28"/>
        </w:rPr>
        <w:t>Date delivered:</w:t>
      </w:r>
      <w:r>
        <w:rPr>
          <w:rFonts w:ascii="Times New Roman" w:hAnsi="Times New Roman"/>
          <w:sz w:val="28"/>
          <w:szCs w:val="28"/>
        </w:rPr>
        <w:tab/>
      </w:r>
      <w:r w:rsidR="00AF5607">
        <w:rPr>
          <w:rFonts w:ascii="Times New Roman" w:hAnsi="Times New Roman"/>
          <w:sz w:val="28"/>
          <w:szCs w:val="28"/>
        </w:rPr>
        <w:t>10</w:t>
      </w:r>
      <w:r w:rsidR="007B7212">
        <w:rPr>
          <w:rFonts w:ascii="Times New Roman" w:hAnsi="Times New Roman"/>
          <w:sz w:val="28"/>
          <w:szCs w:val="28"/>
        </w:rPr>
        <w:t xml:space="preserve"> January 2024</w:t>
      </w:r>
      <w:r>
        <w:rPr>
          <w:rFonts w:ascii="Times New Roman" w:hAnsi="Times New Roman"/>
          <w:sz w:val="28"/>
          <w:szCs w:val="28"/>
        </w:rPr>
        <w:t>.</w:t>
      </w:r>
    </w:p>
    <w:p w14:paraId="043104B6" w14:textId="77777777" w:rsidR="00017EC1" w:rsidRPr="00672E20" w:rsidRDefault="00017EC1" w:rsidP="00835C60">
      <w:pPr>
        <w:pStyle w:val="LegalList1"/>
        <w:spacing w:after="0" w:line="360" w:lineRule="auto"/>
        <w:rPr>
          <w:rFonts w:ascii="Times New Roman" w:hAnsi="Times New Roman"/>
          <w:sz w:val="28"/>
          <w:szCs w:val="28"/>
        </w:rPr>
      </w:pPr>
    </w:p>
    <w:sectPr w:rsidR="00017EC1" w:rsidRPr="00672E20" w:rsidSect="001D76F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83EE6" w14:textId="77777777" w:rsidR="00FA5FA4" w:rsidRDefault="00FA5FA4" w:rsidP="00354A12">
      <w:pPr>
        <w:spacing w:line="240" w:lineRule="auto"/>
      </w:pPr>
      <w:r>
        <w:separator/>
      </w:r>
    </w:p>
  </w:endnote>
  <w:endnote w:type="continuationSeparator" w:id="0">
    <w:p w14:paraId="7A5AB235" w14:textId="77777777" w:rsidR="00FA5FA4" w:rsidRDefault="00FA5FA4" w:rsidP="00354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C9113" w14:textId="77777777" w:rsidR="00B564A2" w:rsidRDefault="00B564A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376BF" w14:textId="77777777" w:rsidR="00B564A2" w:rsidRDefault="00B564A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17CC4" w14:textId="77777777" w:rsidR="00B564A2" w:rsidRDefault="00B564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A466F" w14:textId="77777777" w:rsidR="00FA5FA4" w:rsidRDefault="00FA5FA4" w:rsidP="00354A12">
      <w:pPr>
        <w:spacing w:line="240" w:lineRule="auto"/>
      </w:pPr>
      <w:r>
        <w:separator/>
      </w:r>
    </w:p>
  </w:footnote>
  <w:footnote w:type="continuationSeparator" w:id="0">
    <w:p w14:paraId="099235CF" w14:textId="77777777" w:rsidR="00FA5FA4" w:rsidRDefault="00FA5FA4" w:rsidP="00354A12">
      <w:pPr>
        <w:spacing w:line="240" w:lineRule="auto"/>
      </w:pPr>
      <w:r>
        <w:continuationSeparator/>
      </w:r>
    </w:p>
  </w:footnote>
  <w:footnote w:id="1">
    <w:p w14:paraId="44492000" w14:textId="77777777" w:rsidR="00346954" w:rsidRPr="004D1E86" w:rsidRDefault="00346954">
      <w:pPr>
        <w:pStyle w:val="FootnoteText"/>
        <w:rPr>
          <w:rFonts w:ascii="Times New Roman" w:hAnsi="Times New Roman" w:cs="Times New Roman"/>
        </w:rPr>
      </w:pPr>
      <w:r w:rsidRPr="004D1E86">
        <w:rPr>
          <w:rStyle w:val="FootnoteReference"/>
          <w:rFonts w:ascii="Times New Roman" w:hAnsi="Times New Roman" w:cs="Times New Roman"/>
        </w:rPr>
        <w:footnoteRef/>
      </w:r>
      <w:r w:rsidRPr="004D1E86">
        <w:rPr>
          <w:rFonts w:ascii="Times New Roman" w:hAnsi="Times New Roman" w:cs="Times New Roman"/>
        </w:rPr>
        <w:t xml:space="preserve"> </w:t>
      </w:r>
      <w:r w:rsidRPr="00D413B2">
        <w:rPr>
          <w:rFonts w:ascii="Times New Roman" w:hAnsi="Times New Roman" w:cs="Times New Roman"/>
          <w:i/>
        </w:rPr>
        <w:t>RAF v Lifson</w:t>
      </w:r>
      <w:r w:rsidRPr="004D1E86">
        <w:rPr>
          <w:rFonts w:ascii="Times New Roman" w:hAnsi="Times New Roman" w:cs="Times New Roman"/>
        </w:rPr>
        <w:t xml:space="preserve"> [2007] JOL 20861 (E)</w:t>
      </w:r>
      <w:r w:rsidR="00F929EA" w:rsidRPr="004D1E86">
        <w:rPr>
          <w:rFonts w:ascii="Times New Roman" w:hAnsi="Times New Roman" w:cs="Times New Roman"/>
        </w:rPr>
        <w:t>.</w:t>
      </w:r>
    </w:p>
  </w:footnote>
  <w:footnote w:id="2">
    <w:p w14:paraId="445D7964" w14:textId="77777777" w:rsidR="008176F6" w:rsidRPr="004D1E86" w:rsidRDefault="008176F6">
      <w:pPr>
        <w:pStyle w:val="FootnoteText"/>
        <w:rPr>
          <w:rFonts w:ascii="Times New Roman" w:hAnsi="Times New Roman" w:cs="Times New Roman"/>
        </w:rPr>
      </w:pPr>
      <w:r w:rsidRPr="004D1E86">
        <w:rPr>
          <w:rStyle w:val="FootnoteReference"/>
          <w:rFonts w:ascii="Times New Roman" w:hAnsi="Times New Roman" w:cs="Times New Roman"/>
        </w:rPr>
        <w:footnoteRef/>
      </w:r>
      <w:r w:rsidRPr="004D1E86">
        <w:rPr>
          <w:rFonts w:ascii="Times New Roman" w:hAnsi="Times New Roman" w:cs="Times New Roman"/>
        </w:rPr>
        <w:t xml:space="preserve"> Act 4 of 2013.</w:t>
      </w:r>
    </w:p>
  </w:footnote>
  <w:footnote w:id="3">
    <w:p w14:paraId="5106BF8D" w14:textId="77777777" w:rsidR="00E17AB4" w:rsidRDefault="00E17AB4">
      <w:pPr>
        <w:pStyle w:val="FootnoteText"/>
      </w:pPr>
      <w:r w:rsidRPr="00DF2C14">
        <w:rPr>
          <w:rStyle w:val="FootnoteReference"/>
          <w:rFonts w:ascii="Times New Roman" w:hAnsi="Times New Roman" w:cs="Times New Roman"/>
        </w:rPr>
        <w:footnoteRef/>
      </w:r>
      <w:r w:rsidRPr="00DF2C14">
        <w:rPr>
          <w:rFonts w:ascii="Times New Roman" w:hAnsi="Times New Roman" w:cs="Times New Roman"/>
        </w:rPr>
        <w:t xml:space="preserve"> See Cilliers </w:t>
      </w:r>
      <w:r w:rsidRPr="00DF2C14">
        <w:rPr>
          <w:rFonts w:ascii="Times New Roman" w:hAnsi="Times New Roman" w:cs="Times New Roman"/>
          <w:i/>
        </w:rPr>
        <w:t>et</w:t>
      </w:r>
      <w:r w:rsidRPr="00E17AB4">
        <w:rPr>
          <w:rFonts w:ascii="Times New Roman" w:hAnsi="Times New Roman" w:cs="Times New Roman"/>
          <w:i/>
        </w:rPr>
        <w:t xml:space="preserve"> al</w:t>
      </w:r>
      <w:r w:rsidRPr="00FE7F35">
        <w:rPr>
          <w:rFonts w:ascii="Times New Roman" w:hAnsi="Times New Roman" w:cs="Times New Roman"/>
        </w:rPr>
        <w:t xml:space="preserve">  Herbstein &amp; Van Winsen </w:t>
      </w:r>
      <w:r w:rsidRPr="00FE7F35">
        <w:rPr>
          <w:rFonts w:ascii="Times New Roman" w:hAnsi="Times New Roman" w:cs="Times New Roman"/>
          <w:i/>
        </w:rPr>
        <w:t>The Civil Practice of the High Courts of South Africa</w:t>
      </w:r>
      <w:r w:rsidRPr="00FE7F35">
        <w:rPr>
          <w:rFonts w:ascii="Times New Roman" w:hAnsi="Times New Roman" w:cs="Times New Roman"/>
        </w:rPr>
        <w:t xml:space="preserve"> (9</w:t>
      </w:r>
      <w:r w:rsidRPr="00FE7F35">
        <w:rPr>
          <w:rFonts w:ascii="Times New Roman" w:hAnsi="Times New Roman" w:cs="Times New Roman"/>
          <w:vertAlign w:val="superscript"/>
        </w:rPr>
        <w:t>th</w:t>
      </w:r>
      <w:r w:rsidRPr="00FE7F35">
        <w:rPr>
          <w:rFonts w:ascii="Times New Roman" w:hAnsi="Times New Roman" w:cs="Times New Roman"/>
        </w:rPr>
        <w:t xml:space="preserve"> ed) (Juta) p</w:t>
      </w:r>
      <w:r w:rsidR="00DF2C14">
        <w:rPr>
          <w:rFonts w:ascii="Times New Roman" w:hAnsi="Times New Roman" w:cs="Times New Roman"/>
        </w:rPr>
        <w:t>799.</w:t>
      </w:r>
    </w:p>
  </w:footnote>
  <w:footnote w:id="4">
    <w:p w14:paraId="0AEF7658" w14:textId="77777777" w:rsidR="00CD50D7" w:rsidRPr="004D1E86" w:rsidRDefault="00CD50D7">
      <w:pPr>
        <w:pStyle w:val="FootnoteText"/>
        <w:rPr>
          <w:rFonts w:ascii="Times New Roman" w:hAnsi="Times New Roman" w:cs="Times New Roman"/>
        </w:rPr>
      </w:pPr>
      <w:r w:rsidRPr="004D1E86">
        <w:rPr>
          <w:rStyle w:val="FootnoteReference"/>
          <w:rFonts w:ascii="Times New Roman" w:hAnsi="Times New Roman" w:cs="Times New Roman"/>
        </w:rPr>
        <w:footnoteRef/>
      </w:r>
      <w:r w:rsidRPr="004D1E86">
        <w:rPr>
          <w:rFonts w:ascii="Times New Roman" w:hAnsi="Times New Roman" w:cs="Times New Roman"/>
        </w:rPr>
        <w:t xml:space="preserve"> </w:t>
      </w:r>
      <w:r w:rsidR="00790E1F" w:rsidRPr="004D1E86">
        <w:rPr>
          <w:rFonts w:ascii="Times New Roman" w:hAnsi="Times New Roman" w:cs="Times New Roman"/>
          <w:i/>
        </w:rPr>
        <w:t>Van Vuuren v Agricura Laboratoria (Edms) Bpk</w:t>
      </w:r>
      <w:r w:rsidR="00790E1F" w:rsidRPr="004D1E86">
        <w:rPr>
          <w:rFonts w:ascii="Times New Roman" w:hAnsi="Times New Roman" w:cs="Times New Roman"/>
        </w:rPr>
        <w:t xml:space="preserve"> </w:t>
      </w:r>
      <w:r w:rsidR="00394CB5" w:rsidRPr="004D1E86">
        <w:rPr>
          <w:rFonts w:ascii="Times New Roman" w:hAnsi="Times New Roman" w:cs="Times New Roman"/>
        </w:rPr>
        <w:t>1974(2) SA 324 (NC) at 327H</w:t>
      </w:r>
      <w:r w:rsidR="00F0532D" w:rsidRPr="004D1E86">
        <w:rPr>
          <w:rFonts w:ascii="Times New Roman" w:hAnsi="Times New Roman" w:cs="Times New Roman"/>
        </w:rPr>
        <w:t xml:space="preserve">. The </w:t>
      </w:r>
      <w:r w:rsidR="00F0532D" w:rsidRPr="00F97B3D">
        <w:rPr>
          <w:rFonts w:ascii="Times New Roman" w:hAnsi="Times New Roman" w:cs="Times New Roman"/>
          <w:i/>
        </w:rPr>
        <w:t>dictum</w:t>
      </w:r>
      <w:r w:rsidR="00F0532D" w:rsidRPr="004D1E86">
        <w:rPr>
          <w:rFonts w:ascii="Times New Roman" w:hAnsi="Times New Roman" w:cs="Times New Roman"/>
        </w:rPr>
        <w:t xml:space="preserve"> was quoted with approval in </w:t>
      </w:r>
      <w:r w:rsidR="000A2B7C" w:rsidRPr="00F97B3D">
        <w:rPr>
          <w:rFonts w:ascii="Times New Roman" w:hAnsi="Times New Roman" w:cs="Times New Roman"/>
          <w:i/>
        </w:rPr>
        <w:t>Sebogodi v Eskom Holdings (SOC) Ltd and Another</w:t>
      </w:r>
      <w:r w:rsidR="000A2B7C" w:rsidRPr="004D1E86">
        <w:rPr>
          <w:rFonts w:ascii="Times New Roman" w:hAnsi="Times New Roman" w:cs="Times New Roman"/>
        </w:rPr>
        <w:t xml:space="preserve"> [2022] ZAGPJHC 593 para</w:t>
      </w:r>
      <w:r w:rsidR="001B58B6" w:rsidRPr="004D1E86">
        <w:rPr>
          <w:rFonts w:ascii="Times New Roman" w:hAnsi="Times New Roman" w:cs="Times New Roman"/>
        </w:rPr>
        <w:t xml:space="preserve"> 13.</w:t>
      </w:r>
    </w:p>
  </w:footnote>
  <w:footnote w:id="5">
    <w:p w14:paraId="1F9BB396" w14:textId="77777777" w:rsidR="00790E1F" w:rsidRPr="004D1E86" w:rsidRDefault="00790E1F">
      <w:pPr>
        <w:pStyle w:val="FootnoteText"/>
        <w:rPr>
          <w:rFonts w:ascii="Times New Roman" w:hAnsi="Times New Roman" w:cs="Times New Roman"/>
        </w:rPr>
      </w:pPr>
      <w:r w:rsidRPr="004D1E86">
        <w:rPr>
          <w:rStyle w:val="FootnoteReference"/>
          <w:rFonts w:ascii="Times New Roman" w:hAnsi="Times New Roman" w:cs="Times New Roman"/>
        </w:rPr>
        <w:footnoteRef/>
      </w:r>
      <w:r w:rsidRPr="004D1E86">
        <w:rPr>
          <w:rFonts w:ascii="Times New Roman" w:hAnsi="Times New Roman" w:cs="Times New Roman"/>
        </w:rPr>
        <w:t xml:space="preserve"> </w:t>
      </w:r>
      <w:r w:rsidRPr="004D1E86">
        <w:rPr>
          <w:rFonts w:ascii="Times New Roman" w:hAnsi="Times New Roman" w:cs="Times New Roman"/>
          <w:i/>
        </w:rPr>
        <w:t>Van Vuuren v Agricura Laboratoria (Edms) Bpk</w:t>
      </w:r>
      <w:r w:rsidR="004A2B09" w:rsidRPr="004D1E86">
        <w:rPr>
          <w:rFonts w:ascii="Times New Roman" w:hAnsi="Times New Roman" w:cs="Times New Roman"/>
          <w:i/>
        </w:rPr>
        <w:t xml:space="preserve"> </w:t>
      </w:r>
      <w:r w:rsidRPr="004D1E86">
        <w:rPr>
          <w:rFonts w:ascii="Times New Roman" w:hAnsi="Times New Roman" w:cs="Times New Roman"/>
        </w:rPr>
        <w:t>1974(2) SA 324 (NC).</w:t>
      </w:r>
    </w:p>
  </w:footnote>
  <w:footnote w:id="6">
    <w:p w14:paraId="33453C03" w14:textId="77777777" w:rsidR="00540A8B" w:rsidRPr="00540A8B" w:rsidRDefault="00540A8B">
      <w:pPr>
        <w:pStyle w:val="FootnoteText"/>
        <w:rPr>
          <w:rFonts w:ascii="Times New Roman" w:hAnsi="Times New Roman" w:cs="Times New Roman"/>
        </w:rPr>
      </w:pPr>
      <w:r w:rsidRPr="00540A8B">
        <w:rPr>
          <w:rStyle w:val="FootnoteReference"/>
          <w:rFonts w:ascii="Times New Roman" w:hAnsi="Times New Roman" w:cs="Times New Roman"/>
        </w:rPr>
        <w:footnoteRef/>
      </w:r>
      <w:r w:rsidRPr="00540A8B">
        <w:rPr>
          <w:rFonts w:ascii="Times New Roman" w:hAnsi="Times New Roman" w:cs="Times New Roman"/>
        </w:rPr>
        <w:t xml:space="preserve"> Ibid p328B.</w:t>
      </w:r>
    </w:p>
  </w:footnote>
  <w:footnote w:id="7">
    <w:p w14:paraId="021C139D" w14:textId="77777777" w:rsidR="00EB57D8" w:rsidRPr="00FE7F35" w:rsidRDefault="00EB57D8" w:rsidP="00FE7F35">
      <w:pPr>
        <w:pStyle w:val="FootnoteText"/>
        <w:jc w:val="both"/>
        <w:rPr>
          <w:rFonts w:ascii="Times New Roman" w:hAnsi="Times New Roman" w:cs="Times New Roman"/>
        </w:rPr>
      </w:pPr>
      <w:r w:rsidRPr="00FE7F35">
        <w:rPr>
          <w:rStyle w:val="FootnoteReference"/>
          <w:rFonts w:ascii="Times New Roman" w:hAnsi="Times New Roman" w:cs="Times New Roman"/>
        </w:rPr>
        <w:footnoteRef/>
      </w:r>
      <w:r w:rsidRPr="00FE7F35">
        <w:rPr>
          <w:rFonts w:ascii="Times New Roman" w:hAnsi="Times New Roman" w:cs="Times New Roman"/>
        </w:rPr>
        <w:t xml:space="preserve"> </w:t>
      </w:r>
      <w:r w:rsidR="002B710F" w:rsidRPr="00FE7F35">
        <w:rPr>
          <w:rFonts w:ascii="Times New Roman" w:hAnsi="Times New Roman" w:cs="Times New Roman"/>
        </w:rPr>
        <w:t xml:space="preserve">Cilliers </w:t>
      </w:r>
      <w:r w:rsidR="002B710F" w:rsidRPr="00E17AB4">
        <w:rPr>
          <w:rFonts w:ascii="Times New Roman" w:hAnsi="Times New Roman" w:cs="Times New Roman"/>
          <w:i/>
        </w:rPr>
        <w:t>et al</w:t>
      </w:r>
      <w:r w:rsidR="002B710F" w:rsidRPr="00FE7F35">
        <w:rPr>
          <w:rFonts w:ascii="Times New Roman" w:hAnsi="Times New Roman" w:cs="Times New Roman"/>
        </w:rPr>
        <w:t xml:space="preserve">  </w:t>
      </w:r>
      <w:r w:rsidR="00DF2C14">
        <w:rPr>
          <w:rFonts w:ascii="Times New Roman" w:hAnsi="Times New Roman" w:cs="Times New Roman"/>
        </w:rPr>
        <w:t>ibid fn 3 p</w:t>
      </w:r>
      <w:r w:rsidR="00FE7F35" w:rsidRPr="00FE7F35">
        <w:rPr>
          <w:rFonts w:ascii="Times New Roman" w:hAnsi="Times New Roman" w:cs="Times New Roman"/>
        </w:rPr>
        <w:t>814.</w:t>
      </w:r>
    </w:p>
  </w:footnote>
  <w:footnote w:id="8">
    <w:p w14:paraId="0A291D52" w14:textId="77777777" w:rsidR="00D64BFB" w:rsidRDefault="00D64BFB" w:rsidP="00D64BFB">
      <w:pPr>
        <w:pStyle w:val="FootnoteText"/>
        <w:jc w:val="both"/>
      </w:pPr>
      <w:r w:rsidRPr="00FE7F35">
        <w:rPr>
          <w:rStyle w:val="FootnoteReference"/>
          <w:rFonts w:ascii="Times New Roman" w:hAnsi="Times New Roman" w:cs="Times New Roman"/>
        </w:rPr>
        <w:footnoteRef/>
      </w:r>
      <w:r w:rsidRPr="00FE7F35">
        <w:rPr>
          <w:rFonts w:ascii="Times New Roman" w:hAnsi="Times New Roman" w:cs="Times New Roman"/>
        </w:rPr>
        <w:t xml:space="preserve"> </w:t>
      </w:r>
      <w:r w:rsidRPr="00FE7F35">
        <w:rPr>
          <w:rFonts w:ascii="Times New Roman" w:hAnsi="Times New Roman" w:cs="Times New Roman"/>
          <w:i/>
        </w:rPr>
        <w:t xml:space="preserve">Swissborough </w:t>
      </w:r>
      <w:r w:rsidRPr="004D1E86">
        <w:rPr>
          <w:rFonts w:ascii="Times New Roman" w:hAnsi="Times New Roman" w:cs="Times New Roman"/>
          <w:i/>
        </w:rPr>
        <w:t>Diamond Mines v Government of the RSA</w:t>
      </w:r>
      <w:r w:rsidRPr="004D1E86">
        <w:rPr>
          <w:rFonts w:ascii="Times New Roman" w:hAnsi="Times New Roman" w:cs="Times New Roman"/>
        </w:rPr>
        <w:t xml:space="preserve"> 1999 (2) SA 279 (T) at 316-317.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D6D5E" w14:textId="77777777" w:rsidR="00B564A2" w:rsidRDefault="00B564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294624"/>
      <w:docPartObj>
        <w:docPartGallery w:val="Page Numbers (Top of Page)"/>
        <w:docPartUnique/>
      </w:docPartObj>
    </w:sdtPr>
    <w:sdtEndPr>
      <w:rPr>
        <w:rFonts w:ascii="Times New Roman" w:hAnsi="Times New Roman" w:cs="Times New Roman"/>
        <w:noProof/>
        <w:sz w:val="28"/>
        <w:szCs w:val="28"/>
      </w:rPr>
    </w:sdtEndPr>
    <w:sdtContent>
      <w:p w14:paraId="7F4A28A3" w14:textId="31291DAF" w:rsidR="00B564A2" w:rsidRPr="00B564A2" w:rsidRDefault="00B564A2">
        <w:pPr>
          <w:pStyle w:val="Header"/>
          <w:jc w:val="right"/>
          <w:rPr>
            <w:rFonts w:ascii="Times New Roman" w:hAnsi="Times New Roman" w:cs="Times New Roman"/>
            <w:sz w:val="28"/>
            <w:szCs w:val="28"/>
          </w:rPr>
        </w:pPr>
        <w:r w:rsidRPr="00B564A2">
          <w:rPr>
            <w:rFonts w:ascii="Times New Roman" w:hAnsi="Times New Roman" w:cs="Times New Roman"/>
            <w:sz w:val="28"/>
            <w:szCs w:val="28"/>
          </w:rPr>
          <w:fldChar w:fldCharType="begin"/>
        </w:r>
        <w:r w:rsidRPr="00B564A2">
          <w:rPr>
            <w:rFonts w:ascii="Times New Roman" w:hAnsi="Times New Roman" w:cs="Times New Roman"/>
            <w:sz w:val="28"/>
            <w:szCs w:val="28"/>
          </w:rPr>
          <w:instrText xml:space="preserve"> PAGE   \* MERGEFORMAT </w:instrText>
        </w:r>
        <w:r w:rsidRPr="00B564A2">
          <w:rPr>
            <w:rFonts w:ascii="Times New Roman" w:hAnsi="Times New Roman" w:cs="Times New Roman"/>
            <w:sz w:val="28"/>
            <w:szCs w:val="28"/>
          </w:rPr>
          <w:fldChar w:fldCharType="separate"/>
        </w:r>
        <w:r w:rsidR="002E18AB">
          <w:rPr>
            <w:rFonts w:ascii="Times New Roman" w:hAnsi="Times New Roman" w:cs="Times New Roman"/>
            <w:noProof/>
            <w:sz w:val="28"/>
            <w:szCs w:val="28"/>
          </w:rPr>
          <w:t>2</w:t>
        </w:r>
        <w:r w:rsidRPr="00B564A2">
          <w:rPr>
            <w:rFonts w:ascii="Times New Roman" w:hAnsi="Times New Roman" w:cs="Times New Roman"/>
            <w:noProof/>
            <w:sz w:val="28"/>
            <w:szCs w:val="28"/>
          </w:rPr>
          <w:fldChar w:fldCharType="end"/>
        </w:r>
      </w:p>
    </w:sdtContent>
  </w:sdt>
  <w:p w14:paraId="5B0602E7" w14:textId="77777777" w:rsidR="00A572D4" w:rsidRDefault="00A572D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9B84B" w14:textId="77777777" w:rsidR="00B564A2" w:rsidRDefault="00B564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F784C"/>
    <w:multiLevelType w:val="hybridMultilevel"/>
    <w:tmpl w:val="299E1E3C"/>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336F74BF"/>
    <w:multiLevelType w:val="hybridMultilevel"/>
    <w:tmpl w:val="1DC42C5C"/>
    <w:lvl w:ilvl="0" w:tplc="3D7E6C6E">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 w15:restartNumberingAfterBreak="0">
    <w:nsid w:val="451C0287"/>
    <w:multiLevelType w:val="multilevel"/>
    <w:tmpl w:val="D0DE572A"/>
    <w:lvl w:ilvl="0">
      <w:start w:val="1"/>
      <w:numFmt w:val="decimal"/>
      <w:lvlText w:val="[%1]"/>
      <w:lvlJc w:val="left"/>
      <w:pPr>
        <w:tabs>
          <w:tab w:val="num" w:pos="567"/>
        </w:tabs>
        <w:ind w:left="567" w:hanging="567"/>
      </w:pPr>
      <w:rPr>
        <w:rFonts w:hint="default"/>
        <w:b w:val="0"/>
        <w:i w:val="0"/>
      </w:rPr>
    </w:lvl>
    <w:lvl w:ilvl="1">
      <w:start w:val="1"/>
      <w:numFmt w:val="lowerLetter"/>
      <w:pStyle w:val="LegalHeading2"/>
      <w:lvlText w:val="(%2)"/>
      <w:lvlJc w:val="left"/>
      <w:pPr>
        <w:tabs>
          <w:tab w:val="num" w:pos="2269"/>
        </w:tabs>
        <w:ind w:left="2269" w:hanging="1134"/>
      </w:pPr>
      <w:rPr>
        <w:rFonts w:ascii="Arial" w:eastAsia="Times New Roman" w:hAnsi="Arial" w:cs="Times New Roman"/>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A12"/>
    <w:rsid w:val="00001204"/>
    <w:rsid w:val="000015CE"/>
    <w:rsid w:val="00005636"/>
    <w:rsid w:val="0001086B"/>
    <w:rsid w:val="0001161E"/>
    <w:rsid w:val="000177E2"/>
    <w:rsid w:val="00017EC1"/>
    <w:rsid w:val="00020AD5"/>
    <w:rsid w:val="00026FB1"/>
    <w:rsid w:val="00037A2D"/>
    <w:rsid w:val="000441B5"/>
    <w:rsid w:val="00046C7A"/>
    <w:rsid w:val="00053A7D"/>
    <w:rsid w:val="000548CC"/>
    <w:rsid w:val="00065E0F"/>
    <w:rsid w:val="00072727"/>
    <w:rsid w:val="000943E1"/>
    <w:rsid w:val="000A2220"/>
    <w:rsid w:val="000A2B7C"/>
    <w:rsid w:val="000A346A"/>
    <w:rsid w:val="000B6A70"/>
    <w:rsid w:val="000B7FF6"/>
    <w:rsid w:val="000D1DCE"/>
    <w:rsid w:val="000D444C"/>
    <w:rsid w:val="000D73A6"/>
    <w:rsid w:val="000E3736"/>
    <w:rsid w:val="000E4470"/>
    <w:rsid w:val="000F0FEE"/>
    <w:rsid w:val="000F4812"/>
    <w:rsid w:val="0010563B"/>
    <w:rsid w:val="0012321D"/>
    <w:rsid w:val="001261A7"/>
    <w:rsid w:val="00131BFE"/>
    <w:rsid w:val="00131C3A"/>
    <w:rsid w:val="001324B7"/>
    <w:rsid w:val="001552C9"/>
    <w:rsid w:val="00157E3A"/>
    <w:rsid w:val="001743DD"/>
    <w:rsid w:val="00175A77"/>
    <w:rsid w:val="00182092"/>
    <w:rsid w:val="001911DF"/>
    <w:rsid w:val="001929E7"/>
    <w:rsid w:val="00194C69"/>
    <w:rsid w:val="001B2FE7"/>
    <w:rsid w:val="001B58B6"/>
    <w:rsid w:val="001D76F1"/>
    <w:rsid w:val="001E6DA2"/>
    <w:rsid w:val="001F08FC"/>
    <w:rsid w:val="001F6D34"/>
    <w:rsid w:val="0020666C"/>
    <w:rsid w:val="00213B51"/>
    <w:rsid w:val="00215D12"/>
    <w:rsid w:val="0022518C"/>
    <w:rsid w:val="002570C8"/>
    <w:rsid w:val="00283468"/>
    <w:rsid w:val="00286161"/>
    <w:rsid w:val="00294982"/>
    <w:rsid w:val="002A3CD2"/>
    <w:rsid w:val="002A6B70"/>
    <w:rsid w:val="002B0BD8"/>
    <w:rsid w:val="002B710F"/>
    <w:rsid w:val="002B7A11"/>
    <w:rsid w:val="002E18AB"/>
    <w:rsid w:val="002E6345"/>
    <w:rsid w:val="002E7E7F"/>
    <w:rsid w:val="002F3E25"/>
    <w:rsid w:val="003019B4"/>
    <w:rsid w:val="00302061"/>
    <w:rsid w:val="00305EE6"/>
    <w:rsid w:val="0031148B"/>
    <w:rsid w:val="00316176"/>
    <w:rsid w:val="00324991"/>
    <w:rsid w:val="00332690"/>
    <w:rsid w:val="00333286"/>
    <w:rsid w:val="00346954"/>
    <w:rsid w:val="003507AB"/>
    <w:rsid w:val="003540B7"/>
    <w:rsid w:val="00354A12"/>
    <w:rsid w:val="0036155D"/>
    <w:rsid w:val="00374D21"/>
    <w:rsid w:val="003764BD"/>
    <w:rsid w:val="00377F67"/>
    <w:rsid w:val="00386D57"/>
    <w:rsid w:val="00386FBC"/>
    <w:rsid w:val="00394CB5"/>
    <w:rsid w:val="00395763"/>
    <w:rsid w:val="003A2902"/>
    <w:rsid w:val="003A576E"/>
    <w:rsid w:val="003A6EAA"/>
    <w:rsid w:val="003B0F0A"/>
    <w:rsid w:val="003B4041"/>
    <w:rsid w:val="003B53A2"/>
    <w:rsid w:val="003B6E4B"/>
    <w:rsid w:val="003C36E9"/>
    <w:rsid w:val="003C6DD7"/>
    <w:rsid w:val="003D6A6A"/>
    <w:rsid w:val="004132E6"/>
    <w:rsid w:val="004215FD"/>
    <w:rsid w:val="00426309"/>
    <w:rsid w:val="00427674"/>
    <w:rsid w:val="0044441A"/>
    <w:rsid w:val="004511CB"/>
    <w:rsid w:val="00453140"/>
    <w:rsid w:val="00476DB3"/>
    <w:rsid w:val="00487FEE"/>
    <w:rsid w:val="00494199"/>
    <w:rsid w:val="00495849"/>
    <w:rsid w:val="00495E86"/>
    <w:rsid w:val="00496B81"/>
    <w:rsid w:val="004A0278"/>
    <w:rsid w:val="004A2B09"/>
    <w:rsid w:val="004A4379"/>
    <w:rsid w:val="004A750C"/>
    <w:rsid w:val="004B6A54"/>
    <w:rsid w:val="004B7809"/>
    <w:rsid w:val="004C72ED"/>
    <w:rsid w:val="004D1E86"/>
    <w:rsid w:val="004D4EBE"/>
    <w:rsid w:val="004D6842"/>
    <w:rsid w:val="004E1F65"/>
    <w:rsid w:val="004E5969"/>
    <w:rsid w:val="004F13CF"/>
    <w:rsid w:val="004F3295"/>
    <w:rsid w:val="004F7E39"/>
    <w:rsid w:val="00500233"/>
    <w:rsid w:val="00500467"/>
    <w:rsid w:val="00502085"/>
    <w:rsid w:val="00523434"/>
    <w:rsid w:val="00527E9C"/>
    <w:rsid w:val="005352CB"/>
    <w:rsid w:val="0053635E"/>
    <w:rsid w:val="00536DF3"/>
    <w:rsid w:val="00537C26"/>
    <w:rsid w:val="00537D6C"/>
    <w:rsid w:val="00540A8B"/>
    <w:rsid w:val="00542374"/>
    <w:rsid w:val="00545C87"/>
    <w:rsid w:val="00555858"/>
    <w:rsid w:val="00562306"/>
    <w:rsid w:val="005635D2"/>
    <w:rsid w:val="0056458B"/>
    <w:rsid w:val="00565C39"/>
    <w:rsid w:val="00571855"/>
    <w:rsid w:val="005833ED"/>
    <w:rsid w:val="0058745D"/>
    <w:rsid w:val="00592786"/>
    <w:rsid w:val="005933AC"/>
    <w:rsid w:val="005B0518"/>
    <w:rsid w:val="005C2004"/>
    <w:rsid w:val="005C7ADF"/>
    <w:rsid w:val="005E23D4"/>
    <w:rsid w:val="005E6D37"/>
    <w:rsid w:val="005F37E5"/>
    <w:rsid w:val="00605C42"/>
    <w:rsid w:val="00612613"/>
    <w:rsid w:val="00626F1D"/>
    <w:rsid w:val="00633710"/>
    <w:rsid w:val="00635F95"/>
    <w:rsid w:val="00640846"/>
    <w:rsid w:val="0064181B"/>
    <w:rsid w:val="00645AAC"/>
    <w:rsid w:val="0065712A"/>
    <w:rsid w:val="006608D0"/>
    <w:rsid w:val="00672E20"/>
    <w:rsid w:val="00674CA2"/>
    <w:rsid w:val="006839AF"/>
    <w:rsid w:val="006B6B31"/>
    <w:rsid w:val="006B6D3A"/>
    <w:rsid w:val="006C01EF"/>
    <w:rsid w:val="006D0C6C"/>
    <w:rsid w:val="006E46D7"/>
    <w:rsid w:val="006E4E2E"/>
    <w:rsid w:val="006E728B"/>
    <w:rsid w:val="006F2A17"/>
    <w:rsid w:val="006F615F"/>
    <w:rsid w:val="00700F24"/>
    <w:rsid w:val="00703063"/>
    <w:rsid w:val="0070377C"/>
    <w:rsid w:val="007056C7"/>
    <w:rsid w:val="00710A01"/>
    <w:rsid w:val="007262A2"/>
    <w:rsid w:val="00744E45"/>
    <w:rsid w:val="00751354"/>
    <w:rsid w:val="007519DC"/>
    <w:rsid w:val="00757BF9"/>
    <w:rsid w:val="00761E2D"/>
    <w:rsid w:val="0077215E"/>
    <w:rsid w:val="00772CE4"/>
    <w:rsid w:val="00790E1F"/>
    <w:rsid w:val="00791800"/>
    <w:rsid w:val="007A0749"/>
    <w:rsid w:val="007B7212"/>
    <w:rsid w:val="007C283D"/>
    <w:rsid w:val="007C368D"/>
    <w:rsid w:val="007C61A1"/>
    <w:rsid w:val="007F4CC7"/>
    <w:rsid w:val="007F5645"/>
    <w:rsid w:val="00801475"/>
    <w:rsid w:val="00802F98"/>
    <w:rsid w:val="00803035"/>
    <w:rsid w:val="00810563"/>
    <w:rsid w:val="008176F6"/>
    <w:rsid w:val="008245D4"/>
    <w:rsid w:val="00835C60"/>
    <w:rsid w:val="008510EA"/>
    <w:rsid w:val="00854DB9"/>
    <w:rsid w:val="008577AC"/>
    <w:rsid w:val="00874445"/>
    <w:rsid w:val="008771F5"/>
    <w:rsid w:val="008956B9"/>
    <w:rsid w:val="008974E6"/>
    <w:rsid w:val="008A117F"/>
    <w:rsid w:val="008A1DAA"/>
    <w:rsid w:val="008B4E6F"/>
    <w:rsid w:val="008B63B4"/>
    <w:rsid w:val="008C091C"/>
    <w:rsid w:val="008C3A8B"/>
    <w:rsid w:val="008C3D1C"/>
    <w:rsid w:val="008D030E"/>
    <w:rsid w:val="008D19BC"/>
    <w:rsid w:val="008E1C1E"/>
    <w:rsid w:val="00906DD1"/>
    <w:rsid w:val="00926FAD"/>
    <w:rsid w:val="00930EB1"/>
    <w:rsid w:val="00934068"/>
    <w:rsid w:val="0094097E"/>
    <w:rsid w:val="00944EDD"/>
    <w:rsid w:val="0096572A"/>
    <w:rsid w:val="00984AE3"/>
    <w:rsid w:val="00984E79"/>
    <w:rsid w:val="009903D3"/>
    <w:rsid w:val="009A100D"/>
    <w:rsid w:val="009A3303"/>
    <w:rsid w:val="009A49D2"/>
    <w:rsid w:val="009D37C8"/>
    <w:rsid w:val="009D5188"/>
    <w:rsid w:val="009E6434"/>
    <w:rsid w:val="009F37DE"/>
    <w:rsid w:val="009F46EE"/>
    <w:rsid w:val="00A038E2"/>
    <w:rsid w:val="00A05CCC"/>
    <w:rsid w:val="00A155FB"/>
    <w:rsid w:val="00A24365"/>
    <w:rsid w:val="00A271A0"/>
    <w:rsid w:val="00A33FC5"/>
    <w:rsid w:val="00A56AB9"/>
    <w:rsid w:val="00A572D4"/>
    <w:rsid w:val="00A64DD0"/>
    <w:rsid w:val="00A66185"/>
    <w:rsid w:val="00A807DF"/>
    <w:rsid w:val="00A817E4"/>
    <w:rsid w:val="00A81861"/>
    <w:rsid w:val="00A8624B"/>
    <w:rsid w:val="00A93D2D"/>
    <w:rsid w:val="00AA0BAB"/>
    <w:rsid w:val="00AB53A8"/>
    <w:rsid w:val="00AB5A88"/>
    <w:rsid w:val="00AC7701"/>
    <w:rsid w:val="00AD2693"/>
    <w:rsid w:val="00AE609C"/>
    <w:rsid w:val="00AE65AD"/>
    <w:rsid w:val="00AF2C08"/>
    <w:rsid w:val="00AF47D0"/>
    <w:rsid w:val="00AF5607"/>
    <w:rsid w:val="00B054CA"/>
    <w:rsid w:val="00B114BE"/>
    <w:rsid w:val="00B14A0E"/>
    <w:rsid w:val="00B27DEC"/>
    <w:rsid w:val="00B31A55"/>
    <w:rsid w:val="00B37A3E"/>
    <w:rsid w:val="00B42E15"/>
    <w:rsid w:val="00B45C72"/>
    <w:rsid w:val="00B556A1"/>
    <w:rsid w:val="00B564A2"/>
    <w:rsid w:val="00B83DED"/>
    <w:rsid w:val="00B83F1E"/>
    <w:rsid w:val="00B94D20"/>
    <w:rsid w:val="00BB3171"/>
    <w:rsid w:val="00BB3C80"/>
    <w:rsid w:val="00BB4D75"/>
    <w:rsid w:val="00BE2081"/>
    <w:rsid w:val="00BE27CB"/>
    <w:rsid w:val="00C04489"/>
    <w:rsid w:val="00C0622C"/>
    <w:rsid w:val="00C063BC"/>
    <w:rsid w:val="00C236E5"/>
    <w:rsid w:val="00C2502E"/>
    <w:rsid w:val="00C31FD4"/>
    <w:rsid w:val="00C36F31"/>
    <w:rsid w:val="00C438EF"/>
    <w:rsid w:val="00C64203"/>
    <w:rsid w:val="00C73A72"/>
    <w:rsid w:val="00C8246B"/>
    <w:rsid w:val="00C87433"/>
    <w:rsid w:val="00C969E3"/>
    <w:rsid w:val="00CA3C56"/>
    <w:rsid w:val="00CA693A"/>
    <w:rsid w:val="00CB0013"/>
    <w:rsid w:val="00CB0ACB"/>
    <w:rsid w:val="00CB1E01"/>
    <w:rsid w:val="00CB5860"/>
    <w:rsid w:val="00CC4112"/>
    <w:rsid w:val="00CC7466"/>
    <w:rsid w:val="00CC7F6B"/>
    <w:rsid w:val="00CD50D7"/>
    <w:rsid w:val="00CD56F8"/>
    <w:rsid w:val="00CD6C7A"/>
    <w:rsid w:val="00CF7682"/>
    <w:rsid w:val="00D01A8B"/>
    <w:rsid w:val="00D063D9"/>
    <w:rsid w:val="00D14ABF"/>
    <w:rsid w:val="00D14E38"/>
    <w:rsid w:val="00D157F0"/>
    <w:rsid w:val="00D25A0F"/>
    <w:rsid w:val="00D304FC"/>
    <w:rsid w:val="00D35D5B"/>
    <w:rsid w:val="00D413B2"/>
    <w:rsid w:val="00D41A83"/>
    <w:rsid w:val="00D421AE"/>
    <w:rsid w:val="00D45647"/>
    <w:rsid w:val="00D478F7"/>
    <w:rsid w:val="00D567B1"/>
    <w:rsid w:val="00D64BFB"/>
    <w:rsid w:val="00D66970"/>
    <w:rsid w:val="00D7039A"/>
    <w:rsid w:val="00D7070A"/>
    <w:rsid w:val="00D73F6B"/>
    <w:rsid w:val="00D76CFF"/>
    <w:rsid w:val="00D81297"/>
    <w:rsid w:val="00DA10FA"/>
    <w:rsid w:val="00DA5C6A"/>
    <w:rsid w:val="00DB5194"/>
    <w:rsid w:val="00DC7714"/>
    <w:rsid w:val="00DD28B2"/>
    <w:rsid w:val="00DD2917"/>
    <w:rsid w:val="00DD6E7E"/>
    <w:rsid w:val="00DE4675"/>
    <w:rsid w:val="00DF2C14"/>
    <w:rsid w:val="00E02962"/>
    <w:rsid w:val="00E06C4E"/>
    <w:rsid w:val="00E17AB4"/>
    <w:rsid w:val="00E22A1D"/>
    <w:rsid w:val="00E33615"/>
    <w:rsid w:val="00E43E75"/>
    <w:rsid w:val="00E471A4"/>
    <w:rsid w:val="00E54EC9"/>
    <w:rsid w:val="00E576D8"/>
    <w:rsid w:val="00E57E27"/>
    <w:rsid w:val="00E649C5"/>
    <w:rsid w:val="00E6536E"/>
    <w:rsid w:val="00E836CE"/>
    <w:rsid w:val="00E8507D"/>
    <w:rsid w:val="00E92BF1"/>
    <w:rsid w:val="00E93E51"/>
    <w:rsid w:val="00E95C8A"/>
    <w:rsid w:val="00EA1AAE"/>
    <w:rsid w:val="00EA1D5B"/>
    <w:rsid w:val="00EA548F"/>
    <w:rsid w:val="00EB0D1F"/>
    <w:rsid w:val="00EB57D8"/>
    <w:rsid w:val="00ED048F"/>
    <w:rsid w:val="00EF10F7"/>
    <w:rsid w:val="00F0532D"/>
    <w:rsid w:val="00F23F48"/>
    <w:rsid w:val="00F25A70"/>
    <w:rsid w:val="00F26138"/>
    <w:rsid w:val="00F32C6F"/>
    <w:rsid w:val="00F36510"/>
    <w:rsid w:val="00F63E6E"/>
    <w:rsid w:val="00F929EA"/>
    <w:rsid w:val="00F95878"/>
    <w:rsid w:val="00F97B3D"/>
    <w:rsid w:val="00FA0EAF"/>
    <w:rsid w:val="00FA3EA2"/>
    <w:rsid w:val="00FA5FA4"/>
    <w:rsid w:val="00FB54C6"/>
    <w:rsid w:val="00FB6998"/>
    <w:rsid w:val="00FC0296"/>
    <w:rsid w:val="00FC0D97"/>
    <w:rsid w:val="00FD39B4"/>
    <w:rsid w:val="00FD4119"/>
    <w:rsid w:val="00FD53AB"/>
    <w:rsid w:val="00FE497B"/>
    <w:rsid w:val="00FE5610"/>
    <w:rsid w:val="00FE7F35"/>
    <w:rsid w:val="00FF191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2CC17"/>
  <w15:chartTrackingRefBased/>
  <w15:docId w15:val="{E0FEC284-093A-4E21-949C-D9D2F75B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A12"/>
    <w:pPr>
      <w:spacing w:after="0" w:line="256"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4A12"/>
    <w:pPr>
      <w:spacing w:line="240" w:lineRule="auto"/>
    </w:pPr>
    <w:rPr>
      <w:sz w:val="20"/>
      <w:szCs w:val="20"/>
    </w:rPr>
  </w:style>
  <w:style w:type="character" w:customStyle="1" w:styleId="FootnoteTextChar">
    <w:name w:val="Footnote Text Char"/>
    <w:basedOn w:val="DefaultParagraphFont"/>
    <w:link w:val="FootnoteText"/>
    <w:uiPriority w:val="99"/>
    <w:semiHidden/>
    <w:rsid w:val="00354A12"/>
    <w:rPr>
      <w:rFonts w:cstheme="minorBidi"/>
      <w:sz w:val="20"/>
      <w:szCs w:val="20"/>
    </w:rPr>
  </w:style>
  <w:style w:type="paragraph" w:styleId="ListParagraph">
    <w:name w:val="List Paragraph"/>
    <w:basedOn w:val="Normal"/>
    <w:uiPriority w:val="99"/>
    <w:qFormat/>
    <w:rsid w:val="00354A12"/>
    <w:pPr>
      <w:ind w:left="720"/>
      <w:contextualSpacing/>
    </w:pPr>
  </w:style>
  <w:style w:type="character" w:styleId="FootnoteReference">
    <w:name w:val="footnote reference"/>
    <w:basedOn w:val="DefaultParagraphFont"/>
    <w:uiPriority w:val="99"/>
    <w:semiHidden/>
    <w:unhideWhenUsed/>
    <w:rsid w:val="00354A12"/>
    <w:rPr>
      <w:vertAlign w:val="superscript"/>
    </w:rPr>
  </w:style>
  <w:style w:type="paragraph" w:customStyle="1" w:styleId="LegalList1">
    <w:name w:val="Legal_List1"/>
    <w:basedOn w:val="Normal"/>
    <w:semiHidden/>
    <w:rsid w:val="00A572D4"/>
    <w:pPr>
      <w:suppressAutoHyphens/>
      <w:spacing w:after="360" w:line="480" w:lineRule="auto"/>
      <w:jc w:val="both"/>
      <w:outlineLvl w:val="0"/>
    </w:pPr>
    <w:rPr>
      <w:rFonts w:eastAsia="Times New Roman" w:cs="Times New Roman"/>
      <w:szCs w:val="24"/>
      <w:lang w:val="en-GB" w:eastAsia="en-GB"/>
    </w:rPr>
  </w:style>
  <w:style w:type="paragraph" w:customStyle="1" w:styleId="LegalHeading2">
    <w:name w:val="Legal_Heading2"/>
    <w:basedOn w:val="LegalNormal"/>
    <w:next w:val="Normal"/>
    <w:semiHidden/>
    <w:rsid w:val="00A572D4"/>
    <w:pPr>
      <w:keepNext/>
      <w:numPr>
        <w:ilvl w:val="1"/>
        <w:numId w:val="2"/>
      </w:numPr>
      <w:tabs>
        <w:tab w:val="clear" w:pos="2269"/>
        <w:tab w:val="num" w:pos="360"/>
        <w:tab w:val="left" w:pos="3402"/>
        <w:tab w:val="left" w:pos="3969"/>
      </w:tabs>
      <w:ind w:left="0" w:firstLine="0"/>
      <w:outlineLvl w:val="1"/>
    </w:pPr>
    <w:rPr>
      <w:b/>
    </w:rPr>
  </w:style>
  <w:style w:type="paragraph" w:customStyle="1" w:styleId="LegalHeading3">
    <w:name w:val="Legal_Heading3"/>
    <w:basedOn w:val="LegalNormal"/>
    <w:next w:val="Normal"/>
    <w:semiHidden/>
    <w:rsid w:val="00A572D4"/>
    <w:pPr>
      <w:keepNext/>
      <w:numPr>
        <w:ilvl w:val="2"/>
        <w:numId w:val="2"/>
      </w:numPr>
      <w:tabs>
        <w:tab w:val="left" w:pos="3969"/>
        <w:tab w:val="left" w:pos="4536"/>
      </w:tabs>
      <w:outlineLvl w:val="2"/>
    </w:pPr>
    <w:rPr>
      <w:b/>
    </w:rPr>
  </w:style>
  <w:style w:type="paragraph" w:customStyle="1" w:styleId="LegalHeading4">
    <w:name w:val="Legal_Heading4"/>
    <w:basedOn w:val="LegalNormal"/>
    <w:next w:val="Normal"/>
    <w:semiHidden/>
    <w:rsid w:val="00A572D4"/>
    <w:pPr>
      <w:keepNext/>
      <w:numPr>
        <w:ilvl w:val="3"/>
        <w:numId w:val="2"/>
      </w:numPr>
      <w:spacing w:after="240"/>
      <w:outlineLvl w:val="3"/>
    </w:pPr>
    <w:rPr>
      <w:b/>
    </w:rPr>
  </w:style>
  <w:style w:type="paragraph" w:customStyle="1" w:styleId="LegalHeading5">
    <w:name w:val="Legal_Heading5"/>
    <w:basedOn w:val="LegalNormal"/>
    <w:next w:val="Normal"/>
    <w:semiHidden/>
    <w:rsid w:val="00A572D4"/>
    <w:pPr>
      <w:keepNext/>
      <w:numPr>
        <w:ilvl w:val="4"/>
        <w:numId w:val="2"/>
      </w:numPr>
      <w:spacing w:after="240"/>
      <w:outlineLvl w:val="4"/>
    </w:pPr>
    <w:rPr>
      <w:b/>
    </w:rPr>
  </w:style>
  <w:style w:type="paragraph" w:customStyle="1" w:styleId="LegalNormal">
    <w:name w:val="Legal_Normal"/>
    <w:basedOn w:val="Normal"/>
    <w:rsid w:val="00A572D4"/>
    <w:pPr>
      <w:suppressAutoHyphens/>
      <w:spacing w:after="360" w:line="480" w:lineRule="auto"/>
      <w:jc w:val="both"/>
    </w:pPr>
    <w:rPr>
      <w:rFonts w:eastAsia="Times New Roman" w:cs="Times New Roman"/>
      <w:szCs w:val="24"/>
      <w:lang w:val="en-GB" w:eastAsia="en-GB"/>
    </w:rPr>
  </w:style>
  <w:style w:type="paragraph" w:styleId="Header">
    <w:name w:val="header"/>
    <w:basedOn w:val="Normal"/>
    <w:link w:val="HeaderChar"/>
    <w:uiPriority w:val="99"/>
    <w:unhideWhenUsed/>
    <w:rsid w:val="00A572D4"/>
    <w:pPr>
      <w:tabs>
        <w:tab w:val="center" w:pos="4513"/>
        <w:tab w:val="right" w:pos="9026"/>
      </w:tabs>
      <w:spacing w:line="240" w:lineRule="auto"/>
    </w:pPr>
  </w:style>
  <w:style w:type="character" w:customStyle="1" w:styleId="HeaderChar">
    <w:name w:val="Header Char"/>
    <w:basedOn w:val="DefaultParagraphFont"/>
    <w:link w:val="Header"/>
    <w:uiPriority w:val="99"/>
    <w:rsid w:val="00A572D4"/>
    <w:rPr>
      <w:rFonts w:cstheme="minorBidi"/>
      <w:szCs w:val="22"/>
    </w:rPr>
  </w:style>
  <w:style w:type="paragraph" w:styleId="Footer">
    <w:name w:val="footer"/>
    <w:basedOn w:val="Normal"/>
    <w:link w:val="FooterChar"/>
    <w:uiPriority w:val="99"/>
    <w:unhideWhenUsed/>
    <w:rsid w:val="00A572D4"/>
    <w:pPr>
      <w:tabs>
        <w:tab w:val="center" w:pos="4513"/>
        <w:tab w:val="right" w:pos="9026"/>
      </w:tabs>
      <w:spacing w:line="240" w:lineRule="auto"/>
    </w:pPr>
  </w:style>
  <w:style w:type="character" w:customStyle="1" w:styleId="FooterChar">
    <w:name w:val="Footer Char"/>
    <w:basedOn w:val="DefaultParagraphFont"/>
    <w:link w:val="Footer"/>
    <w:uiPriority w:val="99"/>
    <w:rsid w:val="00A572D4"/>
    <w:rPr>
      <w:rFonts w:cstheme="minorBidi"/>
      <w:szCs w:val="22"/>
    </w:rPr>
  </w:style>
  <w:style w:type="paragraph" w:styleId="NoSpacing">
    <w:name w:val="No Spacing"/>
    <w:uiPriority w:val="1"/>
    <w:qFormat/>
    <w:rsid w:val="00CD56F8"/>
    <w:pPr>
      <w:spacing w:after="0" w:line="240" w:lineRule="auto"/>
    </w:pPr>
  </w:style>
  <w:style w:type="paragraph" w:styleId="BalloonText">
    <w:name w:val="Balloon Text"/>
    <w:basedOn w:val="Normal"/>
    <w:link w:val="BalloonTextChar"/>
    <w:uiPriority w:val="99"/>
    <w:semiHidden/>
    <w:unhideWhenUsed/>
    <w:rsid w:val="007030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0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064301">
      <w:bodyDiv w:val="1"/>
      <w:marLeft w:val="0"/>
      <w:marRight w:val="0"/>
      <w:marTop w:val="0"/>
      <w:marBottom w:val="0"/>
      <w:divBdr>
        <w:top w:val="none" w:sz="0" w:space="0" w:color="auto"/>
        <w:left w:val="none" w:sz="0" w:space="0" w:color="auto"/>
        <w:bottom w:val="none" w:sz="0" w:space="0" w:color="auto"/>
        <w:right w:val="none" w:sz="0" w:space="0" w:color="auto"/>
      </w:divBdr>
    </w:div>
    <w:div w:id="156953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0D005-AE0A-46B7-847B-33529DE59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1757</Words>
  <Characters>10020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Mary Bruce</cp:lastModifiedBy>
  <cp:revision>4</cp:revision>
  <cp:lastPrinted>2024-01-09T08:55:00Z</cp:lastPrinted>
  <dcterms:created xsi:type="dcterms:W3CDTF">2024-01-23T09:30:00Z</dcterms:created>
  <dcterms:modified xsi:type="dcterms:W3CDTF">2024-01-23T11:45:00Z</dcterms:modified>
  <cp:contentStatus/>
</cp:coreProperties>
</file>