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080596E7" w:rsidR="00D450B5" w:rsidRPr="00044B50" w:rsidRDefault="00D450B5" w:rsidP="00581773">
      <w:pPr>
        <w:ind w:right="-194"/>
        <w:jc w:val="center"/>
        <w:rPr>
          <w:b/>
          <w:bCs/>
          <w:lang w:val="en-GB"/>
        </w:rPr>
      </w:pPr>
      <w:r w:rsidRPr="00044B50">
        <w:rPr>
          <w:lang w:val="en-GB"/>
        </w:rPr>
        <w:t xml:space="preserve">                                                                                           </w:t>
      </w:r>
      <w:r w:rsidR="0094300A">
        <w:rPr>
          <w:lang w:val="en-GB"/>
        </w:rPr>
        <w:t xml:space="preserve">        </w:t>
      </w:r>
      <w:r w:rsidR="00581773">
        <w:rPr>
          <w:lang w:val="en-GB"/>
        </w:rPr>
        <w:t xml:space="preserve">        </w:t>
      </w:r>
      <w:r w:rsidR="00655268">
        <w:rPr>
          <w:b/>
          <w:bCs/>
          <w:lang w:val="en-GB"/>
        </w:rPr>
        <w:t>OF INTEREST</w:t>
      </w:r>
      <w:r w:rsidRPr="00044B50">
        <w:rPr>
          <w:b/>
          <w:bCs/>
          <w:lang w:val="en-GB"/>
        </w:rPr>
        <w:t xml:space="preserve">                                     </w:t>
      </w:r>
    </w:p>
    <w:p w14:paraId="101AD6EF" w14:textId="77777777" w:rsidR="008A75F3" w:rsidRDefault="00E44987" w:rsidP="008A75F3">
      <w:pPr>
        <w:jc w:val="center"/>
        <w:rPr>
          <w:lang w:val="en-GB"/>
        </w:rPr>
      </w:pPr>
      <w:r w:rsidRPr="00044B50">
        <w:rPr>
          <w:lang w:val="en-GB"/>
        </w:rPr>
        <w:t xml:space="preserve">                                                                                                  </w:t>
      </w:r>
    </w:p>
    <w:p w14:paraId="4934DB4B" w14:textId="00F1CCC3" w:rsidR="00E44987" w:rsidRPr="00044B50" w:rsidRDefault="00581773" w:rsidP="00581773">
      <w:pPr>
        <w:ind w:left="6096" w:right="-52" w:hanging="142"/>
        <w:rPr>
          <w:lang w:val="en-GB"/>
        </w:rPr>
      </w:pPr>
      <w:r>
        <w:rPr>
          <w:lang w:val="en-GB"/>
        </w:rPr>
        <w:t xml:space="preserve">      </w:t>
      </w:r>
      <w:r w:rsidR="00E44987" w:rsidRPr="00044B50">
        <w:rPr>
          <w:lang w:val="en-GB"/>
        </w:rPr>
        <w:t>Case no:</w:t>
      </w:r>
      <w:r>
        <w:rPr>
          <w:lang w:val="en-GB"/>
        </w:rPr>
        <w:t xml:space="preserve"> CA&amp;R 16/2024</w:t>
      </w:r>
      <w:r w:rsidR="00E44987" w:rsidRPr="00044B50">
        <w:rPr>
          <w:lang w:val="en-GB"/>
        </w:rPr>
        <w:t xml:space="preserve"> </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558BD4A" w:rsidR="00D450B5" w:rsidRDefault="00581773" w:rsidP="00581773">
      <w:pPr>
        <w:tabs>
          <w:tab w:val="left" w:pos="6946"/>
        </w:tabs>
        <w:suppressAutoHyphens/>
        <w:ind w:right="89"/>
        <w:jc w:val="both"/>
        <w:rPr>
          <w:b/>
          <w:bCs/>
          <w:lang w:val="en-GB"/>
        </w:rPr>
      </w:pPr>
      <w:r>
        <w:rPr>
          <w:b/>
          <w:bCs/>
          <w:lang w:val="en-GB"/>
        </w:rPr>
        <w:t>LEVISON NAMLELA</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r w:rsidR="00FC5854">
        <w:rPr>
          <w:b/>
          <w:bCs/>
          <w:lang w:val="en-GB"/>
        </w:rPr>
        <w:t>First</w:t>
      </w:r>
      <w:r w:rsidR="0094300A">
        <w:rPr>
          <w:b/>
          <w:bCs/>
          <w:lang w:val="en-GB"/>
        </w:rPr>
        <w:t xml:space="preserve"> </w:t>
      </w:r>
      <w:r w:rsidR="00011A92">
        <w:rPr>
          <w:b/>
          <w:bCs/>
          <w:lang w:val="en-GB"/>
        </w:rPr>
        <w:t>A</w:t>
      </w:r>
      <w:r w:rsidR="00FC5854">
        <w:rPr>
          <w:b/>
          <w:bCs/>
          <w:lang w:val="en-GB"/>
        </w:rPr>
        <w:t>ppellant</w:t>
      </w:r>
    </w:p>
    <w:p w14:paraId="11F64B1F" w14:textId="77777777" w:rsidR="00581773" w:rsidRDefault="00581773" w:rsidP="00581773">
      <w:pPr>
        <w:tabs>
          <w:tab w:val="left" w:pos="6946"/>
        </w:tabs>
        <w:suppressAutoHyphens/>
        <w:ind w:right="89"/>
        <w:jc w:val="both"/>
        <w:rPr>
          <w:b/>
          <w:bCs/>
          <w:lang w:val="en-GB"/>
        </w:rPr>
      </w:pPr>
    </w:p>
    <w:p w14:paraId="09840B37" w14:textId="27165F64" w:rsidR="00581773" w:rsidRPr="00797E4E" w:rsidRDefault="00581773" w:rsidP="00581773">
      <w:pPr>
        <w:tabs>
          <w:tab w:val="left" w:pos="6663"/>
          <w:tab w:val="left" w:pos="7797"/>
        </w:tabs>
        <w:suppressAutoHyphens/>
        <w:ind w:right="-194"/>
        <w:jc w:val="both"/>
        <w:rPr>
          <w:b/>
          <w:bCs/>
          <w:lang w:val="en-GB"/>
        </w:rPr>
      </w:pPr>
      <w:r>
        <w:rPr>
          <w:b/>
          <w:bCs/>
          <w:lang w:val="en-GB"/>
        </w:rPr>
        <w:t xml:space="preserve">STEVEN MARUTA </w:t>
      </w:r>
      <w:r>
        <w:rPr>
          <w:b/>
          <w:bCs/>
          <w:lang w:val="en-GB"/>
        </w:rPr>
        <w:tab/>
        <w:t xml:space="preserve">    Second 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7DD9016D" w:rsidR="00C246F2" w:rsidRPr="00797E4E" w:rsidRDefault="00581773" w:rsidP="00581773">
      <w:pPr>
        <w:tabs>
          <w:tab w:val="left" w:pos="7513"/>
        </w:tabs>
        <w:ind w:right="89"/>
        <w:jc w:val="both"/>
        <w:rPr>
          <w:b/>
          <w:bCs/>
          <w:lang w:val="en-GB"/>
        </w:rPr>
      </w:pPr>
      <w:r>
        <w:rPr>
          <w:b/>
          <w:bCs/>
          <w:lang w:val="en-GB"/>
        </w:rPr>
        <w:t xml:space="preserve">THE STATE </w:t>
      </w:r>
      <w:r w:rsidR="00C246F2" w:rsidRPr="00797E4E">
        <w:rPr>
          <w:b/>
          <w:bCs/>
          <w:lang w:val="en-GB"/>
        </w:rPr>
        <w:tab/>
      </w:r>
      <w:r>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679CD508" w:rsidR="00D450B5" w:rsidRPr="00044B50" w:rsidRDefault="00CC797D" w:rsidP="00772E4B">
      <w:pPr>
        <w:jc w:val="center"/>
        <w:rPr>
          <w:b/>
          <w:bCs/>
          <w:lang w:val="en-GB"/>
        </w:rPr>
      </w:pPr>
      <w:r>
        <w:rPr>
          <w:b/>
          <w:bCs/>
          <w:lang w:val="en-GB"/>
        </w:rPr>
        <w:t xml:space="preserve">BAIL APPEAL </w:t>
      </w:r>
      <w:r w:rsidR="00D450B5" w:rsidRPr="00044B50">
        <w:rPr>
          <w:b/>
          <w:bCs/>
          <w:lang w:val="en-GB"/>
        </w:rPr>
        <w:t>JUDGMENT</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4941C5E0" w:rsidR="00D468AF" w:rsidRDefault="00D468AF" w:rsidP="00682CE5">
      <w:pPr>
        <w:autoSpaceDE w:val="0"/>
        <w:autoSpaceDN w:val="0"/>
        <w:adjustRightInd w:val="0"/>
        <w:jc w:val="both"/>
        <w:rPr>
          <w:lang w:val="en-GB"/>
        </w:rPr>
      </w:pPr>
    </w:p>
    <w:p w14:paraId="6CAFE3C2" w14:textId="77777777" w:rsidR="00581773" w:rsidRDefault="00581773" w:rsidP="00682CE5">
      <w:pPr>
        <w:autoSpaceDE w:val="0"/>
        <w:autoSpaceDN w:val="0"/>
        <w:adjustRightInd w:val="0"/>
        <w:jc w:val="both"/>
        <w:rPr>
          <w:lang w:val="en-GB"/>
        </w:rPr>
      </w:pPr>
    </w:p>
    <w:p w14:paraId="44365C45" w14:textId="77777777" w:rsidR="00581773" w:rsidRDefault="00581773" w:rsidP="00682CE5">
      <w:pPr>
        <w:autoSpaceDE w:val="0"/>
        <w:autoSpaceDN w:val="0"/>
        <w:adjustRightInd w:val="0"/>
        <w:jc w:val="both"/>
        <w:rPr>
          <w:lang w:val="en-GB"/>
        </w:rPr>
      </w:pPr>
    </w:p>
    <w:p w14:paraId="35738331" w14:textId="77777777" w:rsidR="00581773" w:rsidRDefault="00581773" w:rsidP="00682CE5">
      <w:pPr>
        <w:autoSpaceDE w:val="0"/>
        <w:autoSpaceDN w:val="0"/>
        <w:adjustRightInd w:val="0"/>
        <w:jc w:val="both"/>
        <w:rPr>
          <w:lang w:val="en-GB"/>
        </w:rPr>
      </w:pPr>
    </w:p>
    <w:p w14:paraId="6AD9E7E4" w14:textId="77777777" w:rsidR="00581773" w:rsidRDefault="00581773" w:rsidP="00682CE5">
      <w:pPr>
        <w:autoSpaceDE w:val="0"/>
        <w:autoSpaceDN w:val="0"/>
        <w:adjustRightInd w:val="0"/>
        <w:jc w:val="both"/>
        <w:rPr>
          <w:lang w:val="en-GB"/>
        </w:rPr>
      </w:pPr>
    </w:p>
    <w:p w14:paraId="1420BD1C" w14:textId="77777777" w:rsidR="00581773" w:rsidRDefault="00581773" w:rsidP="00682CE5">
      <w:pPr>
        <w:autoSpaceDE w:val="0"/>
        <w:autoSpaceDN w:val="0"/>
        <w:adjustRightInd w:val="0"/>
        <w:jc w:val="both"/>
        <w:rPr>
          <w:lang w:val="en-GB"/>
        </w:rPr>
      </w:pPr>
    </w:p>
    <w:p w14:paraId="72AEB7FE" w14:textId="77777777" w:rsidR="00581773" w:rsidRDefault="00581773" w:rsidP="00682CE5">
      <w:pPr>
        <w:autoSpaceDE w:val="0"/>
        <w:autoSpaceDN w:val="0"/>
        <w:adjustRightInd w:val="0"/>
        <w:jc w:val="both"/>
        <w:rPr>
          <w:lang w:val="en-GB"/>
        </w:rPr>
      </w:pPr>
    </w:p>
    <w:p w14:paraId="7B510B7F" w14:textId="0E01D018" w:rsidR="00007F45" w:rsidRDefault="00007F45" w:rsidP="00682CE5">
      <w:pPr>
        <w:autoSpaceDE w:val="0"/>
        <w:autoSpaceDN w:val="0"/>
        <w:adjustRightInd w:val="0"/>
        <w:jc w:val="both"/>
        <w:rPr>
          <w:b/>
          <w:bCs/>
          <w:lang w:val="en-GB"/>
        </w:rPr>
      </w:pPr>
      <w:r>
        <w:rPr>
          <w:b/>
          <w:bCs/>
          <w:lang w:val="en-GB"/>
        </w:rPr>
        <w:lastRenderedPageBreak/>
        <w:t>Background</w:t>
      </w:r>
    </w:p>
    <w:p w14:paraId="7C1B20D2" w14:textId="77777777" w:rsidR="00581773" w:rsidRDefault="00581773" w:rsidP="00682CE5">
      <w:pPr>
        <w:autoSpaceDE w:val="0"/>
        <w:autoSpaceDN w:val="0"/>
        <w:adjustRightInd w:val="0"/>
        <w:jc w:val="both"/>
        <w:rPr>
          <w:b/>
          <w:bCs/>
          <w:lang w:val="en-GB"/>
        </w:rPr>
      </w:pPr>
    </w:p>
    <w:p w14:paraId="29827DF4" w14:textId="5E746934" w:rsidR="000C67E0" w:rsidRPr="00F04963" w:rsidRDefault="00F04963" w:rsidP="00F04963">
      <w:pPr>
        <w:autoSpaceDE w:val="0"/>
        <w:autoSpaceDN w:val="0"/>
        <w:adjustRightInd w:val="0"/>
        <w:jc w:val="both"/>
        <w:rPr>
          <w:lang w:val="en-GB"/>
        </w:rPr>
      </w:pPr>
      <w:r>
        <w:rPr>
          <w:lang w:val="en-GB"/>
        </w:rPr>
        <w:t>[1]</w:t>
      </w:r>
      <w:r>
        <w:rPr>
          <w:lang w:val="en-GB"/>
        </w:rPr>
        <w:tab/>
      </w:r>
      <w:r w:rsidR="00FC5854" w:rsidRPr="00F04963">
        <w:rPr>
          <w:lang w:val="en-GB"/>
        </w:rPr>
        <w:t>The appellants stand arraigned in the Magistrate’s Court at Port Alfred on various charges</w:t>
      </w:r>
      <w:r w:rsidR="009816E9" w:rsidRPr="00F04963">
        <w:rPr>
          <w:lang w:val="en-GB"/>
        </w:rPr>
        <w:t xml:space="preserve">, including contravention of </w:t>
      </w:r>
      <w:r w:rsidR="005E72EE" w:rsidRPr="00F04963">
        <w:rPr>
          <w:lang w:val="en-GB"/>
        </w:rPr>
        <w:t xml:space="preserve">sections of the </w:t>
      </w:r>
      <w:r w:rsidR="009816E9" w:rsidRPr="00F04963">
        <w:rPr>
          <w:lang w:val="en-GB"/>
        </w:rPr>
        <w:t>Marine Living Resources Act</w:t>
      </w:r>
      <w:r w:rsidR="005E72EE" w:rsidRPr="00F04963">
        <w:rPr>
          <w:lang w:val="en-GB"/>
        </w:rPr>
        <w:t>, 1998</w:t>
      </w:r>
      <w:r w:rsidR="005E72EE">
        <w:rPr>
          <w:rStyle w:val="FootnoteReference"/>
          <w:lang w:val="en-GB"/>
        </w:rPr>
        <w:footnoteReference w:id="1"/>
      </w:r>
      <w:r w:rsidR="0048769C" w:rsidRPr="00F04963">
        <w:rPr>
          <w:lang w:val="en-GB"/>
        </w:rPr>
        <w:t xml:space="preserve"> (‘the MLRA’) and the Immigration Act, 2002.</w:t>
      </w:r>
      <w:r w:rsidR="0048769C">
        <w:rPr>
          <w:rStyle w:val="FootnoteReference"/>
          <w:lang w:val="en-GB"/>
        </w:rPr>
        <w:footnoteReference w:id="2"/>
      </w:r>
    </w:p>
    <w:p w14:paraId="1F4C0F4A" w14:textId="77777777" w:rsidR="00A1187D" w:rsidRDefault="00A1187D" w:rsidP="00A1187D">
      <w:pPr>
        <w:pStyle w:val="ListParagraph"/>
        <w:autoSpaceDE w:val="0"/>
        <w:autoSpaceDN w:val="0"/>
        <w:adjustRightInd w:val="0"/>
        <w:ind w:left="0"/>
        <w:jc w:val="both"/>
        <w:rPr>
          <w:lang w:val="en-GB"/>
        </w:rPr>
      </w:pPr>
    </w:p>
    <w:p w14:paraId="763A2EFB" w14:textId="71E02061" w:rsidR="00A1187D" w:rsidRPr="00F04963" w:rsidRDefault="00F04963" w:rsidP="00F04963">
      <w:pPr>
        <w:autoSpaceDE w:val="0"/>
        <w:autoSpaceDN w:val="0"/>
        <w:adjustRightInd w:val="0"/>
        <w:jc w:val="both"/>
        <w:rPr>
          <w:lang w:val="en-GB"/>
        </w:rPr>
      </w:pPr>
      <w:bookmarkStart w:id="0" w:name="_GoBack"/>
      <w:r>
        <w:rPr>
          <w:lang w:val="en-GB"/>
        </w:rPr>
        <w:t>[2]</w:t>
      </w:r>
      <w:r>
        <w:rPr>
          <w:lang w:val="en-GB"/>
        </w:rPr>
        <w:tab/>
      </w:r>
      <w:r w:rsidR="00407DEE" w:rsidRPr="00F04963">
        <w:rPr>
          <w:lang w:val="en-GB"/>
        </w:rPr>
        <w:t xml:space="preserve">Opposed </w:t>
      </w:r>
      <w:bookmarkEnd w:id="0"/>
      <w:r w:rsidR="00407DEE" w:rsidRPr="00F04963">
        <w:rPr>
          <w:lang w:val="en-GB"/>
        </w:rPr>
        <w:t>a</w:t>
      </w:r>
      <w:r w:rsidR="00A1187D" w:rsidRPr="00F04963">
        <w:rPr>
          <w:lang w:val="en-GB"/>
        </w:rPr>
        <w:t>pplicatio</w:t>
      </w:r>
      <w:r w:rsidR="00407DEE" w:rsidRPr="00F04963">
        <w:rPr>
          <w:lang w:val="en-GB"/>
        </w:rPr>
        <w:t>n</w:t>
      </w:r>
      <w:r w:rsidR="00AC0E92" w:rsidRPr="00F04963">
        <w:rPr>
          <w:lang w:val="en-GB"/>
        </w:rPr>
        <w:t>s</w:t>
      </w:r>
      <w:r w:rsidR="00A1187D" w:rsidRPr="00F04963">
        <w:rPr>
          <w:lang w:val="en-GB"/>
        </w:rPr>
        <w:t xml:space="preserve"> to be released on bail were dismissed by the court </w:t>
      </w:r>
      <w:r w:rsidR="00A1187D" w:rsidRPr="00F04963">
        <w:rPr>
          <w:i/>
          <w:iCs/>
          <w:lang w:val="en-GB"/>
        </w:rPr>
        <w:t>a quo</w:t>
      </w:r>
      <w:r w:rsidR="00A1187D" w:rsidRPr="00F04963">
        <w:rPr>
          <w:lang w:val="en-GB"/>
        </w:rPr>
        <w:t xml:space="preserve"> on 10 January 2024.</w:t>
      </w:r>
      <w:r w:rsidR="00434323" w:rsidRPr="00F04963">
        <w:rPr>
          <w:lang w:val="en-GB"/>
        </w:rPr>
        <w:t xml:space="preserve"> </w:t>
      </w:r>
      <w:r w:rsidR="00AB1F14" w:rsidRPr="00F04963">
        <w:rPr>
          <w:lang w:val="en-GB"/>
        </w:rPr>
        <w:t xml:space="preserve">Before considering the </w:t>
      </w:r>
      <w:r w:rsidR="00A654EB" w:rsidRPr="00F04963">
        <w:rPr>
          <w:lang w:val="en-GB"/>
        </w:rPr>
        <w:t xml:space="preserve">applicable constitutional and legislative framework, the reasoning of the court </w:t>
      </w:r>
      <w:r w:rsidR="00A654EB" w:rsidRPr="00F04963">
        <w:rPr>
          <w:i/>
          <w:iCs/>
          <w:lang w:val="en-GB"/>
        </w:rPr>
        <w:t>a quo</w:t>
      </w:r>
      <w:r w:rsidR="00A654EB" w:rsidRPr="00F04963">
        <w:rPr>
          <w:lang w:val="en-GB"/>
        </w:rPr>
        <w:t xml:space="preserve"> and the grounds of appeal, a preliminary evidentiary matter requires </w:t>
      </w:r>
      <w:r w:rsidR="00326B0D" w:rsidRPr="00F04963">
        <w:rPr>
          <w:lang w:val="en-GB"/>
        </w:rPr>
        <w:t>determination</w:t>
      </w:r>
      <w:r w:rsidR="00A654EB" w:rsidRPr="00F04963">
        <w:rPr>
          <w:lang w:val="en-GB"/>
        </w:rPr>
        <w:t xml:space="preserve">.  </w:t>
      </w:r>
    </w:p>
    <w:p w14:paraId="2D33BEE4" w14:textId="77777777" w:rsidR="00C8111D" w:rsidRPr="00C8111D" w:rsidRDefault="00C8111D" w:rsidP="00C8111D">
      <w:pPr>
        <w:pStyle w:val="ListParagraph"/>
        <w:autoSpaceDE w:val="0"/>
        <w:autoSpaceDN w:val="0"/>
        <w:adjustRightInd w:val="0"/>
        <w:ind w:left="0"/>
        <w:jc w:val="both"/>
        <w:rPr>
          <w:lang w:val="en-GB"/>
        </w:rPr>
      </w:pPr>
    </w:p>
    <w:p w14:paraId="00EEB475" w14:textId="77777777" w:rsidR="00AB1F14" w:rsidRDefault="00AB1F14" w:rsidP="00AB1F14">
      <w:pPr>
        <w:pStyle w:val="ListParagraph"/>
        <w:autoSpaceDE w:val="0"/>
        <w:autoSpaceDN w:val="0"/>
        <w:adjustRightInd w:val="0"/>
        <w:ind w:left="0"/>
        <w:jc w:val="both"/>
        <w:rPr>
          <w:b/>
          <w:bCs/>
          <w:sz w:val="22"/>
          <w:szCs w:val="22"/>
          <w:lang w:val="en-GB"/>
        </w:rPr>
      </w:pPr>
      <w:r>
        <w:rPr>
          <w:b/>
          <w:bCs/>
          <w:sz w:val="22"/>
          <w:szCs w:val="22"/>
          <w:lang w:val="en-GB"/>
        </w:rPr>
        <w:t>Application to adduce further evidence on appeal</w:t>
      </w:r>
    </w:p>
    <w:p w14:paraId="608D982F" w14:textId="77777777" w:rsidR="00AB1F14" w:rsidRPr="009E59AC" w:rsidRDefault="00AB1F14" w:rsidP="00AB1F14">
      <w:pPr>
        <w:pStyle w:val="ListParagraph"/>
        <w:autoSpaceDE w:val="0"/>
        <w:autoSpaceDN w:val="0"/>
        <w:adjustRightInd w:val="0"/>
        <w:ind w:left="0"/>
        <w:jc w:val="both"/>
        <w:rPr>
          <w:b/>
          <w:bCs/>
          <w:sz w:val="22"/>
          <w:szCs w:val="22"/>
          <w:lang w:val="en-GB"/>
        </w:rPr>
      </w:pPr>
    </w:p>
    <w:p w14:paraId="33143F4F" w14:textId="5CF33393" w:rsidR="00AB1F14" w:rsidRPr="00F04963" w:rsidRDefault="00F04963" w:rsidP="00F04963">
      <w:pPr>
        <w:autoSpaceDE w:val="0"/>
        <w:autoSpaceDN w:val="0"/>
        <w:adjustRightInd w:val="0"/>
        <w:jc w:val="both"/>
        <w:rPr>
          <w:lang w:val="en-GB"/>
        </w:rPr>
      </w:pPr>
      <w:r>
        <w:rPr>
          <w:lang w:val="en-GB"/>
        </w:rPr>
        <w:t>[3]</w:t>
      </w:r>
      <w:r>
        <w:rPr>
          <w:lang w:val="en-GB"/>
        </w:rPr>
        <w:tab/>
      </w:r>
      <w:r w:rsidR="00AB1F14" w:rsidRPr="00F04963">
        <w:rPr>
          <w:lang w:val="en-GB"/>
        </w:rPr>
        <w:t>The appellants rely on two cases in support of their contention that they should be permitted to adduce further evidence before this court, on appeal.</w:t>
      </w:r>
      <w:r w:rsidR="00AB1F14">
        <w:rPr>
          <w:rStyle w:val="FootnoteReference"/>
          <w:lang w:val="en-GB"/>
        </w:rPr>
        <w:footnoteReference w:id="3"/>
      </w:r>
      <w:r w:rsidR="00AB1F14" w:rsidRPr="00F04963">
        <w:rPr>
          <w:lang w:val="en-GB"/>
        </w:rPr>
        <w:t xml:space="preserve"> Neither case deals with an application of this nature in the context of a bail appeal. As was the case in </w:t>
      </w:r>
      <w:r w:rsidR="00AB1F14" w:rsidRPr="00F04963">
        <w:rPr>
          <w:i/>
          <w:iCs/>
          <w:lang w:val="en-GB"/>
        </w:rPr>
        <w:t>S v Janssen</w:t>
      </w:r>
      <w:r w:rsidR="00AB1F14" w:rsidRPr="00F04963">
        <w:rPr>
          <w:lang w:val="en-GB"/>
        </w:rPr>
        <w:t>,</w:t>
      </w:r>
      <w:r w:rsidR="00AB1F14">
        <w:rPr>
          <w:rStyle w:val="FootnoteReference"/>
          <w:lang w:val="en-GB"/>
        </w:rPr>
        <w:footnoteReference w:id="4"/>
      </w:r>
      <w:r w:rsidR="00AB1F14" w:rsidRPr="00F04963">
        <w:rPr>
          <w:i/>
          <w:iCs/>
          <w:lang w:val="en-GB"/>
        </w:rPr>
        <w:t xml:space="preserve"> </w:t>
      </w:r>
      <w:r w:rsidR="00AB1F14" w:rsidRPr="00F04963">
        <w:rPr>
          <w:lang w:val="en-GB"/>
        </w:rPr>
        <w:t>the proposition advanced is novel and, as will be indicated, seemingly unsupported in case law.</w:t>
      </w:r>
    </w:p>
    <w:p w14:paraId="2ACD7EC9" w14:textId="77777777" w:rsidR="00AB1F14" w:rsidRDefault="00AB1F14" w:rsidP="00AB1F14">
      <w:pPr>
        <w:pStyle w:val="ListParagraph"/>
        <w:autoSpaceDE w:val="0"/>
        <w:autoSpaceDN w:val="0"/>
        <w:adjustRightInd w:val="0"/>
        <w:ind w:left="0"/>
        <w:jc w:val="both"/>
        <w:rPr>
          <w:lang w:val="en-GB"/>
        </w:rPr>
      </w:pPr>
    </w:p>
    <w:p w14:paraId="14B1BC88" w14:textId="2FC7DC56" w:rsidR="00D02B67" w:rsidRPr="00F04963" w:rsidRDefault="00F04963" w:rsidP="00F04963">
      <w:pPr>
        <w:autoSpaceDE w:val="0"/>
        <w:autoSpaceDN w:val="0"/>
        <w:adjustRightInd w:val="0"/>
        <w:jc w:val="both"/>
        <w:rPr>
          <w:lang w:val="en-GB"/>
        </w:rPr>
      </w:pPr>
      <w:r>
        <w:rPr>
          <w:lang w:val="en-GB"/>
        </w:rPr>
        <w:t>[4]</w:t>
      </w:r>
      <w:r>
        <w:rPr>
          <w:lang w:val="en-GB"/>
        </w:rPr>
        <w:tab/>
      </w:r>
      <w:r w:rsidR="00D02B67" w:rsidRPr="00F04963">
        <w:rPr>
          <w:lang w:val="en-GB"/>
        </w:rPr>
        <w:t xml:space="preserve">Bail applications are </w:t>
      </w:r>
      <w:r w:rsidR="00D02B67" w:rsidRPr="00F04963">
        <w:rPr>
          <w:i/>
          <w:iCs/>
          <w:lang w:val="en-GB"/>
        </w:rPr>
        <w:t xml:space="preserve">sui generis </w:t>
      </w:r>
      <w:r w:rsidR="00D02B67" w:rsidRPr="00F04963">
        <w:rPr>
          <w:lang w:val="en-GB"/>
        </w:rPr>
        <w:t>and unique, being neither civil nor criminal proceedings. Consequently, the rules of evidence applied in trial actions are not strictly adhered to and the inquisitorial powers of the presiding officer are greater. To quote Kriegler J:</w:t>
      </w:r>
      <w:r w:rsidR="00D02B67">
        <w:rPr>
          <w:rStyle w:val="FootnoteReference"/>
          <w:lang w:val="en-GB"/>
        </w:rPr>
        <w:footnoteReference w:id="5"/>
      </w:r>
    </w:p>
    <w:p w14:paraId="019A659B" w14:textId="77777777" w:rsidR="00D02B67" w:rsidRDefault="00D02B67" w:rsidP="00D02B67">
      <w:pPr>
        <w:jc w:val="both"/>
        <w:rPr>
          <w:sz w:val="22"/>
          <w:szCs w:val="22"/>
          <w:lang w:val="en-GB"/>
        </w:rPr>
      </w:pPr>
      <w:r>
        <w:rPr>
          <w:sz w:val="22"/>
          <w:szCs w:val="22"/>
          <w:lang w:val="en-GB"/>
        </w:rPr>
        <w:t xml:space="preserve">‘An important point to note here about bail proceedings is so self-evident that it is often overlooked. It is that there is a fundamental difference between the objective of bail proceedings and that of the trial.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 The focus at the bail stage is to decide whether the </w:t>
      </w:r>
      <w:r>
        <w:rPr>
          <w:sz w:val="22"/>
          <w:szCs w:val="22"/>
          <w:lang w:val="en-GB"/>
        </w:rPr>
        <w:lastRenderedPageBreak/>
        <w:t>interests of justice permit the release of the accused pending trial; and that entails, in the main, protecting the investigation and prosecution of the case against hindrance.’</w:t>
      </w:r>
    </w:p>
    <w:p w14:paraId="1B38A7A1" w14:textId="77777777" w:rsidR="00D02B67" w:rsidRPr="00B52118" w:rsidRDefault="00D02B67" w:rsidP="00D02B67">
      <w:pPr>
        <w:jc w:val="both"/>
        <w:rPr>
          <w:sz w:val="22"/>
          <w:szCs w:val="22"/>
          <w:lang w:val="en-GB"/>
        </w:rPr>
      </w:pPr>
    </w:p>
    <w:p w14:paraId="6783876E" w14:textId="70B40D50" w:rsidR="00D02B67" w:rsidRPr="00F04963" w:rsidRDefault="00F04963" w:rsidP="00F04963">
      <w:pPr>
        <w:autoSpaceDE w:val="0"/>
        <w:autoSpaceDN w:val="0"/>
        <w:adjustRightInd w:val="0"/>
        <w:jc w:val="both"/>
        <w:rPr>
          <w:lang w:val="en-GB"/>
        </w:rPr>
      </w:pPr>
      <w:r>
        <w:rPr>
          <w:lang w:val="en-GB"/>
        </w:rPr>
        <w:t>[5]</w:t>
      </w:r>
      <w:r>
        <w:rPr>
          <w:lang w:val="en-GB"/>
        </w:rPr>
        <w:tab/>
      </w:r>
      <w:r w:rsidR="00D02B67" w:rsidRPr="00F04963">
        <w:rPr>
          <w:lang w:val="en-GB"/>
        </w:rPr>
        <w:t>The State is not obliged to produce evidence in the true sense in bail proceedings, or bound by related formalities. The court may take into account whatever information is placed before it in order to form ‘what is essentially an opinion or value judgment of what an uncertain future holds. It must prognosticate’.</w:t>
      </w:r>
      <w:r w:rsidR="00D02B67">
        <w:rPr>
          <w:rStyle w:val="FootnoteReference"/>
          <w:lang w:val="en-GB"/>
        </w:rPr>
        <w:footnoteReference w:id="6"/>
      </w:r>
      <w:r w:rsidR="00D02B67" w:rsidRPr="00F04963">
        <w:rPr>
          <w:lang w:val="en-GB"/>
        </w:rPr>
        <w:t xml:space="preserve"> The court is not so much concerned with the rules of procedure regarding evidence but with the cogency of the information, to determine whether there is a likelihood of the interests of justice being prejudiced by the release of the accused.</w:t>
      </w:r>
      <w:r w:rsidR="00D02B67">
        <w:rPr>
          <w:rStyle w:val="FootnoteReference"/>
          <w:lang w:val="en-GB"/>
        </w:rPr>
        <w:footnoteReference w:id="7"/>
      </w:r>
    </w:p>
    <w:p w14:paraId="76759736" w14:textId="77777777" w:rsidR="00D02B67" w:rsidRDefault="00D02B67" w:rsidP="00D02B67">
      <w:pPr>
        <w:pStyle w:val="ListParagraph"/>
        <w:autoSpaceDE w:val="0"/>
        <w:autoSpaceDN w:val="0"/>
        <w:adjustRightInd w:val="0"/>
        <w:ind w:left="0"/>
        <w:jc w:val="both"/>
        <w:rPr>
          <w:lang w:val="en-GB"/>
        </w:rPr>
      </w:pPr>
    </w:p>
    <w:p w14:paraId="43AD85D3" w14:textId="4D54E57E" w:rsidR="0031286E" w:rsidRPr="00F04963" w:rsidRDefault="00F04963" w:rsidP="00F04963">
      <w:pPr>
        <w:autoSpaceDE w:val="0"/>
        <w:autoSpaceDN w:val="0"/>
        <w:adjustRightInd w:val="0"/>
        <w:jc w:val="both"/>
        <w:rPr>
          <w:lang w:val="en-GB"/>
        </w:rPr>
      </w:pPr>
      <w:r>
        <w:rPr>
          <w:lang w:val="en-GB"/>
        </w:rPr>
        <w:t>[6]</w:t>
      </w:r>
      <w:r>
        <w:rPr>
          <w:lang w:val="en-GB"/>
        </w:rPr>
        <w:tab/>
      </w:r>
      <w:r w:rsidR="00B5719D" w:rsidRPr="00F04963">
        <w:rPr>
          <w:lang w:val="en-GB"/>
        </w:rPr>
        <w:t>As for evidence on appeal, i</w:t>
      </w:r>
      <w:r w:rsidR="00D02B67" w:rsidRPr="00F04963">
        <w:rPr>
          <w:lang w:val="en-GB"/>
        </w:rPr>
        <w:t xml:space="preserve">n </w:t>
      </w:r>
      <w:r w:rsidR="00D02B67" w:rsidRPr="00F04963">
        <w:rPr>
          <w:i/>
          <w:iCs/>
          <w:lang w:val="en-GB"/>
        </w:rPr>
        <w:t>S v Ho</w:t>
      </w:r>
      <w:r w:rsidR="00D02B67" w:rsidRPr="00F04963">
        <w:rPr>
          <w:lang w:val="en-GB"/>
        </w:rPr>
        <w:t>,</w:t>
      </w:r>
      <w:r w:rsidR="00D02B67">
        <w:rPr>
          <w:rStyle w:val="FootnoteReference"/>
          <w:lang w:val="en-GB"/>
        </w:rPr>
        <w:footnoteReference w:id="8"/>
      </w:r>
      <w:r w:rsidR="00D02B67" w:rsidRPr="00F04963">
        <w:rPr>
          <w:lang w:val="en-GB"/>
        </w:rPr>
        <w:t xml:space="preserve"> </w:t>
      </w:r>
      <w:r w:rsidR="002F01A7" w:rsidRPr="00F04963">
        <w:rPr>
          <w:lang w:val="en-GB"/>
        </w:rPr>
        <w:t>the court</w:t>
      </w:r>
      <w:r w:rsidR="00AB1F14" w:rsidRPr="00F04963">
        <w:rPr>
          <w:lang w:val="en-GB"/>
        </w:rPr>
        <w:t xml:space="preserve"> distinguished the present position from that in operation in terms of the previously applicable legislation</w:t>
      </w:r>
      <w:r w:rsidR="0031286E" w:rsidRPr="00F04963">
        <w:rPr>
          <w:lang w:val="en-GB"/>
        </w:rPr>
        <w:t>:</w:t>
      </w:r>
    </w:p>
    <w:p w14:paraId="5304A5F0" w14:textId="1926EA98" w:rsidR="00AB1F14" w:rsidRPr="009E081F" w:rsidRDefault="00AB1F14" w:rsidP="009E081F">
      <w:pPr>
        <w:pStyle w:val="ListParagraph"/>
        <w:autoSpaceDE w:val="0"/>
        <w:autoSpaceDN w:val="0"/>
        <w:adjustRightInd w:val="0"/>
        <w:ind w:left="0"/>
        <w:jc w:val="both"/>
        <w:rPr>
          <w:lang w:val="en-GB"/>
        </w:rPr>
      </w:pPr>
      <w:r w:rsidRPr="00D02B67">
        <w:rPr>
          <w:sz w:val="22"/>
          <w:szCs w:val="22"/>
          <w:lang w:val="en-GB"/>
        </w:rPr>
        <w:t>‘The first point to be noted is that this is an appeal and not, as it was under the 1917 Act, an application. The case has therefore to be decided upon the material appearing on the record, including the magistrate’s reasons, either given at the time or furnished in terms of s 65(3). There is no provision for furnishing additional information to this Court. On the contrary s 65(2) provides:</w:t>
      </w:r>
      <w:r w:rsidR="009E081F">
        <w:rPr>
          <w:sz w:val="22"/>
          <w:szCs w:val="22"/>
          <w:lang w:val="en-GB"/>
        </w:rPr>
        <w:t xml:space="preserve"> </w:t>
      </w:r>
      <w:r>
        <w:rPr>
          <w:sz w:val="22"/>
          <w:szCs w:val="22"/>
          <w:lang w:val="en-GB"/>
        </w:rPr>
        <w:t>“An appeal shall not lie in respect of new facts which arise or are discovered after the decision against which the appeal is brought, unless such new facts are first placed before the magistrate or regional magistrate against whose decision the appeal is brought and such magistrate or regional magistrate gives a decision against the accused on such new facts.”</w:t>
      </w:r>
      <w:r w:rsidR="009E081F">
        <w:rPr>
          <w:sz w:val="22"/>
          <w:szCs w:val="22"/>
          <w:lang w:val="en-GB"/>
        </w:rPr>
        <w:t xml:space="preserve"> </w:t>
      </w:r>
      <w:r>
        <w:rPr>
          <w:sz w:val="22"/>
          <w:szCs w:val="22"/>
          <w:lang w:val="en-GB"/>
        </w:rPr>
        <w:t>It is therefore incumbent upon an appellant or his legal representative to place the relevant facts fully before the magistrate when the application for bail is made or, if any such facts are not known to such legal representative, to take steps under ss (2) when they become known to him. It is not competent to lay them before the appeal Court by way of affidavit, nor is it proper to attempt to introduce them by way of statements from the Bar.’</w:t>
      </w:r>
    </w:p>
    <w:p w14:paraId="745EC206" w14:textId="77777777" w:rsidR="00AB1F14" w:rsidRPr="0026037B" w:rsidRDefault="00AB1F14" w:rsidP="00AB1F14">
      <w:pPr>
        <w:jc w:val="both"/>
        <w:rPr>
          <w:sz w:val="22"/>
          <w:szCs w:val="22"/>
          <w:lang w:val="en-GB"/>
        </w:rPr>
      </w:pPr>
    </w:p>
    <w:p w14:paraId="72465836" w14:textId="4F548484" w:rsidR="00AB1F14" w:rsidRPr="00F04963" w:rsidRDefault="00F04963" w:rsidP="00F04963">
      <w:pPr>
        <w:autoSpaceDE w:val="0"/>
        <w:autoSpaceDN w:val="0"/>
        <w:adjustRightInd w:val="0"/>
        <w:jc w:val="both"/>
        <w:rPr>
          <w:lang w:val="en-GB"/>
        </w:rPr>
      </w:pPr>
      <w:r>
        <w:rPr>
          <w:lang w:val="en-GB"/>
        </w:rPr>
        <w:t>[7]</w:t>
      </w:r>
      <w:r>
        <w:rPr>
          <w:lang w:val="en-GB"/>
        </w:rPr>
        <w:tab/>
      </w:r>
      <w:r w:rsidR="00AB1F14" w:rsidRPr="00F04963">
        <w:rPr>
          <w:lang w:val="en-GB"/>
        </w:rPr>
        <w:t xml:space="preserve">The position has been confirmed by Van Zyl J in this Division in </w:t>
      </w:r>
      <w:r w:rsidR="00AB1F14" w:rsidRPr="00F04963">
        <w:rPr>
          <w:i/>
          <w:iCs/>
          <w:lang w:val="en-GB"/>
        </w:rPr>
        <w:t>S v Yanta</w:t>
      </w:r>
      <w:r w:rsidR="00AB1F14" w:rsidRPr="00F04963">
        <w:rPr>
          <w:lang w:val="en-GB"/>
        </w:rPr>
        <w:t>:</w:t>
      </w:r>
      <w:r w:rsidR="00AB1F14">
        <w:rPr>
          <w:rStyle w:val="FootnoteReference"/>
          <w:lang w:val="en-GB"/>
        </w:rPr>
        <w:footnoteReference w:id="9"/>
      </w:r>
    </w:p>
    <w:p w14:paraId="0FB30F86" w14:textId="77777777" w:rsidR="00AB1F14" w:rsidRPr="002C6902" w:rsidRDefault="00AB1F14" w:rsidP="00AB1F14">
      <w:pPr>
        <w:jc w:val="both"/>
        <w:rPr>
          <w:sz w:val="22"/>
          <w:szCs w:val="22"/>
          <w:lang w:val="en-GB"/>
        </w:rPr>
      </w:pPr>
      <w:r w:rsidRPr="002C6902">
        <w:rPr>
          <w:sz w:val="22"/>
          <w:szCs w:val="22"/>
          <w:lang w:val="en-GB"/>
        </w:rPr>
        <w:lastRenderedPageBreak/>
        <w:t>‘Like any other appeal an appeal against the refusal of bail must be determined on the material on record. There is no provision for furnishing additional information to the Court hearing the appeal. In terms of s 65(2) an appeal shall not lie in respect of new facts which arise or are discovered after the decision against which the appeal is brought, unless such new facts were first placed before the court against whose decision the appeal is brought and such court has given a decision against the accused on such new facts.’</w:t>
      </w:r>
    </w:p>
    <w:p w14:paraId="63673D8D" w14:textId="77777777" w:rsidR="00AB1F14" w:rsidRDefault="00AB1F14" w:rsidP="00AB1F14">
      <w:pPr>
        <w:pStyle w:val="ListParagraph"/>
        <w:autoSpaceDE w:val="0"/>
        <w:autoSpaceDN w:val="0"/>
        <w:adjustRightInd w:val="0"/>
        <w:ind w:left="0"/>
        <w:jc w:val="both"/>
        <w:rPr>
          <w:lang w:val="en-GB"/>
        </w:rPr>
      </w:pPr>
    </w:p>
    <w:p w14:paraId="0AB13B11" w14:textId="66E06FE4" w:rsidR="00AB1F14" w:rsidRPr="00F04963" w:rsidRDefault="00F04963" w:rsidP="00F04963">
      <w:pPr>
        <w:autoSpaceDE w:val="0"/>
        <w:autoSpaceDN w:val="0"/>
        <w:adjustRightInd w:val="0"/>
        <w:jc w:val="both"/>
        <w:rPr>
          <w:lang w:val="en-GB"/>
        </w:rPr>
      </w:pPr>
      <w:r>
        <w:rPr>
          <w:lang w:val="en-GB"/>
        </w:rPr>
        <w:t>[8]</w:t>
      </w:r>
      <w:r>
        <w:rPr>
          <w:lang w:val="en-GB"/>
        </w:rPr>
        <w:tab/>
      </w:r>
      <w:r w:rsidR="00AB1F14" w:rsidRPr="00F04963">
        <w:rPr>
          <w:lang w:val="en-GB"/>
        </w:rPr>
        <w:t>I am bound by this decision and disinclined to deviate from it. The position may be different, in exceptional or so-called ‘peculiar’ cases,</w:t>
      </w:r>
      <w:r w:rsidR="00AB1F14">
        <w:rPr>
          <w:rStyle w:val="FootnoteReference"/>
          <w:lang w:val="en-GB"/>
        </w:rPr>
        <w:footnoteReference w:id="10"/>
      </w:r>
      <w:r w:rsidR="00AB1F14" w:rsidRPr="00F04963">
        <w:rPr>
          <w:lang w:val="en-GB"/>
        </w:rPr>
        <w:t xml:space="preserve"> in respect of other kinds of appeals and reviews, such as in the case of remittal to a regional court for the hearing of further evidence following review and in appeals against sentence, based on the s 35(3) rights of an accused person to a fair trial.</w:t>
      </w:r>
      <w:r w:rsidR="00AB1F14">
        <w:rPr>
          <w:rStyle w:val="FootnoteReference"/>
          <w:lang w:val="en-GB"/>
        </w:rPr>
        <w:footnoteReference w:id="11"/>
      </w:r>
      <w:r w:rsidR="00AB1F14" w:rsidRPr="00F04963">
        <w:rPr>
          <w:lang w:val="en-GB"/>
        </w:rPr>
        <w:t xml:space="preserve"> Where an accused has been convicted in a High Court</w:t>
      </w:r>
      <w:r w:rsidR="00AD33D4" w:rsidRPr="00F04963">
        <w:rPr>
          <w:lang w:val="en-GB"/>
        </w:rPr>
        <w:t>,</w:t>
      </w:r>
      <w:r w:rsidR="00AB1F14" w:rsidRPr="00F04963">
        <w:rPr>
          <w:lang w:val="en-GB"/>
        </w:rPr>
        <w:t xml:space="preserve"> an application for fresh evidence to be led is governed expressly by s 316(5) of the CPA.</w:t>
      </w:r>
      <w:r w:rsidR="00AB1F14">
        <w:rPr>
          <w:rStyle w:val="FootnoteReference"/>
          <w:lang w:val="en-GB"/>
        </w:rPr>
        <w:footnoteReference w:id="12"/>
      </w:r>
      <w:r w:rsidR="00AB1F14" w:rsidRPr="00F04963">
        <w:rPr>
          <w:lang w:val="en-GB"/>
        </w:rPr>
        <w:t xml:space="preserve"> It is also interesting to note that s 22 of the now repealed Supreme Court Act, 1959</w:t>
      </w:r>
      <w:r w:rsidR="00AB1F14">
        <w:rPr>
          <w:rStyle w:val="FootnoteReference"/>
          <w:lang w:val="en-GB"/>
        </w:rPr>
        <w:footnoteReference w:id="13"/>
      </w:r>
      <w:r w:rsidR="00AB1F14" w:rsidRPr="00F04963">
        <w:rPr>
          <w:lang w:val="en-GB"/>
        </w:rPr>
        <w:t xml:space="preserve"> empowered higher courts to receive further evidence on the hearing of an appeal, or to remit the matter to the court of first instance for further hearing, with instructions as to the taking of further evidence as necessary. Although similar provisos have been included in chapter 5 of the Superior Courts Act, 2013,</w:t>
      </w:r>
      <w:r w:rsidR="00AB1F14">
        <w:rPr>
          <w:rStyle w:val="FootnoteReference"/>
          <w:lang w:val="en-GB"/>
        </w:rPr>
        <w:footnoteReference w:id="14"/>
      </w:r>
      <w:r w:rsidR="00AB1F14" w:rsidRPr="00F04963">
        <w:rPr>
          <w:lang w:val="en-GB"/>
        </w:rPr>
        <w:t xml:space="preserve"> ‘appeal’ in chapter 5 is defined </w:t>
      </w:r>
      <w:r w:rsidR="00AD33D4" w:rsidRPr="00F04963">
        <w:rPr>
          <w:lang w:val="en-GB"/>
        </w:rPr>
        <w:t xml:space="preserve">specifically </w:t>
      </w:r>
      <w:r w:rsidR="00AB1F14" w:rsidRPr="00F04963">
        <w:rPr>
          <w:lang w:val="en-GB"/>
        </w:rPr>
        <w:t>to exclude appeals in matters regulated by the CPA or in terms of any other criminal procedural law.</w:t>
      </w:r>
      <w:r w:rsidR="00AB1F14">
        <w:rPr>
          <w:rStyle w:val="FootnoteReference"/>
          <w:lang w:val="en-GB"/>
        </w:rPr>
        <w:footnoteReference w:id="15"/>
      </w:r>
      <w:r w:rsidR="00AB1F14" w:rsidRPr="00F04963">
        <w:rPr>
          <w:lang w:val="en-GB"/>
        </w:rPr>
        <w:t xml:space="preserve"> The rationale for the more generous approach prevalent in respect of appeals generally is also noteworthy, the dictates of fairness requiring that all relevant information bearing on the question of guilt or innocence being placed before the trial court to enable it to determine the true facts in order to avoid injustice.</w:t>
      </w:r>
      <w:r w:rsidR="00AB1F14">
        <w:rPr>
          <w:rStyle w:val="FootnoteReference"/>
          <w:lang w:val="en-GB"/>
        </w:rPr>
        <w:footnoteReference w:id="16"/>
      </w:r>
      <w:r w:rsidR="00AB1F14" w:rsidRPr="00F04963">
        <w:rPr>
          <w:lang w:val="en-GB"/>
        </w:rPr>
        <w:t xml:space="preserve"> </w:t>
      </w:r>
      <w:r w:rsidR="00715DFC" w:rsidRPr="00F04963">
        <w:rPr>
          <w:lang w:val="en-GB"/>
        </w:rPr>
        <w:t>Considerations pertaining to fair trial rights and questions of guilt or innocence</w:t>
      </w:r>
      <w:r w:rsidR="00ED030E" w:rsidRPr="00F04963">
        <w:rPr>
          <w:lang w:val="en-GB"/>
        </w:rPr>
        <w:t>, to be determined after trial,</w:t>
      </w:r>
      <w:r w:rsidR="00715DFC" w:rsidRPr="00F04963">
        <w:rPr>
          <w:lang w:val="en-GB"/>
        </w:rPr>
        <w:t xml:space="preserve"> are not </w:t>
      </w:r>
      <w:r w:rsidR="006E206B" w:rsidRPr="00F04963">
        <w:rPr>
          <w:lang w:val="en-GB"/>
        </w:rPr>
        <w:t>central to</w:t>
      </w:r>
      <w:r w:rsidR="00715DFC" w:rsidRPr="00F04963">
        <w:rPr>
          <w:lang w:val="en-GB"/>
        </w:rPr>
        <w:t xml:space="preserve"> the present application.</w:t>
      </w:r>
    </w:p>
    <w:p w14:paraId="63983FED" w14:textId="164DADA3" w:rsidR="0099307D" w:rsidRPr="00F04963" w:rsidRDefault="00F04963" w:rsidP="00F04963">
      <w:pPr>
        <w:autoSpaceDE w:val="0"/>
        <w:autoSpaceDN w:val="0"/>
        <w:adjustRightInd w:val="0"/>
        <w:jc w:val="both"/>
        <w:rPr>
          <w:lang w:val="en-GB"/>
        </w:rPr>
      </w:pPr>
      <w:r>
        <w:rPr>
          <w:lang w:val="en-GB"/>
        </w:rPr>
        <w:lastRenderedPageBreak/>
        <w:t>[9]</w:t>
      </w:r>
      <w:r>
        <w:rPr>
          <w:lang w:val="en-GB"/>
        </w:rPr>
        <w:tab/>
      </w:r>
      <w:r w:rsidR="00AB1F14" w:rsidRPr="00F04963">
        <w:rPr>
          <w:lang w:val="en-GB"/>
        </w:rPr>
        <w:t>The appellants accept that the facts upon which they rely constitute ‘new facts’. They submit, however, that the presiding magistrate is clearly disqualified from hearing a bail application on new facts because she had authorised the search warrant</w:t>
      </w:r>
      <w:r w:rsidR="00B55F1E" w:rsidRPr="00F04963">
        <w:rPr>
          <w:lang w:val="en-GB"/>
        </w:rPr>
        <w:t xml:space="preserve"> and, furthermore, that the search warrant is fatally defective</w:t>
      </w:r>
      <w:r w:rsidR="008E68A6" w:rsidRPr="00F04963">
        <w:rPr>
          <w:lang w:val="en-GB"/>
        </w:rPr>
        <w:t xml:space="preserve"> so that the </w:t>
      </w:r>
      <w:r w:rsidR="0022739D" w:rsidRPr="00F04963">
        <w:rPr>
          <w:lang w:val="en-GB"/>
        </w:rPr>
        <w:t>S</w:t>
      </w:r>
      <w:r w:rsidR="008E68A6" w:rsidRPr="00F04963">
        <w:rPr>
          <w:lang w:val="en-GB"/>
        </w:rPr>
        <w:t xml:space="preserve">tate’s case is </w:t>
      </w:r>
      <w:r w:rsidR="0022739D" w:rsidRPr="00F04963">
        <w:rPr>
          <w:lang w:val="en-GB"/>
        </w:rPr>
        <w:t>poor</w:t>
      </w:r>
      <w:r w:rsidR="00AB1F14" w:rsidRPr="00F04963">
        <w:rPr>
          <w:lang w:val="en-GB"/>
        </w:rPr>
        <w:t xml:space="preserve">. This judgment does not pronounce upon </w:t>
      </w:r>
      <w:r w:rsidR="00222D2B" w:rsidRPr="00F04963">
        <w:rPr>
          <w:lang w:val="en-GB"/>
        </w:rPr>
        <w:t>those</w:t>
      </w:r>
      <w:r w:rsidR="00AB1F14" w:rsidRPr="00F04963">
        <w:rPr>
          <w:lang w:val="en-GB"/>
        </w:rPr>
        <w:t xml:space="preserve"> issu</w:t>
      </w:r>
      <w:r w:rsidR="005926BC" w:rsidRPr="00F04963">
        <w:rPr>
          <w:lang w:val="en-GB"/>
        </w:rPr>
        <w:t>es</w:t>
      </w:r>
      <w:r w:rsidR="00AB1F14" w:rsidRPr="00F04963">
        <w:rPr>
          <w:lang w:val="en-GB"/>
        </w:rPr>
        <w:t>.</w:t>
      </w:r>
      <w:r w:rsidR="00BC6617">
        <w:rPr>
          <w:rStyle w:val="FootnoteReference"/>
          <w:lang w:val="en-GB"/>
        </w:rPr>
        <w:footnoteReference w:id="17"/>
      </w:r>
      <w:r w:rsidR="00AB1F14" w:rsidRPr="00F04963">
        <w:rPr>
          <w:lang w:val="en-GB"/>
        </w:rPr>
        <w:t xml:space="preserve"> Relying upon the available authorities, the point is that the present appeal is to be determined based on the record of the bail proceedings in the court </w:t>
      </w:r>
      <w:r w:rsidR="00AB1F14" w:rsidRPr="00F04963">
        <w:rPr>
          <w:i/>
          <w:iCs/>
          <w:lang w:val="en-GB"/>
        </w:rPr>
        <w:t>a quo</w:t>
      </w:r>
      <w:r w:rsidR="00AB1F14" w:rsidRPr="00F04963">
        <w:rPr>
          <w:lang w:val="en-GB"/>
        </w:rPr>
        <w:t xml:space="preserve">, a bail application on new facts to be considered by the presiding magistrate or, if necessary, before a different magistrate, in the usual manner. I am unconvinced that cogent reasons </w:t>
      </w:r>
      <w:r w:rsidR="002F7333" w:rsidRPr="00F04963">
        <w:rPr>
          <w:lang w:val="en-GB"/>
        </w:rPr>
        <w:t xml:space="preserve">exist </w:t>
      </w:r>
      <w:r w:rsidR="00AB1F14" w:rsidRPr="00F04963">
        <w:rPr>
          <w:lang w:val="en-GB"/>
        </w:rPr>
        <w:t>to depart from this approach in the present circumstances.</w:t>
      </w:r>
      <w:r w:rsidR="0099307D">
        <w:rPr>
          <w:rStyle w:val="FootnoteReference"/>
          <w:lang w:val="en-GB"/>
        </w:rPr>
        <w:footnoteReference w:id="18"/>
      </w:r>
      <w:r w:rsidR="00AB1F14" w:rsidRPr="00F04963">
        <w:rPr>
          <w:lang w:val="en-GB"/>
        </w:rPr>
        <w:t xml:space="preserve"> </w:t>
      </w:r>
    </w:p>
    <w:p w14:paraId="62D9456E" w14:textId="77777777" w:rsidR="0099307D" w:rsidRPr="0099307D" w:rsidRDefault="0099307D" w:rsidP="0099307D">
      <w:pPr>
        <w:pStyle w:val="ListParagraph"/>
        <w:rPr>
          <w:lang w:val="en-GB"/>
        </w:rPr>
      </w:pPr>
    </w:p>
    <w:p w14:paraId="78EAA9DE" w14:textId="12D49B63" w:rsidR="00AB1F14" w:rsidRPr="00F04963" w:rsidRDefault="00F04963" w:rsidP="00F04963">
      <w:pPr>
        <w:autoSpaceDE w:val="0"/>
        <w:autoSpaceDN w:val="0"/>
        <w:adjustRightInd w:val="0"/>
        <w:jc w:val="both"/>
        <w:rPr>
          <w:lang w:val="en-GB"/>
        </w:rPr>
      </w:pPr>
      <w:r>
        <w:rPr>
          <w:lang w:val="en-GB"/>
        </w:rPr>
        <w:t>[10]</w:t>
      </w:r>
      <w:r>
        <w:rPr>
          <w:lang w:val="en-GB"/>
        </w:rPr>
        <w:tab/>
      </w:r>
      <w:r w:rsidR="00AB1F14" w:rsidRPr="00F04963">
        <w:rPr>
          <w:lang w:val="en-GB"/>
        </w:rPr>
        <w:t xml:space="preserve">In addition, I consider that to do so would open the door to attempts to bypass the court </w:t>
      </w:r>
      <w:r w:rsidR="00AB1F14" w:rsidRPr="00F04963">
        <w:rPr>
          <w:i/>
          <w:iCs/>
          <w:lang w:val="en-GB"/>
        </w:rPr>
        <w:t>a quo</w:t>
      </w:r>
      <w:r w:rsidR="00AB1F14" w:rsidRPr="00F04963">
        <w:rPr>
          <w:lang w:val="en-GB"/>
        </w:rPr>
        <w:t xml:space="preserve"> in circumstances where this is unwarranted. Even if there may be a good basis for a presiding officer to recuse themselves in certain circumstances when faced with an application </w:t>
      </w:r>
      <w:r w:rsidR="00E82848" w:rsidRPr="00F04963">
        <w:rPr>
          <w:lang w:val="en-GB"/>
        </w:rPr>
        <w:t xml:space="preserve">based </w:t>
      </w:r>
      <w:r w:rsidR="00AB1F14" w:rsidRPr="00F04963">
        <w:rPr>
          <w:lang w:val="en-GB"/>
        </w:rPr>
        <w:t>on new facts, this should be pronounced upon by that magistrate</w:t>
      </w:r>
      <w:r w:rsidR="00655BF4" w:rsidRPr="00F04963">
        <w:rPr>
          <w:lang w:val="en-GB"/>
        </w:rPr>
        <w:t>. If necessary,</w:t>
      </w:r>
      <w:r w:rsidR="00AB1F14" w:rsidRPr="00F04963">
        <w:rPr>
          <w:lang w:val="en-GB"/>
        </w:rPr>
        <w:t xml:space="preserve"> </w:t>
      </w:r>
      <w:r w:rsidR="00655BF4" w:rsidRPr="00F04963">
        <w:rPr>
          <w:lang w:val="en-GB"/>
        </w:rPr>
        <w:t xml:space="preserve">I see no reason why </w:t>
      </w:r>
      <w:r w:rsidR="00AB1F14" w:rsidRPr="00F04963">
        <w:rPr>
          <w:lang w:val="en-GB"/>
        </w:rPr>
        <w:t xml:space="preserve">another magistrate </w:t>
      </w:r>
      <w:r w:rsidR="00655BF4" w:rsidRPr="00F04963">
        <w:rPr>
          <w:lang w:val="en-GB"/>
        </w:rPr>
        <w:t xml:space="preserve">may not be </w:t>
      </w:r>
      <w:r w:rsidR="00AB1F14" w:rsidRPr="00F04963">
        <w:rPr>
          <w:lang w:val="en-GB"/>
        </w:rPr>
        <w:t>allocated to consider the matter</w:t>
      </w:r>
      <w:r w:rsidR="00EE6E12" w:rsidRPr="00F04963">
        <w:rPr>
          <w:lang w:val="en-GB"/>
        </w:rPr>
        <w:t xml:space="preserve"> thereafter</w:t>
      </w:r>
      <w:r w:rsidR="00CC7BC8" w:rsidRPr="00F04963">
        <w:rPr>
          <w:lang w:val="en-GB"/>
        </w:rPr>
        <w:t>, bearing in mind that the accused stand arraigned in that court</w:t>
      </w:r>
      <w:r w:rsidR="00AB1F14" w:rsidRPr="00F04963">
        <w:rPr>
          <w:lang w:val="en-GB"/>
        </w:rPr>
        <w:t>. To hold otherwise would be to turn an appeal court into a court of first instance, saddling this court with an obligation to receive evidence, in circumstances where this has not been contemplated by the legislature</w:t>
      </w:r>
      <w:r w:rsidR="00B95E31" w:rsidRPr="00F04963">
        <w:rPr>
          <w:lang w:val="en-GB"/>
        </w:rPr>
        <w:t xml:space="preserve">. </w:t>
      </w:r>
      <w:r w:rsidR="002105DD" w:rsidRPr="00F04963">
        <w:rPr>
          <w:lang w:val="en-GB"/>
        </w:rPr>
        <w:t>Whether there are ‘new facts’ for a renewed bail application, and their effect on the outcome, will be decided by that court and that determination may then be subjected to further appeal.</w:t>
      </w:r>
      <w:r w:rsidR="005945C7">
        <w:rPr>
          <w:rStyle w:val="FootnoteReference"/>
          <w:lang w:val="en-GB"/>
        </w:rPr>
        <w:footnoteReference w:id="19"/>
      </w:r>
      <w:r w:rsidR="004462E3" w:rsidRPr="00F04963">
        <w:rPr>
          <w:lang w:val="en-GB"/>
        </w:rPr>
        <w:t xml:space="preserve"> It goes without saying that the appellants have a right to a reasonable opportunity to present new facts for purposes of a renewed bail application</w:t>
      </w:r>
      <w:r w:rsidR="00D0417D" w:rsidRPr="00F04963">
        <w:rPr>
          <w:lang w:val="en-GB"/>
        </w:rPr>
        <w:t xml:space="preserve"> before a magistrate, and that this right should not be denied without good reason.</w:t>
      </w:r>
      <w:r w:rsidR="004462E3">
        <w:rPr>
          <w:rStyle w:val="FootnoteReference"/>
          <w:lang w:val="en-GB"/>
        </w:rPr>
        <w:footnoteReference w:id="20"/>
      </w:r>
      <w:r w:rsidR="0034638D" w:rsidRPr="00F04963">
        <w:rPr>
          <w:lang w:val="en-GB"/>
        </w:rPr>
        <w:t xml:space="preserve"> </w:t>
      </w:r>
    </w:p>
    <w:p w14:paraId="5D839E29" w14:textId="77777777" w:rsidR="00AB1F14" w:rsidRDefault="00AB1F14" w:rsidP="00AB1F14">
      <w:pPr>
        <w:pStyle w:val="ListParagraph"/>
        <w:autoSpaceDE w:val="0"/>
        <w:autoSpaceDN w:val="0"/>
        <w:adjustRightInd w:val="0"/>
        <w:ind w:left="0"/>
        <w:jc w:val="both"/>
        <w:rPr>
          <w:lang w:val="en-GB"/>
        </w:rPr>
      </w:pPr>
      <w:r>
        <w:rPr>
          <w:lang w:val="en-GB"/>
        </w:rPr>
        <w:t xml:space="preserve"> </w:t>
      </w:r>
    </w:p>
    <w:p w14:paraId="1D57761F" w14:textId="05D8BC46" w:rsidR="00AB1F14" w:rsidRPr="00F04963" w:rsidRDefault="00F04963" w:rsidP="00F04963">
      <w:pPr>
        <w:autoSpaceDE w:val="0"/>
        <w:autoSpaceDN w:val="0"/>
        <w:adjustRightInd w:val="0"/>
        <w:jc w:val="both"/>
        <w:rPr>
          <w:lang w:val="en-GB"/>
        </w:rPr>
      </w:pPr>
      <w:r>
        <w:rPr>
          <w:lang w:val="en-GB"/>
        </w:rPr>
        <w:t>[11]</w:t>
      </w:r>
      <w:r>
        <w:rPr>
          <w:lang w:val="en-GB"/>
        </w:rPr>
        <w:tab/>
      </w:r>
      <w:r w:rsidR="00AB1F14" w:rsidRPr="00F04963">
        <w:rPr>
          <w:lang w:val="en-GB"/>
        </w:rPr>
        <w:t xml:space="preserve">The application to adduce further evidence is accordingly refused. </w:t>
      </w:r>
    </w:p>
    <w:p w14:paraId="3F5B33F7" w14:textId="674BBB30" w:rsidR="00AB1F14" w:rsidRDefault="00AB1F14" w:rsidP="00AB1F14">
      <w:pPr>
        <w:pStyle w:val="ListParagraph"/>
        <w:autoSpaceDE w:val="0"/>
        <w:autoSpaceDN w:val="0"/>
        <w:adjustRightInd w:val="0"/>
        <w:ind w:left="0"/>
        <w:jc w:val="both"/>
        <w:rPr>
          <w:lang w:val="en-GB"/>
        </w:rPr>
      </w:pPr>
    </w:p>
    <w:p w14:paraId="231AF012" w14:textId="77777777" w:rsidR="00581773" w:rsidRDefault="00581773" w:rsidP="00AB1F14">
      <w:pPr>
        <w:pStyle w:val="ListParagraph"/>
        <w:autoSpaceDE w:val="0"/>
        <w:autoSpaceDN w:val="0"/>
        <w:adjustRightInd w:val="0"/>
        <w:ind w:left="0"/>
        <w:jc w:val="both"/>
        <w:rPr>
          <w:lang w:val="en-GB"/>
        </w:rPr>
      </w:pPr>
    </w:p>
    <w:p w14:paraId="5F5910C1" w14:textId="5932D953" w:rsidR="001658F1" w:rsidRDefault="00106BAF" w:rsidP="00AB1F14">
      <w:pPr>
        <w:pStyle w:val="ListParagraph"/>
        <w:autoSpaceDE w:val="0"/>
        <w:autoSpaceDN w:val="0"/>
        <w:adjustRightInd w:val="0"/>
        <w:ind w:left="0"/>
        <w:jc w:val="both"/>
        <w:rPr>
          <w:b/>
          <w:bCs/>
          <w:lang w:val="en-GB"/>
        </w:rPr>
      </w:pPr>
      <w:r>
        <w:rPr>
          <w:b/>
          <w:bCs/>
          <w:lang w:val="en-GB"/>
        </w:rPr>
        <w:lastRenderedPageBreak/>
        <w:t xml:space="preserve">The </w:t>
      </w:r>
      <w:r w:rsidR="00352146">
        <w:rPr>
          <w:b/>
          <w:bCs/>
          <w:lang w:val="en-GB"/>
        </w:rPr>
        <w:t>legal position</w:t>
      </w:r>
    </w:p>
    <w:p w14:paraId="614EEEAC" w14:textId="77777777" w:rsidR="001658F1" w:rsidRPr="001658F1" w:rsidRDefault="001658F1" w:rsidP="00AB1F14">
      <w:pPr>
        <w:pStyle w:val="ListParagraph"/>
        <w:autoSpaceDE w:val="0"/>
        <w:autoSpaceDN w:val="0"/>
        <w:adjustRightInd w:val="0"/>
        <w:ind w:left="0"/>
        <w:jc w:val="both"/>
        <w:rPr>
          <w:b/>
          <w:bCs/>
          <w:lang w:val="en-GB"/>
        </w:rPr>
      </w:pPr>
    </w:p>
    <w:p w14:paraId="79AD7F8D" w14:textId="30604DA0" w:rsidR="00C8111D" w:rsidRPr="00F04963" w:rsidRDefault="00F04963" w:rsidP="00F04963">
      <w:pPr>
        <w:autoSpaceDE w:val="0"/>
        <w:autoSpaceDN w:val="0"/>
        <w:adjustRightInd w:val="0"/>
        <w:jc w:val="both"/>
        <w:rPr>
          <w:lang w:val="en-GB"/>
        </w:rPr>
      </w:pPr>
      <w:r>
        <w:rPr>
          <w:lang w:val="en-GB"/>
        </w:rPr>
        <w:t>[12]</w:t>
      </w:r>
      <w:r>
        <w:rPr>
          <w:lang w:val="en-GB"/>
        </w:rPr>
        <w:tab/>
      </w:r>
      <w:r w:rsidR="00F0684E" w:rsidRPr="00F04963">
        <w:rPr>
          <w:lang w:val="en-GB"/>
        </w:rPr>
        <w:t>A judge hearing an appeal</w:t>
      </w:r>
      <w:r w:rsidR="009B0117" w:rsidRPr="00F04963">
        <w:rPr>
          <w:lang w:val="en-GB"/>
        </w:rPr>
        <w:t xml:space="preserve"> shall</w:t>
      </w:r>
      <w:r w:rsidR="00F0684E" w:rsidRPr="00F04963">
        <w:rPr>
          <w:lang w:val="en-GB"/>
        </w:rPr>
        <w:t xml:space="preserve"> not set aside the decision against which the appeal is brought, unless </w:t>
      </w:r>
      <w:r w:rsidR="009B0117" w:rsidRPr="00F04963">
        <w:rPr>
          <w:lang w:val="en-GB"/>
        </w:rPr>
        <w:t>the</w:t>
      </w:r>
      <w:r w:rsidR="00F0684E" w:rsidRPr="00F04963">
        <w:rPr>
          <w:lang w:val="en-GB"/>
        </w:rPr>
        <w:t xml:space="preserve"> judge is satisfied that the decision was wrong, in which event the judge shall give the decision which in </w:t>
      </w:r>
      <w:r w:rsidR="009B0117" w:rsidRPr="00F04963">
        <w:rPr>
          <w:lang w:val="en-GB"/>
        </w:rPr>
        <w:t>their opinion the lower court should have given.</w:t>
      </w:r>
      <w:r w:rsidR="009B0117">
        <w:rPr>
          <w:rStyle w:val="FootnoteReference"/>
          <w:lang w:val="en-GB"/>
        </w:rPr>
        <w:footnoteReference w:id="21"/>
      </w:r>
      <w:r w:rsidR="002D6EB1" w:rsidRPr="00F04963">
        <w:rPr>
          <w:lang w:val="en-GB"/>
        </w:rPr>
        <w:t xml:space="preserve"> The real question is therefore whether the presiding magistrate exercised their discretion, in refusing bail, wrongly.</w:t>
      </w:r>
      <w:r w:rsidR="00990104">
        <w:rPr>
          <w:rStyle w:val="FootnoteReference"/>
          <w:lang w:val="en-GB"/>
        </w:rPr>
        <w:footnoteReference w:id="22"/>
      </w:r>
      <w:r w:rsidR="00990104" w:rsidRPr="00F04963">
        <w:rPr>
          <w:lang w:val="en-GB"/>
        </w:rPr>
        <w:t xml:space="preserve"> As Hefer J held in </w:t>
      </w:r>
      <w:r w:rsidR="00990104" w:rsidRPr="00F04963">
        <w:rPr>
          <w:i/>
          <w:iCs/>
          <w:lang w:val="en-GB"/>
        </w:rPr>
        <w:t>S v Barber</w:t>
      </w:r>
      <w:r w:rsidR="00990104" w:rsidRPr="00F04963">
        <w:rPr>
          <w:lang w:val="en-GB"/>
        </w:rPr>
        <w:t>:</w:t>
      </w:r>
      <w:r w:rsidR="00990104">
        <w:rPr>
          <w:rStyle w:val="FootnoteReference"/>
          <w:lang w:val="en-GB"/>
        </w:rPr>
        <w:footnoteReference w:id="23"/>
      </w:r>
    </w:p>
    <w:p w14:paraId="14A36743" w14:textId="36DE2706" w:rsidR="00990104" w:rsidRDefault="00990104" w:rsidP="00990104">
      <w:pPr>
        <w:jc w:val="both"/>
        <w:rPr>
          <w:sz w:val="22"/>
          <w:szCs w:val="22"/>
          <w:lang w:val="en-GB"/>
        </w:rPr>
      </w:pPr>
      <w:r>
        <w:rPr>
          <w:sz w:val="22"/>
          <w:szCs w:val="22"/>
          <w:lang w:val="en-GB"/>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 are, the real question is whether it can be said that the magistrate who had the discretion to grant bail exercised that discretion wrongly.’</w:t>
      </w:r>
    </w:p>
    <w:p w14:paraId="054023EE" w14:textId="77777777" w:rsidR="00990104" w:rsidRPr="00990104" w:rsidRDefault="00990104" w:rsidP="00990104">
      <w:pPr>
        <w:jc w:val="both"/>
        <w:rPr>
          <w:sz w:val="22"/>
          <w:szCs w:val="22"/>
          <w:lang w:val="en-GB"/>
        </w:rPr>
      </w:pPr>
    </w:p>
    <w:p w14:paraId="53BCFF85" w14:textId="523E574A" w:rsidR="00990104" w:rsidRPr="00F04963" w:rsidRDefault="00F04963" w:rsidP="00F04963">
      <w:pPr>
        <w:autoSpaceDE w:val="0"/>
        <w:autoSpaceDN w:val="0"/>
        <w:adjustRightInd w:val="0"/>
        <w:jc w:val="both"/>
        <w:rPr>
          <w:lang w:val="en-GB"/>
        </w:rPr>
      </w:pPr>
      <w:r>
        <w:rPr>
          <w:lang w:val="en-GB"/>
        </w:rPr>
        <w:t>[13]</w:t>
      </w:r>
      <w:r>
        <w:rPr>
          <w:lang w:val="en-GB"/>
        </w:rPr>
        <w:tab/>
      </w:r>
      <w:r w:rsidR="00FF3808" w:rsidRPr="00F04963">
        <w:rPr>
          <w:lang w:val="en-GB"/>
        </w:rPr>
        <w:t>It is accepted that interference is also justified where the lower court ‘overlooked some important aspects’ in coming to the decision to refuse bail.</w:t>
      </w:r>
      <w:r w:rsidR="00FF3808">
        <w:rPr>
          <w:rStyle w:val="FootnoteReference"/>
          <w:lang w:val="en-GB"/>
        </w:rPr>
        <w:footnoteReference w:id="24"/>
      </w:r>
      <w:r w:rsidR="00F71540" w:rsidRPr="00F04963">
        <w:rPr>
          <w:lang w:val="en-GB"/>
        </w:rPr>
        <w:t xml:space="preserve"> </w:t>
      </w:r>
    </w:p>
    <w:p w14:paraId="3B688627" w14:textId="77777777" w:rsidR="0075325E" w:rsidRPr="00990104" w:rsidRDefault="0075325E" w:rsidP="00990104">
      <w:pPr>
        <w:rPr>
          <w:sz w:val="22"/>
          <w:szCs w:val="22"/>
          <w:lang w:val="en-GB"/>
        </w:rPr>
      </w:pPr>
    </w:p>
    <w:p w14:paraId="07D096E9" w14:textId="3D0BDBE9" w:rsidR="00990104" w:rsidRPr="00F04963" w:rsidRDefault="00F04963" w:rsidP="00F04963">
      <w:pPr>
        <w:autoSpaceDE w:val="0"/>
        <w:autoSpaceDN w:val="0"/>
        <w:adjustRightInd w:val="0"/>
        <w:jc w:val="both"/>
        <w:rPr>
          <w:lang w:val="en-GB"/>
        </w:rPr>
      </w:pPr>
      <w:r>
        <w:rPr>
          <w:lang w:val="en-GB"/>
        </w:rPr>
        <w:t>[14]</w:t>
      </w:r>
      <w:r>
        <w:rPr>
          <w:lang w:val="en-GB"/>
        </w:rPr>
        <w:tab/>
      </w:r>
      <w:r w:rsidR="00B11E4B" w:rsidRPr="00F04963">
        <w:rPr>
          <w:lang w:val="en-GB"/>
        </w:rPr>
        <w:t xml:space="preserve">The factors that the court </w:t>
      </w:r>
      <w:r w:rsidR="00B11E4B" w:rsidRPr="00F04963">
        <w:rPr>
          <w:i/>
          <w:iCs/>
          <w:lang w:val="en-GB"/>
        </w:rPr>
        <w:t>a quo</w:t>
      </w:r>
      <w:r w:rsidR="00B11E4B" w:rsidRPr="00F04963">
        <w:rPr>
          <w:lang w:val="en-GB"/>
        </w:rPr>
        <w:t xml:space="preserve"> had to consider in determining the question of interests of justice are outlined in s 60(4) of the Act. According to the section, the interests of justice would not permit the release of the accused if one or more of</w:t>
      </w:r>
      <w:r w:rsidR="00DE25B1" w:rsidRPr="00F04963">
        <w:rPr>
          <w:lang w:val="en-GB"/>
        </w:rPr>
        <w:t xml:space="preserve"> </w:t>
      </w:r>
      <w:r w:rsidR="00B11E4B" w:rsidRPr="00F04963">
        <w:rPr>
          <w:lang w:val="en-GB"/>
        </w:rPr>
        <w:t>the following grounds are, inter alia, shown to exist:</w:t>
      </w:r>
    </w:p>
    <w:p w14:paraId="4F9F934B" w14:textId="43D58388" w:rsidR="00606472" w:rsidRPr="003E7210" w:rsidRDefault="003E7210" w:rsidP="0035256B">
      <w:pPr>
        <w:pStyle w:val="ListParagraph"/>
        <w:autoSpaceDE w:val="0"/>
        <w:autoSpaceDN w:val="0"/>
        <w:adjustRightInd w:val="0"/>
        <w:ind w:hanging="720"/>
        <w:jc w:val="both"/>
        <w:rPr>
          <w:sz w:val="22"/>
          <w:szCs w:val="22"/>
          <w:lang w:val="en-GB"/>
        </w:rPr>
      </w:pPr>
      <w:r>
        <w:rPr>
          <w:sz w:val="22"/>
          <w:szCs w:val="22"/>
          <w:lang w:val="en-GB"/>
        </w:rPr>
        <w:t>‘</w:t>
      </w:r>
      <w:r w:rsidR="00B11E4B">
        <w:rPr>
          <w:i/>
          <w:iCs/>
          <w:sz w:val="22"/>
          <w:szCs w:val="22"/>
          <w:lang w:val="en-GB"/>
        </w:rPr>
        <w:t xml:space="preserve">(b) </w:t>
      </w:r>
      <w:r w:rsidR="0035256B">
        <w:rPr>
          <w:sz w:val="22"/>
          <w:szCs w:val="22"/>
          <w:lang w:val="en-GB"/>
        </w:rPr>
        <w:tab/>
      </w:r>
      <w:r w:rsidR="00B11E4B">
        <w:rPr>
          <w:sz w:val="22"/>
          <w:szCs w:val="22"/>
          <w:lang w:val="en-GB"/>
        </w:rPr>
        <w:t>where there is the likelihood that the accused, if he or she were released on bail, will attempt to evade his or her trial; or</w:t>
      </w:r>
      <w:r>
        <w:rPr>
          <w:sz w:val="22"/>
          <w:szCs w:val="22"/>
          <w:lang w:val="en-GB"/>
        </w:rPr>
        <w:t xml:space="preserve"> …</w:t>
      </w:r>
    </w:p>
    <w:p w14:paraId="52ED6B44" w14:textId="257CE7CE" w:rsidR="00606472" w:rsidRPr="00606472" w:rsidRDefault="00606472" w:rsidP="0035256B">
      <w:pPr>
        <w:pStyle w:val="ListParagraph"/>
        <w:autoSpaceDE w:val="0"/>
        <w:autoSpaceDN w:val="0"/>
        <w:adjustRightInd w:val="0"/>
        <w:ind w:hanging="720"/>
        <w:jc w:val="both"/>
        <w:rPr>
          <w:sz w:val="22"/>
          <w:szCs w:val="22"/>
          <w:lang w:val="en-GB"/>
        </w:rPr>
      </w:pPr>
      <w:r>
        <w:rPr>
          <w:i/>
          <w:iCs/>
          <w:sz w:val="22"/>
          <w:szCs w:val="22"/>
          <w:lang w:val="en-GB"/>
        </w:rPr>
        <w:t>(d)</w:t>
      </w:r>
      <w:r>
        <w:rPr>
          <w:sz w:val="22"/>
          <w:szCs w:val="22"/>
          <w:lang w:val="en-GB"/>
        </w:rPr>
        <w:t xml:space="preserve"> </w:t>
      </w:r>
      <w:r w:rsidR="0035256B">
        <w:rPr>
          <w:sz w:val="22"/>
          <w:szCs w:val="22"/>
          <w:lang w:val="en-GB"/>
        </w:rPr>
        <w:tab/>
      </w:r>
      <w:r>
        <w:rPr>
          <w:sz w:val="22"/>
          <w:szCs w:val="22"/>
          <w:lang w:val="en-GB"/>
        </w:rPr>
        <w:t>where there is the likelihood that the accused, if he or she were released on bail, will undermine or jeopardise the objectives or the proper functioning of the criminal justice system, including the bail system;’</w:t>
      </w:r>
    </w:p>
    <w:p w14:paraId="202C9C42" w14:textId="77777777" w:rsidR="00B11E4B" w:rsidRPr="00B11E4B" w:rsidRDefault="00B11E4B" w:rsidP="00B11E4B">
      <w:pPr>
        <w:pStyle w:val="ListParagraph"/>
        <w:autoSpaceDE w:val="0"/>
        <w:autoSpaceDN w:val="0"/>
        <w:adjustRightInd w:val="0"/>
        <w:ind w:left="0"/>
        <w:jc w:val="both"/>
        <w:rPr>
          <w:sz w:val="22"/>
          <w:szCs w:val="22"/>
          <w:lang w:val="en-GB"/>
        </w:rPr>
      </w:pPr>
    </w:p>
    <w:p w14:paraId="5CF73E62" w14:textId="677ECADA" w:rsidR="00B11E4B" w:rsidRPr="00F04963" w:rsidRDefault="00F04963" w:rsidP="00F04963">
      <w:pPr>
        <w:autoSpaceDE w:val="0"/>
        <w:autoSpaceDN w:val="0"/>
        <w:adjustRightInd w:val="0"/>
        <w:jc w:val="both"/>
        <w:rPr>
          <w:lang w:val="en-GB"/>
        </w:rPr>
      </w:pPr>
      <w:r>
        <w:rPr>
          <w:lang w:val="en-GB"/>
        </w:rPr>
        <w:lastRenderedPageBreak/>
        <w:t>[15]</w:t>
      </w:r>
      <w:r>
        <w:rPr>
          <w:lang w:val="en-GB"/>
        </w:rPr>
        <w:tab/>
      </w:r>
      <w:r w:rsidR="003E7210" w:rsidRPr="00F04963">
        <w:rPr>
          <w:lang w:val="en-GB"/>
        </w:rPr>
        <w:t>In considering whether the ground in subsection (4)</w:t>
      </w:r>
      <w:r w:rsidR="003E7210" w:rsidRPr="00F04963">
        <w:rPr>
          <w:i/>
          <w:iCs/>
          <w:lang w:val="en-GB"/>
        </w:rPr>
        <w:t>(b)</w:t>
      </w:r>
      <w:r w:rsidR="003E7210" w:rsidRPr="00F04963">
        <w:rPr>
          <w:lang w:val="en-GB"/>
        </w:rPr>
        <w:t xml:space="preserve"> has been established, the court may, where applicable, take into account the following factors, namely</w:t>
      </w:r>
      <w:r w:rsidR="009122CA">
        <w:rPr>
          <w:rStyle w:val="FootnoteReference"/>
          <w:lang w:val="en-GB"/>
        </w:rPr>
        <w:footnoteReference w:id="25"/>
      </w:r>
      <w:r w:rsidR="003E7210" w:rsidRPr="00F04963">
        <w:rPr>
          <w:lang w:val="en-GB"/>
        </w:rPr>
        <w:t xml:space="preserve"> –</w:t>
      </w:r>
    </w:p>
    <w:p w14:paraId="62016E38" w14:textId="7123CCFF" w:rsidR="003E7210" w:rsidRDefault="003E7210" w:rsidP="0035256B">
      <w:pPr>
        <w:pStyle w:val="ListParagraph"/>
        <w:autoSpaceDE w:val="0"/>
        <w:autoSpaceDN w:val="0"/>
        <w:adjustRightInd w:val="0"/>
        <w:ind w:hanging="720"/>
        <w:jc w:val="both"/>
        <w:rPr>
          <w:sz w:val="22"/>
          <w:szCs w:val="22"/>
          <w:lang w:val="en-GB"/>
        </w:rPr>
      </w:pPr>
      <w:r w:rsidRPr="003E7210">
        <w:rPr>
          <w:sz w:val="22"/>
          <w:szCs w:val="22"/>
          <w:lang w:val="en-GB"/>
        </w:rPr>
        <w:t>‘</w:t>
      </w:r>
      <w:r w:rsidRPr="003E7210">
        <w:rPr>
          <w:i/>
          <w:iCs/>
          <w:sz w:val="22"/>
          <w:szCs w:val="22"/>
          <w:lang w:val="en-GB"/>
        </w:rPr>
        <w:t xml:space="preserve">(a) </w:t>
      </w:r>
      <w:r w:rsidR="0035256B">
        <w:rPr>
          <w:i/>
          <w:iCs/>
          <w:sz w:val="22"/>
          <w:szCs w:val="22"/>
          <w:lang w:val="en-GB"/>
        </w:rPr>
        <w:tab/>
      </w:r>
      <w:r w:rsidRPr="003E7210">
        <w:rPr>
          <w:sz w:val="22"/>
          <w:szCs w:val="22"/>
          <w:lang w:val="en-GB"/>
        </w:rPr>
        <w:t>the emotional, family</w:t>
      </w:r>
      <w:r>
        <w:rPr>
          <w:sz w:val="22"/>
          <w:szCs w:val="22"/>
          <w:lang w:val="en-GB"/>
        </w:rPr>
        <w:t>, community or occupational ties of the accused to the place at which he or she is to be tried;</w:t>
      </w:r>
    </w:p>
    <w:p w14:paraId="226E61CE" w14:textId="057C559E" w:rsidR="003E7210" w:rsidRDefault="003E7210" w:rsidP="0035256B">
      <w:pPr>
        <w:pStyle w:val="ListParagraph"/>
        <w:autoSpaceDE w:val="0"/>
        <w:autoSpaceDN w:val="0"/>
        <w:adjustRightInd w:val="0"/>
        <w:ind w:left="0"/>
        <w:jc w:val="both"/>
        <w:rPr>
          <w:sz w:val="22"/>
          <w:szCs w:val="22"/>
          <w:lang w:val="en-GB"/>
        </w:rPr>
      </w:pPr>
      <w:r>
        <w:rPr>
          <w:i/>
          <w:iCs/>
          <w:sz w:val="22"/>
          <w:szCs w:val="22"/>
          <w:lang w:val="en-GB"/>
        </w:rPr>
        <w:t>(b)</w:t>
      </w:r>
      <w:r>
        <w:rPr>
          <w:sz w:val="22"/>
          <w:szCs w:val="22"/>
          <w:lang w:val="en-GB"/>
        </w:rPr>
        <w:t xml:space="preserve"> </w:t>
      </w:r>
      <w:r w:rsidR="0035256B">
        <w:rPr>
          <w:sz w:val="22"/>
          <w:szCs w:val="22"/>
          <w:lang w:val="en-GB"/>
        </w:rPr>
        <w:tab/>
      </w:r>
      <w:r>
        <w:rPr>
          <w:sz w:val="22"/>
          <w:szCs w:val="22"/>
          <w:lang w:val="en-GB"/>
        </w:rPr>
        <w:t>the assets held by the accused and where such assets are situated;</w:t>
      </w:r>
    </w:p>
    <w:p w14:paraId="5B29540F" w14:textId="0DED2EFF"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(c)</w:t>
      </w:r>
      <w:r>
        <w:rPr>
          <w:sz w:val="22"/>
          <w:szCs w:val="22"/>
          <w:lang w:val="en-GB"/>
        </w:rPr>
        <w:t xml:space="preserve"> </w:t>
      </w:r>
      <w:r w:rsidR="0035256B">
        <w:rPr>
          <w:sz w:val="22"/>
          <w:szCs w:val="22"/>
          <w:lang w:val="en-GB"/>
        </w:rPr>
        <w:tab/>
      </w:r>
      <w:r>
        <w:rPr>
          <w:sz w:val="22"/>
          <w:szCs w:val="22"/>
          <w:lang w:val="en-GB"/>
        </w:rPr>
        <w:t>the means, and travel documents held by the accused, which may enable him or her to leave the country;</w:t>
      </w:r>
    </w:p>
    <w:p w14:paraId="645A88B4" w14:textId="5F30A0A3"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(d)</w:t>
      </w:r>
      <w:r>
        <w:rPr>
          <w:sz w:val="22"/>
          <w:szCs w:val="22"/>
          <w:lang w:val="en-GB"/>
        </w:rPr>
        <w:t xml:space="preserve"> </w:t>
      </w:r>
      <w:r w:rsidR="0035256B">
        <w:rPr>
          <w:sz w:val="22"/>
          <w:szCs w:val="22"/>
          <w:lang w:val="en-GB"/>
        </w:rPr>
        <w:tab/>
      </w:r>
      <w:r>
        <w:rPr>
          <w:sz w:val="22"/>
          <w:szCs w:val="22"/>
          <w:lang w:val="en-GB"/>
        </w:rPr>
        <w:t>the extent, if any, to which the accused can afford to forfeit the amount of bail which may be set;</w:t>
      </w:r>
    </w:p>
    <w:p w14:paraId="72FCED6A" w14:textId="678F694D"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(e)</w:t>
      </w:r>
      <w:r>
        <w:rPr>
          <w:sz w:val="22"/>
          <w:szCs w:val="22"/>
          <w:lang w:val="en-GB"/>
        </w:rPr>
        <w:t xml:space="preserve"> </w:t>
      </w:r>
      <w:r w:rsidR="0035256B">
        <w:rPr>
          <w:sz w:val="22"/>
          <w:szCs w:val="22"/>
          <w:lang w:val="en-GB"/>
        </w:rPr>
        <w:tab/>
      </w:r>
      <w:r>
        <w:rPr>
          <w:sz w:val="22"/>
          <w:szCs w:val="22"/>
          <w:lang w:val="en-GB"/>
        </w:rPr>
        <w:t>the question whether the extradition of the accused could readily be effected should he or she flee across the borders of the Republic in an attempt to evade his or her trial;</w:t>
      </w:r>
    </w:p>
    <w:p w14:paraId="0BD363B4" w14:textId="03C791E2" w:rsidR="003E7210" w:rsidRDefault="003E7210" w:rsidP="0035256B">
      <w:pPr>
        <w:pStyle w:val="ListParagraph"/>
        <w:autoSpaceDE w:val="0"/>
        <w:autoSpaceDN w:val="0"/>
        <w:adjustRightInd w:val="0"/>
        <w:ind w:left="0"/>
        <w:jc w:val="both"/>
        <w:rPr>
          <w:sz w:val="22"/>
          <w:szCs w:val="22"/>
          <w:lang w:val="en-GB"/>
        </w:rPr>
      </w:pPr>
      <w:r>
        <w:rPr>
          <w:i/>
          <w:iCs/>
          <w:sz w:val="22"/>
          <w:szCs w:val="22"/>
          <w:lang w:val="en-GB"/>
        </w:rPr>
        <w:t>(f)</w:t>
      </w:r>
      <w:r>
        <w:rPr>
          <w:sz w:val="22"/>
          <w:szCs w:val="22"/>
          <w:lang w:val="en-GB"/>
        </w:rPr>
        <w:t xml:space="preserve"> </w:t>
      </w:r>
      <w:r w:rsidR="0035256B">
        <w:rPr>
          <w:sz w:val="22"/>
          <w:szCs w:val="22"/>
          <w:lang w:val="en-GB"/>
        </w:rPr>
        <w:tab/>
      </w:r>
      <w:r>
        <w:rPr>
          <w:sz w:val="22"/>
          <w:szCs w:val="22"/>
          <w:lang w:val="en-GB"/>
        </w:rPr>
        <w:t>the nature and the gravity of the charge on which the accused is to be tried;</w:t>
      </w:r>
    </w:p>
    <w:p w14:paraId="29F1D30A" w14:textId="1A343597"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(g)</w:t>
      </w:r>
      <w:r>
        <w:rPr>
          <w:sz w:val="22"/>
          <w:szCs w:val="22"/>
          <w:lang w:val="en-GB"/>
        </w:rPr>
        <w:t xml:space="preserve"> </w:t>
      </w:r>
      <w:r w:rsidR="0035256B">
        <w:rPr>
          <w:sz w:val="22"/>
          <w:szCs w:val="22"/>
          <w:lang w:val="en-GB"/>
        </w:rPr>
        <w:tab/>
      </w:r>
      <w:r>
        <w:rPr>
          <w:sz w:val="22"/>
          <w:szCs w:val="22"/>
          <w:lang w:val="en-GB"/>
        </w:rPr>
        <w:t>the strength of the case against the accused and the incentive that he or she may in consequence have to attempt to evade his or her trial;</w:t>
      </w:r>
    </w:p>
    <w:p w14:paraId="39AAD8CC" w14:textId="5FF894F4"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(h)</w:t>
      </w:r>
      <w:r>
        <w:rPr>
          <w:sz w:val="22"/>
          <w:szCs w:val="22"/>
          <w:lang w:val="en-GB"/>
        </w:rPr>
        <w:t xml:space="preserve"> </w:t>
      </w:r>
      <w:r w:rsidR="0035256B">
        <w:rPr>
          <w:sz w:val="22"/>
          <w:szCs w:val="22"/>
          <w:lang w:val="en-GB"/>
        </w:rPr>
        <w:tab/>
      </w:r>
      <w:r>
        <w:rPr>
          <w:sz w:val="22"/>
          <w:szCs w:val="22"/>
          <w:lang w:val="en-GB"/>
        </w:rPr>
        <w:t>the nature and gravity of the punishment which is likely to be imposed should the accused be convicted of the charges against him or her;</w:t>
      </w:r>
    </w:p>
    <w:p w14:paraId="2AE80719" w14:textId="5E775032" w:rsidR="003E7210" w:rsidRDefault="003E7210" w:rsidP="0035256B">
      <w:pPr>
        <w:pStyle w:val="ListParagraph"/>
        <w:autoSpaceDE w:val="0"/>
        <w:autoSpaceDN w:val="0"/>
        <w:adjustRightInd w:val="0"/>
        <w:ind w:hanging="720"/>
        <w:jc w:val="both"/>
        <w:rPr>
          <w:sz w:val="22"/>
          <w:szCs w:val="22"/>
          <w:lang w:val="en-GB"/>
        </w:rPr>
      </w:pPr>
      <w:r>
        <w:rPr>
          <w:i/>
          <w:iCs/>
          <w:sz w:val="22"/>
          <w:szCs w:val="22"/>
          <w:lang w:val="en-GB"/>
        </w:rPr>
        <w:t>(i)</w:t>
      </w:r>
      <w:r>
        <w:rPr>
          <w:sz w:val="22"/>
          <w:szCs w:val="22"/>
          <w:lang w:val="en-GB"/>
        </w:rPr>
        <w:t xml:space="preserve"> </w:t>
      </w:r>
      <w:r w:rsidR="0035256B">
        <w:rPr>
          <w:sz w:val="22"/>
          <w:szCs w:val="22"/>
          <w:lang w:val="en-GB"/>
        </w:rPr>
        <w:tab/>
      </w:r>
      <w:r>
        <w:rPr>
          <w:sz w:val="22"/>
          <w:szCs w:val="22"/>
          <w:lang w:val="en-GB"/>
        </w:rPr>
        <w:t>the binding effect and enforceability of bail conditions which may be imposed and the ease with which such conditions could be breached; or</w:t>
      </w:r>
    </w:p>
    <w:p w14:paraId="441ADBBC" w14:textId="224C7C29" w:rsidR="003E7210" w:rsidRDefault="003E7210" w:rsidP="0035256B">
      <w:pPr>
        <w:pStyle w:val="ListParagraph"/>
        <w:autoSpaceDE w:val="0"/>
        <w:autoSpaceDN w:val="0"/>
        <w:adjustRightInd w:val="0"/>
        <w:ind w:left="0"/>
        <w:jc w:val="both"/>
        <w:rPr>
          <w:sz w:val="22"/>
          <w:szCs w:val="22"/>
          <w:lang w:val="en-GB"/>
        </w:rPr>
      </w:pPr>
      <w:r>
        <w:rPr>
          <w:i/>
          <w:iCs/>
          <w:sz w:val="22"/>
          <w:szCs w:val="22"/>
          <w:lang w:val="en-GB"/>
        </w:rPr>
        <w:t>(j)</w:t>
      </w:r>
      <w:r>
        <w:rPr>
          <w:sz w:val="22"/>
          <w:szCs w:val="22"/>
          <w:lang w:val="en-GB"/>
        </w:rPr>
        <w:t xml:space="preserve"> </w:t>
      </w:r>
      <w:r w:rsidR="0035256B">
        <w:rPr>
          <w:sz w:val="22"/>
          <w:szCs w:val="22"/>
          <w:lang w:val="en-GB"/>
        </w:rPr>
        <w:tab/>
      </w:r>
      <w:r>
        <w:rPr>
          <w:sz w:val="22"/>
          <w:szCs w:val="22"/>
          <w:lang w:val="en-GB"/>
        </w:rPr>
        <w:t>any other factor which in the opinion of the court should be taken into account.’</w:t>
      </w:r>
    </w:p>
    <w:p w14:paraId="0295BA35" w14:textId="77777777" w:rsidR="009122CA" w:rsidRPr="003E7210" w:rsidRDefault="009122CA" w:rsidP="003E7210">
      <w:pPr>
        <w:pStyle w:val="ListParagraph"/>
        <w:autoSpaceDE w:val="0"/>
        <w:autoSpaceDN w:val="0"/>
        <w:adjustRightInd w:val="0"/>
        <w:jc w:val="both"/>
        <w:rPr>
          <w:sz w:val="22"/>
          <w:szCs w:val="22"/>
          <w:lang w:val="en-GB"/>
        </w:rPr>
      </w:pPr>
    </w:p>
    <w:p w14:paraId="3D4662C2" w14:textId="6D0EFBE3" w:rsidR="003E7210" w:rsidRPr="00F04963" w:rsidRDefault="00F04963" w:rsidP="00F04963">
      <w:pPr>
        <w:autoSpaceDE w:val="0"/>
        <w:autoSpaceDN w:val="0"/>
        <w:adjustRightInd w:val="0"/>
        <w:jc w:val="both"/>
        <w:rPr>
          <w:lang w:val="en-GB"/>
        </w:rPr>
      </w:pPr>
      <w:r>
        <w:rPr>
          <w:lang w:val="en-GB"/>
        </w:rPr>
        <w:t>[16]</w:t>
      </w:r>
      <w:r>
        <w:rPr>
          <w:lang w:val="en-GB"/>
        </w:rPr>
        <w:tab/>
      </w:r>
      <w:r w:rsidR="0035256B" w:rsidRPr="00F04963">
        <w:rPr>
          <w:lang w:val="en-GB"/>
        </w:rPr>
        <w:t>Section 60(8) provides that –</w:t>
      </w:r>
    </w:p>
    <w:p w14:paraId="510C4479" w14:textId="0C3D737B" w:rsidR="0035256B" w:rsidRDefault="002421BD" w:rsidP="0035256B">
      <w:pPr>
        <w:pStyle w:val="ListParagraph"/>
        <w:autoSpaceDE w:val="0"/>
        <w:autoSpaceDN w:val="0"/>
        <w:adjustRightInd w:val="0"/>
        <w:ind w:left="0"/>
        <w:jc w:val="both"/>
        <w:rPr>
          <w:sz w:val="22"/>
          <w:szCs w:val="22"/>
          <w:lang w:val="en-GB"/>
        </w:rPr>
      </w:pPr>
      <w:r w:rsidRPr="00357719">
        <w:rPr>
          <w:sz w:val="22"/>
          <w:szCs w:val="22"/>
          <w:lang w:val="en-GB"/>
        </w:rPr>
        <w:t>‘</w:t>
      </w:r>
      <w:r w:rsidR="00357719" w:rsidRPr="00357719">
        <w:rPr>
          <w:sz w:val="22"/>
          <w:szCs w:val="22"/>
          <w:lang w:val="en-GB"/>
        </w:rPr>
        <w:t>[i]n considering whether the ground in subsection (4)</w:t>
      </w:r>
      <w:r w:rsidR="00357719" w:rsidRPr="00357719">
        <w:rPr>
          <w:i/>
          <w:iCs/>
          <w:sz w:val="22"/>
          <w:szCs w:val="22"/>
          <w:lang w:val="en-GB"/>
        </w:rPr>
        <w:t>(d)</w:t>
      </w:r>
      <w:r w:rsidR="00357719" w:rsidRPr="00357719">
        <w:rPr>
          <w:sz w:val="22"/>
          <w:szCs w:val="22"/>
          <w:lang w:val="en-GB"/>
        </w:rPr>
        <w:t xml:space="preserve"> has been established, the court may, where applicable, take into account the following factors, namely</w:t>
      </w:r>
      <w:r w:rsidR="00A7401B">
        <w:rPr>
          <w:sz w:val="22"/>
          <w:szCs w:val="22"/>
          <w:lang w:val="en-GB"/>
        </w:rPr>
        <w:t xml:space="preserve"> –</w:t>
      </w:r>
    </w:p>
    <w:p w14:paraId="030BE75B" w14:textId="1933014B" w:rsidR="00357719" w:rsidRPr="004D24FB" w:rsidRDefault="00A7401B" w:rsidP="00A7401B">
      <w:pPr>
        <w:pStyle w:val="ListParagraph"/>
        <w:autoSpaceDE w:val="0"/>
        <w:autoSpaceDN w:val="0"/>
        <w:adjustRightInd w:val="0"/>
        <w:ind w:hanging="720"/>
        <w:jc w:val="both"/>
        <w:rPr>
          <w:sz w:val="22"/>
          <w:szCs w:val="22"/>
          <w:lang w:val="en-GB"/>
        </w:rPr>
      </w:pPr>
      <w:r>
        <w:rPr>
          <w:i/>
          <w:iCs/>
          <w:sz w:val="22"/>
          <w:szCs w:val="22"/>
          <w:lang w:val="en-GB"/>
        </w:rPr>
        <w:t>(a)</w:t>
      </w:r>
      <w:r>
        <w:rPr>
          <w:sz w:val="22"/>
          <w:szCs w:val="22"/>
          <w:lang w:val="en-GB"/>
        </w:rPr>
        <w:tab/>
      </w:r>
      <w:r w:rsidRPr="004D24FB">
        <w:rPr>
          <w:sz w:val="22"/>
          <w:szCs w:val="22"/>
          <w:lang w:val="en-GB"/>
        </w:rPr>
        <w:t>the fact that the accused, knowing it to be false, supplied false information at the time of his or her arrest or during the bail proceedings;</w:t>
      </w:r>
    </w:p>
    <w:p w14:paraId="54C5561D" w14:textId="1F83AA18" w:rsidR="00A7401B" w:rsidRPr="004D24FB" w:rsidRDefault="00A7401B" w:rsidP="00A7401B">
      <w:pPr>
        <w:pStyle w:val="ListParagraph"/>
        <w:autoSpaceDE w:val="0"/>
        <w:autoSpaceDN w:val="0"/>
        <w:adjustRightInd w:val="0"/>
        <w:ind w:hanging="720"/>
        <w:jc w:val="both"/>
        <w:rPr>
          <w:sz w:val="22"/>
          <w:szCs w:val="22"/>
          <w:lang w:val="en-GB"/>
        </w:rPr>
      </w:pPr>
      <w:r w:rsidRPr="004D24FB">
        <w:rPr>
          <w:i/>
          <w:iCs/>
          <w:sz w:val="22"/>
          <w:szCs w:val="22"/>
          <w:lang w:val="en-GB"/>
        </w:rPr>
        <w:t>(b)</w:t>
      </w:r>
      <w:r w:rsidRPr="004D24FB">
        <w:rPr>
          <w:i/>
          <w:iCs/>
          <w:sz w:val="22"/>
          <w:szCs w:val="22"/>
          <w:lang w:val="en-GB"/>
        </w:rPr>
        <w:tab/>
      </w:r>
      <w:r w:rsidRPr="004D24FB">
        <w:rPr>
          <w:sz w:val="22"/>
          <w:szCs w:val="22"/>
          <w:lang w:val="en-GB"/>
        </w:rPr>
        <w:t>whether the accused is in custody on another charge or whether the accused is on parole;</w:t>
      </w:r>
    </w:p>
    <w:p w14:paraId="19212221" w14:textId="17F92E76" w:rsidR="00A7401B" w:rsidRPr="004D24FB" w:rsidRDefault="00A7401B" w:rsidP="00A7401B">
      <w:pPr>
        <w:pStyle w:val="ListParagraph"/>
        <w:autoSpaceDE w:val="0"/>
        <w:autoSpaceDN w:val="0"/>
        <w:adjustRightInd w:val="0"/>
        <w:ind w:hanging="720"/>
        <w:jc w:val="both"/>
        <w:rPr>
          <w:sz w:val="22"/>
          <w:szCs w:val="22"/>
          <w:lang w:val="en-GB"/>
        </w:rPr>
      </w:pPr>
      <w:r w:rsidRPr="004D24FB">
        <w:rPr>
          <w:i/>
          <w:iCs/>
          <w:sz w:val="22"/>
          <w:szCs w:val="22"/>
          <w:lang w:val="en-GB"/>
        </w:rPr>
        <w:t>(c)</w:t>
      </w:r>
      <w:r w:rsidRPr="004D24FB">
        <w:rPr>
          <w:sz w:val="22"/>
          <w:szCs w:val="22"/>
          <w:lang w:val="en-GB"/>
        </w:rPr>
        <w:tab/>
        <w:t>any previous failure on the part of the accused to comply with bail conditions or any indication that he or she will not comply with any bail conditions; or</w:t>
      </w:r>
    </w:p>
    <w:p w14:paraId="4D7832A4" w14:textId="472F57C0" w:rsidR="00A7401B" w:rsidRPr="004D24FB" w:rsidRDefault="00A7401B" w:rsidP="0035256B">
      <w:pPr>
        <w:pStyle w:val="ListParagraph"/>
        <w:autoSpaceDE w:val="0"/>
        <w:autoSpaceDN w:val="0"/>
        <w:adjustRightInd w:val="0"/>
        <w:ind w:left="0"/>
        <w:jc w:val="both"/>
        <w:rPr>
          <w:sz w:val="22"/>
          <w:szCs w:val="22"/>
          <w:lang w:val="en-GB"/>
        </w:rPr>
      </w:pPr>
      <w:r w:rsidRPr="004D24FB">
        <w:rPr>
          <w:i/>
          <w:iCs/>
          <w:sz w:val="22"/>
          <w:szCs w:val="22"/>
          <w:lang w:val="en-GB"/>
        </w:rPr>
        <w:t>(d)</w:t>
      </w:r>
      <w:r w:rsidRPr="004D24FB">
        <w:rPr>
          <w:sz w:val="22"/>
          <w:szCs w:val="22"/>
          <w:lang w:val="en-GB"/>
        </w:rPr>
        <w:tab/>
        <w:t>any other factor which in the opinion of the court should be taken into account.’</w:t>
      </w:r>
      <w:r w:rsidRPr="004D24FB">
        <w:rPr>
          <w:sz w:val="22"/>
          <w:szCs w:val="22"/>
          <w:lang w:val="en-GB"/>
        </w:rPr>
        <w:tab/>
      </w:r>
    </w:p>
    <w:p w14:paraId="1B6553C9" w14:textId="77777777" w:rsidR="00A7401B" w:rsidRPr="00A7401B" w:rsidRDefault="00A7401B" w:rsidP="0035256B">
      <w:pPr>
        <w:pStyle w:val="ListParagraph"/>
        <w:autoSpaceDE w:val="0"/>
        <w:autoSpaceDN w:val="0"/>
        <w:adjustRightInd w:val="0"/>
        <w:ind w:left="0"/>
        <w:jc w:val="both"/>
        <w:rPr>
          <w:sz w:val="22"/>
          <w:szCs w:val="22"/>
          <w:lang w:val="en-GB"/>
        </w:rPr>
      </w:pPr>
    </w:p>
    <w:p w14:paraId="503BB629" w14:textId="117FF5E8" w:rsidR="00F344D1" w:rsidRPr="00F04963" w:rsidRDefault="00F04963" w:rsidP="00F04963">
      <w:pPr>
        <w:autoSpaceDE w:val="0"/>
        <w:autoSpaceDN w:val="0"/>
        <w:adjustRightInd w:val="0"/>
        <w:jc w:val="both"/>
        <w:rPr>
          <w:lang w:val="en-GB"/>
        </w:rPr>
      </w:pPr>
      <w:r>
        <w:rPr>
          <w:lang w:val="en-GB"/>
        </w:rPr>
        <w:t>[17]</w:t>
      </w:r>
      <w:r>
        <w:rPr>
          <w:lang w:val="en-GB"/>
        </w:rPr>
        <w:tab/>
      </w:r>
      <w:r w:rsidR="00244817" w:rsidRPr="00F04963">
        <w:rPr>
          <w:lang w:val="en-GB"/>
        </w:rPr>
        <w:t>Section 60(9) provides additional guidance</w:t>
      </w:r>
      <w:r w:rsidR="00F344D1" w:rsidRPr="00F04963">
        <w:rPr>
          <w:lang w:val="en-GB"/>
        </w:rPr>
        <w:t>:</w:t>
      </w:r>
    </w:p>
    <w:p w14:paraId="22BDD60E" w14:textId="6F6455BF" w:rsidR="00F344D1" w:rsidRDefault="00F344D1" w:rsidP="00F344D1">
      <w:pPr>
        <w:pStyle w:val="ListParagraph"/>
        <w:autoSpaceDE w:val="0"/>
        <w:autoSpaceDN w:val="0"/>
        <w:adjustRightInd w:val="0"/>
        <w:ind w:left="0"/>
        <w:jc w:val="both"/>
        <w:rPr>
          <w:sz w:val="22"/>
          <w:szCs w:val="22"/>
          <w:lang w:val="en-GB"/>
        </w:rPr>
      </w:pPr>
      <w:r>
        <w:rPr>
          <w:sz w:val="22"/>
          <w:szCs w:val="22"/>
          <w:lang w:val="en-GB"/>
        </w:rPr>
        <w:t xml:space="preserve">‘In considering the question in subsection (4) the court shall decide the matter by weighing the interests of justice against the right of the accused to his or her personal freedom and in </w:t>
      </w:r>
      <w:r>
        <w:rPr>
          <w:sz w:val="22"/>
          <w:szCs w:val="22"/>
          <w:lang w:val="en-GB"/>
        </w:rPr>
        <w:lastRenderedPageBreak/>
        <w:t>particular the prejudice he or she is likely to suffer if he or she were to be detained in custody, taking into account, where applicable, the following factors, namely –</w:t>
      </w:r>
    </w:p>
    <w:p w14:paraId="773A61A4" w14:textId="37989A8C" w:rsidR="00F344D1" w:rsidRDefault="00F344D1" w:rsidP="00F344D1">
      <w:pPr>
        <w:pStyle w:val="ListParagraph"/>
        <w:autoSpaceDE w:val="0"/>
        <w:autoSpaceDN w:val="0"/>
        <w:adjustRightInd w:val="0"/>
        <w:ind w:left="0"/>
        <w:jc w:val="both"/>
        <w:rPr>
          <w:sz w:val="22"/>
          <w:szCs w:val="22"/>
          <w:lang w:val="en-GB"/>
        </w:rPr>
      </w:pPr>
      <w:r>
        <w:rPr>
          <w:i/>
          <w:iCs/>
          <w:sz w:val="22"/>
          <w:szCs w:val="22"/>
          <w:lang w:val="en-GB"/>
        </w:rPr>
        <w:t>(a)</w:t>
      </w:r>
      <w:r>
        <w:rPr>
          <w:sz w:val="22"/>
          <w:szCs w:val="22"/>
          <w:lang w:val="en-GB"/>
        </w:rPr>
        <w:tab/>
        <w:t>the period for which the accused has already been in custody since his or her arrest;</w:t>
      </w:r>
    </w:p>
    <w:p w14:paraId="746DD096" w14:textId="032D32EC" w:rsidR="00F344D1" w:rsidRDefault="00F344D1" w:rsidP="00F344D1">
      <w:pPr>
        <w:pStyle w:val="ListParagraph"/>
        <w:autoSpaceDE w:val="0"/>
        <w:autoSpaceDN w:val="0"/>
        <w:adjustRightInd w:val="0"/>
        <w:ind w:hanging="720"/>
        <w:jc w:val="both"/>
        <w:rPr>
          <w:sz w:val="22"/>
          <w:szCs w:val="22"/>
          <w:lang w:val="en-GB"/>
        </w:rPr>
      </w:pPr>
      <w:r>
        <w:rPr>
          <w:i/>
          <w:iCs/>
          <w:sz w:val="22"/>
          <w:szCs w:val="22"/>
          <w:lang w:val="en-GB"/>
        </w:rPr>
        <w:t>(b)</w:t>
      </w:r>
      <w:r>
        <w:rPr>
          <w:sz w:val="22"/>
          <w:szCs w:val="22"/>
          <w:lang w:val="en-GB"/>
        </w:rPr>
        <w:tab/>
        <w:t>the probable period of detention until the disposal or conclusion of the trial if the accused is not released on bail;</w:t>
      </w:r>
    </w:p>
    <w:p w14:paraId="78074CE4" w14:textId="76670C9C" w:rsidR="00F344D1" w:rsidRDefault="00F344D1" w:rsidP="00F344D1">
      <w:pPr>
        <w:pStyle w:val="ListParagraph"/>
        <w:autoSpaceDE w:val="0"/>
        <w:autoSpaceDN w:val="0"/>
        <w:adjustRightInd w:val="0"/>
        <w:ind w:hanging="720"/>
        <w:jc w:val="both"/>
        <w:rPr>
          <w:sz w:val="22"/>
          <w:szCs w:val="22"/>
          <w:lang w:val="en-GB"/>
        </w:rPr>
      </w:pPr>
      <w:r>
        <w:rPr>
          <w:i/>
          <w:iCs/>
          <w:sz w:val="22"/>
          <w:szCs w:val="22"/>
          <w:lang w:val="en-GB"/>
        </w:rPr>
        <w:t>(c)</w:t>
      </w:r>
      <w:r>
        <w:rPr>
          <w:sz w:val="22"/>
          <w:szCs w:val="22"/>
          <w:lang w:val="en-GB"/>
        </w:rPr>
        <w:tab/>
        <w:t>the reason for any delay in the disposal or conclusion of the trial and any fault on the part of the accused with regard to such delay;</w:t>
      </w:r>
    </w:p>
    <w:p w14:paraId="6A5BC57D" w14:textId="3BE35985" w:rsidR="00F344D1" w:rsidRDefault="00F344D1" w:rsidP="00F344D1">
      <w:pPr>
        <w:pStyle w:val="ListParagraph"/>
        <w:autoSpaceDE w:val="0"/>
        <w:autoSpaceDN w:val="0"/>
        <w:adjustRightInd w:val="0"/>
        <w:ind w:left="0"/>
        <w:jc w:val="both"/>
        <w:rPr>
          <w:sz w:val="22"/>
          <w:szCs w:val="22"/>
          <w:lang w:val="en-GB"/>
        </w:rPr>
      </w:pPr>
      <w:r>
        <w:rPr>
          <w:i/>
          <w:iCs/>
          <w:sz w:val="22"/>
          <w:szCs w:val="22"/>
          <w:lang w:val="en-GB"/>
        </w:rPr>
        <w:t>(d)</w:t>
      </w:r>
      <w:r>
        <w:rPr>
          <w:sz w:val="22"/>
          <w:szCs w:val="22"/>
          <w:lang w:val="en-GB"/>
        </w:rPr>
        <w:tab/>
        <w:t>any financial loss which the accused may suffer owing to his or her detention;</w:t>
      </w:r>
    </w:p>
    <w:p w14:paraId="1BEE12AB" w14:textId="015594E5" w:rsidR="00F344D1" w:rsidRDefault="00F344D1" w:rsidP="00F344D1">
      <w:pPr>
        <w:pStyle w:val="ListParagraph"/>
        <w:autoSpaceDE w:val="0"/>
        <w:autoSpaceDN w:val="0"/>
        <w:adjustRightInd w:val="0"/>
        <w:ind w:hanging="720"/>
        <w:jc w:val="both"/>
        <w:rPr>
          <w:sz w:val="22"/>
          <w:szCs w:val="22"/>
          <w:lang w:val="en-GB"/>
        </w:rPr>
      </w:pPr>
      <w:r>
        <w:rPr>
          <w:i/>
          <w:iCs/>
          <w:sz w:val="22"/>
          <w:szCs w:val="22"/>
          <w:lang w:val="en-GB"/>
        </w:rPr>
        <w:t>(e)</w:t>
      </w:r>
      <w:r>
        <w:rPr>
          <w:sz w:val="22"/>
          <w:szCs w:val="22"/>
          <w:lang w:val="en-GB"/>
        </w:rPr>
        <w:tab/>
        <w:t>any impediment to the preparation of the accused’s defence or any delay in obtaining legal representation which may be brought about by the detention of the accused;</w:t>
      </w:r>
    </w:p>
    <w:p w14:paraId="4B3DB722" w14:textId="60F588F2" w:rsidR="00F344D1" w:rsidRDefault="00F344D1" w:rsidP="00F344D1">
      <w:pPr>
        <w:pStyle w:val="ListParagraph"/>
        <w:autoSpaceDE w:val="0"/>
        <w:autoSpaceDN w:val="0"/>
        <w:adjustRightInd w:val="0"/>
        <w:ind w:left="0"/>
        <w:jc w:val="both"/>
        <w:rPr>
          <w:sz w:val="22"/>
          <w:szCs w:val="22"/>
          <w:lang w:val="en-GB"/>
        </w:rPr>
      </w:pPr>
      <w:r>
        <w:rPr>
          <w:i/>
          <w:iCs/>
          <w:sz w:val="22"/>
          <w:szCs w:val="22"/>
          <w:lang w:val="en-GB"/>
        </w:rPr>
        <w:t>(f)</w:t>
      </w:r>
      <w:r>
        <w:rPr>
          <w:sz w:val="22"/>
          <w:szCs w:val="22"/>
          <w:lang w:val="en-GB"/>
        </w:rPr>
        <w:tab/>
        <w:t>the state of health of the accused; or</w:t>
      </w:r>
    </w:p>
    <w:p w14:paraId="469394E3" w14:textId="3BC6F0E8" w:rsidR="00F344D1" w:rsidRDefault="00F344D1" w:rsidP="00F344D1">
      <w:pPr>
        <w:pStyle w:val="ListParagraph"/>
        <w:autoSpaceDE w:val="0"/>
        <w:autoSpaceDN w:val="0"/>
        <w:adjustRightInd w:val="0"/>
        <w:ind w:left="0"/>
        <w:jc w:val="both"/>
        <w:rPr>
          <w:sz w:val="22"/>
          <w:szCs w:val="22"/>
          <w:lang w:val="en-GB"/>
        </w:rPr>
      </w:pPr>
      <w:r>
        <w:rPr>
          <w:i/>
          <w:iCs/>
          <w:sz w:val="22"/>
          <w:szCs w:val="22"/>
          <w:lang w:val="en-GB"/>
        </w:rPr>
        <w:t>(g)</w:t>
      </w:r>
      <w:r>
        <w:rPr>
          <w:sz w:val="22"/>
          <w:szCs w:val="22"/>
          <w:lang w:val="en-GB"/>
        </w:rPr>
        <w:tab/>
        <w:t>any other factor which in the opinion of the court should be taken into account.’</w:t>
      </w:r>
    </w:p>
    <w:p w14:paraId="6EF25563" w14:textId="77777777" w:rsidR="00F344D1" w:rsidRPr="00F344D1" w:rsidRDefault="00F344D1" w:rsidP="00F344D1">
      <w:pPr>
        <w:pStyle w:val="ListParagraph"/>
        <w:autoSpaceDE w:val="0"/>
        <w:autoSpaceDN w:val="0"/>
        <w:adjustRightInd w:val="0"/>
        <w:ind w:left="0"/>
        <w:jc w:val="both"/>
        <w:rPr>
          <w:sz w:val="22"/>
          <w:szCs w:val="22"/>
          <w:lang w:val="en-GB"/>
        </w:rPr>
      </w:pPr>
    </w:p>
    <w:p w14:paraId="3A06A3E2" w14:textId="5900BCA0" w:rsidR="0035256B" w:rsidRPr="00F04963" w:rsidRDefault="00F04963" w:rsidP="00F04963">
      <w:pPr>
        <w:autoSpaceDE w:val="0"/>
        <w:autoSpaceDN w:val="0"/>
        <w:adjustRightInd w:val="0"/>
        <w:jc w:val="both"/>
        <w:rPr>
          <w:lang w:val="en-GB"/>
        </w:rPr>
      </w:pPr>
      <w:r>
        <w:rPr>
          <w:lang w:val="en-GB"/>
        </w:rPr>
        <w:t>[18]</w:t>
      </w:r>
      <w:r>
        <w:rPr>
          <w:lang w:val="en-GB"/>
        </w:rPr>
        <w:tab/>
      </w:r>
      <w:r w:rsidR="009A7C74" w:rsidRPr="00F04963">
        <w:rPr>
          <w:lang w:val="en-GB"/>
        </w:rPr>
        <w:t xml:space="preserve">Bearing in mind the importance of personal liberty </w:t>
      </w:r>
      <w:r w:rsidR="00C229CF" w:rsidRPr="00F04963">
        <w:rPr>
          <w:lang w:val="en-GB"/>
        </w:rPr>
        <w:t xml:space="preserve">and the presumption of innocence, </w:t>
      </w:r>
      <w:r w:rsidR="009A7C74" w:rsidRPr="00F04963">
        <w:rPr>
          <w:lang w:val="en-GB"/>
        </w:rPr>
        <w:t>t</w:t>
      </w:r>
      <w:r w:rsidR="0075633E" w:rsidRPr="00F04963">
        <w:rPr>
          <w:lang w:val="en-GB"/>
        </w:rPr>
        <w:t xml:space="preserve">he appellants have the right to be released on bail, subject to reasonable conditions, if the interests of </w:t>
      </w:r>
      <w:r w:rsidR="009A7C74" w:rsidRPr="00F04963">
        <w:rPr>
          <w:lang w:val="en-GB"/>
        </w:rPr>
        <w:t>j</w:t>
      </w:r>
      <w:r w:rsidR="0075633E" w:rsidRPr="00F04963">
        <w:rPr>
          <w:lang w:val="en-GB"/>
        </w:rPr>
        <w:t>ustice permit.</w:t>
      </w:r>
      <w:r w:rsidR="00FD0011">
        <w:rPr>
          <w:rStyle w:val="FootnoteReference"/>
          <w:lang w:val="en-GB"/>
        </w:rPr>
        <w:footnoteReference w:id="26"/>
      </w:r>
      <w:r w:rsidR="00AB3A96" w:rsidRPr="00F04963">
        <w:rPr>
          <w:lang w:val="en-GB"/>
        </w:rPr>
        <w:t xml:space="preserve"> Before refusing bail, the court must be satisfied that there is a probability, and not a mere possibility, of one or more of the factors mentioned in </w:t>
      </w:r>
      <w:r w:rsidR="000B6E87" w:rsidRPr="00F04963">
        <w:rPr>
          <w:lang w:val="en-GB"/>
        </w:rPr>
        <w:t>s</w:t>
      </w:r>
      <w:r w:rsidR="00AB3A96" w:rsidRPr="00F04963">
        <w:rPr>
          <w:lang w:val="en-GB"/>
        </w:rPr>
        <w:t xml:space="preserve"> 60(4) of the CPA </w:t>
      </w:r>
      <w:r w:rsidR="000B6E87" w:rsidRPr="00F04963">
        <w:rPr>
          <w:lang w:val="en-GB"/>
        </w:rPr>
        <w:t>occurring</w:t>
      </w:r>
      <w:r w:rsidR="00AB3A96" w:rsidRPr="00F04963">
        <w:rPr>
          <w:lang w:val="en-GB"/>
        </w:rPr>
        <w:t>.</w:t>
      </w:r>
      <w:r w:rsidR="000B6E87">
        <w:rPr>
          <w:rStyle w:val="FootnoteReference"/>
          <w:lang w:val="en-GB"/>
        </w:rPr>
        <w:footnoteReference w:id="27"/>
      </w:r>
      <w:r w:rsidR="00AB3A96" w:rsidRPr="00F04963">
        <w:rPr>
          <w:lang w:val="en-GB"/>
        </w:rPr>
        <w:t xml:space="preserve"> </w:t>
      </w:r>
      <w:r w:rsidR="00AE49A5" w:rsidRPr="00F04963">
        <w:rPr>
          <w:lang w:val="en-GB"/>
        </w:rPr>
        <w:t xml:space="preserve">It is for the appellant to show that the court </w:t>
      </w:r>
      <w:r w:rsidR="00AE49A5" w:rsidRPr="00F04963">
        <w:rPr>
          <w:i/>
          <w:iCs/>
          <w:lang w:val="en-GB"/>
        </w:rPr>
        <w:t>a quo</w:t>
      </w:r>
      <w:r w:rsidR="00AE49A5" w:rsidRPr="00F04963">
        <w:rPr>
          <w:lang w:val="en-GB"/>
        </w:rPr>
        <w:t xml:space="preserve"> overemphasised aspects which militate against the granting of bail, whilst aspects in favour of the appellants were not given sufficient weight:</w:t>
      </w:r>
      <w:r w:rsidR="00AE49A5">
        <w:rPr>
          <w:rStyle w:val="FootnoteReference"/>
          <w:lang w:val="en-GB"/>
        </w:rPr>
        <w:footnoteReference w:id="28"/>
      </w:r>
      <w:r w:rsidR="00AE49A5" w:rsidRPr="00F04963">
        <w:rPr>
          <w:lang w:val="en-GB"/>
        </w:rPr>
        <w:t xml:space="preserve"> </w:t>
      </w:r>
    </w:p>
    <w:p w14:paraId="2DD7A943" w14:textId="0FABD7D9" w:rsidR="00AE49A5" w:rsidRDefault="00AE49A5" w:rsidP="00AE49A5">
      <w:pPr>
        <w:pStyle w:val="ListParagraph"/>
        <w:autoSpaceDE w:val="0"/>
        <w:autoSpaceDN w:val="0"/>
        <w:adjustRightInd w:val="0"/>
        <w:ind w:left="0"/>
        <w:jc w:val="both"/>
        <w:rPr>
          <w:sz w:val="22"/>
          <w:szCs w:val="22"/>
          <w:lang w:val="en-GB"/>
        </w:rPr>
      </w:pPr>
      <w:r>
        <w:rPr>
          <w:sz w:val="22"/>
          <w:szCs w:val="22"/>
          <w:lang w:val="en-GB"/>
        </w:rPr>
        <w:t>‘</w:t>
      </w:r>
      <w:r w:rsidR="00557127">
        <w:rPr>
          <w:sz w:val="22"/>
          <w:szCs w:val="22"/>
          <w:lang w:val="en-GB"/>
        </w:rPr>
        <w:t xml:space="preserve">I am of the view that this court can only conclude that the court </w:t>
      </w:r>
      <w:r w:rsidR="00557127">
        <w:rPr>
          <w:i/>
          <w:iCs/>
          <w:sz w:val="22"/>
          <w:szCs w:val="22"/>
          <w:lang w:val="en-GB"/>
        </w:rPr>
        <w:t xml:space="preserve">a quo </w:t>
      </w:r>
      <w:r w:rsidR="00557127">
        <w:rPr>
          <w:sz w:val="22"/>
          <w:szCs w:val="22"/>
          <w:lang w:val="en-GB"/>
        </w:rPr>
        <w:t xml:space="preserve">was “wrong” if it considers all the relevant aspects for and against the granting of bail to the appellant. If this court then is of the view that the court </w:t>
      </w:r>
      <w:r w:rsidR="00557127">
        <w:rPr>
          <w:i/>
          <w:iCs/>
          <w:sz w:val="22"/>
          <w:szCs w:val="22"/>
          <w:lang w:val="en-GB"/>
        </w:rPr>
        <w:t xml:space="preserve">a </w:t>
      </w:r>
      <w:r w:rsidR="00557127" w:rsidRPr="00557127">
        <w:rPr>
          <w:i/>
          <w:iCs/>
          <w:sz w:val="22"/>
          <w:szCs w:val="22"/>
          <w:lang w:val="en-GB"/>
        </w:rPr>
        <w:t>quo</w:t>
      </w:r>
      <w:r w:rsidR="00557127">
        <w:rPr>
          <w:sz w:val="22"/>
          <w:szCs w:val="22"/>
          <w:lang w:val="en-GB"/>
        </w:rPr>
        <w:t xml:space="preserve">, in the light of all these circumstances, should have granted bail to the appellant, the only conclusion would then be that the court </w:t>
      </w:r>
      <w:r w:rsidR="00557127">
        <w:rPr>
          <w:i/>
          <w:iCs/>
          <w:sz w:val="22"/>
          <w:szCs w:val="22"/>
          <w:lang w:val="en-GB"/>
        </w:rPr>
        <w:t xml:space="preserve">a quo’s </w:t>
      </w:r>
      <w:r w:rsidR="00557127">
        <w:rPr>
          <w:sz w:val="22"/>
          <w:szCs w:val="22"/>
          <w:lang w:val="en-GB"/>
        </w:rPr>
        <w:t xml:space="preserve">decision was wrong … Thus, to be successful in this appeal the appellant will have to show that the court </w:t>
      </w:r>
      <w:r w:rsidR="00557127">
        <w:rPr>
          <w:i/>
          <w:iCs/>
          <w:sz w:val="22"/>
          <w:szCs w:val="22"/>
          <w:lang w:val="en-GB"/>
        </w:rPr>
        <w:t xml:space="preserve">a quo </w:t>
      </w:r>
      <w:r w:rsidR="00557127">
        <w:rPr>
          <w:sz w:val="22"/>
          <w:szCs w:val="22"/>
          <w:lang w:val="en-GB"/>
        </w:rPr>
        <w:t xml:space="preserve">overemphasised aspects which militate against the granting of bail, whilst aspects in favour of the appellant were not </w:t>
      </w:r>
      <w:r w:rsidR="009D7F0B">
        <w:rPr>
          <w:sz w:val="22"/>
          <w:szCs w:val="22"/>
          <w:lang w:val="en-GB"/>
        </w:rPr>
        <w:t>g</w:t>
      </w:r>
      <w:r w:rsidR="00557127">
        <w:rPr>
          <w:sz w:val="22"/>
          <w:szCs w:val="22"/>
          <w:lang w:val="en-GB"/>
        </w:rPr>
        <w:t xml:space="preserve">iven sufficient weight. </w:t>
      </w:r>
      <w:r w:rsidRPr="00557127">
        <w:rPr>
          <w:sz w:val="22"/>
          <w:szCs w:val="22"/>
          <w:lang w:val="en-GB"/>
        </w:rPr>
        <w:t>It</w:t>
      </w:r>
      <w:r>
        <w:rPr>
          <w:sz w:val="22"/>
          <w:szCs w:val="22"/>
          <w:lang w:val="en-GB"/>
        </w:rPr>
        <w:t xml:space="preserve"> speaks for itself </w:t>
      </w:r>
      <w:r w:rsidR="007D2305">
        <w:rPr>
          <w:sz w:val="22"/>
          <w:szCs w:val="22"/>
          <w:lang w:val="en-GB"/>
        </w:rPr>
        <w:t xml:space="preserve">that, if this court cannot conclude that the court </w:t>
      </w:r>
      <w:r w:rsidR="007D2305" w:rsidRPr="00076CDD">
        <w:rPr>
          <w:i/>
          <w:iCs/>
          <w:sz w:val="22"/>
          <w:szCs w:val="22"/>
          <w:lang w:val="en-GB"/>
        </w:rPr>
        <w:t>a quo</w:t>
      </w:r>
      <w:r w:rsidR="007D2305">
        <w:rPr>
          <w:sz w:val="22"/>
          <w:szCs w:val="22"/>
          <w:lang w:val="en-GB"/>
        </w:rPr>
        <w:t xml:space="preserve"> wrongly weighed up the points for and against the granting of bail, </w:t>
      </w:r>
      <w:r w:rsidR="00C87EDE">
        <w:rPr>
          <w:sz w:val="22"/>
          <w:szCs w:val="22"/>
          <w:lang w:val="en-GB"/>
        </w:rPr>
        <w:t xml:space="preserve">this court would not be at liberty to consider the issue of bail afresh. The court </w:t>
      </w:r>
      <w:r w:rsidR="00C87EDE" w:rsidRPr="00076CDD">
        <w:rPr>
          <w:i/>
          <w:iCs/>
          <w:sz w:val="22"/>
          <w:szCs w:val="22"/>
          <w:lang w:val="en-GB"/>
        </w:rPr>
        <w:t>a quo’s</w:t>
      </w:r>
      <w:r w:rsidR="00C87EDE">
        <w:rPr>
          <w:sz w:val="22"/>
          <w:szCs w:val="22"/>
          <w:lang w:val="en-GB"/>
        </w:rPr>
        <w:t xml:space="preserve"> decision will have to stand.’</w:t>
      </w:r>
    </w:p>
    <w:p w14:paraId="6C96A91F" w14:textId="6AE30B10" w:rsidR="009E59AC" w:rsidRDefault="009E59AC" w:rsidP="00AE49A5">
      <w:pPr>
        <w:pStyle w:val="ListParagraph"/>
        <w:autoSpaceDE w:val="0"/>
        <w:autoSpaceDN w:val="0"/>
        <w:adjustRightInd w:val="0"/>
        <w:ind w:left="0"/>
        <w:jc w:val="both"/>
        <w:rPr>
          <w:sz w:val="22"/>
          <w:szCs w:val="22"/>
          <w:lang w:val="en-GB"/>
        </w:rPr>
      </w:pPr>
    </w:p>
    <w:p w14:paraId="3F6FE2F9" w14:textId="77777777" w:rsidR="00581773" w:rsidRDefault="00581773" w:rsidP="00AE49A5">
      <w:pPr>
        <w:pStyle w:val="ListParagraph"/>
        <w:autoSpaceDE w:val="0"/>
        <w:autoSpaceDN w:val="0"/>
        <w:adjustRightInd w:val="0"/>
        <w:ind w:left="0"/>
        <w:jc w:val="both"/>
        <w:rPr>
          <w:sz w:val="22"/>
          <w:szCs w:val="22"/>
          <w:lang w:val="en-GB"/>
        </w:rPr>
      </w:pPr>
    </w:p>
    <w:p w14:paraId="76F7B57E" w14:textId="77777777" w:rsidR="00581773" w:rsidRDefault="00581773" w:rsidP="00AE49A5">
      <w:pPr>
        <w:pStyle w:val="ListParagraph"/>
        <w:autoSpaceDE w:val="0"/>
        <w:autoSpaceDN w:val="0"/>
        <w:adjustRightInd w:val="0"/>
        <w:ind w:left="0"/>
        <w:jc w:val="both"/>
        <w:rPr>
          <w:sz w:val="22"/>
          <w:szCs w:val="22"/>
          <w:lang w:val="en-GB"/>
        </w:rPr>
      </w:pPr>
    </w:p>
    <w:p w14:paraId="30EAD8EB" w14:textId="26F28FC9" w:rsidR="00D67DAA" w:rsidRDefault="00D67DAA" w:rsidP="00C32182">
      <w:pPr>
        <w:pStyle w:val="ListParagraph"/>
        <w:autoSpaceDE w:val="0"/>
        <w:autoSpaceDN w:val="0"/>
        <w:adjustRightInd w:val="0"/>
        <w:ind w:left="0"/>
        <w:jc w:val="both"/>
        <w:rPr>
          <w:b/>
          <w:bCs/>
          <w:lang w:val="en-GB"/>
        </w:rPr>
      </w:pPr>
      <w:r>
        <w:rPr>
          <w:b/>
          <w:bCs/>
          <w:lang w:val="en-GB"/>
        </w:rPr>
        <w:lastRenderedPageBreak/>
        <w:t>The decision to refuse bail</w:t>
      </w:r>
    </w:p>
    <w:p w14:paraId="4282E9D6" w14:textId="77777777" w:rsidR="00D67DAA" w:rsidRPr="00D67DAA" w:rsidRDefault="00D67DAA" w:rsidP="00C32182">
      <w:pPr>
        <w:pStyle w:val="ListParagraph"/>
        <w:autoSpaceDE w:val="0"/>
        <w:autoSpaceDN w:val="0"/>
        <w:adjustRightInd w:val="0"/>
        <w:ind w:left="0"/>
        <w:jc w:val="both"/>
        <w:rPr>
          <w:b/>
          <w:bCs/>
          <w:lang w:val="en-GB"/>
        </w:rPr>
      </w:pPr>
    </w:p>
    <w:p w14:paraId="5FEF57E1" w14:textId="70560ADA" w:rsidR="00C41967" w:rsidRPr="00F04963" w:rsidRDefault="00F04963" w:rsidP="00F04963">
      <w:pPr>
        <w:autoSpaceDE w:val="0"/>
        <w:autoSpaceDN w:val="0"/>
        <w:adjustRightInd w:val="0"/>
        <w:jc w:val="both"/>
        <w:rPr>
          <w:lang w:val="en-GB"/>
        </w:rPr>
      </w:pPr>
      <w:r>
        <w:rPr>
          <w:lang w:val="en-GB"/>
        </w:rPr>
        <w:t>[19]</w:t>
      </w:r>
      <w:r>
        <w:rPr>
          <w:lang w:val="en-GB"/>
        </w:rPr>
        <w:tab/>
      </w:r>
      <w:r w:rsidR="00DC25D7" w:rsidRPr="00F04963">
        <w:rPr>
          <w:lang w:val="en-GB"/>
        </w:rPr>
        <w:t xml:space="preserve">The court </w:t>
      </w:r>
      <w:r w:rsidR="00DC25D7" w:rsidRPr="00F04963">
        <w:rPr>
          <w:i/>
          <w:iCs/>
          <w:lang w:val="en-GB"/>
        </w:rPr>
        <w:t>a quo</w:t>
      </w:r>
      <w:r w:rsidR="00DC25D7" w:rsidRPr="00F04963">
        <w:rPr>
          <w:lang w:val="en-GB"/>
        </w:rPr>
        <w:t xml:space="preserve"> correctly held that the onus was on the </w:t>
      </w:r>
      <w:r w:rsidR="00882875" w:rsidRPr="00F04963">
        <w:rPr>
          <w:lang w:val="en-GB"/>
        </w:rPr>
        <w:t>S</w:t>
      </w:r>
      <w:r w:rsidR="00DC25D7" w:rsidRPr="00F04963">
        <w:rPr>
          <w:lang w:val="en-GB"/>
        </w:rPr>
        <w:t>tate to adduce evidence to show</w:t>
      </w:r>
      <w:r w:rsidR="008E4492" w:rsidRPr="00F04963">
        <w:rPr>
          <w:lang w:val="en-GB"/>
        </w:rPr>
        <w:t xml:space="preserve"> on a balance of probabilities</w:t>
      </w:r>
      <w:r w:rsidR="00DC25D7" w:rsidRPr="00F04963">
        <w:rPr>
          <w:lang w:val="en-GB"/>
        </w:rPr>
        <w:t xml:space="preserve"> that it would not be in the interests of justice for the appellants to be released on bail, given the nature of the </w:t>
      </w:r>
      <w:r w:rsidR="00AA5FA0" w:rsidRPr="00F04963">
        <w:rPr>
          <w:lang w:val="en-GB"/>
        </w:rPr>
        <w:t xml:space="preserve">alleged </w:t>
      </w:r>
      <w:r w:rsidR="00DC25D7" w:rsidRPr="00F04963">
        <w:rPr>
          <w:lang w:val="en-GB"/>
        </w:rPr>
        <w:t>offences.</w:t>
      </w:r>
      <w:r w:rsidR="006B2A06" w:rsidRPr="00F04963">
        <w:rPr>
          <w:lang w:val="en-GB"/>
        </w:rPr>
        <w:t xml:space="preserve"> </w:t>
      </w:r>
      <w:r w:rsidR="00C41967" w:rsidRPr="00F04963">
        <w:rPr>
          <w:lang w:val="en-GB"/>
        </w:rPr>
        <w:t>The magistrate also correctly identified various relevant subsections</w:t>
      </w:r>
      <w:r w:rsidR="00244817" w:rsidRPr="00F04963">
        <w:rPr>
          <w:lang w:val="en-GB"/>
        </w:rPr>
        <w:t>, cited above,</w:t>
      </w:r>
      <w:r w:rsidR="00C41967" w:rsidRPr="00F04963">
        <w:rPr>
          <w:lang w:val="en-GB"/>
        </w:rPr>
        <w:t xml:space="preserve"> in determining the application</w:t>
      </w:r>
      <w:r w:rsidR="00914B3A" w:rsidRPr="00F04963">
        <w:rPr>
          <w:lang w:val="en-GB"/>
        </w:rPr>
        <w:t>s</w:t>
      </w:r>
      <w:r w:rsidR="001101A3" w:rsidRPr="00F04963">
        <w:rPr>
          <w:lang w:val="en-GB"/>
        </w:rPr>
        <w:t>, emphasising the need to weigh the interests of justice against the appellants’ rights to personal freedom and, particularly, any prejudice likely to be suffered as a result of detention.</w:t>
      </w:r>
      <w:r w:rsidR="00F5278F">
        <w:rPr>
          <w:rStyle w:val="FootnoteReference"/>
          <w:lang w:val="en-GB"/>
        </w:rPr>
        <w:footnoteReference w:id="29"/>
      </w:r>
      <w:r w:rsidR="0044428E" w:rsidRPr="00F04963">
        <w:rPr>
          <w:lang w:val="en-GB"/>
        </w:rPr>
        <w:t xml:space="preserve"> </w:t>
      </w:r>
    </w:p>
    <w:p w14:paraId="0CAE61A8" w14:textId="77777777" w:rsidR="008C3AAC" w:rsidRPr="008C3AAC" w:rsidRDefault="008C3AAC" w:rsidP="00C41967">
      <w:pPr>
        <w:pStyle w:val="ListParagraph"/>
        <w:autoSpaceDE w:val="0"/>
        <w:autoSpaceDN w:val="0"/>
        <w:adjustRightInd w:val="0"/>
        <w:ind w:left="0"/>
        <w:jc w:val="both"/>
        <w:rPr>
          <w:b/>
          <w:bCs/>
          <w:i/>
          <w:iCs/>
          <w:lang w:val="en-GB"/>
        </w:rPr>
      </w:pPr>
    </w:p>
    <w:p w14:paraId="0B7781A3" w14:textId="208E3D80" w:rsidR="00D67DAA" w:rsidRPr="00F04963" w:rsidRDefault="00F04963" w:rsidP="00F04963">
      <w:pPr>
        <w:autoSpaceDE w:val="0"/>
        <w:autoSpaceDN w:val="0"/>
        <w:adjustRightInd w:val="0"/>
        <w:jc w:val="both"/>
        <w:rPr>
          <w:lang w:val="en-GB"/>
        </w:rPr>
      </w:pPr>
      <w:r>
        <w:rPr>
          <w:lang w:val="en-GB"/>
        </w:rPr>
        <w:t>[20]</w:t>
      </w:r>
      <w:r>
        <w:rPr>
          <w:lang w:val="en-GB"/>
        </w:rPr>
        <w:tab/>
      </w:r>
      <w:r w:rsidR="0044428E" w:rsidRPr="00F04963">
        <w:rPr>
          <w:lang w:val="en-GB"/>
        </w:rPr>
        <w:t xml:space="preserve">Considering the nature of the evidence led, the court </w:t>
      </w:r>
      <w:r w:rsidR="0044428E" w:rsidRPr="00F04963">
        <w:rPr>
          <w:i/>
          <w:iCs/>
          <w:lang w:val="en-GB"/>
        </w:rPr>
        <w:t>a quo</w:t>
      </w:r>
      <w:r w:rsidR="0044428E" w:rsidRPr="00F04963">
        <w:rPr>
          <w:lang w:val="en-GB"/>
        </w:rPr>
        <w:t xml:space="preserve"> cannot be faulted for focusing specifically on s 60(4)</w:t>
      </w:r>
      <w:r w:rsidR="0044428E" w:rsidRPr="00F04963">
        <w:rPr>
          <w:i/>
          <w:iCs/>
          <w:lang w:val="en-GB"/>
        </w:rPr>
        <w:t>(b)</w:t>
      </w:r>
      <w:r w:rsidR="0044428E" w:rsidRPr="00F04963">
        <w:rPr>
          <w:lang w:val="en-GB"/>
        </w:rPr>
        <w:t xml:space="preserve"> and s 60(4)</w:t>
      </w:r>
      <w:r w:rsidR="0044428E" w:rsidRPr="00F04963">
        <w:rPr>
          <w:i/>
          <w:iCs/>
          <w:lang w:val="en-GB"/>
        </w:rPr>
        <w:t>(d)</w:t>
      </w:r>
      <w:r w:rsidR="00C94960" w:rsidRPr="00F04963">
        <w:rPr>
          <w:lang w:val="en-GB"/>
        </w:rPr>
        <w:t>, coupled with s 60(6), s 60(8) and s 60(9)</w:t>
      </w:r>
      <w:r w:rsidR="0044428E" w:rsidRPr="00F04963">
        <w:rPr>
          <w:lang w:val="en-GB"/>
        </w:rPr>
        <w:t xml:space="preserve">. </w:t>
      </w:r>
      <w:r w:rsidR="006B2A06" w:rsidRPr="00F04963">
        <w:rPr>
          <w:lang w:val="en-GB"/>
        </w:rPr>
        <w:t xml:space="preserve">The magistrate had regard to the evidence tendered by way of affidavit, including </w:t>
      </w:r>
      <w:r w:rsidR="00D75039" w:rsidRPr="00F04963">
        <w:rPr>
          <w:lang w:val="en-GB"/>
        </w:rPr>
        <w:t xml:space="preserve">undisputed </w:t>
      </w:r>
      <w:r w:rsidR="006B2A06" w:rsidRPr="00F04963">
        <w:rPr>
          <w:lang w:val="en-GB"/>
        </w:rPr>
        <w:t xml:space="preserve">information from the Department of Home Affairs reflecting that the appellants were both </w:t>
      </w:r>
      <w:r w:rsidR="0051128D" w:rsidRPr="00F04963">
        <w:rPr>
          <w:lang w:val="en-GB"/>
        </w:rPr>
        <w:t>undocumented</w:t>
      </w:r>
      <w:r w:rsidR="00C46D9F" w:rsidRPr="00F04963">
        <w:rPr>
          <w:lang w:val="en-GB"/>
        </w:rPr>
        <w:t xml:space="preserve">. It was therefore accepted that the appellants were not lawfully present in the country. </w:t>
      </w:r>
      <w:r w:rsidR="00B52364" w:rsidRPr="00F04963">
        <w:rPr>
          <w:lang w:val="en-GB"/>
        </w:rPr>
        <w:t>This fact, coupled with the lack of a fixed address</w:t>
      </w:r>
      <w:r w:rsidR="00150C43" w:rsidRPr="00F04963">
        <w:rPr>
          <w:lang w:val="en-GB"/>
        </w:rPr>
        <w:t>, was emphasised, it being noted that addresses at ‘Martindale Farm’ and Makhanda had been provided</w:t>
      </w:r>
      <w:r w:rsidR="00052415" w:rsidRPr="00F04963">
        <w:rPr>
          <w:lang w:val="en-GB"/>
        </w:rPr>
        <w:t xml:space="preserve">, </w:t>
      </w:r>
      <w:r w:rsidR="00FF2748" w:rsidRPr="00F04963">
        <w:rPr>
          <w:lang w:val="en-GB"/>
        </w:rPr>
        <w:t>as well as</w:t>
      </w:r>
      <w:r w:rsidR="00052415" w:rsidRPr="00F04963">
        <w:rPr>
          <w:lang w:val="en-GB"/>
        </w:rPr>
        <w:t xml:space="preserve"> a false </w:t>
      </w:r>
      <w:r w:rsidR="008D19F8" w:rsidRPr="00F04963">
        <w:rPr>
          <w:lang w:val="en-GB"/>
        </w:rPr>
        <w:t xml:space="preserve">residential </w:t>
      </w:r>
      <w:r w:rsidR="00052415" w:rsidRPr="00F04963">
        <w:rPr>
          <w:lang w:val="en-GB"/>
        </w:rPr>
        <w:t>address</w:t>
      </w:r>
      <w:r w:rsidR="008D19F8" w:rsidRPr="00F04963">
        <w:rPr>
          <w:lang w:val="en-GB"/>
        </w:rPr>
        <w:t xml:space="preserve"> in Gqeberha </w:t>
      </w:r>
      <w:r w:rsidR="00FF2748" w:rsidRPr="00F04963">
        <w:rPr>
          <w:lang w:val="en-GB"/>
        </w:rPr>
        <w:t>in respect of</w:t>
      </w:r>
      <w:r w:rsidR="008D19F8" w:rsidRPr="00F04963">
        <w:rPr>
          <w:lang w:val="en-GB"/>
        </w:rPr>
        <w:t xml:space="preserve"> one of the appellants</w:t>
      </w:r>
      <w:r w:rsidR="00052415" w:rsidRPr="00F04963">
        <w:rPr>
          <w:lang w:val="en-GB"/>
        </w:rPr>
        <w:t>.</w:t>
      </w:r>
      <w:r w:rsidR="00150C43" w:rsidRPr="00F04963">
        <w:rPr>
          <w:lang w:val="en-GB"/>
        </w:rPr>
        <w:t xml:space="preserve"> </w:t>
      </w:r>
      <w:r w:rsidR="00A26EC8" w:rsidRPr="00F04963">
        <w:rPr>
          <w:lang w:val="en-GB"/>
        </w:rPr>
        <w:t xml:space="preserve">The court </w:t>
      </w:r>
      <w:r w:rsidR="00A26EC8" w:rsidRPr="00F04963">
        <w:rPr>
          <w:i/>
          <w:iCs/>
          <w:lang w:val="en-GB"/>
        </w:rPr>
        <w:t>a quo</w:t>
      </w:r>
      <w:r w:rsidR="00910AA2" w:rsidRPr="00F04963">
        <w:rPr>
          <w:lang w:val="en-GB"/>
        </w:rPr>
        <w:t xml:space="preserve"> u</w:t>
      </w:r>
      <w:r w:rsidR="007B77CB" w:rsidRPr="00F04963">
        <w:rPr>
          <w:lang w:val="en-GB"/>
        </w:rPr>
        <w:t>ltimately reject</w:t>
      </w:r>
      <w:r w:rsidR="00910AA2" w:rsidRPr="00F04963">
        <w:rPr>
          <w:lang w:val="en-GB"/>
        </w:rPr>
        <w:t>ed</w:t>
      </w:r>
      <w:r w:rsidR="007B77CB" w:rsidRPr="00F04963">
        <w:rPr>
          <w:lang w:val="en-GB"/>
        </w:rPr>
        <w:t xml:space="preserve"> the applications for bail,</w:t>
      </w:r>
      <w:r w:rsidR="00A26EC8" w:rsidRPr="00F04963">
        <w:rPr>
          <w:lang w:val="en-GB"/>
        </w:rPr>
        <w:t xml:space="preserve"> concluded as follows:</w:t>
      </w:r>
    </w:p>
    <w:p w14:paraId="57560A55" w14:textId="59E69DEC" w:rsidR="00AA5FA0" w:rsidRPr="00CC2D53" w:rsidRDefault="00A26EC8" w:rsidP="00CC2D53">
      <w:pPr>
        <w:jc w:val="both"/>
        <w:rPr>
          <w:sz w:val="22"/>
          <w:szCs w:val="22"/>
          <w:lang w:val="en-GB"/>
        </w:rPr>
      </w:pPr>
      <w:r>
        <w:rPr>
          <w:sz w:val="22"/>
          <w:szCs w:val="22"/>
          <w:lang w:val="en-GB"/>
        </w:rPr>
        <w:t>‘From what has been tendered before this Court, the Court can safely prove that the provisions of section 60(4)</w:t>
      </w:r>
      <w:r>
        <w:rPr>
          <w:i/>
          <w:iCs/>
          <w:sz w:val="22"/>
          <w:szCs w:val="22"/>
          <w:lang w:val="en-GB"/>
        </w:rPr>
        <w:t>(b)</w:t>
      </w:r>
      <w:r>
        <w:rPr>
          <w:sz w:val="22"/>
          <w:szCs w:val="22"/>
          <w:lang w:val="en-GB"/>
        </w:rPr>
        <w:t xml:space="preserve"> as well as </w:t>
      </w:r>
      <w:r>
        <w:rPr>
          <w:i/>
          <w:iCs/>
          <w:sz w:val="22"/>
          <w:szCs w:val="22"/>
          <w:lang w:val="en-GB"/>
        </w:rPr>
        <w:t>(d)</w:t>
      </w:r>
      <w:r>
        <w:rPr>
          <w:sz w:val="22"/>
          <w:szCs w:val="22"/>
          <w:lang w:val="en-GB"/>
        </w:rPr>
        <w:t xml:space="preserve"> have been proved by the State. That indeed, they are flight risks. They do not have passports. They do not have emotional ties, family ties. And the State did not address the Court in as far as extradition. The strength of the State’s case remains strong. Nothing was said coming from the applicants. Now the Court also has to look at the binding effect and enforceability of bail conditions which may be imposed … And also the fact that they do not have fixed addresses. All these addresses that they have mentioned. They are leased by an unknown person or an unknown Chinese who could not come and assist the Court. They tendered evidence that they are employed. As to where? Nobody knows. It remains unclear or not true or as evidence that is being furnished as false. So, the Court is not convinced, taking into account everything in totality.’ </w:t>
      </w:r>
    </w:p>
    <w:p w14:paraId="728B54AF" w14:textId="3AE21BB4" w:rsidR="00D67DAA" w:rsidRDefault="00D67DAA" w:rsidP="00D67DAA">
      <w:pPr>
        <w:pStyle w:val="ListParagraph"/>
        <w:autoSpaceDE w:val="0"/>
        <w:autoSpaceDN w:val="0"/>
        <w:adjustRightInd w:val="0"/>
        <w:ind w:left="0"/>
        <w:jc w:val="both"/>
        <w:rPr>
          <w:lang w:val="en-GB"/>
        </w:rPr>
      </w:pPr>
    </w:p>
    <w:p w14:paraId="02B8E043" w14:textId="77777777" w:rsidR="00581773" w:rsidRDefault="00581773" w:rsidP="00D67DAA">
      <w:pPr>
        <w:pStyle w:val="ListParagraph"/>
        <w:autoSpaceDE w:val="0"/>
        <w:autoSpaceDN w:val="0"/>
        <w:adjustRightInd w:val="0"/>
        <w:ind w:left="0"/>
        <w:jc w:val="both"/>
        <w:rPr>
          <w:lang w:val="en-GB"/>
        </w:rPr>
      </w:pPr>
    </w:p>
    <w:p w14:paraId="0F4D908D" w14:textId="3FA46A0B" w:rsidR="00F23445" w:rsidRDefault="00F23445" w:rsidP="00D67DAA">
      <w:pPr>
        <w:pStyle w:val="ListParagraph"/>
        <w:autoSpaceDE w:val="0"/>
        <w:autoSpaceDN w:val="0"/>
        <w:adjustRightInd w:val="0"/>
        <w:ind w:left="0"/>
        <w:jc w:val="both"/>
        <w:rPr>
          <w:b/>
          <w:bCs/>
          <w:lang w:val="en-GB"/>
        </w:rPr>
      </w:pPr>
      <w:r>
        <w:rPr>
          <w:b/>
          <w:bCs/>
          <w:lang w:val="en-GB"/>
        </w:rPr>
        <w:lastRenderedPageBreak/>
        <w:t>The appeal</w:t>
      </w:r>
    </w:p>
    <w:p w14:paraId="21850429" w14:textId="77777777" w:rsidR="00F23445" w:rsidRPr="00F23445" w:rsidRDefault="00F23445" w:rsidP="00D67DAA">
      <w:pPr>
        <w:pStyle w:val="ListParagraph"/>
        <w:autoSpaceDE w:val="0"/>
        <w:autoSpaceDN w:val="0"/>
        <w:adjustRightInd w:val="0"/>
        <w:ind w:left="0"/>
        <w:jc w:val="both"/>
        <w:rPr>
          <w:b/>
          <w:bCs/>
          <w:lang w:val="en-GB"/>
        </w:rPr>
      </w:pPr>
    </w:p>
    <w:p w14:paraId="03A8946B" w14:textId="5035362C" w:rsidR="00165550" w:rsidRPr="00F04963" w:rsidRDefault="00F04963" w:rsidP="00F04963">
      <w:pPr>
        <w:autoSpaceDE w:val="0"/>
        <w:autoSpaceDN w:val="0"/>
        <w:adjustRightInd w:val="0"/>
        <w:jc w:val="both"/>
        <w:rPr>
          <w:lang w:val="en-GB"/>
        </w:rPr>
      </w:pPr>
      <w:r>
        <w:rPr>
          <w:lang w:val="en-GB"/>
        </w:rPr>
        <w:t>[21]</w:t>
      </w:r>
      <w:r>
        <w:rPr>
          <w:lang w:val="en-GB"/>
        </w:rPr>
        <w:tab/>
      </w:r>
      <w:r w:rsidR="006344B8" w:rsidRPr="00F04963">
        <w:rPr>
          <w:lang w:val="en-GB"/>
        </w:rPr>
        <w:t>Various grounds of appeal are raised in the appellants’ amended notice of appeal.</w:t>
      </w:r>
      <w:r w:rsidR="008E1FF4" w:rsidRPr="00F04963">
        <w:rPr>
          <w:lang w:val="en-GB"/>
        </w:rPr>
        <w:t xml:space="preserve"> Leaving aside those grounds based upon the application to adduce new evidence, the crux of the complaint is that the magistrate failed to properly analyse and consider all the evidence</w:t>
      </w:r>
      <w:r w:rsidR="006F2361" w:rsidRPr="00F04963">
        <w:rPr>
          <w:lang w:val="en-GB"/>
        </w:rPr>
        <w:t xml:space="preserve"> i</w:t>
      </w:r>
      <w:r w:rsidR="00A50111" w:rsidRPr="00F04963">
        <w:rPr>
          <w:lang w:val="en-GB"/>
        </w:rPr>
        <w:t xml:space="preserve">n </w:t>
      </w:r>
      <w:r w:rsidR="006F2361" w:rsidRPr="00F04963">
        <w:rPr>
          <w:lang w:val="en-GB"/>
        </w:rPr>
        <w:t xml:space="preserve">determining the interests of justice, in the context of </w:t>
      </w:r>
      <w:r w:rsidR="00F22BC5" w:rsidRPr="00F04963">
        <w:rPr>
          <w:lang w:val="en-GB"/>
        </w:rPr>
        <w:t xml:space="preserve">the applicable constitutional and legislative framework, including </w:t>
      </w:r>
      <w:r w:rsidR="00A50111" w:rsidRPr="00F04963">
        <w:rPr>
          <w:lang w:val="en-GB"/>
        </w:rPr>
        <w:t>s 60(4)</w:t>
      </w:r>
      <w:r w:rsidR="00A51841" w:rsidRPr="00F04963">
        <w:rPr>
          <w:lang w:val="en-GB"/>
        </w:rPr>
        <w:t>. This</w:t>
      </w:r>
      <w:r w:rsidR="00A50111" w:rsidRPr="00F04963">
        <w:rPr>
          <w:lang w:val="en-GB"/>
        </w:rPr>
        <w:t xml:space="preserve"> </w:t>
      </w:r>
      <w:r w:rsidR="008E1FF4" w:rsidRPr="00F04963">
        <w:rPr>
          <w:lang w:val="en-GB"/>
        </w:rPr>
        <w:t xml:space="preserve">bearing in mind that the </w:t>
      </w:r>
      <w:r w:rsidR="00882875" w:rsidRPr="00F04963">
        <w:rPr>
          <w:lang w:val="en-GB"/>
        </w:rPr>
        <w:t>S</w:t>
      </w:r>
      <w:r w:rsidR="008E1FF4" w:rsidRPr="00F04963">
        <w:rPr>
          <w:lang w:val="en-GB"/>
        </w:rPr>
        <w:t>tate had adduced evidence by affidavit.</w:t>
      </w:r>
      <w:r w:rsidR="00D76DAF" w:rsidRPr="00F04963">
        <w:rPr>
          <w:lang w:val="en-GB"/>
        </w:rPr>
        <w:t xml:space="preserve"> The fact that the appellants have no previous convictions or other pending cases was</w:t>
      </w:r>
      <w:r w:rsidR="00F46CE6" w:rsidRPr="00F04963">
        <w:rPr>
          <w:lang w:val="en-GB"/>
        </w:rPr>
        <w:t>, it is submitted,</w:t>
      </w:r>
      <w:r w:rsidR="00D76DAF" w:rsidRPr="00F04963">
        <w:rPr>
          <w:lang w:val="en-GB"/>
        </w:rPr>
        <w:t xml:space="preserve"> not afforded the proper weight</w:t>
      </w:r>
      <w:r w:rsidR="00F46CE6" w:rsidRPr="00F04963">
        <w:rPr>
          <w:lang w:val="en-GB"/>
        </w:rPr>
        <w:t xml:space="preserve"> and t</w:t>
      </w:r>
      <w:r w:rsidR="008812DC" w:rsidRPr="00F04963">
        <w:rPr>
          <w:lang w:val="en-GB"/>
        </w:rPr>
        <w:t xml:space="preserve">he court </w:t>
      </w:r>
      <w:r w:rsidR="008812DC" w:rsidRPr="00F04963">
        <w:rPr>
          <w:i/>
          <w:iCs/>
          <w:lang w:val="en-GB"/>
        </w:rPr>
        <w:t>a quo</w:t>
      </w:r>
      <w:r w:rsidR="008812DC" w:rsidRPr="00F04963">
        <w:rPr>
          <w:lang w:val="en-GB"/>
        </w:rPr>
        <w:t xml:space="preserve"> also erred in failing to find that the </w:t>
      </w:r>
      <w:r w:rsidR="00882875" w:rsidRPr="00F04963">
        <w:rPr>
          <w:lang w:val="en-GB"/>
        </w:rPr>
        <w:t>S</w:t>
      </w:r>
      <w:r w:rsidR="008812DC" w:rsidRPr="00F04963">
        <w:rPr>
          <w:lang w:val="en-GB"/>
        </w:rPr>
        <w:t>tate’s case was ‘non-existent or open to serious doubt’.</w:t>
      </w:r>
      <w:r w:rsidR="001630D9" w:rsidRPr="00F04963">
        <w:rPr>
          <w:lang w:val="en-GB"/>
        </w:rPr>
        <w:t xml:space="preserve"> The finding that the appellants do not have fixed addresses and furnished false addresses to the police is also challenged.</w:t>
      </w:r>
    </w:p>
    <w:p w14:paraId="6D04916A" w14:textId="660F108E" w:rsidR="00580276" w:rsidRDefault="00580276" w:rsidP="00165550">
      <w:pPr>
        <w:rPr>
          <w:b/>
          <w:bCs/>
          <w:lang w:val="en-GB"/>
        </w:rPr>
      </w:pPr>
    </w:p>
    <w:p w14:paraId="6AFB0AAC" w14:textId="65720671" w:rsidR="00E16142" w:rsidRDefault="00E16142" w:rsidP="00165550">
      <w:pPr>
        <w:rPr>
          <w:b/>
          <w:bCs/>
          <w:lang w:val="en-GB"/>
        </w:rPr>
      </w:pPr>
      <w:r>
        <w:rPr>
          <w:b/>
          <w:bCs/>
          <w:lang w:val="en-GB"/>
        </w:rPr>
        <w:t>Analysis</w:t>
      </w:r>
    </w:p>
    <w:p w14:paraId="626DFFE1" w14:textId="77777777" w:rsidR="00E16142" w:rsidRPr="00E16142" w:rsidRDefault="00E16142" w:rsidP="00165550">
      <w:pPr>
        <w:rPr>
          <w:b/>
          <w:bCs/>
          <w:lang w:val="en-GB"/>
        </w:rPr>
      </w:pPr>
    </w:p>
    <w:p w14:paraId="089DFA2D" w14:textId="1C99145D" w:rsidR="00F23445" w:rsidRPr="00F04963" w:rsidRDefault="00F04963" w:rsidP="00F04963">
      <w:pPr>
        <w:autoSpaceDE w:val="0"/>
        <w:autoSpaceDN w:val="0"/>
        <w:adjustRightInd w:val="0"/>
        <w:jc w:val="both"/>
        <w:rPr>
          <w:lang w:val="en-GB"/>
        </w:rPr>
      </w:pPr>
      <w:r>
        <w:rPr>
          <w:lang w:val="en-GB"/>
        </w:rPr>
        <w:t>[22]</w:t>
      </w:r>
      <w:r>
        <w:rPr>
          <w:lang w:val="en-GB"/>
        </w:rPr>
        <w:tab/>
      </w:r>
      <w:r w:rsidR="00F23445" w:rsidRPr="00F04963">
        <w:rPr>
          <w:lang w:val="en-GB"/>
        </w:rPr>
        <w:t xml:space="preserve">The appellants are charged with schedule 1 offences so that the </w:t>
      </w:r>
      <w:r w:rsidR="00882875" w:rsidRPr="00F04963">
        <w:rPr>
          <w:lang w:val="en-GB"/>
        </w:rPr>
        <w:t>S</w:t>
      </w:r>
      <w:r w:rsidR="00F23445" w:rsidRPr="00F04963">
        <w:rPr>
          <w:lang w:val="en-GB"/>
        </w:rPr>
        <w:t xml:space="preserve">tate bore the onus of proving that it is not in the interests of justice for the appellants to be granted bail. </w:t>
      </w:r>
      <w:r w:rsidR="00FC1235" w:rsidRPr="00F04963">
        <w:rPr>
          <w:lang w:val="en-GB"/>
        </w:rPr>
        <w:t xml:space="preserve">Did the </w:t>
      </w:r>
      <w:r w:rsidR="00882875" w:rsidRPr="00F04963">
        <w:rPr>
          <w:lang w:val="en-GB"/>
        </w:rPr>
        <w:t>S</w:t>
      </w:r>
      <w:r w:rsidR="00FC1235" w:rsidRPr="00F04963">
        <w:rPr>
          <w:lang w:val="en-GB"/>
        </w:rPr>
        <w:t>tate do so on a balance of probabilities or did the magistrate exercise their discretion in refusing bail wrongly?</w:t>
      </w:r>
    </w:p>
    <w:p w14:paraId="2F933A89" w14:textId="77777777" w:rsidR="00F23445" w:rsidRPr="00924255" w:rsidRDefault="00F23445" w:rsidP="00F23445">
      <w:pPr>
        <w:pStyle w:val="ListParagraph"/>
        <w:rPr>
          <w:lang w:val="en-GB"/>
        </w:rPr>
      </w:pPr>
    </w:p>
    <w:p w14:paraId="0CD4B384" w14:textId="26DD0ACE" w:rsidR="00930F44" w:rsidRPr="00F04963" w:rsidRDefault="00F04963" w:rsidP="00F04963">
      <w:pPr>
        <w:autoSpaceDE w:val="0"/>
        <w:autoSpaceDN w:val="0"/>
        <w:adjustRightInd w:val="0"/>
        <w:jc w:val="both"/>
        <w:rPr>
          <w:lang w:val="en-GB"/>
        </w:rPr>
      </w:pPr>
      <w:r>
        <w:rPr>
          <w:lang w:val="en-GB"/>
        </w:rPr>
        <w:t>[23]</w:t>
      </w:r>
      <w:r>
        <w:rPr>
          <w:lang w:val="en-GB"/>
        </w:rPr>
        <w:tab/>
      </w:r>
      <w:r w:rsidR="00930F44" w:rsidRPr="00F04963">
        <w:rPr>
          <w:lang w:val="en-GB"/>
        </w:rPr>
        <w:t xml:space="preserve">Considering the </w:t>
      </w:r>
      <w:r w:rsidR="00453C97" w:rsidRPr="00F04963">
        <w:rPr>
          <w:lang w:val="en-GB"/>
        </w:rPr>
        <w:t xml:space="preserve">list of </w:t>
      </w:r>
      <w:r w:rsidR="00930F44" w:rsidRPr="00F04963">
        <w:rPr>
          <w:lang w:val="en-GB"/>
        </w:rPr>
        <w:t xml:space="preserve">factors contained in s 60(6) of the CPA, I am unable to find that the decision of the court </w:t>
      </w:r>
      <w:r w:rsidR="00930F44" w:rsidRPr="00F04963">
        <w:rPr>
          <w:i/>
          <w:iCs/>
          <w:lang w:val="en-GB"/>
        </w:rPr>
        <w:t>a quo</w:t>
      </w:r>
      <w:r w:rsidR="00930F44" w:rsidRPr="00F04963">
        <w:rPr>
          <w:lang w:val="en-GB"/>
        </w:rPr>
        <w:t xml:space="preserve"> was wrong. </w:t>
      </w:r>
      <w:r w:rsidR="00327A22" w:rsidRPr="00F04963">
        <w:rPr>
          <w:lang w:val="en-GB"/>
        </w:rPr>
        <w:t xml:space="preserve">No </w:t>
      </w:r>
      <w:r w:rsidR="004F5873" w:rsidRPr="00F04963">
        <w:rPr>
          <w:lang w:val="en-GB"/>
        </w:rPr>
        <w:t xml:space="preserve">real </w:t>
      </w:r>
      <w:r w:rsidR="00327A22" w:rsidRPr="00F04963">
        <w:rPr>
          <w:lang w:val="en-GB"/>
        </w:rPr>
        <w:t>emotional, family, community or occupational ties of the appellants to the place where they are to be tried is apparent.</w:t>
      </w:r>
      <w:r w:rsidR="004F5873" w:rsidRPr="00F04963">
        <w:rPr>
          <w:lang w:val="en-GB"/>
        </w:rPr>
        <w:t xml:space="preserve"> </w:t>
      </w:r>
      <w:r w:rsidR="006321E9" w:rsidRPr="00F04963">
        <w:rPr>
          <w:lang w:val="en-GB"/>
        </w:rPr>
        <w:t xml:space="preserve">That both appellants </w:t>
      </w:r>
      <w:r w:rsidR="00A227DA" w:rsidRPr="00F04963">
        <w:rPr>
          <w:lang w:val="en-GB"/>
        </w:rPr>
        <w:t xml:space="preserve">indicate that they have been in the country for five years and </w:t>
      </w:r>
      <w:r w:rsidR="006321E9" w:rsidRPr="00F04963">
        <w:rPr>
          <w:lang w:val="en-GB"/>
        </w:rPr>
        <w:t>stayed at the farm where they were apprehended since September 2023, in unexplained circumstances, does not alter the position.</w:t>
      </w:r>
      <w:r w:rsidR="00327A22" w:rsidRPr="00F04963">
        <w:rPr>
          <w:lang w:val="en-GB"/>
        </w:rPr>
        <w:t xml:space="preserve"> </w:t>
      </w:r>
      <w:r w:rsidR="00904846" w:rsidRPr="00F04963">
        <w:rPr>
          <w:lang w:val="en-GB"/>
        </w:rPr>
        <w:t>There is also no explanation of the link between the appellants and the address they provided</w:t>
      </w:r>
      <w:r w:rsidR="00407F75" w:rsidRPr="00F04963">
        <w:rPr>
          <w:lang w:val="en-GB"/>
        </w:rPr>
        <w:t xml:space="preserve"> during their bail applications and as an alternative address to the police</w:t>
      </w:r>
      <w:r w:rsidR="00904846" w:rsidRPr="00F04963">
        <w:rPr>
          <w:lang w:val="en-GB"/>
        </w:rPr>
        <w:t xml:space="preserve">, a property seeming the subject of a sale to a Chinese national. </w:t>
      </w:r>
      <w:r w:rsidR="00327A22" w:rsidRPr="00F04963">
        <w:rPr>
          <w:lang w:val="en-GB"/>
        </w:rPr>
        <w:t>Neither appellant holds any assets. Both entered the country unlawfully, suggesting that the absence of travel documents will not be a bar to their departure pending trial.</w:t>
      </w:r>
      <w:r w:rsidR="009F4390">
        <w:rPr>
          <w:rStyle w:val="FootnoteReference"/>
          <w:lang w:val="en-GB"/>
        </w:rPr>
        <w:footnoteReference w:id="30"/>
      </w:r>
      <w:r w:rsidR="00486EF9" w:rsidRPr="00F04963">
        <w:rPr>
          <w:lang w:val="en-GB"/>
        </w:rPr>
        <w:t xml:space="preserve"> Both face serious charges</w:t>
      </w:r>
      <w:r w:rsidR="00A46C05" w:rsidRPr="00F04963">
        <w:rPr>
          <w:lang w:val="en-GB"/>
        </w:rPr>
        <w:t xml:space="preserve"> and t</w:t>
      </w:r>
      <w:r w:rsidR="00211708" w:rsidRPr="00F04963">
        <w:rPr>
          <w:lang w:val="en-GB"/>
        </w:rPr>
        <w:t xml:space="preserve">he nature and gravity of the punishment which is likely to be imposed should the accused be </w:t>
      </w:r>
      <w:r w:rsidR="00211708" w:rsidRPr="00F04963">
        <w:rPr>
          <w:lang w:val="en-GB"/>
        </w:rPr>
        <w:lastRenderedPageBreak/>
        <w:t>convicted also count against them</w:t>
      </w:r>
      <w:r w:rsidR="000F493A" w:rsidRPr="00F04963">
        <w:rPr>
          <w:lang w:val="en-GB"/>
        </w:rPr>
        <w:t xml:space="preserve">. </w:t>
      </w:r>
      <w:r w:rsidR="000E7A66" w:rsidRPr="00F04963">
        <w:rPr>
          <w:lang w:val="en-GB"/>
        </w:rPr>
        <w:t>As a further consideration, no information was forthcoming as to the identity of their employer</w:t>
      </w:r>
      <w:r w:rsidR="00773949" w:rsidRPr="00F04963">
        <w:rPr>
          <w:lang w:val="en-GB"/>
        </w:rPr>
        <w:t xml:space="preserve"> or the location of their work.</w:t>
      </w:r>
    </w:p>
    <w:p w14:paraId="0786F74E" w14:textId="77777777" w:rsidR="00904846" w:rsidRPr="00904846" w:rsidRDefault="00904846" w:rsidP="00904846">
      <w:pPr>
        <w:pStyle w:val="ListParagraph"/>
        <w:autoSpaceDE w:val="0"/>
        <w:autoSpaceDN w:val="0"/>
        <w:adjustRightInd w:val="0"/>
        <w:ind w:left="0"/>
        <w:jc w:val="both"/>
        <w:rPr>
          <w:lang w:val="en-GB"/>
        </w:rPr>
      </w:pPr>
    </w:p>
    <w:p w14:paraId="0EB92BFE" w14:textId="55D89B1B" w:rsidR="00A46C05" w:rsidRPr="00F04963" w:rsidRDefault="00F04963" w:rsidP="00F04963">
      <w:pPr>
        <w:autoSpaceDE w:val="0"/>
        <w:autoSpaceDN w:val="0"/>
        <w:adjustRightInd w:val="0"/>
        <w:jc w:val="both"/>
        <w:rPr>
          <w:lang w:val="en-GB"/>
        </w:rPr>
      </w:pPr>
      <w:r>
        <w:rPr>
          <w:lang w:val="en-GB"/>
        </w:rPr>
        <w:t>[24]</w:t>
      </w:r>
      <w:r>
        <w:rPr>
          <w:lang w:val="en-GB"/>
        </w:rPr>
        <w:tab/>
      </w:r>
      <w:r w:rsidR="00A46C05" w:rsidRPr="00F04963">
        <w:rPr>
          <w:lang w:val="en-GB"/>
        </w:rPr>
        <w:t xml:space="preserve">It is apparent from the summary of the decision of the court </w:t>
      </w:r>
      <w:r w:rsidR="00A46C05" w:rsidRPr="00F04963">
        <w:rPr>
          <w:i/>
          <w:iCs/>
          <w:lang w:val="en-GB"/>
        </w:rPr>
        <w:t>a quo</w:t>
      </w:r>
      <w:r w:rsidR="00A46C05" w:rsidRPr="00F04963">
        <w:rPr>
          <w:lang w:val="en-GB"/>
        </w:rPr>
        <w:t xml:space="preserve"> that little or no weight was attached to the strength of the case against the accused. This is unsurprising when considering the contents of the affidavit relied upon by the </w:t>
      </w:r>
      <w:r w:rsidR="00882875" w:rsidRPr="00F04963">
        <w:rPr>
          <w:lang w:val="en-GB"/>
        </w:rPr>
        <w:t>S</w:t>
      </w:r>
      <w:r w:rsidR="00A46C05" w:rsidRPr="00F04963">
        <w:rPr>
          <w:lang w:val="en-GB"/>
        </w:rPr>
        <w:t xml:space="preserve">tate: Warrant Officer Fullarton made no mention of a strong case, relying only on the serious nature of the charges and possibility of lengthy prison terms, in addition to the factors directly relevant to possible trial evasion. The nature and gravity of the charge is a distinct consideration from the strength of the case against the accused, in terms of s 60(6). Counsel for the </w:t>
      </w:r>
      <w:r w:rsidR="00882875" w:rsidRPr="00F04963">
        <w:rPr>
          <w:lang w:val="en-GB"/>
        </w:rPr>
        <w:t>S</w:t>
      </w:r>
      <w:r w:rsidR="00A46C05" w:rsidRPr="00F04963">
        <w:rPr>
          <w:lang w:val="en-GB"/>
        </w:rPr>
        <w:t xml:space="preserve">tate also made no mention of any matter indicative of a strong case, closing the </w:t>
      </w:r>
      <w:r w:rsidR="00882875" w:rsidRPr="00F04963">
        <w:rPr>
          <w:lang w:val="en-GB"/>
        </w:rPr>
        <w:t>S</w:t>
      </w:r>
      <w:r w:rsidR="00A46C05" w:rsidRPr="00F04963">
        <w:rPr>
          <w:lang w:val="en-GB"/>
        </w:rPr>
        <w:t xml:space="preserve">tate’s case once Fullarton’s affidavit was read into the record and the various affidavits were admitted into evidence. The affidavits of the appellants, read into the record by their </w:t>
      </w:r>
      <w:r w:rsidR="00A94552" w:rsidRPr="00F04963">
        <w:rPr>
          <w:lang w:val="en-GB"/>
        </w:rPr>
        <w:t>representative</w:t>
      </w:r>
      <w:r w:rsidR="00A46C05" w:rsidRPr="00F04963">
        <w:rPr>
          <w:lang w:val="en-GB"/>
        </w:rPr>
        <w:t xml:space="preserve"> during the bail proceedings, made no mention of any consideration relevant to the strength of the case against them, both appellants choosing not to disclose the basis of their defence until trial. The entire paragraph of the judgment referring to the strength of the </w:t>
      </w:r>
      <w:r w:rsidR="00882875" w:rsidRPr="00F04963">
        <w:rPr>
          <w:lang w:val="en-GB"/>
        </w:rPr>
        <w:t>S</w:t>
      </w:r>
      <w:r w:rsidR="00A46C05" w:rsidRPr="00F04963">
        <w:rPr>
          <w:lang w:val="en-GB"/>
        </w:rPr>
        <w:t>tate’s case constituted an attempt to apply ss 60(4)</w:t>
      </w:r>
      <w:r w:rsidR="00A46C05" w:rsidRPr="00F04963">
        <w:rPr>
          <w:i/>
          <w:iCs/>
          <w:lang w:val="en-GB"/>
        </w:rPr>
        <w:t>(b)</w:t>
      </w:r>
      <w:r w:rsidR="00A46C05" w:rsidRPr="00F04963">
        <w:rPr>
          <w:lang w:val="en-GB"/>
        </w:rPr>
        <w:t xml:space="preserve"> and </w:t>
      </w:r>
      <w:r w:rsidR="00A46C05" w:rsidRPr="00F04963">
        <w:rPr>
          <w:i/>
          <w:iCs/>
          <w:lang w:val="en-GB"/>
        </w:rPr>
        <w:t>(d)</w:t>
      </w:r>
      <w:r w:rsidR="00A46C05" w:rsidRPr="00F04963">
        <w:rPr>
          <w:lang w:val="en-GB"/>
        </w:rPr>
        <w:t xml:space="preserve">, as confirmed by the explicit reference in the paragraph to elements </w:t>
      </w:r>
      <w:r w:rsidR="006B5AF1" w:rsidRPr="00F04963">
        <w:rPr>
          <w:lang w:val="en-GB"/>
        </w:rPr>
        <w:t xml:space="preserve">contained in </w:t>
      </w:r>
      <w:r w:rsidR="00A46C05" w:rsidRPr="00F04963">
        <w:rPr>
          <w:lang w:val="en-GB"/>
        </w:rPr>
        <w:t xml:space="preserve">those subsections. To the extent that the court </w:t>
      </w:r>
      <w:r w:rsidR="00A46C05" w:rsidRPr="00F04963">
        <w:rPr>
          <w:i/>
          <w:iCs/>
          <w:lang w:val="en-GB"/>
        </w:rPr>
        <w:t xml:space="preserve">a quo </w:t>
      </w:r>
      <w:r w:rsidR="00A46C05" w:rsidRPr="00F04963">
        <w:rPr>
          <w:lang w:val="en-GB"/>
        </w:rPr>
        <w:t xml:space="preserve">considered the </w:t>
      </w:r>
      <w:r w:rsidR="00882875" w:rsidRPr="00F04963">
        <w:rPr>
          <w:lang w:val="en-GB"/>
        </w:rPr>
        <w:t>S</w:t>
      </w:r>
      <w:r w:rsidR="00A46C05" w:rsidRPr="00F04963">
        <w:rPr>
          <w:lang w:val="en-GB"/>
        </w:rPr>
        <w:t xml:space="preserve">tate’s case against the appellants to be strong, it may be criticised for doing so in blanket fashion, as opposed to specifying that the comment was only applicable in respect of count 3. The strength of the </w:t>
      </w:r>
      <w:r w:rsidR="00882875" w:rsidRPr="00F04963">
        <w:rPr>
          <w:lang w:val="en-GB"/>
        </w:rPr>
        <w:t>S</w:t>
      </w:r>
      <w:r w:rsidR="00A46C05" w:rsidRPr="00F04963">
        <w:rPr>
          <w:lang w:val="en-GB"/>
        </w:rPr>
        <w:t>tate’s case in respect of that count cannot be gainsaid.</w:t>
      </w:r>
      <w:r w:rsidR="000035C9" w:rsidRPr="00F04963">
        <w:rPr>
          <w:lang w:val="en-GB"/>
        </w:rPr>
        <w:t xml:space="preserve"> Even if this were not the case, the other factors remain in force and justify the outcome reached by the magistrate</w:t>
      </w:r>
      <w:r w:rsidR="00CB0EBF" w:rsidRPr="00F04963">
        <w:rPr>
          <w:lang w:val="en-GB"/>
        </w:rPr>
        <w:t xml:space="preserve">, the central issue being whether the interests of justice permit release on bail, rather than an assessment of the strength of the </w:t>
      </w:r>
      <w:r w:rsidR="00882875" w:rsidRPr="00F04963">
        <w:rPr>
          <w:lang w:val="en-GB"/>
        </w:rPr>
        <w:t>S</w:t>
      </w:r>
      <w:r w:rsidR="00CB0EBF" w:rsidRPr="00F04963">
        <w:rPr>
          <w:lang w:val="en-GB"/>
        </w:rPr>
        <w:t>tate’s case</w:t>
      </w:r>
      <w:r w:rsidR="000035C9" w:rsidRPr="00F04963">
        <w:rPr>
          <w:lang w:val="en-GB"/>
        </w:rPr>
        <w:t>.</w:t>
      </w:r>
      <w:r w:rsidR="00DE30DB">
        <w:rPr>
          <w:rStyle w:val="FootnoteReference"/>
          <w:lang w:val="en-GB"/>
        </w:rPr>
        <w:footnoteReference w:id="31"/>
      </w:r>
    </w:p>
    <w:p w14:paraId="5EB1114A" w14:textId="77777777" w:rsidR="00A46C05" w:rsidRDefault="00A46C05" w:rsidP="00A46C05">
      <w:pPr>
        <w:pStyle w:val="ListParagraph"/>
        <w:autoSpaceDE w:val="0"/>
        <w:autoSpaceDN w:val="0"/>
        <w:adjustRightInd w:val="0"/>
        <w:ind w:left="0"/>
        <w:jc w:val="both"/>
        <w:rPr>
          <w:lang w:val="en-GB"/>
        </w:rPr>
      </w:pPr>
    </w:p>
    <w:p w14:paraId="032F5C25" w14:textId="5AC48405" w:rsidR="00934A77" w:rsidRPr="00F04963" w:rsidRDefault="00F04963" w:rsidP="00F04963">
      <w:pPr>
        <w:autoSpaceDE w:val="0"/>
        <w:autoSpaceDN w:val="0"/>
        <w:adjustRightInd w:val="0"/>
        <w:jc w:val="both"/>
        <w:rPr>
          <w:lang w:val="en-GB"/>
        </w:rPr>
      </w:pPr>
      <w:r>
        <w:rPr>
          <w:lang w:val="en-GB"/>
        </w:rPr>
        <w:t>[25]</w:t>
      </w:r>
      <w:r>
        <w:rPr>
          <w:lang w:val="en-GB"/>
        </w:rPr>
        <w:tab/>
      </w:r>
      <w:r w:rsidR="00A46C05" w:rsidRPr="00F04963">
        <w:rPr>
          <w:lang w:val="en-GB"/>
        </w:rPr>
        <w:t>T</w:t>
      </w:r>
      <w:r w:rsidR="00017764" w:rsidRPr="00F04963">
        <w:rPr>
          <w:lang w:val="en-GB"/>
        </w:rPr>
        <w:t xml:space="preserve">he record reflects that </w:t>
      </w:r>
      <w:r w:rsidR="00A46C05" w:rsidRPr="00F04963">
        <w:rPr>
          <w:lang w:val="en-GB"/>
        </w:rPr>
        <w:t xml:space="preserve">the </w:t>
      </w:r>
      <w:r w:rsidR="00B64228" w:rsidRPr="00F04963">
        <w:rPr>
          <w:lang w:val="en-GB"/>
        </w:rPr>
        <w:t>appropriate</w:t>
      </w:r>
      <w:r w:rsidR="00017764" w:rsidRPr="00F04963">
        <w:rPr>
          <w:lang w:val="en-GB"/>
        </w:rPr>
        <w:t xml:space="preserve"> factors were given due consideration by the court </w:t>
      </w:r>
      <w:r w:rsidR="00017764" w:rsidRPr="00F04963">
        <w:rPr>
          <w:i/>
          <w:iCs/>
          <w:lang w:val="en-GB"/>
        </w:rPr>
        <w:t>a quo</w:t>
      </w:r>
      <w:r w:rsidR="00017764" w:rsidRPr="00F04963">
        <w:rPr>
          <w:lang w:val="en-GB"/>
        </w:rPr>
        <w:t>. Cumulatively they are such that on the probabilities there is a likelihood that the appellants, if released on bail, will attempt to evade trial</w:t>
      </w:r>
      <w:r w:rsidR="00AE6F43" w:rsidRPr="00F04963">
        <w:rPr>
          <w:lang w:val="en-GB"/>
        </w:rPr>
        <w:t>. The magistrate cannot be faulted for arriving at that conclusion</w:t>
      </w:r>
      <w:r w:rsidR="00934A77" w:rsidRPr="00F04963">
        <w:rPr>
          <w:lang w:val="en-GB"/>
        </w:rPr>
        <w:t>, based on s 60(4)</w:t>
      </w:r>
      <w:r w:rsidR="00934A77" w:rsidRPr="00F04963">
        <w:rPr>
          <w:i/>
          <w:iCs/>
          <w:lang w:val="en-GB"/>
        </w:rPr>
        <w:t>(b)</w:t>
      </w:r>
      <w:r w:rsidR="00934A77" w:rsidRPr="00F04963">
        <w:rPr>
          <w:lang w:val="en-GB"/>
        </w:rPr>
        <w:t xml:space="preserve"> read with s 60(6)</w:t>
      </w:r>
      <w:r w:rsidR="00147D8E" w:rsidRPr="00F04963">
        <w:rPr>
          <w:lang w:val="en-GB"/>
        </w:rPr>
        <w:t xml:space="preserve">, balancing the interests of justice against the right of the appellants to their </w:t>
      </w:r>
      <w:r w:rsidR="00147D8E" w:rsidRPr="00F04963">
        <w:rPr>
          <w:lang w:val="en-GB"/>
        </w:rPr>
        <w:lastRenderedPageBreak/>
        <w:t>freedom in an appropriate manner</w:t>
      </w:r>
      <w:r w:rsidR="00934A77" w:rsidRPr="00F04963">
        <w:rPr>
          <w:lang w:val="en-GB"/>
        </w:rPr>
        <w:t xml:space="preserve">. </w:t>
      </w:r>
      <w:r w:rsidR="005A3662" w:rsidRPr="00F04963">
        <w:rPr>
          <w:lang w:val="en-GB"/>
        </w:rPr>
        <w:t>In coming to this conclusion, I am mindful of the constitutional basis upon which s 65(4) ought to be interpreted whenever a court of appeal exercises its appellate authority in bail proceedings.</w:t>
      </w:r>
      <w:r w:rsidR="005A3662">
        <w:rPr>
          <w:rStyle w:val="FootnoteReference"/>
          <w:lang w:val="en-GB"/>
        </w:rPr>
        <w:footnoteReference w:id="32"/>
      </w:r>
    </w:p>
    <w:p w14:paraId="111D3661" w14:textId="77777777" w:rsidR="002F6608" w:rsidRPr="002F6608" w:rsidRDefault="002F6608" w:rsidP="002F6608">
      <w:pPr>
        <w:pStyle w:val="ListParagraph"/>
        <w:rPr>
          <w:lang w:val="en-GB"/>
        </w:rPr>
      </w:pPr>
    </w:p>
    <w:p w14:paraId="60D61CD6" w14:textId="0F770141" w:rsidR="002F6608" w:rsidRPr="00F04963" w:rsidRDefault="00F04963" w:rsidP="00F04963">
      <w:pPr>
        <w:autoSpaceDE w:val="0"/>
        <w:autoSpaceDN w:val="0"/>
        <w:adjustRightInd w:val="0"/>
        <w:jc w:val="both"/>
        <w:rPr>
          <w:lang w:val="en-GB"/>
        </w:rPr>
      </w:pPr>
      <w:r>
        <w:rPr>
          <w:lang w:val="en-GB"/>
        </w:rPr>
        <w:t>[26]</w:t>
      </w:r>
      <w:r>
        <w:rPr>
          <w:lang w:val="en-GB"/>
        </w:rPr>
        <w:tab/>
      </w:r>
      <w:r w:rsidR="002F6608" w:rsidRPr="00F04963">
        <w:rPr>
          <w:lang w:val="en-GB"/>
        </w:rPr>
        <w:t xml:space="preserve">It is accordingly unnecessary to consider whether there is the likelihood that the appellants, if released on bail, will </w:t>
      </w:r>
      <w:r w:rsidR="00857441" w:rsidRPr="00F04963">
        <w:rPr>
          <w:lang w:val="en-GB"/>
        </w:rPr>
        <w:t xml:space="preserve">also </w:t>
      </w:r>
      <w:r w:rsidR="002F6608" w:rsidRPr="00F04963">
        <w:rPr>
          <w:lang w:val="en-GB"/>
        </w:rPr>
        <w:t xml:space="preserve">undermine or jeopardise the objectives or the proper functioning of the criminal justice system, including the bail system, </w:t>
      </w:r>
      <w:r w:rsidR="0049493D" w:rsidRPr="00F04963">
        <w:rPr>
          <w:lang w:val="en-GB"/>
        </w:rPr>
        <w:t xml:space="preserve">merely </w:t>
      </w:r>
      <w:r w:rsidR="002F6608" w:rsidRPr="00F04963">
        <w:rPr>
          <w:lang w:val="en-GB"/>
        </w:rPr>
        <w:t xml:space="preserve">because of the different addresses provided to the </w:t>
      </w:r>
      <w:r w:rsidR="0049493D" w:rsidRPr="00F04963">
        <w:rPr>
          <w:lang w:val="en-GB"/>
        </w:rPr>
        <w:t xml:space="preserve">investigating officer and </w:t>
      </w:r>
      <w:r w:rsidR="00857441" w:rsidRPr="00F04963">
        <w:rPr>
          <w:lang w:val="en-GB"/>
        </w:rPr>
        <w:t>in their bail applications</w:t>
      </w:r>
      <w:r w:rsidR="003B5763" w:rsidRPr="00F04963">
        <w:rPr>
          <w:lang w:val="en-GB"/>
        </w:rPr>
        <w:t>.</w:t>
      </w:r>
    </w:p>
    <w:p w14:paraId="3AC8A82D" w14:textId="38E92C32" w:rsidR="00017764" w:rsidRDefault="00017764" w:rsidP="00934A77">
      <w:pPr>
        <w:rPr>
          <w:lang w:val="en-GB"/>
        </w:rPr>
      </w:pPr>
    </w:p>
    <w:p w14:paraId="382199A6" w14:textId="77777777" w:rsidR="000D1A48" w:rsidRDefault="000D1A48" w:rsidP="00934A77">
      <w:pPr>
        <w:rPr>
          <w:lang w:val="en-GB"/>
        </w:rPr>
      </w:pPr>
    </w:p>
    <w:p w14:paraId="6451495D" w14:textId="0DD85361" w:rsidR="002611FE" w:rsidRDefault="002611FE" w:rsidP="00934A77">
      <w:pPr>
        <w:rPr>
          <w:b/>
          <w:bCs/>
          <w:lang w:val="en-GB"/>
        </w:rPr>
      </w:pPr>
      <w:r>
        <w:rPr>
          <w:b/>
          <w:bCs/>
          <w:lang w:val="en-GB"/>
        </w:rPr>
        <w:t>Order</w:t>
      </w:r>
    </w:p>
    <w:p w14:paraId="3F035F72" w14:textId="77777777" w:rsidR="002611FE" w:rsidRPr="002611FE" w:rsidRDefault="002611FE" w:rsidP="00934A77">
      <w:pPr>
        <w:rPr>
          <w:b/>
          <w:bCs/>
          <w:lang w:val="en-GB"/>
        </w:rPr>
      </w:pPr>
    </w:p>
    <w:p w14:paraId="29624AF3" w14:textId="052A53AE" w:rsidR="00F23445" w:rsidRPr="00F04963" w:rsidRDefault="00F04963" w:rsidP="00F04963">
      <w:pPr>
        <w:autoSpaceDE w:val="0"/>
        <w:autoSpaceDN w:val="0"/>
        <w:adjustRightInd w:val="0"/>
        <w:jc w:val="both"/>
        <w:rPr>
          <w:sz w:val="22"/>
          <w:szCs w:val="22"/>
          <w:lang w:val="en-GB"/>
        </w:rPr>
      </w:pPr>
      <w:r>
        <w:rPr>
          <w:sz w:val="22"/>
          <w:szCs w:val="22"/>
          <w:lang w:val="en-GB"/>
        </w:rPr>
        <w:t>[27]</w:t>
      </w:r>
      <w:r>
        <w:rPr>
          <w:sz w:val="22"/>
          <w:szCs w:val="22"/>
          <w:lang w:val="en-GB"/>
        </w:rPr>
        <w:tab/>
      </w:r>
      <w:r w:rsidR="00017764" w:rsidRPr="00F04963">
        <w:rPr>
          <w:lang w:val="en-GB"/>
        </w:rPr>
        <w:t xml:space="preserve"> </w:t>
      </w:r>
      <w:r w:rsidR="002611FE" w:rsidRPr="00F04963">
        <w:rPr>
          <w:lang w:val="en-GB"/>
        </w:rPr>
        <w:t>The appeal</w:t>
      </w:r>
      <w:r w:rsidR="00D104F7" w:rsidRPr="00F04963">
        <w:rPr>
          <w:lang w:val="en-GB"/>
        </w:rPr>
        <w:t>s</w:t>
      </w:r>
      <w:r w:rsidR="003E34B3" w:rsidRPr="00F04963">
        <w:rPr>
          <w:lang w:val="en-GB"/>
        </w:rPr>
        <w:t xml:space="preserve"> against the court </w:t>
      </w:r>
      <w:r w:rsidR="003E34B3" w:rsidRPr="00F04963">
        <w:rPr>
          <w:i/>
          <w:iCs/>
          <w:lang w:val="en-GB"/>
        </w:rPr>
        <w:t>a quo’s</w:t>
      </w:r>
      <w:r w:rsidR="003E34B3" w:rsidRPr="00F04963">
        <w:rPr>
          <w:lang w:val="en-GB"/>
        </w:rPr>
        <w:t xml:space="preserve"> refusal to grant bail</w:t>
      </w:r>
      <w:r w:rsidR="002611FE" w:rsidRPr="00F04963">
        <w:rPr>
          <w:lang w:val="en-GB"/>
        </w:rPr>
        <w:t xml:space="preserve"> </w:t>
      </w:r>
      <w:r w:rsidR="00D104F7" w:rsidRPr="00F04963">
        <w:rPr>
          <w:lang w:val="en-GB"/>
        </w:rPr>
        <w:t>are</w:t>
      </w:r>
      <w:r w:rsidR="002611FE" w:rsidRPr="00F04963">
        <w:rPr>
          <w:lang w:val="en-GB"/>
        </w:rPr>
        <w:t xml:space="preserve"> dismissed.</w:t>
      </w:r>
    </w:p>
    <w:p w14:paraId="7C1F4F68" w14:textId="1969AC7A" w:rsidR="00E05F7F" w:rsidRDefault="00E05F7F" w:rsidP="002F6608">
      <w:pPr>
        <w:pStyle w:val="ListParagraph"/>
        <w:autoSpaceDE w:val="0"/>
        <w:autoSpaceDN w:val="0"/>
        <w:adjustRightInd w:val="0"/>
        <w:ind w:left="0"/>
        <w:jc w:val="both"/>
        <w:rPr>
          <w:lang w:val="en-GB"/>
        </w:rPr>
      </w:pPr>
    </w:p>
    <w:p w14:paraId="491559B3" w14:textId="77777777" w:rsidR="00C8111D" w:rsidRPr="002F6608" w:rsidRDefault="00C8111D" w:rsidP="002F6608">
      <w:pPr>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46A91F73" w:rsidR="007A7BBE" w:rsidRPr="000D1A48"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581773" w:rsidRPr="000D1A48">
        <w:rPr>
          <w:spacing w:val="14"/>
          <w:kern w:val="2"/>
          <w:lang w:val="en-GB"/>
        </w:rPr>
        <w:t>05 March 2024</w:t>
      </w:r>
    </w:p>
    <w:p w14:paraId="299C01BC" w14:textId="77777777" w:rsidR="00CA056D" w:rsidRDefault="00CA056D" w:rsidP="000D4C7F">
      <w:pPr>
        <w:widowControl w:val="0"/>
        <w:ind w:left="4320" w:right="656" w:firstLine="720"/>
        <w:jc w:val="right"/>
        <w:rPr>
          <w:spacing w:val="14"/>
          <w:kern w:val="2"/>
          <w:lang w:val="en-GB"/>
        </w:rPr>
      </w:pPr>
    </w:p>
    <w:p w14:paraId="5D550954" w14:textId="407D1783" w:rsidR="007A7BBE" w:rsidRPr="000D1A48"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581773" w:rsidRPr="000D1A48">
        <w:rPr>
          <w:spacing w:val="14"/>
          <w:kern w:val="2"/>
          <w:lang w:val="en-GB"/>
        </w:rPr>
        <w:t>07 March 2024</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6A89AC38" w14:textId="77777777" w:rsidR="00581773" w:rsidRDefault="00581773" w:rsidP="00CA056D">
      <w:pPr>
        <w:widowControl w:val="0"/>
        <w:ind w:right="656"/>
        <w:rPr>
          <w:spacing w:val="14"/>
          <w:kern w:val="2"/>
          <w:lang w:val="en-GB"/>
        </w:rPr>
      </w:pPr>
    </w:p>
    <w:p w14:paraId="3D2968A7" w14:textId="77777777" w:rsidR="00581773" w:rsidRDefault="00581773" w:rsidP="00CA056D">
      <w:pPr>
        <w:widowControl w:val="0"/>
        <w:ind w:right="656"/>
        <w:rPr>
          <w:spacing w:val="14"/>
          <w:kern w:val="2"/>
          <w:lang w:val="en-GB"/>
        </w:rPr>
      </w:pPr>
    </w:p>
    <w:p w14:paraId="187F92B4" w14:textId="77777777" w:rsidR="000D1A48" w:rsidRDefault="000D1A48"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69B23379" w14:textId="65D807C3" w:rsidR="00581773" w:rsidRDefault="00C33845" w:rsidP="00581773">
      <w:pPr>
        <w:rPr>
          <w:rFonts w:eastAsia="Times New Roman"/>
        </w:rPr>
      </w:pPr>
      <w:r>
        <w:rPr>
          <w:lang w:val="en-GB"/>
        </w:rPr>
        <w:t xml:space="preserve">For </w:t>
      </w:r>
      <w:r w:rsidR="00B97608">
        <w:rPr>
          <w:lang w:val="en-GB"/>
        </w:rPr>
        <w:t>the App</w:t>
      </w:r>
      <w:r w:rsidR="000D1A48">
        <w:rPr>
          <w:lang w:val="en-GB"/>
        </w:rPr>
        <w:t>ellants</w:t>
      </w:r>
      <w:r>
        <w:rPr>
          <w:lang w:val="en-GB"/>
        </w:rPr>
        <w:t>:</w:t>
      </w:r>
      <w:r>
        <w:rPr>
          <w:lang w:val="en-GB"/>
        </w:rPr>
        <w:tab/>
      </w:r>
      <w:r>
        <w:rPr>
          <w:lang w:val="en-GB"/>
        </w:rPr>
        <w:tab/>
      </w:r>
      <w:r>
        <w:rPr>
          <w:lang w:val="en-GB"/>
        </w:rPr>
        <w:tab/>
      </w:r>
      <w:r>
        <w:rPr>
          <w:lang w:val="en-GB"/>
        </w:rPr>
        <w:tab/>
      </w:r>
      <w:r w:rsidR="00581773">
        <w:rPr>
          <w:rFonts w:eastAsia="Times New Roman"/>
        </w:rPr>
        <w:t>Peter Daubermann</w:t>
      </w:r>
    </w:p>
    <w:p w14:paraId="29EBEA83" w14:textId="77777777" w:rsidR="00581773" w:rsidRDefault="00581773" w:rsidP="000D1A48">
      <w:pPr>
        <w:ind w:left="3600" w:firstLine="720"/>
        <w:rPr>
          <w:rFonts w:eastAsia="Times New Roman"/>
        </w:rPr>
      </w:pPr>
      <w:r>
        <w:rPr>
          <w:rFonts w:eastAsia="Times New Roman"/>
        </w:rPr>
        <w:t>Peter Daubermann Attorneys</w:t>
      </w:r>
    </w:p>
    <w:p w14:paraId="5A907CD4" w14:textId="77777777" w:rsidR="00581773" w:rsidRDefault="00581773" w:rsidP="000D1A48">
      <w:pPr>
        <w:ind w:left="3600" w:firstLine="720"/>
        <w:rPr>
          <w:rFonts w:eastAsia="Times New Roman"/>
        </w:rPr>
      </w:pPr>
      <w:r>
        <w:rPr>
          <w:rFonts w:eastAsia="Times New Roman"/>
        </w:rPr>
        <w:t>Suite 701</w:t>
      </w:r>
    </w:p>
    <w:p w14:paraId="7411B7AA" w14:textId="77777777" w:rsidR="00581773" w:rsidRDefault="00581773" w:rsidP="000D1A48">
      <w:pPr>
        <w:ind w:left="3600" w:firstLine="720"/>
        <w:rPr>
          <w:rFonts w:eastAsia="Times New Roman"/>
        </w:rPr>
      </w:pPr>
      <w:r>
        <w:rPr>
          <w:rFonts w:eastAsia="Times New Roman"/>
        </w:rPr>
        <w:t>Seventh Floor</w:t>
      </w:r>
    </w:p>
    <w:p w14:paraId="66BFEF1D" w14:textId="77777777" w:rsidR="00581773" w:rsidRDefault="00581773" w:rsidP="000D1A48">
      <w:pPr>
        <w:ind w:left="3600" w:firstLine="720"/>
        <w:rPr>
          <w:rFonts w:eastAsia="Times New Roman"/>
        </w:rPr>
      </w:pPr>
      <w:r>
        <w:rPr>
          <w:rFonts w:eastAsia="Times New Roman"/>
        </w:rPr>
        <w:t>Oasim South</w:t>
      </w:r>
    </w:p>
    <w:p w14:paraId="6C451D33" w14:textId="77777777" w:rsidR="00581773" w:rsidRDefault="00581773" w:rsidP="000D1A48">
      <w:pPr>
        <w:ind w:left="3600" w:firstLine="720"/>
        <w:rPr>
          <w:rFonts w:eastAsia="Times New Roman"/>
        </w:rPr>
      </w:pPr>
      <w:r>
        <w:rPr>
          <w:rFonts w:eastAsia="Times New Roman"/>
        </w:rPr>
        <w:t>Pearson Street</w:t>
      </w:r>
    </w:p>
    <w:p w14:paraId="327E1C6C" w14:textId="77777777" w:rsidR="00581773" w:rsidRDefault="00581773" w:rsidP="000D1A48">
      <w:pPr>
        <w:ind w:left="3600" w:firstLine="720"/>
        <w:rPr>
          <w:rFonts w:eastAsia="Times New Roman"/>
        </w:rPr>
      </w:pPr>
      <w:r>
        <w:rPr>
          <w:rFonts w:eastAsia="Times New Roman"/>
        </w:rPr>
        <w:t>Central</w:t>
      </w:r>
    </w:p>
    <w:p w14:paraId="2B152E7B" w14:textId="77777777" w:rsidR="00581773" w:rsidRDefault="00581773" w:rsidP="000D1A48">
      <w:pPr>
        <w:ind w:left="3600" w:firstLine="720"/>
        <w:rPr>
          <w:rFonts w:eastAsia="Times New Roman"/>
        </w:rPr>
      </w:pPr>
      <w:r>
        <w:rPr>
          <w:rFonts w:eastAsia="Times New Roman"/>
        </w:rPr>
        <w:t>Gqeberha</w:t>
      </w:r>
    </w:p>
    <w:p w14:paraId="66A4F6F4" w14:textId="77777777" w:rsidR="00581773" w:rsidRDefault="00581773" w:rsidP="000D1A48">
      <w:pPr>
        <w:ind w:left="3600" w:firstLine="720"/>
        <w:rPr>
          <w:rFonts w:eastAsia="Times New Roman"/>
        </w:rPr>
      </w:pPr>
      <w:r>
        <w:rPr>
          <w:rFonts w:eastAsia="Times New Roman"/>
        </w:rPr>
        <w:t>6001</w:t>
      </w:r>
    </w:p>
    <w:p w14:paraId="61A2D969" w14:textId="77777777" w:rsidR="00581773" w:rsidRDefault="00581773" w:rsidP="000D1A48">
      <w:pPr>
        <w:ind w:left="4320"/>
        <w:rPr>
          <w:rFonts w:eastAsia="Times New Roman"/>
        </w:rPr>
      </w:pPr>
      <w:r>
        <w:rPr>
          <w:rFonts w:eastAsia="Times New Roman"/>
        </w:rPr>
        <w:t>Tel. 082 55 33710</w:t>
      </w:r>
    </w:p>
    <w:p w14:paraId="01953FBE" w14:textId="77777777" w:rsidR="00581773" w:rsidRDefault="00581773" w:rsidP="000D1A48">
      <w:pPr>
        <w:ind w:left="3600" w:firstLine="720"/>
        <w:rPr>
          <w:rFonts w:eastAsia="Times New Roman"/>
        </w:rPr>
      </w:pPr>
      <w:r>
        <w:rPr>
          <w:rFonts w:eastAsia="Times New Roman"/>
        </w:rPr>
        <w:t xml:space="preserve">Email: </w:t>
      </w:r>
      <w:hyperlink r:id="rId9" w:history="1">
        <w:r>
          <w:rPr>
            <w:rStyle w:val="Hyperlink"/>
            <w:rFonts w:eastAsia="Times New Roman"/>
          </w:rPr>
          <w:t>lawyer.za@gmail.com</w:t>
        </w:r>
      </w:hyperlink>
    </w:p>
    <w:p w14:paraId="4876ED7B" w14:textId="680D354A" w:rsidR="00C8111D" w:rsidRDefault="00B97608" w:rsidP="00C8111D">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23A2D137" w14:textId="77777777" w:rsidR="00C33845" w:rsidRDefault="00C33845" w:rsidP="00772E4B">
      <w:pPr>
        <w:jc w:val="both"/>
        <w:rPr>
          <w:lang w:val="en-GB"/>
        </w:rPr>
      </w:pPr>
    </w:p>
    <w:p w14:paraId="1DE2D54D" w14:textId="77777777" w:rsidR="000D1A48" w:rsidRDefault="00C33845" w:rsidP="000D1A48">
      <w:pPr>
        <w:tabs>
          <w:tab w:val="left" w:pos="3261"/>
          <w:tab w:val="center" w:pos="4003"/>
        </w:tabs>
        <w:jc w:val="both"/>
      </w:pPr>
      <w:r>
        <w:rPr>
          <w:lang w:val="en-GB"/>
        </w:rPr>
        <w:t xml:space="preserve">For </w:t>
      </w:r>
      <w:r w:rsidR="00B97608">
        <w:rPr>
          <w:lang w:val="en-GB"/>
        </w:rPr>
        <w:t>the Respondent</w:t>
      </w:r>
      <w:r>
        <w:rPr>
          <w:lang w:val="en-GB"/>
        </w:rPr>
        <w:t>:</w:t>
      </w:r>
      <w:r>
        <w:rPr>
          <w:lang w:val="en-GB"/>
        </w:rPr>
        <w:tab/>
      </w:r>
      <w:r>
        <w:rPr>
          <w:lang w:val="en-GB"/>
        </w:rPr>
        <w:tab/>
      </w:r>
      <w:r>
        <w:rPr>
          <w:lang w:val="en-GB"/>
        </w:rPr>
        <w:tab/>
      </w:r>
      <w:r w:rsidR="000D1A48">
        <w:t>Adv M. van Rooyen</w:t>
      </w:r>
    </w:p>
    <w:p w14:paraId="221DBD52" w14:textId="3B09C894" w:rsidR="000D1A48" w:rsidRDefault="000D1A48" w:rsidP="000D1A48">
      <w:pPr>
        <w:tabs>
          <w:tab w:val="left" w:pos="3261"/>
          <w:tab w:val="center" w:pos="4003"/>
        </w:tabs>
        <w:jc w:val="both"/>
      </w:pPr>
      <w:r>
        <w:tab/>
      </w:r>
      <w:r>
        <w:tab/>
      </w:r>
      <w:r>
        <w:tab/>
        <w:t>Director of Public Prosecutions</w:t>
      </w:r>
    </w:p>
    <w:p w14:paraId="69F4BE2A" w14:textId="71E7E563" w:rsidR="000D1A48" w:rsidRDefault="000D1A48" w:rsidP="000D1A48">
      <w:pPr>
        <w:tabs>
          <w:tab w:val="left" w:pos="3261"/>
          <w:tab w:val="center" w:pos="4003"/>
        </w:tabs>
        <w:jc w:val="both"/>
      </w:pPr>
      <w:r>
        <w:t xml:space="preserve">                                                 </w:t>
      </w:r>
      <w:r>
        <w:tab/>
      </w:r>
      <w:r>
        <w:tab/>
        <w:t>Makhanda</w:t>
      </w:r>
    </w:p>
    <w:p w14:paraId="6D30471E" w14:textId="4DA96950" w:rsidR="000D1A48" w:rsidRDefault="000D1A48" w:rsidP="000D1A48">
      <w:pPr>
        <w:tabs>
          <w:tab w:val="left" w:pos="3261"/>
          <w:tab w:val="left" w:pos="3402"/>
          <w:tab w:val="left" w:pos="3686"/>
          <w:tab w:val="center" w:pos="4003"/>
        </w:tabs>
        <w:jc w:val="both"/>
      </w:pPr>
      <w:r>
        <w:t xml:space="preserve">                                                </w:t>
      </w:r>
      <w:r>
        <w:tab/>
      </w:r>
      <w:r>
        <w:tab/>
      </w:r>
      <w:r>
        <w:tab/>
      </w:r>
      <w:r>
        <w:tab/>
        <w:t xml:space="preserve">         046 602 3000</w:t>
      </w:r>
    </w:p>
    <w:p w14:paraId="1EE4EA0E" w14:textId="295672FB"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0D1A48">
        <w:rPr>
          <w:lang w:val="en-GB"/>
        </w:rPr>
        <w:t xml:space="preserve">Email: </w:t>
      </w:r>
      <w:hyperlink r:id="rId10" w:history="1">
        <w:r w:rsidR="000D1A48" w:rsidRPr="004D7464">
          <w:rPr>
            <w:rStyle w:val="Hyperlink"/>
            <w:lang w:val="en-GB"/>
          </w:rPr>
          <w:t>mvanrooyen@npa.gov.za</w:t>
        </w:r>
      </w:hyperlink>
    </w:p>
    <w:p w14:paraId="5DC0B0DB" w14:textId="77777777" w:rsidR="000D1A48" w:rsidRDefault="000D1A48" w:rsidP="00772E4B">
      <w:pPr>
        <w:jc w:val="both"/>
        <w:rPr>
          <w:lang w:val="en-GB"/>
        </w:rPr>
      </w:pPr>
    </w:p>
    <w:p w14:paraId="7CC93F24" w14:textId="77777777" w:rsidR="00B97608" w:rsidRDefault="00B97608" w:rsidP="00772E4B">
      <w:pPr>
        <w:jc w:val="both"/>
        <w:rPr>
          <w:lang w:val="en-GB"/>
        </w:rPr>
      </w:pPr>
    </w:p>
    <w:sectPr w:rsidR="00B97608" w:rsidSect="007074E8">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B763" w14:textId="77777777" w:rsidR="00F64689" w:rsidRDefault="00F64689" w:rsidP="00005691">
      <w:r>
        <w:separator/>
      </w:r>
    </w:p>
  </w:endnote>
  <w:endnote w:type="continuationSeparator" w:id="0">
    <w:p w14:paraId="316A2A52" w14:textId="77777777" w:rsidR="00F64689" w:rsidRDefault="00F64689"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D801" w14:textId="77777777" w:rsidR="00F64689" w:rsidRDefault="00F64689" w:rsidP="00005691">
      <w:r>
        <w:separator/>
      </w:r>
    </w:p>
  </w:footnote>
  <w:footnote w:type="continuationSeparator" w:id="0">
    <w:p w14:paraId="78AA5CF7" w14:textId="77777777" w:rsidR="00F64689" w:rsidRDefault="00F64689" w:rsidP="00005691">
      <w:r>
        <w:continuationSeparator/>
      </w:r>
    </w:p>
  </w:footnote>
  <w:footnote w:id="1">
    <w:p w14:paraId="0A0F0056" w14:textId="69DDD9CE" w:rsidR="005E72EE" w:rsidRPr="005E72EE" w:rsidRDefault="005E72EE" w:rsidP="004D24FB">
      <w:pPr>
        <w:pStyle w:val="FootnoteText"/>
        <w:spacing w:line="240" w:lineRule="auto"/>
        <w:jc w:val="both"/>
        <w:rPr>
          <w:lang w:val="en-US"/>
        </w:rPr>
      </w:pPr>
      <w:r>
        <w:rPr>
          <w:rStyle w:val="FootnoteReference"/>
        </w:rPr>
        <w:footnoteRef/>
      </w:r>
      <w:r>
        <w:t xml:space="preserve"> </w:t>
      </w:r>
      <w:r>
        <w:rPr>
          <w:lang w:val="en-US"/>
        </w:rPr>
        <w:t>Act 18 of 1998.</w:t>
      </w:r>
    </w:p>
  </w:footnote>
  <w:footnote w:id="2">
    <w:p w14:paraId="5123AF2E" w14:textId="54169C9A" w:rsidR="0048769C" w:rsidRPr="0048769C" w:rsidRDefault="0048769C" w:rsidP="004D24FB">
      <w:pPr>
        <w:pStyle w:val="FootnoteText"/>
        <w:spacing w:line="240" w:lineRule="auto"/>
        <w:jc w:val="both"/>
        <w:rPr>
          <w:lang w:val="en-US"/>
        </w:rPr>
      </w:pPr>
      <w:r>
        <w:rPr>
          <w:rStyle w:val="FootnoteReference"/>
        </w:rPr>
        <w:footnoteRef/>
      </w:r>
      <w:r>
        <w:t xml:space="preserve"> </w:t>
      </w:r>
      <w:r>
        <w:rPr>
          <w:lang w:val="en-US"/>
        </w:rPr>
        <w:t>Act 13 of 2002.</w:t>
      </w:r>
    </w:p>
  </w:footnote>
  <w:footnote w:id="3">
    <w:p w14:paraId="28E5671E" w14:textId="77777777" w:rsidR="00AB1F14" w:rsidRPr="00A637B9" w:rsidRDefault="00AB1F14" w:rsidP="004D24FB">
      <w:pPr>
        <w:pStyle w:val="FootnoteText"/>
        <w:spacing w:line="240" w:lineRule="auto"/>
        <w:jc w:val="both"/>
        <w:rPr>
          <w:lang w:val="en-US"/>
        </w:rPr>
      </w:pPr>
      <w:r>
        <w:rPr>
          <w:rStyle w:val="FootnoteReference"/>
        </w:rPr>
        <w:footnoteRef/>
      </w:r>
      <w:r>
        <w:t xml:space="preserve"> </w:t>
      </w:r>
      <w:r>
        <w:rPr>
          <w:i/>
          <w:iCs/>
          <w:lang w:val="en-US"/>
        </w:rPr>
        <w:t>S v De Jager</w:t>
      </w:r>
      <w:r>
        <w:rPr>
          <w:lang w:val="en-US"/>
        </w:rPr>
        <w:t xml:space="preserve"> 1965 (2) SA 612 (A); </w:t>
      </w:r>
      <w:r>
        <w:rPr>
          <w:i/>
          <w:iCs/>
          <w:lang w:val="en-US"/>
        </w:rPr>
        <w:t>Seedat</w:t>
      </w:r>
      <w:r>
        <w:rPr>
          <w:lang w:val="en-US"/>
        </w:rPr>
        <w:t xml:space="preserve"> </w:t>
      </w:r>
      <w:r>
        <w:rPr>
          <w:i/>
          <w:iCs/>
          <w:lang w:val="en-US"/>
        </w:rPr>
        <w:t>v S</w:t>
      </w:r>
      <w:r>
        <w:rPr>
          <w:lang w:val="en-US"/>
        </w:rPr>
        <w:t xml:space="preserve"> [2016] ZASCA 153 para 21.</w:t>
      </w:r>
    </w:p>
  </w:footnote>
  <w:footnote w:id="4">
    <w:p w14:paraId="03B1C251" w14:textId="77777777" w:rsidR="00AB1F14" w:rsidRPr="002D3D13" w:rsidRDefault="00AB1F14" w:rsidP="004D24FB">
      <w:pPr>
        <w:pStyle w:val="FootnoteText"/>
        <w:spacing w:line="240" w:lineRule="auto"/>
        <w:jc w:val="both"/>
        <w:rPr>
          <w:lang w:val="en-US"/>
        </w:rPr>
      </w:pPr>
      <w:r>
        <w:rPr>
          <w:rStyle w:val="FootnoteReference"/>
        </w:rPr>
        <w:footnoteRef/>
      </w:r>
      <w:r>
        <w:t xml:space="preserve"> </w:t>
      </w:r>
      <w:r>
        <w:rPr>
          <w:i/>
          <w:iCs/>
          <w:lang w:val="en-US"/>
        </w:rPr>
        <w:t>S v Janssen</w:t>
      </w:r>
      <w:r>
        <w:rPr>
          <w:lang w:val="en-US"/>
        </w:rPr>
        <w:t xml:space="preserve"> 2010 (1) SACR 237 (ECG) para 2.</w:t>
      </w:r>
    </w:p>
  </w:footnote>
  <w:footnote w:id="5">
    <w:p w14:paraId="3BEF784A" w14:textId="77777777" w:rsidR="00D02B67" w:rsidRPr="007D1325" w:rsidRDefault="00D02B67" w:rsidP="004D24FB">
      <w:pPr>
        <w:pStyle w:val="FootnoteText"/>
        <w:spacing w:line="240" w:lineRule="auto"/>
        <w:jc w:val="both"/>
        <w:rPr>
          <w:lang w:val="en-US"/>
        </w:rPr>
      </w:pPr>
      <w:r>
        <w:rPr>
          <w:rStyle w:val="FootnoteReference"/>
        </w:rPr>
        <w:footnoteRef/>
      </w:r>
      <w:r>
        <w:t xml:space="preserve"> </w:t>
      </w:r>
      <w:r>
        <w:rPr>
          <w:i/>
          <w:iCs/>
          <w:lang w:val="en-US"/>
        </w:rPr>
        <w:t>S v Dlamini; S v Dladla and Others; S v Joubert; S v Schietekat</w:t>
      </w:r>
      <w:r>
        <w:rPr>
          <w:lang w:val="en-US"/>
        </w:rPr>
        <w:t xml:space="preserve"> 1999 (2) SACR 51 (CC) at 63</w:t>
      </w:r>
      <w:r>
        <w:rPr>
          <w:i/>
          <w:iCs/>
          <w:lang w:val="en-US"/>
        </w:rPr>
        <w:t xml:space="preserve">e </w:t>
      </w:r>
      <w:r>
        <w:rPr>
          <w:lang w:val="en-US"/>
        </w:rPr>
        <w:softHyphen/>
        <w:t>– 64</w:t>
      </w:r>
      <w:r>
        <w:rPr>
          <w:i/>
          <w:iCs/>
          <w:lang w:val="en-US"/>
        </w:rPr>
        <w:t>a</w:t>
      </w:r>
      <w:r>
        <w:rPr>
          <w:lang w:val="en-US"/>
        </w:rPr>
        <w:t>.</w:t>
      </w:r>
    </w:p>
  </w:footnote>
  <w:footnote w:id="6">
    <w:p w14:paraId="6CE691A3" w14:textId="77777777" w:rsidR="00D02B67" w:rsidRPr="001E25EB" w:rsidRDefault="00D02B67" w:rsidP="004D24FB">
      <w:pPr>
        <w:pStyle w:val="FootnoteText"/>
        <w:spacing w:line="240" w:lineRule="auto"/>
        <w:jc w:val="both"/>
        <w:rPr>
          <w:vertAlign w:val="subscript"/>
          <w:lang w:val="en-US"/>
        </w:rPr>
      </w:pPr>
      <w:r>
        <w:rPr>
          <w:rStyle w:val="FootnoteReference"/>
        </w:rPr>
        <w:footnoteRef/>
      </w:r>
      <w:r>
        <w:t xml:space="preserve"> </w:t>
      </w:r>
      <w:r>
        <w:rPr>
          <w:i/>
          <w:iCs/>
          <w:lang w:val="en-US"/>
        </w:rPr>
        <w:t>S v Schietekat</w:t>
      </w:r>
      <w:r>
        <w:rPr>
          <w:lang w:val="en-US"/>
        </w:rPr>
        <w:t xml:space="preserve"> 1998 (2) SACR 707 (C) at 713</w:t>
      </w:r>
      <w:r>
        <w:rPr>
          <w:i/>
          <w:iCs/>
          <w:lang w:val="en-US"/>
        </w:rPr>
        <w:t xml:space="preserve">h </w:t>
      </w:r>
      <w:r>
        <w:rPr>
          <w:lang w:val="en-US"/>
        </w:rPr>
        <w:t>– 714</w:t>
      </w:r>
      <w:r>
        <w:rPr>
          <w:i/>
          <w:iCs/>
          <w:lang w:val="en-US"/>
        </w:rPr>
        <w:t>a</w:t>
      </w:r>
      <w:r>
        <w:rPr>
          <w:lang w:val="en-US"/>
        </w:rPr>
        <w:t>.</w:t>
      </w:r>
    </w:p>
  </w:footnote>
  <w:footnote w:id="7">
    <w:p w14:paraId="646E037D" w14:textId="0B6F7308" w:rsidR="00D02B67" w:rsidRPr="00A152CC" w:rsidRDefault="00D02B67" w:rsidP="004D24FB">
      <w:pPr>
        <w:pStyle w:val="FootnoteText"/>
        <w:spacing w:line="240" w:lineRule="auto"/>
        <w:jc w:val="both"/>
        <w:rPr>
          <w:lang w:val="en-US"/>
        </w:rPr>
      </w:pPr>
      <w:r>
        <w:rPr>
          <w:rStyle w:val="FootnoteReference"/>
        </w:rPr>
        <w:footnoteRef/>
      </w:r>
      <w:r>
        <w:t xml:space="preserve"> </w:t>
      </w:r>
      <w:r>
        <w:rPr>
          <w:i/>
          <w:iCs/>
          <w:lang w:val="en-US"/>
        </w:rPr>
        <w:t>S v Yanta</w:t>
      </w:r>
      <w:r>
        <w:rPr>
          <w:lang w:val="en-US"/>
        </w:rPr>
        <w:t xml:space="preserve"> </w:t>
      </w:r>
      <w:r w:rsidR="00580A63">
        <w:rPr>
          <w:lang w:val="en-US"/>
        </w:rPr>
        <w:t xml:space="preserve">2000 (1) SACR 237 (Tk) </w:t>
      </w:r>
      <w:r>
        <w:rPr>
          <w:lang w:val="en-US"/>
        </w:rPr>
        <w:t>at 246H – I.</w:t>
      </w:r>
    </w:p>
  </w:footnote>
  <w:footnote w:id="8">
    <w:p w14:paraId="7C08475A" w14:textId="77777777" w:rsidR="00D02B67" w:rsidRPr="00193A9E" w:rsidRDefault="00D02B67" w:rsidP="004D24FB">
      <w:pPr>
        <w:pStyle w:val="FootnoteText"/>
        <w:spacing w:line="240" w:lineRule="auto"/>
        <w:jc w:val="both"/>
        <w:rPr>
          <w:lang w:val="en-US"/>
        </w:rPr>
      </w:pPr>
      <w:r>
        <w:rPr>
          <w:rStyle w:val="FootnoteReference"/>
        </w:rPr>
        <w:footnoteRef/>
      </w:r>
      <w:r>
        <w:t xml:space="preserve"> </w:t>
      </w:r>
      <w:r>
        <w:rPr>
          <w:i/>
          <w:iCs/>
          <w:lang w:val="en-US"/>
        </w:rPr>
        <w:t>S v Ho</w:t>
      </w:r>
      <w:r>
        <w:rPr>
          <w:lang w:val="en-US"/>
        </w:rPr>
        <w:t xml:space="preserve"> 1979 (3) SA 734 (W) at 736E – H. The reference to the ‘1917 Act’ is to the repealed Criminal Procedure and Evidence Act, 1917.</w:t>
      </w:r>
    </w:p>
  </w:footnote>
  <w:footnote w:id="9">
    <w:p w14:paraId="05B2E95A" w14:textId="4778F1B1" w:rsidR="00AB1F14" w:rsidRPr="00174084" w:rsidRDefault="00AB1F14" w:rsidP="004D24FB">
      <w:pPr>
        <w:pStyle w:val="FootnoteText"/>
        <w:spacing w:line="240" w:lineRule="auto"/>
        <w:jc w:val="both"/>
        <w:rPr>
          <w:lang w:val="en-US"/>
        </w:rPr>
      </w:pPr>
      <w:r>
        <w:rPr>
          <w:rStyle w:val="FootnoteReference"/>
        </w:rPr>
        <w:footnoteRef/>
      </w:r>
      <w:r>
        <w:t xml:space="preserve"> </w:t>
      </w:r>
      <w:r>
        <w:rPr>
          <w:i/>
          <w:iCs/>
          <w:lang w:val="en-US"/>
        </w:rPr>
        <w:t>S v Yanta</w:t>
      </w:r>
      <w:r>
        <w:rPr>
          <w:lang w:val="en-US"/>
        </w:rPr>
        <w:t xml:space="preserve"> </w:t>
      </w:r>
      <w:r w:rsidR="00580A63">
        <w:rPr>
          <w:lang w:val="en-US"/>
        </w:rPr>
        <w:t xml:space="preserve">above n 7 </w:t>
      </w:r>
      <w:r>
        <w:rPr>
          <w:lang w:val="en-US"/>
        </w:rPr>
        <w:t xml:space="preserve">at 249E – J. See </w:t>
      </w:r>
      <w:r>
        <w:rPr>
          <w:i/>
          <w:iCs/>
          <w:lang w:val="en-US"/>
        </w:rPr>
        <w:t>S v Baleka and Others</w:t>
      </w:r>
      <w:r>
        <w:rPr>
          <w:lang w:val="en-US"/>
        </w:rPr>
        <w:t xml:space="preserve"> 1986 (1) SA 361 (T) at 375E–J: if, after refusal, new facts arise or are discovered, provision is implicitly made by s 65(2) for the renewal of the bail application in order to place the new facts before the lower court, it being ‘expressly provided that new facts which arise or are discovered after the decision appealed against may not be used as the basis for an appeal unless they have first been placed before the magistrate who gave the decision appealed against, and he has also given a decision against the accused in the light of such new facts …’</w:t>
      </w:r>
    </w:p>
  </w:footnote>
  <w:footnote w:id="10">
    <w:p w14:paraId="3BAEC271" w14:textId="77777777" w:rsidR="00AB1F14" w:rsidRPr="009E75CC" w:rsidRDefault="00AB1F14" w:rsidP="004D24FB">
      <w:pPr>
        <w:pStyle w:val="FootnoteText"/>
        <w:spacing w:line="240" w:lineRule="auto"/>
        <w:jc w:val="both"/>
        <w:rPr>
          <w:iCs/>
          <w:lang w:val="en-US"/>
        </w:rPr>
      </w:pPr>
      <w:r>
        <w:rPr>
          <w:rStyle w:val="FootnoteReference"/>
        </w:rPr>
        <w:footnoteRef/>
      </w:r>
      <w:r>
        <w:t xml:space="preserve"> </w:t>
      </w:r>
      <w:r>
        <w:rPr>
          <w:lang w:val="en-US"/>
        </w:rPr>
        <w:t xml:space="preserve">See </w:t>
      </w:r>
      <w:r>
        <w:rPr>
          <w:i/>
          <w:lang w:val="en-US"/>
        </w:rPr>
        <w:t xml:space="preserve">S v EB </w:t>
      </w:r>
      <w:r>
        <w:rPr>
          <w:iCs/>
          <w:lang w:val="en-US"/>
        </w:rPr>
        <w:t>2010 (2) SACR 524 (SCA) para 5.</w:t>
      </w:r>
    </w:p>
  </w:footnote>
  <w:footnote w:id="11">
    <w:p w14:paraId="3A662AFD" w14:textId="77777777" w:rsidR="00AB1F14" w:rsidRPr="006F3D5A" w:rsidRDefault="00AB1F14" w:rsidP="004D24FB">
      <w:pPr>
        <w:pStyle w:val="FootnoteText"/>
        <w:spacing w:line="240" w:lineRule="auto"/>
        <w:jc w:val="both"/>
        <w:rPr>
          <w:lang w:val="en-US"/>
        </w:rPr>
      </w:pPr>
      <w:r>
        <w:rPr>
          <w:rStyle w:val="FootnoteReference"/>
        </w:rPr>
        <w:footnoteRef/>
      </w:r>
      <w:r>
        <w:t xml:space="preserve"> </w:t>
      </w:r>
      <w:r>
        <w:rPr>
          <w:i/>
          <w:iCs/>
        </w:rPr>
        <w:t xml:space="preserve">Mziako v Director of Public Prosecutions, Transvaal &amp; Another </w:t>
      </w:r>
      <w:r>
        <w:t xml:space="preserve">2001 (2) SACR 231 (T); </w:t>
      </w:r>
      <w:r>
        <w:rPr>
          <w:lang w:val="en-US"/>
        </w:rPr>
        <w:t xml:space="preserve">Cf </w:t>
      </w:r>
      <w:r>
        <w:rPr>
          <w:i/>
          <w:iCs/>
          <w:lang w:val="en-US"/>
        </w:rPr>
        <w:t xml:space="preserve">S v Marx </w:t>
      </w:r>
      <w:r>
        <w:rPr>
          <w:lang w:val="en-US"/>
        </w:rPr>
        <w:t>1992 (2) SACR 567 (A) at 573</w:t>
      </w:r>
      <w:r>
        <w:rPr>
          <w:i/>
          <w:iCs/>
          <w:lang w:val="en-US"/>
        </w:rPr>
        <w:t>i–j</w:t>
      </w:r>
      <w:r>
        <w:rPr>
          <w:lang w:val="en-US"/>
        </w:rPr>
        <w:t xml:space="preserve">; </w:t>
      </w:r>
      <w:r>
        <w:rPr>
          <w:i/>
          <w:iCs/>
          <w:lang w:val="en-US"/>
        </w:rPr>
        <w:t xml:space="preserve">S v Swart </w:t>
      </w:r>
      <w:r>
        <w:rPr>
          <w:lang w:val="en-US"/>
        </w:rPr>
        <w:t>2004 (2) SACR 370 (SCA) para 6.</w:t>
      </w:r>
    </w:p>
  </w:footnote>
  <w:footnote w:id="12">
    <w:p w14:paraId="7C8BFFC0" w14:textId="77777777" w:rsidR="00AB1F14" w:rsidRPr="00B77C3C" w:rsidRDefault="00AB1F14" w:rsidP="004D24FB">
      <w:pPr>
        <w:pStyle w:val="FootnoteText"/>
        <w:spacing w:line="240" w:lineRule="auto"/>
        <w:jc w:val="both"/>
        <w:rPr>
          <w:lang w:val="en-US"/>
        </w:rPr>
      </w:pPr>
      <w:r>
        <w:rPr>
          <w:rStyle w:val="FootnoteReference"/>
        </w:rPr>
        <w:footnoteRef/>
      </w:r>
      <w:r>
        <w:t xml:space="preserve"> S 316(5)</w:t>
      </w:r>
      <w:r>
        <w:rPr>
          <w:i/>
          <w:iCs/>
        </w:rPr>
        <w:t>(a)</w:t>
      </w:r>
      <w:r>
        <w:t xml:space="preserve">: ‘An application for leave to appeal under subsection (1) may be accompanied by an application to adduce further evidence …’. </w:t>
      </w:r>
      <w:r>
        <w:rPr>
          <w:lang w:val="en-US"/>
        </w:rPr>
        <w:t xml:space="preserve">Constitutional appeals are governed by different considerations altogether. In exceptional circumstances, and in terms of its inherent jurisdiction, the SCA may also order the reopening of a case before a trial court: see N Whitear-Nel ‘Evidence’ (2010) 2 </w:t>
      </w:r>
      <w:r>
        <w:rPr>
          <w:i/>
          <w:iCs/>
          <w:lang w:val="en-US"/>
        </w:rPr>
        <w:t>SACJ</w:t>
      </w:r>
      <w:r>
        <w:rPr>
          <w:lang w:val="en-US"/>
        </w:rPr>
        <w:t xml:space="preserve"> 289.</w:t>
      </w:r>
    </w:p>
  </w:footnote>
  <w:footnote w:id="13">
    <w:p w14:paraId="21DF72C5" w14:textId="77777777" w:rsidR="00AB1F14" w:rsidRPr="006D532A" w:rsidRDefault="00AB1F14" w:rsidP="004D24FB">
      <w:pPr>
        <w:pStyle w:val="FootnoteText"/>
        <w:spacing w:line="240" w:lineRule="auto"/>
        <w:jc w:val="both"/>
        <w:rPr>
          <w:lang w:val="en-US"/>
        </w:rPr>
      </w:pPr>
      <w:r>
        <w:rPr>
          <w:rStyle w:val="FootnoteReference"/>
        </w:rPr>
        <w:footnoteRef/>
      </w:r>
      <w:r>
        <w:t xml:space="preserve"> </w:t>
      </w:r>
      <w:r>
        <w:rPr>
          <w:lang w:val="en-US"/>
        </w:rPr>
        <w:t>Act 58 of 1959.</w:t>
      </w:r>
    </w:p>
  </w:footnote>
  <w:footnote w:id="14">
    <w:p w14:paraId="1442B986" w14:textId="77777777" w:rsidR="00AB1F14" w:rsidRPr="00A132F4" w:rsidRDefault="00AB1F14" w:rsidP="004D24FB">
      <w:pPr>
        <w:pStyle w:val="FootnoteText"/>
        <w:spacing w:line="240" w:lineRule="auto"/>
        <w:jc w:val="both"/>
        <w:rPr>
          <w:lang w:val="en-US"/>
        </w:rPr>
      </w:pPr>
      <w:r>
        <w:rPr>
          <w:rStyle w:val="FootnoteReference"/>
        </w:rPr>
        <w:footnoteRef/>
      </w:r>
      <w:r>
        <w:t xml:space="preserve"> </w:t>
      </w:r>
      <w:r>
        <w:rPr>
          <w:lang w:val="en-US"/>
        </w:rPr>
        <w:t>Act 10 of 2013.</w:t>
      </w:r>
    </w:p>
  </w:footnote>
  <w:footnote w:id="15">
    <w:p w14:paraId="5ED407DE" w14:textId="77777777" w:rsidR="00AB1F14" w:rsidRPr="00665953" w:rsidRDefault="00AB1F14" w:rsidP="004D24FB">
      <w:pPr>
        <w:pStyle w:val="FootnoteText"/>
        <w:spacing w:line="240" w:lineRule="auto"/>
        <w:jc w:val="both"/>
        <w:rPr>
          <w:lang w:val="en-US"/>
        </w:rPr>
      </w:pPr>
      <w:r>
        <w:rPr>
          <w:rStyle w:val="FootnoteReference"/>
        </w:rPr>
        <w:footnoteRef/>
      </w:r>
      <w:r>
        <w:t xml:space="preserve"> </w:t>
      </w:r>
      <w:r>
        <w:rPr>
          <w:lang w:val="en-US"/>
        </w:rPr>
        <w:t xml:space="preserve">Cf </w:t>
      </w:r>
      <w:r>
        <w:rPr>
          <w:i/>
          <w:iCs/>
        </w:rPr>
        <w:t xml:space="preserve">Mulala v S </w:t>
      </w:r>
      <w:r>
        <w:t>[2014] ZASCA 103.</w:t>
      </w:r>
    </w:p>
  </w:footnote>
  <w:footnote w:id="16">
    <w:p w14:paraId="073EC6B7" w14:textId="77777777" w:rsidR="00AB1F14" w:rsidRPr="00813F59" w:rsidRDefault="00AB1F14" w:rsidP="004D24FB">
      <w:pPr>
        <w:pStyle w:val="FootnoteText"/>
        <w:spacing w:line="240" w:lineRule="auto"/>
        <w:jc w:val="both"/>
        <w:rPr>
          <w:lang w:val="en-US"/>
        </w:rPr>
      </w:pPr>
      <w:r>
        <w:rPr>
          <w:rStyle w:val="FootnoteReference"/>
        </w:rPr>
        <w:footnoteRef/>
      </w:r>
      <w:r>
        <w:t xml:space="preserve"> </w:t>
      </w:r>
      <w:r>
        <w:rPr>
          <w:i/>
          <w:iCs/>
          <w:lang w:val="en-US"/>
        </w:rPr>
        <w:t>S v Ndweni and Others</w:t>
      </w:r>
      <w:r>
        <w:rPr>
          <w:lang w:val="en-US"/>
        </w:rPr>
        <w:t xml:space="preserve"> 1999 (2) SACR 225 (SCA) at 230B–D.</w:t>
      </w:r>
    </w:p>
  </w:footnote>
  <w:footnote w:id="17">
    <w:p w14:paraId="668B8FAA" w14:textId="07D03DC2" w:rsidR="00BC6617" w:rsidRPr="00BC6617" w:rsidRDefault="00BC6617" w:rsidP="004D24FB">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Udeobi</w:t>
      </w:r>
      <w:r>
        <w:rPr>
          <w:lang w:val="en-US"/>
        </w:rPr>
        <w:t xml:space="preserve"> (unreported, ECG case no 158/2018, 13 July 2018)</w:t>
      </w:r>
      <w:r w:rsidR="001B5580">
        <w:rPr>
          <w:lang w:val="en-US"/>
        </w:rPr>
        <w:t>.</w:t>
      </w:r>
    </w:p>
  </w:footnote>
  <w:footnote w:id="18">
    <w:p w14:paraId="0079188F" w14:textId="77F6E300" w:rsidR="0099307D" w:rsidRPr="0099307D" w:rsidRDefault="0099307D" w:rsidP="004D24FB">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Green and Another</w:t>
      </w:r>
      <w:r>
        <w:rPr>
          <w:lang w:val="en-US"/>
        </w:rPr>
        <w:t xml:space="preserve"> 2006 (1) SACR 603 (SCA) para 25, the court making no order on appeal</w:t>
      </w:r>
      <w:r w:rsidR="00243190">
        <w:rPr>
          <w:lang w:val="en-US"/>
        </w:rPr>
        <w:t xml:space="preserve"> as to bail</w:t>
      </w:r>
      <w:r>
        <w:rPr>
          <w:lang w:val="en-US"/>
        </w:rPr>
        <w:t>.</w:t>
      </w:r>
    </w:p>
  </w:footnote>
  <w:footnote w:id="19">
    <w:p w14:paraId="3BF40520" w14:textId="1BB90E59" w:rsidR="005945C7" w:rsidRPr="005945C7" w:rsidRDefault="005945C7" w:rsidP="004D24FB">
      <w:pPr>
        <w:pStyle w:val="FootnoteText"/>
        <w:spacing w:line="240" w:lineRule="auto"/>
        <w:jc w:val="both"/>
        <w:rPr>
          <w:lang w:val="en-US"/>
        </w:rPr>
      </w:pPr>
      <w:r>
        <w:rPr>
          <w:rStyle w:val="FootnoteReference"/>
        </w:rPr>
        <w:footnoteRef/>
      </w:r>
      <w:r>
        <w:t xml:space="preserve"> </w:t>
      </w:r>
      <w:r>
        <w:rPr>
          <w:lang w:val="en-US"/>
        </w:rPr>
        <w:t>Ibid.</w:t>
      </w:r>
    </w:p>
  </w:footnote>
  <w:footnote w:id="20">
    <w:p w14:paraId="0E6F63AE" w14:textId="2BF8253F" w:rsidR="004462E3" w:rsidRPr="004462E3" w:rsidRDefault="004462E3" w:rsidP="004D24FB">
      <w:pPr>
        <w:pStyle w:val="FootnoteText"/>
        <w:spacing w:line="240" w:lineRule="auto"/>
        <w:jc w:val="both"/>
        <w:rPr>
          <w:lang w:val="en-US"/>
        </w:rPr>
      </w:pPr>
      <w:r>
        <w:rPr>
          <w:rStyle w:val="FootnoteReference"/>
        </w:rPr>
        <w:footnoteRef/>
      </w:r>
      <w:r>
        <w:t xml:space="preserve"> </w:t>
      </w:r>
      <w:r>
        <w:rPr>
          <w:i/>
          <w:iCs/>
          <w:lang w:val="en-US"/>
        </w:rPr>
        <w:t xml:space="preserve">S v Nwabunwanne </w:t>
      </w:r>
      <w:r>
        <w:rPr>
          <w:lang w:val="en-US"/>
        </w:rPr>
        <w:t>2017 (2) SACR 124 (NCK) para 25</w:t>
      </w:r>
      <w:r w:rsidR="009336D9">
        <w:rPr>
          <w:lang w:val="en-US"/>
        </w:rPr>
        <w:t>.</w:t>
      </w:r>
    </w:p>
  </w:footnote>
  <w:footnote w:id="21">
    <w:p w14:paraId="36265252" w14:textId="43BAD028" w:rsidR="009B0117" w:rsidRPr="00B418DF" w:rsidRDefault="009B0117" w:rsidP="004D24FB">
      <w:pPr>
        <w:pStyle w:val="FootnoteText"/>
        <w:spacing w:line="240" w:lineRule="auto"/>
        <w:jc w:val="both"/>
        <w:rPr>
          <w:lang w:val="en-US"/>
        </w:rPr>
      </w:pPr>
      <w:r>
        <w:rPr>
          <w:rStyle w:val="FootnoteReference"/>
        </w:rPr>
        <w:footnoteRef/>
      </w:r>
      <w:r>
        <w:t xml:space="preserve"> </w:t>
      </w:r>
      <w:r>
        <w:rPr>
          <w:lang w:val="en-US"/>
        </w:rPr>
        <w:t xml:space="preserve">S 65(4) of the Criminal Procedure Act, 1977 </w:t>
      </w:r>
      <w:r w:rsidR="00A46A66">
        <w:rPr>
          <w:lang w:val="en-US"/>
        </w:rPr>
        <w:t xml:space="preserve">(Act 51 of 1977) </w:t>
      </w:r>
      <w:r>
        <w:rPr>
          <w:lang w:val="en-US"/>
        </w:rPr>
        <w:t>(‘the Act’)</w:t>
      </w:r>
      <w:r w:rsidR="00636578">
        <w:rPr>
          <w:lang w:val="en-US"/>
        </w:rPr>
        <w:t>.</w:t>
      </w:r>
      <w:r w:rsidR="00B418DF">
        <w:rPr>
          <w:lang w:val="en-US"/>
        </w:rPr>
        <w:t xml:space="preserve"> Cf </w:t>
      </w:r>
      <w:r w:rsidR="00B418DF">
        <w:rPr>
          <w:i/>
          <w:iCs/>
          <w:lang w:val="en-US"/>
        </w:rPr>
        <w:t>Bechan and Another v SARS Customs Investigations Unit and Others</w:t>
      </w:r>
      <w:r w:rsidR="00B418DF">
        <w:rPr>
          <w:lang w:val="en-US"/>
        </w:rPr>
        <w:t xml:space="preserve"> [2024] ZASCA </w:t>
      </w:r>
      <w:r w:rsidR="00C22356">
        <w:rPr>
          <w:lang w:val="en-US"/>
        </w:rPr>
        <w:t>20 para 22.</w:t>
      </w:r>
    </w:p>
  </w:footnote>
  <w:footnote w:id="22">
    <w:p w14:paraId="6761FFB5" w14:textId="4D3B1A96" w:rsidR="00990104" w:rsidRPr="00990104" w:rsidRDefault="00990104" w:rsidP="004D24FB">
      <w:pPr>
        <w:pStyle w:val="FootnoteText"/>
        <w:spacing w:line="240" w:lineRule="auto"/>
        <w:jc w:val="both"/>
        <w:rPr>
          <w:lang w:val="en-US"/>
        </w:rPr>
      </w:pPr>
      <w:r>
        <w:rPr>
          <w:rStyle w:val="FootnoteReference"/>
        </w:rPr>
        <w:footnoteRef/>
      </w:r>
      <w:r>
        <w:t xml:space="preserve"> </w:t>
      </w:r>
      <w:r>
        <w:rPr>
          <w:i/>
          <w:iCs/>
          <w:lang w:val="en-US"/>
        </w:rPr>
        <w:t>S v Barber</w:t>
      </w:r>
      <w:r>
        <w:rPr>
          <w:lang w:val="en-US"/>
        </w:rPr>
        <w:t xml:space="preserve"> 1979 (4) SA 218 (D)</w:t>
      </w:r>
    </w:p>
  </w:footnote>
  <w:footnote w:id="23">
    <w:p w14:paraId="16348B81" w14:textId="068B2AF5" w:rsidR="00990104" w:rsidRPr="00990104" w:rsidRDefault="00990104" w:rsidP="004D24FB">
      <w:pPr>
        <w:pStyle w:val="FootnoteText"/>
        <w:spacing w:line="240" w:lineRule="auto"/>
        <w:jc w:val="both"/>
        <w:rPr>
          <w:lang w:val="en-US"/>
        </w:rPr>
      </w:pPr>
      <w:r>
        <w:rPr>
          <w:rStyle w:val="FootnoteReference"/>
        </w:rPr>
        <w:footnoteRef/>
      </w:r>
      <w:r>
        <w:t xml:space="preserve"> </w:t>
      </w:r>
      <w:r w:rsidR="000E5C45">
        <w:rPr>
          <w:lang w:val="en-US"/>
        </w:rPr>
        <w:t xml:space="preserve">Ibid </w:t>
      </w:r>
      <w:r>
        <w:rPr>
          <w:lang w:val="en-US"/>
        </w:rPr>
        <w:t>at 220E – G.</w:t>
      </w:r>
    </w:p>
  </w:footnote>
  <w:footnote w:id="24">
    <w:p w14:paraId="66807F76" w14:textId="0F8E6AE4" w:rsidR="00FF3808" w:rsidRPr="00FF3808" w:rsidRDefault="00FF3808" w:rsidP="004D24FB">
      <w:pPr>
        <w:pStyle w:val="FootnoteText"/>
        <w:spacing w:line="240" w:lineRule="auto"/>
        <w:jc w:val="both"/>
        <w:rPr>
          <w:lang w:val="en-US"/>
        </w:rPr>
      </w:pPr>
      <w:r>
        <w:rPr>
          <w:rStyle w:val="FootnoteReference"/>
        </w:rPr>
        <w:footnoteRef/>
      </w:r>
      <w:r>
        <w:t xml:space="preserve"> </w:t>
      </w:r>
      <w:r>
        <w:rPr>
          <w:i/>
          <w:iCs/>
          <w:lang w:val="en-US"/>
        </w:rPr>
        <w:t>Alehi v S</w:t>
      </w:r>
      <w:r>
        <w:rPr>
          <w:lang w:val="en-US"/>
        </w:rPr>
        <w:t xml:space="preserve"> [2021] ZAGPPHC 492; 2022 (1) SACR 271 (GP) para 21.</w:t>
      </w:r>
    </w:p>
  </w:footnote>
  <w:footnote w:id="25">
    <w:p w14:paraId="56F6173B" w14:textId="386354E8" w:rsidR="009122CA" w:rsidRPr="009122CA" w:rsidRDefault="009122CA" w:rsidP="004D24FB">
      <w:pPr>
        <w:pStyle w:val="FootnoteText"/>
        <w:spacing w:line="240" w:lineRule="auto"/>
        <w:jc w:val="both"/>
        <w:rPr>
          <w:lang w:val="en-US"/>
        </w:rPr>
      </w:pPr>
      <w:r>
        <w:rPr>
          <w:rStyle w:val="FootnoteReference"/>
        </w:rPr>
        <w:footnoteRef/>
      </w:r>
      <w:r>
        <w:t xml:space="preserve"> </w:t>
      </w:r>
      <w:r>
        <w:rPr>
          <w:lang w:val="en-US"/>
        </w:rPr>
        <w:t>S 60(6) of the CPA.</w:t>
      </w:r>
    </w:p>
  </w:footnote>
  <w:footnote w:id="26">
    <w:p w14:paraId="0C2A858E" w14:textId="738DC01A" w:rsidR="00FD0011" w:rsidRPr="00FD0011" w:rsidRDefault="00FD0011" w:rsidP="004D24FB">
      <w:pPr>
        <w:pStyle w:val="FootnoteText"/>
        <w:spacing w:line="240" w:lineRule="auto"/>
        <w:jc w:val="both"/>
        <w:rPr>
          <w:lang w:val="en-US"/>
        </w:rPr>
      </w:pPr>
      <w:r>
        <w:rPr>
          <w:rStyle w:val="FootnoteReference"/>
        </w:rPr>
        <w:footnoteRef/>
      </w:r>
      <w:r>
        <w:t xml:space="preserve"> </w:t>
      </w:r>
      <w:r>
        <w:rPr>
          <w:i/>
          <w:iCs/>
          <w:lang w:val="en-US"/>
        </w:rPr>
        <w:t>S v Branco</w:t>
      </w:r>
      <w:r>
        <w:rPr>
          <w:lang w:val="en-US"/>
        </w:rPr>
        <w:t xml:space="preserve"> 2002 (1) SACR 531 (W) at 532H and following.</w:t>
      </w:r>
    </w:p>
  </w:footnote>
  <w:footnote w:id="27">
    <w:p w14:paraId="031607A8" w14:textId="7CC97FCE" w:rsidR="000B6E87" w:rsidRPr="009B450E" w:rsidRDefault="000B6E87" w:rsidP="004D24FB">
      <w:pPr>
        <w:pStyle w:val="FootnoteText"/>
        <w:spacing w:line="240" w:lineRule="auto"/>
        <w:jc w:val="both"/>
        <w:rPr>
          <w:lang w:val="en-US"/>
        </w:rPr>
      </w:pPr>
      <w:r>
        <w:rPr>
          <w:rStyle w:val="FootnoteReference"/>
        </w:rPr>
        <w:footnoteRef/>
      </w:r>
      <w:r>
        <w:t xml:space="preserve"> </w:t>
      </w:r>
      <w:r w:rsidR="009B450E">
        <w:rPr>
          <w:i/>
          <w:iCs/>
          <w:lang w:val="en-US"/>
        </w:rPr>
        <w:t>S v Diale</w:t>
      </w:r>
      <w:r w:rsidR="009B450E">
        <w:rPr>
          <w:lang w:val="en-US"/>
        </w:rPr>
        <w:t xml:space="preserve"> </w:t>
      </w:r>
      <w:r w:rsidR="009B450E">
        <w:rPr>
          <w:i/>
          <w:iCs/>
          <w:lang w:val="en-US"/>
        </w:rPr>
        <w:t>and Another</w:t>
      </w:r>
      <w:r w:rsidR="009B450E">
        <w:rPr>
          <w:lang w:val="en-US"/>
        </w:rPr>
        <w:t xml:space="preserve"> 2013 (2) SACR 85 (GNP) para 14.</w:t>
      </w:r>
    </w:p>
  </w:footnote>
  <w:footnote w:id="28">
    <w:p w14:paraId="64840709" w14:textId="1D454C4D" w:rsidR="00AE49A5" w:rsidRPr="00AE49A5" w:rsidRDefault="00AE49A5" w:rsidP="004D24FB">
      <w:pPr>
        <w:pStyle w:val="FootnoteText"/>
        <w:spacing w:line="240" w:lineRule="auto"/>
        <w:jc w:val="both"/>
        <w:rPr>
          <w:lang w:val="en-US"/>
        </w:rPr>
      </w:pPr>
      <w:r>
        <w:rPr>
          <w:rStyle w:val="FootnoteReference"/>
        </w:rPr>
        <w:footnoteRef/>
      </w:r>
      <w:r>
        <w:t xml:space="preserve"> </w:t>
      </w:r>
      <w:r>
        <w:rPr>
          <w:i/>
          <w:iCs/>
          <w:lang w:val="en-US"/>
        </w:rPr>
        <w:t>S v Zondi</w:t>
      </w:r>
      <w:r>
        <w:rPr>
          <w:lang w:val="en-US"/>
        </w:rPr>
        <w:t xml:space="preserve"> 2020 (2) SACR 436 (GJ) para 14.</w:t>
      </w:r>
    </w:p>
  </w:footnote>
  <w:footnote w:id="29">
    <w:p w14:paraId="3E2EB66F" w14:textId="297618D5" w:rsidR="00F5278F" w:rsidRPr="00F5278F" w:rsidRDefault="00F5278F" w:rsidP="004D24FB">
      <w:pPr>
        <w:pStyle w:val="FootnoteText"/>
        <w:spacing w:line="240" w:lineRule="auto"/>
        <w:jc w:val="both"/>
        <w:rPr>
          <w:lang w:val="en-US"/>
        </w:rPr>
      </w:pPr>
      <w:r>
        <w:rPr>
          <w:rStyle w:val="FootnoteReference"/>
        </w:rPr>
        <w:footnoteRef/>
      </w:r>
      <w:r>
        <w:t xml:space="preserve"> </w:t>
      </w:r>
      <w:r>
        <w:rPr>
          <w:lang w:val="en-US"/>
        </w:rPr>
        <w:t>S 60(9) of the CPA.</w:t>
      </w:r>
    </w:p>
  </w:footnote>
  <w:footnote w:id="30">
    <w:p w14:paraId="47504F74" w14:textId="16FE352B" w:rsidR="009F4390" w:rsidRPr="009F4390" w:rsidRDefault="009F4390" w:rsidP="004D24FB">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Mwaka</w:t>
      </w:r>
      <w:r>
        <w:rPr>
          <w:lang w:val="en-US"/>
        </w:rPr>
        <w:t xml:space="preserve"> 2015 (2) SACR 306 (WCC) para 20.</w:t>
      </w:r>
    </w:p>
  </w:footnote>
  <w:footnote w:id="31">
    <w:p w14:paraId="7CAB6610" w14:textId="2402E06C" w:rsidR="00DE30DB" w:rsidRPr="007636B4" w:rsidRDefault="00DE30DB" w:rsidP="004D24FB">
      <w:pPr>
        <w:pStyle w:val="FootnoteText"/>
        <w:spacing w:line="240" w:lineRule="auto"/>
        <w:jc w:val="both"/>
        <w:rPr>
          <w:lang w:val="en-US"/>
        </w:rPr>
      </w:pPr>
      <w:r>
        <w:rPr>
          <w:rStyle w:val="FootnoteReference"/>
        </w:rPr>
        <w:footnoteRef/>
      </w:r>
      <w:r>
        <w:t xml:space="preserve"> </w:t>
      </w:r>
      <w:r>
        <w:rPr>
          <w:i/>
          <w:iCs/>
          <w:lang w:val="en-US"/>
        </w:rPr>
        <w:t>S v Udeobi</w:t>
      </w:r>
      <w:r>
        <w:rPr>
          <w:lang w:val="en-US"/>
        </w:rPr>
        <w:t xml:space="preserve"> above n 17 para 11</w:t>
      </w:r>
      <w:r w:rsidR="007636B4">
        <w:rPr>
          <w:lang w:val="en-US"/>
        </w:rPr>
        <w:t xml:space="preserve">; </w:t>
      </w:r>
      <w:r w:rsidR="007636B4">
        <w:rPr>
          <w:i/>
          <w:iCs/>
          <w:lang w:val="en-US"/>
        </w:rPr>
        <w:t>S v Malumo &amp; 111 Others</w:t>
      </w:r>
      <w:r w:rsidR="007636B4">
        <w:rPr>
          <w:lang w:val="en-US"/>
        </w:rPr>
        <w:t xml:space="preserve"> </w:t>
      </w:r>
      <w:r w:rsidR="007636B4">
        <w:rPr>
          <w:i/>
          <w:iCs/>
          <w:lang w:val="en-US"/>
        </w:rPr>
        <w:t>(2)</w:t>
      </w:r>
      <w:r w:rsidR="007636B4">
        <w:rPr>
          <w:lang w:val="en-US"/>
        </w:rPr>
        <w:t xml:space="preserve"> 2012 (1) NR 244 (HC</w:t>
      </w:r>
      <w:r w:rsidR="00E92E30">
        <w:rPr>
          <w:lang w:val="en-US"/>
        </w:rPr>
        <w:t>)</w:t>
      </w:r>
      <w:r w:rsidR="007636B4">
        <w:rPr>
          <w:lang w:val="en-US"/>
        </w:rPr>
        <w:t xml:space="preserve"> para 30.</w:t>
      </w:r>
    </w:p>
  </w:footnote>
  <w:footnote w:id="32">
    <w:p w14:paraId="7A375CF1" w14:textId="2B15D60E" w:rsidR="005A3662" w:rsidRPr="005A3662" w:rsidRDefault="005A3662" w:rsidP="004D24FB">
      <w:pPr>
        <w:pStyle w:val="FootnoteText"/>
        <w:spacing w:line="240" w:lineRule="auto"/>
        <w:jc w:val="both"/>
        <w:rPr>
          <w:lang w:val="en-US"/>
        </w:rPr>
      </w:pPr>
      <w:r>
        <w:rPr>
          <w:rStyle w:val="FootnoteReference"/>
        </w:rPr>
        <w:footnoteRef/>
      </w:r>
      <w:r>
        <w:t xml:space="preserve"> </w:t>
      </w:r>
      <w:r>
        <w:rPr>
          <w:i/>
          <w:iCs/>
          <w:lang w:val="en-US"/>
        </w:rPr>
        <w:t>S v Porthen &amp; Others</w:t>
      </w:r>
      <w:r>
        <w:rPr>
          <w:lang w:val="en-US"/>
        </w:rPr>
        <w:t xml:space="preserve"> 2004 (2) SACR 242 (C) paras 17,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74354AD9"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4963">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2"/>
  </w:num>
  <w:num w:numId="6">
    <w:abstractNumId w:val="6"/>
  </w:num>
  <w:num w:numId="7">
    <w:abstractNumId w:val="14"/>
  </w:num>
  <w:num w:numId="8">
    <w:abstractNumId w:val="1"/>
  </w:num>
  <w:num w:numId="9">
    <w:abstractNumId w:val="5"/>
  </w:num>
  <w:num w:numId="10">
    <w:abstractNumId w:val="8"/>
  </w:num>
  <w:num w:numId="11">
    <w:abstractNumId w:val="13"/>
  </w:num>
  <w:num w:numId="12">
    <w:abstractNumId w:val="7"/>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5C9"/>
    <w:rsid w:val="00003C0F"/>
    <w:rsid w:val="000043A8"/>
    <w:rsid w:val="00004E1E"/>
    <w:rsid w:val="00005691"/>
    <w:rsid w:val="00005ABB"/>
    <w:rsid w:val="00005BC2"/>
    <w:rsid w:val="0000642E"/>
    <w:rsid w:val="00006A5F"/>
    <w:rsid w:val="00006D19"/>
    <w:rsid w:val="00006EF3"/>
    <w:rsid w:val="00007087"/>
    <w:rsid w:val="00007904"/>
    <w:rsid w:val="00007F45"/>
    <w:rsid w:val="000109B4"/>
    <w:rsid w:val="00011A92"/>
    <w:rsid w:val="00012A2F"/>
    <w:rsid w:val="00013C4F"/>
    <w:rsid w:val="00014437"/>
    <w:rsid w:val="00014770"/>
    <w:rsid w:val="00015A65"/>
    <w:rsid w:val="000161E8"/>
    <w:rsid w:val="00016FDA"/>
    <w:rsid w:val="000172B5"/>
    <w:rsid w:val="00017764"/>
    <w:rsid w:val="000220C3"/>
    <w:rsid w:val="00022804"/>
    <w:rsid w:val="0002365D"/>
    <w:rsid w:val="000243CC"/>
    <w:rsid w:val="00027DA3"/>
    <w:rsid w:val="00030A25"/>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2415"/>
    <w:rsid w:val="000536DD"/>
    <w:rsid w:val="00053D81"/>
    <w:rsid w:val="00054DEC"/>
    <w:rsid w:val="00055C33"/>
    <w:rsid w:val="00056042"/>
    <w:rsid w:val="00056FBA"/>
    <w:rsid w:val="000574BF"/>
    <w:rsid w:val="00063188"/>
    <w:rsid w:val="00063C6E"/>
    <w:rsid w:val="00063D5A"/>
    <w:rsid w:val="0006762A"/>
    <w:rsid w:val="0007050F"/>
    <w:rsid w:val="0007234C"/>
    <w:rsid w:val="000723E8"/>
    <w:rsid w:val="0007399B"/>
    <w:rsid w:val="00073EFC"/>
    <w:rsid w:val="00075260"/>
    <w:rsid w:val="00076CDD"/>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BA1"/>
    <w:rsid w:val="00091F8C"/>
    <w:rsid w:val="00093584"/>
    <w:rsid w:val="0009497C"/>
    <w:rsid w:val="00096BC1"/>
    <w:rsid w:val="000976CA"/>
    <w:rsid w:val="000A39A5"/>
    <w:rsid w:val="000A59DC"/>
    <w:rsid w:val="000B0946"/>
    <w:rsid w:val="000B0DC8"/>
    <w:rsid w:val="000B26AE"/>
    <w:rsid w:val="000B26CF"/>
    <w:rsid w:val="000B3C1F"/>
    <w:rsid w:val="000B5790"/>
    <w:rsid w:val="000B5FBC"/>
    <w:rsid w:val="000B6309"/>
    <w:rsid w:val="000B643B"/>
    <w:rsid w:val="000B690B"/>
    <w:rsid w:val="000B6E87"/>
    <w:rsid w:val="000B78EC"/>
    <w:rsid w:val="000C0413"/>
    <w:rsid w:val="000C2D21"/>
    <w:rsid w:val="000C3531"/>
    <w:rsid w:val="000C3620"/>
    <w:rsid w:val="000C39A5"/>
    <w:rsid w:val="000C3A6D"/>
    <w:rsid w:val="000C450C"/>
    <w:rsid w:val="000C599B"/>
    <w:rsid w:val="000C67E0"/>
    <w:rsid w:val="000C6FB4"/>
    <w:rsid w:val="000C7746"/>
    <w:rsid w:val="000C7A27"/>
    <w:rsid w:val="000C7EA4"/>
    <w:rsid w:val="000D085B"/>
    <w:rsid w:val="000D0D78"/>
    <w:rsid w:val="000D17EF"/>
    <w:rsid w:val="000D1A48"/>
    <w:rsid w:val="000D22FB"/>
    <w:rsid w:val="000D487F"/>
    <w:rsid w:val="000D4BFA"/>
    <w:rsid w:val="000D4C7F"/>
    <w:rsid w:val="000D667A"/>
    <w:rsid w:val="000E1C45"/>
    <w:rsid w:val="000E2444"/>
    <w:rsid w:val="000E3A93"/>
    <w:rsid w:val="000E3E15"/>
    <w:rsid w:val="000E4F0D"/>
    <w:rsid w:val="000E5100"/>
    <w:rsid w:val="000E5C45"/>
    <w:rsid w:val="000E7A66"/>
    <w:rsid w:val="000E7ECD"/>
    <w:rsid w:val="000F05E0"/>
    <w:rsid w:val="000F16BA"/>
    <w:rsid w:val="000F1A95"/>
    <w:rsid w:val="000F3C2C"/>
    <w:rsid w:val="000F493A"/>
    <w:rsid w:val="000F6BFE"/>
    <w:rsid w:val="000F7DF4"/>
    <w:rsid w:val="0010068E"/>
    <w:rsid w:val="00100F9A"/>
    <w:rsid w:val="0010218C"/>
    <w:rsid w:val="00102D5B"/>
    <w:rsid w:val="001044DB"/>
    <w:rsid w:val="00105EB6"/>
    <w:rsid w:val="0010622C"/>
    <w:rsid w:val="00106BAF"/>
    <w:rsid w:val="001078B5"/>
    <w:rsid w:val="00107A5F"/>
    <w:rsid w:val="001101A3"/>
    <w:rsid w:val="0011026A"/>
    <w:rsid w:val="00110EF0"/>
    <w:rsid w:val="001124A5"/>
    <w:rsid w:val="001148E0"/>
    <w:rsid w:val="00116CE0"/>
    <w:rsid w:val="00116EB9"/>
    <w:rsid w:val="00120E93"/>
    <w:rsid w:val="001226DE"/>
    <w:rsid w:val="00123296"/>
    <w:rsid w:val="0012621C"/>
    <w:rsid w:val="00130228"/>
    <w:rsid w:val="00131984"/>
    <w:rsid w:val="00131A28"/>
    <w:rsid w:val="001337CC"/>
    <w:rsid w:val="00134276"/>
    <w:rsid w:val="00134C11"/>
    <w:rsid w:val="00134DA6"/>
    <w:rsid w:val="00135C81"/>
    <w:rsid w:val="00136936"/>
    <w:rsid w:val="00137E08"/>
    <w:rsid w:val="00142F79"/>
    <w:rsid w:val="001435EB"/>
    <w:rsid w:val="00143D37"/>
    <w:rsid w:val="00144974"/>
    <w:rsid w:val="00145A37"/>
    <w:rsid w:val="00146BA3"/>
    <w:rsid w:val="00147D8E"/>
    <w:rsid w:val="00150C43"/>
    <w:rsid w:val="001517E0"/>
    <w:rsid w:val="001527A3"/>
    <w:rsid w:val="00153496"/>
    <w:rsid w:val="0015462F"/>
    <w:rsid w:val="00157785"/>
    <w:rsid w:val="00157898"/>
    <w:rsid w:val="00157C19"/>
    <w:rsid w:val="00160EBC"/>
    <w:rsid w:val="00160F58"/>
    <w:rsid w:val="00162F7D"/>
    <w:rsid w:val="001630D9"/>
    <w:rsid w:val="00163A58"/>
    <w:rsid w:val="0016477F"/>
    <w:rsid w:val="00164B7B"/>
    <w:rsid w:val="00164FAD"/>
    <w:rsid w:val="00165550"/>
    <w:rsid w:val="001658F1"/>
    <w:rsid w:val="00172B5C"/>
    <w:rsid w:val="00173547"/>
    <w:rsid w:val="00174084"/>
    <w:rsid w:val="00174B6D"/>
    <w:rsid w:val="0017614D"/>
    <w:rsid w:val="0018006A"/>
    <w:rsid w:val="00180F4E"/>
    <w:rsid w:val="00181923"/>
    <w:rsid w:val="00181B01"/>
    <w:rsid w:val="00181E7E"/>
    <w:rsid w:val="00182175"/>
    <w:rsid w:val="00184625"/>
    <w:rsid w:val="00186769"/>
    <w:rsid w:val="001870AF"/>
    <w:rsid w:val="00191768"/>
    <w:rsid w:val="00192869"/>
    <w:rsid w:val="00193A9E"/>
    <w:rsid w:val="001943D2"/>
    <w:rsid w:val="001954F0"/>
    <w:rsid w:val="00195571"/>
    <w:rsid w:val="001955AB"/>
    <w:rsid w:val="00196536"/>
    <w:rsid w:val="00196742"/>
    <w:rsid w:val="001A4BE7"/>
    <w:rsid w:val="001A4F33"/>
    <w:rsid w:val="001B0D01"/>
    <w:rsid w:val="001B2578"/>
    <w:rsid w:val="001B2FE4"/>
    <w:rsid w:val="001B505F"/>
    <w:rsid w:val="001B5580"/>
    <w:rsid w:val="001B69E3"/>
    <w:rsid w:val="001B7729"/>
    <w:rsid w:val="001C04BC"/>
    <w:rsid w:val="001C1478"/>
    <w:rsid w:val="001C1C4C"/>
    <w:rsid w:val="001C232A"/>
    <w:rsid w:val="001C24AF"/>
    <w:rsid w:val="001C2DD7"/>
    <w:rsid w:val="001C48A5"/>
    <w:rsid w:val="001C7061"/>
    <w:rsid w:val="001D0962"/>
    <w:rsid w:val="001D214B"/>
    <w:rsid w:val="001D4C5E"/>
    <w:rsid w:val="001D57CD"/>
    <w:rsid w:val="001D5A9D"/>
    <w:rsid w:val="001D5F83"/>
    <w:rsid w:val="001D61C8"/>
    <w:rsid w:val="001D65C0"/>
    <w:rsid w:val="001E000C"/>
    <w:rsid w:val="001E0F36"/>
    <w:rsid w:val="001E1834"/>
    <w:rsid w:val="001E1B07"/>
    <w:rsid w:val="001E1E07"/>
    <w:rsid w:val="001E24E0"/>
    <w:rsid w:val="001E25EB"/>
    <w:rsid w:val="001E4824"/>
    <w:rsid w:val="001E640A"/>
    <w:rsid w:val="001E6A6E"/>
    <w:rsid w:val="001E701F"/>
    <w:rsid w:val="001E7844"/>
    <w:rsid w:val="001E78D5"/>
    <w:rsid w:val="001E7C8F"/>
    <w:rsid w:val="001F07A3"/>
    <w:rsid w:val="001F2276"/>
    <w:rsid w:val="001F2E8A"/>
    <w:rsid w:val="001F335C"/>
    <w:rsid w:val="001F3A41"/>
    <w:rsid w:val="001F59AB"/>
    <w:rsid w:val="001F7EF5"/>
    <w:rsid w:val="00201DC6"/>
    <w:rsid w:val="00201F12"/>
    <w:rsid w:val="002047D8"/>
    <w:rsid w:val="00206D6C"/>
    <w:rsid w:val="00207573"/>
    <w:rsid w:val="002105DD"/>
    <w:rsid w:val="002115FE"/>
    <w:rsid w:val="00211708"/>
    <w:rsid w:val="00213565"/>
    <w:rsid w:val="0021430F"/>
    <w:rsid w:val="002154D2"/>
    <w:rsid w:val="00215EBC"/>
    <w:rsid w:val="0021730A"/>
    <w:rsid w:val="00217399"/>
    <w:rsid w:val="002203EC"/>
    <w:rsid w:val="00220833"/>
    <w:rsid w:val="00222854"/>
    <w:rsid w:val="00222D2B"/>
    <w:rsid w:val="00224363"/>
    <w:rsid w:val="0022594E"/>
    <w:rsid w:val="00226444"/>
    <w:rsid w:val="00226ADA"/>
    <w:rsid w:val="00227379"/>
    <w:rsid w:val="0022739D"/>
    <w:rsid w:val="00227580"/>
    <w:rsid w:val="00230B10"/>
    <w:rsid w:val="00231325"/>
    <w:rsid w:val="002313CB"/>
    <w:rsid w:val="002327AF"/>
    <w:rsid w:val="0023410F"/>
    <w:rsid w:val="00234A6A"/>
    <w:rsid w:val="0023677B"/>
    <w:rsid w:val="00236B9D"/>
    <w:rsid w:val="00237273"/>
    <w:rsid w:val="0023768E"/>
    <w:rsid w:val="002402F6"/>
    <w:rsid w:val="002421BD"/>
    <w:rsid w:val="00243190"/>
    <w:rsid w:val="002435AF"/>
    <w:rsid w:val="00244817"/>
    <w:rsid w:val="00245504"/>
    <w:rsid w:val="00245BEB"/>
    <w:rsid w:val="00246150"/>
    <w:rsid w:val="00247551"/>
    <w:rsid w:val="00250530"/>
    <w:rsid w:val="0025056A"/>
    <w:rsid w:val="00251ACD"/>
    <w:rsid w:val="0025292B"/>
    <w:rsid w:val="00252FC1"/>
    <w:rsid w:val="00253273"/>
    <w:rsid w:val="00256208"/>
    <w:rsid w:val="00256FCC"/>
    <w:rsid w:val="00257A15"/>
    <w:rsid w:val="0026037B"/>
    <w:rsid w:val="002606D8"/>
    <w:rsid w:val="00260A94"/>
    <w:rsid w:val="00260B67"/>
    <w:rsid w:val="002611FE"/>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410"/>
    <w:rsid w:val="00276100"/>
    <w:rsid w:val="0027679A"/>
    <w:rsid w:val="00277067"/>
    <w:rsid w:val="00277EB6"/>
    <w:rsid w:val="0028182D"/>
    <w:rsid w:val="00282937"/>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6902"/>
    <w:rsid w:val="002C7128"/>
    <w:rsid w:val="002D20C4"/>
    <w:rsid w:val="002D2D96"/>
    <w:rsid w:val="002D3D13"/>
    <w:rsid w:val="002D4422"/>
    <w:rsid w:val="002D4CBC"/>
    <w:rsid w:val="002D683E"/>
    <w:rsid w:val="002D6D70"/>
    <w:rsid w:val="002D6EB1"/>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1A7"/>
    <w:rsid w:val="002F0513"/>
    <w:rsid w:val="002F0990"/>
    <w:rsid w:val="002F0C58"/>
    <w:rsid w:val="002F13D1"/>
    <w:rsid w:val="002F37F8"/>
    <w:rsid w:val="002F4EDB"/>
    <w:rsid w:val="002F60D3"/>
    <w:rsid w:val="002F6608"/>
    <w:rsid w:val="002F7333"/>
    <w:rsid w:val="002F7574"/>
    <w:rsid w:val="003007A7"/>
    <w:rsid w:val="00300A59"/>
    <w:rsid w:val="00300E3D"/>
    <w:rsid w:val="0030214A"/>
    <w:rsid w:val="00302E78"/>
    <w:rsid w:val="003035F7"/>
    <w:rsid w:val="00306288"/>
    <w:rsid w:val="0031225F"/>
    <w:rsid w:val="0031286E"/>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6B0D"/>
    <w:rsid w:val="0032785C"/>
    <w:rsid w:val="00327A22"/>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DFE"/>
    <w:rsid w:val="0034095C"/>
    <w:rsid w:val="00341497"/>
    <w:rsid w:val="0034206E"/>
    <w:rsid w:val="00343E5D"/>
    <w:rsid w:val="00343E84"/>
    <w:rsid w:val="0034439B"/>
    <w:rsid w:val="003455A7"/>
    <w:rsid w:val="0034638D"/>
    <w:rsid w:val="003469BB"/>
    <w:rsid w:val="00350743"/>
    <w:rsid w:val="00350A47"/>
    <w:rsid w:val="003513CA"/>
    <w:rsid w:val="00351FAC"/>
    <w:rsid w:val="00352146"/>
    <w:rsid w:val="0035256B"/>
    <w:rsid w:val="003529AF"/>
    <w:rsid w:val="00353652"/>
    <w:rsid w:val="0035432E"/>
    <w:rsid w:val="003564CA"/>
    <w:rsid w:val="0035756C"/>
    <w:rsid w:val="00357719"/>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527F"/>
    <w:rsid w:val="00395A71"/>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763"/>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3553"/>
    <w:rsid w:val="003D5245"/>
    <w:rsid w:val="003D5507"/>
    <w:rsid w:val="003D5A10"/>
    <w:rsid w:val="003D5E6D"/>
    <w:rsid w:val="003D70D5"/>
    <w:rsid w:val="003D7CB9"/>
    <w:rsid w:val="003E0F7C"/>
    <w:rsid w:val="003E1A50"/>
    <w:rsid w:val="003E2B73"/>
    <w:rsid w:val="003E2F03"/>
    <w:rsid w:val="003E34B3"/>
    <w:rsid w:val="003E3BBF"/>
    <w:rsid w:val="003E424A"/>
    <w:rsid w:val="003E4702"/>
    <w:rsid w:val="003E7210"/>
    <w:rsid w:val="003E75F3"/>
    <w:rsid w:val="003F0D9E"/>
    <w:rsid w:val="003F12A3"/>
    <w:rsid w:val="003F1974"/>
    <w:rsid w:val="003F2109"/>
    <w:rsid w:val="003F2790"/>
    <w:rsid w:val="003F3C4F"/>
    <w:rsid w:val="003F41EF"/>
    <w:rsid w:val="003F50FF"/>
    <w:rsid w:val="003F5900"/>
    <w:rsid w:val="003F6355"/>
    <w:rsid w:val="003F676D"/>
    <w:rsid w:val="00400266"/>
    <w:rsid w:val="00401A9A"/>
    <w:rsid w:val="00402EEA"/>
    <w:rsid w:val="00404201"/>
    <w:rsid w:val="00405CEF"/>
    <w:rsid w:val="00406282"/>
    <w:rsid w:val="00406337"/>
    <w:rsid w:val="00406A00"/>
    <w:rsid w:val="004074B3"/>
    <w:rsid w:val="004075EA"/>
    <w:rsid w:val="00407DEE"/>
    <w:rsid w:val="00407F75"/>
    <w:rsid w:val="00410C82"/>
    <w:rsid w:val="00410CC2"/>
    <w:rsid w:val="0041108E"/>
    <w:rsid w:val="00412658"/>
    <w:rsid w:val="00412747"/>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230A"/>
    <w:rsid w:val="00434323"/>
    <w:rsid w:val="0043511C"/>
    <w:rsid w:val="00435538"/>
    <w:rsid w:val="00437E88"/>
    <w:rsid w:val="00440672"/>
    <w:rsid w:val="00440EDE"/>
    <w:rsid w:val="00441E70"/>
    <w:rsid w:val="00443779"/>
    <w:rsid w:val="00443CCC"/>
    <w:rsid w:val="004441E4"/>
    <w:rsid w:val="0044428E"/>
    <w:rsid w:val="004448E8"/>
    <w:rsid w:val="004462E3"/>
    <w:rsid w:val="004474FB"/>
    <w:rsid w:val="00447553"/>
    <w:rsid w:val="00452172"/>
    <w:rsid w:val="004528CC"/>
    <w:rsid w:val="004529C3"/>
    <w:rsid w:val="00453339"/>
    <w:rsid w:val="00453C97"/>
    <w:rsid w:val="00454149"/>
    <w:rsid w:val="0045608B"/>
    <w:rsid w:val="00461504"/>
    <w:rsid w:val="00461701"/>
    <w:rsid w:val="004652FD"/>
    <w:rsid w:val="004657F4"/>
    <w:rsid w:val="00466778"/>
    <w:rsid w:val="00466979"/>
    <w:rsid w:val="00466D17"/>
    <w:rsid w:val="00467E20"/>
    <w:rsid w:val="00472A4C"/>
    <w:rsid w:val="00472B05"/>
    <w:rsid w:val="00472E85"/>
    <w:rsid w:val="00473068"/>
    <w:rsid w:val="004735D5"/>
    <w:rsid w:val="004741DE"/>
    <w:rsid w:val="0047556B"/>
    <w:rsid w:val="00475C2D"/>
    <w:rsid w:val="00477226"/>
    <w:rsid w:val="0048090C"/>
    <w:rsid w:val="004813E8"/>
    <w:rsid w:val="004827F3"/>
    <w:rsid w:val="004829F2"/>
    <w:rsid w:val="004834F0"/>
    <w:rsid w:val="00484917"/>
    <w:rsid w:val="00486114"/>
    <w:rsid w:val="004863E4"/>
    <w:rsid w:val="00486EF9"/>
    <w:rsid w:val="00487264"/>
    <w:rsid w:val="0048769C"/>
    <w:rsid w:val="00490D2A"/>
    <w:rsid w:val="0049105D"/>
    <w:rsid w:val="004918C4"/>
    <w:rsid w:val="004932A2"/>
    <w:rsid w:val="0049493D"/>
    <w:rsid w:val="00496E8C"/>
    <w:rsid w:val="00496EAA"/>
    <w:rsid w:val="004A00B9"/>
    <w:rsid w:val="004A02BC"/>
    <w:rsid w:val="004A08D7"/>
    <w:rsid w:val="004A0E54"/>
    <w:rsid w:val="004A5151"/>
    <w:rsid w:val="004A5DB1"/>
    <w:rsid w:val="004A6745"/>
    <w:rsid w:val="004A687F"/>
    <w:rsid w:val="004A7359"/>
    <w:rsid w:val="004B124D"/>
    <w:rsid w:val="004B3161"/>
    <w:rsid w:val="004B5BAF"/>
    <w:rsid w:val="004B5CB4"/>
    <w:rsid w:val="004B632A"/>
    <w:rsid w:val="004B7E82"/>
    <w:rsid w:val="004C0131"/>
    <w:rsid w:val="004C06AD"/>
    <w:rsid w:val="004C0946"/>
    <w:rsid w:val="004C0C08"/>
    <w:rsid w:val="004C13CF"/>
    <w:rsid w:val="004C7C7E"/>
    <w:rsid w:val="004C7EB2"/>
    <w:rsid w:val="004D0163"/>
    <w:rsid w:val="004D0AC5"/>
    <w:rsid w:val="004D19EB"/>
    <w:rsid w:val="004D1AAF"/>
    <w:rsid w:val="004D24FB"/>
    <w:rsid w:val="004D3210"/>
    <w:rsid w:val="004D35C6"/>
    <w:rsid w:val="004E06B4"/>
    <w:rsid w:val="004E189A"/>
    <w:rsid w:val="004E1A28"/>
    <w:rsid w:val="004E2076"/>
    <w:rsid w:val="004E2F8E"/>
    <w:rsid w:val="004E318F"/>
    <w:rsid w:val="004E53E8"/>
    <w:rsid w:val="004E5A0A"/>
    <w:rsid w:val="004E6694"/>
    <w:rsid w:val="004E6764"/>
    <w:rsid w:val="004E76BC"/>
    <w:rsid w:val="004E791F"/>
    <w:rsid w:val="004F021C"/>
    <w:rsid w:val="004F1757"/>
    <w:rsid w:val="004F1D20"/>
    <w:rsid w:val="004F326C"/>
    <w:rsid w:val="004F38A6"/>
    <w:rsid w:val="004F3F3E"/>
    <w:rsid w:val="004F444A"/>
    <w:rsid w:val="004F5575"/>
    <w:rsid w:val="004F5873"/>
    <w:rsid w:val="004F79D9"/>
    <w:rsid w:val="00500FC1"/>
    <w:rsid w:val="005014BC"/>
    <w:rsid w:val="00501617"/>
    <w:rsid w:val="00502229"/>
    <w:rsid w:val="005030DE"/>
    <w:rsid w:val="00504BCF"/>
    <w:rsid w:val="005056C1"/>
    <w:rsid w:val="0050634D"/>
    <w:rsid w:val="005078B2"/>
    <w:rsid w:val="005079C1"/>
    <w:rsid w:val="00507BBF"/>
    <w:rsid w:val="00511260"/>
    <w:rsid w:val="0051128D"/>
    <w:rsid w:val="00511565"/>
    <w:rsid w:val="0051172C"/>
    <w:rsid w:val="00511D5A"/>
    <w:rsid w:val="0051380C"/>
    <w:rsid w:val="00514878"/>
    <w:rsid w:val="0051706E"/>
    <w:rsid w:val="00517CF3"/>
    <w:rsid w:val="00520E7F"/>
    <w:rsid w:val="00521389"/>
    <w:rsid w:val="00521631"/>
    <w:rsid w:val="00523DBC"/>
    <w:rsid w:val="005244E9"/>
    <w:rsid w:val="00525DF3"/>
    <w:rsid w:val="00530003"/>
    <w:rsid w:val="00530464"/>
    <w:rsid w:val="00530509"/>
    <w:rsid w:val="00532080"/>
    <w:rsid w:val="00532409"/>
    <w:rsid w:val="005406DC"/>
    <w:rsid w:val="00544A2A"/>
    <w:rsid w:val="00545009"/>
    <w:rsid w:val="00545140"/>
    <w:rsid w:val="00545668"/>
    <w:rsid w:val="0055098F"/>
    <w:rsid w:val="005517B9"/>
    <w:rsid w:val="0055282D"/>
    <w:rsid w:val="00553E7D"/>
    <w:rsid w:val="005542BD"/>
    <w:rsid w:val="00556489"/>
    <w:rsid w:val="00556EDA"/>
    <w:rsid w:val="00556FC7"/>
    <w:rsid w:val="00557127"/>
    <w:rsid w:val="005573D6"/>
    <w:rsid w:val="0056029F"/>
    <w:rsid w:val="00560779"/>
    <w:rsid w:val="005611FC"/>
    <w:rsid w:val="00563CE1"/>
    <w:rsid w:val="0056509F"/>
    <w:rsid w:val="00565326"/>
    <w:rsid w:val="005703D6"/>
    <w:rsid w:val="00570A0D"/>
    <w:rsid w:val="005741BF"/>
    <w:rsid w:val="005754FC"/>
    <w:rsid w:val="00575F9C"/>
    <w:rsid w:val="00576979"/>
    <w:rsid w:val="00576D9C"/>
    <w:rsid w:val="00577D50"/>
    <w:rsid w:val="00580276"/>
    <w:rsid w:val="00580A63"/>
    <w:rsid w:val="00580D85"/>
    <w:rsid w:val="005813AC"/>
    <w:rsid w:val="00581773"/>
    <w:rsid w:val="00582985"/>
    <w:rsid w:val="0058354A"/>
    <w:rsid w:val="0058491A"/>
    <w:rsid w:val="00584BA7"/>
    <w:rsid w:val="0058542B"/>
    <w:rsid w:val="00586CFB"/>
    <w:rsid w:val="00587D29"/>
    <w:rsid w:val="00591072"/>
    <w:rsid w:val="005926BC"/>
    <w:rsid w:val="005934B8"/>
    <w:rsid w:val="005945C7"/>
    <w:rsid w:val="00594C9D"/>
    <w:rsid w:val="00595C65"/>
    <w:rsid w:val="00595C78"/>
    <w:rsid w:val="005964E5"/>
    <w:rsid w:val="00596992"/>
    <w:rsid w:val="005969E2"/>
    <w:rsid w:val="00597705"/>
    <w:rsid w:val="005A2449"/>
    <w:rsid w:val="005A2C73"/>
    <w:rsid w:val="005A3662"/>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AF"/>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E72EE"/>
    <w:rsid w:val="005F03D5"/>
    <w:rsid w:val="005F04A5"/>
    <w:rsid w:val="005F158C"/>
    <w:rsid w:val="005F236B"/>
    <w:rsid w:val="005F5147"/>
    <w:rsid w:val="005F5D90"/>
    <w:rsid w:val="005F6D85"/>
    <w:rsid w:val="005F77BC"/>
    <w:rsid w:val="00600269"/>
    <w:rsid w:val="006003DC"/>
    <w:rsid w:val="0060045E"/>
    <w:rsid w:val="0060138F"/>
    <w:rsid w:val="006034FB"/>
    <w:rsid w:val="0060391E"/>
    <w:rsid w:val="0060443D"/>
    <w:rsid w:val="0060486E"/>
    <w:rsid w:val="00605263"/>
    <w:rsid w:val="006062FB"/>
    <w:rsid w:val="00606472"/>
    <w:rsid w:val="00606867"/>
    <w:rsid w:val="00607087"/>
    <w:rsid w:val="00607419"/>
    <w:rsid w:val="006101AF"/>
    <w:rsid w:val="00611E95"/>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142F"/>
    <w:rsid w:val="00632122"/>
    <w:rsid w:val="006321E9"/>
    <w:rsid w:val="006332F2"/>
    <w:rsid w:val="006344B8"/>
    <w:rsid w:val="00634AA2"/>
    <w:rsid w:val="00634B17"/>
    <w:rsid w:val="00635F99"/>
    <w:rsid w:val="00636578"/>
    <w:rsid w:val="00637A17"/>
    <w:rsid w:val="00641035"/>
    <w:rsid w:val="00641661"/>
    <w:rsid w:val="00641A2E"/>
    <w:rsid w:val="00642D2B"/>
    <w:rsid w:val="00643106"/>
    <w:rsid w:val="00644B6F"/>
    <w:rsid w:val="00644FB0"/>
    <w:rsid w:val="006476E6"/>
    <w:rsid w:val="00650EE2"/>
    <w:rsid w:val="006511A4"/>
    <w:rsid w:val="006513E2"/>
    <w:rsid w:val="00651916"/>
    <w:rsid w:val="00651DE7"/>
    <w:rsid w:val="006531C9"/>
    <w:rsid w:val="006535E1"/>
    <w:rsid w:val="00654A1D"/>
    <w:rsid w:val="00654EFA"/>
    <w:rsid w:val="0065507F"/>
    <w:rsid w:val="00655268"/>
    <w:rsid w:val="00655BF4"/>
    <w:rsid w:val="0066025E"/>
    <w:rsid w:val="00661D64"/>
    <w:rsid w:val="00662682"/>
    <w:rsid w:val="006639A0"/>
    <w:rsid w:val="00663D7F"/>
    <w:rsid w:val="00664CD0"/>
    <w:rsid w:val="00665953"/>
    <w:rsid w:val="00665D94"/>
    <w:rsid w:val="006668FE"/>
    <w:rsid w:val="00667591"/>
    <w:rsid w:val="0066769F"/>
    <w:rsid w:val="006678AE"/>
    <w:rsid w:val="00667B97"/>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06"/>
    <w:rsid w:val="006B2A93"/>
    <w:rsid w:val="006B42B2"/>
    <w:rsid w:val="006B5AF1"/>
    <w:rsid w:val="006B6180"/>
    <w:rsid w:val="006B692B"/>
    <w:rsid w:val="006C1045"/>
    <w:rsid w:val="006C1733"/>
    <w:rsid w:val="006C177A"/>
    <w:rsid w:val="006C1B13"/>
    <w:rsid w:val="006C32C4"/>
    <w:rsid w:val="006C7927"/>
    <w:rsid w:val="006D067F"/>
    <w:rsid w:val="006D07FB"/>
    <w:rsid w:val="006D09BC"/>
    <w:rsid w:val="006D532A"/>
    <w:rsid w:val="006D5A67"/>
    <w:rsid w:val="006D762E"/>
    <w:rsid w:val="006D7DFD"/>
    <w:rsid w:val="006E0983"/>
    <w:rsid w:val="006E16D1"/>
    <w:rsid w:val="006E206B"/>
    <w:rsid w:val="006E2B6D"/>
    <w:rsid w:val="006E3C88"/>
    <w:rsid w:val="006E4C1C"/>
    <w:rsid w:val="006E5C79"/>
    <w:rsid w:val="006F027C"/>
    <w:rsid w:val="006F09D8"/>
    <w:rsid w:val="006F1624"/>
    <w:rsid w:val="006F2361"/>
    <w:rsid w:val="006F3052"/>
    <w:rsid w:val="006F31BD"/>
    <w:rsid w:val="006F3259"/>
    <w:rsid w:val="006F3C00"/>
    <w:rsid w:val="006F3D5A"/>
    <w:rsid w:val="006F3F69"/>
    <w:rsid w:val="006F42AC"/>
    <w:rsid w:val="006F5D4A"/>
    <w:rsid w:val="006F78DB"/>
    <w:rsid w:val="00702C42"/>
    <w:rsid w:val="00704A2E"/>
    <w:rsid w:val="007057AB"/>
    <w:rsid w:val="00705F57"/>
    <w:rsid w:val="00707343"/>
    <w:rsid w:val="007073FB"/>
    <w:rsid w:val="007074E8"/>
    <w:rsid w:val="00710C28"/>
    <w:rsid w:val="00711778"/>
    <w:rsid w:val="00711C08"/>
    <w:rsid w:val="00711CC1"/>
    <w:rsid w:val="00712ED3"/>
    <w:rsid w:val="00714697"/>
    <w:rsid w:val="00714C9E"/>
    <w:rsid w:val="00715651"/>
    <w:rsid w:val="00715A14"/>
    <w:rsid w:val="00715DFC"/>
    <w:rsid w:val="00717903"/>
    <w:rsid w:val="00717B10"/>
    <w:rsid w:val="00721ACF"/>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51A8"/>
    <w:rsid w:val="0074527C"/>
    <w:rsid w:val="00745BF2"/>
    <w:rsid w:val="00745E2B"/>
    <w:rsid w:val="00746757"/>
    <w:rsid w:val="00751ADD"/>
    <w:rsid w:val="007520F6"/>
    <w:rsid w:val="0075325E"/>
    <w:rsid w:val="007532C0"/>
    <w:rsid w:val="0075434E"/>
    <w:rsid w:val="00756020"/>
    <w:rsid w:val="00756098"/>
    <w:rsid w:val="0075633E"/>
    <w:rsid w:val="00757F3C"/>
    <w:rsid w:val="00761FC6"/>
    <w:rsid w:val="007631E0"/>
    <w:rsid w:val="00763628"/>
    <w:rsid w:val="007636B4"/>
    <w:rsid w:val="00763BF3"/>
    <w:rsid w:val="00764F87"/>
    <w:rsid w:val="00766E11"/>
    <w:rsid w:val="00767A6B"/>
    <w:rsid w:val="00767DDB"/>
    <w:rsid w:val="00771094"/>
    <w:rsid w:val="00771421"/>
    <w:rsid w:val="00772E4B"/>
    <w:rsid w:val="00773949"/>
    <w:rsid w:val="007744D5"/>
    <w:rsid w:val="0077459E"/>
    <w:rsid w:val="00775448"/>
    <w:rsid w:val="0077676B"/>
    <w:rsid w:val="0078014A"/>
    <w:rsid w:val="00782782"/>
    <w:rsid w:val="007841E0"/>
    <w:rsid w:val="007863FC"/>
    <w:rsid w:val="007866DC"/>
    <w:rsid w:val="00791465"/>
    <w:rsid w:val="00791AAA"/>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2D5F"/>
    <w:rsid w:val="007B566C"/>
    <w:rsid w:val="007B686F"/>
    <w:rsid w:val="007B6CEF"/>
    <w:rsid w:val="007B77CB"/>
    <w:rsid w:val="007C17AD"/>
    <w:rsid w:val="007C21F2"/>
    <w:rsid w:val="007C247A"/>
    <w:rsid w:val="007C3070"/>
    <w:rsid w:val="007C4731"/>
    <w:rsid w:val="007C546A"/>
    <w:rsid w:val="007D0644"/>
    <w:rsid w:val="007D0A2D"/>
    <w:rsid w:val="007D1325"/>
    <w:rsid w:val="007D2305"/>
    <w:rsid w:val="007D3ACE"/>
    <w:rsid w:val="007D64EC"/>
    <w:rsid w:val="007D7A96"/>
    <w:rsid w:val="007E040A"/>
    <w:rsid w:val="007E05A2"/>
    <w:rsid w:val="007E0FCA"/>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3F59"/>
    <w:rsid w:val="00814EDE"/>
    <w:rsid w:val="0081612B"/>
    <w:rsid w:val="00816ED1"/>
    <w:rsid w:val="00820327"/>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441"/>
    <w:rsid w:val="008579B6"/>
    <w:rsid w:val="0086080D"/>
    <w:rsid w:val="00861853"/>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777D8"/>
    <w:rsid w:val="00880351"/>
    <w:rsid w:val="0088070D"/>
    <w:rsid w:val="0088086C"/>
    <w:rsid w:val="008812DC"/>
    <w:rsid w:val="0088182F"/>
    <w:rsid w:val="008825BB"/>
    <w:rsid w:val="00882735"/>
    <w:rsid w:val="0088275A"/>
    <w:rsid w:val="00882875"/>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B51A1"/>
    <w:rsid w:val="008C0B72"/>
    <w:rsid w:val="008C210D"/>
    <w:rsid w:val="008C3AAC"/>
    <w:rsid w:val="008C3E59"/>
    <w:rsid w:val="008C480D"/>
    <w:rsid w:val="008C4C45"/>
    <w:rsid w:val="008C651B"/>
    <w:rsid w:val="008C7138"/>
    <w:rsid w:val="008D136B"/>
    <w:rsid w:val="008D19F8"/>
    <w:rsid w:val="008D1F83"/>
    <w:rsid w:val="008D2564"/>
    <w:rsid w:val="008D3C26"/>
    <w:rsid w:val="008D3CE7"/>
    <w:rsid w:val="008D6E8B"/>
    <w:rsid w:val="008E1626"/>
    <w:rsid w:val="008E18D0"/>
    <w:rsid w:val="008E1FF4"/>
    <w:rsid w:val="008E270C"/>
    <w:rsid w:val="008E4492"/>
    <w:rsid w:val="008E51D4"/>
    <w:rsid w:val="008E66F8"/>
    <w:rsid w:val="008E68A6"/>
    <w:rsid w:val="008E74EF"/>
    <w:rsid w:val="008E7904"/>
    <w:rsid w:val="008E7EFA"/>
    <w:rsid w:val="008F051D"/>
    <w:rsid w:val="008F0DD8"/>
    <w:rsid w:val="008F0FC5"/>
    <w:rsid w:val="008F0FD2"/>
    <w:rsid w:val="008F17A3"/>
    <w:rsid w:val="008F1EBE"/>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846"/>
    <w:rsid w:val="00904D53"/>
    <w:rsid w:val="00905C49"/>
    <w:rsid w:val="00906C53"/>
    <w:rsid w:val="00906F12"/>
    <w:rsid w:val="0090737A"/>
    <w:rsid w:val="00907E2C"/>
    <w:rsid w:val="00910AA2"/>
    <w:rsid w:val="009118D6"/>
    <w:rsid w:val="009122CA"/>
    <w:rsid w:val="0091491D"/>
    <w:rsid w:val="00914B3A"/>
    <w:rsid w:val="0091517B"/>
    <w:rsid w:val="00917061"/>
    <w:rsid w:val="00921597"/>
    <w:rsid w:val="00921696"/>
    <w:rsid w:val="00924255"/>
    <w:rsid w:val="0092525C"/>
    <w:rsid w:val="009257EE"/>
    <w:rsid w:val="009262E3"/>
    <w:rsid w:val="00927E7F"/>
    <w:rsid w:val="009300E6"/>
    <w:rsid w:val="00930F44"/>
    <w:rsid w:val="00931856"/>
    <w:rsid w:val="00931957"/>
    <w:rsid w:val="009320DF"/>
    <w:rsid w:val="00932259"/>
    <w:rsid w:val="009336D9"/>
    <w:rsid w:val="0093440F"/>
    <w:rsid w:val="00934A77"/>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6E9"/>
    <w:rsid w:val="00981871"/>
    <w:rsid w:val="00984181"/>
    <w:rsid w:val="0098571F"/>
    <w:rsid w:val="00987780"/>
    <w:rsid w:val="0099005D"/>
    <w:rsid w:val="00990104"/>
    <w:rsid w:val="00992504"/>
    <w:rsid w:val="00992B0D"/>
    <w:rsid w:val="0099307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A7C74"/>
    <w:rsid w:val="009B0117"/>
    <w:rsid w:val="009B1B5C"/>
    <w:rsid w:val="009B306D"/>
    <w:rsid w:val="009B3563"/>
    <w:rsid w:val="009B450E"/>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0D06"/>
    <w:rsid w:val="009D161A"/>
    <w:rsid w:val="009D1693"/>
    <w:rsid w:val="009D1BCC"/>
    <w:rsid w:val="009D3D26"/>
    <w:rsid w:val="009D46C5"/>
    <w:rsid w:val="009D4AB7"/>
    <w:rsid w:val="009D5302"/>
    <w:rsid w:val="009D62F3"/>
    <w:rsid w:val="009D754F"/>
    <w:rsid w:val="009D7597"/>
    <w:rsid w:val="009D7F0B"/>
    <w:rsid w:val="009E081F"/>
    <w:rsid w:val="009E1896"/>
    <w:rsid w:val="009E1980"/>
    <w:rsid w:val="009E1ACC"/>
    <w:rsid w:val="009E20B0"/>
    <w:rsid w:val="009E2833"/>
    <w:rsid w:val="009E2BB3"/>
    <w:rsid w:val="009E325E"/>
    <w:rsid w:val="009E3484"/>
    <w:rsid w:val="009E569F"/>
    <w:rsid w:val="009E59AC"/>
    <w:rsid w:val="009E5FDA"/>
    <w:rsid w:val="009E646F"/>
    <w:rsid w:val="009E75CC"/>
    <w:rsid w:val="009E776E"/>
    <w:rsid w:val="009F11E8"/>
    <w:rsid w:val="009F1760"/>
    <w:rsid w:val="009F439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87D"/>
    <w:rsid w:val="00A1196D"/>
    <w:rsid w:val="00A11A36"/>
    <w:rsid w:val="00A11B5F"/>
    <w:rsid w:val="00A122F8"/>
    <w:rsid w:val="00A1243E"/>
    <w:rsid w:val="00A12914"/>
    <w:rsid w:val="00A12EEB"/>
    <w:rsid w:val="00A132F4"/>
    <w:rsid w:val="00A14173"/>
    <w:rsid w:val="00A152CC"/>
    <w:rsid w:val="00A167B8"/>
    <w:rsid w:val="00A16E54"/>
    <w:rsid w:val="00A17060"/>
    <w:rsid w:val="00A17ED7"/>
    <w:rsid w:val="00A20492"/>
    <w:rsid w:val="00A2185E"/>
    <w:rsid w:val="00A21919"/>
    <w:rsid w:val="00A227DA"/>
    <w:rsid w:val="00A26381"/>
    <w:rsid w:val="00A2657F"/>
    <w:rsid w:val="00A26EC8"/>
    <w:rsid w:val="00A31C08"/>
    <w:rsid w:val="00A32889"/>
    <w:rsid w:val="00A331C2"/>
    <w:rsid w:val="00A34948"/>
    <w:rsid w:val="00A363B2"/>
    <w:rsid w:val="00A36A40"/>
    <w:rsid w:val="00A36D42"/>
    <w:rsid w:val="00A414A1"/>
    <w:rsid w:val="00A41BC0"/>
    <w:rsid w:val="00A42893"/>
    <w:rsid w:val="00A42906"/>
    <w:rsid w:val="00A43E5D"/>
    <w:rsid w:val="00A45490"/>
    <w:rsid w:val="00A46A66"/>
    <w:rsid w:val="00A46C05"/>
    <w:rsid w:val="00A46E6A"/>
    <w:rsid w:val="00A4723D"/>
    <w:rsid w:val="00A47250"/>
    <w:rsid w:val="00A50111"/>
    <w:rsid w:val="00A5180C"/>
    <w:rsid w:val="00A51841"/>
    <w:rsid w:val="00A521EE"/>
    <w:rsid w:val="00A5427C"/>
    <w:rsid w:val="00A54C8B"/>
    <w:rsid w:val="00A57BBF"/>
    <w:rsid w:val="00A603C3"/>
    <w:rsid w:val="00A61267"/>
    <w:rsid w:val="00A637B9"/>
    <w:rsid w:val="00A63829"/>
    <w:rsid w:val="00A64250"/>
    <w:rsid w:val="00A64CAF"/>
    <w:rsid w:val="00A64FD8"/>
    <w:rsid w:val="00A654EB"/>
    <w:rsid w:val="00A6550F"/>
    <w:rsid w:val="00A6688F"/>
    <w:rsid w:val="00A67349"/>
    <w:rsid w:val="00A67C97"/>
    <w:rsid w:val="00A711F9"/>
    <w:rsid w:val="00A71783"/>
    <w:rsid w:val="00A719FE"/>
    <w:rsid w:val="00A7401B"/>
    <w:rsid w:val="00A74937"/>
    <w:rsid w:val="00A753D2"/>
    <w:rsid w:val="00A75B8E"/>
    <w:rsid w:val="00A80111"/>
    <w:rsid w:val="00A81DF8"/>
    <w:rsid w:val="00A82B55"/>
    <w:rsid w:val="00A82BF6"/>
    <w:rsid w:val="00A83F39"/>
    <w:rsid w:val="00A84210"/>
    <w:rsid w:val="00A853CC"/>
    <w:rsid w:val="00A85465"/>
    <w:rsid w:val="00A85A26"/>
    <w:rsid w:val="00A866AE"/>
    <w:rsid w:val="00A86933"/>
    <w:rsid w:val="00A878A5"/>
    <w:rsid w:val="00A87D38"/>
    <w:rsid w:val="00A92225"/>
    <w:rsid w:val="00A9381F"/>
    <w:rsid w:val="00A94552"/>
    <w:rsid w:val="00A9479C"/>
    <w:rsid w:val="00A958D5"/>
    <w:rsid w:val="00A95B9A"/>
    <w:rsid w:val="00A95C76"/>
    <w:rsid w:val="00A95CB4"/>
    <w:rsid w:val="00A976E6"/>
    <w:rsid w:val="00AA00D8"/>
    <w:rsid w:val="00AA02DF"/>
    <w:rsid w:val="00AA20EC"/>
    <w:rsid w:val="00AA32DA"/>
    <w:rsid w:val="00AA3C62"/>
    <w:rsid w:val="00AA45A4"/>
    <w:rsid w:val="00AA4712"/>
    <w:rsid w:val="00AA4FAB"/>
    <w:rsid w:val="00AA5FA0"/>
    <w:rsid w:val="00AA65F4"/>
    <w:rsid w:val="00AA7A71"/>
    <w:rsid w:val="00AB01B3"/>
    <w:rsid w:val="00AB1B2B"/>
    <w:rsid w:val="00AB1F14"/>
    <w:rsid w:val="00AB3A96"/>
    <w:rsid w:val="00AB43EE"/>
    <w:rsid w:val="00AB4F07"/>
    <w:rsid w:val="00AB5121"/>
    <w:rsid w:val="00AB51EA"/>
    <w:rsid w:val="00AB6822"/>
    <w:rsid w:val="00AB6F0C"/>
    <w:rsid w:val="00AB73F3"/>
    <w:rsid w:val="00AC0E92"/>
    <w:rsid w:val="00AC1EC5"/>
    <w:rsid w:val="00AC2076"/>
    <w:rsid w:val="00AC4658"/>
    <w:rsid w:val="00AC4AC4"/>
    <w:rsid w:val="00AC4B01"/>
    <w:rsid w:val="00AC7F40"/>
    <w:rsid w:val="00AC7FDF"/>
    <w:rsid w:val="00AD0544"/>
    <w:rsid w:val="00AD061A"/>
    <w:rsid w:val="00AD1C15"/>
    <w:rsid w:val="00AD33D4"/>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49A5"/>
    <w:rsid w:val="00AE5E46"/>
    <w:rsid w:val="00AE6F43"/>
    <w:rsid w:val="00AF05EC"/>
    <w:rsid w:val="00AF252E"/>
    <w:rsid w:val="00AF2AE0"/>
    <w:rsid w:val="00AF399D"/>
    <w:rsid w:val="00AF3D6B"/>
    <w:rsid w:val="00AF4917"/>
    <w:rsid w:val="00AF4DC9"/>
    <w:rsid w:val="00AF52FD"/>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E4B"/>
    <w:rsid w:val="00B11F80"/>
    <w:rsid w:val="00B12D30"/>
    <w:rsid w:val="00B13A6B"/>
    <w:rsid w:val="00B14FF9"/>
    <w:rsid w:val="00B15D9A"/>
    <w:rsid w:val="00B160F4"/>
    <w:rsid w:val="00B1673B"/>
    <w:rsid w:val="00B1684F"/>
    <w:rsid w:val="00B1722F"/>
    <w:rsid w:val="00B17CCB"/>
    <w:rsid w:val="00B17F2F"/>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5DC5"/>
    <w:rsid w:val="00B36696"/>
    <w:rsid w:val="00B418D6"/>
    <w:rsid w:val="00B418DF"/>
    <w:rsid w:val="00B425AA"/>
    <w:rsid w:val="00B446F9"/>
    <w:rsid w:val="00B46ADF"/>
    <w:rsid w:val="00B500CB"/>
    <w:rsid w:val="00B50382"/>
    <w:rsid w:val="00B512A3"/>
    <w:rsid w:val="00B51F04"/>
    <w:rsid w:val="00B52118"/>
    <w:rsid w:val="00B52364"/>
    <w:rsid w:val="00B53331"/>
    <w:rsid w:val="00B54958"/>
    <w:rsid w:val="00B559B2"/>
    <w:rsid w:val="00B55F1E"/>
    <w:rsid w:val="00B56321"/>
    <w:rsid w:val="00B565D4"/>
    <w:rsid w:val="00B56BAF"/>
    <w:rsid w:val="00B56D13"/>
    <w:rsid w:val="00B56D2F"/>
    <w:rsid w:val="00B56DA8"/>
    <w:rsid w:val="00B5719D"/>
    <w:rsid w:val="00B57BF8"/>
    <w:rsid w:val="00B60E51"/>
    <w:rsid w:val="00B61677"/>
    <w:rsid w:val="00B63F7F"/>
    <w:rsid w:val="00B64228"/>
    <w:rsid w:val="00B6537F"/>
    <w:rsid w:val="00B65433"/>
    <w:rsid w:val="00B65A2F"/>
    <w:rsid w:val="00B65D0C"/>
    <w:rsid w:val="00B65DEE"/>
    <w:rsid w:val="00B673D7"/>
    <w:rsid w:val="00B71571"/>
    <w:rsid w:val="00B715B1"/>
    <w:rsid w:val="00B7277B"/>
    <w:rsid w:val="00B73D5B"/>
    <w:rsid w:val="00B75C4F"/>
    <w:rsid w:val="00B7619E"/>
    <w:rsid w:val="00B77677"/>
    <w:rsid w:val="00B77BF3"/>
    <w:rsid w:val="00B77C3C"/>
    <w:rsid w:val="00B81698"/>
    <w:rsid w:val="00B817ED"/>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5E31"/>
    <w:rsid w:val="00B961E2"/>
    <w:rsid w:val="00B96D1A"/>
    <w:rsid w:val="00B97608"/>
    <w:rsid w:val="00BA0067"/>
    <w:rsid w:val="00BA0F9A"/>
    <w:rsid w:val="00BA2179"/>
    <w:rsid w:val="00BA3220"/>
    <w:rsid w:val="00BA65AC"/>
    <w:rsid w:val="00BB2985"/>
    <w:rsid w:val="00BB4314"/>
    <w:rsid w:val="00BB5294"/>
    <w:rsid w:val="00BC0A20"/>
    <w:rsid w:val="00BC21A0"/>
    <w:rsid w:val="00BC4EF3"/>
    <w:rsid w:val="00BC6617"/>
    <w:rsid w:val="00BC76F8"/>
    <w:rsid w:val="00BC77C0"/>
    <w:rsid w:val="00BD0B25"/>
    <w:rsid w:val="00BD0D0E"/>
    <w:rsid w:val="00BD234D"/>
    <w:rsid w:val="00BD2561"/>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0D3D"/>
    <w:rsid w:val="00C01A0D"/>
    <w:rsid w:val="00C028D9"/>
    <w:rsid w:val="00C0346A"/>
    <w:rsid w:val="00C036E4"/>
    <w:rsid w:val="00C038B8"/>
    <w:rsid w:val="00C03B35"/>
    <w:rsid w:val="00C04802"/>
    <w:rsid w:val="00C06267"/>
    <w:rsid w:val="00C06574"/>
    <w:rsid w:val="00C06F31"/>
    <w:rsid w:val="00C11EE9"/>
    <w:rsid w:val="00C12B8C"/>
    <w:rsid w:val="00C155D9"/>
    <w:rsid w:val="00C155E2"/>
    <w:rsid w:val="00C15958"/>
    <w:rsid w:val="00C2211D"/>
    <w:rsid w:val="00C22356"/>
    <w:rsid w:val="00C229CF"/>
    <w:rsid w:val="00C22C9E"/>
    <w:rsid w:val="00C2344F"/>
    <w:rsid w:val="00C23B97"/>
    <w:rsid w:val="00C241A1"/>
    <w:rsid w:val="00C245F9"/>
    <w:rsid w:val="00C246F2"/>
    <w:rsid w:val="00C26707"/>
    <w:rsid w:val="00C26CF9"/>
    <w:rsid w:val="00C27719"/>
    <w:rsid w:val="00C27877"/>
    <w:rsid w:val="00C31BCD"/>
    <w:rsid w:val="00C320EB"/>
    <w:rsid w:val="00C32182"/>
    <w:rsid w:val="00C32799"/>
    <w:rsid w:val="00C329B1"/>
    <w:rsid w:val="00C32F7B"/>
    <w:rsid w:val="00C33845"/>
    <w:rsid w:val="00C34E6D"/>
    <w:rsid w:val="00C3513F"/>
    <w:rsid w:val="00C355AA"/>
    <w:rsid w:val="00C36223"/>
    <w:rsid w:val="00C40725"/>
    <w:rsid w:val="00C41967"/>
    <w:rsid w:val="00C4207E"/>
    <w:rsid w:val="00C451A3"/>
    <w:rsid w:val="00C4577E"/>
    <w:rsid w:val="00C46D9F"/>
    <w:rsid w:val="00C50C8F"/>
    <w:rsid w:val="00C50D41"/>
    <w:rsid w:val="00C51156"/>
    <w:rsid w:val="00C52BB6"/>
    <w:rsid w:val="00C52E5B"/>
    <w:rsid w:val="00C53FD7"/>
    <w:rsid w:val="00C55C61"/>
    <w:rsid w:val="00C57047"/>
    <w:rsid w:val="00C6217F"/>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B12"/>
    <w:rsid w:val="00C85239"/>
    <w:rsid w:val="00C869BC"/>
    <w:rsid w:val="00C8737E"/>
    <w:rsid w:val="00C87EDE"/>
    <w:rsid w:val="00C90444"/>
    <w:rsid w:val="00C9243B"/>
    <w:rsid w:val="00C94960"/>
    <w:rsid w:val="00C95011"/>
    <w:rsid w:val="00C953C0"/>
    <w:rsid w:val="00C96E5A"/>
    <w:rsid w:val="00C97ACC"/>
    <w:rsid w:val="00CA056D"/>
    <w:rsid w:val="00CA181F"/>
    <w:rsid w:val="00CA22C7"/>
    <w:rsid w:val="00CA26CB"/>
    <w:rsid w:val="00CA2A54"/>
    <w:rsid w:val="00CA3219"/>
    <w:rsid w:val="00CA519C"/>
    <w:rsid w:val="00CB01EB"/>
    <w:rsid w:val="00CB0DFA"/>
    <w:rsid w:val="00CB0EBF"/>
    <w:rsid w:val="00CB250C"/>
    <w:rsid w:val="00CB34D5"/>
    <w:rsid w:val="00CB352B"/>
    <w:rsid w:val="00CB4285"/>
    <w:rsid w:val="00CB6CB0"/>
    <w:rsid w:val="00CC06B8"/>
    <w:rsid w:val="00CC1252"/>
    <w:rsid w:val="00CC134C"/>
    <w:rsid w:val="00CC2D53"/>
    <w:rsid w:val="00CC36F9"/>
    <w:rsid w:val="00CC3E8F"/>
    <w:rsid w:val="00CC797D"/>
    <w:rsid w:val="00CC7BC8"/>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453"/>
    <w:rsid w:val="00CE7723"/>
    <w:rsid w:val="00CF088A"/>
    <w:rsid w:val="00CF141E"/>
    <w:rsid w:val="00CF1AEC"/>
    <w:rsid w:val="00CF38F2"/>
    <w:rsid w:val="00CF3E22"/>
    <w:rsid w:val="00CF43ED"/>
    <w:rsid w:val="00CF5CD7"/>
    <w:rsid w:val="00CF79DF"/>
    <w:rsid w:val="00D00702"/>
    <w:rsid w:val="00D01E61"/>
    <w:rsid w:val="00D020ED"/>
    <w:rsid w:val="00D02296"/>
    <w:rsid w:val="00D02B67"/>
    <w:rsid w:val="00D02B99"/>
    <w:rsid w:val="00D0306C"/>
    <w:rsid w:val="00D034FA"/>
    <w:rsid w:val="00D0417D"/>
    <w:rsid w:val="00D04FFC"/>
    <w:rsid w:val="00D05957"/>
    <w:rsid w:val="00D06027"/>
    <w:rsid w:val="00D0751A"/>
    <w:rsid w:val="00D078F8"/>
    <w:rsid w:val="00D07D25"/>
    <w:rsid w:val="00D104F7"/>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CC2"/>
    <w:rsid w:val="00D616EC"/>
    <w:rsid w:val="00D625B8"/>
    <w:rsid w:val="00D648BA"/>
    <w:rsid w:val="00D66709"/>
    <w:rsid w:val="00D66A4D"/>
    <w:rsid w:val="00D67DAA"/>
    <w:rsid w:val="00D703E1"/>
    <w:rsid w:val="00D724E1"/>
    <w:rsid w:val="00D75039"/>
    <w:rsid w:val="00D762E6"/>
    <w:rsid w:val="00D76A95"/>
    <w:rsid w:val="00D76DAF"/>
    <w:rsid w:val="00D801E1"/>
    <w:rsid w:val="00D80B56"/>
    <w:rsid w:val="00D82515"/>
    <w:rsid w:val="00D82682"/>
    <w:rsid w:val="00D82E21"/>
    <w:rsid w:val="00D840E2"/>
    <w:rsid w:val="00D846FE"/>
    <w:rsid w:val="00D85CF6"/>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598"/>
    <w:rsid w:val="00DB6676"/>
    <w:rsid w:val="00DC0B64"/>
    <w:rsid w:val="00DC25D7"/>
    <w:rsid w:val="00DC2ABE"/>
    <w:rsid w:val="00DC4A69"/>
    <w:rsid w:val="00DC4F24"/>
    <w:rsid w:val="00DC59DE"/>
    <w:rsid w:val="00DC67E9"/>
    <w:rsid w:val="00DC7217"/>
    <w:rsid w:val="00DC79BB"/>
    <w:rsid w:val="00DD11EB"/>
    <w:rsid w:val="00DD1B8B"/>
    <w:rsid w:val="00DD1F32"/>
    <w:rsid w:val="00DD23D6"/>
    <w:rsid w:val="00DD2D5F"/>
    <w:rsid w:val="00DD4855"/>
    <w:rsid w:val="00DD5378"/>
    <w:rsid w:val="00DD75C4"/>
    <w:rsid w:val="00DE10B9"/>
    <w:rsid w:val="00DE1340"/>
    <w:rsid w:val="00DE1FBA"/>
    <w:rsid w:val="00DE25B1"/>
    <w:rsid w:val="00DE30DB"/>
    <w:rsid w:val="00DE4550"/>
    <w:rsid w:val="00DE55DE"/>
    <w:rsid w:val="00DE5968"/>
    <w:rsid w:val="00DE5A73"/>
    <w:rsid w:val="00DE6A2A"/>
    <w:rsid w:val="00DF1227"/>
    <w:rsid w:val="00DF131F"/>
    <w:rsid w:val="00DF2C98"/>
    <w:rsid w:val="00DF66B9"/>
    <w:rsid w:val="00DF73A5"/>
    <w:rsid w:val="00DF77FD"/>
    <w:rsid w:val="00DF7AB6"/>
    <w:rsid w:val="00E00DCA"/>
    <w:rsid w:val="00E01C4F"/>
    <w:rsid w:val="00E033B7"/>
    <w:rsid w:val="00E038DB"/>
    <w:rsid w:val="00E03B2E"/>
    <w:rsid w:val="00E03BB5"/>
    <w:rsid w:val="00E04FFB"/>
    <w:rsid w:val="00E05EEE"/>
    <w:rsid w:val="00E05F7F"/>
    <w:rsid w:val="00E065DD"/>
    <w:rsid w:val="00E075A8"/>
    <w:rsid w:val="00E07D5A"/>
    <w:rsid w:val="00E105EE"/>
    <w:rsid w:val="00E10D91"/>
    <w:rsid w:val="00E11FCA"/>
    <w:rsid w:val="00E134FC"/>
    <w:rsid w:val="00E1436B"/>
    <w:rsid w:val="00E14F22"/>
    <w:rsid w:val="00E151BD"/>
    <w:rsid w:val="00E16142"/>
    <w:rsid w:val="00E16264"/>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795"/>
    <w:rsid w:val="00E45859"/>
    <w:rsid w:val="00E47666"/>
    <w:rsid w:val="00E47A2E"/>
    <w:rsid w:val="00E47B16"/>
    <w:rsid w:val="00E47C2B"/>
    <w:rsid w:val="00E504E9"/>
    <w:rsid w:val="00E507A9"/>
    <w:rsid w:val="00E5253D"/>
    <w:rsid w:val="00E52A30"/>
    <w:rsid w:val="00E53860"/>
    <w:rsid w:val="00E54E23"/>
    <w:rsid w:val="00E554E7"/>
    <w:rsid w:val="00E5688C"/>
    <w:rsid w:val="00E571C8"/>
    <w:rsid w:val="00E57C72"/>
    <w:rsid w:val="00E60AAF"/>
    <w:rsid w:val="00E60AEE"/>
    <w:rsid w:val="00E6547E"/>
    <w:rsid w:val="00E65AAE"/>
    <w:rsid w:val="00E65E36"/>
    <w:rsid w:val="00E669A1"/>
    <w:rsid w:val="00E67625"/>
    <w:rsid w:val="00E700D9"/>
    <w:rsid w:val="00E75FF6"/>
    <w:rsid w:val="00E77A6F"/>
    <w:rsid w:val="00E82848"/>
    <w:rsid w:val="00E8390A"/>
    <w:rsid w:val="00E83A3B"/>
    <w:rsid w:val="00E8425C"/>
    <w:rsid w:val="00E901D7"/>
    <w:rsid w:val="00E914E7"/>
    <w:rsid w:val="00E9172D"/>
    <w:rsid w:val="00E91BD8"/>
    <w:rsid w:val="00E91CE4"/>
    <w:rsid w:val="00E922BE"/>
    <w:rsid w:val="00E9258D"/>
    <w:rsid w:val="00E9268E"/>
    <w:rsid w:val="00E92B00"/>
    <w:rsid w:val="00E92E30"/>
    <w:rsid w:val="00E9368B"/>
    <w:rsid w:val="00E94D9A"/>
    <w:rsid w:val="00E951CA"/>
    <w:rsid w:val="00E9538A"/>
    <w:rsid w:val="00E953FA"/>
    <w:rsid w:val="00E97913"/>
    <w:rsid w:val="00E97D0F"/>
    <w:rsid w:val="00E97E28"/>
    <w:rsid w:val="00EA03B1"/>
    <w:rsid w:val="00EA19F0"/>
    <w:rsid w:val="00EA484D"/>
    <w:rsid w:val="00EA4A96"/>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30E"/>
    <w:rsid w:val="00ED0680"/>
    <w:rsid w:val="00ED10A6"/>
    <w:rsid w:val="00ED27B9"/>
    <w:rsid w:val="00ED2905"/>
    <w:rsid w:val="00ED328C"/>
    <w:rsid w:val="00ED3D65"/>
    <w:rsid w:val="00ED4017"/>
    <w:rsid w:val="00ED6308"/>
    <w:rsid w:val="00ED7083"/>
    <w:rsid w:val="00ED7E7A"/>
    <w:rsid w:val="00ED7E9F"/>
    <w:rsid w:val="00EE0D8C"/>
    <w:rsid w:val="00EE149D"/>
    <w:rsid w:val="00EE172B"/>
    <w:rsid w:val="00EE17A5"/>
    <w:rsid w:val="00EE3EDC"/>
    <w:rsid w:val="00EE3F56"/>
    <w:rsid w:val="00EE4BB2"/>
    <w:rsid w:val="00EE560A"/>
    <w:rsid w:val="00EE6084"/>
    <w:rsid w:val="00EE6B47"/>
    <w:rsid w:val="00EE6E12"/>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F16"/>
    <w:rsid w:val="00F04963"/>
    <w:rsid w:val="00F0620D"/>
    <w:rsid w:val="00F0684E"/>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2BC5"/>
    <w:rsid w:val="00F23445"/>
    <w:rsid w:val="00F24CF2"/>
    <w:rsid w:val="00F25235"/>
    <w:rsid w:val="00F254F6"/>
    <w:rsid w:val="00F3022D"/>
    <w:rsid w:val="00F30708"/>
    <w:rsid w:val="00F31B3B"/>
    <w:rsid w:val="00F31E35"/>
    <w:rsid w:val="00F3228A"/>
    <w:rsid w:val="00F332B0"/>
    <w:rsid w:val="00F3395E"/>
    <w:rsid w:val="00F33A72"/>
    <w:rsid w:val="00F3415D"/>
    <w:rsid w:val="00F344D1"/>
    <w:rsid w:val="00F363F1"/>
    <w:rsid w:val="00F37256"/>
    <w:rsid w:val="00F43DFC"/>
    <w:rsid w:val="00F45E5A"/>
    <w:rsid w:val="00F4695D"/>
    <w:rsid w:val="00F46CE6"/>
    <w:rsid w:val="00F50172"/>
    <w:rsid w:val="00F5278F"/>
    <w:rsid w:val="00F54740"/>
    <w:rsid w:val="00F565D0"/>
    <w:rsid w:val="00F57A3E"/>
    <w:rsid w:val="00F62899"/>
    <w:rsid w:val="00F637A9"/>
    <w:rsid w:val="00F63A4A"/>
    <w:rsid w:val="00F63E31"/>
    <w:rsid w:val="00F645AE"/>
    <w:rsid w:val="00F64689"/>
    <w:rsid w:val="00F653DF"/>
    <w:rsid w:val="00F654A6"/>
    <w:rsid w:val="00F67065"/>
    <w:rsid w:val="00F67D00"/>
    <w:rsid w:val="00F67D2C"/>
    <w:rsid w:val="00F70011"/>
    <w:rsid w:val="00F71540"/>
    <w:rsid w:val="00F720FA"/>
    <w:rsid w:val="00F733B2"/>
    <w:rsid w:val="00F744F3"/>
    <w:rsid w:val="00F75DF6"/>
    <w:rsid w:val="00F772EA"/>
    <w:rsid w:val="00F77698"/>
    <w:rsid w:val="00F805A6"/>
    <w:rsid w:val="00F83BC2"/>
    <w:rsid w:val="00F83CBF"/>
    <w:rsid w:val="00F84ED2"/>
    <w:rsid w:val="00F87223"/>
    <w:rsid w:val="00F87AC1"/>
    <w:rsid w:val="00F90290"/>
    <w:rsid w:val="00F915B8"/>
    <w:rsid w:val="00F91B3B"/>
    <w:rsid w:val="00F94EC0"/>
    <w:rsid w:val="00F95610"/>
    <w:rsid w:val="00F96012"/>
    <w:rsid w:val="00F976C6"/>
    <w:rsid w:val="00FA0C52"/>
    <w:rsid w:val="00FA1CFB"/>
    <w:rsid w:val="00FA215D"/>
    <w:rsid w:val="00FA2451"/>
    <w:rsid w:val="00FA2726"/>
    <w:rsid w:val="00FA3FB9"/>
    <w:rsid w:val="00FA4471"/>
    <w:rsid w:val="00FA457D"/>
    <w:rsid w:val="00FA6E33"/>
    <w:rsid w:val="00FA72B1"/>
    <w:rsid w:val="00FB4DF7"/>
    <w:rsid w:val="00FC1235"/>
    <w:rsid w:val="00FC241B"/>
    <w:rsid w:val="00FC3FD5"/>
    <w:rsid w:val="00FC479C"/>
    <w:rsid w:val="00FC5854"/>
    <w:rsid w:val="00FC6E57"/>
    <w:rsid w:val="00FC7151"/>
    <w:rsid w:val="00FD0011"/>
    <w:rsid w:val="00FD0560"/>
    <w:rsid w:val="00FD0A26"/>
    <w:rsid w:val="00FD0C02"/>
    <w:rsid w:val="00FD1FCF"/>
    <w:rsid w:val="00FD282F"/>
    <w:rsid w:val="00FD2992"/>
    <w:rsid w:val="00FD29BB"/>
    <w:rsid w:val="00FD4CB3"/>
    <w:rsid w:val="00FD6EAA"/>
    <w:rsid w:val="00FD79D2"/>
    <w:rsid w:val="00FE0ABB"/>
    <w:rsid w:val="00FE141F"/>
    <w:rsid w:val="00FE20F0"/>
    <w:rsid w:val="00FE4FCD"/>
    <w:rsid w:val="00FE7911"/>
    <w:rsid w:val="00FE7C1C"/>
    <w:rsid w:val="00FF0046"/>
    <w:rsid w:val="00FF1735"/>
    <w:rsid w:val="00FF2748"/>
    <w:rsid w:val="00FF31C9"/>
    <w:rsid w:val="00FF3808"/>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581773"/>
    <w:rPr>
      <w:color w:val="0000FF"/>
      <w:u w:val="single"/>
    </w:rPr>
  </w:style>
  <w:style w:type="character" w:customStyle="1" w:styleId="UnresolvedMention">
    <w:name w:val="Unresolved Mention"/>
    <w:basedOn w:val="DefaultParagraphFont"/>
    <w:uiPriority w:val="99"/>
    <w:semiHidden/>
    <w:unhideWhenUsed/>
    <w:rsid w:val="000D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573">
      <w:bodyDiv w:val="1"/>
      <w:marLeft w:val="0"/>
      <w:marRight w:val="0"/>
      <w:marTop w:val="0"/>
      <w:marBottom w:val="0"/>
      <w:divBdr>
        <w:top w:val="none" w:sz="0" w:space="0" w:color="auto"/>
        <w:left w:val="none" w:sz="0" w:space="0" w:color="auto"/>
        <w:bottom w:val="none" w:sz="0" w:space="0" w:color="auto"/>
        <w:right w:val="none" w:sz="0" w:space="0" w:color="auto"/>
      </w:divBdr>
    </w:div>
    <w:div w:id="1314139132">
      <w:bodyDiv w:val="1"/>
      <w:marLeft w:val="0"/>
      <w:marRight w:val="0"/>
      <w:marTop w:val="0"/>
      <w:marBottom w:val="0"/>
      <w:divBdr>
        <w:top w:val="none" w:sz="0" w:space="0" w:color="auto"/>
        <w:left w:val="none" w:sz="0" w:space="0" w:color="auto"/>
        <w:bottom w:val="none" w:sz="0" w:space="0" w:color="auto"/>
        <w:right w:val="none" w:sz="0" w:space="0" w:color="auto"/>
      </w:divBdr>
    </w:div>
    <w:div w:id="1484814228">
      <w:bodyDiv w:val="1"/>
      <w:marLeft w:val="0"/>
      <w:marRight w:val="0"/>
      <w:marTop w:val="0"/>
      <w:marBottom w:val="0"/>
      <w:divBdr>
        <w:top w:val="none" w:sz="0" w:space="0" w:color="auto"/>
        <w:left w:val="none" w:sz="0" w:space="0" w:color="auto"/>
        <w:bottom w:val="none" w:sz="0" w:space="0" w:color="auto"/>
        <w:right w:val="none" w:sz="0" w:space="0" w:color="auto"/>
      </w:divBdr>
    </w:div>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vanrooyen@npa.gov.za" TargetMode="External"/><Relationship Id="rId4" Type="http://schemas.openxmlformats.org/officeDocument/2006/relationships/settings" Target="settings.xml"/><Relationship Id="rId9" Type="http://schemas.openxmlformats.org/officeDocument/2006/relationships/hyperlink" Target="mailto:lawyer.z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9CE3-1F72-446D-96F4-46BC77E7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2024-03-07T07:09:00Z</cp:lastPrinted>
  <dcterms:created xsi:type="dcterms:W3CDTF">2024-03-08T13:21:00Z</dcterms:created>
  <dcterms:modified xsi:type="dcterms:W3CDTF">2024-03-12T08:29:00Z</dcterms:modified>
</cp:coreProperties>
</file>