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9C0EE" w14:textId="77777777" w:rsidR="002A43BD" w:rsidRDefault="002A43BD" w:rsidP="002A43BD">
      <w:pPr>
        <w:jc w:val="center"/>
        <w:rPr>
          <w:rFonts w:ascii="Arial" w:hAnsi="Arial" w:cs="Arial"/>
          <w:b/>
          <w:sz w:val="24"/>
          <w:szCs w:val="24"/>
        </w:rPr>
      </w:pPr>
      <w:bookmarkStart w:id="0" w:name="_GoBack"/>
      <w:bookmarkEnd w:id="0"/>
      <w:r w:rsidRPr="006F3F2A">
        <w:rPr>
          <w:rFonts w:ascii="Arial" w:hAnsi="Arial" w:cs="Arial"/>
          <w:noProof/>
          <w:sz w:val="24"/>
          <w:szCs w:val="24"/>
          <w:lang w:eastAsia="en-ZA"/>
        </w:rPr>
        <w:drawing>
          <wp:inline distT="0" distB="0" distL="0" distR="0" wp14:anchorId="0E0E03C9" wp14:editId="1D6533F5">
            <wp:extent cx="1283639" cy="11324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0465" cy="1138446"/>
                    </a:xfrm>
                    <a:prstGeom prst="rect">
                      <a:avLst/>
                    </a:prstGeom>
                    <a:noFill/>
                  </pic:spPr>
                </pic:pic>
              </a:graphicData>
            </a:graphic>
          </wp:inline>
        </w:drawing>
      </w:r>
    </w:p>
    <w:p w14:paraId="769B5348" w14:textId="77777777" w:rsidR="006240FE" w:rsidRDefault="00D31321" w:rsidP="008807A9">
      <w:pPr>
        <w:jc w:val="center"/>
        <w:rPr>
          <w:rFonts w:ascii="Arial" w:hAnsi="Arial" w:cs="Arial"/>
          <w:b/>
          <w:sz w:val="24"/>
          <w:szCs w:val="24"/>
        </w:rPr>
      </w:pPr>
      <w:r>
        <w:rPr>
          <w:rFonts w:ascii="Arial" w:hAnsi="Arial" w:cs="Arial"/>
          <w:b/>
          <w:sz w:val="24"/>
          <w:szCs w:val="24"/>
        </w:rPr>
        <w:t>IN THE HIGH COURT OF SOUTH AFRICA</w:t>
      </w:r>
    </w:p>
    <w:p w14:paraId="3FD6F5C8" w14:textId="6A8D21F8" w:rsidR="00D31321" w:rsidRDefault="00C941EE" w:rsidP="008807A9">
      <w:pPr>
        <w:jc w:val="center"/>
        <w:rPr>
          <w:rFonts w:ascii="Arial" w:hAnsi="Arial" w:cs="Arial"/>
          <w:b/>
          <w:sz w:val="24"/>
          <w:szCs w:val="24"/>
        </w:rPr>
      </w:pPr>
      <w:r>
        <w:rPr>
          <w:rFonts w:ascii="Arial" w:hAnsi="Arial" w:cs="Arial"/>
          <w:b/>
          <w:sz w:val="24"/>
          <w:szCs w:val="24"/>
        </w:rPr>
        <w:t xml:space="preserve">EASTERN CAPE DIVISION - </w:t>
      </w:r>
      <w:r w:rsidR="008A2EC6">
        <w:rPr>
          <w:rFonts w:ascii="Arial" w:hAnsi="Arial" w:cs="Arial"/>
          <w:b/>
          <w:sz w:val="24"/>
          <w:szCs w:val="24"/>
        </w:rPr>
        <w:t>GRAHAMSTOWN</w:t>
      </w:r>
    </w:p>
    <w:p w14:paraId="349FC09D" w14:textId="767880F6" w:rsidR="00D31321" w:rsidRPr="008368A6" w:rsidRDefault="00D31321" w:rsidP="00D31321">
      <w:pPr>
        <w:jc w:val="right"/>
        <w:rPr>
          <w:rFonts w:ascii="Arial" w:hAnsi="Arial" w:cs="Arial"/>
          <w:sz w:val="24"/>
          <w:szCs w:val="24"/>
        </w:rPr>
      </w:pPr>
      <w:r w:rsidRPr="008368A6">
        <w:rPr>
          <w:rFonts w:ascii="Arial" w:hAnsi="Arial" w:cs="Arial"/>
          <w:sz w:val="24"/>
          <w:szCs w:val="24"/>
        </w:rPr>
        <w:t>R</w:t>
      </w:r>
      <w:r w:rsidR="00C3509A">
        <w:rPr>
          <w:rFonts w:ascii="Arial" w:hAnsi="Arial" w:cs="Arial"/>
          <w:sz w:val="24"/>
          <w:szCs w:val="24"/>
        </w:rPr>
        <w:t>eportable</w:t>
      </w:r>
    </w:p>
    <w:p w14:paraId="6FAD2165" w14:textId="07F85841" w:rsidR="00EA5735" w:rsidRPr="008A2EC6" w:rsidRDefault="008A2EC6" w:rsidP="00D31321">
      <w:pPr>
        <w:jc w:val="right"/>
        <w:rPr>
          <w:rFonts w:ascii="Arial" w:hAnsi="Arial" w:cs="Arial"/>
          <w:b/>
          <w:bCs/>
          <w:sz w:val="24"/>
          <w:szCs w:val="24"/>
        </w:rPr>
      </w:pPr>
      <w:r w:rsidRPr="008A2EC6">
        <w:rPr>
          <w:rFonts w:ascii="Arial" w:hAnsi="Arial" w:cs="Arial"/>
          <w:b/>
          <w:bCs/>
          <w:sz w:val="24"/>
          <w:szCs w:val="24"/>
        </w:rPr>
        <w:t xml:space="preserve">Case </w:t>
      </w:r>
      <w:r w:rsidR="0055390F">
        <w:rPr>
          <w:rFonts w:ascii="Arial" w:hAnsi="Arial" w:cs="Arial"/>
          <w:b/>
          <w:bCs/>
          <w:sz w:val="24"/>
          <w:szCs w:val="24"/>
        </w:rPr>
        <w:t>n</w:t>
      </w:r>
      <w:r w:rsidRPr="008A2EC6">
        <w:rPr>
          <w:rFonts w:ascii="Arial" w:hAnsi="Arial" w:cs="Arial"/>
          <w:b/>
          <w:bCs/>
          <w:sz w:val="24"/>
          <w:szCs w:val="24"/>
        </w:rPr>
        <w:t>o:  C</w:t>
      </w:r>
      <w:r w:rsidR="0055390F">
        <w:rPr>
          <w:rFonts w:ascii="Arial" w:hAnsi="Arial" w:cs="Arial"/>
          <w:b/>
          <w:bCs/>
          <w:sz w:val="24"/>
          <w:szCs w:val="24"/>
        </w:rPr>
        <w:t>A</w:t>
      </w:r>
      <w:r w:rsidRPr="008A2EC6">
        <w:rPr>
          <w:rFonts w:ascii="Arial" w:hAnsi="Arial" w:cs="Arial"/>
          <w:b/>
          <w:bCs/>
          <w:sz w:val="24"/>
          <w:szCs w:val="24"/>
        </w:rPr>
        <w:t>&amp;R218/2022</w:t>
      </w:r>
    </w:p>
    <w:p w14:paraId="5FE72224" w14:textId="14A0F702" w:rsidR="00EA5735" w:rsidRPr="008A2EC6" w:rsidRDefault="008A2EC6" w:rsidP="00D31321">
      <w:pPr>
        <w:jc w:val="right"/>
        <w:rPr>
          <w:rFonts w:ascii="Arial" w:hAnsi="Arial" w:cs="Arial"/>
          <w:b/>
          <w:bCs/>
          <w:sz w:val="24"/>
          <w:szCs w:val="24"/>
        </w:rPr>
      </w:pPr>
      <w:r w:rsidRPr="008A2EC6">
        <w:rPr>
          <w:rFonts w:ascii="Arial" w:hAnsi="Arial" w:cs="Arial"/>
          <w:b/>
          <w:bCs/>
          <w:sz w:val="24"/>
          <w:szCs w:val="24"/>
        </w:rPr>
        <w:t xml:space="preserve">Date </w:t>
      </w:r>
      <w:r w:rsidR="0055390F">
        <w:rPr>
          <w:rFonts w:ascii="Arial" w:hAnsi="Arial" w:cs="Arial"/>
          <w:b/>
          <w:bCs/>
          <w:sz w:val="24"/>
          <w:szCs w:val="24"/>
        </w:rPr>
        <w:t>he</w:t>
      </w:r>
      <w:r w:rsidRPr="008A2EC6">
        <w:rPr>
          <w:rFonts w:ascii="Arial" w:hAnsi="Arial" w:cs="Arial"/>
          <w:b/>
          <w:bCs/>
          <w:sz w:val="24"/>
          <w:szCs w:val="24"/>
        </w:rPr>
        <w:t xml:space="preserve">ard:  </w:t>
      </w:r>
      <w:r w:rsidR="00EB01C2">
        <w:rPr>
          <w:rFonts w:ascii="Arial" w:hAnsi="Arial" w:cs="Arial"/>
          <w:b/>
          <w:bCs/>
          <w:sz w:val="24"/>
          <w:szCs w:val="24"/>
        </w:rPr>
        <w:t>28/02/2024</w:t>
      </w:r>
    </w:p>
    <w:p w14:paraId="4115A20F" w14:textId="3031175D" w:rsidR="00D31321" w:rsidRPr="008A2EC6" w:rsidRDefault="008A2EC6" w:rsidP="00D31321">
      <w:pPr>
        <w:jc w:val="right"/>
        <w:rPr>
          <w:rFonts w:ascii="Arial" w:hAnsi="Arial" w:cs="Arial"/>
          <w:b/>
          <w:bCs/>
          <w:sz w:val="24"/>
          <w:szCs w:val="24"/>
        </w:rPr>
      </w:pPr>
      <w:r w:rsidRPr="008A2EC6">
        <w:rPr>
          <w:rFonts w:ascii="Arial" w:hAnsi="Arial" w:cs="Arial"/>
          <w:b/>
          <w:bCs/>
          <w:sz w:val="24"/>
          <w:szCs w:val="24"/>
        </w:rPr>
        <w:t xml:space="preserve">Date </w:t>
      </w:r>
      <w:r w:rsidR="0055390F">
        <w:rPr>
          <w:rFonts w:ascii="Arial" w:hAnsi="Arial" w:cs="Arial"/>
          <w:b/>
          <w:bCs/>
          <w:sz w:val="24"/>
          <w:szCs w:val="24"/>
        </w:rPr>
        <w:t>d</w:t>
      </w:r>
      <w:r w:rsidRPr="008A2EC6">
        <w:rPr>
          <w:rFonts w:ascii="Arial" w:hAnsi="Arial" w:cs="Arial"/>
          <w:b/>
          <w:bCs/>
          <w:sz w:val="24"/>
          <w:szCs w:val="24"/>
        </w:rPr>
        <w:t xml:space="preserve">elivered:  </w:t>
      </w:r>
      <w:r w:rsidR="00C12BF7">
        <w:rPr>
          <w:rFonts w:ascii="Arial" w:hAnsi="Arial" w:cs="Arial"/>
          <w:b/>
          <w:bCs/>
          <w:sz w:val="24"/>
          <w:szCs w:val="24"/>
        </w:rPr>
        <w:t>15/03/2024</w:t>
      </w:r>
    </w:p>
    <w:p w14:paraId="75F6F143" w14:textId="77777777" w:rsidR="00D31321" w:rsidRDefault="00D31321" w:rsidP="00D31321">
      <w:pPr>
        <w:jc w:val="both"/>
        <w:rPr>
          <w:rFonts w:ascii="Arial" w:hAnsi="Arial" w:cs="Arial"/>
          <w:sz w:val="24"/>
          <w:szCs w:val="24"/>
        </w:rPr>
      </w:pPr>
      <w:r>
        <w:rPr>
          <w:rFonts w:ascii="Arial" w:hAnsi="Arial" w:cs="Arial"/>
          <w:sz w:val="24"/>
          <w:szCs w:val="24"/>
        </w:rPr>
        <w:t>In the matter between:</w:t>
      </w:r>
    </w:p>
    <w:p w14:paraId="1D92930D" w14:textId="77777777" w:rsidR="00D31321" w:rsidRDefault="00D31321" w:rsidP="00D31321">
      <w:pPr>
        <w:jc w:val="both"/>
        <w:rPr>
          <w:rFonts w:ascii="Arial" w:hAnsi="Arial" w:cs="Arial"/>
          <w:sz w:val="24"/>
          <w:szCs w:val="24"/>
        </w:rPr>
      </w:pPr>
    </w:p>
    <w:p w14:paraId="1B200901" w14:textId="2BD71FD2" w:rsidR="00D31321" w:rsidRDefault="008A2EC6" w:rsidP="00D31321">
      <w:pPr>
        <w:jc w:val="both"/>
        <w:rPr>
          <w:rFonts w:ascii="Arial" w:hAnsi="Arial" w:cs="Arial"/>
          <w:b/>
          <w:sz w:val="24"/>
          <w:szCs w:val="24"/>
        </w:rPr>
      </w:pPr>
      <w:r>
        <w:rPr>
          <w:rFonts w:ascii="Arial" w:hAnsi="Arial" w:cs="Arial"/>
          <w:b/>
          <w:sz w:val="24"/>
          <w:szCs w:val="24"/>
        </w:rPr>
        <w:t>MORNE CHRISTO PRETORIUS</w:t>
      </w:r>
      <w:r>
        <w:rPr>
          <w:rFonts w:ascii="Arial" w:hAnsi="Arial" w:cs="Arial"/>
          <w:b/>
          <w:sz w:val="24"/>
          <w:szCs w:val="24"/>
        </w:rPr>
        <w:tab/>
      </w:r>
      <w:r w:rsidR="00C3509A">
        <w:rPr>
          <w:rFonts w:ascii="Arial" w:hAnsi="Arial" w:cs="Arial"/>
          <w:b/>
          <w:sz w:val="24"/>
          <w:szCs w:val="24"/>
        </w:rPr>
        <w:t xml:space="preserve">                                             </w:t>
      </w:r>
      <w:r w:rsidR="008368A6">
        <w:rPr>
          <w:rFonts w:ascii="Arial" w:hAnsi="Arial" w:cs="Arial"/>
          <w:b/>
          <w:sz w:val="24"/>
          <w:szCs w:val="24"/>
        </w:rPr>
        <w:t xml:space="preserve">              </w:t>
      </w:r>
      <w:r>
        <w:rPr>
          <w:rFonts w:ascii="Arial" w:hAnsi="Arial" w:cs="Arial"/>
          <w:b/>
          <w:sz w:val="24"/>
          <w:szCs w:val="24"/>
        </w:rPr>
        <w:t>A</w:t>
      </w:r>
      <w:r w:rsidR="00C3509A">
        <w:rPr>
          <w:rFonts w:ascii="Arial" w:hAnsi="Arial" w:cs="Arial"/>
          <w:b/>
          <w:sz w:val="24"/>
          <w:szCs w:val="24"/>
        </w:rPr>
        <w:t>PPELLANT</w:t>
      </w:r>
    </w:p>
    <w:p w14:paraId="37063671" w14:textId="77777777" w:rsidR="00D31321" w:rsidRDefault="00D31321" w:rsidP="00D31321">
      <w:pPr>
        <w:jc w:val="both"/>
        <w:rPr>
          <w:rFonts w:ascii="Arial" w:hAnsi="Arial" w:cs="Arial"/>
          <w:b/>
          <w:sz w:val="24"/>
          <w:szCs w:val="24"/>
        </w:rPr>
      </w:pPr>
    </w:p>
    <w:p w14:paraId="0463670B" w14:textId="77777777" w:rsidR="00D31321" w:rsidRDefault="00D31321" w:rsidP="00D31321">
      <w:pPr>
        <w:jc w:val="both"/>
        <w:rPr>
          <w:rFonts w:ascii="Arial" w:hAnsi="Arial" w:cs="Arial"/>
          <w:sz w:val="24"/>
          <w:szCs w:val="24"/>
        </w:rPr>
      </w:pPr>
      <w:r>
        <w:rPr>
          <w:rFonts w:ascii="Arial" w:hAnsi="Arial" w:cs="Arial"/>
          <w:sz w:val="24"/>
          <w:szCs w:val="24"/>
        </w:rPr>
        <w:t>and</w:t>
      </w:r>
    </w:p>
    <w:p w14:paraId="7474CA3D" w14:textId="77777777" w:rsidR="00D31321" w:rsidRDefault="00D31321" w:rsidP="00D31321">
      <w:pPr>
        <w:jc w:val="both"/>
        <w:rPr>
          <w:rFonts w:ascii="Arial" w:hAnsi="Arial" w:cs="Arial"/>
          <w:sz w:val="24"/>
          <w:szCs w:val="24"/>
        </w:rPr>
      </w:pPr>
    </w:p>
    <w:p w14:paraId="3F7F7DAC" w14:textId="7AB4EE8A" w:rsidR="00EA5735" w:rsidRPr="008A2EC6" w:rsidRDefault="008A2EC6" w:rsidP="00D31321">
      <w:pPr>
        <w:jc w:val="both"/>
        <w:rPr>
          <w:rFonts w:ascii="Arial" w:hAnsi="Arial" w:cs="Arial"/>
          <w:b/>
          <w:bCs/>
          <w:sz w:val="24"/>
          <w:szCs w:val="24"/>
        </w:rPr>
      </w:pPr>
      <w:r>
        <w:rPr>
          <w:rFonts w:ascii="Arial" w:hAnsi="Arial" w:cs="Arial"/>
          <w:b/>
          <w:bCs/>
          <w:sz w:val="24"/>
          <w:szCs w:val="24"/>
        </w:rPr>
        <w:t>THE STATE</w:t>
      </w:r>
      <w:r>
        <w:rPr>
          <w:rFonts w:ascii="Arial" w:hAnsi="Arial" w:cs="Arial"/>
          <w:b/>
          <w:bCs/>
          <w:sz w:val="24"/>
          <w:szCs w:val="24"/>
        </w:rPr>
        <w:tab/>
      </w:r>
      <w:r w:rsidR="00C3509A">
        <w:rPr>
          <w:rFonts w:ascii="Arial" w:hAnsi="Arial" w:cs="Arial"/>
          <w:b/>
          <w:bCs/>
          <w:sz w:val="24"/>
          <w:szCs w:val="24"/>
        </w:rPr>
        <w:t xml:space="preserve">                                                                      </w:t>
      </w:r>
      <w:r w:rsidR="008368A6">
        <w:rPr>
          <w:rFonts w:ascii="Arial" w:hAnsi="Arial" w:cs="Arial"/>
          <w:b/>
          <w:bCs/>
          <w:sz w:val="24"/>
          <w:szCs w:val="24"/>
        </w:rPr>
        <w:t xml:space="preserve">                  </w:t>
      </w:r>
      <w:r>
        <w:rPr>
          <w:rFonts w:ascii="Arial" w:hAnsi="Arial" w:cs="Arial"/>
          <w:b/>
          <w:bCs/>
          <w:sz w:val="24"/>
          <w:szCs w:val="24"/>
        </w:rPr>
        <w:t>R</w:t>
      </w:r>
      <w:r w:rsidR="00C3509A">
        <w:rPr>
          <w:rFonts w:ascii="Arial" w:hAnsi="Arial" w:cs="Arial"/>
          <w:b/>
          <w:bCs/>
          <w:sz w:val="24"/>
          <w:szCs w:val="24"/>
        </w:rPr>
        <w:t>ESPONDENT</w:t>
      </w:r>
    </w:p>
    <w:p w14:paraId="1904FE89" w14:textId="77777777" w:rsidR="00D31321" w:rsidRDefault="00D31321" w:rsidP="00D31321">
      <w:pPr>
        <w:jc w:val="both"/>
        <w:rPr>
          <w:rFonts w:ascii="Arial" w:hAnsi="Arial" w:cs="Arial"/>
          <w:sz w:val="24"/>
          <w:szCs w:val="24"/>
        </w:rPr>
      </w:pPr>
      <w:r>
        <w:rPr>
          <w:rFonts w:ascii="Arial" w:hAnsi="Arial" w:cs="Arial"/>
          <w:sz w:val="24"/>
          <w:szCs w:val="24"/>
        </w:rPr>
        <w:t>___________________________________________________________________</w:t>
      </w:r>
    </w:p>
    <w:p w14:paraId="061B7D41" w14:textId="284C2DFA" w:rsidR="00C3509A" w:rsidRDefault="00C3509A" w:rsidP="00D31321">
      <w:pPr>
        <w:jc w:val="center"/>
        <w:rPr>
          <w:rFonts w:ascii="Arial" w:hAnsi="Arial" w:cs="Arial"/>
          <w:b/>
          <w:sz w:val="24"/>
          <w:szCs w:val="24"/>
        </w:rPr>
      </w:pPr>
    </w:p>
    <w:p w14:paraId="6FA59972" w14:textId="7BDA7084" w:rsidR="00D31321" w:rsidRDefault="00D31321" w:rsidP="00D31321">
      <w:pPr>
        <w:jc w:val="center"/>
        <w:rPr>
          <w:rFonts w:ascii="Arial" w:hAnsi="Arial" w:cs="Arial"/>
          <w:b/>
          <w:sz w:val="24"/>
          <w:szCs w:val="24"/>
        </w:rPr>
      </w:pPr>
      <w:r>
        <w:rPr>
          <w:rFonts w:ascii="Arial" w:hAnsi="Arial" w:cs="Arial"/>
          <w:b/>
          <w:sz w:val="24"/>
          <w:szCs w:val="24"/>
        </w:rPr>
        <w:t>JUDGMENT</w:t>
      </w:r>
    </w:p>
    <w:p w14:paraId="3EFC95C9" w14:textId="77777777" w:rsidR="00D31321" w:rsidRDefault="00D31321" w:rsidP="00D31321">
      <w:pPr>
        <w:jc w:val="both"/>
        <w:rPr>
          <w:rFonts w:ascii="Arial" w:hAnsi="Arial" w:cs="Arial"/>
          <w:sz w:val="24"/>
          <w:szCs w:val="24"/>
        </w:rPr>
      </w:pPr>
      <w:r w:rsidRPr="00D31321">
        <w:rPr>
          <w:rFonts w:ascii="Arial" w:hAnsi="Arial" w:cs="Arial"/>
          <w:sz w:val="24"/>
          <w:szCs w:val="24"/>
        </w:rPr>
        <w:t>__________________________________________________________________</w:t>
      </w:r>
      <w:r>
        <w:rPr>
          <w:rFonts w:ascii="Arial" w:hAnsi="Arial" w:cs="Arial"/>
          <w:sz w:val="24"/>
          <w:szCs w:val="24"/>
        </w:rPr>
        <w:t>_</w:t>
      </w:r>
    </w:p>
    <w:p w14:paraId="759B0B31" w14:textId="2739A46F" w:rsidR="00D31321" w:rsidRDefault="00C941EE" w:rsidP="00232CFE">
      <w:pPr>
        <w:spacing w:after="360" w:line="360" w:lineRule="auto"/>
        <w:jc w:val="both"/>
        <w:rPr>
          <w:rFonts w:ascii="Arial" w:hAnsi="Arial" w:cs="Arial"/>
          <w:b/>
          <w:sz w:val="24"/>
          <w:szCs w:val="24"/>
        </w:rPr>
      </w:pPr>
      <w:r>
        <w:rPr>
          <w:rFonts w:ascii="Arial" w:hAnsi="Arial" w:cs="Arial"/>
          <w:b/>
          <w:sz w:val="24"/>
          <w:szCs w:val="24"/>
        </w:rPr>
        <w:t>Notyesi</w:t>
      </w:r>
      <w:r w:rsidR="002070EC">
        <w:rPr>
          <w:rFonts w:ascii="Arial" w:hAnsi="Arial" w:cs="Arial"/>
          <w:b/>
          <w:sz w:val="24"/>
          <w:szCs w:val="24"/>
        </w:rPr>
        <w:t xml:space="preserve"> AJ</w:t>
      </w:r>
      <w:r w:rsidR="00E9050F">
        <w:rPr>
          <w:rFonts w:ascii="Arial" w:hAnsi="Arial" w:cs="Arial"/>
          <w:b/>
          <w:sz w:val="24"/>
          <w:szCs w:val="24"/>
        </w:rPr>
        <w:t xml:space="preserve">: </w:t>
      </w:r>
    </w:p>
    <w:p w14:paraId="58095235" w14:textId="7A1FF113" w:rsidR="0005503E" w:rsidRPr="004E4E3B" w:rsidRDefault="0005503E" w:rsidP="00232CFE">
      <w:pPr>
        <w:spacing w:after="360" w:line="360" w:lineRule="auto"/>
        <w:jc w:val="both"/>
        <w:rPr>
          <w:rFonts w:ascii="Arial" w:hAnsi="Arial" w:cs="Arial"/>
          <w:b/>
          <w:sz w:val="24"/>
          <w:szCs w:val="24"/>
        </w:rPr>
      </w:pPr>
      <w:r>
        <w:rPr>
          <w:rFonts w:ascii="Arial" w:hAnsi="Arial" w:cs="Arial"/>
          <w:b/>
          <w:sz w:val="24"/>
          <w:szCs w:val="24"/>
        </w:rPr>
        <w:t>I</w:t>
      </w:r>
      <w:r w:rsidR="00C941EE">
        <w:rPr>
          <w:rFonts w:ascii="Arial" w:hAnsi="Arial" w:cs="Arial"/>
          <w:b/>
          <w:sz w:val="24"/>
          <w:szCs w:val="24"/>
        </w:rPr>
        <w:t>ntroduction</w:t>
      </w:r>
      <w:r w:rsidR="00E306BB">
        <w:rPr>
          <w:rFonts w:ascii="Arial" w:hAnsi="Arial" w:cs="Arial"/>
          <w:b/>
          <w:sz w:val="24"/>
          <w:szCs w:val="24"/>
        </w:rPr>
        <w:t xml:space="preserve">  </w:t>
      </w:r>
    </w:p>
    <w:p w14:paraId="5EE0F3E7" w14:textId="4A97AABC" w:rsidR="008368A6" w:rsidRPr="0071761E" w:rsidRDefault="007704C3" w:rsidP="007704C3">
      <w:pPr>
        <w:spacing w:after="120" w:line="360" w:lineRule="auto"/>
        <w:jc w:val="both"/>
        <w:rPr>
          <w:rFonts w:ascii="Arial" w:hAnsi="Arial" w:cs="Arial"/>
          <w:color w:val="FF0000"/>
          <w:sz w:val="24"/>
          <w:szCs w:val="24"/>
        </w:rPr>
      </w:pPr>
      <w:r w:rsidRPr="0071761E">
        <w:rPr>
          <w:rFonts w:ascii="Arial" w:hAnsi="Arial" w:cs="Arial"/>
          <w:sz w:val="24"/>
          <w:szCs w:val="24"/>
        </w:rPr>
        <w:t>[1]</w:t>
      </w:r>
      <w:r w:rsidRPr="0071761E">
        <w:rPr>
          <w:rFonts w:ascii="Arial" w:hAnsi="Arial" w:cs="Arial"/>
          <w:sz w:val="24"/>
          <w:szCs w:val="24"/>
        </w:rPr>
        <w:tab/>
      </w:r>
      <w:r w:rsidR="00F44B09" w:rsidRPr="004E4E3B">
        <w:rPr>
          <w:rFonts w:ascii="Arial" w:hAnsi="Arial" w:cs="Arial"/>
          <w:sz w:val="24"/>
          <w:szCs w:val="24"/>
        </w:rPr>
        <w:t>The appellan</w:t>
      </w:r>
      <w:r w:rsidR="00F44B09" w:rsidRPr="00E9050F">
        <w:rPr>
          <w:rFonts w:ascii="Arial" w:hAnsi="Arial" w:cs="Arial"/>
          <w:sz w:val="24"/>
          <w:szCs w:val="24"/>
        </w:rPr>
        <w:t>t, a 38</w:t>
      </w:r>
      <w:r w:rsidR="00C3509A" w:rsidRPr="00E9050F">
        <w:rPr>
          <w:rFonts w:ascii="Arial" w:hAnsi="Arial" w:cs="Arial"/>
          <w:sz w:val="24"/>
          <w:szCs w:val="24"/>
        </w:rPr>
        <w:t>-</w:t>
      </w:r>
      <w:r w:rsidR="007C347F" w:rsidRPr="00E9050F">
        <w:rPr>
          <w:rFonts w:ascii="Arial" w:hAnsi="Arial" w:cs="Arial"/>
          <w:sz w:val="24"/>
          <w:szCs w:val="24"/>
        </w:rPr>
        <w:t>ye</w:t>
      </w:r>
      <w:r w:rsidR="00F44B09" w:rsidRPr="00E9050F">
        <w:rPr>
          <w:rFonts w:ascii="Arial" w:hAnsi="Arial" w:cs="Arial"/>
          <w:sz w:val="24"/>
          <w:szCs w:val="24"/>
        </w:rPr>
        <w:t>ar</w:t>
      </w:r>
      <w:r w:rsidR="00C3509A" w:rsidRPr="00E9050F">
        <w:rPr>
          <w:rFonts w:ascii="Arial" w:hAnsi="Arial" w:cs="Arial"/>
          <w:sz w:val="24"/>
          <w:szCs w:val="24"/>
        </w:rPr>
        <w:t>-</w:t>
      </w:r>
      <w:r w:rsidR="00F44B09" w:rsidRPr="00E9050F">
        <w:rPr>
          <w:rFonts w:ascii="Arial" w:hAnsi="Arial" w:cs="Arial"/>
          <w:sz w:val="24"/>
          <w:szCs w:val="24"/>
        </w:rPr>
        <w:t xml:space="preserve">old man, stood trial in the regional court, Port Elizabeth (Eastern Cape). He pleaded guilty to and was convicted of 1 count of theft of stock </w:t>
      </w:r>
      <w:r w:rsidR="00EF46B3" w:rsidRPr="00E9050F">
        <w:rPr>
          <w:rFonts w:ascii="Arial" w:hAnsi="Arial" w:cs="Arial"/>
          <w:sz w:val="24"/>
          <w:szCs w:val="24"/>
        </w:rPr>
        <w:t xml:space="preserve">items </w:t>
      </w:r>
      <w:r w:rsidR="00F44B09" w:rsidRPr="00E9050F">
        <w:rPr>
          <w:rFonts w:ascii="Arial" w:hAnsi="Arial" w:cs="Arial"/>
          <w:sz w:val="24"/>
          <w:szCs w:val="24"/>
        </w:rPr>
        <w:t xml:space="preserve">from </w:t>
      </w:r>
      <w:r w:rsidR="001917E4" w:rsidRPr="00E9050F">
        <w:rPr>
          <w:rFonts w:ascii="Arial" w:hAnsi="Arial" w:cs="Arial"/>
          <w:sz w:val="24"/>
          <w:szCs w:val="24"/>
        </w:rPr>
        <w:t xml:space="preserve">his employer, </w:t>
      </w:r>
      <w:r w:rsidR="00F44B09" w:rsidRPr="00E9050F">
        <w:rPr>
          <w:rFonts w:ascii="Arial" w:hAnsi="Arial" w:cs="Arial"/>
          <w:sz w:val="24"/>
          <w:szCs w:val="24"/>
        </w:rPr>
        <w:t xml:space="preserve">a trading company. The total </w:t>
      </w:r>
      <w:r w:rsidR="00D85CD9" w:rsidRPr="00E9050F">
        <w:rPr>
          <w:rFonts w:ascii="Arial" w:hAnsi="Arial" w:cs="Arial"/>
          <w:sz w:val="24"/>
          <w:szCs w:val="24"/>
        </w:rPr>
        <w:t>value</w:t>
      </w:r>
      <w:r w:rsidR="00F44B09" w:rsidRPr="00E9050F">
        <w:rPr>
          <w:rFonts w:ascii="Arial" w:hAnsi="Arial" w:cs="Arial"/>
          <w:sz w:val="24"/>
          <w:szCs w:val="24"/>
        </w:rPr>
        <w:t xml:space="preserve"> of the </w:t>
      </w:r>
      <w:r w:rsidR="00D85CD9" w:rsidRPr="00E9050F">
        <w:rPr>
          <w:rFonts w:ascii="Arial" w:hAnsi="Arial" w:cs="Arial"/>
          <w:sz w:val="24"/>
          <w:szCs w:val="24"/>
        </w:rPr>
        <w:t>stolen stock</w:t>
      </w:r>
      <w:r w:rsidR="00F44B09" w:rsidRPr="00E9050F">
        <w:rPr>
          <w:rFonts w:ascii="Arial" w:hAnsi="Arial" w:cs="Arial"/>
          <w:sz w:val="24"/>
          <w:szCs w:val="24"/>
        </w:rPr>
        <w:t xml:space="preserve"> </w:t>
      </w:r>
      <w:r w:rsidR="00EF46B3" w:rsidRPr="00E9050F">
        <w:rPr>
          <w:rFonts w:ascii="Arial" w:hAnsi="Arial" w:cs="Arial"/>
          <w:sz w:val="24"/>
          <w:szCs w:val="24"/>
        </w:rPr>
        <w:t xml:space="preserve">items </w:t>
      </w:r>
      <w:r w:rsidR="00F44B09" w:rsidRPr="00E9050F">
        <w:rPr>
          <w:rFonts w:ascii="Arial" w:hAnsi="Arial" w:cs="Arial"/>
          <w:sz w:val="24"/>
          <w:szCs w:val="24"/>
        </w:rPr>
        <w:t xml:space="preserve">is </w:t>
      </w:r>
      <w:bookmarkStart w:id="1" w:name="_Hlk160548377"/>
      <w:r w:rsidR="00F44B09" w:rsidRPr="00E9050F">
        <w:rPr>
          <w:rFonts w:ascii="Arial" w:hAnsi="Arial" w:cs="Arial"/>
          <w:sz w:val="24"/>
          <w:szCs w:val="24"/>
        </w:rPr>
        <w:t>R1 479</w:t>
      </w:r>
      <w:r w:rsidR="00E77D62" w:rsidRPr="00E9050F">
        <w:rPr>
          <w:rFonts w:ascii="Arial" w:hAnsi="Arial" w:cs="Arial"/>
          <w:sz w:val="24"/>
          <w:szCs w:val="24"/>
        </w:rPr>
        <w:t> </w:t>
      </w:r>
      <w:r w:rsidR="00F44B09" w:rsidRPr="00E9050F">
        <w:rPr>
          <w:rFonts w:ascii="Arial" w:hAnsi="Arial" w:cs="Arial"/>
          <w:sz w:val="24"/>
          <w:szCs w:val="24"/>
        </w:rPr>
        <w:t>521</w:t>
      </w:r>
      <w:r w:rsidR="00E77D62" w:rsidRPr="00E9050F">
        <w:rPr>
          <w:rFonts w:ascii="Arial" w:hAnsi="Arial" w:cs="Arial"/>
          <w:sz w:val="24"/>
          <w:szCs w:val="24"/>
        </w:rPr>
        <w:t>.</w:t>
      </w:r>
      <w:r w:rsidR="00F44B09" w:rsidRPr="00E9050F">
        <w:rPr>
          <w:rFonts w:ascii="Arial" w:hAnsi="Arial" w:cs="Arial"/>
          <w:sz w:val="24"/>
          <w:szCs w:val="24"/>
        </w:rPr>
        <w:t>95</w:t>
      </w:r>
      <w:bookmarkEnd w:id="1"/>
      <w:r w:rsidR="00F44B09" w:rsidRPr="00E9050F">
        <w:rPr>
          <w:rFonts w:ascii="Arial" w:hAnsi="Arial" w:cs="Arial"/>
          <w:sz w:val="24"/>
          <w:szCs w:val="24"/>
        </w:rPr>
        <w:t xml:space="preserve">. </w:t>
      </w:r>
      <w:r w:rsidR="005E255F" w:rsidRPr="00E9050F">
        <w:rPr>
          <w:rFonts w:ascii="Arial" w:hAnsi="Arial" w:cs="Arial"/>
          <w:sz w:val="24"/>
          <w:szCs w:val="24"/>
        </w:rPr>
        <w:t>On 26 August 2020, t</w:t>
      </w:r>
      <w:r w:rsidR="006F7C8F" w:rsidRPr="00E9050F">
        <w:rPr>
          <w:rFonts w:ascii="Arial" w:hAnsi="Arial" w:cs="Arial"/>
          <w:sz w:val="24"/>
          <w:szCs w:val="24"/>
        </w:rPr>
        <w:t>he appellant</w:t>
      </w:r>
      <w:r w:rsidR="00F44B09" w:rsidRPr="00E9050F">
        <w:rPr>
          <w:rFonts w:ascii="Arial" w:hAnsi="Arial" w:cs="Arial"/>
          <w:sz w:val="24"/>
          <w:szCs w:val="24"/>
        </w:rPr>
        <w:t xml:space="preserve"> was sentenced to an effective </w:t>
      </w:r>
      <w:r w:rsidR="006F7C8F" w:rsidRPr="00E9050F">
        <w:rPr>
          <w:rFonts w:ascii="Arial" w:hAnsi="Arial" w:cs="Arial"/>
          <w:sz w:val="24"/>
          <w:szCs w:val="24"/>
        </w:rPr>
        <w:t xml:space="preserve">term of </w:t>
      </w:r>
      <w:r w:rsidR="00042CB4" w:rsidRPr="00E9050F">
        <w:rPr>
          <w:rFonts w:ascii="Arial" w:hAnsi="Arial" w:cs="Arial"/>
          <w:sz w:val="24"/>
          <w:szCs w:val="24"/>
        </w:rPr>
        <w:t>12</w:t>
      </w:r>
      <w:r w:rsidR="00F44B09" w:rsidRPr="00E9050F">
        <w:rPr>
          <w:rFonts w:ascii="Arial" w:hAnsi="Arial" w:cs="Arial"/>
          <w:sz w:val="24"/>
          <w:szCs w:val="24"/>
        </w:rPr>
        <w:t xml:space="preserve"> years’ imprisonment. </w:t>
      </w:r>
      <w:r w:rsidR="005E255F" w:rsidRPr="004E4E3B">
        <w:rPr>
          <w:rFonts w:ascii="Arial" w:hAnsi="Arial" w:cs="Arial"/>
          <w:sz w:val="24"/>
          <w:szCs w:val="24"/>
        </w:rPr>
        <w:t>The appellant</w:t>
      </w:r>
      <w:r w:rsidR="00E9050F" w:rsidRPr="004E4E3B">
        <w:rPr>
          <w:rFonts w:ascii="Arial" w:hAnsi="Arial" w:cs="Arial"/>
          <w:sz w:val="24"/>
          <w:szCs w:val="24"/>
        </w:rPr>
        <w:t>, having successfully petitioned the Judge President of this Division</w:t>
      </w:r>
      <w:r w:rsidR="004E4E3B">
        <w:rPr>
          <w:rFonts w:ascii="Arial" w:hAnsi="Arial" w:cs="Arial"/>
          <w:sz w:val="24"/>
          <w:szCs w:val="24"/>
        </w:rPr>
        <w:t>,</w:t>
      </w:r>
      <w:r w:rsidR="00E9050F" w:rsidRPr="004E4E3B">
        <w:rPr>
          <w:rFonts w:ascii="Arial" w:hAnsi="Arial" w:cs="Arial"/>
          <w:sz w:val="24"/>
          <w:szCs w:val="24"/>
        </w:rPr>
        <w:t xml:space="preserve"> </w:t>
      </w:r>
      <w:r w:rsidR="00F44B09" w:rsidRPr="004E4E3B">
        <w:rPr>
          <w:rFonts w:ascii="Arial" w:hAnsi="Arial" w:cs="Arial"/>
          <w:sz w:val="24"/>
          <w:szCs w:val="24"/>
        </w:rPr>
        <w:t>appeals against the sentence</w:t>
      </w:r>
      <w:r w:rsidR="00E9050F" w:rsidRPr="004E4E3B">
        <w:rPr>
          <w:rFonts w:ascii="Arial" w:hAnsi="Arial" w:cs="Arial"/>
          <w:sz w:val="24"/>
          <w:szCs w:val="24"/>
        </w:rPr>
        <w:t>.</w:t>
      </w:r>
      <w:r w:rsidR="006F2C8B" w:rsidRPr="004E4E3B">
        <w:rPr>
          <w:rFonts w:ascii="Arial" w:hAnsi="Arial" w:cs="Arial"/>
          <w:sz w:val="24"/>
          <w:szCs w:val="24"/>
        </w:rPr>
        <w:t xml:space="preserve"> </w:t>
      </w:r>
    </w:p>
    <w:p w14:paraId="23AF58EF" w14:textId="77777777" w:rsidR="0071761E" w:rsidRPr="00E9050F" w:rsidRDefault="0071761E" w:rsidP="0071761E">
      <w:pPr>
        <w:spacing w:after="120" w:line="360" w:lineRule="auto"/>
        <w:jc w:val="both"/>
        <w:rPr>
          <w:rFonts w:ascii="Arial" w:hAnsi="Arial" w:cs="Arial"/>
          <w:color w:val="FF0000"/>
          <w:sz w:val="24"/>
          <w:szCs w:val="24"/>
        </w:rPr>
      </w:pPr>
    </w:p>
    <w:p w14:paraId="62DF84DB" w14:textId="06C4E527" w:rsidR="002F120D" w:rsidRDefault="007704C3" w:rsidP="007704C3">
      <w:pPr>
        <w:spacing w:after="120" w:line="360" w:lineRule="auto"/>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5E255F">
        <w:rPr>
          <w:rFonts w:ascii="Arial" w:hAnsi="Arial" w:cs="Arial"/>
          <w:sz w:val="24"/>
          <w:szCs w:val="24"/>
        </w:rPr>
        <w:t>I</w:t>
      </w:r>
      <w:r w:rsidR="002F120D">
        <w:rPr>
          <w:rFonts w:ascii="Arial" w:hAnsi="Arial" w:cs="Arial"/>
          <w:sz w:val="24"/>
          <w:szCs w:val="24"/>
        </w:rPr>
        <w:t xml:space="preserve">n this appeal, it is contended </w:t>
      </w:r>
      <w:r w:rsidR="00EF46B3">
        <w:rPr>
          <w:rFonts w:ascii="Arial" w:hAnsi="Arial" w:cs="Arial"/>
          <w:sz w:val="24"/>
          <w:szCs w:val="24"/>
        </w:rPr>
        <w:t xml:space="preserve">on behalf of the appellant </w:t>
      </w:r>
      <w:r w:rsidR="002F120D">
        <w:rPr>
          <w:rFonts w:ascii="Arial" w:hAnsi="Arial" w:cs="Arial"/>
          <w:sz w:val="24"/>
          <w:szCs w:val="24"/>
        </w:rPr>
        <w:t xml:space="preserve">that the sentence imposed by the regional court is shockingly inappropriate and severe and that the Magistrate had erred in finding that there were no substantial and compelling reasons </w:t>
      </w:r>
      <w:r w:rsidR="005E255F">
        <w:rPr>
          <w:rFonts w:ascii="Arial" w:hAnsi="Arial" w:cs="Arial"/>
          <w:sz w:val="24"/>
          <w:szCs w:val="24"/>
        </w:rPr>
        <w:t xml:space="preserve">to justify the </w:t>
      </w:r>
      <w:r w:rsidR="002F120D">
        <w:rPr>
          <w:rFonts w:ascii="Arial" w:hAnsi="Arial" w:cs="Arial"/>
          <w:sz w:val="24"/>
          <w:szCs w:val="24"/>
        </w:rPr>
        <w:t>imposition of a lesser sentence.</w:t>
      </w:r>
      <w:r w:rsidR="00541011">
        <w:rPr>
          <w:rFonts w:ascii="Arial" w:hAnsi="Arial" w:cs="Arial"/>
          <w:sz w:val="24"/>
          <w:szCs w:val="24"/>
        </w:rPr>
        <w:t xml:space="preserve"> </w:t>
      </w:r>
      <w:r w:rsidR="00E64748">
        <w:rPr>
          <w:rFonts w:ascii="Arial" w:hAnsi="Arial" w:cs="Arial"/>
          <w:sz w:val="24"/>
          <w:szCs w:val="24"/>
        </w:rPr>
        <w:t>On the other hand, the state had contended that the sentence imposed by the regional magistrate was proportionate to the offence committed by the appellant and that the sentence is appropriate</w:t>
      </w:r>
      <w:r w:rsidR="00956B9A">
        <w:rPr>
          <w:rFonts w:ascii="Arial" w:hAnsi="Arial" w:cs="Arial"/>
          <w:sz w:val="24"/>
          <w:szCs w:val="24"/>
        </w:rPr>
        <w:t xml:space="preserve">, more so that the appellant had stolen from his employer. </w:t>
      </w:r>
    </w:p>
    <w:p w14:paraId="016FD1F2" w14:textId="77777777" w:rsidR="008368A6" w:rsidRDefault="008368A6" w:rsidP="008368A6">
      <w:pPr>
        <w:spacing w:after="120" w:line="360" w:lineRule="auto"/>
        <w:jc w:val="both"/>
        <w:rPr>
          <w:rFonts w:ascii="Arial" w:hAnsi="Arial" w:cs="Arial"/>
          <w:sz w:val="24"/>
          <w:szCs w:val="24"/>
        </w:rPr>
      </w:pPr>
    </w:p>
    <w:p w14:paraId="4E32C2C1" w14:textId="2B08AC40" w:rsidR="0055390F" w:rsidRDefault="007704C3" w:rsidP="007704C3">
      <w:pPr>
        <w:spacing w:after="12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EF46B3">
        <w:rPr>
          <w:rFonts w:ascii="Arial" w:hAnsi="Arial" w:cs="Arial"/>
          <w:sz w:val="24"/>
          <w:szCs w:val="24"/>
        </w:rPr>
        <w:t xml:space="preserve">On a proper conspectus, this appeal turns on </w:t>
      </w:r>
      <w:r w:rsidR="00E64748">
        <w:rPr>
          <w:rFonts w:ascii="Arial" w:hAnsi="Arial" w:cs="Arial"/>
          <w:sz w:val="24"/>
          <w:szCs w:val="24"/>
        </w:rPr>
        <w:t>o</w:t>
      </w:r>
      <w:r w:rsidR="00EF46B3">
        <w:rPr>
          <w:rFonts w:ascii="Arial" w:hAnsi="Arial" w:cs="Arial"/>
          <w:sz w:val="24"/>
          <w:szCs w:val="24"/>
        </w:rPr>
        <w:t>ne issue, whether the sentence imposed by the regional magistrate was</w:t>
      </w:r>
      <w:r w:rsidR="003743C0">
        <w:rPr>
          <w:rFonts w:ascii="Arial" w:hAnsi="Arial" w:cs="Arial"/>
          <w:sz w:val="24"/>
          <w:szCs w:val="24"/>
        </w:rPr>
        <w:t xml:space="preserve"> a</w:t>
      </w:r>
      <w:r w:rsidR="00EF46B3">
        <w:rPr>
          <w:rFonts w:ascii="Arial" w:hAnsi="Arial" w:cs="Arial"/>
          <w:sz w:val="24"/>
          <w:szCs w:val="24"/>
        </w:rPr>
        <w:t xml:space="preserve"> proportionate </w:t>
      </w:r>
      <w:r w:rsidR="003743C0">
        <w:rPr>
          <w:rFonts w:ascii="Arial" w:hAnsi="Arial" w:cs="Arial"/>
          <w:sz w:val="24"/>
          <w:szCs w:val="24"/>
        </w:rPr>
        <w:t xml:space="preserve">sentence </w:t>
      </w:r>
      <w:r w:rsidR="00EF46B3">
        <w:rPr>
          <w:rFonts w:ascii="Arial" w:hAnsi="Arial" w:cs="Arial"/>
          <w:sz w:val="24"/>
          <w:szCs w:val="24"/>
        </w:rPr>
        <w:t>to the offence</w:t>
      </w:r>
      <w:r w:rsidR="003743C0">
        <w:rPr>
          <w:rFonts w:ascii="Arial" w:hAnsi="Arial" w:cs="Arial"/>
          <w:sz w:val="24"/>
          <w:szCs w:val="24"/>
        </w:rPr>
        <w:t xml:space="preserve"> committed, upon consideration of all relevant factors. </w:t>
      </w:r>
    </w:p>
    <w:p w14:paraId="106498DE" w14:textId="7E494207" w:rsidR="008368A6" w:rsidRDefault="008368A6" w:rsidP="00326093">
      <w:pPr>
        <w:spacing w:after="120" w:line="360" w:lineRule="auto"/>
        <w:jc w:val="both"/>
        <w:rPr>
          <w:rFonts w:ascii="Arial" w:hAnsi="Arial" w:cs="Arial"/>
          <w:sz w:val="24"/>
          <w:szCs w:val="24"/>
        </w:rPr>
      </w:pPr>
    </w:p>
    <w:p w14:paraId="4CD800F9" w14:textId="302B839B" w:rsidR="0055390F" w:rsidRDefault="0055390F" w:rsidP="00326093">
      <w:pPr>
        <w:spacing w:after="120" w:line="360" w:lineRule="auto"/>
        <w:jc w:val="both"/>
        <w:rPr>
          <w:rFonts w:ascii="Arial" w:hAnsi="Arial" w:cs="Arial"/>
          <w:b/>
          <w:bCs/>
          <w:sz w:val="24"/>
          <w:szCs w:val="24"/>
        </w:rPr>
      </w:pPr>
      <w:r>
        <w:rPr>
          <w:rFonts w:ascii="Arial" w:hAnsi="Arial" w:cs="Arial"/>
          <w:b/>
          <w:bCs/>
          <w:sz w:val="24"/>
          <w:szCs w:val="24"/>
        </w:rPr>
        <w:t>B</w:t>
      </w:r>
      <w:r w:rsidR="00326093">
        <w:rPr>
          <w:rFonts w:ascii="Arial" w:hAnsi="Arial" w:cs="Arial"/>
          <w:b/>
          <w:bCs/>
          <w:sz w:val="24"/>
          <w:szCs w:val="24"/>
        </w:rPr>
        <w:t>ackground</w:t>
      </w:r>
    </w:p>
    <w:p w14:paraId="3769EDCF" w14:textId="136BD64B" w:rsidR="00484D8E" w:rsidRDefault="007704C3" w:rsidP="007704C3">
      <w:pPr>
        <w:spacing w:after="12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CB7184">
        <w:rPr>
          <w:rFonts w:ascii="Arial" w:hAnsi="Arial" w:cs="Arial"/>
          <w:sz w:val="24"/>
          <w:szCs w:val="24"/>
        </w:rPr>
        <w:t xml:space="preserve">The appellant was employed as a manager by a company known as Supply Five Distribution (Pty) Ltd. </w:t>
      </w:r>
      <w:r w:rsidR="009666D5">
        <w:rPr>
          <w:rFonts w:ascii="Arial" w:hAnsi="Arial" w:cs="Arial"/>
          <w:sz w:val="24"/>
          <w:szCs w:val="24"/>
        </w:rPr>
        <w:t>He was stationed at a Port Elizabeth branch of the company</w:t>
      </w:r>
      <w:r w:rsidR="008807A9">
        <w:rPr>
          <w:rFonts w:ascii="Arial" w:hAnsi="Arial" w:cs="Arial"/>
          <w:sz w:val="24"/>
          <w:szCs w:val="24"/>
        </w:rPr>
        <w:t>. The branch was</w:t>
      </w:r>
      <w:r w:rsidR="009666D5">
        <w:rPr>
          <w:rFonts w:ascii="Arial" w:hAnsi="Arial" w:cs="Arial"/>
          <w:sz w:val="24"/>
          <w:szCs w:val="24"/>
        </w:rPr>
        <w:t xml:space="preserve"> situated at 1 to 7 Burman Road, Deal Party. The headquarters of the company were in Cape Town. </w:t>
      </w:r>
      <w:r w:rsidR="00C07F17">
        <w:rPr>
          <w:rFonts w:ascii="Arial" w:hAnsi="Arial" w:cs="Arial"/>
          <w:sz w:val="24"/>
          <w:szCs w:val="24"/>
        </w:rPr>
        <w:t xml:space="preserve">The company traded as wholesalers of shutter </w:t>
      </w:r>
      <w:r w:rsidR="0017715C">
        <w:rPr>
          <w:rFonts w:ascii="Arial" w:hAnsi="Arial" w:cs="Arial"/>
          <w:sz w:val="24"/>
          <w:szCs w:val="24"/>
        </w:rPr>
        <w:t>plywood</w:t>
      </w:r>
      <w:r w:rsidR="00C07F17">
        <w:rPr>
          <w:rFonts w:ascii="Arial" w:hAnsi="Arial" w:cs="Arial"/>
          <w:sz w:val="24"/>
          <w:szCs w:val="24"/>
        </w:rPr>
        <w:t xml:space="preserve"> and other timber products. </w:t>
      </w:r>
      <w:r w:rsidR="002B731A">
        <w:rPr>
          <w:rFonts w:ascii="Arial" w:hAnsi="Arial" w:cs="Arial"/>
          <w:sz w:val="24"/>
          <w:szCs w:val="24"/>
        </w:rPr>
        <w:t xml:space="preserve">The company </w:t>
      </w:r>
      <w:r w:rsidR="00CE1056">
        <w:rPr>
          <w:rFonts w:ascii="Arial" w:hAnsi="Arial" w:cs="Arial"/>
          <w:sz w:val="24"/>
          <w:szCs w:val="24"/>
        </w:rPr>
        <w:t xml:space="preserve">had </w:t>
      </w:r>
      <w:r w:rsidR="002B731A">
        <w:rPr>
          <w:rFonts w:ascii="Arial" w:hAnsi="Arial" w:cs="Arial"/>
          <w:sz w:val="24"/>
          <w:szCs w:val="24"/>
        </w:rPr>
        <w:t xml:space="preserve">stored all its stock </w:t>
      </w:r>
      <w:r w:rsidR="004B2808">
        <w:rPr>
          <w:rFonts w:ascii="Arial" w:hAnsi="Arial" w:cs="Arial"/>
          <w:sz w:val="24"/>
          <w:szCs w:val="24"/>
        </w:rPr>
        <w:t xml:space="preserve">in respect of the Port Elizabeth branch </w:t>
      </w:r>
      <w:r w:rsidR="002B731A">
        <w:rPr>
          <w:rFonts w:ascii="Arial" w:hAnsi="Arial" w:cs="Arial"/>
          <w:sz w:val="24"/>
          <w:szCs w:val="24"/>
        </w:rPr>
        <w:t xml:space="preserve">at the premises in Burman Road, Deal Party, Port Elizabeth. </w:t>
      </w:r>
    </w:p>
    <w:p w14:paraId="650C9E8D" w14:textId="77777777" w:rsidR="008368A6" w:rsidRDefault="008368A6" w:rsidP="008368A6">
      <w:pPr>
        <w:spacing w:after="120" w:line="360" w:lineRule="auto"/>
        <w:jc w:val="both"/>
        <w:rPr>
          <w:rFonts w:ascii="Arial" w:hAnsi="Arial" w:cs="Arial"/>
          <w:sz w:val="24"/>
          <w:szCs w:val="24"/>
        </w:rPr>
      </w:pPr>
    </w:p>
    <w:p w14:paraId="50063395" w14:textId="4D5D6801" w:rsidR="002B731A" w:rsidRDefault="007704C3" w:rsidP="007704C3">
      <w:pPr>
        <w:spacing w:after="12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2B731A">
        <w:rPr>
          <w:rFonts w:ascii="Arial" w:hAnsi="Arial" w:cs="Arial"/>
          <w:sz w:val="24"/>
          <w:szCs w:val="24"/>
        </w:rPr>
        <w:t xml:space="preserve">The </w:t>
      </w:r>
      <w:r w:rsidR="00CE1056">
        <w:rPr>
          <w:rFonts w:ascii="Arial" w:hAnsi="Arial" w:cs="Arial"/>
          <w:sz w:val="24"/>
          <w:szCs w:val="24"/>
        </w:rPr>
        <w:t xml:space="preserve">duties of the appellant included, </w:t>
      </w:r>
      <w:r w:rsidR="00CE1056" w:rsidRPr="008368A6">
        <w:rPr>
          <w:rFonts w:ascii="Arial" w:hAnsi="Arial" w:cs="Arial"/>
          <w:i/>
          <w:iCs/>
          <w:sz w:val="24"/>
          <w:szCs w:val="24"/>
        </w:rPr>
        <w:t>inter alia</w:t>
      </w:r>
      <w:r w:rsidR="00CE1056">
        <w:rPr>
          <w:rFonts w:ascii="Arial" w:hAnsi="Arial" w:cs="Arial"/>
          <w:sz w:val="24"/>
          <w:szCs w:val="24"/>
        </w:rPr>
        <w:t xml:space="preserve">, sales, marketing, invoicing and stock control. </w:t>
      </w:r>
      <w:r w:rsidR="00F81073">
        <w:rPr>
          <w:rFonts w:ascii="Arial" w:hAnsi="Arial" w:cs="Arial"/>
          <w:sz w:val="24"/>
          <w:szCs w:val="24"/>
        </w:rPr>
        <w:t>The directors of the main company, Craig and Marlene Bradnick</w:t>
      </w:r>
      <w:r w:rsidR="00DD4EFA">
        <w:rPr>
          <w:rFonts w:ascii="Arial" w:hAnsi="Arial" w:cs="Arial"/>
          <w:sz w:val="24"/>
          <w:szCs w:val="24"/>
        </w:rPr>
        <w:t xml:space="preserve"> </w:t>
      </w:r>
      <w:r w:rsidR="00DD4EFA" w:rsidRPr="004E4E3B">
        <w:rPr>
          <w:rFonts w:ascii="Arial" w:hAnsi="Arial" w:cs="Arial"/>
          <w:sz w:val="24"/>
          <w:szCs w:val="24"/>
        </w:rPr>
        <w:t>(“Marlene”)</w:t>
      </w:r>
      <w:r w:rsidR="00F81073" w:rsidRPr="004E4E3B">
        <w:rPr>
          <w:rFonts w:ascii="Arial" w:hAnsi="Arial" w:cs="Arial"/>
          <w:sz w:val="24"/>
          <w:szCs w:val="24"/>
        </w:rPr>
        <w:t xml:space="preserve"> </w:t>
      </w:r>
      <w:r w:rsidR="00F81073">
        <w:rPr>
          <w:rFonts w:ascii="Arial" w:hAnsi="Arial" w:cs="Arial"/>
          <w:sz w:val="24"/>
          <w:szCs w:val="24"/>
        </w:rPr>
        <w:t xml:space="preserve">were the supervisors of the appellant. </w:t>
      </w:r>
      <w:r w:rsidR="00760A40">
        <w:rPr>
          <w:rFonts w:ascii="Arial" w:hAnsi="Arial" w:cs="Arial"/>
          <w:sz w:val="24"/>
          <w:szCs w:val="24"/>
        </w:rPr>
        <w:t xml:space="preserve">The directors were based at the head office of the company in Cape Town. </w:t>
      </w:r>
      <w:r w:rsidR="003F4A0B">
        <w:rPr>
          <w:rFonts w:ascii="Arial" w:hAnsi="Arial" w:cs="Arial"/>
          <w:sz w:val="24"/>
          <w:szCs w:val="24"/>
        </w:rPr>
        <w:t xml:space="preserve">During the period between 11 January 2018 and 10 December 2018, on undisclosed occasions, the appellant stole stock items of the company </w:t>
      </w:r>
      <w:r w:rsidR="002536A4">
        <w:rPr>
          <w:rFonts w:ascii="Arial" w:hAnsi="Arial" w:cs="Arial"/>
          <w:sz w:val="24"/>
          <w:szCs w:val="24"/>
        </w:rPr>
        <w:t>to the</w:t>
      </w:r>
      <w:r w:rsidR="003F4A0B">
        <w:rPr>
          <w:rFonts w:ascii="Arial" w:hAnsi="Arial" w:cs="Arial"/>
          <w:sz w:val="24"/>
          <w:szCs w:val="24"/>
        </w:rPr>
        <w:t xml:space="preserve"> value of R1 479</w:t>
      </w:r>
      <w:r w:rsidR="00E77D62">
        <w:rPr>
          <w:rFonts w:ascii="Arial" w:hAnsi="Arial" w:cs="Arial"/>
          <w:sz w:val="24"/>
          <w:szCs w:val="24"/>
        </w:rPr>
        <w:t> </w:t>
      </w:r>
      <w:r w:rsidR="003F4A0B">
        <w:rPr>
          <w:rFonts w:ascii="Arial" w:hAnsi="Arial" w:cs="Arial"/>
          <w:sz w:val="24"/>
          <w:szCs w:val="24"/>
        </w:rPr>
        <w:t>521</w:t>
      </w:r>
      <w:r w:rsidR="00E77D62">
        <w:rPr>
          <w:rFonts w:ascii="Arial" w:hAnsi="Arial" w:cs="Arial"/>
          <w:sz w:val="24"/>
          <w:szCs w:val="24"/>
        </w:rPr>
        <w:t>.9</w:t>
      </w:r>
      <w:r w:rsidR="003F4A0B">
        <w:rPr>
          <w:rFonts w:ascii="Arial" w:hAnsi="Arial" w:cs="Arial"/>
          <w:sz w:val="24"/>
          <w:szCs w:val="24"/>
        </w:rPr>
        <w:t xml:space="preserve">5. </w:t>
      </w:r>
      <w:r w:rsidR="009B6EA4">
        <w:rPr>
          <w:rFonts w:ascii="Arial" w:hAnsi="Arial" w:cs="Arial"/>
          <w:sz w:val="24"/>
          <w:szCs w:val="24"/>
        </w:rPr>
        <w:t xml:space="preserve"> The appellant did not testify during trial. Marlene testified in aggravation of sentence. </w:t>
      </w:r>
    </w:p>
    <w:p w14:paraId="57EA3B46" w14:textId="77777777" w:rsidR="008368A6" w:rsidRDefault="008368A6" w:rsidP="008368A6">
      <w:pPr>
        <w:spacing w:after="120" w:line="360" w:lineRule="auto"/>
        <w:jc w:val="both"/>
        <w:rPr>
          <w:rFonts w:ascii="Arial" w:hAnsi="Arial" w:cs="Arial"/>
          <w:sz w:val="24"/>
          <w:szCs w:val="24"/>
        </w:rPr>
      </w:pPr>
    </w:p>
    <w:p w14:paraId="0E60722B" w14:textId="0E64D573" w:rsidR="008368A6" w:rsidRDefault="007704C3" w:rsidP="007704C3">
      <w:pPr>
        <w:spacing w:after="12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A27071">
        <w:rPr>
          <w:rFonts w:ascii="Arial" w:hAnsi="Arial" w:cs="Arial"/>
          <w:sz w:val="24"/>
          <w:szCs w:val="24"/>
        </w:rPr>
        <w:t xml:space="preserve">According to Marlene, </w:t>
      </w:r>
      <w:r w:rsidR="00915ABF">
        <w:rPr>
          <w:rFonts w:ascii="Arial" w:hAnsi="Arial" w:cs="Arial"/>
          <w:sz w:val="24"/>
          <w:szCs w:val="24"/>
        </w:rPr>
        <w:t xml:space="preserve">she had </w:t>
      </w:r>
      <w:r w:rsidR="00B268E5">
        <w:rPr>
          <w:rFonts w:ascii="Arial" w:hAnsi="Arial" w:cs="Arial"/>
          <w:sz w:val="24"/>
          <w:szCs w:val="24"/>
        </w:rPr>
        <w:t xml:space="preserve">noticed that </w:t>
      </w:r>
      <w:r w:rsidR="00867577">
        <w:rPr>
          <w:rFonts w:ascii="Arial" w:hAnsi="Arial" w:cs="Arial"/>
          <w:sz w:val="24"/>
          <w:szCs w:val="24"/>
        </w:rPr>
        <w:t xml:space="preserve">towards the end of 2018, </w:t>
      </w:r>
      <w:r w:rsidR="00B268E5">
        <w:rPr>
          <w:rFonts w:ascii="Arial" w:hAnsi="Arial" w:cs="Arial"/>
          <w:sz w:val="24"/>
          <w:szCs w:val="24"/>
        </w:rPr>
        <w:t>the sales were lower than normal</w:t>
      </w:r>
      <w:r w:rsidR="00B603CF">
        <w:rPr>
          <w:rFonts w:ascii="Arial" w:hAnsi="Arial" w:cs="Arial"/>
          <w:sz w:val="24"/>
          <w:szCs w:val="24"/>
        </w:rPr>
        <w:t xml:space="preserve"> in the Port Elizabeth branch. </w:t>
      </w:r>
      <w:r w:rsidR="00FF5310">
        <w:rPr>
          <w:rFonts w:ascii="Arial" w:hAnsi="Arial" w:cs="Arial"/>
          <w:sz w:val="24"/>
          <w:szCs w:val="24"/>
        </w:rPr>
        <w:t xml:space="preserve">It soon </w:t>
      </w:r>
      <w:r w:rsidR="008159F6">
        <w:rPr>
          <w:rFonts w:ascii="Arial" w:hAnsi="Arial" w:cs="Arial"/>
          <w:sz w:val="24"/>
          <w:szCs w:val="24"/>
        </w:rPr>
        <w:t>ca</w:t>
      </w:r>
      <w:r w:rsidR="00FF5310">
        <w:rPr>
          <w:rFonts w:ascii="Arial" w:hAnsi="Arial" w:cs="Arial"/>
          <w:sz w:val="24"/>
          <w:szCs w:val="24"/>
        </w:rPr>
        <w:t>me to their attention</w:t>
      </w:r>
      <w:r w:rsidR="008159F6">
        <w:rPr>
          <w:rFonts w:ascii="Arial" w:hAnsi="Arial" w:cs="Arial"/>
          <w:sz w:val="24"/>
          <w:szCs w:val="24"/>
        </w:rPr>
        <w:t xml:space="preserve">, as the directors of the company, </w:t>
      </w:r>
      <w:r w:rsidR="00FF5310">
        <w:rPr>
          <w:rFonts w:ascii="Arial" w:hAnsi="Arial" w:cs="Arial"/>
          <w:sz w:val="24"/>
          <w:szCs w:val="24"/>
        </w:rPr>
        <w:t xml:space="preserve">that </w:t>
      </w:r>
      <w:r w:rsidR="00867577">
        <w:rPr>
          <w:rFonts w:ascii="Arial" w:hAnsi="Arial" w:cs="Arial"/>
          <w:sz w:val="24"/>
          <w:szCs w:val="24"/>
        </w:rPr>
        <w:t xml:space="preserve">there was </w:t>
      </w:r>
      <w:r w:rsidR="00FF5310">
        <w:rPr>
          <w:rFonts w:ascii="Arial" w:hAnsi="Arial" w:cs="Arial"/>
          <w:sz w:val="24"/>
          <w:szCs w:val="24"/>
        </w:rPr>
        <w:t>a</w:t>
      </w:r>
      <w:r w:rsidR="008159F6">
        <w:rPr>
          <w:rFonts w:ascii="Arial" w:hAnsi="Arial" w:cs="Arial"/>
          <w:sz w:val="24"/>
          <w:szCs w:val="24"/>
        </w:rPr>
        <w:t>nother</w:t>
      </w:r>
      <w:r w:rsidR="00FF5310">
        <w:rPr>
          <w:rFonts w:ascii="Arial" w:hAnsi="Arial" w:cs="Arial"/>
          <w:sz w:val="24"/>
          <w:szCs w:val="24"/>
        </w:rPr>
        <w:t xml:space="preserve"> company </w:t>
      </w:r>
      <w:r w:rsidR="00867577">
        <w:rPr>
          <w:rFonts w:ascii="Arial" w:hAnsi="Arial" w:cs="Arial"/>
          <w:sz w:val="24"/>
          <w:szCs w:val="24"/>
        </w:rPr>
        <w:t xml:space="preserve">which </w:t>
      </w:r>
      <w:r w:rsidR="00915ABF">
        <w:rPr>
          <w:rFonts w:ascii="Arial" w:hAnsi="Arial" w:cs="Arial"/>
          <w:sz w:val="24"/>
          <w:szCs w:val="24"/>
        </w:rPr>
        <w:t xml:space="preserve">was </w:t>
      </w:r>
      <w:r w:rsidR="00867577">
        <w:rPr>
          <w:rFonts w:ascii="Arial" w:hAnsi="Arial" w:cs="Arial"/>
          <w:sz w:val="24"/>
          <w:szCs w:val="24"/>
        </w:rPr>
        <w:t>sell</w:t>
      </w:r>
      <w:r w:rsidR="00FF5310">
        <w:rPr>
          <w:rFonts w:ascii="Arial" w:hAnsi="Arial" w:cs="Arial"/>
          <w:sz w:val="24"/>
          <w:szCs w:val="24"/>
        </w:rPr>
        <w:t xml:space="preserve">ing their products. </w:t>
      </w:r>
      <w:r w:rsidR="008159F6">
        <w:rPr>
          <w:rFonts w:ascii="Arial" w:hAnsi="Arial" w:cs="Arial"/>
          <w:sz w:val="24"/>
          <w:szCs w:val="24"/>
        </w:rPr>
        <w:t>Based on that information, t</w:t>
      </w:r>
      <w:r w:rsidR="00FF5310">
        <w:rPr>
          <w:rFonts w:ascii="Arial" w:hAnsi="Arial" w:cs="Arial"/>
          <w:sz w:val="24"/>
          <w:szCs w:val="24"/>
        </w:rPr>
        <w:t xml:space="preserve">hey commenced with an </w:t>
      </w:r>
      <w:r w:rsidR="00134261">
        <w:rPr>
          <w:rFonts w:ascii="Arial" w:hAnsi="Arial" w:cs="Arial"/>
          <w:sz w:val="24"/>
          <w:szCs w:val="24"/>
        </w:rPr>
        <w:t xml:space="preserve">in-depth </w:t>
      </w:r>
      <w:r w:rsidR="00FF5310">
        <w:rPr>
          <w:rFonts w:ascii="Arial" w:hAnsi="Arial" w:cs="Arial"/>
          <w:sz w:val="24"/>
          <w:szCs w:val="24"/>
        </w:rPr>
        <w:lastRenderedPageBreak/>
        <w:t xml:space="preserve">investigation. </w:t>
      </w:r>
      <w:r w:rsidR="00134261">
        <w:rPr>
          <w:rFonts w:ascii="Arial" w:hAnsi="Arial" w:cs="Arial"/>
          <w:sz w:val="24"/>
          <w:szCs w:val="24"/>
        </w:rPr>
        <w:t>In the process of</w:t>
      </w:r>
      <w:r w:rsidR="00885C28">
        <w:rPr>
          <w:rFonts w:ascii="Arial" w:hAnsi="Arial" w:cs="Arial"/>
          <w:sz w:val="24"/>
          <w:szCs w:val="24"/>
        </w:rPr>
        <w:t xml:space="preserve"> </w:t>
      </w:r>
      <w:r w:rsidR="00915ABF">
        <w:rPr>
          <w:rFonts w:ascii="Arial" w:hAnsi="Arial" w:cs="Arial"/>
          <w:sz w:val="24"/>
          <w:szCs w:val="24"/>
        </w:rPr>
        <w:t>such</w:t>
      </w:r>
      <w:r w:rsidR="00885C28">
        <w:rPr>
          <w:rFonts w:ascii="Arial" w:hAnsi="Arial" w:cs="Arial"/>
          <w:sz w:val="24"/>
          <w:szCs w:val="24"/>
        </w:rPr>
        <w:t xml:space="preserve"> investigation, </w:t>
      </w:r>
      <w:r w:rsidR="00DF4672">
        <w:rPr>
          <w:rFonts w:ascii="Arial" w:hAnsi="Arial" w:cs="Arial"/>
          <w:sz w:val="24"/>
          <w:szCs w:val="24"/>
        </w:rPr>
        <w:t xml:space="preserve">they found out that </w:t>
      </w:r>
      <w:r w:rsidR="00DE22D2">
        <w:rPr>
          <w:rFonts w:ascii="Arial" w:hAnsi="Arial" w:cs="Arial"/>
          <w:sz w:val="24"/>
          <w:szCs w:val="24"/>
        </w:rPr>
        <w:t>t</w:t>
      </w:r>
      <w:r w:rsidR="00DF4672">
        <w:rPr>
          <w:rFonts w:ascii="Arial" w:hAnsi="Arial" w:cs="Arial"/>
          <w:sz w:val="24"/>
          <w:szCs w:val="24"/>
        </w:rPr>
        <w:t xml:space="preserve">he stock was missing from the </w:t>
      </w:r>
      <w:r w:rsidR="00885C28">
        <w:rPr>
          <w:rFonts w:ascii="Arial" w:hAnsi="Arial" w:cs="Arial"/>
          <w:sz w:val="24"/>
          <w:szCs w:val="24"/>
        </w:rPr>
        <w:t xml:space="preserve">Port Elizabeth </w:t>
      </w:r>
      <w:r w:rsidR="00DF4672">
        <w:rPr>
          <w:rFonts w:ascii="Arial" w:hAnsi="Arial" w:cs="Arial"/>
          <w:sz w:val="24"/>
          <w:szCs w:val="24"/>
        </w:rPr>
        <w:t xml:space="preserve">warehouse. </w:t>
      </w:r>
      <w:r w:rsidR="003858FC">
        <w:rPr>
          <w:rFonts w:ascii="Arial" w:hAnsi="Arial" w:cs="Arial"/>
          <w:sz w:val="24"/>
          <w:szCs w:val="24"/>
        </w:rPr>
        <w:t>They later established that the appellant was responsible for the theft</w:t>
      </w:r>
      <w:r w:rsidR="00134261">
        <w:rPr>
          <w:rFonts w:ascii="Arial" w:hAnsi="Arial" w:cs="Arial"/>
          <w:sz w:val="24"/>
          <w:szCs w:val="24"/>
        </w:rPr>
        <w:t xml:space="preserve"> of the stock</w:t>
      </w:r>
      <w:r w:rsidR="003858FC">
        <w:rPr>
          <w:rFonts w:ascii="Arial" w:hAnsi="Arial" w:cs="Arial"/>
          <w:sz w:val="24"/>
          <w:szCs w:val="24"/>
        </w:rPr>
        <w:t>.</w:t>
      </w:r>
    </w:p>
    <w:p w14:paraId="4958B89D" w14:textId="4A969860" w:rsidR="00A27071" w:rsidRDefault="00915ABF" w:rsidP="008368A6">
      <w:pPr>
        <w:spacing w:after="120" w:line="360" w:lineRule="auto"/>
        <w:jc w:val="both"/>
        <w:rPr>
          <w:rFonts w:ascii="Arial" w:hAnsi="Arial" w:cs="Arial"/>
          <w:sz w:val="24"/>
          <w:szCs w:val="24"/>
        </w:rPr>
      </w:pPr>
      <w:r>
        <w:rPr>
          <w:rFonts w:ascii="Arial" w:hAnsi="Arial" w:cs="Arial"/>
          <w:sz w:val="24"/>
          <w:szCs w:val="24"/>
        </w:rPr>
        <w:t xml:space="preserve"> </w:t>
      </w:r>
      <w:r w:rsidR="003858FC">
        <w:rPr>
          <w:rFonts w:ascii="Arial" w:hAnsi="Arial" w:cs="Arial"/>
          <w:sz w:val="24"/>
          <w:szCs w:val="24"/>
        </w:rPr>
        <w:t xml:space="preserve"> </w:t>
      </w:r>
    </w:p>
    <w:p w14:paraId="73D84331" w14:textId="3F6E8804" w:rsidR="008368A6" w:rsidRDefault="007704C3" w:rsidP="007704C3">
      <w:pPr>
        <w:spacing w:after="12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804C33" w:rsidRPr="00DD4EFA">
        <w:rPr>
          <w:rFonts w:ascii="Arial" w:hAnsi="Arial" w:cs="Arial"/>
          <w:sz w:val="24"/>
          <w:szCs w:val="24"/>
        </w:rPr>
        <w:t xml:space="preserve">The appellant </w:t>
      </w:r>
      <w:r w:rsidR="00804C33" w:rsidRPr="004E4E3B">
        <w:rPr>
          <w:rFonts w:ascii="Arial" w:hAnsi="Arial" w:cs="Arial"/>
          <w:sz w:val="24"/>
          <w:szCs w:val="24"/>
        </w:rPr>
        <w:t>confessed</w:t>
      </w:r>
      <w:r w:rsidR="00987E6C" w:rsidRPr="004E4E3B">
        <w:rPr>
          <w:rFonts w:ascii="Arial" w:hAnsi="Arial" w:cs="Arial"/>
          <w:sz w:val="24"/>
          <w:szCs w:val="24"/>
        </w:rPr>
        <w:t xml:space="preserve"> to the theft </w:t>
      </w:r>
      <w:r w:rsidR="00987E6C" w:rsidRPr="00DD4EFA">
        <w:rPr>
          <w:rFonts w:ascii="Arial" w:hAnsi="Arial" w:cs="Arial"/>
          <w:sz w:val="24"/>
          <w:szCs w:val="24"/>
        </w:rPr>
        <w:t>o</w:t>
      </w:r>
      <w:r w:rsidR="00804C33" w:rsidRPr="00DD4EFA">
        <w:rPr>
          <w:rFonts w:ascii="Arial" w:hAnsi="Arial" w:cs="Arial"/>
          <w:sz w:val="24"/>
          <w:szCs w:val="24"/>
        </w:rPr>
        <w:t xml:space="preserve">f the </w:t>
      </w:r>
      <w:r w:rsidR="00885C28" w:rsidRPr="00DD4EFA">
        <w:rPr>
          <w:rFonts w:ascii="Arial" w:hAnsi="Arial" w:cs="Arial"/>
          <w:sz w:val="24"/>
          <w:szCs w:val="24"/>
        </w:rPr>
        <w:t>missing</w:t>
      </w:r>
      <w:r w:rsidR="00804C33" w:rsidRPr="00DD4EFA">
        <w:rPr>
          <w:rFonts w:ascii="Arial" w:hAnsi="Arial" w:cs="Arial"/>
          <w:sz w:val="24"/>
          <w:szCs w:val="24"/>
        </w:rPr>
        <w:t xml:space="preserve"> items</w:t>
      </w:r>
      <w:r w:rsidR="00DD4EFA" w:rsidRPr="00DD4EFA">
        <w:rPr>
          <w:rFonts w:ascii="Arial" w:hAnsi="Arial" w:cs="Arial"/>
          <w:sz w:val="24"/>
          <w:szCs w:val="24"/>
        </w:rPr>
        <w:t xml:space="preserve"> </w:t>
      </w:r>
      <w:r w:rsidR="00DD4EFA">
        <w:rPr>
          <w:rFonts w:ascii="Arial" w:hAnsi="Arial" w:cs="Arial"/>
          <w:sz w:val="24"/>
          <w:szCs w:val="24"/>
        </w:rPr>
        <w:t xml:space="preserve">to Marlene on 10 December 2018. He had sent an email embodying his confession to her. </w:t>
      </w:r>
      <w:r w:rsidR="005527B3" w:rsidRPr="00DD4EFA">
        <w:rPr>
          <w:rFonts w:ascii="Arial" w:hAnsi="Arial" w:cs="Arial"/>
          <w:sz w:val="24"/>
          <w:szCs w:val="24"/>
        </w:rPr>
        <w:t>He was r</w:t>
      </w:r>
      <w:r w:rsidR="00A33A4F" w:rsidRPr="00DD4EFA">
        <w:rPr>
          <w:rFonts w:ascii="Arial" w:hAnsi="Arial" w:cs="Arial"/>
          <w:sz w:val="24"/>
          <w:szCs w:val="24"/>
        </w:rPr>
        <w:t>e</w:t>
      </w:r>
      <w:r w:rsidR="00DD4EFA">
        <w:rPr>
          <w:rFonts w:ascii="Arial" w:hAnsi="Arial" w:cs="Arial"/>
          <w:sz w:val="24"/>
          <w:szCs w:val="24"/>
        </w:rPr>
        <w:t>morseful</w:t>
      </w:r>
      <w:r w:rsidR="005527B3" w:rsidRPr="00DD4EFA">
        <w:rPr>
          <w:rFonts w:ascii="Arial" w:hAnsi="Arial" w:cs="Arial"/>
          <w:sz w:val="24"/>
          <w:szCs w:val="24"/>
        </w:rPr>
        <w:t xml:space="preserve"> </w:t>
      </w:r>
      <w:r w:rsidR="00DD4EFA">
        <w:rPr>
          <w:rFonts w:ascii="Arial" w:hAnsi="Arial" w:cs="Arial"/>
          <w:sz w:val="24"/>
          <w:szCs w:val="24"/>
        </w:rPr>
        <w:t xml:space="preserve">of </w:t>
      </w:r>
      <w:r w:rsidR="00A33A4F" w:rsidRPr="00DD4EFA">
        <w:rPr>
          <w:rFonts w:ascii="Arial" w:hAnsi="Arial" w:cs="Arial"/>
          <w:sz w:val="24"/>
          <w:szCs w:val="24"/>
        </w:rPr>
        <w:t>his actions</w:t>
      </w:r>
      <w:r w:rsidR="008B1F7A" w:rsidRPr="00DD4EFA">
        <w:rPr>
          <w:rFonts w:ascii="Arial" w:hAnsi="Arial" w:cs="Arial"/>
          <w:sz w:val="24"/>
          <w:szCs w:val="24"/>
        </w:rPr>
        <w:t xml:space="preserve">. </w:t>
      </w:r>
      <w:r w:rsidR="00DD4EFA" w:rsidRPr="00DD4EFA">
        <w:rPr>
          <w:rFonts w:ascii="Arial" w:hAnsi="Arial" w:cs="Arial"/>
          <w:sz w:val="24"/>
          <w:szCs w:val="24"/>
        </w:rPr>
        <w:t>He</w:t>
      </w:r>
      <w:r w:rsidR="00336DE3" w:rsidRPr="00DD4EFA">
        <w:rPr>
          <w:rFonts w:ascii="Arial" w:hAnsi="Arial" w:cs="Arial"/>
          <w:sz w:val="24"/>
          <w:szCs w:val="24"/>
        </w:rPr>
        <w:t xml:space="preserve"> was cooperative </w:t>
      </w:r>
      <w:r w:rsidR="005527B3" w:rsidRPr="00DD4EFA">
        <w:rPr>
          <w:rFonts w:ascii="Arial" w:hAnsi="Arial" w:cs="Arial"/>
          <w:sz w:val="24"/>
          <w:szCs w:val="24"/>
        </w:rPr>
        <w:t>during the</w:t>
      </w:r>
      <w:r w:rsidR="00987E6C" w:rsidRPr="00DD4EFA">
        <w:rPr>
          <w:rFonts w:ascii="Arial" w:hAnsi="Arial" w:cs="Arial"/>
          <w:sz w:val="24"/>
          <w:szCs w:val="24"/>
        </w:rPr>
        <w:t xml:space="preserve"> process of the</w:t>
      </w:r>
      <w:r w:rsidR="005527B3" w:rsidRPr="00DD4EFA">
        <w:rPr>
          <w:rFonts w:ascii="Arial" w:hAnsi="Arial" w:cs="Arial"/>
          <w:sz w:val="24"/>
          <w:szCs w:val="24"/>
        </w:rPr>
        <w:t xml:space="preserve"> investigation</w:t>
      </w:r>
      <w:r w:rsidR="00987E6C" w:rsidRPr="00DD4EFA">
        <w:rPr>
          <w:rFonts w:ascii="Arial" w:hAnsi="Arial" w:cs="Arial"/>
          <w:sz w:val="24"/>
          <w:szCs w:val="24"/>
        </w:rPr>
        <w:t>.  H</w:t>
      </w:r>
      <w:r w:rsidR="00336DE3" w:rsidRPr="00DD4EFA">
        <w:rPr>
          <w:rFonts w:ascii="Arial" w:hAnsi="Arial" w:cs="Arial"/>
          <w:sz w:val="24"/>
          <w:szCs w:val="24"/>
        </w:rPr>
        <w:t xml:space="preserve">e </w:t>
      </w:r>
      <w:r w:rsidR="00987E6C" w:rsidRPr="00DD4EFA">
        <w:rPr>
          <w:rFonts w:ascii="Arial" w:hAnsi="Arial" w:cs="Arial"/>
          <w:sz w:val="24"/>
          <w:szCs w:val="24"/>
        </w:rPr>
        <w:t xml:space="preserve">also </w:t>
      </w:r>
      <w:r w:rsidR="00336DE3" w:rsidRPr="00DD4EFA">
        <w:rPr>
          <w:rFonts w:ascii="Arial" w:hAnsi="Arial" w:cs="Arial"/>
          <w:sz w:val="24"/>
          <w:szCs w:val="24"/>
        </w:rPr>
        <w:t>volunteered to</w:t>
      </w:r>
      <w:r w:rsidR="005527B3" w:rsidRPr="00DD4EFA">
        <w:rPr>
          <w:rFonts w:ascii="Arial" w:hAnsi="Arial" w:cs="Arial"/>
          <w:sz w:val="24"/>
          <w:szCs w:val="24"/>
        </w:rPr>
        <w:t xml:space="preserve"> </w:t>
      </w:r>
      <w:r w:rsidR="00987E6C" w:rsidRPr="00DD4EFA">
        <w:rPr>
          <w:rFonts w:ascii="Arial" w:hAnsi="Arial" w:cs="Arial"/>
          <w:sz w:val="24"/>
          <w:szCs w:val="24"/>
        </w:rPr>
        <w:t>help the company</w:t>
      </w:r>
      <w:r w:rsidR="005527B3" w:rsidRPr="00DD4EFA">
        <w:rPr>
          <w:rFonts w:ascii="Arial" w:hAnsi="Arial" w:cs="Arial"/>
          <w:sz w:val="24"/>
          <w:szCs w:val="24"/>
        </w:rPr>
        <w:t xml:space="preserve"> in </w:t>
      </w:r>
      <w:r w:rsidR="00987E6C" w:rsidRPr="00DD4EFA">
        <w:rPr>
          <w:rFonts w:ascii="Arial" w:hAnsi="Arial" w:cs="Arial"/>
          <w:sz w:val="24"/>
          <w:szCs w:val="24"/>
        </w:rPr>
        <w:t xml:space="preserve">its </w:t>
      </w:r>
      <w:r w:rsidR="005527B3" w:rsidRPr="00DD4EFA">
        <w:rPr>
          <w:rFonts w:ascii="Arial" w:hAnsi="Arial" w:cs="Arial"/>
          <w:sz w:val="24"/>
          <w:szCs w:val="24"/>
        </w:rPr>
        <w:t xml:space="preserve">civil case </w:t>
      </w:r>
      <w:r w:rsidR="00D21EF3" w:rsidRPr="00DD4EFA">
        <w:rPr>
          <w:rFonts w:ascii="Arial" w:hAnsi="Arial" w:cs="Arial"/>
          <w:sz w:val="24"/>
          <w:szCs w:val="24"/>
        </w:rPr>
        <w:t>against Credit Guarantee</w:t>
      </w:r>
      <w:r w:rsidR="006C5F1E" w:rsidRPr="00DD4EFA">
        <w:rPr>
          <w:rFonts w:ascii="Arial" w:hAnsi="Arial" w:cs="Arial"/>
          <w:sz w:val="24"/>
          <w:szCs w:val="24"/>
        </w:rPr>
        <w:t xml:space="preserve">. </w:t>
      </w:r>
      <w:r w:rsidR="00D21EF3" w:rsidRPr="00DD4EFA">
        <w:rPr>
          <w:rFonts w:ascii="Arial" w:hAnsi="Arial" w:cs="Arial"/>
          <w:sz w:val="24"/>
          <w:szCs w:val="24"/>
        </w:rPr>
        <w:t xml:space="preserve">Credit Guarantee is </w:t>
      </w:r>
      <w:r w:rsidR="00987E6C" w:rsidRPr="00DD4EFA">
        <w:rPr>
          <w:rFonts w:ascii="Arial" w:hAnsi="Arial" w:cs="Arial"/>
          <w:sz w:val="24"/>
          <w:szCs w:val="24"/>
        </w:rPr>
        <w:t xml:space="preserve">a company </w:t>
      </w:r>
      <w:r w:rsidR="00D21EF3" w:rsidRPr="00DD4EFA">
        <w:rPr>
          <w:rFonts w:ascii="Arial" w:hAnsi="Arial" w:cs="Arial"/>
          <w:sz w:val="24"/>
          <w:szCs w:val="24"/>
        </w:rPr>
        <w:t xml:space="preserve">responsible for payment of debts in circumstances where the debtors are in default or in default of paying or the debtors are unable to honour their obligations for payment. </w:t>
      </w:r>
      <w:r w:rsidR="00987E6C" w:rsidRPr="00DD4EFA">
        <w:rPr>
          <w:rFonts w:ascii="Arial" w:hAnsi="Arial" w:cs="Arial"/>
          <w:sz w:val="24"/>
          <w:szCs w:val="24"/>
        </w:rPr>
        <w:t xml:space="preserve">According to Marlene, the assistance of the appellant was significant. </w:t>
      </w:r>
    </w:p>
    <w:p w14:paraId="3686305C" w14:textId="77777777" w:rsidR="00D6162E" w:rsidRPr="00DD4EFA" w:rsidRDefault="00D6162E" w:rsidP="00D6162E">
      <w:pPr>
        <w:spacing w:after="120" w:line="360" w:lineRule="auto"/>
        <w:jc w:val="both"/>
        <w:rPr>
          <w:rFonts w:ascii="Arial" w:hAnsi="Arial" w:cs="Arial"/>
          <w:sz w:val="24"/>
          <w:szCs w:val="24"/>
        </w:rPr>
      </w:pPr>
    </w:p>
    <w:p w14:paraId="445EDE6B" w14:textId="704FC612" w:rsidR="003917FD" w:rsidRDefault="007704C3" w:rsidP="007704C3">
      <w:pPr>
        <w:spacing w:after="12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915ABF">
        <w:rPr>
          <w:rFonts w:ascii="Arial" w:hAnsi="Arial" w:cs="Arial"/>
          <w:sz w:val="24"/>
          <w:szCs w:val="24"/>
        </w:rPr>
        <w:t>When charges were put to the appellant, a</w:t>
      </w:r>
      <w:r w:rsidR="005A66FA">
        <w:rPr>
          <w:rFonts w:ascii="Arial" w:hAnsi="Arial" w:cs="Arial"/>
          <w:sz w:val="24"/>
          <w:szCs w:val="24"/>
        </w:rPr>
        <w:t>t the commencement of the trial</w:t>
      </w:r>
      <w:r w:rsidR="001165C9">
        <w:rPr>
          <w:rFonts w:ascii="Arial" w:hAnsi="Arial" w:cs="Arial"/>
          <w:sz w:val="24"/>
          <w:szCs w:val="24"/>
        </w:rPr>
        <w:t>,</w:t>
      </w:r>
      <w:r w:rsidR="005A66FA">
        <w:rPr>
          <w:rFonts w:ascii="Arial" w:hAnsi="Arial" w:cs="Arial"/>
          <w:sz w:val="24"/>
          <w:szCs w:val="24"/>
        </w:rPr>
        <w:t xml:space="preserve"> </w:t>
      </w:r>
      <w:r w:rsidR="00915ABF">
        <w:rPr>
          <w:rFonts w:ascii="Arial" w:hAnsi="Arial" w:cs="Arial"/>
          <w:sz w:val="24"/>
          <w:szCs w:val="24"/>
        </w:rPr>
        <w:t xml:space="preserve">he had </w:t>
      </w:r>
      <w:r w:rsidR="001165C9">
        <w:rPr>
          <w:rFonts w:ascii="Arial" w:hAnsi="Arial" w:cs="Arial"/>
          <w:sz w:val="24"/>
          <w:szCs w:val="24"/>
        </w:rPr>
        <w:t>pleaded guilty</w:t>
      </w:r>
      <w:r w:rsidR="00915ABF">
        <w:rPr>
          <w:rFonts w:ascii="Arial" w:hAnsi="Arial" w:cs="Arial"/>
          <w:sz w:val="24"/>
          <w:szCs w:val="24"/>
        </w:rPr>
        <w:t xml:space="preserve"> to the charge of theft.  The appellant </w:t>
      </w:r>
      <w:r w:rsidR="005A66FA">
        <w:rPr>
          <w:rFonts w:ascii="Arial" w:hAnsi="Arial" w:cs="Arial"/>
          <w:sz w:val="24"/>
          <w:szCs w:val="24"/>
        </w:rPr>
        <w:t>submitted a statement in terms of section 112</w:t>
      </w:r>
      <w:r w:rsidR="00D10F45">
        <w:rPr>
          <w:rFonts w:ascii="Arial" w:hAnsi="Arial" w:cs="Arial"/>
          <w:sz w:val="24"/>
          <w:szCs w:val="24"/>
        </w:rPr>
        <w:t>(2)</w:t>
      </w:r>
      <w:r w:rsidR="005A66FA">
        <w:rPr>
          <w:rFonts w:ascii="Arial" w:hAnsi="Arial" w:cs="Arial"/>
          <w:sz w:val="24"/>
          <w:szCs w:val="24"/>
        </w:rPr>
        <w:t xml:space="preserve"> of the C</w:t>
      </w:r>
      <w:r w:rsidR="00915ABF">
        <w:rPr>
          <w:rFonts w:ascii="Arial" w:hAnsi="Arial" w:cs="Arial"/>
          <w:sz w:val="24"/>
          <w:szCs w:val="24"/>
        </w:rPr>
        <w:t>PA</w:t>
      </w:r>
      <w:r w:rsidR="00915ABF">
        <w:rPr>
          <w:rStyle w:val="FootnoteReference"/>
          <w:rFonts w:ascii="Arial" w:hAnsi="Arial" w:cs="Arial"/>
          <w:sz w:val="24"/>
          <w:szCs w:val="24"/>
        </w:rPr>
        <w:footnoteReference w:id="1"/>
      </w:r>
      <w:r w:rsidR="001165C9">
        <w:rPr>
          <w:rFonts w:ascii="Arial" w:hAnsi="Arial" w:cs="Arial"/>
          <w:sz w:val="24"/>
          <w:szCs w:val="24"/>
        </w:rPr>
        <w:t xml:space="preserve">. </w:t>
      </w:r>
      <w:r w:rsidR="005A66FA">
        <w:rPr>
          <w:rFonts w:ascii="Arial" w:hAnsi="Arial" w:cs="Arial"/>
          <w:sz w:val="24"/>
          <w:szCs w:val="24"/>
        </w:rPr>
        <w:t xml:space="preserve"> </w:t>
      </w:r>
      <w:r w:rsidR="00803C72">
        <w:rPr>
          <w:rFonts w:ascii="Arial" w:hAnsi="Arial" w:cs="Arial"/>
          <w:sz w:val="24"/>
          <w:szCs w:val="24"/>
        </w:rPr>
        <w:t>In his plea statement</w:t>
      </w:r>
      <w:r w:rsidR="001165C9">
        <w:rPr>
          <w:rFonts w:ascii="Arial" w:hAnsi="Arial" w:cs="Arial"/>
          <w:sz w:val="24"/>
          <w:szCs w:val="24"/>
        </w:rPr>
        <w:t xml:space="preserve">, </w:t>
      </w:r>
      <w:r w:rsidR="00803C72">
        <w:rPr>
          <w:rFonts w:ascii="Arial" w:hAnsi="Arial" w:cs="Arial"/>
          <w:sz w:val="24"/>
          <w:szCs w:val="24"/>
        </w:rPr>
        <w:t xml:space="preserve">the appellant stated that he had </w:t>
      </w:r>
      <w:r w:rsidR="001165C9">
        <w:rPr>
          <w:rFonts w:ascii="Arial" w:hAnsi="Arial" w:cs="Arial"/>
          <w:sz w:val="24"/>
          <w:szCs w:val="24"/>
        </w:rPr>
        <w:t>formed his own company called Ubuntu Supply.</w:t>
      </w:r>
      <w:r w:rsidR="0085615B">
        <w:rPr>
          <w:rFonts w:ascii="Arial" w:hAnsi="Arial" w:cs="Arial"/>
          <w:sz w:val="24"/>
          <w:szCs w:val="24"/>
        </w:rPr>
        <w:t xml:space="preserve"> </w:t>
      </w:r>
      <w:r w:rsidR="001165C9">
        <w:rPr>
          <w:rFonts w:ascii="Arial" w:hAnsi="Arial" w:cs="Arial"/>
          <w:sz w:val="24"/>
          <w:szCs w:val="24"/>
        </w:rPr>
        <w:t xml:space="preserve">When he started </w:t>
      </w:r>
      <w:r w:rsidR="00915ABF">
        <w:rPr>
          <w:rFonts w:ascii="Arial" w:hAnsi="Arial" w:cs="Arial"/>
          <w:sz w:val="24"/>
          <w:szCs w:val="24"/>
        </w:rPr>
        <w:t>his own</w:t>
      </w:r>
      <w:r w:rsidR="001165C9">
        <w:rPr>
          <w:rFonts w:ascii="Arial" w:hAnsi="Arial" w:cs="Arial"/>
          <w:sz w:val="24"/>
          <w:szCs w:val="24"/>
        </w:rPr>
        <w:t xml:space="preserve"> company, he </w:t>
      </w:r>
      <w:r w:rsidR="00915ABF">
        <w:rPr>
          <w:rFonts w:ascii="Arial" w:hAnsi="Arial" w:cs="Arial"/>
          <w:sz w:val="24"/>
          <w:szCs w:val="24"/>
        </w:rPr>
        <w:t xml:space="preserve">had no capital </w:t>
      </w:r>
      <w:r w:rsidR="001165C9">
        <w:rPr>
          <w:rFonts w:ascii="Arial" w:hAnsi="Arial" w:cs="Arial"/>
          <w:sz w:val="24"/>
          <w:szCs w:val="24"/>
        </w:rPr>
        <w:t xml:space="preserve">to purchase stock. </w:t>
      </w:r>
      <w:r w:rsidR="00E94CE0">
        <w:rPr>
          <w:rFonts w:ascii="Arial" w:hAnsi="Arial" w:cs="Arial"/>
          <w:sz w:val="24"/>
          <w:szCs w:val="24"/>
        </w:rPr>
        <w:t xml:space="preserve">He then decided to steal </w:t>
      </w:r>
      <w:r w:rsidR="00E94CE0" w:rsidRPr="004E4E3B">
        <w:rPr>
          <w:rFonts w:ascii="Arial" w:hAnsi="Arial" w:cs="Arial"/>
          <w:sz w:val="24"/>
          <w:szCs w:val="24"/>
        </w:rPr>
        <w:t>stock</w:t>
      </w:r>
      <w:r w:rsidR="00E94CE0" w:rsidRPr="00E9050F">
        <w:rPr>
          <w:rFonts w:ascii="Arial" w:hAnsi="Arial" w:cs="Arial"/>
          <w:color w:val="FF0000"/>
          <w:sz w:val="24"/>
          <w:szCs w:val="24"/>
        </w:rPr>
        <w:t xml:space="preserve"> </w:t>
      </w:r>
      <w:r w:rsidR="00915ABF">
        <w:rPr>
          <w:rFonts w:ascii="Arial" w:hAnsi="Arial" w:cs="Arial"/>
          <w:sz w:val="24"/>
          <w:szCs w:val="24"/>
        </w:rPr>
        <w:t>from</w:t>
      </w:r>
      <w:r w:rsidR="00E94CE0">
        <w:rPr>
          <w:rFonts w:ascii="Arial" w:hAnsi="Arial" w:cs="Arial"/>
          <w:sz w:val="24"/>
          <w:szCs w:val="24"/>
        </w:rPr>
        <w:t xml:space="preserve"> his emplo</w:t>
      </w:r>
      <w:r w:rsidR="00915ABF">
        <w:rPr>
          <w:rFonts w:ascii="Arial" w:hAnsi="Arial" w:cs="Arial"/>
          <w:sz w:val="24"/>
          <w:szCs w:val="24"/>
        </w:rPr>
        <w:t xml:space="preserve">yer, (the complainant company), </w:t>
      </w:r>
      <w:r w:rsidR="00DD3E96">
        <w:rPr>
          <w:rFonts w:ascii="Arial" w:hAnsi="Arial" w:cs="Arial"/>
          <w:sz w:val="24"/>
          <w:szCs w:val="24"/>
        </w:rPr>
        <w:t xml:space="preserve">between the period 11 January 2018 and 10 December 2018. </w:t>
      </w:r>
      <w:r w:rsidR="00CC2375">
        <w:rPr>
          <w:rFonts w:ascii="Arial" w:hAnsi="Arial" w:cs="Arial"/>
          <w:sz w:val="24"/>
          <w:szCs w:val="24"/>
        </w:rPr>
        <w:t>He had arranged for the stolen items to be transported from the company premises at 127 Burman Road to the clients of Ubuntu Supply</w:t>
      </w:r>
      <w:r w:rsidR="00333357">
        <w:rPr>
          <w:rFonts w:ascii="Arial" w:hAnsi="Arial" w:cs="Arial"/>
          <w:sz w:val="24"/>
          <w:szCs w:val="24"/>
        </w:rPr>
        <w:t xml:space="preserve"> (his own company). The clients would be invoiced in the name of Ubuntu Supply. </w:t>
      </w:r>
      <w:r w:rsidR="003917FD">
        <w:rPr>
          <w:rFonts w:ascii="Arial" w:hAnsi="Arial" w:cs="Arial"/>
          <w:sz w:val="24"/>
          <w:szCs w:val="24"/>
        </w:rPr>
        <w:t xml:space="preserve">The plea statement of the appellant was accepted by the state and he was convicted solely on the basis of the statement. </w:t>
      </w:r>
      <w:r w:rsidR="00921F05">
        <w:rPr>
          <w:rFonts w:ascii="Arial" w:hAnsi="Arial" w:cs="Arial"/>
          <w:sz w:val="24"/>
          <w:szCs w:val="24"/>
        </w:rPr>
        <w:t xml:space="preserve">Although the appellant did not testify, submissions from the bar were made on his behalf by his </w:t>
      </w:r>
      <w:r w:rsidR="00EF1751">
        <w:rPr>
          <w:rFonts w:ascii="Arial" w:hAnsi="Arial" w:cs="Arial"/>
          <w:sz w:val="24"/>
          <w:szCs w:val="24"/>
        </w:rPr>
        <w:t xml:space="preserve">legal representative. </w:t>
      </w:r>
    </w:p>
    <w:p w14:paraId="5CFE89DD" w14:textId="77777777" w:rsidR="008368A6" w:rsidRDefault="008368A6" w:rsidP="008368A6">
      <w:pPr>
        <w:spacing w:after="120" w:line="360" w:lineRule="auto"/>
        <w:jc w:val="both"/>
        <w:rPr>
          <w:rFonts w:ascii="Arial" w:hAnsi="Arial" w:cs="Arial"/>
          <w:sz w:val="24"/>
          <w:szCs w:val="24"/>
        </w:rPr>
      </w:pPr>
    </w:p>
    <w:p w14:paraId="1DCA6510" w14:textId="7558F22E" w:rsidR="008368A6" w:rsidRDefault="007704C3" w:rsidP="007704C3">
      <w:pPr>
        <w:spacing w:after="12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D10F45">
        <w:rPr>
          <w:rFonts w:ascii="Arial" w:hAnsi="Arial" w:cs="Arial"/>
          <w:sz w:val="24"/>
          <w:szCs w:val="24"/>
        </w:rPr>
        <w:t xml:space="preserve">For sentencing purposes, </w:t>
      </w:r>
      <w:r w:rsidR="0041685F">
        <w:rPr>
          <w:rFonts w:ascii="Arial" w:hAnsi="Arial" w:cs="Arial"/>
          <w:sz w:val="24"/>
          <w:szCs w:val="24"/>
        </w:rPr>
        <w:t xml:space="preserve">a probation </w:t>
      </w:r>
      <w:r w:rsidR="0041685F" w:rsidRPr="004E4E3B">
        <w:rPr>
          <w:rFonts w:ascii="Arial" w:hAnsi="Arial" w:cs="Arial"/>
          <w:sz w:val="24"/>
          <w:szCs w:val="24"/>
        </w:rPr>
        <w:t>officer</w:t>
      </w:r>
      <w:r w:rsidR="00E9050F" w:rsidRPr="004E4E3B">
        <w:rPr>
          <w:rFonts w:ascii="Arial" w:hAnsi="Arial" w:cs="Arial"/>
          <w:sz w:val="24"/>
          <w:szCs w:val="24"/>
        </w:rPr>
        <w:t>’s</w:t>
      </w:r>
      <w:r w:rsidR="0041685F" w:rsidRPr="004E4E3B">
        <w:rPr>
          <w:rFonts w:ascii="Arial" w:hAnsi="Arial" w:cs="Arial"/>
          <w:sz w:val="24"/>
          <w:szCs w:val="24"/>
        </w:rPr>
        <w:t xml:space="preserve"> re</w:t>
      </w:r>
      <w:r w:rsidR="0041685F">
        <w:rPr>
          <w:rFonts w:ascii="Arial" w:hAnsi="Arial" w:cs="Arial"/>
          <w:sz w:val="24"/>
          <w:szCs w:val="24"/>
        </w:rPr>
        <w:t xml:space="preserve">port from the Department of Social Development was </w:t>
      </w:r>
      <w:r w:rsidR="00921F05">
        <w:rPr>
          <w:rFonts w:ascii="Arial" w:hAnsi="Arial" w:cs="Arial"/>
          <w:sz w:val="24"/>
          <w:szCs w:val="24"/>
        </w:rPr>
        <w:t>submitted to court. The</w:t>
      </w:r>
      <w:r w:rsidR="0041685F">
        <w:rPr>
          <w:rFonts w:ascii="Arial" w:hAnsi="Arial" w:cs="Arial"/>
          <w:sz w:val="24"/>
          <w:szCs w:val="24"/>
        </w:rPr>
        <w:t xml:space="preserve"> report was </w:t>
      </w:r>
      <w:r w:rsidR="00921F05">
        <w:rPr>
          <w:rFonts w:ascii="Arial" w:hAnsi="Arial" w:cs="Arial"/>
          <w:sz w:val="24"/>
          <w:szCs w:val="24"/>
        </w:rPr>
        <w:t xml:space="preserve">admitted into record </w:t>
      </w:r>
      <w:r w:rsidR="0041685F">
        <w:rPr>
          <w:rFonts w:ascii="Arial" w:hAnsi="Arial" w:cs="Arial"/>
          <w:sz w:val="24"/>
          <w:szCs w:val="24"/>
        </w:rPr>
        <w:t xml:space="preserve">by consent of the </w:t>
      </w:r>
      <w:r w:rsidR="003A7854">
        <w:rPr>
          <w:rFonts w:ascii="Arial" w:hAnsi="Arial" w:cs="Arial"/>
          <w:sz w:val="24"/>
          <w:szCs w:val="24"/>
        </w:rPr>
        <w:t xml:space="preserve">appellant’s legal representative and the state. </w:t>
      </w:r>
      <w:r w:rsidR="005C7A49">
        <w:rPr>
          <w:rFonts w:ascii="Arial" w:hAnsi="Arial" w:cs="Arial"/>
          <w:sz w:val="24"/>
          <w:szCs w:val="24"/>
        </w:rPr>
        <w:t xml:space="preserve">A further report was received from Correctional Services. The latter report concerns the suitability of the appellant for correctional supervision as a form of punishment. </w:t>
      </w:r>
      <w:r w:rsidR="00921F05">
        <w:rPr>
          <w:rFonts w:ascii="Arial" w:hAnsi="Arial" w:cs="Arial"/>
          <w:sz w:val="24"/>
          <w:szCs w:val="24"/>
        </w:rPr>
        <w:t>The report was also admitted by consent of the parties.</w:t>
      </w:r>
    </w:p>
    <w:p w14:paraId="2F278739" w14:textId="1072C3B3" w:rsidR="00D10F45" w:rsidRDefault="00921F05" w:rsidP="008368A6">
      <w:pPr>
        <w:spacing w:after="120" w:line="360" w:lineRule="auto"/>
        <w:jc w:val="both"/>
        <w:rPr>
          <w:rFonts w:ascii="Arial" w:hAnsi="Arial" w:cs="Arial"/>
          <w:sz w:val="24"/>
          <w:szCs w:val="24"/>
        </w:rPr>
      </w:pPr>
      <w:r>
        <w:rPr>
          <w:rFonts w:ascii="Arial" w:hAnsi="Arial" w:cs="Arial"/>
          <w:sz w:val="24"/>
          <w:szCs w:val="24"/>
        </w:rPr>
        <w:lastRenderedPageBreak/>
        <w:t xml:space="preserve"> </w:t>
      </w:r>
    </w:p>
    <w:p w14:paraId="1C34D552" w14:textId="4CB5CBD1" w:rsidR="005C7A49" w:rsidRDefault="007704C3" w:rsidP="007704C3">
      <w:pPr>
        <w:spacing w:after="12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5C7A49">
        <w:rPr>
          <w:rFonts w:ascii="Arial" w:hAnsi="Arial" w:cs="Arial"/>
          <w:sz w:val="24"/>
          <w:szCs w:val="24"/>
        </w:rPr>
        <w:t xml:space="preserve">The probation officer’s report was prepared by </w:t>
      </w:r>
      <w:r w:rsidR="00DD4EFA" w:rsidRPr="00240544">
        <w:rPr>
          <w:rFonts w:ascii="Arial" w:hAnsi="Arial" w:cs="Arial"/>
          <w:sz w:val="24"/>
          <w:szCs w:val="24"/>
        </w:rPr>
        <w:t>Mrs</w:t>
      </w:r>
      <w:r w:rsidR="00DD4EFA" w:rsidRPr="004E4E3B">
        <w:rPr>
          <w:rFonts w:ascii="Arial" w:hAnsi="Arial" w:cs="Arial"/>
          <w:sz w:val="24"/>
          <w:szCs w:val="24"/>
        </w:rPr>
        <w:t xml:space="preserve"> </w:t>
      </w:r>
      <w:r w:rsidR="005C7A49">
        <w:rPr>
          <w:rFonts w:ascii="Arial" w:hAnsi="Arial" w:cs="Arial"/>
          <w:sz w:val="24"/>
          <w:szCs w:val="24"/>
        </w:rPr>
        <w:t>Sakhiseni Matshona</w:t>
      </w:r>
      <w:r w:rsidR="005C7C82">
        <w:rPr>
          <w:rFonts w:ascii="Arial" w:hAnsi="Arial" w:cs="Arial"/>
          <w:sz w:val="24"/>
          <w:szCs w:val="24"/>
        </w:rPr>
        <w:t>. S</w:t>
      </w:r>
      <w:r w:rsidR="005C7A49">
        <w:rPr>
          <w:rFonts w:ascii="Arial" w:hAnsi="Arial" w:cs="Arial"/>
          <w:sz w:val="24"/>
          <w:szCs w:val="24"/>
        </w:rPr>
        <w:t xml:space="preserve">he is in the service of the Department of Social Development and is a registered social worker. </w:t>
      </w:r>
      <w:r w:rsidR="00500E15">
        <w:rPr>
          <w:rFonts w:ascii="Arial" w:hAnsi="Arial" w:cs="Arial"/>
          <w:sz w:val="24"/>
          <w:szCs w:val="24"/>
        </w:rPr>
        <w:t xml:space="preserve">In the preparation of the report, the probation officer had interviewed the </w:t>
      </w:r>
      <w:r w:rsidR="00240544">
        <w:rPr>
          <w:rFonts w:ascii="Arial" w:hAnsi="Arial" w:cs="Arial"/>
          <w:sz w:val="24"/>
          <w:szCs w:val="24"/>
        </w:rPr>
        <w:t>appellant, Marlene</w:t>
      </w:r>
      <w:r w:rsidR="00500E15">
        <w:rPr>
          <w:rFonts w:ascii="Arial" w:hAnsi="Arial" w:cs="Arial"/>
          <w:sz w:val="24"/>
          <w:szCs w:val="24"/>
        </w:rPr>
        <w:t>, the appellant’s mother, Mrs Sharon Pretorius</w:t>
      </w:r>
      <w:r w:rsidR="0010162D">
        <w:rPr>
          <w:rFonts w:ascii="Arial" w:hAnsi="Arial" w:cs="Arial"/>
          <w:sz w:val="24"/>
          <w:szCs w:val="24"/>
        </w:rPr>
        <w:t xml:space="preserve"> (“Sharon”) </w:t>
      </w:r>
      <w:r w:rsidR="0007098E">
        <w:rPr>
          <w:rFonts w:ascii="Arial" w:hAnsi="Arial" w:cs="Arial"/>
          <w:sz w:val="24"/>
          <w:szCs w:val="24"/>
        </w:rPr>
        <w:t>an</w:t>
      </w:r>
      <w:r w:rsidR="00500E15">
        <w:rPr>
          <w:rFonts w:ascii="Arial" w:hAnsi="Arial" w:cs="Arial"/>
          <w:sz w:val="24"/>
          <w:szCs w:val="24"/>
        </w:rPr>
        <w:t>d M</w:t>
      </w:r>
      <w:r w:rsidR="0010162D">
        <w:rPr>
          <w:rFonts w:ascii="Arial" w:hAnsi="Arial" w:cs="Arial"/>
          <w:sz w:val="24"/>
          <w:szCs w:val="24"/>
        </w:rPr>
        <w:t>r</w:t>
      </w:r>
      <w:r w:rsidR="00500E15">
        <w:rPr>
          <w:rFonts w:ascii="Arial" w:hAnsi="Arial" w:cs="Arial"/>
          <w:sz w:val="24"/>
          <w:szCs w:val="24"/>
        </w:rPr>
        <w:t xml:space="preserve">s Charmaine </w:t>
      </w:r>
      <w:r w:rsidR="0010162D">
        <w:rPr>
          <w:rFonts w:ascii="Arial" w:hAnsi="Arial" w:cs="Arial"/>
          <w:sz w:val="24"/>
          <w:szCs w:val="24"/>
        </w:rPr>
        <w:t xml:space="preserve">(“Charmaine”) </w:t>
      </w:r>
      <w:r w:rsidR="00500E15">
        <w:rPr>
          <w:rFonts w:ascii="Arial" w:hAnsi="Arial" w:cs="Arial"/>
          <w:sz w:val="24"/>
          <w:szCs w:val="24"/>
        </w:rPr>
        <w:t>Pretorius, the appellant’s wife. The probation officer set out the appellant’s upbringing</w:t>
      </w:r>
      <w:r w:rsidR="00491913">
        <w:rPr>
          <w:rFonts w:ascii="Arial" w:hAnsi="Arial" w:cs="Arial"/>
          <w:sz w:val="24"/>
          <w:szCs w:val="24"/>
        </w:rPr>
        <w:t xml:space="preserve"> which is largely uneventful. </w:t>
      </w:r>
      <w:r w:rsidR="009611F8">
        <w:rPr>
          <w:rFonts w:ascii="Arial" w:hAnsi="Arial" w:cs="Arial"/>
          <w:sz w:val="24"/>
          <w:szCs w:val="24"/>
        </w:rPr>
        <w:t xml:space="preserve">The appellant was raised in a marital relationship between Mr Christo Erasmus </w:t>
      </w:r>
      <w:r w:rsidR="0010162D">
        <w:rPr>
          <w:rFonts w:ascii="Arial" w:hAnsi="Arial" w:cs="Arial"/>
          <w:sz w:val="24"/>
          <w:szCs w:val="24"/>
        </w:rPr>
        <w:t xml:space="preserve">(“Christo”) </w:t>
      </w:r>
      <w:r w:rsidR="009611F8">
        <w:rPr>
          <w:rFonts w:ascii="Arial" w:hAnsi="Arial" w:cs="Arial"/>
          <w:sz w:val="24"/>
          <w:szCs w:val="24"/>
        </w:rPr>
        <w:t xml:space="preserve">and Sharon. He was provided with his basic needs as both parents were employed. </w:t>
      </w:r>
      <w:r w:rsidR="0015216A">
        <w:rPr>
          <w:rFonts w:ascii="Arial" w:hAnsi="Arial" w:cs="Arial"/>
          <w:sz w:val="24"/>
          <w:szCs w:val="24"/>
        </w:rPr>
        <w:t xml:space="preserve">The appellant’s parents divorced when he was approximately </w:t>
      </w:r>
      <w:r w:rsidR="00B218C6">
        <w:rPr>
          <w:rFonts w:ascii="Arial" w:hAnsi="Arial" w:cs="Arial"/>
          <w:sz w:val="24"/>
          <w:szCs w:val="24"/>
        </w:rPr>
        <w:t>9</w:t>
      </w:r>
      <w:r w:rsidR="0015216A">
        <w:rPr>
          <w:rFonts w:ascii="Arial" w:hAnsi="Arial" w:cs="Arial"/>
          <w:sz w:val="24"/>
          <w:szCs w:val="24"/>
        </w:rPr>
        <w:t xml:space="preserve"> years old. </w:t>
      </w:r>
      <w:r w:rsidR="0006215F">
        <w:rPr>
          <w:rFonts w:ascii="Arial" w:hAnsi="Arial" w:cs="Arial"/>
          <w:sz w:val="24"/>
          <w:szCs w:val="24"/>
        </w:rPr>
        <w:t xml:space="preserve">After the divorce of the parents, the father stopped supporting the appellant. </w:t>
      </w:r>
    </w:p>
    <w:p w14:paraId="0D01930B" w14:textId="77777777" w:rsidR="008368A6" w:rsidRDefault="008368A6" w:rsidP="008368A6">
      <w:pPr>
        <w:spacing w:after="120" w:line="360" w:lineRule="auto"/>
        <w:jc w:val="both"/>
        <w:rPr>
          <w:rFonts w:ascii="Arial" w:hAnsi="Arial" w:cs="Arial"/>
          <w:sz w:val="24"/>
          <w:szCs w:val="24"/>
        </w:rPr>
      </w:pPr>
    </w:p>
    <w:p w14:paraId="501EDCBF" w14:textId="2C62286E" w:rsidR="006373C9" w:rsidRDefault="007704C3" w:rsidP="007704C3">
      <w:pPr>
        <w:spacing w:after="12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6373C9">
        <w:rPr>
          <w:rFonts w:ascii="Arial" w:hAnsi="Arial" w:cs="Arial"/>
          <w:sz w:val="24"/>
          <w:szCs w:val="24"/>
        </w:rPr>
        <w:t xml:space="preserve">The appellant </w:t>
      </w:r>
      <w:r w:rsidR="0074248B">
        <w:rPr>
          <w:rFonts w:ascii="Arial" w:hAnsi="Arial" w:cs="Arial"/>
          <w:sz w:val="24"/>
          <w:szCs w:val="24"/>
        </w:rPr>
        <w:t xml:space="preserve">first married when he was </w:t>
      </w:r>
      <w:r w:rsidR="00B218C6">
        <w:rPr>
          <w:rFonts w:ascii="Arial" w:hAnsi="Arial" w:cs="Arial"/>
          <w:sz w:val="24"/>
          <w:szCs w:val="24"/>
        </w:rPr>
        <w:t>27</w:t>
      </w:r>
      <w:r w:rsidR="0074248B">
        <w:rPr>
          <w:rFonts w:ascii="Arial" w:hAnsi="Arial" w:cs="Arial"/>
          <w:sz w:val="24"/>
          <w:szCs w:val="24"/>
        </w:rPr>
        <w:t xml:space="preserve"> years old</w:t>
      </w:r>
      <w:r w:rsidR="00B218C6">
        <w:rPr>
          <w:rFonts w:ascii="Arial" w:hAnsi="Arial" w:cs="Arial"/>
          <w:sz w:val="24"/>
          <w:szCs w:val="24"/>
        </w:rPr>
        <w:t xml:space="preserve">, although he later divorced with </w:t>
      </w:r>
      <w:r w:rsidR="00921F05">
        <w:rPr>
          <w:rFonts w:ascii="Arial" w:hAnsi="Arial" w:cs="Arial"/>
          <w:sz w:val="24"/>
          <w:szCs w:val="24"/>
        </w:rPr>
        <w:t xml:space="preserve">his </w:t>
      </w:r>
      <w:r w:rsidR="00B218C6">
        <w:rPr>
          <w:rFonts w:ascii="Arial" w:hAnsi="Arial" w:cs="Arial"/>
          <w:sz w:val="24"/>
          <w:szCs w:val="24"/>
        </w:rPr>
        <w:t xml:space="preserve">first wife. At </w:t>
      </w:r>
      <w:r w:rsidR="00F31D82">
        <w:rPr>
          <w:rFonts w:ascii="Arial" w:hAnsi="Arial" w:cs="Arial"/>
          <w:sz w:val="24"/>
          <w:szCs w:val="24"/>
        </w:rPr>
        <w:t xml:space="preserve">the </w:t>
      </w:r>
      <w:r w:rsidR="00B218C6">
        <w:rPr>
          <w:rFonts w:ascii="Arial" w:hAnsi="Arial" w:cs="Arial"/>
          <w:sz w:val="24"/>
          <w:szCs w:val="24"/>
        </w:rPr>
        <w:t xml:space="preserve">age </w:t>
      </w:r>
      <w:r w:rsidR="00F31D82">
        <w:rPr>
          <w:rFonts w:ascii="Arial" w:hAnsi="Arial" w:cs="Arial"/>
          <w:sz w:val="24"/>
          <w:szCs w:val="24"/>
        </w:rPr>
        <w:t xml:space="preserve">of </w:t>
      </w:r>
      <w:r w:rsidR="00B218C6">
        <w:rPr>
          <w:rFonts w:ascii="Arial" w:hAnsi="Arial" w:cs="Arial"/>
          <w:sz w:val="24"/>
          <w:szCs w:val="24"/>
        </w:rPr>
        <w:t xml:space="preserve">34 years, he married Charmaine. </w:t>
      </w:r>
      <w:r w:rsidR="00FE4990">
        <w:rPr>
          <w:rFonts w:ascii="Arial" w:hAnsi="Arial" w:cs="Arial"/>
          <w:sz w:val="24"/>
          <w:szCs w:val="24"/>
        </w:rPr>
        <w:t>On 13 October 2016, they were blessed with a baby boy. He liv</w:t>
      </w:r>
      <w:r w:rsidR="00A37D4B">
        <w:rPr>
          <w:rFonts w:ascii="Arial" w:hAnsi="Arial" w:cs="Arial"/>
          <w:sz w:val="24"/>
          <w:szCs w:val="24"/>
        </w:rPr>
        <w:t>ed wi</w:t>
      </w:r>
      <w:r w:rsidR="00FE4990">
        <w:rPr>
          <w:rFonts w:ascii="Arial" w:hAnsi="Arial" w:cs="Arial"/>
          <w:sz w:val="24"/>
          <w:szCs w:val="24"/>
        </w:rPr>
        <w:t xml:space="preserve">th his wife and child at </w:t>
      </w:r>
      <w:r w:rsidR="00A37D4B">
        <w:rPr>
          <w:rFonts w:ascii="Arial" w:hAnsi="Arial" w:cs="Arial"/>
          <w:sz w:val="24"/>
          <w:szCs w:val="24"/>
        </w:rPr>
        <w:t xml:space="preserve">a rented property at </w:t>
      </w:r>
      <w:r w:rsidR="00FE4990">
        <w:rPr>
          <w:rFonts w:ascii="Arial" w:hAnsi="Arial" w:cs="Arial"/>
          <w:sz w:val="24"/>
          <w:szCs w:val="24"/>
        </w:rPr>
        <w:t>Bluewater Bay</w:t>
      </w:r>
      <w:r w:rsidR="00A37D4B">
        <w:rPr>
          <w:rFonts w:ascii="Arial" w:hAnsi="Arial" w:cs="Arial"/>
          <w:sz w:val="24"/>
          <w:szCs w:val="24"/>
        </w:rPr>
        <w:t xml:space="preserve">, Port Elizabeth. </w:t>
      </w:r>
      <w:r w:rsidR="0068657D">
        <w:rPr>
          <w:rFonts w:ascii="Arial" w:hAnsi="Arial" w:cs="Arial"/>
          <w:sz w:val="24"/>
          <w:szCs w:val="24"/>
        </w:rPr>
        <w:t xml:space="preserve">They were able to provide for themselves and the child’s needs as both him and the wife were in gainful employment. </w:t>
      </w:r>
      <w:r w:rsidR="003F061C">
        <w:rPr>
          <w:rFonts w:ascii="Arial" w:hAnsi="Arial" w:cs="Arial"/>
          <w:sz w:val="24"/>
          <w:szCs w:val="24"/>
        </w:rPr>
        <w:t xml:space="preserve">He was employed by the complainant company </w:t>
      </w:r>
      <w:r w:rsidR="00921F05">
        <w:rPr>
          <w:rFonts w:ascii="Arial" w:hAnsi="Arial" w:cs="Arial"/>
          <w:sz w:val="24"/>
          <w:szCs w:val="24"/>
        </w:rPr>
        <w:t>at the time</w:t>
      </w:r>
      <w:r w:rsidR="003F061C">
        <w:rPr>
          <w:rFonts w:ascii="Arial" w:hAnsi="Arial" w:cs="Arial"/>
          <w:sz w:val="24"/>
          <w:szCs w:val="24"/>
        </w:rPr>
        <w:t xml:space="preserve">. </w:t>
      </w:r>
      <w:r w:rsidR="00A31CE3">
        <w:rPr>
          <w:rFonts w:ascii="Arial" w:hAnsi="Arial" w:cs="Arial"/>
          <w:sz w:val="24"/>
          <w:szCs w:val="24"/>
        </w:rPr>
        <w:t>During December 2017, his then directors informed him that they were about to close their Port Elizabeth branch and that his lay off was imminent. The appellant fear</w:t>
      </w:r>
      <w:r w:rsidR="0010162D">
        <w:rPr>
          <w:rFonts w:ascii="Arial" w:hAnsi="Arial" w:cs="Arial"/>
          <w:sz w:val="24"/>
          <w:szCs w:val="24"/>
        </w:rPr>
        <w:t>ed</w:t>
      </w:r>
      <w:r w:rsidR="00A31CE3">
        <w:rPr>
          <w:rFonts w:ascii="Arial" w:hAnsi="Arial" w:cs="Arial"/>
          <w:sz w:val="24"/>
          <w:szCs w:val="24"/>
        </w:rPr>
        <w:t xml:space="preserve"> that once his employment is terminated, he would no longer be </w:t>
      </w:r>
      <w:r w:rsidR="00F25B1B">
        <w:rPr>
          <w:rFonts w:ascii="Arial" w:hAnsi="Arial" w:cs="Arial"/>
          <w:sz w:val="24"/>
          <w:szCs w:val="24"/>
        </w:rPr>
        <w:t>in a position</w:t>
      </w:r>
      <w:r w:rsidR="00A31CE3">
        <w:rPr>
          <w:rFonts w:ascii="Arial" w:hAnsi="Arial" w:cs="Arial"/>
          <w:sz w:val="24"/>
          <w:szCs w:val="24"/>
        </w:rPr>
        <w:t xml:space="preserve"> to afford his life and to take care of </w:t>
      </w:r>
      <w:r w:rsidR="00F25B1B">
        <w:rPr>
          <w:rFonts w:ascii="Arial" w:hAnsi="Arial" w:cs="Arial"/>
          <w:sz w:val="24"/>
          <w:szCs w:val="24"/>
        </w:rPr>
        <w:t xml:space="preserve">his </w:t>
      </w:r>
      <w:r w:rsidR="00A31CE3">
        <w:rPr>
          <w:rFonts w:ascii="Arial" w:hAnsi="Arial" w:cs="Arial"/>
          <w:sz w:val="24"/>
          <w:szCs w:val="24"/>
        </w:rPr>
        <w:t xml:space="preserve">family and the interests of the minor child. </w:t>
      </w:r>
      <w:r w:rsidR="008A733D">
        <w:rPr>
          <w:rFonts w:ascii="Arial" w:hAnsi="Arial" w:cs="Arial"/>
          <w:sz w:val="24"/>
          <w:szCs w:val="24"/>
        </w:rPr>
        <w:t xml:space="preserve">He conceived an idea of forming his own company, </w:t>
      </w:r>
      <w:r w:rsidR="00454388">
        <w:rPr>
          <w:rFonts w:ascii="Arial" w:hAnsi="Arial" w:cs="Arial"/>
          <w:sz w:val="24"/>
          <w:szCs w:val="24"/>
        </w:rPr>
        <w:t xml:space="preserve">Ubuntu Supply, </w:t>
      </w:r>
      <w:r w:rsidR="008A733D">
        <w:rPr>
          <w:rFonts w:ascii="Arial" w:hAnsi="Arial" w:cs="Arial"/>
          <w:sz w:val="24"/>
          <w:szCs w:val="24"/>
        </w:rPr>
        <w:t xml:space="preserve">although he did not have the capital. </w:t>
      </w:r>
      <w:r w:rsidR="00921F05">
        <w:rPr>
          <w:rFonts w:ascii="Arial" w:hAnsi="Arial" w:cs="Arial"/>
          <w:sz w:val="24"/>
          <w:szCs w:val="24"/>
        </w:rPr>
        <w:t xml:space="preserve">The employer company was not closed down, although there were new directors who took over. </w:t>
      </w:r>
    </w:p>
    <w:p w14:paraId="72E6296E" w14:textId="77777777" w:rsidR="008368A6" w:rsidRDefault="008368A6" w:rsidP="008368A6">
      <w:pPr>
        <w:spacing w:after="120" w:line="360" w:lineRule="auto"/>
        <w:jc w:val="both"/>
        <w:rPr>
          <w:rFonts w:ascii="Arial" w:hAnsi="Arial" w:cs="Arial"/>
          <w:sz w:val="24"/>
          <w:szCs w:val="24"/>
        </w:rPr>
      </w:pPr>
    </w:p>
    <w:p w14:paraId="7C072046" w14:textId="44BD4739" w:rsidR="00795830" w:rsidRDefault="007704C3" w:rsidP="007704C3">
      <w:pPr>
        <w:spacing w:after="12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795830">
        <w:rPr>
          <w:rFonts w:ascii="Arial" w:hAnsi="Arial" w:cs="Arial"/>
          <w:sz w:val="24"/>
          <w:szCs w:val="24"/>
        </w:rPr>
        <w:t xml:space="preserve">The appellant confirmed that Marlene and Craig took over the company from the previous directors and retained him as the manager. He had a good relationship with them. </w:t>
      </w:r>
      <w:r w:rsidR="00544EFA">
        <w:rPr>
          <w:rFonts w:ascii="Arial" w:hAnsi="Arial" w:cs="Arial"/>
          <w:sz w:val="24"/>
          <w:szCs w:val="24"/>
        </w:rPr>
        <w:t>He regretted his actions</w:t>
      </w:r>
      <w:r w:rsidR="00902F06">
        <w:rPr>
          <w:rFonts w:ascii="Arial" w:hAnsi="Arial" w:cs="Arial"/>
          <w:sz w:val="24"/>
          <w:szCs w:val="24"/>
        </w:rPr>
        <w:t xml:space="preserve"> and resigned after the commission of the offence in question.</w:t>
      </w:r>
      <w:r w:rsidR="00921F05">
        <w:rPr>
          <w:rFonts w:ascii="Arial" w:hAnsi="Arial" w:cs="Arial"/>
          <w:sz w:val="24"/>
          <w:szCs w:val="24"/>
        </w:rPr>
        <w:t xml:space="preserve"> After his resignation, he was then </w:t>
      </w:r>
      <w:r w:rsidR="000F716D">
        <w:rPr>
          <w:rFonts w:ascii="Arial" w:hAnsi="Arial" w:cs="Arial"/>
          <w:sz w:val="24"/>
          <w:szCs w:val="24"/>
        </w:rPr>
        <w:t xml:space="preserve">employed as an Uber driver. </w:t>
      </w:r>
      <w:r w:rsidR="00AC515D">
        <w:rPr>
          <w:rFonts w:ascii="Arial" w:hAnsi="Arial" w:cs="Arial"/>
          <w:sz w:val="24"/>
          <w:szCs w:val="24"/>
        </w:rPr>
        <w:t xml:space="preserve">The appellant had no previous convictions. </w:t>
      </w:r>
      <w:r w:rsidR="00DA4919">
        <w:rPr>
          <w:rFonts w:ascii="Arial" w:hAnsi="Arial" w:cs="Arial"/>
          <w:sz w:val="24"/>
          <w:szCs w:val="24"/>
        </w:rPr>
        <w:t>At the time of the report, their son was 4</w:t>
      </w:r>
      <w:r w:rsidR="00042CB4">
        <w:rPr>
          <w:rFonts w:ascii="Arial" w:hAnsi="Arial" w:cs="Arial"/>
          <w:sz w:val="24"/>
          <w:szCs w:val="24"/>
        </w:rPr>
        <w:t xml:space="preserve"> </w:t>
      </w:r>
      <w:r w:rsidR="00DA4919">
        <w:rPr>
          <w:rFonts w:ascii="Arial" w:hAnsi="Arial" w:cs="Arial"/>
          <w:sz w:val="24"/>
          <w:szCs w:val="24"/>
        </w:rPr>
        <w:t>years old</w:t>
      </w:r>
      <w:r w:rsidR="008368A6">
        <w:rPr>
          <w:rFonts w:ascii="Arial" w:hAnsi="Arial" w:cs="Arial"/>
          <w:sz w:val="24"/>
          <w:szCs w:val="24"/>
        </w:rPr>
        <w:t>.</w:t>
      </w:r>
    </w:p>
    <w:p w14:paraId="6A65D409" w14:textId="77777777" w:rsidR="008368A6" w:rsidRDefault="008368A6" w:rsidP="008368A6">
      <w:pPr>
        <w:spacing w:after="120" w:line="360" w:lineRule="auto"/>
        <w:jc w:val="both"/>
        <w:rPr>
          <w:rFonts w:ascii="Arial" w:hAnsi="Arial" w:cs="Arial"/>
          <w:sz w:val="24"/>
          <w:szCs w:val="24"/>
        </w:rPr>
      </w:pPr>
    </w:p>
    <w:p w14:paraId="79E8489E" w14:textId="09B375DD" w:rsidR="00DA4919" w:rsidRDefault="007704C3" w:rsidP="007704C3">
      <w:pPr>
        <w:spacing w:after="120" w:line="360" w:lineRule="auto"/>
        <w:jc w:val="both"/>
        <w:rPr>
          <w:rFonts w:ascii="Arial" w:hAnsi="Arial" w:cs="Arial"/>
          <w:sz w:val="24"/>
          <w:szCs w:val="24"/>
        </w:rPr>
      </w:pPr>
      <w:r>
        <w:rPr>
          <w:rFonts w:ascii="Arial" w:hAnsi="Arial" w:cs="Arial"/>
          <w:sz w:val="24"/>
          <w:szCs w:val="24"/>
        </w:rPr>
        <w:lastRenderedPageBreak/>
        <w:t>[13]</w:t>
      </w:r>
      <w:r>
        <w:rPr>
          <w:rFonts w:ascii="Arial" w:hAnsi="Arial" w:cs="Arial"/>
          <w:sz w:val="24"/>
          <w:szCs w:val="24"/>
        </w:rPr>
        <w:tab/>
      </w:r>
      <w:r w:rsidR="00DA4919">
        <w:rPr>
          <w:rFonts w:ascii="Arial" w:hAnsi="Arial" w:cs="Arial"/>
          <w:sz w:val="24"/>
          <w:szCs w:val="24"/>
        </w:rPr>
        <w:t>The probation officer reported that the theft of the items negatively affected the business to the extent that the Port Elizabeth branch was closed down</w:t>
      </w:r>
      <w:r w:rsidR="00BB503A" w:rsidRPr="00BB503A">
        <w:rPr>
          <w:rFonts w:ascii="Arial" w:hAnsi="Arial" w:cs="Arial"/>
          <w:sz w:val="24"/>
          <w:szCs w:val="24"/>
        </w:rPr>
        <w:t xml:space="preserve"> </w:t>
      </w:r>
      <w:r w:rsidR="00BB503A">
        <w:rPr>
          <w:rFonts w:ascii="Arial" w:hAnsi="Arial" w:cs="Arial"/>
          <w:sz w:val="24"/>
          <w:szCs w:val="24"/>
        </w:rPr>
        <w:t>and the other employees lost their jobs</w:t>
      </w:r>
      <w:r w:rsidR="00DA4919">
        <w:rPr>
          <w:rFonts w:ascii="Arial" w:hAnsi="Arial" w:cs="Arial"/>
          <w:sz w:val="24"/>
          <w:szCs w:val="24"/>
        </w:rPr>
        <w:t xml:space="preserve">. </w:t>
      </w:r>
      <w:r w:rsidR="001F16AD">
        <w:rPr>
          <w:rFonts w:ascii="Arial" w:hAnsi="Arial" w:cs="Arial"/>
          <w:sz w:val="24"/>
          <w:szCs w:val="24"/>
        </w:rPr>
        <w:t>According to the probation officer, the appellant had breached the trust of the employer</w:t>
      </w:r>
      <w:r w:rsidR="009D3F0B">
        <w:rPr>
          <w:rFonts w:ascii="Arial" w:hAnsi="Arial" w:cs="Arial"/>
          <w:sz w:val="24"/>
          <w:szCs w:val="24"/>
        </w:rPr>
        <w:t xml:space="preserve">. </w:t>
      </w:r>
      <w:r w:rsidR="00880840">
        <w:rPr>
          <w:rFonts w:ascii="Arial" w:hAnsi="Arial" w:cs="Arial"/>
          <w:sz w:val="24"/>
          <w:szCs w:val="24"/>
        </w:rPr>
        <w:t>The appellant was in a position of trust</w:t>
      </w:r>
      <w:r w:rsidR="009853EE">
        <w:rPr>
          <w:rFonts w:ascii="Arial" w:hAnsi="Arial" w:cs="Arial"/>
          <w:sz w:val="24"/>
          <w:szCs w:val="24"/>
        </w:rPr>
        <w:t xml:space="preserve"> and he betrayed that trust. </w:t>
      </w:r>
      <w:r w:rsidR="0027569E">
        <w:rPr>
          <w:rFonts w:ascii="Arial" w:hAnsi="Arial" w:cs="Arial"/>
          <w:sz w:val="24"/>
          <w:szCs w:val="24"/>
        </w:rPr>
        <w:t xml:space="preserve">The probation officer </w:t>
      </w:r>
      <w:r w:rsidR="003A1965">
        <w:rPr>
          <w:rFonts w:ascii="Arial" w:hAnsi="Arial" w:cs="Arial"/>
          <w:sz w:val="24"/>
          <w:szCs w:val="24"/>
        </w:rPr>
        <w:t xml:space="preserve">recommended that the court should consider a sentence of direct imprisonment. </w:t>
      </w:r>
    </w:p>
    <w:p w14:paraId="06B42C81" w14:textId="77777777" w:rsidR="008368A6" w:rsidRDefault="008368A6" w:rsidP="008368A6">
      <w:pPr>
        <w:spacing w:after="120" w:line="360" w:lineRule="auto"/>
        <w:jc w:val="both"/>
        <w:rPr>
          <w:rFonts w:ascii="Arial" w:hAnsi="Arial" w:cs="Arial"/>
          <w:sz w:val="24"/>
          <w:szCs w:val="24"/>
        </w:rPr>
      </w:pPr>
    </w:p>
    <w:p w14:paraId="0ADB46E2" w14:textId="4B2947C7" w:rsidR="00B82C23" w:rsidRDefault="007704C3" w:rsidP="007704C3">
      <w:pPr>
        <w:spacing w:after="12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4E5D99">
        <w:rPr>
          <w:rFonts w:ascii="Arial" w:hAnsi="Arial" w:cs="Arial"/>
          <w:sz w:val="24"/>
          <w:szCs w:val="24"/>
        </w:rPr>
        <w:t xml:space="preserve">The correctional supervision report was also placed before court. </w:t>
      </w:r>
      <w:r w:rsidR="009063AA">
        <w:rPr>
          <w:rFonts w:ascii="Arial" w:hAnsi="Arial" w:cs="Arial"/>
          <w:sz w:val="24"/>
          <w:szCs w:val="24"/>
        </w:rPr>
        <w:t xml:space="preserve">The report had been prepared by </w:t>
      </w:r>
      <w:r w:rsidR="0010162D">
        <w:rPr>
          <w:rFonts w:ascii="Arial" w:hAnsi="Arial" w:cs="Arial"/>
          <w:sz w:val="24"/>
          <w:szCs w:val="24"/>
        </w:rPr>
        <w:t xml:space="preserve">Ms </w:t>
      </w:r>
      <w:r w:rsidR="009063AA">
        <w:rPr>
          <w:rFonts w:ascii="Arial" w:hAnsi="Arial" w:cs="Arial"/>
          <w:sz w:val="24"/>
          <w:szCs w:val="24"/>
        </w:rPr>
        <w:t>Ngcebetsha Mongi</w:t>
      </w:r>
      <w:r w:rsidR="0089343F">
        <w:rPr>
          <w:rFonts w:ascii="Arial" w:hAnsi="Arial" w:cs="Arial"/>
          <w:sz w:val="24"/>
          <w:szCs w:val="24"/>
        </w:rPr>
        <w:t xml:space="preserve"> of the Department of Correctional Services. </w:t>
      </w:r>
      <w:r w:rsidR="00BB503A">
        <w:rPr>
          <w:rFonts w:ascii="Arial" w:hAnsi="Arial" w:cs="Arial"/>
          <w:sz w:val="24"/>
          <w:szCs w:val="24"/>
        </w:rPr>
        <w:t>She concluded that the appellant is a suitable candidate for correctional supervision for the following reasons:</w:t>
      </w:r>
    </w:p>
    <w:p w14:paraId="07A50871" w14:textId="662BCE93" w:rsidR="00BB503A" w:rsidRPr="008368A6" w:rsidRDefault="00BB503A" w:rsidP="00BB503A">
      <w:pPr>
        <w:spacing w:after="120" w:line="360" w:lineRule="auto"/>
        <w:ind w:left="720"/>
        <w:jc w:val="both"/>
        <w:rPr>
          <w:rFonts w:ascii="Arial" w:hAnsi="Arial" w:cs="Arial"/>
        </w:rPr>
      </w:pPr>
      <w:r w:rsidRPr="008368A6">
        <w:rPr>
          <w:rFonts w:ascii="Arial" w:hAnsi="Arial" w:cs="Arial"/>
        </w:rPr>
        <w:t>(a)</w:t>
      </w:r>
      <w:r w:rsidRPr="008368A6">
        <w:rPr>
          <w:rFonts w:ascii="Arial" w:hAnsi="Arial" w:cs="Arial"/>
        </w:rPr>
        <w:tab/>
        <w:t>The appellant has a fixed address and his family is willing to support him.</w:t>
      </w:r>
    </w:p>
    <w:p w14:paraId="39A0C88D" w14:textId="75E94953" w:rsidR="00BB503A" w:rsidRPr="008368A6" w:rsidRDefault="00BB503A" w:rsidP="00BB503A">
      <w:pPr>
        <w:spacing w:after="120" w:line="360" w:lineRule="auto"/>
        <w:ind w:left="720"/>
        <w:jc w:val="both"/>
        <w:rPr>
          <w:rFonts w:ascii="Arial" w:hAnsi="Arial" w:cs="Arial"/>
        </w:rPr>
      </w:pPr>
      <w:r w:rsidRPr="008368A6">
        <w:rPr>
          <w:rFonts w:ascii="Arial" w:hAnsi="Arial" w:cs="Arial"/>
        </w:rPr>
        <w:t>(b)</w:t>
      </w:r>
      <w:r w:rsidRPr="008368A6">
        <w:rPr>
          <w:rFonts w:ascii="Arial" w:hAnsi="Arial" w:cs="Arial"/>
        </w:rPr>
        <w:tab/>
        <w:t>He has no previous convictions.</w:t>
      </w:r>
    </w:p>
    <w:p w14:paraId="11AEE94B" w14:textId="39DC8AA7" w:rsidR="00BB503A" w:rsidRPr="008368A6" w:rsidRDefault="00BB503A" w:rsidP="00BB503A">
      <w:pPr>
        <w:spacing w:after="120" w:line="360" w:lineRule="auto"/>
        <w:ind w:left="720"/>
        <w:jc w:val="both"/>
        <w:rPr>
          <w:rFonts w:ascii="Arial" w:hAnsi="Arial" w:cs="Arial"/>
        </w:rPr>
      </w:pPr>
      <w:r w:rsidRPr="008368A6">
        <w:rPr>
          <w:rFonts w:ascii="Arial" w:hAnsi="Arial" w:cs="Arial"/>
        </w:rPr>
        <w:t>(c)</w:t>
      </w:r>
      <w:r w:rsidRPr="008368A6">
        <w:rPr>
          <w:rFonts w:ascii="Arial" w:hAnsi="Arial" w:cs="Arial"/>
        </w:rPr>
        <w:tab/>
        <w:t>He is married with a minor child who is his dependent.</w:t>
      </w:r>
    </w:p>
    <w:p w14:paraId="62FE8C91" w14:textId="3E1E0688" w:rsidR="00BB503A" w:rsidRPr="008368A6" w:rsidRDefault="00BB503A" w:rsidP="00BB503A">
      <w:pPr>
        <w:spacing w:after="120" w:line="360" w:lineRule="auto"/>
        <w:ind w:left="1440" w:hanging="720"/>
        <w:jc w:val="both"/>
        <w:rPr>
          <w:rFonts w:ascii="Arial" w:hAnsi="Arial" w:cs="Arial"/>
        </w:rPr>
      </w:pPr>
      <w:r w:rsidRPr="008368A6">
        <w:rPr>
          <w:rFonts w:ascii="Arial" w:hAnsi="Arial" w:cs="Arial"/>
        </w:rPr>
        <w:t>(d)</w:t>
      </w:r>
      <w:r w:rsidRPr="008368A6">
        <w:rPr>
          <w:rFonts w:ascii="Arial" w:hAnsi="Arial" w:cs="Arial"/>
        </w:rPr>
        <w:tab/>
        <w:t>He is working and the employer is willing to accept him, notwithstanding the commission of the offence.</w:t>
      </w:r>
    </w:p>
    <w:p w14:paraId="20ED6E45" w14:textId="7C7702D0" w:rsidR="00BB503A" w:rsidRDefault="00BB503A" w:rsidP="00BB503A">
      <w:pPr>
        <w:spacing w:after="120" w:line="360" w:lineRule="auto"/>
        <w:ind w:left="1440" w:hanging="720"/>
        <w:jc w:val="both"/>
        <w:rPr>
          <w:rFonts w:ascii="Arial" w:hAnsi="Arial" w:cs="Arial"/>
        </w:rPr>
      </w:pPr>
      <w:r w:rsidRPr="008368A6">
        <w:rPr>
          <w:rFonts w:ascii="Arial" w:hAnsi="Arial" w:cs="Arial"/>
        </w:rPr>
        <w:t>(e)</w:t>
      </w:r>
      <w:r w:rsidRPr="008368A6">
        <w:rPr>
          <w:rFonts w:ascii="Arial" w:hAnsi="Arial" w:cs="Arial"/>
        </w:rPr>
        <w:tab/>
      </w:r>
      <w:r w:rsidR="00E52184" w:rsidRPr="008368A6">
        <w:rPr>
          <w:rFonts w:ascii="Arial" w:hAnsi="Arial" w:cs="Arial"/>
        </w:rPr>
        <w:t>He is remorseful and he is willing to comply with the conditions of the court as he takes responsibility for his actions.</w:t>
      </w:r>
    </w:p>
    <w:p w14:paraId="70FCF060" w14:textId="77777777" w:rsidR="008368A6" w:rsidRPr="008368A6" w:rsidRDefault="008368A6" w:rsidP="00BB503A">
      <w:pPr>
        <w:spacing w:after="120" w:line="360" w:lineRule="auto"/>
        <w:ind w:left="1440" w:hanging="720"/>
        <w:jc w:val="both"/>
        <w:rPr>
          <w:rFonts w:ascii="Arial" w:hAnsi="Arial" w:cs="Arial"/>
        </w:rPr>
      </w:pPr>
    </w:p>
    <w:p w14:paraId="6620DAE3" w14:textId="291FFC92" w:rsidR="00BB503A" w:rsidRDefault="007704C3" w:rsidP="007704C3">
      <w:pPr>
        <w:spacing w:after="12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396FAB">
        <w:rPr>
          <w:rFonts w:ascii="Arial" w:hAnsi="Arial" w:cs="Arial"/>
          <w:sz w:val="24"/>
          <w:szCs w:val="24"/>
        </w:rPr>
        <w:t xml:space="preserve">In mitigation of sentence, it was submitted on behalf of the appellant, that he was 38 years of age, married and has a minor child who was 4 years at the time. The child was attending nursery school. The appellant was in a permanent employment by Francois Nieuwenhuizen, </w:t>
      </w:r>
      <w:r w:rsidR="0010162D">
        <w:rPr>
          <w:rFonts w:ascii="Arial" w:hAnsi="Arial" w:cs="Arial"/>
          <w:sz w:val="24"/>
          <w:szCs w:val="24"/>
        </w:rPr>
        <w:t>as</w:t>
      </w:r>
      <w:r w:rsidR="00396FAB">
        <w:rPr>
          <w:rFonts w:ascii="Arial" w:hAnsi="Arial" w:cs="Arial"/>
          <w:sz w:val="24"/>
          <w:szCs w:val="24"/>
        </w:rPr>
        <w:t xml:space="preserve"> an Uber drive</w:t>
      </w:r>
      <w:r w:rsidR="00036E17">
        <w:rPr>
          <w:rFonts w:ascii="Arial" w:hAnsi="Arial" w:cs="Arial"/>
          <w:sz w:val="24"/>
          <w:szCs w:val="24"/>
        </w:rPr>
        <w:t>r</w:t>
      </w:r>
      <w:r w:rsidR="0010162D">
        <w:rPr>
          <w:rFonts w:ascii="Arial" w:hAnsi="Arial" w:cs="Arial"/>
          <w:sz w:val="24"/>
          <w:szCs w:val="24"/>
        </w:rPr>
        <w:t xml:space="preserve"> </w:t>
      </w:r>
      <w:r w:rsidR="00396FAB">
        <w:rPr>
          <w:rFonts w:ascii="Arial" w:hAnsi="Arial" w:cs="Arial"/>
          <w:sz w:val="24"/>
          <w:szCs w:val="24"/>
        </w:rPr>
        <w:t>earning an income of between R2 500 and R3 500 a week</w:t>
      </w:r>
      <w:r w:rsidR="00DB11A8">
        <w:rPr>
          <w:rFonts w:ascii="Arial" w:hAnsi="Arial" w:cs="Arial"/>
          <w:sz w:val="24"/>
          <w:szCs w:val="24"/>
        </w:rPr>
        <w:t xml:space="preserve">, depending on the circumstances. </w:t>
      </w:r>
      <w:r w:rsidR="00036E17">
        <w:rPr>
          <w:rFonts w:ascii="Arial" w:hAnsi="Arial" w:cs="Arial"/>
          <w:sz w:val="24"/>
          <w:szCs w:val="24"/>
        </w:rPr>
        <w:t xml:space="preserve">The employer was aware of the appellant’s conviction for the offence and that he was prepared to accept him to continue with his employment. </w:t>
      </w:r>
      <w:r w:rsidR="00C01612">
        <w:rPr>
          <w:rFonts w:ascii="Arial" w:hAnsi="Arial" w:cs="Arial"/>
          <w:sz w:val="24"/>
          <w:szCs w:val="24"/>
        </w:rPr>
        <w:t xml:space="preserve">The appellant was a first offender. </w:t>
      </w:r>
      <w:r w:rsidR="0089730F">
        <w:rPr>
          <w:rFonts w:ascii="Arial" w:hAnsi="Arial" w:cs="Arial"/>
          <w:sz w:val="24"/>
          <w:szCs w:val="24"/>
        </w:rPr>
        <w:t xml:space="preserve">The appellant committed the offence out of fear that the previous employer had given a notice to lay him off and that the closure of the business was an imminent threat. </w:t>
      </w:r>
    </w:p>
    <w:p w14:paraId="6B22CE5D" w14:textId="77777777" w:rsidR="008368A6" w:rsidRDefault="008368A6" w:rsidP="008368A6">
      <w:pPr>
        <w:spacing w:after="120" w:line="360" w:lineRule="auto"/>
        <w:jc w:val="both"/>
        <w:rPr>
          <w:rFonts w:ascii="Arial" w:hAnsi="Arial" w:cs="Arial"/>
          <w:sz w:val="24"/>
          <w:szCs w:val="24"/>
        </w:rPr>
      </w:pPr>
    </w:p>
    <w:p w14:paraId="0334307F" w14:textId="43798CEB" w:rsidR="00B63EDC" w:rsidRDefault="007704C3" w:rsidP="007704C3">
      <w:pPr>
        <w:spacing w:after="12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01368D">
        <w:rPr>
          <w:rFonts w:ascii="Arial" w:hAnsi="Arial" w:cs="Arial"/>
          <w:sz w:val="24"/>
          <w:szCs w:val="24"/>
        </w:rPr>
        <w:t xml:space="preserve">On the contrary, the state had led evidence </w:t>
      </w:r>
      <w:r w:rsidR="002D735D">
        <w:rPr>
          <w:rFonts w:ascii="Arial" w:hAnsi="Arial" w:cs="Arial"/>
          <w:sz w:val="24"/>
          <w:szCs w:val="24"/>
        </w:rPr>
        <w:t xml:space="preserve">of Marlene </w:t>
      </w:r>
      <w:r w:rsidR="0001368D">
        <w:rPr>
          <w:rFonts w:ascii="Arial" w:hAnsi="Arial" w:cs="Arial"/>
          <w:sz w:val="24"/>
          <w:szCs w:val="24"/>
        </w:rPr>
        <w:t xml:space="preserve">in aggravation of sentence. </w:t>
      </w:r>
      <w:r w:rsidR="00804C84">
        <w:rPr>
          <w:rFonts w:ascii="Arial" w:hAnsi="Arial" w:cs="Arial"/>
          <w:sz w:val="24"/>
          <w:szCs w:val="24"/>
        </w:rPr>
        <w:t xml:space="preserve">The state had contended that in view of the seriousness of the offence, retribution and deterrence would be the appropriate form of punishment. </w:t>
      </w:r>
      <w:r w:rsidR="006B7F23">
        <w:rPr>
          <w:rFonts w:ascii="Arial" w:hAnsi="Arial" w:cs="Arial"/>
          <w:sz w:val="24"/>
          <w:szCs w:val="24"/>
        </w:rPr>
        <w:t>Th</w:t>
      </w:r>
      <w:r w:rsidR="00F20E90">
        <w:rPr>
          <w:rFonts w:ascii="Arial" w:hAnsi="Arial" w:cs="Arial"/>
          <w:sz w:val="24"/>
          <w:szCs w:val="24"/>
        </w:rPr>
        <w:t xml:space="preserve">e state sought a sentence </w:t>
      </w:r>
      <w:r w:rsidR="008454A6">
        <w:rPr>
          <w:rFonts w:ascii="Arial" w:hAnsi="Arial" w:cs="Arial"/>
          <w:sz w:val="24"/>
          <w:szCs w:val="24"/>
        </w:rPr>
        <w:t>of direct imprisonment</w:t>
      </w:r>
      <w:r w:rsidR="00F20E90">
        <w:rPr>
          <w:rFonts w:ascii="Arial" w:hAnsi="Arial" w:cs="Arial"/>
          <w:sz w:val="24"/>
          <w:szCs w:val="24"/>
        </w:rPr>
        <w:t>.</w:t>
      </w:r>
    </w:p>
    <w:p w14:paraId="7F1C724C" w14:textId="77777777" w:rsidR="008368A6" w:rsidRPr="00B63EDC" w:rsidRDefault="008368A6" w:rsidP="008368A6">
      <w:pPr>
        <w:spacing w:after="120" w:line="360" w:lineRule="auto"/>
        <w:jc w:val="both"/>
        <w:rPr>
          <w:rFonts w:ascii="Arial" w:hAnsi="Arial" w:cs="Arial"/>
          <w:sz w:val="24"/>
          <w:szCs w:val="24"/>
        </w:rPr>
      </w:pPr>
    </w:p>
    <w:p w14:paraId="6F288330" w14:textId="08A52B44" w:rsidR="00A56D50" w:rsidRDefault="007704C3" w:rsidP="007704C3">
      <w:pPr>
        <w:spacing w:after="12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7F252C">
        <w:rPr>
          <w:rFonts w:ascii="Arial" w:hAnsi="Arial" w:cs="Arial"/>
          <w:sz w:val="24"/>
          <w:szCs w:val="24"/>
        </w:rPr>
        <w:t>I</w:t>
      </w:r>
      <w:r w:rsidR="00CF6F63">
        <w:rPr>
          <w:rFonts w:ascii="Arial" w:hAnsi="Arial" w:cs="Arial"/>
          <w:sz w:val="24"/>
          <w:szCs w:val="24"/>
        </w:rPr>
        <w:t xml:space="preserve">n </w:t>
      </w:r>
      <w:r w:rsidR="007F252C">
        <w:rPr>
          <w:rFonts w:ascii="Arial" w:hAnsi="Arial" w:cs="Arial"/>
          <w:sz w:val="24"/>
          <w:szCs w:val="24"/>
        </w:rPr>
        <w:t xml:space="preserve">sentencing the appellant, </w:t>
      </w:r>
      <w:r w:rsidR="002706AF">
        <w:rPr>
          <w:rFonts w:ascii="Arial" w:hAnsi="Arial" w:cs="Arial"/>
          <w:sz w:val="24"/>
          <w:szCs w:val="24"/>
        </w:rPr>
        <w:t xml:space="preserve">the regional court took into account the fact that </w:t>
      </w:r>
      <w:r w:rsidR="006B377F">
        <w:rPr>
          <w:rFonts w:ascii="Arial" w:hAnsi="Arial" w:cs="Arial"/>
          <w:sz w:val="24"/>
          <w:szCs w:val="24"/>
        </w:rPr>
        <w:t>the appellant was in a position of trust and that he was required, at all times, to act in the interest</w:t>
      </w:r>
      <w:r w:rsidR="0010162D">
        <w:rPr>
          <w:rFonts w:ascii="Arial" w:hAnsi="Arial" w:cs="Arial"/>
          <w:sz w:val="24"/>
          <w:szCs w:val="24"/>
        </w:rPr>
        <w:t>s</w:t>
      </w:r>
      <w:r w:rsidR="006B377F">
        <w:rPr>
          <w:rFonts w:ascii="Arial" w:hAnsi="Arial" w:cs="Arial"/>
          <w:sz w:val="24"/>
          <w:szCs w:val="24"/>
        </w:rPr>
        <w:t xml:space="preserve"> of the employer. The regional court </w:t>
      </w:r>
      <w:r w:rsidR="007F252C">
        <w:rPr>
          <w:rFonts w:ascii="Arial" w:hAnsi="Arial" w:cs="Arial"/>
          <w:sz w:val="24"/>
          <w:szCs w:val="24"/>
        </w:rPr>
        <w:t xml:space="preserve">also </w:t>
      </w:r>
      <w:r w:rsidR="006B377F">
        <w:rPr>
          <w:rFonts w:ascii="Arial" w:hAnsi="Arial" w:cs="Arial"/>
          <w:sz w:val="24"/>
          <w:szCs w:val="24"/>
        </w:rPr>
        <w:t xml:space="preserve">considered that the offence was committed over a period of time and that the appellant had an opportunity to reflect on his actions. </w:t>
      </w:r>
      <w:r w:rsidR="00F50D65">
        <w:rPr>
          <w:rFonts w:ascii="Arial" w:hAnsi="Arial" w:cs="Arial"/>
          <w:sz w:val="24"/>
          <w:szCs w:val="24"/>
        </w:rPr>
        <w:t>The regional court had taken into account the psychological effect of the offence on the directors of the complainant company</w:t>
      </w:r>
      <w:r w:rsidR="001C0CDF">
        <w:rPr>
          <w:rFonts w:ascii="Arial" w:hAnsi="Arial" w:cs="Arial"/>
          <w:sz w:val="24"/>
          <w:szCs w:val="24"/>
        </w:rPr>
        <w:t xml:space="preserve"> and after analysis of the aggravating factors, the regional court concluded that it should benchmark its sentence with minimum sentence of 15 years and that after careful consideration of the mitigating factors, it was satisfied that 12 years would be an appropriate sentence. </w:t>
      </w:r>
    </w:p>
    <w:p w14:paraId="20BF1B1C" w14:textId="77777777" w:rsidR="008368A6" w:rsidRDefault="008368A6" w:rsidP="008368A6">
      <w:pPr>
        <w:spacing w:after="120" w:line="360" w:lineRule="auto"/>
        <w:jc w:val="both"/>
        <w:rPr>
          <w:rFonts w:ascii="Arial" w:hAnsi="Arial" w:cs="Arial"/>
          <w:sz w:val="24"/>
          <w:szCs w:val="24"/>
        </w:rPr>
      </w:pPr>
    </w:p>
    <w:p w14:paraId="533B3841" w14:textId="49241778" w:rsidR="003112A2" w:rsidRPr="00B821BA" w:rsidRDefault="007704C3" w:rsidP="007704C3">
      <w:pPr>
        <w:spacing w:after="120" w:line="360" w:lineRule="auto"/>
        <w:jc w:val="both"/>
        <w:rPr>
          <w:rFonts w:ascii="Arial" w:hAnsi="Arial" w:cs="Arial"/>
          <w:sz w:val="24"/>
          <w:szCs w:val="24"/>
        </w:rPr>
      </w:pPr>
      <w:r w:rsidRPr="00B821BA">
        <w:rPr>
          <w:rFonts w:ascii="Arial" w:hAnsi="Arial" w:cs="Arial"/>
          <w:sz w:val="24"/>
          <w:szCs w:val="24"/>
        </w:rPr>
        <w:t>[18]</w:t>
      </w:r>
      <w:r w:rsidRPr="00B821BA">
        <w:rPr>
          <w:rFonts w:ascii="Arial" w:hAnsi="Arial" w:cs="Arial"/>
          <w:sz w:val="24"/>
          <w:szCs w:val="24"/>
        </w:rPr>
        <w:tab/>
      </w:r>
      <w:r w:rsidR="00A01BF5">
        <w:rPr>
          <w:rFonts w:ascii="Arial" w:hAnsi="Arial" w:cs="Arial"/>
          <w:sz w:val="24"/>
          <w:szCs w:val="24"/>
        </w:rPr>
        <w:t>On behalf of the appellant, it was submitted that the sentence fell to be interfered with on the basis that it induced a sense of shock; that the trial court erred by its conclusion that a 12 year direct imprisonment was a suitable sentence, and not considering other forms of punishment such as a suspended sentence; that the trial court overemphasized the seriousness of the offence</w:t>
      </w:r>
      <w:r w:rsidR="00A01BF5" w:rsidRPr="00B821BA">
        <w:rPr>
          <w:rFonts w:ascii="Arial" w:hAnsi="Arial" w:cs="Arial"/>
          <w:sz w:val="24"/>
          <w:szCs w:val="24"/>
        </w:rPr>
        <w:t xml:space="preserve"> and the interests of society at the expense of the appellant’s personal circumstances; that the trial court did not properly take into account the element of mercy; that the trial court over-emphasized the elements of retribution and deterrence; that he did not consider adequately the fact that the appellant is a first offender at the age of 38; that he was in a gainful employment and that the present employer was prepared to keep him; that he had shown remorse and that he has a minor child. </w:t>
      </w:r>
      <w:r w:rsidR="0027115F" w:rsidRPr="00B821BA">
        <w:rPr>
          <w:rFonts w:ascii="Arial" w:hAnsi="Arial" w:cs="Arial"/>
          <w:sz w:val="24"/>
          <w:szCs w:val="24"/>
        </w:rPr>
        <w:t>The state support</w:t>
      </w:r>
      <w:r w:rsidR="00F022AC">
        <w:rPr>
          <w:rFonts w:ascii="Arial" w:hAnsi="Arial" w:cs="Arial"/>
          <w:sz w:val="24"/>
          <w:szCs w:val="24"/>
        </w:rPr>
        <w:t>ed</w:t>
      </w:r>
      <w:r w:rsidR="0027115F" w:rsidRPr="00B821BA">
        <w:rPr>
          <w:rFonts w:ascii="Arial" w:hAnsi="Arial" w:cs="Arial"/>
          <w:sz w:val="24"/>
          <w:szCs w:val="24"/>
        </w:rPr>
        <w:t xml:space="preserve"> the sentence</w:t>
      </w:r>
      <w:r w:rsidR="00F022AC">
        <w:rPr>
          <w:rFonts w:ascii="Arial" w:hAnsi="Arial" w:cs="Arial"/>
          <w:sz w:val="24"/>
          <w:szCs w:val="24"/>
        </w:rPr>
        <w:t xml:space="preserve">. </w:t>
      </w:r>
      <w:r w:rsidR="00B821BA">
        <w:rPr>
          <w:rFonts w:ascii="Arial" w:hAnsi="Arial" w:cs="Arial"/>
          <w:sz w:val="24"/>
          <w:szCs w:val="24"/>
        </w:rPr>
        <w:t xml:space="preserve"> </w:t>
      </w:r>
      <w:r w:rsidR="00F022AC">
        <w:rPr>
          <w:rFonts w:ascii="Arial" w:hAnsi="Arial" w:cs="Arial"/>
          <w:sz w:val="24"/>
          <w:szCs w:val="24"/>
        </w:rPr>
        <w:t xml:space="preserve">It </w:t>
      </w:r>
      <w:r w:rsidR="00B821BA">
        <w:rPr>
          <w:rFonts w:ascii="Arial" w:hAnsi="Arial" w:cs="Arial"/>
          <w:sz w:val="24"/>
          <w:szCs w:val="24"/>
        </w:rPr>
        <w:t>contended that the offence committed by the appellant was serious and aggravated by the fact that he had stolen from his employer</w:t>
      </w:r>
      <w:r w:rsidR="0027115F" w:rsidRPr="00B821BA">
        <w:rPr>
          <w:rFonts w:ascii="Arial" w:hAnsi="Arial" w:cs="Arial"/>
          <w:sz w:val="24"/>
          <w:szCs w:val="24"/>
        </w:rPr>
        <w:t>.</w:t>
      </w:r>
      <w:r w:rsidR="00F022AC">
        <w:rPr>
          <w:rFonts w:ascii="Arial" w:hAnsi="Arial" w:cs="Arial"/>
          <w:sz w:val="24"/>
          <w:szCs w:val="24"/>
        </w:rPr>
        <w:t xml:space="preserve"> As a result of the appellant’s unlawful actions many other employees lost their jobs when the branch was closed.</w:t>
      </w:r>
      <w:r w:rsidR="0093652F">
        <w:rPr>
          <w:rFonts w:ascii="Arial" w:hAnsi="Arial" w:cs="Arial"/>
          <w:sz w:val="24"/>
          <w:szCs w:val="24"/>
        </w:rPr>
        <w:t xml:space="preserve"> </w:t>
      </w:r>
      <w:r w:rsidR="00F022AC">
        <w:rPr>
          <w:rFonts w:ascii="Arial" w:hAnsi="Arial" w:cs="Arial"/>
          <w:sz w:val="24"/>
          <w:szCs w:val="24"/>
        </w:rPr>
        <w:t xml:space="preserve">The state further submitted that the regional court did not misdirect itself in imposing direct imprisonment and that on this basis alone the appeal must fail. </w:t>
      </w:r>
    </w:p>
    <w:p w14:paraId="644D987E" w14:textId="77777777" w:rsidR="008368A6" w:rsidRDefault="008368A6" w:rsidP="0029493D">
      <w:pPr>
        <w:spacing w:after="120" w:line="360" w:lineRule="auto"/>
        <w:jc w:val="both"/>
        <w:rPr>
          <w:rFonts w:ascii="Arial" w:hAnsi="Arial" w:cs="Arial"/>
          <w:b/>
          <w:bCs/>
          <w:sz w:val="24"/>
          <w:szCs w:val="24"/>
        </w:rPr>
      </w:pPr>
    </w:p>
    <w:p w14:paraId="4EB3FAB9" w14:textId="0D8C8EC3" w:rsidR="0029493D" w:rsidRPr="0029493D" w:rsidRDefault="0029493D" w:rsidP="0029493D">
      <w:pPr>
        <w:spacing w:after="120" w:line="360" w:lineRule="auto"/>
        <w:jc w:val="both"/>
        <w:rPr>
          <w:rFonts w:ascii="Arial" w:hAnsi="Arial" w:cs="Arial"/>
          <w:b/>
          <w:bCs/>
          <w:sz w:val="24"/>
          <w:szCs w:val="24"/>
        </w:rPr>
      </w:pPr>
      <w:r>
        <w:rPr>
          <w:rFonts w:ascii="Arial" w:hAnsi="Arial" w:cs="Arial"/>
          <w:b/>
          <w:bCs/>
          <w:sz w:val="24"/>
          <w:szCs w:val="24"/>
        </w:rPr>
        <w:t>Discussion</w:t>
      </w:r>
    </w:p>
    <w:p w14:paraId="40316FB0" w14:textId="08809D6D" w:rsidR="0027115F" w:rsidRPr="0060027C" w:rsidRDefault="007704C3" w:rsidP="007704C3">
      <w:pPr>
        <w:spacing w:after="120" w:line="360" w:lineRule="auto"/>
        <w:jc w:val="both"/>
        <w:rPr>
          <w:rFonts w:ascii="Arial" w:hAnsi="Arial" w:cs="Arial"/>
          <w:sz w:val="24"/>
          <w:szCs w:val="24"/>
        </w:rPr>
      </w:pPr>
      <w:r w:rsidRPr="0060027C">
        <w:rPr>
          <w:rFonts w:ascii="Arial" w:hAnsi="Arial" w:cs="Arial"/>
          <w:sz w:val="24"/>
          <w:szCs w:val="24"/>
        </w:rPr>
        <w:t>[19]</w:t>
      </w:r>
      <w:r w:rsidRPr="0060027C">
        <w:rPr>
          <w:rFonts w:ascii="Arial" w:hAnsi="Arial" w:cs="Arial"/>
          <w:sz w:val="24"/>
          <w:szCs w:val="24"/>
        </w:rPr>
        <w:tab/>
      </w:r>
      <w:r w:rsidR="0029493D">
        <w:rPr>
          <w:rFonts w:ascii="Arial" w:hAnsi="Arial" w:cs="Arial"/>
          <w:sz w:val="24"/>
          <w:szCs w:val="24"/>
        </w:rPr>
        <w:t xml:space="preserve">It is trite that sentencing is generally a matter that falls within the discretion of a trial court. The appeal court’s power to interfere with a sentence is limited to instances where the sentence is vitiated by an irregularity; misdirection; or where the sentence is shockingly disproportionate or where there is a striking disparity between the </w:t>
      </w:r>
      <w:r w:rsidR="0029493D">
        <w:rPr>
          <w:rFonts w:ascii="Arial" w:hAnsi="Arial" w:cs="Arial"/>
          <w:sz w:val="24"/>
          <w:szCs w:val="24"/>
        </w:rPr>
        <w:lastRenderedPageBreak/>
        <w:t xml:space="preserve">sentence and that which the appeal court would have imposed, had it sat as the trial court. See generally: </w:t>
      </w:r>
      <w:r w:rsidR="0029493D">
        <w:rPr>
          <w:rFonts w:ascii="Arial" w:hAnsi="Arial" w:cs="Arial"/>
          <w:i/>
          <w:iCs/>
          <w:sz w:val="24"/>
          <w:szCs w:val="24"/>
        </w:rPr>
        <w:t>S v Snyder</w:t>
      </w:r>
      <w:r w:rsidR="007477AE">
        <w:rPr>
          <w:rStyle w:val="FootnoteReference"/>
          <w:rFonts w:ascii="Arial" w:hAnsi="Arial" w:cs="Arial"/>
          <w:i/>
          <w:iCs/>
          <w:sz w:val="24"/>
          <w:szCs w:val="24"/>
        </w:rPr>
        <w:footnoteReference w:id="2"/>
      </w:r>
      <w:r w:rsidR="0029493D">
        <w:rPr>
          <w:rFonts w:ascii="Arial" w:hAnsi="Arial" w:cs="Arial"/>
          <w:i/>
          <w:iCs/>
          <w:sz w:val="24"/>
          <w:szCs w:val="24"/>
        </w:rPr>
        <w:t xml:space="preserve">; </w:t>
      </w:r>
      <w:bookmarkStart w:id="2" w:name="_Hlk161131878"/>
      <w:r w:rsidR="0029493D">
        <w:rPr>
          <w:rFonts w:ascii="Arial" w:hAnsi="Arial" w:cs="Arial"/>
          <w:i/>
          <w:iCs/>
          <w:sz w:val="24"/>
          <w:szCs w:val="24"/>
        </w:rPr>
        <w:t>S v Petkar</w:t>
      </w:r>
      <w:bookmarkEnd w:id="2"/>
      <w:r w:rsidR="007477AE">
        <w:rPr>
          <w:rStyle w:val="FootnoteReference"/>
          <w:rFonts w:ascii="Arial" w:hAnsi="Arial" w:cs="Arial"/>
          <w:i/>
          <w:iCs/>
          <w:sz w:val="24"/>
          <w:szCs w:val="24"/>
        </w:rPr>
        <w:footnoteReference w:id="3"/>
      </w:r>
      <w:r w:rsidR="0029493D">
        <w:rPr>
          <w:rFonts w:ascii="Arial" w:hAnsi="Arial" w:cs="Arial"/>
          <w:i/>
          <w:iCs/>
          <w:sz w:val="24"/>
          <w:szCs w:val="24"/>
        </w:rPr>
        <w:t xml:space="preserve"> and S v Sadler</w:t>
      </w:r>
      <w:r w:rsidR="007477AE">
        <w:rPr>
          <w:rStyle w:val="FootnoteReference"/>
          <w:rFonts w:ascii="Arial" w:hAnsi="Arial" w:cs="Arial"/>
          <w:i/>
          <w:iCs/>
          <w:sz w:val="24"/>
          <w:szCs w:val="24"/>
        </w:rPr>
        <w:footnoteReference w:id="4"/>
      </w:r>
      <w:r w:rsidR="007477AE">
        <w:rPr>
          <w:rFonts w:ascii="Arial" w:hAnsi="Arial" w:cs="Arial"/>
          <w:i/>
          <w:iCs/>
          <w:sz w:val="24"/>
          <w:szCs w:val="24"/>
        </w:rPr>
        <w:t xml:space="preserve">. </w:t>
      </w:r>
    </w:p>
    <w:p w14:paraId="24052BF7" w14:textId="77777777" w:rsidR="0060027C" w:rsidRDefault="0060027C" w:rsidP="0060027C">
      <w:pPr>
        <w:spacing w:after="120" w:line="360" w:lineRule="auto"/>
        <w:jc w:val="both"/>
        <w:rPr>
          <w:rFonts w:ascii="Arial" w:hAnsi="Arial" w:cs="Arial"/>
          <w:sz w:val="24"/>
          <w:szCs w:val="24"/>
        </w:rPr>
      </w:pPr>
    </w:p>
    <w:p w14:paraId="1C3A5AAD" w14:textId="413E2790" w:rsidR="007477AE" w:rsidRDefault="007704C3" w:rsidP="007704C3">
      <w:pPr>
        <w:spacing w:after="12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7477AE">
        <w:rPr>
          <w:rFonts w:ascii="Arial" w:hAnsi="Arial" w:cs="Arial"/>
          <w:sz w:val="24"/>
          <w:szCs w:val="24"/>
        </w:rPr>
        <w:t xml:space="preserve">In </w:t>
      </w:r>
      <w:r w:rsidR="007477AE">
        <w:rPr>
          <w:rFonts w:ascii="Arial" w:hAnsi="Arial" w:cs="Arial"/>
          <w:i/>
          <w:iCs/>
          <w:sz w:val="24"/>
          <w:szCs w:val="24"/>
        </w:rPr>
        <w:t>S v Rabie</w:t>
      </w:r>
      <w:r w:rsidR="007477AE">
        <w:rPr>
          <w:rStyle w:val="FootnoteReference"/>
          <w:rFonts w:ascii="Arial" w:hAnsi="Arial" w:cs="Arial"/>
          <w:i/>
          <w:iCs/>
          <w:sz w:val="24"/>
          <w:szCs w:val="24"/>
        </w:rPr>
        <w:footnoteReference w:id="5"/>
      </w:r>
      <w:r w:rsidR="007477AE">
        <w:rPr>
          <w:rFonts w:ascii="Arial" w:hAnsi="Arial" w:cs="Arial"/>
          <w:i/>
          <w:iCs/>
          <w:sz w:val="24"/>
          <w:szCs w:val="24"/>
        </w:rPr>
        <w:t xml:space="preserve"> </w:t>
      </w:r>
      <w:r w:rsidR="00E7542C">
        <w:rPr>
          <w:rFonts w:ascii="Arial" w:hAnsi="Arial" w:cs="Arial"/>
          <w:sz w:val="24"/>
          <w:szCs w:val="24"/>
        </w:rPr>
        <w:t>Holmes</w:t>
      </w:r>
      <w:r w:rsidR="007477AE">
        <w:rPr>
          <w:rFonts w:ascii="Arial" w:hAnsi="Arial" w:cs="Arial"/>
          <w:sz w:val="24"/>
          <w:szCs w:val="24"/>
        </w:rPr>
        <w:t xml:space="preserve"> JA held:</w:t>
      </w:r>
    </w:p>
    <w:p w14:paraId="16A18E32" w14:textId="742F1199" w:rsidR="004F0FD4" w:rsidRPr="008368A6" w:rsidRDefault="00DF7476" w:rsidP="004F0FD4">
      <w:pPr>
        <w:spacing w:after="120" w:line="360" w:lineRule="auto"/>
        <w:ind w:left="720"/>
        <w:jc w:val="both"/>
        <w:rPr>
          <w:rFonts w:ascii="Arial" w:hAnsi="Arial" w:cs="Arial"/>
        </w:rPr>
      </w:pPr>
      <w:r>
        <w:rPr>
          <w:rFonts w:ascii="Arial" w:hAnsi="Arial" w:cs="Arial"/>
        </w:rPr>
        <w:t xml:space="preserve">1. </w:t>
      </w:r>
      <w:r w:rsidR="007477AE" w:rsidRPr="008368A6">
        <w:rPr>
          <w:rFonts w:ascii="Arial" w:hAnsi="Arial" w:cs="Arial"/>
        </w:rPr>
        <w:t>‘In every appeal against the sentence, whether imposed by the Magistrate or a judge, the Court hearing the appeal</w:t>
      </w:r>
      <w:r w:rsidR="004F0FD4">
        <w:rPr>
          <w:rFonts w:ascii="Arial" w:hAnsi="Arial" w:cs="Arial"/>
        </w:rPr>
        <w:t xml:space="preserve"> -</w:t>
      </w:r>
    </w:p>
    <w:p w14:paraId="0AAD1913" w14:textId="47DBCC2C" w:rsidR="007477AE" w:rsidRPr="008368A6" w:rsidRDefault="007477AE" w:rsidP="007477AE">
      <w:pPr>
        <w:spacing w:after="120" w:line="360" w:lineRule="auto"/>
        <w:ind w:left="720"/>
        <w:jc w:val="both"/>
        <w:rPr>
          <w:rFonts w:ascii="Arial" w:hAnsi="Arial" w:cs="Arial"/>
        </w:rPr>
      </w:pPr>
      <w:r w:rsidRPr="008368A6">
        <w:rPr>
          <w:rFonts w:ascii="Arial" w:hAnsi="Arial" w:cs="Arial"/>
        </w:rPr>
        <w:t>(a)</w:t>
      </w:r>
      <w:r w:rsidRPr="008368A6">
        <w:rPr>
          <w:rFonts w:ascii="Arial" w:hAnsi="Arial" w:cs="Arial"/>
        </w:rPr>
        <w:tab/>
        <w:t xml:space="preserve">should be guided by the principle that punishment is </w:t>
      </w:r>
      <w:r w:rsidR="004F0FD4">
        <w:rPr>
          <w:rFonts w:ascii="Arial" w:hAnsi="Arial" w:cs="Arial"/>
        </w:rPr>
        <w:t>“</w:t>
      </w:r>
      <w:r w:rsidRPr="008368A6">
        <w:rPr>
          <w:rFonts w:ascii="Arial" w:hAnsi="Arial" w:cs="Arial"/>
        </w:rPr>
        <w:t>pre-eminently a matter for the discretion of the trial Court</w:t>
      </w:r>
      <w:r w:rsidR="004F0FD4">
        <w:rPr>
          <w:rFonts w:ascii="Arial" w:hAnsi="Arial" w:cs="Arial"/>
        </w:rPr>
        <w:t>”</w:t>
      </w:r>
      <w:r w:rsidRPr="008368A6">
        <w:rPr>
          <w:rFonts w:ascii="Arial" w:hAnsi="Arial" w:cs="Arial"/>
        </w:rPr>
        <w:t>; and</w:t>
      </w:r>
    </w:p>
    <w:p w14:paraId="6A007A31" w14:textId="4CC2FF36" w:rsidR="00DF7476" w:rsidRDefault="007477AE" w:rsidP="007477AE">
      <w:pPr>
        <w:spacing w:after="120" w:line="360" w:lineRule="auto"/>
        <w:ind w:left="720"/>
        <w:jc w:val="both"/>
        <w:rPr>
          <w:rFonts w:ascii="Arial" w:hAnsi="Arial" w:cs="Arial"/>
        </w:rPr>
      </w:pPr>
      <w:r w:rsidRPr="008368A6">
        <w:rPr>
          <w:rFonts w:ascii="Arial" w:hAnsi="Arial" w:cs="Arial"/>
        </w:rPr>
        <w:t>(b)</w:t>
      </w:r>
      <w:r w:rsidRPr="008368A6">
        <w:rPr>
          <w:rFonts w:ascii="Arial" w:hAnsi="Arial" w:cs="Arial"/>
        </w:rPr>
        <w:tab/>
        <w:t>should be careful not to erode such discretion</w:t>
      </w:r>
      <w:r w:rsidR="004F0FD4">
        <w:rPr>
          <w:rFonts w:ascii="Arial" w:hAnsi="Arial" w:cs="Arial"/>
        </w:rPr>
        <w:t>:</w:t>
      </w:r>
      <w:r w:rsidRPr="008368A6">
        <w:rPr>
          <w:rFonts w:ascii="Arial" w:hAnsi="Arial" w:cs="Arial"/>
        </w:rPr>
        <w:t xml:space="preserve"> hence the further principle that the sentence should only be altered if the discretion has not been </w:t>
      </w:r>
      <w:r w:rsidR="004F0FD4">
        <w:rPr>
          <w:rFonts w:ascii="Arial" w:hAnsi="Arial" w:cs="Arial"/>
        </w:rPr>
        <w:t>“</w:t>
      </w:r>
      <w:r w:rsidRPr="008368A6">
        <w:rPr>
          <w:rFonts w:ascii="Arial" w:hAnsi="Arial" w:cs="Arial"/>
        </w:rPr>
        <w:t>judicially and properly exercised</w:t>
      </w:r>
      <w:r w:rsidR="004F0FD4">
        <w:rPr>
          <w:rFonts w:ascii="Arial" w:hAnsi="Arial" w:cs="Arial"/>
        </w:rPr>
        <w:t>”</w:t>
      </w:r>
      <w:r w:rsidRPr="008368A6">
        <w:rPr>
          <w:rFonts w:ascii="Arial" w:hAnsi="Arial" w:cs="Arial"/>
        </w:rPr>
        <w:t xml:space="preserve">. </w:t>
      </w:r>
    </w:p>
    <w:p w14:paraId="433C96EB" w14:textId="6FC5925B" w:rsidR="007477AE" w:rsidRDefault="00DF7476" w:rsidP="007477AE">
      <w:pPr>
        <w:spacing w:after="120" w:line="360" w:lineRule="auto"/>
        <w:ind w:left="720"/>
        <w:jc w:val="both"/>
        <w:rPr>
          <w:rFonts w:ascii="Arial" w:hAnsi="Arial" w:cs="Arial"/>
        </w:rPr>
      </w:pPr>
      <w:r>
        <w:rPr>
          <w:rFonts w:ascii="Arial" w:hAnsi="Arial" w:cs="Arial"/>
        </w:rPr>
        <w:t xml:space="preserve">2. </w:t>
      </w:r>
      <w:r w:rsidR="007477AE" w:rsidRPr="008368A6">
        <w:rPr>
          <w:rFonts w:ascii="Arial" w:hAnsi="Arial" w:cs="Arial"/>
        </w:rPr>
        <w:t>The test under (b) is whether the sentence is vitiated by irregularity or misdirection or is disturbingly inappropriate.</w:t>
      </w:r>
    </w:p>
    <w:p w14:paraId="30EE66A9" w14:textId="3BFB9D16" w:rsidR="00343AD8" w:rsidRPr="008368A6" w:rsidRDefault="00343AD8" w:rsidP="007477AE">
      <w:pPr>
        <w:spacing w:after="120" w:line="360" w:lineRule="auto"/>
        <w:ind w:left="720"/>
        <w:jc w:val="both"/>
        <w:rPr>
          <w:rFonts w:ascii="Arial" w:hAnsi="Arial" w:cs="Arial"/>
        </w:rPr>
      </w:pPr>
      <w:r>
        <w:rPr>
          <w:rFonts w:ascii="Arial" w:hAnsi="Arial" w:cs="Arial"/>
        </w:rPr>
        <w:t>…</w:t>
      </w:r>
    </w:p>
    <w:p w14:paraId="05010E76" w14:textId="72A4C5D5" w:rsidR="007477AE" w:rsidRPr="008368A6" w:rsidRDefault="007477AE" w:rsidP="007477AE">
      <w:pPr>
        <w:spacing w:after="120" w:line="360" w:lineRule="auto"/>
        <w:ind w:left="720"/>
        <w:jc w:val="both"/>
        <w:rPr>
          <w:rFonts w:ascii="Arial" w:hAnsi="Arial" w:cs="Arial"/>
        </w:rPr>
      </w:pPr>
      <w:r w:rsidRPr="008368A6">
        <w:rPr>
          <w:rFonts w:ascii="Arial" w:hAnsi="Arial" w:cs="Arial"/>
        </w:rPr>
        <w:t xml:space="preserve">Corbett </w:t>
      </w:r>
      <w:r w:rsidR="00846829">
        <w:rPr>
          <w:rFonts w:ascii="Arial" w:hAnsi="Arial" w:cs="Arial"/>
        </w:rPr>
        <w:t xml:space="preserve">JA </w:t>
      </w:r>
      <w:r w:rsidRPr="008368A6">
        <w:rPr>
          <w:rFonts w:ascii="Arial" w:hAnsi="Arial" w:cs="Arial"/>
        </w:rPr>
        <w:t>further remarked that:</w:t>
      </w:r>
    </w:p>
    <w:p w14:paraId="12814A2D" w14:textId="4B5BBCB3" w:rsidR="007477AE" w:rsidRDefault="007477AE" w:rsidP="007477AE">
      <w:pPr>
        <w:spacing w:after="120" w:line="360" w:lineRule="auto"/>
        <w:ind w:left="720"/>
        <w:jc w:val="both"/>
        <w:rPr>
          <w:rFonts w:ascii="Arial" w:hAnsi="Arial" w:cs="Arial"/>
        </w:rPr>
      </w:pPr>
      <w:r w:rsidRPr="008368A6">
        <w:rPr>
          <w:rFonts w:ascii="Arial" w:hAnsi="Arial" w:cs="Arial"/>
        </w:rPr>
        <w:t>[a]</w:t>
      </w:r>
      <w:r w:rsidR="00343AD8">
        <w:rPr>
          <w:rFonts w:ascii="Arial" w:hAnsi="Arial" w:cs="Arial"/>
        </w:rPr>
        <w:t xml:space="preserve"> A</w:t>
      </w:r>
      <w:r w:rsidRPr="008368A6">
        <w:rPr>
          <w:rFonts w:ascii="Arial" w:hAnsi="Arial" w:cs="Arial"/>
        </w:rPr>
        <w:tab/>
        <w:t xml:space="preserve">judicial officer should not approach punishment in a spirit of anger, because, being human, that will make it difficult for him to achieve that delicate balance between the crime, the criminal and the interest of society which his task and the objects of punishment demand of him. Nor should he strive after severity; nor, on the other hand, surrender </w:t>
      </w:r>
      <w:r w:rsidR="00343AD8">
        <w:rPr>
          <w:rFonts w:ascii="Arial" w:hAnsi="Arial" w:cs="Arial"/>
        </w:rPr>
        <w:t>(</w:t>
      </w:r>
      <w:r w:rsidRPr="008368A6">
        <w:rPr>
          <w:rFonts w:ascii="Arial" w:hAnsi="Arial" w:cs="Arial"/>
        </w:rPr>
        <w:t>himself</w:t>
      </w:r>
      <w:r w:rsidR="00343AD8">
        <w:rPr>
          <w:rFonts w:ascii="Arial" w:hAnsi="Arial" w:cs="Arial"/>
        </w:rPr>
        <w:t>)</w:t>
      </w:r>
      <w:r w:rsidRPr="008368A6">
        <w:rPr>
          <w:rFonts w:ascii="Arial" w:hAnsi="Arial" w:cs="Arial"/>
        </w:rPr>
        <w:t xml:space="preserve"> to misplaced pity. While not flinching from firmness, where firmness is called for, he should approach his task with </w:t>
      </w:r>
      <w:r w:rsidR="00343AD8">
        <w:rPr>
          <w:rFonts w:ascii="Arial" w:hAnsi="Arial" w:cs="Arial"/>
        </w:rPr>
        <w:t xml:space="preserve">a </w:t>
      </w:r>
      <w:r w:rsidRPr="008368A6">
        <w:rPr>
          <w:rFonts w:ascii="Arial" w:hAnsi="Arial" w:cs="Arial"/>
        </w:rPr>
        <w:t>humane and compassionate understanding of human frailties and the pressures of society which contribute to criminality.'</w:t>
      </w:r>
    </w:p>
    <w:p w14:paraId="0AFF4239" w14:textId="77777777" w:rsidR="0060027C" w:rsidRPr="008368A6" w:rsidRDefault="0060027C" w:rsidP="007477AE">
      <w:pPr>
        <w:spacing w:after="120" w:line="360" w:lineRule="auto"/>
        <w:ind w:left="720"/>
        <w:jc w:val="both"/>
        <w:rPr>
          <w:rFonts w:ascii="Arial" w:hAnsi="Arial" w:cs="Arial"/>
        </w:rPr>
      </w:pPr>
    </w:p>
    <w:p w14:paraId="492632EC" w14:textId="35135204" w:rsidR="006157AA" w:rsidRDefault="007704C3" w:rsidP="007704C3">
      <w:pPr>
        <w:spacing w:after="12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6157AA">
        <w:rPr>
          <w:rFonts w:ascii="Arial" w:hAnsi="Arial" w:cs="Arial"/>
          <w:sz w:val="24"/>
          <w:szCs w:val="24"/>
        </w:rPr>
        <w:t xml:space="preserve">In </w:t>
      </w:r>
      <w:r w:rsidR="006157AA">
        <w:rPr>
          <w:rFonts w:ascii="Arial" w:hAnsi="Arial" w:cs="Arial"/>
          <w:i/>
          <w:iCs/>
          <w:sz w:val="24"/>
          <w:szCs w:val="24"/>
        </w:rPr>
        <w:t>E M Piater v The State</w:t>
      </w:r>
      <w:r w:rsidR="006157AA">
        <w:rPr>
          <w:rStyle w:val="FootnoteReference"/>
          <w:rFonts w:ascii="Arial" w:hAnsi="Arial" w:cs="Arial"/>
          <w:i/>
          <w:iCs/>
          <w:sz w:val="24"/>
          <w:szCs w:val="24"/>
        </w:rPr>
        <w:footnoteReference w:id="6"/>
      </w:r>
      <w:r w:rsidR="006157AA">
        <w:rPr>
          <w:rFonts w:ascii="Arial" w:hAnsi="Arial" w:cs="Arial"/>
          <w:i/>
          <w:iCs/>
          <w:sz w:val="24"/>
          <w:szCs w:val="24"/>
        </w:rPr>
        <w:t xml:space="preserve"> </w:t>
      </w:r>
      <w:r w:rsidR="006157AA">
        <w:rPr>
          <w:rFonts w:ascii="Arial" w:hAnsi="Arial" w:cs="Arial"/>
          <w:sz w:val="24"/>
          <w:szCs w:val="24"/>
        </w:rPr>
        <w:t xml:space="preserve">Makgoka J, as he then was, discussed the nature of the misdirection that is required for </w:t>
      </w:r>
      <w:r w:rsidR="0093236F">
        <w:rPr>
          <w:rFonts w:ascii="Arial" w:hAnsi="Arial" w:cs="Arial"/>
          <w:sz w:val="24"/>
          <w:szCs w:val="24"/>
        </w:rPr>
        <w:t>interference with sentence</w:t>
      </w:r>
      <w:r w:rsidR="00C42B97">
        <w:rPr>
          <w:rFonts w:ascii="Arial" w:hAnsi="Arial" w:cs="Arial"/>
          <w:sz w:val="24"/>
          <w:szCs w:val="24"/>
        </w:rPr>
        <w:t xml:space="preserve"> and in this regard, he referred to </w:t>
      </w:r>
      <w:r w:rsidR="00C42B97">
        <w:rPr>
          <w:rFonts w:ascii="Arial" w:hAnsi="Arial" w:cs="Arial"/>
          <w:i/>
          <w:iCs/>
          <w:sz w:val="24"/>
          <w:szCs w:val="24"/>
        </w:rPr>
        <w:t>S v Pillay</w:t>
      </w:r>
      <w:r w:rsidR="00C42B97">
        <w:rPr>
          <w:rStyle w:val="FootnoteReference"/>
          <w:rFonts w:ascii="Arial" w:hAnsi="Arial" w:cs="Arial"/>
          <w:i/>
          <w:iCs/>
          <w:sz w:val="24"/>
          <w:szCs w:val="24"/>
        </w:rPr>
        <w:footnoteReference w:id="7"/>
      </w:r>
      <w:r w:rsidR="00C42B97">
        <w:rPr>
          <w:rFonts w:ascii="Arial" w:hAnsi="Arial" w:cs="Arial"/>
          <w:sz w:val="24"/>
          <w:szCs w:val="24"/>
        </w:rPr>
        <w:t xml:space="preserve"> and </w:t>
      </w:r>
      <w:r w:rsidR="00C42B97">
        <w:rPr>
          <w:rFonts w:ascii="Arial" w:hAnsi="Arial" w:cs="Arial"/>
          <w:i/>
          <w:iCs/>
          <w:sz w:val="24"/>
          <w:szCs w:val="24"/>
        </w:rPr>
        <w:t>S v Malgas</w:t>
      </w:r>
      <w:r w:rsidR="00C42B97">
        <w:rPr>
          <w:rStyle w:val="FootnoteReference"/>
          <w:rFonts w:ascii="Arial" w:hAnsi="Arial" w:cs="Arial"/>
          <w:i/>
          <w:iCs/>
          <w:sz w:val="24"/>
          <w:szCs w:val="24"/>
        </w:rPr>
        <w:footnoteReference w:id="8"/>
      </w:r>
      <w:r w:rsidR="00C42B97">
        <w:rPr>
          <w:rFonts w:ascii="Arial" w:hAnsi="Arial" w:cs="Arial"/>
          <w:sz w:val="24"/>
          <w:szCs w:val="24"/>
        </w:rPr>
        <w:t xml:space="preserve">. In </w:t>
      </w:r>
      <w:r w:rsidR="00C42B97">
        <w:rPr>
          <w:rFonts w:ascii="Arial" w:hAnsi="Arial" w:cs="Arial"/>
          <w:i/>
          <w:iCs/>
          <w:sz w:val="24"/>
          <w:szCs w:val="24"/>
        </w:rPr>
        <w:t>S v Pillay</w:t>
      </w:r>
      <w:r w:rsidR="00C42B97">
        <w:rPr>
          <w:rFonts w:ascii="Arial" w:hAnsi="Arial" w:cs="Arial"/>
          <w:sz w:val="24"/>
          <w:szCs w:val="24"/>
        </w:rPr>
        <w:t>, it was held:</w:t>
      </w:r>
    </w:p>
    <w:p w14:paraId="7EE59799" w14:textId="3DA36B96" w:rsidR="00C42B97" w:rsidRDefault="00C42B97" w:rsidP="00D317BF">
      <w:pPr>
        <w:spacing w:after="120" w:line="360" w:lineRule="auto"/>
        <w:jc w:val="both"/>
        <w:rPr>
          <w:rFonts w:ascii="Arial" w:hAnsi="Arial" w:cs="Arial"/>
        </w:rPr>
      </w:pPr>
      <w:r w:rsidRPr="008368A6">
        <w:rPr>
          <w:rFonts w:ascii="Arial" w:hAnsi="Arial" w:cs="Arial"/>
        </w:rPr>
        <w:t xml:space="preserve">‘Now the word “misdirection” in the present context simply means an error committed by the Court in determining or applying the facts for assessing the appropriate sentence. As the </w:t>
      </w:r>
      <w:r w:rsidRPr="008368A6">
        <w:rPr>
          <w:rFonts w:ascii="Arial" w:hAnsi="Arial" w:cs="Arial"/>
        </w:rPr>
        <w:lastRenderedPageBreak/>
        <w:t>essential inquiry in an appeal against sentence, however, is not whether the sentence was right or wrong, but whether the Court in imposing it exercised its discretion properly and judicially, a mere misdirection is not by itself sufficient to entitle the Appeal Court to interfere with the sentence; it must be of such a nature, degree, or seriousness that it shows, directly or inferential</w:t>
      </w:r>
      <w:r w:rsidR="00343AD8">
        <w:rPr>
          <w:rFonts w:ascii="Arial" w:hAnsi="Arial" w:cs="Arial"/>
        </w:rPr>
        <w:t>ly</w:t>
      </w:r>
      <w:r w:rsidRPr="008368A6">
        <w:rPr>
          <w:rFonts w:ascii="Arial" w:hAnsi="Arial" w:cs="Arial"/>
        </w:rPr>
        <w:t>, that the Court did not exercise its discretion at all or exercised it improperly or unreasonably. Such</w:t>
      </w:r>
      <w:r w:rsidR="00343AD8">
        <w:rPr>
          <w:rFonts w:ascii="Arial" w:hAnsi="Arial" w:cs="Arial"/>
        </w:rPr>
        <w:t xml:space="preserve"> a</w:t>
      </w:r>
      <w:r w:rsidRPr="008368A6">
        <w:rPr>
          <w:rFonts w:ascii="Arial" w:hAnsi="Arial" w:cs="Arial"/>
        </w:rPr>
        <w:t xml:space="preserve"> misdirection is usually and conveniently termed on</w:t>
      </w:r>
      <w:r w:rsidR="00343AD8">
        <w:rPr>
          <w:rFonts w:ascii="Arial" w:hAnsi="Arial" w:cs="Arial"/>
        </w:rPr>
        <w:t>e</w:t>
      </w:r>
      <w:r w:rsidRPr="008368A6">
        <w:rPr>
          <w:rFonts w:ascii="Arial" w:hAnsi="Arial" w:cs="Arial"/>
        </w:rPr>
        <w:t xml:space="preserve"> that vitiates the Court’s decision on sentence”.’</w:t>
      </w:r>
    </w:p>
    <w:p w14:paraId="6D80309B" w14:textId="77777777" w:rsidR="0060027C" w:rsidRPr="008368A6" w:rsidRDefault="0060027C" w:rsidP="00D317BF">
      <w:pPr>
        <w:spacing w:after="120" w:line="360" w:lineRule="auto"/>
        <w:jc w:val="both"/>
        <w:rPr>
          <w:rFonts w:ascii="Arial" w:hAnsi="Arial" w:cs="Arial"/>
        </w:rPr>
      </w:pPr>
    </w:p>
    <w:p w14:paraId="14AB13C5" w14:textId="57D5831A" w:rsidR="006157AA" w:rsidRDefault="007704C3" w:rsidP="007704C3">
      <w:pPr>
        <w:spacing w:after="120" w:line="360" w:lineRule="auto"/>
        <w:ind w:left="720" w:hanging="720"/>
        <w:jc w:val="both"/>
        <w:rPr>
          <w:rFonts w:ascii="Arial" w:hAnsi="Arial" w:cs="Arial"/>
          <w:sz w:val="24"/>
          <w:szCs w:val="24"/>
        </w:rPr>
      </w:pPr>
      <w:r>
        <w:rPr>
          <w:rFonts w:ascii="Arial" w:hAnsi="Arial" w:cs="Arial"/>
          <w:sz w:val="24"/>
          <w:szCs w:val="24"/>
        </w:rPr>
        <w:t>[22]</w:t>
      </w:r>
      <w:r>
        <w:rPr>
          <w:rFonts w:ascii="Arial" w:hAnsi="Arial" w:cs="Arial"/>
          <w:sz w:val="24"/>
          <w:szCs w:val="24"/>
        </w:rPr>
        <w:tab/>
      </w:r>
      <w:r w:rsidR="00C42B97">
        <w:rPr>
          <w:rFonts w:ascii="Arial" w:hAnsi="Arial" w:cs="Arial"/>
          <w:sz w:val="24"/>
          <w:szCs w:val="24"/>
        </w:rPr>
        <w:t xml:space="preserve">In </w:t>
      </w:r>
      <w:r w:rsidR="00C42B97">
        <w:rPr>
          <w:rFonts w:ascii="Arial" w:hAnsi="Arial" w:cs="Arial"/>
          <w:i/>
          <w:iCs/>
          <w:sz w:val="24"/>
          <w:szCs w:val="24"/>
        </w:rPr>
        <w:t>S v Malgas</w:t>
      </w:r>
      <w:r w:rsidR="00C42B97">
        <w:rPr>
          <w:rFonts w:ascii="Arial" w:hAnsi="Arial" w:cs="Arial"/>
          <w:sz w:val="24"/>
          <w:szCs w:val="24"/>
        </w:rPr>
        <w:t xml:space="preserve"> Marais JA held that:</w:t>
      </w:r>
    </w:p>
    <w:p w14:paraId="24257ABC" w14:textId="0F393465" w:rsidR="00C42B97" w:rsidRDefault="00C42B97" w:rsidP="00D317BF">
      <w:pPr>
        <w:spacing w:after="120" w:line="360" w:lineRule="auto"/>
        <w:jc w:val="both"/>
        <w:rPr>
          <w:rFonts w:ascii="Arial" w:hAnsi="Arial" w:cs="Arial"/>
        </w:rPr>
      </w:pPr>
      <w:r w:rsidRPr="008368A6">
        <w:rPr>
          <w:rFonts w:ascii="Arial" w:hAnsi="Arial" w:cs="Arial"/>
        </w:rPr>
        <w:t>‘</w:t>
      </w:r>
      <w:r w:rsidR="00D317BF" w:rsidRPr="008368A6">
        <w:rPr>
          <w:rFonts w:ascii="Arial" w:hAnsi="Arial" w:cs="Arial"/>
        </w:rPr>
        <w:t xml:space="preserve">… </w:t>
      </w:r>
      <w:r w:rsidR="00004206">
        <w:rPr>
          <w:rFonts w:ascii="Arial" w:hAnsi="Arial" w:cs="Arial"/>
        </w:rPr>
        <w:t>A</w:t>
      </w:r>
      <w:r w:rsidR="00DA5DDE" w:rsidRPr="008368A6">
        <w:rPr>
          <w:rFonts w:ascii="Arial" w:hAnsi="Arial" w:cs="Arial"/>
        </w:rPr>
        <w:t xml:space="preserve"> </w:t>
      </w:r>
      <w:r w:rsidRPr="008368A6">
        <w:rPr>
          <w:rFonts w:ascii="Arial" w:hAnsi="Arial" w:cs="Arial"/>
        </w:rPr>
        <w:t>court exercising appellant jurisdiction cannot, in the absence of material misdirection by the trial court, approach the question of sentence as if it were the trial court and then substitute the sentence arrived at by it simply because it prefers it. To do so would be up to usurp the sentencing discretion of the trial court</w:t>
      </w:r>
      <w:r w:rsidR="00D317BF" w:rsidRPr="008368A6">
        <w:rPr>
          <w:rFonts w:ascii="Arial" w:hAnsi="Arial" w:cs="Arial"/>
        </w:rPr>
        <w:t xml:space="preserve"> </w:t>
      </w:r>
      <w:r w:rsidRPr="008368A6">
        <w:rPr>
          <w:rFonts w:ascii="Arial" w:hAnsi="Arial" w:cs="Arial"/>
        </w:rPr>
        <w:t xml:space="preserve">… </w:t>
      </w:r>
      <w:r w:rsidR="00004206">
        <w:rPr>
          <w:rFonts w:ascii="Arial" w:hAnsi="Arial" w:cs="Arial"/>
        </w:rPr>
        <w:t>H</w:t>
      </w:r>
      <w:r w:rsidRPr="008368A6">
        <w:rPr>
          <w:rFonts w:ascii="Arial" w:hAnsi="Arial" w:cs="Arial"/>
        </w:rPr>
        <w:t>owever</w:t>
      </w:r>
      <w:r w:rsidR="00004206">
        <w:rPr>
          <w:rFonts w:ascii="Arial" w:hAnsi="Arial" w:cs="Arial"/>
        </w:rPr>
        <w:t>,</w:t>
      </w:r>
      <w:r w:rsidRPr="008368A6">
        <w:rPr>
          <w:rFonts w:ascii="Arial" w:hAnsi="Arial" w:cs="Arial"/>
        </w:rPr>
        <w:t xml:space="preserve"> even in the absence of material misdirection, an appellate court may yet be justified in interfering with the sentence </w:t>
      </w:r>
      <w:r w:rsidR="00004206">
        <w:rPr>
          <w:rFonts w:ascii="Arial" w:hAnsi="Arial" w:cs="Arial"/>
        </w:rPr>
        <w:t xml:space="preserve">imposed by </w:t>
      </w:r>
      <w:r w:rsidRPr="008368A6">
        <w:rPr>
          <w:rFonts w:ascii="Arial" w:hAnsi="Arial" w:cs="Arial"/>
        </w:rPr>
        <w:t>the trial court</w:t>
      </w:r>
      <w:r w:rsidR="00004206">
        <w:rPr>
          <w:rFonts w:ascii="Arial" w:hAnsi="Arial" w:cs="Arial"/>
        </w:rPr>
        <w:t>. …</w:t>
      </w:r>
      <w:r w:rsidRPr="008368A6">
        <w:rPr>
          <w:rFonts w:ascii="Arial" w:hAnsi="Arial" w:cs="Arial"/>
        </w:rPr>
        <w:t xml:space="preserve"> the sentence which the appellate court would have imposed had it been the trial court is so marked that it </w:t>
      </w:r>
      <w:r w:rsidR="00A26C34" w:rsidRPr="008368A6">
        <w:rPr>
          <w:rFonts w:ascii="Arial" w:hAnsi="Arial" w:cs="Arial"/>
        </w:rPr>
        <w:t xml:space="preserve">can properly be described as </w:t>
      </w:r>
      <w:r w:rsidR="00004206">
        <w:rPr>
          <w:rFonts w:ascii="Arial" w:hAnsi="Arial" w:cs="Arial"/>
        </w:rPr>
        <w:t>‘</w:t>
      </w:r>
      <w:r w:rsidR="00A26C34" w:rsidRPr="008368A6">
        <w:rPr>
          <w:rFonts w:ascii="Arial" w:hAnsi="Arial" w:cs="Arial"/>
        </w:rPr>
        <w:t>shocking</w:t>
      </w:r>
      <w:r w:rsidR="00004206">
        <w:rPr>
          <w:rFonts w:ascii="Arial" w:hAnsi="Arial" w:cs="Arial"/>
        </w:rPr>
        <w:t>’</w:t>
      </w:r>
      <w:r w:rsidR="00A26C34" w:rsidRPr="008368A6">
        <w:rPr>
          <w:rFonts w:ascii="Arial" w:hAnsi="Arial" w:cs="Arial"/>
        </w:rPr>
        <w:t xml:space="preserve">, </w:t>
      </w:r>
      <w:r w:rsidR="00004206">
        <w:rPr>
          <w:rFonts w:ascii="Arial" w:hAnsi="Arial" w:cs="Arial"/>
        </w:rPr>
        <w:t>‘</w:t>
      </w:r>
      <w:r w:rsidR="00A26C34" w:rsidRPr="008368A6">
        <w:rPr>
          <w:rFonts w:ascii="Arial" w:hAnsi="Arial" w:cs="Arial"/>
        </w:rPr>
        <w:t>startling</w:t>
      </w:r>
      <w:r w:rsidR="00004206">
        <w:rPr>
          <w:rFonts w:ascii="Arial" w:hAnsi="Arial" w:cs="Arial"/>
        </w:rPr>
        <w:t>’</w:t>
      </w:r>
      <w:r w:rsidR="00A26C34" w:rsidRPr="008368A6">
        <w:rPr>
          <w:rFonts w:ascii="Arial" w:hAnsi="Arial" w:cs="Arial"/>
        </w:rPr>
        <w:t xml:space="preserve"> </w:t>
      </w:r>
      <w:r w:rsidR="00240544" w:rsidRPr="008368A6">
        <w:rPr>
          <w:rFonts w:ascii="Arial" w:hAnsi="Arial" w:cs="Arial"/>
        </w:rPr>
        <w:t>or</w:t>
      </w:r>
      <w:r w:rsidR="00240544">
        <w:rPr>
          <w:rFonts w:ascii="Arial" w:hAnsi="Arial" w:cs="Arial"/>
        </w:rPr>
        <w:t xml:space="preserve"> </w:t>
      </w:r>
      <w:r w:rsidR="00240544" w:rsidRPr="008368A6">
        <w:rPr>
          <w:rFonts w:ascii="Arial" w:hAnsi="Arial" w:cs="Arial"/>
        </w:rPr>
        <w:t>‘disturbingly</w:t>
      </w:r>
      <w:r w:rsidR="00A26C34" w:rsidRPr="008368A6">
        <w:rPr>
          <w:rFonts w:ascii="Arial" w:hAnsi="Arial" w:cs="Arial"/>
        </w:rPr>
        <w:t xml:space="preserve"> inappropriate</w:t>
      </w:r>
      <w:r w:rsidR="00004206">
        <w:rPr>
          <w:rFonts w:ascii="Arial" w:hAnsi="Arial" w:cs="Arial"/>
        </w:rPr>
        <w:t>’</w:t>
      </w:r>
      <w:r w:rsidR="00A26C34" w:rsidRPr="008368A6">
        <w:rPr>
          <w:rFonts w:ascii="Arial" w:hAnsi="Arial" w:cs="Arial"/>
        </w:rPr>
        <w:t>.</w:t>
      </w:r>
    </w:p>
    <w:p w14:paraId="426BD2D3" w14:textId="77777777" w:rsidR="0060027C" w:rsidRPr="008368A6" w:rsidRDefault="0060027C" w:rsidP="00D317BF">
      <w:pPr>
        <w:spacing w:after="120" w:line="360" w:lineRule="auto"/>
        <w:jc w:val="both"/>
        <w:rPr>
          <w:rFonts w:ascii="Arial" w:hAnsi="Arial" w:cs="Arial"/>
        </w:rPr>
      </w:pPr>
    </w:p>
    <w:p w14:paraId="00D7E3D3" w14:textId="0790C4AB" w:rsidR="0060027C" w:rsidRDefault="007704C3" w:rsidP="007704C3">
      <w:pPr>
        <w:spacing w:after="120"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2D735D" w:rsidRPr="002D735D">
        <w:rPr>
          <w:rFonts w:ascii="Arial" w:hAnsi="Arial" w:cs="Arial"/>
          <w:sz w:val="24"/>
          <w:szCs w:val="24"/>
        </w:rPr>
        <w:t>As aforementioned t</w:t>
      </w:r>
      <w:r w:rsidR="0093652F" w:rsidRPr="002D735D">
        <w:rPr>
          <w:rFonts w:ascii="Arial" w:hAnsi="Arial" w:cs="Arial"/>
          <w:sz w:val="24"/>
          <w:szCs w:val="24"/>
        </w:rPr>
        <w:t>he</w:t>
      </w:r>
      <w:r w:rsidR="00057A99" w:rsidRPr="002D735D">
        <w:rPr>
          <w:rFonts w:ascii="Arial" w:hAnsi="Arial" w:cs="Arial"/>
          <w:sz w:val="24"/>
          <w:szCs w:val="24"/>
        </w:rPr>
        <w:t xml:space="preserve"> appellant did not testify in mitigation of sentence. The only witness that testified </w:t>
      </w:r>
      <w:r w:rsidR="00221E39" w:rsidRPr="002D735D">
        <w:rPr>
          <w:rFonts w:ascii="Arial" w:hAnsi="Arial" w:cs="Arial"/>
          <w:sz w:val="24"/>
          <w:szCs w:val="24"/>
        </w:rPr>
        <w:t xml:space="preserve">is </w:t>
      </w:r>
      <w:r w:rsidR="00057A99" w:rsidRPr="002D735D">
        <w:rPr>
          <w:rFonts w:ascii="Arial" w:hAnsi="Arial" w:cs="Arial"/>
          <w:sz w:val="24"/>
          <w:szCs w:val="24"/>
        </w:rPr>
        <w:t>M</w:t>
      </w:r>
      <w:r w:rsidR="00F022AC" w:rsidRPr="002D735D">
        <w:rPr>
          <w:rFonts w:ascii="Arial" w:hAnsi="Arial" w:cs="Arial"/>
          <w:sz w:val="24"/>
          <w:szCs w:val="24"/>
        </w:rPr>
        <w:t>arlene</w:t>
      </w:r>
      <w:r w:rsidR="002D735D" w:rsidRPr="002D735D">
        <w:rPr>
          <w:rFonts w:ascii="Arial" w:hAnsi="Arial" w:cs="Arial"/>
          <w:sz w:val="24"/>
          <w:szCs w:val="24"/>
        </w:rPr>
        <w:t xml:space="preserve"> for the state who</w:t>
      </w:r>
      <w:r w:rsidR="00057A99" w:rsidRPr="002D735D">
        <w:rPr>
          <w:rFonts w:ascii="Arial" w:hAnsi="Arial" w:cs="Arial"/>
          <w:sz w:val="24"/>
          <w:szCs w:val="24"/>
        </w:rPr>
        <w:t xml:space="preserve"> was testifying for the aggravation of sentence. </w:t>
      </w:r>
    </w:p>
    <w:p w14:paraId="5F6EC068" w14:textId="77777777" w:rsidR="00D6162E" w:rsidRPr="002D735D" w:rsidRDefault="00D6162E" w:rsidP="00D6162E">
      <w:pPr>
        <w:spacing w:after="120" w:line="360" w:lineRule="auto"/>
        <w:jc w:val="both"/>
        <w:rPr>
          <w:rFonts w:ascii="Arial" w:hAnsi="Arial" w:cs="Arial"/>
          <w:sz w:val="24"/>
          <w:szCs w:val="24"/>
        </w:rPr>
      </w:pPr>
    </w:p>
    <w:p w14:paraId="7CB44B6B" w14:textId="437200AD" w:rsidR="005F7F5A" w:rsidRDefault="007704C3" w:rsidP="007704C3">
      <w:pPr>
        <w:spacing w:after="120"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9F1893">
        <w:rPr>
          <w:rFonts w:ascii="Arial" w:hAnsi="Arial" w:cs="Arial"/>
          <w:sz w:val="24"/>
          <w:szCs w:val="24"/>
        </w:rPr>
        <w:t>T</w:t>
      </w:r>
      <w:r w:rsidR="00155E1E">
        <w:rPr>
          <w:rFonts w:ascii="Arial" w:hAnsi="Arial" w:cs="Arial"/>
          <w:sz w:val="24"/>
          <w:szCs w:val="24"/>
        </w:rPr>
        <w:t>he complainant</w:t>
      </w:r>
      <w:r w:rsidR="009F1893">
        <w:rPr>
          <w:rFonts w:ascii="Arial" w:hAnsi="Arial" w:cs="Arial"/>
          <w:sz w:val="24"/>
          <w:szCs w:val="24"/>
        </w:rPr>
        <w:t xml:space="preserve"> witness</w:t>
      </w:r>
      <w:r w:rsidR="00155E1E">
        <w:rPr>
          <w:rFonts w:ascii="Arial" w:hAnsi="Arial" w:cs="Arial"/>
          <w:sz w:val="24"/>
          <w:szCs w:val="24"/>
        </w:rPr>
        <w:t xml:space="preserve">, </w:t>
      </w:r>
      <w:r w:rsidR="002D735D">
        <w:rPr>
          <w:rFonts w:ascii="Arial" w:hAnsi="Arial" w:cs="Arial"/>
          <w:sz w:val="24"/>
          <w:szCs w:val="24"/>
        </w:rPr>
        <w:t>Marlene</w:t>
      </w:r>
      <w:r w:rsidR="00155E1E">
        <w:rPr>
          <w:rFonts w:ascii="Arial" w:hAnsi="Arial" w:cs="Arial"/>
          <w:sz w:val="24"/>
          <w:szCs w:val="24"/>
        </w:rPr>
        <w:t>, had also confirmed that the appellant was remorseful. In this regard, I quote from the record:</w:t>
      </w:r>
    </w:p>
    <w:p w14:paraId="191F394A" w14:textId="0F7EE6B8" w:rsidR="00155E1E" w:rsidRPr="008368A6" w:rsidRDefault="00155E1E" w:rsidP="008368A6">
      <w:pPr>
        <w:spacing w:after="120" w:line="360" w:lineRule="auto"/>
        <w:jc w:val="both"/>
        <w:rPr>
          <w:rFonts w:ascii="Arial" w:hAnsi="Arial" w:cs="Arial"/>
        </w:rPr>
      </w:pPr>
      <w:r w:rsidRPr="008368A6">
        <w:rPr>
          <w:rFonts w:ascii="Arial" w:hAnsi="Arial" w:cs="Arial"/>
        </w:rPr>
        <w:t>‘The Prosecutor: When the theft unfolded or when you found out about the theft, what was his attitude towards having stolen the stock items?</w:t>
      </w:r>
    </w:p>
    <w:p w14:paraId="1521A7F2" w14:textId="1265CC28" w:rsidR="00155E1E" w:rsidRPr="008368A6" w:rsidRDefault="00155E1E" w:rsidP="008368A6">
      <w:pPr>
        <w:spacing w:after="120" w:line="360" w:lineRule="auto"/>
        <w:jc w:val="both"/>
        <w:rPr>
          <w:rFonts w:ascii="Arial" w:hAnsi="Arial" w:cs="Arial"/>
        </w:rPr>
      </w:pPr>
      <w:r w:rsidRPr="008368A6">
        <w:rPr>
          <w:rFonts w:ascii="Arial" w:hAnsi="Arial" w:cs="Arial"/>
        </w:rPr>
        <w:t>Mrs Bradnick: Well, he actually cried……., he said he was sorry.</w:t>
      </w:r>
    </w:p>
    <w:p w14:paraId="03ED4E1E" w14:textId="6655CD8E" w:rsidR="00155E1E" w:rsidRPr="008368A6" w:rsidRDefault="00155E1E" w:rsidP="008368A6">
      <w:pPr>
        <w:spacing w:after="120" w:line="360" w:lineRule="auto"/>
        <w:jc w:val="both"/>
        <w:rPr>
          <w:rFonts w:ascii="Arial" w:hAnsi="Arial" w:cs="Arial"/>
        </w:rPr>
      </w:pPr>
      <w:r w:rsidRPr="008368A6">
        <w:rPr>
          <w:rFonts w:ascii="Arial" w:hAnsi="Arial" w:cs="Arial"/>
        </w:rPr>
        <w:t>The Prosecutor: Did you find him to be genuinely remorseful about what he did?</w:t>
      </w:r>
    </w:p>
    <w:p w14:paraId="7F0484DD" w14:textId="04BBB52E" w:rsidR="00155E1E" w:rsidRDefault="00155E1E" w:rsidP="008368A6">
      <w:pPr>
        <w:spacing w:after="120" w:line="360" w:lineRule="auto"/>
        <w:jc w:val="both"/>
        <w:rPr>
          <w:rFonts w:ascii="Arial" w:hAnsi="Arial" w:cs="Arial"/>
        </w:rPr>
      </w:pPr>
      <w:r w:rsidRPr="008368A6">
        <w:rPr>
          <w:rFonts w:ascii="Arial" w:hAnsi="Arial" w:cs="Arial"/>
        </w:rPr>
        <w:t>Mrs Bradnick: At the time I think so, I do not know now.’</w:t>
      </w:r>
    </w:p>
    <w:p w14:paraId="74FA44FB" w14:textId="77777777" w:rsidR="0060027C" w:rsidRPr="008368A6" w:rsidRDefault="0060027C" w:rsidP="008368A6">
      <w:pPr>
        <w:spacing w:after="120" w:line="360" w:lineRule="auto"/>
        <w:jc w:val="both"/>
        <w:rPr>
          <w:rFonts w:ascii="Arial" w:hAnsi="Arial" w:cs="Arial"/>
        </w:rPr>
      </w:pPr>
    </w:p>
    <w:p w14:paraId="72E64FA6" w14:textId="42DA155A" w:rsidR="006157AA" w:rsidRDefault="007704C3" w:rsidP="007704C3">
      <w:pPr>
        <w:spacing w:after="120"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C503D5">
        <w:rPr>
          <w:rFonts w:ascii="Arial" w:hAnsi="Arial" w:cs="Arial"/>
          <w:sz w:val="24"/>
          <w:szCs w:val="24"/>
        </w:rPr>
        <w:t xml:space="preserve">The submissions of the appellant’s legal representative were never challenged by the prosecutor. </w:t>
      </w:r>
      <w:r w:rsidR="00FE08F1">
        <w:rPr>
          <w:rFonts w:ascii="Arial" w:hAnsi="Arial" w:cs="Arial"/>
          <w:sz w:val="24"/>
          <w:szCs w:val="24"/>
        </w:rPr>
        <w:t>On the contrary, he accept</w:t>
      </w:r>
      <w:r w:rsidR="002D735D">
        <w:rPr>
          <w:rFonts w:ascii="Arial" w:hAnsi="Arial" w:cs="Arial"/>
          <w:sz w:val="24"/>
          <w:szCs w:val="24"/>
        </w:rPr>
        <w:t>ed</w:t>
      </w:r>
      <w:r w:rsidR="00FE08F1">
        <w:rPr>
          <w:rFonts w:ascii="Arial" w:hAnsi="Arial" w:cs="Arial"/>
          <w:sz w:val="24"/>
          <w:szCs w:val="24"/>
        </w:rPr>
        <w:t xml:space="preserve"> them. </w:t>
      </w:r>
      <w:r w:rsidR="00FB2F6C">
        <w:rPr>
          <w:rFonts w:ascii="Arial" w:hAnsi="Arial" w:cs="Arial"/>
          <w:sz w:val="24"/>
          <w:szCs w:val="24"/>
        </w:rPr>
        <w:t>The prosecutor had said, in his own submission, referring to the appellant:</w:t>
      </w:r>
    </w:p>
    <w:p w14:paraId="6E0B9719" w14:textId="7DBA3FF4" w:rsidR="00FB2F6C" w:rsidRDefault="00FB2F6C" w:rsidP="008368A6">
      <w:pPr>
        <w:spacing w:after="120" w:line="360" w:lineRule="auto"/>
        <w:jc w:val="both"/>
        <w:rPr>
          <w:rFonts w:ascii="Arial" w:hAnsi="Arial" w:cs="Arial"/>
        </w:rPr>
      </w:pPr>
      <w:r w:rsidRPr="00FB2F6C">
        <w:rPr>
          <w:rFonts w:ascii="Arial" w:hAnsi="Arial" w:cs="Arial"/>
          <w:sz w:val="20"/>
          <w:szCs w:val="20"/>
        </w:rPr>
        <w:lastRenderedPageBreak/>
        <w:t>‘</w:t>
      </w:r>
      <w:r w:rsidRPr="008368A6">
        <w:rPr>
          <w:rFonts w:ascii="Arial" w:hAnsi="Arial" w:cs="Arial"/>
        </w:rPr>
        <w:t xml:space="preserve">He clearly is a liked person. At a stage there was a person willing to offer up the money to repay on behalf of the accused. So, therefore, he is a liked member of society even though </w:t>
      </w:r>
      <w:r w:rsidR="00E22B6A" w:rsidRPr="008368A6">
        <w:rPr>
          <w:rFonts w:ascii="Arial" w:hAnsi="Arial" w:cs="Arial"/>
        </w:rPr>
        <w:t>t</w:t>
      </w:r>
      <w:r w:rsidRPr="008368A6">
        <w:rPr>
          <w:rFonts w:ascii="Arial" w:hAnsi="Arial" w:cs="Arial"/>
        </w:rPr>
        <w:t>he people know that the accused has done this. So, it is not a situation where he will come with a stigma once he is being released because they clearly have faith in the character of the accused person Your Worship.’</w:t>
      </w:r>
    </w:p>
    <w:p w14:paraId="5771E0DE" w14:textId="77777777" w:rsidR="0060027C" w:rsidRPr="008368A6" w:rsidRDefault="0060027C" w:rsidP="008368A6">
      <w:pPr>
        <w:spacing w:after="120" w:line="360" w:lineRule="auto"/>
        <w:jc w:val="both"/>
        <w:rPr>
          <w:rFonts w:ascii="Arial" w:hAnsi="Arial" w:cs="Arial"/>
        </w:rPr>
      </w:pPr>
    </w:p>
    <w:p w14:paraId="2546D9FA" w14:textId="45C57303" w:rsidR="00FB2F6C" w:rsidRDefault="007704C3" w:rsidP="007704C3">
      <w:pPr>
        <w:spacing w:after="120"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333CA5">
        <w:rPr>
          <w:rFonts w:ascii="Arial" w:hAnsi="Arial" w:cs="Arial"/>
          <w:sz w:val="24"/>
          <w:szCs w:val="24"/>
        </w:rPr>
        <w:t xml:space="preserve">The contention before this Court by the state </w:t>
      </w:r>
      <w:r w:rsidR="000C6034">
        <w:rPr>
          <w:rFonts w:ascii="Arial" w:hAnsi="Arial" w:cs="Arial"/>
          <w:sz w:val="24"/>
          <w:szCs w:val="24"/>
        </w:rPr>
        <w:t xml:space="preserve">that the appellant had chosen not to testify or lead any evidence under oath, should be rejected for lack of merit. </w:t>
      </w:r>
      <w:r w:rsidR="00C61527">
        <w:rPr>
          <w:rFonts w:ascii="Arial" w:hAnsi="Arial" w:cs="Arial"/>
          <w:sz w:val="24"/>
          <w:szCs w:val="24"/>
        </w:rPr>
        <w:t>In this regard, the general approach is th</w:t>
      </w:r>
      <w:r w:rsidR="00221E39">
        <w:rPr>
          <w:rFonts w:ascii="Arial" w:hAnsi="Arial" w:cs="Arial"/>
          <w:sz w:val="24"/>
          <w:szCs w:val="24"/>
        </w:rPr>
        <w:t>at,</w:t>
      </w:r>
      <w:r w:rsidR="00F86996">
        <w:rPr>
          <w:rStyle w:val="FootnoteReference"/>
          <w:rFonts w:ascii="Arial" w:hAnsi="Arial" w:cs="Arial"/>
          <w:sz w:val="24"/>
          <w:szCs w:val="24"/>
        </w:rPr>
        <w:footnoteReference w:id="9"/>
      </w:r>
      <w:r w:rsidR="00C61527">
        <w:rPr>
          <w:rFonts w:ascii="Arial" w:hAnsi="Arial" w:cs="Arial"/>
          <w:sz w:val="24"/>
          <w:szCs w:val="24"/>
        </w:rPr>
        <w:t xml:space="preserve"> </w:t>
      </w:r>
      <w:r w:rsidR="00221E39">
        <w:rPr>
          <w:rFonts w:ascii="Arial" w:hAnsi="Arial" w:cs="Arial"/>
          <w:sz w:val="24"/>
          <w:szCs w:val="24"/>
        </w:rPr>
        <w:t>s</w:t>
      </w:r>
      <w:r w:rsidR="00C61527">
        <w:rPr>
          <w:rFonts w:ascii="Arial" w:hAnsi="Arial" w:cs="Arial"/>
          <w:sz w:val="24"/>
          <w:szCs w:val="24"/>
        </w:rPr>
        <w:t xml:space="preserve">tatements from the Bar by a practitioner are normally no more than argument. If they are to receive greater weight, they must be admitted by the representative of the State, or accepted facts by the court. If such </w:t>
      </w:r>
      <w:r w:rsidR="00C61527" w:rsidRPr="008368A6">
        <w:rPr>
          <w:rFonts w:ascii="Arial" w:hAnsi="Arial" w:cs="Arial"/>
          <w:i/>
          <w:iCs/>
          <w:sz w:val="24"/>
          <w:szCs w:val="24"/>
        </w:rPr>
        <w:t>ex parte</w:t>
      </w:r>
      <w:r w:rsidR="00C61527">
        <w:rPr>
          <w:rFonts w:ascii="Arial" w:hAnsi="Arial" w:cs="Arial"/>
          <w:sz w:val="24"/>
          <w:szCs w:val="24"/>
        </w:rPr>
        <w:t xml:space="preserve"> statements by a defending attorney or counsel or the court, they acquire for purposes of sentencing the weight of facts proved in evidence; and the court is bound to consider them as though they had been proved in evidence. They cannot simply be ignored by the court. Failure to take such statements or mitigating facts implicit in such statements, will in an appropriate case, lead to an interference by a court of appeal or review</w:t>
      </w:r>
      <w:r w:rsidR="00221E39">
        <w:rPr>
          <w:rFonts w:ascii="Arial" w:hAnsi="Arial" w:cs="Arial"/>
          <w:sz w:val="24"/>
          <w:szCs w:val="24"/>
        </w:rPr>
        <w:t>,</w:t>
      </w:r>
      <w:r w:rsidR="00C61527">
        <w:rPr>
          <w:rFonts w:ascii="Arial" w:hAnsi="Arial" w:cs="Arial"/>
          <w:sz w:val="24"/>
          <w:szCs w:val="24"/>
        </w:rPr>
        <w:t xml:space="preserve"> </w:t>
      </w:r>
      <w:r w:rsidR="00C61527">
        <w:rPr>
          <w:rFonts w:ascii="Arial" w:hAnsi="Arial" w:cs="Arial"/>
          <w:i/>
          <w:iCs/>
          <w:sz w:val="24"/>
          <w:szCs w:val="24"/>
        </w:rPr>
        <w:t>S v Mabala</w:t>
      </w:r>
      <w:r w:rsidR="00C61527">
        <w:rPr>
          <w:rStyle w:val="FootnoteReference"/>
          <w:rFonts w:ascii="Arial" w:hAnsi="Arial" w:cs="Arial"/>
          <w:i/>
          <w:iCs/>
          <w:sz w:val="24"/>
          <w:szCs w:val="24"/>
        </w:rPr>
        <w:footnoteReference w:id="10"/>
      </w:r>
      <w:r w:rsidR="00F86996">
        <w:rPr>
          <w:rFonts w:ascii="Arial" w:hAnsi="Arial" w:cs="Arial"/>
          <w:i/>
          <w:iCs/>
          <w:sz w:val="24"/>
          <w:szCs w:val="24"/>
        </w:rPr>
        <w:t xml:space="preserve"> </w:t>
      </w:r>
      <w:r w:rsidR="00F86996">
        <w:rPr>
          <w:rFonts w:ascii="Arial" w:hAnsi="Arial" w:cs="Arial"/>
          <w:sz w:val="24"/>
          <w:szCs w:val="24"/>
        </w:rPr>
        <w:t>and</w:t>
      </w:r>
      <w:r w:rsidR="00C61527">
        <w:rPr>
          <w:rFonts w:ascii="Arial" w:hAnsi="Arial" w:cs="Arial"/>
          <w:i/>
          <w:iCs/>
          <w:sz w:val="24"/>
          <w:szCs w:val="24"/>
        </w:rPr>
        <w:t xml:space="preserve"> S v Caleni</w:t>
      </w:r>
      <w:r w:rsidR="00C61527">
        <w:rPr>
          <w:rStyle w:val="FootnoteReference"/>
          <w:rFonts w:ascii="Arial" w:hAnsi="Arial" w:cs="Arial"/>
          <w:i/>
          <w:iCs/>
          <w:sz w:val="24"/>
          <w:szCs w:val="24"/>
        </w:rPr>
        <w:footnoteReference w:id="11"/>
      </w:r>
      <w:r w:rsidR="00C61527">
        <w:rPr>
          <w:rFonts w:ascii="Arial" w:hAnsi="Arial" w:cs="Arial"/>
          <w:i/>
          <w:iCs/>
          <w:sz w:val="24"/>
          <w:szCs w:val="24"/>
        </w:rPr>
        <w:t>.</w:t>
      </w:r>
      <w:r w:rsidR="00F86996">
        <w:rPr>
          <w:rFonts w:ascii="Arial" w:hAnsi="Arial" w:cs="Arial"/>
          <w:i/>
          <w:iCs/>
          <w:sz w:val="24"/>
          <w:szCs w:val="24"/>
        </w:rPr>
        <w:t xml:space="preserve"> </w:t>
      </w:r>
      <w:r w:rsidR="00C61527">
        <w:rPr>
          <w:rFonts w:ascii="Arial" w:hAnsi="Arial" w:cs="Arial"/>
          <w:sz w:val="24"/>
          <w:szCs w:val="24"/>
        </w:rPr>
        <w:t xml:space="preserve"> </w:t>
      </w:r>
      <w:r w:rsidR="003360DB">
        <w:rPr>
          <w:rFonts w:ascii="Arial" w:hAnsi="Arial" w:cs="Arial"/>
          <w:sz w:val="24"/>
          <w:szCs w:val="24"/>
        </w:rPr>
        <w:t xml:space="preserve">   </w:t>
      </w:r>
    </w:p>
    <w:p w14:paraId="22B8499F" w14:textId="77777777" w:rsidR="00D6162E" w:rsidRDefault="00D6162E" w:rsidP="00D6162E">
      <w:pPr>
        <w:spacing w:after="120" w:line="360" w:lineRule="auto"/>
        <w:jc w:val="both"/>
        <w:rPr>
          <w:rFonts w:ascii="Arial" w:hAnsi="Arial" w:cs="Arial"/>
          <w:sz w:val="24"/>
          <w:szCs w:val="24"/>
        </w:rPr>
      </w:pPr>
    </w:p>
    <w:p w14:paraId="436CF764" w14:textId="378A0A99" w:rsidR="006157AA" w:rsidRDefault="007704C3" w:rsidP="007704C3">
      <w:pPr>
        <w:spacing w:after="120"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F86996">
        <w:rPr>
          <w:rFonts w:ascii="Arial" w:hAnsi="Arial" w:cs="Arial"/>
          <w:sz w:val="24"/>
          <w:szCs w:val="24"/>
        </w:rPr>
        <w:t xml:space="preserve">The </w:t>
      </w:r>
      <w:r w:rsidR="00D277BD">
        <w:rPr>
          <w:rFonts w:ascii="Arial" w:hAnsi="Arial" w:cs="Arial"/>
          <w:sz w:val="24"/>
          <w:szCs w:val="24"/>
        </w:rPr>
        <w:t xml:space="preserve">regional court </w:t>
      </w:r>
      <w:r w:rsidR="00F86996">
        <w:rPr>
          <w:rFonts w:ascii="Arial" w:hAnsi="Arial" w:cs="Arial"/>
          <w:sz w:val="24"/>
          <w:szCs w:val="24"/>
        </w:rPr>
        <w:t>magistrate seems to have accepted the evidence in mitigation of sentence tendered from the bar, on behalf of the appellant and therefore, the</w:t>
      </w:r>
      <w:r w:rsidR="00D277BD">
        <w:rPr>
          <w:rFonts w:ascii="Arial" w:hAnsi="Arial" w:cs="Arial"/>
          <w:sz w:val="24"/>
          <w:szCs w:val="24"/>
        </w:rPr>
        <w:t xml:space="preserve"> regional court</w:t>
      </w:r>
      <w:r w:rsidR="00F86996">
        <w:rPr>
          <w:rFonts w:ascii="Arial" w:hAnsi="Arial" w:cs="Arial"/>
          <w:sz w:val="24"/>
          <w:szCs w:val="24"/>
        </w:rPr>
        <w:t xml:space="preserve"> magistrate was bound to consider all the mitigating factors. </w:t>
      </w:r>
      <w:r w:rsidR="0018664F">
        <w:rPr>
          <w:rFonts w:ascii="Arial" w:hAnsi="Arial" w:cs="Arial"/>
          <w:sz w:val="24"/>
          <w:szCs w:val="24"/>
        </w:rPr>
        <w:t>T</w:t>
      </w:r>
      <w:r w:rsidR="007F30EB">
        <w:rPr>
          <w:rFonts w:ascii="Arial" w:hAnsi="Arial" w:cs="Arial"/>
          <w:sz w:val="24"/>
          <w:szCs w:val="24"/>
        </w:rPr>
        <w:t xml:space="preserve">he </w:t>
      </w:r>
      <w:r w:rsidR="00D277BD">
        <w:rPr>
          <w:rFonts w:ascii="Arial" w:hAnsi="Arial" w:cs="Arial"/>
          <w:sz w:val="24"/>
          <w:szCs w:val="24"/>
        </w:rPr>
        <w:t xml:space="preserve">regional court </w:t>
      </w:r>
      <w:r w:rsidR="007F30EB">
        <w:rPr>
          <w:rFonts w:ascii="Arial" w:hAnsi="Arial" w:cs="Arial"/>
          <w:sz w:val="24"/>
          <w:szCs w:val="24"/>
        </w:rPr>
        <w:t>magistrate</w:t>
      </w:r>
      <w:r w:rsidR="00676C91">
        <w:rPr>
          <w:rFonts w:ascii="Arial" w:hAnsi="Arial" w:cs="Arial"/>
          <w:sz w:val="24"/>
          <w:szCs w:val="24"/>
        </w:rPr>
        <w:t xml:space="preserve">, </w:t>
      </w:r>
      <w:r w:rsidR="00712AC1">
        <w:rPr>
          <w:rFonts w:ascii="Arial" w:hAnsi="Arial" w:cs="Arial"/>
          <w:sz w:val="24"/>
          <w:szCs w:val="24"/>
        </w:rPr>
        <w:t>in the judgment</w:t>
      </w:r>
      <w:r w:rsidR="00676C91">
        <w:rPr>
          <w:rFonts w:ascii="Arial" w:hAnsi="Arial" w:cs="Arial"/>
          <w:sz w:val="24"/>
          <w:szCs w:val="24"/>
        </w:rPr>
        <w:t xml:space="preserve">, held </w:t>
      </w:r>
      <w:r w:rsidR="00712AC1">
        <w:rPr>
          <w:rFonts w:ascii="Arial" w:hAnsi="Arial" w:cs="Arial"/>
          <w:sz w:val="24"/>
          <w:szCs w:val="24"/>
        </w:rPr>
        <w:t>that he had considered the mitigating factors</w:t>
      </w:r>
      <w:r w:rsidR="0018664F">
        <w:rPr>
          <w:rFonts w:ascii="Arial" w:hAnsi="Arial" w:cs="Arial"/>
          <w:sz w:val="24"/>
          <w:szCs w:val="24"/>
        </w:rPr>
        <w:t xml:space="preserve"> presented on behalf of the appellant. T</w:t>
      </w:r>
      <w:r w:rsidR="00712AC1">
        <w:rPr>
          <w:rFonts w:ascii="Arial" w:hAnsi="Arial" w:cs="Arial"/>
          <w:sz w:val="24"/>
          <w:szCs w:val="24"/>
        </w:rPr>
        <w:t xml:space="preserve">hat statement does not bear close scrutiny </w:t>
      </w:r>
      <w:r w:rsidR="008120C4">
        <w:rPr>
          <w:rFonts w:ascii="Arial" w:hAnsi="Arial" w:cs="Arial"/>
          <w:sz w:val="24"/>
          <w:szCs w:val="24"/>
        </w:rPr>
        <w:t xml:space="preserve">on careful consideration </w:t>
      </w:r>
      <w:r w:rsidR="00712AC1">
        <w:rPr>
          <w:rFonts w:ascii="Arial" w:hAnsi="Arial" w:cs="Arial"/>
          <w:sz w:val="24"/>
          <w:szCs w:val="24"/>
        </w:rPr>
        <w:t xml:space="preserve">of the </w:t>
      </w:r>
      <w:r w:rsidR="008120C4">
        <w:rPr>
          <w:rFonts w:ascii="Arial" w:hAnsi="Arial" w:cs="Arial"/>
          <w:sz w:val="24"/>
          <w:szCs w:val="24"/>
        </w:rPr>
        <w:t>sentence</w:t>
      </w:r>
      <w:r w:rsidR="00712AC1">
        <w:rPr>
          <w:rFonts w:ascii="Arial" w:hAnsi="Arial" w:cs="Arial"/>
          <w:sz w:val="24"/>
          <w:szCs w:val="24"/>
        </w:rPr>
        <w:t xml:space="preserve">. </w:t>
      </w:r>
      <w:r w:rsidR="00BE748F">
        <w:rPr>
          <w:rFonts w:ascii="Arial" w:hAnsi="Arial" w:cs="Arial"/>
          <w:sz w:val="24"/>
          <w:szCs w:val="24"/>
        </w:rPr>
        <w:t>It is clear, in my mind, that in sentencing the appellant, the</w:t>
      </w:r>
      <w:r w:rsidR="00D277BD">
        <w:rPr>
          <w:rFonts w:ascii="Arial" w:hAnsi="Arial" w:cs="Arial"/>
          <w:sz w:val="24"/>
          <w:szCs w:val="24"/>
        </w:rPr>
        <w:t xml:space="preserve"> regional court</w:t>
      </w:r>
      <w:r w:rsidR="00BE748F">
        <w:rPr>
          <w:rFonts w:ascii="Arial" w:hAnsi="Arial" w:cs="Arial"/>
          <w:sz w:val="24"/>
          <w:szCs w:val="24"/>
        </w:rPr>
        <w:t xml:space="preserve"> magistrate had in mind only the provisions of the minimum sentence legislation. </w:t>
      </w:r>
      <w:r w:rsidR="0092702D">
        <w:rPr>
          <w:rFonts w:ascii="Arial" w:hAnsi="Arial" w:cs="Arial"/>
          <w:sz w:val="24"/>
          <w:szCs w:val="24"/>
        </w:rPr>
        <w:t xml:space="preserve">In the judgment, the </w:t>
      </w:r>
      <w:r w:rsidR="00D277BD">
        <w:rPr>
          <w:rFonts w:ascii="Arial" w:hAnsi="Arial" w:cs="Arial"/>
          <w:sz w:val="24"/>
          <w:szCs w:val="24"/>
        </w:rPr>
        <w:t xml:space="preserve">regional court </w:t>
      </w:r>
      <w:r w:rsidR="0092702D">
        <w:rPr>
          <w:rFonts w:ascii="Arial" w:hAnsi="Arial" w:cs="Arial"/>
          <w:sz w:val="24"/>
          <w:szCs w:val="24"/>
        </w:rPr>
        <w:t>magistrate said</w:t>
      </w:r>
      <w:r w:rsidR="00792D22">
        <w:rPr>
          <w:rFonts w:ascii="Arial" w:hAnsi="Arial" w:cs="Arial"/>
          <w:sz w:val="24"/>
          <w:szCs w:val="24"/>
        </w:rPr>
        <w:t>-</w:t>
      </w:r>
    </w:p>
    <w:p w14:paraId="6E0A4F4B" w14:textId="272BDF31" w:rsidR="0092702D" w:rsidRDefault="0092702D" w:rsidP="008368A6">
      <w:pPr>
        <w:spacing w:after="120" w:line="360" w:lineRule="auto"/>
        <w:jc w:val="both"/>
        <w:rPr>
          <w:rFonts w:ascii="Arial" w:hAnsi="Arial" w:cs="Arial"/>
        </w:rPr>
      </w:pPr>
      <w:r w:rsidRPr="008368A6">
        <w:rPr>
          <w:rFonts w:ascii="Arial" w:hAnsi="Arial" w:cs="Arial"/>
        </w:rPr>
        <w:t>‘Now the nature of the offence is a very serious offence. Even though the Minimum Sentence Act is not applicable it has reference in that we can use that as a benchmark for an appropriate sentence to be considered. The minimum sentences decree that the Court must impost a minimum sentence of 15 years imprisonment if the amount relevant is above R500 000,00.’</w:t>
      </w:r>
    </w:p>
    <w:p w14:paraId="2FA7215E" w14:textId="77777777" w:rsidR="0060027C" w:rsidRPr="008368A6" w:rsidRDefault="0060027C" w:rsidP="008368A6">
      <w:pPr>
        <w:spacing w:after="120" w:line="360" w:lineRule="auto"/>
        <w:jc w:val="both"/>
        <w:rPr>
          <w:rFonts w:ascii="Arial" w:hAnsi="Arial" w:cs="Arial"/>
        </w:rPr>
      </w:pPr>
    </w:p>
    <w:p w14:paraId="0D4AF450" w14:textId="253D30E8" w:rsidR="0018664F" w:rsidRDefault="007704C3" w:rsidP="007704C3">
      <w:pPr>
        <w:spacing w:after="120" w:line="360" w:lineRule="auto"/>
        <w:jc w:val="both"/>
        <w:rPr>
          <w:rFonts w:ascii="Arial" w:hAnsi="Arial" w:cs="Arial"/>
          <w:sz w:val="24"/>
          <w:szCs w:val="24"/>
        </w:rPr>
      </w:pPr>
      <w:r>
        <w:rPr>
          <w:rFonts w:ascii="Arial" w:hAnsi="Arial" w:cs="Arial"/>
          <w:sz w:val="24"/>
          <w:szCs w:val="24"/>
        </w:rPr>
        <w:lastRenderedPageBreak/>
        <w:t>[28]</w:t>
      </w:r>
      <w:r>
        <w:rPr>
          <w:rFonts w:ascii="Arial" w:hAnsi="Arial" w:cs="Arial"/>
          <w:sz w:val="24"/>
          <w:szCs w:val="24"/>
        </w:rPr>
        <w:tab/>
      </w:r>
      <w:r w:rsidR="004407D1">
        <w:rPr>
          <w:rFonts w:ascii="Arial" w:hAnsi="Arial" w:cs="Arial"/>
          <w:sz w:val="24"/>
          <w:szCs w:val="24"/>
        </w:rPr>
        <w:t xml:space="preserve">In his conclusion, the </w:t>
      </w:r>
      <w:r w:rsidR="00D277BD">
        <w:rPr>
          <w:rFonts w:ascii="Arial" w:hAnsi="Arial" w:cs="Arial"/>
          <w:sz w:val="24"/>
          <w:szCs w:val="24"/>
        </w:rPr>
        <w:t xml:space="preserve">regional court </w:t>
      </w:r>
      <w:r w:rsidR="004407D1">
        <w:rPr>
          <w:rFonts w:ascii="Arial" w:hAnsi="Arial" w:cs="Arial"/>
          <w:sz w:val="24"/>
          <w:szCs w:val="24"/>
        </w:rPr>
        <w:t>magistrate stated again</w:t>
      </w:r>
      <w:r w:rsidR="00792D22">
        <w:rPr>
          <w:rFonts w:ascii="Arial" w:hAnsi="Arial" w:cs="Arial"/>
          <w:sz w:val="24"/>
          <w:szCs w:val="24"/>
        </w:rPr>
        <w:t>-</w:t>
      </w:r>
    </w:p>
    <w:p w14:paraId="0BAEE587" w14:textId="7A0F8F06" w:rsidR="004407D1" w:rsidRDefault="004407D1" w:rsidP="008368A6">
      <w:pPr>
        <w:spacing w:after="120" w:line="360" w:lineRule="auto"/>
        <w:jc w:val="both"/>
        <w:rPr>
          <w:rFonts w:ascii="Arial" w:hAnsi="Arial" w:cs="Arial"/>
        </w:rPr>
      </w:pPr>
      <w:r w:rsidRPr="008368A6">
        <w:rPr>
          <w:rFonts w:ascii="Arial" w:hAnsi="Arial" w:cs="Arial"/>
        </w:rPr>
        <w:t>“As I have said that the benchmark here is 15 years imprisonment. Given the mitigating factors, I am satisfied that a sentence of 12 years would be an appropriate sentence and that is the sentence which I impose.’</w:t>
      </w:r>
    </w:p>
    <w:p w14:paraId="5BDB47D2" w14:textId="77777777" w:rsidR="0060027C" w:rsidRPr="008368A6" w:rsidRDefault="0060027C" w:rsidP="008368A6">
      <w:pPr>
        <w:spacing w:after="120" w:line="360" w:lineRule="auto"/>
        <w:jc w:val="both"/>
        <w:rPr>
          <w:rFonts w:ascii="Arial" w:hAnsi="Arial" w:cs="Arial"/>
        </w:rPr>
      </w:pPr>
    </w:p>
    <w:p w14:paraId="0D0F950D" w14:textId="08865A27" w:rsidR="004407D1" w:rsidRDefault="007704C3" w:rsidP="007704C3">
      <w:pPr>
        <w:spacing w:after="120"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D764D5">
        <w:rPr>
          <w:rFonts w:ascii="Arial" w:hAnsi="Arial" w:cs="Arial"/>
          <w:sz w:val="24"/>
          <w:szCs w:val="24"/>
        </w:rPr>
        <w:t xml:space="preserve">I </w:t>
      </w:r>
      <w:r w:rsidR="00676C91">
        <w:rPr>
          <w:rFonts w:ascii="Arial" w:hAnsi="Arial" w:cs="Arial"/>
          <w:sz w:val="24"/>
          <w:szCs w:val="24"/>
        </w:rPr>
        <w:t xml:space="preserve">find that the regional court magistrate misdirected himself in the following respects: </w:t>
      </w:r>
      <w:r w:rsidR="00D764D5">
        <w:rPr>
          <w:rFonts w:ascii="Arial" w:hAnsi="Arial" w:cs="Arial"/>
          <w:sz w:val="24"/>
          <w:szCs w:val="24"/>
        </w:rPr>
        <w:t xml:space="preserve">In cases where minimum sentences are applicable, an accused person must be warned at the pleading stage. The accused should understand the implications of invoking the minimum sentence legislation. </w:t>
      </w:r>
      <w:r w:rsidR="00A74167">
        <w:rPr>
          <w:rFonts w:ascii="Arial" w:hAnsi="Arial" w:cs="Arial"/>
          <w:sz w:val="24"/>
          <w:szCs w:val="24"/>
        </w:rPr>
        <w:t xml:space="preserve">In this case, the minimum sentence legislation was never invoked and therefore, it was incorrect of the magistrate to benchmark the sentence by way of minimum sentence legislation. </w:t>
      </w:r>
      <w:r w:rsidR="00917D68">
        <w:rPr>
          <w:rFonts w:ascii="Arial" w:hAnsi="Arial" w:cs="Arial"/>
          <w:sz w:val="24"/>
          <w:szCs w:val="24"/>
        </w:rPr>
        <w:t>The magistrate was bound to take into account</w:t>
      </w:r>
      <w:r w:rsidR="003B650B">
        <w:rPr>
          <w:rFonts w:ascii="Arial" w:hAnsi="Arial" w:cs="Arial"/>
          <w:sz w:val="24"/>
          <w:szCs w:val="24"/>
        </w:rPr>
        <w:t xml:space="preserve"> all relevant factors, including the nature and seriousness of the offence, the personal circumstances of the appellant, the mitigating and aggravating factors, as well as the legitimate interest of the society. </w:t>
      </w:r>
      <w:r w:rsidR="00243BCD">
        <w:rPr>
          <w:rFonts w:ascii="Arial" w:hAnsi="Arial" w:cs="Arial"/>
          <w:sz w:val="24"/>
          <w:szCs w:val="24"/>
        </w:rPr>
        <w:t xml:space="preserve">In </w:t>
      </w:r>
      <w:r w:rsidR="00AC77DB">
        <w:rPr>
          <w:rFonts w:ascii="Arial" w:hAnsi="Arial" w:cs="Arial"/>
          <w:sz w:val="24"/>
          <w:szCs w:val="24"/>
        </w:rPr>
        <w:t>his sentence</w:t>
      </w:r>
      <w:r w:rsidR="00243BCD">
        <w:rPr>
          <w:rFonts w:ascii="Arial" w:hAnsi="Arial" w:cs="Arial"/>
          <w:sz w:val="24"/>
          <w:szCs w:val="24"/>
        </w:rPr>
        <w:t xml:space="preserve"> judgment, the magistrate makes no reference to the correctional supervision report and the social worker’s report. </w:t>
      </w:r>
      <w:r w:rsidR="009F47FC">
        <w:rPr>
          <w:rFonts w:ascii="Arial" w:hAnsi="Arial" w:cs="Arial"/>
          <w:sz w:val="24"/>
          <w:szCs w:val="24"/>
        </w:rPr>
        <w:t>In my view, he also seem</w:t>
      </w:r>
      <w:r w:rsidR="00676C91">
        <w:rPr>
          <w:rFonts w:ascii="Arial" w:hAnsi="Arial" w:cs="Arial"/>
          <w:sz w:val="24"/>
          <w:szCs w:val="24"/>
        </w:rPr>
        <w:t>ed</w:t>
      </w:r>
      <w:r w:rsidR="009F47FC">
        <w:rPr>
          <w:rFonts w:ascii="Arial" w:hAnsi="Arial" w:cs="Arial"/>
          <w:sz w:val="24"/>
          <w:szCs w:val="24"/>
        </w:rPr>
        <w:t xml:space="preserve"> to pay lip service to the personal circumstances of the appellant and the mitigating factors. </w:t>
      </w:r>
      <w:r w:rsidR="00792D22">
        <w:rPr>
          <w:rFonts w:ascii="Arial" w:hAnsi="Arial" w:cs="Arial"/>
          <w:sz w:val="24"/>
          <w:szCs w:val="24"/>
        </w:rPr>
        <w:t>The magistrate over emphasize</w:t>
      </w:r>
      <w:r w:rsidR="00676C91">
        <w:rPr>
          <w:rFonts w:ascii="Arial" w:hAnsi="Arial" w:cs="Arial"/>
          <w:sz w:val="24"/>
          <w:szCs w:val="24"/>
        </w:rPr>
        <w:t>d</w:t>
      </w:r>
      <w:r w:rsidR="00792D22">
        <w:rPr>
          <w:rFonts w:ascii="Arial" w:hAnsi="Arial" w:cs="Arial"/>
          <w:sz w:val="24"/>
          <w:szCs w:val="24"/>
        </w:rPr>
        <w:t xml:space="preserve"> the aggravating circumstances. In this regard, I quote from the record-</w:t>
      </w:r>
    </w:p>
    <w:p w14:paraId="3D4AED30" w14:textId="3D484A50" w:rsidR="00792D22" w:rsidRPr="0007098E" w:rsidRDefault="00792D22" w:rsidP="008368A6">
      <w:pPr>
        <w:spacing w:after="120" w:line="360" w:lineRule="auto"/>
        <w:jc w:val="both"/>
        <w:rPr>
          <w:rFonts w:ascii="Arial" w:hAnsi="Arial" w:cs="Arial"/>
        </w:rPr>
      </w:pPr>
      <w:r w:rsidRPr="0007098E">
        <w:rPr>
          <w:rFonts w:ascii="Arial" w:hAnsi="Arial" w:cs="Arial"/>
        </w:rPr>
        <w:t>‘However, on the aggravating side you were in a position of trust where you were supposed to act in the interest of your employer. You did the opposite. You further your own interests to the detriment of the complainant. The other aggravating factor is that this happened over a period of time. You had lots of time to reflect on your conduct and you failed to heed to the interest of the community</w:t>
      </w:r>
      <w:r w:rsidR="00B51C43" w:rsidRPr="0007098E">
        <w:rPr>
          <w:rFonts w:ascii="Arial" w:hAnsi="Arial" w:cs="Arial"/>
        </w:rPr>
        <w:t>. You kept on doing, serving your own personal interest.</w:t>
      </w:r>
    </w:p>
    <w:p w14:paraId="1957B814" w14:textId="7055BEA2" w:rsidR="00B51C43" w:rsidRPr="0007098E" w:rsidRDefault="00B51C43" w:rsidP="008368A6">
      <w:pPr>
        <w:spacing w:after="120" w:line="360" w:lineRule="auto"/>
        <w:jc w:val="both"/>
        <w:rPr>
          <w:rFonts w:ascii="Arial" w:hAnsi="Arial" w:cs="Arial"/>
        </w:rPr>
      </w:pPr>
      <w:r w:rsidRPr="0007098E">
        <w:rPr>
          <w:rFonts w:ascii="Arial" w:hAnsi="Arial" w:cs="Arial"/>
        </w:rPr>
        <w:t>Further, what I must consider after listening to the evidence of the complainant is the psychological, not only financial impact that this action had on them, and how you placed them under distress. What is also aggravating is that your conduct you knew would have an impact on other people’s tenure at the place of employment</w:t>
      </w:r>
      <w:r w:rsidR="005B3313" w:rsidRPr="0007098E">
        <w:rPr>
          <w:rFonts w:ascii="Arial" w:hAnsi="Arial" w:cs="Arial"/>
        </w:rPr>
        <w:t>,</w:t>
      </w:r>
      <w:r w:rsidRPr="0007098E">
        <w:rPr>
          <w:rFonts w:ascii="Arial" w:hAnsi="Arial" w:cs="Arial"/>
        </w:rPr>
        <w:t xml:space="preserve"> yet you persisted in your conduct.’</w:t>
      </w:r>
    </w:p>
    <w:p w14:paraId="0A40A8EA" w14:textId="77777777" w:rsidR="0060027C" w:rsidRPr="00792D22" w:rsidRDefault="0060027C" w:rsidP="008368A6">
      <w:pPr>
        <w:spacing w:after="120" w:line="360" w:lineRule="auto"/>
        <w:jc w:val="both"/>
        <w:rPr>
          <w:rFonts w:ascii="Arial" w:hAnsi="Arial" w:cs="Arial"/>
          <w:sz w:val="20"/>
          <w:szCs w:val="20"/>
        </w:rPr>
      </w:pPr>
    </w:p>
    <w:p w14:paraId="402AE3D2" w14:textId="2A7C95AA" w:rsidR="006157AA" w:rsidRDefault="007704C3" w:rsidP="007704C3">
      <w:pPr>
        <w:spacing w:after="120"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ED319D">
        <w:rPr>
          <w:rFonts w:ascii="Arial" w:hAnsi="Arial" w:cs="Arial"/>
          <w:sz w:val="24"/>
          <w:szCs w:val="24"/>
        </w:rPr>
        <w:t>In my view, the failure in this regard amounted to a misdirection. Had the magistrate accepted the mitigating factors presented on behalf of the appellant, the correctional supervision report and the probation officer’s report, and made a careful consideration of the evidence presented by M</w:t>
      </w:r>
      <w:r w:rsidR="00676C91">
        <w:rPr>
          <w:rFonts w:ascii="Arial" w:hAnsi="Arial" w:cs="Arial"/>
          <w:sz w:val="24"/>
          <w:szCs w:val="24"/>
        </w:rPr>
        <w:t>arlene</w:t>
      </w:r>
      <w:r w:rsidR="00ED319D">
        <w:rPr>
          <w:rFonts w:ascii="Arial" w:hAnsi="Arial" w:cs="Arial"/>
          <w:sz w:val="24"/>
          <w:szCs w:val="24"/>
        </w:rPr>
        <w:t xml:space="preserve">, the approach to sentence, or at least the period of imprisonment, would necessarily have been different. </w:t>
      </w:r>
      <w:r w:rsidR="009B5DD7">
        <w:rPr>
          <w:rFonts w:ascii="Arial" w:hAnsi="Arial" w:cs="Arial"/>
          <w:sz w:val="24"/>
          <w:szCs w:val="24"/>
        </w:rPr>
        <w:t xml:space="preserve">It is therefore the type of misdirection which justifies interference by this court. Accordingly, this </w:t>
      </w:r>
      <w:r w:rsidR="009B5DD7">
        <w:rPr>
          <w:rFonts w:ascii="Arial" w:hAnsi="Arial" w:cs="Arial"/>
          <w:sz w:val="24"/>
          <w:szCs w:val="24"/>
        </w:rPr>
        <w:lastRenderedPageBreak/>
        <w:t xml:space="preserve">Court is at large to consider the sentence afresh and impose what it considers to be an appropriate sentence under the circumstances. </w:t>
      </w:r>
      <w:r w:rsidR="0030049C">
        <w:rPr>
          <w:rFonts w:ascii="Arial" w:hAnsi="Arial" w:cs="Arial"/>
          <w:sz w:val="24"/>
          <w:szCs w:val="24"/>
        </w:rPr>
        <w:t xml:space="preserve">The sentence has to have regard to the interests of the minor child. I also find too, that the sentence imposed is excessively </w:t>
      </w:r>
      <w:r w:rsidR="00540357">
        <w:rPr>
          <w:rFonts w:ascii="Arial" w:hAnsi="Arial" w:cs="Arial"/>
          <w:sz w:val="24"/>
          <w:szCs w:val="24"/>
        </w:rPr>
        <w:t>severe having regard to the personal circumstances of the appellant</w:t>
      </w:r>
      <w:r w:rsidR="0060129C">
        <w:rPr>
          <w:rFonts w:ascii="Arial" w:hAnsi="Arial" w:cs="Arial"/>
          <w:sz w:val="24"/>
          <w:szCs w:val="24"/>
        </w:rPr>
        <w:t xml:space="preserve"> and the previous sentences. </w:t>
      </w:r>
    </w:p>
    <w:p w14:paraId="32A2AB20" w14:textId="77777777" w:rsidR="0060027C" w:rsidRDefault="0060027C" w:rsidP="0060027C">
      <w:pPr>
        <w:spacing w:after="120" w:line="360" w:lineRule="auto"/>
        <w:jc w:val="both"/>
        <w:rPr>
          <w:rFonts w:ascii="Arial" w:hAnsi="Arial" w:cs="Arial"/>
          <w:sz w:val="24"/>
          <w:szCs w:val="24"/>
        </w:rPr>
      </w:pPr>
    </w:p>
    <w:p w14:paraId="0B8FB87D" w14:textId="20FF0318" w:rsidR="000F49D7" w:rsidRPr="000F49D7" w:rsidRDefault="000F49D7" w:rsidP="000F49D7">
      <w:pPr>
        <w:spacing w:after="120" w:line="360" w:lineRule="auto"/>
        <w:jc w:val="both"/>
        <w:rPr>
          <w:rFonts w:ascii="Arial" w:hAnsi="Arial" w:cs="Arial"/>
          <w:b/>
          <w:bCs/>
          <w:sz w:val="24"/>
          <w:szCs w:val="24"/>
        </w:rPr>
      </w:pPr>
      <w:r>
        <w:rPr>
          <w:rFonts w:ascii="Arial" w:hAnsi="Arial" w:cs="Arial"/>
          <w:b/>
          <w:bCs/>
          <w:sz w:val="24"/>
          <w:szCs w:val="24"/>
        </w:rPr>
        <w:t>The best interest of the minor child</w:t>
      </w:r>
    </w:p>
    <w:p w14:paraId="77CE5AD2" w14:textId="348D4429" w:rsidR="006157AA" w:rsidRDefault="007704C3" w:rsidP="007704C3">
      <w:pPr>
        <w:spacing w:after="120"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B31467">
        <w:rPr>
          <w:rFonts w:ascii="Arial" w:hAnsi="Arial" w:cs="Arial"/>
          <w:sz w:val="24"/>
          <w:szCs w:val="24"/>
        </w:rPr>
        <w:t xml:space="preserve">In </w:t>
      </w:r>
      <w:r w:rsidR="00B31467">
        <w:rPr>
          <w:rFonts w:ascii="Arial" w:hAnsi="Arial" w:cs="Arial"/>
          <w:i/>
          <w:iCs/>
          <w:sz w:val="24"/>
          <w:szCs w:val="24"/>
        </w:rPr>
        <w:t>S v M (Centre for Child Law as Amicus Curiae)</w:t>
      </w:r>
      <w:r w:rsidR="00B31467">
        <w:rPr>
          <w:rStyle w:val="FootnoteReference"/>
          <w:rFonts w:ascii="Arial" w:hAnsi="Arial" w:cs="Arial"/>
          <w:i/>
          <w:iCs/>
          <w:sz w:val="24"/>
          <w:szCs w:val="24"/>
        </w:rPr>
        <w:footnoteReference w:id="12"/>
      </w:r>
      <w:r w:rsidR="00B31467">
        <w:rPr>
          <w:rFonts w:ascii="Arial" w:hAnsi="Arial" w:cs="Arial"/>
          <w:sz w:val="24"/>
          <w:szCs w:val="24"/>
        </w:rPr>
        <w:t xml:space="preserve">, </w:t>
      </w:r>
      <w:r w:rsidR="005E3CBB">
        <w:rPr>
          <w:rFonts w:ascii="Arial" w:hAnsi="Arial" w:cs="Arial"/>
          <w:sz w:val="24"/>
          <w:szCs w:val="24"/>
        </w:rPr>
        <w:t xml:space="preserve">the court </w:t>
      </w:r>
      <w:r w:rsidR="002A59E6">
        <w:rPr>
          <w:rFonts w:ascii="Arial" w:hAnsi="Arial" w:cs="Arial"/>
          <w:sz w:val="24"/>
          <w:szCs w:val="24"/>
        </w:rPr>
        <w:t xml:space="preserve">defined a primary caregiver as the person with whom the child lives and who performs every day tasks like ensuring that the child is fed and looked after and that the child attends school regularly. </w:t>
      </w:r>
      <w:r w:rsidR="00FC5897">
        <w:rPr>
          <w:rFonts w:ascii="Arial" w:hAnsi="Arial" w:cs="Arial"/>
          <w:sz w:val="24"/>
          <w:szCs w:val="24"/>
        </w:rPr>
        <w:t>What is expected of the sentencing court is to give sufficient independent and informed attention as required by section 28(2) and section 28(1)(</w:t>
      </w:r>
      <w:r w:rsidR="00FC5897">
        <w:rPr>
          <w:rFonts w:ascii="Arial" w:hAnsi="Arial" w:cs="Arial"/>
          <w:i/>
          <w:iCs/>
          <w:sz w:val="24"/>
          <w:szCs w:val="24"/>
        </w:rPr>
        <w:t>b</w:t>
      </w:r>
      <w:r w:rsidR="00FC5897">
        <w:rPr>
          <w:rFonts w:ascii="Arial" w:hAnsi="Arial" w:cs="Arial"/>
          <w:sz w:val="24"/>
          <w:szCs w:val="24"/>
        </w:rPr>
        <w:t xml:space="preserve">) of the Constitution to the impact on the children of sending their primary caregiver to prison. </w:t>
      </w:r>
      <w:r w:rsidR="006D615D">
        <w:rPr>
          <w:rFonts w:ascii="Arial" w:hAnsi="Arial" w:cs="Arial"/>
          <w:sz w:val="24"/>
          <w:szCs w:val="24"/>
        </w:rPr>
        <w:t>The objective is to ensure that the sentencing court was in a position adequately, to balance all the varied interest</w:t>
      </w:r>
      <w:r w:rsidR="00B02A52">
        <w:rPr>
          <w:rFonts w:ascii="Arial" w:hAnsi="Arial" w:cs="Arial"/>
          <w:sz w:val="24"/>
          <w:szCs w:val="24"/>
        </w:rPr>
        <w:t>s</w:t>
      </w:r>
      <w:r w:rsidR="006D615D">
        <w:rPr>
          <w:rFonts w:ascii="Arial" w:hAnsi="Arial" w:cs="Arial"/>
          <w:sz w:val="24"/>
          <w:szCs w:val="24"/>
        </w:rPr>
        <w:t xml:space="preserve"> involved, including those of the children placed at risk. </w:t>
      </w:r>
      <w:r w:rsidR="00FE567B">
        <w:rPr>
          <w:rFonts w:ascii="Arial" w:hAnsi="Arial" w:cs="Arial"/>
          <w:sz w:val="24"/>
          <w:szCs w:val="24"/>
        </w:rPr>
        <w:t>The form of punishment imposed should be the one that least damages the interest</w:t>
      </w:r>
      <w:r w:rsidR="00B02A52">
        <w:rPr>
          <w:rFonts w:ascii="Arial" w:hAnsi="Arial" w:cs="Arial"/>
          <w:sz w:val="24"/>
          <w:szCs w:val="24"/>
        </w:rPr>
        <w:t>s</w:t>
      </w:r>
      <w:r w:rsidR="00FE567B">
        <w:rPr>
          <w:rFonts w:ascii="Arial" w:hAnsi="Arial" w:cs="Arial"/>
          <w:sz w:val="24"/>
          <w:szCs w:val="24"/>
        </w:rPr>
        <w:t xml:space="preserve"> of the children, given the legitimate range of choices available to the sentencing court. </w:t>
      </w:r>
    </w:p>
    <w:p w14:paraId="7DD49CB6" w14:textId="77777777" w:rsidR="0060027C" w:rsidRDefault="0060027C" w:rsidP="0060027C">
      <w:pPr>
        <w:spacing w:after="120" w:line="360" w:lineRule="auto"/>
        <w:jc w:val="both"/>
        <w:rPr>
          <w:rFonts w:ascii="Arial" w:hAnsi="Arial" w:cs="Arial"/>
          <w:sz w:val="24"/>
          <w:szCs w:val="24"/>
        </w:rPr>
      </w:pPr>
    </w:p>
    <w:p w14:paraId="63C11DB4" w14:textId="790AF606" w:rsidR="00B61776" w:rsidRDefault="007704C3" w:rsidP="007704C3">
      <w:pPr>
        <w:spacing w:after="120"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B61776">
        <w:rPr>
          <w:rFonts w:ascii="Arial" w:hAnsi="Arial" w:cs="Arial"/>
          <w:sz w:val="24"/>
          <w:szCs w:val="24"/>
        </w:rPr>
        <w:t xml:space="preserve">In </w:t>
      </w:r>
      <w:r w:rsidR="00B61776">
        <w:rPr>
          <w:rFonts w:ascii="Arial" w:hAnsi="Arial" w:cs="Arial"/>
          <w:i/>
          <w:iCs/>
          <w:sz w:val="24"/>
          <w:szCs w:val="24"/>
        </w:rPr>
        <w:t>E M Piater v The State</w:t>
      </w:r>
      <w:r w:rsidR="00B61776">
        <w:rPr>
          <w:rFonts w:ascii="Arial" w:hAnsi="Arial" w:cs="Arial"/>
          <w:sz w:val="24"/>
          <w:szCs w:val="24"/>
        </w:rPr>
        <w:t>, Makgoka J held –</w:t>
      </w:r>
    </w:p>
    <w:p w14:paraId="142D216A" w14:textId="4A2EA41B" w:rsidR="00B61776" w:rsidRPr="0007098E" w:rsidRDefault="00B61776" w:rsidP="00CA0ACA">
      <w:pPr>
        <w:spacing w:after="120" w:line="360" w:lineRule="auto"/>
        <w:jc w:val="both"/>
        <w:rPr>
          <w:rFonts w:ascii="Arial" w:hAnsi="Arial" w:cs="Arial"/>
        </w:rPr>
      </w:pPr>
      <w:r w:rsidRPr="0007098E">
        <w:rPr>
          <w:rFonts w:ascii="Arial" w:hAnsi="Arial" w:cs="Arial"/>
        </w:rPr>
        <w:t>‘The court developed the following guidelines in applying the principles set out above: Firstly, a sentencing court should determine whether an accused is a primary caregiver, wherever there were indications that this might be so. Secondly, the court should ascertain the effect on the children of a custodial sentence if such a sentence was being considered. Thirdly, if on the “</w:t>
      </w:r>
      <w:r w:rsidRPr="0007098E">
        <w:rPr>
          <w:rFonts w:ascii="Arial" w:hAnsi="Arial" w:cs="Arial"/>
          <w:i/>
          <w:iCs/>
        </w:rPr>
        <w:t>Zinn triad</w:t>
      </w:r>
      <w:r w:rsidRPr="0007098E">
        <w:rPr>
          <w:rFonts w:ascii="Arial" w:hAnsi="Arial" w:cs="Arial"/>
        </w:rPr>
        <w:t xml:space="preserve">” approach (which requires the court to consider the crime, the offender and the interests of society) the appropriate sentence </w:t>
      </w:r>
      <w:r w:rsidR="00AC526A" w:rsidRPr="0007098E">
        <w:rPr>
          <w:rFonts w:ascii="Arial" w:hAnsi="Arial" w:cs="Arial"/>
        </w:rPr>
        <w:t>were</w:t>
      </w:r>
      <w:r w:rsidRPr="0007098E">
        <w:rPr>
          <w:rFonts w:ascii="Arial" w:hAnsi="Arial" w:cs="Arial"/>
        </w:rPr>
        <w:t xml:space="preserve"> clearly custodial and the accused was a primary caregiver, the court must apply its mind to the question of whether it was necessary to take steps to ensure that the children would be adequately cared for while the caregiver was incarcerated. Fourthly, where the appropriate sentence was clearly non-custodial, it must be determined bearing in mind the interests of the children. Fifthly, if there w</w:t>
      </w:r>
      <w:r w:rsidR="00AC526A" w:rsidRPr="0007098E">
        <w:rPr>
          <w:rFonts w:ascii="Arial" w:hAnsi="Arial" w:cs="Arial"/>
        </w:rPr>
        <w:t>ere</w:t>
      </w:r>
      <w:r w:rsidRPr="0007098E">
        <w:rPr>
          <w:rFonts w:ascii="Arial" w:hAnsi="Arial" w:cs="Arial"/>
        </w:rPr>
        <w:t xml:space="preserve"> </w:t>
      </w:r>
      <w:r w:rsidR="00B45940" w:rsidRPr="0007098E">
        <w:rPr>
          <w:rFonts w:ascii="Arial" w:hAnsi="Arial" w:cs="Arial"/>
        </w:rPr>
        <w:t>a range of appropriate sentences, the court must use the paramountcy principle as an important guide in deciding which sentence to impose.’</w:t>
      </w:r>
    </w:p>
    <w:p w14:paraId="174DA72A" w14:textId="77777777" w:rsidR="0060027C" w:rsidRPr="00B61776" w:rsidRDefault="0060027C" w:rsidP="00CA0ACA">
      <w:pPr>
        <w:spacing w:after="120" w:line="360" w:lineRule="auto"/>
        <w:jc w:val="both"/>
        <w:rPr>
          <w:rFonts w:ascii="Arial" w:hAnsi="Arial" w:cs="Arial"/>
          <w:sz w:val="20"/>
          <w:szCs w:val="20"/>
        </w:rPr>
      </w:pPr>
    </w:p>
    <w:p w14:paraId="07712E05" w14:textId="38142CE4" w:rsidR="005D7225" w:rsidRDefault="007704C3" w:rsidP="007704C3">
      <w:pPr>
        <w:spacing w:after="120" w:line="360" w:lineRule="auto"/>
        <w:jc w:val="both"/>
        <w:rPr>
          <w:rFonts w:ascii="Arial" w:hAnsi="Arial" w:cs="Arial"/>
          <w:sz w:val="24"/>
          <w:szCs w:val="24"/>
        </w:rPr>
      </w:pPr>
      <w:r>
        <w:rPr>
          <w:rFonts w:ascii="Arial" w:hAnsi="Arial" w:cs="Arial"/>
          <w:sz w:val="24"/>
          <w:szCs w:val="24"/>
        </w:rPr>
        <w:lastRenderedPageBreak/>
        <w:t>[33]</w:t>
      </w:r>
      <w:r>
        <w:rPr>
          <w:rFonts w:ascii="Arial" w:hAnsi="Arial" w:cs="Arial"/>
          <w:sz w:val="24"/>
          <w:szCs w:val="24"/>
        </w:rPr>
        <w:tab/>
      </w:r>
      <w:r w:rsidR="005D7225">
        <w:rPr>
          <w:rFonts w:ascii="Arial" w:hAnsi="Arial" w:cs="Arial"/>
          <w:sz w:val="24"/>
          <w:szCs w:val="24"/>
        </w:rPr>
        <w:t xml:space="preserve">In the present case, </w:t>
      </w:r>
      <w:r w:rsidR="00B02A52">
        <w:rPr>
          <w:rFonts w:ascii="Arial" w:hAnsi="Arial" w:cs="Arial"/>
          <w:sz w:val="24"/>
          <w:szCs w:val="24"/>
        </w:rPr>
        <w:t xml:space="preserve">had the regional court magistrate considered </w:t>
      </w:r>
      <w:r w:rsidR="005D7225">
        <w:rPr>
          <w:rFonts w:ascii="Arial" w:hAnsi="Arial" w:cs="Arial"/>
          <w:sz w:val="24"/>
          <w:szCs w:val="24"/>
        </w:rPr>
        <w:t>the interests of the child</w:t>
      </w:r>
      <w:r w:rsidR="00B02A52">
        <w:rPr>
          <w:rFonts w:ascii="Arial" w:hAnsi="Arial" w:cs="Arial"/>
          <w:sz w:val="24"/>
          <w:szCs w:val="24"/>
        </w:rPr>
        <w:t xml:space="preserve"> properly, together with all the other factors, he </w:t>
      </w:r>
      <w:r w:rsidR="005D7225">
        <w:rPr>
          <w:rFonts w:ascii="Arial" w:hAnsi="Arial" w:cs="Arial"/>
          <w:sz w:val="24"/>
          <w:szCs w:val="24"/>
        </w:rPr>
        <w:t>w</w:t>
      </w:r>
      <w:r w:rsidR="00B02A52">
        <w:rPr>
          <w:rFonts w:ascii="Arial" w:hAnsi="Arial" w:cs="Arial"/>
          <w:sz w:val="24"/>
          <w:szCs w:val="24"/>
        </w:rPr>
        <w:t>ould</w:t>
      </w:r>
      <w:r w:rsidR="005D7225">
        <w:rPr>
          <w:rFonts w:ascii="Arial" w:hAnsi="Arial" w:cs="Arial"/>
          <w:sz w:val="24"/>
          <w:szCs w:val="24"/>
        </w:rPr>
        <w:t xml:space="preserve"> </w:t>
      </w:r>
      <w:r w:rsidR="00B02A52">
        <w:rPr>
          <w:rFonts w:ascii="Arial" w:hAnsi="Arial" w:cs="Arial"/>
          <w:sz w:val="24"/>
          <w:szCs w:val="24"/>
        </w:rPr>
        <w:t xml:space="preserve">have found that those interests would be inappropriately </w:t>
      </w:r>
      <w:r w:rsidR="005D7225">
        <w:rPr>
          <w:rFonts w:ascii="Arial" w:hAnsi="Arial" w:cs="Arial"/>
          <w:sz w:val="24"/>
          <w:szCs w:val="24"/>
        </w:rPr>
        <w:t xml:space="preserve">compromised by a </w:t>
      </w:r>
      <w:r w:rsidR="00B02A52">
        <w:rPr>
          <w:rFonts w:ascii="Arial" w:hAnsi="Arial" w:cs="Arial"/>
          <w:sz w:val="24"/>
          <w:szCs w:val="24"/>
        </w:rPr>
        <w:t xml:space="preserve">lengthy </w:t>
      </w:r>
      <w:r w:rsidR="005D7225">
        <w:rPr>
          <w:rFonts w:ascii="Arial" w:hAnsi="Arial" w:cs="Arial"/>
          <w:sz w:val="24"/>
          <w:szCs w:val="24"/>
        </w:rPr>
        <w:t xml:space="preserve">custodial sentence. </w:t>
      </w:r>
      <w:r w:rsidR="007619F6">
        <w:rPr>
          <w:rFonts w:ascii="Arial" w:hAnsi="Arial" w:cs="Arial"/>
          <w:sz w:val="24"/>
          <w:szCs w:val="24"/>
        </w:rPr>
        <w:t>I have no doubt</w:t>
      </w:r>
      <w:r w:rsidR="007836AD">
        <w:rPr>
          <w:rFonts w:ascii="Arial" w:hAnsi="Arial" w:cs="Arial"/>
          <w:sz w:val="24"/>
          <w:szCs w:val="24"/>
        </w:rPr>
        <w:t xml:space="preserve"> that</w:t>
      </w:r>
      <w:r w:rsidR="007619F6">
        <w:rPr>
          <w:rFonts w:ascii="Arial" w:hAnsi="Arial" w:cs="Arial"/>
          <w:sz w:val="24"/>
          <w:szCs w:val="24"/>
        </w:rPr>
        <w:t xml:space="preserve"> the imprisonment of the appellant would have a negative impact on the minor child. However, the appropriate sentence in this matter is clearly custodial. </w:t>
      </w:r>
      <w:r w:rsidR="007836AD">
        <w:rPr>
          <w:rFonts w:ascii="Arial" w:hAnsi="Arial" w:cs="Arial"/>
          <w:sz w:val="24"/>
          <w:szCs w:val="24"/>
        </w:rPr>
        <w:t>The appellant is not the child’s sole caregiver, he shares the responsibilities of the child with the wife. They both stay with the</w:t>
      </w:r>
      <w:r w:rsidR="0085309F">
        <w:rPr>
          <w:rFonts w:ascii="Arial" w:hAnsi="Arial" w:cs="Arial"/>
          <w:sz w:val="24"/>
          <w:szCs w:val="24"/>
        </w:rPr>
        <w:t xml:space="preserve"> minor</w:t>
      </w:r>
      <w:r w:rsidR="007836AD">
        <w:rPr>
          <w:rFonts w:ascii="Arial" w:hAnsi="Arial" w:cs="Arial"/>
          <w:sz w:val="24"/>
          <w:szCs w:val="24"/>
        </w:rPr>
        <w:t xml:space="preserve"> child</w:t>
      </w:r>
      <w:r w:rsidR="0085309F">
        <w:rPr>
          <w:rFonts w:ascii="Arial" w:hAnsi="Arial" w:cs="Arial"/>
          <w:sz w:val="24"/>
          <w:szCs w:val="24"/>
        </w:rPr>
        <w:t xml:space="preserve">. The child is </w:t>
      </w:r>
      <w:r w:rsidR="007836AD">
        <w:rPr>
          <w:rFonts w:ascii="Arial" w:hAnsi="Arial" w:cs="Arial"/>
          <w:sz w:val="24"/>
          <w:szCs w:val="24"/>
        </w:rPr>
        <w:t>attending school</w:t>
      </w:r>
      <w:r w:rsidR="0085309F">
        <w:rPr>
          <w:rFonts w:ascii="Arial" w:hAnsi="Arial" w:cs="Arial"/>
          <w:sz w:val="24"/>
          <w:szCs w:val="24"/>
        </w:rPr>
        <w:t xml:space="preserve">. </w:t>
      </w:r>
      <w:r w:rsidR="00AA7CAD">
        <w:rPr>
          <w:rFonts w:ascii="Arial" w:hAnsi="Arial" w:cs="Arial"/>
          <w:sz w:val="24"/>
          <w:szCs w:val="24"/>
        </w:rPr>
        <w:t xml:space="preserve">The appellant seems to be responsible for the child. He </w:t>
      </w:r>
      <w:r w:rsidR="00B02A52">
        <w:rPr>
          <w:rFonts w:ascii="Arial" w:hAnsi="Arial" w:cs="Arial"/>
          <w:sz w:val="24"/>
          <w:szCs w:val="24"/>
        </w:rPr>
        <w:t>was</w:t>
      </w:r>
      <w:r w:rsidR="00AA7CAD">
        <w:rPr>
          <w:rFonts w:ascii="Arial" w:hAnsi="Arial" w:cs="Arial"/>
          <w:sz w:val="24"/>
          <w:szCs w:val="24"/>
        </w:rPr>
        <w:t xml:space="preserve"> in a gainful employment as an Uber driver</w:t>
      </w:r>
      <w:r w:rsidR="00B02A52">
        <w:rPr>
          <w:rFonts w:ascii="Arial" w:hAnsi="Arial" w:cs="Arial"/>
          <w:sz w:val="24"/>
          <w:szCs w:val="24"/>
        </w:rPr>
        <w:t xml:space="preserve"> prior to his incarceration</w:t>
      </w:r>
      <w:r w:rsidR="00AA7CAD">
        <w:rPr>
          <w:rFonts w:ascii="Arial" w:hAnsi="Arial" w:cs="Arial"/>
          <w:sz w:val="24"/>
          <w:szCs w:val="24"/>
        </w:rPr>
        <w:t xml:space="preserve">. The employer is ready to accept him. It is self-evident that a </w:t>
      </w:r>
      <w:r w:rsidR="00B02A52">
        <w:rPr>
          <w:rFonts w:ascii="Arial" w:hAnsi="Arial" w:cs="Arial"/>
          <w:sz w:val="24"/>
          <w:szCs w:val="24"/>
        </w:rPr>
        <w:t xml:space="preserve">lengthy </w:t>
      </w:r>
      <w:r w:rsidR="00AA7CAD">
        <w:rPr>
          <w:rFonts w:ascii="Arial" w:hAnsi="Arial" w:cs="Arial"/>
          <w:sz w:val="24"/>
          <w:szCs w:val="24"/>
        </w:rPr>
        <w:t xml:space="preserve">custodial sentence would result in him losing his employment. </w:t>
      </w:r>
      <w:r w:rsidR="00432C32">
        <w:rPr>
          <w:rFonts w:ascii="Arial" w:hAnsi="Arial" w:cs="Arial"/>
          <w:sz w:val="24"/>
          <w:szCs w:val="24"/>
        </w:rPr>
        <w:t xml:space="preserve">The nett income for the family would be substantially reduced during the custodial term of the appellant. In these circumstances a long custodial sentence would not be an appropriate sentence, although, custodial sentence would still be an appropriate sentence. </w:t>
      </w:r>
      <w:r w:rsidR="00294CA0">
        <w:rPr>
          <w:rFonts w:ascii="Arial" w:hAnsi="Arial" w:cs="Arial"/>
          <w:sz w:val="24"/>
          <w:szCs w:val="24"/>
        </w:rPr>
        <w:t xml:space="preserve">The interests of the minor child must be considered with other factors. </w:t>
      </w:r>
      <w:r w:rsidR="00F6394E">
        <w:rPr>
          <w:rFonts w:ascii="Arial" w:hAnsi="Arial" w:cs="Arial"/>
          <w:sz w:val="24"/>
          <w:szCs w:val="24"/>
        </w:rPr>
        <w:t xml:space="preserve">I take into account these factors. </w:t>
      </w:r>
    </w:p>
    <w:p w14:paraId="31A9420E" w14:textId="107F686A" w:rsidR="00F6394E" w:rsidRPr="008368A6" w:rsidRDefault="00F6394E" w:rsidP="008368A6">
      <w:pPr>
        <w:spacing w:after="120" w:line="360" w:lineRule="auto"/>
        <w:jc w:val="both"/>
        <w:rPr>
          <w:rFonts w:ascii="Arial" w:hAnsi="Arial" w:cs="Arial"/>
        </w:rPr>
      </w:pPr>
      <w:r>
        <w:rPr>
          <w:rFonts w:ascii="Arial" w:hAnsi="Arial" w:cs="Arial"/>
          <w:sz w:val="20"/>
          <w:szCs w:val="20"/>
        </w:rPr>
        <w:t>1.</w:t>
      </w:r>
      <w:r>
        <w:rPr>
          <w:rFonts w:ascii="Arial" w:hAnsi="Arial" w:cs="Arial"/>
          <w:sz w:val="20"/>
          <w:szCs w:val="20"/>
        </w:rPr>
        <w:tab/>
      </w:r>
      <w:r w:rsidRPr="008368A6">
        <w:rPr>
          <w:rFonts w:ascii="Arial" w:hAnsi="Arial" w:cs="Arial"/>
        </w:rPr>
        <w:t>The appellant was 38 years old at the time of his sentence.</w:t>
      </w:r>
    </w:p>
    <w:p w14:paraId="02D5699A" w14:textId="7D237CE8" w:rsidR="00F6394E" w:rsidRPr="008368A6" w:rsidRDefault="00F6394E" w:rsidP="008368A6">
      <w:pPr>
        <w:spacing w:after="120" w:line="360" w:lineRule="auto"/>
        <w:jc w:val="both"/>
        <w:rPr>
          <w:rFonts w:ascii="Arial" w:hAnsi="Arial" w:cs="Arial"/>
        </w:rPr>
      </w:pPr>
      <w:r w:rsidRPr="008368A6">
        <w:rPr>
          <w:rFonts w:ascii="Arial" w:hAnsi="Arial" w:cs="Arial"/>
        </w:rPr>
        <w:t>2.</w:t>
      </w:r>
      <w:r w:rsidRPr="008368A6">
        <w:rPr>
          <w:rFonts w:ascii="Arial" w:hAnsi="Arial" w:cs="Arial"/>
        </w:rPr>
        <w:tab/>
        <w:t>He pleaded guilty and showed remorse for his actions.</w:t>
      </w:r>
    </w:p>
    <w:p w14:paraId="557BD8CD" w14:textId="5A8E6C84" w:rsidR="00F6394E" w:rsidRPr="008368A6" w:rsidRDefault="00F6394E" w:rsidP="008368A6">
      <w:pPr>
        <w:spacing w:after="120" w:line="360" w:lineRule="auto"/>
        <w:jc w:val="both"/>
        <w:rPr>
          <w:rFonts w:ascii="Arial" w:hAnsi="Arial" w:cs="Arial"/>
        </w:rPr>
      </w:pPr>
      <w:r w:rsidRPr="008368A6">
        <w:rPr>
          <w:rFonts w:ascii="Arial" w:hAnsi="Arial" w:cs="Arial"/>
        </w:rPr>
        <w:t>3.</w:t>
      </w:r>
      <w:r w:rsidRPr="008368A6">
        <w:rPr>
          <w:rFonts w:ascii="Arial" w:hAnsi="Arial" w:cs="Arial"/>
        </w:rPr>
        <w:tab/>
        <w:t xml:space="preserve">The appellant is a first offender at his age. </w:t>
      </w:r>
    </w:p>
    <w:p w14:paraId="7779F4A4" w14:textId="77777777" w:rsidR="0007098E" w:rsidRDefault="00F6394E" w:rsidP="0007098E">
      <w:pPr>
        <w:spacing w:after="120" w:line="360" w:lineRule="auto"/>
        <w:ind w:left="720" w:hanging="720"/>
        <w:jc w:val="both"/>
        <w:rPr>
          <w:rFonts w:ascii="Arial" w:hAnsi="Arial" w:cs="Arial"/>
        </w:rPr>
      </w:pPr>
      <w:r w:rsidRPr="008368A6">
        <w:rPr>
          <w:rFonts w:ascii="Arial" w:hAnsi="Arial" w:cs="Arial"/>
        </w:rPr>
        <w:t>4.</w:t>
      </w:r>
      <w:r w:rsidRPr="008368A6">
        <w:rPr>
          <w:rFonts w:ascii="Arial" w:hAnsi="Arial" w:cs="Arial"/>
        </w:rPr>
        <w:tab/>
        <w:t>The appellant had self-confessed the offence and committed to assist the complainant</w:t>
      </w:r>
    </w:p>
    <w:p w14:paraId="24E5EC68" w14:textId="0B87E572" w:rsidR="00F6394E" w:rsidRPr="008368A6" w:rsidRDefault="00F6394E" w:rsidP="0007098E">
      <w:pPr>
        <w:spacing w:after="120" w:line="360" w:lineRule="auto"/>
        <w:ind w:left="720" w:hanging="720"/>
        <w:jc w:val="both"/>
        <w:rPr>
          <w:rFonts w:ascii="Arial" w:hAnsi="Arial" w:cs="Arial"/>
        </w:rPr>
      </w:pPr>
      <w:r w:rsidRPr="008368A6">
        <w:rPr>
          <w:rFonts w:ascii="Arial" w:hAnsi="Arial" w:cs="Arial"/>
        </w:rPr>
        <w:t>in pursuing civil action against Credit Guarantee.</w:t>
      </w:r>
    </w:p>
    <w:p w14:paraId="5C5F8197" w14:textId="13751A7B" w:rsidR="00400445" w:rsidRPr="008368A6" w:rsidRDefault="00F6394E" w:rsidP="008368A6">
      <w:pPr>
        <w:spacing w:after="120" w:line="360" w:lineRule="auto"/>
        <w:jc w:val="both"/>
        <w:rPr>
          <w:rFonts w:ascii="Arial" w:hAnsi="Arial" w:cs="Arial"/>
        </w:rPr>
      </w:pPr>
      <w:r w:rsidRPr="008368A6">
        <w:rPr>
          <w:rFonts w:ascii="Arial" w:hAnsi="Arial" w:cs="Arial"/>
        </w:rPr>
        <w:t>5.</w:t>
      </w:r>
      <w:r w:rsidRPr="008368A6">
        <w:rPr>
          <w:rFonts w:ascii="Arial" w:hAnsi="Arial" w:cs="Arial"/>
        </w:rPr>
        <w:tab/>
      </w:r>
      <w:r w:rsidR="00400445" w:rsidRPr="008368A6">
        <w:rPr>
          <w:rFonts w:ascii="Arial" w:hAnsi="Arial" w:cs="Arial"/>
        </w:rPr>
        <w:t xml:space="preserve">He is married and the father of a minor child. </w:t>
      </w:r>
    </w:p>
    <w:p w14:paraId="7DD3315F" w14:textId="77777777" w:rsidR="0007098E" w:rsidRDefault="00400445" w:rsidP="0007098E">
      <w:pPr>
        <w:spacing w:after="120" w:line="360" w:lineRule="auto"/>
        <w:ind w:left="720" w:hanging="720"/>
        <w:jc w:val="both"/>
        <w:rPr>
          <w:rFonts w:ascii="Arial" w:hAnsi="Arial" w:cs="Arial"/>
        </w:rPr>
      </w:pPr>
      <w:r w:rsidRPr="008368A6">
        <w:rPr>
          <w:rFonts w:ascii="Arial" w:hAnsi="Arial" w:cs="Arial"/>
        </w:rPr>
        <w:t>6.</w:t>
      </w:r>
      <w:r w:rsidRPr="008368A6">
        <w:rPr>
          <w:rFonts w:ascii="Arial" w:hAnsi="Arial" w:cs="Arial"/>
        </w:rPr>
        <w:tab/>
        <w:t xml:space="preserve">The appellant </w:t>
      </w:r>
      <w:r w:rsidR="00B02A52">
        <w:rPr>
          <w:rFonts w:ascii="Arial" w:hAnsi="Arial" w:cs="Arial"/>
        </w:rPr>
        <w:t>was</w:t>
      </w:r>
      <w:r w:rsidRPr="008368A6">
        <w:rPr>
          <w:rFonts w:ascii="Arial" w:hAnsi="Arial" w:cs="Arial"/>
        </w:rPr>
        <w:t xml:space="preserve"> permanently employed and the employer</w:t>
      </w:r>
      <w:r w:rsidR="000F4B5E">
        <w:rPr>
          <w:rFonts w:ascii="Arial" w:hAnsi="Arial" w:cs="Arial"/>
        </w:rPr>
        <w:t xml:space="preserve"> would</w:t>
      </w:r>
      <w:r w:rsidRPr="008368A6">
        <w:rPr>
          <w:rFonts w:ascii="Arial" w:hAnsi="Arial" w:cs="Arial"/>
        </w:rPr>
        <w:t xml:space="preserve"> accept him</w:t>
      </w:r>
      <w:r w:rsidR="000F4B5E">
        <w:rPr>
          <w:rFonts w:ascii="Arial" w:hAnsi="Arial" w:cs="Arial"/>
        </w:rPr>
        <w:t xml:space="preserve"> back a</w:t>
      </w:r>
      <w:r w:rsidR="0007098E">
        <w:rPr>
          <w:rFonts w:ascii="Arial" w:hAnsi="Arial" w:cs="Arial"/>
        </w:rPr>
        <w:t>t</w:t>
      </w:r>
    </w:p>
    <w:p w14:paraId="0E858ACC" w14:textId="7CF92A28" w:rsidR="00400445" w:rsidRDefault="000F4B5E" w:rsidP="0007098E">
      <w:pPr>
        <w:spacing w:after="120" w:line="360" w:lineRule="auto"/>
        <w:ind w:left="720" w:hanging="720"/>
        <w:jc w:val="both"/>
        <w:rPr>
          <w:rFonts w:ascii="Arial" w:hAnsi="Arial" w:cs="Arial"/>
        </w:rPr>
      </w:pPr>
      <w:r>
        <w:rPr>
          <w:rFonts w:ascii="Arial" w:hAnsi="Arial" w:cs="Arial"/>
        </w:rPr>
        <w:t>work</w:t>
      </w:r>
      <w:r w:rsidR="00400445" w:rsidRPr="008368A6">
        <w:rPr>
          <w:rFonts w:ascii="Arial" w:hAnsi="Arial" w:cs="Arial"/>
        </w:rPr>
        <w:t>, despite the commission of the offence.</w:t>
      </w:r>
    </w:p>
    <w:p w14:paraId="7C98FC5F" w14:textId="77777777" w:rsidR="0060027C" w:rsidRPr="008368A6" w:rsidRDefault="0060027C" w:rsidP="008368A6">
      <w:pPr>
        <w:spacing w:after="120" w:line="360" w:lineRule="auto"/>
        <w:jc w:val="both"/>
        <w:rPr>
          <w:rFonts w:ascii="Arial" w:hAnsi="Arial" w:cs="Arial"/>
        </w:rPr>
      </w:pPr>
    </w:p>
    <w:p w14:paraId="0CD91DD1" w14:textId="47B9A5A3" w:rsidR="00F6394E" w:rsidRPr="002D3715" w:rsidRDefault="007704C3" w:rsidP="007704C3">
      <w:pPr>
        <w:spacing w:after="120" w:line="360" w:lineRule="auto"/>
        <w:jc w:val="both"/>
        <w:rPr>
          <w:rFonts w:ascii="Arial" w:hAnsi="Arial" w:cs="Arial"/>
          <w:sz w:val="24"/>
          <w:szCs w:val="24"/>
        </w:rPr>
      </w:pPr>
      <w:r w:rsidRPr="002D3715">
        <w:rPr>
          <w:rFonts w:ascii="Arial" w:hAnsi="Arial" w:cs="Arial"/>
          <w:sz w:val="24"/>
          <w:szCs w:val="24"/>
        </w:rPr>
        <w:t>[34]</w:t>
      </w:r>
      <w:r w:rsidRPr="002D3715">
        <w:rPr>
          <w:rFonts w:ascii="Arial" w:hAnsi="Arial" w:cs="Arial"/>
          <w:sz w:val="24"/>
          <w:szCs w:val="24"/>
        </w:rPr>
        <w:tab/>
      </w:r>
      <w:r w:rsidR="002D3715">
        <w:rPr>
          <w:rFonts w:ascii="Arial" w:hAnsi="Arial" w:cs="Arial"/>
          <w:sz w:val="24"/>
          <w:szCs w:val="24"/>
        </w:rPr>
        <w:t xml:space="preserve">I am mindful of the aggravating factors and that the appellant had stolen from his employer.  </w:t>
      </w:r>
      <w:r w:rsidR="00400445" w:rsidRPr="002D3715">
        <w:rPr>
          <w:rFonts w:ascii="Arial" w:hAnsi="Arial" w:cs="Arial"/>
          <w:sz w:val="24"/>
          <w:szCs w:val="24"/>
        </w:rPr>
        <w:t xml:space="preserve">In </w:t>
      </w:r>
      <w:r w:rsidR="00400445" w:rsidRPr="002D3715">
        <w:rPr>
          <w:rFonts w:ascii="Arial" w:hAnsi="Arial" w:cs="Arial"/>
          <w:i/>
          <w:iCs/>
          <w:sz w:val="24"/>
          <w:szCs w:val="24"/>
        </w:rPr>
        <w:t>S v Prinsloo</w:t>
      </w:r>
      <w:r w:rsidR="00400445">
        <w:rPr>
          <w:rStyle w:val="FootnoteReference"/>
          <w:rFonts w:ascii="Arial" w:hAnsi="Arial" w:cs="Arial"/>
          <w:i/>
          <w:iCs/>
          <w:sz w:val="24"/>
          <w:szCs w:val="24"/>
        </w:rPr>
        <w:footnoteReference w:id="13"/>
      </w:r>
      <w:r w:rsidR="00400445" w:rsidRPr="002D3715">
        <w:rPr>
          <w:rFonts w:ascii="Arial" w:hAnsi="Arial" w:cs="Arial"/>
          <w:sz w:val="24"/>
          <w:szCs w:val="24"/>
        </w:rPr>
        <w:t xml:space="preserve"> the court stated –</w:t>
      </w:r>
    </w:p>
    <w:p w14:paraId="52A8B275" w14:textId="2A19F8A2" w:rsidR="00400445" w:rsidRDefault="00400445" w:rsidP="008368A6">
      <w:pPr>
        <w:spacing w:after="120" w:line="360" w:lineRule="auto"/>
        <w:jc w:val="both"/>
        <w:rPr>
          <w:rFonts w:ascii="Arial" w:hAnsi="Arial" w:cs="Arial"/>
        </w:rPr>
      </w:pPr>
      <w:r w:rsidRPr="008368A6">
        <w:rPr>
          <w:rFonts w:ascii="Arial" w:hAnsi="Arial" w:cs="Arial"/>
        </w:rPr>
        <w:t xml:space="preserve">‘…I(n) the world of commerce employers were compelled to place trust in their employees. It </w:t>
      </w:r>
      <w:r w:rsidR="00922A21">
        <w:rPr>
          <w:rFonts w:ascii="Arial" w:hAnsi="Arial" w:cs="Arial"/>
        </w:rPr>
        <w:t>is</w:t>
      </w:r>
      <w:r w:rsidRPr="008368A6">
        <w:rPr>
          <w:rFonts w:ascii="Arial" w:hAnsi="Arial" w:cs="Arial"/>
        </w:rPr>
        <w:t xml:space="preserve"> not possible for the</w:t>
      </w:r>
      <w:r w:rsidR="00922A21">
        <w:rPr>
          <w:rFonts w:ascii="Arial" w:hAnsi="Arial" w:cs="Arial"/>
        </w:rPr>
        <w:t>m</w:t>
      </w:r>
      <w:r w:rsidRPr="008368A6">
        <w:rPr>
          <w:rFonts w:ascii="Arial" w:hAnsi="Arial" w:cs="Arial"/>
        </w:rPr>
        <w:t xml:space="preserve"> to conduct </w:t>
      </w:r>
      <w:r w:rsidR="00922A21">
        <w:rPr>
          <w:rFonts w:ascii="Arial" w:hAnsi="Arial" w:cs="Arial"/>
        </w:rPr>
        <w:t xml:space="preserve">all </w:t>
      </w:r>
      <w:r w:rsidRPr="008368A6">
        <w:rPr>
          <w:rFonts w:ascii="Arial" w:hAnsi="Arial" w:cs="Arial"/>
        </w:rPr>
        <w:t xml:space="preserve">the business of their concerns themselves. </w:t>
      </w:r>
      <w:r w:rsidR="00922A21">
        <w:rPr>
          <w:rFonts w:ascii="Arial" w:hAnsi="Arial" w:cs="Arial"/>
        </w:rPr>
        <w:t xml:space="preserve">If they were able to there would no employment for the employees. </w:t>
      </w:r>
      <w:r w:rsidRPr="008368A6">
        <w:rPr>
          <w:rFonts w:ascii="Arial" w:hAnsi="Arial" w:cs="Arial"/>
        </w:rPr>
        <w:t>No alternative remain</w:t>
      </w:r>
      <w:r w:rsidR="00922A21">
        <w:rPr>
          <w:rFonts w:ascii="Arial" w:hAnsi="Arial" w:cs="Arial"/>
        </w:rPr>
        <w:t>s</w:t>
      </w:r>
      <w:r w:rsidRPr="008368A6">
        <w:rPr>
          <w:rFonts w:ascii="Arial" w:hAnsi="Arial" w:cs="Arial"/>
        </w:rPr>
        <w:t xml:space="preserve"> to them but to repose confidence in their employees, and when an employee breache</w:t>
      </w:r>
      <w:r w:rsidR="00922A21">
        <w:rPr>
          <w:rFonts w:ascii="Arial" w:hAnsi="Arial" w:cs="Arial"/>
        </w:rPr>
        <w:t>s</w:t>
      </w:r>
      <w:r w:rsidRPr="008368A6">
        <w:rPr>
          <w:rFonts w:ascii="Arial" w:hAnsi="Arial" w:cs="Arial"/>
        </w:rPr>
        <w:t xml:space="preserve"> that trust his conduct had to be heavily penalised. The employer </w:t>
      </w:r>
      <w:r w:rsidR="00447A15">
        <w:rPr>
          <w:rFonts w:ascii="Arial" w:hAnsi="Arial" w:cs="Arial"/>
        </w:rPr>
        <w:t xml:space="preserve">is </w:t>
      </w:r>
      <w:r w:rsidRPr="008368A6">
        <w:rPr>
          <w:rFonts w:ascii="Arial" w:hAnsi="Arial" w:cs="Arial"/>
        </w:rPr>
        <w:t>entitled to expect unswerving honesty from the employee in return for the wages he pa</w:t>
      </w:r>
      <w:r w:rsidR="00447A15">
        <w:rPr>
          <w:rFonts w:ascii="Arial" w:hAnsi="Arial" w:cs="Arial"/>
        </w:rPr>
        <w:t>ys</w:t>
      </w:r>
      <w:r w:rsidRPr="008368A6">
        <w:rPr>
          <w:rFonts w:ascii="Arial" w:hAnsi="Arial" w:cs="Arial"/>
        </w:rPr>
        <w:t xml:space="preserve"> and the benefits he gave him. Nothing but implicit </w:t>
      </w:r>
      <w:r w:rsidRPr="008368A6">
        <w:rPr>
          <w:rFonts w:ascii="Arial" w:hAnsi="Arial" w:cs="Arial"/>
        </w:rPr>
        <w:lastRenderedPageBreak/>
        <w:t xml:space="preserve">acceptance of that obligation </w:t>
      </w:r>
      <w:r w:rsidR="00447A15">
        <w:rPr>
          <w:rFonts w:ascii="Arial" w:hAnsi="Arial" w:cs="Arial"/>
        </w:rPr>
        <w:t>(</w:t>
      </w:r>
      <w:r w:rsidRPr="008368A6">
        <w:rPr>
          <w:rFonts w:ascii="Arial" w:hAnsi="Arial" w:cs="Arial"/>
        </w:rPr>
        <w:t>by the employee</w:t>
      </w:r>
      <w:r w:rsidR="00447A15">
        <w:rPr>
          <w:rFonts w:ascii="Arial" w:hAnsi="Arial" w:cs="Arial"/>
        </w:rPr>
        <w:t>)</w:t>
      </w:r>
      <w:r w:rsidRPr="008368A6">
        <w:rPr>
          <w:rFonts w:ascii="Arial" w:hAnsi="Arial" w:cs="Arial"/>
        </w:rPr>
        <w:t xml:space="preserve"> w</w:t>
      </w:r>
      <w:r w:rsidR="00447A15">
        <w:rPr>
          <w:rFonts w:ascii="Arial" w:hAnsi="Arial" w:cs="Arial"/>
        </w:rPr>
        <w:t>ill</w:t>
      </w:r>
      <w:r w:rsidRPr="008368A6">
        <w:rPr>
          <w:rFonts w:ascii="Arial" w:hAnsi="Arial" w:cs="Arial"/>
        </w:rPr>
        <w:t xml:space="preserve"> keep the wheels of commerce turning smoothly.</w:t>
      </w:r>
      <w:r w:rsidR="00447A15">
        <w:rPr>
          <w:rFonts w:ascii="Arial" w:hAnsi="Arial" w:cs="Arial"/>
        </w:rPr>
        <w:t xml:space="preserve"> …I consider it  </w:t>
      </w:r>
      <w:r w:rsidRPr="008368A6">
        <w:rPr>
          <w:rFonts w:ascii="Arial" w:hAnsi="Arial" w:cs="Arial"/>
        </w:rPr>
        <w:t xml:space="preserve"> the duty of the courts, whenever this sort of misdemeanour </w:t>
      </w:r>
      <w:r w:rsidR="00447A15">
        <w:rPr>
          <w:rFonts w:ascii="Arial" w:hAnsi="Arial" w:cs="Arial"/>
        </w:rPr>
        <w:t>is</w:t>
      </w:r>
      <w:r w:rsidRPr="008368A6">
        <w:rPr>
          <w:rFonts w:ascii="Arial" w:hAnsi="Arial" w:cs="Arial"/>
        </w:rPr>
        <w:t xml:space="preserve"> detected, to send out the message that such conduct would be severely punished.’</w:t>
      </w:r>
    </w:p>
    <w:p w14:paraId="464D669D" w14:textId="77777777" w:rsidR="0060027C" w:rsidRPr="008368A6" w:rsidRDefault="0060027C" w:rsidP="008368A6">
      <w:pPr>
        <w:spacing w:after="120" w:line="360" w:lineRule="auto"/>
        <w:jc w:val="both"/>
        <w:rPr>
          <w:rFonts w:ascii="Arial" w:hAnsi="Arial" w:cs="Arial"/>
        </w:rPr>
      </w:pPr>
    </w:p>
    <w:p w14:paraId="439A073E" w14:textId="310C80E5" w:rsidR="00B61776" w:rsidRDefault="007704C3" w:rsidP="007704C3">
      <w:pPr>
        <w:spacing w:after="120" w:line="36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20552F">
        <w:rPr>
          <w:rFonts w:ascii="Arial" w:hAnsi="Arial" w:cs="Arial"/>
          <w:sz w:val="24"/>
          <w:szCs w:val="24"/>
        </w:rPr>
        <w:t>I agree with the submission by the state that the appellant was convicted of a serious offence being aggravated by the fact that he stole from his employer, resulting in a substantial financial loss suffered by the employer</w:t>
      </w:r>
      <w:r w:rsidR="00B605A6">
        <w:rPr>
          <w:rFonts w:ascii="Arial" w:hAnsi="Arial" w:cs="Arial"/>
          <w:sz w:val="24"/>
          <w:szCs w:val="24"/>
        </w:rPr>
        <w:t xml:space="preserve">. </w:t>
      </w:r>
      <w:r w:rsidR="00921A16">
        <w:rPr>
          <w:rFonts w:ascii="Arial" w:hAnsi="Arial" w:cs="Arial"/>
          <w:sz w:val="24"/>
          <w:szCs w:val="24"/>
        </w:rPr>
        <w:t xml:space="preserve">In such circumstances, I accept that the court should carefully consider the interests of society and recognition that commerce </w:t>
      </w:r>
      <w:r w:rsidR="00921A16" w:rsidRPr="00C15AFC">
        <w:rPr>
          <w:rFonts w:ascii="Arial" w:hAnsi="Arial" w:cs="Arial"/>
          <w:sz w:val="24"/>
          <w:szCs w:val="24"/>
        </w:rPr>
        <w:t xml:space="preserve">demands business owners to trust their employees with the responsibility of managing their affairs, as they cannot always be present in the place of business. </w:t>
      </w:r>
      <w:r w:rsidR="00CB1915" w:rsidRPr="00C15AFC">
        <w:rPr>
          <w:rFonts w:ascii="Arial" w:hAnsi="Arial" w:cs="Arial"/>
          <w:sz w:val="24"/>
          <w:szCs w:val="24"/>
        </w:rPr>
        <w:t xml:space="preserve">The disruption of trust could negatively affect business operations. </w:t>
      </w:r>
    </w:p>
    <w:p w14:paraId="4E707C48" w14:textId="77777777" w:rsidR="0060027C" w:rsidRPr="00C15AFC" w:rsidRDefault="0060027C" w:rsidP="0060027C">
      <w:pPr>
        <w:spacing w:after="120" w:line="360" w:lineRule="auto"/>
        <w:jc w:val="both"/>
        <w:rPr>
          <w:rFonts w:ascii="Arial" w:hAnsi="Arial" w:cs="Arial"/>
          <w:sz w:val="24"/>
          <w:szCs w:val="24"/>
        </w:rPr>
      </w:pPr>
    </w:p>
    <w:p w14:paraId="3F35B6DD" w14:textId="333FC8F0" w:rsidR="00A83E28" w:rsidRPr="00C15AFC" w:rsidRDefault="007704C3" w:rsidP="007704C3">
      <w:pPr>
        <w:spacing w:after="120" w:line="360" w:lineRule="auto"/>
        <w:jc w:val="both"/>
        <w:rPr>
          <w:rFonts w:ascii="Arial" w:hAnsi="Arial" w:cs="Arial"/>
          <w:sz w:val="24"/>
          <w:szCs w:val="24"/>
        </w:rPr>
      </w:pPr>
      <w:r w:rsidRPr="00C15AFC">
        <w:rPr>
          <w:rFonts w:ascii="Arial" w:hAnsi="Arial" w:cs="Arial"/>
          <w:sz w:val="24"/>
          <w:szCs w:val="24"/>
        </w:rPr>
        <w:t>[36]</w:t>
      </w:r>
      <w:r w:rsidRPr="00C15AFC">
        <w:rPr>
          <w:rFonts w:ascii="Arial" w:hAnsi="Arial" w:cs="Arial"/>
          <w:sz w:val="24"/>
          <w:szCs w:val="24"/>
        </w:rPr>
        <w:tab/>
      </w:r>
      <w:r w:rsidR="006D76DA" w:rsidRPr="00C15AFC">
        <w:rPr>
          <w:rFonts w:ascii="Arial" w:hAnsi="Arial" w:cs="Arial"/>
          <w:sz w:val="24"/>
          <w:szCs w:val="24"/>
        </w:rPr>
        <w:t>The proper approach to sentencing is to be guided by the trial which involves a balancing act that takes into account the offence, the offender and societal interest</w:t>
      </w:r>
      <w:r w:rsidR="000F4B5E">
        <w:rPr>
          <w:rFonts w:ascii="Arial" w:hAnsi="Arial" w:cs="Arial"/>
          <w:sz w:val="24"/>
          <w:szCs w:val="24"/>
        </w:rPr>
        <w:t>s</w:t>
      </w:r>
      <w:r w:rsidR="006D76DA" w:rsidRPr="00C15AFC">
        <w:rPr>
          <w:rFonts w:ascii="Arial" w:hAnsi="Arial" w:cs="Arial"/>
          <w:sz w:val="24"/>
          <w:szCs w:val="24"/>
        </w:rPr>
        <w:t xml:space="preserve">. </w:t>
      </w:r>
      <w:r w:rsidR="00F06811" w:rsidRPr="00C15AFC">
        <w:rPr>
          <w:rFonts w:ascii="Arial" w:hAnsi="Arial" w:cs="Arial"/>
          <w:sz w:val="24"/>
          <w:szCs w:val="24"/>
        </w:rPr>
        <w:t xml:space="preserve">In the present case, the magistrate was heavily influenced by the consideration that the theft was </w:t>
      </w:r>
      <w:r w:rsidR="00835858">
        <w:rPr>
          <w:rFonts w:ascii="Arial" w:hAnsi="Arial" w:cs="Arial"/>
          <w:sz w:val="24"/>
          <w:szCs w:val="24"/>
        </w:rPr>
        <w:t xml:space="preserve">committed by </w:t>
      </w:r>
      <w:r w:rsidR="00F06811" w:rsidRPr="00C15AFC">
        <w:rPr>
          <w:rFonts w:ascii="Arial" w:hAnsi="Arial" w:cs="Arial"/>
          <w:sz w:val="24"/>
          <w:szCs w:val="24"/>
        </w:rPr>
        <w:t>the employe</w:t>
      </w:r>
      <w:r w:rsidR="00835858">
        <w:rPr>
          <w:rFonts w:ascii="Arial" w:hAnsi="Arial" w:cs="Arial"/>
          <w:sz w:val="24"/>
          <w:szCs w:val="24"/>
        </w:rPr>
        <w:t>e</w:t>
      </w:r>
      <w:r w:rsidR="00F06811" w:rsidRPr="00C15AFC">
        <w:rPr>
          <w:rFonts w:ascii="Arial" w:hAnsi="Arial" w:cs="Arial"/>
          <w:sz w:val="24"/>
          <w:szCs w:val="24"/>
        </w:rPr>
        <w:t xml:space="preserve"> and he failed to appreciate that other </w:t>
      </w:r>
      <w:r w:rsidR="00EF2E28" w:rsidRPr="00C15AFC">
        <w:rPr>
          <w:rFonts w:ascii="Arial" w:hAnsi="Arial" w:cs="Arial"/>
          <w:sz w:val="24"/>
          <w:szCs w:val="24"/>
        </w:rPr>
        <w:t xml:space="preserve">non-custodial sentences still remain an available penalty for the offence of theft where the accused steals from the employer. </w:t>
      </w:r>
      <w:r w:rsidR="00B6036F" w:rsidRPr="00C15AFC">
        <w:rPr>
          <w:rFonts w:ascii="Arial" w:hAnsi="Arial" w:cs="Arial"/>
          <w:sz w:val="24"/>
          <w:szCs w:val="24"/>
        </w:rPr>
        <w:t xml:space="preserve">The imposition of sentence still remains discretional. </w:t>
      </w:r>
      <w:r w:rsidR="009C41D8" w:rsidRPr="00C15AFC">
        <w:rPr>
          <w:rFonts w:ascii="Arial" w:hAnsi="Arial" w:cs="Arial"/>
          <w:sz w:val="24"/>
          <w:szCs w:val="24"/>
        </w:rPr>
        <w:t xml:space="preserve">The court is bound by judicial precedent and authority. </w:t>
      </w:r>
      <w:r w:rsidR="00076487" w:rsidRPr="00C15AFC">
        <w:rPr>
          <w:rFonts w:ascii="Arial" w:hAnsi="Arial" w:cs="Arial"/>
          <w:sz w:val="24"/>
          <w:szCs w:val="24"/>
        </w:rPr>
        <w:t xml:space="preserve">In </w:t>
      </w:r>
      <w:r w:rsidR="00076487" w:rsidRPr="00C15AFC">
        <w:rPr>
          <w:rFonts w:ascii="Arial" w:hAnsi="Arial" w:cs="Arial"/>
          <w:i/>
          <w:iCs/>
          <w:sz w:val="24"/>
          <w:szCs w:val="24"/>
        </w:rPr>
        <w:t>S v Juta</w:t>
      </w:r>
      <w:r w:rsidR="00076487" w:rsidRPr="00C15AFC">
        <w:rPr>
          <w:rStyle w:val="FootnoteReference"/>
          <w:rFonts w:ascii="Arial" w:hAnsi="Arial" w:cs="Arial"/>
          <w:i/>
          <w:iCs/>
          <w:sz w:val="24"/>
          <w:szCs w:val="24"/>
        </w:rPr>
        <w:footnoteReference w:id="14"/>
      </w:r>
      <w:r w:rsidR="00076487" w:rsidRPr="00C15AFC">
        <w:rPr>
          <w:rFonts w:ascii="Arial" w:hAnsi="Arial" w:cs="Arial"/>
          <w:i/>
          <w:iCs/>
          <w:sz w:val="24"/>
          <w:szCs w:val="24"/>
        </w:rPr>
        <w:t xml:space="preserve"> </w:t>
      </w:r>
      <w:r w:rsidR="00C15AFC">
        <w:rPr>
          <w:rFonts w:ascii="Arial" w:hAnsi="Arial" w:cs="Arial"/>
          <w:sz w:val="24"/>
          <w:szCs w:val="24"/>
        </w:rPr>
        <w:t xml:space="preserve">Van Reenen CJ </w:t>
      </w:r>
      <w:r w:rsidR="00253AFA">
        <w:rPr>
          <w:rFonts w:ascii="Arial" w:hAnsi="Arial" w:cs="Arial"/>
          <w:sz w:val="24"/>
          <w:szCs w:val="24"/>
        </w:rPr>
        <w:t>said -</w:t>
      </w:r>
    </w:p>
    <w:p w14:paraId="4260935A" w14:textId="4B5EB230" w:rsidR="00076487" w:rsidRPr="008368A6" w:rsidRDefault="00076487" w:rsidP="00835858">
      <w:pPr>
        <w:spacing w:after="120" w:line="360" w:lineRule="auto"/>
        <w:jc w:val="both"/>
        <w:rPr>
          <w:rFonts w:ascii="Arial" w:hAnsi="Arial" w:cs="Arial"/>
        </w:rPr>
      </w:pPr>
      <w:r w:rsidRPr="008368A6">
        <w:rPr>
          <w:rFonts w:ascii="Arial" w:hAnsi="Arial" w:cs="Arial"/>
        </w:rPr>
        <w:t>‘</w:t>
      </w:r>
      <w:r w:rsidR="00253AFA" w:rsidRPr="008368A6">
        <w:rPr>
          <w:rFonts w:ascii="Arial" w:hAnsi="Arial" w:cs="Arial"/>
        </w:rPr>
        <w:t xml:space="preserve">Conflicting consideration abound, such as the effect upon the accused, his family and dependants, the requirements of the law, the interests of the society and so on. Care should </w:t>
      </w:r>
      <w:r w:rsidR="00605C95">
        <w:rPr>
          <w:rFonts w:ascii="Arial" w:hAnsi="Arial" w:cs="Arial"/>
        </w:rPr>
        <w:t xml:space="preserve">also </w:t>
      </w:r>
      <w:r w:rsidR="00253AFA" w:rsidRPr="008368A6">
        <w:rPr>
          <w:rFonts w:ascii="Arial" w:hAnsi="Arial" w:cs="Arial"/>
        </w:rPr>
        <w:t>be taken not to stress too much the peculiar circumstances of the individual accused. It would appear to be safer to regard him as an average representative of a class and consider the various factors in that light.</w:t>
      </w:r>
    </w:p>
    <w:p w14:paraId="32D05D6E" w14:textId="5A30E2B2" w:rsidR="00253AFA" w:rsidRPr="008368A6" w:rsidRDefault="00253AFA" w:rsidP="008368A6">
      <w:pPr>
        <w:spacing w:after="120" w:line="360" w:lineRule="auto"/>
        <w:jc w:val="both"/>
        <w:rPr>
          <w:rFonts w:ascii="Arial" w:hAnsi="Arial" w:cs="Arial"/>
        </w:rPr>
      </w:pPr>
      <w:r w:rsidRPr="008368A6">
        <w:rPr>
          <w:rFonts w:ascii="Arial" w:hAnsi="Arial" w:cs="Arial"/>
        </w:rPr>
        <w:t>For instance, the effect of a prison sentence would be far greater on a highly sensitive person than on an insensitive, callous one, but such extreme cases must be discounted.</w:t>
      </w:r>
    </w:p>
    <w:p w14:paraId="20759E08" w14:textId="1C1EC715" w:rsidR="00253AFA" w:rsidRDefault="00253AFA" w:rsidP="008368A6">
      <w:pPr>
        <w:spacing w:after="120" w:line="360" w:lineRule="auto"/>
        <w:jc w:val="both"/>
        <w:rPr>
          <w:rFonts w:ascii="Arial" w:hAnsi="Arial" w:cs="Arial"/>
        </w:rPr>
      </w:pPr>
      <w:r w:rsidRPr="008368A6">
        <w:rPr>
          <w:rFonts w:ascii="Arial" w:hAnsi="Arial" w:cs="Arial"/>
        </w:rPr>
        <w:t>Ideally, the sentence, both the primary fine, and the secondary, alternative prison sentence, must satisfy the requirements of justice, in all that that term connotes. Unfortunately, it is not given to mortals to be perfectly just in all circumstances. We can but do our best.’</w:t>
      </w:r>
    </w:p>
    <w:p w14:paraId="18F890E9" w14:textId="77777777" w:rsidR="0060027C" w:rsidRPr="008368A6" w:rsidRDefault="0060027C" w:rsidP="008368A6">
      <w:pPr>
        <w:spacing w:after="120" w:line="360" w:lineRule="auto"/>
        <w:jc w:val="both"/>
        <w:rPr>
          <w:rFonts w:ascii="Arial" w:hAnsi="Arial" w:cs="Arial"/>
        </w:rPr>
      </w:pPr>
    </w:p>
    <w:p w14:paraId="7CCB7730" w14:textId="462FCFB2" w:rsidR="00EA1F29" w:rsidRDefault="007704C3" w:rsidP="007704C3">
      <w:pPr>
        <w:spacing w:after="120" w:line="360" w:lineRule="auto"/>
        <w:jc w:val="both"/>
        <w:rPr>
          <w:rFonts w:ascii="Arial" w:hAnsi="Arial" w:cs="Arial"/>
          <w:sz w:val="24"/>
          <w:szCs w:val="24"/>
        </w:rPr>
      </w:pPr>
      <w:r>
        <w:rPr>
          <w:rFonts w:ascii="Arial" w:hAnsi="Arial" w:cs="Arial"/>
          <w:sz w:val="24"/>
          <w:szCs w:val="24"/>
        </w:rPr>
        <w:lastRenderedPageBreak/>
        <w:t>[37]</w:t>
      </w:r>
      <w:r>
        <w:rPr>
          <w:rFonts w:ascii="Arial" w:hAnsi="Arial" w:cs="Arial"/>
          <w:sz w:val="24"/>
          <w:szCs w:val="24"/>
        </w:rPr>
        <w:tab/>
      </w:r>
      <w:r w:rsidR="00AA3DAC">
        <w:rPr>
          <w:rFonts w:ascii="Arial" w:hAnsi="Arial" w:cs="Arial"/>
          <w:sz w:val="24"/>
          <w:szCs w:val="24"/>
        </w:rPr>
        <w:t xml:space="preserve">In </w:t>
      </w:r>
      <w:r w:rsidR="00AA3DAC">
        <w:rPr>
          <w:rFonts w:ascii="Arial" w:hAnsi="Arial" w:cs="Arial"/>
          <w:i/>
          <w:iCs/>
          <w:sz w:val="24"/>
          <w:szCs w:val="24"/>
        </w:rPr>
        <w:t>Evans v S</w:t>
      </w:r>
      <w:r w:rsidR="00AA3DAC">
        <w:rPr>
          <w:rStyle w:val="FootnoteReference"/>
          <w:rFonts w:ascii="Arial" w:hAnsi="Arial" w:cs="Arial"/>
          <w:i/>
          <w:iCs/>
          <w:sz w:val="24"/>
          <w:szCs w:val="24"/>
        </w:rPr>
        <w:footnoteReference w:id="15"/>
      </w:r>
      <w:r w:rsidR="00AA3DAC">
        <w:rPr>
          <w:rFonts w:ascii="Arial" w:hAnsi="Arial" w:cs="Arial"/>
          <w:i/>
          <w:iCs/>
          <w:sz w:val="24"/>
          <w:szCs w:val="24"/>
        </w:rPr>
        <w:t xml:space="preserve">, </w:t>
      </w:r>
      <w:r w:rsidR="00AA3DAC">
        <w:rPr>
          <w:rFonts w:ascii="Arial" w:hAnsi="Arial" w:cs="Arial"/>
          <w:sz w:val="24"/>
          <w:szCs w:val="24"/>
        </w:rPr>
        <w:t>the appellant, together with her former husband, was charged with 60 counts of fraud, alternatively theft, read with section 51(2)(a) of the Criminal Law Amendment Act 105 of 1997. The total amount involved was R1 489 694-96, of this</w:t>
      </w:r>
      <w:r w:rsidR="00637B44">
        <w:rPr>
          <w:rFonts w:ascii="Arial" w:hAnsi="Arial" w:cs="Arial"/>
          <w:sz w:val="24"/>
          <w:szCs w:val="24"/>
        </w:rPr>
        <w:t>, an amount of R297 460-68 was transferred directly into Mr Botha’s bank account and the balance was transferred into the appellant’s personal bank account. The appellant was sentenced to a period of 15 years imprisonment. On appeal, the SCA set aside the sentence and replaced with a sentence of 8 years imprisonment of which 5 years was suspended for a period of 5 years on condition that the appellant is not convicted of fraud, attempted fraud, theft or attempted theft, or any offence involving dishonesty</w:t>
      </w:r>
      <w:r w:rsidR="005A1107">
        <w:rPr>
          <w:rFonts w:ascii="Arial" w:hAnsi="Arial" w:cs="Arial"/>
          <w:sz w:val="24"/>
          <w:szCs w:val="24"/>
        </w:rPr>
        <w:t xml:space="preserve">, committed during the period of suspension. </w:t>
      </w:r>
    </w:p>
    <w:p w14:paraId="4CD1A9C9" w14:textId="77777777" w:rsidR="009E7681" w:rsidRDefault="009E7681" w:rsidP="009E7681">
      <w:pPr>
        <w:spacing w:after="120" w:line="360" w:lineRule="auto"/>
        <w:jc w:val="both"/>
        <w:rPr>
          <w:rFonts w:ascii="Arial" w:hAnsi="Arial" w:cs="Arial"/>
          <w:sz w:val="24"/>
          <w:szCs w:val="24"/>
        </w:rPr>
      </w:pPr>
    </w:p>
    <w:p w14:paraId="20A576F1" w14:textId="51C9CFA5" w:rsidR="006157AA" w:rsidRDefault="007704C3" w:rsidP="007704C3">
      <w:pPr>
        <w:spacing w:after="120" w:line="36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r>
      <w:r w:rsidR="006D397E">
        <w:rPr>
          <w:rFonts w:ascii="Arial" w:hAnsi="Arial" w:cs="Arial"/>
          <w:sz w:val="24"/>
          <w:szCs w:val="24"/>
        </w:rPr>
        <w:t xml:space="preserve">In </w:t>
      </w:r>
      <w:r w:rsidR="006D397E">
        <w:rPr>
          <w:rFonts w:ascii="Arial" w:hAnsi="Arial" w:cs="Arial"/>
          <w:i/>
          <w:iCs/>
          <w:sz w:val="24"/>
          <w:szCs w:val="24"/>
        </w:rPr>
        <w:t>E M Piater v State</w:t>
      </w:r>
      <w:r w:rsidR="006D397E">
        <w:rPr>
          <w:rStyle w:val="FootnoteReference"/>
          <w:rFonts w:ascii="Arial" w:hAnsi="Arial" w:cs="Arial"/>
          <w:i/>
          <w:iCs/>
          <w:sz w:val="24"/>
          <w:szCs w:val="24"/>
        </w:rPr>
        <w:footnoteReference w:id="16"/>
      </w:r>
      <w:r w:rsidR="006D397E">
        <w:rPr>
          <w:rFonts w:ascii="Arial" w:hAnsi="Arial" w:cs="Arial"/>
          <w:sz w:val="24"/>
          <w:szCs w:val="24"/>
        </w:rPr>
        <w:t xml:space="preserve">, </w:t>
      </w:r>
      <w:r w:rsidR="00A3246F">
        <w:rPr>
          <w:rFonts w:ascii="Arial" w:hAnsi="Arial" w:cs="Arial"/>
          <w:sz w:val="24"/>
          <w:szCs w:val="24"/>
        </w:rPr>
        <w:t xml:space="preserve">the court set aside a sentence imposed by the regional court for a period of 7 years and replaced it with a period of 4 years. That sentence was confirmed in the Supreme Court of Appeal.  In this case, </w:t>
      </w:r>
      <w:r w:rsidR="006D397E">
        <w:rPr>
          <w:rFonts w:ascii="Arial" w:hAnsi="Arial" w:cs="Arial"/>
          <w:sz w:val="24"/>
          <w:szCs w:val="24"/>
        </w:rPr>
        <w:t>Makgoka J</w:t>
      </w:r>
      <w:r w:rsidR="000F4B5E">
        <w:rPr>
          <w:rFonts w:ascii="Arial" w:hAnsi="Arial" w:cs="Arial"/>
          <w:sz w:val="24"/>
          <w:szCs w:val="24"/>
        </w:rPr>
        <w:t xml:space="preserve">A </w:t>
      </w:r>
      <w:r w:rsidR="006D397E">
        <w:rPr>
          <w:rFonts w:ascii="Arial" w:hAnsi="Arial" w:cs="Arial"/>
          <w:sz w:val="24"/>
          <w:szCs w:val="24"/>
        </w:rPr>
        <w:t>g</w:t>
      </w:r>
      <w:r w:rsidR="008F04E0">
        <w:rPr>
          <w:rFonts w:ascii="Arial" w:hAnsi="Arial" w:cs="Arial"/>
          <w:sz w:val="24"/>
          <w:szCs w:val="24"/>
        </w:rPr>
        <w:t>ave</w:t>
      </w:r>
      <w:r w:rsidR="006D397E">
        <w:rPr>
          <w:rFonts w:ascii="Arial" w:hAnsi="Arial" w:cs="Arial"/>
          <w:sz w:val="24"/>
          <w:szCs w:val="24"/>
        </w:rPr>
        <w:t xml:space="preserve"> an analysis </w:t>
      </w:r>
      <w:r w:rsidR="008F04E0">
        <w:rPr>
          <w:rFonts w:ascii="Arial" w:hAnsi="Arial" w:cs="Arial"/>
          <w:sz w:val="24"/>
          <w:szCs w:val="24"/>
        </w:rPr>
        <w:t xml:space="preserve">of judicial precedent </w:t>
      </w:r>
      <w:r w:rsidR="00D44F5B">
        <w:rPr>
          <w:rFonts w:ascii="Arial" w:hAnsi="Arial" w:cs="Arial"/>
          <w:sz w:val="24"/>
          <w:szCs w:val="24"/>
        </w:rPr>
        <w:t xml:space="preserve">of sentences imposed by the courts in </w:t>
      </w:r>
      <w:r w:rsidR="008F04E0">
        <w:rPr>
          <w:rFonts w:ascii="Arial" w:hAnsi="Arial" w:cs="Arial"/>
          <w:sz w:val="24"/>
          <w:szCs w:val="24"/>
        </w:rPr>
        <w:t>similar cases and I</w:t>
      </w:r>
      <w:r w:rsidR="00D44F5B">
        <w:rPr>
          <w:rFonts w:ascii="Arial" w:hAnsi="Arial" w:cs="Arial"/>
          <w:sz w:val="24"/>
          <w:szCs w:val="24"/>
        </w:rPr>
        <w:t xml:space="preserve"> find myself constrained to</w:t>
      </w:r>
      <w:r w:rsidR="008F04E0">
        <w:rPr>
          <w:rFonts w:ascii="Arial" w:hAnsi="Arial" w:cs="Arial"/>
          <w:sz w:val="24"/>
          <w:szCs w:val="24"/>
        </w:rPr>
        <w:t xml:space="preserve"> </w:t>
      </w:r>
      <w:r w:rsidR="00D44F5B">
        <w:rPr>
          <w:rFonts w:ascii="Arial" w:hAnsi="Arial" w:cs="Arial"/>
          <w:sz w:val="24"/>
          <w:szCs w:val="24"/>
        </w:rPr>
        <w:t xml:space="preserve">agree with his eloquent analysis. </w:t>
      </w:r>
    </w:p>
    <w:p w14:paraId="19E091B9" w14:textId="77777777" w:rsidR="0060027C" w:rsidRDefault="0060027C" w:rsidP="0060027C">
      <w:pPr>
        <w:spacing w:after="120" w:line="360" w:lineRule="auto"/>
        <w:jc w:val="both"/>
        <w:rPr>
          <w:rFonts w:ascii="Arial" w:hAnsi="Arial" w:cs="Arial"/>
          <w:sz w:val="24"/>
          <w:szCs w:val="24"/>
        </w:rPr>
      </w:pPr>
    </w:p>
    <w:p w14:paraId="54477BBD" w14:textId="2872A8FE" w:rsidR="00580F10" w:rsidRDefault="007704C3" w:rsidP="007704C3">
      <w:pPr>
        <w:pStyle w:val="Textbody"/>
        <w:spacing w:after="120" w:line="360" w:lineRule="auto"/>
        <w:jc w:val="both"/>
        <w:rPr>
          <w:rFonts w:ascii="Arial" w:hAnsi="Arial" w:cs="Arial"/>
        </w:rPr>
      </w:pPr>
      <w:r>
        <w:rPr>
          <w:rFonts w:ascii="Arial" w:hAnsi="Arial" w:cs="Arial"/>
        </w:rPr>
        <w:t>[39]</w:t>
      </w:r>
      <w:r>
        <w:rPr>
          <w:rFonts w:ascii="Arial" w:hAnsi="Arial" w:cs="Arial"/>
        </w:rPr>
        <w:tab/>
      </w:r>
      <w:r w:rsidR="00580F10" w:rsidRPr="00580F10">
        <w:rPr>
          <w:rFonts w:ascii="Arial" w:hAnsi="Arial" w:cs="Arial"/>
        </w:rPr>
        <w:t xml:space="preserve">In </w:t>
      </w:r>
      <w:bookmarkStart w:id="3" w:name="_Hlk161129969"/>
      <w:r w:rsidR="00580F10" w:rsidRPr="008368A6">
        <w:rPr>
          <w:rFonts w:ascii="Arial" w:hAnsi="Arial" w:cs="Arial"/>
          <w:i/>
          <w:iCs/>
        </w:rPr>
        <w:t xml:space="preserve">S </w:t>
      </w:r>
      <w:r w:rsidR="00580F10" w:rsidRPr="00605C95">
        <w:rPr>
          <w:rFonts w:ascii="Arial" w:hAnsi="Arial" w:cs="Arial"/>
          <w:i/>
          <w:iCs/>
        </w:rPr>
        <w:t>v Lister</w:t>
      </w:r>
      <w:bookmarkEnd w:id="3"/>
      <w:r w:rsidR="00580F10">
        <w:rPr>
          <w:rStyle w:val="FootnoteReference"/>
          <w:rFonts w:ascii="Arial" w:hAnsi="Arial" w:cs="Arial"/>
          <w:i/>
        </w:rPr>
        <w:footnoteReference w:id="17"/>
      </w:r>
      <w:r w:rsidR="00580F10" w:rsidRPr="00580F10">
        <w:rPr>
          <w:rFonts w:ascii="Arial" w:hAnsi="Arial" w:cs="Arial"/>
        </w:rPr>
        <w:t>, a 34</w:t>
      </w:r>
      <w:r w:rsidR="00835858">
        <w:rPr>
          <w:rFonts w:ascii="Arial" w:hAnsi="Arial" w:cs="Arial"/>
        </w:rPr>
        <w:t>-</w:t>
      </w:r>
      <w:r w:rsidR="00580F10" w:rsidRPr="00580F10">
        <w:rPr>
          <w:rFonts w:ascii="Arial" w:hAnsi="Arial" w:cs="Arial"/>
        </w:rPr>
        <w:t>year</w:t>
      </w:r>
      <w:r w:rsidR="00835858">
        <w:rPr>
          <w:rFonts w:ascii="Arial" w:hAnsi="Arial" w:cs="Arial"/>
        </w:rPr>
        <w:t>-</w:t>
      </w:r>
      <w:r w:rsidR="00580F10" w:rsidRPr="00580F10">
        <w:rPr>
          <w:rFonts w:ascii="Arial" w:hAnsi="Arial" w:cs="Arial"/>
        </w:rPr>
        <w:t>old bookkeeper’s sentence of 4 years’ imprisonment was confirmed by the SCA, after she had been convicted of theft of R95 700 from her employer, which she stole over a period of 11 months</w:t>
      </w:r>
      <w:r w:rsidR="00580F10">
        <w:rPr>
          <w:rFonts w:ascii="Arial" w:hAnsi="Arial" w:cs="Arial"/>
        </w:rPr>
        <w:t>.</w:t>
      </w:r>
    </w:p>
    <w:p w14:paraId="48D10E5A" w14:textId="77777777" w:rsidR="0060027C" w:rsidRDefault="0060027C" w:rsidP="0060027C">
      <w:pPr>
        <w:pStyle w:val="ListParagraph"/>
        <w:rPr>
          <w:rFonts w:ascii="Arial" w:hAnsi="Arial" w:cs="Arial"/>
        </w:rPr>
      </w:pPr>
    </w:p>
    <w:p w14:paraId="443D739A" w14:textId="6FB5B1CB" w:rsidR="00580F10" w:rsidRDefault="007704C3" w:rsidP="007704C3">
      <w:pPr>
        <w:pStyle w:val="Textbody"/>
        <w:spacing w:after="120" w:line="360" w:lineRule="auto"/>
        <w:jc w:val="both"/>
        <w:rPr>
          <w:rFonts w:ascii="Arial" w:hAnsi="Arial" w:cs="Arial"/>
        </w:rPr>
      </w:pPr>
      <w:r>
        <w:rPr>
          <w:rFonts w:ascii="Arial" w:hAnsi="Arial" w:cs="Arial"/>
        </w:rPr>
        <w:t>[40]</w:t>
      </w:r>
      <w:r>
        <w:rPr>
          <w:rFonts w:ascii="Arial" w:hAnsi="Arial" w:cs="Arial"/>
        </w:rPr>
        <w:tab/>
      </w:r>
      <w:r w:rsidR="00580F10" w:rsidRPr="00580F10">
        <w:rPr>
          <w:rFonts w:ascii="Arial" w:hAnsi="Arial" w:cs="Arial"/>
        </w:rPr>
        <w:t xml:space="preserve">In </w:t>
      </w:r>
      <w:r w:rsidR="00580F10" w:rsidRPr="00580F10">
        <w:rPr>
          <w:rFonts w:ascii="Arial" w:hAnsi="Arial" w:cs="Arial"/>
          <w:i/>
        </w:rPr>
        <w:t>Howells</w:t>
      </w:r>
      <w:r w:rsidR="00835858">
        <w:rPr>
          <w:rFonts w:ascii="Arial" w:hAnsi="Arial" w:cs="Arial"/>
          <w:i/>
        </w:rPr>
        <w:t xml:space="preserve"> v S</w:t>
      </w:r>
      <w:r w:rsidR="00A541BC">
        <w:rPr>
          <w:rStyle w:val="FootnoteReference"/>
          <w:rFonts w:ascii="Arial" w:hAnsi="Arial" w:cs="Arial"/>
          <w:i/>
        </w:rPr>
        <w:footnoteReference w:id="18"/>
      </w:r>
      <w:r w:rsidR="00580F10" w:rsidRPr="00580F10">
        <w:rPr>
          <w:rFonts w:ascii="Arial" w:hAnsi="Arial" w:cs="Arial"/>
          <w:i/>
        </w:rPr>
        <w:t>,</w:t>
      </w:r>
      <w:r w:rsidR="00580F10" w:rsidRPr="00580F10">
        <w:rPr>
          <w:rFonts w:ascii="Arial" w:hAnsi="Arial" w:cs="Arial"/>
        </w:rPr>
        <w:t xml:space="preserve"> the appellant </w:t>
      </w:r>
      <w:r w:rsidR="00760268">
        <w:rPr>
          <w:rFonts w:ascii="Arial" w:hAnsi="Arial" w:cs="Arial"/>
        </w:rPr>
        <w:t xml:space="preserve">was sentenced for </w:t>
      </w:r>
      <w:r w:rsidR="00760268" w:rsidRPr="00580F10">
        <w:rPr>
          <w:rFonts w:ascii="Arial" w:hAnsi="Arial" w:cs="Arial"/>
        </w:rPr>
        <w:t>4 years’ imprisonment in terms of s 276(1</w:t>
      </w:r>
      <w:r w:rsidR="00760268">
        <w:rPr>
          <w:rFonts w:ascii="Arial" w:hAnsi="Arial" w:cs="Arial"/>
        </w:rPr>
        <w:t>)</w:t>
      </w:r>
      <w:r w:rsidR="00760268" w:rsidRPr="00580F10">
        <w:rPr>
          <w:rFonts w:ascii="Arial" w:hAnsi="Arial" w:cs="Arial"/>
        </w:rPr>
        <w:t xml:space="preserve">(i) of the CPA </w:t>
      </w:r>
      <w:r w:rsidR="00580F10" w:rsidRPr="00580F10">
        <w:rPr>
          <w:rFonts w:ascii="Arial" w:hAnsi="Arial" w:cs="Arial"/>
        </w:rPr>
        <w:t xml:space="preserve">in the regional court </w:t>
      </w:r>
      <w:r w:rsidR="00760268">
        <w:rPr>
          <w:rFonts w:ascii="Arial" w:hAnsi="Arial" w:cs="Arial"/>
        </w:rPr>
        <w:t>for</w:t>
      </w:r>
      <w:r w:rsidR="00580F10" w:rsidRPr="00580F10">
        <w:rPr>
          <w:rFonts w:ascii="Arial" w:hAnsi="Arial" w:cs="Arial"/>
        </w:rPr>
        <w:t xml:space="preserve"> defraud</w:t>
      </w:r>
      <w:r w:rsidR="00760268">
        <w:rPr>
          <w:rFonts w:ascii="Arial" w:hAnsi="Arial" w:cs="Arial"/>
        </w:rPr>
        <w:t>ing</w:t>
      </w:r>
      <w:r w:rsidR="00580F10" w:rsidRPr="00580F10">
        <w:rPr>
          <w:rFonts w:ascii="Arial" w:hAnsi="Arial" w:cs="Arial"/>
        </w:rPr>
        <w:t xml:space="preserve"> her employer </w:t>
      </w:r>
      <w:r w:rsidR="00760268">
        <w:rPr>
          <w:rFonts w:ascii="Arial" w:hAnsi="Arial" w:cs="Arial"/>
        </w:rPr>
        <w:t>of a sum of R</w:t>
      </w:r>
      <w:r w:rsidR="00580F10" w:rsidRPr="00580F10">
        <w:rPr>
          <w:rFonts w:ascii="Arial" w:hAnsi="Arial" w:cs="Arial"/>
        </w:rPr>
        <w:t>100</w:t>
      </w:r>
      <w:r w:rsidR="00760268">
        <w:rPr>
          <w:rFonts w:ascii="Arial" w:hAnsi="Arial" w:cs="Arial"/>
        </w:rPr>
        <w:t> </w:t>
      </w:r>
      <w:r w:rsidR="00580F10" w:rsidRPr="00580F10">
        <w:rPr>
          <w:rFonts w:ascii="Arial" w:hAnsi="Arial" w:cs="Arial"/>
        </w:rPr>
        <w:t>000</w:t>
      </w:r>
      <w:r w:rsidR="00760268">
        <w:rPr>
          <w:rFonts w:ascii="Arial" w:hAnsi="Arial" w:cs="Arial"/>
        </w:rPr>
        <w:t>, the offence having been committed o</w:t>
      </w:r>
      <w:r w:rsidR="00580F10" w:rsidRPr="00580F10">
        <w:rPr>
          <w:rFonts w:ascii="Arial" w:hAnsi="Arial" w:cs="Arial"/>
        </w:rPr>
        <w:t xml:space="preserve">ver a period of two years. On appeal, the High Court considered the interests of her minor children but held that there was no misdirection by the regional court in sentencing the appellant to direct imprisonment. The court however, altered the period of suspension from 2 years to 1 year. The altered sentence by the High Court was confirmed on further appeal by the SCA. </w:t>
      </w:r>
    </w:p>
    <w:p w14:paraId="71B248CB" w14:textId="77777777" w:rsidR="0060027C" w:rsidRDefault="0060027C" w:rsidP="0060027C">
      <w:pPr>
        <w:pStyle w:val="ListParagraph"/>
        <w:rPr>
          <w:rFonts w:ascii="Arial" w:hAnsi="Arial" w:cs="Arial"/>
        </w:rPr>
      </w:pPr>
    </w:p>
    <w:p w14:paraId="32AA6E8E" w14:textId="3C504D63" w:rsidR="00580F10" w:rsidRDefault="007704C3" w:rsidP="007704C3">
      <w:pPr>
        <w:pStyle w:val="Textbody"/>
        <w:spacing w:after="120" w:line="360" w:lineRule="auto"/>
        <w:jc w:val="both"/>
        <w:rPr>
          <w:rFonts w:ascii="Arial" w:hAnsi="Arial" w:cs="Arial"/>
        </w:rPr>
      </w:pPr>
      <w:r>
        <w:rPr>
          <w:rFonts w:ascii="Arial" w:hAnsi="Arial" w:cs="Arial"/>
        </w:rPr>
        <w:lastRenderedPageBreak/>
        <w:t>[41]</w:t>
      </w:r>
      <w:r>
        <w:rPr>
          <w:rFonts w:ascii="Arial" w:hAnsi="Arial" w:cs="Arial"/>
        </w:rPr>
        <w:tab/>
      </w:r>
      <w:r w:rsidR="00580F10" w:rsidRPr="00580F10">
        <w:rPr>
          <w:rFonts w:ascii="Arial" w:hAnsi="Arial" w:cs="Arial"/>
        </w:rPr>
        <w:t xml:space="preserve">In S </w:t>
      </w:r>
      <w:r w:rsidR="00580F10" w:rsidRPr="00580F10">
        <w:rPr>
          <w:rFonts w:ascii="Arial" w:hAnsi="Arial" w:cs="Arial"/>
          <w:i/>
        </w:rPr>
        <w:t>v Sinden</w:t>
      </w:r>
      <w:r w:rsidR="00580F10">
        <w:rPr>
          <w:rStyle w:val="FootnoteReference"/>
          <w:rFonts w:ascii="Arial" w:hAnsi="Arial" w:cs="Arial"/>
          <w:i/>
        </w:rPr>
        <w:footnoteReference w:id="19"/>
      </w:r>
      <w:r w:rsidR="00580F10" w:rsidRPr="00580F10">
        <w:rPr>
          <w:rFonts w:ascii="Arial" w:hAnsi="Arial" w:cs="Arial"/>
        </w:rPr>
        <w:t>, the Appellate Division confirmed an effective sentence of 4 years’ imprisonment on the appellant, a first offender, for stealing approximately R138 000 from her employer. The amount had been stolen over a period of 14 months. The appellant was married and had three minor children.</w:t>
      </w:r>
    </w:p>
    <w:p w14:paraId="3CE14511" w14:textId="77777777" w:rsidR="0060027C" w:rsidRDefault="0060027C" w:rsidP="0060027C">
      <w:pPr>
        <w:pStyle w:val="ListParagraph"/>
        <w:rPr>
          <w:rFonts w:ascii="Arial" w:hAnsi="Arial" w:cs="Arial"/>
        </w:rPr>
      </w:pPr>
    </w:p>
    <w:p w14:paraId="4F600391" w14:textId="76DDF6C1" w:rsidR="00580F10" w:rsidRDefault="007704C3" w:rsidP="007704C3">
      <w:pPr>
        <w:pStyle w:val="Textbody"/>
        <w:spacing w:after="120" w:line="360" w:lineRule="auto"/>
        <w:jc w:val="both"/>
        <w:rPr>
          <w:rFonts w:ascii="Arial" w:hAnsi="Arial" w:cs="Arial"/>
        </w:rPr>
      </w:pPr>
      <w:r>
        <w:rPr>
          <w:rFonts w:ascii="Arial" w:hAnsi="Arial" w:cs="Arial"/>
        </w:rPr>
        <w:t>[42]</w:t>
      </w:r>
      <w:r>
        <w:rPr>
          <w:rFonts w:ascii="Arial" w:hAnsi="Arial" w:cs="Arial"/>
        </w:rPr>
        <w:tab/>
      </w:r>
      <w:r w:rsidR="00580F10" w:rsidRPr="00580F10">
        <w:rPr>
          <w:rFonts w:ascii="Arial" w:hAnsi="Arial" w:cs="Arial"/>
        </w:rPr>
        <w:t xml:space="preserve">In S </w:t>
      </w:r>
      <w:r w:rsidR="00580F10" w:rsidRPr="00580F10">
        <w:rPr>
          <w:rFonts w:ascii="Arial" w:hAnsi="Arial" w:cs="Arial"/>
          <w:i/>
        </w:rPr>
        <w:t>v Kearns</w:t>
      </w:r>
      <w:r w:rsidR="00580F10">
        <w:rPr>
          <w:rStyle w:val="FootnoteReference"/>
          <w:rFonts w:ascii="Arial" w:hAnsi="Arial" w:cs="Arial"/>
          <w:i/>
        </w:rPr>
        <w:footnoteReference w:id="20"/>
      </w:r>
      <w:r w:rsidR="00580F10" w:rsidRPr="00580F10">
        <w:rPr>
          <w:rFonts w:ascii="Arial" w:hAnsi="Arial" w:cs="Arial"/>
        </w:rPr>
        <w:t xml:space="preserve"> a </w:t>
      </w:r>
      <w:r w:rsidR="0007098E" w:rsidRPr="00580F10">
        <w:rPr>
          <w:rFonts w:ascii="Arial" w:hAnsi="Arial" w:cs="Arial"/>
        </w:rPr>
        <w:t>28</w:t>
      </w:r>
      <w:r w:rsidR="0007098E">
        <w:rPr>
          <w:rFonts w:ascii="Arial" w:hAnsi="Arial" w:cs="Arial"/>
        </w:rPr>
        <w:t>-year-old</w:t>
      </w:r>
      <w:r w:rsidR="00580F10" w:rsidRPr="00580F10">
        <w:rPr>
          <w:rFonts w:ascii="Arial" w:hAnsi="Arial" w:cs="Arial"/>
        </w:rPr>
        <w:t xml:space="preserve"> unmarried woman had been convicted in the regional court of theft of R67 000 from her employer over a period of three months. She was sentenced to an effective 3 years’ imprisonment. Her appeal to a provincial division having failed, she appealed further to the SCA. It was contended that the trial court had erred in not imposing a sentence of correctional supervision and had placed insufficient emphasis on the seriousness of the offence. The appellant also had a poor socio-economic background. The SCA confirmed the sentence on appeal to it.</w:t>
      </w:r>
    </w:p>
    <w:p w14:paraId="23F87C5B" w14:textId="77777777" w:rsidR="0060027C" w:rsidRDefault="0060027C" w:rsidP="0060027C">
      <w:pPr>
        <w:pStyle w:val="ListParagraph"/>
        <w:rPr>
          <w:rFonts w:ascii="Arial" w:hAnsi="Arial" w:cs="Arial"/>
        </w:rPr>
      </w:pPr>
    </w:p>
    <w:p w14:paraId="3175C48B" w14:textId="1B35B7EE" w:rsidR="00580F10" w:rsidRDefault="007704C3" w:rsidP="007704C3">
      <w:pPr>
        <w:pStyle w:val="Textbody"/>
        <w:spacing w:after="120" w:line="360" w:lineRule="auto"/>
        <w:jc w:val="both"/>
        <w:rPr>
          <w:rFonts w:ascii="Arial" w:hAnsi="Arial" w:cs="Arial"/>
        </w:rPr>
      </w:pPr>
      <w:r>
        <w:rPr>
          <w:rFonts w:ascii="Arial" w:hAnsi="Arial" w:cs="Arial"/>
        </w:rPr>
        <w:t>[43]</w:t>
      </w:r>
      <w:r>
        <w:rPr>
          <w:rFonts w:ascii="Arial" w:hAnsi="Arial" w:cs="Arial"/>
        </w:rPr>
        <w:tab/>
      </w:r>
      <w:r w:rsidR="00580F10" w:rsidRPr="00580F10">
        <w:rPr>
          <w:rFonts w:ascii="Arial" w:hAnsi="Arial" w:cs="Arial"/>
        </w:rPr>
        <w:t xml:space="preserve">In </w:t>
      </w:r>
      <w:r w:rsidR="00580F10" w:rsidRPr="00580F10">
        <w:rPr>
          <w:rFonts w:ascii="Arial" w:hAnsi="Arial" w:cs="Arial"/>
          <w:i/>
        </w:rPr>
        <w:t>S v Sadler</w:t>
      </w:r>
      <w:r w:rsidR="00580F10" w:rsidRPr="00580F10">
        <w:rPr>
          <w:rFonts w:ascii="Arial" w:hAnsi="Arial" w:cs="Arial"/>
        </w:rPr>
        <w:t xml:space="preserve"> (above) the appellant was a senior manager in a bank. He was convicted in the High Court of numerous counts, including corruption, fraud, forgery and uttering. He was sentenced to terms of imprisonment which were suspended in their entirety, and to a fine. The Attorney-General (the predecessor of the National Director of Public Prosecutions) noted an appeal against the sentence. The SCA upheld the appeal and set aside the sentence and substituted for it </w:t>
      </w:r>
      <w:r w:rsidR="000F4B5E">
        <w:rPr>
          <w:rFonts w:ascii="Arial" w:hAnsi="Arial" w:cs="Arial"/>
        </w:rPr>
        <w:t xml:space="preserve">with </w:t>
      </w:r>
      <w:r w:rsidR="00580F10" w:rsidRPr="00580F10">
        <w:rPr>
          <w:rFonts w:ascii="Arial" w:hAnsi="Arial" w:cs="Arial"/>
        </w:rPr>
        <w:t>a sentence of 4 years’ imprisonment, all counts taken together for purpose</w:t>
      </w:r>
      <w:r w:rsidR="000F4B5E">
        <w:rPr>
          <w:rFonts w:ascii="Arial" w:hAnsi="Arial" w:cs="Arial"/>
        </w:rPr>
        <w:t>s</w:t>
      </w:r>
      <w:r w:rsidR="00580F10" w:rsidRPr="00580F10">
        <w:rPr>
          <w:rFonts w:ascii="Arial" w:hAnsi="Arial" w:cs="Arial"/>
        </w:rPr>
        <w:t xml:space="preserve"> of sentence.</w:t>
      </w:r>
    </w:p>
    <w:p w14:paraId="6694311F" w14:textId="77777777" w:rsidR="0060027C" w:rsidRDefault="0060027C" w:rsidP="0060027C">
      <w:pPr>
        <w:pStyle w:val="ListParagraph"/>
        <w:rPr>
          <w:rFonts w:ascii="Arial" w:hAnsi="Arial" w:cs="Arial"/>
        </w:rPr>
      </w:pPr>
    </w:p>
    <w:p w14:paraId="7632D2FE" w14:textId="663BB258" w:rsidR="00580F10" w:rsidRDefault="007704C3" w:rsidP="007704C3">
      <w:pPr>
        <w:pStyle w:val="Textbody"/>
        <w:spacing w:after="120" w:line="360" w:lineRule="auto"/>
        <w:jc w:val="both"/>
        <w:rPr>
          <w:rFonts w:ascii="Arial" w:hAnsi="Arial" w:cs="Arial"/>
        </w:rPr>
      </w:pPr>
      <w:r>
        <w:rPr>
          <w:rFonts w:ascii="Arial" w:hAnsi="Arial" w:cs="Arial"/>
        </w:rPr>
        <w:t>[44]</w:t>
      </w:r>
      <w:r>
        <w:rPr>
          <w:rFonts w:ascii="Arial" w:hAnsi="Arial" w:cs="Arial"/>
        </w:rPr>
        <w:tab/>
      </w:r>
      <w:r w:rsidR="00580F10" w:rsidRPr="00580F10">
        <w:rPr>
          <w:rFonts w:ascii="Arial" w:hAnsi="Arial" w:cs="Arial"/>
        </w:rPr>
        <w:t xml:space="preserve">In </w:t>
      </w:r>
      <w:r w:rsidR="00580F10" w:rsidRPr="008A4BAD">
        <w:rPr>
          <w:rFonts w:ascii="Arial" w:hAnsi="Arial" w:cs="Arial"/>
          <w:i/>
        </w:rPr>
        <w:t>De Sousa v The State</w:t>
      </w:r>
      <w:r w:rsidR="00580F10" w:rsidRPr="008A4BAD">
        <w:rPr>
          <w:rStyle w:val="FootnoteReference"/>
          <w:rFonts w:ascii="Arial" w:hAnsi="Arial" w:cs="Arial"/>
          <w:i/>
        </w:rPr>
        <w:footnoteReference w:id="21"/>
      </w:r>
      <w:r w:rsidR="00580F10" w:rsidRPr="008A4BAD">
        <w:rPr>
          <w:rFonts w:ascii="Arial" w:hAnsi="Arial" w:cs="Arial"/>
        </w:rPr>
        <w:t xml:space="preserve"> the appellant had</w:t>
      </w:r>
      <w:r w:rsidR="00580F10" w:rsidRPr="00580F10">
        <w:rPr>
          <w:rFonts w:ascii="Arial" w:hAnsi="Arial" w:cs="Arial"/>
        </w:rPr>
        <w:t xml:space="preserve"> pleaded guilty to 13 counts of fraud. She had been part of a fraudulent scheme involving a total amount of R1 000 228.94. She had benefitted </w:t>
      </w:r>
      <w:r w:rsidR="00580F10" w:rsidRPr="008A4BAD">
        <w:rPr>
          <w:rFonts w:ascii="Arial" w:hAnsi="Arial" w:cs="Arial"/>
        </w:rPr>
        <w:t>R90</w:t>
      </w:r>
      <w:r w:rsidR="008A4BAD">
        <w:rPr>
          <w:rFonts w:ascii="Arial" w:hAnsi="Arial" w:cs="Arial"/>
        </w:rPr>
        <w:t> </w:t>
      </w:r>
      <w:r w:rsidR="00580F10" w:rsidRPr="008A4BAD">
        <w:rPr>
          <w:rFonts w:ascii="Arial" w:hAnsi="Arial" w:cs="Arial"/>
        </w:rPr>
        <w:t>000</w:t>
      </w:r>
      <w:r w:rsidR="008A4BAD">
        <w:rPr>
          <w:rFonts w:ascii="Arial" w:hAnsi="Arial" w:cs="Arial"/>
        </w:rPr>
        <w:t xml:space="preserve">. </w:t>
      </w:r>
      <w:r w:rsidR="00580F10" w:rsidRPr="00580F10">
        <w:rPr>
          <w:rFonts w:ascii="Arial" w:hAnsi="Arial" w:cs="Arial"/>
        </w:rPr>
        <w:t xml:space="preserve">She was 32 years old and a first offender. She had pleaded guilty and shown genuine remorse and contrition. She had also signed an acknowledgement of indebtedness in favour of the complainant in the sum of R90 000, being the extent of her benefit from the fraudulent scheme, and thereafter paid the debt in full. She had utilized some of the money to assist her mother, who was in financial difficulty, and her sister (whose husband was in rehabilitation) to pay school fees. All counts having been taken as one for the purposes of sentence, the appellant was sentenced to </w:t>
      </w:r>
      <w:r w:rsidR="003F4DD5" w:rsidRPr="003F4DD5">
        <w:rPr>
          <w:rFonts w:ascii="Arial" w:hAnsi="Arial" w:cs="Arial"/>
          <w:iCs/>
        </w:rPr>
        <w:t>7½</w:t>
      </w:r>
      <w:r w:rsidR="003F4DD5">
        <w:rPr>
          <w:rFonts w:ascii="Arial" w:hAnsi="Arial" w:cs="Arial"/>
          <w:i/>
        </w:rPr>
        <w:t xml:space="preserve"> </w:t>
      </w:r>
      <w:r w:rsidR="003F4DD5">
        <w:rPr>
          <w:rFonts w:ascii="Arial" w:hAnsi="Arial" w:cs="Arial"/>
          <w:iCs/>
        </w:rPr>
        <w:t>years’</w:t>
      </w:r>
      <w:r w:rsidR="00580F10" w:rsidRPr="00580F10">
        <w:rPr>
          <w:rFonts w:ascii="Arial" w:hAnsi="Arial" w:cs="Arial"/>
        </w:rPr>
        <w:t xml:space="preserve"> imprisonment, which was confirmed by the High Court. She appealed further to the SCA, which set aside the sentence and imposed 4 years’ </w:t>
      </w:r>
      <w:r w:rsidR="00580F10" w:rsidRPr="00580F10">
        <w:rPr>
          <w:rFonts w:ascii="Arial" w:hAnsi="Arial" w:cs="Arial"/>
        </w:rPr>
        <w:lastRenderedPageBreak/>
        <w:t>imprisonment.</w:t>
      </w:r>
      <w:r w:rsidR="003F4DD5">
        <w:rPr>
          <w:rFonts w:ascii="Arial" w:hAnsi="Arial" w:cs="Arial"/>
        </w:rPr>
        <w:t>’ Ponnan JA</w:t>
      </w:r>
      <w:r w:rsidR="005C282C">
        <w:rPr>
          <w:rFonts w:ascii="Arial" w:hAnsi="Arial" w:cs="Arial"/>
        </w:rPr>
        <w:t>, in this case, remarked –</w:t>
      </w:r>
    </w:p>
    <w:p w14:paraId="2FC9358C" w14:textId="182C6FA4" w:rsidR="005C282C" w:rsidRDefault="005C282C" w:rsidP="008368A6">
      <w:pPr>
        <w:pStyle w:val="Textbody"/>
        <w:spacing w:after="120" w:line="360" w:lineRule="auto"/>
        <w:jc w:val="both"/>
        <w:rPr>
          <w:rFonts w:ascii="Arial" w:hAnsi="Arial" w:cs="Arial"/>
          <w:snapToGrid w:val="0"/>
          <w:sz w:val="22"/>
          <w:szCs w:val="22"/>
        </w:rPr>
      </w:pPr>
      <w:r w:rsidRPr="008368A6">
        <w:rPr>
          <w:rFonts w:ascii="Arial" w:hAnsi="Arial" w:cs="Arial"/>
          <w:sz w:val="22"/>
          <w:szCs w:val="22"/>
        </w:rPr>
        <w:t>‘</w:t>
      </w:r>
      <w:r w:rsidR="009A0B3B" w:rsidRPr="008368A6">
        <w:rPr>
          <w:rFonts w:ascii="Arial" w:hAnsi="Arial" w:cs="Arial"/>
          <w:snapToGrid w:val="0"/>
          <w:sz w:val="22"/>
          <w:szCs w:val="22"/>
        </w:rPr>
        <w:t xml:space="preserve">The approach of a sentencing tribunal to the imposition of the minimum sentences prescribed by the Act is to be found in the detailed judgment of Marais JA in </w:t>
      </w:r>
      <w:r w:rsidR="009A0B3B" w:rsidRPr="008368A6">
        <w:rPr>
          <w:rFonts w:ascii="Arial" w:hAnsi="Arial" w:cs="Arial"/>
          <w:i/>
          <w:snapToGrid w:val="0"/>
          <w:sz w:val="22"/>
          <w:szCs w:val="22"/>
        </w:rPr>
        <w:t>S v Malgas</w:t>
      </w:r>
      <w:r w:rsidR="009A0B3B" w:rsidRPr="008368A6">
        <w:rPr>
          <w:rFonts w:ascii="Arial" w:hAnsi="Arial" w:cs="Arial"/>
          <w:snapToGrid w:val="0"/>
          <w:sz w:val="22"/>
          <w:szCs w:val="22"/>
        </w:rPr>
        <w:t xml:space="preserve"> 2001 (1) SACR 469 (SCA).  The main principles appearing in that judgment which are of particular application to the present appeal are: first, the court has a duty to consider all the circumstances of the case, including the many factors traditionally taken into account by courts when sentencing offenders; second, for circumstances to qualify as substantial and compelling, they do not have to be exceptional in the sense of seldom encountered or rare; third, although the prescribed sentences required a severe, standardised and consistent response from the courts unless there were, and could be seen to be, truly convincing reasons for a different response, the statutory framework nonetheless left the courts free to continue to exercise a substantial measure of judicial discretion in imposing sentence.’</w:t>
      </w:r>
    </w:p>
    <w:p w14:paraId="0C1AC41E" w14:textId="77777777" w:rsidR="0060027C" w:rsidRPr="008368A6" w:rsidRDefault="0060027C" w:rsidP="008368A6">
      <w:pPr>
        <w:pStyle w:val="Textbody"/>
        <w:spacing w:after="120" w:line="360" w:lineRule="auto"/>
        <w:jc w:val="both"/>
        <w:rPr>
          <w:rFonts w:ascii="Arial" w:hAnsi="Arial" w:cs="Arial"/>
          <w:sz w:val="22"/>
          <w:szCs w:val="22"/>
        </w:rPr>
      </w:pPr>
    </w:p>
    <w:p w14:paraId="0E3769A2" w14:textId="07FBE98E" w:rsidR="00F6151C" w:rsidRDefault="007704C3" w:rsidP="007704C3">
      <w:pPr>
        <w:pStyle w:val="Textbody"/>
        <w:spacing w:after="120" w:line="360" w:lineRule="auto"/>
        <w:jc w:val="both"/>
        <w:rPr>
          <w:rFonts w:ascii="Arial" w:hAnsi="Arial" w:cs="Arial"/>
        </w:rPr>
      </w:pPr>
      <w:r>
        <w:rPr>
          <w:rFonts w:ascii="Arial" w:hAnsi="Arial" w:cs="Arial"/>
        </w:rPr>
        <w:t>[45]</w:t>
      </w:r>
      <w:r>
        <w:rPr>
          <w:rFonts w:ascii="Arial" w:hAnsi="Arial" w:cs="Arial"/>
        </w:rPr>
        <w:tab/>
      </w:r>
      <w:r w:rsidR="00F6151C">
        <w:rPr>
          <w:rFonts w:ascii="Arial" w:hAnsi="Arial" w:cs="Arial"/>
        </w:rPr>
        <w:t xml:space="preserve">In the </w:t>
      </w:r>
      <w:r w:rsidR="00F6151C">
        <w:rPr>
          <w:rFonts w:ascii="Arial" w:hAnsi="Arial" w:cs="Arial"/>
          <w:i/>
          <w:iCs/>
        </w:rPr>
        <w:t>De Souza</w:t>
      </w:r>
      <w:r w:rsidR="00F6151C">
        <w:rPr>
          <w:rFonts w:ascii="Arial" w:hAnsi="Arial" w:cs="Arial"/>
        </w:rPr>
        <w:t xml:space="preserve"> case the minimum sentence legislation was invoked and nevertheless, the SCA imposed a lesser sentence of 4 years</w:t>
      </w:r>
      <w:r w:rsidR="00376A88">
        <w:rPr>
          <w:rFonts w:ascii="Arial" w:hAnsi="Arial" w:cs="Arial"/>
        </w:rPr>
        <w:t xml:space="preserve"> direct imprisonment. </w:t>
      </w:r>
    </w:p>
    <w:p w14:paraId="00865FA2" w14:textId="77777777" w:rsidR="0060027C" w:rsidRDefault="0060027C" w:rsidP="0060027C">
      <w:pPr>
        <w:pStyle w:val="Textbody"/>
        <w:spacing w:after="120" w:line="360" w:lineRule="auto"/>
        <w:jc w:val="both"/>
        <w:rPr>
          <w:rFonts w:ascii="Arial" w:hAnsi="Arial" w:cs="Arial"/>
        </w:rPr>
      </w:pPr>
    </w:p>
    <w:p w14:paraId="16D558E8" w14:textId="6F2560B5" w:rsidR="00580F10" w:rsidRDefault="007704C3" w:rsidP="007704C3">
      <w:pPr>
        <w:pStyle w:val="Textbody"/>
        <w:spacing w:after="120" w:line="360" w:lineRule="auto"/>
        <w:jc w:val="both"/>
        <w:rPr>
          <w:rFonts w:ascii="Arial" w:hAnsi="Arial" w:cs="Arial"/>
        </w:rPr>
      </w:pPr>
      <w:r>
        <w:rPr>
          <w:rFonts w:ascii="Arial" w:hAnsi="Arial" w:cs="Arial"/>
        </w:rPr>
        <w:t>[46]</w:t>
      </w:r>
      <w:r>
        <w:rPr>
          <w:rFonts w:ascii="Arial" w:hAnsi="Arial" w:cs="Arial"/>
        </w:rPr>
        <w:tab/>
      </w:r>
      <w:r w:rsidR="00580F10" w:rsidRPr="00580F10">
        <w:rPr>
          <w:rFonts w:ascii="Arial" w:hAnsi="Arial" w:cs="Arial"/>
        </w:rPr>
        <w:t xml:space="preserve">In </w:t>
      </w:r>
      <w:r w:rsidR="00580F10" w:rsidRPr="00580F10">
        <w:rPr>
          <w:rFonts w:ascii="Arial" w:hAnsi="Arial" w:cs="Arial"/>
          <w:i/>
        </w:rPr>
        <w:t>Pretorius v The State</w:t>
      </w:r>
      <w:r w:rsidR="00580F10">
        <w:rPr>
          <w:rStyle w:val="FootnoteReference"/>
          <w:rFonts w:ascii="Arial" w:hAnsi="Arial" w:cs="Arial"/>
          <w:i/>
        </w:rPr>
        <w:footnoteReference w:id="22"/>
      </w:r>
      <w:r w:rsidR="00580F10" w:rsidRPr="00580F10">
        <w:rPr>
          <w:rFonts w:ascii="Arial" w:hAnsi="Arial" w:cs="Arial"/>
        </w:rPr>
        <w:t xml:space="preserve">, the appellants, two brothers, had pleaded guilty to 91 counts of fraud in the regional court amounting to R122 309, committed over a period of more than a year. They had shown remorse. They had admitted to their </w:t>
      </w:r>
      <w:r w:rsidR="00CB450E" w:rsidRPr="00580F10">
        <w:rPr>
          <w:rFonts w:ascii="Arial" w:hAnsi="Arial" w:cs="Arial"/>
        </w:rPr>
        <w:t>fraud and</w:t>
      </w:r>
      <w:r w:rsidR="00580F10" w:rsidRPr="00580F10">
        <w:rPr>
          <w:rFonts w:ascii="Arial" w:hAnsi="Arial" w:cs="Arial"/>
        </w:rPr>
        <w:t xml:space="preserve"> agreed to repay the amount in question plus the costs of investigation into their conduct. Both were first offenders, and principal breadwinners in their respective families, with young children. Their families would be disrupted and severely affected by their imprisonment. The court sentenced them to 5 years’ imprisonment, and ordered them to repay the ill-gotten gains, plus the costs of investigation into their fraudulent conduct. Both the High Court and the SCA dismissed their appeal and confirmed the sentences.</w:t>
      </w:r>
    </w:p>
    <w:p w14:paraId="32FDB42B" w14:textId="77777777" w:rsidR="0060027C" w:rsidRDefault="0060027C" w:rsidP="0060027C">
      <w:pPr>
        <w:pStyle w:val="ListParagraph"/>
        <w:rPr>
          <w:rFonts w:ascii="Arial" w:hAnsi="Arial" w:cs="Arial"/>
        </w:rPr>
      </w:pPr>
    </w:p>
    <w:p w14:paraId="11C06EDC" w14:textId="65C5C50D" w:rsidR="00580F10" w:rsidRDefault="007704C3" w:rsidP="007704C3">
      <w:pPr>
        <w:pStyle w:val="Textbody"/>
        <w:spacing w:after="120" w:line="360" w:lineRule="auto"/>
        <w:jc w:val="both"/>
        <w:rPr>
          <w:rFonts w:ascii="Arial" w:hAnsi="Arial" w:cs="Arial"/>
        </w:rPr>
      </w:pPr>
      <w:r>
        <w:rPr>
          <w:rFonts w:ascii="Arial" w:hAnsi="Arial" w:cs="Arial"/>
        </w:rPr>
        <w:t>[47]</w:t>
      </w:r>
      <w:r>
        <w:rPr>
          <w:rFonts w:ascii="Arial" w:hAnsi="Arial" w:cs="Arial"/>
        </w:rPr>
        <w:tab/>
      </w:r>
      <w:r w:rsidR="00580F10" w:rsidRPr="00580F10">
        <w:rPr>
          <w:rFonts w:ascii="Arial" w:hAnsi="Arial" w:cs="Arial"/>
        </w:rPr>
        <w:t xml:space="preserve">In </w:t>
      </w:r>
      <w:r w:rsidR="00580F10" w:rsidRPr="00580F10">
        <w:rPr>
          <w:rFonts w:ascii="Arial" w:hAnsi="Arial" w:cs="Arial"/>
          <w:i/>
        </w:rPr>
        <w:t>MS v S</w:t>
      </w:r>
      <w:r w:rsidR="007C55B5">
        <w:rPr>
          <w:rStyle w:val="FootnoteReference"/>
          <w:rFonts w:ascii="Arial" w:hAnsi="Arial" w:cs="Arial"/>
          <w:i/>
        </w:rPr>
        <w:footnoteReference w:id="23"/>
      </w:r>
      <w:r w:rsidR="00580F10" w:rsidRPr="00580F10">
        <w:rPr>
          <w:rFonts w:ascii="Arial" w:hAnsi="Arial" w:cs="Arial"/>
        </w:rPr>
        <w:t xml:space="preserve">  a </w:t>
      </w:r>
      <w:r w:rsidR="0007098E" w:rsidRPr="00580F10">
        <w:rPr>
          <w:rFonts w:ascii="Arial" w:hAnsi="Arial" w:cs="Arial"/>
        </w:rPr>
        <w:t>33-year-old</w:t>
      </w:r>
      <w:r w:rsidR="00580F10" w:rsidRPr="00580F10">
        <w:rPr>
          <w:rFonts w:ascii="Arial" w:hAnsi="Arial" w:cs="Arial"/>
        </w:rPr>
        <w:t xml:space="preserve"> married mother of two young children pleaded guilty in the regional court to, and was convicted, of forgery, uttering and fraud with a potential loss of R42 000. The offences were committed during her course of employment at a firm of insurance brokers. She had a previous conviction for fraud, also committed in the course of her employment with her previous employer. The </w:t>
      </w:r>
      <w:r w:rsidR="00580F10" w:rsidRPr="00580F10">
        <w:rPr>
          <w:rFonts w:ascii="Arial" w:hAnsi="Arial" w:cs="Arial"/>
        </w:rPr>
        <w:lastRenderedPageBreak/>
        <w:t xml:space="preserve">counts of forgery and uttering were taken together for the purposes of sentencing. She was sentenced to 2 years’ imprisonment, conditionally suspended for five years. On the count of </w:t>
      </w:r>
      <w:r w:rsidR="0007098E" w:rsidRPr="00580F10">
        <w:rPr>
          <w:rFonts w:ascii="Arial" w:hAnsi="Arial" w:cs="Arial"/>
        </w:rPr>
        <w:t>fraud,</w:t>
      </w:r>
      <w:r w:rsidR="00580F10" w:rsidRPr="00580F10">
        <w:rPr>
          <w:rFonts w:ascii="Arial" w:hAnsi="Arial" w:cs="Arial"/>
        </w:rPr>
        <w:t xml:space="preserve"> she was sentenced to 5 years’ imprisonment with the conditional correctional supervision in terms of s 276 (1)(</w:t>
      </w:r>
      <w:r w:rsidR="00580F10" w:rsidRPr="007C347F">
        <w:rPr>
          <w:rFonts w:ascii="Arial" w:hAnsi="Arial" w:cs="Arial"/>
          <w:i/>
          <w:iCs/>
        </w:rPr>
        <w:t>i</w:t>
      </w:r>
      <w:r w:rsidR="00580F10" w:rsidRPr="00580F10">
        <w:rPr>
          <w:rFonts w:ascii="Arial" w:hAnsi="Arial" w:cs="Arial"/>
        </w:rPr>
        <w:t xml:space="preserve">) of the CPA, </w:t>
      </w:r>
      <w:r w:rsidR="00A207ED">
        <w:rPr>
          <w:rFonts w:ascii="Arial" w:hAnsi="Arial" w:cs="Arial"/>
        </w:rPr>
        <w:t xml:space="preserve">of </w:t>
      </w:r>
      <w:r w:rsidR="00580F10" w:rsidRPr="00580F10">
        <w:rPr>
          <w:rFonts w:ascii="Arial" w:hAnsi="Arial" w:cs="Arial"/>
        </w:rPr>
        <w:t>which the High Court, the SCA and the Constitutional Court, upheld.</w:t>
      </w:r>
    </w:p>
    <w:p w14:paraId="46CB5753" w14:textId="77777777" w:rsidR="0060027C" w:rsidRDefault="0060027C" w:rsidP="0060027C">
      <w:pPr>
        <w:pStyle w:val="ListParagraph"/>
        <w:rPr>
          <w:rFonts w:ascii="Arial" w:hAnsi="Arial" w:cs="Arial"/>
        </w:rPr>
      </w:pPr>
    </w:p>
    <w:p w14:paraId="1E69B8B4" w14:textId="7D0FE4B4" w:rsidR="00580F10" w:rsidRDefault="007704C3" w:rsidP="007704C3">
      <w:pPr>
        <w:pStyle w:val="Textbody"/>
        <w:spacing w:after="120" w:line="360" w:lineRule="auto"/>
        <w:jc w:val="both"/>
        <w:rPr>
          <w:rFonts w:ascii="Arial" w:hAnsi="Arial" w:cs="Arial"/>
        </w:rPr>
      </w:pPr>
      <w:r>
        <w:rPr>
          <w:rFonts w:ascii="Arial" w:hAnsi="Arial" w:cs="Arial"/>
        </w:rPr>
        <w:t>[48]</w:t>
      </w:r>
      <w:r>
        <w:rPr>
          <w:rFonts w:ascii="Arial" w:hAnsi="Arial" w:cs="Arial"/>
        </w:rPr>
        <w:tab/>
      </w:r>
      <w:r w:rsidR="00580F10" w:rsidRPr="00580F10">
        <w:rPr>
          <w:rFonts w:ascii="Arial" w:hAnsi="Arial" w:cs="Arial"/>
        </w:rPr>
        <w:t xml:space="preserve">In </w:t>
      </w:r>
      <w:r w:rsidR="00580F10" w:rsidRPr="00580F10">
        <w:rPr>
          <w:rFonts w:ascii="Arial" w:hAnsi="Arial" w:cs="Arial"/>
          <w:i/>
        </w:rPr>
        <w:t>Joubert v The State</w:t>
      </w:r>
      <w:r w:rsidR="00580F10">
        <w:rPr>
          <w:rStyle w:val="FootnoteReference"/>
          <w:rFonts w:ascii="Arial" w:hAnsi="Arial" w:cs="Arial"/>
          <w:i/>
        </w:rPr>
        <w:footnoteReference w:id="24"/>
      </w:r>
      <w:r w:rsidR="00580F10" w:rsidRPr="00580F10">
        <w:rPr>
          <w:rFonts w:ascii="Arial" w:hAnsi="Arial" w:cs="Arial"/>
        </w:rPr>
        <w:t xml:space="preserve">, the appellant had been convicted of 20 counts of fraud totalling R425 843.33. This arose from a scheme created for the purpose of defrauding SARS. The scheme comprised of various legal entities which were instrumental in unlawfully inducing SARS into making VAT refund payments to the legal entities. In the regional court he was sentenced to 7 years’ imprisonment, wholly suspended for 5 years on standard conditions and that he repays the amount of R425 843.33 to SARS with interest. On appeal, the sentence </w:t>
      </w:r>
      <w:r w:rsidR="00A207ED">
        <w:rPr>
          <w:rFonts w:ascii="Arial" w:hAnsi="Arial" w:cs="Arial"/>
        </w:rPr>
        <w:t xml:space="preserve">was set aside </w:t>
      </w:r>
      <w:r w:rsidR="00580F10" w:rsidRPr="00580F10">
        <w:rPr>
          <w:rFonts w:ascii="Arial" w:hAnsi="Arial" w:cs="Arial"/>
        </w:rPr>
        <w:t xml:space="preserve">and </w:t>
      </w:r>
      <w:r w:rsidR="00A207ED">
        <w:rPr>
          <w:rFonts w:ascii="Arial" w:hAnsi="Arial" w:cs="Arial"/>
        </w:rPr>
        <w:t xml:space="preserve">the Court </w:t>
      </w:r>
      <w:r w:rsidR="00580F10" w:rsidRPr="00580F10">
        <w:rPr>
          <w:rFonts w:ascii="Arial" w:hAnsi="Arial" w:cs="Arial"/>
        </w:rPr>
        <w:t>imposed an effective 3 years’ imprisonment, in addition to the appellant repaying the stolen amount with interest.</w:t>
      </w:r>
    </w:p>
    <w:p w14:paraId="114E0F36" w14:textId="77777777" w:rsidR="0060027C" w:rsidRDefault="0060027C" w:rsidP="0060027C">
      <w:pPr>
        <w:pStyle w:val="ListParagraph"/>
        <w:rPr>
          <w:rFonts w:ascii="Arial" w:hAnsi="Arial" w:cs="Arial"/>
        </w:rPr>
      </w:pPr>
    </w:p>
    <w:p w14:paraId="1FD4522B" w14:textId="449757CB" w:rsidR="00580F10" w:rsidRDefault="007704C3" w:rsidP="007704C3">
      <w:pPr>
        <w:pStyle w:val="Textbody"/>
        <w:spacing w:after="120" w:line="360" w:lineRule="auto"/>
        <w:jc w:val="both"/>
        <w:rPr>
          <w:rFonts w:ascii="Arial" w:hAnsi="Arial" w:cs="Arial"/>
        </w:rPr>
      </w:pPr>
      <w:r>
        <w:rPr>
          <w:rFonts w:ascii="Arial" w:hAnsi="Arial" w:cs="Arial"/>
        </w:rPr>
        <w:t>[49]</w:t>
      </w:r>
      <w:r>
        <w:rPr>
          <w:rFonts w:ascii="Arial" w:hAnsi="Arial" w:cs="Arial"/>
        </w:rPr>
        <w:tab/>
      </w:r>
      <w:r w:rsidR="00A207ED">
        <w:rPr>
          <w:rFonts w:ascii="Arial" w:hAnsi="Arial" w:cs="Arial"/>
        </w:rPr>
        <w:t>On behalf of the appellant, i</w:t>
      </w:r>
      <w:r w:rsidR="00580F10" w:rsidRPr="00580F10">
        <w:rPr>
          <w:rFonts w:ascii="Arial" w:hAnsi="Arial" w:cs="Arial"/>
        </w:rPr>
        <w:t>t was submitted that the appellant's plea of guilty in the trial court demonstrated h</w:t>
      </w:r>
      <w:r w:rsidR="00A207ED">
        <w:rPr>
          <w:rFonts w:ascii="Arial" w:hAnsi="Arial" w:cs="Arial"/>
        </w:rPr>
        <w:t>is</w:t>
      </w:r>
      <w:r w:rsidR="00580F10" w:rsidRPr="00580F10">
        <w:rPr>
          <w:rFonts w:ascii="Arial" w:hAnsi="Arial" w:cs="Arial"/>
        </w:rPr>
        <w:t xml:space="preserve"> </w:t>
      </w:r>
      <w:r w:rsidR="00A207ED" w:rsidRPr="00580F10">
        <w:rPr>
          <w:rFonts w:ascii="Arial" w:hAnsi="Arial" w:cs="Arial"/>
        </w:rPr>
        <w:t>contrition</w:t>
      </w:r>
      <w:r w:rsidR="00580F10" w:rsidRPr="00580F10">
        <w:rPr>
          <w:rFonts w:ascii="Arial" w:hAnsi="Arial" w:cs="Arial"/>
        </w:rPr>
        <w:t xml:space="preserve"> and remorse. Remorse is obviously an important consideration in sentence. Genuine remorse must be distinguished from self-pity and an unavoidable acknowledgement of guilt (when the evidence is so overwhelming that admission of guilt is unavoidable). Before remorse could be a valid factor in the imposition of sentence, it has to be sincere, and the accused had to take the court completely into his confidence. See S v </w:t>
      </w:r>
      <w:r w:rsidR="00580F10" w:rsidRPr="00580F10">
        <w:rPr>
          <w:rFonts w:ascii="Arial" w:hAnsi="Arial" w:cs="Arial"/>
          <w:i/>
        </w:rPr>
        <w:t>Gerber</w:t>
      </w:r>
      <w:r w:rsidR="00580F10">
        <w:rPr>
          <w:rStyle w:val="FootnoteReference"/>
          <w:rFonts w:ascii="Arial" w:hAnsi="Arial" w:cs="Arial"/>
          <w:i/>
        </w:rPr>
        <w:footnoteReference w:id="25"/>
      </w:r>
      <w:r w:rsidR="00580F10" w:rsidRPr="00580F10">
        <w:rPr>
          <w:rFonts w:ascii="Arial" w:hAnsi="Arial" w:cs="Arial"/>
        </w:rPr>
        <w:t xml:space="preserve">; S </w:t>
      </w:r>
      <w:r w:rsidR="00580F10" w:rsidRPr="00580F10">
        <w:rPr>
          <w:rFonts w:ascii="Arial" w:hAnsi="Arial" w:cs="Arial"/>
          <w:i/>
        </w:rPr>
        <w:t>v Seegers</w:t>
      </w:r>
      <w:r w:rsidR="00580F10">
        <w:rPr>
          <w:rStyle w:val="FootnoteReference"/>
          <w:rFonts w:ascii="Arial" w:hAnsi="Arial" w:cs="Arial"/>
          <w:i/>
        </w:rPr>
        <w:footnoteReference w:id="26"/>
      </w:r>
      <w:r w:rsidR="00A207ED">
        <w:rPr>
          <w:rFonts w:ascii="Arial" w:hAnsi="Arial" w:cs="Arial"/>
          <w:i/>
        </w:rPr>
        <w:t>,</w:t>
      </w:r>
      <w:r w:rsidR="00580F10" w:rsidRPr="00580F10">
        <w:rPr>
          <w:rFonts w:ascii="Arial" w:hAnsi="Arial" w:cs="Arial"/>
        </w:rPr>
        <w:t xml:space="preserve"> </w:t>
      </w:r>
      <w:r w:rsidR="00580F10" w:rsidRPr="00A207ED">
        <w:rPr>
          <w:rFonts w:ascii="Arial" w:hAnsi="Arial" w:cs="Arial"/>
          <w:i/>
          <w:iCs/>
        </w:rPr>
        <w:t>S v</w:t>
      </w:r>
      <w:r w:rsidR="00580F10" w:rsidRPr="00580F10">
        <w:rPr>
          <w:rFonts w:ascii="Arial" w:hAnsi="Arial" w:cs="Arial"/>
        </w:rPr>
        <w:t xml:space="preserve"> </w:t>
      </w:r>
      <w:r w:rsidR="00580F10" w:rsidRPr="00580F10">
        <w:rPr>
          <w:rFonts w:ascii="Arial" w:hAnsi="Arial" w:cs="Arial"/>
          <w:i/>
        </w:rPr>
        <w:t>Matyityi</w:t>
      </w:r>
      <w:r w:rsidR="00580F10">
        <w:rPr>
          <w:rStyle w:val="FootnoteReference"/>
          <w:rFonts w:ascii="Arial" w:hAnsi="Arial" w:cs="Arial"/>
          <w:i/>
        </w:rPr>
        <w:footnoteReference w:id="27"/>
      </w:r>
      <w:r w:rsidR="00A207ED">
        <w:rPr>
          <w:rFonts w:ascii="Arial" w:hAnsi="Arial" w:cs="Arial"/>
          <w:i/>
        </w:rPr>
        <w:t xml:space="preserve"> </w:t>
      </w:r>
      <w:r w:rsidR="00A207ED">
        <w:rPr>
          <w:rFonts w:ascii="Arial" w:hAnsi="Arial" w:cs="Arial"/>
          <w:iCs/>
        </w:rPr>
        <w:t xml:space="preserve">and </w:t>
      </w:r>
      <w:r w:rsidR="00A207ED">
        <w:rPr>
          <w:rFonts w:ascii="Arial" w:hAnsi="Arial" w:cs="Arial"/>
          <w:i/>
        </w:rPr>
        <w:t>E M Piater v The State</w:t>
      </w:r>
      <w:r w:rsidR="00A207ED">
        <w:rPr>
          <w:rStyle w:val="FootnoteReference"/>
          <w:rFonts w:ascii="Arial" w:hAnsi="Arial" w:cs="Arial"/>
          <w:i/>
        </w:rPr>
        <w:footnoteReference w:id="28"/>
      </w:r>
      <w:r w:rsidR="00580F10" w:rsidRPr="00580F10">
        <w:rPr>
          <w:rFonts w:ascii="Arial" w:hAnsi="Arial" w:cs="Arial"/>
        </w:rPr>
        <w:t>.</w:t>
      </w:r>
    </w:p>
    <w:p w14:paraId="0199A1A1" w14:textId="77777777" w:rsidR="0060027C" w:rsidRDefault="0060027C" w:rsidP="0060027C">
      <w:pPr>
        <w:pStyle w:val="ListParagraph"/>
        <w:rPr>
          <w:rFonts w:ascii="Arial" w:hAnsi="Arial" w:cs="Arial"/>
        </w:rPr>
      </w:pPr>
    </w:p>
    <w:p w14:paraId="408CB5A9" w14:textId="6D625DCF" w:rsidR="00A207ED" w:rsidRDefault="007704C3" w:rsidP="007704C3">
      <w:pPr>
        <w:spacing w:after="120" w:line="360" w:lineRule="auto"/>
        <w:jc w:val="both"/>
        <w:rPr>
          <w:rFonts w:ascii="Arial" w:hAnsi="Arial" w:cs="Arial"/>
          <w:sz w:val="24"/>
          <w:szCs w:val="24"/>
        </w:rPr>
      </w:pPr>
      <w:r>
        <w:rPr>
          <w:rFonts w:ascii="Arial" w:hAnsi="Arial" w:cs="Arial"/>
          <w:sz w:val="24"/>
          <w:szCs w:val="24"/>
        </w:rPr>
        <w:t>[50]</w:t>
      </w:r>
      <w:r>
        <w:rPr>
          <w:rFonts w:ascii="Arial" w:hAnsi="Arial" w:cs="Arial"/>
          <w:sz w:val="24"/>
          <w:szCs w:val="24"/>
        </w:rPr>
        <w:tab/>
      </w:r>
      <w:r w:rsidR="00A50B3C">
        <w:rPr>
          <w:rFonts w:ascii="Arial" w:hAnsi="Arial" w:cs="Arial"/>
          <w:sz w:val="24"/>
          <w:szCs w:val="24"/>
        </w:rPr>
        <w:t>I agree that t</w:t>
      </w:r>
      <w:r w:rsidR="00A207ED">
        <w:rPr>
          <w:rFonts w:ascii="Arial" w:hAnsi="Arial" w:cs="Arial"/>
          <w:sz w:val="24"/>
          <w:szCs w:val="24"/>
        </w:rPr>
        <w:t xml:space="preserve">he appellant has shown genuine remorse. First, </w:t>
      </w:r>
      <w:r w:rsidR="00D338EE">
        <w:rPr>
          <w:rFonts w:ascii="Arial" w:hAnsi="Arial" w:cs="Arial"/>
          <w:sz w:val="24"/>
          <w:szCs w:val="24"/>
        </w:rPr>
        <w:t>he cooperated with the complainant and confess</w:t>
      </w:r>
      <w:r w:rsidR="000F4B5E">
        <w:rPr>
          <w:rFonts w:ascii="Arial" w:hAnsi="Arial" w:cs="Arial"/>
          <w:sz w:val="24"/>
          <w:szCs w:val="24"/>
        </w:rPr>
        <w:t>ed</w:t>
      </w:r>
      <w:r w:rsidR="00D338EE">
        <w:rPr>
          <w:rFonts w:ascii="Arial" w:hAnsi="Arial" w:cs="Arial"/>
          <w:sz w:val="24"/>
          <w:szCs w:val="24"/>
        </w:rPr>
        <w:t xml:space="preserve">. I reject the submission by the state that at the time of confessing on 10 December 2018, that the state had a strong case against him. </w:t>
      </w:r>
      <w:r w:rsidR="004515D5">
        <w:rPr>
          <w:rFonts w:ascii="Arial" w:hAnsi="Arial" w:cs="Arial"/>
          <w:sz w:val="24"/>
          <w:szCs w:val="24"/>
        </w:rPr>
        <w:t xml:space="preserve">The evidence of </w:t>
      </w:r>
      <w:r w:rsidR="000F4B5E">
        <w:rPr>
          <w:rFonts w:ascii="Arial" w:hAnsi="Arial" w:cs="Arial"/>
          <w:sz w:val="24"/>
          <w:szCs w:val="24"/>
        </w:rPr>
        <w:t xml:space="preserve">Marlene </w:t>
      </w:r>
      <w:r w:rsidR="00AC6883">
        <w:rPr>
          <w:rFonts w:ascii="Arial" w:hAnsi="Arial" w:cs="Arial"/>
          <w:sz w:val="24"/>
          <w:szCs w:val="24"/>
        </w:rPr>
        <w:t>does</w:t>
      </w:r>
      <w:r w:rsidR="004515D5">
        <w:rPr>
          <w:rFonts w:ascii="Arial" w:hAnsi="Arial" w:cs="Arial"/>
          <w:sz w:val="24"/>
          <w:szCs w:val="24"/>
        </w:rPr>
        <w:t xml:space="preserve"> not support the proposition of the state in this regard. </w:t>
      </w:r>
      <w:r w:rsidR="00AC6883">
        <w:rPr>
          <w:rFonts w:ascii="Arial" w:hAnsi="Arial" w:cs="Arial"/>
          <w:sz w:val="24"/>
          <w:szCs w:val="24"/>
        </w:rPr>
        <w:t xml:space="preserve">The appellant voluntarily resigned from his employment and despite his resignation, remained cooperative with the complainant. </w:t>
      </w:r>
      <w:r w:rsidR="00C35C60">
        <w:rPr>
          <w:rFonts w:ascii="Arial" w:hAnsi="Arial" w:cs="Arial"/>
          <w:sz w:val="24"/>
          <w:szCs w:val="24"/>
        </w:rPr>
        <w:t xml:space="preserve">The appellant tendered to </w:t>
      </w:r>
      <w:r w:rsidR="00C35C60">
        <w:rPr>
          <w:rFonts w:ascii="Arial" w:hAnsi="Arial" w:cs="Arial"/>
          <w:sz w:val="24"/>
          <w:szCs w:val="24"/>
        </w:rPr>
        <w:lastRenderedPageBreak/>
        <w:t xml:space="preserve">repay the stolen money, although he had no means. </w:t>
      </w:r>
      <w:r w:rsidR="005919A5">
        <w:rPr>
          <w:rFonts w:ascii="Arial" w:hAnsi="Arial" w:cs="Arial"/>
          <w:sz w:val="24"/>
          <w:szCs w:val="24"/>
        </w:rPr>
        <w:t>The appellant had also volunteered to assist the complainant in respect of the civil case</w:t>
      </w:r>
      <w:r w:rsidR="00B32E09">
        <w:rPr>
          <w:rFonts w:ascii="Arial" w:hAnsi="Arial" w:cs="Arial"/>
          <w:sz w:val="24"/>
          <w:szCs w:val="24"/>
        </w:rPr>
        <w:t xml:space="preserve"> and that was confirmed by the complainant. </w:t>
      </w:r>
    </w:p>
    <w:p w14:paraId="1AB6DDBB" w14:textId="77777777" w:rsidR="0060027C" w:rsidRDefault="0060027C" w:rsidP="0060027C">
      <w:pPr>
        <w:pStyle w:val="ListParagraph"/>
        <w:rPr>
          <w:rFonts w:ascii="Arial" w:hAnsi="Arial" w:cs="Arial"/>
          <w:sz w:val="24"/>
          <w:szCs w:val="24"/>
        </w:rPr>
      </w:pPr>
    </w:p>
    <w:p w14:paraId="31EAC028" w14:textId="0B80F5CD" w:rsidR="00A320A1" w:rsidRDefault="007704C3" w:rsidP="007704C3">
      <w:pPr>
        <w:spacing w:after="120" w:line="36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r>
      <w:r w:rsidR="00A320A1">
        <w:rPr>
          <w:rFonts w:ascii="Arial" w:hAnsi="Arial" w:cs="Arial"/>
          <w:sz w:val="24"/>
          <w:szCs w:val="24"/>
        </w:rPr>
        <w:t>I also take into account that the appellant has since been in a gainful employment as an Uber driver. The current employer, though aware of the offence committed by the appellant, trust him. The current employer had made an undertaking to keep the appellant in his employment irrespective of the outcome</w:t>
      </w:r>
      <w:r w:rsidR="006813E0">
        <w:rPr>
          <w:rFonts w:ascii="Arial" w:hAnsi="Arial" w:cs="Arial"/>
          <w:sz w:val="24"/>
          <w:szCs w:val="24"/>
        </w:rPr>
        <w:t xml:space="preserve"> of the criminal proceedings. </w:t>
      </w:r>
      <w:r w:rsidR="00975240">
        <w:rPr>
          <w:rFonts w:ascii="Arial" w:hAnsi="Arial" w:cs="Arial"/>
          <w:sz w:val="24"/>
          <w:szCs w:val="24"/>
        </w:rPr>
        <w:t xml:space="preserve">To his credit, he still enjoys the trust of his employer. It is self-evident that the appellant, his family and wife had been embarrassed by the actions of the appellant. </w:t>
      </w:r>
      <w:r w:rsidR="00E8772E">
        <w:rPr>
          <w:rFonts w:ascii="Arial" w:hAnsi="Arial" w:cs="Arial"/>
          <w:sz w:val="24"/>
          <w:szCs w:val="24"/>
        </w:rPr>
        <w:t xml:space="preserve">That evidence is clear from the probation officer’s report. </w:t>
      </w:r>
      <w:r w:rsidR="00031870">
        <w:rPr>
          <w:rFonts w:ascii="Arial" w:hAnsi="Arial" w:cs="Arial"/>
          <w:sz w:val="24"/>
          <w:szCs w:val="24"/>
        </w:rPr>
        <w:t xml:space="preserve">The Correctional Services had </w:t>
      </w:r>
      <w:r w:rsidR="00C848AB">
        <w:rPr>
          <w:rFonts w:ascii="Arial" w:hAnsi="Arial" w:cs="Arial"/>
          <w:sz w:val="24"/>
          <w:szCs w:val="24"/>
        </w:rPr>
        <w:t xml:space="preserve">concluded, in their assessment of the appellant, that he is a suitable candidate for correctional supervision. </w:t>
      </w:r>
      <w:r w:rsidR="00724A8E">
        <w:rPr>
          <w:rFonts w:ascii="Arial" w:hAnsi="Arial" w:cs="Arial"/>
          <w:sz w:val="24"/>
          <w:szCs w:val="24"/>
        </w:rPr>
        <w:t>I also consider the remarks of the magistrate when sentencing the appellant. In this regard, the magistrate had made this observation-</w:t>
      </w:r>
    </w:p>
    <w:p w14:paraId="14C287B1" w14:textId="719E5A35" w:rsidR="00724A8E" w:rsidRPr="0007098E" w:rsidRDefault="00724A8E" w:rsidP="00724A8E">
      <w:pPr>
        <w:spacing w:after="120" w:line="360" w:lineRule="auto"/>
        <w:ind w:left="720"/>
        <w:jc w:val="both"/>
        <w:rPr>
          <w:rFonts w:ascii="Arial" w:hAnsi="Arial" w:cs="Arial"/>
        </w:rPr>
      </w:pPr>
      <w:r w:rsidRPr="0007098E">
        <w:rPr>
          <w:rFonts w:ascii="Arial" w:hAnsi="Arial" w:cs="Arial"/>
        </w:rPr>
        <w:t>‘I do not deem that, although you are a suitable candidate for correctional supervision, I do not deem it a suitable sentence because of the gravity of this specific offence.’</w:t>
      </w:r>
    </w:p>
    <w:p w14:paraId="67599B8A" w14:textId="77777777" w:rsidR="0060027C" w:rsidRPr="00724A8E" w:rsidRDefault="0060027C" w:rsidP="00724A8E">
      <w:pPr>
        <w:spacing w:after="120" w:line="360" w:lineRule="auto"/>
        <w:ind w:left="720"/>
        <w:jc w:val="both"/>
        <w:rPr>
          <w:rFonts w:ascii="Arial" w:hAnsi="Arial" w:cs="Arial"/>
          <w:sz w:val="20"/>
          <w:szCs w:val="20"/>
        </w:rPr>
      </w:pPr>
    </w:p>
    <w:p w14:paraId="3FFF0B79" w14:textId="732FCAB8" w:rsidR="00A207ED" w:rsidRDefault="007704C3" w:rsidP="007704C3">
      <w:pPr>
        <w:spacing w:after="120" w:line="36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r>
      <w:r w:rsidR="000E406B">
        <w:rPr>
          <w:rFonts w:ascii="Arial" w:hAnsi="Arial" w:cs="Arial"/>
          <w:sz w:val="24"/>
          <w:szCs w:val="24"/>
        </w:rPr>
        <w:t xml:space="preserve">On the other hand, there are obviously aggravating factors. The offence was committed when the appellant was placed in a position of trust by his employer, concerning stock control. The offence was committed over a period of time where the appellant had an opportunity for reflection and to stop his criminal conduct. </w:t>
      </w:r>
      <w:r w:rsidR="00D34093">
        <w:rPr>
          <w:rFonts w:ascii="Arial" w:hAnsi="Arial" w:cs="Arial"/>
          <w:sz w:val="24"/>
          <w:szCs w:val="24"/>
        </w:rPr>
        <w:t>There is no evidence to suggest that the appellant would have stopped stealing, if the crime was not discovered.</w:t>
      </w:r>
    </w:p>
    <w:p w14:paraId="5D4C8E51" w14:textId="77777777" w:rsidR="0060027C" w:rsidRDefault="0060027C" w:rsidP="0060027C">
      <w:pPr>
        <w:spacing w:after="120" w:line="360" w:lineRule="auto"/>
        <w:jc w:val="both"/>
        <w:rPr>
          <w:rFonts w:ascii="Arial" w:hAnsi="Arial" w:cs="Arial"/>
          <w:sz w:val="24"/>
          <w:szCs w:val="24"/>
        </w:rPr>
      </w:pPr>
    </w:p>
    <w:p w14:paraId="640BA272" w14:textId="5884A160" w:rsidR="0060027C" w:rsidRDefault="007704C3" w:rsidP="007704C3">
      <w:pPr>
        <w:spacing w:after="120" w:line="360" w:lineRule="auto"/>
        <w:jc w:val="both"/>
        <w:rPr>
          <w:rFonts w:ascii="Arial" w:hAnsi="Arial" w:cs="Arial"/>
          <w:sz w:val="24"/>
          <w:szCs w:val="24"/>
        </w:rPr>
      </w:pPr>
      <w:r>
        <w:rPr>
          <w:rFonts w:ascii="Arial" w:hAnsi="Arial" w:cs="Arial"/>
          <w:sz w:val="24"/>
          <w:szCs w:val="24"/>
        </w:rPr>
        <w:t>[53]</w:t>
      </w:r>
      <w:r>
        <w:rPr>
          <w:rFonts w:ascii="Arial" w:hAnsi="Arial" w:cs="Arial"/>
          <w:sz w:val="24"/>
          <w:szCs w:val="24"/>
        </w:rPr>
        <w:tab/>
      </w:r>
      <w:r w:rsidR="0096434D">
        <w:rPr>
          <w:rFonts w:ascii="Arial" w:hAnsi="Arial" w:cs="Arial"/>
          <w:sz w:val="24"/>
          <w:szCs w:val="24"/>
        </w:rPr>
        <w:t xml:space="preserve">The new directors of the company had offered employment to the appellant and other workers. The company suffered financial loss and that resulted in the closure of </w:t>
      </w:r>
      <w:r w:rsidR="00FB5525">
        <w:rPr>
          <w:rFonts w:ascii="Arial" w:hAnsi="Arial" w:cs="Arial"/>
          <w:sz w:val="24"/>
          <w:szCs w:val="24"/>
        </w:rPr>
        <w:t>its</w:t>
      </w:r>
      <w:r w:rsidR="0096434D">
        <w:rPr>
          <w:rFonts w:ascii="Arial" w:hAnsi="Arial" w:cs="Arial"/>
          <w:sz w:val="24"/>
          <w:szCs w:val="24"/>
        </w:rPr>
        <w:t xml:space="preserve"> Port Elizabeth branch. </w:t>
      </w:r>
      <w:r w:rsidR="00474553">
        <w:rPr>
          <w:rFonts w:ascii="Arial" w:hAnsi="Arial" w:cs="Arial"/>
          <w:sz w:val="24"/>
          <w:szCs w:val="24"/>
        </w:rPr>
        <w:t>Accordingly, it is an aggravating factor that, as a result of the appellant’s criminal conduct, other employees lost their employment.</w:t>
      </w:r>
    </w:p>
    <w:p w14:paraId="2D63E25B" w14:textId="77777777" w:rsidR="0060027C" w:rsidRDefault="0060027C" w:rsidP="0060027C">
      <w:pPr>
        <w:pStyle w:val="ListParagraph"/>
        <w:rPr>
          <w:rFonts w:ascii="Arial" w:hAnsi="Arial" w:cs="Arial"/>
          <w:sz w:val="24"/>
          <w:szCs w:val="24"/>
        </w:rPr>
      </w:pPr>
    </w:p>
    <w:p w14:paraId="1FC6523F" w14:textId="2C5874C6" w:rsidR="000344FC" w:rsidRDefault="007704C3" w:rsidP="007704C3">
      <w:pPr>
        <w:spacing w:after="120" w:line="360" w:lineRule="auto"/>
        <w:jc w:val="both"/>
        <w:rPr>
          <w:rFonts w:ascii="Arial" w:hAnsi="Arial" w:cs="Arial"/>
          <w:sz w:val="24"/>
          <w:szCs w:val="24"/>
        </w:rPr>
      </w:pPr>
      <w:r>
        <w:rPr>
          <w:rFonts w:ascii="Arial" w:hAnsi="Arial" w:cs="Arial"/>
          <w:sz w:val="24"/>
          <w:szCs w:val="24"/>
        </w:rPr>
        <w:t>[54]</w:t>
      </w:r>
      <w:r>
        <w:rPr>
          <w:rFonts w:ascii="Arial" w:hAnsi="Arial" w:cs="Arial"/>
          <w:sz w:val="24"/>
          <w:szCs w:val="24"/>
        </w:rPr>
        <w:tab/>
      </w:r>
      <w:r w:rsidR="000344FC">
        <w:rPr>
          <w:rFonts w:ascii="Arial" w:hAnsi="Arial" w:cs="Arial"/>
          <w:sz w:val="24"/>
          <w:szCs w:val="24"/>
        </w:rPr>
        <w:t>The Correctional Services has recommended correctional supervision. While a non-custodial sentence of correctional supervision in terms of section 276(1)(</w:t>
      </w:r>
      <w:r w:rsidR="000344FC">
        <w:rPr>
          <w:rFonts w:ascii="Arial" w:hAnsi="Arial" w:cs="Arial"/>
          <w:i/>
          <w:iCs/>
          <w:sz w:val="24"/>
          <w:szCs w:val="24"/>
        </w:rPr>
        <w:t>h</w:t>
      </w:r>
      <w:r w:rsidR="000344FC">
        <w:rPr>
          <w:rFonts w:ascii="Arial" w:hAnsi="Arial" w:cs="Arial"/>
          <w:sz w:val="24"/>
          <w:szCs w:val="24"/>
        </w:rPr>
        <w:t xml:space="preserve">) is appreciable, it is my view that such sentence would be inappropriate in light of all the circumstances of the present case. </w:t>
      </w:r>
      <w:r w:rsidR="0022732E">
        <w:rPr>
          <w:rFonts w:ascii="Arial" w:hAnsi="Arial" w:cs="Arial"/>
          <w:sz w:val="24"/>
          <w:szCs w:val="24"/>
        </w:rPr>
        <w:t xml:space="preserve">Although the interests of the appellant and his </w:t>
      </w:r>
      <w:r w:rsidR="0022732E">
        <w:rPr>
          <w:rFonts w:ascii="Arial" w:hAnsi="Arial" w:cs="Arial"/>
          <w:sz w:val="24"/>
          <w:szCs w:val="24"/>
        </w:rPr>
        <w:lastRenderedPageBreak/>
        <w:t xml:space="preserve">family called out for a sentence of correctional supervision, the interests of society outweighed his own. The offence is serious and the sentence, as such, does more than deal with him; it also constitutes a message to the society in which the offence occurred. </w:t>
      </w:r>
      <w:r w:rsidR="008F57ED">
        <w:rPr>
          <w:rFonts w:ascii="Arial" w:hAnsi="Arial" w:cs="Arial"/>
          <w:sz w:val="24"/>
          <w:szCs w:val="24"/>
        </w:rPr>
        <w:t>It is so that it was not vigorously contended that a non-custodial sentence should be imposed</w:t>
      </w:r>
      <w:r w:rsidR="003E76CB">
        <w:rPr>
          <w:rFonts w:ascii="Arial" w:hAnsi="Arial" w:cs="Arial"/>
          <w:sz w:val="24"/>
          <w:szCs w:val="24"/>
        </w:rPr>
        <w:t xml:space="preserve"> against the appellant. </w:t>
      </w:r>
      <w:r w:rsidR="00836D57">
        <w:rPr>
          <w:rFonts w:ascii="Arial" w:hAnsi="Arial" w:cs="Arial"/>
          <w:sz w:val="24"/>
          <w:szCs w:val="24"/>
        </w:rPr>
        <w:t xml:space="preserve">I also agree with the </w:t>
      </w:r>
      <w:r w:rsidR="009A778A">
        <w:rPr>
          <w:rFonts w:ascii="Arial" w:hAnsi="Arial" w:cs="Arial"/>
          <w:sz w:val="24"/>
          <w:szCs w:val="24"/>
        </w:rPr>
        <w:t xml:space="preserve">regional court </w:t>
      </w:r>
      <w:r w:rsidR="00836D57">
        <w:rPr>
          <w:rFonts w:ascii="Arial" w:hAnsi="Arial" w:cs="Arial"/>
          <w:sz w:val="24"/>
          <w:szCs w:val="24"/>
        </w:rPr>
        <w:t xml:space="preserve">magistrate that non-custodial sentence would not be appropriate. </w:t>
      </w:r>
    </w:p>
    <w:p w14:paraId="61DE9860" w14:textId="77777777" w:rsidR="0060027C" w:rsidRDefault="0060027C" w:rsidP="0060027C">
      <w:pPr>
        <w:pStyle w:val="ListParagraph"/>
        <w:rPr>
          <w:rFonts w:ascii="Arial" w:hAnsi="Arial" w:cs="Arial"/>
          <w:sz w:val="24"/>
          <w:szCs w:val="24"/>
        </w:rPr>
      </w:pPr>
    </w:p>
    <w:p w14:paraId="11243756" w14:textId="6E82D5FE" w:rsidR="00125081" w:rsidRDefault="007704C3" w:rsidP="007704C3">
      <w:pPr>
        <w:spacing w:after="120" w:line="360" w:lineRule="auto"/>
        <w:jc w:val="both"/>
        <w:rPr>
          <w:rFonts w:ascii="Arial" w:hAnsi="Arial" w:cs="Arial"/>
          <w:sz w:val="24"/>
          <w:szCs w:val="24"/>
        </w:rPr>
      </w:pPr>
      <w:r>
        <w:rPr>
          <w:rFonts w:ascii="Arial" w:hAnsi="Arial" w:cs="Arial"/>
          <w:sz w:val="24"/>
          <w:szCs w:val="24"/>
        </w:rPr>
        <w:t>[55]</w:t>
      </w:r>
      <w:r>
        <w:rPr>
          <w:rFonts w:ascii="Arial" w:hAnsi="Arial" w:cs="Arial"/>
          <w:sz w:val="24"/>
          <w:szCs w:val="24"/>
        </w:rPr>
        <w:tab/>
      </w:r>
      <w:r w:rsidR="00125081">
        <w:rPr>
          <w:rFonts w:ascii="Arial" w:hAnsi="Arial" w:cs="Arial"/>
          <w:sz w:val="24"/>
          <w:szCs w:val="24"/>
        </w:rPr>
        <w:t xml:space="preserve">In the main, it was contended, on behalf of the appellant, that the degree of disparity between the sentence imposed and that which this </w:t>
      </w:r>
      <w:r w:rsidR="009A778A">
        <w:rPr>
          <w:rFonts w:ascii="Arial" w:hAnsi="Arial" w:cs="Arial"/>
          <w:sz w:val="24"/>
          <w:szCs w:val="24"/>
        </w:rPr>
        <w:t>C</w:t>
      </w:r>
      <w:r w:rsidR="00125081">
        <w:rPr>
          <w:rFonts w:ascii="Arial" w:hAnsi="Arial" w:cs="Arial"/>
          <w:sz w:val="24"/>
          <w:szCs w:val="24"/>
        </w:rPr>
        <w:t>ourt would have imposed, is such that interference is competent and required. I agree with the submission</w:t>
      </w:r>
      <w:r w:rsidR="00982D80">
        <w:rPr>
          <w:rFonts w:ascii="Arial" w:hAnsi="Arial" w:cs="Arial"/>
          <w:sz w:val="24"/>
          <w:szCs w:val="24"/>
        </w:rPr>
        <w:t xml:space="preserve"> made on behalf of the appellant in this regard. </w:t>
      </w:r>
    </w:p>
    <w:p w14:paraId="7DCADBC1" w14:textId="77777777" w:rsidR="0060027C" w:rsidRDefault="0060027C" w:rsidP="0060027C">
      <w:pPr>
        <w:pStyle w:val="ListParagraph"/>
        <w:rPr>
          <w:rFonts w:ascii="Arial" w:hAnsi="Arial" w:cs="Arial"/>
          <w:sz w:val="24"/>
          <w:szCs w:val="24"/>
        </w:rPr>
      </w:pPr>
    </w:p>
    <w:p w14:paraId="639C992C" w14:textId="58266C98" w:rsidR="008B1D77" w:rsidRPr="008B1D77" w:rsidRDefault="008B1D77" w:rsidP="008B1D77">
      <w:pPr>
        <w:spacing w:after="120" w:line="360" w:lineRule="auto"/>
        <w:jc w:val="both"/>
        <w:rPr>
          <w:rFonts w:ascii="Arial" w:hAnsi="Arial" w:cs="Arial"/>
          <w:b/>
          <w:bCs/>
          <w:sz w:val="24"/>
          <w:szCs w:val="24"/>
        </w:rPr>
      </w:pPr>
      <w:r>
        <w:rPr>
          <w:rFonts w:ascii="Arial" w:hAnsi="Arial" w:cs="Arial"/>
          <w:b/>
          <w:bCs/>
          <w:sz w:val="24"/>
          <w:szCs w:val="24"/>
        </w:rPr>
        <w:t>Conclusion</w:t>
      </w:r>
    </w:p>
    <w:p w14:paraId="08D2DC5D" w14:textId="55D1D91B" w:rsidR="004A1AD3" w:rsidRDefault="007704C3" w:rsidP="007704C3">
      <w:pPr>
        <w:spacing w:after="120" w:line="360" w:lineRule="auto"/>
        <w:jc w:val="both"/>
        <w:rPr>
          <w:rFonts w:ascii="Arial" w:hAnsi="Arial" w:cs="Arial"/>
          <w:sz w:val="24"/>
          <w:szCs w:val="24"/>
        </w:rPr>
      </w:pPr>
      <w:r>
        <w:rPr>
          <w:rFonts w:ascii="Arial" w:hAnsi="Arial" w:cs="Arial"/>
          <w:sz w:val="24"/>
          <w:szCs w:val="24"/>
        </w:rPr>
        <w:t>[56]</w:t>
      </w:r>
      <w:r>
        <w:rPr>
          <w:rFonts w:ascii="Arial" w:hAnsi="Arial" w:cs="Arial"/>
          <w:sz w:val="24"/>
          <w:szCs w:val="24"/>
        </w:rPr>
        <w:tab/>
      </w:r>
      <w:r w:rsidR="004A1AD3">
        <w:rPr>
          <w:rFonts w:ascii="Arial" w:hAnsi="Arial" w:cs="Arial"/>
          <w:sz w:val="24"/>
          <w:szCs w:val="24"/>
        </w:rPr>
        <w:t xml:space="preserve">For all the above-mentioned reasons, I consider a period of 5 years’ imprisonment to be appropriate in the circumstances of this case. </w:t>
      </w:r>
    </w:p>
    <w:p w14:paraId="267E8B8F" w14:textId="00A26D09" w:rsidR="008B1D77" w:rsidRDefault="008B1D77" w:rsidP="004A1AD3">
      <w:pPr>
        <w:spacing w:after="120" w:line="360" w:lineRule="auto"/>
        <w:jc w:val="both"/>
        <w:rPr>
          <w:rFonts w:ascii="Arial" w:hAnsi="Arial" w:cs="Arial"/>
          <w:sz w:val="24"/>
          <w:szCs w:val="24"/>
        </w:rPr>
      </w:pPr>
    </w:p>
    <w:p w14:paraId="419624BE" w14:textId="51521A90" w:rsidR="00EA0BB7" w:rsidRPr="004A1AD3" w:rsidRDefault="007704C3" w:rsidP="007704C3">
      <w:pPr>
        <w:spacing w:after="120" w:line="360" w:lineRule="auto"/>
        <w:jc w:val="both"/>
        <w:rPr>
          <w:rFonts w:ascii="Arial" w:hAnsi="Arial" w:cs="Arial"/>
          <w:sz w:val="24"/>
          <w:szCs w:val="24"/>
        </w:rPr>
      </w:pPr>
      <w:r w:rsidRPr="004A1AD3">
        <w:rPr>
          <w:rFonts w:ascii="Arial" w:hAnsi="Arial" w:cs="Arial"/>
          <w:sz w:val="24"/>
          <w:szCs w:val="24"/>
        </w:rPr>
        <w:t>[57]</w:t>
      </w:r>
      <w:r w:rsidRPr="004A1AD3">
        <w:rPr>
          <w:rFonts w:ascii="Arial" w:hAnsi="Arial" w:cs="Arial"/>
          <w:sz w:val="24"/>
          <w:szCs w:val="24"/>
        </w:rPr>
        <w:tab/>
      </w:r>
      <w:r w:rsidR="00EA0BB7" w:rsidRPr="004A1AD3">
        <w:rPr>
          <w:rFonts w:ascii="Arial" w:hAnsi="Arial" w:cs="Arial"/>
          <w:sz w:val="24"/>
          <w:szCs w:val="24"/>
        </w:rPr>
        <w:t>In the result, I</w:t>
      </w:r>
      <w:r w:rsidR="00C33190" w:rsidRPr="004A1AD3">
        <w:rPr>
          <w:rFonts w:ascii="Arial" w:hAnsi="Arial" w:cs="Arial"/>
          <w:sz w:val="24"/>
          <w:szCs w:val="24"/>
        </w:rPr>
        <w:t xml:space="preserve"> would </w:t>
      </w:r>
      <w:r w:rsidR="00EA0BB7" w:rsidRPr="004A1AD3">
        <w:rPr>
          <w:rFonts w:ascii="Arial" w:hAnsi="Arial" w:cs="Arial"/>
          <w:sz w:val="24"/>
          <w:szCs w:val="24"/>
        </w:rPr>
        <w:t xml:space="preserve">make the following </w:t>
      </w:r>
      <w:r w:rsidR="0050409C" w:rsidRPr="004A1AD3">
        <w:rPr>
          <w:rFonts w:ascii="Arial" w:hAnsi="Arial" w:cs="Arial"/>
          <w:sz w:val="24"/>
          <w:szCs w:val="24"/>
        </w:rPr>
        <w:t>O</w:t>
      </w:r>
      <w:r w:rsidR="00EA0BB7" w:rsidRPr="004A1AD3">
        <w:rPr>
          <w:rFonts w:ascii="Arial" w:hAnsi="Arial" w:cs="Arial"/>
          <w:sz w:val="24"/>
          <w:szCs w:val="24"/>
        </w:rPr>
        <w:t>rder –</w:t>
      </w:r>
    </w:p>
    <w:p w14:paraId="05FE0A95" w14:textId="72D2A96B" w:rsidR="00EA0BB7" w:rsidRDefault="00EA0BB7" w:rsidP="00EA0BB7">
      <w:pPr>
        <w:spacing w:after="120" w:line="360" w:lineRule="auto"/>
        <w:ind w:left="144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93652F">
        <w:rPr>
          <w:rFonts w:ascii="Arial" w:hAnsi="Arial" w:cs="Arial"/>
          <w:b/>
          <w:bCs/>
          <w:sz w:val="24"/>
          <w:szCs w:val="24"/>
        </w:rPr>
        <w:t xml:space="preserve">The appeal succeeds to the extent that the sentence of 12 years’ imprisonment imposed by the regional court </w:t>
      </w:r>
      <w:r w:rsidR="0050409C" w:rsidRPr="0093652F">
        <w:rPr>
          <w:rFonts w:ascii="Arial" w:hAnsi="Arial" w:cs="Arial"/>
          <w:b/>
          <w:bCs/>
          <w:sz w:val="24"/>
          <w:szCs w:val="24"/>
        </w:rPr>
        <w:t xml:space="preserve">magistrate </w:t>
      </w:r>
      <w:r w:rsidRPr="0093652F">
        <w:rPr>
          <w:rFonts w:ascii="Arial" w:hAnsi="Arial" w:cs="Arial"/>
          <w:b/>
          <w:bCs/>
          <w:sz w:val="24"/>
          <w:szCs w:val="24"/>
        </w:rPr>
        <w:t>is set aside and replaced with the following sentence –</w:t>
      </w:r>
    </w:p>
    <w:p w14:paraId="62D4F097" w14:textId="5408E5AF" w:rsidR="00EA0BB7" w:rsidRPr="0093652F" w:rsidRDefault="00EA0BB7" w:rsidP="00A50B3C">
      <w:pPr>
        <w:spacing w:after="120" w:line="360" w:lineRule="auto"/>
        <w:ind w:left="2160" w:hanging="720"/>
        <w:jc w:val="both"/>
        <w:rPr>
          <w:rFonts w:ascii="Arial" w:hAnsi="Arial" w:cs="Arial"/>
          <w:b/>
          <w:bCs/>
          <w:sz w:val="24"/>
          <w:szCs w:val="24"/>
        </w:rPr>
      </w:pPr>
      <w:r>
        <w:rPr>
          <w:rFonts w:ascii="Arial" w:hAnsi="Arial" w:cs="Arial"/>
          <w:sz w:val="24"/>
          <w:szCs w:val="24"/>
        </w:rPr>
        <w:tab/>
      </w:r>
      <w:r w:rsidR="0050409C" w:rsidRPr="0093652F">
        <w:rPr>
          <w:rFonts w:ascii="Arial" w:hAnsi="Arial" w:cs="Arial"/>
          <w:b/>
          <w:bCs/>
          <w:sz w:val="24"/>
          <w:szCs w:val="24"/>
        </w:rPr>
        <w:t>“</w:t>
      </w:r>
      <w:r w:rsidRPr="0093652F">
        <w:rPr>
          <w:rFonts w:ascii="Arial" w:hAnsi="Arial" w:cs="Arial"/>
          <w:b/>
          <w:bCs/>
          <w:sz w:val="24"/>
          <w:szCs w:val="24"/>
        </w:rPr>
        <w:t xml:space="preserve">The accused is sentenced to </w:t>
      </w:r>
      <w:r w:rsidR="0050409C" w:rsidRPr="0093652F">
        <w:rPr>
          <w:rFonts w:ascii="Arial" w:hAnsi="Arial" w:cs="Arial"/>
          <w:b/>
          <w:bCs/>
          <w:sz w:val="24"/>
          <w:szCs w:val="24"/>
        </w:rPr>
        <w:t xml:space="preserve">undergo </w:t>
      </w:r>
      <w:r w:rsidRPr="0093652F">
        <w:rPr>
          <w:rFonts w:ascii="Arial" w:hAnsi="Arial" w:cs="Arial"/>
          <w:b/>
          <w:bCs/>
          <w:sz w:val="24"/>
          <w:szCs w:val="24"/>
        </w:rPr>
        <w:t>5 years’ imprisonment</w:t>
      </w:r>
      <w:r w:rsidR="00A50B3C" w:rsidRPr="0093652F">
        <w:rPr>
          <w:rFonts w:ascii="Arial" w:hAnsi="Arial" w:cs="Arial"/>
          <w:b/>
          <w:bCs/>
          <w:sz w:val="24"/>
          <w:szCs w:val="24"/>
        </w:rPr>
        <w:t xml:space="preserve"> and the sentence is </w:t>
      </w:r>
      <w:r w:rsidR="0050409C" w:rsidRPr="0093652F">
        <w:rPr>
          <w:rFonts w:ascii="Arial" w:hAnsi="Arial" w:cs="Arial"/>
          <w:b/>
          <w:bCs/>
          <w:sz w:val="24"/>
          <w:szCs w:val="24"/>
        </w:rPr>
        <w:t xml:space="preserve">antedated to </w:t>
      </w:r>
      <w:r w:rsidR="00A50B3C" w:rsidRPr="0093652F">
        <w:rPr>
          <w:rFonts w:ascii="Arial" w:hAnsi="Arial" w:cs="Arial"/>
          <w:b/>
          <w:bCs/>
          <w:sz w:val="24"/>
          <w:szCs w:val="24"/>
        </w:rPr>
        <w:t>26 August 2020.</w:t>
      </w:r>
      <w:r w:rsidR="0050409C" w:rsidRPr="0093652F">
        <w:rPr>
          <w:rFonts w:ascii="Arial" w:hAnsi="Arial" w:cs="Arial"/>
          <w:b/>
          <w:bCs/>
          <w:sz w:val="24"/>
          <w:szCs w:val="24"/>
        </w:rPr>
        <w:t>”</w:t>
      </w:r>
    </w:p>
    <w:p w14:paraId="38791F54" w14:textId="25ED6D2D" w:rsidR="0056606B" w:rsidRDefault="0056606B" w:rsidP="00EA5735">
      <w:pPr>
        <w:spacing w:after="0" w:line="360" w:lineRule="auto"/>
        <w:rPr>
          <w:rFonts w:ascii="Arial" w:hAnsi="Arial" w:cs="Arial"/>
          <w:sz w:val="24"/>
          <w:szCs w:val="24"/>
        </w:rPr>
      </w:pPr>
    </w:p>
    <w:p w14:paraId="64C130C5" w14:textId="15C4C2FD" w:rsidR="00EA5735" w:rsidRPr="005B71BD" w:rsidRDefault="00EA5735" w:rsidP="00EA5735">
      <w:pPr>
        <w:spacing w:after="0" w:line="360" w:lineRule="auto"/>
        <w:rPr>
          <w:rFonts w:ascii="Arial" w:hAnsi="Arial" w:cs="Arial"/>
          <w:b/>
          <w:bCs/>
          <w:sz w:val="24"/>
          <w:szCs w:val="24"/>
        </w:rPr>
      </w:pPr>
      <w:r w:rsidRPr="005B71BD">
        <w:rPr>
          <w:rFonts w:ascii="Arial" w:hAnsi="Arial" w:cs="Arial"/>
          <w:b/>
          <w:bCs/>
          <w:sz w:val="24"/>
          <w:szCs w:val="24"/>
        </w:rPr>
        <w:t>_______________________</w:t>
      </w:r>
    </w:p>
    <w:p w14:paraId="6278D34D" w14:textId="77777777" w:rsidR="00EA5735" w:rsidRPr="00C941EE" w:rsidRDefault="00EA5735" w:rsidP="00EA5735">
      <w:pPr>
        <w:spacing w:after="0" w:line="360" w:lineRule="auto"/>
        <w:rPr>
          <w:rFonts w:ascii="Arial" w:hAnsi="Arial" w:cs="Arial"/>
          <w:b/>
          <w:bCs/>
          <w:sz w:val="24"/>
          <w:szCs w:val="24"/>
        </w:rPr>
      </w:pPr>
      <w:r w:rsidRPr="00C941EE">
        <w:rPr>
          <w:rFonts w:ascii="Arial" w:hAnsi="Arial" w:cs="Arial"/>
          <w:b/>
          <w:bCs/>
          <w:sz w:val="24"/>
          <w:szCs w:val="24"/>
        </w:rPr>
        <w:t>M NOTYESI</w:t>
      </w:r>
    </w:p>
    <w:p w14:paraId="504F13BA" w14:textId="33F97582" w:rsidR="00EA5735" w:rsidRDefault="00EA5735" w:rsidP="00EA5735">
      <w:pPr>
        <w:spacing w:after="0" w:line="360" w:lineRule="auto"/>
        <w:rPr>
          <w:rFonts w:ascii="Arial" w:hAnsi="Arial" w:cs="Arial"/>
          <w:b/>
          <w:bCs/>
          <w:sz w:val="24"/>
          <w:szCs w:val="24"/>
        </w:rPr>
      </w:pPr>
      <w:r w:rsidRPr="00C941EE">
        <w:rPr>
          <w:rFonts w:ascii="Arial" w:hAnsi="Arial" w:cs="Arial"/>
          <w:b/>
          <w:bCs/>
          <w:sz w:val="24"/>
          <w:szCs w:val="24"/>
        </w:rPr>
        <w:t>ACTING JUDGE OF THE HIGH COURT</w:t>
      </w:r>
    </w:p>
    <w:p w14:paraId="041DDDF0" w14:textId="3A2A7527" w:rsidR="00EA0BB7" w:rsidRDefault="00EA0BB7" w:rsidP="00EA5735">
      <w:pPr>
        <w:spacing w:after="0" w:line="360" w:lineRule="auto"/>
        <w:rPr>
          <w:rFonts w:ascii="Arial" w:hAnsi="Arial" w:cs="Arial"/>
          <w:b/>
          <w:bCs/>
          <w:sz w:val="24"/>
          <w:szCs w:val="24"/>
        </w:rPr>
      </w:pPr>
    </w:p>
    <w:p w14:paraId="5EDC9BBD" w14:textId="010AB633" w:rsidR="00EA0BB7" w:rsidRPr="0060027C" w:rsidRDefault="00C33190" w:rsidP="00EA5735">
      <w:pPr>
        <w:spacing w:after="0" w:line="360" w:lineRule="auto"/>
        <w:rPr>
          <w:rFonts w:ascii="Arial" w:hAnsi="Arial" w:cs="Arial"/>
          <w:sz w:val="24"/>
          <w:szCs w:val="24"/>
        </w:rPr>
      </w:pPr>
      <w:r w:rsidRPr="0060027C">
        <w:rPr>
          <w:rFonts w:ascii="Arial" w:hAnsi="Arial" w:cs="Arial"/>
          <w:sz w:val="24"/>
          <w:szCs w:val="24"/>
        </w:rPr>
        <w:t xml:space="preserve">I </w:t>
      </w:r>
      <w:r w:rsidR="0050409C">
        <w:rPr>
          <w:rFonts w:ascii="Arial" w:hAnsi="Arial" w:cs="Arial"/>
          <w:sz w:val="24"/>
          <w:szCs w:val="24"/>
        </w:rPr>
        <w:t>a</w:t>
      </w:r>
      <w:r w:rsidRPr="0060027C">
        <w:rPr>
          <w:rFonts w:ascii="Arial" w:hAnsi="Arial" w:cs="Arial"/>
          <w:sz w:val="24"/>
          <w:szCs w:val="24"/>
        </w:rPr>
        <w:t>gree</w:t>
      </w:r>
    </w:p>
    <w:p w14:paraId="091CC649" w14:textId="2FEF864F" w:rsidR="00C33190" w:rsidRDefault="00C33190" w:rsidP="00EA5735">
      <w:pPr>
        <w:spacing w:after="0" w:line="360" w:lineRule="auto"/>
        <w:rPr>
          <w:rFonts w:ascii="Arial" w:hAnsi="Arial" w:cs="Arial"/>
          <w:b/>
          <w:bCs/>
          <w:sz w:val="24"/>
          <w:szCs w:val="24"/>
        </w:rPr>
      </w:pPr>
    </w:p>
    <w:p w14:paraId="1300497D" w14:textId="49C0D9C6" w:rsidR="00C33190" w:rsidRDefault="00C33190" w:rsidP="00EA5735">
      <w:pPr>
        <w:spacing w:after="0" w:line="360" w:lineRule="auto"/>
        <w:rPr>
          <w:rFonts w:ascii="Arial" w:hAnsi="Arial" w:cs="Arial"/>
          <w:b/>
          <w:bCs/>
          <w:sz w:val="24"/>
          <w:szCs w:val="24"/>
        </w:rPr>
      </w:pPr>
      <w:r>
        <w:rPr>
          <w:rFonts w:ascii="Arial" w:hAnsi="Arial" w:cs="Arial"/>
          <w:b/>
          <w:bCs/>
          <w:sz w:val="24"/>
          <w:szCs w:val="24"/>
        </w:rPr>
        <w:t>_______________________</w:t>
      </w:r>
    </w:p>
    <w:p w14:paraId="066F657D" w14:textId="68F0A156" w:rsidR="00C33190" w:rsidRDefault="00C33190" w:rsidP="00EA5735">
      <w:pPr>
        <w:spacing w:after="0" w:line="360" w:lineRule="auto"/>
        <w:rPr>
          <w:rFonts w:ascii="Arial" w:hAnsi="Arial" w:cs="Arial"/>
          <w:b/>
          <w:bCs/>
          <w:sz w:val="24"/>
          <w:szCs w:val="24"/>
        </w:rPr>
      </w:pPr>
      <w:r>
        <w:rPr>
          <w:rFonts w:ascii="Arial" w:hAnsi="Arial" w:cs="Arial"/>
          <w:b/>
          <w:bCs/>
          <w:sz w:val="24"/>
          <w:szCs w:val="24"/>
        </w:rPr>
        <w:t>T V NORMAN</w:t>
      </w:r>
    </w:p>
    <w:p w14:paraId="53BE52CB" w14:textId="42EDBF8E" w:rsidR="0093652F" w:rsidRDefault="00C33190" w:rsidP="00EA5735">
      <w:pPr>
        <w:spacing w:after="0" w:line="360" w:lineRule="auto"/>
        <w:rPr>
          <w:rFonts w:ascii="Arial" w:hAnsi="Arial" w:cs="Arial"/>
          <w:b/>
          <w:bCs/>
          <w:sz w:val="24"/>
          <w:szCs w:val="24"/>
        </w:rPr>
      </w:pPr>
      <w:r>
        <w:rPr>
          <w:rFonts w:ascii="Arial" w:hAnsi="Arial" w:cs="Arial"/>
          <w:b/>
          <w:bCs/>
          <w:sz w:val="24"/>
          <w:szCs w:val="24"/>
        </w:rPr>
        <w:t>JUDGE OF THE HIGH COURT</w:t>
      </w:r>
    </w:p>
    <w:p w14:paraId="31B7EB33" w14:textId="77777777" w:rsidR="00526AA8" w:rsidRPr="008F2958" w:rsidRDefault="00526AA8" w:rsidP="00526AA8">
      <w:pPr>
        <w:spacing w:after="0" w:line="360" w:lineRule="auto"/>
        <w:jc w:val="both"/>
        <w:rPr>
          <w:rFonts w:ascii="Arial" w:hAnsi="Arial" w:cs="Arial"/>
          <w:sz w:val="24"/>
          <w:szCs w:val="24"/>
        </w:rPr>
      </w:pPr>
      <w:r w:rsidRPr="008F2958">
        <w:rPr>
          <w:rFonts w:ascii="Arial" w:hAnsi="Arial" w:cs="Arial"/>
          <w:sz w:val="24"/>
          <w:szCs w:val="24"/>
        </w:rPr>
        <w:lastRenderedPageBreak/>
        <w:t>Appearances</w:t>
      </w:r>
    </w:p>
    <w:p w14:paraId="77C6C77C" w14:textId="77777777" w:rsidR="00526AA8" w:rsidRPr="008F2958" w:rsidRDefault="00526AA8" w:rsidP="00526AA8">
      <w:pPr>
        <w:spacing w:after="0" w:line="360" w:lineRule="auto"/>
        <w:jc w:val="both"/>
        <w:rPr>
          <w:rFonts w:ascii="Arial" w:hAnsi="Arial" w:cs="Arial"/>
          <w:b/>
          <w:bCs/>
          <w:sz w:val="24"/>
          <w:szCs w:val="24"/>
        </w:rPr>
      </w:pPr>
    </w:p>
    <w:p w14:paraId="1FDFD696" w14:textId="77777777" w:rsidR="00526AA8" w:rsidRDefault="00526AA8" w:rsidP="00526AA8">
      <w:pPr>
        <w:spacing w:after="0" w:line="360" w:lineRule="auto"/>
        <w:jc w:val="both"/>
        <w:rPr>
          <w:rFonts w:ascii="Arial" w:hAnsi="Arial" w:cs="Arial"/>
          <w:i/>
          <w:sz w:val="24"/>
          <w:szCs w:val="24"/>
        </w:rPr>
      </w:pPr>
      <w:r w:rsidRPr="006077BF">
        <w:rPr>
          <w:rFonts w:ascii="Arial" w:hAnsi="Arial" w:cs="Arial"/>
          <w:sz w:val="24"/>
          <w:szCs w:val="24"/>
        </w:rPr>
        <w:t xml:space="preserve">Counsel for the </w:t>
      </w:r>
      <w:r>
        <w:rPr>
          <w:rFonts w:ascii="Arial" w:hAnsi="Arial" w:cs="Arial"/>
          <w:sz w:val="24"/>
          <w:szCs w:val="24"/>
        </w:rPr>
        <w:t>Appellant</w:t>
      </w:r>
      <w:r w:rsidRPr="006077BF">
        <w:rPr>
          <w:rFonts w:ascii="Arial" w:hAnsi="Arial" w:cs="Arial"/>
          <w:sz w:val="24"/>
          <w:szCs w:val="24"/>
        </w:rPr>
        <w:tab/>
      </w:r>
      <w:r w:rsidRPr="006077BF">
        <w:rPr>
          <w:rFonts w:ascii="Arial" w:hAnsi="Arial" w:cs="Arial"/>
          <w:sz w:val="24"/>
          <w:szCs w:val="24"/>
        </w:rPr>
        <w:tab/>
      </w:r>
      <w:r w:rsidRPr="006077BF">
        <w:rPr>
          <w:rFonts w:ascii="Arial" w:hAnsi="Arial" w:cs="Arial"/>
          <w:sz w:val="24"/>
          <w:szCs w:val="24"/>
        </w:rPr>
        <w:tab/>
        <w:t>:</w:t>
      </w:r>
      <w:r w:rsidRPr="006077BF">
        <w:rPr>
          <w:rFonts w:ascii="Arial" w:hAnsi="Arial" w:cs="Arial"/>
          <w:sz w:val="24"/>
          <w:szCs w:val="24"/>
        </w:rPr>
        <w:tab/>
      </w:r>
      <w:r w:rsidRPr="006077BF">
        <w:rPr>
          <w:rFonts w:ascii="Arial" w:hAnsi="Arial" w:cs="Arial"/>
          <w:i/>
          <w:sz w:val="24"/>
          <w:szCs w:val="24"/>
        </w:rPr>
        <w:t xml:space="preserve">Adv </w:t>
      </w:r>
      <w:r>
        <w:rPr>
          <w:rFonts w:ascii="Arial" w:hAnsi="Arial" w:cs="Arial"/>
          <w:i/>
          <w:sz w:val="24"/>
          <w:szCs w:val="24"/>
        </w:rPr>
        <w:t>H Charles</w:t>
      </w:r>
    </w:p>
    <w:p w14:paraId="6937F9C1" w14:textId="77777777" w:rsidR="00526AA8" w:rsidRPr="006077BF" w:rsidRDefault="00526AA8" w:rsidP="00526AA8">
      <w:pPr>
        <w:spacing w:after="0" w:line="360" w:lineRule="auto"/>
        <w:jc w:val="both"/>
        <w:rPr>
          <w:rFonts w:ascii="Arial" w:hAnsi="Arial" w:cs="Arial"/>
          <w:sz w:val="24"/>
          <w:szCs w:val="24"/>
        </w:rPr>
      </w:pPr>
    </w:p>
    <w:p w14:paraId="237542F9" w14:textId="3B37F5E3" w:rsidR="00526AA8" w:rsidRPr="006077BF" w:rsidRDefault="00526AA8" w:rsidP="00526AA8">
      <w:pPr>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sidRPr="006077BF">
        <w:rPr>
          <w:rFonts w:ascii="Arial" w:hAnsi="Arial" w:cs="Arial"/>
          <w:sz w:val="24"/>
          <w:szCs w:val="24"/>
        </w:rPr>
        <w:tab/>
      </w:r>
      <w:r w:rsidRPr="006077BF">
        <w:rPr>
          <w:rFonts w:ascii="Arial" w:hAnsi="Arial" w:cs="Arial"/>
          <w:sz w:val="24"/>
          <w:szCs w:val="24"/>
        </w:rPr>
        <w:tab/>
      </w:r>
      <w:r w:rsidRPr="006077BF">
        <w:rPr>
          <w:rFonts w:ascii="Arial" w:hAnsi="Arial" w:cs="Arial"/>
          <w:sz w:val="24"/>
          <w:szCs w:val="24"/>
        </w:rPr>
        <w:tab/>
        <w:t>:</w:t>
      </w:r>
      <w:r w:rsidRPr="006077BF">
        <w:rPr>
          <w:rFonts w:ascii="Arial" w:hAnsi="Arial" w:cs="Arial"/>
          <w:sz w:val="24"/>
          <w:szCs w:val="24"/>
        </w:rPr>
        <w:tab/>
      </w:r>
      <w:r>
        <w:rPr>
          <w:rFonts w:ascii="Arial" w:hAnsi="Arial" w:cs="Arial"/>
          <w:i/>
          <w:iCs/>
          <w:sz w:val="24"/>
          <w:szCs w:val="24"/>
        </w:rPr>
        <w:t>Legal Aid South Africa</w:t>
      </w:r>
    </w:p>
    <w:p w14:paraId="10E03CC2" w14:textId="77777777" w:rsidR="00526AA8" w:rsidRPr="006077BF" w:rsidRDefault="00526AA8" w:rsidP="00526AA8">
      <w:pPr>
        <w:spacing w:after="0" w:line="360" w:lineRule="auto"/>
        <w:jc w:val="both"/>
        <w:rPr>
          <w:rFonts w:ascii="Arial" w:hAnsi="Arial" w:cs="Arial"/>
          <w:sz w:val="24"/>
          <w:szCs w:val="24"/>
        </w:rPr>
      </w:pPr>
      <w:r w:rsidRPr="006077BF">
        <w:rPr>
          <w:rFonts w:ascii="Arial" w:hAnsi="Arial" w:cs="Arial"/>
          <w:sz w:val="24"/>
          <w:szCs w:val="24"/>
        </w:rPr>
        <w:tab/>
      </w:r>
      <w:r w:rsidRPr="006077BF">
        <w:rPr>
          <w:rFonts w:ascii="Arial" w:hAnsi="Arial" w:cs="Arial"/>
          <w:sz w:val="24"/>
          <w:szCs w:val="24"/>
        </w:rPr>
        <w:tab/>
      </w:r>
      <w:r w:rsidRPr="006077BF">
        <w:rPr>
          <w:rFonts w:ascii="Arial" w:hAnsi="Arial" w:cs="Arial"/>
          <w:sz w:val="24"/>
          <w:szCs w:val="24"/>
        </w:rPr>
        <w:tab/>
      </w:r>
      <w:r w:rsidRPr="006077BF">
        <w:rPr>
          <w:rFonts w:ascii="Arial" w:hAnsi="Arial" w:cs="Arial"/>
          <w:sz w:val="24"/>
          <w:szCs w:val="24"/>
        </w:rPr>
        <w:tab/>
      </w:r>
      <w:r w:rsidRPr="006077BF">
        <w:rPr>
          <w:rFonts w:ascii="Arial" w:hAnsi="Arial" w:cs="Arial"/>
          <w:sz w:val="24"/>
          <w:szCs w:val="24"/>
        </w:rPr>
        <w:tab/>
      </w:r>
      <w:r w:rsidRPr="006077BF">
        <w:rPr>
          <w:rFonts w:ascii="Arial" w:hAnsi="Arial" w:cs="Arial"/>
          <w:sz w:val="24"/>
          <w:szCs w:val="24"/>
        </w:rPr>
        <w:tab/>
      </w:r>
    </w:p>
    <w:p w14:paraId="05878811" w14:textId="77777777" w:rsidR="00526AA8" w:rsidRDefault="00526AA8" w:rsidP="00526AA8">
      <w:pPr>
        <w:spacing w:after="0" w:line="360" w:lineRule="auto"/>
        <w:jc w:val="both"/>
        <w:rPr>
          <w:rFonts w:ascii="Arial" w:hAnsi="Arial" w:cs="Arial"/>
          <w:i/>
          <w:sz w:val="24"/>
          <w:szCs w:val="24"/>
        </w:rPr>
      </w:pPr>
      <w:r w:rsidRPr="006077BF">
        <w:rPr>
          <w:rFonts w:ascii="Arial" w:hAnsi="Arial" w:cs="Arial"/>
          <w:sz w:val="24"/>
          <w:szCs w:val="24"/>
        </w:rPr>
        <w:t xml:space="preserve">Counsel for the </w:t>
      </w:r>
      <w:r>
        <w:rPr>
          <w:rFonts w:ascii="Arial" w:hAnsi="Arial" w:cs="Arial"/>
          <w:sz w:val="24"/>
          <w:szCs w:val="24"/>
        </w:rPr>
        <w:t>Re</w:t>
      </w:r>
      <w:r w:rsidRPr="006077BF">
        <w:rPr>
          <w:rFonts w:ascii="Arial" w:hAnsi="Arial" w:cs="Arial"/>
          <w:sz w:val="24"/>
          <w:szCs w:val="24"/>
        </w:rPr>
        <w:t>spondent</w:t>
      </w:r>
      <w:r w:rsidRPr="006077BF">
        <w:rPr>
          <w:rFonts w:ascii="Arial" w:hAnsi="Arial" w:cs="Arial"/>
          <w:sz w:val="24"/>
          <w:szCs w:val="24"/>
        </w:rPr>
        <w:tab/>
      </w:r>
      <w:r w:rsidRPr="006077BF">
        <w:rPr>
          <w:rFonts w:ascii="Arial" w:hAnsi="Arial" w:cs="Arial"/>
          <w:sz w:val="24"/>
          <w:szCs w:val="24"/>
        </w:rPr>
        <w:tab/>
        <w:t>:</w:t>
      </w:r>
      <w:r w:rsidRPr="006077BF">
        <w:rPr>
          <w:rFonts w:ascii="Arial" w:hAnsi="Arial" w:cs="Arial"/>
          <w:sz w:val="24"/>
          <w:szCs w:val="24"/>
        </w:rPr>
        <w:tab/>
      </w:r>
      <w:r w:rsidRPr="006077BF">
        <w:rPr>
          <w:rFonts w:ascii="Arial" w:hAnsi="Arial" w:cs="Arial"/>
          <w:i/>
          <w:sz w:val="24"/>
          <w:szCs w:val="24"/>
        </w:rPr>
        <w:t xml:space="preserve">Adv </w:t>
      </w:r>
      <w:r>
        <w:rPr>
          <w:rFonts w:ascii="Arial" w:hAnsi="Arial" w:cs="Arial"/>
          <w:i/>
          <w:sz w:val="24"/>
          <w:szCs w:val="24"/>
        </w:rPr>
        <w:t>T de Jager</w:t>
      </w:r>
    </w:p>
    <w:p w14:paraId="3B7BA062" w14:textId="77777777" w:rsidR="00526AA8" w:rsidRPr="006077BF" w:rsidRDefault="00526AA8" w:rsidP="00526AA8">
      <w:pPr>
        <w:spacing w:after="0" w:line="360" w:lineRule="auto"/>
        <w:jc w:val="both"/>
        <w:rPr>
          <w:rFonts w:ascii="Arial" w:hAnsi="Arial" w:cs="Arial"/>
          <w:sz w:val="24"/>
          <w:szCs w:val="24"/>
        </w:rPr>
      </w:pPr>
    </w:p>
    <w:p w14:paraId="10C4AFE3" w14:textId="6005B63D" w:rsidR="00526AA8" w:rsidRPr="006077BF" w:rsidRDefault="00526AA8" w:rsidP="00526AA8">
      <w:pPr>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sidRPr="006077BF">
        <w:rPr>
          <w:rFonts w:ascii="Arial" w:hAnsi="Arial" w:cs="Arial"/>
          <w:sz w:val="24"/>
          <w:szCs w:val="24"/>
        </w:rPr>
        <w:t xml:space="preserve"> </w:t>
      </w:r>
      <w:r w:rsidRPr="006077BF">
        <w:rPr>
          <w:rFonts w:ascii="Arial" w:hAnsi="Arial" w:cs="Arial"/>
          <w:sz w:val="24"/>
          <w:szCs w:val="24"/>
        </w:rPr>
        <w:tab/>
      </w:r>
      <w:r>
        <w:rPr>
          <w:rFonts w:ascii="Arial" w:hAnsi="Arial" w:cs="Arial"/>
          <w:sz w:val="24"/>
          <w:szCs w:val="24"/>
        </w:rPr>
        <w:tab/>
      </w:r>
      <w:r w:rsidRPr="006077BF">
        <w:rPr>
          <w:rFonts w:ascii="Arial" w:hAnsi="Arial" w:cs="Arial"/>
          <w:sz w:val="24"/>
          <w:szCs w:val="24"/>
        </w:rPr>
        <w:t>:</w:t>
      </w:r>
      <w:r w:rsidRPr="006077BF">
        <w:rPr>
          <w:rFonts w:ascii="Arial" w:hAnsi="Arial" w:cs="Arial"/>
          <w:sz w:val="24"/>
          <w:szCs w:val="24"/>
        </w:rPr>
        <w:tab/>
      </w:r>
      <w:r>
        <w:rPr>
          <w:rFonts w:ascii="Arial" w:hAnsi="Arial" w:cs="Arial"/>
          <w:i/>
          <w:iCs/>
          <w:sz w:val="24"/>
          <w:szCs w:val="24"/>
        </w:rPr>
        <w:t>The Director of Public Prosecutions</w:t>
      </w:r>
    </w:p>
    <w:p w14:paraId="649C5A99" w14:textId="6D383B99" w:rsidR="00526AA8" w:rsidRPr="006077BF" w:rsidRDefault="00526AA8" w:rsidP="00526AA8">
      <w:pPr>
        <w:spacing w:after="0" w:line="360" w:lineRule="auto"/>
        <w:jc w:val="both"/>
        <w:rPr>
          <w:rFonts w:ascii="Arial" w:hAnsi="Arial" w:cs="Arial"/>
          <w:sz w:val="24"/>
          <w:szCs w:val="24"/>
        </w:rPr>
      </w:pPr>
      <w:r w:rsidRPr="006077BF">
        <w:rPr>
          <w:rFonts w:ascii="Arial" w:hAnsi="Arial" w:cs="Arial"/>
          <w:sz w:val="24"/>
          <w:szCs w:val="24"/>
        </w:rPr>
        <w:tab/>
      </w:r>
      <w:r w:rsidRPr="006077BF">
        <w:rPr>
          <w:rFonts w:ascii="Arial" w:hAnsi="Arial" w:cs="Arial"/>
          <w:sz w:val="24"/>
          <w:szCs w:val="24"/>
        </w:rPr>
        <w:tab/>
      </w:r>
      <w:r w:rsidRPr="006077BF">
        <w:rPr>
          <w:rFonts w:ascii="Arial" w:hAnsi="Arial" w:cs="Arial"/>
          <w:sz w:val="24"/>
          <w:szCs w:val="24"/>
        </w:rPr>
        <w:tab/>
      </w:r>
      <w:r w:rsidRPr="006077BF">
        <w:rPr>
          <w:rFonts w:ascii="Arial" w:hAnsi="Arial" w:cs="Arial"/>
          <w:sz w:val="24"/>
          <w:szCs w:val="24"/>
        </w:rPr>
        <w:tab/>
      </w:r>
      <w:r w:rsidRPr="006077BF">
        <w:rPr>
          <w:rFonts w:ascii="Arial" w:hAnsi="Arial" w:cs="Arial"/>
          <w:sz w:val="24"/>
          <w:szCs w:val="24"/>
        </w:rPr>
        <w:tab/>
      </w:r>
      <w:r w:rsidRPr="006077BF">
        <w:rPr>
          <w:rFonts w:ascii="Arial" w:hAnsi="Arial" w:cs="Arial"/>
          <w:sz w:val="24"/>
          <w:szCs w:val="24"/>
        </w:rPr>
        <w:tab/>
      </w:r>
      <w:r w:rsidRPr="006077BF">
        <w:rPr>
          <w:rFonts w:ascii="Arial" w:hAnsi="Arial" w:cs="Arial"/>
          <w:sz w:val="24"/>
          <w:szCs w:val="24"/>
        </w:rPr>
        <w:tab/>
      </w:r>
      <w:r>
        <w:rPr>
          <w:rFonts w:ascii="Arial" w:hAnsi="Arial" w:cs="Arial"/>
          <w:sz w:val="24"/>
          <w:szCs w:val="24"/>
        </w:rPr>
        <w:t>Makhanda</w:t>
      </w:r>
    </w:p>
    <w:p w14:paraId="5D4C9631" w14:textId="77777777" w:rsidR="00526AA8" w:rsidRPr="002070EC" w:rsidRDefault="00526AA8" w:rsidP="00526AA8">
      <w:pPr>
        <w:spacing w:after="360" w:line="480" w:lineRule="auto"/>
        <w:jc w:val="both"/>
        <w:rPr>
          <w:rFonts w:ascii="Arial" w:hAnsi="Arial" w:cs="Arial"/>
          <w:sz w:val="24"/>
          <w:szCs w:val="24"/>
        </w:rPr>
      </w:pPr>
    </w:p>
    <w:p w14:paraId="502831B0" w14:textId="77777777" w:rsidR="00655537" w:rsidRPr="002070EC" w:rsidRDefault="00655537" w:rsidP="00EA5735">
      <w:pPr>
        <w:spacing w:after="360" w:line="480" w:lineRule="auto"/>
        <w:jc w:val="both"/>
        <w:rPr>
          <w:rFonts w:ascii="Arial" w:hAnsi="Arial" w:cs="Arial"/>
          <w:sz w:val="24"/>
          <w:szCs w:val="24"/>
        </w:rPr>
      </w:pPr>
    </w:p>
    <w:sectPr w:rsidR="00655537" w:rsidRPr="002070EC" w:rsidSect="009A3A3A">
      <w:headerReference w:type="default" r:id="rId9"/>
      <w:pgSz w:w="11906" w:h="16838"/>
      <w:pgMar w:top="567"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0BDF3" w14:textId="77777777" w:rsidR="000C1E6D" w:rsidRDefault="000C1E6D" w:rsidP="00D31321">
      <w:pPr>
        <w:spacing w:after="0" w:line="240" w:lineRule="auto"/>
      </w:pPr>
      <w:r>
        <w:separator/>
      </w:r>
    </w:p>
  </w:endnote>
  <w:endnote w:type="continuationSeparator" w:id="0">
    <w:p w14:paraId="7EE93EFA" w14:textId="77777777" w:rsidR="000C1E6D" w:rsidRDefault="000C1E6D" w:rsidP="00D31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bany">
    <w:altName w:val="Arial"/>
    <w:panose1 w:val="00000000000000000000"/>
    <w:charset w:val="00"/>
    <w:family w:val="swiss"/>
    <w:notTrueType/>
    <w:pitch w:val="variable"/>
    <w:sig w:usb0="00000003" w:usb1="00000000" w:usb2="00000000" w:usb3="00000000" w:csb0="00000001" w:csb1="00000000"/>
  </w:font>
  <w:font w:name="HG Mincho Light J">
    <w:altName w:val="msmincho"/>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E6C4E" w14:textId="77777777" w:rsidR="000C1E6D" w:rsidRDefault="000C1E6D" w:rsidP="00D31321">
      <w:pPr>
        <w:spacing w:after="0" w:line="240" w:lineRule="auto"/>
      </w:pPr>
      <w:r>
        <w:separator/>
      </w:r>
    </w:p>
  </w:footnote>
  <w:footnote w:type="continuationSeparator" w:id="0">
    <w:p w14:paraId="731A24D1" w14:textId="77777777" w:rsidR="000C1E6D" w:rsidRDefault="000C1E6D" w:rsidP="00D31321">
      <w:pPr>
        <w:spacing w:after="0" w:line="240" w:lineRule="auto"/>
      </w:pPr>
      <w:r>
        <w:continuationSeparator/>
      </w:r>
    </w:p>
  </w:footnote>
  <w:footnote w:id="1">
    <w:p w14:paraId="52184AAB" w14:textId="4558CD3F" w:rsidR="00915ABF" w:rsidRPr="00915ABF" w:rsidRDefault="00915ABF">
      <w:pPr>
        <w:pStyle w:val="FootnoteText"/>
        <w:rPr>
          <w:rFonts w:ascii="Arial" w:hAnsi="Arial" w:cs="Arial"/>
          <w:lang w:val="en-GB"/>
        </w:rPr>
      </w:pPr>
      <w:r>
        <w:rPr>
          <w:rStyle w:val="FootnoteReference"/>
        </w:rPr>
        <w:footnoteRef/>
      </w:r>
      <w:r>
        <w:t xml:space="preserve"> </w:t>
      </w:r>
      <w:r>
        <w:rPr>
          <w:rFonts w:ascii="Arial" w:hAnsi="Arial" w:cs="Arial"/>
          <w:lang w:val="en-GB"/>
        </w:rPr>
        <w:t>The Criminal Procedure Act, 51 of 1977 as amended</w:t>
      </w:r>
    </w:p>
  </w:footnote>
  <w:footnote w:id="2">
    <w:p w14:paraId="4386420D" w14:textId="46E2874C" w:rsidR="007477AE" w:rsidRPr="004F0FD4" w:rsidRDefault="007477AE">
      <w:pPr>
        <w:pStyle w:val="FootnoteText"/>
        <w:rPr>
          <w:rFonts w:ascii="Arial" w:hAnsi="Arial" w:cs="Arial"/>
          <w:lang w:val="en-GB"/>
        </w:rPr>
      </w:pPr>
      <w:r>
        <w:rPr>
          <w:rStyle w:val="FootnoteReference"/>
        </w:rPr>
        <w:footnoteRef/>
      </w:r>
      <w:r>
        <w:t xml:space="preserve"> </w:t>
      </w:r>
      <w:r w:rsidR="004F0FD4" w:rsidRPr="008368A6">
        <w:rPr>
          <w:rFonts w:ascii="Arial" w:hAnsi="Arial" w:cs="Arial"/>
          <w:i/>
          <w:iCs/>
        </w:rPr>
        <w:t>S v Snyder</w:t>
      </w:r>
      <w:r w:rsidR="004F0FD4" w:rsidRPr="008368A6">
        <w:rPr>
          <w:rFonts w:ascii="Arial" w:hAnsi="Arial" w:cs="Arial"/>
          <w:lang w:val="en-GB"/>
        </w:rPr>
        <w:t xml:space="preserve"> </w:t>
      </w:r>
      <w:r w:rsidRPr="004F0FD4">
        <w:rPr>
          <w:rFonts w:ascii="Arial" w:hAnsi="Arial" w:cs="Arial"/>
          <w:lang w:val="en-GB"/>
        </w:rPr>
        <w:t>1982 (2) SA 694 (A)</w:t>
      </w:r>
    </w:p>
  </w:footnote>
  <w:footnote w:id="3">
    <w:p w14:paraId="510D1A7A" w14:textId="6EB03C43" w:rsidR="007477AE" w:rsidRPr="004F0FD4" w:rsidRDefault="007477AE">
      <w:pPr>
        <w:pStyle w:val="FootnoteText"/>
        <w:rPr>
          <w:rFonts w:ascii="Arial" w:hAnsi="Arial" w:cs="Arial"/>
          <w:lang w:val="en-GB"/>
        </w:rPr>
      </w:pPr>
      <w:r w:rsidRPr="008368A6">
        <w:rPr>
          <w:rStyle w:val="FootnoteReference"/>
          <w:rFonts w:ascii="Arial" w:hAnsi="Arial" w:cs="Arial"/>
        </w:rPr>
        <w:footnoteRef/>
      </w:r>
      <w:r w:rsidRPr="008368A6">
        <w:rPr>
          <w:rFonts w:ascii="Arial" w:hAnsi="Arial" w:cs="Arial"/>
        </w:rPr>
        <w:t xml:space="preserve"> </w:t>
      </w:r>
      <w:r w:rsidR="004F0FD4" w:rsidRPr="008368A6">
        <w:rPr>
          <w:rFonts w:ascii="Arial" w:hAnsi="Arial" w:cs="Arial"/>
          <w:i/>
          <w:iCs/>
        </w:rPr>
        <w:t>S v Petkar</w:t>
      </w:r>
      <w:r w:rsidR="004F0FD4" w:rsidRPr="008368A6">
        <w:rPr>
          <w:rFonts w:ascii="Arial" w:hAnsi="Arial" w:cs="Arial"/>
          <w:lang w:val="en-GB"/>
        </w:rPr>
        <w:t xml:space="preserve"> </w:t>
      </w:r>
      <w:r w:rsidRPr="004F0FD4">
        <w:rPr>
          <w:rFonts w:ascii="Arial" w:hAnsi="Arial" w:cs="Arial"/>
          <w:lang w:val="en-GB"/>
        </w:rPr>
        <w:t>1988 (3) SA 571 (A)</w:t>
      </w:r>
    </w:p>
  </w:footnote>
  <w:footnote w:id="4">
    <w:p w14:paraId="77A63366" w14:textId="2E7495C9" w:rsidR="007477AE" w:rsidRPr="004F0FD4" w:rsidRDefault="007477AE">
      <w:pPr>
        <w:pStyle w:val="FootnoteText"/>
        <w:rPr>
          <w:rFonts w:ascii="Arial" w:hAnsi="Arial" w:cs="Arial"/>
          <w:lang w:val="en-GB"/>
        </w:rPr>
      </w:pPr>
      <w:r w:rsidRPr="008368A6">
        <w:rPr>
          <w:rStyle w:val="FootnoteReference"/>
          <w:rFonts w:ascii="Arial" w:hAnsi="Arial" w:cs="Arial"/>
        </w:rPr>
        <w:footnoteRef/>
      </w:r>
      <w:r w:rsidRPr="008368A6">
        <w:rPr>
          <w:rFonts w:ascii="Arial" w:hAnsi="Arial" w:cs="Arial"/>
        </w:rPr>
        <w:t xml:space="preserve"> </w:t>
      </w:r>
      <w:r w:rsidR="004F0FD4" w:rsidRPr="008368A6">
        <w:rPr>
          <w:rFonts w:ascii="Arial" w:hAnsi="Arial" w:cs="Arial"/>
          <w:i/>
          <w:iCs/>
        </w:rPr>
        <w:t>S v Sadler</w:t>
      </w:r>
      <w:r w:rsidR="004F0FD4" w:rsidRPr="008368A6">
        <w:rPr>
          <w:rFonts w:ascii="Arial" w:hAnsi="Arial" w:cs="Arial"/>
          <w:lang w:val="en-GB"/>
        </w:rPr>
        <w:t xml:space="preserve"> </w:t>
      </w:r>
      <w:r w:rsidRPr="004F0FD4">
        <w:rPr>
          <w:rFonts w:ascii="Arial" w:hAnsi="Arial" w:cs="Arial"/>
          <w:lang w:val="en-GB"/>
        </w:rPr>
        <w:t>2000 (1) SACR 331 (SCA)</w:t>
      </w:r>
    </w:p>
  </w:footnote>
  <w:footnote w:id="5">
    <w:p w14:paraId="7B8941F5" w14:textId="4ED890B0" w:rsidR="007477AE" w:rsidRPr="004F0FD4" w:rsidRDefault="007477AE">
      <w:pPr>
        <w:pStyle w:val="FootnoteText"/>
        <w:rPr>
          <w:rFonts w:ascii="Arial" w:hAnsi="Arial" w:cs="Arial"/>
          <w:lang w:val="en-GB"/>
        </w:rPr>
      </w:pPr>
      <w:r w:rsidRPr="008368A6">
        <w:rPr>
          <w:rStyle w:val="FootnoteReference"/>
          <w:rFonts w:ascii="Arial" w:hAnsi="Arial" w:cs="Arial"/>
        </w:rPr>
        <w:footnoteRef/>
      </w:r>
      <w:r w:rsidRPr="008368A6">
        <w:rPr>
          <w:rFonts w:ascii="Arial" w:hAnsi="Arial" w:cs="Arial"/>
        </w:rPr>
        <w:t xml:space="preserve"> </w:t>
      </w:r>
      <w:r w:rsidRPr="004F0FD4">
        <w:rPr>
          <w:rFonts w:ascii="Arial" w:hAnsi="Arial" w:cs="Arial"/>
          <w:lang w:val="en-GB"/>
        </w:rPr>
        <w:t xml:space="preserve">1975 (4) SA 855 (A) at [857D-E] </w:t>
      </w:r>
    </w:p>
  </w:footnote>
  <w:footnote w:id="6">
    <w:p w14:paraId="7DB8ED3E" w14:textId="431E22E9" w:rsidR="006157AA" w:rsidRPr="006157AA" w:rsidRDefault="006157AA">
      <w:pPr>
        <w:pStyle w:val="FootnoteText"/>
        <w:rPr>
          <w:rFonts w:ascii="Arial" w:hAnsi="Arial" w:cs="Arial"/>
          <w:lang w:val="en-GB"/>
        </w:rPr>
      </w:pPr>
      <w:r>
        <w:rPr>
          <w:rStyle w:val="FootnoteReference"/>
        </w:rPr>
        <w:footnoteRef/>
      </w:r>
      <w:r>
        <w:t xml:space="preserve"> </w:t>
      </w:r>
      <w:r>
        <w:rPr>
          <w:rFonts w:ascii="Arial" w:hAnsi="Arial" w:cs="Arial"/>
          <w:i/>
          <w:iCs/>
          <w:lang w:val="en-GB"/>
        </w:rPr>
        <w:t>E M Piater v The State</w:t>
      </w:r>
      <w:r>
        <w:rPr>
          <w:rFonts w:ascii="Arial" w:hAnsi="Arial" w:cs="Arial"/>
          <w:lang w:val="en-GB"/>
        </w:rPr>
        <w:t xml:space="preserve"> </w:t>
      </w:r>
      <w:r w:rsidR="00AC526A">
        <w:rPr>
          <w:rFonts w:ascii="Arial" w:hAnsi="Arial" w:cs="Arial"/>
          <w:lang w:val="en-GB"/>
        </w:rPr>
        <w:t>2013 (2) SACR (GNP)</w:t>
      </w:r>
      <w:r>
        <w:rPr>
          <w:rFonts w:ascii="Arial" w:hAnsi="Arial" w:cs="Arial"/>
          <w:lang w:val="en-GB"/>
        </w:rPr>
        <w:t xml:space="preserve"> at [9] </w:t>
      </w:r>
    </w:p>
  </w:footnote>
  <w:footnote w:id="7">
    <w:p w14:paraId="4A2B729D" w14:textId="3F4E3682" w:rsidR="00C42B97" w:rsidRPr="00004206" w:rsidRDefault="00C42B97">
      <w:pPr>
        <w:pStyle w:val="FootnoteText"/>
        <w:rPr>
          <w:rFonts w:ascii="Arial" w:hAnsi="Arial" w:cs="Arial"/>
          <w:lang w:val="en-GB"/>
        </w:rPr>
      </w:pPr>
      <w:r w:rsidRPr="008368A6">
        <w:rPr>
          <w:rStyle w:val="FootnoteReference"/>
          <w:rFonts w:ascii="Arial" w:hAnsi="Arial" w:cs="Arial"/>
        </w:rPr>
        <w:footnoteRef/>
      </w:r>
      <w:r w:rsidRPr="008368A6">
        <w:rPr>
          <w:rFonts w:ascii="Arial" w:hAnsi="Arial" w:cs="Arial"/>
        </w:rPr>
        <w:t xml:space="preserve"> </w:t>
      </w:r>
      <w:r w:rsidR="00004206" w:rsidRPr="008368A6">
        <w:rPr>
          <w:rFonts w:ascii="Arial" w:hAnsi="Arial" w:cs="Arial"/>
          <w:i/>
          <w:iCs/>
        </w:rPr>
        <w:t>S v Pillay</w:t>
      </w:r>
      <w:r w:rsidR="00004206" w:rsidRPr="008368A6">
        <w:rPr>
          <w:rFonts w:ascii="Arial" w:hAnsi="Arial" w:cs="Arial"/>
          <w:lang w:val="en-GB"/>
        </w:rPr>
        <w:t xml:space="preserve"> </w:t>
      </w:r>
      <w:r w:rsidRPr="00004206">
        <w:rPr>
          <w:rFonts w:ascii="Arial" w:hAnsi="Arial" w:cs="Arial"/>
          <w:lang w:val="en-GB"/>
        </w:rPr>
        <w:t xml:space="preserve">1977 (4) SA 531 (A) at 535E-F </w:t>
      </w:r>
    </w:p>
  </w:footnote>
  <w:footnote w:id="8">
    <w:p w14:paraId="2107FE1D" w14:textId="65D2C566" w:rsidR="00C42B97" w:rsidRPr="00004206" w:rsidRDefault="00C42B97">
      <w:pPr>
        <w:pStyle w:val="FootnoteText"/>
        <w:rPr>
          <w:rFonts w:ascii="Arial" w:hAnsi="Arial" w:cs="Arial"/>
          <w:lang w:val="en-GB"/>
        </w:rPr>
      </w:pPr>
      <w:r w:rsidRPr="008368A6">
        <w:rPr>
          <w:rStyle w:val="FootnoteReference"/>
          <w:rFonts w:ascii="Arial" w:hAnsi="Arial" w:cs="Arial"/>
        </w:rPr>
        <w:footnoteRef/>
      </w:r>
      <w:r w:rsidRPr="008368A6">
        <w:rPr>
          <w:rFonts w:ascii="Arial" w:hAnsi="Arial" w:cs="Arial"/>
        </w:rPr>
        <w:t xml:space="preserve"> </w:t>
      </w:r>
      <w:r w:rsidR="00004206" w:rsidRPr="008368A6">
        <w:rPr>
          <w:rFonts w:ascii="Arial" w:hAnsi="Arial" w:cs="Arial"/>
          <w:i/>
          <w:iCs/>
        </w:rPr>
        <w:t>S v Malgas</w:t>
      </w:r>
      <w:r w:rsidR="00004206" w:rsidRPr="008368A6">
        <w:rPr>
          <w:rFonts w:ascii="Arial" w:hAnsi="Arial" w:cs="Arial"/>
        </w:rPr>
        <w:t xml:space="preserve"> </w:t>
      </w:r>
      <w:r w:rsidRPr="00004206">
        <w:rPr>
          <w:rFonts w:ascii="Arial" w:hAnsi="Arial" w:cs="Arial"/>
        </w:rPr>
        <w:t>2001 (1) SACR 469 (SCA) 2001 (2) SA 1222</w:t>
      </w:r>
      <w:r w:rsidR="00EE70AC">
        <w:rPr>
          <w:rFonts w:ascii="Arial" w:hAnsi="Arial" w:cs="Arial"/>
        </w:rPr>
        <w:t xml:space="preserve"> at 1232A-D)</w:t>
      </w:r>
      <w:r w:rsidRPr="00004206">
        <w:rPr>
          <w:rFonts w:ascii="Arial" w:hAnsi="Arial" w:cs="Arial"/>
        </w:rPr>
        <w:t>; (2001) 3 All SA 220 [12]</w:t>
      </w:r>
    </w:p>
  </w:footnote>
  <w:footnote w:id="9">
    <w:p w14:paraId="77F539F6" w14:textId="0A56428B" w:rsidR="00F86996" w:rsidRPr="00F86996" w:rsidRDefault="00F86996">
      <w:pPr>
        <w:pStyle w:val="FootnoteText"/>
        <w:rPr>
          <w:lang w:val="en-GB"/>
        </w:rPr>
      </w:pPr>
      <w:r>
        <w:rPr>
          <w:rStyle w:val="FootnoteReference"/>
        </w:rPr>
        <w:footnoteRef/>
      </w:r>
      <w:r>
        <w:t xml:space="preserve"> </w:t>
      </w:r>
      <w:r w:rsidRPr="00F86996">
        <w:rPr>
          <w:rFonts w:ascii="Arial" w:hAnsi="Arial" w:cs="Arial"/>
          <w:i/>
          <w:iCs/>
          <w:lang w:val="en-GB"/>
        </w:rPr>
        <w:t>E M Piater</w:t>
      </w:r>
      <w:r>
        <w:rPr>
          <w:rFonts w:ascii="Arial" w:hAnsi="Arial" w:cs="Arial"/>
          <w:i/>
          <w:iCs/>
          <w:lang w:val="en-GB"/>
        </w:rPr>
        <w:t xml:space="preserve"> </w:t>
      </w:r>
      <w:r>
        <w:rPr>
          <w:rFonts w:ascii="Arial" w:hAnsi="Arial" w:cs="Arial"/>
          <w:lang w:val="en-GB"/>
        </w:rPr>
        <w:t>supra at [18]</w:t>
      </w:r>
    </w:p>
  </w:footnote>
  <w:footnote w:id="10">
    <w:p w14:paraId="59346EAB" w14:textId="0F8705C7" w:rsidR="00C61527" w:rsidRPr="00C61527" w:rsidRDefault="00C61527">
      <w:pPr>
        <w:pStyle w:val="FootnoteText"/>
        <w:rPr>
          <w:rFonts w:ascii="Arial" w:hAnsi="Arial" w:cs="Arial"/>
          <w:lang w:val="en-GB"/>
        </w:rPr>
      </w:pPr>
      <w:r>
        <w:rPr>
          <w:rStyle w:val="FootnoteReference"/>
        </w:rPr>
        <w:footnoteRef/>
      </w:r>
      <w:r>
        <w:t xml:space="preserve"> </w:t>
      </w:r>
      <w:r>
        <w:rPr>
          <w:rFonts w:ascii="Arial" w:hAnsi="Arial" w:cs="Arial"/>
          <w:lang w:val="en-GB"/>
        </w:rPr>
        <w:t>1974 (2) SA 413 (C) at 422E-G</w:t>
      </w:r>
    </w:p>
  </w:footnote>
  <w:footnote w:id="11">
    <w:p w14:paraId="450A5F0F" w14:textId="0B3D4F6D" w:rsidR="00C61527" w:rsidRPr="00C61527" w:rsidRDefault="00C61527">
      <w:pPr>
        <w:pStyle w:val="FootnoteText"/>
        <w:rPr>
          <w:rFonts w:ascii="Arial" w:hAnsi="Arial" w:cs="Arial"/>
          <w:lang w:val="en-GB"/>
        </w:rPr>
      </w:pPr>
      <w:r>
        <w:rPr>
          <w:rStyle w:val="FootnoteReference"/>
        </w:rPr>
        <w:footnoteRef/>
      </w:r>
      <w:r>
        <w:t xml:space="preserve"> </w:t>
      </w:r>
      <w:r>
        <w:rPr>
          <w:rFonts w:ascii="Arial" w:hAnsi="Arial" w:cs="Arial"/>
          <w:lang w:val="en-GB"/>
        </w:rPr>
        <w:t>1990 (1) SACR 178 at 181 f-g</w:t>
      </w:r>
    </w:p>
  </w:footnote>
  <w:footnote w:id="12">
    <w:p w14:paraId="2EDA346F" w14:textId="03F77774" w:rsidR="00B31467" w:rsidRPr="00B31467" w:rsidRDefault="00B31467">
      <w:pPr>
        <w:pStyle w:val="FootnoteText"/>
        <w:rPr>
          <w:rFonts w:ascii="Arial" w:hAnsi="Arial" w:cs="Arial"/>
          <w:lang w:val="en-GB"/>
        </w:rPr>
      </w:pPr>
      <w:r>
        <w:rPr>
          <w:rStyle w:val="FootnoteReference"/>
        </w:rPr>
        <w:footnoteRef/>
      </w:r>
      <w:r>
        <w:t xml:space="preserve"> </w:t>
      </w:r>
      <w:r>
        <w:rPr>
          <w:rFonts w:ascii="Arial" w:hAnsi="Arial" w:cs="Arial"/>
        </w:rPr>
        <w:t xml:space="preserve">2007 (2) SACR 539 (CC); see also </w:t>
      </w:r>
      <w:r>
        <w:rPr>
          <w:rFonts w:ascii="Arial" w:hAnsi="Arial" w:cs="Arial"/>
          <w:i/>
          <w:iCs/>
        </w:rPr>
        <w:t>E M Piater v State</w:t>
      </w:r>
      <w:r>
        <w:rPr>
          <w:rFonts w:ascii="Arial" w:hAnsi="Arial" w:cs="Arial"/>
        </w:rPr>
        <w:t xml:space="preserve"> </w:t>
      </w:r>
      <w:r w:rsidRPr="008368A6">
        <w:rPr>
          <w:rFonts w:ascii="Arial" w:hAnsi="Arial" w:cs="Arial"/>
          <w:i/>
          <w:iCs/>
        </w:rPr>
        <w:t>supra</w:t>
      </w:r>
      <w:r>
        <w:rPr>
          <w:rFonts w:ascii="Arial" w:hAnsi="Arial" w:cs="Arial"/>
        </w:rPr>
        <w:t xml:space="preserve"> at [2</w:t>
      </w:r>
      <w:r w:rsidR="00AC526A">
        <w:rPr>
          <w:rFonts w:ascii="Arial" w:hAnsi="Arial" w:cs="Arial"/>
        </w:rPr>
        <w:t>2</w:t>
      </w:r>
      <w:r>
        <w:rPr>
          <w:rFonts w:ascii="Arial" w:hAnsi="Arial" w:cs="Arial"/>
        </w:rPr>
        <w:t>]</w:t>
      </w:r>
    </w:p>
  </w:footnote>
  <w:footnote w:id="13">
    <w:p w14:paraId="4CC8FF78" w14:textId="77E2B9ED" w:rsidR="00400445" w:rsidRPr="00400445" w:rsidRDefault="00400445">
      <w:pPr>
        <w:pStyle w:val="FootnoteText"/>
        <w:rPr>
          <w:rFonts w:ascii="Arial" w:hAnsi="Arial" w:cs="Arial"/>
          <w:lang w:val="en-GB"/>
        </w:rPr>
      </w:pPr>
      <w:r>
        <w:rPr>
          <w:rStyle w:val="FootnoteReference"/>
        </w:rPr>
        <w:footnoteRef/>
      </w:r>
      <w:r>
        <w:t xml:space="preserve"> </w:t>
      </w:r>
      <w:r>
        <w:rPr>
          <w:rFonts w:ascii="Arial" w:hAnsi="Arial" w:cs="Arial"/>
          <w:lang w:val="en-GB"/>
        </w:rPr>
        <w:t xml:space="preserve">1998 (2) SACR 669 </w:t>
      </w:r>
      <w:r w:rsidR="006E5C43">
        <w:rPr>
          <w:rFonts w:ascii="Arial" w:hAnsi="Arial" w:cs="Arial"/>
          <w:lang w:val="en-GB"/>
        </w:rPr>
        <w:t xml:space="preserve">(WLD) at 672b-e </w:t>
      </w:r>
      <w:r>
        <w:rPr>
          <w:rFonts w:ascii="Arial" w:hAnsi="Arial" w:cs="Arial"/>
          <w:lang w:val="en-GB"/>
        </w:rPr>
        <w:t xml:space="preserve">and also </w:t>
      </w:r>
      <w:r>
        <w:rPr>
          <w:rFonts w:ascii="Arial" w:hAnsi="Arial" w:cs="Arial"/>
        </w:rPr>
        <w:t xml:space="preserve">also </w:t>
      </w:r>
      <w:r>
        <w:rPr>
          <w:rFonts w:ascii="Arial" w:hAnsi="Arial" w:cs="Arial"/>
          <w:i/>
          <w:iCs/>
        </w:rPr>
        <w:t>E M Piater v State</w:t>
      </w:r>
      <w:r>
        <w:rPr>
          <w:rFonts w:ascii="Arial" w:hAnsi="Arial" w:cs="Arial"/>
        </w:rPr>
        <w:t xml:space="preserve"> supra at [27]</w:t>
      </w:r>
    </w:p>
  </w:footnote>
  <w:footnote w:id="14">
    <w:p w14:paraId="19269358" w14:textId="11BA4DAD" w:rsidR="00076487" w:rsidRPr="00076487" w:rsidRDefault="00076487">
      <w:pPr>
        <w:pStyle w:val="FootnoteText"/>
        <w:rPr>
          <w:rFonts w:ascii="Arial" w:hAnsi="Arial" w:cs="Arial"/>
          <w:lang w:val="en-GB"/>
        </w:rPr>
      </w:pPr>
      <w:r>
        <w:rPr>
          <w:rStyle w:val="FootnoteReference"/>
        </w:rPr>
        <w:footnoteRef/>
      </w:r>
      <w:r>
        <w:t xml:space="preserve"> </w:t>
      </w:r>
      <w:r>
        <w:rPr>
          <w:rFonts w:ascii="Arial" w:hAnsi="Arial" w:cs="Arial"/>
          <w:lang w:val="en-GB"/>
        </w:rPr>
        <w:t>1988 (4) SA 926 (TK) 92</w:t>
      </w:r>
      <w:r w:rsidR="00605C95">
        <w:rPr>
          <w:rFonts w:ascii="Arial" w:hAnsi="Arial" w:cs="Arial"/>
          <w:lang w:val="en-GB"/>
        </w:rPr>
        <w:t>8B-E</w:t>
      </w:r>
    </w:p>
  </w:footnote>
  <w:footnote w:id="15">
    <w:p w14:paraId="725A3DC0" w14:textId="22197D1E" w:rsidR="00AA3DAC" w:rsidRPr="00AA3DAC" w:rsidRDefault="00AA3DAC">
      <w:pPr>
        <w:pStyle w:val="FootnoteText"/>
        <w:rPr>
          <w:rFonts w:ascii="Arial" w:hAnsi="Arial" w:cs="Arial"/>
          <w:lang w:val="en-GB"/>
        </w:rPr>
      </w:pPr>
      <w:r>
        <w:rPr>
          <w:rStyle w:val="FootnoteReference"/>
        </w:rPr>
        <w:footnoteRef/>
      </w:r>
      <w:r>
        <w:t xml:space="preserve"> </w:t>
      </w:r>
      <w:r>
        <w:rPr>
          <w:rFonts w:ascii="Arial" w:hAnsi="Arial" w:cs="Arial"/>
          <w:lang w:val="en-GB"/>
        </w:rPr>
        <w:t>2023 (2) SACR 541 (SCA), Also (171/2022 [2023] ZASCA 123 (26 September 2023)</w:t>
      </w:r>
    </w:p>
  </w:footnote>
  <w:footnote w:id="16">
    <w:p w14:paraId="4D99045B" w14:textId="10D9DB2D" w:rsidR="006D397E" w:rsidRPr="006D397E" w:rsidRDefault="006D397E">
      <w:pPr>
        <w:pStyle w:val="FootnoteText"/>
        <w:rPr>
          <w:rFonts w:ascii="Arial" w:hAnsi="Arial" w:cs="Arial"/>
          <w:lang w:val="en-GB"/>
        </w:rPr>
      </w:pPr>
      <w:r>
        <w:rPr>
          <w:rStyle w:val="FootnoteReference"/>
        </w:rPr>
        <w:footnoteRef/>
      </w:r>
      <w:r>
        <w:t xml:space="preserve"> </w:t>
      </w:r>
      <w:r>
        <w:rPr>
          <w:rFonts w:ascii="Arial" w:hAnsi="Arial" w:cs="Arial"/>
          <w:i/>
          <w:iCs/>
          <w:lang w:val="en-GB"/>
        </w:rPr>
        <w:t xml:space="preserve">E M Piater v State </w:t>
      </w:r>
      <w:r>
        <w:rPr>
          <w:rFonts w:ascii="Arial" w:hAnsi="Arial" w:cs="Arial"/>
          <w:lang w:val="en-GB"/>
        </w:rPr>
        <w:t xml:space="preserve">supra </w:t>
      </w:r>
    </w:p>
  </w:footnote>
  <w:footnote w:id="17">
    <w:p w14:paraId="29788860" w14:textId="3F7AF863" w:rsidR="00580F10" w:rsidRPr="00580F10" w:rsidRDefault="00580F10">
      <w:pPr>
        <w:pStyle w:val="FootnoteText"/>
        <w:rPr>
          <w:rFonts w:ascii="Arial" w:hAnsi="Arial" w:cs="Arial"/>
          <w:lang w:val="en-GB"/>
        </w:rPr>
      </w:pPr>
      <w:r>
        <w:rPr>
          <w:rStyle w:val="FootnoteReference"/>
        </w:rPr>
        <w:footnoteRef/>
      </w:r>
      <w:r>
        <w:t xml:space="preserve"> </w:t>
      </w:r>
      <w:r w:rsidR="00835858" w:rsidRPr="008368A6">
        <w:rPr>
          <w:rFonts w:ascii="Arial" w:hAnsi="Arial" w:cs="Arial"/>
        </w:rPr>
        <w:t xml:space="preserve">S </w:t>
      </w:r>
      <w:r w:rsidR="00835858" w:rsidRPr="008368A6">
        <w:rPr>
          <w:rFonts w:ascii="Arial" w:hAnsi="Arial" w:cs="Arial"/>
          <w:i/>
        </w:rPr>
        <w:t>v Lister</w:t>
      </w:r>
      <w:r w:rsidR="00835858" w:rsidRPr="00835858">
        <w:t xml:space="preserve"> </w:t>
      </w:r>
      <w:r w:rsidRPr="00580F10">
        <w:rPr>
          <w:rFonts w:ascii="Arial" w:hAnsi="Arial" w:cs="Arial"/>
        </w:rPr>
        <w:t>1993 (2) SACR 228 (A)</w:t>
      </w:r>
    </w:p>
  </w:footnote>
  <w:footnote w:id="18">
    <w:p w14:paraId="5D7BADA9" w14:textId="0C0271D4" w:rsidR="00A541BC" w:rsidRPr="008368A6" w:rsidRDefault="00A541BC">
      <w:pPr>
        <w:pStyle w:val="FootnoteText"/>
        <w:rPr>
          <w:lang w:val="en-US"/>
        </w:rPr>
      </w:pPr>
      <w:r>
        <w:rPr>
          <w:rStyle w:val="FootnoteReference"/>
        </w:rPr>
        <w:footnoteRef/>
      </w:r>
      <w:r>
        <w:t xml:space="preserve"> </w:t>
      </w:r>
      <w:r w:rsidR="00605C95" w:rsidRPr="00605C95">
        <w:rPr>
          <w:i/>
        </w:rPr>
        <w:t>Howells v S</w:t>
      </w:r>
    </w:p>
  </w:footnote>
  <w:footnote w:id="19">
    <w:p w14:paraId="6D01E5E8" w14:textId="2CF7308D" w:rsidR="00580F10" w:rsidRPr="00580F10" w:rsidRDefault="00580F10">
      <w:pPr>
        <w:pStyle w:val="FootnoteText"/>
        <w:rPr>
          <w:lang w:val="en-GB"/>
        </w:rPr>
      </w:pPr>
      <w:r>
        <w:rPr>
          <w:rStyle w:val="FootnoteReference"/>
        </w:rPr>
        <w:footnoteRef/>
      </w:r>
      <w:r>
        <w:t xml:space="preserve"> </w:t>
      </w:r>
      <w:r w:rsidRPr="00580F10">
        <w:rPr>
          <w:rFonts w:ascii="Arial" w:hAnsi="Arial" w:cs="Arial"/>
        </w:rPr>
        <w:t>1995 (2) SACR 704 (A)</w:t>
      </w:r>
    </w:p>
  </w:footnote>
  <w:footnote w:id="20">
    <w:p w14:paraId="1A5702B7" w14:textId="7251F382" w:rsidR="00580F10" w:rsidRPr="00580F10" w:rsidRDefault="00580F10">
      <w:pPr>
        <w:pStyle w:val="FootnoteText"/>
        <w:rPr>
          <w:lang w:val="en-GB"/>
        </w:rPr>
      </w:pPr>
      <w:r>
        <w:rPr>
          <w:rStyle w:val="FootnoteReference"/>
        </w:rPr>
        <w:footnoteRef/>
      </w:r>
      <w:r>
        <w:t xml:space="preserve"> </w:t>
      </w:r>
      <w:r w:rsidRPr="00580F10">
        <w:rPr>
          <w:rFonts w:ascii="Arial" w:hAnsi="Arial" w:cs="Arial"/>
        </w:rPr>
        <w:t>1999 (2) SACR 660 (SCA)</w:t>
      </w:r>
    </w:p>
  </w:footnote>
  <w:footnote w:id="21">
    <w:p w14:paraId="7E84735C" w14:textId="00B9A601" w:rsidR="00580F10" w:rsidRPr="00580F10" w:rsidRDefault="00580F10">
      <w:pPr>
        <w:pStyle w:val="FootnoteText"/>
        <w:rPr>
          <w:lang w:val="en-GB"/>
        </w:rPr>
      </w:pPr>
      <w:r>
        <w:rPr>
          <w:rStyle w:val="FootnoteReference"/>
        </w:rPr>
        <w:footnoteRef/>
      </w:r>
      <w:r>
        <w:t xml:space="preserve"> </w:t>
      </w:r>
      <w:r w:rsidR="00CB450E" w:rsidRPr="008368A6">
        <w:rPr>
          <w:rFonts w:ascii="Arial" w:hAnsi="Arial" w:cs="Arial"/>
          <w:i/>
        </w:rPr>
        <w:t>De Sousa v The State</w:t>
      </w:r>
      <w:r w:rsidR="00CB450E" w:rsidRPr="00CB450E">
        <w:t xml:space="preserve"> </w:t>
      </w:r>
      <w:r w:rsidRPr="00580F10">
        <w:rPr>
          <w:rFonts w:ascii="Arial" w:hAnsi="Arial" w:cs="Arial"/>
        </w:rPr>
        <w:t xml:space="preserve">[2008] ZASCA 93 </w:t>
      </w:r>
      <w:r w:rsidR="00CB450E">
        <w:rPr>
          <w:rFonts w:ascii="Arial" w:hAnsi="Arial" w:cs="Arial"/>
        </w:rPr>
        <w:t xml:space="preserve">para 4 </w:t>
      </w:r>
      <w:r w:rsidRPr="00580F10">
        <w:rPr>
          <w:rFonts w:ascii="Arial" w:hAnsi="Arial" w:cs="Arial"/>
        </w:rPr>
        <w:t>(12 September 2008J</w:t>
      </w:r>
    </w:p>
  </w:footnote>
  <w:footnote w:id="22">
    <w:p w14:paraId="6F5CA230" w14:textId="56391246" w:rsidR="00580F10" w:rsidRPr="00580F10" w:rsidRDefault="00580F10">
      <w:pPr>
        <w:pStyle w:val="FootnoteText"/>
        <w:rPr>
          <w:lang w:val="en-GB"/>
        </w:rPr>
      </w:pPr>
      <w:r>
        <w:rPr>
          <w:rStyle w:val="FootnoteReference"/>
        </w:rPr>
        <w:footnoteRef/>
      </w:r>
      <w:r>
        <w:t xml:space="preserve"> </w:t>
      </w:r>
      <w:r w:rsidRPr="00580F10">
        <w:rPr>
          <w:rFonts w:ascii="Arial" w:hAnsi="Arial" w:cs="Arial"/>
        </w:rPr>
        <w:t>[2008] ZASCA 132 (26 November 2008)</w:t>
      </w:r>
    </w:p>
  </w:footnote>
  <w:footnote w:id="23">
    <w:p w14:paraId="77AEB364" w14:textId="2D09DE52" w:rsidR="007C55B5" w:rsidRPr="007C55B5" w:rsidRDefault="007C55B5">
      <w:pPr>
        <w:pStyle w:val="FootnoteText"/>
        <w:rPr>
          <w:rFonts w:ascii="Arial" w:hAnsi="Arial" w:cs="Arial"/>
          <w:lang w:val="en-GB"/>
        </w:rPr>
      </w:pPr>
      <w:r>
        <w:rPr>
          <w:rStyle w:val="FootnoteReference"/>
        </w:rPr>
        <w:footnoteRef/>
      </w:r>
      <w:r>
        <w:t xml:space="preserve"> </w:t>
      </w:r>
      <w:r>
        <w:rPr>
          <w:rFonts w:ascii="Arial" w:hAnsi="Arial" w:cs="Arial"/>
          <w:i/>
          <w:iCs/>
          <w:lang w:val="en-GB"/>
        </w:rPr>
        <w:t>MS v S</w:t>
      </w:r>
      <w:r>
        <w:rPr>
          <w:rFonts w:ascii="Arial" w:hAnsi="Arial" w:cs="Arial"/>
          <w:lang w:val="en-GB"/>
        </w:rPr>
        <w:t xml:space="preserve"> supra</w:t>
      </w:r>
    </w:p>
  </w:footnote>
  <w:footnote w:id="24">
    <w:p w14:paraId="2F0D494A" w14:textId="5F6E03F5" w:rsidR="00580F10" w:rsidRPr="00580F10" w:rsidRDefault="00580F10">
      <w:pPr>
        <w:pStyle w:val="FootnoteText"/>
        <w:rPr>
          <w:lang w:val="en-GB"/>
        </w:rPr>
      </w:pPr>
      <w:r>
        <w:rPr>
          <w:rStyle w:val="FootnoteReference"/>
        </w:rPr>
        <w:footnoteRef/>
      </w:r>
      <w:r>
        <w:t xml:space="preserve"> </w:t>
      </w:r>
      <w:r w:rsidRPr="00580F10">
        <w:rPr>
          <w:rFonts w:ascii="Arial" w:hAnsi="Arial" w:cs="Arial"/>
        </w:rPr>
        <w:t>[2012] ZAGPPHC 5 (3 February 2012)</w:t>
      </w:r>
    </w:p>
  </w:footnote>
  <w:footnote w:id="25">
    <w:p w14:paraId="3AD8131F" w14:textId="627DE53F" w:rsidR="00580F10" w:rsidRPr="00580F10" w:rsidRDefault="00580F10">
      <w:pPr>
        <w:pStyle w:val="FootnoteText"/>
        <w:rPr>
          <w:lang w:val="en-GB"/>
        </w:rPr>
      </w:pPr>
      <w:r>
        <w:rPr>
          <w:rStyle w:val="FootnoteReference"/>
        </w:rPr>
        <w:footnoteRef/>
      </w:r>
      <w:r>
        <w:t xml:space="preserve"> </w:t>
      </w:r>
      <w:r w:rsidRPr="00580F10">
        <w:rPr>
          <w:rFonts w:ascii="Arial" w:hAnsi="Arial" w:cs="Arial"/>
        </w:rPr>
        <w:t>1998 (2) SACR 441 (NIC) at 449h-i</w:t>
      </w:r>
    </w:p>
  </w:footnote>
  <w:footnote w:id="26">
    <w:p w14:paraId="656EE5FD" w14:textId="67A6D90D" w:rsidR="00580F10" w:rsidRPr="00580F10" w:rsidRDefault="00580F10">
      <w:pPr>
        <w:pStyle w:val="FootnoteText"/>
        <w:rPr>
          <w:lang w:val="en-GB"/>
        </w:rPr>
      </w:pPr>
      <w:r>
        <w:rPr>
          <w:rStyle w:val="FootnoteReference"/>
        </w:rPr>
        <w:footnoteRef/>
      </w:r>
      <w:r>
        <w:t xml:space="preserve"> </w:t>
      </w:r>
      <w:r w:rsidRPr="00580F10">
        <w:rPr>
          <w:rFonts w:ascii="Arial" w:hAnsi="Arial" w:cs="Arial"/>
        </w:rPr>
        <w:t>1970 (2) SA 506 (a) at 511G-H</w:t>
      </w:r>
    </w:p>
  </w:footnote>
  <w:footnote w:id="27">
    <w:p w14:paraId="1D2D32E1" w14:textId="516DB036" w:rsidR="00580F10" w:rsidRPr="00580F10" w:rsidRDefault="00580F10">
      <w:pPr>
        <w:pStyle w:val="FootnoteText"/>
        <w:rPr>
          <w:lang w:val="en-GB"/>
        </w:rPr>
      </w:pPr>
      <w:r>
        <w:rPr>
          <w:rStyle w:val="FootnoteReference"/>
        </w:rPr>
        <w:footnoteRef/>
      </w:r>
      <w:r>
        <w:t xml:space="preserve"> </w:t>
      </w:r>
      <w:r w:rsidRPr="00580F10">
        <w:rPr>
          <w:rFonts w:ascii="Arial" w:hAnsi="Arial" w:cs="Arial"/>
        </w:rPr>
        <w:t>2011 (1) SACR 40 (SCA) para 13</w:t>
      </w:r>
    </w:p>
  </w:footnote>
  <w:footnote w:id="28">
    <w:p w14:paraId="560E01DE" w14:textId="047F4B6E" w:rsidR="00A207ED" w:rsidRPr="00A207ED" w:rsidRDefault="00A207ED">
      <w:pPr>
        <w:pStyle w:val="FootnoteText"/>
        <w:rPr>
          <w:rFonts w:ascii="Arial" w:hAnsi="Arial" w:cs="Arial"/>
          <w:lang w:val="en-GB"/>
        </w:rPr>
      </w:pPr>
      <w:r>
        <w:rPr>
          <w:rStyle w:val="FootnoteReference"/>
        </w:rPr>
        <w:footnoteRef/>
      </w:r>
      <w:r>
        <w:t xml:space="preserve"> </w:t>
      </w:r>
      <w:r w:rsidRPr="00A207ED">
        <w:rPr>
          <w:rFonts w:ascii="Arial" w:hAnsi="Arial" w:cs="Arial"/>
          <w:i/>
          <w:iCs/>
          <w:lang w:val="en-GB"/>
        </w:rPr>
        <w:t>E M Piater v The State</w:t>
      </w:r>
      <w:r>
        <w:rPr>
          <w:rFonts w:ascii="Arial" w:hAnsi="Arial" w:cs="Arial"/>
          <w:lang w:val="en-GB"/>
        </w:rPr>
        <w:t xml:space="preserve"> supra [39]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600962"/>
      <w:docPartObj>
        <w:docPartGallery w:val="Page Numbers (Top of Page)"/>
        <w:docPartUnique/>
      </w:docPartObj>
    </w:sdtPr>
    <w:sdtEndPr>
      <w:rPr>
        <w:noProof/>
      </w:rPr>
    </w:sdtEndPr>
    <w:sdtContent>
      <w:p w14:paraId="44EA7A63" w14:textId="7FF1D898" w:rsidR="00D31321" w:rsidRDefault="00D31321">
        <w:pPr>
          <w:pStyle w:val="Header"/>
          <w:jc w:val="right"/>
        </w:pPr>
        <w:r>
          <w:fldChar w:fldCharType="begin"/>
        </w:r>
        <w:r>
          <w:instrText xml:space="preserve"> PAGE   \* MERGEFORMAT </w:instrText>
        </w:r>
        <w:r>
          <w:fldChar w:fldCharType="separate"/>
        </w:r>
        <w:r w:rsidR="007704C3">
          <w:rPr>
            <w:noProof/>
          </w:rPr>
          <w:t>1</w:t>
        </w:r>
        <w:r>
          <w:rPr>
            <w:noProof/>
          </w:rPr>
          <w:fldChar w:fldCharType="end"/>
        </w:r>
      </w:p>
    </w:sdtContent>
  </w:sdt>
  <w:p w14:paraId="7265F1FE" w14:textId="77777777" w:rsidR="00D31321" w:rsidRDefault="00D313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DE6E59"/>
    <w:multiLevelType w:val="hybridMultilevel"/>
    <w:tmpl w:val="595CB08E"/>
    <w:lvl w:ilvl="0" w:tplc="2F08AC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7ED90F0D"/>
    <w:multiLevelType w:val="hybridMultilevel"/>
    <w:tmpl w:val="BA76D736"/>
    <w:lvl w:ilvl="0" w:tplc="F08CE8D0">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047"/>
    <w:rsid w:val="00004206"/>
    <w:rsid w:val="0001116B"/>
    <w:rsid w:val="0001368D"/>
    <w:rsid w:val="00025E74"/>
    <w:rsid w:val="00031870"/>
    <w:rsid w:val="000344FC"/>
    <w:rsid w:val="00036E17"/>
    <w:rsid w:val="000426B2"/>
    <w:rsid w:val="00042CB4"/>
    <w:rsid w:val="00046521"/>
    <w:rsid w:val="0004750C"/>
    <w:rsid w:val="0005043D"/>
    <w:rsid w:val="0005503E"/>
    <w:rsid w:val="00057A99"/>
    <w:rsid w:val="0006215F"/>
    <w:rsid w:val="0007098E"/>
    <w:rsid w:val="00076487"/>
    <w:rsid w:val="00090043"/>
    <w:rsid w:val="00090220"/>
    <w:rsid w:val="000A0DE0"/>
    <w:rsid w:val="000C1602"/>
    <w:rsid w:val="000C1E6D"/>
    <w:rsid w:val="000C6034"/>
    <w:rsid w:val="000D1591"/>
    <w:rsid w:val="000E406B"/>
    <w:rsid w:val="000E7A16"/>
    <w:rsid w:val="000F49D7"/>
    <w:rsid w:val="000F4B5E"/>
    <w:rsid w:val="000F716D"/>
    <w:rsid w:val="00100B24"/>
    <w:rsid w:val="00100EFF"/>
    <w:rsid w:val="0010162D"/>
    <w:rsid w:val="00113EFF"/>
    <w:rsid w:val="001165C9"/>
    <w:rsid w:val="00125081"/>
    <w:rsid w:val="00133542"/>
    <w:rsid w:val="00134261"/>
    <w:rsid w:val="0015216A"/>
    <w:rsid w:val="00153843"/>
    <w:rsid w:val="00155E1E"/>
    <w:rsid w:val="0017715C"/>
    <w:rsid w:val="0018664F"/>
    <w:rsid w:val="001917E4"/>
    <w:rsid w:val="001C0CDF"/>
    <w:rsid w:val="001D1ECB"/>
    <w:rsid w:val="001E7FB0"/>
    <w:rsid w:val="001F16AD"/>
    <w:rsid w:val="0020552F"/>
    <w:rsid w:val="002070EC"/>
    <w:rsid w:val="00221E39"/>
    <w:rsid w:val="00221FB1"/>
    <w:rsid w:val="0022732E"/>
    <w:rsid w:val="00232CFE"/>
    <w:rsid w:val="00240544"/>
    <w:rsid w:val="00243BCD"/>
    <w:rsid w:val="002536A4"/>
    <w:rsid w:val="00253AFA"/>
    <w:rsid w:val="002706AF"/>
    <w:rsid w:val="0027115F"/>
    <w:rsid w:val="0027569E"/>
    <w:rsid w:val="0029493D"/>
    <w:rsid w:val="00294CA0"/>
    <w:rsid w:val="002A2235"/>
    <w:rsid w:val="002A43BD"/>
    <w:rsid w:val="002A59E6"/>
    <w:rsid w:val="002B6308"/>
    <w:rsid w:val="002B731A"/>
    <w:rsid w:val="002D3715"/>
    <w:rsid w:val="002D715B"/>
    <w:rsid w:val="002D735D"/>
    <w:rsid w:val="002F120D"/>
    <w:rsid w:val="002F5C11"/>
    <w:rsid w:val="0030049C"/>
    <w:rsid w:val="00305833"/>
    <w:rsid w:val="003112A2"/>
    <w:rsid w:val="00326093"/>
    <w:rsid w:val="00333357"/>
    <w:rsid w:val="00333CA5"/>
    <w:rsid w:val="003360DB"/>
    <w:rsid w:val="00336DE3"/>
    <w:rsid w:val="00343AD8"/>
    <w:rsid w:val="00346EA7"/>
    <w:rsid w:val="00360867"/>
    <w:rsid w:val="003609A6"/>
    <w:rsid w:val="003743C0"/>
    <w:rsid w:val="00376A88"/>
    <w:rsid w:val="003858FC"/>
    <w:rsid w:val="003913D5"/>
    <w:rsid w:val="003917FD"/>
    <w:rsid w:val="00396FAB"/>
    <w:rsid w:val="003A1965"/>
    <w:rsid w:val="003A7854"/>
    <w:rsid w:val="003B650B"/>
    <w:rsid w:val="003D21CD"/>
    <w:rsid w:val="003E32CE"/>
    <w:rsid w:val="003E76CB"/>
    <w:rsid w:val="003F061C"/>
    <w:rsid w:val="003F4A0B"/>
    <w:rsid w:val="003F4DD5"/>
    <w:rsid w:val="00400445"/>
    <w:rsid w:val="0040588E"/>
    <w:rsid w:val="0041685F"/>
    <w:rsid w:val="004177F5"/>
    <w:rsid w:val="00432C32"/>
    <w:rsid w:val="004407D1"/>
    <w:rsid w:val="00447A15"/>
    <w:rsid w:val="004515D5"/>
    <w:rsid w:val="00454388"/>
    <w:rsid w:val="004677D3"/>
    <w:rsid w:val="00474553"/>
    <w:rsid w:val="00484D8E"/>
    <w:rsid w:val="004902BD"/>
    <w:rsid w:val="00491913"/>
    <w:rsid w:val="004A1AD3"/>
    <w:rsid w:val="004B2808"/>
    <w:rsid w:val="004C7BCF"/>
    <w:rsid w:val="004E4E3B"/>
    <w:rsid w:val="004E5D99"/>
    <w:rsid w:val="004E6047"/>
    <w:rsid w:val="004F0FD4"/>
    <w:rsid w:val="00500E15"/>
    <w:rsid w:val="0050409C"/>
    <w:rsid w:val="00526AA8"/>
    <w:rsid w:val="00527344"/>
    <w:rsid w:val="005301C3"/>
    <w:rsid w:val="00540357"/>
    <w:rsid w:val="005405B9"/>
    <w:rsid w:val="00541011"/>
    <w:rsid w:val="00544EFA"/>
    <w:rsid w:val="00551E43"/>
    <w:rsid w:val="005527B3"/>
    <w:rsid w:val="0055390F"/>
    <w:rsid w:val="00554A44"/>
    <w:rsid w:val="0056606B"/>
    <w:rsid w:val="0058013B"/>
    <w:rsid w:val="00580F10"/>
    <w:rsid w:val="005919A5"/>
    <w:rsid w:val="005A1107"/>
    <w:rsid w:val="005A1EF8"/>
    <w:rsid w:val="005A66FA"/>
    <w:rsid w:val="005B0C44"/>
    <w:rsid w:val="005B3313"/>
    <w:rsid w:val="005B71BD"/>
    <w:rsid w:val="005C282C"/>
    <w:rsid w:val="005C7A49"/>
    <w:rsid w:val="005C7C82"/>
    <w:rsid w:val="005D7225"/>
    <w:rsid w:val="005E255F"/>
    <w:rsid w:val="005E3CBB"/>
    <w:rsid w:val="005F7F5A"/>
    <w:rsid w:val="0060027C"/>
    <w:rsid w:val="0060129C"/>
    <w:rsid w:val="00605722"/>
    <w:rsid w:val="00605C95"/>
    <w:rsid w:val="006157AA"/>
    <w:rsid w:val="00616C1D"/>
    <w:rsid w:val="006240FE"/>
    <w:rsid w:val="006373C9"/>
    <w:rsid w:val="00637B44"/>
    <w:rsid w:val="00655537"/>
    <w:rsid w:val="00655A27"/>
    <w:rsid w:val="006729D5"/>
    <w:rsid w:val="00676C91"/>
    <w:rsid w:val="00677DE7"/>
    <w:rsid w:val="006813E0"/>
    <w:rsid w:val="0068657D"/>
    <w:rsid w:val="006B2DB0"/>
    <w:rsid w:val="006B377F"/>
    <w:rsid w:val="006B7F23"/>
    <w:rsid w:val="006C124D"/>
    <w:rsid w:val="006C5F1E"/>
    <w:rsid w:val="006D397E"/>
    <w:rsid w:val="006D4A55"/>
    <w:rsid w:val="006D615D"/>
    <w:rsid w:val="006D76DA"/>
    <w:rsid w:val="006E5C43"/>
    <w:rsid w:val="006F2C8B"/>
    <w:rsid w:val="006F7C8F"/>
    <w:rsid w:val="00712AC1"/>
    <w:rsid w:val="0071761E"/>
    <w:rsid w:val="00724A8E"/>
    <w:rsid w:val="0074248B"/>
    <w:rsid w:val="007449A3"/>
    <w:rsid w:val="007477AE"/>
    <w:rsid w:val="00760268"/>
    <w:rsid w:val="00760A40"/>
    <w:rsid w:val="00761548"/>
    <w:rsid w:val="007619F6"/>
    <w:rsid w:val="0076743E"/>
    <w:rsid w:val="007704C3"/>
    <w:rsid w:val="00771D2D"/>
    <w:rsid w:val="007836AD"/>
    <w:rsid w:val="00792D22"/>
    <w:rsid w:val="00795830"/>
    <w:rsid w:val="007C3475"/>
    <w:rsid w:val="007C347F"/>
    <w:rsid w:val="007C4588"/>
    <w:rsid w:val="007C51AF"/>
    <w:rsid w:val="007C55B5"/>
    <w:rsid w:val="007C6E01"/>
    <w:rsid w:val="007F252C"/>
    <w:rsid w:val="007F30EB"/>
    <w:rsid w:val="00803C72"/>
    <w:rsid w:val="00804C33"/>
    <w:rsid w:val="00804C84"/>
    <w:rsid w:val="008120C4"/>
    <w:rsid w:val="00813595"/>
    <w:rsid w:val="00815672"/>
    <w:rsid w:val="008159F6"/>
    <w:rsid w:val="0082732E"/>
    <w:rsid w:val="00835858"/>
    <w:rsid w:val="008368A6"/>
    <w:rsid w:val="00836D57"/>
    <w:rsid w:val="008454A6"/>
    <w:rsid w:val="00846829"/>
    <w:rsid w:val="0085309F"/>
    <w:rsid w:val="0085615B"/>
    <w:rsid w:val="00862E03"/>
    <w:rsid w:val="00867577"/>
    <w:rsid w:val="00867F5A"/>
    <w:rsid w:val="008807A9"/>
    <w:rsid w:val="00880840"/>
    <w:rsid w:val="00885C28"/>
    <w:rsid w:val="0089343F"/>
    <w:rsid w:val="0089730F"/>
    <w:rsid w:val="008A2EC6"/>
    <w:rsid w:val="008A389E"/>
    <w:rsid w:val="008A4BAD"/>
    <w:rsid w:val="008A733D"/>
    <w:rsid w:val="008B1D77"/>
    <w:rsid w:val="008B1F7A"/>
    <w:rsid w:val="008D5039"/>
    <w:rsid w:val="008F04E0"/>
    <w:rsid w:val="008F57ED"/>
    <w:rsid w:val="00902F06"/>
    <w:rsid w:val="009063AA"/>
    <w:rsid w:val="00914F3D"/>
    <w:rsid w:val="00915ABF"/>
    <w:rsid w:val="00917D68"/>
    <w:rsid w:val="00921A16"/>
    <w:rsid w:val="00921F05"/>
    <w:rsid w:val="00922893"/>
    <w:rsid w:val="00922A21"/>
    <w:rsid w:val="0092702D"/>
    <w:rsid w:val="009278CA"/>
    <w:rsid w:val="00930D28"/>
    <w:rsid w:val="0093236F"/>
    <w:rsid w:val="0093652F"/>
    <w:rsid w:val="009522AD"/>
    <w:rsid w:val="00956B9A"/>
    <w:rsid w:val="009611F8"/>
    <w:rsid w:val="0096434D"/>
    <w:rsid w:val="009666D5"/>
    <w:rsid w:val="009669DE"/>
    <w:rsid w:val="00975240"/>
    <w:rsid w:val="00982D80"/>
    <w:rsid w:val="009853EE"/>
    <w:rsid w:val="00987E6C"/>
    <w:rsid w:val="009A0B3B"/>
    <w:rsid w:val="009A3A3A"/>
    <w:rsid w:val="009A59B5"/>
    <w:rsid w:val="009A778A"/>
    <w:rsid w:val="009B5DD7"/>
    <w:rsid w:val="009B6EA4"/>
    <w:rsid w:val="009C41D8"/>
    <w:rsid w:val="009D176A"/>
    <w:rsid w:val="009D3F0B"/>
    <w:rsid w:val="009E7681"/>
    <w:rsid w:val="009F1893"/>
    <w:rsid w:val="009F47FC"/>
    <w:rsid w:val="00A01BF5"/>
    <w:rsid w:val="00A207ED"/>
    <w:rsid w:val="00A26C34"/>
    <w:rsid w:val="00A27071"/>
    <w:rsid w:val="00A31CE3"/>
    <w:rsid w:val="00A320A1"/>
    <w:rsid w:val="00A3246F"/>
    <w:rsid w:val="00A33A4F"/>
    <w:rsid w:val="00A37D4B"/>
    <w:rsid w:val="00A50B3C"/>
    <w:rsid w:val="00A541BC"/>
    <w:rsid w:val="00A5537B"/>
    <w:rsid w:val="00A56D50"/>
    <w:rsid w:val="00A74167"/>
    <w:rsid w:val="00A83E28"/>
    <w:rsid w:val="00A84365"/>
    <w:rsid w:val="00A852F0"/>
    <w:rsid w:val="00AA3DAC"/>
    <w:rsid w:val="00AA7CAD"/>
    <w:rsid w:val="00AC49F2"/>
    <w:rsid w:val="00AC515D"/>
    <w:rsid w:val="00AC526A"/>
    <w:rsid w:val="00AC6883"/>
    <w:rsid w:val="00AC77DB"/>
    <w:rsid w:val="00AF51CD"/>
    <w:rsid w:val="00AF589D"/>
    <w:rsid w:val="00B01CD9"/>
    <w:rsid w:val="00B02A52"/>
    <w:rsid w:val="00B1083A"/>
    <w:rsid w:val="00B13196"/>
    <w:rsid w:val="00B218C6"/>
    <w:rsid w:val="00B268E5"/>
    <w:rsid w:val="00B31467"/>
    <w:rsid w:val="00B32E09"/>
    <w:rsid w:val="00B451FD"/>
    <w:rsid w:val="00B45940"/>
    <w:rsid w:val="00B51C43"/>
    <w:rsid w:val="00B6036F"/>
    <w:rsid w:val="00B603CF"/>
    <w:rsid w:val="00B605A6"/>
    <w:rsid w:val="00B61776"/>
    <w:rsid w:val="00B63EDC"/>
    <w:rsid w:val="00B821BA"/>
    <w:rsid w:val="00B82C23"/>
    <w:rsid w:val="00B855EE"/>
    <w:rsid w:val="00B96FC9"/>
    <w:rsid w:val="00BA1B4E"/>
    <w:rsid w:val="00BB503A"/>
    <w:rsid w:val="00BB5CA6"/>
    <w:rsid w:val="00BD7C26"/>
    <w:rsid w:val="00BE748F"/>
    <w:rsid w:val="00C01612"/>
    <w:rsid w:val="00C07F17"/>
    <w:rsid w:val="00C12BF7"/>
    <w:rsid w:val="00C15AFC"/>
    <w:rsid w:val="00C25F17"/>
    <w:rsid w:val="00C33190"/>
    <w:rsid w:val="00C3509A"/>
    <w:rsid w:val="00C35C60"/>
    <w:rsid w:val="00C42B97"/>
    <w:rsid w:val="00C503D5"/>
    <w:rsid w:val="00C61527"/>
    <w:rsid w:val="00C848AB"/>
    <w:rsid w:val="00C92C9D"/>
    <w:rsid w:val="00C941EE"/>
    <w:rsid w:val="00CA0ACA"/>
    <w:rsid w:val="00CA35B5"/>
    <w:rsid w:val="00CA4AAC"/>
    <w:rsid w:val="00CB084A"/>
    <w:rsid w:val="00CB1915"/>
    <w:rsid w:val="00CB450E"/>
    <w:rsid w:val="00CB7184"/>
    <w:rsid w:val="00CC2375"/>
    <w:rsid w:val="00CC5A5E"/>
    <w:rsid w:val="00CE1056"/>
    <w:rsid w:val="00CF6F63"/>
    <w:rsid w:val="00D10F45"/>
    <w:rsid w:val="00D21EF3"/>
    <w:rsid w:val="00D2378D"/>
    <w:rsid w:val="00D277BD"/>
    <w:rsid w:val="00D31321"/>
    <w:rsid w:val="00D317BF"/>
    <w:rsid w:val="00D338EE"/>
    <w:rsid w:val="00D34093"/>
    <w:rsid w:val="00D44F5B"/>
    <w:rsid w:val="00D6162E"/>
    <w:rsid w:val="00D64F78"/>
    <w:rsid w:val="00D764D5"/>
    <w:rsid w:val="00D85CD9"/>
    <w:rsid w:val="00DA17CB"/>
    <w:rsid w:val="00DA4919"/>
    <w:rsid w:val="00DA5DDE"/>
    <w:rsid w:val="00DB11A8"/>
    <w:rsid w:val="00DC6596"/>
    <w:rsid w:val="00DD3E96"/>
    <w:rsid w:val="00DD4EFA"/>
    <w:rsid w:val="00DE10D2"/>
    <w:rsid w:val="00DE22D2"/>
    <w:rsid w:val="00DF4672"/>
    <w:rsid w:val="00DF7476"/>
    <w:rsid w:val="00E12286"/>
    <w:rsid w:val="00E2251F"/>
    <w:rsid w:val="00E22B6A"/>
    <w:rsid w:val="00E306BB"/>
    <w:rsid w:val="00E31C1A"/>
    <w:rsid w:val="00E32312"/>
    <w:rsid w:val="00E34BC3"/>
    <w:rsid w:val="00E52184"/>
    <w:rsid w:val="00E61F8A"/>
    <w:rsid w:val="00E64748"/>
    <w:rsid w:val="00E67FD5"/>
    <w:rsid w:val="00E7542C"/>
    <w:rsid w:val="00E77D62"/>
    <w:rsid w:val="00E8772E"/>
    <w:rsid w:val="00E9050F"/>
    <w:rsid w:val="00E94CE0"/>
    <w:rsid w:val="00E94D9E"/>
    <w:rsid w:val="00EA0BB7"/>
    <w:rsid w:val="00EA1F29"/>
    <w:rsid w:val="00EA5735"/>
    <w:rsid w:val="00EB01C2"/>
    <w:rsid w:val="00EB3802"/>
    <w:rsid w:val="00ED1FD0"/>
    <w:rsid w:val="00ED319D"/>
    <w:rsid w:val="00ED6F29"/>
    <w:rsid w:val="00EE70AC"/>
    <w:rsid w:val="00EF1751"/>
    <w:rsid w:val="00EF2E28"/>
    <w:rsid w:val="00EF46B3"/>
    <w:rsid w:val="00EF58A6"/>
    <w:rsid w:val="00F022AC"/>
    <w:rsid w:val="00F06811"/>
    <w:rsid w:val="00F20E90"/>
    <w:rsid w:val="00F25013"/>
    <w:rsid w:val="00F25B1B"/>
    <w:rsid w:val="00F31D82"/>
    <w:rsid w:val="00F43DC1"/>
    <w:rsid w:val="00F44B09"/>
    <w:rsid w:val="00F50D65"/>
    <w:rsid w:val="00F6151C"/>
    <w:rsid w:val="00F6394E"/>
    <w:rsid w:val="00F81073"/>
    <w:rsid w:val="00F86996"/>
    <w:rsid w:val="00F87272"/>
    <w:rsid w:val="00FA217A"/>
    <w:rsid w:val="00FB2F6C"/>
    <w:rsid w:val="00FB5525"/>
    <w:rsid w:val="00FC5897"/>
    <w:rsid w:val="00FE08F1"/>
    <w:rsid w:val="00FE2389"/>
    <w:rsid w:val="00FE4990"/>
    <w:rsid w:val="00FE567B"/>
    <w:rsid w:val="00FF2C36"/>
    <w:rsid w:val="00FF53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A910F"/>
  <w15:chartTrackingRefBased/>
  <w15:docId w15:val="{1EBE0EC1-4076-4BB0-ACA4-B5255274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321"/>
  </w:style>
  <w:style w:type="paragraph" w:styleId="Footer">
    <w:name w:val="footer"/>
    <w:basedOn w:val="Normal"/>
    <w:link w:val="FooterChar"/>
    <w:uiPriority w:val="99"/>
    <w:unhideWhenUsed/>
    <w:rsid w:val="00D31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321"/>
  </w:style>
  <w:style w:type="paragraph" w:styleId="FootnoteText">
    <w:name w:val="footnote text"/>
    <w:basedOn w:val="Normal"/>
    <w:link w:val="FootnoteTextChar"/>
    <w:uiPriority w:val="99"/>
    <w:semiHidden/>
    <w:unhideWhenUsed/>
    <w:rsid w:val="00232C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2CFE"/>
    <w:rPr>
      <w:sz w:val="20"/>
      <w:szCs w:val="20"/>
    </w:rPr>
  </w:style>
  <w:style w:type="character" w:styleId="FootnoteReference">
    <w:name w:val="footnote reference"/>
    <w:basedOn w:val="DefaultParagraphFont"/>
    <w:uiPriority w:val="99"/>
    <w:semiHidden/>
    <w:unhideWhenUsed/>
    <w:rsid w:val="00232CFE"/>
    <w:rPr>
      <w:vertAlign w:val="superscript"/>
    </w:rPr>
  </w:style>
  <w:style w:type="paragraph" w:styleId="ListParagraph">
    <w:name w:val="List Paragraph"/>
    <w:basedOn w:val="Normal"/>
    <w:uiPriority w:val="34"/>
    <w:qFormat/>
    <w:rsid w:val="00BB5CA6"/>
    <w:pPr>
      <w:ind w:left="720"/>
      <w:contextualSpacing/>
    </w:pPr>
  </w:style>
  <w:style w:type="paragraph" w:customStyle="1" w:styleId="Textbody">
    <w:name w:val="Text body"/>
    <w:basedOn w:val="Normal"/>
    <w:uiPriority w:val="99"/>
    <w:rsid w:val="00580F10"/>
    <w:pPr>
      <w:widowControl w:val="0"/>
      <w:autoSpaceDE w:val="0"/>
      <w:autoSpaceDN w:val="0"/>
      <w:adjustRightInd w:val="0"/>
      <w:spacing w:after="283" w:line="240" w:lineRule="auto"/>
    </w:pPr>
    <w:rPr>
      <w:rFonts w:ascii="Times New Roman" w:eastAsiaTheme="minorEastAsia" w:hAnsi="Times New Roman" w:cs="Times New Roman"/>
      <w:sz w:val="24"/>
      <w:szCs w:val="24"/>
      <w:lang w:eastAsia="en-ZA"/>
    </w:rPr>
  </w:style>
  <w:style w:type="paragraph" w:customStyle="1" w:styleId="Heading">
    <w:name w:val="Heading"/>
    <w:basedOn w:val="Normal"/>
    <w:next w:val="Textbody"/>
    <w:uiPriority w:val="99"/>
    <w:rsid w:val="00580F10"/>
    <w:pPr>
      <w:keepNext/>
      <w:widowControl w:val="0"/>
      <w:autoSpaceDE w:val="0"/>
      <w:autoSpaceDN w:val="0"/>
      <w:adjustRightInd w:val="0"/>
      <w:spacing w:before="240" w:after="283" w:line="240" w:lineRule="auto"/>
    </w:pPr>
    <w:rPr>
      <w:rFonts w:ascii="Albany" w:eastAsia="Times New Roman" w:hAnsi="HG Mincho Light J" w:cs="Albany"/>
      <w:sz w:val="28"/>
      <w:szCs w:val="28"/>
      <w:lang w:eastAsia="en-ZA"/>
    </w:rPr>
  </w:style>
  <w:style w:type="paragraph" w:styleId="Revision">
    <w:name w:val="Revision"/>
    <w:hidden/>
    <w:uiPriority w:val="99"/>
    <w:semiHidden/>
    <w:rsid w:val="00C350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CE205-46A4-4D5F-9333-BF59E175B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6173</Words>
  <Characters>35188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Mvuzo Notyesi</dc:creator>
  <cp:keywords/>
  <dc:description/>
  <cp:lastModifiedBy>Mary Bruce</cp:lastModifiedBy>
  <cp:revision>3</cp:revision>
  <cp:lastPrinted>2024-03-14T14:47:00Z</cp:lastPrinted>
  <dcterms:created xsi:type="dcterms:W3CDTF">2024-03-15T08:37:00Z</dcterms:created>
  <dcterms:modified xsi:type="dcterms:W3CDTF">2024-03-26T16:33:00Z</dcterms:modified>
</cp:coreProperties>
</file>