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83641" w14:textId="77777777" w:rsidR="00056342" w:rsidRDefault="00C37E09">
      <w:pPr>
        <w:pStyle w:val="BodyA"/>
        <w:jc w:val="center"/>
      </w:pPr>
      <w:r>
        <w:rPr>
          <w:noProof/>
        </w:rPr>
        <w:drawing>
          <wp:inline distT="0" distB="0" distL="0" distR="0" wp14:anchorId="79827F47" wp14:editId="1E59AEDF">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990600" cy="990600"/>
                    </a:xfrm>
                    <a:prstGeom prst="rect">
                      <a:avLst/>
                    </a:prstGeom>
                    <a:ln w="12700" cap="flat">
                      <a:noFill/>
                      <a:miter lim="400000"/>
                    </a:ln>
                    <a:effectLst/>
                  </pic:spPr>
                </pic:pic>
              </a:graphicData>
            </a:graphic>
          </wp:inline>
        </w:drawing>
      </w:r>
    </w:p>
    <w:p w14:paraId="3E162112" w14:textId="77777777" w:rsidR="00056342" w:rsidRDefault="00056342">
      <w:pPr>
        <w:pStyle w:val="BodyA"/>
        <w:jc w:val="center"/>
      </w:pPr>
    </w:p>
    <w:p w14:paraId="71FF97FD" w14:textId="77777777" w:rsidR="00056342" w:rsidRDefault="00C37E09">
      <w:pPr>
        <w:pStyle w:val="BodyA"/>
        <w:widowControl w:val="0"/>
        <w:tabs>
          <w:tab w:val="right" w:pos="9340"/>
        </w:tabs>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IN THE HIGH COURT OF SOUTH AFRICA</w:t>
      </w:r>
    </w:p>
    <w:p w14:paraId="7576A6B0" w14:textId="77777777" w:rsidR="00056342" w:rsidRDefault="00C37E09">
      <w:pPr>
        <w:pStyle w:val="BodyA"/>
        <w:widowControl w:val="0"/>
        <w:tabs>
          <w:tab w:val="right" w:pos="9340"/>
        </w:tabs>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(EASTERN CAPE DIVISION, MAKHANDA)</w:t>
      </w:r>
    </w:p>
    <w:p w14:paraId="63E5AFC9" w14:textId="77777777" w:rsidR="00056342" w:rsidRDefault="00C37E09">
      <w:pPr>
        <w:pStyle w:val="BodyA"/>
        <w:widowControl w:val="0"/>
        <w:tabs>
          <w:tab w:val="right" w:pos="9340"/>
        </w:tabs>
        <w:spacing w:line="360"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Case no: CA&amp;R 92/2024</w:t>
      </w:r>
    </w:p>
    <w:p w14:paraId="7D95A9FA" w14:textId="77777777" w:rsidR="00056342" w:rsidRDefault="00056342">
      <w:pPr>
        <w:pStyle w:val="BodyAA"/>
        <w:spacing w:line="360" w:lineRule="auto"/>
        <w:jc w:val="both"/>
        <w:rPr>
          <w:rFonts w:ascii="Times New Roman" w:eastAsia="Times New Roman" w:hAnsi="Times New Roman" w:cs="Times New Roman"/>
          <w:sz w:val="28"/>
          <w:szCs w:val="28"/>
        </w:rPr>
      </w:pPr>
    </w:p>
    <w:p w14:paraId="71A6D49A" w14:textId="77777777" w:rsidR="00056342" w:rsidRDefault="00C37E09">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283710A8" w14:textId="77777777" w:rsidR="00056342" w:rsidRDefault="00056342">
      <w:pPr>
        <w:pStyle w:val="BodyAA"/>
        <w:spacing w:line="360" w:lineRule="auto"/>
        <w:jc w:val="both"/>
        <w:rPr>
          <w:rFonts w:ascii="Times New Roman" w:eastAsia="Times New Roman" w:hAnsi="Times New Roman" w:cs="Times New Roman"/>
          <w:sz w:val="28"/>
          <w:szCs w:val="28"/>
        </w:rPr>
      </w:pPr>
    </w:p>
    <w:p w14:paraId="6386C87B" w14:textId="77777777" w:rsidR="00056342" w:rsidRDefault="00C37E0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NKOSIKHONA ROGERS WILLIAMS</w:t>
      </w:r>
      <w:r>
        <w:rPr>
          <w:rFonts w:ascii="Times New Roman" w:hAnsi="Times New Roman"/>
          <w:sz w:val="28"/>
          <w:szCs w:val="28"/>
        </w:rPr>
        <w:t xml:space="preserve">   </w:t>
      </w:r>
      <w:r>
        <w:rPr>
          <w:rFonts w:ascii="Times New Roman" w:hAnsi="Times New Roman"/>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Times New Roman" w:hAnsi="Times New Roman"/>
          <w:sz w:val="28"/>
          <w:szCs w:val="28"/>
        </w:rPr>
        <w:t xml:space="preserve">Appellant                                                                                                   </w:t>
      </w:r>
    </w:p>
    <w:p w14:paraId="44C61384" w14:textId="77777777" w:rsidR="00056342" w:rsidRDefault="00056342">
      <w:pPr>
        <w:pStyle w:val="BodyAA"/>
        <w:spacing w:line="360" w:lineRule="auto"/>
        <w:jc w:val="both"/>
        <w:rPr>
          <w:rFonts w:ascii="Times New Roman" w:eastAsia="Times New Roman" w:hAnsi="Times New Roman" w:cs="Times New Roman"/>
          <w:sz w:val="28"/>
          <w:szCs w:val="28"/>
        </w:rPr>
      </w:pPr>
    </w:p>
    <w:p w14:paraId="7DE779F4" w14:textId="77777777" w:rsidR="00056342" w:rsidRDefault="00C37E09">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343E7F07" w14:textId="77777777" w:rsidR="00056342" w:rsidRDefault="00056342">
      <w:pPr>
        <w:pStyle w:val="BodyAA"/>
        <w:spacing w:line="360" w:lineRule="auto"/>
        <w:jc w:val="both"/>
        <w:rPr>
          <w:rFonts w:ascii="Times New Roman" w:eastAsia="Times New Roman" w:hAnsi="Times New Roman" w:cs="Times New Roman"/>
          <w:b/>
          <w:bCs/>
          <w:sz w:val="28"/>
          <w:szCs w:val="28"/>
        </w:rPr>
      </w:pPr>
    </w:p>
    <w:p w14:paraId="5C9BECE8" w14:textId="77777777" w:rsidR="00056342" w:rsidRDefault="00C37E0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THE STATE</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Respondent  </w:t>
      </w:r>
      <w:r>
        <w:rPr>
          <w:rFonts w:ascii="Times New Roman" w:hAnsi="Times New Roman"/>
          <w:b/>
          <w:bCs/>
          <w:sz w:val="28"/>
          <w:szCs w:val="28"/>
        </w:rPr>
        <w:t xml:space="preserve">   </w:t>
      </w:r>
      <w:r>
        <w:rPr>
          <w:rFonts w:ascii="Times New Roman" w:hAnsi="Times New Roman"/>
          <w:sz w:val="28"/>
          <w:szCs w:val="28"/>
        </w:rPr>
        <w:t xml:space="preserve">                                                                  </w:t>
      </w:r>
    </w:p>
    <w:p w14:paraId="64DC776A" w14:textId="77777777" w:rsidR="00056342" w:rsidRDefault="00056342">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78DE165D" w14:textId="77777777" w:rsidR="00056342" w:rsidRDefault="00056342">
      <w:pPr>
        <w:pStyle w:val="BodyAA"/>
        <w:spacing w:line="360" w:lineRule="auto"/>
        <w:jc w:val="both"/>
        <w:rPr>
          <w:rFonts w:ascii="Times New Roman" w:eastAsia="Times New Roman" w:hAnsi="Times New Roman" w:cs="Times New Roman"/>
          <w:b/>
          <w:bCs/>
          <w:sz w:val="28"/>
          <w:szCs w:val="28"/>
        </w:rPr>
      </w:pPr>
    </w:p>
    <w:p w14:paraId="7B0CED76" w14:textId="47376288" w:rsidR="00056342" w:rsidRDefault="00C37E09">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rPr>
        <w:t xml:space="preserve">BAIL APPEAL JUDGMENT </w:t>
      </w:r>
    </w:p>
    <w:p w14:paraId="39FEB57D" w14:textId="77777777" w:rsidR="00056342" w:rsidRDefault="00056342">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7B854C5B" w14:textId="77777777" w:rsidR="00056342" w:rsidRDefault="00C37E09">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GQAMANA J </w:t>
      </w:r>
    </w:p>
    <w:p w14:paraId="49F8744D" w14:textId="77777777" w:rsidR="00167C20" w:rsidRDefault="00C37E09">
      <w:pPr>
        <w:pStyle w:val="BodyB"/>
        <w:spacing w:line="360" w:lineRule="auto"/>
        <w:ind w:left="720" w:hanging="720"/>
        <w:jc w:val="both"/>
      </w:pPr>
      <w:r>
        <w:t>[1]</w:t>
      </w:r>
      <w:r>
        <w:tab/>
        <w:t>This is an appeal in terms of section 65 (1) of the Criminal Procedure Act, 51 of 1977 (the</w:t>
      </w:r>
    </w:p>
    <w:p w14:paraId="1DECF9B2" w14:textId="77777777" w:rsidR="00167C20" w:rsidRDefault="00C37E09">
      <w:pPr>
        <w:pStyle w:val="BodyB"/>
        <w:spacing w:line="360" w:lineRule="auto"/>
        <w:ind w:left="720" w:hanging="720"/>
        <w:jc w:val="both"/>
      </w:pPr>
      <w:r>
        <w:t xml:space="preserve">CPA) against refusal by the magistrate to admit the appellant to bail. The appeal is opposed by the </w:t>
      </w:r>
    </w:p>
    <w:p w14:paraId="43CF37FE" w14:textId="5B927DB2" w:rsidR="00056342" w:rsidRDefault="00C37E09">
      <w:pPr>
        <w:pStyle w:val="BodyB"/>
        <w:spacing w:line="360" w:lineRule="auto"/>
        <w:ind w:left="720" w:hanging="720"/>
        <w:jc w:val="both"/>
      </w:pPr>
      <w:r>
        <w:t>State.</w:t>
      </w:r>
    </w:p>
    <w:p w14:paraId="7FA3EBB4" w14:textId="77777777" w:rsidR="00056342" w:rsidRDefault="00056342">
      <w:pPr>
        <w:pStyle w:val="BodyB"/>
        <w:spacing w:line="360" w:lineRule="auto"/>
        <w:ind w:left="720" w:hanging="720"/>
        <w:jc w:val="both"/>
      </w:pPr>
    </w:p>
    <w:p w14:paraId="0D56174B" w14:textId="77777777" w:rsidR="00167C20" w:rsidRDefault="00C37E09">
      <w:pPr>
        <w:pStyle w:val="BodyB"/>
        <w:spacing w:line="360" w:lineRule="auto"/>
        <w:ind w:left="720" w:hanging="720"/>
        <w:jc w:val="both"/>
      </w:pPr>
      <w:r>
        <w:t>[2]</w:t>
      </w:r>
      <w:r>
        <w:tab/>
        <w:t xml:space="preserve">In terms of section 65 (4) of the CPA, this Court shall not set aside the decision against </w:t>
      </w:r>
    </w:p>
    <w:p w14:paraId="31332833" w14:textId="77777777" w:rsidR="00167C20" w:rsidRDefault="00C37E09">
      <w:pPr>
        <w:pStyle w:val="BodyB"/>
        <w:spacing w:line="360" w:lineRule="auto"/>
        <w:ind w:left="720" w:hanging="720"/>
        <w:jc w:val="both"/>
      </w:pPr>
      <w:r>
        <w:lastRenderedPageBreak/>
        <w:t xml:space="preserve">which the appeal is brought, unless it is satisfied that the decision was wrong.  The powers of this </w:t>
      </w:r>
    </w:p>
    <w:p w14:paraId="379A50DA" w14:textId="77777777" w:rsidR="00167C20" w:rsidRDefault="00C37E09">
      <w:pPr>
        <w:pStyle w:val="BodyB"/>
        <w:spacing w:line="360" w:lineRule="auto"/>
        <w:ind w:left="720" w:hanging="720"/>
        <w:jc w:val="both"/>
      </w:pPr>
      <w:r>
        <w:t xml:space="preserve">court to interfere with the decision of the magistrate are largely limited.  Although this Court may </w:t>
      </w:r>
    </w:p>
    <w:p w14:paraId="7E55510E" w14:textId="77777777" w:rsidR="00167C20" w:rsidRDefault="00C37E09">
      <w:pPr>
        <w:pStyle w:val="BodyB"/>
        <w:spacing w:line="360" w:lineRule="auto"/>
        <w:ind w:left="720" w:hanging="720"/>
        <w:jc w:val="both"/>
      </w:pPr>
      <w:r>
        <w:t xml:space="preserve">have a different </w:t>
      </w:r>
      <w:r w:rsidR="00102C4E">
        <w:t>view,</w:t>
      </w:r>
      <w:r>
        <w:t xml:space="preserve"> but it should not substitute its own views for that of the magistrate, because </w:t>
      </w:r>
    </w:p>
    <w:p w14:paraId="4E964FD3" w14:textId="361C7F88" w:rsidR="00056342" w:rsidRDefault="00C37E09">
      <w:pPr>
        <w:pStyle w:val="BodyB"/>
        <w:spacing w:line="360" w:lineRule="auto"/>
        <w:ind w:left="720" w:hanging="720"/>
        <w:jc w:val="both"/>
      </w:pPr>
      <w:r>
        <w:t>that would be an unfair interference with the magistrate’s exercise of discretion.</w:t>
      </w:r>
      <w:r>
        <w:rPr>
          <w:vertAlign w:val="superscript"/>
        </w:rPr>
        <w:footnoteReference w:id="2"/>
      </w:r>
      <w:r>
        <w:t xml:space="preserve">  </w:t>
      </w:r>
    </w:p>
    <w:p w14:paraId="7781402B" w14:textId="77777777" w:rsidR="00056342" w:rsidRDefault="00056342">
      <w:pPr>
        <w:pStyle w:val="BodyB"/>
        <w:spacing w:line="360" w:lineRule="auto"/>
        <w:ind w:left="720" w:hanging="720"/>
        <w:jc w:val="both"/>
      </w:pPr>
    </w:p>
    <w:p w14:paraId="19829BC6" w14:textId="77777777" w:rsidR="00167C20" w:rsidRDefault="00C37E09" w:rsidP="00167C20">
      <w:pPr>
        <w:pStyle w:val="BodyB"/>
        <w:spacing w:line="360" w:lineRule="auto"/>
        <w:ind w:left="720" w:hanging="720"/>
        <w:jc w:val="both"/>
      </w:pPr>
      <w:r>
        <w:t>[3]</w:t>
      </w:r>
      <w:r w:rsidR="00102C4E">
        <w:tab/>
      </w:r>
      <w:r>
        <w:t>In the matter at hand, the appellant is charged with a Schedule 5 offence (murder).</w:t>
      </w:r>
      <w:r w:rsidR="00167C20">
        <w:t xml:space="preserve"> </w:t>
      </w:r>
    </w:p>
    <w:p w14:paraId="3A4A5BF8" w14:textId="65C6DFBF" w:rsidR="00167C20" w:rsidRDefault="00C37E09" w:rsidP="00167C20">
      <w:pPr>
        <w:pStyle w:val="BodyB"/>
        <w:spacing w:line="360" w:lineRule="auto"/>
        <w:ind w:left="720" w:hanging="720"/>
        <w:jc w:val="both"/>
      </w:pPr>
      <w:r>
        <w:t xml:space="preserve">According to the provisions of section 60 (11) (b) of the CPA, the onus is upon the appellant to </w:t>
      </w:r>
    </w:p>
    <w:p w14:paraId="3487AEC1" w14:textId="5CF4E6E2" w:rsidR="00056342" w:rsidRDefault="00C37E09">
      <w:pPr>
        <w:pStyle w:val="BodyB"/>
        <w:spacing w:line="360" w:lineRule="auto"/>
        <w:ind w:left="720" w:hanging="720"/>
        <w:jc w:val="both"/>
      </w:pPr>
      <w:r>
        <w:t xml:space="preserve">adduce evidence which satisfies the court that the interests of justice permit his release. </w:t>
      </w:r>
    </w:p>
    <w:p w14:paraId="5447E2C7" w14:textId="77777777" w:rsidR="00056342" w:rsidRDefault="00056342">
      <w:pPr>
        <w:pStyle w:val="BodyB"/>
        <w:spacing w:line="360" w:lineRule="auto"/>
        <w:ind w:left="720" w:hanging="720"/>
        <w:jc w:val="both"/>
      </w:pPr>
    </w:p>
    <w:p w14:paraId="5E110C61" w14:textId="77777777" w:rsidR="00167C20" w:rsidRDefault="00C37E09">
      <w:pPr>
        <w:pStyle w:val="BodyB"/>
        <w:spacing w:line="360" w:lineRule="auto"/>
        <w:ind w:left="720" w:hanging="720"/>
        <w:jc w:val="both"/>
      </w:pPr>
      <w:r>
        <w:t>[4]</w:t>
      </w:r>
      <w:r>
        <w:tab/>
        <w:t xml:space="preserve">At the bail hearing the appellant presented his evidence in the standard form affidavit.   </w:t>
      </w:r>
      <w:r w:rsidR="00102C4E">
        <w:t xml:space="preserve">His </w:t>
      </w:r>
    </w:p>
    <w:p w14:paraId="6E993E65" w14:textId="77777777" w:rsidR="00167C20" w:rsidRDefault="00102C4E">
      <w:pPr>
        <w:pStyle w:val="BodyB"/>
        <w:spacing w:line="360" w:lineRule="auto"/>
        <w:ind w:left="720" w:hanging="720"/>
        <w:jc w:val="both"/>
      </w:pPr>
      <w:r>
        <w:t>personal</w:t>
      </w:r>
      <w:r w:rsidR="00C37E09">
        <w:t xml:space="preserve"> circumstances as set out therein are as follows</w:t>
      </w:r>
      <w:r>
        <w:t>:</w:t>
      </w:r>
      <w:r w:rsidR="00C37E09">
        <w:t xml:space="preserve"> he was 33 years of age and unmarried.  </w:t>
      </w:r>
    </w:p>
    <w:p w14:paraId="59C24B02" w14:textId="77777777" w:rsidR="00167C20" w:rsidRDefault="00C37E09">
      <w:pPr>
        <w:pStyle w:val="BodyB"/>
        <w:spacing w:line="360" w:lineRule="auto"/>
        <w:ind w:left="720" w:hanging="720"/>
        <w:jc w:val="both"/>
      </w:pPr>
      <w:r>
        <w:t xml:space="preserve">He has three minor children.  He was gainfully employed as a school transport driver earning an </w:t>
      </w:r>
    </w:p>
    <w:p w14:paraId="472227AD" w14:textId="77777777" w:rsidR="00167C20" w:rsidRDefault="00C37E09">
      <w:pPr>
        <w:pStyle w:val="BodyB"/>
        <w:spacing w:line="360" w:lineRule="auto"/>
        <w:ind w:left="720" w:hanging="720"/>
        <w:jc w:val="both"/>
      </w:pPr>
      <w:r>
        <w:t xml:space="preserve">income of R1 500 per month.  He used his income to support his children.  He has no pending </w:t>
      </w:r>
    </w:p>
    <w:p w14:paraId="464D9463" w14:textId="77777777" w:rsidR="00167C20" w:rsidRDefault="00C37E09" w:rsidP="00167C20">
      <w:pPr>
        <w:pStyle w:val="BodyB"/>
        <w:spacing w:line="360" w:lineRule="auto"/>
        <w:ind w:left="720" w:hanging="720"/>
        <w:jc w:val="both"/>
      </w:pPr>
      <w:r>
        <w:t>cases, or outstanding warrants of arrest.  He has no previous conviction.  He handed himself over</w:t>
      </w:r>
    </w:p>
    <w:p w14:paraId="77A05DA4" w14:textId="77777777" w:rsidR="00167C20" w:rsidRDefault="00C37E09" w:rsidP="00167C20">
      <w:pPr>
        <w:pStyle w:val="BodyB"/>
        <w:spacing w:line="360" w:lineRule="auto"/>
        <w:ind w:left="720" w:hanging="720"/>
        <w:jc w:val="both"/>
      </w:pPr>
      <w:r>
        <w:t>to the police and was arrested on 2 December 2023. He intends to plead not guilty</w:t>
      </w:r>
      <w:r w:rsidR="00102C4E">
        <w:t xml:space="preserve">.  </w:t>
      </w:r>
      <w:r>
        <w:t xml:space="preserve">He confirmed </w:t>
      </w:r>
    </w:p>
    <w:p w14:paraId="64D3BCC4" w14:textId="294282CB" w:rsidR="00056342" w:rsidRDefault="00C37E09" w:rsidP="00167C20">
      <w:pPr>
        <w:pStyle w:val="BodyB"/>
        <w:spacing w:line="360" w:lineRule="auto"/>
        <w:ind w:left="720" w:hanging="720"/>
        <w:jc w:val="both"/>
      </w:pPr>
      <w:r>
        <w:t>under oath that, he had made no threats to anyone, nor did he harbor resentment against anybody.</w:t>
      </w:r>
    </w:p>
    <w:p w14:paraId="29FD8831" w14:textId="77777777" w:rsidR="00056342" w:rsidRDefault="00056342">
      <w:pPr>
        <w:pStyle w:val="BodyB"/>
        <w:spacing w:line="360" w:lineRule="auto"/>
        <w:ind w:left="720" w:hanging="720"/>
        <w:jc w:val="both"/>
      </w:pPr>
    </w:p>
    <w:p w14:paraId="3D5B1741" w14:textId="77777777" w:rsidR="00167C20" w:rsidRDefault="00C37E09">
      <w:pPr>
        <w:pStyle w:val="BodyB"/>
        <w:spacing w:line="360" w:lineRule="auto"/>
        <w:ind w:left="720" w:hanging="720"/>
        <w:jc w:val="both"/>
      </w:pPr>
      <w:r>
        <w:t>[5]</w:t>
      </w:r>
      <w:r w:rsidR="00102C4E">
        <w:tab/>
      </w:r>
      <w:r>
        <w:t xml:space="preserve">However, the main basis for the State to oppose his bail application is that the appellant </w:t>
      </w:r>
    </w:p>
    <w:p w14:paraId="5F1B21E5" w14:textId="77777777" w:rsidR="00167C20" w:rsidRDefault="00C37E09">
      <w:pPr>
        <w:pStyle w:val="BodyB"/>
        <w:spacing w:line="360" w:lineRule="auto"/>
        <w:ind w:left="720" w:hanging="720"/>
        <w:jc w:val="both"/>
      </w:pPr>
      <w:r>
        <w:t xml:space="preserve">had threatened witnesses. Captain Fete, in his affidavit, </w:t>
      </w:r>
      <w:proofErr w:type="gramStart"/>
      <w:r>
        <w:t>made an allegation that</w:t>
      </w:r>
      <w:proofErr w:type="gramEnd"/>
      <w:r>
        <w:t xml:space="preserve"> information came </w:t>
      </w:r>
    </w:p>
    <w:p w14:paraId="4E002F4B" w14:textId="77777777" w:rsidR="00167C20" w:rsidRDefault="00C37E09">
      <w:pPr>
        <w:pStyle w:val="BodyB"/>
        <w:spacing w:line="360" w:lineRule="auto"/>
        <w:ind w:left="720" w:hanging="720"/>
        <w:jc w:val="both"/>
      </w:pPr>
      <w:r>
        <w:t xml:space="preserve">to him that the appellant threatened witnesses. That evidence was in conflict with the allegations </w:t>
      </w:r>
    </w:p>
    <w:p w14:paraId="7979AF7F" w14:textId="77777777" w:rsidR="00167C20" w:rsidRDefault="00C37E09">
      <w:pPr>
        <w:pStyle w:val="BodyB"/>
        <w:spacing w:line="360" w:lineRule="auto"/>
        <w:ind w:left="720" w:hanging="720"/>
        <w:jc w:val="both"/>
      </w:pPr>
      <w:r>
        <w:t xml:space="preserve">made by the appellant in his affidavit. Not much evidence was presented about this alleged threat </w:t>
      </w:r>
    </w:p>
    <w:p w14:paraId="7E5E833C" w14:textId="78233373" w:rsidR="00056342" w:rsidRDefault="00C37E09">
      <w:pPr>
        <w:pStyle w:val="BodyB"/>
        <w:spacing w:line="360" w:lineRule="auto"/>
        <w:ind w:left="720" w:hanging="720"/>
        <w:jc w:val="both"/>
      </w:pPr>
      <w:r>
        <w:t xml:space="preserve">to witnesses. Apparently, the witnesses reside in the same vicinity with the appellant. </w:t>
      </w:r>
    </w:p>
    <w:p w14:paraId="0ADD80EC" w14:textId="77777777" w:rsidR="00056342" w:rsidRDefault="00056342">
      <w:pPr>
        <w:pStyle w:val="BodyB"/>
        <w:spacing w:line="360" w:lineRule="auto"/>
        <w:ind w:left="720" w:hanging="720"/>
        <w:jc w:val="both"/>
      </w:pPr>
    </w:p>
    <w:p w14:paraId="7C264751" w14:textId="77777777" w:rsidR="00167C20" w:rsidRDefault="00C37E09">
      <w:pPr>
        <w:pStyle w:val="BodyB"/>
        <w:spacing w:line="360" w:lineRule="auto"/>
        <w:ind w:left="720" w:hanging="720"/>
        <w:jc w:val="both"/>
      </w:pPr>
      <w:r>
        <w:t>[6]</w:t>
      </w:r>
      <w:r>
        <w:tab/>
        <w:t xml:space="preserve">The reasons for refusing bail are scant but clear.  The magistrate considered the prevalence </w:t>
      </w:r>
    </w:p>
    <w:p w14:paraId="654778EB" w14:textId="77777777" w:rsidR="00167C20" w:rsidRDefault="00C37E09">
      <w:pPr>
        <w:pStyle w:val="BodyB"/>
        <w:spacing w:line="360" w:lineRule="auto"/>
        <w:ind w:left="720" w:hanging="720"/>
        <w:jc w:val="both"/>
      </w:pPr>
      <w:r>
        <w:t xml:space="preserve">of this type of offence in the area concerned, the degree of violence used during the commission </w:t>
      </w:r>
    </w:p>
    <w:p w14:paraId="720AC8A7" w14:textId="77777777" w:rsidR="00167C20" w:rsidRDefault="00C37E09">
      <w:pPr>
        <w:pStyle w:val="BodyB"/>
        <w:spacing w:line="360" w:lineRule="auto"/>
        <w:ind w:left="720" w:hanging="720"/>
        <w:jc w:val="both"/>
      </w:pPr>
      <w:r>
        <w:t xml:space="preserve">of this offence and the likelihood that the appellant would intimidate witnesses. The magistrate </w:t>
      </w:r>
    </w:p>
    <w:p w14:paraId="5371FBBD" w14:textId="77777777" w:rsidR="00167C20" w:rsidRDefault="00C37E09">
      <w:pPr>
        <w:pStyle w:val="BodyB"/>
        <w:spacing w:line="360" w:lineRule="auto"/>
        <w:ind w:left="720" w:hanging="720"/>
        <w:jc w:val="both"/>
      </w:pPr>
      <w:r>
        <w:t xml:space="preserve">further held the view that the release of the appellant on bail would cause an outcry in the </w:t>
      </w:r>
    </w:p>
    <w:p w14:paraId="6EA79567" w14:textId="22C0A476" w:rsidR="00056342" w:rsidRDefault="00C37E09">
      <w:pPr>
        <w:pStyle w:val="BodyB"/>
        <w:spacing w:line="360" w:lineRule="auto"/>
        <w:ind w:left="720" w:hanging="720"/>
        <w:jc w:val="both"/>
      </w:pPr>
      <w:r>
        <w:t xml:space="preserve">community. </w:t>
      </w:r>
    </w:p>
    <w:p w14:paraId="2E1B8F0C" w14:textId="77777777" w:rsidR="00056342" w:rsidRDefault="00056342">
      <w:pPr>
        <w:pStyle w:val="BodyB"/>
        <w:spacing w:line="360" w:lineRule="auto"/>
        <w:ind w:left="720" w:hanging="720"/>
        <w:jc w:val="both"/>
      </w:pPr>
    </w:p>
    <w:p w14:paraId="04A3B819" w14:textId="77777777" w:rsidR="00167C20" w:rsidRDefault="00C37E09">
      <w:pPr>
        <w:pStyle w:val="BodyB"/>
        <w:spacing w:line="360" w:lineRule="auto"/>
        <w:ind w:left="720" w:hanging="720"/>
        <w:jc w:val="both"/>
      </w:pPr>
      <w:r>
        <w:lastRenderedPageBreak/>
        <w:t>[7]</w:t>
      </w:r>
      <w:r>
        <w:tab/>
        <w:t xml:space="preserve">There are seven grounds of appeal as set out in the notice of appeal.  </w:t>
      </w:r>
      <w:r w:rsidR="00102C4E">
        <w:t>However,</w:t>
      </w:r>
      <w:r>
        <w:t xml:space="preserve"> the gist of </w:t>
      </w:r>
    </w:p>
    <w:p w14:paraId="2EB8671C" w14:textId="77777777" w:rsidR="00167C20" w:rsidRDefault="00C37E09">
      <w:pPr>
        <w:pStyle w:val="BodyB"/>
        <w:spacing w:line="360" w:lineRule="auto"/>
        <w:ind w:left="720" w:hanging="720"/>
        <w:jc w:val="both"/>
      </w:pPr>
      <w:r>
        <w:t xml:space="preserve">the submissions on behalf of the appellant </w:t>
      </w:r>
      <w:proofErr w:type="gramStart"/>
      <w:r>
        <w:t>is</w:t>
      </w:r>
      <w:proofErr w:type="gramEnd"/>
      <w:r>
        <w:t xml:space="preserve"> that the magistrate misdirected herself in finding that </w:t>
      </w:r>
    </w:p>
    <w:p w14:paraId="23A9A1F6" w14:textId="77777777" w:rsidR="00167C20" w:rsidRDefault="00C37E09">
      <w:pPr>
        <w:pStyle w:val="BodyB"/>
        <w:spacing w:line="360" w:lineRule="auto"/>
        <w:ind w:left="720" w:hanging="720"/>
        <w:jc w:val="both"/>
      </w:pPr>
      <w:r>
        <w:t xml:space="preserve">it was not in the interests of justice to permit the release of the appellant on bail. It was further </w:t>
      </w:r>
    </w:p>
    <w:p w14:paraId="374C7315" w14:textId="77777777" w:rsidR="00167C20" w:rsidRDefault="00C37E09">
      <w:pPr>
        <w:pStyle w:val="BodyB"/>
        <w:spacing w:line="360" w:lineRule="auto"/>
        <w:ind w:left="720" w:hanging="720"/>
        <w:jc w:val="both"/>
      </w:pPr>
      <w:r>
        <w:t xml:space="preserve">submitted that the magistrate failed to </w:t>
      </w:r>
      <w:proofErr w:type="gramStart"/>
      <w:r>
        <w:t>take into account</w:t>
      </w:r>
      <w:proofErr w:type="gramEnd"/>
      <w:r>
        <w:t xml:space="preserve"> the interest of the appellant’s minor </w:t>
      </w:r>
    </w:p>
    <w:p w14:paraId="724B984C" w14:textId="3DB72D2A" w:rsidR="00056342" w:rsidRDefault="00C37E09">
      <w:pPr>
        <w:pStyle w:val="BodyB"/>
        <w:spacing w:line="360" w:lineRule="auto"/>
        <w:ind w:left="720" w:hanging="720"/>
        <w:jc w:val="both"/>
      </w:pPr>
      <w:r>
        <w:t>children.</w:t>
      </w:r>
    </w:p>
    <w:p w14:paraId="591E8CC0" w14:textId="77777777" w:rsidR="00056342" w:rsidRDefault="00056342">
      <w:pPr>
        <w:pStyle w:val="BodyB"/>
        <w:spacing w:line="360" w:lineRule="auto"/>
        <w:ind w:left="720" w:hanging="720"/>
        <w:jc w:val="both"/>
      </w:pPr>
    </w:p>
    <w:p w14:paraId="79343592" w14:textId="77777777" w:rsidR="00167C20" w:rsidRDefault="00C37E09">
      <w:pPr>
        <w:pStyle w:val="BodyB"/>
        <w:spacing w:line="360" w:lineRule="auto"/>
        <w:ind w:left="720" w:hanging="720"/>
        <w:jc w:val="both"/>
      </w:pPr>
      <w:r>
        <w:t>[8]</w:t>
      </w:r>
      <w:r>
        <w:tab/>
        <w:t xml:space="preserve">The magistrate is deaf silent on the interest of appellant’s minor children. There is no </w:t>
      </w:r>
    </w:p>
    <w:p w14:paraId="65C7A4F0" w14:textId="77777777" w:rsidR="00167C20" w:rsidRDefault="00C37E09">
      <w:pPr>
        <w:pStyle w:val="BodyB"/>
        <w:spacing w:line="360" w:lineRule="auto"/>
        <w:ind w:left="720" w:hanging="720"/>
        <w:jc w:val="both"/>
      </w:pPr>
      <w:r>
        <w:t xml:space="preserve">evidence on whether the appellant is the primary care giver of his minor children. It does not appear </w:t>
      </w:r>
    </w:p>
    <w:p w14:paraId="6918BBDF" w14:textId="77777777" w:rsidR="00167C20" w:rsidRDefault="00C37E09">
      <w:pPr>
        <w:pStyle w:val="BodyB"/>
        <w:spacing w:line="360" w:lineRule="auto"/>
        <w:ind w:left="720" w:hanging="720"/>
        <w:jc w:val="both"/>
      </w:pPr>
      <w:r>
        <w:t xml:space="preserve">that this issue was considered at all by the magistrate. To the contrary, it appears that the magistrate </w:t>
      </w:r>
    </w:p>
    <w:p w14:paraId="26850D3D" w14:textId="77777777" w:rsidR="00167C20" w:rsidRDefault="00C37E09">
      <w:pPr>
        <w:pStyle w:val="BodyB"/>
        <w:spacing w:line="360" w:lineRule="auto"/>
        <w:ind w:left="720" w:hanging="720"/>
        <w:jc w:val="both"/>
      </w:pPr>
      <w:r>
        <w:t>over-</w:t>
      </w:r>
      <w:proofErr w:type="spellStart"/>
      <w:r>
        <w:t>emphasised</w:t>
      </w:r>
      <w:proofErr w:type="spellEnd"/>
      <w:r>
        <w:t xml:space="preserve"> the prevalence of the offence and degree of violence and placed no regard to the </w:t>
      </w:r>
    </w:p>
    <w:p w14:paraId="040A8662" w14:textId="74EC40F6" w:rsidR="00056342" w:rsidRDefault="00C37E09">
      <w:pPr>
        <w:pStyle w:val="BodyB"/>
        <w:spacing w:line="360" w:lineRule="auto"/>
        <w:ind w:left="720" w:hanging="720"/>
        <w:jc w:val="both"/>
      </w:pPr>
      <w:r>
        <w:t xml:space="preserve">appellant’s personal circumstances and the interest of his minor children.  </w:t>
      </w:r>
    </w:p>
    <w:p w14:paraId="22D20EE8" w14:textId="77777777" w:rsidR="00056342" w:rsidRDefault="00056342">
      <w:pPr>
        <w:pStyle w:val="BodyB"/>
        <w:spacing w:line="360" w:lineRule="auto"/>
        <w:ind w:left="720" w:hanging="720"/>
        <w:jc w:val="both"/>
      </w:pPr>
    </w:p>
    <w:p w14:paraId="5D284236" w14:textId="77777777" w:rsidR="00167C20" w:rsidRDefault="00C37E09">
      <w:pPr>
        <w:pStyle w:val="BodyB"/>
        <w:spacing w:line="360" w:lineRule="auto"/>
        <w:ind w:left="720" w:hanging="720"/>
        <w:jc w:val="both"/>
      </w:pPr>
      <w:r>
        <w:t>[9]</w:t>
      </w:r>
      <w:r w:rsidR="00102C4E">
        <w:tab/>
      </w:r>
      <w:r>
        <w:t xml:space="preserve">In a bail application, the magistrate must consider all the relevant aspects for and against </w:t>
      </w:r>
    </w:p>
    <w:p w14:paraId="2B7C1AA8" w14:textId="77777777" w:rsidR="00167C20" w:rsidRDefault="00C37E09">
      <w:pPr>
        <w:pStyle w:val="BodyB"/>
        <w:spacing w:line="360" w:lineRule="auto"/>
        <w:ind w:left="720" w:hanging="720"/>
        <w:jc w:val="both"/>
      </w:pPr>
      <w:r>
        <w:t>the granting of bail. It was wrong for the magistrate to over-</w:t>
      </w:r>
      <w:proofErr w:type="spellStart"/>
      <w:r>
        <w:t>emphasise</w:t>
      </w:r>
      <w:proofErr w:type="spellEnd"/>
      <w:r>
        <w:t xml:space="preserve"> aspects which militate </w:t>
      </w:r>
    </w:p>
    <w:p w14:paraId="4473EC7B" w14:textId="77777777" w:rsidR="00167C20" w:rsidRDefault="00C37E09">
      <w:pPr>
        <w:pStyle w:val="BodyB"/>
        <w:spacing w:line="360" w:lineRule="auto"/>
        <w:ind w:left="720" w:hanging="720"/>
        <w:jc w:val="both"/>
      </w:pPr>
      <w:r>
        <w:t xml:space="preserve">against the granting of bail, whilst aspects in </w:t>
      </w:r>
      <w:proofErr w:type="spellStart"/>
      <w:r>
        <w:t>favour</w:t>
      </w:r>
      <w:proofErr w:type="spellEnd"/>
      <w:r>
        <w:t xml:space="preserve"> of the appellant were not given sufficient </w:t>
      </w:r>
    </w:p>
    <w:p w14:paraId="01042AA7" w14:textId="77777777" w:rsidR="00167C20" w:rsidRDefault="00C37E09">
      <w:pPr>
        <w:pStyle w:val="BodyB"/>
        <w:spacing w:line="360" w:lineRule="auto"/>
        <w:ind w:left="720" w:hanging="720"/>
        <w:jc w:val="both"/>
      </w:pPr>
      <w:r>
        <w:t xml:space="preserve">weight.  In addition, it was crucial for the magistrate to have evidence on the interest of the </w:t>
      </w:r>
    </w:p>
    <w:p w14:paraId="43EC88AC" w14:textId="77777777" w:rsidR="00167C20" w:rsidRDefault="00C37E09">
      <w:pPr>
        <w:pStyle w:val="BodyB"/>
        <w:spacing w:line="360" w:lineRule="auto"/>
        <w:ind w:left="720" w:hanging="720"/>
        <w:jc w:val="both"/>
      </w:pPr>
      <w:r>
        <w:t xml:space="preserve">appellant’s the minor children before she could </w:t>
      </w:r>
      <w:proofErr w:type="gramStart"/>
      <w:r>
        <w:t>make a decision</w:t>
      </w:r>
      <w:proofErr w:type="gramEnd"/>
      <w:r>
        <w:t xml:space="preserve"> whether to refuse or grant bail.  It </w:t>
      </w:r>
    </w:p>
    <w:p w14:paraId="1E1EDB09" w14:textId="77777777" w:rsidR="00167C20" w:rsidRDefault="00C37E09">
      <w:pPr>
        <w:pStyle w:val="BodyB"/>
        <w:spacing w:line="360" w:lineRule="auto"/>
        <w:ind w:left="720" w:hanging="720"/>
        <w:jc w:val="both"/>
      </w:pPr>
      <w:r>
        <w:t xml:space="preserve">is clear from section 60 (10) that the court’s function in bail application is intended to be more </w:t>
      </w:r>
    </w:p>
    <w:p w14:paraId="5B981628" w14:textId="77777777" w:rsidR="00167C20" w:rsidRDefault="00C37E09">
      <w:pPr>
        <w:pStyle w:val="BodyB"/>
        <w:spacing w:line="360" w:lineRule="auto"/>
        <w:ind w:left="720" w:hanging="720"/>
        <w:jc w:val="both"/>
      </w:pPr>
      <w:r>
        <w:t xml:space="preserve">proactive than in a </w:t>
      </w:r>
      <w:proofErr w:type="gramStart"/>
      <w:r>
        <w:t>normal criminal proceedings</w:t>
      </w:r>
      <w:proofErr w:type="gramEnd"/>
      <w:r>
        <w:t>.</w:t>
      </w:r>
      <w:r>
        <w:rPr>
          <w:vertAlign w:val="superscript"/>
        </w:rPr>
        <w:footnoteReference w:id="3"/>
      </w:r>
      <w:r>
        <w:t xml:space="preserve">Further the magistrate should have allowed the </w:t>
      </w:r>
    </w:p>
    <w:p w14:paraId="5AB90007" w14:textId="77777777" w:rsidR="00167C20" w:rsidRDefault="00C37E09">
      <w:pPr>
        <w:pStyle w:val="BodyB"/>
        <w:spacing w:line="360" w:lineRule="auto"/>
        <w:ind w:left="720" w:hanging="720"/>
        <w:jc w:val="both"/>
      </w:pPr>
      <w:r>
        <w:t xml:space="preserve">appellant to adduce rebutting evidence on the alleged intimidation or threats to witnesses, </w:t>
      </w:r>
    </w:p>
    <w:p w14:paraId="4EEC1684" w14:textId="77777777" w:rsidR="00167C20" w:rsidRDefault="00C37E09">
      <w:pPr>
        <w:pStyle w:val="BodyB"/>
        <w:spacing w:line="360" w:lineRule="auto"/>
        <w:ind w:left="720" w:hanging="720"/>
        <w:jc w:val="both"/>
      </w:pPr>
      <w:r>
        <w:t xml:space="preserve">especially that there were conflicting allegations on this issue between the affidavit of the appellant </w:t>
      </w:r>
    </w:p>
    <w:p w14:paraId="6F92A1AF" w14:textId="0642E231" w:rsidR="00056342" w:rsidRDefault="00C37E09">
      <w:pPr>
        <w:pStyle w:val="BodyB"/>
        <w:spacing w:line="360" w:lineRule="auto"/>
        <w:ind w:left="720" w:hanging="720"/>
        <w:jc w:val="both"/>
      </w:pPr>
      <w:r>
        <w:t xml:space="preserve">and that of Captain Fete. </w:t>
      </w:r>
    </w:p>
    <w:p w14:paraId="7B8CC028" w14:textId="77777777" w:rsidR="00167C20" w:rsidRDefault="00167C20">
      <w:pPr>
        <w:pStyle w:val="BodyB"/>
        <w:spacing w:line="360" w:lineRule="auto"/>
        <w:ind w:left="720" w:hanging="720"/>
        <w:jc w:val="both"/>
      </w:pPr>
    </w:p>
    <w:p w14:paraId="1B705748" w14:textId="77777777" w:rsidR="00A77DF5" w:rsidRDefault="00C37E09">
      <w:pPr>
        <w:pStyle w:val="BodyB"/>
        <w:spacing w:line="360" w:lineRule="auto"/>
        <w:ind w:left="720" w:hanging="720"/>
        <w:jc w:val="both"/>
      </w:pPr>
      <w:r>
        <w:t xml:space="preserve">[10]    In light of these </w:t>
      </w:r>
      <w:proofErr w:type="spellStart"/>
      <w:r>
        <w:t>misdirections</w:t>
      </w:r>
      <w:proofErr w:type="spellEnd"/>
      <w:r>
        <w:t xml:space="preserve">, the decision of the magistrate was </w:t>
      </w:r>
      <w:r w:rsidR="00102C4E">
        <w:t>wrong,</w:t>
      </w:r>
      <w:r>
        <w:t xml:space="preserve"> and the appeal </w:t>
      </w:r>
    </w:p>
    <w:p w14:paraId="5587FB0E" w14:textId="77777777" w:rsidR="00A77DF5" w:rsidRDefault="00C37E09">
      <w:pPr>
        <w:pStyle w:val="BodyB"/>
        <w:spacing w:line="360" w:lineRule="auto"/>
        <w:ind w:left="720" w:hanging="720"/>
        <w:jc w:val="both"/>
      </w:pPr>
      <w:r>
        <w:t xml:space="preserve">ought to succeed. However, due to lack of evidence on the interest of the minor children and the </w:t>
      </w:r>
    </w:p>
    <w:p w14:paraId="7983486C" w14:textId="77777777" w:rsidR="00A77DF5" w:rsidRDefault="00C37E09">
      <w:pPr>
        <w:pStyle w:val="BodyB"/>
        <w:spacing w:line="360" w:lineRule="auto"/>
        <w:ind w:left="720" w:hanging="720"/>
        <w:jc w:val="both"/>
      </w:pPr>
      <w:r>
        <w:t xml:space="preserve">alleged threats to witnesses, the appropriate order would be to remit the matter for the magistrate </w:t>
      </w:r>
    </w:p>
    <w:p w14:paraId="6751BABF" w14:textId="5CB727EB" w:rsidR="00056342" w:rsidRDefault="00C37E09">
      <w:pPr>
        <w:pStyle w:val="BodyB"/>
        <w:spacing w:line="360" w:lineRule="auto"/>
        <w:ind w:left="720" w:hanging="720"/>
        <w:jc w:val="both"/>
      </w:pPr>
      <w:r>
        <w:t>to hear evidence on such issues and to consider the bail afresh after hearing such evidence.</w:t>
      </w:r>
    </w:p>
    <w:p w14:paraId="45761B1C" w14:textId="77777777" w:rsidR="00056342" w:rsidRDefault="00056342">
      <w:pPr>
        <w:pStyle w:val="BodyB"/>
        <w:spacing w:line="360" w:lineRule="auto"/>
        <w:ind w:left="720" w:hanging="720"/>
        <w:jc w:val="both"/>
      </w:pPr>
    </w:p>
    <w:p w14:paraId="5EFAE653" w14:textId="77777777" w:rsidR="00056342" w:rsidRDefault="00C37E09">
      <w:pPr>
        <w:pStyle w:val="BodyB"/>
        <w:spacing w:line="360" w:lineRule="auto"/>
        <w:ind w:left="720" w:hanging="720"/>
        <w:jc w:val="both"/>
      </w:pPr>
      <w:r>
        <w:t>[11]</w:t>
      </w:r>
      <w:r>
        <w:tab/>
        <w:t>In the circumstances, the following order is issued:</w:t>
      </w:r>
    </w:p>
    <w:p w14:paraId="5A62E03B" w14:textId="77777777" w:rsidR="00056342" w:rsidRDefault="00C37E09">
      <w:pPr>
        <w:pStyle w:val="BodyB"/>
        <w:spacing w:line="360" w:lineRule="auto"/>
        <w:ind w:left="720" w:hanging="720"/>
        <w:jc w:val="both"/>
      </w:pPr>
      <w:r>
        <w:tab/>
        <w:t>1.</w:t>
      </w:r>
      <w:r>
        <w:tab/>
        <w:t xml:space="preserve">The appeal is upheld. </w:t>
      </w:r>
    </w:p>
    <w:p w14:paraId="1E412EB9" w14:textId="77777777" w:rsidR="00056342" w:rsidRDefault="00C37E09">
      <w:pPr>
        <w:pStyle w:val="BodyB"/>
        <w:spacing w:line="360" w:lineRule="auto"/>
        <w:ind w:left="720" w:hanging="720"/>
        <w:jc w:val="both"/>
      </w:pPr>
      <w:r>
        <w:lastRenderedPageBreak/>
        <w:tab/>
        <w:t>2.</w:t>
      </w:r>
      <w:r>
        <w:tab/>
        <w:t xml:space="preserve">The decision of the magistrate, in the bail application is set aside and the matter is remitted to the same magistrate to consider the bail application afresh after hearing evidence on the appellant’s minor children’s interest and the alleged threats to witnesses.               </w:t>
      </w:r>
    </w:p>
    <w:p w14:paraId="45AA2947" w14:textId="77777777" w:rsidR="00056342" w:rsidRDefault="00C37E09">
      <w:pPr>
        <w:pStyle w:val="BodyB"/>
        <w:spacing w:line="360" w:lineRule="auto"/>
        <w:ind w:left="720" w:hanging="720"/>
        <w:jc w:val="both"/>
      </w:pPr>
      <w:r>
        <w:t xml:space="preserve">           3.         The State is to be afforded the opportunity to adduce further evidence in response to any further evidence presented by the appellant.</w:t>
      </w:r>
    </w:p>
    <w:p w14:paraId="2BFE59DE" w14:textId="77777777" w:rsidR="00056342" w:rsidRDefault="00C37E09">
      <w:pPr>
        <w:pStyle w:val="BodyB"/>
        <w:spacing w:line="360" w:lineRule="auto"/>
        <w:ind w:left="720" w:hanging="720"/>
        <w:jc w:val="both"/>
      </w:pPr>
      <w:r>
        <w:t xml:space="preserve">           4.          The appellant shall remain in custody pending the </w:t>
      </w:r>
      <w:proofErr w:type="spellStart"/>
      <w:r>
        <w:t>finalisation</w:t>
      </w:r>
      <w:proofErr w:type="spellEnd"/>
      <w:r>
        <w:t xml:space="preserve"> of the bail application by the magistrate.</w:t>
      </w:r>
    </w:p>
    <w:p w14:paraId="57CA61A7" w14:textId="77777777" w:rsidR="00056342" w:rsidRDefault="00C37E09">
      <w:pPr>
        <w:pStyle w:val="BodyB"/>
        <w:spacing w:line="360" w:lineRule="auto"/>
        <w:ind w:left="1440" w:hanging="720"/>
        <w:jc w:val="both"/>
      </w:pPr>
      <w:r>
        <w:br/>
      </w:r>
    </w:p>
    <w:p w14:paraId="0A1132DD" w14:textId="77777777" w:rsidR="00056342" w:rsidRDefault="00C37E09">
      <w:pPr>
        <w:pStyle w:val="BodyC"/>
        <w:spacing w:line="360" w:lineRule="auto"/>
        <w:ind w:left="1440" w:hanging="1440"/>
        <w:jc w:val="both"/>
        <w:rPr>
          <w:b/>
          <w:bCs/>
          <w:u w:val="single"/>
        </w:rPr>
      </w:pPr>
      <w:r>
        <w:t xml:space="preserve"> </w:t>
      </w:r>
      <w:r>
        <w:rPr>
          <w:b/>
          <w:bCs/>
          <w:u w:val="single"/>
        </w:rPr>
        <w:tab/>
      </w:r>
      <w:r>
        <w:rPr>
          <w:b/>
          <w:bCs/>
          <w:u w:val="single"/>
        </w:rPr>
        <w:tab/>
      </w:r>
      <w:r>
        <w:rPr>
          <w:b/>
          <w:bCs/>
          <w:u w:val="single"/>
        </w:rPr>
        <w:tab/>
      </w:r>
    </w:p>
    <w:p w14:paraId="50D9110A" w14:textId="77777777" w:rsidR="00056342" w:rsidRDefault="00C37E09">
      <w:pPr>
        <w:pStyle w:val="Unnumberedtext"/>
        <w:spacing w:before="0" w:after="0"/>
        <w:rPr>
          <w:rFonts w:ascii="Times New Roman" w:eastAsia="Times New Roman" w:hAnsi="Times New Roman" w:cs="Times New Roman"/>
          <w:b/>
          <w:bCs/>
        </w:rPr>
      </w:pPr>
      <w:r>
        <w:rPr>
          <w:rFonts w:ascii="Times New Roman" w:hAnsi="Times New Roman"/>
          <w:b/>
          <w:bCs/>
        </w:rPr>
        <w:t xml:space="preserve">N GQAMANA </w:t>
      </w:r>
    </w:p>
    <w:p w14:paraId="326F94C9" w14:textId="77777777" w:rsidR="00056342" w:rsidRDefault="00C37E09">
      <w:pPr>
        <w:pStyle w:val="Unnumberedtext"/>
        <w:spacing w:before="0" w:after="0"/>
        <w:rPr>
          <w:rFonts w:ascii="Times New Roman" w:eastAsia="Times New Roman" w:hAnsi="Times New Roman" w:cs="Times New Roman"/>
          <w:b/>
          <w:bCs/>
        </w:rPr>
      </w:pPr>
      <w:r>
        <w:rPr>
          <w:rFonts w:ascii="Times New Roman" w:hAnsi="Times New Roman"/>
          <w:b/>
          <w:bCs/>
        </w:rPr>
        <w:t xml:space="preserve">JUDGE OF THE HIGH COURT </w:t>
      </w:r>
    </w:p>
    <w:p w14:paraId="7DABA8ED" w14:textId="77777777" w:rsidR="00056342" w:rsidRDefault="00056342">
      <w:pPr>
        <w:pStyle w:val="Unnumberedtext"/>
        <w:spacing w:before="0" w:after="0"/>
        <w:rPr>
          <w:rFonts w:ascii="Times New Roman" w:eastAsia="Times New Roman" w:hAnsi="Times New Roman" w:cs="Times New Roman"/>
          <w:b/>
          <w:bCs/>
        </w:rPr>
      </w:pPr>
    </w:p>
    <w:p w14:paraId="3D7C77FF" w14:textId="77777777" w:rsidR="00056342" w:rsidRDefault="00056342">
      <w:pPr>
        <w:pStyle w:val="Unnumberedtext"/>
        <w:spacing w:before="0" w:after="0"/>
        <w:rPr>
          <w:rFonts w:ascii="Times New Roman" w:eastAsia="Times New Roman" w:hAnsi="Times New Roman" w:cs="Times New Roman"/>
          <w:b/>
          <w:bCs/>
        </w:rPr>
      </w:pPr>
    </w:p>
    <w:p w14:paraId="6B143AB1" w14:textId="77777777" w:rsidR="00056342" w:rsidRDefault="00056342">
      <w:pPr>
        <w:pStyle w:val="Unnumberedtext"/>
        <w:spacing w:before="0" w:after="0"/>
        <w:rPr>
          <w:rFonts w:ascii="Times New Roman" w:eastAsia="Times New Roman" w:hAnsi="Times New Roman" w:cs="Times New Roman"/>
          <w:b/>
          <w:bCs/>
        </w:rPr>
      </w:pPr>
    </w:p>
    <w:p w14:paraId="021C75F7" w14:textId="77777777" w:rsidR="00056342" w:rsidRDefault="00056342">
      <w:pPr>
        <w:pStyle w:val="Unnumberedtext"/>
        <w:spacing w:before="0" w:after="0"/>
        <w:rPr>
          <w:rFonts w:ascii="Times New Roman" w:eastAsia="Times New Roman" w:hAnsi="Times New Roman" w:cs="Times New Roman"/>
          <w:b/>
          <w:bCs/>
        </w:rPr>
      </w:pPr>
    </w:p>
    <w:p w14:paraId="18E63A4F" w14:textId="77777777" w:rsidR="00056342" w:rsidRDefault="00C37E09">
      <w:pPr>
        <w:pStyle w:val="Body"/>
      </w:pPr>
      <w:r>
        <w:rPr>
          <w:rFonts w:ascii="Arial Unicode MS" w:eastAsia="Arial Unicode MS" w:hAnsi="Arial Unicode MS" w:cs="Arial Unicode MS"/>
        </w:rPr>
        <w:br w:type="page"/>
      </w:r>
    </w:p>
    <w:p w14:paraId="5357974E" w14:textId="77777777" w:rsidR="00056342" w:rsidRDefault="00C37E09">
      <w:pPr>
        <w:pStyle w:val="BodyB"/>
        <w:spacing w:line="360" w:lineRule="auto"/>
      </w:pPr>
      <w:r>
        <w:rPr>
          <w:b/>
          <w:bCs/>
        </w:rPr>
        <w:lastRenderedPageBreak/>
        <w:t>APPEARANCES:</w:t>
      </w:r>
    </w:p>
    <w:p w14:paraId="62547B6D" w14:textId="77777777" w:rsidR="00056342" w:rsidRDefault="00056342">
      <w:pPr>
        <w:pStyle w:val="BodyA"/>
        <w:spacing w:line="360" w:lineRule="auto"/>
        <w:jc w:val="both"/>
        <w:rPr>
          <w:rFonts w:ascii="Times New Roman" w:eastAsia="Times New Roman" w:hAnsi="Times New Roman" w:cs="Times New Roman"/>
          <w:sz w:val="24"/>
          <w:szCs w:val="24"/>
        </w:rPr>
      </w:pPr>
    </w:p>
    <w:p w14:paraId="5E0FFA9C" w14:textId="4BFB3AEC" w:rsidR="00056342" w:rsidRDefault="00C37E09">
      <w:pPr>
        <w:pStyle w:val="BodyA"/>
        <w:spacing w:line="360" w:lineRule="auto"/>
        <w:jc w:val="both"/>
        <w:rPr>
          <w:rFonts w:ascii="Times New Roman" w:eastAsia="Times New Roman" w:hAnsi="Times New Roman" w:cs="Times New Roman"/>
          <w:i/>
          <w:iCs/>
          <w:sz w:val="24"/>
          <w:szCs w:val="24"/>
        </w:rPr>
      </w:pPr>
      <w:r>
        <w:rPr>
          <w:rFonts w:ascii="Times New Roman" w:hAnsi="Times New Roman"/>
          <w:sz w:val="24"/>
          <w:szCs w:val="24"/>
        </w:rPr>
        <w:t>Counsel for the Applicant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roofErr w:type="spellStart"/>
      <w:r w:rsidR="00102C4E" w:rsidRPr="00102C4E">
        <w:rPr>
          <w:rFonts w:ascii="Times New Roman" w:hAnsi="Times New Roman"/>
          <w:i/>
          <w:iCs/>
          <w:sz w:val="24"/>
          <w:szCs w:val="24"/>
        </w:rPr>
        <w:t>Mr</w:t>
      </w:r>
      <w:proofErr w:type="spellEnd"/>
      <w:r w:rsidR="00102C4E" w:rsidRPr="00102C4E">
        <w:rPr>
          <w:rFonts w:ascii="Times New Roman" w:hAnsi="Times New Roman"/>
          <w:i/>
          <w:iCs/>
          <w:sz w:val="24"/>
          <w:szCs w:val="24"/>
        </w:rPr>
        <w:t xml:space="preserve"> </w:t>
      </w:r>
      <w:r w:rsidR="007713F3">
        <w:rPr>
          <w:rFonts w:ascii="Times New Roman" w:hAnsi="Times New Roman"/>
          <w:i/>
          <w:iCs/>
          <w:sz w:val="24"/>
          <w:szCs w:val="24"/>
        </w:rPr>
        <w:t xml:space="preserve">A </w:t>
      </w:r>
      <w:proofErr w:type="spellStart"/>
      <w:r w:rsidR="00102C4E" w:rsidRPr="00102C4E">
        <w:rPr>
          <w:rFonts w:ascii="Times New Roman" w:hAnsi="Times New Roman"/>
          <w:i/>
          <w:iCs/>
          <w:sz w:val="24"/>
          <w:szCs w:val="24"/>
        </w:rPr>
        <w:t>Mgangatho</w:t>
      </w:r>
      <w:proofErr w:type="spellEnd"/>
      <w:r w:rsidR="00102C4E">
        <w:rPr>
          <w:rFonts w:ascii="Times New Roman" w:hAnsi="Times New Roman"/>
          <w:sz w:val="24"/>
          <w:szCs w:val="24"/>
        </w:rPr>
        <w:t xml:space="preserve"> </w:t>
      </w:r>
      <w:r>
        <w:rPr>
          <w:rFonts w:ascii="Times New Roman" w:hAnsi="Times New Roman"/>
          <w:i/>
          <w:iCs/>
          <w:sz w:val="24"/>
          <w:szCs w:val="24"/>
        </w:rPr>
        <w:t xml:space="preserve">   </w:t>
      </w:r>
    </w:p>
    <w:p w14:paraId="260E0FBC" w14:textId="77777777" w:rsidR="00056342" w:rsidRDefault="00C37E09">
      <w:pPr>
        <w:pStyle w:val="Body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Instructed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roofErr w:type="spellStart"/>
      <w:r>
        <w:rPr>
          <w:rFonts w:ascii="Times New Roman" w:hAnsi="Times New Roman"/>
          <w:sz w:val="24"/>
          <w:szCs w:val="24"/>
        </w:rPr>
        <w:t>Mgangatho</w:t>
      </w:r>
      <w:proofErr w:type="spellEnd"/>
      <w:r>
        <w:rPr>
          <w:rFonts w:ascii="Times New Roman" w:hAnsi="Times New Roman"/>
          <w:sz w:val="24"/>
          <w:szCs w:val="24"/>
        </w:rPr>
        <w:t xml:space="preserve"> Attorneys, </w:t>
      </w:r>
    </w:p>
    <w:p w14:paraId="047E69B4" w14:textId="77777777" w:rsidR="00056342" w:rsidRDefault="00C37E09">
      <w:pPr>
        <w:pStyle w:val="BodyA"/>
        <w:spacing w:line="360" w:lineRule="auto"/>
        <w:ind w:left="3600" w:firstLine="720"/>
        <w:jc w:val="both"/>
        <w:rPr>
          <w:rFonts w:ascii="Times New Roman" w:eastAsia="Times New Roman" w:hAnsi="Times New Roman" w:cs="Times New Roman"/>
          <w:sz w:val="24"/>
          <w:szCs w:val="24"/>
        </w:rPr>
      </w:pPr>
      <w:proofErr w:type="spellStart"/>
      <w:r>
        <w:rPr>
          <w:rFonts w:ascii="Times New Roman" w:hAnsi="Times New Roman"/>
          <w:sz w:val="24"/>
          <w:szCs w:val="24"/>
        </w:rPr>
        <w:t>Makhanda</w:t>
      </w:r>
      <w:proofErr w:type="spellEnd"/>
      <w:r>
        <w:rPr>
          <w:rFonts w:ascii="Times New Roman" w:hAnsi="Times New Roman"/>
          <w:sz w:val="24"/>
          <w:szCs w:val="24"/>
        </w:rPr>
        <w:t xml:space="preserve">  </w:t>
      </w:r>
    </w:p>
    <w:p w14:paraId="00A9E008" w14:textId="77777777" w:rsidR="00056342" w:rsidRDefault="00056342">
      <w:pPr>
        <w:pStyle w:val="BodyA"/>
        <w:spacing w:line="360" w:lineRule="auto"/>
        <w:jc w:val="both"/>
        <w:rPr>
          <w:rFonts w:ascii="Times New Roman" w:eastAsia="Times New Roman" w:hAnsi="Times New Roman" w:cs="Times New Roman"/>
          <w:sz w:val="24"/>
          <w:szCs w:val="24"/>
        </w:rPr>
      </w:pPr>
    </w:p>
    <w:p w14:paraId="10044AE2" w14:textId="77777777" w:rsidR="00056342" w:rsidRDefault="00C37E09">
      <w:pPr>
        <w:pStyle w:val="BodyA"/>
        <w:spacing w:line="360" w:lineRule="auto"/>
        <w:jc w:val="both"/>
        <w:rPr>
          <w:rFonts w:ascii="Times New Roman" w:eastAsia="Times New Roman" w:hAnsi="Times New Roman" w:cs="Times New Roman"/>
          <w:sz w:val="24"/>
          <w:szCs w:val="24"/>
        </w:rPr>
      </w:pPr>
      <w:r>
        <w:rPr>
          <w:rFonts w:ascii="Times New Roman" w:hAnsi="Times New Roman"/>
          <w:sz w:val="24"/>
          <w:szCs w:val="24"/>
        </w:rPr>
        <w:t>Counsel for the Respondent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i/>
          <w:iCs/>
          <w:sz w:val="24"/>
          <w:szCs w:val="24"/>
        </w:rPr>
        <w:t xml:space="preserve">Adv A </w:t>
      </w:r>
      <w:proofErr w:type="spellStart"/>
      <w:r>
        <w:rPr>
          <w:rFonts w:ascii="Times New Roman" w:hAnsi="Times New Roman"/>
          <w:i/>
          <w:iCs/>
          <w:sz w:val="24"/>
          <w:szCs w:val="24"/>
        </w:rPr>
        <w:t>A</w:t>
      </w:r>
      <w:proofErr w:type="spellEnd"/>
      <w:r>
        <w:rPr>
          <w:rFonts w:ascii="Times New Roman" w:hAnsi="Times New Roman"/>
          <w:i/>
          <w:iCs/>
          <w:sz w:val="24"/>
          <w:szCs w:val="24"/>
        </w:rPr>
        <w:t xml:space="preserve"> </w:t>
      </w:r>
      <w:proofErr w:type="spellStart"/>
      <w:r>
        <w:rPr>
          <w:rFonts w:ascii="Times New Roman" w:hAnsi="Times New Roman"/>
          <w:i/>
          <w:iCs/>
          <w:sz w:val="24"/>
          <w:szCs w:val="24"/>
        </w:rPr>
        <w:t>Nohiya</w:t>
      </w:r>
      <w:proofErr w:type="spellEnd"/>
      <w:r>
        <w:rPr>
          <w:rFonts w:ascii="Times New Roman" w:hAnsi="Times New Roman"/>
          <w:i/>
          <w:iCs/>
          <w:sz w:val="24"/>
          <w:szCs w:val="24"/>
        </w:rPr>
        <w:t xml:space="preserve"> </w:t>
      </w:r>
    </w:p>
    <w:p w14:paraId="0FB96785" w14:textId="77777777" w:rsidR="00056342" w:rsidRDefault="00C37E09">
      <w:pPr>
        <w:pStyle w:val="Body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Instructed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Director of Public Prosecutions </w:t>
      </w:r>
    </w:p>
    <w:p w14:paraId="56C506C2" w14:textId="77777777" w:rsidR="00056342" w:rsidRDefault="00C37E09">
      <w:pPr>
        <w:pStyle w:val="BodyA"/>
        <w:spacing w:line="360" w:lineRule="auto"/>
        <w:ind w:left="4320"/>
        <w:jc w:val="both"/>
        <w:rPr>
          <w:rFonts w:ascii="Times New Roman" w:eastAsia="Times New Roman" w:hAnsi="Times New Roman" w:cs="Times New Roman"/>
          <w:sz w:val="24"/>
          <w:szCs w:val="24"/>
        </w:rPr>
      </w:pPr>
      <w:proofErr w:type="spellStart"/>
      <w:r>
        <w:rPr>
          <w:rFonts w:ascii="Times New Roman" w:hAnsi="Times New Roman"/>
          <w:sz w:val="24"/>
          <w:szCs w:val="24"/>
        </w:rPr>
        <w:t>Makhanda</w:t>
      </w:r>
      <w:proofErr w:type="spellEnd"/>
      <w:r>
        <w:rPr>
          <w:rFonts w:ascii="Times New Roman" w:hAnsi="Times New Roman"/>
          <w:sz w:val="24"/>
          <w:szCs w:val="24"/>
        </w:rPr>
        <w:t xml:space="preserve">     </w:t>
      </w:r>
    </w:p>
    <w:p w14:paraId="5FA133D4" w14:textId="77777777" w:rsidR="00056342" w:rsidRDefault="00056342">
      <w:pPr>
        <w:pStyle w:val="BodyA"/>
        <w:spacing w:line="360" w:lineRule="auto"/>
        <w:jc w:val="both"/>
        <w:rPr>
          <w:rFonts w:ascii="Times New Roman" w:eastAsia="Times New Roman" w:hAnsi="Times New Roman" w:cs="Times New Roman"/>
          <w:sz w:val="24"/>
          <w:szCs w:val="24"/>
        </w:rPr>
      </w:pPr>
    </w:p>
    <w:p w14:paraId="464E2B06" w14:textId="77777777" w:rsidR="00056342" w:rsidRDefault="00C37E09">
      <w:pPr>
        <w:pStyle w:val="BodyA"/>
        <w:tabs>
          <w:tab w:val="left" w:pos="3600"/>
        </w:tabs>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Date heard on                             </w:t>
      </w:r>
      <w:r>
        <w:rPr>
          <w:rFonts w:ascii="Times New Roman" w:hAnsi="Times New Roman"/>
          <w:sz w:val="24"/>
          <w:szCs w:val="24"/>
        </w:rPr>
        <w:tab/>
        <w:t>:</w:t>
      </w:r>
      <w:r>
        <w:rPr>
          <w:rFonts w:ascii="Times New Roman" w:hAnsi="Times New Roman"/>
          <w:sz w:val="24"/>
          <w:szCs w:val="24"/>
        </w:rPr>
        <w:tab/>
        <w:t xml:space="preserve">12 June 2024 </w:t>
      </w:r>
    </w:p>
    <w:p w14:paraId="3FD56B4F" w14:textId="77777777" w:rsidR="00056342" w:rsidRDefault="00C37E09">
      <w:pPr>
        <w:pStyle w:val="BodyAA"/>
        <w:tabs>
          <w:tab w:val="left" w:pos="3600"/>
        </w:tabs>
        <w:spacing w:line="360" w:lineRule="auto"/>
        <w:ind w:right="95"/>
        <w:jc w:val="both"/>
      </w:pPr>
      <w:r>
        <w:rPr>
          <w:rFonts w:ascii="Times New Roman" w:hAnsi="Times New Roman"/>
        </w:rPr>
        <w:t>Delivered on</w:t>
      </w:r>
      <w:r>
        <w:rPr>
          <w:rFonts w:ascii="Times New Roman" w:hAnsi="Times New Roman"/>
        </w:rPr>
        <w:tab/>
        <w:t>:</w:t>
      </w:r>
      <w:r>
        <w:rPr>
          <w:rFonts w:ascii="Times New Roman" w:hAnsi="Times New Roman"/>
        </w:rPr>
        <w:tab/>
        <w:t>12 June 2024</w:t>
      </w:r>
    </w:p>
    <w:sectPr w:rsidR="0005634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CAEF2" w14:textId="77777777" w:rsidR="00280F7E" w:rsidRDefault="00280F7E">
      <w:r>
        <w:separator/>
      </w:r>
    </w:p>
  </w:endnote>
  <w:endnote w:type="continuationSeparator" w:id="0">
    <w:p w14:paraId="68938974" w14:textId="77777777" w:rsidR="00280F7E" w:rsidRDefault="0028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47D01" w14:textId="77777777" w:rsidR="00056342" w:rsidRDefault="000563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34FCE" w14:textId="77777777" w:rsidR="00280F7E" w:rsidRDefault="00280F7E">
      <w:r>
        <w:separator/>
      </w:r>
    </w:p>
  </w:footnote>
  <w:footnote w:type="continuationSeparator" w:id="0">
    <w:p w14:paraId="0B1C1D32" w14:textId="77777777" w:rsidR="00280F7E" w:rsidRDefault="00280F7E">
      <w:r>
        <w:continuationSeparator/>
      </w:r>
    </w:p>
  </w:footnote>
  <w:footnote w:type="continuationNotice" w:id="1">
    <w:p w14:paraId="0C5CECDA" w14:textId="77777777" w:rsidR="00280F7E" w:rsidRDefault="00280F7E"/>
  </w:footnote>
  <w:footnote w:id="2">
    <w:p w14:paraId="6FD0710D" w14:textId="77777777" w:rsidR="00056342" w:rsidRDefault="00C37E09">
      <w:pPr>
        <w:pStyle w:val="FootnoteText"/>
      </w:pPr>
      <w:r>
        <w:rPr>
          <w:vertAlign w:val="superscript"/>
        </w:rPr>
        <w:footnoteRef/>
      </w:r>
      <w:r>
        <w:rPr>
          <w:rFonts w:eastAsia="Arial Unicode MS" w:cs="Arial Unicode MS"/>
        </w:rPr>
        <w:t xml:space="preserve"> S v Wardle, (unreported, ECP case no. CA&amp;R 5/2018, 10 May 2018) and S v Panayiotou (unreported, ECG case no. 06/2015, 28 July 2015).</w:t>
      </w:r>
    </w:p>
  </w:footnote>
  <w:footnote w:id="3">
    <w:p w14:paraId="2A8DF1C4" w14:textId="76C149D7" w:rsidR="00056342" w:rsidRDefault="00C37E09">
      <w:pPr>
        <w:pStyle w:val="FootnoteText"/>
      </w:pPr>
      <w:r>
        <w:rPr>
          <w:vertAlign w:val="superscript"/>
        </w:rPr>
        <w:footnoteRef/>
      </w:r>
      <w:r>
        <w:rPr>
          <w:rFonts w:eastAsia="Arial Unicode MS" w:cs="Arial Unicode MS"/>
        </w:rPr>
        <w:t xml:space="preserve">  </w:t>
      </w:r>
      <w:proofErr w:type="spellStart"/>
      <w:r>
        <w:rPr>
          <w:rFonts w:eastAsia="Arial Unicode MS" w:cs="Arial Unicode MS"/>
        </w:rPr>
        <w:t>Sv</w:t>
      </w:r>
      <w:proofErr w:type="spellEnd"/>
      <w:r>
        <w:rPr>
          <w:rFonts w:eastAsia="Arial Unicode MS" w:cs="Arial Unicode MS"/>
        </w:rPr>
        <w:t xml:space="preserve"> Green and Another 2006 1 SACR 603 (SCA) at 610b.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6FBA3" w14:textId="77777777" w:rsidR="00056342" w:rsidRDefault="00C37E09">
    <w:pPr>
      <w:pStyle w:val="Header"/>
      <w:tabs>
        <w:tab w:val="clear" w:pos="9360"/>
        <w:tab w:val="right" w:pos="9340"/>
      </w:tabs>
      <w:jc w:val="right"/>
    </w:pPr>
    <w:r>
      <w:fldChar w:fldCharType="begin"/>
    </w:r>
    <w:r>
      <w:instrText xml:space="preserve"> PAGE </w:instrText>
    </w:r>
    <w:r>
      <w:fldChar w:fldCharType="separate"/>
    </w:r>
    <w:r w:rsidR="00102C4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42"/>
    <w:rsid w:val="00056342"/>
    <w:rsid w:val="00102C4E"/>
    <w:rsid w:val="00167C20"/>
    <w:rsid w:val="001B5E79"/>
    <w:rsid w:val="00280F7E"/>
    <w:rsid w:val="006263D1"/>
    <w:rsid w:val="007713F3"/>
    <w:rsid w:val="009C15C4"/>
    <w:rsid w:val="00A77DF5"/>
    <w:rsid w:val="00C37E09"/>
    <w:rsid w:val="00D75E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00B1"/>
  <w15:docId w15:val="{EB75311F-8BD1-48EE-B8CB-324D612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lang w:val="en-US"/>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Ncumisa Malgas</dc:creator>
  <cp:lastModifiedBy>Nomakorinte Ntliziywana</cp:lastModifiedBy>
  <cp:revision>2</cp:revision>
  <cp:lastPrinted>2024-06-11T11:27:00Z</cp:lastPrinted>
  <dcterms:created xsi:type="dcterms:W3CDTF">2024-06-12T15:17:00Z</dcterms:created>
  <dcterms:modified xsi:type="dcterms:W3CDTF">2024-06-12T15:17:00Z</dcterms:modified>
</cp:coreProperties>
</file>