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FBEF" w14:textId="77777777" w:rsidR="004E48B4" w:rsidRPr="004E48B4" w:rsidRDefault="004E48B4" w:rsidP="004E48B4">
      <w:pPr>
        <w:pBdr>
          <w:top w:val="nil"/>
          <w:left w:val="nil"/>
          <w:bottom w:val="nil"/>
          <w:right w:val="nil"/>
          <w:between w:val="nil"/>
          <w:bar w:val="nil"/>
        </w:pBdr>
        <w:spacing w:after="160" w:line="259" w:lineRule="auto"/>
        <w:jc w:val="center"/>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pPr>
      <w:bookmarkStart w:id="0" w:name="_GoBack"/>
      <w:bookmarkEnd w:id="0"/>
      <w:r w:rsidRPr="0059551E">
        <w:rPr>
          <w:rFonts w:ascii="Calibri" w:eastAsia="Arial Unicode MS" w:hAnsi="Calibri" w:cs="Arial Unicode MS"/>
          <w:noProof/>
          <w:color w:val="000000"/>
          <w:sz w:val="22"/>
          <w:szCs w:val="22"/>
          <w:u w:color="000000"/>
          <w:bdr w:val="nil"/>
          <w:lang w:eastAsia="en-ZA"/>
          <w14:textOutline w14:w="12700" w14:cap="flat" w14:cmpd="sng" w14:algn="ctr">
            <w14:noFill/>
            <w14:prstDash w14:val="solid"/>
            <w14:miter w14:lim="400000"/>
          </w14:textOutline>
        </w:rPr>
        <w:drawing>
          <wp:inline distT="0" distB="0" distL="0" distR="0" wp14:anchorId="10C423A9" wp14:editId="2C447F1A">
            <wp:extent cx="1143000" cy="11887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1143000" cy="1188720"/>
                    </a:xfrm>
                    <a:prstGeom prst="rect">
                      <a:avLst/>
                    </a:prstGeom>
                    <a:ln w="12700" cap="flat">
                      <a:noFill/>
                      <a:miter lim="400000"/>
                    </a:ln>
                    <a:effectLst/>
                  </pic:spPr>
                </pic:pic>
              </a:graphicData>
            </a:graphic>
          </wp:inline>
        </w:drawing>
      </w:r>
    </w:p>
    <w:p w14:paraId="20A9B5C6" w14:textId="77777777" w:rsidR="004E48B4" w:rsidRPr="00227BEB" w:rsidRDefault="004E48B4" w:rsidP="00CD5A07">
      <w:pPr>
        <w:widowControl w:val="0"/>
        <w:pBdr>
          <w:top w:val="nil"/>
          <w:left w:val="nil"/>
          <w:bottom w:val="nil"/>
          <w:right w:val="nil"/>
          <w:between w:val="nil"/>
          <w:bar w:val="nil"/>
        </w:pBdr>
        <w:tabs>
          <w:tab w:val="right" w:pos="9340"/>
        </w:tabs>
        <w:spacing w:after="160" w:line="240" w:lineRule="auto"/>
        <w:jc w:val="center"/>
        <w:rPr>
          <w:rFonts w:ascii="Times New Roman" w:eastAsia="Times New Roman" w:hAnsi="Times New Roman" w:cs="Times New Roman"/>
          <w:b/>
          <w:bC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t>IN THE HIGH COURT OF SOUTH AFRICA</w:t>
      </w:r>
    </w:p>
    <w:p w14:paraId="29AF3E61" w14:textId="64C4700B" w:rsidR="004E48B4" w:rsidRPr="00227BEB" w:rsidRDefault="004E48B4" w:rsidP="00CD5A07">
      <w:pPr>
        <w:widowControl w:val="0"/>
        <w:pBdr>
          <w:top w:val="nil"/>
          <w:left w:val="nil"/>
          <w:bottom w:val="nil"/>
          <w:right w:val="nil"/>
          <w:between w:val="nil"/>
          <w:bar w:val="nil"/>
        </w:pBdr>
        <w:tabs>
          <w:tab w:val="right" w:pos="9340"/>
        </w:tabs>
        <w:spacing w:after="160" w:line="240" w:lineRule="auto"/>
        <w:jc w:val="center"/>
        <w:rPr>
          <w:rFonts w:ascii="Times New Roman" w:eastAsia="Times New Roman" w:hAnsi="Times New Roman" w:cs="Times New Roman"/>
          <w:b/>
          <w:bC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t>(EASTERN CAPE DIVISION,</w:t>
      </w:r>
      <w:r w:rsidR="0032618C" w:rsidRPr="00227BEB">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t xml:space="preserve"> MAKHANDA</w:t>
      </w:r>
      <w:r w:rsidRPr="00227BEB">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t>)</w:t>
      </w:r>
    </w:p>
    <w:p w14:paraId="42F8D3B9" w14:textId="01E30B98" w:rsidR="004E48B4" w:rsidRPr="00227BEB" w:rsidRDefault="004E48B4" w:rsidP="0059551E">
      <w:pPr>
        <w:widowControl w:val="0"/>
        <w:pBdr>
          <w:top w:val="nil"/>
          <w:left w:val="nil"/>
          <w:bottom w:val="nil"/>
          <w:right w:val="nil"/>
          <w:between w:val="nil"/>
          <w:bar w:val="nil"/>
        </w:pBdr>
        <w:tabs>
          <w:tab w:val="right" w:pos="9340"/>
        </w:tabs>
        <w:spacing w:after="160" w:line="240" w:lineRule="auto"/>
        <w:jc w:val="both"/>
        <w:rPr>
          <w:rFonts w:ascii="Times New Roman" w:eastAsia="Arial Unicode MS" w:hAnsi="Times New Roman" w:cs="Arial Unicode MS"/>
          <w:bCs/>
          <w:color w:val="auto"/>
          <w:sz w:val="28"/>
          <w:szCs w:val="28"/>
          <w:u w:color="000000"/>
          <w:bdr w:val="nil"/>
          <w:lang w:val="pt-BR" w:eastAsia="en-ZA"/>
          <w14:textOutline w14:w="12700" w14:cap="flat" w14:cmpd="sng" w14:algn="ctr">
            <w14:noFill/>
            <w14:prstDash w14:val="solid"/>
            <w14:miter w14:lim="400000"/>
          </w14:textOutline>
        </w:rPr>
      </w:pPr>
      <w:r w:rsidRPr="00227BEB">
        <w:rPr>
          <w:rFonts w:ascii="Times New Roman" w:eastAsia="Times New Roman" w:hAnsi="Times New Roman" w:cs="Times New Roman"/>
          <w:b/>
          <w:bCs/>
          <w:color w:val="auto"/>
          <w:sz w:val="28"/>
          <w:szCs w:val="28"/>
          <w:u w:color="000000"/>
          <w:bdr w:val="nil"/>
          <w:lang w:val="en-US" w:eastAsia="en-ZA"/>
          <w14:textOutline w14:w="12700" w14:cap="flat" w14:cmpd="sng" w14:algn="ctr">
            <w14:noFill/>
            <w14:prstDash w14:val="solid"/>
            <w14:miter w14:lim="400000"/>
          </w14:textOutline>
        </w:rPr>
        <w:tab/>
      </w:r>
      <w:r w:rsidR="0037252D" w:rsidRPr="00227BEB">
        <w:rPr>
          <w:rFonts w:ascii="Times New Roman" w:eastAsia="Times New Roman" w:hAnsi="Times New Roman" w:cs="Times New Roman"/>
          <w:bCs/>
          <w:color w:val="auto"/>
          <w:sz w:val="28"/>
          <w:szCs w:val="28"/>
          <w:u w:color="000000"/>
          <w:bdr w:val="nil"/>
          <w:lang w:val="pt-BR" w:eastAsia="en-ZA"/>
          <w14:textOutline w14:w="12700" w14:cap="flat" w14:cmpd="sng" w14:algn="ctr">
            <w14:noFill/>
            <w14:prstDash w14:val="solid"/>
            <w14:miter w14:lim="400000"/>
          </w14:textOutline>
        </w:rPr>
        <w:t>Case no</w:t>
      </w:r>
      <w:r w:rsidRPr="00227BEB">
        <w:rPr>
          <w:rFonts w:ascii="Times New Roman" w:eastAsia="Times New Roman" w:hAnsi="Times New Roman" w:cs="Times New Roman"/>
          <w:bCs/>
          <w:color w:val="auto"/>
          <w:sz w:val="28"/>
          <w:szCs w:val="28"/>
          <w:u w:color="000000"/>
          <w:bdr w:val="nil"/>
          <w:lang w:val="pt-BR" w:eastAsia="en-ZA"/>
          <w14:textOutline w14:w="12700" w14:cap="flat" w14:cmpd="sng" w14:algn="ctr">
            <w14:noFill/>
            <w14:prstDash w14:val="solid"/>
            <w14:miter w14:lim="400000"/>
          </w14:textOutline>
        </w:rPr>
        <w:t>:</w:t>
      </w:r>
      <w:r w:rsidR="0032618C" w:rsidRPr="00227BEB">
        <w:rPr>
          <w:rFonts w:ascii="Times New Roman" w:eastAsia="Arial Unicode MS" w:hAnsi="Times New Roman" w:cs="Arial Unicode MS"/>
          <w:bCs/>
          <w:color w:val="auto"/>
          <w:sz w:val="28"/>
          <w:szCs w:val="28"/>
          <w:u w:color="000000"/>
          <w:bdr w:val="nil"/>
          <w:lang w:val="pt-BR" w:eastAsia="en-ZA"/>
          <w14:textOutline w14:w="12700" w14:cap="flat" w14:cmpd="sng" w14:algn="ctr">
            <w14:noFill/>
            <w14:prstDash w14:val="solid"/>
            <w14:miter w14:lim="400000"/>
          </w14:textOutline>
        </w:rPr>
        <w:t xml:space="preserve"> 673/2023</w:t>
      </w:r>
    </w:p>
    <w:tbl>
      <w:tblPr>
        <w:tblW w:w="2976" w:type="dxa"/>
        <w:tblInd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7"/>
      </w:tblGrid>
      <w:tr w:rsidR="00227BEB" w:rsidRPr="00227BEB" w14:paraId="6CE42204" w14:textId="77777777" w:rsidTr="0059551E">
        <w:trPr>
          <w:trHeight w:val="542"/>
        </w:trPr>
        <w:tc>
          <w:tcPr>
            <w:tcW w:w="1559" w:type="dxa"/>
          </w:tcPr>
          <w:p w14:paraId="32016C62" w14:textId="77777777" w:rsidR="004E48B4" w:rsidRPr="00227BEB" w:rsidRDefault="004E48B4" w:rsidP="0059551E">
            <w:pPr>
              <w:widowControl w:val="0"/>
              <w:pBdr>
                <w:top w:val="nil"/>
                <w:left w:val="nil"/>
                <w:bottom w:val="nil"/>
                <w:right w:val="nil"/>
                <w:between w:val="nil"/>
                <w:bar w:val="nil"/>
              </w:pBdr>
              <w:tabs>
                <w:tab w:val="right" w:pos="9340"/>
              </w:tabs>
              <w:spacing w:after="160" w:line="240" w:lineRule="auto"/>
              <w:jc w:val="both"/>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t>Reportable</w:t>
            </w:r>
          </w:p>
        </w:tc>
        <w:tc>
          <w:tcPr>
            <w:tcW w:w="1417" w:type="dxa"/>
          </w:tcPr>
          <w:p w14:paraId="7BA7BBFF" w14:textId="65766470" w:rsidR="004E48B4" w:rsidRPr="00227BEB" w:rsidRDefault="004E48B4" w:rsidP="0059551E">
            <w:pPr>
              <w:widowControl w:val="0"/>
              <w:pBdr>
                <w:top w:val="nil"/>
                <w:left w:val="nil"/>
                <w:bottom w:val="nil"/>
                <w:right w:val="nil"/>
                <w:between w:val="nil"/>
                <w:bar w:val="nil"/>
              </w:pBdr>
              <w:tabs>
                <w:tab w:val="right" w:pos="9340"/>
              </w:tabs>
              <w:spacing w:after="160" w:line="240" w:lineRule="auto"/>
              <w:jc w:val="both"/>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color="000000"/>
                <w:bdr w:val="nil"/>
                <w:lang w:eastAsia="en-ZA"/>
                <w14:textOutline w14:w="12700" w14:cap="flat" w14:cmpd="sng" w14:algn="ctr">
                  <w14:noFill/>
                  <w14:prstDash w14:val="solid"/>
                  <w14:miter w14:lim="400000"/>
                </w14:textOutline>
              </w:rPr>
              <w:t>YES/NO</w:t>
            </w:r>
          </w:p>
        </w:tc>
      </w:tr>
    </w:tbl>
    <w:p w14:paraId="5EDF3ACB" w14:textId="16A31DED" w:rsidR="004E48B4" w:rsidRPr="00227BEB" w:rsidRDefault="004E48B4">
      <w:pPr>
        <w:pBdr>
          <w:top w:val="nil"/>
          <w:left w:val="nil"/>
          <w:bottom w:val="nil"/>
          <w:right w:val="nil"/>
          <w:between w:val="nil"/>
          <w:bar w:val="nil"/>
        </w:pBdr>
        <w:jc w:val="both"/>
        <w:rPr>
          <w:rFonts w:ascii="Times New Roman" w:eastAsia="Times New Roman" w:hAnsi="Times New Roman" w:cs="Times New Roman"/>
          <w:color w:val="auto"/>
          <w:sz w:val="28"/>
          <w:szCs w:val="28"/>
          <w:u w:color="000000"/>
          <w:bdr w:val="nil"/>
          <w:lang w:val="en-US" w:eastAsia="en-ZA"/>
        </w:rPr>
      </w:pPr>
      <w:r w:rsidRPr="00227BEB">
        <w:rPr>
          <w:rFonts w:ascii="Times New Roman" w:eastAsia="Arial Unicode MS" w:hAnsi="Times New Roman" w:cs="Arial Unicode MS"/>
          <w:color w:val="auto"/>
          <w:sz w:val="28"/>
          <w:szCs w:val="28"/>
          <w:u w:color="000000"/>
          <w:bdr w:val="nil"/>
          <w:lang w:val="en-US" w:eastAsia="en-ZA"/>
        </w:rPr>
        <w:t>In the matter between:</w:t>
      </w:r>
      <w:r w:rsidR="00412B32">
        <w:rPr>
          <w:rFonts w:ascii="Times New Roman" w:eastAsia="Arial Unicode MS" w:hAnsi="Times New Roman" w:cs="Arial Unicode MS"/>
          <w:color w:val="auto"/>
          <w:sz w:val="28"/>
          <w:szCs w:val="28"/>
          <w:u w:color="000000"/>
          <w:bdr w:val="nil"/>
          <w:lang w:val="en-US" w:eastAsia="en-ZA"/>
        </w:rPr>
        <w:t xml:space="preserve"> </w:t>
      </w:r>
    </w:p>
    <w:p w14:paraId="34DF6EBD" w14:textId="77777777" w:rsidR="004E48B4" w:rsidRPr="00227BEB" w:rsidRDefault="004E48B4">
      <w:pPr>
        <w:pBdr>
          <w:top w:val="nil"/>
          <w:left w:val="nil"/>
          <w:bottom w:val="nil"/>
          <w:right w:val="nil"/>
          <w:between w:val="nil"/>
          <w:bar w:val="nil"/>
        </w:pBdr>
        <w:jc w:val="both"/>
        <w:rPr>
          <w:rFonts w:ascii="Times New Roman" w:eastAsia="Times New Roman" w:hAnsi="Times New Roman" w:cs="Times New Roman"/>
          <w:color w:val="auto"/>
          <w:sz w:val="28"/>
          <w:szCs w:val="28"/>
          <w:u w:color="000000"/>
          <w:bdr w:val="nil"/>
          <w:lang w:val="en-US" w:eastAsia="en-ZA"/>
        </w:rPr>
      </w:pPr>
    </w:p>
    <w:p w14:paraId="52E440EA" w14:textId="653744EC" w:rsidR="0032618C" w:rsidRPr="00227BEB" w:rsidRDefault="0032618C" w:rsidP="00CD5A07">
      <w:pPr>
        <w:pBdr>
          <w:top w:val="nil"/>
          <w:left w:val="nil"/>
          <w:bottom w:val="nil"/>
          <w:right w:val="nil"/>
          <w:between w:val="nil"/>
          <w:bar w:val="nil"/>
        </w:pBdr>
        <w:spacing w:line="240" w:lineRule="auto"/>
        <w:jc w:val="both"/>
        <w:rPr>
          <w:rFonts w:ascii="Times New Roman" w:eastAsia="Arial Unicode MS" w:hAnsi="Times New Roman" w:cs="Arial Unicode MS"/>
          <w:b/>
          <w:bCs/>
          <w:color w:val="auto"/>
          <w:sz w:val="28"/>
          <w:szCs w:val="28"/>
          <w:u w:color="000000"/>
          <w:bdr w:val="nil"/>
          <w:lang w:eastAsia="en-ZA"/>
        </w:rPr>
      </w:pPr>
      <w:r w:rsidRPr="00227BEB">
        <w:rPr>
          <w:rFonts w:ascii="Times New Roman" w:eastAsia="Arial Unicode MS" w:hAnsi="Times New Roman" w:cs="Arial Unicode MS"/>
          <w:b/>
          <w:bCs/>
          <w:color w:val="auto"/>
          <w:sz w:val="28"/>
          <w:szCs w:val="28"/>
          <w:u w:color="000000"/>
          <w:bdr w:val="nil"/>
          <w:lang w:eastAsia="en-ZA"/>
        </w:rPr>
        <w:t xml:space="preserve">LIKUNGA PROTECTION &amp; SECURITY           </w:t>
      </w:r>
      <w:r w:rsidR="00EA177F" w:rsidRPr="00227BEB">
        <w:rPr>
          <w:rFonts w:ascii="Times New Roman" w:eastAsia="Arial Unicode MS" w:hAnsi="Times New Roman" w:cs="Arial Unicode MS"/>
          <w:b/>
          <w:bCs/>
          <w:color w:val="auto"/>
          <w:sz w:val="28"/>
          <w:szCs w:val="28"/>
          <w:u w:color="000000"/>
          <w:bdr w:val="nil"/>
          <w:lang w:eastAsia="en-ZA"/>
        </w:rPr>
        <w:tab/>
      </w:r>
      <w:r w:rsidR="00EA177F" w:rsidRPr="00227BEB">
        <w:rPr>
          <w:rFonts w:ascii="Times New Roman" w:eastAsia="Arial Unicode MS" w:hAnsi="Times New Roman" w:cs="Arial Unicode MS"/>
          <w:b/>
          <w:bCs/>
          <w:color w:val="auto"/>
          <w:sz w:val="28"/>
          <w:szCs w:val="28"/>
          <w:u w:color="000000"/>
          <w:bdr w:val="nil"/>
          <w:lang w:eastAsia="en-ZA"/>
        </w:rPr>
        <w:tab/>
        <w:t xml:space="preserve">         </w:t>
      </w:r>
      <w:r w:rsidRPr="00227BEB">
        <w:rPr>
          <w:rFonts w:ascii="Times New Roman" w:eastAsia="Arial Unicode MS" w:hAnsi="Times New Roman" w:cs="Arial Unicode MS"/>
          <w:bCs/>
          <w:color w:val="auto"/>
          <w:sz w:val="28"/>
          <w:szCs w:val="28"/>
          <w:u w:color="000000"/>
          <w:bdr w:val="nil"/>
          <w:lang w:eastAsia="en-ZA"/>
        </w:rPr>
        <w:t>Applicant</w:t>
      </w:r>
    </w:p>
    <w:p w14:paraId="7AA81F33" w14:textId="79F33A1A" w:rsidR="004E48B4" w:rsidRPr="00227BEB" w:rsidRDefault="0032618C" w:rsidP="00CD5A07">
      <w:pPr>
        <w:pBdr>
          <w:top w:val="nil"/>
          <w:left w:val="nil"/>
          <w:bottom w:val="nil"/>
          <w:right w:val="nil"/>
          <w:between w:val="nil"/>
          <w:bar w:val="nil"/>
        </w:pBdr>
        <w:spacing w:line="240" w:lineRule="auto"/>
        <w:jc w:val="both"/>
        <w:rPr>
          <w:rFonts w:ascii="Times New Roman" w:eastAsia="Times New Roman" w:hAnsi="Times New Roman" w:cs="Times New Roman"/>
          <w:b/>
          <w:bCs/>
          <w:color w:val="auto"/>
          <w:sz w:val="28"/>
          <w:szCs w:val="28"/>
          <w:u w:color="000000"/>
          <w:bdr w:val="nil"/>
          <w:lang w:val="en-US" w:eastAsia="en-ZA"/>
        </w:rPr>
      </w:pPr>
      <w:r w:rsidRPr="00227BEB">
        <w:rPr>
          <w:rFonts w:ascii="Times New Roman" w:eastAsia="Arial Unicode MS" w:hAnsi="Times New Roman" w:cs="Arial Unicode MS"/>
          <w:b/>
          <w:bCs/>
          <w:color w:val="auto"/>
          <w:sz w:val="28"/>
          <w:szCs w:val="28"/>
          <w:u w:color="000000"/>
          <w:bdr w:val="nil"/>
          <w:lang w:eastAsia="en-ZA"/>
        </w:rPr>
        <w:t>SERVICES (PTY) LTD</w:t>
      </w:r>
      <w:r w:rsidR="004E48B4" w:rsidRPr="00227BEB">
        <w:rPr>
          <w:rFonts w:ascii="Times New Roman" w:eastAsia="Arial Unicode MS" w:hAnsi="Times New Roman" w:cs="Arial Unicode MS"/>
          <w:color w:val="auto"/>
          <w:sz w:val="28"/>
          <w:szCs w:val="28"/>
          <w:u w:color="000000"/>
          <w:bdr w:val="nil"/>
          <w:lang w:val="en-US" w:eastAsia="en-ZA"/>
        </w:rPr>
        <w:tab/>
      </w:r>
      <w:r w:rsidR="004E48B4" w:rsidRPr="00227BEB">
        <w:rPr>
          <w:rFonts w:ascii="Times New Roman" w:eastAsia="Arial Unicode MS" w:hAnsi="Times New Roman" w:cs="Arial Unicode MS"/>
          <w:color w:val="auto"/>
          <w:sz w:val="28"/>
          <w:szCs w:val="28"/>
          <w:u w:color="000000"/>
          <w:bdr w:val="nil"/>
          <w:lang w:val="en-US" w:eastAsia="en-ZA"/>
        </w:rPr>
        <w:tab/>
      </w:r>
      <w:r w:rsidR="004E48B4" w:rsidRPr="00227BEB">
        <w:rPr>
          <w:rFonts w:ascii="Times New Roman" w:eastAsia="Arial Unicode MS" w:hAnsi="Times New Roman" w:cs="Arial Unicode MS"/>
          <w:color w:val="auto"/>
          <w:sz w:val="28"/>
          <w:szCs w:val="28"/>
          <w:u w:color="000000"/>
          <w:bdr w:val="nil"/>
          <w:lang w:val="en-US" w:eastAsia="en-ZA"/>
        </w:rPr>
        <w:tab/>
      </w:r>
    </w:p>
    <w:p w14:paraId="1EC1DFDD" w14:textId="77777777" w:rsidR="004E48B4" w:rsidRPr="00227BEB" w:rsidRDefault="004E48B4" w:rsidP="00CD5A07">
      <w:pPr>
        <w:pBdr>
          <w:top w:val="nil"/>
          <w:left w:val="nil"/>
          <w:bottom w:val="nil"/>
          <w:right w:val="nil"/>
          <w:between w:val="nil"/>
          <w:bar w:val="nil"/>
        </w:pBdr>
        <w:spacing w:line="240" w:lineRule="auto"/>
        <w:jc w:val="both"/>
        <w:rPr>
          <w:rFonts w:ascii="Times New Roman" w:eastAsia="Times New Roman" w:hAnsi="Times New Roman" w:cs="Times New Roman"/>
          <w:b/>
          <w:bCs/>
          <w:color w:val="auto"/>
          <w:sz w:val="28"/>
          <w:szCs w:val="28"/>
          <w:u w:color="000000"/>
          <w:bdr w:val="nil"/>
          <w:lang w:val="en-US" w:eastAsia="en-ZA"/>
        </w:rPr>
      </w:pPr>
    </w:p>
    <w:p w14:paraId="0EB5F056" w14:textId="5CCC93D7" w:rsidR="004E48B4" w:rsidRPr="00227BEB" w:rsidRDefault="00A1172D">
      <w:pPr>
        <w:pBdr>
          <w:top w:val="nil"/>
          <w:left w:val="nil"/>
          <w:bottom w:val="nil"/>
          <w:right w:val="nil"/>
          <w:between w:val="nil"/>
          <w:bar w:val="nil"/>
        </w:pBdr>
        <w:jc w:val="both"/>
        <w:rPr>
          <w:rFonts w:ascii="Times New Roman" w:eastAsia="Times New Roman" w:hAnsi="Times New Roman" w:cs="Times New Roman"/>
          <w:color w:val="auto"/>
          <w:sz w:val="28"/>
          <w:szCs w:val="28"/>
          <w:u w:color="000000"/>
          <w:bdr w:val="nil"/>
          <w:lang w:val="en-US" w:eastAsia="en-ZA"/>
        </w:rPr>
      </w:pPr>
      <w:r w:rsidRPr="00227BEB">
        <w:rPr>
          <w:rFonts w:ascii="Times New Roman" w:eastAsia="Arial Unicode MS" w:hAnsi="Times New Roman" w:cs="Arial Unicode MS"/>
          <w:color w:val="auto"/>
          <w:sz w:val="28"/>
          <w:szCs w:val="28"/>
          <w:u w:color="000000"/>
          <w:bdr w:val="nil"/>
          <w:lang w:val="en-US" w:eastAsia="en-ZA"/>
        </w:rPr>
        <w:t>a</w:t>
      </w:r>
      <w:r w:rsidR="004E48B4" w:rsidRPr="00227BEB">
        <w:rPr>
          <w:rFonts w:ascii="Times New Roman" w:eastAsia="Arial Unicode MS" w:hAnsi="Times New Roman" w:cs="Arial Unicode MS"/>
          <w:color w:val="auto"/>
          <w:sz w:val="28"/>
          <w:szCs w:val="28"/>
          <w:u w:color="000000"/>
          <w:bdr w:val="nil"/>
          <w:lang w:val="en-US" w:eastAsia="en-ZA"/>
        </w:rPr>
        <w:t xml:space="preserve">nd </w:t>
      </w:r>
    </w:p>
    <w:p w14:paraId="74D1DEEB" w14:textId="77777777" w:rsidR="004E48B4" w:rsidRPr="00227BEB" w:rsidRDefault="004E48B4" w:rsidP="00CD5A07">
      <w:pPr>
        <w:pBdr>
          <w:top w:val="nil"/>
          <w:left w:val="nil"/>
          <w:bottom w:val="nil"/>
          <w:right w:val="nil"/>
          <w:between w:val="nil"/>
          <w:bar w:val="nil"/>
        </w:pBdr>
        <w:spacing w:line="240" w:lineRule="auto"/>
        <w:jc w:val="both"/>
        <w:rPr>
          <w:rFonts w:ascii="Times New Roman" w:eastAsia="Times New Roman" w:hAnsi="Times New Roman" w:cs="Times New Roman"/>
          <w:color w:val="auto"/>
          <w:sz w:val="28"/>
          <w:szCs w:val="28"/>
          <w:u w:color="000000"/>
          <w:bdr w:val="nil"/>
          <w:lang w:val="en-US" w:eastAsia="en-ZA"/>
        </w:rPr>
      </w:pPr>
    </w:p>
    <w:p w14:paraId="63BDC66F" w14:textId="6FA04F94" w:rsidR="00EA177F" w:rsidRPr="00227BEB" w:rsidRDefault="0032618C" w:rsidP="00CD5A07">
      <w:pPr>
        <w:pBdr>
          <w:top w:val="nil"/>
          <w:left w:val="nil"/>
          <w:bottom w:val="nil"/>
          <w:right w:val="nil"/>
          <w:between w:val="nil"/>
          <w:bar w:val="nil"/>
        </w:pBdr>
        <w:spacing w:line="240" w:lineRule="auto"/>
        <w:jc w:val="both"/>
        <w:rPr>
          <w:rFonts w:ascii="Times New Roman" w:eastAsia="Arial Unicode MS" w:hAnsi="Times New Roman" w:cs="Arial Unicode MS"/>
          <w:b/>
          <w:bCs/>
          <w:color w:val="auto"/>
          <w:sz w:val="28"/>
          <w:szCs w:val="28"/>
          <w:u w:color="000000"/>
          <w:bdr w:val="nil"/>
          <w:lang w:eastAsia="en-ZA"/>
        </w:rPr>
      </w:pPr>
      <w:r w:rsidRPr="00227BEB">
        <w:rPr>
          <w:rFonts w:ascii="Times New Roman" w:eastAsia="Arial Unicode MS" w:hAnsi="Times New Roman" w:cs="Arial Unicode MS"/>
          <w:b/>
          <w:bCs/>
          <w:color w:val="auto"/>
          <w:sz w:val="28"/>
          <w:szCs w:val="28"/>
          <w:u w:color="000000"/>
          <w:bdr w:val="nil"/>
          <w:lang w:eastAsia="en-ZA"/>
        </w:rPr>
        <w:t xml:space="preserve">EMALAHLENI LOCAL MUNICIPALITY        </w:t>
      </w:r>
      <w:r w:rsidR="00EA177F" w:rsidRPr="00227BEB">
        <w:rPr>
          <w:rFonts w:ascii="Times New Roman" w:eastAsia="Arial Unicode MS" w:hAnsi="Times New Roman" w:cs="Arial Unicode MS"/>
          <w:b/>
          <w:bCs/>
          <w:color w:val="auto"/>
          <w:sz w:val="28"/>
          <w:szCs w:val="28"/>
          <w:u w:color="000000"/>
          <w:bdr w:val="nil"/>
          <w:lang w:eastAsia="en-ZA"/>
        </w:rPr>
        <w:tab/>
        <w:t xml:space="preserve">      </w:t>
      </w:r>
      <w:r w:rsidR="00A1172D" w:rsidRPr="00227BEB">
        <w:rPr>
          <w:rFonts w:ascii="Times New Roman" w:eastAsia="Arial Unicode MS" w:hAnsi="Times New Roman" w:cs="Arial Unicode MS"/>
          <w:bCs/>
          <w:color w:val="auto"/>
          <w:sz w:val="28"/>
          <w:szCs w:val="28"/>
          <w:u w:color="000000"/>
          <w:bdr w:val="nil"/>
          <w:lang w:eastAsia="en-ZA"/>
        </w:rPr>
        <w:t>First r</w:t>
      </w:r>
      <w:r w:rsidRPr="00227BEB">
        <w:rPr>
          <w:rFonts w:ascii="Times New Roman" w:eastAsia="Arial Unicode MS" w:hAnsi="Times New Roman" w:cs="Arial Unicode MS"/>
          <w:bCs/>
          <w:color w:val="auto"/>
          <w:sz w:val="28"/>
          <w:szCs w:val="28"/>
          <w:u w:color="000000"/>
          <w:bdr w:val="nil"/>
          <w:lang w:eastAsia="en-ZA"/>
        </w:rPr>
        <w:t>espondent</w:t>
      </w:r>
    </w:p>
    <w:p w14:paraId="23915C70" w14:textId="5415CF47" w:rsidR="0032618C" w:rsidRPr="00227BEB" w:rsidRDefault="004E48B4" w:rsidP="00CD5A07">
      <w:pPr>
        <w:pBdr>
          <w:top w:val="nil"/>
          <w:left w:val="nil"/>
          <w:bottom w:val="nil"/>
          <w:right w:val="nil"/>
          <w:between w:val="nil"/>
          <w:bar w:val="nil"/>
        </w:pBdr>
        <w:spacing w:line="240" w:lineRule="auto"/>
        <w:jc w:val="both"/>
        <w:rPr>
          <w:rFonts w:ascii="Times New Roman" w:eastAsia="Arial Unicode MS" w:hAnsi="Times New Roman" w:cs="Arial Unicode MS"/>
          <w:b/>
          <w:bCs/>
          <w:color w:val="auto"/>
          <w:sz w:val="28"/>
          <w:szCs w:val="28"/>
          <w:u w:color="000000"/>
          <w:bdr w:val="nil"/>
          <w:lang w:val="en-US" w:eastAsia="en-ZA"/>
        </w:rPr>
      </w:pPr>
      <w:r w:rsidRPr="00227BEB">
        <w:rPr>
          <w:rFonts w:ascii="Times New Roman" w:eastAsia="Arial Unicode MS" w:hAnsi="Times New Roman" w:cs="Arial Unicode MS"/>
          <w:b/>
          <w:bCs/>
          <w:color w:val="auto"/>
          <w:sz w:val="28"/>
          <w:szCs w:val="28"/>
          <w:u w:color="000000"/>
          <w:bdr w:val="nil"/>
          <w:lang w:val="en-US" w:eastAsia="en-ZA"/>
        </w:rPr>
        <w:t xml:space="preserve"> </w:t>
      </w:r>
      <w:r w:rsidRPr="00227BEB">
        <w:rPr>
          <w:rFonts w:ascii="Times New Roman" w:eastAsia="Arial Unicode MS" w:hAnsi="Times New Roman" w:cs="Arial Unicode MS"/>
          <w:b/>
          <w:bCs/>
          <w:color w:val="auto"/>
          <w:sz w:val="28"/>
          <w:szCs w:val="28"/>
          <w:u w:color="000000"/>
          <w:bdr w:val="nil"/>
          <w:lang w:val="en-US" w:eastAsia="en-ZA"/>
        </w:rPr>
        <w:tab/>
      </w:r>
    </w:p>
    <w:p w14:paraId="3261C8BF" w14:textId="6570500F" w:rsidR="004E48B4" w:rsidRPr="00227BEB" w:rsidRDefault="0032618C" w:rsidP="00CD5A07">
      <w:pPr>
        <w:pBdr>
          <w:top w:val="nil"/>
          <w:left w:val="nil"/>
          <w:bottom w:val="nil"/>
          <w:right w:val="nil"/>
          <w:between w:val="nil"/>
          <w:bar w:val="nil"/>
        </w:pBdr>
        <w:spacing w:line="240" w:lineRule="auto"/>
        <w:jc w:val="both"/>
        <w:rPr>
          <w:rFonts w:ascii="Times New Roman" w:eastAsia="Times New Roman" w:hAnsi="Times New Roman" w:cs="Times New Roman"/>
          <w:color w:val="auto"/>
          <w:sz w:val="28"/>
          <w:szCs w:val="28"/>
          <w:u w:color="000000"/>
          <w:bdr w:val="nil"/>
          <w:lang w:val="en-US" w:eastAsia="en-ZA"/>
        </w:rPr>
      </w:pPr>
      <w:r w:rsidRPr="00227BEB">
        <w:rPr>
          <w:rFonts w:ascii="Times New Roman" w:eastAsia="Arial Unicode MS" w:hAnsi="Times New Roman" w:cs="Arial Unicode MS"/>
          <w:b/>
          <w:bCs/>
          <w:color w:val="auto"/>
          <w:sz w:val="28"/>
          <w:szCs w:val="28"/>
          <w:u w:color="000000"/>
          <w:bdr w:val="nil"/>
          <w:lang w:val="en-US" w:eastAsia="en-ZA"/>
        </w:rPr>
        <w:t>SOV SECURITY SERVICES CC</w:t>
      </w:r>
      <w:r w:rsidR="004E48B4" w:rsidRPr="00227BEB">
        <w:rPr>
          <w:rFonts w:ascii="Times New Roman" w:eastAsia="Arial Unicode MS" w:hAnsi="Times New Roman" w:cs="Arial Unicode MS"/>
          <w:b/>
          <w:bCs/>
          <w:color w:val="auto"/>
          <w:sz w:val="28"/>
          <w:szCs w:val="28"/>
          <w:u w:color="000000"/>
          <w:bdr w:val="nil"/>
          <w:lang w:val="en-US" w:eastAsia="en-ZA"/>
        </w:rPr>
        <w:tab/>
      </w:r>
      <w:r w:rsidR="004E48B4" w:rsidRPr="00227BEB">
        <w:rPr>
          <w:rFonts w:ascii="Times New Roman" w:eastAsia="Arial Unicode MS" w:hAnsi="Times New Roman" w:cs="Arial Unicode MS"/>
          <w:b/>
          <w:bCs/>
          <w:color w:val="auto"/>
          <w:sz w:val="28"/>
          <w:szCs w:val="28"/>
          <w:u w:color="000000"/>
          <w:bdr w:val="nil"/>
          <w:lang w:val="en-US" w:eastAsia="en-ZA"/>
        </w:rPr>
        <w:tab/>
        <w:t xml:space="preserve">     </w:t>
      </w:r>
      <w:r w:rsidRPr="00227BEB">
        <w:rPr>
          <w:rFonts w:ascii="Times New Roman" w:eastAsia="Arial Unicode MS" w:hAnsi="Times New Roman" w:cs="Arial Unicode MS"/>
          <w:b/>
          <w:bCs/>
          <w:color w:val="auto"/>
          <w:sz w:val="28"/>
          <w:szCs w:val="28"/>
          <w:u w:color="000000"/>
          <w:bdr w:val="nil"/>
          <w:lang w:val="en-US" w:eastAsia="en-ZA"/>
        </w:rPr>
        <w:t xml:space="preserve">     </w:t>
      </w:r>
      <w:r w:rsidR="00EA177F" w:rsidRPr="00227BEB">
        <w:rPr>
          <w:rFonts w:ascii="Times New Roman" w:eastAsia="Arial Unicode MS" w:hAnsi="Times New Roman" w:cs="Arial Unicode MS"/>
          <w:b/>
          <w:bCs/>
          <w:color w:val="auto"/>
          <w:sz w:val="28"/>
          <w:szCs w:val="28"/>
          <w:u w:color="000000"/>
          <w:bdr w:val="nil"/>
          <w:lang w:val="en-US" w:eastAsia="en-ZA"/>
        </w:rPr>
        <w:tab/>
      </w:r>
      <w:r w:rsidR="00EA177F" w:rsidRPr="00227BEB">
        <w:rPr>
          <w:rFonts w:ascii="Times New Roman" w:eastAsia="Arial Unicode MS" w:hAnsi="Times New Roman" w:cs="Arial Unicode MS"/>
          <w:b/>
          <w:bCs/>
          <w:color w:val="auto"/>
          <w:sz w:val="28"/>
          <w:szCs w:val="28"/>
          <w:u w:color="000000"/>
          <w:bdr w:val="nil"/>
          <w:lang w:val="en-US" w:eastAsia="en-ZA"/>
        </w:rPr>
        <w:tab/>
        <w:t xml:space="preserve">  </w:t>
      </w:r>
      <w:r w:rsidR="00A1172D" w:rsidRPr="00227BEB">
        <w:rPr>
          <w:rFonts w:ascii="Times New Roman" w:eastAsia="Arial Unicode MS" w:hAnsi="Times New Roman" w:cs="Arial Unicode MS"/>
          <w:bCs/>
          <w:color w:val="auto"/>
          <w:sz w:val="28"/>
          <w:szCs w:val="28"/>
          <w:u w:color="000000"/>
          <w:bdr w:val="nil"/>
          <w:lang w:val="en-US" w:eastAsia="en-ZA"/>
        </w:rPr>
        <w:t>Second r</w:t>
      </w:r>
      <w:r w:rsidRPr="00227BEB">
        <w:rPr>
          <w:rFonts w:ascii="Times New Roman" w:eastAsia="Arial Unicode MS" w:hAnsi="Times New Roman" w:cs="Arial Unicode MS"/>
          <w:bCs/>
          <w:color w:val="auto"/>
          <w:sz w:val="28"/>
          <w:szCs w:val="28"/>
          <w:u w:color="000000"/>
          <w:bdr w:val="nil"/>
          <w:lang w:val="en-US" w:eastAsia="en-ZA"/>
        </w:rPr>
        <w:t>espondent</w:t>
      </w:r>
    </w:p>
    <w:p w14:paraId="6C5F0619" w14:textId="77777777" w:rsidR="004E48B4" w:rsidRPr="00227BEB" w:rsidRDefault="004E48B4" w:rsidP="00CD5A07">
      <w:pPr>
        <w:pBdr>
          <w:top w:val="nil"/>
          <w:left w:val="nil"/>
          <w:bottom w:val="single" w:sz="12" w:space="0" w:color="000000"/>
          <w:right w:val="nil"/>
          <w:between w:val="nil"/>
          <w:bar w:val="nil"/>
        </w:pBdr>
        <w:spacing w:line="240" w:lineRule="auto"/>
        <w:jc w:val="both"/>
        <w:rPr>
          <w:rFonts w:ascii="Times New Roman" w:eastAsia="Times New Roman" w:hAnsi="Times New Roman" w:cs="Times New Roman"/>
          <w:b/>
          <w:bCs/>
          <w:color w:val="auto"/>
          <w:sz w:val="28"/>
          <w:szCs w:val="28"/>
          <w:u w:color="000000"/>
          <w:bdr w:val="nil"/>
          <w:lang w:val="en-US" w:eastAsia="en-ZA"/>
        </w:rPr>
      </w:pPr>
    </w:p>
    <w:p w14:paraId="1479EE90" w14:textId="77777777" w:rsidR="004E48B4" w:rsidRPr="00227BEB" w:rsidRDefault="004E48B4" w:rsidP="00CD5A07">
      <w:pPr>
        <w:pBdr>
          <w:top w:val="nil"/>
          <w:left w:val="nil"/>
          <w:bottom w:val="nil"/>
          <w:right w:val="nil"/>
          <w:between w:val="nil"/>
          <w:bar w:val="nil"/>
        </w:pBdr>
        <w:spacing w:line="240" w:lineRule="auto"/>
        <w:jc w:val="both"/>
        <w:rPr>
          <w:rFonts w:ascii="Times New Roman" w:eastAsia="Times New Roman" w:hAnsi="Times New Roman" w:cs="Times New Roman"/>
          <w:b/>
          <w:bCs/>
          <w:color w:val="auto"/>
          <w:sz w:val="28"/>
          <w:szCs w:val="28"/>
          <w:u w:color="000000"/>
          <w:bdr w:val="nil"/>
          <w:lang w:val="en-US" w:eastAsia="en-ZA"/>
        </w:rPr>
      </w:pPr>
    </w:p>
    <w:p w14:paraId="24C1B8FF" w14:textId="24CD535E" w:rsidR="004E48B4" w:rsidRPr="00227BEB" w:rsidRDefault="004E48B4" w:rsidP="00CD5A07">
      <w:pPr>
        <w:pBdr>
          <w:top w:val="nil"/>
          <w:left w:val="nil"/>
          <w:bottom w:val="nil"/>
          <w:right w:val="nil"/>
          <w:between w:val="nil"/>
          <w:bar w:val="nil"/>
        </w:pBdr>
        <w:spacing w:line="240" w:lineRule="auto"/>
        <w:jc w:val="center"/>
        <w:rPr>
          <w:rFonts w:ascii="Times New Roman" w:eastAsia="Times New Roman" w:hAnsi="Times New Roman" w:cs="Times New Roman"/>
          <w:b/>
          <w:bCs/>
          <w:color w:val="auto"/>
          <w:sz w:val="28"/>
          <w:szCs w:val="28"/>
          <w:u w:color="000000"/>
          <w:bdr w:val="nil"/>
          <w:lang w:val="pt-BR" w:eastAsia="en-ZA"/>
        </w:rPr>
      </w:pPr>
      <w:r w:rsidRPr="00227BEB">
        <w:rPr>
          <w:rFonts w:ascii="Times New Roman" w:eastAsia="Arial Unicode MS" w:hAnsi="Times New Roman" w:cs="Arial Unicode MS"/>
          <w:b/>
          <w:bCs/>
          <w:color w:val="auto"/>
          <w:sz w:val="28"/>
          <w:szCs w:val="28"/>
          <w:u w:color="000000"/>
          <w:bdr w:val="nil"/>
          <w:lang w:val="pt-BR" w:eastAsia="en-ZA"/>
        </w:rPr>
        <w:t>JUDGMENT</w:t>
      </w:r>
    </w:p>
    <w:p w14:paraId="36E2C855" w14:textId="050EA0E0" w:rsidR="004E48B4" w:rsidRPr="00227BEB" w:rsidRDefault="004E48B4" w:rsidP="00CD5A07">
      <w:pPr>
        <w:pBdr>
          <w:top w:val="nil"/>
          <w:left w:val="nil"/>
          <w:bottom w:val="single" w:sz="12" w:space="0" w:color="000000"/>
          <w:right w:val="nil"/>
          <w:between w:val="nil"/>
          <w:bar w:val="nil"/>
        </w:pBdr>
        <w:spacing w:after="120" w:line="240" w:lineRule="auto"/>
        <w:jc w:val="both"/>
        <w:rPr>
          <w:rFonts w:ascii="Times New Roman" w:eastAsia="Times New Roman" w:hAnsi="Times New Roman" w:cs="Times New Roman"/>
          <w:b/>
          <w:bCs/>
          <w:color w:val="auto"/>
          <w:sz w:val="28"/>
          <w:szCs w:val="28"/>
          <w:u w:color="000000"/>
          <w:bdr w:val="nil"/>
          <w:lang w:val="pt-BR" w:eastAsia="en-ZA"/>
        </w:rPr>
      </w:pPr>
    </w:p>
    <w:p w14:paraId="352C3979" w14:textId="77968CE1" w:rsidR="004E48B4" w:rsidRPr="00227BEB" w:rsidRDefault="0032618C" w:rsidP="0059551E">
      <w:pPr>
        <w:widowControl w:val="0"/>
        <w:pBdr>
          <w:top w:val="nil"/>
          <w:left w:val="nil"/>
          <w:bottom w:val="nil"/>
          <w:right w:val="nil"/>
          <w:between w:val="nil"/>
          <w:bar w:val="nil"/>
        </w:pBdr>
        <w:tabs>
          <w:tab w:val="right" w:pos="567"/>
          <w:tab w:val="right" w:pos="9340"/>
        </w:tabs>
        <w:spacing w:before="240" w:after="240" w:line="480" w:lineRule="auto"/>
        <w:jc w:val="both"/>
        <w:rPr>
          <w:rFonts w:ascii="Times New Roman" w:eastAsia="Arial Unicode MS" w:hAnsi="Times New Roman" w:cs="Arial Unicode MS"/>
          <w:b/>
          <w:bCs/>
          <w:color w:val="auto"/>
          <w:sz w:val="28"/>
          <w:szCs w:val="28"/>
          <w:u w:val="single" w:color="000000"/>
          <w:bdr w:val="nil"/>
          <w:lang w:val="pt-BR"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color="000000"/>
          <w:bdr w:val="nil"/>
          <w:lang w:val="pt-BR" w:eastAsia="en-ZA"/>
          <w14:textOutline w14:w="12700" w14:cap="flat" w14:cmpd="sng" w14:algn="ctr">
            <w14:noFill/>
            <w14:prstDash w14:val="solid"/>
            <w14:miter w14:lim="400000"/>
          </w14:textOutline>
        </w:rPr>
        <w:t xml:space="preserve">Cengani-Mbakaza </w:t>
      </w:r>
      <w:r w:rsidR="004E48B4" w:rsidRPr="00227BEB">
        <w:rPr>
          <w:rFonts w:ascii="Times New Roman" w:eastAsia="Arial Unicode MS" w:hAnsi="Times New Roman" w:cs="Arial Unicode MS"/>
          <w:b/>
          <w:bCs/>
          <w:color w:val="auto"/>
          <w:sz w:val="28"/>
          <w:szCs w:val="28"/>
          <w:u w:color="000000"/>
          <w:bdr w:val="nil"/>
          <w:lang w:val="pt-BR" w:eastAsia="en-ZA"/>
          <w14:textOutline w14:w="12700" w14:cap="flat" w14:cmpd="sng" w14:algn="ctr">
            <w14:noFill/>
            <w14:prstDash w14:val="solid"/>
            <w14:miter w14:lim="400000"/>
          </w14:textOutline>
        </w:rPr>
        <w:t>AJ</w:t>
      </w:r>
    </w:p>
    <w:p w14:paraId="7CA5B391" w14:textId="77777777" w:rsidR="004E48B4" w:rsidRPr="00227BEB" w:rsidRDefault="004E48B4" w:rsidP="0059551E">
      <w:pPr>
        <w:widowControl w:val="0"/>
        <w:pBdr>
          <w:top w:val="nil"/>
          <w:left w:val="nil"/>
          <w:bottom w:val="nil"/>
          <w:right w:val="nil"/>
          <w:between w:val="nil"/>
          <w:bar w:val="nil"/>
        </w:pBdr>
        <w:tabs>
          <w:tab w:val="right" w:pos="567"/>
          <w:tab w:val="right" w:pos="9340"/>
        </w:tabs>
        <w:spacing w:before="240" w:after="240" w:line="480" w:lineRule="auto"/>
        <w:jc w:val="both"/>
        <w:rPr>
          <w:rFonts w:ascii="Times New Roman" w:eastAsia="Times New Roman" w:hAnsi="Times New Roman" w:cs="Times New Roman"/>
          <w:b/>
          <w:bCs/>
          <w:color w:val="auto"/>
          <w:sz w:val="28"/>
          <w:szCs w:val="28"/>
          <w:u w:val="single"/>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val="single"/>
          <w:bdr w:val="nil"/>
          <w:lang w:eastAsia="en-ZA"/>
          <w14:textOutline w14:w="12700" w14:cap="flat" w14:cmpd="sng" w14:algn="ctr">
            <w14:noFill/>
            <w14:prstDash w14:val="solid"/>
            <w14:miter w14:lim="400000"/>
          </w14:textOutline>
        </w:rPr>
        <w:t xml:space="preserve">Introduction </w:t>
      </w:r>
    </w:p>
    <w:p w14:paraId="694858F9" w14:textId="7AD724DC" w:rsidR="000879BC" w:rsidRPr="00227BEB" w:rsidRDefault="004E48B4" w:rsidP="000879BC">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US" w:eastAsia="en-ZA"/>
          <w14:textOutline w14:w="12700" w14:cap="flat" w14:cmpd="sng" w14:algn="ctr">
            <w14:noFill/>
            <w14:prstDash w14:val="solid"/>
            <w14:miter w14:lim="400000"/>
          </w14:textOutline>
        </w:rPr>
        <w:t>[1]</w:t>
      </w:r>
      <w:r w:rsidRPr="00227BEB">
        <w:rPr>
          <w:rFonts w:ascii="Times New Roman" w:eastAsia="Arial Unicode MS" w:hAnsi="Times New Roman" w:cs="Arial Unicode MS"/>
          <w:color w:val="auto"/>
          <w:sz w:val="28"/>
          <w:szCs w:val="28"/>
          <w:u w:color="000000"/>
          <w:bdr w:val="nil"/>
          <w:lang w:val="en-US" w:eastAsia="en-ZA"/>
          <w14:textOutline w14:w="12700" w14:cap="flat" w14:cmpd="sng" w14:algn="ctr">
            <w14:noFill/>
            <w14:prstDash w14:val="solid"/>
            <w14:miter w14:lim="400000"/>
          </w14:textOutline>
        </w:rPr>
        <w:tab/>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327C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By way of</w:t>
      </w:r>
      <w:r w:rsidR="0045673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amended</w:t>
      </w:r>
      <w:r w:rsidR="00327C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notice of motion file</w:t>
      </w:r>
      <w:r w:rsidR="00CC097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d</w:t>
      </w:r>
      <w:r w:rsidR="00327C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of</w:t>
      </w:r>
      <w:r w:rsidR="00FF17D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327C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reco</w:t>
      </w:r>
      <w:r w:rsidR="00FF17D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w:t>
      </w:r>
      <w:r w:rsidR="00327C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d and issued on </w:t>
      </w:r>
      <w:r w:rsidR="0045673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23 June 2023</w:t>
      </w:r>
      <w:r w:rsidR="00AD172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t</w:t>
      </w:r>
      <w:r w:rsidR="009C1C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he applican</w:t>
      </w:r>
      <w:r w:rsidR="00AD172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w:t>
      </w:r>
      <w:r w:rsidR="00FD0F1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a security service</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w:t>
      </w:r>
      <w:r w:rsidR="00FD0F1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provider and a private company registered in terms of the Companies Act No. 71 of 2008,</w:t>
      </w:r>
      <w:r w:rsidR="00AD172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seeks an</w:t>
      </w:r>
      <w:r w:rsidR="009C1C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order reviewing and setting aside the decision</w:t>
      </w:r>
      <w:r w:rsidR="004D740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9C1C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made by the first respondent</w:t>
      </w:r>
      <w:r w:rsidR="00D10CE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FB11A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w:t>
      </w:r>
      <w:r w:rsidR="00886F39">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lastRenderedPageBreak/>
        <w:t>M</w:t>
      </w:r>
      <w:r w:rsidR="00D10CE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w:t>
      </w:r>
      <w:r w:rsidR="00FB11A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1F003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FD0F1D" w:rsidRPr="00227BEB">
        <w:rPr>
          <w:rStyle w:val="FootnoteReference"/>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footnoteReference w:id="1"/>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9C1C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decision relates to the award of the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tender (</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FB11A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 tender or a bid</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FB11A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9C1C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under bid ELM/1/7/</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2022T in</w:t>
      </w:r>
      <w:r w:rsidR="00B61FB3"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favour of</w:t>
      </w:r>
      <w:r w:rsidR="009C1C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second </w:t>
      </w:r>
      <w:r w:rsidR="003508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respondent.</w:t>
      </w:r>
      <w:r w:rsidR="006E43E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Furthermore, the applican</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 seeks an order that either: (a</w:t>
      </w:r>
      <w:r w:rsidR="006E43E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substitutes</w:t>
      </w:r>
      <w:r w:rsidR="00623838">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M</w:t>
      </w:r>
      <w:r w:rsidR="006E43E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unicipality’s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decision</w:t>
      </w:r>
      <w:r w:rsidR="003508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with one that appoints it</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0A7D76">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alternatively;</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(b</w:t>
      </w:r>
      <w:r w:rsidR="006E43E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3508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to remit the decision to award  the second respondent back to the </w:t>
      </w:r>
      <w:r w:rsidR="00746AA0">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w:t>
      </w:r>
      <w:r w:rsidR="0035089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 for</w:t>
      </w:r>
      <w:r w:rsidR="00E8579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reconsideration.</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applicati</w:t>
      </w:r>
      <w:r w:rsidR="0082155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on is opposed by both the Municipality and the second respondent</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p>
    <w:p w14:paraId="758CA061" w14:textId="285FB0D5" w:rsidR="004E48B4" w:rsidRPr="00227BEB" w:rsidRDefault="004E48B4" w:rsidP="004E48B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On 27</w:t>
      </w:r>
      <w:r w:rsidR="00FD72C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July 2022, the </w:t>
      </w:r>
      <w:r w:rsidR="0082155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unicipality’s Bid E</w:t>
      </w:r>
      <w:r w:rsidR="00FB3FD6">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valuation Committee (</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FB3FD6">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w:t>
      </w:r>
      <w:r w:rsidR="00E8579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unicipality’s BEC</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E8579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FD72C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issued a request for the bid (</w:t>
      </w:r>
      <w:r w:rsidR="00D10CE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FD72C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RFB</w:t>
      </w:r>
      <w:r w:rsidR="00D10CE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FD72C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for the provision of security services for a period of three years. The </w:t>
      </w:r>
      <w:r w:rsidR="00FB11A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bid’s</w:t>
      </w:r>
      <w:r w:rsidR="00C3594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FB11A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closing date was 26 August 2022. </w:t>
      </w:r>
    </w:p>
    <w:p w14:paraId="094B96CD" w14:textId="0209D7B8" w:rsidR="004E48B4" w:rsidRPr="00227BEB" w:rsidRDefault="000879BC" w:rsidP="004E48B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[3</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BC077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d</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etails on the conditions of the </w:t>
      </w:r>
      <w:r w:rsidR="00FB11A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bid</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were fully outlined</w:t>
      </w:r>
      <w:r w:rsidR="004D740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at page</w:t>
      </w:r>
      <w:r w:rsidR="00C3594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w:t>
      </w:r>
      <w:r w:rsidR="004D740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25-78</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4D740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of</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w:t>
      </w:r>
      <w:r w:rsidR="004D740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RFB</w:t>
      </w:r>
      <w:r w:rsidR="00C47850" w:rsidRPr="00227BEB">
        <w:rPr>
          <w:rFonts w:ascii="Times New Roman" w:eastAsia="Arial Unicode MS" w:hAnsi="Times New Roman" w:cs="Arial Unicode MS"/>
          <w:i/>
          <w:color w:val="auto"/>
          <w:sz w:val="28"/>
          <w:szCs w:val="28"/>
          <w:u w:color="000000"/>
          <w:bdr w:val="nil"/>
          <w:lang w:val="en-GB" w:eastAsia="en-ZA"/>
          <w14:textOutline w14:w="12700" w14:cap="flat" w14:cmpd="sng" w14:algn="ctr">
            <w14:noFill/>
            <w14:prstDash w14:val="solid"/>
            <w14:miter w14:lim="400000"/>
          </w14:textOutline>
        </w:rPr>
        <w:t>, inter alia,</w:t>
      </w:r>
      <w:r w:rsidR="00BC077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as follows: </w:t>
      </w:r>
    </w:p>
    <w:p w14:paraId="29375AF7" w14:textId="76DAB714" w:rsidR="00BC0776" w:rsidRPr="00227BEB" w:rsidRDefault="00BC0776" w:rsidP="002C3CAA">
      <w:pPr>
        <w:pBdr>
          <w:top w:val="nil"/>
          <w:left w:val="nil"/>
          <w:bottom w:val="nil"/>
          <w:right w:val="nil"/>
          <w:between w:val="nil"/>
          <w:bar w:val="nil"/>
        </w:pBdr>
        <w:spacing w:before="240" w:after="120" w:line="276" w:lineRule="auto"/>
        <w:ind w:left="720" w:right="116"/>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‘Bidders will be adjudicated</w:t>
      </w:r>
      <w:r w:rsidR="00C47850"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in accordance with the Municipality</w:t>
      </w:r>
      <w:r w:rsidR="0035089B"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’s</w:t>
      </w:r>
      <w:r w:rsidR="00C47850"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Supply Chain Management Policy in terms of Preferential Procurement Policy Act new regulations 2017 and will be </w:t>
      </w:r>
      <w:r w:rsidR="002C3CAA"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based on 80/20 points system…</w:t>
      </w:r>
    </w:p>
    <w:p w14:paraId="2ADF2A64" w14:textId="1EF6E1D6" w:rsidR="00C47850" w:rsidRPr="00227BEB" w:rsidRDefault="00C47850" w:rsidP="002C3CAA">
      <w:pPr>
        <w:pBdr>
          <w:top w:val="nil"/>
          <w:left w:val="nil"/>
          <w:bottom w:val="nil"/>
          <w:right w:val="nil"/>
          <w:between w:val="nil"/>
          <w:bar w:val="nil"/>
        </w:pBdr>
        <w:spacing w:before="240" w:after="120" w:line="276" w:lineRule="auto"/>
        <w:ind w:left="720" w:right="116" w:firstLine="720"/>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Completed MBD</w:t>
      </w:r>
      <w:r w:rsidR="00D10CE4"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1</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MBD</w:t>
      </w:r>
      <w:r w:rsidR="00D10CE4"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3.3, MBD</w:t>
      </w:r>
      <w:r w:rsidR="00D10CE4"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4, MBD</w:t>
      </w:r>
      <w:r w:rsidR="00D10CE4"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6.1, MBD</w:t>
      </w:r>
      <w:r w:rsidR="00D10CE4"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7, MBD</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8 and MBD 9.</w:t>
      </w:r>
    </w:p>
    <w:p w14:paraId="5A31EF42" w14:textId="15B9A3D6" w:rsidR="00C47850" w:rsidRPr="00227BEB" w:rsidRDefault="00C47850" w:rsidP="002C3CAA">
      <w:pPr>
        <w:pBdr>
          <w:top w:val="nil"/>
          <w:left w:val="nil"/>
          <w:bottom w:val="nil"/>
          <w:right w:val="nil"/>
          <w:between w:val="nil"/>
          <w:bar w:val="nil"/>
        </w:pBdr>
        <w:spacing w:before="240" w:after="120" w:line="276" w:lineRule="auto"/>
        <w:ind w:left="720" w:right="116" w:firstLine="720"/>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All other relevant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pre</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-requisites as detailed in the b</w:t>
      </w:r>
      <w:r w:rsidR="005979CC"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i</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d documents shall apply.</w:t>
      </w:r>
    </w:p>
    <w:p w14:paraId="782898BE" w14:textId="3B27D65D" w:rsidR="00AD1729" w:rsidRPr="00227BEB" w:rsidRDefault="00C47850" w:rsidP="002C3CAA">
      <w:pPr>
        <w:pBdr>
          <w:top w:val="nil"/>
          <w:left w:val="nil"/>
          <w:bottom w:val="nil"/>
          <w:right w:val="nil"/>
          <w:between w:val="nil"/>
          <w:bar w:val="nil"/>
        </w:pBdr>
        <w:spacing w:before="240" w:after="120" w:line="276" w:lineRule="auto"/>
        <w:ind w:left="720" w:right="116"/>
        <w:jc w:val="both"/>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Fai</w:t>
      </w:r>
      <w:r w:rsidR="005979CC"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l</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ure to complete all the supplementary information will result in bidder being deemed non-responsive</w:t>
      </w:r>
      <w:r w:rsidR="00EA177F"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002C3CAA"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r w:rsidR="00DB74B0"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p>
    <w:p w14:paraId="0991F42F" w14:textId="55E1AF6E" w:rsidR="00B47C66" w:rsidRPr="00227BEB" w:rsidRDefault="004E48B4" w:rsidP="00E8579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lastRenderedPageBreak/>
        <w:t>[</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4</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Among the</w:t>
      </w:r>
      <w:r w:rsidR="0033458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set of</w:t>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documents that were to be completed</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33458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and duly signed</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one</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in particular</w:t>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included</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w:t>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MBD 5 where it w</w:t>
      </w:r>
      <w:r w:rsidR="00725EC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as expected of the bidders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to declare</w:t>
      </w:r>
      <w:r w:rsidR="00B47C66"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whether they </w:t>
      </w:r>
      <w:r w:rsidR="008010A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were</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by law</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required to submit</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w:t>
      </w:r>
      <w:r w:rsidR="00D95A1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three-year</w:t>
      </w:r>
      <w:r w:rsidR="00DB74B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Annual Financial Statements</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DB74B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AFS</w:t>
      </w:r>
      <w:r w:rsidR="00DB74B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for auditing and</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if </w:t>
      </w:r>
      <w:r w:rsidR="008010A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so</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to submit same. The MBD 5 was to be completed for all the procurement that exceed</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ed</w:t>
      </w:r>
      <w:r w:rsidR="004F1C4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R10 million rand. </w:t>
      </w:r>
    </w:p>
    <w:p w14:paraId="6165FFEB" w14:textId="71957F0F" w:rsidR="00E85795" w:rsidRPr="00227BEB" w:rsidRDefault="004F1C49" w:rsidP="00E8579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0879B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5</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The</w:t>
      </w:r>
      <w:r w:rsidR="00E8579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applicant submitted its bid along with other 24 bidders. The </w:t>
      </w:r>
      <w:r w:rsidR="00CC3A5F">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w:t>
      </w:r>
      <w:r w:rsidR="0045673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 Bid A</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djudication Committee (</w:t>
      </w:r>
      <w:r w:rsidR="00D10CE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w:t>
      </w:r>
      <w:r w:rsidR="00746AA0">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unicipality’s BAC</w:t>
      </w:r>
      <w:r w:rsidR="00D10CE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5673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disqualified the applicant’s bid due to its omission to sub</w:t>
      </w:r>
      <w:r w:rsidR="00DB74B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mit a three-year audited A</w:t>
      </w:r>
      <w:r w:rsidR="0045673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FS.</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Subsequently, the M</w:t>
      </w:r>
      <w:r w:rsidR="007B747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 BAC</w:t>
      </w:r>
      <w:r w:rsidR="007B747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recommended the appointment of the second respondent. It is against this background that the second respondent is cited in the proceedings.</w:t>
      </w:r>
    </w:p>
    <w:p w14:paraId="78C62113" w14:textId="26302A5A" w:rsidR="00C1072A" w:rsidRPr="00227BEB" w:rsidRDefault="00C1072A" w:rsidP="00E8579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[6]   </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crisp issue is whether the M</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 committed a revi</w:t>
      </w:r>
      <w:r w:rsidR="00510A0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e</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wable irregularity</w:t>
      </w:r>
      <w:r w:rsidR="00510A0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when it excluded the applicant on account of failing to furnish the audited AFS for the previous three years.</w:t>
      </w:r>
    </w:p>
    <w:p w14:paraId="44DB319E" w14:textId="06725BAD" w:rsidR="005C237E" w:rsidRPr="00227BEB" w:rsidRDefault="005C237E" w:rsidP="00E85795">
      <w:pPr>
        <w:pBdr>
          <w:top w:val="nil"/>
          <w:left w:val="nil"/>
          <w:bottom w:val="nil"/>
          <w:right w:val="nil"/>
          <w:between w:val="nil"/>
          <w:bar w:val="nil"/>
        </w:pBdr>
        <w:spacing w:before="240" w:after="120" w:line="480" w:lineRule="auto"/>
        <w:jc w:val="both"/>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t>The applicant’s case</w:t>
      </w:r>
    </w:p>
    <w:p w14:paraId="16BC0E10" w14:textId="75BDE092" w:rsidR="004E48B4" w:rsidRPr="00227BEB" w:rsidRDefault="004E48B4" w:rsidP="004E48B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C1072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7</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5C2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In his supplementary founding affidavit, Mr Mbulelo Vincent Mxoli, the applicant’s director asserts that </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5C2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requirement to submit the audited</w:t>
      </w:r>
      <w:r w:rsidR="00D95A19"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three-year</w:t>
      </w:r>
      <w:r w:rsidR="005C2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AFS which is MBD 5 of the tender documentation was not consistently applied to other bidders. </w:t>
      </w:r>
      <w:r w:rsidR="00FF17D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He further concedes that he failed to submit an AFS. </w:t>
      </w:r>
      <w:r w:rsidR="006364C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following is extracted in paragraph 15 of his supplementary </w:t>
      </w:r>
      <w:r w:rsidR="0006050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founding </w:t>
      </w:r>
      <w:r w:rsidR="006364C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affidavit</w:t>
      </w:r>
      <w:r w:rsidR="00746AA0">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p>
    <w:p w14:paraId="4DEE43F9" w14:textId="06671A75" w:rsidR="006364C5" w:rsidRPr="00227BEB" w:rsidRDefault="00EA177F" w:rsidP="00B43231">
      <w:pPr>
        <w:pBdr>
          <w:top w:val="nil"/>
          <w:left w:val="nil"/>
          <w:bottom w:val="nil"/>
          <w:right w:val="nil"/>
          <w:between w:val="nil"/>
          <w:bar w:val="nil"/>
        </w:pBdr>
        <w:spacing w:before="240" w:after="120" w:line="276" w:lineRule="auto"/>
        <w:ind w:left="720" w:right="116"/>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lastRenderedPageBreak/>
        <w:t>‘</w:t>
      </w:r>
      <w:r w:rsidR="006364C5"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15. The Applicant admits not having submitted the audited AFS as an oversight as its MBD 5 was completed and referred to the AFS</w:t>
      </w:r>
      <w:r w:rsidR="0006050D"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as attached.</w:t>
      </w:r>
      <w:r w:rsidR="006364C5"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Please refer to </w:t>
      </w:r>
      <w:r w:rsidR="006364C5" w:rsidRPr="00227BEB">
        <w:rPr>
          <w:rFonts w:ascii="Times New Roman" w:eastAsia="Arial Unicode MS" w:hAnsi="Times New Roman" w:cs="Arial Unicode MS"/>
          <w:b/>
          <w:color w:val="auto"/>
          <w:u w:color="000000"/>
          <w:bdr w:val="nil"/>
          <w:lang w:val="en-GB" w:eastAsia="en-ZA"/>
          <w14:textOutline w14:w="12700" w14:cap="flat" w14:cmpd="sng" w14:algn="ctr">
            <w14:noFill/>
            <w14:prstDash w14:val="solid"/>
            <w14:miter w14:lim="400000"/>
          </w14:textOutline>
        </w:rPr>
        <w:t>‘R1’</w:t>
      </w:r>
      <w:r w:rsidR="006364C5"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attached. However, the Applicant’s contention is that the submission of the </w:t>
      </w:r>
      <w:r w:rsidR="000879BC"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AFS</w:t>
      </w:r>
      <w:r w:rsidR="006364C5"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was not a mandatory requirement to test the responsiveness of the bids and, if it is found that indeed it was a requirement for responsiveness, the requirement was not applied consistently and unfairly applied on the Applicant as more fully set our hereunder.’</w:t>
      </w:r>
      <w:r w:rsidR="00DB74B0"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006364C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Footnote</w:t>
      </w:r>
      <w:r w:rsidR="006364C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omitted</w:t>
      </w:r>
      <w:r w:rsidR="00B4323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6364C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p>
    <w:p w14:paraId="5168CEC7" w14:textId="1ADBD8BA" w:rsidR="004E48B4" w:rsidRPr="00227BEB" w:rsidRDefault="004E48B4" w:rsidP="004E48B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C1072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8</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6364C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applicant further avers that </w:t>
      </w:r>
      <w:r w:rsidR="00C11A4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second respondent failed to submit an audited three-year </w:t>
      </w:r>
      <w:r w:rsidR="00DB74B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AFS</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C11A4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w:t>
      </w:r>
      <w:r w:rsidR="00DB74B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he statements</w:t>
      </w:r>
      <w:r w:rsidR="00CC3A5F">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C11A4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submitted were not signed.</w:t>
      </w:r>
    </w:p>
    <w:p w14:paraId="04958492" w14:textId="5C62DE73" w:rsidR="002801A1" w:rsidRPr="00227BEB" w:rsidRDefault="00CC3A5F" w:rsidP="002801A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pPr>
      <w:r>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t>The Municipality</w:t>
      </w:r>
      <w:r w:rsidR="002801A1" w:rsidRPr="00227BEB">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t>’s case</w:t>
      </w:r>
    </w:p>
    <w:p w14:paraId="594746F1" w14:textId="39588098" w:rsidR="009225B8" w:rsidRPr="00227BEB" w:rsidRDefault="004E48B4"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C1072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9</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In his answering affidavit</w:t>
      </w:r>
      <w:r w:rsidR="00BD54A4">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Mr Thobela Terrence Javu, the M</w:t>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unicipality’s erstwhile manager, avers that the listed documents in section F </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of the</w:t>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RFB were inclusive of the MBD 5. The applicant completed the MBD 5 and indicated that it was by law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required to</w:t>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prepare </w:t>
      </w:r>
      <w:r w:rsidR="00DB74B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three-year AFS</w:t>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It also indicated on the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form</w:t>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that it would attach and submit the requisite </w:t>
      </w:r>
      <w:r w:rsidR="005058F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AFS</w:t>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but</w:t>
      </w:r>
      <w:r w:rsidR="00C11A4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failed to do so.</w:t>
      </w:r>
      <w:r w:rsidR="009225B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p>
    <w:p w14:paraId="727DC3F3" w14:textId="6FA3B3D3" w:rsidR="00DB74B0" w:rsidRPr="00227BEB" w:rsidRDefault="009225B8"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C1072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10</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431D4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All the bidders were informed about the requireme</w:t>
      </w:r>
      <w:r w:rsidR="0082155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nt to submit AFS.</w:t>
      </w:r>
      <w:r w:rsidR="00431D4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second respondent, so it is averred,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submitted</w:t>
      </w:r>
      <w:r w:rsidR="002801A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three-year audited </w:t>
      </w:r>
      <w:r w:rsidR="005058F1"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AFS</w:t>
      </w:r>
      <w:r w:rsidR="00C11A4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and won the tender.</w:t>
      </w:r>
    </w:p>
    <w:p w14:paraId="43CC0992" w14:textId="6460D950" w:rsidR="00C11A4E" w:rsidRPr="00227BEB" w:rsidRDefault="00C11A4E"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t xml:space="preserve">The second </w:t>
      </w:r>
      <w:r w:rsidR="00B72662" w:rsidRPr="00227BEB">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t>respondent</w:t>
      </w:r>
      <w:r w:rsidRPr="00227BEB">
        <w:rPr>
          <w:rFonts w:ascii="Times New Roman" w:eastAsia="Arial Unicode MS" w:hAnsi="Times New Roman" w:cs="Arial Unicode MS"/>
          <w:b/>
          <w:color w:val="auto"/>
          <w:sz w:val="28"/>
          <w:szCs w:val="28"/>
          <w:u w:val="single"/>
          <w:bdr w:val="nil"/>
          <w:lang w:val="en-GB" w:eastAsia="en-ZA"/>
          <w14:textOutline w14:w="12700" w14:cap="flat" w14:cmpd="sng" w14:algn="ctr">
            <w14:noFill/>
            <w14:prstDash w14:val="solid"/>
            <w14:miter w14:lim="400000"/>
          </w14:textOutline>
        </w:rPr>
        <w:t>’s case</w:t>
      </w:r>
    </w:p>
    <w:p w14:paraId="4DF63A72" w14:textId="76E84B7B" w:rsidR="00C11A4E" w:rsidRPr="00227BEB" w:rsidRDefault="00C11A4E"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[1</w:t>
      </w:r>
      <w:r w:rsidR="00C1072A"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1</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b/>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I</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n his answering affidavit, Mr Viwe Mbobo, who </w:t>
      </w:r>
      <w:r w:rsidR="00B72662"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completed and furnished all the documents required in the RFB on behalf of the second respondent</w:t>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00B72662"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declares that he understood the tender conditions. Consequently</w:t>
      </w:r>
      <w:r w:rsidR="002C7C92">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00B72662"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he </w:t>
      </w:r>
      <w:r w:rsidR="00B72662"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lastRenderedPageBreak/>
        <w:t xml:space="preserve">made it his business to submit the second respondent’s audited </w:t>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AFS</w:t>
      </w:r>
      <w:r w:rsidR="00B72662"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for 2019/2020, 2020/2021 and 2021/2022 financial year.</w:t>
      </w:r>
    </w:p>
    <w:p w14:paraId="3EEBEDC9" w14:textId="2901A660" w:rsidR="00B72662" w:rsidRPr="00227BEB" w:rsidRDefault="00B72662"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[1</w:t>
      </w:r>
      <w:r w:rsidR="00C1072A"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2</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b/>
        <w:t>He states that the copies attached to the applicant’s founding affidavit are not the best of</w:t>
      </w:r>
      <w:r w:rsidR="006317CC"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the</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clear </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copies,</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the lack of signa</w:t>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u</w:t>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r</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e may be that the copies were made fr</w:t>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o</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m another copy. In his answering affidavit, the second respondent has annexed the </w:t>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th</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ree-year </w:t>
      </w:r>
      <w:r w:rsidR="005058F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AFS</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as VM-1</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VM</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-2 and VM-3 respectively.</w:t>
      </w:r>
    </w:p>
    <w:p w14:paraId="3238B2EE" w14:textId="0359A499" w:rsidR="005058F1" w:rsidRPr="00227BEB" w:rsidRDefault="000025DB"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b/>
          <w:color w:val="auto"/>
          <w:sz w:val="28"/>
          <w:szCs w:val="28"/>
          <w:u w:val="single"/>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color w:val="auto"/>
          <w:sz w:val="28"/>
          <w:szCs w:val="28"/>
          <w:u w:val="single"/>
          <w:bdr w:val="nil"/>
          <w:lang w:eastAsia="en-ZA"/>
          <w14:textOutline w14:w="12700" w14:cap="flat" w14:cmpd="sng" w14:algn="ctr">
            <w14:noFill/>
            <w14:prstDash w14:val="solid"/>
            <w14:miter w14:lim="400000"/>
          </w14:textOutline>
        </w:rPr>
        <w:t>The legal framework</w:t>
      </w:r>
    </w:p>
    <w:p w14:paraId="5963C169" w14:textId="3EF55B82" w:rsidR="000025DB" w:rsidRPr="00227BEB" w:rsidRDefault="000025DB"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[1</w:t>
      </w:r>
      <w:r w:rsidR="00C1072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3</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The Constitution of the Republic of South </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Africa (</w:t>
      </w:r>
      <w:r w:rsidR="00D10CE4"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the Constitution</w:t>
      </w:r>
      <w:r w:rsidR="00D10CE4"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and the Procurement Preferential Policy Framework Act</w:t>
      </w:r>
      <w:r w:rsidRPr="00227BEB">
        <w:rPr>
          <w:rFonts w:ascii="Times New Roman" w:eastAsia="Arial Unicode MS" w:hAnsi="Times New Roman" w:cs="Arial Unicode MS"/>
          <w:color w:val="auto"/>
          <w:sz w:val="28"/>
          <w:szCs w:val="28"/>
          <w:u w:color="000000"/>
          <w:bdr w:val="nil"/>
          <w:vertAlign w:val="superscript"/>
          <w:lang w:eastAsia="en-ZA"/>
          <w14:textOutline w14:w="12700" w14:cap="flat" w14:cmpd="sng" w14:algn="ctr">
            <w14:noFill/>
            <w14:prstDash w14:val="solid"/>
            <w14:miter w14:lim="400000"/>
          </w14:textOutline>
        </w:rPr>
        <w:footnoteReference w:id="2"/>
      </w:r>
      <w:r w:rsidR="00D10CE4"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PPPFA</w:t>
      </w:r>
      <w:r w:rsidR="00D10CE4"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set out a legislative framework in terms of which decisions may be taken in the procurement process.</w:t>
      </w:r>
      <w:r w:rsidR="00C1072A" w:rsidRPr="00227BEB">
        <w:rPr>
          <w:rFonts w:ascii="Times New Roman" w:eastAsia="Arial Unicode MS" w:hAnsi="Times New Roman" w:cs="Arial Unicode MS"/>
          <w:color w:val="auto"/>
          <w:u w:color="000000"/>
          <w:bdr w:val="nil"/>
          <w:lang w:eastAsia="en-ZA"/>
          <w14:textOutline w14:w="12700" w14:cap="flat" w14:cmpd="sng" w14:algn="ctr">
            <w14:noFill/>
            <w14:prstDash w14:val="solid"/>
            <w14:miter w14:lim="400000"/>
          </w14:textOutline>
        </w:rPr>
        <w:t xml:space="preserve"> </w:t>
      </w:r>
      <w:r w:rsidR="00C1072A"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The general rule under s 217 of the Constitution is that all public procurement must be effected in accordance with a system that is fair, equitable, transparent, competitive and </w:t>
      </w:r>
      <w:r w:rsidR="00C1072A" w:rsidRPr="00227BEB">
        <w:rPr>
          <w:rFonts w:ascii="Times New Roman" w:eastAsia="Arial Unicode MS" w:hAnsi="Times New Roman" w:cs="Arial Unicode MS"/>
          <w:color w:val="auto"/>
          <w:sz w:val="28"/>
          <w:szCs w:val="28"/>
          <w:bdr w:val="nil"/>
          <w:lang w:eastAsia="en-ZA"/>
          <w14:textOutline w14:w="12700" w14:cap="flat" w14:cmpd="sng" w14:algn="ctr">
            <w14:noFill/>
            <w14:prstDash w14:val="solid"/>
            <w14:miter w14:lim="400000"/>
          </w14:textOutline>
        </w:rPr>
        <w:t>cost-effective</w:t>
      </w:r>
      <w:r w:rsidR="00E61417" w:rsidRPr="00227BEB">
        <w:rPr>
          <w:rFonts w:ascii="Times New Roman" w:eastAsia="Arial Unicode MS" w:hAnsi="Times New Roman" w:cs="Arial Unicode MS"/>
          <w:color w:val="auto"/>
          <w:sz w:val="28"/>
          <w:szCs w:val="28"/>
          <w:bdr w:val="nil"/>
          <w:lang w:eastAsia="en-ZA"/>
          <w14:textOutline w14:w="12700" w14:cap="flat" w14:cmpd="sng" w14:algn="ctr">
            <w14:noFill/>
            <w14:prstDash w14:val="solid"/>
            <w14:miter w14:lim="400000"/>
          </w14:textOutline>
        </w:rPr>
        <w:t>.</w:t>
      </w:r>
      <w:r w:rsidR="00C1072A" w:rsidRPr="00227BEB">
        <w:rPr>
          <w:rStyle w:val="FootnoteReference"/>
          <w:rFonts w:ascii="Times New Roman" w:eastAsia="Arial Unicode MS" w:hAnsi="Times New Roman" w:cs="Arial Unicode MS"/>
          <w:color w:val="auto"/>
          <w:sz w:val="28"/>
          <w:szCs w:val="28"/>
          <w:bdr w:val="nil"/>
          <w:lang w:eastAsia="en-ZA"/>
          <w14:textOutline w14:w="12700" w14:cap="flat" w14:cmpd="sng" w14:algn="ctr">
            <w14:noFill/>
            <w14:prstDash w14:val="solid"/>
            <w14:miter w14:lim="400000"/>
          </w14:textOutline>
        </w:rPr>
        <w:footnoteReference w:id="3"/>
      </w:r>
    </w:p>
    <w:p w14:paraId="6377A8CF" w14:textId="7CBC2BDC" w:rsidR="00BE0F55" w:rsidRPr="00227BEB" w:rsidRDefault="008573F7" w:rsidP="00227BEB">
      <w:pPr>
        <w:jc w:val="both"/>
        <w:rPr>
          <w:rFonts w:ascii="Times New Roman" w:eastAsia="Times New Roman" w:hAnsi="Times New Roman" w:cs="Times New Roman"/>
          <w:color w:val="auto"/>
          <w:sz w:val="28"/>
          <w:szCs w:val="28"/>
          <w:lang w:eastAsia="en-ZA"/>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[1</w:t>
      </w:r>
      <w:r w:rsidR="00BE0F55"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4</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B837BE" w:rsidRPr="00227BEB">
        <w:rPr>
          <w:rFonts w:ascii="Times New Roman" w:eastAsia="Times New Roman" w:hAnsi="Times New Roman" w:cs="Times New Roman"/>
          <w:color w:val="auto"/>
          <w:sz w:val="28"/>
          <w:szCs w:val="28"/>
          <w:lang w:eastAsia="en-ZA"/>
        </w:rPr>
        <w:t xml:space="preserve">These core principles of public procurement are given effect by a range of statutes and </w:t>
      </w:r>
      <w:bookmarkStart w:id="1" w:name="0-0-0-147893"/>
      <w:bookmarkEnd w:id="1"/>
      <w:r w:rsidR="00B837BE" w:rsidRPr="00227BEB">
        <w:rPr>
          <w:rFonts w:ascii="Times New Roman" w:eastAsia="Times New Roman" w:hAnsi="Times New Roman" w:cs="Times New Roman"/>
          <w:color w:val="auto"/>
          <w:sz w:val="28"/>
          <w:szCs w:val="28"/>
          <w:lang w:eastAsia="en-ZA"/>
        </w:rPr>
        <w:t xml:space="preserve">subordinate legislation such as the regulations made in terms of the </w:t>
      </w:r>
      <w:r w:rsidR="0042037E" w:rsidRPr="00227BEB">
        <w:rPr>
          <w:rFonts w:ascii="Times New Roman" w:eastAsia="Times New Roman" w:hAnsi="Times New Roman" w:cs="Times New Roman"/>
          <w:color w:val="auto"/>
          <w:sz w:val="28"/>
          <w:szCs w:val="28"/>
          <w:lang w:eastAsia="en-ZA"/>
        </w:rPr>
        <w:t>PPPFA and</w:t>
      </w:r>
      <w:r w:rsidR="00B837BE" w:rsidRPr="00227BEB">
        <w:rPr>
          <w:rFonts w:ascii="Times New Roman" w:eastAsia="Times New Roman" w:hAnsi="Times New Roman" w:cs="Times New Roman"/>
          <w:color w:val="auto"/>
          <w:sz w:val="28"/>
          <w:szCs w:val="28"/>
          <w:lang w:eastAsia="en-ZA"/>
        </w:rPr>
        <w:t xml:space="preserve"> policies and guidelines, such as supply-chain management policies of bodies</w:t>
      </w:r>
      <w:r w:rsidR="00E61417" w:rsidRPr="00227BEB">
        <w:rPr>
          <w:rFonts w:ascii="Times New Roman" w:eastAsia="Times New Roman" w:hAnsi="Times New Roman" w:cs="Times New Roman"/>
          <w:color w:val="auto"/>
          <w:sz w:val="28"/>
          <w:szCs w:val="28"/>
          <w:lang w:eastAsia="en-ZA"/>
        </w:rPr>
        <w:t>.</w:t>
      </w:r>
      <w:r w:rsidR="008F31B3" w:rsidRPr="00227BEB">
        <w:rPr>
          <w:rStyle w:val="FootnoteReference"/>
          <w:rFonts w:ascii="Times New Roman" w:eastAsia="Times New Roman" w:hAnsi="Times New Roman" w:cs="Times New Roman"/>
          <w:color w:val="auto"/>
          <w:sz w:val="28"/>
          <w:szCs w:val="28"/>
          <w:lang w:eastAsia="en-ZA"/>
        </w:rPr>
        <w:footnoteReference w:id="4"/>
      </w:r>
      <w:bookmarkStart w:id="3" w:name="0-0-0-147897"/>
      <w:bookmarkEnd w:id="3"/>
      <w:r w:rsidR="00B837BE" w:rsidRPr="00227BEB">
        <w:rPr>
          <w:rFonts w:ascii="Times New Roman" w:eastAsia="Times New Roman" w:hAnsi="Times New Roman" w:cs="Times New Roman"/>
          <w:color w:val="auto"/>
          <w:sz w:val="28"/>
          <w:szCs w:val="28"/>
          <w:lang w:eastAsia="en-ZA"/>
        </w:rPr>
        <w:t xml:space="preserve">  In </w:t>
      </w:r>
      <w:r w:rsidR="00B837BE" w:rsidRPr="00227BEB">
        <w:rPr>
          <w:rFonts w:ascii="Times New Roman" w:eastAsia="Times New Roman" w:hAnsi="Times New Roman" w:cs="Times New Roman"/>
          <w:i/>
          <w:iCs/>
          <w:color w:val="auto"/>
          <w:sz w:val="28"/>
          <w:szCs w:val="28"/>
          <w:lang w:eastAsia="en-ZA"/>
        </w:rPr>
        <w:t xml:space="preserve">Allpay Consolidated Investment Holdings (Pty) Ltd and Others v Chief Executive Officer, South African Social Security Agency and </w:t>
      </w:r>
      <w:r w:rsidR="00B837BE" w:rsidRPr="00227BEB">
        <w:rPr>
          <w:rFonts w:ascii="Times New Roman" w:eastAsia="Times New Roman" w:hAnsi="Times New Roman" w:cs="Times New Roman"/>
          <w:i/>
          <w:iCs/>
          <w:color w:val="auto"/>
          <w:sz w:val="28"/>
          <w:szCs w:val="28"/>
          <w:lang w:eastAsia="en-ZA"/>
        </w:rPr>
        <w:lastRenderedPageBreak/>
        <w:t>Others</w:t>
      </w:r>
      <w:bookmarkStart w:id="4" w:name="0-0-0-147901"/>
      <w:bookmarkEnd w:id="4"/>
      <w:r w:rsidR="008F31B3" w:rsidRPr="00227BEB">
        <w:rPr>
          <w:rStyle w:val="FootnoteReference"/>
          <w:rFonts w:ascii="Times New Roman" w:eastAsia="Times New Roman" w:hAnsi="Times New Roman" w:cs="Times New Roman"/>
          <w:i/>
          <w:iCs/>
          <w:color w:val="auto"/>
          <w:sz w:val="28"/>
          <w:szCs w:val="28"/>
          <w:lang w:eastAsia="en-ZA"/>
        </w:rPr>
        <w:footnoteReference w:id="5"/>
      </w:r>
      <w:r w:rsidR="008F31B3" w:rsidRPr="00227BEB">
        <w:rPr>
          <w:rFonts w:ascii="Times New Roman" w:eastAsia="Times New Roman" w:hAnsi="Times New Roman" w:cs="Times New Roman"/>
          <w:color w:val="auto"/>
          <w:sz w:val="28"/>
          <w:szCs w:val="28"/>
          <w:lang w:eastAsia="en-ZA"/>
        </w:rPr>
        <w:t>,</w:t>
      </w:r>
      <w:r w:rsidR="0042037E" w:rsidRPr="00227BEB">
        <w:rPr>
          <w:rFonts w:ascii="Times New Roman" w:eastAsia="Times New Roman" w:hAnsi="Times New Roman" w:cs="Times New Roman"/>
          <w:color w:val="auto"/>
          <w:sz w:val="28"/>
          <w:szCs w:val="28"/>
          <w:lang w:eastAsia="en-ZA"/>
        </w:rPr>
        <w:t> Froneman</w:t>
      </w:r>
      <w:r w:rsidR="00A2475B" w:rsidRPr="00227BEB">
        <w:rPr>
          <w:rFonts w:ascii="Times New Roman" w:eastAsia="Times New Roman" w:hAnsi="Times New Roman" w:cs="Times New Roman"/>
          <w:color w:val="auto"/>
          <w:sz w:val="28"/>
          <w:szCs w:val="28"/>
          <w:lang w:eastAsia="en-ZA"/>
        </w:rPr>
        <w:t xml:space="preserve"> J</w:t>
      </w:r>
      <w:r w:rsidR="008F31B3" w:rsidRPr="00227BEB">
        <w:rPr>
          <w:rFonts w:ascii="Times New Roman" w:eastAsia="Times New Roman" w:hAnsi="Times New Roman" w:cs="Times New Roman"/>
          <w:i/>
          <w:color w:val="auto"/>
          <w:sz w:val="28"/>
          <w:szCs w:val="28"/>
          <w:lang w:eastAsia="en-ZA"/>
        </w:rPr>
        <w:t xml:space="preserve"> </w:t>
      </w:r>
      <w:r w:rsidR="008F31B3" w:rsidRPr="00227BEB">
        <w:rPr>
          <w:rFonts w:ascii="Times New Roman" w:eastAsia="Times New Roman" w:hAnsi="Times New Roman" w:cs="Times New Roman"/>
          <w:color w:val="auto"/>
          <w:sz w:val="28"/>
          <w:szCs w:val="28"/>
          <w:lang w:eastAsia="en-ZA"/>
        </w:rPr>
        <w:t xml:space="preserve">emphasized that </w:t>
      </w:r>
      <w:r w:rsidR="00A2475B" w:rsidRPr="00227BEB">
        <w:rPr>
          <w:rFonts w:ascii="Times New Roman" w:eastAsia="Times New Roman" w:hAnsi="Times New Roman" w:cs="Times New Roman"/>
          <w:color w:val="auto"/>
          <w:sz w:val="28"/>
          <w:szCs w:val="28"/>
          <w:lang w:eastAsia="en-ZA"/>
        </w:rPr>
        <w:t>‘</w:t>
      </w:r>
      <w:r w:rsidR="00B837BE" w:rsidRPr="00227BEB">
        <w:rPr>
          <w:rFonts w:ascii="Times New Roman" w:eastAsia="Times New Roman" w:hAnsi="Times New Roman" w:cs="Times New Roman"/>
          <w:color w:val="auto"/>
          <w:sz w:val="28"/>
          <w:szCs w:val="28"/>
          <w:lang w:eastAsia="en-ZA"/>
        </w:rPr>
        <w:t xml:space="preserve">compliance with the requirements for a valid tender process, issued in accordance with the constitutional and legislative procurement framework, is thus legally </w:t>
      </w:r>
      <w:r w:rsidR="00A2475B" w:rsidRPr="00227BEB">
        <w:rPr>
          <w:rFonts w:ascii="Times New Roman" w:eastAsia="Times New Roman" w:hAnsi="Times New Roman" w:cs="Times New Roman"/>
          <w:color w:val="auto"/>
          <w:sz w:val="28"/>
          <w:szCs w:val="28"/>
          <w:lang w:eastAsia="en-ZA"/>
        </w:rPr>
        <w:t xml:space="preserve">required', and that they </w:t>
      </w:r>
      <w:r w:rsidR="00B837BE" w:rsidRPr="00227BEB">
        <w:rPr>
          <w:rFonts w:ascii="Times New Roman" w:eastAsia="Times New Roman" w:hAnsi="Times New Roman" w:cs="Times New Roman"/>
          <w:color w:val="auto"/>
          <w:sz w:val="28"/>
          <w:szCs w:val="28"/>
          <w:lang w:eastAsia="en-ZA"/>
        </w:rPr>
        <w:t>are</w:t>
      </w:r>
      <w:r w:rsidR="00A2475B" w:rsidRPr="00227BEB">
        <w:rPr>
          <w:rFonts w:ascii="Times New Roman" w:eastAsia="Times New Roman" w:hAnsi="Times New Roman" w:cs="Times New Roman"/>
          <w:color w:val="auto"/>
          <w:sz w:val="28"/>
          <w:szCs w:val="28"/>
          <w:lang w:eastAsia="en-ZA"/>
        </w:rPr>
        <w:t xml:space="preserve"> not merely internal prescripts</w:t>
      </w:r>
      <w:r w:rsidR="00B837BE" w:rsidRPr="00227BEB">
        <w:rPr>
          <w:rFonts w:ascii="Times New Roman" w:eastAsia="Times New Roman" w:hAnsi="Times New Roman" w:cs="Times New Roman"/>
          <w:color w:val="auto"/>
          <w:sz w:val="28"/>
          <w:szCs w:val="28"/>
          <w:lang w:eastAsia="en-ZA"/>
        </w:rPr>
        <w:t xml:space="preserve"> that may be disregarded at whim</w:t>
      </w:r>
      <w:r w:rsidR="00A2475B" w:rsidRPr="00227BEB">
        <w:rPr>
          <w:rFonts w:ascii="Times New Roman" w:eastAsia="Times New Roman" w:hAnsi="Times New Roman" w:cs="Times New Roman"/>
          <w:color w:val="auto"/>
          <w:sz w:val="28"/>
          <w:szCs w:val="28"/>
          <w:lang w:eastAsia="en-ZA"/>
        </w:rPr>
        <w:t>’</w:t>
      </w:r>
      <w:r w:rsidR="00B837BE" w:rsidRPr="00227BEB">
        <w:rPr>
          <w:rFonts w:ascii="Times New Roman" w:eastAsia="Times New Roman" w:hAnsi="Times New Roman" w:cs="Times New Roman"/>
          <w:color w:val="auto"/>
          <w:sz w:val="28"/>
          <w:szCs w:val="28"/>
          <w:lang w:eastAsia="en-ZA"/>
        </w:rPr>
        <w:t>.</w:t>
      </w:r>
    </w:p>
    <w:p w14:paraId="461E9047" w14:textId="77777777" w:rsidR="00BE0F55" w:rsidRPr="00227BEB" w:rsidRDefault="00BE0F55" w:rsidP="00020BAC">
      <w:pPr>
        <w:jc w:val="both"/>
        <w:rPr>
          <w:rFonts w:ascii="Times New Roman" w:eastAsia="Times New Roman" w:hAnsi="Times New Roman" w:cs="Times New Roman"/>
          <w:color w:val="auto"/>
          <w:sz w:val="28"/>
          <w:szCs w:val="28"/>
          <w:lang w:eastAsia="en-ZA"/>
        </w:rPr>
      </w:pPr>
    </w:p>
    <w:p w14:paraId="1F9CFD9D" w14:textId="2DC697BD" w:rsidR="002F1EF1" w:rsidRPr="00227BEB" w:rsidRDefault="00BE0F55" w:rsidP="00020BAC">
      <w:pPr>
        <w:jc w:val="both"/>
        <w:rPr>
          <w:rFonts w:ascii="Times New Roman" w:eastAsia="Times New Roman" w:hAnsi="Times New Roman" w:cs="Times New Roman"/>
          <w:color w:val="auto"/>
          <w:lang w:eastAsia="en-ZA"/>
        </w:rPr>
      </w:pP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 [1</w:t>
      </w:r>
      <w:r w:rsidR="0042037E"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5</w:t>
      </w: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ab/>
        <w:t xml:space="preserve"> In terms of section 239 of the Constitution, the </w:t>
      </w:r>
      <w:r w:rsidR="00746AA0">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M</w:t>
      </w: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unicipality is an organ of the state, therefore a decision to reject a tender is an administrative action</w:t>
      </w:r>
      <w:r w:rsidR="00C41F63"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 as defined in terms of section 1 of the Promotion of Admini</w:t>
      </w:r>
      <w:r w:rsidR="00D10CE4"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strative Action Act 3 of 2000 (</w:t>
      </w:r>
      <w:r w:rsidR="00C41F63"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the PAJA). The power to review an administrative action is sourced in the </w:t>
      </w:r>
      <w:r w:rsidR="0042037E"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Constitution</w:t>
      </w:r>
      <w:r w:rsidR="00C41F63" w:rsidRPr="00227BEB">
        <w:rPr>
          <w:rStyle w:val="FootnoteReference"/>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footnoteReference w:id="6"/>
      </w:r>
      <w:r w:rsidR="00C41F63"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 and PAJA</w:t>
      </w:r>
      <w:r w:rsidR="00C77541"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w:t>
      </w:r>
      <w:r w:rsidR="00C41F63" w:rsidRPr="00227BEB">
        <w:rPr>
          <w:rStyle w:val="FootnoteReference"/>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footnoteReference w:id="7"/>
      </w:r>
    </w:p>
    <w:p w14:paraId="4653EBD5" w14:textId="2ADBFF52" w:rsidR="0055038A" w:rsidRPr="00227BEB" w:rsidRDefault="0055038A" w:rsidP="00510A01">
      <w:pPr>
        <w:rPr>
          <w:rFonts w:ascii="Times New Roman" w:eastAsia="Times New Roman" w:hAnsi="Times New Roman" w:cs="Times New Roman"/>
          <w:b/>
          <w:color w:val="auto"/>
          <w:sz w:val="28"/>
          <w:szCs w:val="28"/>
          <w:u w:val="single"/>
          <w:lang w:eastAsia="en-ZA"/>
        </w:rPr>
      </w:pPr>
    </w:p>
    <w:p w14:paraId="6E8DB007" w14:textId="11996F6A" w:rsidR="00510A01" w:rsidRPr="00227BEB" w:rsidRDefault="00510A01" w:rsidP="00510A01">
      <w:pPr>
        <w:rPr>
          <w:rFonts w:ascii="Times New Roman" w:eastAsia="Times New Roman" w:hAnsi="Times New Roman" w:cs="Times New Roman"/>
          <w:b/>
          <w:color w:val="auto"/>
          <w:sz w:val="28"/>
          <w:szCs w:val="28"/>
          <w:u w:val="single"/>
          <w:lang w:eastAsia="en-ZA"/>
        </w:rPr>
      </w:pPr>
      <w:r w:rsidRPr="00227BEB">
        <w:rPr>
          <w:rFonts w:ascii="Times New Roman" w:eastAsia="Times New Roman" w:hAnsi="Times New Roman" w:cs="Times New Roman"/>
          <w:b/>
          <w:color w:val="auto"/>
          <w:sz w:val="28"/>
          <w:szCs w:val="28"/>
          <w:u w:val="single"/>
          <w:lang w:eastAsia="en-ZA"/>
        </w:rPr>
        <w:t>The</w:t>
      </w:r>
      <w:r w:rsidR="001A5452" w:rsidRPr="00227BEB">
        <w:rPr>
          <w:rFonts w:ascii="Times New Roman" w:eastAsia="Times New Roman" w:hAnsi="Times New Roman" w:cs="Times New Roman"/>
          <w:b/>
          <w:color w:val="auto"/>
          <w:sz w:val="28"/>
          <w:szCs w:val="28"/>
          <w:u w:val="single"/>
          <w:lang w:eastAsia="en-ZA"/>
        </w:rPr>
        <w:t xml:space="preserve"> parties’</w:t>
      </w:r>
      <w:r w:rsidRPr="00227BEB">
        <w:rPr>
          <w:rFonts w:ascii="Times New Roman" w:eastAsia="Times New Roman" w:hAnsi="Times New Roman" w:cs="Times New Roman"/>
          <w:b/>
          <w:color w:val="auto"/>
          <w:sz w:val="28"/>
          <w:szCs w:val="28"/>
          <w:u w:val="single"/>
          <w:lang w:eastAsia="en-ZA"/>
        </w:rPr>
        <w:t xml:space="preserve"> legal submissions and analysis by the court</w:t>
      </w:r>
    </w:p>
    <w:p w14:paraId="0E8F34FC" w14:textId="77777777" w:rsidR="00D553F7" w:rsidRPr="00227BEB" w:rsidRDefault="00D553F7" w:rsidP="00CD5A07">
      <w:pPr>
        <w:spacing w:line="240" w:lineRule="auto"/>
        <w:ind w:left="1134"/>
        <w:rPr>
          <w:rFonts w:ascii="Times New Roman" w:eastAsia="Times New Roman" w:hAnsi="Times New Roman" w:cs="Times New Roman"/>
          <w:color w:val="auto"/>
          <w:sz w:val="28"/>
          <w:szCs w:val="28"/>
          <w:u w:val="single"/>
          <w:lang w:eastAsia="en-ZA"/>
        </w:rPr>
      </w:pPr>
    </w:p>
    <w:p w14:paraId="5192C8C9" w14:textId="72334D10" w:rsidR="004E48B4" w:rsidRPr="00227BEB" w:rsidRDefault="00D553F7" w:rsidP="006364C5">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w:t>
      </w:r>
      <w:r w:rsidR="0042037E"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16</w:t>
      </w: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ab/>
      </w:r>
      <w:r w:rsidR="00CC3A5F">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Mr Mphithi, </w:t>
      </w:r>
      <w:r w:rsidR="00510A01"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counsel</w:t>
      </w:r>
      <w:r w:rsidR="00CC3A5F">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 for the applicant</w:t>
      </w:r>
      <w:r w:rsidR="00510A01"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 argued that the submission of the AFS was not a mandatory requirement.</w:t>
      </w:r>
      <w:r w:rsidR="000C1E1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He</w:t>
      </w:r>
      <w:r w:rsidR="008705F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further criticized the manner in which the RFB was formulated. He argued </w:t>
      </w:r>
      <w:r w:rsidR="00431D4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that the failure by the M</w:t>
      </w:r>
      <w:r w:rsidR="008705F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unicipality to include MBD 5 in the RFB and in particular in the list of the section that specified the required documents rendered the RFB vague. </w:t>
      </w:r>
    </w:p>
    <w:p w14:paraId="072DB7DE" w14:textId="0C2E3779" w:rsidR="004E48B4" w:rsidRPr="00227BEB" w:rsidRDefault="000C1E18" w:rsidP="004E48B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17</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CC3A5F">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Mr Bodlani SC, counsel for the Municipality,</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on the other hand</w:t>
      </w:r>
      <w:r w:rsidR="00CC3A5F">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argued that as part of the re</w:t>
      </w:r>
      <w:r w:rsidR="00431D4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quirements for the tender, the M</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 had stipulated that the bids would be adjudicated in terms of the M</w:t>
      </w:r>
      <w:r w:rsidR="00277BD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lity’s Supply Chain </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lastRenderedPageBreak/>
        <w:t>Management Policy and P</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PPFA</w:t>
      </w:r>
      <w:r w:rsidR="00431D4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In terms of the</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Municipal Finance Management </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Act,</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56 </w:t>
      </w:r>
      <w:r w:rsidR="002C7C92">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f 2003 (MFMA),</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if the value of the transaction is expected to ex</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ce</w:t>
      </w:r>
      <w:r w:rsidR="0068765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ed R10 million vat included,</w:t>
      </w:r>
      <w:r w:rsidR="00277BD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and if the bidders are required by law to prepare annual financial statements for auditing, they are required to furnish their audited annual financial statements for the past three years as part of the tender conditions.</w:t>
      </w:r>
    </w:p>
    <w:p w14:paraId="77B3A05B" w14:textId="68DBC846" w:rsidR="006317CC" w:rsidRPr="00227BEB" w:rsidRDefault="002D039E"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18</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E48B4"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CC3A5F">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C</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ounsel further argued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that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Municipality clearly stipulated the tender conditions and the failure to submit </w:t>
      </w:r>
      <w:r w:rsidR="001A545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audited</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three-year</w:t>
      </w:r>
      <w:r w:rsidR="001A545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AFS was communicated with the applicant and it failed to comply with the tender conditions.</w:t>
      </w:r>
      <w:r w:rsidR="00CC3A5F">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Ms Nxazonke-Mashiya, counsel for the second respondent raised similar submissions to those made by counsel for the Municipality.</w:t>
      </w:r>
    </w:p>
    <w:p w14:paraId="60557C23" w14:textId="77777777" w:rsidR="006317CC" w:rsidRPr="00227BEB" w:rsidRDefault="006317CC"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p>
    <w:p w14:paraId="57C58519" w14:textId="4F0F7AC2" w:rsidR="006317CC" w:rsidRPr="00227BEB" w:rsidRDefault="006317CC" w:rsidP="00CD5A07">
      <w:pPr>
        <w:jc w:val="both"/>
        <w:rPr>
          <w:rFonts w:ascii="Times New Roman" w:eastAsia="Times New Roman" w:hAnsi="Times New Roman" w:cs="Times New Roman"/>
          <w:color w:val="auto"/>
          <w:sz w:val="28"/>
          <w:szCs w:val="28"/>
          <w:lang w:eastAsia="en-ZA"/>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19</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Whenever a court is called upon to review a decision of a public body, its powers are limited. The court’s duty is not to usurp the functions of the administrative agent. Section 8 of the PAJA provides for remedies in proceedings for judicial review, and in particular section 8(2) provides for a court to grant an order that is just and equitable. </w:t>
      </w:r>
      <w:r w:rsidR="00D95A19"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The full Court in</w:t>
      </w:r>
      <w:r w:rsidRPr="00227BEB">
        <w:rPr>
          <w:rFonts w:ascii="Times New Roman" w:eastAsia="Arial Unicode MS" w:hAnsi="Times New Roman" w:cs="Arial Unicode MS"/>
          <w:bCs/>
          <w:color w:val="auto"/>
          <w:sz w:val="28"/>
          <w:szCs w:val="28"/>
          <w:u w:color="000000"/>
          <w:bdr w:val="nil"/>
          <w:lang w:val="en-GB" w:eastAsia="en-ZA"/>
          <w14:textOutline w14:w="12700" w14:cap="flat" w14:cmpd="sng" w14:algn="ctr">
            <w14:noFill/>
            <w14:prstDash w14:val="solid"/>
            <w14:miter w14:lim="400000"/>
          </w14:textOutline>
        </w:rPr>
        <w:t xml:space="preserve"> </w:t>
      </w:r>
      <w:r w:rsidRPr="00227BEB">
        <w:rPr>
          <w:rFonts w:ascii="Times New Roman" w:eastAsia="Times New Roman" w:hAnsi="Times New Roman" w:cs="Times New Roman"/>
          <w:i/>
          <w:color w:val="auto"/>
          <w:sz w:val="28"/>
          <w:szCs w:val="28"/>
          <w:lang w:eastAsia="en-ZA"/>
        </w:rPr>
        <w:t>WDR Earthmoving</w:t>
      </w:r>
      <w:r w:rsidRPr="00227BEB">
        <w:rPr>
          <w:rStyle w:val="FootnoteReference"/>
          <w:rFonts w:ascii="Times New Roman" w:eastAsia="Times New Roman" w:hAnsi="Times New Roman" w:cs="Times New Roman"/>
          <w:color w:val="auto"/>
          <w:sz w:val="28"/>
          <w:szCs w:val="28"/>
          <w:lang w:eastAsia="en-ZA"/>
        </w:rPr>
        <w:footnoteReference w:id="8"/>
      </w:r>
      <w:r w:rsidRPr="00227BEB">
        <w:rPr>
          <w:rFonts w:ascii="Times New Roman" w:eastAsia="Times New Roman" w:hAnsi="Times New Roman" w:cs="Times New Roman"/>
          <w:i/>
          <w:color w:val="auto"/>
          <w:sz w:val="28"/>
          <w:szCs w:val="28"/>
          <w:lang w:eastAsia="en-ZA"/>
        </w:rPr>
        <w:t xml:space="preserve">, </w:t>
      </w:r>
      <w:r w:rsidRPr="00227BEB">
        <w:rPr>
          <w:rFonts w:ascii="Times New Roman" w:eastAsia="Times New Roman" w:hAnsi="Times New Roman" w:cs="Times New Roman"/>
          <w:color w:val="auto"/>
          <w:sz w:val="28"/>
          <w:szCs w:val="28"/>
          <w:lang w:eastAsia="en-ZA"/>
        </w:rPr>
        <w:t>Plasket J (as he then was)</w:t>
      </w:r>
      <w:r w:rsidR="000303C6" w:rsidRPr="00227BEB">
        <w:rPr>
          <w:rFonts w:ascii="Times New Roman" w:eastAsia="Times New Roman" w:hAnsi="Times New Roman" w:cs="Times New Roman"/>
          <w:color w:val="auto"/>
          <w:sz w:val="28"/>
          <w:szCs w:val="28"/>
          <w:lang w:eastAsia="en-ZA"/>
        </w:rPr>
        <w:t xml:space="preserve"> held:</w:t>
      </w:r>
    </w:p>
    <w:p w14:paraId="4F8FE400" w14:textId="77777777" w:rsidR="006317CC" w:rsidRPr="00227BEB" w:rsidRDefault="006317CC" w:rsidP="00CD5A07">
      <w:pPr>
        <w:jc w:val="both"/>
        <w:rPr>
          <w:rFonts w:ascii="Times New Roman" w:eastAsia="Times New Roman" w:hAnsi="Times New Roman" w:cs="Times New Roman"/>
          <w:color w:val="auto"/>
          <w:sz w:val="28"/>
          <w:szCs w:val="28"/>
          <w:lang w:eastAsia="en-ZA"/>
        </w:rPr>
      </w:pPr>
    </w:p>
    <w:p w14:paraId="5E2ABE9F" w14:textId="21DA2BC1" w:rsidR="006317CC" w:rsidRPr="00227BEB" w:rsidRDefault="006E7AF0" w:rsidP="007D096B">
      <w:pPr>
        <w:spacing w:line="240" w:lineRule="auto"/>
        <w:ind w:left="450" w:right="296"/>
        <w:jc w:val="both"/>
        <w:rPr>
          <w:rFonts w:ascii="Times New Roman" w:eastAsia="Times New Roman" w:hAnsi="Times New Roman" w:cs="Times New Roman"/>
          <w:color w:val="auto"/>
          <w:lang w:eastAsia="en-ZA"/>
        </w:rPr>
      </w:pPr>
      <w:r w:rsidRPr="00227BEB">
        <w:rPr>
          <w:rFonts w:ascii="Times New Roman" w:eastAsia="Times New Roman" w:hAnsi="Times New Roman" w:cs="Times New Roman"/>
          <w:color w:val="auto"/>
          <w:lang w:eastAsia="en-ZA"/>
        </w:rPr>
        <w:t>‘</w:t>
      </w:r>
      <w:r w:rsidR="006317CC" w:rsidRPr="00227BEB">
        <w:rPr>
          <w:rFonts w:ascii="Times New Roman" w:eastAsia="Times New Roman" w:hAnsi="Times New Roman" w:cs="Times New Roman"/>
          <w:color w:val="auto"/>
          <w:lang w:eastAsia="en-ZA"/>
        </w:rPr>
        <w:t>Administrative action may only be set aside by a court exercising its review powers if it is irregular. It may not be interfered with because it is a decision a judge considers to be wrong</w:t>
      </w:r>
      <w:r w:rsidRPr="00227BEB">
        <w:rPr>
          <w:rFonts w:ascii="Times New Roman" w:eastAsia="Times New Roman" w:hAnsi="Times New Roman" w:cs="Times New Roman"/>
          <w:color w:val="auto"/>
          <w:lang w:eastAsia="en-ZA"/>
        </w:rPr>
        <w:t>’.</w:t>
      </w:r>
    </w:p>
    <w:p w14:paraId="512973ED" w14:textId="77777777" w:rsidR="00107D14" w:rsidRPr="00227BEB" w:rsidRDefault="00107D14" w:rsidP="00CD5A07">
      <w:pPr>
        <w:ind w:left="1134"/>
        <w:jc w:val="both"/>
        <w:rPr>
          <w:rFonts w:ascii="Times New Roman" w:eastAsia="Times New Roman" w:hAnsi="Times New Roman" w:cs="Times New Roman"/>
          <w:color w:val="auto"/>
          <w:lang w:eastAsia="en-ZA"/>
        </w:rPr>
      </w:pPr>
    </w:p>
    <w:p w14:paraId="17DD6B63" w14:textId="1B1493F2" w:rsidR="00107D14" w:rsidRPr="00227BEB" w:rsidRDefault="00107D14"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[2</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0</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b/>
        <w:t xml:space="preserve">Whether the applicant’s tender offer was correctly declared as non-responsive has to be decided in the context of the decision in </w:t>
      </w:r>
      <w:r w:rsidRPr="00227BEB">
        <w:rPr>
          <w:rFonts w:ascii="Times New Roman" w:eastAsia="Arial Unicode MS" w:hAnsi="Times New Roman" w:cs="Arial Unicode MS"/>
          <w:i/>
          <w:color w:val="auto"/>
          <w:sz w:val="28"/>
          <w:szCs w:val="28"/>
          <w:u w:color="000000"/>
          <w:bdr w:val="nil"/>
          <w:lang w:eastAsia="en-ZA"/>
          <w14:textOutline w14:w="12700" w14:cap="flat" w14:cmpd="sng" w14:algn="ctr">
            <w14:noFill/>
            <w14:prstDash w14:val="solid"/>
            <w14:miter w14:lim="400000"/>
          </w14:textOutline>
        </w:rPr>
        <w:t xml:space="preserve">Dr JS Moroka </w:t>
      </w:r>
      <w:r w:rsidR="0042037E" w:rsidRPr="00227BEB">
        <w:rPr>
          <w:rFonts w:ascii="Times New Roman" w:eastAsia="Arial Unicode MS" w:hAnsi="Times New Roman" w:cs="Arial Unicode MS"/>
          <w:i/>
          <w:color w:val="auto"/>
          <w:sz w:val="28"/>
          <w:szCs w:val="28"/>
          <w:u w:color="000000"/>
          <w:bdr w:val="nil"/>
          <w:lang w:eastAsia="en-ZA"/>
          <w14:textOutline w14:w="12700" w14:cap="flat" w14:cmpd="sng" w14:algn="ctr">
            <w14:noFill/>
            <w14:prstDash w14:val="solid"/>
            <w14:miter w14:lim="400000"/>
          </w14:textOutline>
        </w:rPr>
        <w:t>Municipality</w:t>
      </w:r>
      <w:r w:rsidRPr="00227BEB">
        <w:rPr>
          <w:rFonts w:ascii="Times New Roman" w:eastAsia="Arial Unicode MS" w:hAnsi="Times New Roman" w:cs="Arial Unicode MS"/>
          <w:i/>
          <w:color w:val="auto"/>
          <w:sz w:val="28"/>
          <w:szCs w:val="28"/>
          <w:u w:color="000000"/>
          <w:bdr w:val="nil"/>
          <w:lang w:eastAsia="en-ZA"/>
          <w14:textOutline w14:w="12700" w14:cap="flat" w14:cmpd="sng" w14:algn="ctr">
            <w14:noFill/>
            <w14:prstDash w14:val="solid"/>
            <w14:miter w14:lim="400000"/>
          </w14:textOutline>
        </w:rPr>
        <w:t xml:space="preserve"> &amp;Others v Betram (Pty) (Ltd) &amp; Another</w:t>
      </w:r>
      <w:r w:rsidRPr="00227BEB">
        <w:rPr>
          <w:rStyle w:val="FootnoteReference"/>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footnoteReference w:id="9"/>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where it was held that it </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lastRenderedPageBreak/>
        <w:t xml:space="preserve">was for the </w:t>
      </w:r>
      <w:r w:rsidR="00746AA0">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M</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unicipality and not the court to decide the prerequisites for a valid tender. It is well-established that a failure to comply with the prescribed conditions would result in a tender being disqualified as an </w:t>
      </w:r>
      <w:r w:rsidR="002C7C92">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acce</w:t>
      </w:r>
      <w:r w:rsidR="005151C0"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p</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table tender</w:t>
      </w:r>
      <w:r w:rsidR="00746AA0">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unless those conditions were immaterial, unreasonable and unconstitutional.</w:t>
      </w:r>
    </w:p>
    <w:p w14:paraId="246D78A1" w14:textId="77777777" w:rsidR="00107D14" w:rsidRPr="00227BEB" w:rsidRDefault="00107D14"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p>
    <w:p w14:paraId="062EA7B2" w14:textId="5FCBD2B7" w:rsidR="004A43BD" w:rsidRPr="00227BEB" w:rsidRDefault="004A43BD"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1</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F218C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I</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n the </w:t>
      </w:r>
      <w:r w:rsidR="0055038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present instance</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I</w:t>
      </w:r>
      <w:r w:rsidR="00F218C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disagree with the arguments raised by the applican</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w:t>
      </w:r>
      <w:r w:rsidR="00353B6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’s counsel </w:t>
      </w:r>
      <w:r w:rsidR="00F218C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for the following reasons: </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Section</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168 of the Local Government; </w:t>
      </w:r>
      <w:r w:rsidR="007D096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MFMA</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in particular Regulation 21(</w:t>
      </w:r>
      <w:r w:rsidRPr="00227BEB">
        <w:rPr>
          <w:rFonts w:ascii="Times New Roman" w:eastAsia="Arial Unicode MS" w:hAnsi="Times New Roman" w:cs="Arial Unicode MS"/>
          <w:i/>
          <w:color w:val="auto"/>
          <w:sz w:val="28"/>
          <w:szCs w:val="28"/>
          <w:u w:color="000000"/>
          <w:bdr w:val="nil"/>
          <w:lang w:val="en-GB" w:eastAsia="en-ZA"/>
          <w14:textOutline w14:w="12700" w14:cap="flat" w14:cmpd="sng" w14:algn="ctr">
            <w14:noFill/>
            <w14:prstDash w14:val="solid"/>
            <w14:miter w14:lim="400000"/>
          </w14:textOutline>
        </w:rPr>
        <w:t>d</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provides:</w:t>
      </w:r>
    </w:p>
    <w:p w14:paraId="10A62C83" w14:textId="77777777" w:rsidR="004A43BD" w:rsidRPr="00227BEB" w:rsidRDefault="004A43BD"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p>
    <w:p w14:paraId="55C2DD78" w14:textId="54BF0198" w:rsidR="004A43BD" w:rsidRPr="00227BEB" w:rsidRDefault="004A43BD" w:rsidP="000303C6">
      <w:pPr>
        <w:spacing w:line="276" w:lineRule="auto"/>
        <w:ind w:left="1134"/>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‘A supply chain management policy must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determine</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the criteria to which bid documentation for a competitive bidding process must comply, and state that in addition to regulation 13 the bid document must</w:t>
      </w:r>
    </w:p>
    <w:p w14:paraId="1027CDE0" w14:textId="5488001F" w:rsidR="004A43BD" w:rsidRPr="00227BEB" w:rsidRDefault="004A43BD" w:rsidP="000303C6">
      <w:pPr>
        <w:spacing w:line="276" w:lineRule="auto"/>
        <w:ind w:left="1134"/>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p>
    <w:p w14:paraId="00797ECE" w14:textId="1D730119" w:rsidR="004A43BD" w:rsidRPr="00227BEB" w:rsidRDefault="004A43BD" w:rsidP="000303C6">
      <w:pPr>
        <w:spacing w:line="276" w:lineRule="auto"/>
        <w:ind w:left="1134"/>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i/>
          <w:color w:val="auto"/>
          <w:u w:color="000000"/>
          <w:bdr w:val="nil"/>
          <w:lang w:val="en-GB" w:eastAsia="en-ZA"/>
          <w14:textOutline w14:w="12700" w14:cap="flat" w14:cmpd="sng" w14:algn="ctr">
            <w14:noFill/>
            <w14:prstDash w14:val="solid"/>
            <w14:miter w14:lim="400000"/>
          </w14:textOutline>
        </w:rPr>
        <w:t>d</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If</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the value of the transaction is expected to exceed R10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million (</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VAT included</w:t>
      </w:r>
      <w:r w:rsidR="000303C6"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require bidders to furnish</w:t>
      </w:r>
      <w:r w:rsidR="000303C6" w:rsidRPr="00227BEB">
        <w:rPr>
          <w:rFonts w:ascii="Times New Roman" w:eastAsia="Arial Unicode MS" w:hAnsi="Times New Roman" w:cs="Times New Roman"/>
          <w:color w:val="auto"/>
          <w:u w:color="000000"/>
          <w:bdr w:val="nil"/>
          <w:lang w:val="en-GB" w:eastAsia="en-ZA"/>
          <w14:textOutline w14:w="12700" w14:cap="flat" w14:cmpd="sng" w14:algn="ctr">
            <w14:noFill/>
            <w14:prstDash w14:val="solid"/>
            <w14:miter w14:lim="400000"/>
          </w14:textOutline>
        </w:rPr>
        <w:t>―</w:t>
      </w:r>
    </w:p>
    <w:p w14:paraId="299D68CF" w14:textId="31DEF593" w:rsidR="0085709E" w:rsidRPr="00227BEB" w:rsidRDefault="0085709E" w:rsidP="000303C6">
      <w:pPr>
        <w:spacing w:line="276" w:lineRule="auto"/>
        <w:ind w:left="1134"/>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(i)  </w:t>
      </w:r>
      <w:r w:rsidR="0042037E"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If</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the bidder is required by law to prepare annual financial statements for auditing, their audited</w:t>
      </w:r>
      <w:r w:rsidR="000303C6"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annual</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financial statements-</w:t>
      </w:r>
    </w:p>
    <w:p w14:paraId="3B5D3CC1" w14:textId="42051AE5" w:rsidR="0085709E" w:rsidRPr="00227BEB" w:rsidRDefault="0085709E" w:rsidP="000303C6">
      <w:pPr>
        <w:spacing w:line="276" w:lineRule="auto"/>
        <w:ind w:left="1134"/>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i/>
          <w:color w:val="auto"/>
          <w:u w:color="000000"/>
          <w:bdr w:val="nil"/>
          <w:lang w:val="en-GB" w:eastAsia="en-ZA"/>
          <w14:textOutline w14:w="12700" w14:cap="flat" w14:cmpd="sng" w14:algn="ctr">
            <w14:noFill/>
            <w14:prstDash w14:val="solid"/>
            <w14:miter w14:lim="400000"/>
          </w14:textOutline>
        </w:rPr>
        <w:t>aa</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for the past three years;or</w:t>
      </w:r>
    </w:p>
    <w:p w14:paraId="7D0CC0A9" w14:textId="073235D6" w:rsidR="0085709E" w:rsidRPr="00227BEB" w:rsidRDefault="0085709E" w:rsidP="000303C6">
      <w:pPr>
        <w:spacing w:line="276" w:lineRule="auto"/>
        <w:ind w:left="1134"/>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i/>
          <w:color w:val="auto"/>
          <w:u w:color="000000"/>
          <w:bdr w:val="nil"/>
          <w:lang w:val="en-GB" w:eastAsia="en-ZA"/>
          <w14:textOutline w14:w="12700" w14:cap="flat" w14:cmpd="sng" w14:algn="ctr">
            <w14:noFill/>
            <w14:prstDash w14:val="solid"/>
            <w14:miter w14:lim="400000"/>
          </w14:textOutline>
        </w:rPr>
        <w:t>bb</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since the</w:t>
      </w:r>
      <w:r w:rsidR="000303C6"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ir</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 xml:space="preserve"> establishment if established during the past three years</w:t>
      </w:r>
      <w:r w:rsidR="0055038A"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t>’</w:t>
      </w:r>
    </w:p>
    <w:p w14:paraId="21548297" w14:textId="77777777" w:rsidR="0085709E" w:rsidRPr="00227BEB" w:rsidRDefault="0085709E" w:rsidP="00CD5A07">
      <w:pPr>
        <w:ind w:left="1134"/>
        <w:jc w:val="both"/>
        <w:rPr>
          <w:rFonts w:ascii="Times New Roman" w:eastAsia="Arial Unicode MS" w:hAnsi="Times New Roman" w:cs="Arial Unicode MS"/>
          <w:color w:val="auto"/>
          <w:u w:color="000000"/>
          <w:bdr w:val="nil"/>
          <w:lang w:val="en-GB" w:eastAsia="en-ZA"/>
          <w14:textOutline w14:w="12700" w14:cap="flat" w14:cmpd="sng" w14:algn="ctr">
            <w14:noFill/>
            <w14:prstDash w14:val="solid"/>
            <w14:miter w14:lim="400000"/>
          </w14:textOutline>
        </w:rPr>
      </w:pPr>
    </w:p>
    <w:p w14:paraId="62C8878D" w14:textId="7AD9F32A" w:rsidR="0085709E" w:rsidRPr="00227BEB" w:rsidRDefault="0085709E"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t xml:space="preserv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From this</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extract, it is clear that the submission of the AFS for a three-year period</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in cases where the value of the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transaction</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is expected to exceed R10 million</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is</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 mandatory requirement. </w:t>
      </w:r>
      <w:r w:rsidR="005151C0" w:rsidRPr="00227BEB">
        <w:rPr>
          <w:rFonts w:ascii="Times New Roman" w:eastAsia="Arial Unicode MS" w:hAnsi="Times New Roman" w:cs="Arial Unicode MS"/>
          <w:i/>
          <w:color w:val="auto"/>
          <w:sz w:val="28"/>
          <w:szCs w:val="28"/>
          <w:u w:color="000000"/>
          <w:bdr w:val="nil"/>
          <w:lang w:val="en-GB" w:eastAsia="en-ZA"/>
          <w14:textOutline w14:w="12700" w14:cap="flat" w14:cmpd="sng" w14:algn="ctr">
            <w14:noFill/>
            <w14:prstDash w14:val="solid"/>
            <w14:miter w14:lim="400000"/>
          </w14:textOutline>
        </w:rPr>
        <w:t>In casu</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it is common cause </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that the tender was for more than R10 million.</w:t>
      </w:r>
      <w:r w:rsidR="005F78D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appl</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icant’s counsel criticized the M</w:t>
      </w:r>
      <w:r w:rsidR="005F78D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 for its failure to list the MBD 5 in the section that deal</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w:t>
      </w:r>
      <w:r w:rsidR="005F78D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with checklist of the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documents that</w:t>
      </w:r>
      <w:r w:rsidR="005F78D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were required. </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C</w:t>
      </w:r>
      <w:r w:rsidR="005F78D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onsidering the fact that the MBD 5 was annexed in the RFB as part of the documents that were required to be completed</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by the tendere</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s, this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criticism</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has no basis.</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he </w:t>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w:t>
      </w:r>
      <w:r w:rsidR="002A66F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was very explicit in what it intended to achieve.</w:t>
      </w:r>
    </w:p>
    <w:p w14:paraId="40D0EE26" w14:textId="77777777" w:rsidR="00F218C2" w:rsidRPr="00227BEB" w:rsidRDefault="00F218C2"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p>
    <w:p w14:paraId="2A4D0D09" w14:textId="64DA619C" w:rsidR="00F218C2" w:rsidRPr="00227BEB" w:rsidRDefault="00F218C2" w:rsidP="00CD5A07">
      <w:pPr>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3</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0D636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applicant’s completion of MBD 5 document clearly illustrates that the applicant was fully aware of what the Municipality intended to achieve. </w:t>
      </w:r>
      <w:r w:rsidR="002A66F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Furthermore, </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applicant</w:t>
      </w:r>
      <w:r w:rsidR="002A66F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admitted that the failure to submit the</w:t>
      </w:r>
      <w:r w:rsidR="0054264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audited</w:t>
      </w:r>
      <w:r w:rsidR="005A1B4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three-</w:t>
      </w:r>
      <w:r w:rsidR="005A1B4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lastRenderedPageBreak/>
        <w:t>year</w:t>
      </w:r>
      <w:r w:rsidR="002A66F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AFS</w:t>
      </w:r>
      <w:r w:rsidR="0055038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after it completed MBD 5</w:t>
      </w:r>
      <w:r w:rsidR="002A66F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was due to an oversight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on its</w:t>
      </w:r>
      <w:r w:rsidR="002A66F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part. In a competitive environmen</w:t>
      </w:r>
      <w:r w:rsidR="001A392A">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 as in the present case, the M</w:t>
      </w:r>
      <w:r w:rsidR="002A66F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 cannot be blamed for the omissions caused by a tenderer who failed to pay attention to the stipulations of the RFB.</w:t>
      </w:r>
      <w:r w:rsidR="00353B6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937D7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obligation t</w:t>
      </w:r>
      <w:r w:rsidR="00F6348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o</w:t>
      </w:r>
      <w:r w:rsidR="00937D7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furnish</w:t>
      </w:r>
      <w:r w:rsidR="0054264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w:t>
      </w:r>
      <w:r w:rsidR="00937D7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audited </w:t>
      </w:r>
      <w:r w:rsidR="005A1B4C"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three-year </w:t>
      </w:r>
      <w:r w:rsidR="00937D7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AFS is statutorily prescribed. </w:t>
      </w:r>
      <w:r w:rsidR="005C244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Supreme Court of Appeal</w:t>
      </w:r>
      <w:r w:rsidR="0054264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in</w:t>
      </w:r>
      <w:r w:rsidR="0054264D" w:rsidRPr="00227BEB">
        <w:rPr>
          <w:color w:val="auto"/>
        </w:rPr>
        <w:t xml:space="preserve"> </w:t>
      </w:r>
      <w:r w:rsidR="0054264D" w:rsidRPr="00227BEB">
        <w:rPr>
          <w:rFonts w:ascii="Times New Roman" w:hAnsi="Times New Roman" w:cs="Times New Roman"/>
          <w:i/>
          <w:color w:val="auto"/>
          <w:sz w:val="28"/>
          <w:szCs w:val="28"/>
        </w:rPr>
        <w:t>WD</w:t>
      </w:r>
      <w:r w:rsidR="000A7D76">
        <w:rPr>
          <w:rFonts w:ascii="Times New Roman" w:hAnsi="Times New Roman" w:cs="Times New Roman"/>
          <w:i/>
          <w:color w:val="auto"/>
          <w:sz w:val="28"/>
          <w:szCs w:val="28"/>
        </w:rPr>
        <w:t>R</w:t>
      </w:r>
      <w:r w:rsidR="0054264D" w:rsidRPr="00227BEB">
        <w:rPr>
          <w:rFonts w:ascii="Times New Roman" w:hAnsi="Times New Roman" w:cs="Times New Roman"/>
          <w:i/>
          <w:color w:val="auto"/>
          <w:sz w:val="28"/>
          <w:szCs w:val="28"/>
        </w:rPr>
        <w:t xml:space="preserve"> Earthmoving</w:t>
      </w:r>
      <w:r w:rsidR="000A7D76">
        <w:rPr>
          <w:rFonts w:ascii="Times New Roman" w:hAnsi="Times New Roman" w:cs="Times New Roman"/>
          <w:i/>
          <w:color w:val="auto"/>
          <w:sz w:val="28"/>
          <w:szCs w:val="28"/>
        </w:rPr>
        <w:t xml:space="preserve"> Enterprice &amp; Another v Joe Gqabi District Municipality and Others </w:t>
      </w:r>
      <w:r w:rsidR="000A7D76">
        <w:rPr>
          <w:rFonts w:ascii="Times New Roman" w:hAnsi="Times New Roman" w:cs="Times New Roman"/>
          <w:iCs/>
          <w:color w:val="auto"/>
          <w:sz w:val="28"/>
          <w:szCs w:val="28"/>
        </w:rPr>
        <w:t>(“WDR Earthmoving”)</w:t>
      </w:r>
      <w:r w:rsidR="0054264D"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acknowledged that</w:t>
      </w:r>
      <w:r w:rsidR="00937D7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fai</w:t>
      </w:r>
      <w:r w:rsidR="005151C0"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l</w:t>
      </w:r>
      <w:r w:rsidR="00937D7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ure to provide the requisite audited AFS cannot be regarded as trivial, or of a minor nature. Consequently, the requirement</w:t>
      </w:r>
      <w:r w:rsidR="005C2447"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937D7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cannot be described as immaterial, unreasonable or unconstitutional</w:t>
      </w:r>
      <w:r w:rsidR="0065449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937D7A" w:rsidRPr="00227BEB">
        <w:rPr>
          <w:rStyle w:val="FootnoteReference"/>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footnoteReference w:id="10"/>
      </w:r>
      <w:r w:rsidR="001A392A">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Based on the aforesaid, the M</w:t>
      </w:r>
      <w:r w:rsidR="001A5452"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 was correct in concluding that the applicant’s bid was non-responsive</w:t>
      </w:r>
      <w:r w:rsidR="009D46F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therefor it was entitled to disqualify the applicant’s tender.</w:t>
      </w:r>
    </w:p>
    <w:p w14:paraId="4BEF4B5F" w14:textId="77777777" w:rsidR="003D516E" w:rsidRPr="00227BEB" w:rsidRDefault="003D516E" w:rsidP="002C7C92">
      <w:pPr>
        <w:spacing w:line="24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p>
    <w:p w14:paraId="0F4B18C2" w14:textId="238AC523" w:rsidR="003D516E" w:rsidRPr="00227BEB" w:rsidRDefault="003D516E" w:rsidP="00CD5A07">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[2</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4</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b/>
      </w:r>
      <w:r w:rsidR="006570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t</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wo further arguments </w:t>
      </w:r>
      <w:r w:rsidR="006570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raised by the applicant’s counsel need consideration.</w:t>
      </w:r>
      <w:r w:rsidR="004F6A0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Referring to the SCA’s decision in </w:t>
      </w:r>
      <w:r w:rsidR="004F6A0A" w:rsidRPr="00227BEB">
        <w:rPr>
          <w:rFonts w:ascii="Times New Roman" w:eastAsia="Arial Unicode MS" w:hAnsi="Times New Roman" w:cs="Arial Unicode MS"/>
          <w:i/>
          <w:color w:val="auto"/>
          <w:sz w:val="28"/>
          <w:szCs w:val="28"/>
          <w:u w:color="000000"/>
          <w:bdr w:val="nil"/>
          <w:lang w:val="en-GB" w:eastAsia="en-ZA"/>
          <w14:textOutline w14:w="12700" w14:cap="flat" w14:cmpd="sng" w14:algn="ctr">
            <w14:noFill/>
            <w14:prstDash w14:val="solid"/>
            <w14:miter w14:lim="400000"/>
          </w14:textOutline>
        </w:rPr>
        <w:t>WDR Earthmoving</w:t>
      </w:r>
      <w:r w:rsidR="002C7C92" w:rsidRPr="002C7C92">
        <w:rPr>
          <w:rFonts w:ascii="Times New Roman" w:eastAsia="Arial Unicode MS" w:hAnsi="Times New Roman" w:cs="Arial Unicode MS"/>
          <w:iCs/>
          <w:color w:val="auto"/>
          <w:sz w:val="28"/>
          <w:szCs w:val="28"/>
          <w:u w:color="000000"/>
          <w:bdr w:val="nil"/>
          <w:lang w:val="en-GB" w:eastAsia="en-ZA"/>
          <w14:textOutline w14:w="12700" w14:cap="flat" w14:cmpd="sng" w14:algn="ctr">
            <w14:noFill/>
            <w14:prstDash w14:val="solid"/>
            <w14:miter w14:lim="400000"/>
          </w14:textOutline>
        </w:rPr>
        <w:t>,</w:t>
      </w:r>
      <w:r w:rsidR="004F6A0A" w:rsidRPr="00227BEB">
        <w:rPr>
          <w:rStyle w:val="FootnoteReference"/>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footnoteReference w:id="11"/>
      </w:r>
      <w:r w:rsidR="000A7D76">
        <w:rPr>
          <w:rFonts w:ascii="Times New Roman" w:eastAsia="Arial Unicode MS" w:hAnsi="Times New Roman" w:cs="Arial Unicode MS"/>
          <w:i/>
          <w:color w:val="auto"/>
          <w:sz w:val="28"/>
          <w:szCs w:val="28"/>
          <w:u w:color="000000"/>
          <w:bdr w:val="nil"/>
          <w:lang w:val="en-GB" w:eastAsia="en-ZA"/>
          <w14:textOutline w14:w="12700" w14:cap="flat" w14:cmpd="sng" w14:algn="ctr">
            <w14:noFill/>
            <w14:prstDash w14:val="solid"/>
            <w14:miter w14:lim="400000"/>
          </w14:textOutline>
        </w:rPr>
        <w:t xml:space="preserve"> </w:t>
      </w:r>
      <w:r w:rsidR="004F6A0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the applicant’s counsel argued that the second respondent submitted statements which were unaudited and therefore its bid should have been declared non-responsive in accordance with the tender conditions. Had the submission of the AFS been a requirement, the second respondent would not have been awarded the tender, so the argument continued.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The three</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year </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AFS </w:t>
      </w:r>
      <w:r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that were annexed in the second respondent’s offer were unaudited on the basis that they were unsigned</w:t>
      </w:r>
      <w:r w:rsidR="006570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he argued</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w:t>
      </w:r>
      <w:r w:rsidR="0042037E"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applicant’s counsel</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further argued that the first respondent’s decision to award the tender to the second respondent should be remitted to the </w:t>
      </w:r>
      <w:r w:rsidR="00746AA0">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w:t>
      </w:r>
      <w:r w:rsidR="001B2CAA"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unicipality for reconsideration.</w:t>
      </w:r>
      <w:r w:rsidR="006E43E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By contrast, the second </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lastRenderedPageBreak/>
        <w:t>respondent submitted that the</w:t>
      </w:r>
      <w:r w:rsidR="006E43EB"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three-year</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AFS were properly signed by the auditors </w:t>
      </w:r>
      <w:r w:rsidR="006570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and</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the applicant’s copie</w:t>
      </w:r>
      <w:r w:rsidR="006570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s faded</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because a lot of copies were made f</w:t>
      </w:r>
      <w:r w:rsidR="006570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ro</w:t>
      </w:r>
      <w:r w:rsidR="00F01AEF"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m the original.</w:t>
      </w:r>
      <w:r w:rsidR="00657028" w:rsidRPr="00227BEB">
        <w:rPr>
          <w:rFonts w:ascii="Times New Roman" w:eastAsia="Arial Unicode MS" w:hAnsi="Times New Roman" w:cs="Arial Unicode MS"/>
          <w:color w:val="auto"/>
          <w:sz w:val="28"/>
          <w:szCs w:val="28"/>
          <w:u w:color="000000"/>
          <w:bdr w:val="nil"/>
          <w:lang w:val="en-GB" w:eastAsia="en-ZA"/>
          <w14:textOutline w14:w="12700" w14:cap="flat" w14:cmpd="sng" w14:algn="ctr">
            <w14:noFill/>
            <w14:prstDash w14:val="solid"/>
            <w14:miter w14:lim="400000"/>
          </w14:textOutline>
        </w:rPr>
        <w:t xml:space="preserve"> </w:t>
      </w:r>
    </w:p>
    <w:p w14:paraId="2FDBE20B" w14:textId="451ED7E6" w:rsidR="0055038A" w:rsidRPr="00227BEB" w:rsidRDefault="00657028" w:rsidP="00CD5A07">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005F03BD"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2</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5</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b/>
        <w:t xml:space="preserve"> </w:t>
      </w:r>
      <w:r w:rsidR="0065449F"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It is observed that</w:t>
      </w:r>
      <w:r w:rsidR="0065449F" w:rsidRPr="00227BEB">
        <w:rPr>
          <w:color w:val="auto"/>
        </w:rPr>
        <w:t xml:space="preserve"> </w:t>
      </w:r>
      <w:r w:rsidR="0065449F" w:rsidRPr="00227BEB">
        <w:rPr>
          <w:rFonts w:ascii="Times New Roman" w:eastAsia="Arial Unicode MS" w:hAnsi="Times New Roman" w:cs="Arial Unicode MS"/>
          <w:i/>
          <w:color w:val="auto"/>
          <w:sz w:val="28"/>
          <w:szCs w:val="28"/>
          <w:u w:color="000000"/>
          <w:bdr w:val="nil"/>
          <w:lang w:eastAsia="en-ZA"/>
          <w14:textOutline w14:w="12700" w14:cap="flat" w14:cmpd="sng" w14:algn="ctr">
            <w14:noFill/>
            <w14:prstDash w14:val="solid"/>
            <w14:miter w14:lim="400000"/>
          </w14:textOutline>
        </w:rPr>
        <w:t>WDR Earthmoving</w:t>
      </w:r>
      <w:r w:rsidR="0065449F"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t>
      </w:r>
      <w:r w:rsidR="00FC5073"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case</w:t>
      </w:r>
      <w:r w:rsidR="00D35206">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t>
      </w:r>
      <w:r w:rsidR="00FC5073"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has distinct elements that make it different f</w:t>
      </w:r>
      <w:r w:rsidR="005A1B4C"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ro</w:t>
      </w:r>
      <w:r w:rsidR="00FC5073"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m the present case, and these differences are relevant to the decision</w:t>
      </w:r>
      <w:r w:rsidR="0065449F"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-making process. In the case of</w:t>
      </w:r>
      <w:r w:rsidR="0065449F" w:rsidRPr="00227BEB">
        <w:rPr>
          <w:color w:val="auto"/>
        </w:rPr>
        <w:t xml:space="preserve"> </w:t>
      </w:r>
      <w:r w:rsidR="0065449F" w:rsidRPr="00227BEB">
        <w:rPr>
          <w:rFonts w:ascii="Times New Roman" w:eastAsia="Arial Unicode MS" w:hAnsi="Times New Roman" w:cs="Arial Unicode MS"/>
          <w:i/>
          <w:color w:val="auto"/>
          <w:sz w:val="28"/>
          <w:szCs w:val="28"/>
          <w:u w:color="000000"/>
          <w:bdr w:val="nil"/>
          <w:lang w:eastAsia="en-ZA"/>
          <w14:textOutline w14:w="12700" w14:cap="flat" w14:cmpd="sng" w14:algn="ctr">
            <w14:noFill/>
            <w14:prstDash w14:val="solid"/>
            <w14:miter w14:lim="400000"/>
          </w14:textOutline>
        </w:rPr>
        <w:t>WDR Earthmoving</w:t>
      </w:r>
      <w:r w:rsidR="00FC5073"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the</w:t>
      </w:r>
      <w:r w:rsidR="00DD02D5"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re</w:t>
      </w:r>
      <w:r w:rsidR="00FC5073"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was a consensus that the AFS were not audited. The SCA ruled that the fourth respondent’s tender was deemed non-responsive due to its failure to submit audited AFS for a period of three years. In the current case, there is a disagreement about whether the</w:t>
      </w:r>
      <w:r w:rsidR="005A1B4C"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three-year</w:t>
      </w:r>
      <w:r w:rsidR="00FC5073"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AFS were audited or not, and this dispute triggers the application of </w:t>
      </w:r>
      <w:r w:rsidR="00FC5073" w:rsidRPr="00227BEB">
        <w:rPr>
          <w:rFonts w:ascii="Times New Roman" w:eastAsia="Arial Unicode MS" w:hAnsi="Times New Roman" w:cs="Arial Unicode MS"/>
          <w:i/>
          <w:color w:val="auto"/>
          <w:sz w:val="28"/>
          <w:szCs w:val="28"/>
          <w:u w:color="000000"/>
          <w:bdr w:val="nil"/>
          <w:lang w:eastAsia="en-ZA"/>
          <w14:textOutline w14:w="12700" w14:cap="flat" w14:cmpd="sng" w14:algn="ctr">
            <w14:noFill/>
            <w14:prstDash w14:val="solid"/>
            <w14:miter w14:lim="400000"/>
          </w14:textOutline>
        </w:rPr>
        <w:t>Plascon Evans</w:t>
      </w:r>
      <w:r w:rsidR="00D35206">
        <w:rPr>
          <w:rStyle w:val="FootnoteReference"/>
          <w:rFonts w:ascii="Times New Roman" w:eastAsia="Arial Unicode MS" w:hAnsi="Times New Roman" w:cs="Arial Unicode MS"/>
          <w:i/>
          <w:color w:val="auto"/>
          <w:sz w:val="28"/>
          <w:szCs w:val="28"/>
          <w:u w:color="000000"/>
          <w:bdr w:val="nil"/>
          <w:lang w:eastAsia="en-ZA"/>
          <w14:textOutline w14:w="12700" w14:cap="flat" w14:cmpd="sng" w14:algn="ctr">
            <w14:noFill/>
            <w14:prstDash w14:val="solid"/>
            <w14:miter w14:lim="400000"/>
          </w14:textOutline>
        </w:rPr>
        <w:footnoteReference w:id="12"/>
      </w:r>
      <w:r w:rsidR="00FC5073"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principle.</w:t>
      </w:r>
      <w:r w:rsidR="00AD569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t>
      </w:r>
    </w:p>
    <w:p w14:paraId="34FEC22A" w14:textId="6A168ECF" w:rsidR="00657028" w:rsidRPr="00227BEB" w:rsidRDefault="0055038A" w:rsidP="00CD5A07">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[26] </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b/>
      </w:r>
      <w:r w:rsidR="00AD569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After examining the second </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respondent’s three</w:t>
      </w:r>
      <w:r w:rsidR="00DD02D5"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-year </w:t>
      </w:r>
      <w:r w:rsidR="00AD569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AFS, I speci</w:t>
      </w:r>
      <w:r w:rsidR="00DD02D5"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fically requested that the appli</w:t>
      </w:r>
      <w:r w:rsidR="00AD569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cant’s </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counsel provide</w:t>
      </w:r>
      <w:r w:rsidR="00AD569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a convincing argument to support their claim regarding the second respondent’s </w:t>
      </w:r>
      <w:r w:rsidR="00DD02D5"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three-year </w:t>
      </w:r>
      <w:r w:rsidR="00AD5691"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AFS. </w:t>
      </w:r>
      <w:r w:rsidR="00DD02D5"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However, their argument was unconvincing because the second respondent’s three-year AFS, which is part of the documents submitted to the court bear the signature of one Mr </w:t>
      </w:r>
      <w:r w:rsidR="001F1B94"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Tshabalala with practice number </w:t>
      </w:r>
      <w:r w:rsidR="005C17A1">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BAP (SA) 1725</w:t>
      </w:r>
      <w:r w:rsidR="001F1B94"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t>
      </w:r>
      <w:r w:rsidR="00DD02D5"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purportedly the auditor, on page 1 of the documents. </w:t>
      </w:r>
      <w:r w:rsidR="008A4E1D"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Although the signature appears on the first page of the filed documents</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and not on the other pages</w:t>
      </w:r>
      <w:r w:rsidR="008A4E1D"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it is undisputed that the AFS were </w:t>
      </w:r>
      <w:r w:rsidR="008A4E1D"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lastRenderedPageBreak/>
        <w:t>audited by the same firm of auditors, and each statement includes the following components: accountant’s report, member’s approval,</w:t>
      </w:r>
      <w:r w:rsidR="002C7C92">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t>
      </w:r>
      <w:r w:rsidR="008A4E1D"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audit committee responsibilities, statement of comprehensive income, statement of financial position, statement of cash flows, and statement of changes in equity. The inclusion of all these requisite components in the AFS squarely rebuts the applicant’s </w:t>
      </w:r>
      <w:r w:rsidR="001A392A">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claim that the M</w:t>
      </w:r>
      <w:r w:rsidR="004F6A0A"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unicipality’s decision lacked reasonable grounds or justification.</w:t>
      </w:r>
      <w:r w:rsidR="005A1B4C"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Therefore, </w:t>
      </w:r>
      <w:r w:rsidR="001A392A">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the applicant’s claim that the M</w:t>
      </w:r>
      <w:r w:rsidR="005A1B4C"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unicipality acted arbitrarily or capriously in awardin</w:t>
      </w:r>
      <w:r w:rsidR="004F6A0A"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g</w:t>
      </w:r>
      <w:r w:rsidR="005A1B4C"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the tender to the second respondent lacks legal merit.</w:t>
      </w:r>
      <w:r w:rsidR="006E43EB"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w:t>
      </w:r>
      <w:r w:rsidR="00FA425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It stands to reason therefore that the applicant has failed to make out a case for the relief sought. In the exercise of my judicial discretion, I find no compelling reason to deviate from the established </w:t>
      </w:r>
      <w:r w:rsidR="0042037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principle that</w:t>
      </w:r>
      <w:r w:rsidR="00FA425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 xml:space="preserve"> the successful party should be awarded costs, and therefore, I rule that the costs should follow the event.</w:t>
      </w:r>
    </w:p>
    <w:p w14:paraId="65263465" w14:textId="77777777" w:rsidR="004E48B4" w:rsidRPr="00227BEB" w:rsidRDefault="004E48B4" w:rsidP="00CD5A07">
      <w:pPr>
        <w:pBdr>
          <w:top w:val="nil"/>
          <w:left w:val="nil"/>
          <w:bottom w:val="nil"/>
          <w:right w:val="nil"/>
          <w:between w:val="nil"/>
          <w:bar w:val="nil"/>
        </w:pBdr>
        <w:spacing w:before="240" w:after="120" w:line="480" w:lineRule="auto"/>
        <w:jc w:val="both"/>
        <w:rPr>
          <w:rFonts w:ascii="Times New Roman" w:eastAsia="Arial Unicode MS" w:hAnsi="Times New Roman" w:cs="Arial Unicode MS"/>
          <w:b/>
          <w:color w:val="auto"/>
          <w:sz w:val="28"/>
          <w:szCs w:val="28"/>
          <w:u w:val="single"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color w:val="auto"/>
          <w:sz w:val="28"/>
          <w:szCs w:val="28"/>
          <w:u w:val="single" w:color="000000"/>
          <w:bdr w:val="nil"/>
          <w:lang w:eastAsia="en-ZA"/>
          <w14:textOutline w14:w="12700" w14:cap="flat" w14:cmpd="sng" w14:algn="ctr">
            <w14:noFill/>
            <w14:prstDash w14:val="solid"/>
            <w14:miter w14:lim="400000"/>
          </w14:textOutline>
        </w:rPr>
        <w:t>Order</w:t>
      </w:r>
    </w:p>
    <w:p w14:paraId="071C52D3" w14:textId="32303F9A" w:rsidR="004E48B4" w:rsidRPr="00227BEB" w:rsidRDefault="004E48B4" w:rsidP="00CD5A07">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pP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00FA425E"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2</w:t>
      </w:r>
      <w:r w:rsidR="0055038A"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7</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w:t>
      </w:r>
      <w:r w:rsidRPr="00227BEB">
        <w:rPr>
          <w:rFonts w:ascii="Times New Roman" w:eastAsia="Arial Unicode MS" w:hAnsi="Times New Roman" w:cs="Arial Unicode MS"/>
          <w:color w:val="auto"/>
          <w:sz w:val="28"/>
          <w:szCs w:val="28"/>
          <w:u w:color="000000"/>
          <w:bdr w:val="nil"/>
          <w:lang w:eastAsia="en-ZA"/>
          <w14:textOutline w14:w="12700" w14:cap="flat" w14:cmpd="sng" w14:algn="ctr">
            <w14:noFill/>
            <w14:prstDash w14:val="solid"/>
            <w14:miter w14:lim="400000"/>
          </w14:textOutline>
        </w:rPr>
        <w:tab/>
        <w:t>The following order shall issue:</w:t>
      </w:r>
    </w:p>
    <w:p w14:paraId="1E132A19" w14:textId="162BF18E" w:rsidR="004E48B4" w:rsidRPr="00227BEB" w:rsidRDefault="004E48B4" w:rsidP="00CD5A07">
      <w:pPr>
        <w:pBdr>
          <w:top w:val="nil"/>
          <w:left w:val="nil"/>
          <w:bottom w:val="nil"/>
          <w:right w:val="nil"/>
          <w:between w:val="nil"/>
          <w:bar w:val="nil"/>
        </w:pBdr>
        <w:spacing w:before="240" w:after="120" w:line="480" w:lineRule="auto"/>
        <w:jc w:val="both"/>
        <w:rPr>
          <w:rFonts w:ascii="Times New Roman" w:eastAsia="Arial Unicode MS" w:hAnsi="Times New Roman" w:cs="Arial Unicode MS"/>
          <w:b/>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color w:val="auto"/>
          <w:sz w:val="28"/>
          <w:szCs w:val="28"/>
          <w:u w:color="000000"/>
          <w:bdr w:val="nil"/>
          <w:lang w:val="en-GB" w:eastAsia="en-ZA"/>
          <w14:textOutline w14:w="12700" w14:cap="flat" w14:cmpd="sng" w14:algn="ctr">
            <w14:noFill/>
            <w14:prstDash w14:val="solid"/>
            <w14:miter w14:lim="400000"/>
          </w14:textOutline>
        </w:rPr>
        <w:t xml:space="preserve">The </w:t>
      </w:r>
      <w:r w:rsidR="005569BD" w:rsidRPr="00227BEB">
        <w:rPr>
          <w:rFonts w:ascii="Times New Roman" w:eastAsia="Arial Unicode MS" w:hAnsi="Times New Roman" w:cs="Arial Unicode MS"/>
          <w:b/>
          <w:color w:val="auto"/>
          <w:sz w:val="28"/>
          <w:szCs w:val="28"/>
          <w:u w:color="000000"/>
          <w:bdr w:val="nil"/>
          <w:lang w:val="en-GB" w:eastAsia="en-ZA"/>
          <w14:textOutline w14:w="12700" w14:cap="flat" w14:cmpd="sng" w14:algn="ctr">
            <w14:noFill/>
            <w14:prstDash w14:val="solid"/>
            <w14:miter w14:lim="400000"/>
          </w14:textOutline>
        </w:rPr>
        <w:t xml:space="preserve">review </w:t>
      </w:r>
      <w:r w:rsidRPr="00227BEB">
        <w:rPr>
          <w:rFonts w:ascii="Times New Roman" w:eastAsia="Arial Unicode MS" w:hAnsi="Times New Roman" w:cs="Arial Unicode MS"/>
          <w:b/>
          <w:color w:val="auto"/>
          <w:sz w:val="28"/>
          <w:szCs w:val="28"/>
          <w:u w:color="000000"/>
          <w:bdr w:val="nil"/>
          <w:lang w:val="en-GB" w:eastAsia="en-ZA"/>
          <w14:textOutline w14:w="12700" w14:cap="flat" w14:cmpd="sng" w14:algn="ctr">
            <w14:noFill/>
            <w14:prstDash w14:val="solid"/>
            <w14:miter w14:lim="400000"/>
          </w14:textOutline>
        </w:rPr>
        <w:t>application</w:t>
      </w:r>
      <w:r w:rsidR="005569BD" w:rsidRPr="00227BEB">
        <w:rPr>
          <w:rFonts w:ascii="Times New Roman" w:eastAsia="Arial Unicode MS" w:hAnsi="Times New Roman" w:cs="Arial Unicode MS"/>
          <w:b/>
          <w:color w:val="auto"/>
          <w:sz w:val="28"/>
          <w:szCs w:val="28"/>
          <w:u w:color="000000"/>
          <w:bdr w:val="nil"/>
          <w:lang w:val="en-GB" w:eastAsia="en-ZA"/>
          <w14:textOutline w14:w="12700" w14:cap="flat" w14:cmpd="sng" w14:algn="ctr">
            <w14:noFill/>
            <w14:prstDash w14:val="solid"/>
            <w14:miter w14:lim="400000"/>
          </w14:textOutline>
        </w:rPr>
        <w:t xml:space="preserve"> is dismissed with costs.</w:t>
      </w:r>
      <w:r w:rsidRPr="00227BEB">
        <w:rPr>
          <w:rFonts w:ascii="Times New Roman" w:eastAsia="Arial Unicode MS" w:hAnsi="Times New Roman" w:cs="Arial Unicode MS"/>
          <w:b/>
          <w:color w:val="auto"/>
          <w:sz w:val="28"/>
          <w:szCs w:val="28"/>
          <w:u w:color="000000"/>
          <w:bdr w:val="nil"/>
          <w:lang w:val="en-GB" w:eastAsia="en-ZA"/>
          <w14:textOutline w14:w="12700" w14:cap="flat" w14:cmpd="sng" w14:algn="ctr">
            <w14:noFill/>
            <w14:prstDash w14:val="solid"/>
            <w14:miter w14:lim="400000"/>
          </w14:textOutline>
        </w:rPr>
        <w:t xml:space="preserve"> </w:t>
      </w:r>
    </w:p>
    <w:p w14:paraId="31980478" w14:textId="77777777" w:rsidR="004E48B4" w:rsidRPr="00227BEB" w:rsidRDefault="004E48B4" w:rsidP="0055038A">
      <w:pPr>
        <w:pBdr>
          <w:top w:val="nil"/>
          <w:left w:val="nil"/>
          <w:bottom w:val="nil"/>
          <w:right w:val="nil"/>
          <w:between w:val="nil"/>
          <w:bar w:val="nil"/>
        </w:pBdr>
        <w:spacing w:before="240" w:after="120" w:line="240" w:lineRule="auto"/>
        <w:jc w:val="both"/>
        <w:rPr>
          <w:rFonts w:ascii="Times New Roman" w:eastAsia="Arial Unicode MS" w:hAnsi="Times New Roman" w:cs="Arial Unicode MS"/>
          <w:b/>
          <w:color w:val="auto"/>
          <w:sz w:val="28"/>
          <w:szCs w:val="28"/>
          <w:u w:color="000000"/>
          <w:bdr w:val="nil"/>
          <w:lang w:val="en-GB" w:eastAsia="en-ZA"/>
          <w14:textOutline w14:w="12700" w14:cap="flat" w14:cmpd="sng" w14:algn="ctr">
            <w14:noFill/>
            <w14:prstDash w14:val="solid"/>
            <w14:miter w14:lim="400000"/>
          </w14:textOutline>
        </w:rPr>
      </w:pPr>
    </w:p>
    <w:p w14:paraId="2FF038BA" w14:textId="77777777" w:rsidR="004E48B4" w:rsidRPr="00227BEB" w:rsidRDefault="004E48B4" w:rsidP="0055038A">
      <w:pPr>
        <w:pBdr>
          <w:top w:val="nil"/>
          <w:left w:val="nil"/>
          <w:bottom w:val="nil"/>
          <w:right w:val="nil"/>
          <w:between w:val="nil"/>
          <w:bar w:val="nil"/>
        </w:pBdr>
        <w:spacing w:before="240" w:after="120" w:line="240" w:lineRule="auto"/>
        <w:jc w:val="both"/>
        <w:rPr>
          <w:rFonts w:ascii="Times New Roman" w:eastAsia="Arial Unicode MS" w:hAnsi="Times New Roman" w:cs="Arial Unicode MS"/>
          <w:b/>
          <w:bCs/>
          <w:color w:val="auto"/>
          <w:sz w:val="28"/>
          <w:szCs w:val="28"/>
          <w:u w:val="single"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val="single" w:color="000000"/>
          <w:bdr w:val="nil"/>
          <w:lang w:val="en-GB" w:eastAsia="en-ZA"/>
          <w14:textOutline w14:w="12700" w14:cap="flat" w14:cmpd="sng" w14:algn="ctr">
            <w14:noFill/>
            <w14:prstDash w14:val="solid"/>
            <w14:miter w14:lim="400000"/>
          </w14:textOutline>
        </w:rPr>
        <w:t>____________________</w:t>
      </w:r>
    </w:p>
    <w:p w14:paraId="2DBCF5D6" w14:textId="24F629C3" w:rsidR="004E48B4" w:rsidRPr="00227BEB" w:rsidRDefault="004E48B4" w:rsidP="0055038A">
      <w:pPr>
        <w:pBdr>
          <w:top w:val="nil"/>
          <w:left w:val="nil"/>
          <w:bottom w:val="nil"/>
          <w:right w:val="nil"/>
          <w:between w:val="nil"/>
          <w:bar w:val="nil"/>
        </w:pBdr>
        <w:spacing w:before="240" w:after="120" w:line="240" w:lineRule="auto"/>
        <w:jc w:val="both"/>
        <w:rPr>
          <w:rFonts w:ascii="Times New Roman" w:eastAsia="Arial Unicode MS" w:hAnsi="Times New Roman" w:cs="Arial Unicode MS"/>
          <w:b/>
          <w:bC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color="000000"/>
          <w:bdr w:val="nil"/>
          <w:lang w:val="en-GB" w:eastAsia="en-ZA"/>
          <w14:textOutline w14:w="12700" w14:cap="flat" w14:cmpd="sng" w14:algn="ctr">
            <w14:noFill/>
            <w14:prstDash w14:val="solid"/>
            <w14:miter w14:lim="400000"/>
          </w14:textOutline>
        </w:rPr>
        <w:t>N CENGANI-MBAKAZA</w:t>
      </w:r>
    </w:p>
    <w:p w14:paraId="452FEA69" w14:textId="77777777" w:rsidR="004E48B4" w:rsidRPr="00227BEB" w:rsidRDefault="004E48B4" w:rsidP="0055038A">
      <w:pPr>
        <w:pBdr>
          <w:top w:val="nil"/>
          <w:left w:val="nil"/>
          <w:bottom w:val="nil"/>
          <w:right w:val="nil"/>
          <w:between w:val="nil"/>
          <w:bar w:val="nil"/>
        </w:pBdr>
        <w:spacing w:before="240" w:after="120" w:line="240" w:lineRule="auto"/>
        <w:jc w:val="both"/>
        <w:rPr>
          <w:rFonts w:ascii="Times New Roman" w:eastAsia="Arial Unicode MS" w:hAnsi="Times New Roman" w:cs="Arial Unicode MS"/>
          <w:b/>
          <w:bCs/>
          <w:color w:val="auto"/>
          <w:sz w:val="28"/>
          <w:szCs w:val="28"/>
          <w:u w:color="000000"/>
          <w:bdr w:val="nil"/>
          <w:lang w:val="en-GB" w:eastAsia="en-ZA"/>
          <w14:textOutline w14:w="12700" w14:cap="flat" w14:cmpd="sng" w14:algn="ctr">
            <w14:noFill/>
            <w14:prstDash w14:val="solid"/>
            <w14:miter w14:lim="400000"/>
          </w14:textOutline>
        </w:rPr>
      </w:pPr>
      <w:r w:rsidRPr="00227BEB">
        <w:rPr>
          <w:rFonts w:ascii="Times New Roman" w:eastAsia="Arial Unicode MS" w:hAnsi="Times New Roman" w:cs="Arial Unicode MS"/>
          <w:b/>
          <w:bCs/>
          <w:color w:val="auto"/>
          <w:sz w:val="28"/>
          <w:szCs w:val="28"/>
          <w:u w:color="000000"/>
          <w:bdr w:val="nil"/>
          <w:lang w:val="en-GB" w:eastAsia="en-ZA"/>
          <w14:textOutline w14:w="12700" w14:cap="flat" w14:cmpd="sng" w14:algn="ctr">
            <w14:noFill/>
            <w14:prstDash w14:val="solid"/>
            <w14:miter w14:lim="400000"/>
          </w14:textOutline>
        </w:rPr>
        <w:t>ACTING JUDGE OF THE HIGH COURT OF SOUTH AFRICA</w:t>
      </w:r>
    </w:p>
    <w:p w14:paraId="583CD795" w14:textId="77777777" w:rsidR="00C57932" w:rsidRPr="00227BEB" w:rsidRDefault="00C57932" w:rsidP="0055038A">
      <w:pPr>
        <w:spacing w:line="240" w:lineRule="auto"/>
        <w:jc w:val="both"/>
        <w:rPr>
          <w:rFonts w:ascii="Times New Roman" w:hAnsi="Times New Roman" w:cs="Times New Roman"/>
          <w:b/>
          <w:bCs/>
          <w:color w:val="auto"/>
          <w:sz w:val="28"/>
          <w:szCs w:val="28"/>
          <w:lang w:val="en-GB"/>
        </w:rPr>
      </w:pPr>
    </w:p>
    <w:p w14:paraId="31274F7D" w14:textId="77777777" w:rsidR="00C57932" w:rsidRPr="00227BEB" w:rsidRDefault="00C57932" w:rsidP="004D38AD">
      <w:pPr>
        <w:spacing w:line="480" w:lineRule="auto"/>
        <w:jc w:val="both"/>
        <w:rPr>
          <w:rFonts w:ascii="Times New Roman" w:hAnsi="Times New Roman" w:cs="Times New Roman"/>
          <w:b/>
          <w:bCs/>
          <w:color w:val="auto"/>
          <w:sz w:val="28"/>
          <w:szCs w:val="28"/>
          <w:lang w:val="en-GB"/>
        </w:rPr>
      </w:pPr>
    </w:p>
    <w:p w14:paraId="4C213884" w14:textId="77777777" w:rsidR="00C57932" w:rsidRPr="00227BEB" w:rsidRDefault="00C57932" w:rsidP="004D38AD">
      <w:pPr>
        <w:spacing w:line="480" w:lineRule="auto"/>
        <w:jc w:val="both"/>
        <w:rPr>
          <w:rFonts w:ascii="Times New Roman" w:hAnsi="Times New Roman" w:cs="Times New Roman"/>
          <w:b/>
          <w:bCs/>
          <w:color w:val="auto"/>
          <w:sz w:val="28"/>
          <w:szCs w:val="28"/>
          <w:lang w:val="en-GB"/>
        </w:rPr>
      </w:pPr>
    </w:p>
    <w:p w14:paraId="3A46E0FA" w14:textId="1D6C87F0" w:rsidR="00643379" w:rsidRPr="00227BEB" w:rsidRDefault="00643379" w:rsidP="0059551E">
      <w:pPr>
        <w:spacing w:line="480" w:lineRule="auto"/>
        <w:jc w:val="both"/>
        <w:rPr>
          <w:rFonts w:ascii="Times New Roman" w:hAnsi="Times New Roman" w:cs="Times New Roman"/>
          <w:b/>
          <w:bCs/>
          <w:color w:val="auto"/>
          <w:sz w:val="28"/>
          <w:szCs w:val="28"/>
          <w:u w:val="single"/>
          <w:lang w:val="en-GB"/>
        </w:rPr>
      </w:pPr>
    </w:p>
    <w:p w14:paraId="0540DB7A" w14:textId="28D2CE73" w:rsidR="00421581" w:rsidRPr="00227BEB" w:rsidRDefault="00FA425E" w:rsidP="0059551E">
      <w:pPr>
        <w:spacing w:line="480" w:lineRule="auto"/>
        <w:jc w:val="both"/>
        <w:rPr>
          <w:rFonts w:ascii="Times New Roman" w:hAnsi="Times New Roman" w:cs="Times New Roman"/>
          <w:color w:val="auto"/>
          <w:lang w:val="en-GB"/>
        </w:rPr>
      </w:pPr>
      <w:r w:rsidRPr="00227BEB">
        <w:rPr>
          <w:rFonts w:ascii="Times New Roman" w:hAnsi="Times New Roman" w:cs="Times New Roman"/>
          <w:b/>
          <w:bCs/>
          <w:color w:val="auto"/>
          <w:u w:val="single"/>
          <w:lang w:val="en-GB"/>
        </w:rPr>
        <w:t>A</w:t>
      </w:r>
      <w:r w:rsidR="00CB1E27" w:rsidRPr="00227BEB">
        <w:rPr>
          <w:rFonts w:ascii="Times New Roman" w:hAnsi="Times New Roman" w:cs="Times New Roman"/>
          <w:b/>
          <w:bCs/>
          <w:color w:val="auto"/>
          <w:u w:val="single"/>
          <w:lang w:val="en-GB"/>
        </w:rPr>
        <w:t>P</w:t>
      </w:r>
      <w:r w:rsidR="00D579DB" w:rsidRPr="00227BEB">
        <w:rPr>
          <w:rFonts w:ascii="Times New Roman" w:hAnsi="Times New Roman" w:cs="Times New Roman"/>
          <w:b/>
          <w:bCs/>
          <w:color w:val="auto"/>
          <w:u w:val="single"/>
          <w:lang w:val="en-GB"/>
        </w:rPr>
        <w:t>PEARANCES</w:t>
      </w:r>
      <w:r w:rsidR="00D579DB" w:rsidRPr="00227BEB">
        <w:rPr>
          <w:rFonts w:ascii="Times New Roman" w:hAnsi="Times New Roman" w:cs="Times New Roman"/>
          <w:b/>
          <w:bCs/>
          <w:color w:val="auto"/>
          <w:lang w:val="en-GB"/>
        </w:rPr>
        <w:t xml:space="preserve">: </w:t>
      </w:r>
      <w:r w:rsidR="000962B0" w:rsidRPr="00227BEB">
        <w:rPr>
          <w:rFonts w:ascii="Times New Roman" w:hAnsi="Times New Roman" w:cs="Times New Roman"/>
          <w:color w:val="auto"/>
          <w:lang w:val="en-GB"/>
        </w:rPr>
        <w:tab/>
      </w:r>
    </w:p>
    <w:p w14:paraId="601E83B9" w14:textId="074AB581" w:rsidR="00767B95" w:rsidRPr="00227BEB" w:rsidRDefault="00C51900" w:rsidP="00CD5A07">
      <w:pPr>
        <w:spacing w:line="240" w:lineRule="auto"/>
        <w:jc w:val="both"/>
        <w:rPr>
          <w:rFonts w:ascii="Times New Roman" w:hAnsi="Times New Roman" w:cs="Times New Roman"/>
          <w:color w:val="auto"/>
          <w:lang w:val="pt-BR"/>
        </w:rPr>
      </w:pPr>
      <w:r w:rsidRPr="00227BEB">
        <w:rPr>
          <w:rFonts w:ascii="Times New Roman" w:hAnsi="Times New Roman" w:cs="Times New Roman"/>
          <w:color w:val="auto"/>
          <w:lang w:val="en-GB"/>
        </w:rPr>
        <w:t xml:space="preserve">Counsel for the </w:t>
      </w:r>
      <w:r w:rsidR="00D52A52" w:rsidRPr="00227BEB">
        <w:rPr>
          <w:rFonts w:ascii="Times New Roman" w:hAnsi="Times New Roman" w:cs="Times New Roman"/>
          <w:color w:val="auto"/>
          <w:lang w:val="en-GB"/>
        </w:rPr>
        <w:t>Applicant</w:t>
      </w:r>
      <w:r w:rsidR="00421581" w:rsidRPr="00227BEB">
        <w:rPr>
          <w:rFonts w:ascii="Times New Roman" w:hAnsi="Times New Roman" w:cs="Times New Roman"/>
          <w:color w:val="auto"/>
          <w:lang w:val="en-GB"/>
        </w:rPr>
        <w:tab/>
      </w:r>
      <w:r w:rsidR="00643379" w:rsidRPr="00227BEB">
        <w:rPr>
          <w:rFonts w:ascii="Times New Roman" w:hAnsi="Times New Roman" w:cs="Times New Roman"/>
          <w:color w:val="auto"/>
          <w:lang w:val="en-GB"/>
        </w:rPr>
        <w:tab/>
      </w:r>
      <w:r w:rsidR="009936AF" w:rsidRPr="00227BEB">
        <w:rPr>
          <w:rFonts w:ascii="Times New Roman" w:hAnsi="Times New Roman" w:cs="Times New Roman"/>
          <w:color w:val="auto"/>
          <w:lang w:val="en-GB"/>
        </w:rPr>
        <w:t>:</w:t>
      </w:r>
      <w:r w:rsidR="00D579DB"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 xml:space="preserve">Adv. </w:t>
      </w:r>
      <w:r w:rsidR="00FA425E" w:rsidRPr="00227BEB">
        <w:rPr>
          <w:rFonts w:ascii="Times New Roman" w:hAnsi="Times New Roman" w:cs="Times New Roman"/>
          <w:color w:val="auto"/>
          <w:lang w:val="pt-BR"/>
        </w:rPr>
        <w:t>Mphithi</w:t>
      </w:r>
    </w:p>
    <w:p w14:paraId="4DDBCA27" w14:textId="77777777" w:rsidR="002604ED" w:rsidRPr="00227BEB" w:rsidRDefault="009936AF"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Instructed by</w:t>
      </w:r>
      <w:r w:rsidR="00421581"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00643379" w:rsidRPr="00227BEB">
        <w:rPr>
          <w:rFonts w:ascii="Times New Roman" w:hAnsi="Times New Roman" w:cs="Times New Roman"/>
          <w:color w:val="auto"/>
          <w:lang w:val="en-GB"/>
        </w:rPr>
        <w:tab/>
      </w:r>
      <w:r w:rsidRPr="00227BEB">
        <w:rPr>
          <w:rFonts w:ascii="Times New Roman" w:hAnsi="Times New Roman" w:cs="Times New Roman"/>
          <w:color w:val="auto"/>
          <w:lang w:val="en-GB"/>
        </w:rPr>
        <w:t>:</w:t>
      </w:r>
      <w:r w:rsidR="002604ED" w:rsidRPr="00227BEB">
        <w:rPr>
          <w:rFonts w:ascii="Times New Roman" w:hAnsi="Times New Roman" w:cs="Times New Roman"/>
          <w:color w:val="auto"/>
          <w:lang w:val="en-GB"/>
        </w:rPr>
        <w:tab/>
        <w:t>TSHANGANA ATTORNEYS</w:t>
      </w:r>
    </w:p>
    <w:p w14:paraId="035A1811" w14:textId="1FB0453C" w:rsidR="004E3622" w:rsidRPr="00227BEB" w:rsidRDefault="002604ED"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C/o YOKWANA ATTORNEYS</w:t>
      </w:r>
      <w:r w:rsidR="00421581"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10 New Street</w:t>
      </w:r>
    </w:p>
    <w:p w14:paraId="278FEBE8" w14:textId="30BC1C70" w:rsidR="00421581" w:rsidRPr="00227BEB" w:rsidRDefault="00421581"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002604ED" w:rsidRPr="00227BEB">
        <w:rPr>
          <w:rFonts w:ascii="Times New Roman" w:hAnsi="Times New Roman" w:cs="Times New Roman"/>
          <w:color w:val="auto"/>
          <w:lang w:val="en-GB"/>
        </w:rPr>
        <w:tab/>
        <w:t>MAKHANDA</w:t>
      </w:r>
    </w:p>
    <w:p w14:paraId="3B9BC83C" w14:textId="057331AA" w:rsidR="002604ED" w:rsidRPr="00227BEB" w:rsidRDefault="002604ED"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Ref.: N Yokwana/L87</w:t>
      </w:r>
    </w:p>
    <w:p w14:paraId="2F44F9A3" w14:textId="425E74FB" w:rsidR="002604ED" w:rsidRPr="00227BEB" w:rsidRDefault="002604ED"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 xml:space="preserve">046 – 622 </w:t>
      </w:r>
      <w:r w:rsidR="00E44E59" w:rsidRPr="00227BEB">
        <w:rPr>
          <w:rFonts w:ascii="Times New Roman" w:hAnsi="Times New Roman" w:cs="Times New Roman"/>
          <w:color w:val="auto"/>
          <w:lang w:val="en-GB"/>
        </w:rPr>
        <w:t>9928</w:t>
      </w:r>
    </w:p>
    <w:p w14:paraId="1557177D" w14:textId="32A72134" w:rsidR="00D52A52" w:rsidRPr="00227BEB" w:rsidRDefault="00421581" w:rsidP="00CD5A07">
      <w:pPr>
        <w:spacing w:line="240" w:lineRule="auto"/>
        <w:jc w:val="both"/>
        <w:rPr>
          <w:rFonts w:ascii="Times New Roman" w:hAnsi="Times New Roman" w:cs="Times New Roman"/>
          <w:bCs/>
          <w:color w:val="auto"/>
          <w:lang w:val="pt-BR"/>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p>
    <w:p w14:paraId="2D9A82A1" w14:textId="0C523A47" w:rsidR="001A45A4" w:rsidRPr="00227BEB" w:rsidRDefault="00233118"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Counsel for the</w:t>
      </w:r>
      <w:r w:rsidR="000B5B5F" w:rsidRPr="00227BEB">
        <w:rPr>
          <w:rFonts w:ascii="Times New Roman" w:hAnsi="Times New Roman" w:cs="Times New Roman"/>
          <w:color w:val="auto"/>
          <w:lang w:val="en-GB"/>
        </w:rPr>
        <w:t xml:space="preserve"> F</w:t>
      </w:r>
      <w:r w:rsidR="00FA425E" w:rsidRPr="00227BEB">
        <w:rPr>
          <w:rFonts w:ascii="Times New Roman" w:hAnsi="Times New Roman" w:cs="Times New Roman"/>
          <w:color w:val="auto"/>
          <w:lang w:val="en-GB"/>
        </w:rPr>
        <w:t xml:space="preserve">irst </w:t>
      </w:r>
      <w:r w:rsidR="0042037E" w:rsidRPr="00227BEB">
        <w:rPr>
          <w:rFonts w:ascii="Times New Roman" w:hAnsi="Times New Roman" w:cs="Times New Roman"/>
          <w:color w:val="auto"/>
          <w:lang w:val="en-GB"/>
        </w:rPr>
        <w:t>Respondent:</w:t>
      </w:r>
      <w:r w:rsidR="001A45A4"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00C51900" w:rsidRPr="00227BEB">
        <w:rPr>
          <w:rFonts w:ascii="Times New Roman" w:hAnsi="Times New Roman" w:cs="Times New Roman"/>
          <w:color w:val="auto"/>
          <w:lang w:val="en-GB"/>
        </w:rPr>
        <w:t>Adv</w:t>
      </w:r>
      <w:r w:rsidR="00814D73" w:rsidRPr="00227BEB">
        <w:rPr>
          <w:rFonts w:ascii="Times New Roman" w:hAnsi="Times New Roman" w:cs="Times New Roman"/>
          <w:color w:val="auto"/>
          <w:lang w:val="en-GB"/>
        </w:rPr>
        <w:t>:</w:t>
      </w:r>
      <w:r w:rsidR="00D52A52" w:rsidRPr="00227BEB">
        <w:rPr>
          <w:rFonts w:ascii="Times New Roman" w:hAnsi="Times New Roman" w:cs="Times New Roman"/>
          <w:color w:val="auto"/>
          <w:lang w:val="en-GB"/>
        </w:rPr>
        <w:t xml:space="preserve"> </w:t>
      </w:r>
      <w:r w:rsidR="00643379" w:rsidRPr="00227BEB">
        <w:rPr>
          <w:rFonts w:ascii="Times New Roman" w:hAnsi="Times New Roman" w:cs="Times New Roman"/>
          <w:color w:val="auto"/>
          <w:lang w:val="en-GB"/>
        </w:rPr>
        <w:t>A.M</w:t>
      </w:r>
      <w:r w:rsidR="00FA425E" w:rsidRPr="00227BEB">
        <w:rPr>
          <w:rFonts w:ascii="Times New Roman" w:hAnsi="Times New Roman" w:cs="Times New Roman"/>
          <w:color w:val="auto"/>
          <w:lang w:val="en-GB"/>
        </w:rPr>
        <w:t xml:space="preserve"> </w:t>
      </w:r>
      <w:r w:rsidR="0042037E" w:rsidRPr="00227BEB">
        <w:rPr>
          <w:rFonts w:ascii="Times New Roman" w:hAnsi="Times New Roman" w:cs="Times New Roman"/>
          <w:color w:val="auto"/>
          <w:lang w:val="en-GB"/>
        </w:rPr>
        <w:t>Bodlani</w:t>
      </w:r>
      <w:r w:rsidR="00FA425E" w:rsidRPr="00227BEB">
        <w:rPr>
          <w:rFonts w:ascii="Times New Roman" w:hAnsi="Times New Roman" w:cs="Times New Roman"/>
          <w:color w:val="auto"/>
          <w:lang w:val="en-GB"/>
        </w:rPr>
        <w:t xml:space="preserve"> SC</w:t>
      </w:r>
      <w:r w:rsidR="00643379" w:rsidRPr="00227BEB">
        <w:rPr>
          <w:rFonts w:ascii="Times New Roman" w:hAnsi="Times New Roman" w:cs="Times New Roman"/>
          <w:color w:val="auto"/>
          <w:lang w:val="en-GB"/>
        </w:rPr>
        <w:t xml:space="preserve"> and Adv: A Tshabalala</w:t>
      </w:r>
    </w:p>
    <w:p w14:paraId="14CA3081" w14:textId="77777777" w:rsidR="00643379" w:rsidRPr="00227BEB" w:rsidRDefault="00233118"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Instructed by</w:t>
      </w:r>
      <w:r w:rsidR="00D579DB" w:rsidRPr="00227BEB">
        <w:rPr>
          <w:rFonts w:ascii="Times New Roman" w:hAnsi="Times New Roman" w:cs="Times New Roman"/>
          <w:color w:val="auto"/>
          <w:lang w:val="en-GB"/>
        </w:rPr>
        <w:tab/>
      </w:r>
      <w:r w:rsidR="00D579DB" w:rsidRPr="00227BEB">
        <w:rPr>
          <w:rFonts w:ascii="Times New Roman" w:hAnsi="Times New Roman" w:cs="Times New Roman"/>
          <w:color w:val="auto"/>
          <w:lang w:val="en-GB"/>
        </w:rPr>
        <w:tab/>
      </w:r>
      <w:r w:rsidR="00D579DB" w:rsidRPr="00227BEB">
        <w:rPr>
          <w:rFonts w:ascii="Times New Roman" w:hAnsi="Times New Roman" w:cs="Times New Roman"/>
          <w:color w:val="auto"/>
          <w:lang w:val="en-GB"/>
        </w:rPr>
        <w:tab/>
      </w:r>
      <w:r w:rsidR="00643379" w:rsidRPr="00227BEB">
        <w:rPr>
          <w:rFonts w:ascii="Times New Roman" w:hAnsi="Times New Roman" w:cs="Times New Roman"/>
          <w:color w:val="auto"/>
          <w:lang w:val="en-GB"/>
        </w:rPr>
        <w:tab/>
      </w:r>
      <w:r w:rsidR="00D579DB" w:rsidRPr="00227BEB">
        <w:rPr>
          <w:rFonts w:ascii="Times New Roman" w:hAnsi="Times New Roman" w:cs="Times New Roman"/>
          <w:color w:val="auto"/>
          <w:lang w:val="en-GB"/>
        </w:rPr>
        <w:t>:</w:t>
      </w:r>
      <w:r w:rsidR="00D579DB" w:rsidRPr="00227BEB">
        <w:rPr>
          <w:rFonts w:ascii="Times New Roman" w:hAnsi="Times New Roman" w:cs="Times New Roman"/>
          <w:color w:val="auto"/>
          <w:lang w:val="en-GB"/>
        </w:rPr>
        <w:tab/>
      </w:r>
      <w:r w:rsidR="00643379" w:rsidRPr="00227BEB">
        <w:rPr>
          <w:rFonts w:ascii="Times New Roman" w:hAnsi="Times New Roman" w:cs="Times New Roman"/>
          <w:color w:val="auto"/>
          <w:lang w:val="en-GB"/>
        </w:rPr>
        <w:t>TALENI GODI KUPISO INC.</w:t>
      </w:r>
    </w:p>
    <w:p w14:paraId="5F06E514" w14:textId="77777777" w:rsidR="00643379" w:rsidRPr="00227BEB" w:rsidRDefault="0064337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C/o AKHONA GEORGE &amp; ASSOCIATES</w:t>
      </w:r>
    </w:p>
    <w:p w14:paraId="46965CB3" w14:textId="77777777" w:rsidR="00643379" w:rsidRPr="00227BEB" w:rsidRDefault="0064337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 xml:space="preserve">118 High Street </w:t>
      </w:r>
    </w:p>
    <w:p w14:paraId="70CA44C1" w14:textId="77777777" w:rsidR="00643379" w:rsidRPr="00227BEB" w:rsidRDefault="0064337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Millbarn Centre</w:t>
      </w:r>
    </w:p>
    <w:p w14:paraId="52025623" w14:textId="77777777" w:rsidR="00643379" w:rsidRPr="00227BEB" w:rsidRDefault="0064337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MAKHANDA</w:t>
      </w:r>
    </w:p>
    <w:p w14:paraId="18CA9EE3" w14:textId="77777777" w:rsidR="00643379" w:rsidRPr="00227BEB" w:rsidRDefault="0064337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Ref.: Ms A George</w:t>
      </w:r>
    </w:p>
    <w:p w14:paraId="552A93C8" w14:textId="77777777" w:rsidR="00643379" w:rsidRPr="00227BEB" w:rsidRDefault="0064337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Tel.: 046 – 004 0025</w:t>
      </w:r>
    </w:p>
    <w:p w14:paraId="54067F7F" w14:textId="77777777" w:rsidR="00643379" w:rsidRPr="00227BEB" w:rsidRDefault="00643379" w:rsidP="00CD5A07">
      <w:pPr>
        <w:spacing w:line="240" w:lineRule="auto"/>
        <w:jc w:val="both"/>
        <w:rPr>
          <w:rFonts w:ascii="Times New Roman" w:hAnsi="Times New Roman" w:cs="Times New Roman"/>
          <w:color w:val="auto"/>
          <w:lang w:val="en-GB"/>
        </w:rPr>
      </w:pPr>
    </w:p>
    <w:p w14:paraId="140CCA6E" w14:textId="77777777" w:rsidR="00CD5A07" w:rsidRPr="00227BEB" w:rsidRDefault="0064337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Counsel for the Second Respondent</w:t>
      </w:r>
      <w:r w:rsidRPr="00227BEB">
        <w:rPr>
          <w:rFonts w:ascii="Times New Roman" w:hAnsi="Times New Roman" w:cs="Times New Roman"/>
          <w:color w:val="auto"/>
          <w:lang w:val="en-GB"/>
        </w:rPr>
        <w:tab/>
        <w:t>:</w:t>
      </w:r>
      <w:r w:rsidRPr="00227BEB">
        <w:rPr>
          <w:rFonts w:ascii="Times New Roman" w:hAnsi="Times New Roman" w:cs="Times New Roman"/>
          <w:color w:val="auto"/>
          <w:lang w:val="en-GB"/>
        </w:rPr>
        <w:tab/>
        <w:t>Adv: Nxazonke-Mashiya</w:t>
      </w:r>
    </w:p>
    <w:p w14:paraId="43E94035" w14:textId="77777777" w:rsidR="00CD5A07" w:rsidRPr="00227BEB" w:rsidRDefault="00CD5A07"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 xml:space="preserve">Instructed by </w:t>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w:t>
      </w:r>
      <w:r w:rsidRPr="00227BEB">
        <w:rPr>
          <w:rFonts w:ascii="Times New Roman" w:hAnsi="Times New Roman" w:cs="Times New Roman"/>
          <w:color w:val="auto"/>
          <w:lang w:val="en-GB"/>
        </w:rPr>
        <w:tab/>
        <w:t>NDZO ATTORNEYS</w:t>
      </w:r>
    </w:p>
    <w:p w14:paraId="47BA2407" w14:textId="2E50DD68" w:rsidR="00CD5A07" w:rsidRPr="00227BEB" w:rsidRDefault="00CD5A07"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 xml:space="preserve">C/o </w:t>
      </w:r>
      <w:r w:rsidR="00E44E59" w:rsidRPr="00227BEB">
        <w:rPr>
          <w:rFonts w:ascii="Times New Roman" w:hAnsi="Times New Roman" w:cs="Times New Roman"/>
          <w:color w:val="auto"/>
          <w:lang w:val="en-GB"/>
        </w:rPr>
        <w:t>MGANGATHO</w:t>
      </w:r>
      <w:r w:rsidRPr="00227BEB">
        <w:rPr>
          <w:rFonts w:ascii="Times New Roman" w:hAnsi="Times New Roman" w:cs="Times New Roman"/>
          <w:color w:val="auto"/>
          <w:lang w:val="en-GB"/>
        </w:rPr>
        <w:t xml:space="preserve"> ATTORNEYS</w:t>
      </w:r>
    </w:p>
    <w:p w14:paraId="605567EC" w14:textId="4F055CFE" w:rsidR="00CD5A07" w:rsidRPr="00227BEB" w:rsidRDefault="00CD5A07"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000320B0" w:rsidRPr="00227BEB">
        <w:rPr>
          <w:rFonts w:ascii="Times New Roman" w:hAnsi="Times New Roman" w:cs="Times New Roman"/>
          <w:color w:val="auto"/>
          <w:lang w:val="en-GB"/>
        </w:rPr>
        <w:t>7 Somerset</w:t>
      </w:r>
      <w:r w:rsidRPr="00227BEB">
        <w:rPr>
          <w:rFonts w:ascii="Times New Roman" w:hAnsi="Times New Roman" w:cs="Times New Roman"/>
          <w:color w:val="auto"/>
          <w:lang w:val="en-GB"/>
        </w:rPr>
        <w:t xml:space="preserve"> Street</w:t>
      </w:r>
    </w:p>
    <w:p w14:paraId="0AD67B8B" w14:textId="50D2A8AD" w:rsidR="00233118" w:rsidRPr="00227BEB" w:rsidRDefault="00CD5A07"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r>
      <w:r w:rsidRPr="00227BEB">
        <w:rPr>
          <w:rFonts w:ascii="Times New Roman" w:hAnsi="Times New Roman" w:cs="Times New Roman"/>
          <w:color w:val="auto"/>
          <w:lang w:val="en-GB"/>
        </w:rPr>
        <w:tab/>
        <w:t>MAKHANDA</w:t>
      </w:r>
      <w:r w:rsidR="00643379" w:rsidRPr="00227BEB">
        <w:rPr>
          <w:rFonts w:ascii="Times New Roman" w:hAnsi="Times New Roman" w:cs="Times New Roman"/>
          <w:color w:val="auto"/>
          <w:lang w:val="en-GB"/>
        </w:rPr>
        <w:t xml:space="preserve"> </w:t>
      </w:r>
      <w:r w:rsidR="00421581" w:rsidRPr="00227BEB">
        <w:rPr>
          <w:rFonts w:ascii="Times New Roman" w:hAnsi="Times New Roman" w:cs="Times New Roman"/>
          <w:color w:val="auto"/>
          <w:lang w:val="en-GB"/>
        </w:rPr>
        <w:tab/>
      </w:r>
    </w:p>
    <w:p w14:paraId="4AEBD10F" w14:textId="1B2E18D8" w:rsidR="00421581" w:rsidRPr="00227BEB" w:rsidRDefault="002B0822" w:rsidP="00CD5A07">
      <w:pPr>
        <w:spacing w:line="240" w:lineRule="auto"/>
        <w:jc w:val="both"/>
        <w:rPr>
          <w:rFonts w:ascii="Times New Roman" w:hAnsi="Times New Roman" w:cs="Times New Roman"/>
          <w:bCs/>
          <w:color w:val="auto"/>
          <w:lang w:val="en-GB"/>
        </w:rPr>
      </w:pPr>
      <w:r w:rsidRPr="00227BEB">
        <w:rPr>
          <w:rFonts w:ascii="Times New Roman" w:hAnsi="Times New Roman" w:cs="Times New Roman"/>
          <w:color w:val="auto"/>
          <w:lang w:val="en-GB"/>
        </w:rPr>
        <w:t xml:space="preserve">                            </w:t>
      </w:r>
      <w:r w:rsidR="001A45A4" w:rsidRPr="00227BEB">
        <w:rPr>
          <w:rFonts w:ascii="Times New Roman" w:hAnsi="Times New Roman" w:cs="Times New Roman"/>
          <w:color w:val="auto"/>
          <w:lang w:val="en-GB"/>
        </w:rPr>
        <w:tab/>
      </w:r>
      <w:r w:rsidR="001A45A4" w:rsidRPr="00227BEB">
        <w:rPr>
          <w:rFonts w:ascii="Times New Roman" w:hAnsi="Times New Roman" w:cs="Times New Roman"/>
          <w:color w:val="auto"/>
          <w:lang w:val="en-GB"/>
        </w:rPr>
        <w:tab/>
      </w:r>
      <w:r w:rsidR="001A45A4" w:rsidRPr="00227BEB">
        <w:rPr>
          <w:rFonts w:ascii="Times New Roman" w:hAnsi="Times New Roman" w:cs="Times New Roman"/>
          <w:color w:val="auto"/>
          <w:lang w:val="en-GB"/>
        </w:rPr>
        <w:tab/>
      </w:r>
      <w:r w:rsidR="00421581" w:rsidRPr="00227BEB">
        <w:rPr>
          <w:rFonts w:ascii="Times New Roman" w:hAnsi="Times New Roman" w:cs="Times New Roman"/>
          <w:bCs/>
          <w:color w:val="auto"/>
          <w:lang w:val="en-GB"/>
        </w:rPr>
        <w:tab/>
      </w:r>
      <w:r w:rsidR="00E44E59" w:rsidRPr="00227BEB">
        <w:rPr>
          <w:rFonts w:ascii="Times New Roman" w:hAnsi="Times New Roman" w:cs="Times New Roman"/>
          <w:bCs/>
          <w:color w:val="auto"/>
          <w:lang w:val="en-GB"/>
        </w:rPr>
        <w:t>Ref.: A Mgangatho/S0169</w:t>
      </w:r>
    </w:p>
    <w:p w14:paraId="527BD406" w14:textId="610E8BD6" w:rsidR="00E44E59" w:rsidRPr="00227BEB" w:rsidRDefault="001A392A" w:rsidP="00CD5A07">
      <w:pPr>
        <w:spacing w:line="240" w:lineRule="auto"/>
        <w:jc w:val="both"/>
        <w:rPr>
          <w:rFonts w:ascii="Times New Roman" w:hAnsi="Times New Roman" w:cs="Times New Roman"/>
          <w:color w:val="auto"/>
        </w:rPr>
      </w:pPr>
      <w:r>
        <w:rPr>
          <w:rFonts w:ascii="Times New Roman" w:hAnsi="Times New Roman" w:cs="Times New Roman"/>
          <w:bCs/>
          <w:color w:val="auto"/>
          <w:lang w:val="en-GB"/>
        </w:rPr>
        <w:tab/>
      </w:r>
      <w:r>
        <w:rPr>
          <w:rFonts w:ascii="Times New Roman" w:hAnsi="Times New Roman" w:cs="Times New Roman"/>
          <w:bCs/>
          <w:color w:val="auto"/>
          <w:lang w:val="en-GB"/>
        </w:rPr>
        <w:tab/>
      </w:r>
      <w:r>
        <w:rPr>
          <w:rFonts w:ascii="Times New Roman" w:hAnsi="Times New Roman" w:cs="Times New Roman"/>
          <w:bCs/>
          <w:color w:val="auto"/>
          <w:lang w:val="en-GB"/>
        </w:rPr>
        <w:tab/>
      </w:r>
      <w:r>
        <w:rPr>
          <w:rFonts w:ascii="Times New Roman" w:hAnsi="Times New Roman" w:cs="Times New Roman"/>
          <w:bCs/>
          <w:color w:val="auto"/>
          <w:lang w:val="en-GB"/>
        </w:rPr>
        <w:tab/>
      </w:r>
      <w:r>
        <w:rPr>
          <w:rFonts w:ascii="Times New Roman" w:hAnsi="Times New Roman" w:cs="Times New Roman"/>
          <w:bCs/>
          <w:color w:val="auto"/>
          <w:lang w:val="en-GB"/>
        </w:rPr>
        <w:tab/>
      </w:r>
      <w:r>
        <w:rPr>
          <w:rFonts w:ascii="Times New Roman" w:hAnsi="Times New Roman" w:cs="Times New Roman"/>
          <w:bCs/>
          <w:color w:val="auto"/>
          <w:lang w:val="en-GB"/>
        </w:rPr>
        <w:tab/>
      </w:r>
      <w:r w:rsidR="00253647">
        <w:rPr>
          <w:rFonts w:ascii="Times New Roman" w:hAnsi="Times New Roman" w:cs="Times New Roman"/>
          <w:bCs/>
          <w:color w:val="auto"/>
          <w:lang w:val="en-GB"/>
        </w:rPr>
        <w:t>Tel.: 073 524 3586</w:t>
      </w:r>
    </w:p>
    <w:p w14:paraId="2357A0BB" w14:textId="272285E8" w:rsidR="00414C20" w:rsidRPr="00227BEB" w:rsidRDefault="00414C20" w:rsidP="00CD5A07">
      <w:pPr>
        <w:spacing w:line="240" w:lineRule="auto"/>
        <w:ind w:left="4320" w:firstLine="720"/>
        <w:jc w:val="both"/>
        <w:rPr>
          <w:rFonts w:ascii="Times New Roman" w:hAnsi="Times New Roman" w:cs="Times New Roman"/>
          <w:color w:val="auto"/>
          <w:lang w:val="en-GB"/>
        </w:rPr>
      </w:pPr>
    </w:p>
    <w:p w14:paraId="610D83F2" w14:textId="2BCAA4F4" w:rsidR="00D52A52" w:rsidRPr="00227BEB" w:rsidRDefault="00D52A52" w:rsidP="00CD5A07">
      <w:pPr>
        <w:spacing w:line="240" w:lineRule="auto"/>
        <w:ind w:left="4320" w:firstLine="720"/>
        <w:jc w:val="both"/>
        <w:rPr>
          <w:rFonts w:ascii="Times New Roman" w:hAnsi="Times New Roman" w:cs="Times New Roman"/>
          <w:color w:val="auto"/>
          <w:lang w:val="en-GB"/>
        </w:rPr>
      </w:pPr>
    </w:p>
    <w:p w14:paraId="0E0A9BCE" w14:textId="77777777" w:rsidR="00D52A52" w:rsidRPr="00227BEB" w:rsidRDefault="00D52A52" w:rsidP="00CD5A07">
      <w:pPr>
        <w:spacing w:line="240" w:lineRule="auto"/>
        <w:jc w:val="both"/>
        <w:rPr>
          <w:rFonts w:ascii="Times New Roman" w:hAnsi="Times New Roman" w:cs="Times New Roman"/>
          <w:color w:val="auto"/>
          <w:lang w:val="en-GB"/>
        </w:rPr>
      </w:pPr>
    </w:p>
    <w:p w14:paraId="5A7071EB" w14:textId="0EEC85A6" w:rsidR="00482769" w:rsidRPr="00227BEB" w:rsidRDefault="0037475E"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 xml:space="preserve">Date </w:t>
      </w:r>
      <w:r w:rsidR="00382604" w:rsidRPr="00227BEB">
        <w:rPr>
          <w:rFonts w:ascii="Times New Roman" w:hAnsi="Times New Roman" w:cs="Times New Roman"/>
          <w:color w:val="auto"/>
          <w:lang w:val="en-GB"/>
        </w:rPr>
        <w:t>H</w:t>
      </w:r>
      <w:r w:rsidRPr="00227BEB">
        <w:rPr>
          <w:rFonts w:ascii="Times New Roman" w:hAnsi="Times New Roman" w:cs="Times New Roman"/>
          <w:color w:val="auto"/>
          <w:lang w:val="en-GB"/>
        </w:rPr>
        <w:t>eard</w:t>
      </w:r>
      <w:r w:rsidR="00421581"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Pr="00227BEB">
        <w:rPr>
          <w:rFonts w:ascii="Times New Roman" w:hAnsi="Times New Roman" w:cs="Times New Roman"/>
          <w:color w:val="auto"/>
          <w:lang w:val="en-GB"/>
        </w:rPr>
        <w:t>:</w:t>
      </w:r>
      <w:r w:rsidR="001A45A4" w:rsidRPr="00227BEB">
        <w:rPr>
          <w:rFonts w:ascii="Times New Roman" w:hAnsi="Times New Roman" w:cs="Times New Roman"/>
          <w:color w:val="auto"/>
          <w:lang w:val="en-GB"/>
        </w:rPr>
        <w:tab/>
      </w:r>
      <w:r w:rsidR="00FA425E" w:rsidRPr="00227BEB">
        <w:rPr>
          <w:rFonts w:ascii="Times New Roman" w:hAnsi="Times New Roman" w:cs="Times New Roman"/>
          <w:color w:val="auto"/>
          <w:lang w:val="en-GB"/>
        </w:rPr>
        <w:t xml:space="preserve">18 April </w:t>
      </w:r>
      <w:r w:rsidR="004F6B90" w:rsidRPr="00227BEB">
        <w:rPr>
          <w:rFonts w:ascii="Times New Roman" w:hAnsi="Times New Roman" w:cs="Times New Roman"/>
          <w:color w:val="auto"/>
          <w:lang w:val="en-GB"/>
        </w:rPr>
        <w:t>2024</w:t>
      </w:r>
    </w:p>
    <w:p w14:paraId="26CF1F30" w14:textId="3147148F" w:rsidR="00233118" w:rsidRPr="00227BEB" w:rsidRDefault="00482769" w:rsidP="00CD5A07">
      <w:pPr>
        <w:spacing w:line="240" w:lineRule="auto"/>
        <w:jc w:val="both"/>
        <w:rPr>
          <w:rFonts w:ascii="Times New Roman" w:hAnsi="Times New Roman" w:cs="Times New Roman"/>
          <w:color w:val="auto"/>
          <w:lang w:val="en-GB"/>
        </w:rPr>
      </w:pPr>
      <w:r w:rsidRPr="00227BEB">
        <w:rPr>
          <w:rFonts w:ascii="Times New Roman" w:hAnsi="Times New Roman" w:cs="Times New Roman"/>
          <w:color w:val="auto"/>
          <w:lang w:val="en-GB"/>
        </w:rPr>
        <w:t xml:space="preserve">Date </w:t>
      </w:r>
      <w:r w:rsidR="00382604" w:rsidRPr="00227BEB">
        <w:rPr>
          <w:rFonts w:ascii="Times New Roman" w:hAnsi="Times New Roman" w:cs="Times New Roman"/>
          <w:color w:val="auto"/>
          <w:lang w:val="en-GB"/>
        </w:rPr>
        <w:t>D</w:t>
      </w:r>
      <w:r w:rsidRPr="00227BEB">
        <w:rPr>
          <w:rFonts w:ascii="Times New Roman" w:hAnsi="Times New Roman" w:cs="Times New Roman"/>
          <w:color w:val="auto"/>
          <w:lang w:val="en-GB"/>
        </w:rPr>
        <w:t>elivered</w:t>
      </w:r>
      <w:r w:rsidR="00421581"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00421581" w:rsidRPr="00227BEB">
        <w:rPr>
          <w:rFonts w:ascii="Times New Roman" w:hAnsi="Times New Roman" w:cs="Times New Roman"/>
          <w:color w:val="auto"/>
          <w:lang w:val="en-GB"/>
        </w:rPr>
        <w:tab/>
      </w:r>
      <w:r w:rsidRPr="00227BEB">
        <w:rPr>
          <w:rFonts w:ascii="Times New Roman" w:hAnsi="Times New Roman" w:cs="Times New Roman"/>
          <w:color w:val="auto"/>
          <w:lang w:val="en-GB"/>
        </w:rPr>
        <w:t>:</w:t>
      </w:r>
      <w:r w:rsidR="001A45A4" w:rsidRPr="00227BEB">
        <w:rPr>
          <w:rFonts w:ascii="Times New Roman" w:hAnsi="Times New Roman" w:cs="Times New Roman"/>
          <w:color w:val="auto"/>
          <w:lang w:val="en-GB"/>
        </w:rPr>
        <w:tab/>
      </w:r>
      <w:r w:rsidR="001A392A">
        <w:rPr>
          <w:rFonts w:ascii="Times New Roman" w:hAnsi="Times New Roman" w:cs="Times New Roman"/>
          <w:color w:val="auto"/>
          <w:lang w:val="en-GB"/>
        </w:rPr>
        <w:t>13 June 2024</w:t>
      </w:r>
    </w:p>
    <w:sectPr w:rsidR="00233118" w:rsidRPr="00227BEB" w:rsidSect="004C3206">
      <w:headerReference w:type="even" r:id="rId12"/>
      <w:headerReference w:type="default" r:id="rId13"/>
      <w:footerReference w:type="even" r:id="rId14"/>
      <w:footerReference w:type="default" r:id="rId15"/>
      <w:footerReference w:type="first" r:id="rId16"/>
      <w:pgSz w:w="11906" w:h="16838"/>
      <w:pgMar w:top="11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B35A" w14:textId="77777777" w:rsidR="00F14334" w:rsidRDefault="00F14334" w:rsidP="00C91BD0">
      <w:pPr>
        <w:spacing w:line="240" w:lineRule="auto"/>
      </w:pPr>
      <w:r>
        <w:separator/>
      </w:r>
    </w:p>
  </w:endnote>
  <w:endnote w:type="continuationSeparator" w:id="0">
    <w:p w14:paraId="46B8055C" w14:textId="77777777" w:rsidR="00F14334" w:rsidRDefault="00F14334"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379B" w14:textId="124C4FD1" w:rsidR="0054264D" w:rsidRPr="003118D9" w:rsidRDefault="0054264D">
    <w:pPr>
      <w:pStyle w:val="Footer"/>
      <w:rPr>
        <w:lang w:val="en-US"/>
      </w:rPr>
    </w:pPr>
    <w:r>
      <w:rPr>
        <w:lang w:val="en-US"/>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87162"/>
      <w:docPartObj>
        <w:docPartGallery w:val="Page Numbers (Bottom of Page)"/>
        <w:docPartUnique/>
      </w:docPartObj>
    </w:sdtPr>
    <w:sdtEndPr/>
    <w:sdtContent>
      <w:sdt>
        <w:sdtPr>
          <w:id w:val="-1769616900"/>
          <w:docPartObj>
            <w:docPartGallery w:val="Page Numbers (Top of Page)"/>
            <w:docPartUnique/>
          </w:docPartObj>
        </w:sdtPr>
        <w:sdtEndPr/>
        <w:sdtContent>
          <w:p w14:paraId="7CFD596D" w14:textId="737DAB0D" w:rsidR="004C3206" w:rsidRDefault="004C3206">
            <w:pPr>
              <w:pStyle w:val="Footer"/>
              <w:jc w:val="right"/>
            </w:pPr>
            <w:r>
              <w:t xml:space="preserve">Page </w:t>
            </w:r>
            <w:r>
              <w:rPr>
                <w:b/>
                <w:bCs/>
              </w:rPr>
              <w:fldChar w:fldCharType="begin"/>
            </w:r>
            <w:r>
              <w:rPr>
                <w:b/>
                <w:bCs/>
              </w:rPr>
              <w:instrText xml:space="preserve"> PAGE </w:instrText>
            </w:r>
            <w:r>
              <w:rPr>
                <w:b/>
                <w:bCs/>
              </w:rPr>
              <w:fldChar w:fldCharType="separate"/>
            </w:r>
            <w:r w:rsidR="00350A7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50A71">
              <w:rPr>
                <w:b/>
                <w:bCs/>
                <w:noProof/>
              </w:rPr>
              <w:t>12</w:t>
            </w:r>
            <w:r>
              <w:rPr>
                <w:b/>
                <w:bCs/>
              </w:rPr>
              <w:fldChar w:fldCharType="end"/>
            </w:r>
          </w:p>
        </w:sdtContent>
      </w:sdt>
    </w:sdtContent>
  </w:sdt>
  <w:p w14:paraId="49C4D5CB" w14:textId="77777777" w:rsidR="004C3206" w:rsidRDefault="004C3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45879"/>
      <w:docPartObj>
        <w:docPartGallery w:val="Page Numbers (Bottom of Page)"/>
        <w:docPartUnique/>
      </w:docPartObj>
    </w:sdtPr>
    <w:sdtEndPr>
      <w:rPr>
        <w:noProof/>
      </w:rPr>
    </w:sdtEndPr>
    <w:sdtContent>
      <w:p w14:paraId="39E4B511" w14:textId="35035FFB" w:rsidR="0054264D" w:rsidRDefault="00542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661C5C" w14:textId="77777777" w:rsidR="0054264D" w:rsidRDefault="00542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0DFC" w14:textId="77777777" w:rsidR="00F14334" w:rsidRDefault="00F14334" w:rsidP="00C91BD0">
      <w:pPr>
        <w:spacing w:line="240" w:lineRule="auto"/>
      </w:pPr>
      <w:r>
        <w:separator/>
      </w:r>
    </w:p>
  </w:footnote>
  <w:footnote w:type="continuationSeparator" w:id="0">
    <w:p w14:paraId="69B81B8C" w14:textId="77777777" w:rsidR="00F14334" w:rsidRDefault="00F14334" w:rsidP="00C91BD0">
      <w:pPr>
        <w:spacing w:line="240" w:lineRule="auto"/>
      </w:pPr>
      <w:r>
        <w:continuationSeparator/>
      </w:r>
    </w:p>
  </w:footnote>
  <w:footnote w:id="1">
    <w:p w14:paraId="651A0A08" w14:textId="71837D8A" w:rsidR="0054264D" w:rsidRPr="001F003A" w:rsidRDefault="0054264D" w:rsidP="001F003A">
      <w:pPr>
        <w:pBdr>
          <w:top w:val="nil"/>
          <w:left w:val="nil"/>
          <w:bottom w:val="nil"/>
          <w:right w:val="nil"/>
          <w:between w:val="nil"/>
          <w:bar w:val="nil"/>
        </w:pBdr>
        <w:spacing w:before="240" w:after="120" w:line="276" w:lineRule="auto"/>
        <w:jc w:val="both"/>
        <w:rPr>
          <w:rFonts w:ascii="Times New Roman" w:eastAsia="Arial Unicode MS" w:hAnsi="Times New Roman" w:cs="Times New Roman"/>
          <w:color w:val="000000"/>
          <w:sz w:val="20"/>
          <w:szCs w:val="20"/>
          <w:u w:color="000000"/>
          <w:bdr w:val="nil"/>
          <w:lang w:val="en-GB" w:eastAsia="en-ZA"/>
          <w14:textOutline w14:w="12700" w14:cap="flat" w14:cmpd="sng" w14:algn="ctr">
            <w14:noFill/>
            <w14:prstDash w14:val="solid"/>
            <w14:miter w14:lim="400000"/>
          </w14:textOutline>
        </w:rPr>
      </w:pPr>
      <w:r w:rsidRPr="001F003A">
        <w:rPr>
          <w:rStyle w:val="FootnoteReference"/>
          <w:rFonts w:ascii="Times New Roman" w:hAnsi="Times New Roman" w:cs="Times New Roman"/>
          <w:sz w:val="20"/>
          <w:szCs w:val="20"/>
        </w:rPr>
        <w:footnoteRef/>
      </w:r>
      <w:r w:rsidRPr="001F003A">
        <w:rPr>
          <w:rFonts w:ascii="Times New Roman" w:hAnsi="Times New Roman" w:cs="Times New Roman"/>
          <w:sz w:val="20"/>
          <w:szCs w:val="20"/>
        </w:rPr>
        <w:t xml:space="preserve"> </w:t>
      </w:r>
      <w:r w:rsidRPr="001F003A">
        <w:rPr>
          <w:rFonts w:ascii="Times New Roman" w:eastAsia="Arial Unicode MS" w:hAnsi="Times New Roman" w:cs="Times New Roman"/>
          <w:color w:val="000000"/>
          <w:sz w:val="20"/>
          <w:szCs w:val="20"/>
          <w:u w:color="000000"/>
          <w:bdr w:val="nil"/>
          <w:lang w:val="en-GB" w:eastAsia="en-ZA"/>
          <w14:textOutline w14:w="12700" w14:cap="flat" w14:cmpd="sng" w14:algn="ctr">
            <w14:noFill/>
            <w14:prstDash w14:val="solid"/>
            <w14:miter w14:lim="400000"/>
          </w14:textOutline>
        </w:rPr>
        <w:t>The municipality is an organ of the state with separate legal entity which is duly constituted in terms</w:t>
      </w:r>
      <w:r w:rsidR="001F003A" w:rsidRPr="001F003A">
        <w:rPr>
          <w:sz w:val="20"/>
          <w:szCs w:val="20"/>
        </w:rPr>
        <w:t xml:space="preserve"> </w:t>
      </w:r>
      <w:r w:rsidR="001F003A" w:rsidRPr="001F003A">
        <w:rPr>
          <w:rFonts w:ascii="Times New Roman" w:eastAsia="Arial Unicode MS" w:hAnsi="Times New Roman" w:cs="Times New Roman"/>
          <w:color w:val="000000"/>
          <w:sz w:val="20"/>
          <w:szCs w:val="20"/>
          <w:u w:color="000000"/>
          <w:bdr w:val="nil"/>
          <w:lang w:val="en-GB" w:eastAsia="en-ZA"/>
          <w14:textOutline w14:w="12700" w14:cap="flat" w14:cmpd="sng" w14:algn="ctr">
            <w14:noFill/>
            <w14:prstDash w14:val="solid"/>
            <w14:miter w14:lim="400000"/>
          </w14:textOutline>
        </w:rPr>
        <w:t>of section 2 of the Local Government Municipal Act 32 of 2000.</w:t>
      </w:r>
      <w:r w:rsidRPr="001F003A">
        <w:rPr>
          <w:rFonts w:ascii="Times New Roman" w:eastAsia="Arial Unicode MS" w:hAnsi="Times New Roman" w:cs="Times New Roman"/>
          <w:color w:val="000000"/>
          <w:sz w:val="20"/>
          <w:szCs w:val="20"/>
          <w:u w:color="000000"/>
          <w:bdr w:val="nil"/>
          <w:lang w:val="en-GB" w:eastAsia="en-ZA"/>
          <w14:textOutline w14:w="12700" w14:cap="flat" w14:cmpd="sng" w14:algn="ctr">
            <w14:noFill/>
            <w14:prstDash w14:val="solid"/>
            <w14:miter w14:lim="400000"/>
          </w14:textOutline>
        </w:rPr>
        <w:t xml:space="preserve"> </w:t>
      </w:r>
    </w:p>
    <w:p w14:paraId="7B9D587E" w14:textId="1111049C" w:rsidR="0054264D" w:rsidRPr="00FD0F1D" w:rsidRDefault="0054264D">
      <w:pPr>
        <w:pStyle w:val="FootnoteText"/>
        <w:rPr>
          <w:rFonts w:ascii="Times New Roman" w:hAnsi="Times New Roman" w:cs="Times New Roman"/>
        </w:rPr>
      </w:pPr>
    </w:p>
  </w:footnote>
  <w:footnote w:id="2">
    <w:p w14:paraId="5665E704" w14:textId="7B7E66C3" w:rsidR="0054264D" w:rsidRPr="00227BEB" w:rsidRDefault="0054264D" w:rsidP="00020BAC">
      <w:pPr>
        <w:pStyle w:val="FootnoteText"/>
        <w:spacing w:line="276" w:lineRule="auto"/>
        <w:jc w:val="both"/>
        <w:rPr>
          <w:rFonts w:ascii="Times New Roman" w:hAnsi="Times New Roman" w:cs="Times New Roman"/>
          <w:color w:val="auto"/>
        </w:rPr>
      </w:pPr>
      <w:r w:rsidRPr="00227BEB">
        <w:rPr>
          <w:rStyle w:val="FootnoteReference"/>
          <w:rFonts w:ascii="Times New Roman" w:hAnsi="Times New Roman" w:cs="Times New Roman"/>
          <w:color w:val="auto"/>
        </w:rPr>
        <w:footnoteRef/>
      </w:r>
      <w:r w:rsidRPr="00227BEB">
        <w:rPr>
          <w:rFonts w:ascii="Times New Roman" w:hAnsi="Times New Roman" w:cs="Times New Roman"/>
          <w:color w:val="auto"/>
        </w:rPr>
        <w:t xml:space="preserve"> The Preferential P</w:t>
      </w:r>
      <w:r w:rsidR="00E61417" w:rsidRPr="00227BEB">
        <w:rPr>
          <w:rFonts w:ascii="Times New Roman" w:hAnsi="Times New Roman" w:cs="Times New Roman"/>
          <w:color w:val="auto"/>
        </w:rPr>
        <w:t>rocurement Policy Framework Act</w:t>
      </w:r>
      <w:r w:rsidRPr="00227BEB">
        <w:rPr>
          <w:rFonts w:ascii="Times New Roman" w:hAnsi="Times New Roman" w:cs="Times New Roman"/>
          <w:color w:val="auto"/>
        </w:rPr>
        <w:t xml:space="preserve"> 5 of 2000 is a national legislation as contemplated in terms of section 217(3) of the Constitution.</w:t>
      </w:r>
    </w:p>
  </w:footnote>
  <w:footnote w:id="3">
    <w:p w14:paraId="0C2A8F8C" w14:textId="03CECCCF" w:rsidR="0054264D" w:rsidRPr="00227BEB" w:rsidRDefault="0054264D" w:rsidP="00020BAC">
      <w:pPr>
        <w:pStyle w:val="FootnoteText"/>
        <w:spacing w:line="276" w:lineRule="auto"/>
        <w:jc w:val="both"/>
        <w:rPr>
          <w:rFonts w:ascii="Times New Roman" w:hAnsi="Times New Roman" w:cs="Times New Roman"/>
          <w:color w:val="auto"/>
        </w:rPr>
      </w:pPr>
      <w:r w:rsidRPr="00227BEB">
        <w:rPr>
          <w:rStyle w:val="FootnoteReference"/>
          <w:rFonts w:ascii="Times New Roman" w:hAnsi="Times New Roman" w:cs="Times New Roman"/>
          <w:color w:val="auto"/>
        </w:rPr>
        <w:footnoteRef/>
      </w:r>
      <w:r w:rsidRPr="00227BEB">
        <w:rPr>
          <w:rFonts w:ascii="Times New Roman" w:hAnsi="Times New Roman" w:cs="Times New Roman"/>
          <w:color w:val="auto"/>
        </w:rPr>
        <w:t xml:space="preserve"> </w:t>
      </w:r>
      <w:r w:rsidRPr="00227BEB">
        <w:rPr>
          <w:rFonts w:ascii="Times New Roman" w:eastAsia="Arial Unicode MS" w:hAnsi="Times New Roman" w:cs="Times New Roman"/>
          <w:i/>
          <w:color w:val="auto"/>
          <w:u w:color="000000"/>
          <w:bdr w:val="nil"/>
          <w:lang w:eastAsia="en-ZA"/>
          <w14:textOutline w14:w="12700" w14:cap="flat" w14:cmpd="sng" w14:algn="ctr">
            <w14:noFill/>
            <w14:prstDash w14:val="solid"/>
            <w14:miter w14:lim="400000"/>
          </w14:textOutline>
        </w:rPr>
        <w:t>Airports Company South Africa SOC Ltd v Imperial Group Ltd and Other</w:t>
      </w:r>
      <w:r w:rsidR="00E61417" w:rsidRPr="00227BEB">
        <w:rPr>
          <w:rFonts w:ascii="Times New Roman" w:eastAsia="Arial Unicode MS" w:hAnsi="Times New Roman" w:cs="Times New Roman"/>
          <w:i/>
          <w:color w:val="auto"/>
          <w:u w:color="000000"/>
          <w:bdr w:val="nil"/>
          <w:lang w:eastAsia="en-ZA"/>
          <w14:textOutline w14:w="12700" w14:cap="flat" w14:cmpd="sng" w14:algn="ctr">
            <w14:noFill/>
            <w14:prstDash w14:val="solid"/>
            <w14:miter w14:lim="400000"/>
          </w14:textOutline>
        </w:rPr>
        <w:t>s</w:t>
      </w:r>
      <w:r w:rsidRPr="00227BEB">
        <w:rPr>
          <w:rFonts w:ascii="Times New Roman" w:eastAsia="Arial Unicode MS" w:hAnsi="Times New Roman" w:cs="Times New Roman"/>
          <w:i/>
          <w:color w:val="auto"/>
          <w:u w:color="000000"/>
          <w:bdr w:val="nil"/>
          <w:lang w:eastAsia="en-ZA"/>
          <w14:textOutline w14:w="12700" w14:cap="flat" w14:cmpd="sng" w14:algn="ctr">
            <w14:noFill/>
            <w14:prstDash w14:val="solid"/>
            <w14:miter w14:lim="400000"/>
          </w14:textOutline>
        </w:rPr>
        <w:t xml:space="preserve"> </w:t>
      </w:r>
      <w:r w:rsidRPr="00227BEB">
        <w:rPr>
          <w:rFonts w:ascii="Times New Roman" w:eastAsia="Arial Unicode MS" w:hAnsi="Times New Roman" w:cs="Times New Roman"/>
          <w:color w:val="auto"/>
          <w:u w:color="000000"/>
          <w:bdr w:val="nil"/>
          <w:lang w:eastAsia="en-ZA"/>
          <w14:textOutline w14:w="12700" w14:cap="flat" w14:cmpd="sng" w14:algn="ctr">
            <w14:noFill/>
            <w14:prstDash w14:val="solid"/>
            <w14:miter w14:lim="400000"/>
          </w14:textOutline>
        </w:rPr>
        <w:t>2; [2020] 2 All SA 1(SCA)</w:t>
      </w:r>
      <w:r w:rsidR="0042037E" w:rsidRPr="00227BEB">
        <w:rPr>
          <w:rFonts w:ascii="Times New Roman" w:eastAsia="Arial Unicode MS" w:hAnsi="Times New Roman" w:cs="Times New Roman"/>
          <w:color w:val="auto"/>
          <w:u w:color="000000"/>
          <w:bdr w:val="nil"/>
          <w:lang w:eastAsia="en-ZA"/>
          <w14:textOutline w14:w="12700" w14:cap="flat" w14:cmpd="sng" w14:algn="ctr">
            <w14:noFill/>
            <w14:prstDash w14:val="solid"/>
            <w14:miter w14:lim="400000"/>
          </w14:textOutline>
        </w:rPr>
        <w:t>; 2020</w:t>
      </w:r>
      <w:r w:rsidRPr="00227BEB">
        <w:rPr>
          <w:rFonts w:ascii="Times New Roman" w:eastAsia="Arial Unicode MS" w:hAnsi="Times New Roman" w:cs="Times New Roman"/>
          <w:color w:val="auto"/>
          <w:u w:color="000000"/>
          <w:bdr w:val="nil"/>
          <w:lang w:eastAsia="en-ZA"/>
          <w14:textOutline w14:w="12700" w14:cap="flat" w14:cmpd="sng" w14:algn="ctr">
            <w14:noFill/>
            <w14:prstDash w14:val="solid"/>
            <w14:miter w14:lim="400000"/>
          </w14:textOutline>
        </w:rPr>
        <w:t xml:space="preserve"> (4) SA 17 (SCA) at para 64.</w:t>
      </w:r>
    </w:p>
  </w:footnote>
  <w:footnote w:id="4">
    <w:p w14:paraId="7702C56E" w14:textId="3D10C655" w:rsidR="0054264D" w:rsidRPr="00CD5A07" w:rsidRDefault="0054264D" w:rsidP="00020BAC">
      <w:pPr>
        <w:spacing w:line="240" w:lineRule="auto"/>
        <w:jc w:val="both"/>
        <w:rPr>
          <w:rFonts w:ascii="Times New Roman" w:hAnsi="Times New Roman" w:cs="Times New Roman"/>
          <w:i/>
          <w:sz w:val="22"/>
          <w:szCs w:val="22"/>
        </w:rPr>
      </w:pPr>
      <w:r w:rsidRPr="00227BEB">
        <w:rPr>
          <w:rStyle w:val="FootnoteReference"/>
          <w:rFonts w:ascii="Times New Roman" w:hAnsi="Times New Roman" w:cs="Times New Roman"/>
          <w:i/>
          <w:color w:val="auto"/>
          <w:sz w:val="20"/>
          <w:szCs w:val="20"/>
        </w:rPr>
        <w:footnoteRef/>
      </w:r>
      <w:r w:rsidRPr="00227BEB">
        <w:rPr>
          <w:rFonts w:ascii="Times New Roman" w:hAnsi="Times New Roman" w:cs="Times New Roman"/>
          <w:i/>
          <w:color w:val="auto"/>
          <w:sz w:val="20"/>
          <w:szCs w:val="20"/>
        </w:rPr>
        <w:t xml:space="preserve"> </w:t>
      </w:r>
      <w:bookmarkStart w:id="2" w:name="0-0-0-39631"/>
      <w:bookmarkEnd w:id="2"/>
      <w:r w:rsidRPr="00227BEB">
        <w:rPr>
          <w:rFonts w:ascii="Times New Roman" w:eastAsia="Times New Roman" w:hAnsi="Times New Roman" w:cs="Times New Roman"/>
          <w:i/>
          <w:color w:val="auto"/>
          <w:sz w:val="20"/>
          <w:szCs w:val="20"/>
          <w:lang w:eastAsia="en-ZA"/>
        </w:rPr>
        <w:t xml:space="preserve">Joubert Galpin Searle </w:t>
      </w:r>
      <w:r w:rsidR="0042037E" w:rsidRPr="00227BEB">
        <w:rPr>
          <w:rFonts w:ascii="Times New Roman" w:eastAsia="Times New Roman" w:hAnsi="Times New Roman" w:cs="Times New Roman"/>
          <w:i/>
          <w:color w:val="auto"/>
          <w:sz w:val="20"/>
          <w:szCs w:val="20"/>
          <w:lang w:eastAsia="en-ZA"/>
        </w:rPr>
        <w:t>Inc.</w:t>
      </w:r>
      <w:r w:rsidRPr="00227BEB">
        <w:rPr>
          <w:rFonts w:ascii="Times New Roman" w:eastAsia="Times New Roman" w:hAnsi="Times New Roman" w:cs="Times New Roman"/>
          <w:i/>
          <w:color w:val="auto"/>
          <w:sz w:val="20"/>
          <w:szCs w:val="20"/>
          <w:lang w:eastAsia="en-ZA"/>
        </w:rPr>
        <w:t xml:space="preserve"> and Others v Road Accident Fund and </w:t>
      </w:r>
      <w:r w:rsidR="0042037E" w:rsidRPr="00227BEB">
        <w:rPr>
          <w:rFonts w:ascii="Times New Roman" w:eastAsia="Times New Roman" w:hAnsi="Times New Roman" w:cs="Times New Roman"/>
          <w:i/>
          <w:color w:val="auto"/>
          <w:sz w:val="20"/>
          <w:szCs w:val="20"/>
          <w:lang w:eastAsia="en-ZA"/>
        </w:rPr>
        <w:t xml:space="preserve">Others </w:t>
      </w:r>
      <w:r w:rsidR="0042037E" w:rsidRPr="00227BEB">
        <w:rPr>
          <w:rFonts w:ascii="Times New Roman" w:eastAsia="Times New Roman" w:hAnsi="Times New Roman" w:cs="Times New Roman"/>
          <w:color w:val="auto"/>
          <w:sz w:val="20"/>
          <w:szCs w:val="20"/>
          <w:lang w:eastAsia="en-ZA"/>
        </w:rPr>
        <w:t>2014</w:t>
      </w:r>
      <w:r w:rsidRPr="00227BEB">
        <w:rPr>
          <w:rFonts w:ascii="Times New Roman" w:eastAsia="Times New Roman" w:hAnsi="Times New Roman" w:cs="Times New Roman"/>
          <w:color w:val="auto"/>
          <w:sz w:val="20"/>
          <w:szCs w:val="20"/>
          <w:lang w:eastAsia="en-ZA"/>
        </w:rPr>
        <w:t xml:space="preserve"> (4) SA 148 (ECP) A 2014 (4) SA p148 at para 57</w:t>
      </w:r>
      <w:r w:rsidRPr="00227BEB">
        <w:rPr>
          <w:rFonts w:ascii="Times New Roman" w:eastAsia="Times New Roman" w:hAnsi="Times New Roman" w:cs="Times New Roman"/>
          <w:i/>
          <w:color w:val="auto"/>
          <w:sz w:val="20"/>
          <w:szCs w:val="20"/>
          <w:lang w:eastAsia="en-ZA"/>
        </w:rPr>
        <w:t>.</w:t>
      </w:r>
      <w:r w:rsidR="00A2475B" w:rsidRPr="00227BEB">
        <w:rPr>
          <w:rFonts w:ascii="Times New Roman" w:eastAsia="Times New Roman" w:hAnsi="Times New Roman" w:cs="Times New Roman"/>
          <w:i/>
          <w:color w:val="auto"/>
          <w:sz w:val="20"/>
          <w:szCs w:val="20"/>
          <w:lang w:eastAsia="en-ZA"/>
        </w:rPr>
        <w:t xml:space="preserve"> </w:t>
      </w:r>
      <w:r w:rsidR="00A2475B" w:rsidRPr="00227BEB">
        <w:rPr>
          <w:rFonts w:ascii="Times New Roman" w:eastAsia="Times New Roman" w:hAnsi="Times New Roman" w:cs="Times New Roman"/>
          <w:color w:val="auto"/>
          <w:sz w:val="20"/>
          <w:szCs w:val="20"/>
          <w:lang w:eastAsia="en-ZA"/>
        </w:rPr>
        <w:t>S</w:t>
      </w:r>
      <w:r w:rsidRPr="00227BEB">
        <w:rPr>
          <w:rFonts w:ascii="Times New Roman" w:eastAsia="Times New Roman" w:hAnsi="Times New Roman" w:cs="Times New Roman"/>
          <w:color w:val="auto"/>
          <w:sz w:val="20"/>
          <w:szCs w:val="20"/>
          <w:lang w:eastAsia="en-ZA"/>
        </w:rPr>
        <w:t>ee also</w:t>
      </w:r>
      <w:r w:rsidRPr="00227BEB">
        <w:rPr>
          <w:rFonts w:ascii="Times New Roman" w:eastAsia="Times New Roman" w:hAnsi="Times New Roman" w:cs="Times New Roman"/>
          <w:i/>
          <w:color w:val="auto"/>
          <w:sz w:val="20"/>
          <w:szCs w:val="20"/>
          <w:lang w:eastAsia="en-ZA"/>
        </w:rPr>
        <w:t xml:space="preserve"> WDR Earthmoving</w:t>
      </w:r>
      <w:r w:rsidR="00A2475B" w:rsidRPr="00227BEB">
        <w:rPr>
          <w:rFonts w:ascii="Times New Roman" w:eastAsia="Times New Roman" w:hAnsi="Times New Roman" w:cs="Times New Roman"/>
          <w:i/>
          <w:color w:val="auto"/>
          <w:sz w:val="20"/>
          <w:szCs w:val="20"/>
          <w:lang w:eastAsia="en-ZA"/>
        </w:rPr>
        <w:t xml:space="preserve"> Enterprises and Another </w:t>
      </w:r>
      <w:r w:rsidRPr="00227BEB">
        <w:rPr>
          <w:rFonts w:ascii="Times New Roman" w:eastAsia="Times New Roman" w:hAnsi="Times New Roman" w:cs="Times New Roman"/>
          <w:i/>
          <w:color w:val="auto"/>
          <w:sz w:val="20"/>
          <w:szCs w:val="20"/>
          <w:lang w:eastAsia="en-ZA"/>
        </w:rPr>
        <w:t xml:space="preserve"> v Joe Gqabi District Municip</w:t>
      </w:r>
      <w:r w:rsidR="00A2475B" w:rsidRPr="00227BEB">
        <w:rPr>
          <w:rFonts w:ascii="Times New Roman" w:eastAsia="Times New Roman" w:hAnsi="Times New Roman" w:cs="Times New Roman"/>
          <w:i/>
          <w:color w:val="auto"/>
          <w:sz w:val="20"/>
          <w:szCs w:val="20"/>
          <w:lang w:eastAsia="en-ZA"/>
        </w:rPr>
        <w:t xml:space="preserve">ality and Others  </w:t>
      </w:r>
      <w:r w:rsidR="00A2475B" w:rsidRPr="00227BEB">
        <w:rPr>
          <w:rFonts w:ascii="Times New Roman" w:eastAsia="Times New Roman" w:hAnsi="Times New Roman" w:cs="Times New Roman"/>
          <w:color w:val="auto"/>
          <w:sz w:val="20"/>
          <w:szCs w:val="20"/>
          <w:lang w:eastAsia="en-ZA"/>
        </w:rPr>
        <w:t>(</w:t>
      </w:r>
      <w:r w:rsidR="006E7AF0" w:rsidRPr="00227BEB">
        <w:rPr>
          <w:rFonts w:ascii="Times New Roman" w:eastAsia="Times New Roman" w:hAnsi="Times New Roman" w:cs="Times New Roman"/>
          <w:color w:val="auto"/>
          <w:sz w:val="20"/>
          <w:szCs w:val="20"/>
          <w:lang w:eastAsia="en-ZA"/>
        </w:rPr>
        <w:t>ECG</w:t>
      </w:r>
      <w:r w:rsidR="00A2475B" w:rsidRPr="00227BEB">
        <w:rPr>
          <w:rFonts w:ascii="Times New Roman" w:eastAsia="Times New Roman" w:hAnsi="Times New Roman" w:cs="Times New Roman"/>
          <w:color w:val="auto"/>
          <w:sz w:val="20"/>
          <w:szCs w:val="20"/>
          <w:lang w:eastAsia="en-ZA"/>
        </w:rPr>
        <w:t xml:space="preserve">) unreported case no </w:t>
      </w:r>
      <w:r w:rsidR="006E7AF0" w:rsidRPr="00227BEB">
        <w:rPr>
          <w:rFonts w:ascii="Times New Roman" w:eastAsia="Times New Roman" w:hAnsi="Times New Roman" w:cs="Times New Roman"/>
          <w:color w:val="auto"/>
          <w:sz w:val="20"/>
          <w:szCs w:val="20"/>
          <w:lang w:eastAsia="en-ZA"/>
        </w:rPr>
        <w:t>CA 298</w:t>
      </w:r>
      <w:r w:rsidR="00A2475B" w:rsidRPr="00227BEB">
        <w:rPr>
          <w:rFonts w:ascii="Times New Roman" w:eastAsia="Times New Roman" w:hAnsi="Times New Roman" w:cs="Times New Roman"/>
          <w:color w:val="auto"/>
          <w:sz w:val="20"/>
          <w:szCs w:val="20"/>
          <w:lang w:eastAsia="en-ZA"/>
        </w:rPr>
        <w:t>/201</w:t>
      </w:r>
      <w:r w:rsidR="006E7AF0" w:rsidRPr="00227BEB">
        <w:rPr>
          <w:rFonts w:ascii="Times New Roman" w:eastAsia="Times New Roman" w:hAnsi="Times New Roman" w:cs="Times New Roman"/>
          <w:color w:val="auto"/>
          <w:sz w:val="20"/>
          <w:szCs w:val="20"/>
          <w:lang w:eastAsia="en-ZA"/>
        </w:rPr>
        <w:t>6</w:t>
      </w:r>
      <w:r w:rsidR="00A2475B" w:rsidRPr="00227BEB">
        <w:rPr>
          <w:rFonts w:ascii="Times New Roman" w:eastAsia="Times New Roman" w:hAnsi="Times New Roman" w:cs="Times New Roman"/>
          <w:color w:val="auto"/>
          <w:sz w:val="20"/>
          <w:szCs w:val="20"/>
          <w:lang w:eastAsia="en-ZA"/>
        </w:rPr>
        <w:t xml:space="preserve"> of 13 March 2017</w:t>
      </w:r>
      <w:r w:rsidR="00A2475B" w:rsidRPr="00A2475B">
        <w:rPr>
          <w:rFonts w:ascii="Times New Roman" w:eastAsia="Times New Roman" w:hAnsi="Times New Roman" w:cs="Times New Roman"/>
          <w:sz w:val="20"/>
          <w:szCs w:val="20"/>
          <w:lang w:eastAsia="en-ZA"/>
        </w:rPr>
        <w:t>.</w:t>
      </w:r>
    </w:p>
  </w:footnote>
  <w:footnote w:id="5">
    <w:p w14:paraId="192F3B85" w14:textId="3DC8CA6F" w:rsidR="0054264D" w:rsidRPr="00C77541" w:rsidRDefault="0054264D" w:rsidP="00020BAC">
      <w:pPr>
        <w:pStyle w:val="FootnoteText"/>
        <w:spacing w:line="276" w:lineRule="auto"/>
        <w:jc w:val="both"/>
        <w:rPr>
          <w:rFonts w:ascii="Times New Roman" w:hAnsi="Times New Roman" w:cs="Times New Roman"/>
        </w:rPr>
      </w:pPr>
      <w:r w:rsidRPr="00C77541">
        <w:rPr>
          <w:rStyle w:val="FootnoteReference"/>
          <w:rFonts w:ascii="Times New Roman" w:hAnsi="Times New Roman" w:cs="Times New Roman"/>
        </w:rPr>
        <w:footnoteRef/>
      </w:r>
      <w:r w:rsidRPr="00C77541">
        <w:rPr>
          <w:rFonts w:ascii="Times New Roman" w:hAnsi="Times New Roman" w:cs="Times New Roman"/>
        </w:rPr>
        <w:t xml:space="preserve"> </w:t>
      </w:r>
      <w:r w:rsidRPr="00227BEB">
        <w:rPr>
          <w:rFonts w:ascii="Times New Roman" w:hAnsi="Times New Roman" w:cs="Times New Roman"/>
          <w:color w:val="auto"/>
        </w:rPr>
        <w:t xml:space="preserve">2014 </w:t>
      </w:r>
      <w:r w:rsidR="00A2475B" w:rsidRPr="00227BEB">
        <w:rPr>
          <w:rFonts w:ascii="Times New Roman" w:hAnsi="Times New Roman" w:cs="Times New Roman"/>
          <w:color w:val="auto"/>
        </w:rPr>
        <w:t xml:space="preserve">(1) SA 604 (CC) at </w:t>
      </w:r>
      <w:r w:rsidRPr="00227BEB">
        <w:rPr>
          <w:rFonts w:ascii="Times New Roman" w:hAnsi="Times New Roman" w:cs="Times New Roman"/>
          <w:color w:val="auto"/>
        </w:rPr>
        <w:t xml:space="preserve"> para</w:t>
      </w:r>
      <w:r w:rsidR="00A2475B" w:rsidRPr="00227BEB">
        <w:rPr>
          <w:rFonts w:ascii="Times New Roman" w:hAnsi="Times New Roman" w:cs="Times New Roman"/>
          <w:color w:val="auto"/>
        </w:rPr>
        <w:t xml:space="preserve"> 40.</w:t>
      </w:r>
      <w:r w:rsidRPr="00227BEB">
        <w:rPr>
          <w:rFonts w:ascii="Times New Roman" w:hAnsi="Times New Roman" w:cs="Times New Roman"/>
          <w:color w:val="auto"/>
        </w:rPr>
        <w:t xml:space="preserve"> </w:t>
      </w:r>
    </w:p>
  </w:footnote>
  <w:footnote w:id="6">
    <w:p w14:paraId="16DF4ECE" w14:textId="77777777" w:rsidR="00C77541" w:rsidRPr="00C77541" w:rsidRDefault="0054264D" w:rsidP="00020BAC">
      <w:pPr>
        <w:pStyle w:val="FootnoteText"/>
        <w:spacing w:line="276" w:lineRule="auto"/>
        <w:jc w:val="both"/>
        <w:rPr>
          <w:rFonts w:ascii="Times New Roman" w:hAnsi="Times New Roman" w:cs="Times New Roman"/>
        </w:rPr>
      </w:pPr>
      <w:r w:rsidRPr="00C77541">
        <w:rPr>
          <w:rStyle w:val="FootnoteReference"/>
          <w:rFonts w:ascii="Times New Roman" w:hAnsi="Times New Roman" w:cs="Times New Roman"/>
        </w:rPr>
        <w:footnoteRef/>
      </w:r>
      <w:r w:rsidRPr="00C77541">
        <w:rPr>
          <w:rFonts w:ascii="Times New Roman" w:hAnsi="Times New Roman" w:cs="Times New Roman"/>
        </w:rPr>
        <w:t xml:space="preserve"> Section 33 of the Constitution provides:  </w:t>
      </w:r>
    </w:p>
    <w:p w14:paraId="50095977" w14:textId="01968942" w:rsidR="0054264D" w:rsidRPr="00C77541" w:rsidRDefault="00C77541" w:rsidP="00020BAC">
      <w:pPr>
        <w:pStyle w:val="FootnoteText"/>
        <w:spacing w:line="276" w:lineRule="auto"/>
        <w:jc w:val="both"/>
        <w:rPr>
          <w:rFonts w:ascii="Times New Roman" w:hAnsi="Times New Roman" w:cs="Times New Roman"/>
        </w:rPr>
      </w:pPr>
      <w:r w:rsidRPr="00C77541">
        <w:rPr>
          <w:rFonts w:ascii="Times New Roman" w:hAnsi="Times New Roman" w:cs="Times New Roman"/>
          <w:b/>
        </w:rPr>
        <w:t>‘</w:t>
      </w:r>
      <w:r w:rsidR="0054264D" w:rsidRPr="00C77541">
        <w:rPr>
          <w:rFonts w:ascii="Times New Roman" w:hAnsi="Times New Roman" w:cs="Times New Roman"/>
          <w:b/>
        </w:rPr>
        <w:t>Just administrative action</w:t>
      </w:r>
      <w:r w:rsidRPr="00C77541">
        <w:rPr>
          <w:rFonts w:ascii="Times New Roman" w:hAnsi="Times New Roman" w:cs="Times New Roman"/>
        </w:rPr>
        <w:t xml:space="preserve"> (1) </w:t>
      </w:r>
      <w:r w:rsidR="0054264D" w:rsidRPr="00C77541">
        <w:rPr>
          <w:rFonts w:ascii="Times New Roman" w:hAnsi="Times New Roman" w:cs="Times New Roman"/>
        </w:rPr>
        <w:t>Everyone has the right to administrative action that is lawful, reasonable and procedurally fair.’</w:t>
      </w:r>
    </w:p>
  </w:footnote>
  <w:footnote w:id="7">
    <w:p w14:paraId="52BFB5FD" w14:textId="4365EFDF" w:rsidR="0054264D" w:rsidRPr="00AA6E1C" w:rsidRDefault="0054264D" w:rsidP="00020BAC">
      <w:pPr>
        <w:pStyle w:val="FootnoteText"/>
        <w:spacing w:line="276" w:lineRule="auto"/>
        <w:jc w:val="both"/>
        <w:rPr>
          <w:rFonts w:ascii="Times New Roman" w:hAnsi="Times New Roman" w:cs="Times New Roman"/>
        </w:rPr>
      </w:pPr>
      <w:r w:rsidRPr="00C77541">
        <w:rPr>
          <w:rStyle w:val="FootnoteReference"/>
          <w:rFonts w:ascii="Times New Roman" w:hAnsi="Times New Roman" w:cs="Times New Roman"/>
        </w:rPr>
        <w:footnoteRef/>
      </w:r>
      <w:r w:rsidRPr="00C77541">
        <w:rPr>
          <w:rFonts w:ascii="Times New Roman" w:hAnsi="Times New Roman" w:cs="Times New Roman"/>
        </w:rPr>
        <w:t xml:space="preserve"> Section 6 of the </w:t>
      </w:r>
      <w:r w:rsidR="0042037E" w:rsidRPr="00C77541">
        <w:rPr>
          <w:rFonts w:ascii="Times New Roman" w:hAnsi="Times New Roman" w:cs="Times New Roman"/>
        </w:rPr>
        <w:t>PAJA sets</w:t>
      </w:r>
      <w:r w:rsidRPr="00C77541">
        <w:rPr>
          <w:rFonts w:ascii="Times New Roman" w:hAnsi="Times New Roman" w:cs="Times New Roman"/>
        </w:rPr>
        <w:t xml:space="preserve"> out a list of ‘grounds’ on which courts can review administrative action. These grounds of review include illegality, procedural unfairness, irrationality, unreasonableness, and other unconstitutional or unlawful action.</w:t>
      </w:r>
    </w:p>
  </w:footnote>
  <w:footnote w:id="8">
    <w:p w14:paraId="28DFC5CF" w14:textId="461DF324" w:rsidR="0054264D" w:rsidRPr="00227BEB" w:rsidRDefault="0054264D" w:rsidP="00020BAC">
      <w:pPr>
        <w:pStyle w:val="FootnoteText"/>
        <w:spacing w:line="276" w:lineRule="auto"/>
        <w:jc w:val="both"/>
        <w:rPr>
          <w:rFonts w:ascii="Times New Roman" w:hAnsi="Times New Roman" w:cs="Times New Roman"/>
          <w:color w:val="auto"/>
          <w:sz w:val="22"/>
          <w:szCs w:val="22"/>
        </w:rPr>
      </w:pPr>
      <w:r w:rsidRPr="00227BEB">
        <w:rPr>
          <w:rStyle w:val="FootnoteReference"/>
          <w:rFonts w:ascii="Times New Roman" w:hAnsi="Times New Roman" w:cs="Times New Roman"/>
          <w:color w:val="auto"/>
          <w:sz w:val="22"/>
          <w:szCs w:val="22"/>
        </w:rPr>
        <w:footnoteRef/>
      </w:r>
      <w:r w:rsidR="006E7AF0" w:rsidRPr="00227BEB">
        <w:rPr>
          <w:rFonts w:ascii="Times New Roman" w:hAnsi="Times New Roman" w:cs="Times New Roman"/>
          <w:color w:val="auto"/>
          <w:sz w:val="22"/>
          <w:szCs w:val="22"/>
        </w:rPr>
        <w:t xml:space="preserve"> </w:t>
      </w:r>
      <w:r w:rsidR="006E7AF0" w:rsidRPr="00227BEB">
        <w:rPr>
          <w:rFonts w:ascii="Times New Roman" w:hAnsi="Times New Roman" w:cs="Times New Roman"/>
          <w:i/>
          <w:color w:val="auto"/>
          <w:sz w:val="22"/>
          <w:szCs w:val="22"/>
        </w:rPr>
        <w:t xml:space="preserve">WDR Earthmoving </w:t>
      </w:r>
      <w:r w:rsidR="006E7AF0" w:rsidRPr="00227BEB">
        <w:rPr>
          <w:rFonts w:ascii="Times New Roman" w:hAnsi="Times New Roman" w:cs="Times New Roman"/>
          <w:color w:val="auto"/>
          <w:sz w:val="22"/>
          <w:szCs w:val="22"/>
        </w:rPr>
        <w:t>(note 4 above) at para 10</w:t>
      </w:r>
      <w:r w:rsidRPr="00227BEB">
        <w:rPr>
          <w:rFonts w:ascii="Times New Roman" w:hAnsi="Times New Roman" w:cs="Times New Roman"/>
          <w:color w:val="auto"/>
          <w:sz w:val="22"/>
          <w:szCs w:val="22"/>
        </w:rPr>
        <w:t>.</w:t>
      </w:r>
    </w:p>
  </w:footnote>
  <w:footnote w:id="9">
    <w:p w14:paraId="35DF7039" w14:textId="723F0544" w:rsidR="0054264D" w:rsidRPr="00107D14" w:rsidRDefault="0054264D" w:rsidP="00020BAC">
      <w:pPr>
        <w:pStyle w:val="FootnoteText"/>
        <w:spacing w:line="276" w:lineRule="auto"/>
        <w:jc w:val="both"/>
        <w:rPr>
          <w:rFonts w:ascii="Times New Roman" w:hAnsi="Times New Roman" w:cs="Times New Roman"/>
        </w:rPr>
      </w:pPr>
      <w:r w:rsidRPr="00227BEB">
        <w:rPr>
          <w:rStyle w:val="FootnoteReference"/>
          <w:rFonts w:ascii="Times New Roman" w:hAnsi="Times New Roman" w:cs="Times New Roman"/>
          <w:color w:val="auto"/>
          <w:sz w:val="22"/>
          <w:szCs w:val="22"/>
        </w:rPr>
        <w:footnoteRef/>
      </w:r>
      <w:r w:rsidR="006E7AF0" w:rsidRPr="00227BEB">
        <w:rPr>
          <w:rFonts w:ascii="Times New Roman" w:hAnsi="Times New Roman" w:cs="Times New Roman"/>
          <w:color w:val="auto"/>
          <w:sz w:val="22"/>
          <w:szCs w:val="22"/>
        </w:rPr>
        <w:t xml:space="preserve"> </w:t>
      </w:r>
      <w:r w:rsidR="00541398" w:rsidRPr="00227BEB">
        <w:rPr>
          <w:rFonts w:ascii="Times New Roman" w:hAnsi="Times New Roman" w:cs="Times New Roman"/>
          <w:color w:val="auto"/>
          <w:sz w:val="22"/>
          <w:szCs w:val="22"/>
        </w:rPr>
        <w:t>[2014] 1 All SA 545 (SCA)</w:t>
      </w:r>
      <w:r w:rsidR="006E7AF0" w:rsidRPr="00227BEB">
        <w:rPr>
          <w:rFonts w:ascii="Times New Roman" w:hAnsi="Times New Roman" w:cs="Times New Roman"/>
          <w:color w:val="auto"/>
          <w:sz w:val="22"/>
          <w:szCs w:val="22"/>
        </w:rPr>
        <w:t>. See also</w:t>
      </w:r>
      <w:r w:rsidRPr="00227BEB">
        <w:rPr>
          <w:rFonts w:ascii="Times New Roman" w:hAnsi="Times New Roman" w:cs="Times New Roman"/>
          <w:color w:val="auto"/>
          <w:sz w:val="22"/>
          <w:szCs w:val="22"/>
        </w:rPr>
        <w:t xml:space="preserve"> </w:t>
      </w:r>
      <w:r w:rsidRPr="00227BEB">
        <w:rPr>
          <w:rFonts w:ascii="Times New Roman" w:hAnsi="Times New Roman" w:cs="Times New Roman"/>
          <w:i/>
          <w:color w:val="auto"/>
          <w:sz w:val="22"/>
          <w:szCs w:val="22"/>
        </w:rPr>
        <w:t>Alfred Nzo Municipality and Others v Tek</w:t>
      </w:r>
      <w:r w:rsidR="007D096B" w:rsidRPr="00227BEB">
        <w:rPr>
          <w:rFonts w:ascii="Times New Roman" w:hAnsi="Times New Roman" w:cs="Times New Roman"/>
          <w:i/>
          <w:color w:val="auto"/>
          <w:sz w:val="22"/>
          <w:szCs w:val="22"/>
        </w:rPr>
        <w:t xml:space="preserve">oa Consulting Engineers (Pty) Ltd  </w:t>
      </w:r>
      <w:r w:rsidR="007D096B" w:rsidRPr="00227BEB">
        <w:rPr>
          <w:rFonts w:ascii="Times New Roman" w:hAnsi="Times New Roman" w:cs="Times New Roman"/>
          <w:color w:val="auto"/>
          <w:sz w:val="22"/>
          <w:szCs w:val="22"/>
        </w:rPr>
        <w:t xml:space="preserve">(ECG) unreported case no </w:t>
      </w:r>
      <w:r w:rsidRPr="00227BEB">
        <w:rPr>
          <w:rFonts w:ascii="Times New Roman" w:hAnsi="Times New Roman" w:cs="Times New Roman"/>
          <w:color w:val="auto"/>
          <w:sz w:val="22"/>
          <w:szCs w:val="22"/>
        </w:rPr>
        <w:t xml:space="preserve">CA07/2023 </w:t>
      </w:r>
      <w:r w:rsidR="007D096B" w:rsidRPr="00227BEB">
        <w:rPr>
          <w:rFonts w:ascii="Times New Roman" w:hAnsi="Times New Roman" w:cs="Times New Roman"/>
          <w:color w:val="auto"/>
          <w:sz w:val="22"/>
          <w:szCs w:val="22"/>
        </w:rPr>
        <w:t>of 20 June 2023</w:t>
      </w:r>
      <w:r w:rsidR="00EA177F" w:rsidRPr="00227BEB">
        <w:rPr>
          <w:rFonts w:ascii="Times New Roman" w:hAnsi="Times New Roman" w:cs="Times New Roman"/>
          <w:color w:val="auto"/>
          <w:sz w:val="22"/>
          <w:szCs w:val="22"/>
        </w:rPr>
        <w:t>.</w:t>
      </w:r>
    </w:p>
  </w:footnote>
  <w:footnote w:id="10">
    <w:p w14:paraId="0E6E6B9D" w14:textId="3DED07BB" w:rsidR="0054264D" w:rsidRPr="00227BEB" w:rsidRDefault="0054264D" w:rsidP="0065449F">
      <w:pPr>
        <w:pStyle w:val="FootnoteText"/>
        <w:spacing w:line="276" w:lineRule="auto"/>
        <w:rPr>
          <w:rFonts w:ascii="Times New Roman" w:hAnsi="Times New Roman" w:cs="Times New Roman"/>
          <w:color w:val="auto"/>
        </w:rPr>
      </w:pPr>
      <w:r w:rsidRPr="00227BEB">
        <w:rPr>
          <w:rStyle w:val="FootnoteReference"/>
          <w:rFonts w:ascii="Times New Roman" w:hAnsi="Times New Roman" w:cs="Times New Roman"/>
          <w:color w:val="auto"/>
        </w:rPr>
        <w:footnoteRef/>
      </w:r>
      <w:r w:rsidR="0065449F" w:rsidRPr="00227BEB">
        <w:rPr>
          <w:rFonts w:ascii="Times New Roman" w:hAnsi="Times New Roman" w:cs="Times New Roman"/>
          <w:color w:val="auto"/>
        </w:rPr>
        <w:t xml:space="preserve"> </w:t>
      </w:r>
      <w:r w:rsidR="005D191C">
        <w:rPr>
          <w:rFonts w:ascii="Times New Roman" w:hAnsi="Times New Roman" w:cs="Times New Roman"/>
          <w:iCs/>
          <w:color w:val="auto"/>
        </w:rPr>
        <w:t xml:space="preserve">(392/2017) [2018] ZACSA 72 </w:t>
      </w:r>
      <w:r w:rsidR="000A7D76" w:rsidRPr="000A7D76">
        <w:rPr>
          <w:rFonts w:ascii="Times New Roman" w:hAnsi="Times New Roman" w:cs="Times New Roman"/>
          <w:iCs/>
          <w:color w:val="auto"/>
        </w:rPr>
        <w:t>(30 May 2018) at para 21</w:t>
      </w:r>
      <w:r w:rsidRPr="000A7D76">
        <w:rPr>
          <w:rFonts w:ascii="Times New Roman" w:hAnsi="Times New Roman" w:cs="Times New Roman"/>
          <w:iCs/>
          <w:color w:val="auto"/>
        </w:rPr>
        <w:t>.</w:t>
      </w:r>
    </w:p>
  </w:footnote>
  <w:footnote w:id="11">
    <w:p w14:paraId="2933E895" w14:textId="5F33837B" w:rsidR="004F6A0A" w:rsidRPr="0065449F" w:rsidRDefault="004F6A0A" w:rsidP="0065449F">
      <w:pPr>
        <w:pStyle w:val="FootnoteText"/>
        <w:spacing w:line="276" w:lineRule="auto"/>
        <w:rPr>
          <w:rFonts w:ascii="Times New Roman" w:hAnsi="Times New Roman" w:cs="Times New Roman"/>
          <w:color w:val="FF0000"/>
        </w:rPr>
      </w:pPr>
      <w:r w:rsidRPr="00227BEB">
        <w:rPr>
          <w:rStyle w:val="FootnoteReference"/>
          <w:rFonts w:ascii="Times New Roman" w:hAnsi="Times New Roman" w:cs="Times New Roman"/>
          <w:color w:val="auto"/>
        </w:rPr>
        <w:footnoteRef/>
      </w:r>
      <w:r w:rsidR="0065449F" w:rsidRPr="00227BEB">
        <w:rPr>
          <w:rFonts w:ascii="Times New Roman" w:hAnsi="Times New Roman" w:cs="Times New Roman"/>
          <w:color w:val="auto"/>
        </w:rPr>
        <w:t>Ibid.</w:t>
      </w:r>
    </w:p>
  </w:footnote>
  <w:footnote w:id="12">
    <w:p w14:paraId="4B4D5C35" w14:textId="58D31AB3" w:rsidR="00D35206" w:rsidRPr="00886F39" w:rsidRDefault="00D35206">
      <w:pPr>
        <w:pStyle w:val="FootnoteText"/>
        <w:rPr>
          <w:rFonts w:ascii="Times New Roman" w:hAnsi="Times New Roman" w:cs="Times New Roman"/>
          <w:i/>
        </w:rPr>
      </w:pPr>
      <w:r w:rsidRPr="00886F39">
        <w:rPr>
          <w:rStyle w:val="FootnoteReference"/>
          <w:rFonts w:ascii="Times New Roman" w:hAnsi="Times New Roman" w:cs="Times New Roman"/>
        </w:rPr>
        <w:footnoteRef/>
      </w:r>
      <w:r w:rsidRPr="00886F39">
        <w:rPr>
          <w:rFonts w:ascii="Times New Roman" w:hAnsi="Times New Roman" w:cs="Times New Roman"/>
        </w:rPr>
        <w:t xml:space="preserve"> In terms of the Plascon Evans principle, when factual dispute arises, relief should b egranted only if the facts stated by the respondent, together with the admitted facts in the applicant’s affidavits justify the order. </w:t>
      </w:r>
      <w:r w:rsidRPr="00886F39">
        <w:rPr>
          <w:rFonts w:ascii="Times New Roman" w:hAnsi="Times New Roman" w:cs="Times New Roman"/>
          <w:i/>
        </w:rPr>
        <w:t>Plascon Evans Paints Ltd v Van Riebeeck (Pty)</w:t>
      </w:r>
      <w:r w:rsidR="00886F39" w:rsidRPr="00886F39">
        <w:rPr>
          <w:rFonts w:ascii="Times New Roman" w:hAnsi="Times New Roman" w:cs="Times New Roman"/>
          <w:i/>
        </w:rPr>
        <w:t xml:space="preserve"> </w:t>
      </w:r>
      <w:r w:rsidRPr="00886F39">
        <w:rPr>
          <w:rFonts w:ascii="Times New Roman" w:hAnsi="Times New Roman" w:cs="Times New Roman"/>
          <w:i/>
        </w:rPr>
        <w:t>Ltd 1984 (3)</w:t>
      </w:r>
      <w:r w:rsidR="00886F39" w:rsidRPr="00886F39">
        <w:rPr>
          <w:rFonts w:ascii="Times New Roman" w:hAnsi="Times New Roman" w:cs="Times New Roman"/>
          <w:i/>
        </w:rPr>
        <w:t xml:space="preserve"> 623.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73141"/>
      <w:docPartObj>
        <w:docPartGallery w:val="Page Numbers (Top of Page)"/>
        <w:docPartUnique/>
      </w:docPartObj>
    </w:sdtPr>
    <w:sdtEndPr>
      <w:rPr>
        <w:noProof/>
      </w:rPr>
    </w:sdtEndPr>
    <w:sdtContent>
      <w:p w14:paraId="21CB83CD" w14:textId="3DC40618" w:rsidR="0054264D" w:rsidRDefault="005426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7B551D" w14:textId="77777777" w:rsidR="0054264D" w:rsidRDefault="00542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3E2B" w14:textId="3D7F0F83" w:rsidR="0054264D" w:rsidRDefault="0054264D">
    <w:pPr>
      <w:pStyle w:val="Header"/>
      <w:jc w:val="right"/>
    </w:pPr>
  </w:p>
  <w:p w14:paraId="3745A2B1" w14:textId="77777777" w:rsidR="0054264D" w:rsidRDefault="0054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75C"/>
    <w:multiLevelType w:val="hybridMultilevel"/>
    <w:tmpl w:val="99283E96"/>
    <w:lvl w:ilvl="0" w:tplc="F906FD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7E5677"/>
    <w:multiLevelType w:val="hybridMultilevel"/>
    <w:tmpl w:val="46D02B10"/>
    <w:lvl w:ilvl="0" w:tplc="550E6F18">
      <w:start w:val="1"/>
      <w:numFmt w:val="lowerLetter"/>
      <w:lvlText w:val="(%1)"/>
      <w:lvlJc w:val="left"/>
      <w:pPr>
        <w:ind w:left="3905" w:hanging="360"/>
      </w:pPr>
      <w:rPr>
        <w:rFonts w:hint="default"/>
      </w:rPr>
    </w:lvl>
    <w:lvl w:ilvl="1" w:tplc="1C090019" w:tentative="1">
      <w:start w:val="1"/>
      <w:numFmt w:val="lowerLetter"/>
      <w:lvlText w:val="%2."/>
      <w:lvlJc w:val="left"/>
      <w:pPr>
        <w:ind w:left="4625" w:hanging="360"/>
      </w:pPr>
    </w:lvl>
    <w:lvl w:ilvl="2" w:tplc="1C09001B" w:tentative="1">
      <w:start w:val="1"/>
      <w:numFmt w:val="lowerRoman"/>
      <w:lvlText w:val="%3."/>
      <w:lvlJc w:val="right"/>
      <w:pPr>
        <w:ind w:left="5345" w:hanging="180"/>
      </w:pPr>
    </w:lvl>
    <w:lvl w:ilvl="3" w:tplc="1C09000F" w:tentative="1">
      <w:start w:val="1"/>
      <w:numFmt w:val="decimal"/>
      <w:lvlText w:val="%4."/>
      <w:lvlJc w:val="left"/>
      <w:pPr>
        <w:ind w:left="6065" w:hanging="360"/>
      </w:pPr>
    </w:lvl>
    <w:lvl w:ilvl="4" w:tplc="1C090019" w:tentative="1">
      <w:start w:val="1"/>
      <w:numFmt w:val="lowerLetter"/>
      <w:lvlText w:val="%5."/>
      <w:lvlJc w:val="left"/>
      <w:pPr>
        <w:ind w:left="6785" w:hanging="360"/>
      </w:pPr>
    </w:lvl>
    <w:lvl w:ilvl="5" w:tplc="1C09001B" w:tentative="1">
      <w:start w:val="1"/>
      <w:numFmt w:val="lowerRoman"/>
      <w:lvlText w:val="%6."/>
      <w:lvlJc w:val="right"/>
      <w:pPr>
        <w:ind w:left="7505" w:hanging="180"/>
      </w:pPr>
    </w:lvl>
    <w:lvl w:ilvl="6" w:tplc="1C09000F" w:tentative="1">
      <w:start w:val="1"/>
      <w:numFmt w:val="decimal"/>
      <w:lvlText w:val="%7."/>
      <w:lvlJc w:val="left"/>
      <w:pPr>
        <w:ind w:left="8225" w:hanging="360"/>
      </w:pPr>
    </w:lvl>
    <w:lvl w:ilvl="7" w:tplc="1C090019" w:tentative="1">
      <w:start w:val="1"/>
      <w:numFmt w:val="lowerLetter"/>
      <w:lvlText w:val="%8."/>
      <w:lvlJc w:val="left"/>
      <w:pPr>
        <w:ind w:left="8945" w:hanging="360"/>
      </w:pPr>
    </w:lvl>
    <w:lvl w:ilvl="8" w:tplc="1C09001B" w:tentative="1">
      <w:start w:val="1"/>
      <w:numFmt w:val="lowerRoman"/>
      <w:lvlText w:val="%9."/>
      <w:lvlJc w:val="right"/>
      <w:pPr>
        <w:ind w:left="9665" w:hanging="180"/>
      </w:pPr>
    </w:lvl>
  </w:abstractNum>
  <w:abstractNum w:abstractNumId="2" w15:restartNumberingAfterBreak="0">
    <w:nsid w:val="0AC2530C"/>
    <w:multiLevelType w:val="hybridMultilevel"/>
    <w:tmpl w:val="63FEA8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1D7078"/>
    <w:multiLevelType w:val="hybridMultilevel"/>
    <w:tmpl w:val="B84CDBA8"/>
    <w:lvl w:ilvl="0" w:tplc="C59697CA">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15:restartNumberingAfterBreak="0">
    <w:nsid w:val="207A0FF0"/>
    <w:multiLevelType w:val="hybridMultilevel"/>
    <w:tmpl w:val="6164A49C"/>
    <w:lvl w:ilvl="0" w:tplc="D91CC7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44F1773"/>
    <w:multiLevelType w:val="hybridMultilevel"/>
    <w:tmpl w:val="A3849B8C"/>
    <w:lvl w:ilvl="0" w:tplc="7020E834">
      <w:start w:val="4"/>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6" w15:restartNumberingAfterBreak="0">
    <w:nsid w:val="25933827"/>
    <w:multiLevelType w:val="hybridMultilevel"/>
    <w:tmpl w:val="3F9210C4"/>
    <w:lvl w:ilvl="0" w:tplc="8C4E18FA">
      <w:start w:val="1"/>
      <w:numFmt w:val="decimal"/>
      <w:lvlText w:val="%1."/>
      <w:lvlJc w:val="left"/>
      <w:pPr>
        <w:ind w:left="1212" w:hanging="360"/>
      </w:pPr>
      <w:rPr>
        <w:rFonts w:hint="default"/>
        <w:b/>
        <w:bCs/>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7"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8" w15:restartNumberingAfterBreak="0">
    <w:nsid w:val="2A7B7C83"/>
    <w:multiLevelType w:val="hybridMultilevel"/>
    <w:tmpl w:val="D590B184"/>
    <w:lvl w:ilvl="0" w:tplc="41D85C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BF759DB"/>
    <w:multiLevelType w:val="hybridMultilevel"/>
    <w:tmpl w:val="4038F614"/>
    <w:lvl w:ilvl="0" w:tplc="64207508">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B152E"/>
    <w:multiLevelType w:val="hybridMultilevel"/>
    <w:tmpl w:val="04546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8DC155A"/>
    <w:multiLevelType w:val="hybridMultilevel"/>
    <w:tmpl w:val="8C1A414A"/>
    <w:lvl w:ilvl="0" w:tplc="90EE7100">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DC024E2"/>
    <w:multiLevelType w:val="hybridMultilevel"/>
    <w:tmpl w:val="1F36D758"/>
    <w:lvl w:ilvl="0" w:tplc="E64CB870">
      <w:start w:val="3"/>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8"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1300E3F"/>
    <w:multiLevelType w:val="hybridMultilevel"/>
    <w:tmpl w:val="F26A9282"/>
    <w:lvl w:ilvl="0" w:tplc="01186072">
      <w:start w:val="1"/>
      <w:numFmt w:val="lowerLetter"/>
      <w:lvlText w:val="(%1)"/>
      <w:lvlJc w:val="left"/>
      <w:pPr>
        <w:ind w:left="1353" w:hanging="360"/>
      </w:pPr>
      <w:rPr>
        <w:rFonts w:ascii="Arial" w:eastAsiaTheme="minorHAnsi"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0"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641653B"/>
    <w:multiLevelType w:val="hybridMultilevel"/>
    <w:tmpl w:val="ABB0E9DE"/>
    <w:lvl w:ilvl="0" w:tplc="A7B8DD54">
      <w:start w:val="1"/>
      <w:numFmt w:val="lowerLetter"/>
      <w:lvlText w:val="(%1)"/>
      <w:lvlJc w:val="left"/>
      <w:pPr>
        <w:ind w:left="1778" w:hanging="360"/>
      </w:pPr>
      <w:rPr>
        <w:rFonts w:ascii="Times New Roman" w:eastAsia="Arial Unicode MS" w:hAnsi="Times New Roman" w:cs="Arial Unicode MS"/>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2"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9411052"/>
    <w:multiLevelType w:val="hybridMultilevel"/>
    <w:tmpl w:val="F96C4590"/>
    <w:lvl w:ilvl="0" w:tplc="1C09000F">
      <w:start w:val="1"/>
      <w:numFmt w:val="decimal"/>
      <w:lvlText w:val="%1."/>
      <w:lvlJc w:val="left"/>
      <w:pPr>
        <w:ind w:left="1211" w:hanging="360"/>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4A3516C2"/>
    <w:multiLevelType w:val="hybridMultilevel"/>
    <w:tmpl w:val="E7203E16"/>
    <w:lvl w:ilvl="0" w:tplc="933CFDB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4A6959F7"/>
    <w:multiLevelType w:val="hybridMultilevel"/>
    <w:tmpl w:val="C62ABD82"/>
    <w:lvl w:ilvl="0" w:tplc="33A8F9DA">
      <w:start w:val="2"/>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6" w15:restartNumberingAfterBreak="0">
    <w:nsid w:val="56A713C4"/>
    <w:multiLevelType w:val="hybridMultilevel"/>
    <w:tmpl w:val="76700D46"/>
    <w:lvl w:ilvl="0" w:tplc="0B668504">
      <w:start w:val="1"/>
      <w:numFmt w:val="lowerRoman"/>
      <w:lvlText w:val="(%1)"/>
      <w:lvlJc w:val="left"/>
      <w:pPr>
        <w:ind w:left="2138" w:hanging="720"/>
      </w:pPr>
      <w:rPr>
        <w:rFonts w:hint="default"/>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27"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15959B4"/>
    <w:multiLevelType w:val="hybridMultilevel"/>
    <w:tmpl w:val="F2FA16D0"/>
    <w:lvl w:ilvl="0" w:tplc="5F944532">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0" w15:restartNumberingAfterBreak="0">
    <w:nsid w:val="690A6F1E"/>
    <w:multiLevelType w:val="hybridMultilevel"/>
    <w:tmpl w:val="2774F3D0"/>
    <w:lvl w:ilvl="0" w:tplc="E4AC5400">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CA841E6"/>
    <w:multiLevelType w:val="hybridMultilevel"/>
    <w:tmpl w:val="1880705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C21943"/>
    <w:multiLevelType w:val="multilevel"/>
    <w:tmpl w:val="B9904D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1549EF"/>
    <w:multiLevelType w:val="hybridMultilevel"/>
    <w:tmpl w:val="B16E3F9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F22831"/>
    <w:multiLevelType w:val="hybridMultilevel"/>
    <w:tmpl w:val="599875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EA1A65"/>
    <w:multiLevelType w:val="hybridMultilevel"/>
    <w:tmpl w:val="287445C4"/>
    <w:lvl w:ilvl="0" w:tplc="A6B8764E">
      <w:start w:val="1"/>
      <w:numFmt w:val="lowerRoman"/>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A2B2147"/>
    <w:multiLevelType w:val="hybridMultilevel"/>
    <w:tmpl w:val="C11266C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7CC15C94"/>
    <w:multiLevelType w:val="hybridMultilevel"/>
    <w:tmpl w:val="F7286F14"/>
    <w:lvl w:ilvl="0" w:tplc="0F7C5504">
      <w:start w:val="1"/>
      <w:numFmt w:val="decimal"/>
      <w:lvlText w:val="%1."/>
      <w:lvlJc w:val="left"/>
      <w:pPr>
        <w:ind w:left="1659" w:hanging="360"/>
      </w:pPr>
      <w:rPr>
        <w:rFonts w:hint="default"/>
      </w:rPr>
    </w:lvl>
    <w:lvl w:ilvl="1" w:tplc="1C090019" w:tentative="1">
      <w:start w:val="1"/>
      <w:numFmt w:val="lowerLetter"/>
      <w:lvlText w:val="%2."/>
      <w:lvlJc w:val="left"/>
      <w:pPr>
        <w:ind w:left="2379" w:hanging="360"/>
      </w:pPr>
    </w:lvl>
    <w:lvl w:ilvl="2" w:tplc="1C09001B" w:tentative="1">
      <w:start w:val="1"/>
      <w:numFmt w:val="lowerRoman"/>
      <w:lvlText w:val="%3."/>
      <w:lvlJc w:val="right"/>
      <w:pPr>
        <w:ind w:left="3099" w:hanging="180"/>
      </w:pPr>
    </w:lvl>
    <w:lvl w:ilvl="3" w:tplc="1C09000F" w:tentative="1">
      <w:start w:val="1"/>
      <w:numFmt w:val="decimal"/>
      <w:lvlText w:val="%4."/>
      <w:lvlJc w:val="left"/>
      <w:pPr>
        <w:ind w:left="3819" w:hanging="360"/>
      </w:pPr>
    </w:lvl>
    <w:lvl w:ilvl="4" w:tplc="1C090019" w:tentative="1">
      <w:start w:val="1"/>
      <w:numFmt w:val="lowerLetter"/>
      <w:lvlText w:val="%5."/>
      <w:lvlJc w:val="left"/>
      <w:pPr>
        <w:ind w:left="4539" w:hanging="360"/>
      </w:pPr>
    </w:lvl>
    <w:lvl w:ilvl="5" w:tplc="1C09001B" w:tentative="1">
      <w:start w:val="1"/>
      <w:numFmt w:val="lowerRoman"/>
      <w:lvlText w:val="%6."/>
      <w:lvlJc w:val="right"/>
      <w:pPr>
        <w:ind w:left="5259" w:hanging="180"/>
      </w:pPr>
    </w:lvl>
    <w:lvl w:ilvl="6" w:tplc="1C09000F" w:tentative="1">
      <w:start w:val="1"/>
      <w:numFmt w:val="decimal"/>
      <w:lvlText w:val="%7."/>
      <w:lvlJc w:val="left"/>
      <w:pPr>
        <w:ind w:left="5979" w:hanging="360"/>
      </w:pPr>
    </w:lvl>
    <w:lvl w:ilvl="7" w:tplc="1C090019" w:tentative="1">
      <w:start w:val="1"/>
      <w:numFmt w:val="lowerLetter"/>
      <w:lvlText w:val="%8."/>
      <w:lvlJc w:val="left"/>
      <w:pPr>
        <w:ind w:left="6699" w:hanging="360"/>
      </w:pPr>
    </w:lvl>
    <w:lvl w:ilvl="8" w:tplc="1C09001B" w:tentative="1">
      <w:start w:val="1"/>
      <w:numFmt w:val="lowerRoman"/>
      <w:lvlText w:val="%9."/>
      <w:lvlJc w:val="right"/>
      <w:pPr>
        <w:ind w:left="7419" w:hanging="180"/>
      </w:pPr>
    </w:lvl>
  </w:abstractNum>
  <w:num w:numId="1">
    <w:abstractNumId w:val="11"/>
  </w:num>
  <w:num w:numId="2">
    <w:abstractNumId w:val="28"/>
  </w:num>
  <w:num w:numId="3">
    <w:abstractNumId w:val="7"/>
  </w:num>
  <w:num w:numId="4">
    <w:abstractNumId w:val="13"/>
  </w:num>
  <w:num w:numId="5">
    <w:abstractNumId w:val="27"/>
  </w:num>
  <w:num w:numId="6">
    <w:abstractNumId w:val="20"/>
  </w:num>
  <w:num w:numId="7">
    <w:abstractNumId w:val="16"/>
  </w:num>
  <w:num w:numId="8">
    <w:abstractNumId w:val="9"/>
  </w:num>
  <w:num w:numId="9">
    <w:abstractNumId w:val="18"/>
  </w:num>
  <w:num w:numId="10">
    <w:abstractNumId w:val="14"/>
  </w:num>
  <w:num w:numId="11">
    <w:abstractNumId w:val="22"/>
  </w:num>
  <w:num w:numId="12">
    <w:abstractNumId w:val="1"/>
  </w:num>
  <w:num w:numId="13">
    <w:abstractNumId w:val="30"/>
  </w:num>
  <w:num w:numId="14">
    <w:abstractNumId w:val="0"/>
  </w:num>
  <w:num w:numId="15">
    <w:abstractNumId w:val="19"/>
  </w:num>
  <w:num w:numId="16">
    <w:abstractNumId w:val="4"/>
  </w:num>
  <w:num w:numId="17">
    <w:abstractNumId w:val="3"/>
  </w:num>
  <w:num w:numId="18">
    <w:abstractNumId w:val="12"/>
  </w:num>
  <w:num w:numId="19">
    <w:abstractNumId w:val="35"/>
  </w:num>
  <w:num w:numId="20">
    <w:abstractNumId w:val="26"/>
  </w:num>
  <w:num w:numId="21">
    <w:abstractNumId w:val="6"/>
  </w:num>
  <w:num w:numId="22">
    <w:abstractNumId w:val="32"/>
  </w:num>
  <w:num w:numId="23">
    <w:abstractNumId w:val="29"/>
  </w:num>
  <w:num w:numId="24">
    <w:abstractNumId w:val="10"/>
  </w:num>
  <w:num w:numId="25">
    <w:abstractNumId w:val="37"/>
  </w:num>
  <w:num w:numId="26">
    <w:abstractNumId w:val="24"/>
  </w:num>
  <w:num w:numId="27">
    <w:abstractNumId w:val="34"/>
  </w:num>
  <w:num w:numId="28">
    <w:abstractNumId w:val="2"/>
  </w:num>
  <w:num w:numId="29">
    <w:abstractNumId w:val="36"/>
  </w:num>
  <w:num w:numId="30">
    <w:abstractNumId w:val="8"/>
  </w:num>
  <w:num w:numId="31">
    <w:abstractNumId w:val="15"/>
  </w:num>
  <w:num w:numId="32">
    <w:abstractNumId w:val="25"/>
  </w:num>
  <w:num w:numId="33">
    <w:abstractNumId w:val="31"/>
  </w:num>
  <w:num w:numId="34">
    <w:abstractNumId w:val="17"/>
  </w:num>
  <w:num w:numId="35">
    <w:abstractNumId w:val="33"/>
  </w:num>
  <w:num w:numId="36">
    <w:abstractNumId w:val="5"/>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2MDQ3szS0NDIxNzdT0lEKTi0uzszPAykwrgUAMB77PSwAAAA="/>
  </w:docVars>
  <w:rsids>
    <w:rsidRoot w:val="00C91BD0"/>
    <w:rsid w:val="00001E41"/>
    <w:rsid w:val="000025DB"/>
    <w:rsid w:val="000050D9"/>
    <w:rsid w:val="000107DB"/>
    <w:rsid w:val="000139DE"/>
    <w:rsid w:val="000157FC"/>
    <w:rsid w:val="00020701"/>
    <w:rsid w:val="00020BAC"/>
    <w:rsid w:val="00020BE8"/>
    <w:rsid w:val="00024AA9"/>
    <w:rsid w:val="00024C1F"/>
    <w:rsid w:val="00027C4C"/>
    <w:rsid w:val="00030059"/>
    <w:rsid w:val="000303C6"/>
    <w:rsid w:val="00030913"/>
    <w:rsid w:val="000320B0"/>
    <w:rsid w:val="000342A6"/>
    <w:rsid w:val="00036A9C"/>
    <w:rsid w:val="0004088F"/>
    <w:rsid w:val="000451AB"/>
    <w:rsid w:val="00051F9F"/>
    <w:rsid w:val="00054E8B"/>
    <w:rsid w:val="00055DAC"/>
    <w:rsid w:val="0006050D"/>
    <w:rsid w:val="00060D17"/>
    <w:rsid w:val="000615B5"/>
    <w:rsid w:val="00063E0D"/>
    <w:rsid w:val="00070F03"/>
    <w:rsid w:val="000725DA"/>
    <w:rsid w:val="00072691"/>
    <w:rsid w:val="00074CD1"/>
    <w:rsid w:val="00075BCF"/>
    <w:rsid w:val="00077397"/>
    <w:rsid w:val="0007777E"/>
    <w:rsid w:val="00084B7E"/>
    <w:rsid w:val="00087986"/>
    <w:rsid w:val="000879BC"/>
    <w:rsid w:val="00094808"/>
    <w:rsid w:val="00095BC8"/>
    <w:rsid w:val="000962B0"/>
    <w:rsid w:val="000A0F14"/>
    <w:rsid w:val="000A15AF"/>
    <w:rsid w:val="000A394F"/>
    <w:rsid w:val="000A4E44"/>
    <w:rsid w:val="000A7D76"/>
    <w:rsid w:val="000B28BE"/>
    <w:rsid w:val="000B3557"/>
    <w:rsid w:val="000B3776"/>
    <w:rsid w:val="000B394F"/>
    <w:rsid w:val="000B47CA"/>
    <w:rsid w:val="000B559F"/>
    <w:rsid w:val="000B5B5F"/>
    <w:rsid w:val="000B6DB7"/>
    <w:rsid w:val="000C079F"/>
    <w:rsid w:val="000C18EB"/>
    <w:rsid w:val="000C1E18"/>
    <w:rsid w:val="000C30EA"/>
    <w:rsid w:val="000C39DF"/>
    <w:rsid w:val="000C4670"/>
    <w:rsid w:val="000C5C6B"/>
    <w:rsid w:val="000C5F4E"/>
    <w:rsid w:val="000C7694"/>
    <w:rsid w:val="000D0DC3"/>
    <w:rsid w:val="000D4822"/>
    <w:rsid w:val="000D636B"/>
    <w:rsid w:val="000F1761"/>
    <w:rsid w:val="000F1D11"/>
    <w:rsid w:val="000F32A0"/>
    <w:rsid w:val="000F406D"/>
    <w:rsid w:val="00100A11"/>
    <w:rsid w:val="0010195F"/>
    <w:rsid w:val="00103A00"/>
    <w:rsid w:val="00106BBF"/>
    <w:rsid w:val="00107D14"/>
    <w:rsid w:val="00114AFD"/>
    <w:rsid w:val="00116D45"/>
    <w:rsid w:val="0011713D"/>
    <w:rsid w:val="00117A35"/>
    <w:rsid w:val="00117F12"/>
    <w:rsid w:val="00124DD2"/>
    <w:rsid w:val="00124E7E"/>
    <w:rsid w:val="001267D4"/>
    <w:rsid w:val="001318BD"/>
    <w:rsid w:val="00133109"/>
    <w:rsid w:val="00134070"/>
    <w:rsid w:val="00134868"/>
    <w:rsid w:val="00134E6E"/>
    <w:rsid w:val="001354B7"/>
    <w:rsid w:val="001437DD"/>
    <w:rsid w:val="00146431"/>
    <w:rsid w:val="00146779"/>
    <w:rsid w:val="001538E4"/>
    <w:rsid w:val="00161B19"/>
    <w:rsid w:val="001645C7"/>
    <w:rsid w:val="00164DF9"/>
    <w:rsid w:val="00166045"/>
    <w:rsid w:val="00170C7E"/>
    <w:rsid w:val="001717C0"/>
    <w:rsid w:val="00173DC7"/>
    <w:rsid w:val="0017609A"/>
    <w:rsid w:val="00176F48"/>
    <w:rsid w:val="00180BE5"/>
    <w:rsid w:val="00184831"/>
    <w:rsid w:val="00187F19"/>
    <w:rsid w:val="001947E2"/>
    <w:rsid w:val="00195A7A"/>
    <w:rsid w:val="00196293"/>
    <w:rsid w:val="001968E4"/>
    <w:rsid w:val="00196E38"/>
    <w:rsid w:val="001972A6"/>
    <w:rsid w:val="001A188B"/>
    <w:rsid w:val="001A392A"/>
    <w:rsid w:val="001A45A4"/>
    <w:rsid w:val="001A4750"/>
    <w:rsid w:val="001A490E"/>
    <w:rsid w:val="001A4DF7"/>
    <w:rsid w:val="001A5452"/>
    <w:rsid w:val="001B188B"/>
    <w:rsid w:val="001B2CAA"/>
    <w:rsid w:val="001B310F"/>
    <w:rsid w:val="001B56B4"/>
    <w:rsid w:val="001B76A6"/>
    <w:rsid w:val="001B778D"/>
    <w:rsid w:val="001C19CE"/>
    <w:rsid w:val="001C2606"/>
    <w:rsid w:val="001C50D0"/>
    <w:rsid w:val="001D1CF0"/>
    <w:rsid w:val="001D5459"/>
    <w:rsid w:val="001D7C95"/>
    <w:rsid w:val="001E1EBC"/>
    <w:rsid w:val="001E434D"/>
    <w:rsid w:val="001E7DE0"/>
    <w:rsid w:val="001F003A"/>
    <w:rsid w:val="001F1B94"/>
    <w:rsid w:val="00200090"/>
    <w:rsid w:val="00200337"/>
    <w:rsid w:val="00201EC4"/>
    <w:rsid w:val="00202F1F"/>
    <w:rsid w:val="00203C8E"/>
    <w:rsid w:val="00206DA7"/>
    <w:rsid w:val="00207299"/>
    <w:rsid w:val="00210538"/>
    <w:rsid w:val="00210BA0"/>
    <w:rsid w:val="00210DDA"/>
    <w:rsid w:val="002169F6"/>
    <w:rsid w:val="00217ACE"/>
    <w:rsid w:val="00220B96"/>
    <w:rsid w:val="002255C9"/>
    <w:rsid w:val="002260ED"/>
    <w:rsid w:val="002278D8"/>
    <w:rsid w:val="0022794C"/>
    <w:rsid w:val="00227BEB"/>
    <w:rsid w:val="00231B96"/>
    <w:rsid w:val="00232C04"/>
    <w:rsid w:val="00233118"/>
    <w:rsid w:val="00233198"/>
    <w:rsid w:val="00237867"/>
    <w:rsid w:val="00237FF3"/>
    <w:rsid w:val="00241D0E"/>
    <w:rsid w:val="002427E7"/>
    <w:rsid w:val="002528BE"/>
    <w:rsid w:val="00253647"/>
    <w:rsid w:val="002553D7"/>
    <w:rsid w:val="00257442"/>
    <w:rsid w:val="002604ED"/>
    <w:rsid w:val="00260CB7"/>
    <w:rsid w:val="00262324"/>
    <w:rsid w:val="00262701"/>
    <w:rsid w:val="002639E9"/>
    <w:rsid w:val="0026574C"/>
    <w:rsid w:val="00266267"/>
    <w:rsid w:val="00267C67"/>
    <w:rsid w:val="00272CDC"/>
    <w:rsid w:val="002749F0"/>
    <w:rsid w:val="00275448"/>
    <w:rsid w:val="00275CC3"/>
    <w:rsid w:val="00277BD4"/>
    <w:rsid w:val="002801A1"/>
    <w:rsid w:val="002810BF"/>
    <w:rsid w:val="00283A2D"/>
    <w:rsid w:val="00287CEF"/>
    <w:rsid w:val="0029072B"/>
    <w:rsid w:val="00290C55"/>
    <w:rsid w:val="00293A0B"/>
    <w:rsid w:val="00293DD4"/>
    <w:rsid w:val="00293F6B"/>
    <w:rsid w:val="00297475"/>
    <w:rsid w:val="002A2E11"/>
    <w:rsid w:val="002A66FE"/>
    <w:rsid w:val="002B0822"/>
    <w:rsid w:val="002B1A90"/>
    <w:rsid w:val="002B2251"/>
    <w:rsid w:val="002B5741"/>
    <w:rsid w:val="002B7CA5"/>
    <w:rsid w:val="002C1DFF"/>
    <w:rsid w:val="002C3CAA"/>
    <w:rsid w:val="002C45F1"/>
    <w:rsid w:val="002C7C92"/>
    <w:rsid w:val="002D039E"/>
    <w:rsid w:val="002D2484"/>
    <w:rsid w:val="002D2F4A"/>
    <w:rsid w:val="002D4362"/>
    <w:rsid w:val="002D6DB6"/>
    <w:rsid w:val="002E52D7"/>
    <w:rsid w:val="002E6811"/>
    <w:rsid w:val="002F125F"/>
    <w:rsid w:val="002F1EF1"/>
    <w:rsid w:val="002F3098"/>
    <w:rsid w:val="002F41FC"/>
    <w:rsid w:val="002F55AF"/>
    <w:rsid w:val="002F5992"/>
    <w:rsid w:val="002F6B88"/>
    <w:rsid w:val="003000D7"/>
    <w:rsid w:val="00303EDD"/>
    <w:rsid w:val="00305AF2"/>
    <w:rsid w:val="00310D90"/>
    <w:rsid w:val="003118D9"/>
    <w:rsid w:val="00321D10"/>
    <w:rsid w:val="00325834"/>
    <w:rsid w:val="0032618C"/>
    <w:rsid w:val="0032737A"/>
    <w:rsid w:val="00327C28"/>
    <w:rsid w:val="0033271B"/>
    <w:rsid w:val="00332F54"/>
    <w:rsid w:val="003336CA"/>
    <w:rsid w:val="0033458D"/>
    <w:rsid w:val="00335CEB"/>
    <w:rsid w:val="00340529"/>
    <w:rsid w:val="003405CF"/>
    <w:rsid w:val="00342762"/>
    <w:rsid w:val="003433F7"/>
    <w:rsid w:val="00345C0F"/>
    <w:rsid w:val="00345C7F"/>
    <w:rsid w:val="00345FDB"/>
    <w:rsid w:val="0034641D"/>
    <w:rsid w:val="0035089B"/>
    <w:rsid w:val="00350A71"/>
    <w:rsid w:val="00352083"/>
    <w:rsid w:val="00352ACD"/>
    <w:rsid w:val="00353B62"/>
    <w:rsid w:val="003554CD"/>
    <w:rsid w:val="00365007"/>
    <w:rsid w:val="0036512B"/>
    <w:rsid w:val="00365B99"/>
    <w:rsid w:val="00366ACE"/>
    <w:rsid w:val="00371E51"/>
    <w:rsid w:val="0037252D"/>
    <w:rsid w:val="0037475E"/>
    <w:rsid w:val="00382604"/>
    <w:rsid w:val="003837FE"/>
    <w:rsid w:val="00390C61"/>
    <w:rsid w:val="00391E7F"/>
    <w:rsid w:val="00395BE0"/>
    <w:rsid w:val="003A0F4D"/>
    <w:rsid w:val="003A1543"/>
    <w:rsid w:val="003A62FA"/>
    <w:rsid w:val="003B0227"/>
    <w:rsid w:val="003B2856"/>
    <w:rsid w:val="003B374A"/>
    <w:rsid w:val="003B4E3E"/>
    <w:rsid w:val="003B50A2"/>
    <w:rsid w:val="003B56C0"/>
    <w:rsid w:val="003C054A"/>
    <w:rsid w:val="003C0960"/>
    <w:rsid w:val="003C0A46"/>
    <w:rsid w:val="003C42F2"/>
    <w:rsid w:val="003C5A8A"/>
    <w:rsid w:val="003C745B"/>
    <w:rsid w:val="003D30A6"/>
    <w:rsid w:val="003D439D"/>
    <w:rsid w:val="003D516E"/>
    <w:rsid w:val="003D5A7F"/>
    <w:rsid w:val="003D62AB"/>
    <w:rsid w:val="003D65F7"/>
    <w:rsid w:val="003D760B"/>
    <w:rsid w:val="003E1DE2"/>
    <w:rsid w:val="003E608E"/>
    <w:rsid w:val="003E66E6"/>
    <w:rsid w:val="003F11D5"/>
    <w:rsid w:val="003F1D4A"/>
    <w:rsid w:val="003F20A4"/>
    <w:rsid w:val="003F25C2"/>
    <w:rsid w:val="003F397C"/>
    <w:rsid w:val="003F4366"/>
    <w:rsid w:val="003F4800"/>
    <w:rsid w:val="00400BCF"/>
    <w:rsid w:val="00400EF0"/>
    <w:rsid w:val="00403DEC"/>
    <w:rsid w:val="00411ED3"/>
    <w:rsid w:val="00412218"/>
    <w:rsid w:val="00412B32"/>
    <w:rsid w:val="00413353"/>
    <w:rsid w:val="00414032"/>
    <w:rsid w:val="00414C20"/>
    <w:rsid w:val="00417092"/>
    <w:rsid w:val="0042037E"/>
    <w:rsid w:val="0042115C"/>
    <w:rsid w:val="00421581"/>
    <w:rsid w:val="00421B43"/>
    <w:rsid w:val="00422A85"/>
    <w:rsid w:val="004236FC"/>
    <w:rsid w:val="004251E3"/>
    <w:rsid w:val="00430F92"/>
    <w:rsid w:val="00431971"/>
    <w:rsid w:val="00431D4B"/>
    <w:rsid w:val="00434C01"/>
    <w:rsid w:val="0043608F"/>
    <w:rsid w:val="004371C7"/>
    <w:rsid w:val="00444170"/>
    <w:rsid w:val="004513D8"/>
    <w:rsid w:val="00451DF5"/>
    <w:rsid w:val="0045465E"/>
    <w:rsid w:val="00455CC6"/>
    <w:rsid w:val="00456737"/>
    <w:rsid w:val="004605DC"/>
    <w:rsid w:val="00461D23"/>
    <w:rsid w:val="0046462A"/>
    <w:rsid w:val="004658BB"/>
    <w:rsid w:val="00467AC0"/>
    <w:rsid w:val="00467D83"/>
    <w:rsid w:val="0047046A"/>
    <w:rsid w:val="00474210"/>
    <w:rsid w:val="00476FA3"/>
    <w:rsid w:val="00477E66"/>
    <w:rsid w:val="004815F4"/>
    <w:rsid w:val="00482769"/>
    <w:rsid w:val="00482BC6"/>
    <w:rsid w:val="00486F4F"/>
    <w:rsid w:val="00487B49"/>
    <w:rsid w:val="00490573"/>
    <w:rsid w:val="00490ABC"/>
    <w:rsid w:val="00491F60"/>
    <w:rsid w:val="00492979"/>
    <w:rsid w:val="00493193"/>
    <w:rsid w:val="00497979"/>
    <w:rsid w:val="004A28FC"/>
    <w:rsid w:val="004A3816"/>
    <w:rsid w:val="004A42C0"/>
    <w:rsid w:val="004A43BD"/>
    <w:rsid w:val="004A4CDD"/>
    <w:rsid w:val="004A674E"/>
    <w:rsid w:val="004A72DD"/>
    <w:rsid w:val="004B223F"/>
    <w:rsid w:val="004B3292"/>
    <w:rsid w:val="004B34F2"/>
    <w:rsid w:val="004B70C8"/>
    <w:rsid w:val="004C0D81"/>
    <w:rsid w:val="004C3206"/>
    <w:rsid w:val="004C3BF3"/>
    <w:rsid w:val="004C652B"/>
    <w:rsid w:val="004D2706"/>
    <w:rsid w:val="004D38AD"/>
    <w:rsid w:val="004D390D"/>
    <w:rsid w:val="004D59A8"/>
    <w:rsid w:val="004D7409"/>
    <w:rsid w:val="004E0FAB"/>
    <w:rsid w:val="004E183B"/>
    <w:rsid w:val="004E3622"/>
    <w:rsid w:val="004E3E84"/>
    <w:rsid w:val="004E48B4"/>
    <w:rsid w:val="004E5311"/>
    <w:rsid w:val="004F0FEF"/>
    <w:rsid w:val="004F1518"/>
    <w:rsid w:val="004F1A12"/>
    <w:rsid w:val="004F1C49"/>
    <w:rsid w:val="004F6A0A"/>
    <w:rsid w:val="004F6B90"/>
    <w:rsid w:val="004F7D12"/>
    <w:rsid w:val="005058F1"/>
    <w:rsid w:val="0050756C"/>
    <w:rsid w:val="00510A01"/>
    <w:rsid w:val="005129A7"/>
    <w:rsid w:val="005151C0"/>
    <w:rsid w:val="005173CE"/>
    <w:rsid w:val="00517514"/>
    <w:rsid w:val="00517DB6"/>
    <w:rsid w:val="005235B6"/>
    <w:rsid w:val="0053096D"/>
    <w:rsid w:val="00531F30"/>
    <w:rsid w:val="00532D2A"/>
    <w:rsid w:val="005365B8"/>
    <w:rsid w:val="00541398"/>
    <w:rsid w:val="0054264D"/>
    <w:rsid w:val="00542A46"/>
    <w:rsid w:val="00543E34"/>
    <w:rsid w:val="00544B9E"/>
    <w:rsid w:val="005472BB"/>
    <w:rsid w:val="00547FCC"/>
    <w:rsid w:val="0055038A"/>
    <w:rsid w:val="00553265"/>
    <w:rsid w:val="00553728"/>
    <w:rsid w:val="005557F8"/>
    <w:rsid w:val="005569BD"/>
    <w:rsid w:val="00560D68"/>
    <w:rsid w:val="005622A5"/>
    <w:rsid w:val="00566329"/>
    <w:rsid w:val="0057063A"/>
    <w:rsid w:val="00570CF0"/>
    <w:rsid w:val="005723E1"/>
    <w:rsid w:val="0057395D"/>
    <w:rsid w:val="0057495C"/>
    <w:rsid w:val="00581AD4"/>
    <w:rsid w:val="00584B15"/>
    <w:rsid w:val="005850E8"/>
    <w:rsid w:val="00585633"/>
    <w:rsid w:val="005921D8"/>
    <w:rsid w:val="00592DD9"/>
    <w:rsid w:val="0059551E"/>
    <w:rsid w:val="00596AD1"/>
    <w:rsid w:val="005979CC"/>
    <w:rsid w:val="005A1B4C"/>
    <w:rsid w:val="005B2948"/>
    <w:rsid w:val="005B498B"/>
    <w:rsid w:val="005C17A1"/>
    <w:rsid w:val="005C17BB"/>
    <w:rsid w:val="005C21B9"/>
    <w:rsid w:val="005C237E"/>
    <w:rsid w:val="005C2447"/>
    <w:rsid w:val="005C76B9"/>
    <w:rsid w:val="005D191C"/>
    <w:rsid w:val="005D2708"/>
    <w:rsid w:val="005D71EE"/>
    <w:rsid w:val="005D7BF3"/>
    <w:rsid w:val="005E1780"/>
    <w:rsid w:val="005E21DD"/>
    <w:rsid w:val="005E6987"/>
    <w:rsid w:val="005F03BD"/>
    <w:rsid w:val="005F1173"/>
    <w:rsid w:val="005F19BF"/>
    <w:rsid w:val="005F2BC2"/>
    <w:rsid w:val="005F31C4"/>
    <w:rsid w:val="005F3244"/>
    <w:rsid w:val="005F4EE6"/>
    <w:rsid w:val="005F6941"/>
    <w:rsid w:val="005F6DAB"/>
    <w:rsid w:val="005F78D8"/>
    <w:rsid w:val="00601BF4"/>
    <w:rsid w:val="00602ADA"/>
    <w:rsid w:val="00604256"/>
    <w:rsid w:val="00604B52"/>
    <w:rsid w:val="00607B2C"/>
    <w:rsid w:val="00607D04"/>
    <w:rsid w:val="00612B89"/>
    <w:rsid w:val="006145F2"/>
    <w:rsid w:val="00616D4C"/>
    <w:rsid w:val="00620190"/>
    <w:rsid w:val="00620EAD"/>
    <w:rsid w:val="00621039"/>
    <w:rsid w:val="00622523"/>
    <w:rsid w:val="00622C21"/>
    <w:rsid w:val="00623838"/>
    <w:rsid w:val="00626043"/>
    <w:rsid w:val="0062775A"/>
    <w:rsid w:val="006317CC"/>
    <w:rsid w:val="00633C87"/>
    <w:rsid w:val="00634D1E"/>
    <w:rsid w:val="006364C5"/>
    <w:rsid w:val="006400F0"/>
    <w:rsid w:val="00643379"/>
    <w:rsid w:val="00644564"/>
    <w:rsid w:val="00644594"/>
    <w:rsid w:val="00645760"/>
    <w:rsid w:val="006463C2"/>
    <w:rsid w:val="00652E1F"/>
    <w:rsid w:val="00653248"/>
    <w:rsid w:val="0065449F"/>
    <w:rsid w:val="00654F25"/>
    <w:rsid w:val="00656E28"/>
    <w:rsid w:val="00657028"/>
    <w:rsid w:val="00663315"/>
    <w:rsid w:val="00663EBB"/>
    <w:rsid w:val="00667425"/>
    <w:rsid w:val="00670A3A"/>
    <w:rsid w:val="00671436"/>
    <w:rsid w:val="00674793"/>
    <w:rsid w:val="00674D32"/>
    <w:rsid w:val="00676EA9"/>
    <w:rsid w:val="006773E9"/>
    <w:rsid w:val="00677FDF"/>
    <w:rsid w:val="00682B5E"/>
    <w:rsid w:val="00685088"/>
    <w:rsid w:val="0068631F"/>
    <w:rsid w:val="00686644"/>
    <w:rsid w:val="00687658"/>
    <w:rsid w:val="00693200"/>
    <w:rsid w:val="00694921"/>
    <w:rsid w:val="00694FFB"/>
    <w:rsid w:val="00696156"/>
    <w:rsid w:val="006A37FE"/>
    <w:rsid w:val="006A6C08"/>
    <w:rsid w:val="006A70DB"/>
    <w:rsid w:val="006B1B4C"/>
    <w:rsid w:val="006B1CD1"/>
    <w:rsid w:val="006B2B0B"/>
    <w:rsid w:val="006B43D1"/>
    <w:rsid w:val="006B4EB9"/>
    <w:rsid w:val="006B739C"/>
    <w:rsid w:val="006C3BFE"/>
    <w:rsid w:val="006C4A99"/>
    <w:rsid w:val="006C5D1E"/>
    <w:rsid w:val="006C6CB6"/>
    <w:rsid w:val="006C700D"/>
    <w:rsid w:val="006D0EA7"/>
    <w:rsid w:val="006D22C9"/>
    <w:rsid w:val="006D630D"/>
    <w:rsid w:val="006E0A1B"/>
    <w:rsid w:val="006E2247"/>
    <w:rsid w:val="006E2A24"/>
    <w:rsid w:val="006E3E73"/>
    <w:rsid w:val="006E43EB"/>
    <w:rsid w:val="006E51B6"/>
    <w:rsid w:val="006E5590"/>
    <w:rsid w:val="006E7AF0"/>
    <w:rsid w:val="006F205C"/>
    <w:rsid w:val="006F3004"/>
    <w:rsid w:val="006F35DA"/>
    <w:rsid w:val="006F3BC1"/>
    <w:rsid w:val="006F3E91"/>
    <w:rsid w:val="006F5F71"/>
    <w:rsid w:val="006F6275"/>
    <w:rsid w:val="00700AE0"/>
    <w:rsid w:val="00703B4D"/>
    <w:rsid w:val="007067B6"/>
    <w:rsid w:val="0071448B"/>
    <w:rsid w:val="00715C7A"/>
    <w:rsid w:val="00720451"/>
    <w:rsid w:val="00720AF7"/>
    <w:rsid w:val="00722812"/>
    <w:rsid w:val="00722905"/>
    <w:rsid w:val="00723324"/>
    <w:rsid w:val="00724818"/>
    <w:rsid w:val="00725BF1"/>
    <w:rsid w:val="00725EC2"/>
    <w:rsid w:val="00726A8B"/>
    <w:rsid w:val="00727044"/>
    <w:rsid w:val="00731E9A"/>
    <w:rsid w:val="00734AEF"/>
    <w:rsid w:val="00740E72"/>
    <w:rsid w:val="0074256C"/>
    <w:rsid w:val="00742D4A"/>
    <w:rsid w:val="007449A6"/>
    <w:rsid w:val="00746AA0"/>
    <w:rsid w:val="00747021"/>
    <w:rsid w:val="007478FF"/>
    <w:rsid w:val="00747FC1"/>
    <w:rsid w:val="0075047B"/>
    <w:rsid w:val="00752CE8"/>
    <w:rsid w:val="00753B29"/>
    <w:rsid w:val="007550DA"/>
    <w:rsid w:val="0075614F"/>
    <w:rsid w:val="0075792F"/>
    <w:rsid w:val="007657AF"/>
    <w:rsid w:val="00766A86"/>
    <w:rsid w:val="00766C5D"/>
    <w:rsid w:val="00767B95"/>
    <w:rsid w:val="00773196"/>
    <w:rsid w:val="007737A3"/>
    <w:rsid w:val="00781F88"/>
    <w:rsid w:val="007820CE"/>
    <w:rsid w:val="00782560"/>
    <w:rsid w:val="00782C2C"/>
    <w:rsid w:val="00784204"/>
    <w:rsid w:val="007845D0"/>
    <w:rsid w:val="0078507D"/>
    <w:rsid w:val="007861F3"/>
    <w:rsid w:val="007863E0"/>
    <w:rsid w:val="0078755D"/>
    <w:rsid w:val="00787ADD"/>
    <w:rsid w:val="00790EE0"/>
    <w:rsid w:val="00793365"/>
    <w:rsid w:val="0079453F"/>
    <w:rsid w:val="00794BCF"/>
    <w:rsid w:val="00795823"/>
    <w:rsid w:val="00796AE7"/>
    <w:rsid w:val="0079726F"/>
    <w:rsid w:val="007A5FEC"/>
    <w:rsid w:val="007B123C"/>
    <w:rsid w:val="007B6250"/>
    <w:rsid w:val="007B6A1B"/>
    <w:rsid w:val="007B7471"/>
    <w:rsid w:val="007B7758"/>
    <w:rsid w:val="007C0DF4"/>
    <w:rsid w:val="007C10F4"/>
    <w:rsid w:val="007C6118"/>
    <w:rsid w:val="007C724B"/>
    <w:rsid w:val="007D096B"/>
    <w:rsid w:val="007D0C94"/>
    <w:rsid w:val="007D256E"/>
    <w:rsid w:val="007D28DD"/>
    <w:rsid w:val="007D52F6"/>
    <w:rsid w:val="007E1952"/>
    <w:rsid w:val="007E7AE3"/>
    <w:rsid w:val="007F27B0"/>
    <w:rsid w:val="007F3B06"/>
    <w:rsid w:val="007F3DAC"/>
    <w:rsid w:val="007F540F"/>
    <w:rsid w:val="007F6D4F"/>
    <w:rsid w:val="008010A8"/>
    <w:rsid w:val="008111B1"/>
    <w:rsid w:val="00811AFC"/>
    <w:rsid w:val="00814D73"/>
    <w:rsid w:val="008151F3"/>
    <w:rsid w:val="00816685"/>
    <w:rsid w:val="00817263"/>
    <w:rsid w:val="00821552"/>
    <w:rsid w:val="00826856"/>
    <w:rsid w:val="00835846"/>
    <w:rsid w:val="00836F5B"/>
    <w:rsid w:val="00837B89"/>
    <w:rsid w:val="00840DD3"/>
    <w:rsid w:val="00851C86"/>
    <w:rsid w:val="00853E76"/>
    <w:rsid w:val="0085709E"/>
    <w:rsid w:val="008573F7"/>
    <w:rsid w:val="00860689"/>
    <w:rsid w:val="008648FC"/>
    <w:rsid w:val="00865C85"/>
    <w:rsid w:val="008673AE"/>
    <w:rsid w:val="00867855"/>
    <w:rsid w:val="00870193"/>
    <w:rsid w:val="008705F7"/>
    <w:rsid w:val="00874286"/>
    <w:rsid w:val="00875DD4"/>
    <w:rsid w:val="00876775"/>
    <w:rsid w:val="00876F59"/>
    <w:rsid w:val="008824B8"/>
    <w:rsid w:val="00883755"/>
    <w:rsid w:val="00885C61"/>
    <w:rsid w:val="00886F39"/>
    <w:rsid w:val="008973EA"/>
    <w:rsid w:val="0089757E"/>
    <w:rsid w:val="008978ED"/>
    <w:rsid w:val="008A143D"/>
    <w:rsid w:val="008A4B43"/>
    <w:rsid w:val="008A4E1D"/>
    <w:rsid w:val="008A52AB"/>
    <w:rsid w:val="008A5956"/>
    <w:rsid w:val="008A6230"/>
    <w:rsid w:val="008B0118"/>
    <w:rsid w:val="008B1E96"/>
    <w:rsid w:val="008B3E1D"/>
    <w:rsid w:val="008B3F12"/>
    <w:rsid w:val="008B5EB5"/>
    <w:rsid w:val="008C0DD7"/>
    <w:rsid w:val="008C2739"/>
    <w:rsid w:val="008C55FA"/>
    <w:rsid w:val="008C6B6B"/>
    <w:rsid w:val="008C758F"/>
    <w:rsid w:val="008D16E0"/>
    <w:rsid w:val="008D5484"/>
    <w:rsid w:val="008E0DBB"/>
    <w:rsid w:val="008E23BB"/>
    <w:rsid w:val="008F0E8C"/>
    <w:rsid w:val="008F31B3"/>
    <w:rsid w:val="008F68E1"/>
    <w:rsid w:val="00900E3E"/>
    <w:rsid w:val="00901C19"/>
    <w:rsid w:val="0090273A"/>
    <w:rsid w:val="00904A03"/>
    <w:rsid w:val="00904E8F"/>
    <w:rsid w:val="00910884"/>
    <w:rsid w:val="00913973"/>
    <w:rsid w:val="00913F7E"/>
    <w:rsid w:val="00917376"/>
    <w:rsid w:val="00922319"/>
    <w:rsid w:val="009225B8"/>
    <w:rsid w:val="00922DF2"/>
    <w:rsid w:val="00925877"/>
    <w:rsid w:val="00930789"/>
    <w:rsid w:val="00932009"/>
    <w:rsid w:val="009341BB"/>
    <w:rsid w:val="0093652C"/>
    <w:rsid w:val="00937D7A"/>
    <w:rsid w:val="009406A7"/>
    <w:rsid w:val="009468A7"/>
    <w:rsid w:val="009500A9"/>
    <w:rsid w:val="0095124B"/>
    <w:rsid w:val="00952CD4"/>
    <w:rsid w:val="00953C59"/>
    <w:rsid w:val="00963229"/>
    <w:rsid w:val="00971A60"/>
    <w:rsid w:val="00971ABA"/>
    <w:rsid w:val="009750EA"/>
    <w:rsid w:val="00977873"/>
    <w:rsid w:val="009834A3"/>
    <w:rsid w:val="00984E6D"/>
    <w:rsid w:val="00991A8A"/>
    <w:rsid w:val="009936AF"/>
    <w:rsid w:val="009940E0"/>
    <w:rsid w:val="00994BE3"/>
    <w:rsid w:val="00997BED"/>
    <w:rsid w:val="009A0E4F"/>
    <w:rsid w:val="009A47A3"/>
    <w:rsid w:val="009B2613"/>
    <w:rsid w:val="009B2897"/>
    <w:rsid w:val="009B2F44"/>
    <w:rsid w:val="009B3681"/>
    <w:rsid w:val="009B75CD"/>
    <w:rsid w:val="009C0742"/>
    <w:rsid w:val="009C1731"/>
    <w:rsid w:val="009C1C9B"/>
    <w:rsid w:val="009C520C"/>
    <w:rsid w:val="009C5A8D"/>
    <w:rsid w:val="009C69B8"/>
    <w:rsid w:val="009D46FA"/>
    <w:rsid w:val="009D6702"/>
    <w:rsid w:val="009D7D9B"/>
    <w:rsid w:val="009E56CB"/>
    <w:rsid w:val="009F3C12"/>
    <w:rsid w:val="009F447E"/>
    <w:rsid w:val="009F4B57"/>
    <w:rsid w:val="009F6F8E"/>
    <w:rsid w:val="009F72B7"/>
    <w:rsid w:val="00A00D0C"/>
    <w:rsid w:val="00A043D0"/>
    <w:rsid w:val="00A04465"/>
    <w:rsid w:val="00A076BC"/>
    <w:rsid w:val="00A07E50"/>
    <w:rsid w:val="00A1172D"/>
    <w:rsid w:val="00A11837"/>
    <w:rsid w:val="00A125E0"/>
    <w:rsid w:val="00A13399"/>
    <w:rsid w:val="00A13CAA"/>
    <w:rsid w:val="00A13FB0"/>
    <w:rsid w:val="00A15D68"/>
    <w:rsid w:val="00A2475B"/>
    <w:rsid w:val="00A26779"/>
    <w:rsid w:val="00A33282"/>
    <w:rsid w:val="00A33587"/>
    <w:rsid w:val="00A337A2"/>
    <w:rsid w:val="00A35241"/>
    <w:rsid w:val="00A3642A"/>
    <w:rsid w:val="00A40DF8"/>
    <w:rsid w:val="00A453A6"/>
    <w:rsid w:val="00A504AF"/>
    <w:rsid w:val="00A514C3"/>
    <w:rsid w:val="00A51D77"/>
    <w:rsid w:val="00A51DDB"/>
    <w:rsid w:val="00A53234"/>
    <w:rsid w:val="00A61389"/>
    <w:rsid w:val="00A613B6"/>
    <w:rsid w:val="00A635FD"/>
    <w:rsid w:val="00A80D4F"/>
    <w:rsid w:val="00A8183F"/>
    <w:rsid w:val="00A81995"/>
    <w:rsid w:val="00A81B4A"/>
    <w:rsid w:val="00A83AFF"/>
    <w:rsid w:val="00A8401C"/>
    <w:rsid w:val="00A90214"/>
    <w:rsid w:val="00A93CDC"/>
    <w:rsid w:val="00A94E2B"/>
    <w:rsid w:val="00A96902"/>
    <w:rsid w:val="00AA1921"/>
    <w:rsid w:val="00AA40E4"/>
    <w:rsid w:val="00AA6E1C"/>
    <w:rsid w:val="00AA7DB2"/>
    <w:rsid w:val="00AB2A64"/>
    <w:rsid w:val="00AB31F2"/>
    <w:rsid w:val="00AB39DE"/>
    <w:rsid w:val="00AB3EEB"/>
    <w:rsid w:val="00AB44BF"/>
    <w:rsid w:val="00AB4CEE"/>
    <w:rsid w:val="00AC3A2B"/>
    <w:rsid w:val="00AC4FF4"/>
    <w:rsid w:val="00AC6196"/>
    <w:rsid w:val="00AC63B5"/>
    <w:rsid w:val="00AD0475"/>
    <w:rsid w:val="00AD1729"/>
    <w:rsid w:val="00AD41EA"/>
    <w:rsid w:val="00AD5691"/>
    <w:rsid w:val="00AE03D4"/>
    <w:rsid w:val="00AE25D0"/>
    <w:rsid w:val="00AE3403"/>
    <w:rsid w:val="00AE3634"/>
    <w:rsid w:val="00AE3C8F"/>
    <w:rsid w:val="00AF1202"/>
    <w:rsid w:val="00AF5176"/>
    <w:rsid w:val="00AF763E"/>
    <w:rsid w:val="00B0201D"/>
    <w:rsid w:val="00B02401"/>
    <w:rsid w:val="00B072B9"/>
    <w:rsid w:val="00B07FF3"/>
    <w:rsid w:val="00B106DA"/>
    <w:rsid w:val="00B16D07"/>
    <w:rsid w:val="00B20B02"/>
    <w:rsid w:val="00B20FA7"/>
    <w:rsid w:val="00B2102C"/>
    <w:rsid w:val="00B2244F"/>
    <w:rsid w:val="00B2394C"/>
    <w:rsid w:val="00B301AB"/>
    <w:rsid w:val="00B40488"/>
    <w:rsid w:val="00B40D02"/>
    <w:rsid w:val="00B42EBB"/>
    <w:rsid w:val="00B43231"/>
    <w:rsid w:val="00B4637E"/>
    <w:rsid w:val="00B47C66"/>
    <w:rsid w:val="00B50080"/>
    <w:rsid w:val="00B50966"/>
    <w:rsid w:val="00B51504"/>
    <w:rsid w:val="00B53081"/>
    <w:rsid w:val="00B5325C"/>
    <w:rsid w:val="00B53566"/>
    <w:rsid w:val="00B5543C"/>
    <w:rsid w:val="00B61FB3"/>
    <w:rsid w:val="00B72662"/>
    <w:rsid w:val="00B72B81"/>
    <w:rsid w:val="00B75703"/>
    <w:rsid w:val="00B8108C"/>
    <w:rsid w:val="00B81E50"/>
    <w:rsid w:val="00B837BE"/>
    <w:rsid w:val="00B84E93"/>
    <w:rsid w:val="00B9029A"/>
    <w:rsid w:val="00B903C3"/>
    <w:rsid w:val="00B917E0"/>
    <w:rsid w:val="00B92854"/>
    <w:rsid w:val="00B93A41"/>
    <w:rsid w:val="00B95F51"/>
    <w:rsid w:val="00B95FC2"/>
    <w:rsid w:val="00B9788C"/>
    <w:rsid w:val="00BA2D0B"/>
    <w:rsid w:val="00BA458C"/>
    <w:rsid w:val="00BA6969"/>
    <w:rsid w:val="00BB2BC8"/>
    <w:rsid w:val="00BB5EED"/>
    <w:rsid w:val="00BC0776"/>
    <w:rsid w:val="00BC350E"/>
    <w:rsid w:val="00BC492F"/>
    <w:rsid w:val="00BC5605"/>
    <w:rsid w:val="00BC6083"/>
    <w:rsid w:val="00BD111A"/>
    <w:rsid w:val="00BD1FFE"/>
    <w:rsid w:val="00BD54A4"/>
    <w:rsid w:val="00BD566E"/>
    <w:rsid w:val="00BD5B0E"/>
    <w:rsid w:val="00BD661B"/>
    <w:rsid w:val="00BD6B53"/>
    <w:rsid w:val="00BE0596"/>
    <w:rsid w:val="00BE0F55"/>
    <w:rsid w:val="00BE69EF"/>
    <w:rsid w:val="00BE7422"/>
    <w:rsid w:val="00BF2427"/>
    <w:rsid w:val="00BF542F"/>
    <w:rsid w:val="00BF743E"/>
    <w:rsid w:val="00C004F3"/>
    <w:rsid w:val="00C03D78"/>
    <w:rsid w:val="00C1072A"/>
    <w:rsid w:val="00C107D8"/>
    <w:rsid w:val="00C1123B"/>
    <w:rsid w:val="00C11A4E"/>
    <w:rsid w:val="00C16D91"/>
    <w:rsid w:val="00C17977"/>
    <w:rsid w:val="00C2004E"/>
    <w:rsid w:val="00C202DA"/>
    <w:rsid w:val="00C212DD"/>
    <w:rsid w:val="00C21799"/>
    <w:rsid w:val="00C2196D"/>
    <w:rsid w:val="00C23159"/>
    <w:rsid w:val="00C25A11"/>
    <w:rsid w:val="00C25C24"/>
    <w:rsid w:val="00C2796C"/>
    <w:rsid w:val="00C316D6"/>
    <w:rsid w:val="00C33380"/>
    <w:rsid w:val="00C35942"/>
    <w:rsid w:val="00C37B0E"/>
    <w:rsid w:val="00C41C33"/>
    <w:rsid w:val="00C41F63"/>
    <w:rsid w:val="00C4471B"/>
    <w:rsid w:val="00C46B9A"/>
    <w:rsid w:val="00C47850"/>
    <w:rsid w:val="00C51900"/>
    <w:rsid w:val="00C53B5D"/>
    <w:rsid w:val="00C577BC"/>
    <w:rsid w:val="00C57932"/>
    <w:rsid w:val="00C57B17"/>
    <w:rsid w:val="00C64E21"/>
    <w:rsid w:val="00C70104"/>
    <w:rsid w:val="00C716C5"/>
    <w:rsid w:val="00C7708B"/>
    <w:rsid w:val="00C77095"/>
    <w:rsid w:val="00C77541"/>
    <w:rsid w:val="00C77C8D"/>
    <w:rsid w:val="00C816D4"/>
    <w:rsid w:val="00C84338"/>
    <w:rsid w:val="00C91BD0"/>
    <w:rsid w:val="00C95350"/>
    <w:rsid w:val="00C9721C"/>
    <w:rsid w:val="00C97CE1"/>
    <w:rsid w:val="00C97E79"/>
    <w:rsid w:val="00CA0BCB"/>
    <w:rsid w:val="00CA3456"/>
    <w:rsid w:val="00CA4013"/>
    <w:rsid w:val="00CA51DB"/>
    <w:rsid w:val="00CB1E27"/>
    <w:rsid w:val="00CB3789"/>
    <w:rsid w:val="00CB39ED"/>
    <w:rsid w:val="00CB442B"/>
    <w:rsid w:val="00CB793D"/>
    <w:rsid w:val="00CC0976"/>
    <w:rsid w:val="00CC17C9"/>
    <w:rsid w:val="00CC3A5F"/>
    <w:rsid w:val="00CC5704"/>
    <w:rsid w:val="00CD0ADF"/>
    <w:rsid w:val="00CD16B0"/>
    <w:rsid w:val="00CD1E5F"/>
    <w:rsid w:val="00CD215F"/>
    <w:rsid w:val="00CD2A19"/>
    <w:rsid w:val="00CD3A2B"/>
    <w:rsid w:val="00CD5A07"/>
    <w:rsid w:val="00CD6791"/>
    <w:rsid w:val="00CD6CC0"/>
    <w:rsid w:val="00CE0E35"/>
    <w:rsid w:val="00CE1426"/>
    <w:rsid w:val="00CE6C57"/>
    <w:rsid w:val="00CE7EDA"/>
    <w:rsid w:val="00CF08B5"/>
    <w:rsid w:val="00CF15C8"/>
    <w:rsid w:val="00CF2122"/>
    <w:rsid w:val="00CF216E"/>
    <w:rsid w:val="00CF59F3"/>
    <w:rsid w:val="00CF7B93"/>
    <w:rsid w:val="00D026AA"/>
    <w:rsid w:val="00D03329"/>
    <w:rsid w:val="00D04209"/>
    <w:rsid w:val="00D07609"/>
    <w:rsid w:val="00D07A29"/>
    <w:rsid w:val="00D10CE4"/>
    <w:rsid w:val="00D1304A"/>
    <w:rsid w:val="00D13E2C"/>
    <w:rsid w:val="00D21801"/>
    <w:rsid w:val="00D24778"/>
    <w:rsid w:val="00D2537F"/>
    <w:rsid w:val="00D26D9A"/>
    <w:rsid w:val="00D27D29"/>
    <w:rsid w:val="00D27D8C"/>
    <w:rsid w:val="00D30C96"/>
    <w:rsid w:val="00D32F8B"/>
    <w:rsid w:val="00D347AD"/>
    <w:rsid w:val="00D34F07"/>
    <w:rsid w:val="00D35206"/>
    <w:rsid w:val="00D35F42"/>
    <w:rsid w:val="00D37B42"/>
    <w:rsid w:val="00D40D32"/>
    <w:rsid w:val="00D42C0F"/>
    <w:rsid w:val="00D43AA8"/>
    <w:rsid w:val="00D43D80"/>
    <w:rsid w:val="00D4624C"/>
    <w:rsid w:val="00D46D61"/>
    <w:rsid w:val="00D46DD5"/>
    <w:rsid w:val="00D52A52"/>
    <w:rsid w:val="00D52AE1"/>
    <w:rsid w:val="00D54C86"/>
    <w:rsid w:val="00D553F7"/>
    <w:rsid w:val="00D5599B"/>
    <w:rsid w:val="00D562E6"/>
    <w:rsid w:val="00D57949"/>
    <w:rsid w:val="00D579DB"/>
    <w:rsid w:val="00D57B9D"/>
    <w:rsid w:val="00D57C4B"/>
    <w:rsid w:val="00D608DB"/>
    <w:rsid w:val="00D61EA2"/>
    <w:rsid w:val="00D630E4"/>
    <w:rsid w:val="00D64D87"/>
    <w:rsid w:val="00D74442"/>
    <w:rsid w:val="00D76AB8"/>
    <w:rsid w:val="00D81097"/>
    <w:rsid w:val="00D82F0B"/>
    <w:rsid w:val="00D87DED"/>
    <w:rsid w:val="00D958F7"/>
    <w:rsid w:val="00D95A19"/>
    <w:rsid w:val="00DA1F1A"/>
    <w:rsid w:val="00DA5E0F"/>
    <w:rsid w:val="00DA6546"/>
    <w:rsid w:val="00DA7AB7"/>
    <w:rsid w:val="00DB21EC"/>
    <w:rsid w:val="00DB24EA"/>
    <w:rsid w:val="00DB33B0"/>
    <w:rsid w:val="00DB74B0"/>
    <w:rsid w:val="00DB7846"/>
    <w:rsid w:val="00DC0C56"/>
    <w:rsid w:val="00DC2962"/>
    <w:rsid w:val="00DD02D5"/>
    <w:rsid w:val="00DD07FE"/>
    <w:rsid w:val="00DD384A"/>
    <w:rsid w:val="00DD6C30"/>
    <w:rsid w:val="00DE3674"/>
    <w:rsid w:val="00DE44F0"/>
    <w:rsid w:val="00DF1359"/>
    <w:rsid w:val="00DF1E4A"/>
    <w:rsid w:val="00DF2EBD"/>
    <w:rsid w:val="00DF5709"/>
    <w:rsid w:val="00DF605F"/>
    <w:rsid w:val="00DF7555"/>
    <w:rsid w:val="00E03863"/>
    <w:rsid w:val="00E03CC0"/>
    <w:rsid w:val="00E04FB5"/>
    <w:rsid w:val="00E0506E"/>
    <w:rsid w:val="00E06641"/>
    <w:rsid w:val="00E11C9E"/>
    <w:rsid w:val="00E13E76"/>
    <w:rsid w:val="00E16150"/>
    <w:rsid w:val="00E172F3"/>
    <w:rsid w:val="00E22401"/>
    <w:rsid w:val="00E2456A"/>
    <w:rsid w:val="00E24750"/>
    <w:rsid w:val="00E30E32"/>
    <w:rsid w:val="00E31FB3"/>
    <w:rsid w:val="00E342AF"/>
    <w:rsid w:val="00E3462F"/>
    <w:rsid w:val="00E4068C"/>
    <w:rsid w:val="00E41DE4"/>
    <w:rsid w:val="00E43A68"/>
    <w:rsid w:val="00E44E59"/>
    <w:rsid w:val="00E459C9"/>
    <w:rsid w:val="00E51BEF"/>
    <w:rsid w:val="00E52472"/>
    <w:rsid w:val="00E54D80"/>
    <w:rsid w:val="00E54E21"/>
    <w:rsid w:val="00E56128"/>
    <w:rsid w:val="00E56340"/>
    <w:rsid w:val="00E5789F"/>
    <w:rsid w:val="00E57A5F"/>
    <w:rsid w:val="00E61417"/>
    <w:rsid w:val="00E6171F"/>
    <w:rsid w:val="00E63FA0"/>
    <w:rsid w:val="00E67084"/>
    <w:rsid w:val="00E73DB7"/>
    <w:rsid w:val="00E80075"/>
    <w:rsid w:val="00E804B9"/>
    <w:rsid w:val="00E80A65"/>
    <w:rsid w:val="00E8284D"/>
    <w:rsid w:val="00E83BB1"/>
    <w:rsid w:val="00E85795"/>
    <w:rsid w:val="00E85FB6"/>
    <w:rsid w:val="00E90600"/>
    <w:rsid w:val="00E910F3"/>
    <w:rsid w:val="00E91735"/>
    <w:rsid w:val="00E92641"/>
    <w:rsid w:val="00E9302D"/>
    <w:rsid w:val="00E941FE"/>
    <w:rsid w:val="00E9511D"/>
    <w:rsid w:val="00E97E57"/>
    <w:rsid w:val="00EA0E6B"/>
    <w:rsid w:val="00EA177F"/>
    <w:rsid w:val="00EA511A"/>
    <w:rsid w:val="00EA5FD7"/>
    <w:rsid w:val="00EA6475"/>
    <w:rsid w:val="00EB1CB8"/>
    <w:rsid w:val="00EB3C87"/>
    <w:rsid w:val="00EB4FAA"/>
    <w:rsid w:val="00EC07ED"/>
    <w:rsid w:val="00EC107C"/>
    <w:rsid w:val="00EC1C93"/>
    <w:rsid w:val="00EC22FB"/>
    <w:rsid w:val="00EC2D88"/>
    <w:rsid w:val="00EC66CD"/>
    <w:rsid w:val="00EC790A"/>
    <w:rsid w:val="00ED1BEE"/>
    <w:rsid w:val="00ED1F8C"/>
    <w:rsid w:val="00ED3C71"/>
    <w:rsid w:val="00EE09E6"/>
    <w:rsid w:val="00EE3C40"/>
    <w:rsid w:val="00EE5AFC"/>
    <w:rsid w:val="00EE657E"/>
    <w:rsid w:val="00EF290D"/>
    <w:rsid w:val="00EF5EF0"/>
    <w:rsid w:val="00EF7A4A"/>
    <w:rsid w:val="00F00E6B"/>
    <w:rsid w:val="00F01AEF"/>
    <w:rsid w:val="00F033B8"/>
    <w:rsid w:val="00F0433D"/>
    <w:rsid w:val="00F050CB"/>
    <w:rsid w:val="00F11268"/>
    <w:rsid w:val="00F12A09"/>
    <w:rsid w:val="00F14334"/>
    <w:rsid w:val="00F15276"/>
    <w:rsid w:val="00F16458"/>
    <w:rsid w:val="00F17FD6"/>
    <w:rsid w:val="00F17FE6"/>
    <w:rsid w:val="00F215E2"/>
    <w:rsid w:val="00F218C2"/>
    <w:rsid w:val="00F21EE8"/>
    <w:rsid w:val="00F226D9"/>
    <w:rsid w:val="00F25955"/>
    <w:rsid w:val="00F32343"/>
    <w:rsid w:val="00F32E93"/>
    <w:rsid w:val="00F34EC9"/>
    <w:rsid w:val="00F3526D"/>
    <w:rsid w:val="00F3679D"/>
    <w:rsid w:val="00F406AC"/>
    <w:rsid w:val="00F41399"/>
    <w:rsid w:val="00F4472E"/>
    <w:rsid w:val="00F46168"/>
    <w:rsid w:val="00F4626A"/>
    <w:rsid w:val="00F47C26"/>
    <w:rsid w:val="00F55982"/>
    <w:rsid w:val="00F570C9"/>
    <w:rsid w:val="00F61E9B"/>
    <w:rsid w:val="00F63480"/>
    <w:rsid w:val="00F6492F"/>
    <w:rsid w:val="00F67AD4"/>
    <w:rsid w:val="00F70153"/>
    <w:rsid w:val="00F701E0"/>
    <w:rsid w:val="00F70CFE"/>
    <w:rsid w:val="00F70F35"/>
    <w:rsid w:val="00F74676"/>
    <w:rsid w:val="00F77C9A"/>
    <w:rsid w:val="00F83EB1"/>
    <w:rsid w:val="00F842F1"/>
    <w:rsid w:val="00F84948"/>
    <w:rsid w:val="00F851D1"/>
    <w:rsid w:val="00F93711"/>
    <w:rsid w:val="00F94511"/>
    <w:rsid w:val="00F95A19"/>
    <w:rsid w:val="00F97F94"/>
    <w:rsid w:val="00FA06D9"/>
    <w:rsid w:val="00FA0AEA"/>
    <w:rsid w:val="00FA15F5"/>
    <w:rsid w:val="00FA3252"/>
    <w:rsid w:val="00FA3599"/>
    <w:rsid w:val="00FA425E"/>
    <w:rsid w:val="00FA46CE"/>
    <w:rsid w:val="00FA6774"/>
    <w:rsid w:val="00FA67D8"/>
    <w:rsid w:val="00FB0073"/>
    <w:rsid w:val="00FB0DA2"/>
    <w:rsid w:val="00FB11AC"/>
    <w:rsid w:val="00FB3FD6"/>
    <w:rsid w:val="00FC0E86"/>
    <w:rsid w:val="00FC1610"/>
    <w:rsid w:val="00FC39FF"/>
    <w:rsid w:val="00FC46AD"/>
    <w:rsid w:val="00FC5073"/>
    <w:rsid w:val="00FC6BEA"/>
    <w:rsid w:val="00FD0F1D"/>
    <w:rsid w:val="00FD2C06"/>
    <w:rsid w:val="00FD4CCB"/>
    <w:rsid w:val="00FD57EF"/>
    <w:rsid w:val="00FD72CD"/>
    <w:rsid w:val="00FF0CC1"/>
    <w:rsid w:val="00FF0E90"/>
    <w:rsid w:val="00FF17D2"/>
    <w:rsid w:val="00FF2D38"/>
    <w:rsid w:val="00FF30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84A81"/>
  <w15:docId w15:val="{70D8CCFA-2DE8-420C-A091-4254A69D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paragraph" w:styleId="Heading2">
    <w:name w:val="heading 2"/>
    <w:basedOn w:val="Normal"/>
    <w:next w:val="Normal"/>
    <w:link w:val="Heading2Char"/>
    <w:uiPriority w:val="9"/>
    <w:semiHidden/>
    <w:qFormat/>
    <w:rsid w:val="00AA40E4"/>
    <w:pPr>
      <w:keepNext/>
      <w:keepLines/>
      <w:spacing w:before="40" w:line="480" w:lineRule="auto"/>
      <w:jc w:val="both"/>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C91BD0"/>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91BD0"/>
    <w:rPr>
      <w:rFonts w:ascii="Arial" w:hAnsi="Arial" w:cs="Arial"/>
      <w:color w:val="000000" w:themeColor="text1"/>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NormalWeb">
    <w:name w:val="Normal (Web)"/>
    <w:basedOn w:val="Normal"/>
    <w:uiPriority w:val="99"/>
    <w:semiHidden/>
    <w:unhideWhenUsed/>
    <w:rsid w:val="00C2196D"/>
    <w:pPr>
      <w:spacing w:before="144" w:after="288" w:line="240" w:lineRule="auto"/>
    </w:pPr>
    <w:rPr>
      <w:rFonts w:ascii="Times New Roman" w:eastAsia="Times New Roman" w:hAnsi="Times New Roman" w:cs="Times New Roman"/>
      <w:color w:val="auto"/>
      <w:lang w:eastAsia="en-ZA"/>
    </w:rPr>
  </w:style>
  <w:style w:type="character" w:styleId="Hyperlink">
    <w:name w:val="Hyperlink"/>
    <w:basedOn w:val="DefaultParagraphFont"/>
    <w:uiPriority w:val="99"/>
    <w:unhideWhenUsed/>
    <w:rsid w:val="00C23159"/>
    <w:rPr>
      <w:b/>
      <w:bCs/>
      <w:i w:val="0"/>
      <w:iCs w:val="0"/>
      <w:color w:val="0B4B0B"/>
      <w:u w:val="single"/>
    </w:rPr>
  </w:style>
  <w:style w:type="character" w:styleId="CommentReference">
    <w:name w:val="annotation reference"/>
    <w:basedOn w:val="DefaultParagraphFont"/>
    <w:uiPriority w:val="99"/>
    <w:semiHidden/>
    <w:unhideWhenUsed/>
    <w:rsid w:val="00FA06D9"/>
    <w:rPr>
      <w:sz w:val="16"/>
      <w:szCs w:val="16"/>
    </w:rPr>
  </w:style>
  <w:style w:type="paragraph" w:styleId="CommentText">
    <w:name w:val="annotation text"/>
    <w:basedOn w:val="Normal"/>
    <w:link w:val="CommentTextChar"/>
    <w:uiPriority w:val="99"/>
    <w:unhideWhenUsed/>
    <w:rsid w:val="00FA06D9"/>
    <w:pPr>
      <w:spacing w:line="240" w:lineRule="auto"/>
    </w:pPr>
    <w:rPr>
      <w:sz w:val="20"/>
      <w:szCs w:val="20"/>
    </w:rPr>
  </w:style>
  <w:style w:type="character" w:customStyle="1" w:styleId="CommentTextChar">
    <w:name w:val="Comment Text Char"/>
    <w:basedOn w:val="DefaultParagraphFont"/>
    <w:link w:val="CommentText"/>
    <w:uiPriority w:val="99"/>
    <w:rsid w:val="00FA06D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A06D9"/>
    <w:rPr>
      <w:b/>
      <w:bCs/>
    </w:rPr>
  </w:style>
  <w:style w:type="character" w:customStyle="1" w:styleId="CommentSubjectChar">
    <w:name w:val="Comment Subject Char"/>
    <w:basedOn w:val="CommentTextChar"/>
    <w:link w:val="CommentSubject"/>
    <w:uiPriority w:val="99"/>
    <w:semiHidden/>
    <w:rsid w:val="00FA06D9"/>
    <w:rPr>
      <w:rFonts w:ascii="Arial" w:hAnsi="Arial" w:cs="Arial"/>
      <w:b/>
      <w:bCs/>
      <w:color w:val="000000" w:themeColor="text1"/>
      <w:sz w:val="20"/>
      <w:szCs w:val="20"/>
    </w:rPr>
  </w:style>
  <w:style w:type="paragraph" w:styleId="Revision">
    <w:name w:val="Revision"/>
    <w:hidden/>
    <w:uiPriority w:val="99"/>
    <w:semiHidden/>
    <w:rsid w:val="00CA51DB"/>
    <w:pPr>
      <w:spacing w:after="0" w:line="240" w:lineRule="auto"/>
    </w:pPr>
    <w:rPr>
      <w:rFonts w:ascii="Arial" w:hAnsi="Arial" w:cs="Arial"/>
      <w:color w:val="000000" w:themeColor="text1"/>
      <w:sz w:val="24"/>
      <w:szCs w:val="24"/>
    </w:rPr>
  </w:style>
  <w:style w:type="paragraph" w:styleId="EndnoteText">
    <w:name w:val="endnote text"/>
    <w:basedOn w:val="Normal"/>
    <w:link w:val="EndnoteTextChar"/>
    <w:uiPriority w:val="99"/>
    <w:semiHidden/>
    <w:unhideWhenUsed/>
    <w:rsid w:val="00B20FA7"/>
    <w:pPr>
      <w:spacing w:line="240" w:lineRule="auto"/>
    </w:pPr>
    <w:rPr>
      <w:sz w:val="20"/>
      <w:szCs w:val="20"/>
    </w:rPr>
  </w:style>
  <w:style w:type="character" w:customStyle="1" w:styleId="EndnoteTextChar">
    <w:name w:val="Endnote Text Char"/>
    <w:basedOn w:val="DefaultParagraphFont"/>
    <w:link w:val="EndnoteText"/>
    <w:uiPriority w:val="99"/>
    <w:semiHidden/>
    <w:rsid w:val="00B20FA7"/>
    <w:rPr>
      <w:rFonts w:ascii="Arial" w:hAnsi="Arial" w:cs="Arial"/>
      <w:color w:val="000000" w:themeColor="text1"/>
      <w:sz w:val="20"/>
      <w:szCs w:val="20"/>
    </w:rPr>
  </w:style>
  <w:style w:type="character" w:styleId="EndnoteReference">
    <w:name w:val="endnote reference"/>
    <w:basedOn w:val="DefaultParagraphFont"/>
    <w:uiPriority w:val="99"/>
    <w:semiHidden/>
    <w:unhideWhenUsed/>
    <w:rsid w:val="00B20FA7"/>
    <w:rPr>
      <w:vertAlign w:val="superscript"/>
    </w:rPr>
  </w:style>
  <w:style w:type="character" w:customStyle="1" w:styleId="Heading2Char">
    <w:name w:val="Heading 2 Char"/>
    <w:basedOn w:val="DefaultParagraphFont"/>
    <w:link w:val="Heading2"/>
    <w:uiPriority w:val="9"/>
    <w:semiHidden/>
    <w:rsid w:val="00AA40E4"/>
    <w:rPr>
      <w:rFonts w:asciiTheme="majorHAnsi" w:eastAsiaTheme="majorEastAsia" w:hAnsiTheme="majorHAnsi" w:cs="Times New Roman"/>
      <w:color w:val="2E74B5" w:themeColor="accent1" w:themeShade="BF"/>
      <w:sz w:val="26"/>
      <w:szCs w:val="26"/>
    </w:rPr>
  </w:style>
  <w:style w:type="paragraph" w:customStyle="1" w:styleId="JUDGMENTCONTINUED">
    <w:name w:val="JUDGMENT CONTINUED"/>
    <w:basedOn w:val="Normal"/>
    <w:next w:val="Normal"/>
    <w:qFormat/>
    <w:rsid w:val="00AA40E4"/>
    <w:pPr>
      <w:jc w:val="both"/>
    </w:pPr>
    <w:rPr>
      <w:rFonts w:ascii="Times New Roman" w:eastAsia="Times New Roman" w:hAnsi="Times New Roman" w:cs="Times New Roman"/>
      <w:color w:val="auto"/>
      <w:sz w:val="26"/>
      <w:szCs w:val="22"/>
    </w:rPr>
  </w:style>
  <w:style w:type="paragraph" w:customStyle="1" w:styleId="QUOTATION">
    <w:name w:val="QUOTATION"/>
    <w:basedOn w:val="Normal"/>
    <w:next w:val="JUDGMENTCONTINUED"/>
    <w:qFormat/>
    <w:rsid w:val="00AA40E4"/>
    <w:pPr>
      <w:ind w:left="720" w:right="720"/>
      <w:jc w:val="both"/>
    </w:pPr>
    <w:rPr>
      <w:rFonts w:ascii="Times New Roman" w:eastAsia="Times New Roman" w:hAnsi="Times New Roman" w:cs="Times New Roman"/>
      <w:color w:val="auto"/>
      <w:sz w:val="22"/>
      <w:szCs w:val="22"/>
    </w:rPr>
  </w:style>
  <w:style w:type="paragraph" w:customStyle="1" w:styleId="Default">
    <w:name w:val="Default"/>
    <w:rsid w:val="00C9721C"/>
    <w:pPr>
      <w:autoSpaceDE w:val="0"/>
      <w:autoSpaceDN w:val="0"/>
      <w:adjustRightInd w:val="0"/>
      <w:spacing w:after="0" w:line="240" w:lineRule="auto"/>
    </w:pPr>
    <w:rPr>
      <w:rFonts w:ascii="Verdana" w:hAnsi="Verdana" w:cs="Verdana"/>
      <w:color w:val="000000"/>
      <w:sz w:val="24"/>
      <w:szCs w:val="24"/>
    </w:rPr>
  </w:style>
  <w:style w:type="character" w:customStyle="1" w:styleId="mc">
    <w:name w:val="mc"/>
    <w:basedOn w:val="DefaultParagraphFont"/>
    <w:rsid w:val="0076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C4C37-AD19-4383-9EEF-B7DD1C5B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Nomakorinte Ntliziywana</cp:lastModifiedBy>
  <cp:revision>2</cp:revision>
  <cp:lastPrinted>2024-06-12T12:56:00Z</cp:lastPrinted>
  <dcterms:created xsi:type="dcterms:W3CDTF">2024-06-18T09:43:00Z</dcterms:created>
  <dcterms:modified xsi:type="dcterms:W3CDTF">2024-06-18T09:43:00Z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b1cb1156703d6839323f17662ed451e36019bc31ea32e366171bed34fb52cf02</vt:lpwstr>
  </property>
</Properties>
</file>