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84D0F" w14:textId="77777777" w:rsidR="00C91BD0" w:rsidRPr="00715C7A" w:rsidRDefault="00C91BD0" w:rsidP="00C91BD0">
      <w:pPr>
        <w:jc w:val="center"/>
        <w:rPr>
          <w:lang w:val="en-GB"/>
        </w:rPr>
      </w:pPr>
      <w:bookmarkStart w:id="0" w:name="_GoBack"/>
      <w:bookmarkEnd w:id="0"/>
      <w:r w:rsidRPr="00715C7A">
        <w:rPr>
          <w:noProof/>
          <w:lang w:eastAsia="en-ZA"/>
        </w:rPr>
        <w:drawing>
          <wp:inline distT="0" distB="0" distL="0" distR="0" wp14:anchorId="72EC2D9B" wp14:editId="699E83D9">
            <wp:extent cx="131127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275" cy="1274445"/>
                    </a:xfrm>
                    <a:prstGeom prst="rect">
                      <a:avLst/>
                    </a:prstGeom>
                    <a:noFill/>
                  </pic:spPr>
                </pic:pic>
              </a:graphicData>
            </a:graphic>
          </wp:inline>
        </w:drawing>
      </w:r>
    </w:p>
    <w:p w14:paraId="7C610074" w14:textId="77777777" w:rsidR="00C91BD0" w:rsidRPr="00896F5D" w:rsidRDefault="00C91BD0" w:rsidP="00D579DB">
      <w:pPr>
        <w:jc w:val="center"/>
        <w:rPr>
          <w:b/>
          <w:bCs/>
          <w:lang w:val="en-GB"/>
        </w:rPr>
      </w:pPr>
      <w:r w:rsidRPr="00896F5D">
        <w:rPr>
          <w:b/>
          <w:bCs/>
          <w:lang w:val="en-GB"/>
        </w:rPr>
        <w:t>IN THE HIGH COURT OF SOUTH AFRICA</w:t>
      </w:r>
    </w:p>
    <w:p w14:paraId="305B5156" w14:textId="77777777" w:rsidR="00C91BD0" w:rsidRPr="00896F5D" w:rsidRDefault="00656E28" w:rsidP="00D579DB">
      <w:pPr>
        <w:jc w:val="center"/>
        <w:rPr>
          <w:b/>
          <w:bCs/>
          <w:lang w:val="en-GB"/>
        </w:rPr>
      </w:pPr>
      <w:r w:rsidRPr="00896F5D">
        <w:rPr>
          <w:b/>
          <w:bCs/>
          <w:lang w:val="en-GB"/>
        </w:rPr>
        <w:t>(</w:t>
      </w:r>
      <w:r w:rsidR="00C91BD0" w:rsidRPr="00896F5D">
        <w:rPr>
          <w:b/>
          <w:bCs/>
          <w:lang w:val="en-GB"/>
        </w:rPr>
        <w:t>EAST</w:t>
      </w:r>
      <w:r w:rsidR="00AB3EEB" w:rsidRPr="00896F5D">
        <w:rPr>
          <w:b/>
          <w:bCs/>
          <w:lang w:val="en-GB"/>
        </w:rPr>
        <w:t>ERN CAPE DIVISION, MAKHANDA</w:t>
      </w:r>
      <w:r w:rsidRPr="00896F5D">
        <w:rPr>
          <w:b/>
          <w:bCs/>
          <w:lang w:val="en-GB"/>
        </w:rPr>
        <w:t>)</w:t>
      </w:r>
    </w:p>
    <w:p w14:paraId="3A4C1900" w14:textId="77777777" w:rsidR="00C91BD0" w:rsidRPr="00896F5D" w:rsidRDefault="00C91BD0" w:rsidP="00D579DB">
      <w:pPr>
        <w:widowControl w:val="0"/>
        <w:jc w:val="both"/>
        <w:rPr>
          <w:spacing w:val="14"/>
          <w:kern w:val="2"/>
          <w:u w:val="single"/>
          <w:lang w:val="en-GB"/>
        </w:rPr>
      </w:pPr>
    </w:p>
    <w:p w14:paraId="3AC87E5F" w14:textId="2B5185EB" w:rsidR="00715C7A" w:rsidRPr="00896F5D" w:rsidRDefault="00715C7A" w:rsidP="00715C7A">
      <w:pPr>
        <w:spacing w:after="160" w:line="259" w:lineRule="auto"/>
        <w:jc w:val="right"/>
        <w:rPr>
          <w:rFonts w:eastAsia="Calibri"/>
          <w:b/>
          <w:bCs/>
          <w:color w:val="auto"/>
          <w:kern w:val="2"/>
          <w:lang w:val="en-GB"/>
          <w14:ligatures w14:val="standardContextual"/>
        </w:rPr>
      </w:pPr>
      <w:r w:rsidRPr="00896F5D">
        <w:rPr>
          <w:b/>
          <w:bCs/>
        </w:rPr>
        <w:t>CASE NO</w:t>
      </w:r>
      <w:r w:rsidR="00F47C26" w:rsidRPr="00896F5D">
        <w:rPr>
          <w:b/>
          <w:bCs/>
        </w:rPr>
        <w:t>: 3</w:t>
      </w:r>
      <w:r w:rsidR="00621039" w:rsidRPr="00896F5D">
        <w:rPr>
          <w:b/>
          <w:bCs/>
        </w:rPr>
        <w:t>8</w:t>
      </w:r>
      <w:r w:rsidR="00F47C26" w:rsidRPr="00896F5D">
        <w:rPr>
          <w:b/>
          <w:bCs/>
        </w:rPr>
        <w:t>9</w:t>
      </w:r>
      <w:r w:rsidRPr="00896F5D">
        <w:rPr>
          <w:b/>
          <w:bCs/>
        </w:rPr>
        <w:t xml:space="preserve"> /</w:t>
      </w:r>
      <w:r w:rsidR="00621039" w:rsidRPr="00896F5D">
        <w:rPr>
          <w:b/>
          <w:bCs/>
        </w:rPr>
        <w:t>2022</w:t>
      </w:r>
      <w:r w:rsidRPr="00896F5D">
        <w:rPr>
          <w:rFonts w:eastAsia="Calibri"/>
          <w:b/>
          <w:bCs/>
          <w:color w:val="auto"/>
          <w:kern w:val="2"/>
          <w:lang w:val="en-GB"/>
          <w14:ligatures w14:val="standardContextual"/>
        </w:rPr>
        <w:t xml:space="preserve"> </w:t>
      </w:r>
    </w:p>
    <w:tbl>
      <w:tblPr>
        <w:tblW w:w="2551" w:type="dxa"/>
        <w:tblInd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1"/>
        <w:gridCol w:w="1290"/>
      </w:tblGrid>
      <w:tr w:rsidR="00715C7A" w:rsidRPr="00896F5D" w14:paraId="34F0F4C4" w14:textId="77777777" w:rsidTr="008C64D9">
        <w:trPr>
          <w:trHeight w:val="542"/>
        </w:trPr>
        <w:tc>
          <w:tcPr>
            <w:tcW w:w="1261" w:type="dxa"/>
          </w:tcPr>
          <w:p w14:paraId="38A4E498" w14:textId="77777777" w:rsidR="00715C7A" w:rsidRPr="00896F5D" w:rsidRDefault="00715C7A" w:rsidP="009C4183">
            <w:pPr>
              <w:spacing w:line="240" w:lineRule="auto"/>
              <w:rPr>
                <w:rFonts w:eastAsia="Times New Roman"/>
                <w:b/>
                <w:color w:val="auto"/>
                <w:sz w:val="20"/>
                <w:szCs w:val="20"/>
                <w:lang w:eastAsia="en-ZA"/>
              </w:rPr>
            </w:pPr>
          </w:p>
          <w:p w14:paraId="28E26C25" w14:textId="77777777" w:rsidR="00715C7A" w:rsidRPr="00896F5D" w:rsidRDefault="00715C7A" w:rsidP="009C4183">
            <w:pPr>
              <w:spacing w:line="240" w:lineRule="auto"/>
              <w:jc w:val="center"/>
              <w:rPr>
                <w:rFonts w:eastAsia="Times New Roman"/>
                <w:b/>
                <w:color w:val="auto"/>
                <w:sz w:val="20"/>
                <w:szCs w:val="20"/>
                <w:lang w:eastAsia="en-ZA"/>
              </w:rPr>
            </w:pPr>
            <w:r w:rsidRPr="00896F5D">
              <w:rPr>
                <w:rFonts w:eastAsia="Times New Roman"/>
                <w:b/>
                <w:color w:val="auto"/>
                <w:sz w:val="20"/>
                <w:szCs w:val="20"/>
                <w:lang w:eastAsia="en-ZA"/>
              </w:rPr>
              <w:t>Reportable</w:t>
            </w:r>
          </w:p>
        </w:tc>
        <w:tc>
          <w:tcPr>
            <w:tcW w:w="1290" w:type="dxa"/>
          </w:tcPr>
          <w:p w14:paraId="115B8184" w14:textId="77777777" w:rsidR="00715C7A" w:rsidRPr="00896F5D" w:rsidRDefault="00715C7A" w:rsidP="009C4183">
            <w:pPr>
              <w:spacing w:line="240" w:lineRule="auto"/>
              <w:rPr>
                <w:rFonts w:eastAsia="Times New Roman"/>
                <w:b/>
                <w:color w:val="auto"/>
                <w:sz w:val="20"/>
                <w:szCs w:val="20"/>
                <w:lang w:eastAsia="en-ZA"/>
              </w:rPr>
            </w:pPr>
          </w:p>
          <w:p w14:paraId="7E844FA9" w14:textId="7F243EBB" w:rsidR="00715C7A" w:rsidRPr="00896F5D" w:rsidRDefault="00715C7A" w:rsidP="009C4183">
            <w:pPr>
              <w:spacing w:line="240" w:lineRule="auto"/>
              <w:jc w:val="center"/>
              <w:rPr>
                <w:rFonts w:eastAsia="Times New Roman"/>
                <w:b/>
                <w:color w:val="auto"/>
                <w:sz w:val="20"/>
                <w:szCs w:val="20"/>
                <w:lang w:eastAsia="en-ZA"/>
              </w:rPr>
            </w:pPr>
            <w:r w:rsidRPr="00896F5D">
              <w:rPr>
                <w:rFonts w:eastAsia="Times New Roman"/>
                <w:b/>
                <w:color w:val="auto"/>
                <w:sz w:val="20"/>
                <w:szCs w:val="20"/>
                <w:lang w:eastAsia="en-ZA"/>
              </w:rPr>
              <w:t>No</w:t>
            </w:r>
          </w:p>
        </w:tc>
      </w:tr>
    </w:tbl>
    <w:p w14:paraId="35E207C8" w14:textId="111883AA" w:rsidR="00C91BD0" w:rsidRPr="00896F5D" w:rsidRDefault="00C91BD0" w:rsidP="00AE3403">
      <w:pPr>
        <w:ind w:right="-52"/>
        <w:jc w:val="both"/>
        <w:rPr>
          <w:lang w:val="en-GB"/>
        </w:rPr>
      </w:pPr>
    </w:p>
    <w:p w14:paraId="5750A844" w14:textId="1677D2D1" w:rsidR="00896F5D" w:rsidRPr="00896F5D" w:rsidRDefault="00C91BD0" w:rsidP="00D579DB">
      <w:pPr>
        <w:widowControl w:val="0"/>
        <w:jc w:val="both"/>
        <w:rPr>
          <w:spacing w:val="14"/>
          <w:kern w:val="2"/>
          <w:lang w:val="en-GB"/>
        </w:rPr>
      </w:pPr>
      <w:r w:rsidRPr="00896F5D">
        <w:rPr>
          <w:spacing w:val="14"/>
          <w:kern w:val="2"/>
          <w:lang w:val="en-GB"/>
        </w:rPr>
        <w:t>In the matter between:</w:t>
      </w:r>
    </w:p>
    <w:p w14:paraId="38F8BFC7" w14:textId="631F7469" w:rsidR="00C91BD0" w:rsidRPr="00896F5D" w:rsidRDefault="00C91BD0" w:rsidP="00AE3403">
      <w:pPr>
        <w:widowControl w:val="0"/>
        <w:jc w:val="both"/>
        <w:rPr>
          <w:lang w:val="en-GB"/>
        </w:rPr>
      </w:pPr>
    </w:p>
    <w:p w14:paraId="39E21115" w14:textId="12A9AB9A" w:rsidR="00C91BD0" w:rsidRPr="00896F5D" w:rsidRDefault="00621039" w:rsidP="00AE3403">
      <w:pPr>
        <w:widowControl w:val="0"/>
        <w:tabs>
          <w:tab w:val="right" w:pos="8931"/>
        </w:tabs>
        <w:spacing w:line="480" w:lineRule="auto"/>
        <w:jc w:val="both"/>
        <w:rPr>
          <w:b/>
          <w:color w:val="auto"/>
        </w:rPr>
      </w:pPr>
      <w:r w:rsidRPr="00896F5D">
        <w:rPr>
          <w:b/>
          <w:color w:val="auto"/>
        </w:rPr>
        <w:t>JEANE WAIT</w:t>
      </w:r>
      <w:r w:rsidR="00896F5D" w:rsidRPr="00896F5D">
        <w:rPr>
          <w:b/>
          <w:color w:val="auto"/>
        </w:rPr>
        <w:tab/>
        <w:t xml:space="preserve"> APPLICANT</w:t>
      </w:r>
    </w:p>
    <w:p w14:paraId="30B619AA" w14:textId="77777777" w:rsidR="00C91BD0" w:rsidRPr="00896F5D" w:rsidRDefault="00C91BD0" w:rsidP="00AE3403">
      <w:pPr>
        <w:widowControl w:val="0"/>
        <w:tabs>
          <w:tab w:val="right" w:pos="8640"/>
        </w:tabs>
        <w:spacing w:line="480" w:lineRule="auto"/>
        <w:jc w:val="both"/>
        <w:rPr>
          <w:b/>
          <w:color w:val="auto"/>
        </w:rPr>
      </w:pPr>
    </w:p>
    <w:p w14:paraId="550349BA" w14:textId="77777777" w:rsidR="00C91BD0" w:rsidRPr="00896F5D" w:rsidRDefault="00E51BEF" w:rsidP="00AE3403">
      <w:pPr>
        <w:widowControl w:val="0"/>
        <w:tabs>
          <w:tab w:val="right" w:pos="8640"/>
        </w:tabs>
        <w:spacing w:line="480" w:lineRule="auto"/>
        <w:jc w:val="both"/>
        <w:rPr>
          <w:bCs/>
          <w:color w:val="auto"/>
        </w:rPr>
      </w:pPr>
      <w:r w:rsidRPr="00896F5D">
        <w:rPr>
          <w:bCs/>
          <w:color w:val="auto"/>
        </w:rPr>
        <w:t>and</w:t>
      </w:r>
    </w:p>
    <w:p w14:paraId="7A303C88" w14:textId="77777777" w:rsidR="00C91BD0" w:rsidRPr="00896F5D" w:rsidRDefault="00C91BD0" w:rsidP="00AE3403">
      <w:pPr>
        <w:widowControl w:val="0"/>
        <w:tabs>
          <w:tab w:val="right" w:pos="8640"/>
        </w:tabs>
        <w:spacing w:line="480" w:lineRule="auto"/>
        <w:jc w:val="both"/>
        <w:rPr>
          <w:b/>
          <w:color w:val="auto"/>
        </w:rPr>
      </w:pPr>
    </w:p>
    <w:p w14:paraId="7EBBC878" w14:textId="423DAD8E" w:rsidR="00715C7A" w:rsidRPr="00896F5D" w:rsidRDefault="00621039" w:rsidP="00D579DB">
      <w:pPr>
        <w:widowControl w:val="0"/>
        <w:tabs>
          <w:tab w:val="right" w:pos="8931"/>
        </w:tabs>
        <w:spacing w:line="480" w:lineRule="auto"/>
        <w:jc w:val="both"/>
        <w:rPr>
          <w:b/>
          <w:color w:val="auto"/>
        </w:rPr>
      </w:pPr>
      <w:r w:rsidRPr="00896F5D">
        <w:rPr>
          <w:b/>
          <w:color w:val="auto"/>
        </w:rPr>
        <w:t xml:space="preserve">PIETER HENDRICK STRYDOM </w:t>
      </w:r>
      <w:r w:rsidR="00BF43DC" w:rsidRPr="00896F5D">
        <w:rPr>
          <w:b/>
          <w:color w:val="auto"/>
        </w:rPr>
        <w:t>N.O</w:t>
      </w:r>
      <w:r w:rsidRPr="00896F5D">
        <w:rPr>
          <w:b/>
          <w:color w:val="auto"/>
        </w:rPr>
        <w:tab/>
        <w:t>FIRST RESPONDENT</w:t>
      </w:r>
    </w:p>
    <w:p w14:paraId="301F72B8" w14:textId="0CAA06EC" w:rsidR="00621039" w:rsidRPr="00896F5D" w:rsidRDefault="00621039" w:rsidP="00AE3403">
      <w:pPr>
        <w:widowControl w:val="0"/>
        <w:tabs>
          <w:tab w:val="right" w:pos="8931"/>
        </w:tabs>
        <w:spacing w:line="480" w:lineRule="auto"/>
        <w:jc w:val="both"/>
        <w:rPr>
          <w:b/>
          <w:color w:val="auto"/>
        </w:rPr>
      </w:pPr>
      <w:r w:rsidRPr="00896F5D">
        <w:rPr>
          <w:b/>
          <w:color w:val="auto"/>
        </w:rPr>
        <w:t>HAROON ABDOOL SATAR</w:t>
      </w:r>
      <w:r w:rsidRPr="00896F5D">
        <w:rPr>
          <w:b/>
          <w:color w:val="auto"/>
        </w:rPr>
        <w:tab/>
      </w:r>
      <w:r w:rsidR="008C64D9">
        <w:rPr>
          <w:b/>
          <w:color w:val="auto"/>
        </w:rPr>
        <w:t xml:space="preserve">          </w:t>
      </w:r>
      <w:r w:rsidRPr="00896F5D">
        <w:rPr>
          <w:b/>
          <w:color w:val="auto"/>
        </w:rPr>
        <w:t>SECOND RESPONDENT</w:t>
      </w:r>
    </w:p>
    <w:p w14:paraId="3C3FBB20" w14:textId="45C9D980" w:rsidR="008C758F" w:rsidRPr="00896F5D" w:rsidRDefault="00621039" w:rsidP="00AE3403">
      <w:pPr>
        <w:widowControl w:val="0"/>
        <w:tabs>
          <w:tab w:val="right" w:pos="8931"/>
        </w:tabs>
        <w:spacing w:line="480" w:lineRule="auto"/>
        <w:jc w:val="both"/>
        <w:rPr>
          <w:b/>
          <w:color w:val="auto"/>
        </w:rPr>
      </w:pPr>
      <w:r w:rsidRPr="00896F5D">
        <w:rPr>
          <w:b/>
          <w:color w:val="auto"/>
        </w:rPr>
        <w:t xml:space="preserve">DEON MARIUS BOTHA </w:t>
      </w:r>
      <w:r w:rsidR="00BF43DC" w:rsidRPr="00896F5D">
        <w:rPr>
          <w:b/>
          <w:color w:val="auto"/>
        </w:rPr>
        <w:t>N.O</w:t>
      </w:r>
      <w:r w:rsidRPr="00896F5D">
        <w:rPr>
          <w:b/>
          <w:color w:val="auto"/>
        </w:rPr>
        <w:tab/>
        <w:t xml:space="preserve">THIRD </w:t>
      </w:r>
      <w:r w:rsidR="00AB3EEB" w:rsidRPr="00896F5D">
        <w:rPr>
          <w:b/>
          <w:color w:val="auto"/>
        </w:rPr>
        <w:t>RESPONDENT</w:t>
      </w:r>
    </w:p>
    <w:p w14:paraId="73FA8673" w14:textId="3EEC78AF" w:rsidR="00C91BD0" w:rsidRPr="008C64D9" w:rsidRDefault="00621039" w:rsidP="00D579DB">
      <w:pPr>
        <w:jc w:val="both"/>
        <w:rPr>
          <w:b/>
          <w:bCs/>
          <w:u w:val="single"/>
          <w:lang w:val="en-GB"/>
        </w:rPr>
      </w:pPr>
      <w:r w:rsidRPr="008C64D9">
        <w:rPr>
          <w:b/>
          <w:bCs/>
          <w:u w:val="single"/>
          <w:lang w:val="en-GB"/>
        </w:rPr>
        <w:t>__________________</w:t>
      </w:r>
      <w:r w:rsidR="00C91BD0" w:rsidRPr="008C64D9">
        <w:rPr>
          <w:b/>
          <w:bCs/>
          <w:u w:val="single"/>
          <w:lang w:val="en-GB"/>
        </w:rPr>
        <w:t>__________________________________________</w:t>
      </w:r>
      <w:r w:rsidR="00BF43DC" w:rsidRPr="008C64D9">
        <w:rPr>
          <w:b/>
          <w:bCs/>
          <w:u w:val="single"/>
          <w:lang w:val="en-GB"/>
        </w:rPr>
        <w:t>_______</w:t>
      </w:r>
    </w:p>
    <w:p w14:paraId="6D04E315" w14:textId="77777777" w:rsidR="00C91BD0" w:rsidRPr="008C64D9" w:rsidRDefault="00C91BD0" w:rsidP="00F47C26">
      <w:pPr>
        <w:jc w:val="both"/>
        <w:rPr>
          <w:b/>
          <w:bCs/>
          <w:lang w:val="en-GB"/>
        </w:rPr>
      </w:pPr>
    </w:p>
    <w:p w14:paraId="57DD2A9A" w14:textId="261B4F8A" w:rsidR="00036A9C" w:rsidRPr="00896F5D" w:rsidRDefault="009B2897" w:rsidP="00036A9C">
      <w:pPr>
        <w:jc w:val="center"/>
        <w:rPr>
          <w:b/>
          <w:bCs/>
          <w:lang w:val="en-GB"/>
        </w:rPr>
      </w:pPr>
      <w:r w:rsidRPr="00896F5D">
        <w:rPr>
          <w:b/>
          <w:bCs/>
          <w:lang w:val="en-GB"/>
        </w:rPr>
        <w:t xml:space="preserve"> </w:t>
      </w:r>
      <w:r w:rsidR="00C91BD0" w:rsidRPr="00896F5D">
        <w:rPr>
          <w:b/>
          <w:bCs/>
          <w:lang w:val="en-GB"/>
        </w:rPr>
        <w:t>JUDGMENT</w:t>
      </w:r>
    </w:p>
    <w:p w14:paraId="2ACF5CB0" w14:textId="014E8408" w:rsidR="004A3816" w:rsidRPr="008C64D9" w:rsidRDefault="00C91BD0" w:rsidP="00F47C26">
      <w:pPr>
        <w:jc w:val="both"/>
        <w:rPr>
          <w:u w:val="single"/>
          <w:lang w:val="en-GB"/>
        </w:rPr>
      </w:pPr>
      <w:r w:rsidRPr="008C64D9">
        <w:rPr>
          <w:u w:val="single"/>
          <w:lang w:val="en-GB"/>
        </w:rPr>
        <w:t xml:space="preserve">___________________________________________________________________ </w:t>
      </w:r>
    </w:p>
    <w:p w14:paraId="711163D4" w14:textId="6BA9CC8E" w:rsidR="00896F5D" w:rsidRPr="00896F5D" w:rsidRDefault="008673AE" w:rsidP="00F47C26">
      <w:pPr>
        <w:tabs>
          <w:tab w:val="left" w:pos="851"/>
        </w:tabs>
        <w:spacing w:line="480" w:lineRule="auto"/>
        <w:jc w:val="both"/>
        <w:rPr>
          <w:b/>
          <w:lang w:val="en-GB"/>
        </w:rPr>
      </w:pPr>
      <w:r w:rsidRPr="00896F5D">
        <w:rPr>
          <w:b/>
          <w:lang w:val="en-GB"/>
        </w:rPr>
        <w:t>CENGANI-MBAKAZA</w:t>
      </w:r>
      <w:r w:rsidR="00AB3EEB" w:rsidRPr="00896F5D">
        <w:rPr>
          <w:b/>
          <w:lang w:val="en-GB"/>
        </w:rPr>
        <w:t xml:space="preserve"> AJ:</w:t>
      </w:r>
    </w:p>
    <w:p w14:paraId="1DCA6C73" w14:textId="77777777" w:rsidR="008C758F" w:rsidRPr="00896F5D" w:rsidRDefault="008C758F" w:rsidP="00896F5D">
      <w:pPr>
        <w:tabs>
          <w:tab w:val="left" w:pos="851"/>
        </w:tabs>
        <w:spacing w:line="480" w:lineRule="auto"/>
        <w:jc w:val="both"/>
        <w:rPr>
          <w:b/>
          <w:lang w:val="en-GB"/>
        </w:rPr>
      </w:pPr>
    </w:p>
    <w:p w14:paraId="71CA46B1" w14:textId="6C19413E" w:rsidR="0089757E" w:rsidRPr="00896F5D" w:rsidRDefault="008C758F" w:rsidP="00896F5D">
      <w:pPr>
        <w:tabs>
          <w:tab w:val="left" w:pos="851"/>
        </w:tabs>
        <w:spacing w:line="480" w:lineRule="auto"/>
        <w:jc w:val="both"/>
        <w:rPr>
          <w:b/>
          <w:u w:val="single"/>
          <w:lang w:val="en-GB"/>
        </w:rPr>
      </w:pPr>
      <w:r w:rsidRPr="00896F5D">
        <w:rPr>
          <w:b/>
          <w:u w:val="single"/>
          <w:lang w:val="en-GB"/>
        </w:rPr>
        <w:t>Introduction</w:t>
      </w:r>
    </w:p>
    <w:p w14:paraId="65ED8436" w14:textId="7E6DA4A3" w:rsidR="00055DAC" w:rsidRPr="00896F5D" w:rsidRDefault="00055DAC" w:rsidP="00896F5D">
      <w:pPr>
        <w:pStyle w:val="ListParagraph"/>
        <w:tabs>
          <w:tab w:val="left" w:pos="851"/>
        </w:tabs>
        <w:spacing w:line="480" w:lineRule="auto"/>
        <w:ind w:left="0"/>
        <w:jc w:val="both"/>
        <w:rPr>
          <w:lang w:val="en-GB"/>
        </w:rPr>
      </w:pPr>
      <w:r w:rsidRPr="00896F5D">
        <w:rPr>
          <w:lang w:val="en-GB"/>
        </w:rPr>
        <w:t>[1]</w:t>
      </w:r>
      <w:r w:rsidRPr="00896F5D">
        <w:rPr>
          <w:lang w:val="en-GB"/>
        </w:rPr>
        <w:tab/>
      </w:r>
      <w:r w:rsidR="003837FE" w:rsidRPr="00896F5D">
        <w:rPr>
          <w:lang w:val="en-GB"/>
        </w:rPr>
        <w:t xml:space="preserve">This </w:t>
      </w:r>
      <w:r w:rsidR="008C4F3B" w:rsidRPr="00896F5D">
        <w:rPr>
          <w:lang w:val="en-GB"/>
        </w:rPr>
        <w:t xml:space="preserve">case </w:t>
      </w:r>
      <w:r w:rsidR="003837FE" w:rsidRPr="00896F5D">
        <w:rPr>
          <w:lang w:val="en-GB"/>
        </w:rPr>
        <w:t>concerns</w:t>
      </w:r>
      <w:r w:rsidR="00FF1D52" w:rsidRPr="00896F5D">
        <w:rPr>
          <w:lang w:val="en-GB"/>
        </w:rPr>
        <w:t xml:space="preserve"> the</w:t>
      </w:r>
      <w:r w:rsidR="003837FE" w:rsidRPr="00896F5D">
        <w:rPr>
          <w:lang w:val="en-GB"/>
        </w:rPr>
        <w:t xml:space="preserve"> </w:t>
      </w:r>
      <w:r w:rsidR="000B3557" w:rsidRPr="00896F5D">
        <w:rPr>
          <w:lang w:val="en-GB"/>
        </w:rPr>
        <w:t>rescission of the judgment which</w:t>
      </w:r>
      <w:r w:rsidR="003837FE" w:rsidRPr="00896F5D">
        <w:rPr>
          <w:lang w:val="en-GB"/>
        </w:rPr>
        <w:t xml:space="preserve"> was granted by this court on </w:t>
      </w:r>
      <w:r w:rsidR="002D6DB6" w:rsidRPr="00896F5D">
        <w:rPr>
          <w:lang w:val="en-GB"/>
        </w:rPr>
        <w:t>16 August 2022. The applicant is</w:t>
      </w:r>
      <w:r w:rsidR="008C4F3B" w:rsidRPr="00896F5D">
        <w:rPr>
          <w:lang w:val="en-GB"/>
        </w:rPr>
        <w:t xml:space="preserve"> identified</w:t>
      </w:r>
      <w:r w:rsidR="002D6DB6" w:rsidRPr="00896F5D">
        <w:rPr>
          <w:lang w:val="en-GB"/>
        </w:rPr>
        <w:t xml:space="preserve"> </w:t>
      </w:r>
      <w:r w:rsidR="00896F5D" w:rsidRPr="00896F5D">
        <w:rPr>
          <w:lang w:val="en-GB"/>
        </w:rPr>
        <w:t xml:space="preserve">as </w:t>
      </w:r>
      <w:r w:rsidR="002D6DB6" w:rsidRPr="00896F5D">
        <w:rPr>
          <w:lang w:val="en-GB"/>
        </w:rPr>
        <w:t xml:space="preserve">a businessman whose </w:t>
      </w:r>
      <w:r w:rsidR="008C4F3B" w:rsidRPr="00896F5D">
        <w:rPr>
          <w:lang w:val="en-GB"/>
        </w:rPr>
        <w:t xml:space="preserve">details </w:t>
      </w:r>
      <w:r w:rsidR="002D6DB6" w:rsidRPr="00896F5D">
        <w:rPr>
          <w:lang w:val="en-GB"/>
        </w:rPr>
        <w:t>of the business are unspecified. The first, second and third respondent are liquidators</w:t>
      </w:r>
      <w:r w:rsidR="000B3557" w:rsidRPr="00896F5D">
        <w:rPr>
          <w:lang w:val="en-GB"/>
        </w:rPr>
        <w:t xml:space="preserve"> </w:t>
      </w:r>
      <w:r w:rsidR="000B3557" w:rsidRPr="00896F5D">
        <w:rPr>
          <w:lang w:val="en-GB"/>
        </w:rPr>
        <w:lastRenderedPageBreak/>
        <w:t>who were duly appointed by the Master of the High Court on 07 March 2019</w:t>
      </w:r>
      <w:r w:rsidR="008C4F3B" w:rsidRPr="00896F5D">
        <w:rPr>
          <w:lang w:val="en-GB"/>
        </w:rPr>
        <w:t xml:space="preserve">, to </w:t>
      </w:r>
      <w:r w:rsidR="009565EC" w:rsidRPr="00896F5D">
        <w:rPr>
          <w:lang w:val="en-GB"/>
        </w:rPr>
        <w:t>act as</w:t>
      </w:r>
      <w:r w:rsidR="000B3557" w:rsidRPr="00896F5D">
        <w:rPr>
          <w:lang w:val="en-GB"/>
        </w:rPr>
        <w:t xml:space="preserve"> the joint liquidators of the company known as Free Agape Enterprise</w:t>
      </w:r>
      <w:r w:rsidR="008E23BB" w:rsidRPr="00896F5D">
        <w:rPr>
          <w:lang w:val="en-GB"/>
        </w:rPr>
        <w:t>s (Pty) Ltd</w:t>
      </w:r>
      <w:r w:rsidR="002427E7" w:rsidRPr="00896F5D">
        <w:rPr>
          <w:lang w:val="en-GB"/>
        </w:rPr>
        <w:t xml:space="preserve"> </w:t>
      </w:r>
      <w:r w:rsidR="008E23BB" w:rsidRPr="00896F5D">
        <w:rPr>
          <w:lang w:val="en-GB"/>
        </w:rPr>
        <w:t>(Free Agape).</w:t>
      </w:r>
    </w:p>
    <w:p w14:paraId="09F90C00" w14:textId="77777777" w:rsidR="000B3557" w:rsidRPr="00896F5D" w:rsidRDefault="000B3557" w:rsidP="00896F5D">
      <w:pPr>
        <w:pStyle w:val="ListParagraph"/>
        <w:tabs>
          <w:tab w:val="left" w:pos="851"/>
        </w:tabs>
        <w:spacing w:line="480" w:lineRule="auto"/>
        <w:ind w:left="0"/>
        <w:jc w:val="both"/>
        <w:rPr>
          <w:lang w:val="en-GB"/>
        </w:rPr>
      </w:pPr>
    </w:p>
    <w:p w14:paraId="0F3DBDCA" w14:textId="1FE8E9D3" w:rsidR="00FF303E" w:rsidRPr="00896F5D" w:rsidRDefault="00055DAC" w:rsidP="00896F5D">
      <w:pPr>
        <w:pStyle w:val="ListParagraph"/>
        <w:tabs>
          <w:tab w:val="left" w:pos="851"/>
        </w:tabs>
        <w:spacing w:line="480" w:lineRule="auto"/>
        <w:ind w:left="0"/>
        <w:jc w:val="both"/>
        <w:rPr>
          <w:lang w:val="en-GB"/>
        </w:rPr>
      </w:pPr>
      <w:r w:rsidRPr="00896F5D">
        <w:rPr>
          <w:lang w:val="en-GB"/>
        </w:rPr>
        <w:t>[2]</w:t>
      </w:r>
      <w:r w:rsidRPr="00896F5D">
        <w:rPr>
          <w:lang w:val="en-GB"/>
        </w:rPr>
        <w:tab/>
      </w:r>
      <w:r w:rsidR="000B3557" w:rsidRPr="00896F5D">
        <w:rPr>
          <w:lang w:val="en-GB"/>
        </w:rPr>
        <w:t>The application is opposed by the respondents.</w:t>
      </w:r>
      <w:r w:rsidR="00F46168" w:rsidRPr="00896F5D">
        <w:rPr>
          <w:lang w:val="en-GB"/>
        </w:rPr>
        <w:t xml:space="preserve"> </w:t>
      </w:r>
      <w:r w:rsidR="008C4F3B" w:rsidRPr="00896F5D">
        <w:rPr>
          <w:lang w:val="en-GB"/>
        </w:rPr>
        <w:t>For consistency with the main action, the parties will be refe</w:t>
      </w:r>
      <w:r w:rsidR="009565EC" w:rsidRPr="00896F5D">
        <w:rPr>
          <w:lang w:val="en-GB"/>
        </w:rPr>
        <w:t>rred to as they were previously</w:t>
      </w:r>
      <w:r w:rsidR="00F46168" w:rsidRPr="00896F5D">
        <w:rPr>
          <w:lang w:val="en-GB"/>
        </w:rPr>
        <w:t>. The first, second and third respondents will be referred as ‘</w:t>
      </w:r>
      <w:r w:rsidR="00FF1D52" w:rsidRPr="00896F5D">
        <w:rPr>
          <w:lang w:val="en-GB"/>
        </w:rPr>
        <w:t xml:space="preserve">the </w:t>
      </w:r>
      <w:r w:rsidR="00F46168" w:rsidRPr="00896F5D">
        <w:rPr>
          <w:lang w:val="en-GB"/>
        </w:rPr>
        <w:t>plaintiffs’</w:t>
      </w:r>
      <w:r w:rsidR="008C4F3B" w:rsidRPr="00896F5D">
        <w:rPr>
          <w:lang w:val="en-GB"/>
        </w:rPr>
        <w:t>,</w:t>
      </w:r>
      <w:r w:rsidR="00F46168" w:rsidRPr="00896F5D">
        <w:rPr>
          <w:lang w:val="en-GB"/>
        </w:rPr>
        <w:t xml:space="preserve"> and the applicant will be referred as ‘the defendant’.</w:t>
      </w:r>
    </w:p>
    <w:p w14:paraId="4EA6AAA0" w14:textId="77777777" w:rsidR="00FC0E86" w:rsidRPr="00896F5D" w:rsidRDefault="00FC0E86" w:rsidP="00896F5D">
      <w:pPr>
        <w:pStyle w:val="ListParagraph"/>
        <w:tabs>
          <w:tab w:val="left" w:pos="851"/>
        </w:tabs>
        <w:spacing w:line="480" w:lineRule="auto"/>
        <w:ind w:left="0"/>
        <w:jc w:val="both"/>
        <w:rPr>
          <w:lang w:val="en-GB"/>
        </w:rPr>
      </w:pPr>
    </w:p>
    <w:p w14:paraId="6AEC9776" w14:textId="4092B926" w:rsidR="00F84948" w:rsidRPr="00896F5D" w:rsidRDefault="000B3557" w:rsidP="00896F5D">
      <w:pPr>
        <w:pStyle w:val="ListParagraph"/>
        <w:tabs>
          <w:tab w:val="left" w:pos="851"/>
        </w:tabs>
        <w:spacing w:line="480" w:lineRule="auto"/>
        <w:ind w:left="0"/>
        <w:jc w:val="both"/>
        <w:rPr>
          <w:b/>
          <w:u w:val="single"/>
          <w:lang w:val="en-GB"/>
        </w:rPr>
      </w:pPr>
      <w:r w:rsidRPr="00896F5D">
        <w:rPr>
          <w:b/>
          <w:u w:val="single"/>
          <w:lang w:val="en-GB"/>
        </w:rPr>
        <w:t>The background facts</w:t>
      </w:r>
    </w:p>
    <w:p w14:paraId="117B73D2" w14:textId="77777777" w:rsidR="00F84948" w:rsidRPr="00896F5D" w:rsidRDefault="00F84948" w:rsidP="00896F5D">
      <w:pPr>
        <w:pStyle w:val="ListParagraph"/>
        <w:tabs>
          <w:tab w:val="left" w:pos="851"/>
        </w:tabs>
        <w:spacing w:line="480" w:lineRule="auto"/>
        <w:ind w:left="0"/>
        <w:jc w:val="both"/>
        <w:rPr>
          <w:i/>
          <w:u w:val="single"/>
          <w:lang w:val="en-GB"/>
        </w:rPr>
      </w:pPr>
    </w:p>
    <w:p w14:paraId="50C47C86" w14:textId="455F18B2" w:rsidR="000B3557" w:rsidRDefault="00055DAC" w:rsidP="00896F5D">
      <w:pPr>
        <w:pStyle w:val="ListParagraph"/>
        <w:tabs>
          <w:tab w:val="left" w:pos="851"/>
        </w:tabs>
        <w:spacing w:line="480" w:lineRule="auto"/>
        <w:ind w:left="0"/>
        <w:jc w:val="both"/>
        <w:rPr>
          <w:lang w:val="en-GB"/>
        </w:rPr>
      </w:pPr>
      <w:r w:rsidRPr="00896F5D">
        <w:rPr>
          <w:lang w:val="en-GB"/>
        </w:rPr>
        <w:t>[3]</w:t>
      </w:r>
      <w:r w:rsidRPr="00896F5D">
        <w:rPr>
          <w:lang w:val="en-GB"/>
        </w:rPr>
        <w:tab/>
      </w:r>
      <w:r w:rsidR="00896F5D" w:rsidRPr="00896F5D">
        <w:rPr>
          <w:lang w:val="en-GB"/>
        </w:rPr>
        <w:t xml:space="preserve">In </w:t>
      </w:r>
      <w:r w:rsidR="008E23BB" w:rsidRPr="00896F5D">
        <w:rPr>
          <w:lang w:val="en-GB"/>
        </w:rPr>
        <w:t>March 2018, Mr Howick Kirstein and three others applied to the High Court of South Africa, Western Cape Division</w:t>
      </w:r>
      <w:r w:rsidR="002427E7" w:rsidRPr="00896F5D">
        <w:rPr>
          <w:lang w:val="en-GB"/>
        </w:rPr>
        <w:t xml:space="preserve"> for the winding up of </w:t>
      </w:r>
      <w:r w:rsidR="008E23BB" w:rsidRPr="00896F5D">
        <w:rPr>
          <w:lang w:val="en-GB"/>
        </w:rPr>
        <w:t>Free Agape.  On 12 June 2018 Free Agape was placed under final liquidation. On 13 August 2019, the High Court of South Africa, Western Cape Division issued the following order:</w:t>
      </w:r>
    </w:p>
    <w:p w14:paraId="00F80C41" w14:textId="77777777" w:rsidR="00896F5D" w:rsidRPr="00896F5D" w:rsidRDefault="00896F5D" w:rsidP="00896F5D">
      <w:pPr>
        <w:pStyle w:val="ListParagraph"/>
        <w:tabs>
          <w:tab w:val="left" w:pos="851"/>
        </w:tabs>
        <w:spacing w:line="480" w:lineRule="auto"/>
        <w:ind w:left="0"/>
        <w:jc w:val="both"/>
        <w:rPr>
          <w:lang w:val="en-GB"/>
        </w:rPr>
      </w:pPr>
    </w:p>
    <w:p w14:paraId="02B4F49C" w14:textId="42459761" w:rsidR="008E23BB" w:rsidRPr="008C64D9" w:rsidRDefault="008E23BB" w:rsidP="008C64D9">
      <w:pPr>
        <w:tabs>
          <w:tab w:val="left" w:pos="851"/>
        </w:tabs>
        <w:spacing w:line="480" w:lineRule="auto"/>
        <w:ind w:left="720"/>
        <w:jc w:val="both"/>
        <w:rPr>
          <w:sz w:val="20"/>
          <w:szCs w:val="20"/>
          <w:lang w:val="en-GB"/>
        </w:rPr>
      </w:pPr>
      <w:r w:rsidRPr="008C64D9">
        <w:rPr>
          <w:sz w:val="20"/>
          <w:szCs w:val="20"/>
          <w:lang w:val="en-GB"/>
        </w:rPr>
        <w:t xml:space="preserve">1. The investment scheme conducted by the directors thereof under the name </w:t>
      </w:r>
      <w:r w:rsidR="008C6B6B" w:rsidRPr="008C64D9">
        <w:rPr>
          <w:sz w:val="20"/>
          <w:szCs w:val="20"/>
          <w:lang w:val="en-GB"/>
        </w:rPr>
        <w:t>and style of Free Agape Enterprise (</w:t>
      </w:r>
      <w:r w:rsidR="002427E7" w:rsidRPr="008C64D9">
        <w:rPr>
          <w:sz w:val="20"/>
          <w:szCs w:val="20"/>
          <w:lang w:val="en-GB"/>
        </w:rPr>
        <w:t>Pty) Ltd</w:t>
      </w:r>
      <w:r w:rsidR="008C4F3B" w:rsidRPr="008C64D9">
        <w:rPr>
          <w:sz w:val="20"/>
          <w:szCs w:val="20"/>
          <w:lang w:val="en-GB"/>
        </w:rPr>
        <w:t xml:space="preserve"> </w:t>
      </w:r>
      <w:r w:rsidR="002427E7" w:rsidRPr="008C64D9">
        <w:rPr>
          <w:sz w:val="20"/>
          <w:szCs w:val="20"/>
          <w:lang w:val="en-GB"/>
        </w:rPr>
        <w:t>(in liquidation) and the respective trading names under which the scheme was conducted, propagated and marketed namely Choice Lifestyle change, CLC, Belegginngtrust, Free Agape, Choice Beleggingstrust and Induna Holdings, are declared to be illegal, unlawful and void;</w:t>
      </w:r>
    </w:p>
    <w:p w14:paraId="59132BA2" w14:textId="6C4344B8" w:rsidR="00BF43DC" w:rsidRPr="008C64D9" w:rsidRDefault="002427E7" w:rsidP="008C64D9">
      <w:pPr>
        <w:tabs>
          <w:tab w:val="left" w:pos="851"/>
        </w:tabs>
        <w:spacing w:line="480" w:lineRule="auto"/>
        <w:ind w:left="720"/>
        <w:jc w:val="both"/>
        <w:rPr>
          <w:sz w:val="20"/>
          <w:szCs w:val="20"/>
          <w:lang w:val="en-GB"/>
        </w:rPr>
      </w:pPr>
      <w:r w:rsidRPr="008C64D9">
        <w:rPr>
          <w:sz w:val="20"/>
          <w:szCs w:val="20"/>
          <w:lang w:val="en-GB"/>
        </w:rPr>
        <w:t>2. All investment agreements and related agreements entered into between members of the Public entities as investors with Free Agape Enterprises (Pty) Ltd (in liquidation), are declared to be null and void;</w:t>
      </w:r>
    </w:p>
    <w:p w14:paraId="63D44769" w14:textId="6BB041CC" w:rsidR="00896F5D" w:rsidRPr="00896F5D" w:rsidRDefault="002427E7" w:rsidP="008C64D9">
      <w:pPr>
        <w:tabs>
          <w:tab w:val="left" w:pos="851"/>
        </w:tabs>
        <w:spacing w:line="480" w:lineRule="auto"/>
        <w:ind w:left="720"/>
        <w:jc w:val="both"/>
        <w:rPr>
          <w:lang w:val="en-GB"/>
        </w:rPr>
      </w:pPr>
      <w:r w:rsidRPr="008C64D9">
        <w:rPr>
          <w:sz w:val="20"/>
          <w:szCs w:val="20"/>
          <w:lang w:val="en-GB"/>
        </w:rPr>
        <w:t>3. The cost of this application are to be paid out of</w:t>
      </w:r>
      <w:r w:rsidR="009565EC" w:rsidRPr="008C64D9">
        <w:rPr>
          <w:sz w:val="20"/>
          <w:szCs w:val="20"/>
          <w:lang w:val="en-GB"/>
        </w:rPr>
        <w:t xml:space="preserve"> </w:t>
      </w:r>
      <w:r w:rsidRPr="008C64D9">
        <w:rPr>
          <w:sz w:val="20"/>
          <w:szCs w:val="20"/>
          <w:lang w:val="en-GB"/>
        </w:rPr>
        <w:t>the insolvent estate of Free Agape Enterprises (Pty)</w:t>
      </w:r>
      <w:r w:rsidR="008C4F3B" w:rsidRPr="008C64D9">
        <w:rPr>
          <w:sz w:val="20"/>
          <w:szCs w:val="20"/>
          <w:lang w:val="en-GB"/>
        </w:rPr>
        <w:t xml:space="preserve"> </w:t>
      </w:r>
      <w:r w:rsidRPr="008C64D9">
        <w:rPr>
          <w:sz w:val="20"/>
          <w:szCs w:val="20"/>
          <w:lang w:val="en-GB"/>
        </w:rPr>
        <w:t>Ltd (in liquidation</w:t>
      </w:r>
      <w:r w:rsidRPr="00896F5D">
        <w:rPr>
          <w:lang w:val="en-GB"/>
        </w:rPr>
        <w:t>)</w:t>
      </w:r>
    </w:p>
    <w:p w14:paraId="181CF387" w14:textId="77777777" w:rsidR="00E54E21" w:rsidRPr="00896F5D" w:rsidRDefault="00E54E21" w:rsidP="008C64D9">
      <w:pPr>
        <w:tabs>
          <w:tab w:val="left" w:pos="851"/>
        </w:tabs>
        <w:spacing w:line="480" w:lineRule="auto"/>
        <w:ind w:left="720"/>
        <w:jc w:val="both"/>
        <w:rPr>
          <w:lang w:val="en-GB"/>
        </w:rPr>
      </w:pPr>
    </w:p>
    <w:p w14:paraId="25DDF6F6" w14:textId="1E661CE6" w:rsidR="0090273A" w:rsidRPr="00896F5D" w:rsidRDefault="00055DAC" w:rsidP="00896F5D">
      <w:pPr>
        <w:pStyle w:val="ListParagraph"/>
        <w:tabs>
          <w:tab w:val="left" w:pos="851"/>
        </w:tabs>
        <w:spacing w:line="480" w:lineRule="auto"/>
        <w:ind w:left="0"/>
        <w:jc w:val="both"/>
        <w:rPr>
          <w:lang w:val="en-GB"/>
        </w:rPr>
      </w:pPr>
      <w:r w:rsidRPr="00896F5D">
        <w:rPr>
          <w:lang w:val="en-GB"/>
        </w:rPr>
        <w:lastRenderedPageBreak/>
        <w:t>[4]</w:t>
      </w:r>
      <w:r w:rsidRPr="00896F5D">
        <w:rPr>
          <w:lang w:val="en-GB"/>
        </w:rPr>
        <w:tab/>
      </w:r>
      <w:r w:rsidR="00F70CFE" w:rsidRPr="00896F5D">
        <w:rPr>
          <w:lang w:val="en-GB"/>
        </w:rPr>
        <w:t>Between 24 February 2017 to 21 November 2017</w:t>
      </w:r>
      <w:r w:rsidR="00896F5D" w:rsidRPr="00896F5D">
        <w:rPr>
          <w:lang w:val="en-GB"/>
        </w:rPr>
        <w:t>,</w:t>
      </w:r>
      <w:r w:rsidR="00F70CFE" w:rsidRPr="00896F5D">
        <w:rPr>
          <w:lang w:val="en-GB"/>
        </w:rPr>
        <w:t xml:space="preserve"> Free Agape </w:t>
      </w:r>
      <w:r w:rsidR="00987AF8" w:rsidRPr="00896F5D">
        <w:rPr>
          <w:lang w:val="en-GB"/>
        </w:rPr>
        <w:t xml:space="preserve">made </w:t>
      </w:r>
      <w:r w:rsidR="00F46168" w:rsidRPr="00896F5D">
        <w:rPr>
          <w:lang w:val="en-GB"/>
        </w:rPr>
        <w:t>payments to the defendant</w:t>
      </w:r>
      <w:r w:rsidR="00F70CFE" w:rsidRPr="00896F5D">
        <w:rPr>
          <w:lang w:val="en-GB"/>
        </w:rPr>
        <w:t xml:space="preserve"> in the sum of R1</w:t>
      </w:r>
      <w:r w:rsidR="00896F5D" w:rsidRPr="00896F5D">
        <w:rPr>
          <w:lang w:val="en-GB"/>
        </w:rPr>
        <w:t xml:space="preserve"> </w:t>
      </w:r>
      <w:r w:rsidR="00F70CFE" w:rsidRPr="00896F5D">
        <w:rPr>
          <w:lang w:val="en-GB"/>
        </w:rPr>
        <w:t>404</w:t>
      </w:r>
      <w:r w:rsidR="00896F5D" w:rsidRPr="00896F5D">
        <w:rPr>
          <w:lang w:val="en-GB"/>
        </w:rPr>
        <w:t xml:space="preserve"> </w:t>
      </w:r>
      <w:r w:rsidR="00F70CFE" w:rsidRPr="00896F5D">
        <w:rPr>
          <w:lang w:val="en-GB"/>
        </w:rPr>
        <w:t>500. Additionally</w:t>
      </w:r>
      <w:r w:rsidR="00987AF8" w:rsidRPr="00896F5D">
        <w:rPr>
          <w:lang w:val="en-GB"/>
        </w:rPr>
        <w:t>,</w:t>
      </w:r>
      <w:r w:rsidR="00F70CFE" w:rsidRPr="00896F5D">
        <w:rPr>
          <w:lang w:val="en-GB"/>
        </w:rPr>
        <w:t xml:space="preserve"> </w:t>
      </w:r>
      <w:r w:rsidR="00987AF8" w:rsidRPr="00896F5D">
        <w:rPr>
          <w:lang w:val="en-GB"/>
        </w:rPr>
        <w:t>between</w:t>
      </w:r>
      <w:r w:rsidR="00F70CFE" w:rsidRPr="00896F5D">
        <w:rPr>
          <w:lang w:val="en-GB"/>
        </w:rPr>
        <w:t xml:space="preserve"> 27 January 2017 to 02 October 2017, the</w:t>
      </w:r>
      <w:r w:rsidR="00F46168" w:rsidRPr="00896F5D">
        <w:rPr>
          <w:lang w:val="en-GB"/>
        </w:rPr>
        <w:t xml:space="preserve"> defendant</w:t>
      </w:r>
      <w:r w:rsidR="00F70CFE" w:rsidRPr="00896F5D">
        <w:rPr>
          <w:lang w:val="en-GB"/>
        </w:rPr>
        <w:t xml:space="preserve"> paid an amount of R1</w:t>
      </w:r>
      <w:r w:rsidR="00987AF8" w:rsidRPr="00896F5D">
        <w:rPr>
          <w:lang w:val="en-GB"/>
        </w:rPr>
        <w:t xml:space="preserve"> </w:t>
      </w:r>
      <w:r w:rsidR="00F70CFE" w:rsidRPr="00896F5D">
        <w:rPr>
          <w:lang w:val="en-GB"/>
        </w:rPr>
        <w:t>250 000.00 to Free Agape.</w:t>
      </w:r>
      <w:r w:rsidR="00F46168" w:rsidRPr="00896F5D">
        <w:rPr>
          <w:lang w:val="en-GB"/>
        </w:rPr>
        <w:t xml:space="preserve"> During September 2017 Free Agape </w:t>
      </w:r>
      <w:r w:rsidR="00987AF8" w:rsidRPr="00896F5D">
        <w:rPr>
          <w:lang w:val="en-GB"/>
        </w:rPr>
        <w:t xml:space="preserve">made </w:t>
      </w:r>
      <w:r w:rsidR="00F46168" w:rsidRPr="00896F5D">
        <w:rPr>
          <w:lang w:val="en-GB"/>
        </w:rPr>
        <w:t>payments to the defendant in the total amount of R478 250.</w:t>
      </w:r>
      <w:r w:rsidR="00F70CFE" w:rsidRPr="00896F5D">
        <w:rPr>
          <w:lang w:val="en-GB"/>
        </w:rPr>
        <w:t xml:space="preserve"> </w:t>
      </w:r>
    </w:p>
    <w:p w14:paraId="5BA099B4" w14:textId="77777777" w:rsidR="00055DAC" w:rsidRPr="00896F5D" w:rsidRDefault="00055DAC" w:rsidP="00896F5D">
      <w:pPr>
        <w:pStyle w:val="ListParagraph"/>
        <w:tabs>
          <w:tab w:val="left" w:pos="851"/>
        </w:tabs>
        <w:spacing w:line="480" w:lineRule="auto"/>
        <w:jc w:val="both"/>
        <w:rPr>
          <w:lang w:val="en-GB"/>
        </w:rPr>
      </w:pPr>
    </w:p>
    <w:p w14:paraId="7E8082F6" w14:textId="79C47E9C" w:rsidR="00FF303E" w:rsidRPr="00896F5D" w:rsidRDefault="00055DAC" w:rsidP="00896F5D">
      <w:pPr>
        <w:pStyle w:val="ListParagraph"/>
        <w:tabs>
          <w:tab w:val="left" w:pos="851"/>
        </w:tabs>
        <w:spacing w:line="480" w:lineRule="auto"/>
        <w:ind w:left="0"/>
        <w:jc w:val="both"/>
        <w:rPr>
          <w:lang w:val="en-GB"/>
        </w:rPr>
      </w:pPr>
      <w:r w:rsidRPr="00896F5D">
        <w:rPr>
          <w:lang w:val="en-GB"/>
        </w:rPr>
        <w:t>[5]</w:t>
      </w:r>
      <w:r w:rsidRPr="00896F5D">
        <w:rPr>
          <w:lang w:val="en-GB"/>
        </w:rPr>
        <w:tab/>
      </w:r>
      <w:r w:rsidR="00F46168" w:rsidRPr="00896F5D">
        <w:rPr>
          <w:lang w:val="en-GB"/>
        </w:rPr>
        <w:t xml:space="preserve">On 09 February 2022, the plaintiffs issued a combined summons against the defendant for an order in terms of </w:t>
      </w:r>
      <w:r w:rsidR="00896F5D" w:rsidRPr="00896F5D">
        <w:rPr>
          <w:lang w:val="en-GB"/>
        </w:rPr>
        <w:t xml:space="preserve">sections </w:t>
      </w:r>
      <w:r w:rsidR="00F46168" w:rsidRPr="00896F5D">
        <w:rPr>
          <w:lang w:val="en-GB"/>
        </w:rPr>
        <w:t>26 (1) and</w:t>
      </w:r>
      <w:r w:rsidR="005F6DAB" w:rsidRPr="00896F5D">
        <w:rPr>
          <w:lang w:val="en-GB"/>
        </w:rPr>
        <w:t xml:space="preserve"> 29</w:t>
      </w:r>
      <w:r w:rsidR="00F46168" w:rsidRPr="00896F5D">
        <w:rPr>
          <w:lang w:val="en-GB"/>
        </w:rPr>
        <w:t xml:space="preserve"> of the Insolvency Act</w:t>
      </w:r>
      <w:r w:rsidR="005D71EE" w:rsidRPr="00896F5D">
        <w:rPr>
          <w:lang w:val="en-GB"/>
        </w:rPr>
        <w:t xml:space="preserve"> 24 of 1936</w:t>
      </w:r>
      <w:r w:rsidR="00987AF8" w:rsidRPr="00896F5D">
        <w:rPr>
          <w:lang w:val="en-GB"/>
        </w:rPr>
        <w:t xml:space="preserve"> </w:t>
      </w:r>
      <w:r w:rsidR="00722812" w:rsidRPr="00896F5D">
        <w:rPr>
          <w:lang w:val="en-GB"/>
        </w:rPr>
        <w:t>(the</w:t>
      </w:r>
      <w:r w:rsidR="005D71EE" w:rsidRPr="00896F5D">
        <w:rPr>
          <w:lang w:val="en-GB"/>
        </w:rPr>
        <w:t xml:space="preserve"> </w:t>
      </w:r>
      <w:r w:rsidR="00896F5D" w:rsidRPr="00896F5D">
        <w:rPr>
          <w:lang w:val="en-GB"/>
        </w:rPr>
        <w:t xml:space="preserve">Insolvency </w:t>
      </w:r>
      <w:r w:rsidR="005D71EE" w:rsidRPr="00896F5D">
        <w:rPr>
          <w:lang w:val="en-GB"/>
        </w:rPr>
        <w:t>Act)</w:t>
      </w:r>
      <w:r w:rsidR="00F46168" w:rsidRPr="00896F5D">
        <w:rPr>
          <w:lang w:val="en-GB"/>
        </w:rPr>
        <w:t>. In the particulars of claim, the plaintiffs alleged that a sum of R154</w:t>
      </w:r>
      <w:r w:rsidR="00896F5D" w:rsidRPr="00896F5D">
        <w:rPr>
          <w:lang w:val="en-GB"/>
        </w:rPr>
        <w:t xml:space="preserve"> </w:t>
      </w:r>
      <w:r w:rsidR="00F46168" w:rsidRPr="00896F5D">
        <w:rPr>
          <w:lang w:val="en-GB"/>
        </w:rPr>
        <w:t xml:space="preserve">500 </w:t>
      </w:r>
      <w:r w:rsidR="00987AF8" w:rsidRPr="00896F5D">
        <w:rPr>
          <w:lang w:val="en-GB"/>
        </w:rPr>
        <w:t xml:space="preserve">constituted a </w:t>
      </w:r>
      <w:r w:rsidR="00FF1D52" w:rsidRPr="00896F5D">
        <w:rPr>
          <w:lang w:val="en-GB"/>
        </w:rPr>
        <w:t>disposition and was thus</w:t>
      </w:r>
      <w:r w:rsidR="00987AF8" w:rsidRPr="00896F5D">
        <w:rPr>
          <w:lang w:val="en-GB"/>
        </w:rPr>
        <w:t xml:space="preserve"> </w:t>
      </w:r>
      <w:r w:rsidR="00F46168" w:rsidRPr="00896F5D">
        <w:rPr>
          <w:lang w:val="en-GB"/>
        </w:rPr>
        <w:t>liable to be set aside in terms of section 26 of the Insol</w:t>
      </w:r>
      <w:r w:rsidR="005F6DAB" w:rsidRPr="00896F5D">
        <w:rPr>
          <w:lang w:val="en-GB"/>
        </w:rPr>
        <w:t>vency Act. Furthermore</w:t>
      </w:r>
      <w:r w:rsidR="00987AF8" w:rsidRPr="00896F5D">
        <w:rPr>
          <w:lang w:val="en-GB"/>
        </w:rPr>
        <w:t>,</w:t>
      </w:r>
      <w:r w:rsidR="005F6DAB" w:rsidRPr="00896F5D">
        <w:rPr>
          <w:lang w:val="en-GB"/>
        </w:rPr>
        <w:t xml:space="preserve"> an</w:t>
      </w:r>
      <w:r w:rsidR="00F46168" w:rsidRPr="00896F5D">
        <w:rPr>
          <w:lang w:val="en-GB"/>
        </w:rPr>
        <w:t xml:space="preserve"> amount of R478</w:t>
      </w:r>
      <w:r w:rsidR="00896F5D" w:rsidRPr="00896F5D">
        <w:rPr>
          <w:lang w:val="en-GB"/>
        </w:rPr>
        <w:t xml:space="preserve"> </w:t>
      </w:r>
      <w:r w:rsidR="00F46168" w:rsidRPr="00896F5D">
        <w:rPr>
          <w:lang w:val="en-GB"/>
        </w:rPr>
        <w:t>250 constituted</w:t>
      </w:r>
      <w:r w:rsidR="00987AF8" w:rsidRPr="00896F5D">
        <w:rPr>
          <w:lang w:val="en-GB"/>
        </w:rPr>
        <w:t xml:space="preserve"> a</w:t>
      </w:r>
      <w:r w:rsidR="00F46168" w:rsidRPr="00896F5D">
        <w:rPr>
          <w:lang w:val="en-GB"/>
        </w:rPr>
        <w:t xml:space="preserve"> disposition as intended in terms of section 29(1), read with s</w:t>
      </w:r>
      <w:r w:rsidR="00987AF8" w:rsidRPr="00896F5D">
        <w:rPr>
          <w:lang w:val="en-GB"/>
        </w:rPr>
        <w:t>ection</w:t>
      </w:r>
      <w:r w:rsidR="00F46168" w:rsidRPr="00896F5D">
        <w:rPr>
          <w:lang w:val="en-GB"/>
        </w:rPr>
        <w:t xml:space="preserve"> 2 of the Insolvency Act.</w:t>
      </w:r>
      <w:r w:rsidR="003F4366" w:rsidRPr="00896F5D">
        <w:rPr>
          <w:lang w:val="en-GB"/>
        </w:rPr>
        <w:t xml:space="preserve"> The plaintiffs further alleged that the dispositions made by Free Agape had the effect of preferring the defendant above the other creditors of Free Agape.</w:t>
      </w:r>
      <w:r w:rsidR="00411ED3" w:rsidRPr="00896F5D">
        <w:rPr>
          <w:lang w:val="en-GB"/>
        </w:rPr>
        <w:t xml:space="preserve"> On 25 February 2022</w:t>
      </w:r>
      <w:r w:rsidR="00987AF8" w:rsidRPr="00896F5D">
        <w:rPr>
          <w:lang w:val="en-GB"/>
        </w:rPr>
        <w:t>,</w:t>
      </w:r>
      <w:r w:rsidR="00411ED3" w:rsidRPr="00896F5D">
        <w:rPr>
          <w:lang w:val="en-GB"/>
        </w:rPr>
        <w:t xml:space="preserve"> the sheriff served </w:t>
      </w:r>
      <w:r w:rsidR="005F6DAB" w:rsidRPr="00896F5D">
        <w:rPr>
          <w:lang w:val="en-GB"/>
        </w:rPr>
        <w:t>copies</w:t>
      </w:r>
      <w:r w:rsidR="00411ED3" w:rsidRPr="00896F5D">
        <w:rPr>
          <w:lang w:val="en-GB"/>
        </w:rPr>
        <w:t xml:space="preserve"> of the combined summons, the </w:t>
      </w:r>
      <w:r w:rsidR="00100A11" w:rsidRPr="00896F5D">
        <w:rPr>
          <w:lang w:val="en-GB"/>
        </w:rPr>
        <w:t>particulars</w:t>
      </w:r>
      <w:r w:rsidR="00411ED3" w:rsidRPr="00896F5D">
        <w:rPr>
          <w:lang w:val="en-GB"/>
        </w:rPr>
        <w:t xml:space="preserve"> of claim and annexures as well as the notice in terms of </w:t>
      </w:r>
      <w:r w:rsidR="007B6540">
        <w:rPr>
          <w:lang w:val="en-GB"/>
        </w:rPr>
        <w:t xml:space="preserve">Uniform </w:t>
      </w:r>
      <w:r w:rsidR="00411ED3" w:rsidRPr="00896F5D">
        <w:rPr>
          <w:lang w:val="en-GB"/>
        </w:rPr>
        <w:t>Rule 41A at the defendant’s residential address by affixing a copy at the main access gate.</w:t>
      </w:r>
    </w:p>
    <w:p w14:paraId="5A1EE947" w14:textId="77777777" w:rsidR="0090273A" w:rsidRPr="00896F5D" w:rsidRDefault="0090273A" w:rsidP="00896F5D">
      <w:pPr>
        <w:pStyle w:val="ListParagraph"/>
        <w:spacing w:line="480" w:lineRule="auto"/>
        <w:jc w:val="both"/>
        <w:rPr>
          <w:lang w:val="en-GB"/>
        </w:rPr>
      </w:pPr>
    </w:p>
    <w:p w14:paraId="5309D552" w14:textId="570B364A" w:rsidR="003F4366" w:rsidRPr="00896F5D" w:rsidRDefault="00055DAC" w:rsidP="00896F5D">
      <w:pPr>
        <w:pStyle w:val="ListParagraph"/>
        <w:tabs>
          <w:tab w:val="left" w:pos="851"/>
        </w:tabs>
        <w:spacing w:line="480" w:lineRule="auto"/>
        <w:ind w:left="0"/>
        <w:jc w:val="both"/>
        <w:rPr>
          <w:lang w:val="en-GB"/>
        </w:rPr>
      </w:pPr>
      <w:r w:rsidRPr="00896F5D">
        <w:rPr>
          <w:lang w:val="en-GB"/>
        </w:rPr>
        <w:t>[6]</w:t>
      </w:r>
      <w:r w:rsidRPr="00896F5D">
        <w:rPr>
          <w:lang w:val="en-GB"/>
        </w:rPr>
        <w:tab/>
      </w:r>
      <w:r w:rsidR="003F4366" w:rsidRPr="00896F5D">
        <w:rPr>
          <w:lang w:val="en-GB"/>
        </w:rPr>
        <w:t>At the time, the defendant was represented by</w:t>
      </w:r>
      <w:r w:rsidR="000B3776" w:rsidRPr="00896F5D">
        <w:rPr>
          <w:lang w:val="en-GB"/>
        </w:rPr>
        <w:t xml:space="preserve"> </w:t>
      </w:r>
      <w:r w:rsidR="003F4366" w:rsidRPr="00896F5D">
        <w:rPr>
          <w:lang w:val="en-GB"/>
        </w:rPr>
        <w:t xml:space="preserve">Mr Gouws an attorney </w:t>
      </w:r>
      <w:r w:rsidR="00896F5D" w:rsidRPr="00896F5D">
        <w:rPr>
          <w:lang w:val="en-GB"/>
        </w:rPr>
        <w:t xml:space="preserve">practicing </w:t>
      </w:r>
      <w:r w:rsidR="003F4366" w:rsidRPr="00896F5D">
        <w:rPr>
          <w:lang w:val="en-GB"/>
        </w:rPr>
        <w:t xml:space="preserve">under the name and style </w:t>
      </w:r>
      <w:r w:rsidR="00D719C3" w:rsidRPr="00896F5D">
        <w:rPr>
          <w:lang w:val="en-GB"/>
        </w:rPr>
        <w:t xml:space="preserve">of </w:t>
      </w:r>
      <w:r w:rsidR="00FD319A" w:rsidRPr="00896F5D">
        <w:rPr>
          <w:lang w:val="en-GB"/>
        </w:rPr>
        <w:t>D Gouws Inc</w:t>
      </w:r>
      <w:r w:rsidR="00D719C3" w:rsidRPr="00896F5D">
        <w:rPr>
          <w:lang w:val="en-GB"/>
        </w:rPr>
        <w:t>,</w:t>
      </w:r>
      <w:r w:rsidR="003F4366" w:rsidRPr="00896F5D">
        <w:rPr>
          <w:lang w:val="en-GB"/>
        </w:rPr>
        <w:t xml:space="preserve"> situated at Gqebera.  On 07 March 2022, the defendant</w:t>
      </w:r>
      <w:r w:rsidR="009565EC" w:rsidRPr="00896F5D">
        <w:rPr>
          <w:lang w:val="en-GB"/>
        </w:rPr>
        <w:t xml:space="preserve">, </w:t>
      </w:r>
      <w:r w:rsidR="003F4366" w:rsidRPr="00896F5D">
        <w:rPr>
          <w:lang w:val="en-GB"/>
        </w:rPr>
        <w:t>through his corresponding attorney</w:t>
      </w:r>
      <w:r w:rsidR="00D719C3" w:rsidRPr="00896F5D">
        <w:rPr>
          <w:lang w:val="en-GB"/>
        </w:rPr>
        <w:t>,</w:t>
      </w:r>
      <w:r w:rsidR="003F4366" w:rsidRPr="00896F5D">
        <w:rPr>
          <w:lang w:val="en-GB"/>
        </w:rPr>
        <w:t xml:space="preserve"> Mr Nolte Smit</w:t>
      </w:r>
      <w:r w:rsidR="000B3776" w:rsidRPr="00896F5D">
        <w:rPr>
          <w:lang w:val="en-GB"/>
        </w:rPr>
        <w:t>,</w:t>
      </w:r>
      <w:r w:rsidR="003F4366" w:rsidRPr="00896F5D">
        <w:rPr>
          <w:lang w:val="en-GB"/>
        </w:rPr>
        <w:t xml:space="preserve"> filed a notice of intention to defend via an email address </w:t>
      </w:r>
      <w:hyperlink r:id="rId12" w:history="1">
        <w:r w:rsidR="003F4366" w:rsidRPr="00896F5D">
          <w:rPr>
            <w:rStyle w:val="Hyperlink"/>
            <w:lang w:val="en-GB"/>
          </w:rPr>
          <w:t>tyre@noltesmit.co.za</w:t>
        </w:r>
      </w:hyperlink>
      <w:r w:rsidR="003F4366" w:rsidRPr="00896F5D">
        <w:rPr>
          <w:lang w:val="en-GB"/>
        </w:rPr>
        <w:t xml:space="preserve">. On 06 April 2022, the plaintiffs filed a notice calling upon the defendant to file a plea within five days after </w:t>
      </w:r>
      <w:r w:rsidR="00D719C3" w:rsidRPr="00896F5D">
        <w:rPr>
          <w:lang w:val="en-GB"/>
        </w:rPr>
        <w:t xml:space="preserve">receiving </w:t>
      </w:r>
      <w:r w:rsidR="003F4366" w:rsidRPr="00896F5D">
        <w:rPr>
          <w:lang w:val="en-GB"/>
        </w:rPr>
        <w:t>the notice. The ultimatum was that the defendant</w:t>
      </w:r>
      <w:r w:rsidR="000B3776" w:rsidRPr="00896F5D">
        <w:rPr>
          <w:lang w:val="en-GB"/>
        </w:rPr>
        <w:t xml:space="preserve"> would be barred </w:t>
      </w:r>
      <w:r w:rsidR="00896F5D" w:rsidRPr="00896F5D">
        <w:rPr>
          <w:lang w:val="en-GB"/>
        </w:rPr>
        <w:t>from delivering</w:t>
      </w:r>
      <w:r w:rsidR="000B3776" w:rsidRPr="00896F5D">
        <w:rPr>
          <w:lang w:val="en-GB"/>
        </w:rPr>
        <w:t xml:space="preserve"> the plea</w:t>
      </w:r>
      <w:r w:rsidR="003F4366" w:rsidRPr="00896F5D">
        <w:rPr>
          <w:lang w:val="en-GB"/>
        </w:rPr>
        <w:t xml:space="preserve"> if he failed to do so during the </w:t>
      </w:r>
      <w:r w:rsidR="007B6540">
        <w:rPr>
          <w:lang w:val="en-GB"/>
        </w:rPr>
        <w:t>stipulated time frame</w:t>
      </w:r>
      <w:r w:rsidR="000B3776" w:rsidRPr="00896F5D">
        <w:rPr>
          <w:lang w:val="en-GB"/>
        </w:rPr>
        <w:t>.</w:t>
      </w:r>
      <w:r w:rsidR="003F4366" w:rsidRPr="00896F5D">
        <w:rPr>
          <w:lang w:val="en-GB"/>
        </w:rPr>
        <w:t xml:space="preserve"> </w:t>
      </w:r>
      <w:r w:rsidR="000B3776" w:rsidRPr="00896F5D">
        <w:rPr>
          <w:lang w:val="en-GB"/>
        </w:rPr>
        <w:t xml:space="preserve">On 13 </w:t>
      </w:r>
      <w:r w:rsidR="000B3776" w:rsidRPr="00896F5D">
        <w:rPr>
          <w:lang w:val="en-GB"/>
        </w:rPr>
        <w:lastRenderedPageBreak/>
        <w:t>April 2022, the defendant’s attorney withdrew as attorney of the record. This correspondence was sent to the plaintiff’s attorneys via email.</w:t>
      </w:r>
    </w:p>
    <w:p w14:paraId="7E7BCF83" w14:textId="77777777" w:rsidR="000B3776" w:rsidRPr="00896F5D" w:rsidRDefault="000B3776" w:rsidP="00896F5D">
      <w:pPr>
        <w:pStyle w:val="ListParagraph"/>
        <w:tabs>
          <w:tab w:val="left" w:pos="851"/>
        </w:tabs>
        <w:spacing w:line="480" w:lineRule="auto"/>
        <w:ind w:left="0"/>
        <w:jc w:val="both"/>
        <w:rPr>
          <w:lang w:val="en-GB"/>
        </w:rPr>
      </w:pPr>
    </w:p>
    <w:p w14:paraId="38D631E9" w14:textId="00B13A66" w:rsidR="00896F5D" w:rsidRPr="00896F5D" w:rsidRDefault="000B3776" w:rsidP="00896F5D">
      <w:pPr>
        <w:pStyle w:val="ListParagraph"/>
        <w:tabs>
          <w:tab w:val="left" w:pos="851"/>
        </w:tabs>
        <w:spacing w:line="480" w:lineRule="auto"/>
        <w:ind w:left="0"/>
        <w:jc w:val="both"/>
        <w:rPr>
          <w:b/>
          <w:u w:val="single"/>
          <w:lang w:val="en-GB"/>
        </w:rPr>
      </w:pPr>
      <w:r w:rsidRPr="00896F5D">
        <w:rPr>
          <w:b/>
          <w:u w:val="single"/>
          <w:lang w:val="en-GB"/>
        </w:rPr>
        <w:t>The impugned default judgment</w:t>
      </w:r>
    </w:p>
    <w:p w14:paraId="5D09558E" w14:textId="77777777" w:rsidR="007F6D4F" w:rsidRPr="00896F5D" w:rsidRDefault="007F6D4F" w:rsidP="008C64D9">
      <w:pPr>
        <w:pStyle w:val="ListParagraph"/>
        <w:tabs>
          <w:tab w:val="left" w:pos="851"/>
        </w:tabs>
        <w:spacing w:line="480" w:lineRule="auto"/>
        <w:ind w:left="0"/>
        <w:jc w:val="both"/>
        <w:rPr>
          <w:lang w:val="en-GB"/>
        </w:rPr>
      </w:pPr>
    </w:p>
    <w:p w14:paraId="4A23FFBA" w14:textId="690BA312" w:rsidR="00133109" w:rsidRPr="00896F5D" w:rsidRDefault="00055DAC" w:rsidP="00896F5D">
      <w:pPr>
        <w:pStyle w:val="ListParagraph"/>
        <w:tabs>
          <w:tab w:val="left" w:pos="851"/>
        </w:tabs>
        <w:spacing w:line="480" w:lineRule="auto"/>
        <w:ind w:left="0"/>
        <w:jc w:val="both"/>
        <w:rPr>
          <w:lang w:val="en-GB"/>
        </w:rPr>
      </w:pPr>
      <w:r w:rsidRPr="00896F5D">
        <w:rPr>
          <w:lang w:val="en-GB"/>
        </w:rPr>
        <w:t>[7]</w:t>
      </w:r>
      <w:r w:rsidRPr="00896F5D">
        <w:rPr>
          <w:lang w:val="en-GB"/>
        </w:rPr>
        <w:tab/>
      </w:r>
      <w:r w:rsidR="000B3776" w:rsidRPr="00896F5D">
        <w:rPr>
          <w:lang w:val="en-GB"/>
        </w:rPr>
        <w:t>On 28 May 2022, the plaintiffs applied for default judgment for an order in the following terms:</w:t>
      </w:r>
    </w:p>
    <w:p w14:paraId="2EBAB87B" w14:textId="5210B236" w:rsidR="000B3776" w:rsidRPr="008C64D9" w:rsidRDefault="00BF43DC" w:rsidP="008C64D9">
      <w:pPr>
        <w:tabs>
          <w:tab w:val="left" w:pos="851"/>
        </w:tabs>
        <w:spacing w:line="480" w:lineRule="auto"/>
        <w:jc w:val="both"/>
        <w:rPr>
          <w:sz w:val="20"/>
          <w:szCs w:val="20"/>
          <w:lang w:val="en-GB"/>
        </w:rPr>
      </w:pPr>
      <w:r w:rsidRPr="00896F5D">
        <w:rPr>
          <w:sz w:val="20"/>
          <w:szCs w:val="20"/>
          <w:lang w:val="en-GB"/>
        </w:rPr>
        <w:tab/>
      </w:r>
      <w:r w:rsidR="009565EC" w:rsidRPr="008C64D9">
        <w:rPr>
          <w:sz w:val="20"/>
          <w:szCs w:val="20"/>
          <w:lang w:val="en-GB"/>
        </w:rPr>
        <w:t>‘</w:t>
      </w:r>
      <w:r w:rsidR="000B3776" w:rsidRPr="008C64D9">
        <w:rPr>
          <w:sz w:val="20"/>
          <w:szCs w:val="20"/>
          <w:lang w:val="en-GB"/>
        </w:rPr>
        <w:t>Claim in terms of Section 26</w:t>
      </w:r>
      <w:r w:rsidR="00952CD4" w:rsidRPr="008C64D9">
        <w:rPr>
          <w:sz w:val="20"/>
          <w:szCs w:val="20"/>
          <w:lang w:val="en-GB"/>
        </w:rPr>
        <w:t>:</w:t>
      </w:r>
    </w:p>
    <w:p w14:paraId="6EA4CC99" w14:textId="334FA275" w:rsidR="00BF43DC" w:rsidRPr="008E436E" w:rsidRDefault="008E436E" w:rsidP="008E436E">
      <w:pPr>
        <w:tabs>
          <w:tab w:val="left" w:pos="851"/>
        </w:tabs>
        <w:spacing w:line="480" w:lineRule="auto"/>
        <w:ind w:left="1398" w:hanging="405"/>
        <w:jc w:val="both"/>
        <w:rPr>
          <w:sz w:val="20"/>
          <w:szCs w:val="20"/>
          <w:lang w:val="en-GB"/>
          <w:rPrChange w:id="1" w:author="Mary Bruce" w:date="2024-06-18T11:39:00Z">
            <w:rPr>
              <w:lang w:val="en-GB"/>
            </w:rPr>
          </w:rPrChange>
        </w:rPr>
        <w:pPrChange w:id="2" w:author="Mary Bruce" w:date="2024-06-18T11:39:00Z">
          <w:pPr>
            <w:pStyle w:val="ListParagraph"/>
            <w:numPr>
              <w:ilvl w:val="1"/>
              <w:numId w:val="22"/>
            </w:numPr>
            <w:tabs>
              <w:tab w:val="left" w:pos="851"/>
            </w:tabs>
            <w:spacing w:line="480" w:lineRule="auto"/>
            <w:ind w:left="1398" w:hanging="405"/>
            <w:jc w:val="both"/>
          </w:pPr>
        </w:pPrChange>
      </w:pPr>
      <w:r w:rsidRPr="008C64D9">
        <w:rPr>
          <w:sz w:val="20"/>
          <w:szCs w:val="20"/>
          <w:lang w:val="en-GB"/>
        </w:rPr>
        <w:t>1.1</w:t>
      </w:r>
      <w:r w:rsidRPr="008C64D9">
        <w:rPr>
          <w:sz w:val="20"/>
          <w:szCs w:val="20"/>
          <w:lang w:val="en-GB"/>
        </w:rPr>
        <w:tab/>
      </w:r>
      <w:r w:rsidR="00952CD4" w:rsidRPr="008E436E">
        <w:rPr>
          <w:sz w:val="20"/>
          <w:szCs w:val="20"/>
          <w:lang w:val="en-GB"/>
          <w:rPrChange w:id="3" w:author="Mary Bruce" w:date="2024-06-18T11:39:00Z">
            <w:rPr>
              <w:lang w:val="en-GB"/>
            </w:rPr>
          </w:rPrChange>
        </w:rPr>
        <w:t>That the dispositions made by Free Agape to the defendant during the period 24 February 2017 to 21 November 2017 in the amount of R154 500 be set aside in terms of S</w:t>
      </w:r>
      <w:r w:rsidR="00553728" w:rsidRPr="008E436E">
        <w:rPr>
          <w:sz w:val="20"/>
          <w:szCs w:val="20"/>
          <w:lang w:val="en-GB"/>
          <w:rPrChange w:id="4" w:author="Mary Bruce" w:date="2024-06-18T11:39:00Z">
            <w:rPr>
              <w:lang w:val="en-GB"/>
            </w:rPr>
          </w:rPrChange>
        </w:rPr>
        <w:t>2</w:t>
      </w:r>
      <w:r w:rsidR="00952CD4" w:rsidRPr="008E436E">
        <w:rPr>
          <w:sz w:val="20"/>
          <w:szCs w:val="20"/>
          <w:lang w:val="en-GB"/>
          <w:rPrChange w:id="5" w:author="Mary Bruce" w:date="2024-06-18T11:39:00Z">
            <w:rPr>
              <w:lang w:val="en-GB"/>
            </w:rPr>
          </w:rPrChange>
        </w:rPr>
        <w:t>6(1) of the Insolvency Act, 24 of 1936.</w:t>
      </w:r>
    </w:p>
    <w:p w14:paraId="5C8D662A" w14:textId="3F1060CD" w:rsidR="00BF43DC" w:rsidRPr="008E436E" w:rsidRDefault="008E436E" w:rsidP="008E436E">
      <w:pPr>
        <w:tabs>
          <w:tab w:val="left" w:pos="851"/>
        </w:tabs>
        <w:spacing w:line="480" w:lineRule="auto"/>
        <w:ind w:left="1398" w:hanging="405"/>
        <w:jc w:val="both"/>
        <w:rPr>
          <w:sz w:val="20"/>
          <w:szCs w:val="20"/>
          <w:lang w:val="en-GB"/>
          <w:rPrChange w:id="6" w:author="Mary Bruce" w:date="2024-06-18T11:39:00Z">
            <w:rPr>
              <w:lang w:val="en-GB"/>
            </w:rPr>
          </w:rPrChange>
        </w:rPr>
        <w:pPrChange w:id="7" w:author="Mary Bruce" w:date="2024-06-18T11:39:00Z">
          <w:pPr>
            <w:pStyle w:val="ListParagraph"/>
            <w:numPr>
              <w:ilvl w:val="1"/>
              <w:numId w:val="22"/>
            </w:numPr>
            <w:tabs>
              <w:tab w:val="left" w:pos="851"/>
            </w:tabs>
            <w:spacing w:line="480" w:lineRule="auto"/>
            <w:ind w:left="1398" w:hanging="405"/>
            <w:jc w:val="both"/>
          </w:pPr>
        </w:pPrChange>
      </w:pPr>
      <w:r w:rsidRPr="008C64D9">
        <w:rPr>
          <w:sz w:val="20"/>
          <w:szCs w:val="20"/>
          <w:lang w:val="en-GB"/>
        </w:rPr>
        <w:t>1.2</w:t>
      </w:r>
      <w:r w:rsidRPr="008C64D9">
        <w:rPr>
          <w:sz w:val="20"/>
          <w:szCs w:val="20"/>
          <w:lang w:val="en-GB"/>
        </w:rPr>
        <w:tab/>
      </w:r>
      <w:r w:rsidR="00952CD4" w:rsidRPr="008E436E">
        <w:rPr>
          <w:sz w:val="20"/>
          <w:szCs w:val="20"/>
          <w:lang w:val="en-GB"/>
          <w:rPrChange w:id="8" w:author="Mary Bruce" w:date="2024-06-18T11:39:00Z">
            <w:rPr>
              <w:lang w:val="en-GB"/>
            </w:rPr>
          </w:rPrChange>
        </w:rPr>
        <w:t>That the defendant be ordered to pay the sum of R154 500 to the plaintiffs, in their capacity as duly appointed liquidators of Free Agape.</w:t>
      </w:r>
    </w:p>
    <w:p w14:paraId="5E9BB05D" w14:textId="4537CED2" w:rsidR="00BF43DC" w:rsidRPr="008E436E" w:rsidRDefault="008E436E" w:rsidP="008E436E">
      <w:pPr>
        <w:tabs>
          <w:tab w:val="left" w:pos="851"/>
        </w:tabs>
        <w:spacing w:line="480" w:lineRule="auto"/>
        <w:ind w:left="1398" w:hanging="405"/>
        <w:jc w:val="both"/>
        <w:rPr>
          <w:sz w:val="20"/>
          <w:szCs w:val="20"/>
          <w:lang w:val="en-GB"/>
          <w:rPrChange w:id="9" w:author="Mary Bruce" w:date="2024-06-18T11:39:00Z">
            <w:rPr>
              <w:lang w:val="en-GB"/>
            </w:rPr>
          </w:rPrChange>
        </w:rPr>
        <w:pPrChange w:id="10" w:author="Mary Bruce" w:date="2024-06-18T11:39:00Z">
          <w:pPr>
            <w:pStyle w:val="ListParagraph"/>
            <w:numPr>
              <w:ilvl w:val="1"/>
              <w:numId w:val="22"/>
            </w:numPr>
            <w:tabs>
              <w:tab w:val="left" w:pos="851"/>
            </w:tabs>
            <w:spacing w:line="480" w:lineRule="auto"/>
            <w:ind w:left="1398" w:hanging="405"/>
            <w:jc w:val="both"/>
          </w:pPr>
        </w:pPrChange>
      </w:pPr>
      <w:r w:rsidRPr="008C64D9">
        <w:rPr>
          <w:sz w:val="20"/>
          <w:szCs w:val="20"/>
          <w:lang w:val="en-GB"/>
        </w:rPr>
        <w:t>1.3</w:t>
      </w:r>
      <w:r w:rsidRPr="008C64D9">
        <w:rPr>
          <w:sz w:val="20"/>
          <w:szCs w:val="20"/>
          <w:lang w:val="en-GB"/>
        </w:rPr>
        <w:tab/>
      </w:r>
      <w:r w:rsidR="00952CD4" w:rsidRPr="008E436E">
        <w:rPr>
          <w:sz w:val="20"/>
          <w:szCs w:val="20"/>
          <w:lang w:val="en-GB"/>
          <w:rPrChange w:id="11" w:author="Mary Bruce" w:date="2024-06-18T11:39:00Z">
            <w:rPr>
              <w:lang w:val="en-GB"/>
            </w:rPr>
          </w:rPrChange>
        </w:rPr>
        <w:t>Interest on the aforesaid amount at the mora rate from date of judgment to date of final payment.</w:t>
      </w:r>
    </w:p>
    <w:p w14:paraId="1CE46F90" w14:textId="78E3E6A9" w:rsidR="00BF43DC" w:rsidRPr="008E436E" w:rsidRDefault="008E436E" w:rsidP="008E436E">
      <w:pPr>
        <w:tabs>
          <w:tab w:val="left" w:pos="851"/>
        </w:tabs>
        <w:spacing w:line="480" w:lineRule="auto"/>
        <w:ind w:left="1398" w:hanging="405"/>
        <w:jc w:val="both"/>
        <w:rPr>
          <w:sz w:val="20"/>
          <w:szCs w:val="20"/>
          <w:lang w:val="en-GB"/>
          <w:rPrChange w:id="12" w:author="Mary Bruce" w:date="2024-06-18T11:39:00Z">
            <w:rPr>
              <w:lang w:val="en-GB"/>
            </w:rPr>
          </w:rPrChange>
        </w:rPr>
        <w:pPrChange w:id="13" w:author="Mary Bruce" w:date="2024-06-18T11:39:00Z">
          <w:pPr>
            <w:pStyle w:val="ListParagraph"/>
            <w:numPr>
              <w:ilvl w:val="1"/>
              <w:numId w:val="22"/>
            </w:numPr>
            <w:tabs>
              <w:tab w:val="left" w:pos="851"/>
            </w:tabs>
            <w:spacing w:line="480" w:lineRule="auto"/>
            <w:ind w:left="1398" w:hanging="405"/>
            <w:jc w:val="both"/>
          </w:pPr>
        </w:pPrChange>
      </w:pPr>
      <w:r w:rsidRPr="008C64D9">
        <w:rPr>
          <w:sz w:val="20"/>
          <w:szCs w:val="20"/>
          <w:lang w:val="en-GB"/>
        </w:rPr>
        <w:t>1.4</w:t>
      </w:r>
      <w:r w:rsidRPr="008C64D9">
        <w:rPr>
          <w:sz w:val="20"/>
          <w:szCs w:val="20"/>
          <w:lang w:val="en-GB"/>
        </w:rPr>
        <w:tab/>
      </w:r>
      <w:r w:rsidR="00952CD4" w:rsidRPr="008E436E">
        <w:rPr>
          <w:sz w:val="20"/>
          <w:szCs w:val="20"/>
          <w:lang w:val="en-GB"/>
          <w:rPrChange w:id="14" w:author="Mary Bruce" w:date="2024-06-18T11:39:00Z">
            <w:rPr>
              <w:lang w:val="en-GB"/>
            </w:rPr>
          </w:rPrChange>
        </w:rPr>
        <w:t>Costs of suit.</w:t>
      </w:r>
    </w:p>
    <w:p w14:paraId="5690F43C" w14:textId="312BDA24" w:rsidR="00952CD4" w:rsidRPr="008E436E" w:rsidRDefault="008E436E" w:rsidP="008E436E">
      <w:pPr>
        <w:tabs>
          <w:tab w:val="left" w:pos="851"/>
        </w:tabs>
        <w:spacing w:line="480" w:lineRule="auto"/>
        <w:ind w:left="1398" w:hanging="405"/>
        <w:jc w:val="both"/>
        <w:rPr>
          <w:sz w:val="20"/>
          <w:szCs w:val="20"/>
          <w:lang w:val="en-GB"/>
          <w:rPrChange w:id="15" w:author="Mary Bruce" w:date="2024-06-18T11:39:00Z">
            <w:rPr>
              <w:lang w:val="en-GB"/>
            </w:rPr>
          </w:rPrChange>
        </w:rPr>
        <w:pPrChange w:id="16" w:author="Mary Bruce" w:date="2024-06-18T11:39:00Z">
          <w:pPr>
            <w:pStyle w:val="ListParagraph"/>
            <w:numPr>
              <w:ilvl w:val="1"/>
              <w:numId w:val="22"/>
            </w:numPr>
            <w:tabs>
              <w:tab w:val="left" w:pos="851"/>
            </w:tabs>
            <w:spacing w:line="480" w:lineRule="auto"/>
            <w:ind w:left="1398" w:hanging="405"/>
            <w:jc w:val="both"/>
          </w:pPr>
        </w:pPrChange>
      </w:pPr>
      <w:r w:rsidRPr="008C64D9">
        <w:rPr>
          <w:sz w:val="20"/>
          <w:szCs w:val="20"/>
          <w:lang w:val="en-GB"/>
        </w:rPr>
        <w:t>1.5</w:t>
      </w:r>
      <w:r w:rsidRPr="008C64D9">
        <w:rPr>
          <w:sz w:val="20"/>
          <w:szCs w:val="20"/>
          <w:lang w:val="en-GB"/>
        </w:rPr>
        <w:tab/>
      </w:r>
      <w:r w:rsidR="00952CD4" w:rsidRPr="008E436E">
        <w:rPr>
          <w:sz w:val="20"/>
          <w:szCs w:val="20"/>
          <w:lang w:val="en-GB"/>
          <w:rPrChange w:id="17" w:author="Mary Bruce" w:date="2024-06-18T11:39:00Z">
            <w:rPr>
              <w:lang w:val="en-GB"/>
            </w:rPr>
          </w:rPrChange>
        </w:rPr>
        <w:t>Further and/or alternative relief.</w:t>
      </w:r>
    </w:p>
    <w:p w14:paraId="46F0D062" w14:textId="7B768F2A" w:rsidR="00952CD4" w:rsidRPr="008C64D9" w:rsidRDefault="00BF43DC" w:rsidP="008C64D9">
      <w:pPr>
        <w:tabs>
          <w:tab w:val="left" w:pos="851"/>
        </w:tabs>
        <w:spacing w:line="480" w:lineRule="auto"/>
        <w:jc w:val="both"/>
        <w:rPr>
          <w:sz w:val="20"/>
          <w:szCs w:val="20"/>
          <w:u w:val="single"/>
          <w:lang w:val="en-GB"/>
        </w:rPr>
      </w:pPr>
      <w:r w:rsidRPr="008C64D9">
        <w:rPr>
          <w:sz w:val="20"/>
          <w:szCs w:val="20"/>
          <w:lang w:val="en-GB"/>
        </w:rPr>
        <w:tab/>
      </w:r>
      <w:r w:rsidR="00952CD4" w:rsidRPr="008C64D9">
        <w:rPr>
          <w:sz w:val="20"/>
          <w:szCs w:val="20"/>
          <w:u w:val="single"/>
          <w:lang w:val="en-GB"/>
        </w:rPr>
        <w:t>Alternative claim</w:t>
      </w:r>
      <w:r w:rsidR="00D97489" w:rsidRPr="008C64D9">
        <w:rPr>
          <w:sz w:val="20"/>
          <w:szCs w:val="20"/>
          <w:u w:val="single"/>
          <w:lang w:val="en-GB"/>
        </w:rPr>
        <w:t>:</w:t>
      </w:r>
    </w:p>
    <w:p w14:paraId="2ED767A2" w14:textId="300383A9" w:rsidR="00952CD4" w:rsidRPr="008C64D9" w:rsidRDefault="00BF43DC" w:rsidP="008C64D9">
      <w:pPr>
        <w:tabs>
          <w:tab w:val="left" w:pos="851"/>
        </w:tabs>
        <w:spacing w:line="480" w:lineRule="auto"/>
        <w:ind w:left="1440" w:hanging="1440"/>
        <w:jc w:val="both"/>
        <w:rPr>
          <w:sz w:val="20"/>
          <w:szCs w:val="20"/>
          <w:lang w:val="en-GB"/>
        </w:rPr>
      </w:pPr>
      <w:r w:rsidRPr="00896F5D">
        <w:rPr>
          <w:sz w:val="20"/>
          <w:szCs w:val="20"/>
          <w:lang w:val="en-GB"/>
        </w:rPr>
        <w:tab/>
        <w:t>1.1</w:t>
      </w:r>
      <w:r w:rsidRPr="00896F5D">
        <w:rPr>
          <w:sz w:val="20"/>
          <w:szCs w:val="20"/>
          <w:lang w:val="en-GB"/>
        </w:rPr>
        <w:tab/>
      </w:r>
      <w:r w:rsidR="00952CD4" w:rsidRPr="008C64D9">
        <w:rPr>
          <w:sz w:val="20"/>
          <w:szCs w:val="20"/>
          <w:lang w:val="en-GB"/>
        </w:rPr>
        <w:t>That the dispositions made by Free Agape to the defendant during the period 28 September 2017 to 21 November 2017 in the amount of R478 250.00 be set aside in terms of s</w:t>
      </w:r>
      <w:r w:rsidR="00D97489" w:rsidRPr="008C64D9">
        <w:rPr>
          <w:sz w:val="20"/>
          <w:szCs w:val="20"/>
          <w:lang w:val="en-GB"/>
        </w:rPr>
        <w:t>ection</w:t>
      </w:r>
      <w:r w:rsidR="00952CD4" w:rsidRPr="008C64D9">
        <w:rPr>
          <w:sz w:val="20"/>
          <w:szCs w:val="20"/>
          <w:lang w:val="en-GB"/>
        </w:rPr>
        <w:t xml:space="preserve"> 29 of the Insolvency Act.</w:t>
      </w:r>
    </w:p>
    <w:p w14:paraId="520DA9FC" w14:textId="11DEB70D" w:rsidR="00952CD4" w:rsidRPr="008C64D9" w:rsidRDefault="00BF43DC" w:rsidP="008C64D9">
      <w:pPr>
        <w:tabs>
          <w:tab w:val="left" w:pos="851"/>
        </w:tabs>
        <w:spacing w:line="480" w:lineRule="auto"/>
        <w:ind w:left="1440" w:hanging="1440"/>
        <w:jc w:val="both"/>
        <w:rPr>
          <w:sz w:val="20"/>
          <w:szCs w:val="20"/>
          <w:lang w:val="en-GB"/>
        </w:rPr>
      </w:pPr>
      <w:r w:rsidRPr="00896F5D">
        <w:rPr>
          <w:sz w:val="20"/>
          <w:szCs w:val="20"/>
          <w:lang w:val="en-GB"/>
        </w:rPr>
        <w:tab/>
      </w:r>
      <w:r w:rsidR="00952CD4" w:rsidRPr="008C64D9">
        <w:rPr>
          <w:sz w:val="20"/>
          <w:szCs w:val="20"/>
          <w:lang w:val="en-GB"/>
        </w:rPr>
        <w:t>1.2</w:t>
      </w:r>
      <w:r w:rsidRPr="00896F5D">
        <w:rPr>
          <w:sz w:val="20"/>
          <w:szCs w:val="20"/>
          <w:lang w:val="en-GB"/>
        </w:rPr>
        <w:tab/>
      </w:r>
      <w:r w:rsidR="00952CD4" w:rsidRPr="008C64D9">
        <w:rPr>
          <w:sz w:val="20"/>
          <w:szCs w:val="20"/>
          <w:lang w:val="en-GB"/>
        </w:rPr>
        <w:t>That the defendant be ordered to pay the sum of R478 250.00 to the plaintiffs, in their capacity as the duly appointed liquidators of Free Agape.</w:t>
      </w:r>
    </w:p>
    <w:p w14:paraId="4F9DAF0E" w14:textId="28211A3B" w:rsidR="00952CD4" w:rsidRPr="008C64D9" w:rsidRDefault="00BF43DC" w:rsidP="008C64D9">
      <w:pPr>
        <w:tabs>
          <w:tab w:val="left" w:pos="851"/>
        </w:tabs>
        <w:spacing w:line="480" w:lineRule="auto"/>
        <w:ind w:left="1440" w:hanging="1440"/>
        <w:jc w:val="both"/>
        <w:rPr>
          <w:sz w:val="20"/>
          <w:szCs w:val="20"/>
          <w:lang w:val="en-GB"/>
        </w:rPr>
      </w:pPr>
      <w:r w:rsidRPr="00896F5D">
        <w:rPr>
          <w:sz w:val="20"/>
          <w:szCs w:val="20"/>
          <w:lang w:val="en-GB"/>
        </w:rPr>
        <w:tab/>
        <w:t>1.3</w:t>
      </w:r>
      <w:r w:rsidRPr="00896F5D">
        <w:rPr>
          <w:sz w:val="20"/>
          <w:szCs w:val="20"/>
          <w:lang w:val="en-GB"/>
        </w:rPr>
        <w:tab/>
      </w:r>
      <w:r w:rsidR="00952CD4" w:rsidRPr="008C64D9">
        <w:rPr>
          <w:sz w:val="20"/>
          <w:szCs w:val="20"/>
          <w:lang w:val="en-GB"/>
        </w:rPr>
        <w:t>Interest on the aforesaid amount at the mora rate from time of judgment to the dat</w:t>
      </w:r>
      <w:r w:rsidR="00D97489" w:rsidRPr="008C64D9">
        <w:rPr>
          <w:sz w:val="20"/>
          <w:szCs w:val="20"/>
          <w:lang w:val="en-GB"/>
        </w:rPr>
        <w:t>e</w:t>
      </w:r>
      <w:r w:rsidR="00952CD4" w:rsidRPr="008C64D9">
        <w:rPr>
          <w:sz w:val="20"/>
          <w:szCs w:val="20"/>
          <w:lang w:val="en-GB"/>
        </w:rPr>
        <w:t xml:space="preserve"> of final payment</w:t>
      </w:r>
    </w:p>
    <w:p w14:paraId="5B5F83EB" w14:textId="41106D81" w:rsidR="00952CD4" w:rsidRPr="008C64D9" w:rsidRDefault="00BF43DC" w:rsidP="008C64D9">
      <w:pPr>
        <w:tabs>
          <w:tab w:val="left" w:pos="851"/>
        </w:tabs>
        <w:spacing w:line="480" w:lineRule="auto"/>
        <w:jc w:val="both"/>
        <w:rPr>
          <w:sz w:val="20"/>
          <w:szCs w:val="20"/>
          <w:lang w:val="en-GB"/>
        </w:rPr>
      </w:pPr>
      <w:r w:rsidRPr="00896F5D">
        <w:rPr>
          <w:sz w:val="20"/>
          <w:szCs w:val="20"/>
          <w:lang w:val="en-GB"/>
        </w:rPr>
        <w:tab/>
      </w:r>
      <w:r w:rsidR="00952CD4" w:rsidRPr="008C64D9">
        <w:rPr>
          <w:sz w:val="20"/>
          <w:szCs w:val="20"/>
          <w:lang w:val="en-GB"/>
        </w:rPr>
        <w:t xml:space="preserve">1.4 </w:t>
      </w:r>
      <w:r w:rsidRPr="00896F5D">
        <w:rPr>
          <w:sz w:val="20"/>
          <w:szCs w:val="20"/>
          <w:lang w:val="en-GB"/>
        </w:rPr>
        <w:tab/>
      </w:r>
      <w:r w:rsidR="00952CD4" w:rsidRPr="008C64D9">
        <w:rPr>
          <w:sz w:val="20"/>
          <w:szCs w:val="20"/>
          <w:lang w:val="en-GB"/>
        </w:rPr>
        <w:t>Costs of suit.</w:t>
      </w:r>
    </w:p>
    <w:p w14:paraId="48E5677E" w14:textId="7EEF2E90" w:rsidR="00952CD4" w:rsidRPr="008C64D9" w:rsidRDefault="00BF43DC" w:rsidP="008C64D9">
      <w:pPr>
        <w:tabs>
          <w:tab w:val="left" w:pos="851"/>
        </w:tabs>
        <w:spacing w:line="480" w:lineRule="auto"/>
        <w:jc w:val="both"/>
        <w:rPr>
          <w:sz w:val="20"/>
          <w:szCs w:val="20"/>
          <w:lang w:val="en-GB"/>
        </w:rPr>
      </w:pPr>
      <w:r w:rsidRPr="00896F5D">
        <w:rPr>
          <w:sz w:val="20"/>
          <w:szCs w:val="20"/>
          <w:lang w:val="en-GB"/>
        </w:rPr>
        <w:tab/>
      </w:r>
      <w:r w:rsidR="00952CD4" w:rsidRPr="008C64D9">
        <w:rPr>
          <w:sz w:val="20"/>
          <w:szCs w:val="20"/>
          <w:lang w:val="en-GB"/>
        </w:rPr>
        <w:t xml:space="preserve">1.5 </w:t>
      </w:r>
      <w:r w:rsidRPr="00896F5D">
        <w:rPr>
          <w:sz w:val="20"/>
          <w:szCs w:val="20"/>
          <w:lang w:val="en-GB"/>
        </w:rPr>
        <w:tab/>
      </w:r>
      <w:r w:rsidR="00952CD4" w:rsidRPr="008C64D9">
        <w:rPr>
          <w:sz w:val="20"/>
          <w:szCs w:val="20"/>
          <w:lang w:val="en-GB"/>
        </w:rPr>
        <w:t>Further and/or alternative relief</w:t>
      </w:r>
      <w:r w:rsidR="00B2559E" w:rsidRPr="008C64D9">
        <w:rPr>
          <w:sz w:val="20"/>
          <w:szCs w:val="20"/>
          <w:lang w:val="en-GB"/>
        </w:rPr>
        <w:t>’</w:t>
      </w:r>
      <w:r w:rsidR="00952CD4" w:rsidRPr="008C64D9">
        <w:rPr>
          <w:sz w:val="20"/>
          <w:szCs w:val="20"/>
          <w:lang w:val="en-GB"/>
        </w:rPr>
        <w:t>.</w:t>
      </w:r>
    </w:p>
    <w:p w14:paraId="621665EC" w14:textId="77777777" w:rsidR="007F6D4F" w:rsidRPr="00896F5D" w:rsidRDefault="007F6D4F" w:rsidP="00896F5D">
      <w:pPr>
        <w:pStyle w:val="ListParagraph"/>
        <w:spacing w:line="480" w:lineRule="auto"/>
        <w:jc w:val="both"/>
        <w:rPr>
          <w:lang w:val="en-GB"/>
        </w:rPr>
      </w:pPr>
    </w:p>
    <w:p w14:paraId="5C5C4073" w14:textId="01D2CD17" w:rsidR="005F6DAB" w:rsidRPr="00896F5D" w:rsidRDefault="00055DAC" w:rsidP="00896F5D">
      <w:pPr>
        <w:pStyle w:val="ListParagraph"/>
        <w:tabs>
          <w:tab w:val="left" w:pos="851"/>
        </w:tabs>
        <w:spacing w:line="480" w:lineRule="auto"/>
        <w:ind w:left="0"/>
        <w:jc w:val="both"/>
        <w:rPr>
          <w:lang w:val="en-GB"/>
        </w:rPr>
      </w:pPr>
      <w:r w:rsidRPr="00896F5D">
        <w:rPr>
          <w:lang w:val="en-GB"/>
        </w:rPr>
        <w:lastRenderedPageBreak/>
        <w:t>[8]</w:t>
      </w:r>
      <w:r w:rsidRPr="00896F5D">
        <w:rPr>
          <w:lang w:val="en-GB"/>
        </w:rPr>
        <w:tab/>
      </w:r>
      <w:r w:rsidR="001D7C95" w:rsidRPr="00896F5D">
        <w:rPr>
          <w:lang w:val="en-GB"/>
        </w:rPr>
        <w:t xml:space="preserve">On 05 August 2022, the notice of set down for the default judgment was served </w:t>
      </w:r>
      <w:r w:rsidR="009565EC" w:rsidRPr="00896F5D">
        <w:rPr>
          <w:lang w:val="en-GB"/>
        </w:rPr>
        <w:t>electronically to</w:t>
      </w:r>
      <w:r w:rsidR="00FF1D52" w:rsidRPr="00896F5D">
        <w:rPr>
          <w:lang w:val="en-GB"/>
        </w:rPr>
        <w:t xml:space="preserve"> the defendant’s e-mail address at</w:t>
      </w:r>
      <w:r w:rsidR="00D97489" w:rsidRPr="00896F5D">
        <w:rPr>
          <w:lang w:val="en-GB"/>
        </w:rPr>
        <w:t xml:space="preserve"> </w:t>
      </w:r>
      <w:hyperlink r:id="rId13" w:history="1">
        <w:r w:rsidR="00134868" w:rsidRPr="00896F5D">
          <w:rPr>
            <w:rStyle w:val="Hyperlink"/>
            <w:lang w:val="en-GB"/>
          </w:rPr>
          <w:t>jeane_w@yahoo.com</w:t>
        </w:r>
      </w:hyperlink>
      <w:r w:rsidR="00134868" w:rsidRPr="00896F5D">
        <w:rPr>
          <w:lang w:val="en-GB"/>
        </w:rPr>
        <w:t xml:space="preserve">. </w:t>
      </w:r>
      <w:r w:rsidR="00FF1D52" w:rsidRPr="00896F5D">
        <w:rPr>
          <w:lang w:val="en-GB"/>
        </w:rPr>
        <w:t xml:space="preserve">The defendant admitted to </w:t>
      </w:r>
      <w:r w:rsidR="00896F5D" w:rsidRPr="00896F5D">
        <w:rPr>
          <w:lang w:val="en-GB"/>
        </w:rPr>
        <w:t xml:space="preserve">having </w:t>
      </w:r>
      <w:r w:rsidR="00FF1D52" w:rsidRPr="00896F5D">
        <w:rPr>
          <w:lang w:val="en-GB"/>
        </w:rPr>
        <w:t>received the notice of set down. On the date of the hearing, t</w:t>
      </w:r>
      <w:r w:rsidR="00275CC3" w:rsidRPr="00896F5D">
        <w:rPr>
          <w:lang w:val="en-GB"/>
        </w:rPr>
        <w:t xml:space="preserve">he judgment was </w:t>
      </w:r>
      <w:r w:rsidR="005F6DAB" w:rsidRPr="00896F5D">
        <w:rPr>
          <w:lang w:val="en-GB"/>
        </w:rPr>
        <w:t xml:space="preserve">granted </w:t>
      </w:r>
      <w:r w:rsidR="009565EC" w:rsidRPr="00896F5D">
        <w:rPr>
          <w:lang w:val="en-GB"/>
        </w:rPr>
        <w:t>in favour of the</w:t>
      </w:r>
      <w:r w:rsidR="005F6DAB" w:rsidRPr="00896F5D">
        <w:rPr>
          <w:lang w:val="en-GB"/>
        </w:rPr>
        <w:t xml:space="preserve"> alternative</w:t>
      </w:r>
      <w:r w:rsidR="006C3BFE" w:rsidRPr="00896F5D">
        <w:rPr>
          <w:lang w:val="en-GB"/>
        </w:rPr>
        <w:t xml:space="preserve"> claim. The order sought to be rescinded reads </w:t>
      </w:r>
      <w:r w:rsidR="005F6DAB" w:rsidRPr="00896F5D">
        <w:rPr>
          <w:lang w:val="en-GB"/>
        </w:rPr>
        <w:t>as follows:</w:t>
      </w:r>
    </w:p>
    <w:p w14:paraId="7DBF72E5" w14:textId="572DB105" w:rsidR="005F6DAB" w:rsidRPr="008C64D9" w:rsidRDefault="00A01D7B" w:rsidP="008C64D9">
      <w:pPr>
        <w:tabs>
          <w:tab w:val="left" w:pos="851"/>
        </w:tabs>
        <w:spacing w:line="480" w:lineRule="auto"/>
        <w:ind w:left="1439" w:hanging="588"/>
        <w:jc w:val="both"/>
        <w:rPr>
          <w:sz w:val="20"/>
          <w:szCs w:val="20"/>
          <w:lang w:val="en-GB"/>
        </w:rPr>
      </w:pPr>
      <w:r w:rsidRPr="008C64D9">
        <w:rPr>
          <w:sz w:val="20"/>
          <w:szCs w:val="20"/>
          <w:lang w:val="en-GB"/>
        </w:rPr>
        <w:t>‘</w:t>
      </w:r>
      <w:r w:rsidR="005F6DAB" w:rsidRPr="008C64D9">
        <w:rPr>
          <w:sz w:val="20"/>
          <w:szCs w:val="20"/>
          <w:lang w:val="en-GB"/>
        </w:rPr>
        <w:t>1</w:t>
      </w:r>
      <w:r w:rsidR="00BF43DC" w:rsidRPr="00896F5D">
        <w:rPr>
          <w:sz w:val="20"/>
          <w:szCs w:val="20"/>
          <w:lang w:val="en-GB"/>
        </w:rPr>
        <w:t>.</w:t>
      </w:r>
      <w:r w:rsidR="00BF43DC" w:rsidRPr="00896F5D">
        <w:rPr>
          <w:sz w:val="20"/>
          <w:szCs w:val="20"/>
          <w:lang w:val="en-GB"/>
        </w:rPr>
        <w:tab/>
      </w:r>
      <w:r w:rsidR="005F6DAB" w:rsidRPr="008C64D9">
        <w:rPr>
          <w:sz w:val="20"/>
          <w:szCs w:val="20"/>
          <w:lang w:val="en-GB"/>
        </w:rPr>
        <w:t>The dispositions made by Free Agape to the defendant during the period 28</w:t>
      </w:r>
      <w:r w:rsidR="005F6DAB" w:rsidRPr="008C64D9">
        <w:rPr>
          <w:sz w:val="20"/>
          <w:szCs w:val="20"/>
          <w:vertAlign w:val="superscript"/>
          <w:lang w:val="en-GB"/>
        </w:rPr>
        <w:t>th</w:t>
      </w:r>
      <w:r w:rsidR="005F6DAB" w:rsidRPr="008C64D9">
        <w:rPr>
          <w:sz w:val="20"/>
          <w:szCs w:val="20"/>
          <w:lang w:val="en-GB"/>
        </w:rPr>
        <w:t xml:space="preserve"> September 2017 to November 2017 in the amount of R478 250.00 be </w:t>
      </w:r>
      <w:r w:rsidR="006B1B4C" w:rsidRPr="008C64D9">
        <w:rPr>
          <w:sz w:val="20"/>
          <w:szCs w:val="20"/>
          <w:lang w:val="en-GB"/>
        </w:rPr>
        <w:t xml:space="preserve">and is </w:t>
      </w:r>
      <w:r w:rsidR="005F6DAB" w:rsidRPr="008C64D9">
        <w:rPr>
          <w:sz w:val="20"/>
          <w:szCs w:val="20"/>
          <w:lang w:val="en-GB"/>
        </w:rPr>
        <w:t>set asi</w:t>
      </w:r>
      <w:r w:rsidR="006B1B4C" w:rsidRPr="008C64D9">
        <w:rPr>
          <w:sz w:val="20"/>
          <w:szCs w:val="20"/>
          <w:lang w:val="en-GB"/>
        </w:rPr>
        <w:t>d</w:t>
      </w:r>
      <w:r w:rsidR="005F6DAB" w:rsidRPr="008C64D9">
        <w:rPr>
          <w:sz w:val="20"/>
          <w:szCs w:val="20"/>
          <w:lang w:val="en-GB"/>
        </w:rPr>
        <w:t>e in terms of section 29 of the Insolvency Act.</w:t>
      </w:r>
    </w:p>
    <w:p w14:paraId="1A78C5B9" w14:textId="0EECEDED" w:rsidR="005F6DAB" w:rsidRPr="008C64D9" w:rsidRDefault="005F6DAB" w:rsidP="008C64D9">
      <w:pPr>
        <w:tabs>
          <w:tab w:val="left" w:pos="851"/>
        </w:tabs>
        <w:spacing w:line="480" w:lineRule="auto"/>
        <w:ind w:left="1439" w:hanging="588"/>
        <w:jc w:val="both"/>
        <w:rPr>
          <w:sz w:val="20"/>
          <w:szCs w:val="20"/>
          <w:lang w:val="en-GB"/>
        </w:rPr>
      </w:pPr>
      <w:r w:rsidRPr="008C64D9">
        <w:rPr>
          <w:sz w:val="20"/>
          <w:szCs w:val="20"/>
          <w:lang w:val="en-GB"/>
        </w:rPr>
        <w:t>2.</w:t>
      </w:r>
      <w:r w:rsidR="00BF43DC" w:rsidRPr="00896F5D">
        <w:rPr>
          <w:sz w:val="20"/>
          <w:szCs w:val="20"/>
          <w:lang w:val="en-GB"/>
        </w:rPr>
        <w:tab/>
      </w:r>
      <w:r w:rsidRPr="008C64D9">
        <w:rPr>
          <w:sz w:val="20"/>
          <w:szCs w:val="20"/>
          <w:lang w:val="en-GB"/>
        </w:rPr>
        <w:t xml:space="preserve">The Defendant to pay </w:t>
      </w:r>
      <w:r w:rsidR="00A01D7B" w:rsidRPr="008C64D9">
        <w:rPr>
          <w:sz w:val="20"/>
          <w:szCs w:val="20"/>
          <w:lang w:val="en-GB"/>
        </w:rPr>
        <w:t>a</w:t>
      </w:r>
      <w:r w:rsidR="00D97489" w:rsidRPr="008C64D9">
        <w:rPr>
          <w:sz w:val="20"/>
          <w:szCs w:val="20"/>
          <w:lang w:val="en-GB"/>
        </w:rPr>
        <w:t xml:space="preserve"> </w:t>
      </w:r>
      <w:r w:rsidRPr="008C64D9">
        <w:rPr>
          <w:sz w:val="20"/>
          <w:szCs w:val="20"/>
          <w:lang w:val="en-GB"/>
        </w:rPr>
        <w:t xml:space="preserve">sum of R478 250.00 to the </w:t>
      </w:r>
      <w:r w:rsidR="00A01D7B" w:rsidRPr="008C64D9">
        <w:rPr>
          <w:sz w:val="20"/>
          <w:szCs w:val="20"/>
          <w:lang w:val="en-GB"/>
        </w:rPr>
        <w:t>P</w:t>
      </w:r>
      <w:r w:rsidRPr="008C64D9">
        <w:rPr>
          <w:sz w:val="20"/>
          <w:szCs w:val="20"/>
          <w:lang w:val="en-GB"/>
        </w:rPr>
        <w:t>laintiffs, in their capacity</w:t>
      </w:r>
      <w:r w:rsidR="006B1B4C" w:rsidRPr="008C64D9">
        <w:rPr>
          <w:sz w:val="20"/>
          <w:szCs w:val="20"/>
          <w:lang w:val="en-GB"/>
        </w:rPr>
        <w:t xml:space="preserve"> as the duly appointed liquidators of Free Agape.</w:t>
      </w:r>
    </w:p>
    <w:p w14:paraId="71BACF73" w14:textId="7163608C" w:rsidR="006B1B4C" w:rsidRPr="008C64D9" w:rsidRDefault="00BF43DC" w:rsidP="008C64D9">
      <w:pPr>
        <w:tabs>
          <w:tab w:val="left" w:pos="851"/>
        </w:tabs>
        <w:spacing w:line="480" w:lineRule="auto"/>
        <w:ind w:left="1439" w:hanging="1439"/>
        <w:jc w:val="both"/>
        <w:rPr>
          <w:sz w:val="20"/>
          <w:szCs w:val="20"/>
          <w:lang w:val="en-GB"/>
        </w:rPr>
      </w:pPr>
      <w:r w:rsidRPr="00896F5D">
        <w:rPr>
          <w:sz w:val="20"/>
          <w:szCs w:val="20"/>
          <w:lang w:val="en-GB"/>
        </w:rPr>
        <w:tab/>
      </w:r>
      <w:r w:rsidR="006B1B4C" w:rsidRPr="008C64D9">
        <w:rPr>
          <w:sz w:val="20"/>
          <w:szCs w:val="20"/>
          <w:lang w:val="en-GB"/>
        </w:rPr>
        <w:t xml:space="preserve">3. </w:t>
      </w:r>
      <w:r w:rsidRPr="00896F5D">
        <w:rPr>
          <w:sz w:val="20"/>
          <w:szCs w:val="20"/>
          <w:lang w:val="en-GB"/>
        </w:rPr>
        <w:tab/>
      </w:r>
      <w:r w:rsidR="006B1B4C" w:rsidRPr="008C64D9">
        <w:rPr>
          <w:sz w:val="20"/>
          <w:szCs w:val="20"/>
          <w:lang w:val="en-GB"/>
        </w:rPr>
        <w:t xml:space="preserve">Interest in </w:t>
      </w:r>
      <w:r w:rsidRPr="00896F5D">
        <w:rPr>
          <w:sz w:val="20"/>
          <w:szCs w:val="20"/>
          <w:lang w:val="en-GB"/>
        </w:rPr>
        <w:t>the amount</w:t>
      </w:r>
      <w:r w:rsidR="006B1B4C" w:rsidRPr="008C64D9">
        <w:rPr>
          <w:sz w:val="20"/>
          <w:szCs w:val="20"/>
          <w:lang w:val="en-GB"/>
        </w:rPr>
        <w:t xml:space="preserve"> at the </w:t>
      </w:r>
      <w:r w:rsidR="006B1B4C" w:rsidRPr="008C64D9">
        <w:rPr>
          <w:i/>
          <w:sz w:val="20"/>
          <w:szCs w:val="20"/>
          <w:lang w:val="en-GB"/>
        </w:rPr>
        <w:t xml:space="preserve">mora </w:t>
      </w:r>
      <w:r w:rsidR="006B1B4C" w:rsidRPr="008C64D9">
        <w:rPr>
          <w:sz w:val="20"/>
          <w:szCs w:val="20"/>
          <w:lang w:val="en-GB"/>
        </w:rPr>
        <w:t>rate from the date of judgment to date of final payment.</w:t>
      </w:r>
    </w:p>
    <w:p w14:paraId="410DB78A" w14:textId="219536B4" w:rsidR="006B1B4C" w:rsidRPr="008C64D9" w:rsidRDefault="00BF43DC" w:rsidP="008C64D9">
      <w:pPr>
        <w:tabs>
          <w:tab w:val="left" w:pos="851"/>
        </w:tabs>
        <w:spacing w:line="480" w:lineRule="auto"/>
        <w:jc w:val="both"/>
        <w:rPr>
          <w:sz w:val="20"/>
          <w:szCs w:val="20"/>
          <w:lang w:val="en-GB"/>
        </w:rPr>
      </w:pPr>
      <w:r w:rsidRPr="00896F5D">
        <w:rPr>
          <w:sz w:val="20"/>
          <w:szCs w:val="20"/>
          <w:lang w:val="en-GB"/>
        </w:rPr>
        <w:tab/>
      </w:r>
      <w:r w:rsidR="006B1B4C" w:rsidRPr="008C64D9">
        <w:rPr>
          <w:sz w:val="20"/>
          <w:szCs w:val="20"/>
          <w:lang w:val="en-GB"/>
        </w:rPr>
        <w:t xml:space="preserve">4. </w:t>
      </w:r>
      <w:r w:rsidRPr="00896F5D">
        <w:rPr>
          <w:sz w:val="20"/>
          <w:szCs w:val="20"/>
          <w:lang w:val="en-GB"/>
        </w:rPr>
        <w:tab/>
      </w:r>
      <w:r w:rsidR="006B1B4C" w:rsidRPr="008C64D9">
        <w:rPr>
          <w:sz w:val="20"/>
          <w:szCs w:val="20"/>
          <w:lang w:val="en-GB"/>
        </w:rPr>
        <w:t>Costs of suit</w:t>
      </w:r>
      <w:r w:rsidR="00A01D7B" w:rsidRPr="008C64D9">
        <w:rPr>
          <w:sz w:val="20"/>
          <w:szCs w:val="20"/>
          <w:lang w:val="en-GB"/>
        </w:rPr>
        <w:t>’</w:t>
      </w:r>
      <w:r w:rsidR="006B1B4C" w:rsidRPr="008C64D9">
        <w:rPr>
          <w:sz w:val="20"/>
          <w:szCs w:val="20"/>
          <w:lang w:val="en-GB"/>
        </w:rPr>
        <w:t>.</w:t>
      </w:r>
    </w:p>
    <w:p w14:paraId="4C629A1F" w14:textId="76DC03A1" w:rsidR="005F6DAB" w:rsidRPr="00896F5D" w:rsidRDefault="006B1B4C" w:rsidP="00896F5D">
      <w:pPr>
        <w:pStyle w:val="ListParagraph"/>
        <w:tabs>
          <w:tab w:val="left" w:pos="1889"/>
        </w:tabs>
        <w:spacing w:line="480" w:lineRule="auto"/>
        <w:ind w:left="1701"/>
        <w:jc w:val="both"/>
        <w:rPr>
          <w:lang w:val="en-GB"/>
        </w:rPr>
      </w:pPr>
      <w:r w:rsidRPr="00896F5D">
        <w:rPr>
          <w:sz w:val="20"/>
          <w:szCs w:val="20"/>
          <w:lang w:val="en-GB"/>
        </w:rPr>
        <w:tab/>
      </w:r>
    </w:p>
    <w:p w14:paraId="0FE2286F" w14:textId="05003877" w:rsidR="007F6D4F" w:rsidRPr="00896F5D" w:rsidRDefault="006B1B4C" w:rsidP="00896F5D">
      <w:pPr>
        <w:pStyle w:val="ListParagraph"/>
        <w:tabs>
          <w:tab w:val="left" w:pos="851"/>
        </w:tabs>
        <w:spacing w:line="480" w:lineRule="auto"/>
        <w:ind w:left="0"/>
        <w:jc w:val="both"/>
        <w:rPr>
          <w:lang w:val="en-GB"/>
        </w:rPr>
      </w:pPr>
      <w:r w:rsidRPr="00896F5D">
        <w:rPr>
          <w:lang w:val="en-GB"/>
        </w:rPr>
        <w:t>[9]</w:t>
      </w:r>
      <w:r w:rsidR="00BF43DC" w:rsidRPr="00896F5D">
        <w:rPr>
          <w:lang w:val="en-GB"/>
        </w:rPr>
        <w:tab/>
      </w:r>
      <w:r w:rsidR="00275CC3" w:rsidRPr="00896F5D">
        <w:rPr>
          <w:lang w:val="en-GB"/>
        </w:rPr>
        <w:t xml:space="preserve">On 10 March 2023, </w:t>
      </w:r>
      <w:r w:rsidR="00E90600" w:rsidRPr="00896F5D">
        <w:rPr>
          <w:lang w:val="en-GB"/>
        </w:rPr>
        <w:t xml:space="preserve">a writ of execution was re-issued by the registrar of this court. </w:t>
      </w:r>
      <w:r w:rsidR="00B27B8A" w:rsidRPr="00896F5D">
        <w:rPr>
          <w:lang w:val="en-GB"/>
        </w:rPr>
        <w:t>Upon becoming aware of the writ of execution,</w:t>
      </w:r>
      <w:r w:rsidR="00FD319A" w:rsidRPr="00896F5D">
        <w:rPr>
          <w:lang w:val="en-GB"/>
        </w:rPr>
        <w:t xml:space="preserve"> the defendant promptly applied </w:t>
      </w:r>
      <w:r w:rsidR="001D7C95" w:rsidRPr="00896F5D">
        <w:rPr>
          <w:lang w:val="en-GB"/>
        </w:rPr>
        <w:t>for an order for the</w:t>
      </w:r>
      <w:r w:rsidR="00E90600" w:rsidRPr="00896F5D">
        <w:rPr>
          <w:lang w:val="en-GB"/>
        </w:rPr>
        <w:t xml:space="preserve"> stay of the writ of execution pending the application for rescission of the judgment. The order was granted on 19 May 2023.</w:t>
      </w:r>
    </w:p>
    <w:p w14:paraId="2CDA6CE7" w14:textId="77777777" w:rsidR="00B27B8A" w:rsidRPr="00896F5D" w:rsidRDefault="00B27B8A" w:rsidP="00896F5D">
      <w:pPr>
        <w:pStyle w:val="ListParagraph"/>
        <w:tabs>
          <w:tab w:val="left" w:pos="851"/>
        </w:tabs>
        <w:spacing w:line="480" w:lineRule="auto"/>
        <w:ind w:left="0"/>
        <w:jc w:val="both"/>
        <w:rPr>
          <w:b/>
          <w:u w:val="single"/>
          <w:lang w:val="en-GB"/>
        </w:rPr>
      </w:pPr>
    </w:p>
    <w:p w14:paraId="38A4539A" w14:textId="7482DDA2" w:rsidR="00896F5D" w:rsidRPr="00896F5D" w:rsidRDefault="00FC39FF" w:rsidP="00896F5D">
      <w:pPr>
        <w:pStyle w:val="ListParagraph"/>
        <w:tabs>
          <w:tab w:val="left" w:pos="851"/>
        </w:tabs>
        <w:spacing w:line="480" w:lineRule="auto"/>
        <w:ind w:left="0"/>
        <w:jc w:val="both"/>
        <w:rPr>
          <w:lang w:val="en-GB"/>
        </w:rPr>
      </w:pPr>
      <w:r w:rsidRPr="00896F5D">
        <w:rPr>
          <w:b/>
          <w:u w:val="single"/>
          <w:lang w:val="en-GB"/>
        </w:rPr>
        <w:t>Before this court</w:t>
      </w:r>
    </w:p>
    <w:p w14:paraId="7897286B" w14:textId="77777777" w:rsidR="005D7BF3" w:rsidRPr="00896F5D" w:rsidRDefault="005D7BF3" w:rsidP="00896F5D">
      <w:pPr>
        <w:pStyle w:val="ListParagraph"/>
        <w:tabs>
          <w:tab w:val="left" w:pos="851"/>
        </w:tabs>
        <w:spacing w:line="480" w:lineRule="auto"/>
        <w:ind w:left="0"/>
        <w:jc w:val="both"/>
        <w:rPr>
          <w:lang w:val="en-GB"/>
        </w:rPr>
      </w:pPr>
    </w:p>
    <w:p w14:paraId="7B05CF7A" w14:textId="38E42CBE" w:rsidR="003C5A8A" w:rsidRPr="00896F5D" w:rsidRDefault="006B1B4C" w:rsidP="00896F5D">
      <w:pPr>
        <w:pStyle w:val="ListParagraph"/>
        <w:tabs>
          <w:tab w:val="left" w:pos="851"/>
        </w:tabs>
        <w:spacing w:line="480" w:lineRule="auto"/>
        <w:ind w:left="0"/>
        <w:jc w:val="both"/>
        <w:rPr>
          <w:lang w:val="en-GB"/>
        </w:rPr>
      </w:pPr>
      <w:r w:rsidRPr="00896F5D">
        <w:rPr>
          <w:lang w:val="en-GB"/>
        </w:rPr>
        <w:t>[10</w:t>
      </w:r>
      <w:r w:rsidR="00055DAC" w:rsidRPr="00896F5D">
        <w:rPr>
          <w:lang w:val="en-GB"/>
        </w:rPr>
        <w:t>]</w:t>
      </w:r>
      <w:r w:rsidR="00055DAC" w:rsidRPr="00896F5D">
        <w:rPr>
          <w:lang w:val="en-GB"/>
        </w:rPr>
        <w:tab/>
      </w:r>
      <w:r w:rsidR="00275CC3" w:rsidRPr="00896F5D">
        <w:rPr>
          <w:lang w:val="en-GB"/>
        </w:rPr>
        <w:t xml:space="preserve">In his founding affidavit, the defendant </w:t>
      </w:r>
      <w:r w:rsidR="00B27B8A" w:rsidRPr="00896F5D">
        <w:rPr>
          <w:lang w:val="en-GB"/>
        </w:rPr>
        <w:t xml:space="preserve">asserted </w:t>
      </w:r>
      <w:r w:rsidR="00275CC3" w:rsidRPr="00896F5D">
        <w:rPr>
          <w:lang w:val="en-GB"/>
        </w:rPr>
        <w:t>that throughout his consultations with either Mr</w:t>
      </w:r>
      <w:r w:rsidR="00B27B8A" w:rsidRPr="00896F5D">
        <w:rPr>
          <w:lang w:val="en-GB"/>
        </w:rPr>
        <w:t>.</w:t>
      </w:r>
      <w:r w:rsidR="00275CC3" w:rsidRPr="00896F5D">
        <w:rPr>
          <w:lang w:val="en-GB"/>
        </w:rPr>
        <w:t xml:space="preserve"> Scheffer or Ms</w:t>
      </w:r>
      <w:r w:rsidR="00B27B8A" w:rsidRPr="00896F5D">
        <w:rPr>
          <w:lang w:val="en-GB"/>
        </w:rPr>
        <w:t>.</w:t>
      </w:r>
      <w:r w:rsidR="00275CC3" w:rsidRPr="00896F5D">
        <w:rPr>
          <w:lang w:val="en-GB"/>
        </w:rPr>
        <w:t xml:space="preserve"> Kingwill, </w:t>
      </w:r>
      <w:r w:rsidR="00B27B8A" w:rsidRPr="00896F5D">
        <w:rPr>
          <w:lang w:val="en-GB"/>
        </w:rPr>
        <w:t xml:space="preserve">he was </w:t>
      </w:r>
      <w:r w:rsidR="000305C3" w:rsidRPr="00896F5D">
        <w:rPr>
          <w:lang w:val="en-GB"/>
        </w:rPr>
        <w:t>never informed of his attorneys’</w:t>
      </w:r>
      <w:r w:rsidR="00B27B8A" w:rsidRPr="00896F5D">
        <w:rPr>
          <w:lang w:val="en-GB"/>
        </w:rPr>
        <w:t xml:space="preserve"> withdrawal from the case</w:t>
      </w:r>
      <w:r w:rsidR="00275CC3" w:rsidRPr="00896F5D">
        <w:rPr>
          <w:lang w:val="en-GB"/>
        </w:rPr>
        <w:t xml:space="preserve">. Had he been </w:t>
      </w:r>
      <w:r w:rsidR="00B27B8A" w:rsidRPr="00896F5D">
        <w:rPr>
          <w:lang w:val="en-GB"/>
        </w:rPr>
        <w:t>apprised of this circumstance</w:t>
      </w:r>
      <w:r w:rsidR="00275CC3" w:rsidRPr="00896F5D">
        <w:rPr>
          <w:lang w:val="en-GB"/>
        </w:rPr>
        <w:t>, he would have sought alternative legal representative</w:t>
      </w:r>
      <w:r w:rsidR="000305C3" w:rsidRPr="00896F5D">
        <w:rPr>
          <w:lang w:val="en-GB"/>
        </w:rPr>
        <w:t>s</w:t>
      </w:r>
      <w:r w:rsidR="00275CC3" w:rsidRPr="00896F5D">
        <w:rPr>
          <w:lang w:val="en-GB"/>
        </w:rPr>
        <w:t xml:space="preserve"> </w:t>
      </w:r>
      <w:r w:rsidR="00B27B8A" w:rsidRPr="00896F5D">
        <w:rPr>
          <w:lang w:val="en-GB"/>
        </w:rPr>
        <w:t xml:space="preserve">as he was unable </w:t>
      </w:r>
      <w:r w:rsidR="00ED5BE6" w:rsidRPr="00896F5D">
        <w:rPr>
          <w:lang w:val="en-GB"/>
        </w:rPr>
        <w:t>to represent</w:t>
      </w:r>
      <w:r w:rsidRPr="00896F5D">
        <w:rPr>
          <w:lang w:val="en-GB"/>
        </w:rPr>
        <w:t xml:space="preserve"> himself</w:t>
      </w:r>
      <w:r w:rsidR="00B27B8A" w:rsidRPr="00896F5D">
        <w:rPr>
          <w:lang w:val="en-GB"/>
        </w:rPr>
        <w:t>,</w:t>
      </w:r>
      <w:r w:rsidRPr="00896F5D">
        <w:rPr>
          <w:lang w:val="en-GB"/>
        </w:rPr>
        <w:t xml:space="preserve"> </w:t>
      </w:r>
      <w:r w:rsidR="00B27B8A" w:rsidRPr="00896F5D">
        <w:rPr>
          <w:lang w:val="en-GB"/>
        </w:rPr>
        <w:t>being</w:t>
      </w:r>
      <w:r w:rsidR="00275CC3" w:rsidRPr="00896F5D">
        <w:rPr>
          <w:lang w:val="en-GB"/>
        </w:rPr>
        <w:t xml:space="preserve"> a lay person. The defendant </w:t>
      </w:r>
      <w:r w:rsidR="00B27B8A" w:rsidRPr="00896F5D">
        <w:rPr>
          <w:lang w:val="en-GB"/>
        </w:rPr>
        <w:t xml:space="preserve">maintained </w:t>
      </w:r>
      <w:r w:rsidR="00275CC3" w:rsidRPr="00896F5D">
        <w:rPr>
          <w:lang w:val="en-GB"/>
        </w:rPr>
        <w:t xml:space="preserve">that he paid all the legal fees that were due to D Gouws Inc. and </w:t>
      </w:r>
      <w:r w:rsidR="00B27B8A" w:rsidRPr="00896F5D">
        <w:rPr>
          <w:lang w:val="en-GB"/>
        </w:rPr>
        <w:t xml:space="preserve">found </w:t>
      </w:r>
      <w:r w:rsidR="00275CC3" w:rsidRPr="00896F5D">
        <w:rPr>
          <w:lang w:val="en-GB"/>
        </w:rPr>
        <w:t>no plausible reasons for their withdrawal as</w:t>
      </w:r>
      <w:r w:rsidR="00FD319A" w:rsidRPr="00896F5D">
        <w:rPr>
          <w:lang w:val="en-GB"/>
        </w:rPr>
        <w:t xml:space="preserve"> </w:t>
      </w:r>
      <w:r w:rsidR="00FD319A" w:rsidRPr="00896F5D">
        <w:rPr>
          <w:lang w:val="en-GB"/>
        </w:rPr>
        <w:lastRenderedPageBreak/>
        <w:t>his</w:t>
      </w:r>
      <w:r w:rsidR="00275CC3" w:rsidRPr="00896F5D">
        <w:rPr>
          <w:lang w:val="en-GB"/>
        </w:rPr>
        <w:t xml:space="preserve"> attorneys of the record.</w:t>
      </w:r>
      <w:r w:rsidRPr="00896F5D">
        <w:rPr>
          <w:lang w:val="en-GB"/>
        </w:rPr>
        <w:t xml:space="preserve"> Upon </w:t>
      </w:r>
      <w:r w:rsidR="007F1F1D" w:rsidRPr="00896F5D">
        <w:rPr>
          <w:lang w:val="en-GB"/>
        </w:rPr>
        <w:t>receiving</w:t>
      </w:r>
      <w:r w:rsidRPr="00896F5D">
        <w:rPr>
          <w:lang w:val="en-GB"/>
        </w:rPr>
        <w:t xml:space="preserve"> the notice of set down of the default judgment </w:t>
      </w:r>
      <w:r w:rsidR="00722812" w:rsidRPr="00896F5D">
        <w:rPr>
          <w:lang w:val="en-GB"/>
        </w:rPr>
        <w:t xml:space="preserve">he consulted with his </w:t>
      </w:r>
      <w:r w:rsidR="009406A7" w:rsidRPr="00896F5D">
        <w:rPr>
          <w:lang w:val="en-GB"/>
        </w:rPr>
        <w:t>attorney</w:t>
      </w:r>
      <w:r w:rsidR="00722812" w:rsidRPr="00896F5D">
        <w:rPr>
          <w:lang w:val="en-GB"/>
        </w:rPr>
        <w:t xml:space="preserve">s and was assured </w:t>
      </w:r>
      <w:r w:rsidR="009406A7" w:rsidRPr="00896F5D">
        <w:rPr>
          <w:lang w:val="en-GB"/>
        </w:rPr>
        <w:t xml:space="preserve">that the matter </w:t>
      </w:r>
      <w:r w:rsidR="007F1F1D" w:rsidRPr="00896F5D">
        <w:rPr>
          <w:lang w:val="en-GB"/>
        </w:rPr>
        <w:t>would be resolved</w:t>
      </w:r>
      <w:r w:rsidR="009406A7" w:rsidRPr="00896F5D">
        <w:rPr>
          <w:lang w:val="en-GB"/>
        </w:rPr>
        <w:t>. He never consulted with his attorney until the 3</w:t>
      </w:r>
      <w:r w:rsidR="009406A7" w:rsidRPr="00896F5D">
        <w:rPr>
          <w:vertAlign w:val="superscript"/>
          <w:lang w:val="en-GB"/>
        </w:rPr>
        <w:t>rd</w:t>
      </w:r>
      <w:r w:rsidR="009406A7" w:rsidRPr="00896F5D">
        <w:rPr>
          <w:lang w:val="en-GB"/>
        </w:rPr>
        <w:t xml:space="preserve"> day of May 2023 when it was brought to his attention that the </w:t>
      </w:r>
      <w:r w:rsidR="006C3BFE" w:rsidRPr="00896F5D">
        <w:rPr>
          <w:lang w:val="en-GB"/>
        </w:rPr>
        <w:t>sheriff</w:t>
      </w:r>
      <w:r w:rsidR="009406A7" w:rsidRPr="00896F5D">
        <w:rPr>
          <w:lang w:val="en-GB"/>
        </w:rPr>
        <w:t xml:space="preserve"> was at his home to execute a writ of execution.</w:t>
      </w:r>
    </w:p>
    <w:p w14:paraId="28F571DC" w14:textId="77777777" w:rsidR="006D0EA7" w:rsidRPr="00896F5D" w:rsidRDefault="006D0EA7" w:rsidP="00896F5D">
      <w:pPr>
        <w:pStyle w:val="ListParagraph"/>
        <w:spacing w:line="480" w:lineRule="auto"/>
        <w:jc w:val="both"/>
        <w:rPr>
          <w:lang w:val="en-GB"/>
        </w:rPr>
      </w:pPr>
    </w:p>
    <w:p w14:paraId="6B1DC62F" w14:textId="209B90CB" w:rsidR="006D0EA7" w:rsidRPr="00896F5D" w:rsidRDefault="00055DAC" w:rsidP="00896F5D">
      <w:pPr>
        <w:pStyle w:val="ListParagraph"/>
        <w:tabs>
          <w:tab w:val="left" w:pos="851"/>
        </w:tabs>
        <w:spacing w:line="480" w:lineRule="auto"/>
        <w:ind w:left="0"/>
        <w:jc w:val="both"/>
        <w:rPr>
          <w:lang w:val="en-GB"/>
        </w:rPr>
      </w:pPr>
      <w:r w:rsidRPr="00896F5D">
        <w:rPr>
          <w:lang w:val="en-GB"/>
        </w:rPr>
        <w:t>[11]</w:t>
      </w:r>
      <w:r w:rsidRPr="00896F5D">
        <w:rPr>
          <w:lang w:val="en-GB"/>
        </w:rPr>
        <w:tab/>
      </w:r>
      <w:r w:rsidR="001D7C95" w:rsidRPr="00896F5D">
        <w:rPr>
          <w:lang w:val="en-GB"/>
        </w:rPr>
        <w:t>The defendan</w:t>
      </w:r>
      <w:r w:rsidR="00134868" w:rsidRPr="00896F5D">
        <w:rPr>
          <w:lang w:val="en-GB"/>
        </w:rPr>
        <w:t xml:space="preserve">t </w:t>
      </w:r>
      <w:r w:rsidR="007F1F1D" w:rsidRPr="00896F5D">
        <w:rPr>
          <w:lang w:val="en-GB"/>
        </w:rPr>
        <w:t>contended that he possesses a</w:t>
      </w:r>
      <w:r w:rsidR="00134868" w:rsidRPr="00896F5D">
        <w:rPr>
          <w:lang w:val="en-GB"/>
        </w:rPr>
        <w:t xml:space="preserve"> </w:t>
      </w:r>
      <w:r w:rsidR="007F1F1D" w:rsidRPr="00896F5D">
        <w:rPr>
          <w:lang w:val="en-GB"/>
        </w:rPr>
        <w:t>bona fide defence</w:t>
      </w:r>
      <w:r w:rsidR="001D7C95" w:rsidRPr="00896F5D">
        <w:rPr>
          <w:lang w:val="en-GB"/>
        </w:rPr>
        <w:t xml:space="preserve"> to the action, in that, h</w:t>
      </w:r>
      <w:r w:rsidR="009406A7" w:rsidRPr="00896F5D">
        <w:rPr>
          <w:lang w:val="en-GB"/>
        </w:rPr>
        <w:t>e did not only invest an amount of R1</w:t>
      </w:r>
      <w:r w:rsidR="00896F5D" w:rsidRPr="00896F5D">
        <w:rPr>
          <w:lang w:val="en-GB"/>
        </w:rPr>
        <w:t xml:space="preserve"> </w:t>
      </w:r>
      <w:r w:rsidR="009406A7" w:rsidRPr="00896F5D">
        <w:rPr>
          <w:lang w:val="en-GB"/>
        </w:rPr>
        <w:t>25</w:t>
      </w:r>
      <w:r w:rsidR="007F1F1D" w:rsidRPr="00896F5D">
        <w:rPr>
          <w:lang w:val="en-GB"/>
        </w:rPr>
        <w:t>0</w:t>
      </w:r>
      <w:r w:rsidR="00896F5D" w:rsidRPr="00896F5D">
        <w:rPr>
          <w:lang w:val="en-GB"/>
        </w:rPr>
        <w:t xml:space="preserve"> </w:t>
      </w:r>
      <w:r w:rsidR="007F1F1D" w:rsidRPr="00896F5D">
        <w:rPr>
          <w:lang w:val="en-GB"/>
        </w:rPr>
        <w:t>000.00</w:t>
      </w:r>
      <w:r w:rsidR="00051DA1" w:rsidRPr="00896F5D">
        <w:rPr>
          <w:lang w:val="en-GB"/>
        </w:rPr>
        <w:t xml:space="preserve"> </w:t>
      </w:r>
      <w:r w:rsidR="009406A7" w:rsidRPr="00896F5D">
        <w:rPr>
          <w:lang w:val="en-GB"/>
        </w:rPr>
        <w:t xml:space="preserve">to Free </w:t>
      </w:r>
      <w:r w:rsidR="00051DA1" w:rsidRPr="00896F5D">
        <w:rPr>
          <w:lang w:val="en-GB"/>
        </w:rPr>
        <w:t>Agape but</w:t>
      </w:r>
      <w:r w:rsidR="007F1F1D" w:rsidRPr="00896F5D">
        <w:rPr>
          <w:lang w:val="en-GB"/>
        </w:rPr>
        <w:t xml:space="preserve">, </w:t>
      </w:r>
      <w:r w:rsidR="00051DA1" w:rsidRPr="00896F5D">
        <w:rPr>
          <w:lang w:val="en-GB"/>
        </w:rPr>
        <w:t>there were</w:t>
      </w:r>
      <w:r w:rsidR="009406A7" w:rsidRPr="00896F5D">
        <w:rPr>
          <w:lang w:val="en-GB"/>
        </w:rPr>
        <w:t xml:space="preserve"> additional amounts of R200 0</w:t>
      </w:r>
      <w:r w:rsidR="007F1F1D" w:rsidRPr="00896F5D">
        <w:rPr>
          <w:lang w:val="en-GB"/>
        </w:rPr>
        <w:t>0</w:t>
      </w:r>
      <w:r w:rsidR="009406A7" w:rsidRPr="00896F5D">
        <w:rPr>
          <w:lang w:val="en-GB"/>
        </w:rPr>
        <w:t>0, R10</w:t>
      </w:r>
      <w:r w:rsidR="00896F5D" w:rsidRPr="00896F5D">
        <w:rPr>
          <w:lang w:val="en-GB"/>
        </w:rPr>
        <w:t xml:space="preserve"> </w:t>
      </w:r>
      <w:r w:rsidR="009406A7" w:rsidRPr="00896F5D">
        <w:rPr>
          <w:lang w:val="en-GB"/>
        </w:rPr>
        <w:t>000, R90</w:t>
      </w:r>
      <w:r w:rsidR="00896F5D" w:rsidRPr="00896F5D">
        <w:rPr>
          <w:lang w:val="en-GB"/>
        </w:rPr>
        <w:t xml:space="preserve"> </w:t>
      </w:r>
      <w:r w:rsidR="009406A7" w:rsidRPr="00896F5D">
        <w:rPr>
          <w:lang w:val="en-GB"/>
        </w:rPr>
        <w:t>000 and R120</w:t>
      </w:r>
      <w:r w:rsidR="00896F5D" w:rsidRPr="00896F5D">
        <w:rPr>
          <w:lang w:val="en-GB"/>
        </w:rPr>
        <w:t xml:space="preserve"> </w:t>
      </w:r>
      <w:r w:rsidR="009406A7" w:rsidRPr="00896F5D">
        <w:rPr>
          <w:lang w:val="en-GB"/>
        </w:rPr>
        <w:t xml:space="preserve">000 which he also invested. </w:t>
      </w:r>
      <w:r w:rsidR="007F1F1D" w:rsidRPr="00896F5D">
        <w:rPr>
          <w:lang w:val="en-GB"/>
        </w:rPr>
        <w:t>He a</w:t>
      </w:r>
      <w:r w:rsidR="007B6540">
        <w:rPr>
          <w:lang w:val="en-GB"/>
        </w:rPr>
        <w:t>verred</w:t>
      </w:r>
      <w:r w:rsidR="007F1F1D" w:rsidRPr="00896F5D">
        <w:rPr>
          <w:lang w:val="en-GB"/>
        </w:rPr>
        <w:t xml:space="preserve"> that the </w:t>
      </w:r>
      <w:r w:rsidR="001D7C95" w:rsidRPr="00896F5D">
        <w:rPr>
          <w:lang w:val="en-GB"/>
        </w:rPr>
        <w:t>amount</w:t>
      </w:r>
      <w:r w:rsidR="009406A7" w:rsidRPr="00896F5D">
        <w:rPr>
          <w:lang w:val="en-GB"/>
        </w:rPr>
        <w:t xml:space="preserve"> of R200</w:t>
      </w:r>
      <w:r w:rsidR="00896F5D" w:rsidRPr="00896F5D">
        <w:rPr>
          <w:lang w:val="en-GB"/>
        </w:rPr>
        <w:t xml:space="preserve"> </w:t>
      </w:r>
      <w:r w:rsidR="009406A7" w:rsidRPr="00896F5D">
        <w:rPr>
          <w:lang w:val="en-GB"/>
        </w:rPr>
        <w:t>0</w:t>
      </w:r>
      <w:r w:rsidR="007F1F1D" w:rsidRPr="00896F5D">
        <w:rPr>
          <w:lang w:val="en-GB"/>
        </w:rPr>
        <w:t>0</w:t>
      </w:r>
      <w:r w:rsidR="009406A7" w:rsidRPr="00896F5D">
        <w:rPr>
          <w:lang w:val="en-GB"/>
        </w:rPr>
        <w:t>0</w:t>
      </w:r>
      <w:r w:rsidR="007F1F1D" w:rsidRPr="00896F5D">
        <w:rPr>
          <w:lang w:val="en-GB"/>
        </w:rPr>
        <w:t xml:space="preserve"> alone would fully pay</w:t>
      </w:r>
      <w:r w:rsidR="001D7C95" w:rsidRPr="00896F5D">
        <w:rPr>
          <w:lang w:val="en-GB"/>
        </w:rPr>
        <w:t xml:space="preserve"> the plaintiffs’ claim of R154 </w:t>
      </w:r>
      <w:r w:rsidR="006A37FE" w:rsidRPr="00896F5D">
        <w:rPr>
          <w:lang w:val="en-GB"/>
        </w:rPr>
        <w:t>500</w:t>
      </w:r>
      <w:r w:rsidR="001D7C95" w:rsidRPr="00896F5D">
        <w:rPr>
          <w:lang w:val="en-GB"/>
        </w:rPr>
        <w:t xml:space="preserve"> </w:t>
      </w:r>
      <w:r w:rsidR="00134868" w:rsidRPr="00896F5D">
        <w:rPr>
          <w:lang w:val="en-GB"/>
        </w:rPr>
        <w:t>a</w:t>
      </w:r>
      <w:r w:rsidR="001D7C95" w:rsidRPr="00896F5D">
        <w:rPr>
          <w:lang w:val="en-GB"/>
        </w:rPr>
        <w:t xml:space="preserve">nd </w:t>
      </w:r>
      <w:r w:rsidR="007F1F1D" w:rsidRPr="00896F5D">
        <w:rPr>
          <w:lang w:val="en-GB"/>
        </w:rPr>
        <w:t xml:space="preserve">substantially </w:t>
      </w:r>
      <w:r w:rsidR="001D7C95" w:rsidRPr="00896F5D">
        <w:rPr>
          <w:lang w:val="en-GB"/>
        </w:rPr>
        <w:t xml:space="preserve">reduce the alternative claim </w:t>
      </w:r>
      <w:r w:rsidR="00FD319A" w:rsidRPr="00896F5D">
        <w:rPr>
          <w:lang w:val="en-GB"/>
        </w:rPr>
        <w:t>if found valid on the</w:t>
      </w:r>
      <w:r w:rsidR="001D7C95" w:rsidRPr="00896F5D">
        <w:rPr>
          <w:lang w:val="en-GB"/>
        </w:rPr>
        <w:t xml:space="preserve"> merits.</w:t>
      </w:r>
      <w:r w:rsidR="009406A7" w:rsidRPr="00896F5D">
        <w:rPr>
          <w:lang w:val="en-GB"/>
        </w:rPr>
        <w:t xml:space="preserve"> T</w:t>
      </w:r>
      <w:r w:rsidR="006A37FE" w:rsidRPr="00896F5D">
        <w:rPr>
          <w:lang w:val="en-GB"/>
        </w:rPr>
        <w:t>he defendant provided proof of</w:t>
      </w:r>
      <w:r w:rsidR="009406A7" w:rsidRPr="00896F5D">
        <w:rPr>
          <w:lang w:val="en-GB"/>
        </w:rPr>
        <w:t xml:space="preserve"> payment of the </w:t>
      </w:r>
      <w:r w:rsidR="007F1F1D" w:rsidRPr="00896F5D">
        <w:rPr>
          <w:lang w:val="en-GB"/>
        </w:rPr>
        <w:t xml:space="preserve">funds </w:t>
      </w:r>
      <w:r w:rsidR="006A37FE" w:rsidRPr="00896F5D">
        <w:rPr>
          <w:lang w:val="en-GB"/>
        </w:rPr>
        <w:t>he deposited from his bank acco</w:t>
      </w:r>
      <w:r w:rsidR="009406A7" w:rsidRPr="00896F5D">
        <w:rPr>
          <w:lang w:val="en-GB"/>
        </w:rPr>
        <w:t>unt to Free Agape six years ago.</w:t>
      </w:r>
      <w:r w:rsidR="00FC39FF" w:rsidRPr="00896F5D">
        <w:rPr>
          <w:lang w:val="en-GB"/>
        </w:rPr>
        <w:t xml:space="preserve"> He</w:t>
      </w:r>
      <w:r w:rsidR="006A37FE" w:rsidRPr="00896F5D">
        <w:rPr>
          <w:lang w:val="en-GB"/>
        </w:rPr>
        <w:t xml:space="preserve"> further stated </w:t>
      </w:r>
      <w:r w:rsidR="007F1F1D" w:rsidRPr="00896F5D">
        <w:rPr>
          <w:lang w:val="en-GB"/>
        </w:rPr>
        <w:t>that due to the closure of his bank account</w:t>
      </w:r>
      <w:r w:rsidR="006A37FE" w:rsidRPr="00896F5D">
        <w:rPr>
          <w:lang w:val="en-GB"/>
        </w:rPr>
        <w:t>,</w:t>
      </w:r>
      <w:r w:rsidR="00134868" w:rsidRPr="00896F5D">
        <w:rPr>
          <w:lang w:val="en-GB"/>
        </w:rPr>
        <w:t xml:space="preserve"> </w:t>
      </w:r>
      <w:r w:rsidR="007F1F1D" w:rsidRPr="00896F5D">
        <w:rPr>
          <w:lang w:val="en-GB"/>
        </w:rPr>
        <w:t>he was unable</w:t>
      </w:r>
      <w:r w:rsidR="00134868" w:rsidRPr="00896F5D">
        <w:rPr>
          <w:lang w:val="en-GB"/>
        </w:rPr>
        <w:t xml:space="preserve"> to retrieve the necessary information from his bank account regarding the</w:t>
      </w:r>
      <w:r w:rsidR="009406A7" w:rsidRPr="00896F5D">
        <w:rPr>
          <w:lang w:val="en-GB"/>
        </w:rPr>
        <w:t xml:space="preserve"> other</w:t>
      </w:r>
      <w:r w:rsidR="00134868" w:rsidRPr="00896F5D">
        <w:rPr>
          <w:lang w:val="en-GB"/>
        </w:rPr>
        <w:t xml:space="preserve"> payments made to Free Agape.</w:t>
      </w:r>
      <w:r w:rsidR="00FC39FF" w:rsidRPr="00896F5D">
        <w:rPr>
          <w:lang w:val="en-GB"/>
        </w:rPr>
        <w:t xml:space="preserve"> In </w:t>
      </w:r>
      <w:r w:rsidR="007F1F1D" w:rsidRPr="00896F5D">
        <w:rPr>
          <w:lang w:val="en-GB"/>
        </w:rPr>
        <w:t>essence</w:t>
      </w:r>
      <w:r w:rsidR="00FC39FF" w:rsidRPr="00896F5D">
        <w:rPr>
          <w:lang w:val="en-GB"/>
        </w:rPr>
        <w:t xml:space="preserve">, the defendant </w:t>
      </w:r>
      <w:r w:rsidR="007F1F1D" w:rsidRPr="00896F5D">
        <w:rPr>
          <w:lang w:val="en-GB"/>
        </w:rPr>
        <w:t xml:space="preserve">contended </w:t>
      </w:r>
      <w:r w:rsidR="00FC39FF" w:rsidRPr="00896F5D">
        <w:rPr>
          <w:lang w:val="en-GB"/>
        </w:rPr>
        <w:t xml:space="preserve">that the </w:t>
      </w:r>
      <w:r w:rsidR="007F1F1D" w:rsidRPr="00896F5D">
        <w:rPr>
          <w:lang w:val="en-GB"/>
        </w:rPr>
        <w:t xml:space="preserve">funds </w:t>
      </w:r>
      <w:r w:rsidR="00FC39FF" w:rsidRPr="00896F5D">
        <w:rPr>
          <w:lang w:val="en-GB"/>
        </w:rPr>
        <w:t xml:space="preserve">he deposited to Free Agape were made in the ordinary course of business and </w:t>
      </w:r>
      <w:r w:rsidR="007F1F1D" w:rsidRPr="00896F5D">
        <w:rPr>
          <w:lang w:val="en-GB"/>
        </w:rPr>
        <w:t xml:space="preserve">were not intended to favour </w:t>
      </w:r>
      <w:r w:rsidR="00FC39FF" w:rsidRPr="00896F5D">
        <w:rPr>
          <w:lang w:val="en-GB"/>
        </w:rPr>
        <w:t>one creditor over the other.</w:t>
      </w:r>
    </w:p>
    <w:p w14:paraId="7048DAEE" w14:textId="77777777" w:rsidR="00C25C24" w:rsidRPr="00896F5D" w:rsidRDefault="00C25C24" w:rsidP="00896F5D">
      <w:pPr>
        <w:pStyle w:val="ListParagraph"/>
        <w:spacing w:line="480" w:lineRule="auto"/>
        <w:jc w:val="both"/>
        <w:rPr>
          <w:lang w:val="en-GB"/>
        </w:rPr>
      </w:pPr>
    </w:p>
    <w:p w14:paraId="3603BEFE" w14:textId="7DF4209A" w:rsidR="00C25C24" w:rsidRPr="00896F5D" w:rsidRDefault="00055DAC" w:rsidP="00896F5D">
      <w:pPr>
        <w:pStyle w:val="ListParagraph"/>
        <w:tabs>
          <w:tab w:val="left" w:pos="851"/>
        </w:tabs>
        <w:spacing w:line="480" w:lineRule="auto"/>
        <w:ind w:left="0"/>
        <w:jc w:val="both"/>
        <w:rPr>
          <w:lang w:val="en-GB"/>
        </w:rPr>
      </w:pPr>
      <w:r w:rsidRPr="00896F5D">
        <w:rPr>
          <w:lang w:val="en-GB"/>
        </w:rPr>
        <w:t>[12]</w:t>
      </w:r>
      <w:r w:rsidRPr="00896F5D">
        <w:rPr>
          <w:lang w:val="en-GB"/>
        </w:rPr>
        <w:tab/>
      </w:r>
      <w:r w:rsidR="001D7C95" w:rsidRPr="00896F5D">
        <w:rPr>
          <w:lang w:val="en-GB"/>
        </w:rPr>
        <w:t xml:space="preserve">In the </w:t>
      </w:r>
      <w:r w:rsidR="00051DA1" w:rsidRPr="00896F5D">
        <w:rPr>
          <w:lang w:val="en-GB"/>
        </w:rPr>
        <w:t xml:space="preserve">answering </w:t>
      </w:r>
      <w:r w:rsidR="001D7C95" w:rsidRPr="00896F5D">
        <w:rPr>
          <w:lang w:val="en-GB"/>
        </w:rPr>
        <w:t>affidavit, the plaintiffs</w:t>
      </w:r>
      <w:r w:rsidR="00134868" w:rsidRPr="00896F5D">
        <w:rPr>
          <w:lang w:val="en-GB"/>
        </w:rPr>
        <w:t xml:space="preserve"> </w:t>
      </w:r>
      <w:r w:rsidR="00F371C2" w:rsidRPr="00896F5D">
        <w:rPr>
          <w:lang w:val="en-GB"/>
        </w:rPr>
        <w:t xml:space="preserve">asserted </w:t>
      </w:r>
      <w:r w:rsidR="00134868" w:rsidRPr="00896F5D">
        <w:rPr>
          <w:lang w:val="en-GB"/>
        </w:rPr>
        <w:t xml:space="preserve">that the defendant was duly notified of the notice of set down of the default judgment and </w:t>
      </w:r>
      <w:r w:rsidR="00F371C2" w:rsidRPr="00896F5D">
        <w:rPr>
          <w:lang w:val="en-GB"/>
        </w:rPr>
        <w:t xml:space="preserve">consciously </w:t>
      </w:r>
      <w:r w:rsidR="00134868" w:rsidRPr="00896F5D">
        <w:rPr>
          <w:lang w:val="en-GB"/>
        </w:rPr>
        <w:t>elected not to oppose the application.</w:t>
      </w:r>
      <w:r w:rsidR="006A37FE" w:rsidRPr="00896F5D">
        <w:rPr>
          <w:lang w:val="en-GB"/>
        </w:rPr>
        <w:t xml:space="preserve"> </w:t>
      </w:r>
      <w:r w:rsidR="00F371C2" w:rsidRPr="00896F5D">
        <w:rPr>
          <w:lang w:val="en-GB"/>
        </w:rPr>
        <w:t>The plaintiffs continued</w:t>
      </w:r>
      <w:r w:rsidR="000305C3" w:rsidRPr="00896F5D">
        <w:rPr>
          <w:lang w:val="en-GB"/>
        </w:rPr>
        <w:t xml:space="preserve"> their argument</w:t>
      </w:r>
      <w:r w:rsidR="00F371C2" w:rsidRPr="00896F5D">
        <w:rPr>
          <w:lang w:val="en-GB"/>
        </w:rPr>
        <w:t xml:space="preserve"> by stating</w:t>
      </w:r>
      <w:r w:rsidR="00FD319A" w:rsidRPr="00896F5D">
        <w:rPr>
          <w:lang w:val="en-GB"/>
        </w:rPr>
        <w:t xml:space="preserve"> that</w:t>
      </w:r>
      <w:r w:rsidR="00F371C2" w:rsidRPr="00896F5D">
        <w:rPr>
          <w:lang w:val="en-GB"/>
        </w:rPr>
        <w:t xml:space="preserve"> the defendant failed to provide a satisfactory explanation as to how</w:t>
      </w:r>
      <w:r w:rsidR="006A37FE" w:rsidRPr="00896F5D">
        <w:rPr>
          <w:lang w:val="en-GB"/>
        </w:rPr>
        <w:t xml:space="preserve"> it was possible for him to receive the notice of set down of the default judgment and failed t</w:t>
      </w:r>
      <w:r w:rsidR="005F6DAB" w:rsidRPr="00896F5D">
        <w:rPr>
          <w:lang w:val="en-GB"/>
        </w:rPr>
        <w:t>o receive the notice of withdrawal</w:t>
      </w:r>
      <w:r w:rsidR="006A37FE" w:rsidRPr="00896F5D">
        <w:rPr>
          <w:lang w:val="en-GB"/>
        </w:rPr>
        <w:t xml:space="preserve"> which </w:t>
      </w:r>
      <w:r w:rsidR="005F6DAB" w:rsidRPr="00896F5D">
        <w:rPr>
          <w:lang w:val="en-GB"/>
        </w:rPr>
        <w:t>was sent to his e-mail address.</w:t>
      </w:r>
    </w:p>
    <w:p w14:paraId="48C2EAB8" w14:textId="77777777" w:rsidR="00E24750" w:rsidRPr="00896F5D" w:rsidRDefault="00E24750" w:rsidP="00896F5D">
      <w:pPr>
        <w:pStyle w:val="ListParagraph"/>
        <w:spacing w:line="480" w:lineRule="auto"/>
        <w:jc w:val="both"/>
        <w:rPr>
          <w:lang w:val="en-GB"/>
        </w:rPr>
      </w:pPr>
    </w:p>
    <w:p w14:paraId="78B36384" w14:textId="05E1CA5A" w:rsidR="00E24750" w:rsidRPr="00896F5D" w:rsidRDefault="00055DAC" w:rsidP="00896F5D">
      <w:pPr>
        <w:pStyle w:val="ListParagraph"/>
        <w:tabs>
          <w:tab w:val="left" w:pos="851"/>
        </w:tabs>
        <w:spacing w:line="480" w:lineRule="auto"/>
        <w:ind w:left="0"/>
        <w:jc w:val="both"/>
        <w:rPr>
          <w:lang w:val="en-GB"/>
        </w:rPr>
      </w:pPr>
      <w:r w:rsidRPr="00896F5D">
        <w:rPr>
          <w:lang w:val="en-GB"/>
        </w:rPr>
        <w:lastRenderedPageBreak/>
        <w:t>[13</w:t>
      </w:r>
      <w:r w:rsidR="00BF43DC" w:rsidRPr="00896F5D">
        <w:rPr>
          <w:lang w:val="en-GB"/>
        </w:rPr>
        <w:t>]</w:t>
      </w:r>
      <w:r w:rsidR="00BF43DC" w:rsidRPr="00896F5D">
        <w:rPr>
          <w:lang w:val="en-GB"/>
        </w:rPr>
        <w:tab/>
      </w:r>
      <w:r w:rsidR="00F371C2" w:rsidRPr="00896F5D">
        <w:rPr>
          <w:lang w:val="en-GB"/>
        </w:rPr>
        <w:t>Regarding the defences raised</w:t>
      </w:r>
      <w:r w:rsidR="006A37FE" w:rsidRPr="00896F5D">
        <w:rPr>
          <w:lang w:val="en-GB"/>
        </w:rPr>
        <w:t xml:space="preserve">, the plaintiffs alleged that Free Agape will never return to </w:t>
      </w:r>
      <w:r w:rsidR="00F371C2" w:rsidRPr="00896F5D">
        <w:rPr>
          <w:lang w:val="en-GB"/>
        </w:rPr>
        <w:t xml:space="preserve">its </w:t>
      </w:r>
      <w:r w:rsidR="006A37FE" w:rsidRPr="00896F5D">
        <w:rPr>
          <w:lang w:val="en-GB"/>
        </w:rPr>
        <w:t>position of solvency. The</w:t>
      </w:r>
      <w:r w:rsidR="00F371C2" w:rsidRPr="00896F5D">
        <w:rPr>
          <w:lang w:val="en-GB"/>
        </w:rPr>
        <w:t>y emphasized that</w:t>
      </w:r>
      <w:r w:rsidR="00B46DBD" w:rsidRPr="00896F5D">
        <w:rPr>
          <w:lang w:val="en-GB"/>
        </w:rPr>
        <w:t xml:space="preserve"> the</w:t>
      </w:r>
      <w:r w:rsidR="006A37FE" w:rsidRPr="00896F5D">
        <w:rPr>
          <w:lang w:val="en-GB"/>
        </w:rPr>
        <w:t xml:space="preserve"> defendant is one of the investors who received preferential treatment</w:t>
      </w:r>
      <w:r w:rsidR="00100A11" w:rsidRPr="00896F5D">
        <w:rPr>
          <w:lang w:val="en-GB"/>
        </w:rPr>
        <w:t xml:space="preserve"> </w:t>
      </w:r>
      <w:r w:rsidR="00F371C2" w:rsidRPr="00896F5D">
        <w:rPr>
          <w:lang w:val="en-GB"/>
        </w:rPr>
        <w:t>through</w:t>
      </w:r>
      <w:r w:rsidR="00100A11" w:rsidRPr="00896F5D">
        <w:rPr>
          <w:lang w:val="en-GB"/>
        </w:rPr>
        <w:t xml:space="preserve"> dispositions</w:t>
      </w:r>
      <w:r w:rsidR="00F371C2" w:rsidRPr="00896F5D">
        <w:rPr>
          <w:lang w:val="en-GB"/>
        </w:rPr>
        <w:t>, unlike other</w:t>
      </w:r>
      <w:r w:rsidR="00100A11" w:rsidRPr="00896F5D">
        <w:rPr>
          <w:lang w:val="en-GB"/>
        </w:rPr>
        <w:t xml:space="preserve"> investors who received no payments from Free Agape. </w:t>
      </w:r>
    </w:p>
    <w:p w14:paraId="1E131B0C" w14:textId="77777777" w:rsidR="00B20FA7" w:rsidRPr="00896F5D" w:rsidRDefault="00B20FA7" w:rsidP="00896F5D">
      <w:pPr>
        <w:pStyle w:val="ListParagraph"/>
        <w:tabs>
          <w:tab w:val="left" w:pos="851"/>
        </w:tabs>
        <w:spacing w:line="480" w:lineRule="auto"/>
        <w:ind w:left="0"/>
        <w:jc w:val="both"/>
        <w:rPr>
          <w:lang w:val="en-GB"/>
        </w:rPr>
      </w:pPr>
    </w:p>
    <w:p w14:paraId="0CEA4A3D" w14:textId="421C8E0D" w:rsidR="00896F5D" w:rsidRPr="00896F5D" w:rsidRDefault="00200337" w:rsidP="00896F5D">
      <w:pPr>
        <w:pStyle w:val="ListParagraph"/>
        <w:tabs>
          <w:tab w:val="left" w:pos="851"/>
        </w:tabs>
        <w:spacing w:line="480" w:lineRule="auto"/>
        <w:ind w:left="0"/>
        <w:jc w:val="both"/>
        <w:rPr>
          <w:b/>
          <w:u w:val="single"/>
          <w:lang w:val="en-GB"/>
        </w:rPr>
      </w:pPr>
      <w:r w:rsidRPr="00896F5D">
        <w:rPr>
          <w:b/>
          <w:u w:val="single"/>
          <w:lang w:val="en-GB"/>
        </w:rPr>
        <w:t xml:space="preserve">The legal framework </w:t>
      </w:r>
      <w:r w:rsidR="00F842F1" w:rsidRPr="00896F5D">
        <w:rPr>
          <w:b/>
          <w:u w:val="single"/>
          <w:lang w:val="en-GB"/>
        </w:rPr>
        <w:t>and the evaluation by the court</w:t>
      </w:r>
    </w:p>
    <w:p w14:paraId="14FDB485" w14:textId="77777777" w:rsidR="00626043" w:rsidRPr="00896F5D" w:rsidRDefault="00626043" w:rsidP="008C64D9">
      <w:pPr>
        <w:pStyle w:val="ListParagraph"/>
        <w:tabs>
          <w:tab w:val="left" w:pos="851"/>
        </w:tabs>
        <w:spacing w:line="480" w:lineRule="auto"/>
        <w:ind w:left="0"/>
        <w:jc w:val="both"/>
        <w:rPr>
          <w:lang w:val="en-GB"/>
        </w:rPr>
      </w:pPr>
    </w:p>
    <w:p w14:paraId="640305A4" w14:textId="6CBDAF15" w:rsidR="00626043" w:rsidRPr="00896F5D" w:rsidRDefault="00055DAC" w:rsidP="00896F5D">
      <w:pPr>
        <w:pStyle w:val="ListParagraph"/>
        <w:tabs>
          <w:tab w:val="left" w:pos="851"/>
        </w:tabs>
        <w:spacing w:line="480" w:lineRule="auto"/>
        <w:ind w:left="0"/>
        <w:jc w:val="both"/>
        <w:rPr>
          <w:lang w:val="en-GB"/>
        </w:rPr>
      </w:pPr>
      <w:r w:rsidRPr="00896F5D">
        <w:rPr>
          <w:lang w:val="en-GB"/>
        </w:rPr>
        <w:t>[14]</w:t>
      </w:r>
      <w:r w:rsidRPr="00896F5D">
        <w:rPr>
          <w:lang w:val="en-GB"/>
        </w:rPr>
        <w:tab/>
      </w:r>
      <w:r w:rsidR="00626043" w:rsidRPr="00896F5D">
        <w:rPr>
          <w:lang w:val="en-GB"/>
        </w:rPr>
        <w:t xml:space="preserve"> </w:t>
      </w:r>
      <w:r w:rsidR="00FC39FF" w:rsidRPr="00896F5D">
        <w:rPr>
          <w:lang w:val="en-GB"/>
        </w:rPr>
        <w:t xml:space="preserve">In the </w:t>
      </w:r>
      <w:r w:rsidR="00F371C2" w:rsidRPr="00896F5D">
        <w:rPr>
          <w:lang w:val="en-GB"/>
        </w:rPr>
        <w:t xml:space="preserve">present </w:t>
      </w:r>
      <w:r w:rsidR="00FC39FF" w:rsidRPr="00896F5D">
        <w:rPr>
          <w:lang w:val="en-GB"/>
        </w:rPr>
        <w:t xml:space="preserve">case, the defendant did not specify </w:t>
      </w:r>
      <w:r w:rsidR="00F12A09" w:rsidRPr="00896F5D">
        <w:rPr>
          <w:lang w:val="en-GB"/>
        </w:rPr>
        <w:t>whether the application was</w:t>
      </w:r>
      <w:r w:rsidR="00FC39FF" w:rsidRPr="00896F5D">
        <w:rPr>
          <w:lang w:val="en-GB"/>
        </w:rPr>
        <w:t xml:space="preserve"> made in terms of Uniform Rule</w:t>
      </w:r>
      <w:r w:rsidR="00B20FA7" w:rsidRPr="00896F5D">
        <w:rPr>
          <w:lang w:val="en-GB"/>
        </w:rPr>
        <w:t>s 31</w:t>
      </w:r>
      <w:r w:rsidR="000305C3" w:rsidRPr="00896F5D">
        <w:rPr>
          <w:lang w:val="en-GB"/>
        </w:rPr>
        <w:t>(1)(b)</w:t>
      </w:r>
      <w:r w:rsidR="00B20FA7" w:rsidRPr="00896F5D">
        <w:rPr>
          <w:lang w:val="en-GB"/>
        </w:rPr>
        <w:t>,</w:t>
      </w:r>
      <w:r w:rsidR="000305C3" w:rsidRPr="00896F5D">
        <w:rPr>
          <w:lang w:val="en-GB"/>
        </w:rPr>
        <w:t xml:space="preserve"> </w:t>
      </w:r>
      <w:r w:rsidR="00566329" w:rsidRPr="00896F5D">
        <w:rPr>
          <w:lang w:val="en-GB"/>
        </w:rPr>
        <w:t>42</w:t>
      </w:r>
      <w:r w:rsidR="00B20FA7" w:rsidRPr="00896F5D">
        <w:rPr>
          <w:lang w:val="en-GB"/>
        </w:rPr>
        <w:t xml:space="preserve"> </w:t>
      </w:r>
      <w:r w:rsidR="00FC39FF" w:rsidRPr="00896F5D">
        <w:rPr>
          <w:lang w:val="en-GB"/>
        </w:rPr>
        <w:t xml:space="preserve">or in terms of the common law. </w:t>
      </w:r>
      <w:r w:rsidR="00F92D02" w:rsidRPr="00896F5D">
        <w:rPr>
          <w:lang w:val="en-GB"/>
        </w:rPr>
        <w:t>Nonetheless, it is well-established</w:t>
      </w:r>
      <w:r w:rsidR="00FC39FF" w:rsidRPr="00896F5D">
        <w:rPr>
          <w:lang w:val="en-GB"/>
        </w:rPr>
        <w:t xml:space="preserve"> that </w:t>
      </w:r>
      <w:r w:rsidR="006C3BFE" w:rsidRPr="00896F5D">
        <w:rPr>
          <w:lang w:val="en-GB"/>
        </w:rPr>
        <w:t>resci</w:t>
      </w:r>
      <w:r w:rsidR="00B20FA7" w:rsidRPr="00896F5D">
        <w:rPr>
          <w:lang w:val="en-GB"/>
        </w:rPr>
        <w:t>ssion</w:t>
      </w:r>
      <w:r w:rsidR="00566329" w:rsidRPr="00896F5D">
        <w:rPr>
          <w:lang w:val="en-GB"/>
        </w:rPr>
        <w:t xml:space="preserve"> of the judgment</w:t>
      </w:r>
      <w:r w:rsidR="00B20FA7" w:rsidRPr="00896F5D">
        <w:rPr>
          <w:lang w:val="en-GB"/>
        </w:rPr>
        <w:t xml:space="preserve"> in the High Court can be based on Rule 31, Rule 42 (1) or common law</w:t>
      </w:r>
      <w:r w:rsidR="00AF1202" w:rsidRPr="00896F5D">
        <w:rPr>
          <w:rStyle w:val="FootnoteReference"/>
          <w:lang w:val="en-GB"/>
        </w:rPr>
        <w:footnoteReference w:id="1"/>
      </w:r>
      <w:r w:rsidR="00B20FA7" w:rsidRPr="00896F5D">
        <w:rPr>
          <w:lang w:val="en-GB"/>
        </w:rPr>
        <w:t>.</w:t>
      </w:r>
      <w:r w:rsidR="00AF1202" w:rsidRPr="00896F5D">
        <w:rPr>
          <w:lang w:val="en-GB"/>
        </w:rPr>
        <w:t xml:space="preserve"> The purpose of Uniform Rule 42</w:t>
      </w:r>
      <w:r w:rsidR="00566329" w:rsidRPr="00896F5D">
        <w:rPr>
          <w:lang w:val="en-GB"/>
        </w:rPr>
        <w:t xml:space="preserve"> is </w:t>
      </w:r>
      <w:r w:rsidR="00AF1202" w:rsidRPr="00896F5D">
        <w:rPr>
          <w:lang w:val="en-GB"/>
        </w:rPr>
        <w:t>to correct expeditiously an obvious wrong judgment or order</w:t>
      </w:r>
      <w:r w:rsidR="00AF1202" w:rsidRPr="00896F5D">
        <w:rPr>
          <w:rStyle w:val="FootnoteReference"/>
          <w:lang w:val="en-GB"/>
        </w:rPr>
        <w:footnoteReference w:id="2"/>
      </w:r>
      <w:r w:rsidR="00AF1202" w:rsidRPr="00896F5D">
        <w:rPr>
          <w:lang w:val="en-GB"/>
        </w:rPr>
        <w:t>.</w:t>
      </w:r>
      <w:r w:rsidR="00F842F1" w:rsidRPr="00896F5D">
        <w:rPr>
          <w:lang w:val="en-GB"/>
        </w:rPr>
        <w:t xml:space="preserve"> </w:t>
      </w:r>
      <w:r w:rsidR="007C35F4" w:rsidRPr="00896F5D">
        <w:rPr>
          <w:lang w:val="en-GB"/>
        </w:rPr>
        <w:t xml:space="preserve"> In the </w:t>
      </w:r>
      <w:r w:rsidR="00896F5D" w:rsidRPr="00896F5D">
        <w:rPr>
          <w:lang w:val="en-GB"/>
        </w:rPr>
        <w:t xml:space="preserve">absence </w:t>
      </w:r>
      <w:r w:rsidR="007C35F4" w:rsidRPr="00896F5D">
        <w:rPr>
          <w:lang w:val="en-GB"/>
        </w:rPr>
        <w:t>of evidence presented or arguments posited</w:t>
      </w:r>
      <w:r w:rsidR="00F842F1" w:rsidRPr="00896F5D">
        <w:rPr>
          <w:lang w:val="en-GB"/>
        </w:rPr>
        <w:t xml:space="preserve"> to </w:t>
      </w:r>
      <w:r w:rsidR="00566329" w:rsidRPr="00896F5D">
        <w:rPr>
          <w:lang w:val="en-GB"/>
        </w:rPr>
        <w:t>demonstrate</w:t>
      </w:r>
      <w:r w:rsidR="00F842F1" w:rsidRPr="00896F5D">
        <w:rPr>
          <w:lang w:val="en-GB"/>
        </w:rPr>
        <w:t xml:space="preserve"> that</w:t>
      </w:r>
      <w:r w:rsidR="00422A85" w:rsidRPr="00896F5D">
        <w:rPr>
          <w:lang w:val="en-GB"/>
        </w:rPr>
        <w:t xml:space="preserve"> at the</w:t>
      </w:r>
      <w:r w:rsidR="00722812" w:rsidRPr="00896F5D">
        <w:rPr>
          <w:lang w:val="en-GB"/>
        </w:rPr>
        <w:t xml:space="preserve"> time the judgment was granted</w:t>
      </w:r>
      <w:r w:rsidR="00896F5D" w:rsidRPr="00896F5D">
        <w:rPr>
          <w:lang w:val="en-GB"/>
        </w:rPr>
        <w:t>,</w:t>
      </w:r>
      <w:r w:rsidR="00F842F1" w:rsidRPr="00896F5D">
        <w:rPr>
          <w:lang w:val="en-GB"/>
        </w:rPr>
        <w:t xml:space="preserve"> the</w:t>
      </w:r>
      <w:r w:rsidR="00422A85" w:rsidRPr="00896F5D">
        <w:rPr>
          <w:lang w:val="en-GB"/>
        </w:rPr>
        <w:t>re were irregularities in the proceedings</w:t>
      </w:r>
      <w:r w:rsidR="007C35F4" w:rsidRPr="00896F5D">
        <w:rPr>
          <w:lang w:val="en-GB"/>
        </w:rPr>
        <w:t>,</w:t>
      </w:r>
      <w:r w:rsidR="00422A85" w:rsidRPr="00896F5D">
        <w:rPr>
          <w:lang w:val="en-GB"/>
        </w:rPr>
        <w:t xml:space="preserve"> or the</w:t>
      </w:r>
      <w:r w:rsidR="00F842F1" w:rsidRPr="00896F5D">
        <w:rPr>
          <w:lang w:val="en-GB"/>
        </w:rPr>
        <w:t xml:space="preserve"> judgment was erroneously granted, </w:t>
      </w:r>
      <w:r w:rsidR="004B6B21" w:rsidRPr="00896F5D">
        <w:rPr>
          <w:lang w:val="en-GB"/>
        </w:rPr>
        <w:t>I will</w:t>
      </w:r>
      <w:r w:rsidR="004B6B21">
        <w:rPr>
          <w:lang w:val="en-GB"/>
        </w:rPr>
        <w:t xml:space="preserve"> </w:t>
      </w:r>
      <w:r w:rsidR="007C35F4" w:rsidRPr="00896F5D">
        <w:rPr>
          <w:lang w:val="en-GB"/>
        </w:rPr>
        <w:t xml:space="preserve">accept </w:t>
      </w:r>
      <w:r w:rsidR="00F12A09" w:rsidRPr="00896F5D">
        <w:rPr>
          <w:lang w:val="en-GB"/>
        </w:rPr>
        <w:t>that</w:t>
      </w:r>
      <w:r w:rsidR="00422A85" w:rsidRPr="00896F5D">
        <w:rPr>
          <w:lang w:val="en-GB"/>
        </w:rPr>
        <w:t xml:space="preserve"> </w:t>
      </w:r>
      <w:r w:rsidR="00F12A09" w:rsidRPr="00896F5D">
        <w:rPr>
          <w:lang w:val="en-GB"/>
        </w:rPr>
        <w:t>the judgment was correctly granted</w:t>
      </w:r>
      <w:r w:rsidR="00F842F1" w:rsidRPr="00896F5D">
        <w:rPr>
          <w:lang w:val="en-GB"/>
        </w:rPr>
        <w:t>.</w:t>
      </w:r>
    </w:p>
    <w:p w14:paraId="7C841079" w14:textId="77777777" w:rsidR="00F12A09" w:rsidRPr="00896F5D" w:rsidRDefault="00F12A09" w:rsidP="00896F5D">
      <w:pPr>
        <w:pStyle w:val="ListParagraph"/>
        <w:tabs>
          <w:tab w:val="left" w:pos="851"/>
        </w:tabs>
        <w:spacing w:line="480" w:lineRule="auto"/>
        <w:ind w:left="0"/>
        <w:jc w:val="both"/>
        <w:rPr>
          <w:lang w:val="en-GB"/>
        </w:rPr>
      </w:pPr>
    </w:p>
    <w:p w14:paraId="48F920B6" w14:textId="75F07141" w:rsidR="00BF43DC" w:rsidRPr="008C64D9" w:rsidRDefault="00055DAC" w:rsidP="008C64D9">
      <w:pPr>
        <w:autoSpaceDE w:val="0"/>
        <w:autoSpaceDN w:val="0"/>
        <w:adjustRightInd w:val="0"/>
        <w:spacing w:line="480" w:lineRule="auto"/>
        <w:jc w:val="both"/>
        <w:rPr>
          <w:i/>
          <w:iCs/>
          <w:color w:val="auto"/>
          <w:sz w:val="16"/>
          <w:szCs w:val="16"/>
        </w:rPr>
      </w:pPr>
      <w:r w:rsidRPr="00896F5D">
        <w:rPr>
          <w:lang w:val="en-GB"/>
        </w:rPr>
        <w:t>[15]</w:t>
      </w:r>
      <w:r w:rsidRPr="00896F5D">
        <w:rPr>
          <w:lang w:val="en-GB"/>
        </w:rPr>
        <w:tab/>
      </w:r>
      <w:r w:rsidR="00490ABC" w:rsidRPr="00896F5D">
        <w:rPr>
          <w:lang w:val="en-GB"/>
        </w:rPr>
        <w:t xml:space="preserve">The next issue for determination </w:t>
      </w:r>
      <w:r w:rsidR="007C35F4" w:rsidRPr="00896F5D">
        <w:rPr>
          <w:lang w:val="en-GB"/>
        </w:rPr>
        <w:t xml:space="preserve">pertains </w:t>
      </w:r>
      <w:r w:rsidR="00B46DBD" w:rsidRPr="00896F5D">
        <w:rPr>
          <w:lang w:val="en-GB"/>
        </w:rPr>
        <w:t xml:space="preserve">to </w:t>
      </w:r>
      <w:r w:rsidR="00490ABC" w:rsidRPr="00896F5D">
        <w:rPr>
          <w:lang w:val="en-GB"/>
        </w:rPr>
        <w:t>whether the defendant has made a case for the rescission of the judgment under</w:t>
      </w:r>
      <w:r w:rsidR="004C652B" w:rsidRPr="00896F5D">
        <w:rPr>
          <w:lang w:val="en-GB"/>
        </w:rPr>
        <w:t xml:space="preserve"> uniform Rule 31</w:t>
      </w:r>
      <w:r w:rsidR="00293F6B" w:rsidRPr="00896F5D">
        <w:rPr>
          <w:lang w:val="en-GB"/>
        </w:rPr>
        <w:t xml:space="preserve"> or</w:t>
      </w:r>
      <w:r w:rsidR="00490ABC" w:rsidRPr="00896F5D">
        <w:rPr>
          <w:lang w:val="en-GB"/>
        </w:rPr>
        <w:t xml:space="preserve"> the common law.</w:t>
      </w:r>
      <w:r w:rsidR="00135A60" w:rsidRPr="00896F5D">
        <w:rPr>
          <w:lang w:val="en-GB"/>
        </w:rPr>
        <w:t xml:space="preserve"> </w:t>
      </w:r>
      <w:r w:rsidR="008C64D9">
        <w:rPr>
          <w:lang w:val="en-GB"/>
        </w:rPr>
        <w:t xml:space="preserve">Uniform </w:t>
      </w:r>
      <w:r w:rsidR="00135A60" w:rsidRPr="00896F5D">
        <w:rPr>
          <w:lang w:val="en-GB"/>
        </w:rPr>
        <w:t>Rule 31(1)</w:t>
      </w:r>
      <w:r w:rsidR="00135A60" w:rsidRPr="008C64D9">
        <w:rPr>
          <w:i/>
          <w:iCs/>
          <w:color w:val="auto"/>
          <w:sz w:val="16"/>
          <w:szCs w:val="16"/>
        </w:rPr>
        <w:t xml:space="preserve"> </w:t>
      </w:r>
      <w:r w:rsidR="00135A60" w:rsidRPr="00896F5D">
        <w:rPr>
          <w:iCs/>
          <w:color w:val="auto"/>
        </w:rPr>
        <w:t>(b) provides</w:t>
      </w:r>
      <w:r w:rsidR="00BF43DC" w:rsidRPr="00896F5D">
        <w:rPr>
          <w:iCs/>
          <w:color w:val="auto"/>
        </w:rPr>
        <w:t>:</w:t>
      </w:r>
    </w:p>
    <w:p w14:paraId="208493CA" w14:textId="33C6593C" w:rsidR="00135A60" w:rsidRPr="00896F5D" w:rsidRDefault="00135A60" w:rsidP="008C64D9">
      <w:pPr>
        <w:autoSpaceDE w:val="0"/>
        <w:autoSpaceDN w:val="0"/>
        <w:adjustRightInd w:val="0"/>
        <w:spacing w:line="480" w:lineRule="auto"/>
        <w:ind w:left="720"/>
        <w:jc w:val="both"/>
        <w:rPr>
          <w:color w:val="auto"/>
          <w:sz w:val="20"/>
          <w:szCs w:val="20"/>
        </w:rPr>
      </w:pPr>
      <w:r w:rsidRPr="00896F5D">
        <w:rPr>
          <w:i/>
          <w:iCs/>
          <w:color w:val="auto"/>
          <w:sz w:val="20"/>
          <w:szCs w:val="20"/>
        </w:rPr>
        <w:lastRenderedPageBreak/>
        <w:t>‘</w:t>
      </w:r>
      <w:r w:rsidRPr="00896F5D">
        <w:rPr>
          <w:color w:val="auto"/>
          <w:sz w:val="20"/>
          <w:szCs w:val="20"/>
        </w:rPr>
        <w:t>A defendant may within 20 days after acquiring knowledge of such judgment apply to court upon notice to the plaintiff to set aside such judgment and the court may, upon good cause shown, set aside the default judgment on such terms as it deems fit’.</w:t>
      </w:r>
    </w:p>
    <w:p w14:paraId="732C4A94" w14:textId="77777777" w:rsidR="00135A60" w:rsidRPr="00896F5D" w:rsidRDefault="00135A60" w:rsidP="008C64D9">
      <w:pPr>
        <w:autoSpaceDE w:val="0"/>
        <w:autoSpaceDN w:val="0"/>
        <w:adjustRightInd w:val="0"/>
        <w:spacing w:line="480" w:lineRule="auto"/>
        <w:jc w:val="both"/>
        <w:rPr>
          <w:color w:val="auto"/>
        </w:rPr>
      </w:pPr>
    </w:p>
    <w:p w14:paraId="3F06C79D" w14:textId="0FDCB23D" w:rsidR="00AF763E" w:rsidRPr="008C64D9" w:rsidRDefault="00135A60" w:rsidP="008C64D9">
      <w:pPr>
        <w:autoSpaceDE w:val="0"/>
        <w:autoSpaceDN w:val="0"/>
        <w:adjustRightInd w:val="0"/>
        <w:spacing w:line="480" w:lineRule="auto"/>
        <w:jc w:val="both"/>
        <w:rPr>
          <w:rFonts w:eastAsia="Times New Roman"/>
          <w:lang w:eastAsia="en-ZA"/>
        </w:rPr>
      </w:pPr>
      <w:r w:rsidRPr="00896F5D">
        <w:rPr>
          <w:lang w:val="en-GB"/>
        </w:rPr>
        <w:t>[16]</w:t>
      </w:r>
      <w:r w:rsidR="00BF43DC" w:rsidRPr="00896F5D">
        <w:rPr>
          <w:lang w:val="en-GB"/>
        </w:rPr>
        <w:tab/>
      </w:r>
      <w:r w:rsidR="00490ABC" w:rsidRPr="00896F5D">
        <w:rPr>
          <w:lang w:val="en-GB"/>
        </w:rPr>
        <w:t>I</w:t>
      </w:r>
      <w:r w:rsidR="00766C5D" w:rsidRPr="00896F5D">
        <w:rPr>
          <w:lang w:val="en-GB"/>
        </w:rPr>
        <w:t>n</w:t>
      </w:r>
      <w:r w:rsidR="00766C5D" w:rsidRPr="00896F5D">
        <w:rPr>
          <w:b/>
          <w:bCs/>
          <w:i/>
          <w:iCs/>
          <w:color w:val="000000"/>
        </w:rPr>
        <w:t xml:space="preserve"> </w:t>
      </w:r>
      <w:r w:rsidR="00766C5D" w:rsidRPr="00896F5D">
        <w:rPr>
          <w:bCs/>
          <w:i/>
          <w:iCs/>
          <w:color w:val="000000"/>
        </w:rPr>
        <w:t>De Wet and Others v Wester</w:t>
      </w:r>
      <w:r w:rsidR="00AF763E" w:rsidRPr="00896F5D">
        <w:rPr>
          <w:bCs/>
          <w:i/>
          <w:iCs/>
          <w:color w:val="000000"/>
        </w:rPr>
        <w:t>n Bank Ltd</w:t>
      </w:r>
      <w:r w:rsidR="00AF763E" w:rsidRPr="00896F5D">
        <w:rPr>
          <w:rStyle w:val="FootnoteReference"/>
          <w:bCs/>
          <w:i/>
          <w:iCs/>
          <w:color w:val="000000"/>
        </w:rPr>
        <w:footnoteReference w:id="3"/>
      </w:r>
      <w:r w:rsidR="00AF763E" w:rsidRPr="00896F5D">
        <w:rPr>
          <w:b/>
          <w:bCs/>
          <w:i/>
          <w:iCs/>
          <w:color w:val="000000"/>
        </w:rPr>
        <w:t xml:space="preserve"> </w:t>
      </w:r>
      <w:r w:rsidR="00766C5D" w:rsidRPr="00896F5D">
        <w:rPr>
          <w:color w:val="000000"/>
        </w:rPr>
        <w:t>Trengrove AJA</w:t>
      </w:r>
      <w:r w:rsidR="00766C5D" w:rsidRPr="00896F5D">
        <w:rPr>
          <w:i/>
          <w:iCs/>
          <w:color w:val="000000"/>
        </w:rPr>
        <w:t>, (as he then was)</w:t>
      </w:r>
      <w:r w:rsidR="00766C5D" w:rsidRPr="00896F5D">
        <w:rPr>
          <w:color w:val="000000"/>
        </w:rPr>
        <w:t xml:space="preserve">, </w:t>
      </w:r>
      <w:r w:rsidR="007C35F4" w:rsidRPr="00896F5D">
        <w:rPr>
          <w:color w:val="000000"/>
        </w:rPr>
        <w:t>deliberated</w:t>
      </w:r>
      <w:r w:rsidR="00350FA0" w:rsidRPr="00896F5D">
        <w:rPr>
          <w:color w:val="000000"/>
        </w:rPr>
        <w:t xml:space="preserve"> on </w:t>
      </w:r>
      <w:r w:rsidR="00766C5D" w:rsidRPr="00896F5D">
        <w:rPr>
          <w:color w:val="000000"/>
        </w:rPr>
        <w:t xml:space="preserve">the common law provisions </w:t>
      </w:r>
      <w:r w:rsidR="007C35F4" w:rsidRPr="00896F5D">
        <w:rPr>
          <w:color w:val="000000"/>
        </w:rPr>
        <w:t>concerning</w:t>
      </w:r>
      <w:r w:rsidR="00766C5D" w:rsidRPr="00896F5D">
        <w:rPr>
          <w:color w:val="000000"/>
        </w:rPr>
        <w:t xml:space="preserve"> the rescission of</w:t>
      </w:r>
      <w:r w:rsidR="00350FA0" w:rsidRPr="00896F5D">
        <w:rPr>
          <w:color w:val="000000"/>
        </w:rPr>
        <w:t xml:space="preserve"> the</w:t>
      </w:r>
      <w:r w:rsidR="00FF1D52" w:rsidRPr="00896F5D">
        <w:rPr>
          <w:color w:val="000000"/>
        </w:rPr>
        <w:t xml:space="preserve"> judgment.</w:t>
      </w:r>
      <w:r w:rsidR="00766C5D" w:rsidRPr="00896F5D">
        <w:rPr>
          <w:color w:val="000000"/>
        </w:rPr>
        <w:t xml:space="preserve"> The le</w:t>
      </w:r>
      <w:r w:rsidR="00AF763E" w:rsidRPr="00896F5D">
        <w:rPr>
          <w:color w:val="000000"/>
        </w:rPr>
        <w:t>arned judge remarked as follows:</w:t>
      </w:r>
      <w:r w:rsidR="00AF763E" w:rsidRPr="008C64D9">
        <w:rPr>
          <w:rFonts w:eastAsia="Times New Roman"/>
          <w:lang w:eastAsia="en-ZA"/>
        </w:rPr>
        <w:t xml:space="preserve"> </w:t>
      </w:r>
    </w:p>
    <w:p w14:paraId="711A7D19" w14:textId="55013FD7" w:rsidR="00AF763E" w:rsidRPr="008C64D9" w:rsidRDefault="00AF763E" w:rsidP="008C64D9">
      <w:pPr>
        <w:spacing w:line="480" w:lineRule="auto"/>
        <w:ind w:left="1701"/>
        <w:jc w:val="both"/>
        <w:rPr>
          <w:rFonts w:eastAsia="Times New Roman"/>
          <w:lang w:eastAsia="en-ZA"/>
        </w:rPr>
      </w:pPr>
      <w:r w:rsidRPr="00896F5D">
        <w:rPr>
          <w:rFonts w:eastAsia="Times New Roman"/>
          <w:sz w:val="20"/>
          <w:szCs w:val="20"/>
          <w:lang w:eastAsia="en-ZA"/>
        </w:rPr>
        <w:t xml:space="preserve">‘Under the common law, the Courts of Holland were, generally speaking, empowered to rescind judgments obtained on default of appearance, </w:t>
      </w:r>
      <w:r w:rsidRPr="00E1568E">
        <w:rPr>
          <w:rFonts w:eastAsia="Times New Roman"/>
          <w:sz w:val="20"/>
          <w:szCs w:val="20"/>
          <w:u w:val="single"/>
          <w:lang w:eastAsia="en-ZA"/>
        </w:rPr>
        <w:t>on sufficient cause shown</w:t>
      </w:r>
      <w:r w:rsidRPr="00896F5D">
        <w:rPr>
          <w:rFonts w:eastAsia="Times New Roman"/>
          <w:sz w:val="20"/>
          <w:szCs w:val="20"/>
          <w:lang w:eastAsia="en-ZA"/>
        </w:rPr>
        <w:t xml:space="preserve">. This power was entrusted to the discretion of the Courts. This discretion extended beyond, and was not limited to, the grounds provided in Rules of Court 31 and 42 (1) and those specifically mentioned in </w:t>
      </w:r>
      <w:r w:rsidRPr="00896F5D">
        <w:rPr>
          <w:rFonts w:eastAsia="Times New Roman"/>
          <w:i/>
          <w:iCs/>
          <w:sz w:val="20"/>
          <w:szCs w:val="20"/>
          <w:lang w:eastAsia="en-ZA"/>
        </w:rPr>
        <w:t>Childerley Estate Stores v Standard Bank of SA Ltd</w:t>
      </w:r>
      <w:r w:rsidRPr="00896F5D">
        <w:rPr>
          <w:rFonts w:eastAsia="Times New Roman"/>
          <w:sz w:val="20"/>
          <w:szCs w:val="20"/>
          <w:lang w:eastAsia="en-ZA"/>
        </w:rPr>
        <w:t xml:space="preserve"> 1924 OPD 163’</w:t>
      </w:r>
      <w:r w:rsidRPr="00E1568E">
        <w:rPr>
          <w:rFonts w:eastAsia="Times New Roman"/>
          <w:sz w:val="20"/>
          <w:szCs w:val="20"/>
          <w:lang w:eastAsia="en-ZA"/>
        </w:rPr>
        <w:t>.</w:t>
      </w:r>
      <w:r w:rsidR="00E1568E" w:rsidRPr="00E1568E">
        <w:rPr>
          <w:rFonts w:eastAsia="Times New Roman"/>
          <w:sz w:val="20"/>
          <w:szCs w:val="20"/>
          <w:lang w:eastAsia="en-ZA"/>
        </w:rPr>
        <w:t>(my underlining)</w:t>
      </w:r>
    </w:p>
    <w:p w14:paraId="2E81BB8C" w14:textId="77777777" w:rsidR="00055DAC" w:rsidRPr="00896F5D" w:rsidRDefault="00055DAC" w:rsidP="00896F5D">
      <w:pPr>
        <w:pStyle w:val="ListParagraph"/>
        <w:spacing w:line="480" w:lineRule="auto"/>
        <w:jc w:val="both"/>
        <w:rPr>
          <w:lang w:val="en-GB"/>
        </w:rPr>
      </w:pPr>
    </w:p>
    <w:p w14:paraId="17BF07B1" w14:textId="0076A6B3" w:rsidR="0079453F" w:rsidRPr="00896F5D" w:rsidRDefault="00135A60" w:rsidP="00896F5D">
      <w:pPr>
        <w:pStyle w:val="ListParagraph"/>
        <w:tabs>
          <w:tab w:val="left" w:pos="851"/>
        </w:tabs>
        <w:spacing w:line="480" w:lineRule="auto"/>
        <w:ind w:left="0"/>
        <w:jc w:val="both"/>
        <w:rPr>
          <w:rFonts w:eastAsia="Times New Roman"/>
          <w:lang w:eastAsia="en-ZA"/>
        </w:rPr>
      </w:pPr>
      <w:r w:rsidRPr="00896F5D">
        <w:rPr>
          <w:lang w:val="en-GB"/>
        </w:rPr>
        <w:t>[17</w:t>
      </w:r>
      <w:r w:rsidR="00055DAC" w:rsidRPr="00896F5D">
        <w:rPr>
          <w:lang w:val="en-GB"/>
        </w:rPr>
        <w:t>]</w:t>
      </w:r>
      <w:r w:rsidR="00055DAC" w:rsidRPr="00896F5D">
        <w:rPr>
          <w:lang w:val="en-GB"/>
        </w:rPr>
        <w:tab/>
      </w:r>
      <w:r w:rsidR="00AF763E" w:rsidRPr="00896F5D">
        <w:rPr>
          <w:lang w:val="en-GB"/>
        </w:rPr>
        <w:t xml:space="preserve">In </w:t>
      </w:r>
      <w:r w:rsidR="00AF763E" w:rsidRPr="00896F5D">
        <w:rPr>
          <w:i/>
          <w:lang w:val="en-GB"/>
        </w:rPr>
        <w:t>Zuma</w:t>
      </w:r>
      <w:r w:rsidR="00134070" w:rsidRPr="00896F5D">
        <w:rPr>
          <w:i/>
          <w:lang w:val="en-GB"/>
        </w:rPr>
        <w:t xml:space="preserve"> v </w:t>
      </w:r>
      <w:r w:rsidR="00134070" w:rsidRPr="00896F5D">
        <w:rPr>
          <w:rFonts w:eastAsia="Times New Roman"/>
          <w:i/>
          <w:lang w:eastAsia="en-ZA"/>
        </w:rPr>
        <w:t>the Secretary of the Judicial Service Commission of Inquiry into Allegations of State Capture, Corruption and Fraud in the Public Sector including Organs of the State and Others</w:t>
      </w:r>
      <w:r w:rsidR="00134070" w:rsidRPr="00896F5D">
        <w:rPr>
          <w:rStyle w:val="FootnoteReference"/>
          <w:rFonts w:eastAsia="Times New Roman"/>
          <w:lang w:eastAsia="en-ZA"/>
        </w:rPr>
        <w:footnoteReference w:id="4"/>
      </w:r>
      <w:r w:rsidR="00134070" w:rsidRPr="00896F5D">
        <w:rPr>
          <w:rFonts w:eastAsia="Times New Roman"/>
          <w:lang w:eastAsia="en-ZA"/>
        </w:rPr>
        <w:t xml:space="preserve">, </w:t>
      </w:r>
      <w:r w:rsidR="00AA40E4" w:rsidRPr="00896F5D">
        <w:rPr>
          <w:rFonts w:eastAsia="Times New Roman"/>
          <w:lang w:eastAsia="en-ZA"/>
        </w:rPr>
        <w:t>the</w:t>
      </w:r>
      <w:r w:rsidR="00293A0B" w:rsidRPr="00896F5D">
        <w:rPr>
          <w:rFonts w:eastAsia="Times New Roman"/>
          <w:lang w:eastAsia="en-ZA"/>
        </w:rPr>
        <w:t xml:space="preserve"> Constitutional C</w:t>
      </w:r>
      <w:r w:rsidR="00AA40E4" w:rsidRPr="00896F5D">
        <w:rPr>
          <w:rFonts w:eastAsia="Times New Roman"/>
          <w:lang w:eastAsia="en-ZA"/>
        </w:rPr>
        <w:t>ourt restated the requirements for the rescission of the judgment in terms of the common law as foll</w:t>
      </w:r>
      <w:r w:rsidR="00293A0B" w:rsidRPr="00896F5D">
        <w:rPr>
          <w:rFonts w:eastAsia="Times New Roman"/>
          <w:lang w:eastAsia="en-ZA"/>
        </w:rPr>
        <w:t>o</w:t>
      </w:r>
      <w:r w:rsidR="00AA40E4" w:rsidRPr="00896F5D">
        <w:rPr>
          <w:rFonts w:eastAsia="Times New Roman"/>
          <w:lang w:eastAsia="en-ZA"/>
        </w:rPr>
        <w:t>ws</w:t>
      </w:r>
      <w:r w:rsidR="007C35F4" w:rsidRPr="00896F5D">
        <w:rPr>
          <w:rFonts w:eastAsia="Times New Roman"/>
          <w:lang w:eastAsia="en-ZA"/>
        </w:rPr>
        <w:t>:</w:t>
      </w:r>
    </w:p>
    <w:p w14:paraId="7AC0CDC8" w14:textId="20AE9592" w:rsidR="00896F5D" w:rsidRPr="008C64D9" w:rsidRDefault="00293A0B" w:rsidP="008C64D9">
      <w:pPr>
        <w:pStyle w:val="JUDGMENTCONTINUED"/>
        <w:ind w:left="720"/>
        <w:rPr>
          <w:rFonts w:ascii="Arial" w:hAnsi="Arial" w:cs="Arial"/>
        </w:rPr>
      </w:pPr>
      <w:r w:rsidRPr="00896F5D">
        <w:rPr>
          <w:rFonts w:ascii="Arial" w:hAnsi="Arial" w:cs="Arial"/>
          <w:sz w:val="20"/>
          <w:szCs w:val="20"/>
        </w:rPr>
        <w:t>‘[71]</w:t>
      </w:r>
      <w:r w:rsidRPr="008C64D9">
        <w:rPr>
          <w:sz w:val="20"/>
          <w:szCs w:val="20"/>
        </w:rPr>
        <w:t xml:space="preserve"> </w:t>
      </w:r>
      <w:r w:rsidRPr="00896F5D">
        <w:rPr>
          <w:rFonts w:ascii="Arial" w:hAnsi="Arial" w:cs="Arial"/>
          <w:sz w:val="20"/>
          <w:szCs w:val="20"/>
        </w:rPr>
        <w:t>The</w:t>
      </w:r>
      <w:r w:rsidR="00AA40E4" w:rsidRPr="00896F5D">
        <w:rPr>
          <w:rFonts w:ascii="Arial" w:hAnsi="Arial" w:cs="Arial"/>
          <w:sz w:val="20"/>
          <w:szCs w:val="20"/>
        </w:rPr>
        <w:t xml:space="preserve"> requirements for rescission of a default judgment are two</w:t>
      </w:r>
      <w:r w:rsidR="00FF1D52" w:rsidRPr="00896F5D">
        <w:rPr>
          <w:rFonts w:ascii="Arial" w:hAnsi="Arial" w:cs="Arial"/>
          <w:sz w:val="20"/>
          <w:szCs w:val="20"/>
        </w:rPr>
        <w:t>-</w:t>
      </w:r>
      <w:r w:rsidR="00AA40E4" w:rsidRPr="00896F5D">
        <w:rPr>
          <w:rFonts w:ascii="Arial" w:hAnsi="Arial" w:cs="Arial"/>
          <w:sz w:val="20"/>
          <w:szCs w:val="20"/>
        </w:rPr>
        <w:t>fold.  First, the applicant must furnish a reasonable and satisfactory explanation for its default.  Second, it must show that on the merits it has a bona fide defence which prima facie carries some prospect of success.  Proof of these requirements is taken as showing that there is sufficient cause for an order to be rescinded.  A failure to meet one of them may result in ref</w:t>
      </w:r>
      <w:r w:rsidRPr="00896F5D">
        <w:rPr>
          <w:rFonts w:ascii="Arial" w:hAnsi="Arial" w:cs="Arial"/>
          <w:sz w:val="20"/>
          <w:szCs w:val="20"/>
        </w:rPr>
        <w:t>usal of the request to rescind.’</w:t>
      </w:r>
    </w:p>
    <w:p w14:paraId="5D38D888" w14:textId="77777777" w:rsidR="00896F5D" w:rsidRPr="008C64D9" w:rsidRDefault="00896F5D" w:rsidP="008C64D9"/>
    <w:p w14:paraId="19E10A1A" w14:textId="13D547BD" w:rsidR="00AA40E4" w:rsidRPr="008C64D9" w:rsidRDefault="00A81B4A" w:rsidP="008C64D9">
      <w:pPr>
        <w:pStyle w:val="QUOTATION"/>
        <w:rPr>
          <w:sz w:val="20"/>
          <w:szCs w:val="20"/>
        </w:rPr>
      </w:pPr>
      <w:r w:rsidRPr="008C64D9">
        <w:rPr>
          <w:rFonts w:ascii="Arial" w:hAnsi="Arial" w:cs="Arial"/>
          <w:sz w:val="20"/>
          <w:szCs w:val="20"/>
        </w:rPr>
        <w:t>‘</w:t>
      </w:r>
      <w:r w:rsidR="00AA40E4" w:rsidRPr="008C64D9">
        <w:rPr>
          <w:rFonts w:ascii="Arial" w:hAnsi="Arial" w:cs="Arial"/>
          <w:sz w:val="20"/>
          <w:szCs w:val="20"/>
        </w:rPr>
        <w:t>Thus, the existing common law test is simple:</w:t>
      </w:r>
      <w:r w:rsidR="00293A0B" w:rsidRPr="008C64D9">
        <w:rPr>
          <w:rFonts w:ascii="Arial" w:hAnsi="Arial" w:cs="Arial"/>
          <w:sz w:val="20"/>
          <w:szCs w:val="20"/>
        </w:rPr>
        <w:t xml:space="preserve"> both requirements must be met</w:t>
      </w:r>
      <w:r w:rsidRPr="008C64D9">
        <w:rPr>
          <w:rFonts w:ascii="Arial" w:hAnsi="Arial" w:cs="Arial"/>
          <w:sz w:val="20"/>
          <w:szCs w:val="20"/>
        </w:rPr>
        <w:t>’</w:t>
      </w:r>
      <w:r w:rsidR="00293A0B" w:rsidRPr="008C64D9">
        <w:rPr>
          <w:rFonts w:ascii="Arial" w:hAnsi="Arial" w:cs="Arial"/>
          <w:sz w:val="20"/>
          <w:szCs w:val="20"/>
        </w:rPr>
        <w:t xml:space="preserve">.  </w:t>
      </w:r>
    </w:p>
    <w:p w14:paraId="2AD5B728" w14:textId="768F5544" w:rsidR="00293A0B" w:rsidRPr="00896F5D" w:rsidRDefault="00293A0B" w:rsidP="00896F5D">
      <w:pPr>
        <w:pStyle w:val="ListParagraph"/>
        <w:tabs>
          <w:tab w:val="left" w:pos="851"/>
        </w:tabs>
        <w:spacing w:line="480" w:lineRule="auto"/>
        <w:ind w:left="0"/>
        <w:jc w:val="both"/>
      </w:pPr>
    </w:p>
    <w:p w14:paraId="1575EF40" w14:textId="29D0359F" w:rsidR="007C0DF4" w:rsidRPr="00896F5D" w:rsidRDefault="00135A60" w:rsidP="00896F5D">
      <w:pPr>
        <w:pStyle w:val="ListParagraph"/>
        <w:tabs>
          <w:tab w:val="left" w:pos="851"/>
        </w:tabs>
        <w:spacing w:line="480" w:lineRule="auto"/>
        <w:ind w:left="0"/>
        <w:jc w:val="both"/>
        <w:rPr>
          <w:lang w:val="en-GB"/>
        </w:rPr>
      </w:pPr>
      <w:r w:rsidRPr="00896F5D">
        <w:rPr>
          <w:lang w:val="en-GB"/>
        </w:rPr>
        <w:lastRenderedPageBreak/>
        <w:t>[18</w:t>
      </w:r>
      <w:r w:rsidR="00055DAC" w:rsidRPr="00896F5D">
        <w:rPr>
          <w:lang w:val="en-GB"/>
        </w:rPr>
        <w:t>]</w:t>
      </w:r>
      <w:r w:rsidR="00055DAC" w:rsidRPr="00896F5D">
        <w:rPr>
          <w:lang w:val="en-GB"/>
        </w:rPr>
        <w:tab/>
      </w:r>
      <w:r w:rsidR="00293A0B" w:rsidRPr="00896F5D">
        <w:rPr>
          <w:lang w:val="en-GB"/>
        </w:rPr>
        <w:t xml:space="preserve">In </w:t>
      </w:r>
      <w:r w:rsidR="00FD6871" w:rsidRPr="00896F5D">
        <w:rPr>
          <w:lang w:val="en-GB"/>
        </w:rPr>
        <w:t xml:space="preserve">deliberating upon whether </w:t>
      </w:r>
      <w:r w:rsidR="00FA67D8" w:rsidRPr="00896F5D">
        <w:rPr>
          <w:lang w:val="en-GB"/>
        </w:rPr>
        <w:t xml:space="preserve">the defendant was in wilful default, </w:t>
      </w:r>
      <w:r w:rsidR="007C0DF4" w:rsidRPr="00896F5D">
        <w:rPr>
          <w:lang w:val="en-GB"/>
        </w:rPr>
        <w:t>I bear in mind what was stated</w:t>
      </w:r>
      <w:r w:rsidR="00FA67D8" w:rsidRPr="00896F5D">
        <w:rPr>
          <w:lang w:val="en-GB"/>
        </w:rPr>
        <w:t xml:space="preserve"> in the case of </w:t>
      </w:r>
      <w:r w:rsidR="00FA67D8" w:rsidRPr="00896F5D">
        <w:rPr>
          <w:i/>
          <w:lang w:val="en-GB"/>
        </w:rPr>
        <w:t>Harris v ABSA Bank (Pty) LTD Volksas</w:t>
      </w:r>
      <w:r w:rsidR="007C0DF4" w:rsidRPr="00896F5D">
        <w:rPr>
          <w:rStyle w:val="FootnoteReference"/>
          <w:lang w:val="en-GB"/>
        </w:rPr>
        <w:footnoteReference w:id="5"/>
      </w:r>
      <w:r w:rsidR="00B903C3" w:rsidRPr="00896F5D">
        <w:rPr>
          <w:lang w:val="en-GB"/>
        </w:rPr>
        <w:t>,</w:t>
      </w:r>
    </w:p>
    <w:p w14:paraId="385E82D3" w14:textId="3B01DC4A" w:rsidR="00B903C3" w:rsidRPr="008C64D9" w:rsidRDefault="00B903C3" w:rsidP="008C64D9">
      <w:pPr>
        <w:tabs>
          <w:tab w:val="left" w:pos="851"/>
        </w:tabs>
        <w:spacing w:line="480" w:lineRule="auto"/>
        <w:ind w:left="720"/>
        <w:jc w:val="both"/>
        <w:rPr>
          <w:sz w:val="20"/>
          <w:szCs w:val="20"/>
          <w:lang w:val="en-GB"/>
        </w:rPr>
      </w:pPr>
      <w:r w:rsidRPr="008C64D9">
        <w:rPr>
          <w:sz w:val="20"/>
          <w:szCs w:val="20"/>
          <w:lang w:val="en-GB"/>
        </w:rPr>
        <w:t>‘Headnote:</w:t>
      </w:r>
      <w:r w:rsidRPr="008C64D9">
        <w:rPr>
          <w:rFonts w:eastAsia="Times New Roman"/>
          <w:sz w:val="20"/>
          <w:szCs w:val="20"/>
          <w:lang w:eastAsia="en-ZA"/>
        </w:rPr>
        <w:t xml:space="preserve"> Before an applicant in a rescission of judgment application can be said to be in 'wilful default' he or she must bear knowledge of the action brought against him or her and of the steps required to avoid  [E] the default. Such an applicant must deliberately, being free to do so, fail or omit to take the step which would avoid the default and must appreciate the legal consequences of his or her actions. A decision freely taken to refrain from filing a notice to defend or a plea or from appearing will ordinarily weigh heavily against an applicant required to establish sufficient cause. However, it is not correct </w:t>
      </w:r>
      <w:r w:rsidR="00B2559E" w:rsidRPr="008C64D9">
        <w:rPr>
          <w:rFonts w:eastAsia="Times New Roman"/>
          <w:sz w:val="20"/>
          <w:szCs w:val="20"/>
          <w:lang w:eastAsia="en-ZA"/>
        </w:rPr>
        <w:t>[F</w:t>
      </w:r>
      <w:r w:rsidRPr="008C64D9">
        <w:rPr>
          <w:rFonts w:eastAsia="Times New Roman"/>
          <w:sz w:val="20"/>
          <w:szCs w:val="20"/>
          <w:lang w:eastAsia="en-ZA"/>
        </w:rPr>
        <w:t>] that, once wilful default is shown, the applicant is barred; that he or she is then never entitled to relief by way of rescission as he or she has acquiesced. The Court's discretion in deciding whether sufficient cause has been established must not be unduly restricted. The mental element of the default, whatever description it bears, should be one of the several elements which the Court must weigh in determining whether sufficient or good cause has been shown to exist’.</w:t>
      </w:r>
    </w:p>
    <w:p w14:paraId="7C7A438D" w14:textId="77777777" w:rsidR="007C0DF4" w:rsidRPr="00896F5D" w:rsidRDefault="007C0DF4" w:rsidP="008C64D9">
      <w:pPr>
        <w:pStyle w:val="ListParagraph"/>
        <w:tabs>
          <w:tab w:val="left" w:pos="851"/>
        </w:tabs>
        <w:spacing w:line="480" w:lineRule="auto"/>
        <w:ind w:left="0"/>
        <w:jc w:val="both"/>
        <w:rPr>
          <w:sz w:val="20"/>
          <w:szCs w:val="20"/>
          <w:lang w:val="en-GB"/>
        </w:rPr>
      </w:pPr>
    </w:p>
    <w:p w14:paraId="48ADE57F" w14:textId="5154B3C5" w:rsidR="00FC0E86" w:rsidRPr="00896F5D" w:rsidRDefault="00293A0B" w:rsidP="00896F5D">
      <w:pPr>
        <w:pStyle w:val="ListParagraph"/>
        <w:tabs>
          <w:tab w:val="left" w:pos="851"/>
        </w:tabs>
        <w:spacing w:line="480" w:lineRule="auto"/>
        <w:ind w:left="0"/>
        <w:jc w:val="both"/>
        <w:rPr>
          <w:lang w:val="en-GB"/>
        </w:rPr>
      </w:pPr>
      <w:r w:rsidRPr="00896F5D">
        <w:rPr>
          <w:lang w:val="en-GB"/>
        </w:rPr>
        <w:t xml:space="preserve"> </w:t>
      </w:r>
      <w:r w:rsidR="00135A60" w:rsidRPr="00896F5D">
        <w:rPr>
          <w:lang w:val="en-GB"/>
        </w:rPr>
        <w:t>[19</w:t>
      </w:r>
      <w:r w:rsidR="00B903C3" w:rsidRPr="00896F5D">
        <w:rPr>
          <w:lang w:val="en-GB"/>
        </w:rPr>
        <w:t>]</w:t>
      </w:r>
      <w:r w:rsidR="00896F5D" w:rsidRPr="00896F5D">
        <w:rPr>
          <w:lang w:val="en-GB"/>
        </w:rPr>
        <w:tab/>
      </w:r>
      <w:r w:rsidR="00B903C3" w:rsidRPr="00896F5D">
        <w:rPr>
          <w:lang w:val="en-GB"/>
        </w:rPr>
        <w:t>A</w:t>
      </w:r>
      <w:r w:rsidRPr="00896F5D">
        <w:rPr>
          <w:lang w:val="en-GB"/>
        </w:rPr>
        <w:t xml:space="preserve">n argument was raised that the defendant was unaware that his attorneys had </w:t>
      </w:r>
      <w:r w:rsidR="00896F5D" w:rsidRPr="00896F5D">
        <w:rPr>
          <w:lang w:val="en-GB"/>
        </w:rPr>
        <w:t xml:space="preserve">withdrawn </w:t>
      </w:r>
      <w:r w:rsidRPr="00896F5D">
        <w:rPr>
          <w:lang w:val="en-GB"/>
        </w:rPr>
        <w:t xml:space="preserve">and in his further consultation he was given an undertaking that the matter </w:t>
      </w:r>
      <w:r w:rsidR="003B73B1" w:rsidRPr="00896F5D">
        <w:rPr>
          <w:lang w:val="en-GB"/>
        </w:rPr>
        <w:t xml:space="preserve">would </w:t>
      </w:r>
      <w:r w:rsidRPr="00896F5D">
        <w:rPr>
          <w:lang w:val="en-GB"/>
        </w:rPr>
        <w:t xml:space="preserve">be </w:t>
      </w:r>
      <w:r w:rsidR="003B73B1" w:rsidRPr="00896F5D">
        <w:rPr>
          <w:lang w:val="en-GB"/>
        </w:rPr>
        <w:t>resolved</w:t>
      </w:r>
      <w:r w:rsidRPr="00896F5D">
        <w:rPr>
          <w:lang w:val="en-GB"/>
        </w:rPr>
        <w:t xml:space="preserve">. </w:t>
      </w:r>
      <w:r w:rsidR="00180BE5" w:rsidRPr="00896F5D">
        <w:rPr>
          <w:lang w:val="en-GB"/>
        </w:rPr>
        <w:t xml:space="preserve">The </w:t>
      </w:r>
      <w:r w:rsidR="00C67C90" w:rsidRPr="00896F5D">
        <w:rPr>
          <w:lang w:val="en-GB"/>
        </w:rPr>
        <w:t>averments made</w:t>
      </w:r>
      <w:r w:rsidR="00180BE5" w:rsidRPr="00896F5D">
        <w:rPr>
          <w:lang w:val="en-GB"/>
        </w:rPr>
        <w:t xml:space="preserve"> by the defendant at paragraph</w:t>
      </w:r>
      <w:r w:rsidR="00896F5D" w:rsidRPr="00896F5D">
        <w:rPr>
          <w:lang w:val="en-GB"/>
        </w:rPr>
        <w:t>s</w:t>
      </w:r>
      <w:r w:rsidR="00180BE5" w:rsidRPr="00896F5D">
        <w:rPr>
          <w:lang w:val="en-GB"/>
        </w:rPr>
        <w:t xml:space="preserve"> </w:t>
      </w:r>
      <w:r w:rsidR="003B50A2" w:rsidRPr="00896F5D">
        <w:rPr>
          <w:lang w:val="en-GB"/>
        </w:rPr>
        <w:t xml:space="preserve">9-10 of his founding affidavit are puzzling. </w:t>
      </w:r>
      <w:r w:rsidR="003B73B1" w:rsidRPr="00896F5D">
        <w:rPr>
          <w:lang w:val="en-GB"/>
        </w:rPr>
        <w:t>They read as follows</w:t>
      </w:r>
      <w:r w:rsidR="003B50A2" w:rsidRPr="00896F5D">
        <w:rPr>
          <w:lang w:val="en-GB"/>
        </w:rPr>
        <w:t>:</w:t>
      </w:r>
    </w:p>
    <w:p w14:paraId="0F3F4468" w14:textId="7EE6D073" w:rsidR="003B50A2" w:rsidRPr="00896F5D" w:rsidRDefault="003B50A2" w:rsidP="00896F5D">
      <w:pPr>
        <w:pStyle w:val="ListParagraph"/>
        <w:tabs>
          <w:tab w:val="left" w:pos="851"/>
        </w:tabs>
        <w:spacing w:line="480" w:lineRule="auto"/>
        <w:ind w:left="1701"/>
        <w:jc w:val="both"/>
        <w:rPr>
          <w:sz w:val="20"/>
          <w:szCs w:val="20"/>
          <w:lang w:val="en-GB"/>
        </w:rPr>
      </w:pPr>
      <w:r w:rsidRPr="00896F5D">
        <w:rPr>
          <w:sz w:val="20"/>
          <w:szCs w:val="20"/>
          <w:lang w:val="en-GB"/>
        </w:rPr>
        <w:t>‘After my consultation with Ms Sheffer, I had no further contact with her and assumed that she indeed sorted the matter out on my behalf. I was surprised when I received an email on the 5</w:t>
      </w:r>
      <w:r w:rsidRPr="00896F5D">
        <w:rPr>
          <w:sz w:val="20"/>
          <w:szCs w:val="20"/>
          <w:vertAlign w:val="superscript"/>
          <w:lang w:val="en-GB"/>
        </w:rPr>
        <w:t>th</w:t>
      </w:r>
      <w:r w:rsidRPr="00896F5D">
        <w:rPr>
          <w:sz w:val="20"/>
          <w:szCs w:val="20"/>
          <w:lang w:val="en-GB"/>
        </w:rPr>
        <w:t xml:space="preserve"> of August 2022 where (to) sic a notice of set down of an application for default judgment against me was attached. I immediately forwarded same to Ms Sheffer and made an appointment with her. I consulted with Ms Scheffer, if my memory serves me correct, the following day. Ms Scheffer again assured me that she would give the matter the necessary attention and sort it out of my behalf.</w:t>
      </w:r>
      <w:r w:rsidR="003B73B1" w:rsidRPr="00896F5D">
        <w:rPr>
          <w:sz w:val="20"/>
          <w:szCs w:val="20"/>
          <w:lang w:val="en-GB"/>
        </w:rPr>
        <w:t xml:space="preserve"> </w:t>
      </w:r>
      <w:r w:rsidR="003B73B1" w:rsidRPr="00896F5D">
        <w:rPr>
          <w:sz w:val="20"/>
          <w:szCs w:val="20"/>
          <w:u w:val="single"/>
          <w:lang w:val="en-GB"/>
        </w:rPr>
        <w:t xml:space="preserve">Thereafter I </w:t>
      </w:r>
      <w:r w:rsidR="003B73B1" w:rsidRPr="00896F5D">
        <w:rPr>
          <w:sz w:val="20"/>
          <w:szCs w:val="20"/>
          <w:lang w:val="en-GB"/>
        </w:rPr>
        <w:t>again</w:t>
      </w:r>
      <w:r w:rsidR="003B73B1" w:rsidRPr="00896F5D">
        <w:rPr>
          <w:sz w:val="20"/>
          <w:szCs w:val="20"/>
          <w:u w:val="single"/>
          <w:lang w:val="en-GB"/>
        </w:rPr>
        <w:t xml:space="preserve"> had no contact with Ms Sheffer’ (my underlining.</w:t>
      </w:r>
      <w:r w:rsidRPr="00896F5D">
        <w:rPr>
          <w:sz w:val="20"/>
          <w:szCs w:val="20"/>
          <w:lang w:val="en-GB"/>
        </w:rPr>
        <w:t xml:space="preserve"> </w:t>
      </w:r>
    </w:p>
    <w:p w14:paraId="079D0D79" w14:textId="4AC36EA2" w:rsidR="003B50A2" w:rsidRPr="00896F5D" w:rsidRDefault="003B50A2" w:rsidP="00896F5D">
      <w:pPr>
        <w:pStyle w:val="ListParagraph"/>
        <w:tabs>
          <w:tab w:val="left" w:pos="851"/>
        </w:tabs>
        <w:spacing w:line="480" w:lineRule="auto"/>
        <w:ind w:left="1701"/>
        <w:jc w:val="both"/>
        <w:rPr>
          <w:sz w:val="20"/>
          <w:szCs w:val="20"/>
          <w:lang w:val="en-GB"/>
        </w:rPr>
      </w:pPr>
    </w:p>
    <w:p w14:paraId="3BD9E0AD" w14:textId="00293206" w:rsidR="00C46B9A" w:rsidRPr="00896F5D" w:rsidRDefault="00135A60" w:rsidP="00896F5D">
      <w:pPr>
        <w:pStyle w:val="ListParagraph"/>
        <w:tabs>
          <w:tab w:val="left" w:pos="851"/>
        </w:tabs>
        <w:spacing w:line="480" w:lineRule="auto"/>
        <w:ind w:left="0"/>
        <w:jc w:val="both"/>
        <w:rPr>
          <w:lang w:val="en-GB"/>
        </w:rPr>
      </w:pPr>
      <w:r w:rsidRPr="00896F5D">
        <w:rPr>
          <w:lang w:val="en-GB"/>
        </w:rPr>
        <w:lastRenderedPageBreak/>
        <w:t>[20</w:t>
      </w:r>
      <w:r w:rsidR="00055DAC" w:rsidRPr="00896F5D">
        <w:rPr>
          <w:lang w:val="en-GB"/>
        </w:rPr>
        <w:t>]</w:t>
      </w:r>
      <w:r w:rsidR="00055DAC" w:rsidRPr="00896F5D">
        <w:rPr>
          <w:lang w:val="en-GB"/>
        </w:rPr>
        <w:tab/>
      </w:r>
      <w:r w:rsidR="00A81B4A" w:rsidRPr="00896F5D">
        <w:rPr>
          <w:lang w:val="en-GB"/>
        </w:rPr>
        <w:t>Incontrovertibly,</w:t>
      </w:r>
      <w:r w:rsidR="00B903C3" w:rsidRPr="00896F5D">
        <w:rPr>
          <w:lang w:val="en-GB"/>
        </w:rPr>
        <w:t xml:space="preserve"> </w:t>
      </w:r>
      <w:r w:rsidR="00A81B4A" w:rsidRPr="00896F5D">
        <w:rPr>
          <w:lang w:val="en-GB"/>
        </w:rPr>
        <w:t>t</w:t>
      </w:r>
      <w:r w:rsidR="00B903C3" w:rsidRPr="00896F5D">
        <w:rPr>
          <w:lang w:val="en-GB"/>
        </w:rPr>
        <w:t xml:space="preserve">he </w:t>
      </w:r>
      <w:r w:rsidR="00A81B4A" w:rsidRPr="00896F5D">
        <w:rPr>
          <w:lang w:val="en-GB"/>
        </w:rPr>
        <w:t xml:space="preserve">defendant </w:t>
      </w:r>
      <w:r w:rsidR="00B903C3" w:rsidRPr="00896F5D">
        <w:rPr>
          <w:lang w:val="en-GB"/>
        </w:rPr>
        <w:t>received the summons</w:t>
      </w:r>
      <w:r w:rsidR="003B73B1" w:rsidRPr="00896F5D">
        <w:rPr>
          <w:lang w:val="en-GB"/>
        </w:rPr>
        <w:t xml:space="preserve"> along</w:t>
      </w:r>
      <w:r w:rsidR="00B903C3" w:rsidRPr="00896F5D">
        <w:rPr>
          <w:lang w:val="en-GB"/>
        </w:rPr>
        <w:t xml:space="preserve"> with the </w:t>
      </w:r>
      <w:r w:rsidR="001E7DE0" w:rsidRPr="00896F5D">
        <w:rPr>
          <w:lang w:val="en-GB"/>
        </w:rPr>
        <w:t>particulars</w:t>
      </w:r>
      <w:r w:rsidR="00B903C3" w:rsidRPr="00896F5D">
        <w:rPr>
          <w:lang w:val="en-GB"/>
        </w:rPr>
        <w:t xml:space="preserve"> of claim and the </w:t>
      </w:r>
      <w:r w:rsidR="003B73B1" w:rsidRPr="00896F5D">
        <w:rPr>
          <w:lang w:val="en-GB"/>
        </w:rPr>
        <w:t>accompanying</w:t>
      </w:r>
      <w:r w:rsidR="00B903C3" w:rsidRPr="00896F5D">
        <w:rPr>
          <w:lang w:val="en-GB"/>
        </w:rPr>
        <w:t xml:space="preserve"> attachments.</w:t>
      </w:r>
      <w:r w:rsidR="001E7DE0" w:rsidRPr="00896F5D">
        <w:rPr>
          <w:lang w:val="en-GB"/>
        </w:rPr>
        <w:t xml:space="preserve"> The defendant’s attorneys</w:t>
      </w:r>
      <w:r w:rsidR="00A81B4A" w:rsidRPr="00896F5D">
        <w:rPr>
          <w:lang w:val="en-GB"/>
        </w:rPr>
        <w:t xml:space="preserve"> filed a notice of intention to defend the </w:t>
      </w:r>
      <w:r w:rsidR="003B73B1" w:rsidRPr="00896F5D">
        <w:rPr>
          <w:lang w:val="en-GB"/>
        </w:rPr>
        <w:t xml:space="preserve">matter but </w:t>
      </w:r>
      <w:r w:rsidR="00082693" w:rsidRPr="00896F5D">
        <w:rPr>
          <w:lang w:val="en-GB"/>
        </w:rPr>
        <w:t>neglected to</w:t>
      </w:r>
      <w:r w:rsidR="001E7DE0" w:rsidRPr="00896F5D">
        <w:rPr>
          <w:lang w:val="en-GB"/>
        </w:rPr>
        <w:t xml:space="preserve"> file a plea resulting in an application for default judgment. </w:t>
      </w:r>
      <w:r w:rsidR="003B73B1" w:rsidRPr="00896F5D">
        <w:rPr>
          <w:lang w:val="en-GB"/>
        </w:rPr>
        <w:t>Despite being served with the application for default judgment</w:t>
      </w:r>
      <w:r w:rsidR="001E7DE0" w:rsidRPr="00896F5D">
        <w:rPr>
          <w:lang w:val="en-GB"/>
        </w:rPr>
        <w:t>, the defendant c</w:t>
      </w:r>
      <w:r w:rsidR="00D13E2C" w:rsidRPr="00896F5D">
        <w:rPr>
          <w:lang w:val="en-GB"/>
        </w:rPr>
        <w:t xml:space="preserve">onsulted </w:t>
      </w:r>
      <w:r w:rsidR="00A81B4A" w:rsidRPr="00896F5D">
        <w:rPr>
          <w:lang w:val="en-GB"/>
        </w:rPr>
        <w:t>his attorney but</w:t>
      </w:r>
      <w:r w:rsidR="001E7DE0" w:rsidRPr="00896F5D">
        <w:rPr>
          <w:lang w:val="en-GB"/>
        </w:rPr>
        <w:t xml:space="preserve"> failed to make a </w:t>
      </w:r>
      <w:r w:rsidR="00896F5D" w:rsidRPr="00896F5D">
        <w:rPr>
          <w:lang w:val="en-GB"/>
        </w:rPr>
        <w:t>follow-up</w:t>
      </w:r>
      <w:r w:rsidR="001E7DE0" w:rsidRPr="00896F5D">
        <w:rPr>
          <w:lang w:val="en-GB"/>
        </w:rPr>
        <w:t xml:space="preserve"> until the application for the default judgment was heard. </w:t>
      </w:r>
      <w:r w:rsidR="003B73B1" w:rsidRPr="00896F5D">
        <w:rPr>
          <w:lang w:val="en-GB"/>
        </w:rPr>
        <w:t>Additionally, despite being consistently disappointed</w:t>
      </w:r>
      <w:r w:rsidR="000305C3" w:rsidRPr="00896F5D">
        <w:rPr>
          <w:lang w:val="en-GB"/>
        </w:rPr>
        <w:t xml:space="preserve"> by his attorneys</w:t>
      </w:r>
      <w:r w:rsidR="003B73B1" w:rsidRPr="00896F5D">
        <w:rPr>
          <w:lang w:val="en-GB"/>
        </w:rPr>
        <w:t>, the defendant failed to undertake reasonable measure</w:t>
      </w:r>
      <w:r w:rsidR="00082693" w:rsidRPr="00896F5D">
        <w:rPr>
          <w:lang w:val="en-GB"/>
        </w:rPr>
        <w:t>s</w:t>
      </w:r>
      <w:r w:rsidR="003B73B1" w:rsidRPr="00896F5D">
        <w:rPr>
          <w:lang w:val="en-GB"/>
        </w:rPr>
        <w:t xml:space="preserve"> to mitigate further disappointment</w:t>
      </w:r>
      <w:r w:rsidR="001E7DE0" w:rsidRPr="00896F5D">
        <w:rPr>
          <w:lang w:val="en-GB"/>
        </w:rPr>
        <w:t xml:space="preserve"> </w:t>
      </w:r>
      <w:r w:rsidR="003B73B1" w:rsidRPr="00896F5D">
        <w:rPr>
          <w:lang w:val="en-GB"/>
        </w:rPr>
        <w:t>and</w:t>
      </w:r>
      <w:r w:rsidR="001E7DE0" w:rsidRPr="00896F5D">
        <w:rPr>
          <w:lang w:val="en-GB"/>
        </w:rPr>
        <w:t xml:space="preserve"> defend the action. He never appeared</w:t>
      </w:r>
      <w:r w:rsidR="00C67C90" w:rsidRPr="00896F5D">
        <w:rPr>
          <w:lang w:val="en-GB"/>
        </w:rPr>
        <w:t xml:space="preserve"> in court or </w:t>
      </w:r>
      <w:r w:rsidR="00896F5D" w:rsidRPr="00896F5D">
        <w:rPr>
          <w:lang w:val="en-GB"/>
        </w:rPr>
        <w:t xml:space="preserve">took </w:t>
      </w:r>
      <w:r w:rsidR="00C67C90" w:rsidRPr="00896F5D">
        <w:rPr>
          <w:lang w:val="en-GB"/>
        </w:rPr>
        <w:t>reasonable</w:t>
      </w:r>
      <w:r w:rsidR="00475B05" w:rsidRPr="00896F5D">
        <w:rPr>
          <w:lang w:val="en-GB"/>
        </w:rPr>
        <w:t xml:space="preserve"> steps until the writ of execution was enforced.</w:t>
      </w:r>
      <w:r w:rsidR="001E7DE0" w:rsidRPr="00896F5D">
        <w:rPr>
          <w:lang w:val="en-GB"/>
        </w:rPr>
        <w:t xml:space="preserve"> </w:t>
      </w:r>
    </w:p>
    <w:p w14:paraId="178CD187" w14:textId="308D2C4F" w:rsidR="0026574C" w:rsidRPr="00896F5D" w:rsidRDefault="00FA67D8" w:rsidP="00896F5D">
      <w:pPr>
        <w:pStyle w:val="ListParagraph"/>
        <w:tabs>
          <w:tab w:val="left" w:pos="851"/>
        </w:tabs>
        <w:spacing w:line="480" w:lineRule="auto"/>
        <w:ind w:left="0"/>
        <w:jc w:val="both"/>
        <w:rPr>
          <w:lang w:val="en-GB"/>
        </w:rPr>
      </w:pPr>
      <w:r w:rsidRPr="00896F5D">
        <w:rPr>
          <w:lang w:val="en-GB"/>
        </w:rPr>
        <w:t xml:space="preserve"> </w:t>
      </w:r>
    </w:p>
    <w:p w14:paraId="7D3EF7F6" w14:textId="4770CA40" w:rsidR="00E03CC0" w:rsidRPr="00896F5D" w:rsidRDefault="00135A60" w:rsidP="008C64D9">
      <w:pPr>
        <w:spacing w:line="480" w:lineRule="auto"/>
        <w:jc w:val="both"/>
        <w:rPr>
          <w:rFonts w:eastAsia="Times New Roman"/>
          <w:lang w:eastAsia="en-ZA"/>
        </w:rPr>
      </w:pPr>
      <w:r w:rsidRPr="00896F5D">
        <w:rPr>
          <w:lang w:val="en-GB"/>
        </w:rPr>
        <w:t>[21</w:t>
      </w:r>
      <w:r w:rsidR="00055DAC" w:rsidRPr="00896F5D">
        <w:rPr>
          <w:lang w:val="en-GB"/>
        </w:rPr>
        <w:t>]</w:t>
      </w:r>
      <w:r w:rsidR="00055DAC" w:rsidRPr="00896F5D">
        <w:rPr>
          <w:lang w:val="en-GB"/>
        </w:rPr>
        <w:tab/>
      </w:r>
      <w:r w:rsidR="001E7DE0" w:rsidRPr="00896F5D">
        <w:rPr>
          <w:lang w:val="en-GB"/>
        </w:rPr>
        <w:t xml:space="preserve"> I </w:t>
      </w:r>
      <w:r w:rsidR="00475B05" w:rsidRPr="00896F5D">
        <w:rPr>
          <w:lang w:val="en-GB"/>
        </w:rPr>
        <w:t xml:space="preserve">concur with </w:t>
      </w:r>
      <w:r w:rsidR="001E7DE0" w:rsidRPr="00896F5D">
        <w:rPr>
          <w:lang w:val="en-GB"/>
        </w:rPr>
        <w:t xml:space="preserve">the sentiment raised in </w:t>
      </w:r>
      <w:r w:rsidR="001E7DE0" w:rsidRPr="00896F5D">
        <w:rPr>
          <w:i/>
          <w:lang w:val="en-GB"/>
        </w:rPr>
        <w:t>De Wet’</w:t>
      </w:r>
      <w:r w:rsidR="001E7DE0" w:rsidRPr="00896F5D">
        <w:rPr>
          <w:lang w:val="en-GB"/>
        </w:rPr>
        <w:t xml:space="preserve"> case</w:t>
      </w:r>
      <w:r w:rsidR="001E7DE0" w:rsidRPr="00896F5D">
        <w:rPr>
          <w:rStyle w:val="FootnoteReference"/>
          <w:lang w:val="en-GB"/>
        </w:rPr>
        <w:footnoteReference w:id="6"/>
      </w:r>
      <w:r w:rsidR="001E7DE0" w:rsidRPr="00896F5D">
        <w:rPr>
          <w:lang w:val="en-GB"/>
        </w:rPr>
        <w:t>, t</w:t>
      </w:r>
      <w:r w:rsidR="00F70F35" w:rsidRPr="00896F5D">
        <w:rPr>
          <w:lang w:val="en-GB"/>
        </w:rPr>
        <w:t>hat since the</w:t>
      </w:r>
      <w:r w:rsidR="001E7DE0" w:rsidRPr="00896F5D">
        <w:rPr>
          <w:lang w:val="en-GB"/>
        </w:rPr>
        <w:t xml:space="preserve"> defendant is the author of his misfortune</w:t>
      </w:r>
      <w:r w:rsidR="00F70F35" w:rsidRPr="00896F5D">
        <w:rPr>
          <w:lang w:val="en-GB"/>
        </w:rPr>
        <w:t xml:space="preserve">, it would be </w:t>
      </w:r>
      <w:r w:rsidR="00BF6C1C" w:rsidRPr="00896F5D">
        <w:rPr>
          <w:lang w:val="en-GB"/>
        </w:rPr>
        <w:t xml:space="preserve">unjust </w:t>
      </w:r>
      <w:r w:rsidR="00094808" w:rsidRPr="00896F5D">
        <w:rPr>
          <w:lang w:val="en-GB"/>
        </w:rPr>
        <w:t>to hold the other party account</w:t>
      </w:r>
      <w:r w:rsidR="00F70F35" w:rsidRPr="00896F5D">
        <w:rPr>
          <w:lang w:val="en-GB"/>
        </w:rPr>
        <w:t>able for the harm and difficulty that resulted from his action.</w:t>
      </w:r>
      <w:r w:rsidR="001E7DE0" w:rsidRPr="00896F5D">
        <w:rPr>
          <w:lang w:val="en-GB"/>
        </w:rPr>
        <w:t xml:space="preserve"> </w:t>
      </w:r>
      <w:r w:rsidR="00BF6C1C" w:rsidRPr="00896F5D">
        <w:rPr>
          <w:rFonts w:eastAsia="Times New Roman"/>
          <w:lang w:eastAsia="en-ZA"/>
        </w:rPr>
        <w:t xml:space="preserve">When </w:t>
      </w:r>
      <w:r w:rsidR="00E03CC0" w:rsidRPr="00896F5D">
        <w:rPr>
          <w:rFonts w:eastAsia="Times New Roman"/>
          <w:lang w:eastAsia="en-ZA"/>
        </w:rPr>
        <w:t>a default judgment had been entered aga</w:t>
      </w:r>
      <w:r w:rsidR="00A81B4A" w:rsidRPr="00896F5D">
        <w:rPr>
          <w:rFonts w:eastAsia="Times New Roman"/>
          <w:lang w:eastAsia="en-ZA"/>
        </w:rPr>
        <w:t>inst</w:t>
      </w:r>
      <w:r w:rsidR="00D13E2C" w:rsidRPr="00896F5D">
        <w:rPr>
          <w:rFonts w:eastAsia="Times New Roman"/>
          <w:lang w:eastAsia="en-ZA"/>
        </w:rPr>
        <w:t> a</w:t>
      </w:r>
      <w:r w:rsidR="00A81B4A" w:rsidRPr="00896F5D">
        <w:rPr>
          <w:rFonts w:eastAsia="Times New Roman"/>
          <w:lang w:eastAsia="en-ZA"/>
        </w:rPr>
        <w:t xml:space="preserve"> party</w:t>
      </w:r>
      <w:r w:rsidR="00D13E2C" w:rsidRPr="00896F5D">
        <w:rPr>
          <w:rFonts w:eastAsia="Times New Roman"/>
          <w:lang w:eastAsia="en-ZA"/>
        </w:rPr>
        <w:t xml:space="preserve"> due to his</w:t>
      </w:r>
      <w:r w:rsidR="00E03CC0" w:rsidRPr="00896F5D">
        <w:rPr>
          <w:rFonts w:eastAsia="Times New Roman"/>
          <w:lang w:eastAsia="en-ZA"/>
        </w:rPr>
        <w:t xml:space="preserve"> failure to re</w:t>
      </w:r>
      <w:r w:rsidR="00A81B4A" w:rsidRPr="00896F5D">
        <w:rPr>
          <w:rFonts w:eastAsia="Times New Roman"/>
          <w:lang w:eastAsia="en-ZA"/>
        </w:rPr>
        <w:t>main in communication with his</w:t>
      </w:r>
      <w:r w:rsidR="00E03CC0" w:rsidRPr="00896F5D">
        <w:rPr>
          <w:rFonts w:eastAsia="Times New Roman"/>
          <w:lang w:eastAsia="en-ZA"/>
        </w:rPr>
        <w:t xml:space="preserve"> attorney or agent </w:t>
      </w:r>
      <w:r w:rsidR="00BF6C1C" w:rsidRPr="00896F5D">
        <w:rPr>
          <w:rFonts w:eastAsia="Times New Roman"/>
          <w:lang w:eastAsia="en-ZA"/>
        </w:rPr>
        <w:t xml:space="preserve">regarding the </w:t>
      </w:r>
      <w:r w:rsidR="00082693" w:rsidRPr="00896F5D">
        <w:rPr>
          <w:rFonts w:eastAsia="Times New Roman"/>
          <w:lang w:eastAsia="en-ZA"/>
        </w:rPr>
        <w:t>progress of</w:t>
      </w:r>
      <w:r w:rsidR="00A81B4A" w:rsidRPr="00896F5D">
        <w:rPr>
          <w:rFonts w:eastAsia="Times New Roman"/>
          <w:lang w:eastAsia="en-ZA"/>
        </w:rPr>
        <w:t xml:space="preserve"> the case, </w:t>
      </w:r>
      <w:r w:rsidR="00BF6C1C" w:rsidRPr="00896F5D">
        <w:rPr>
          <w:rFonts w:eastAsia="Times New Roman"/>
          <w:lang w:eastAsia="en-ZA"/>
        </w:rPr>
        <w:t xml:space="preserve">they </w:t>
      </w:r>
      <w:r w:rsidR="00A81B4A" w:rsidRPr="00896F5D">
        <w:rPr>
          <w:rFonts w:eastAsia="Times New Roman"/>
          <w:lang w:eastAsia="en-ZA"/>
        </w:rPr>
        <w:t xml:space="preserve">cannot </w:t>
      </w:r>
      <w:r w:rsidR="00BF6C1C" w:rsidRPr="00896F5D">
        <w:rPr>
          <w:rFonts w:eastAsia="Times New Roman"/>
          <w:lang w:eastAsia="en-ZA"/>
        </w:rPr>
        <w:t xml:space="preserve">absolve </w:t>
      </w:r>
      <w:r w:rsidR="00082693" w:rsidRPr="00896F5D">
        <w:rPr>
          <w:rFonts w:eastAsia="Times New Roman"/>
          <w:lang w:eastAsia="en-ZA"/>
        </w:rPr>
        <w:t>themselves of</w:t>
      </w:r>
      <w:r w:rsidR="00D40D32" w:rsidRPr="00896F5D">
        <w:rPr>
          <w:rFonts w:eastAsia="Times New Roman"/>
          <w:lang w:eastAsia="en-ZA"/>
        </w:rPr>
        <w:t xml:space="preserve"> this responsibility</w:t>
      </w:r>
      <w:r w:rsidR="00E03CC0" w:rsidRPr="00896F5D">
        <w:rPr>
          <w:rFonts w:eastAsia="Times New Roman"/>
          <w:lang w:eastAsia="en-ZA"/>
        </w:rPr>
        <w:t xml:space="preserve"> and complain </w:t>
      </w:r>
      <w:r w:rsidR="00BF6C1C" w:rsidRPr="00896F5D">
        <w:rPr>
          <w:rFonts w:eastAsia="Times New Roman"/>
          <w:lang w:eastAsia="en-ZA"/>
        </w:rPr>
        <w:t xml:space="preserve">against the other party to the </w:t>
      </w:r>
      <w:r w:rsidR="00082693" w:rsidRPr="00896F5D">
        <w:rPr>
          <w:rFonts w:eastAsia="Times New Roman"/>
          <w:lang w:eastAsia="en-ZA"/>
        </w:rPr>
        <w:t>action,</w:t>
      </w:r>
      <w:r w:rsidR="00BF6C1C" w:rsidRPr="00896F5D">
        <w:rPr>
          <w:rFonts w:eastAsia="Times New Roman"/>
          <w:i/>
          <w:iCs/>
          <w:lang w:eastAsia="en-ZA"/>
        </w:rPr>
        <w:t xml:space="preserve"> </w:t>
      </w:r>
      <w:r w:rsidR="00BF6C1C" w:rsidRPr="00896F5D">
        <w:rPr>
          <w:rFonts w:eastAsia="Times New Roman"/>
          <w:lang w:eastAsia="en-ZA"/>
        </w:rPr>
        <w:t>alleging negligence on the part of their appointed representatives</w:t>
      </w:r>
      <w:r w:rsidR="00A81B4A" w:rsidRPr="00896F5D">
        <w:rPr>
          <w:rStyle w:val="FootnoteReference"/>
          <w:rFonts w:eastAsia="Times New Roman"/>
          <w:lang w:eastAsia="en-ZA"/>
        </w:rPr>
        <w:footnoteReference w:id="7"/>
      </w:r>
      <w:r w:rsidR="00E03CC0" w:rsidRPr="00896F5D">
        <w:rPr>
          <w:rFonts w:eastAsia="Times New Roman"/>
          <w:lang w:eastAsia="en-ZA"/>
        </w:rPr>
        <w:t>.</w:t>
      </w:r>
      <w:r w:rsidR="00A81B4A" w:rsidRPr="00896F5D">
        <w:rPr>
          <w:lang w:val="en-GB"/>
        </w:rPr>
        <w:t xml:space="preserve"> </w:t>
      </w:r>
      <w:r w:rsidR="00BF6C1C" w:rsidRPr="00896F5D">
        <w:rPr>
          <w:lang w:val="en-GB"/>
        </w:rPr>
        <w:t xml:space="preserve">Upon careful </w:t>
      </w:r>
      <w:r w:rsidR="00A81B4A" w:rsidRPr="00896F5D">
        <w:rPr>
          <w:lang w:val="en-GB"/>
        </w:rPr>
        <w:t>consideration of the facts presented in this regard, I find the defendant’s explanation of his default unsatisfactory and unreasonable.</w:t>
      </w:r>
    </w:p>
    <w:p w14:paraId="1C8DF0F4" w14:textId="4048DAAA" w:rsidR="0026574C" w:rsidRPr="00896F5D" w:rsidRDefault="0026574C" w:rsidP="008C64D9">
      <w:pPr>
        <w:spacing w:line="480" w:lineRule="auto"/>
        <w:jc w:val="both"/>
        <w:rPr>
          <w:lang w:val="en-GB"/>
        </w:rPr>
      </w:pPr>
    </w:p>
    <w:p w14:paraId="29C83B99" w14:textId="4D0BCA53" w:rsidR="00094808" w:rsidRPr="00896F5D" w:rsidRDefault="00135A60" w:rsidP="008C64D9">
      <w:pPr>
        <w:spacing w:line="480" w:lineRule="auto"/>
        <w:jc w:val="both"/>
      </w:pPr>
      <w:r w:rsidRPr="00896F5D">
        <w:rPr>
          <w:lang w:val="en-GB"/>
        </w:rPr>
        <w:t>[22</w:t>
      </w:r>
      <w:r w:rsidR="00055DAC" w:rsidRPr="00896F5D">
        <w:rPr>
          <w:lang w:val="en-GB"/>
        </w:rPr>
        <w:t>]</w:t>
      </w:r>
      <w:r w:rsidR="00055DAC" w:rsidRPr="00896F5D">
        <w:rPr>
          <w:lang w:val="en-GB"/>
        </w:rPr>
        <w:tab/>
      </w:r>
      <w:r w:rsidR="00094808" w:rsidRPr="00896F5D">
        <w:t xml:space="preserve">In </w:t>
      </w:r>
      <w:r w:rsidR="00094808" w:rsidRPr="00896F5D">
        <w:rPr>
          <w:i/>
        </w:rPr>
        <w:t>Chetty v Law Society</w:t>
      </w:r>
      <w:r w:rsidR="00094808" w:rsidRPr="00896F5D">
        <w:rPr>
          <w:rStyle w:val="FootnoteReference"/>
        </w:rPr>
        <w:footnoteReference w:id="8"/>
      </w:r>
      <w:r w:rsidR="00BF6C1C" w:rsidRPr="00896F5D">
        <w:rPr>
          <w:i/>
        </w:rPr>
        <w:t>,</w:t>
      </w:r>
      <w:r w:rsidR="00094808" w:rsidRPr="00896F5D">
        <w:t xml:space="preserve"> the court held a view that </w:t>
      </w:r>
      <w:r w:rsidR="00BF6C1C" w:rsidRPr="00896F5D">
        <w:t>given the</w:t>
      </w:r>
      <w:r w:rsidR="00B46DBD" w:rsidRPr="00896F5D">
        <w:t xml:space="preserve"> fact that the</w:t>
      </w:r>
      <w:r w:rsidR="00094808" w:rsidRPr="00896F5D">
        <w:t xml:space="preserve"> appellant's explanation was unsatisfactory and unacceptable</w:t>
      </w:r>
      <w:r w:rsidR="00896F5D" w:rsidRPr="00896F5D">
        <w:t>,</w:t>
      </w:r>
      <w:r w:rsidR="00094808" w:rsidRPr="00896F5D">
        <w:t xml:space="preserve"> it was therefore, strictly </w:t>
      </w:r>
      <w:r w:rsidR="00094808" w:rsidRPr="00896F5D">
        <w:lastRenderedPageBreak/>
        <w:t xml:space="preserve">speaking, unnecessary to make findings or to consider the arguments relating to the appellant's prospects of success. Nevertheless, in the interests of fairness to the </w:t>
      </w:r>
      <w:r w:rsidR="00722812" w:rsidRPr="00896F5D">
        <w:t>appellant, the court found it</w:t>
      </w:r>
      <w:r w:rsidR="00094808" w:rsidRPr="00896F5D">
        <w:t xml:space="preserve"> desirable to </w:t>
      </w:r>
      <w:r w:rsidR="00AC4FF4" w:rsidRPr="00896F5D">
        <w:t xml:space="preserve">refer to certain aspects of the merits </w:t>
      </w:r>
      <w:r w:rsidR="00896F5D" w:rsidRPr="00896F5D">
        <w:t xml:space="preserve">of </w:t>
      </w:r>
      <w:r w:rsidR="00AC4FF4" w:rsidRPr="00896F5D">
        <w:t>the defence submitted</w:t>
      </w:r>
      <w:r w:rsidR="00094808" w:rsidRPr="00896F5D">
        <w:t xml:space="preserve">. </w:t>
      </w:r>
      <w:r w:rsidR="00BF6C1C" w:rsidRPr="00896F5D">
        <w:t>I shall now adopt a similar approach.</w:t>
      </w:r>
    </w:p>
    <w:p w14:paraId="0F4E62B7" w14:textId="77777777" w:rsidR="00AC4FF4" w:rsidRPr="00896F5D" w:rsidRDefault="00AC4FF4" w:rsidP="008C64D9">
      <w:pPr>
        <w:spacing w:line="480" w:lineRule="auto"/>
        <w:jc w:val="both"/>
      </w:pPr>
    </w:p>
    <w:p w14:paraId="5D3DD25C" w14:textId="585DA88B" w:rsidR="00896F5D" w:rsidRPr="00896F5D" w:rsidRDefault="00135A60" w:rsidP="00896F5D">
      <w:pPr>
        <w:pStyle w:val="NormalWeb"/>
        <w:shd w:val="clear" w:color="auto" w:fill="FFFFFF"/>
        <w:spacing w:line="480" w:lineRule="auto"/>
        <w:jc w:val="both"/>
        <w:rPr>
          <w:rFonts w:ascii="Arial" w:hAnsi="Arial" w:cs="Arial"/>
          <w:lang w:val="en-GB"/>
        </w:rPr>
      </w:pPr>
      <w:r w:rsidRPr="00896F5D">
        <w:rPr>
          <w:rFonts w:ascii="Arial" w:hAnsi="Arial" w:cs="Arial"/>
          <w:lang w:val="en-GB"/>
        </w:rPr>
        <w:t>[23</w:t>
      </w:r>
      <w:r w:rsidR="00055DAC" w:rsidRPr="00896F5D">
        <w:rPr>
          <w:rFonts w:ascii="Arial" w:hAnsi="Arial" w:cs="Arial"/>
          <w:lang w:val="en-GB"/>
        </w:rPr>
        <w:t>]</w:t>
      </w:r>
      <w:r w:rsidR="00055DAC" w:rsidRPr="00896F5D">
        <w:rPr>
          <w:rFonts w:ascii="Arial" w:hAnsi="Arial" w:cs="Arial"/>
          <w:lang w:val="en-GB"/>
        </w:rPr>
        <w:tab/>
      </w:r>
      <w:r w:rsidR="00391E7F" w:rsidRPr="00896F5D">
        <w:rPr>
          <w:rFonts w:ascii="Arial" w:hAnsi="Arial" w:cs="Arial"/>
          <w:lang w:val="en-GB"/>
        </w:rPr>
        <w:t>The default judgment was granted in terms of section 29 (1) of the Insolvency Act which provides,</w:t>
      </w:r>
    </w:p>
    <w:p w14:paraId="376D6FA5" w14:textId="262D94F8" w:rsidR="00391E7F" w:rsidRPr="00896F5D" w:rsidRDefault="00391E7F" w:rsidP="00896F5D">
      <w:pPr>
        <w:pStyle w:val="NormalWeb"/>
        <w:shd w:val="clear" w:color="auto" w:fill="FFFFFF"/>
        <w:spacing w:line="480" w:lineRule="auto"/>
        <w:ind w:left="720"/>
        <w:jc w:val="both"/>
        <w:rPr>
          <w:rFonts w:ascii="Arial" w:hAnsi="Arial" w:cs="Arial"/>
          <w:sz w:val="20"/>
          <w:szCs w:val="20"/>
          <w:lang w:val="en-GB"/>
        </w:rPr>
      </w:pPr>
      <w:r w:rsidRPr="00896F5D">
        <w:rPr>
          <w:rFonts w:ascii="Arial" w:hAnsi="Arial" w:cs="Arial"/>
          <w:sz w:val="20"/>
          <w:szCs w:val="20"/>
          <w:lang w:val="en-GB"/>
        </w:rPr>
        <w:t>‘Every disposition of his property made by a  debtor not more than six months before the sequestration of his estate which has had the effect of preferring one of his creditors over the above another may be set aside by the court if immediately after the making of such disposition the liabilities of the debtor exceeded the value of the assets, unless the person in whose favour the disposition was made proves that the disposition was made in the ordinary course of business and that it was not intended thereby to prefer one creditor above another but subject to the provisions of sub-section 2’.</w:t>
      </w:r>
    </w:p>
    <w:p w14:paraId="7BC81DA1" w14:textId="77777777" w:rsidR="00896F5D" w:rsidRPr="00896F5D" w:rsidRDefault="00896F5D" w:rsidP="008C64D9">
      <w:pPr>
        <w:pStyle w:val="NormalWeb"/>
        <w:shd w:val="clear" w:color="auto" w:fill="FFFFFF"/>
        <w:spacing w:line="480" w:lineRule="auto"/>
        <w:ind w:left="720"/>
        <w:jc w:val="both"/>
        <w:rPr>
          <w:rFonts w:ascii="Arial" w:hAnsi="Arial" w:cs="Arial"/>
          <w:sz w:val="20"/>
          <w:szCs w:val="20"/>
          <w:lang w:val="en-GB"/>
        </w:rPr>
      </w:pPr>
    </w:p>
    <w:p w14:paraId="48EEAD76" w14:textId="0DF2ACF3" w:rsidR="00896F5D" w:rsidRPr="00896F5D" w:rsidRDefault="00135A60" w:rsidP="005E21DD">
      <w:pPr>
        <w:pStyle w:val="NormalWeb"/>
        <w:shd w:val="clear" w:color="auto" w:fill="FFFFFF"/>
        <w:spacing w:line="480" w:lineRule="auto"/>
        <w:jc w:val="both"/>
        <w:rPr>
          <w:rFonts w:ascii="Arial" w:hAnsi="Arial" w:cs="Arial"/>
          <w:bCs/>
          <w:iCs/>
          <w:color w:val="242121"/>
        </w:rPr>
      </w:pPr>
      <w:r w:rsidRPr="00896F5D">
        <w:rPr>
          <w:rFonts w:ascii="Arial" w:hAnsi="Arial" w:cs="Arial"/>
          <w:bCs/>
          <w:iCs/>
          <w:color w:val="242121"/>
        </w:rPr>
        <w:t>[24</w:t>
      </w:r>
      <w:r w:rsidR="005E21DD" w:rsidRPr="00896F5D">
        <w:rPr>
          <w:rFonts w:ascii="Arial" w:hAnsi="Arial" w:cs="Arial"/>
          <w:bCs/>
          <w:iCs/>
          <w:color w:val="242121"/>
        </w:rPr>
        <w:t>]</w:t>
      </w:r>
      <w:r w:rsidR="005E21DD" w:rsidRPr="00896F5D">
        <w:rPr>
          <w:rFonts w:ascii="Arial" w:hAnsi="Arial" w:cs="Arial"/>
          <w:bCs/>
          <w:iCs/>
          <w:color w:val="242121"/>
        </w:rPr>
        <w:tab/>
      </w:r>
      <w:r w:rsidR="00F34EC9" w:rsidRPr="00896F5D">
        <w:rPr>
          <w:rFonts w:ascii="Arial" w:hAnsi="Arial" w:cs="Arial"/>
          <w:bCs/>
          <w:iCs/>
          <w:color w:val="242121"/>
        </w:rPr>
        <w:t xml:space="preserve">Section 29 of the </w:t>
      </w:r>
      <w:r w:rsidR="00896F5D" w:rsidRPr="00896F5D">
        <w:rPr>
          <w:rFonts w:ascii="Arial" w:hAnsi="Arial" w:cs="Arial"/>
          <w:bCs/>
          <w:iCs/>
          <w:color w:val="242121"/>
        </w:rPr>
        <w:t xml:space="preserve">Insolvency </w:t>
      </w:r>
      <w:r w:rsidR="00F34EC9" w:rsidRPr="00896F5D">
        <w:rPr>
          <w:rFonts w:ascii="Arial" w:hAnsi="Arial" w:cs="Arial"/>
          <w:bCs/>
          <w:iCs/>
          <w:color w:val="242121"/>
        </w:rPr>
        <w:t xml:space="preserve">Act </w:t>
      </w:r>
      <w:r w:rsidR="00B0042C" w:rsidRPr="00896F5D">
        <w:rPr>
          <w:rFonts w:ascii="Arial" w:hAnsi="Arial" w:cs="Arial"/>
          <w:bCs/>
          <w:iCs/>
          <w:color w:val="242121"/>
        </w:rPr>
        <w:t>addresses</w:t>
      </w:r>
      <w:r w:rsidR="00F34EC9" w:rsidRPr="00896F5D">
        <w:rPr>
          <w:rFonts w:ascii="Arial" w:hAnsi="Arial" w:cs="Arial"/>
          <w:bCs/>
          <w:iCs/>
          <w:color w:val="242121"/>
        </w:rPr>
        <w:t xml:space="preserve"> voidable preferences and </w:t>
      </w:r>
      <w:r w:rsidR="00082693" w:rsidRPr="00896F5D">
        <w:rPr>
          <w:rFonts w:ascii="Arial" w:hAnsi="Arial" w:cs="Arial"/>
          <w:bCs/>
          <w:iCs/>
          <w:color w:val="242121"/>
        </w:rPr>
        <w:t>stipulates</w:t>
      </w:r>
      <w:r w:rsidR="00F34EC9" w:rsidRPr="00896F5D">
        <w:rPr>
          <w:rFonts w:ascii="Arial" w:hAnsi="Arial" w:cs="Arial"/>
          <w:bCs/>
          <w:iCs/>
          <w:color w:val="242121"/>
        </w:rPr>
        <w:t xml:space="preserve"> a time frame of six months. The </w:t>
      </w:r>
      <w:r w:rsidR="00B0042C" w:rsidRPr="00896F5D">
        <w:rPr>
          <w:rFonts w:ascii="Arial" w:hAnsi="Arial" w:cs="Arial"/>
          <w:bCs/>
          <w:iCs/>
          <w:color w:val="242121"/>
        </w:rPr>
        <w:t>provision serves to</w:t>
      </w:r>
      <w:r w:rsidR="00F34EC9" w:rsidRPr="00896F5D">
        <w:rPr>
          <w:rFonts w:ascii="Arial" w:hAnsi="Arial" w:cs="Arial"/>
          <w:bCs/>
          <w:iCs/>
          <w:color w:val="242121"/>
        </w:rPr>
        <w:t xml:space="preserve"> protect the interests of the general body of creditors</w:t>
      </w:r>
      <w:r w:rsidR="00B0042C" w:rsidRPr="00896F5D">
        <w:rPr>
          <w:rFonts w:ascii="Arial" w:hAnsi="Arial" w:cs="Arial"/>
          <w:bCs/>
          <w:iCs/>
          <w:color w:val="242121"/>
        </w:rPr>
        <w:t>, ensuring that no party demonstrates a bias toward</w:t>
      </w:r>
      <w:r w:rsidR="008D60B3" w:rsidRPr="00896F5D">
        <w:rPr>
          <w:rFonts w:ascii="Arial" w:hAnsi="Arial" w:cs="Arial"/>
          <w:bCs/>
          <w:iCs/>
          <w:color w:val="242121"/>
        </w:rPr>
        <w:t>s</w:t>
      </w:r>
      <w:r w:rsidR="00B0042C" w:rsidRPr="00896F5D">
        <w:rPr>
          <w:rFonts w:ascii="Arial" w:hAnsi="Arial" w:cs="Arial"/>
          <w:bCs/>
          <w:iCs/>
          <w:color w:val="242121"/>
        </w:rPr>
        <w:t xml:space="preserve"> specific creditors at the expense of others</w:t>
      </w:r>
      <w:r w:rsidR="00F34EC9" w:rsidRPr="00896F5D">
        <w:rPr>
          <w:rStyle w:val="FootnoteReference"/>
          <w:rFonts w:ascii="Arial" w:hAnsi="Arial" w:cs="Arial"/>
          <w:bCs/>
          <w:iCs/>
          <w:color w:val="242121"/>
        </w:rPr>
        <w:footnoteReference w:id="9"/>
      </w:r>
      <w:r w:rsidR="00F34EC9" w:rsidRPr="00896F5D">
        <w:rPr>
          <w:rFonts w:ascii="Arial" w:hAnsi="Arial" w:cs="Arial"/>
          <w:bCs/>
          <w:iCs/>
          <w:color w:val="242121"/>
        </w:rPr>
        <w:t xml:space="preserve">. </w:t>
      </w:r>
      <w:r w:rsidR="00F1500F" w:rsidRPr="00896F5D">
        <w:rPr>
          <w:rFonts w:ascii="Arial" w:hAnsi="Arial" w:cs="Arial"/>
          <w:bCs/>
          <w:iCs/>
          <w:color w:val="242121"/>
        </w:rPr>
        <w:t xml:space="preserve">To establish </w:t>
      </w:r>
      <w:r w:rsidR="001600E6" w:rsidRPr="00896F5D">
        <w:rPr>
          <w:rFonts w:ascii="Arial" w:hAnsi="Arial" w:cs="Arial"/>
          <w:bCs/>
          <w:iCs/>
          <w:color w:val="242121"/>
        </w:rPr>
        <w:t>voidable preference</w:t>
      </w:r>
      <w:r w:rsidR="00B46DBD" w:rsidRPr="00896F5D">
        <w:rPr>
          <w:rFonts w:ascii="Arial" w:hAnsi="Arial" w:cs="Arial"/>
          <w:bCs/>
          <w:iCs/>
          <w:color w:val="242121"/>
        </w:rPr>
        <w:t>s</w:t>
      </w:r>
      <w:r w:rsidR="001600E6" w:rsidRPr="00896F5D">
        <w:rPr>
          <w:rFonts w:ascii="Arial" w:hAnsi="Arial" w:cs="Arial"/>
          <w:bCs/>
          <w:iCs/>
          <w:color w:val="242121"/>
        </w:rPr>
        <w:t>, the plaintiff must demonstrate the following:</w:t>
      </w:r>
      <w:r w:rsidR="00A33282" w:rsidRPr="00896F5D">
        <w:rPr>
          <w:rFonts w:ascii="Arial" w:hAnsi="Arial" w:cs="Arial"/>
          <w:bCs/>
          <w:iCs/>
          <w:color w:val="242121"/>
        </w:rPr>
        <w:t xml:space="preserve"> </w:t>
      </w:r>
      <w:r w:rsidR="00674D32" w:rsidRPr="00896F5D">
        <w:rPr>
          <w:rFonts w:ascii="Arial" w:hAnsi="Arial" w:cs="Arial"/>
          <w:bCs/>
          <w:iCs/>
          <w:color w:val="242121"/>
        </w:rPr>
        <w:t>that a disposition was made by the insolvent;</w:t>
      </w:r>
      <w:r w:rsidR="00D32F8B" w:rsidRPr="00896F5D">
        <w:rPr>
          <w:rFonts w:ascii="Arial" w:hAnsi="Arial" w:cs="Arial"/>
          <w:bCs/>
          <w:iCs/>
          <w:color w:val="242121"/>
        </w:rPr>
        <w:t xml:space="preserve"> </w:t>
      </w:r>
      <w:r w:rsidR="00674D32" w:rsidRPr="00896F5D">
        <w:rPr>
          <w:rFonts w:ascii="Arial" w:hAnsi="Arial" w:cs="Arial"/>
          <w:bCs/>
          <w:iCs/>
          <w:color w:val="242121"/>
        </w:rPr>
        <w:t>of his or her property;</w:t>
      </w:r>
      <w:r w:rsidR="00D32F8B" w:rsidRPr="00896F5D">
        <w:rPr>
          <w:rFonts w:ascii="Arial" w:hAnsi="Arial" w:cs="Arial"/>
          <w:bCs/>
          <w:iCs/>
          <w:color w:val="242121"/>
        </w:rPr>
        <w:t xml:space="preserve"> </w:t>
      </w:r>
      <w:r w:rsidR="00674D32" w:rsidRPr="00896F5D">
        <w:rPr>
          <w:rFonts w:ascii="Arial" w:hAnsi="Arial" w:cs="Arial"/>
          <w:bCs/>
          <w:iCs/>
          <w:color w:val="242121"/>
        </w:rPr>
        <w:t>that the disposition took place not more than six months before the liquidation;</w:t>
      </w:r>
      <w:r w:rsidR="004E5311" w:rsidRPr="00896F5D">
        <w:rPr>
          <w:rFonts w:ascii="Arial" w:hAnsi="Arial" w:cs="Arial"/>
          <w:bCs/>
          <w:iCs/>
          <w:color w:val="242121"/>
        </w:rPr>
        <w:t xml:space="preserve"> </w:t>
      </w:r>
      <w:r w:rsidR="00674D32" w:rsidRPr="00896F5D">
        <w:rPr>
          <w:rFonts w:ascii="Arial" w:hAnsi="Arial" w:cs="Arial"/>
          <w:bCs/>
          <w:iCs/>
          <w:color w:val="242121"/>
        </w:rPr>
        <w:t xml:space="preserve">that the disposition had the effect of preferring one of the creditors over the another; that immediately after the making of the disposition the liabilities of the debtor </w:t>
      </w:r>
      <w:r w:rsidR="00674D32" w:rsidRPr="00896F5D">
        <w:rPr>
          <w:rFonts w:ascii="Arial" w:hAnsi="Arial" w:cs="Arial"/>
          <w:bCs/>
          <w:iCs/>
          <w:color w:val="242121"/>
        </w:rPr>
        <w:lastRenderedPageBreak/>
        <w:t>exceeded the value of the assets;</w:t>
      </w:r>
      <w:r w:rsidR="004E5311" w:rsidRPr="00896F5D">
        <w:rPr>
          <w:rFonts w:ascii="Arial" w:hAnsi="Arial" w:cs="Arial"/>
          <w:bCs/>
          <w:iCs/>
          <w:color w:val="242121"/>
        </w:rPr>
        <w:t xml:space="preserve"> </w:t>
      </w:r>
      <w:r w:rsidR="00674D32" w:rsidRPr="00896F5D">
        <w:rPr>
          <w:rFonts w:ascii="Arial" w:hAnsi="Arial" w:cs="Arial"/>
          <w:bCs/>
          <w:iCs/>
          <w:color w:val="242121"/>
        </w:rPr>
        <w:t>and that the requirements of section 340(1) of the Companies Act were met.</w:t>
      </w:r>
      <w:r w:rsidR="00674D32" w:rsidRPr="00896F5D">
        <w:rPr>
          <w:rStyle w:val="FootnoteReference"/>
          <w:rFonts w:ascii="Arial" w:hAnsi="Arial" w:cs="Arial"/>
          <w:bCs/>
          <w:iCs/>
          <w:color w:val="242121"/>
        </w:rPr>
        <w:footnoteReference w:id="10"/>
      </w:r>
      <w:r w:rsidR="00F0433D" w:rsidRPr="00896F5D">
        <w:rPr>
          <w:rFonts w:ascii="Arial" w:hAnsi="Arial" w:cs="Arial"/>
          <w:bCs/>
          <w:iCs/>
          <w:color w:val="242121"/>
        </w:rPr>
        <w:t xml:space="preserve"> </w:t>
      </w:r>
      <w:r w:rsidR="004E3E84" w:rsidRPr="00896F5D">
        <w:rPr>
          <w:rFonts w:ascii="Arial" w:hAnsi="Arial" w:cs="Arial"/>
          <w:bCs/>
          <w:iCs/>
          <w:color w:val="242121"/>
        </w:rPr>
        <w:t xml:space="preserve">The goal of </w:t>
      </w:r>
      <w:r w:rsidR="00F0433D" w:rsidRPr="00896F5D">
        <w:rPr>
          <w:rFonts w:ascii="Arial" w:hAnsi="Arial" w:cs="Arial"/>
          <w:bCs/>
          <w:iCs/>
          <w:color w:val="242121"/>
        </w:rPr>
        <w:t>Free Agape</w:t>
      </w:r>
      <w:r w:rsidR="004E3E84" w:rsidRPr="00896F5D">
        <w:rPr>
          <w:rFonts w:ascii="Arial" w:hAnsi="Arial" w:cs="Arial"/>
          <w:bCs/>
          <w:iCs/>
          <w:color w:val="242121"/>
        </w:rPr>
        <w:t>’s investment program was to collect</w:t>
      </w:r>
      <w:r w:rsidR="00F0433D" w:rsidRPr="00896F5D">
        <w:rPr>
          <w:rFonts w:ascii="Arial" w:hAnsi="Arial" w:cs="Arial"/>
          <w:bCs/>
          <w:iCs/>
          <w:color w:val="242121"/>
        </w:rPr>
        <w:t xml:space="preserve"> deposits from </w:t>
      </w:r>
      <w:r w:rsidR="004E3E84" w:rsidRPr="00896F5D">
        <w:rPr>
          <w:rFonts w:ascii="Arial" w:hAnsi="Arial" w:cs="Arial"/>
          <w:bCs/>
          <w:iCs/>
          <w:color w:val="242121"/>
        </w:rPr>
        <w:t>investors and use them to pay back the</w:t>
      </w:r>
      <w:r w:rsidR="00F0433D" w:rsidRPr="00896F5D">
        <w:rPr>
          <w:rFonts w:ascii="Arial" w:hAnsi="Arial" w:cs="Arial"/>
          <w:bCs/>
          <w:iCs/>
          <w:color w:val="242121"/>
        </w:rPr>
        <w:t xml:space="preserve"> investors. </w:t>
      </w:r>
      <w:r w:rsidR="001600E6" w:rsidRPr="00896F5D">
        <w:rPr>
          <w:rFonts w:ascii="Arial" w:hAnsi="Arial" w:cs="Arial"/>
          <w:bCs/>
          <w:iCs/>
          <w:color w:val="242121"/>
        </w:rPr>
        <w:t xml:space="preserve">Drawing from the evidentiary </w:t>
      </w:r>
      <w:r w:rsidR="00F34EC9" w:rsidRPr="00896F5D">
        <w:rPr>
          <w:rFonts w:ascii="Arial" w:hAnsi="Arial" w:cs="Arial"/>
          <w:bCs/>
          <w:iCs/>
          <w:color w:val="242121"/>
        </w:rPr>
        <w:t xml:space="preserve">record, the plaintiffs collated all the financial information of the insolvent </w:t>
      </w:r>
      <w:r w:rsidR="00D41E49" w:rsidRPr="00896F5D">
        <w:rPr>
          <w:rFonts w:ascii="Arial" w:hAnsi="Arial" w:cs="Arial"/>
          <w:bCs/>
          <w:iCs/>
          <w:color w:val="242121"/>
        </w:rPr>
        <w:t xml:space="preserve">thereby ensuring transparency and obviating any ambiguity regarding the </w:t>
      </w:r>
      <w:r w:rsidR="00A33282" w:rsidRPr="00896F5D">
        <w:rPr>
          <w:rFonts w:ascii="Arial" w:hAnsi="Arial" w:cs="Arial"/>
          <w:bCs/>
          <w:iCs/>
          <w:color w:val="242121"/>
        </w:rPr>
        <w:t>discharge</w:t>
      </w:r>
      <w:r w:rsidR="00D41E49" w:rsidRPr="00896F5D">
        <w:rPr>
          <w:rFonts w:ascii="Arial" w:hAnsi="Arial" w:cs="Arial"/>
          <w:bCs/>
          <w:iCs/>
          <w:color w:val="242121"/>
        </w:rPr>
        <w:t xml:space="preserve"> of</w:t>
      </w:r>
      <w:r w:rsidR="00A33282" w:rsidRPr="00896F5D">
        <w:rPr>
          <w:rFonts w:ascii="Arial" w:hAnsi="Arial" w:cs="Arial"/>
          <w:bCs/>
          <w:iCs/>
          <w:color w:val="242121"/>
        </w:rPr>
        <w:t xml:space="preserve"> their burden of proof. </w:t>
      </w:r>
      <w:r w:rsidR="005B0B15" w:rsidRPr="00896F5D">
        <w:rPr>
          <w:rFonts w:ascii="Arial" w:hAnsi="Arial" w:cs="Arial"/>
          <w:bCs/>
          <w:iCs/>
          <w:color w:val="242121"/>
        </w:rPr>
        <w:t xml:space="preserve"> Mr Jacob Jan Dekker,</w:t>
      </w:r>
      <w:r w:rsidR="008111B1" w:rsidRPr="00896F5D">
        <w:rPr>
          <w:rFonts w:ascii="Arial" w:hAnsi="Arial" w:cs="Arial"/>
          <w:bCs/>
          <w:iCs/>
          <w:color w:val="242121"/>
        </w:rPr>
        <w:t xml:space="preserve"> an auditor and forensic accountant was appointed and instructed to analyse and </w:t>
      </w:r>
      <w:r w:rsidR="00896F5D" w:rsidRPr="00896F5D">
        <w:rPr>
          <w:rFonts w:ascii="Arial" w:hAnsi="Arial" w:cs="Arial"/>
          <w:bCs/>
          <w:iCs/>
          <w:color w:val="242121"/>
        </w:rPr>
        <w:t xml:space="preserve">advise </w:t>
      </w:r>
      <w:r w:rsidR="008111B1" w:rsidRPr="00896F5D">
        <w:rPr>
          <w:rFonts w:ascii="Arial" w:hAnsi="Arial" w:cs="Arial"/>
          <w:bCs/>
          <w:iCs/>
          <w:color w:val="242121"/>
        </w:rPr>
        <w:t xml:space="preserve">on the financial and related affairs of Free Agape. </w:t>
      </w:r>
      <w:r w:rsidR="00B4637E" w:rsidRPr="00896F5D">
        <w:rPr>
          <w:rFonts w:ascii="Arial" w:hAnsi="Arial" w:cs="Arial"/>
          <w:bCs/>
          <w:iCs/>
          <w:color w:val="242121"/>
        </w:rPr>
        <w:t>According to the quantification report, the defendant invested an amount of R5</w:t>
      </w:r>
      <w:r w:rsidR="00D41E49" w:rsidRPr="00896F5D">
        <w:rPr>
          <w:rFonts w:ascii="Arial" w:hAnsi="Arial" w:cs="Arial"/>
          <w:bCs/>
          <w:iCs/>
          <w:color w:val="242121"/>
        </w:rPr>
        <w:t xml:space="preserve"> </w:t>
      </w:r>
      <w:r w:rsidR="00B4637E" w:rsidRPr="00896F5D">
        <w:rPr>
          <w:rFonts w:ascii="Arial" w:hAnsi="Arial" w:cs="Arial"/>
          <w:bCs/>
          <w:iCs/>
          <w:color w:val="242121"/>
        </w:rPr>
        <w:t>000 between 02 October 2017 and 21 November 2017</w:t>
      </w:r>
      <w:r w:rsidR="00B2559E" w:rsidRPr="00896F5D">
        <w:rPr>
          <w:rFonts w:ascii="Arial" w:hAnsi="Arial" w:cs="Arial"/>
          <w:bCs/>
          <w:iCs/>
          <w:color w:val="242121"/>
        </w:rPr>
        <w:t xml:space="preserve"> around</w:t>
      </w:r>
      <w:r w:rsidR="008111B1" w:rsidRPr="00896F5D">
        <w:rPr>
          <w:rFonts w:ascii="Arial" w:hAnsi="Arial" w:cs="Arial"/>
          <w:bCs/>
          <w:iCs/>
          <w:color w:val="242121"/>
        </w:rPr>
        <w:t xml:space="preserve"> t</w:t>
      </w:r>
      <w:r w:rsidR="00B4637E" w:rsidRPr="00896F5D">
        <w:rPr>
          <w:rFonts w:ascii="Arial" w:hAnsi="Arial" w:cs="Arial"/>
          <w:bCs/>
          <w:iCs/>
          <w:color w:val="242121"/>
        </w:rPr>
        <w:t>he</w:t>
      </w:r>
      <w:r w:rsidR="008111B1" w:rsidRPr="00896F5D">
        <w:rPr>
          <w:rFonts w:ascii="Arial" w:hAnsi="Arial" w:cs="Arial"/>
          <w:bCs/>
          <w:iCs/>
          <w:color w:val="242121"/>
        </w:rPr>
        <w:t xml:space="preserve"> same period he</w:t>
      </w:r>
      <w:r w:rsidR="00B4637E" w:rsidRPr="00896F5D">
        <w:rPr>
          <w:rFonts w:ascii="Arial" w:hAnsi="Arial" w:cs="Arial"/>
          <w:bCs/>
          <w:iCs/>
          <w:color w:val="242121"/>
        </w:rPr>
        <w:t xml:space="preserve"> was paid an amount </w:t>
      </w:r>
      <w:r w:rsidR="00896F5D" w:rsidRPr="00896F5D">
        <w:rPr>
          <w:rFonts w:ascii="Arial" w:hAnsi="Arial" w:cs="Arial"/>
          <w:bCs/>
          <w:iCs/>
          <w:color w:val="242121"/>
        </w:rPr>
        <w:t xml:space="preserve">of </w:t>
      </w:r>
      <w:r w:rsidR="00B4637E" w:rsidRPr="00896F5D">
        <w:rPr>
          <w:rFonts w:ascii="Arial" w:hAnsi="Arial" w:cs="Arial"/>
          <w:bCs/>
          <w:iCs/>
          <w:color w:val="242121"/>
        </w:rPr>
        <w:t>R478</w:t>
      </w:r>
      <w:r w:rsidR="00896F5D" w:rsidRPr="00896F5D">
        <w:rPr>
          <w:rFonts w:ascii="Arial" w:hAnsi="Arial" w:cs="Arial"/>
          <w:bCs/>
          <w:iCs/>
          <w:color w:val="242121"/>
        </w:rPr>
        <w:t xml:space="preserve"> </w:t>
      </w:r>
      <w:r w:rsidR="00B4637E" w:rsidRPr="00896F5D">
        <w:rPr>
          <w:rFonts w:ascii="Arial" w:hAnsi="Arial" w:cs="Arial"/>
          <w:bCs/>
          <w:iCs/>
          <w:color w:val="242121"/>
        </w:rPr>
        <w:t>250 by Free Agape.</w:t>
      </w:r>
      <w:r w:rsidR="004C652B" w:rsidRPr="00896F5D">
        <w:rPr>
          <w:rFonts w:ascii="Arial" w:hAnsi="Arial" w:cs="Arial"/>
          <w:bCs/>
          <w:iCs/>
          <w:color w:val="242121"/>
        </w:rPr>
        <w:t xml:space="preserve">  T</w:t>
      </w:r>
      <w:r w:rsidR="008111B1" w:rsidRPr="00896F5D">
        <w:rPr>
          <w:rFonts w:ascii="Arial" w:hAnsi="Arial" w:cs="Arial"/>
          <w:bCs/>
          <w:iCs/>
          <w:color w:val="242121"/>
        </w:rPr>
        <w:t xml:space="preserve">he dispositions made to the defendant by Free Agape resulted </w:t>
      </w:r>
      <w:r w:rsidR="004C652B" w:rsidRPr="00896F5D">
        <w:rPr>
          <w:rFonts w:ascii="Arial" w:hAnsi="Arial" w:cs="Arial"/>
          <w:bCs/>
          <w:iCs/>
          <w:color w:val="242121"/>
        </w:rPr>
        <w:t>in the liabilities of the debtor exceeding the</w:t>
      </w:r>
      <w:r w:rsidR="008111B1" w:rsidRPr="00896F5D">
        <w:rPr>
          <w:rFonts w:ascii="Arial" w:hAnsi="Arial" w:cs="Arial"/>
          <w:bCs/>
          <w:iCs/>
          <w:color w:val="242121"/>
        </w:rPr>
        <w:t xml:space="preserve"> value of its assets</w:t>
      </w:r>
      <w:r w:rsidR="004C652B" w:rsidRPr="00896F5D">
        <w:rPr>
          <w:rFonts w:ascii="Arial" w:hAnsi="Arial" w:cs="Arial"/>
          <w:bCs/>
          <w:iCs/>
          <w:color w:val="242121"/>
        </w:rPr>
        <w:t xml:space="preserve">. </w:t>
      </w:r>
      <w:r w:rsidR="00D41E49" w:rsidRPr="00896F5D">
        <w:rPr>
          <w:rFonts w:ascii="Arial" w:hAnsi="Arial" w:cs="Arial"/>
          <w:bCs/>
          <w:iCs/>
          <w:color w:val="242121"/>
        </w:rPr>
        <w:t>Consequently</w:t>
      </w:r>
      <w:r w:rsidR="004C652B" w:rsidRPr="00896F5D">
        <w:rPr>
          <w:rFonts w:ascii="Arial" w:hAnsi="Arial" w:cs="Arial"/>
          <w:bCs/>
          <w:iCs/>
          <w:color w:val="242121"/>
        </w:rPr>
        <w:t xml:space="preserve">, the defendant received preferential treatment above all other creditors. </w:t>
      </w:r>
      <w:r w:rsidR="00A33282" w:rsidRPr="00896F5D">
        <w:rPr>
          <w:rFonts w:ascii="Arial" w:hAnsi="Arial" w:cs="Arial"/>
          <w:bCs/>
          <w:iCs/>
          <w:color w:val="242121"/>
        </w:rPr>
        <w:t xml:space="preserve">The </w:t>
      </w:r>
      <w:r w:rsidR="00B4637E" w:rsidRPr="00896F5D">
        <w:rPr>
          <w:rFonts w:ascii="Arial" w:hAnsi="Arial" w:cs="Arial"/>
          <w:bCs/>
          <w:iCs/>
          <w:color w:val="242121"/>
        </w:rPr>
        <w:t xml:space="preserve">quantification </w:t>
      </w:r>
      <w:r w:rsidR="00A33282" w:rsidRPr="00896F5D">
        <w:rPr>
          <w:rFonts w:ascii="Arial" w:hAnsi="Arial" w:cs="Arial"/>
          <w:bCs/>
          <w:iCs/>
          <w:color w:val="242121"/>
        </w:rPr>
        <w:t>report is uncontroverted.</w:t>
      </w:r>
    </w:p>
    <w:p w14:paraId="0193A397" w14:textId="0B5B4EE7" w:rsidR="00C2196D" w:rsidRPr="00896F5D" w:rsidRDefault="00ED1F8C" w:rsidP="005E21DD">
      <w:pPr>
        <w:pStyle w:val="NormalWeb"/>
        <w:shd w:val="clear" w:color="auto" w:fill="FFFFFF"/>
        <w:spacing w:line="480" w:lineRule="auto"/>
        <w:jc w:val="both"/>
        <w:rPr>
          <w:rFonts w:ascii="Arial" w:hAnsi="Arial" w:cs="Arial"/>
          <w:bCs/>
          <w:color w:val="242121"/>
        </w:rPr>
      </w:pPr>
      <w:r w:rsidRPr="00896F5D">
        <w:rPr>
          <w:rFonts w:ascii="Arial" w:hAnsi="Arial" w:cs="Arial"/>
          <w:bCs/>
          <w:iCs/>
          <w:color w:val="242121"/>
        </w:rPr>
        <w:t xml:space="preserve"> </w:t>
      </w:r>
    </w:p>
    <w:p w14:paraId="17F7997F" w14:textId="33458420" w:rsidR="008973EA" w:rsidRPr="00896F5D" w:rsidRDefault="00135A60" w:rsidP="00F47C26">
      <w:pPr>
        <w:pStyle w:val="ListParagraph"/>
        <w:tabs>
          <w:tab w:val="left" w:pos="851"/>
        </w:tabs>
        <w:spacing w:line="480" w:lineRule="auto"/>
        <w:ind w:left="0"/>
        <w:jc w:val="both"/>
        <w:rPr>
          <w:lang w:val="en-GB"/>
        </w:rPr>
      </w:pPr>
      <w:r w:rsidRPr="00896F5D">
        <w:rPr>
          <w:lang w:val="en-GB"/>
        </w:rPr>
        <w:t>[25</w:t>
      </w:r>
      <w:r w:rsidR="005E21DD" w:rsidRPr="00896F5D">
        <w:rPr>
          <w:lang w:val="en-GB"/>
        </w:rPr>
        <w:t>]</w:t>
      </w:r>
      <w:r w:rsidR="005E21DD" w:rsidRPr="00896F5D">
        <w:rPr>
          <w:lang w:val="en-GB"/>
        </w:rPr>
        <w:tab/>
      </w:r>
      <w:r w:rsidR="00A33282" w:rsidRPr="00896F5D">
        <w:rPr>
          <w:lang w:val="en-GB"/>
        </w:rPr>
        <w:t>Counsel for the defendant a</w:t>
      </w:r>
      <w:r w:rsidR="00293F6B" w:rsidRPr="00896F5D">
        <w:rPr>
          <w:lang w:val="en-GB"/>
        </w:rPr>
        <w:t>rgued</w:t>
      </w:r>
      <w:r w:rsidR="00B2394C" w:rsidRPr="00896F5D">
        <w:rPr>
          <w:lang w:val="en-GB"/>
        </w:rPr>
        <w:t xml:space="preserve"> that</w:t>
      </w:r>
      <w:r w:rsidR="00293F6B" w:rsidRPr="00896F5D">
        <w:rPr>
          <w:lang w:val="en-GB"/>
        </w:rPr>
        <w:t xml:space="preserve"> the defendant made numerous other transactions</w:t>
      </w:r>
      <w:r w:rsidR="00A33282" w:rsidRPr="00896F5D">
        <w:rPr>
          <w:lang w:val="en-GB"/>
        </w:rPr>
        <w:t xml:space="preserve"> </w:t>
      </w:r>
      <w:r w:rsidR="00896F5D" w:rsidRPr="00896F5D">
        <w:rPr>
          <w:lang w:val="en-GB"/>
        </w:rPr>
        <w:t xml:space="preserve">with </w:t>
      </w:r>
      <w:r w:rsidR="00A33282" w:rsidRPr="00896F5D">
        <w:rPr>
          <w:lang w:val="en-GB"/>
        </w:rPr>
        <w:t>Free Agape</w:t>
      </w:r>
      <w:r w:rsidR="00293F6B" w:rsidRPr="00896F5D">
        <w:rPr>
          <w:lang w:val="en-GB"/>
        </w:rPr>
        <w:t>. These transactions</w:t>
      </w:r>
      <w:r w:rsidR="004A42C0" w:rsidRPr="00896F5D">
        <w:rPr>
          <w:lang w:val="en-GB"/>
        </w:rPr>
        <w:t>, so he argued,</w:t>
      </w:r>
      <w:r w:rsidR="00293F6B" w:rsidRPr="00896F5D">
        <w:rPr>
          <w:lang w:val="en-GB"/>
        </w:rPr>
        <w:t xml:space="preserve"> were made</w:t>
      </w:r>
      <w:r w:rsidR="00A33282" w:rsidRPr="00896F5D">
        <w:rPr>
          <w:lang w:val="en-GB"/>
        </w:rPr>
        <w:t xml:space="preserve"> in the ordinary course of business </w:t>
      </w:r>
      <w:r w:rsidR="00D41E49" w:rsidRPr="00896F5D">
        <w:rPr>
          <w:lang w:val="en-GB"/>
        </w:rPr>
        <w:t>without favouring any particular creditor</w:t>
      </w:r>
      <w:r w:rsidR="00A33282" w:rsidRPr="00896F5D">
        <w:rPr>
          <w:lang w:val="en-GB"/>
        </w:rPr>
        <w:t xml:space="preserve">. Counsel acknowledged </w:t>
      </w:r>
      <w:r w:rsidR="00293F6B" w:rsidRPr="00896F5D">
        <w:rPr>
          <w:lang w:val="en-GB"/>
        </w:rPr>
        <w:t>that</w:t>
      </w:r>
      <w:r w:rsidR="00B46DBD" w:rsidRPr="00896F5D">
        <w:rPr>
          <w:lang w:val="en-GB"/>
        </w:rPr>
        <w:t xml:space="preserve"> once the plaintiff has discharge</w:t>
      </w:r>
      <w:r w:rsidR="00B2559E" w:rsidRPr="00896F5D">
        <w:rPr>
          <w:lang w:val="en-GB"/>
        </w:rPr>
        <w:t>d</w:t>
      </w:r>
      <w:r w:rsidR="00B46DBD" w:rsidRPr="00896F5D">
        <w:rPr>
          <w:lang w:val="en-GB"/>
        </w:rPr>
        <w:t xml:space="preserve"> its onus,</w:t>
      </w:r>
      <w:r w:rsidR="00293F6B" w:rsidRPr="00896F5D">
        <w:rPr>
          <w:lang w:val="en-GB"/>
        </w:rPr>
        <w:t xml:space="preserve"> the </w:t>
      </w:r>
      <w:r w:rsidR="007C3470" w:rsidRPr="00896F5D">
        <w:rPr>
          <w:lang w:val="en-GB"/>
        </w:rPr>
        <w:t>burden of proof</w:t>
      </w:r>
      <w:r w:rsidR="00B46DBD" w:rsidRPr="00896F5D">
        <w:rPr>
          <w:lang w:val="en-GB"/>
        </w:rPr>
        <w:t xml:space="preserve"> shifts</w:t>
      </w:r>
      <w:r w:rsidR="00A33282" w:rsidRPr="00896F5D">
        <w:rPr>
          <w:lang w:val="en-GB"/>
        </w:rPr>
        <w:t xml:space="preserve"> to the defendant to </w:t>
      </w:r>
      <w:r w:rsidR="007C3470" w:rsidRPr="00896F5D">
        <w:rPr>
          <w:lang w:val="en-GB"/>
        </w:rPr>
        <w:t xml:space="preserve">substantiate these </w:t>
      </w:r>
      <w:r w:rsidR="00F1500F" w:rsidRPr="00896F5D">
        <w:rPr>
          <w:lang w:val="en-GB"/>
        </w:rPr>
        <w:t>assertions</w:t>
      </w:r>
      <w:r w:rsidR="00B2394C" w:rsidRPr="00896F5D">
        <w:rPr>
          <w:lang w:val="en-GB"/>
        </w:rPr>
        <w:t>. This</w:t>
      </w:r>
      <w:r w:rsidR="00A33282" w:rsidRPr="00896F5D">
        <w:rPr>
          <w:lang w:val="en-GB"/>
        </w:rPr>
        <w:t xml:space="preserve"> notwithstanding, the de</w:t>
      </w:r>
      <w:r w:rsidR="00D32F8B" w:rsidRPr="00896F5D">
        <w:rPr>
          <w:lang w:val="en-GB"/>
        </w:rPr>
        <w:t xml:space="preserve">fendant </w:t>
      </w:r>
      <w:r w:rsidR="007C3470" w:rsidRPr="00896F5D">
        <w:rPr>
          <w:lang w:val="en-GB"/>
        </w:rPr>
        <w:t xml:space="preserve">claimed </w:t>
      </w:r>
      <w:r w:rsidR="00D32F8B" w:rsidRPr="00896F5D">
        <w:rPr>
          <w:lang w:val="en-GB"/>
        </w:rPr>
        <w:t>that some of his</w:t>
      </w:r>
      <w:r w:rsidR="00A33282" w:rsidRPr="00896F5D">
        <w:rPr>
          <w:lang w:val="en-GB"/>
        </w:rPr>
        <w:t xml:space="preserve"> financial records could not be obtained fr</w:t>
      </w:r>
      <w:r w:rsidR="00D32F8B" w:rsidRPr="00896F5D">
        <w:rPr>
          <w:lang w:val="en-GB"/>
        </w:rPr>
        <w:t>om his</w:t>
      </w:r>
      <w:r w:rsidR="00A33282" w:rsidRPr="00896F5D">
        <w:rPr>
          <w:lang w:val="en-GB"/>
        </w:rPr>
        <w:t xml:space="preserve"> bank</w:t>
      </w:r>
      <w:r w:rsidR="000B559F" w:rsidRPr="00896F5D">
        <w:rPr>
          <w:lang w:val="en-GB"/>
        </w:rPr>
        <w:t xml:space="preserve"> </w:t>
      </w:r>
      <w:r w:rsidR="00A33282" w:rsidRPr="00896F5D">
        <w:rPr>
          <w:lang w:val="en-GB"/>
        </w:rPr>
        <w:t>ac</w:t>
      </w:r>
      <w:r w:rsidR="00D32F8B" w:rsidRPr="00896F5D">
        <w:rPr>
          <w:lang w:val="en-GB"/>
        </w:rPr>
        <w:t xml:space="preserve">count. </w:t>
      </w:r>
      <w:r w:rsidR="00D32F8B" w:rsidRPr="00896F5D">
        <w:rPr>
          <w:lang w:val="en-GB"/>
        </w:rPr>
        <w:lastRenderedPageBreak/>
        <w:t>Despite the fact that his</w:t>
      </w:r>
      <w:r w:rsidR="00A33282" w:rsidRPr="00896F5D">
        <w:rPr>
          <w:lang w:val="en-GB"/>
        </w:rPr>
        <w:t xml:space="preserve"> bank account was closed, he </w:t>
      </w:r>
      <w:r w:rsidR="007C3470" w:rsidRPr="00896F5D">
        <w:rPr>
          <w:lang w:val="en-GB"/>
        </w:rPr>
        <w:t>managed</w:t>
      </w:r>
      <w:r w:rsidR="00A33282" w:rsidRPr="00896F5D">
        <w:rPr>
          <w:lang w:val="en-GB"/>
        </w:rPr>
        <w:t xml:space="preserve"> to retrieve records of certain sums of </w:t>
      </w:r>
      <w:r w:rsidR="00896F5D" w:rsidRPr="00896F5D">
        <w:rPr>
          <w:lang w:val="en-GB"/>
        </w:rPr>
        <w:t xml:space="preserve">money </w:t>
      </w:r>
      <w:r w:rsidR="00A33282" w:rsidRPr="00896F5D">
        <w:rPr>
          <w:lang w:val="en-GB"/>
        </w:rPr>
        <w:t xml:space="preserve">that he deposited to Free Agape six years ago. </w:t>
      </w:r>
      <w:r w:rsidR="004A42C0" w:rsidRPr="00896F5D">
        <w:rPr>
          <w:lang w:val="en-GB"/>
        </w:rPr>
        <w:t>This is incomprehensible</w:t>
      </w:r>
      <w:r w:rsidR="00B2394C" w:rsidRPr="00896F5D">
        <w:rPr>
          <w:lang w:val="en-GB"/>
        </w:rPr>
        <w:t>.</w:t>
      </w:r>
      <w:r w:rsidR="00ED1F8C" w:rsidRPr="00896F5D">
        <w:rPr>
          <w:lang w:val="en-GB"/>
        </w:rPr>
        <w:t xml:space="preserve"> </w:t>
      </w:r>
      <w:r w:rsidR="007C3470" w:rsidRPr="00896F5D">
        <w:rPr>
          <w:lang w:val="en-GB"/>
        </w:rPr>
        <w:t>Notably, t</w:t>
      </w:r>
      <w:r w:rsidR="00ED1F8C" w:rsidRPr="00896F5D">
        <w:rPr>
          <w:lang w:val="en-GB"/>
        </w:rPr>
        <w:t>he amount of R200</w:t>
      </w:r>
      <w:r w:rsidR="00896F5D" w:rsidRPr="00896F5D">
        <w:rPr>
          <w:lang w:val="en-GB"/>
        </w:rPr>
        <w:t xml:space="preserve"> </w:t>
      </w:r>
      <w:r w:rsidR="00ED1F8C" w:rsidRPr="00896F5D">
        <w:rPr>
          <w:lang w:val="en-GB"/>
        </w:rPr>
        <w:t>000</w:t>
      </w:r>
      <w:r w:rsidR="007C3470" w:rsidRPr="00896F5D">
        <w:rPr>
          <w:lang w:val="en-GB"/>
        </w:rPr>
        <w:t>,</w:t>
      </w:r>
      <w:r w:rsidR="005B32D3" w:rsidRPr="00896F5D">
        <w:rPr>
          <w:lang w:val="en-GB"/>
        </w:rPr>
        <w:t xml:space="preserve"> which is</w:t>
      </w:r>
      <w:r w:rsidR="007C3470" w:rsidRPr="00896F5D">
        <w:rPr>
          <w:lang w:val="en-GB"/>
        </w:rPr>
        <w:t xml:space="preserve"> a matter of </w:t>
      </w:r>
      <w:r w:rsidR="00ED1F8C" w:rsidRPr="00896F5D">
        <w:rPr>
          <w:lang w:val="en-GB"/>
        </w:rPr>
        <w:t>common knowledge between the parties</w:t>
      </w:r>
      <w:r w:rsidR="007C3470" w:rsidRPr="00896F5D">
        <w:rPr>
          <w:lang w:val="en-GB"/>
        </w:rPr>
        <w:t>,</w:t>
      </w:r>
      <w:r w:rsidR="00ED1F8C" w:rsidRPr="00896F5D">
        <w:rPr>
          <w:lang w:val="en-GB"/>
        </w:rPr>
        <w:t xml:space="preserve"> relates</w:t>
      </w:r>
      <w:r w:rsidR="007C3470" w:rsidRPr="00896F5D">
        <w:rPr>
          <w:lang w:val="en-GB"/>
        </w:rPr>
        <w:t xml:space="preserve"> </w:t>
      </w:r>
      <w:r w:rsidR="00ED1F8C" w:rsidRPr="00896F5D">
        <w:rPr>
          <w:lang w:val="en-GB"/>
        </w:rPr>
        <w:t>to a claim in terms of Section 2</w:t>
      </w:r>
      <w:r w:rsidR="00F3679D" w:rsidRPr="00896F5D">
        <w:rPr>
          <w:lang w:val="en-GB"/>
        </w:rPr>
        <w:t>6(1) of the Insolvency Act. The</w:t>
      </w:r>
      <w:r w:rsidR="00ED1F8C" w:rsidRPr="00896F5D">
        <w:rPr>
          <w:lang w:val="en-GB"/>
        </w:rPr>
        <w:t xml:space="preserve"> claim</w:t>
      </w:r>
      <w:r w:rsidR="00F3679D" w:rsidRPr="00896F5D">
        <w:rPr>
          <w:lang w:val="en-GB"/>
        </w:rPr>
        <w:t xml:space="preserve"> in terms of Section 26(1) of the </w:t>
      </w:r>
      <w:r w:rsidR="00896F5D" w:rsidRPr="00896F5D">
        <w:rPr>
          <w:lang w:val="en-GB"/>
        </w:rPr>
        <w:t xml:space="preserve">Insolvency </w:t>
      </w:r>
      <w:r w:rsidR="00F3679D" w:rsidRPr="00896F5D">
        <w:rPr>
          <w:lang w:val="en-GB"/>
        </w:rPr>
        <w:t>Act</w:t>
      </w:r>
      <w:r w:rsidR="00ED1F8C" w:rsidRPr="00896F5D">
        <w:rPr>
          <w:lang w:val="en-GB"/>
        </w:rPr>
        <w:t xml:space="preserve"> is not the subject</w:t>
      </w:r>
      <w:r w:rsidR="005D71EE" w:rsidRPr="00896F5D">
        <w:rPr>
          <w:lang w:val="en-GB"/>
        </w:rPr>
        <w:t xml:space="preserve"> matter</w:t>
      </w:r>
      <w:r w:rsidR="00ED1F8C" w:rsidRPr="00896F5D">
        <w:rPr>
          <w:lang w:val="en-GB"/>
        </w:rPr>
        <w:t xml:space="preserve"> of</w:t>
      </w:r>
      <w:r w:rsidR="002C45F1" w:rsidRPr="00896F5D">
        <w:rPr>
          <w:lang w:val="en-GB"/>
        </w:rPr>
        <w:t xml:space="preserve"> the</w:t>
      </w:r>
      <w:r w:rsidR="005D71EE" w:rsidRPr="00896F5D">
        <w:rPr>
          <w:lang w:val="en-GB"/>
        </w:rPr>
        <w:t xml:space="preserve"> default judgment that was granted by this court.</w:t>
      </w:r>
      <w:r w:rsidR="00ED1F8C" w:rsidRPr="00896F5D">
        <w:rPr>
          <w:lang w:val="en-GB"/>
        </w:rPr>
        <w:t xml:space="preserve"> </w:t>
      </w:r>
    </w:p>
    <w:p w14:paraId="0C0942A0" w14:textId="77777777" w:rsidR="005E21DD" w:rsidRPr="00896F5D" w:rsidRDefault="005E21DD" w:rsidP="005E21DD">
      <w:pPr>
        <w:pStyle w:val="ListParagraph"/>
        <w:tabs>
          <w:tab w:val="left" w:pos="851"/>
        </w:tabs>
        <w:spacing w:line="480" w:lineRule="auto"/>
        <w:ind w:left="0"/>
        <w:jc w:val="both"/>
        <w:rPr>
          <w:lang w:val="en-GB"/>
        </w:rPr>
      </w:pPr>
    </w:p>
    <w:p w14:paraId="4E662B05" w14:textId="0CEAA12F" w:rsidR="009F447E" w:rsidRPr="00896F5D" w:rsidRDefault="00135A60" w:rsidP="00A33282">
      <w:pPr>
        <w:pStyle w:val="ListParagraph"/>
        <w:tabs>
          <w:tab w:val="left" w:pos="851"/>
        </w:tabs>
        <w:spacing w:line="480" w:lineRule="auto"/>
        <w:ind w:left="0"/>
        <w:jc w:val="both"/>
        <w:rPr>
          <w:sz w:val="20"/>
          <w:szCs w:val="20"/>
          <w:lang w:val="en-GB"/>
        </w:rPr>
      </w:pPr>
      <w:r w:rsidRPr="00896F5D">
        <w:rPr>
          <w:lang w:val="en-GB"/>
        </w:rPr>
        <w:t>[26</w:t>
      </w:r>
      <w:r w:rsidR="005E21DD" w:rsidRPr="00896F5D">
        <w:rPr>
          <w:lang w:val="en-GB"/>
        </w:rPr>
        <w:t>]</w:t>
      </w:r>
      <w:r w:rsidR="005E21DD" w:rsidRPr="00896F5D">
        <w:rPr>
          <w:lang w:val="en-GB"/>
        </w:rPr>
        <w:tab/>
      </w:r>
      <w:r w:rsidR="007449A6" w:rsidRPr="00896F5D">
        <w:rPr>
          <w:lang w:val="en-GB"/>
        </w:rPr>
        <w:t xml:space="preserve">It </w:t>
      </w:r>
      <w:r w:rsidR="007C3470" w:rsidRPr="00896F5D">
        <w:rPr>
          <w:lang w:val="en-GB"/>
        </w:rPr>
        <w:t>is crucial to bear in mind</w:t>
      </w:r>
      <w:r w:rsidR="007449A6" w:rsidRPr="00896F5D">
        <w:rPr>
          <w:lang w:val="en-GB"/>
        </w:rPr>
        <w:t xml:space="preserve"> that</w:t>
      </w:r>
      <w:r w:rsidR="004A42C0" w:rsidRPr="00896F5D">
        <w:rPr>
          <w:lang w:val="en-GB"/>
        </w:rPr>
        <w:t xml:space="preserve"> a bona fide defence necessitates</w:t>
      </w:r>
      <w:r w:rsidR="00A33282" w:rsidRPr="00896F5D">
        <w:rPr>
          <w:lang w:val="en-GB"/>
        </w:rPr>
        <w:t xml:space="preserve"> full disclosure of the </w:t>
      </w:r>
      <w:r w:rsidR="00B2559E" w:rsidRPr="00896F5D">
        <w:rPr>
          <w:lang w:val="en-GB"/>
        </w:rPr>
        <w:t>nature, grounds</w:t>
      </w:r>
      <w:r w:rsidR="003B56C0" w:rsidRPr="00896F5D">
        <w:rPr>
          <w:lang w:val="en-GB"/>
        </w:rPr>
        <w:t xml:space="preserve"> </w:t>
      </w:r>
      <w:r w:rsidR="007C3470" w:rsidRPr="00896F5D">
        <w:rPr>
          <w:lang w:val="en-GB"/>
        </w:rPr>
        <w:t xml:space="preserve">and material facts relied upon to support the </w:t>
      </w:r>
      <w:r w:rsidR="00B2559E" w:rsidRPr="00896F5D">
        <w:rPr>
          <w:lang w:val="en-GB"/>
        </w:rPr>
        <w:t xml:space="preserve">defence. </w:t>
      </w:r>
      <w:r w:rsidR="004A42C0" w:rsidRPr="00896F5D">
        <w:rPr>
          <w:lang w:val="en-GB"/>
        </w:rPr>
        <w:t>In this instance, the</w:t>
      </w:r>
      <w:r w:rsidR="00B2394C" w:rsidRPr="00896F5D">
        <w:rPr>
          <w:lang w:val="en-GB"/>
        </w:rPr>
        <w:t xml:space="preserve"> account given by the defend</w:t>
      </w:r>
      <w:r w:rsidR="004E5311" w:rsidRPr="00896F5D">
        <w:rPr>
          <w:lang w:val="en-GB"/>
        </w:rPr>
        <w:t>ant seems to be more general</w:t>
      </w:r>
      <w:r w:rsidR="00B2394C" w:rsidRPr="00896F5D">
        <w:rPr>
          <w:lang w:val="en-GB"/>
        </w:rPr>
        <w:t xml:space="preserve"> than specific. </w:t>
      </w:r>
      <w:r w:rsidR="004A42C0" w:rsidRPr="00896F5D">
        <w:rPr>
          <w:lang w:val="en-GB"/>
        </w:rPr>
        <w:t>T</w:t>
      </w:r>
      <w:r w:rsidR="00D32F8B" w:rsidRPr="00896F5D">
        <w:rPr>
          <w:lang w:val="en-GB"/>
        </w:rPr>
        <w:t>he material facts upon which his</w:t>
      </w:r>
      <w:r w:rsidR="004A42C0" w:rsidRPr="00896F5D">
        <w:rPr>
          <w:lang w:val="en-GB"/>
        </w:rPr>
        <w:t xml:space="preserve"> defence is likely to be based are missing and therefore no bona fide defence was exhibited. Consequently, the application for the rescission of the default judgment cannot succeed.</w:t>
      </w:r>
    </w:p>
    <w:p w14:paraId="59F2AE67" w14:textId="2BFC6FAD" w:rsidR="009936AF" w:rsidRPr="00896F5D" w:rsidRDefault="005E21DD" w:rsidP="002B7CA5">
      <w:pPr>
        <w:pStyle w:val="ListParagraph"/>
        <w:tabs>
          <w:tab w:val="left" w:pos="851"/>
        </w:tabs>
        <w:spacing w:line="480" w:lineRule="auto"/>
        <w:ind w:left="0"/>
        <w:jc w:val="both"/>
        <w:rPr>
          <w:lang w:val="en-GB"/>
        </w:rPr>
      </w:pPr>
      <w:r w:rsidRPr="00896F5D">
        <w:rPr>
          <w:lang w:val="en-GB"/>
        </w:rPr>
        <w:tab/>
      </w:r>
    </w:p>
    <w:p w14:paraId="4E198C25" w14:textId="77777777" w:rsidR="009936AF" w:rsidRPr="00896F5D" w:rsidRDefault="009936AF" w:rsidP="00F47C26">
      <w:pPr>
        <w:pStyle w:val="ListParagraph"/>
        <w:spacing w:line="480" w:lineRule="auto"/>
        <w:ind w:left="0"/>
        <w:jc w:val="both"/>
        <w:rPr>
          <w:b/>
          <w:bCs/>
          <w:u w:val="single"/>
          <w:lang w:val="en-GB"/>
        </w:rPr>
      </w:pPr>
      <w:r w:rsidRPr="00896F5D">
        <w:rPr>
          <w:b/>
          <w:bCs/>
          <w:u w:val="single"/>
          <w:lang w:val="en-GB"/>
        </w:rPr>
        <w:t>Order</w:t>
      </w:r>
    </w:p>
    <w:p w14:paraId="45224268" w14:textId="77777777" w:rsidR="009936AF" w:rsidRPr="00896F5D" w:rsidRDefault="009936AF" w:rsidP="00F47C26">
      <w:pPr>
        <w:pStyle w:val="ListParagraph"/>
        <w:spacing w:line="480" w:lineRule="auto"/>
        <w:ind w:left="0"/>
        <w:jc w:val="both"/>
        <w:rPr>
          <w:u w:val="single"/>
          <w:lang w:val="en-GB"/>
        </w:rPr>
      </w:pPr>
    </w:p>
    <w:p w14:paraId="72D67F40" w14:textId="20364E96" w:rsidR="00896F5D" w:rsidRPr="00896F5D" w:rsidRDefault="00135A60" w:rsidP="0071448B">
      <w:pPr>
        <w:tabs>
          <w:tab w:val="left" w:pos="851"/>
        </w:tabs>
        <w:spacing w:line="480" w:lineRule="auto"/>
        <w:jc w:val="both"/>
        <w:rPr>
          <w:b/>
          <w:bCs/>
          <w:lang w:val="en-GB"/>
        </w:rPr>
      </w:pPr>
      <w:r w:rsidRPr="00896F5D">
        <w:rPr>
          <w:lang w:val="en-GB"/>
        </w:rPr>
        <w:t>[27</w:t>
      </w:r>
      <w:r w:rsidR="0071448B" w:rsidRPr="00896F5D">
        <w:rPr>
          <w:lang w:val="en-GB"/>
        </w:rPr>
        <w:t>]</w:t>
      </w:r>
      <w:r w:rsidR="0071448B" w:rsidRPr="00896F5D">
        <w:rPr>
          <w:lang w:val="en-GB"/>
        </w:rPr>
        <w:tab/>
      </w:r>
      <w:r w:rsidR="004A42C0" w:rsidRPr="00896F5D">
        <w:t>T</w:t>
      </w:r>
      <w:r w:rsidR="0071448B" w:rsidRPr="00896F5D">
        <w:t xml:space="preserve">he following order is </w:t>
      </w:r>
      <w:r w:rsidR="00F47C26" w:rsidRPr="00896F5D">
        <w:t>issued</w:t>
      </w:r>
      <w:r w:rsidR="0071448B" w:rsidRPr="00896F5D">
        <w:t>:</w:t>
      </w:r>
    </w:p>
    <w:p w14:paraId="11BCB425" w14:textId="769241D9" w:rsidR="0071448B" w:rsidRPr="00896F5D" w:rsidRDefault="0071448B" w:rsidP="0071448B">
      <w:pPr>
        <w:tabs>
          <w:tab w:val="left" w:pos="851"/>
        </w:tabs>
        <w:spacing w:line="480" w:lineRule="auto"/>
        <w:jc w:val="both"/>
        <w:rPr>
          <w:b/>
          <w:bCs/>
          <w:lang w:val="en-GB"/>
        </w:rPr>
      </w:pPr>
    </w:p>
    <w:p w14:paraId="4E5A56E3" w14:textId="20381CA8" w:rsidR="00AF5176" w:rsidRPr="008E436E" w:rsidRDefault="008E436E" w:rsidP="008E436E">
      <w:pPr>
        <w:tabs>
          <w:tab w:val="left" w:pos="851"/>
        </w:tabs>
        <w:spacing w:line="480" w:lineRule="auto"/>
        <w:ind w:left="1212" w:hanging="360"/>
        <w:jc w:val="both"/>
        <w:rPr>
          <w:b/>
          <w:bCs/>
          <w:lang w:val="en-GB"/>
          <w:rPrChange w:id="20" w:author="Mary Bruce" w:date="2024-06-18T11:39:00Z">
            <w:rPr>
              <w:lang w:val="en-GB"/>
            </w:rPr>
          </w:rPrChange>
        </w:rPr>
        <w:pPrChange w:id="21" w:author="Mary Bruce" w:date="2024-06-18T11:39:00Z">
          <w:pPr>
            <w:pStyle w:val="ListParagraph"/>
            <w:numPr>
              <w:numId w:val="21"/>
            </w:numPr>
            <w:tabs>
              <w:tab w:val="left" w:pos="851"/>
            </w:tabs>
            <w:spacing w:line="480" w:lineRule="auto"/>
            <w:ind w:left="1212" w:hanging="360"/>
            <w:jc w:val="both"/>
          </w:pPr>
        </w:pPrChange>
      </w:pPr>
      <w:r>
        <w:rPr>
          <w:b/>
          <w:bCs/>
          <w:lang w:val="en-GB"/>
        </w:rPr>
        <w:t>1.</w:t>
      </w:r>
      <w:r>
        <w:rPr>
          <w:b/>
          <w:bCs/>
          <w:lang w:val="en-GB"/>
        </w:rPr>
        <w:tab/>
      </w:r>
      <w:r w:rsidR="004A42C0" w:rsidRPr="008E436E">
        <w:rPr>
          <w:b/>
          <w:bCs/>
          <w:lang w:val="en-GB"/>
          <w:rPrChange w:id="22" w:author="Mary Bruce" w:date="2024-06-18T11:39:00Z">
            <w:rPr>
              <w:lang w:val="en-GB"/>
            </w:rPr>
          </w:rPrChange>
        </w:rPr>
        <w:t>The application for</w:t>
      </w:r>
      <w:r w:rsidR="002B7CA5" w:rsidRPr="008E436E">
        <w:rPr>
          <w:b/>
          <w:bCs/>
          <w:lang w:val="en-GB"/>
          <w:rPrChange w:id="23" w:author="Mary Bruce" w:date="2024-06-18T11:39:00Z">
            <w:rPr>
              <w:lang w:val="en-GB"/>
            </w:rPr>
          </w:rPrChange>
        </w:rPr>
        <w:t xml:space="preserve"> the</w:t>
      </w:r>
      <w:r w:rsidR="00C56124" w:rsidRPr="008E436E">
        <w:rPr>
          <w:b/>
          <w:bCs/>
          <w:lang w:val="en-GB"/>
          <w:rPrChange w:id="24" w:author="Mary Bruce" w:date="2024-06-18T11:39:00Z">
            <w:rPr>
              <w:lang w:val="en-GB"/>
            </w:rPr>
          </w:rPrChange>
        </w:rPr>
        <w:t xml:space="preserve"> rescission of the</w:t>
      </w:r>
      <w:r w:rsidR="002B7CA5" w:rsidRPr="008E436E">
        <w:rPr>
          <w:b/>
          <w:bCs/>
          <w:lang w:val="en-GB"/>
          <w:rPrChange w:id="25" w:author="Mary Bruce" w:date="2024-06-18T11:39:00Z">
            <w:rPr>
              <w:lang w:val="en-GB"/>
            </w:rPr>
          </w:rPrChange>
        </w:rPr>
        <w:t xml:space="preserve"> default judgment is </w:t>
      </w:r>
      <w:r w:rsidR="004A42C0" w:rsidRPr="008E436E">
        <w:rPr>
          <w:b/>
          <w:bCs/>
          <w:lang w:val="en-GB"/>
          <w:rPrChange w:id="26" w:author="Mary Bruce" w:date="2024-06-18T11:39:00Z">
            <w:rPr>
              <w:lang w:val="en-GB"/>
            </w:rPr>
          </w:rPrChange>
        </w:rPr>
        <w:t>dismissed with costs.</w:t>
      </w:r>
    </w:p>
    <w:p w14:paraId="553B4C0F" w14:textId="1D1759BA" w:rsidR="00896F5D" w:rsidRPr="00896F5D" w:rsidRDefault="00896F5D" w:rsidP="008C64D9">
      <w:pPr>
        <w:pStyle w:val="ListParagraph"/>
        <w:tabs>
          <w:tab w:val="left" w:pos="851"/>
        </w:tabs>
        <w:spacing w:line="480" w:lineRule="auto"/>
        <w:ind w:left="1212"/>
        <w:jc w:val="both"/>
        <w:rPr>
          <w:b/>
          <w:bCs/>
          <w:lang w:val="en-GB"/>
        </w:rPr>
      </w:pPr>
    </w:p>
    <w:p w14:paraId="0D524FDB" w14:textId="77777777" w:rsidR="00896F5D" w:rsidRPr="00896F5D" w:rsidRDefault="00896F5D" w:rsidP="00F47C26">
      <w:pPr>
        <w:pStyle w:val="ListParagraph"/>
        <w:spacing w:line="480" w:lineRule="auto"/>
        <w:jc w:val="both"/>
        <w:rPr>
          <w:b/>
          <w:bCs/>
          <w:lang w:val="en-GB"/>
        </w:rPr>
      </w:pPr>
    </w:p>
    <w:p w14:paraId="6E829258" w14:textId="77777777" w:rsidR="00D579DB" w:rsidRPr="00896F5D" w:rsidRDefault="00D579DB" w:rsidP="00F47C26">
      <w:pPr>
        <w:spacing w:line="480" w:lineRule="auto"/>
        <w:jc w:val="both"/>
        <w:rPr>
          <w:lang w:val="en-GB"/>
        </w:rPr>
      </w:pPr>
    </w:p>
    <w:p w14:paraId="099AA5AE" w14:textId="77777777" w:rsidR="005E2232" w:rsidRDefault="005E2232" w:rsidP="00F47C26">
      <w:pPr>
        <w:spacing w:line="480" w:lineRule="auto"/>
        <w:jc w:val="both"/>
        <w:rPr>
          <w:b/>
          <w:bCs/>
          <w:u w:val="single"/>
          <w:lang w:val="en-GB"/>
        </w:rPr>
      </w:pPr>
    </w:p>
    <w:p w14:paraId="47B9B5ED" w14:textId="5E71810B" w:rsidR="002528BE" w:rsidRPr="00896F5D" w:rsidRDefault="00D579DB" w:rsidP="00F47C26">
      <w:pPr>
        <w:spacing w:line="480" w:lineRule="auto"/>
        <w:jc w:val="both"/>
        <w:rPr>
          <w:b/>
          <w:bCs/>
          <w:u w:val="single"/>
          <w:lang w:val="en-GB"/>
        </w:rPr>
      </w:pPr>
      <w:r w:rsidRPr="00896F5D">
        <w:rPr>
          <w:b/>
          <w:bCs/>
          <w:u w:val="single"/>
          <w:lang w:val="en-GB"/>
        </w:rPr>
        <w:t>______________________</w:t>
      </w:r>
    </w:p>
    <w:p w14:paraId="3A851A08" w14:textId="77777777" w:rsidR="002528BE" w:rsidRPr="008C64D9" w:rsidRDefault="002528BE" w:rsidP="008C64D9">
      <w:pPr>
        <w:rPr>
          <w:b/>
          <w:bCs/>
          <w:lang w:val="en-GB"/>
        </w:rPr>
      </w:pPr>
      <w:r w:rsidRPr="008C64D9">
        <w:rPr>
          <w:b/>
          <w:bCs/>
          <w:lang w:val="en-GB"/>
        </w:rPr>
        <w:t>N CENGANI-MBAKAZA</w:t>
      </w:r>
    </w:p>
    <w:p w14:paraId="1F44674C" w14:textId="5F066A3F" w:rsidR="002528BE" w:rsidRPr="008C64D9" w:rsidRDefault="002528BE" w:rsidP="008C64D9">
      <w:pPr>
        <w:rPr>
          <w:b/>
          <w:bCs/>
          <w:lang w:val="en-GB"/>
        </w:rPr>
      </w:pPr>
      <w:r w:rsidRPr="008C64D9">
        <w:rPr>
          <w:b/>
          <w:bCs/>
          <w:lang w:val="en-GB"/>
        </w:rPr>
        <w:lastRenderedPageBreak/>
        <w:t>ACTING JUDGE OF THE HIGH COURT</w:t>
      </w:r>
      <w:r w:rsidR="0095124B" w:rsidRPr="008C64D9">
        <w:rPr>
          <w:b/>
          <w:bCs/>
          <w:lang w:val="en-GB"/>
        </w:rPr>
        <w:t xml:space="preserve"> OF SOUTH AFRICA</w:t>
      </w:r>
    </w:p>
    <w:p w14:paraId="5AAAE9BE" w14:textId="77777777" w:rsidR="00F47C26" w:rsidRPr="00896F5D" w:rsidRDefault="00F47C26" w:rsidP="00055DAC">
      <w:pPr>
        <w:spacing w:line="480" w:lineRule="auto"/>
        <w:jc w:val="both"/>
        <w:rPr>
          <w:b/>
          <w:bCs/>
          <w:lang w:val="en-GB"/>
        </w:rPr>
      </w:pPr>
    </w:p>
    <w:p w14:paraId="507FF76C" w14:textId="437077CF" w:rsidR="00896F5D" w:rsidRPr="00896F5D" w:rsidRDefault="00D579DB" w:rsidP="00F47C26">
      <w:pPr>
        <w:spacing w:line="480" w:lineRule="auto"/>
        <w:jc w:val="both"/>
        <w:rPr>
          <w:b/>
          <w:bCs/>
          <w:lang w:val="en-GB"/>
        </w:rPr>
      </w:pPr>
      <w:r w:rsidRPr="00896F5D">
        <w:rPr>
          <w:b/>
          <w:bCs/>
          <w:lang w:val="en-GB"/>
        </w:rPr>
        <w:t xml:space="preserve">APPEARANCES: </w:t>
      </w:r>
    </w:p>
    <w:p w14:paraId="6B989C0F" w14:textId="4CB120DB" w:rsidR="009936AF" w:rsidRPr="00896F5D" w:rsidRDefault="00C51900" w:rsidP="00F47C26">
      <w:pPr>
        <w:spacing w:line="480" w:lineRule="auto"/>
        <w:jc w:val="both"/>
        <w:rPr>
          <w:b/>
          <w:bCs/>
          <w:lang w:val="en-GB"/>
        </w:rPr>
      </w:pPr>
      <w:r w:rsidRPr="00896F5D">
        <w:rPr>
          <w:lang w:val="en-GB"/>
        </w:rPr>
        <w:t>Counsel for the plaintiffs</w:t>
      </w:r>
      <w:r w:rsidR="00D579DB" w:rsidRPr="00896F5D">
        <w:rPr>
          <w:lang w:val="en-GB"/>
        </w:rPr>
        <w:tab/>
      </w:r>
      <w:r w:rsidR="00D579DB" w:rsidRPr="00896F5D">
        <w:rPr>
          <w:lang w:val="en-GB"/>
        </w:rPr>
        <w:tab/>
      </w:r>
      <w:r w:rsidR="00D579DB" w:rsidRPr="00896F5D">
        <w:rPr>
          <w:lang w:val="en-GB"/>
        </w:rPr>
        <w:tab/>
      </w:r>
      <w:r w:rsidR="009936AF" w:rsidRPr="00896F5D">
        <w:rPr>
          <w:lang w:val="en-GB"/>
        </w:rPr>
        <w:t>:</w:t>
      </w:r>
      <w:r w:rsidR="00D579DB" w:rsidRPr="00896F5D">
        <w:rPr>
          <w:lang w:val="en-GB"/>
        </w:rPr>
        <w:tab/>
      </w:r>
      <w:r w:rsidRPr="00896F5D">
        <w:rPr>
          <w:b/>
          <w:bCs/>
          <w:lang w:val="en-GB"/>
        </w:rPr>
        <w:t xml:space="preserve">Adv </w:t>
      </w:r>
      <w:r w:rsidR="00585633" w:rsidRPr="00896F5D">
        <w:rPr>
          <w:b/>
          <w:bCs/>
          <w:lang w:val="en-GB"/>
        </w:rPr>
        <w:t xml:space="preserve"> M </w:t>
      </w:r>
      <w:r w:rsidRPr="00896F5D">
        <w:rPr>
          <w:b/>
          <w:bCs/>
          <w:lang w:val="en-GB"/>
        </w:rPr>
        <w:t>Somandi</w:t>
      </w:r>
    </w:p>
    <w:p w14:paraId="58A7DDDD" w14:textId="22DB9F87" w:rsidR="009936AF" w:rsidRPr="00896F5D" w:rsidRDefault="009936AF" w:rsidP="00F47C26">
      <w:pPr>
        <w:spacing w:line="480" w:lineRule="auto"/>
        <w:ind w:left="284"/>
        <w:jc w:val="both"/>
        <w:rPr>
          <w:lang w:val="en-GB"/>
        </w:rPr>
      </w:pPr>
      <w:r w:rsidRPr="00896F5D">
        <w:rPr>
          <w:lang w:val="en-GB"/>
        </w:rPr>
        <w:t xml:space="preserve">                                                            </w:t>
      </w:r>
    </w:p>
    <w:p w14:paraId="3AF74F36" w14:textId="42465789" w:rsidR="009936AF" w:rsidRPr="00896F5D" w:rsidRDefault="009936AF" w:rsidP="005E2232">
      <w:pPr>
        <w:spacing w:line="480" w:lineRule="auto"/>
        <w:jc w:val="both"/>
        <w:rPr>
          <w:lang w:val="en-GB"/>
        </w:rPr>
      </w:pPr>
      <w:r w:rsidRPr="00896F5D">
        <w:rPr>
          <w:lang w:val="en-GB"/>
        </w:rPr>
        <w:t>Instructed by</w:t>
      </w:r>
      <w:r w:rsidR="00D579DB" w:rsidRPr="00896F5D">
        <w:rPr>
          <w:lang w:val="en-GB"/>
        </w:rPr>
        <w:tab/>
      </w:r>
      <w:r w:rsidR="00D579DB" w:rsidRPr="00896F5D">
        <w:rPr>
          <w:lang w:val="en-GB"/>
        </w:rPr>
        <w:tab/>
      </w:r>
      <w:r w:rsidR="00D579DB" w:rsidRPr="00896F5D">
        <w:rPr>
          <w:lang w:val="en-GB"/>
        </w:rPr>
        <w:tab/>
      </w:r>
      <w:r w:rsidR="00D579DB" w:rsidRPr="00896F5D">
        <w:rPr>
          <w:lang w:val="en-GB"/>
        </w:rPr>
        <w:tab/>
      </w:r>
      <w:r w:rsidR="00D579DB" w:rsidRPr="00896F5D">
        <w:rPr>
          <w:lang w:val="en-GB"/>
        </w:rPr>
        <w:tab/>
      </w:r>
      <w:r w:rsidRPr="00896F5D">
        <w:rPr>
          <w:lang w:val="en-GB"/>
        </w:rPr>
        <w:t>:</w:t>
      </w:r>
      <w:r w:rsidR="00D579DB" w:rsidRPr="00896F5D">
        <w:rPr>
          <w:lang w:val="en-GB"/>
        </w:rPr>
        <w:tab/>
      </w:r>
      <w:r w:rsidR="00C51900" w:rsidRPr="00896F5D">
        <w:rPr>
          <w:b/>
          <w:bCs/>
          <w:lang w:val="en-GB"/>
        </w:rPr>
        <w:t>BANARD INCOPORATED</w:t>
      </w:r>
    </w:p>
    <w:p w14:paraId="0C338C87" w14:textId="66FA0CE9" w:rsidR="00C51900" w:rsidRPr="00896F5D" w:rsidRDefault="009936AF" w:rsidP="005E2232">
      <w:pPr>
        <w:pStyle w:val="ListParagraph"/>
        <w:spacing w:line="480" w:lineRule="auto"/>
        <w:ind w:left="737"/>
        <w:jc w:val="both"/>
        <w:rPr>
          <w:lang w:val="en-GB"/>
        </w:rPr>
      </w:pPr>
      <w:r w:rsidRPr="00896F5D">
        <w:rPr>
          <w:lang w:val="en-GB"/>
        </w:rPr>
        <w:t xml:space="preserve">                                                 </w:t>
      </w:r>
      <w:r w:rsidR="00896F5D" w:rsidRPr="00896F5D">
        <w:rPr>
          <w:bCs/>
          <w:lang w:val="en-GB"/>
        </w:rPr>
        <w:tab/>
      </w:r>
      <w:r w:rsidR="005E2232">
        <w:rPr>
          <w:bCs/>
          <w:lang w:val="en-GB"/>
        </w:rPr>
        <w:tab/>
      </w:r>
      <w:r w:rsidR="00C51900" w:rsidRPr="008C64D9">
        <w:rPr>
          <w:bCs/>
          <w:lang w:val="en-GB"/>
        </w:rPr>
        <w:t>PRETOR</w:t>
      </w:r>
      <w:r w:rsidR="00896F5D" w:rsidRPr="00896F5D">
        <w:rPr>
          <w:bCs/>
          <w:lang w:val="en-GB"/>
        </w:rPr>
        <w:t>IA</w:t>
      </w:r>
    </w:p>
    <w:p w14:paraId="180649D7" w14:textId="00F3EAD8" w:rsidR="00C51900" w:rsidRPr="00896F5D" w:rsidRDefault="00C51900" w:rsidP="005E2232">
      <w:pPr>
        <w:pStyle w:val="ListParagraph"/>
        <w:spacing w:line="480" w:lineRule="auto"/>
        <w:ind w:left="0"/>
        <w:jc w:val="both"/>
        <w:rPr>
          <w:b/>
          <w:bCs/>
          <w:lang w:val="en-GB"/>
        </w:rPr>
      </w:pPr>
      <w:r w:rsidRPr="00896F5D">
        <w:rPr>
          <w:bCs/>
          <w:lang w:val="en-GB"/>
        </w:rPr>
        <w:t xml:space="preserve">                                           </w:t>
      </w:r>
      <w:r w:rsidR="00896F5D" w:rsidRPr="00896F5D">
        <w:rPr>
          <w:bCs/>
          <w:lang w:val="en-GB"/>
        </w:rPr>
        <w:tab/>
      </w:r>
      <w:r w:rsidR="00896F5D" w:rsidRPr="00896F5D">
        <w:rPr>
          <w:bCs/>
          <w:lang w:val="en-GB"/>
        </w:rPr>
        <w:tab/>
      </w:r>
      <w:r w:rsidR="005E2232">
        <w:rPr>
          <w:bCs/>
          <w:lang w:val="en-GB"/>
        </w:rPr>
        <w:tab/>
      </w:r>
      <w:r w:rsidR="005E2232">
        <w:rPr>
          <w:bCs/>
          <w:lang w:val="en-GB"/>
        </w:rPr>
        <w:tab/>
      </w:r>
      <w:r w:rsidRPr="00896F5D">
        <w:rPr>
          <w:b/>
          <w:bCs/>
          <w:lang w:val="en-GB"/>
        </w:rPr>
        <w:t>C/o DE JAGER LORDAN</w:t>
      </w:r>
      <w:r w:rsidR="00896F5D" w:rsidRPr="00896F5D">
        <w:rPr>
          <w:b/>
          <w:bCs/>
          <w:lang w:val="en-GB"/>
        </w:rPr>
        <w:t xml:space="preserve"> </w:t>
      </w:r>
      <w:r w:rsidRPr="00896F5D">
        <w:rPr>
          <w:b/>
          <w:bCs/>
          <w:lang w:val="en-GB"/>
        </w:rPr>
        <w:t>INC</w:t>
      </w:r>
    </w:p>
    <w:p w14:paraId="51691676" w14:textId="15CDCBE8" w:rsidR="00C51900" w:rsidRPr="00896F5D" w:rsidRDefault="00C51900" w:rsidP="005E2232">
      <w:pPr>
        <w:pStyle w:val="ListParagraph"/>
        <w:spacing w:line="480" w:lineRule="auto"/>
        <w:ind w:left="0"/>
        <w:jc w:val="both"/>
        <w:rPr>
          <w:bCs/>
          <w:lang w:val="en-GB"/>
        </w:rPr>
      </w:pPr>
      <w:r w:rsidRPr="00896F5D">
        <w:rPr>
          <w:bCs/>
          <w:lang w:val="en-GB"/>
        </w:rPr>
        <w:t xml:space="preserve">                                                          </w:t>
      </w:r>
      <w:r w:rsidR="005E2232">
        <w:rPr>
          <w:bCs/>
          <w:lang w:val="en-GB"/>
        </w:rPr>
        <w:tab/>
      </w:r>
      <w:r w:rsidR="005E2232">
        <w:rPr>
          <w:bCs/>
          <w:lang w:val="en-GB"/>
        </w:rPr>
        <w:tab/>
      </w:r>
      <w:r w:rsidRPr="00896F5D">
        <w:rPr>
          <w:bCs/>
          <w:lang w:val="en-GB"/>
        </w:rPr>
        <w:t>2 Allen Street</w:t>
      </w:r>
    </w:p>
    <w:p w14:paraId="51828331" w14:textId="0BFF55A3" w:rsidR="005850E8" w:rsidRPr="00896F5D" w:rsidRDefault="00C51900" w:rsidP="005E2232">
      <w:pPr>
        <w:pStyle w:val="ListParagraph"/>
        <w:spacing w:line="480" w:lineRule="auto"/>
        <w:ind w:left="0"/>
        <w:jc w:val="both"/>
        <w:rPr>
          <w:lang w:val="en-GB"/>
        </w:rPr>
      </w:pPr>
      <w:r w:rsidRPr="00896F5D">
        <w:rPr>
          <w:bCs/>
          <w:lang w:val="en-GB"/>
        </w:rPr>
        <w:t xml:space="preserve">                                                        </w:t>
      </w:r>
      <w:r w:rsidR="00F801C5">
        <w:rPr>
          <w:bCs/>
          <w:lang w:val="en-GB"/>
        </w:rPr>
        <w:t xml:space="preserve"> </w:t>
      </w:r>
      <w:r w:rsidR="005E2232">
        <w:rPr>
          <w:bCs/>
          <w:lang w:val="en-GB"/>
        </w:rPr>
        <w:tab/>
      </w:r>
      <w:r w:rsidR="005E2232">
        <w:rPr>
          <w:bCs/>
          <w:lang w:val="en-GB"/>
        </w:rPr>
        <w:tab/>
      </w:r>
      <w:r w:rsidR="00F801C5">
        <w:rPr>
          <w:bCs/>
          <w:lang w:val="en-GB"/>
        </w:rPr>
        <w:t xml:space="preserve"> </w:t>
      </w:r>
      <w:r w:rsidRPr="00896F5D">
        <w:rPr>
          <w:b/>
          <w:bCs/>
          <w:lang w:val="en-GB"/>
        </w:rPr>
        <w:t>MAKHANDA</w:t>
      </w:r>
    </w:p>
    <w:p w14:paraId="4D1BFB57" w14:textId="517AF219" w:rsidR="00C51900" w:rsidRPr="00896F5D" w:rsidRDefault="00C51900" w:rsidP="005E2232">
      <w:pPr>
        <w:pStyle w:val="ListParagraph"/>
        <w:spacing w:line="480" w:lineRule="auto"/>
        <w:ind w:left="0"/>
        <w:jc w:val="both"/>
        <w:rPr>
          <w:lang w:val="en-GB"/>
        </w:rPr>
      </w:pPr>
      <w:r w:rsidRPr="00896F5D">
        <w:rPr>
          <w:lang w:val="en-GB"/>
        </w:rPr>
        <w:t xml:space="preserve">                                                         </w:t>
      </w:r>
      <w:r w:rsidR="00F801C5">
        <w:rPr>
          <w:lang w:val="en-GB"/>
        </w:rPr>
        <w:t xml:space="preserve"> </w:t>
      </w:r>
      <w:r w:rsidR="005E2232">
        <w:rPr>
          <w:lang w:val="en-GB"/>
        </w:rPr>
        <w:tab/>
      </w:r>
      <w:r w:rsidR="005E2232">
        <w:rPr>
          <w:lang w:val="en-GB"/>
        </w:rPr>
        <w:tab/>
      </w:r>
      <w:r w:rsidRPr="00896F5D">
        <w:rPr>
          <w:lang w:val="en-GB"/>
        </w:rPr>
        <w:t>Tel: 046 622 2799</w:t>
      </w:r>
    </w:p>
    <w:p w14:paraId="60BD9DEE" w14:textId="353B2F6A" w:rsidR="00896F5D" w:rsidRPr="00896F5D" w:rsidRDefault="00C51900" w:rsidP="005E2232">
      <w:pPr>
        <w:pStyle w:val="ListParagraph"/>
        <w:spacing w:line="480" w:lineRule="auto"/>
        <w:ind w:left="0"/>
        <w:jc w:val="both"/>
        <w:rPr>
          <w:lang w:val="en-GB"/>
        </w:rPr>
      </w:pPr>
      <w:r w:rsidRPr="00896F5D">
        <w:rPr>
          <w:lang w:val="en-GB"/>
        </w:rPr>
        <w:t xml:space="preserve">                                                         </w:t>
      </w:r>
      <w:r w:rsidR="00F801C5">
        <w:rPr>
          <w:lang w:val="en-GB"/>
        </w:rPr>
        <w:t xml:space="preserve"> </w:t>
      </w:r>
      <w:r w:rsidR="005E2232">
        <w:rPr>
          <w:lang w:val="en-GB"/>
        </w:rPr>
        <w:tab/>
      </w:r>
      <w:r w:rsidR="005E2232">
        <w:rPr>
          <w:lang w:val="en-GB"/>
        </w:rPr>
        <w:tab/>
      </w:r>
      <w:r w:rsidRPr="00896F5D">
        <w:rPr>
          <w:lang w:val="en-GB"/>
        </w:rPr>
        <w:t xml:space="preserve">E-mail: </w:t>
      </w:r>
      <w:hyperlink r:id="rId14" w:history="1">
        <w:r w:rsidRPr="00896F5D">
          <w:rPr>
            <w:rStyle w:val="Hyperlink"/>
            <w:lang w:val="en-GB"/>
          </w:rPr>
          <w:t>stuart@djlaw.co.za</w:t>
        </w:r>
      </w:hyperlink>
    </w:p>
    <w:p w14:paraId="71704674" w14:textId="6C7E6CED" w:rsidR="00C51900" w:rsidRPr="00896F5D" w:rsidRDefault="00C51900" w:rsidP="00896F5D">
      <w:pPr>
        <w:pStyle w:val="ListParagraph"/>
        <w:spacing w:line="480" w:lineRule="auto"/>
        <w:ind w:left="1080"/>
        <w:jc w:val="both"/>
        <w:rPr>
          <w:lang w:val="en-GB"/>
        </w:rPr>
      </w:pPr>
    </w:p>
    <w:p w14:paraId="16EFE20B" w14:textId="44967D09" w:rsidR="00233118" w:rsidRPr="00896F5D" w:rsidRDefault="00233118">
      <w:pPr>
        <w:spacing w:line="480" w:lineRule="auto"/>
        <w:jc w:val="both"/>
        <w:rPr>
          <w:lang w:val="en-GB"/>
        </w:rPr>
      </w:pPr>
      <w:r w:rsidRPr="00896F5D">
        <w:rPr>
          <w:lang w:val="en-GB"/>
        </w:rPr>
        <w:t>Counsel for the defendan</w:t>
      </w:r>
      <w:r w:rsidR="00C25A11" w:rsidRPr="00896F5D">
        <w:rPr>
          <w:lang w:val="en-GB"/>
        </w:rPr>
        <w:t>ts</w:t>
      </w:r>
      <w:r w:rsidR="00D579DB" w:rsidRPr="00896F5D">
        <w:rPr>
          <w:lang w:val="en-GB"/>
        </w:rPr>
        <w:tab/>
      </w:r>
      <w:r w:rsidR="00D579DB" w:rsidRPr="00896F5D">
        <w:rPr>
          <w:lang w:val="en-GB"/>
        </w:rPr>
        <w:tab/>
        <w:t>:</w:t>
      </w:r>
      <w:r w:rsidR="00D579DB" w:rsidRPr="00896F5D">
        <w:rPr>
          <w:lang w:val="en-GB"/>
        </w:rPr>
        <w:tab/>
      </w:r>
      <w:r w:rsidR="00C51900" w:rsidRPr="00896F5D">
        <w:rPr>
          <w:b/>
          <w:bCs/>
          <w:lang w:val="en-GB"/>
        </w:rPr>
        <w:t>Adv</w:t>
      </w:r>
      <w:r w:rsidR="00B4637E" w:rsidRPr="00896F5D">
        <w:rPr>
          <w:b/>
          <w:bCs/>
          <w:lang w:val="en-GB"/>
        </w:rPr>
        <w:t xml:space="preserve"> I</w:t>
      </w:r>
      <w:r w:rsidR="00C51900" w:rsidRPr="00896F5D">
        <w:rPr>
          <w:b/>
          <w:bCs/>
          <w:lang w:val="en-GB"/>
        </w:rPr>
        <w:t xml:space="preserve"> Lambrecht</w:t>
      </w:r>
      <w:r w:rsidR="00B4637E" w:rsidRPr="00896F5D">
        <w:rPr>
          <w:b/>
          <w:bCs/>
          <w:lang w:val="en-GB"/>
        </w:rPr>
        <w:t>s</w:t>
      </w:r>
    </w:p>
    <w:p w14:paraId="612AB8D9" w14:textId="3BEED51E" w:rsidR="00F226D9" w:rsidRPr="00896F5D" w:rsidRDefault="00F226D9" w:rsidP="00F47C26">
      <w:pPr>
        <w:spacing w:line="480" w:lineRule="auto"/>
        <w:jc w:val="both"/>
        <w:rPr>
          <w:lang w:val="en-GB"/>
        </w:rPr>
      </w:pPr>
    </w:p>
    <w:p w14:paraId="0AD67B8B" w14:textId="5C47ABC4" w:rsidR="00233118" w:rsidRPr="00896F5D" w:rsidRDefault="00233118" w:rsidP="00F47C26">
      <w:pPr>
        <w:spacing w:line="480" w:lineRule="auto"/>
        <w:jc w:val="both"/>
        <w:rPr>
          <w:lang w:val="en-GB"/>
        </w:rPr>
      </w:pPr>
      <w:r w:rsidRPr="00896F5D">
        <w:rPr>
          <w:lang w:val="en-GB"/>
        </w:rPr>
        <w:t>Instructed by</w:t>
      </w:r>
      <w:r w:rsidR="00D579DB" w:rsidRPr="00896F5D">
        <w:rPr>
          <w:lang w:val="en-GB"/>
        </w:rPr>
        <w:tab/>
      </w:r>
      <w:r w:rsidR="00D579DB" w:rsidRPr="00896F5D">
        <w:rPr>
          <w:lang w:val="en-GB"/>
        </w:rPr>
        <w:tab/>
      </w:r>
      <w:r w:rsidR="00D579DB" w:rsidRPr="00896F5D">
        <w:rPr>
          <w:lang w:val="en-GB"/>
        </w:rPr>
        <w:tab/>
      </w:r>
      <w:r w:rsidR="00D579DB" w:rsidRPr="00896F5D">
        <w:rPr>
          <w:lang w:val="en-GB"/>
        </w:rPr>
        <w:tab/>
      </w:r>
      <w:r w:rsidR="00D579DB" w:rsidRPr="00896F5D">
        <w:rPr>
          <w:lang w:val="en-GB"/>
        </w:rPr>
        <w:tab/>
        <w:t>:</w:t>
      </w:r>
      <w:r w:rsidR="00D579DB" w:rsidRPr="00896F5D">
        <w:rPr>
          <w:lang w:val="en-GB"/>
        </w:rPr>
        <w:tab/>
      </w:r>
      <w:r w:rsidR="004F6B90" w:rsidRPr="00896F5D">
        <w:rPr>
          <w:b/>
          <w:bCs/>
          <w:lang w:val="en-GB"/>
        </w:rPr>
        <w:t>GREVENSTEIN INC.</w:t>
      </w:r>
    </w:p>
    <w:p w14:paraId="77DA5336" w14:textId="120136A5" w:rsidR="004F6B90" w:rsidRPr="00896F5D" w:rsidRDefault="004F6B90" w:rsidP="008C64D9">
      <w:pPr>
        <w:spacing w:line="480" w:lineRule="auto"/>
        <w:ind w:left="4320" w:firstLine="720"/>
        <w:jc w:val="both"/>
        <w:rPr>
          <w:bCs/>
          <w:lang w:val="en-GB"/>
        </w:rPr>
      </w:pPr>
      <w:r w:rsidRPr="00896F5D">
        <w:rPr>
          <w:bCs/>
          <w:lang w:val="en-GB"/>
        </w:rPr>
        <w:t>G</w:t>
      </w:r>
      <w:r w:rsidR="00B2559E" w:rsidRPr="00896F5D">
        <w:rPr>
          <w:bCs/>
          <w:lang w:val="en-GB"/>
        </w:rPr>
        <w:t>Q</w:t>
      </w:r>
      <w:r w:rsidRPr="00896F5D">
        <w:rPr>
          <w:bCs/>
          <w:lang w:val="en-GB"/>
        </w:rPr>
        <w:t>EBERHA</w:t>
      </w:r>
    </w:p>
    <w:p w14:paraId="42FA7A6C" w14:textId="41A84D06" w:rsidR="004F6B90" w:rsidRPr="00896F5D" w:rsidRDefault="004F6B90" w:rsidP="008C64D9">
      <w:pPr>
        <w:pStyle w:val="ListParagraph"/>
        <w:spacing w:line="480" w:lineRule="auto"/>
        <w:ind w:left="5040"/>
        <w:jc w:val="both"/>
        <w:rPr>
          <w:b/>
          <w:bCs/>
          <w:lang w:val="en-GB"/>
        </w:rPr>
      </w:pPr>
      <w:r w:rsidRPr="00896F5D">
        <w:rPr>
          <w:b/>
          <w:bCs/>
          <w:lang w:val="en-GB"/>
        </w:rPr>
        <w:t>C/o HUXTABLE ATTORNEYS</w:t>
      </w:r>
    </w:p>
    <w:p w14:paraId="510B82DE" w14:textId="211C2C61" w:rsidR="004F6B90" w:rsidRPr="00896F5D" w:rsidRDefault="004F6B90" w:rsidP="008C64D9">
      <w:pPr>
        <w:spacing w:line="480" w:lineRule="auto"/>
        <w:ind w:left="4320" w:firstLine="720"/>
        <w:jc w:val="both"/>
        <w:rPr>
          <w:bCs/>
          <w:lang w:val="en-GB"/>
        </w:rPr>
      </w:pPr>
      <w:r w:rsidRPr="00896F5D">
        <w:rPr>
          <w:bCs/>
          <w:lang w:val="en-GB"/>
        </w:rPr>
        <w:t>26 New Street</w:t>
      </w:r>
    </w:p>
    <w:p w14:paraId="73BC7D34" w14:textId="1F0290FB" w:rsidR="004F6B90" w:rsidRPr="00896F5D" w:rsidRDefault="004F6B90" w:rsidP="008C64D9">
      <w:pPr>
        <w:spacing w:line="480" w:lineRule="auto"/>
        <w:ind w:left="4320" w:firstLine="720"/>
        <w:jc w:val="both"/>
        <w:rPr>
          <w:bCs/>
          <w:lang w:val="en-GB"/>
        </w:rPr>
      </w:pPr>
      <w:r w:rsidRPr="00896F5D">
        <w:rPr>
          <w:bCs/>
          <w:lang w:val="en-GB"/>
        </w:rPr>
        <w:t>MAKHANDA</w:t>
      </w:r>
    </w:p>
    <w:p w14:paraId="50DF3BB6" w14:textId="4038D045" w:rsidR="004F6B90" w:rsidRPr="00896F5D" w:rsidRDefault="004F6B90" w:rsidP="008C64D9">
      <w:pPr>
        <w:pStyle w:val="ListParagraph"/>
        <w:spacing w:line="480" w:lineRule="auto"/>
        <w:ind w:left="5040"/>
        <w:jc w:val="both"/>
        <w:rPr>
          <w:bCs/>
          <w:lang w:val="en-GB"/>
        </w:rPr>
      </w:pPr>
      <w:r w:rsidRPr="00896F5D">
        <w:rPr>
          <w:bCs/>
          <w:lang w:val="en-GB"/>
        </w:rPr>
        <w:t>Ref: O Huxtable</w:t>
      </w:r>
      <w:r w:rsidR="00F0433D" w:rsidRPr="00896F5D">
        <w:rPr>
          <w:bCs/>
          <w:lang w:val="en-GB"/>
        </w:rPr>
        <w:t xml:space="preserve"> </w:t>
      </w:r>
      <w:r w:rsidRPr="00896F5D">
        <w:rPr>
          <w:bCs/>
          <w:lang w:val="en-GB"/>
        </w:rPr>
        <w:t>/cl/02GOO3052</w:t>
      </w:r>
    </w:p>
    <w:p w14:paraId="7587EACE" w14:textId="705F2DC7" w:rsidR="004F6B90" w:rsidRPr="00896F5D" w:rsidRDefault="004F6B90" w:rsidP="008C64D9">
      <w:pPr>
        <w:pStyle w:val="ListParagraph"/>
        <w:spacing w:line="480" w:lineRule="auto"/>
        <w:ind w:left="5040"/>
        <w:jc w:val="both"/>
        <w:rPr>
          <w:bCs/>
          <w:lang w:val="en-GB"/>
        </w:rPr>
      </w:pPr>
      <w:r w:rsidRPr="00896F5D">
        <w:rPr>
          <w:bCs/>
          <w:lang w:val="en-GB"/>
        </w:rPr>
        <w:t>Email: law1@huxattorneys.co.za</w:t>
      </w:r>
    </w:p>
    <w:p w14:paraId="5A7071EB" w14:textId="0E6C1DB6" w:rsidR="00482769" w:rsidRPr="00896F5D" w:rsidRDefault="0037475E" w:rsidP="00F47C26">
      <w:pPr>
        <w:spacing w:line="480" w:lineRule="auto"/>
        <w:jc w:val="both"/>
        <w:rPr>
          <w:lang w:val="en-GB"/>
        </w:rPr>
      </w:pPr>
      <w:r w:rsidRPr="00896F5D">
        <w:rPr>
          <w:lang w:val="en-GB"/>
        </w:rPr>
        <w:t>Date heard</w:t>
      </w:r>
      <w:r w:rsidR="00D579DB" w:rsidRPr="00896F5D">
        <w:rPr>
          <w:lang w:val="en-GB"/>
        </w:rPr>
        <w:tab/>
      </w:r>
      <w:r w:rsidR="00D579DB" w:rsidRPr="00896F5D">
        <w:rPr>
          <w:lang w:val="en-GB"/>
        </w:rPr>
        <w:tab/>
      </w:r>
      <w:r w:rsidR="00D579DB" w:rsidRPr="00896F5D">
        <w:rPr>
          <w:lang w:val="en-GB"/>
        </w:rPr>
        <w:tab/>
      </w:r>
      <w:r w:rsidR="00D579DB" w:rsidRPr="00896F5D">
        <w:rPr>
          <w:lang w:val="en-GB"/>
        </w:rPr>
        <w:tab/>
      </w:r>
      <w:r w:rsidR="00D579DB" w:rsidRPr="00896F5D">
        <w:rPr>
          <w:lang w:val="en-GB"/>
        </w:rPr>
        <w:tab/>
      </w:r>
      <w:r w:rsidRPr="00896F5D">
        <w:rPr>
          <w:lang w:val="en-GB"/>
        </w:rPr>
        <w:t xml:space="preserve">: </w:t>
      </w:r>
      <w:r w:rsidR="00896F5D" w:rsidRPr="00896F5D">
        <w:rPr>
          <w:lang w:val="en-GB"/>
        </w:rPr>
        <w:tab/>
      </w:r>
      <w:r w:rsidR="004F6B90" w:rsidRPr="00896F5D">
        <w:rPr>
          <w:lang w:val="en-GB"/>
        </w:rPr>
        <w:t>22 February 2024</w:t>
      </w:r>
    </w:p>
    <w:p w14:paraId="26CF1F30" w14:textId="169A49A5" w:rsidR="00233118" w:rsidRPr="00896F5D" w:rsidRDefault="00482769" w:rsidP="00F47C26">
      <w:pPr>
        <w:spacing w:line="480" w:lineRule="auto"/>
        <w:jc w:val="both"/>
        <w:rPr>
          <w:lang w:val="en-GB"/>
        </w:rPr>
      </w:pPr>
      <w:r w:rsidRPr="00896F5D">
        <w:rPr>
          <w:lang w:val="en-GB"/>
        </w:rPr>
        <w:t>Date delivered</w:t>
      </w:r>
      <w:r w:rsidR="00D579DB" w:rsidRPr="00896F5D">
        <w:rPr>
          <w:lang w:val="en-GB"/>
        </w:rPr>
        <w:tab/>
      </w:r>
      <w:r w:rsidR="00D579DB" w:rsidRPr="00896F5D">
        <w:rPr>
          <w:lang w:val="en-GB"/>
        </w:rPr>
        <w:tab/>
      </w:r>
      <w:r w:rsidR="00D579DB" w:rsidRPr="00896F5D">
        <w:rPr>
          <w:lang w:val="en-GB"/>
        </w:rPr>
        <w:tab/>
      </w:r>
      <w:r w:rsidR="00D579DB" w:rsidRPr="00896F5D">
        <w:rPr>
          <w:lang w:val="en-GB"/>
        </w:rPr>
        <w:tab/>
      </w:r>
      <w:r w:rsidRPr="00896F5D">
        <w:rPr>
          <w:lang w:val="en-GB"/>
        </w:rPr>
        <w:t>:</w:t>
      </w:r>
      <w:r w:rsidR="002F4DD1" w:rsidRPr="00896F5D">
        <w:rPr>
          <w:lang w:val="en-GB"/>
        </w:rPr>
        <w:t xml:space="preserve">  </w:t>
      </w:r>
      <w:r w:rsidR="00896F5D" w:rsidRPr="00896F5D">
        <w:rPr>
          <w:lang w:val="en-GB"/>
        </w:rPr>
        <w:tab/>
      </w:r>
      <w:r w:rsidR="002F4DD1" w:rsidRPr="00896F5D">
        <w:rPr>
          <w:lang w:val="en-GB"/>
        </w:rPr>
        <w:t>26</w:t>
      </w:r>
      <w:r w:rsidR="004F6B90" w:rsidRPr="00896F5D">
        <w:rPr>
          <w:lang w:val="en-GB"/>
        </w:rPr>
        <w:t xml:space="preserve"> March 2024</w:t>
      </w:r>
      <w:r w:rsidR="00233118" w:rsidRPr="00896F5D">
        <w:rPr>
          <w:lang w:val="en-GB"/>
        </w:rPr>
        <w:t xml:space="preserve">             </w:t>
      </w:r>
    </w:p>
    <w:sectPr w:rsidR="00233118" w:rsidRPr="00896F5D" w:rsidSect="00F801C5">
      <w:headerReference w:type="default" r:id="rId15"/>
      <w:footerReference w:type="default" r:id="rId16"/>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CCAE0" w14:textId="77777777" w:rsidR="00131AA2" w:rsidRDefault="00131AA2" w:rsidP="00C91BD0">
      <w:pPr>
        <w:spacing w:line="240" w:lineRule="auto"/>
      </w:pPr>
      <w:r>
        <w:separator/>
      </w:r>
    </w:p>
  </w:endnote>
  <w:endnote w:type="continuationSeparator" w:id="0">
    <w:p w14:paraId="7CA5241F" w14:textId="77777777" w:rsidR="00131AA2" w:rsidRDefault="00131AA2" w:rsidP="00C91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381926"/>
      <w:docPartObj>
        <w:docPartGallery w:val="Page Numbers (Bottom of Page)"/>
        <w:docPartUnique/>
      </w:docPartObj>
    </w:sdtPr>
    <w:sdtEndPr/>
    <w:sdtContent>
      <w:sdt>
        <w:sdtPr>
          <w:id w:val="860082579"/>
          <w:docPartObj>
            <w:docPartGallery w:val="Page Numbers (Top of Page)"/>
            <w:docPartUnique/>
          </w:docPartObj>
        </w:sdtPr>
        <w:sdtEndPr/>
        <w:sdtContent>
          <w:p w14:paraId="052A145C" w14:textId="69C38310" w:rsidR="00C83F11" w:rsidRDefault="00C83F11">
            <w:pPr>
              <w:pStyle w:val="Footer"/>
              <w:jc w:val="right"/>
            </w:pPr>
            <w:r>
              <w:t xml:space="preserve">Page </w:t>
            </w:r>
            <w:r>
              <w:rPr>
                <w:b/>
                <w:bCs/>
              </w:rPr>
              <w:fldChar w:fldCharType="begin"/>
            </w:r>
            <w:r>
              <w:rPr>
                <w:b/>
                <w:bCs/>
              </w:rPr>
              <w:instrText xml:space="preserve"> PAGE </w:instrText>
            </w:r>
            <w:r>
              <w:rPr>
                <w:b/>
                <w:bCs/>
              </w:rPr>
              <w:fldChar w:fldCharType="separate"/>
            </w:r>
            <w:r w:rsidR="008E436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E436E">
              <w:rPr>
                <w:b/>
                <w:bCs/>
                <w:noProof/>
              </w:rPr>
              <w:t>14</w:t>
            </w:r>
            <w:r>
              <w:rPr>
                <w:b/>
                <w:bCs/>
              </w:rPr>
              <w:fldChar w:fldCharType="end"/>
            </w:r>
          </w:p>
        </w:sdtContent>
      </w:sdt>
    </w:sdtContent>
  </w:sdt>
  <w:p w14:paraId="5D8BF4AE" w14:textId="2BB1A345" w:rsidR="00C03D78" w:rsidRDefault="00C03D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06E7F" w14:textId="77777777" w:rsidR="00131AA2" w:rsidRDefault="00131AA2" w:rsidP="00C91BD0">
      <w:pPr>
        <w:spacing w:line="240" w:lineRule="auto"/>
      </w:pPr>
      <w:r>
        <w:separator/>
      </w:r>
    </w:p>
  </w:footnote>
  <w:footnote w:type="continuationSeparator" w:id="0">
    <w:p w14:paraId="2BE04BC1" w14:textId="77777777" w:rsidR="00131AA2" w:rsidRDefault="00131AA2" w:rsidP="00C91BD0">
      <w:pPr>
        <w:spacing w:line="240" w:lineRule="auto"/>
      </w:pPr>
      <w:r>
        <w:continuationSeparator/>
      </w:r>
    </w:p>
  </w:footnote>
  <w:footnote w:id="1">
    <w:p w14:paraId="0C2BF441" w14:textId="43356EB0" w:rsidR="00AF1202" w:rsidRDefault="00AF1202" w:rsidP="008C64D9">
      <w:pPr>
        <w:spacing w:line="240" w:lineRule="auto"/>
        <w:jc w:val="both"/>
      </w:pPr>
      <w:r w:rsidRPr="00F842F1">
        <w:rPr>
          <w:rStyle w:val="FootnoteReference"/>
          <w:sz w:val="20"/>
          <w:szCs w:val="20"/>
        </w:rPr>
        <w:footnoteRef/>
      </w:r>
      <w:r w:rsidRPr="00F842F1">
        <w:rPr>
          <w:sz w:val="20"/>
          <w:szCs w:val="20"/>
        </w:rPr>
        <w:t xml:space="preserve"> </w:t>
      </w:r>
      <w:bookmarkStart w:id="18" w:name="0-0-0-246427"/>
      <w:bookmarkEnd w:id="18"/>
      <w:r w:rsidRPr="00F842F1">
        <w:rPr>
          <w:rFonts w:eastAsia="Times New Roman"/>
          <w:sz w:val="20"/>
          <w:szCs w:val="20"/>
          <w:lang w:eastAsia="en-ZA"/>
        </w:rPr>
        <w:t xml:space="preserve">De Wet and Others v Western </w:t>
      </w:r>
      <w:r w:rsidR="00896F5D">
        <w:rPr>
          <w:rFonts w:eastAsia="Times New Roman"/>
          <w:sz w:val="20"/>
          <w:szCs w:val="20"/>
          <w:lang w:eastAsia="en-ZA"/>
        </w:rPr>
        <w:t>Bank</w:t>
      </w:r>
      <w:r w:rsidR="00896F5D" w:rsidRPr="00F842F1">
        <w:rPr>
          <w:rFonts w:eastAsia="Times New Roman"/>
          <w:sz w:val="20"/>
          <w:szCs w:val="20"/>
          <w:lang w:eastAsia="en-ZA"/>
        </w:rPr>
        <w:t xml:space="preserve"> </w:t>
      </w:r>
      <w:r w:rsidRPr="00F842F1">
        <w:rPr>
          <w:rFonts w:eastAsia="Times New Roman"/>
          <w:sz w:val="20"/>
          <w:szCs w:val="20"/>
          <w:lang w:eastAsia="en-ZA"/>
        </w:rPr>
        <w:t xml:space="preserve">Ltd 1977 (4) SA p770 (T) at </w:t>
      </w:r>
      <w:r w:rsidR="00BF43DC" w:rsidRPr="00F842F1">
        <w:rPr>
          <w:rFonts w:eastAsia="Times New Roman"/>
          <w:sz w:val="20"/>
          <w:szCs w:val="20"/>
          <w:lang w:eastAsia="en-ZA"/>
        </w:rPr>
        <w:t>para-E.</w:t>
      </w:r>
    </w:p>
  </w:footnote>
  <w:footnote w:id="2">
    <w:p w14:paraId="0448B6E0" w14:textId="16319E23" w:rsidR="00AF1202" w:rsidRPr="00F842F1" w:rsidRDefault="00AF1202" w:rsidP="008C64D9">
      <w:pPr>
        <w:spacing w:line="240" w:lineRule="auto"/>
        <w:jc w:val="both"/>
        <w:rPr>
          <w:sz w:val="20"/>
          <w:szCs w:val="20"/>
        </w:rPr>
      </w:pPr>
      <w:r>
        <w:rPr>
          <w:rStyle w:val="FootnoteReference"/>
        </w:rPr>
        <w:footnoteRef/>
      </w:r>
      <w:r w:rsidRPr="00F842F1">
        <w:rPr>
          <w:sz w:val="20"/>
          <w:szCs w:val="20"/>
        </w:rPr>
        <w:t xml:space="preserve"> </w:t>
      </w:r>
      <w:bookmarkStart w:id="19" w:name="0-0-0-17545"/>
      <w:bookmarkEnd w:id="19"/>
      <w:r w:rsidR="00566329">
        <w:rPr>
          <w:rFonts w:eastAsia="Times New Roman"/>
          <w:sz w:val="20"/>
          <w:szCs w:val="20"/>
          <w:lang w:eastAsia="en-ZA"/>
        </w:rPr>
        <w:t>C</w:t>
      </w:r>
      <w:r w:rsidR="00F842F1" w:rsidRPr="00F842F1">
        <w:rPr>
          <w:rFonts w:eastAsia="Times New Roman"/>
          <w:sz w:val="20"/>
          <w:szCs w:val="20"/>
          <w:lang w:eastAsia="en-ZA"/>
        </w:rPr>
        <w:t>olyn v Tiger Food Industries Ltd ta Meadow Feed Mills (Cape) 2003 (6) SA 1 (SCA)</w:t>
      </w:r>
      <w:r w:rsidR="00F842F1">
        <w:rPr>
          <w:rFonts w:eastAsia="Times New Roman"/>
          <w:sz w:val="20"/>
          <w:szCs w:val="20"/>
          <w:lang w:eastAsia="en-ZA"/>
        </w:rPr>
        <w:t xml:space="preserve"> at para 5.</w:t>
      </w:r>
      <w:r w:rsidR="00F12A09">
        <w:rPr>
          <w:rFonts w:eastAsia="Times New Roman"/>
          <w:sz w:val="20"/>
          <w:szCs w:val="20"/>
          <w:lang w:eastAsia="en-ZA"/>
        </w:rPr>
        <w:t xml:space="preserve"> In Zuma v the Secretary of the Judicial Service Commission of Inquiry into Allegations of State Capt</w:t>
      </w:r>
      <w:r w:rsidR="00566329">
        <w:rPr>
          <w:rFonts w:eastAsia="Times New Roman"/>
          <w:sz w:val="20"/>
          <w:szCs w:val="20"/>
          <w:lang w:eastAsia="en-ZA"/>
        </w:rPr>
        <w:t>ure, Corruption and Fraud in the</w:t>
      </w:r>
      <w:r w:rsidR="00F12A09">
        <w:rPr>
          <w:rFonts w:eastAsia="Times New Roman"/>
          <w:sz w:val="20"/>
          <w:szCs w:val="20"/>
          <w:lang w:eastAsia="en-ZA"/>
        </w:rPr>
        <w:t xml:space="preserve"> Public Sector including Organs of the State and Others [2021]</w:t>
      </w:r>
      <w:r w:rsidR="00566329">
        <w:rPr>
          <w:rFonts w:eastAsia="Times New Roman"/>
          <w:sz w:val="20"/>
          <w:szCs w:val="20"/>
          <w:lang w:eastAsia="en-ZA"/>
        </w:rPr>
        <w:t xml:space="preserve"> ZACC 28, at para 53, the importance of Uniform Rule 42 was explained as follows,’ It should be pointed out that once an applicant has met the requirements for rescission, a court is merely endowed with the discretion to rescind its order. The precise ruling of rule 42, after all, </w:t>
      </w:r>
      <w:r w:rsidR="007C35F4">
        <w:rPr>
          <w:rFonts w:eastAsia="Times New Roman"/>
          <w:sz w:val="20"/>
          <w:szCs w:val="20"/>
          <w:lang w:eastAsia="en-ZA"/>
        </w:rPr>
        <w:t>postulates</w:t>
      </w:r>
      <w:r w:rsidR="00566329">
        <w:rPr>
          <w:rFonts w:eastAsia="Times New Roman"/>
          <w:sz w:val="20"/>
          <w:szCs w:val="20"/>
          <w:lang w:eastAsia="en-ZA"/>
        </w:rPr>
        <w:t xml:space="preserve"> that a court ‘may’, not ‘must’, rescind or vary its order-the rule is merely an ‘empowering’ section and does not compel the court </w:t>
      </w:r>
      <w:r w:rsidR="007C35F4">
        <w:rPr>
          <w:rFonts w:eastAsia="Times New Roman"/>
          <w:sz w:val="20"/>
          <w:szCs w:val="20"/>
          <w:lang w:eastAsia="en-ZA"/>
        </w:rPr>
        <w:t>‘to</w:t>
      </w:r>
      <w:r w:rsidR="00566329">
        <w:rPr>
          <w:rFonts w:eastAsia="Times New Roman"/>
          <w:sz w:val="20"/>
          <w:szCs w:val="20"/>
          <w:lang w:eastAsia="en-ZA"/>
        </w:rPr>
        <w:t xml:space="preserve"> set aside or rescind anything’. This discretion must be exercised </w:t>
      </w:r>
      <w:r w:rsidR="00896F5D">
        <w:rPr>
          <w:rFonts w:eastAsia="Times New Roman"/>
          <w:sz w:val="20"/>
          <w:szCs w:val="20"/>
          <w:lang w:eastAsia="en-ZA"/>
        </w:rPr>
        <w:t>judicially</w:t>
      </w:r>
      <w:r w:rsidR="00566329">
        <w:rPr>
          <w:rFonts w:eastAsia="Times New Roman"/>
          <w:sz w:val="20"/>
          <w:szCs w:val="20"/>
          <w:lang w:eastAsia="en-ZA"/>
        </w:rPr>
        <w:t xml:space="preserve">.  </w:t>
      </w:r>
    </w:p>
  </w:footnote>
  <w:footnote w:id="3">
    <w:p w14:paraId="79D042B8" w14:textId="2C5772BC" w:rsidR="00AF763E" w:rsidRPr="00AF763E" w:rsidRDefault="00AF763E">
      <w:pPr>
        <w:pStyle w:val="FootnoteText"/>
      </w:pPr>
      <w:r>
        <w:rPr>
          <w:rStyle w:val="FootnoteReference"/>
        </w:rPr>
        <w:footnoteRef/>
      </w:r>
      <w:r>
        <w:t xml:space="preserve"> </w:t>
      </w:r>
      <w:r w:rsidRPr="00AF763E">
        <w:rPr>
          <w:bCs/>
          <w:iCs/>
          <w:color w:val="000000"/>
        </w:rPr>
        <w:t xml:space="preserve">1979 (2) SA 1031 at </w:t>
      </w:r>
      <w:r w:rsidR="007C35F4" w:rsidRPr="00AF763E">
        <w:rPr>
          <w:bCs/>
          <w:iCs/>
          <w:color w:val="000000"/>
        </w:rPr>
        <w:t>para-F.</w:t>
      </w:r>
    </w:p>
  </w:footnote>
  <w:footnote w:id="4">
    <w:p w14:paraId="28057827" w14:textId="0D6F51CF" w:rsidR="00134070" w:rsidRPr="00BF43DC" w:rsidRDefault="00134070">
      <w:pPr>
        <w:pStyle w:val="FootnoteText"/>
        <w:rPr>
          <w:lang w:val="pt-BR"/>
        </w:rPr>
      </w:pPr>
      <w:r>
        <w:rPr>
          <w:rStyle w:val="FootnoteReference"/>
        </w:rPr>
        <w:footnoteRef/>
      </w:r>
      <w:r w:rsidRPr="00BF43DC">
        <w:rPr>
          <w:lang w:val="pt-BR"/>
        </w:rPr>
        <w:t xml:space="preserve"> </w:t>
      </w:r>
      <w:r w:rsidRPr="00BF43DC">
        <w:rPr>
          <w:i/>
          <w:lang w:val="pt-BR"/>
        </w:rPr>
        <w:t>Supra</w:t>
      </w:r>
      <w:r w:rsidRPr="00BF43DC">
        <w:rPr>
          <w:lang w:val="pt-BR"/>
        </w:rPr>
        <w:t xml:space="preserve"> fn 2.</w:t>
      </w:r>
    </w:p>
  </w:footnote>
  <w:footnote w:id="5">
    <w:p w14:paraId="253A68CD" w14:textId="32EF1026" w:rsidR="007C0DF4" w:rsidRPr="00BF43DC" w:rsidRDefault="007C0DF4">
      <w:pPr>
        <w:pStyle w:val="FootnoteText"/>
        <w:rPr>
          <w:lang w:val="pt-BR"/>
        </w:rPr>
      </w:pPr>
      <w:r>
        <w:rPr>
          <w:rStyle w:val="FootnoteReference"/>
        </w:rPr>
        <w:footnoteRef/>
      </w:r>
      <w:r w:rsidRPr="00BF43DC">
        <w:rPr>
          <w:lang w:val="pt-BR"/>
        </w:rPr>
        <w:t xml:space="preserve"> 2006(4) SA 527 T</w:t>
      </w:r>
    </w:p>
  </w:footnote>
  <w:footnote w:id="6">
    <w:p w14:paraId="35CB4839" w14:textId="3E30A927" w:rsidR="001E7DE0" w:rsidRPr="00BF43DC" w:rsidRDefault="001E7DE0">
      <w:pPr>
        <w:pStyle w:val="FootnoteText"/>
        <w:rPr>
          <w:lang w:val="pt-BR"/>
        </w:rPr>
      </w:pPr>
      <w:r>
        <w:rPr>
          <w:rStyle w:val="FootnoteReference"/>
        </w:rPr>
        <w:footnoteRef/>
      </w:r>
      <w:r w:rsidRPr="00BF43DC">
        <w:rPr>
          <w:lang w:val="pt-BR"/>
        </w:rPr>
        <w:t xml:space="preserve"> </w:t>
      </w:r>
      <w:r w:rsidR="00A81B4A" w:rsidRPr="00BF43DC">
        <w:rPr>
          <w:lang w:val="pt-BR"/>
        </w:rPr>
        <w:t xml:space="preserve"> De Wet </w:t>
      </w:r>
      <w:r w:rsidR="00A81B4A" w:rsidRPr="00BF43DC">
        <w:rPr>
          <w:i/>
          <w:lang w:val="pt-BR"/>
        </w:rPr>
        <w:t>s</w:t>
      </w:r>
      <w:r w:rsidRPr="00BF43DC">
        <w:rPr>
          <w:i/>
          <w:lang w:val="pt-BR"/>
        </w:rPr>
        <w:t>upra</w:t>
      </w:r>
      <w:r w:rsidRPr="00BF43DC">
        <w:rPr>
          <w:lang w:val="pt-BR"/>
        </w:rPr>
        <w:t xml:space="preserve"> fn</w:t>
      </w:r>
      <w:r w:rsidR="00A81B4A" w:rsidRPr="00BF43DC">
        <w:rPr>
          <w:lang w:val="pt-BR"/>
        </w:rPr>
        <w:t>.</w:t>
      </w:r>
      <w:r w:rsidRPr="00BF43DC">
        <w:rPr>
          <w:lang w:val="pt-BR"/>
        </w:rPr>
        <w:t xml:space="preserve"> 3 (para 3)</w:t>
      </w:r>
    </w:p>
  </w:footnote>
  <w:footnote w:id="7">
    <w:p w14:paraId="48DB81DD" w14:textId="4E340F02" w:rsidR="00A81B4A" w:rsidRDefault="00A81B4A">
      <w:pPr>
        <w:pStyle w:val="FootnoteText"/>
      </w:pPr>
      <w:r>
        <w:rPr>
          <w:rStyle w:val="FootnoteReference"/>
        </w:rPr>
        <w:footnoteRef/>
      </w:r>
      <w:r>
        <w:t xml:space="preserve"> De Wet </w:t>
      </w:r>
      <w:r w:rsidRPr="00A81B4A">
        <w:rPr>
          <w:i/>
        </w:rPr>
        <w:t xml:space="preserve">supra </w:t>
      </w:r>
      <w:r>
        <w:t>fn. 1 at paragraph G.</w:t>
      </w:r>
    </w:p>
  </w:footnote>
  <w:footnote w:id="8">
    <w:p w14:paraId="3B0F0371" w14:textId="74C70579" w:rsidR="00094808" w:rsidRDefault="00094808">
      <w:pPr>
        <w:pStyle w:val="FootnoteText"/>
      </w:pPr>
      <w:r>
        <w:rPr>
          <w:rStyle w:val="FootnoteReference"/>
        </w:rPr>
        <w:footnoteRef/>
      </w:r>
      <w:r>
        <w:t xml:space="preserve"> 1985(2) SA 756  </w:t>
      </w:r>
    </w:p>
  </w:footnote>
  <w:footnote w:id="9">
    <w:p w14:paraId="29989241" w14:textId="5E91F015" w:rsidR="00F34EC9" w:rsidRDefault="00F34EC9" w:rsidP="008C64D9">
      <w:pPr>
        <w:pStyle w:val="FootnoteText"/>
        <w:jc w:val="both"/>
      </w:pPr>
      <w:r>
        <w:rPr>
          <w:rStyle w:val="FootnoteReference"/>
        </w:rPr>
        <w:footnoteRef/>
      </w:r>
      <w:r>
        <w:t xml:space="preserve"> Strydom N.O AND Another v Snowball Wealth (</w:t>
      </w:r>
      <w:r w:rsidR="004E5311">
        <w:t>Pty)</w:t>
      </w:r>
      <w:r>
        <w:t xml:space="preserve"> Ltd and others (356/2021)[2022] ZASCA 91(15 June 2022) at para 31.</w:t>
      </w:r>
    </w:p>
  </w:footnote>
  <w:footnote w:id="10">
    <w:p w14:paraId="5B209126" w14:textId="1FB44E57" w:rsidR="00674D32" w:rsidRPr="004E5311" w:rsidRDefault="00674D32" w:rsidP="008C64D9">
      <w:pPr>
        <w:pStyle w:val="FootnoteText"/>
        <w:jc w:val="both"/>
      </w:pPr>
      <w:r>
        <w:rPr>
          <w:rStyle w:val="FootnoteReference"/>
        </w:rPr>
        <w:footnoteRef/>
      </w:r>
      <w:r>
        <w:t xml:space="preserve"> See Case number: 4028/19 Pieter Hendrik Strydom and 2 Others v Coernelius Grundling delivered on 18 May 2021 page 12 paragraph[ 23]; Section 340(1), Companies Act61 of 1973 provides, </w:t>
      </w:r>
      <w:r w:rsidRPr="004E5311">
        <w:rPr>
          <w:i/>
        </w:rPr>
        <w:t>‘</w:t>
      </w:r>
      <w:r w:rsidRPr="004E5311">
        <w:t>every disposition by the company</w:t>
      </w:r>
      <w:r w:rsidR="004E5311" w:rsidRPr="004E5311">
        <w:t xml:space="preserve"> </w:t>
      </w:r>
      <w:r w:rsidRPr="004E5311">
        <w:t>of its property which , if made by an individual could for any reason, be set aside in the event of the insolvency, may, if made by a company, be set aside in the event of the company being wound up and unable to pay its debts, and the provisions of the law relating to insolvency shall mutatis mutandis be applied to any such disposition.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78712" w14:textId="7ADC01CF" w:rsidR="00C03D78" w:rsidRPr="004F0FEF" w:rsidRDefault="00C03D78">
    <w:pPr>
      <w:pStyle w:val="Header"/>
      <w:jc w:val="right"/>
      <w:rPr>
        <w:sz w:val="20"/>
        <w:szCs w:val="20"/>
      </w:rPr>
    </w:pPr>
  </w:p>
  <w:p w14:paraId="3745A2B1" w14:textId="77777777" w:rsidR="00C03D78" w:rsidRDefault="00C03D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75C"/>
    <w:multiLevelType w:val="hybridMultilevel"/>
    <w:tmpl w:val="99283E96"/>
    <w:lvl w:ilvl="0" w:tplc="F906FD9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97E5677"/>
    <w:multiLevelType w:val="hybridMultilevel"/>
    <w:tmpl w:val="46D02B10"/>
    <w:lvl w:ilvl="0" w:tplc="550E6F18">
      <w:start w:val="1"/>
      <w:numFmt w:val="lowerLetter"/>
      <w:lvlText w:val="(%1)"/>
      <w:lvlJc w:val="left"/>
      <w:pPr>
        <w:ind w:left="3905" w:hanging="360"/>
      </w:pPr>
      <w:rPr>
        <w:rFonts w:hint="default"/>
      </w:rPr>
    </w:lvl>
    <w:lvl w:ilvl="1" w:tplc="1C090019" w:tentative="1">
      <w:start w:val="1"/>
      <w:numFmt w:val="lowerLetter"/>
      <w:lvlText w:val="%2."/>
      <w:lvlJc w:val="left"/>
      <w:pPr>
        <w:ind w:left="4625" w:hanging="360"/>
      </w:pPr>
    </w:lvl>
    <w:lvl w:ilvl="2" w:tplc="1C09001B" w:tentative="1">
      <w:start w:val="1"/>
      <w:numFmt w:val="lowerRoman"/>
      <w:lvlText w:val="%3."/>
      <w:lvlJc w:val="right"/>
      <w:pPr>
        <w:ind w:left="5345" w:hanging="180"/>
      </w:pPr>
    </w:lvl>
    <w:lvl w:ilvl="3" w:tplc="1C09000F" w:tentative="1">
      <w:start w:val="1"/>
      <w:numFmt w:val="decimal"/>
      <w:lvlText w:val="%4."/>
      <w:lvlJc w:val="left"/>
      <w:pPr>
        <w:ind w:left="6065" w:hanging="360"/>
      </w:pPr>
    </w:lvl>
    <w:lvl w:ilvl="4" w:tplc="1C090019" w:tentative="1">
      <w:start w:val="1"/>
      <w:numFmt w:val="lowerLetter"/>
      <w:lvlText w:val="%5."/>
      <w:lvlJc w:val="left"/>
      <w:pPr>
        <w:ind w:left="6785" w:hanging="360"/>
      </w:pPr>
    </w:lvl>
    <w:lvl w:ilvl="5" w:tplc="1C09001B" w:tentative="1">
      <w:start w:val="1"/>
      <w:numFmt w:val="lowerRoman"/>
      <w:lvlText w:val="%6."/>
      <w:lvlJc w:val="right"/>
      <w:pPr>
        <w:ind w:left="7505" w:hanging="180"/>
      </w:pPr>
    </w:lvl>
    <w:lvl w:ilvl="6" w:tplc="1C09000F" w:tentative="1">
      <w:start w:val="1"/>
      <w:numFmt w:val="decimal"/>
      <w:lvlText w:val="%7."/>
      <w:lvlJc w:val="left"/>
      <w:pPr>
        <w:ind w:left="8225" w:hanging="360"/>
      </w:pPr>
    </w:lvl>
    <w:lvl w:ilvl="7" w:tplc="1C090019" w:tentative="1">
      <w:start w:val="1"/>
      <w:numFmt w:val="lowerLetter"/>
      <w:lvlText w:val="%8."/>
      <w:lvlJc w:val="left"/>
      <w:pPr>
        <w:ind w:left="8945" w:hanging="360"/>
      </w:pPr>
    </w:lvl>
    <w:lvl w:ilvl="8" w:tplc="1C09001B" w:tentative="1">
      <w:start w:val="1"/>
      <w:numFmt w:val="lowerRoman"/>
      <w:lvlText w:val="%9."/>
      <w:lvlJc w:val="right"/>
      <w:pPr>
        <w:ind w:left="9665" w:hanging="180"/>
      </w:pPr>
    </w:lvl>
  </w:abstractNum>
  <w:abstractNum w:abstractNumId="2" w15:restartNumberingAfterBreak="0">
    <w:nsid w:val="1E1D7078"/>
    <w:multiLevelType w:val="hybridMultilevel"/>
    <w:tmpl w:val="B84CDBA8"/>
    <w:lvl w:ilvl="0" w:tplc="C59697CA">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15:restartNumberingAfterBreak="0">
    <w:nsid w:val="207A0FF0"/>
    <w:multiLevelType w:val="hybridMultilevel"/>
    <w:tmpl w:val="6164A49C"/>
    <w:lvl w:ilvl="0" w:tplc="D91CC72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25933827"/>
    <w:multiLevelType w:val="hybridMultilevel"/>
    <w:tmpl w:val="3F9210C4"/>
    <w:lvl w:ilvl="0" w:tplc="8C4E18FA">
      <w:start w:val="1"/>
      <w:numFmt w:val="decimal"/>
      <w:lvlText w:val="%1."/>
      <w:lvlJc w:val="left"/>
      <w:pPr>
        <w:ind w:left="1212" w:hanging="360"/>
      </w:pPr>
      <w:rPr>
        <w:rFonts w:hint="default"/>
        <w:b/>
        <w:bCs/>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5" w15:restartNumberingAfterBreak="0">
    <w:nsid w:val="2A791BBD"/>
    <w:multiLevelType w:val="hybridMultilevel"/>
    <w:tmpl w:val="21D2CA20"/>
    <w:lvl w:ilvl="0" w:tplc="5E64BCEC">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6" w15:restartNumberingAfterBreak="0">
    <w:nsid w:val="2B2D23AD"/>
    <w:multiLevelType w:val="hybridMultilevel"/>
    <w:tmpl w:val="6610F812"/>
    <w:lvl w:ilvl="0" w:tplc="649633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D57110C"/>
    <w:multiLevelType w:val="hybridMultilevel"/>
    <w:tmpl w:val="D35E70E2"/>
    <w:lvl w:ilvl="0" w:tplc="B69E61C6">
      <w:start w:val="1"/>
      <w:numFmt w:val="decimal"/>
      <w:lvlText w:val="[%1]"/>
      <w:lvlJc w:val="left"/>
      <w:pPr>
        <w:ind w:left="720" w:hanging="360"/>
      </w:pPr>
      <w:rPr>
        <w:rFonts w:hint="default"/>
        <w:b w:val="0"/>
        <w:bCs w:val="0"/>
      </w:rPr>
    </w:lvl>
    <w:lvl w:ilvl="1" w:tplc="ECD6841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3B152E"/>
    <w:multiLevelType w:val="hybridMultilevel"/>
    <w:tmpl w:val="04546D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053192A"/>
    <w:multiLevelType w:val="hybridMultilevel"/>
    <w:tmpl w:val="1D42F0AA"/>
    <w:lvl w:ilvl="0" w:tplc="EEC6D572">
      <w:start w:val="1"/>
      <w:numFmt w:val="decimal"/>
      <w:lvlText w:val="[%1]"/>
      <w:lvlJc w:val="left"/>
      <w:pPr>
        <w:ind w:left="1125"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0" w15:restartNumberingAfterBreak="0">
    <w:nsid w:val="331277AE"/>
    <w:multiLevelType w:val="hybridMultilevel"/>
    <w:tmpl w:val="D16804CC"/>
    <w:lvl w:ilvl="0" w:tplc="ADE8512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AC13007"/>
    <w:multiLevelType w:val="hybridMultilevel"/>
    <w:tmpl w:val="421CACCC"/>
    <w:lvl w:ilvl="0" w:tplc="CA968D04">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EFE54D8"/>
    <w:multiLevelType w:val="hybridMultilevel"/>
    <w:tmpl w:val="9CB40BFC"/>
    <w:lvl w:ilvl="0" w:tplc="573E482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1300E3F"/>
    <w:multiLevelType w:val="hybridMultilevel"/>
    <w:tmpl w:val="F26A9282"/>
    <w:lvl w:ilvl="0" w:tplc="01186072">
      <w:start w:val="1"/>
      <w:numFmt w:val="lowerLetter"/>
      <w:lvlText w:val="(%1)"/>
      <w:lvlJc w:val="left"/>
      <w:pPr>
        <w:ind w:left="1353" w:hanging="360"/>
      </w:pPr>
      <w:rPr>
        <w:rFonts w:ascii="Arial" w:eastAsiaTheme="minorHAnsi" w:hAnsi="Arial" w:cs="Arial"/>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4" w15:restartNumberingAfterBreak="0">
    <w:nsid w:val="45BC0D79"/>
    <w:multiLevelType w:val="hybridMultilevel"/>
    <w:tmpl w:val="E7D6A4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6A86019"/>
    <w:multiLevelType w:val="hybridMultilevel"/>
    <w:tmpl w:val="875A1AC6"/>
    <w:lvl w:ilvl="0" w:tplc="73D2C5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6A713C4"/>
    <w:multiLevelType w:val="hybridMultilevel"/>
    <w:tmpl w:val="76700D46"/>
    <w:lvl w:ilvl="0" w:tplc="0B668504">
      <w:start w:val="1"/>
      <w:numFmt w:val="lowerRoman"/>
      <w:lvlText w:val="(%1)"/>
      <w:lvlJc w:val="left"/>
      <w:pPr>
        <w:ind w:left="2138" w:hanging="720"/>
      </w:pPr>
      <w:rPr>
        <w:rFonts w:hint="default"/>
      </w:rPr>
    </w:lvl>
    <w:lvl w:ilvl="1" w:tplc="1C090019" w:tentative="1">
      <w:start w:val="1"/>
      <w:numFmt w:val="lowerLetter"/>
      <w:lvlText w:val="%2."/>
      <w:lvlJc w:val="left"/>
      <w:pPr>
        <w:ind w:left="1015" w:hanging="360"/>
      </w:pPr>
    </w:lvl>
    <w:lvl w:ilvl="2" w:tplc="1C09001B" w:tentative="1">
      <w:start w:val="1"/>
      <w:numFmt w:val="lowerRoman"/>
      <w:lvlText w:val="%3."/>
      <w:lvlJc w:val="right"/>
      <w:pPr>
        <w:ind w:left="1735" w:hanging="180"/>
      </w:pPr>
    </w:lvl>
    <w:lvl w:ilvl="3" w:tplc="1C09000F" w:tentative="1">
      <w:start w:val="1"/>
      <w:numFmt w:val="decimal"/>
      <w:lvlText w:val="%4."/>
      <w:lvlJc w:val="left"/>
      <w:pPr>
        <w:ind w:left="2455" w:hanging="360"/>
      </w:pPr>
    </w:lvl>
    <w:lvl w:ilvl="4" w:tplc="1C090019" w:tentative="1">
      <w:start w:val="1"/>
      <w:numFmt w:val="lowerLetter"/>
      <w:lvlText w:val="%5."/>
      <w:lvlJc w:val="left"/>
      <w:pPr>
        <w:ind w:left="3175" w:hanging="360"/>
      </w:pPr>
    </w:lvl>
    <w:lvl w:ilvl="5" w:tplc="1C09001B" w:tentative="1">
      <w:start w:val="1"/>
      <w:numFmt w:val="lowerRoman"/>
      <w:lvlText w:val="%6."/>
      <w:lvlJc w:val="right"/>
      <w:pPr>
        <w:ind w:left="3895" w:hanging="180"/>
      </w:pPr>
    </w:lvl>
    <w:lvl w:ilvl="6" w:tplc="1C09000F" w:tentative="1">
      <w:start w:val="1"/>
      <w:numFmt w:val="decimal"/>
      <w:lvlText w:val="%7."/>
      <w:lvlJc w:val="left"/>
      <w:pPr>
        <w:ind w:left="4615" w:hanging="360"/>
      </w:pPr>
    </w:lvl>
    <w:lvl w:ilvl="7" w:tplc="1C090019" w:tentative="1">
      <w:start w:val="1"/>
      <w:numFmt w:val="lowerLetter"/>
      <w:lvlText w:val="%8."/>
      <w:lvlJc w:val="left"/>
      <w:pPr>
        <w:ind w:left="5335" w:hanging="360"/>
      </w:pPr>
    </w:lvl>
    <w:lvl w:ilvl="8" w:tplc="1C09001B" w:tentative="1">
      <w:start w:val="1"/>
      <w:numFmt w:val="lowerRoman"/>
      <w:lvlText w:val="%9."/>
      <w:lvlJc w:val="right"/>
      <w:pPr>
        <w:ind w:left="6055" w:hanging="180"/>
      </w:pPr>
    </w:lvl>
  </w:abstractNum>
  <w:abstractNum w:abstractNumId="17" w15:restartNumberingAfterBreak="0">
    <w:nsid w:val="5C626E9A"/>
    <w:multiLevelType w:val="multilevel"/>
    <w:tmpl w:val="3CD62A3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10F516F"/>
    <w:multiLevelType w:val="hybridMultilevel"/>
    <w:tmpl w:val="0D12BBD4"/>
    <w:lvl w:ilvl="0" w:tplc="2E4EBBE0">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90A6F1E"/>
    <w:multiLevelType w:val="hybridMultilevel"/>
    <w:tmpl w:val="2774F3D0"/>
    <w:lvl w:ilvl="0" w:tplc="E4AC5400">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0C21943"/>
    <w:multiLevelType w:val="multilevel"/>
    <w:tmpl w:val="B9904DAC"/>
    <w:lvl w:ilvl="0">
      <w:start w:val="1"/>
      <w:numFmt w:val="decimal"/>
      <w:lvlText w:val="%1"/>
      <w:lvlJc w:val="left"/>
      <w:pPr>
        <w:ind w:left="405" w:hanging="405"/>
      </w:pPr>
      <w:rPr>
        <w:rFonts w:hint="default"/>
      </w:rPr>
    </w:lvl>
    <w:lvl w:ilvl="1">
      <w:start w:val="1"/>
      <w:numFmt w:val="decimal"/>
      <w:lvlText w:val="%1.%2"/>
      <w:lvlJc w:val="left"/>
      <w:pPr>
        <w:ind w:left="1398"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EA1A65"/>
    <w:multiLevelType w:val="hybridMultilevel"/>
    <w:tmpl w:val="287445C4"/>
    <w:lvl w:ilvl="0" w:tplc="A6B8764E">
      <w:start w:val="1"/>
      <w:numFmt w:val="lowerRoman"/>
      <w:lvlText w:val="(%1)"/>
      <w:lvlJc w:val="left"/>
      <w:pPr>
        <w:ind w:left="2160" w:hanging="144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18"/>
  </w:num>
  <w:num w:numId="3">
    <w:abstractNumId w:val="5"/>
  </w:num>
  <w:num w:numId="4">
    <w:abstractNumId w:val="9"/>
  </w:num>
  <w:num w:numId="5">
    <w:abstractNumId w:val="17"/>
  </w:num>
  <w:num w:numId="6">
    <w:abstractNumId w:val="14"/>
  </w:num>
  <w:num w:numId="7">
    <w:abstractNumId w:val="11"/>
  </w:num>
  <w:num w:numId="8">
    <w:abstractNumId w:val="6"/>
  </w:num>
  <w:num w:numId="9">
    <w:abstractNumId w:val="12"/>
  </w:num>
  <w:num w:numId="10">
    <w:abstractNumId w:val="10"/>
  </w:num>
  <w:num w:numId="11">
    <w:abstractNumId w:val="15"/>
  </w:num>
  <w:num w:numId="12">
    <w:abstractNumId w:val="1"/>
  </w:num>
  <w:num w:numId="13">
    <w:abstractNumId w:val="19"/>
  </w:num>
  <w:num w:numId="14">
    <w:abstractNumId w:val="0"/>
  </w:num>
  <w:num w:numId="15">
    <w:abstractNumId w:val="13"/>
  </w:num>
  <w:num w:numId="16">
    <w:abstractNumId w:val="3"/>
  </w:num>
  <w:num w:numId="17">
    <w:abstractNumId w:val="2"/>
  </w:num>
  <w:num w:numId="18">
    <w:abstractNumId w:val="8"/>
  </w:num>
  <w:num w:numId="19">
    <w:abstractNumId w:val="21"/>
  </w:num>
  <w:num w:numId="20">
    <w:abstractNumId w:val="16"/>
  </w:num>
  <w:num w:numId="21">
    <w:abstractNumId w:val="4"/>
  </w:num>
  <w:num w:numId="22">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Bruce">
    <w15:presenceInfo w15:providerId="None" w15:userId="Mary Bru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UxMDKxsLQwMzGyMDZT0lEKTi0uzszPAykwrAUAtAyv8ywAAAA="/>
  </w:docVars>
  <w:rsids>
    <w:rsidRoot w:val="00C91BD0"/>
    <w:rsid w:val="00003983"/>
    <w:rsid w:val="000050D9"/>
    <w:rsid w:val="000157FC"/>
    <w:rsid w:val="00024AA9"/>
    <w:rsid w:val="00024C1F"/>
    <w:rsid w:val="00030059"/>
    <w:rsid w:val="000305C3"/>
    <w:rsid w:val="000342A6"/>
    <w:rsid w:val="00036A9C"/>
    <w:rsid w:val="00036BB3"/>
    <w:rsid w:val="000451AB"/>
    <w:rsid w:val="00051DA1"/>
    <w:rsid w:val="00051F9F"/>
    <w:rsid w:val="00055DAC"/>
    <w:rsid w:val="00060D17"/>
    <w:rsid w:val="00070F03"/>
    <w:rsid w:val="000725DA"/>
    <w:rsid w:val="00072691"/>
    <w:rsid w:val="00075BCF"/>
    <w:rsid w:val="00077397"/>
    <w:rsid w:val="0007777E"/>
    <w:rsid w:val="00082693"/>
    <w:rsid w:val="00087986"/>
    <w:rsid w:val="00094808"/>
    <w:rsid w:val="00095BC8"/>
    <w:rsid w:val="000A0F14"/>
    <w:rsid w:val="000A4E44"/>
    <w:rsid w:val="000B3557"/>
    <w:rsid w:val="000B3776"/>
    <w:rsid w:val="000B394F"/>
    <w:rsid w:val="000B47CA"/>
    <w:rsid w:val="000B559F"/>
    <w:rsid w:val="000C079F"/>
    <w:rsid w:val="000C18EB"/>
    <w:rsid w:val="000C30EA"/>
    <w:rsid w:val="000C39DF"/>
    <w:rsid w:val="000C4802"/>
    <w:rsid w:val="000C5F4E"/>
    <w:rsid w:val="000F1D11"/>
    <w:rsid w:val="000F32A0"/>
    <w:rsid w:val="00100A11"/>
    <w:rsid w:val="00103A00"/>
    <w:rsid w:val="00114AFD"/>
    <w:rsid w:val="00116D45"/>
    <w:rsid w:val="00117F12"/>
    <w:rsid w:val="00124E7E"/>
    <w:rsid w:val="001318BD"/>
    <w:rsid w:val="00131AA2"/>
    <w:rsid w:val="00133109"/>
    <w:rsid w:val="00134070"/>
    <w:rsid w:val="00134868"/>
    <w:rsid w:val="00135A60"/>
    <w:rsid w:val="00140808"/>
    <w:rsid w:val="001437DD"/>
    <w:rsid w:val="00146431"/>
    <w:rsid w:val="00146779"/>
    <w:rsid w:val="001600E6"/>
    <w:rsid w:val="00161B19"/>
    <w:rsid w:val="001645C7"/>
    <w:rsid w:val="00164DF9"/>
    <w:rsid w:val="00166045"/>
    <w:rsid w:val="001717C0"/>
    <w:rsid w:val="00180BE5"/>
    <w:rsid w:val="00184831"/>
    <w:rsid w:val="0018693D"/>
    <w:rsid w:val="00187F19"/>
    <w:rsid w:val="001947E2"/>
    <w:rsid w:val="00195A7A"/>
    <w:rsid w:val="00196293"/>
    <w:rsid w:val="00196E38"/>
    <w:rsid w:val="001972A6"/>
    <w:rsid w:val="001A4DF7"/>
    <w:rsid w:val="001B310F"/>
    <w:rsid w:val="001B56B4"/>
    <w:rsid w:val="001B759C"/>
    <w:rsid w:val="001C19CE"/>
    <w:rsid w:val="001C2606"/>
    <w:rsid w:val="001C50D0"/>
    <w:rsid w:val="001D5459"/>
    <w:rsid w:val="001D7C95"/>
    <w:rsid w:val="001E7DE0"/>
    <w:rsid w:val="00200090"/>
    <w:rsid w:val="00200337"/>
    <w:rsid w:val="00201EC4"/>
    <w:rsid w:val="00210538"/>
    <w:rsid w:val="00217ACE"/>
    <w:rsid w:val="002255C9"/>
    <w:rsid w:val="00225E33"/>
    <w:rsid w:val="002278D8"/>
    <w:rsid w:val="0022794C"/>
    <w:rsid w:val="00231B96"/>
    <w:rsid w:val="00232C04"/>
    <w:rsid w:val="00233118"/>
    <w:rsid w:val="00233198"/>
    <w:rsid w:val="002427E7"/>
    <w:rsid w:val="002528BE"/>
    <w:rsid w:val="002553D7"/>
    <w:rsid w:val="00260CB7"/>
    <w:rsid w:val="002639E9"/>
    <w:rsid w:val="0026574C"/>
    <w:rsid w:val="00267C67"/>
    <w:rsid w:val="00272CDC"/>
    <w:rsid w:val="002749F0"/>
    <w:rsid w:val="00275CC3"/>
    <w:rsid w:val="002810BF"/>
    <w:rsid w:val="00283A2D"/>
    <w:rsid w:val="00287642"/>
    <w:rsid w:val="00290C55"/>
    <w:rsid w:val="00293A0B"/>
    <w:rsid w:val="00293F6B"/>
    <w:rsid w:val="00295B11"/>
    <w:rsid w:val="002A2E11"/>
    <w:rsid w:val="002B5741"/>
    <w:rsid w:val="002B7CA5"/>
    <w:rsid w:val="002C45F1"/>
    <w:rsid w:val="002D2484"/>
    <w:rsid w:val="002D4362"/>
    <w:rsid w:val="002D6DB6"/>
    <w:rsid w:val="002E52D7"/>
    <w:rsid w:val="002E6811"/>
    <w:rsid w:val="002F3098"/>
    <w:rsid w:val="002F41FC"/>
    <w:rsid w:val="002F4DD1"/>
    <w:rsid w:val="002F5992"/>
    <w:rsid w:val="002F6B88"/>
    <w:rsid w:val="003000D7"/>
    <w:rsid w:val="00310D90"/>
    <w:rsid w:val="00325834"/>
    <w:rsid w:val="0032737A"/>
    <w:rsid w:val="003336CA"/>
    <w:rsid w:val="00340529"/>
    <w:rsid w:val="003405CF"/>
    <w:rsid w:val="00350FA0"/>
    <w:rsid w:val="00352083"/>
    <w:rsid w:val="00352ACD"/>
    <w:rsid w:val="003554CD"/>
    <w:rsid w:val="00365007"/>
    <w:rsid w:val="00371E51"/>
    <w:rsid w:val="0037475E"/>
    <w:rsid w:val="003837FE"/>
    <w:rsid w:val="00391E7F"/>
    <w:rsid w:val="003A62FA"/>
    <w:rsid w:val="003B0227"/>
    <w:rsid w:val="003B2856"/>
    <w:rsid w:val="003B374A"/>
    <w:rsid w:val="003B50A2"/>
    <w:rsid w:val="003B56C0"/>
    <w:rsid w:val="003B73B1"/>
    <w:rsid w:val="003C0960"/>
    <w:rsid w:val="003C0A46"/>
    <w:rsid w:val="003C42F2"/>
    <w:rsid w:val="003C5A8A"/>
    <w:rsid w:val="003D30A6"/>
    <w:rsid w:val="003D5A7F"/>
    <w:rsid w:val="003D65F7"/>
    <w:rsid w:val="003E1DE2"/>
    <w:rsid w:val="003E608E"/>
    <w:rsid w:val="003F25C2"/>
    <w:rsid w:val="003F4366"/>
    <w:rsid w:val="003F4800"/>
    <w:rsid w:val="00400BCF"/>
    <w:rsid w:val="00403DEC"/>
    <w:rsid w:val="00411ED3"/>
    <w:rsid w:val="00412218"/>
    <w:rsid w:val="00413353"/>
    <w:rsid w:val="00417092"/>
    <w:rsid w:val="00421B43"/>
    <w:rsid w:val="00422A85"/>
    <w:rsid w:val="004251E3"/>
    <w:rsid w:val="00430F92"/>
    <w:rsid w:val="00431971"/>
    <w:rsid w:val="004371C7"/>
    <w:rsid w:val="00444170"/>
    <w:rsid w:val="004513D8"/>
    <w:rsid w:val="004549A5"/>
    <w:rsid w:val="00455CC6"/>
    <w:rsid w:val="004605DC"/>
    <w:rsid w:val="00462CC1"/>
    <w:rsid w:val="004658BB"/>
    <w:rsid w:val="00467AC0"/>
    <w:rsid w:val="00467D83"/>
    <w:rsid w:val="00474210"/>
    <w:rsid w:val="00475B05"/>
    <w:rsid w:val="00476FA3"/>
    <w:rsid w:val="00477E66"/>
    <w:rsid w:val="004815F4"/>
    <w:rsid w:val="00482769"/>
    <w:rsid w:val="00482BC6"/>
    <w:rsid w:val="00485E07"/>
    <w:rsid w:val="00486F4F"/>
    <w:rsid w:val="00490ABC"/>
    <w:rsid w:val="00491F60"/>
    <w:rsid w:val="00492979"/>
    <w:rsid w:val="00493193"/>
    <w:rsid w:val="004A3816"/>
    <w:rsid w:val="004A42C0"/>
    <w:rsid w:val="004A4CDD"/>
    <w:rsid w:val="004B223F"/>
    <w:rsid w:val="004B34F2"/>
    <w:rsid w:val="004B6B21"/>
    <w:rsid w:val="004B70C8"/>
    <w:rsid w:val="004C0D81"/>
    <w:rsid w:val="004C652B"/>
    <w:rsid w:val="004D59A8"/>
    <w:rsid w:val="004E3E84"/>
    <w:rsid w:val="004E5311"/>
    <w:rsid w:val="004F0FEF"/>
    <w:rsid w:val="004F1518"/>
    <w:rsid w:val="004F6B90"/>
    <w:rsid w:val="0050756C"/>
    <w:rsid w:val="005173CE"/>
    <w:rsid w:val="005235B6"/>
    <w:rsid w:val="00532D2A"/>
    <w:rsid w:val="00542A46"/>
    <w:rsid w:val="00543E34"/>
    <w:rsid w:val="00544B9E"/>
    <w:rsid w:val="00553728"/>
    <w:rsid w:val="00560D68"/>
    <w:rsid w:val="005622A5"/>
    <w:rsid w:val="00566329"/>
    <w:rsid w:val="0057063A"/>
    <w:rsid w:val="00570CF0"/>
    <w:rsid w:val="005723E1"/>
    <w:rsid w:val="00584B15"/>
    <w:rsid w:val="005850E8"/>
    <w:rsid w:val="00585633"/>
    <w:rsid w:val="005B0B15"/>
    <w:rsid w:val="005B32D3"/>
    <w:rsid w:val="005B4F2F"/>
    <w:rsid w:val="005C21B9"/>
    <w:rsid w:val="005D58CF"/>
    <w:rsid w:val="005D71EE"/>
    <w:rsid w:val="005D7BF3"/>
    <w:rsid w:val="005E1780"/>
    <w:rsid w:val="005E21DD"/>
    <w:rsid w:val="005E2232"/>
    <w:rsid w:val="005F19BF"/>
    <w:rsid w:val="005F4EE6"/>
    <w:rsid w:val="005F6941"/>
    <w:rsid w:val="005F6DAB"/>
    <w:rsid w:val="00601BF4"/>
    <w:rsid w:val="00602ADA"/>
    <w:rsid w:val="00604B52"/>
    <w:rsid w:val="00613B2B"/>
    <w:rsid w:val="006145F2"/>
    <w:rsid w:val="00616D4C"/>
    <w:rsid w:val="00620190"/>
    <w:rsid w:val="00620EAD"/>
    <w:rsid w:val="00621039"/>
    <w:rsid w:val="00622523"/>
    <w:rsid w:val="00622C21"/>
    <w:rsid w:val="00626043"/>
    <w:rsid w:val="00633C87"/>
    <w:rsid w:val="00634D1E"/>
    <w:rsid w:val="006400F0"/>
    <w:rsid w:val="00644564"/>
    <w:rsid w:val="00654F25"/>
    <w:rsid w:val="00656E28"/>
    <w:rsid w:val="00663315"/>
    <w:rsid w:val="00667425"/>
    <w:rsid w:val="00670A3A"/>
    <w:rsid w:val="00674793"/>
    <w:rsid w:val="00674D32"/>
    <w:rsid w:val="006773E9"/>
    <w:rsid w:val="00694FFB"/>
    <w:rsid w:val="006A37FE"/>
    <w:rsid w:val="006A6C08"/>
    <w:rsid w:val="006A70DB"/>
    <w:rsid w:val="006B1B4C"/>
    <w:rsid w:val="006B2B0B"/>
    <w:rsid w:val="006B43D1"/>
    <w:rsid w:val="006B4EB9"/>
    <w:rsid w:val="006B739C"/>
    <w:rsid w:val="006C3BFE"/>
    <w:rsid w:val="006C4A99"/>
    <w:rsid w:val="006C6CB6"/>
    <w:rsid w:val="006C700D"/>
    <w:rsid w:val="006D0EA7"/>
    <w:rsid w:val="006D22C9"/>
    <w:rsid w:val="006E2247"/>
    <w:rsid w:val="006E3E73"/>
    <w:rsid w:val="006F3004"/>
    <w:rsid w:val="006F35DA"/>
    <w:rsid w:val="006F3E91"/>
    <w:rsid w:val="006F5F71"/>
    <w:rsid w:val="00700AE0"/>
    <w:rsid w:val="00707972"/>
    <w:rsid w:val="0071448B"/>
    <w:rsid w:val="00715C7A"/>
    <w:rsid w:val="00720AF7"/>
    <w:rsid w:val="00722812"/>
    <w:rsid w:val="00722905"/>
    <w:rsid w:val="00723324"/>
    <w:rsid w:val="00725BF1"/>
    <w:rsid w:val="00730F39"/>
    <w:rsid w:val="00731E9A"/>
    <w:rsid w:val="00740E72"/>
    <w:rsid w:val="007449A6"/>
    <w:rsid w:val="0075047B"/>
    <w:rsid w:val="00752CE8"/>
    <w:rsid w:val="00753B29"/>
    <w:rsid w:val="007550DA"/>
    <w:rsid w:val="0075792F"/>
    <w:rsid w:val="00763E58"/>
    <w:rsid w:val="007657AF"/>
    <w:rsid w:val="00766C5D"/>
    <w:rsid w:val="00781F88"/>
    <w:rsid w:val="00782560"/>
    <w:rsid w:val="00782C2C"/>
    <w:rsid w:val="007861F3"/>
    <w:rsid w:val="007863E0"/>
    <w:rsid w:val="0078755D"/>
    <w:rsid w:val="00790EE0"/>
    <w:rsid w:val="00793365"/>
    <w:rsid w:val="0079453F"/>
    <w:rsid w:val="00794BCF"/>
    <w:rsid w:val="0079726F"/>
    <w:rsid w:val="007A5FEC"/>
    <w:rsid w:val="007B6250"/>
    <w:rsid w:val="007B6540"/>
    <w:rsid w:val="007C0DF4"/>
    <w:rsid w:val="007C3470"/>
    <w:rsid w:val="007C35F4"/>
    <w:rsid w:val="007C724B"/>
    <w:rsid w:val="007D256E"/>
    <w:rsid w:val="007D52F6"/>
    <w:rsid w:val="007F1F1D"/>
    <w:rsid w:val="007F6D4F"/>
    <w:rsid w:val="008111B1"/>
    <w:rsid w:val="00811AFC"/>
    <w:rsid w:val="008125CB"/>
    <w:rsid w:val="008151F3"/>
    <w:rsid w:val="00826856"/>
    <w:rsid w:val="00827579"/>
    <w:rsid w:val="00837B89"/>
    <w:rsid w:val="00840DD3"/>
    <w:rsid w:val="00851C86"/>
    <w:rsid w:val="00853E76"/>
    <w:rsid w:val="00865C85"/>
    <w:rsid w:val="008673AE"/>
    <w:rsid w:val="00867855"/>
    <w:rsid w:val="00874286"/>
    <w:rsid w:val="00875DD4"/>
    <w:rsid w:val="00876775"/>
    <w:rsid w:val="00883755"/>
    <w:rsid w:val="00896F5D"/>
    <w:rsid w:val="008973EA"/>
    <w:rsid w:val="0089757E"/>
    <w:rsid w:val="008978ED"/>
    <w:rsid w:val="008A143D"/>
    <w:rsid w:val="008A4B43"/>
    <w:rsid w:val="008A6230"/>
    <w:rsid w:val="008B0118"/>
    <w:rsid w:val="008B3E1D"/>
    <w:rsid w:val="008B3F12"/>
    <w:rsid w:val="008C2739"/>
    <w:rsid w:val="008C4F3B"/>
    <w:rsid w:val="008C64D9"/>
    <w:rsid w:val="008C6B6B"/>
    <w:rsid w:val="008C758F"/>
    <w:rsid w:val="008D16E0"/>
    <w:rsid w:val="008D60B3"/>
    <w:rsid w:val="008E0DBB"/>
    <w:rsid w:val="008E23BB"/>
    <w:rsid w:val="008E436E"/>
    <w:rsid w:val="008F68E1"/>
    <w:rsid w:val="0090273A"/>
    <w:rsid w:val="00913973"/>
    <w:rsid w:val="00917376"/>
    <w:rsid w:val="00922319"/>
    <w:rsid w:val="00925877"/>
    <w:rsid w:val="00932009"/>
    <w:rsid w:val="0093652C"/>
    <w:rsid w:val="009406A7"/>
    <w:rsid w:val="009468A7"/>
    <w:rsid w:val="0095124B"/>
    <w:rsid w:val="00952CD4"/>
    <w:rsid w:val="009565EC"/>
    <w:rsid w:val="00971A60"/>
    <w:rsid w:val="00984E6D"/>
    <w:rsid w:val="00987AF8"/>
    <w:rsid w:val="009936AF"/>
    <w:rsid w:val="00994BE3"/>
    <w:rsid w:val="00997BED"/>
    <w:rsid w:val="009A0E4F"/>
    <w:rsid w:val="009A47A3"/>
    <w:rsid w:val="009B2897"/>
    <w:rsid w:val="009B3681"/>
    <w:rsid w:val="009C0742"/>
    <w:rsid w:val="009C1731"/>
    <w:rsid w:val="009D6702"/>
    <w:rsid w:val="009D7D9B"/>
    <w:rsid w:val="009E5E93"/>
    <w:rsid w:val="009F447E"/>
    <w:rsid w:val="009F57B6"/>
    <w:rsid w:val="009F6F8E"/>
    <w:rsid w:val="00A00D0C"/>
    <w:rsid w:val="00A01D7B"/>
    <w:rsid w:val="00A04465"/>
    <w:rsid w:val="00A11837"/>
    <w:rsid w:val="00A125E0"/>
    <w:rsid w:val="00A13CAA"/>
    <w:rsid w:val="00A13FB0"/>
    <w:rsid w:val="00A26779"/>
    <w:rsid w:val="00A33282"/>
    <w:rsid w:val="00A33587"/>
    <w:rsid w:val="00A35241"/>
    <w:rsid w:val="00A3642A"/>
    <w:rsid w:val="00A453A6"/>
    <w:rsid w:val="00A51DDB"/>
    <w:rsid w:val="00A53234"/>
    <w:rsid w:val="00A61389"/>
    <w:rsid w:val="00A613B6"/>
    <w:rsid w:val="00A744C8"/>
    <w:rsid w:val="00A8183F"/>
    <w:rsid w:val="00A81B4A"/>
    <w:rsid w:val="00A8401C"/>
    <w:rsid w:val="00AA40E4"/>
    <w:rsid w:val="00AA4C9C"/>
    <w:rsid w:val="00AB2A64"/>
    <w:rsid w:val="00AB39DE"/>
    <w:rsid w:val="00AB3EEB"/>
    <w:rsid w:val="00AB44BF"/>
    <w:rsid w:val="00AB4CEE"/>
    <w:rsid w:val="00AC3A2B"/>
    <w:rsid w:val="00AC4FF4"/>
    <w:rsid w:val="00AC63B5"/>
    <w:rsid w:val="00AD0475"/>
    <w:rsid w:val="00AD2343"/>
    <w:rsid w:val="00AD41EA"/>
    <w:rsid w:val="00AE03D4"/>
    <w:rsid w:val="00AE25D0"/>
    <w:rsid w:val="00AE3403"/>
    <w:rsid w:val="00AE3634"/>
    <w:rsid w:val="00AE3C8F"/>
    <w:rsid w:val="00AF1202"/>
    <w:rsid w:val="00AF5176"/>
    <w:rsid w:val="00AF763E"/>
    <w:rsid w:val="00B0042C"/>
    <w:rsid w:val="00B02DBB"/>
    <w:rsid w:val="00B072B9"/>
    <w:rsid w:val="00B106DA"/>
    <w:rsid w:val="00B16D07"/>
    <w:rsid w:val="00B20FA7"/>
    <w:rsid w:val="00B2244F"/>
    <w:rsid w:val="00B2394C"/>
    <w:rsid w:val="00B2559E"/>
    <w:rsid w:val="00B27B8A"/>
    <w:rsid w:val="00B301AB"/>
    <w:rsid w:val="00B42EBB"/>
    <w:rsid w:val="00B4637E"/>
    <w:rsid w:val="00B46DBD"/>
    <w:rsid w:val="00B50080"/>
    <w:rsid w:val="00B50966"/>
    <w:rsid w:val="00B51504"/>
    <w:rsid w:val="00B5325C"/>
    <w:rsid w:val="00B5543C"/>
    <w:rsid w:val="00B72B81"/>
    <w:rsid w:val="00B75703"/>
    <w:rsid w:val="00B84E93"/>
    <w:rsid w:val="00B9029A"/>
    <w:rsid w:val="00B903C3"/>
    <w:rsid w:val="00B917E0"/>
    <w:rsid w:val="00B92854"/>
    <w:rsid w:val="00B93A41"/>
    <w:rsid w:val="00B9788C"/>
    <w:rsid w:val="00BA2D0B"/>
    <w:rsid w:val="00BA458C"/>
    <w:rsid w:val="00BC350E"/>
    <w:rsid w:val="00BC492F"/>
    <w:rsid w:val="00BC5605"/>
    <w:rsid w:val="00BC6083"/>
    <w:rsid w:val="00BD1FFE"/>
    <w:rsid w:val="00BD566E"/>
    <w:rsid w:val="00BD5B0E"/>
    <w:rsid w:val="00BD661B"/>
    <w:rsid w:val="00BE69EF"/>
    <w:rsid w:val="00BF43DC"/>
    <w:rsid w:val="00BF542F"/>
    <w:rsid w:val="00BF6C1C"/>
    <w:rsid w:val="00BF743E"/>
    <w:rsid w:val="00C03D78"/>
    <w:rsid w:val="00C16D91"/>
    <w:rsid w:val="00C2004E"/>
    <w:rsid w:val="00C202DA"/>
    <w:rsid w:val="00C2196D"/>
    <w:rsid w:val="00C23159"/>
    <w:rsid w:val="00C25A11"/>
    <w:rsid w:val="00C25C24"/>
    <w:rsid w:val="00C2796C"/>
    <w:rsid w:val="00C37B0E"/>
    <w:rsid w:val="00C41C33"/>
    <w:rsid w:val="00C4471B"/>
    <w:rsid w:val="00C46B9A"/>
    <w:rsid w:val="00C51900"/>
    <w:rsid w:val="00C53B5D"/>
    <w:rsid w:val="00C56124"/>
    <w:rsid w:val="00C64E21"/>
    <w:rsid w:val="00C66371"/>
    <w:rsid w:val="00C67C90"/>
    <w:rsid w:val="00C70104"/>
    <w:rsid w:val="00C72593"/>
    <w:rsid w:val="00C7708B"/>
    <w:rsid w:val="00C77095"/>
    <w:rsid w:val="00C77C8D"/>
    <w:rsid w:val="00C816D4"/>
    <w:rsid w:val="00C83F11"/>
    <w:rsid w:val="00C91BD0"/>
    <w:rsid w:val="00C97CE1"/>
    <w:rsid w:val="00C97E79"/>
    <w:rsid w:val="00CA0BCB"/>
    <w:rsid w:val="00CA4013"/>
    <w:rsid w:val="00CA51DB"/>
    <w:rsid w:val="00CB39ED"/>
    <w:rsid w:val="00CB442B"/>
    <w:rsid w:val="00CB793D"/>
    <w:rsid w:val="00CC5704"/>
    <w:rsid w:val="00CD3A2B"/>
    <w:rsid w:val="00CD6791"/>
    <w:rsid w:val="00CD6CC0"/>
    <w:rsid w:val="00CE0E35"/>
    <w:rsid w:val="00CE6C57"/>
    <w:rsid w:val="00CF15C8"/>
    <w:rsid w:val="00CF2122"/>
    <w:rsid w:val="00CF216E"/>
    <w:rsid w:val="00D04209"/>
    <w:rsid w:val="00D07609"/>
    <w:rsid w:val="00D07A29"/>
    <w:rsid w:val="00D13E2C"/>
    <w:rsid w:val="00D2537F"/>
    <w:rsid w:val="00D26D9A"/>
    <w:rsid w:val="00D27D29"/>
    <w:rsid w:val="00D27D8C"/>
    <w:rsid w:val="00D30C96"/>
    <w:rsid w:val="00D32F8B"/>
    <w:rsid w:val="00D347AD"/>
    <w:rsid w:val="00D34F07"/>
    <w:rsid w:val="00D35F42"/>
    <w:rsid w:val="00D37B42"/>
    <w:rsid w:val="00D40D32"/>
    <w:rsid w:val="00D41E49"/>
    <w:rsid w:val="00D42C0F"/>
    <w:rsid w:val="00D43AA8"/>
    <w:rsid w:val="00D43D80"/>
    <w:rsid w:val="00D4624C"/>
    <w:rsid w:val="00D52AE1"/>
    <w:rsid w:val="00D5599B"/>
    <w:rsid w:val="00D562E6"/>
    <w:rsid w:val="00D579DB"/>
    <w:rsid w:val="00D57B9D"/>
    <w:rsid w:val="00D57C4B"/>
    <w:rsid w:val="00D608DB"/>
    <w:rsid w:val="00D719C3"/>
    <w:rsid w:val="00D76AB8"/>
    <w:rsid w:val="00D8031E"/>
    <w:rsid w:val="00D81097"/>
    <w:rsid w:val="00D87DED"/>
    <w:rsid w:val="00D958F7"/>
    <w:rsid w:val="00D97489"/>
    <w:rsid w:val="00DA6546"/>
    <w:rsid w:val="00DC0C56"/>
    <w:rsid w:val="00DC1BDB"/>
    <w:rsid w:val="00DC2962"/>
    <w:rsid w:val="00DD07FE"/>
    <w:rsid w:val="00DD384A"/>
    <w:rsid w:val="00DD6C30"/>
    <w:rsid w:val="00DE0081"/>
    <w:rsid w:val="00DE3674"/>
    <w:rsid w:val="00DF1359"/>
    <w:rsid w:val="00DF5709"/>
    <w:rsid w:val="00DF7555"/>
    <w:rsid w:val="00E016DC"/>
    <w:rsid w:val="00E03863"/>
    <w:rsid w:val="00E03CC0"/>
    <w:rsid w:val="00E04FB5"/>
    <w:rsid w:val="00E0506E"/>
    <w:rsid w:val="00E11C9E"/>
    <w:rsid w:val="00E1568E"/>
    <w:rsid w:val="00E16150"/>
    <w:rsid w:val="00E172F3"/>
    <w:rsid w:val="00E2456A"/>
    <w:rsid w:val="00E24750"/>
    <w:rsid w:val="00E4068C"/>
    <w:rsid w:val="00E41DE4"/>
    <w:rsid w:val="00E459C9"/>
    <w:rsid w:val="00E51BEF"/>
    <w:rsid w:val="00E54D80"/>
    <w:rsid w:val="00E54E21"/>
    <w:rsid w:val="00E56128"/>
    <w:rsid w:val="00E57A5F"/>
    <w:rsid w:val="00E63FA0"/>
    <w:rsid w:val="00E67084"/>
    <w:rsid w:val="00E80A65"/>
    <w:rsid w:val="00E83BB1"/>
    <w:rsid w:val="00E90600"/>
    <w:rsid w:val="00E910F3"/>
    <w:rsid w:val="00E92641"/>
    <w:rsid w:val="00E941FE"/>
    <w:rsid w:val="00E96651"/>
    <w:rsid w:val="00EA0E6B"/>
    <w:rsid w:val="00EA511A"/>
    <w:rsid w:val="00EA5FD7"/>
    <w:rsid w:val="00EA6475"/>
    <w:rsid w:val="00EB3C87"/>
    <w:rsid w:val="00EB4FAA"/>
    <w:rsid w:val="00EC107C"/>
    <w:rsid w:val="00EC22FB"/>
    <w:rsid w:val="00ED1BEE"/>
    <w:rsid w:val="00ED1F8C"/>
    <w:rsid w:val="00ED5BE6"/>
    <w:rsid w:val="00EE5AFC"/>
    <w:rsid w:val="00EE657E"/>
    <w:rsid w:val="00EF7A4A"/>
    <w:rsid w:val="00F00E6B"/>
    <w:rsid w:val="00F033B8"/>
    <w:rsid w:val="00F0393F"/>
    <w:rsid w:val="00F0433D"/>
    <w:rsid w:val="00F11268"/>
    <w:rsid w:val="00F12A09"/>
    <w:rsid w:val="00F1500F"/>
    <w:rsid w:val="00F15276"/>
    <w:rsid w:val="00F16458"/>
    <w:rsid w:val="00F17FD6"/>
    <w:rsid w:val="00F215E2"/>
    <w:rsid w:val="00F21EE8"/>
    <w:rsid w:val="00F226D9"/>
    <w:rsid w:val="00F25955"/>
    <w:rsid w:val="00F32E93"/>
    <w:rsid w:val="00F34EC9"/>
    <w:rsid w:val="00F3679D"/>
    <w:rsid w:val="00F371C2"/>
    <w:rsid w:val="00F406AC"/>
    <w:rsid w:val="00F4472E"/>
    <w:rsid w:val="00F46168"/>
    <w:rsid w:val="00F47C26"/>
    <w:rsid w:val="00F570C9"/>
    <w:rsid w:val="00F61E9B"/>
    <w:rsid w:val="00F67AD4"/>
    <w:rsid w:val="00F70153"/>
    <w:rsid w:val="00F701E0"/>
    <w:rsid w:val="00F70CFE"/>
    <w:rsid w:val="00F70F35"/>
    <w:rsid w:val="00F801C5"/>
    <w:rsid w:val="00F842F1"/>
    <w:rsid w:val="00F84948"/>
    <w:rsid w:val="00F851D1"/>
    <w:rsid w:val="00F91815"/>
    <w:rsid w:val="00F92D02"/>
    <w:rsid w:val="00F93711"/>
    <w:rsid w:val="00F95A19"/>
    <w:rsid w:val="00F97F94"/>
    <w:rsid w:val="00FA06D9"/>
    <w:rsid w:val="00FA15F5"/>
    <w:rsid w:val="00FA6774"/>
    <w:rsid w:val="00FA67D8"/>
    <w:rsid w:val="00FB0073"/>
    <w:rsid w:val="00FC0E86"/>
    <w:rsid w:val="00FC1610"/>
    <w:rsid w:val="00FC39FF"/>
    <w:rsid w:val="00FC6BEA"/>
    <w:rsid w:val="00FD2C06"/>
    <w:rsid w:val="00FD319A"/>
    <w:rsid w:val="00FD6871"/>
    <w:rsid w:val="00FE15B7"/>
    <w:rsid w:val="00FF1D52"/>
    <w:rsid w:val="00FF30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84A81"/>
  <w15:docId w15:val="{04222BD4-B0A1-41B7-96FA-48A70614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D0"/>
    <w:pPr>
      <w:spacing w:after="0" w:line="360" w:lineRule="auto"/>
    </w:pPr>
    <w:rPr>
      <w:rFonts w:ascii="Arial" w:hAnsi="Arial" w:cs="Arial"/>
      <w:color w:val="000000" w:themeColor="text1"/>
      <w:sz w:val="24"/>
      <w:szCs w:val="24"/>
    </w:rPr>
  </w:style>
  <w:style w:type="paragraph" w:styleId="Heading2">
    <w:name w:val="heading 2"/>
    <w:basedOn w:val="Normal"/>
    <w:next w:val="Normal"/>
    <w:link w:val="Heading2Char"/>
    <w:uiPriority w:val="9"/>
    <w:semiHidden/>
    <w:qFormat/>
    <w:rsid w:val="00AA40E4"/>
    <w:pPr>
      <w:keepNext/>
      <w:keepLines/>
      <w:spacing w:before="40" w:line="480" w:lineRule="auto"/>
      <w:jc w:val="both"/>
      <w:outlineLvl w:val="1"/>
    </w:pPr>
    <w:rPr>
      <w:rFonts w:asciiTheme="majorHAnsi" w:eastAsiaTheme="majorEastAsia" w:hAnsiTheme="majorHAnsi" w:cs="Times New Roman"/>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D0"/>
    <w:pPr>
      <w:ind w:left="720"/>
      <w:contextualSpacing/>
    </w:pPr>
  </w:style>
  <w:style w:type="paragraph" w:styleId="FootnoteText">
    <w:name w:val="footnote text"/>
    <w:aliases w:val="Footnote,Footnote Text Char1,Footnote Text Char Char,Footnote Text Char1 Char Char,Footnote Text Char Char Char Char Char,Footnote Text Char Char1 Char Char,(NECG) Footnote Text,ALTS FOOTNOTE,AR Footnote Text,Footnote text Char,Car,Char C"/>
    <w:basedOn w:val="Normal"/>
    <w:link w:val="FootnoteTextChar"/>
    <w:uiPriority w:val="99"/>
    <w:unhideWhenUsed/>
    <w:qFormat/>
    <w:rsid w:val="00C91BD0"/>
    <w:rPr>
      <w:sz w:val="20"/>
      <w:szCs w:val="20"/>
    </w:rPr>
  </w:style>
  <w:style w:type="character" w:customStyle="1" w:styleId="FootnoteTextChar">
    <w:name w:val="Footnote Text Char"/>
    <w:aliases w:val="Footnote Char,Footnote Text Char1 Char,Footnote Text Char Char Char,Footnote Text Char1 Char Char Char,Footnote Text Char Char Char Char Char Char,Footnote Text Char Char1 Char Char Char,(NECG) Footnote Text Char,ALTS FOOTNOTE Char"/>
    <w:basedOn w:val="DefaultParagraphFont"/>
    <w:link w:val="FootnoteText"/>
    <w:uiPriority w:val="99"/>
    <w:qFormat/>
    <w:rsid w:val="00C91BD0"/>
    <w:rPr>
      <w:rFonts w:ascii="Arial" w:hAnsi="Arial" w:cs="Arial"/>
      <w:color w:val="000000" w:themeColor="text1"/>
      <w:sz w:val="20"/>
      <w:szCs w:val="20"/>
    </w:rPr>
  </w:style>
  <w:style w:type="character" w:styleId="FootnoteReference">
    <w:name w:val="footnote reference"/>
    <w:aliases w:val="Ref,de nota al pie,註腳內容,Footnotes refss,Appel note de bas de page,(NECG) Footnote Reference,fr,Footnote symbol,Style 12,Footnote Reference + Superscript,Footnote Reference in text,Footnote Reference Superscript,o,Style 4,16 Point"/>
    <w:basedOn w:val="DefaultParagraphFont"/>
    <w:uiPriority w:val="99"/>
    <w:unhideWhenUsed/>
    <w:qFormat/>
    <w:rsid w:val="00C91BD0"/>
    <w:rPr>
      <w:vertAlign w:val="superscript"/>
    </w:rPr>
  </w:style>
  <w:style w:type="paragraph" w:styleId="Header">
    <w:name w:val="header"/>
    <w:basedOn w:val="Normal"/>
    <w:link w:val="HeaderChar"/>
    <w:uiPriority w:val="99"/>
    <w:unhideWhenUsed/>
    <w:rsid w:val="004F0FEF"/>
    <w:pPr>
      <w:tabs>
        <w:tab w:val="center" w:pos="4513"/>
        <w:tab w:val="right" w:pos="9026"/>
      </w:tabs>
      <w:spacing w:line="240" w:lineRule="auto"/>
    </w:pPr>
  </w:style>
  <w:style w:type="character" w:customStyle="1" w:styleId="HeaderChar">
    <w:name w:val="Header Char"/>
    <w:basedOn w:val="DefaultParagraphFont"/>
    <w:link w:val="Header"/>
    <w:uiPriority w:val="99"/>
    <w:rsid w:val="004F0FEF"/>
    <w:rPr>
      <w:rFonts w:ascii="Arial" w:hAnsi="Arial" w:cs="Arial"/>
      <w:color w:val="000000" w:themeColor="text1"/>
      <w:sz w:val="24"/>
      <w:szCs w:val="24"/>
    </w:rPr>
  </w:style>
  <w:style w:type="paragraph" w:styleId="Footer">
    <w:name w:val="footer"/>
    <w:basedOn w:val="Normal"/>
    <w:link w:val="FooterChar"/>
    <w:uiPriority w:val="99"/>
    <w:unhideWhenUsed/>
    <w:rsid w:val="004F0FEF"/>
    <w:pPr>
      <w:tabs>
        <w:tab w:val="center" w:pos="4513"/>
        <w:tab w:val="right" w:pos="9026"/>
      </w:tabs>
      <w:spacing w:line="240" w:lineRule="auto"/>
    </w:pPr>
  </w:style>
  <w:style w:type="character" w:customStyle="1" w:styleId="FooterChar">
    <w:name w:val="Footer Char"/>
    <w:basedOn w:val="DefaultParagraphFont"/>
    <w:link w:val="Footer"/>
    <w:uiPriority w:val="99"/>
    <w:rsid w:val="004F0FEF"/>
    <w:rPr>
      <w:rFonts w:ascii="Arial" w:hAnsi="Arial" w:cs="Arial"/>
      <w:color w:val="000000" w:themeColor="text1"/>
      <w:sz w:val="24"/>
      <w:szCs w:val="24"/>
    </w:rPr>
  </w:style>
  <w:style w:type="paragraph" w:styleId="BalloonText">
    <w:name w:val="Balloon Text"/>
    <w:basedOn w:val="Normal"/>
    <w:link w:val="BalloonTextChar"/>
    <w:uiPriority w:val="99"/>
    <w:semiHidden/>
    <w:unhideWhenUsed/>
    <w:rsid w:val="00C279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6C"/>
    <w:rPr>
      <w:rFonts w:ascii="Tahoma" w:hAnsi="Tahoma" w:cs="Tahoma"/>
      <w:color w:val="000000" w:themeColor="text1"/>
      <w:sz w:val="16"/>
      <w:szCs w:val="16"/>
    </w:rPr>
  </w:style>
  <w:style w:type="paragraph" w:styleId="NormalWeb">
    <w:name w:val="Normal (Web)"/>
    <w:basedOn w:val="Normal"/>
    <w:uiPriority w:val="99"/>
    <w:semiHidden/>
    <w:unhideWhenUsed/>
    <w:rsid w:val="00C2196D"/>
    <w:pPr>
      <w:spacing w:before="144" w:after="288" w:line="240" w:lineRule="auto"/>
    </w:pPr>
    <w:rPr>
      <w:rFonts w:ascii="Times New Roman" w:eastAsia="Times New Roman" w:hAnsi="Times New Roman" w:cs="Times New Roman"/>
      <w:color w:val="auto"/>
      <w:lang w:eastAsia="en-ZA"/>
    </w:rPr>
  </w:style>
  <w:style w:type="character" w:styleId="Hyperlink">
    <w:name w:val="Hyperlink"/>
    <w:basedOn w:val="DefaultParagraphFont"/>
    <w:uiPriority w:val="99"/>
    <w:unhideWhenUsed/>
    <w:rsid w:val="00C23159"/>
    <w:rPr>
      <w:b/>
      <w:bCs/>
      <w:i w:val="0"/>
      <w:iCs w:val="0"/>
      <w:color w:val="0B4B0B"/>
      <w:u w:val="single"/>
    </w:rPr>
  </w:style>
  <w:style w:type="character" w:styleId="CommentReference">
    <w:name w:val="annotation reference"/>
    <w:basedOn w:val="DefaultParagraphFont"/>
    <w:uiPriority w:val="99"/>
    <w:semiHidden/>
    <w:unhideWhenUsed/>
    <w:rsid w:val="00FA06D9"/>
    <w:rPr>
      <w:sz w:val="16"/>
      <w:szCs w:val="16"/>
    </w:rPr>
  </w:style>
  <w:style w:type="paragraph" w:styleId="CommentText">
    <w:name w:val="annotation text"/>
    <w:basedOn w:val="Normal"/>
    <w:link w:val="CommentTextChar"/>
    <w:uiPriority w:val="99"/>
    <w:unhideWhenUsed/>
    <w:rsid w:val="00FA06D9"/>
    <w:pPr>
      <w:spacing w:line="240" w:lineRule="auto"/>
    </w:pPr>
    <w:rPr>
      <w:sz w:val="20"/>
      <w:szCs w:val="20"/>
    </w:rPr>
  </w:style>
  <w:style w:type="character" w:customStyle="1" w:styleId="CommentTextChar">
    <w:name w:val="Comment Text Char"/>
    <w:basedOn w:val="DefaultParagraphFont"/>
    <w:link w:val="CommentText"/>
    <w:uiPriority w:val="99"/>
    <w:rsid w:val="00FA06D9"/>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A06D9"/>
    <w:rPr>
      <w:b/>
      <w:bCs/>
    </w:rPr>
  </w:style>
  <w:style w:type="character" w:customStyle="1" w:styleId="CommentSubjectChar">
    <w:name w:val="Comment Subject Char"/>
    <w:basedOn w:val="CommentTextChar"/>
    <w:link w:val="CommentSubject"/>
    <w:uiPriority w:val="99"/>
    <w:semiHidden/>
    <w:rsid w:val="00FA06D9"/>
    <w:rPr>
      <w:rFonts w:ascii="Arial" w:hAnsi="Arial" w:cs="Arial"/>
      <w:b/>
      <w:bCs/>
      <w:color w:val="000000" w:themeColor="text1"/>
      <w:sz w:val="20"/>
      <w:szCs w:val="20"/>
    </w:rPr>
  </w:style>
  <w:style w:type="paragraph" w:styleId="Revision">
    <w:name w:val="Revision"/>
    <w:hidden/>
    <w:uiPriority w:val="99"/>
    <w:semiHidden/>
    <w:rsid w:val="00CA51DB"/>
    <w:pPr>
      <w:spacing w:after="0" w:line="240" w:lineRule="auto"/>
    </w:pPr>
    <w:rPr>
      <w:rFonts w:ascii="Arial" w:hAnsi="Arial" w:cs="Arial"/>
      <w:color w:val="000000" w:themeColor="text1"/>
      <w:sz w:val="24"/>
      <w:szCs w:val="24"/>
    </w:rPr>
  </w:style>
  <w:style w:type="paragraph" w:styleId="EndnoteText">
    <w:name w:val="endnote text"/>
    <w:basedOn w:val="Normal"/>
    <w:link w:val="EndnoteTextChar"/>
    <w:uiPriority w:val="99"/>
    <w:semiHidden/>
    <w:unhideWhenUsed/>
    <w:rsid w:val="00B20FA7"/>
    <w:pPr>
      <w:spacing w:line="240" w:lineRule="auto"/>
    </w:pPr>
    <w:rPr>
      <w:sz w:val="20"/>
      <w:szCs w:val="20"/>
    </w:rPr>
  </w:style>
  <w:style w:type="character" w:customStyle="1" w:styleId="EndnoteTextChar">
    <w:name w:val="Endnote Text Char"/>
    <w:basedOn w:val="DefaultParagraphFont"/>
    <w:link w:val="EndnoteText"/>
    <w:uiPriority w:val="99"/>
    <w:semiHidden/>
    <w:rsid w:val="00B20FA7"/>
    <w:rPr>
      <w:rFonts w:ascii="Arial" w:hAnsi="Arial" w:cs="Arial"/>
      <w:color w:val="000000" w:themeColor="text1"/>
      <w:sz w:val="20"/>
      <w:szCs w:val="20"/>
    </w:rPr>
  </w:style>
  <w:style w:type="character" w:styleId="EndnoteReference">
    <w:name w:val="endnote reference"/>
    <w:basedOn w:val="DefaultParagraphFont"/>
    <w:uiPriority w:val="99"/>
    <w:semiHidden/>
    <w:unhideWhenUsed/>
    <w:rsid w:val="00B20FA7"/>
    <w:rPr>
      <w:vertAlign w:val="superscript"/>
    </w:rPr>
  </w:style>
  <w:style w:type="character" w:customStyle="1" w:styleId="Heading2Char">
    <w:name w:val="Heading 2 Char"/>
    <w:basedOn w:val="DefaultParagraphFont"/>
    <w:link w:val="Heading2"/>
    <w:uiPriority w:val="9"/>
    <w:semiHidden/>
    <w:rsid w:val="00AA40E4"/>
    <w:rPr>
      <w:rFonts w:asciiTheme="majorHAnsi" w:eastAsiaTheme="majorEastAsia" w:hAnsiTheme="majorHAnsi" w:cs="Times New Roman"/>
      <w:color w:val="2E74B5" w:themeColor="accent1" w:themeShade="BF"/>
      <w:sz w:val="26"/>
      <w:szCs w:val="26"/>
    </w:rPr>
  </w:style>
  <w:style w:type="paragraph" w:customStyle="1" w:styleId="JUDGMENTCONTINUED">
    <w:name w:val="JUDGMENT CONTINUED"/>
    <w:basedOn w:val="Normal"/>
    <w:next w:val="Normal"/>
    <w:qFormat/>
    <w:rsid w:val="00AA40E4"/>
    <w:pPr>
      <w:jc w:val="both"/>
    </w:pPr>
    <w:rPr>
      <w:rFonts w:ascii="Times New Roman" w:eastAsia="Times New Roman" w:hAnsi="Times New Roman" w:cs="Times New Roman"/>
      <w:color w:val="auto"/>
      <w:sz w:val="26"/>
      <w:szCs w:val="22"/>
    </w:rPr>
  </w:style>
  <w:style w:type="paragraph" w:customStyle="1" w:styleId="QUOTATION">
    <w:name w:val="QUOTATION"/>
    <w:basedOn w:val="Normal"/>
    <w:next w:val="JUDGMENTCONTINUED"/>
    <w:qFormat/>
    <w:rsid w:val="00AA40E4"/>
    <w:pPr>
      <w:ind w:left="720" w:right="720"/>
      <w:jc w:val="both"/>
    </w:pPr>
    <w:rPr>
      <w:rFonts w:ascii="Times New Roman" w:eastAsia="Times New Roman" w:hAnsi="Times New Roman" w:cs="Times New Roman"/>
      <w:color w:val="auto"/>
      <w:sz w:val="22"/>
      <w:szCs w:val="22"/>
    </w:rPr>
  </w:style>
  <w:style w:type="character" w:customStyle="1" w:styleId="UnresolvedMention1">
    <w:name w:val="Unresolved Mention1"/>
    <w:basedOn w:val="DefaultParagraphFont"/>
    <w:uiPriority w:val="99"/>
    <w:semiHidden/>
    <w:unhideWhenUsed/>
    <w:rsid w:val="00896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ane_w@yahoo.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yre@noltesmit.co.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uart@djlaw.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5" ma:contentTypeDescription="Create a new document." ma:contentTypeScope="" ma:versionID="610a30062021e402a681e420640fd29d">
  <xsd:schema xmlns:xsd="http://www.w3.org/2001/XMLSchema" xmlns:xs="http://www.w3.org/2001/XMLSchema" xmlns:p="http://schemas.microsoft.com/office/2006/metadata/properties" xmlns:ns3="51d8eaa0-293e-4b49-b7e8-af3655085324" xmlns:ns4="174cfbbd-a4b3-405f-949d-96311ae9159c" targetNamespace="http://schemas.microsoft.com/office/2006/metadata/properties" ma:root="true" ma:fieldsID="c52af6bc91b9798a04ff625b377966b7" ns3:_="" ns4:_="">
    <xsd:import namespace="51d8eaa0-293e-4b49-b7e8-af3655085324"/>
    <xsd:import namespace="174cfbbd-a4b3-405f-949d-96311ae915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B16A6-4F5D-4D98-AF50-4207178710A0}">
  <ds:schemaRefs>
    <ds:schemaRef ds:uri="http://schemas.microsoft.com/office/2006/metadata/properties"/>
    <ds:schemaRef ds:uri="http://schemas.microsoft.com/office/infopath/2007/PartnerControls"/>
    <ds:schemaRef ds:uri="51d8eaa0-293e-4b49-b7e8-af3655085324"/>
  </ds:schemaRefs>
</ds:datastoreItem>
</file>

<file path=customXml/itemProps2.xml><?xml version="1.0" encoding="utf-8"?>
<ds:datastoreItem xmlns:ds="http://schemas.openxmlformats.org/officeDocument/2006/customXml" ds:itemID="{22DAE4C2-49A1-41EB-BD83-739EA3DFF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8eaa0-293e-4b49-b7e8-af3655085324"/>
    <ds:schemaRef ds:uri="174cfbbd-a4b3-405f-949d-96311ae9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11EF4-8D04-4C0A-875D-77EB97250180}">
  <ds:schemaRefs>
    <ds:schemaRef ds:uri="http://schemas.microsoft.com/sharepoint/v3/contenttype/forms"/>
  </ds:schemaRefs>
</ds:datastoreItem>
</file>

<file path=customXml/itemProps4.xml><?xml version="1.0" encoding="utf-8"?>
<ds:datastoreItem xmlns:ds="http://schemas.openxmlformats.org/officeDocument/2006/customXml" ds:itemID="{117016E7-489C-4312-9641-50F9B274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3164</Words>
  <Characters>18037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NCengani@justice.gov.za</dc:creator>
  <cp:lastModifiedBy>Mary Bruce</cp:lastModifiedBy>
  <cp:revision>3</cp:revision>
  <cp:lastPrinted>2024-03-25T10:44:00Z</cp:lastPrinted>
  <dcterms:created xsi:type="dcterms:W3CDTF">2024-06-18T09:44:00Z</dcterms:created>
  <dcterms:modified xsi:type="dcterms:W3CDTF">2024-06-18T10:39:00Z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y fmtid="{D5CDD505-2E9C-101B-9397-08002B2CF9AE}" pid="3" name="GrammarlyDocumentId">
    <vt:lpwstr>b1cb1156703d6839323f17662ed451e36019bc31ea32e366171bed34fb52cf02</vt:lpwstr>
  </property>
</Properties>
</file>