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F6B36" w14:textId="77777777" w:rsidR="0009362C" w:rsidRDefault="0009362C" w:rsidP="0009362C">
      <w:pPr>
        <w:spacing w:after="0" w:line="360" w:lineRule="auto"/>
        <w:jc w:val="center"/>
        <w:rPr>
          <w:rFonts w:ascii="Times New Roman" w:hAnsi="Times New Roman" w:cs="Times New Roman"/>
          <w:sz w:val="26"/>
          <w:szCs w:val="26"/>
        </w:rPr>
      </w:pPr>
      <w:bookmarkStart w:id="0" w:name="_GoBack"/>
      <w:bookmarkEnd w:id="0"/>
      <w:r w:rsidRPr="00AC382D">
        <w:rPr>
          <w:b/>
          <w:noProof/>
          <w:lang w:eastAsia="en-ZA"/>
        </w:rPr>
        <w:drawing>
          <wp:inline distT="0" distB="0" distL="0" distR="0" wp14:anchorId="4C1F92D9" wp14:editId="72517448">
            <wp:extent cx="13335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4FE0B734" w14:textId="77777777" w:rsidR="0009362C" w:rsidRPr="00F47E33" w:rsidRDefault="0009362C" w:rsidP="0009362C">
      <w:pPr>
        <w:spacing w:after="0" w:line="360" w:lineRule="auto"/>
        <w:jc w:val="center"/>
        <w:rPr>
          <w:rFonts w:ascii="Times New Roman" w:hAnsi="Times New Roman" w:cs="Times New Roman"/>
          <w:sz w:val="26"/>
          <w:szCs w:val="26"/>
        </w:rPr>
      </w:pPr>
      <w:r w:rsidRPr="00F47E33">
        <w:rPr>
          <w:rFonts w:ascii="Times New Roman" w:hAnsi="Times New Roman" w:cs="Times New Roman"/>
          <w:sz w:val="26"/>
          <w:szCs w:val="26"/>
        </w:rPr>
        <w:t>IN THE HIGH COURT OF SOUTH AFRICA</w:t>
      </w:r>
    </w:p>
    <w:p w14:paraId="7AE135C1" w14:textId="77777777" w:rsidR="0009362C" w:rsidRDefault="0009362C" w:rsidP="0009362C">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w:t>
      </w:r>
      <w:r w:rsidRPr="00F47E33">
        <w:rPr>
          <w:rFonts w:ascii="Times New Roman" w:hAnsi="Times New Roman" w:cs="Times New Roman"/>
          <w:sz w:val="26"/>
          <w:szCs w:val="26"/>
        </w:rPr>
        <w:t>EASTERN CAPE LOCAL DIVISION, MTHATHA</w:t>
      </w:r>
      <w:r>
        <w:rPr>
          <w:rFonts w:ascii="Times New Roman" w:hAnsi="Times New Roman" w:cs="Times New Roman"/>
          <w:sz w:val="26"/>
          <w:szCs w:val="26"/>
        </w:rPr>
        <w:t>]</w:t>
      </w:r>
    </w:p>
    <w:p w14:paraId="2CD83496" w14:textId="3CFC64F4" w:rsidR="0009362C" w:rsidRPr="00F47E33" w:rsidRDefault="0009362C" w:rsidP="0009362C">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[Not reportable]</w:t>
      </w:r>
    </w:p>
    <w:p w14:paraId="7D66218D" w14:textId="1870AEF7" w:rsidR="0009362C" w:rsidRDefault="0009362C" w:rsidP="0009362C">
      <w:pPr>
        <w:spacing w:after="0" w:line="360" w:lineRule="auto"/>
        <w:ind w:left="6480" w:firstLine="135"/>
        <w:jc w:val="both"/>
        <w:rPr>
          <w:rFonts w:ascii="Times New Roman" w:hAnsi="Times New Roman" w:cs="Times New Roman"/>
          <w:sz w:val="26"/>
          <w:szCs w:val="26"/>
        </w:rPr>
      </w:pPr>
      <w:r w:rsidRPr="00F47E33">
        <w:rPr>
          <w:rFonts w:ascii="Times New Roman" w:hAnsi="Times New Roman" w:cs="Times New Roman"/>
          <w:sz w:val="26"/>
          <w:szCs w:val="26"/>
        </w:rPr>
        <w:t>CASE NO</w:t>
      </w:r>
      <w:r>
        <w:rPr>
          <w:rFonts w:ascii="Times New Roman" w:hAnsi="Times New Roman" w:cs="Times New Roman"/>
          <w:sz w:val="26"/>
          <w:szCs w:val="26"/>
        </w:rPr>
        <w:t xml:space="preserve">: 1343/2021                  </w:t>
      </w:r>
    </w:p>
    <w:p w14:paraId="52220DDD" w14:textId="165C29BE" w:rsidR="0009362C" w:rsidRDefault="0009362C" w:rsidP="0009362C">
      <w:pPr>
        <w:spacing w:after="0" w:line="360" w:lineRule="auto"/>
        <w:ind w:left="720"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Heard on: 1</w:t>
      </w:r>
      <w:r w:rsidR="00AF278C">
        <w:rPr>
          <w:rFonts w:ascii="Times New Roman" w:hAnsi="Times New Roman" w:cs="Times New Roman"/>
          <w:sz w:val="26"/>
          <w:szCs w:val="26"/>
        </w:rPr>
        <w:t>9/</w:t>
      </w:r>
      <w:r>
        <w:rPr>
          <w:rFonts w:ascii="Times New Roman" w:hAnsi="Times New Roman" w:cs="Times New Roman"/>
          <w:sz w:val="26"/>
          <w:szCs w:val="26"/>
        </w:rPr>
        <w:t>0</w:t>
      </w:r>
      <w:r w:rsidR="00AF278C">
        <w:rPr>
          <w:rFonts w:ascii="Times New Roman" w:hAnsi="Times New Roman" w:cs="Times New Roman"/>
          <w:sz w:val="26"/>
          <w:szCs w:val="26"/>
        </w:rPr>
        <w:t>5</w:t>
      </w:r>
      <w:r>
        <w:rPr>
          <w:rFonts w:ascii="Times New Roman" w:hAnsi="Times New Roman" w:cs="Times New Roman"/>
          <w:sz w:val="26"/>
          <w:szCs w:val="26"/>
        </w:rPr>
        <w:t>/2022</w:t>
      </w:r>
    </w:p>
    <w:p w14:paraId="5B1069B4" w14:textId="7714422A" w:rsidR="0009362C" w:rsidRDefault="0009362C" w:rsidP="0009362C">
      <w:pPr>
        <w:spacing w:after="0" w:line="360" w:lineRule="auto"/>
        <w:ind w:firstLine="72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Delivered on:  16/08/2022 </w:t>
      </w:r>
    </w:p>
    <w:p w14:paraId="2039A720" w14:textId="77777777" w:rsidR="006B7C21" w:rsidRDefault="006B7C21" w:rsidP="00F47E33">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In the matter between: </w:t>
      </w:r>
    </w:p>
    <w:p w14:paraId="5651D0A1" w14:textId="2C99B821" w:rsidR="00257595" w:rsidRPr="004F3522" w:rsidRDefault="001B2B66" w:rsidP="00F47E33">
      <w:pPr>
        <w:spacing w:after="0" w:line="360" w:lineRule="auto"/>
        <w:jc w:val="both"/>
        <w:rPr>
          <w:rFonts w:ascii="Times New Roman" w:hAnsi="Times New Roman" w:cs="Times New Roman"/>
          <w:b/>
          <w:sz w:val="26"/>
          <w:szCs w:val="26"/>
        </w:rPr>
      </w:pPr>
      <w:r w:rsidRPr="004F3522">
        <w:rPr>
          <w:rFonts w:ascii="Times New Roman" w:hAnsi="Times New Roman" w:cs="Times New Roman"/>
          <w:b/>
          <w:sz w:val="26"/>
          <w:szCs w:val="26"/>
        </w:rPr>
        <w:tab/>
      </w:r>
      <w:r w:rsidRPr="004F3522">
        <w:rPr>
          <w:rFonts w:ascii="Times New Roman" w:hAnsi="Times New Roman" w:cs="Times New Roman"/>
          <w:b/>
          <w:sz w:val="26"/>
          <w:szCs w:val="26"/>
        </w:rPr>
        <w:tab/>
      </w:r>
      <w:r w:rsidRPr="004F3522">
        <w:rPr>
          <w:rFonts w:ascii="Times New Roman" w:hAnsi="Times New Roman" w:cs="Times New Roman"/>
          <w:b/>
          <w:sz w:val="26"/>
          <w:szCs w:val="26"/>
        </w:rPr>
        <w:tab/>
      </w:r>
      <w:r w:rsidRPr="004F3522">
        <w:rPr>
          <w:rFonts w:ascii="Times New Roman" w:hAnsi="Times New Roman" w:cs="Times New Roman"/>
          <w:b/>
          <w:sz w:val="26"/>
          <w:szCs w:val="26"/>
        </w:rPr>
        <w:tab/>
        <w:t xml:space="preserve">           </w:t>
      </w:r>
      <w:r w:rsidR="00B0434A" w:rsidRPr="004F3522">
        <w:rPr>
          <w:rFonts w:ascii="Times New Roman" w:hAnsi="Times New Roman" w:cs="Times New Roman"/>
          <w:b/>
          <w:sz w:val="26"/>
          <w:szCs w:val="26"/>
        </w:rPr>
        <w:t xml:space="preserve"> </w:t>
      </w:r>
      <w:r w:rsidRPr="004F3522">
        <w:rPr>
          <w:rFonts w:ascii="Times New Roman" w:hAnsi="Times New Roman" w:cs="Times New Roman"/>
          <w:b/>
          <w:sz w:val="26"/>
          <w:szCs w:val="26"/>
        </w:rPr>
        <w:t xml:space="preserve">           </w:t>
      </w:r>
    </w:p>
    <w:p w14:paraId="05AC2915" w14:textId="59B26AFB" w:rsidR="0063752D" w:rsidRPr="0009362C" w:rsidRDefault="00A6230B" w:rsidP="00F47E33">
      <w:pPr>
        <w:spacing w:after="0" w:line="360" w:lineRule="auto"/>
        <w:jc w:val="both"/>
        <w:rPr>
          <w:rFonts w:ascii="Times New Roman" w:hAnsi="Times New Roman" w:cs="Times New Roman"/>
          <w:sz w:val="26"/>
          <w:szCs w:val="26"/>
        </w:rPr>
      </w:pPr>
      <w:r w:rsidRPr="0009362C">
        <w:rPr>
          <w:rFonts w:ascii="Times New Roman" w:hAnsi="Times New Roman" w:cs="Times New Roman"/>
          <w:sz w:val="26"/>
          <w:szCs w:val="26"/>
        </w:rPr>
        <w:t xml:space="preserve">GCINIKHAYA NGCANGULA </w:t>
      </w:r>
      <w:r w:rsidRPr="0009362C">
        <w:rPr>
          <w:rFonts w:ascii="Times New Roman" w:hAnsi="Times New Roman" w:cs="Times New Roman"/>
          <w:sz w:val="26"/>
          <w:szCs w:val="26"/>
        </w:rPr>
        <w:tab/>
      </w:r>
      <w:r w:rsidR="00223208" w:rsidRPr="0009362C">
        <w:rPr>
          <w:rFonts w:ascii="Times New Roman" w:hAnsi="Times New Roman" w:cs="Times New Roman"/>
          <w:sz w:val="26"/>
          <w:szCs w:val="26"/>
        </w:rPr>
        <w:t xml:space="preserve"> </w:t>
      </w:r>
      <w:r w:rsidR="00223208" w:rsidRPr="0009362C">
        <w:rPr>
          <w:rFonts w:ascii="Times New Roman" w:hAnsi="Times New Roman" w:cs="Times New Roman"/>
          <w:sz w:val="26"/>
          <w:szCs w:val="26"/>
        </w:rPr>
        <w:tab/>
      </w:r>
      <w:r w:rsidR="00223208" w:rsidRPr="0009362C">
        <w:rPr>
          <w:rFonts w:ascii="Times New Roman" w:hAnsi="Times New Roman" w:cs="Times New Roman"/>
          <w:sz w:val="26"/>
          <w:szCs w:val="26"/>
        </w:rPr>
        <w:tab/>
      </w:r>
      <w:r w:rsidR="00223208" w:rsidRPr="0009362C">
        <w:rPr>
          <w:rFonts w:ascii="Times New Roman" w:hAnsi="Times New Roman" w:cs="Times New Roman"/>
          <w:sz w:val="26"/>
          <w:szCs w:val="26"/>
        </w:rPr>
        <w:tab/>
      </w:r>
      <w:r w:rsidR="004F3522" w:rsidRPr="0009362C">
        <w:rPr>
          <w:rFonts w:ascii="Times New Roman" w:hAnsi="Times New Roman" w:cs="Times New Roman"/>
          <w:sz w:val="26"/>
          <w:szCs w:val="26"/>
        </w:rPr>
        <w:tab/>
      </w:r>
      <w:r w:rsidR="00223208" w:rsidRPr="0009362C">
        <w:rPr>
          <w:rFonts w:ascii="Times New Roman" w:hAnsi="Times New Roman" w:cs="Times New Roman"/>
          <w:sz w:val="26"/>
          <w:szCs w:val="26"/>
        </w:rPr>
        <w:tab/>
      </w:r>
      <w:r w:rsidR="00223208" w:rsidRPr="0009362C">
        <w:rPr>
          <w:rFonts w:ascii="Times New Roman" w:hAnsi="Times New Roman" w:cs="Times New Roman"/>
          <w:sz w:val="26"/>
          <w:szCs w:val="26"/>
        </w:rPr>
        <w:tab/>
      </w:r>
      <w:r w:rsidR="0063752D" w:rsidRPr="0009362C">
        <w:rPr>
          <w:rFonts w:ascii="Times New Roman" w:hAnsi="Times New Roman" w:cs="Times New Roman"/>
          <w:sz w:val="26"/>
          <w:szCs w:val="26"/>
        </w:rPr>
        <w:t>Applicant</w:t>
      </w:r>
    </w:p>
    <w:p w14:paraId="70F55268" w14:textId="2BCE4956" w:rsidR="008C2AF8" w:rsidRPr="0009362C" w:rsidRDefault="00A6230B" w:rsidP="00F47E33">
      <w:pPr>
        <w:spacing w:after="0" w:line="360" w:lineRule="auto"/>
        <w:jc w:val="both"/>
        <w:rPr>
          <w:rFonts w:ascii="Times New Roman" w:hAnsi="Times New Roman" w:cs="Times New Roman"/>
          <w:sz w:val="26"/>
          <w:szCs w:val="26"/>
        </w:rPr>
      </w:pPr>
      <w:r w:rsidRPr="0009362C">
        <w:rPr>
          <w:rFonts w:ascii="Times New Roman" w:hAnsi="Times New Roman" w:cs="Times New Roman"/>
          <w:sz w:val="26"/>
          <w:szCs w:val="26"/>
        </w:rPr>
        <w:t>a</w:t>
      </w:r>
      <w:r w:rsidR="008C2AF8" w:rsidRPr="0009362C">
        <w:rPr>
          <w:rFonts w:ascii="Times New Roman" w:hAnsi="Times New Roman" w:cs="Times New Roman"/>
          <w:sz w:val="26"/>
          <w:szCs w:val="26"/>
        </w:rPr>
        <w:t>nd</w:t>
      </w:r>
    </w:p>
    <w:p w14:paraId="0E6758A5" w14:textId="1740809D" w:rsidR="008C2AF8" w:rsidRPr="0009362C" w:rsidRDefault="00A6230B" w:rsidP="00F47E33">
      <w:pPr>
        <w:spacing w:after="0" w:line="360" w:lineRule="auto"/>
        <w:jc w:val="both"/>
        <w:rPr>
          <w:rFonts w:ascii="Times New Roman" w:hAnsi="Times New Roman" w:cs="Times New Roman"/>
          <w:sz w:val="26"/>
          <w:szCs w:val="26"/>
        </w:rPr>
      </w:pPr>
      <w:r w:rsidRPr="0009362C">
        <w:rPr>
          <w:rFonts w:ascii="Times New Roman" w:hAnsi="Times New Roman" w:cs="Times New Roman"/>
          <w:sz w:val="26"/>
          <w:szCs w:val="26"/>
        </w:rPr>
        <w:t xml:space="preserve">MHLONTLO LOCAL MUNICIPALITY </w:t>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r>
      <w:r w:rsidR="004F3522" w:rsidRPr="0009362C">
        <w:rPr>
          <w:rFonts w:ascii="Times New Roman" w:hAnsi="Times New Roman" w:cs="Times New Roman"/>
          <w:sz w:val="26"/>
          <w:szCs w:val="26"/>
        </w:rPr>
        <w:t xml:space="preserve">       </w:t>
      </w:r>
      <w:r w:rsidR="0009362C">
        <w:rPr>
          <w:rFonts w:ascii="Times New Roman" w:hAnsi="Times New Roman" w:cs="Times New Roman"/>
          <w:sz w:val="26"/>
          <w:szCs w:val="26"/>
        </w:rPr>
        <w:t xml:space="preserve"> </w:t>
      </w:r>
      <w:r w:rsidR="004F3522" w:rsidRPr="0009362C">
        <w:rPr>
          <w:rFonts w:ascii="Times New Roman" w:hAnsi="Times New Roman" w:cs="Times New Roman"/>
          <w:sz w:val="26"/>
          <w:szCs w:val="26"/>
        </w:rPr>
        <w:t xml:space="preserve"> </w:t>
      </w:r>
      <w:r w:rsidR="0009362C">
        <w:rPr>
          <w:rFonts w:ascii="Times New Roman" w:hAnsi="Times New Roman" w:cs="Times New Roman"/>
          <w:sz w:val="26"/>
          <w:szCs w:val="26"/>
        </w:rPr>
        <w:t xml:space="preserve">  </w:t>
      </w:r>
      <w:r w:rsidR="004F3522" w:rsidRPr="0009362C">
        <w:rPr>
          <w:rFonts w:ascii="Times New Roman" w:hAnsi="Times New Roman" w:cs="Times New Roman"/>
          <w:sz w:val="26"/>
          <w:szCs w:val="26"/>
        </w:rPr>
        <w:t xml:space="preserve"> </w:t>
      </w:r>
      <w:r w:rsidR="002F6C4C" w:rsidRPr="0009362C">
        <w:rPr>
          <w:rFonts w:ascii="Times New Roman" w:hAnsi="Times New Roman" w:cs="Times New Roman"/>
          <w:sz w:val="26"/>
          <w:szCs w:val="26"/>
        </w:rPr>
        <w:t>F</w:t>
      </w:r>
      <w:r w:rsidR="0063752D" w:rsidRPr="0009362C">
        <w:rPr>
          <w:rFonts w:ascii="Times New Roman" w:hAnsi="Times New Roman" w:cs="Times New Roman"/>
          <w:sz w:val="26"/>
          <w:szCs w:val="26"/>
        </w:rPr>
        <w:t>irst R</w:t>
      </w:r>
      <w:r w:rsidR="008C2AF8" w:rsidRPr="0009362C">
        <w:rPr>
          <w:rFonts w:ascii="Times New Roman" w:hAnsi="Times New Roman" w:cs="Times New Roman"/>
          <w:sz w:val="26"/>
          <w:szCs w:val="26"/>
        </w:rPr>
        <w:t xml:space="preserve">espondent </w:t>
      </w:r>
    </w:p>
    <w:p w14:paraId="2DC064F8" w14:textId="4B26DFD3" w:rsidR="008C2AF8" w:rsidRPr="0009362C" w:rsidRDefault="00A6230B" w:rsidP="00F47E33">
      <w:pPr>
        <w:spacing w:after="0" w:line="360" w:lineRule="auto"/>
        <w:jc w:val="both"/>
        <w:rPr>
          <w:rFonts w:ascii="Times New Roman" w:hAnsi="Times New Roman" w:cs="Times New Roman"/>
          <w:sz w:val="26"/>
          <w:szCs w:val="26"/>
        </w:rPr>
      </w:pPr>
      <w:r w:rsidRPr="0009362C">
        <w:rPr>
          <w:rFonts w:ascii="Times New Roman" w:hAnsi="Times New Roman" w:cs="Times New Roman"/>
          <w:sz w:val="26"/>
          <w:szCs w:val="26"/>
        </w:rPr>
        <w:t xml:space="preserve">THE SPEAKER: MHLONLTO LOCAL MUNICIPALITY </w:t>
      </w:r>
      <w:r w:rsidR="004F3522" w:rsidRPr="0009362C">
        <w:rPr>
          <w:rFonts w:ascii="Times New Roman" w:hAnsi="Times New Roman" w:cs="Times New Roman"/>
          <w:sz w:val="26"/>
          <w:szCs w:val="26"/>
        </w:rPr>
        <w:t xml:space="preserve"> </w:t>
      </w:r>
      <w:r w:rsidRPr="0009362C">
        <w:rPr>
          <w:rFonts w:ascii="Times New Roman" w:hAnsi="Times New Roman" w:cs="Times New Roman"/>
          <w:sz w:val="26"/>
          <w:szCs w:val="26"/>
        </w:rPr>
        <w:t xml:space="preserve"> </w:t>
      </w:r>
      <w:r w:rsidR="004F3522" w:rsidRPr="0009362C">
        <w:rPr>
          <w:rFonts w:ascii="Times New Roman" w:hAnsi="Times New Roman" w:cs="Times New Roman"/>
          <w:sz w:val="26"/>
          <w:szCs w:val="26"/>
        </w:rPr>
        <w:t xml:space="preserve"> </w:t>
      </w:r>
      <w:r w:rsidR="0009362C">
        <w:rPr>
          <w:rFonts w:ascii="Times New Roman" w:hAnsi="Times New Roman" w:cs="Times New Roman"/>
          <w:sz w:val="26"/>
          <w:szCs w:val="26"/>
        </w:rPr>
        <w:t xml:space="preserve">         </w:t>
      </w:r>
      <w:r w:rsidR="0063752D" w:rsidRPr="0009362C">
        <w:rPr>
          <w:rFonts w:ascii="Times New Roman" w:hAnsi="Times New Roman" w:cs="Times New Roman"/>
          <w:sz w:val="26"/>
          <w:szCs w:val="26"/>
        </w:rPr>
        <w:t>S</w:t>
      </w:r>
      <w:r w:rsidR="008C2AF8" w:rsidRPr="0009362C">
        <w:rPr>
          <w:rFonts w:ascii="Times New Roman" w:hAnsi="Times New Roman" w:cs="Times New Roman"/>
          <w:sz w:val="26"/>
          <w:szCs w:val="26"/>
        </w:rPr>
        <w:t xml:space="preserve">econd </w:t>
      </w:r>
      <w:r w:rsidR="0063752D" w:rsidRPr="0009362C">
        <w:rPr>
          <w:rFonts w:ascii="Times New Roman" w:hAnsi="Times New Roman" w:cs="Times New Roman"/>
          <w:sz w:val="26"/>
          <w:szCs w:val="26"/>
        </w:rPr>
        <w:t>R</w:t>
      </w:r>
      <w:r w:rsidR="008C2AF8" w:rsidRPr="0009362C">
        <w:rPr>
          <w:rFonts w:ascii="Times New Roman" w:hAnsi="Times New Roman" w:cs="Times New Roman"/>
          <w:sz w:val="26"/>
          <w:szCs w:val="26"/>
        </w:rPr>
        <w:t xml:space="preserve">espondent </w:t>
      </w:r>
    </w:p>
    <w:p w14:paraId="5FECBCBE" w14:textId="3221851C" w:rsidR="00A6230B" w:rsidRPr="0009362C" w:rsidRDefault="00A6230B" w:rsidP="00F47E33">
      <w:pPr>
        <w:spacing w:after="0" w:line="360" w:lineRule="auto"/>
        <w:jc w:val="both"/>
        <w:rPr>
          <w:rFonts w:ascii="Times New Roman" w:hAnsi="Times New Roman" w:cs="Times New Roman"/>
          <w:sz w:val="26"/>
          <w:szCs w:val="26"/>
        </w:rPr>
      </w:pPr>
      <w:r w:rsidRPr="0009362C">
        <w:rPr>
          <w:rFonts w:ascii="Times New Roman" w:hAnsi="Times New Roman" w:cs="Times New Roman"/>
          <w:sz w:val="26"/>
          <w:szCs w:val="26"/>
        </w:rPr>
        <w:t>THE MUNICIPAL MANAGER</w:t>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t xml:space="preserve">      </w:t>
      </w:r>
      <w:r w:rsidR="004F3522" w:rsidRPr="0009362C">
        <w:rPr>
          <w:rFonts w:ascii="Times New Roman" w:hAnsi="Times New Roman" w:cs="Times New Roman"/>
          <w:sz w:val="26"/>
          <w:szCs w:val="26"/>
        </w:rPr>
        <w:t xml:space="preserve"> </w:t>
      </w:r>
      <w:r w:rsidR="0009362C">
        <w:rPr>
          <w:rFonts w:ascii="Times New Roman" w:hAnsi="Times New Roman" w:cs="Times New Roman"/>
          <w:sz w:val="26"/>
          <w:szCs w:val="26"/>
        </w:rPr>
        <w:t xml:space="preserve">  </w:t>
      </w:r>
      <w:r w:rsidR="004F3522" w:rsidRPr="0009362C">
        <w:rPr>
          <w:rFonts w:ascii="Times New Roman" w:hAnsi="Times New Roman" w:cs="Times New Roman"/>
          <w:sz w:val="26"/>
          <w:szCs w:val="26"/>
        </w:rPr>
        <w:t xml:space="preserve"> </w:t>
      </w:r>
      <w:r w:rsidRPr="0009362C">
        <w:rPr>
          <w:rFonts w:ascii="Times New Roman" w:hAnsi="Times New Roman" w:cs="Times New Roman"/>
          <w:sz w:val="26"/>
          <w:szCs w:val="26"/>
        </w:rPr>
        <w:t>Third Respondent</w:t>
      </w:r>
    </w:p>
    <w:p w14:paraId="05896F02" w14:textId="77777777" w:rsidR="00C202B3" w:rsidRDefault="00C202B3" w:rsidP="00F47E33">
      <w:pPr>
        <w:spacing w:after="0" w:line="360" w:lineRule="auto"/>
        <w:jc w:val="both"/>
        <w:rPr>
          <w:rFonts w:ascii="Times New Roman" w:hAnsi="Times New Roman" w:cs="Times New Roman"/>
          <w:b/>
          <w:i/>
          <w:sz w:val="26"/>
          <w:szCs w:val="26"/>
        </w:rPr>
      </w:pPr>
    </w:p>
    <w:p w14:paraId="4E8FF6F6" w14:textId="30E61391" w:rsidR="00A6230B" w:rsidRPr="004F3522" w:rsidRDefault="00A6230B" w:rsidP="00F47E33">
      <w:pPr>
        <w:spacing w:after="0" w:line="360" w:lineRule="auto"/>
        <w:jc w:val="both"/>
        <w:rPr>
          <w:rFonts w:ascii="Times New Roman" w:hAnsi="Times New Roman" w:cs="Times New Roman"/>
          <w:b/>
          <w:i/>
          <w:sz w:val="26"/>
          <w:szCs w:val="26"/>
        </w:rPr>
      </w:pPr>
      <w:r w:rsidRPr="004F3522">
        <w:rPr>
          <w:rFonts w:ascii="Times New Roman" w:hAnsi="Times New Roman" w:cs="Times New Roman"/>
          <w:b/>
          <w:i/>
          <w:sz w:val="26"/>
          <w:szCs w:val="26"/>
        </w:rPr>
        <w:t>WITH WHICH IS CONSOLIDATED:</w:t>
      </w:r>
    </w:p>
    <w:p w14:paraId="563B0CA6" w14:textId="0A534F0B" w:rsidR="00A6230B" w:rsidRPr="0009362C" w:rsidRDefault="00A6230B" w:rsidP="00F47E33">
      <w:pPr>
        <w:spacing w:after="0" w:line="360" w:lineRule="auto"/>
        <w:jc w:val="both"/>
        <w:rPr>
          <w:rFonts w:ascii="Times New Roman" w:hAnsi="Times New Roman" w:cs="Times New Roman"/>
          <w:sz w:val="26"/>
          <w:szCs w:val="26"/>
        </w:rPr>
      </w:pPr>
      <w:r w:rsidRPr="0009362C">
        <w:rPr>
          <w:rFonts w:ascii="Times New Roman" w:hAnsi="Times New Roman" w:cs="Times New Roman"/>
          <w:i/>
          <w:sz w:val="26"/>
          <w:szCs w:val="26"/>
        </w:rPr>
        <w:tab/>
      </w:r>
      <w:r w:rsidRPr="0009362C">
        <w:rPr>
          <w:rFonts w:ascii="Times New Roman" w:hAnsi="Times New Roman" w:cs="Times New Roman"/>
          <w:i/>
          <w:sz w:val="26"/>
          <w:szCs w:val="26"/>
        </w:rPr>
        <w:tab/>
      </w:r>
      <w:r w:rsidRPr="0009362C">
        <w:rPr>
          <w:rFonts w:ascii="Times New Roman" w:hAnsi="Times New Roman" w:cs="Times New Roman"/>
          <w:i/>
          <w:sz w:val="26"/>
          <w:szCs w:val="26"/>
        </w:rPr>
        <w:tab/>
      </w:r>
      <w:r w:rsidRPr="0009362C">
        <w:rPr>
          <w:rFonts w:ascii="Times New Roman" w:hAnsi="Times New Roman" w:cs="Times New Roman"/>
          <w:i/>
          <w:sz w:val="26"/>
          <w:szCs w:val="26"/>
        </w:rPr>
        <w:tab/>
      </w:r>
      <w:r w:rsidRPr="0009362C">
        <w:rPr>
          <w:rFonts w:ascii="Times New Roman" w:hAnsi="Times New Roman" w:cs="Times New Roman"/>
          <w:i/>
          <w:sz w:val="26"/>
          <w:szCs w:val="26"/>
        </w:rPr>
        <w:tab/>
      </w:r>
      <w:r w:rsidRPr="0009362C">
        <w:rPr>
          <w:rFonts w:ascii="Times New Roman" w:hAnsi="Times New Roman" w:cs="Times New Roman"/>
          <w:i/>
          <w:sz w:val="26"/>
          <w:szCs w:val="26"/>
        </w:rPr>
        <w:tab/>
      </w:r>
      <w:r w:rsidRPr="0009362C">
        <w:rPr>
          <w:rFonts w:ascii="Times New Roman" w:hAnsi="Times New Roman" w:cs="Times New Roman"/>
          <w:i/>
          <w:sz w:val="26"/>
          <w:szCs w:val="26"/>
        </w:rPr>
        <w:tab/>
      </w:r>
      <w:r w:rsidRPr="0009362C">
        <w:rPr>
          <w:rFonts w:ascii="Times New Roman" w:hAnsi="Times New Roman" w:cs="Times New Roman"/>
          <w:i/>
          <w:sz w:val="26"/>
          <w:szCs w:val="26"/>
        </w:rPr>
        <w:tab/>
      </w:r>
      <w:r w:rsidRPr="0009362C">
        <w:rPr>
          <w:rFonts w:ascii="Times New Roman" w:hAnsi="Times New Roman" w:cs="Times New Roman"/>
          <w:i/>
          <w:sz w:val="26"/>
          <w:szCs w:val="26"/>
        </w:rPr>
        <w:tab/>
      </w:r>
      <w:r w:rsidRPr="0009362C">
        <w:rPr>
          <w:rFonts w:ascii="Times New Roman" w:hAnsi="Times New Roman" w:cs="Times New Roman"/>
          <w:sz w:val="26"/>
          <w:szCs w:val="26"/>
        </w:rPr>
        <w:t>CASE NO: 1466/2021</w:t>
      </w:r>
    </w:p>
    <w:p w14:paraId="390C21FA" w14:textId="37C81D80" w:rsidR="00A6230B" w:rsidRPr="006B7C21" w:rsidRDefault="001758B7" w:rsidP="00F47E33">
      <w:pPr>
        <w:spacing w:after="0" w:line="360" w:lineRule="auto"/>
        <w:jc w:val="both"/>
        <w:rPr>
          <w:rFonts w:ascii="Times New Roman" w:hAnsi="Times New Roman" w:cs="Times New Roman"/>
          <w:b/>
          <w:sz w:val="26"/>
          <w:szCs w:val="26"/>
        </w:rPr>
      </w:pPr>
      <w:r w:rsidRPr="006B7C21">
        <w:rPr>
          <w:rFonts w:ascii="Times New Roman" w:hAnsi="Times New Roman" w:cs="Times New Roman"/>
          <w:b/>
          <w:sz w:val="26"/>
          <w:szCs w:val="26"/>
        </w:rPr>
        <w:t>In the matter between:</w:t>
      </w:r>
    </w:p>
    <w:p w14:paraId="78320F30" w14:textId="77777777" w:rsidR="006F05A0" w:rsidRDefault="006F05A0" w:rsidP="00F47E33">
      <w:pPr>
        <w:spacing w:after="0" w:line="360" w:lineRule="auto"/>
        <w:jc w:val="both"/>
        <w:rPr>
          <w:rFonts w:ascii="Times New Roman" w:hAnsi="Times New Roman" w:cs="Times New Roman"/>
          <w:sz w:val="26"/>
          <w:szCs w:val="26"/>
        </w:rPr>
      </w:pPr>
    </w:p>
    <w:p w14:paraId="77B807D1" w14:textId="1933EDAF" w:rsidR="00A6230B" w:rsidRPr="0009362C" w:rsidRDefault="00A6230B" w:rsidP="00F47E33">
      <w:pPr>
        <w:spacing w:after="0" w:line="360" w:lineRule="auto"/>
        <w:jc w:val="both"/>
        <w:rPr>
          <w:rFonts w:ascii="Times New Roman" w:hAnsi="Times New Roman" w:cs="Times New Roman"/>
          <w:sz w:val="26"/>
          <w:szCs w:val="26"/>
        </w:rPr>
      </w:pPr>
      <w:r w:rsidRPr="0009362C">
        <w:rPr>
          <w:rFonts w:ascii="Times New Roman" w:hAnsi="Times New Roman" w:cs="Times New Roman"/>
          <w:sz w:val="26"/>
          <w:szCs w:val="26"/>
        </w:rPr>
        <w:t>MALIBONGWE NQEKEHO</w:t>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t xml:space="preserve">Applicant </w:t>
      </w:r>
    </w:p>
    <w:p w14:paraId="23566B16" w14:textId="207D81F7" w:rsidR="00A6230B" w:rsidRPr="0009362C" w:rsidRDefault="00A6230B" w:rsidP="00F47E33">
      <w:pPr>
        <w:spacing w:after="0" w:line="360" w:lineRule="auto"/>
        <w:jc w:val="both"/>
        <w:rPr>
          <w:rFonts w:ascii="Times New Roman" w:hAnsi="Times New Roman" w:cs="Times New Roman"/>
          <w:sz w:val="26"/>
          <w:szCs w:val="26"/>
        </w:rPr>
      </w:pPr>
      <w:r w:rsidRPr="0009362C">
        <w:rPr>
          <w:rFonts w:ascii="Times New Roman" w:hAnsi="Times New Roman" w:cs="Times New Roman"/>
          <w:sz w:val="26"/>
          <w:szCs w:val="26"/>
        </w:rPr>
        <w:t xml:space="preserve">and </w:t>
      </w:r>
    </w:p>
    <w:p w14:paraId="457D0189" w14:textId="426D9DDB" w:rsidR="004F3522" w:rsidRPr="0009362C" w:rsidRDefault="004F3522" w:rsidP="004F3522">
      <w:pPr>
        <w:spacing w:after="0" w:line="360" w:lineRule="auto"/>
        <w:jc w:val="both"/>
        <w:rPr>
          <w:rFonts w:ascii="Times New Roman" w:hAnsi="Times New Roman" w:cs="Times New Roman"/>
          <w:sz w:val="26"/>
          <w:szCs w:val="26"/>
        </w:rPr>
      </w:pPr>
      <w:r w:rsidRPr="0009362C">
        <w:rPr>
          <w:rFonts w:ascii="Times New Roman" w:hAnsi="Times New Roman" w:cs="Times New Roman"/>
          <w:sz w:val="26"/>
          <w:szCs w:val="26"/>
        </w:rPr>
        <w:t xml:space="preserve">MHLONTLO LOCAL MUNICIPALITY </w:t>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t xml:space="preserve">    </w:t>
      </w:r>
      <w:r w:rsidR="0009362C">
        <w:rPr>
          <w:rFonts w:ascii="Times New Roman" w:hAnsi="Times New Roman" w:cs="Times New Roman"/>
          <w:sz w:val="26"/>
          <w:szCs w:val="26"/>
        </w:rPr>
        <w:t xml:space="preserve">   </w:t>
      </w:r>
      <w:r w:rsidRPr="0009362C">
        <w:rPr>
          <w:rFonts w:ascii="Times New Roman" w:hAnsi="Times New Roman" w:cs="Times New Roman"/>
          <w:sz w:val="26"/>
          <w:szCs w:val="26"/>
        </w:rPr>
        <w:t xml:space="preserve">     First Respondent </w:t>
      </w:r>
    </w:p>
    <w:p w14:paraId="67B0B072" w14:textId="7FBE6B8D" w:rsidR="004F3522" w:rsidRPr="0009362C" w:rsidRDefault="004F3522" w:rsidP="004F3522">
      <w:pPr>
        <w:spacing w:after="0" w:line="360" w:lineRule="auto"/>
        <w:jc w:val="both"/>
        <w:rPr>
          <w:rFonts w:ascii="Times New Roman" w:hAnsi="Times New Roman" w:cs="Times New Roman"/>
          <w:sz w:val="26"/>
          <w:szCs w:val="26"/>
        </w:rPr>
      </w:pPr>
      <w:r w:rsidRPr="0009362C">
        <w:rPr>
          <w:rFonts w:ascii="Times New Roman" w:hAnsi="Times New Roman" w:cs="Times New Roman"/>
          <w:sz w:val="26"/>
          <w:szCs w:val="26"/>
        </w:rPr>
        <w:t>THE SPEAKER: MHLONT</w:t>
      </w:r>
      <w:r w:rsidR="00A10C3A">
        <w:rPr>
          <w:rFonts w:ascii="Times New Roman" w:hAnsi="Times New Roman" w:cs="Times New Roman"/>
          <w:sz w:val="26"/>
          <w:szCs w:val="26"/>
        </w:rPr>
        <w:t>L</w:t>
      </w:r>
      <w:r w:rsidRPr="0009362C">
        <w:rPr>
          <w:rFonts w:ascii="Times New Roman" w:hAnsi="Times New Roman" w:cs="Times New Roman"/>
          <w:sz w:val="26"/>
          <w:szCs w:val="26"/>
        </w:rPr>
        <w:t xml:space="preserve">O LOCAL MUNICIPALITY    </w:t>
      </w:r>
      <w:r w:rsidR="0009362C">
        <w:rPr>
          <w:rFonts w:ascii="Times New Roman" w:hAnsi="Times New Roman" w:cs="Times New Roman"/>
          <w:sz w:val="26"/>
          <w:szCs w:val="26"/>
        </w:rPr>
        <w:t xml:space="preserve">         </w:t>
      </w:r>
      <w:r w:rsidRPr="0009362C">
        <w:rPr>
          <w:rFonts w:ascii="Times New Roman" w:hAnsi="Times New Roman" w:cs="Times New Roman"/>
          <w:sz w:val="26"/>
          <w:szCs w:val="26"/>
        </w:rPr>
        <w:t xml:space="preserve">Second Respondent </w:t>
      </w:r>
    </w:p>
    <w:p w14:paraId="006DF0CA" w14:textId="0673D1BD" w:rsidR="004F3522" w:rsidRPr="0009362C" w:rsidRDefault="004F3522" w:rsidP="004F3522">
      <w:pPr>
        <w:spacing w:after="0" w:line="360" w:lineRule="auto"/>
        <w:jc w:val="both"/>
        <w:rPr>
          <w:rFonts w:ascii="Times New Roman" w:hAnsi="Times New Roman" w:cs="Times New Roman"/>
          <w:sz w:val="26"/>
          <w:szCs w:val="26"/>
        </w:rPr>
      </w:pPr>
      <w:r w:rsidRPr="0009362C">
        <w:rPr>
          <w:rFonts w:ascii="Times New Roman" w:hAnsi="Times New Roman" w:cs="Times New Roman"/>
          <w:sz w:val="26"/>
          <w:szCs w:val="26"/>
        </w:rPr>
        <w:t>THE MUNICIPAL MANAGER</w:t>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r>
      <w:r w:rsidRPr="0009362C">
        <w:rPr>
          <w:rFonts w:ascii="Times New Roman" w:hAnsi="Times New Roman" w:cs="Times New Roman"/>
          <w:sz w:val="26"/>
          <w:szCs w:val="26"/>
        </w:rPr>
        <w:tab/>
        <w:t xml:space="preserve">       </w:t>
      </w:r>
      <w:r w:rsidR="0009362C">
        <w:rPr>
          <w:rFonts w:ascii="Times New Roman" w:hAnsi="Times New Roman" w:cs="Times New Roman"/>
          <w:sz w:val="26"/>
          <w:szCs w:val="26"/>
        </w:rPr>
        <w:t xml:space="preserve">  </w:t>
      </w:r>
      <w:r w:rsidRPr="0009362C">
        <w:rPr>
          <w:rFonts w:ascii="Times New Roman" w:hAnsi="Times New Roman" w:cs="Times New Roman"/>
          <w:sz w:val="26"/>
          <w:szCs w:val="26"/>
        </w:rPr>
        <w:t xml:space="preserve"> Third Respondent</w:t>
      </w:r>
    </w:p>
    <w:p w14:paraId="26501BFE" w14:textId="0D391836" w:rsidR="007228E6" w:rsidRPr="00F47E33" w:rsidRDefault="007228E6" w:rsidP="00F47E33">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_____________________________________________________________________</w:t>
      </w:r>
    </w:p>
    <w:p w14:paraId="6A4E9B5D" w14:textId="58852CAA" w:rsidR="007228E6" w:rsidRPr="00B0434A" w:rsidRDefault="00223208" w:rsidP="00F47E33">
      <w:pPr>
        <w:spacing w:after="0" w:line="360" w:lineRule="auto"/>
        <w:ind w:left="1440" w:firstLine="72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JUDGMENT</w:t>
      </w:r>
    </w:p>
    <w:p w14:paraId="64AB328C" w14:textId="12FDAD89" w:rsidR="007228E6" w:rsidRPr="00F47E33" w:rsidRDefault="007228E6" w:rsidP="00F47E33">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_____________________________________________________________________</w:t>
      </w:r>
    </w:p>
    <w:p w14:paraId="16BF170E" w14:textId="77777777" w:rsidR="002F6C4C" w:rsidRPr="00F47E33" w:rsidRDefault="002F6C4C" w:rsidP="00F47E33">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lastRenderedPageBreak/>
        <w:t>NHLANGULELA DJP</w:t>
      </w:r>
    </w:p>
    <w:p w14:paraId="3BE420AB" w14:textId="77777777" w:rsidR="00017EE5" w:rsidRPr="00F47E33" w:rsidRDefault="00017EE5" w:rsidP="00F47E33">
      <w:pPr>
        <w:spacing w:after="0" w:line="360" w:lineRule="auto"/>
        <w:jc w:val="both"/>
        <w:rPr>
          <w:rFonts w:ascii="Times New Roman" w:hAnsi="Times New Roman" w:cs="Times New Roman"/>
          <w:sz w:val="26"/>
          <w:szCs w:val="26"/>
        </w:rPr>
      </w:pPr>
    </w:p>
    <w:p w14:paraId="57E89830" w14:textId="3207897D" w:rsidR="00D30036" w:rsidRDefault="00017EE5" w:rsidP="00DB45D1">
      <w:pPr>
        <w:tabs>
          <w:tab w:val="left" w:pos="851"/>
        </w:tabs>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[1]</w:t>
      </w:r>
      <w:r w:rsidR="00223208">
        <w:rPr>
          <w:rFonts w:ascii="Times New Roman" w:hAnsi="Times New Roman" w:cs="Times New Roman"/>
          <w:sz w:val="26"/>
          <w:szCs w:val="26"/>
        </w:rPr>
        <w:tab/>
      </w:r>
      <w:r w:rsidR="003C2CEB">
        <w:rPr>
          <w:rFonts w:ascii="Times New Roman" w:hAnsi="Times New Roman" w:cs="Times New Roman"/>
          <w:sz w:val="26"/>
          <w:szCs w:val="26"/>
        </w:rPr>
        <w:t xml:space="preserve">In these </w:t>
      </w:r>
      <w:r w:rsidR="00B7735A">
        <w:rPr>
          <w:rFonts w:ascii="Times New Roman" w:hAnsi="Times New Roman" w:cs="Times New Roman"/>
          <w:sz w:val="26"/>
          <w:szCs w:val="26"/>
        </w:rPr>
        <w:t xml:space="preserve">consolidated </w:t>
      </w:r>
      <w:r w:rsidR="00D30036">
        <w:rPr>
          <w:rFonts w:ascii="Times New Roman" w:hAnsi="Times New Roman" w:cs="Times New Roman"/>
          <w:sz w:val="26"/>
          <w:szCs w:val="26"/>
        </w:rPr>
        <w:t xml:space="preserve">proceedings brought by Mr Ngcangule and Mr Nqeketho, the applicants, a relief is sought declaring </w:t>
      </w:r>
      <w:r w:rsidR="006F05A0">
        <w:rPr>
          <w:rFonts w:ascii="Times New Roman" w:hAnsi="Times New Roman" w:cs="Times New Roman"/>
          <w:sz w:val="26"/>
          <w:szCs w:val="26"/>
        </w:rPr>
        <w:t xml:space="preserve">as unlawful </w:t>
      </w:r>
      <w:r w:rsidR="00D30036">
        <w:rPr>
          <w:rFonts w:ascii="Times New Roman" w:hAnsi="Times New Roman" w:cs="Times New Roman"/>
          <w:sz w:val="26"/>
          <w:szCs w:val="26"/>
        </w:rPr>
        <w:t>the decision made by Mhlontlo Local Municipality, the respondent, reducing the basic salaries and essential use allowances of the applicants</w:t>
      </w:r>
      <w:r w:rsidR="006F05A0">
        <w:rPr>
          <w:rFonts w:ascii="Times New Roman" w:hAnsi="Times New Roman" w:cs="Times New Roman"/>
          <w:sz w:val="26"/>
          <w:szCs w:val="26"/>
        </w:rPr>
        <w:t xml:space="preserve">.  </w:t>
      </w:r>
      <w:r w:rsidR="00D30036">
        <w:rPr>
          <w:rFonts w:ascii="Times New Roman" w:hAnsi="Times New Roman" w:cs="Times New Roman"/>
          <w:sz w:val="26"/>
          <w:szCs w:val="26"/>
        </w:rPr>
        <w:t xml:space="preserve">  The applicants seek a further relief that, in the event that the declarator is granted, their remuneration be re-instated.</w:t>
      </w:r>
    </w:p>
    <w:p w14:paraId="308C091B" w14:textId="77777777" w:rsidR="00D30036" w:rsidRDefault="00D30036" w:rsidP="00DB45D1">
      <w:pPr>
        <w:tabs>
          <w:tab w:val="left" w:pos="851"/>
        </w:tabs>
        <w:spacing w:after="0" w:line="360" w:lineRule="auto"/>
        <w:jc w:val="both"/>
        <w:rPr>
          <w:rFonts w:ascii="Times New Roman" w:hAnsi="Times New Roman" w:cs="Times New Roman"/>
          <w:sz w:val="26"/>
          <w:szCs w:val="26"/>
        </w:rPr>
      </w:pPr>
    </w:p>
    <w:p w14:paraId="05D632C9" w14:textId="6474952F" w:rsidR="007663A8" w:rsidRDefault="007663A8" w:rsidP="003C2CE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The common cause facts are the following:  </w:t>
      </w:r>
      <w:r w:rsidR="006A653F">
        <w:rPr>
          <w:rFonts w:ascii="Times New Roman" w:hAnsi="Times New Roman" w:cs="Times New Roman"/>
          <w:sz w:val="26"/>
          <w:szCs w:val="26"/>
        </w:rPr>
        <w:t xml:space="preserve">Both applicants </w:t>
      </w:r>
      <w:r w:rsidR="006C46EF">
        <w:rPr>
          <w:rFonts w:ascii="Times New Roman" w:hAnsi="Times New Roman" w:cs="Times New Roman"/>
          <w:sz w:val="26"/>
          <w:szCs w:val="26"/>
        </w:rPr>
        <w:t>are the employees of the Municipality,</w:t>
      </w:r>
      <w:r w:rsidR="006A653F">
        <w:rPr>
          <w:rFonts w:ascii="Times New Roman" w:hAnsi="Times New Roman" w:cs="Times New Roman"/>
          <w:sz w:val="26"/>
          <w:szCs w:val="26"/>
        </w:rPr>
        <w:t xml:space="preserve"> Mr Ngcangula holding the position of the Chief Traffic Officer and Mr Nqeketho </w:t>
      </w:r>
      <w:r w:rsidR="00C37616">
        <w:rPr>
          <w:rFonts w:ascii="Times New Roman" w:hAnsi="Times New Roman" w:cs="Times New Roman"/>
          <w:sz w:val="26"/>
          <w:szCs w:val="26"/>
        </w:rPr>
        <w:t xml:space="preserve">holding the </w:t>
      </w:r>
      <w:r w:rsidR="000D55D5">
        <w:rPr>
          <w:rFonts w:ascii="Times New Roman" w:hAnsi="Times New Roman" w:cs="Times New Roman"/>
          <w:sz w:val="26"/>
          <w:szCs w:val="26"/>
        </w:rPr>
        <w:t xml:space="preserve">position of Deputy Director: Local Economic Development.  They have been so employed since 01 November 2013 and 01 April 2014 respectively.  Their employment is contractual in nature, which contracts </w:t>
      </w:r>
      <w:r w:rsidR="00527112">
        <w:rPr>
          <w:rFonts w:ascii="Times New Roman" w:hAnsi="Times New Roman" w:cs="Times New Roman"/>
          <w:sz w:val="26"/>
          <w:szCs w:val="26"/>
        </w:rPr>
        <w:t xml:space="preserve">were concluded in writing and on the dates as </w:t>
      </w:r>
      <w:r w:rsidR="006C46EF">
        <w:rPr>
          <w:rFonts w:ascii="Times New Roman" w:hAnsi="Times New Roman" w:cs="Times New Roman"/>
          <w:sz w:val="26"/>
          <w:szCs w:val="26"/>
        </w:rPr>
        <w:t>aforementioned.   The applicants were paid a basic salary and essential use allowance (car allowance) at R65 068,62 and R22 774,02 per month respectively.  O</w:t>
      </w:r>
      <w:r w:rsidR="00527112">
        <w:rPr>
          <w:rFonts w:ascii="Times New Roman" w:hAnsi="Times New Roman" w:cs="Times New Roman"/>
          <w:sz w:val="26"/>
          <w:szCs w:val="26"/>
        </w:rPr>
        <w:t>n 25 January 2020 the applicants</w:t>
      </w:r>
      <w:r w:rsidR="006F05A0">
        <w:rPr>
          <w:rFonts w:ascii="Times New Roman" w:hAnsi="Times New Roman" w:cs="Times New Roman"/>
          <w:sz w:val="26"/>
          <w:szCs w:val="26"/>
        </w:rPr>
        <w:t xml:space="preserve">’ </w:t>
      </w:r>
      <w:r w:rsidR="00527112">
        <w:rPr>
          <w:rFonts w:ascii="Times New Roman" w:hAnsi="Times New Roman" w:cs="Times New Roman"/>
          <w:sz w:val="26"/>
          <w:szCs w:val="26"/>
        </w:rPr>
        <w:t>remuneration was reduced to R61 453,70 (basic salary) and R21 508,80 (car allow</w:t>
      </w:r>
      <w:r w:rsidR="00B33983">
        <w:rPr>
          <w:rFonts w:ascii="Times New Roman" w:hAnsi="Times New Roman" w:cs="Times New Roman"/>
          <w:sz w:val="26"/>
          <w:szCs w:val="26"/>
        </w:rPr>
        <w:t xml:space="preserve">ance) </w:t>
      </w:r>
      <w:r w:rsidR="006F05A0">
        <w:rPr>
          <w:rFonts w:ascii="Times New Roman" w:hAnsi="Times New Roman" w:cs="Times New Roman"/>
          <w:sz w:val="26"/>
          <w:szCs w:val="26"/>
        </w:rPr>
        <w:t xml:space="preserve">respectively </w:t>
      </w:r>
      <w:r w:rsidR="00B33983">
        <w:rPr>
          <w:rFonts w:ascii="Times New Roman" w:hAnsi="Times New Roman" w:cs="Times New Roman"/>
          <w:sz w:val="26"/>
          <w:szCs w:val="26"/>
        </w:rPr>
        <w:t xml:space="preserve">and has remained at that amount since then.  The decision of </w:t>
      </w:r>
      <w:r w:rsidR="00CD05FC">
        <w:rPr>
          <w:rFonts w:ascii="Times New Roman" w:hAnsi="Times New Roman" w:cs="Times New Roman"/>
          <w:sz w:val="26"/>
          <w:szCs w:val="26"/>
        </w:rPr>
        <w:t>the Municipality t</w:t>
      </w:r>
      <w:r w:rsidR="0077022B">
        <w:rPr>
          <w:rFonts w:ascii="Times New Roman" w:hAnsi="Times New Roman" w:cs="Times New Roman"/>
          <w:sz w:val="26"/>
          <w:szCs w:val="26"/>
        </w:rPr>
        <w:t xml:space="preserve">o reduce the remuneration of the applicants was communicated by </w:t>
      </w:r>
      <w:r w:rsidR="006F05A0">
        <w:rPr>
          <w:rFonts w:ascii="Times New Roman" w:hAnsi="Times New Roman" w:cs="Times New Roman"/>
          <w:sz w:val="26"/>
          <w:szCs w:val="26"/>
        </w:rPr>
        <w:t xml:space="preserve">means of </w:t>
      </w:r>
      <w:r w:rsidR="0077022B">
        <w:rPr>
          <w:rFonts w:ascii="Times New Roman" w:hAnsi="Times New Roman" w:cs="Times New Roman"/>
          <w:sz w:val="26"/>
          <w:szCs w:val="26"/>
        </w:rPr>
        <w:t xml:space="preserve">letters dated </w:t>
      </w:r>
      <w:r w:rsidR="00EB3E02">
        <w:rPr>
          <w:rFonts w:ascii="Times New Roman" w:hAnsi="Times New Roman" w:cs="Times New Roman"/>
          <w:sz w:val="26"/>
          <w:szCs w:val="26"/>
        </w:rPr>
        <w:t>24 November 2020.</w:t>
      </w:r>
    </w:p>
    <w:p w14:paraId="7058E8F3" w14:textId="56449FD3" w:rsidR="00EB3E02" w:rsidRDefault="00EB3E02" w:rsidP="003C2CEB">
      <w:pPr>
        <w:spacing w:after="0" w:line="360" w:lineRule="auto"/>
        <w:jc w:val="both"/>
        <w:rPr>
          <w:rFonts w:ascii="Times New Roman" w:hAnsi="Times New Roman" w:cs="Times New Roman"/>
          <w:sz w:val="26"/>
          <w:szCs w:val="26"/>
        </w:rPr>
      </w:pPr>
    </w:p>
    <w:p w14:paraId="58040540" w14:textId="1A8B40B2" w:rsidR="004A329B" w:rsidRDefault="00EB3E02" w:rsidP="003C2CE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It is apparent from the letters</w:t>
      </w:r>
      <w:r w:rsidR="001871A5">
        <w:rPr>
          <w:rFonts w:ascii="Times New Roman" w:hAnsi="Times New Roman" w:cs="Times New Roman"/>
          <w:sz w:val="26"/>
          <w:szCs w:val="26"/>
        </w:rPr>
        <w:t xml:space="preserve"> as aforementioned </w:t>
      </w:r>
      <w:r>
        <w:rPr>
          <w:rFonts w:ascii="Times New Roman" w:hAnsi="Times New Roman" w:cs="Times New Roman"/>
          <w:sz w:val="26"/>
          <w:szCs w:val="26"/>
        </w:rPr>
        <w:t xml:space="preserve">that the communication was made pursuant to </w:t>
      </w:r>
      <w:r w:rsidR="00BB3E08">
        <w:rPr>
          <w:rFonts w:ascii="Times New Roman" w:hAnsi="Times New Roman" w:cs="Times New Roman"/>
          <w:sz w:val="26"/>
          <w:szCs w:val="26"/>
        </w:rPr>
        <w:t>the Municipal Council Re</w:t>
      </w:r>
      <w:r w:rsidR="008104DF">
        <w:rPr>
          <w:rFonts w:ascii="Times New Roman" w:hAnsi="Times New Roman" w:cs="Times New Roman"/>
          <w:sz w:val="26"/>
          <w:szCs w:val="26"/>
        </w:rPr>
        <w:t>solution N</w:t>
      </w:r>
      <w:r>
        <w:rPr>
          <w:rFonts w:ascii="Times New Roman" w:hAnsi="Times New Roman" w:cs="Times New Roman"/>
          <w:sz w:val="26"/>
          <w:szCs w:val="26"/>
        </w:rPr>
        <w:t>umber 01-18/19 dated 25 March 2019.  In terms of th</w:t>
      </w:r>
      <w:r w:rsidR="00F9617E">
        <w:rPr>
          <w:rFonts w:ascii="Times New Roman" w:hAnsi="Times New Roman" w:cs="Times New Roman"/>
          <w:sz w:val="26"/>
          <w:szCs w:val="26"/>
        </w:rPr>
        <w:t xml:space="preserve">ose </w:t>
      </w:r>
      <w:r>
        <w:rPr>
          <w:rFonts w:ascii="Times New Roman" w:hAnsi="Times New Roman" w:cs="Times New Roman"/>
          <w:sz w:val="26"/>
          <w:szCs w:val="26"/>
        </w:rPr>
        <w:t>letter</w:t>
      </w:r>
      <w:r w:rsidR="00F9617E">
        <w:rPr>
          <w:rFonts w:ascii="Times New Roman" w:hAnsi="Times New Roman" w:cs="Times New Roman"/>
          <w:sz w:val="26"/>
          <w:szCs w:val="26"/>
        </w:rPr>
        <w:t>s</w:t>
      </w:r>
      <w:r w:rsidR="00655453">
        <w:rPr>
          <w:rFonts w:ascii="Times New Roman" w:hAnsi="Times New Roman" w:cs="Times New Roman"/>
          <w:sz w:val="26"/>
          <w:szCs w:val="26"/>
        </w:rPr>
        <w:t xml:space="preserve"> the reduction of applicants’ remuneration </w:t>
      </w:r>
      <w:r w:rsidR="00954B1E">
        <w:rPr>
          <w:rFonts w:ascii="Times New Roman" w:hAnsi="Times New Roman" w:cs="Times New Roman"/>
          <w:sz w:val="26"/>
          <w:szCs w:val="26"/>
        </w:rPr>
        <w:t xml:space="preserve">is described as overpayment </w:t>
      </w:r>
      <w:r w:rsidR="005D72CA">
        <w:rPr>
          <w:rFonts w:ascii="Times New Roman" w:hAnsi="Times New Roman" w:cs="Times New Roman"/>
          <w:sz w:val="26"/>
          <w:szCs w:val="26"/>
        </w:rPr>
        <w:t xml:space="preserve">which is calculated </w:t>
      </w:r>
      <w:r w:rsidR="00954B1E">
        <w:rPr>
          <w:rFonts w:ascii="Times New Roman" w:hAnsi="Times New Roman" w:cs="Times New Roman"/>
          <w:sz w:val="26"/>
          <w:szCs w:val="26"/>
        </w:rPr>
        <w:t xml:space="preserve">at the rate of 2.5% increment </w:t>
      </w:r>
      <w:r w:rsidR="002E03A8">
        <w:rPr>
          <w:rFonts w:ascii="Times New Roman" w:hAnsi="Times New Roman" w:cs="Times New Roman"/>
          <w:sz w:val="26"/>
          <w:szCs w:val="26"/>
        </w:rPr>
        <w:t xml:space="preserve">on </w:t>
      </w:r>
      <w:r w:rsidR="005D72CA">
        <w:rPr>
          <w:rFonts w:ascii="Times New Roman" w:hAnsi="Times New Roman" w:cs="Times New Roman"/>
          <w:sz w:val="26"/>
          <w:szCs w:val="26"/>
        </w:rPr>
        <w:t xml:space="preserve">the </w:t>
      </w:r>
      <w:r w:rsidR="002E03A8">
        <w:rPr>
          <w:rFonts w:ascii="Times New Roman" w:hAnsi="Times New Roman" w:cs="Times New Roman"/>
          <w:sz w:val="26"/>
          <w:szCs w:val="26"/>
        </w:rPr>
        <w:t xml:space="preserve">salary notch and the back-pay made by </w:t>
      </w:r>
      <w:r w:rsidR="00C03680">
        <w:rPr>
          <w:rFonts w:ascii="Times New Roman" w:hAnsi="Times New Roman" w:cs="Times New Roman"/>
          <w:sz w:val="26"/>
          <w:szCs w:val="26"/>
        </w:rPr>
        <w:t xml:space="preserve">the Municipality to </w:t>
      </w:r>
      <w:r w:rsidR="002E03A8">
        <w:rPr>
          <w:rFonts w:ascii="Times New Roman" w:hAnsi="Times New Roman" w:cs="Times New Roman"/>
          <w:sz w:val="26"/>
          <w:szCs w:val="26"/>
        </w:rPr>
        <w:t>the applicants from March 2019</w:t>
      </w:r>
      <w:r w:rsidR="005D72CA">
        <w:rPr>
          <w:rFonts w:ascii="Times New Roman" w:hAnsi="Times New Roman" w:cs="Times New Roman"/>
          <w:sz w:val="26"/>
          <w:szCs w:val="26"/>
        </w:rPr>
        <w:t xml:space="preserve"> to December 2020</w:t>
      </w:r>
      <w:r w:rsidR="002E03A8">
        <w:rPr>
          <w:rFonts w:ascii="Times New Roman" w:hAnsi="Times New Roman" w:cs="Times New Roman"/>
          <w:sz w:val="26"/>
          <w:szCs w:val="26"/>
        </w:rPr>
        <w:t xml:space="preserve">.  During the interaction between the parties that was triggered by </w:t>
      </w:r>
      <w:r w:rsidR="00C03680">
        <w:rPr>
          <w:rFonts w:ascii="Times New Roman" w:hAnsi="Times New Roman" w:cs="Times New Roman"/>
          <w:sz w:val="26"/>
          <w:szCs w:val="26"/>
        </w:rPr>
        <w:t>a</w:t>
      </w:r>
      <w:r w:rsidR="002E03A8">
        <w:rPr>
          <w:rFonts w:ascii="Times New Roman" w:hAnsi="Times New Roman" w:cs="Times New Roman"/>
          <w:sz w:val="26"/>
          <w:szCs w:val="26"/>
        </w:rPr>
        <w:t xml:space="preserve"> letter of demand for a refund of overpayment, </w:t>
      </w:r>
      <w:r w:rsidR="00C03680">
        <w:rPr>
          <w:rFonts w:ascii="Times New Roman" w:hAnsi="Times New Roman" w:cs="Times New Roman"/>
          <w:sz w:val="26"/>
          <w:szCs w:val="26"/>
        </w:rPr>
        <w:t xml:space="preserve">the </w:t>
      </w:r>
      <w:r w:rsidR="00BB3E08">
        <w:rPr>
          <w:rFonts w:ascii="Times New Roman" w:hAnsi="Times New Roman" w:cs="Times New Roman"/>
          <w:sz w:val="26"/>
          <w:szCs w:val="26"/>
        </w:rPr>
        <w:t>M</w:t>
      </w:r>
      <w:r w:rsidR="00C03680">
        <w:rPr>
          <w:rFonts w:ascii="Times New Roman" w:hAnsi="Times New Roman" w:cs="Times New Roman"/>
          <w:sz w:val="26"/>
          <w:szCs w:val="26"/>
        </w:rPr>
        <w:t>unicipality</w:t>
      </w:r>
      <w:r w:rsidR="00BB3E08">
        <w:rPr>
          <w:rFonts w:ascii="Times New Roman" w:hAnsi="Times New Roman" w:cs="Times New Roman"/>
          <w:sz w:val="26"/>
          <w:szCs w:val="26"/>
        </w:rPr>
        <w:t xml:space="preserve"> </w:t>
      </w:r>
      <w:r w:rsidR="002E03A8">
        <w:rPr>
          <w:rFonts w:ascii="Times New Roman" w:hAnsi="Times New Roman" w:cs="Times New Roman"/>
          <w:sz w:val="26"/>
          <w:szCs w:val="26"/>
        </w:rPr>
        <w:t>stated that the decision to recover monies with which the applicants were overpaid was la</w:t>
      </w:r>
      <w:r w:rsidR="00B14E27">
        <w:rPr>
          <w:rFonts w:ascii="Times New Roman" w:hAnsi="Times New Roman" w:cs="Times New Roman"/>
          <w:sz w:val="26"/>
          <w:szCs w:val="26"/>
        </w:rPr>
        <w:t xml:space="preserve">wful.  The applicants deny those allegations.  </w:t>
      </w:r>
      <w:r w:rsidR="002E03A8">
        <w:rPr>
          <w:rFonts w:ascii="Times New Roman" w:hAnsi="Times New Roman" w:cs="Times New Roman"/>
          <w:sz w:val="26"/>
          <w:szCs w:val="26"/>
        </w:rPr>
        <w:t xml:space="preserve">In amplification of this claim </w:t>
      </w:r>
      <w:r w:rsidR="00216CEE">
        <w:rPr>
          <w:rFonts w:ascii="Times New Roman" w:hAnsi="Times New Roman" w:cs="Times New Roman"/>
          <w:sz w:val="26"/>
          <w:szCs w:val="26"/>
        </w:rPr>
        <w:t xml:space="preserve">the Municipality </w:t>
      </w:r>
      <w:r w:rsidR="002E03A8">
        <w:rPr>
          <w:rFonts w:ascii="Times New Roman" w:hAnsi="Times New Roman" w:cs="Times New Roman"/>
          <w:sz w:val="26"/>
          <w:szCs w:val="26"/>
        </w:rPr>
        <w:t xml:space="preserve">stated on affidavit </w:t>
      </w:r>
      <w:r w:rsidR="00D67C98">
        <w:rPr>
          <w:rFonts w:ascii="Times New Roman" w:hAnsi="Times New Roman" w:cs="Times New Roman"/>
          <w:sz w:val="26"/>
          <w:szCs w:val="26"/>
        </w:rPr>
        <w:t xml:space="preserve">that the applicants were not entitled to the 2,5% notch increment because they had not been put </w:t>
      </w:r>
      <w:r w:rsidR="00D67C98">
        <w:rPr>
          <w:rFonts w:ascii="Times New Roman" w:hAnsi="Times New Roman" w:cs="Times New Roman"/>
          <w:sz w:val="26"/>
          <w:szCs w:val="26"/>
        </w:rPr>
        <w:lastRenderedPageBreak/>
        <w:t xml:space="preserve">to </w:t>
      </w:r>
      <w:r w:rsidR="00C7473A">
        <w:rPr>
          <w:rFonts w:ascii="Times New Roman" w:hAnsi="Times New Roman" w:cs="Times New Roman"/>
          <w:sz w:val="26"/>
          <w:szCs w:val="26"/>
        </w:rPr>
        <w:t xml:space="preserve">a salary scale and they had not reached a top salary scale.  The </w:t>
      </w:r>
      <w:r w:rsidR="00216CEE">
        <w:rPr>
          <w:rFonts w:ascii="Times New Roman" w:hAnsi="Times New Roman" w:cs="Times New Roman"/>
          <w:sz w:val="26"/>
          <w:szCs w:val="26"/>
        </w:rPr>
        <w:t xml:space="preserve">Municipality </w:t>
      </w:r>
      <w:r w:rsidR="00C7473A">
        <w:rPr>
          <w:rFonts w:ascii="Times New Roman" w:hAnsi="Times New Roman" w:cs="Times New Roman"/>
          <w:sz w:val="26"/>
          <w:szCs w:val="26"/>
        </w:rPr>
        <w:t>stated further that to qualify for the notch increment the applicants ha</w:t>
      </w:r>
      <w:r w:rsidR="00216CEE">
        <w:rPr>
          <w:rFonts w:ascii="Times New Roman" w:hAnsi="Times New Roman" w:cs="Times New Roman"/>
          <w:sz w:val="26"/>
          <w:szCs w:val="26"/>
        </w:rPr>
        <w:t>d</w:t>
      </w:r>
      <w:r w:rsidR="00C7473A">
        <w:rPr>
          <w:rFonts w:ascii="Times New Roman" w:hAnsi="Times New Roman" w:cs="Times New Roman"/>
          <w:sz w:val="26"/>
          <w:szCs w:val="26"/>
        </w:rPr>
        <w:t xml:space="preserve"> to undergo job evaluation in terms of the TASK JOB EVALUATION program </w:t>
      </w:r>
      <w:r w:rsidR="00216CEE">
        <w:rPr>
          <w:rFonts w:ascii="Times New Roman" w:hAnsi="Times New Roman" w:cs="Times New Roman"/>
          <w:sz w:val="26"/>
          <w:szCs w:val="26"/>
        </w:rPr>
        <w:t xml:space="preserve">applicable to the Municipality </w:t>
      </w:r>
      <w:r w:rsidR="00C7473A">
        <w:rPr>
          <w:rFonts w:ascii="Times New Roman" w:hAnsi="Times New Roman" w:cs="Times New Roman"/>
          <w:sz w:val="26"/>
          <w:szCs w:val="26"/>
        </w:rPr>
        <w:t xml:space="preserve">which, though it </w:t>
      </w:r>
      <w:r w:rsidR="00D43EF5">
        <w:rPr>
          <w:rFonts w:ascii="Times New Roman" w:hAnsi="Times New Roman" w:cs="Times New Roman"/>
          <w:sz w:val="26"/>
          <w:szCs w:val="26"/>
        </w:rPr>
        <w:t>has commenced to be applied over the entire workforce, i</w:t>
      </w:r>
      <w:r w:rsidR="00216CEE">
        <w:rPr>
          <w:rFonts w:ascii="Times New Roman" w:hAnsi="Times New Roman" w:cs="Times New Roman"/>
          <w:sz w:val="26"/>
          <w:szCs w:val="26"/>
        </w:rPr>
        <w:t xml:space="preserve">t is </w:t>
      </w:r>
      <w:r w:rsidR="00D43EF5">
        <w:rPr>
          <w:rFonts w:ascii="Times New Roman" w:hAnsi="Times New Roman" w:cs="Times New Roman"/>
          <w:sz w:val="26"/>
          <w:szCs w:val="26"/>
        </w:rPr>
        <w:t xml:space="preserve">not yet complete.  As an alternative to this program, </w:t>
      </w:r>
      <w:r w:rsidR="008923C1">
        <w:rPr>
          <w:rFonts w:ascii="Times New Roman" w:hAnsi="Times New Roman" w:cs="Times New Roman"/>
          <w:sz w:val="26"/>
          <w:szCs w:val="26"/>
        </w:rPr>
        <w:t xml:space="preserve">the Municipality </w:t>
      </w:r>
      <w:r w:rsidR="00D43EF5">
        <w:rPr>
          <w:rFonts w:ascii="Times New Roman" w:hAnsi="Times New Roman" w:cs="Times New Roman"/>
          <w:sz w:val="26"/>
          <w:szCs w:val="26"/>
        </w:rPr>
        <w:t xml:space="preserve">stated that the applicants may be entitled to the notch increment upon the conclusion of the wage curve collective agreement between the SALGBC (the Bargaining </w:t>
      </w:r>
      <w:r w:rsidR="004A329B">
        <w:rPr>
          <w:rFonts w:ascii="Times New Roman" w:hAnsi="Times New Roman" w:cs="Times New Roman"/>
          <w:sz w:val="26"/>
          <w:szCs w:val="26"/>
        </w:rPr>
        <w:t>Council) and the SALGA.</w:t>
      </w:r>
    </w:p>
    <w:p w14:paraId="0FCA5EF6" w14:textId="77777777" w:rsidR="004A329B" w:rsidRDefault="004A329B" w:rsidP="003C2CEB">
      <w:pPr>
        <w:spacing w:after="0" w:line="360" w:lineRule="auto"/>
        <w:jc w:val="both"/>
        <w:rPr>
          <w:rFonts w:ascii="Times New Roman" w:hAnsi="Times New Roman" w:cs="Times New Roman"/>
          <w:sz w:val="26"/>
          <w:szCs w:val="26"/>
        </w:rPr>
      </w:pPr>
    </w:p>
    <w:p w14:paraId="4F0A01A4" w14:textId="4B99D2A3" w:rsidR="00F2010D" w:rsidRDefault="004A329B" w:rsidP="00DB45D1">
      <w:pPr>
        <w:tabs>
          <w:tab w:val="left" w:pos="851"/>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The </w:t>
      </w:r>
      <w:r w:rsidR="004C5781">
        <w:rPr>
          <w:rFonts w:ascii="Times New Roman" w:hAnsi="Times New Roman" w:cs="Times New Roman"/>
          <w:sz w:val="26"/>
          <w:szCs w:val="26"/>
        </w:rPr>
        <w:t xml:space="preserve">nub </w:t>
      </w:r>
      <w:r>
        <w:rPr>
          <w:rFonts w:ascii="Times New Roman" w:hAnsi="Times New Roman" w:cs="Times New Roman"/>
          <w:sz w:val="26"/>
          <w:szCs w:val="26"/>
        </w:rPr>
        <w:t xml:space="preserve">of the applicant’s case </w:t>
      </w:r>
      <w:r w:rsidR="00EB4CA0">
        <w:rPr>
          <w:rFonts w:ascii="Times New Roman" w:hAnsi="Times New Roman" w:cs="Times New Roman"/>
          <w:sz w:val="26"/>
          <w:szCs w:val="26"/>
        </w:rPr>
        <w:t>a</w:t>
      </w:r>
      <w:r>
        <w:rPr>
          <w:rFonts w:ascii="Times New Roman" w:hAnsi="Times New Roman" w:cs="Times New Roman"/>
          <w:sz w:val="26"/>
          <w:szCs w:val="26"/>
        </w:rPr>
        <w:t xml:space="preserve">s stated on affidavit </w:t>
      </w:r>
      <w:r w:rsidR="00FF1106">
        <w:rPr>
          <w:rFonts w:ascii="Times New Roman" w:hAnsi="Times New Roman" w:cs="Times New Roman"/>
          <w:sz w:val="26"/>
          <w:szCs w:val="26"/>
        </w:rPr>
        <w:t>i</w:t>
      </w:r>
      <w:r w:rsidR="00EB4CA0">
        <w:rPr>
          <w:rFonts w:ascii="Times New Roman" w:hAnsi="Times New Roman" w:cs="Times New Roman"/>
          <w:sz w:val="26"/>
          <w:szCs w:val="26"/>
        </w:rPr>
        <w:t>s</w:t>
      </w:r>
      <w:r w:rsidR="00FF1106">
        <w:rPr>
          <w:rFonts w:ascii="Times New Roman" w:hAnsi="Times New Roman" w:cs="Times New Roman"/>
          <w:sz w:val="26"/>
          <w:szCs w:val="26"/>
        </w:rPr>
        <w:t xml:space="preserve"> that they were not given a hearing at any </w:t>
      </w:r>
      <w:r w:rsidR="007C5223">
        <w:rPr>
          <w:rFonts w:ascii="Times New Roman" w:hAnsi="Times New Roman" w:cs="Times New Roman"/>
          <w:sz w:val="26"/>
          <w:szCs w:val="26"/>
        </w:rPr>
        <w:t xml:space="preserve">time before the deduction begun, there was no legal basis for the reduction of their remuneration </w:t>
      </w:r>
      <w:r w:rsidR="00FF1106">
        <w:rPr>
          <w:rFonts w:ascii="Times New Roman" w:hAnsi="Times New Roman" w:cs="Times New Roman"/>
          <w:sz w:val="26"/>
          <w:szCs w:val="26"/>
        </w:rPr>
        <w:t xml:space="preserve">and that </w:t>
      </w:r>
      <w:r w:rsidR="005D72CA">
        <w:rPr>
          <w:rFonts w:ascii="Times New Roman" w:hAnsi="Times New Roman" w:cs="Times New Roman"/>
          <w:sz w:val="26"/>
          <w:szCs w:val="26"/>
        </w:rPr>
        <w:t xml:space="preserve">any </w:t>
      </w:r>
      <w:r w:rsidR="00FF1106">
        <w:rPr>
          <w:rFonts w:ascii="Times New Roman" w:hAnsi="Times New Roman" w:cs="Times New Roman"/>
          <w:sz w:val="26"/>
          <w:szCs w:val="26"/>
        </w:rPr>
        <w:t xml:space="preserve">loss allegedly suffered by </w:t>
      </w:r>
      <w:r w:rsidR="00EB4CA0">
        <w:rPr>
          <w:rFonts w:ascii="Times New Roman" w:hAnsi="Times New Roman" w:cs="Times New Roman"/>
          <w:sz w:val="26"/>
          <w:szCs w:val="26"/>
        </w:rPr>
        <w:t xml:space="preserve">the Municipality </w:t>
      </w:r>
      <w:r w:rsidR="00FF1106">
        <w:rPr>
          <w:rFonts w:ascii="Times New Roman" w:hAnsi="Times New Roman" w:cs="Times New Roman"/>
          <w:sz w:val="26"/>
          <w:szCs w:val="26"/>
        </w:rPr>
        <w:t xml:space="preserve">was through no fault on their part.  On these bases they contended that </w:t>
      </w:r>
      <w:r w:rsidR="00F05ED7">
        <w:rPr>
          <w:rFonts w:ascii="Times New Roman" w:hAnsi="Times New Roman" w:cs="Times New Roman"/>
          <w:sz w:val="26"/>
          <w:szCs w:val="26"/>
        </w:rPr>
        <w:t xml:space="preserve">they have no legal obligation to refund any portion of their remuneration because the </w:t>
      </w:r>
      <w:r w:rsidR="00FF1106">
        <w:rPr>
          <w:rFonts w:ascii="Times New Roman" w:hAnsi="Times New Roman" w:cs="Times New Roman"/>
          <w:sz w:val="26"/>
          <w:szCs w:val="26"/>
        </w:rPr>
        <w:t xml:space="preserve">reduction of their remuneration was a breach of their contractual rights </w:t>
      </w:r>
      <w:r w:rsidR="005D72CA">
        <w:rPr>
          <w:rFonts w:ascii="Times New Roman" w:hAnsi="Times New Roman" w:cs="Times New Roman"/>
          <w:sz w:val="26"/>
          <w:szCs w:val="26"/>
        </w:rPr>
        <w:t>tha</w:t>
      </w:r>
      <w:r w:rsidR="007E6D7B">
        <w:rPr>
          <w:rFonts w:ascii="Times New Roman" w:hAnsi="Times New Roman" w:cs="Times New Roman"/>
          <w:sz w:val="26"/>
          <w:szCs w:val="26"/>
        </w:rPr>
        <w:t>t</w:t>
      </w:r>
      <w:r w:rsidR="005D72CA">
        <w:rPr>
          <w:rFonts w:ascii="Times New Roman" w:hAnsi="Times New Roman" w:cs="Times New Roman"/>
          <w:sz w:val="26"/>
          <w:szCs w:val="26"/>
        </w:rPr>
        <w:t xml:space="preserve"> are protected </w:t>
      </w:r>
      <w:r w:rsidR="00FF1106">
        <w:rPr>
          <w:rFonts w:ascii="Times New Roman" w:hAnsi="Times New Roman" w:cs="Times New Roman"/>
          <w:sz w:val="26"/>
          <w:szCs w:val="26"/>
        </w:rPr>
        <w:t xml:space="preserve">in </w:t>
      </w:r>
      <w:r w:rsidR="008D2B0D">
        <w:rPr>
          <w:rFonts w:ascii="Times New Roman" w:hAnsi="Times New Roman" w:cs="Times New Roman"/>
          <w:sz w:val="26"/>
          <w:szCs w:val="26"/>
        </w:rPr>
        <w:t>terms of t</w:t>
      </w:r>
      <w:r w:rsidR="00FF1106">
        <w:rPr>
          <w:rFonts w:ascii="Times New Roman" w:hAnsi="Times New Roman" w:cs="Times New Roman"/>
          <w:sz w:val="26"/>
          <w:szCs w:val="26"/>
        </w:rPr>
        <w:t>he provisions of s</w:t>
      </w:r>
      <w:r w:rsidR="00377927">
        <w:rPr>
          <w:rFonts w:ascii="Times New Roman" w:hAnsi="Times New Roman" w:cs="Times New Roman"/>
          <w:sz w:val="26"/>
          <w:szCs w:val="26"/>
        </w:rPr>
        <w:t>s</w:t>
      </w:r>
      <w:r w:rsidR="00FF1106">
        <w:rPr>
          <w:rFonts w:ascii="Times New Roman" w:hAnsi="Times New Roman" w:cs="Times New Roman"/>
          <w:sz w:val="26"/>
          <w:szCs w:val="26"/>
        </w:rPr>
        <w:t xml:space="preserve"> 34 (1) and 34 (2) of the Basic Conditions of Employment Act 75 of 1997 </w:t>
      </w:r>
      <w:r w:rsidR="0091625D">
        <w:rPr>
          <w:rFonts w:ascii="Times New Roman" w:hAnsi="Times New Roman" w:cs="Times New Roman"/>
          <w:sz w:val="26"/>
          <w:szCs w:val="26"/>
        </w:rPr>
        <w:t xml:space="preserve">(the BCEA), </w:t>
      </w:r>
      <w:r w:rsidR="00FF1106">
        <w:rPr>
          <w:rFonts w:ascii="Times New Roman" w:hAnsi="Times New Roman" w:cs="Times New Roman"/>
          <w:sz w:val="26"/>
          <w:szCs w:val="26"/>
        </w:rPr>
        <w:t>which read as follows:</w:t>
      </w:r>
    </w:p>
    <w:p w14:paraId="721372F6" w14:textId="5D311B07" w:rsidR="00F2010D" w:rsidRDefault="00F2010D" w:rsidP="0010008A">
      <w:pPr>
        <w:spacing w:after="0" w:line="240" w:lineRule="auto"/>
        <w:ind w:left="2160" w:hanging="7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An employer </w:t>
      </w:r>
      <w:r w:rsidR="0010008A">
        <w:rPr>
          <w:rFonts w:ascii="Times New Roman" w:hAnsi="Times New Roman" w:cs="Times New Roman"/>
          <w:sz w:val="24"/>
          <w:szCs w:val="24"/>
        </w:rPr>
        <w:t>may not make any deduction from an employe</w:t>
      </w:r>
      <w:r w:rsidR="0092337F">
        <w:rPr>
          <w:rFonts w:ascii="Times New Roman" w:hAnsi="Times New Roman" w:cs="Times New Roman"/>
          <w:sz w:val="24"/>
          <w:szCs w:val="24"/>
        </w:rPr>
        <w:t>e’</w:t>
      </w:r>
      <w:r w:rsidR="0010008A">
        <w:rPr>
          <w:rFonts w:ascii="Times New Roman" w:hAnsi="Times New Roman" w:cs="Times New Roman"/>
          <w:sz w:val="24"/>
          <w:szCs w:val="24"/>
        </w:rPr>
        <w:t>s remuneration unless –</w:t>
      </w:r>
    </w:p>
    <w:p w14:paraId="443808C9" w14:textId="77777777" w:rsidR="0010008A" w:rsidRDefault="0010008A" w:rsidP="0010008A">
      <w:pPr>
        <w:spacing w:after="0" w:line="240" w:lineRule="auto"/>
        <w:ind w:left="2160" w:hanging="726"/>
        <w:jc w:val="both"/>
        <w:rPr>
          <w:rFonts w:ascii="Times New Roman" w:hAnsi="Times New Roman" w:cs="Times New Roman"/>
          <w:sz w:val="24"/>
          <w:szCs w:val="24"/>
        </w:rPr>
      </w:pPr>
    </w:p>
    <w:p w14:paraId="51B55D41" w14:textId="41D64919" w:rsidR="0010008A" w:rsidRDefault="0010008A" w:rsidP="0010008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subject to subsection (2), the employee in writing agrees to the deduction in respect of a debt specified in the agreement; or </w:t>
      </w:r>
    </w:p>
    <w:p w14:paraId="00852133" w14:textId="77777777" w:rsidR="0010008A" w:rsidRDefault="0010008A" w:rsidP="0010008A">
      <w:pPr>
        <w:pStyle w:val="ListParagraph"/>
        <w:spacing w:after="0" w:line="240" w:lineRule="auto"/>
        <w:ind w:left="2514"/>
        <w:jc w:val="both"/>
        <w:rPr>
          <w:rFonts w:ascii="Times New Roman" w:hAnsi="Times New Roman" w:cs="Times New Roman"/>
          <w:sz w:val="24"/>
          <w:szCs w:val="24"/>
        </w:rPr>
      </w:pPr>
    </w:p>
    <w:p w14:paraId="6C714C22" w14:textId="24037974" w:rsidR="0010008A" w:rsidRPr="0010008A" w:rsidRDefault="0010008A" w:rsidP="0010008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deduction is permitted in terms of a law, collective agreement, court order or arbitration award.</w:t>
      </w:r>
    </w:p>
    <w:p w14:paraId="45BC2BE8" w14:textId="68E6ED09" w:rsidR="00820E85" w:rsidRDefault="00820E85" w:rsidP="0010008A">
      <w:pPr>
        <w:spacing w:after="0" w:line="240" w:lineRule="auto"/>
        <w:ind w:left="1134"/>
        <w:jc w:val="both"/>
        <w:rPr>
          <w:rFonts w:ascii="Times New Roman" w:hAnsi="Times New Roman" w:cs="Times New Roman"/>
          <w:sz w:val="24"/>
          <w:szCs w:val="24"/>
        </w:rPr>
      </w:pPr>
    </w:p>
    <w:p w14:paraId="7E2061E9" w14:textId="484E4835" w:rsidR="00820E85" w:rsidRDefault="00820E85" w:rsidP="0010008A">
      <w:pPr>
        <w:spacing w:after="0" w:line="240" w:lineRule="auto"/>
        <w:ind w:left="2154" w:hanging="720"/>
        <w:jc w:val="both"/>
        <w:rPr>
          <w:rFonts w:ascii="Times New Roman" w:hAnsi="Times New Roman" w:cs="Times New Roman"/>
          <w:sz w:val="24"/>
          <w:szCs w:val="24"/>
        </w:rPr>
      </w:pPr>
      <w:r>
        <w:rPr>
          <w:rFonts w:ascii="Times New Roman" w:hAnsi="Times New Roman" w:cs="Times New Roman"/>
          <w:sz w:val="24"/>
          <w:szCs w:val="24"/>
        </w:rPr>
        <w:t xml:space="preserve">(2) </w:t>
      </w:r>
      <w:r w:rsidR="0010008A">
        <w:rPr>
          <w:rFonts w:ascii="Times New Roman" w:hAnsi="Times New Roman" w:cs="Times New Roman"/>
          <w:sz w:val="24"/>
          <w:szCs w:val="24"/>
        </w:rPr>
        <w:tab/>
        <w:t>A deduction in terms of subsection 1 (a) may be made to reimburse an employer for loss or damage only i</w:t>
      </w:r>
      <w:r w:rsidR="0092337F">
        <w:rPr>
          <w:rFonts w:ascii="Times New Roman" w:hAnsi="Times New Roman" w:cs="Times New Roman"/>
          <w:sz w:val="24"/>
          <w:szCs w:val="24"/>
        </w:rPr>
        <w:t>f</w:t>
      </w:r>
      <w:r w:rsidR="0010008A">
        <w:rPr>
          <w:rFonts w:ascii="Times New Roman" w:hAnsi="Times New Roman" w:cs="Times New Roman"/>
          <w:sz w:val="24"/>
          <w:szCs w:val="24"/>
        </w:rPr>
        <w:t xml:space="preserve"> – </w:t>
      </w:r>
    </w:p>
    <w:p w14:paraId="45DFE5D0" w14:textId="5BF73F89" w:rsidR="0010008A" w:rsidRDefault="0010008A" w:rsidP="0010008A">
      <w:pPr>
        <w:spacing w:after="0" w:line="240" w:lineRule="auto"/>
        <w:ind w:left="2154" w:hanging="720"/>
        <w:jc w:val="both"/>
        <w:rPr>
          <w:rFonts w:ascii="Times New Roman" w:hAnsi="Times New Roman" w:cs="Times New Roman"/>
          <w:sz w:val="24"/>
          <w:szCs w:val="24"/>
        </w:rPr>
      </w:pPr>
      <w:r>
        <w:rPr>
          <w:rFonts w:ascii="Times New Roman" w:hAnsi="Times New Roman" w:cs="Times New Roman"/>
          <w:sz w:val="24"/>
          <w:szCs w:val="24"/>
        </w:rPr>
        <w:tab/>
      </w:r>
    </w:p>
    <w:p w14:paraId="374D455C" w14:textId="2373FB2E" w:rsidR="0010008A" w:rsidRDefault="0010008A" w:rsidP="0010008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loss or damage occurred in the course of employment and was due to the fault of the employee;</w:t>
      </w:r>
    </w:p>
    <w:p w14:paraId="3377E396" w14:textId="77777777" w:rsidR="0010008A" w:rsidRDefault="0010008A" w:rsidP="0010008A">
      <w:pPr>
        <w:pStyle w:val="ListParagraph"/>
        <w:spacing w:after="0" w:line="240" w:lineRule="auto"/>
        <w:ind w:left="2514"/>
        <w:jc w:val="both"/>
        <w:rPr>
          <w:rFonts w:ascii="Times New Roman" w:hAnsi="Times New Roman" w:cs="Times New Roman"/>
          <w:sz w:val="24"/>
          <w:szCs w:val="24"/>
        </w:rPr>
      </w:pPr>
    </w:p>
    <w:p w14:paraId="4D806785" w14:textId="64B614C3" w:rsidR="0010008A" w:rsidRDefault="0010008A" w:rsidP="0010008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employer has followed a fair procedure and has given the employee a reasonable opportunity to show why the deductions should not be made;</w:t>
      </w:r>
    </w:p>
    <w:p w14:paraId="46694C0F" w14:textId="77777777" w:rsidR="0010008A" w:rsidRPr="0010008A" w:rsidRDefault="0010008A" w:rsidP="0010008A">
      <w:pPr>
        <w:pStyle w:val="ListParagraph"/>
        <w:rPr>
          <w:rFonts w:ascii="Times New Roman" w:hAnsi="Times New Roman" w:cs="Times New Roman"/>
          <w:sz w:val="24"/>
          <w:szCs w:val="24"/>
        </w:rPr>
      </w:pPr>
    </w:p>
    <w:p w14:paraId="38476DFB" w14:textId="5EFCFA6B" w:rsidR="0010008A" w:rsidRDefault="0010008A" w:rsidP="0010008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total amount of the debt does not exceed the actual amount of the loss or damage; and</w:t>
      </w:r>
    </w:p>
    <w:p w14:paraId="474A97B5" w14:textId="77777777" w:rsidR="0010008A" w:rsidRPr="0010008A" w:rsidRDefault="0010008A" w:rsidP="0010008A">
      <w:pPr>
        <w:pStyle w:val="ListParagraph"/>
        <w:rPr>
          <w:rFonts w:ascii="Times New Roman" w:hAnsi="Times New Roman" w:cs="Times New Roman"/>
          <w:sz w:val="24"/>
          <w:szCs w:val="24"/>
        </w:rPr>
      </w:pPr>
    </w:p>
    <w:p w14:paraId="2A1FD3F5" w14:textId="48A7BA8F" w:rsidR="0010008A" w:rsidRDefault="0010008A" w:rsidP="0010008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total deductions from the employee’s remuneration in terms of this subsection do no exceed on-quarter of the employee’s remuneration in money</w:t>
      </w:r>
      <w:r w:rsidR="008B5867">
        <w:rPr>
          <w:rFonts w:ascii="Times New Roman" w:hAnsi="Times New Roman" w:cs="Times New Roman"/>
          <w:sz w:val="24"/>
          <w:szCs w:val="24"/>
        </w:rPr>
        <w:t>.</w:t>
      </w:r>
      <w:r w:rsidR="00CB07BC">
        <w:rPr>
          <w:rFonts w:ascii="Times New Roman" w:hAnsi="Times New Roman" w:cs="Times New Roman"/>
          <w:sz w:val="24"/>
          <w:szCs w:val="24"/>
        </w:rPr>
        <w:t xml:space="preserve"> </w:t>
      </w:r>
    </w:p>
    <w:p w14:paraId="47FB4B91" w14:textId="77777777" w:rsidR="00954137" w:rsidRPr="00954137" w:rsidRDefault="00954137" w:rsidP="00954137">
      <w:pPr>
        <w:pStyle w:val="ListParagraph"/>
        <w:rPr>
          <w:rFonts w:ascii="Times New Roman" w:hAnsi="Times New Roman" w:cs="Times New Roman"/>
          <w:sz w:val="24"/>
          <w:szCs w:val="24"/>
        </w:rPr>
      </w:pPr>
    </w:p>
    <w:p w14:paraId="65ACE913" w14:textId="77777777" w:rsidR="00954137" w:rsidRPr="0010008A" w:rsidRDefault="00954137" w:rsidP="00954137">
      <w:pPr>
        <w:pStyle w:val="ListParagraph"/>
        <w:spacing w:after="0" w:line="240" w:lineRule="auto"/>
        <w:ind w:left="2514"/>
        <w:jc w:val="both"/>
        <w:rPr>
          <w:rFonts w:ascii="Times New Roman" w:hAnsi="Times New Roman" w:cs="Times New Roman"/>
          <w:sz w:val="24"/>
          <w:szCs w:val="24"/>
        </w:rPr>
      </w:pPr>
    </w:p>
    <w:p w14:paraId="062EC9FF" w14:textId="603DC33F" w:rsidR="00D7263E" w:rsidRDefault="0098129F" w:rsidP="00A84972">
      <w:pPr>
        <w:tabs>
          <w:tab w:val="left" w:pos="851"/>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On a closer examination of the facts</w:t>
      </w:r>
      <w:r w:rsidR="007E6D7B">
        <w:rPr>
          <w:rFonts w:ascii="Times New Roman" w:hAnsi="Times New Roman" w:cs="Times New Roman"/>
          <w:sz w:val="26"/>
          <w:szCs w:val="26"/>
        </w:rPr>
        <w:t>,</w:t>
      </w:r>
      <w:r>
        <w:rPr>
          <w:rFonts w:ascii="Times New Roman" w:hAnsi="Times New Roman" w:cs="Times New Roman"/>
          <w:sz w:val="26"/>
          <w:szCs w:val="26"/>
        </w:rPr>
        <w:t xml:space="preserve"> it seems to me that the</w:t>
      </w:r>
      <w:r w:rsidR="0091625D">
        <w:rPr>
          <w:rFonts w:ascii="Times New Roman" w:hAnsi="Times New Roman" w:cs="Times New Roman"/>
          <w:sz w:val="26"/>
          <w:szCs w:val="26"/>
        </w:rPr>
        <w:t xml:space="preserve">re is no real dispute of fact in this matter.  Nevertheless, </w:t>
      </w:r>
      <w:r>
        <w:rPr>
          <w:rFonts w:ascii="Times New Roman" w:hAnsi="Times New Roman" w:cs="Times New Roman"/>
          <w:sz w:val="26"/>
          <w:szCs w:val="26"/>
        </w:rPr>
        <w:t xml:space="preserve">the common cause facts </w:t>
      </w:r>
      <w:r w:rsidR="007E6D7B">
        <w:rPr>
          <w:rFonts w:ascii="Times New Roman" w:hAnsi="Times New Roman" w:cs="Times New Roman"/>
          <w:sz w:val="26"/>
          <w:szCs w:val="26"/>
        </w:rPr>
        <w:t>need n</w:t>
      </w:r>
      <w:r>
        <w:rPr>
          <w:rFonts w:ascii="Times New Roman" w:hAnsi="Times New Roman" w:cs="Times New Roman"/>
          <w:sz w:val="26"/>
          <w:szCs w:val="26"/>
        </w:rPr>
        <w:t xml:space="preserve">ot </w:t>
      </w:r>
      <w:r w:rsidR="007E6D7B">
        <w:rPr>
          <w:rFonts w:ascii="Times New Roman" w:hAnsi="Times New Roman" w:cs="Times New Roman"/>
          <w:sz w:val="26"/>
          <w:szCs w:val="26"/>
        </w:rPr>
        <w:t xml:space="preserve">be </w:t>
      </w:r>
      <w:r>
        <w:rPr>
          <w:rFonts w:ascii="Times New Roman" w:hAnsi="Times New Roman" w:cs="Times New Roman"/>
          <w:sz w:val="26"/>
          <w:szCs w:val="26"/>
        </w:rPr>
        <w:t>dispositive of the relief sought</w:t>
      </w:r>
      <w:r w:rsidR="001315BD">
        <w:rPr>
          <w:rFonts w:ascii="Times New Roman" w:hAnsi="Times New Roman" w:cs="Times New Roman"/>
          <w:sz w:val="26"/>
          <w:szCs w:val="26"/>
        </w:rPr>
        <w:t xml:space="preserve"> as t</w:t>
      </w:r>
      <w:r>
        <w:rPr>
          <w:rFonts w:ascii="Times New Roman" w:hAnsi="Times New Roman" w:cs="Times New Roman"/>
          <w:sz w:val="26"/>
          <w:szCs w:val="26"/>
        </w:rPr>
        <w:t xml:space="preserve">he applicants </w:t>
      </w:r>
      <w:r w:rsidR="008D5428">
        <w:rPr>
          <w:rFonts w:ascii="Times New Roman" w:hAnsi="Times New Roman" w:cs="Times New Roman"/>
          <w:sz w:val="26"/>
          <w:szCs w:val="26"/>
        </w:rPr>
        <w:t xml:space="preserve">have asked the court to make </w:t>
      </w:r>
      <w:r w:rsidR="00AA0804">
        <w:rPr>
          <w:rFonts w:ascii="Times New Roman" w:hAnsi="Times New Roman" w:cs="Times New Roman"/>
          <w:sz w:val="26"/>
          <w:szCs w:val="26"/>
        </w:rPr>
        <w:t xml:space="preserve">a </w:t>
      </w:r>
      <w:r w:rsidR="008D5428">
        <w:rPr>
          <w:rFonts w:ascii="Times New Roman" w:hAnsi="Times New Roman" w:cs="Times New Roman"/>
          <w:sz w:val="26"/>
          <w:szCs w:val="26"/>
        </w:rPr>
        <w:t xml:space="preserve">declaration of </w:t>
      </w:r>
      <w:r w:rsidR="00AA0804">
        <w:rPr>
          <w:rFonts w:ascii="Times New Roman" w:hAnsi="Times New Roman" w:cs="Times New Roman"/>
          <w:sz w:val="26"/>
          <w:szCs w:val="26"/>
        </w:rPr>
        <w:t>contractual ri</w:t>
      </w:r>
      <w:r w:rsidR="008D5428">
        <w:rPr>
          <w:rFonts w:ascii="Times New Roman" w:hAnsi="Times New Roman" w:cs="Times New Roman"/>
          <w:sz w:val="26"/>
          <w:szCs w:val="26"/>
        </w:rPr>
        <w:t>ghts</w:t>
      </w:r>
      <w:r w:rsidR="00AA0804">
        <w:rPr>
          <w:rFonts w:ascii="Times New Roman" w:hAnsi="Times New Roman" w:cs="Times New Roman"/>
          <w:sz w:val="26"/>
          <w:szCs w:val="26"/>
        </w:rPr>
        <w:t xml:space="preserve">.  </w:t>
      </w:r>
      <w:r w:rsidR="00112BB2">
        <w:rPr>
          <w:rFonts w:ascii="Times New Roman" w:hAnsi="Times New Roman" w:cs="Times New Roman"/>
          <w:sz w:val="26"/>
          <w:szCs w:val="26"/>
        </w:rPr>
        <w:t>In substance</w:t>
      </w:r>
      <w:r w:rsidR="007E6D7B">
        <w:rPr>
          <w:rFonts w:ascii="Times New Roman" w:hAnsi="Times New Roman" w:cs="Times New Roman"/>
          <w:sz w:val="26"/>
          <w:szCs w:val="26"/>
        </w:rPr>
        <w:t>,</w:t>
      </w:r>
      <w:r w:rsidR="00112BB2">
        <w:rPr>
          <w:rFonts w:ascii="Times New Roman" w:hAnsi="Times New Roman" w:cs="Times New Roman"/>
          <w:sz w:val="26"/>
          <w:szCs w:val="26"/>
        </w:rPr>
        <w:t xml:space="preserve"> the case advanced on behalf of the Municipality is that although it granted the 2.5% notch increases since </w:t>
      </w:r>
      <w:r w:rsidR="00BB47BC">
        <w:rPr>
          <w:rFonts w:ascii="Times New Roman" w:hAnsi="Times New Roman" w:cs="Times New Roman"/>
          <w:sz w:val="26"/>
          <w:szCs w:val="26"/>
        </w:rPr>
        <w:t xml:space="preserve">20 February 2019, the current salaries and car allowances </w:t>
      </w:r>
      <w:r w:rsidR="00783E4C">
        <w:rPr>
          <w:rFonts w:ascii="Times New Roman" w:hAnsi="Times New Roman" w:cs="Times New Roman"/>
          <w:sz w:val="26"/>
          <w:szCs w:val="26"/>
        </w:rPr>
        <w:t xml:space="preserve">of the applicants should not have been increased by reason that they did not meet the conditions prescribed under the grant.  For these reasons the Municipality asserts that the reduction of </w:t>
      </w:r>
      <w:r w:rsidR="002963C2">
        <w:rPr>
          <w:rFonts w:ascii="Times New Roman" w:hAnsi="Times New Roman" w:cs="Times New Roman"/>
          <w:sz w:val="26"/>
          <w:szCs w:val="26"/>
        </w:rPr>
        <w:t>the remuneration of the applicants does not constitute a deduction as contemplated in ss 34 (1) and 34 (2) of the BCEA.</w:t>
      </w:r>
      <w:r w:rsidR="00954137">
        <w:rPr>
          <w:rFonts w:ascii="Times New Roman" w:hAnsi="Times New Roman" w:cs="Times New Roman"/>
          <w:sz w:val="26"/>
          <w:szCs w:val="26"/>
        </w:rPr>
        <w:t xml:space="preserve">  But the Municipality does not place reliance on any provision of law, agreement or a court order.</w:t>
      </w:r>
    </w:p>
    <w:p w14:paraId="71EE6401" w14:textId="77777777" w:rsidR="00D7263E" w:rsidRDefault="00D7263E" w:rsidP="0098129F">
      <w:pPr>
        <w:spacing w:after="0" w:line="360" w:lineRule="auto"/>
        <w:jc w:val="both"/>
        <w:rPr>
          <w:rFonts w:ascii="Times New Roman" w:hAnsi="Times New Roman" w:cs="Times New Roman"/>
          <w:sz w:val="26"/>
          <w:szCs w:val="26"/>
        </w:rPr>
      </w:pPr>
    </w:p>
    <w:p w14:paraId="21B44768" w14:textId="17F37551" w:rsidR="00EB3E02" w:rsidRDefault="00D7263E" w:rsidP="00A84972">
      <w:pPr>
        <w:tabs>
          <w:tab w:val="left" w:pos="851"/>
          <w:tab w:val="left" w:pos="1134"/>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Pr>
          <w:rFonts w:ascii="Times New Roman" w:hAnsi="Times New Roman" w:cs="Times New Roman"/>
          <w:i/>
          <w:sz w:val="26"/>
          <w:szCs w:val="26"/>
        </w:rPr>
        <w:t>Ms H</w:t>
      </w:r>
      <w:r w:rsidR="002706D1">
        <w:rPr>
          <w:rFonts w:ascii="Times New Roman" w:hAnsi="Times New Roman" w:cs="Times New Roman"/>
          <w:i/>
          <w:sz w:val="26"/>
          <w:szCs w:val="26"/>
        </w:rPr>
        <w:t>askins</w:t>
      </w:r>
      <w:r w:rsidR="002706D1">
        <w:rPr>
          <w:rFonts w:ascii="Times New Roman" w:hAnsi="Times New Roman" w:cs="Times New Roman"/>
          <w:sz w:val="26"/>
          <w:szCs w:val="26"/>
        </w:rPr>
        <w:t>, counsel for the respondents raise</w:t>
      </w:r>
      <w:r w:rsidR="005B1C28">
        <w:rPr>
          <w:rFonts w:ascii="Times New Roman" w:hAnsi="Times New Roman" w:cs="Times New Roman"/>
          <w:sz w:val="26"/>
          <w:szCs w:val="26"/>
        </w:rPr>
        <w:t>d</w:t>
      </w:r>
      <w:r w:rsidR="002706D1">
        <w:rPr>
          <w:rFonts w:ascii="Times New Roman" w:hAnsi="Times New Roman" w:cs="Times New Roman"/>
          <w:sz w:val="26"/>
          <w:szCs w:val="26"/>
        </w:rPr>
        <w:t xml:space="preserve"> numerous special defences to the applicant’s claims, which are </w:t>
      </w:r>
      <w:r w:rsidR="005B1C28">
        <w:rPr>
          <w:rFonts w:ascii="Times New Roman" w:hAnsi="Times New Roman" w:cs="Times New Roman"/>
          <w:sz w:val="26"/>
          <w:szCs w:val="26"/>
        </w:rPr>
        <w:t>the following:</w:t>
      </w:r>
    </w:p>
    <w:p w14:paraId="2DC9BEFF" w14:textId="77777777" w:rsidR="002706D1" w:rsidRDefault="002706D1" w:rsidP="0098129F">
      <w:pPr>
        <w:spacing w:after="0" w:line="360" w:lineRule="auto"/>
        <w:jc w:val="both"/>
        <w:rPr>
          <w:rFonts w:ascii="Times New Roman" w:hAnsi="Times New Roman" w:cs="Times New Roman"/>
          <w:sz w:val="26"/>
          <w:szCs w:val="26"/>
        </w:rPr>
      </w:pPr>
    </w:p>
    <w:p w14:paraId="30F0E5AB" w14:textId="68F5CF7D" w:rsidR="002706D1" w:rsidRPr="002706D1" w:rsidRDefault="002706D1" w:rsidP="00DB45D1">
      <w:pPr>
        <w:pStyle w:val="ListParagraph"/>
        <w:numPr>
          <w:ilvl w:val="0"/>
          <w:numId w:val="2"/>
        </w:numPr>
        <w:spacing w:after="0" w:line="360" w:lineRule="auto"/>
        <w:ind w:hanging="1080"/>
        <w:jc w:val="both"/>
        <w:rPr>
          <w:rFonts w:ascii="Times New Roman" w:hAnsi="Times New Roman" w:cs="Times New Roman"/>
          <w:sz w:val="26"/>
          <w:szCs w:val="26"/>
        </w:rPr>
      </w:pPr>
      <w:r w:rsidRPr="002706D1">
        <w:rPr>
          <w:rFonts w:ascii="Times New Roman" w:hAnsi="Times New Roman" w:cs="Times New Roman"/>
          <w:sz w:val="26"/>
          <w:szCs w:val="26"/>
        </w:rPr>
        <w:t>The High Court lacks jurisdiction;</w:t>
      </w:r>
    </w:p>
    <w:p w14:paraId="33F95B40" w14:textId="55D1B459" w:rsidR="002706D1" w:rsidRDefault="002706D1" w:rsidP="00DB45D1">
      <w:pPr>
        <w:pStyle w:val="ListParagraph"/>
        <w:numPr>
          <w:ilvl w:val="0"/>
          <w:numId w:val="2"/>
        </w:numPr>
        <w:spacing w:after="0" w:line="360" w:lineRule="auto"/>
        <w:ind w:hanging="1080"/>
        <w:jc w:val="both"/>
        <w:rPr>
          <w:rFonts w:ascii="Times New Roman" w:hAnsi="Times New Roman" w:cs="Times New Roman"/>
          <w:sz w:val="26"/>
          <w:szCs w:val="26"/>
        </w:rPr>
      </w:pPr>
      <w:r>
        <w:rPr>
          <w:rFonts w:ascii="Times New Roman" w:hAnsi="Times New Roman" w:cs="Times New Roman"/>
          <w:sz w:val="26"/>
          <w:szCs w:val="26"/>
        </w:rPr>
        <w:t>Contractual entitlement has not been pleaded by the applicants;</w:t>
      </w:r>
    </w:p>
    <w:p w14:paraId="6900A81A" w14:textId="57E84464" w:rsidR="002706D1" w:rsidRDefault="002706D1" w:rsidP="00DB45D1">
      <w:pPr>
        <w:pStyle w:val="ListParagraph"/>
        <w:numPr>
          <w:ilvl w:val="0"/>
          <w:numId w:val="2"/>
        </w:numPr>
        <w:spacing w:after="0" w:line="360" w:lineRule="auto"/>
        <w:ind w:hanging="1080"/>
        <w:jc w:val="both"/>
        <w:rPr>
          <w:rFonts w:ascii="Times New Roman" w:hAnsi="Times New Roman" w:cs="Times New Roman"/>
          <w:sz w:val="26"/>
          <w:szCs w:val="26"/>
        </w:rPr>
      </w:pPr>
      <w:r>
        <w:rPr>
          <w:rFonts w:ascii="Times New Roman" w:hAnsi="Times New Roman" w:cs="Times New Roman"/>
          <w:sz w:val="26"/>
          <w:szCs w:val="26"/>
        </w:rPr>
        <w:t>The applicant’s claim for a declaratory is not competent in that they must have sought a remedy of</w:t>
      </w:r>
      <w:r w:rsidR="006A69D9">
        <w:rPr>
          <w:rFonts w:ascii="Times New Roman" w:hAnsi="Times New Roman" w:cs="Times New Roman"/>
          <w:sz w:val="26"/>
          <w:szCs w:val="26"/>
        </w:rPr>
        <w:t xml:space="preserve"> review against the decision of the Municipality </w:t>
      </w:r>
      <w:r>
        <w:rPr>
          <w:rFonts w:ascii="Times New Roman" w:hAnsi="Times New Roman" w:cs="Times New Roman"/>
          <w:sz w:val="26"/>
          <w:szCs w:val="26"/>
        </w:rPr>
        <w:t>reducing the remuneration;</w:t>
      </w:r>
    </w:p>
    <w:p w14:paraId="01C45970" w14:textId="295A89C9" w:rsidR="002706D1" w:rsidRDefault="002706D1" w:rsidP="00DB45D1">
      <w:pPr>
        <w:pStyle w:val="ListParagraph"/>
        <w:numPr>
          <w:ilvl w:val="0"/>
          <w:numId w:val="2"/>
        </w:numPr>
        <w:spacing w:after="0" w:line="360" w:lineRule="auto"/>
        <w:ind w:hanging="1080"/>
        <w:jc w:val="both"/>
        <w:rPr>
          <w:rFonts w:ascii="Times New Roman" w:hAnsi="Times New Roman" w:cs="Times New Roman"/>
          <w:sz w:val="26"/>
          <w:szCs w:val="26"/>
        </w:rPr>
      </w:pPr>
      <w:r>
        <w:rPr>
          <w:rFonts w:ascii="Times New Roman" w:hAnsi="Times New Roman" w:cs="Times New Roman"/>
          <w:sz w:val="26"/>
          <w:szCs w:val="26"/>
        </w:rPr>
        <w:t xml:space="preserve">The applicant’s claim for re-instatement of their remuneration should have been brought </w:t>
      </w:r>
      <w:r w:rsidR="00AA3C65">
        <w:rPr>
          <w:rFonts w:ascii="Times New Roman" w:hAnsi="Times New Roman" w:cs="Times New Roman"/>
          <w:sz w:val="26"/>
          <w:szCs w:val="26"/>
        </w:rPr>
        <w:t xml:space="preserve">under the </w:t>
      </w:r>
      <w:r w:rsidR="004609B5">
        <w:rPr>
          <w:rFonts w:ascii="Times New Roman" w:hAnsi="Times New Roman" w:cs="Times New Roman"/>
          <w:sz w:val="26"/>
          <w:szCs w:val="26"/>
        </w:rPr>
        <w:t xml:space="preserve">remedy </w:t>
      </w:r>
      <w:r w:rsidR="00AA3C65">
        <w:rPr>
          <w:rFonts w:ascii="Times New Roman" w:hAnsi="Times New Roman" w:cs="Times New Roman"/>
          <w:sz w:val="26"/>
          <w:szCs w:val="26"/>
        </w:rPr>
        <w:t xml:space="preserve">of </w:t>
      </w:r>
      <w:r>
        <w:rPr>
          <w:rFonts w:ascii="Times New Roman" w:hAnsi="Times New Roman" w:cs="Times New Roman"/>
          <w:sz w:val="26"/>
          <w:szCs w:val="26"/>
        </w:rPr>
        <w:t>an interdict, the requisites of which have not been pleaded.</w:t>
      </w:r>
    </w:p>
    <w:p w14:paraId="13DA5453" w14:textId="0CA74D75" w:rsidR="002706D1" w:rsidRDefault="002706D1" w:rsidP="002706D1">
      <w:pPr>
        <w:spacing w:after="0" w:line="360" w:lineRule="auto"/>
        <w:jc w:val="both"/>
        <w:rPr>
          <w:rFonts w:ascii="Times New Roman" w:hAnsi="Times New Roman" w:cs="Times New Roman"/>
          <w:sz w:val="26"/>
          <w:szCs w:val="26"/>
        </w:rPr>
      </w:pPr>
    </w:p>
    <w:p w14:paraId="51B870E5" w14:textId="5F113FAD" w:rsidR="00A84972" w:rsidRDefault="002706D1" w:rsidP="00A84972">
      <w:pPr>
        <w:tabs>
          <w:tab w:val="left" w:pos="1134"/>
        </w:tabs>
        <w:spacing w:after="0" w:line="360" w:lineRule="auto"/>
        <w:ind w:right="120"/>
        <w:jc w:val="both"/>
        <w:rPr>
          <w:rFonts w:ascii="Times New Roman" w:hAnsi="Times New Roman" w:cs="Times New Roman"/>
          <w:sz w:val="26"/>
          <w:szCs w:val="26"/>
        </w:rPr>
      </w:pPr>
      <w:r w:rsidRPr="00480067">
        <w:rPr>
          <w:rFonts w:ascii="Times New Roman" w:hAnsi="Times New Roman" w:cs="Times New Roman"/>
          <w:sz w:val="26"/>
          <w:szCs w:val="26"/>
        </w:rPr>
        <w:t>[7]</w:t>
      </w:r>
      <w:r w:rsidR="00480067">
        <w:rPr>
          <w:rFonts w:ascii="Times New Roman" w:hAnsi="Times New Roman" w:cs="Times New Roman"/>
          <w:sz w:val="26"/>
          <w:szCs w:val="26"/>
        </w:rPr>
        <w:t xml:space="preserve">     </w:t>
      </w:r>
      <w:r w:rsidRPr="00480067">
        <w:rPr>
          <w:rFonts w:ascii="Times New Roman" w:hAnsi="Times New Roman" w:cs="Times New Roman"/>
          <w:sz w:val="26"/>
          <w:szCs w:val="26"/>
        </w:rPr>
        <w:t xml:space="preserve">I first deal with the objection that this Court lacks jurisdiction to hear the application.  </w:t>
      </w:r>
      <w:r w:rsidR="00A84972">
        <w:rPr>
          <w:rFonts w:ascii="Times New Roman" w:hAnsi="Times New Roman" w:cs="Times New Roman"/>
          <w:sz w:val="26"/>
          <w:szCs w:val="26"/>
        </w:rPr>
        <w:t xml:space="preserve"> This objection implicates the provisions of s</w:t>
      </w:r>
      <w:r w:rsidR="00A03656">
        <w:rPr>
          <w:rFonts w:ascii="Times New Roman" w:hAnsi="Times New Roman" w:cs="Times New Roman"/>
          <w:sz w:val="26"/>
          <w:szCs w:val="26"/>
        </w:rPr>
        <w:t>s</w:t>
      </w:r>
      <w:r w:rsidR="00A84972">
        <w:rPr>
          <w:rFonts w:ascii="Times New Roman" w:hAnsi="Times New Roman" w:cs="Times New Roman"/>
          <w:sz w:val="26"/>
          <w:szCs w:val="26"/>
        </w:rPr>
        <w:t xml:space="preserve"> 77 (1) and (3) of the BCEA, which read:</w:t>
      </w:r>
    </w:p>
    <w:p w14:paraId="3A1C8706" w14:textId="17B26A47" w:rsidR="00A84972" w:rsidRDefault="00A84972" w:rsidP="00A84972">
      <w:pPr>
        <w:tabs>
          <w:tab w:val="left" w:pos="1134"/>
        </w:tabs>
        <w:spacing w:after="0" w:line="240" w:lineRule="auto"/>
        <w:ind w:left="2154" w:right="119" w:hanging="1740"/>
        <w:jc w:val="both"/>
        <w:rPr>
          <w:rFonts w:ascii="Times New Roman" w:hAnsi="Times New Roman" w:cs="Times New Roman"/>
          <w:sz w:val="24"/>
          <w:szCs w:val="24"/>
        </w:rPr>
      </w:pPr>
      <w:r>
        <w:rPr>
          <w:rFonts w:ascii="Times New Roman" w:hAnsi="Times New Roman" w:cs="Times New Roman"/>
          <w:sz w:val="26"/>
          <w:szCs w:val="26"/>
        </w:rPr>
        <w:lastRenderedPageBreak/>
        <w:tab/>
        <w:t>“</w:t>
      </w:r>
      <w:r>
        <w:rPr>
          <w:rFonts w:ascii="Times New Roman" w:hAnsi="Times New Roman" w:cs="Times New Roman"/>
          <w:sz w:val="24"/>
          <w:szCs w:val="24"/>
        </w:rPr>
        <w:t>(1)</w:t>
      </w:r>
      <w:r>
        <w:rPr>
          <w:rFonts w:ascii="Times New Roman" w:hAnsi="Times New Roman" w:cs="Times New Roman"/>
          <w:sz w:val="24"/>
          <w:szCs w:val="24"/>
        </w:rPr>
        <w:tab/>
        <w:t>Subject to the Constitution and the jurisdiction of the Labour Appeal Court and except where this Act provides otherwise, the Labour Court has exclusive jurisdiction in respect of all matters of this Act,</w:t>
      </w:r>
    </w:p>
    <w:p w14:paraId="32A3F272" w14:textId="77777777" w:rsidR="00A84972" w:rsidRDefault="00A84972" w:rsidP="00A84972">
      <w:pPr>
        <w:tabs>
          <w:tab w:val="left" w:pos="1134"/>
        </w:tabs>
        <w:spacing w:after="0" w:line="240" w:lineRule="auto"/>
        <w:ind w:left="2154" w:right="119" w:hanging="1740"/>
        <w:jc w:val="both"/>
        <w:rPr>
          <w:rFonts w:ascii="Times New Roman" w:hAnsi="Times New Roman" w:cs="Times New Roman"/>
          <w:sz w:val="24"/>
          <w:szCs w:val="24"/>
        </w:rPr>
      </w:pPr>
    </w:p>
    <w:p w14:paraId="2FE2B535" w14:textId="1E306B9D" w:rsidR="00A84972" w:rsidRDefault="00A84972" w:rsidP="00A84972">
      <w:pPr>
        <w:tabs>
          <w:tab w:val="left" w:pos="1134"/>
        </w:tabs>
        <w:spacing w:after="0" w:line="240" w:lineRule="auto"/>
        <w:ind w:left="1134" w:right="119" w:hanging="720"/>
        <w:jc w:val="both"/>
        <w:rPr>
          <w:rFonts w:ascii="Times New Roman" w:hAnsi="Times New Roman" w:cs="Times New Roman"/>
          <w:sz w:val="24"/>
          <w:szCs w:val="24"/>
        </w:rPr>
      </w:pPr>
      <w:r>
        <w:rPr>
          <w:rFonts w:ascii="Times New Roman" w:hAnsi="Times New Roman" w:cs="Times New Roman"/>
          <w:sz w:val="24"/>
          <w:szCs w:val="24"/>
        </w:rPr>
        <w:tab/>
        <w:t xml:space="preserve"> (2)</w:t>
      </w:r>
      <w:r>
        <w:rPr>
          <w:rFonts w:ascii="Times New Roman" w:hAnsi="Times New Roman" w:cs="Times New Roman"/>
          <w:sz w:val="24"/>
          <w:szCs w:val="24"/>
        </w:rPr>
        <w:tab/>
        <w:t>…</w:t>
      </w:r>
    </w:p>
    <w:p w14:paraId="429D1637" w14:textId="2DDED47A" w:rsidR="00A84972" w:rsidRDefault="00A84972" w:rsidP="00A84972">
      <w:pPr>
        <w:tabs>
          <w:tab w:val="left" w:pos="1134"/>
        </w:tabs>
        <w:spacing w:after="0" w:line="240" w:lineRule="auto"/>
        <w:ind w:left="1134" w:right="119" w:hanging="720"/>
        <w:jc w:val="both"/>
        <w:rPr>
          <w:rFonts w:ascii="Times New Roman" w:hAnsi="Times New Roman" w:cs="Times New Roman"/>
          <w:sz w:val="24"/>
          <w:szCs w:val="24"/>
        </w:rPr>
      </w:pPr>
    </w:p>
    <w:p w14:paraId="588A0B2F" w14:textId="090725D0" w:rsidR="00A84972" w:rsidRDefault="00A84972" w:rsidP="00D61B7B">
      <w:pPr>
        <w:tabs>
          <w:tab w:val="left" w:pos="1134"/>
        </w:tabs>
        <w:spacing w:after="0" w:line="240" w:lineRule="auto"/>
        <w:ind w:left="2154" w:right="119" w:hanging="1740"/>
        <w:jc w:val="both"/>
        <w:rPr>
          <w:rFonts w:ascii="Times New Roman" w:hAnsi="Times New Roman" w:cs="Times New Roman"/>
          <w:sz w:val="24"/>
          <w:szCs w:val="24"/>
        </w:rPr>
      </w:pPr>
      <w:r>
        <w:rPr>
          <w:rFonts w:ascii="Times New Roman" w:hAnsi="Times New Roman" w:cs="Times New Roman"/>
          <w:sz w:val="24"/>
          <w:szCs w:val="24"/>
        </w:rPr>
        <w:tab/>
        <w:t xml:space="preserve"> (3)</w:t>
      </w:r>
      <w:r>
        <w:rPr>
          <w:rFonts w:ascii="Times New Roman" w:hAnsi="Times New Roman" w:cs="Times New Roman"/>
          <w:sz w:val="24"/>
          <w:szCs w:val="24"/>
        </w:rPr>
        <w:tab/>
        <w:t xml:space="preserve">The Labour Court has concurrent jurisdiction </w:t>
      </w:r>
      <w:r w:rsidR="009D7011">
        <w:rPr>
          <w:rFonts w:ascii="Times New Roman" w:hAnsi="Times New Roman" w:cs="Times New Roman"/>
          <w:sz w:val="24"/>
          <w:szCs w:val="24"/>
        </w:rPr>
        <w:t>with the civil courts to hear and determine any matter concerning a contract of employment, irrespective of whether any basic condition of employment constitutes a term</w:t>
      </w:r>
      <w:r w:rsidR="00CB7BAB">
        <w:rPr>
          <w:rFonts w:ascii="Times New Roman" w:hAnsi="Times New Roman" w:cs="Times New Roman"/>
          <w:sz w:val="24"/>
          <w:szCs w:val="24"/>
        </w:rPr>
        <w:t>s of this Act.”</w:t>
      </w:r>
    </w:p>
    <w:p w14:paraId="6648E46C" w14:textId="77777777" w:rsidR="00A84972" w:rsidRPr="00A84972" w:rsidRDefault="00A84972" w:rsidP="00A84972">
      <w:pPr>
        <w:tabs>
          <w:tab w:val="left" w:pos="1134"/>
        </w:tabs>
        <w:spacing w:after="0" w:line="240" w:lineRule="auto"/>
        <w:ind w:left="1134" w:right="119" w:hanging="720"/>
        <w:jc w:val="both"/>
        <w:rPr>
          <w:rFonts w:ascii="Times New Roman" w:hAnsi="Times New Roman" w:cs="Times New Roman"/>
          <w:sz w:val="24"/>
          <w:szCs w:val="24"/>
        </w:rPr>
      </w:pPr>
    </w:p>
    <w:p w14:paraId="2B5C1CE0" w14:textId="6162BC7F" w:rsidR="00633CCA" w:rsidRDefault="00EE78E8" w:rsidP="00A03656">
      <w:pPr>
        <w:tabs>
          <w:tab w:val="left" w:pos="851"/>
          <w:tab w:val="left" w:pos="1134"/>
        </w:tabs>
        <w:spacing w:after="0" w:line="360" w:lineRule="auto"/>
        <w:ind w:right="120"/>
        <w:jc w:val="both"/>
        <w:rPr>
          <w:rFonts w:ascii="Times New Roman" w:hAnsi="Times New Roman"/>
          <w:color w:val="000000" w:themeColor="text1"/>
          <w:sz w:val="26"/>
          <w:szCs w:val="26"/>
        </w:rPr>
      </w:pPr>
      <w:r>
        <w:rPr>
          <w:rFonts w:ascii="Times New Roman" w:hAnsi="Times New Roman" w:cs="Times New Roman"/>
          <w:sz w:val="26"/>
          <w:szCs w:val="26"/>
        </w:rPr>
        <w:t>[8]</w:t>
      </w:r>
      <w:r>
        <w:rPr>
          <w:rFonts w:ascii="Times New Roman" w:hAnsi="Times New Roman" w:cs="Times New Roman"/>
          <w:sz w:val="26"/>
          <w:szCs w:val="26"/>
        </w:rPr>
        <w:tab/>
      </w:r>
      <w:r w:rsidR="00A03656">
        <w:rPr>
          <w:rFonts w:ascii="Times New Roman" w:hAnsi="Times New Roman" w:cs="Times New Roman"/>
          <w:i/>
          <w:sz w:val="26"/>
          <w:szCs w:val="26"/>
        </w:rPr>
        <w:t xml:space="preserve">Ms Haskins </w:t>
      </w:r>
      <w:r w:rsidR="00A03656">
        <w:rPr>
          <w:rFonts w:ascii="Times New Roman" w:hAnsi="Times New Roman" w:cs="Times New Roman"/>
          <w:sz w:val="26"/>
          <w:szCs w:val="26"/>
        </w:rPr>
        <w:t>submitted that the Labour Court has exclusive jurisdiction as envisaged in s 77 (1) of the BCEA for the reason that t</w:t>
      </w:r>
      <w:r w:rsidR="00846779" w:rsidRPr="00480067">
        <w:rPr>
          <w:rFonts w:ascii="Times New Roman" w:hAnsi="Times New Roman" w:cs="Times New Roman"/>
          <w:sz w:val="26"/>
          <w:szCs w:val="26"/>
        </w:rPr>
        <w:t>he applicants</w:t>
      </w:r>
      <w:r w:rsidR="004609B5">
        <w:rPr>
          <w:rFonts w:ascii="Times New Roman" w:hAnsi="Times New Roman" w:cs="Times New Roman"/>
          <w:sz w:val="26"/>
          <w:szCs w:val="26"/>
        </w:rPr>
        <w:t>’</w:t>
      </w:r>
      <w:r w:rsidR="00846779" w:rsidRPr="00480067">
        <w:rPr>
          <w:rFonts w:ascii="Times New Roman" w:hAnsi="Times New Roman" w:cs="Times New Roman"/>
          <w:sz w:val="26"/>
          <w:szCs w:val="26"/>
        </w:rPr>
        <w:t xml:space="preserve"> pleadings do not invoke the jurisdiction of the High Court.  Reliance was made on the cases of </w:t>
      </w:r>
      <w:r w:rsidR="008009D0">
        <w:rPr>
          <w:rFonts w:ascii="Times New Roman" w:hAnsi="Times New Roman" w:cs="Times New Roman"/>
          <w:i/>
          <w:sz w:val="26"/>
          <w:szCs w:val="26"/>
        </w:rPr>
        <w:t>The N</w:t>
      </w:r>
      <w:r w:rsidR="00846779" w:rsidRPr="00480067">
        <w:rPr>
          <w:rFonts w:ascii="Times New Roman" w:hAnsi="Times New Roman" w:cs="Times New Roman"/>
          <w:i/>
          <w:sz w:val="26"/>
          <w:szCs w:val="26"/>
        </w:rPr>
        <w:t xml:space="preserve">ational Prosecuting Authority v Public Servants Association </w:t>
      </w:r>
      <w:r w:rsidR="00846779" w:rsidRPr="00480067">
        <w:rPr>
          <w:rFonts w:ascii="Times New Roman" w:hAnsi="Times New Roman" w:cs="Times New Roman"/>
          <w:sz w:val="26"/>
          <w:szCs w:val="26"/>
        </w:rPr>
        <w:t xml:space="preserve">on behalf of </w:t>
      </w:r>
      <w:r w:rsidR="00846779" w:rsidRPr="00480067">
        <w:rPr>
          <w:rFonts w:ascii="Times New Roman" w:hAnsi="Times New Roman" w:cs="Times New Roman"/>
          <w:i/>
          <w:sz w:val="26"/>
          <w:szCs w:val="26"/>
        </w:rPr>
        <w:t>Meintjies And Others</w:t>
      </w:r>
      <w:r w:rsidR="00CB07BC">
        <w:rPr>
          <w:rFonts w:ascii="Times New Roman" w:hAnsi="Times New Roman" w:cs="Times New Roman"/>
          <w:i/>
          <w:sz w:val="26"/>
          <w:szCs w:val="26"/>
        </w:rPr>
        <w:t>; Minister of Justice &amp; Correctional Services &amp; Another v Publ</w:t>
      </w:r>
      <w:r w:rsidR="00935111">
        <w:rPr>
          <w:rFonts w:ascii="Times New Roman" w:hAnsi="Times New Roman" w:cs="Times New Roman"/>
          <w:i/>
          <w:sz w:val="26"/>
          <w:szCs w:val="26"/>
        </w:rPr>
        <w:t>i</w:t>
      </w:r>
      <w:r w:rsidR="00CB07BC">
        <w:rPr>
          <w:rFonts w:ascii="Times New Roman" w:hAnsi="Times New Roman" w:cs="Times New Roman"/>
          <w:i/>
          <w:sz w:val="26"/>
          <w:szCs w:val="26"/>
        </w:rPr>
        <w:t xml:space="preserve">c Servants Association </w:t>
      </w:r>
      <w:r w:rsidR="00CB07BC">
        <w:rPr>
          <w:rFonts w:ascii="Times New Roman" w:hAnsi="Times New Roman" w:cs="Times New Roman"/>
          <w:sz w:val="26"/>
          <w:szCs w:val="26"/>
        </w:rPr>
        <w:t xml:space="preserve">on behalf of </w:t>
      </w:r>
      <w:r w:rsidR="00CB07BC">
        <w:rPr>
          <w:rFonts w:ascii="Times New Roman" w:hAnsi="Times New Roman" w:cs="Times New Roman"/>
          <w:i/>
          <w:sz w:val="26"/>
          <w:szCs w:val="26"/>
        </w:rPr>
        <w:t xml:space="preserve">Meintjies &amp; Others </w:t>
      </w:r>
      <w:r w:rsidR="00CB07BC">
        <w:rPr>
          <w:rFonts w:ascii="Times New Roman" w:hAnsi="Times New Roman" w:cs="Times New Roman"/>
          <w:sz w:val="26"/>
          <w:szCs w:val="26"/>
        </w:rPr>
        <w:t>2022</w:t>
      </w:r>
      <w:r w:rsidR="00AE3B26">
        <w:rPr>
          <w:rFonts w:ascii="Times New Roman" w:hAnsi="Times New Roman" w:cs="Times New Roman"/>
          <w:sz w:val="26"/>
          <w:szCs w:val="26"/>
        </w:rPr>
        <w:t xml:space="preserve"> (1) SA 409 (SCA) </w:t>
      </w:r>
      <w:r w:rsidR="00C65929">
        <w:rPr>
          <w:rFonts w:ascii="Times New Roman" w:hAnsi="Times New Roman" w:cs="Times New Roman"/>
          <w:sz w:val="26"/>
          <w:szCs w:val="26"/>
        </w:rPr>
        <w:t>(</w:t>
      </w:r>
      <w:r w:rsidR="00056DEB">
        <w:rPr>
          <w:rFonts w:ascii="Times New Roman" w:hAnsi="Times New Roman" w:cs="Times New Roman"/>
          <w:sz w:val="26"/>
          <w:szCs w:val="26"/>
        </w:rPr>
        <w:t>1</w:t>
      </w:r>
      <w:r w:rsidR="00C65929">
        <w:rPr>
          <w:rFonts w:ascii="Times New Roman" w:hAnsi="Times New Roman" w:cs="Times New Roman"/>
          <w:sz w:val="26"/>
          <w:szCs w:val="26"/>
        </w:rPr>
        <w:t xml:space="preserve">7 November 2021) </w:t>
      </w:r>
      <w:r w:rsidR="00AE3B26">
        <w:rPr>
          <w:rFonts w:ascii="Times New Roman" w:hAnsi="Times New Roman" w:cs="Times New Roman"/>
          <w:sz w:val="26"/>
          <w:szCs w:val="26"/>
        </w:rPr>
        <w:t xml:space="preserve">at </w:t>
      </w:r>
      <w:r w:rsidR="00CB07BC">
        <w:rPr>
          <w:rFonts w:ascii="Times New Roman" w:hAnsi="Times New Roman" w:cs="Times New Roman"/>
          <w:sz w:val="26"/>
          <w:szCs w:val="26"/>
        </w:rPr>
        <w:t>para 58</w:t>
      </w:r>
      <w:r w:rsidR="00846779" w:rsidRPr="00480067">
        <w:rPr>
          <w:rFonts w:ascii="Times New Roman" w:hAnsi="Times New Roman" w:cs="Times New Roman"/>
          <w:sz w:val="26"/>
          <w:szCs w:val="26"/>
        </w:rPr>
        <w:t xml:space="preserve">, and </w:t>
      </w:r>
      <w:r w:rsidR="00633CCA" w:rsidRPr="00480067">
        <w:rPr>
          <w:rFonts w:ascii="Times New Roman" w:hAnsi="Times New Roman"/>
          <w:i/>
          <w:color w:val="000000" w:themeColor="text1"/>
          <w:sz w:val="26"/>
          <w:szCs w:val="26"/>
        </w:rPr>
        <w:t xml:space="preserve">Gcaba v Minister of Safety &amp; Security And Others </w:t>
      </w:r>
      <w:r w:rsidR="00633CCA" w:rsidRPr="00480067">
        <w:rPr>
          <w:rFonts w:ascii="Times New Roman" w:hAnsi="Times New Roman"/>
          <w:color w:val="000000" w:themeColor="text1"/>
          <w:sz w:val="26"/>
          <w:szCs w:val="26"/>
        </w:rPr>
        <w:t>2010 (</w:t>
      </w:r>
      <w:r w:rsidR="00D4112A" w:rsidRPr="00480067">
        <w:rPr>
          <w:rFonts w:ascii="Times New Roman" w:hAnsi="Times New Roman"/>
          <w:color w:val="000000" w:themeColor="text1"/>
          <w:sz w:val="26"/>
          <w:szCs w:val="26"/>
        </w:rPr>
        <w:t>1</w:t>
      </w:r>
      <w:r w:rsidR="00633CCA" w:rsidRPr="00480067">
        <w:rPr>
          <w:rFonts w:ascii="Times New Roman" w:hAnsi="Times New Roman"/>
          <w:color w:val="000000" w:themeColor="text1"/>
          <w:sz w:val="26"/>
          <w:szCs w:val="26"/>
        </w:rPr>
        <w:t>) SA 238 (CC) at para 75</w:t>
      </w:r>
      <w:r w:rsidR="00D72E74" w:rsidRPr="00480067">
        <w:rPr>
          <w:rFonts w:ascii="Times New Roman" w:hAnsi="Times New Roman"/>
          <w:color w:val="000000" w:themeColor="text1"/>
          <w:sz w:val="26"/>
          <w:szCs w:val="26"/>
        </w:rPr>
        <w:t>.</w:t>
      </w:r>
      <w:r w:rsidR="00970812">
        <w:rPr>
          <w:rFonts w:ascii="Times New Roman" w:hAnsi="Times New Roman"/>
          <w:color w:val="000000" w:themeColor="text1"/>
          <w:sz w:val="26"/>
          <w:szCs w:val="26"/>
        </w:rPr>
        <w:t xml:space="preserve">   The legal principle that is enunciated in these cases</w:t>
      </w:r>
      <w:r w:rsidR="004609B5">
        <w:rPr>
          <w:rFonts w:ascii="Times New Roman" w:hAnsi="Times New Roman"/>
          <w:color w:val="000000" w:themeColor="text1"/>
          <w:sz w:val="26"/>
          <w:szCs w:val="26"/>
        </w:rPr>
        <w:t>,</w:t>
      </w:r>
      <w:r w:rsidR="00970812">
        <w:rPr>
          <w:rFonts w:ascii="Times New Roman" w:hAnsi="Times New Roman"/>
          <w:color w:val="000000" w:themeColor="text1"/>
          <w:sz w:val="26"/>
          <w:szCs w:val="26"/>
        </w:rPr>
        <w:t xml:space="preserve"> which is trite, is that </w:t>
      </w:r>
      <w:r w:rsidR="004609B5">
        <w:rPr>
          <w:rFonts w:ascii="Times New Roman" w:hAnsi="Times New Roman"/>
          <w:color w:val="000000" w:themeColor="text1"/>
          <w:sz w:val="26"/>
          <w:szCs w:val="26"/>
        </w:rPr>
        <w:t>the</w:t>
      </w:r>
      <w:r w:rsidR="00970812">
        <w:rPr>
          <w:rFonts w:ascii="Times New Roman" w:hAnsi="Times New Roman"/>
          <w:color w:val="000000" w:themeColor="text1"/>
          <w:sz w:val="26"/>
          <w:szCs w:val="26"/>
        </w:rPr>
        <w:t xml:space="preserve"> High Court will be seized with jurisdiction to determine a labour dispute if it concerns a breach of contractual right(s) that has been specifically pleaded on affidavit.</w:t>
      </w:r>
      <w:r w:rsidR="00F51EB6">
        <w:rPr>
          <w:rFonts w:ascii="Times New Roman" w:hAnsi="Times New Roman"/>
          <w:color w:val="000000" w:themeColor="text1"/>
          <w:sz w:val="26"/>
          <w:szCs w:val="26"/>
        </w:rPr>
        <w:t xml:space="preserve">  It will help to quote the statements made in </w:t>
      </w:r>
      <w:r w:rsidR="00B421F3" w:rsidRPr="00F00E54">
        <w:rPr>
          <w:rFonts w:ascii="Times New Roman" w:hAnsi="Times New Roman"/>
          <w:i/>
          <w:color w:val="000000" w:themeColor="text1"/>
          <w:sz w:val="26"/>
          <w:szCs w:val="26"/>
        </w:rPr>
        <w:t xml:space="preserve">The </w:t>
      </w:r>
      <w:r w:rsidR="00B421F3" w:rsidRPr="00F00E54">
        <w:rPr>
          <w:rFonts w:ascii="Times New Roman" w:eastAsia="Times New Roman" w:hAnsi="Times New Roman" w:cs="Times New Roman"/>
          <w:bCs/>
          <w:i/>
          <w:color w:val="000000"/>
          <w:sz w:val="26"/>
          <w:szCs w:val="26"/>
          <w:lang w:eastAsia="en-GB"/>
        </w:rPr>
        <w:t xml:space="preserve">National Prosecuting Authority v Public Servants Association obo Meintjies and Others; </w:t>
      </w:r>
      <w:r w:rsidR="00995F9A" w:rsidRPr="00F00E54">
        <w:rPr>
          <w:rFonts w:ascii="Times New Roman" w:eastAsia="Times New Roman" w:hAnsi="Times New Roman" w:cs="Times New Roman"/>
          <w:bCs/>
          <w:i/>
          <w:color w:val="000000"/>
          <w:sz w:val="26"/>
          <w:szCs w:val="26"/>
          <w:lang w:eastAsia="en-GB"/>
        </w:rPr>
        <w:t>T</w:t>
      </w:r>
      <w:r w:rsidR="00B421F3" w:rsidRPr="00F00E54">
        <w:rPr>
          <w:rFonts w:ascii="Times New Roman" w:eastAsia="Times New Roman" w:hAnsi="Times New Roman" w:cs="Times New Roman"/>
          <w:bCs/>
          <w:i/>
          <w:color w:val="000000"/>
          <w:sz w:val="26"/>
          <w:szCs w:val="26"/>
          <w:lang w:eastAsia="en-GB"/>
        </w:rPr>
        <w:t>he Minister of Justice and Correctional Services and Director-General: Department of Justice and Constitutional Development v Public Servants Association obo Meintjies and Others</w:t>
      </w:r>
      <w:r w:rsidR="0009019A">
        <w:rPr>
          <w:rFonts w:ascii="Times New Roman" w:eastAsia="Times New Roman" w:hAnsi="Times New Roman" w:cs="Times New Roman"/>
          <w:bCs/>
          <w:i/>
          <w:color w:val="000000"/>
          <w:sz w:val="26"/>
          <w:szCs w:val="26"/>
          <w:lang w:eastAsia="en-GB"/>
        </w:rPr>
        <w:t>,</w:t>
      </w:r>
      <w:r w:rsidR="00B421F3" w:rsidRPr="00F00E54">
        <w:rPr>
          <w:rFonts w:ascii="Times New Roman" w:eastAsia="Times New Roman" w:hAnsi="Times New Roman" w:cs="Times New Roman"/>
          <w:bCs/>
          <w:i/>
          <w:color w:val="000000"/>
          <w:sz w:val="26"/>
          <w:szCs w:val="26"/>
          <w:lang w:eastAsia="en-GB"/>
        </w:rPr>
        <w:t xml:space="preserve"> </w:t>
      </w:r>
      <w:r w:rsidR="00432B78" w:rsidRPr="00F00E54">
        <w:rPr>
          <w:rFonts w:ascii="Times New Roman" w:hAnsi="Times New Roman"/>
          <w:color w:val="000000" w:themeColor="text1"/>
          <w:sz w:val="26"/>
          <w:szCs w:val="26"/>
        </w:rPr>
        <w:t>which read as follows at para 58:</w:t>
      </w:r>
    </w:p>
    <w:p w14:paraId="20750A35" w14:textId="656AE582" w:rsidR="007650EF" w:rsidRPr="007650EF" w:rsidRDefault="007650EF" w:rsidP="007650EF">
      <w:pPr>
        <w:spacing w:after="0" w:line="240" w:lineRule="auto"/>
        <w:ind w:left="1134"/>
        <w:jc w:val="both"/>
        <w:rPr>
          <w:rFonts w:ascii="Times New Roman" w:eastAsia="Times New Roman" w:hAnsi="Times New Roman" w:cs="Times New Roman"/>
          <w:color w:val="000000"/>
          <w:sz w:val="24"/>
          <w:szCs w:val="24"/>
          <w:lang w:eastAsia="en-GB"/>
        </w:rPr>
      </w:pPr>
      <w:r w:rsidRPr="007650EF">
        <w:rPr>
          <w:rFonts w:ascii="Times New Roman" w:eastAsia="Times New Roman" w:hAnsi="Times New Roman" w:cs="Times New Roman"/>
          <w:color w:val="000000"/>
          <w:sz w:val="24"/>
          <w:szCs w:val="24"/>
          <w:lang w:eastAsia="en-GB"/>
        </w:rPr>
        <w:t>“In </w:t>
      </w:r>
      <w:r w:rsidRPr="007650EF">
        <w:rPr>
          <w:rFonts w:ascii="Times New Roman" w:eastAsia="Times New Roman" w:hAnsi="Times New Roman" w:cs="Times New Roman"/>
          <w:i/>
          <w:iCs/>
          <w:color w:val="000000"/>
          <w:sz w:val="24"/>
          <w:szCs w:val="24"/>
          <w:lang w:eastAsia="en-GB"/>
        </w:rPr>
        <w:t>Gcaba v Minister of Safety and Security</w:t>
      </w:r>
      <w:r w:rsidRPr="007650EF">
        <w:rPr>
          <w:rFonts w:ascii="Times New Roman" w:eastAsia="Times New Roman" w:hAnsi="Times New Roman" w:cs="Times New Roman"/>
          <w:color w:val="000000"/>
          <w:sz w:val="24"/>
          <w:szCs w:val="24"/>
          <w:lang w:eastAsia="en-GB"/>
        </w:rPr>
        <w:t xml:space="preserve">  </w:t>
      </w:r>
      <w:hyperlink r:id="rId8" w:tooltip="View LawCiteRecord" w:history="1">
        <w:r w:rsidRPr="00A12631">
          <w:rPr>
            <w:rFonts w:ascii="Times New Roman" w:eastAsia="Times New Roman" w:hAnsi="Times New Roman" w:cs="Times New Roman"/>
            <w:color w:val="000000" w:themeColor="text1"/>
            <w:sz w:val="24"/>
            <w:szCs w:val="24"/>
            <w:lang w:eastAsia="en-GB"/>
          </w:rPr>
          <w:t>[2009] ZACC 26</w:t>
        </w:r>
      </w:hyperlink>
      <w:r w:rsidRPr="00A12631">
        <w:rPr>
          <w:rFonts w:ascii="Times New Roman" w:eastAsia="Times New Roman" w:hAnsi="Times New Roman" w:cs="Times New Roman"/>
          <w:color w:val="000000" w:themeColor="text1"/>
          <w:sz w:val="24"/>
          <w:szCs w:val="24"/>
          <w:lang w:eastAsia="en-GB"/>
        </w:rPr>
        <w:t>; </w:t>
      </w:r>
      <w:hyperlink r:id="rId9" w:tooltip="View LawCiteRecord" w:history="1">
        <w:r w:rsidRPr="00A12631">
          <w:rPr>
            <w:rFonts w:ascii="Times New Roman" w:eastAsia="Times New Roman" w:hAnsi="Times New Roman" w:cs="Times New Roman"/>
            <w:color w:val="000000" w:themeColor="text1"/>
            <w:sz w:val="24"/>
            <w:szCs w:val="24"/>
            <w:lang w:eastAsia="en-GB"/>
          </w:rPr>
          <w:t>2010 (1) SA 238</w:t>
        </w:r>
      </w:hyperlink>
      <w:r w:rsidRPr="00A12631">
        <w:rPr>
          <w:rFonts w:ascii="Times New Roman" w:eastAsia="Times New Roman" w:hAnsi="Times New Roman" w:cs="Times New Roman"/>
          <w:color w:val="000000" w:themeColor="text1"/>
          <w:sz w:val="24"/>
          <w:szCs w:val="24"/>
          <w:lang w:eastAsia="en-GB"/>
        </w:rPr>
        <w:t> (CC);  </w:t>
      </w:r>
      <w:hyperlink r:id="rId10" w:tooltip="View LawCiteRecord" w:history="1">
        <w:r w:rsidRPr="00A12631">
          <w:rPr>
            <w:rFonts w:ascii="Times New Roman" w:eastAsia="Times New Roman" w:hAnsi="Times New Roman" w:cs="Times New Roman"/>
            <w:color w:val="000000" w:themeColor="text1"/>
            <w:sz w:val="24"/>
            <w:szCs w:val="24"/>
            <w:lang w:eastAsia="en-GB"/>
          </w:rPr>
          <w:t>2010 (1) BCLR 35</w:t>
        </w:r>
      </w:hyperlink>
      <w:r w:rsidRPr="00A12631">
        <w:rPr>
          <w:rFonts w:ascii="Times New Roman" w:eastAsia="Times New Roman" w:hAnsi="Times New Roman" w:cs="Times New Roman"/>
          <w:color w:val="000000"/>
          <w:sz w:val="24"/>
          <w:szCs w:val="24"/>
          <w:lang w:eastAsia="en-GB"/>
        </w:rPr>
        <w:t> </w:t>
      </w:r>
      <w:r w:rsidRPr="007650EF">
        <w:rPr>
          <w:rFonts w:ascii="Times New Roman" w:eastAsia="Times New Roman" w:hAnsi="Times New Roman" w:cs="Times New Roman"/>
          <w:color w:val="000000"/>
          <w:sz w:val="24"/>
          <w:szCs w:val="24"/>
          <w:lang w:eastAsia="en-GB"/>
        </w:rPr>
        <w:t>(CC), the Constitutional Court made it clear that an assessment of jurisdiction must be based on an applicant’s pleadings. At para 75, the following was said: </w:t>
      </w:r>
    </w:p>
    <w:p w14:paraId="4A0B8C2F" w14:textId="77777777" w:rsidR="007650EF" w:rsidRPr="007650EF" w:rsidRDefault="007650EF" w:rsidP="007650EF">
      <w:pPr>
        <w:tabs>
          <w:tab w:val="left" w:pos="1134"/>
        </w:tabs>
        <w:spacing w:after="0" w:line="240" w:lineRule="auto"/>
        <w:ind w:right="120"/>
        <w:jc w:val="both"/>
        <w:rPr>
          <w:rFonts w:ascii="Times New Roman" w:hAnsi="Times New Roman" w:cs="Times New Roman"/>
          <w:color w:val="000000" w:themeColor="text1"/>
          <w:sz w:val="24"/>
          <w:szCs w:val="24"/>
        </w:rPr>
      </w:pPr>
    </w:p>
    <w:p w14:paraId="773AD31D" w14:textId="7D495BC9" w:rsidR="009B75E1" w:rsidRPr="009B75E1" w:rsidRDefault="0009019A" w:rsidP="00FA0A81">
      <w:pPr>
        <w:spacing w:after="0" w:line="240" w:lineRule="auto"/>
        <w:ind w:left="156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9B75E1" w:rsidRPr="009B75E1">
        <w:rPr>
          <w:rFonts w:ascii="Times New Roman" w:eastAsia="Times New Roman" w:hAnsi="Times New Roman" w:cs="Times New Roman"/>
          <w:color w:val="000000"/>
          <w:sz w:val="24"/>
          <w:szCs w:val="24"/>
          <w:lang w:eastAsia="en-GB"/>
        </w:rPr>
        <w:t xml:space="preserve">. . . In the event of the Court’s jurisdiction being challenged . . . the applicant’s pleadings are the determining factor. They contain the legal basis of the claim under which the applicant seeks to invoke the court’s competence. While the pleadings – including in motion proceedings, not only the formal terminology of the notice of motion, but also the contents of the supporting affidavits – must be interpreted to establish what the legal basis of the applicant’s claim is, it is not for the court to say that the facts asserted by the applicant would also sustain another claim, cognisable only in another court. If however the pleadings, properly interpreted, establish that the applicant is asserting a claim </w:t>
      </w:r>
      <w:r w:rsidR="009B75E1" w:rsidRPr="009B75E1">
        <w:rPr>
          <w:rFonts w:ascii="Times New Roman" w:eastAsia="Times New Roman" w:hAnsi="Times New Roman" w:cs="Times New Roman"/>
          <w:color w:val="000000"/>
          <w:sz w:val="24"/>
          <w:szCs w:val="24"/>
          <w:lang w:eastAsia="en-GB"/>
        </w:rPr>
        <w:lastRenderedPageBreak/>
        <w:t>under the LRA, one that is to be determined exclusively by the Labour Court, the High Court w</w:t>
      </w:r>
      <w:r w:rsidR="004B4775">
        <w:rPr>
          <w:rFonts w:ascii="Times New Roman" w:eastAsia="Times New Roman" w:hAnsi="Times New Roman" w:cs="Times New Roman"/>
          <w:color w:val="000000"/>
          <w:sz w:val="24"/>
          <w:szCs w:val="24"/>
          <w:lang w:eastAsia="en-GB"/>
        </w:rPr>
        <w:t>ould lack jurisdiction. . .</w:t>
      </w:r>
      <w:r w:rsidR="00E07EE1">
        <w:rPr>
          <w:rFonts w:ascii="Times New Roman" w:eastAsia="Times New Roman" w:hAnsi="Times New Roman" w:cs="Times New Roman"/>
          <w:color w:val="000000"/>
          <w:sz w:val="24"/>
          <w:szCs w:val="24"/>
          <w:lang w:eastAsia="en-GB"/>
        </w:rPr>
        <w:t>’</w:t>
      </w:r>
      <w:r w:rsidR="004B4775">
        <w:rPr>
          <w:rFonts w:ascii="Times New Roman" w:eastAsia="Times New Roman" w:hAnsi="Times New Roman" w:cs="Times New Roman"/>
          <w:color w:val="000000"/>
          <w:sz w:val="24"/>
          <w:szCs w:val="24"/>
          <w:lang w:eastAsia="en-GB"/>
        </w:rPr>
        <w:t>”</w:t>
      </w:r>
    </w:p>
    <w:p w14:paraId="0F2019B1" w14:textId="65B50602" w:rsidR="008E1D68" w:rsidRDefault="009B75E1" w:rsidP="0099726D">
      <w:pPr>
        <w:spacing w:before="100" w:beforeAutospacing="1" w:line="360" w:lineRule="atLeast"/>
        <w:jc w:val="both"/>
        <w:rPr>
          <w:rFonts w:ascii="Times New Roman" w:hAnsi="Times New Roman"/>
          <w:color w:val="000000" w:themeColor="text1"/>
          <w:sz w:val="26"/>
          <w:szCs w:val="26"/>
        </w:rPr>
      </w:pPr>
      <w:r w:rsidRPr="00B33685">
        <w:rPr>
          <w:rFonts w:ascii="-webkit-standard" w:eastAsia="Times New Roman" w:hAnsi="-webkit-standard" w:cs="Times New Roman"/>
          <w:color w:val="000000"/>
          <w:lang w:eastAsia="en-GB"/>
        </w:rPr>
        <w:t> </w:t>
      </w:r>
      <w:r w:rsidR="008E1D68">
        <w:rPr>
          <w:rFonts w:ascii="Times New Roman" w:hAnsi="Times New Roman"/>
          <w:color w:val="000000" w:themeColor="text1"/>
          <w:sz w:val="26"/>
          <w:szCs w:val="26"/>
        </w:rPr>
        <w:t>[</w:t>
      </w:r>
      <w:r w:rsidR="00B2255E">
        <w:rPr>
          <w:rFonts w:ascii="Times New Roman" w:hAnsi="Times New Roman"/>
          <w:color w:val="000000" w:themeColor="text1"/>
          <w:sz w:val="26"/>
          <w:szCs w:val="26"/>
        </w:rPr>
        <w:t>9</w:t>
      </w:r>
      <w:r w:rsidR="008E1D68">
        <w:rPr>
          <w:rFonts w:ascii="Times New Roman" w:hAnsi="Times New Roman"/>
          <w:color w:val="000000" w:themeColor="text1"/>
          <w:sz w:val="26"/>
          <w:szCs w:val="26"/>
        </w:rPr>
        <w:t>]</w:t>
      </w:r>
      <w:r w:rsidR="00DB45D1">
        <w:rPr>
          <w:rFonts w:ascii="Times New Roman" w:hAnsi="Times New Roman"/>
          <w:color w:val="000000" w:themeColor="text1"/>
          <w:sz w:val="26"/>
          <w:szCs w:val="26"/>
        </w:rPr>
        <w:tab/>
        <w:t>O</w:t>
      </w:r>
      <w:r w:rsidR="008E1D68">
        <w:rPr>
          <w:rFonts w:ascii="Times New Roman" w:hAnsi="Times New Roman"/>
          <w:color w:val="000000" w:themeColor="text1"/>
          <w:sz w:val="26"/>
          <w:szCs w:val="26"/>
        </w:rPr>
        <w:t xml:space="preserve">n the other hand it was submitted by </w:t>
      </w:r>
      <w:r w:rsidR="008E1D68">
        <w:rPr>
          <w:rFonts w:ascii="Times New Roman" w:hAnsi="Times New Roman"/>
          <w:i/>
          <w:color w:val="000000" w:themeColor="text1"/>
          <w:sz w:val="26"/>
          <w:szCs w:val="26"/>
        </w:rPr>
        <w:t>Mr Grogan</w:t>
      </w:r>
      <w:r w:rsidR="008E1D68">
        <w:rPr>
          <w:rFonts w:ascii="Times New Roman" w:hAnsi="Times New Roman"/>
          <w:color w:val="000000" w:themeColor="text1"/>
          <w:sz w:val="26"/>
          <w:szCs w:val="26"/>
        </w:rPr>
        <w:t xml:space="preserve">, for the applicants, </w:t>
      </w:r>
      <w:r w:rsidR="006B1A17">
        <w:rPr>
          <w:rFonts w:ascii="Times New Roman" w:hAnsi="Times New Roman"/>
          <w:color w:val="000000" w:themeColor="text1"/>
          <w:sz w:val="26"/>
          <w:szCs w:val="26"/>
        </w:rPr>
        <w:t xml:space="preserve">relying on s 77 (3) of the BCEA, </w:t>
      </w:r>
      <w:r w:rsidR="008E1D68">
        <w:rPr>
          <w:rFonts w:ascii="Times New Roman" w:hAnsi="Times New Roman"/>
          <w:color w:val="000000" w:themeColor="text1"/>
          <w:sz w:val="26"/>
          <w:szCs w:val="26"/>
        </w:rPr>
        <w:t>that the applicants’ contract</w:t>
      </w:r>
      <w:r w:rsidR="00177B90">
        <w:rPr>
          <w:rFonts w:ascii="Times New Roman" w:hAnsi="Times New Roman"/>
          <w:color w:val="000000" w:themeColor="text1"/>
          <w:sz w:val="26"/>
          <w:szCs w:val="26"/>
        </w:rPr>
        <w:t>s</w:t>
      </w:r>
      <w:r w:rsidR="008E1D68">
        <w:rPr>
          <w:rFonts w:ascii="Times New Roman" w:hAnsi="Times New Roman"/>
          <w:color w:val="000000" w:themeColor="text1"/>
          <w:sz w:val="26"/>
          <w:szCs w:val="26"/>
        </w:rPr>
        <w:t xml:space="preserve"> of employment</w:t>
      </w:r>
      <w:r w:rsidR="002151B8">
        <w:rPr>
          <w:rFonts w:ascii="Times New Roman" w:hAnsi="Times New Roman"/>
          <w:color w:val="000000" w:themeColor="text1"/>
          <w:sz w:val="26"/>
          <w:szCs w:val="26"/>
        </w:rPr>
        <w:t xml:space="preserve">, </w:t>
      </w:r>
      <w:r w:rsidR="008E1D68">
        <w:rPr>
          <w:rFonts w:ascii="Times New Roman" w:hAnsi="Times New Roman"/>
          <w:color w:val="000000" w:themeColor="text1"/>
          <w:sz w:val="26"/>
          <w:szCs w:val="26"/>
        </w:rPr>
        <w:t xml:space="preserve">as well as the breach thereof, are set out </w:t>
      </w:r>
      <w:r w:rsidR="00DE428E">
        <w:rPr>
          <w:rFonts w:ascii="Times New Roman" w:hAnsi="Times New Roman"/>
          <w:color w:val="000000" w:themeColor="text1"/>
          <w:sz w:val="26"/>
          <w:szCs w:val="26"/>
        </w:rPr>
        <w:t>on the founding affidavit.</w:t>
      </w:r>
      <w:r w:rsidR="006B13C7">
        <w:rPr>
          <w:rFonts w:ascii="Times New Roman" w:hAnsi="Times New Roman"/>
          <w:color w:val="000000" w:themeColor="text1"/>
          <w:sz w:val="26"/>
          <w:szCs w:val="26"/>
        </w:rPr>
        <w:t xml:space="preserve">  Further, </w:t>
      </w:r>
      <w:r w:rsidR="001242F8">
        <w:rPr>
          <w:rFonts w:ascii="Times New Roman" w:hAnsi="Times New Roman"/>
          <w:color w:val="000000" w:themeColor="text1"/>
          <w:sz w:val="26"/>
          <w:szCs w:val="26"/>
        </w:rPr>
        <w:t xml:space="preserve">it was submitted that disputes concerning deductions from employees’ remuneration have </w:t>
      </w:r>
      <w:r w:rsidR="0005026C">
        <w:rPr>
          <w:rFonts w:ascii="Times New Roman" w:hAnsi="Times New Roman"/>
          <w:color w:val="000000" w:themeColor="text1"/>
          <w:sz w:val="26"/>
          <w:szCs w:val="26"/>
        </w:rPr>
        <w:t>already</w:t>
      </w:r>
      <w:r w:rsidR="00177B90">
        <w:rPr>
          <w:rFonts w:ascii="Times New Roman" w:hAnsi="Times New Roman"/>
          <w:color w:val="000000" w:themeColor="text1"/>
          <w:sz w:val="26"/>
          <w:szCs w:val="26"/>
        </w:rPr>
        <w:t xml:space="preserve"> been</w:t>
      </w:r>
      <w:r w:rsidR="0005026C">
        <w:rPr>
          <w:rFonts w:ascii="Times New Roman" w:hAnsi="Times New Roman"/>
          <w:color w:val="000000" w:themeColor="text1"/>
          <w:sz w:val="26"/>
          <w:szCs w:val="26"/>
        </w:rPr>
        <w:t xml:space="preserve"> e</w:t>
      </w:r>
      <w:r w:rsidR="001242F8">
        <w:rPr>
          <w:rFonts w:ascii="Times New Roman" w:hAnsi="Times New Roman"/>
          <w:color w:val="000000" w:themeColor="text1"/>
          <w:sz w:val="26"/>
          <w:szCs w:val="26"/>
        </w:rPr>
        <w:t>ntertained by the High Co</w:t>
      </w:r>
      <w:r w:rsidR="00442345">
        <w:rPr>
          <w:rFonts w:ascii="Times New Roman" w:hAnsi="Times New Roman"/>
          <w:color w:val="000000" w:themeColor="text1"/>
          <w:sz w:val="26"/>
          <w:szCs w:val="26"/>
        </w:rPr>
        <w:t>u</w:t>
      </w:r>
      <w:r w:rsidR="001242F8">
        <w:rPr>
          <w:rFonts w:ascii="Times New Roman" w:hAnsi="Times New Roman"/>
          <w:color w:val="000000" w:themeColor="text1"/>
          <w:sz w:val="26"/>
          <w:szCs w:val="26"/>
        </w:rPr>
        <w:t xml:space="preserve">rts, such as in </w:t>
      </w:r>
      <w:r w:rsidR="001242F8">
        <w:rPr>
          <w:rFonts w:ascii="Times New Roman" w:hAnsi="Times New Roman"/>
          <w:i/>
          <w:color w:val="000000" w:themeColor="text1"/>
          <w:sz w:val="26"/>
          <w:szCs w:val="26"/>
        </w:rPr>
        <w:t>Cagwe And Others v MEC for the Depar</w:t>
      </w:r>
      <w:r w:rsidR="00DB45D1">
        <w:rPr>
          <w:rFonts w:ascii="Times New Roman" w:hAnsi="Times New Roman"/>
          <w:i/>
          <w:color w:val="000000" w:themeColor="text1"/>
          <w:sz w:val="26"/>
          <w:szCs w:val="26"/>
        </w:rPr>
        <w:t>t</w:t>
      </w:r>
      <w:r w:rsidR="001242F8">
        <w:rPr>
          <w:rFonts w:ascii="Times New Roman" w:hAnsi="Times New Roman"/>
          <w:i/>
          <w:color w:val="000000" w:themeColor="text1"/>
          <w:sz w:val="26"/>
          <w:szCs w:val="26"/>
        </w:rPr>
        <w:t>ment of Social Development – Eastern Cape</w:t>
      </w:r>
      <w:r w:rsidR="001242F8">
        <w:rPr>
          <w:rFonts w:ascii="Times New Roman" w:hAnsi="Times New Roman"/>
          <w:color w:val="000000" w:themeColor="text1"/>
          <w:sz w:val="26"/>
          <w:szCs w:val="26"/>
        </w:rPr>
        <w:t xml:space="preserve">, Case No. 436/2020 dated 08/09/2020 (per Lowe J). </w:t>
      </w:r>
      <w:r w:rsidR="001242F8">
        <w:rPr>
          <w:rFonts w:ascii="Times New Roman" w:hAnsi="Times New Roman"/>
          <w:i/>
          <w:color w:val="000000" w:themeColor="text1"/>
          <w:sz w:val="26"/>
          <w:szCs w:val="26"/>
        </w:rPr>
        <w:t xml:space="preserve">Gqithekhaya v Amatole District Municipality, </w:t>
      </w:r>
      <w:r w:rsidR="001242F8">
        <w:rPr>
          <w:rFonts w:ascii="Times New Roman" w:hAnsi="Times New Roman"/>
          <w:color w:val="000000" w:themeColor="text1"/>
          <w:sz w:val="26"/>
          <w:szCs w:val="26"/>
        </w:rPr>
        <w:t xml:space="preserve">Case No. EL 601/2021 dated 27/05/2021 (per Hartle J); and </w:t>
      </w:r>
      <w:r w:rsidR="001242F8">
        <w:rPr>
          <w:rFonts w:ascii="Times New Roman" w:hAnsi="Times New Roman"/>
          <w:i/>
          <w:color w:val="000000" w:themeColor="text1"/>
          <w:sz w:val="26"/>
          <w:szCs w:val="26"/>
        </w:rPr>
        <w:t>Ngalwana v MEC for the Department of Rural Development And Agrarian Reform</w:t>
      </w:r>
      <w:r w:rsidR="001242F8">
        <w:rPr>
          <w:rFonts w:ascii="Times New Roman" w:hAnsi="Times New Roman"/>
          <w:color w:val="000000" w:themeColor="text1"/>
          <w:sz w:val="26"/>
          <w:szCs w:val="26"/>
        </w:rPr>
        <w:t>, Case No. 822/2018 dated 19/11/2021 (per Smith J).</w:t>
      </w:r>
      <w:r w:rsidR="00177B90">
        <w:rPr>
          <w:rFonts w:ascii="Times New Roman" w:hAnsi="Times New Roman"/>
          <w:color w:val="000000" w:themeColor="text1"/>
          <w:sz w:val="26"/>
          <w:szCs w:val="26"/>
        </w:rPr>
        <w:t xml:space="preserve">   I am in agreement with these submissions.</w:t>
      </w:r>
    </w:p>
    <w:p w14:paraId="646FD31E" w14:textId="77777777" w:rsidR="00B2255E" w:rsidRDefault="00B2255E" w:rsidP="0099726D">
      <w:pPr>
        <w:spacing w:before="100" w:beforeAutospacing="1" w:line="360" w:lineRule="atLeast"/>
        <w:jc w:val="both"/>
        <w:rPr>
          <w:rFonts w:ascii="Times New Roman" w:hAnsi="Times New Roman"/>
          <w:color w:val="000000" w:themeColor="text1"/>
          <w:sz w:val="26"/>
          <w:szCs w:val="26"/>
        </w:rPr>
      </w:pPr>
    </w:p>
    <w:p w14:paraId="006CF441" w14:textId="4B4D9096" w:rsidR="0047060A" w:rsidRDefault="001242F8" w:rsidP="003966E4">
      <w:pPr>
        <w:tabs>
          <w:tab w:val="left" w:pos="851"/>
          <w:tab w:val="left" w:pos="1134"/>
        </w:tabs>
        <w:spacing w:after="0" w:line="360" w:lineRule="auto"/>
        <w:ind w:right="120"/>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B2255E">
        <w:rPr>
          <w:rFonts w:ascii="Times New Roman" w:hAnsi="Times New Roman"/>
          <w:color w:val="000000" w:themeColor="text1"/>
          <w:sz w:val="26"/>
          <w:szCs w:val="26"/>
        </w:rPr>
        <w:t>10</w:t>
      </w:r>
      <w:r>
        <w:rPr>
          <w:rFonts w:ascii="Times New Roman" w:hAnsi="Times New Roman"/>
          <w:color w:val="000000" w:themeColor="text1"/>
          <w:sz w:val="26"/>
          <w:szCs w:val="26"/>
        </w:rPr>
        <w:t>]</w:t>
      </w:r>
      <w:r>
        <w:rPr>
          <w:rFonts w:ascii="Times New Roman" w:hAnsi="Times New Roman"/>
          <w:color w:val="000000" w:themeColor="text1"/>
          <w:sz w:val="26"/>
          <w:szCs w:val="26"/>
        </w:rPr>
        <w:tab/>
      </w:r>
      <w:r w:rsidR="00687643">
        <w:rPr>
          <w:rFonts w:ascii="Times New Roman" w:hAnsi="Times New Roman"/>
          <w:color w:val="000000" w:themeColor="text1"/>
          <w:sz w:val="26"/>
          <w:szCs w:val="26"/>
        </w:rPr>
        <w:t xml:space="preserve">In these proceedings the </w:t>
      </w:r>
      <w:r w:rsidR="0047060A">
        <w:rPr>
          <w:rFonts w:ascii="Times New Roman" w:hAnsi="Times New Roman"/>
          <w:color w:val="000000" w:themeColor="text1"/>
          <w:sz w:val="26"/>
          <w:szCs w:val="26"/>
        </w:rPr>
        <w:t>founding affidavit</w:t>
      </w:r>
      <w:r w:rsidR="006B1A17">
        <w:rPr>
          <w:rFonts w:ascii="Times New Roman" w:hAnsi="Times New Roman"/>
          <w:color w:val="000000" w:themeColor="text1"/>
          <w:sz w:val="26"/>
          <w:szCs w:val="26"/>
        </w:rPr>
        <w:t>s</w:t>
      </w:r>
      <w:r w:rsidR="0047060A">
        <w:rPr>
          <w:rFonts w:ascii="Times New Roman" w:hAnsi="Times New Roman"/>
          <w:color w:val="000000" w:themeColor="text1"/>
          <w:sz w:val="26"/>
          <w:szCs w:val="26"/>
        </w:rPr>
        <w:t xml:space="preserve"> deposed to by the applicants show that there w</w:t>
      </w:r>
      <w:r w:rsidR="00834C6F">
        <w:rPr>
          <w:rFonts w:ascii="Times New Roman" w:hAnsi="Times New Roman"/>
          <w:color w:val="000000" w:themeColor="text1"/>
          <w:sz w:val="26"/>
          <w:szCs w:val="26"/>
        </w:rPr>
        <w:t xml:space="preserve">ere </w:t>
      </w:r>
      <w:r w:rsidR="0047060A">
        <w:rPr>
          <w:rFonts w:ascii="Times New Roman" w:hAnsi="Times New Roman"/>
          <w:color w:val="000000" w:themeColor="text1"/>
          <w:sz w:val="26"/>
          <w:szCs w:val="26"/>
        </w:rPr>
        <w:t>contract</w:t>
      </w:r>
      <w:r w:rsidR="00834C6F">
        <w:rPr>
          <w:rFonts w:ascii="Times New Roman" w:hAnsi="Times New Roman"/>
          <w:color w:val="000000" w:themeColor="text1"/>
          <w:sz w:val="26"/>
          <w:szCs w:val="26"/>
        </w:rPr>
        <w:t>s</w:t>
      </w:r>
      <w:r w:rsidR="0047060A">
        <w:rPr>
          <w:rFonts w:ascii="Times New Roman" w:hAnsi="Times New Roman"/>
          <w:color w:val="000000" w:themeColor="text1"/>
          <w:sz w:val="26"/>
          <w:szCs w:val="26"/>
        </w:rPr>
        <w:t xml:space="preserve"> of employment concluded between the applicants and the </w:t>
      </w:r>
      <w:r w:rsidR="00687643">
        <w:rPr>
          <w:rFonts w:ascii="Times New Roman" w:hAnsi="Times New Roman"/>
          <w:color w:val="000000" w:themeColor="text1"/>
          <w:sz w:val="26"/>
          <w:szCs w:val="26"/>
        </w:rPr>
        <w:t xml:space="preserve">Municipality </w:t>
      </w:r>
      <w:r w:rsidR="00834C6F">
        <w:rPr>
          <w:rFonts w:ascii="Times New Roman" w:hAnsi="Times New Roman"/>
          <w:color w:val="000000" w:themeColor="text1"/>
          <w:sz w:val="26"/>
          <w:szCs w:val="26"/>
        </w:rPr>
        <w:t xml:space="preserve">respectively, </w:t>
      </w:r>
      <w:r w:rsidR="0047060A">
        <w:rPr>
          <w:rFonts w:ascii="Times New Roman" w:hAnsi="Times New Roman"/>
          <w:color w:val="000000" w:themeColor="text1"/>
          <w:sz w:val="26"/>
          <w:szCs w:val="26"/>
        </w:rPr>
        <w:t>the material terms of which were that a basic salary and allowances would be paid by the Municipality for services rendered by the applicants</w:t>
      </w:r>
      <w:r w:rsidR="004609B5">
        <w:rPr>
          <w:rFonts w:ascii="Times New Roman" w:hAnsi="Times New Roman"/>
          <w:color w:val="000000" w:themeColor="text1"/>
          <w:sz w:val="26"/>
          <w:szCs w:val="26"/>
        </w:rPr>
        <w:t xml:space="preserve">.   </w:t>
      </w:r>
      <w:r w:rsidR="0047060A">
        <w:rPr>
          <w:rFonts w:ascii="Times New Roman" w:hAnsi="Times New Roman"/>
          <w:color w:val="000000" w:themeColor="text1"/>
          <w:sz w:val="26"/>
          <w:szCs w:val="26"/>
        </w:rPr>
        <w:t xml:space="preserve">In February 2019 the Municipality effected the 2.5% notch increment on salaries and allowances </w:t>
      </w:r>
      <w:r w:rsidR="00834C6F">
        <w:rPr>
          <w:rFonts w:ascii="Times New Roman" w:hAnsi="Times New Roman"/>
          <w:color w:val="000000" w:themeColor="text1"/>
          <w:sz w:val="26"/>
          <w:szCs w:val="26"/>
        </w:rPr>
        <w:t xml:space="preserve">by monthly payments </w:t>
      </w:r>
      <w:r w:rsidR="0047060A">
        <w:rPr>
          <w:rFonts w:ascii="Times New Roman" w:hAnsi="Times New Roman"/>
          <w:color w:val="000000" w:themeColor="text1"/>
          <w:sz w:val="26"/>
          <w:szCs w:val="26"/>
        </w:rPr>
        <w:t>until</w:t>
      </w:r>
      <w:r w:rsidR="00834C6F">
        <w:rPr>
          <w:rFonts w:ascii="Times New Roman" w:hAnsi="Times New Roman"/>
          <w:color w:val="000000" w:themeColor="text1"/>
          <w:sz w:val="26"/>
          <w:szCs w:val="26"/>
        </w:rPr>
        <w:t xml:space="preserve"> on 25</w:t>
      </w:r>
      <w:r w:rsidR="0047060A">
        <w:rPr>
          <w:rFonts w:ascii="Times New Roman" w:hAnsi="Times New Roman"/>
          <w:color w:val="000000" w:themeColor="text1"/>
          <w:sz w:val="26"/>
          <w:szCs w:val="26"/>
        </w:rPr>
        <w:t xml:space="preserve"> January 2020 when the notch increment </w:t>
      </w:r>
      <w:r w:rsidR="009A0E45">
        <w:rPr>
          <w:rFonts w:ascii="Times New Roman" w:hAnsi="Times New Roman"/>
          <w:color w:val="000000" w:themeColor="text1"/>
          <w:sz w:val="26"/>
          <w:szCs w:val="26"/>
        </w:rPr>
        <w:t>was taken away retrospectively to February 2019.  As stated in a plethora of cases dea</w:t>
      </w:r>
      <w:r w:rsidR="00D90D52">
        <w:rPr>
          <w:rFonts w:ascii="Times New Roman" w:hAnsi="Times New Roman"/>
          <w:color w:val="000000" w:themeColor="text1"/>
          <w:sz w:val="26"/>
          <w:szCs w:val="26"/>
        </w:rPr>
        <w:t xml:space="preserve">ling with contractual breaches involving </w:t>
      </w:r>
      <w:r w:rsidR="009A0E45">
        <w:rPr>
          <w:rFonts w:ascii="Times New Roman" w:hAnsi="Times New Roman"/>
          <w:color w:val="000000" w:themeColor="text1"/>
          <w:sz w:val="26"/>
          <w:szCs w:val="26"/>
        </w:rPr>
        <w:t xml:space="preserve">the employer and </w:t>
      </w:r>
      <w:r w:rsidR="00D90D52">
        <w:rPr>
          <w:rFonts w:ascii="Times New Roman" w:hAnsi="Times New Roman"/>
          <w:color w:val="000000" w:themeColor="text1"/>
          <w:sz w:val="26"/>
          <w:szCs w:val="26"/>
        </w:rPr>
        <w:t xml:space="preserve">its </w:t>
      </w:r>
      <w:r w:rsidR="009A0E45">
        <w:rPr>
          <w:rFonts w:ascii="Times New Roman" w:hAnsi="Times New Roman"/>
          <w:color w:val="000000" w:themeColor="text1"/>
          <w:sz w:val="26"/>
          <w:szCs w:val="26"/>
        </w:rPr>
        <w:t>employees it often happens that various causes of action emerge out of a single breach regardless of the fact that the same breach attracts the jurisdiction of the Labour C</w:t>
      </w:r>
      <w:r w:rsidR="00A74F26">
        <w:rPr>
          <w:rFonts w:ascii="Times New Roman" w:hAnsi="Times New Roman"/>
          <w:color w:val="000000" w:themeColor="text1"/>
          <w:sz w:val="26"/>
          <w:szCs w:val="26"/>
        </w:rPr>
        <w:t xml:space="preserve">ourt.  One of those cases is </w:t>
      </w:r>
      <w:r w:rsidR="00A74F26">
        <w:rPr>
          <w:rFonts w:ascii="Times New Roman" w:hAnsi="Times New Roman"/>
          <w:i/>
          <w:color w:val="000000" w:themeColor="text1"/>
          <w:sz w:val="26"/>
          <w:szCs w:val="26"/>
        </w:rPr>
        <w:t>L</w:t>
      </w:r>
      <w:r w:rsidR="00AE537A">
        <w:rPr>
          <w:rFonts w:ascii="Times New Roman" w:hAnsi="Times New Roman"/>
          <w:i/>
          <w:color w:val="000000" w:themeColor="text1"/>
          <w:sz w:val="26"/>
          <w:szCs w:val="26"/>
        </w:rPr>
        <w:t>ewarne</w:t>
      </w:r>
      <w:r w:rsidR="00A74F26">
        <w:rPr>
          <w:rFonts w:ascii="Times New Roman" w:hAnsi="Times New Roman"/>
          <w:i/>
          <w:color w:val="000000" w:themeColor="text1"/>
          <w:sz w:val="26"/>
          <w:szCs w:val="26"/>
        </w:rPr>
        <w:t xml:space="preserve"> v F</w:t>
      </w:r>
      <w:r w:rsidR="00AE537A">
        <w:rPr>
          <w:rFonts w:ascii="Times New Roman" w:hAnsi="Times New Roman"/>
          <w:i/>
          <w:color w:val="000000" w:themeColor="text1"/>
          <w:sz w:val="26"/>
          <w:szCs w:val="26"/>
        </w:rPr>
        <w:t xml:space="preserve">ochem </w:t>
      </w:r>
      <w:r w:rsidR="00A74F26">
        <w:rPr>
          <w:rFonts w:ascii="Times New Roman" w:hAnsi="Times New Roman"/>
          <w:i/>
          <w:color w:val="000000" w:themeColor="text1"/>
          <w:sz w:val="26"/>
          <w:szCs w:val="26"/>
        </w:rPr>
        <w:t>I</w:t>
      </w:r>
      <w:r w:rsidR="00AE537A">
        <w:rPr>
          <w:rFonts w:ascii="Times New Roman" w:hAnsi="Times New Roman"/>
          <w:i/>
          <w:color w:val="000000" w:themeColor="text1"/>
          <w:sz w:val="26"/>
          <w:szCs w:val="26"/>
        </w:rPr>
        <w:t>nternationa</w:t>
      </w:r>
      <w:r w:rsidR="005B34F0">
        <w:rPr>
          <w:rFonts w:ascii="Times New Roman" w:hAnsi="Times New Roman"/>
          <w:i/>
          <w:color w:val="000000" w:themeColor="text1"/>
          <w:sz w:val="26"/>
          <w:szCs w:val="26"/>
        </w:rPr>
        <w:t xml:space="preserve">l </w:t>
      </w:r>
      <w:r w:rsidR="00A74F26">
        <w:rPr>
          <w:rFonts w:ascii="Times New Roman" w:hAnsi="Times New Roman"/>
          <w:i/>
          <w:color w:val="000000" w:themeColor="text1"/>
          <w:sz w:val="26"/>
          <w:szCs w:val="26"/>
        </w:rPr>
        <w:t xml:space="preserve">(Pty) Ltd </w:t>
      </w:r>
      <w:r w:rsidR="00A74F26">
        <w:rPr>
          <w:rFonts w:ascii="Times New Roman" w:hAnsi="Times New Roman"/>
          <w:color w:val="000000" w:themeColor="text1"/>
          <w:sz w:val="26"/>
          <w:szCs w:val="26"/>
        </w:rPr>
        <w:t xml:space="preserve">[2019] </w:t>
      </w:r>
      <w:r w:rsidR="00547400">
        <w:rPr>
          <w:rFonts w:ascii="Times New Roman" w:hAnsi="Times New Roman"/>
          <w:color w:val="000000" w:themeColor="text1"/>
          <w:sz w:val="26"/>
          <w:szCs w:val="26"/>
        </w:rPr>
        <w:t>ZASCA 114 where the following was said at para 8:</w:t>
      </w:r>
    </w:p>
    <w:p w14:paraId="511B5AFB" w14:textId="63D669CB" w:rsidR="002C4CB0" w:rsidRDefault="00547400" w:rsidP="002C4CB0">
      <w:pPr>
        <w:tabs>
          <w:tab w:val="left" w:pos="851"/>
          <w:tab w:val="left" w:pos="1134"/>
        </w:tabs>
        <w:spacing w:after="0" w:line="240" w:lineRule="auto"/>
        <w:ind w:left="1134" w:right="119"/>
        <w:jc w:val="both"/>
        <w:rPr>
          <w:rFonts w:ascii="Times New Roman" w:hAnsi="Times New Roman" w:cs="Times New Roman"/>
          <w:color w:val="000000"/>
          <w:sz w:val="24"/>
          <w:szCs w:val="24"/>
          <w:shd w:val="clear" w:color="auto" w:fill="FFFFFF"/>
        </w:rPr>
      </w:pPr>
      <w:r w:rsidRPr="002C4CB0">
        <w:rPr>
          <w:rFonts w:ascii="Times New Roman" w:hAnsi="Times New Roman" w:cs="Times New Roman"/>
          <w:color w:val="000000" w:themeColor="text1"/>
          <w:sz w:val="24"/>
          <w:szCs w:val="24"/>
        </w:rPr>
        <w:t>“</w:t>
      </w:r>
      <w:r w:rsidR="002C4CB0" w:rsidRPr="002C4CB0">
        <w:rPr>
          <w:rFonts w:ascii="Times New Roman" w:hAnsi="Times New Roman" w:cs="Times New Roman"/>
          <w:color w:val="242121"/>
          <w:sz w:val="24"/>
          <w:szCs w:val="24"/>
          <w:shd w:val="clear" w:color="auto" w:fill="FFFFFF"/>
        </w:rPr>
        <w:t>Generally in instances where the dispute relates to, is linked to, or is connected with an employment contract, s 77(3) of the BCEA which confers concurrent jurisdiction on the civil courts and the Labour Courts applies. In the present matter, the appellant’s action </w:t>
      </w:r>
      <w:r w:rsidR="002C4CB0" w:rsidRPr="002C4CB0">
        <w:rPr>
          <w:rFonts w:ascii="Times New Roman" w:hAnsi="Times New Roman" w:cs="Times New Roman"/>
          <w:color w:val="000000"/>
          <w:sz w:val="24"/>
          <w:szCs w:val="24"/>
          <w:shd w:val="clear" w:color="auto" w:fill="FFFFFF"/>
        </w:rPr>
        <w:t>arose out of and related to the contract of employment between her and the respondent.  It </w:t>
      </w:r>
      <w:r w:rsidR="002C4CB0" w:rsidRPr="002C4CB0">
        <w:rPr>
          <w:rFonts w:ascii="Times New Roman" w:hAnsi="Times New Roman" w:cs="Times New Roman"/>
          <w:color w:val="242121"/>
          <w:sz w:val="24"/>
          <w:szCs w:val="24"/>
          <w:shd w:val="clear" w:color="auto" w:fill="FFFFFF"/>
        </w:rPr>
        <w:t>was for payment of money due to her in terms of her employment contract. </w:t>
      </w:r>
      <w:r w:rsidR="002C4CB0" w:rsidRPr="002C4CB0">
        <w:rPr>
          <w:rFonts w:ascii="Times New Roman" w:hAnsi="Times New Roman" w:cs="Times New Roman"/>
          <w:color w:val="000000"/>
          <w:sz w:val="24"/>
          <w:szCs w:val="24"/>
          <w:shd w:val="clear" w:color="auto" w:fill="FFFFFF"/>
        </w:rPr>
        <w:t>It was this action that was before the court and on which it had to decide whether it had the necessary jurisdiction</w:t>
      </w:r>
      <w:r w:rsidR="002C4CB0" w:rsidRPr="002C4CB0">
        <w:rPr>
          <w:rFonts w:ascii="Times New Roman" w:hAnsi="Times New Roman" w:cs="Times New Roman"/>
          <w:color w:val="242121"/>
          <w:sz w:val="24"/>
          <w:szCs w:val="24"/>
          <w:shd w:val="clear" w:color="auto" w:fill="FFFFFF"/>
        </w:rPr>
        <w:t>. </w:t>
      </w:r>
      <w:r w:rsidR="002C4CB0" w:rsidRPr="002C4CB0">
        <w:rPr>
          <w:rFonts w:ascii="Times New Roman" w:hAnsi="Times New Roman" w:cs="Times New Roman"/>
          <w:color w:val="000000"/>
          <w:sz w:val="24"/>
          <w:szCs w:val="24"/>
          <w:shd w:val="clear" w:color="auto" w:fill="FFFFFF"/>
        </w:rPr>
        <w:t>It was thus not necessary for the court to place any reliance on the appellant’s reference, in her founding affidavit, to the respondent’s professed reasons for withholding her remuneration, and the fact that that was in contravention of </w:t>
      </w:r>
      <w:r w:rsidR="002C4CB0" w:rsidRPr="002C4CB0">
        <w:rPr>
          <w:rFonts w:ascii="Times New Roman" w:hAnsi="Times New Roman" w:cs="Times New Roman"/>
          <w:color w:val="242121"/>
          <w:sz w:val="24"/>
          <w:szCs w:val="24"/>
          <w:shd w:val="clear" w:color="auto" w:fill="FFFFFF"/>
        </w:rPr>
        <w:t>s 34 of the BCEA</w:t>
      </w:r>
      <w:r w:rsidR="002C4CB0" w:rsidRPr="002C4CB0">
        <w:rPr>
          <w:rFonts w:ascii="Times New Roman" w:hAnsi="Times New Roman" w:cs="Times New Roman"/>
          <w:color w:val="000000"/>
          <w:sz w:val="24"/>
          <w:szCs w:val="24"/>
          <w:shd w:val="clear" w:color="auto" w:fill="FFFFFF"/>
        </w:rPr>
        <w:t xml:space="preserve">. These allegations were simply a summary of relevant facts but they did not alter the essential nature of the appellant’s action. They amounted to what </w:t>
      </w:r>
      <w:r w:rsidR="002C4CB0" w:rsidRPr="002C4CB0">
        <w:rPr>
          <w:rFonts w:ascii="Times New Roman" w:hAnsi="Times New Roman" w:cs="Times New Roman"/>
          <w:color w:val="000000"/>
          <w:sz w:val="24"/>
          <w:szCs w:val="24"/>
          <w:shd w:val="clear" w:color="auto" w:fill="FFFFFF"/>
        </w:rPr>
        <w:lastRenderedPageBreak/>
        <w:t>this court termed, in </w:t>
      </w:r>
      <w:r w:rsidR="002C4CB0" w:rsidRPr="002C4CB0">
        <w:rPr>
          <w:rFonts w:ascii="Times New Roman" w:hAnsi="Times New Roman" w:cs="Times New Roman"/>
          <w:i/>
          <w:iCs/>
          <w:color w:val="000000"/>
          <w:sz w:val="24"/>
          <w:szCs w:val="24"/>
          <w:shd w:val="clear" w:color="auto" w:fill="FFFFFF"/>
        </w:rPr>
        <w:t>Fedlife Assurance Ltd v Wolfaardt</w:t>
      </w:r>
      <w:r w:rsidR="00B2255E">
        <w:rPr>
          <w:rFonts w:ascii="Times New Roman" w:hAnsi="Times New Roman" w:cs="Times New Roman"/>
          <w:i/>
          <w:iCs/>
          <w:color w:val="000000"/>
          <w:sz w:val="24"/>
          <w:szCs w:val="24"/>
          <w:shd w:val="clear" w:color="auto" w:fill="FFFFFF"/>
        </w:rPr>
        <w:t xml:space="preserve"> </w:t>
      </w:r>
      <w:r w:rsidR="00B2255E">
        <w:rPr>
          <w:rFonts w:ascii="Times New Roman" w:hAnsi="Times New Roman" w:cs="Times New Roman"/>
          <w:iCs/>
          <w:color w:val="000000"/>
          <w:sz w:val="24"/>
          <w:szCs w:val="24"/>
          <w:shd w:val="clear" w:color="auto" w:fill="FFFFFF"/>
        </w:rPr>
        <w:t>[2002 (1) SA 49 (SCA) para 21]</w:t>
      </w:r>
      <w:r w:rsidR="004C054B">
        <w:rPr>
          <w:rFonts w:ascii="Times New Roman" w:hAnsi="Times New Roman" w:cs="Times New Roman"/>
          <w:color w:val="000000"/>
          <w:sz w:val="24"/>
          <w:szCs w:val="24"/>
          <w:shd w:val="clear" w:color="auto" w:fill="FFFFFF"/>
        </w:rPr>
        <w:t> as ‘mere surplusage.”</w:t>
      </w:r>
    </w:p>
    <w:p w14:paraId="646B1C72" w14:textId="66A4980A" w:rsidR="00751EC8" w:rsidRDefault="00751EC8" w:rsidP="002C4CB0">
      <w:pPr>
        <w:tabs>
          <w:tab w:val="left" w:pos="851"/>
          <w:tab w:val="left" w:pos="1134"/>
        </w:tabs>
        <w:spacing w:after="0" w:line="240" w:lineRule="auto"/>
        <w:ind w:left="1134" w:right="119"/>
        <w:jc w:val="both"/>
        <w:rPr>
          <w:rFonts w:ascii="Times New Roman" w:hAnsi="Times New Roman" w:cs="Times New Roman"/>
          <w:color w:val="000000"/>
          <w:sz w:val="24"/>
          <w:szCs w:val="24"/>
          <w:shd w:val="clear" w:color="auto" w:fill="FFFFFF"/>
        </w:rPr>
      </w:pPr>
    </w:p>
    <w:p w14:paraId="536992E5" w14:textId="77777777" w:rsidR="00746CCE" w:rsidRDefault="00746CCE" w:rsidP="002C4CB0">
      <w:pPr>
        <w:tabs>
          <w:tab w:val="left" w:pos="851"/>
          <w:tab w:val="left" w:pos="1134"/>
        </w:tabs>
        <w:spacing w:after="0" w:line="240" w:lineRule="auto"/>
        <w:ind w:left="1134" w:right="119"/>
        <w:jc w:val="both"/>
        <w:rPr>
          <w:rFonts w:ascii="Times New Roman" w:hAnsi="Times New Roman" w:cs="Times New Roman"/>
          <w:color w:val="000000"/>
          <w:sz w:val="24"/>
          <w:szCs w:val="24"/>
          <w:shd w:val="clear" w:color="auto" w:fill="FFFFFF"/>
        </w:rPr>
      </w:pPr>
    </w:p>
    <w:p w14:paraId="614A96A5" w14:textId="6C735014" w:rsidR="00D95B11" w:rsidRPr="00D90D52" w:rsidRDefault="004317D1" w:rsidP="00D95B11">
      <w:pPr>
        <w:tabs>
          <w:tab w:val="left" w:pos="851"/>
          <w:tab w:val="left" w:pos="1134"/>
        </w:tabs>
        <w:spacing w:after="0" w:line="360" w:lineRule="auto"/>
        <w:ind w:right="120"/>
        <w:jc w:val="both"/>
        <w:rPr>
          <w:rFonts w:ascii="Times New Roman" w:hAnsi="Times New Roman"/>
          <w:i/>
          <w:color w:val="000000" w:themeColor="text1"/>
          <w:sz w:val="26"/>
          <w:szCs w:val="26"/>
        </w:rPr>
      </w:pPr>
      <w:r>
        <w:rPr>
          <w:rFonts w:ascii="Times New Roman" w:hAnsi="Times New Roman"/>
          <w:color w:val="000000" w:themeColor="text1"/>
          <w:sz w:val="26"/>
          <w:szCs w:val="26"/>
        </w:rPr>
        <w:t>[1</w:t>
      </w:r>
      <w:r w:rsidR="00B2255E">
        <w:rPr>
          <w:rFonts w:ascii="Times New Roman" w:hAnsi="Times New Roman"/>
          <w:color w:val="000000" w:themeColor="text1"/>
          <w:sz w:val="26"/>
          <w:szCs w:val="26"/>
        </w:rPr>
        <w:t>1</w:t>
      </w:r>
      <w:r>
        <w:rPr>
          <w:rFonts w:ascii="Times New Roman" w:hAnsi="Times New Roman"/>
          <w:color w:val="000000" w:themeColor="text1"/>
          <w:sz w:val="26"/>
          <w:szCs w:val="26"/>
        </w:rPr>
        <w:t>]</w:t>
      </w:r>
      <w:r>
        <w:rPr>
          <w:rFonts w:ascii="Times New Roman" w:hAnsi="Times New Roman"/>
          <w:color w:val="000000" w:themeColor="text1"/>
          <w:sz w:val="26"/>
          <w:szCs w:val="26"/>
        </w:rPr>
        <w:tab/>
        <w:t xml:space="preserve">Further, in the case of </w:t>
      </w:r>
      <w:r w:rsidR="00D95B11">
        <w:rPr>
          <w:rFonts w:ascii="Times New Roman" w:hAnsi="Times New Roman"/>
          <w:i/>
          <w:color w:val="000000" w:themeColor="text1"/>
          <w:sz w:val="26"/>
          <w:szCs w:val="26"/>
        </w:rPr>
        <w:t xml:space="preserve">Cagwe, supra, </w:t>
      </w:r>
      <w:r w:rsidR="00D95B11">
        <w:rPr>
          <w:rFonts w:ascii="Times New Roman" w:hAnsi="Times New Roman"/>
          <w:color w:val="000000" w:themeColor="text1"/>
          <w:sz w:val="26"/>
          <w:szCs w:val="26"/>
        </w:rPr>
        <w:t xml:space="preserve">where the employees’ salaries in </w:t>
      </w:r>
      <w:r w:rsidR="00D95B11">
        <w:rPr>
          <w:rFonts w:ascii="Times New Roman" w:hAnsi="Times New Roman"/>
          <w:i/>
          <w:color w:val="000000" w:themeColor="text1"/>
          <w:sz w:val="26"/>
          <w:szCs w:val="26"/>
        </w:rPr>
        <w:t>lieu</w:t>
      </w:r>
      <w:r w:rsidR="00D95B11">
        <w:rPr>
          <w:rFonts w:ascii="Times New Roman" w:hAnsi="Times New Roman"/>
          <w:color w:val="000000" w:themeColor="text1"/>
          <w:sz w:val="26"/>
          <w:szCs w:val="26"/>
        </w:rPr>
        <w:t xml:space="preserve"> of an alleged absenteeism</w:t>
      </w:r>
      <w:r w:rsidR="00751EC8">
        <w:rPr>
          <w:rFonts w:ascii="Times New Roman" w:hAnsi="Times New Roman"/>
          <w:color w:val="000000" w:themeColor="text1"/>
          <w:sz w:val="26"/>
          <w:szCs w:val="26"/>
        </w:rPr>
        <w:t xml:space="preserve"> were reduced</w:t>
      </w:r>
      <w:r w:rsidR="00D95B11">
        <w:rPr>
          <w:rFonts w:ascii="Times New Roman" w:hAnsi="Times New Roman"/>
          <w:color w:val="000000" w:themeColor="text1"/>
          <w:sz w:val="26"/>
          <w:szCs w:val="26"/>
        </w:rPr>
        <w:t xml:space="preserve">, the High Court entertained </w:t>
      </w:r>
      <w:r w:rsidR="00751EC8">
        <w:rPr>
          <w:rFonts w:ascii="Times New Roman" w:hAnsi="Times New Roman"/>
          <w:color w:val="000000" w:themeColor="text1"/>
          <w:sz w:val="26"/>
          <w:szCs w:val="26"/>
        </w:rPr>
        <w:t xml:space="preserve">an application for </w:t>
      </w:r>
      <w:r w:rsidR="00D95B11">
        <w:rPr>
          <w:rFonts w:ascii="Times New Roman" w:hAnsi="Times New Roman"/>
          <w:color w:val="000000" w:themeColor="text1"/>
          <w:sz w:val="26"/>
          <w:szCs w:val="26"/>
        </w:rPr>
        <w:t xml:space="preserve">interdict brought by the employees to stop the deductions </w:t>
      </w:r>
      <w:r w:rsidR="006255BD">
        <w:rPr>
          <w:rFonts w:ascii="Times New Roman" w:hAnsi="Times New Roman"/>
          <w:color w:val="000000" w:themeColor="text1"/>
          <w:sz w:val="26"/>
          <w:szCs w:val="26"/>
        </w:rPr>
        <w:t xml:space="preserve">on the basis that they </w:t>
      </w:r>
      <w:r w:rsidR="00D95B11">
        <w:rPr>
          <w:rFonts w:ascii="Times New Roman" w:hAnsi="Times New Roman"/>
          <w:color w:val="000000" w:themeColor="text1"/>
          <w:sz w:val="26"/>
          <w:szCs w:val="26"/>
        </w:rPr>
        <w:t xml:space="preserve">offended the provisions of s 34 (1) of the BCEA.  </w:t>
      </w:r>
      <w:r w:rsidR="00D90D52">
        <w:rPr>
          <w:rFonts w:ascii="Times New Roman" w:hAnsi="Times New Roman"/>
          <w:color w:val="000000" w:themeColor="text1"/>
          <w:sz w:val="26"/>
          <w:szCs w:val="26"/>
        </w:rPr>
        <w:t xml:space="preserve">I see no reason why the approach in </w:t>
      </w:r>
      <w:r w:rsidR="00D90D52">
        <w:rPr>
          <w:rFonts w:ascii="Times New Roman" w:hAnsi="Times New Roman"/>
          <w:i/>
          <w:color w:val="000000" w:themeColor="text1"/>
          <w:sz w:val="26"/>
          <w:szCs w:val="26"/>
        </w:rPr>
        <w:t xml:space="preserve">Cagwe </w:t>
      </w:r>
      <w:r w:rsidR="00D90D52" w:rsidRPr="00D90D52">
        <w:rPr>
          <w:rFonts w:ascii="Times New Roman" w:hAnsi="Times New Roman"/>
          <w:color w:val="000000" w:themeColor="text1"/>
          <w:sz w:val="26"/>
          <w:szCs w:val="26"/>
        </w:rPr>
        <w:t>should not apply in these proceedings</w:t>
      </w:r>
      <w:r w:rsidR="00D90D52">
        <w:rPr>
          <w:rFonts w:ascii="Times New Roman" w:hAnsi="Times New Roman"/>
          <w:i/>
          <w:color w:val="000000" w:themeColor="text1"/>
          <w:sz w:val="26"/>
          <w:szCs w:val="26"/>
        </w:rPr>
        <w:t>.</w:t>
      </w:r>
    </w:p>
    <w:p w14:paraId="5D992596" w14:textId="236169B7" w:rsidR="004317D1" w:rsidRPr="00D95B11" w:rsidRDefault="004317D1" w:rsidP="003966E4">
      <w:pPr>
        <w:tabs>
          <w:tab w:val="left" w:pos="851"/>
          <w:tab w:val="left" w:pos="1134"/>
        </w:tabs>
        <w:spacing w:after="0" w:line="360" w:lineRule="auto"/>
        <w:ind w:right="120"/>
        <w:jc w:val="both"/>
        <w:rPr>
          <w:rFonts w:ascii="Times New Roman" w:hAnsi="Times New Roman"/>
          <w:color w:val="000000" w:themeColor="text1"/>
          <w:sz w:val="26"/>
          <w:szCs w:val="26"/>
        </w:rPr>
      </w:pPr>
    </w:p>
    <w:p w14:paraId="2297601A" w14:textId="1320DA6A" w:rsidR="005B63A1" w:rsidRDefault="005B63A1" w:rsidP="00DE01C0">
      <w:pPr>
        <w:tabs>
          <w:tab w:val="left" w:pos="851"/>
          <w:tab w:val="left" w:pos="1134"/>
        </w:tabs>
        <w:spacing w:after="0" w:line="360" w:lineRule="auto"/>
        <w:ind w:right="120"/>
        <w:jc w:val="both"/>
        <w:rPr>
          <w:rFonts w:ascii="Times New Roman" w:hAnsi="Times New Roman"/>
          <w:color w:val="000000" w:themeColor="text1"/>
          <w:sz w:val="26"/>
          <w:szCs w:val="26"/>
        </w:rPr>
      </w:pPr>
      <w:r>
        <w:rPr>
          <w:rFonts w:ascii="Times New Roman" w:hAnsi="Times New Roman"/>
          <w:color w:val="000000" w:themeColor="text1"/>
          <w:sz w:val="26"/>
          <w:szCs w:val="26"/>
        </w:rPr>
        <w:t>[1</w:t>
      </w:r>
      <w:r w:rsidR="00DE01C0">
        <w:rPr>
          <w:rFonts w:ascii="Times New Roman" w:hAnsi="Times New Roman"/>
          <w:color w:val="000000" w:themeColor="text1"/>
          <w:sz w:val="26"/>
          <w:szCs w:val="26"/>
        </w:rPr>
        <w:t>2</w:t>
      </w:r>
      <w:r w:rsidR="009E68C3">
        <w:rPr>
          <w:rFonts w:ascii="Times New Roman" w:hAnsi="Times New Roman"/>
          <w:color w:val="000000" w:themeColor="text1"/>
          <w:sz w:val="26"/>
          <w:szCs w:val="26"/>
        </w:rPr>
        <w:t>]</w:t>
      </w:r>
      <w:r w:rsidR="009E68C3">
        <w:rPr>
          <w:rFonts w:ascii="Times New Roman" w:hAnsi="Times New Roman"/>
          <w:color w:val="000000" w:themeColor="text1"/>
          <w:sz w:val="26"/>
          <w:szCs w:val="26"/>
        </w:rPr>
        <w:tab/>
        <w:t xml:space="preserve">The submission </w:t>
      </w:r>
      <w:r>
        <w:rPr>
          <w:rFonts w:ascii="Times New Roman" w:hAnsi="Times New Roman"/>
          <w:color w:val="000000" w:themeColor="text1"/>
          <w:sz w:val="26"/>
          <w:szCs w:val="26"/>
        </w:rPr>
        <w:t xml:space="preserve">that contractual entitlement </w:t>
      </w:r>
      <w:r w:rsidR="00DE01C0">
        <w:rPr>
          <w:rFonts w:ascii="Times New Roman" w:hAnsi="Times New Roman"/>
          <w:color w:val="000000" w:themeColor="text1"/>
          <w:sz w:val="26"/>
          <w:szCs w:val="26"/>
        </w:rPr>
        <w:t xml:space="preserve">to the 2.5% notch increment </w:t>
      </w:r>
      <w:r w:rsidR="009E68C3">
        <w:rPr>
          <w:rFonts w:ascii="Times New Roman" w:hAnsi="Times New Roman"/>
          <w:color w:val="000000" w:themeColor="text1"/>
          <w:sz w:val="26"/>
          <w:szCs w:val="26"/>
        </w:rPr>
        <w:t>and the breach thereof, were</w:t>
      </w:r>
      <w:r>
        <w:rPr>
          <w:rFonts w:ascii="Times New Roman" w:hAnsi="Times New Roman"/>
          <w:color w:val="000000" w:themeColor="text1"/>
          <w:sz w:val="26"/>
          <w:szCs w:val="26"/>
        </w:rPr>
        <w:t xml:space="preserve"> not pleaded by the applicants is not correct.  </w:t>
      </w:r>
      <w:r w:rsidR="0034012C">
        <w:rPr>
          <w:rFonts w:ascii="Times New Roman" w:hAnsi="Times New Roman"/>
          <w:color w:val="000000" w:themeColor="text1"/>
          <w:sz w:val="26"/>
          <w:szCs w:val="26"/>
        </w:rPr>
        <w:t xml:space="preserve">The contractual breaches pleaded by the applicants read together with the evidence show that 2.5% </w:t>
      </w:r>
      <w:r w:rsidR="006A63A4">
        <w:rPr>
          <w:rFonts w:ascii="Times New Roman" w:hAnsi="Times New Roman"/>
          <w:color w:val="000000" w:themeColor="text1"/>
          <w:sz w:val="26"/>
          <w:szCs w:val="26"/>
        </w:rPr>
        <w:t xml:space="preserve">increment was applied to all the employees of </w:t>
      </w:r>
      <w:r w:rsidR="0034012C">
        <w:rPr>
          <w:rFonts w:ascii="Times New Roman" w:hAnsi="Times New Roman"/>
          <w:color w:val="000000" w:themeColor="text1"/>
          <w:sz w:val="26"/>
          <w:szCs w:val="26"/>
        </w:rPr>
        <w:t xml:space="preserve">the Municipality </w:t>
      </w:r>
      <w:r w:rsidR="006A63A4">
        <w:rPr>
          <w:rFonts w:ascii="Times New Roman" w:hAnsi="Times New Roman"/>
          <w:color w:val="000000" w:themeColor="text1"/>
          <w:sz w:val="26"/>
          <w:szCs w:val="26"/>
        </w:rPr>
        <w:t xml:space="preserve">and actually paid </w:t>
      </w:r>
      <w:r w:rsidR="00BE64B0">
        <w:rPr>
          <w:rFonts w:ascii="Times New Roman" w:hAnsi="Times New Roman"/>
          <w:color w:val="000000" w:themeColor="text1"/>
          <w:sz w:val="26"/>
          <w:szCs w:val="26"/>
        </w:rPr>
        <w:t xml:space="preserve">the increased remuneration </w:t>
      </w:r>
      <w:r w:rsidR="006A63A4">
        <w:rPr>
          <w:rFonts w:ascii="Times New Roman" w:hAnsi="Times New Roman"/>
          <w:color w:val="000000" w:themeColor="text1"/>
          <w:sz w:val="26"/>
          <w:szCs w:val="26"/>
        </w:rPr>
        <w:t>over a considerable period of time</w:t>
      </w:r>
      <w:r w:rsidR="00BE64B0">
        <w:rPr>
          <w:rFonts w:ascii="Times New Roman" w:hAnsi="Times New Roman"/>
          <w:color w:val="000000" w:themeColor="text1"/>
          <w:sz w:val="26"/>
          <w:szCs w:val="26"/>
        </w:rPr>
        <w:t>,</w:t>
      </w:r>
      <w:r w:rsidR="006A63A4">
        <w:rPr>
          <w:rFonts w:ascii="Times New Roman" w:hAnsi="Times New Roman"/>
          <w:color w:val="000000" w:themeColor="text1"/>
          <w:sz w:val="26"/>
          <w:szCs w:val="26"/>
        </w:rPr>
        <w:t xml:space="preserve"> </w:t>
      </w:r>
      <w:r w:rsidR="00BE64B0">
        <w:rPr>
          <w:rFonts w:ascii="Times New Roman" w:hAnsi="Times New Roman"/>
          <w:color w:val="000000" w:themeColor="text1"/>
          <w:sz w:val="26"/>
          <w:szCs w:val="26"/>
        </w:rPr>
        <w:t xml:space="preserve">which in my view amounts to the </w:t>
      </w:r>
      <w:r w:rsidR="006A63A4">
        <w:rPr>
          <w:rFonts w:ascii="Times New Roman" w:hAnsi="Times New Roman"/>
          <w:color w:val="000000" w:themeColor="text1"/>
          <w:sz w:val="26"/>
          <w:szCs w:val="26"/>
        </w:rPr>
        <w:t>acceptance by conduct on the part of</w:t>
      </w:r>
      <w:r w:rsidR="00BE64B0">
        <w:rPr>
          <w:rFonts w:ascii="Times New Roman" w:hAnsi="Times New Roman"/>
          <w:color w:val="000000" w:themeColor="text1"/>
          <w:sz w:val="26"/>
          <w:szCs w:val="26"/>
        </w:rPr>
        <w:t xml:space="preserve"> the Municipality </w:t>
      </w:r>
      <w:r w:rsidR="006A63A4">
        <w:rPr>
          <w:rFonts w:ascii="Times New Roman" w:hAnsi="Times New Roman"/>
          <w:color w:val="000000" w:themeColor="text1"/>
          <w:sz w:val="26"/>
          <w:szCs w:val="26"/>
        </w:rPr>
        <w:t>that payment</w:t>
      </w:r>
      <w:r w:rsidR="00BE64B0">
        <w:rPr>
          <w:rFonts w:ascii="Times New Roman" w:hAnsi="Times New Roman"/>
          <w:color w:val="000000" w:themeColor="text1"/>
          <w:sz w:val="26"/>
          <w:szCs w:val="26"/>
        </w:rPr>
        <w:t xml:space="preserve">s were </w:t>
      </w:r>
      <w:r w:rsidR="006A63A4">
        <w:rPr>
          <w:rFonts w:ascii="Times New Roman" w:hAnsi="Times New Roman"/>
          <w:color w:val="000000" w:themeColor="text1"/>
          <w:sz w:val="26"/>
          <w:szCs w:val="26"/>
        </w:rPr>
        <w:t xml:space="preserve">lawful. </w:t>
      </w:r>
      <w:r w:rsidR="00D90D52">
        <w:rPr>
          <w:rFonts w:ascii="Times New Roman" w:hAnsi="Times New Roman"/>
          <w:color w:val="000000" w:themeColor="text1"/>
          <w:sz w:val="26"/>
          <w:szCs w:val="26"/>
        </w:rPr>
        <w:t xml:space="preserve">  I also find comfort in regarding the payments as lawful because there was no legislation against the contractual agreement between parties that prevented the benefits of the notch increment.  </w:t>
      </w:r>
      <w:r w:rsidR="006A63A4">
        <w:rPr>
          <w:rFonts w:ascii="Times New Roman" w:hAnsi="Times New Roman"/>
          <w:color w:val="000000" w:themeColor="text1"/>
          <w:sz w:val="26"/>
          <w:szCs w:val="26"/>
        </w:rPr>
        <w:t>The</w:t>
      </w:r>
      <w:r w:rsidR="006D548D">
        <w:rPr>
          <w:rFonts w:ascii="Times New Roman" w:hAnsi="Times New Roman"/>
          <w:color w:val="000000" w:themeColor="text1"/>
          <w:sz w:val="26"/>
          <w:szCs w:val="26"/>
        </w:rPr>
        <w:t xml:space="preserve"> unilateral</w:t>
      </w:r>
      <w:r w:rsidR="006A63A4">
        <w:rPr>
          <w:rFonts w:ascii="Times New Roman" w:hAnsi="Times New Roman"/>
          <w:color w:val="000000" w:themeColor="text1"/>
          <w:sz w:val="26"/>
          <w:szCs w:val="26"/>
        </w:rPr>
        <w:t xml:space="preserve"> change of mind to stop the payment and recover same as overpayments retrospectively does not justify the description </w:t>
      </w:r>
      <w:r w:rsidR="006D548D">
        <w:rPr>
          <w:rFonts w:ascii="Times New Roman" w:hAnsi="Times New Roman"/>
          <w:color w:val="000000" w:themeColor="text1"/>
          <w:sz w:val="26"/>
          <w:szCs w:val="26"/>
        </w:rPr>
        <w:t>of those payments as illegal.  Further, th</w:t>
      </w:r>
      <w:r w:rsidR="006A63A4">
        <w:rPr>
          <w:rFonts w:ascii="Times New Roman" w:hAnsi="Times New Roman"/>
          <w:color w:val="000000" w:themeColor="text1"/>
          <w:sz w:val="26"/>
          <w:szCs w:val="26"/>
        </w:rPr>
        <w:t>e allegation that the applicant</w:t>
      </w:r>
      <w:r w:rsidR="005E7F25">
        <w:rPr>
          <w:rFonts w:ascii="Times New Roman" w:hAnsi="Times New Roman"/>
          <w:color w:val="000000" w:themeColor="text1"/>
          <w:sz w:val="26"/>
          <w:szCs w:val="26"/>
        </w:rPr>
        <w:t>s did not qualify for payments received is not proved if regard is had to the admission by</w:t>
      </w:r>
      <w:r w:rsidR="00BE64B0">
        <w:rPr>
          <w:rFonts w:ascii="Times New Roman" w:hAnsi="Times New Roman"/>
          <w:color w:val="000000" w:themeColor="text1"/>
          <w:sz w:val="26"/>
          <w:szCs w:val="26"/>
        </w:rPr>
        <w:t xml:space="preserve"> the Municipality </w:t>
      </w:r>
      <w:r w:rsidR="005E7F25">
        <w:rPr>
          <w:rFonts w:ascii="Times New Roman" w:hAnsi="Times New Roman"/>
          <w:color w:val="000000" w:themeColor="text1"/>
          <w:sz w:val="26"/>
          <w:szCs w:val="26"/>
        </w:rPr>
        <w:t>that it has not been able to complete the TASK grading system which commenced in 2012, with the result that it is not for the fault of the applicants that they were not placed on a grade.  In the final analysis</w:t>
      </w:r>
      <w:r w:rsidR="00950361">
        <w:rPr>
          <w:rFonts w:ascii="Times New Roman" w:hAnsi="Times New Roman"/>
          <w:color w:val="000000" w:themeColor="text1"/>
          <w:sz w:val="26"/>
          <w:szCs w:val="26"/>
        </w:rPr>
        <w:t xml:space="preserve">, </w:t>
      </w:r>
      <w:r w:rsidR="005E7F25">
        <w:rPr>
          <w:rFonts w:ascii="Times New Roman" w:hAnsi="Times New Roman"/>
          <w:color w:val="000000" w:themeColor="text1"/>
          <w:sz w:val="26"/>
          <w:szCs w:val="26"/>
        </w:rPr>
        <w:t xml:space="preserve">the </w:t>
      </w:r>
      <w:r w:rsidR="00950361">
        <w:rPr>
          <w:rFonts w:ascii="Times New Roman" w:hAnsi="Times New Roman"/>
          <w:color w:val="000000" w:themeColor="text1"/>
          <w:sz w:val="26"/>
          <w:szCs w:val="26"/>
        </w:rPr>
        <w:t xml:space="preserve">fact </w:t>
      </w:r>
      <w:r w:rsidR="00A800FF">
        <w:rPr>
          <w:rFonts w:ascii="Times New Roman" w:hAnsi="Times New Roman"/>
          <w:color w:val="000000" w:themeColor="text1"/>
          <w:sz w:val="26"/>
          <w:szCs w:val="26"/>
        </w:rPr>
        <w:t xml:space="preserve">of </w:t>
      </w:r>
      <w:r w:rsidR="00950361">
        <w:rPr>
          <w:rFonts w:ascii="Times New Roman" w:hAnsi="Times New Roman"/>
          <w:color w:val="000000" w:themeColor="text1"/>
          <w:sz w:val="26"/>
          <w:szCs w:val="26"/>
        </w:rPr>
        <w:t xml:space="preserve">the matter </w:t>
      </w:r>
      <w:r w:rsidR="005E7F25">
        <w:rPr>
          <w:rFonts w:ascii="Times New Roman" w:hAnsi="Times New Roman"/>
          <w:color w:val="000000" w:themeColor="text1"/>
          <w:sz w:val="26"/>
          <w:szCs w:val="26"/>
        </w:rPr>
        <w:t>is that the deductions were effected without regard to the applicants’ right to be heard as envisaged in s 34 (</w:t>
      </w:r>
      <w:r w:rsidR="00950361">
        <w:rPr>
          <w:rFonts w:ascii="Times New Roman" w:hAnsi="Times New Roman"/>
          <w:color w:val="000000" w:themeColor="text1"/>
          <w:sz w:val="26"/>
          <w:szCs w:val="26"/>
        </w:rPr>
        <w:t>2</w:t>
      </w:r>
      <w:r w:rsidR="005E7F25">
        <w:rPr>
          <w:rFonts w:ascii="Times New Roman" w:hAnsi="Times New Roman"/>
          <w:color w:val="000000" w:themeColor="text1"/>
          <w:sz w:val="26"/>
          <w:szCs w:val="26"/>
        </w:rPr>
        <w:t>)</w:t>
      </w:r>
      <w:r w:rsidR="00950361">
        <w:rPr>
          <w:rFonts w:ascii="Times New Roman" w:hAnsi="Times New Roman"/>
          <w:i/>
          <w:color w:val="000000" w:themeColor="text1"/>
          <w:sz w:val="26"/>
          <w:szCs w:val="26"/>
        </w:rPr>
        <w:t>(b)</w:t>
      </w:r>
      <w:r w:rsidR="005E7F25">
        <w:rPr>
          <w:rFonts w:ascii="Times New Roman" w:hAnsi="Times New Roman"/>
          <w:color w:val="000000" w:themeColor="text1"/>
          <w:sz w:val="26"/>
          <w:szCs w:val="26"/>
        </w:rPr>
        <w:t xml:space="preserve"> of BCEA.</w:t>
      </w:r>
    </w:p>
    <w:p w14:paraId="07A092D4" w14:textId="77777777" w:rsidR="000D47C8" w:rsidRDefault="000D47C8" w:rsidP="003966E4">
      <w:pPr>
        <w:tabs>
          <w:tab w:val="left" w:pos="851"/>
          <w:tab w:val="left" w:pos="1134"/>
        </w:tabs>
        <w:spacing w:after="0" w:line="360" w:lineRule="auto"/>
        <w:ind w:right="120"/>
        <w:jc w:val="both"/>
        <w:rPr>
          <w:rFonts w:ascii="Times New Roman" w:hAnsi="Times New Roman"/>
          <w:color w:val="000000" w:themeColor="text1"/>
          <w:sz w:val="26"/>
          <w:szCs w:val="26"/>
        </w:rPr>
      </w:pPr>
    </w:p>
    <w:p w14:paraId="34D22030" w14:textId="62D08873" w:rsidR="005E7F25" w:rsidRDefault="005E7F25" w:rsidP="003966E4">
      <w:pPr>
        <w:tabs>
          <w:tab w:val="left" w:pos="851"/>
          <w:tab w:val="left" w:pos="1134"/>
        </w:tabs>
        <w:spacing w:after="0" w:line="360" w:lineRule="auto"/>
        <w:ind w:right="120"/>
        <w:jc w:val="both"/>
        <w:rPr>
          <w:rFonts w:ascii="Times New Roman" w:hAnsi="Times New Roman"/>
          <w:color w:val="000000" w:themeColor="text1"/>
          <w:sz w:val="26"/>
          <w:szCs w:val="26"/>
        </w:rPr>
      </w:pPr>
      <w:r>
        <w:rPr>
          <w:rFonts w:ascii="Times New Roman" w:hAnsi="Times New Roman"/>
          <w:color w:val="000000" w:themeColor="text1"/>
          <w:sz w:val="26"/>
          <w:szCs w:val="26"/>
        </w:rPr>
        <w:t>[1</w:t>
      </w:r>
      <w:r w:rsidR="00DE01C0">
        <w:rPr>
          <w:rFonts w:ascii="Times New Roman" w:hAnsi="Times New Roman"/>
          <w:color w:val="000000" w:themeColor="text1"/>
          <w:sz w:val="26"/>
          <w:szCs w:val="26"/>
        </w:rPr>
        <w:t>3</w:t>
      </w:r>
      <w:r>
        <w:rPr>
          <w:rFonts w:ascii="Times New Roman" w:hAnsi="Times New Roman"/>
          <w:color w:val="000000" w:themeColor="text1"/>
          <w:sz w:val="26"/>
          <w:szCs w:val="26"/>
        </w:rPr>
        <w:t>]</w:t>
      </w:r>
      <w:r>
        <w:rPr>
          <w:rFonts w:ascii="Times New Roman" w:hAnsi="Times New Roman"/>
          <w:color w:val="000000" w:themeColor="text1"/>
          <w:sz w:val="26"/>
          <w:szCs w:val="26"/>
        </w:rPr>
        <w:tab/>
        <w:t>The submission that a declaratory order should have been pursued under review proceedings incorporating an interdict cannot be sustained because the present application for a declaratory</w:t>
      </w:r>
      <w:r w:rsidR="005773FF">
        <w:rPr>
          <w:rFonts w:ascii="Times New Roman" w:hAnsi="Times New Roman"/>
          <w:color w:val="000000" w:themeColor="text1"/>
          <w:sz w:val="26"/>
          <w:szCs w:val="26"/>
        </w:rPr>
        <w:t xml:space="preserve"> relief</w:t>
      </w:r>
      <w:r>
        <w:rPr>
          <w:rFonts w:ascii="Times New Roman" w:hAnsi="Times New Roman"/>
          <w:color w:val="000000" w:themeColor="text1"/>
          <w:sz w:val="26"/>
          <w:szCs w:val="26"/>
        </w:rPr>
        <w:t>, as a cause of action</w:t>
      </w:r>
      <w:r w:rsidR="00ED4B92">
        <w:rPr>
          <w:rFonts w:ascii="Times New Roman" w:hAnsi="Times New Roman"/>
          <w:color w:val="000000" w:themeColor="text1"/>
          <w:sz w:val="26"/>
          <w:szCs w:val="26"/>
        </w:rPr>
        <w:t xml:space="preserve">, is </w:t>
      </w:r>
      <w:r w:rsidR="000D47C8">
        <w:rPr>
          <w:rFonts w:ascii="Times New Roman" w:hAnsi="Times New Roman"/>
          <w:color w:val="000000" w:themeColor="text1"/>
          <w:sz w:val="26"/>
          <w:szCs w:val="26"/>
        </w:rPr>
        <w:t xml:space="preserve">in </w:t>
      </w:r>
      <w:r w:rsidR="00ED4B92">
        <w:rPr>
          <w:rFonts w:ascii="Times New Roman" w:hAnsi="Times New Roman"/>
          <w:color w:val="000000" w:themeColor="text1"/>
          <w:sz w:val="26"/>
          <w:szCs w:val="26"/>
        </w:rPr>
        <w:t xml:space="preserve">and </w:t>
      </w:r>
      <w:r w:rsidR="000D47C8">
        <w:rPr>
          <w:rFonts w:ascii="Times New Roman" w:hAnsi="Times New Roman"/>
          <w:color w:val="000000" w:themeColor="text1"/>
          <w:sz w:val="26"/>
          <w:szCs w:val="26"/>
        </w:rPr>
        <w:t xml:space="preserve">of </w:t>
      </w:r>
      <w:r>
        <w:rPr>
          <w:rFonts w:ascii="Times New Roman" w:hAnsi="Times New Roman"/>
          <w:color w:val="000000" w:themeColor="text1"/>
          <w:sz w:val="26"/>
          <w:szCs w:val="26"/>
        </w:rPr>
        <w:t>itsel</w:t>
      </w:r>
      <w:r w:rsidR="00BC27EF">
        <w:rPr>
          <w:rFonts w:ascii="Times New Roman" w:hAnsi="Times New Roman"/>
          <w:color w:val="000000" w:themeColor="text1"/>
          <w:sz w:val="26"/>
          <w:szCs w:val="26"/>
        </w:rPr>
        <w:t>f</w:t>
      </w:r>
      <w:r>
        <w:rPr>
          <w:rFonts w:ascii="Times New Roman" w:hAnsi="Times New Roman"/>
          <w:color w:val="000000" w:themeColor="text1"/>
          <w:sz w:val="26"/>
          <w:szCs w:val="26"/>
        </w:rPr>
        <w:t xml:space="preserve"> a competent remedy.  It might </w:t>
      </w:r>
      <w:r w:rsidR="00BC27EF">
        <w:rPr>
          <w:rFonts w:ascii="Times New Roman" w:hAnsi="Times New Roman"/>
          <w:color w:val="000000" w:themeColor="text1"/>
          <w:sz w:val="26"/>
          <w:szCs w:val="26"/>
        </w:rPr>
        <w:t xml:space="preserve">well be good to re-iterate the point that the declaratory relief has </w:t>
      </w:r>
      <w:r w:rsidR="00BC27EF">
        <w:rPr>
          <w:rFonts w:ascii="Times New Roman" w:hAnsi="Times New Roman"/>
          <w:color w:val="000000" w:themeColor="text1"/>
          <w:sz w:val="26"/>
          <w:szCs w:val="26"/>
        </w:rPr>
        <w:lastRenderedPageBreak/>
        <w:t xml:space="preserve">been properly pleaded, namely that the applicants have a right to be paid an agreed salary and car allowance; and </w:t>
      </w:r>
      <w:r w:rsidR="00926A2A">
        <w:rPr>
          <w:rFonts w:ascii="Times New Roman" w:hAnsi="Times New Roman"/>
          <w:color w:val="000000" w:themeColor="text1"/>
          <w:sz w:val="26"/>
          <w:szCs w:val="26"/>
        </w:rPr>
        <w:t xml:space="preserve">the Municipality </w:t>
      </w:r>
      <w:r w:rsidR="00BC27EF">
        <w:rPr>
          <w:rFonts w:ascii="Times New Roman" w:hAnsi="Times New Roman"/>
          <w:color w:val="000000" w:themeColor="text1"/>
          <w:sz w:val="26"/>
          <w:szCs w:val="26"/>
        </w:rPr>
        <w:t>had no right to unilaterally reduce the remuneration of the applicants</w:t>
      </w:r>
      <w:r w:rsidR="009E7118">
        <w:rPr>
          <w:rFonts w:ascii="Times New Roman" w:hAnsi="Times New Roman"/>
          <w:color w:val="000000" w:themeColor="text1"/>
          <w:sz w:val="26"/>
          <w:szCs w:val="26"/>
        </w:rPr>
        <w:t xml:space="preserve">.  </w:t>
      </w:r>
    </w:p>
    <w:p w14:paraId="587FFCC4" w14:textId="2BFAB9EB" w:rsidR="00BC27EF" w:rsidRDefault="00BC27EF" w:rsidP="003966E4">
      <w:pPr>
        <w:tabs>
          <w:tab w:val="left" w:pos="851"/>
          <w:tab w:val="left" w:pos="1134"/>
        </w:tabs>
        <w:spacing w:after="0" w:line="360" w:lineRule="auto"/>
        <w:ind w:right="120"/>
        <w:jc w:val="both"/>
        <w:rPr>
          <w:rFonts w:ascii="Times New Roman" w:hAnsi="Times New Roman"/>
          <w:color w:val="000000" w:themeColor="text1"/>
          <w:sz w:val="26"/>
          <w:szCs w:val="26"/>
        </w:rPr>
      </w:pPr>
    </w:p>
    <w:p w14:paraId="4CBB3B1F" w14:textId="6EBA302F" w:rsidR="00BC27EF" w:rsidRDefault="00BC27EF" w:rsidP="003966E4">
      <w:pPr>
        <w:tabs>
          <w:tab w:val="left" w:pos="851"/>
          <w:tab w:val="left" w:pos="1134"/>
        </w:tabs>
        <w:spacing w:after="0" w:line="360" w:lineRule="auto"/>
        <w:ind w:right="120"/>
        <w:jc w:val="both"/>
        <w:rPr>
          <w:rFonts w:ascii="Times New Roman" w:hAnsi="Times New Roman"/>
          <w:color w:val="000000" w:themeColor="text1"/>
          <w:sz w:val="26"/>
          <w:szCs w:val="26"/>
        </w:rPr>
      </w:pPr>
      <w:r>
        <w:rPr>
          <w:rFonts w:ascii="Times New Roman" w:hAnsi="Times New Roman"/>
          <w:color w:val="000000" w:themeColor="text1"/>
          <w:sz w:val="26"/>
          <w:szCs w:val="26"/>
        </w:rPr>
        <w:t>[1</w:t>
      </w:r>
      <w:r w:rsidR="00DE01C0">
        <w:rPr>
          <w:rFonts w:ascii="Times New Roman" w:hAnsi="Times New Roman"/>
          <w:color w:val="000000" w:themeColor="text1"/>
          <w:sz w:val="26"/>
          <w:szCs w:val="26"/>
        </w:rPr>
        <w:t>4</w:t>
      </w:r>
      <w:r>
        <w:rPr>
          <w:rFonts w:ascii="Times New Roman" w:hAnsi="Times New Roman"/>
          <w:color w:val="000000" w:themeColor="text1"/>
          <w:sz w:val="26"/>
          <w:szCs w:val="26"/>
        </w:rPr>
        <w:t>]</w:t>
      </w:r>
      <w:r>
        <w:rPr>
          <w:rFonts w:ascii="Times New Roman" w:hAnsi="Times New Roman"/>
          <w:color w:val="000000" w:themeColor="text1"/>
          <w:sz w:val="26"/>
          <w:szCs w:val="26"/>
        </w:rPr>
        <w:tab/>
        <w:t xml:space="preserve">In summary, this Court is seized with jurisdiction to determine </w:t>
      </w:r>
      <w:r w:rsidR="00D528C1">
        <w:rPr>
          <w:rFonts w:ascii="Times New Roman" w:hAnsi="Times New Roman"/>
          <w:color w:val="000000" w:themeColor="text1"/>
          <w:sz w:val="26"/>
          <w:szCs w:val="26"/>
        </w:rPr>
        <w:t>the dispute between the parties for the reason that the essential nature of the applicants’ claims is an unlawful breach of employment contract</w:t>
      </w:r>
      <w:r w:rsidR="005C6B06">
        <w:rPr>
          <w:rFonts w:ascii="Times New Roman" w:hAnsi="Times New Roman"/>
          <w:color w:val="000000" w:themeColor="text1"/>
          <w:sz w:val="26"/>
          <w:szCs w:val="26"/>
        </w:rPr>
        <w:t>s</w:t>
      </w:r>
      <w:r w:rsidR="00D528C1">
        <w:rPr>
          <w:rFonts w:ascii="Times New Roman" w:hAnsi="Times New Roman"/>
          <w:color w:val="000000" w:themeColor="text1"/>
          <w:sz w:val="26"/>
          <w:szCs w:val="26"/>
        </w:rPr>
        <w:t xml:space="preserve">.  The fact that the Labour Court has concurrent jurisdiction together with this Court does not deprive this Court of </w:t>
      </w:r>
      <w:r w:rsidR="005773FF">
        <w:rPr>
          <w:rFonts w:ascii="Times New Roman" w:hAnsi="Times New Roman"/>
          <w:color w:val="000000" w:themeColor="text1"/>
          <w:sz w:val="26"/>
          <w:szCs w:val="26"/>
        </w:rPr>
        <w:t xml:space="preserve">competence to determine the relief sought.  </w:t>
      </w:r>
      <w:r w:rsidR="009E7118">
        <w:rPr>
          <w:rFonts w:ascii="Times New Roman" w:hAnsi="Times New Roman"/>
          <w:color w:val="000000" w:themeColor="text1"/>
          <w:sz w:val="26"/>
          <w:szCs w:val="26"/>
        </w:rPr>
        <w:t xml:space="preserve"> T</w:t>
      </w:r>
      <w:r w:rsidR="00D528C1">
        <w:rPr>
          <w:rFonts w:ascii="Times New Roman" w:hAnsi="Times New Roman"/>
          <w:color w:val="000000" w:themeColor="text1"/>
          <w:sz w:val="26"/>
          <w:szCs w:val="26"/>
        </w:rPr>
        <w:t xml:space="preserve">he residual legal objections advanced on behalf of the respondents; which have been </w:t>
      </w:r>
      <w:r w:rsidR="00247802">
        <w:rPr>
          <w:rFonts w:ascii="Times New Roman" w:hAnsi="Times New Roman"/>
          <w:color w:val="000000" w:themeColor="text1"/>
          <w:sz w:val="26"/>
          <w:szCs w:val="26"/>
        </w:rPr>
        <w:t xml:space="preserve">discussed above, do not have </w:t>
      </w:r>
      <w:r w:rsidR="00BB751E">
        <w:rPr>
          <w:rFonts w:ascii="Times New Roman" w:hAnsi="Times New Roman"/>
          <w:color w:val="000000" w:themeColor="text1"/>
          <w:sz w:val="26"/>
          <w:szCs w:val="26"/>
        </w:rPr>
        <w:t xml:space="preserve">a </w:t>
      </w:r>
      <w:r w:rsidR="00247802">
        <w:rPr>
          <w:rFonts w:ascii="Times New Roman" w:hAnsi="Times New Roman"/>
          <w:color w:val="000000" w:themeColor="text1"/>
          <w:sz w:val="26"/>
          <w:szCs w:val="26"/>
        </w:rPr>
        <w:t>basis.  Finally, all the legal objection</w:t>
      </w:r>
      <w:r w:rsidR="00DB1629">
        <w:rPr>
          <w:rFonts w:ascii="Times New Roman" w:hAnsi="Times New Roman"/>
          <w:color w:val="000000" w:themeColor="text1"/>
          <w:sz w:val="26"/>
          <w:szCs w:val="26"/>
        </w:rPr>
        <w:t>s</w:t>
      </w:r>
      <w:r w:rsidR="00247802">
        <w:rPr>
          <w:rFonts w:ascii="Times New Roman" w:hAnsi="Times New Roman"/>
          <w:color w:val="000000" w:themeColor="text1"/>
          <w:sz w:val="26"/>
          <w:szCs w:val="26"/>
        </w:rPr>
        <w:t xml:space="preserve"> raised to thwart the </w:t>
      </w:r>
      <w:r w:rsidR="00FA07A9">
        <w:rPr>
          <w:rFonts w:ascii="Times New Roman" w:hAnsi="Times New Roman"/>
          <w:color w:val="000000" w:themeColor="text1"/>
          <w:sz w:val="26"/>
          <w:szCs w:val="26"/>
        </w:rPr>
        <w:t xml:space="preserve">validity </w:t>
      </w:r>
      <w:r w:rsidR="00247802">
        <w:rPr>
          <w:rFonts w:ascii="Times New Roman" w:hAnsi="Times New Roman"/>
          <w:color w:val="000000" w:themeColor="text1"/>
          <w:sz w:val="26"/>
          <w:szCs w:val="26"/>
        </w:rPr>
        <w:t xml:space="preserve">of the applicants’ claims </w:t>
      </w:r>
      <w:r w:rsidR="00FA07A9">
        <w:rPr>
          <w:rFonts w:ascii="Times New Roman" w:hAnsi="Times New Roman"/>
          <w:color w:val="000000" w:themeColor="text1"/>
          <w:sz w:val="26"/>
          <w:szCs w:val="26"/>
        </w:rPr>
        <w:t>fall to be</w:t>
      </w:r>
      <w:r w:rsidR="00247802">
        <w:rPr>
          <w:rFonts w:ascii="Times New Roman" w:hAnsi="Times New Roman"/>
          <w:color w:val="000000" w:themeColor="text1"/>
          <w:sz w:val="26"/>
          <w:szCs w:val="26"/>
        </w:rPr>
        <w:t xml:space="preserve"> dismissed.</w:t>
      </w:r>
    </w:p>
    <w:p w14:paraId="6F4CF8FF" w14:textId="118DAF60" w:rsidR="00247802" w:rsidRDefault="00247802" w:rsidP="003966E4">
      <w:pPr>
        <w:tabs>
          <w:tab w:val="left" w:pos="851"/>
          <w:tab w:val="left" w:pos="1134"/>
        </w:tabs>
        <w:spacing w:after="0" w:line="360" w:lineRule="auto"/>
        <w:ind w:right="120"/>
        <w:jc w:val="both"/>
        <w:rPr>
          <w:rFonts w:ascii="Times New Roman" w:hAnsi="Times New Roman"/>
          <w:color w:val="000000" w:themeColor="text1"/>
          <w:sz w:val="26"/>
          <w:szCs w:val="26"/>
        </w:rPr>
      </w:pPr>
    </w:p>
    <w:p w14:paraId="038DB6EB" w14:textId="1140D69D" w:rsidR="00247802" w:rsidRDefault="00247802" w:rsidP="008B3A88">
      <w:pPr>
        <w:tabs>
          <w:tab w:val="left" w:pos="851"/>
          <w:tab w:val="left" w:pos="1134"/>
        </w:tabs>
        <w:spacing w:after="0" w:line="360" w:lineRule="auto"/>
        <w:ind w:right="120"/>
        <w:jc w:val="both"/>
        <w:rPr>
          <w:rFonts w:ascii="Times New Roman" w:hAnsi="Times New Roman"/>
          <w:color w:val="000000" w:themeColor="text1"/>
          <w:sz w:val="26"/>
          <w:szCs w:val="26"/>
        </w:rPr>
      </w:pPr>
      <w:r>
        <w:rPr>
          <w:rFonts w:ascii="Times New Roman" w:hAnsi="Times New Roman"/>
          <w:color w:val="000000" w:themeColor="text1"/>
          <w:sz w:val="26"/>
          <w:szCs w:val="26"/>
        </w:rPr>
        <w:t>[1</w:t>
      </w:r>
      <w:r w:rsidR="00DE01C0">
        <w:rPr>
          <w:rFonts w:ascii="Times New Roman" w:hAnsi="Times New Roman"/>
          <w:color w:val="000000" w:themeColor="text1"/>
          <w:sz w:val="26"/>
          <w:szCs w:val="26"/>
        </w:rPr>
        <w:t>5</w:t>
      </w:r>
      <w:r>
        <w:rPr>
          <w:rFonts w:ascii="Times New Roman" w:hAnsi="Times New Roman"/>
          <w:color w:val="000000" w:themeColor="text1"/>
          <w:sz w:val="26"/>
          <w:szCs w:val="26"/>
        </w:rPr>
        <w:t>]</w:t>
      </w:r>
      <w:r>
        <w:rPr>
          <w:rFonts w:ascii="Times New Roman" w:hAnsi="Times New Roman"/>
          <w:color w:val="000000" w:themeColor="text1"/>
          <w:sz w:val="26"/>
          <w:szCs w:val="26"/>
        </w:rPr>
        <w:tab/>
        <w:t>It remains for the Court to determine the merits of the applicants’ claims</w:t>
      </w:r>
      <w:r w:rsidR="00B7652A">
        <w:rPr>
          <w:rFonts w:ascii="Times New Roman" w:hAnsi="Times New Roman"/>
          <w:color w:val="000000" w:themeColor="text1"/>
          <w:sz w:val="26"/>
          <w:szCs w:val="26"/>
        </w:rPr>
        <w:t xml:space="preserve">.  In so far as the evidence, already evaluated, proves that there </w:t>
      </w:r>
      <w:r w:rsidR="00DB1629">
        <w:rPr>
          <w:rFonts w:ascii="Times New Roman" w:hAnsi="Times New Roman"/>
          <w:color w:val="000000" w:themeColor="text1"/>
          <w:sz w:val="26"/>
          <w:szCs w:val="26"/>
        </w:rPr>
        <w:t xml:space="preserve">are </w:t>
      </w:r>
      <w:r w:rsidR="00B7652A">
        <w:rPr>
          <w:rFonts w:ascii="Times New Roman" w:hAnsi="Times New Roman"/>
          <w:color w:val="000000" w:themeColor="text1"/>
          <w:sz w:val="26"/>
          <w:szCs w:val="26"/>
        </w:rPr>
        <w:t xml:space="preserve">subsisting contracts of employment between the applicants and </w:t>
      </w:r>
      <w:r w:rsidR="00DB1629">
        <w:rPr>
          <w:rFonts w:ascii="Times New Roman" w:hAnsi="Times New Roman"/>
          <w:color w:val="000000" w:themeColor="text1"/>
          <w:sz w:val="26"/>
          <w:szCs w:val="26"/>
        </w:rPr>
        <w:t xml:space="preserve">the Municipality </w:t>
      </w:r>
      <w:r w:rsidR="00B7652A">
        <w:rPr>
          <w:rFonts w:ascii="Times New Roman" w:hAnsi="Times New Roman"/>
          <w:color w:val="000000" w:themeColor="text1"/>
          <w:sz w:val="26"/>
          <w:szCs w:val="26"/>
        </w:rPr>
        <w:t>entitling them to payment of salary and car allowance;</w:t>
      </w:r>
      <w:r w:rsidR="008643FC">
        <w:rPr>
          <w:rFonts w:ascii="Times New Roman" w:hAnsi="Times New Roman"/>
          <w:color w:val="000000" w:themeColor="text1"/>
          <w:sz w:val="26"/>
          <w:szCs w:val="26"/>
        </w:rPr>
        <w:t xml:space="preserve"> the Municipality </w:t>
      </w:r>
      <w:r w:rsidR="00B7652A">
        <w:rPr>
          <w:rFonts w:ascii="Times New Roman" w:hAnsi="Times New Roman"/>
          <w:color w:val="000000" w:themeColor="text1"/>
          <w:sz w:val="26"/>
          <w:szCs w:val="26"/>
        </w:rPr>
        <w:t xml:space="preserve">effected unilateral reduction </w:t>
      </w:r>
      <w:r w:rsidR="00296F6D">
        <w:rPr>
          <w:rFonts w:ascii="Times New Roman" w:hAnsi="Times New Roman"/>
          <w:color w:val="000000" w:themeColor="text1"/>
          <w:sz w:val="26"/>
          <w:szCs w:val="26"/>
        </w:rPr>
        <w:t>of the applicants’ remuneration.  The</w:t>
      </w:r>
      <w:r w:rsidR="00481F39">
        <w:rPr>
          <w:rFonts w:ascii="Times New Roman" w:hAnsi="Times New Roman"/>
          <w:color w:val="000000" w:themeColor="text1"/>
          <w:sz w:val="26"/>
          <w:szCs w:val="26"/>
        </w:rPr>
        <w:t xml:space="preserve"> defence </w:t>
      </w:r>
      <w:r w:rsidR="00B7652A">
        <w:rPr>
          <w:rFonts w:ascii="Times New Roman" w:hAnsi="Times New Roman"/>
          <w:color w:val="000000" w:themeColor="text1"/>
          <w:sz w:val="26"/>
          <w:szCs w:val="26"/>
        </w:rPr>
        <w:t xml:space="preserve">that </w:t>
      </w:r>
      <w:r w:rsidR="00813059">
        <w:rPr>
          <w:rFonts w:ascii="Times New Roman" w:hAnsi="Times New Roman"/>
          <w:color w:val="000000" w:themeColor="text1"/>
          <w:sz w:val="26"/>
          <w:szCs w:val="26"/>
        </w:rPr>
        <w:t xml:space="preserve">the </w:t>
      </w:r>
      <w:r w:rsidR="008643FC">
        <w:rPr>
          <w:rFonts w:ascii="Times New Roman" w:hAnsi="Times New Roman"/>
          <w:color w:val="000000" w:themeColor="text1"/>
          <w:sz w:val="26"/>
          <w:szCs w:val="26"/>
        </w:rPr>
        <w:t xml:space="preserve">continued </w:t>
      </w:r>
      <w:r w:rsidR="003E39A0">
        <w:rPr>
          <w:rFonts w:ascii="Times New Roman" w:hAnsi="Times New Roman"/>
          <w:color w:val="000000" w:themeColor="text1"/>
          <w:sz w:val="26"/>
          <w:szCs w:val="26"/>
        </w:rPr>
        <w:t xml:space="preserve">payment of remuneration is against the law </w:t>
      </w:r>
      <w:r w:rsidR="00813059">
        <w:rPr>
          <w:rFonts w:ascii="Times New Roman" w:hAnsi="Times New Roman"/>
          <w:color w:val="000000" w:themeColor="text1"/>
          <w:sz w:val="26"/>
          <w:szCs w:val="26"/>
        </w:rPr>
        <w:t>cannot be sustained.  T</w:t>
      </w:r>
      <w:r w:rsidR="008643FC">
        <w:rPr>
          <w:rFonts w:ascii="Times New Roman" w:hAnsi="Times New Roman"/>
          <w:color w:val="000000" w:themeColor="text1"/>
          <w:sz w:val="26"/>
          <w:szCs w:val="26"/>
        </w:rPr>
        <w:t xml:space="preserve">he Municipality </w:t>
      </w:r>
      <w:r w:rsidR="003E39A0">
        <w:rPr>
          <w:rFonts w:ascii="Times New Roman" w:hAnsi="Times New Roman"/>
          <w:color w:val="000000" w:themeColor="text1"/>
          <w:sz w:val="26"/>
          <w:szCs w:val="26"/>
        </w:rPr>
        <w:t xml:space="preserve">is not authorised by </w:t>
      </w:r>
      <w:r w:rsidR="00813059">
        <w:rPr>
          <w:rFonts w:ascii="Times New Roman" w:hAnsi="Times New Roman"/>
          <w:color w:val="000000" w:themeColor="text1"/>
          <w:sz w:val="26"/>
          <w:szCs w:val="26"/>
        </w:rPr>
        <w:t xml:space="preserve">any </w:t>
      </w:r>
      <w:r w:rsidR="003E39A0">
        <w:rPr>
          <w:rFonts w:ascii="Times New Roman" w:hAnsi="Times New Roman"/>
          <w:color w:val="000000" w:themeColor="text1"/>
          <w:sz w:val="26"/>
          <w:szCs w:val="26"/>
        </w:rPr>
        <w:t xml:space="preserve">law to reduce applicants’ remuneration without due process </w:t>
      </w:r>
      <w:r w:rsidR="00737319">
        <w:rPr>
          <w:rFonts w:ascii="Times New Roman" w:hAnsi="Times New Roman"/>
          <w:color w:val="000000" w:themeColor="text1"/>
          <w:sz w:val="26"/>
          <w:szCs w:val="26"/>
        </w:rPr>
        <w:t xml:space="preserve">of law </w:t>
      </w:r>
      <w:r w:rsidR="00813059">
        <w:rPr>
          <w:rFonts w:ascii="Times New Roman" w:hAnsi="Times New Roman"/>
          <w:color w:val="000000" w:themeColor="text1"/>
          <w:sz w:val="26"/>
          <w:szCs w:val="26"/>
        </w:rPr>
        <w:t>having been followed.  The fact</w:t>
      </w:r>
      <w:r w:rsidR="003E39A0">
        <w:rPr>
          <w:rFonts w:ascii="Times New Roman" w:hAnsi="Times New Roman"/>
          <w:color w:val="000000" w:themeColor="text1"/>
          <w:sz w:val="26"/>
          <w:szCs w:val="26"/>
        </w:rPr>
        <w:t xml:space="preserve"> that it was through no fault on the part of the applicants that the TASK grading sys</w:t>
      </w:r>
      <w:r w:rsidR="00737319">
        <w:rPr>
          <w:rFonts w:ascii="Times New Roman" w:hAnsi="Times New Roman"/>
          <w:color w:val="000000" w:themeColor="text1"/>
          <w:sz w:val="26"/>
          <w:szCs w:val="26"/>
        </w:rPr>
        <w:t xml:space="preserve">tem has not been implemented by the Municipality </w:t>
      </w:r>
      <w:r w:rsidR="003E39A0">
        <w:rPr>
          <w:rFonts w:ascii="Times New Roman" w:hAnsi="Times New Roman"/>
          <w:color w:val="000000" w:themeColor="text1"/>
          <w:sz w:val="26"/>
          <w:szCs w:val="26"/>
        </w:rPr>
        <w:t xml:space="preserve">the applicants </w:t>
      </w:r>
      <w:r w:rsidR="00813059">
        <w:rPr>
          <w:rFonts w:ascii="Times New Roman" w:hAnsi="Times New Roman"/>
          <w:color w:val="000000" w:themeColor="text1"/>
          <w:sz w:val="26"/>
          <w:szCs w:val="26"/>
        </w:rPr>
        <w:t xml:space="preserve">does not disentitle </w:t>
      </w:r>
      <w:r w:rsidR="0031686D">
        <w:rPr>
          <w:rFonts w:ascii="Times New Roman" w:hAnsi="Times New Roman"/>
          <w:color w:val="000000" w:themeColor="text1"/>
          <w:sz w:val="26"/>
          <w:szCs w:val="26"/>
        </w:rPr>
        <w:t xml:space="preserve">the applicants </w:t>
      </w:r>
      <w:r w:rsidR="00813059">
        <w:rPr>
          <w:rFonts w:ascii="Times New Roman" w:hAnsi="Times New Roman"/>
          <w:color w:val="000000" w:themeColor="text1"/>
          <w:sz w:val="26"/>
          <w:szCs w:val="26"/>
        </w:rPr>
        <w:t xml:space="preserve">from enjoying the benefits of the 2.5% notch increment. </w:t>
      </w:r>
      <w:r w:rsidR="003E39A0">
        <w:rPr>
          <w:rFonts w:ascii="Times New Roman" w:hAnsi="Times New Roman"/>
          <w:color w:val="000000" w:themeColor="text1"/>
          <w:sz w:val="26"/>
          <w:szCs w:val="26"/>
        </w:rPr>
        <w:t xml:space="preserve"> </w:t>
      </w:r>
      <w:r w:rsidR="003E39A0">
        <w:rPr>
          <w:rFonts w:ascii="Times New Roman" w:hAnsi="Times New Roman"/>
          <w:i/>
          <w:color w:val="000000" w:themeColor="text1"/>
          <w:sz w:val="26"/>
          <w:szCs w:val="26"/>
        </w:rPr>
        <w:t>Mr Gr</w:t>
      </w:r>
      <w:r w:rsidR="00737319">
        <w:rPr>
          <w:rFonts w:ascii="Times New Roman" w:hAnsi="Times New Roman"/>
          <w:i/>
          <w:color w:val="000000" w:themeColor="text1"/>
          <w:sz w:val="26"/>
          <w:szCs w:val="26"/>
        </w:rPr>
        <w:t>o</w:t>
      </w:r>
      <w:r w:rsidR="003E39A0">
        <w:rPr>
          <w:rFonts w:ascii="Times New Roman" w:hAnsi="Times New Roman"/>
          <w:i/>
          <w:color w:val="000000" w:themeColor="text1"/>
          <w:sz w:val="26"/>
          <w:szCs w:val="26"/>
        </w:rPr>
        <w:t>g</w:t>
      </w:r>
      <w:r w:rsidR="00737319">
        <w:rPr>
          <w:rFonts w:ascii="Times New Roman" w:hAnsi="Times New Roman"/>
          <w:i/>
          <w:color w:val="000000" w:themeColor="text1"/>
          <w:sz w:val="26"/>
          <w:szCs w:val="26"/>
        </w:rPr>
        <w:t>a</w:t>
      </w:r>
      <w:r w:rsidR="003E39A0">
        <w:rPr>
          <w:rFonts w:ascii="Times New Roman" w:hAnsi="Times New Roman"/>
          <w:i/>
          <w:color w:val="000000" w:themeColor="text1"/>
          <w:sz w:val="26"/>
          <w:szCs w:val="26"/>
        </w:rPr>
        <w:t>n</w:t>
      </w:r>
      <w:r w:rsidR="003E39A0">
        <w:rPr>
          <w:rFonts w:ascii="Times New Roman" w:hAnsi="Times New Roman"/>
          <w:color w:val="000000" w:themeColor="text1"/>
          <w:sz w:val="26"/>
          <w:szCs w:val="26"/>
        </w:rPr>
        <w:t xml:space="preserve"> referred</w:t>
      </w:r>
      <w:r w:rsidR="00EB4635">
        <w:rPr>
          <w:rFonts w:ascii="Times New Roman" w:hAnsi="Times New Roman"/>
          <w:color w:val="000000" w:themeColor="text1"/>
          <w:sz w:val="26"/>
          <w:szCs w:val="26"/>
        </w:rPr>
        <w:t>,</w:t>
      </w:r>
      <w:r w:rsidR="003E39A0">
        <w:rPr>
          <w:rFonts w:ascii="Times New Roman" w:hAnsi="Times New Roman"/>
          <w:color w:val="000000" w:themeColor="text1"/>
          <w:sz w:val="26"/>
          <w:szCs w:val="26"/>
        </w:rPr>
        <w:t xml:space="preserve"> </w:t>
      </w:r>
      <w:r w:rsidR="00EB4635">
        <w:rPr>
          <w:rFonts w:ascii="Times New Roman" w:hAnsi="Times New Roman"/>
          <w:color w:val="000000" w:themeColor="text1"/>
          <w:sz w:val="26"/>
          <w:szCs w:val="26"/>
        </w:rPr>
        <w:t>correctly so, t</w:t>
      </w:r>
      <w:r w:rsidR="003E39A0">
        <w:rPr>
          <w:rFonts w:ascii="Times New Roman" w:hAnsi="Times New Roman"/>
          <w:color w:val="000000" w:themeColor="text1"/>
          <w:sz w:val="26"/>
          <w:szCs w:val="26"/>
        </w:rPr>
        <w:t xml:space="preserve">o the case of </w:t>
      </w:r>
      <w:r w:rsidR="003E39A0">
        <w:rPr>
          <w:rFonts w:ascii="Times New Roman" w:hAnsi="Times New Roman"/>
          <w:i/>
          <w:color w:val="000000" w:themeColor="text1"/>
          <w:sz w:val="26"/>
          <w:szCs w:val="26"/>
        </w:rPr>
        <w:t xml:space="preserve">Public Servants Association obo Ubogu v Head of the Department of Health, Gauteng And Others </w:t>
      </w:r>
      <w:r w:rsidR="003E39A0">
        <w:rPr>
          <w:rFonts w:ascii="Times New Roman" w:hAnsi="Times New Roman"/>
          <w:color w:val="000000" w:themeColor="text1"/>
          <w:sz w:val="26"/>
          <w:szCs w:val="26"/>
        </w:rPr>
        <w:t>(2018) 39 ILJ 337 (CC) in which the Constitutional Court dealt with circumstances that are similar to t</w:t>
      </w:r>
      <w:r w:rsidR="00EB4635">
        <w:rPr>
          <w:rFonts w:ascii="Times New Roman" w:hAnsi="Times New Roman"/>
          <w:color w:val="000000" w:themeColor="text1"/>
          <w:sz w:val="26"/>
          <w:szCs w:val="26"/>
        </w:rPr>
        <w:t xml:space="preserve">hose obtaining in the </w:t>
      </w:r>
      <w:r w:rsidR="00863986">
        <w:rPr>
          <w:rFonts w:ascii="Times New Roman" w:hAnsi="Times New Roman"/>
          <w:color w:val="000000" w:themeColor="text1"/>
          <w:sz w:val="26"/>
          <w:szCs w:val="26"/>
        </w:rPr>
        <w:t>present proceedings</w:t>
      </w:r>
      <w:r w:rsidR="003E39A0">
        <w:rPr>
          <w:rFonts w:ascii="Times New Roman" w:hAnsi="Times New Roman"/>
          <w:color w:val="000000" w:themeColor="text1"/>
          <w:sz w:val="26"/>
          <w:szCs w:val="26"/>
        </w:rPr>
        <w:t xml:space="preserve">.  In that </w:t>
      </w:r>
      <w:r w:rsidR="003E39A0" w:rsidRPr="008B3A88">
        <w:rPr>
          <w:rFonts w:ascii="Times New Roman" w:hAnsi="Times New Roman"/>
          <w:color w:val="000000" w:themeColor="text1"/>
          <w:sz w:val="24"/>
          <w:szCs w:val="24"/>
        </w:rPr>
        <w:t>c</w:t>
      </w:r>
      <w:r w:rsidR="008B3A88">
        <w:rPr>
          <w:rFonts w:ascii="Times New Roman" w:hAnsi="Times New Roman"/>
          <w:color w:val="000000" w:themeColor="text1"/>
          <w:sz w:val="24"/>
          <w:szCs w:val="24"/>
        </w:rPr>
        <w:t>a</w:t>
      </w:r>
      <w:r w:rsidR="003E39A0" w:rsidRPr="008B3A88">
        <w:rPr>
          <w:rFonts w:ascii="Times New Roman" w:hAnsi="Times New Roman"/>
          <w:color w:val="000000" w:themeColor="text1"/>
          <w:sz w:val="24"/>
          <w:szCs w:val="24"/>
        </w:rPr>
        <w:t>se</w:t>
      </w:r>
      <w:r w:rsidR="003E39A0">
        <w:rPr>
          <w:rFonts w:ascii="Times New Roman" w:hAnsi="Times New Roman"/>
          <w:color w:val="000000" w:themeColor="text1"/>
          <w:sz w:val="26"/>
          <w:szCs w:val="26"/>
        </w:rPr>
        <w:t xml:space="preserve"> the following was stated appositely at para 6</w:t>
      </w:r>
      <w:r w:rsidR="006A3C39">
        <w:rPr>
          <w:rFonts w:ascii="Times New Roman" w:hAnsi="Times New Roman"/>
          <w:color w:val="000000" w:themeColor="text1"/>
          <w:sz w:val="26"/>
          <w:szCs w:val="26"/>
        </w:rPr>
        <w:t>6</w:t>
      </w:r>
      <w:r w:rsidR="003E39A0">
        <w:rPr>
          <w:rFonts w:ascii="Times New Roman" w:hAnsi="Times New Roman"/>
          <w:color w:val="000000" w:themeColor="text1"/>
          <w:sz w:val="26"/>
          <w:szCs w:val="26"/>
        </w:rPr>
        <w:t>:</w:t>
      </w:r>
    </w:p>
    <w:p w14:paraId="0A5969AF" w14:textId="58950312" w:rsidR="008B3A88" w:rsidRDefault="008B3A88" w:rsidP="00BE567E">
      <w:pPr>
        <w:tabs>
          <w:tab w:val="left" w:pos="851"/>
          <w:tab w:val="left" w:pos="1134"/>
        </w:tabs>
        <w:spacing w:after="0" w:line="240" w:lineRule="auto"/>
        <w:ind w:left="1134" w:right="119"/>
        <w:jc w:val="both"/>
        <w:rPr>
          <w:rFonts w:ascii="Times New Roman" w:hAnsi="Times New Roman"/>
          <w:color w:val="000000" w:themeColor="text1"/>
          <w:sz w:val="24"/>
          <w:szCs w:val="24"/>
        </w:rPr>
      </w:pPr>
      <w:r>
        <w:rPr>
          <w:rFonts w:ascii="Times New Roman" w:hAnsi="Times New Roman"/>
          <w:color w:val="000000" w:themeColor="text1"/>
          <w:sz w:val="24"/>
          <w:szCs w:val="24"/>
        </w:rPr>
        <w:t>“The deduction</w:t>
      </w:r>
      <w:r w:rsidR="00A220E3">
        <w:rPr>
          <w:rFonts w:ascii="Times New Roman" w:hAnsi="Times New Roman"/>
          <w:color w:val="000000" w:themeColor="text1"/>
          <w:sz w:val="24"/>
          <w:szCs w:val="24"/>
        </w:rPr>
        <w:t xml:space="preserve">s in terms of that provision constitute unfettered self-help – the taking of the law by the state into its own hands and enabling it to be the judge in its own cause in violation of section 1 </w:t>
      </w:r>
      <w:r w:rsidR="00A220E3" w:rsidRPr="00A220E3">
        <w:rPr>
          <w:rFonts w:ascii="Times New Roman" w:hAnsi="Times New Roman"/>
          <w:i/>
          <w:color w:val="000000" w:themeColor="text1"/>
          <w:sz w:val="24"/>
          <w:szCs w:val="24"/>
        </w:rPr>
        <w:t>(c)</w:t>
      </w:r>
      <w:r w:rsidR="00A220E3">
        <w:rPr>
          <w:rFonts w:ascii="Times New Roman" w:hAnsi="Times New Roman"/>
          <w:color w:val="000000" w:themeColor="text1"/>
          <w:sz w:val="24"/>
          <w:szCs w:val="24"/>
        </w:rPr>
        <w:t xml:space="preserve"> of the </w:t>
      </w:r>
      <w:r>
        <w:rPr>
          <w:rFonts w:ascii="Times New Roman" w:hAnsi="Times New Roman"/>
          <w:color w:val="000000" w:themeColor="text1"/>
          <w:sz w:val="24"/>
          <w:szCs w:val="24"/>
        </w:rPr>
        <w:t>Constitution.”</w:t>
      </w:r>
    </w:p>
    <w:p w14:paraId="0502660E" w14:textId="77777777" w:rsidR="002A6ED0" w:rsidRDefault="002A6ED0" w:rsidP="008B3A88">
      <w:pPr>
        <w:tabs>
          <w:tab w:val="left" w:pos="851"/>
          <w:tab w:val="left" w:pos="1134"/>
        </w:tabs>
        <w:spacing w:after="0" w:line="360" w:lineRule="auto"/>
        <w:ind w:right="120"/>
        <w:jc w:val="both"/>
        <w:rPr>
          <w:rFonts w:ascii="Times New Roman" w:hAnsi="Times New Roman"/>
          <w:color w:val="000000" w:themeColor="text1"/>
          <w:sz w:val="26"/>
          <w:szCs w:val="26"/>
        </w:rPr>
      </w:pPr>
    </w:p>
    <w:p w14:paraId="15C4420D" w14:textId="3D1A27FD" w:rsidR="008B3A88" w:rsidRDefault="008B3A88" w:rsidP="008B3A88">
      <w:pPr>
        <w:tabs>
          <w:tab w:val="left" w:pos="851"/>
          <w:tab w:val="left" w:pos="1134"/>
        </w:tabs>
        <w:spacing w:after="0" w:line="360" w:lineRule="auto"/>
        <w:ind w:right="120"/>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[1</w:t>
      </w:r>
      <w:r w:rsidR="00DE01C0">
        <w:rPr>
          <w:rFonts w:ascii="Times New Roman" w:hAnsi="Times New Roman"/>
          <w:color w:val="000000" w:themeColor="text1"/>
          <w:sz w:val="26"/>
          <w:szCs w:val="26"/>
        </w:rPr>
        <w:t>6</w:t>
      </w:r>
      <w:r>
        <w:rPr>
          <w:rFonts w:ascii="Times New Roman" w:hAnsi="Times New Roman"/>
          <w:color w:val="000000" w:themeColor="text1"/>
          <w:sz w:val="26"/>
          <w:szCs w:val="26"/>
        </w:rPr>
        <w:t>]</w:t>
      </w:r>
      <w:r>
        <w:rPr>
          <w:rFonts w:ascii="Times New Roman" w:hAnsi="Times New Roman"/>
          <w:color w:val="000000" w:themeColor="text1"/>
          <w:sz w:val="26"/>
          <w:szCs w:val="26"/>
        </w:rPr>
        <w:tab/>
        <w:t xml:space="preserve">The applicants have succeeded to make a case </w:t>
      </w:r>
      <w:r w:rsidR="00085C74">
        <w:rPr>
          <w:rFonts w:ascii="Times New Roman" w:hAnsi="Times New Roman"/>
          <w:color w:val="000000" w:themeColor="text1"/>
          <w:sz w:val="26"/>
          <w:szCs w:val="26"/>
        </w:rPr>
        <w:t xml:space="preserve">for the grant of a declaratory </w:t>
      </w:r>
      <w:r w:rsidR="00766C19">
        <w:rPr>
          <w:rFonts w:ascii="Times New Roman" w:hAnsi="Times New Roman"/>
          <w:color w:val="000000" w:themeColor="text1"/>
          <w:sz w:val="26"/>
          <w:szCs w:val="26"/>
        </w:rPr>
        <w:t xml:space="preserve">order </w:t>
      </w:r>
      <w:r w:rsidR="00085C74">
        <w:rPr>
          <w:rFonts w:ascii="Times New Roman" w:hAnsi="Times New Roman"/>
          <w:color w:val="000000" w:themeColor="text1"/>
          <w:sz w:val="26"/>
          <w:szCs w:val="26"/>
        </w:rPr>
        <w:t xml:space="preserve">and, as a consequence, the re-instatement of the terms and conditions of the employment contract in </w:t>
      </w:r>
      <w:r w:rsidR="00766C19">
        <w:rPr>
          <w:rFonts w:ascii="Times New Roman" w:hAnsi="Times New Roman"/>
          <w:color w:val="000000" w:themeColor="text1"/>
          <w:sz w:val="26"/>
          <w:szCs w:val="26"/>
        </w:rPr>
        <w:t xml:space="preserve">the </w:t>
      </w:r>
      <w:r w:rsidR="00085C74">
        <w:rPr>
          <w:rFonts w:ascii="Times New Roman" w:hAnsi="Times New Roman"/>
          <w:color w:val="000000" w:themeColor="text1"/>
          <w:sz w:val="26"/>
          <w:szCs w:val="26"/>
        </w:rPr>
        <w:t xml:space="preserve">terms that are not different from those that obtained prior to the deductions of </w:t>
      </w:r>
      <w:r w:rsidR="00364256">
        <w:rPr>
          <w:rFonts w:ascii="Times New Roman" w:hAnsi="Times New Roman"/>
          <w:color w:val="000000" w:themeColor="text1"/>
          <w:sz w:val="26"/>
          <w:szCs w:val="26"/>
        </w:rPr>
        <w:t xml:space="preserve">the </w:t>
      </w:r>
      <w:r w:rsidR="00085C74">
        <w:rPr>
          <w:rFonts w:ascii="Times New Roman" w:hAnsi="Times New Roman"/>
          <w:color w:val="000000" w:themeColor="text1"/>
          <w:sz w:val="26"/>
          <w:szCs w:val="26"/>
        </w:rPr>
        <w:t>applicants’ remuneration.  The costs must follow the result.</w:t>
      </w:r>
      <w:r w:rsidR="00345FD0">
        <w:rPr>
          <w:rFonts w:ascii="Times New Roman" w:hAnsi="Times New Roman"/>
          <w:color w:val="000000" w:themeColor="text1"/>
          <w:sz w:val="26"/>
          <w:szCs w:val="26"/>
        </w:rPr>
        <w:t xml:space="preserve">  But more must be said</w:t>
      </w:r>
      <w:r w:rsidR="00D60836">
        <w:rPr>
          <w:rFonts w:ascii="Times New Roman" w:hAnsi="Times New Roman"/>
          <w:color w:val="000000" w:themeColor="text1"/>
          <w:sz w:val="26"/>
          <w:szCs w:val="26"/>
        </w:rPr>
        <w:t xml:space="preserve"> about the issue of costs. </w:t>
      </w:r>
      <w:r w:rsidR="00345FD0">
        <w:rPr>
          <w:rFonts w:ascii="Times New Roman" w:hAnsi="Times New Roman"/>
          <w:color w:val="000000" w:themeColor="text1"/>
          <w:sz w:val="26"/>
          <w:szCs w:val="26"/>
        </w:rPr>
        <w:t xml:space="preserve"> There was no legal reason for the Municipality to reduce the remuneration of the applicants.  For that reason, the inevitable conclusion to be </w:t>
      </w:r>
      <w:r w:rsidR="00D60836">
        <w:rPr>
          <w:rFonts w:ascii="Times New Roman" w:hAnsi="Times New Roman"/>
          <w:color w:val="000000" w:themeColor="text1"/>
          <w:sz w:val="26"/>
          <w:szCs w:val="26"/>
        </w:rPr>
        <w:t xml:space="preserve">drawn from such conduct </w:t>
      </w:r>
      <w:r w:rsidR="00345FD0">
        <w:rPr>
          <w:rFonts w:ascii="Times New Roman" w:hAnsi="Times New Roman"/>
          <w:color w:val="000000" w:themeColor="text1"/>
          <w:sz w:val="26"/>
          <w:szCs w:val="26"/>
        </w:rPr>
        <w:t>is that</w:t>
      </w:r>
      <w:r w:rsidR="00D60836">
        <w:rPr>
          <w:rFonts w:ascii="Times New Roman" w:hAnsi="Times New Roman"/>
          <w:color w:val="000000" w:themeColor="text1"/>
          <w:sz w:val="26"/>
          <w:szCs w:val="26"/>
        </w:rPr>
        <w:t xml:space="preserve"> the respondents resorted </w:t>
      </w:r>
      <w:r w:rsidR="00345FD0">
        <w:rPr>
          <w:rFonts w:ascii="Times New Roman" w:hAnsi="Times New Roman"/>
          <w:color w:val="000000" w:themeColor="text1"/>
          <w:sz w:val="26"/>
          <w:szCs w:val="26"/>
        </w:rPr>
        <w:t>to taking the law into their own hands.  In the meantime</w:t>
      </w:r>
      <w:r w:rsidR="0052168D">
        <w:rPr>
          <w:rFonts w:ascii="Times New Roman" w:hAnsi="Times New Roman"/>
          <w:color w:val="000000" w:themeColor="text1"/>
          <w:sz w:val="26"/>
          <w:szCs w:val="26"/>
        </w:rPr>
        <w:t>,</w:t>
      </w:r>
      <w:r w:rsidR="00345FD0">
        <w:rPr>
          <w:rFonts w:ascii="Times New Roman" w:hAnsi="Times New Roman"/>
          <w:color w:val="000000" w:themeColor="text1"/>
          <w:sz w:val="26"/>
          <w:szCs w:val="26"/>
        </w:rPr>
        <w:t xml:space="preserve"> the applicants were </w:t>
      </w:r>
      <w:r w:rsidR="0052168D">
        <w:rPr>
          <w:rFonts w:ascii="Times New Roman" w:hAnsi="Times New Roman"/>
          <w:color w:val="000000" w:themeColor="text1"/>
          <w:sz w:val="26"/>
          <w:szCs w:val="26"/>
        </w:rPr>
        <w:t>put into the position of having to find resources,</w:t>
      </w:r>
      <w:r w:rsidR="004B12E2">
        <w:rPr>
          <w:rFonts w:ascii="Times New Roman" w:hAnsi="Times New Roman"/>
          <w:color w:val="000000" w:themeColor="text1"/>
          <w:sz w:val="26"/>
          <w:szCs w:val="26"/>
        </w:rPr>
        <w:t xml:space="preserve"> </w:t>
      </w:r>
      <w:r w:rsidR="004B12E2">
        <w:rPr>
          <w:rFonts w:ascii="Times New Roman" w:hAnsi="Times New Roman"/>
          <w:i/>
          <w:color w:val="000000" w:themeColor="text1"/>
          <w:sz w:val="26"/>
          <w:szCs w:val="26"/>
        </w:rPr>
        <w:t xml:space="preserve">albeit </w:t>
      </w:r>
      <w:r w:rsidR="0052168D">
        <w:rPr>
          <w:rFonts w:ascii="Times New Roman" w:hAnsi="Times New Roman"/>
          <w:color w:val="000000" w:themeColor="text1"/>
          <w:sz w:val="26"/>
          <w:szCs w:val="26"/>
        </w:rPr>
        <w:t>at the time when they were being financially drained by the unlawful reduction of their remuneration</w:t>
      </w:r>
      <w:r w:rsidR="005C6B06">
        <w:rPr>
          <w:rFonts w:ascii="Times New Roman" w:hAnsi="Times New Roman"/>
          <w:color w:val="000000" w:themeColor="text1"/>
          <w:sz w:val="26"/>
          <w:szCs w:val="26"/>
        </w:rPr>
        <w:t>,</w:t>
      </w:r>
      <w:r w:rsidR="0052168D">
        <w:rPr>
          <w:rFonts w:ascii="Times New Roman" w:hAnsi="Times New Roman"/>
          <w:color w:val="000000" w:themeColor="text1"/>
          <w:sz w:val="26"/>
          <w:szCs w:val="26"/>
        </w:rPr>
        <w:t xml:space="preserve"> to seek protection of the courts.  Having been put out of pocket unnecessarily </w:t>
      </w:r>
      <w:r w:rsidR="004B12E2">
        <w:rPr>
          <w:rFonts w:ascii="Times New Roman" w:hAnsi="Times New Roman"/>
          <w:color w:val="000000" w:themeColor="text1"/>
          <w:sz w:val="26"/>
          <w:szCs w:val="26"/>
        </w:rPr>
        <w:t xml:space="preserve">so, </w:t>
      </w:r>
      <w:r w:rsidR="0052168D">
        <w:rPr>
          <w:rFonts w:ascii="Times New Roman" w:hAnsi="Times New Roman"/>
          <w:color w:val="000000" w:themeColor="text1"/>
          <w:sz w:val="26"/>
          <w:szCs w:val="26"/>
        </w:rPr>
        <w:t xml:space="preserve">an ordinary costs order cannot meaningfully mitigate the litigation costs that they have incurred.  Since the applicants have at the outset of these proceedings asked for an order of costs on attorney and client scale, the respondents would </w:t>
      </w:r>
      <w:r w:rsidR="004B12E2">
        <w:rPr>
          <w:rFonts w:ascii="Times New Roman" w:hAnsi="Times New Roman"/>
          <w:color w:val="000000" w:themeColor="text1"/>
          <w:sz w:val="26"/>
          <w:szCs w:val="26"/>
        </w:rPr>
        <w:t xml:space="preserve">hardly be heard to complain that they are </w:t>
      </w:r>
      <w:r w:rsidR="0052168D">
        <w:rPr>
          <w:rFonts w:ascii="Times New Roman" w:hAnsi="Times New Roman"/>
          <w:color w:val="000000" w:themeColor="text1"/>
          <w:sz w:val="26"/>
          <w:szCs w:val="26"/>
        </w:rPr>
        <w:t xml:space="preserve">ambushed by a costs order </w:t>
      </w:r>
      <w:r w:rsidR="004B12E2">
        <w:rPr>
          <w:rFonts w:ascii="Times New Roman" w:hAnsi="Times New Roman"/>
          <w:color w:val="000000" w:themeColor="text1"/>
          <w:sz w:val="26"/>
          <w:szCs w:val="26"/>
        </w:rPr>
        <w:t xml:space="preserve">of </w:t>
      </w:r>
      <w:r w:rsidR="0052168D">
        <w:rPr>
          <w:rFonts w:ascii="Times New Roman" w:hAnsi="Times New Roman"/>
          <w:color w:val="000000" w:themeColor="text1"/>
          <w:sz w:val="26"/>
          <w:szCs w:val="26"/>
        </w:rPr>
        <w:t xml:space="preserve">a higher scale than the ordinary party and party scale costs.  </w:t>
      </w:r>
    </w:p>
    <w:p w14:paraId="12E0F930" w14:textId="77777777" w:rsidR="00F853A7" w:rsidRDefault="00F853A7" w:rsidP="008B3A88">
      <w:pPr>
        <w:tabs>
          <w:tab w:val="left" w:pos="851"/>
          <w:tab w:val="left" w:pos="1134"/>
        </w:tabs>
        <w:spacing w:after="0" w:line="360" w:lineRule="auto"/>
        <w:ind w:right="120"/>
        <w:jc w:val="both"/>
        <w:rPr>
          <w:rFonts w:ascii="Times New Roman" w:hAnsi="Times New Roman"/>
          <w:color w:val="000000" w:themeColor="text1"/>
          <w:sz w:val="26"/>
          <w:szCs w:val="26"/>
        </w:rPr>
      </w:pPr>
    </w:p>
    <w:p w14:paraId="6CA83AB4" w14:textId="5A3CCDDB" w:rsidR="00F54FEE" w:rsidRDefault="00085C74" w:rsidP="00085C74">
      <w:pPr>
        <w:tabs>
          <w:tab w:val="left" w:pos="851"/>
          <w:tab w:val="left" w:pos="1134"/>
        </w:tabs>
        <w:spacing w:after="0" w:line="360" w:lineRule="auto"/>
        <w:ind w:right="120"/>
        <w:jc w:val="both"/>
        <w:rPr>
          <w:rFonts w:ascii="Times New Roman" w:hAnsi="Times New Roman" w:cs="Times New Roman"/>
          <w:sz w:val="26"/>
          <w:szCs w:val="26"/>
        </w:rPr>
      </w:pPr>
      <w:r>
        <w:rPr>
          <w:rFonts w:ascii="Times New Roman" w:hAnsi="Times New Roman"/>
          <w:color w:val="000000" w:themeColor="text1"/>
          <w:sz w:val="26"/>
          <w:szCs w:val="26"/>
        </w:rPr>
        <w:t>[1</w:t>
      </w:r>
      <w:r w:rsidR="005D17B1">
        <w:rPr>
          <w:rFonts w:ascii="Times New Roman" w:hAnsi="Times New Roman"/>
          <w:color w:val="000000" w:themeColor="text1"/>
          <w:sz w:val="26"/>
          <w:szCs w:val="26"/>
        </w:rPr>
        <w:t>7</w:t>
      </w:r>
      <w:r>
        <w:rPr>
          <w:rFonts w:ascii="Times New Roman" w:hAnsi="Times New Roman"/>
          <w:color w:val="000000" w:themeColor="text1"/>
          <w:sz w:val="26"/>
          <w:szCs w:val="26"/>
        </w:rPr>
        <w:t>]</w:t>
      </w:r>
      <w:r>
        <w:rPr>
          <w:rFonts w:ascii="Times New Roman" w:hAnsi="Times New Roman"/>
          <w:color w:val="000000" w:themeColor="text1"/>
          <w:sz w:val="26"/>
          <w:szCs w:val="26"/>
        </w:rPr>
        <w:tab/>
        <w:t>In the result t</w:t>
      </w:r>
      <w:r w:rsidR="00F54FEE">
        <w:rPr>
          <w:rFonts w:ascii="Times New Roman" w:hAnsi="Times New Roman" w:cs="Times New Roman"/>
          <w:sz w:val="26"/>
          <w:szCs w:val="26"/>
        </w:rPr>
        <w:t>he following order shall issue:</w:t>
      </w:r>
    </w:p>
    <w:p w14:paraId="03EC7F05" w14:textId="77777777" w:rsidR="001240FA" w:rsidRDefault="001240FA" w:rsidP="00085C74">
      <w:pPr>
        <w:tabs>
          <w:tab w:val="left" w:pos="851"/>
          <w:tab w:val="left" w:pos="1134"/>
        </w:tabs>
        <w:spacing w:after="0" w:line="360" w:lineRule="auto"/>
        <w:ind w:right="120"/>
        <w:jc w:val="both"/>
        <w:rPr>
          <w:rFonts w:ascii="Times New Roman" w:hAnsi="Times New Roman" w:cs="Times New Roman"/>
          <w:sz w:val="26"/>
          <w:szCs w:val="26"/>
        </w:rPr>
      </w:pPr>
    </w:p>
    <w:p w14:paraId="501EB26B" w14:textId="52BAF7C9" w:rsidR="00D031BF" w:rsidRDefault="00085C74" w:rsidP="00085C74">
      <w:pPr>
        <w:pStyle w:val="ListParagraph"/>
        <w:numPr>
          <w:ilvl w:val="0"/>
          <w:numId w:val="4"/>
        </w:num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The decision of the Respondent</w:t>
      </w:r>
      <w:r w:rsidR="00031A61">
        <w:rPr>
          <w:rFonts w:ascii="Times New Roman" w:hAnsi="Times New Roman" w:cs="Times New Roman"/>
          <w:b/>
          <w:sz w:val="26"/>
          <w:szCs w:val="26"/>
        </w:rPr>
        <w:t>s</w:t>
      </w:r>
      <w:r>
        <w:rPr>
          <w:rFonts w:ascii="Times New Roman" w:hAnsi="Times New Roman" w:cs="Times New Roman"/>
          <w:b/>
          <w:sz w:val="26"/>
          <w:szCs w:val="26"/>
        </w:rPr>
        <w:t xml:space="preserve"> that </w:t>
      </w:r>
      <w:r w:rsidR="00D031BF">
        <w:rPr>
          <w:rFonts w:ascii="Times New Roman" w:hAnsi="Times New Roman" w:cs="Times New Roman"/>
          <w:b/>
          <w:sz w:val="26"/>
          <w:szCs w:val="26"/>
        </w:rPr>
        <w:t>the applicants were over-paid is unlawfully and of no force and effect;</w:t>
      </w:r>
    </w:p>
    <w:p w14:paraId="742E3584" w14:textId="77777777" w:rsidR="00D031BF" w:rsidRDefault="00D031BF" w:rsidP="00D031BF">
      <w:pPr>
        <w:pStyle w:val="ListParagraph"/>
        <w:spacing w:after="0" w:line="360" w:lineRule="auto"/>
        <w:ind w:left="1800"/>
        <w:jc w:val="both"/>
        <w:rPr>
          <w:rFonts w:ascii="Times New Roman" w:hAnsi="Times New Roman" w:cs="Times New Roman"/>
          <w:b/>
          <w:sz w:val="26"/>
          <w:szCs w:val="26"/>
        </w:rPr>
      </w:pPr>
    </w:p>
    <w:p w14:paraId="56BAE38D" w14:textId="2552854E" w:rsidR="00085C74" w:rsidRDefault="00085C74" w:rsidP="00085C74">
      <w:pPr>
        <w:pStyle w:val="ListParagraph"/>
        <w:numPr>
          <w:ilvl w:val="0"/>
          <w:numId w:val="4"/>
        </w:num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The Respondents’ decision to reduce the Applicants’ basi</w:t>
      </w:r>
      <w:r w:rsidR="000F13B7">
        <w:rPr>
          <w:rFonts w:ascii="Times New Roman" w:hAnsi="Times New Roman" w:cs="Times New Roman"/>
          <w:b/>
          <w:sz w:val="26"/>
          <w:szCs w:val="26"/>
        </w:rPr>
        <w:t xml:space="preserve">c </w:t>
      </w:r>
      <w:r w:rsidR="00031A61">
        <w:rPr>
          <w:rFonts w:ascii="Times New Roman" w:hAnsi="Times New Roman" w:cs="Times New Roman"/>
          <w:b/>
          <w:sz w:val="26"/>
          <w:szCs w:val="26"/>
        </w:rPr>
        <w:t>salar</w:t>
      </w:r>
      <w:r w:rsidR="00D031BF">
        <w:rPr>
          <w:rFonts w:ascii="Times New Roman" w:hAnsi="Times New Roman" w:cs="Times New Roman"/>
          <w:b/>
          <w:sz w:val="26"/>
          <w:szCs w:val="26"/>
        </w:rPr>
        <w:t xml:space="preserve">ies and essential use allowances from </w:t>
      </w:r>
      <w:r w:rsidR="00031A61">
        <w:rPr>
          <w:rFonts w:ascii="Times New Roman" w:hAnsi="Times New Roman" w:cs="Times New Roman"/>
          <w:b/>
          <w:sz w:val="26"/>
          <w:szCs w:val="26"/>
        </w:rPr>
        <w:t>R65 068,62 to R61 453,70</w:t>
      </w:r>
      <w:r w:rsidR="00D031BF">
        <w:rPr>
          <w:rFonts w:ascii="Times New Roman" w:hAnsi="Times New Roman" w:cs="Times New Roman"/>
          <w:b/>
          <w:sz w:val="26"/>
          <w:szCs w:val="26"/>
        </w:rPr>
        <w:t xml:space="preserve">; </w:t>
      </w:r>
      <w:r w:rsidR="00031A61">
        <w:rPr>
          <w:rFonts w:ascii="Times New Roman" w:hAnsi="Times New Roman" w:cs="Times New Roman"/>
          <w:b/>
          <w:sz w:val="26"/>
          <w:szCs w:val="26"/>
        </w:rPr>
        <w:t xml:space="preserve">and R22 774,02 to R21 508,80 respectively per month </w:t>
      </w:r>
      <w:r w:rsidR="00D031BF">
        <w:rPr>
          <w:rFonts w:ascii="Times New Roman" w:hAnsi="Times New Roman" w:cs="Times New Roman"/>
          <w:b/>
          <w:sz w:val="26"/>
          <w:szCs w:val="26"/>
        </w:rPr>
        <w:t xml:space="preserve">is </w:t>
      </w:r>
      <w:r w:rsidR="00031A61">
        <w:rPr>
          <w:rFonts w:ascii="Times New Roman" w:hAnsi="Times New Roman" w:cs="Times New Roman"/>
          <w:b/>
          <w:sz w:val="26"/>
          <w:szCs w:val="26"/>
        </w:rPr>
        <w:t>unlawful;</w:t>
      </w:r>
    </w:p>
    <w:p w14:paraId="5BF4BEC7" w14:textId="77777777" w:rsidR="00031A61" w:rsidRPr="00031A61" w:rsidRDefault="00031A61" w:rsidP="00031A61">
      <w:pPr>
        <w:pStyle w:val="ListParagraph"/>
        <w:rPr>
          <w:rFonts w:ascii="Times New Roman" w:hAnsi="Times New Roman" w:cs="Times New Roman"/>
          <w:b/>
          <w:sz w:val="26"/>
          <w:szCs w:val="26"/>
        </w:rPr>
      </w:pPr>
    </w:p>
    <w:p w14:paraId="2D07ACEC" w14:textId="53F8EBFF" w:rsidR="00085C74" w:rsidRDefault="00085C74" w:rsidP="00085C74">
      <w:pPr>
        <w:pStyle w:val="ListParagraph"/>
        <w:numPr>
          <w:ilvl w:val="0"/>
          <w:numId w:val="4"/>
        </w:num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The Respondents are directed to re-instate </w:t>
      </w:r>
      <w:r w:rsidR="00031A61">
        <w:rPr>
          <w:rFonts w:ascii="Times New Roman" w:hAnsi="Times New Roman" w:cs="Times New Roman"/>
          <w:b/>
          <w:sz w:val="26"/>
          <w:szCs w:val="26"/>
        </w:rPr>
        <w:t>the applicants’ basic salary and essential</w:t>
      </w:r>
      <w:r w:rsidR="00D031BF">
        <w:rPr>
          <w:rFonts w:ascii="Times New Roman" w:hAnsi="Times New Roman" w:cs="Times New Roman"/>
          <w:b/>
          <w:sz w:val="26"/>
          <w:szCs w:val="26"/>
        </w:rPr>
        <w:t xml:space="preserve"> </w:t>
      </w:r>
      <w:r w:rsidR="00031A61">
        <w:rPr>
          <w:rFonts w:ascii="Times New Roman" w:hAnsi="Times New Roman" w:cs="Times New Roman"/>
          <w:b/>
          <w:sz w:val="26"/>
          <w:szCs w:val="26"/>
        </w:rPr>
        <w:t>use allowance to R65 068,62 and R22 774,02 respectively immediately</w:t>
      </w:r>
      <w:r w:rsidR="008A5298">
        <w:rPr>
          <w:rFonts w:ascii="Times New Roman" w:hAnsi="Times New Roman" w:cs="Times New Roman"/>
          <w:b/>
          <w:sz w:val="26"/>
          <w:szCs w:val="26"/>
        </w:rPr>
        <w:t xml:space="preserve">, and </w:t>
      </w:r>
      <w:r w:rsidR="00031A61">
        <w:rPr>
          <w:rFonts w:ascii="Times New Roman" w:hAnsi="Times New Roman" w:cs="Times New Roman"/>
          <w:b/>
          <w:sz w:val="26"/>
          <w:szCs w:val="26"/>
        </w:rPr>
        <w:t xml:space="preserve">with retrospective effect to the </w:t>
      </w:r>
      <w:r w:rsidR="00D031BF">
        <w:rPr>
          <w:rFonts w:ascii="Times New Roman" w:hAnsi="Times New Roman" w:cs="Times New Roman"/>
          <w:b/>
          <w:sz w:val="26"/>
          <w:szCs w:val="26"/>
        </w:rPr>
        <w:t xml:space="preserve">date the reduction was effected; </w:t>
      </w:r>
    </w:p>
    <w:p w14:paraId="068298AC" w14:textId="77777777" w:rsidR="00031A61" w:rsidRPr="00031A61" w:rsidRDefault="00031A61" w:rsidP="00031A61">
      <w:pPr>
        <w:pStyle w:val="ListParagraph"/>
        <w:rPr>
          <w:rFonts w:ascii="Times New Roman" w:hAnsi="Times New Roman" w:cs="Times New Roman"/>
          <w:b/>
          <w:sz w:val="26"/>
          <w:szCs w:val="26"/>
        </w:rPr>
      </w:pPr>
    </w:p>
    <w:p w14:paraId="25A57A48" w14:textId="1AB75CBC" w:rsidR="00085C74" w:rsidRDefault="00085C74" w:rsidP="00085C74">
      <w:pPr>
        <w:pStyle w:val="ListParagraph"/>
        <w:numPr>
          <w:ilvl w:val="0"/>
          <w:numId w:val="4"/>
        </w:num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The Respondent</w:t>
      </w:r>
      <w:r w:rsidR="00E652AE">
        <w:rPr>
          <w:rFonts w:ascii="Times New Roman" w:hAnsi="Times New Roman" w:cs="Times New Roman"/>
          <w:b/>
          <w:sz w:val="26"/>
          <w:szCs w:val="26"/>
        </w:rPr>
        <w:t>s</w:t>
      </w:r>
      <w:r>
        <w:rPr>
          <w:rFonts w:ascii="Times New Roman" w:hAnsi="Times New Roman" w:cs="Times New Roman"/>
          <w:b/>
          <w:sz w:val="26"/>
          <w:szCs w:val="26"/>
        </w:rPr>
        <w:t xml:space="preserve"> to pay the costs </w:t>
      </w:r>
      <w:r w:rsidR="00D6187E">
        <w:rPr>
          <w:rFonts w:ascii="Times New Roman" w:hAnsi="Times New Roman" w:cs="Times New Roman"/>
          <w:b/>
          <w:sz w:val="26"/>
          <w:szCs w:val="26"/>
        </w:rPr>
        <w:t xml:space="preserve">of this application </w:t>
      </w:r>
      <w:r w:rsidR="00031A61">
        <w:rPr>
          <w:rFonts w:ascii="Times New Roman" w:hAnsi="Times New Roman" w:cs="Times New Roman"/>
          <w:b/>
          <w:sz w:val="26"/>
          <w:szCs w:val="26"/>
        </w:rPr>
        <w:t xml:space="preserve">jointly and severally on the attorney-client scale, the one paying, </w:t>
      </w:r>
      <w:r w:rsidR="00D031BF">
        <w:rPr>
          <w:rFonts w:ascii="Times New Roman" w:hAnsi="Times New Roman" w:cs="Times New Roman"/>
          <w:b/>
          <w:sz w:val="26"/>
          <w:szCs w:val="26"/>
        </w:rPr>
        <w:t xml:space="preserve">and </w:t>
      </w:r>
      <w:r w:rsidR="00031A61">
        <w:rPr>
          <w:rFonts w:ascii="Times New Roman" w:hAnsi="Times New Roman" w:cs="Times New Roman"/>
          <w:b/>
          <w:sz w:val="26"/>
          <w:szCs w:val="26"/>
        </w:rPr>
        <w:t>the other</w:t>
      </w:r>
      <w:r w:rsidR="008A5298">
        <w:rPr>
          <w:rFonts w:ascii="Times New Roman" w:hAnsi="Times New Roman" w:cs="Times New Roman"/>
          <w:b/>
          <w:sz w:val="26"/>
          <w:szCs w:val="26"/>
        </w:rPr>
        <w:t xml:space="preserve">s being </w:t>
      </w:r>
      <w:r w:rsidR="00332702">
        <w:rPr>
          <w:rFonts w:ascii="Times New Roman" w:hAnsi="Times New Roman" w:cs="Times New Roman"/>
          <w:b/>
          <w:sz w:val="26"/>
          <w:szCs w:val="26"/>
        </w:rPr>
        <w:t xml:space="preserve">absolved </w:t>
      </w:r>
      <w:r w:rsidR="00D031BF">
        <w:rPr>
          <w:rFonts w:ascii="Times New Roman" w:hAnsi="Times New Roman" w:cs="Times New Roman"/>
          <w:b/>
          <w:sz w:val="26"/>
          <w:szCs w:val="26"/>
        </w:rPr>
        <w:t>from liability.</w:t>
      </w:r>
    </w:p>
    <w:p w14:paraId="076D5CB6" w14:textId="59F23C23" w:rsidR="00922428" w:rsidRDefault="00922428" w:rsidP="00922428">
      <w:pPr>
        <w:spacing w:after="0" w:line="360" w:lineRule="auto"/>
        <w:jc w:val="both"/>
        <w:rPr>
          <w:rFonts w:ascii="Times New Roman" w:hAnsi="Times New Roman" w:cs="Times New Roman"/>
          <w:b/>
          <w:sz w:val="26"/>
          <w:szCs w:val="26"/>
        </w:rPr>
      </w:pPr>
    </w:p>
    <w:p w14:paraId="3CFA01ED" w14:textId="77777777" w:rsidR="00922428" w:rsidRPr="00922428" w:rsidRDefault="00922428" w:rsidP="00922428">
      <w:pPr>
        <w:spacing w:after="0" w:line="360" w:lineRule="auto"/>
        <w:jc w:val="both"/>
        <w:rPr>
          <w:rFonts w:ascii="Times New Roman" w:hAnsi="Times New Roman" w:cs="Times New Roman"/>
          <w:b/>
          <w:sz w:val="26"/>
          <w:szCs w:val="26"/>
        </w:rPr>
      </w:pPr>
    </w:p>
    <w:p w14:paraId="245C3010" w14:textId="76065627" w:rsidR="002B61F1" w:rsidRPr="00F47E33" w:rsidRDefault="00EA24FA" w:rsidP="00F47E33">
      <w:pPr>
        <w:tabs>
          <w:tab w:val="left" w:pos="3720"/>
        </w:tabs>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_</w:t>
      </w:r>
      <w:r w:rsidR="00696016">
        <w:rPr>
          <w:rFonts w:ascii="Times New Roman" w:hAnsi="Times New Roman" w:cs="Times New Roman"/>
          <w:b/>
          <w:sz w:val="26"/>
          <w:szCs w:val="26"/>
          <w:u w:val="single"/>
        </w:rPr>
        <w:t>___________________</w:t>
      </w:r>
    </w:p>
    <w:p w14:paraId="7FACAEAD" w14:textId="5E42E8A1" w:rsidR="002B61F1" w:rsidRPr="00F47E33" w:rsidRDefault="002B61F1" w:rsidP="00F47E33">
      <w:pPr>
        <w:tabs>
          <w:tab w:val="left" w:pos="3720"/>
        </w:tabs>
        <w:spacing w:after="0" w:line="360" w:lineRule="auto"/>
        <w:jc w:val="both"/>
        <w:rPr>
          <w:rFonts w:ascii="Times New Roman" w:hAnsi="Times New Roman" w:cs="Times New Roman"/>
          <w:b/>
          <w:sz w:val="26"/>
          <w:szCs w:val="26"/>
        </w:rPr>
      </w:pPr>
      <w:r w:rsidRPr="00F47E33">
        <w:rPr>
          <w:rFonts w:ascii="Times New Roman" w:hAnsi="Times New Roman" w:cs="Times New Roman"/>
          <w:b/>
          <w:sz w:val="26"/>
          <w:szCs w:val="26"/>
        </w:rPr>
        <w:t xml:space="preserve">Z M NHLANGULELA </w:t>
      </w:r>
    </w:p>
    <w:p w14:paraId="1EB60D06" w14:textId="49952BA9" w:rsidR="002B61F1" w:rsidRPr="00F47E33" w:rsidRDefault="002B61F1" w:rsidP="00F47E33">
      <w:pPr>
        <w:tabs>
          <w:tab w:val="left" w:pos="3720"/>
        </w:tabs>
        <w:spacing w:after="0" w:line="360" w:lineRule="auto"/>
        <w:jc w:val="both"/>
        <w:rPr>
          <w:rFonts w:ascii="Times New Roman" w:hAnsi="Times New Roman" w:cs="Times New Roman"/>
          <w:b/>
          <w:sz w:val="26"/>
          <w:szCs w:val="26"/>
        </w:rPr>
      </w:pPr>
      <w:r w:rsidRPr="00F47E33">
        <w:rPr>
          <w:rFonts w:ascii="Times New Roman" w:hAnsi="Times New Roman" w:cs="Times New Roman"/>
          <w:b/>
          <w:sz w:val="26"/>
          <w:szCs w:val="26"/>
        </w:rPr>
        <w:t>DEPUTY JUDGE PRESIDENT OF THE HIGH COURT</w:t>
      </w:r>
      <w:r w:rsidR="00696016">
        <w:rPr>
          <w:rFonts w:ascii="Times New Roman" w:hAnsi="Times New Roman" w:cs="Times New Roman"/>
          <w:b/>
          <w:sz w:val="26"/>
          <w:szCs w:val="26"/>
        </w:rPr>
        <w:t>, MTHATHA</w:t>
      </w:r>
    </w:p>
    <w:p w14:paraId="01D83B55" w14:textId="7B54D6A8" w:rsidR="006A0DDD" w:rsidRDefault="006A0DDD" w:rsidP="006A0DDD">
      <w:pPr>
        <w:tabs>
          <w:tab w:val="left" w:pos="3720"/>
        </w:tabs>
        <w:spacing w:after="0" w:line="360" w:lineRule="auto"/>
        <w:jc w:val="both"/>
        <w:rPr>
          <w:rFonts w:ascii="Times New Roman" w:hAnsi="Times New Roman" w:cs="Times New Roman"/>
          <w:b/>
          <w:sz w:val="26"/>
          <w:szCs w:val="26"/>
        </w:rPr>
      </w:pPr>
    </w:p>
    <w:p w14:paraId="0E97BF92" w14:textId="518DD95A" w:rsidR="003E6084" w:rsidRDefault="003E6084" w:rsidP="006A0DDD">
      <w:pPr>
        <w:tabs>
          <w:tab w:val="left" w:pos="3720"/>
        </w:tabs>
        <w:spacing w:after="0" w:line="360" w:lineRule="auto"/>
        <w:jc w:val="both"/>
        <w:rPr>
          <w:rFonts w:ascii="Times New Roman" w:hAnsi="Times New Roman" w:cs="Times New Roman"/>
          <w:b/>
          <w:sz w:val="26"/>
          <w:szCs w:val="26"/>
        </w:rPr>
      </w:pPr>
    </w:p>
    <w:p w14:paraId="1011A302" w14:textId="4A98FD67" w:rsidR="00DE271C" w:rsidRPr="00F47E33" w:rsidRDefault="002B61F1" w:rsidP="006A0DDD">
      <w:pPr>
        <w:tabs>
          <w:tab w:val="left" w:pos="3720"/>
        </w:tabs>
        <w:spacing w:after="0" w:line="360" w:lineRule="auto"/>
        <w:jc w:val="both"/>
        <w:rPr>
          <w:rFonts w:ascii="Times New Roman" w:hAnsi="Times New Roman" w:cs="Times New Roman"/>
          <w:b/>
          <w:sz w:val="26"/>
          <w:szCs w:val="26"/>
        </w:rPr>
      </w:pPr>
      <w:r w:rsidRPr="00F47E33">
        <w:rPr>
          <w:rFonts w:ascii="Times New Roman" w:hAnsi="Times New Roman" w:cs="Times New Roman"/>
          <w:b/>
          <w:sz w:val="26"/>
          <w:szCs w:val="26"/>
        </w:rPr>
        <w:t xml:space="preserve">Counsel for the </w:t>
      </w:r>
      <w:r w:rsidR="001E092E">
        <w:rPr>
          <w:rFonts w:ascii="Times New Roman" w:hAnsi="Times New Roman" w:cs="Times New Roman"/>
          <w:b/>
          <w:sz w:val="26"/>
          <w:szCs w:val="26"/>
        </w:rPr>
        <w:t>applicant</w:t>
      </w:r>
      <w:r w:rsidR="00884388">
        <w:rPr>
          <w:rFonts w:ascii="Times New Roman" w:hAnsi="Times New Roman" w:cs="Times New Roman"/>
          <w:b/>
          <w:sz w:val="26"/>
          <w:szCs w:val="26"/>
        </w:rPr>
        <w:t>s</w:t>
      </w:r>
      <w:r w:rsidR="009E55C6">
        <w:rPr>
          <w:rFonts w:ascii="Times New Roman" w:hAnsi="Times New Roman" w:cs="Times New Roman"/>
          <w:b/>
          <w:sz w:val="26"/>
          <w:szCs w:val="26"/>
        </w:rPr>
        <w:t>:</w:t>
      </w:r>
      <w:r w:rsidR="00884388">
        <w:rPr>
          <w:rFonts w:ascii="Times New Roman" w:hAnsi="Times New Roman" w:cs="Times New Roman"/>
          <w:b/>
          <w:sz w:val="26"/>
          <w:szCs w:val="26"/>
        </w:rPr>
        <w:tab/>
        <w:t>Adv. J. G. Grogan</w:t>
      </w:r>
      <w:r w:rsidR="009E55C6">
        <w:rPr>
          <w:rFonts w:ascii="Times New Roman" w:hAnsi="Times New Roman" w:cs="Times New Roman"/>
          <w:b/>
          <w:sz w:val="26"/>
          <w:szCs w:val="26"/>
        </w:rPr>
        <w:t xml:space="preserve">         </w:t>
      </w:r>
    </w:p>
    <w:p w14:paraId="6E5A61F6" w14:textId="7DF93C11" w:rsidR="005D17B1" w:rsidRDefault="00DE271C" w:rsidP="005D17B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Instructed by</w:t>
      </w:r>
      <w:r w:rsidR="00884388">
        <w:rPr>
          <w:rFonts w:ascii="Times New Roman" w:hAnsi="Times New Roman" w:cs="Times New Roman"/>
          <w:b/>
          <w:sz w:val="26"/>
          <w:szCs w:val="26"/>
        </w:rPr>
        <w:t xml:space="preserve">                      :</w:t>
      </w:r>
      <w:r w:rsidR="00884388">
        <w:rPr>
          <w:rFonts w:ascii="Times New Roman" w:hAnsi="Times New Roman" w:cs="Times New Roman"/>
          <w:b/>
          <w:sz w:val="26"/>
          <w:szCs w:val="26"/>
        </w:rPr>
        <w:tab/>
      </w:r>
      <w:r w:rsidR="005D17B1">
        <w:rPr>
          <w:rFonts w:ascii="Times New Roman" w:hAnsi="Times New Roman" w:cs="Times New Roman"/>
          <w:b/>
          <w:sz w:val="26"/>
          <w:szCs w:val="26"/>
        </w:rPr>
        <w:t>Ntshinga Attorneys Inc</w:t>
      </w:r>
    </w:p>
    <w:p w14:paraId="1C6D0A50" w14:textId="77777777" w:rsidR="005D17B1" w:rsidRDefault="005D17B1" w:rsidP="005D17B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t>MTHATHA.</w:t>
      </w:r>
    </w:p>
    <w:p w14:paraId="5F776121" w14:textId="0987A281" w:rsidR="002B61F1" w:rsidRPr="00F47E33" w:rsidRDefault="005D17B1" w:rsidP="006A0DDD">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t xml:space="preserve">c/o  </w:t>
      </w:r>
      <w:r w:rsidR="00884388">
        <w:rPr>
          <w:rFonts w:ascii="Times New Roman" w:hAnsi="Times New Roman" w:cs="Times New Roman"/>
          <w:b/>
          <w:sz w:val="26"/>
          <w:szCs w:val="26"/>
        </w:rPr>
        <w:t>W. Mdlangazi Attorneys</w:t>
      </w:r>
      <w:r w:rsidR="00884388">
        <w:rPr>
          <w:rFonts w:ascii="Times New Roman" w:hAnsi="Times New Roman" w:cs="Times New Roman"/>
          <w:b/>
          <w:sz w:val="26"/>
          <w:szCs w:val="26"/>
        </w:rPr>
        <w:tab/>
      </w:r>
      <w:r w:rsidR="00884388">
        <w:rPr>
          <w:rFonts w:ascii="Times New Roman" w:hAnsi="Times New Roman" w:cs="Times New Roman"/>
          <w:b/>
          <w:sz w:val="26"/>
          <w:szCs w:val="26"/>
        </w:rPr>
        <w:tab/>
      </w:r>
    </w:p>
    <w:p w14:paraId="28699A04" w14:textId="4B422B78" w:rsidR="002B61F1" w:rsidRDefault="001E092E" w:rsidP="006A0DDD">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884388">
        <w:rPr>
          <w:rFonts w:ascii="Times New Roman" w:hAnsi="Times New Roman" w:cs="Times New Roman"/>
          <w:b/>
          <w:sz w:val="26"/>
          <w:szCs w:val="26"/>
        </w:rPr>
        <w:tab/>
        <w:t>EAST LONDON</w:t>
      </w:r>
      <w:r w:rsidR="00F35594">
        <w:rPr>
          <w:rFonts w:ascii="Times New Roman" w:hAnsi="Times New Roman" w:cs="Times New Roman"/>
          <w:b/>
          <w:sz w:val="26"/>
          <w:szCs w:val="26"/>
        </w:rPr>
        <w:t>.</w:t>
      </w:r>
    </w:p>
    <w:p w14:paraId="254E3C4D" w14:textId="1578D06E" w:rsidR="0008514C" w:rsidRDefault="0008514C" w:rsidP="005D17B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p>
    <w:p w14:paraId="02810443" w14:textId="622CE7DD" w:rsidR="002B61F1" w:rsidRPr="00F47E33" w:rsidRDefault="002B61F1" w:rsidP="006A0DDD">
      <w:pPr>
        <w:tabs>
          <w:tab w:val="left" w:pos="3720"/>
        </w:tabs>
        <w:spacing w:after="0" w:line="360" w:lineRule="auto"/>
        <w:jc w:val="both"/>
        <w:rPr>
          <w:rFonts w:ascii="Times New Roman" w:hAnsi="Times New Roman" w:cs="Times New Roman"/>
          <w:b/>
          <w:sz w:val="26"/>
          <w:szCs w:val="26"/>
        </w:rPr>
      </w:pPr>
      <w:r w:rsidRPr="00F47E33">
        <w:rPr>
          <w:rFonts w:ascii="Times New Roman" w:hAnsi="Times New Roman" w:cs="Times New Roman"/>
          <w:b/>
          <w:sz w:val="26"/>
          <w:szCs w:val="26"/>
        </w:rPr>
        <w:t>Counsel for the Respondent</w:t>
      </w:r>
      <w:r w:rsidR="00884388">
        <w:rPr>
          <w:rFonts w:ascii="Times New Roman" w:hAnsi="Times New Roman" w:cs="Times New Roman"/>
          <w:b/>
          <w:sz w:val="26"/>
          <w:szCs w:val="26"/>
        </w:rPr>
        <w:t>s</w:t>
      </w:r>
      <w:r w:rsidRPr="00F47E33">
        <w:rPr>
          <w:rFonts w:ascii="Times New Roman" w:hAnsi="Times New Roman" w:cs="Times New Roman"/>
          <w:b/>
          <w:sz w:val="26"/>
          <w:szCs w:val="26"/>
        </w:rPr>
        <w:t>:</w:t>
      </w:r>
      <w:r w:rsidR="000C46B8">
        <w:rPr>
          <w:rFonts w:ascii="Times New Roman" w:hAnsi="Times New Roman" w:cs="Times New Roman"/>
          <w:b/>
          <w:sz w:val="26"/>
          <w:szCs w:val="26"/>
        </w:rPr>
        <w:t xml:space="preserve">     </w:t>
      </w:r>
      <w:r w:rsidR="00884388">
        <w:rPr>
          <w:rFonts w:ascii="Times New Roman" w:hAnsi="Times New Roman" w:cs="Times New Roman"/>
          <w:b/>
          <w:sz w:val="26"/>
          <w:szCs w:val="26"/>
        </w:rPr>
        <w:t xml:space="preserve">  Adv. L. Haskins</w:t>
      </w:r>
    </w:p>
    <w:p w14:paraId="2A8D3890" w14:textId="70FC614C" w:rsidR="002B61F1" w:rsidRPr="00F47E33" w:rsidRDefault="002B61F1" w:rsidP="006A0DDD">
      <w:pPr>
        <w:tabs>
          <w:tab w:val="left" w:pos="3720"/>
        </w:tabs>
        <w:spacing w:after="0" w:line="360" w:lineRule="auto"/>
        <w:ind w:left="2160" w:hanging="2160"/>
        <w:jc w:val="both"/>
        <w:rPr>
          <w:rFonts w:ascii="Times New Roman" w:hAnsi="Times New Roman" w:cs="Times New Roman"/>
          <w:b/>
          <w:sz w:val="26"/>
          <w:szCs w:val="26"/>
        </w:rPr>
      </w:pPr>
      <w:r w:rsidRPr="00F47E33">
        <w:rPr>
          <w:rFonts w:ascii="Times New Roman" w:hAnsi="Times New Roman" w:cs="Times New Roman"/>
          <w:b/>
          <w:sz w:val="26"/>
          <w:szCs w:val="26"/>
        </w:rPr>
        <w:t>Instructed by</w:t>
      </w:r>
      <w:r w:rsidR="00884388">
        <w:rPr>
          <w:rFonts w:ascii="Times New Roman" w:hAnsi="Times New Roman" w:cs="Times New Roman"/>
          <w:b/>
          <w:sz w:val="26"/>
          <w:szCs w:val="26"/>
        </w:rPr>
        <w:tab/>
        <w:t xml:space="preserve">                </w:t>
      </w:r>
      <w:r w:rsidR="001433A0">
        <w:rPr>
          <w:rFonts w:ascii="Times New Roman" w:hAnsi="Times New Roman" w:cs="Times New Roman"/>
          <w:b/>
          <w:sz w:val="26"/>
          <w:szCs w:val="26"/>
        </w:rPr>
        <w:t>:</w:t>
      </w:r>
      <w:r w:rsidR="00884388">
        <w:rPr>
          <w:rFonts w:ascii="Times New Roman" w:hAnsi="Times New Roman" w:cs="Times New Roman"/>
          <w:b/>
          <w:sz w:val="26"/>
          <w:szCs w:val="26"/>
        </w:rPr>
        <w:t xml:space="preserve">       Mvuzo Notyesi Incorporated</w:t>
      </w:r>
    </w:p>
    <w:p w14:paraId="3A041EE6" w14:textId="670C28B3" w:rsidR="002B61F1" w:rsidRPr="00F47E33" w:rsidRDefault="00995035" w:rsidP="006A0DDD">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884388">
        <w:rPr>
          <w:rFonts w:ascii="Times New Roman" w:hAnsi="Times New Roman" w:cs="Times New Roman"/>
          <w:b/>
          <w:sz w:val="26"/>
          <w:szCs w:val="26"/>
        </w:rPr>
        <w:t xml:space="preserve">    </w:t>
      </w:r>
      <w:r w:rsidR="002B61F1" w:rsidRPr="00F47E33">
        <w:rPr>
          <w:rFonts w:ascii="Times New Roman" w:hAnsi="Times New Roman" w:cs="Times New Roman"/>
          <w:b/>
          <w:sz w:val="26"/>
          <w:szCs w:val="26"/>
        </w:rPr>
        <w:t>MTHATHA</w:t>
      </w:r>
      <w:r w:rsidR="000A3DD7">
        <w:rPr>
          <w:rFonts w:ascii="Times New Roman" w:hAnsi="Times New Roman" w:cs="Times New Roman"/>
          <w:b/>
          <w:sz w:val="26"/>
          <w:szCs w:val="26"/>
        </w:rPr>
        <w:t>.</w:t>
      </w:r>
    </w:p>
    <w:p w14:paraId="4B223E96" w14:textId="0113276A" w:rsidR="002B61F1" w:rsidRPr="00F47E33" w:rsidRDefault="002B61F1" w:rsidP="002B61F1">
      <w:pPr>
        <w:tabs>
          <w:tab w:val="left" w:pos="3720"/>
        </w:tabs>
        <w:spacing w:line="360" w:lineRule="auto"/>
        <w:jc w:val="both"/>
        <w:rPr>
          <w:rFonts w:ascii="Times New Roman" w:hAnsi="Times New Roman" w:cs="Times New Roman"/>
          <w:b/>
          <w:sz w:val="26"/>
          <w:szCs w:val="26"/>
        </w:rPr>
      </w:pPr>
      <w:r w:rsidRPr="00F47E33">
        <w:rPr>
          <w:rFonts w:ascii="Times New Roman" w:hAnsi="Times New Roman" w:cs="Times New Roman"/>
          <w:b/>
          <w:sz w:val="26"/>
          <w:szCs w:val="26"/>
        </w:rPr>
        <w:tab/>
      </w:r>
    </w:p>
    <w:p w14:paraId="44229041" w14:textId="77777777" w:rsidR="00B159B3" w:rsidRDefault="00B159B3"/>
    <w:p w14:paraId="7D04F6CF" w14:textId="77777777" w:rsidR="00B159B3" w:rsidRDefault="00B159B3"/>
    <w:p w14:paraId="427D644D" w14:textId="77777777" w:rsidR="00B159B3" w:rsidRDefault="00B159B3"/>
    <w:p w14:paraId="5F7DB69C" w14:textId="77777777" w:rsidR="00B159B3" w:rsidRDefault="00B159B3"/>
    <w:p w14:paraId="74D37A4D" w14:textId="2B5ACB73" w:rsidR="00B159B3" w:rsidRDefault="00B159B3"/>
    <w:p w14:paraId="553BB2BF" w14:textId="11F0371D" w:rsidR="00B0187D" w:rsidRDefault="00B0187D"/>
    <w:p w14:paraId="477F12D9" w14:textId="6DB536C5" w:rsidR="00B0187D" w:rsidRDefault="00B0187D"/>
    <w:p w14:paraId="5C030951" w14:textId="1DE012CE" w:rsidR="00B0187D" w:rsidRDefault="00B0187D"/>
    <w:p w14:paraId="383E2C6C" w14:textId="5089A4C2" w:rsidR="00B0187D" w:rsidRDefault="00B0187D"/>
    <w:p w14:paraId="4B827C58" w14:textId="1115008A" w:rsidR="00B0187D" w:rsidRDefault="00B0187D"/>
    <w:p w14:paraId="6DC263C7" w14:textId="77777777" w:rsidR="00B0187D" w:rsidRDefault="00B0187D"/>
    <w:sectPr w:rsidR="00B0187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F6B7B" w14:textId="77777777" w:rsidR="00490F8F" w:rsidRDefault="00490F8F" w:rsidP="0053470E">
      <w:pPr>
        <w:spacing w:after="0" w:line="240" w:lineRule="auto"/>
      </w:pPr>
      <w:r>
        <w:separator/>
      </w:r>
    </w:p>
  </w:endnote>
  <w:endnote w:type="continuationSeparator" w:id="0">
    <w:p w14:paraId="3E9BA9AA" w14:textId="77777777" w:rsidR="00490F8F" w:rsidRDefault="00490F8F" w:rsidP="0053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0154E" w14:textId="77777777" w:rsidR="00490F8F" w:rsidRDefault="00490F8F" w:rsidP="0053470E">
      <w:pPr>
        <w:spacing w:after="0" w:line="240" w:lineRule="auto"/>
      </w:pPr>
      <w:r>
        <w:separator/>
      </w:r>
    </w:p>
  </w:footnote>
  <w:footnote w:type="continuationSeparator" w:id="0">
    <w:p w14:paraId="6BD5609F" w14:textId="77777777" w:rsidR="00490F8F" w:rsidRDefault="00490F8F" w:rsidP="00534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088353"/>
      <w:docPartObj>
        <w:docPartGallery w:val="Page Numbers (Top of Page)"/>
        <w:docPartUnique/>
      </w:docPartObj>
    </w:sdtPr>
    <w:sdtEndPr>
      <w:rPr>
        <w:noProof/>
      </w:rPr>
    </w:sdtEndPr>
    <w:sdtContent>
      <w:p w14:paraId="45078842" w14:textId="5A141F2C" w:rsidR="0053470E" w:rsidRDefault="0053470E">
        <w:pPr>
          <w:pStyle w:val="Header"/>
          <w:jc w:val="center"/>
        </w:pPr>
        <w:r>
          <w:fldChar w:fldCharType="begin"/>
        </w:r>
        <w:r>
          <w:instrText xml:space="preserve"> PAGE   \* MERGEFORMAT </w:instrText>
        </w:r>
        <w:r>
          <w:fldChar w:fldCharType="separate"/>
        </w:r>
        <w:r w:rsidR="009D1F86">
          <w:rPr>
            <w:noProof/>
          </w:rPr>
          <w:t>4</w:t>
        </w:r>
        <w:r>
          <w:rPr>
            <w:noProof/>
          </w:rPr>
          <w:fldChar w:fldCharType="end"/>
        </w:r>
      </w:p>
    </w:sdtContent>
  </w:sdt>
  <w:p w14:paraId="5197DFAF" w14:textId="77777777" w:rsidR="0053470E" w:rsidRDefault="00534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57E72"/>
    <w:multiLevelType w:val="hybridMultilevel"/>
    <w:tmpl w:val="73AC26F6"/>
    <w:lvl w:ilvl="0" w:tplc="DBFCEB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720E91"/>
    <w:multiLevelType w:val="multilevel"/>
    <w:tmpl w:val="2BA8231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50E5EA1"/>
    <w:multiLevelType w:val="hybridMultilevel"/>
    <w:tmpl w:val="DDE8940A"/>
    <w:lvl w:ilvl="0" w:tplc="AF0274E0">
      <w:start w:val="5"/>
      <w:numFmt w:val="decimal"/>
      <w:lvlText w:val="%1."/>
      <w:lvlJc w:val="left"/>
      <w:pPr>
        <w:ind w:left="786" w:hanging="360"/>
      </w:pPr>
      <w:rPr>
        <w:rFonts w:ascii="Times New Roman" w:hAnsi="Times New Roman" w:hint="default"/>
        <w:i/>
        <w:color w:val="000000" w:themeColor="text1"/>
        <w:sz w:val="26"/>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13237C"/>
    <w:multiLevelType w:val="hybridMultilevel"/>
    <w:tmpl w:val="82B83432"/>
    <w:lvl w:ilvl="0" w:tplc="E40C5378">
      <w:start w:val="1"/>
      <w:numFmt w:val="lowerLetter"/>
      <w:lvlText w:val="(%1)"/>
      <w:lvlJc w:val="left"/>
      <w:pPr>
        <w:ind w:left="2514" w:hanging="360"/>
      </w:pPr>
      <w:rPr>
        <w:rFonts w:hint="default"/>
      </w:rPr>
    </w:lvl>
    <w:lvl w:ilvl="1" w:tplc="1C090019" w:tentative="1">
      <w:start w:val="1"/>
      <w:numFmt w:val="lowerLetter"/>
      <w:lvlText w:val="%2."/>
      <w:lvlJc w:val="left"/>
      <w:pPr>
        <w:ind w:left="3234" w:hanging="360"/>
      </w:pPr>
    </w:lvl>
    <w:lvl w:ilvl="2" w:tplc="1C09001B" w:tentative="1">
      <w:start w:val="1"/>
      <w:numFmt w:val="lowerRoman"/>
      <w:lvlText w:val="%3."/>
      <w:lvlJc w:val="right"/>
      <w:pPr>
        <w:ind w:left="3954" w:hanging="180"/>
      </w:pPr>
    </w:lvl>
    <w:lvl w:ilvl="3" w:tplc="1C09000F" w:tentative="1">
      <w:start w:val="1"/>
      <w:numFmt w:val="decimal"/>
      <w:lvlText w:val="%4."/>
      <w:lvlJc w:val="left"/>
      <w:pPr>
        <w:ind w:left="4674" w:hanging="360"/>
      </w:pPr>
    </w:lvl>
    <w:lvl w:ilvl="4" w:tplc="1C090019" w:tentative="1">
      <w:start w:val="1"/>
      <w:numFmt w:val="lowerLetter"/>
      <w:lvlText w:val="%5."/>
      <w:lvlJc w:val="left"/>
      <w:pPr>
        <w:ind w:left="5394" w:hanging="360"/>
      </w:pPr>
    </w:lvl>
    <w:lvl w:ilvl="5" w:tplc="1C09001B" w:tentative="1">
      <w:start w:val="1"/>
      <w:numFmt w:val="lowerRoman"/>
      <w:lvlText w:val="%6."/>
      <w:lvlJc w:val="right"/>
      <w:pPr>
        <w:ind w:left="6114" w:hanging="180"/>
      </w:pPr>
    </w:lvl>
    <w:lvl w:ilvl="6" w:tplc="1C09000F" w:tentative="1">
      <w:start w:val="1"/>
      <w:numFmt w:val="decimal"/>
      <w:lvlText w:val="%7."/>
      <w:lvlJc w:val="left"/>
      <w:pPr>
        <w:ind w:left="6834" w:hanging="360"/>
      </w:pPr>
    </w:lvl>
    <w:lvl w:ilvl="7" w:tplc="1C090019" w:tentative="1">
      <w:start w:val="1"/>
      <w:numFmt w:val="lowerLetter"/>
      <w:lvlText w:val="%8."/>
      <w:lvlJc w:val="left"/>
      <w:pPr>
        <w:ind w:left="7554" w:hanging="360"/>
      </w:pPr>
    </w:lvl>
    <w:lvl w:ilvl="8" w:tplc="1C09001B" w:tentative="1">
      <w:start w:val="1"/>
      <w:numFmt w:val="lowerRoman"/>
      <w:lvlText w:val="%9."/>
      <w:lvlJc w:val="right"/>
      <w:pPr>
        <w:ind w:left="8274" w:hanging="180"/>
      </w:pPr>
    </w:lvl>
  </w:abstractNum>
  <w:abstractNum w:abstractNumId="4" w15:restartNumberingAfterBreak="0">
    <w:nsid w:val="6BF729E2"/>
    <w:multiLevelType w:val="hybridMultilevel"/>
    <w:tmpl w:val="AEAA280E"/>
    <w:lvl w:ilvl="0" w:tplc="2D3CCBB6">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70A64E99"/>
    <w:multiLevelType w:val="hybridMultilevel"/>
    <w:tmpl w:val="8B2C78FE"/>
    <w:lvl w:ilvl="0" w:tplc="63900B3E">
      <w:start w:val="1"/>
      <w:numFmt w:val="lowerLetter"/>
      <w:lvlText w:val="(%1)"/>
      <w:lvlJc w:val="left"/>
      <w:pPr>
        <w:ind w:left="2514" w:hanging="360"/>
      </w:pPr>
      <w:rPr>
        <w:rFonts w:hint="default"/>
      </w:rPr>
    </w:lvl>
    <w:lvl w:ilvl="1" w:tplc="1C090019" w:tentative="1">
      <w:start w:val="1"/>
      <w:numFmt w:val="lowerLetter"/>
      <w:lvlText w:val="%2."/>
      <w:lvlJc w:val="left"/>
      <w:pPr>
        <w:ind w:left="3234" w:hanging="360"/>
      </w:pPr>
    </w:lvl>
    <w:lvl w:ilvl="2" w:tplc="1C09001B" w:tentative="1">
      <w:start w:val="1"/>
      <w:numFmt w:val="lowerRoman"/>
      <w:lvlText w:val="%3."/>
      <w:lvlJc w:val="right"/>
      <w:pPr>
        <w:ind w:left="3954" w:hanging="180"/>
      </w:pPr>
    </w:lvl>
    <w:lvl w:ilvl="3" w:tplc="1C09000F" w:tentative="1">
      <w:start w:val="1"/>
      <w:numFmt w:val="decimal"/>
      <w:lvlText w:val="%4."/>
      <w:lvlJc w:val="left"/>
      <w:pPr>
        <w:ind w:left="4674" w:hanging="360"/>
      </w:pPr>
    </w:lvl>
    <w:lvl w:ilvl="4" w:tplc="1C090019" w:tentative="1">
      <w:start w:val="1"/>
      <w:numFmt w:val="lowerLetter"/>
      <w:lvlText w:val="%5."/>
      <w:lvlJc w:val="left"/>
      <w:pPr>
        <w:ind w:left="5394" w:hanging="360"/>
      </w:pPr>
    </w:lvl>
    <w:lvl w:ilvl="5" w:tplc="1C09001B" w:tentative="1">
      <w:start w:val="1"/>
      <w:numFmt w:val="lowerRoman"/>
      <w:lvlText w:val="%6."/>
      <w:lvlJc w:val="right"/>
      <w:pPr>
        <w:ind w:left="6114" w:hanging="180"/>
      </w:pPr>
    </w:lvl>
    <w:lvl w:ilvl="6" w:tplc="1C09000F" w:tentative="1">
      <w:start w:val="1"/>
      <w:numFmt w:val="decimal"/>
      <w:lvlText w:val="%7."/>
      <w:lvlJc w:val="left"/>
      <w:pPr>
        <w:ind w:left="6834" w:hanging="360"/>
      </w:pPr>
    </w:lvl>
    <w:lvl w:ilvl="7" w:tplc="1C090019" w:tentative="1">
      <w:start w:val="1"/>
      <w:numFmt w:val="lowerLetter"/>
      <w:lvlText w:val="%8."/>
      <w:lvlJc w:val="left"/>
      <w:pPr>
        <w:ind w:left="7554" w:hanging="360"/>
      </w:pPr>
    </w:lvl>
    <w:lvl w:ilvl="8" w:tplc="1C09001B" w:tentative="1">
      <w:start w:val="1"/>
      <w:numFmt w:val="lowerRoman"/>
      <w:lvlText w:val="%9."/>
      <w:lvlJc w:val="right"/>
      <w:pPr>
        <w:ind w:left="8274"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913CCD-675C-416E-998D-2AFA789BF9B8}"/>
    <w:docVar w:name="dgnword-drafile" w:val="C:\Users\ZNHLAN~1\AppData\Local\Temp\draA94.tmp"/>
    <w:docVar w:name="dgnword-eventsink" w:val="421039600"/>
  </w:docVars>
  <w:rsids>
    <w:rsidRoot w:val="008C2AF8"/>
    <w:rsid w:val="0000075D"/>
    <w:rsid w:val="00015664"/>
    <w:rsid w:val="0001782D"/>
    <w:rsid w:val="00017EE5"/>
    <w:rsid w:val="000212B5"/>
    <w:rsid w:val="00025091"/>
    <w:rsid w:val="000260C0"/>
    <w:rsid w:val="00031A61"/>
    <w:rsid w:val="00034AE6"/>
    <w:rsid w:val="0005026C"/>
    <w:rsid w:val="00056DEB"/>
    <w:rsid w:val="00063F28"/>
    <w:rsid w:val="0006425D"/>
    <w:rsid w:val="00066CFE"/>
    <w:rsid w:val="0008514C"/>
    <w:rsid w:val="00085C74"/>
    <w:rsid w:val="0009019A"/>
    <w:rsid w:val="0009362C"/>
    <w:rsid w:val="000A3DD7"/>
    <w:rsid w:val="000A3E9F"/>
    <w:rsid w:val="000A64E4"/>
    <w:rsid w:val="000B1D3F"/>
    <w:rsid w:val="000C46B8"/>
    <w:rsid w:val="000C643F"/>
    <w:rsid w:val="000D020A"/>
    <w:rsid w:val="000D2983"/>
    <w:rsid w:val="000D47C8"/>
    <w:rsid w:val="000D55D5"/>
    <w:rsid w:val="000E5053"/>
    <w:rsid w:val="000F13B7"/>
    <w:rsid w:val="000F1A5C"/>
    <w:rsid w:val="000F44A9"/>
    <w:rsid w:val="0010008A"/>
    <w:rsid w:val="00100DB5"/>
    <w:rsid w:val="00102714"/>
    <w:rsid w:val="0011173E"/>
    <w:rsid w:val="00112BB2"/>
    <w:rsid w:val="00117412"/>
    <w:rsid w:val="001240FA"/>
    <w:rsid w:val="001242F8"/>
    <w:rsid w:val="001315BD"/>
    <w:rsid w:val="001433A0"/>
    <w:rsid w:val="00152F0A"/>
    <w:rsid w:val="001758B7"/>
    <w:rsid w:val="00176602"/>
    <w:rsid w:val="001767E9"/>
    <w:rsid w:val="00177B90"/>
    <w:rsid w:val="001806EE"/>
    <w:rsid w:val="001871A5"/>
    <w:rsid w:val="001955E5"/>
    <w:rsid w:val="001963FE"/>
    <w:rsid w:val="001B2B66"/>
    <w:rsid w:val="001D0C2E"/>
    <w:rsid w:val="001E092E"/>
    <w:rsid w:val="001E3B17"/>
    <w:rsid w:val="001F2881"/>
    <w:rsid w:val="001F6A2A"/>
    <w:rsid w:val="002004C1"/>
    <w:rsid w:val="002151B8"/>
    <w:rsid w:val="00216CEE"/>
    <w:rsid w:val="00223208"/>
    <w:rsid w:val="002234E0"/>
    <w:rsid w:val="00226111"/>
    <w:rsid w:val="00226329"/>
    <w:rsid w:val="00235D7E"/>
    <w:rsid w:val="00242314"/>
    <w:rsid w:val="00247802"/>
    <w:rsid w:val="00257595"/>
    <w:rsid w:val="00266F2D"/>
    <w:rsid w:val="002706D1"/>
    <w:rsid w:val="00270F61"/>
    <w:rsid w:val="00283D5E"/>
    <w:rsid w:val="00293F47"/>
    <w:rsid w:val="002963C2"/>
    <w:rsid w:val="00296F6D"/>
    <w:rsid w:val="002A3812"/>
    <w:rsid w:val="002A6ED0"/>
    <w:rsid w:val="002A73D0"/>
    <w:rsid w:val="002B0FCD"/>
    <w:rsid w:val="002B61F1"/>
    <w:rsid w:val="002C3C2E"/>
    <w:rsid w:val="002C4CB0"/>
    <w:rsid w:val="002E03A8"/>
    <w:rsid w:val="002E0F31"/>
    <w:rsid w:val="002E6DF0"/>
    <w:rsid w:val="002F6C4C"/>
    <w:rsid w:val="00307E0D"/>
    <w:rsid w:val="00314831"/>
    <w:rsid w:val="00315510"/>
    <w:rsid w:val="0031686D"/>
    <w:rsid w:val="003207BE"/>
    <w:rsid w:val="0032741B"/>
    <w:rsid w:val="00332702"/>
    <w:rsid w:val="0034012C"/>
    <w:rsid w:val="0034397A"/>
    <w:rsid w:val="00345FD0"/>
    <w:rsid w:val="00350C44"/>
    <w:rsid w:val="00350F4A"/>
    <w:rsid w:val="003562BF"/>
    <w:rsid w:val="00364256"/>
    <w:rsid w:val="0037152C"/>
    <w:rsid w:val="00377927"/>
    <w:rsid w:val="0039099C"/>
    <w:rsid w:val="003966E4"/>
    <w:rsid w:val="003A089E"/>
    <w:rsid w:val="003A14A8"/>
    <w:rsid w:val="003A2D46"/>
    <w:rsid w:val="003A7265"/>
    <w:rsid w:val="003B7F03"/>
    <w:rsid w:val="003C2CEB"/>
    <w:rsid w:val="003C4062"/>
    <w:rsid w:val="003D2DE3"/>
    <w:rsid w:val="003D448D"/>
    <w:rsid w:val="003D57ED"/>
    <w:rsid w:val="003D5FD4"/>
    <w:rsid w:val="003E2240"/>
    <w:rsid w:val="003E39A0"/>
    <w:rsid w:val="003E5BA8"/>
    <w:rsid w:val="003E5D19"/>
    <w:rsid w:val="003E6084"/>
    <w:rsid w:val="003E7988"/>
    <w:rsid w:val="003F39B0"/>
    <w:rsid w:val="00401291"/>
    <w:rsid w:val="00404F59"/>
    <w:rsid w:val="004065FE"/>
    <w:rsid w:val="00425AF1"/>
    <w:rsid w:val="0043094E"/>
    <w:rsid w:val="004317D1"/>
    <w:rsid w:val="00432B78"/>
    <w:rsid w:val="00434658"/>
    <w:rsid w:val="00442345"/>
    <w:rsid w:val="004437D2"/>
    <w:rsid w:val="00445CAF"/>
    <w:rsid w:val="004463FE"/>
    <w:rsid w:val="00446DBF"/>
    <w:rsid w:val="0045528A"/>
    <w:rsid w:val="004609B5"/>
    <w:rsid w:val="0047060A"/>
    <w:rsid w:val="00480067"/>
    <w:rsid w:val="00481F39"/>
    <w:rsid w:val="00482378"/>
    <w:rsid w:val="004834D2"/>
    <w:rsid w:val="00490F8F"/>
    <w:rsid w:val="004913D9"/>
    <w:rsid w:val="0049237C"/>
    <w:rsid w:val="004A329B"/>
    <w:rsid w:val="004A374C"/>
    <w:rsid w:val="004B12E2"/>
    <w:rsid w:val="004B4775"/>
    <w:rsid w:val="004B513A"/>
    <w:rsid w:val="004C054B"/>
    <w:rsid w:val="004C4E8D"/>
    <w:rsid w:val="004C5781"/>
    <w:rsid w:val="004E63DE"/>
    <w:rsid w:val="004F3522"/>
    <w:rsid w:val="00500E73"/>
    <w:rsid w:val="005027E9"/>
    <w:rsid w:val="0052168D"/>
    <w:rsid w:val="00523093"/>
    <w:rsid w:val="00527112"/>
    <w:rsid w:val="0053470E"/>
    <w:rsid w:val="00540BF2"/>
    <w:rsid w:val="00542A25"/>
    <w:rsid w:val="00547400"/>
    <w:rsid w:val="0055060C"/>
    <w:rsid w:val="00566C6E"/>
    <w:rsid w:val="0057023C"/>
    <w:rsid w:val="00570383"/>
    <w:rsid w:val="005708C8"/>
    <w:rsid w:val="005773FF"/>
    <w:rsid w:val="005829DB"/>
    <w:rsid w:val="005A4863"/>
    <w:rsid w:val="005A7767"/>
    <w:rsid w:val="005B1C28"/>
    <w:rsid w:val="005B34F0"/>
    <w:rsid w:val="005B63A1"/>
    <w:rsid w:val="005C3B54"/>
    <w:rsid w:val="005C4510"/>
    <w:rsid w:val="005C6510"/>
    <w:rsid w:val="005C6B06"/>
    <w:rsid w:val="005D17B1"/>
    <w:rsid w:val="005D72CA"/>
    <w:rsid w:val="005E1812"/>
    <w:rsid w:val="005E7F25"/>
    <w:rsid w:val="00603708"/>
    <w:rsid w:val="006064CC"/>
    <w:rsid w:val="00611377"/>
    <w:rsid w:val="006255BD"/>
    <w:rsid w:val="00633CCA"/>
    <w:rsid w:val="0063752D"/>
    <w:rsid w:val="00640BAA"/>
    <w:rsid w:val="00654148"/>
    <w:rsid w:val="00655453"/>
    <w:rsid w:val="006702ED"/>
    <w:rsid w:val="00672BF8"/>
    <w:rsid w:val="00685D9D"/>
    <w:rsid w:val="00687643"/>
    <w:rsid w:val="00691B11"/>
    <w:rsid w:val="00696016"/>
    <w:rsid w:val="006A06D8"/>
    <w:rsid w:val="006A0DDD"/>
    <w:rsid w:val="006A3C39"/>
    <w:rsid w:val="006A63A4"/>
    <w:rsid w:val="006A653F"/>
    <w:rsid w:val="006A69D9"/>
    <w:rsid w:val="006B13C7"/>
    <w:rsid w:val="006B1A17"/>
    <w:rsid w:val="006B221E"/>
    <w:rsid w:val="006B7C21"/>
    <w:rsid w:val="006C1D47"/>
    <w:rsid w:val="006C46EF"/>
    <w:rsid w:val="006C5642"/>
    <w:rsid w:val="006D548D"/>
    <w:rsid w:val="006D5A51"/>
    <w:rsid w:val="006F05A0"/>
    <w:rsid w:val="0070025F"/>
    <w:rsid w:val="007030BA"/>
    <w:rsid w:val="007033FA"/>
    <w:rsid w:val="00703EDB"/>
    <w:rsid w:val="00711F2B"/>
    <w:rsid w:val="00714DFF"/>
    <w:rsid w:val="007228E6"/>
    <w:rsid w:val="00724E4E"/>
    <w:rsid w:val="00737319"/>
    <w:rsid w:val="00737643"/>
    <w:rsid w:val="0074668D"/>
    <w:rsid w:val="00746CCE"/>
    <w:rsid w:val="00747278"/>
    <w:rsid w:val="00747636"/>
    <w:rsid w:val="0075197F"/>
    <w:rsid w:val="00751EC8"/>
    <w:rsid w:val="007571AD"/>
    <w:rsid w:val="007650EF"/>
    <w:rsid w:val="007663A8"/>
    <w:rsid w:val="00766C19"/>
    <w:rsid w:val="0077022B"/>
    <w:rsid w:val="0077233D"/>
    <w:rsid w:val="00780CCA"/>
    <w:rsid w:val="00783E4C"/>
    <w:rsid w:val="007858E9"/>
    <w:rsid w:val="007A0C9E"/>
    <w:rsid w:val="007B351F"/>
    <w:rsid w:val="007C14B1"/>
    <w:rsid w:val="007C5223"/>
    <w:rsid w:val="007E25B0"/>
    <w:rsid w:val="007E55FC"/>
    <w:rsid w:val="007E6D7B"/>
    <w:rsid w:val="007F410D"/>
    <w:rsid w:val="008009D0"/>
    <w:rsid w:val="00800D66"/>
    <w:rsid w:val="0080678D"/>
    <w:rsid w:val="008104DF"/>
    <w:rsid w:val="00813059"/>
    <w:rsid w:val="00814294"/>
    <w:rsid w:val="008148E8"/>
    <w:rsid w:val="00820E85"/>
    <w:rsid w:val="00824B52"/>
    <w:rsid w:val="00834C6F"/>
    <w:rsid w:val="0084309D"/>
    <w:rsid w:val="00846779"/>
    <w:rsid w:val="0085407C"/>
    <w:rsid w:val="00863986"/>
    <w:rsid w:val="008643FC"/>
    <w:rsid w:val="00871989"/>
    <w:rsid w:val="00880708"/>
    <w:rsid w:val="00884388"/>
    <w:rsid w:val="008923C1"/>
    <w:rsid w:val="008A065B"/>
    <w:rsid w:val="008A4263"/>
    <w:rsid w:val="008A5298"/>
    <w:rsid w:val="008B01CE"/>
    <w:rsid w:val="008B14BD"/>
    <w:rsid w:val="008B3A88"/>
    <w:rsid w:val="008B5867"/>
    <w:rsid w:val="008C010C"/>
    <w:rsid w:val="008C0881"/>
    <w:rsid w:val="008C2AF8"/>
    <w:rsid w:val="008C3307"/>
    <w:rsid w:val="008D031A"/>
    <w:rsid w:val="008D2B0D"/>
    <w:rsid w:val="008D53B2"/>
    <w:rsid w:val="008D5428"/>
    <w:rsid w:val="008D5742"/>
    <w:rsid w:val="008E1D68"/>
    <w:rsid w:val="008F16F3"/>
    <w:rsid w:val="008F3AC9"/>
    <w:rsid w:val="008F3ACE"/>
    <w:rsid w:val="008F4E61"/>
    <w:rsid w:val="009010CD"/>
    <w:rsid w:val="009127FE"/>
    <w:rsid w:val="00912A60"/>
    <w:rsid w:val="0091625D"/>
    <w:rsid w:val="00922428"/>
    <w:rsid w:val="0092337F"/>
    <w:rsid w:val="00926A2A"/>
    <w:rsid w:val="0093365A"/>
    <w:rsid w:val="00935111"/>
    <w:rsid w:val="00935336"/>
    <w:rsid w:val="009471B7"/>
    <w:rsid w:val="00947471"/>
    <w:rsid w:val="00950361"/>
    <w:rsid w:val="00951552"/>
    <w:rsid w:val="00953B0D"/>
    <w:rsid w:val="00954137"/>
    <w:rsid w:val="00954B1E"/>
    <w:rsid w:val="00967487"/>
    <w:rsid w:val="00970812"/>
    <w:rsid w:val="0098129F"/>
    <w:rsid w:val="00985127"/>
    <w:rsid w:val="00995035"/>
    <w:rsid w:val="00995F9A"/>
    <w:rsid w:val="00997245"/>
    <w:rsid w:val="0099726D"/>
    <w:rsid w:val="009A0E45"/>
    <w:rsid w:val="009A2057"/>
    <w:rsid w:val="009B2B6C"/>
    <w:rsid w:val="009B71F3"/>
    <w:rsid w:val="009B75E1"/>
    <w:rsid w:val="009C1171"/>
    <w:rsid w:val="009D15D5"/>
    <w:rsid w:val="009D1F86"/>
    <w:rsid w:val="009D7011"/>
    <w:rsid w:val="009E25BD"/>
    <w:rsid w:val="009E55C6"/>
    <w:rsid w:val="009E68C3"/>
    <w:rsid w:val="009E7118"/>
    <w:rsid w:val="009F4C71"/>
    <w:rsid w:val="00A03656"/>
    <w:rsid w:val="00A10C3A"/>
    <w:rsid w:val="00A12631"/>
    <w:rsid w:val="00A16D81"/>
    <w:rsid w:val="00A220E3"/>
    <w:rsid w:val="00A34661"/>
    <w:rsid w:val="00A45D66"/>
    <w:rsid w:val="00A54D15"/>
    <w:rsid w:val="00A55E75"/>
    <w:rsid w:val="00A6230B"/>
    <w:rsid w:val="00A67D6A"/>
    <w:rsid w:val="00A74B8A"/>
    <w:rsid w:val="00A74F26"/>
    <w:rsid w:val="00A800FF"/>
    <w:rsid w:val="00A804E9"/>
    <w:rsid w:val="00A84972"/>
    <w:rsid w:val="00A87846"/>
    <w:rsid w:val="00A978CD"/>
    <w:rsid w:val="00AA0804"/>
    <w:rsid w:val="00AA3C65"/>
    <w:rsid w:val="00AD277A"/>
    <w:rsid w:val="00AE2028"/>
    <w:rsid w:val="00AE3B26"/>
    <w:rsid w:val="00AE3D80"/>
    <w:rsid w:val="00AE461E"/>
    <w:rsid w:val="00AE537A"/>
    <w:rsid w:val="00AE5B61"/>
    <w:rsid w:val="00AF278C"/>
    <w:rsid w:val="00AF69A0"/>
    <w:rsid w:val="00B0187D"/>
    <w:rsid w:val="00B0434A"/>
    <w:rsid w:val="00B05485"/>
    <w:rsid w:val="00B14E27"/>
    <w:rsid w:val="00B159B3"/>
    <w:rsid w:val="00B17C87"/>
    <w:rsid w:val="00B2255E"/>
    <w:rsid w:val="00B33983"/>
    <w:rsid w:val="00B35C94"/>
    <w:rsid w:val="00B36D9F"/>
    <w:rsid w:val="00B421F3"/>
    <w:rsid w:val="00B43411"/>
    <w:rsid w:val="00B46D02"/>
    <w:rsid w:val="00B5219A"/>
    <w:rsid w:val="00B52CAB"/>
    <w:rsid w:val="00B5772C"/>
    <w:rsid w:val="00B6343E"/>
    <w:rsid w:val="00B723CD"/>
    <w:rsid w:val="00B7652A"/>
    <w:rsid w:val="00B7735A"/>
    <w:rsid w:val="00BB0C0E"/>
    <w:rsid w:val="00BB147F"/>
    <w:rsid w:val="00BB3E08"/>
    <w:rsid w:val="00BB47BC"/>
    <w:rsid w:val="00BB751E"/>
    <w:rsid w:val="00BC0A29"/>
    <w:rsid w:val="00BC27EF"/>
    <w:rsid w:val="00BC2A6F"/>
    <w:rsid w:val="00BC49B9"/>
    <w:rsid w:val="00BD32F9"/>
    <w:rsid w:val="00BE2113"/>
    <w:rsid w:val="00BE3B16"/>
    <w:rsid w:val="00BE567E"/>
    <w:rsid w:val="00BE60E1"/>
    <w:rsid w:val="00BE64B0"/>
    <w:rsid w:val="00C0185F"/>
    <w:rsid w:val="00C019BA"/>
    <w:rsid w:val="00C01E1A"/>
    <w:rsid w:val="00C03680"/>
    <w:rsid w:val="00C1648B"/>
    <w:rsid w:val="00C202B3"/>
    <w:rsid w:val="00C3031E"/>
    <w:rsid w:val="00C37616"/>
    <w:rsid w:val="00C40834"/>
    <w:rsid w:val="00C60739"/>
    <w:rsid w:val="00C63D97"/>
    <w:rsid w:val="00C641B2"/>
    <w:rsid w:val="00C65929"/>
    <w:rsid w:val="00C65A85"/>
    <w:rsid w:val="00C7473A"/>
    <w:rsid w:val="00C8118D"/>
    <w:rsid w:val="00C86F01"/>
    <w:rsid w:val="00C937E1"/>
    <w:rsid w:val="00CA2E6B"/>
    <w:rsid w:val="00CA2F24"/>
    <w:rsid w:val="00CA429B"/>
    <w:rsid w:val="00CA6AC9"/>
    <w:rsid w:val="00CB07BC"/>
    <w:rsid w:val="00CB7BAB"/>
    <w:rsid w:val="00CD05FC"/>
    <w:rsid w:val="00CD72C1"/>
    <w:rsid w:val="00CD7BD1"/>
    <w:rsid w:val="00CD7D1B"/>
    <w:rsid w:val="00CE645C"/>
    <w:rsid w:val="00CE7029"/>
    <w:rsid w:val="00D031BF"/>
    <w:rsid w:val="00D12892"/>
    <w:rsid w:val="00D151D5"/>
    <w:rsid w:val="00D174C7"/>
    <w:rsid w:val="00D30036"/>
    <w:rsid w:val="00D334C6"/>
    <w:rsid w:val="00D40DA9"/>
    <w:rsid w:val="00D4112A"/>
    <w:rsid w:val="00D43EF5"/>
    <w:rsid w:val="00D46031"/>
    <w:rsid w:val="00D528C1"/>
    <w:rsid w:val="00D57CD9"/>
    <w:rsid w:val="00D60836"/>
    <w:rsid w:val="00D6187E"/>
    <w:rsid w:val="00D61B7B"/>
    <w:rsid w:val="00D67C98"/>
    <w:rsid w:val="00D7263E"/>
    <w:rsid w:val="00D72E74"/>
    <w:rsid w:val="00D90D52"/>
    <w:rsid w:val="00D93B32"/>
    <w:rsid w:val="00D9423B"/>
    <w:rsid w:val="00D95B11"/>
    <w:rsid w:val="00D95E50"/>
    <w:rsid w:val="00DA2891"/>
    <w:rsid w:val="00DB1629"/>
    <w:rsid w:val="00DB45D1"/>
    <w:rsid w:val="00DD0D86"/>
    <w:rsid w:val="00DD1F95"/>
    <w:rsid w:val="00DD290C"/>
    <w:rsid w:val="00DD4910"/>
    <w:rsid w:val="00DD4DBC"/>
    <w:rsid w:val="00DD7F4F"/>
    <w:rsid w:val="00DE01C0"/>
    <w:rsid w:val="00DE1B94"/>
    <w:rsid w:val="00DE271C"/>
    <w:rsid w:val="00DE428E"/>
    <w:rsid w:val="00DE77CF"/>
    <w:rsid w:val="00DF50D5"/>
    <w:rsid w:val="00E004FF"/>
    <w:rsid w:val="00E0202A"/>
    <w:rsid w:val="00E07EE1"/>
    <w:rsid w:val="00E2099B"/>
    <w:rsid w:val="00E24E3A"/>
    <w:rsid w:val="00E415FC"/>
    <w:rsid w:val="00E52294"/>
    <w:rsid w:val="00E53152"/>
    <w:rsid w:val="00E56453"/>
    <w:rsid w:val="00E652AE"/>
    <w:rsid w:val="00E668E1"/>
    <w:rsid w:val="00E8579A"/>
    <w:rsid w:val="00E86134"/>
    <w:rsid w:val="00E87EDF"/>
    <w:rsid w:val="00E95E8C"/>
    <w:rsid w:val="00EA0A74"/>
    <w:rsid w:val="00EA24FA"/>
    <w:rsid w:val="00EB3E02"/>
    <w:rsid w:val="00EB4635"/>
    <w:rsid w:val="00EB4CA0"/>
    <w:rsid w:val="00EC2EB4"/>
    <w:rsid w:val="00EC7C54"/>
    <w:rsid w:val="00ED4B92"/>
    <w:rsid w:val="00EE126A"/>
    <w:rsid w:val="00EE456B"/>
    <w:rsid w:val="00EE78E8"/>
    <w:rsid w:val="00EF6338"/>
    <w:rsid w:val="00F00E54"/>
    <w:rsid w:val="00F05ED7"/>
    <w:rsid w:val="00F12980"/>
    <w:rsid w:val="00F2010D"/>
    <w:rsid w:val="00F22450"/>
    <w:rsid w:val="00F26C48"/>
    <w:rsid w:val="00F33FAE"/>
    <w:rsid w:val="00F354C6"/>
    <w:rsid w:val="00F35594"/>
    <w:rsid w:val="00F376DA"/>
    <w:rsid w:val="00F41787"/>
    <w:rsid w:val="00F4300A"/>
    <w:rsid w:val="00F47E33"/>
    <w:rsid w:val="00F5192E"/>
    <w:rsid w:val="00F51EB6"/>
    <w:rsid w:val="00F54FEB"/>
    <w:rsid w:val="00F54FEE"/>
    <w:rsid w:val="00F70514"/>
    <w:rsid w:val="00F72241"/>
    <w:rsid w:val="00F8251D"/>
    <w:rsid w:val="00F853A7"/>
    <w:rsid w:val="00F91DA9"/>
    <w:rsid w:val="00F93A7E"/>
    <w:rsid w:val="00F9617E"/>
    <w:rsid w:val="00FA041A"/>
    <w:rsid w:val="00FA07A9"/>
    <w:rsid w:val="00FA0A81"/>
    <w:rsid w:val="00FA4317"/>
    <w:rsid w:val="00FA6064"/>
    <w:rsid w:val="00FB2CF9"/>
    <w:rsid w:val="00FB45F6"/>
    <w:rsid w:val="00FB5163"/>
    <w:rsid w:val="00FF1106"/>
    <w:rsid w:val="00FF18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4F7E"/>
  <w15:chartTrackingRefBased/>
  <w15:docId w15:val="{48388B58-3DFA-404F-B8D0-E07A703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44"/>
    <w:rPr>
      <w:rFonts w:ascii="Segoe UI" w:hAnsi="Segoe UI" w:cs="Segoe UI"/>
      <w:sz w:val="18"/>
      <w:szCs w:val="18"/>
    </w:rPr>
  </w:style>
  <w:style w:type="paragraph" w:styleId="Header">
    <w:name w:val="header"/>
    <w:basedOn w:val="Normal"/>
    <w:link w:val="HeaderChar"/>
    <w:uiPriority w:val="99"/>
    <w:unhideWhenUsed/>
    <w:rsid w:val="00534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70E"/>
  </w:style>
  <w:style w:type="paragraph" w:styleId="Footer">
    <w:name w:val="footer"/>
    <w:basedOn w:val="Normal"/>
    <w:link w:val="FooterChar"/>
    <w:uiPriority w:val="99"/>
    <w:unhideWhenUsed/>
    <w:rsid w:val="00534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70E"/>
  </w:style>
  <w:style w:type="paragraph" w:styleId="ListParagraph">
    <w:name w:val="List Paragraph"/>
    <w:basedOn w:val="Normal"/>
    <w:uiPriority w:val="34"/>
    <w:qFormat/>
    <w:rsid w:val="00266F2D"/>
    <w:pPr>
      <w:ind w:left="720"/>
      <w:contextualSpacing/>
    </w:pPr>
  </w:style>
  <w:style w:type="character" w:styleId="Hyperlink">
    <w:name w:val="Hyperlink"/>
    <w:basedOn w:val="DefaultParagraphFont"/>
    <w:uiPriority w:val="99"/>
    <w:semiHidden/>
    <w:unhideWhenUsed/>
    <w:rsid w:val="002C4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gi-bin\LawC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cgi-bin\LawCite" TargetMode="External"/><Relationship Id="rId4" Type="http://schemas.openxmlformats.org/officeDocument/2006/relationships/webSettings" Target="webSettings.xml"/><Relationship Id="rId9" Type="http://schemas.openxmlformats.org/officeDocument/2006/relationships/hyperlink" Target="file:///C:\cgi-bin\Law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Nhlangulela</dc:creator>
  <cp:keywords/>
  <dc:description/>
  <cp:lastModifiedBy>HOME</cp:lastModifiedBy>
  <cp:revision>2</cp:revision>
  <cp:lastPrinted>2022-08-12T09:38:00Z</cp:lastPrinted>
  <dcterms:created xsi:type="dcterms:W3CDTF">2022-08-21T14:26:00Z</dcterms:created>
  <dcterms:modified xsi:type="dcterms:W3CDTF">2022-08-21T14:26:00Z</dcterms:modified>
</cp:coreProperties>
</file>