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C5" w:rsidRDefault="00C056C5" w:rsidP="00C056C5">
      <w:pPr>
        <w:jc w:val="center"/>
        <w:rPr>
          <w:noProof/>
          <w:lang w:val="en-ZA" w:eastAsia="en-ZA"/>
        </w:rPr>
      </w:pPr>
      <w:bookmarkStart w:id="0" w:name="_GoBack"/>
      <w:bookmarkEnd w:id="0"/>
    </w:p>
    <w:p w:rsidR="00C056C5" w:rsidRDefault="00C056C5" w:rsidP="00C056C5">
      <w:pPr>
        <w:jc w:val="center"/>
        <w:rPr>
          <w:noProof/>
          <w:lang w:val="en-ZA" w:eastAsia="en-ZA"/>
        </w:rPr>
      </w:pPr>
      <w:r>
        <w:rPr>
          <w:noProof/>
          <w:lang w:val="en-ZA" w:eastAsia="en-ZA"/>
        </w:rPr>
        <w:drawing>
          <wp:inline distT="0" distB="0" distL="0" distR="0">
            <wp:extent cx="1332865" cy="126428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2000"/>
                    </a:blip>
                    <a:srcRect/>
                    <a:stretch>
                      <a:fillRect/>
                    </a:stretch>
                  </pic:blipFill>
                  <pic:spPr bwMode="auto">
                    <a:xfrm>
                      <a:off x="0" y="0"/>
                      <a:ext cx="1332865" cy="1264285"/>
                    </a:xfrm>
                    <a:prstGeom prst="rect">
                      <a:avLst/>
                    </a:prstGeom>
                    <a:noFill/>
                    <a:ln w="9525">
                      <a:noFill/>
                      <a:miter lim="800000"/>
                      <a:headEnd/>
                      <a:tailEnd/>
                    </a:ln>
                  </pic:spPr>
                </pic:pic>
              </a:graphicData>
            </a:graphic>
          </wp:inline>
        </w:drawing>
      </w:r>
    </w:p>
    <w:p w:rsidR="00C056C5" w:rsidRDefault="00C056C5" w:rsidP="00C056C5">
      <w:pPr>
        <w:spacing w:line="480" w:lineRule="auto"/>
        <w:jc w:val="center"/>
        <w:rPr>
          <w:rFonts w:ascii="Arial" w:hAnsi="Arial"/>
          <w:b/>
        </w:rPr>
      </w:pPr>
    </w:p>
    <w:p w:rsidR="00C056C5" w:rsidRDefault="00C056C5" w:rsidP="00C056C5">
      <w:pPr>
        <w:spacing w:line="480" w:lineRule="auto"/>
        <w:jc w:val="center"/>
        <w:rPr>
          <w:rFonts w:ascii="Arial" w:hAnsi="Arial"/>
          <w:b/>
        </w:rPr>
      </w:pPr>
      <w:r>
        <w:rPr>
          <w:rFonts w:ascii="Arial" w:hAnsi="Arial"/>
          <w:b/>
        </w:rPr>
        <w:t xml:space="preserve">IN THE HIGH COURT </w:t>
      </w:r>
      <w:r w:rsidR="009D0B8C">
        <w:rPr>
          <w:rFonts w:ascii="Arial" w:hAnsi="Arial"/>
          <w:b/>
        </w:rPr>
        <w:t>O</w:t>
      </w:r>
      <w:r>
        <w:rPr>
          <w:rFonts w:ascii="Arial" w:hAnsi="Arial"/>
          <w:b/>
        </w:rPr>
        <w:t>F SOUTH AFRICA</w:t>
      </w:r>
    </w:p>
    <w:p w:rsidR="00C056C5" w:rsidRDefault="00C056C5" w:rsidP="00C056C5">
      <w:pPr>
        <w:spacing w:line="480" w:lineRule="auto"/>
        <w:jc w:val="center"/>
        <w:rPr>
          <w:rFonts w:ascii="Arial" w:hAnsi="Arial"/>
          <w:b/>
        </w:rPr>
      </w:pPr>
      <w:r>
        <w:rPr>
          <w:rFonts w:ascii="Arial" w:hAnsi="Arial"/>
          <w:b/>
        </w:rPr>
        <w:t>(EASTERN CAPE DIVISION: MTHATHA)</w:t>
      </w:r>
    </w:p>
    <w:p w:rsidR="00C056C5" w:rsidRDefault="00C056C5" w:rsidP="00C056C5">
      <w:pPr>
        <w:spacing w:line="480" w:lineRule="auto"/>
        <w:jc w:val="right"/>
        <w:rPr>
          <w:rFonts w:ascii="Arial" w:hAnsi="Arial"/>
        </w:rPr>
      </w:pPr>
      <w:r>
        <w:rPr>
          <w:rFonts w:ascii="Arial" w:hAnsi="Arial"/>
        </w:rPr>
        <w:t>Case No.4443/2020</w:t>
      </w:r>
    </w:p>
    <w:p w:rsidR="001D7F03" w:rsidRDefault="001D7F03" w:rsidP="00C056C5">
      <w:pPr>
        <w:spacing w:line="480" w:lineRule="auto"/>
        <w:rPr>
          <w:rFonts w:ascii="Arial" w:hAnsi="Arial"/>
        </w:rPr>
      </w:pPr>
    </w:p>
    <w:p w:rsidR="001D7F03" w:rsidRPr="001D7F03" w:rsidRDefault="001D7F03" w:rsidP="001D7F03">
      <w:pPr>
        <w:spacing w:line="480" w:lineRule="auto"/>
        <w:jc w:val="right"/>
        <w:rPr>
          <w:rFonts w:ascii="Arial" w:hAnsi="Arial"/>
          <w:b/>
        </w:rPr>
      </w:pPr>
      <w:r w:rsidRPr="001D7F03">
        <w:rPr>
          <w:rFonts w:ascii="Arial" w:hAnsi="Arial"/>
          <w:b/>
        </w:rPr>
        <w:t>Reportable</w:t>
      </w:r>
    </w:p>
    <w:p w:rsidR="00C056C5" w:rsidRDefault="00C056C5" w:rsidP="001D7F03">
      <w:pPr>
        <w:spacing w:line="480" w:lineRule="auto"/>
        <w:jc w:val="both"/>
        <w:rPr>
          <w:rFonts w:ascii="Arial" w:hAnsi="Arial"/>
        </w:rPr>
      </w:pPr>
      <w:r>
        <w:rPr>
          <w:rFonts w:ascii="Arial" w:hAnsi="Arial"/>
        </w:rPr>
        <w:t>In the matter between:</w:t>
      </w:r>
    </w:p>
    <w:p w:rsidR="001D7F03" w:rsidRDefault="001D7F03" w:rsidP="00C056C5">
      <w:pPr>
        <w:spacing w:line="480" w:lineRule="auto"/>
        <w:rPr>
          <w:rFonts w:ascii="Arial" w:hAnsi="Arial"/>
          <w:b/>
        </w:rPr>
      </w:pPr>
    </w:p>
    <w:p w:rsidR="00C056C5" w:rsidRDefault="00C056C5" w:rsidP="00C056C5">
      <w:pPr>
        <w:spacing w:line="480" w:lineRule="auto"/>
        <w:rPr>
          <w:rFonts w:ascii="Arial" w:hAnsi="Arial"/>
        </w:rPr>
      </w:pPr>
      <w:r>
        <w:rPr>
          <w:rFonts w:ascii="Arial" w:hAnsi="Arial"/>
          <w:b/>
        </w:rPr>
        <w:t>NOZIPHIWO ROZANI (BORN NOHAKO</w:t>
      </w:r>
      <w:r>
        <w:rPr>
          <w:rFonts w:ascii="Arial" w:hAnsi="Arial"/>
          <w:b/>
        </w:rPr>
        <w:tab/>
      </w:r>
      <w:r>
        <w:rPr>
          <w:rFonts w:ascii="Arial" w:hAnsi="Arial"/>
        </w:rPr>
        <w:tab/>
      </w:r>
      <w:r>
        <w:rPr>
          <w:rFonts w:ascii="Arial" w:hAnsi="Arial"/>
        </w:rPr>
        <w:tab/>
        <w:t>First Applicant</w:t>
      </w:r>
    </w:p>
    <w:p w:rsidR="00C056C5" w:rsidRDefault="00C056C5" w:rsidP="00C056C5">
      <w:pPr>
        <w:spacing w:line="480" w:lineRule="auto"/>
        <w:rPr>
          <w:rFonts w:ascii="Arial" w:hAnsi="Arial"/>
          <w:b/>
        </w:rPr>
      </w:pPr>
      <w:r>
        <w:rPr>
          <w:rFonts w:ascii="Arial" w:hAnsi="Arial"/>
          <w:b/>
        </w:rPr>
        <w:t>ZUKISWA NOHAKO O.B.O HLANGALWANDILE</w:t>
      </w:r>
      <w:r>
        <w:rPr>
          <w:rFonts w:ascii="Arial" w:hAnsi="Arial"/>
          <w:b/>
        </w:rPr>
        <w:tab/>
      </w:r>
      <w:r>
        <w:rPr>
          <w:rFonts w:ascii="Arial" w:hAnsi="Arial"/>
          <w:b/>
        </w:rPr>
        <w:tab/>
      </w:r>
    </w:p>
    <w:p w:rsidR="00C056C5" w:rsidRDefault="00C056C5" w:rsidP="00C056C5">
      <w:pPr>
        <w:spacing w:line="480" w:lineRule="auto"/>
        <w:rPr>
          <w:rFonts w:ascii="Arial" w:hAnsi="Arial"/>
        </w:rPr>
      </w:pPr>
      <w:r>
        <w:rPr>
          <w:rFonts w:ascii="Arial" w:hAnsi="Arial"/>
          <w:b/>
        </w:rPr>
        <w:t>NOHAKO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Second Applicant</w:t>
      </w:r>
    </w:p>
    <w:p w:rsidR="00C056C5" w:rsidRDefault="00C056C5" w:rsidP="00C056C5">
      <w:pPr>
        <w:spacing w:line="480" w:lineRule="auto"/>
        <w:rPr>
          <w:sz w:val="28"/>
          <w:szCs w:val="28"/>
        </w:rPr>
      </w:pPr>
      <w:r>
        <w:rPr>
          <w:sz w:val="28"/>
          <w:szCs w:val="28"/>
        </w:rPr>
        <w:t>And</w:t>
      </w:r>
    </w:p>
    <w:p w:rsidR="00C056C5" w:rsidRDefault="00C056C5" w:rsidP="00C056C5">
      <w:pPr>
        <w:spacing w:line="480" w:lineRule="auto"/>
        <w:rPr>
          <w:sz w:val="28"/>
          <w:szCs w:val="28"/>
        </w:rPr>
      </w:pPr>
      <w:r>
        <w:rPr>
          <w:b/>
          <w:sz w:val="28"/>
          <w:szCs w:val="28"/>
        </w:rPr>
        <w:t xml:space="preserve">SHIRLEY QOBOKA </w:t>
      </w:r>
      <w:r>
        <w:rPr>
          <w:sz w:val="28"/>
          <w:szCs w:val="28"/>
        </w:rPr>
        <w:tab/>
      </w:r>
      <w:r>
        <w:rPr>
          <w:sz w:val="28"/>
          <w:szCs w:val="28"/>
        </w:rPr>
        <w:tab/>
      </w:r>
      <w:r>
        <w:rPr>
          <w:sz w:val="28"/>
          <w:szCs w:val="28"/>
        </w:rPr>
        <w:tab/>
      </w:r>
      <w:r>
        <w:rPr>
          <w:sz w:val="28"/>
          <w:szCs w:val="28"/>
        </w:rPr>
        <w:tab/>
      </w:r>
      <w:r>
        <w:rPr>
          <w:sz w:val="28"/>
          <w:szCs w:val="28"/>
        </w:rPr>
        <w:tab/>
      </w:r>
      <w:r>
        <w:rPr>
          <w:sz w:val="28"/>
          <w:szCs w:val="28"/>
        </w:rPr>
        <w:tab/>
        <w:t>First Respondent</w:t>
      </w:r>
    </w:p>
    <w:p w:rsidR="00C056C5" w:rsidRDefault="00C056C5" w:rsidP="00C056C5">
      <w:pPr>
        <w:spacing w:line="480" w:lineRule="auto"/>
        <w:rPr>
          <w:b/>
          <w:sz w:val="28"/>
          <w:szCs w:val="28"/>
        </w:rPr>
      </w:pPr>
      <w:r>
        <w:rPr>
          <w:b/>
          <w:sz w:val="28"/>
          <w:szCs w:val="28"/>
        </w:rPr>
        <w:t>THE MASTER OF THE HIGH COURT</w:t>
      </w:r>
    </w:p>
    <w:p w:rsidR="00C056C5" w:rsidRDefault="00C056C5" w:rsidP="00C056C5">
      <w:pPr>
        <w:spacing w:line="480" w:lineRule="auto"/>
        <w:rPr>
          <w:sz w:val="28"/>
          <w:szCs w:val="28"/>
        </w:rPr>
      </w:pPr>
      <w:r>
        <w:rPr>
          <w:b/>
          <w:sz w:val="28"/>
          <w:szCs w:val="28"/>
        </w:rPr>
        <w:t>MTHATHA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8"/>
          <w:szCs w:val="28"/>
        </w:rPr>
        <w:t>Second Respondent</w:t>
      </w:r>
    </w:p>
    <w:p w:rsidR="00C056C5" w:rsidRDefault="00C056C5" w:rsidP="00C056C5">
      <w:pPr>
        <w:pBdr>
          <w:bottom w:val="single" w:sz="4" w:space="1" w:color="auto"/>
        </w:pBdr>
        <w:spacing w:line="480" w:lineRule="auto"/>
        <w:rPr>
          <w:sz w:val="28"/>
          <w:szCs w:val="28"/>
        </w:rPr>
      </w:pPr>
    </w:p>
    <w:p w:rsidR="00C056C5" w:rsidRDefault="00C056C5" w:rsidP="00C056C5">
      <w:pPr>
        <w:spacing w:line="480" w:lineRule="auto"/>
        <w:jc w:val="center"/>
        <w:rPr>
          <w:b/>
          <w:sz w:val="28"/>
          <w:szCs w:val="28"/>
        </w:rPr>
      </w:pPr>
    </w:p>
    <w:p w:rsidR="00C056C5" w:rsidRDefault="00C056C5" w:rsidP="00C056C5">
      <w:pPr>
        <w:spacing w:line="480" w:lineRule="auto"/>
        <w:jc w:val="center"/>
        <w:rPr>
          <w:b/>
          <w:sz w:val="28"/>
          <w:szCs w:val="28"/>
        </w:rPr>
      </w:pPr>
      <w:r>
        <w:rPr>
          <w:b/>
          <w:sz w:val="28"/>
          <w:szCs w:val="28"/>
        </w:rPr>
        <w:t xml:space="preserve"> JUDGMENT</w:t>
      </w:r>
    </w:p>
    <w:p w:rsidR="00C056C5" w:rsidRDefault="00C056C5" w:rsidP="00C056C5">
      <w:pPr>
        <w:pBdr>
          <w:top w:val="single" w:sz="4" w:space="1" w:color="auto"/>
        </w:pBdr>
        <w:spacing w:line="480" w:lineRule="auto"/>
        <w:rPr>
          <w:sz w:val="28"/>
          <w:szCs w:val="28"/>
        </w:rPr>
      </w:pPr>
    </w:p>
    <w:p w:rsidR="00C056C5" w:rsidRDefault="00C056C5" w:rsidP="00C056C5">
      <w:pPr>
        <w:spacing w:line="480" w:lineRule="auto"/>
        <w:rPr>
          <w:b/>
          <w:sz w:val="28"/>
          <w:szCs w:val="28"/>
        </w:rPr>
      </w:pPr>
      <w:r>
        <w:rPr>
          <w:b/>
          <w:sz w:val="28"/>
          <w:szCs w:val="28"/>
        </w:rPr>
        <w:t>TOKOTA ADJP</w:t>
      </w:r>
    </w:p>
    <w:p w:rsidR="00C056C5" w:rsidRDefault="00C056C5" w:rsidP="00C056C5">
      <w:pPr>
        <w:spacing w:line="480" w:lineRule="auto"/>
        <w:rPr>
          <w:sz w:val="28"/>
          <w:szCs w:val="28"/>
        </w:rPr>
      </w:pPr>
    </w:p>
    <w:p w:rsidR="00C056C5" w:rsidRDefault="00C056C5" w:rsidP="00C056C5">
      <w:pPr>
        <w:spacing w:line="480" w:lineRule="auto"/>
        <w:jc w:val="both"/>
        <w:rPr>
          <w:sz w:val="28"/>
          <w:szCs w:val="28"/>
        </w:rPr>
      </w:pPr>
      <w:r>
        <w:rPr>
          <w:sz w:val="28"/>
          <w:szCs w:val="28"/>
        </w:rPr>
        <w:t>[1]</w:t>
      </w:r>
      <w:r>
        <w:rPr>
          <w:sz w:val="28"/>
          <w:szCs w:val="28"/>
        </w:rPr>
        <w:tab/>
        <w:t>This application concerns a declaratory order that the appointment of the first respondent, as the executrix of the deceased estate of the late Mzwandile Nohako</w:t>
      </w:r>
      <w:r w:rsidR="00814380">
        <w:rPr>
          <w:sz w:val="28"/>
          <w:szCs w:val="28"/>
        </w:rPr>
        <w:t>,</w:t>
      </w:r>
      <w:r>
        <w:rPr>
          <w:sz w:val="28"/>
          <w:szCs w:val="28"/>
        </w:rPr>
        <w:t xml:space="preserve"> dated 25 January 2018 by the Master of the High Court</w:t>
      </w:r>
      <w:r w:rsidR="00F47869">
        <w:rPr>
          <w:sz w:val="28"/>
          <w:szCs w:val="28"/>
        </w:rPr>
        <w:t>,</w:t>
      </w:r>
      <w:r>
        <w:rPr>
          <w:sz w:val="28"/>
          <w:szCs w:val="28"/>
        </w:rPr>
        <w:t xml:space="preserve"> is unlawful and should be set aside. Furthermore, the applicants seek a declaratory order that the first applicant is the rightful person to be appointed as the executrix of the deceased estate of the late Mzwandile Nohako. </w:t>
      </w:r>
    </w:p>
    <w:p w:rsidR="00C056C5" w:rsidRDefault="00C056C5" w:rsidP="00C056C5">
      <w:pPr>
        <w:spacing w:line="480" w:lineRule="auto"/>
        <w:jc w:val="both"/>
        <w:rPr>
          <w:sz w:val="28"/>
          <w:szCs w:val="28"/>
        </w:rPr>
      </w:pPr>
    </w:p>
    <w:p w:rsidR="00C056C5" w:rsidRDefault="00C056C5" w:rsidP="00C056C5">
      <w:pPr>
        <w:spacing w:line="480" w:lineRule="auto"/>
        <w:jc w:val="both"/>
        <w:rPr>
          <w:i/>
          <w:sz w:val="28"/>
          <w:szCs w:val="28"/>
        </w:rPr>
      </w:pPr>
      <w:r>
        <w:rPr>
          <w:sz w:val="28"/>
          <w:szCs w:val="28"/>
        </w:rPr>
        <w:t>[2]</w:t>
      </w:r>
      <w:r>
        <w:rPr>
          <w:sz w:val="28"/>
          <w:szCs w:val="28"/>
        </w:rPr>
        <w:tab/>
        <w:t>Although the first respondent has filed opposing affidavit she failed to file heads of argument and practice note as required in the practice directive</w:t>
      </w:r>
      <w:r w:rsidR="00F47869">
        <w:rPr>
          <w:sz w:val="28"/>
          <w:szCs w:val="28"/>
        </w:rPr>
        <w:t xml:space="preserve"> of this Division</w:t>
      </w:r>
      <w:r>
        <w:rPr>
          <w:sz w:val="28"/>
          <w:szCs w:val="28"/>
        </w:rPr>
        <w:t>.</w:t>
      </w:r>
      <w:r>
        <w:rPr>
          <w:rStyle w:val="FootnoteReference"/>
          <w:sz w:val="28"/>
          <w:szCs w:val="28"/>
        </w:rPr>
        <w:footnoteReference w:id="1"/>
      </w:r>
      <w:r>
        <w:rPr>
          <w:sz w:val="28"/>
          <w:szCs w:val="28"/>
        </w:rPr>
        <w:t xml:space="preserve"> The applicants have also failed to comply with </w:t>
      </w:r>
      <w:r w:rsidR="00F47869">
        <w:rPr>
          <w:sz w:val="28"/>
          <w:szCs w:val="28"/>
        </w:rPr>
        <w:t xml:space="preserve">Rule 62 of the Uniform Rules of Court and </w:t>
      </w:r>
      <w:r>
        <w:rPr>
          <w:sz w:val="28"/>
          <w:szCs w:val="28"/>
        </w:rPr>
        <w:t>the Pra</w:t>
      </w:r>
      <w:r w:rsidR="00F47869">
        <w:rPr>
          <w:sz w:val="28"/>
          <w:szCs w:val="28"/>
        </w:rPr>
        <w:t>ctice Directive</w:t>
      </w:r>
      <w:r>
        <w:rPr>
          <w:sz w:val="28"/>
          <w:szCs w:val="28"/>
        </w:rPr>
        <w:t xml:space="preserve"> in that the papers are not properly collated, secured and paginated as required.</w:t>
      </w:r>
      <w:r>
        <w:rPr>
          <w:rStyle w:val="FootnoteReference"/>
          <w:sz w:val="28"/>
          <w:szCs w:val="28"/>
        </w:rPr>
        <w:footnoteReference w:id="2"/>
      </w:r>
      <w:r w:rsidR="00F47869">
        <w:rPr>
          <w:sz w:val="28"/>
          <w:szCs w:val="28"/>
        </w:rPr>
        <w:t xml:space="preserve"> Rule </w:t>
      </w:r>
      <w:r>
        <w:rPr>
          <w:sz w:val="28"/>
          <w:szCs w:val="28"/>
        </w:rPr>
        <w:t>3(a) of the Practice Directive stipulates that “</w:t>
      </w:r>
      <w:r>
        <w:rPr>
          <w:i/>
          <w:sz w:val="28"/>
          <w:szCs w:val="28"/>
        </w:rPr>
        <w:t>This requirement will be strictly enforced”.</w:t>
      </w:r>
    </w:p>
    <w:p w:rsidR="00C056C5" w:rsidRDefault="00C056C5" w:rsidP="00C056C5">
      <w:pPr>
        <w:spacing w:line="480" w:lineRule="auto"/>
        <w:jc w:val="both"/>
        <w:rPr>
          <w:sz w:val="28"/>
          <w:szCs w:val="28"/>
        </w:rPr>
      </w:pPr>
    </w:p>
    <w:p w:rsidR="00C056C5" w:rsidRDefault="00C056C5" w:rsidP="00C056C5">
      <w:pPr>
        <w:spacing w:line="480" w:lineRule="auto"/>
        <w:jc w:val="both"/>
        <w:rPr>
          <w:sz w:val="28"/>
          <w:szCs w:val="28"/>
        </w:rPr>
      </w:pPr>
      <w:r>
        <w:rPr>
          <w:sz w:val="28"/>
          <w:szCs w:val="28"/>
        </w:rPr>
        <w:t>[3]</w:t>
      </w:r>
      <w:r>
        <w:rPr>
          <w:sz w:val="28"/>
          <w:szCs w:val="28"/>
        </w:rPr>
        <w:tab/>
        <w:t>There appears to be a growing prevalence of failure to comply with the Rules of Court and a total disregard for the practice directive</w:t>
      </w:r>
      <w:r w:rsidR="00F47869">
        <w:rPr>
          <w:sz w:val="28"/>
          <w:szCs w:val="28"/>
        </w:rPr>
        <w:t>s</w:t>
      </w:r>
      <w:r>
        <w:rPr>
          <w:sz w:val="28"/>
          <w:szCs w:val="28"/>
        </w:rPr>
        <w:t xml:space="preserve">. Rules </w:t>
      </w:r>
      <w:r w:rsidR="00F47869">
        <w:rPr>
          <w:sz w:val="28"/>
          <w:szCs w:val="28"/>
        </w:rPr>
        <w:t xml:space="preserve">and Practice Directives </w:t>
      </w:r>
      <w:r>
        <w:rPr>
          <w:sz w:val="28"/>
          <w:szCs w:val="28"/>
        </w:rPr>
        <w:t xml:space="preserve">are made for the efficient, expeditious and uniform administration of justice in the High Courts. Coetzee J, in </w:t>
      </w:r>
      <w:r w:rsidRPr="00814380">
        <w:rPr>
          <w:i/>
          <w:sz w:val="28"/>
          <w:szCs w:val="28"/>
        </w:rPr>
        <w:t>Reitmann v Jansen van Rensburg</w:t>
      </w:r>
      <w:r>
        <w:rPr>
          <w:sz w:val="28"/>
          <w:szCs w:val="28"/>
        </w:rPr>
        <w:t> 1984 (2) SA 174 (W) at 179H, said:</w:t>
      </w:r>
    </w:p>
    <w:p w:rsidR="00C056C5" w:rsidRDefault="00C056C5" w:rsidP="00C056C5">
      <w:pPr>
        <w:spacing w:line="480" w:lineRule="auto"/>
        <w:jc w:val="both"/>
        <w:rPr>
          <w:i/>
          <w:sz w:val="28"/>
          <w:szCs w:val="28"/>
        </w:rPr>
      </w:pPr>
      <w:r>
        <w:rPr>
          <w:i/>
          <w:sz w:val="28"/>
          <w:szCs w:val="28"/>
        </w:rPr>
        <w:lastRenderedPageBreak/>
        <w:tab/>
        <w:t xml:space="preserve">'Rules are made to be followed and Rules are there so that rights and duties </w:t>
      </w:r>
      <w:r w:rsidR="00A55054">
        <w:rPr>
          <w:i/>
          <w:sz w:val="28"/>
          <w:szCs w:val="28"/>
        </w:rPr>
        <w:tab/>
      </w:r>
      <w:r>
        <w:rPr>
          <w:i/>
          <w:sz w:val="28"/>
          <w:szCs w:val="28"/>
        </w:rPr>
        <w:t>flow; in the event of non-compliance legal results flow.'</w:t>
      </w:r>
    </w:p>
    <w:p w:rsidR="00C056C5" w:rsidRDefault="00C056C5" w:rsidP="00C056C5">
      <w:pPr>
        <w:spacing w:line="480" w:lineRule="auto"/>
        <w:jc w:val="both"/>
        <w:rPr>
          <w:sz w:val="28"/>
          <w:szCs w:val="28"/>
        </w:rPr>
      </w:pPr>
    </w:p>
    <w:p w:rsidR="00C056C5" w:rsidRDefault="00F47869" w:rsidP="00C056C5">
      <w:pPr>
        <w:spacing w:line="480" w:lineRule="auto"/>
        <w:jc w:val="both"/>
        <w:rPr>
          <w:sz w:val="28"/>
          <w:szCs w:val="28"/>
        </w:rPr>
      </w:pPr>
      <w:r>
        <w:rPr>
          <w:sz w:val="28"/>
          <w:szCs w:val="28"/>
        </w:rPr>
        <w:t>[4]</w:t>
      </w:r>
      <w:r>
        <w:rPr>
          <w:sz w:val="28"/>
          <w:szCs w:val="28"/>
        </w:rPr>
        <w:tab/>
        <w:t>It is</w:t>
      </w:r>
      <w:r w:rsidR="00C056C5">
        <w:rPr>
          <w:sz w:val="28"/>
          <w:szCs w:val="28"/>
        </w:rPr>
        <w:t xml:space="preserve"> time consuming</w:t>
      </w:r>
      <w:r>
        <w:rPr>
          <w:sz w:val="28"/>
          <w:szCs w:val="28"/>
        </w:rPr>
        <w:t>,</w:t>
      </w:r>
      <w:r w:rsidR="00C056C5">
        <w:rPr>
          <w:sz w:val="28"/>
          <w:szCs w:val="28"/>
        </w:rPr>
        <w:t xml:space="preserve"> </w:t>
      </w:r>
      <w:r w:rsidR="00814380">
        <w:rPr>
          <w:sz w:val="28"/>
          <w:szCs w:val="28"/>
        </w:rPr>
        <w:t xml:space="preserve">tedious </w:t>
      </w:r>
      <w:r>
        <w:rPr>
          <w:sz w:val="28"/>
          <w:szCs w:val="28"/>
        </w:rPr>
        <w:t>and</w:t>
      </w:r>
      <w:r w:rsidR="00814380">
        <w:rPr>
          <w:sz w:val="28"/>
          <w:szCs w:val="28"/>
        </w:rPr>
        <w:t xml:space="preserve"> emotionally draining</w:t>
      </w:r>
      <w:r w:rsidR="00C056C5">
        <w:rPr>
          <w:sz w:val="28"/>
          <w:szCs w:val="28"/>
        </w:rPr>
        <w:t xml:space="preserve"> when a judge has to trawl through the papers looking for an annexure not clearly identified in the index, or if identified, papers are not paginated. In my opinion the time has now come to sound a stern warning to the practitioners that unless there are justifiable circumstances warranting condonation for the omission or default, Courts will not tolerate non-complian</w:t>
      </w:r>
      <w:r>
        <w:rPr>
          <w:sz w:val="28"/>
          <w:szCs w:val="28"/>
        </w:rPr>
        <w:t>ce with the Rules of Court and Practice D</w:t>
      </w:r>
      <w:r w:rsidR="00C056C5">
        <w:rPr>
          <w:sz w:val="28"/>
          <w:szCs w:val="28"/>
        </w:rPr>
        <w:t>irectives</w:t>
      </w:r>
      <w:r>
        <w:rPr>
          <w:sz w:val="28"/>
          <w:szCs w:val="28"/>
        </w:rPr>
        <w:t>.</w:t>
      </w:r>
      <w:r w:rsidR="00C056C5">
        <w:rPr>
          <w:sz w:val="28"/>
          <w:szCs w:val="28"/>
        </w:rPr>
        <w:t xml:space="preserve"> </w:t>
      </w:r>
    </w:p>
    <w:p w:rsidR="00C056C5" w:rsidRDefault="00C056C5" w:rsidP="00C056C5">
      <w:pPr>
        <w:spacing w:line="480" w:lineRule="auto"/>
        <w:jc w:val="both"/>
        <w:rPr>
          <w:sz w:val="28"/>
          <w:szCs w:val="28"/>
        </w:rPr>
      </w:pPr>
    </w:p>
    <w:p w:rsidR="00C056C5" w:rsidRDefault="00814380" w:rsidP="00C056C5">
      <w:pPr>
        <w:spacing w:line="480" w:lineRule="auto"/>
        <w:jc w:val="both"/>
        <w:rPr>
          <w:sz w:val="28"/>
          <w:szCs w:val="28"/>
        </w:rPr>
      </w:pPr>
      <w:r>
        <w:rPr>
          <w:sz w:val="28"/>
          <w:szCs w:val="28"/>
        </w:rPr>
        <w:t>[5]</w:t>
      </w:r>
      <w:r>
        <w:rPr>
          <w:sz w:val="28"/>
          <w:szCs w:val="28"/>
        </w:rPr>
        <w:tab/>
      </w:r>
      <w:r w:rsidR="00C056C5">
        <w:rPr>
          <w:sz w:val="28"/>
          <w:szCs w:val="28"/>
        </w:rPr>
        <w:t xml:space="preserve">Rules are </w:t>
      </w:r>
      <w:r w:rsidR="00F47869">
        <w:rPr>
          <w:sz w:val="28"/>
          <w:szCs w:val="28"/>
        </w:rPr>
        <w:t xml:space="preserve">made </w:t>
      </w:r>
      <w:r w:rsidR="0059689E">
        <w:rPr>
          <w:sz w:val="28"/>
          <w:szCs w:val="28"/>
        </w:rPr>
        <w:t>to regulate</w:t>
      </w:r>
      <w:r w:rsidR="00C056C5">
        <w:rPr>
          <w:sz w:val="28"/>
          <w:szCs w:val="28"/>
        </w:rPr>
        <w:t xml:space="preserve"> and facilitate speedy preparation by the judges as well as parties themselves and thereby</w:t>
      </w:r>
      <w:r>
        <w:rPr>
          <w:sz w:val="28"/>
          <w:szCs w:val="28"/>
        </w:rPr>
        <w:t xml:space="preserve"> enhance speedy resolution of the disputes and </w:t>
      </w:r>
      <w:r w:rsidR="00C056C5">
        <w:rPr>
          <w:sz w:val="28"/>
          <w:szCs w:val="28"/>
        </w:rPr>
        <w:t>minimize costs attendant to perusal.</w:t>
      </w:r>
    </w:p>
    <w:p w:rsidR="00C056C5" w:rsidRDefault="00C056C5" w:rsidP="00C056C5">
      <w:pPr>
        <w:spacing w:line="480" w:lineRule="auto"/>
        <w:jc w:val="both"/>
        <w:rPr>
          <w:sz w:val="28"/>
          <w:szCs w:val="28"/>
        </w:rPr>
      </w:pPr>
    </w:p>
    <w:p w:rsidR="00D36A20" w:rsidRDefault="00C056C5" w:rsidP="00C056C5">
      <w:pPr>
        <w:spacing w:line="480" w:lineRule="auto"/>
        <w:jc w:val="both"/>
        <w:rPr>
          <w:sz w:val="28"/>
          <w:szCs w:val="28"/>
        </w:rPr>
      </w:pPr>
      <w:r>
        <w:rPr>
          <w:sz w:val="28"/>
          <w:szCs w:val="28"/>
        </w:rPr>
        <w:t>[</w:t>
      </w:r>
      <w:r w:rsidR="00BD3EBC">
        <w:rPr>
          <w:sz w:val="28"/>
          <w:szCs w:val="28"/>
        </w:rPr>
        <w:t>6</w:t>
      </w:r>
      <w:r>
        <w:rPr>
          <w:sz w:val="28"/>
          <w:szCs w:val="28"/>
        </w:rPr>
        <w:t>]</w:t>
      </w:r>
      <w:r>
        <w:rPr>
          <w:sz w:val="28"/>
          <w:szCs w:val="28"/>
        </w:rPr>
        <w:tab/>
        <w:t xml:space="preserve">In the present matter an index has been prepared. According to it the notice of motion commences at page 1 to 5. No such pagination has been made. </w:t>
      </w:r>
      <w:r w:rsidR="00BD3EBC">
        <w:rPr>
          <w:sz w:val="28"/>
          <w:szCs w:val="28"/>
        </w:rPr>
        <w:t>The printed page 1 of the notice of motion states</w:t>
      </w:r>
      <w:r w:rsidR="00F47869">
        <w:rPr>
          <w:sz w:val="28"/>
          <w:szCs w:val="28"/>
        </w:rPr>
        <w:t>,</w:t>
      </w:r>
      <w:r w:rsidR="00BD3EBC">
        <w:rPr>
          <w:sz w:val="28"/>
          <w:szCs w:val="28"/>
        </w:rPr>
        <w:t xml:space="preserve"> inter alia</w:t>
      </w:r>
      <w:r w:rsidR="00F47869">
        <w:rPr>
          <w:sz w:val="28"/>
          <w:szCs w:val="28"/>
        </w:rPr>
        <w:t>,</w:t>
      </w:r>
      <w:r w:rsidR="00BD3EBC">
        <w:rPr>
          <w:sz w:val="28"/>
          <w:szCs w:val="28"/>
        </w:rPr>
        <w:t xml:space="preserve"> that the applicants will seek </w:t>
      </w:r>
      <w:r w:rsidR="00F47869">
        <w:rPr>
          <w:sz w:val="28"/>
          <w:szCs w:val="28"/>
        </w:rPr>
        <w:t xml:space="preserve">“an order in the </w:t>
      </w:r>
      <w:r w:rsidR="00BD3EBC">
        <w:rPr>
          <w:sz w:val="28"/>
          <w:szCs w:val="28"/>
        </w:rPr>
        <w:t xml:space="preserve">following terms” </w:t>
      </w:r>
      <w:r w:rsidR="00F47869">
        <w:rPr>
          <w:sz w:val="28"/>
          <w:szCs w:val="28"/>
        </w:rPr>
        <w:t>and the next page is a certificate of the dep</w:t>
      </w:r>
      <w:r w:rsidR="00D36A20">
        <w:rPr>
          <w:sz w:val="28"/>
          <w:szCs w:val="28"/>
        </w:rPr>
        <w:t>onent who has acknowledged that</w:t>
      </w:r>
      <w:r w:rsidR="00F47869">
        <w:rPr>
          <w:sz w:val="28"/>
          <w:szCs w:val="28"/>
        </w:rPr>
        <w:t xml:space="preserve"> </w:t>
      </w:r>
      <w:r w:rsidR="00D36A20">
        <w:rPr>
          <w:sz w:val="28"/>
          <w:szCs w:val="28"/>
        </w:rPr>
        <w:t xml:space="preserve">she understands the </w:t>
      </w:r>
      <w:r w:rsidR="00F47869">
        <w:rPr>
          <w:sz w:val="28"/>
          <w:szCs w:val="28"/>
        </w:rPr>
        <w:t xml:space="preserve">contents of the affidavit which was sworn </w:t>
      </w:r>
      <w:r w:rsidR="00D36A20">
        <w:rPr>
          <w:sz w:val="28"/>
          <w:szCs w:val="28"/>
        </w:rPr>
        <w:t xml:space="preserve">to </w:t>
      </w:r>
      <w:r w:rsidR="00F47869">
        <w:rPr>
          <w:sz w:val="28"/>
          <w:szCs w:val="28"/>
        </w:rPr>
        <w:t xml:space="preserve">before the commissioner </w:t>
      </w:r>
      <w:r w:rsidR="00D36A20">
        <w:rPr>
          <w:sz w:val="28"/>
          <w:szCs w:val="28"/>
        </w:rPr>
        <w:t>of</w:t>
      </w:r>
      <w:r w:rsidR="00F47869">
        <w:rPr>
          <w:sz w:val="28"/>
          <w:szCs w:val="28"/>
        </w:rPr>
        <w:t xml:space="preserve"> oaths.</w:t>
      </w:r>
      <w:r w:rsidR="00D36A20">
        <w:rPr>
          <w:sz w:val="28"/>
          <w:szCs w:val="28"/>
        </w:rPr>
        <w:t xml:space="preserve"> </w:t>
      </w:r>
      <w:r>
        <w:rPr>
          <w:sz w:val="28"/>
          <w:szCs w:val="28"/>
        </w:rPr>
        <w:t>The founding affidavit</w:t>
      </w:r>
      <w:r w:rsidR="00D36A20">
        <w:rPr>
          <w:sz w:val="28"/>
          <w:szCs w:val="28"/>
        </w:rPr>
        <w:t>, according to the index,</w:t>
      </w:r>
      <w:r>
        <w:rPr>
          <w:sz w:val="28"/>
          <w:szCs w:val="28"/>
        </w:rPr>
        <w:t xml:space="preserve"> is supposed to commence from page 6 to page 18. There </w:t>
      </w:r>
      <w:r>
        <w:rPr>
          <w:sz w:val="28"/>
          <w:szCs w:val="28"/>
        </w:rPr>
        <w:lastRenderedPageBreak/>
        <w:t xml:space="preserve">is also no such pagination and the founding affidavit ends at printed page 19. There are unmarked documents consisting of more than twenty pages. </w:t>
      </w:r>
    </w:p>
    <w:p w:rsidR="00A55054" w:rsidRDefault="00A55054" w:rsidP="00C056C5">
      <w:pPr>
        <w:spacing w:line="480" w:lineRule="auto"/>
        <w:jc w:val="both"/>
        <w:rPr>
          <w:sz w:val="28"/>
          <w:szCs w:val="28"/>
        </w:rPr>
      </w:pPr>
    </w:p>
    <w:p w:rsidR="00BD3EBC" w:rsidRDefault="00D36A20" w:rsidP="00C056C5">
      <w:pPr>
        <w:spacing w:line="480" w:lineRule="auto"/>
        <w:jc w:val="both"/>
        <w:rPr>
          <w:rFonts w:ascii="Arial" w:hAnsi="Arial" w:cs="Arial"/>
        </w:rPr>
      </w:pPr>
      <w:r>
        <w:rPr>
          <w:sz w:val="28"/>
          <w:szCs w:val="28"/>
        </w:rPr>
        <w:t>[7]</w:t>
      </w:r>
      <w:r>
        <w:rPr>
          <w:sz w:val="28"/>
          <w:szCs w:val="28"/>
        </w:rPr>
        <w:tab/>
        <w:t>It can be assumed that the documents referred to above</w:t>
      </w:r>
      <w:r w:rsidR="00C056C5">
        <w:rPr>
          <w:sz w:val="28"/>
          <w:szCs w:val="28"/>
        </w:rPr>
        <w:t xml:space="preserve"> are annexures. None of them have been marked as such. </w:t>
      </w:r>
      <w:r w:rsidR="00BD3EBC">
        <w:rPr>
          <w:sz w:val="28"/>
          <w:szCs w:val="28"/>
        </w:rPr>
        <w:t xml:space="preserve">There are also attachments written in manuscript which are also unmarked. </w:t>
      </w:r>
      <w:r>
        <w:rPr>
          <w:sz w:val="28"/>
          <w:szCs w:val="28"/>
        </w:rPr>
        <w:t>The next document, after the founding affidavit and unidentified annexures as well as confirmatory affidavits, is a filing notice of the answering affidavit. This commences by a page numbered 66.</w:t>
      </w:r>
      <w:r w:rsidR="00903BE9">
        <w:rPr>
          <w:sz w:val="28"/>
          <w:szCs w:val="28"/>
        </w:rPr>
        <w:t xml:space="preserve">  </w:t>
      </w:r>
      <w:r>
        <w:rPr>
          <w:sz w:val="28"/>
          <w:szCs w:val="28"/>
        </w:rPr>
        <w:t xml:space="preserve">There are no page numbers before page 66. </w:t>
      </w:r>
      <w:r w:rsidR="00BD3EBC">
        <w:rPr>
          <w:sz w:val="28"/>
          <w:szCs w:val="28"/>
        </w:rPr>
        <w:t xml:space="preserve">Rule 62(2) of the Uniform Rules stipulates </w:t>
      </w:r>
      <w:r w:rsidR="00BD3EBC" w:rsidRPr="00BD3EBC">
        <w:rPr>
          <w:rFonts w:ascii="Arial" w:hAnsi="Arial" w:cs="Arial"/>
        </w:rPr>
        <w:t xml:space="preserve">that all documents </w:t>
      </w:r>
      <w:r w:rsidR="00BD3EBC">
        <w:rPr>
          <w:rFonts w:ascii="Arial" w:hAnsi="Arial" w:cs="Arial"/>
        </w:rPr>
        <w:t xml:space="preserve">must </w:t>
      </w:r>
      <w:r w:rsidR="00BD3EBC" w:rsidRPr="00BD3EBC">
        <w:rPr>
          <w:rFonts w:ascii="Arial" w:hAnsi="Arial" w:cs="Arial"/>
        </w:rPr>
        <w:t xml:space="preserve">be clearly and legibly printed or typewritten in permanent black or blue-black ink on one side only of paper of good quality and of A 4 standard size. </w:t>
      </w:r>
      <w:r w:rsidR="00BD3EBC">
        <w:rPr>
          <w:rFonts w:ascii="Arial" w:hAnsi="Arial" w:cs="Arial"/>
        </w:rPr>
        <w:t>This has not been complied with.</w:t>
      </w:r>
    </w:p>
    <w:p w:rsidR="00BD3EBC" w:rsidRDefault="00BD3EBC" w:rsidP="00C056C5">
      <w:pPr>
        <w:spacing w:line="480" w:lineRule="auto"/>
        <w:jc w:val="both"/>
        <w:rPr>
          <w:rFonts w:ascii="Arial" w:hAnsi="Arial" w:cs="Arial"/>
        </w:rPr>
      </w:pPr>
    </w:p>
    <w:p w:rsidR="00C056C5" w:rsidRDefault="00D36A20" w:rsidP="00C056C5">
      <w:pPr>
        <w:spacing w:line="480" w:lineRule="auto"/>
        <w:jc w:val="both"/>
        <w:rPr>
          <w:sz w:val="28"/>
          <w:szCs w:val="28"/>
        </w:rPr>
      </w:pPr>
      <w:r>
        <w:rPr>
          <w:sz w:val="28"/>
          <w:szCs w:val="28"/>
        </w:rPr>
        <w:t>[8</w:t>
      </w:r>
      <w:r w:rsidR="00C056C5">
        <w:rPr>
          <w:sz w:val="28"/>
          <w:szCs w:val="28"/>
        </w:rPr>
        <w:t>]</w:t>
      </w:r>
      <w:r w:rsidR="00C056C5">
        <w:rPr>
          <w:sz w:val="28"/>
          <w:szCs w:val="28"/>
        </w:rPr>
        <w:tab/>
        <w:t>Conduct of this nature can only stop if</w:t>
      </w:r>
      <w:r>
        <w:rPr>
          <w:sz w:val="28"/>
          <w:szCs w:val="28"/>
        </w:rPr>
        <w:t xml:space="preserve"> the Rules are strictly enforced</w:t>
      </w:r>
      <w:r w:rsidR="00C056C5">
        <w:rPr>
          <w:sz w:val="28"/>
          <w:szCs w:val="28"/>
        </w:rPr>
        <w:t>. The unfortunate part is that litigation is expensive. Legal representatives do not lose out in that they still charge fees for attending court even if the matter does not proceed. The only way to force them to comply is to deprive them of the fees for preparation and appearance once the matt</w:t>
      </w:r>
      <w:r>
        <w:rPr>
          <w:sz w:val="28"/>
          <w:szCs w:val="28"/>
        </w:rPr>
        <w:t>er is struck off the roll. F</w:t>
      </w:r>
      <w:r w:rsidR="00C056C5">
        <w:rPr>
          <w:sz w:val="28"/>
          <w:szCs w:val="28"/>
        </w:rPr>
        <w:t>ailure to comply with the rules is deliberate in that any practitioner can see the defects when preparing heads of argument. This is so because when prepar</w:t>
      </w:r>
      <w:r>
        <w:rPr>
          <w:sz w:val="28"/>
          <w:szCs w:val="28"/>
        </w:rPr>
        <w:t>ing heads of argument</w:t>
      </w:r>
      <w:r w:rsidR="00C056C5">
        <w:rPr>
          <w:sz w:val="28"/>
          <w:szCs w:val="28"/>
        </w:rPr>
        <w:t xml:space="preserve"> </w:t>
      </w:r>
      <w:r>
        <w:rPr>
          <w:sz w:val="28"/>
          <w:szCs w:val="28"/>
        </w:rPr>
        <w:t xml:space="preserve">legal </w:t>
      </w:r>
      <w:r w:rsidR="00C056C5">
        <w:rPr>
          <w:sz w:val="28"/>
          <w:szCs w:val="28"/>
        </w:rPr>
        <w:t>practitioner</w:t>
      </w:r>
      <w:r>
        <w:rPr>
          <w:sz w:val="28"/>
          <w:szCs w:val="28"/>
        </w:rPr>
        <w:t>s</w:t>
      </w:r>
      <w:r w:rsidR="00C056C5">
        <w:rPr>
          <w:sz w:val="28"/>
          <w:szCs w:val="28"/>
        </w:rPr>
        <w:t xml:space="preserve"> ought to refer to page</w:t>
      </w:r>
      <w:r>
        <w:rPr>
          <w:sz w:val="28"/>
          <w:szCs w:val="28"/>
        </w:rPr>
        <w:t xml:space="preserve"> numbers</w:t>
      </w:r>
      <w:r w:rsidR="00C056C5">
        <w:rPr>
          <w:sz w:val="28"/>
          <w:szCs w:val="28"/>
        </w:rPr>
        <w:t xml:space="preserve"> in the record. In the absence of pagination this is not possible. </w:t>
      </w:r>
    </w:p>
    <w:p w:rsidR="00C056C5" w:rsidRDefault="00C056C5" w:rsidP="00C056C5">
      <w:pPr>
        <w:spacing w:line="480" w:lineRule="auto"/>
        <w:jc w:val="both"/>
        <w:rPr>
          <w:sz w:val="28"/>
          <w:szCs w:val="28"/>
        </w:rPr>
      </w:pPr>
    </w:p>
    <w:p w:rsidR="00C056C5" w:rsidRDefault="007E35FB" w:rsidP="00C056C5">
      <w:pPr>
        <w:spacing w:line="480" w:lineRule="auto"/>
        <w:jc w:val="both"/>
        <w:rPr>
          <w:sz w:val="28"/>
          <w:szCs w:val="28"/>
        </w:rPr>
      </w:pPr>
      <w:r>
        <w:rPr>
          <w:sz w:val="28"/>
          <w:szCs w:val="28"/>
        </w:rPr>
        <w:t>[</w:t>
      </w:r>
      <w:r w:rsidR="00D36A20">
        <w:rPr>
          <w:sz w:val="28"/>
          <w:szCs w:val="28"/>
        </w:rPr>
        <w:t>9</w:t>
      </w:r>
      <w:r w:rsidR="00C056C5">
        <w:rPr>
          <w:sz w:val="28"/>
          <w:szCs w:val="28"/>
        </w:rPr>
        <w:t>]</w:t>
      </w:r>
      <w:r w:rsidR="00C056C5">
        <w:rPr>
          <w:sz w:val="28"/>
          <w:szCs w:val="28"/>
        </w:rPr>
        <w:tab/>
        <w:t>In the circumstances this matter has to be struck off the roll and reinsta</w:t>
      </w:r>
      <w:r>
        <w:rPr>
          <w:sz w:val="28"/>
          <w:szCs w:val="28"/>
        </w:rPr>
        <w:t>tement thereof will only be allowed</w:t>
      </w:r>
      <w:r w:rsidR="00C056C5">
        <w:rPr>
          <w:sz w:val="28"/>
          <w:szCs w:val="28"/>
        </w:rPr>
        <w:t xml:space="preserve"> once a satisfactory affidavit is filed explaining why the file was not paginated. I must sound a warning that in future </w:t>
      </w:r>
      <w:r>
        <w:rPr>
          <w:sz w:val="28"/>
          <w:szCs w:val="28"/>
        </w:rPr>
        <w:t>this Court</w:t>
      </w:r>
      <w:r w:rsidR="00C056C5">
        <w:rPr>
          <w:sz w:val="28"/>
          <w:szCs w:val="28"/>
        </w:rPr>
        <w:t xml:space="preserve"> will not hesitate to make an order that legal practitioners </w:t>
      </w:r>
      <w:r w:rsidR="00D36A20">
        <w:rPr>
          <w:sz w:val="28"/>
          <w:szCs w:val="28"/>
        </w:rPr>
        <w:t xml:space="preserve">concerned </w:t>
      </w:r>
      <w:r w:rsidR="00C056C5">
        <w:rPr>
          <w:sz w:val="28"/>
          <w:szCs w:val="28"/>
        </w:rPr>
        <w:t>for both sides be deprived of their fees for preparation and appearance</w:t>
      </w:r>
      <w:r>
        <w:rPr>
          <w:sz w:val="28"/>
          <w:szCs w:val="28"/>
        </w:rPr>
        <w:t>s</w:t>
      </w:r>
      <w:r w:rsidR="00C056C5">
        <w:rPr>
          <w:sz w:val="28"/>
          <w:szCs w:val="28"/>
        </w:rPr>
        <w:t xml:space="preserve"> in </w:t>
      </w:r>
      <w:r w:rsidR="00B74D9B">
        <w:rPr>
          <w:sz w:val="28"/>
          <w:szCs w:val="28"/>
        </w:rPr>
        <w:t>C</w:t>
      </w:r>
      <w:r w:rsidR="00C056C5">
        <w:rPr>
          <w:sz w:val="28"/>
          <w:szCs w:val="28"/>
        </w:rPr>
        <w:t>ourt</w:t>
      </w:r>
      <w:r>
        <w:rPr>
          <w:sz w:val="28"/>
          <w:szCs w:val="28"/>
        </w:rPr>
        <w:t xml:space="preserve"> if the matter is struck off the roll for failure to comply with the Rules.</w:t>
      </w:r>
    </w:p>
    <w:p w:rsidR="00C056C5" w:rsidRDefault="00C056C5" w:rsidP="00C056C5">
      <w:pPr>
        <w:spacing w:line="480" w:lineRule="auto"/>
        <w:jc w:val="both"/>
        <w:rPr>
          <w:sz w:val="28"/>
          <w:szCs w:val="28"/>
        </w:rPr>
      </w:pPr>
    </w:p>
    <w:p w:rsidR="00C056C5" w:rsidRDefault="007E35FB" w:rsidP="00C056C5">
      <w:pPr>
        <w:spacing w:line="480" w:lineRule="auto"/>
        <w:jc w:val="both"/>
        <w:rPr>
          <w:sz w:val="28"/>
          <w:szCs w:val="28"/>
        </w:rPr>
      </w:pPr>
      <w:r>
        <w:rPr>
          <w:sz w:val="28"/>
          <w:szCs w:val="28"/>
        </w:rPr>
        <w:t>[</w:t>
      </w:r>
      <w:r w:rsidR="00B74D9B">
        <w:rPr>
          <w:sz w:val="28"/>
          <w:szCs w:val="28"/>
        </w:rPr>
        <w:t>10</w:t>
      </w:r>
      <w:r w:rsidR="00C056C5">
        <w:rPr>
          <w:sz w:val="28"/>
          <w:szCs w:val="28"/>
        </w:rPr>
        <w:t>]</w:t>
      </w:r>
      <w:r w:rsidR="00C056C5">
        <w:rPr>
          <w:sz w:val="28"/>
          <w:szCs w:val="28"/>
        </w:rPr>
        <w:tab/>
        <w:t xml:space="preserve">In any event even on the merits of the case I </w:t>
      </w:r>
      <w:r w:rsidR="008240FA">
        <w:rPr>
          <w:sz w:val="28"/>
          <w:szCs w:val="28"/>
        </w:rPr>
        <w:t>would like to make the following observations wi</w:t>
      </w:r>
      <w:r w:rsidR="00307069">
        <w:rPr>
          <w:sz w:val="28"/>
          <w:szCs w:val="28"/>
        </w:rPr>
        <w:t>thout d</w:t>
      </w:r>
      <w:r w:rsidR="0059689E">
        <w:rPr>
          <w:sz w:val="28"/>
          <w:szCs w:val="28"/>
        </w:rPr>
        <w:t xml:space="preserve">eciding whether or </w:t>
      </w:r>
      <w:r w:rsidR="00307069">
        <w:rPr>
          <w:sz w:val="28"/>
          <w:szCs w:val="28"/>
        </w:rPr>
        <w:t xml:space="preserve">not the applicants will be entitled to the relief </w:t>
      </w:r>
      <w:r w:rsidR="00B74D9B">
        <w:rPr>
          <w:sz w:val="28"/>
          <w:szCs w:val="28"/>
        </w:rPr>
        <w:t>sought</w:t>
      </w:r>
      <w:r w:rsidR="00C056C5">
        <w:rPr>
          <w:sz w:val="28"/>
          <w:szCs w:val="28"/>
        </w:rPr>
        <w:t xml:space="preserve">. </w:t>
      </w:r>
      <w:r w:rsidR="0059689E">
        <w:rPr>
          <w:sz w:val="28"/>
          <w:szCs w:val="28"/>
        </w:rPr>
        <w:t>A declaratory order need not have a</w:t>
      </w:r>
      <w:r w:rsidR="00B7028F" w:rsidRPr="00B7028F">
        <w:rPr>
          <w:sz w:val="28"/>
          <w:szCs w:val="28"/>
        </w:rPr>
        <w:t xml:space="preserve"> claim for</w:t>
      </w:r>
      <w:r w:rsidR="00B7028F">
        <w:rPr>
          <w:sz w:val="28"/>
          <w:szCs w:val="28"/>
        </w:rPr>
        <w:t xml:space="preserve"> specific relief attached to it. </w:t>
      </w:r>
      <w:r w:rsidR="009D0B8C">
        <w:rPr>
          <w:sz w:val="28"/>
          <w:szCs w:val="28"/>
        </w:rPr>
        <w:t xml:space="preserve"> </w:t>
      </w:r>
      <w:r w:rsidR="00A55054">
        <w:rPr>
          <w:sz w:val="28"/>
          <w:szCs w:val="28"/>
        </w:rPr>
        <w:t>Generally,</w:t>
      </w:r>
      <w:r w:rsidR="00B7028F">
        <w:rPr>
          <w:sz w:val="28"/>
          <w:szCs w:val="28"/>
        </w:rPr>
        <w:t xml:space="preserve"> it is not an appropriate remedy</w:t>
      </w:r>
      <w:r w:rsidR="00B7028F" w:rsidRPr="00B7028F">
        <w:rPr>
          <w:sz w:val="28"/>
          <w:szCs w:val="28"/>
        </w:rPr>
        <w:t xml:space="preserve"> where one is dealing with events which occurred in the past. Such events,</w:t>
      </w:r>
      <w:r w:rsidR="00B7028F">
        <w:rPr>
          <w:sz w:val="28"/>
          <w:szCs w:val="28"/>
        </w:rPr>
        <w:t xml:space="preserve"> depending on the nature thereof</w:t>
      </w:r>
      <w:r w:rsidR="00B74D9B">
        <w:rPr>
          <w:sz w:val="28"/>
          <w:szCs w:val="28"/>
        </w:rPr>
        <w:t>,</w:t>
      </w:r>
      <w:r w:rsidR="00B7028F">
        <w:rPr>
          <w:sz w:val="28"/>
          <w:szCs w:val="28"/>
        </w:rPr>
        <w:t xml:space="preserve"> may afford a litigant with a remedy for review.</w:t>
      </w:r>
      <w:r w:rsidR="00B7028F" w:rsidRPr="00B7028F">
        <w:rPr>
          <w:sz w:val="28"/>
          <w:szCs w:val="28"/>
        </w:rPr>
        <w:t xml:space="preserve"> </w:t>
      </w:r>
      <w:r w:rsidR="00C056C5">
        <w:rPr>
          <w:sz w:val="28"/>
          <w:szCs w:val="28"/>
        </w:rPr>
        <w:t xml:space="preserve">When the Master of the High court appoints an executor he/she exercises a power in terms of the Administration of Estates Act 66 of 1965 (the Act). </w:t>
      </w:r>
      <w:r w:rsidR="00B74D9B">
        <w:rPr>
          <w:sz w:val="28"/>
          <w:szCs w:val="28"/>
        </w:rPr>
        <w:t>If any irregularity occurs in the process the appropriate remedy is to review the decision. There</w:t>
      </w:r>
      <w:r w:rsidR="00C056C5">
        <w:rPr>
          <w:sz w:val="28"/>
          <w:szCs w:val="28"/>
        </w:rPr>
        <w:t xml:space="preserve"> is nothing in the Act which </w:t>
      </w:r>
      <w:r>
        <w:rPr>
          <w:sz w:val="28"/>
          <w:szCs w:val="28"/>
        </w:rPr>
        <w:t>specifies</w:t>
      </w:r>
      <w:r w:rsidR="00C056C5">
        <w:rPr>
          <w:sz w:val="28"/>
          <w:szCs w:val="28"/>
        </w:rPr>
        <w:t xml:space="preserve"> that only a relative of the deceased must be appointed. </w:t>
      </w:r>
    </w:p>
    <w:p w:rsidR="00C056C5" w:rsidRDefault="00C056C5" w:rsidP="00C056C5">
      <w:pPr>
        <w:spacing w:line="480" w:lineRule="auto"/>
        <w:jc w:val="both"/>
        <w:rPr>
          <w:sz w:val="28"/>
          <w:szCs w:val="28"/>
        </w:rPr>
      </w:pPr>
    </w:p>
    <w:p w:rsidR="00C056C5" w:rsidRDefault="00B74D9B" w:rsidP="00C056C5">
      <w:pPr>
        <w:spacing w:line="480" w:lineRule="auto"/>
        <w:jc w:val="both"/>
        <w:rPr>
          <w:sz w:val="28"/>
          <w:szCs w:val="28"/>
        </w:rPr>
      </w:pPr>
      <w:r>
        <w:rPr>
          <w:sz w:val="28"/>
          <w:szCs w:val="28"/>
        </w:rPr>
        <w:t>[11</w:t>
      </w:r>
      <w:r w:rsidR="007E35FB">
        <w:rPr>
          <w:sz w:val="28"/>
          <w:szCs w:val="28"/>
        </w:rPr>
        <w:t>]</w:t>
      </w:r>
      <w:r w:rsidR="007E35FB">
        <w:rPr>
          <w:sz w:val="28"/>
          <w:szCs w:val="28"/>
        </w:rPr>
        <w:tab/>
        <w:t xml:space="preserve">The declaratory order </w:t>
      </w:r>
      <w:r w:rsidR="00C056C5">
        <w:rPr>
          <w:sz w:val="28"/>
          <w:szCs w:val="28"/>
        </w:rPr>
        <w:t xml:space="preserve">and the </w:t>
      </w:r>
      <w:r w:rsidR="007E35FB">
        <w:rPr>
          <w:sz w:val="28"/>
          <w:szCs w:val="28"/>
        </w:rPr>
        <w:t>setting aside of the Master’s decision to appoint the executrix</w:t>
      </w:r>
      <w:r w:rsidR="00C056C5">
        <w:rPr>
          <w:sz w:val="28"/>
          <w:szCs w:val="28"/>
        </w:rPr>
        <w:t xml:space="preserve"> amount</w:t>
      </w:r>
      <w:r w:rsidR="007E35FB">
        <w:rPr>
          <w:sz w:val="28"/>
          <w:szCs w:val="28"/>
        </w:rPr>
        <w:t>s</w:t>
      </w:r>
      <w:r w:rsidR="00C056C5">
        <w:rPr>
          <w:sz w:val="28"/>
          <w:szCs w:val="28"/>
        </w:rPr>
        <w:t xml:space="preserve"> to a revi</w:t>
      </w:r>
      <w:r w:rsidR="007E35FB">
        <w:rPr>
          <w:sz w:val="28"/>
          <w:szCs w:val="28"/>
        </w:rPr>
        <w:t>ew of that decision</w:t>
      </w:r>
      <w:r w:rsidR="00C056C5">
        <w:rPr>
          <w:sz w:val="28"/>
          <w:szCs w:val="28"/>
        </w:rPr>
        <w:t>. Consequently the rule of unreasonable delay and the Promotion of Administrative Justice Act 3 of 20</w:t>
      </w:r>
      <w:r w:rsidR="0059689E">
        <w:rPr>
          <w:sz w:val="28"/>
          <w:szCs w:val="28"/>
        </w:rPr>
        <w:t>0</w:t>
      </w:r>
      <w:r w:rsidR="00C056C5">
        <w:rPr>
          <w:sz w:val="28"/>
          <w:szCs w:val="28"/>
        </w:rPr>
        <w:t xml:space="preserve">0 </w:t>
      </w:r>
      <w:r w:rsidR="00C056C5">
        <w:rPr>
          <w:sz w:val="28"/>
          <w:szCs w:val="28"/>
        </w:rPr>
        <w:lastRenderedPageBreak/>
        <w:t>apply.</w:t>
      </w:r>
      <w:r w:rsidR="00C056C5">
        <w:rPr>
          <w:rStyle w:val="FootnoteReference"/>
          <w:sz w:val="28"/>
          <w:szCs w:val="28"/>
        </w:rPr>
        <w:footnoteReference w:id="3"/>
      </w:r>
      <w:r w:rsidR="00C056C5">
        <w:rPr>
          <w:sz w:val="28"/>
          <w:szCs w:val="28"/>
        </w:rPr>
        <w:t xml:space="preserve"> The appointment was done on 25 January 2018.  These proceedings were launched on 11 December 2020 a period of more than 180 days from the date of the decision to appoint. No application has been made for condonation</w:t>
      </w:r>
      <w:r w:rsidR="007E35FB">
        <w:rPr>
          <w:sz w:val="28"/>
          <w:szCs w:val="28"/>
        </w:rPr>
        <w:t xml:space="preserve"> for the delay</w:t>
      </w:r>
      <w:r w:rsidR="00C056C5">
        <w:rPr>
          <w:sz w:val="28"/>
          <w:szCs w:val="28"/>
        </w:rPr>
        <w:t>. The first respondent has performed in terms of the duties imposed on her by the Act and no complaint has been lodged either by the Master or anyone in connection therewith.</w:t>
      </w:r>
    </w:p>
    <w:p w:rsidR="00C056C5" w:rsidRDefault="00C056C5" w:rsidP="00C056C5">
      <w:pPr>
        <w:spacing w:line="480" w:lineRule="auto"/>
        <w:jc w:val="both"/>
        <w:rPr>
          <w:sz w:val="28"/>
          <w:szCs w:val="28"/>
        </w:rPr>
      </w:pPr>
    </w:p>
    <w:p w:rsidR="00C056C5" w:rsidRDefault="007E35FB" w:rsidP="00C056C5">
      <w:pPr>
        <w:spacing w:line="480" w:lineRule="auto"/>
        <w:jc w:val="both"/>
        <w:rPr>
          <w:sz w:val="28"/>
          <w:szCs w:val="28"/>
        </w:rPr>
      </w:pPr>
      <w:r>
        <w:rPr>
          <w:sz w:val="28"/>
          <w:szCs w:val="28"/>
        </w:rPr>
        <w:t>[1</w:t>
      </w:r>
      <w:r w:rsidR="00B74D9B">
        <w:rPr>
          <w:sz w:val="28"/>
          <w:szCs w:val="28"/>
        </w:rPr>
        <w:t>2</w:t>
      </w:r>
      <w:r w:rsidR="00C056C5">
        <w:rPr>
          <w:sz w:val="28"/>
          <w:szCs w:val="28"/>
        </w:rPr>
        <w:t>]</w:t>
      </w:r>
      <w:r w:rsidR="00C056C5">
        <w:rPr>
          <w:sz w:val="28"/>
          <w:szCs w:val="28"/>
        </w:rPr>
        <w:tab/>
        <w:t>Furthermore the appointment and removal of an executor is a duty assigned to the Master of the High Court in terms the Act.</w:t>
      </w:r>
      <w:r w:rsidR="00C056C5">
        <w:rPr>
          <w:rStyle w:val="FootnoteReference"/>
          <w:sz w:val="28"/>
          <w:szCs w:val="28"/>
        </w:rPr>
        <w:footnoteReference w:id="4"/>
      </w:r>
      <w:r w:rsidR="00B74D9B">
        <w:rPr>
          <w:sz w:val="28"/>
          <w:szCs w:val="28"/>
        </w:rPr>
        <w:t xml:space="preserve"> This C</w:t>
      </w:r>
      <w:r w:rsidR="00C056C5">
        <w:rPr>
          <w:sz w:val="28"/>
          <w:szCs w:val="28"/>
        </w:rPr>
        <w:t>ourt is not entitled to usurp that power.</w:t>
      </w:r>
      <w:r w:rsidR="00C056C5">
        <w:rPr>
          <w:rStyle w:val="FootnoteReference"/>
          <w:sz w:val="28"/>
          <w:szCs w:val="28"/>
        </w:rPr>
        <w:footnoteReference w:id="5"/>
      </w:r>
      <w:r w:rsidR="00B74D9B">
        <w:rPr>
          <w:sz w:val="28"/>
          <w:szCs w:val="28"/>
        </w:rPr>
        <w:t xml:space="preserve"> The C</w:t>
      </w:r>
      <w:r w:rsidR="00C056C5">
        <w:rPr>
          <w:sz w:val="28"/>
          <w:szCs w:val="28"/>
        </w:rPr>
        <w:t>ourt is only empowered to remove the executor if the applicant can establish the factors mentioned i</w:t>
      </w:r>
      <w:r w:rsidR="0059689E">
        <w:rPr>
          <w:sz w:val="28"/>
          <w:szCs w:val="28"/>
        </w:rPr>
        <w:t>n</w:t>
      </w:r>
      <w:r w:rsidR="00C056C5">
        <w:rPr>
          <w:sz w:val="28"/>
          <w:szCs w:val="28"/>
        </w:rPr>
        <w:t xml:space="preserve"> section 54(1)(a) of the Act.</w:t>
      </w:r>
      <w:r>
        <w:rPr>
          <w:sz w:val="28"/>
          <w:szCs w:val="28"/>
        </w:rPr>
        <w:t xml:space="preserve"> No reference to this is made in the papers.</w:t>
      </w:r>
    </w:p>
    <w:p w:rsidR="00C056C5" w:rsidRDefault="00C056C5" w:rsidP="00C056C5">
      <w:pPr>
        <w:spacing w:line="480" w:lineRule="auto"/>
        <w:jc w:val="both"/>
        <w:rPr>
          <w:sz w:val="28"/>
          <w:szCs w:val="28"/>
        </w:rPr>
      </w:pPr>
    </w:p>
    <w:p w:rsidR="00C056C5" w:rsidRDefault="00C056C5" w:rsidP="00C056C5">
      <w:pPr>
        <w:spacing w:line="480" w:lineRule="auto"/>
        <w:jc w:val="both"/>
        <w:rPr>
          <w:sz w:val="28"/>
          <w:szCs w:val="28"/>
        </w:rPr>
      </w:pPr>
      <w:r>
        <w:rPr>
          <w:sz w:val="28"/>
          <w:szCs w:val="28"/>
        </w:rPr>
        <w:t>[1</w:t>
      </w:r>
      <w:r w:rsidR="00B74D9B">
        <w:rPr>
          <w:sz w:val="28"/>
          <w:szCs w:val="28"/>
        </w:rPr>
        <w:t>3</w:t>
      </w:r>
      <w:r>
        <w:rPr>
          <w:sz w:val="28"/>
          <w:szCs w:val="28"/>
        </w:rPr>
        <w:t>]</w:t>
      </w:r>
      <w:r>
        <w:rPr>
          <w:sz w:val="28"/>
          <w:szCs w:val="28"/>
        </w:rPr>
        <w:tab/>
        <w:t>The respondent has not filed heads of argument and has not taken any points in the matter</w:t>
      </w:r>
      <w:r w:rsidR="00B74D9B">
        <w:rPr>
          <w:sz w:val="28"/>
          <w:szCs w:val="28"/>
        </w:rPr>
        <w:t xml:space="preserve"> either with reference to failure to paginate or observations made above</w:t>
      </w:r>
      <w:r>
        <w:rPr>
          <w:sz w:val="28"/>
          <w:szCs w:val="28"/>
        </w:rPr>
        <w:t xml:space="preserve">. This goes to the question </w:t>
      </w:r>
      <w:r w:rsidR="0059689E">
        <w:rPr>
          <w:sz w:val="28"/>
          <w:szCs w:val="28"/>
        </w:rPr>
        <w:t xml:space="preserve">of </w:t>
      </w:r>
      <w:r>
        <w:rPr>
          <w:sz w:val="28"/>
          <w:szCs w:val="28"/>
        </w:rPr>
        <w:t>costs.</w:t>
      </w:r>
    </w:p>
    <w:p w:rsidR="00C056C5" w:rsidRDefault="00C056C5" w:rsidP="00C056C5">
      <w:pPr>
        <w:spacing w:line="480" w:lineRule="auto"/>
        <w:jc w:val="both"/>
        <w:rPr>
          <w:sz w:val="28"/>
          <w:szCs w:val="28"/>
        </w:rPr>
      </w:pPr>
    </w:p>
    <w:p w:rsidR="00C056C5" w:rsidRDefault="00C056C5" w:rsidP="00C056C5">
      <w:pPr>
        <w:spacing w:line="480" w:lineRule="auto"/>
        <w:jc w:val="both"/>
        <w:rPr>
          <w:sz w:val="28"/>
          <w:szCs w:val="28"/>
        </w:rPr>
      </w:pPr>
      <w:r>
        <w:rPr>
          <w:sz w:val="28"/>
          <w:szCs w:val="28"/>
        </w:rPr>
        <w:t>[1</w:t>
      </w:r>
      <w:r w:rsidR="00B74D9B">
        <w:rPr>
          <w:sz w:val="28"/>
          <w:szCs w:val="28"/>
        </w:rPr>
        <w:t>4</w:t>
      </w:r>
      <w:r>
        <w:rPr>
          <w:sz w:val="28"/>
          <w:szCs w:val="28"/>
        </w:rPr>
        <w:t>]</w:t>
      </w:r>
      <w:r>
        <w:rPr>
          <w:sz w:val="28"/>
          <w:szCs w:val="28"/>
        </w:rPr>
        <w:tab/>
        <w:t>In the light of the fact that papers are not properly collated</w:t>
      </w:r>
      <w:r w:rsidR="007E35FB">
        <w:rPr>
          <w:sz w:val="28"/>
          <w:szCs w:val="28"/>
        </w:rPr>
        <w:t>,</w:t>
      </w:r>
      <w:r>
        <w:rPr>
          <w:sz w:val="28"/>
          <w:szCs w:val="28"/>
        </w:rPr>
        <w:t xml:space="preserve"> secured and paginated</w:t>
      </w:r>
      <w:r w:rsidR="0059689E">
        <w:rPr>
          <w:sz w:val="28"/>
          <w:szCs w:val="28"/>
        </w:rPr>
        <w:t>,</w:t>
      </w:r>
      <w:r>
        <w:rPr>
          <w:sz w:val="28"/>
          <w:szCs w:val="28"/>
        </w:rPr>
        <w:t xml:space="preserve"> the matter cannot be entertained.</w:t>
      </w:r>
    </w:p>
    <w:p w:rsidR="00C056C5" w:rsidRDefault="00C056C5" w:rsidP="00C056C5">
      <w:pPr>
        <w:spacing w:line="480" w:lineRule="auto"/>
        <w:jc w:val="both"/>
        <w:rPr>
          <w:sz w:val="28"/>
          <w:szCs w:val="28"/>
        </w:rPr>
      </w:pPr>
    </w:p>
    <w:p w:rsidR="00C056C5" w:rsidRDefault="00C056C5" w:rsidP="00C056C5">
      <w:pPr>
        <w:spacing w:line="480" w:lineRule="auto"/>
        <w:jc w:val="both"/>
        <w:rPr>
          <w:sz w:val="28"/>
          <w:szCs w:val="28"/>
        </w:rPr>
      </w:pPr>
      <w:r>
        <w:rPr>
          <w:sz w:val="28"/>
          <w:szCs w:val="28"/>
        </w:rPr>
        <w:t>[1</w:t>
      </w:r>
      <w:r w:rsidR="00B74D9B">
        <w:rPr>
          <w:sz w:val="28"/>
          <w:szCs w:val="28"/>
        </w:rPr>
        <w:t>5</w:t>
      </w:r>
      <w:r>
        <w:rPr>
          <w:sz w:val="28"/>
          <w:szCs w:val="28"/>
        </w:rPr>
        <w:t>]</w:t>
      </w:r>
      <w:r>
        <w:rPr>
          <w:sz w:val="28"/>
          <w:szCs w:val="28"/>
        </w:rPr>
        <w:tab/>
        <w:t>Accordingly the following order will issue:</w:t>
      </w:r>
    </w:p>
    <w:p w:rsidR="00C056C5" w:rsidRDefault="00C056C5" w:rsidP="00C056C5">
      <w:pPr>
        <w:spacing w:line="480" w:lineRule="auto"/>
        <w:jc w:val="both"/>
        <w:rPr>
          <w:sz w:val="28"/>
          <w:szCs w:val="28"/>
        </w:rPr>
      </w:pPr>
    </w:p>
    <w:p w:rsidR="00C056C5" w:rsidRDefault="00C056C5" w:rsidP="00C056C5">
      <w:pPr>
        <w:spacing w:line="480" w:lineRule="auto"/>
        <w:jc w:val="both"/>
        <w:rPr>
          <w:sz w:val="28"/>
          <w:szCs w:val="28"/>
        </w:rPr>
      </w:pPr>
      <w:r>
        <w:rPr>
          <w:sz w:val="28"/>
          <w:szCs w:val="28"/>
        </w:rPr>
        <w:t>The matter is struck off the roll.</w:t>
      </w:r>
    </w:p>
    <w:p w:rsidR="00C056C5" w:rsidRDefault="00C056C5" w:rsidP="00C056C5">
      <w:pPr>
        <w:spacing w:line="480" w:lineRule="auto"/>
        <w:jc w:val="both"/>
        <w:rPr>
          <w:sz w:val="28"/>
          <w:szCs w:val="28"/>
        </w:rPr>
      </w:pPr>
    </w:p>
    <w:p w:rsidR="00C056C5" w:rsidRDefault="00C056C5" w:rsidP="00C056C5">
      <w:pPr>
        <w:spacing w:line="480" w:lineRule="auto"/>
        <w:jc w:val="both"/>
        <w:rPr>
          <w:sz w:val="28"/>
          <w:szCs w:val="28"/>
        </w:rPr>
      </w:pPr>
    </w:p>
    <w:p w:rsidR="00C056C5" w:rsidRDefault="00C056C5" w:rsidP="00C056C5">
      <w:pPr>
        <w:spacing w:line="480" w:lineRule="auto"/>
        <w:jc w:val="both"/>
        <w:rPr>
          <w:b/>
          <w:sz w:val="28"/>
          <w:szCs w:val="28"/>
        </w:rPr>
      </w:pPr>
      <w:r>
        <w:rPr>
          <w:b/>
          <w:sz w:val="28"/>
          <w:szCs w:val="28"/>
        </w:rPr>
        <w:t>B R TOKOTA</w:t>
      </w:r>
    </w:p>
    <w:p w:rsidR="00C056C5" w:rsidRDefault="00C056C5" w:rsidP="00C056C5">
      <w:pPr>
        <w:spacing w:line="480" w:lineRule="auto"/>
        <w:jc w:val="both"/>
        <w:rPr>
          <w:b/>
          <w:sz w:val="28"/>
          <w:szCs w:val="28"/>
        </w:rPr>
      </w:pPr>
      <w:r>
        <w:rPr>
          <w:b/>
          <w:sz w:val="28"/>
          <w:szCs w:val="28"/>
        </w:rPr>
        <w:t>ACTING DEPUTY JUDGE PRESIDENT OF THE HIGH COURT</w:t>
      </w:r>
    </w:p>
    <w:p w:rsidR="00C056C5" w:rsidRDefault="00C056C5" w:rsidP="00C056C5">
      <w:pPr>
        <w:spacing w:line="480" w:lineRule="auto"/>
        <w:jc w:val="both"/>
        <w:rPr>
          <w:b/>
          <w:sz w:val="28"/>
          <w:szCs w:val="28"/>
        </w:rPr>
      </w:pPr>
    </w:p>
    <w:p w:rsidR="007E35FB" w:rsidRDefault="007E35FB" w:rsidP="00C056C5">
      <w:pPr>
        <w:spacing w:line="480" w:lineRule="auto"/>
        <w:jc w:val="both"/>
        <w:rPr>
          <w:sz w:val="28"/>
          <w:szCs w:val="28"/>
        </w:rPr>
      </w:pPr>
    </w:p>
    <w:p w:rsidR="00C056C5" w:rsidRDefault="00C056C5" w:rsidP="00C056C5">
      <w:pPr>
        <w:spacing w:line="480" w:lineRule="auto"/>
        <w:jc w:val="both"/>
        <w:rPr>
          <w:sz w:val="28"/>
          <w:szCs w:val="28"/>
        </w:rPr>
      </w:pPr>
      <w:r>
        <w:rPr>
          <w:sz w:val="28"/>
          <w:szCs w:val="28"/>
        </w:rPr>
        <w:t>Appearances:</w:t>
      </w:r>
    </w:p>
    <w:p w:rsidR="00C056C5" w:rsidRDefault="0059689E" w:rsidP="00C056C5">
      <w:pPr>
        <w:spacing w:line="480" w:lineRule="auto"/>
        <w:jc w:val="both"/>
        <w:rPr>
          <w:sz w:val="28"/>
          <w:szCs w:val="28"/>
        </w:rPr>
      </w:pPr>
      <w:r>
        <w:rPr>
          <w:sz w:val="28"/>
          <w:szCs w:val="28"/>
        </w:rPr>
        <w:t>For the applicants:</w:t>
      </w:r>
      <w:r>
        <w:rPr>
          <w:sz w:val="28"/>
          <w:szCs w:val="28"/>
        </w:rPr>
        <w:tab/>
      </w:r>
      <w:r>
        <w:rPr>
          <w:sz w:val="28"/>
          <w:szCs w:val="28"/>
        </w:rPr>
        <w:tab/>
      </w:r>
      <w:r>
        <w:rPr>
          <w:sz w:val="28"/>
          <w:szCs w:val="28"/>
        </w:rPr>
        <w:tab/>
        <w:t>Mr M Wakaba</w:t>
      </w:r>
    </w:p>
    <w:p w:rsidR="0059689E" w:rsidRDefault="0059689E" w:rsidP="00C056C5">
      <w:pPr>
        <w:spacing w:line="480" w:lineRule="auto"/>
        <w:jc w:val="both"/>
        <w:rPr>
          <w:sz w:val="28"/>
          <w:szCs w:val="28"/>
        </w:rPr>
      </w:pPr>
      <w:r>
        <w:rPr>
          <w:sz w:val="28"/>
          <w:szCs w:val="28"/>
        </w:rPr>
        <w:t>Instructed by M Wakaba Attorneys</w:t>
      </w:r>
    </w:p>
    <w:p w:rsidR="0059689E" w:rsidRDefault="0059689E" w:rsidP="00C056C5">
      <w:pPr>
        <w:spacing w:line="480" w:lineRule="auto"/>
        <w:jc w:val="both"/>
        <w:rPr>
          <w:sz w:val="28"/>
          <w:szCs w:val="28"/>
        </w:rPr>
      </w:pPr>
      <w:r>
        <w:rPr>
          <w:sz w:val="28"/>
          <w:szCs w:val="28"/>
        </w:rPr>
        <w:t>For the Respondent:</w:t>
      </w:r>
      <w:r>
        <w:rPr>
          <w:sz w:val="28"/>
          <w:szCs w:val="28"/>
        </w:rPr>
        <w:tab/>
      </w:r>
      <w:r>
        <w:rPr>
          <w:sz w:val="28"/>
          <w:szCs w:val="28"/>
        </w:rPr>
        <w:tab/>
      </w:r>
      <w:r w:rsidR="009D0B8C">
        <w:rPr>
          <w:sz w:val="28"/>
          <w:szCs w:val="28"/>
        </w:rPr>
        <w:t>In Person</w:t>
      </w:r>
    </w:p>
    <w:p w:rsidR="00C056C5" w:rsidRDefault="00C056C5" w:rsidP="00C056C5">
      <w:pPr>
        <w:spacing w:line="480" w:lineRule="auto"/>
        <w:jc w:val="both"/>
        <w:rPr>
          <w:sz w:val="28"/>
          <w:szCs w:val="28"/>
        </w:rPr>
      </w:pPr>
    </w:p>
    <w:p w:rsidR="007E35FB" w:rsidRDefault="007E35FB" w:rsidP="007E35FB">
      <w:pPr>
        <w:spacing w:line="480" w:lineRule="auto"/>
      </w:pPr>
    </w:p>
    <w:p w:rsidR="007E35FB" w:rsidRDefault="003E2736" w:rsidP="007E35FB">
      <w:pPr>
        <w:spacing w:line="480" w:lineRule="auto"/>
      </w:pPr>
      <w:r>
        <w:t>Date of Hearing:</w:t>
      </w:r>
      <w:r>
        <w:tab/>
      </w:r>
      <w:r>
        <w:tab/>
      </w:r>
      <w:r>
        <w:tab/>
      </w:r>
      <w:r>
        <w:tab/>
        <w:t>20 October 2022</w:t>
      </w:r>
    </w:p>
    <w:p w:rsidR="003E2736" w:rsidRDefault="009D0B8C" w:rsidP="007E35FB">
      <w:pPr>
        <w:spacing w:line="480" w:lineRule="auto"/>
      </w:pPr>
      <w:r>
        <w:t>Date delivered:</w:t>
      </w:r>
      <w:r w:rsidR="003E2736">
        <w:tab/>
      </w:r>
      <w:r w:rsidR="003E2736">
        <w:tab/>
      </w:r>
      <w:r w:rsidR="003E2736">
        <w:tab/>
      </w:r>
      <w:r w:rsidR="003E2736">
        <w:tab/>
        <w:t>20 October 2022.</w:t>
      </w:r>
    </w:p>
    <w:sectPr w:rsidR="003E2736" w:rsidSect="0092670C">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69" w:rsidRDefault="00D37B69" w:rsidP="00C056C5">
      <w:r>
        <w:separator/>
      </w:r>
    </w:p>
  </w:endnote>
  <w:endnote w:type="continuationSeparator" w:id="0">
    <w:p w:rsidR="00D37B69" w:rsidRDefault="00D37B69" w:rsidP="00C0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585832"/>
      <w:docPartObj>
        <w:docPartGallery w:val="Page Numbers (Bottom of Page)"/>
        <w:docPartUnique/>
      </w:docPartObj>
    </w:sdtPr>
    <w:sdtEndPr>
      <w:rPr>
        <w:noProof/>
      </w:rPr>
    </w:sdtEndPr>
    <w:sdtContent>
      <w:p w:rsidR="00A55054" w:rsidRDefault="00A55054">
        <w:pPr>
          <w:pStyle w:val="Footer"/>
          <w:jc w:val="center"/>
        </w:pPr>
        <w:r>
          <w:fldChar w:fldCharType="begin"/>
        </w:r>
        <w:r>
          <w:instrText xml:space="preserve"> PAGE   \* MERGEFORMAT </w:instrText>
        </w:r>
        <w:r>
          <w:fldChar w:fldCharType="separate"/>
        </w:r>
        <w:r w:rsidR="007A597D">
          <w:rPr>
            <w:noProof/>
          </w:rPr>
          <w:t>4</w:t>
        </w:r>
        <w:r>
          <w:rPr>
            <w:noProof/>
          </w:rPr>
          <w:fldChar w:fldCharType="end"/>
        </w:r>
      </w:p>
    </w:sdtContent>
  </w:sdt>
  <w:p w:rsidR="00A55054" w:rsidRDefault="00A550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69" w:rsidRDefault="00D37B69" w:rsidP="00C056C5">
      <w:r>
        <w:separator/>
      </w:r>
    </w:p>
  </w:footnote>
  <w:footnote w:type="continuationSeparator" w:id="0">
    <w:p w:rsidR="00D37B69" w:rsidRDefault="00D37B69" w:rsidP="00C056C5">
      <w:r>
        <w:continuationSeparator/>
      </w:r>
    </w:p>
  </w:footnote>
  <w:footnote w:id="1">
    <w:p w:rsidR="00C056C5" w:rsidRDefault="00C056C5" w:rsidP="00C056C5">
      <w:pPr>
        <w:pStyle w:val="FootnoteText"/>
        <w:rPr>
          <w:lang w:val="en-ZA"/>
        </w:rPr>
      </w:pPr>
      <w:r>
        <w:rPr>
          <w:rStyle w:val="FootnoteReference"/>
        </w:rPr>
        <w:footnoteRef/>
      </w:r>
      <w:r>
        <w:t xml:space="preserve"> </w:t>
      </w:r>
      <w:r>
        <w:rPr>
          <w:lang w:val="en-ZA"/>
        </w:rPr>
        <w:t>Practice /directive 8(a)</w:t>
      </w:r>
    </w:p>
  </w:footnote>
  <w:footnote w:id="2">
    <w:p w:rsidR="00C056C5" w:rsidRDefault="00C056C5" w:rsidP="00C056C5">
      <w:pPr>
        <w:pStyle w:val="FootnoteText"/>
        <w:rPr>
          <w:lang w:val="en-ZA"/>
        </w:rPr>
      </w:pPr>
      <w:r>
        <w:rPr>
          <w:rStyle w:val="FootnoteReference"/>
        </w:rPr>
        <w:footnoteRef/>
      </w:r>
      <w:r>
        <w:t xml:space="preserve"> </w:t>
      </w:r>
      <w:r>
        <w:rPr>
          <w:lang w:val="en-ZA"/>
        </w:rPr>
        <w:t>Practice Directive Rule 3(a); Uniform Rule 62(4).</w:t>
      </w:r>
    </w:p>
  </w:footnote>
  <w:footnote w:id="3">
    <w:p w:rsidR="00C056C5" w:rsidRDefault="00C056C5" w:rsidP="00C056C5">
      <w:pPr>
        <w:pStyle w:val="FootnoteText"/>
        <w:rPr>
          <w:lang w:val="en-ZA"/>
        </w:rPr>
      </w:pPr>
      <w:r>
        <w:rPr>
          <w:rStyle w:val="FootnoteReference"/>
        </w:rPr>
        <w:footnoteRef/>
      </w:r>
      <w:r>
        <w:t xml:space="preserve"> Naptosa v Minister of Education, WC 2001 (2) SA 112 (C) at 126; Lion Match Co Ltd v PPWAWU 2001 (4) SA 149 (SCA) para.25.</w:t>
      </w:r>
    </w:p>
  </w:footnote>
  <w:footnote w:id="4">
    <w:p w:rsidR="00C056C5" w:rsidRDefault="00C056C5" w:rsidP="00C056C5">
      <w:pPr>
        <w:pStyle w:val="FootnoteText"/>
        <w:rPr>
          <w:lang w:val="en-ZA"/>
        </w:rPr>
      </w:pPr>
      <w:r>
        <w:rPr>
          <w:rStyle w:val="FootnoteReference"/>
        </w:rPr>
        <w:footnoteRef/>
      </w:r>
      <w:r>
        <w:t xml:space="preserve"> </w:t>
      </w:r>
      <w:r>
        <w:rPr>
          <w:lang w:val="en-ZA"/>
        </w:rPr>
        <w:t>Section 14,15 and 54(b).</w:t>
      </w:r>
    </w:p>
  </w:footnote>
  <w:footnote w:id="5">
    <w:p w:rsidR="00C056C5" w:rsidRDefault="00C056C5" w:rsidP="00C056C5">
      <w:pPr>
        <w:pStyle w:val="FootnoteText"/>
        <w:rPr>
          <w:lang w:val="en-ZA"/>
        </w:rPr>
      </w:pPr>
      <w:r>
        <w:rPr>
          <w:rStyle w:val="FootnoteReference"/>
        </w:rPr>
        <w:footnoteRef/>
      </w:r>
      <w:r>
        <w:t xml:space="preserve"> The Master of the High Court (GNP) v Motala NO 2012 (3) SA 325 (SCA) ([2011] ZASCA 238) para.14.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C5"/>
    <w:rsid w:val="000C4097"/>
    <w:rsid w:val="00107266"/>
    <w:rsid w:val="001D7F03"/>
    <w:rsid w:val="00245570"/>
    <w:rsid w:val="00307069"/>
    <w:rsid w:val="003E2736"/>
    <w:rsid w:val="004408E0"/>
    <w:rsid w:val="0059689E"/>
    <w:rsid w:val="00597A30"/>
    <w:rsid w:val="005D79C3"/>
    <w:rsid w:val="00635276"/>
    <w:rsid w:val="006444C5"/>
    <w:rsid w:val="006F2394"/>
    <w:rsid w:val="00700D34"/>
    <w:rsid w:val="00757048"/>
    <w:rsid w:val="007A597D"/>
    <w:rsid w:val="007D7F2B"/>
    <w:rsid w:val="007E35FB"/>
    <w:rsid w:val="00814380"/>
    <w:rsid w:val="008240FA"/>
    <w:rsid w:val="0085503A"/>
    <w:rsid w:val="00892205"/>
    <w:rsid w:val="00903BE9"/>
    <w:rsid w:val="0092670C"/>
    <w:rsid w:val="00974A9B"/>
    <w:rsid w:val="009D0B8C"/>
    <w:rsid w:val="00A55054"/>
    <w:rsid w:val="00A76E67"/>
    <w:rsid w:val="00B7028F"/>
    <w:rsid w:val="00B74D9B"/>
    <w:rsid w:val="00BD3EBC"/>
    <w:rsid w:val="00BE2BA2"/>
    <w:rsid w:val="00C056C5"/>
    <w:rsid w:val="00D36A20"/>
    <w:rsid w:val="00D37B69"/>
    <w:rsid w:val="00D92484"/>
    <w:rsid w:val="00EE7DB8"/>
    <w:rsid w:val="00F3493E"/>
    <w:rsid w:val="00F478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1DF71-B7AC-4B7A-8D99-88E00BE9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C5"/>
    <w:rPr>
      <w:sz w:val="24"/>
      <w:szCs w:val="24"/>
      <w:lang w:val="en-US" w:eastAsia="en-US"/>
    </w:rPr>
  </w:style>
  <w:style w:type="paragraph" w:styleId="Heading1">
    <w:name w:val="heading 1"/>
    <w:basedOn w:val="Normal"/>
    <w:next w:val="Normal"/>
    <w:link w:val="Heading1Char"/>
    <w:qFormat/>
    <w:rsid w:val="00974A9B"/>
    <w:pPr>
      <w:keepNext/>
      <w:spacing w:after="360" w:line="480" w:lineRule="auto"/>
      <w:outlineLvl w:val="0"/>
    </w:pPr>
    <w:rPr>
      <w:rFonts w:ascii="Arial" w:hAnsi="Arial"/>
      <w:b/>
      <w:u w:val="single"/>
      <w:lang w:val="en-ZA"/>
    </w:rPr>
  </w:style>
  <w:style w:type="paragraph" w:styleId="Heading2">
    <w:name w:val="heading 2"/>
    <w:basedOn w:val="Normal"/>
    <w:next w:val="Normal"/>
    <w:link w:val="Heading2Char"/>
    <w:uiPriority w:val="9"/>
    <w:semiHidden/>
    <w:unhideWhenUsed/>
    <w:qFormat/>
    <w:rsid w:val="00974A9B"/>
    <w:pPr>
      <w:keepNext/>
      <w:spacing w:before="240" w:after="60"/>
      <w:outlineLvl w:val="1"/>
    </w:pPr>
    <w:rPr>
      <w:rFonts w:ascii="Cambria" w:hAnsi="Cambria"/>
      <w:b/>
      <w:bCs/>
      <w:i/>
      <w:i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A9B"/>
    <w:rPr>
      <w:rFonts w:ascii="Arial" w:hAnsi="Arial"/>
      <w:b/>
      <w:sz w:val="24"/>
      <w:szCs w:val="24"/>
      <w:u w:val="single"/>
      <w:lang w:eastAsia="en-US"/>
    </w:rPr>
  </w:style>
  <w:style w:type="character" w:customStyle="1" w:styleId="Heading2Char">
    <w:name w:val="Heading 2 Char"/>
    <w:link w:val="Heading2"/>
    <w:uiPriority w:val="9"/>
    <w:semiHidden/>
    <w:rsid w:val="00974A9B"/>
    <w:rPr>
      <w:rFonts w:ascii="Cambria" w:hAnsi="Cambria"/>
      <w:b/>
      <w:bCs/>
      <w:i/>
      <w:iCs/>
      <w:sz w:val="28"/>
      <w:szCs w:val="28"/>
      <w:lang w:eastAsia="en-US"/>
    </w:rPr>
  </w:style>
  <w:style w:type="paragraph" w:styleId="ListParagraph">
    <w:name w:val="List Paragraph"/>
    <w:basedOn w:val="Normal"/>
    <w:uiPriority w:val="34"/>
    <w:qFormat/>
    <w:rsid w:val="00974A9B"/>
    <w:pPr>
      <w:spacing w:after="200" w:line="276" w:lineRule="auto"/>
      <w:ind w:left="720"/>
      <w:contextualSpacing/>
    </w:pPr>
    <w:rPr>
      <w:rFonts w:ascii="Calibri" w:eastAsia="Calibri" w:hAnsi="Calibri"/>
      <w:sz w:val="22"/>
      <w:szCs w:val="22"/>
      <w:lang w:val="en-ZA"/>
    </w:rPr>
  </w:style>
  <w:style w:type="paragraph" w:styleId="FootnoteText">
    <w:name w:val="footnote text"/>
    <w:basedOn w:val="Normal"/>
    <w:link w:val="FootnoteTextChar"/>
    <w:semiHidden/>
    <w:unhideWhenUsed/>
    <w:rsid w:val="00C056C5"/>
    <w:rPr>
      <w:sz w:val="20"/>
      <w:szCs w:val="20"/>
    </w:rPr>
  </w:style>
  <w:style w:type="character" w:customStyle="1" w:styleId="FootnoteTextChar">
    <w:name w:val="Footnote Text Char"/>
    <w:basedOn w:val="DefaultParagraphFont"/>
    <w:link w:val="FootnoteText"/>
    <w:semiHidden/>
    <w:rsid w:val="00C056C5"/>
    <w:rPr>
      <w:lang w:val="en-US" w:eastAsia="en-US"/>
    </w:rPr>
  </w:style>
  <w:style w:type="character" w:styleId="FootnoteReference">
    <w:name w:val="footnote reference"/>
    <w:basedOn w:val="DefaultParagraphFont"/>
    <w:semiHidden/>
    <w:unhideWhenUsed/>
    <w:rsid w:val="00C056C5"/>
    <w:rPr>
      <w:vertAlign w:val="superscript"/>
    </w:rPr>
  </w:style>
  <w:style w:type="paragraph" w:styleId="BalloonText">
    <w:name w:val="Balloon Text"/>
    <w:basedOn w:val="Normal"/>
    <w:link w:val="BalloonTextChar"/>
    <w:uiPriority w:val="99"/>
    <w:semiHidden/>
    <w:unhideWhenUsed/>
    <w:rsid w:val="00C056C5"/>
    <w:rPr>
      <w:rFonts w:ascii="Tahoma" w:hAnsi="Tahoma" w:cs="Tahoma"/>
      <w:sz w:val="16"/>
      <w:szCs w:val="16"/>
    </w:rPr>
  </w:style>
  <w:style w:type="character" w:customStyle="1" w:styleId="BalloonTextChar">
    <w:name w:val="Balloon Text Char"/>
    <w:basedOn w:val="DefaultParagraphFont"/>
    <w:link w:val="BalloonText"/>
    <w:uiPriority w:val="99"/>
    <w:semiHidden/>
    <w:rsid w:val="00C056C5"/>
    <w:rPr>
      <w:rFonts w:ascii="Tahoma" w:hAnsi="Tahoma" w:cs="Tahoma"/>
      <w:sz w:val="16"/>
      <w:szCs w:val="16"/>
      <w:lang w:val="en-US" w:eastAsia="en-US"/>
    </w:rPr>
  </w:style>
  <w:style w:type="paragraph" w:styleId="Header">
    <w:name w:val="header"/>
    <w:basedOn w:val="Normal"/>
    <w:link w:val="HeaderChar"/>
    <w:uiPriority w:val="99"/>
    <w:unhideWhenUsed/>
    <w:rsid w:val="00A55054"/>
    <w:pPr>
      <w:tabs>
        <w:tab w:val="center" w:pos="4513"/>
        <w:tab w:val="right" w:pos="9026"/>
      </w:tabs>
    </w:pPr>
  </w:style>
  <w:style w:type="character" w:customStyle="1" w:styleId="HeaderChar">
    <w:name w:val="Header Char"/>
    <w:basedOn w:val="DefaultParagraphFont"/>
    <w:link w:val="Header"/>
    <w:uiPriority w:val="99"/>
    <w:rsid w:val="00A55054"/>
    <w:rPr>
      <w:sz w:val="24"/>
      <w:szCs w:val="24"/>
      <w:lang w:val="en-US" w:eastAsia="en-US"/>
    </w:rPr>
  </w:style>
  <w:style w:type="paragraph" w:styleId="Footer">
    <w:name w:val="footer"/>
    <w:basedOn w:val="Normal"/>
    <w:link w:val="FooterChar"/>
    <w:uiPriority w:val="99"/>
    <w:unhideWhenUsed/>
    <w:rsid w:val="00A55054"/>
    <w:pPr>
      <w:tabs>
        <w:tab w:val="center" w:pos="4513"/>
        <w:tab w:val="right" w:pos="9026"/>
      </w:tabs>
    </w:pPr>
  </w:style>
  <w:style w:type="character" w:customStyle="1" w:styleId="FooterChar">
    <w:name w:val="Footer Char"/>
    <w:basedOn w:val="DefaultParagraphFont"/>
    <w:link w:val="Footer"/>
    <w:uiPriority w:val="99"/>
    <w:rsid w:val="00A550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7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Tokota</dc:creator>
  <cp:lastModifiedBy>Nomakorinte Ntliziywana</cp:lastModifiedBy>
  <cp:revision>2</cp:revision>
  <dcterms:created xsi:type="dcterms:W3CDTF">2022-10-20T14:21:00Z</dcterms:created>
  <dcterms:modified xsi:type="dcterms:W3CDTF">2022-10-20T14:21:00Z</dcterms:modified>
</cp:coreProperties>
</file>