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3095B1C1"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F7185B">
        <w:rPr>
          <w:b/>
          <w:bCs/>
          <w:lang w:val="en-GB"/>
        </w:rPr>
        <w:t>MTHATHA</w:t>
      </w:r>
    </w:p>
    <w:p w14:paraId="260381A7" w14:textId="77777777" w:rsidR="00D450B5" w:rsidRPr="00044B50" w:rsidRDefault="00D450B5" w:rsidP="00772E4B">
      <w:pPr>
        <w:widowControl w:val="0"/>
        <w:jc w:val="both"/>
        <w:rPr>
          <w:spacing w:val="14"/>
          <w:kern w:val="2"/>
          <w:u w:val="single"/>
          <w:lang w:val="en-GB"/>
        </w:rPr>
      </w:pPr>
    </w:p>
    <w:p w14:paraId="434E4AD9" w14:textId="0750D86D"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4934DB4B" w14:textId="2A34D159" w:rsidR="00E44987" w:rsidRPr="00044B50" w:rsidRDefault="00E44987" w:rsidP="00721B25">
      <w:pPr>
        <w:jc w:val="center"/>
        <w:rPr>
          <w:lang w:val="en-GB"/>
        </w:rPr>
      </w:pPr>
      <w:r w:rsidRPr="00044B50">
        <w:rPr>
          <w:lang w:val="en-GB"/>
        </w:rPr>
        <w:t xml:space="preserve">    </w:t>
      </w:r>
      <w:r w:rsidR="00721B25">
        <w:rPr>
          <w:lang w:val="en-GB"/>
        </w:rPr>
        <w:t xml:space="preserve">              </w:t>
      </w:r>
      <w:r w:rsidRPr="00044B50">
        <w:rPr>
          <w:lang w:val="en-GB"/>
        </w:rPr>
        <w:t xml:space="preserve">               </w:t>
      </w:r>
      <w:r w:rsidR="00721B25">
        <w:rPr>
          <w:lang w:val="en-GB"/>
        </w:rPr>
        <w:tab/>
      </w:r>
      <w:r w:rsidR="00721B25">
        <w:rPr>
          <w:lang w:val="en-GB"/>
        </w:rPr>
        <w:tab/>
      </w:r>
      <w:r w:rsidR="00721B25">
        <w:rPr>
          <w:lang w:val="en-GB"/>
        </w:rPr>
        <w:tab/>
      </w:r>
      <w:r w:rsidR="00721B25">
        <w:rPr>
          <w:lang w:val="en-GB"/>
        </w:rPr>
        <w:tab/>
      </w:r>
      <w:r w:rsidR="00721B25">
        <w:rPr>
          <w:lang w:val="en-GB"/>
        </w:rPr>
        <w:tab/>
        <w:t xml:space="preserve">       </w:t>
      </w:r>
      <w:r w:rsidRPr="00044B50">
        <w:rPr>
          <w:lang w:val="en-GB"/>
        </w:rPr>
        <w:t xml:space="preserve">Case </w:t>
      </w:r>
      <w:r w:rsidR="003C3B71">
        <w:rPr>
          <w:lang w:val="en-GB"/>
        </w:rPr>
        <w:t>N</w:t>
      </w:r>
      <w:r w:rsidRPr="00044B50">
        <w:rPr>
          <w:lang w:val="en-GB"/>
        </w:rPr>
        <w:t>o:</w:t>
      </w:r>
      <w:r w:rsidR="003C3B71">
        <w:rPr>
          <w:lang w:val="en-GB"/>
        </w:rPr>
        <w:t xml:space="preserve"> </w:t>
      </w:r>
      <w:r w:rsidR="00721B25">
        <w:rPr>
          <w:lang w:val="en-GB"/>
        </w:rPr>
        <w:t>3330/2019</w:t>
      </w:r>
      <w:r w:rsidRPr="00044B50">
        <w:rPr>
          <w:lang w:val="en-GB"/>
        </w:rPr>
        <w:t xml:space="preserve"> </w:t>
      </w:r>
    </w:p>
    <w:p w14:paraId="13EEBE4B" w14:textId="77777777" w:rsidR="00D450B5" w:rsidRPr="00044B50" w:rsidRDefault="00D450B5" w:rsidP="00772E4B">
      <w:pPr>
        <w:widowControl w:val="0"/>
        <w:jc w:val="right"/>
        <w:rPr>
          <w:spacing w:val="14"/>
          <w:kern w:val="2"/>
          <w:lang w:val="en-GB"/>
        </w:rPr>
      </w:pPr>
    </w:p>
    <w:p w14:paraId="49070A0E" w14:textId="16DB36FA"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72D8CFC9" w14:textId="77777777" w:rsidR="00721B25" w:rsidRPr="00044B50" w:rsidRDefault="00721B25" w:rsidP="00772E4B">
      <w:pPr>
        <w:widowControl w:val="0"/>
        <w:jc w:val="both"/>
        <w:rPr>
          <w:spacing w:val="14"/>
          <w:kern w:val="2"/>
          <w:lang w:val="en-GB"/>
        </w:rPr>
      </w:pPr>
    </w:p>
    <w:p w14:paraId="2E198784" w14:textId="2A039E25" w:rsidR="00D450B5" w:rsidRPr="00721B25" w:rsidRDefault="00721B25" w:rsidP="00721B25">
      <w:pPr>
        <w:widowControl w:val="0"/>
        <w:tabs>
          <w:tab w:val="left" w:pos="7655"/>
          <w:tab w:val="right" w:pos="8198"/>
        </w:tabs>
        <w:jc w:val="both"/>
        <w:rPr>
          <w:b/>
          <w:spacing w:val="14"/>
          <w:kern w:val="2"/>
          <w:lang w:val="en-GB"/>
        </w:rPr>
      </w:pPr>
      <w:r w:rsidRPr="00721B25">
        <w:rPr>
          <w:b/>
          <w:spacing w:val="14"/>
          <w:kern w:val="2"/>
          <w:lang w:val="en-GB"/>
        </w:rPr>
        <w:t>DURASCAFF CC</w:t>
      </w:r>
      <w:r>
        <w:rPr>
          <w:b/>
          <w:spacing w:val="14"/>
          <w:kern w:val="2"/>
          <w:lang w:val="en-GB"/>
        </w:rPr>
        <w:t xml:space="preserve"> </w:t>
      </w:r>
      <w:r>
        <w:rPr>
          <w:b/>
          <w:spacing w:val="14"/>
          <w:kern w:val="2"/>
          <w:lang w:val="en-GB"/>
        </w:rPr>
        <w:tab/>
        <w:t>Applicant</w:t>
      </w:r>
    </w:p>
    <w:p w14:paraId="0D746988" w14:textId="77777777" w:rsidR="00D450B5" w:rsidRPr="00044B50" w:rsidRDefault="00D450B5" w:rsidP="00772E4B">
      <w:pPr>
        <w:tabs>
          <w:tab w:val="right" w:pos="9072"/>
        </w:tabs>
        <w:suppressAutoHyphens/>
        <w:jc w:val="both"/>
        <w:rPr>
          <w:lang w:val="en-GB"/>
        </w:rPr>
      </w:pPr>
    </w:p>
    <w:p w14:paraId="460137EF" w14:textId="061B93F2" w:rsidR="00D450B5" w:rsidRDefault="003C3B71" w:rsidP="00772E4B">
      <w:pPr>
        <w:jc w:val="both"/>
        <w:rPr>
          <w:lang w:val="en-GB"/>
        </w:rPr>
      </w:pPr>
      <w:r>
        <w:rPr>
          <w:lang w:val="en-GB"/>
        </w:rPr>
        <w:t>a</w:t>
      </w:r>
      <w:r w:rsidR="00D450B5" w:rsidRPr="00044B50">
        <w:rPr>
          <w:lang w:val="en-GB"/>
        </w:rPr>
        <w:t>nd</w:t>
      </w:r>
    </w:p>
    <w:p w14:paraId="386DDE94" w14:textId="77777777" w:rsidR="003C3B71" w:rsidRPr="00044B50" w:rsidRDefault="003C3B71" w:rsidP="00772E4B">
      <w:pPr>
        <w:jc w:val="both"/>
        <w:rPr>
          <w:lang w:val="en-GB"/>
        </w:rPr>
      </w:pPr>
    </w:p>
    <w:p w14:paraId="76889E9C" w14:textId="7651736C" w:rsidR="00D450B5" w:rsidRPr="00044B50" w:rsidRDefault="00721B25" w:rsidP="00721B25">
      <w:pPr>
        <w:tabs>
          <w:tab w:val="left" w:pos="7513"/>
        </w:tabs>
        <w:jc w:val="both"/>
        <w:rPr>
          <w:lang w:val="en-GB"/>
        </w:rPr>
      </w:pPr>
      <w:r w:rsidRPr="00721B25">
        <w:rPr>
          <w:b/>
          <w:lang w:val="en-GB"/>
        </w:rPr>
        <w:t xml:space="preserve">GEORGE ESSILFIE </w:t>
      </w:r>
      <w:r>
        <w:rPr>
          <w:b/>
          <w:lang w:val="en-GB"/>
        </w:rPr>
        <w:t>–</w:t>
      </w:r>
      <w:r w:rsidRPr="00721B25">
        <w:rPr>
          <w:b/>
          <w:lang w:val="en-GB"/>
        </w:rPr>
        <w:t xml:space="preserve"> APPIAH</w:t>
      </w:r>
      <w:r>
        <w:rPr>
          <w:b/>
          <w:lang w:val="en-GB"/>
        </w:rPr>
        <w:t xml:space="preserve"> </w:t>
      </w:r>
      <w:r>
        <w:rPr>
          <w:b/>
          <w:lang w:val="en-GB"/>
        </w:rPr>
        <w:tab/>
        <w:t xml:space="preserve">Respondent </w:t>
      </w:r>
      <w:r w:rsidR="00D450B5"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40EF50E9" w:rsidR="00D450B5" w:rsidRPr="00044B50" w:rsidRDefault="00D450B5" w:rsidP="00772E4B">
      <w:pPr>
        <w:jc w:val="center"/>
        <w:rPr>
          <w:b/>
          <w:bCs/>
          <w:lang w:val="en-GB"/>
        </w:rPr>
      </w:pPr>
      <w:r w:rsidRPr="00044B50">
        <w:rPr>
          <w:b/>
          <w:bCs/>
          <w:lang w:val="en-GB"/>
        </w:rPr>
        <w:t xml:space="preserve">JUDGMENT </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5132AB61" w14:textId="77777777" w:rsidR="00D450B5" w:rsidRPr="00044B50" w:rsidRDefault="00D450B5" w:rsidP="00682CE5">
      <w:pPr>
        <w:jc w:val="both"/>
        <w:rPr>
          <w:lang w:val="en-GB"/>
        </w:rPr>
      </w:pPr>
    </w:p>
    <w:p w14:paraId="34F7781B" w14:textId="7828F727" w:rsidR="00D468AF" w:rsidRDefault="00123C49" w:rsidP="00682CE5">
      <w:pPr>
        <w:autoSpaceDE w:val="0"/>
        <w:autoSpaceDN w:val="0"/>
        <w:adjustRightInd w:val="0"/>
        <w:jc w:val="both"/>
        <w:rPr>
          <w:b/>
          <w:bCs/>
          <w:lang w:val="en-GB"/>
        </w:rPr>
      </w:pPr>
      <w:r>
        <w:rPr>
          <w:b/>
          <w:bCs/>
          <w:lang w:val="en-GB"/>
        </w:rPr>
        <w:t>Background</w:t>
      </w:r>
    </w:p>
    <w:p w14:paraId="569E7E9D" w14:textId="77777777" w:rsidR="00123C49" w:rsidRPr="00123C49" w:rsidRDefault="00123C49" w:rsidP="00682CE5">
      <w:pPr>
        <w:autoSpaceDE w:val="0"/>
        <w:autoSpaceDN w:val="0"/>
        <w:adjustRightInd w:val="0"/>
        <w:jc w:val="both"/>
        <w:rPr>
          <w:b/>
          <w:bCs/>
          <w:lang w:val="en-GB"/>
        </w:rPr>
      </w:pPr>
    </w:p>
    <w:p w14:paraId="769D4A09" w14:textId="557F3701" w:rsidR="00611ACE" w:rsidRPr="0064787B" w:rsidRDefault="0064787B" w:rsidP="0064787B">
      <w:pPr>
        <w:autoSpaceDE w:val="0"/>
        <w:autoSpaceDN w:val="0"/>
        <w:adjustRightInd w:val="0"/>
        <w:jc w:val="both"/>
        <w:rPr>
          <w:lang w:val="en-GB"/>
        </w:rPr>
      </w:pPr>
      <w:r>
        <w:rPr>
          <w:lang w:val="en-GB"/>
        </w:rPr>
        <w:t>[1]</w:t>
      </w:r>
      <w:r>
        <w:rPr>
          <w:lang w:val="en-GB"/>
        </w:rPr>
        <w:tab/>
      </w:r>
      <w:r w:rsidR="00E61D0F" w:rsidRPr="0064787B">
        <w:rPr>
          <w:lang w:val="en-GB"/>
        </w:rPr>
        <w:t>The applicant instituted action against the respondent claiming payment for hired goods</w:t>
      </w:r>
      <w:r w:rsidR="00CD1C6E" w:rsidRPr="0064787B">
        <w:rPr>
          <w:lang w:val="en-GB"/>
        </w:rPr>
        <w:t xml:space="preserve">. Summons was served on 19 September 2019 and was defended. </w:t>
      </w:r>
      <w:r w:rsidR="00316402" w:rsidRPr="0064787B">
        <w:rPr>
          <w:lang w:val="en-GB"/>
        </w:rPr>
        <w:t xml:space="preserve">When the respondent failed to plead, a notice of bar was served. </w:t>
      </w:r>
      <w:r w:rsidR="00F27FB9" w:rsidRPr="0064787B">
        <w:rPr>
          <w:lang w:val="en-GB"/>
        </w:rPr>
        <w:t>This was met with a notice in terms of Uniform Rule 30, alternatively, Uniform Rule 30A, on the basis that the particulars of claim had not been properly signed and was irregular.</w:t>
      </w:r>
      <w:r w:rsidR="00E27D63" w:rsidRPr="0064787B">
        <w:rPr>
          <w:lang w:val="en-GB"/>
        </w:rPr>
        <w:t xml:space="preserve"> </w:t>
      </w:r>
    </w:p>
    <w:p w14:paraId="06A9AE59" w14:textId="77777777" w:rsidR="00611ACE" w:rsidRDefault="00611ACE" w:rsidP="003C3B71">
      <w:pPr>
        <w:pStyle w:val="ListParagraph"/>
        <w:autoSpaceDE w:val="0"/>
        <w:autoSpaceDN w:val="0"/>
        <w:adjustRightInd w:val="0"/>
        <w:ind w:left="0"/>
        <w:jc w:val="both"/>
        <w:rPr>
          <w:lang w:val="en-GB"/>
        </w:rPr>
      </w:pPr>
    </w:p>
    <w:p w14:paraId="5C8462DF" w14:textId="038C17B2" w:rsidR="00E532E4" w:rsidRPr="0064787B" w:rsidRDefault="0064787B" w:rsidP="0064787B">
      <w:pPr>
        <w:autoSpaceDE w:val="0"/>
        <w:autoSpaceDN w:val="0"/>
        <w:adjustRightInd w:val="0"/>
        <w:jc w:val="both"/>
        <w:rPr>
          <w:lang w:val="en-GB"/>
        </w:rPr>
      </w:pPr>
      <w:r>
        <w:rPr>
          <w:lang w:val="en-GB"/>
        </w:rPr>
        <w:lastRenderedPageBreak/>
        <w:t>[2]</w:t>
      </w:r>
      <w:r>
        <w:rPr>
          <w:lang w:val="en-GB"/>
        </w:rPr>
        <w:tab/>
      </w:r>
      <w:r w:rsidR="00E27D63" w:rsidRPr="0064787B">
        <w:rPr>
          <w:lang w:val="en-GB"/>
        </w:rPr>
        <w:t xml:space="preserve">The applicant’s attorneys at the time (‘Shamla Pather Attorneys’) failed to remove the irregularity or to take any other step. The matter was enrolled by the respondent and the particulars of claim were declared irregular by this </w:t>
      </w:r>
      <w:r w:rsidR="003C3B71" w:rsidRPr="0064787B">
        <w:rPr>
          <w:lang w:val="en-GB"/>
        </w:rPr>
        <w:t>C</w:t>
      </w:r>
      <w:r w:rsidR="00E27D63" w:rsidRPr="0064787B">
        <w:rPr>
          <w:lang w:val="en-GB"/>
        </w:rPr>
        <w:t>ourt on 10 December 2019</w:t>
      </w:r>
      <w:r w:rsidR="001F581C" w:rsidRPr="0064787B">
        <w:rPr>
          <w:lang w:val="en-GB"/>
        </w:rPr>
        <w:t xml:space="preserve"> </w:t>
      </w:r>
      <w:r w:rsidR="00EB30AF" w:rsidRPr="0064787B">
        <w:rPr>
          <w:lang w:val="en-GB"/>
        </w:rPr>
        <w:t xml:space="preserve">(‘the Griffiths J </w:t>
      </w:r>
      <w:r w:rsidR="002C53BD" w:rsidRPr="0064787B">
        <w:rPr>
          <w:lang w:val="en-GB"/>
        </w:rPr>
        <w:t>o</w:t>
      </w:r>
      <w:r w:rsidR="00EB30AF" w:rsidRPr="0064787B">
        <w:rPr>
          <w:lang w:val="en-GB"/>
        </w:rPr>
        <w:t>rder’)</w:t>
      </w:r>
      <w:r w:rsidR="00E27D63" w:rsidRPr="0064787B">
        <w:rPr>
          <w:lang w:val="en-GB"/>
        </w:rPr>
        <w:t>.</w:t>
      </w:r>
      <w:r w:rsidR="004C03FA" w:rsidRPr="0064787B">
        <w:rPr>
          <w:lang w:val="en-GB"/>
        </w:rPr>
        <w:t xml:space="preserve"> The applicant was afforded a period of ten days from this date to remove the irregularity, failing which the respondent was granted leave to apply on the same papers for the dismissal of the claim. </w:t>
      </w:r>
      <w:r w:rsidR="00E532E4" w:rsidRPr="0064787B">
        <w:rPr>
          <w:lang w:val="en-GB"/>
        </w:rPr>
        <w:t xml:space="preserve"> The irregularity was still not removed, resulting in an application to dismiss the action</w:t>
      </w:r>
      <w:r w:rsidR="005400B9" w:rsidRPr="0064787B">
        <w:rPr>
          <w:lang w:val="en-GB"/>
        </w:rPr>
        <w:t xml:space="preserve"> </w:t>
      </w:r>
      <w:r w:rsidR="00527DB7" w:rsidRPr="0064787B">
        <w:rPr>
          <w:lang w:val="en-GB"/>
        </w:rPr>
        <w:t xml:space="preserve">(‘the dismissal application’) </w:t>
      </w:r>
      <w:r w:rsidR="005400B9" w:rsidRPr="0064787B">
        <w:rPr>
          <w:lang w:val="en-GB"/>
        </w:rPr>
        <w:t>some six months later</w:t>
      </w:r>
      <w:r w:rsidR="00E532E4" w:rsidRPr="0064787B">
        <w:rPr>
          <w:lang w:val="en-GB"/>
        </w:rPr>
        <w:t>, which was granted on 9 June 2020</w:t>
      </w:r>
      <w:r w:rsidR="00063299" w:rsidRPr="0064787B">
        <w:rPr>
          <w:lang w:val="en-GB"/>
        </w:rPr>
        <w:t xml:space="preserve"> (‘the Dukada AJ order’)</w:t>
      </w:r>
      <w:r w:rsidR="00E532E4" w:rsidRPr="0064787B">
        <w:rPr>
          <w:lang w:val="en-GB"/>
        </w:rPr>
        <w:t>.</w:t>
      </w:r>
    </w:p>
    <w:p w14:paraId="5DD1E358" w14:textId="77777777" w:rsidR="00E532E4" w:rsidRPr="00E532E4" w:rsidRDefault="00E532E4" w:rsidP="003C3B71">
      <w:pPr>
        <w:pStyle w:val="ListParagraph"/>
        <w:ind w:left="0"/>
        <w:rPr>
          <w:lang w:val="en-GB"/>
        </w:rPr>
      </w:pPr>
    </w:p>
    <w:p w14:paraId="0B6C964B" w14:textId="39ED9AC9" w:rsidR="00AC7EC6" w:rsidRPr="0064787B" w:rsidRDefault="0064787B" w:rsidP="0064787B">
      <w:pPr>
        <w:autoSpaceDE w:val="0"/>
        <w:autoSpaceDN w:val="0"/>
        <w:adjustRightInd w:val="0"/>
        <w:jc w:val="both"/>
        <w:rPr>
          <w:lang w:val="en-GB"/>
        </w:rPr>
      </w:pPr>
      <w:r>
        <w:rPr>
          <w:lang w:val="en-GB"/>
        </w:rPr>
        <w:t>[3]</w:t>
      </w:r>
      <w:r>
        <w:rPr>
          <w:lang w:val="en-GB"/>
        </w:rPr>
        <w:tab/>
      </w:r>
      <w:r w:rsidR="00564638" w:rsidRPr="0064787B">
        <w:rPr>
          <w:lang w:val="en-GB"/>
        </w:rPr>
        <w:t xml:space="preserve">The applicant claims that it was never informed of </w:t>
      </w:r>
      <w:r w:rsidR="00A836F7" w:rsidRPr="0064787B">
        <w:rPr>
          <w:lang w:val="en-GB"/>
        </w:rPr>
        <w:t xml:space="preserve">the </w:t>
      </w:r>
      <w:r w:rsidR="00C32A67" w:rsidRPr="0064787B">
        <w:rPr>
          <w:lang w:val="en-GB"/>
        </w:rPr>
        <w:t>Griffiths J</w:t>
      </w:r>
      <w:r w:rsidR="00564638" w:rsidRPr="0064787B">
        <w:rPr>
          <w:lang w:val="en-GB"/>
        </w:rPr>
        <w:t xml:space="preserve"> order by Shamla Pather Attorneys</w:t>
      </w:r>
      <w:r w:rsidR="003D74B2" w:rsidRPr="0064787B">
        <w:rPr>
          <w:lang w:val="en-GB"/>
        </w:rPr>
        <w:t xml:space="preserve"> and only became aware of this on 3 November 2021</w:t>
      </w:r>
      <w:r w:rsidR="00564638" w:rsidRPr="0064787B">
        <w:rPr>
          <w:lang w:val="en-GB"/>
        </w:rPr>
        <w:t>.</w:t>
      </w:r>
      <w:r w:rsidR="00010481" w:rsidRPr="0064787B">
        <w:rPr>
          <w:lang w:val="en-GB"/>
        </w:rPr>
        <w:t xml:space="preserve"> </w:t>
      </w:r>
      <w:r w:rsidR="003D74B2" w:rsidRPr="0064787B">
        <w:rPr>
          <w:lang w:val="en-GB"/>
        </w:rPr>
        <w:t>By that time, the mandate of Shamla Pather Attorneys had been terminated.</w:t>
      </w:r>
      <w:r w:rsidR="00C23A29" w:rsidRPr="0064787B">
        <w:rPr>
          <w:lang w:val="en-GB"/>
        </w:rPr>
        <w:t xml:space="preserve"> The applicant</w:t>
      </w:r>
      <w:r w:rsidR="00746145" w:rsidRPr="0064787B">
        <w:rPr>
          <w:lang w:val="en-GB"/>
        </w:rPr>
        <w:t xml:space="preserve"> was uncertain about the status of the action. Its</w:t>
      </w:r>
      <w:r w:rsidR="00C23A29" w:rsidRPr="0064787B">
        <w:rPr>
          <w:lang w:val="en-GB"/>
        </w:rPr>
        <w:t xml:space="preserve"> new </w:t>
      </w:r>
      <w:r w:rsidR="003C3B71" w:rsidRPr="0064787B">
        <w:rPr>
          <w:lang w:val="en-GB"/>
        </w:rPr>
        <w:t xml:space="preserve">legal </w:t>
      </w:r>
      <w:r w:rsidR="00C23A29" w:rsidRPr="0064787B">
        <w:rPr>
          <w:lang w:val="en-GB"/>
        </w:rPr>
        <w:t xml:space="preserve">representatives communicated with correspondent attorneys and, eventually, the representatives of the respondent (on 20 December 2021, 12 January 2022 and 18 January 2022). </w:t>
      </w:r>
      <w:r w:rsidR="004863C0" w:rsidRPr="0064787B">
        <w:rPr>
          <w:lang w:val="en-GB"/>
        </w:rPr>
        <w:t>Only on 19 January 2022 did it become clear to the applicant that the action had been dismissed</w:t>
      </w:r>
      <w:r w:rsidR="00EE1D76" w:rsidRPr="0064787B">
        <w:rPr>
          <w:lang w:val="en-GB"/>
        </w:rPr>
        <w:t xml:space="preserve"> with costs.</w:t>
      </w:r>
      <w:r w:rsidR="007A2EB5" w:rsidRPr="0064787B">
        <w:rPr>
          <w:lang w:val="en-GB"/>
        </w:rPr>
        <w:t xml:space="preserve"> </w:t>
      </w:r>
      <w:r w:rsidR="00AC7EC6" w:rsidRPr="0064787B">
        <w:rPr>
          <w:lang w:val="en-GB"/>
        </w:rPr>
        <w:t>An application for rescission of judgment was launched on 16 February 2022.</w:t>
      </w:r>
    </w:p>
    <w:p w14:paraId="5FCE6069" w14:textId="77777777" w:rsidR="00AC7EC6" w:rsidRPr="00AC7EC6" w:rsidRDefault="00AC7EC6" w:rsidP="003C3B71">
      <w:pPr>
        <w:pStyle w:val="ListParagraph"/>
        <w:ind w:left="0"/>
        <w:rPr>
          <w:lang w:val="en-GB"/>
        </w:rPr>
      </w:pPr>
    </w:p>
    <w:p w14:paraId="2CD62A96" w14:textId="480086C5" w:rsidR="00705F57" w:rsidRPr="0064787B" w:rsidRDefault="0064787B" w:rsidP="0064787B">
      <w:pPr>
        <w:autoSpaceDE w:val="0"/>
        <w:autoSpaceDN w:val="0"/>
        <w:adjustRightInd w:val="0"/>
        <w:jc w:val="both"/>
        <w:rPr>
          <w:lang w:val="en-GB"/>
        </w:rPr>
      </w:pPr>
      <w:r w:rsidRPr="00705F57">
        <w:rPr>
          <w:lang w:val="en-GB"/>
        </w:rPr>
        <w:t>[4]</w:t>
      </w:r>
      <w:r w:rsidRPr="00705F57">
        <w:rPr>
          <w:lang w:val="en-GB"/>
        </w:rPr>
        <w:tab/>
      </w:r>
      <w:r w:rsidR="007A2EB5" w:rsidRPr="0064787B">
        <w:rPr>
          <w:lang w:val="en-GB"/>
        </w:rPr>
        <w:t xml:space="preserve">The applicant lays the blame for this </w:t>
      </w:r>
      <w:r w:rsidR="000A1743" w:rsidRPr="0064787B">
        <w:rPr>
          <w:lang w:val="en-GB"/>
        </w:rPr>
        <w:t>situation</w:t>
      </w:r>
      <w:r w:rsidR="007A2EB5" w:rsidRPr="0064787B">
        <w:rPr>
          <w:lang w:val="en-GB"/>
        </w:rPr>
        <w:t xml:space="preserve"> </w:t>
      </w:r>
      <w:r w:rsidR="00AC7EC6" w:rsidRPr="0064787B">
        <w:rPr>
          <w:lang w:val="en-GB"/>
        </w:rPr>
        <w:t xml:space="preserve">squarely </w:t>
      </w:r>
      <w:r w:rsidR="007A2EB5" w:rsidRPr="0064787B">
        <w:rPr>
          <w:lang w:val="en-GB"/>
        </w:rPr>
        <w:t>on Shamla Pather Attorneys</w:t>
      </w:r>
      <w:r w:rsidR="00AC7EC6" w:rsidRPr="0064787B">
        <w:rPr>
          <w:lang w:val="en-GB"/>
        </w:rPr>
        <w:t>, and argues that, in these circumstances, the application for rescission has been launched</w:t>
      </w:r>
      <w:r w:rsidR="0035364A" w:rsidRPr="0064787B">
        <w:rPr>
          <w:lang w:val="en-GB"/>
        </w:rPr>
        <w:t xml:space="preserve"> timeously</w:t>
      </w:r>
      <w:r w:rsidR="00F436EC" w:rsidRPr="0064787B">
        <w:rPr>
          <w:lang w:val="en-GB"/>
        </w:rPr>
        <w:t>. It seeks to re-enter the action, amend its particulars of claim and prosecute the action to finality.</w:t>
      </w:r>
      <w:r w:rsidR="00AC7EC6" w:rsidRPr="0064787B">
        <w:rPr>
          <w:lang w:val="en-GB"/>
        </w:rPr>
        <w:t xml:space="preserve"> </w:t>
      </w:r>
    </w:p>
    <w:p w14:paraId="351AC391" w14:textId="77777777" w:rsidR="00902C55" w:rsidRPr="00D625B8" w:rsidRDefault="00902C55" w:rsidP="003C3B71">
      <w:pPr>
        <w:rPr>
          <w:lang w:val="en-GB"/>
        </w:rPr>
      </w:pPr>
    </w:p>
    <w:p w14:paraId="6BD713AD" w14:textId="1C62A6BA" w:rsidR="00902C55" w:rsidRPr="0064787B" w:rsidRDefault="0064787B" w:rsidP="0064787B">
      <w:pPr>
        <w:autoSpaceDE w:val="0"/>
        <w:autoSpaceDN w:val="0"/>
        <w:adjustRightInd w:val="0"/>
        <w:jc w:val="both"/>
        <w:rPr>
          <w:lang w:val="en-GB"/>
        </w:rPr>
      </w:pPr>
      <w:r w:rsidRPr="00705F57">
        <w:rPr>
          <w:lang w:val="en-GB"/>
        </w:rPr>
        <w:t>[5]</w:t>
      </w:r>
      <w:r w:rsidRPr="00705F57">
        <w:rPr>
          <w:lang w:val="en-GB"/>
        </w:rPr>
        <w:tab/>
      </w:r>
      <w:r w:rsidR="00F617C5" w:rsidRPr="0064787B">
        <w:rPr>
          <w:lang w:val="en-GB"/>
        </w:rPr>
        <w:t xml:space="preserve">The respondent denies that </w:t>
      </w:r>
      <w:r w:rsidR="00D855BB" w:rsidRPr="0064787B">
        <w:rPr>
          <w:lang w:val="en-GB"/>
        </w:rPr>
        <w:t>he</w:t>
      </w:r>
      <w:r w:rsidR="00F617C5" w:rsidRPr="0064787B">
        <w:rPr>
          <w:lang w:val="en-GB"/>
        </w:rPr>
        <w:t xml:space="preserve"> breached any contract with the applicant or that </w:t>
      </w:r>
      <w:r w:rsidR="00100475" w:rsidRPr="0064787B">
        <w:rPr>
          <w:lang w:val="en-GB"/>
        </w:rPr>
        <w:t>he</w:t>
      </w:r>
      <w:r w:rsidR="00F617C5" w:rsidRPr="0064787B">
        <w:rPr>
          <w:lang w:val="en-GB"/>
        </w:rPr>
        <w:t xml:space="preserve"> owes any money premised on an alleged breach.</w:t>
      </w:r>
      <w:r w:rsidR="00D855BB" w:rsidRPr="0064787B">
        <w:rPr>
          <w:lang w:val="en-GB"/>
        </w:rPr>
        <w:t xml:space="preserve"> </w:t>
      </w:r>
      <w:r w:rsidR="004610BC" w:rsidRPr="0064787B">
        <w:rPr>
          <w:lang w:val="en-GB"/>
        </w:rPr>
        <w:t>He argues that the applicant</w:t>
      </w:r>
      <w:r w:rsidR="003E5C0E" w:rsidRPr="0064787B">
        <w:rPr>
          <w:lang w:val="en-GB"/>
        </w:rPr>
        <w:t xml:space="preserve"> had chosen its own representative</w:t>
      </w:r>
      <w:r w:rsidR="005D0653" w:rsidRPr="0064787B">
        <w:rPr>
          <w:lang w:val="en-GB"/>
        </w:rPr>
        <w:t>s</w:t>
      </w:r>
      <w:r w:rsidR="003E5C0E" w:rsidRPr="0064787B">
        <w:rPr>
          <w:lang w:val="en-GB"/>
        </w:rPr>
        <w:t xml:space="preserve"> freely</w:t>
      </w:r>
      <w:r w:rsidR="0002087A" w:rsidRPr="0064787B">
        <w:rPr>
          <w:lang w:val="en-GB"/>
        </w:rPr>
        <w:t xml:space="preserve">, that his representatives had pointed out the irregularity and that </w:t>
      </w:r>
      <w:r w:rsidR="00D10BB4" w:rsidRPr="0064787B">
        <w:rPr>
          <w:lang w:val="en-GB"/>
        </w:rPr>
        <w:t xml:space="preserve">the </w:t>
      </w:r>
      <w:r w:rsidR="00AF06DF" w:rsidRPr="0064787B">
        <w:rPr>
          <w:lang w:val="en-GB"/>
        </w:rPr>
        <w:t>Griffiths J</w:t>
      </w:r>
      <w:r w:rsidR="0002087A" w:rsidRPr="0064787B">
        <w:rPr>
          <w:lang w:val="en-GB"/>
        </w:rPr>
        <w:t xml:space="preserve"> order had been ignored</w:t>
      </w:r>
      <w:r w:rsidR="0045287C" w:rsidRPr="0064787B">
        <w:rPr>
          <w:lang w:val="en-GB"/>
        </w:rPr>
        <w:t>, despite being served on Shamla Pather Attorneys</w:t>
      </w:r>
      <w:r w:rsidR="00BE5BBA" w:rsidRPr="0064787B">
        <w:rPr>
          <w:lang w:val="en-GB"/>
        </w:rPr>
        <w:t xml:space="preserve">. </w:t>
      </w:r>
      <w:r w:rsidR="00D10BB4" w:rsidRPr="0064787B">
        <w:rPr>
          <w:lang w:val="en-GB"/>
        </w:rPr>
        <w:t xml:space="preserve">Five months later, an application to dismiss the claim was served in terms of the Uniform Rules. </w:t>
      </w:r>
      <w:r w:rsidR="00F80B2D" w:rsidRPr="0064787B">
        <w:rPr>
          <w:lang w:val="en-GB"/>
        </w:rPr>
        <w:t>Again,</w:t>
      </w:r>
      <w:r w:rsidR="00D10BB4" w:rsidRPr="0064787B">
        <w:rPr>
          <w:lang w:val="en-GB"/>
        </w:rPr>
        <w:t xml:space="preserve"> there was no response</w:t>
      </w:r>
      <w:r w:rsidR="006A5216" w:rsidRPr="0064787B">
        <w:rPr>
          <w:lang w:val="en-GB"/>
        </w:rPr>
        <w:t xml:space="preserve"> and a</w:t>
      </w:r>
      <w:r w:rsidR="007F3B81" w:rsidRPr="0064787B">
        <w:rPr>
          <w:lang w:val="en-GB"/>
        </w:rPr>
        <w:t xml:space="preserve"> judgment </w:t>
      </w:r>
      <w:r w:rsidR="00D146A1" w:rsidRPr="0064787B">
        <w:rPr>
          <w:lang w:val="en-GB"/>
        </w:rPr>
        <w:t xml:space="preserve">dismissing the action </w:t>
      </w:r>
      <w:r w:rsidR="006A5216" w:rsidRPr="0064787B">
        <w:rPr>
          <w:lang w:val="en-GB"/>
        </w:rPr>
        <w:t>was obtained</w:t>
      </w:r>
      <w:r w:rsidR="00D10BB4" w:rsidRPr="0064787B">
        <w:rPr>
          <w:lang w:val="en-GB"/>
        </w:rPr>
        <w:t xml:space="preserve">. </w:t>
      </w:r>
      <w:r w:rsidR="00621A24" w:rsidRPr="0064787B">
        <w:rPr>
          <w:lang w:val="en-GB"/>
        </w:rPr>
        <w:t>The</w:t>
      </w:r>
      <w:r w:rsidR="001F581C" w:rsidRPr="0064787B">
        <w:rPr>
          <w:lang w:val="en-GB"/>
        </w:rPr>
        <w:t xml:space="preserve"> respondent submits that there</w:t>
      </w:r>
      <w:r w:rsidR="00621A24" w:rsidRPr="0064787B">
        <w:rPr>
          <w:lang w:val="en-GB"/>
        </w:rPr>
        <w:t xml:space="preserve"> must be limits to a litigant’s ability to escape the consequences of the conduct of its legal representatives, and</w:t>
      </w:r>
      <w:r w:rsidR="00A40D03" w:rsidRPr="0064787B">
        <w:rPr>
          <w:lang w:val="en-GB"/>
        </w:rPr>
        <w:t xml:space="preserve"> the applicant should not</w:t>
      </w:r>
      <w:r w:rsidR="004610BC" w:rsidRPr="0064787B">
        <w:rPr>
          <w:lang w:val="en-GB"/>
        </w:rPr>
        <w:t xml:space="preserve"> </w:t>
      </w:r>
      <w:r w:rsidR="00F5490E" w:rsidRPr="0064787B">
        <w:rPr>
          <w:lang w:val="en-GB"/>
        </w:rPr>
        <w:t>succeed in claiming the relief sought</w:t>
      </w:r>
      <w:r w:rsidR="00621A24" w:rsidRPr="0064787B">
        <w:rPr>
          <w:lang w:val="en-GB"/>
        </w:rPr>
        <w:t>.</w:t>
      </w:r>
      <w:r w:rsidR="00F5490E" w:rsidRPr="0064787B">
        <w:rPr>
          <w:lang w:val="en-GB"/>
        </w:rPr>
        <w:t xml:space="preserve"> </w:t>
      </w:r>
    </w:p>
    <w:p w14:paraId="3FAB9FCA" w14:textId="7AFFD95B" w:rsidR="00455E37" w:rsidRDefault="00455E37" w:rsidP="003C3B71">
      <w:pPr>
        <w:autoSpaceDE w:val="0"/>
        <w:autoSpaceDN w:val="0"/>
        <w:adjustRightInd w:val="0"/>
        <w:jc w:val="both"/>
        <w:rPr>
          <w:lang w:val="en-GB"/>
        </w:rPr>
      </w:pPr>
    </w:p>
    <w:p w14:paraId="4442624F" w14:textId="56CFD3BC" w:rsidR="00455E37" w:rsidRDefault="00455E37" w:rsidP="003C3B71">
      <w:pPr>
        <w:autoSpaceDE w:val="0"/>
        <w:autoSpaceDN w:val="0"/>
        <w:adjustRightInd w:val="0"/>
        <w:jc w:val="both"/>
        <w:rPr>
          <w:b/>
          <w:bCs/>
          <w:lang w:val="en-GB"/>
        </w:rPr>
      </w:pPr>
      <w:r>
        <w:rPr>
          <w:b/>
          <w:bCs/>
          <w:lang w:val="en-GB"/>
        </w:rPr>
        <w:t>Rescission</w:t>
      </w:r>
      <w:r w:rsidR="00862359">
        <w:rPr>
          <w:b/>
          <w:bCs/>
          <w:lang w:val="en-GB"/>
        </w:rPr>
        <w:t>: Uniform Rule 42(1)</w:t>
      </w:r>
    </w:p>
    <w:p w14:paraId="4411F586" w14:textId="77777777" w:rsidR="00455E37" w:rsidRPr="00455E37" w:rsidRDefault="00455E37" w:rsidP="003C3B71">
      <w:pPr>
        <w:autoSpaceDE w:val="0"/>
        <w:autoSpaceDN w:val="0"/>
        <w:adjustRightInd w:val="0"/>
        <w:jc w:val="both"/>
        <w:rPr>
          <w:b/>
          <w:bCs/>
          <w:lang w:val="en-GB"/>
        </w:rPr>
      </w:pPr>
    </w:p>
    <w:p w14:paraId="104A4BD8" w14:textId="6332D310" w:rsidR="00AC7BD5" w:rsidRPr="0064787B" w:rsidRDefault="0064787B" w:rsidP="0064787B">
      <w:pPr>
        <w:autoSpaceDE w:val="0"/>
        <w:autoSpaceDN w:val="0"/>
        <w:adjustRightInd w:val="0"/>
        <w:jc w:val="both"/>
        <w:rPr>
          <w:lang w:val="en-GB"/>
        </w:rPr>
      </w:pPr>
      <w:r>
        <w:rPr>
          <w:lang w:val="en-GB"/>
        </w:rPr>
        <w:t>[6]</w:t>
      </w:r>
      <w:r>
        <w:rPr>
          <w:lang w:val="en-GB"/>
        </w:rPr>
        <w:tab/>
      </w:r>
      <w:r w:rsidR="00787BAB" w:rsidRPr="0064787B">
        <w:rPr>
          <w:lang w:val="en-GB"/>
        </w:rPr>
        <w:t>There are three ways in which a judgment taken in the absence of one of the parties may be set aside, namely in terms of Uniform Rule 31(2)</w:t>
      </w:r>
      <w:r w:rsidR="00787BAB" w:rsidRPr="0064787B">
        <w:rPr>
          <w:i/>
          <w:iCs/>
          <w:lang w:val="en-GB"/>
        </w:rPr>
        <w:t>(b)</w:t>
      </w:r>
      <w:r w:rsidR="00787BAB" w:rsidRPr="0064787B">
        <w:rPr>
          <w:lang w:val="en-GB"/>
        </w:rPr>
        <w:t>, in terms of Uniform Rule 42(1) or in terms of the common law.</w:t>
      </w:r>
      <w:r w:rsidR="0066553E" w:rsidRPr="0064787B">
        <w:rPr>
          <w:lang w:val="en-GB"/>
        </w:rPr>
        <w:t xml:space="preserve"> Uniform Rule 31(2)</w:t>
      </w:r>
      <w:r w:rsidR="0066553E" w:rsidRPr="0064787B">
        <w:rPr>
          <w:i/>
          <w:iCs/>
          <w:lang w:val="en-GB"/>
        </w:rPr>
        <w:t>(b)</w:t>
      </w:r>
      <w:r w:rsidR="0066553E" w:rsidRPr="0064787B">
        <w:rPr>
          <w:lang w:val="en-GB"/>
        </w:rPr>
        <w:t xml:space="preserve"> is irrelevant for present purposes. </w:t>
      </w:r>
    </w:p>
    <w:p w14:paraId="0D4C56DE" w14:textId="77777777" w:rsidR="00AC7BD5" w:rsidRPr="00AC7BD5" w:rsidRDefault="00AC7BD5" w:rsidP="003C3B71">
      <w:pPr>
        <w:pStyle w:val="ListParagraph"/>
        <w:ind w:left="0"/>
        <w:rPr>
          <w:lang w:val="en-GB"/>
        </w:rPr>
      </w:pPr>
    </w:p>
    <w:p w14:paraId="48EF6EC8" w14:textId="6AE1F754" w:rsidR="00E57C72" w:rsidRPr="0064787B" w:rsidRDefault="0064787B" w:rsidP="0064787B">
      <w:pPr>
        <w:autoSpaceDE w:val="0"/>
        <w:autoSpaceDN w:val="0"/>
        <w:adjustRightInd w:val="0"/>
        <w:jc w:val="both"/>
        <w:rPr>
          <w:lang w:val="en-GB"/>
        </w:rPr>
      </w:pPr>
      <w:r>
        <w:rPr>
          <w:lang w:val="en-GB"/>
        </w:rPr>
        <w:t>[7]</w:t>
      </w:r>
      <w:r>
        <w:rPr>
          <w:lang w:val="en-GB"/>
        </w:rPr>
        <w:tab/>
      </w:r>
      <w:r w:rsidR="00CE62E4" w:rsidRPr="0064787B">
        <w:rPr>
          <w:lang w:val="en-GB"/>
        </w:rPr>
        <w:t xml:space="preserve">As to rescission in terms of Uniform Rule 42(1), courts have a discretion </w:t>
      </w:r>
      <w:r w:rsidR="00F80B2D" w:rsidRPr="0064787B">
        <w:rPr>
          <w:lang w:val="en-GB"/>
        </w:rPr>
        <w:t>whether</w:t>
      </w:r>
      <w:r w:rsidR="00CE62E4" w:rsidRPr="0064787B">
        <w:rPr>
          <w:lang w:val="en-GB"/>
        </w:rPr>
        <w:t xml:space="preserve"> to grant an application for rescission under this subrule</w:t>
      </w:r>
      <w:r w:rsidR="0074432B" w:rsidRPr="0064787B">
        <w:rPr>
          <w:lang w:val="en-GB"/>
        </w:rPr>
        <w:t xml:space="preserve">, which involves a procedural step </w:t>
      </w:r>
      <w:r w:rsidR="00F80B2D" w:rsidRPr="0064787B">
        <w:rPr>
          <w:lang w:val="en-GB"/>
        </w:rPr>
        <w:t>to</w:t>
      </w:r>
      <w:r w:rsidR="00CE62E4" w:rsidRPr="0064787B">
        <w:rPr>
          <w:lang w:val="en-GB"/>
        </w:rPr>
        <w:t xml:space="preserve"> ‘correct expeditiously an obviously wrong judgment or order’.</w:t>
      </w:r>
      <w:r w:rsidR="00DD489F">
        <w:rPr>
          <w:rStyle w:val="FootnoteReference"/>
          <w:lang w:val="en-GB"/>
        </w:rPr>
        <w:footnoteReference w:id="1"/>
      </w:r>
      <w:r w:rsidR="00752CE7" w:rsidRPr="0064787B">
        <w:rPr>
          <w:lang w:val="en-GB"/>
        </w:rPr>
        <w:t xml:space="preserve"> Uniform Rule 42(1)</w:t>
      </w:r>
      <w:r w:rsidR="00752CE7" w:rsidRPr="0064787B">
        <w:rPr>
          <w:i/>
          <w:iCs/>
          <w:lang w:val="en-GB"/>
        </w:rPr>
        <w:t>(a)</w:t>
      </w:r>
      <w:r w:rsidR="00752CE7" w:rsidRPr="0064787B">
        <w:rPr>
          <w:lang w:val="en-GB"/>
        </w:rPr>
        <w:t xml:space="preserve"> refers to rescission of ‘an order or judgment erroneously sought or erroneously granted in the absence of any party affected thereby’. </w:t>
      </w:r>
      <w:r w:rsidR="00AC7BD5" w:rsidRPr="0064787B">
        <w:rPr>
          <w:lang w:val="en-GB"/>
        </w:rPr>
        <w:t xml:space="preserve">Courts have accepted, in general terms, </w:t>
      </w:r>
      <w:r w:rsidR="007576FF" w:rsidRPr="0064787B">
        <w:rPr>
          <w:lang w:val="en-GB"/>
        </w:rPr>
        <w:t>that a judgment is ‘erroneously granted’ if there existed at the time of its issue a fact of which the court is unaware, which would have precluded the granting of the judgment. In other words, had the court been aware of such a fact it would have been induced not to grant the judgment.</w:t>
      </w:r>
      <w:r w:rsidR="008A0E92">
        <w:rPr>
          <w:rStyle w:val="FootnoteReference"/>
          <w:lang w:val="en-GB"/>
        </w:rPr>
        <w:footnoteReference w:id="2"/>
      </w:r>
    </w:p>
    <w:p w14:paraId="00082698" w14:textId="77777777" w:rsidR="00AC7BD5" w:rsidRPr="00AC7BD5" w:rsidRDefault="00AC7BD5" w:rsidP="003C3B71">
      <w:pPr>
        <w:pStyle w:val="ListParagraph"/>
        <w:ind w:left="0"/>
        <w:rPr>
          <w:lang w:val="en-GB"/>
        </w:rPr>
      </w:pPr>
    </w:p>
    <w:p w14:paraId="423F8169" w14:textId="25E62950" w:rsidR="00F80B2D" w:rsidRPr="0064787B" w:rsidRDefault="0064787B" w:rsidP="0064787B">
      <w:pPr>
        <w:autoSpaceDE w:val="0"/>
        <w:autoSpaceDN w:val="0"/>
        <w:adjustRightInd w:val="0"/>
        <w:jc w:val="both"/>
        <w:rPr>
          <w:lang w:val="en-GB"/>
        </w:rPr>
      </w:pPr>
      <w:r>
        <w:rPr>
          <w:lang w:val="en-GB"/>
        </w:rPr>
        <w:t>[8]</w:t>
      </w:r>
      <w:r>
        <w:rPr>
          <w:lang w:val="en-GB"/>
        </w:rPr>
        <w:tab/>
      </w:r>
      <w:r w:rsidR="00C42EF1" w:rsidRPr="0064787B">
        <w:rPr>
          <w:lang w:val="en-GB"/>
        </w:rPr>
        <w:t>A judgment to which a party is procedurally entitled cannot be considered to have been granted erroneously within the meaning of this subrule, even though the court may not have been aware of certain facts at the time of granting the judgment.</w:t>
      </w:r>
      <w:r w:rsidR="009B5B7E">
        <w:rPr>
          <w:rStyle w:val="FootnoteReference"/>
          <w:lang w:val="en-GB"/>
        </w:rPr>
        <w:footnoteReference w:id="3"/>
      </w:r>
      <w:r w:rsidR="007D1D15" w:rsidRPr="0064787B">
        <w:rPr>
          <w:lang w:val="en-GB"/>
        </w:rPr>
        <w:t xml:space="preserve"> Importantly, the courts have consistently refused rescission in terms of this rule where there was no irregularity in the proceedings and the party in default relied on the negligence or physical incapacity of his attorney.</w:t>
      </w:r>
    </w:p>
    <w:p w14:paraId="7793C05A" w14:textId="77777777" w:rsidR="00E5374C" w:rsidRPr="00E5374C" w:rsidRDefault="00E5374C" w:rsidP="003C3B71">
      <w:pPr>
        <w:pStyle w:val="ListParagraph"/>
        <w:ind w:left="0"/>
        <w:rPr>
          <w:lang w:val="en-GB"/>
        </w:rPr>
      </w:pPr>
    </w:p>
    <w:p w14:paraId="591ABFA2" w14:textId="556DE9BB" w:rsidR="00021E0E" w:rsidRPr="0064787B" w:rsidRDefault="0064787B" w:rsidP="0064787B">
      <w:pPr>
        <w:autoSpaceDE w:val="0"/>
        <w:autoSpaceDN w:val="0"/>
        <w:adjustRightInd w:val="0"/>
        <w:jc w:val="both"/>
        <w:rPr>
          <w:lang w:val="en-GB"/>
        </w:rPr>
      </w:pPr>
      <w:r>
        <w:rPr>
          <w:lang w:val="en-GB"/>
        </w:rPr>
        <w:t>[9]</w:t>
      </w:r>
      <w:r>
        <w:rPr>
          <w:lang w:val="en-GB"/>
        </w:rPr>
        <w:tab/>
      </w:r>
      <w:r w:rsidR="00021E0E" w:rsidRPr="0064787B">
        <w:rPr>
          <w:lang w:val="en-GB"/>
        </w:rPr>
        <w:t>Put differently, an order is ‘erroneously granted’ if it was legally incompetent for the court to have made such an order, if there was an irregularity in the proceedings or if the court was unaware of facts which, if known to it, would have precluded it from a procedural point of view from making the order.</w:t>
      </w:r>
      <w:r w:rsidR="00393A62">
        <w:rPr>
          <w:rStyle w:val="FootnoteReference"/>
          <w:lang w:val="en-GB"/>
        </w:rPr>
        <w:footnoteReference w:id="4"/>
      </w:r>
      <w:r w:rsidR="00DB070A" w:rsidRPr="0064787B">
        <w:rPr>
          <w:lang w:val="en-GB"/>
        </w:rPr>
        <w:t xml:space="preserve"> What is effectively being rescinded </w:t>
      </w:r>
      <w:r w:rsidR="00DB070A" w:rsidRPr="0064787B">
        <w:rPr>
          <w:lang w:val="en-GB"/>
        </w:rPr>
        <w:lastRenderedPageBreak/>
        <w:t>is the procedure in terms of which the judgment was granted, and therefore, by necessary implication, also the judgment.</w:t>
      </w:r>
      <w:r w:rsidR="00795203">
        <w:rPr>
          <w:rStyle w:val="FootnoteReference"/>
          <w:lang w:val="en-GB"/>
        </w:rPr>
        <w:footnoteReference w:id="5"/>
      </w:r>
      <w:r w:rsidR="003C7955" w:rsidRPr="0064787B">
        <w:rPr>
          <w:lang w:val="en-GB"/>
        </w:rPr>
        <w:t xml:space="preserve"> By contrast, a judgment to which a party is procedurally entitled cannot be considered to have been erroneously granted by reason of facts of which the judge who granted the judgment, as they were entitled to do, was unaware.</w:t>
      </w:r>
      <w:r w:rsidR="00C43060">
        <w:rPr>
          <w:rStyle w:val="FootnoteReference"/>
          <w:lang w:val="en-GB"/>
        </w:rPr>
        <w:footnoteReference w:id="6"/>
      </w:r>
    </w:p>
    <w:p w14:paraId="72369C90" w14:textId="496ED11D" w:rsidR="00021E0E" w:rsidRDefault="00021E0E" w:rsidP="003C3B71">
      <w:pPr>
        <w:rPr>
          <w:lang w:val="en-GB"/>
        </w:rPr>
      </w:pPr>
    </w:p>
    <w:p w14:paraId="3B591D47" w14:textId="603B7958" w:rsidR="00FE08C3" w:rsidRPr="005C0075" w:rsidRDefault="00FE08C3" w:rsidP="003C3B71">
      <w:pPr>
        <w:rPr>
          <w:b/>
          <w:bCs/>
          <w:i/>
          <w:iCs/>
          <w:lang w:val="en-GB"/>
        </w:rPr>
      </w:pPr>
      <w:r w:rsidRPr="005C0075">
        <w:rPr>
          <w:b/>
          <w:bCs/>
          <w:i/>
          <w:iCs/>
          <w:lang w:val="en-GB"/>
        </w:rPr>
        <w:t>The Griffiths J</w:t>
      </w:r>
      <w:r w:rsidR="001222C9" w:rsidRPr="005C0075">
        <w:rPr>
          <w:b/>
          <w:bCs/>
          <w:i/>
          <w:iCs/>
          <w:lang w:val="en-GB"/>
        </w:rPr>
        <w:t xml:space="preserve"> </w:t>
      </w:r>
      <w:r w:rsidR="002C53BD">
        <w:rPr>
          <w:b/>
          <w:bCs/>
          <w:i/>
          <w:iCs/>
          <w:lang w:val="en-GB"/>
        </w:rPr>
        <w:t>o</w:t>
      </w:r>
      <w:r w:rsidR="001222C9" w:rsidRPr="005C0075">
        <w:rPr>
          <w:b/>
          <w:bCs/>
          <w:i/>
          <w:iCs/>
          <w:lang w:val="en-GB"/>
        </w:rPr>
        <w:t>rder</w:t>
      </w:r>
    </w:p>
    <w:p w14:paraId="74933773" w14:textId="77777777" w:rsidR="00FE08C3" w:rsidRPr="00FE08C3" w:rsidRDefault="00FE08C3" w:rsidP="003C3B71">
      <w:pPr>
        <w:rPr>
          <w:b/>
          <w:bCs/>
          <w:lang w:val="en-GB"/>
        </w:rPr>
      </w:pPr>
    </w:p>
    <w:p w14:paraId="364455FE" w14:textId="682DA979" w:rsidR="00D5506F" w:rsidRPr="0064787B" w:rsidRDefault="0064787B" w:rsidP="0064787B">
      <w:pPr>
        <w:autoSpaceDE w:val="0"/>
        <w:autoSpaceDN w:val="0"/>
        <w:adjustRightInd w:val="0"/>
        <w:jc w:val="both"/>
        <w:rPr>
          <w:lang w:val="en-GB"/>
        </w:rPr>
      </w:pPr>
      <w:r>
        <w:rPr>
          <w:lang w:val="en-GB"/>
        </w:rPr>
        <w:t>[10]</w:t>
      </w:r>
      <w:r>
        <w:rPr>
          <w:lang w:val="en-GB"/>
        </w:rPr>
        <w:tab/>
      </w:r>
      <w:r w:rsidR="008E1390" w:rsidRPr="0064787B">
        <w:rPr>
          <w:lang w:val="en-GB"/>
        </w:rPr>
        <w:t>Counsel</w:t>
      </w:r>
      <w:r w:rsidR="00AA7EB7" w:rsidRPr="0064787B">
        <w:rPr>
          <w:lang w:val="en-GB"/>
        </w:rPr>
        <w:t xml:space="preserve"> for the applicant, submitted </w:t>
      </w:r>
      <w:r w:rsidR="009A6886" w:rsidRPr="0064787B">
        <w:rPr>
          <w:lang w:val="en-GB"/>
        </w:rPr>
        <w:t xml:space="preserve">in heads of argument </w:t>
      </w:r>
      <w:r w:rsidR="00AA7EB7" w:rsidRPr="0064787B">
        <w:rPr>
          <w:lang w:val="en-GB"/>
        </w:rPr>
        <w:t xml:space="preserve">that the Griffiths J order was unusual given that the applicant had been afforded the opportunity to remove the irregularity within ten days of the ‘granting of the Order’, as opposed to after service of the order. </w:t>
      </w:r>
      <w:r w:rsidR="009A6886" w:rsidRPr="0064787B">
        <w:rPr>
          <w:lang w:val="en-GB"/>
        </w:rPr>
        <w:t>As there had been no attempt to serve the order within ten days after it had been granted, the applicant could not comply within the prescribed time period. In addition, it was argued that neither Rule 30 nor Rule 30A provide for dismissal of a claim. As a result, so the argument goes, the Dukada AJ order was erroneously sought or granted.</w:t>
      </w:r>
    </w:p>
    <w:p w14:paraId="33395E50" w14:textId="77777777" w:rsidR="00BD7A30" w:rsidRPr="00BD7A30" w:rsidRDefault="00BD7A30" w:rsidP="003C3B71">
      <w:pPr>
        <w:pStyle w:val="ListParagraph"/>
        <w:ind w:left="0"/>
        <w:rPr>
          <w:lang w:val="en-GB"/>
        </w:rPr>
      </w:pPr>
    </w:p>
    <w:p w14:paraId="46E0A57C" w14:textId="7D3C290B" w:rsidR="00BD7A30" w:rsidRPr="0064787B" w:rsidRDefault="0064787B" w:rsidP="0064787B">
      <w:pPr>
        <w:autoSpaceDE w:val="0"/>
        <w:autoSpaceDN w:val="0"/>
        <w:adjustRightInd w:val="0"/>
        <w:jc w:val="both"/>
        <w:rPr>
          <w:lang w:val="en-GB"/>
        </w:rPr>
      </w:pPr>
      <w:r>
        <w:rPr>
          <w:lang w:val="en-GB"/>
        </w:rPr>
        <w:t>[11]</w:t>
      </w:r>
      <w:r>
        <w:rPr>
          <w:lang w:val="en-GB"/>
        </w:rPr>
        <w:tab/>
      </w:r>
      <w:r w:rsidR="00965B24" w:rsidRPr="0064787B">
        <w:rPr>
          <w:lang w:val="en-GB"/>
        </w:rPr>
        <w:t xml:space="preserve">That argument overlooks the sequence of events and the nature of the order issued by Griffiths J. The learned judge was faced with an application in terms of Uniform Rule 30 launched during November 2019. </w:t>
      </w:r>
      <w:r w:rsidR="00EA48FF" w:rsidRPr="0064787B">
        <w:rPr>
          <w:lang w:val="en-GB"/>
        </w:rPr>
        <w:t>That application included, as a supporting document, a ‘notice in terms of Rule 30 alternatively Rule 30A’. There is no suggestion on the papers that the various associated notices were not served on the correspondent attorneys of the applicant’s attorneys of record.</w:t>
      </w:r>
      <w:r w:rsidR="006074D4" w:rsidRPr="0064787B">
        <w:rPr>
          <w:lang w:val="en-GB"/>
        </w:rPr>
        <w:t xml:space="preserve"> As already indicated, the Griffiths J order held that the particulars of claim were irregular and the applicant was afforded ten days ‘… from the date of grant of this order to remove the irregularity, failing which the Applicant be granted leave to make an application on the same papers duly amplified for the dismissal of the Plaintiff’s claim’</w:t>
      </w:r>
      <w:r w:rsidR="0086282E" w:rsidRPr="0064787B">
        <w:rPr>
          <w:lang w:val="en-GB"/>
        </w:rPr>
        <w:t>.</w:t>
      </w:r>
    </w:p>
    <w:p w14:paraId="1FD391A4" w14:textId="77777777" w:rsidR="00C81343" w:rsidRPr="00C81343" w:rsidRDefault="00C81343" w:rsidP="003C3B71">
      <w:pPr>
        <w:pStyle w:val="ListParagraph"/>
        <w:ind w:left="0"/>
        <w:rPr>
          <w:lang w:val="en-GB"/>
        </w:rPr>
      </w:pPr>
    </w:p>
    <w:p w14:paraId="0EDBC2F9" w14:textId="4DF0D9EA" w:rsidR="00C81343" w:rsidRPr="0064787B" w:rsidRDefault="0064787B" w:rsidP="0064787B">
      <w:pPr>
        <w:autoSpaceDE w:val="0"/>
        <w:autoSpaceDN w:val="0"/>
        <w:adjustRightInd w:val="0"/>
        <w:jc w:val="both"/>
        <w:rPr>
          <w:lang w:val="en-GB"/>
        </w:rPr>
      </w:pPr>
      <w:r>
        <w:rPr>
          <w:lang w:val="en-GB"/>
        </w:rPr>
        <w:t>[12]</w:t>
      </w:r>
      <w:r>
        <w:rPr>
          <w:lang w:val="en-GB"/>
        </w:rPr>
        <w:tab/>
      </w:r>
      <w:r w:rsidR="007E1B16" w:rsidRPr="0064787B">
        <w:rPr>
          <w:lang w:val="en-GB"/>
        </w:rPr>
        <w:t>The respondent relied upon Uniform Rule 30 in its application.</w:t>
      </w:r>
      <w:r w:rsidR="007F2C17" w:rsidRPr="0064787B">
        <w:rPr>
          <w:lang w:val="en-GB"/>
        </w:rPr>
        <w:t xml:space="preserve"> </w:t>
      </w:r>
      <w:r w:rsidR="00AA5AC3" w:rsidRPr="0064787B">
        <w:rPr>
          <w:lang w:val="en-GB"/>
        </w:rPr>
        <w:t xml:space="preserve">Uniform Rule 30 gives a court wide power in cases where an irregular step has been taken. It may set aside such a step and grant leave to amend ‘or make any such order as </w:t>
      </w:r>
      <w:r w:rsidR="00C96524" w:rsidRPr="0064787B">
        <w:rPr>
          <w:lang w:val="en-GB"/>
        </w:rPr>
        <w:t xml:space="preserve">to it seems </w:t>
      </w:r>
      <w:r w:rsidR="00C96524" w:rsidRPr="0064787B">
        <w:rPr>
          <w:lang w:val="en-GB"/>
        </w:rPr>
        <w:lastRenderedPageBreak/>
        <w:t>meet’.</w:t>
      </w:r>
      <w:r w:rsidR="007E1B16" w:rsidRPr="0064787B">
        <w:rPr>
          <w:lang w:val="en-GB"/>
        </w:rPr>
        <w:t xml:space="preserve"> </w:t>
      </w:r>
      <w:r w:rsidR="00AA5AC3" w:rsidRPr="0064787B">
        <w:rPr>
          <w:lang w:val="en-GB"/>
        </w:rPr>
        <w:t xml:space="preserve"> </w:t>
      </w:r>
      <w:r w:rsidR="005D5DE8" w:rsidRPr="0064787B">
        <w:rPr>
          <w:lang w:val="en-GB"/>
        </w:rPr>
        <w:t>In terms of subrule (3), it was open to Griffiths J, having declared the particulars of claim to be irregular, to grant the applicant an opportunity to remove the irregularity, as the learned judge did. It was within the discretion of the court to add</w:t>
      </w:r>
      <w:r w:rsidR="00AE7D4C" w:rsidRPr="0064787B">
        <w:rPr>
          <w:lang w:val="en-GB"/>
        </w:rPr>
        <w:t xml:space="preserve">, upon consideration of the material before court and with due regard to fairness, that the respondent was entitled to apply on the same papers duly amplified </w:t>
      </w:r>
      <w:r w:rsidR="003318B5" w:rsidRPr="0064787B">
        <w:rPr>
          <w:lang w:val="en-GB"/>
        </w:rPr>
        <w:t>for the dismissal of the claim, in the event that the irregularity was not removed within a period of ten days.</w:t>
      </w:r>
      <w:r w:rsidR="00CE6C5E" w:rsidRPr="0064787B">
        <w:rPr>
          <w:lang w:val="en-GB"/>
        </w:rPr>
        <w:t xml:space="preserve"> That order was clear, even though it may have been unusually crafted.</w:t>
      </w:r>
      <w:r w:rsidR="00CE6C5E">
        <w:rPr>
          <w:rStyle w:val="FootnoteReference"/>
          <w:lang w:val="en-GB"/>
        </w:rPr>
        <w:footnoteReference w:id="7"/>
      </w:r>
      <w:r w:rsidR="009D72BD" w:rsidRPr="0064787B">
        <w:rPr>
          <w:lang w:val="en-GB"/>
        </w:rPr>
        <w:t xml:space="preserve"> </w:t>
      </w:r>
      <w:r w:rsidR="00CF5992" w:rsidRPr="0064787B">
        <w:rPr>
          <w:lang w:val="en-GB"/>
        </w:rPr>
        <w:t>It cannot be said to be erroneous.</w:t>
      </w:r>
      <w:r w:rsidR="00A50FA9">
        <w:rPr>
          <w:rStyle w:val="FootnoteReference"/>
          <w:lang w:val="en-GB"/>
        </w:rPr>
        <w:footnoteReference w:id="8"/>
      </w:r>
      <w:r w:rsidR="00CF5992" w:rsidRPr="0064787B">
        <w:rPr>
          <w:lang w:val="en-GB"/>
        </w:rPr>
        <w:t xml:space="preserve"> </w:t>
      </w:r>
      <w:r w:rsidR="009D72BD" w:rsidRPr="0064787B">
        <w:rPr>
          <w:lang w:val="en-GB"/>
        </w:rPr>
        <w:t>It has not been the subject of any appeal</w:t>
      </w:r>
      <w:r w:rsidR="00B27152" w:rsidRPr="0064787B">
        <w:rPr>
          <w:lang w:val="en-GB"/>
        </w:rPr>
        <w:t xml:space="preserve"> and </w:t>
      </w:r>
      <w:r w:rsidR="00ED177B" w:rsidRPr="0064787B">
        <w:rPr>
          <w:lang w:val="en-GB"/>
        </w:rPr>
        <w:t>remained binding in the absence of any decision to set it aside. It also does not fall within the narrow band of orders considered invalid by reason of having been made without jurisdiction.</w:t>
      </w:r>
      <w:r w:rsidR="00AC1997">
        <w:rPr>
          <w:rStyle w:val="FootnoteReference"/>
          <w:lang w:val="en-GB"/>
        </w:rPr>
        <w:footnoteReference w:id="9"/>
      </w:r>
    </w:p>
    <w:p w14:paraId="103891D9" w14:textId="3D05AEDB" w:rsidR="00BF180A" w:rsidRDefault="00BF180A" w:rsidP="003C3B71">
      <w:pPr>
        <w:autoSpaceDE w:val="0"/>
        <w:autoSpaceDN w:val="0"/>
        <w:adjustRightInd w:val="0"/>
        <w:jc w:val="both"/>
        <w:rPr>
          <w:lang w:val="en-GB"/>
        </w:rPr>
      </w:pPr>
    </w:p>
    <w:p w14:paraId="1E11D88F" w14:textId="20E66D80" w:rsidR="00BF180A" w:rsidRPr="005C0075" w:rsidRDefault="00BF180A" w:rsidP="003C3B71">
      <w:pPr>
        <w:autoSpaceDE w:val="0"/>
        <w:autoSpaceDN w:val="0"/>
        <w:adjustRightInd w:val="0"/>
        <w:jc w:val="both"/>
        <w:rPr>
          <w:b/>
          <w:bCs/>
          <w:i/>
          <w:iCs/>
          <w:lang w:val="en-GB"/>
        </w:rPr>
      </w:pPr>
      <w:r w:rsidRPr="005C0075">
        <w:rPr>
          <w:b/>
          <w:bCs/>
          <w:i/>
          <w:iCs/>
          <w:lang w:val="en-GB"/>
        </w:rPr>
        <w:t xml:space="preserve">The </w:t>
      </w:r>
      <w:r w:rsidR="00D3247E" w:rsidRPr="005C0075">
        <w:rPr>
          <w:b/>
          <w:bCs/>
          <w:i/>
          <w:iCs/>
          <w:lang w:val="en-GB"/>
        </w:rPr>
        <w:t>effect of ‘dismissal’ of an action</w:t>
      </w:r>
    </w:p>
    <w:p w14:paraId="1245A900" w14:textId="77777777" w:rsidR="001620E4" w:rsidRDefault="001620E4" w:rsidP="003C3B71">
      <w:pPr>
        <w:pStyle w:val="ListParagraph"/>
        <w:autoSpaceDE w:val="0"/>
        <w:autoSpaceDN w:val="0"/>
        <w:adjustRightInd w:val="0"/>
        <w:ind w:left="0"/>
        <w:jc w:val="both"/>
        <w:rPr>
          <w:lang w:val="en-GB"/>
        </w:rPr>
      </w:pPr>
    </w:p>
    <w:p w14:paraId="143E50DA" w14:textId="5C25E7FD" w:rsidR="00DF601C" w:rsidRPr="0064787B" w:rsidRDefault="0064787B" w:rsidP="0064787B">
      <w:pPr>
        <w:autoSpaceDE w:val="0"/>
        <w:autoSpaceDN w:val="0"/>
        <w:adjustRightInd w:val="0"/>
        <w:jc w:val="both"/>
        <w:rPr>
          <w:lang w:val="en-GB"/>
        </w:rPr>
      </w:pPr>
      <w:r>
        <w:rPr>
          <w:lang w:val="en-GB"/>
        </w:rPr>
        <w:t>[13]</w:t>
      </w:r>
      <w:r>
        <w:rPr>
          <w:lang w:val="en-GB"/>
        </w:rPr>
        <w:tab/>
      </w:r>
      <w:r w:rsidR="00793034" w:rsidRPr="0064787B">
        <w:rPr>
          <w:lang w:val="en-GB"/>
        </w:rPr>
        <w:t xml:space="preserve">As with the application that served before Griffiths J, the </w:t>
      </w:r>
      <w:r w:rsidR="00553851" w:rsidRPr="0064787B">
        <w:rPr>
          <w:lang w:val="en-GB"/>
        </w:rPr>
        <w:t xml:space="preserve">dismissal </w:t>
      </w:r>
      <w:r w:rsidR="00793034" w:rsidRPr="0064787B">
        <w:rPr>
          <w:lang w:val="en-GB"/>
        </w:rPr>
        <w:t xml:space="preserve">application was served on the correspondent attorneys chosen by </w:t>
      </w:r>
      <w:r w:rsidR="001F581C" w:rsidRPr="0064787B">
        <w:rPr>
          <w:lang w:val="en-GB"/>
        </w:rPr>
        <w:t>the applicant’s</w:t>
      </w:r>
      <w:r w:rsidR="00793034" w:rsidRPr="0064787B">
        <w:rPr>
          <w:lang w:val="en-GB"/>
        </w:rPr>
        <w:t xml:space="preserve"> attorneys of record. </w:t>
      </w:r>
      <w:r w:rsidR="00EE3737" w:rsidRPr="0064787B">
        <w:rPr>
          <w:lang w:val="en-GB"/>
        </w:rPr>
        <w:t xml:space="preserve">There is no dispute in this respect. </w:t>
      </w:r>
      <w:r w:rsidR="00793034" w:rsidRPr="0064787B">
        <w:rPr>
          <w:lang w:val="en-GB"/>
        </w:rPr>
        <w:t>Uniform Rule 4(1)</w:t>
      </w:r>
      <w:r w:rsidR="00793034" w:rsidRPr="0064787B">
        <w:rPr>
          <w:i/>
          <w:iCs/>
          <w:lang w:val="en-GB"/>
        </w:rPr>
        <w:t xml:space="preserve">(aA) </w:t>
      </w:r>
      <w:r w:rsidR="00DF601C" w:rsidRPr="0064787B">
        <w:rPr>
          <w:lang w:val="en-GB"/>
        </w:rPr>
        <w:t>provides authority for this:</w:t>
      </w:r>
      <w:r w:rsidR="00F039DA">
        <w:rPr>
          <w:rStyle w:val="FootnoteReference"/>
          <w:lang w:val="en-GB"/>
        </w:rPr>
        <w:footnoteReference w:id="10"/>
      </w:r>
      <w:r w:rsidR="00DF601C" w:rsidRPr="0064787B">
        <w:rPr>
          <w:lang w:val="en-GB"/>
        </w:rPr>
        <w:t xml:space="preserve"> </w:t>
      </w:r>
    </w:p>
    <w:p w14:paraId="25422923" w14:textId="59DBD723" w:rsidR="001620E4" w:rsidRPr="00DF601C" w:rsidRDefault="00DF601C" w:rsidP="003C3B71">
      <w:pPr>
        <w:autoSpaceDE w:val="0"/>
        <w:autoSpaceDN w:val="0"/>
        <w:adjustRightInd w:val="0"/>
        <w:jc w:val="both"/>
        <w:rPr>
          <w:sz w:val="22"/>
          <w:szCs w:val="22"/>
          <w:lang w:val="en-GB"/>
        </w:rPr>
      </w:pPr>
      <w:r w:rsidRPr="00DF601C">
        <w:rPr>
          <w:sz w:val="22"/>
          <w:szCs w:val="22"/>
          <w:lang w:val="en-GB"/>
        </w:rPr>
        <w:t>‘Where the person</w:t>
      </w:r>
      <w:r>
        <w:rPr>
          <w:sz w:val="22"/>
          <w:szCs w:val="22"/>
          <w:lang w:val="en-GB"/>
        </w:rPr>
        <w:t xml:space="preserve"> to be served with any document initiating application proceedings is </w:t>
      </w:r>
      <w:r w:rsidR="004853C6">
        <w:rPr>
          <w:sz w:val="22"/>
          <w:szCs w:val="22"/>
          <w:lang w:val="en-GB"/>
        </w:rPr>
        <w:t>already represented by an attorney of record, such document may be served upon such attorney by the party initiating such proceedings.’</w:t>
      </w:r>
    </w:p>
    <w:p w14:paraId="76A3C5F0" w14:textId="77777777" w:rsidR="00D5506F" w:rsidRPr="00D5506F" w:rsidRDefault="00D5506F" w:rsidP="003C3B71">
      <w:pPr>
        <w:pStyle w:val="ListParagraph"/>
        <w:ind w:left="0"/>
        <w:rPr>
          <w:lang w:val="en-GB"/>
        </w:rPr>
      </w:pPr>
    </w:p>
    <w:p w14:paraId="54B8274D" w14:textId="487BFEA7" w:rsidR="00527DB7" w:rsidRPr="0064787B" w:rsidRDefault="0064787B" w:rsidP="0064787B">
      <w:pPr>
        <w:autoSpaceDE w:val="0"/>
        <w:autoSpaceDN w:val="0"/>
        <w:adjustRightInd w:val="0"/>
        <w:jc w:val="both"/>
        <w:rPr>
          <w:lang w:val="en-GB"/>
        </w:rPr>
      </w:pPr>
      <w:r>
        <w:rPr>
          <w:lang w:val="en-GB"/>
        </w:rPr>
        <w:t>[14]</w:t>
      </w:r>
      <w:r>
        <w:rPr>
          <w:lang w:val="en-GB"/>
        </w:rPr>
        <w:tab/>
      </w:r>
      <w:r w:rsidR="00527DB7" w:rsidRPr="0064787B">
        <w:rPr>
          <w:lang w:val="en-GB"/>
        </w:rPr>
        <w:t xml:space="preserve">The </w:t>
      </w:r>
      <w:r w:rsidR="00F1379E" w:rsidRPr="0064787B">
        <w:rPr>
          <w:lang w:val="en-GB"/>
        </w:rPr>
        <w:t xml:space="preserve">founding affidavit to the dismissal </w:t>
      </w:r>
      <w:r w:rsidR="00527DB7" w:rsidRPr="0064787B">
        <w:rPr>
          <w:lang w:val="en-GB"/>
        </w:rPr>
        <w:t xml:space="preserve">application </w:t>
      </w:r>
      <w:r w:rsidR="00F1379E" w:rsidRPr="0064787B">
        <w:rPr>
          <w:lang w:val="en-GB"/>
        </w:rPr>
        <w:t>summarised the events leading up to the Griffiths J order. It added that the respondent had taken the additional step</w:t>
      </w:r>
      <w:r w:rsidR="007769C3" w:rsidRPr="0064787B">
        <w:rPr>
          <w:lang w:val="en-GB"/>
        </w:rPr>
        <w:t>, on 6 March 2020,</w:t>
      </w:r>
      <w:r w:rsidR="00F1379E" w:rsidRPr="0064787B">
        <w:rPr>
          <w:lang w:val="en-GB"/>
        </w:rPr>
        <w:t xml:space="preserve"> of addressing correspondence to the applicant’s legal representatives bringing the existence of the Griffiths J order to their attention</w:t>
      </w:r>
      <w:r w:rsidR="007769C3" w:rsidRPr="0064787B">
        <w:rPr>
          <w:lang w:val="en-GB"/>
        </w:rPr>
        <w:t xml:space="preserve"> and enclosing a copy. </w:t>
      </w:r>
      <w:r w:rsidR="002E2578" w:rsidRPr="0064787B">
        <w:rPr>
          <w:lang w:val="en-GB"/>
        </w:rPr>
        <w:t xml:space="preserve">It was emphasised that Griffiths J had granted leave to the respondent to approach the court in the event that the particulars of claim remained unamended, and that the respondent was suffering prejudice by the applicant’s </w:t>
      </w:r>
      <w:r w:rsidR="002E2578" w:rsidRPr="0064787B">
        <w:rPr>
          <w:lang w:val="en-GB"/>
        </w:rPr>
        <w:lastRenderedPageBreak/>
        <w:t>persistent non-compliance.</w:t>
      </w:r>
      <w:r w:rsidR="007E4B37" w:rsidRPr="0064787B">
        <w:rPr>
          <w:lang w:val="en-GB"/>
        </w:rPr>
        <w:t xml:space="preserve"> </w:t>
      </w:r>
      <w:r w:rsidR="001F0E67" w:rsidRPr="0064787B">
        <w:rPr>
          <w:lang w:val="en-GB"/>
        </w:rPr>
        <w:t xml:space="preserve">On the strength of these papers, </w:t>
      </w:r>
      <w:r w:rsidR="007E4B37" w:rsidRPr="0064787B">
        <w:rPr>
          <w:lang w:val="en-GB"/>
        </w:rPr>
        <w:t xml:space="preserve">Dukada AJ granted the order dismissing the applicant’s </w:t>
      </w:r>
      <w:r w:rsidR="00A564F5" w:rsidRPr="0064787B">
        <w:rPr>
          <w:lang w:val="en-GB"/>
        </w:rPr>
        <w:t>action</w:t>
      </w:r>
      <w:r w:rsidR="00CF2113" w:rsidRPr="0064787B">
        <w:rPr>
          <w:lang w:val="en-GB"/>
        </w:rPr>
        <w:t>, including the costs of the main action and of the dismissal application</w:t>
      </w:r>
      <w:r w:rsidR="001F0E67" w:rsidRPr="0064787B">
        <w:rPr>
          <w:lang w:val="en-GB"/>
        </w:rPr>
        <w:t>.</w:t>
      </w:r>
    </w:p>
    <w:p w14:paraId="38565588" w14:textId="77777777" w:rsidR="00123C49" w:rsidRPr="00123C49" w:rsidRDefault="00123C49" w:rsidP="003C3B71">
      <w:pPr>
        <w:autoSpaceDE w:val="0"/>
        <w:autoSpaceDN w:val="0"/>
        <w:adjustRightInd w:val="0"/>
        <w:jc w:val="both"/>
        <w:rPr>
          <w:b/>
          <w:bCs/>
          <w:lang w:val="en-GB"/>
        </w:rPr>
      </w:pPr>
    </w:p>
    <w:p w14:paraId="2C204D85" w14:textId="76F1C055" w:rsidR="0000616F" w:rsidRPr="0064787B" w:rsidRDefault="0064787B" w:rsidP="0064787B">
      <w:pPr>
        <w:autoSpaceDE w:val="0"/>
        <w:autoSpaceDN w:val="0"/>
        <w:adjustRightInd w:val="0"/>
        <w:jc w:val="both"/>
        <w:rPr>
          <w:lang w:val="en-GB"/>
        </w:rPr>
      </w:pPr>
      <w:r>
        <w:rPr>
          <w:lang w:val="en-GB"/>
        </w:rPr>
        <w:t>[15]</w:t>
      </w:r>
      <w:r>
        <w:rPr>
          <w:lang w:val="en-GB"/>
        </w:rPr>
        <w:tab/>
      </w:r>
      <w:r w:rsidR="00042F4C" w:rsidRPr="0064787B">
        <w:rPr>
          <w:lang w:val="en-GB"/>
        </w:rPr>
        <w:t>What is the effect of a</w:t>
      </w:r>
      <w:r w:rsidR="00716F85" w:rsidRPr="0064787B">
        <w:rPr>
          <w:lang w:val="en-GB"/>
        </w:rPr>
        <w:t xml:space="preserve"> judgment </w:t>
      </w:r>
      <w:r w:rsidR="00042F4C" w:rsidRPr="0064787B">
        <w:rPr>
          <w:lang w:val="en-GB"/>
        </w:rPr>
        <w:t xml:space="preserve">dismissing an action? </w:t>
      </w:r>
      <w:r w:rsidR="005D0810" w:rsidRPr="0064787B">
        <w:rPr>
          <w:lang w:val="en-GB"/>
        </w:rPr>
        <w:t>A</w:t>
      </w:r>
      <w:r w:rsidR="00D73183" w:rsidRPr="0064787B">
        <w:rPr>
          <w:lang w:val="en-GB"/>
        </w:rPr>
        <w:t>t the conclusion of a trial, a</w:t>
      </w:r>
      <w:r w:rsidR="005D0810" w:rsidRPr="0064787B">
        <w:rPr>
          <w:lang w:val="en-GB"/>
        </w:rPr>
        <w:t xml:space="preserve"> court may grant judgment outright in favour of either party, or it may give absolution from the instance.</w:t>
      </w:r>
      <w:r w:rsidR="007923E9">
        <w:rPr>
          <w:rStyle w:val="FootnoteReference"/>
          <w:lang w:val="en-GB"/>
        </w:rPr>
        <w:footnoteReference w:id="11"/>
      </w:r>
      <w:r w:rsidR="007923E9" w:rsidRPr="0064787B">
        <w:rPr>
          <w:lang w:val="en-GB"/>
        </w:rPr>
        <w:t xml:space="preserve"> Dismissal of an action has</w:t>
      </w:r>
      <w:r w:rsidR="00880E5F" w:rsidRPr="0064787B">
        <w:rPr>
          <w:lang w:val="en-GB"/>
        </w:rPr>
        <w:t xml:space="preserve"> been equated with the latter</w:t>
      </w:r>
      <w:r w:rsidR="0000616F" w:rsidRPr="0064787B">
        <w:rPr>
          <w:lang w:val="en-GB"/>
        </w:rPr>
        <w:t>:</w:t>
      </w:r>
      <w:r w:rsidR="00785388">
        <w:rPr>
          <w:rStyle w:val="FootnoteReference"/>
          <w:lang w:val="en-GB"/>
        </w:rPr>
        <w:footnoteReference w:id="12"/>
      </w:r>
    </w:p>
    <w:p w14:paraId="03F5A8AF" w14:textId="10900ED7" w:rsidR="00C779A4" w:rsidRPr="0000616F" w:rsidRDefault="0000616F" w:rsidP="003C3B71">
      <w:pPr>
        <w:autoSpaceDE w:val="0"/>
        <w:autoSpaceDN w:val="0"/>
        <w:adjustRightInd w:val="0"/>
        <w:jc w:val="both"/>
        <w:rPr>
          <w:lang w:val="en-GB"/>
        </w:rPr>
      </w:pPr>
      <w:r>
        <w:rPr>
          <w:sz w:val="22"/>
          <w:szCs w:val="22"/>
          <w:lang w:val="en-GB"/>
        </w:rPr>
        <w:t>‘Thus a person may be discharged from the instance, though he is not freed from the action, as when a plaintiff does not appear on the due day, and the defendant thereupon is by virtue of the default able to obtain what has already been called, and will again be called “absolution from the instance”, with effect that he is discharged free of costs from the present ventilation of the claim, but can still be summoned and sued afresh.</w:t>
      </w:r>
      <w:r w:rsidR="00B80D32">
        <w:rPr>
          <w:sz w:val="22"/>
          <w:szCs w:val="22"/>
          <w:lang w:val="en-GB"/>
        </w:rPr>
        <w:t>”’</w:t>
      </w:r>
      <w:r w:rsidR="00B80D32">
        <w:rPr>
          <w:rStyle w:val="FootnoteReference"/>
          <w:sz w:val="22"/>
          <w:szCs w:val="22"/>
          <w:lang w:val="en-GB"/>
        </w:rPr>
        <w:footnoteReference w:id="13"/>
      </w:r>
      <w:r w:rsidR="007F3B81" w:rsidRPr="0000616F">
        <w:rPr>
          <w:lang w:val="en-GB"/>
        </w:rPr>
        <w:t xml:space="preserve"> </w:t>
      </w:r>
    </w:p>
    <w:p w14:paraId="0254EFE2" w14:textId="77777777" w:rsidR="00C779A4" w:rsidRPr="00C779A4" w:rsidRDefault="00C779A4" w:rsidP="003C3B71">
      <w:pPr>
        <w:pStyle w:val="ListParagraph"/>
        <w:ind w:left="0"/>
        <w:rPr>
          <w:lang w:val="en-GB"/>
        </w:rPr>
      </w:pPr>
    </w:p>
    <w:p w14:paraId="45C205A0" w14:textId="6FD1CFCB" w:rsidR="00F2006D" w:rsidRPr="0064787B" w:rsidRDefault="0064787B" w:rsidP="0064787B">
      <w:pPr>
        <w:autoSpaceDE w:val="0"/>
        <w:autoSpaceDN w:val="0"/>
        <w:adjustRightInd w:val="0"/>
        <w:jc w:val="both"/>
        <w:rPr>
          <w:lang w:val="en-GB"/>
        </w:rPr>
      </w:pPr>
      <w:r>
        <w:rPr>
          <w:lang w:val="en-GB"/>
        </w:rPr>
        <w:t>[16]</w:t>
      </w:r>
      <w:r>
        <w:rPr>
          <w:lang w:val="en-GB"/>
        </w:rPr>
        <w:tab/>
      </w:r>
      <w:r w:rsidR="00F2006D" w:rsidRPr="0064787B">
        <w:rPr>
          <w:lang w:val="en-GB"/>
        </w:rPr>
        <w:t xml:space="preserve">Cilliers </w:t>
      </w:r>
      <w:r w:rsidR="00F2006D" w:rsidRPr="0064787B">
        <w:rPr>
          <w:i/>
          <w:iCs/>
          <w:lang w:val="en-GB"/>
        </w:rPr>
        <w:t xml:space="preserve">et al </w:t>
      </w:r>
      <w:r w:rsidR="00F2006D" w:rsidRPr="0064787B">
        <w:rPr>
          <w:lang w:val="en-GB"/>
        </w:rPr>
        <w:t>suggest as follows:</w:t>
      </w:r>
      <w:r w:rsidR="006D40F6">
        <w:rPr>
          <w:rStyle w:val="FootnoteReference"/>
          <w:lang w:val="en-GB"/>
        </w:rPr>
        <w:footnoteReference w:id="14"/>
      </w:r>
    </w:p>
    <w:p w14:paraId="2DA08142" w14:textId="05C452D2" w:rsidR="00F2006D" w:rsidRPr="00F2006D" w:rsidRDefault="00F2006D" w:rsidP="003C3B71">
      <w:pPr>
        <w:pStyle w:val="ListParagraph"/>
        <w:autoSpaceDE w:val="0"/>
        <w:autoSpaceDN w:val="0"/>
        <w:adjustRightInd w:val="0"/>
        <w:ind w:left="0"/>
        <w:jc w:val="both"/>
        <w:rPr>
          <w:sz w:val="22"/>
          <w:szCs w:val="22"/>
          <w:lang w:val="en-GB"/>
        </w:rPr>
      </w:pPr>
      <w:r>
        <w:rPr>
          <w:sz w:val="22"/>
          <w:szCs w:val="22"/>
          <w:lang w:val="en-GB"/>
        </w:rPr>
        <w:t>‘As pointed out, the right of a defendant to apply to be absolved from the instance if the plaintiff does not appear when the trial is called, is in accordance with Roman-Dutch law. Although the rule only refers to non-appearance when a trial is called, there is no reason why a respondent would not have the right to similarly apply for absolution when the applicant does not appear when an opposed application is called. It is submitted that a court, in exercising its inherent jurisdiction, would adopt such a convenient and sensible procedure.’</w:t>
      </w:r>
    </w:p>
    <w:p w14:paraId="5F442932" w14:textId="77777777" w:rsidR="00F2006D" w:rsidRDefault="00F2006D" w:rsidP="003C3B71">
      <w:pPr>
        <w:pStyle w:val="ListParagraph"/>
        <w:autoSpaceDE w:val="0"/>
        <w:autoSpaceDN w:val="0"/>
        <w:adjustRightInd w:val="0"/>
        <w:ind w:left="0"/>
        <w:jc w:val="both"/>
        <w:rPr>
          <w:lang w:val="en-GB"/>
        </w:rPr>
      </w:pPr>
    </w:p>
    <w:p w14:paraId="05E2D272" w14:textId="440D8279" w:rsidR="00F9570B" w:rsidRPr="0064787B" w:rsidRDefault="0064787B" w:rsidP="0064787B">
      <w:pPr>
        <w:autoSpaceDE w:val="0"/>
        <w:autoSpaceDN w:val="0"/>
        <w:adjustRightInd w:val="0"/>
        <w:jc w:val="both"/>
        <w:rPr>
          <w:lang w:val="en-GB"/>
        </w:rPr>
      </w:pPr>
      <w:r>
        <w:rPr>
          <w:lang w:val="en-GB"/>
        </w:rPr>
        <w:t>[17]</w:t>
      </w:r>
      <w:r>
        <w:rPr>
          <w:lang w:val="en-GB"/>
        </w:rPr>
        <w:tab/>
      </w:r>
      <w:r w:rsidR="00864C82" w:rsidRPr="0064787B">
        <w:rPr>
          <w:lang w:val="en-GB"/>
        </w:rPr>
        <w:t xml:space="preserve">The authorities go beyond non-appearance ‘when the trial is called’. </w:t>
      </w:r>
      <w:r w:rsidR="0051179E" w:rsidRPr="0064787B">
        <w:rPr>
          <w:lang w:val="en-GB"/>
        </w:rPr>
        <w:t xml:space="preserve">In </w:t>
      </w:r>
      <w:r w:rsidR="0051179E" w:rsidRPr="0064787B">
        <w:rPr>
          <w:i/>
          <w:iCs/>
          <w:lang w:val="en-GB"/>
        </w:rPr>
        <w:t>Municipality of Christiana v Victor</w:t>
      </w:r>
      <w:r w:rsidR="00005A8A" w:rsidRPr="0064787B">
        <w:rPr>
          <w:lang w:val="en-GB"/>
        </w:rPr>
        <w:t>,</w:t>
      </w:r>
      <w:r w:rsidR="0051179E" w:rsidRPr="00005A8A">
        <w:rPr>
          <w:rStyle w:val="FootnoteReference"/>
          <w:lang w:val="en-GB"/>
        </w:rPr>
        <w:footnoteReference w:id="15"/>
      </w:r>
      <w:r w:rsidR="00005A8A" w:rsidRPr="0064787B">
        <w:rPr>
          <w:lang w:val="en-GB"/>
        </w:rPr>
        <w:t xml:space="preserve"> </w:t>
      </w:r>
      <w:r w:rsidR="0035330D" w:rsidRPr="0064787B">
        <w:rPr>
          <w:lang w:val="en-GB"/>
        </w:rPr>
        <w:t>a magistrate had entered judgment in the following terms: ‘Case dismissed with costs’</w:t>
      </w:r>
      <w:r w:rsidR="00701E48" w:rsidRPr="0064787B">
        <w:rPr>
          <w:lang w:val="en-GB"/>
        </w:rPr>
        <w:t>.</w:t>
      </w:r>
      <w:r w:rsidR="0035330D" w:rsidRPr="0064787B">
        <w:rPr>
          <w:lang w:val="en-GB"/>
        </w:rPr>
        <w:t xml:space="preserve"> On appeal, the court was asked to decide whether that order was equivalent to judgment of absolution or to judgment for the </w:t>
      </w:r>
      <w:r w:rsidR="0035330D" w:rsidRPr="0064787B">
        <w:rPr>
          <w:lang w:val="en-GB"/>
        </w:rPr>
        <w:lastRenderedPageBreak/>
        <w:t xml:space="preserve">defendant. </w:t>
      </w:r>
      <w:r w:rsidR="00A02461" w:rsidRPr="0064787B">
        <w:rPr>
          <w:lang w:val="en-GB"/>
        </w:rPr>
        <w:t>Innes CJ, on behalf of the full court, held that ‘… where a case is dismissed as a penalty for failure on the part of the plaintiff to comply with a discovery order, he is entitled to bring his action again, after payment of costs.’</w:t>
      </w:r>
      <w:r w:rsidR="004B30F4" w:rsidRPr="0064787B">
        <w:rPr>
          <w:lang w:val="en-GB"/>
        </w:rPr>
        <w:t xml:space="preserve"> </w:t>
      </w:r>
    </w:p>
    <w:p w14:paraId="20A0FFB9" w14:textId="77777777" w:rsidR="00F9570B" w:rsidRDefault="00F9570B" w:rsidP="003C3B71">
      <w:pPr>
        <w:pStyle w:val="ListParagraph"/>
        <w:autoSpaceDE w:val="0"/>
        <w:autoSpaceDN w:val="0"/>
        <w:adjustRightInd w:val="0"/>
        <w:ind w:left="0"/>
        <w:jc w:val="both"/>
        <w:rPr>
          <w:lang w:val="en-GB"/>
        </w:rPr>
      </w:pPr>
    </w:p>
    <w:p w14:paraId="633171FE" w14:textId="3E9E3BD9" w:rsidR="001C545F" w:rsidRPr="0064787B" w:rsidRDefault="0064787B" w:rsidP="0064787B">
      <w:pPr>
        <w:autoSpaceDE w:val="0"/>
        <w:autoSpaceDN w:val="0"/>
        <w:adjustRightInd w:val="0"/>
        <w:jc w:val="both"/>
        <w:rPr>
          <w:lang w:val="en-GB"/>
        </w:rPr>
      </w:pPr>
      <w:r>
        <w:rPr>
          <w:lang w:val="en-GB"/>
        </w:rPr>
        <w:t>[18]</w:t>
      </w:r>
      <w:r>
        <w:rPr>
          <w:lang w:val="en-GB"/>
        </w:rPr>
        <w:tab/>
      </w:r>
      <w:r w:rsidR="00F9570B" w:rsidRPr="0064787B">
        <w:rPr>
          <w:lang w:val="en-GB"/>
        </w:rPr>
        <w:t xml:space="preserve">In </w:t>
      </w:r>
      <w:r w:rsidR="00F9570B" w:rsidRPr="0064787B">
        <w:rPr>
          <w:i/>
          <w:iCs/>
          <w:lang w:val="en-GB"/>
        </w:rPr>
        <w:t>Becker v Wertheim, Becker &amp; Leveson</w:t>
      </w:r>
      <w:r w:rsidR="00F9570B" w:rsidRPr="0064787B">
        <w:rPr>
          <w:lang w:val="en-GB"/>
        </w:rPr>
        <w:t>,</w:t>
      </w:r>
      <w:r w:rsidR="006C765E">
        <w:rPr>
          <w:rStyle w:val="FootnoteReference"/>
          <w:lang w:val="en-GB"/>
        </w:rPr>
        <w:footnoteReference w:id="16"/>
      </w:r>
      <w:r w:rsidR="00F9570B" w:rsidRPr="0064787B">
        <w:rPr>
          <w:lang w:val="en-GB"/>
        </w:rPr>
        <w:t xml:space="preserve"> a judgment dismissing a plaintiff’s claim was held to be a judgment of absolution from the instance. </w:t>
      </w:r>
      <w:r w:rsidR="00F9570B" w:rsidRPr="0064787B">
        <w:rPr>
          <w:i/>
          <w:iCs/>
          <w:lang w:val="en-GB"/>
        </w:rPr>
        <w:t xml:space="preserve"> </w:t>
      </w:r>
      <w:r w:rsidR="00610927" w:rsidRPr="0064787B">
        <w:rPr>
          <w:lang w:val="en-GB"/>
        </w:rPr>
        <w:t xml:space="preserve">Similarly, in </w:t>
      </w:r>
      <w:r w:rsidR="00610927" w:rsidRPr="0064787B">
        <w:rPr>
          <w:i/>
          <w:iCs/>
          <w:lang w:val="en-GB"/>
        </w:rPr>
        <w:t>Eldred v Van Aardt &amp; Bell</w:t>
      </w:r>
      <w:r w:rsidR="00617ABE" w:rsidRPr="0064787B">
        <w:rPr>
          <w:lang w:val="en-GB"/>
        </w:rPr>
        <w:t>,</w:t>
      </w:r>
      <w:r w:rsidR="00610927" w:rsidRPr="00617ABE">
        <w:rPr>
          <w:rStyle w:val="FootnoteReference"/>
          <w:lang w:val="en-GB"/>
        </w:rPr>
        <w:footnoteReference w:id="17"/>
      </w:r>
      <w:r w:rsidR="00617ABE" w:rsidRPr="0064787B">
        <w:rPr>
          <w:lang w:val="en-GB"/>
        </w:rPr>
        <w:t xml:space="preserve"> </w:t>
      </w:r>
      <w:r w:rsidR="001C545F" w:rsidRPr="0064787B">
        <w:rPr>
          <w:lang w:val="en-GB"/>
        </w:rPr>
        <w:t>the court held as follows:</w:t>
      </w:r>
    </w:p>
    <w:p w14:paraId="656BEF50" w14:textId="6F0BD133" w:rsidR="0035330D" w:rsidRDefault="001C545F" w:rsidP="003C3B71">
      <w:pPr>
        <w:pStyle w:val="ListParagraph"/>
        <w:autoSpaceDE w:val="0"/>
        <w:autoSpaceDN w:val="0"/>
        <w:adjustRightInd w:val="0"/>
        <w:ind w:left="0"/>
        <w:jc w:val="both"/>
        <w:rPr>
          <w:lang w:val="en-GB"/>
        </w:rPr>
      </w:pPr>
      <w:r>
        <w:rPr>
          <w:sz w:val="22"/>
          <w:szCs w:val="22"/>
          <w:lang w:val="en-GB"/>
        </w:rPr>
        <w:t xml:space="preserve">‘It is clear that the dismissal of an action cannot as a general rule be regarded as a final judgment on which a defence of </w:t>
      </w:r>
      <w:r>
        <w:rPr>
          <w:i/>
          <w:iCs/>
          <w:sz w:val="22"/>
          <w:szCs w:val="22"/>
          <w:lang w:val="en-GB"/>
        </w:rPr>
        <w:t>res judicata</w:t>
      </w:r>
      <w:r>
        <w:rPr>
          <w:sz w:val="22"/>
          <w:szCs w:val="22"/>
          <w:lang w:val="en-GB"/>
        </w:rPr>
        <w:t xml:space="preserve"> might be based, but that it is equivalent to a decree of absolution from the instance.</w:t>
      </w:r>
      <w:r w:rsidR="004578A6">
        <w:rPr>
          <w:sz w:val="22"/>
          <w:szCs w:val="22"/>
          <w:lang w:val="en-GB"/>
        </w:rPr>
        <w:t>’</w:t>
      </w:r>
      <w:r w:rsidR="00610927" w:rsidRPr="00617ABE">
        <w:rPr>
          <w:lang w:val="en-GB"/>
        </w:rPr>
        <w:t xml:space="preserve"> </w:t>
      </w:r>
      <w:r w:rsidR="0051179E" w:rsidRPr="00617ABE">
        <w:rPr>
          <w:lang w:val="en-GB"/>
        </w:rPr>
        <w:t xml:space="preserve"> </w:t>
      </w:r>
    </w:p>
    <w:p w14:paraId="00158923" w14:textId="77777777" w:rsidR="00C76D9C" w:rsidRPr="00C76D9C" w:rsidRDefault="00C76D9C" w:rsidP="003C3B71">
      <w:pPr>
        <w:autoSpaceDE w:val="0"/>
        <w:autoSpaceDN w:val="0"/>
        <w:adjustRightInd w:val="0"/>
        <w:jc w:val="both"/>
        <w:rPr>
          <w:lang w:val="en-GB"/>
        </w:rPr>
      </w:pPr>
    </w:p>
    <w:p w14:paraId="031E0981" w14:textId="234E7461" w:rsidR="001F581C" w:rsidRPr="0064787B" w:rsidRDefault="0064787B" w:rsidP="0064787B">
      <w:pPr>
        <w:autoSpaceDE w:val="0"/>
        <w:autoSpaceDN w:val="0"/>
        <w:adjustRightInd w:val="0"/>
        <w:jc w:val="both"/>
        <w:rPr>
          <w:lang w:val="en-GB"/>
        </w:rPr>
      </w:pPr>
      <w:r>
        <w:rPr>
          <w:lang w:val="en-GB"/>
        </w:rPr>
        <w:t>[19]</w:t>
      </w:r>
      <w:r>
        <w:rPr>
          <w:lang w:val="en-GB"/>
        </w:rPr>
        <w:tab/>
      </w:r>
      <w:r w:rsidR="00C76D9C" w:rsidRPr="0064787B">
        <w:rPr>
          <w:lang w:val="en-GB"/>
        </w:rPr>
        <w:t>The upshot of this is that the respondent was only ‘discharged free of costs from the present ventilation of the claim’. The respondent was not completely freed from the action and could still have been summoned and sued afresh.</w:t>
      </w:r>
      <w:r w:rsidR="00C013DD">
        <w:rPr>
          <w:rStyle w:val="FootnoteReference"/>
          <w:lang w:val="en-GB"/>
        </w:rPr>
        <w:footnoteReference w:id="18"/>
      </w:r>
      <w:r w:rsidR="00C76D9C" w:rsidRPr="0064787B">
        <w:rPr>
          <w:lang w:val="en-GB"/>
        </w:rPr>
        <w:t xml:space="preserve"> </w:t>
      </w:r>
      <w:r w:rsidR="003F166F" w:rsidRPr="0064787B">
        <w:rPr>
          <w:lang w:val="en-GB"/>
        </w:rPr>
        <w:t xml:space="preserve">This </w:t>
      </w:r>
      <w:r w:rsidR="00A21549" w:rsidRPr="0064787B">
        <w:rPr>
          <w:lang w:val="en-GB"/>
        </w:rPr>
        <w:t>tempers</w:t>
      </w:r>
      <w:r w:rsidR="003F166F" w:rsidRPr="0064787B">
        <w:rPr>
          <w:lang w:val="en-GB"/>
        </w:rPr>
        <w:t xml:space="preserve"> the </w:t>
      </w:r>
      <w:r w:rsidR="00A21549" w:rsidRPr="0064787B">
        <w:rPr>
          <w:lang w:val="en-GB"/>
        </w:rPr>
        <w:t xml:space="preserve">seemingly drastic </w:t>
      </w:r>
      <w:r w:rsidR="0057649F" w:rsidRPr="0064787B">
        <w:rPr>
          <w:lang w:val="en-GB"/>
        </w:rPr>
        <w:t>consequence of a court exercising its discretion to bring a matter to finality in the absence of one of the parties</w:t>
      </w:r>
      <w:r w:rsidR="00436740" w:rsidRPr="0064787B">
        <w:rPr>
          <w:lang w:val="en-GB"/>
        </w:rPr>
        <w:t xml:space="preserve">, with potential implications for the </w:t>
      </w:r>
      <w:r w:rsidR="00843939" w:rsidRPr="0064787B">
        <w:rPr>
          <w:lang w:val="en-GB"/>
        </w:rPr>
        <w:t xml:space="preserve">constitutional </w:t>
      </w:r>
      <w:r w:rsidR="00436740" w:rsidRPr="0064787B">
        <w:rPr>
          <w:lang w:val="en-GB"/>
        </w:rPr>
        <w:t>right to have access to the courts.</w:t>
      </w:r>
      <w:r w:rsidR="00325CF2">
        <w:rPr>
          <w:rStyle w:val="FootnoteReference"/>
          <w:lang w:val="en-GB"/>
        </w:rPr>
        <w:footnoteReference w:id="19"/>
      </w:r>
      <w:r w:rsidR="00EC2F08" w:rsidRPr="0064787B">
        <w:rPr>
          <w:lang w:val="en-GB"/>
        </w:rPr>
        <w:t xml:space="preserve"> </w:t>
      </w:r>
    </w:p>
    <w:p w14:paraId="3F7CF9CC" w14:textId="77777777" w:rsidR="001F581C" w:rsidRDefault="001F581C" w:rsidP="003C3B71">
      <w:pPr>
        <w:pStyle w:val="ListParagraph"/>
        <w:autoSpaceDE w:val="0"/>
        <w:autoSpaceDN w:val="0"/>
        <w:adjustRightInd w:val="0"/>
        <w:ind w:left="0"/>
        <w:jc w:val="both"/>
        <w:rPr>
          <w:lang w:val="en-GB"/>
        </w:rPr>
      </w:pPr>
    </w:p>
    <w:p w14:paraId="5656C9CA" w14:textId="479F0851" w:rsidR="00F9570B" w:rsidRPr="0064787B" w:rsidRDefault="0064787B" w:rsidP="0064787B">
      <w:pPr>
        <w:autoSpaceDE w:val="0"/>
        <w:autoSpaceDN w:val="0"/>
        <w:adjustRightInd w:val="0"/>
        <w:jc w:val="both"/>
        <w:rPr>
          <w:lang w:val="en-GB"/>
        </w:rPr>
      </w:pPr>
      <w:r>
        <w:rPr>
          <w:lang w:val="en-GB"/>
        </w:rPr>
        <w:t>[20]</w:t>
      </w:r>
      <w:r>
        <w:rPr>
          <w:lang w:val="en-GB"/>
        </w:rPr>
        <w:tab/>
      </w:r>
      <w:r w:rsidR="000B7072" w:rsidRPr="0064787B">
        <w:rPr>
          <w:lang w:val="en-GB"/>
        </w:rPr>
        <w:t>I</w:t>
      </w:r>
      <w:r w:rsidR="00356A13" w:rsidRPr="0064787B">
        <w:rPr>
          <w:lang w:val="en-GB"/>
        </w:rPr>
        <w:t>t cannot be said that the Dukada AJ order was obviously wrong or that there was a fact of which that court was unaware which resulted in an erroneous order</w:t>
      </w:r>
      <w:r w:rsidR="00E86D16" w:rsidRPr="0064787B">
        <w:rPr>
          <w:lang w:val="en-GB"/>
        </w:rPr>
        <w:t xml:space="preserve"> being issued.</w:t>
      </w:r>
      <w:r w:rsidR="0094516E" w:rsidRPr="0064787B">
        <w:rPr>
          <w:lang w:val="en-GB"/>
        </w:rPr>
        <w:t xml:space="preserve"> The respondent was procedurally entitled to approach the court in terms of Uniform Rule 30 and, having secured the Griffiths J order, was procedurally entitled to request an order dismissing the plaintiff’s action.</w:t>
      </w:r>
      <w:r w:rsidR="00DB6486" w:rsidRPr="0064787B">
        <w:rPr>
          <w:lang w:val="en-GB"/>
        </w:rPr>
        <w:t xml:space="preserve"> There were no irregularities in the procedure and it </w:t>
      </w:r>
      <w:r w:rsidR="000A7ADE" w:rsidRPr="0064787B">
        <w:rPr>
          <w:lang w:val="en-GB"/>
        </w:rPr>
        <w:t>was not legally incompetent for Dukada AJ to dismiss the action.</w:t>
      </w:r>
      <w:r w:rsidR="00EE5494" w:rsidRPr="0064787B">
        <w:rPr>
          <w:lang w:val="en-GB"/>
        </w:rPr>
        <w:t xml:space="preserve"> The respondent was procedurally entitled to that judgment</w:t>
      </w:r>
      <w:r w:rsidR="0087610B" w:rsidRPr="0064787B">
        <w:rPr>
          <w:lang w:val="en-GB"/>
        </w:rPr>
        <w:t xml:space="preserve"> </w:t>
      </w:r>
      <w:r w:rsidR="00A82472" w:rsidRPr="0064787B">
        <w:rPr>
          <w:lang w:val="en-GB"/>
        </w:rPr>
        <w:t>and the fact that the court would have been unaware that the applicant’s legal representatives had not conducted themselves properly</w:t>
      </w:r>
      <w:r w:rsidR="00DB4D28" w:rsidRPr="0064787B">
        <w:rPr>
          <w:lang w:val="en-GB"/>
        </w:rPr>
        <w:t>, and that they would not take steps to apply to rescind that order timeously,</w:t>
      </w:r>
      <w:r w:rsidR="00A82472" w:rsidRPr="0064787B">
        <w:rPr>
          <w:lang w:val="en-GB"/>
        </w:rPr>
        <w:t xml:space="preserve"> cannot change that position</w:t>
      </w:r>
      <w:r w:rsidR="004A0C0B" w:rsidRPr="0064787B">
        <w:rPr>
          <w:lang w:val="en-GB"/>
        </w:rPr>
        <w:t>.</w:t>
      </w:r>
    </w:p>
    <w:p w14:paraId="31E418B1" w14:textId="77777777" w:rsidR="004A0C0B" w:rsidRPr="001976C8" w:rsidRDefault="004A0C0B" w:rsidP="003C3B71">
      <w:pPr>
        <w:rPr>
          <w:lang w:val="en-GB"/>
        </w:rPr>
      </w:pPr>
    </w:p>
    <w:p w14:paraId="7854F180" w14:textId="6120E9A6" w:rsidR="004A0C0B" w:rsidRPr="0064787B" w:rsidRDefault="0064787B" w:rsidP="0064787B">
      <w:pPr>
        <w:autoSpaceDE w:val="0"/>
        <w:autoSpaceDN w:val="0"/>
        <w:adjustRightInd w:val="0"/>
        <w:jc w:val="both"/>
        <w:rPr>
          <w:lang w:val="en-GB"/>
        </w:rPr>
      </w:pPr>
      <w:r w:rsidRPr="00D87F30">
        <w:rPr>
          <w:lang w:val="en-GB"/>
        </w:rPr>
        <w:lastRenderedPageBreak/>
        <w:t>[21]</w:t>
      </w:r>
      <w:r w:rsidRPr="00D87F30">
        <w:rPr>
          <w:lang w:val="en-GB"/>
        </w:rPr>
        <w:tab/>
      </w:r>
      <w:r w:rsidR="004A0C0B" w:rsidRPr="0064787B">
        <w:rPr>
          <w:lang w:val="en-GB"/>
        </w:rPr>
        <w:t xml:space="preserve">A good illustration of </w:t>
      </w:r>
      <w:r w:rsidR="00507780" w:rsidRPr="0064787B">
        <w:rPr>
          <w:lang w:val="en-GB"/>
        </w:rPr>
        <w:t>the application of these principles</w:t>
      </w:r>
      <w:r w:rsidR="004A0C0B" w:rsidRPr="0064787B">
        <w:rPr>
          <w:lang w:val="en-GB"/>
        </w:rPr>
        <w:t xml:space="preserve"> is evident in </w:t>
      </w:r>
      <w:r w:rsidR="004A0C0B" w:rsidRPr="0064787B">
        <w:rPr>
          <w:i/>
          <w:iCs/>
          <w:lang w:val="en-GB"/>
        </w:rPr>
        <w:t>Athmaram v Singh</w:t>
      </w:r>
      <w:r w:rsidR="004A0C0B" w:rsidRPr="0064787B">
        <w:rPr>
          <w:lang w:val="en-GB"/>
        </w:rPr>
        <w:t>.</w:t>
      </w:r>
      <w:r w:rsidR="004A0C0B" w:rsidRPr="004A0C0B">
        <w:rPr>
          <w:rStyle w:val="FootnoteReference"/>
          <w:lang w:val="en-GB"/>
        </w:rPr>
        <w:footnoteReference w:id="20"/>
      </w:r>
      <w:r w:rsidR="004A0C0B" w:rsidRPr="0064787B">
        <w:rPr>
          <w:lang w:val="en-GB"/>
        </w:rPr>
        <w:t xml:space="preserve"> In this case the applicant’s failure to respond to an interlocutory application to compel compliance with a previous court order justified the judgment that was subsequently granted. An attorney’s clerk had erred by filing correspondence from the applicant without any response. When the respondent brought an application for dismissal of the applicant’s defence, the clerk again filed the document without more. The applicant’s defence had been dismissed and judgment entered against him. That judgment could not be labelled ‘erroneously granted’ and could not be rescinded in terms of Uniform Rule 42(1). The same conclusion was reached in </w:t>
      </w:r>
      <w:r w:rsidR="004A0C0B" w:rsidRPr="0064787B">
        <w:rPr>
          <w:i/>
          <w:iCs/>
          <w:lang w:val="en-GB"/>
        </w:rPr>
        <w:t>Colyn v Tiger Food Industries Ltd t/a Meadow Feed Mills (Cape)</w:t>
      </w:r>
      <w:r w:rsidR="004A0C0B" w:rsidRPr="0064787B">
        <w:rPr>
          <w:lang w:val="en-GB"/>
        </w:rPr>
        <w:t>,</w:t>
      </w:r>
      <w:r w:rsidR="004A0C0B" w:rsidRPr="004A0C0B">
        <w:rPr>
          <w:rStyle w:val="FootnoteReference"/>
          <w:lang w:val="en-GB"/>
        </w:rPr>
        <w:footnoteReference w:id="21"/>
      </w:r>
      <w:r w:rsidR="004A0C0B" w:rsidRPr="0064787B">
        <w:rPr>
          <w:lang w:val="en-GB"/>
        </w:rPr>
        <w:t xml:space="preserve"> where a filing error in attorneys’ offices was held not to amount to a mistake in the proceedings. The same rationale applies in this instance</w:t>
      </w:r>
      <w:r w:rsidR="0096761C" w:rsidRPr="0064787B">
        <w:rPr>
          <w:lang w:val="en-GB"/>
        </w:rPr>
        <w:t xml:space="preserve"> and there is no basis for this court to exercise its discretion to rescind</w:t>
      </w:r>
      <w:r w:rsidR="000D5068" w:rsidRPr="0064787B">
        <w:rPr>
          <w:lang w:val="en-GB"/>
        </w:rPr>
        <w:t xml:space="preserve"> in terms of this rule.</w:t>
      </w:r>
      <w:r w:rsidR="004A0C0B" w:rsidRPr="004A0C0B">
        <w:rPr>
          <w:rStyle w:val="FootnoteReference"/>
          <w:lang w:val="en-GB"/>
        </w:rPr>
        <w:footnoteReference w:id="22"/>
      </w:r>
    </w:p>
    <w:p w14:paraId="23712C48" w14:textId="516D559D" w:rsidR="00B23D71" w:rsidRDefault="00B23D71" w:rsidP="003C3B71">
      <w:pPr>
        <w:autoSpaceDE w:val="0"/>
        <w:autoSpaceDN w:val="0"/>
        <w:adjustRightInd w:val="0"/>
        <w:jc w:val="both"/>
        <w:rPr>
          <w:lang w:val="en-GB"/>
        </w:rPr>
      </w:pPr>
    </w:p>
    <w:p w14:paraId="6A7A5714" w14:textId="1FE59641" w:rsidR="00185031" w:rsidRDefault="00185031" w:rsidP="003C3B71">
      <w:pPr>
        <w:autoSpaceDE w:val="0"/>
        <w:autoSpaceDN w:val="0"/>
        <w:adjustRightInd w:val="0"/>
        <w:jc w:val="both"/>
        <w:rPr>
          <w:b/>
          <w:bCs/>
          <w:lang w:val="en-GB"/>
        </w:rPr>
      </w:pPr>
      <w:r>
        <w:rPr>
          <w:b/>
          <w:bCs/>
          <w:lang w:val="en-GB"/>
        </w:rPr>
        <w:t>Common law rescission</w:t>
      </w:r>
    </w:p>
    <w:p w14:paraId="45C1F203" w14:textId="77777777" w:rsidR="00185031" w:rsidRPr="00185031" w:rsidRDefault="00185031" w:rsidP="003C3B71">
      <w:pPr>
        <w:autoSpaceDE w:val="0"/>
        <w:autoSpaceDN w:val="0"/>
        <w:adjustRightInd w:val="0"/>
        <w:jc w:val="both"/>
        <w:rPr>
          <w:b/>
          <w:bCs/>
          <w:lang w:val="en-GB"/>
        </w:rPr>
      </w:pPr>
    </w:p>
    <w:p w14:paraId="0CD236FA" w14:textId="5932EB62" w:rsidR="00E5374C" w:rsidRPr="0064787B" w:rsidRDefault="0064787B" w:rsidP="0064787B">
      <w:pPr>
        <w:autoSpaceDE w:val="0"/>
        <w:autoSpaceDN w:val="0"/>
        <w:adjustRightInd w:val="0"/>
        <w:jc w:val="both"/>
        <w:rPr>
          <w:lang w:val="en-GB"/>
        </w:rPr>
      </w:pPr>
      <w:r w:rsidRPr="00B23D71">
        <w:rPr>
          <w:lang w:val="en-GB"/>
        </w:rPr>
        <w:t>[22]</w:t>
      </w:r>
      <w:r w:rsidRPr="00B23D71">
        <w:rPr>
          <w:lang w:val="en-GB"/>
        </w:rPr>
        <w:tab/>
      </w:r>
      <w:r w:rsidR="00AF167D" w:rsidRPr="0064787B">
        <w:rPr>
          <w:lang w:val="en-GB"/>
        </w:rPr>
        <w:t xml:space="preserve">In terms of the common law, a judgment can be set aside on various grounds, including where judgment has been granted by default. </w:t>
      </w:r>
      <w:r w:rsidR="00606D5C" w:rsidRPr="0064787B">
        <w:rPr>
          <w:lang w:val="en-GB"/>
        </w:rPr>
        <w:t>An application for rescission on this basis must be brought within a reasonable time and sufficient cause for rescission must be shown.</w:t>
      </w:r>
      <w:r w:rsidR="00606D5C">
        <w:rPr>
          <w:rStyle w:val="FootnoteReference"/>
          <w:lang w:val="en-GB"/>
        </w:rPr>
        <w:footnoteReference w:id="23"/>
      </w:r>
      <w:r w:rsidR="00606D5C" w:rsidRPr="0064787B">
        <w:rPr>
          <w:lang w:val="en-GB"/>
        </w:rPr>
        <w:t xml:space="preserve"> </w:t>
      </w:r>
      <w:r w:rsidR="001C5538" w:rsidRPr="0064787B">
        <w:rPr>
          <w:lang w:val="en-GB"/>
        </w:rPr>
        <w:t>The courts generally expect an applicant to show good cause (a) by giving a reasonable explanation for their default; (b) by showing that the application is made bona fide; and (c) by showing that they have a bona fide claim which prima facie has some prospect of success.</w:t>
      </w:r>
      <w:r w:rsidR="0088088D">
        <w:rPr>
          <w:rStyle w:val="FootnoteReference"/>
          <w:lang w:val="en-GB"/>
        </w:rPr>
        <w:footnoteReference w:id="24"/>
      </w:r>
      <w:r w:rsidR="001C5538" w:rsidRPr="0064787B">
        <w:rPr>
          <w:lang w:val="en-GB"/>
        </w:rPr>
        <w:t xml:space="preserve"> </w:t>
      </w:r>
      <w:r w:rsidR="00537C9E" w:rsidRPr="0064787B">
        <w:rPr>
          <w:lang w:val="en-GB"/>
        </w:rPr>
        <w:t xml:space="preserve">The court nevertheless retains a discretion which must be exercised </w:t>
      </w:r>
      <w:r w:rsidR="00307CF8" w:rsidRPr="0064787B">
        <w:rPr>
          <w:lang w:val="en-GB"/>
        </w:rPr>
        <w:t xml:space="preserve">judicially </w:t>
      </w:r>
      <w:r w:rsidR="00537C9E" w:rsidRPr="0064787B">
        <w:rPr>
          <w:lang w:val="en-GB"/>
        </w:rPr>
        <w:t>after a proper consideration of all the relevant circumstances.</w:t>
      </w:r>
      <w:r w:rsidR="009B1CFC">
        <w:rPr>
          <w:rStyle w:val="FootnoteReference"/>
          <w:lang w:val="en-GB"/>
        </w:rPr>
        <w:footnoteReference w:id="25"/>
      </w:r>
    </w:p>
    <w:p w14:paraId="6CF097EC" w14:textId="03159793" w:rsidR="009A3193" w:rsidRDefault="009A3193" w:rsidP="003C3B71">
      <w:pPr>
        <w:rPr>
          <w:lang w:val="en-GB"/>
        </w:rPr>
      </w:pPr>
    </w:p>
    <w:p w14:paraId="6E649AF8" w14:textId="24BA93A3" w:rsidR="00CE669B" w:rsidRDefault="00CE669B" w:rsidP="003C3B71">
      <w:pPr>
        <w:rPr>
          <w:b/>
          <w:bCs/>
          <w:i/>
          <w:iCs/>
          <w:lang w:val="en-GB"/>
        </w:rPr>
      </w:pPr>
      <w:r>
        <w:rPr>
          <w:b/>
          <w:bCs/>
          <w:i/>
          <w:iCs/>
          <w:lang w:val="en-GB"/>
        </w:rPr>
        <w:t>A reasonable explanation</w:t>
      </w:r>
    </w:p>
    <w:p w14:paraId="24BE8E5C" w14:textId="77777777" w:rsidR="00CE669B" w:rsidRPr="00CE669B" w:rsidRDefault="00CE669B" w:rsidP="003C3B71">
      <w:pPr>
        <w:rPr>
          <w:b/>
          <w:bCs/>
          <w:i/>
          <w:iCs/>
          <w:lang w:val="en-GB"/>
        </w:rPr>
      </w:pPr>
    </w:p>
    <w:p w14:paraId="37F9FFF2" w14:textId="63F3411E" w:rsidR="00CD3029" w:rsidRPr="0064787B" w:rsidRDefault="0064787B" w:rsidP="0064787B">
      <w:pPr>
        <w:autoSpaceDE w:val="0"/>
        <w:autoSpaceDN w:val="0"/>
        <w:adjustRightInd w:val="0"/>
        <w:jc w:val="both"/>
        <w:rPr>
          <w:lang w:val="en-GB"/>
        </w:rPr>
      </w:pPr>
      <w:r>
        <w:rPr>
          <w:lang w:val="en-GB"/>
        </w:rPr>
        <w:t>[23]</w:t>
      </w:r>
      <w:r>
        <w:rPr>
          <w:lang w:val="en-GB"/>
        </w:rPr>
        <w:tab/>
      </w:r>
      <w:r w:rsidR="00F748D0" w:rsidRPr="0064787B">
        <w:rPr>
          <w:lang w:val="en-GB"/>
        </w:rPr>
        <w:t>The applicant’s erstwhile attorneys failed to amend the particulars of claim to remove the irregularity raised in the respondent’s notice dated 11 November 2019.</w:t>
      </w:r>
      <w:r w:rsidR="00753478" w:rsidRPr="0064787B">
        <w:rPr>
          <w:lang w:val="en-GB"/>
        </w:rPr>
        <w:t xml:space="preserve"> The applicant acknowledges that they took no action at all. When the Griffiths J order was issued on 10 December 2019, the respondent’s attorneys brought this to the attention of their opponents, who remained supine. The applicant was not </w:t>
      </w:r>
      <w:r w:rsidR="009E283A" w:rsidRPr="0064787B">
        <w:rPr>
          <w:lang w:val="en-GB"/>
        </w:rPr>
        <w:t>informed of these developments by its attorneys</w:t>
      </w:r>
      <w:r w:rsidR="00763388" w:rsidRPr="0064787B">
        <w:rPr>
          <w:lang w:val="en-GB"/>
        </w:rPr>
        <w:t xml:space="preserve"> and avers that it had no knowledge of what had transpired.</w:t>
      </w:r>
      <w:r w:rsidR="00297534" w:rsidRPr="0064787B">
        <w:rPr>
          <w:lang w:val="en-GB"/>
        </w:rPr>
        <w:t xml:space="preserve"> The dismissal application was only heard some months later, on 19 June 2020. </w:t>
      </w:r>
      <w:r w:rsidR="00CD6268" w:rsidRPr="0064787B">
        <w:rPr>
          <w:lang w:val="en-GB"/>
        </w:rPr>
        <w:t>The applicant fails</w:t>
      </w:r>
      <w:r w:rsidR="009E46C9" w:rsidRPr="0064787B">
        <w:rPr>
          <w:lang w:val="en-GB"/>
        </w:rPr>
        <w:t xml:space="preserve">, in its </w:t>
      </w:r>
      <w:r w:rsidR="004849F7" w:rsidRPr="0064787B">
        <w:rPr>
          <w:lang w:val="en-GB"/>
        </w:rPr>
        <w:t>founding affidavit,</w:t>
      </w:r>
      <w:r w:rsidR="00CD6268" w:rsidRPr="0064787B">
        <w:rPr>
          <w:lang w:val="en-GB"/>
        </w:rPr>
        <w:t xml:space="preserve"> to explain its extent of interest and involvement in the litigation </w:t>
      </w:r>
      <w:r w:rsidR="004A729C" w:rsidRPr="0064787B">
        <w:rPr>
          <w:lang w:val="en-GB"/>
        </w:rPr>
        <w:t>during all this</w:t>
      </w:r>
      <w:r w:rsidR="00CD6268" w:rsidRPr="0064787B">
        <w:rPr>
          <w:lang w:val="en-GB"/>
        </w:rPr>
        <w:t xml:space="preserve"> time. </w:t>
      </w:r>
      <w:r w:rsidR="009E46C9" w:rsidRPr="0064787B">
        <w:rPr>
          <w:lang w:val="en-GB"/>
        </w:rPr>
        <w:t xml:space="preserve">It appears to </w:t>
      </w:r>
      <w:r w:rsidR="004849F7" w:rsidRPr="0064787B">
        <w:rPr>
          <w:lang w:val="en-GB"/>
        </w:rPr>
        <w:t>have relied heavily on its insurer</w:t>
      </w:r>
      <w:r w:rsidR="0034212D" w:rsidRPr="0064787B">
        <w:rPr>
          <w:lang w:val="en-GB"/>
        </w:rPr>
        <w:t xml:space="preserve"> (‘CGIC’)</w:t>
      </w:r>
      <w:r w:rsidR="004849F7" w:rsidRPr="0064787B">
        <w:rPr>
          <w:lang w:val="en-GB"/>
        </w:rPr>
        <w:t xml:space="preserve"> to pursue the matter on its behalf</w:t>
      </w:r>
      <w:r w:rsidR="0034212D" w:rsidRPr="0064787B">
        <w:rPr>
          <w:lang w:val="en-GB"/>
        </w:rPr>
        <w:t>, and states that ‘I understand that during 2020 and 2021, CGIC experienced certain difficulty with getting updated reports from the Plaintiff’s erstwhile attorneys and consequently terminated the mandate of these attorneys’</w:t>
      </w:r>
      <w:r w:rsidR="005A36D5" w:rsidRPr="0064787B">
        <w:rPr>
          <w:lang w:val="en-GB"/>
        </w:rPr>
        <w:t>.</w:t>
      </w:r>
      <w:r w:rsidR="004C2C95" w:rsidRPr="0064787B">
        <w:rPr>
          <w:lang w:val="en-GB"/>
        </w:rPr>
        <w:t xml:space="preserve"> </w:t>
      </w:r>
      <w:r w:rsidR="00986DD5" w:rsidRPr="0064787B">
        <w:rPr>
          <w:lang w:val="en-GB"/>
        </w:rPr>
        <w:t xml:space="preserve">The applicant adds, without any confirmatory affidavit being filed, that CGIC requested regular updates from Shamla Pather Attorneys, to no avail. </w:t>
      </w:r>
    </w:p>
    <w:p w14:paraId="0A5D2EFD" w14:textId="77777777" w:rsidR="00CD3029" w:rsidRDefault="00CD3029" w:rsidP="003C3B71">
      <w:pPr>
        <w:pStyle w:val="ListParagraph"/>
        <w:autoSpaceDE w:val="0"/>
        <w:autoSpaceDN w:val="0"/>
        <w:adjustRightInd w:val="0"/>
        <w:ind w:left="0"/>
        <w:jc w:val="both"/>
        <w:rPr>
          <w:lang w:val="en-GB"/>
        </w:rPr>
      </w:pPr>
    </w:p>
    <w:p w14:paraId="38D26F7E" w14:textId="6AB96BF6" w:rsidR="004E0C51" w:rsidRPr="0064787B" w:rsidRDefault="0064787B" w:rsidP="0064787B">
      <w:pPr>
        <w:autoSpaceDE w:val="0"/>
        <w:autoSpaceDN w:val="0"/>
        <w:adjustRightInd w:val="0"/>
        <w:jc w:val="both"/>
        <w:rPr>
          <w:lang w:val="en-GB"/>
        </w:rPr>
      </w:pPr>
      <w:r>
        <w:rPr>
          <w:lang w:val="en-GB"/>
        </w:rPr>
        <w:t>[24]</w:t>
      </w:r>
      <w:r>
        <w:rPr>
          <w:lang w:val="en-GB"/>
        </w:rPr>
        <w:tab/>
      </w:r>
      <w:r w:rsidR="004C2C95" w:rsidRPr="0064787B">
        <w:rPr>
          <w:lang w:val="en-GB"/>
        </w:rPr>
        <w:t xml:space="preserve">In fact, the applicant’s present </w:t>
      </w:r>
      <w:r w:rsidR="005A36D5" w:rsidRPr="0064787B">
        <w:rPr>
          <w:lang w:val="en-GB"/>
        </w:rPr>
        <w:t xml:space="preserve">legal </w:t>
      </w:r>
      <w:r w:rsidR="004C2C95" w:rsidRPr="0064787B">
        <w:rPr>
          <w:lang w:val="en-GB"/>
        </w:rPr>
        <w:t>representatives received instructions to act only on 12 October 2021</w:t>
      </w:r>
      <w:r w:rsidR="00012B9D" w:rsidRPr="0064787B">
        <w:rPr>
          <w:lang w:val="en-GB"/>
        </w:rPr>
        <w:t xml:space="preserve">, </w:t>
      </w:r>
      <w:r w:rsidR="002B4E41" w:rsidRPr="0064787B">
        <w:rPr>
          <w:lang w:val="en-GB"/>
        </w:rPr>
        <w:t xml:space="preserve">and the applicant became aware of the Griffiths J order on 3 November 2021, </w:t>
      </w:r>
      <w:r w:rsidR="00012B9D" w:rsidRPr="0064787B">
        <w:rPr>
          <w:lang w:val="en-GB"/>
        </w:rPr>
        <w:t>almost two years after the Uniform Rule 30 notice had been issued</w:t>
      </w:r>
      <w:r w:rsidR="00530860" w:rsidRPr="0064787B">
        <w:rPr>
          <w:lang w:val="en-GB"/>
        </w:rPr>
        <w:t>.</w:t>
      </w:r>
      <w:r w:rsidR="0038775D" w:rsidRPr="0064787B">
        <w:rPr>
          <w:lang w:val="en-GB"/>
        </w:rPr>
        <w:t xml:space="preserve"> The Dukada AJ order only came to the applicant’s attention on 19 January 2022.</w:t>
      </w:r>
      <w:r w:rsidR="00083861" w:rsidRPr="0064787B">
        <w:rPr>
          <w:lang w:val="en-GB"/>
        </w:rPr>
        <w:t xml:space="preserve"> </w:t>
      </w:r>
      <w:r w:rsidR="006E3709" w:rsidRPr="0064787B">
        <w:rPr>
          <w:lang w:val="en-GB"/>
        </w:rPr>
        <w:t>Throughout this time ‘… the Plaintiff was under the impression that its erstwhile attorneys were proceeding to trial’</w:t>
      </w:r>
      <w:r w:rsidR="00177CDE" w:rsidRPr="0064787B">
        <w:rPr>
          <w:lang w:val="en-GB"/>
        </w:rPr>
        <w:t>.</w:t>
      </w:r>
      <w:r w:rsidR="00970D52" w:rsidRPr="0064787B">
        <w:rPr>
          <w:lang w:val="en-GB"/>
        </w:rPr>
        <w:t xml:space="preserve"> T</w:t>
      </w:r>
      <w:r w:rsidR="008041B3" w:rsidRPr="0064787B">
        <w:rPr>
          <w:lang w:val="en-GB"/>
        </w:rPr>
        <w:t xml:space="preserve">he applicant </w:t>
      </w:r>
      <w:r w:rsidR="00973CE1" w:rsidRPr="0064787B">
        <w:rPr>
          <w:lang w:val="en-GB"/>
        </w:rPr>
        <w:t>says</w:t>
      </w:r>
      <w:r w:rsidR="008041B3" w:rsidRPr="0064787B">
        <w:rPr>
          <w:lang w:val="en-GB"/>
        </w:rPr>
        <w:t xml:space="preserve"> that </w:t>
      </w:r>
      <w:r w:rsidR="00D73629" w:rsidRPr="0064787B">
        <w:rPr>
          <w:lang w:val="en-GB"/>
        </w:rPr>
        <w:t>it was not in wilful default, having been ‘… unable to provide any instruction to its erstwhile attorneys as it was not aware of the irregularity or any application brought against it by the Defendant’</w:t>
      </w:r>
      <w:r w:rsidR="007C5C94" w:rsidRPr="0064787B">
        <w:rPr>
          <w:lang w:val="en-GB"/>
        </w:rPr>
        <w:t xml:space="preserve">. It </w:t>
      </w:r>
      <w:r w:rsidR="00857ED7" w:rsidRPr="0064787B">
        <w:rPr>
          <w:lang w:val="en-GB"/>
        </w:rPr>
        <w:t xml:space="preserve">argues </w:t>
      </w:r>
      <w:r w:rsidR="00D73629" w:rsidRPr="0064787B">
        <w:rPr>
          <w:lang w:val="en-GB"/>
        </w:rPr>
        <w:t xml:space="preserve">that </w:t>
      </w:r>
      <w:r w:rsidR="008041B3" w:rsidRPr="0064787B">
        <w:rPr>
          <w:lang w:val="en-GB"/>
        </w:rPr>
        <w:t>this application has been brought within a reasonable time</w:t>
      </w:r>
      <w:r w:rsidR="00970D52" w:rsidRPr="0064787B">
        <w:rPr>
          <w:lang w:val="en-GB"/>
        </w:rPr>
        <w:t xml:space="preserve"> from the date it became aware of the Dukada AJ order.</w:t>
      </w:r>
    </w:p>
    <w:p w14:paraId="18BA2D90" w14:textId="77777777" w:rsidR="00F37F14" w:rsidRPr="00F37F14" w:rsidRDefault="00F37F14" w:rsidP="003C3B71">
      <w:pPr>
        <w:pStyle w:val="ListParagraph"/>
        <w:ind w:left="0"/>
        <w:rPr>
          <w:lang w:val="en-GB"/>
        </w:rPr>
      </w:pPr>
    </w:p>
    <w:p w14:paraId="4EECA78D" w14:textId="29B7B5DE" w:rsidR="003601C0" w:rsidRPr="0064787B" w:rsidRDefault="0064787B" w:rsidP="0064787B">
      <w:pPr>
        <w:autoSpaceDE w:val="0"/>
        <w:autoSpaceDN w:val="0"/>
        <w:adjustRightInd w:val="0"/>
        <w:jc w:val="both"/>
        <w:rPr>
          <w:lang w:val="en-GB"/>
        </w:rPr>
      </w:pPr>
      <w:r w:rsidRPr="00085170">
        <w:rPr>
          <w:lang w:val="en-GB"/>
        </w:rPr>
        <w:t>[25]</w:t>
      </w:r>
      <w:r w:rsidRPr="00085170">
        <w:rPr>
          <w:lang w:val="en-GB"/>
        </w:rPr>
        <w:tab/>
      </w:r>
      <w:r w:rsidR="003601C0" w:rsidRPr="0064787B">
        <w:rPr>
          <w:lang w:val="en-GB"/>
        </w:rPr>
        <w:t>An attorney’s negligence does not always constitute a ‘reasonable explanation’.</w:t>
      </w:r>
      <w:r w:rsidR="003601C0">
        <w:rPr>
          <w:rStyle w:val="FootnoteReference"/>
          <w:lang w:val="en-GB"/>
        </w:rPr>
        <w:footnoteReference w:id="26"/>
      </w:r>
      <w:r w:rsidR="003601C0" w:rsidRPr="0064787B">
        <w:rPr>
          <w:lang w:val="en-GB"/>
        </w:rPr>
        <w:t xml:space="preserve"> In </w:t>
      </w:r>
      <w:r w:rsidR="003601C0" w:rsidRPr="0064787B">
        <w:rPr>
          <w:i/>
          <w:iCs/>
          <w:lang w:val="en-GB"/>
        </w:rPr>
        <w:t xml:space="preserve">Colyn v Tiger Food Industries Ltd </w:t>
      </w:r>
      <w:r w:rsidR="003601C0" w:rsidRPr="0064787B">
        <w:rPr>
          <w:lang w:val="en-GB"/>
        </w:rPr>
        <w:t>the SCA noted as follows:</w:t>
      </w:r>
      <w:r w:rsidR="0057047B">
        <w:rPr>
          <w:rStyle w:val="FootnoteReference"/>
          <w:lang w:val="en-GB"/>
        </w:rPr>
        <w:footnoteReference w:id="27"/>
      </w:r>
    </w:p>
    <w:p w14:paraId="67E49E6B" w14:textId="49E88204" w:rsidR="003601C0" w:rsidRPr="00B54686" w:rsidRDefault="003601C0" w:rsidP="003C3B71">
      <w:pPr>
        <w:autoSpaceDE w:val="0"/>
        <w:autoSpaceDN w:val="0"/>
        <w:adjustRightInd w:val="0"/>
        <w:jc w:val="both"/>
        <w:rPr>
          <w:sz w:val="22"/>
          <w:szCs w:val="22"/>
          <w:lang w:val="en-GB"/>
        </w:rPr>
      </w:pPr>
      <w:r>
        <w:rPr>
          <w:sz w:val="22"/>
          <w:szCs w:val="22"/>
          <w:lang w:val="en-GB"/>
        </w:rPr>
        <w:lastRenderedPageBreak/>
        <w:t xml:space="preserve">‘I have reservations about accepting that the defendant’s explanation of the default is satisfactory. I have no doubt that he wanted to defend the action throughout and that it was not his fault that the summary judgment application was not brought to his attention. But the reason why it was not brought to his attention is not explained at all. The documents were swallowed up somehow in the offices of his attorneys as a result of what appears to be inexcusable inefficiency on their part. It is difficult to regard this as a </w:t>
      </w:r>
      <w:r>
        <w:rPr>
          <w:i/>
          <w:iCs/>
          <w:sz w:val="22"/>
          <w:szCs w:val="22"/>
          <w:lang w:val="en-GB"/>
        </w:rPr>
        <w:t>reasonable explanation</w:t>
      </w:r>
      <w:r>
        <w:rPr>
          <w:sz w:val="22"/>
          <w:szCs w:val="22"/>
          <w:lang w:val="en-GB"/>
        </w:rPr>
        <w:t>. While the Courts are slow to penalise a litigant for his attorney’s inept conduct of litigation, there comes a point where there is no alternative but to make the client bear the consequences of the negligence of his attorneys (</w:t>
      </w:r>
      <w:r>
        <w:rPr>
          <w:i/>
          <w:iCs/>
          <w:sz w:val="22"/>
          <w:szCs w:val="22"/>
          <w:lang w:val="en-GB"/>
        </w:rPr>
        <w:t>Saloojee and Another NNO v Minister of Community Development</w:t>
      </w:r>
      <w:r>
        <w:rPr>
          <w:sz w:val="22"/>
          <w:szCs w:val="22"/>
          <w:lang w:val="en-GB"/>
        </w:rPr>
        <w:t xml:space="preserve">). Even if one takes a benign view, the inadequacy of this explanation may well justify a refusal of rescission on that account unless, perhaps, the weak explanation is cancelled out by the defendant being able to put up a </w:t>
      </w:r>
      <w:r>
        <w:rPr>
          <w:i/>
          <w:iCs/>
          <w:sz w:val="22"/>
          <w:szCs w:val="22"/>
          <w:lang w:val="en-GB"/>
        </w:rPr>
        <w:t>bona fide</w:t>
      </w:r>
      <w:r>
        <w:rPr>
          <w:sz w:val="22"/>
          <w:szCs w:val="22"/>
          <w:lang w:val="en-GB"/>
        </w:rPr>
        <w:t xml:space="preserve"> defence which has not merely some prospect, but a good prospect of success (</w:t>
      </w:r>
      <w:r>
        <w:rPr>
          <w:i/>
          <w:iCs/>
          <w:sz w:val="22"/>
          <w:szCs w:val="22"/>
          <w:lang w:val="en-GB"/>
        </w:rPr>
        <w:t>Melane v Santam Insurance Co Ltd</w:t>
      </w:r>
      <w:r>
        <w:rPr>
          <w:sz w:val="22"/>
          <w:szCs w:val="22"/>
          <w:lang w:val="en-GB"/>
        </w:rPr>
        <w:t>).’ (</w:t>
      </w:r>
      <w:r w:rsidR="00331408">
        <w:rPr>
          <w:sz w:val="22"/>
          <w:szCs w:val="22"/>
          <w:lang w:val="en-GB"/>
        </w:rPr>
        <w:t>F</w:t>
      </w:r>
      <w:r>
        <w:rPr>
          <w:sz w:val="22"/>
          <w:szCs w:val="22"/>
          <w:lang w:val="en-GB"/>
        </w:rPr>
        <w:t>ootnotes omitted</w:t>
      </w:r>
      <w:r w:rsidR="00331408">
        <w:rPr>
          <w:sz w:val="22"/>
          <w:szCs w:val="22"/>
          <w:lang w:val="en-GB"/>
        </w:rPr>
        <w:t>.</w:t>
      </w:r>
      <w:r>
        <w:rPr>
          <w:sz w:val="22"/>
          <w:szCs w:val="22"/>
          <w:lang w:val="en-GB"/>
        </w:rPr>
        <w:t>)</w:t>
      </w:r>
    </w:p>
    <w:p w14:paraId="489E52AD" w14:textId="77777777" w:rsidR="003601C0" w:rsidRPr="00151F29" w:rsidRDefault="003601C0" w:rsidP="003C3B71">
      <w:pPr>
        <w:pStyle w:val="ListParagraph"/>
        <w:ind w:left="0"/>
        <w:rPr>
          <w:lang w:val="en-GB"/>
        </w:rPr>
      </w:pPr>
    </w:p>
    <w:p w14:paraId="7CD68E96" w14:textId="5F6B31AA" w:rsidR="003601C0" w:rsidRPr="0064787B" w:rsidRDefault="0064787B" w:rsidP="0064787B">
      <w:pPr>
        <w:autoSpaceDE w:val="0"/>
        <w:autoSpaceDN w:val="0"/>
        <w:adjustRightInd w:val="0"/>
        <w:jc w:val="both"/>
        <w:rPr>
          <w:lang w:val="en-GB"/>
        </w:rPr>
      </w:pPr>
      <w:r>
        <w:rPr>
          <w:lang w:val="en-GB"/>
        </w:rPr>
        <w:t>[26]</w:t>
      </w:r>
      <w:r>
        <w:rPr>
          <w:lang w:val="en-GB"/>
        </w:rPr>
        <w:tab/>
      </w:r>
      <w:r w:rsidR="00085170" w:rsidRPr="0064787B">
        <w:rPr>
          <w:lang w:val="en-GB"/>
        </w:rPr>
        <w:t>The attorney is the chosen representative of a litigant</w:t>
      </w:r>
      <w:r w:rsidR="00DD0D6A" w:rsidRPr="0064787B">
        <w:rPr>
          <w:lang w:val="en-GB"/>
        </w:rPr>
        <w:t>. It has been held, in the context of an application for condonation for non-compliance with a Uniform Rule, that a litigant should generally not be absolved from the ordinary consequences of such a relationship, irrespective of the circumstances that resulted in the failure to comply.</w:t>
      </w:r>
      <w:r w:rsidR="00DD0D6A">
        <w:rPr>
          <w:rStyle w:val="FootnoteReference"/>
          <w:lang w:val="en-GB"/>
        </w:rPr>
        <w:footnoteReference w:id="28"/>
      </w:r>
      <w:r w:rsidR="00753255" w:rsidRPr="0064787B">
        <w:rPr>
          <w:lang w:val="en-GB"/>
        </w:rPr>
        <w:t xml:space="preserve"> A litigant is not always excused for their </w:t>
      </w:r>
      <w:r w:rsidR="00165B89" w:rsidRPr="0064787B">
        <w:rPr>
          <w:lang w:val="en-GB"/>
        </w:rPr>
        <w:t xml:space="preserve">own </w:t>
      </w:r>
      <w:r w:rsidR="00753255" w:rsidRPr="0064787B">
        <w:rPr>
          <w:lang w:val="en-GB"/>
        </w:rPr>
        <w:t xml:space="preserve">passivity </w:t>
      </w:r>
      <w:r w:rsidR="00165B89" w:rsidRPr="0064787B">
        <w:rPr>
          <w:lang w:val="en-GB"/>
        </w:rPr>
        <w:t xml:space="preserve">when a legal representative has been briefed to attend to a matter. </w:t>
      </w:r>
      <w:r w:rsidR="008B1748" w:rsidRPr="0064787B">
        <w:rPr>
          <w:lang w:val="en-GB"/>
        </w:rPr>
        <w:t xml:space="preserve">As the court held in </w:t>
      </w:r>
      <w:r w:rsidR="008B1748" w:rsidRPr="0064787B">
        <w:rPr>
          <w:i/>
          <w:iCs/>
          <w:lang w:val="en-GB"/>
        </w:rPr>
        <w:t>Saloojee and Another v Minister of Community Development</w:t>
      </w:r>
      <w:r w:rsidR="008B1748" w:rsidRPr="0064787B">
        <w:rPr>
          <w:lang w:val="en-GB"/>
        </w:rPr>
        <w:t>:</w:t>
      </w:r>
      <w:r w:rsidR="008B1748">
        <w:rPr>
          <w:rStyle w:val="FootnoteReference"/>
          <w:lang w:val="en-GB"/>
        </w:rPr>
        <w:footnoteReference w:id="29"/>
      </w:r>
    </w:p>
    <w:p w14:paraId="4E29053B" w14:textId="6A3E82D8" w:rsidR="003601C0" w:rsidRDefault="00735898" w:rsidP="003C3B71">
      <w:pPr>
        <w:pStyle w:val="ListParagraph"/>
        <w:autoSpaceDE w:val="0"/>
        <w:autoSpaceDN w:val="0"/>
        <w:adjustRightInd w:val="0"/>
        <w:ind w:left="0"/>
        <w:jc w:val="both"/>
        <w:rPr>
          <w:sz w:val="22"/>
          <w:szCs w:val="22"/>
          <w:lang w:val="en-GB"/>
        </w:rPr>
      </w:pPr>
      <w:r>
        <w:rPr>
          <w:sz w:val="22"/>
          <w:szCs w:val="22"/>
          <w:lang w:val="en-GB"/>
        </w:rPr>
        <w:t>‘If, as here, the stage is reached where it must become obvious also to a layman that there is a protracted delay, he cannot sit passively by, without so much as directing any reminder or enquiry to his attorney and expect to be exonerated of all blame; and if, as here, the explanation offered to this Court is patently insufficient, he cannot be heard to claim that the insufficiency should be overlooked merely because he has left the matter entirely in the hands of his attorney. If he relies upon the ineptitude or remissness of his own attorney, he should at least explain that none of it is to be imputed to himself…’</w:t>
      </w:r>
      <w:r w:rsidR="00CD66FD">
        <w:rPr>
          <w:sz w:val="22"/>
          <w:szCs w:val="22"/>
          <w:lang w:val="en-GB"/>
        </w:rPr>
        <w:t xml:space="preserve"> (</w:t>
      </w:r>
      <w:r w:rsidR="00A235E3">
        <w:rPr>
          <w:sz w:val="22"/>
          <w:szCs w:val="22"/>
          <w:lang w:val="en-GB"/>
        </w:rPr>
        <w:t>R</w:t>
      </w:r>
      <w:r w:rsidR="00CD66FD">
        <w:rPr>
          <w:sz w:val="22"/>
          <w:szCs w:val="22"/>
          <w:lang w:val="en-GB"/>
        </w:rPr>
        <w:t>eferences omitted</w:t>
      </w:r>
      <w:r w:rsidR="00A235E3">
        <w:rPr>
          <w:sz w:val="22"/>
          <w:szCs w:val="22"/>
          <w:lang w:val="en-GB"/>
        </w:rPr>
        <w:t>.</w:t>
      </w:r>
      <w:r w:rsidR="00CD66FD">
        <w:rPr>
          <w:sz w:val="22"/>
          <w:szCs w:val="22"/>
          <w:lang w:val="en-GB"/>
        </w:rPr>
        <w:t>)</w:t>
      </w:r>
    </w:p>
    <w:p w14:paraId="44132CAB" w14:textId="77777777" w:rsidR="00735898" w:rsidRPr="00735898" w:rsidRDefault="00735898" w:rsidP="003C3B71">
      <w:pPr>
        <w:pStyle w:val="ListParagraph"/>
        <w:autoSpaceDE w:val="0"/>
        <w:autoSpaceDN w:val="0"/>
        <w:adjustRightInd w:val="0"/>
        <w:ind w:left="0"/>
        <w:jc w:val="both"/>
        <w:rPr>
          <w:sz w:val="22"/>
          <w:szCs w:val="22"/>
          <w:lang w:val="en-GB"/>
        </w:rPr>
      </w:pPr>
    </w:p>
    <w:p w14:paraId="7661E775" w14:textId="563F78D8" w:rsidR="00804838" w:rsidRPr="0064787B" w:rsidRDefault="0064787B" w:rsidP="0064787B">
      <w:pPr>
        <w:autoSpaceDE w:val="0"/>
        <w:autoSpaceDN w:val="0"/>
        <w:adjustRightInd w:val="0"/>
        <w:jc w:val="both"/>
        <w:rPr>
          <w:lang w:val="en-GB"/>
        </w:rPr>
      </w:pPr>
      <w:r>
        <w:rPr>
          <w:lang w:val="en-GB"/>
        </w:rPr>
        <w:t>[27]</w:t>
      </w:r>
      <w:r>
        <w:rPr>
          <w:lang w:val="en-GB"/>
        </w:rPr>
        <w:tab/>
      </w:r>
      <w:r w:rsidR="00CD66FD" w:rsidRPr="0064787B">
        <w:rPr>
          <w:lang w:val="en-GB"/>
        </w:rPr>
        <w:t>A reasonable explanation for default is a self-standing requirement for rescission. Failure to satisfy this aspect may, on its own, be fatal to the application:</w:t>
      </w:r>
      <w:r w:rsidR="00A33E40">
        <w:rPr>
          <w:rStyle w:val="FootnoteReference"/>
          <w:lang w:val="en-GB"/>
        </w:rPr>
        <w:footnoteReference w:id="30"/>
      </w:r>
    </w:p>
    <w:p w14:paraId="6A837B75" w14:textId="0D1718BF" w:rsidR="00CD66FD" w:rsidRPr="00CD66FD" w:rsidRDefault="00CD66FD" w:rsidP="003C3B71">
      <w:pPr>
        <w:pStyle w:val="ListParagraph"/>
        <w:autoSpaceDE w:val="0"/>
        <w:autoSpaceDN w:val="0"/>
        <w:adjustRightInd w:val="0"/>
        <w:ind w:left="0"/>
        <w:jc w:val="both"/>
        <w:rPr>
          <w:sz w:val="22"/>
          <w:szCs w:val="22"/>
          <w:lang w:val="en-GB"/>
        </w:rPr>
      </w:pPr>
      <w:r>
        <w:rPr>
          <w:sz w:val="22"/>
          <w:szCs w:val="22"/>
          <w:lang w:val="en-GB"/>
        </w:rPr>
        <w:lastRenderedPageBreak/>
        <w:t>‘</w:t>
      </w:r>
      <w:r w:rsidR="005C755B">
        <w:rPr>
          <w:sz w:val="22"/>
          <w:szCs w:val="22"/>
          <w:lang w:val="en-GB"/>
        </w:rPr>
        <w:t>[T]</w:t>
      </w:r>
      <w:r>
        <w:rPr>
          <w:sz w:val="22"/>
          <w:szCs w:val="22"/>
          <w:lang w:val="en-GB"/>
        </w:rPr>
        <w:t xml:space="preserve">he circumstance that there may be reasonable or even good prospects of success on the merits would satisfy only one of the essential requirements for rescission of a default judgment. It may be that in certain circumstances, when the question of the sufficiency or otherwise of a defendant’s explanation for his being in default is finely balanced, the circumstance that his proposed defence carries reasonable or good prospects of success on the merits might tip the scale in his favour in the application for rescission. </w:t>
      </w:r>
      <w:r w:rsidR="00686098">
        <w:rPr>
          <w:sz w:val="22"/>
          <w:szCs w:val="22"/>
          <w:lang w:val="en-GB"/>
        </w:rPr>
        <w:t>But this is not to say that the stronger the prospects of success the more indulgently will the Court regard the explanation of the default. An unsatisfactory and unacceptable explanation remains so, whatever the prospects of success on the merits…’</w:t>
      </w:r>
      <w:r w:rsidR="00F1258B">
        <w:rPr>
          <w:sz w:val="22"/>
          <w:szCs w:val="22"/>
          <w:lang w:val="en-GB"/>
        </w:rPr>
        <w:t xml:space="preserve"> (</w:t>
      </w:r>
      <w:r w:rsidR="00D604C0">
        <w:rPr>
          <w:sz w:val="22"/>
          <w:szCs w:val="22"/>
          <w:lang w:val="en-GB"/>
        </w:rPr>
        <w:t>R</w:t>
      </w:r>
      <w:r w:rsidR="00F1258B">
        <w:rPr>
          <w:sz w:val="22"/>
          <w:szCs w:val="22"/>
          <w:lang w:val="en-GB"/>
        </w:rPr>
        <w:t>eferences omitted</w:t>
      </w:r>
      <w:r w:rsidR="00D604C0">
        <w:rPr>
          <w:sz w:val="22"/>
          <w:szCs w:val="22"/>
          <w:lang w:val="en-GB"/>
        </w:rPr>
        <w:t>.</w:t>
      </w:r>
      <w:r w:rsidR="00F1258B">
        <w:rPr>
          <w:sz w:val="22"/>
          <w:szCs w:val="22"/>
          <w:lang w:val="en-GB"/>
        </w:rPr>
        <w:t>)</w:t>
      </w:r>
    </w:p>
    <w:p w14:paraId="746BB894" w14:textId="77777777" w:rsidR="00CD66FD" w:rsidRDefault="00CD66FD" w:rsidP="003C3B71">
      <w:pPr>
        <w:pStyle w:val="ListParagraph"/>
        <w:autoSpaceDE w:val="0"/>
        <w:autoSpaceDN w:val="0"/>
        <w:adjustRightInd w:val="0"/>
        <w:ind w:left="0"/>
        <w:jc w:val="both"/>
        <w:rPr>
          <w:lang w:val="en-GB"/>
        </w:rPr>
      </w:pPr>
    </w:p>
    <w:p w14:paraId="1732349D" w14:textId="1266A9F6" w:rsidR="00CD66FD" w:rsidRPr="0064787B" w:rsidRDefault="0064787B" w:rsidP="0064787B">
      <w:pPr>
        <w:autoSpaceDE w:val="0"/>
        <w:autoSpaceDN w:val="0"/>
        <w:adjustRightInd w:val="0"/>
        <w:jc w:val="both"/>
        <w:rPr>
          <w:lang w:val="en-GB"/>
        </w:rPr>
      </w:pPr>
      <w:r>
        <w:rPr>
          <w:lang w:val="en-GB"/>
        </w:rPr>
        <w:t>[28]</w:t>
      </w:r>
      <w:r>
        <w:rPr>
          <w:lang w:val="en-GB"/>
        </w:rPr>
        <w:tab/>
      </w:r>
      <w:r w:rsidR="00D713E1" w:rsidRPr="0064787B">
        <w:rPr>
          <w:lang w:val="en-GB"/>
        </w:rPr>
        <w:t>The explanation offered by the applicant for its default suffers from serious defects. There is no accountability for the applicant’s own failure to pursue any enquiries as to the status of the matter</w:t>
      </w:r>
      <w:r w:rsidR="00A052EC" w:rsidRPr="0064787B">
        <w:rPr>
          <w:lang w:val="en-GB"/>
        </w:rPr>
        <w:t xml:space="preserve"> over an excessive </w:t>
      </w:r>
      <w:r w:rsidR="00271352" w:rsidRPr="0064787B">
        <w:rPr>
          <w:lang w:val="en-GB"/>
        </w:rPr>
        <w:t>period</w:t>
      </w:r>
      <w:r w:rsidR="00D713E1" w:rsidRPr="0064787B">
        <w:rPr>
          <w:lang w:val="en-GB"/>
        </w:rPr>
        <w:t xml:space="preserve">. CGIC is fingered as the driving force behind the litigation, yet no details are provided regarding the steps it took during </w:t>
      </w:r>
      <w:r w:rsidR="00BE3F34" w:rsidRPr="0064787B">
        <w:rPr>
          <w:lang w:val="en-GB"/>
        </w:rPr>
        <w:t>this prolonged</w:t>
      </w:r>
      <w:r w:rsidR="00D713E1" w:rsidRPr="0064787B">
        <w:rPr>
          <w:lang w:val="en-GB"/>
        </w:rPr>
        <w:t xml:space="preserve"> </w:t>
      </w:r>
      <w:r w:rsidR="006E1E6D" w:rsidRPr="0064787B">
        <w:rPr>
          <w:lang w:val="en-GB"/>
        </w:rPr>
        <w:t>period</w:t>
      </w:r>
      <w:r w:rsidR="00D713E1" w:rsidRPr="0064787B">
        <w:rPr>
          <w:lang w:val="en-GB"/>
        </w:rPr>
        <w:t xml:space="preserve">, and no supporting affidavit </w:t>
      </w:r>
      <w:r w:rsidR="006E1E6D" w:rsidRPr="0064787B">
        <w:rPr>
          <w:lang w:val="en-GB"/>
        </w:rPr>
        <w:t xml:space="preserve">from CGIC </w:t>
      </w:r>
      <w:r w:rsidR="00D713E1" w:rsidRPr="0064787B">
        <w:rPr>
          <w:lang w:val="en-GB"/>
        </w:rPr>
        <w:t>is offered.</w:t>
      </w:r>
      <w:r w:rsidR="006E1E6D" w:rsidRPr="0064787B">
        <w:rPr>
          <w:lang w:val="en-GB"/>
        </w:rPr>
        <w:t xml:space="preserve"> </w:t>
      </w:r>
      <w:r w:rsidR="00211BB2" w:rsidRPr="0064787B">
        <w:rPr>
          <w:lang w:val="en-GB"/>
        </w:rPr>
        <w:t xml:space="preserve">The court is left to speculate as to the extent of the ‘regular updates’ CGIC requested from Shamla Pather Attorneys and its thought process </w:t>
      </w:r>
      <w:r w:rsidR="00150AC3" w:rsidRPr="0064787B">
        <w:rPr>
          <w:lang w:val="en-GB"/>
        </w:rPr>
        <w:t xml:space="preserve">and actions </w:t>
      </w:r>
      <w:r w:rsidR="00166534" w:rsidRPr="0064787B">
        <w:rPr>
          <w:lang w:val="en-GB"/>
        </w:rPr>
        <w:t xml:space="preserve">when these requests were fruitless. </w:t>
      </w:r>
      <w:r w:rsidR="006E1E6D" w:rsidRPr="0064787B">
        <w:rPr>
          <w:lang w:val="en-GB"/>
        </w:rPr>
        <w:t>The negligent conduct of Shamla Pather Attorneys was, it seems, allowed to fester</w:t>
      </w:r>
      <w:r w:rsidR="00D260F3" w:rsidRPr="0064787B">
        <w:rPr>
          <w:lang w:val="en-GB"/>
        </w:rPr>
        <w:t xml:space="preserve"> because of the inactivity on the part of both the applicant and its insurer.</w:t>
      </w:r>
      <w:r w:rsidR="00D23149" w:rsidRPr="0064787B">
        <w:rPr>
          <w:lang w:val="en-GB"/>
        </w:rPr>
        <w:t xml:space="preserve"> In</w:t>
      </w:r>
      <w:r w:rsidR="003F52C1" w:rsidRPr="0064787B">
        <w:rPr>
          <w:lang w:val="en-GB"/>
        </w:rPr>
        <w:t xml:space="preserve"> these circumstances, </w:t>
      </w:r>
      <w:r w:rsidR="00D23149" w:rsidRPr="0064787B">
        <w:rPr>
          <w:lang w:val="en-GB"/>
        </w:rPr>
        <w:t xml:space="preserve">the point has been reached where the applicant </w:t>
      </w:r>
      <w:r w:rsidR="003F52C1" w:rsidRPr="0064787B">
        <w:rPr>
          <w:lang w:val="en-GB"/>
        </w:rPr>
        <w:t xml:space="preserve">is unable to escape the </w:t>
      </w:r>
      <w:r w:rsidR="00893654" w:rsidRPr="0064787B">
        <w:rPr>
          <w:lang w:val="en-GB"/>
        </w:rPr>
        <w:t xml:space="preserve">omissions of its chosen </w:t>
      </w:r>
      <w:r w:rsidR="00232783" w:rsidRPr="0064787B">
        <w:rPr>
          <w:lang w:val="en-GB"/>
        </w:rPr>
        <w:t xml:space="preserve">legal </w:t>
      </w:r>
      <w:r w:rsidR="00893654" w:rsidRPr="0064787B">
        <w:rPr>
          <w:lang w:val="en-GB"/>
        </w:rPr>
        <w:t>representatives.</w:t>
      </w:r>
    </w:p>
    <w:p w14:paraId="5854ABE2" w14:textId="634449E0" w:rsidR="00C5355C" w:rsidRDefault="00C5355C" w:rsidP="003C3B71">
      <w:pPr>
        <w:autoSpaceDE w:val="0"/>
        <w:autoSpaceDN w:val="0"/>
        <w:adjustRightInd w:val="0"/>
        <w:jc w:val="both"/>
        <w:rPr>
          <w:lang w:val="en-GB"/>
        </w:rPr>
      </w:pPr>
    </w:p>
    <w:p w14:paraId="4DD30305" w14:textId="7A28FE95" w:rsidR="00E36E2A" w:rsidRDefault="000E33CA" w:rsidP="003C3B71">
      <w:pPr>
        <w:autoSpaceDE w:val="0"/>
        <w:autoSpaceDN w:val="0"/>
        <w:adjustRightInd w:val="0"/>
        <w:jc w:val="both"/>
        <w:rPr>
          <w:b/>
          <w:bCs/>
          <w:i/>
          <w:iCs/>
          <w:lang w:val="en-GB"/>
        </w:rPr>
      </w:pPr>
      <w:r>
        <w:rPr>
          <w:b/>
          <w:bCs/>
          <w:i/>
          <w:iCs/>
          <w:lang w:val="en-GB"/>
        </w:rPr>
        <w:t>The case on the merits</w:t>
      </w:r>
    </w:p>
    <w:p w14:paraId="2D7F122D" w14:textId="77777777" w:rsidR="008E12DC" w:rsidRPr="00E36E2A" w:rsidRDefault="008E12DC" w:rsidP="003C3B71">
      <w:pPr>
        <w:autoSpaceDE w:val="0"/>
        <w:autoSpaceDN w:val="0"/>
        <w:adjustRightInd w:val="0"/>
        <w:jc w:val="both"/>
        <w:rPr>
          <w:b/>
          <w:bCs/>
          <w:i/>
          <w:iCs/>
          <w:lang w:val="en-GB"/>
        </w:rPr>
      </w:pPr>
    </w:p>
    <w:p w14:paraId="673FA4C6" w14:textId="41D2982A" w:rsidR="003C53D6" w:rsidRPr="0064787B" w:rsidRDefault="0064787B" w:rsidP="0064787B">
      <w:pPr>
        <w:autoSpaceDE w:val="0"/>
        <w:autoSpaceDN w:val="0"/>
        <w:adjustRightInd w:val="0"/>
        <w:jc w:val="both"/>
        <w:rPr>
          <w:lang w:val="en-GB"/>
        </w:rPr>
      </w:pPr>
      <w:r>
        <w:rPr>
          <w:lang w:val="en-GB"/>
        </w:rPr>
        <w:t>[29]</w:t>
      </w:r>
      <w:r>
        <w:rPr>
          <w:lang w:val="en-GB"/>
        </w:rPr>
        <w:tab/>
      </w:r>
      <w:r w:rsidR="00C5355C" w:rsidRPr="0064787B">
        <w:rPr>
          <w:lang w:val="en-GB"/>
        </w:rPr>
        <w:t>Strictly speaking that is the end of the matter and a basis for refusing common law rescission.</w:t>
      </w:r>
      <w:r w:rsidR="008747A7">
        <w:rPr>
          <w:rStyle w:val="FootnoteReference"/>
          <w:lang w:val="en-GB"/>
        </w:rPr>
        <w:footnoteReference w:id="31"/>
      </w:r>
      <w:r w:rsidR="00C5355C" w:rsidRPr="0064787B">
        <w:rPr>
          <w:lang w:val="en-GB"/>
        </w:rPr>
        <w:t xml:space="preserve"> </w:t>
      </w:r>
      <w:r w:rsidR="00CB1075" w:rsidRPr="0064787B">
        <w:rPr>
          <w:lang w:val="en-GB"/>
        </w:rPr>
        <w:t>Even</w:t>
      </w:r>
      <w:r w:rsidR="003E08F0" w:rsidRPr="0064787B">
        <w:rPr>
          <w:lang w:val="en-GB"/>
        </w:rPr>
        <w:t xml:space="preserve"> accepting that the poor explanation might be cured by strong prospects of success does not change the outcome. This is because it cannot be said, on the papers before me, that the applicant enjoys </w:t>
      </w:r>
      <w:r w:rsidR="00F51658" w:rsidRPr="0064787B">
        <w:rPr>
          <w:lang w:val="en-GB"/>
        </w:rPr>
        <w:t xml:space="preserve">anything beyond prima facie </w:t>
      </w:r>
      <w:r w:rsidR="003E08F0" w:rsidRPr="0064787B">
        <w:rPr>
          <w:lang w:val="en-GB"/>
        </w:rPr>
        <w:t>p</w:t>
      </w:r>
      <w:r w:rsidR="00F51658" w:rsidRPr="0064787B">
        <w:rPr>
          <w:lang w:val="en-GB"/>
        </w:rPr>
        <w:t>rospects of success.</w:t>
      </w:r>
      <w:r w:rsidR="00D76DEE" w:rsidRPr="0064787B">
        <w:rPr>
          <w:lang w:val="en-GB"/>
        </w:rPr>
        <w:t xml:space="preserve"> </w:t>
      </w:r>
    </w:p>
    <w:p w14:paraId="33E1DB2B" w14:textId="77777777" w:rsidR="003C53D6" w:rsidRDefault="003C53D6" w:rsidP="003C3B71">
      <w:pPr>
        <w:pStyle w:val="ListParagraph"/>
        <w:autoSpaceDE w:val="0"/>
        <w:autoSpaceDN w:val="0"/>
        <w:adjustRightInd w:val="0"/>
        <w:ind w:left="0"/>
        <w:jc w:val="both"/>
        <w:rPr>
          <w:lang w:val="en-GB"/>
        </w:rPr>
      </w:pPr>
    </w:p>
    <w:p w14:paraId="063BC222" w14:textId="0BDF1369" w:rsidR="00C5355C" w:rsidRPr="0064787B" w:rsidRDefault="0064787B" w:rsidP="0064787B">
      <w:pPr>
        <w:autoSpaceDE w:val="0"/>
        <w:autoSpaceDN w:val="0"/>
        <w:adjustRightInd w:val="0"/>
        <w:jc w:val="both"/>
        <w:rPr>
          <w:lang w:val="en-GB"/>
        </w:rPr>
      </w:pPr>
      <w:r>
        <w:rPr>
          <w:lang w:val="en-GB"/>
        </w:rPr>
        <w:t>[30]</w:t>
      </w:r>
      <w:r>
        <w:rPr>
          <w:lang w:val="en-GB"/>
        </w:rPr>
        <w:tab/>
      </w:r>
      <w:r w:rsidR="00D76DEE" w:rsidRPr="0064787B">
        <w:rPr>
          <w:lang w:val="en-GB"/>
        </w:rPr>
        <w:t>The particulars of claim reflect that the respondent entered into a credit agreement with the applicant following the hire of goods.</w:t>
      </w:r>
      <w:r w:rsidR="003E77B2" w:rsidRPr="0064787B">
        <w:rPr>
          <w:lang w:val="en-GB"/>
        </w:rPr>
        <w:t xml:space="preserve"> A deed of suretyship was </w:t>
      </w:r>
      <w:r w:rsidR="003E77B2" w:rsidRPr="0064787B">
        <w:rPr>
          <w:lang w:val="en-GB"/>
        </w:rPr>
        <w:lastRenderedPageBreak/>
        <w:t>signed by the respondent.</w:t>
      </w:r>
      <w:r w:rsidR="00EB4370" w:rsidRPr="0064787B">
        <w:rPr>
          <w:lang w:val="en-GB"/>
        </w:rPr>
        <w:t xml:space="preserve"> The applicant avers that it has complied with its obligations and that the respondent defaulted on his payment obligations.</w:t>
      </w:r>
      <w:r w:rsidR="004A4E9A" w:rsidRPr="0064787B">
        <w:rPr>
          <w:lang w:val="en-GB"/>
        </w:rPr>
        <w:t xml:space="preserve"> The respondent never pleaded to the particulars of claim because of the course the matter took. He says, in his answering affidavit, that he does not owe the plaintiff any money</w:t>
      </w:r>
      <w:r w:rsidR="007A5DAB" w:rsidRPr="0064787B">
        <w:rPr>
          <w:lang w:val="en-GB"/>
        </w:rPr>
        <w:t xml:space="preserve">, </w:t>
      </w:r>
      <w:r w:rsidR="004A4E9A" w:rsidRPr="0064787B">
        <w:rPr>
          <w:lang w:val="en-GB"/>
        </w:rPr>
        <w:t>did not breach any agreement with the applicant</w:t>
      </w:r>
      <w:r w:rsidR="007A5DAB" w:rsidRPr="0064787B">
        <w:rPr>
          <w:lang w:val="en-GB"/>
        </w:rPr>
        <w:t xml:space="preserve"> and has not been unjustifiably enriched.</w:t>
      </w:r>
      <w:r w:rsidR="006149BD" w:rsidRPr="0064787B">
        <w:rPr>
          <w:lang w:val="en-GB"/>
        </w:rPr>
        <w:t xml:space="preserve"> The merits of the action are otherwise not addressed by the parties.</w:t>
      </w:r>
      <w:r w:rsidR="004A4E9A" w:rsidRPr="0064787B">
        <w:rPr>
          <w:lang w:val="en-GB"/>
        </w:rPr>
        <w:t xml:space="preserve"> </w:t>
      </w:r>
    </w:p>
    <w:p w14:paraId="0E6EB43C" w14:textId="77777777" w:rsidR="00804838" w:rsidRDefault="00804838" w:rsidP="003C3B71">
      <w:pPr>
        <w:pStyle w:val="ListParagraph"/>
        <w:autoSpaceDE w:val="0"/>
        <w:autoSpaceDN w:val="0"/>
        <w:adjustRightInd w:val="0"/>
        <w:ind w:left="0"/>
        <w:jc w:val="both"/>
        <w:rPr>
          <w:lang w:val="en-GB"/>
        </w:rPr>
      </w:pPr>
    </w:p>
    <w:p w14:paraId="4FC0A3A7" w14:textId="1817A7AD" w:rsidR="001F581C" w:rsidRPr="0064787B" w:rsidRDefault="0064787B" w:rsidP="0064787B">
      <w:pPr>
        <w:autoSpaceDE w:val="0"/>
        <w:autoSpaceDN w:val="0"/>
        <w:adjustRightInd w:val="0"/>
        <w:jc w:val="both"/>
        <w:rPr>
          <w:sz w:val="22"/>
          <w:szCs w:val="22"/>
          <w:lang w:val="en-GB"/>
        </w:rPr>
      </w:pPr>
      <w:r w:rsidRPr="007202DD">
        <w:rPr>
          <w:sz w:val="22"/>
          <w:szCs w:val="22"/>
          <w:lang w:val="en-GB"/>
        </w:rPr>
        <w:t>[31]</w:t>
      </w:r>
      <w:r w:rsidRPr="007202DD">
        <w:rPr>
          <w:sz w:val="22"/>
          <w:szCs w:val="22"/>
          <w:lang w:val="en-GB"/>
        </w:rPr>
        <w:tab/>
      </w:r>
      <w:r w:rsidR="00621A45" w:rsidRPr="0064787B">
        <w:rPr>
          <w:lang w:val="en-GB"/>
        </w:rPr>
        <w:t>I have no difficulty in concluding that the applicant has made out a prima facie case on the merits</w:t>
      </w:r>
      <w:r w:rsidR="00EE4DAC" w:rsidRPr="0064787B">
        <w:rPr>
          <w:lang w:val="en-GB"/>
        </w:rPr>
        <w:t>, and that the application is brought bona fide</w:t>
      </w:r>
      <w:r w:rsidR="00621A45" w:rsidRPr="0064787B">
        <w:rPr>
          <w:lang w:val="en-GB"/>
        </w:rPr>
        <w:t>. Averments are set out which, if established at trial, would have entitled the applicant to the relief sought. This might have sufficed had the explanation for the default been sufficiently full. The applicant would then have been justified in not dealing more fully with the merits of the case.</w:t>
      </w:r>
      <w:r w:rsidR="00621A45">
        <w:rPr>
          <w:rStyle w:val="FootnoteReference"/>
          <w:lang w:val="en-GB"/>
        </w:rPr>
        <w:footnoteReference w:id="32"/>
      </w:r>
      <w:r w:rsidR="000F4A8F" w:rsidRPr="0064787B">
        <w:rPr>
          <w:lang w:val="en-GB"/>
        </w:rPr>
        <w:t xml:space="preserve"> But </w:t>
      </w:r>
      <w:r w:rsidR="000F4A8F" w:rsidRPr="0064787B">
        <w:rPr>
          <w:lang w:val="en-US"/>
        </w:rPr>
        <w:t>w</w:t>
      </w:r>
      <w:r w:rsidR="002A2C61" w:rsidRPr="0064787B">
        <w:rPr>
          <w:lang w:val="en-US"/>
        </w:rPr>
        <w:t xml:space="preserve">here the applicant has provided a poor explanation for default, a good </w:t>
      </w:r>
      <w:r w:rsidR="00E518AA" w:rsidRPr="0064787B">
        <w:rPr>
          <w:lang w:val="en-US"/>
        </w:rPr>
        <w:t>claim</w:t>
      </w:r>
      <w:r w:rsidR="002A2C61" w:rsidRPr="0064787B">
        <w:rPr>
          <w:lang w:val="en-US"/>
        </w:rPr>
        <w:t xml:space="preserve"> </w:t>
      </w:r>
      <w:r w:rsidR="000F4A8F" w:rsidRPr="0064787B">
        <w:rPr>
          <w:lang w:val="en-US"/>
        </w:rPr>
        <w:t>is required to</w:t>
      </w:r>
      <w:r w:rsidR="002A2C61" w:rsidRPr="0064787B">
        <w:rPr>
          <w:lang w:val="en-US"/>
        </w:rPr>
        <w:t xml:space="preserve"> compensate</w:t>
      </w:r>
      <w:r w:rsidR="000F4A8F" w:rsidRPr="0064787B">
        <w:rPr>
          <w:lang w:val="en-US"/>
        </w:rPr>
        <w:t xml:space="preserve"> for this</w:t>
      </w:r>
      <w:r w:rsidR="002A2C61" w:rsidRPr="0064787B">
        <w:rPr>
          <w:lang w:val="en-US"/>
        </w:rPr>
        <w:t>.</w:t>
      </w:r>
      <w:r w:rsidR="002A2C61" w:rsidRPr="00C5796D">
        <w:rPr>
          <w:rStyle w:val="FootnoteReference"/>
          <w:lang w:val="en-US"/>
        </w:rPr>
        <w:footnoteReference w:id="33"/>
      </w:r>
      <w:r w:rsidR="002A2C61" w:rsidRPr="0064787B">
        <w:rPr>
          <w:lang w:val="en-US"/>
        </w:rPr>
        <w:t xml:space="preserve"> </w:t>
      </w:r>
    </w:p>
    <w:p w14:paraId="2C53273E" w14:textId="77777777" w:rsidR="001F581C" w:rsidRPr="001F581C" w:rsidRDefault="001F581C" w:rsidP="003C3B71">
      <w:pPr>
        <w:pStyle w:val="ListParagraph"/>
        <w:ind w:left="0"/>
        <w:rPr>
          <w:lang w:val="en-US"/>
        </w:rPr>
      </w:pPr>
    </w:p>
    <w:p w14:paraId="495B5367" w14:textId="19A71916" w:rsidR="001F581C" w:rsidRPr="0064787B" w:rsidRDefault="0064787B" w:rsidP="0064787B">
      <w:pPr>
        <w:autoSpaceDE w:val="0"/>
        <w:autoSpaceDN w:val="0"/>
        <w:adjustRightInd w:val="0"/>
        <w:jc w:val="both"/>
        <w:rPr>
          <w:sz w:val="22"/>
          <w:szCs w:val="22"/>
          <w:lang w:val="en-GB"/>
        </w:rPr>
      </w:pPr>
      <w:r w:rsidRPr="007202DD">
        <w:rPr>
          <w:sz w:val="22"/>
          <w:szCs w:val="22"/>
          <w:lang w:val="en-GB"/>
        </w:rPr>
        <w:t>[32]</w:t>
      </w:r>
      <w:r w:rsidRPr="007202DD">
        <w:rPr>
          <w:sz w:val="22"/>
          <w:szCs w:val="22"/>
          <w:lang w:val="en-GB"/>
        </w:rPr>
        <w:tab/>
      </w:r>
      <w:r w:rsidR="003F062C" w:rsidRPr="0064787B">
        <w:rPr>
          <w:lang w:val="en-US"/>
        </w:rPr>
        <w:t xml:space="preserve">The court in </w:t>
      </w:r>
      <w:r w:rsidR="003F062C" w:rsidRPr="0064787B">
        <w:rPr>
          <w:i/>
          <w:iCs/>
          <w:lang w:val="en-US"/>
        </w:rPr>
        <w:t>Melane</w:t>
      </w:r>
      <w:r w:rsidR="006C40BE" w:rsidRPr="0064787B">
        <w:rPr>
          <w:i/>
          <w:iCs/>
          <w:lang w:val="en-US"/>
        </w:rPr>
        <w:t xml:space="preserve"> v Santam Insurance Co Ltd</w:t>
      </w:r>
      <w:r w:rsidR="003F062C" w:rsidRPr="0064787B">
        <w:rPr>
          <w:i/>
          <w:iCs/>
          <w:lang w:val="en-US"/>
        </w:rPr>
        <w:t xml:space="preserve"> </w:t>
      </w:r>
      <w:r w:rsidR="003F062C" w:rsidRPr="0064787B">
        <w:rPr>
          <w:lang w:val="en-US"/>
        </w:rPr>
        <w:t xml:space="preserve">in fact </w:t>
      </w:r>
      <w:r w:rsidR="006C40BE" w:rsidRPr="0064787B">
        <w:rPr>
          <w:lang w:val="en-US"/>
        </w:rPr>
        <w:t>referred</w:t>
      </w:r>
      <w:r w:rsidR="003F062C" w:rsidRPr="0064787B">
        <w:rPr>
          <w:lang w:val="en-US"/>
        </w:rPr>
        <w:t xml:space="preserve"> to ‘strong prospects’ being required in circumstances where </w:t>
      </w:r>
      <w:r w:rsidR="00B93321" w:rsidRPr="0064787B">
        <w:rPr>
          <w:lang w:val="en-US"/>
        </w:rPr>
        <w:t>a</w:t>
      </w:r>
      <w:r w:rsidR="003F062C" w:rsidRPr="0064787B">
        <w:rPr>
          <w:lang w:val="en-US"/>
        </w:rPr>
        <w:t xml:space="preserve"> delay was lengthy.</w:t>
      </w:r>
      <w:r w:rsidR="003F062C">
        <w:rPr>
          <w:rStyle w:val="FootnoteReference"/>
          <w:lang w:val="en-US"/>
        </w:rPr>
        <w:footnoteReference w:id="34"/>
      </w:r>
      <w:r w:rsidR="003F062C" w:rsidRPr="0064787B">
        <w:rPr>
          <w:lang w:val="en-US"/>
        </w:rPr>
        <w:t xml:space="preserve"> </w:t>
      </w:r>
      <w:r w:rsidR="00BD0214" w:rsidRPr="0064787B">
        <w:rPr>
          <w:lang w:val="en-US"/>
        </w:rPr>
        <w:t xml:space="preserve">Instead of attempting to </w:t>
      </w:r>
      <w:r w:rsidR="00264735" w:rsidRPr="0064787B">
        <w:rPr>
          <w:lang w:val="en-US"/>
        </w:rPr>
        <w:t>establish</w:t>
      </w:r>
      <w:r w:rsidR="00BD0214" w:rsidRPr="0064787B">
        <w:rPr>
          <w:lang w:val="en-US"/>
        </w:rPr>
        <w:t xml:space="preserve"> this, the applicant pays </w:t>
      </w:r>
      <w:r w:rsidR="00EF3FEF" w:rsidRPr="0064787B">
        <w:rPr>
          <w:lang w:val="en-US"/>
        </w:rPr>
        <w:t xml:space="preserve">almost no attention to this aspect in its application for rescission. </w:t>
      </w:r>
      <w:r w:rsidR="00D8265B" w:rsidRPr="0064787B">
        <w:rPr>
          <w:lang w:val="en-US"/>
        </w:rPr>
        <w:t xml:space="preserve">There is no separate heading in the founding affidavit dealing with this </w:t>
      </w:r>
      <w:r w:rsidR="00CB1075" w:rsidRPr="0064787B">
        <w:rPr>
          <w:lang w:val="en-US"/>
        </w:rPr>
        <w:t>issue</w:t>
      </w:r>
      <w:r w:rsidR="00D8265B" w:rsidRPr="0064787B">
        <w:rPr>
          <w:lang w:val="en-US"/>
        </w:rPr>
        <w:t xml:space="preserve"> and the applicant failed to reply to the respondent’s answering affidavit</w:t>
      </w:r>
      <w:r w:rsidR="005872D2" w:rsidRPr="0064787B">
        <w:rPr>
          <w:lang w:val="en-US"/>
        </w:rPr>
        <w:t>, which</w:t>
      </w:r>
      <w:r w:rsidR="000450ED" w:rsidRPr="0064787B">
        <w:rPr>
          <w:lang w:val="en-US"/>
        </w:rPr>
        <w:t xml:space="preserve"> refut</w:t>
      </w:r>
      <w:r w:rsidR="005872D2" w:rsidRPr="0064787B">
        <w:rPr>
          <w:lang w:val="en-US"/>
        </w:rPr>
        <w:t>ed</w:t>
      </w:r>
      <w:r w:rsidR="000450ED" w:rsidRPr="0064787B">
        <w:rPr>
          <w:lang w:val="en-US"/>
        </w:rPr>
        <w:t xml:space="preserve"> the merits of its claim</w:t>
      </w:r>
      <w:r w:rsidR="00D8265B" w:rsidRPr="0064787B">
        <w:rPr>
          <w:lang w:val="en-US"/>
        </w:rPr>
        <w:t>.</w:t>
      </w:r>
      <w:r w:rsidR="00B93321" w:rsidRPr="0064787B">
        <w:rPr>
          <w:lang w:val="en-US"/>
        </w:rPr>
        <w:t xml:space="preserve"> </w:t>
      </w:r>
    </w:p>
    <w:p w14:paraId="4F9B7640" w14:textId="77777777" w:rsidR="001F581C" w:rsidRPr="001F581C" w:rsidRDefault="001F581C" w:rsidP="003C3B71">
      <w:pPr>
        <w:pStyle w:val="ListParagraph"/>
        <w:ind w:left="0"/>
        <w:rPr>
          <w:lang w:val="en-US"/>
        </w:rPr>
      </w:pPr>
    </w:p>
    <w:p w14:paraId="1B7E14F9" w14:textId="63D1E404" w:rsidR="00BD0214" w:rsidRPr="0064787B" w:rsidRDefault="0064787B" w:rsidP="0064787B">
      <w:pPr>
        <w:autoSpaceDE w:val="0"/>
        <w:autoSpaceDN w:val="0"/>
        <w:adjustRightInd w:val="0"/>
        <w:jc w:val="both"/>
        <w:rPr>
          <w:sz w:val="22"/>
          <w:szCs w:val="22"/>
          <w:lang w:val="en-GB"/>
        </w:rPr>
      </w:pPr>
      <w:r w:rsidRPr="00BD0214">
        <w:rPr>
          <w:sz w:val="22"/>
          <w:szCs w:val="22"/>
          <w:lang w:val="en-GB"/>
        </w:rPr>
        <w:t>[33]</w:t>
      </w:r>
      <w:r w:rsidRPr="00BD0214">
        <w:rPr>
          <w:sz w:val="22"/>
          <w:szCs w:val="22"/>
          <w:lang w:val="en-GB"/>
        </w:rPr>
        <w:tab/>
      </w:r>
      <w:r w:rsidR="00B93321" w:rsidRPr="0064787B">
        <w:rPr>
          <w:lang w:val="en-US"/>
        </w:rPr>
        <w:t>As such, the applicant has failed to establish a bona fide claim which has good prospects of success</w:t>
      </w:r>
      <w:r w:rsidR="00A93CA3" w:rsidRPr="0064787B">
        <w:rPr>
          <w:lang w:val="en-US"/>
        </w:rPr>
        <w:t xml:space="preserve">, </w:t>
      </w:r>
      <w:r w:rsidR="001F581C" w:rsidRPr="0064787B">
        <w:rPr>
          <w:lang w:val="en-US"/>
        </w:rPr>
        <w:t>resulting in</w:t>
      </w:r>
      <w:r w:rsidR="00A93CA3" w:rsidRPr="0064787B">
        <w:rPr>
          <w:lang w:val="en-US"/>
        </w:rPr>
        <w:t xml:space="preserve"> rescission in terms of the common law </w:t>
      </w:r>
      <w:r w:rsidR="001F581C" w:rsidRPr="0064787B">
        <w:rPr>
          <w:lang w:val="en-US"/>
        </w:rPr>
        <w:t>being</w:t>
      </w:r>
      <w:r w:rsidR="00A93CA3" w:rsidRPr="0064787B">
        <w:rPr>
          <w:lang w:val="en-US"/>
        </w:rPr>
        <w:t xml:space="preserve"> </w:t>
      </w:r>
      <w:r w:rsidR="0003721A" w:rsidRPr="0064787B">
        <w:rPr>
          <w:lang w:val="en-US"/>
        </w:rPr>
        <w:t>unjustified</w:t>
      </w:r>
      <w:r w:rsidR="00A93CA3" w:rsidRPr="0064787B">
        <w:rPr>
          <w:lang w:val="en-US"/>
        </w:rPr>
        <w:t>.</w:t>
      </w:r>
      <w:r w:rsidR="00B93321" w:rsidRPr="00C5796D">
        <w:rPr>
          <w:rStyle w:val="FootnoteReference"/>
          <w:lang w:val="en-US"/>
        </w:rPr>
        <w:footnoteReference w:id="35"/>
      </w:r>
    </w:p>
    <w:p w14:paraId="4C04AE3C" w14:textId="3F0FDE00" w:rsidR="001F581C" w:rsidRDefault="001F581C" w:rsidP="003C3B71">
      <w:pPr>
        <w:rPr>
          <w:b/>
          <w:bCs/>
          <w:lang w:val="en-US"/>
        </w:rPr>
      </w:pPr>
    </w:p>
    <w:p w14:paraId="5EC47DD0" w14:textId="331B9045" w:rsidR="00D947F1" w:rsidRDefault="00D947F1" w:rsidP="003C3B71">
      <w:pPr>
        <w:rPr>
          <w:b/>
          <w:bCs/>
          <w:lang w:val="en-US"/>
        </w:rPr>
      </w:pPr>
    </w:p>
    <w:p w14:paraId="437A7CA2" w14:textId="4D0C3D53" w:rsidR="00D947F1" w:rsidRDefault="00D947F1" w:rsidP="003C3B71">
      <w:pPr>
        <w:rPr>
          <w:b/>
          <w:bCs/>
          <w:lang w:val="en-US"/>
        </w:rPr>
      </w:pPr>
    </w:p>
    <w:p w14:paraId="69997743" w14:textId="77777777" w:rsidR="00D947F1" w:rsidRDefault="00D947F1" w:rsidP="003C3B71">
      <w:pPr>
        <w:rPr>
          <w:b/>
          <w:bCs/>
          <w:lang w:val="en-US"/>
        </w:rPr>
      </w:pPr>
    </w:p>
    <w:p w14:paraId="430090A1" w14:textId="7FD1D0BB" w:rsidR="002A31AE" w:rsidRDefault="005F45B3" w:rsidP="003C3B71">
      <w:pPr>
        <w:rPr>
          <w:b/>
          <w:bCs/>
          <w:lang w:val="en-US"/>
        </w:rPr>
      </w:pPr>
      <w:r>
        <w:rPr>
          <w:b/>
          <w:bCs/>
          <w:lang w:val="en-US"/>
        </w:rPr>
        <w:lastRenderedPageBreak/>
        <w:t>Conclusion</w:t>
      </w:r>
    </w:p>
    <w:p w14:paraId="3FE51B5B" w14:textId="77777777" w:rsidR="002A31AE" w:rsidRPr="002A31AE" w:rsidRDefault="002A31AE" w:rsidP="003C3B71">
      <w:pPr>
        <w:rPr>
          <w:b/>
          <w:bCs/>
          <w:lang w:val="en-US"/>
        </w:rPr>
      </w:pPr>
    </w:p>
    <w:p w14:paraId="4DB86999" w14:textId="290435D3" w:rsidR="001F581C" w:rsidRPr="0064787B" w:rsidRDefault="0064787B" w:rsidP="0064787B">
      <w:pPr>
        <w:autoSpaceDE w:val="0"/>
        <w:autoSpaceDN w:val="0"/>
        <w:adjustRightInd w:val="0"/>
        <w:jc w:val="both"/>
        <w:rPr>
          <w:lang w:val="en-GB"/>
        </w:rPr>
      </w:pPr>
      <w:r w:rsidRPr="007202DD">
        <w:rPr>
          <w:lang w:val="en-GB"/>
        </w:rPr>
        <w:t>[34]</w:t>
      </w:r>
      <w:r w:rsidRPr="007202DD">
        <w:rPr>
          <w:lang w:val="en-GB"/>
        </w:rPr>
        <w:tab/>
      </w:r>
      <w:r w:rsidR="002A2C61" w:rsidRPr="0064787B">
        <w:rPr>
          <w:lang w:val="en-US"/>
        </w:rPr>
        <w:t xml:space="preserve">It remains the court’s task to consider all the relevant facts and circumstances applicable, and to exercise a judicial discretion following the application of a flexible approach centred on the principles of justice and fairness. </w:t>
      </w:r>
    </w:p>
    <w:p w14:paraId="753DA3F8" w14:textId="77777777" w:rsidR="001F581C" w:rsidRPr="007202DD" w:rsidRDefault="001F581C" w:rsidP="003C3B71">
      <w:pPr>
        <w:pStyle w:val="ListParagraph"/>
        <w:autoSpaceDE w:val="0"/>
        <w:autoSpaceDN w:val="0"/>
        <w:adjustRightInd w:val="0"/>
        <w:ind w:left="0"/>
        <w:jc w:val="both"/>
        <w:rPr>
          <w:lang w:val="en-GB"/>
        </w:rPr>
      </w:pPr>
    </w:p>
    <w:p w14:paraId="45523E35" w14:textId="25C42741" w:rsidR="00E97331" w:rsidRPr="0064787B" w:rsidRDefault="0064787B" w:rsidP="0064787B">
      <w:pPr>
        <w:autoSpaceDE w:val="0"/>
        <w:autoSpaceDN w:val="0"/>
        <w:adjustRightInd w:val="0"/>
        <w:jc w:val="both"/>
        <w:rPr>
          <w:lang w:val="en-GB"/>
        </w:rPr>
      </w:pPr>
      <w:r w:rsidRPr="00BF4E8B">
        <w:rPr>
          <w:lang w:val="en-GB"/>
        </w:rPr>
        <w:t>[35]</w:t>
      </w:r>
      <w:r w:rsidRPr="00BF4E8B">
        <w:rPr>
          <w:lang w:val="en-GB"/>
        </w:rPr>
        <w:tab/>
      </w:r>
      <w:r w:rsidR="006C294B" w:rsidRPr="0064787B">
        <w:rPr>
          <w:lang w:val="en-US"/>
        </w:rPr>
        <w:t>I have considered, inter alia, the respondent’s interests in bringing finality to the matter and the consequences of this application being unsuccessful</w:t>
      </w:r>
      <w:r w:rsidR="004C5379" w:rsidRPr="0064787B">
        <w:rPr>
          <w:lang w:val="en-US"/>
        </w:rPr>
        <w:t>,</w:t>
      </w:r>
      <w:r w:rsidR="006A5B24">
        <w:rPr>
          <w:rStyle w:val="FootnoteReference"/>
          <w:lang w:val="en-US"/>
        </w:rPr>
        <w:footnoteReference w:id="36"/>
      </w:r>
      <w:r w:rsidR="00474AA6" w:rsidRPr="0064787B">
        <w:rPr>
          <w:lang w:val="en-US"/>
        </w:rPr>
        <w:t xml:space="preserve"> </w:t>
      </w:r>
      <w:r w:rsidR="004C5379" w:rsidRPr="0064787B">
        <w:rPr>
          <w:lang w:val="en-US"/>
        </w:rPr>
        <w:t>together with the other factors highlighted above</w:t>
      </w:r>
      <w:r w:rsidR="0034177D" w:rsidRPr="0064787B">
        <w:rPr>
          <w:lang w:val="en-US"/>
        </w:rPr>
        <w:t>.</w:t>
      </w:r>
      <w:r w:rsidR="006C294B" w:rsidRPr="0064787B">
        <w:rPr>
          <w:lang w:val="en-US"/>
        </w:rPr>
        <w:t xml:space="preserve"> </w:t>
      </w:r>
      <w:r w:rsidR="0034177D" w:rsidRPr="0064787B">
        <w:rPr>
          <w:lang w:val="en-US"/>
        </w:rPr>
        <w:t>In essence, t</w:t>
      </w:r>
      <w:r w:rsidR="00F75F4B" w:rsidRPr="0064787B">
        <w:rPr>
          <w:lang w:val="en-US"/>
        </w:rPr>
        <w:t xml:space="preserve">he explanation for the applicant’s default is </w:t>
      </w:r>
      <w:r w:rsidR="00DA2620" w:rsidRPr="0064787B">
        <w:rPr>
          <w:lang w:val="en-US"/>
        </w:rPr>
        <w:t xml:space="preserve">wholly </w:t>
      </w:r>
      <w:r w:rsidR="00F75F4B" w:rsidRPr="0064787B">
        <w:rPr>
          <w:lang w:val="en-US"/>
        </w:rPr>
        <w:t xml:space="preserve">unreasonable. </w:t>
      </w:r>
      <w:r w:rsidR="00D607FB" w:rsidRPr="0064787B">
        <w:rPr>
          <w:lang w:val="en-US"/>
        </w:rPr>
        <w:t>While it may be</w:t>
      </w:r>
      <w:r w:rsidR="00F75F4B" w:rsidRPr="0064787B">
        <w:rPr>
          <w:lang w:val="en-US"/>
        </w:rPr>
        <w:t xml:space="preserve"> accept</w:t>
      </w:r>
      <w:r w:rsidR="00D607FB" w:rsidRPr="0064787B">
        <w:rPr>
          <w:lang w:val="en-US"/>
        </w:rPr>
        <w:t>ed</w:t>
      </w:r>
      <w:r w:rsidR="00F75F4B" w:rsidRPr="0064787B">
        <w:rPr>
          <w:lang w:val="en-US"/>
        </w:rPr>
        <w:t xml:space="preserve"> that the applicant’s claim is brought bona fide and establishes a prima facie case on the merits, </w:t>
      </w:r>
      <w:r w:rsidR="003E58DF" w:rsidRPr="0064787B">
        <w:rPr>
          <w:lang w:val="en-US"/>
        </w:rPr>
        <w:t xml:space="preserve">the applicant has </w:t>
      </w:r>
      <w:r w:rsidR="00C05B41" w:rsidRPr="0064787B">
        <w:rPr>
          <w:lang w:val="en-US"/>
        </w:rPr>
        <w:t>not succeeded in demonstrating good prospects</w:t>
      </w:r>
      <w:r w:rsidR="00635C80" w:rsidRPr="0064787B">
        <w:rPr>
          <w:lang w:val="en-US"/>
        </w:rPr>
        <w:t xml:space="preserve">. </w:t>
      </w:r>
      <w:r w:rsidR="00BF4E8B" w:rsidRPr="0064787B">
        <w:rPr>
          <w:lang w:val="en-US"/>
        </w:rPr>
        <w:t>In the circumstances t</w:t>
      </w:r>
      <w:r w:rsidR="0039156B" w:rsidRPr="0064787B">
        <w:rPr>
          <w:lang w:val="en-US"/>
        </w:rPr>
        <w:t>here is no basis to rescind the order of Dukada AJ, either in terms of Uniform Rule 42 or the common law</w:t>
      </w:r>
      <w:r w:rsidR="00BF4E8B" w:rsidRPr="0064787B">
        <w:rPr>
          <w:lang w:val="en-US"/>
        </w:rPr>
        <w:t xml:space="preserve">. </w:t>
      </w:r>
    </w:p>
    <w:p w14:paraId="129D2BB3" w14:textId="77777777" w:rsidR="00BF4E8B" w:rsidRPr="00BF4E8B" w:rsidRDefault="00BF4E8B" w:rsidP="003C3B71">
      <w:pPr>
        <w:pStyle w:val="ListParagraph"/>
        <w:autoSpaceDE w:val="0"/>
        <w:autoSpaceDN w:val="0"/>
        <w:adjustRightInd w:val="0"/>
        <w:ind w:left="0"/>
        <w:jc w:val="both"/>
        <w:rPr>
          <w:lang w:val="en-GB"/>
        </w:rPr>
      </w:pPr>
    </w:p>
    <w:p w14:paraId="4232F623" w14:textId="4E3C9F14" w:rsidR="00E97331" w:rsidRDefault="00E97331" w:rsidP="003C3B71">
      <w:pPr>
        <w:rPr>
          <w:b/>
          <w:bCs/>
          <w:lang w:val="en-GB"/>
        </w:rPr>
      </w:pPr>
      <w:r>
        <w:rPr>
          <w:b/>
          <w:bCs/>
          <w:lang w:val="en-GB"/>
        </w:rPr>
        <w:t>Order</w:t>
      </w:r>
    </w:p>
    <w:p w14:paraId="06AF9870" w14:textId="77777777" w:rsidR="00E97331" w:rsidRPr="00E97331" w:rsidRDefault="00E97331" w:rsidP="003C3B71">
      <w:pPr>
        <w:rPr>
          <w:b/>
          <w:bCs/>
          <w:lang w:val="en-GB"/>
        </w:rPr>
      </w:pPr>
    </w:p>
    <w:p w14:paraId="22FFAB10" w14:textId="561BCEC7" w:rsidR="00E97331" w:rsidRPr="0064787B" w:rsidRDefault="0064787B" w:rsidP="0064787B">
      <w:pPr>
        <w:autoSpaceDE w:val="0"/>
        <w:autoSpaceDN w:val="0"/>
        <w:adjustRightInd w:val="0"/>
        <w:jc w:val="both"/>
        <w:rPr>
          <w:lang w:val="en-GB"/>
        </w:rPr>
      </w:pPr>
      <w:r>
        <w:rPr>
          <w:lang w:val="en-GB"/>
        </w:rPr>
        <w:t>[36]</w:t>
      </w:r>
      <w:r>
        <w:rPr>
          <w:lang w:val="en-GB"/>
        </w:rPr>
        <w:tab/>
      </w:r>
      <w:r w:rsidR="000439C4" w:rsidRPr="0064787B">
        <w:rPr>
          <w:lang w:val="en-GB"/>
        </w:rPr>
        <w:t>The following order will issue:</w:t>
      </w:r>
    </w:p>
    <w:p w14:paraId="4B845B1E" w14:textId="77777777" w:rsidR="001C7D05" w:rsidRDefault="001C7D05" w:rsidP="003C3B71">
      <w:pPr>
        <w:pStyle w:val="ListParagraph"/>
        <w:autoSpaceDE w:val="0"/>
        <w:autoSpaceDN w:val="0"/>
        <w:adjustRightInd w:val="0"/>
        <w:ind w:left="0"/>
        <w:jc w:val="both"/>
        <w:rPr>
          <w:lang w:val="en-GB"/>
        </w:rPr>
      </w:pPr>
    </w:p>
    <w:p w14:paraId="364D7C3E" w14:textId="618BBEEA" w:rsidR="000439C4" w:rsidRPr="0064787B" w:rsidRDefault="0064787B" w:rsidP="0064787B">
      <w:pPr>
        <w:autoSpaceDE w:val="0"/>
        <w:autoSpaceDN w:val="0"/>
        <w:adjustRightInd w:val="0"/>
        <w:jc w:val="both"/>
        <w:rPr>
          <w:lang w:val="en-GB"/>
        </w:rPr>
      </w:pPr>
      <w:r w:rsidRPr="00044B50">
        <w:rPr>
          <w:lang w:val="en-GB"/>
        </w:rPr>
        <w:t>1.</w:t>
      </w:r>
      <w:r w:rsidRPr="00044B50">
        <w:rPr>
          <w:lang w:val="en-GB"/>
        </w:rPr>
        <w:tab/>
      </w:r>
      <w:r w:rsidR="000439C4" w:rsidRPr="0064787B">
        <w:rPr>
          <w:lang w:val="en-GB"/>
        </w:rPr>
        <w:t>The application is dismissed with costs.</w:t>
      </w:r>
    </w:p>
    <w:p w14:paraId="3117877B" w14:textId="77777777" w:rsidR="003C3BC6" w:rsidRPr="00044B50" w:rsidRDefault="003C3BC6" w:rsidP="003C3B71">
      <w:pPr>
        <w:autoSpaceDE w:val="0"/>
        <w:autoSpaceDN w:val="0"/>
        <w:adjustRightInd w:val="0"/>
        <w:jc w:val="both"/>
        <w:rPr>
          <w:lang w:val="en-GB"/>
        </w:rPr>
      </w:pPr>
    </w:p>
    <w:p w14:paraId="38FC7F46" w14:textId="77777777" w:rsidR="003C3BC6" w:rsidRPr="00044B50" w:rsidRDefault="003C3BC6" w:rsidP="003C3B71">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78AA936E" w:rsidR="007A7BBE" w:rsidRPr="00A87D38" w:rsidRDefault="007A7BBE" w:rsidP="008A75F3">
      <w:pPr>
        <w:widowControl w:val="0"/>
        <w:ind w:left="4320" w:firstLine="720"/>
        <w:rPr>
          <w:spacing w:val="14"/>
          <w:kern w:val="2"/>
          <w:lang w:val="en-GB"/>
        </w:rPr>
      </w:pPr>
      <w:r w:rsidRPr="00721B25">
        <w:rPr>
          <w:b/>
          <w:spacing w:val="14"/>
          <w:kern w:val="2"/>
          <w:lang w:val="en-GB"/>
        </w:rPr>
        <w:t>Heard</w:t>
      </w:r>
      <w:r w:rsidRPr="00A87D38">
        <w:rPr>
          <w:spacing w:val="14"/>
          <w:kern w:val="2"/>
          <w:lang w:val="en-GB"/>
        </w:rPr>
        <w:t>:</w:t>
      </w:r>
      <w:r w:rsidR="00721B25">
        <w:rPr>
          <w:spacing w:val="14"/>
          <w:kern w:val="2"/>
          <w:lang w:val="en-GB"/>
        </w:rPr>
        <w:t>15 September 2022</w:t>
      </w:r>
    </w:p>
    <w:p w14:paraId="5D550954" w14:textId="4C3F0091" w:rsidR="007A7BBE" w:rsidRDefault="007A7BBE" w:rsidP="008A75F3">
      <w:pPr>
        <w:widowControl w:val="0"/>
        <w:ind w:left="4320" w:firstLine="720"/>
        <w:rPr>
          <w:spacing w:val="14"/>
          <w:kern w:val="2"/>
          <w:lang w:val="en-GB"/>
        </w:rPr>
      </w:pPr>
      <w:r w:rsidRPr="00721B25">
        <w:rPr>
          <w:b/>
          <w:spacing w:val="14"/>
          <w:kern w:val="2"/>
          <w:lang w:val="en-GB"/>
        </w:rPr>
        <w:t>Delivered</w:t>
      </w:r>
      <w:r w:rsidRPr="00A87D38">
        <w:rPr>
          <w:spacing w:val="14"/>
          <w:kern w:val="2"/>
          <w:lang w:val="en-GB"/>
        </w:rPr>
        <w:t>:</w:t>
      </w:r>
      <w:r w:rsidR="00721B25">
        <w:rPr>
          <w:spacing w:val="14"/>
          <w:kern w:val="2"/>
          <w:lang w:val="en-GB"/>
        </w:rPr>
        <w:t xml:space="preserve">18 </w:t>
      </w:r>
      <w:r w:rsidR="003C3B71">
        <w:rPr>
          <w:spacing w:val="14"/>
          <w:kern w:val="2"/>
          <w:lang w:val="en-GB"/>
        </w:rPr>
        <w:t>October</w:t>
      </w:r>
      <w:r w:rsidR="00721B25">
        <w:rPr>
          <w:spacing w:val="14"/>
          <w:kern w:val="2"/>
          <w:lang w:val="en-GB"/>
        </w:rPr>
        <w:t xml:space="preserve"> 2022</w:t>
      </w:r>
    </w:p>
    <w:p w14:paraId="6FC967F0" w14:textId="77777777" w:rsidR="00721B25" w:rsidRPr="00A87D38" w:rsidRDefault="00721B25" w:rsidP="008A75F3">
      <w:pPr>
        <w:widowControl w:val="0"/>
        <w:ind w:left="4320" w:firstLine="720"/>
        <w:rPr>
          <w:spacing w:val="14"/>
          <w:kern w:val="2"/>
          <w:lang w:val="en-GB"/>
        </w:rPr>
      </w:pPr>
    </w:p>
    <w:p w14:paraId="398380BF" w14:textId="77777777" w:rsidR="007A7BBE" w:rsidRPr="00044B50" w:rsidRDefault="007A7BBE" w:rsidP="004A5151">
      <w:pPr>
        <w:autoSpaceDE w:val="0"/>
        <w:autoSpaceDN w:val="0"/>
        <w:adjustRightInd w:val="0"/>
        <w:jc w:val="both"/>
        <w:rPr>
          <w:lang w:val="en-GB"/>
        </w:rPr>
      </w:pPr>
    </w:p>
    <w:p w14:paraId="36D707CC" w14:textId="735540AD" w:rsidR="00721B25" w:rsidRPr="00721B25" w:rsidRDefault="007C247A" w:rsidP="00721B25">
      <w:pPr>
        <w:jc w:val="both"/>
        <w:rPr>
          <w:lang w:val="en-GB"/>
        </w:rPr>
      </w:pPr>
      <w:r w:rsidRPr="00044B50">
        <w:rPr>
          <w:lang w:val="en-GB"/>
        </w:rPr>
        <w:lastRenderedPageBreak/>
        <w:t>Appearances:</w:t>
      </w:r>
    </w:p>
    <w:p w14:paraId="7252E005" w14:textId="77777777" w:rsidR="00721B25" w:rsidRPr="00721B25" w:rsidRDefault="00721B25" w:rsidP="00721B25">
      <w:pPr>
        <w:jc w:val="both"/>
        <w:rPr>
          <w:color w:val="auto"/>
          <w:lang w:val="en-GB"/>
        </w:rPr>
      </w:pPr>
    </w:p>
    <w:p w14:paraId="70690185" w14:textId="706CBD57" w:rsidR="00721B25" w:rsidRPr="00721B25" w:rsidRDefault="00721B25" w:rsidP="003C3B71">
      <w:pPr>
        <w:tabs>
          <w:tab w:val="left" w:pos="2552"/>
          <w:tab w:val="left" w:pos="3261"/>
          <w:tab w:val="center" w:pos="4003"/>
        </w:tabs>
        <w:spacing w:after="268" w:line="240" w:lineRule="auto"/>
        <w:jc w:val="both"/>
        <w:rPr>
          <w:color w:val="auto"/>
        </w:rPr>
      </w:pPr>
      <w:r w:rsidRPr="00721B25">
        <w:rPr>
          <w:color w:val="auto"/>
        </w:rPr>
        <w:t>Counsel for the Applicant:</w:t>
      </w:r>
      <w:r w:rsidRPr="00721B25">
        <w:rPr>
          <w:color w:val="auto"/>
        </w:rPr>
        <w:tab/>
        <w:t xml:space="preserve">Adv </w:t>
      </w:r>
      <w:r>
        <w:rPr>
          <w:color w:val="auto"/>
        </w:rPr>
        <w:t>DC Botma</w:t>
      </w:r>
    </w:p>
    <w:p w14:paraId="076C4621" w14:textId="6D94617C" w:rsidR="00721B25" w:rsidRDefault="00721B25" w:rsidP="003C3B71">
      <w:pPr>
        <w:tabs>
          <w:tab w:val="left" w:pos="2552"/>
          <w:tab w:val="left" w:pos="3261"/>
        </w:tabs>
        <w:spacing w:after="268" w:line="240" w:lineRule="auto"/>
        <w:jc w:val="both"/>
        <w:rPr>
          <w:color w:val="auto"/>
        </w:rPr>
      </w:pPr>
      <w:r w:rsidRPr="00721B25">
        <w:rPr>
          <w:color w:val="auto"/>
        </w:rPr>
        <w:t>Instructed by:</w:t>
      </w:r>
      <w:r w:rsidR="003C3B71">
        <w:rPr>
          <w:color w:val="auto"/>
        </w:rPr>
        <w:tab/>
      </w:r>
      <w:r w:rsidR="003C3B71">
        <w:rPr>
          <w:color w:val="auto"/>
        </w:rPr>
        <w:tab/>
      </w:r>
      <w:r w:rsidR="000F5E9D">
        <w:rPr>
          <w:color w:val="auto"/>
        </w:rPr>
        <w:t>Smith Tabata Attorneys</w:t>
      </w:r>
    </w:p>
    <w:p w14:paraId="4E651259" w14:textId="7E2D9064" w:rsidR="000F5E9D" w:rsidRDefault="000F5E9D" w:rsidP="00721B25">
      <w:pPr>
        <w:tabs>
          <w:tab w:val="left" w:pos="3261"/>
          <w:tab w:val="left" w:pos="3544"/>
        </w:tabs>
        <w:spacing w:after="268" w:line="240" w:lineRule="auto"/>
        <w:jc w:val="both"/>
        <w:rPr>
          <w:color w:val="auto"/>
        </w:rPr>
      </w:pPr>
      <w:r>
        <w:rPr>
          <w:color w:val="auto"/>
        </w:rPr>
        <w:tab/>
        <w:t>12 St Helena Road</w:t>
      </w:r>
    </w:p>
    <w:p w14:paraId="1A59049B" w14:textId="5AC2CF28" w:rsidR="000F5E9D" w:rsidRPr="00721B25" w:rsidRDefault="000F5E9D" w:rsidP="00721B25">
      <w:pPr>
        <w:tabs>
          <w:tab w:val="left" w:pos="3261"/>
          <w:tab w:val="left" w:pos="3544"/>
        </w:tabs>
        <w:spacing w:after="268" w:line="240" w:lineRule="auto"/>
        <w:jc w:val="both"/>
        <w:rPr>
          <w:color w:val="auto"/>
        </w:rPr>
      </w:pPr>
      <w:r>
        <w:rPr>
          <w:color w:val="auto"/>
        </w:rPr>
        <w:tab/>
        <w:t>Beacon Bay</w:t>
      </w:r>
    </w:p>
    <w:p w14:paraId="0B0D210C" w14:textId="104E5C99" w:rsidR="00721B25" w:rsidRPr="00721B25" w:rsidRDefault="00721B25" w:rsidP="00721B25">
      <w:pPr>
        <w:tabs>
          <w:tab w:val="left" w:pos="3261"/>
          <w:tab w:val="left" w:pos="3402"/>
          <w:tab w:val="left" w:pos="3686"/>
          <w:tab w:val="center" w:pos="4003"/>
        </w:tabs>
        <w:spacing w:after="268" w:line="240" w:lineRule="auto"/>
        <w:jc w:val="both"/>
        <w:rPr>
          <w:color w:val="auto"/>
        </w:rPr>
      </w:pPr>
      <w:r w:rsidRPr="00721B25">
        <w:rPr>
          <w:color w:val="auto"/>
        </w:rPr>
        <w:tab/>
      </w:r>
      <w:r>
        <w:rPr>
          <w:color w:val="auto"/>
        </w:rPr>
        <w:t>East London</w:t>
      </w:r>
    </w:p>
    <w:p w14:paraId="11B9787E" w14:textId="50F08433" w:rsidR="00721B25" w:rsidRPr="00721B25" w:rsidRDefault="00721B25" w:rsidP="00721B25">
      <w:pPr>
        <w:tabs>
          <w:tab w:val="left" w:pos="3261"/>
          <w:tab w:val="left" w:pos="3402"/>
          <w:tab w:val="left" w:pos="3686"/>
          <w:tab w:val="center" w:pos="4003"/>
        </w:tabs>
        <w:spacing w:after="268" w:line="240" w:lineRule="auto"/>
        <w:jc w:val="both"/>
        <w:rPr>
          <w:color w:val="auto"/>
        </w:rPr>
      </w:pPr>
      <w:r w:rsidRPr="00721B25">
        <w:rPr>
          <w:color w:val="auto"/>
        </w:rPr>
        <w:tab/>
      </w:r>
      <w:r>
        <w:rPr>
          <w:color w:val="auto"/>
        </w:rPr>
        <w:t>043 703 1839</w:t>
      </w:r>
    </w:p>
    <w:p w14:paraId="0757913E" w14:textId="2EE07065" w:rsidR="00721B25" w:rsidRPr="00721B25" w:rsidRDefault="00721B25" w:rsidP="000F5E9D">
      <w:pPr>
        <w:tabs>
          <w:tab w:val="left" w:pos="3261"/>
          <w:tab w:val="left" w:pos="3402"/>
          <w:tab w:val="left" w:pos="3686"/>
          <w:tab w:val="center" w:pos="4003"/>
        </w:tabs>
        <w:spacing w:after="268" w:line="240" w:lineRule="auto"/>
        <w:jc w:val="both"/>
        <w:rPr>
          <w:color w:val="auto"/>
        </w:rPr>
      </w:pPr>
      <w:r w:rsidRPr="00721B25">
        <w:rPr>
          <w:color w:val="auto"/>
        </w:rPr>
        <w:tab/>
      </w:r>
    </w:p>
    <w:p w14:paraId="456BB005" w14:textId="3F26CE26" w:rsidR="00721B25" w:rsidRPr="00721B25" w:rsidRDefault="000F5E9D" w:rsidP="003C3B71">
      <w:pPr>
        <w:tabs>
          <w:tab w:val="left" w:pos="3261"/>
          <w:tab w:val="center" w:pos="3989"/>
        </w:tabs>
        <w:rPr>
          <w:color w:val="auto"/>
        </w:rPr>
      </w:pPr>
      <w:r>
        <w:rPr>
          <w:color w:val="auto"/>
        </w:rPr>
        <w:t>Counsel for the Respondent</w:t>
      </w:r>
      <w:r w:rsidR="00721B25" w:rsidRPr="00721B25">
        <w:rPr>
          <w:color w:val="auto"/>
        </w:rPr>
        <w:t xml:space="preserve">:   </w:t>
      </w:r>
      <w:r>
        <w:rPr>
          <w:color w:val="auto"/>
        </w:rPr>
        <w:t>Adv LL Sambudla</w:t>
      </w:r>
    </w:p>
    <w:p w14:paraId="4F4C8802" w14:textId="77777777" w:rsidR="00721B25" w:rsidRPr="00721B25" w:rsidRDefault="00721B25" w:rsidP="00721B25">
      <w:pPr>
        <w:tabs>
          <w:tab w:val="left" w:pos="3402"/>
          <w:tab w:val="center" w:pos="3989"/>
        </w:tabs>
        <w:rPr>
          <w:color w:val="auto"/>
        </w:rPr>
      </w:pPr>
      <w:r w:rsidRPr="00721B25">
        <w:rPr>
          <w:color w:val="auto"/>
        </w:rPr>
        <w:t xml:space="preserve"> </w:t>
      </w:r>
    </w:p>
    <w:p w14:paraId="460A868C" w14:textId="4376A066" w:rsidR="00721B25" w:rsidRPr="00721B25" w:rsidRDefault="00721B25" w:rsidP="003C3B71">
      <w:pPr>
        <w:tabs>
          <w:tab w:val="left" w:pos="2410"/>
          <w:tab w:val="left" w:pos="3261"/>
          <w:tab w:val="left" w:pos="3402"/>
          <w:tab w:val="left" w:pos="3686"/>
          <w:tab w:val="center" w:pos="4003"/>
        </w:tabs>
        <w:spacing w:after="268" w:line="240" w:lineRule="auto"/>
        <w:jc w:val="both"/>
        <w:rPr>
          <w:color w:val="auto"/>
        </w:rPr>
      </w:pPr>
      <w:r w:rsidRPr="00721B25">
        <w:rPr>
          <w:color w:val="auto"/>
        </w:rPr>
        <w:t>Instructed by:</w:t>
      </w:r>
      <w:r w:rsidR="003C3B71">
        <w:rPr>
          <w:color w:val="auto"/>
        </w:rPr>
        <w:tab/>
      </w:r>
      <w:r w:rsidRPr="00721B25">
        <w:rPr>
          <w:color w:val="auto"/>
        </w:rPr>
        <w:tab/>
      </w:r>
      <w:r w:rsidR="000F5E9D">
        <w:rPr>
          <w:color w:val="auto"/>
        </w:rPr>
        <w:t>Luzipho Attorneys</w:t>
      </w:r>
    </w:p>
    <w:p w14:paraId="1CD89030" w14:textId="543A6221" w:rsidR="00721B25" w:rsidRDefault="00721B25" w:rsidP="00721B25">
      <w:pPr>
        <w:tabs>
          <w:tab w:val="left" w:pos="3261"/>
          <w:tab w:val="left" w:pos="3402"/>
          <w:tab w:val="left" w:pos="3686"/>
          <w:tab w:val="center" w:pos="4003"/>
        </w:tabs>
        <w:spacing w:after="268" w:line="240" w:lineRule="auto"/>
        <w:jc w:val="both"/>
        <w:rPr>
          <w:color w:val="auto"/>
        </w:rPr>
      </w:pPr>
      <w:r w:rsidRPr="00721B25">
        <w:rPr>
          <w:color w:val="auto"/>
        </w:rPr>
        <w:tab/>
      </w:r>
      <w:r w:rsidR="000F5E9D">
        <w:rPr>
          <w:color w:val="auto"/>
        </w:rPr>
        <w:t>26 Cnr Victoria and Madeira Street</w:t>
      </w:r>
    </w:p>
    <w:p w14:paraId="5ED37C3B" w14:textId="5042A0B5" w:rsidR="000F5E9D" w:rsidRPr="00721B25" w:rsidRDefault="000F5E9D" w:rsidP="00721B25">
      <w:pPr>
        <w:tabs>
          <w:tab w:val="left" w:pos="3261"/>
          <w:tab w:val="left" w:pos="3402"/>
          <w:tab w:val="left" w:pos="3686"/>
          <w:tab w:val="center" w:pos="4003"/>
        </w:tabs>
        <w:spacing w:after="268" w:line="240" w:lineRule="auto"/>
        <w:jc w:val="both"/>
        <w:rPr>
          <w:color w:val="auto"/>
        </w:rPr>
      </w:pPr>
      <w:r>
        <w:rPr>
          <w:color w:val="auto"/>
        </w:rPr>
        <w:tab/>
        <w:t>First Floor Steve Motors Building</w:t>
      </w:r>
    </w:p>
    <w:p w14:paraId="3B20476C" w14:textId="6252AEC3" w:rsidR="00721B25" w:rsidRPr="00721B25" w:rsidRDefault="00721B25" w:rsidP="00721B25">
      <w:pPr>
        <w:tabs>
          <w:tab w:val="left" w:pos="3261"/>
          <w:tab w:val="left" w:pos="3402"/>
          <w:tab w:val="left" w:pos="3686"/>
          <w:tab w:val="center" w:pos="4003"/>
        </w:tabs>
        <w:spacing w:after="268" w:line="240" w:lineRule="auto"/>
        <w:jc w:val="both"/>
        <w:rPr>
          <w:color w:val="auto"/>
        </w:rPr>
      </w:pPr>
      <w:r w:rsidRPr="00721B25">
        <w:rPr>
          <w:color w:val="auto"/>
        </w:rPr>
        <w:tab/>
      </w:r>
      <w:r w:rsidR="000F5E9D">
        <w:rPr>
          <w:color w:val="auto"/>
        </w:rPr>
        <w:t>Mthatha</w:t>
      </w:r>
    </w:p>
    <w:p w14:paraId="6060C6BC" w14:textId="2821BFE3" w:rsidR="00721B25" w:rsidRPr="00721B25" w:rsidRDefault="00721B25" w:rsidP="00721B25">
      <w:pPr>
        <w:tabs>
          <w:tab w:val="left" w:pos="3261"/>
          <w:tab w:val="left" w:pos="3402"/>
          <w:tab w:val="left" w:pos="3686"/>
          <w:tab w:val="center" w:pos="4003"/>
        </w:tabs>
        <w:spacing w:after="268" w:line="240" w:lineRule="auto"/>
        <w:jc w:val="both"/>
        <w:rPr>
          <w:color w:val="auto"/>
        </w:rPr>
      </w:pPr>
      <w:r w:rsidRPr="00721B25">
        <w:rPr>
          <w:color w:val="auto"/>
        </w:rPr>
        <w:tab/>
      </w:r>
      <w:r w:rsidR="000F5E9D">
        <w:rPr>
          <w:color w:val="auto"/>
        </w:rPr>
        <w:t>047 531 1511</w:t>
      </w:r>
    </w:p>
    <w:p w14:paraId="7BB50597" w14:textId="23331166" w:rsidR="00721B25" w:rsidRPr="00721B25" w:rsidRDefault="00721B25" w:rsidP="00721B25">
      <w:pPr>
        <w:tabs>
          <w:tab w:val="left" w:pos="3261"/>
          <w:tab w:val="left" w:pos="3402"/>
          <w:tab w:val="left" w:pos="3686"/>
          <w:tab w:val="center" w:pos="4003"/>
        </w:tabs>
        <w:spacing w:after="268" w:line="240" w:lineRule="auto"/>
        <w:jc w:val="both"/>
        <w:rPr>
          <w:color w:val="auto"/>
        </w:rPr>
      </w:pPr>
      <w:r w:rsidRPr="00721B25">
        <w:rPr>
          <w:color w:val="auto"/>
        </w:rPr>
        <w:tab/>
      </w:r>
      <w:r w:rsidR="000F5E9D">
        <w:rPr>
          <w:color w:val="auto"/>
        </w:rPr>
        <w:t>tlluziphoattorneys@telkomsa.net</w:t>
      </w:r>
    </w:p>
    <w:p w14:paraId="3B70677B" w14:textId="77777777" w:rsidR="00C038B8" w:rsidRPr="00044B50" w:rsidRDefault="00C038B8" w:rsidP="00772E4B">
      <w:pPr>
        <w:tabs>
          <w:tab w:val="left" w:pos="3402"/>
          <w:tab w:val="center" w:pos="4003"/>
        </w:tabs>
        <w:ind w:hanging="142"/>
        <w:jc w:val="both"/>
        <w:rPr>
          <w:lang w:val="en-GB"/>
        </w:rPr>
      </w:pPr>
    </w:p>
    <w:p w14:paraId="454652EB" w14:textId="195A7A49" w:rsidR="007C247A" w:rsidRPr="00044B50" w:rsidRDefault="007C247A" w:rsidP="00772E4B">
      <w:pPr>
        <w:tabs>
          <w:tab w:val="left" w:pos="3402"/>
          <w:tab w:val="center" w:pos="4003"/>
        </w:tabs>
        <w:ind w:hanging="142"/>
        <w:jc w:val="both"/>
        <w:rPr>
          <w:lang w:val="en-GB"/>
        </w:rPr>
      </w:pPr>
      <w:r w:rsidRPr="00044B50">
        <w:rPr>
          <w:lang w:val="en-GB"/>
        </w:rPr>
        <w:tab/>
      </w:r>
    </w:p>
    <w:p w14:paraId="23C9F21C" w14:textId="05D338DA" w:rsidR="007C247A" w:rsidRPr="00044B50" w:rsidRDefault="007C247A" w:rsidP="00772E4B">
      <w:pPr>
        <w:tabs>
          <w:tab w:val="left" w:pos="3261"/>
          <w:tab w:val="left" w:pos="3544"/>
        </w:tabs>
        <w:jc w:val="both"/>
        <w:rPr>
          <w:lang w:val="en-GB"/>
        </w:rPr>
      </w:pPr>
      <w:r w:rsidRPr="00044B50">
        <w:rPr>
          <w:lang w:val="en-GB"/>
        </w:rPr>
        <w:t xml:space="preserve">                                                 </w:t>
      </w:r>
    </w:p>
    <w:p w14:paraId="1559F078" w14:textId="77777777" w:rsidR="007C247A" w:rsidRPr="00044B50" w:rsidRDefault="007C247A" w:rsidP="00772E4B">
      <w:pPr>
        <w:tabs>
          <w:tab w:val="center" w:pos="4003"/>
        </w:tabs>
        <w:rPr>
          <w:lang w:val="en-GB"/>
        </w:rPr>
      </w:pPr>
    </w:p>
    <w:p w14:paraId="366AEC55" w14:textId="151E63FB" w:rsidR="007C247A" w:rsidRPr="00044B50" w:rsidRDefault="006E4C1C" w:rsidP="00772E4B">
      <w:pPr>
        <w:tabs>
          <w:tab w:val="left" w:pos="3402"/>
          <w:tab w:val="center" w:pos="3989"/>
        </w:tabs>
        <w:ind w:hanging="142"/>
        <w:rPr>
          <w:lang w:val="en-GB"/>
        </w:rPr>
      </w:pPr>
      <w:r w:rsidRPr="00044B50">
        <w:rPr>
          <w:lang w:val="en-GB"/>
        </w:rPr>
        <w:tab/>
      </w:r>
    </w:p>
    <w:p w14:paraId="2C48F6E2" w14:textId="0012A9B0" w:rsidR="00AA32DA" w:rsidRPr="00044B50" w:rsidRDefault="00AA32DA" w:rsidP="00772E4B">
      <w:pPr>
        <w:tabs>
          <w:tab w:val="left" w:pos="3119"/>
          <w:tab w:val="center" w:pos="3989"/>
        </w:tabs>
        <w:rPr>
          <w:lang w:val="en-GB"/>
        </w:rPr>
      </w:pPr>
      <w:r w:rsidRPr="00044B50">
        <w:rPr>
          <w:lang w:val="en-GB"/>
        </w:rPr>
        <w:t xml:space="preserve">                                                 </w:t>
      </w:r>
    </w:p>
    <w:p w14:paraId="631AD31F" w14:textId="77590EF9" w:rsidR="008677E3" w:rsidRPr="00044B50" w:rsidRDefault="008677E3" w:rsidP="00772E4B">
      <w:pPr>
        <w:autoSpaceDE w:val="0"/>
        <w:autoSpaceDN w:val="0"/>
        <w:adjustRightInd w:val="0"/>
        <w:jc w:val="both"/>
        <w:rPr>
          <w:lang w:val="en-GB"/>
        </w:rPr>
      </w:pPr>
    </w:p>
    <w:sectPr w:rsidR="008677E3"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AC87" w14:textId="77777777" w:rsidR="00F37B45" w:rsidRDefault="00F37B45" w:rsidP="00005691">
      <w:r>
        <w:separator/>
      </w:r>
    </w:p>
  </w:endnote>
  <w:endnote w:type="continuationSeparator" w:id="0">
    <w:p w14:paraId="6083876C" w14:textId="77777777" w:rsidR="00F37B45" w:rsidRDefault="00F37B4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2590" w14:textId="77777777" w:rsidR="00F37B45" w:rsidRDefault="00F37B45" w:rsidP="00005691">
      <w:r>
        <w:separator/>
      </w:r>
    </w:p>
  </w:footnote>
  <w:footnote w:type="continuationSeparator" w:id="0">
    <w:p w14:paraId="05836EA7" w14:textId="77777777" w:rsidR="00F37B45" w:rsidRDefault="00F37B45" w:rsidP="00005691">
      <w:r>
        <w:continuationSeparator/>
      </w:r>
    </w:p>
  </w:footnote>
  <w:footnote w:id="1">
    <w:p w14:paraId="190A6CFD" w14:textId="7FE39D8C" w:rsidR="00DD489F" w:rsidRPr="00DD489F" w:rsidRDefault="00DD489F"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Bakoven Ltd v GJ Howes (Pty) Ltd </w:t>
      </w:r>
      <w:r>
        <w:rPr>
          <w:lang w:val="en-US"/>
        </w:rPr>
        <w:t>1992 (2) SA 466 (E) at 471E-F.</w:t>
      </w:r>
    </w:p>
  </w:footnote>
  <w:footnote w:id="2">
    <w:p w14:paraId="64BC9B65" w14:textId="4C75393A" w:rsidR="008A0E92" w:rsidRPr="008A0E92" w:rsidRDefault="008A0E92"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Nyingwa v Moolman NO </w:t>
      </w:r>
      <w:r>
        <w:rPr>
          <w:lang w:val="en-US"/>
        </w:rPr>
        <w:t>1993 (2) SA 508 (Tk) at 510D-G.</w:t>
      </w:r>
    </w:p>
  </w:footnote>
  <w:footnote w:id="3">
    <w:p w14:paraId="15201DB2" w14:textId="3C0552D7" w:rsidR="009B5B7E" w:rsidRPr="009B5B7E" w:rsidRDefault="009B5B7E" w:rsidP="004C74C9">
      <w:pPr>
        <w:pStyle w:val="FootnoteText"/>
        <w:spacing w:line="240" w:lineRule="auto"/>
        <w:jc w:val="both"/>
        <w:rPr>
          <w:lang w:val="en-US"/>
        </w:rPr>
      </w:pPr>
      <w:r>
        <w:rPr>
          <w:rStyle w:val="FootnoteReference"/>
        </w:rPr>
        <w:footnoteRef/>
      </w:r>
      <w:r>
        <w:t xml:space="preserve"> </w:t>
      </w:r>
      <w:r>
        <w:rPr>
          <w:i/>
          <w:iCs/>
          <w:lang w:val="en-US"/>
        </w:rPr>
        <w:t xml:space="preserve">Lodhi 2 Properties Investment CC v Bondev Developments (Pty) Ltd </w:t>
      </w:r>
      <w:r>
        <w:rPr>
          <w:lang w:val="en-US"/>
        </w:rPr>
        <w:t xml:space="preserve">2007 (6) SA 87 (SCA) </w:t>
      </w:r>
      <w:r w:rsidR="00C43060">
        <w:rPr>
          <w:lang w:val="en-US"/>
        </w:rPr>
        <w:t>(‘</w:t>
      </w:r>
      <w:r w:rsidR="00C43060">
        <w:rPr>
          <w:i/>
          <w:iCs/>
          <w:lang w:val="en-US"/>
        </w:rPr>
        <w:t>Lodhi</w:t>
      </w:r>
      <w:r w:rsidR="00C43060">
        <w:rPr>
          <w:lang w:val="en-US"/>
        </w:rPr>
        <w:t>’)</w:t>
      </w:r>
      <w:r w:rsidR="00C43060">
        <w:rPr>
          <w:i/>
          <w:iCs/>
          <w:lang w:val="en-US"/>
        </w:rPr>
        <w:t xml:space="preserve"> </w:t>
      </w:r>
      <w:r>
        <w:rPr>
          <w:lang w:val="en-US"/>
        </w:rPr>
        <w:t>at 94E.</w:t>
      </w:r>
    </w:p>
  </w:footnote>
  <w:footnote w:id="4">
    <w:p w14:paraId="126CAE63" w14:textId="3411D329" w:rsidR="00393A62" w:rsidRPr="00393A62" w:rsidRDefault="00393A62"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Promedia Drukkers &amp; Uitgawers (Edms) Bpk) v Kaimowitz</w:t>
      </w:r>
      <w:r>
        <w:rPr>
          <w:lang w:val="en-US"/>
        </w:rPr>
        <w:t xml:space="preserve"> 1996 (4) SA 411 (C). </w:t>
      </w:r>
    </w:p>
  </w:footnote>
  <w:footnote w:id="5">
    <w:p w14:paraId="1FF3A76A" w14:textId="02E8EDA7" w:rsidR="00795203" w:rsidRPr="00795203" w:rsidRDefault="00795203" w:rsidP="004C74C9">
      <w:pPr>
        <w:pStyle w:val="FootnoteText"/>
        <w:spacing w:line="240" w:lineRule="auto"/>
        <w:jc w:val="both"/>
        <w:rPr>
          <w:lang w:val="en-US"/>
        </w:rPr>
      </w:pPr>
      <w:r>
        <w:rPr>
          <w:rStyle w:val="FootnoteReference"/>
        </w:rPr>
        <w:footnoteRef/>
      </w:r>
      <w:r>
        <w:t xml:space="preserve"> </w:t>
      </w:r>
      <w:r>
        <w:rPr>
          <w:i/>
          <w:iCs/>
          <w:lang w:val="en-US"/>
        </w:rPr>
        <w:t xml:space="preserve">National Pride Trading 452 v Media 24 </w:t>
      </w:r>
      <w:r>
        <w:rPr>
          <w:lang w:val="en-US"/>
        </w:rPr>
        <w:t>2010 (6) SA 587 (ECP) para 27.</w:t>
      </w:r>
    </w:p>
  </w:footnote>
  <w:footnote w:id="6">
    <w:p w14:paraId="364978BB" w14:textId="3BCBDB6E" w:rsidR="00C43060" w:rsidRPr="00C43060" w:rsidRDefault="00C43060" w:rsidP="004C74C9">
      <w:pPr>
        <w:pStyle w:val="FootnoteText"/>
        <w:spacing w:line="240" w:lineRule="auto"/>
        <w:jc w:val="both"/>
        <w:rPr>
          <w:lang w:val="en-US"/>
        </w:rPr>
      </w:pPr>
      <w:r>
        <w:rPr>
          <w:rStyle w:val="FootnoteReference"/>
        </w:rPr>
        <w:footnoteRef/>
      </w:r>
      <w:r>
        <w:t xml:space="preserve"> </w:t>
      </w:r>
      <w:r>
        <w:rPr>
          <w:i/>
          <w:iCs/>
        </w:rPr>
        <w:t>Lodhi</w:t>
      </w:r>
      <w:r>
        <w:t xml:space="preserve"> op cit</w:t>
      </w:r>
      <w:r w:rsidR="00885DB3">
        <w:t xml:space="preserve"> fn 3</w:t>
      </w:r>
      <w:r>
        <w:t xml:space="preserve"> paras 25, 27.</w:t>
      </w:r>
    </w:p>
  </w:footnote>
  <w:footnote w:id="7">
    <w:p w14:paraId="51E6B2E5" w14:textId="6F8EB05C" w:rsidR="00CE6C5E" w:rsidRPr="001B3481" w:rsidRDefault="00CE6C5E" w:rsidP="004C74C9">
      <w:pPr>
        <w:pStyle w:val="FootnoteText"/>
        <w:spacing w:line="240" w:lineRule="auto"/>
        <w:jc w:val="both"/>
        <w:rPr>
          <w:lang w:val="en-US"/>
        </w:rPr>
      </w:pPr>
      <w:r>
        <w:rPr>
          <w:rStyle w:val="FootnoteReference"/>
        </w:rPr>
        <w:footnoteRef/>
      </w:r>
      <w:r>
        <w:t xml:space="preserve"> </w:t>
      </w:r>
      <w:r>
        <w:rPr>
          <w:lang w:val="en-US"/>
        </w:rPr>
        <w:t xml:space="preserve">See the comments of Plasket J, on behalf of a full bench, in </w:t>
      </w:r>
      <w:r>
        <w:rPr>
          <w:i/>
          <w:iCs/>
          <w:lang w:val="en-US"/>
        </w:rPr>
        <w:t xml:space="preserve">Ikamva </w:t>
      </w:r>
      <w:r w:rsidR="001B3481">
        <w:rPr>
          <w:i/>
          <w:iCs/>
          <w:lang w:val="en-US"/>
        </w:rPr>
        <w:t>Architects CC v MEC for the Department of Public Works and Another</w:t>
      </w:r>
      <w:r w:rsidR="001B3481">
        <w:rPr>
          <w:lang w:val="en-US"/>
        </w:rPr>
        <w:t xml:space="preserve"> [2014] ZAECGHC 70 paras 23, 24.</w:t>
      </w:r>
    </w:p>
  </w:footnote>
  <w:footnote w:id="8">
    <w:p w14:paraId="30A2FBD9" w14:textId="7E3AEABA" w:rsidR="00A50FA9" w:rsidRPr="00A50FA9" w:rsidRDefault="00A50FA9"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Athmaram v Singh </w:t>
      </w:r>
      <w:r>
        <w:rPr>
          <w:lang w:val="en-US"/>
        </w:rPr>
        <w:t>1989 (3) SA 953 (D) at 956I-957B.</w:t>
      </w:r>
    </w:p>
  </w:footnote>
  <w:footnote w:id="9">
    <w:p w14:paraId="77982F9A" w14:textId="6E93051F" w:rsidR="00AC1997" w:rsidRPr="00AC1997" w:rsidRDefault="00AC1997"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MEC for the Department of Public Works and Others v Ikamva Architects and Others</w:t>
      </w:r>
      <w:r>
        <w:rPr>
          <w:lang w:val="en-US"/>
        </w:rPr>
        <w:t xml:space="preserve"> [2022] ZAECBHC 13; [2022] 3 All SA 760 (ECB) para 16.</w:t>
      </w:r>
    </w:p>
  </w:footnote>
  <w:footnote w:id="10">
    <w:p w14:paraId="04CBC047" w14:textId="5E7393E0" w:rsidR="00F039DA" w:rsidRPr="00F039DA" w:rsidRDefault="00F039DA"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Athmaram v Singh </w:t>
      </w:r>
      <w:r w:rsidR="00A50FA9">
        <w:rPr>
          <w:lang w:val="en-US"/>
        </w:rPr>
        <w:t>op cit</w:t>
      </w:r>
      <w:r w:rsidR="0085078E">
        <w:rPr>
          <w:lang w:val="en-US"/>
        </w:rPr>
        <w:t xml:space="preserve"> fn 8</w:t>
      </w:r>
      <w:r w:rsidR="00A50FA9">
        <w:rPr>
          <w:lang w:val="en-US"/>
        </w:rPr>
        <w:t xml:space="preserve"> </w:t>
      </w:r>
      <w:r>
        <w:rPr>
          <w:lang w:val="en-US"/>
        </w:rPr>
        <w:t>at 956G-H.</w:t>
      </w:r>
    </w:p>
  </w:footnote>
  <w:footnote w:id="11">
    <w:p w14:paraId="044B67F2" w14:textId="5D7C7B78" w:rsidR="007923E9" w:rsidRPr="007923E9" w:rsidRDefault="007923E9" w:rsidP="004C74C9">
      <w:pPr>
        <w:pStyle w:val="FootnoteText"/>
        <w:spacing w:line="240" w:lineRule="auto"/>
        <w:jc w:val="both"/>
        <w:rPr>
          <w:lang w:val="en-US"/>
        </w:rPr>
      </w:pPr>
      <w:r>
        <w:rPr>
          <w:rStyle w:val="FootnoteReference"/>
        </w:rPr>
        <w:footnoteRef/>
      </w:r>
      <w:r>
        <w:t xml:space="preserve"> </w:t>
      </w:r>
      <w:r>
        <w:rPr>
          <w:lang w:val="en-US"/>
        </w:rPr>
        <w:t>Uniform Rule 39(3) provides: ‘If, when a trial is called, the defendant appears and the plaintiff does not appear, the defendant shall be entitled to an order granting absolution from the instance with costs, but may lead evidence with a view to satisfying the court that final judgment should be granted in his favour and the court, if so satisfied, may grant such judgment’</w:t>
      </w:r>
      <w:r w:rsidR="006C765E">
        <w:rPr>
          <w:lang w:val="en-US"/>
        </w:rPr>
        <w:t>.</w:t>
      </w:r>
    </w:p>
  </w:footnote>
  <w:footnote w:id="12">
    <w:p w14:paraId="10422A65" w14:textId="47EC8275" w:rsidR="00785388" w:rsidRPr="00063D3F" w:rsidRDefault="00785388" w:rsidP="004C74C9">
      <w:pPr>
        <w:pStyle w:val="FootnoteText"/>
        <w:spacing w:line="240" w:lineRule="auto"/>
        <w:jc w:val="both"/>
        <w:rPr>
          <w:lang w:val="en-US"/>
        </w:rPr>
      </w:pPr>
      <w:r>
        <w:rPr>
          <w:rStyle w:val="FootnoteReference"/>
        </w:rPr>
        <w:footnoteRef/>
      </w:r>
      <w:r>
        <w:t xml:space="preserve"> </w:t>
      </w:r>
      <w:r w:rsidR="007F3B81">
        <w:t xml:space="preserve">AC Cilliers, C Loots and H C Nel </w:t>
      </w:r>
      <w:r w:rsidR="007F3B81">
        <w:rPr>
          <w:i/>
          <w:iCs/>
        </w:rPr>
        <w:t xml:space="preserve">Herbstein and Van Winsen: The Civil Practice of the High Courts and the Supreme Court of Appeal of </w:t>
      </w:r>
      <w:r w:rsidR="007F3B81" w:rsidRPr="007F3B81">
        <w:rPr>
          <w:i/>
          <w:iCs/>
        </w:rPr>
        <w:t>South Africa</w:t>
      </w:r>
      <w:r w:rsidR="007F3B81">
        <w:t xml:space="preserve"> (5</w:t>
      </w:r>
      <w:r w:rsidR="007F3B81" w:rsidRPr="007F3B81">
        <w:rPr>
          <w:vertAlign w:val="superscript"/>
        </w:rPr>
        <w:t>th</w:t>
      </w:r>
      <w:r w:rsidR="007F3B81">
        <w:t xml:space="preserve"> Ed) (2009) (Juta) p 924. </w:t>
      </w:r>
      <w:r w:rsidR="007F3B81" w:rsidRPr="007F3B81">
        <w:t>Also</w:t>
      </w:r>
      <w:r w:rsidR="007F3B81">
        <w:t xml:space="preserve"> </w:t>
      </w:r>
      <w:r w:rsidR="007F3B81">
        <w:rPr>
          <w:lang w:val="en-US"/>
        </w:rPr>
        <w:t>s</w:t>
      </w:r>
      <w:r>
        <w:rPr>
          <w:lang w:val="en-US"/>
        </w:rPr>
        <w:t xml:space="preserve">ee </w:t>
      </w:r>
      <w:r>
        <w:rPr>
          <w:i/>
          <w:iCs/>
          <w:lang w:val="en-US"/>
        </w:rPr>
        <w:t>Makayiseni v Musarurgwa</w:t>
      </w:r>
      <w:r>
        <w:rPr>
          <w:lang w:val="en-US"/>
        </w:rPr>
        <w:t xml:space="preserve"> 1947 S.R. 160 at p</w:t>
      </w:r>
      <w:r w:rsidR="00063D3F">
        <w:rPr>
          <w:lang w:val="en-US"/>
        </w:rPr>
        <w:t xml:space="preserve">162 as cited in </w:t>
      </w:r>
      <w:r w:rsidR="00063D3F">
        <w:rPr>
          <w:i/>
          <w:iCs/>
          <w:lang w:val="en-US"/>
        </w:rPr>
        <w:t>Bulford v Bob White’s Service Station</w:t>
      </w:r>
      <w:r w:rsidR="00063D3F">
        <w:rPr>
          <w:lang w:val="en-US"/>
        </w:rPr>
        <w:t xml:space="preserve"> </w:t>
      </w:r>
      <w:r w:rsidR="00063D3F">
        <w:rPr>
          <w:i/>
          <w:iCs/>
          <w:lang w:val="en-US"/>
        </w:rPr>
        <w:t>(Pvt) Ltd</w:t>
      </w:r>
      <w:r w:rsidR="00063D3F">
        <w:rPr>
          <w:lang w:val="en-US"/>
        </w:rPr>
        <w:t xml:space="preserve"> 1973 (1) SA 188 (RA).</w:t>
      </w:r>
      <w:r w:rsidR="007F3B81">
        <w:rPr>
          <w:lang w:val="en-US"/>
        </w:rPr>
        <w:t xml:space="preserve"> </w:t>
      </w:r>
    </w:p>
  </w:footnote>
  <w:footnote w:id="13">
    <w:p w14:paraId="01960D33" w14:textId="677714BA" w:rsidR="00B80D32" w:rsidRPr="00B80D32" w:rsidRDefault="00B80D32" w:rsidP="004C74C9">
      <w:pPr>
        <w:pStyle w:val="FootnoteText"/>
        <w:spacing w:line="240" w:lineRule="auto"/>
        <w:jc w:val="both"/>
        <w:rPr>
          <w:lang w:val="en-US"/>
        </w:rPr>
      </w:pPr>
      <w:r>
        <w:rPr>
          <w:rStyle w:val="FootnoteReference"/>
        </w:rPr>
        <w:footnoteRef/>
      </w:r>
      <w:r>
        <w:t xml:space="preserve"> </w:t>
      </w:r>
      <w:r>
        <w:rPr>
          <w:lang w:val="en-US"/>
        </w:rPr>
        <w:t xml:space="preserve">Huber’s </w:t>
      </w:r>
      <w:r>
        <w:rPr>
          <w:i/>
          <w:iCs/>
          <w:lang w:val="en-US"/>
        </w:rPr>
        <w:t>Jurisprudence of my Time</w:t>
      </w:r>
      <w:r>
        <w:rPr>
          <w:lang w:val="en-US"/>
        </w:rPr>
        <w:t xml:space="preserve"> vol 2 ch 16 s 3 (translated by P Gane) as quoted in Cilliers </w:t>
      </w:r>
      <w:r>
        <w:rPr>
          <w:i/>
          <w:iCs/>
          <w:lang w:val="en-US"/>
        </w:rPr>
        <w:t>et al</w:t>
      </w:r>
      <w:r>
        <w:rPr>
          <w:lang w:val="en-US"/>
        </w:rPr>
        <w:t xml:space="preserve"> op cit </w:t>
      </w:r>
      <w:r w:rsidR="00331340">
        <w:rPr>
          <w:lang w:val="en-US"/>
        </w:rPr>
        <w:t xml:space="preserve">fn 12 </w:t>
      </w:r>
      <w:r w:rsidR="000A2886">
        <w:rPr>
          <w:lang w:val="en-US"/>
        </w:rPr>
        <w:t xml:space="preserve">at </w:t>
      </w:r>
      <w:r>
        <w:rPr>
          <w:lang w:val="en-US"/>
        </w:rPr>
        <w:t>918-919</w:t>
      </w:r>
      <w:r w:rsidR="001B0DB8">
        <w:rPr>
          <w:lang w:val="en-US"/>
        </w:rPr>
        <w:t>, fn 41.</w:t>
      </w:r>
    </w:p>
  </w:footnote>
  <w:footnote w:id="14">
    <w:p w14:paraId="7CB6F689" w14:textId="42BA371C" w:rsidR="006D40F6" w:rsidRPr="006D40F6" w:rsidRDefault="006D40F6" w:rsidP="004C74C9">
      <w:pPr>
        <w:pStyle w:val="FootnoteText"/>
        <w:spacing w:line="240" w:lineRule="auto"/>
        <w:jc w:val="both"/>
        <w:rPr>
          <w:lang w:val="en-US"/>
        </w:rPr>
      </w:pPr>
      <w:r>
        <w:rPr>
          <w:rStyle w:val="FootnoteReference"/>
        </w:rPr>
        <w:footnoteRef/>
      </w:r>
      <w:r>
        <w:t xml:space="preserve"> </w:t>
      </w:r>
      <w:r>
        <w:rPr>
          <w:lang w:val="en-US"/>
        </w:rPr>
        <w:t xml:space="preserve">Cilliers </w:t>
      </w:r>
      <w:r>
        <w:rPr>
          <w:i/>
          <w:iCs/>
          <w:lang w:val="en-US"/>
        </w:rPr>
        <w:t>et al</w:t>
      </w:r>
      <w:r>
        <w:rPr>
          <w:lang w:val="en-US"/>
        </w:rPr>
        <w:t xml:space="preserve"> op cit </w:t>
      </w:r>
      <w:r w:rsidR="008A1873">
        <w:rPr>
          <w:lang w:val="en-US"/>
        </w:rPr>
        <w:t xml:space="preserve">fn 12 </w:t>
      </w:r>
      <w:r>
        <w:rPr>
          <w:lang w:val="en-US"/>
        </w:rPr>
        <w:t>p 920.</w:t>
      </w:r>
    </w:p>
  </w:footnote>
  <w:footnote w:id="15">
    <w:p w14:paraId="211365DF" w14:textId="349884A2" w:rsidR="0051179E" w:rsidRPr="0051179E" w:rsidRDefault="0051179E" w:rsidP="004C74C9">
      <w:pPr>
        <w:pStyle w:val="FootnoteText"/>
        <w:spacing w:line="240" w:lineRule="auto"/>
        <w:jc w:val="both"/>
        <w:rPr>
          <w:lang w:val="en-US"/>
        </w:rPr>
      </w:pPr>
      <w:r>
        <w:rPr>
          <w:rStyle w:val="FootnoteReference"/>
        </w:rPr>
        <w:footnoteRef/>
      </w:r>
      <w:r>
        <w:t xml:space="preserve"> </w:t>
      </w:r>
      <w:r>
        <w:rPr>
          <w:i/>
          <w:iCs/>
          <w:lang w:val="en-US"/>
        </w:rPr>
        <w:t>Municipality of Christiana v Victor</w:t>
      </w:r>
      <w:r>
        <w:rPr>
          <w:lang w:val="en-US"/>
        </w:rPr>
        <w:t xml:space="preserve"> 1908 TS 1117 at 1118-1119.</w:t>
      </w:r>
    </w:p>
  </w:footnote>
  <w:footnote w:id="16">
    <w:p w14:paraId="13D06619" w14:textId="77777777" w:rsidR="006C765E" w:rsidRPr="00905BB3" w:rsidRDefault="006C765E" w:rsidP="006C765E">
      <w:pPr>
        <w:pStyle w:val="FootnoteText"/>
        <w:spacing w:line="240" w:lineRule="auto"/>
        <w:jc w:val="both"/>
        <w:rPr>
          <w:lang w:val="en-US"/>
        </w:rPr>
      </w:pPr>
      <w:r>
        <w:rPr>
          <w:rStyle w:val="FootnoteReference"/>
        </w:rPr>
        <w:footnoteRef/>
      </w:r>
      <w:r>
        <w:t xml:space="preserve"> </w:t>
      </w:r>
      <w:r>
        <w:rPr>
          <w:i/>
          <w:iCs/>
          <w:lang w:val="en-US"/>
        </w:rPr>
        <w:t>Becker v Wertheim, Becker &amp; Leveson</w:t>
      </w:r>
      <w:r>
        <w:rPr>
          <w:lang w:val="en-US"/>
        </w:rPr>
        <w:t xml:space="preserve"> 1943 (1) PH F.34 (A). </w:t>
      </w:r>
    </w:p>
  </w:footnote>
  <w:footnote w:id="17">
    <w:p w14:paraId="76DE7671" w14:textId="6292312E" w:rsidR="00610927" w:rsidRPr="00610927" w:rsidRDefault="00610927" w:rsidP="004C74C9">
      <w:pPr>
        <w:pStyle w:val="FootnoteText"/>
        <w:spacing w:line="240" w:lineRule="auto"/>
        <w:jc w:val="both"/>
        <w:rPr>
          <w:lang w:val="en-US"/>
        </w:rPr>
      </w:pPr>
      <w:r>
        <w:rPr>
          <w:rStyle w:val="FootnoteReference"/>
        </w:rPr>
        <w:footnoteRef/>
      </w:r>
      <w:r>
        <w:t xml:space="preserve"> </w:t>
      </w:r>
      <w:r>
        <w:rPr>
          <w:i/>
          <w:iCs/>
          <w:lang w:val="en-US"/>
        </w:rPr>
        <w:t>Eldred v Van Aardt &amp; Bell</w:t>
      </w:r>
      <w:r>
        <w:rPr>
          <w:lang w:val="en-US"/>
        </w:rPr>
        <w:t xml:space="preserve"> 1924 SWA 79 at 82.</w:t>
      </w:r>
    </w:p>
  </w:footnote>
  <w:footnote w:id="18">
    <w:p w14:paraId="25D9C15F" w14:textId="56B36D3C" w:rsidR="00C013DD" w:rsidRPr="00B24557" w:rsidRDefault="00C013DD" w:rsidP="004C74C9">
      <w:pPr>
        <w:pStyle w:val="FootnoteText"/>
        <w:spacing w:line="240" w:lineRule="auto"/>
        <w:jc w:val="both"/>
        <w:rPr>
          <w:lang w:val="en-US"/>
        </w:rPr>
      </w:pPr>
      <w:r>
        <w:rPr>
          <w:rStyle w:val="FootnoteReference"/>
        </w:rPr>
        <w:footnoteRef/>
      </w:r>
      <w:r>
        <w:t xml:space="preserve"> </w:t>
      </w:r>
      <w:r>
        <w:rPr>
          <w:lang w:val="en-US"/>
        </w:rPr>
        <w:t xml:space="preserve">Huber op cit </w:t>
      </w:r>
      <w:r w:rsidR="0056114F">
        <w:rPr>
          <w:lang w:val="en-US"/>
        </w:rPr>
        <w:t xml:space="preserve">fn 13 </w:t>
      </w:r>
      <w:r>
        <w:rPr>
          <w:lang w:val="en-US"/>
        </w:rPr>
        <w:t xml:space="preserve">s 4; </w:t>
      </w:r>
      <w:r>
        <w:rPr>
          <w:i/>
          <w:iCs/>
          <w:lang w:val="en-US"/>
        </w:rPr>
        <w:t>Corbidge v Welch</w:t>
      </w:r>
      <w:r>
        <w:rPr>
          <w:lang w:val="en-US"/>
        </w:rPr>
        <w:t xml:space="preserve"> (1892) 9 SC 277 at 279.</w:t>
      </w:r>
      <w:r w:rsidR="00B24557">
        <w:rPr>
          <w:lang w:val="en-US"/>
        </w:rPr>
        <w:t xml:space="preserve"> Also see </w:t>
      </w:r>
      <w:r w:rsidR="00C24458">
        <w:rPr>
          <w:lang w:val="en-US"/>
        </w:rPr>
        <w:t xml:space="preserve">the remarks of Jones J in </w:t>
      </w:r>
      <w:r w:rsidR="00B24557">
        <w:rPr>
          <w:i/>
          <w:iCs/>
          <w:lang w:val="en-US"/>
        </w:rPr>
        <w:t>Vena and Another v Vena and Others</w:t>
      </w:r>
      <w:r w:rsidR="00B24557">
        <w:rPr>
          <w:lang w:val="en-US"/>
        </w:rPr>
        <w:t xml:space="preserve"> [2009] ZAECPEHC 26; 2010 (2) SA 248 (ECP) para 8.</w:t>
      </w:r>
    </w:p>
  </w:footnote>
  <w:footnote w:id="19">
    <w:p w14:paraId="34114B96" w14:textId="6EB3ECFB" w:rsidR="00325CF2" w:rsidRPr="00325CF2" w:rsidRDefault="00325CF2" w:rsidP="004C74C9">
      <w:pPr>
        <w:pStyle w:val="FootnoteText"/>
        <w:spacing w:line="240" w:lineRule="auto"/>
        <w:jc w:val="both"/>
        <w:rPr>
          <w:lang w:val="en-US"/>
        </w:rPr>
      </w:pPr>
      <w:r>
        <w:rPr>
          <w:rStyle w:val="FootnoteReference"/>
        </w:rPr>
        <w:footnoteRef/>
      </w:r>
      <w:r>
        <w:t xml:space="preserve"> </w:t>
      </w:r>
      <w:r w:rsidR="00E570EA">
        <w:rPr>
          <w:lang w:val="en-US"/>
        </w:rPr>
        <w:t>Cf</w:t>
      </w:r>
      <w:r>
        <w:rPr>
          <w:lang w:val="en-US"/>
        </w:rPr>
        <w:t xml:space="preserve"> </w:t>
      </w:r>
      <w:r>
        <w:rPr>
          <w:i/>
          <w:iCs/>
          <w:lang w:val="en-US"/>
        </w:rPr>
        <w:t>MEC for the Department of Public Works and Others v Ikamva Architects and Others</w:t>
      </w:r>
      <w:r>
        <w:rPr>
          <w:lang w:val="en-US"/>
        </w:rPr>
        <w:t xml:space="preserve"> [2022] ZAECBHC 13; [2022] 3 All SA 760 (ECB) paras 17, 18.</w:t>
      </w:r>
    </w:p>
  </w:footnote>
  <w:footnote w:id="20">
    <w:p w14:paraId="4B40C54F" w14:textId="3F67E4F6" w:rsidR="004A0C0B" w:rsidRPr="00FF469F" w:rsidRDefault="004A0C0B" w:rsidP="004C74C9">
      <w:pPr>
        <w:pStyle w:val="FootnoteText"/>
        <w:spacing w:line="240" w:lineRule="auto"/>
        <w:jc w:val="both"/>
        <w:rPr>
          <w:lang w:val="en-US"/>
        </w:rPr>
      </w:pPr>
      <w:r>
        <w:rPr>
          <w:rStyle w:val="FootnoteReference"/>
        </w:rPr>
        <w:footnoteRef/>
      </w:r>
      <w:r>
        <w:t xml:space="preserve"> </w:t>
      </w:r>
      <w:r>
        <w:rPr>
          <w:i/>
          <w:iCs/>
        </w:rPr>
        <w:t xml:space="preserve">Athmaram v Singh </w:t>
      </w:r>
      <w:r w:rsidR="003F6530">
        <w:rPr>
          <w:lang w:val="en-US"/>
        </w:rPr>
        <w:t>op cit fn 8</w:t>
      </w:r>
      <w:r>
        <w:rPr>
          <w:lang w:val="en-US"/>
        </w:rPr>
        <w:t>.</w:t>
      </w:r>
      <w:r w:rsidR="00FF469F">
        <w:rPr>
          <w:lang w:val="en-US"/>
        </w:rPr>
        <w:t xml:space="preserve"> Cf </w:t>
      </w:r>
      <w:r w:rsidR="00FF469F">
        <w:rPr>
          <w:i/>
          <w:iCs/>
          <w:lang w:val="en-US"/>
        </w:rPr>
        <w:t>Standard Bank of SA Ltd v Van Dyk</w:t>
      </w:r>
      <w:r w:rsidR="00FF469F">
        <w:rPr>
          <w:lang w:val="en-US"/>
        </w:rPr>
        <w:t xml:space="preserve"> 2016 (5) SA 510 (GP), dealing with exceptions and Uniform Rule 26.</w:t>
      </w:r>
    </w:p>
  </w:footnote>
  <w:footnote w:id="21">
    <w:p w14:paraId="0EDE4729" w14:textId="282D4BA4" w:rsidR="004A0C0B" w:rsidRPr="00406F05" w:rsidRDefault="004A0C0B" w:rsidP="004C74C9">
      <w:pPr>
        <w:pStyle w:val="FootnoteText"/>
        <w:spacing w:line="240" w:lineRule="auto"/>
        <w:jc w:val="both"/>
        <w:rPr>
          <w:lang w:val="en-US"/>
        </w:rPr>
      </w:pPr>
      <w:r>
        <w:rPr>
          <w:rStyle w:val="FootnoteReference"/>
        </w:rPr>
        <w:footnoteRef/>
      </w:r>
      <w:r>
        <w:t xml:space="preserve"> </w:t>
      </w:r>
      <w:r>
        <w:rPr>
          <w:i/>
          <w:iCs/>
          <w:lang w:val="en-US"/>
        </w:rPr>
        <w:t>Colyn v Tiger Food Industries Ltd t/a Meadow Feed Mills (Cape)</w:t>
      </w:r>
      <w:r>
        <w:rPr>
          <w:lang w:val="en-US"/>
        </w:rPr>
        <w:t xml:space="preserve"> 2003 (6) SA 1 (SCA) </w:t>
      </w:r>
      <w:r w:rsidR="00A95DCF">
        <w:rPr>
          <w:lang w:val="en-US"/>
        </w:rPr>
        <w:t>(‘</w:t>
      </w:r>
      <w:r w:rsidR="00A95DCF">
        <w:rPr>
          <w:i/>
          <w:iCs/>
          <w:lang w:val="en-US"/>
        </w:rPr>
        <w:t>Colyn</w:t>
      </w:r>
      <w:r w:rsidR="00A95DCF">
        <w:rPr>
          <w:lang w:val="en-US"/>
        </w:rPr>
        <w:t xml:space="preserve">’) </w:t>
      </w:r>
      <w:r>
        <w:rPr>
          <w:lang w:val="en-US"/>
        </w:rPr>
        <w:t>para</w:t>
      </w:r>
      <w:r w:rsidR="005A36D5">
        <w:rPr>
          <w:lang w:val="en-US"/>
        </w:rPr>
        <w:t xml:space="preserve"> </w:t>
      </w:r>
      <w:r>
        <w:rPr>
          <w:lang w:val="en-US"/>
        </w:rPr>
        <w:t>9.</w:t>
      </w:r>
    </w:p>
  </w:footnote>
  <w:footnote w:id="22">
    <w:p w14:paraId="005CB31C" w14:textId="01A8F16E" w:rsidR="004A0C0B" w:rsidRPr="007D46FD" w:rsidRDefault="004A0C0B" w:rsidP="004C74C9">
      <w:pPr>
        <w:pStyle w:val="FootnoteText"/>
        <w:spacing w:line="240" w:lineRule="auto"/>
        <w:jc w:val="both"/>
        <w:rPr>
          <w:iCs/>
          <w:lang w:val="en-US"/>
        </w:rPr>
      </w:pPr>
      <w:r>
        <w:rPr>
          <w:rStyle w:val="FootnoteReference"/>
        </w:rPr>
        <w:footnoteRef/>
      </w:r>
      <w:r>
        <w:t xml:space="preserve"> </w:t>
      </w:r>
      <w:r>
        <w:rPr>
          <w:lang w:val="en-US"/>
        </w:rPr>
        <w:t xml:space="preserve">See </w:t>
      </w:r>
      <w:r>
        <w:rPr>
          <w:i/>
          <w:iCs/>
          <w:lang w:val="en-US"/>
        </w:rPr>
        <w:t xml:space="preserve">Chetty v Law Society, Transvaal </w:t>
      </w:r>
      <w:r>
        <w:rPr>
          <w:lang w:val="en-US"/>
        </w:rPr>
        <w:t>1985 (2) SA 756 (A) (‘</w:t>
      </w:r>
      <w:r>
        <w:rPr>
          <w:i/>
          <w:iCs/>
          <w:lang w:val="en-US"/>
        </w:rPr>
        <w:t>Chetty</w:t>
      </w:r>
      <w:r>
        <w:rPr>
          <w:lang w:val="en-US"/>
        </w:rPr>
        <w:t>’)</w:t>
      </w:r>
      <w:r>
        <w:rPr>
          <w:i/>
          <w:iCs/>
          <w:lang w:val="en-US"/>
        </w:rPr>
        <w:t xml:space="preserve"> </w:t>
      </w:r>
      <w:r>
        <w:rPr>
          <w:lang w:val="en-US"/>
        </w:rPr>
        <w:t>at 764I-J.</w:t>
      </w:r>
      <w:r w:rsidR="007D46FD">
        <w:rPr>
          <w:lang w:val="en-US"/>
        </w:rPr>
        <w:t xml:space="preserve"> Also see </w:t>
      </w:r>
      <w:r w:rsidR="007D46FD">
        <w:rPr>
          <w:i/>
          <w:lang w:val="en-US"/>
        </w:rPr>
        <w:t>Freedom Stationery (Pty) Ltd and Others v Hassam and Others</w:t>
      </w:r>
      <w:r w:rsidR="007D46FD">
        <w:rPr>
          <w:iCs/>
          <w:lang w:val="en-US"/>
        </w:rPr>
        <w:t xml:space="preserve"> 2019 (4) SA 459 (SCA) para 19.</w:t>
      </w:r>
    </w:p>
  </w:footnote>
  <w:footnote w:id="23">
    <w:p w14:paraId="159BB2BA" w14:textId="77777777" w:rsidR="00606D5C" w:rsidRPr="00DC6296" w:rsidRDefault="00606D5C" w:rsidP="004C74C9">
      <w:pPr>
        <w:pStyle w:val="FootnoteText"/>
        <w:spacing w:line="240" w:lineRule="auto"/>
        <w:jc w:val="both"/>
        <w:rPr>
          <w:lang w:val="en-US"/>
        </w:rPr>
      </w:pPr>
      <w:r>
        <w:rPr>
          <w:rStyle w:val="FootnoteReference"/>
        </w:rPr>
        <w:footnoteRef/>
      </w:r>
      <w:r>
        <w:t xml:space="preserve"> </w:t>
      </w:r>
      <w:r>
        <w:rPr>
          <w:i/>
          <w:iCs/>
          <w:lang w:val="en-US"/>
        </w:rPr>
        <w:t xml:space="preserve">De Wet and Others v Western Bank Ltd </w:t>
      </w:r>
      <w:r>
        <w:rPr>
          <w:lang w:val="en-US"/>
        </w:rPr>
        <w:t>1979 (2) SA 1031 (A) at 1042.</w:t>
      </w:r>
    </w:p>
  </w:footnote>
  <w:footnote w:id="24">
    <w:p w14:paraId="37F2E25F" w14:textId="6CCF5C95" w:rsidR="0088088D" w:rsidRPr="0088088D" w:rsidRDefault="0088088D" w:rsidP="004C74C9">
      <w:pPr>
        <w:pStyle w:val="FootnoteText"/>
        <w:spacing w:line="240" w:lineRule="auto"/>
        <w:jc w:val="both"/>
        <w:rPr>
          <w:lang w:val="en-US"/>
        </w:rPr>
      </w:pPr>
      <w:r>
        <w:rPr>
          <w:rStyle w:val="FootnoteReference"/>
        </w:rPr>
        <w:footnoteRef/>
      </w:r>
      <w:r>
        <w:t xml:space="preserve"> </w:t>
      </w:r>
      <w:r>
        <w:rPr>
          <w:i/>
          <w:iCs/>
          <w:lang w:val="en-US"/>
        </w:rPr>
        <w:t xml:space="preserve">Colyn </w:t>
      </w:r>
      <w:r>
        <w:rPr>
          <w:lang w:val="en-US"/>
        </w:rPr>
        <w:t xml:space="preserve">op cit </w:t>
      </w:r>
      <w:r w:rsidR="003F4EE5">
        <w:rPr>
          <w:lang w:val="en-US"/>
        </w:rPr>
        <w:t xml:space="preserve">fn 21 </w:t>
      </w:r>
      <w:r>
        <w:rPr>
          <w:lang w:val="en-US"/>
        </w:rPr>
        <w:t xml:space="preserve">para 11; </w:t>
      </w:r>
      <w:r>
        <w:rPr>
          <w:i/>
          <w:iCs/>
          <w:lang w:val="en-US"/>
        </w:rPr>
        <w:t>Ferris and Another v Firstrand Bank Ltd</w:t>
      </w:r>
      <w:r>
        <w:rPr>
          <w:lang w:val="en-US"/>
        </w:rPr>
        <w:t xml:space="preserve"> 2014 (3) SA 39 (CC) para 24.</w:t>
      </w:r>
      <w:r w:rsidR="00DD0BBF">
        <w:rPr>
          <w:lang w:val="en-US"/>
        </w:rPr>
        <w:t xml:space="preserve"> In </w:t>
      </w:r>
      <w:r w:rsidR="00DD0BBF">
        <w:rPr>
          <w:i/>
          <w:iCs/>
          <w:lang w:val="en-US"/>
        </w:rPr>
        <w:t xml:space="preserve">Promedia Drukkers &amp; Uitgawers (Edms) Bpk v Kaimowitz and Others </w:t>
      </w:r>
      <w:r w:rsidR="006336E9">
        <w:rPr>
          <w:lang w:val="en-US"/>
        </w:rPr>
        <w:t>op cit fn 4</w:t>
      </w:r>
      <w:r w:rsidR="00DD0BBF">
        <w:rPr>
          <w:lang w:val="en-US"/>
        </w:rPr>
        <w:t xml:space="preserve"> at 418A-D, the court had no difficulty in assuming that, in the case of dismissal of an action, as opposed to the dismissal of a defence, the second element would be satisfied if it was shown that the applicant had a bona fide claim carrying prima facie prospects of success.</w:t>
      </w:r>
    </w:p>
  </w:footnote>
  <w:footnote w:id="25">
    <w:p w14:paraId="5790985F" w14:textId="3A8562B2" w:rsidR="009B1CFC" w:rsidRPr="009B1CFC" w:rsidRDefault="009B1CFC"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HDS Construction (Pty) Ltd v Wait </w:t>
      </w:r>
      <w:r>
        <w:rPr>
          <w:lang w:val="en-US"/>
        </w:rPr>
        <w:t>1979 (2) SA 298 (E) at 30</w:t>
      </w:r>
      <w:r w:rsidR="005A36D5">
        <w:rPr>
          <w:lang w:val="en-US"/>
        </w:rPr>
        <w:t>0</w:t>
      </w:r>
      <w:r>
        <w:rPr>
          <w:lang w:val="en-US"/>
        </w:rPr>
        <w:t>–301B.</w:t>
      </w:r>
    </w:p>
  </w:footnote>
  <w:footnote w:id="26">
    <w:p w14:paraId="16BA8247" w14:textId="6D3B0D81" w:rsidR="003601C0" w:rsidRPr="00013676" w:rsidRDefault="003601C0" w:rsidP="004C74C9">
      <w:pPr>
        <w:pStyle w:val="FootnoteText"/>
        <w:spacing w:line="240" w:lineRule="auto"/>
        <w:jc w:val="both"/>
        <w:rPr>
          <w:lang w:val="en-US"/>
        </w:rPr>
      </w:pPr>
      <w:r>
        <w:rPr>
          <w:rStyle w:val="FootnoteReference"/>
        </w:rPr>
        <w:footnoteRef/>
      </w:r>
      <w:r>
        <w:t xml:space="preserve"> </w:t>
      </w:r>
      <w:r>
        <w:rPr>
          <w:i/>
          <w:iCs/>
          <w:lang w:val="en-US"/>
        </w:rPr>
        <w:t>Ferris v Firstrand Bank Ltd</w:t>
      </w:r>
      <w:r>
        <w:rPr>
          <w:lang w:val="en-US"/>
        </w:rPr>
        <w:t xml:space="preserve"> op cit </w:t>
      </w:r>
      <w:r w:rsidR="003627D7">
        <w:rPr>
          <w:lang w:val="en-US"/>
        </w:rPr>
        <w:t xml:space="preserve">fn 24 </w:t>
      </w:r>
      <w:r>
        <w:rPr>
          <w:lang w:val="en-US"/>
        </w:rPr>
        <w:t>para 25.</w:t>
      </w:r>
    </w:p>
  </w:footnote>
  <w:footnote w:id="27">
    <w:p w14:paraId="4A0AD424" w14:textId="61492708" w:rsidR="0057047B" w:rsidRPr="0057047B" w:rsidRDefault="0057047B">
      <w:pPr>
        <w:pStyle w:val="FootnoteText"/>
        <w:rPr>
          <w:lang w:val="en-US"/>
        </w:rPr>
      </w:pPr>
      <w:r>
        <w:rPr>
          <w:rStyle w:val="FootnoteReference"/>
        </w:rPr>
        <w:footnoteRef/>
      </w:r>
      <w:r>
        <w:t xml:space="preserve"> </w:t>
      </w:r>
      <w:r>
        <w:rPr>
          <w:i/>
          <w:iCs/>
          <w:lang w:val="en-US"/>
        </w:rPr>
        <w:t xml:space="preserve">Colyn </w:t>
      </w:r>
      <w:r>
        <w:rPr>
          <w:lang w:val="en-US"/>
        </w:rPr>
        <w:t xml:space="preserve">op cit </w:t>
      </w:r>
      <w:r w:rsidR="00C0241A">
        <w:rPr>
          <w:lang w:val="en-US"/>
        </w:rPr>
        <w:t xml:space="preserve">fn 21 </w:t>
      </w:r>
      <w:r>
        <w:rPr>
          <w:lang w:val="en-US"/>
        </w:rPr>
        <w:t>para 1</w:t>
      </w:r>
      <w:r w:rsidR="008A715E">
        <w:rPr>
          <w:lang w:val="en-US"/>
        </w:rPr>
        <w:t>2.</w:t>
      </w:r>
    </w:p>
  </w:footnote>
  <w:footnote w:id="28">
    <w:p w14:paraId="62F2877A" w14:textId="13403716" w:rsidR="00DD0D6A" w:rsidRPr="00DD0D6A" w:rsidRDefault="00DD0D6A" w:rsidP="004C74C9">
      <w:pPr>
        <w:pStyle w:val="FootnoteText"/>
        <w:spacing w:line="240" w:lineRule="auto"/>
        <w:jc w:val="both"/>
        <w:rPr>
          <w:lang w:val="en-US"/>
        </w:rPr>
      </w:pPr>
      <w:r>
        <w:rPr>
          <w:rStyle w:val="FootnoteReference"/>
        </w:rPr>
        <w:footnoteRef/>
      </w:r>
      <w:r>
        <w:t xml:space="preserve"> </w:t>
      </w:r>
      <w:r>
        <w:rPr>
          <w:i/>
          <w:iCs/>
          <w:lang w:val="en-US"/>
        </w:rPr>
        <w:t>Saloojee &amp; Another v Minister of Community Development</w:t>
      </w:r>
      <w:r>
        <w:rPr>
          <w:lang w:val="en-US"/>
        </w:rPr>
        <w:t xml:space="preserve"> 1965 (2) SA 135 (A) </w:t>
      </w:r>
      <w:r w:rsidR="000A01F8">
        <w:rPr>
          <w:lang w:val="en-US"/>
        </w:rPr>
        <w:t>at 141</w:t>
      </w:r>
      <w:r w:rsidR="00325207">
        <w:rPr>
          <w:lang w:val="en-US"/>
        </w:rPr>
        <w:t>D-F.</w:t>
      </w:r>
    </w:p>
  </w:footnote>
  <w:footnote w:id="29">
    <w:p w14:paraId="3A45A465" w14:textId="4C736C12" w:rsidR="008B1748" w:rsidRPr="008B1748" w:rsidRDefault="008B1748" w:rsidP="004C74C9">
      <w:pPr>
        <w:pStyle w:val="FootnoteText"/>
        <w:spacing w:line="240" w:lineRule="auto"/>
        <w:jc w:val="both"/>
        <w:rPr>
          <w:lang w:val="en-US"/>
        </w:rPr>
      </w:pPr>
      <w:r>
        <w:rPr>
          <w:rStyle w:val="FootnoteReference"/>
        </w:rPr>
        <w:footnoteRef/>
      </w:r>
      <w:r>
        <w:t xml:space="preserve"> </w:t>
      </w:r>
      <w:r>
        <w:rPr>
          <w:lang w:val="en-US"/>
        </w:rPr>
        <w:t>Ibid at 141</w:t>
      </w:r>
      <w:r w:rsidR="003A6A2B">
        <w:rPr>
          <w:lang w:val="en-US"/>
        </w:rPr>
        <w:t>F-H.</w:t>
      </w:r>
    </w:p>
  </w:footnote>
  <w:footnote w:id="30">
    <w:p w14:paraId="5B701E22" w14:textId="008ADBCE" w:rsidR="00A33E40" w:rsidRPr="00F32D09" w:rsidRDefault="00A33E40" w:rsidP="004C74C9">
      <w:pPr>
        <w:pStyle w:val="FootnoteText"/>
        <w:spacing w:line="240" w:lineRule="auto"/>
        <w:jc w:val="both"/>
        <w:rPr>
          <w:i/>
          <w:iCs/>
          <w:lang w:val="en-US"/>
        </w:rPr>
      </w:pPr>
      <w:r>
        <w:rPr>
          <w:rStyle w:val="FootnoteReference"/>
        </w:rPr>
        <w:footnoteRef/>
      </w:r>
      <w:r>
        <w:t xml:space="preserve"> </w:t>
      </w:r>
      <w:r>
        <w:rPr>
          <w:i/>
          <w:iCs/>
          <w:lang w:val="en-US"/>
        </w:rPr>
        <w:t>Chetty</w:t>
      </w:r>
      <w:r>
        <w:rPr>
          <w:lang w:val="en-US"/>
        </w:rPr>
        <w:t xml:space="preserve"> op cit </w:t>
      </w:r>
      <w:r w:rsidR="000E1219">
        <w:rPr>
          <w:lang w:val="en-US"/>
        </w:rPr>
        <w:t xml:space="preserve">fn 22 </w:t>
      </w:r>
      <w:r>
        <w:rPr>
          <w:lang w:val="en-US"/>
        </w:rPr>
        <w:t>at 767J-768</w:t>
      </w:r>
      <w:r w:rsidR="00A66A36">
        <w:rPr>
          <w:lang w:val="en-US"/>
        </w:rPr>
        <w:t>C</w:t>
      </w:r>
      <w:r w:rsidR="00AC4C2E">
        <w:rPr>
          <w:lang w:val="en-US"/>
        </w:rPr>
        <w:t>;</w:t>
      </w:r>
      <w:r w:rsidR="00F32D09">
        <w:rPr>
          <w:lang w:val="en-US"/>
        </w:rPr>
        <w:t xml:space="preserve"> </w:t>
      </w:r>
      <w:r w:rsidR="00F32D09">
        <w:rPr>
          <w:i/>
          <w:iCs/>
          <w:lang w:val="en-US"/>
        </w:rPr>
        <w:t>Government of the Republic of Zimbabwe v Fick and Others</w:t>
      </w:r>
      <w:r w:rsidR="00F32D09">
        <w:rPr>
          <w:lang w:val="en-US"/>
        </w:rPr>
        <w:t xml:space="preserve"> 2013 (5) SA 325 (CC) at 350D.</w:t>
      </w:r>
    </w:p>
  </w:footnote>
  <w:footnote w:id="31">
    <w:p w14:paraId="1AD742A2" w14:textId="6D558603" w:rsidR="008747A7" w:rsidRPr="008747A7" w:rsidRDefault="008747A7" w:rsidP="004C74C9">
      <w:pPr>
        <w:pStyle w:val="FootnoteText"/>
        <w:spacing w:line="240" w:lineRule="auto"/>
        <w:jc w:val="both"/>
        <w:rPr>
          <w:lang w:val="en-US"/>
        </w:rPr>
      </w:pPr>
      <w:r>
        <w:rPr>
          <w:rStyle w:val="FootnoteReference"/>
        </w:rPr>
        <w:footnoteRef/>
      </w:r>
      <w:r>
        <w:t xml:space="preserve"> </w:t>
      </w:r>
      <w:r w:rsidR="00362A7B">
        <w:rPr>
          <w:i/>
          <w:iCs/>
          <w:lang w:val="en-US"/>
        </w:rPr>
        <w:t xml:space="preserve">Chetty </w:t>
      </w:r>
      <w:r w:rsidR="00362A7B">
        <w:rPr>
          <w:lang w:val="en-US"/>
        </w:rPr>
        <w:t>op cit fn 22</w:t>
      </w:r>
      <w:r>
        <w:rPr>
          <w:lang w:val="en-US"/>
        </w:rPr>
        <w:t xml:space="preserve"> at </w:t>
      </w:r>
      <w:r w:rsidR="00E54186">
        <w:rPr>
          <w:lang w:val="en-US"/>
        </w:rPr>
        <w:t xml:space="preserve">765D-E; </w:t>
      </w:r>
      <w:r>
        <w:rPr>
          <w:lang w:val="en-US"/>
        </w:rPr>
        <w:t>768C-D</w:t>
      </w:r>
      <w:r w:rsidR="00E54186">
        <w:rPr>
          <w:lang w:val="en-US"/>
        </w:rPr>
        <w:t xml:space="preserve">. </w:t>
      </w:r>
    </w:p>
  </w:footnote>
  <w:footnote w:id="32">
    <w:p w14:paraId="72258A9F" w14:textId="6DD8956E" w:rsidR="00621A45" w:rsidRPr="00621A45" w:rsidRDefault="00621A45" w:rsidP="004C74C9">
      <w:pPr>
        <w:pStyle w:val="FootnoteText"/>
        <w:spacing w:line="240" w:lineRule="auto"/>
        <w:jc w:val="both"/>
        <w:rPr>
          <w:i/>
          <w:iCs/>
          <w:lang w:val="en-US"/>
        </w:rPr>
      </w:pPr>
      <w:r>
        <w:rPr>
          <w:rStyle w:val="FootnoteReference"/>
        </w:rPr>
        <w:footnoteRef/>
      </w:r>
      <w:r>
        <w:t xml:space="preserve"> </w:t>
      </w:r>
      <w:r>
        <w:rPr>
          <w:lang w:val="en-US"/>
        </w:rPr>
        <w:t xml:space="preserve">See </w:t>
      </w:r>
      <w:r>
        <w:rPr>
          <w:i/>
          <w:iCs/>
          <w:lang w:val="en-US"/>
        </w:rPr>
        <w:t>Marais v Standard Credit Corporation Ltd</w:t>
      </w:r>
      <w:r>
        <w:rPr>
          <w:lang w:val="en-US"/>
        </w:rPr>
        <w:t xml:space="preserve"> 2002 (4) SA 892 (W) at 895H-J.</w:t>
      </w:r>
    </w:p>
  </w:footnote>
  <w:footnote w:id="33">
    <w:p w14:paraId="677531B8" w14:textId="77777777" w:rsidR="002A2C61" w:rsidRPr="00191CDB" w:rsidRDefault="002A2C61" w:rsidP="004C74C9">
      <w:pPr>
        <w:pStyle w:val="FootnoteText"/>
        <w:spacing w:line="240" w:lineRule="auto"/>
        <w:jc w:val="both"/>
        <w:rPr>
          <w:lang w:val="en-US"/>
        </w:rPr>
      </w:pPr>
      <w:r>
        <w:rPr>
          <w:rStyle w:val="FootnoteReference"/>
        </w:rPr>
        <w:footnoteRef/>
      </w:r>
      <w:r>
        <w:t xml:space="preserve"> </w:t>
      </w:r>
      <w:r>
        <w:rPr>
          <w:i/>
          <w:iCs/>
          <w:lang w:val="en-US"/>
        </w:rPr>
        <w:t>Carolus v Saambou Bank Ltd; Smith v Saambou Bank Ltd</w:t>
      </w:r>
      <w:r>
        <w:rPr>
          <w:lang w:val="en-US"/>
        </w:rPr>
        <w:t xml:space="preserve"> 2002 (6) SA 346 (SE) at 349B-C.</w:t>
      </w:r>
    </w:p>
  </w:footnote>
  <w:footnote w:id="34">
    <w:p w14:paraId="4902A6B2" w14:textId="1C66E5AF" w:rsidR="003F062C" w:rsidRPr="004F19BB" w:rsidRDefault="003F062C" w:rsidP="004C74C9">
      <w:pPr>
        <w:pStyle w:val="FootnoteText"/>
        <w:spacing w:line="240" w:lineRule="auto"/>
        <w:jc w:val="both"/>
        <w:rPr>
          <w:lang w:val="en-US"/>
        </w:rPr>
      </w:pPr>
      <w:r>
        <w:rPr>
          <w:rStyle w:val="FootnoteReference"/>
        </w:rPr>
        <w:footnoteRef/>
      </w:r>
      <w:r>
        <w:t xml:space="preserve"> </w:t>
      </w:r>
      <w:r w:rsidR="006C40BE">
        <w:rPr>
          <w:i/>
          <w:iCs/>
        </w:rPr>
        <w:t xml:space="preserve">Melane v Santam Insurance Co Ltd </w:t>
      </w:r>
      <w:r w:rsidR="006C40BE">
        <w:t xml:space="preserve">1962 (4) SA 531 (A) </w:t>
      </w:r>
      <w:r w:rsidR="006C40BE">
        <w:rPr>
          <w:lang w:val="en-US"/>
        </w:rPr>
        <w:t>a</w:t>
      </w:r>
      <w:r>
        <w:rPr>
          <w:lang w:val="en-US"/>
        </w:rPr>
        <w:t>t 532E: ‘Or the importance of the issue and strong prospects of success may tend to compensate for a long delay.’</w:t>
      </w:r>
    </w:p>
  </w:footnote>
  <w:footnote w:id="35">
    <w:p w14:paraId="66C19428" w14:textId="7FAB5417" w:rsidR="00B93321" w:rsidRPr="00D02A30" w:rsidRDefault="00B93321" w:rsidP="004C74C9">
      <w:pPr>
        <w:pStyle w:val="FootnoteText"/>
        <w:spacing w:line="240" w:lineRule="auto"/>
        <w:jc w:val="both"/>
        <w:rPr>
          <w:lang w:val="en-US"/>
        </w:rPr>
      </w:pPr>
      <w:r>
        <w:rPr>
          <w:rStyle w:val="FootnoteReference"/>
        </w:rPr>
        <w:footnoteRef/>
      </w:r>
      <w:r>
        <w:t xml:space="preserve"> </w:t>
      </w:r>
      <w:r>
        <w:rPr>
          <w:i/>
          <w:iCs/>
          <w:lang w:val="en-US"/>
        </w:rPr>
        <w:t xml:space="preserve">Colyn </w:t>
      </w:r>
      <w:r w:rsidR="00DC58ED">
        <w:rPr>
          <w:lang w:val="en-US"/>
        </w:rPr>
        <w:t>op cit fn 21</w:t>
      </w:r>
      <w:r>
        <w:rPr>
          <w:i/>
          <w:iCs/>
          <w:lang w:val="en-US"/>
        </w:rPr>
        <w:t xml:space="preserve"> </w:t>
      </w:r>
      <w:r>
        <w:rPr>
          <w:lang w:val="en-US"/>
        </w:rPr>
        <w:t xml:space="preserve">at para 13. Also see </w:t>
      </w:r>
      <w:r w:rsidR="00EF1900">
        <w:rPr>
          <w:i/>
          <w:iCs/>
          <w:lang w:val="en-US"/>
        </w:rPr>
        <w:t xml:space="preserve">Government of the Republic of South Africa v </w:t>
      </w:r>
      <w:r>
        <w:rPr>
          <w:i/>
          <w:iCs/>
          <w:lang w:val="en-US"/>
        </w:rPr>
        <w:t xml:space="preserve">Fick </w:t>
      </w:r>
      <w:r w:rsidR="00C64B4A">
        <w:rPr>
          <w:lang w:val="en-US"/>
        </w:rPr>
        <w:t>op cit</w:t>
      </w:r>
      <w:r w:rsidR="00EA0677">
        <w:rPr>
          <w:lang w:val="en-US"/>
        </w:rPr>
        <w:t xml:space="preserve"> fn 30</w:t>
      </w:r>
      <w:r>
        <w:rPr>
          <w:i/>
          <w:iCs/>
          <w:lang w:val="en-US"/>
        </w:rPr>
        <w:t xml:space="preserve"> </w:t>
      </w:r>
      <w:r>
        <w:rPr>
          <w:lang w:val="en-US"/>
        </w:rPr>
        <w:t>at para 89.</w:t>
      </w:r>
    </w:p>
  </w:footnote>
  <w:footnote w:id="36">
    <w:p w14:paraId="1FD11077" w14:textId="173FD788" w:rsidR="006A5B24" w:rsidRPr="006C294B" w:rsidRDefault="006A5B24" w:rsidP="004C74C9">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Liberty Group Limited t/a Liberty Life v K&amp;D Telemarketing and Others</w:t>
      </w:r>
      <w:r>
        <w:rPr>
          <w:lang w:val="en-US"/>
        </w:rPr>
        <w:t xml:space="preserve"> [2020] ZASCA 41</w:t>
      </w:r>
      <w:r w:rsidR="00A13976">
        <w:rPr>
          <w:lang w:val="en-US"/>
        </w:rPr>
        <w:t xml:space="preserve"> paras 14-15</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74EBC6F4"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000E">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5F43"/>
    <w:multiLevelType w:val="hybridMultilevel"/>
    <w:tmpl w:val="3D762956"/>
    <w:lvl w:ilvl="0" w:tplc="FC1421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546C7"/>
    <w:multiLevelType w:val="hybridMultilevel"/>
    <w:tmpl w:val="966075BC"/>
    <w:lvl w:ilvl="0" w:tplc="FCC809DA">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260055">
    <w:abstractNumId w:val="2"/>
  </w:num>
  <w:num w:numId="2" w16cid:durableId="492376341">
    <w:abstractNumId w:val="0"/>
  </w:num>
  <w:num w:numId="3" w16cid:durableId="237058327">
    <w:abstractNumId w:val="4"/>
  </w:num>
  <w:num w:numId="4" w16cid:durableId="705569036">
    <w:abstractNumId w:val="3"/>
  </w:num>
  <w:num w:numId="5" w16cid:durableId="859392887">
    <w:abstractNumId w:val="10"/>
  </w:num>
  <w:num w:numId="6" w16cid:durableId="1994987406">
    <w:abstractNumId w:val="7"/>
  </w:num>
  <w:num w:numId="7" w16cid:durableId="1726945857">
    <w:abstractNumId w:val="12"/>
  </w:num>
  <w:num w:numId="8" w16cid:durableId="839613848">
    <w:abstractNumId w:val="1"/>
  </w:num>
  <w:num w:numId="9" w16cid:durableId="760101190">
    <w:abstractNumId w:val="5"/>
  </w:num>
  <w:num w:numId="10" w16cid:durableId="212549337">
    <w:abstractNumId w:val="8"/>
  </w:num>
  <w:num w:numId="11" w16cid:durableId="2018069961">
    <w:abstractNumId w:val="11"/>
  </w:num>
  <w:num w:numId="12" w16cid:durableId="1665741060">
    <w:abstractNumId w:val="9"/>
  </w:num>
  <w:num w:numId="13" w16cid:durableId="456215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935"/>
    <w:rsid w:val="0000217A"/>
    <w:rsid w:val="00002BA7"/>
    <w:rsid w:val="00004E1E"/>
    <w:rsid w:val="00005691"/>
    <w:rsid w:val="00005A8A"/>
    <w:rsid w:val="00005ABB"/>
    <w:rsid w:val="00005BC2"/>
    <w:rsid w:val="0000616F"/>
    <w:rsid w:val="0000642E"/>
    <w:rsid w:val="00006EF3"/>
    <w:rsid w:val="00007087"/>
    <w:rsid w:val="00007904"/>
    <w:rsid w:val="00010481"/>
    <w:rsid w:val="000109B4"/>
    <w:rsid w:val="00012A2F"/>
    <w:rsid w:val="00012B9D"/>
    <w:rsid w:val="00013676"/>
    <w:rsid w:val="00014437"/>
    <w:rsid w:val="00014770"/>
    <w:rsid w:val="00016FDA"/>
    <w:rsid w:val="0002087A"/>
    <w:rsid w:val="00021E0E"/>
    <w:rsid w:val="000220C3"/>
    <w:rsid w:val="00022804"/>
    <w:rsid w:val="00027DA3"/>
    <w:rsid w:val="00030A25"/>
    <w:rsid w:val="00031D16"/>
    <w:rsid w:val="000323B0"/>
    <w:rsid w:val="000341AF"/>
    <w:rsid w:val="00034B32"/>
    <w:rsid w:val="0003553E"/>
    <w:rsid w:val="0003721A"/>
    <w:rsid w:val="0004040E"/>
    <w:rsid w:val="00040F79"/>
    <w:rsid w:val="000422CD"/>
    <w:rsid w:val="00042F4C"/>
    <w:rsid w:val="0004347D"/>
    <w:rsid w:val="0004373B"/>
    <w:rsid w:val="000439C4"/>
    <w:rsid w:val="00044B50"/>
    <w:rsid w:val="000450ED"/>
    <w:rsid w:val="000451D0"/>
    <w:rsid w:val="00047035"/>
    <w:rsid w:val="000478E8"/>
    <w:rsid w:val="0005061D"/>
    <w:rsid w:val="00050FE8"/>
    <w:rsid w:val="00051F6C"/>
    <w:rsid w:val="000536DD"/>
    <w:rsid w:val="00053D81"/>
    <w:rsid w:val="00054DEC"/>
    <w:rsid w:val="00056042"/>
    <w:rsid w:val="00056FBA"/>
    <w:rsid w:val="000574BF"/>
    <w:rsid w:val="00061F24"/>
    <w:rsid w:val="00063188"/>
    <w:rsid w:val="00063299"/>
    <w:rsid w:val="00063C6E"/>
    <w:rsid w:val="00063D3F"/>
    <w:rsid w:val="00063D5A"/>
    <w:rsid w:val="0007050F"/>
    <w:rsid w:val="0007234C"/>
    <w:rsid w:val="00073EFC"/>
    <w:rsid w:val="000778A4"/>
    <w:rsid w:val="00080D4E"/>
    <w:rsid w:val="000815F5"/>
    <w:rsid w:val="00081E0E"/>
    <w:rsid w:val="00083322"/>
    <w:rsid w:val="00083386"/>
    <w:rsid w:val="000833DB"/>
    <w:rsid w:val="00083861"/>
    <w:rsid w:val="00084C6F"/>
    <w:rsid w:val="00085170"/>
    <w:rsid w:val="00086278"/>
    <w:rsid w:val="00086A06"/>
    <w:rsid w:val="0009015D"/>
    <w:rsid w:val="000910CD"/>
    <w:rsid w:val="00091F8C"/>
    <w:rsid w:val="0009497C"/>
    <w:rsid w:val="00096BC1"/>
    <w:rsid w:val="000976CA"/>
    <w:rsid w:val="000A01F8"/>
    <w:rsid w:val="000A1743"/>
    <w:rsid w:val="000A2886"/>
    <w:rsid w:val="000A59DC"/>
    <w:rsid w:val="000A638F"/>
    <w:rsid w:val="000A7ADE"/>
    <w:rsid w:val="000B0946"/>
    <w:rsid w:val="000B0DC8"/>
    <w:rsid w:val="000B26AE"/>
    <w:rsid w:val="000B26CF"/>
    <w:rsid w:val="000B5790"/>
    <w:rsid w:val="000B5FBC"/>
    <w:rsid w:val="000B6309"/>
    <w:rsid w:val="000B643B"/>
    <w:rsid w:val="000B7072"/>
    <w:rsid w:val="000B78EC"/>
    <w:rsid w:val="000C2D21"/>
    <w:rsid w:val="000C3531"/>
    <w:rsid w:val="000C3620"/>
    <w:rsid w:val="000C39A5"/>
    <w:rsid w:val="000C450C"/>
    <w:rsid w:val="000C7746"/>
    <w:rsid w:val="000C7A27"/>
    <w:rsid w:val="000D085B"/>
    <w:rsid w:val="000D0AAF"/>
    <w:rsid w:val="000D0D78"/>
    <w:rsid w:val="000D22FB"/>
    <w:rsid w:val="000D487F"/>
    <w:rsid w:val="000D4BFA"/>
    <w:rsid w:val="000D5068"/>
    <w:rsid w:val="000D667A"/>
    <w:rsid w:val="000E1219"/>
    <w:rsid w:val="000E1C45"/>
    <w:rsid w:val="000E2444"/>
    <w:rsid w:val="000E33CA"/>
    <w:rsid w:val="000E3E15"/>
    <w:rsid w:val="000E4F0D"/>
    <w:rsid w:val="000E5100"/>
    <w:rsid w:val="000E7ECD"/>
    <w:rsid w:val="000F05E0"/>
    <w:rsid w:val="000F1A95"/>
    <w:rsid w:val="000F3424"/>
    <w:rsid w:val="000F4A8F"/>
    <w:rsid w:val="000F5E9D"/>
    <w:rsid w:val="000F6BFE"/>
    <w:rsid w:val="000F7DF4"/>
    <w:rsid w:val="00100475"/>
    <w:rsid w:val="0010068E"/>
    <w:rsid w:val="00100F9A"/>
    <w:rsid w:val="0010218C"/>
    <w:rsid w:val="00102D5B"/>
    <w:rsid w:val="001044DB"/>
    <w:rsid w:val="00105EB6"/>
    <w:rsid w:val="0010622C"/>
    <w:rsid w:val="001078B5"/>
    <w:rsid w:val="00107A5F"/>
    <w:rsid w:val="0011026A"/>
    <w:rsid w:val="00110EF0"/>
    <w:rsid w:val="001124A5"/>
    <w:rsid w:val="00116EB9"/>
    <w:rsid w:val="00120A75"/>
    <w:rsid w:val="00120E93"/>
    <w:rsid w:val="001222C9"/>
    <w:rsid w:val="001226DE"/>
    <w:rsid w:val="00123296"/>
    <w:rsid w:val="00123556"/>
    <w:rsid w:val="00123C49"/>
    <w:rsid w:val="0012621C"/>
    <w:rsid w:val="00130228"/>
    <w:rsid w:val="00131984"/>
    <w:rsid w:val="00131A28"/>
    <w:rsid w:val="001337CC"/>
    <w:rsid w:val="00134C11"/>
    <w:rsid w:val="00135C81"/>
    <w:rsid w:val="00137E08"/>
    <w:rsid w:val="00142F79"/>
    <w:rsid w:val="001435EB"/>
    <w:rsid w:val="00144974"/>
    <w:rsid w:val="00146BA3"/>
    <w:rsid w:val="00150AC3"/>
    <w:rsid w:val="001517E0"/>
    <w:rsid w:val="00151F29"/>
    <w:rsid w:val="00157785"/>
    <w:rsid w:val="00157898"/>
    <w:rsid w:val="00157C19"/>
    <w:rsid w:val="00160EBC"/>
    <w:rsid w:val="00160F58"/>
    <w:rsid w:val="001620E4"/>
    <w:rsid w:val="00163A58"/>
    <w:rsid w:val="00164B7B"/>
    <w:rsid w:val="00165B89"/>
    <w:rsid w:val="00166534"/>
    <w:rsid w:val="00171C08"/>
    <w:rsid w:val="00172B5C"/>
    <w:rsid w:val="00173547"/>
    <w:rsid w:val="00174B6D"/>
    <w:rsid w:val="0017614D"/>
    <w:rsid w:val="00177CDE"/>
    <w:rsid w:val="0018006A"/>
    <w:rsid w:val="00180F4E"/>
    <w:rsid w:val="00181923"/>
    <w:rsid w:val="00181E7E"/>
    <w:rsid w:val="00182175"/>
    <w:rsid w:val="00184625"/>
    <w:rsid w:val="00185031"/>
    <w:rsid w:val="001863BC"/>
    <w:rsid w:val="00186769"/>
    <w:rsid w:val="001870AF"/>
    <w:rsid w:val="00191768"/>
    <w:rsid w:val="00192869"/>
    <w:rsid w:val="001943D2"/>
    <w:rsid w:val="001954F0"/>
    <w:rsid w:val="00195571"/>
    <w:rsid w:val="001955AB"/>
    <w:rsid w:val="00196742"/>
    <w:rsid w:val="001976C8"/>
    <w:rsid w:val="001A4F33"/>
    <w:rsid w:val="001B0D01"/>
    <w:rsid w:val="001B0DB8"/>
    <w:rsid w:val="001B2578"/>
    <w:rsid w:val="001B2FE4"/>
    <w:rsid w:val="001B3481"/>
    <w:rsid w:val="001B505F"/>
    <w:rsid w:val="001B69E3"/>
    <w:rsid w:val="001C04BC"/>
    <w:rsid w:val="001C2DD7"/>
    <w:rsid w:val="001C48A5"/>
    <w:rsid w:val="001C545F"/>
    <w:rsid w:val="001C5538"/>
    <w:rsid w:val="001C7061"/>
    <w:rsid w:val="001C7D05"/>
    <w:rsid w:val="001D0962"/>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0E67"/>
    <w:rsid w:val="001F2276"/>
    <w:rsid w:val="001F335C"/>
    <w:rsid w:val="001F3A41"/>
    <w:rsid w:val="001F4E51"/>
    <w:rsid w:val="001F581C"/>
    <w:rsid w:val="001F59AB"/>
    <w:rsid w:val="00201DC6"/>
    <w:rsid w:val="00201F12"/>
    <w:rsid w:val="00206D6C"/>
    <w:rsid w:val="00207573"/>
    <w:rsid w:val="002115FE"/>
    <w:rsid w:val="00211BB2"/>
    <w:rsid w:val="0021430F"/>
    <w:rsid w:val="00214463"/>
    <w:rsid w:val="00215EBC"/>
    <w:rsid w:val="0021730A"/>
    <w:rsid w:val="00217399"/>
    <w:rsid w:val="002203EC"/>
    <w:rsid w:val="00221172"/>
    <w:rsid w:val="00222854"/>
    <w:rsid w:val="00224363"/>
    <w:rsid w:val="00224623"/>
    <w:rsid w:val="0022594E"/>
    <w:rsid w:val="00226444"/>
    <w:rsid w:val="00226ADA"/>
    <w:rsid w:val="00227379"/>
    <w:rsid w:val="00231325"/>
    <w:rsid w:val="00232783"/>
    <w:rsid w:val="002327AF"/>
    <w:rsid w:val="0023410F"/>
    <w:rsid w:val="0023677B"/>
    <w:rsid w:val="00236B9D"/>
    <w:rsid w:val="0023768E"/>
    <w:rsid w:val="002402F6"/>
    <w:rsid w:val="00245504"/>
    <w:rsid w:val="00245BEB"/>
    <w:rsid w:val="00247551"/>
    <w:rsid w:val="00250530"/>
    <w:rsid w:val="0025056A"/>
    <w:rsid w:val="00252FC1"/>
    <w:rsid w:val="00253166"/>
    <w:rsid w:val="00253273"/>
    <w:rsid w:val="00256208"/>
    <w:rsid w:val="00256FCC"/>
    <w:rsid w:val="0025727B"/>
    <w:rsid w:val="00257A15"/>
    <w:rsid w:val="002606D8"/>
    <w:rsid w:val="00260A94"/>
    <w:rsid w:val="00260B67"/>
    <w:rsid w:val="002612A5"/>
    <w:rsid w:val="00261583"/>
    <w:rsid w:val="0026158F"/>
    <w:rsid w:val="00262D2A"/>
    <w:rsid w:val="002635B7"/>
    <w:rsid w:val="00263B8D"/>
    <w:rsid w:val="00264735"/>
    <w:rsid w:val="0026495C"/>
    <w:rsid w:val="00265010"/>
    <w:rsid w:val="00265180"/>
    <w:rsid w:val="00265AEB"/>
    <w:rsid w:val="0026634E"/>
    <w:rsid w:val="0026645C"/>
    <w:rsid w:val="002705E9"/>
    <w:rsid w:val="00271352"/>
    <w:rsid w:val="00273903"/>
    <w:rsid w:val="00274C64"/>
    <w:rsid w:val="00275410"/>
    <w:rsid w:val="00276100"/>
    <w:rsid w:val="00277EB6"/>
    <w:rsid w:val="002852C4"/>
    <w:rsid w:val="00285664"/>
    <w:rsid w:val="00287A18"/>
    <w:rsid w:val="00287A26"/>
    <w:rsid w:val="00290DC6"/>
    <w:rsid w:val="00290E92"/>
    <w:rsid w:val="0029395B"/>
    <w:rsid w:val="00294129"/>
    <w:rsid w:val="00294313"/>
    <w:rsid w:val="002960D0"/>
    <w:rsid w:val="0029671C"/>
    <w:rsid w:val="00297534"/>
    <w:rsid w:val="002975FB"/>
    <w:rsid w:val="002A01B5"/>
    <w:rsid w:val="002A049F"/>
    <w:rsid w:val="002A080F"/>
    <w:rsid w:val="002A0EB5"/>
    <w:rsid w:val="002A157A"/>
    <w:rsid w:val="002A1950"/>
    <w:rsid w:val="002A1D97"/>
    <w:rsid w:val="002A1E2F"/>
    <w:rsid w:val="002A21AF"/>
    <w:rsid w:val="002A2AA4"/>
    <w:rsid w:val="002A2C61"/>
    <w:rsid w:val="002A31AE"/>
    <w:rsid w:val="002A3836"/>
    <w:rsid w:val="002A3C5C"/>
    <w:rsid w:val="002A61D9"/>
    <w:rsid w:val="002A6332"/>
    <w:rsid w:val="002A6593"/>
    <w:rsid w:val="002A6B82"/>
    <w:rsid w:val="002A73A7"/>
    <w:rsid w:val="002B31B7"/>
    <w:rsid w:val="002B3FE3"/>
    <w:rsid w:val="002B4E41"/>
    <w:rsid w:val="002B54B7"/>
    <w:rsid w:val="002B6730"/>
    <w:rsid w:val="002B7874"/>
    <w:rsid w:val="002C1ECF"/>
    <w:rsid w:val="002C1ED3"/>
    <w:rsid w:val="002C3A0D"/>
    <w:rsid w:val="002C45D8"/>
    <w:rsid w:val="002C53BD"/>
    <w:rsid w:val="002C7128"/>
    <w:rsid w:val="002D4CBC"/>
    <w:rsid w:val="002D6D70"/>
    <w:rsid w:val="002E0CCA"/>
    <w:rsid w:val="002E141A"/>
    <w:rsid w:val="002E1B95"/>
    <w:rsid w:val="002E2578"/>
    <w:rsid w:val="002E3EC7"/>
    <w:rsid w:val="002E4808"/>
    <w:rsid w:val="002E483E"/>
    <w:rsid w:val="002E7045"/>
    <w:rsid w:val="002E7199"/>
    <w:rsid w:val="002F012F"/>
    <w:rsid w:val="002F0513"/>
    <w:rsid w:val="002F0990"/>
    <w:rsid w:val="002F0C58"/>
    <w:rsid w:val="002F13D1"/>
    <w:rsid w:val="002F37F8"/>
    <w:rsid w:val="002F3D74"/>
    <w:rsid w:val="002F4EDB"/>
    <w:rsid w:val="002F60D3"/>
    <w:rsid w:val="002F7574"/>
    <w:rsid w:val="00300A59"/>
    <w:rsid w:val="0030214A"/>
    <w:rsid w:val="00302E78"/>
    <w:rsid w:val="00306288"/>
    <w:rsid w:val="00307CF8"/>
    <w:rsid w:val="003140F9"/>
    <w:rsid w:val="003148EA"/>
    <w:rsid w:val="003150CA"/>
    <w:rsid w:val="00315CB8"/>
    <w:rsid w:val="00315D8D"/>
    <w:rsid w:val="00316402"/>
    <w:rsid w:val="003168ED"/>
    <w:rsid w:val="003172EB"/>
    <w:rsid w:val="00317AB4"/>
    <w:rsid w:val="00321E11"/>
    <w:rsid w:val="003228A7"/>
    <w:rsid w:val="00324CE8"/>
    <w:rsid w:val="00325207"/>
    <w:rsid w:val="00325BD4"/>
    <w:rsid w:val="00325CF2"/>
    <w:rsid w:val="00326A33"/>
    <w:rsid w:val="0032785C"/>
    <w:rsid w:val="00327E36"/>
    <w:rsid w:val="00327E53"/>
    <w:rsid w:val="00330795"/>
    <w:rsid w:val="00330E85"/>
    <w:rsid w:val="00331340"/>
    <w:rsid w:val="00331408"/>
    <w:rsid w:val="003318B5"/>
    <w:rsid w:val="0033219D"/>
    <w:rsid w:val="00334624"/>
    <w:rsid w:val="00335693"/>
    <w:rsid w:val="00335897"/>
    <w:rsid w:val="0033634C"/>
    <w:rsid w:val="0033669D"/>
    <w:rsid w:val="003367DD"/>
    <w:rsid w:val="0034177D"/>
    <w:rsid w:val="0034212D"/>
    <w:rsid w:val="00343E5D"/>
    <w:rsid w:val="0034439B"/>
    <w:rsid w:val="003455A7"/>
    <w:rsid w:val="003469BB"/>
    <w:rsid w:val="00347FEF"/>
    <w:rsid w:val="00350743"/>
    <w:rsid w:val="00350A47"/>
    <w:rsid w:val="003513CA"/>
    <w:rsid w:val="00351FAC"/>
    <w:rsid w:val="003529AF"/>
    <w:rsid w:val="0035330D"/>
    <w:rsid w:val="0035364A"/>
    <w:rsid w:val="00353652"/>
    <w:rsid w:val="003543B5"/>
    <w:rsid w:val="003564CA"/>
    <w:rsid w:val="00356A13"/>
    <w:rsid w:val="0035756C"/>
    <w:rsid w:val="00357751"/>
    <w:rsid w:val="003601C0"/>
    <w:rsid w:val="003601F1"/>
    <w:rsid w:val="00360BFC"/>
    <w:rsid w:val="003627D7"/>
    <w:rsid w:val="00362A40"/>
    <w:rsid w:val="00362A7B"/>
    <w:rsid w:val="0036339F"/>
    <w:rsid w:val="00363BF3"/>
    <w:rsid w:val="003649E8"/>
    <w:rsid w:val="00366631"/>
    <w:rsid w:val="003679D5"/>
    <w:rsid w:val="00367B79"/>
    <w:rsid w:val="003700BB"/>
    <w:rsid w:val="0037015D"/>
    <w:rsid w:val="0037217E"/>
    <w:rsid w:val="00373BB6"/>
    <w:rsid w:val="00374F02"/>
    <w:rsid w:val="00375614"/>
    <w:rsid w:val="00380E60"/>
    <w:rsid w:val="00381483"/>
    <w:rsid w:val="00381C36"/>
    <w:rsid w:val="00381D62"/>
    <w:rsid w:val="003855CE"/>
    <w:rsid w:val="003869D5"/>
    <w:rsid w:val="0038775D"/>
    <w:rsid w:val="003905B9"/>
    <w:rsid w:val="0039156B"/>
    <w:rsid w:val="0039206E"/>
    <w:rsid w:val="00392A4B"/>
    <w:rsid w:val="00392AA2"/>
    <w:rsid w:val="00393A62"/>
    <w:rsid w:val="00393BA3"/>
    <w:rsid w:val="0039527F"/>
    <w:rsid w:val="00395A71"/>
    <w:rsid w:val="00395DCD"/>
    <w:rsid w:val="0039682A"/>
    <w:rsid w:val="00396F43"/>
    <w:rsid w:val="003A37F4"/>
    <w:rsid w:val="003A4F1D"/>
    <w:rsid w:val="003A4F95"/>
    <w:rsid w:val="003A6A2B"/>
    <w:rsid w:val="003A6F71"/>
    <w:rsid w:val="003A745C"/>
    <w:rsid w:val="003A7AA6"/>
    <w:rsid w:val="003B01D4"/>
    <w:rsid w:val="003B10EC"/>
    <w:rsid w:val="003B1570"/>
    <w:rsid w:val="003B21BF"/>
    <w:rsid w:val="003B3C31"/>
    <w:rsid w:val="003B43B8"/>
    <w:rsid w:val="003B5D79"/>
    <w:rsid w:val="003B5FEE"/>
    <w:rsid w:val="003B76D9"/>
    <w:rsid w:val="003C0CEB"/>
    <w:rsid w:val="003C351A"/>
    <w:rsid w:val="003C3B71"/>
    <w:rsid w:val="003C3BC6"/>
    <w:rsid w:val="003C53D6"/>
    <w:rsid w:val="003C5934"/>
    <w:rsid w:val="003C7080"/>
    <w:rsid w:val="003C7955"/>
    <w:rsid w:val="003D11D0"/>
    <w:rsid w:val="003D1529"/>
    <w:rsid w:val="003D239A"/>
    <w:rsid w:val="003D2C74"/>
    <w:rsid w:val="003D5245"/>
    <w:rsid w:val="003D5507"/>
    <w:rsid w:val="003D5A10"/>
    <w:rsid w:val="003D5E6D"/>
    <w:rsid w:val="003D74B2"/>
    <w:rsid w:val="003D7CB9"/>
    <w:rsid w:val="003E08F0"/>
    <w:rsid w:val="003E0F7C"/>
    <w:rsid w:val="003E2B73"/>
    <w:rsid w:val="003E2F03"/>
    <w:rsid w:val="003E3BBF"/>
    <w:rsid w:val="003E424A"/>
    <w:rsid w:val="003E58DF"/>
    <w:rsid w:val="003E5C0E"/>
    <w:rsid w:val="003E75F3"/>
    <w:rsid w:val="003E77B2"/>
    <w:rsid w:val="003F062C"/>
    <w:rsid w:val="003F0D9E"/>
    <w:rsid w:val="003F166F"/>
    <w:rsid w:val="003F1974"/>
    <w:rsid w:val="003F2109"/>
    <w:rsid w:val="003F4EE5"/>
    <w:rsid w:val="003F50FF"/>
    <w:rsid w:val="003F52C1"/>
    <w:rsid w:val="003F5900"/>
    <w:rsid w:val="003F6355"/>
    <w:rsid w:val="003F6530"/>
    <w:rsid w:val="00400266"/>
    <w:rsid w:val="00401A9A"/>
    <w:rsid w:val="00402EEA"/>
    <w:rsid w:val="00404201"/>
    <w:rsid w:val="004054E3"/>
    <w:rsid w:val="00405CEF"/>
    <w:rsid w:val="00406337"/>
    <w:rsid w:val="00406A00"/>
    <w:rsid w:val="00406F05"/>
    <w:rsid w:val="004074B3"/>
    <w:rsid w:val="004075EA"/>
    <w:rsid w:val="00410C82"/>
    <w:rsid w:val="0041108E"/>
    <w:rsid w:val="00412DF2"/>
    <w:rsid w:val="004138F5"/>
    <w:rsid w:val="00413D22"/>
    <w:rsid w:val="00414C90"/>
    <w:rsid w:val="004165B0"/>
    <w:rsid w:val="004165D6"/>
    <w:rsid w:val="0042163E"/>
    <w:rsid w:val="00423163"/>
    <w:rsid w:val="004244A5"/>
    <w:rsid w:val="00427318"/>
    <w:rsid w:val="004276CD"/>
    <w:rsid w:val="0042778E"/>
    <w:rsid w:val="00427843"/>
    <w:rsid w:val="004302B6"/>
    <w:rsid w:val="0043230A"/>
    <w:rsid w:val="0043511C"/>
    <w:rsid w:val="00435538"/>
    <w:rsid w:val="00436740"/>
    <w:rsid w:val="00437E88"/>
    <w:rsid w:val="00440672"/>
    <w:rsid w:val="00441E70"/>
    <w:rsid w:val="00443779"/>
    <w:rsid w:val="00443CCC"/>
    <w:rsid w:val="004441E4"/>
    <w:rsid w:val="004448E8"/>
    <w:rsid w:val="004474FB"/>
    <w:rsid w:val="00450F9C"/>
    <w:rsid w:val="0045287C"/>
    <w:rsid w:val="004528CC"/>
    <w:rsid w:val="004529C3"/>
    <w:rsid w:val="00455E37"/>
    <w:rsid w:val="0045608B"/>
    <w:rsid w:val="00456770"/>
    <w:rsid w:val="004578A6"/>
    <w:rsid w:val="004610BC"/>
    <w:rsid w:val="00465295"/>
    <w:rsid w:val="004652FD"/>
    <w:rsid w:val="004657F4"/>
    <w:rsid w:val="00466979"/>
    <w:rsid w:val="00466D17"/>
    <w:rsid w:val="00467E20"/>
    <w:rsid w:val="00472A4C"/>
    <w:rsid w:val="00472B05"/>
    <w:rsid w:val="00472E85"/>
    <w:rsid w:val="00473068"/>
    <w:rsid w:val="004735D5"/>
    <w:rsid w:val="00474AA6"/>
    <w:rsid w:val="0047556B"/>
    <w:rsid w:val="00475C2D"/>
    <w:rsid w:val="00477226"/>
    <w:rsid w:val="00480541"/>
    <w:rsid w:val="004813E8"/>
    <w:rsid w:val="004827F3"/>
    <w:rsid w:val="004829F2"/>
    <w:rsid w:val="004849F7"/>
    <w:rsid w:val="004853C6"/>
    <w:rsid w:val="00486114"/>
    <w:rsid w:val="004863C0"/>
    <w:rsid w:val="004863E4"/>
    <w:rsid w:val="00487264"/>
    <w:rsid w:val="00490D2A"/>
    <w:rsid w:val="0049105D"/>
    <w:rsid w:val="004918C4"/>
    <w:rsid w:val="004932A2"/>
    <w:rsid w:val="00496E8C"/>
    <w:rsid w:val="00496EAA"/>
    <w:rsid w:val="004A00B9"/>
    <w:rsid w:val="004A08D7"/>
    <w:rsid w:val="004A0C0B"/>
    <w:rsid w:val="004A4E9A"/>
    <w:rsid w:val="004A5151"/>
    <w:rsid w:val="004A5DB1"/>
    <w:rsid w:val="004A687F"/>
    <w:rsid w:val="004A729C"/>
    <w:rsid w:val="004A7359"/>
    <w:rsid w:val="004B30F4"/>
    <w:rsid w:val="004B3161"/>
    <w:rsid w:val="004B5BAF"/>
    <w:rsid w:val="004B5CB4"/>
    <w:rsid w:val="004B632A"/>
    <w:rsid w:val="004B7E82"/>
    <w:rsid w:val="004C03FA"/>
    <w:rsid w:val="004C06AD"/>
    <w:rsid w:val="004C0946"/>
    <w:rsid w:val="004C0C08"/>
    <w:rsid w:val="004C13CF"/>
    <w:rsid w:val="004C2C95"/>
    <w:rsid w:val="004C40BC"/>
    <w:rsid w:val="004C5379"/>
    <w:rsid w:val="004C74C9"/>
    <w:rsid w:val="004C7EB2"/>
    <w:rsid w:val="004D0163"/>
    <w:rsid w:val="004D0AC5"/>
    <w:rsid w:val="004D19EB"/>
    <w:rsid w:val="004D35C6"/>
    <w:rsid w:val="004D3E20"/>
    <w:rsid w:val="004E05D1"/>
    <w:rsid w:val="004E06B4"/>
    <w:rsid w:val="004E0C51"/>
    <w:rsid w:val="004E189A"/>
    <w:rsid w:val="004E1A28"/>
    <w:rsid w:val="004E2076"/>
    <w:rsid w:val="004E318F"/>
    <w:rsid w:val="004E5A0A"/>
    <w:rsid w:val="004E6694"/>
    <w:rsid w:val="004E6764"/>
    <w:rsid w:val="004E791F"/>
    <w:rsid w:val="004F021C"/>
    <w:rsid w:val="004F1757"/>
    <w:rsid w:val="004F1D20"/>
    <w:rsid w:val="004F326C"/>
    <w:rsid w:val="004F38A6"/>
    <w:rsid w:val="004F444A"/>
    <w:rsid w:val="004F5575"/>
    <w:rsid w:val="004F7060"/>
    <w:rsid w:val="004F79D9"/>
    <w:rsid w:val="005014BC"/>
    <w:rsid w:val="00501617"/>
    <w:rsid w:val="00502229"/>
    <w:rsid w:val="005030DE"/>
    <w:rsid w:val="0050634D"/>
    <w:rsid w:val="00507780"/>
    <w:rsid w:val="005078B2"/>
    <w:rsid w:val="005079C1"/>
    <w:rsid w:val="00507BBF"/>
    <w:rsid w:val="00511260"/>
    <w:rsid w:val="00511565"/>
    <w:rsid w:val="0051172C"/>
    <w:rsid w:val="0051179E"/>
    <w:rsid w:val="0051380C"/>
    <w:rsid w:val="00514878"/>
    <w:rsid w:val="0051706E"/>
    <w:rsid w:val="00520E7F"/>
    <w:rsid w:val="00523DBC"/>
    <w:rsid w:val="005244E9"/>
    <w:rsid w:val="00525DF3"/>
    <w:rsid w:val="00527DB7"/>
    <w:rsid w:val="00530509"/>
    <w:rsid w:val="00530860"/>
    <w:rsid w:val="00532080"/>
    <w:rsid w:val="00537C9E"/>
    <w:rsid w:val="005400B9"/>
    <w:rsid w:val="00544FD9"/>
    <w:rsid w:val="00545009"/>
    <w:rsid w:val="00545140"/>
    <w:rsid w:val="00545668"/>
    <w:rsid w:val="00550748"/>
    <w:rsid w:val="0055098F"/>
    <w:rsid w:val="005517B9"/>
    <w:rsid w:val="0055356F"/>
    <w:rsid w:val="00553851"/>
    <w:rsid w:val="00553E7D"/>
    <w:rsid w:val="005542BD"/>
    <w:rsid w:val="00556489"/>
    <w:rsid w:val="00556EDA"/>
    <w:rsid w:val="00556FC7"/>
    <w:rsid w:val="005573D6"/>
    <w:rsid w:val="0056029F"/>
    <w:rsid w:val="0056114F"/>
    <w:rsid w:val="005635C5"/>
    <w:rsid w:val="00564638"/>
    <w:rsid w:val="0056509F"/>
    <w:rsid w:val="00565326"/>
    <w:rsid w:val="0057047B"/>
    <w:rsid w:val="00570A0D"/>
    <w:rsid w:val="005754FC"/>
    <w:rsid w:val="00575F9C"/>
    <w:rsid w:val="0057649F"/>
    <w:rsid w:val="00576979"/>
    <w:rsid w:val="00577D50"/>
    <w:rsid w:val="00577EFA"/>
    <w:rsid w:val="00580D85"/>
    <w:rsid w:val="005813AC"/>
    <w:rsid w:val="0058354A"/>
    <w:rsid w:val="00584BA7"/>
    <w:rsid w:val="005862D7"/>
    <w:rsid w:val="00586CFB"/>
    <w:rsid w:val="005872D2"/>
    <w:rsid w:val="00587D29"/>
    <w:rsid w:val="00591072"/>
    <w:rsid w:val="005934B8"/>
    <w:rsid w:val="00594C9D"/>
    <w:rsid w:val="00594D70"/>
    <w:rsid w:val="00595C65"/>
    <w:rsid w:val="005964E5"/>
    <w:rsid w:val="005969E2"/>
    <w:rsid w:val="00597705"/>
    <w:rsid w:val="005A2449"/>
    <w:rsid w:val="005A2C73"/>
    <w:rsid w:val="005A36D5"/>
    <w:rsid w:val="005A3E4D"/>
    <w:rsid w:val="005A4FC0"/>
    <w:rsid w:val="005A71F7"/>
    <w:rsid w:val="005B03A4"/>
    <w:rsid w:val="005B1333"/>
    <w:rsid w:val="005B1872"/>
    <w:rsid w:val="005B649F"/>
    <w:rsid w:val="005B7922"/>
    <w:rsid w:val="005B7CEE"/>
    <w:rsid w:val="005C0075"/>
    <w:rsid w:val="005C1439"/>
    <w:rsid w:val="005C15DC"/>
    <w:rsid w:val="005C1DEC"/>
    <w:rsid w:val="005C28AE"/>
    <w:rsid w:val="005C36E4"/>
    <w:rsid w:val="005C4FDA"/>
    <w:rsid w:val="005C5C47"/>
    <w:rsid w:val="005C6219"/>
    <w:rsid w:val="005C6A41"/>
    <w:rsid w:val="005C755B"/>
    <w:rsid w:val="005D0320"/>
    <w:rsid w:val="005D0653"/>
    <w:rsid w:val="005D0810"/>
    <w:rsid w:val="005D0B78"/>
    <w:rsid w:val="005D25D6"/>
    <w:rsid w:val="005D3407"/>
    <w:rsid w:val="005D3941"/>
    <w:rsid w:val="005D411A"/>
    <w:rsid w:val="005D47C3"/>
    <w:rsid w:val="005D5656"/>
    <w:rsid w:val="005D5DE8"/>
    <w:rsid w:val="005D5E9D"/>
    <w:rsid w:val="005D6BF3"/>
    <w:rsid w:val="005D6D77"/>
    <w:rsid w:val="005E2F30"/>
    <w:rsid w:val="005E3541"/>
    <w:rsid w:val="005E560B"/>
    <w:rsid w:val="005E601A"/>
    <w:rsid w:val="005F03D5"/>
    <w:rsid w:val="005F04A5"/>
    <w:rsid w:val="005F158C"/>
    <w:rsid w:val="005F236B"/>
    <w:rsid w:val="005F45B3"/>
    <w:rsid w:val="005F6D85"/>
    <w:rsid w:val="005F77BC"/>
    <w:rsid w:val="00600269"/>
    <w:rsid w:val="0060138F"/>
    <w:rsid w:val="0060391E"/>
    <w:rsid w:val="0060443D"/>
    <w:rsid w:val="0060486E"/>
    <w:rsid w:val="006062FB"/>
    <w:rsid w:val="00606867"/>
    <w:rsid w:val="00606D5C"/>
    <w:rsid w:val="00607419"/>
    <w:rsid w:val="006074D4"/>
    <w:rsid w:val="006101AF"/>
    <w:rsid w:val="00610927"/>
    <w:rsid w:val="00611ACE"/>
    <w:rsid w:val="00612393"/>
    <w:rsid w:val="00612ACF"/>
    <w:rsid w:val="00613E36"/>
    <w:rsid w:val="006149BD"/>
    <w:rsid w:val="00614A7A"/>
    <w:rsid w:val="00616B35"/>
    <w:rsid w:val="00617A30"/>
    <w:rsid w:val="00617A87"/>
    <w:rsid w:val="00617ABE"/>
    <w:rsid w:val="00617F99"/>
    <w:rsid w:val="006215E6"/>
    <w:rsid w:val="00621A24"/>
    <w:rsid w:val="00621A45"/>
    <w:rsid w:val="00621B4B"/>
    <w:rsid w:val="006232F1"/>
    <w:rsid w:val="00623DDE"/>
    <w:rsid w:val="00624695"/>
    <w:rsid w:val="006249C3"/>
    <w:rsid w:val="00625D2D"/>
    <w:rsid w:val="006271A4"/>
    <w:rsid w:val="00627F55"/>
    <w:rsid w:val="00630138"/>
    <w:rsid w:val="006313FC"/>
    <w:rsid w:val="006332F2"/>
    <w:rsid w:val="006336E9"/>
    <w:rsid w:val="00634B17"/>
    <w:rsid w:val="00635C80"/>
    <w:rsid w:val="00637A17"/>
    <w:rsid w:val="00641035"/>
    <w:rsid w:val="00641661"/>
    <w:rsid w:val="00641C47"/>
    <w:rsid w:val="00644FB0"/>
    <w:rsid w:val="006476E6"/>
    <w:rsid w:val="0064787B"/>
    <w:rsid w:val="00650EE2"/>
    <w:rsid w:val="00651194"/>
    <w:rsid w:val="006511A4"/>
    <w:rsid w:val="006513E2"/>
    <w:rsid w:val="00651916"/>
    <w:rsid w:val="00651DE7"/>
    <w:rsid w:val="006531C9"/>
    <w:rsid w:val="006535E1"/>
    <w:rsid w:val="0066025E"/>
    <w:rsid w:val="00661D64"/>
    <w:rsid w:val="00662682"/>
    <w:rsid w:val="006639A0"/>
    <w:rsid w:val="00663D7F"/>
    <w:rsid w:val="00664CD0"/>
    <w:rsid w:val="0066553E"/>
    <w:rsid w:val="00665D94"/>
    <w:rsid w:val="006668FE"/>
    <w:rsid w:val="00667591"/>
    <w:rsid w:val="00667F9F"/>
    <w:rsid w:val="006710E7"/>
    <w:rsid w:val="00671A0B"/>
    <w:rsid w:val="0067210D"/>
    <w:rsid w:val="00675C81"/>
    <w:rsid w:val="006800F1"/>
    <w:rsid w:val="0068034D"/>
    <w:rsid w:val="00681152"/>
    <w:rsid w:val="00682987"/>
    <w:rsid w:val="00682CE5"/>
    <w:rsid w:val="006841DC"/>
    <w:rsid w:val="0068468E"/>
    <w:rsid w:val="00685DAD"/>
    <w:rsid w:val="00686098"/>
    <w:rsid w:val="0068615D"/>
    <w:rsid w:val="0068675A"/>
    <w:rsid w:val="0069011F"/>
    <w:rsid w:val="0069106B"/>
    <w:rsid w:val="00691AF2"/>
    <w:rsid w:val="00691CB2"/>
    <w:rsid w:val="00694527"/>
    <w:rsid w:val="0069550C"/>
    <w:rsid w:val="00697465"/>
    <w:rsid w:val="00697EB1"/>
    <w:rsid w:val="006A2310"/>
    <w:rsid w:val="006A2706"/>
    <w:rsid w:val="006A498B"/>
    <w:rsid w:val="006A5216"/>
    <w:rsid w:val="006A5B24"/>
    <w:rsid w:val="006B150C"/>
    <w:rsid w:val="006B1DCE"/>
    <w:rsid w:val="006B2781"/>
    <w:rsid w:val="006B42B2"/>
    <w:rsid w:val="006B6180"/>
    <w:rsid w:val="006B692B"/>
    <w:rsid w:val="006C177A"/>
    <w:rsid w:val="006C1B13"/>
    <w:rsid w:val="006C294B"/>
    <w:rsid w:val="006C32C4"/>
    <w:rsid w:val="006C40BE"/>
    <w:rsid w:val="006C765E"/>
    <w:rsid w:val="006C769E"/>
    <w:rsid w:val="006D067F"/>
    <w:rsid w:val="006D07FB"/>
    <w:rsid w:val="006D40F6"/>
    <w:rsid w:val="006D5A67"/>
    <w:rsid w:val="006D762E"/>
    <w:rsid w:val="006D7DFD"/>
    <w:rsid w:val="006E15C4"/>
    <w:rsid w:val="006E16D1"/>
    <w:rsid w:val="006E1E6D"/>
    <w:rsid w:val="006E2B6D"/>
    <w:rsid w:val="006E3709"/>
    <w:rsid w:val="006E3C88"/>
    <w:rsid w:val="006E4C1C"/>
    <w:rsid w:val="006F07CE"/>
    <w:rsid w:val="006F09D8"/>
    <w:rsid w:val="006F1624"/>
    <w:rsid w:val="006F2FF5"/>
    <w:rsid w:val="006F3052"/>
    <w:rsid w:val="006F31BD"/>
    <w:rsid w:val="006F3259"/>
    <w:rsid w:val="006F3C00"/>
    <w:rsid w:val="006F78DB"/>
    <w:rsid w:val="00701E48"/>
    <w:rsid w:val="00702C42"/>
    <w:rsid w:val="00704A2E"/>
    <w:rsid w:val="007057AB"/>
    <w:rsid w:val="00705F57"/>
    <w:rsid w:val="00707343"/>
    <w:rsid w:val="007073FB"/>
    <w:rsid w:val="00710C28"/>
    <w:rsid w:val="00711C08"/>
    <w:rsid w:val="00711CC1"/>
    <w:rsid w:val="00712ED3"/>
    <w:rsid w:val="00714697"/>
    <w:rsid w:val="00714C9E"/>
    <w:rsid w:val="00715651"/>
    <w:rsid w:val="00716F85"/>
    <w:rsid w:val="00717903"/>
    <w:rsid w:val="00717B10"/>
    <w:rsid w:val="007202DD"/>
    <w:rsid w:val="00721B25"/>
    <w:rsid w:val="00724B29"/>
    <w:rsid w:val="00727A78"/>
    <w:rsid w:val="00730A5A"/>
    <w:rsid w:val="00731207"/>
    <w:rsid w:val="00734430"/>
    <w:rsid w:val="00735898"/>
    <w:rsid w:val="0074053C"/>
    <w:rsid w:val="00743D4D"/>
    <w:rsid w:val="00743EB1"/>
    <w:rsid w:val="0074432B"/>
    <w:rsid w:val="0074485F"/>
    <w:rsid w:val="007451A8"/>
    <w:rsid w:val="0074527C"/>
    <w:rsid w:val="00745BF2"/>
    <w:rsid w:val="00745E2B"/>
    <w:rsid w:val="00746145"/>
    <w:rsid w:val="00746757"/>
    <w:rsid w:val="00751ADD"/>
    <w:rsid w:val="007520F6"/>
    <w:rsid w:val="00752CE7"/>
    <w:rsid w:val="00753255"/>
    <w:rsid w:val="007532C0"/>
    <w:rsid w:val="00753478"/>
    <w:rsid w:val="00756020"/>
    <w:rsid w:val="00756098"/>
    <w:rsid w:val="007576FF"/>
    <w:rsid w:val="00757F3C"/>
    <w:rsid w:val="00762184"/>
    <w:rsid w:val="007631E0"/>
    <w:rsid w:val="00763388"/>
    <w:rsid w:val="00763628"/>
    <w:rsid w:val="00763BF3"/>
    <w:rsid w:val="00764F87"/>
    <w:rsid w:val="00765CD7"/>
    <w:rsid w:val="00767A6B"/>
    <w:rsid w:val="00771094"/>
    <w:rsid w:val="00771421"/>
    <w:rsid w:val="00772E4B"/>
    <w:rsid w:val="007744D5"/>
    <w:rsid w:val="0077459E"/>
    <w:rsid w:val="00775448"/>
    <w:rsid w:val="0077676B"/>
    <w:rsid w:val="007769C3"/>
    <w:rsid w:val="00782782"/>
    <w:rsid w:val="007841E0"/>
    <w:rsid w:val="00785388"/>
    <w:rsid w:val="007863FC"/>
    <w:rsid w:val="007866DC"/>
    <w:rsid w:val="00787BAB"/>
    <w:rsid w:val="00791465"/>
    <w:rsid w:val="00791E30"/>
    <w:rsid w:val="007923E9"/>
    <w:rsid w:val="0079276A"/>
    <w:rsid w:val="00793034"/>
    <w:rsid w:val="00794AA8"/>
    <w:rsid w:val="00795203"/>
    <w:rsid w:val="00796986"/>
    <w:rsid w:val="00796F39"/>
    <w:rsid w:val="00796F7A"/>
    <w:rsid w:val="0079769B"/>
    <w:rsid w:val="00797A49"/>
    <w:rsid w:val="007A1488"/>
    <w:rsid w:val="007A1A81"/>
    <w:rsid w:val="007A2884"/>
    <w:rsid w:val="007A2EB5"/>
    <w:rsid w:val="007A3705"/>
    <w:rsid w:val="007A39B0"/>
    <w:rsid w:val="007A5DAB"/>
    <w:rsid w:val="007A7BBE"/>
    <w:rsid w:val="007B196E"/>
    <w:rsid w:val="007B1F09"/>
    <w:rsid w:val="007B566C"/>
    <w:rsid w:val="007B686F"/>
    <w:rsid w:val="007B69E8"/>
    <w:rsid w:val="007B6CEF"/>
    <w:rsid w:val="007C17AD"/>
    <w:rsid w:val="007C247A"/>
    <w:rsid w:val="007C4731"/>
    <w:rsid w:val="007C546A"/>
    <w:rsid w:val="007C5C94"/>
    <w:rsid w:val="007D0644"/>
    <w:rsid w:val="007D0A2D"/>
    <w:rsid w:val="007D1D15"/>
    <w:rsid w:val="007D32EC"/>
    <w:rsid w:val="007D3ACE"/>
    <w:rsid w:val="007D46FD"/>
    <w:rsid w:val="007D64EC"/>
    <w:rsid w:val="007E05A2"/>
    <w:rsid w:val="007E1089"/>
    <w:rsid w:val="007E1B16"/>
    <w:rsid w:val="007E1B26"/>
    <w:rsid w:val="007E1F8D"/>
    <w:rsid w:val="007E4B37"/>
    <w:rsid w:val="007E5E24"/>
    <w:rsid w:val="007F1E72"/>
    <w:rsid w:val="007F2C17"/>
    <w:rsid w:val="007F2C37"/>
    <w:rsid w:val="007F3B81"/>
    <w:rsid w:val="007F4798"/>
    <w:rsid w:val="00800438"/>
    <w:rsid w:val="008019A5"/>
    <w:rsid w:val="008020C2"/>
    <w:rsid w:val="008020CD"/>
    <w:rsid w:val="008032E7"/>
    <w:rsid w:val="00803543"/>
    <w:rsid w:val="008041B3"/>
    <w:rsid w:val="00804838"/>
    <w:rsid w:val="00806AFC"/>
    <w:rsid w:val="00810336"/>
    <w:rsid w:val="0081156D"/>
    <w:rsid w:val="00811B30"/>
    <w:rsid w:val="00812D95"/>
    <w:rsid w:val="00813448"/>
    <w:rsid w:val="00814EDE"/>
    <w:rsid w:val="0081612B"/>
    <w:rsid w:val="00816ED1"/>
    <w:rsid w:val="00821D82"/>
    <w:rsid w:val="00822953"/>
    <w:rsid w:val="008230F2"/>
    <w:rsid w:val="00823442"/>
    <w:rsid w:val="00823FFC"/>
    <w:rsid w:val="008242ED"/>
    <w:rsid w:val="008276BB"/>
    <w:rsid w:val="00830F6A"/>
    <w:rsid w:val="0083209F"/>
    <w:rsid w:val="00832EA6"/>
    <w:rsid w:val="00832FD6"/>
    <w:rsid w:val="0083336E"/>
    <w:rsid w:val="00834066"/>
    <w:rsid w:val="008343B4"/>
    <w:rsid w:val="00837B9A"/>
    <w:rsid w:val="00837E1F"/>
    <w:rsid w:val="008405CE"/>
    <w:rsid w:val="008405CF"/>
    <w:rsid w:val="00841726"/>
    <w:rsid w:val="008417D1"/>
    <w:rsid w:val="008426AA"/>
    <w:rsid w:val="0084295A"/>
    <w:rsid w:val="00843939"/>
    <w:rsid w:val="0084393F"/>
    <w:rsid w:val="00846269"/>
    <w:rsid w:val="0085078E"/>
    <w:rsid w:val="00851511"/>
    <w:rsid w:val="0085231B"/>
    <w:rsid w:val="008536CA"/>
    <w:rsid w:val="008547C2"/>
    <w:rsid w:val="00854A89"/>
    <w:rsid w:val="00855355"/>
    <w:rsid w:val="008557C2"/>
    <w:rsid w:val="00855F97"/>
    <w:rsid w:val="00857ED7"/>
    <w:rsid w:val="0086080D"/>
    <w:rsid w:val="00862359"/>
    <w:rsid w:val="0086282E"/>
    <w:rsid w:val="008634DE"/>
    <w:rsid w:val="00864706"/>
    <w:rsid w:val="008647BD"/>
    <w:rsid w:val="00864C82"/>
    <w:rsid w:val="008665C4"/>
    <w:rsid w:val="0086751C"/>
    <w:rsid w:val="008677E3"/>
    <w:rsid w:val="00870B41"/>
    <w:rsid w:val="0087195C"/>
    <w:rsid w:val="00873C6E"/>
    <w:rsid w:val="00873EB9"/>
    <w:rsid w:val="008747A7"/>
    <w:rsid w:val="00875D5A"/>
    <w:rsid w:val="00875F1E"/>
    <w:rsid w:val="0087610B"/>
    <w:rsid w:val="00880351"/>
    <w:rsid w:val="0088086C"/>
    <w:rsid w:val="0088088D"/>
    <w:rsid w:val="00880E5F"/>
    <w:rsid w:val="008825BB"/>
    <w:rsid w:val="00882735"/>
    <w:rsid w:val="0088275A"/>
    <w:rsid w:val="00882EFE"/>
    <w:rsid w:val="00885B5F"/>
    <w:rsid w:val="00885C05"/>
    <w:rsid w:val="00885DB3"/>
    <w:rsid w:val="00885F6F"/>
    <w:rsid w:val="00890F28"/>
    <w:rsid w:val="00892541"/>
    <w:rsid w:val="00893654"/>
    <w:rsid w:val="0089372D"/>
    <w:rsid w:val="00893E14"/>
    <w:rsid w:val="00894F0E"/>
    <w:rsid w:val="0089533C"/>
    <w:rsid w:val="00895554"/>
    <w:rsid w:val="008957A8"/>
    <w:rsid w:val="00895A54"/>
    <w:rsid w:val="00896B6A"/>
    <w:rsid w:val="008A0454"/>
    <w:rsid w:val="008A0E92"/>
    <w:rsid w:val="008A1381"/>
    <w:rsid w:val="008A1873"/>
    <w:rsid w:val="008A1A60"/>
    <w:rsid w:val="008A3B56"/>
    <w:rsid w:val="008A4281"/>
    <w:rsid w:val="008A537D"/>
    <w:rsid w:val="008A715E"/>
    <w:rsid w:val="008A7240"/>
    <w:rsid w:val="008A75F3"/>
    <w:rsid w:val="008A7BFC"/>
    <w:rsid w:val="008A7CF7"/>
    <w:rsid w:val="008A7FAD"/>
    <w:rsid w:val="008B100F"/>
    <w:rsid w:val="008B1748"/>
    <w:rsid w:val="008B1DA6"/>
    <w:rsid w:val="008B3660"/>
    <w:rsid w:val="008C0A1D"/>
    <w:rsid w:val="008C210D"/>
    <w:rsid w:val="008C3E59"/>
    <w:rsid w:val="008C480D"/>
    <w:rsid w:val="008C4C45"/>
    <w:rsid w:val="008C651B"/>
    <w:rsid w:val="008C7138"/>
    <w:rsid w:val="008D2564"/>
    <w:rsid w:val="008D3C26"/>
    <w:rsid w:val="008E12DC"/>
    <w:rsid w:val="008E1390"/>
    <w:rsid w:val="008E1626"/>
    <w:rsid w:val="008E270C"/>
    <w:rsid w:val="008E51D4"/>
    <w:rsid w:val="008E536D"/>
    <w:rsid w:val="008E66F8"/>
    <w:rsid w:val="008E74EF"/>
    <w:rsid w:val="008E7904"/>
    <w:rsid w:val="008E7EFA"/>
    <w:rsid w:val="008F051D"/>
    <w:rsid w:val="008F0FC5"/>
    <w:rsid w:val="008F0FD2"/>
    <w:rsid w:val="008F17A3"/>
    <w:rsid w:val="008F4376"/>
    <w:rsid w:val="008F59AF"/>
    <w:rsid w:val="008F5B07"/>
    <w:rsid w:val="008F61FC"/>
    <w:rsid w:val="008F74A5"/>
    <w:rsid w:val="00901474"/>
    <w:rsid w:val="009014FD"/>
    <w:rsid w:val="00901F33"/>
    <w:rsid w:val="00902AA7"/>
    <w:rsid w:val="00902C55"/>
    <w:rsid w:val="00903496"/>
    <w:rsid w:val="00903A37"/>
    <w:rsid w:val="009041F8"/>
    <w:rsid w:val="00904D53"/>
    <w:rsid w:val="00905BB3"/>
    <w:rsid w:val="00905C49"/>
    <w:rsid w:val="00906C53"/>
    <w:rsid w:val="0090737A"/>
    <w:rsid w:val="0091491D"/>
    <w:rsid w:val="0091517B"/>
    <w:rsid w:val="00921597"/>
    <w:rsid w:val="00921696"/>
    <w:rsid w:val="0092525C"/>
    <w:rsid w:val="009257EE"/>
    <w:rsid w:val="009262E3"/>
    <w:rsid w:val="00927A2B"/>
    <w:rsid w:val="00927E7F"/>
    <w:rsid w:val="009300E6"/>
    <w:rsid w:val="00931856"/>
    <w:rsid w:val="00931957"/>
    <w:rsid w:val="00932259"/>
    <w:rsid w:val="00937B2D"/>
    <w:rsid w:val="00937F6E"/>
    <w:rsid w:val="00940225"/>
    <w:rsid w:val="009429D4"/>
    <w:rsid w:val="00942BE4"/>
    <w:rsid w:val="00943D4D"/>
    <w:rsid w:val="00944464"/>
    <w:rsid w:val="0094516E"/>
    <w:rsid w:val="00945BC4"/>
    <w:rsid w:val="009503FE"/>
    <w:rsid w:val="0095291D"/>
    <w:rsid w:val="00954778"/>
    <w:rsid w:val="0095687B"/>
    <w:rsid w:val="00957730"/>
    <w:rsid w:val="00960CDB"/>
    <w:rsid w:val="00961DA2"/>
    <w:rsid w:val="00962E0E"/>
    <w:rsid w:val="00964882"/>
    <w:rsid w:val="009648F1"/>
    <w:rsid w:val="00964C44"/>
    <w:rsid w:val="00964DFA"/>
    <w:rsid w:val="00965B24"/>
    <w:rsid w:val="0096634B"/>
    <w:rsid w:val="0096761C"/>
    <w:rsid w:val="00970AA5"/>
    <w:rsid w:val="00970D52"/>
    <w:rsid w:val="0097136D"/>
    <w:rsid w:val="009737E6"/>
    <w:rsid w:val="00973CE1"/>
    <w:rsid w:val="0097492C"/>
    <w:rsid w:val="00974E2D"/>
    <w:rsid w:val="00975DB5"/>
    <w:rsid w:val="009767FB"/>
    <w:rsid w:val="00976DCD"/>
    <w:rsid w:val="00976F0D"/>
    <w:rsid w:val="0098066C"/>
    <w:rsid w:val="009812F2"/>
    <w:rsid w:val="009814B0"/>
    <w:rsid w:val="00981871"/>
    <w:rsid w:val="00984181"/>
    <w:rsid w:val="0098571F"/>
    <w:rsid w:val="00986DD5"/>
    <w:rsid w:val="00987780"/>
    <w:rsid w:val="0099005D"/>
    <w:rsid w:val="00992B0D"/>
    <w:rsid w:val="009949C6"/>
    <w:rsid w:val="009969E0"/>
    <w:rsid w:val="00996B5C"/>
    <w:rsid w:val="009A0545"/>
    <w:rsid w:val="009A0B4E"/>
    <w:rsid w:val="009A1EC2"/>
    <w:rsid w:val="009A3193"/>
    <w:rsid w:val="009A36AF"/>
    <w:rsid w:val="009A3E97"/>
    <w:rsid w:val="009A51A4"/>
    <w:rsid w:val="009A591E"/>
    <w:rsid w:val="009A6886"/>
    <w:rsid w:val="009A77E7"/>
    <w:rsid w:val="009B1B5C"/>
    <w:rsid w:val="009B1CFC"/>
    <w:rsid w:val="009B306D"/>
    <w:rsid w:val="009B5983"/>
    <w:rsid w:val="009B5B7E"/>
    <w:rsid w:val="009B7B65"/>
    <w:rsid w:val="009C052D"/>
    <w:rsid w:val="009C09A0"/>
    <w:rsid w:val="009C2135"/>
    <w:rsid w:val="009C323D"/>
    <w:rsid w:val="009C36F1"/>
    <w:rsid w:val="009C3B51"/>
    <w:rsid w:val="009C3E3C"/>
    <w:rsid w:val="009C4F54"/>
    <w:rsid w:val="009C5271"/>
    <w:rsid w:val="009C63A4"/>
    <w:rsid w:val="009C63D5"/>
    <w:rsid w:val="009C6B5F"/>
    <w:rsid w:val="009C787C"/>
    <w:rsid w:val="009C7FC6"/>
    <w:rsid w:val="009D161A"/>
    <w:rsid w:val="009D1693"/>
    <w:rsid w:val="009D1BCC"/>
    <w:rsid w:val="009D3AC8"/>
    <w:rsid w:val="009D4AB7"/>
    <w:rsid w:val="009D5302"/>
    <w:rsid w:val="009D62F3"/>
    <w:rsid w:val="009D72BD"/>
    <w:rsid w:val="009D754F"/>
    <w:rsid w:val="009E1896"/>
    <w:rsid w:val="009E1980"/>
    <w:rsid w:val="009E1ACC"/>
    <w:rsid w:val="009E2833"/>
    <w:rsid w:val="009E283A"/>
    <w:rsid w:val="009E2BB3"/>
    <w:rsid w:val="009E325E"/>
    <w:rsid w:val="009E3484"/>
    <w:rsid w:val="009E46C9"/>
    <w:rsid w:val="009E569F"/>
    <w:rsid w:val="009E5FDA"/>
    <w:rsid w:val="009E646F"/>
    <w:rsid w:val="009E776E"/>
    <w:rsid w:val="009F0214"/>
    <w:rsid w:val="009F1760"/>
    <w:rsid w:val="009F4396"/>
    <w:rsid w:val="009F5D93"/>
    <w:rsid w:val="009F6F14"/>
    <w:rsid w:val="009F7433"/>
    <w:rsid w:val="00A00F3C"/>
    <w:rsid w:val="00A0144A"/>
    <w:rsid w:val="00A02461"/>
    <w:rsid w:val="00A02844"/>
    <w:rsid w:val="00A034F2"/>
    <w:rsid w:val="00A042CC"/>
    <w:rsid w:val="00A052EC"/>
    <w:rsid w:val="00A06BF5"/>
    <w:rsid w:val="00A076B8"/>
    <w:rsid w:val="00A07E9C"/>
    <w:rsid w:val="00A11066"/>
    <w:rsid w:val="00A1196D"/>
    <w:rsid w:val="00A11A36"/>
    <w:rsid w:val="00A122F8"/>
    <w:rsid w:val="00A12914"/>
    <w:rsid w:val="00A12EEB"/>
    <w:rsid w:val="00A13976"/>
    <w:rsid w:val="00A14173"/>
    <w:rsid w:val="00A167B8"/>
    <w:rsid w:val="00A17060"/>
    <w:rsid w:val="00A17ED7"/>
    <w:rsid w:val="00A20492"/>
    <w:rsid w:val="00A21549"/>
    <w:rsid w:val="00A2185E"/>
    <w:rsid w:val="00A21919"/>
    <w:rsid w:val="00A234F1"/>
    <w:rsid w:val="00A235E3"/>
    <w:rsid w:val="00A24238"/>
    <w:rsid w:val="00A26381"/>
    <w:rsid w:val="00A31C08"/>
    <w:rsid w:val="00A32889"/>
    <w:rsid w:val="00A331C2"/>
    <w:rsid w:val="00A33E40"/>
    <w:rsid w:val="00A36A40"/>
    <w:rsid w:val="00A36D42"/>
    <w:rsid w:val="00A40D03"/>
    <w:rsid w:val="00A414A1"/>
    <w:rsid w:val="00A41BC0"/>
    <w:rsid w:val="00A42893"/>
    <w:rsid w:val="00A42906"/>
    <w:rsid w:val="00A42ED6"/>
    <w:rsid w:val="00A43E5D"/>
    <w:rsid w:val="00A45490"/>
    <w:rsid w:val="00A4723D"/>
    <w:rsid w:val="00A47250"/>
    <w:rsid w:val="00A50FA9"/>
    <w:rsid w:val="00A5180C"/>
    <w:rsid w:val="00A521EE"/>
    <w:rsid w:val="00A5345F"/>
    <w:rsid w:val="00A5427C"/>
    <w:rsid w:val="00A564F5"/>
    <w:rsid w:val="00A603C3"/>
    <w:rsid w:val="00A61267"/>
    <w:rsid w:val="00A63829"/>
    <w:rsid w:val="00A64250"/>
    <w:rsid w:val="00A64FD8"/>
    <w:rsid w:val="00A6550F"/>
    <w:rsid w:val="00A66A36"/>
    <w:rsid w:val="00A67C97"/>
    <w:rsid w:val="00A711F9"/>
    <w:rsid w:val="00A71783"/>
    <w:rsid w:val="00A719FE"/>
    <w:rsid w:val="00A74937"/>
    <w:rsid w:val="00A75B8E"/>
    <w:rsid w:val="00A771AE"/>
    <w:rsid w:val="00A80111"/>
    <w:rsid w:val="00A81DF8"/>
    <w:rsid w:val="00A82472"/>
    <w:rsid w:val="00A82B55"/>
    <w:rsid w:val="00A836F7"/>
    <w:rsid w:val="00A83F39"/>
    <w:rsid w:val="00A84210"/>
    <w:rsid w:val="00A85465"/>
    <w:rsid w:val="00A866AE"/>
    <w:rsid w:val="00A878A5"/>
    <w:rsid w:val="00A87D38"/>
    <w:rsid w:val="00A91D89"/>
    <w:rsid w:val="00A92225"/>
    <w:rsid w:val="00A9381F"/>
    <w:rsid w:val="00A93CA3"/>
    <w:rsid w:val="00A958D5"/>
    <w:rsid w:val="00A95B9A"/>
    <w:rsid w:val="00A95CB4"/>
    <w:rsid w:val="00A95DCF"/>
    <w:rsid w:val="00A976E6"/>
    <w:rsid w:val="00AA00D8"/>
    <w:rsid w:val="00AA32DA"/>
    <w:rsid w:val="00AA45A4"/>
    <w:rsid w:val="00AA4712"/>
    <w:rsid w:val="00AA4FAB"/>
    <w:rsid w:val="00AA5AC3"/>
    <w:rsid w:val="00AA65F4"/>
    <w:rsid w:val="00AA7A71"/>
    <w:rsid w:val="00AA7EB7"/>
    <w:rsid w:val="00AB01B3"/>
    <w:rsid w:val="00AB1B2B"/>
    <w:rsid w:val="00AB21A5"/>
    <w:rsid w:val="00AB43EE"/>
    <w:rsid w:val="00AB4F07"/>
    <w:rsid w:val="00AB5121"/>
    <w:rsid w:val="00AB51EA"/>
    <w:rsid w:val="00AB6F0C"/>
    <w:rsid w:val="00AC1997"/>
    <w:rsid w:val="00AC1EC5"/>
    <w:rsid w:val="00AC4AC4"/>
    <w:rsid w:val="00AC4C2E"/>
    <w:rsid w:val="00AC787C"/>
    <w:rsid w:val="00AC7BD5"/>
    <w:rsid w:val="00AC7EC6"/>
    <w:rsid w:val="00AC7F40"/>
    <w:rsid w:val="00AC7FDF"/>
    <w:rsid w:val="00AD0544"/>
    <w:rsid w:val="00AD061A"/>
    <w:rsid w:val="00AD1C15"/>
    <w:rsid w:val="00AD35F0"/>
    <w:rsid w:val="00AE099A"/>
    <w:rsid w:val="00AE154F"/>
    <w:rsid w:val="00AE18E1"/>
    <w:rsid w:val="00AE1EE1"/>
    <w:rsid w:val="00AE207E"/>
    <w:rsid w:val="00AE2782"/>
    <w:rsid w:val="00AE2C20"/>
    <w:rsid w:val="00AE3DAE"/>
    <w:rsid w:val="00AE412E"/>
    <w:rsid w:val="00AE5E46"/>
    <w:rsid w:val="00AE7D4C"/>
    <w:rsid w:val="00AF05EC"/>
    <w:rsid w:val="00AF06DF"/>
    <w:rsid w:val="00AF167D"/>
    <w:rsid w:val="00AF2AE0"/>
    <w:rsid w:val="00AF399D"/>
    <w:rsid w:val="00AF3D6B"/>
    <w:rsid w:val="00AF4917"/>
    <w:rsid w:val="00AF4DC9"/>
    <w:rsid w:val="00AF6292"/>
    <w:rsid w:val="00AF680F"/>
    <w:rsid w:val="00AF6DF0"/>
    <w:rsid w:val="00AF78D4"/>
    <w:rsid w:val="00B00514"/>
    <w:rsid w:val="00B00C04"/>
    <w:rsid w:val="00B01C2D"/>
    <w:rsid w:val="00B01FAF"/>
    <w:rsid w:val="00B01FBB"/>
    <w:rsid w:val="00B04260"/>
    <w:rsid w:val="00B04A4E"/>
    <w:rsid w:val="00B0511A"/>
    <w:rsid w:val="00B05D39"/>
    <w:rsid w:val="00B100BE"/>
    <w:rsid w:val="00B11284"/>
    <w:rsid w:val="00B11F80"/>
    <w:rsid w:val="00B13A6B"/>
    <w:rsid w:val="00B14FF9"/>
    <w:rsid w:val="00B158A1"/>
    <w:rsid w:val="00B15D9A"/>
    <w:rsid w:val="00B160F4"/>
    <w:rsid w:val="00B16606"/>
    <w:rsid w:val="00B1684F"/>
    <w:rsid w:val="00B1722F"/>
    <w:rsid w:val="00B17CCB"/>
    <w:rsid w:val="00B207AC"/>
    <w:rsid w:val="00B20D36"/>
    <w:rsid w:val="00B21512"/>
    <w:rsid w:val="00B21FA2"/>
    <w:rsid w:val="00B235FF"/>
    <w:rsid w:val="00B23D71"/>
    <w:rsid w:val="00B24486"/>
    <w:rsid w:val="00B24557"/>
    <w:rsid w:val="00B24846"/>
    <w:rsid w:val="00B26963"/>
    <w:rsid w:val="00B26AA4"/>
    <w:rsid w:val="00B27152"/>
    <w:rsid w:val="00B30BDA"/>
    <w:rsid w:val="00B30C98"/>
    <w:rsid w:val="00B32AE8"/>
    <w:rsid w:val="00B3323A"/>
    <w:rsid w:val="00B33B6D"/>
    <w:rsid w:val="00B34ECD"/>
    <w:rsid w:val="00B36696"/>
    <w:rsid w:val="00B418D6"/>
    <w:rsid w:val="00B41A1C"/>
    <w:rsid w:val="00B446F9"/>
    <w:rsid w:val="00B50382"/>
    <w:rsid w:val="00B512A3"/>
    <w:rsid w:val="00B51F04"/>
    <w:rsid w:val="00B53331"/>
    <w:rsid w:val="00B54686"/>
    <w:rsid w:val="00B559B2"/>
    <w:rsid w:val="00B565D4"/>
    <w:rsid w:val="00B56BAF"/>
    <w:rsid w:val="00B56D2F"/>
    <w:rsid w:val="00B56DA8"/>
    <w:rsid w:val="00B57BF8"/>
    <w:rsid w:val="00B60863"/>
    <w:rsid w:val="00B60E51"/>
    <w:rsid w:val="00B624DE"/>
    <w:rsid w:val="00B63F7F"/>
    <w:rsid w:val="00B6537F"/>
    <w:rsid w:val="00B65433"/>
    <w:rsid w:val="00B65D0C"/>
    <w:rsid w:val="00B65DEE"/>
    <w:rsid w:val="00B673D7"/>
    <w:rsid w:val="00B71571"/>
    <w:rsid w:val="00B715B1"/>
    <w:rsid w:val="00B7619E"/>
    <w:rsid w:val="00B77677"/>
    <w:rsid w:val="00B77BF3"/>
    <w:rsid w:val="00B80924"/>
    <w:rsid w:val="00B80D32"/>
    <w:rsid w:val="00B83257"/>
    <w:rsid w:val="00B8381D"/>
    <w:rsid w:val="00B84964"/>
    <w:rsid w:val="00B849F3"/>
    <w:rsid w:val="00B85F87"/>
    <w:rsid w:val="00B87B66"/>
    <w:rsid w:val="00B9092D"/>
    <w:rsid w:val="00B90C43"/>
    <w:rsid w:val="00B91527"/>
    <w:rsid w:val="00B91A37"/>
    <w:rsid w:val="00B92470"/>
    <w:rsid w:val="00B929D1"/>
    <w:rsid w:val="00B93321"/>
    <w:rsid w:val="00B93AC6"/>
    <w:rsid w:val="00B95349"/>
    <w:rsid w:val="00B955C0"/>
    <w:rsid w:val="00B95795"/>
    <w:rsid w:val="00B95B9C"/>
    <w:rsid w:val="00B961E2"/>
    <w:rsid w:val="00BA0067"/>
    <w:rsid w:val="00BA0F9A"/>
    <w:rsid w:val="00BA2179"/>
    <w:rsid w:val="00BA65AC"/>
    <w:rsid w:val="00BA79FE"/>
    <w:rsid w:val="00BB2985"/>
    <w:rsid w:val="00BC0A20"/>
    <w:rsid w:val="00BC21A0"/>
    <w:rsid w:val="00BC4EF3"/>
    <w:rsid w:val="00BC77C0"/>
    <w:rsid w:val="00BD0214"/>
    <w:rsid w:val="00BD0B25"/>
    <w:rsid w:val="00BD234D"/>
    <w:rsid w:val="00BD2561"/>
    <w:rsid w:val="00BD5DCD"/>
    <w:rsid w:val="00BD616D"/>
    <w:rsid w:val="00BD6C4D"/>
    <w:rsid w:val="00BD7A30"/>
    <w:rsid w:val="00BE0997"/>
    <w:rsid w:val="00BE1907"/>
    <w:rsid w:val="00BE1A97"/>
    <w:rsid w:val="00BE3AF3"/>
    <w:rsid w:val="00BE3F34"/>
    <w:rsid w:val="00BE485B"/>
    <w:rsid w:val="00BE5BBA"/>
    <w:rsid w:val="00BE6A74"/>
    <w:rsid w:val="00BE7D08"/>
    <w:rsid w:val="00BF0840"/>
    <w:rsid w:val="00BF0DFF"/>
    <w:rsid w:val="00BF180A"/>
    <w:rsid w:val="00BF22B8"/>
    <w:rsid w:val="00BF2603"/>
    <w:rsid w:val="00BF4335"/>
    <w:rsid w:val="00BF4E8B"/>
    <w:rsid w:val="00BF51CE"/>
    <w:rsid w:val="00BF6541"/>
    <w:rsid w:val="00BF7596"/>
    <w:rsid w:val="00C013DD"/>
    <w:rsid w:val="00C01A0D"/>
    <w:rsid w:val="00C0241A"/>
    <w:rsid w:val="00C028D9"/>
    <w:rsid w:val="00C036E4"/>
    <w:rsid w:val="00C038B8"/>
    <w:rsid w:val="00C03B35"/>
    <w:rsid w:val="00C05B41"/>
    <w:rsid w:val="00C06574"/>
    <w:rsid w:val="00C06F31"/>
    <w:rsid w:val="00C11EE9"/>
    <w:rsid w:val="00C12B8C"/>
    <w:rsid w:val="00C142DA"/>
    <w:rsid w:val="00C155D9"/>
    <w:rsid w:val="00C2211D"/>
    <w:rsid w:val="00C2344F"/>
    <w:rsid w:val="00C23A29"/>
    <w:rsid w:val="00C24458"/>
    <w:rsid w:val="00C246F2"/>
    <w:rsid w:val="00C26707"/>
    <w:rsid w:val="00C27719"/>
    <w:rsid w:val="00C27750"/>
    <w:rsid w:val="00C31BCD"/>
    <w:rsid w:val="00C320EB"/>
    <w:rsid w:val="00C32A67"/>
    <w:rsid w:val="00C32F7B"/>
    <w:rsid w:val="00C3513F"/>
    <w:rsid w:val="00C355AA"/>
    <w:rsid w:val="00C36223"/>
    <w:rsid w:val="00C40725"/>
    <w:rsid w:val="00C4207E"/>
    <w:rsid w:val="00C42EF1"/>
    <w:rsid w:val="00C43060"/>
    <w:rsid w:val="00C451A3"/>
    <w:rsid w:val="00C4577E"/>
    <w:rsid w:val="00C50C8F"/>
    <w:rsid w:val="00C51156"/>
    <w:rsid w:val="00C5355C"/>
    <w:rsid w:val="00C53FD7"/>
    <w:rsid w:val="00C55C61"/>
    <w:rsid w:val="00C57047"/>
    <w:rsid w:val="00C64B4A"/>
    <w:rsid w:val="00C64F44"/>
    <w:rsid w:val="00C650ED"/>
    <w:rsid w:val="00C65132"/>
    <w:rsid w:val="00C65F6A"/>
    <w:rsid w:val="00C67F3E"/>
    <w:rsid w:val="00C70CD5"/>
    <w:rsid w:val="00C7216F"/>
    <w:rsid w:val="00C72299"/>
    <w:rsid w:val="00C730E4"/>
    <w:rsid w:val="00C73BB8"/>
    <w:rsid w:val="00C74CC5"/>
    <w:rsid w:val="00C76B48"/>
    <w:rsid w:val="00C76CC4"/>
    <w:rsid w:val="00C76D9C"/>
    <w:rsid w:val="00C77815"/>
    <w:rsid w:val="00C779A4"/>
    <w:rsid w:val="00C81343"/>
    <w:rsid w:val="00C823C5"/>
    <w:rsid w:val="00C82D42"/>
    <w:rsid w:val="00C8322A"/>
    <w:rsid w:val="00C83583"/>
    <w:rsid w:val="00C84B12"/>
    <w:rsid w:val="00C869BC"/>
    <w:rsid w:val="00C86C42"/>
    <w:rsid w:val="00C8737E"/>
    <w:rsid w:val="00C90444"/>
    <w:rsid w:val="00C9243B"/>
    <w:rsid w:val="00C953C0"/>
    <w:rsid w:val="00C96524"/>
    <w:rsid w:val="00C96E5A"/>
    <w:rsid w:val="00C97ACC"/>
    <w:rsid w:val="00CA000E"/>
    <w:rsid w:val="00CA0C66"/>
    <w:rsid w:val="00CA181F"/>
    <w:rsid w:val="00CA22C7"/>
    <w:rsid w:val="00CA2A54"/>
    <w:rsid w:val="00CA3219"/>
    <w:rsid w:val="00CB01EB"/>
    <w:rsid w:val="00CB0DFA"/>
    <w:rsid w:val="00CB1075"/>
    <w:rsid w:val="00CB250C"/>
    <w:rsid w:val="00CB34D5"/>
    <w:rsid w:val="00CB6CB0"/>
    <w:rsid w:val="00CC134C"/>
    <w:rsid w:val="00CC36F9"/>
    <w:rsid w:val="00CC3E8F"/>
    <w:rsid w:val="00CC6088"/>
    <w:rsid w:val="00CD0BA2"/>
    <w:rsid w:val="00CD18DE"/>
    <w:rsid w:val="00CD1C6E"/>
    <w:rsid w:val="00CD3029"/>
    <w:rsid w:val="00CD6268"/>
    <w:rsid w:val="00CD643B"/>
    <w:rsid w:val="00CD66FD"/>
    <w:rsid w:val="00CD6E75"/>
    <w:rsid w:val="00CD7B7F"/>
    <w:rsid w:val="00CE0D42"/>
    <w:rsid w:val="00CE19D1"/>
    <w:rsid w:val="00CE23EF"/>
    <w:rsid w:val="00CE5B2A"/>
    <w:rsid w:val="00CE6197"/>
    <w:rsid w:val="00CE62E4"/>
    <w:rsid w:val="00CE6490"/>
    <w:rsid w:val="00CE64D0"/>
    <w:rsid w:val="00CE669B"/>
    <w:rsid w:val="00CE6BEE"/>
    <w:rsid w:val="00CE6C5E"/>
    <w:rsid w:val="00CE702E"/>
    <w:rsid w:val="00CE7723"/>
    <w:rsid w:val="00CF088A"/>
    <w:rsid w:val="00CF1AEC"/>
    <w:rsid w:val="00CF2113"/>
    <w:rsid w:val="00CF38F2"/>
    <w:rsid w:val="00CF5992"/>
    <w:rsid w:val="00CF5CD7"/>
    <w:rsid w:val="00CF79DF"/>
    <w:rsid w:val="00D00702"/>
    <w:rsid w:val="00D01E61"/>
    <w:rsid w:val="00D02296"/>
    <w:rsid w:val="00D02B99"/>
    <w:rsid w:val="00D0306C"/>
    <w:rsid w:val="00D034FA"/>
    <w:rsid w:val="00D06027"/>
    <w:rsid w:val="00D0751A"/>
    <w:rsid w:val="00D078F8"/>
    <w:rsid w:val="00D07D25"/>
    <w:rsid w:val="00D1061D"/>
    <w:rsid w:val="00D10BB4"/>
    <w:rsid w:val="00D110F0"/>
    <w:rsid w:val="00D116BA"/>
    <w:rsid w:val="00D12852"/>
    <w:rsid w:val="00D13010"/>
    <w:rsid w:val="00D133F0"/>
    <w:rsid w:val="00D143ED"/>
    <w:rsid w:val="00D146A1"/>
    <w:rsid w:val="00D159E6"/>
    <w:rsid w:val="00D16C5A"/>
    <w:rsid w:val="00D16DAA"/>
    <w:rsid w:val="00D17E12"/>
    <w:rsid w:val="00D21B84"/>
    <w:rsid w:val="00D22983"/>
    <w:rsid w:val="00D23149"/>
    <w:rsid w:val="00D25359"/>
    <w:rsid w:val="00D25E7D"/>
    <w:rsid w:val="00D260F3"/>
    <w:rsid w:val="00D261EA"/>
    <w:rsid w:val="00D26D6A"/>
    <w:rsid w:val="00D27842"/>
    <w:rsid w:val="00D30628"/>
    <w:rsid w:val="00D30CEE"/>
    <w:rsid w:val="00D31D6C"/>
    <w:rsid w:val="00D3247E"/>
    <w:rsid w:val="00D32B3D"/>
    <w:rsid w:val="00D33823"/>
    <w:rsid w:val="00D33C8D"/>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506F"/>
    <w:rsid w:val="00D5648F"/>
    <w:rsid w:val="00D56D3E"/>
    <w:rsid w:val="00D56E3B"/>
    <w:rsid w:val="00D57CC2"/>
    <w:rsid w:val="00D604C0"/>
    <w:rsid w:val="00D607FB"/>
    <w:rsid w:val="00D616EC"/>
    <w:rsid w:val="00D625B8"/>
    <w:rsid w:val="00D64429"/>
    <w:rsid w:val="00D648BA"/>
    <w:rsid w:val="00D66709"/>
    <w:rsid w:val="00D66A4D"/>
    <w:rsid w:val="00D713E1"/>
    <w:rsid w:val="00D724E1"/>
    <w:rsid w:val="00D73183"/>
    <w:rsid w:val="00D73629"/>
    <w:rsid w:val="00D76A95"/>
    <w:rsid w:val="00D76DEE"/>
    <w:rsid w:val="00D801E1"/>
    <w:rsid w:val="00D82515"/>
    <w:rsid w:val="00D8265B"/>
    <w:rsid w:val="00D82682"/>
    <w:rsid w:val="00D82E21"/>
    <w:rsid w:val="00D840E2"/>
    <w:rsid w:val="00D846FE"/>
    <w:rsid w:val="00D855BB"/>
    <w:rsid w:val="00D860CB"/>
    <w:rsid w:val="00D87C68"/>
    <w:rsid w:val="00D87DCD"/>
    <w:rsid w:val="00D87F30"/>
    <w:rsid w:val="00D909C5"/>
    <w:rsid w:val="00D92783"/>
    <w:rsid w:val="00D92B70"/>
    <w:rsid w:val="00D92D3B"/>
    <w:rsid w:val="00D9456A"/>
    <w:rsid w:val="00D947F1"/>
    <w:rsid w:val="00D94B4E"/>
    <w:rsid w:val="00D94DBD"/>
    <w:rsid w:val="00D9723E"/>
    <w:rsid w:val="00DA00BB"/>
    <w:rsid w:val="00DA2620"/>
    <w:rsid w:val="00DA38F9"/>
    <w:rsid w:val="00DA776D"/>
    <w:rsid w:val="00DA7AAB"/>
    <w:rsid w:val="00DB070A"/>
    <w:rsid w:val="00DB0815"/>
    <w:rsid w:val="00DB1859"/>
    <w:rsid w:val="00DB4D28"/>
    <w:rsid w:val="00DB6486"/>
    <w:rsid w:val="00DB6676"/>
    <w:rsid w:val="00DC2920"/>
    <w:rsid w:val="00DC2ABE"/>
    <w:rsid w:val="00DC58ED"/>
    <w:rsid w:val="00DC59DE"/>
    <w:rsid w:val="00DC6296"/>
    <w:rsid w:val="00DC7217"/>
    <w:rsid w:val="00DC79BB"/>
    <w:rsid w:val="00DD044B"/>
    <w:rsid w:val="00DD0BBF"/>
    <w:rsid w:val="00DD0D6A"/>
    <w:rsid w:val="00DD11EB"/>
    <w:rsid w:val="00DD1B8B"/>
    <w:rsid w:val="00DD1F32"/>
    <w:rsid w:val="00DD23D6"/>
    <w:rsid w:val="00DD4679"/>
    <w:rsid w:val="00DD4855"/>
    <w:rsid w:val="00DD489F"/>
    <w:rsid w:val="00DD75C4"/>
    <w:rsid w:val="00DE1FBA"/>
    <w:rsid w:val="00DE4550"/>
    <w:rsid w:val="00DE55DE"/>
    <w:rsid w:val="00DE5968"/>
    <w:rsid w:val="00DE6A2A"/>
    <w:rsid w:val="00DF1227"/>
    <w:rsid w:val="00DF131F"/>
    <w:rsid w:val="00DF2C98"/>
    <w:rsid w:val="00DF43EC"/>
    <w:rsid w:val="00DF5F31"/>
    <w:rsid w:val="00DF601C"/>
    <w:rsid w:val="00DF77FD"/>
    <w:rsid w:val="00DF7AB6"/>
    <w:rsid w:val="00E00DCA"/>
    <w:rsid w:val="00E033B7"/>
    <w:rsid w:val="00E038DB"/>
    <w:rsid w:val="00E04FFB"/>
    <w:rsid w:val="00E05EEE"/>
    <w:rsid w:val="00E065DD"/>
    <w:rsid w:val="00E075A8"/>
    <w:rsid w:val="00E07D5A"/>
    <w:rsid w:val="00E07DF0"/>
    <w:rsid w:val="00E105EE"/>
    <w:rsid w:val="00E10D91"/>
    <w:rsid w:val="00E134FC"/>
    <w:rsid w:val="00E1436B"/>
    <w:rsid w:val="00E14F22"/>
    <w:rsid w:val="00E151BD"/>
    <w:rsid w:val="00E170FA"/>
    <w:rsid w:val="00E2020E"/>
    <w:rsid w:val="00E20D15"/>
    <w:rsid w:val="00E25A13"/>
    <w:rsid w:val="00E26F75"/>
    <w:rsid w:val="00E27D63"/>
    <w:rsid w:val="00E3064C"/>
    <w:rsid w:val="00E33007"/>
    <w:rsid w:val="00E34483"/>
    <w:rsid w:val="00E3456D"/>
    <w:rsid w:val="00E36E2A"/>
    <w:rsid w:val="00E406B2"/>
    <w:rsid w:val="00E4190D"/>
    <w:rsid w:val="00E44987"/>
    <w:rsid w:val="00E44F34"/>
    <w:rsid w:val="00E45859"/>
    <w:rsid w:val="00E47666"/>
    <w:rsid w:val="00E47C2B"/>
    <w:rsid w:val="00E504E9"/>
    <w:rsid w:val="00E507A9"/>
    <w:rsid w:val="00E518AA"/>
    <w:rsid w:val="00E5253D"/>
    <w:rsid w:val="00E532E4"/>
    <w:rsid w:val="00E5374C"/>
    <w:rsid w:val="00E53860"/>
    <w:rsid w:val="00E54186"/>
    <w:rsid w:val="00E5431C"/>
    <w:rsid w:val="00E554E7"/>
    <w:rsid w:val="00E5688C"/>
    <w:rsid w:val="00E570EA"/>
    <w:rsid w:val="00E57C72"/>
    <w:rsid w:val="00E60AEE"/>
    <w:rsid w:val="00E61D0F"/>
    <w:rsid w:val="00E6547E"/>
    <w:rsid w:val="00E65E36"/>
    <w:rsid w:val="00E669A1"/>
    <w:rsid w:val="00E67625"/>
    <w:rsid w:val="00E700D9"/>
    <w:rsid w:val="00E73760"/>
    <w:rsid w:val="00E75FF6"/>
    <w:rsid w:val="00E77A6F"/>
    <w:rsid w:val="00E8390A"/>
    <w:rsid w:val="00E83A3B"/>
    <w:rsid w:val="00E86D16"/>
    <w:rsid w:val="00E901D7"/>
    <w:rsid w:val="00E9172D"/>
    <w:rsid w:val="00E91BD8"/>
    <w:rsid w:val="00E922BE"/>
    <w:rsid w:val="00E9258D"/>
    <w:rsid w:val="00E9268E"/>
    <w:rsid w:val="00E92B00"/>
    <w:rsid w:val="00E9368B"/>
    <w:rsid w:val="00E94D9A"/>
    <w:rsid w:val="00E953FA"/>
    <w:rsid w:val="00E97331"/>
    <w:rsid w:val="00E97D0F"/>
    <w:rsid w:val="00E97E28"/>
    <w:rsid w:val="00EA0677"/>
    <w:rsid w:val="00EA1636"/>
    <w:rsid w:val="00EA484D"/>
    <w:rsid w:val="00EA48FF"/>
    <w:rsid w:val="00EA4A96"/>
    <w:rsid w:val="00EB1A14"/>
    <w:rsid w:val="00EB30AF"/>
    <w:rsid w:val="00EB3B0A"/>
    <w:rsid w:val="00EB3DAC"/>
    <w:rsid w:val="00EB4093"/>
    <w:rsid w:val="00EB4370"/>
    <w:rsid w:val="00EB46F3"/>
    <w:rsid w:val="00EB4958"/>
    <w:rsid w:val="00EC0619"/>
    <w:rsid w:val="00EC1371"/>
    <w:rsid w:val="00EC2445"/>
    <w:rsid w:val="00EC2F08"/>
    <w:rsid w:val="00EC33B2"/>
    <w:rsid w:val="00EC3796"/>
    <w:rsid w:val="00EC41A4"/>
    <w:rsid w:val="00EC5D78"/>
    <w:rsid w:val="00EC6563"/>
    <w:rsid w:val="00EC7294"/>
    <w:rsid w:val="00EC7555"/>
    <w:rsid w:val="00EC7728"/>
    <w:rsid w:val="00ED0109"/>
    <w:rsid w:val="00ED0680"/>
    <w:rsid w:val="00ED10A6"/>
    <w:rsid w:val="00ED177B"/>
    <w:rsid w:val="00ED27B9"/>
    <w:rsid w:val="00ED2905"/>
    <w:rsid w:val="00ED3D65"/>
    <w:rsid w:val="00ED7E7A"/>
    <w:rsid w:val="00EE0D8C"/>
    <w:rsid w:val="00EE149D"/>
    <w:rsid w:val="00EE172B"/>
    <w:rsid w:val="00EE1D76"/>
    <w:rsid w:val="00EE3737"/>
    <w:rsid w:val="00EE3F56"/>
    <w:rsid w:val="00EE4BB2"/>
    <w:rsid w:val="00EE4DAC"/>
    <w:rsid w:val="00EE5494"/>
    <w:rsid w:val="00EE560A"/>
    <w:rsid w:val="00EE6B47"/>
    <w:rsid w:val="00EE733B"/>
    <w:rsid w:val="00EE7B6D"/>
    <w:rsid w:val="00EF13A5"/>
    <w:rsid w:val="00EF1724"/>
    <w:rsid w:val="00EF1900"/>
    <w:rsid w:val="00EF1AA9"/>
    <w:rsid w:val="00EF1B4E"/>
    <w:rsid w:val="00EF1CC2"/>
    <w:rsid w:val="00EF3963"/>
    <w:rsid w:val="00EF3FEF"/>
    <w:rsid w:val="00EF5079"/>
    <w:rsid w:val="00EF6E1E"/>
    <w:rsid w:val="00EF7A77"/>
    <w:rsid w:val="00EF7DE3"/>
    <w:rsid w:val="00F006C9"/>
    <w:rsid w:val="00F02F54"/>
    <w:rsid w:val="00F03638"/>
    <w:rsid w:val="00F039DA"/>
    <w:rsid w:val="00F039ED"/>
    <w:rsid w:val="00F03F16"/>
    <w:rsid w:val="00F0620D"/>
    <w:rsid w:val="00F07ECC"/>
    <w:rsid w:val="00F10116"/>
    <w:rsid w:val="00F10F32"/>
    <w:rsid w:val="00F11B23"/>
    <w:rsid w:val="00F1258B"/>
    <w:rsid w:val="00F1344F"/>
    <w:rsid w:val="00F1379E"/>
    <w:rsid w:val="00F13850"/>
    <w:rsid w:val="00F13A34"/>
    <w:rsid w:val="00F146CB"/>
    <w:rsid w:val="00F14B1E"/>
    <w:rsid w:val="00F15D92"/>
    <w:rsid w:val="00F2006D"/>
    <w:rsid w:val="00F220EF"/>
    <w:rsid w:val="00F2298C"/>
    <w:rsid w:val="00F24CF2"/>
    <w:rsid w:val="00F25235"/>
    <w:rsid w:val="00F254F6"/>
    <w:rsid w:val="00F27FB9"/>
    <w:rsid w:val="00F3022D"/>
    <w:rsid w:val="00F30708"/>
    <w:rsid w:val="00F31B3B"/>
    <w:rsid w:val="00F31E35"/>
    <w:rsid w:val="00F3228A"/>
    <w:rsid w:val="00F32D09"/>
    <w:rsid w:val="00F3395E"/>
    <w:rsid w:val="00F33A72"/>
    <w:rsid w:val="00F3415D"/>
    <w:rsid w:val="00F363F1"/>
    <w:rsid w:val="00F37256"/>
    <w:rsid w:val="00F37B45"/>
    <w:rsid w:val="00F37F14"/>
    <w:rsid w:val="00F436EC"/>
    <w:rsid w:val="00F43DFC"/>
    <w:rsid w:val="00F45E5A"/>
    <w:rsid w:val="00F51658"/>
    <w:rsid w:val="00F54740"/>
    <w:rsid w:val="00F5490E"/>
    <w:rsid w:val="00F57A3E"/>
    <w:rsid w:val="00F617C5"/>
    <w:rsid w:val="00F62899"/>
    <w:rsid w:val="00F637A9"/>
    <w:rsid w:val="00F63A4A"/>
    <w:rsid w:val="00F63E31"/>
    <w:rsid w:val="00F645AE"/>
    <w:rsid w:val="00F67D00"/>
    <w:rsid w:val="00F67D2C"/>
    <w:rsid w:val="00F70011"/>
    <w:rsid w:val="00F7185B"/>
    <w:rsid w:val="00F720FA"/>
    <w:rsid w:val="00F733B2"/>
    <w:rsid w:val="00F748D0"/>
    <w:rsid w:val="00F75DF6"/>
    <w:rsid w:val="00F75F4B"/>
    <w:rsid w:val="00F772EA"/>
    <w:rsid w:val="00F77698"/>
    <w:rsid w:val="00F80B2D"/>
    <w:rsid w:val="00F83BC2"/>
    <w:rsid w:val="00F84ED2"/>
    <w:rsid w:val="00F90290"/>
    <w:rsid w:val="00F915B8"/>
    <w:rsid w:val="00F91B3B"/>
    <w:rsid w:val="00F94EC0"/>
    <w:rsid w:val="00F9570B"/>
    <w:rsid w:val="00F9703F"/>
    <w:rsid w:val="00F976C6"/>
    <w:rsid w:val="00FA0C52"/>
    <w:rsid w:val="00FA215D"/>
    <w:rsid w:val="00FA2451"/>
    <w:rsid w:val="00FA3FB9"/>
    <w:rsid w:val="00FA457D"/>
    <w:rsid w:val="00FA6E33"/>
    <w:rsid w:val="00FA72B1"/>
    <w:rsid w:val="00FC479C"/>
    <w:rsid w:val="00FC6E57"/>
    <w:rsid w:val="00FC7151"/>
    <w:rsid w:val="00FD0C02"/>
    <w:rsid w:val="00FD1FCF"/>
    <w:rsid w:val="00FD282F"/>
    <w:rsid w:val="00FD6EAA"/>
    <w:rsid w:val="00FE08C3"/>
    <w:rsid w:val="00FE0ABB"/>
    <w:rsid w:val="00FE141F"/>
    <w:rsid w:val="00FE20F0"/>
    <w:rsid w:val="00FE7911"/>
    <w:rsid w:val="00FF1735"/>
    <w:rsid w:val="00FF31C9"/>
    <w:rsid w:val="00FF3D51"/>
    <w:rsid w:val="00FF469F"/>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Revision">
    <w:name w:val="Revision"/>
    <w:hidden/>
    <w:uiPriority w:val="99"/>
    <w:semiHidden/>
    <w:rsid w:val="001F581C"/>
    <w:pPr>
      <w:spacing w:line="240" w:lineRule="auto"/>
    </w:pPr>
  </w:style>
  <w:style w:type="character" w:styleId="CommentReference">
    <w:name w:val="annotation reference"/>
    <w:basedOn w:val="DefaultParagraphFont"/>
    <w:uiPriority w:val="99"/>
    <w:semiHidden/>
    <w:unhideWhenUsed/>
    <w:rsid w:val="001F581C"/>
    <w:rPr>
      <w:sz w:val="16"/>
      <w:szCs w:val="16"/>
    </w:rPr>
  </w:style>
  <w:style w:type="paragraph" w:styleId="CommentText">
    <w:name w:val="annotation text"/>
    <w:basedOn w:val="Normal"/>
    <w:link w:val="CommentTextChar"/>
    <w:uiPriority w:val="99"/>
    <w:semiHidden/>
    <w:unhideWhenUsed/>
    <w:rsid w:val="001F581C"/>
    <w:pPr>
      <w:spacing w:line="240" w:lineRule="auto"/>
    </w:pPr>
    <w:rPr>
      <w:sz w:val="20"/>
      <w:szCs w:val="20"/>
    </w:rPr>
  </w:style>
  <w:style w:type="character" w:customStyle="1" w:styleId="CommentTextChar">
    <w:name w:val="Comment Text Char"/>
    <w:basedOn w:val="DefaultParagraphFont"/>
    <w:link w:val="CommentText"/>
    <w:uiPriority w:val="99"/>
    <w:semiHidden/>
    <w:rsid w:val="001F581C"/>
    <w:rPr>
      <w:sz w:val="20"/>
      <w:szCs w:val="20"/>
    </w:rPr>
  </w:style>
  <w:style w:type="paragraph" w:styleId="CommentSubject">
    <w:name w:val="annotation subject"/>
    <w:basedOn w:val="CommentText"/>
    <w:next w:val="CommentText"/>
    <w:link w:val="CommentSubjectChar"/>
    <w:uiPriority w:val="99"/>
    <w:semiHidden/>
    <w:unhideWhenUsed/>
    <w:rsid w:val="001F581C"/>
    <w:rPr>
      <w:b/>
      <w:bCs/>
    </w:rPr>
  </w:style>
  <w:style w:type="character" w:customStyle="1" w:styleId="CommentSubjectChar">
    <w:name w:val="Comment Subject Char"/>
    <w:basedOn w:val="CommentTextChar"/>
    <w:link w:val="CommentSubject"/>
    <w:uiPriority w:val="99"/>
    <w:semiHidden/>
    <w:rsid w:val="001F5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4EA9-02BE-4D71-98CB-A36A92F8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2022-10-19T15:04:00Z</dcterms:created>
  <dcterms:modified xsi:type="dcterms:W3CDTF">2022-10-23T10:33:00Z</dcterms:modified>
</cp:coreProperties>
</file>