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D91F0" w14:textId="77777777" w:rsidR="00D450B5" w:rsidRPr="00044B50" w:rsidRDefault="00D450B5" w:rsidP="00772E4B">
      <w:pPr>
        <w:autoSpaceDE w:val="0"/>
        <w:autoSpaceDN w:val="0"/>
        <w:adjustRightInd w:val="0"/>
        <w:jc w:val="right"/>
        <w:rPr>
          <w:lang w:val="en-GB"/>
        </w:rPr>
      </w:pPr>
    </w:p>
    <w:p w14:paraId="3BB46367" w14:textId="77777777" w:rsidR="00D450B5" w:rsidRPr="00044B50" w:rsidRDefault="00D450B5" w:rsidP="00772E4B">
      <w:pPr>
        <w:jc w:val="center"/>
        <w:rPr>
          <w:lang w:val="en-GB"/>
        </w:rPr>
      </w:pPr>
      <w:r w:rsidRPr="00044B50">
        <w:rPr>
          <w:noProof/>
          <w:lang w:eastAsia="en-ZA"/>
        </w:rPr>
        <w:drawing>
          <wp:inline distT="0" distB="0" distL="0" distR="0" wp14:anchorId="01CC64B0" wp14:editId="193F6DB6">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14:paraId="125647D4" w14:textId="77777777" w:rsidR="00D450B5" w:rsidRPr="00044B50" w:rsidRDefault="00D450B5" w:rsidP="00772E4B">
      <w:pPr>
        <w:jc w:val="center"/>
        <w:rPr>
          <w:b/>
          <w:bCs/>
          <w:lang w:val="en-GB"/>
        </w:rPr>
      </w:pPr>
      <w:r w:rsidRPr="00044B50">
        <w:rPr>
          <w:b/>
          <w:bCs/>
          <w:lang w:val="en-GB"/>
        </w:rPr>
        <w:t>IN THE HIGH COURT OF SOUTH AFRICA</w:t>
      </w:r>
    </w:p>
    <w:p w14:paraId="130E4897" w14:textId="4B0DD7FD" w:rsidR="00D450B5" w:rsidRPr="00044B50" w:rsidRDefault="00D450B5" w:rsidP="00772E4B">
      <w:pPr>
        <w:jc w:val="center"/>
        <w:rPr>
          <w:b/>
          <w:bCs/>
          <w:lang w:val="en-GB"/>
        </w:rPr>
      </w:pPr>
      <w:r w:rsidRPr="00044B50">
        <w:rPr>
          <w:b/>
          <w:bCs/>
          <w:lang w:val="en-GB"/>
        </w:rPr>
        <w:t>EASTERN CAPE DIVISION,</w:t>
      </w:r>
      <w:r w:rsidR="00CA22C7">
        <w:rPr>
          <w:b/>
          <w:bCs/>
          <w:lang w:val="en-GB"/>
        </w:rPr>
        <w:t xml:space="preserve"> </w:t>
      </w:r>
      <w:r w:rsidR="00752BF2">
        <w:rPr>
          <w:b/>
          <w:bCs/>
          <w:lang w:val="en-GB"/>
        </w:rPr>
        <w:t>MTHATHA</w:t>
      </w:r>
    </w:p>
    <w:p w14:paraId="260381A7" w14:textId="77777777" w:rsidR="00D450B5" w:rsidRPr="00044B50" w:rsidRDefault="00D450B5" w:rsidP="00772E4B">
      <w:pPr>
        <w:widowControl w:val="0"/>
        <w:jc w:val="both"/>
        <w:rPr>
          <w:spacing w:val="14"/>
          <w:kern w:val="2"/>
          <w:u w:val="single"/>
          <w:lang w:val="en-GB"/>
        </w:rPr>
      </w:pPr>
    </w:p>
    <w:p w14:paraId="434E4AD9" w14:textId="2B5CB285" w:rsidR="00D450B5" w:rsidRPr="00044B50" w:rsidRDefault="00D450B5" w:rsidP="00772E4B">
      <w:pPr>
        <w:ind w:right="-52"/>
        <w:jc w:val="center"/>
        <w:rPr>
          <w:b/>
          <w:bCs/>
          <w:lang w:val="en-GB"/>
        </w:rPr>
      </w:pPr>
      <w:r w:rsidRPr="00044B50">
        <w:rPr>
          <w:lang w:val="en-GB"/>
        </w:rPr>
        <w:t xml:space="preserve">                                                                                           </w:t>
      </w:r>
      <w:r w:rsidR="00EC31FF">
        <w:rPr>
          <w:b/>
          <w:bCs/>
          <w:lang w:val="en-GB"/>
        </w:rPr>
        <w:t>OF INTEREST</w:t>
      </w:r>
      <w:r w:rsidRPr="00044B50">
        <w:rPr>
          <w:b/>
          <w:bCs/>
          <w:lang w:val="en-GB"/>
        </w:rPr>
        <w:t xml:space="preserve">                                     </w:t>
      </w:r>
    </w:p>
    <w:p w14:paraId="4934DB4B" w14:textId="0EC8EB9B" w:rsidR="00E44987" w:rsidRPr="00472D04" w:rsidRDefault="00E44987" w:rsidP="00A56D64">
      <w:pPr>
        <w:tabs>
          <w:tab w:val="left" w:pos="5529"/>
        </w:tabs>
        <w:jc w:val="center"/>
        <w:rPr>
          <w:lang w:val="en-GB"/>
        </w:rPr>
      </w:pPr>
      <w:r w:rsidRPr="00044B50">
        <w:rPr>
          <w:lang w:val="en-GB"/>
        </w:rPr>
        <w:t xml:space="preserve">       </w:t>
      </w:r>
      <w:r w:rsidR="00472D04">
        <w:rPr>
          <w:lang w:val="en-GB"/>
        </w:rPr>
        <w:t xml:space="preserve">                               </w:t>
      </w:r>
      <w:r w:rsidR="00A56D64">
        <w:rPr>
          <w:lang w:val="en-GB"/>
        </w:rPr>
        <w:tab/>
      </w:r>
      <w:r w:rsidRPr="00472D04">
        <w:rPr>
          <w:lang w:val="en-GB"/>
        </w:rPr>
        <w:t xml:space="preserve">Case no: </w:t>
      </w:r>
      <w:r w:rsidR="00472D04" w:rsidRPr="00472D04">
        <w:rPr>
          <w:lang w:val="en-GB"/>
        </w:rPr>
        <w:t>CA05/2022</w:t>
      </w:r>
    </w:p>
    <w:p w14:paraId="13EEBE4B" w14:textId="77777777" w:rsidR="00D450B5" w:rsidRPr="00044B50" w:rsidRDefault="00D450B5" w:rsidP="00772E4B">
      <w:pPr>
        <w:widowControl w:val="0"/>
        <w:jc w:val="right"/>
        <w:rPr>
          <w:spacing w:val="14"/>
          <w:kern w:val="2"/>
          <w:lang w:val="en-GB"/>
        </w:rPr>
      </w:pPr>
    </w:p>
    <w:p w14:paraId="49070A0E" w14:textId="0BCDA14B" w:rsidR="00D450B5" w:rsidRPr="00044B50" w:rsidRDefault="00D450B5" w:rsidP="00772E4B">
      <w:pPr>
        <w:widowControl w:val="0"/>
        <w:jc w:val="both"/>
        <w:rPr>
          <w:spacing w:val="14"/>
          <w:kern w:val="2"/>
          <w:lang w:val="en-GB"/>
        </w:rPr>
      </w:pPr>
      <w:r w:rsidRPr="00044B50">
        <w:rPr>
          <w:spacing w:val="14"/>
          <w:kern w:val="2"/>
          <w:lang w:val="en-GB"/>
        </w:rPr>
        <w:t>In the matter between</w:t>
      </w:r>
      <w:r w:rsidR="00E44987" w:rsidRPr="00044B50">
        <w:rPr>
          <w:spacing w:val="14"/>
          <w:kern w:val="2"/>
          <w:lang w:val="en-GB"/>
        </w:rPr>
        <w:t>:</w:t>
      </w:r>
    </w:p>
    <w:p w14:paraId="2E198784" w14:textId="2CE4C2C0" w:rsidR="00D450B5" w:rsidRPr="00044B50" w:rsidRDefault="00D450B5" w:rsidP="00772E4B">
      <w:pPr>
        <w:widowControl w:val="0"/>
        <w:tabs>
          <w:tab w:val="right" w:pos="8198"/>
        </w:tabs>
        <w:jc w:val="both"/>
        <w:rPr>
          <w:spacing w:val="14"/>
          <w:kern w:val="2"/>
          <w:lang w:val="en-GB"/>
        </w:rPr>
      </w:pPr>
    </w:p>
    <w:p w14:paraId="0D746988" w14:textId="05194CDE" w:rsidR="00D450B5" w:rsidRDefault="00A56D64" w:rsidP="00A56D64">
      <w:pPr>
        <w:tabs>
          <w:tab w:val="left" w:pos="7797"/>
          <w:tab w:val="right" w:pos="9072"/>
        </w:tabs>
        <w:suppressAutoHyphens/>
        <w:jc w:val="both"/>
        <w:rPr>
          <w:b/>
          <w:lang w:val="en-GB"/>
        </w:rPr>
      </w:pPr>
      <w:r w:rsidRPr="00A56D64">
        <w:rPr>
          <w:b/>
          <w:lang w:val="en-GB"/>
        </w:rPr>
        <w:t>MEMBER OF THE EXECUTIVE COUNCIL</w:t>
      </w:r>
      <w:r w:rsidRPr="00A56D64">
        <w:rPr>
          <w:b/>
          <w:lang w:val="en-GB"/>
        </w:rPr>
        <w:tab/>
      </w:r>
      <w:r w:rsidR="00EC284E">
        <w:rPr>
          <w:b/>
          <w:lang w:val="en-GB"/>
        </w:rPr>
        <w:t>Appellant</w:t>
      </w:r>
    </w:p>
    <w:p w14:paraId="06CFCE70" w14:textId="1AA1C917" w:rsidR="00A56D64" w:rsidRDefault="00A56D64" w:rsidP="00A56D64">
      <w:pPr>
        <w:tabs>
          <w:tab w:val="left" w:pos="7797"/>
          <w:tab w:val="right" w:pos="9072"/>
        </w:tabs>
        <w:suppressAutoHyphens/>
        <w:jc w:val="both"/>
        <w:rPr>
          <w:b/>
          <w:lang w:val="en-GB"/>
        </w:rPr>
      </w:pPr>
      <w:r>
        <w:rPr>
          <w:b/>
          <w:lang w:val="en-GB"/>
        </w:rPr>
        <w:t>FOR THE DEPARTMENT OF HEALTH,</w:t>
      </w:r>
    </w:p>
    <w:p w14:paraId="4BAC3625" w14:textId="33A1EE87" w:rsidR="00A56D64" w:rsidRPr="00A56D64" w:rsidRDefault="00A56D64" w:rsidP="00A56D64">
      <w:pPr>
        <w:tabs>
          <w:tab w:val="left" w:pos="7797"/>
          <w:tab w:val="right" w:pos="9072"/>
        </w:tabs>
        <w:suppressAutoHyphens/>
        <w:jc w:val="both"/>
        <w:rPr>
          <w:b/>
          <w:lang w:val="en-GB"/>
        </w:rPr>
      </w:pPr>
      <w:r>
        <w:rPr>
          <w:b/>
          <w:lang w:val="en-GB"/>
        </w:rPr>
        <w:t>EASTERN CAPE</w:t>
      </w:r>
    </w:p>
    <w:p w14:paraId="50A760EA" w14:textId="77777777" w:rsidR="00F565D0" w:rsidRPr="00044B50" w:rsidRDefault="00F565D0" w:rsidP="00772E4B">
      <w:pPr>
        <w:tabs>
          <w:tab w:val="right" w:pos="9072"/>
        </w:tabs>
        <w:suppressAutoHyphens/>
        <w:jc w:val="both"/>
        <w:rPr>
          <w:lang w:val="en-GB"/>
        </w:rPr>
      </w:pPr>
    </w:p>
    <w:p w14:paraId="460137EF" w14:textId="77777777" w:rsidR="00D450B5" w:rsidRPr="00044B50" w:rsidRDefault="00D450B5" w:rsidP="00772E4B">
      <w:pPr>
        <w:jc w:val="both"/>
        <w:rPr>
          <w:lang w:val="en-GB"/>
        </w:rPr>
      </w:pPr>
      <w:r w:rsidRPr="00044B50">
        <w:rPr>
          <w:lang w:val="en-GB"/>
        </w:rPr>
        <w:t>and</w:t>
      </w:r>
    </w:p>
    <w:p w14:paraId="37CBA823" w14:textId="4B4FCA3C" w:rsidR="00D450B5" w:rsidRPr="00044B50" w:rsidRDefault="00D450B5" w:rsidP="00772E4B">
      <w:pPr>
        <w:jc w:val="both"/>
        <w:rPr>
          <w:lang w:val="en-GB"/>
        </w:rPr>
      </w:pPr>
    </w:p>
    <w:p w14:paraId="4F0E2CE6" w14:textId="46B2AF87" w:rsidR="00C246F2" w:rsidRPr="00A56D64" w:rsidRDefault="00A56D64" w:rsidP="00A56D64">
      <w:pPr>
        <w:tabs>
          <w:tab w:val="left" w:pos="7513"/>
        </w:tabs>
        <w:jc w:val="both"/>
        <w:rPr>
          <w:b/>
          <w:bCs/>
          <w:lang w:val="en-GB"/>
        </w:rPr>
      </w:pPr>
      <w:r w:rsidRPr="00A56D64">
        <w:rPr>
          <w:b/>
          <w:lang w:val="en-GB"/>
        </w:rPr>
        <w:t xml:space="preserve">SIBUSISO GAMEDE </w:t>
      </w:r>
      <w:r w:rsidRPr="00A56D64">
        <w:rPr>
          <w:b/>
          <w:lang w:val="en-GB"/>
        </w:rPr>
        <w:tab/>
        <w:t>R</w:t>
      </w:r>
      <w:r w:rsidR="00E12364" w:rsidRPr="00A56D64">
        <w:rPr>
          <w:b/>
          <w:lang w:val="en-GB"/>
        </w:rPr>
        <w:t>espondent</w:t>
      </w:r>
    </w:p>
    <w:p w14:paraId="76889E9C" w14:textId="24974D08" w:rsidR="00D450B5" w:rsidRPr="00044B50" w:rsidRDefault="00D450B5" w:rsidP="00772E4B">
      <w:pPr>
        <w:jc w:val="both"/>
        <w:rPr>
          <w:lang w:val="en-GB"/>
        </w:rPr>
      </w:pPr>
      <w:r w:rsidRPr="00044B50">
        <w:rPr>
          <w:lang w:val="en-GB"/>
        </w:rPr>
        <w:t>__________________________________________________________________</w:t>
      </w:r>
      <w:r w:rsidR="006B1DCE">
        <w:rPr>
          <w:lang w:val="en-GB"/>
        </w:rPr>
        <w:t>_</w:t>
      </w:r>
    </w:p>
    <w:p w14:paraId="37FFD90E" w14:textId="77777777" w:rsidR="0009497C" w:rsidRPr="00044B50" w:rsidRDefault="0009497C" w:rsidP="00772E4B">
      <w:pPr>
        <w:jc w:val="center"/>
        <w:rPr>
          <w:lang w:val="en-GB"/>
        </w:rPr>
      </w:pPr>
    </w:p>
    <w:p w14:paraId="7239B7A9" w14:textId="5C9E0ED9" w:rsidR="00D450B5" w:rsidRPr="00044B50" w:rsidRDefault="00D450B5" w:rsidP="00772E4B">
      <w:pPr>
        <w:jc w:val="center"/>
        <w:rPr>
          <w:b/>
          <w:bCs/>
          <w:lang w:val="en-GB"/>
        </w:rPr>
      </w:pPr>
      <w:r w:rsidRPr="00044B50">
        <w:rPr>
          <w:b/>
          <w:bCs/>
          <w:lang w:val="en-GB"/>
        </w:rPr>
        <w:t xml:space="preserve">JUDGMENT </w:t>
      </w:r>
      <w:r w:rsidR="00BD6D7A">
        <w:rPr>
          <w:b/>
          <w:bCs/>
          <w:lang w:val="en-GB"/>
        </w:rPr>
        <w:t>ON APPEAL</w:t>
      </w:r>
    </w:p>
    <w:p w14:paraId="2B47CB4D" w14:textId="77777777" w:rsidR="00D450B5" w:rsidRPr="00044B50" w:rsidRDefault="00D450B5" w:rsidP="00772E4B">
      <w:pPr>
        <w:jc w:val="both"/>
        <w:rPr>
          <w:lang w:val="en-GB"/>
        </w:rPr>
      </w:pPr>
      <w:r w:rsidRPr="00044B50">
        <w:rPr>
          <w:lang w:val="en-GB"/>
        </w:rPr>
        <w:t>___________________________________________________________________</w:t>
      </w:r>
    </w:p>
    <w:p w14:paraId="7C4F1B04" w14:textId="1212275E" w:rsidR="00D450B5" w:rsidRPr="00044B50" w:rsidRDefault="00E57C72" w:rsidP="00772E4B">
      <w:pPr>
        <w:jc w:val="both"/>
        <w:rPr>
          <w:b/>
          <w:bCs/>
          <w:lang w:val="en-GB"/>
        </w:rPr>
      </w:pPr>
      <w:r w:rsidRPr="00044B50">
        <w:rPr>
          <w:b/>
          <w:bCs/>
          <w:lang w:val="en-GB"/>
        </w:rPr>
        <w:t>Govindjee</w:t>
      </w:r>
      <w:r w:rsidR="00D450B5" w:rsidRPr="00044B50">
        <w:rPr>
          <w:b/>
          <w:bCs/>
          <w:lang w:val="en-GB"/>
        </w:rPr>
        <w:t xml:space="preserve"> J</w:t>
      </w:r>
    </w:p>
    <w:p w14:paraId="34F7781B" w14:textId="3039F7C8" w:rsidR="00D468AF" w:rsidRDefault="00D468AF" w:rsidP="00682CE5">
      <w:pPr>
        <w:autoSpaceDE w:val="0"/>
        <w:autoSpaceDN w:val="0"/>
        <w:adjustRightInd w:val="0"/>
        <w:jc w:val="both"/>
        <w:rPr>
          <w:lang w:val="en-GB"/>
        </w:rPr>
      </w:pPr>
    </w:p>
    <w:p w14:paraId="3AE39297" w14:textId="4AC3F1A4" w:rsidR="008B5FE5" w:rsidRDefault="00095E4A" w:rsidP="00682CE5">
      <w:pPr>
        <w:autoSpaceDE w:val="0"/>
        <w:autoSpaceDN w:val="0"/>
        <w:adjustRightInd w:val="0"/>
        <w:jc w:val="both"/>
        <w:rPr>
          <w:b/>
          <w:bCs/>
          <w:lang w:val="en-GB"/>
        </w:rPr>
      </w:pPr>
      <w:r>
        <w:rPr>
          <w:b/>
          <w:bCs/>
          <w:lang w:val="en-GB"/>
        </w:rPr>
        <w:t>Background</w:t>
      </w:r>
    </w:p>
    <w:p w14:paraId="6DEEE898" w14:textId="77777777" w:rsidR="008B5FE5" w:rsidRPr="008B5FE5" w:rsidRDefault="008B5FE5" w:rsidP="00682CE5">
      <w:pPr>
        <w:autoSpaceDE w:val="0"/>
        <w:autoSpaceDN w:val="0"/>
        <w:adjustRightInd w:val="0"/>
        <w:jc w:val="both"/>
        <w:rPr>
          <w:b/>
          <w:bCs/>
          <w:lang w:val="en-GB"/>
        </w:rPr>
      </w:pPr>
    </w:p>
    <w:p w14:paraId="6EAFAF38" w14:textId="7E9B3528" w:rsidR="004E2F8E" w:rsidRPr="0050619A" w:rsidRDefault="0050619A" w:rsidP="0050619A">
      <w:pPr>
        <w:autoSpaceDE w:val="0"/>
        <w:autoSpaceDN w:val="0"/>
        <w:adjustRightInd w:val="0"/>
        <w:jc w:val="both"/>
        <w:rPr>
          <w:lang w:val="en-GB"/>
        </w:rPr>
      </w:pPr>
      <w:r>
        <w:rPr>
          <w:lang w:val="en-GB"/>
        </w:rPr>
        <w:t>[1]</w:t>
      </w:r>
      <w:r>
        <w:rPr>
          <w:lang w:val="en-GB"/>
        </w:rPr>
        <w:tab/>
      </w:r>
      <w:r w:rsidR="008B5FE5" w:rsidRPr="0050619A">
        <w:rPr>
          <w:lang w:val="en-GB"/>
        </w:rPr>
        <w:t>The respondent (‘</w:t>
      </w:r>
      <w:r w:rsidR="008D597A" w:rsidRPr="0050619A">
        <w:rPr>
          <w:lang w:val="en-GB"/>
        </w:rPr>
        <w:t xml:space="preserve">Mr </w:t>
      </w:r>
      <w:r w:rsidR="008B5FE5" w:rsidRPr="0050619A">
        <w:rPr>
          <w:lang w:val="en-GB"/>
        </w:rPr>
        <w:t xml:space="preserve">Gamede’) instituted action against the appellant (‘the MEC’) for damages allegedly suffered as a result of </w:t>
      </w:r>
      <w:r w:rsidR="008409C4" w:rsidRPr="0050619A">
        <w:rPr>
          <w:lang w:val="en-GB"/>
        </w:rPr>
        <w:t>a breach of contractual obligations on the part of staff at the Nelson Mandela Academic Hospital.</w:t>
      </w:r>
      <w:r w:rsidR="00D57748" w:rsidRPr="0050619A">
        <w:rPr>
          <w:lang w:val="en-GB"/>
        </w:rPr>
        <w:t xml:space="preserve"> </w:t>
      </w:r>
      <w:r w:rsidR="008D597A" w:rsidRPr="0050619A">
        <w:rPr>
          <w:lang w:val="en-GB"/>
        </w:rPr>
        <w:t xml:space="preserve">Mr </w:t>
      </w:r>
      <w:r w:rsidR="00137DE1" w:rsidRPr="0050619A">
        <w:rPr>
          <w:lang w:val="en-GB"/>
        </w:rPr>
        <w:t xml:space="preserve">Gamede relied, in the alternative, on the </w:t>
      </w:r>
      <w:r w:rsidR="00CA546D" w:rsidRPr="0050619A">
        <w:rPr>
          <w:lang w:val="en-GB"/>
        </w:rPr>
        <w:t xml:space="preserve">negligent </w:t>
      </w:r>
      <w:r w:rsidR="00137DE1" w:rsidRPr="0050619A">
        <w:rPr>
          <w:lang w:val="en-GB"/>
        </w:rPr>
        <w:t>breach of a legal duty</w:t>
      </w:r>
      <w:r w:rsidR="00CA546D" w:rsidRPr="0050619A">
        <w:rPr>
          <w:lang w:val="en-GB"/>
        </w:rPr>
        <w:t xml:space="preserve"> which had caused him harm.</w:t>
      </w:r>
    </w:p>
    <w:p w14:paraId="52786C7A" w14:textId="1CD7A630" w:rsidR="0038739B" w:rsidRPr="0050619A" w:rsidRDefault="0050619A" w:rsidP="0050619A">
      <w:pPr>
        <w:autoSpaceDE w:val="0"/>
        <w:autoSpaceDN w:val="0"/>
        <w:adjustRightInd w:val="0"/>
        <w:jc w:val="both"/>
        <w:rPr>
          <w:lang w:val="en-GB"/>
        </w:rPr>
      </w:pPr>
      <w:r>
        <w:rPr>
          <w:lang w:val="en-GB"/>
        </w:rPr>
        <w:lastRenderedPageBreak/>
        <w:t>[2]</w:t>
      </w:r>
      <w:r>
        <w:rPr>
          <w:lang w:val="en-GB"/>
        </w:rPr>
        <w:tab/>
      </w:r>
      <w:r w:rsidR="0038739B" w:rsidRPr="0050619A">
        <w:rPr>
          <w:lang w:val="en-GB"/>
        </w:rPr>
        <w:t xml:space="preserve">The MEC raised two special pleas. The first was that the claim </w:t>
      </w:r>
      <w:r w:rsidR="00B63009" w:rsidRPr="0050619A">
        <w:rPr>
          <w:lang w:val="en-GB"/>
        </w:rPr>
        <w:t>was</w:t>
      </w:r>
      <w:r w:rsidR="0038739B" w:rsidRPr="0050619A">
        <w:rPr>
          <w:lang w:val="en-GB"/>
        </w:rPr>
        <w:t xml:space="preserve"> based on a delict which had allegedly occurred on 19 November 2010</w:t>
      </w:r>
      <w:r w:rsidR="00B63009" w:rsidRPr="0050619A">
        <w:rPr>
          <w:lang w:val="en-GB"/>
        </w:rPr>
        <w:t>, so that the claim prescribed three years thereafter, well before service of summons on 3 February 2017</w:t>
      </w:r>
      <w:r w:rsidR="00B43D28" w:rsidRPr="0050619A">
        <w:rPr>
          <w:lang w:val="en-GB"/>
        </w:rPr>
        <w:t xml:space="preserve"> (‘the special plea’)</w:t>
      </w:r>
      <w:r w:rsidR="00B63009" w:rsidRPr="0050619A">
        <w:rPr>
          <w:lang w:val="en-GB"/>
        </w:rPr>
        <w:t>.</w:t>
      </w:r>
      <w:r w:rsidR="00654344" w:rsidRPr="0050619A">
        <w:rPr>
          <w:lang w:val="en-GB"/>
        </w:rPr>
        <w:t xml:space="preserve"> The second was based on non-compliance with s 3(1) of the Institution of Legal Proceedings Against Certain Organs of State Act, 2002</w:t>
      </w:r>
      <w:r w:rsidR="00AC43EB" w:rsidRPr="0050619A">
        <w:rPr>
          <w:lang w:val="en-GB"/>
        </w:rPr>
        <w:t xml:space="preserve"> (‘the Act’).</w:t>
      </w:r>
      <w:r w:rsidR="00654344">
        <w:rPr>
          <w:rStyle w:val="FootnoteReference"/>
          <w:lang w:val="en-GB"/>
        </w:rPr>
        <w:footnoteReference w:id="1"/>
      </w:r>
      <w:r w:rsidR="00DC1726" w:rsidRPr="0050619A">
        <w:rPr>
          <w:lang w:val="en-GB"/>
        </w:rPr>
        <w:t xml:space="preserve"> An interlocutory application seeking condonation for non-compliance with the provisions of s 3 of the Act was granted on 24 October 2017. In terms of that order, Mr Gamede was granted leave to proceed with his action against the MEC.</w:t>
      </w:r>
    </w:p>
    <w:p w14:paraId="195E76ED" w14:textId="77777777" w:rsidR="00EB6F99" w:rsidRPr="00EB6F99" w:rsidRDefault="00EB6F99" w:rsidP="00EB6F99">
      <w:pPr>
        <w:pStyle w:val="ListParagraph"/>
        <w:rPr>
          <w:lang w:val="en-GB"/>
        </w:rPr>
      </w:pPr>
    </w:p>
    <w:p w14:paraId="64396A3D" w14:textId="31B988E0" w:rsidR="00BB1A9E" w:rsidRPr="0050619A" w:rsidRDefault="0050619A" w:rsidP="0050619A">
      <w:pPr>
        <w:autoSpaceDE w:val="0"/>
        <w:autoSpaceDN w:val="0"/>
        <w:adjustRightInd w:val="0"/>
        <w:jc w:val="both"/>
        <w:rPr>
          <w:lang w:val="en-GB"/>
        </w:rPr>
      </w:pPr>
      <w:r>
        <w:rPr>
          <w:lang w:val="en-GB"/>
        </w:rPr>
        <w:t>[3]</w:t>
      </w:r>
      <w:r>
        <w:rPr>
          <w:lang w:val="en-GB"/>
        </w:rPr>
        <w:tab/>
      </w:r>
      <w:r w:rsidR="00EB6F99" w:rsidRPr="0050619A">
        <w:rPr>
          <w:lang w:val="en-GB"/>
        </w:rPr>
        <w:t>In pleading over, the MEC</w:t>
      </w:r>
      <w:r w:rsidR="00BA70B7" w:rsidRPr="0050619A">
        <w:rPr>
          <w:lang w:val="en-GB"/>
        </w:rPr>
        <w:t xml:space="preserve"> denied </w:t>
      </w:r>
      <w:r w:rsidR="006F31CE" w:rsidRPr="0050619A">
        <w:rPr>
          <w:lang w:val="en-GB"/>
        </w:rPr>
        <w:t xml:space="preserve">that </w:t>
      </w:r>
      <w:r w:rsidR="008D597A" w:rsidRPr="0050619A">
        <w:rPr>
          <w:lang w:val="en-GB"/>
        </w:rPr>
        <w:t xml:space="preserve">Mr </w:t>
      </w:r>
      <w:r w:rsidR="006F31CE" w:rsidRPr="0050619A">
        <w:rPr>
          <w:lang w:val="en-GB"/>
        </w:rPr>
        <w:t>Gamede had presented himself</w:t>
      </w:r>
      <w:r w:rsidR="00BA70B7" w:rsidRPr="0050619A">
        <w:rPr>
          <w:lang w:val="en-GB"/>
        </w:rPr>
        <w:t xml:space="preserve"> at Nelson Mandela Academic Hospital</w:t>
      </w:r>
      <w:r w:rsidR="00EB6F99" w:rsidRPr="0050619A">
        <w:rPr>
          <w:lang w:val="en-GB"/>
        </w:rPr>
        <w:t xml:space="preserve"> for any medical care and services</w:t>
      </w:r>
      <w:r w:rsidR="00C84977" w:rsidRPr="0050619A">
        <w:rPr>
          <w:lang w:val="en-GB"/>
        </w:rPr>
        <w:t>, averring that he had presented at Mthatha General Hospital</w:t>
      </w:r>
      <w:r w:rsidR="005A1BF4" w:rsidRPr="0050619A">
        <w:rPr>
          <w:lang w:val="en-GB"/>
        </w:rPr>
        <w:t xml:space="preserve"> (‘the hospital’)</w:t>
      </w:r>
      <w:r w:rsidR="00783C10" w:rsidRPr="0050619A">
        <w:rPr>
          <w:lang w:val="en-GB"/>
        </w:rPr>
        <w:t>. V</w:t>
      </w:r>
      <w:r w:rsidR="006F31CE" w:rsidRPr="0050619A">
        <w:rPr>
          <w:lang w:val="en-GB"/>
        </w:rPr>
        <w:t xml:space="preserve">arious admissions confirm </w:t>
      </w:r>
      <w:r w:rsidR="008756AC" w:rsidRPr="0050619A">
        <w:rPr>
          <w:lang w:val="en-GB"/>
        </w:rPr>
        <w:t>the</w:t>
      </w:r>
      <w:r w:rsidR="00C84977" w:rsidRPr="0050619A">
        <w:rPr>
          <w:lang w:val="en-GB"/>
        </w:rPr>
        <w:t xml:space="preserve"> </w:t>
      </w:r>
      <w:r w:rsidR="006F31CE" w:rsidRPr="0050619A">
        <w:rPr>
          <w:lang w:val="en-GB"/>
        </w:rPr>
        <w:t xml:space="preserve">terms of </w:t>
      </w:r>
      <w:r w:rsidR="007D3369" w:rsidRPr="0050619A">
        <w:rPr>
          <w:lang w:val="en-GB"/>
        </w:rPr>
        <w:t>an oral</w:t>
      </w:r>
      <w:r w:rsidR="006F31CE" w:rsidRPr="0050619A">
        <w:rPr>
          <w:lang w:val="en-GB"/>
        </w:rPr>
        <w:t xml:space="preserve"> contractual </w:t>
      </w:r>
      <w:r w:rsidR="00093B3F" w:rsidRPr="0050619A">
        <w:rPr>
          <w:lang w:val="en-GB"/>
        </w:rPr>
        <w:t>agreement</w:t>
      </w:r>
      <w:r w:rsidR="009C2AEA" w:rsidRPr="0050619A">
        <w:rPr>
          <w:lang w:val="en-GB"/>
        </w:rPr>
        <w:t xml:space="preserve"> entered into</w:t>
      </w:r>
      <w:r w:rsidR="006F31CE" w:rsidRPr="0050619A">
        <w:rPr>
          <w:lang w:val="en-GB"/>
        </w:rPr>
        <w:t xml:space="preserve"> </w:t>
      </w:r>
      <w:r w:rsidR="007D3369" w:rsidRPr="0050619A">
        <w:rPr>
          <w:lang w:val="en-GB"/>
        </w:rPr>
        <w:t xml:space="preserve">between the parties </w:t>
      </w:r>
      <w:r w:rsidR="00166938" w:rsidRPr="0050619A">
        <w:rPr>
          <w:lang w:val="en-GB"/>
        </w:rPr>
        <w:t>as well as</w:t>
      </w:r>
      <w:r w:rsidR="003E5642" w:rsidRPr="0050619A">
        <w:rPr>
          <w:lang w:val="en-GB"/>
        </w:rPr>
        <w:t xml:space="preserve"> the treatment administered to </w:t>
      </w:r>
      <w:r w:rsidR="008D597A" w:rsidRPr="0050619A">
        <w:rPr>
          <w:lang w:val="en-GB"/>
        </w:rPr>
        <w:t xml:space="preserve">Mr </w:t>
      </w:r>
      <w:r w:rsidR="003E5642" w:rsidRPr="0050619A">
        <w:rPr>
          <w:lang w:val="en-GB"/>
        </w:rPr>
        <w:t>Gamede.</w:t>
      </w:r>
      <w:r w:rsidR="00F10070" w:rsidRPr="0050619A">
        <w:rPr>
          <w:lang w:val="en-GB"/>
        </w:rPr>
        <w:t xml:space="preserve"> </w:t>
      </w:r>
      <w:r w:rsidR="00BB1A9E" w:rsidRPr="0050619A">
        <w:rPr>
          <w:lang w:val="en-GB"/>
        </w:rPr>
        <w:t xml:space="preserve">The MEC admitted, </w:t>
      </w:r>
      <w:r w:rsidR="000E593D" w:rsidRPr="0050619A">
        <w:rPr>
          <w:lang w:val="en-GB"/>
        </w:rPr>
        <w:t>for example,</w:t>
      </w:r>
      <w:r w:rsidR="00BB1A9E" w:rsidRPr="0050619A">
        <w:rPr>
          <w:lang w:val="en-GB"/>
        </w:rPr>
        <w:t xml:space="preserve"> that hospital staff would employ suitably skilled and qualified staff to provide reasonable medical care of sufficient standard</w:t>
      </w:r>
      <w:r w:rsidR="00CB63F3" w:rsidRPr="0050619A">
        <w:rPr>
          <w:lang w:val="en-GB"/>
        </w:rPr>
        <w:t xml:space="preserve"> to </w:t>
      </w:r>
      <w:r w:rsidR="008D597A" w:rsidRPr="0050619A">
        <w:rPr>
          <w:lang w:val="en-GB"/>
        </w:rPr>
        <w:t xml:space="preserve">Mr </w:t>
      </w:r>
      <w:r w:rsidR="00CB63F3" w:rsidRPr="0050619A">
        <w:rPr>
          <w:lang w:val="en-GB"/>
        </w:rPr>
        <w:t xml:space="preserve">Gamede. </w:t>
      </w:r>
      <w:r w:rsidR="00B46FCB" w:rsidRPr="0050619A">
        <w:rPr>
          <w:lang w:val="en-GB"/>
        </w:rPr>
        <w:t xml:space="preserve">The plea was that </w:t>
      </w:r>
      <w:r w:rsidR="008D597A" w:rsidRPr="0050619A">
        <w:rPr>
          <w:lang w:val="en-GB"/>
        </w:rPr>
        <w:t xml:space="preserve">Mr </w:t>
      </w:r>
      <w:r w:rsidR="00B46FCB" w:rsidRPr="0050619A">
        <w:rPr>
          <w:lang w:val="en-GB"/>
        </w:rPr>
        <w:t>Gamede had been provided with reasonable medical examination, care, assessment and supervision when he presented at the hospital.</w:t>
      </w:r>
      <w:r w:rsidR="009E0407" w:rsidRPr="0050619A">
        <w:rPr>
          <w:lang w:val="en-GB"/>
        </w:rPr>
        <w:t xml:space="preserve"> He had been diagnosed with soft tissue injury on the right ankle, an X-Ray had been conducted and no abnormalities had been detected.</w:t>
      </w:r>
      <w:r w:rsidR="004505DA" w:rsidRPr="0050619A">
        <w:rPr>
          <w:lang w:val="en-GB"/>
        </w:rPr>
        <w:t xml:space="preserve"> The MEC admitted that </w:t>
      </w:r>
      <w:r w:rsidR="008D597A" w:rsidRPr="0050619A">
        <w:rPr>
          <w:lang w:val="en-GB"/>
        </w:rPr>
        <w:t xml:space="preserve">Mr </w:t>
      </w:r>
      <w:r w:rsidR="004505DA" w:rsidRPr="0050619A">
        <w:rPr>
          <w:lang w:val="en-GB"/>
        </w:rPr>
        <w:t xml:space="preserve">Gamede had been examined again on 21 </w:t>
      </w:r>
      <w:r w:rsidR="008E3802" w:rsidRPr="0050619A">
        <w:rPr>
          <w:lang w:val="en-GB"/>
        </w:rPr>
        <w:t>December 2010 at the hospital</w:t>
      </w:r>
      <w:r w:rsidR="00C34078" w:rsidRPr="0050619A">
        <w:rPr>
          <w:lang w:val="en-GB"/>
        </w:rPr>
        <w:t xml:space="preserve">, after complaining of pain on the ankle when walking. After further X-Ray, he had been referred to Bedford Orthopaedic Hospital for further management. </w:t>
      </w:r>
      <w:r w:rsidR="006E6498" w:rsidRPr="0050619A">
        <w:rPr>
          <w:lang w:val="en-GB"/>
        </w:rPr>
        <w:t>A</w:t>
      </w:r>
      <w:r w:rsidR="00C34078" w:rsidRPr="0050619A">
        <w:rPr>
          <w:lang w:val="en-GB"/>
        </w:rPr>
        <w:t xml:space="preserve"> below knee Plaster of Paris </w:t>
      </w:r>
      <w:r w:rsidR="006E6498" w:rsidRPr="0050619A">
        <w:rPr>
          <w:lang w:val="en-GB"/>
        </w:rPr>
        <w:t>had been administered and he had been issued with crutches at that hospital</w:t>
      </w:r>
      <w:r w:rsidR="00781627" w:rsidRPr="0050619A">
        <w:rPr>
          <w:lang w:val="en-GB"/>
        </w:rPr>
        <w:t>. A review had been booked for 19 January 2011.</w:t>
      </w:r>
      <w:r w:rsidR="00353389" w:rsidRPr="0050619A">
        <w:rPr>
          <w:lang w:val="en-GB"/>
        </w:rPr>
        <w:t xml:space="preserve"> The rest of the plea over contained denials of </w:t>
      </w:r>
      <w:r w:rsidR="008D597A" w:rsidRPr="0050619A">
        <w:rPr>
          <w:lang w:val="en-GB"/>
        </w:rPr>
        <w:t xml:space="preserve">Mr </w:t>
      </w:r>
      <w:r w:rsidR="00353389" w:rsidRPr="0050619A">
        <w:rPr>
          <w:lang w:val="en-GB"/>
        </w:rPr>
        <w:t>Gamede’s particulars of claim in respect of the alleged breach of contractual obligations and harm suffered.</w:t>
      </w:r>
      <w:r w:rsidR="001C2E39" w:rsidRPr="0050619A">
        <w:rPr>
          <w:lang w:val="en-GB"/>
        </w:rPr>
        <w:t xml:space="preserve"> </w:t>
      </w:r>
      <w:r w:rsidR="008D597A" w:rsidRPr="0050619A">
        <w:rPr>
          <w:lang w:val="en-GB"/>
        </w:rPr>
        <w:t xml:space="preserve">Mr </w:t>
      </w:r>
      <w:r w:rsidR="001C2E39" w:rsidRPr="0050619A">
        <w:rPr>
          <w:lang w:val="en-GB"/>
        </w:rPr>
        <w:t xml:space="preserve">Gamede had placed reliance on a medico-legal report </w:t>
      </w:r>
      <w:r w:rsidR="00000574" w:rsidRPr="0050619A">
        <w:rPr>
          <w:lang w:val="en-GB"/>
        </w:rPr>
        <w:t xml:space="preserve">(‘the report’) </w:t>
      </w:r>
      <w:r w:rsidR="001C2E39" w:rsidRPr="0050619A">
        <w:rPr>
          <w:lang w:val="en-GB"/>
        </w:rPr>
        <w:t>of a physiotherapist</w:t>
      </w:r>
      <w:r w:rsidR="00026A5A" w:rsidRPr="0050619A">
        <w:rPr>
          <w:lang w:val="en-GB"/>
        </w:rPr>
        <w:t xml:space="preserve"> (‘Somaroo’)</w:t>
      </w:r>
      <w:r w:rsidR="001C2E39" w:rsidRPr="0050619A">
        <w:rPr>
          <w:lang w:val="en-GB"/>
        </w:rPr>
        <w:t xml:space="preserve">, which was attached to the particulars of claim, in support of his allegations of negligence and harm. The MEC put </w:t>
      </w:r>
      <w:r w:rsidR="00554B3E" w:rsidRPr="0050619A">
        <w:rPr>
          <w:lang w:val="en-GB"/>
        </w:rPr>
        <w:t xml:space="preserve">Mr </w:t>
      </w:r>
      <w:r w:rsidR="001C2E39" w:rsidRPr="0050619A">
        <w:rPr>
          <w:lang w:val="en-GB"/>
        </w:rPr>
        <w:t xml:space="preserve">Gamede to the proof of the contents of </w:t>
      </w:r>
      <w:r w:rsidR="00BE1E51" w:rsidRPr="0050619A">
        <w:rPr>
          <w:lang w:val="en-GB"/>
        </w:rPr>
        <w:t>the</w:t>
      </w:r>
      <w:r w:rsidR="001C2E39" w:rsidRPr="0050619A">
        <w:rPr>
          <w:lang w:val="en-GB"/>
        </w:rPr>
        <w:t xml:space="preserve"> report.</w:t>
      </w:r>
    </w:p>
    <w:p w14:paraId="0FB795B0" w14:textId="77777777" w:rsidR="008A2EA9" w:rsidRDefault="008A2EA9" w:rsidP="008A2EA9">
      <w:pPr>
        <w:pStyle w:val="ListParagraph"/>
        <w:autoSpaceDE w:val="0"/>
        <w:autoSpaceDN w:val="0"/>
        <w:adjustRightInd w:val="0"/>
        <w:ind w:left="0"/>
        <w:jc w:val="both"/>
        <w:rPr>
          <w:lang w:val="en-GB"/>
        </w:rPr>
      </w:pPr>
    </w:p>
    <w:p w14:paraId="362BD808" w14:textId="68238507" w:rsidR="008A2EA9" w:rsidRPr="0050619A" w:rsidRDefault="0050619A" w:rsidP="0050619A">
      <w:pPr>
        <w:autoSpaceDE w:val="0"/>
        <w:autoSpaceDN w:val="0"/>
        <w:adjustRightInd w:val="0"/>
        <w:jc w:val="both"/>
        <w:rPr>
          <w:lang w:val="en-GB"/>
        </w:rPr>
      </w:pPr>
      <w:r>
        <w:rPr>
          <w:lang w:val="en-GB"/>
        </w:rPr>
        <w:lastRenderedPageBreak/>
        <w:t>[4]</w:t>
      </w:r>
      <w:r>
        <w:rPr>
          <w:lang w:val="en-GB"/>
        </w:rPr>
        <w:tab/>
      </w:r>
      <w:r w:rsidR="00554B3E" w:rsidRPr="0050619A">
        <w:rPr>
          <w:lang w:val="en-GB"/>
        </w:rPr>
        <w:t xml:space="preserve">Mr </w:t>
      </w:r>
      <w:r w:rsidR="008A2EA9" w:rsidRPr="0050619A">
        <w:rPr>
          <w:lang w:val="en-GB"/>
        </w:rPr>
        <w:t>Gamede</w:t>
      </w:r>
      <w:r w:rsidR="001C4145" w:rsidRPr="0050619A">
        <w:rPr>
          <w:lang w:val="en-GB"/>
        </w:rPr>
        <w:t>’s</w:t>
      </w:r>
      <w:r w:rsidR="008A2EA9" w:rsidRPr="0050619A">
        <w:rPr>
          <w:lang w:val="en-GB"/>
        </w:rPr>
        <w:t xml:space="preserve"> </w:t>
      </w:r>
      <w:r w:rsidR="00566283" w:rsidRPr="0050619A">
        <w:rPr>
          <w:lang w:val="en-GB"/>
        </w:rPr>
        <w:t>replication to the first special plea indicated that h</w:t>
      </w:r>
      <w:r w:rsidR="00AC36AF" w:rsidRPr="0050619A">
        <w:rPr>
          <w:lang w:val="en-GB"/>
        </w:rPr>
        <w:t xml:space="preserve">e had </w:t>
      </w:r>
      <w:r w:rsidR="00E96048" w:rsidRPr="0050619A">
        <w:rPr>
          <w:lang w:val="en-GB"/>
        </w:rPr>
        <w:t xml:space="preserve">only </w:t>
      </w:r>
      <w:r w:rsidR="00AC36AF" w:rsidRPr="0050619A">
        <w:rPr>
          <w:lang w:val="en-GB"/>
        </w:rPr>
        <w:t>acquired the knowledge of all the facts to constitute the cause of action on 4 August 2016</w:t>
      </w:r>
      <w:r w:rsidR="00AD2C5D" w:rsidRPr="0050619A">
        <w:rPr>
          <w:lang w:val="en-GB"/>
        </w:rPr>
        <w:t>,</w:t>
      </w:r>
      <w:r w:rsidR="00AC36AF" w:rsidRPr="0050619A">
        <w:rPr>
          <w:lang w:val="en-GB"/>
        </w:rPr>
        <w:t xml:space="preserve"> when the report had been received. As such, his claim had not prescribed by time summons was served on 3 February 2017.</w:t>
      </w:r>
      <w:r w:rsidR="00BD2D5E" w:rsidRPr="0050619A">
        <w:rPr>
          <w:lang w:val="en-GB"/>
        </w:rPr>
        <w:t xml:space="preserve"> No rejoinder was filed.</w:t>
      </w:r>
    </w:p>
    <w:p w14:paraId="14371B4E" w14:textId="77777777" w:rsidR="00BB1A9E" w:rsidRDefault="00BB1A9E" w:rsidP="00BB1A9E">
      <w:pPr>
        <w:pStyle w:val="ListParagraph"/>
        <w:autoSpaceDE w:val="0"/>
        <w:autoSpaceDN w:val="0"/>
        <w:adjustRightInd w:val="0"/>
        <w:ind w:left="0"/>
        <w:jc w:val="both"/>
        <w:rPr>
          <w:lang w:val="en-GB"/>
        </w:rPr>
      </w:pPr>
    </w:p>
    <w:p w14:paraId="3A5E47BE" w14:textId="71090694" w:rsidR="00BE244C" w:rsidRPr="0050619A" w:rsidRDefault="0050619A" w:rsidP="0050619A">
      <w:pPr>
        <w:autoSpaceDE w:val="0"/>
        <w:autoSpaceDN w:val="0"/>
        <w:adjustRightInd w:val="0"/>
        <w:jc w:val="both"/>
        <w:rPr>
          <w:lang w:val="en-GB"/>
        </w:rPr>
      </w:pPr>
      <w:r>
        <w:rPr>
          <w:lang w:val="en-GB"/>
        </w:rPr>
        <w:t>[5]</w:t>
      </w:r>
      <w:r>
        <w:rPr>
          <w:lang w:val="en-GB"/>
        </w:rPr>
        <w:tab/>
      </w:r>
      <w:r w:rsidR="0062776F" w:rsidRPr="0050619A">
        <w:rPr>
          <w:lang w:val="en-GB"/>
        </w:rPr>
        <w:t>The parties agreed in a pre-trial minute to separate the remaining special plea from other issues of liability and quantum. The parties also agreed</w:t>
      </w:r>
      <w:r w:rsidR="00F6149B" w:rsidRPr="0050619A">
        <w:rPr>
          <w:lang w:val="en-GB"/>
        </w:rPr>
        <w:t>, inter alia,</w:t>
      </w:r>
      <w:r w:rsidR="0062776F" w:rsidRPr="0050619A">
        <w:rPr>
          <w:lang w:val="en-GB"/>
        </w:rPr>
        <w:t xml:space="preserve"> that there would be no need for evidence to be given on affidavit. </w:t>
      </w:r>
      <w:r w:rsidR="007F786A" w:rsidRPr="0050619A">
        <w:rPr>
          <w:lang w:val="en-GB"/>
        </w:rPr>
        <w:t xml:space="preserve">When the </w:t>
      </w:r>
      <w:r w:rsidR="00DC1726" w:rsidRPr="0050619A">
        <w:rPr>
          <w:lang w:val="en-GB"/>
        </w:rPr>
        <w:t>trial</w:t>
      </w:r>
      <w:r w:rsidR="007F786A" w:rsidRPr="0050619A">
        <w:rPr>
          <w:lang w:val="en-GB"/>
        </w:rPr>
        <w:t xml:space="preserve"> commenced before the </w:t>
      </w:r>
      <w:r w:rsidR="005E36A3" w:rsidRPr="0050619A">
        <w:rPr>
          <w:lang w:val="en-GB"/>
        </w:rPr>
        <w:t>C</w:t>
      </w:r>
      <w:r w:rsidR="007F786A" w:rsidRPr="0050619A">
        <w:rPr>
          <w:lang w:val="en-GB"/>
        </w:rPr>
        <w:t xml:space="preserve">ourt </w:t>
      </w:r>
      <w:r w:rsidR="007F786A" w:rsidRPr="0050619A">
        <w:rPr>
          <w:i/>
          <w:iCs/>
          <w:lang w:val="en-GB"/>
        </w:rPr>
        <w:t>a quo</w:t>
      </w:r>
      <w:r w:rsidR="007F786A" w:rsidRPr="0050619A">
        <w:rPr>
          <w:lang w:val="en-GB"/>
        </w:rPr>
        <w:t xml:space="preserve">, it became apparent that the MEC did not intend to call any witnesses. Only Somaroo was called by </w:t>
      </w:r>
      <w:r w:rsidR="00554B3E" w:rsidRPr="0050619A">
        <w:rPr>
          <w:lang w:val="en-GB"/>
        </w:rPr>
        <w:t xml:space="preserve">Mr </w:t>
      </w:r>
      <w:r w:rsidR="007F786A" w:rsidRPr="0050619A">
        <w:rPr>
          <w:lang w:val="en-GB"/>
        </w:rPr>
        <w:t xml:space="preserve">Gamede, who did not testify himself. </w:t>
      </w:r>
    </w:p>
    <w:p w14:paraId="7771F508" w14:textId="77777777" w:rsidR="005A7BC7" w:rsidRPr="005A7BC7" w:rsidRDefault="005A7BC7" w:rsidP="005A7BC7">
      <w:pPr>
        <w:pStyle w:val="ListParagraph"/>
        <w:rPr>
          <w:lang w:val="en-GB"/>
        </w:rPr>
      </w:pPr>
    </w:p>
    <w:p w14:paraId="27C97A9F" w14:textId="5EB32065" w:rsidR="005A7BC7" w:rsidRPr="0050619A" w:rsidRDefault="0050619A" w:rsidP="0050619A">
      <w:pPr>
        <w:autoSpaceDE w:val="0"/>
        <w:autoSpaceDN w:val="0"/>
        <w:adjustRightInd w:val="0"/>
        <w:jc w:val="both"/>
        <w:rPr>
          <w:lang w:val="en-GB"/>
        </w:rPr>
      </w:pPr>
      <w:r>
        <w:rPr>
          <w:lang w:val="en-GB"/>
        </w:rPr>
        <w:t>[6]</w:t>
      </w:r>
      <w:r>
        <w:rPr>
          <w:lang w:val="en-GB"/>
        </w:rPr>
        <w:tab/>
      </w:r>
      <w:r w:rsidR="005A7BC7" w:rsidRPr="0050619A">
        <w:rPr>
          <w:lang w:val="en-GB"/>
        </w:rPr>
        <w:t>Despite clear indication</w:t>
      </w:r>
      <w:r w:rsidR="00B37184" w:rsidRPr="0050619A">
        <w:rPr>
          <w:lang w:val="en-GB"/>
        </w:rPr>
        <w:t xml:space="preserve"> from the parties</w:t>
      </w:r>
      <w:r w:rsidR="005A7BC7" w:rsidRPr="0050619A">
        <w:rPr>
          <w:lang w:val="en-GB"/>
        </w:rPr>
        <w:t xml:space="preserve"> that only the special plea related to prescription required adjudication, the </w:t>
      </w:r>
      <w:r w:rsidR="007D181A" w:rsidRPr="0050619A">
        <w:rPr>
          <w:lang w:val="en-GB"/>
        </w:rPr>
        <w:t>C</w:t>
      </w:r>
      <w:r w:rsidR="005A7BC7" w:rsidRPr="0050619A">
        <w:rPr>
          <w:lang w:val="en-GB"/>
        </w:rPr>
        <w:t xml:space="preserve">ourt </w:t>
      </w:r>
      <w:r w:rsidR="005A7BC7" w:rsidRPr="0050619A">
        <w:rPr>
          <w:i/>
          <w:iCs/>
          <w:lang w:val="en-GB"/>
        </w:rPr>
        <w:t>a quo</w:t>
      </w:r>
      <w:r w:rsidR="005A7BC7" w:rsidRPr="0050619A">
        <w:rPr>
          <w:lang w:val="en-GB"/>
        </w:rPr>
        <w:t xml:space="preserve"> erroneously decided to deal with the merits of the matter as a whole</w:t>
      </w:r>
      <w:r w:rsidR="00A95BCD" w:rsidRPr="0050619A">
        <w:rPr>
          <w:lang w:val="en-GB"/>
        </w:rPr>
        <w:t xml:space="preserve">, and did so </w:t>
      </w:r>
      <w:r w:rsidR="00A068D6" w:rsidRPr="0050619A">
        <w:rPr>
          <w:lang w:val="en-GB"/>
        </w:rPr>
        <w:t xml:space="preserve">mainly </w:t>
      </w:r>
      <w:r w:rsidR="00A95BCD" w:rsidRPr="0050619A">
        <w:rPr>
          <w:lang w:val="en-GB"/>
        </w:rPr>
        <w:t xml:space="preserve">by extracting evidence from medical reports that had been included in </w:t>
      </w:r>
      <w:r w:rsidR="00701E29" w:rsidRPr="0050619A">
        <w:rPr>
          <w:lang w:val="en-GB"/>
        </w:rPr>
        <w:t xml:space="preserve">the bundle </w:t>
      </w:r>
      <w:r w:rsidR="00556E04" w:rsidRPr="0050619A">
        <w:rPr>
          <w:lang w:val="en-GB"/>
        </w:rPr>
        <w:t>that had been prepared.</w:t>
      </w:r>
      <w:r w:rsidR="005A7BC7" w:rsidRPr="0050619A">
        <w:rPr>
          <w:lang w:val="en-GB"/>
        </w:rPr>
        <w:t xml:space="preserve"> </w:t>
      </w:r>
      <w:r w:rsidR="00531B99" w:rsidRPr="0050619A">
        <w:rPr>
          <w:lang w:val="en-GB"/>
        </w:rPr>
        <w:t xml:space="preserve">The </w:t>
      </w:r>
      <w:r w:rsidR="007D181A" w:rsidRPr="0050619A">
        <w:rPr>
          <w:lang w:val="en-GB"/>
        </w:rPr>
        <w:t>C</w:t>
      </w:r>
      <w:r w:rsidR="00531B99" w:rsidRPr="0050619A">
        <w:rPr>
          <w:lang w:val="en-GB"/>
        </w:rPr>
        <w:t xml:space="preserve">ourt </w:t>
      </w:r>
      <w:r w:rsidR="00531B99" w:rsidRPr="0050619A">
        <w:rPr>
          <w:i/>
          <w:iCs/>
          <w:lang w:val="en-GB"/>
        </w:rPr>
        <w:t>a quo</w:t>
      </w:r>
      <w:r w:rsidR="00531B99" w:rsidRPr="0050619A">
        <w:rPr>
          <w:lang w:val="en-GB"/>
        </w:rPr>
        <w:t xml:space="preserve"> went so far as to </w:t>
      </w:r>
      <w:r w:rsidR="00815C52" w:rsidRPr="0050619A">
        <w:rPr>
          <w:lang w:val="en-GB"/>
        </w:rPr>
        <w:t xml:space="preserve">make remarks about the state of sophistication of </w:t>
      </w:r>
      <w:r w:rsidR="00554B3E" w:rsidRPr="0050619A">
        <w:rPr>
          <w:lang w:val="en-GB"/>
        </w:rPr>
        <w:t xml:space="preserve">Mr </w:t>
      </w:r>
      <w:r w:rsidR="00815C52" w:rsidRPr="0050619A">
        <w:rPr>
          <w:lang w:val="en-GB"/>
        </w:rPr>
        <w:t xml:space="preserve">Gamede, despite the fact that he had not testified. It speculated on his low level of education and on medical precautions he would likely </w:t>
      </w:r>
      <w:r w:rsidR="00706F83" w:rsidRPr="0050619A">
        <w:rPr>
          <w:lang w:val="en-GB"/>
        </w:rPr>
        <w:t>have</w:t>
      </w:r>
      <w:r w:rsidR="00815C52" w:rsidRPr="0050619A">
        <w:rPr>
          <w:lang w:val="en-GB"/>
        </w:rPr>
        <w:t xml:space="preserve"> take</w:t>
      </w:r>
      <w:r w:rsidR="00706F83" w:rsidRPr="0050619A">
        <w:rPr>
          <w:lang w:val="en-GB"/>
        </w:rPr>
        <w:t>n</w:t>
      </w:r>
      <w:r w:rsidR="00815C52" w:rsidRPr="0050619A">
        <w:rPr>
          <w:lang w:val="en-GB"/>
        </w:rPr>
        <w:t>.</w:t>
      </w:r>
      <w:r w:rsidR="00321FB3" w:rsidRPr="0050619A">
        <w:rPr>
          <w:lang w:val="en-GB"/>
        </w:rPr>
        <w:t xml:space="preserve"> Having done so, the court </w:t>
      </w:r>
      <w:r w:rsidR="00321FB3" w:rsidRPr="0050619A">
        <w:rPr>
          <w:i/>
          <w:iCs/>
          <w:lang w:val="en-GB"/>
        </w:rPr>
        <w:t xml:space="preserve">a quo </w:t>
      </w:r>
      <w:r w:rsidR="002C0123" w:rsidRPr="0050619A">
        <w:rPr>
          <w:lang w:val="en-GB"/>
        </w:rPr>
        <w:t>dismissed the special plea and concluded that</w:t>
      </w:r>
      <w:r w:rsidR="00C83950" w:rsidRPr="0050619A">
        <w:rPr>
          <w:lang w:val="en-GB"/>
        </w:rPr>
        <w:t xml:space="preserve"> </w:t>
      </w:r>
      <w:r w:rsidR="00321FB3" w:rsidRPr="0050619A">
        <w:rPr>
          <w:lang w:val="en-GB"/>
        </w:rPr>
        <w:t xml:space="preserve">the MEC was liable for the proven damages sustained by </w:t>
      </w:r>
      <w:r w:rsidR="00554B3E" w:rsidRPr="0050619A">
        <w:rPr>
          <w:lang w:val="en-GB"/>
        </w:rPr>
        <w:t xml:space="preserve">Mr </w:t>
      </w:r>
      <w:r w:rsidR="00321FB3" w:rsidRPr="0050619A">
        <w:rPr>
          <w:lang w:val="en-GB"/>
        </w:rPr>
        <w:t>Gamede.</w:t>
      </w:r>
    </w:p>
    <w:p w14:paraId="21698A01" w14:textId="77777777" w:rsidR="00DB5512" w:rsidRPr="00DB5512" w:rsidRDefault="00DB5512" w:rsidP="00DB5512">
      <w:pPr>
        <w:pStyle w:val="ListParagraph"/>
        <w:rPr>
          <w:lang w:val="en-GB"/>
        </w:rPr>
      </w:pPr>
    </w:p>
    <w:p w14:paraId="5B13CB42" w14:textId="13B04468" w:rsidR="00DB5512" w:rsidRPr="0050619A" w:rsidRDefault="0050619A" w:rsidP="0050619A">
      <w:pPr>
        <w:autoSpaceDE w:val="0"/>
        <w:autoSpaceDN w:val="0"/>
        <w:adjustRightInd w:val="0"/>
        <w:jc w:val="both"/>
        <w:rPr>
          <w:lang w:val="en-GB"/>
        </w:rPr>
      </w:pPr>
      <w:r>
        <w:rPr>
          <w:lang w:val="en-GB"/>
        </w:rPr>
        <w:t>[7]</w:t>
      </w:r>
      <w:r>
        <w:rPr>
          <w:lang w:val="en-GB"/>
        </w:rPr>
        <w:tab/>
      </w:r>
      <w:r w:rsidR="00DB5512" w:rsidRPr="0050619A">
        <w:rPr>
          <w:lang w:val="en-GB"/>
        </w:rPr>
        <w:t>Leave to appeal was granted to this Court.</w:t>
      </w:r>
      <w:r w:rsidR="00E8645E" w:rsidRPr="0050619A">
        <w:rPr>
          <w:lang w:val="en-GB"/>
        </w:rPr>
        <w:t xml:space="preserve"> </w:t>
      </w:r>
      <w:r w:rsidR="00310786" w:rsidRPr="0050619A">
        <w:rPr>
          <w:lang w:val="en-GB"/>
        </w:rPr>
        <w:t xml:space="preserve">Amongst the various grounds of appeal noted, the MEC raised </w:t>
      </w:r>
      <w:r w:rsidR="00554B3E" w:rsidRPr="0050619A">
        <w:rPr>
          <w:lang w:val="en-GB"/>
        </w:rPr>
        <w:t xml:space="preserve">Mr </w:t>
      </w:r>
      <w:r w:rsidR="00310786" w:rsidRPr="0050619A">
        <w:rPr>
          <w:lang w:val="en-GB"/>
        </w:rPr>
        <w:t xml:space="preserve">Gamede’s failure to testify and the consequent lack of evidence as to when he might have acquired knowledge </w:t>
      </w:r>
      <w:r w:rsidR="00F2274B" w:rsidRPr="0050619A">
        <w:rPr>
          <w:lang w:val="en-GB"/>
        </w:rPr>
        <w:t xml:space="preserve">of all the facts to constitute his cause of action. </w:t>
      </w:r>
      <w:r w:rsidR="009567E8" w:rsidRPr="0050619A">
        <w:rPr>
          <w:lang w:val="en-GB"/>
        </w:rPr>
        <w:t xml:space="preserve">It was also argued that Somaroo’s evidence amounted to inadmissible hearsay and that the Court </w:t>
      </w:r>
      <w:r w:rsidR="009567E8" w:rsidRPr="0050619A">
        <w:rPr>
          <w:i/>
          <w:iCs/>
          <w:lang w:val="en-GB"/>
        </w:rPr>
        <w:t>a quo</w:t>
      </w:r>
      <w:r w:rsidR="009567E8" w:rsidRPr="0050619A">
        <w:rPr>
          <w:lang w:val="en-GB"/>
        </w:rPr>
        <w:t xml:space="preserve"> had erred by delving into the merits of the matter given that the parties had agreed to separate the </w:t>
      </w:r>
      <w:r w:rsidR="00D2061D" w:rsidRPr="0050619A">
        <w:rPr>
          <w:lang w:val="en-GB"/>
        </w:rPr>
        <w:t>prescription issue.</w:t>
      </w:r>
    </w:p>
    <w:p w14:paraId="4DF32534" w14:textId="77777777" w:rsidR="00BE244C" w:rsidRPr="00BE244C" w:rsidRDefault="00BE244C" w:rsidP="00BE244C">
      <w:pPr>
        <w:pStyle w:val="ListParagraph"/>
        <w:rPr>
          <w:lang w:val="en-GB"/>
        </w:rPr>
      </w:pPr>
    </w:p>
    <w:p w14:paraId="3125DDF3" w14:textId="1C4BB700" w:rsidR="004D25FE" w:rsidRPr="0050619A" w:rsidRDefault="0050619A" w:rsidP="0050619A">
      <w:pPr>
        <w:autoSpaceDE w:val="0"/>
        <w:autoSpaceDN w:val="0"/>
        <w:adjustRightInd w:val="0"/>
        <w:jc w:val="both"/>
        <w:rPr>
          <w:lang w:val="en-GB"/>
        </w:rPr>
      </w:pPr>
      <w:r>
        <w:rPr>
          <w:lang w:val="en-GB"/>
        </w:rPr>
        <w:t>[8]</w:t>
      </w:r>
      <w:r>
        <w:rPr>
          <w:lang w:val="en-GB"/>
        </w:rPr>
        <w:tab/>
      </w:r>
      <w:r w:rsidR="008B4515" w:rsidRPr="0050619A">
        <w:rPr>
          <w:lang w:val="en-GB"/>
        </w:rPr>
        <w:t xml:space="preserve">Counsel for both parties were in agreement that the Court </w:t>
      </w:r>
      <w:r w:rsidR="008B4515" w:rsidRPr="0050619A">
        <w:rPr>
          <w:i/>
          <w:iCs/>
          <w:lang w:val="en-GB"/>
        </w:rPr>
        <w:t>a quo</w:t>
      </w:r>
      <w:r w:rsidR="008B4515" w:rsidRPr="0050619A">
        <w:rPr>
          <w:lang w:val="en-GB"/>
        </w:rPr>
        <w:t xml:space="preserve"> had erred at least in that respect. That this is so is evident from Uniform Rule 33(4), which provides that a court must, on the application of a party seeking separation, order this unless it appears that the questions cannot conveniently be decided separately.</w:t>
      </w:r>
      <w:r w:rsidR="00883B8F" w:rsidRPr="0050619A">
        <w:rPr>
          <w:lang w:val="en-GB"/>
        </w:rPr>
        <w:t xml:space="preserve"> </w:t>
      </w:r>
      <w:r w:rsidR="00D27F7A" w:rsidRPr="0050619A">
        <w:rPr>
          <w:lang w:val="en-GB"/>
        </w:rPr>
        <w:t>It is not unusual for such an application to be made orally at the commencement of a trial. In this instance, the application was also pre-empted in the pre-trial minute</w:t>
      </w:r>
      <w:r w:rsidR="00247022" w:rsidRPr="0050619A">
        <w:rPr>
          <w:lang w:val="en-GB"/>
        </w:rPr>
        <w:t xml:space="preserve"> that formed </w:t>
      </w:r>
      <w:r w:rsidR="00247022" w:rsidRPr="0050619A">
        <w:rPr>
          <w:lang w:val="en-GB"/>
        </w:rPr>
        <w:lastRenderedPageBreak/>
        <w:t xml:space="preserve">part of the papers. </w:t>
      </w:r>
      <w:r w:rsidR="006E2B37" w:rsidRPr="0050619A">
        <w:rPr>
          <w:lang w:val="en-GB"/>
        </w:rPr>
        <w:t xml:space="preserve">The Court </w:t>
      </w:r>
      <w:r w:rsidR="006E2B37" w:rsidRPr="0050619A">
        <w:rPr>
          <w:i/>
          <w:iCs/>
          <w:lang w:val="en-GB"/>
        </w:rPr>
        <w:t>a quo</w:t>
      </w:r>
      <w:r w:rsidR="006E2B37" w:rsidRPr="0050619A">
        <w:rPr>
          <w:lang w:val="en-GB"/>
        </w:rPr>
        <w:t xml:space="preserve"> proceeded as if the order for separation had been granted, only to about turn and </w:t>
      </w:r>
      <w:r w:rsidR="0019694A" w:rsidRPr="0050619A">
        <w:rPr>
          <w:lang w:val="en-GB"/>
        </w:rPr>
        <w:t>issue a judgment on the merits</w:t>
      </w:r>
      <w:r w:rsidR="001536AA" w:rsidRPr="0050619A">
        <w:rPr>
          <w:lang w:val="en-GB"/>
        </w:rPr>
        <w:t xml:space="preserve"> </w:t>
      </w:r>
      <w:r w:rsidR="00AB6337" w:rsidRPr="0050619A">
        <w:rPr>
          <w:lang w:val="en-GB"/>
        </w:rPr>
        <w:t xml:space="preserve">as a whole. </w:t>
      </w:r>
      <w:r w:rsidR="00C735C4" w:rsidRPr="0050619A">
        <w:rPr>
          <w:lang w:val="en-GB"/>
        </w:rPr>
        <w:t>That</w:t>
      </w:r>
      <w:r w:rsidR="004422DB" w:rsidRPr="0050619A">
        <w:rPr>
          <w:lang w:val="en-GB"/>
        </w:rPr>
        <w:t xml:space="preserve"> approach was untenable. </w:t>
      </w:r>
      <w:r w:rsidR="00D03487" w:rsidRPr="0050619A">
        <w:rPr>
          <w:lang w:val="en-GB"/>
        </w:rPr>
        <w:t xml:space="preserve">The appeal must </w:t>
      </w:r>
      <w:r w:rsidR="00900669" w:rsidRPr="0050619A">
        <w:rPr>
          <w:lang w:val="en-GB"/>
        </w:rPr>
        <w:t xml:space="preserve">succeed at least to the extent that this </w:t>
      </w:r>
      <w:r w:rsidR="004E3FF3" w:rsidRPr="0050619A">
        <w:rPr>
          <w:lang w:val="en-GB"/>
        </w:rPr>
        <w:t>irregularity</w:t>
      </w:r>
      <w:r w:rsidR="00AD422C" w:rsidRPr="0050619A">
        <w:rPr>
          <w:lang w:val="en-GB"/>
        </w:rPr>
        <w:t xml:space="preserve"> </w:t>
      </w:r>
      <w:r w:rsidR="009C55DC" w:rsidRPr="0050619A">
        <w:rPr>
          <w:lang w:val="en-GB"/>
        </w:rPr>
        <w:t>may be corrected.</w:t>
      </w:r>
    </w:p>
    <w:p w14:paraId="14C0761E" w14:textId="77E4F37B" w:rsidR="004D25FE" w:rsidRDefault="004D25FE" w:rsidP="00295E77">
      <w:pPr>
        <w:rPr>
          <w:lang w:val="en-GB"/>
        </w:rPr>
      </w:pPr>
    </w:p>
    <w:p w14:paraId="255DA4A8" w14:textId="225E7DE6" w:rsidR="00295E77" w:rsidRDefault="00DC4B31" w:rsidP="00295E77">
      <w:pPr>
        <w:rPr>
          <w:b/>
          <w:bCs/>
          <w:lang w:val="en-GB"/>
        </w:rPr>
      </w:pPr>
      <w:r w:rsidRPr="00D42C04">
        <w:rPr>
          <w:b/>
          <w:bCs/>
          <w:lang w:val="en-GB"/>
        </w:rPr>
        <w:t>T</w:t>
      </w:r>
      <w:r w:rsidR="00295E77" w:rsidRPr="00D42C04">
        <w:rPr>
          <w:b/>
          <w:bCs/>
          <w:lang w:val="en-GB"/>
        </w:rPr>
        <w:t>he special plea</w:t>
      </w:r>
      <w:r w:rsidR="0005429C">
        <w:rPr>
          <w:b/>
          <w:bCs/>
          <w:lang w:val="en-GB"/>
        </w:rPr>
        <w:t xml:space="preserve"> and the burden of proof</w:t>
      </w:r>
    </w:p>
    <w:p w14:paraId="4E5BF57D" w14:textId="77777777" w:rsidR="00D90BEB" w:rsidRPr="004629FA" w:rsidRDefault="00D90BEB" w:rsidP="00D90BEB">
      <w:pPr>
        <w:pStyle w:val="ListParagraph"/>
        <w:autoSpaceDE w:val="0"/>
        <w:autoSpaceDN w:val="0"/>
        <w:adjustRightInd w:val="0"/>
        <w:ind w:left="0"/>
        <w:jc w:val="both"/>
        <w:rPr>
          <w:lang w:val="en-GB"/>
        </w:rPr>
      </w:pPr>
    </w:p>
    <w:p w14:paraId="38E58BC3" w14:textId="4F17F480" w:rsidR="00D90BEB" w:rsidRPr="0050619A" w:rsidRDefault="0050619A" w:rsidP="0050619A">
      <w:pPr>
        <w:autoSpaceDE w:val="0"/>
        <w:autoSpaceDN w:val="0"/>
        <w:adjustRightInd w:val="0"/>
        <w:jc w:val="both"/>
        <w:rPr>
          <w:lang w:val="en-GB"/>
        </w:rPr>
      </w:pPr>
      <w:r w:rsidRPr="00044B50">
        <w:rPr>
          <w:lang w:val="en-GB"/>
        </w:rPr>
        <w:t>[9]</w:t>
      </w:r>
      <w:r w:rsidRPr="00044B50">
        <w:rPr>
          <w:lang w:val="en-GB"/>
        </w:rPr>
        <w:tab/>
      </w:r>
      <w:r w:rsidR="00D90BEB" w:rsidRPr="0050619A">
        <w:rPr>
          <w:lang w:val="en-GB"/>
        </w:rPr>
        <w:t>For purposes of prescription, a debt is not deemed to be due until the creditor has knowledge of the identity of the debtor and of the facts from which the debt arises.</w:t>
      </w:r>
      <w:r w:rsidR="00D90BEB">
        <w:rPr>
          <w:rStyle w:val="FootnoteReference"/>
          <w:lang w:val="en-GB"/>
        </w:rPr>
        <w:footnoteReference w:id="2"/>
      </w:r>
      <w:r w:rsidR="00D90BEB" w:rsidRPr="0050619A">
        <w:rPr>
          <w:lang w:val="en-GB"/>
        </w:rPr>
        <w:t xml:space="preserve"> A proviso to s 12 of the Prescription Act, 1969, indicates that a creditor shall be deemed to have such knowledge if they could have acquired it by exercising reasonable care.</w:t>
      </w:r>
    </w:p>
    <w:p w14:paraId="592F7907" w14:textId="77777777" w:rsidR="00D90BEB" w:rsidRPr="00D30CEE" w:rsidRDefault="00D90BEB" w:rsidP="00D90BEB">
      <w:pPr>
        <w:autoSpaceDE w:val="0"/>
        <w:autoSpaceDN w:val="0"/>
        <w:adjustRightInd w:val="0"/>
        <w:jc w:val="both"/>
        <w:rPr>
          <w:lang w:val="en-GB"/>
        </w:rPr>
      </w:pPr>
    </w:p>
    <w:p w14:paraId="0D42DC6F" w14:textId="45A0E228" w:rsidR="00D90BEB" w:rsidRPr="0050619A" w:rsidRDefault="0050619A" w:rsidP="0050619A">
      <w:pPr>
        <w:autoSpaceDE w:val="0"/>
        <w:autoSpaceDN w:val="0"/>
        <w:adjustRightInd w:val="0"/>
        <w:jc w:val="both"/>
        <w:rPr>
          <w:lang w:val="en-GB"/>
        </w:rPr>
      </w:pPr>
      <w:r>
        <w:rPr>
          <w:lang w:val="en-GB"/>
        </w:rPr>
        <w:t>[10]</w:t>
      </w:r>
      <w:r>
        <w:rPr>
          <w:lang w:val="en-GB"/>
        </w:rPr>
        <w:tab/>
      </w:r>
      <w:r w:rsidR="00D90BEB" w:rsidRPr="0050619A">
        <w:rPr>
          <w:lang w:val="en-GB"/>
        </w:rPr>
        <w:t xml:space="preserve">A party seeking to rely on prescription must first prove ‘what the facts are that the </w:t>
      </w:r>
      <w:r w:rsidR="00110510" w:rsidRPr="0050619A">
        <w:rPr>
          <w:lang w:val="en-GB"/>
        </w:rPr>
        <w:t>[claimant]</w:t>
      </w:r>
      <w:r w:rsidR="00D90BEB" w:rsidRPr="0050619A">
        <w:rPr>
          <w:lang w:val="en-GB"/>
        </w:rPr>
        <w:t xml:space="preserve"> is required to know before prescription could commence running’. These are the minimum essential facts that the plaintiff must prove in order to succeed with the claim.</w:t>
      </w:r>
      <w:r w:rsidR="00D90BEB">
        <w:rPr>
          <w:rStyle w:val="FootnoteReference"/>
          <w:lang w:val="en-GB"/>
        </w:rPr>
        <w:footnoteReference w:id="3"/>
      </w:r>
      <w:r w:rsidR="00D90BEB" w:rsidRPr="0050619A">
        <w:rPr>
          <w:lang w:val="en-GB"/>
        </w:rPr>
        <w:t xml:space="preserve"> The ‘facts from which the debt arises’ are </w:t>
      </w:r>
      <w:r w:rsidR="0025549B" w:rsidRPr="0050619A">
        <w:rPr>
          <w:lang w:val="en-GB"/>
        </w:rPr>
        <w:t>full facts</w:t>
      </w:r>
      <w:r w:rsidR="00D90BEB" w:rsidRPr="0050619A">
        <w:rPr>
          <w:lang w:val="en-GB"/>
        </w:rPr>
        <w:t xml:space="preserve"> that would be ‘material to the debt’.</w:t>
      </w:r>
      <w:r w:rsidR="00D90BEB">
        <w:rPr>
          <w:rStyle w:val="FootnoteReference"/>
          <w:lang w:val="en-GB"/>
        </w:rPr>
        <w:footnoteReference w:id="4"/>
      </w:r>
      <w:r w:rsidR="00D90BEB" w:rsidRPr="0050619A">
        <w:rPr>
          <w:lang w:val="en-GB"/>
        </w:rPr>
        <w:t xml:space="preserve"> The SCA has recently referred to these facts as ‘the primary facts’.</w:t>
      </w:r>
      <w:r w:rsidR="00D90BEB">
        <w:rPr>
          <w:rStyle w:val="FootnoteReference"/>
          <w:lang w:val="en-GB"/>
        </w:rPr>
        <w:footnoteReference w:id="5"/>
      </w:r>
      <w:r w:rsidR="00D90BEB" w:rsidRPr="0050619A">
        <w:rPr>
          <w:lang w:val="en-GB"/>
        </w:rPr>
        <w:t xml:space="preserve"> At least in cases involving professional negligence, they are different to the facts that must be proved at a trial.</w:t>
      </w:r>
      <w:r w:rsidR="00D90BEB">
        <w:rPr>
          <w:rStyle w:val="FootnoteReference"/>
          <w:lang w:val="en-GB"/>
        </w:rPr>
        <w:footnoteReference w:id="6"/>
      </w:r>
      <w:r w:rsidR="00D90BEB" w:rsidRPr="0050619A">
        <w:rPr>
          <w:lang w:val="en-GB"/>
        </w:rPr>
        <w:t xml:space="preserve"> In these </w:t>
      </w:r>
      <w:r w:rsidR="006F0050" w:rsidRPr="0050619A">
        <w:rPr>
          <w:lang w:val="en-GB"/>
        </w:rPr>
        <w:t xml:space="preserve">cases they </w:t>
      </w:r>
      <w:r w:rsidR="00D90BEB" w:rsidRPr="0050619A">
        <w:rPr>
          <w:lang w:val="en-GB"/>
        </w:rPr>
        <w:t>are the facts which would cause a plaintiff, on reasonable grounds, ‘to suspect that there was fault on the part of the medical staff and that caused him or her to “seek further advice”’.</w:t>
      </w:r>
      <w:r w:rsidR="00D90BEB">
        <w:rPr>
          <w:rStyle w:val="FootnoteReference"/>
          <w:lang w:val="en-GB"/>
        </w:rPr>
        <w:footnoteReference w:id="7"/>
      </w:r>
      <w:r w:rsidR="00D90BEB" w:rsidRPr="0050619A">
        <w:rPr>
          <w:lang w:val="en-GB"/>
        </w:rPr>
        <w:t xml:space="preserve"> </w:t>
      </w:r>
      <w:r w:rsidR="00013486" w:rsidRPr="0050619A">
        <w:rPr>
          <w:lang w:val="en-GB"/>
        </w:rPr>
        <w:t xml:space="preserve">The party raising prescription </w:t>
      </w:r>
      <w:r w:rsidR="000669B6" w:rsidRPr="0050619A">
        <w:rPr>
          <w:lang w:val="en-GB"/>
        </w:rPr>
        <w:t>must</w:t>
      </w:r>
      <w:r w:rsidR="00013486" w:rsidRPr="0050619A">
        <w:rPr>
          <w:lang w:val="en-GB"/>
        </w:rPr>
        <w:t xml:space="preserve"> </w:t>
      </w:r>
      <w:r w:rsidR="000669B6" w:rsidRPr="0050619A">
        <w:rPr>
          <w:lang w:val="en-GB"/>
        </w:rPr>
        <w:t>prove such facts</w:t>
      </w:r>
      <w:r w:rsidR="00013486" w:rsidRPr="0050619A">
        <w:rPr>
          <w:lang w:val="en-GB"/>
        </w:rPr>
        <w:t>. Failing to do so results in the conclusion that the claimant cannot be said to have knowledge of the facts from which the debt arises.</w:t>
      </w:r>
      <w:r w:rsidR="00013486">
        <w:rPr>
          <w:rStyle w:val="FootnoteReference"/>
          <w:lang w:val="en-GB"/>
        </w:rPr>
        <w:footnoteReference w:id="8"/>
      </w:r>
    </w:p>
    <w:p w14:paraId="590F4E76" w14:textId="77777777" w:rsidR="00D90BEB" w:rsidRPr="001E2BDC" w:rsidRDefault="00D90BEB" w:rsidP="00D90BEB">
      <w:pPr>
        <w:pStyle w:val="ListParagraph"/>
        <w:rPr>
          <w:lang w:val="en-GB"/>
        </w:rPr>
      </w:pPr>
    </w:p>
    <w:p w14:paraId="3AF2301A" w14:textId="466F0D04" w:rsidR="00CE52A6" w:rsidRPr="0050619A" w:rsidRDefault="0050619A" w:rsidP="0050619A">
      <w:pPr>
        <w:autoSpaceDE w:val="0"/>
        <w:autoSpaceDN w:val="0"/>
        <w:adjustRightInd w:val="0"/>
        <w:jc w:val="both"/>
        <w:rPr>
          <w:lang w:val="en-GB"/>
        </w:rPr>
      </w:pPr>
      <w:r>
        <w:rPr>
          <w:lang w:val="en-GB"/>
        </w:rPr>
        <w:lastRenderedPageBreak/>
        <w:t>[11]</w:t>
      </w:r>
      <w:r>
        <w:rPr>
          <w:lang w:val="en-GB"/>
        </w:rPr>
        <w:tab/>
      </w:r>
      <w:r w:rsidR="006074A3" w:rsidRPr="0050619A">
        <w:rPr>
          <w:lang w:val="en-GB"/>
        </w:rPr>
        <w:t>The</w:t>
      </w:r>
      <w:r w:rsidR="005A4293" w:rsidRPr="0050619A">
        <w:rPr>
          <w:lang w:val="en-GB"/>
        </w:rPr>
        <w:t xml:space="preserve"> party raising prescription </w:t>
      </w:r>
      <w:r w:rsidR="006074A3" w:rsidRPr="0050619A">
        <w:rPr>
          <w:lang w:val="en-GB"/>
        </w:rPr>
        <w:t>must, in addition,</w:t>
      </w:r>
      <w:r w:rsidR="00D90BEB" w:rsidRPr="0050619A">
        <w:rPr>
          <w:lang w:val="en-GB"/>
        </w:rPr>
        <w:t xml:space="preserve"> show that 'the </w:t>
      </w:r>
      <w:r w:rsidR="00B1448E" w:rsidRPr="0050619A">
        <w:rPr>
          <w:lang w:val="en-GB"/>
        </w:rPr>
        <w:t>claimant</w:t>
      </w:r>
      <w:r w:rsidR="00D90BEB" w:rsidRPr="0050619A">
        <w:rPr>
          <w:lang w:val="en-GB"/>
        </w:rPr>
        <w:t xml:space="preserve"> had knowledge of those facts’</w:t>
      </w:r>
      <w:r w:rsidR="000669B6" w:rsidRPr="0050619A">
        <w:rPr>
          <w:lang w:val="en-GB"/>
        </w:rPr>
        <w:t>.</w:t>
      </w:r>
      <w:r w:rsidR="00D90BEB">
        <w:rPr>
          <w:rStyle w:val="FootnoteReference"/>
          <w:lang w:val="en-GB"/>
        </w:rPr>
        <w:footnoteReference w:id="9"/>
      </w:r>
      <w:r w:rsidR="000669B6" w:rsidRPr="0050619A">
        <w:rPr>
          <w:lang w:val="en-GB"/>
        </w:rPr>
        <w:t xml:space="preserve"> </w:t>
      </w:r>
      <w:r w:rsidR="00D90BEB" w:rsidRPr="0050619A">
        <w:rPr>
          <w:lang w:val="en-GB"/>
        </w:rPr>
        <w:t xml:space="preserve"> </w:t>
      </w:r>
      <w:r w:rsidR="000669B6" w:rsidRPr="0050619A">
        <w:rPr>
          <w:lang w:val="en-GB"/>
        </w:rPr>
        <w:t xml:space="preserve">To the extent that this may differ from the enquiry </w:t>
      </w:r>
      <w:r w:rsidR="006309EB" w:rsidRPr="0050619A">
        <w:rPr>
          <w:lang w:val="en-GB"/>
        </w:rPr>
        <w:t>detailed in the previous paragraph, the proviso to s 12(3) enables a debt to be deemed due if the creditor could have acquired knowledge of the identity of the debtor and of the facts from which the debt arises by exercising reasonable care.</w:t>
      </w:r>
    </w:p>
    <w:p w14:paraId="6BD2775A" w14:textId="77777777" w:rsidR="00D90BEB" w:rsidRPr="003B2BE2" w:rsidRDefault="00D90BEB" w:rsidP="003B2BE2">
      <w:pPr>
        <w:rPr>
          <w:lang w:val="en-GB"/>
        </w:rPr>
      </w:pPr>
    </w:p>
    <w:p w14:paraId="04399EE0" w14:textId="3D23E540" w:rsidR="00D90BEB" w:rsidRPr="0050619A" w:rsidRDefault="0050619A" w:rsidP="0050619A">
      <w:pPr>
        <w:autoSpaceDE w:val="0"/>
        <w:autoSpaceDN w:val="0"/>
        <w:adjustRightInd w:val="0"/>
        <w:jc w:val="both"/>
        <w:rPr>
          <w:lang w:val="en-GB"/>
        </w:rPr>
      </w:pPr>
      <w:r>
        <w:rPr>
          <w:lang w:val="en-GB"/>
        </w:rPr>
        <w:t>[12]</w:t>
      </w:r>
      <w:r>
        <w:rPr>
          <w:lang w:val="en-GB"/>
        </w:rPr>
        <w:tab/>
      </w:r>
      <w:r w:rsidR="00A56668" w:rsidRPr="0050619A">
        <w:rPr>
          <w:lang w:val="en-GB"/>
        </w:rPr>
        <w:t>I</w:t>
      </w:r>
      <w:r w:rsidR="00D90BEB" w:rsidRPr="0050619A">
        <w:rPr>
          <w:lang w:val="en-GB"/>
        </w:rPr>
        <w:t>t is not necessary for the extent of the harm to be known, or to have knowledge of legal conclusions</w:t>
      </w:r>
      <w:r w:rsidR="00A56668" w:rsidRPr="0050619A">
        <w:rPr>
          <w:lang w:val="en-GB"/>
        </w:rPr>
        <w:t xml:space="preserve"> for prescription to run.</w:t>
      </w:r>
      <w:r w:rsidR="00D90BEB">
        <w:rPr>
          <w:rStyle w:val="FootnoteReference"/>
          <w:lang w:val="en-GB"/>
        </w:rPr>
        <w:footnoteReference w:id="10"/>
      </w:r>
      <w:r w:rsidR="00D90BEB" w:rsidRPr="0050619A">
        <w:rPr>
          <w:lang w:val="en-GB"/>
        </w:rPr>
        <w:t xml:space="preserve"> </w:t>
      </w:r>
      <w:r w:rsidR="00507B77" w:rsidRPr="0050619A">
        <w:rPr>
          <w:lang w:val="en-GB"/>
        </w:rPr>
        <w:t>The debt arises once harm has indeed been suffered and t</w:t>
      </w:r>
      <w:r w:rsidR="00D90BEB" w:rsidRPr="0050619A">
        <w:rPr>
          <w:lang w:val="en-GB"/>
        </w:rPr>
        <w:t>he creditor need not be in a position to prove its case.</w:t>
      </w:r>
      <w:r w:rsidR="00D90BEB">
        <w:rPr>
          <w:rStyle w:val="FootnoteReference"/>
          <w:lang w:val="en-GB"/>
        </w:rPr>
        <w:footnoteReference w:id="11"/>
      </w:r>
      <w:r w:rsidR="00D90BEB" w:rsidRPr="0050619A">
        <w:rPr>
          <w:lang w:val="en-GB"/>
        </w:rPr>
        <w:t xml:space="preserve"> Prescription is not postponed until the creditor has established the full extent of their rights.</w:t>
      </w:r>
      <w:r w:rsidR="00D90BEB">
        <w:rPr>
          <w:rStyle w:val="FootnoteReference"/>
          <w:lang w:val="en-GB"/>
        </w:rPr>
        <w:footnoteReference w:id="12"/>
      </w:r>
      <w:r w:rsidR="00D90BEB" w:rsidRPr="0050619A">
        <w:rPr>
          <w:lang w:val="en-GB"/>
        </w:rPr>
        <w:t xml:space="preserve"> As the SCA held in </w:t>
      </w:r>
      <w:r w:rsidR="00D90BEB" w:rsidRPr="0050619A">
        <w:rPr>
          <w:i/>
          <w:iCs/>
          <w:lang w:val="en-GB"/>
        </w:rPr>
        <w:t>Minister of Finance and Others v Gore NO</w:t>
      </w:r>
      <w:r w:rsidR="00D90BEB" w:rsidRPr="0050619A">
        <w:rPr>
          <w:lang w:val="en-GB"/>
        </w:rPr>
        <w:t>:</w:t>
      </w:r>
      <w:r w:rsidR="00D90BEB">
        <w:rPr>
          <w:rStyle w:val="FootnoteReference"/>
          <w:lang w:val="en-GB"/>
        </w:rPr>
        <w:footnoteReference w:id="13"/>
      </w:r>
    </w:p>
    <w:p w14:paraId="3190AF7F" w14:textId="77777777" w:rsidR="00D90BEB" w:rsidRPr="005C7B65" w:rsidRDefault="00D90BEB" w:rsidP="00D90BEB">
      <w:pPr>
        <w:pStyle w:val="ListParagraph"/>
        <w:ind w:left="0"/>
        <w:jc w:val="both"/>
        <w:rPr>
          <w:sz w:val="22"/>
          <w:szCs w:val="22"/>
          <w:lang w:val="en-GB"/>
        </w:rPr>
      </w:pPr>
      <w:r>
        <w:rPr>
          <w:sz w:val="22"/>
          <w:szCs w:val="22"/>
          <w:lang w:val="en-GB"/>
        </w:rPr>
        <w:t>‘This court has in a series of decisions emphasised that time begins to run against the creditor when it has the minimum facts that are necessary to institute action. The running of prescription is not postponed until a creditor becomes aware of the full extent of its legal rights, nor until the creditor has evidence that would enable it to prove a case comfortable …’</w:t>
      </w:r>
    </w:p>
    <w:p w14:paraId="681C4382" w14:textId="77777777" w:rsidR="00D069C0" w:rsidRDefault="00D069C0" w:rsidP="00D069C0">
      <w:pPr>
        <w:pStyle w:val="ListParagraph"/>
        <w:autoSpaceDE w:val="0"/>
        <w:autoSpaceDN w:val="0"/>
        <w:adjustRightInd w:val="0"/>
        <w:ind w:left="0"/>
        <w:jc w:val="both"/>
        <w:rPr>
          <w:lang w:val="en-GB"/>
        </w:rPr>
      </w:pPr>
    </w:p>
    <w:p w14:paraId="264EF8B9" w14:textId="43164588" w:rsidR="005915C4" w:rsidRPr="0050619A" w:rsidRDefault="0050619A" w:rsidP="0050619A">
      <w:pPr>
        <w:autoSpaceDE w:val="0"/>
        <w:autoSpaceDN w:val="0"/>
        <w:adjustRightInd w:val="0"/>
        <w:jc w:val="both"/>
        <w:rPr>
          <w:lang w:val="en-GB"/>
        </w:rPr>
      </w:pPr>
      <w:r>
        <w:rPr>
          <w:lang w:val="en-GB"/>
        </w:rPr>
        <w:t>[13]</w:t>
      </w:r>
      <w:r>
        <w:rPr>
          <w:lang w:val="en-GB"/>
        </w:rPr>
        <w:tab/>
      </w:r>
      <w:r w:rsidR="00D90BEB" w:rsidRPr="0050619A">
        <w:rPr>
          <w:lang w:val="en-GB"/>
        </w:rPr>
        <w:t xml:space="preserve">As was the case in </w:t>
      </w:r>
      <w:r w:rsidR="00D90BEB" w:rsidRPr="0050619A">
        <w:rPr>
          <w:i/>
          <w:iCs/>
          <w:lang w:val="en-GB"/>
        </w:rPr>
        <w:t>Loni</w:t>
      </w:r>
      <w:r w:rsidR="00D90BEB" w:rsidRPr="0050619A">
        <w:rPr>
          <w:lang w:val="en-GB"/>
        </w:rPr>
        <w:t>,</w:t>
      </w:r>
      <w:r w:rsidR="00D90BEB" w:rsidRPr="0050619A">
        <w:rPr>
          <w:i/>
          <w:iCs/>
          <w:lang w:val="en-GB"/>
        </w:rPr>
        <w:t xml:space="preserve"> </w:t>
      </w:r>
      <w:r w:rsidR="00554B3E" w:rsidRPr="0050619A">
        <w:rPr>
          <w:lang w:val="en-GB"/>
        </w:rPr>
        <w:t xml:space="preserve">Mr </w:t>
      </w:r>
      <w:r w:rsidR="00606151" w:rsidRPr="0050619A">
        <w:rPr>
          <w:lang w:val="en-GB"/>
        </w:rPr>
        <w:t xml:space="preserve">Gamede’s </w:t>
      </w:r>
      <w:r w:rsidR="00D90BEB" w:rsidRPr="0050619A">
        <w:rPr>
          <w:lang w:val="en-GB"/>
        </w:rPr>
        <w:t xml:space="preserve">claim was founded in contract and alternatively in delict. </w:t>
      </w:r>
      <w:r w:rsidR="00175298" w:rsidRPr="0050619A">
        <w:rPr>
          <w:lang w:val="en-GB"/>
        </w:rPr>
        <w:t xml:space="preserve">The alternative claim fell away by virtue of the MEC having admitted the contract and the matter fell to be adjudicated upon the basis of the contractual claim. </w:t>
      </w:r>
      <w:r w:rsidR="00554B3E" w:rsidRPr="0050619A">
        <w:rPr>
          <w:lang w:val="en-GB"/>
        </w:rPr>
        <w:t xml:space="preserve">Mr </w:t>
      </w:r>
      <w:r w:rsidR="00165284" w:rsidRPr="0050619A">
        <w:rPr>
          <w:lang w:val="en-GB"/>
        </w:rPr>
        <w:t xml:space="preserve">Gamede’s particulars of claim reflect that his condition was caused by the breach of contractual obligations on 19 November 2010. The claim is based on the hospital staff’s failure to examine and diagnose his fracture, including the failure to refer him for X-Rays, resulting in misdiagnosis and mistreatment. </w:t>
      </w:r>
      <w:r w:rsidR="00BB0BA7" w:rsidRPr="0050619A">
        <w:rPr>
          <w:lang w:val="en-GB"/>
        </w:rPr>
        <w:t xml:space="preserve">Whilst the allegations relied upon suggest negligent acts, the focus is effectively on conduct on the part of the MEC’s employees that, due to their inadequacy, amounted to breach of terms of the admitted contract and caused </w:t>
      </w:r>
      <w:r w:rsidR="00554B3E" w:rsidRPr="0050619A">
        <w:rPr>
          <w:lang w:val="en-GB"/>
        </w:rPr>
        <w:t xml:space="preserve">Mr </w:t>
      </w:r>
      <w:r w:rsidR="00BB0BA7" w:rsidRPr="0050619A">
        <w:rPr>
          <w:lang w:val="en-GB"/>
        </w:rPr>
        <w:t>Gamede harm.</w:t>
      </w:r>
      <w:r w:rsidR="00BB0BA7">
        <w:rPr>
          <w:rStyle w:val="FootnoteReference"/>
          <w:lang w:val="en-GB"/>
        </w:rPr>
        <w:footnoteReference w:id="14"/>
      </w:r>
      <w:r w:rsidR="00BB0BA7" w:rsidRPr="0050619A">
        <w:rPr>
          <w:lang w:val="en-GB"/>
        </w:rPr>
        <w:t xml:space="preserve"> </w:t>
      </w:r>
    </w:p>
    <w:p w14:paraId="33BFBCE2" w14:textId="77777777" w:rsidR="005915C4" w:rsidRDefault="005915C4" w:rsidP="005915C4">
      <w:pPr>
        <w:pStyle w:val="ListParagraph"/>
        <w:autoSpaceDE w:val="0"/>
        <w:autoSpaceDN w:val="0"/>
        <w:adjustRightInd w:val="0"/>
        <w:ind w:left="0"/>
        <w:jc w:val="both"/>
        <w:rPr>
          <w:lang w:val="en-GB"/>
        </w:rPr>
      </w:pPr>
    </w:p>
    <w:p w14:paraId="11F295A1" w14:textId="0A616CE3" w:rsidR="00307F7A" w:rsidRPr="0050619A" w:rsidRDefault="0050619A" w:rsidP="0050619A">
      <w:pPr>
        <w:autoSpaceDE w:val="0"/>
        <w:autoSpaceDN w:val="0"/>
        <w:adjustRightInd w:val="0"/>
        <w:jc w:val="both"/>
        <w:rPr>
          <w:lang w:val="en-GB"/>
        </w:rPr>
      </w:pPr>
      <w:r>
        <w:rPr>
          <w:lang w:val="en-GB"/>
        </w:rPr>
        <w:lastRenderedPageBreak/>
        <w:t>[14]</w:t>
      </w:r>
      <w:r>
        <w:rPr>
          <w:lang w:val="en-GB"/>
        </w:rPr>
        <w:tab/>
      </w:r>
      <w:r w:rsidR="00165284" w:rsidRPr="0050619A">
        <w:rPr>
          <w:lang w:val="en-GB"/>
        </w:rPr>
        <w:t>The factual causes of his condition, to be gleaned from the particulars of claim, constitute indispensable primary facts.</w:t>
      </w:r>
      <w:r w:rsidR="00165284">
        <w:rPr>
          <w:rStyle w:val="FootnoteReference"/>
          <w:lang w:val="en-GB"/>
        </w:rPr>
        <w:footnoteReference w:id="15"/>
      </w:r>
      <w:r w:rsidR="00165284" w:rsidRPr="0050619A">
        <w:rPr>
          <w:lang w:val="en-GB"/>
        </w:rPr>
        <w:t xml:space="preserve"> Unlike, </w:t>
      </w:r>
      <w:r w:rsidR="00165284" w:rsidRPr="0050619A">
        <w:rPr>
          <w:i/>
          <w:iCs/>
          <w:lang w:val="en-GB"/>
        </w:rPr>
        <w:t>Minister of Health, Western Cape v MC</w:t>
      </w:r>
      <w:r w:rsidR="00165284" w:rsidRPr="0050619A">
        <w:rPr>
          <w:lang w:val="en-GB"/>
        </w:rPr>
        <w:t xml:space="preserve">, it cannot be said that the MEC required further particularity as to the facts underpinning </w:t>
      </w:r>
      <w:r w:rsidR="00554B3E" w:rsidRPr="0050619A">
        <w:rPr>
          <w:lang w:val="en-GB"/>
        </w:rPr>
        <w:t xml:space="preserve">Mr </w:t>
      </w:r>
      <w:r w:rsidR="00165284" w:rsidRPr="0050619A">
        <w:rPr>
          <w:lang w:val="en-GB"/>
        </w:rPr>
        <w:t>Gamede’s claim</w:t>
      </w:r>
      <w:r w:rsidR="00D306A9" w:rsidRPr="0050619A">
        <w:rPr>
          <w:lang w:val="en-GB"/>
        </w:rPr>
        <w:t xml:space="preserve"> before issuing the special plea</w:t>
      </w:r>
      <w:r w:rsidR="00165284" w:rsidRPr="0050619A">
        <w:rPr>
          <w:lang w:val="en-GB"/>
        </w:rPr>
        <w:t xml:space="preserve">. The plea reflects the MEC’s view that prescription commenced on 19 November 2010 and that the date of completion was three years later. </w:t>
      </w:r>
      <w:r w:rsidR="00B5472F" w:rsidRPr="0050619A">
        <w:rPr>
          <w:lang w:val="en-GB"/>
        </w:rPr>
        <w:t>Strictly speaking, that date is crucial and t</w:t>
      </w:r>
      <w:r w:rsidR="009F082D" w:rsidRPr="0050619A">
        <w:rPr>
          <w:lang w:val="en-GB"/>
        </w:rPr>
        <w:t xml:space="preserve">he belated suggestion on appeal that </w:t>
      </w:r>
      <w:r w:rsidR="00554B3E" w:rsidRPr="0050619A">
        <w:rPr>
          <w:lang w:val="en-GB"/>
        </w:rPr>
        <w:t xml:space="preserve">Mr </w:t>
      </w:r>
      <w:r w:rsidR="009F082D" w:rsidRPr="0050619A">
        <w:rPr>
          <w:lang w:val="en-GB"/>
        </w:rPr>
        <w:t>Gamede knew, or ought to have known, that he had fractured his wrist and ankle by no later than 21 December 2010 is irrelevant. The onus is on the party raising prescription as a defence to prove both the date of inception of the prescriptive period and the date of the completion thereof.</w:t>
      </w:r>
      <w:r w:rsidR="009F082D">
        <w:rPr>
          <w:rStyle w:val="FootnoteReference"/>
          <w:lang w:val="en-GB"/>
        </w:rPr>
        <w:footnoteReference w:id="16"/>
      </w:r>
      <w:r w:rsidR="009F082D" w:rsidRPr="0050619A">
        <w:rPr>
          <w:lang w:val="en-GB"/>
        </w:rPr>
        <w:t xml:space="preserve"> </w:t>
      </w:r>
      <w:r w:rsidR="004901AB" w:rsidRPr="0050619A">
        <w:rPr>
          <w:lang w:val="en-GB"/>
        </w:rPr>
        <w:t>The SCA has recently confirmed that i</w:t>
      </w:r>
      <w:r w:rsidR="009F082D" w:rsidRPr="0050619A">
        <w:rPr>
          <w:lang w:val="en-GB"/>
        </w:rPr>
        <w:t xml:space="preserve">t was for the MEC to prove that prescription began to run against </w:t>
      </w:r>
      <w:r w:rsidR="00554B3E" w:rsidRPr="0050619A">
        <w:rPr>
          <w:lang w:val="en-GB"/>
        </w:rPr>
        <w:t xml:space="preserve">Mr </w:t>
      </w:r>
      <w:r w:rsidR="009F082D" w:rsidRPr="0050619A">
        <w:rPr>
          <w:lang w:val="en-GB"/>
        </w:rPr>
        <w:t>Gamede’s claim on the date reflected in its plea.</w:t>
      </w:r>
      <w:r w:rsidR="009F082D">
        <w:rPr>
          <w:rStyle w:val="FootnoteReference"/>
          <w:lang w:val="en-GB"/>
        </w:rPr>
        <w:footnoteReference w:id="17"/>
      </w:r>
      <w:r w:rsidR="009F082D" w:rsidRPr="0050619A">
        <w:rPr>
          <w:lang w:val="en-GB"/>
        </w:rPr>
        <w:t xml:space="preserve"> </w:t>
      </w:r>
    </w:p>
    <w:p w14:paraId="2263091F" w14:textId="77777777" w:rsidR="00307F7A" w:rsidRPr="00307F7A" w:rsidRDefault="00307F7A" w:rsidP="00307F7A">
      <w:pPr>
        <w:pStyle w:val="ListParagraph"/>
        <w:rPr>
          <w:lang w:val="en-GB"/>
        </w:rPr>
      </w:pPr>
    </w:p>
    <w:p w14:paraId="2063E2E3" w14:textId="31384238" w:rsidR="00020BF3" w:rsidRPr="0050619A" w:rsidRDefault="0050619A" w:rsidP="0050619A">
      <w:pPr>
        <w:autoSpaceDE w:val="0"/>
        <w:autoSpaceDN w:val="0"/>
        <w:adjustRightInd w:val="0"/>
        <w:jc w:val="both"/>
        <w:rPr>
          <w:lang w:val="en-GB"/>
        </w:rPr>
      </w:pPr>
      <w:r>
        <w:rPr>
          <w:lang w:val="en-GB"/>
        </w:rPr>
        <w:t>[15]</w:t>
      </w:r>
      <w:r>
        <w:rPr>
          <w:lang w:val="en-GB"/>
        </w:rPr>
        <w:tab/>
      </w:r>
      <w:r w:rsidR="009F082D" w:rsidRPr="0050619A">
        <w:rPr>
          <w:lang w:val="en-GB"/>
        </w:rPr>
        <w:t xml:space="preserve">In this case the position would be no different even if </w:t>
      </w:r>
      <w:r w:rsidR="00464A2A" w:rsidRPr="0050619A">
        <w:rPr>
          <w:lang w:val="en-GB"/>
        </w:rPr>
        <w:t xml:space="preserve">a more benevolent approach was adopted so as to permit </w:t>
      </w:r>
      <w:r w:rsidR="009F082D" w:rsidRPr="0050619A">
        <w:rPr>
          <w:lang w:val="en-GB"/>
        </w:rPr>
        <w:t>the MEC to prove the commencement of prescription any time before 4 February 2014.</w:t>
      </w:r>
      <w:r w:rsidR="009F082D">
        <w:rPr>
          <w:rStyle w:val="FootnoteReference"/>
          <w:lang w:val="en-GB"/>
        </w:rPr>
        <w:footnoteReference w:id="18"/>
      </w:r>
      <w:r w:rsidR="00307F7A" w:rsidRPr="0050619A">
        <w:rPr>
          <w:lang w:val="en-GB"/>
        </w:rPr>
        <w:t xml:space="preserve"> </w:t>
      </w:r>
      <w:r w:rsidR="005915C4" w:rsidRPr="0050619A">
        <w:rPr>
          <w:lang w:val="en-GB"/>
        </w:rPr>
        <w:t>The MEC mus</w:t>
      </w:r>
      <w:r w:rsidR="00576CF8" w:rsidRPr="0050619A">
        <w:rPr>
          <w:lang w:val="en-GB"/>
        </w:rPr>
        <w:t xml:space="preserve">t then </w:t>
      </w:r>
      <w:r w:rsidR="005915C4" w:rsidRPr="0050619A">
        <w:rPr>
          <w:lang w:val="en-GB"/>
        </w:rPr>
        <w:t xml:space="preserve">demonstrate that </w:t>
      </w:r>
      <w:r w:rsidR="00554B3E" w:rsidRPr="0050619A">
        <w:rPr>
          <w:lang w:val="en-GB"/>
        </w:rPr>
        <w:t xml:space="preserve">Mr </w:t>
      </w:r>
      <w:r w:rsidR="005915C4" w:rsidRPr="0050619A">
        <w:rPr>
          <w:lang w:val="en-GB"/>
        </w:rPr>
        <w:t>Gamede was in possession of sufficient facts</w:t>
      </w:r>
      <w:r w:rsidR="0047068F" w:rsidRPr="0050619A">
        <w:rPr>
          <w:lang w:val="en-GB"/>
        </w:rPr>
        <w:t>, by no later than 4 February 2014,</w:t>
      </w:r>
      <w:r w:rsidR="005915C4" w:rsidRPr="0050619A">
        <w:rPr>
          <w:lang w:val="en-GB"/>
        </w:rPr>
        <w:t xml:space="preserve"> to cause him, on reasonable grounds, to suspect that it was the fault </w:t>
      </w:r>
      <w:r w:rsidR="00A80EF8" w:rsidRPr="0050619A">
        <w:rPr>
          <w:lang w:val="en-GB"/>
        </w:rPr>
        <w:t xml:space="preserve">of </w:t>
      </w:r>
      <w:r w:rsidR="005915C4" w:rsidRPr="0050619A">
        <w:rPr>
          <w:lang w:val="en-GB"/>
        </w:rPr>
        <w:t>hospital staff that had caused him injury so as to prompt him to seek further advice.</w:t>
      </w:r>
      <w:r w:rsidR="005377E4" w:rsidRPr="0050619A">
        <w:rPr>
          <w:lang w:val="en-GB"/>
        </w:rPr>
        <w:t xml:space="preserve"> Until </w:t>
      </w:r>
      <w:r w:rsidR="00554B3E" w:rsidRPr="0050619A">
        <w:rPr>
          <w:lang w:val="en-GB"/>
        </w:rPr>
        <w:t xml:space="preserve">Mr </w:t>
      </w:r>
      <w:r w:rsidR="005377E4" w:rsidRPr="0050619A">
        <w:rPr>
          <w:lang w:val="en-GB"/>
        </w:rPr>
        <w:t xml:space="preserve">Gamede had </w:t>
      </w:r>
      <w:r w:rsidR="00DA777E" w:rsidRPr="0050619A">
        <w:rPr>
          <w:lang w:val="en-GB"/>
        </w:rPr>
        <w:t>this</w:t>
      </w:r>
      <w:r w:rsidR="00855569" w:rsidRPr="0050619A">
        <w:rPr>
          <w:lang w:val="en-GB"/>
        </w:rPr>
        <w:t xml:space="preserve"> </w:t>
      </w:r>
      <w:r w:rsidR="009F0921" w:rsidRPr="0050619A">
        <w:rPr>
          <w:lang w:val="en-GB"/>
        </w:rPr>
        <w:t>comprehension</w:t>
      </w:r>
      <w:r w:rsidR="00855569" w:rsidRPr="0050619A">
        <w:rPr>
          <w:lang w:val="en-GB"/>
        </w:rPr>
        <w:t xml:space="preserve">, </w:t>
      </w:r>
      <w:r w:rsidR="005377E4" w:rsidRPr="0050619A">
        <w:rPr>
          <w:lang w:val="en-GB"/>
        </w:rPr>
        <w:t xml:space="preserve">he lacked knowledge of the necessary facts contemplated in s 12(3). The MEC did not aver in the plea that </w:t>
      </w:r>
      <w:r w:rsidR="00554B3E" w:rsidRPr="0050619A">
        <w:rPr>
          <w:lang w:val="en-GB"/>
        </w:rPr>
        <w:t xml:space="preserve">Mr </w:t>
      </w:r>
      <w:r w:rsidR="005377E4" w:rsidRPr="0050619A">
        <w:rPr>
          <w:lang w:val="en-GB"/>
        </w:rPr>
        <w:t xml:space="preserve">Gamede had knowledge of the facts that caused his problem. In replication, </w:t>
      </w:r>
      <w:r w:rsidR="00554B3E" w:rsidRPr="0050619A">
        <w:rPr>
          <w:lang w:val="en-GB"/>
        </w:rPr>
        <w:t xml:space="preserve">Mr </w:t>
      </w:r>
      <w:r w:rsidR="005377E4" w:rsidRPr="0050619A">
        <w:rPr>
          <w:lang w:val="en-GB"/>
        </w:rPr>
        <w:t xml:space="preserve">Gamede indicates that he only acquired the knowledge of all the facts to constitute the cause of action on 4 August 2016. </w:t>
      </w:r>
    </w:p>
    <w:p w14:paraId="3303D5B0" w14:textId="77777777" w:rsidR="00020BF3" w:rsidRPr="00020BF3" w:rsidRDefault="00020BF3" w:rsidP="00020BF3">
      <w:pPr>
        <w:pStyle w:val="ListParagraph"/>
        <w:rPr>
          <w:lang w:val="en-GB"/>
        </w:rPr>
      </w:pPr>
    </w:p>
    <w:p w14:paraId="01F90ACA" w14:textId="7F917BA7" w:rsidR="00DF3492" w:rsidRPr="0050619A" w:rsidRDefault="0050619A" w:rsidP="0050619A">
      <w:pPr>
        <w:autoSpaceDE w:val="0"/>
        <w:autoSpaceDN w:val="0"/>
        <w:adjustRightInd w:val="0"/>
        <w:jc w:val="both"/>
        <w:rPr>
          <w:lang w:val="en-GB"/>
        </w:rPr>
      </w:pPr>
      <w:r w:rsidRPr="00020BF3">
        <w:rPr>
          <w:lang w:val="en-GB"/>
        </w:rPr>
        <w:t>[16]</w:t>
      </w:r>
      <w:r w:rsidRPr="00020BF3">
        <w:rPr>
          <w:lang w:val="en-GB"/>
        </w:rPr>
        <w:tab/>
      </w:r>
      <w:r w:rsidR="005377E4" w:rsidRPr="0050619A">
        <w:rPr>
          <w:lang w:val="en-GB"/>
        </w:rPr>
        <w:t xml:space="preserve">As in </w:t>
      </w:r>
      <w:r w:rsidR="005377E4" w:rsidRPr="0050619A">
        <w:rPr>
          <w:i/>
          <w:iCs/>
          <w:lang w:val="en-GB"/>
        </w:rPr>
        <w:t>Links</w:t>
      </w:r>
      <w:r w:rsidR="005377E4" w:rsidRPr="0050619A">
        <w:rPr>
          <w:lang w:val="en-GB"/>
        </w:rPr>
        <w:t>,</w:t>
      </w:r>
      <w:r w:rsidR="005377E4" w:rsidRPr="0050619A">
        <w:rPr>
          <w:i/>
          <w:iCs/>
          <w:lang w:val="en-GB"/>
        </w:rPr>
        <w:t xml:space="preserve"> </w:t>
      </w:r>
      <w:r w:rsidR="005377E4" w:rsidRPr="0050619A">
        <w:rPr>
          <w:lang w:val="en-GB"/>
        </w:rPr>
        <w:t>there is nothing to gainsay that averment.</w:t>
      </w:r>
      <w:r w:rsidR="005377E4">
        <w:rPr>
          <w:rStyle w:val="FootnoteReference"/>
          <w:lang w:val="en-GB"/>
        </w:rPr>
        <w:footnoteReference w:id="19"/>
      </w:r>
      <w:r w:rsidR="00020BF3" w:rsidRPr="0050619A">
        <w:rPr>
          <w:lang w:val="en-GB"/>
        </w:rPr>
        <w:t xml:space="preserve"> </w:t>
      </w:r>
      <w:r w:rsidR="00AD2BF4" w:rsidRPr="0050619A">
        <w:rPr>
          <w:lang w:val="en-GB"/>
        </w:rPr>
        <w:t xml:space="preserve">In the absence of agreed facts, </w:t>
      </w:r>
      <w:r w:rsidR="00CB71E2" w:rsidRPr="0050619A">
        <w:rPr>
          <w:lang w:val="en-GB"/>
        </w:rPr>
        <w:t>was</w:t>
      </w:r>
      <w:r w:rsidR="00DF3492" w:rsidRPr="0050619A">
        <w:rPr>
          <w:lang w:val="en-GB"/>
        </w:rPr>
        <w:t xml:space="preserve"> it possible for the MEC to discharge </w:t>
      </w:r>
      <w:r w:rsidR="00CB71E2" w:rsidRPr="0050619A">
        <w:rPr>
          <w:lang w:val="en-GB"/>
        </w:rPr>
        <w:t>its</w:t>
      </w:r>
      <w:r w:rsidR="00DF3492" w:rsidRPr="0050619A">
        <w:rPr>
          <w:lang w:val="en-GB"/>
        </w:rPr>
        <w:t xml:space="preserve"> burden without leading any oral evidence whatsoever? Put differently</w:t>
      </w:r>
      <w:r w:rsidR="003A2624" w:rsidRPr="0050619A">
        <w:rPr>
          <w:lang w:val="en-GB"/>
        </w:rPr>
        <w:t xml:space="preserve"> </w:t>
      </w:r>
      <w:r w:rsidR="00DF3492" w:rsidRPr="0050619A">
        <w:rPr>
          <w:lang w:val="en-GB"/>
        </w:rPr>
        <w:t>is there any basis to conclude</w:t>
      </w:r>
      <w:r w:rsidR="003A2624" w:rsidRPr="0050619A">
        <w:rPr>
          <w:lang w:val="en-GB"/>
        </w:rPr>
        <w:t>, on the facts of the matter,</w:t>
      </w:r>
      <w:r w:rsidR="00DF3492" w:rsidRPr="0050619A">
        <w:rPr>
          <w:lang w:val="en-GB"/>
        </w:rPr>
        <w:t xml:space="preserve"> that it was necessary for </w:t>
      </w:r>
      <w:r w:rsidR="00554B3E" w:rsidRPr="0050619A">
        <w:rPr>
          <w:lang w:val="en-GB"/>
        </w:rPr>
        <w:t xml:space="preserve">Mr </w:t>
      </w:r>
      <w:r w:rsidR="00DF3492" w:rsidRPr="0050619A">
        <w:rPr>
          <w:lang w:val="en-GB"/>
        </w:rPr>
        <w:t xml:space="preserve">Gamede to lead evidence </w:t>
      </w:r>
      <w:r w:rsidR="00020BF3" w:rsidRPr="0050619A">
        <w:rPr>
          <w:lang w:val="en-GB"/>
        </w:rPr>
        <w:t>‘</w:t>
      </w:r>
      <w:r w:rsidR="00DF3492" w:rsidRPr="0050619A">
        <w:rPr>
          <w:lang w:val="en-GB"/>
        </w:rPr>
        <w:t>in rebuttal’, or that an adverse inference ought to be drawn from his failure to do so?</w:t>
      </w:r>
    </w:p>
    <w:p w14:paraId="7C11B50F" w14:textId="77777777" w:rsidR="00D90BEB" w:rsidRDefault="00D90BEB" w:rsidP="00D90BEB">
      <w:pPr>
        <w:pStyle w:val="ListParagraph"/>
        <w:autoSpaceDE w:val="0"/>
        <w:autoSpaceDN w:val="0"/>
        <w:adjustRightInd w:val="0"/>
        <w:ind w:left="0"/>
        <w:jc w:val="both"/>
        <w:rPr>
          <w:lang w:val="en-GB"/>
        </w:rPr>
      </w:pPr>
    </w:p>
    <w:p w14:paraId="1CE96A71" w14:textId="1038EF1A" w:rsidR="00C5138A" w:rsidRPr="0050619A" w:rsidRDefault="0050619A" w:rsidP="0050619A">
      <w:pPr>
        <w:autoSpaceDE w:val="0"/>
        <w:autoSpaceDN w:val="0"/>
        <w:adjustRightInd w:val="0"/>
        <w:jc w:val="both"/>
        <w:rPr>
          <w:lang w:val="en-GB"/>
        </w:rPr>
      </w:pPr>
      <w:r>
        <w:rPr>
          <w:lang w:val="en-GB"/>
        </w:rPr>
        <w:t>[17]</w:t>
      </w:r>
      <w:r>
        <w:rPr>
          <w:lang w:val="en-GB"/>
        </w:rPr>
        <w:tab/>
      </w:r>
      <w:r w:rsidR="00917E88" w:rsidRPr="0050619A">
        <w:rPr>
          <w:lang w:val="en-GB"/>
        </w:rPr>
        <w:t xml:space="preserve">It may be accepted that </w:t>
      </w:r>
      <w:r w:rsidR="005E269B" w:rsidRPr="0050619A">
        <w:rPr>
          <w:lang w:val="en-GB"/>
        </w:rPr>
        <w:t xml:space="preserve">the key facts </w:t>
      </w:r>
      <w:r w:rsidR="00886DDA" w:rsidRPr="0050619A">
        <w:rPr>
          <w:lang w:val="en-GB"/>
        </w:rPr>
        <w:t xml:space="preserve">relevant to the special plea fell almost exclusively within the knowledge of </w:t>
      </w:r>
      <w:r w:rsidR="00554B3E" w:rsidRPr="0050619A">
        <w:rPr>
          <w:lang w:val="en-GB"/>
        </w:rPr>
        <w:t xml:space="preserve">Mr </w:t>
      </w:r>
      <w:r w:rsidR="00886DDA" w:rsidRPr="0050619A">
        <w:rPr>
          <w:lang w:val="en-GB"/>
        </w:rPr>
        <w:t xml:space="preserve">Gamede. As a result, </w:t>
      </w:r>
      <w:r w:rsidR="00917E88" w:rsidRPr="0050619A">
        <w:rPr>
          <w:lang w:val="en-GB"/>
        </w:rPr>
        <w:t xml:space="preserve">the MEC faced various difficulties of the kind typically associated with raising a plea of prescription in circumstances where the facts in question are particularly within the knowledge of the other party. </w:t>
      </w:r>
      <w:r w:rsidR="00C5138A" w:rsidRPr="0050619A">
        <w:rPr>
          <w:lang w:val="en-GB"/>
        </w:rPr>
        <w:t xml:space="preserve">Despite these challenges, the SCA has confirmed that </w:t>
      </w:r>
      <w:r w:rsidR="009715E2" w:rsidRPr="0050619A">
        <w:rPr>
          <w:lang w:val="en-GB"/>
        </w:rPr>
        <w:t>the burden of proof cannot be altered merely because the facts happen to be within the knowledge of the other party.</w:t>
      </w:r>
      <w:r w:rsidR="004A5614">
        <w:rPr>
          <w:rStyle w:val="FootnoteReference"/>
          <w:lang w:val="en-GB"/>
        </w:rPr>
        <w:footnoteReference w:id="20"/>
      </w:r>
      <w:r w:rsidR="006A3BB9" w:rsidRPr="0050619A">
        <w:rPr>
          <w:lang w:val="en-GB"/>
        </w:rPr>
        <w:t xml:space="preserve"> In </w:t>
      </w:r>
      <w:r w:rsidR="005D6F34" w:rsidRPr="0050619A">
        <w:rPr>
          <w:lang w:val="en-GB"/>
        </w:rPr>
        <w:t>such</w:t>
      </w:r>
      <w:r w:rsidR="006A3BB9" w:rsidRPr="0050619A">
        <w:rPr>
          <w:lang w:val="en-GB"/>
        </w:rPr>
        <w:t xml:space="preserve"> cases, t</w:t>
      </w:r>
      <w:r w:rsidR="00DA4F1E" w:rsidRPr="0050619A">
        <w:rPr>
          <w:lang w:val="en-GB"/>
        </w:rPr>
        <w:t xml:space="preserve">he associated difficulties are accommodated by permitting a lower level of proof to suffice </w:t>
      </w:r>
      <w:r w:rsidR="000C3E93" w:rsidRPr="0050619A">
        <w:rPr>
          <w:lang w:val="en-GB"/>
        </w:rPr>
        <w:t>for purposes of establishing a prima facie case</w:t>
      </w:r>
      <w:r w:rsidR="00456DAB" w:rsidRPr="0050619A">
        <w:rPr>
          <w:lang w:val="en-GB"/>
        </w:rPr>
        <w:t>, not by altering the onus.</w:t>
      </w:r>
      <w:r w:rsidR="00B06D35">
        <w:rPr>
          <w:rStyle w:val="FootnoteReference"/>
          <w:lang w:val="en-GB"/>
        </w:rPr>
        <w:footnoteReference w:id="21"/>
      </w:r>
      <w:r w:rsidR="006A3BB9" w:rsidRPr="0050619A">
        <w:rPr>
          <w:lang w:val="en-GB"/>
        </w:rPr>
        <w:t xml:space="preserve"> </w:t>
      </w:r>
    </w:p>
    <w:p w14:paraId="7A18AB2D" w14:textId="77777777" w:rsidR="009715E2" w:rsidRPr="00C5138A" w:rsidRDefault="009715E2" w:rsidP="009715E2">
      <w:pPr>
        <w:pStyle w:val="ListParagraph"/>
        <w:autoSpaceDE w:val="0"/>
        <w:autoSpaceDN w:val="0"/>
        <w:adjustRightInd w:val="0"/>
        <w:ind w:left="0"/>
        <w:jc w:val="both"/>
        <w:rPr>
          <w:lang w:val="en-GB"/>
        </w:rPr>
      </w:pPr>
    </w:p>
    <w:p w14:paraId="1FD2C5A3" w14:textId="55EADE62" w:rsidR="00C6613F" w:rsidRPr="0050619A" w:rsidRDefault="0050619A" w:rsidP="0050619A">
      <w:pPr>
        <w:autoSpaceDE w:val="0"/>
        <w:autoSpaceDN w:val="0"/>
        <w:adjustRightInd w:val="0"/>
        <w:jc w:val="both"/>
        <w:rPr>
          <w:lang w:val="en-GB"/>
        </w:rPr>
      </w:pPr>
      <w:r>
        <w:rPr>
          <w:lang w:val="en-GB"/>
        </w:rPr>
        <w:t>[18]</w:t>
      </w:r>
      <w:r>
        <w:rPr>
          <w:lang w:val="en-GB"/>
        </w:rPr>
        <w:tab/>
      </w:r>
      <w:r w:rsidR="004A6AFA" w:rsidRPr="0050619A">
        <w:rPr>
          <w:lang w:val="en-GB"/>
        </w:rPr>
        <w:t>T</w:t>
      </w:r>
      <w:r w:rsidR="00FE31A0" w:rsidRPr="0050619A">
        <w:rPr>
          <w:lang w:val="en-GB"/>
        </w:rPr>
        <w:t>he MEC</w:t>
      </w:r>
      <w:r w:rsidR="00233AF6" w:rsidRPr="0050619A">
        <w:rPr>
          <w:lang w:val="en-GB"/>
        </w:rPr>
        <w:t>, having raised prescription</w:t>
      </w:r>
      <w:r w:rsidR="00625DC2" w:rsidRPr="0050619A">
        <w:rPr>
          <w:lang w:val="en-GB"/>
        </w:rPr>
        <w:t xml:space="preserve"> in circumstances where it may be accepted that </w:t>
      </w:r>
      <w:r w:rsidR="00554B3E" w:rsidRPr="0050619A">
        <w:rPr>
          <w:lang w:val="en-GB"/>
        </w:rPr>
        <w:t xml:space="preserve">Mr </w:t>
      </w:r>
      <w:r w:rsidR="00625DC2" w:rsidRPr="0050619A">
        <w:rPr>
          <w:lang w:val="en-GB"/>
        </w:rPr>
        <w:t xml:space="preserve">Gamede </w:t>
      </w:r>
      <w:r w:rsidR="00CB1B15" w:rsidRPr="0050619A">
        <w:rPr>
          <w:lang w:val="en-GB"/>
        </w:rPr>
        <w:t>was the only person aware of certain facts</w:t>
      </w:r>
      <w:r w:rsidR="00233AF6" w:rsidRPr="0050619A">
        <w:rPr>
          <w:lang w:val="en-GB"/>
        </w:rPr>
        <w:t>,</w:t>
      </w:r>
      <w:r w:rsidR="00FE31A0" w:rsidRPr="0050619A">
        <w:rPr>
          <w:lang w:val="en-GB"/>
        </w:rPr>
        <w:t xml:space="preserve"> bears </w:t>
      </w:r>
      <w:r w:rsidR="00CC49DE" w:rsidRPr="0050619A">
        <w:rPr>
          <w:lang w:val="en-GB"/>
        </w:rPr>
        <w:t>this reduced</w:t>
      </w:r>
      <w:r w:rsidR="00FE31A0" w:rsidRPr="0050619A">
        <w:rPr>
          <w:lang w:val="en-GB"/>
        </w:rPr>
        <w:t xml:space="preserve"> evidentiary burden to prove </w:t>
      </w:r>
      <w:r w:rsidR="00426034" w:rsidRPr="0050619A">
        <w:rPr>
          <w:lang w:val="en-GB"/>
        </w:rPr>
        <w:t xml:space="preserve">that </w:t>
      </w:r>
      <w:r w:rsidR="00AC1CDA" w:rsidRPr="0050619A">
        <w:rPr>
          <w:lang w:val="en-GB"/>
        </w:rPr>
        <w:t xml:space="preserve">special </w:t>
      </w:r>
      <w:r w:rsidR="00426034" w:rsidRPr="0050619A">
        <w:rPr>
          <w:lang w:val="en-GB"/>
        </w:rPr>
        <w:t>plea</w:t>
      </w:r>
      <w:r w:rsidR="00B638CB" w:rsidRPr="0050619A">
        <w:rPr>
          <w:lang w:val="en-GB"/>
        </w:rPr>
        <w:t>. This</w:t>
      </w:r>
      <w:r w:rsidR="00FE31A0" w:rsidRPr="0050619A">
        <w:rPr>
          <w:lang w:val="en-GB"/>
        </w:rPr>
        <w:t xml:space="preserve"> </w:t>
      </w:r>
      <w:r w:rsidR="00B638CB" w:rsidRPr="0050619A">
        <w:rPr>
          <w:lang w:val="en-GB"/>
        </w:rPr>
        <w:t xml:space="preserve">includes </w:t>
      </w:r>
      <w:r w:rsidR="008F51AC" w:rsidRPr="0050619A">
        <w:rPr>
          <w:lang w:val="en-GB"/>
        </w:rPr>
        <w:t xml:space="preserve">the date of the inception and the date of the completion of the period of prescription, </w:t>
      </w:r>
      <w:r w:rsidR="00B638CB" w:rsidRPr="0050619A">
        <w:rPr>
          <w:lang w:val="en-GB"/>
        </w:rPr>
        <w:t>and</w:t>
      </w:r>
      <w:r w:rsidR="00FE31A0" w:rsidRPr="0050619A">
        <w:rPr>
          <w:lang w:val="en-GB"/>
        </w:rPr>
        <w:t xml:space="preserve"> the date on which </w:t>
      </w:r>
      <w:r w:rsidR="00554B3E" w:rsidRPr="0050619A">
        <w:rPr>
          <w:lang w:val="en-GB"/>
        </w:rPr>
        <w:t xml:space="preserve">Mr </w:t>
      </w:r>
      <w:r w:rsidR="00FE31A0" w:rsidRPr="0050619A">
        <w:rPr>
          <w:lang w:val="en-GB"/>
        </w:rPr>
        <w:t>Gamede obtained actual or constructive knowledge of the debt.</w:t>
      </w:r>
      <w:r w:rsidR="00F94B42">
        <w:rPr>
          <w:rStyle w:val="FootnoteReference"/>
          <w:lang w:val="en-GB"/>
        </w:rPr>
        <w:footnoteReference w:id="22"/>
      </w:r>
      <w:r w:rsidR="00FE31A0" w:rsidRPr="0050619A">
        <w:rPr>
          <w:lang w:val="en-GB"/>
        </w:rPr>
        <w:t xml:space="preserve"> The burden only shifts to </w:t>
      </w:r>
      <w:r w:rsidR="00554B3E" w:rsidRPr="0050619A">
        <w:rPr>
          <w:lang w:val="en-GB"/>
        </w:rPr>
        <w:t xml:space="preserve">Mr </w:t>
      </w:r>
      <w:r w:rsidR="00FE31A0" w:rsidRPr="0050619A">
        <w:rPr>
          <w:lang w:val="en-GB"/>
        </w:rPr>
        <w:t>Gamede if the MEC has established a prima facie case.</w:t>
      </w:r>
      <w:r w:rsidR="00CC7F36">
        <w:rPr>
          <w:rStyle w:val="FootnoteReference"/>
          <w:lang w:val="en-GB"/>
        </w:rPr>
        <w:footnoteReference w:id="23"/>
      </w:r>
      <w:r w:rsidR="00882FC8" w:rsidRPr="0050619A">
        <w:rPr>
          <w:lang w:val="en-GB"/>
        </w:rPr>
        <w:t xml:space="preserve"> The position does not change because </w:t>
      </w:r>
      <w:r w:rsidR="00554B3E" w:rsidRPr="0050619A">
        <w:rPr>
          <w:lang w:val="en-GB"/>
        </w:rPr>
        <w:t xml:space="preserve">Mr </w:t>
      </w:r>
      <w:r w:rsidR="00882FC8" w:rsidRPr="0050619A">
        <w:rPr>
          <w:lang w:val="en-GB"/>
        </w:rPr>
        <w:t>Gamede’s replication advanced a date on which he had acquired knowledge of the relevant facts.</w:t>
      </w:r>
      <w:r w:rsidR="00834E99">
        <w:rPr>
          <w:rStyle w:val="FootnoteReference"/>
          <w:lang w:val="en-GB"/>
        </w:rPr>
        <w:footnoteReference w:id="24"/>
      </w:r>
    </w:p>
    <w:p w14:paraId="659AA445" w14:textId="77777777" w:rsidR="007052A5" w:rsidRPr="007052A5" w:rsidRDefault="007052A5" w:rsidP="007052A5">
      <w:pPr>
        <w:pStyle w:val="ListParagraph"/>
        <w:rPr>
          <w:lang w:val="en-GB"/>
        </w:rPr>
      </w:pPr>
    </w:p>
    <w:p w14:paraId="37816AB1" w14:textId="1BA6E26F" w:rsidR="00AF6DF0" w:rsidRPr="0050619A" w:rsidRDefault="0050619A" w:rsidP="0050619A">
      <w:pPr>
        <w:autoSpaceDE w:val="0"/>
        <w:autoSpaceDN w:val="0"/>
        <w:adjustRightInd w:val="0"/>
        <w:jc w:val="both"/>
        <w:rPr>
          <w:lang w:val="en-GB"/>
        </w:rPr>
      </w:pPr>
      <w:r>
        <w:rPr>
          <w:lang w:val="en-GB"/>
        </w:rPr>
        <w:t>[19]</w:t>
      </w:r>
      <w:r>
        <w:rPr>
          <w:lang w:val="en-GB"/>
        </w:rPr>
        <w:tab/>
      </w:r>
      <w:r w:rsidR="007052A5" w:rsidRPr="0050619A">
        <w:rPr>
          <w:lang w:val="en-GB"/>
        </w:rPr>
        <w:t xml:space="preserve">The MEC was required to discharge the reduced burden </w:t>
      </w:r>
      <w:r w:rsidR="00E10FBF" w:rsidRPr="0050619A">
        <w:rPr>
          <w:lang w:val="en-GB"/>
        </w:rPr>
        <w:t>by adducing evidence to support its case</w:t>
      </w:r>
      <w:r w:rsidR="00527C9A" w:rsidRPr="0050619A">
        <w:rPr>
          <w:lang w:val="en-GB"/>
        </w:rPr>
        <w:t xml:space="preserve"> in the usual way.</w:t>
      </w:r>
      <w:r w:rsidR="00527C9A">
        <w:rPr>
          <w:rStyle w:val="FootnoteReference"/>
          <w:lang w:val="en-GB"/>
        </w:rPr>
        <w:footnoteReference w:id="25"/>
      </w:r>
      <w:r w:rsidR="00527C9A" w:rsidRPr="0050619A">
        <w:rPr>
          <w:lang w:val="en-GB"/>
        </w:rPr>
        <w:t xml:space="preserve"> </w:t>
      </w:r>
      <w:r w:rsidR="0086607E" w:rsidRPr="0050619A">
        <w:rPr>
          <w:lang w:val="en-GB"/>
        </w:rPr>
        <w:t xml:space="preserve">In failing to do so, the burden never shifted to </w:t>
      </w:r>
      <w:r w:rsidR="00554B3E" w:rsidRPr="0050619A">
        <w:rPr>
          <w:lang w:val="en-GB"/>
        </w:rPr>
        <w:t xml:space="preserve">Mr </w:t>
      </w:r>
      <w:r w:rsidR="0086607E" w:rsidRPr="0050619A">
        <w:rPr>
          <w:lang w:val="en-GB"/>
        </w:rPr>
        <w:t>Gamede.</w:t>
      </w:r>
      <w:r w:rsidR="00270C70" w:rsidRPr="0050619A">
        <w:rPr>
          <w:lang w:val="en-GB"/>
        </w:rPr>
        <w:t xml:space="preserve"> His failure to testify in proceedings where the burden lay upon the other side is different to the position described by the majority of the SCA in </w:t>
      </w:r>
      <w:r w:rsidR="00270C70" w:rsidRPr="0050619A">
        <w:rPr>
          <w:i/>
          <w:iCs/>
          <w:lang w:val="en-GB"/>
        </w:rPr>
        <w:t>M. v MEC for Health, Eastern Cape</w:t>
      </w:r>
      <w:r w:rsidR="00EB2803" w:rsidRPr="0050619A">
        <w:rPr>
          <w:lang w:val="en-GB"/>
        </w:rPr>
        <w:t>,</w:t>
      </w:r>
      <w:r w:rsidR="00771030">
        <w:rPr>
          <w:rStyle w:val="FootnoteReference"/>
          <w:lang w:val="en-GB"/>
        </w:rPr>
        <w:footnoteReference w:id="26"/>
      </w:r>
      <w:r w:rsidR="00EB2803" w:rsidRPr="0050619A">
        <w:rPr>
          <w:lang w:val="en-GB"/>
        </w:rPr>
        <w:t xml:space="preserve"> where the burden was on the plaintiff to establish negligence.</w:t>
      </w:r>
      <w:r w:rsidR="00D125D9">
        <w:rPr>
          <w:rStyle w:val="FootnoteReference"/>
          <w:lang w:val="en-GB"/>
        </w:rPr>
        <w:footnoteReference w:id="27"/>
      </w:r>
      <w:r w:rsidR="00625806" w:rsidRPr="0050619A">
        <w:rPr>
          <w:lang w:val="en-GB"/>
        </w:rPr>
        <w:t xml:space="preserve"> The fact that much of Somaroo’s testimony constitutes inadmissible hearsay given </w:t>
      </w:r>
      <w:r w:rsidR="00554B3E" w:rsidRPr="0050619A">
        <w:rPr>
          <w:lang w:val="en-GB"/>
        </w:rPr>
        <w:t xml:space="preserve">Mr </w:t>
      </w:r>
      <w:r w:rsidR="00625806" w:rsidRPr="0050619A">
        <w:rPr>
          <w:lang w:val="en-GB"/>
        </w:rPr>
        <w:t>Gamede’s failure to testify is immaterial</w:t>
      </w:r>
      <w:r w:rsidR="008C37DC" w:rsidRPr="0050619A">
        <w:rPr>
          <w:lang w:val="en-GB"/>
        </w:rPr>
        <w:t xml:space="preserve"> on the facts in casu</w:t>
      </w:r>
      <w:r w:rsidR="00625806" w:rsidRPr="0050619A">
        <w:rPr>
          <w:lang w:val="en-GB"/>
        </w:rPr>
        <w:t>.</w:t>
      </w:r>
    </w:p>
    <w:p w14:paraId="6CFCC371" w14:textId="46CE7767" w:rsidR="00284984" w:rsidRDefault="00284984" w:rsidP="002F6DBD">
      <w:pPr>
        <w:rPr>
          <w:lang w:val="en-GB"/>
        </w:rPr>
      </w:pPr>
    </w:p>
    <w:p w14:paraId="79C78C32" w14:textId="5C13A293" w:rsidR="002F6DBD" w:rsidRDefault="002F6DBD" w:rsidP="002F6DBD">
      <w:pPr>
        <w:rPr>
          <w:b/>
          <w:bCs/>
          <w:lang w:val="en-GB"/>
        </w:rPr>
      </w:pPr>
      <w:r>
        <w:rPr>
          <w:b/>
          <w:bCs/>
          <w:lang w:val="en-GB"/>
        </w:rPr>
        <w:t>The appropriate relief</w:t>
      </w:r>
    </w:p>
    <w:p w14:paraId="7850D35D" w14:textId="77777777" w:rsidR="002F6DBD" w:rsidRPr="002F6DBD" w:rsidRDefault="002F6DBD" w:rsidP="002F6DBD">
      <w:pPr>
        <w:rPr>
          <w:b/>
          <w:bCs/>
          <w:lang w:val="en-GB"/>
        </w:rPr>
      </w:pPr>
    </w:p>
    <w:p w14:paraId="519C5559" w14:textId="62F85E03" w:rsidR="00D42C04" w:rsidRPr="0050619A" w:rsidRDefault="0050619A" w:rsidP="0050619A">
      <w:pPr>
        <w:autoSpaceDE w:val="0"/>
        <w:autoSpaceDN w:val="0"/>
        <w:adjustRightInd w:val="0"/>
        <w:jc w:val="both"/>
        <w:rPr>
          <w:lang w:val="en-GB"/>
        </w:rPr>
      </w:pPr>
      <w:r w:rsidRPr="00E944DC">
        <w:rPr>
          <w:lang w:val="en-GB"/>
        </w:rPr>
        <w:t>[20]</w:t>
      </w:r>
      <w:r w:rsidRPr="00E944DC">
        <w:rPr>
          <w:lang w:val="en-GB"/>
        </w:rPr>
        <w:tab/>
      </w:r>
      <w:r w:rsidR="00E944DC" w:rsidRPr="0050619A">
        <w:rPr>
          <w:lang w:val="en-GB"/>
        </w:rPr>
        <w:t xml:space="preserve">The question remains whether this Court should nevertheless uphold the appeal, given the lack of evidence, and refer the matter for the hearing of oral evidence. </w:t>
      </w:r>
      <w:r w:rsidR="00D42C04" w:rsidRPr="0050619A">
        <w:rPr>
          <w:lang w:val="en-GB"/>
        </w:rPr>
        <w:t xml:space="preserve">In </w:t>
      </w:r>
      <w:r w:rsidR="00D42C04" w:rsidRPr="0050619A">
        <w:rPr>
          <w:i/>
          <w:iCs/>
          <w:lang w:val="en-GB"/>
        </w:rPr>
        <w:t>Road Accident Fund v Ntoni</w:t>
      </w:r>
      <w:r w:rsidR="00D42C04" w:rsidRPr="0050619A">
        <w:rPr>
          <w:lang w:val="en-GB"/>
        </w:rPr>
        <w:t>,</w:t>
      </w:r>
      <w:r w:rsidR="00D42C04">
        <w:rPr>
          <w:rStyle w:val="FootnoteReference"/>
          <w:lang w:val="en-GB"/>
        </w:rPr>
        <w:footnoteReference w:id="28"/>
      </w:r>
      <w:r w:rsidR="00D42C04" w:rsidRPr="0050619A">
        <w:rPr>
          <w:lang w:val="en-GB"/>
        </w:rPr>
        <w:t xml:space="preserve"> a full </w:t>
      </w:r>
      <w:r w:rsidR="000D0EC9" w:rsidRPr="0050619A">
        <w:rPr>
          <w:lang w:val="en-GB"/>
        </w:rPr>
        <w:t>court</w:t>
      </w:r>
      <w:r w:rsidR="00D42C04" w:rsidRPr="0050619A">
        <w:rPr>
          <w:lang w:val="en-GB"/>
        </w:rPr>
        <w:t xml:space="preserve"> of this Division considered a judgment that had dismissed a special plea of prescription on the strength of pleadings in circumstances where no evidence had been led. The Court upheld the appeal for two reasons, one of which related to the question of evidence:</w:t>
      </w:r>
      <w:r w:rsidR="00D42C04">
        <w:rPr>
          <w:rStyle w:val="FootnoteReference"/>
          <w:lang w:val="en-GB"/>
        </w:rPr>
        <w:footnoteReference w:id="29"/>
      </w:r>
    </w:p>
    <w:p w14:paraId="75832B05" w14:textId="77777777" w:rsidR="00D42C04" w:rsidRDefault="00D42C04" w:rsidP="00D42C04">
      <w:pPr>
        <w:pStyle w:val="ListParagraph"/>
        <w:autoSpaceDE w:val="0"/>
        <w:autoSpaceDN w:val="0"/>
        <w:adjustRightInd w:val="0"/>
        <w:ind w:left="0"/>
        <w:jc w:val="both"/>
        <w:rPr>
          <w:sz w:val="22"/>
          <w:szCs w:val="22"/>
          <w:lang w:val="en-GB"/>
        </w:rPr>
      </w:pPr>
      <w:r>
        <w:rPr>
          <w:lang w:val="en-GB"/>
        </w:rPr>
        <w:t xml:space="preserve">‘[9] </w:t>
      </w:r>
      <w:r>
        <w:rPr>
          <w:sz w:val="22"/>
          <w:szCs w:val="22"/>
          <w:lang w:val="en-GB"/>
        </w:rPr>
        <w:t xml:space="preserve">I revert to the fact that no evidence was led by either party. The appellant placed various letters which were exchanged between the parties’ respective attorney before the court </w:t>
      </w:r>
      <w:r>
        <w:rPr>
          <w:i/>
          <w:iCs/>
          <w:sz w:val="22"/>
          <w:szCs w:val="22"/>
          <w:lang w:val="en-GB"/>
        </w:rPr>
        <w:t>a quo</w:t>
      </w:r>
      <w:r>
        <w:rPr>
          <w:sz w:val="22"/>
          <w:szCs w:val="22"/>
          <w:lang w:val="en-GB"/>
        </w:rPr>
        <w:t xml:space="preserve">. The parties seemed to have laboured under the impression, wrongly so, that those letters constituted evidence. There was no agreement between the parties as to the evidentiary value of those letters. The present situation is akin to what Griffiths J described as “a trial without a trial”. The appellant should have placed evidence or sufficient agreed facts before the court </w:t>
      </w:r>
      <w:r>
        <w:rPr>
          <w:i/>
          <w:iCs/>
          <w:sz w:val="22"/>
          <w:szCs w:val="22"/>
          <w:lang w:val="en-GB"/>
        </w:rPr>
        <w:t>a quo</w:t>
      </w:r>
      <w:r>
        <w:rPr>
          <w:sz w:val="22"/>
          <w:szCs w:val="22"/>
          <w:lang w:val="en-GB"/>
        </w:rPr>
        <w:t xml:space="preserve"> to substantiate its plea of prescription. The issue of prescription could not properly have been determined without evidence or agreed facts. With respect, it was accordingly inappropriate for the court </w:t>
      </w:r>
      <w:r>
        <w:rPr>
          <w:i/>
          <w:iCs/>
          <w:sz w:val="22"/>
          <w:szCs w:val="22"/>
          <w:lang w:val="en-GB"/>
        </w:rPr>
        <w:t>a quo</w:t>
      </w:r>
      <w:r>
        <w:rPr>
          <w:sz w:val="22"/>
          <w:szCs w:val="22"/>
          <w:lang w:val="en-GB"/>
        </w:rPr>
        <w:t xml:space="preserve"> to reach a final conclusion on the issue of prescription on the basis of the pleadings and the above correspondence alone.</w:t>
      </w:r>
    </w:p>
    <w:p w14:paraId="44164A0A" w14:textId="77777777" w:rsidR="00D42C04" w:rsidRDefault="00D42C04" w:rsidP="00D42C04">
      <w:pPr>
        <w:pStyle w:val="ListParagraph"/>
        <w:autoSpaceDE w:val="0"/>
        <w:autoSpaceDN w:val="0"/>
        <w:adjustRightInd w:val="0"/>
        <w:ind w:left="0"/>
        <w:jc w:val="both"/>
        <w:rPr>
          <w:sz w:val="22"/>
          <w:szCs w:val="22"/>
          <w:lang w:val="en-GB"/>
        </w:rPr>
      </w:pPr>
    </w:p>
    <w:p w14:paraId="262338C7" w14:textId="77777777" w:rsidR="00D42C04" w:rsidRPr="00366957" w:rsidRDefault="00D42C04" w:rsidP="00D42C04">
      <w:pPr>
        <w:pStyle w:val="ListParagraph"/>
        <w:autoSpaceDE w:val="0"/>
        <w:autoSpaceDN w:val="0"/>
        <w:adjustRightInd w:val="0"/>
        <w:ind w:left="0"/>
        <w:jc w:val="both"/>
        <w:rPr>
          <w:sz w:val="22"/>
          <w:szCs w:val="22"/>
          <w:lang w:val="en-GB"/>
        </w:rPr>
      </w:pPr>
      <w:r>
        <w:rPr>
          <w:sz w:val="22"/>
          <w:szCs w:val="22"/>
          <w:lang w:val="en-GB"/>
        </w:rPr>
        <w:t xml:space="preserve">[10] Mr Frost, counsel for the appellant, submitted that once the judgment of the court </w:t>
      </w:r>
      <w:r>
        <w:rPr>
          <w:i/>
          <w:iCs/>
          <w:sz w:val="22"/>
          <w:szCs w:val="22"/>
          <w:lang w:val="en-GB"/>
        </w:rPr>
        <w:t>a quo</w:t>
      </w:r>
      <w:r>
        <w:rPr>
          <w:sz w:val="22"/>
          <w:szCs w:val="22"/>
          <w:lang w:val="en-GB"/>
        </w:rPr>
        <w:t xml:space="preserve"> is set aside, we should uphold the special plea of prescription because of the absence of evidence to substantiate it. That submission cannot be upheld. It would also be inappropriate for us, as a court of appeal, to determine whether or not the respondent’s claim has prescribed without evidence or agreed facts upon which such a determination can be made. In the circumstances of this case it would be just to refer the action back to the court </w:t>
      </w:r>
      <w:r>
        <w:rPr>
          <w:i/>
          <w:iCs/>
          <w:sz w:val="22"/>
          <w:szCs w:val="22"/>
          <w:lang w:val="en-GB"/>
        </w:rPr>
        <w:t>a quo</w:t>
      </w:r>
      <w:r>
        <w:rPr>
          <w:sz w:val="22"/>
          <w:szCs w:val="22"/>
          <w:lang w:val="en-GB"/>
        </w:rPr>
        <w:t xml:space="preserve"> to determine, on the basis of evidence or agreed facts, whether or not the respondent’s claim has prescribed.’</w:t>
      </w:r>
    </w:p>
    <w:p w14:paraId="3045E749" w14:textId="77777777" w:rsidR="00D42C04" w:rsidRPr="00681467" w:rsidRDefault="00D42C04" w:rsidP="00D42C04">
      <w:pPr>
        <w:pStyle w:val="ListParagraph"/>
        <w:rPr>
          <w:lang w:val="en-GB"/>
        </w:rPr>
      </w:pPr>
    </w:p>
    <w:p w14:paraId="21EAD991" w14:textId="2593D037" w:rsidR="00390803" w:rsidRPr="0050619A" w:rsidRDefault="0050619A" w:rsidP="0050619A">
      <w:pPr>
        <w:autoSpaceDE w:val="0"/>
        <w:autoSpaceDN w:val="0"/>
        <w:adjustRightInd w:val="0"/>
        <w:jc w:val="both"/>
        <w:rPr>
          <w:lang w:val="en-GB"/>
        </w:rPr>
      </w:pPr>
      <w:r>
        <w:rPr>
          <w:lang w:val="en-GB"/>
        </w:rPr>
        <w:t>[21]</w:t>
      </w:r>
      <w:r>
        <w:rPr>
          <w:lang w:val="en-GB"/>
        </w:rPr>
        <w:tab/>
      </w:r>
      <w:r w:rsidR="00B9420C" w:rsidRPr="0050619A">
        <w:rPr>
          <w:lang w:val="en-GB"/>
        </w:rPr>
        <w:t xml:space="preserve">It must be noted that </w:t>
      </w:r>
      <w:r w:rsidR="004930DF" w:rsidRPr="0050619A">
        <w:rPr>
          <w:i/>
          <w:iCs/>
          <w:lang w:val="en-GB"/>
        </w:rPr>
        <w:t xml:space="preserve">Ntoni </w:t>
      </w:r>
      <w:r w:rsidR="004930DF" w:rsidRPr="0050619A">
        <w:rPr>
          <w:lang w:val="en-GB"/>
        </w:rPr>
        <w:t xml:space="preserve">dealt with a matter where no evidence had been led </w:t>
      </w:r>
      <w:r w:rsidR="0004125A" w:rsidRPr="0050619A">
        <w:rPr>
          <w:lang w:val="en-GB"/>
        </w:rPr>
        <w:t xml:space="preserve">and that the full court deliberately added the words ‘In the circumstances of this case …’ to qualify the decision to remit the matter to the court </w:t>
      </w:r>
      <w:r w:rsidR="0004125A" w:rsidRPr="0050619A">
        <w:rPr>
          <w:i/>
          <w:iCs/>
          <w:lang w:val="en-GB"/>
        </w:rPr>
        <w:t>a quo</w:t>
      </w:r>
      <w:r w:rsidR="0004125A" w:rsidRPr="0050619A">
        <w:rPr>
          <w:lang w:val="en-GB"/>
        </w:rPr>
        <w:t>.</w:t>
      </w:r>
      <w:r w:rsidR="00A979B0" w:rsidRPr="0050619A">
        <w:rPr>
          <w:lang w:val="en-GB"/>
        </w:rPr>
        <w:t xml:space="preserve"> </w:t>
      </w:r>
      <w:r w:rsidR="0004125A" w:rsidRPr="0050619A">
        <w:rPr>
          <w:i/>
          <w:iCs/>
          <w:lang w:val="en-GB"/>
        </w:rPr>
        <w:t xml:space="preserve"> </w:t>
      </w:r>
      <w:r w:rsidR="007C4775" w:rsidRPr="0050619A">
        <w:rPr>
          <w:lang w:val="en-GB"/>
        </w:rPr>
        <w:t xml:space="preserve">The particular circumstances which may have </w:t>
      </w:r>
      <w:r w:rsidR="00797B6A" w:rsidRPr="0050619A">
        <w:rPr>
          <w:lang w:val="en-GB"/>
        </w:rPr>
        <w:t xml:space="preserve">warranted </w:t>
      </w:r>
      <w:r w:rsidR="005A4023" w:rsidRPr="0050619A">
        <w:rPr>
          <w:lang w:val="en-GB"/>
        </w:rPr>
        <w:t>that decision were</w:t>
      </w:r>
      <w:r w:rsidR="007B7BC9" w:rsidRPr="0050619A">
        <w:rPr>
          <w:lang w:val="en-GB"/>
        </w:rPr>
        <w:t>, however,</w:t>
      </w:r>
      <w:r w:rsidR="005A4023" w:rsidRPr="0050619A">
        <w:rPr>
          <w:lang w:val="en-GB"/>
        </w:rPr>
        <w:t xml:space="preserve"> not described. </w:t>
      </w:r>
      <w:r w:rsidR="00B22854" w:rsidRPr="0050619A">
        <w:rPr>
          <w:lang w:val="en-GB"/>
        </w:rPr>
        <w:lastRenderedPageBreak/>
        <w:t>Despite these considerations, t</w:t>
      </w:r>
      <w:r w:rsidR="004930DF" w:rsidRPr="0050619A">
        <w:rPr>
          <w:lang w:val="en-GB"/>
        </w:rPr>
        <w:t xml:space="preserve">he parallels </w:t>
      </w:r>
      <w:r w:rsidR="00F30D6C" w:rsidRPr="0050619A">
        <w:rPr>
          <w:lang w:val="en-GB"/>
        </w:rPr>
        <w:t xml:space="preserve">between </w:t>
      </w:r>
      <w:r w:rsidR="00F30D6C" w:rsidRPr="0050619A">
        <w:rPr>
          <w:i/>
          <w:iCs/>
          <w:lang w:val="en-GB"/>
        </w:rPr>
        <w:t xml:space="preserve">Ntoni </w:t>
      </w:r>
      <w:r w:rsidR="00F30D6C" w:rsidRPr="0050619A">
        <w:rPr>
          <w:lang w:val="en-GB"/>
        </w:rPr>
        <w:t>and</w:t>
      </w:r>
      <w:r w:rsidR="004930DF" w:rsidRPr="0050619A">
        <w:rPr>
          <w:lang w:val="en-GB"/>
        </w:rPr>
        <w:t xml:space="preserve"> this case are undeniable</w:t>
      </w:r>
      <w:r w:rsidR="00F30D6C" w:rsidRPr="0050619A">
        <w:rPr>
          <w:lang w:val="en-GB"/>
        </w:rPr>
        <w:t xml:space="preserve">. </w:t>
      </w:r>
      <w:r w:rsidR="00772C5A" w:rsidRPr="0050619A">
        <w:rPr>
          <w:lang w:val="en-GB"/>
        </w:rPr>
        <w:t xml:space="preserve">In both matters there was a final conclusion on the prescription point despite a lack of evidence. </w:t>
      </w:r>
      <w:r w:rsidR="0046006D" w:rsidRPr="0050619A">
        <w:rPr>
          <w:lang w:val="en-GB"/>
        </w:rPr>
        <w:t xml:space="preserve">The court in </w:t>
      </w:r>
      <w:r w:rsidR="0046006D" w:rsidRPr="0050619A">
        <w:rPr>
          <w:i/>
          <w:iCs/>
          <w:lang w:val="en-GB"/>
        </w:rPr>
        <w:t xml:space="preserve">Ntoni </w:t>
      </w:r>
      <w:r w:rsidR="0046006D" w:rsidRPr="0050619A">
        <w:rPr>
          <w:lang w:val="en-GB"/>
        </w:rPr>
        <w:t xml:space="preserve">held that it was inappropriate to </w:t>
      </w:r>
      <w:r w:rsidR="00FA21C6" w:rsidRPr="0050619A">
        <w:rPr>
          <w:lang w:val="en-GB"/>
        </w:rPr>
        <w:t>arrive at such a decision</w:t>
      </w:r>
      <w:r w:rsidR="0046006D" w:rsidRPr="0050619A">
        <w:rPr>
          <w:lang w:val="en-GB"/>
        </w:rPr>
        <w:t xml:space="preserve">. </w:t>
      </w:r>
      <w:r w:rsidR="00007009" w:rsidRPr="0050619A">
        <w:rPr>
          <w:lang w:val="en-GB"/>
        </w:rPr>
        <w:t xml:space="preserve">As a result, the matter was remitted for the hearing of evidence or </w:t>
      </w:r>
      <w:r w:rsidR="008E2696" w:rsidRPr="0050619A">
        <w:rPr>
          <w:lang w:val="en-GB"/>
        </w:rPr>
        <w:t xml:space="preserve">the receipt of </w:t>
      </w:r>
      <w:r w:rsidR="00007009" w:rsidRPr="0050619A">
        <w:rPr>
          <w:lang w:val="en-GB"/>
        </w:rPr>
        <w:t xml:space="preserve">a stated case. </w:t>
      </w:r>
      <w:r w:rsidR="0046006D" w:rsidRPr="0050619A">
        <w:rPr>
          <w:lang w:val="en-GB"/>
        </w:rPr>
        <w:t xml:space="preserve">That </w:t>
      </w:r>
      <w:r w:rsidR="00D81BF3" w:rsidRPr="0050619A">
        <w:rPr>
          <w:lang w:val="en-GB"/>
        </w:rPr>
        <w:t>judgment</w:t>
      </w:r>
      <w:r w:rsidR="008E2696" w:rsidRPr="0050619A">
        <w:rPr>
          <w:lang w:val="en-GB"/>
        </w:rPr>
        <w:t xml:space="preserve"> and approach</w:t>
      </w:r>
      <w:r w:rsidR="0046006D" w:rsidRPr="0050619A">
        <w:rPr>
          <w:lang w:val="en-GB"/>
        </w:rPr>
        <w:t xml:space="preserve">, being a decision of the full court of the same division, is binding unless this </w:t>
      </w:r>
      <w:r w:rsidR="00380D8B" w:rsidRPr="0050619A">
        <w:rPr>
          <w:lang w:val="en-GB"/>
        </w:rPr>
        <w:t>court</w:t>
      </w:r>
      <w:r w:rsidR="0046006D" w:rsidRPr="0050619A">
        <w:rPr>
          <w:lang w:val="en-GB"/>
        </w:rPr>
        <w:t xml:space="preserve"> is persuaded that it is clearly wrong.</w:t>
      </w:r>
      <w:r w:rsidR="0046006D">
        <w:rPr>
          <w:rStyle w:val="FootnoteReference"/>
          <w:lang w:val="en-GB"/>
        </w:rPr>
        <w:footnoteReference w:id="30"/>
      </w:r>
      <w:r w:rsidR="0046006D" w:rsidRPr="0050619A">
        <w:rPr>
          <w:lang w:val="en-GB"/>
        </w:rPr>
        <w:t xml:space="preserve"> </w:t>
      </w:r>
    </w:p>
    <w:p w14:paraId="6DFF060A" w14:textId="77777777" w:rsidR="00215221" w:rsidRPr="00215221" w:rsidRDefault="00215221" w:rsidP="00215221">
      <w:pPr>
        <w:pStyle w:val="ListParagraph"/>
        <w:autoSpaceDE w:val="0"/>
        <w:autoSpaceDN w:val="0"/>
        <w:adjustRightInd w:val="0"/>
        <w:ind w:left="0"/>
        <w:jc w:val="both"/>
        <w:rPr>
          <w:lang w:val="en-GB"/>
        </w:rPr>
      </w:pPr>
    </w:p>
    <w:p w14:paraId="04C6AFD1" w14:textId="3DCED7DC" w:rsidR="00D42C04" w:rsidRPr="0050619A" w:rsidRDefault="0050619A" w:rsidP="0050619A">
      <w:pPr>
        <w:autoSpaceDE w:val="0"/>
        <w:autoSpaceDN w:val="0"/>
        <w:adjustRightInd w:val="0"/>
        <w:jc w:val="both"/>
        <w:rPr>
          <w:lang w:val="en-GB"/>
        </w:rPr>
      </w:pPr>
      <w:r>
        <w:rPr>
          <w:lang w:val="en-GB"/>
        </w:rPr>
        <w:t>[22]</w:t>
      </w:r>
      <w:r>
        <w:rPr>
          <w:lang w:val="en-GB"/>
        </w:rPr>
        <w:tab/>
      </w:r>
      <w:r w:rsidR="00DE1F80" w:rsidRPr="0050619A">
        <w:rPr>
          <w:lang w:val="en-GB"/>
        </w:rPr>
        <w:t xml:space="preserve">The judgment in </w:t>
      </w:r>
      <w:r w:rsidR="00DE1F80" w:rsidRPr="0050619A">
        <w:rPr>
          <w:i/>
          <w:iCs/>
          <w:lang w:val="en-GB"/>
        </w:rPr>
        <w:t>Ntoni</w:t>
      </w:r>
      <w:r w:rsidR="00D42C04" w:rsidRPr="0050619A">
        <w:rPr>
          <w:lang w:val="en-GB"/>
        </w:rPr>
        <w:t xml:space="preserve"> relied upon </w:t>
      </w:r>
      <w:r w:rsidR="00D42C04" w:rsidRPr="0050619A">
        <w:rPr>
          <w:i/>
          <w:iCs/>
          <w:lang w:val="en-GB"/>
        </w:rPr>
        <w:t>MEC for Health: Eastern Cape v Mbodla</w:t>
      </w:r>
      <w:r w:rsidR="00D42C04" w:rsidRPr="008B3AAA">
        <w:rPr>
          <w:rStyle w:val="FootnoteReference"/>
          <w:lang w:val="en-GB"/>
        </w:rPr>
        <w:footnoteReference w:id="31"/>
      </w:r>
      <w:r w:rsidR="00D42C04" w:rsidRPr="0050619A">
        <w:rPr>
          <w:lang w:val="en-GB"/>
        </w:rPr>
        <w:t xml:space="preserve"> in coming to </w:t>
      </w:r>
      <w:r w:rsidR="0096573F" w:rsidRPr="0050619A">
        <w:rPr>
          <w:lang w:val="en-GB"/>
        </w:rPr>
        <w:t>its</w:t>
      </w:r>
      <w:r w:rsidR="00D42C04" w:rsidRPr="0050619A">
        <w:rPr>
          <w:lang w:val="en-GB"/>
        </w:rPr>
        <w:t xml:space="preserve"> decision. That matter concerned application proceedings where the respondent raised prescription by way of notice in terms of Uniform Rule 6(5)</w:t>
      </w:r>
      <w:r w:rsidR="00D42C04" w:rsidRPr="0050619A">
        <w:rPr>
          <w:i/>
          <w:iCs/>
          <w:lang w:val="en-GB"/>
        </w:rPr>
        <w:t>(d)</w:t>
      </w:r>
      <w:r w:rsidR="00D42C04" w:rsidRPr="0050619A">
        <w:rPr>
          <w:lang w:val="en-GB"/>
        </w:rPr>
        <w:t>(iii). The Court had not been satisfied that the issue was capable for determination without oral evidence and an order in terms of Uniform Rule 6(5)</w:t>
      </w:r>
      <w:r w:rsidR="00D42C04" w:rsidRPr="0050619A">
        <w:rPr>
          <w:i/>
          <w:iCs/>
          <w:lang w:val="en-GB"/>
        </w:rPr>
        <w:t>(g)</w:t>
      </w:r>
      <w:r w:rsidR="00D42C04" w:rsidRPr="0050619A">
        <w:rPr>
          <w:lang w:val="en-GB"/>
        </w:rPr>
        <w:t xml:space="preserve"> followed. That Rule contemplates applications that cannot be properly decided on affidavit. It permits a referral of matters, launched by way of application, to oral evidence as an option, without curtailing the Court’s extensive powers to make a just and equitable decision by making any appropriate order.</w:t>
      </w:r>
      <w:r w:rsidR="00D42C04">
        <w:rPr>
          <w:rStyle w:val="FootnoteReference"/>
          <w:lang w:val="en-GB"/>
        </w:rPr>
        <w:footnoteReference w:id="32"/>
      </w:r>
      <w:r w:rsidR="00376F2F" w:rsidRPr="0050619A">
        <w:rPr>
          <w:lang w:val="en-GB"/>
        </w:rPr>
        <w:t xml:space="preserve"> </w:t>
      </w:r>
    </w:p>
    <w:p w14:paraId="2C852E9F" w14:textId="77777777" w:rsidR="004930DF" w:rsidRDefault="004930DF" w:rsidP="004930DF">
      <w:pPr>
        <w:pStyle w:val="ListParagraph"/>
        <w:autoSpaceDE w:val="0"/>
        <w:autoSpaceDN w:val="0"/>
        <w:adjustRightInd w:val="0"/>
        <w:ind w:left="0"/>
        <w:jc w:val="both"/>
        <w:rPr>
          <w:lang w:val="en-GB"/>
        </w:rPr>
      </w:pPr>
    </w:p>
    <w:p w14:paraId="7011B591" w14:textId="7334A279" w:rsidR="00B04E6A" w:rsidRPr="0050619A" w:rsidRDefault="0050619A" w:rsidP="0050619A">
      <w:pPr>
        <w:autoSpaceDE w:val="0"/>
        <w:autoSpaceDN w:val="0"/>
        <w:adjustRightInd w:val="0"/>
        <w:jc w:val="both"/>
        <w:rPr>
          <w:lang w:val="en-GB"/>
        </w:rPr>
      </w:pPr>
      <w:r>
        <w:rPr>
          <w:lang w:val="en-GB"/>
        </w:rPr>
        <w:t>[23]</w:t>
      </w:r>
      <w:r>
        <w:rPr>
          <w:lang w:val="en-GB"/>
        </w:rPr>
        <w:tab/>
      </w:r>
      <w:r w:rsidR="004930DF" w:rsidRPr="0050619A">
        <w:rPr>
          <w:lang w:val="en-GB"/>
        </w:rPr>
        <w:t xml:space="preserve">Referring the matter to a single judge for the hearing of oral evidence would allow the MEC to have a second opportunity to discharge </w:t>
      </w:r>
      <w:r w:rsidR="00E709E1" w:rsidRPr="0050619A">
        <w:rPr>
          <w:lang w:val="en-GB"/>
        </w:rPr>
        <w:t xml:space="preserve">its burden. </w:t>
      </w:r>
      <w:r w:rsidR="00865329" w:rsidRPr="0050619A">
        <w:rPr>
          <w:lang w:val="en-GB"/>
        </w:rPr>
        <w:t>We are</w:t>
      </w:r>
      <w:r w:rsidR="00AC1425" w:rsidRPr="0050619A">
        <w:rPr>
          <w:lang w:val="en-GB"/>
        </w:rPr>
        <w:t>, with respect,</w:t>
      </w:r>
      <w:r w:rsidR="00E709E1" w:rsidRPr="0050619A">
        <w:rPr>
          <w:lang w:val="en-GB"/>
        </w:rPr>
        <w:t xml:space="preserve"> unconvinced that it would be justifiable to do so</w:t>
      </w:r>
      <w:r w:rsidR="007065B9" w:rsidRPr="0050619A">
        <w:rPr>
          <w:lang w:val="en-GB"/>
        </w:rPr>
        <w:t xml:space="preserve"> in the</w:t>
      </w:r>
      <w:r w:rsidR="00A61467" w:rsidRPr="0050619A">
        <w:rPr>
          <w:lang w:val="en-GB"/>
        </w:rPr>
        <w:t xml:space="preserve"> present</w:t>
      </w:r>
      <w:r w:rsidR="007065B9" w:rsidRPr="0050619A">
        <w:rPr>
          <w:lang w:val="en-GB"/>
        </w:rPr>
        <w:t xml:space="preserve"> circumstances</w:t>
      </w:r>
      <w:r w:rsidR="00E709E1" w:rsidRPr="0050619A">
        <w:rPr>
          <w:lang w:val="en-GB"/>
        </w:rPr>
        <w:t xml:space="preserve">. There is a risk that a party raising prescription by way of special plea may deliberately fail to lead evidence in the hope of a favourable outcome on the papers, and rely on the anticipated second opportunity in the event of an adverse judgment. </w:t>
      </w:r>
      <w:r w:rsidR="00426FE3" w:rsidRPr="0050619A">
        <w:rPr>
          <w:lang w:val="en-GB"/>
        </w:rPr>
        <w:t xml:space="preserve">This approach would place the claimant in the disadvantageous position, during the initial hearing, of leading evidence to rebut anticipated future evidence, rather than evidence that has already been led. </w:t>
      </w:r>
      <w:r w:rsidR="00106848" w:rsidRPr="0050619A">
        <w:rPr>
          <w:lang w:val="en-GB"/>
        </w:rPr>
        <w:t xml:space="preserve">It would also result in duplication of efforts </w:t>
      </w:r>
      <w:r w:rsidR="00965F04" w:rsidRPr="0050619A">
        <w:rPr>
          <w:lang w:val="en-GB"/>
        </w:rPr>
        <w:t>and</w:t>
      </w:r>
      <w:r w:rsidR="00106848" w:rsidRPr="0050619A">
        <w:rPr>
          <w:lang w:val="en-GB"/>
        </w:rPr>
        <w:t xml:space="preserve"> a waste of judicial resources. </w:t>
      </w:r>
      <w:r w:rsidR="00885514" w:rsidRPr="0050619A">
        <w:rPr>
          <w:lang w:val="en-GB"/>
        </w:rPr>
        <w:t xml:space="preserve">Counsel could point to no authority </w:t>
      </w:r>
      <w:r w:rsidR="005527E5" w:rsidRPr="0050619A">
        <w:rPr>
          <w:lang w:val="en-GB"/>
        </w:rPr>
        <w:t>in support of that approach</w:t>
      </w:r>
      <w:r w:rsidR="00911E32" w:rsidRPr="0050619A">
        <w:rPr>
          <w:lang w:val="en-GB"/>
        </w:rPr>
        <w:t xml:space="preserve"> and </w:t>
      </w:r>
      <w:r w:rsidR="00F55837" w:rsidRPr="0050619A">
        <w:rPr>
          <w:lang w:val="en-GB"/>
        </w:rPr>
        <w:t>it</w:t>
      </w:r>
      <w:r w:rsidR="008D0627" w:rsidRPr="0050619A">
        <w:rPr>
          <w:lang w:val="en-GB"/>
        </w:rPr>
        <w:t xml:space="preserve"> must </w:t>
      </w:r>
      <w:r w:rsidR="00F55837" w:rsidRPr="0050619A">
        <w:rPr>
          <w:lang w:val="en-GB"/>
        </w:rPr>
        <w:t xml:space="preserve">respectfully be </w:t>
      </w:r>
      <w:r w:rsidR="008D0627" w:rsidRPr="0050619A">
        <w:rPr>
          <w:lang w:val="en-GB"/>
        </w:rPr>
        <w:t>conclude</w:t>
      </w:r>
      <w:r w:rsidR="00F55837" w:rsidRPr="0050619A">
        <w:rPr>
          <w:lang w:val="en-GB"/>
        </w:rPr>
        <w:t>d</w:t>
      </w:r>
      <w:r w:rsidR="008D0627" w:rsidRPr="0050619A">
        <w:rPr>
          <w:lang w:val="en-GB"/>
        </w:rPr>
        <w:t xml:space="preserve"> that </w:t>
      </w:r>
      <w:r w:rsidR="00F55837" w:rsidRPr="0050619A">
        <w:rPr>
          <w:lang w:val="en-GB"/>
        </w:rPr>
        <w:t xml:space="preserve">the approach is </w:t>
      </w:r>
      <w:r w:rsidR="008D0627" w:rsidRPr="0050619A">
        <w:rPr>
          <w:lang w:val="en-GB"/>
        </w:rPr>
        <w:t>clearly wrong</w:t>
      </w:r>
      <w:r w:rsidR="00911E32" w:rsidRPr="0050619A">
        <w:rPr>
          <w:lang w:val="en-GB"/>
        </w:rPr>
        <w:t>.</w:t>
      </w:r>
      <w:r w:rsidR="00F55837" w:rsidRPr="0050619A">
        <w:rPr>
          <w:lang w:val="en-GB"/>
        </w:rPr>
        <w:t xml:space="preserve"> Zondo JP had occasion </w:t>
      </w:r>
      <w:r w:rsidR="00F55837" w:rsidRPr="0050619A">
        <w:rPr>
          <w:lang w:val="en-GB"/>
        </w:rPr>
        <w:lastRenderedPageBreak/>
        <w:t xml:space="preserve">to consider </w:t>
      </w:r>
      <w:r w:rsidR="00B31443" w:rsidRPr="0050619A">
        <w:rPr>
          <w:lang w:val="en-GB"/>
        </w:rPr>
        <w:t>a similar</w:t>
      </w:r>
      <w:r w:rsidR="00F55837" w:rsidRPr="0050619A">
        <w:rPr>
          <w:lang w:val="en-GB"/>
        </w:rPr>
        <w:t xml:space="preserve"> issue</w:t>
      </w:r>
      <w:r w:rsidR="009A4F6C" w:rsidRPr="0050619A">
        <w:rPr>
          <w:lang w:val="en-GB"/>
        </w:rPr>
        <w:t xml:space="preserve"> </w:t>
      </w:r>
      <w:r w:rsidR="00F55837" w:rsidRPr="0050619A">
        <w:rPr>
          <w:lang w:val="en-GB"/>
        </w:rPr>
        <w:t xml:space="preserve">in </w:t>
      </w:r>
      <w:r w:rsidR="00F55837" w:rsidRPr="0050619A">
        <w:rPr>
          <w:i/>
          <w:iCs/>
          <w:lang w:val="en-GB"/>
        </w:rPr>
        <w:t>Bouwer v City of Johannesburg and Another</w:t>
      </w:r>
      <w:r w:rsidR="00B04E6A" w:rsidRPr="0050619A">
        <w:rPr>
          <w:lang w:val="en-GB"/>
        </w:rPr>
        <w:t>,</w:t>
      </w:r>
      <w:r w:rsidR="00F55837">
        <w:rPr>
          <w:rStyle w:val="FootnoteReference"/>
          <w:lang w:val="en-GB"/>
        </w:rPr>
        <w:footnoteReference w:id="33"/>
      </w:r>
      <w:r w:rsidR="00B04E6A" w:rsidRPr="0050619A">
        <w:rPr>
          <w:lang w:val="en-GB"/>
        </w:rPr>
        <w:t xml:space="preserve"> and concluded as follows:</w:t>
      </w:r>
    </w:p>
    <w:p w14:paraId="44F0AA44" w14:textId="6193FE1F" w:rsidR="00B04E6A" w:rsidRPr="008059FF" w:rsidRDefault="00B04E6A" w:rsidP="00B04E6A">
      <w:pPr>
        <w:pStyle w:val="ListParagraph"/>
        <w:autoSpaceDE w:val="0"/>
        <w:autoSpaceDN w:val="0"/>
        <w:adjustRightInd w:val="0"/>
        <w:ind w:left="0"/>
        <w:jc w:val="both"/>
        <w:rPr>
          <w:sz w:val="22"/>
          <w:szCs w:val="22"/>
          <w:lang w:val="en-GB"/>
        </w:rPr>
      </w:pPr>
      <w:r w:rsidRPr="008059FF">
        <w:rPr>
          <w:sz w:val="22"/>
          <w:szCs w:val="22"/>
          <w:lang w:val="en-GB"/>
        </w:rPr>
        <w:t>‘[20] … sometimes a court issues an order of absolution from the instance in a case where both parties have adduced all the evidence that they chose to adduce, have presented their oral argument and none of them has indicated that there is any witness he wishes to call who was unavailable earlier on.</w:t>
      </w:r>
    </w:p>
    <w:p w14:paraId="04C6C767" w14:textId="77777777" w:rsidR="00B04E6A" w:rsidRPr="008059FF" w:rsidRDefault="00B04E6A" w:rsidP="00B04E6A">
      <w:pPr>
        <w:pStyle w:val="ListParagraph"/>
        <w:autoSpaceDE w:val="0"/>
        <w:autoSpaceDN w:val="0"/>
        <w:adjustRightInd w:val="0"/>
        <w:ind w:left="0"/>
        <w:jc w:val="both"/>
        <w:rPr>
          <w:sz w:val="22"/>
          <w:szCs w:val="22"/>
          <w:lang w:val="en-GB"/>
        </w:rPr>
      </w:pPr>
    </w:p>
    <w:p w14:paraId="741EEDC1" w14:textId="77777777" w:rsidR="00AD065D" w:rsidRPr="008059FF" w:rsidRDefault="00B04E6A" w:rsidP="00B04E6A">
      <w:pPr>
        <w:pStyle w:val="ListParagraph"/>
        <w:autoSpaceDE w:val="0"/>
        <w:autoSpaceDN w:val="0"/>
        <w:adjustRightInd w:val="0"/>
        <w:ind w:left="0"/>
        <w:jc w:val="both"/>
        <w:rPr>
          <w:sz w:val="22"/>
          <w:szCs w:val="22"/>
          <w:lang w:val="en-GB"/>
        </w:rPr>
      </w:pPr>
      <w:r w:rsidRPr="008059FF">
        <w:rPr>
          <w:sz w:val="22"/>
          <w:szCs w:val="22"/>
          <w:lang w:val="en-GB"/>
        </w:rPr>
        <w:t>[21] I have serious doubt that an order of absolution from th</w:t>
      </w:r>
      <w:r w:rsidR="00B539B4" w:rsidRPr="008059FF">
        <w:rPr>
          <w:sz w:val="22"/>
          <w:szCs w:val="22"/>
          <w:lang w:val="en-GB"/>
        </w:rPr>
        <w:t>e instance is competent in a case such as the one referred to immediately above. Of course, if any of the parties had a witness who was temporarily not available whom he wanted to call, he would have applied for a postponement of the trial to a later date when that witness would be available. Such a party would not close his case and hope for an absolution from the instance. If both parties to the dispute had a fair chance to adduce all the evidence that they wanted to adduce and the Court found such evidence not enough to justify giving a judgment in the plaintiff’s favour, there can be no justification, it seems to me, for the Court to grant an absolution from the instance. The proper order in such a case is that the plaintiff’s claim is dismissed.</w:t>
      </w:r>
    </w:p>
    <w:p w14:paraId="41A3F49C" w14:textId="77777777" w:rsidR="00AD065D" w:rsidRPr="008059FF" w:rsidRDefault="00AD065D" w:rsidP="00B04E6A">
      <w:pPr>
        <w:pStyle w:val="ListParagraph"/>
        <w:autoSpaceDE w:val="0"/>
        <w:autoSpaceDN w:val="0"/>
        <w:adjustRightInd w:val="0"/>
        <w:ind w:left="0"/>
        <w:jc w:val="both"/>
        <w:rPr>
          <w:sz w:val="22"/>
          <w:szCs w:val="22"/>
          <w:lang w:val="en-GB"/>
        </w:rPr>
      </w:pPr>
    </w:p>
    <w:p w14:paraId="6BD49889" w14:textId="55ECA838" w:rsidR="00954AF7" w:rsidRPr="008059FF" w:rsidRDefault="00AD065D" w:rsidP="00B04E6A">
      <w:pPr>
        <w:pStyle w:val="ListParagraph"/>
        <w:autoSpaceDE w:val="0"/>
        <w:autoSpaceDN w:val="0"/>
        <w:adjustRightInd w:val="0"/>
        <w:ind w:left="0"/>
        <w:jc w:val="both"/>
        <w:rPr>
          <w:sz w:val="22"/>
          <w:szCs w:val="22"/>
          <w:lang w:val="en-GB"/>
        </w:rPr>
      </w:pPr>
      <w:r w:rsidRPr="008059FF">
        <w:rPr>
          <w:sz w:val="22"/>
          <w:szCs w:val="22"/>
          <w:lang w:val="en-GB"/>
        </w:rPr>
        <w:t>[22] If it were right for a Court to grant an absolution in such a case, that would mean that a Court is entitled</w:t>
      </w:r>
      <w:r w:rsidR="00B04E6A" w:rsidRPr="008059FF">
        <w:rPr>
          <w:sz w:val="22"/>
          <w:szCs w:val="22"/>
          <w:lang w:val="en-GB"/>
        </w:rPr>
        <w:t xml:space="preserve"> </w:t>
      </w:r>
      <w:r w:rsidRPr="008059FF">
        <w:rPr>
          <w:sz w:val="22"/>
          <w:szCs w:val="22"/>
          <w:lang w:val="en-GB"/>
        </w:rPr>
        <w:t xml:space="preserve">to let a party institute a second action and seek the same order that he had sought in earlier proceedings on the same cause of action even though in the earlier proceedings the parties had had a fair opportunity to adduce all the evidence that they wanted to adduce, had in fact adduced such evidence and even presented oral argument in the matters. In my view when the parties </w:t>
      </w:r>
      <w:r w:rsidR="00CA3CBB" w:rsidRPr="008059FF">
        <w:rPr>
          <w:sz w:val="22"/>
          <w:szCs w:val="22"/>
          <w:lang w:val="en-GB"/>
        </w:rPr>
        <w:t xml:space="preserve">have done all of that the Court is </w:t>
      </w:r>
      <w:r w:rsidR="00CA3CBB" w:rsidRPr="008059FF">
        <w:rPr>
          <w:sz w:val="22"/>
          <w:szCs w:val="22"/>
          <w:u w:val="single"/>
          <w:lang w:val="en-GB"/>
        </w:rPr>
        <w:t>obliged</w:t>
      </w:r>
      <w:r w:rsidR="00CA3CBB" w:rsidRPr="008059FF">
        <w:rPr>
          <w:sz w:val="22"/>
          <w:szCs w:val="22"/>
          <w:lang w:val="en-GB"/>
        </w:rPr>
        <w:t xml:space="preserve"> to decide the dispute before it on the merits and may not grant an absolution from the instance…’</w:t>
      </w:r>
    </w:p>
    <w:p w14:paraId="5973BFBF" w14:textId="77777777" w:rsidR="007C024D" w:rsidRPr="007C024D" w:rsidRDefault="007C024D" w:rsidP="007C024D">
      <w:pPr>
        <w:rPr>
          <w:b/>
          <w:bCs/>
          <w:lang w:val="en-GB"/>
        </w:rPr>
      </w:pPr>
    </w:p>
    <w:p w14:paraId="78484BE5" w14:textId="521159CB" w:rsidR="00617555" w:rsidRPr="0050619A" w:rsidRDefault="0050619A" w:rsidP="0050619A">
      <w:pPr>
        <w:autoSpaceDE w:val="0"/>
        <w:autoSpaceDN w:val="0"/>
        <w:adjustRightInd w:val="0"/>
        <w:jc w:val="both"/>
        <w:rPr>
          <w:lang w:val="en-GB"/>
        </w:rPr>
      </w:pPr>
      <w:r>
        <w:rPr>
          <w:lang w:val="en-GB"/>
        </w:rPr>
        <w:t>[24]</w:t>
      </w:r>
      <w:r>
        <w:rPr>
          <w:lang w:val="en-GB"/>
        </w:rPr>
        <w:tab/>
      </w:r>
      <w:r w:rsidR="007D56DA" w:rsidRPr="0050619A">
        <w:rPr>
          <w:lang w:val="en-GB"/>
        </w:rPr>
        <w:t>A decision refusing</w:t>
      </w:r>
      <w:r w:rsidR="00B237EA" w:rsidRPr="0050619A">
        <w:rPr>
          <w:lang w:val="en-GB"/>
        </w:rPr>
        <w:t xml:space="preserve"> to remit</w:t>
      </w:r>
      <w:r w:rsidR="00617555" w:rsidRPr="0050619A">
        <w:rPr>
          <w:lang w:val="en-GB"/>
        </w:rPr>
        <w:t xml:space="preserve"> </w:t>
      </w:r>
      <w:r w:rsidR="007D56DA" w:rsidRPr="0050619A">
        <w:rPr>
          <w:lang w:val="en-GB"/>
        </w:rPr>
        <w:t>the matter</w:t>
      </w:r>
      <w:r w:rsidR="00E92478" w:rsidRPr="0050619A">
        <w:rPr>
          <w:lang w:val="en-GB"/>
        </w:rPr>
        <w:t>, despite the dearth of evidence,</w:t>
      </w:r>
      <w:r w:rsidR="008E0F1C" w:rsidRPr="0050619A">
        <w:rPr>
          <w:lang w:val="en-GB"/>
        </w:rPr>
        <w:t xml:space="preserve"> </w:t>
      </w:r>
      <w:r w:rsidR="00617555" w:rsidRPr="0050619A">
        <w:rPr>
          <w:lang w:val="en-GB"/>
        </w:rPr>
        <w:t>also finds academic support</w:t>
      </w:r>
      <w:r w:rsidR="00702237" w:rsidRPr="0050619A">
        <w:rPr>
          <w:lang w:val="en-GB"/>
        </w:rPr>
        <w:t>, albeit in the context of an application for remittal</w:t>
      </w:r>
      <w:r w:rsidR="00617555" w:rsidRPr="0050619A">
        <w:rPr>
          <w:lang w:val="en-GB"/>
        </w:rPr>
        <w:t>:</w:t>
      </w:r>
      <w:r w:rsidR="00617555">
        <w:rPr>
          <w:rStyle w:val="FootnoteReference"/>
          <w:lang w:val="en-GB"/>
        </w:rPr>
        <w:footnoteReference w:id="34"/>
      </w:r>
    </w:p>
    <w:p w14:paraId="186B61CA" w14:textId="2CEFE798" w:rsidR="00617555" w:rsidRPr="00617555" w:rsidRDefault="00617555" w:rsidP="00617555">
      <w:pPr>
        <w:pStyle w:val="ListParagraph"/>
        <w:autoSpaceDE w:val="0"/>
        <w:autoSpaceDN w:val="0"/>
        <w:adjustRightInd w:val="0"/>
        <w:ind w:left="0"/>
        <w:jc w:val="both"/>
        <w:rPr>
          <w:sz w:val="22"/>
          <w:szCs w:val="22"/>
          <w:lang w:val="en-GB"/>
        </w:rPr>
      </w:pPr>
      <w:r>
        <w:rPr>
          <w:sz w:val="22"/>
          <w:szCs w:val="22"/>
          <w:lang w:val="en-GB"/>
        </w:rPr>
        <w:t>‘</w:t>
      </w:r>
      <w:r w:rsidR="007065B9">
        <w:rPr>
          <w:sz w:val="22"/>
          <w:szCs w:val="22"/>
          <w:lang w:val="en-GB"/>
        </w:rPr>
        <w:t>Where, however, remittal is asked for by a party who has failed, despite having had the opportunity to do so, to produce any evidence, or any legally admissible evidence, or all the available evidence on a point that was plainly in issue, the application will usually be refused.’</w:t>
      </w:r>
    </w:p>
    <w:p w14:paraId="2FCD64D5" w14:textId="77777777" w:rsidR="00617555" w:rsidRDefault="00617555" w:rsidP="00617555">
      <w:pPr>
        <w:pStyle w:val="ListParagraph"/>
        <w:autoSpaceDE w:val="0"/>
        <w:autoSpaceDN w:val="0"/>
        <w:adjustRightInd w:val="0"/>
        <w:ind w:left="0"/>
        <w:jc w:val="both"/>
        <w:rPr>
          <w:lang w:val="en-GB"/>
        </w:rPr>
      </w:pPr>
    </w:p>
    <w:p w14:paraId="371146B9" w14:textId="73C211A6" w:rsidR="00DC62D0" w:rsidRPr="0050619A" w:rsidRDefault="0050619A" w:rsidP="0050619A">
      <w:pPr>
        <w:autoSpaceDE w:val="0"/>
        <w:autoSpaceDN w:val="0"/>
        <w:adjustRightInd w:val="0"/>
        <w:jc w:val="both"/>
        <w:rPr>
          <w:lang w:val="en-GB"/>
        </w:rPr>
      </w:pPr>
      <w:r>
        <w:rPr>
          <w:lang w:val="en-GB"/>
        </w:rPr>
        <w:lastRenderedPageBreak/>
        <w:t>[25]</w:t>
      </w:r>
      <w:r>
        <w:rPr>
          <w:lang w:val="en-GB"/>
        </w:rPr>
        <w:tab/>
      </w:r>
      <w:r w:rsidR="00DC62D0" w:rsidRPr="0050619A">
        <w:rPr>
          <w:lang w:val="en-GB"/>
        </w:rPr>
        <w:t xml:space="preserve">In </w:t>
      </w:r>
      <w:r w:rsidR="00DC62D0" w:rsidRPr="0050619A">
        <w:rPr>
          <w:i/>
          <w:iCs/>
          <w:lang w:val="en-GB"/>
        </w:rPr>
        <w:t>Deintje v Gratus and Gratus</w:t>
      </w:r>
      <w:r w:rsidR="00DC62D0" w:rsidRPr="0050619A">
        <w:rPr>
          <w:lang w:val="en-GB"/>
        </w:rPr>
        <w:t>,</w:t>
      </w:r>
      <w:r w:rsidR="00DC62D0" w:rsidRPr="00DC62D0">
        <w:rPr>
          <w:rStyle w:val="FootnoteReference"/>
          <w:lang w:val="en-GB"/>
        </w:rPr>
        <w:footnoteReference w:id="35"/>
      </w:r>
      <w:r w:rsidR="00DC62D0" w:rsidRPr="0050619A">
        <w:rPr>
          <w:lang w:val="en-GB"/>
        </w:rPr>
        <w:t xml:space="preserve"> the position was explained with reference to old English law, and the adoption of the following approach:</w:t>
      </w:r>
      <w:r w:rsidR="00DC62D0">
        <w:rPr>
          <w:rStyle w:val="FootnoteReference"/>
          <w:lang w:val="en-GB"/>
        </w:rPr>
        <w:footnoteReference w:id="36"/>
      </w:r>
    </w:p>
    <w:p w14:paraId="3D3966EE" w14:textId="341EBF31" w:rsidR="00DC62D0" w:rsidRPr="00DC62D0" w:rsidRDefault="000A5A42" w:rsidP="00DC62D0">
      <w:pPr>
        <w:pStyle w:val="ListParagraph"/>
        <w:autoSpaceDE w:val="0"/>
        <w:autoSpaceDN w:val="0"/>
        <w:adjustRightInd w:val="0"/>
        <w:ind w:left="0"/>
        <w:jc w:val="both"/>
        <w:rPr>
          <w:sz w:val="22"/>
          <w:szCs w:val="22"/>
          <w:lang w:val="en-GB"/>
        </w:rPr>
      </w:pPr>
      <w:r>
        <w:rPr>
          <w:sz w:val="22"/>
          <w:szCs w:val="22"/>
          <w:lang w:val="en-GB"/>
        </w:rPr>
        <w:t>‘It is an invariable rule in all the Courts, and one founded on the clearest principles of reason and justice that if evidence which either was in the possession of parties at the time of a trial, or by proper diligence might have been obtained, is either not produced or has not been procured, and the case is decided adversely to the side to which the evidence was available, no opportunity for producing that evidence ought to be given by the granting of a new trial.’</w:t>
      </w:r>
    </w:p>
    <w:p w14:paraId="304BA6FE" w14:textId="77777777" w:rsidR="007065B9" w:rsidRDefault="007065B9" w:rsidP="007065B9">
      <w:pPr>
        <w:pStyle w:val="ListParagraph"/>
        <w:autoSpaceDE w:val="0"/>
        <w:autoSpaceDN w:val="0"/>
        <w:adjustRightInd w:val="0"/>
        <w:ind w:left="0"/>
        <w:jc w:val="both"/>
        <w:rPr>
          <w:lang w:val="en-GB"/>
        </w:rPr>
      </w:pPr>
    </w:p>
    <w:p w14:paraId="210DBCC8" w14:textId="4D6A7437" w:rsidR="00954AF7" w:rsidRPr="0050619A" w:rsidRDefault="0050619A" w:rsidP="0050619A">
      <w:pPr>
        <w:autoSpaceDE w:val="0"/>
        <w:autoSpaceDN w:val="0"/>
        <w:adjustRightInd w:val="0"/>
        <w:jc w:val="both"/>
        <w:rPr>
          <w:lang w:val="en-GB"/>
        </w:rPr>
      </w:pPr>
      <w:r>
        <w:rPr>
          <w:lang w:val="en-GB"/>
        </w:rPr>
        <w:t>[26]</w:t>
      </w:r>
      <w:r>
        <w:rPr>
          <w:lang w:val="en-GB"/>
        </w:rPr>
        <w:tab/>
      </w:r>
      <w:r w:rsidR="006020F7" w:rsidRPr="0050619A">
        <w:rPr>
          <w:lang w:val="en-GB"/>
        </w:rPr>
        <w:t xml:space="preserve">It follows that we are of the view that </w:t>
      </w:r>
      <w:r w:rsidR="003B25DB" w:rsidRPr="0050619A">
        <w:rPr>
          <w:lang w:val="en-GB"/>
        </w:rPr>
        <w:t>there is no basis to afford the MEC a further opportunity to adduce evidence to substantiate its prescription point</w:t>
      </w:r>
      <w:r w:rsidR="00D348AC" w:rsidRPr="0050619A">
        <w:rPr>
          <w:lang w:val="en-GB"/>
        </w:rPr>
        <w:t xml:space="preserve"> in the present circumstances</w:t>
      </w:r>
      <w:r w:rsidR="00CF2CC1" w:rsidRPr="0050619A">
        <w:rPr>
          <w:lang w:val="en-GB"/>
        </w:rPr>
        <w:t xml:space="preserve">, and that the court </w:t>
      </w:r>
      <w:r w:rsidR="00CF2CC1" w:rsidRPr="0050619A">
        <w:rPr>
          <w:i/>
          <w:iCs/>
          <w:lang w:val="en-GB"/>
        </w:rPr>
        <w:t xml:space="preserve">a quo </w:t>
      </w:r>
      <w:r w:rsidR="00CF2CC1" w:rsidRPr="0050619A">
        <w:rPr>
          <w:lang w:val="en-GB"/>
        </w:rPr>
        <w:t>was correct in dismissing the special plea</w:t>
      </w:r>
      <w:r w:rsidR="003B25DB" w:rsidRPr="0050619A">
        <w:rPr>
          <w:lang w:val="en-GB"/>
        </w:rPr>
        <w:t>.</w:t>
      </w:r>
      <w:r w:rsidR="001812CA" w:rsidRPr="0050619A">
        <w:rPr>
          <w:lang w:val="en-GB"/>
        </w:rPr>
        <w:t xml:space="preserve"> </w:t>
      </w:r>
      <w:r w:rsidR="00B312EA" w:rsidRPr="0050619A">
        <w:rPr>
          <w:lang w:val="en-GB"/>
        </w:rPr>
        <w:t>It might be added that, g</w:t>
      </w:r>
      <w:r w:rsidR="001812CA" w:rsidRPr="0050619A">
        <w:rPr>
          <w:lang w:val="en-GB"/>
        </w:rPr>
        <w:t>iven the lengthy period of time that has elapse</w:t>
      </w:r>
      <w:r w:rsidR="00560CCF" w:rsidRPr="0050619A">
        <w:rPr>
          <w:lang w:val="en-GB"/>
        </w:rPr>
        <w:t>d</w:t>
      </w:r>
      <w:r w:rsidR="00F1202B" w:rsidRPr="0050619A">
        <w:rPr>
          <w:lang w:val="en-GB"/>
        </w:rPr>
        <w:t>,</w:t>
      </w:r>
      <w:r w:rsidR="001812CA" w:rsidRPr="0050619A">
        <w:rPr>
          <w:lang w:val="en-GB"/>
        </w:rPr>
        <w:t xml:space="preserve"> and in fairness to both parties, counsel for the MEC </w:t>
      </w:r>
      <w:r w:rsidR="00196343" w:rsidRPr="0050619A">
        <w:rPr>
          <w:lang w:val="en-GB"/>
        </w:rPr>
        <w:t xml:space="preserve">also </w:t>
      </w:r>
      <w:r w:rsidR="001812CA" w:rsidRPr="0050619A">
        <w:rPr>
          <w:lang w:val="en-GB"/>
        </w:rPr>
        <w:t xml:space="preserve">urged us not to remit the matter for purposes of adducing further evidence. </w:t>
      </w:r>
    </w:p>
    <w:p w14:paraId="42FC4CD1" w14:textId="641BD241" w:rsidR="00954AF7" w:rsidRDefault="00954AF7" w:rsidP="00954AF7">
      <w:pPr>
        <w:pStyle w:val="ListParagraph"/>
        <w:autoSpaceDE w:val="0"/>
        <w:autoSpaceDN w:val="0"/>
        <w:adjustRightInd w:val="0"/>
        <w:ind w:left="0"/>
        <w:jc w:val="both"/>
        <w:rPr>
          <w:lang w:val="en-GB"/>
        </w:rPr>
      </w:pPr>
    </w:p>
    <w:p w14:paraId="1A5DE9C6" w14:textId="39CB5384" w:rsidR="00954AF7" w:rsidRPr="00116E87" w:rsidRDefault="00954AF7" w:rsidP="00954AF7">
      <w:pPr>
        <w:pStyle w:val="ListParagraph"/>
        <w:autoSpaceDE w:val="0"/>
        <w:autoSpaceDN w:val="0"/>
        <w:adjustRightInd w:val="0"/>
        <w:ind w:left="0"/>
        <w:jc w:val="both"/>
        <w:rPr>
          <w:b/>
          <w:bCs/>
          <w:lang w:val="en-GB"/>
        </w:rPr>
      </w:pPr>
      <w:r>
        <w:rPr>
          <w:b/>
          <w:bCs/>
          <w:lang w:val="en-GB"/>
        </w:rPr>
        <w:t xml:space="preserve">Prescription and </w:t>
      </w:r>
      <w:r w:rsidR="00DF6FA8">
        <w:rPr>
          <w:b/>
          <w:bCs/>
          <w:lang w:val="en-GB"/>
        </w:rPr>
        <w:t xml:space="preserve">condonation in terms of </w:t>
      </w:r>
      <w:r>
        <w:rPr>
          <w:b/>
          <w:bCs/>
          <w:lang w:val="en-GB"/>
        </w:rPr>
        <w:t>the Act</w:t>
      </w:r>
      <w:r w:rsidR="00116E87">
        <w:rPr>
          <w:b/>
          <w:bCs/>
          <w:lang w:val="en-GB"/>
        </w:rPr>
        <w:t>: res judicata?</w:t>
      </w:r>
    </w:p>
    <w:p w14:paraId="5555917A" w14:textId="77777777" w:rsidR="00954AF7" w:rsidRPr="00954AF7" w:rsidRDefault="00954AF7" w:rsidP="00954AF7">
      <w:pPr>
        <w:pStyle w:val="ListParagraph"/>
        <w:autoSpaceDE w:val="0"/>
        <w:autoSpaceDN w:val="0"/>
        <w:adjustRightInd w:val="0"/>
        <w:ind w:left="0"/>
        <w:jc w:val="both"/>
        <w:rPr>
          <w:b/>
          <w:bCs/>
          <w:lang w:val="en-GB"/>
        </w:rPr>
      </w:pPr>
    </w:p>
    <w:p w14:paraId="123D3E33" w14:textId="7D85CD7A" w:rsidR="00DC5DB8" w:rsidRPr="0050619A" w:rsidRDefault="0050619A" w:rsidP="0050619A">
      <w:pPr>
        <w:autoSpaceDE w:val="0"/>
        <w:autoSpaceDN w:val="0"/>
        <w:adjustRightInd w:val="0"/>
        <w:jc w:val="both"/>
        <w:rPr>
          <w:lang w:val="en-GB"/>
        </w:rPr>
      </w:pPr>
      <w:r>
        <w:rPr>
          <w:lang w:val="en-GB"/>
        </w:rPr>
        <w:t>[27]</w:t>
      </w:r>
      <w:r>
        <w:rPr>
          <w:lang w:val="en-GB"/>
        </w:rPr>
        <w:tab/>
      </w:r>
      <w:r w:rsidR="00F1202B" w:rsidRPr="0050619A">
        <w:rPr>
          <w:lang w:val="en-GB"/>
        </w:rPr>
        <w:t>Gi</w:t>
      </w:r>
      <w:r w:rsidR="00954AF7" w:rsidRPr="0050619A">
        <w:rPr>
          <w:lang w:val="en-GB"/>
        </w:rPr>
        <w:t>ven</w:t>
      </w:r>
      <w:r w:rsidR="00F1202B" w:rsidRPr="0050619A">
        <w:rPr>
          <w:lang w:val="en-GB"/>
        </w:rPr>
        <w:t xml:space="preserve"> the nature of</w:t>
      </w:r>
      <w:r w:rsidR="00954AF7" w:rsidRPr="0050619A">
        <w:rPr>
          <w:lang w:val="en-GB"/>
        </w:rPr>
        <w:t xml:space="preserve"> our engagement with counsel during the hearing of the appeal, </w:t>
      </w:r>
      <w:r w:rsidR="00F1202B" w:rsidRPr="0050619A">
        <w:rPr>
          <w:lang w:val="en-GB"/>
        </w:rPr>
        <w:t>it is necessary to make some remarks about the relationship between a special plea of prescription and the requirements for condonation in terms of the Act</w:t>
      </w:r>
      <w:r w:rsidR="00DF6FA8" w:rsidRPr="0050619A">
        <w:rPr>
          <w:lang w:val="en-GB"/>
        </w:rPr>
        <w:t>, and whether an order granting condonation renders the prescription point res judicata</w:t>
      </w:r>
      <w:r w:rsidR="00F1202B" w:rsidRPr="0050619A">
        <w:rPr>
          <w:lang w:val="en-GB"/>
        </w:rPr>
        <w:t xml:space="preserve">. </w:t>
      </w:r>
    </w:p>
    <w:p w14:paraId="3FFB0DF1" w14:textId="77777777" w:rsidR="00DC5DB8" w:rsidRDefault="00DC5DB8" w:rsidP="00DC5DB8">
      <w:pPr>
        <w:pStyle w:val="ListParagraph"/>
        <w:autoSpaceDE w:val="0"/>
        <w:autoSpaceDN w:val="0"/>
        <w:adjustRightInd w:val="0"/>
        <w:ind w:left="0"/>
        <w:jc w:val="both"/>
        <w:rPr>
          <w:lang w:val="en-GB"/>
        </w:rPr>
      </w:pPr>
    </w:p>
    <w:p w14:paraId="3750FAC5" w14:textId="716D0516" w:rsidR="0095137C" w:rsidRPr="0050619A" w:rsidRDefault="0050619A" w:rsidP="0050619A">
      <w:pPr>
        <w:autoSpaceDE w:val="0"/>
        <w:autoSpaceDN w:val="0"/>
        <w:adjustRightInd w:val="0"/>
        <w:jc w:val="both"/>
        <w:rPr>
          <w:lang w:val="en-GB"/>
        </w:rPr>
      </w:pPr>
      <w:r>
        <w:rPr>
          <w:lang w:val="en-GB"/>
        </w:rPr>
        <w:t>[28]</w:t>
      </w:r>
      <w:r>
        <w:rPr>
          <w:lang w:val="en-GB"/>
        </w:rPr>
        <w:tab/>
      </w:r>
      <w:r w:rsidR="00F6313A" w:rsidRPr="0050619A">
        <w:rPr>
          <w:lang w:val="en-GB"/>
        </w:rPr>
        <w:t>A cursory consideration of the requirements for granting condonation in terms of the Act suggests that there is a</w:t>
      </w:r>
      <w:r w:rsidR="003864AC" w:rsidRPr="0050619A">
        <w:rPr>
          <w:lang w:val="en-GB"/>
        </w:rPr>
        <w:t xml:space="preserve"> further reason for upholding the decision of the court </w:t>
      </w:r>
      <w:r w:rsidR="003864AC" w:rsidRPr="0050619A">
        <w:rPr>
          <w:i/>
          <w:iCs/>
          <w:lang w:val="en-GB"/>
        </w:rPr>
        <w:t>a quo</w:t>
      </w:r>
      <w:r w:rsidR="003864AC" w:rsidRPr="0050619A">
        <w:rPr>
          <w:lang w:val="en-GB"/>
        </w:rPr>
        <w:t xml:space="preserve"> in dismissing the special plea.</w:t>
      </w:r>
      <w:r w:rsidR="00B43D28" w:rsidRPr="0050619A">
        <w:rPr>
          <w:lang w:val="en-GB"/>
        </w:rPr>
        <w:t xml:space="preserve"> </w:t>
      </w:r>
      <w:r w:rsidR="00AC43EB" w:rsidRPr="0050619A">
        <w:rPr>
          <w:lang w:val="en-GB"/>
        </w:rPr>
        <w:t>As already indicated, t</w:t>
      </w:r>
      <w:r w:rsidR="00B43D28" w:rsidRPr="0050619A">
        <w:rPr>
          <w:lang w:val="en-GB"/>
        </w:rPr>
        <w:t xml:space="preserve">he </w:t>
      </w:r>
      <w:r w:rsidR="00AC43EB" w:rsidRPr="0050619A">
        <w:rPr>
          <w:lang w:val="en-GB"/>
        </w:rPr>
        <w:t xml:space="preserve">other special plea was argued and resulted in an order </w:t>
      </w:r>
      <w:r w:rsidR="00806478" w:rsidRPr="0050619A">
        <w:rPr>
          <w:lang w:val="en-GB"/>
        </w:rPr>
        <w:t xml:space="preserve">taken before Jolwana AJ </w:t>
      </w:r>
      <w:r w:rsidR="00AC43EB" w:rsidRPr="0050619A">
        <w:rPr>
          <w:lang w:val="en-GB"/>
        </w:rPr>
        <w:t xml:space="preserve">condoning non-compliance with the provisions of s 3 of the </w:t>
      </w:r>
      <w:r w:rsidR="008E3187" w:rsidRPr="0050619A">
        <w:rPr>
          <w:lang w:val="en-GB"/>
        </w:rPr>
        <w:t xml:space="preserve">Act and granting </w:t>
      </w:r>
      <w:r w:rsidR="00554B3E" w:rsidRPr="0050619A">
        <w:rPr>
          <w:lang w:val="en-GB"/>
        </w:rPr>
        <w:t xml:space="preserve">Mr </w:t>
      </w:r>
      <w:r w:rsidR="008E3187" w:rsidRPr="0050619A">
        <w:rPr>
          <w:lang w:val="en-GB"/>
        </w:rPr>
        <w:t>Gamede leave to proceed with his action.</w:t>
      </w:r>
      <w:r w:rsidR="002C15C6" w:rsidRPr="0050619A">
        <w:rPr>
          <w:lang w:val="en-GB"/>
        </w:rPr>
        <w:t xml:space="preserve"> A court may only grant such an order if it is satisfied that ‘the debt has not been extinguished by prescription’, amongst other considerations. </w:t>
      </w:r>
      <w:r w:rsidR="00C84F41" w:rsidRPr="0050619A">
        <w:rPr>
          <w:lang w:val="en-GB"/>
        </w:rPr>
        <w:t>The implication is that on 24 October 2017, when condonation was granted</w:t>
      </w:r>
      <w:r w:rsidR="007B708D" w:rsidRPr="0050619A">
        <w:rPr>
          <w:lang w:val="en-GB"/>
        </w:rPr>
        <w:t xml:space="preserve"> in terms of the Act</w:t>
      </w:r>
      <w:r w:rsidR="00C84F41" w:rsidRPr="0050619A">
        <w:rPr>
          <w:lang w:val="en-GB"/>
        </w:rPr>
        <w:t xml:space="preserve">, a court had </w:t>
      </w:r>
      <w:r w:rsidR="00AE5E67" w:rsidRPr="0050619A">
        <w:rPr>
          <w:lang w:val="en-GB"/>
        </w:rPr>
        <w:t xml:space="preserve">already </w:t>
      </w:r>
      <w:r w:rsidR="00C84F41" w:rsidRPr="0050619A">
        <w:rPr>
          <w:lang w:val="en-GB"/>
        </w:rPr>
        <w:t xml:space="preserve">concluded that </w:t>
      </w:r>
      <w:r w:rsidR="00554B3E" w:rsidRPr="0050619A">
        <w:rPr>
          <w:lang w:val="en-GB"/>
        </w:rPr>
        <w:t xml:space="preserve">Mr </w:t>
      </w:r>
      <w:r w:rsidR="00C84F41" w:rsidRPr="0050619A">
        <w:rPr>
          <w:lang w:val="en-GB"/>
        </w:rPr>
        <w:t xml:space="preserve">Gamede’s claim had not prescribed. </w:t>
      </w:r>
      <w:r w:rsidR="0011435B" w:rsidRPr="0050619A">
        <w:rPr>
          <w:lang w:val="en-GB"/>
        </w:rPr>
        <w:t xml:space="preserve">There has been no attempt to rescind or appeal that order. It is not a nullity and </w:t>
      </w:r>
      <w:r w:rsidR="00DC0BCA" w:rsidRPr="0050619A">
        <w:rPr>
          <w:lang w:val="en-GB"/>
        </w:rPr>
        <w:t>remains binding</w:t>
      </w:r>
      <w:r w:rsidR="00212761" w:rsidRPr="0050619A">
        <w:rPr>
          <w:lang w:val="en-GB"/>
        </w:rPr>
        <w:t xml:space="preserve"> until </w:t>
      </w:r>
      <w:r w:rsidR="00212761" w:rsidRPr="0050619A">
        <w:rPr>
          <w:lang w:val="en-GB"/>
        </w:rPr>
        <w:lastRenderedPageBreak/>
        <w:t>set aside</w:t>
      </w:r>
      <w:r w:rsidR="0011435B" w:rsidRPr="0050619A">
        <w:rPr>
          <w:lang w:val="en-GB"/>
        </w:rPr>
        <w:t>, even i</w:t>
      </w:r>
      <w:r w:rsidR="00DC0BCA" w:rsidRPr="0050619A">
        <w:rPr>
          <w:lang w:val="en-GB"/>
        </w:rPr>
        <w:t>n the event that it had been erroneously granted</w:t>
      </w:r>
      <w:r w:rsidR="00212761" w:rsidRPr="0050619A">
        <w:rPr>
          <w:lang w:val="en-GB"/>
        </w:rPr>
        <w:t xml:space="preserve">. </w:t>
      </w:r>
      <w:r w:rsidR="00676318" w:rsidRPr="0050619A">
        <w:rPr>
          <w:lang w:val="en-GB"/>
        </w:rPr>
        <w:t>That order exists in fact and continues to have legal effect until it is set aside.</w:t>
      </w:r>
      <w:r w:rsidR="00676318">
        <w:rPr>
          <w:rStyle w:val="FootnoteReference"/>
          <w:lang w:val="en-GB"/>
        </w:rPr>
        <w:footnoteReference w:id="37"/>
      </w:r>
      <w:r w:rsidR="00306E6F" w:rsidRPr="0050619A">
        <w:rPr>
          <w:lang w:val="en-GB"/>
        </w:rPr>
        <w:t xml:space="preserve"> Accepting that line of thinking results in the conclusion that the special plea is res judicata.</w:t>
      </w:r>
      <w:r w:rsidR="00870482" w:rsidRPr="0050619A">
        <w:rPr>
          <w:lang w:val="en-GB"/>
        </w:rPr>
        <w:t xml:space="preserve"> </w:t>
      </w:r>
    </w:p>
    <w:p w14:paraId="4A5699D6" w14:textId="77777777" w:rsidR="007A7D37" w:rsidRPr="007A7D37" w:rsidRDefault="007A7D37" w:rsidP="007A7D37">
      <w:pPr>
        <w:pStyle w:val="ListParagraph"/>
        <w:rPr>
          <w:lang w:val="en-GB"/>
        </w:rPr>
      </w:pPr>
    </w:p>
    <w:p w14:paraId="2DBD39ED" w14:textId="4FE118E7" w:rsidR="00125944" w:rsidRPr="0050619A" w:rsidRDefault="0050619A" w:rsidP="0050619A">
      <w:pPr>
        <w:autoSpaceDE w:val="0"/>
        <w:autoSpaceDN w:val="0"/>
        <w:adjustRightInd w:val="0"/>
        <w:jc w:val="both"/>
        <w:rPr>
          <w:lang w:val="en-GB"/>
        </w:rPr>
      </w:pPr>
      <w:r>
        <w:rPr>
          <w:lang w:val="en-GB"/>
        </w:rPr>
        <w:t>[29]</w:t>
      </w:r>
      <w:r>
        <w:rPr>
          <w:lang w:val="en-GB"/>
        </w:rPr>
        <w:tab/>
      </w:r>
      <w:r w:rsidR="008C2E45" w:rsidRPr="0050619A">
        <w:rPr>
          <w:lang w:val="en-GB"/>
        </w:rPr>
        <w:t>A similar approach was followed by the Western Cape Division</w:t>
      </w:r>
      <w:r w:rsidR="00306E6F" w:rsidRPr="0050619A">
        <w:rPr>
          <w:lang w:val="en-GB"/>
        </w:rPr>
        <w:t xml:space="preserve"> in </w:t>
      </w:r>
      <w:r w:rsidR="00306E6F" w:rsidRPr="0050619A">
        <w:rPr>
          <w:i/>
          <w:iCs/>
          <w:lang w:val="en-GB"/>
        </w:rPr>
        <w:t>Patterson v Minister of Safety and Security and Another</w:t>
      </w:r>
      <w:r w:rsidR="00B82E59" w:rsidRPr="0050619A">
        <w:rPr>
          <w:lang w:val="en-GB"/>
        </w:rPr>
        <w:t>:</w:t>
      </w:r>
      <w:r w:rsidR="00306E6F">
        <w:rPr>
          <w:rStyle w:val="FootnoteReference"/>
          <w:lang w:val="en-GB"/>
        </w:rPr>
        <w:footnoteReference w:id="38"/>
      </w:r>
    </w:p>
    <w:p w14:paraId="26C31FF2" w14:textId="77561502" w:rsidR="00C01025" w:rsidRDefault="00B82E59" w:rsidP="00B82E59">
      <w:pPr>
        <w:jc w:val="both"/>
        <w:rPr>
          <w:sz w:val="22"/>
          <w:szCs w:val="22"/>
          <w:lang w:val="en-GB"/>
        </w:rPr>
      </w:pPr>
      <w:r>
        <w:rPr>
          <w:sz w:val="22"/>
          <w:szCs w:val="22"/>
          <w:lang w:val="en-GB"/>
        </w:rPr>
        <w:t>‘</w:t>
      </w:r>
      <w:r w:rsidR="00C01025">
        <w:rPr>
          <w:sz w:val="22"/>
          <w:szCs w:val="22"/>
          <w:lang w:val="en-GB"/>
        </w:rPr>
        <w:t xml:space="preserve">[16] </w:t>
      </w:r>
      <w:r>
        <w:rPr>
          <w:sz w:val="22"/>
          <w:szCs w:val="22"/>
          <w:lang w:val="en-GB"/>
        </w:rPr>
        <w:t>Accordingly one of the jurisdictional prerequisites to success in an application of that nature is that the court must be satisfied that the debt has not been extinguished by prescription … Traverso DJP was clearly satisfied that the debt had not prescribed and that the other requirements referred to had been met or she would not have granted the order (of condonation) … I disagree with the submission made by the defendants’ counsel that Traverso DJP “did not hand down a judgment on prescription”; by clear implication that is precisely what she did …</w:t>
      </w:r>
      <w:r w:rsidR="00C01025">
        <w:rPr>
          <w:sz w:val="22"/>
          <w:szCs w:val="22"/>
          <w:lang w:val="en-GB"/>
        </w:rPr>
        <w:t xml:space="preserve"> </w:t>
      </w:r>
    </w:p>
    <w:p w14:paraId="3C70F3A0" w14:textId="77777777" w:rsidR="00C01025" w:rsidRDefault="00C01025" w:rsidP="00B82E59">
      <w:pPr>
        <w:jc w:val="both"/>
        <w:rPr>
          <w:sz w:val="22"/>
          <w:szCs w:val="22"/>
          <w:lang w:val="en-GB"/>
        </w:rPr>
      </w:pPr>
    </w:p>
    <w:p w14:paraId="37F11A88" w14:textId="1D2987A1" w:rsidR="00B82E59" w:rsidRDefault="00C01025" w:rsidP="00B82E59">
      <w:pPr>
        <w:jc w:val="both"/>
        <w:rPr>
          <w:sz w:val="22"/>
          <w:szCs w:val="22"/>
          <w:lang w:val="en-GB"/>
        </w:rPr>
      </w:pPr>
      <w:r>
        <w:rPr>
          <w:sz w:val="22"/>
          <w:szCs w:val="22"/>
          <w:lang w:val="en-GB"/>
        </w:rPr>
        <w:t>[17] The order made by Traverso DJP is clearly a judgment between the same parties and it also relates to the same point in issue. Prescription was pertinently raised by the defendants in their earlier special plea; that defence was raised and dealt with by the plaintiff in his application for condonation; and at the risk of repetition condonation could not have been granted unless Traverso DJP was satisfied that the plaintiff’s claims had not prescribed.</w:t>
      </w:r>
      <w:r w:rsidR="00B82E59">
        <w:rPr>
          <w:sz w:val="22"/>
          <w:szCs w:val="22"/>
          <w:lang w:val="en-GB"/>
        </w:rPr>
        <w:t>’</w:t>
      </w:r>
    </w:p>
    <w:p w14:paraId="6EBEBF19" w14:textId="77777777" w:rsidR="00B82E59" w:rsidRPr="00B82E59" w:rsidRDefault="00B82E59" w:rsidP="00B82E59">
      <w:pPr>
        <w:jc w:val="both"/>
        <w:rPr>
          <w:sz w:val="22"/>
          <w:szCs w:val="22"/>
          <w:lang w:val="en-GB"/>
        </w:rPr>
      </w:pPr>
    </w:p>
    <w:p w14:paraId="51410F63" w14:textId="1CFDA1C0" w:rsidR="00F3272B" w:rsidRPr="0050619A" w:rsidRDefault="0050619A" w:rsidP="0050619A">
      <w:pPr>
        <w:autoSpaceDE w:val="0"/>
        <w:autoSpaceDN w:val="0"/>
        <w:adjustRightInd w:val="0"/>
        <w:jc w:val="both"/>
        <w:rPr>
          <w:lang w:val="en-GB"/>
        </w:rPr>
      </w:pPr>
      <w:r>
        <w:rPr>
          <w:lang w:val="en-GB"/>
        </w:rPr>
        <w:t>[30]</w:t>
      </w:r>
      <w:r>
        <w:rPr>
          <w:lang w:val="en-GB"/>
        </w:rPr>
        <w:tab/>
      </w:r>
      <w:r w:rsidR="00B82E59" w:rsidRPr="0050619A">
        <w:rPr>
          <w:lang w:val="en-GB"/>
        </w:rPr>
        <w:t>That approach was trenchantly rejected on appeal to a full court.</w:t>
      </w:r>
      <w:r w:rsidR="006A7CD0">
        <w:rPr>
          <w:rStyle w:val="FootnoteReference"/>
          <w:lang w:val="en-GB"/>
        </w:rPr>
        <w:footnoteReference w:id="39"/>
      </w:r>
      <w:r w:rsidR="00833501" w:rsidRPr="0050619A">
        <w:rPr>
          <w:lang w:val="en-GB"/>
        </w:rPr>
        <w:t xml:space="preserve"> </w:t>
      </w:r>
      <w:r w:rsidR="00044C53" w:rsidRPr="0050619A">
        <w:rPr>
          <w:lang w:val="en-GB"/>
        </w:rPr>
        <w:t xml:space="preserve">The ratio of that </w:t>
      </w:r>
      <w:r w:rsidR="00D506F6" w:rsidRPr="0050619A">
        <w:rPr>
          <w:lang w:val="en-GB"/>
        </w:rPr>
        <w:t>decision</w:t>
      </w:r>
      <w:r w:rsidR="00044C53" w:rsidRPr="0050619A">
        <w:rPr>
          <w:lang w:val="en-GB"/>
        </w:rPr>
        <w:t xml:space="preserve"> cannot be faulted. </w:t>
      </w:r>
      <w:r w:rsidR="00833501" w:rsidRPr="0050619A">
        <w:rPr>
          <w:lang w:val="en-GB"/>
        </w:rPr>
        <w:t xml:space="preserve">In essence, </w:t>
      </w:r>
      <w:r w:rsidR="00A16DEA" w:rsidRPr="0050619A">
        <w:rPr>
          <w:lang w:val="en-GB"/>
        </w:rPr>
        <w:t>the</w:t>
      </w:r>
      <w:r w:rsidR="00833501" w:rsidRPr="0050619A">
        <w:rPr>
          <w:lang w:val="en-GB"/>
        </w:rPr>
        <w:t xml:space="preserve"> court held that there is a conceptual distinction between a court being ‘satisfied’ for the purposes of s 3(4)</w:t>
      </w:r>
      <w:r w:rsidR="00833501" w:rsidRPr="0050619A">
        <w:rPr>
          <w:i/>
          <w:iCs/>
          <w:lang w:val="en-GB"/>
        </w:rPr>
        <w:t>(b)</w:t>
      </w:r>
      <w:r w:rsidR="00833501" w:rsidRPr="0050619A">
        <w:rPr>
          <w:lang w:val="en-GB"/>
        </w:rPr>
        <w:t>(i) of the Act that a ‘debt has not been extinguished by prescription’ and a court determining conclusively for the purpose of dismissing a special defence that the defendant has not ‘proved’ that the debt has been extinguished by prescription.</w:t>
      </w:r>
      <w:r w:rsidR="00C86370" w:rsidRPr="0050619A">
        <w:rPr>
          <w:lang w:val="en-GB"/>
        </w:rPr>
        <w:t xml:space="preserve"> The test for res judicata includes that the same issue of fact or law which was an essential element of the judgment on which reliance has been placed </w:t>
      </w:r>
      <w:r w:rsidR="00234A45" w:rsidRPr="0050619A">
        <w:rPr>
          <w:lang w:val="en-GB"/>
        </w:rPr>
        <w:t>must have arisen and must be regarded as having been determined in the earlier judgment.</w:t>
      </w:r>
      <w:r w:rsidR="0041421A">
        <w:rPr>
          <w:rStyle w:val="FootnoteReference"/>
          <w:lang w:val="en-GB"/>
        </w:rPr>
        <w:footnoteReference w:id="40"/>
      </w:r>
      <w:r w:rsidR="00424253" w:rsidRPr="0050619A">
        <w:rPr>
          <w:lang w:val="en-GB"/>
        </w:rPr>
        <w:t xml:space="preserve"> </w:t>
      </w:r>
      <w:r w:rsidR="00E62C7A" w:rsidRPr="0050619A">
        <w:rPr>
          <w:lang w:val="en-GB"/>
        </w:rPr>
        <w:t xml:space="preserve">It was not necessary for a defence of prescription to be raised before a court seized with a condonation </w:t>
      </w:r>
      <w:r w:rsidR="00E62C7A" w:rsidRPr="0050619A">
        <w:rPr>
          <w:lang w:val="en-GB"/>
        </w:rPr>
        <w:lastRenderedPageBreak/>
        <w:t>application in terms of the Act</w:t>
      </w:r>
      <w:r w:rsidR="002530A8" w:rsidRPr="0050619A">
        <w:rPr>
          <w:lang w:val="en-GB"/>
        </w:rPr>
        <w:t>. There is therefore no onus on a defendant to establish its defences in the pending main proceedings when applying for condonation in terms of the Act</w:t>
      </w:r>
      <w:r w:rsidR="00F3272B" w:rsidRPr="0050619A">
        <w:rPr>
          <w:lang w:val="en-GB"/>
        </w:rPr>
        <w:t>:</w:t>
      </w:r>
      <w:r w:rsidR="007B3EF8">
        <w:rPr>
          <w:rStyle w:val="FootnoteReference"/>
          <w:lang w:val="en-GB"/>
        </w:rPr>
        <w:footnoteReference w:id="41"/>
      </w:r>
      <w:r w:rsidR="002530A8" w:rsidRPr="0050619A">
        <w:rPr>
          <w:lang w:val="en-GB"/>
        </w:rPr>
        <w:t xml:space="preserve"> </w:t>
      </w:r>
    </w:p>
    <w:p w14:paraId="0461D33A" w14:textId="28B45207" w:rsidR="00B82E59" w:rsidRPr="00F3272B" w:rsidRDefault="00F3272B" w:rsidP="00F3272B">
      <w:pPr>
        <w:pStyle w:val="ListParagraph"/>
        <w:autoSpaceDE w:val="0"/>
        <w:autoSpaceDN w:val="0"/>
        <w:adjustRightInd w:val="0"/>
        <w:ind w:left="0"/>
        <w:jc w:val="both"/>
        <w:rPr>
          <w:sz w:val="22"/>
          <w:szCs w:val="22"/>
          <w:lang w:val="en-GB"/>
        </w:rPr>
      </w:pPr>
      <w:r>
        <w:rPr>
          <w:sz w:val="22"/>
          <w:szCs w:val="22"/>
          <w:lang w:val="en-GB"/>
        </w:rPr>
        <w:t>‘</w:t>
      </w:r>
      <w:r w:rsidR="002530A8" w:rsidRPr="00F3272B">
        <w:rPr>
          <w:sz w:val="22"/>
          <w:szCs w:val="22"/>
          <w:lang w:val="en-GB"/>
        </w:rPr>
        <w:t xml:space="preserve">On the contrary, there is </w:t>
      </w:r>
      <w:r w:rsidR="00F67284" w:rsidRPr="00F3272B">
        <w:rPr>
          <w:sz w:val="22"/>
          <w:szCs w:val="22"/>
          <w:lang w:val="en-GB"/>
        </w:rPr>
        <w:t>‘</w:t>
      </w:r>
      <w:r w:rsidR="002530A8" w:rsidRPr="00F3272B">
        <w:rPr>
          <w:sz w:val="22"/>
          <w:szCs w:val="22"/>
          <w:lang w:val="en-GB"/>
        </w:rPr>
        <w:t>a burden of persuasion on the applicant for condonation to ‘</w:t>
      </w:r>
      <w:r w:rsidR="002530A8" w:rsidRPr="00F3272B">
        <w:rPr>
          <w:i/>
          <w:iCs/>
          <w:sz w:val="22"/>
          <w:szCs w:val="22"/>
          <w:lang w:val="en-GB"/>
        </w:rPr>
        <w:t>satisfy</w:t>
      </w:r>
      <w:r w:rsidR="002530A8" w:rsidRPr="00F3272B">
        <w:rPr>
          <w:sz w:val="22"/>
          <w:szCs w:val="22"/>
          <w:lang w:val="en-GB"/>
        </w:rPr>
        <w:t xml:space="preserve">’ the court that its claim has </w:t>
      </w:r>
      <w:r w:rsidR="002530A8" w:rsidRPr="00F3272B">
        <w:rPr>
          <w:i/>
          <w:iCs/>
          <w:sz w:val="22"/>
          <w:szCs w:val="22"/>
          <w:lang w:val="en-GB"/>
        </w:rPr>
        <w:t xml:space="preserve">not </w:t>
      </w:r>
      <w:r w:rsidR="002530A8" w:rsidRPr="00F3272B">
        <w:rPr>
          <w:sz w:val="22"/>
          <w:szCs w:val="22"/>
          <w:lang w:val="en-GB"/>
        </w:rPr>
        <w:t>prescribed.</w:t>
      </w:r>
      <w:r w:rsidR="0065358D">
        <w:rPr>
          <w:sz w:val="22"/>
          <w:szCs w:val="22"/>
          <w:lang w:val="en-GB"/>
        </w:rPr>
        <w:t xml:space="preserve"> If an intention to raise a defence of prescription in the pending principal proceedings is indicated by the respondent in the condonation application, the court, for the purposes of s 3(4)</w:t>
      </w:r>
      <w:r w:rsidR="0065358D">
        <w:rPr>
          <w:i/>
          <w:iCs/>
          <w:sz w:val="22"/>
          <w:szCs w:val="22"/>
          <w:lang w:val="en-GB"/>
        </w:rPr>
        <w:t>(b)</w:t>
      </w:r>
      <w:r w:rsidR="0065358D">
        <w:rPr>
          <w:sz w:val="22"/>
          <w:szCs w:val="22"/>
          <w:lang w:val="en-GB"/>
        </w:rPr>
        <w:t>(i), is required to do no more than form a view on the prospects of success of the indicated defence; it is not called upon to decide it; and would be venturing impermissibly outside its remit if it purported to do so. If the court were in the postulated circumstances to form the impression that the defence of prescription was unlikely to succeed, it would be ‘</w:t>
      </w:r>
      <w:r w:rsidR="0065358D">
        <w:rPr>
          <w:i/>
          <w:iCs/>
          <w:sz w:val="22"/>
          <w:szCs w:val="22"/>
          <w:lang w:val="en-GB"/>
        </w:rPr>
        <w:t>satisfied</w:t>
      </w:r>
      <w:r w:rsidR="0065358D">
        <w:rPr>
          <w:sz w:val="22"/>
          <w:szCs w:val="22"/>
          <w:lang w:val="en-GB"/>
        </w:rPr>
        <w:t>’ for the purposes of s 3(4)</w:t>
      </w:r>
      <w:r w:rsidR="0065358D">
        <w:rPr>
          <w:i/>
          <w:iCs/>
          <w:sz w:val="22"/>
          <w:szCs w:val="22"/>
          <w:lang w:val="en-GB"/>
        </w:rPr>
        <w:t>(b)</w:t>
      </w:r>
      <w:r w:rsidR="0065358D">
        <w:rPr>
          <w:sz w:val="22"/>
          <w:szCs w:val="22"/>
          <w:lang w:val="en-GB"/>
        </w:rPr>
        <w:t>(i)</w:t>
      </w:r>
      <w:r w:rsidR="004E44A6">
        <w:rPr>
          <w:sz w:val="22"/>
          <w:szCs w:val="22"/>
          <w:lang w:val="en-GB"/>
        </w:rPr>
        <w:t xml:space="preserve"> that the claim had not prescribed and would incline to grant condonation; </w:t>
      </w:r>
      <w:r w:rsidR="004E44A6">
        <w:rPr>
          <w:i/>
          <w:iCs/>
          <w:sz w:val="22"/>
          <w:szCs w:val="22"/>
          <w:lang w:val="en-GB"/>
        </w:rPr>
        <w:t>aliter</w:t>
      </w:r>
      <w:r w:rsidR="004E44A6">
        <w:rPr>
          <w:sz w:val="22"/>
          <w:szCs w:val="22"/>
          <w:lang w:val="en-GB"/>
        </w:rPr>
        <w:t>, if it took the opposite view.</w:t>
      </w:r>
      <w:r>
        <w:rPr>
          <w:sz w:val="22"/>
          <w:szCs w:val="22"/>
          <w:lang w:val="en-GB"/>
        </w:rPr>
        <w:t>’</w:t>
      </w:r>
    </w:p>
    <w:p w14:paraId="233ED815" w14:textId="77777777" w:rsidR="00EC7F69" w:rsidRDefault="00EC7F69" w:rsidP="00EC7F69">
      <w:pPr>
        <w:pStyle w:val="ListParagraph"/>
        <w:autoSpaceDE w:val="0"/>
        <w:autoSpaceDN w:val="0"/>
        <w:adjustRightInd w:val="0"/>
        <w:ind w:left="0"/>
        <w:jc w:val="both"/>
        <w:rPr>
          <w:lang w:val="en-GB"/>
        </w:rPr>
      </w:pPr>
    </w:p>
    <w:p w14:paraId="4D2D08B1" w14:textId="1DBE2580" w:rsidR="00EC7F69" w:rsidRPr="0050619A" w:rsidRDefault="0050619A" w:rsidP="0050619A">
      <w:pPr>
        <w:autoSpaceDE w:val="0"/>
        <w:autoSpaceDN w:val="0"/>
        <w:adjustRightInd w:val="0"/>
        <w:jc w:val="both"/>
        <w:rPr>
          <w:lang w:val="en-GB"/>
        </w:rPr>
      </w:pPr>
      <w:r>
        <w:rPr>
          <w:lang w:val="en-GB"/>
        </w:rPr>
        <w:t>[31]</w:t>
      </w:r>
      <w:r>
        <w:rPr>
          <w:lang w:val="en-GB"/>
        </w:rPr>
        <w:tab/>
      </w:r>
      <w:r w:rsidR="00D5251C" w:rsidRPr="0050619A">
        <w:rPr>
          <w:lang w:val="en-GB"/>
        </w:rPr>
        <w:t xml:space="preserve">The full court relied on the SCA decision in </w:t>
      </w:r>
      <w:r w:rsidR="00D5251C" w:rsidRPr="0050619A">
        <w:rPr>
          <w:i/>
          <w:iCs/>
          <w:lang w:val="en-GB"/>
        </w:rPr>
        <w:t>Madinda v Minister of Safety and Security</w:t>
      </w:r>
      <w:r w:rsidR="00D5251C" w:rsidRPr="00891365">
        <w:rPr>
          <w:rStyle w:val="FootnoteReference"/>
          <w:lang w:val="en-GB"/>
        </w:rPr>
        <w:footnoteReference w:id="42"/>
      </w:r>
      <w:r w:rsidR="00891365" w:rsidRPr="0050619A">
        <w:rPr>
          <w:lang w:val="en-GB"/>
        </w:rPr>
        <w:t xml:space="preserve"> to explain the distinction between the ‘burden of persuasion’ on an applicant seeking condonation in terms of the Act, and </w:t>
      </w:r>
      <w:r w:rsidR="006A4108" w:rsidRPr="0050619A">
        <w:rPr>
          <w:lang w:val="en-GB"/>
        </w:rPr>
        <w:t>an ‘onus’ that burdens a defendant raising prescription as a special defence to a claim:</w:t>
      </w:r>
      <w:r w:rsidR="00F0728C">
        <w:rPr>
          <w:rStyle w:val="FootnoteReference"/>
          <w:lang w:val="en-GB"/>
        </w:rPr>
        <w:footnoteReference w:id="43"/>
      </w:r>
    </w:p>
    <w:p w14:paraId="25442777" w14:textId="47B472BB" w:rsidR="006A4108" w:rsidRPr="006A4108" w:rsidRDefault="006A4108" w:rsidP="006A4108">
      <w:pPr>
        <w:pStyle w:val="ListParagraph"/>
        <w:autoSpaceDE w:val="0"/>
        <w:autoSpaceDN w:val="0"/>
        <w:adjustRightInd w:val="0"/>
        <w:ind w:left="0"/>
        <w:jc w:val="both"/>
        <w:rPr>
          <w:sz w:val="22"/>
          <w:szCs w:val="22"/>
          <w:lang w:val="en-GB"/>
        </w:rPr>
      </w:pPr>
      <w:r>
        <w:rPr>
          <w:sz w:val="22"/>
          <w:szCs w:val="22"/>
          <w:lang w:val="en-GB"/>
        </w:rPr>
        <w:t>‘The phrase “if [the court] is satisfied” in s 3(4)</w:t>
      </w:r>
      <w:r>
        <w:rPr>
          <w:i/>
          <w:iCs/>
          <w:sz w:val="22"/>
          <w:szCs w:val="22"/>
          <w:lang w:val="en-GB"/>
        </w:rPr>
        <w:t>(b)</w:t>
      </w:r>
      <w:r>
        <w:rPr>
          <w:sz w:val="22"/>
          <w:szCs w:val="22"/>
          <w:lang w:val="en-GB"/>
        </w:rPr>
        <w:t xml:space="preserve"> has long been recognised as setting a standard which is not proof on a balance of probability. Rather it is the overall impression made on a court which brings a fair mind to the facts set up by the parties … I see no reason to place a stricter construction on it in the present context.’</w:t>
      </w:r>
    </w:p>
    <w:p w14:paraId="4F640706" w14:textId="0CD6DC91" w:rsidR="00125944" w:rsidRDefault="00125944" w:rsidP="00044C53">
      <w:pPr>
        <w:rPr>
          <w:lang w:val="en-GB"/>
        </w:rPr>
      </w:pPr>
    </w:p>
    <w:p w14:paraId="29D8683D" w14:textId="5A352993" w:rsidR="00D075EE" w:rsidRDefault="00D075EE" w:rsidP="00044C53">
      <w:pPr>
        <w:rPr>
          <w:lang w:val="en-GB"/>
        </w:rPr>
      </w:pPr>
      <w:r>
        <w:rPr>
          <w:lang w:val="en-GB"/>
        </w:rPr>
        <w:t xml:space="preserve">That distinction appears to </w:t>
      </w:r>
      <w:r w:rsidR="000E371D">
        <w:rPr>
          <w:lang w:val="en-GB"/>
        </w:rPr>
        <w:t>answer the point</w:t>
      </w:r>
      <w:r w:rsidR="00434631">
        <w:rPr>
          <w:lang w:val="en-GB"/>
        </w:rPr>
        <w:t xml:space="preserve"> raised with counsel.</w:t>
      </w:r>
    </w:p>
    <w:p w14:paraId="5602EAB8" w14:textId="77777777" w:rsidR="00D075EE" w:rsidRDefault="00D075EE" w:rsidP="00044C53">
      <w:pPr>
        <w:rPr>
          <w:lang w:val="en-GB"/>
        </w:rPr>
      </w:pPr>
    </w:p>
    <w:p w14:paraId="6DCF65FB" w14:textId="0AEF099E" w:rsidR="00044C53" w:rsidRDefault="00044C53" w:rsidP="00044C53">
      <w:pPr>
        <w:rPr>
          <w:b/>
          <w:bCs/>
          <w:lang w:val="en-GB"/>
        </w:rPr>
      </w:pPr>
      <w:r>
        <w:rPr>
          <w:b/>
          <w:bCs/>
          <w:lang w:val="en-GB"/>
        </w:rPr>
        <w:t>Costs</w:t>
      </w:r>
    </w:p>
    <w:p w14:paraId="0F50B2C4" w14:textId="77777777" w:rsidR="00044C53" w:rsidRPr="00044C53" w:rsidRDefault="00044C53" w:rsidP="00044C53">
      <w:pPr>
        <w:rPr>
          <w:b/>
          <w:bCs/>
          <w:lang w:val="en-GB"/>
        </w:rPr>
      </w:pPr>
    </w:p>
    <w:p w14:paraId="0F3A4ADC" w14:textId="0459AF76" w:rsidR="007A7D37" w:rsidRPr="0050619A" w:rsidRDefault="0050619A" w:rsidP="0050619A">
      <w:pPr>
        <w:autoSpaceDE w:val="0"/>
        <w:autoSpaceDN w:val="0"/>
        <w:adjustRightInd w:val="0"/>
        <w:jc w:val="both"/>
        <w:rPr>
          <w:lang w:val="en-GB"/>
        </w:rPr>
      </w:pPr>
      <w:r>
        <w:rPr>
          <w:lang w:val="en-GB"/>
        </w:rPr>
        <w:t>[32]</w:t>
      </w:r>
      <w:r>
        <w:rPr>
          <w:lang w:val="en-GB"/>
        </w:rPr>
        <w:tab/>
      </w:r>
      <w:r w:rsidR="00CE3112" w:rsidRPr="0050619A">
        <w:rPr>
          <w:lang w:val="en-GB"/>
        </w:rPr>
        <w:t xml:space="preserve">Although the MEC has been successful in so far as setting aside the court </w:t>
      </w:r>
      <w:r w:rsidR="00CE3112" w:rsidRPr="0050619A">
        <w:rPr>
          <w:i/>
          <w:iCs/>
          <w:lang w:val="en-GB"/>
        </w:rPr>
        <w:t>a quo</w:t>
      </w:r>
      <w:r w:rsidR="00CE3112" w:rsidRPr="0050619A">
        <w:rPr>
          <w:lang w:val="en-GB"/>
        </w:rPr>
        <w:t xml:space="preserve">’s judgment on the merits, </w:t>
      </w:r>
      <w:r w:rsidR="00D31FE7" w:rsidRPr="0050619A">
        <w:rPr>
          <w:lang w:val="en-GB"/>
        </w:rPr>
        <w:t xml:space="preserve">the thrust of its submissions focussed on the issue of the special plea. </w:t>
      </w:r>
      <w:r w:rsidR="00DD06AA" w:rsidRPr="0050619A">
        <w:rPr>
          <w:lang w:val="en-GB"/>
        </w:rPr>
        <w:t>There the MEC has been unsucce</w:t>
      </w:r>
      <w:r w:rsidR="00233DD5" w:rsidRPr="0050619A">
        <w:rPr>
          <w:lang w:val="en-GB"/>
        </w:rPr>
        <w:t xml:space="preserve">ssful. </w:t>
      </w:r>
      <w:r w:rsidR="00EC58B1" w:rsidRPr="0050619A">
        <w:rPr>
          <w:lang w:val="en-GB"/>
        </w:rPr>
        <w:t>It would be appropriate, in these circumstances, for each party to bear their own costs of the appeal.</w:t>
      </w:r>
    </w:p>
    <w:p w14:paraId="4A63E300" w14:textId="0400F2A9" w:rsidR="000E7A28" w:rsidRDefault="000E7A28" w:rsidP="00B64394">
      <w:pPr>
        <w:rPr>
          <w:lang w:val="en-GB"/>
        </w:rPr>
      </w:pPr>
    </w:p>
    <w:p w14:paraId="3369FA2A" w14:textId="77777777" w:rsidR="009F3EE4" w:rsidRDefault="009F3EE4" w:rsidP="00B64394">
      <w:pPr>
        <w:rPr>
          <w:lang w:val="en-GB"/>
        </w:rPr>
      </w:pPr>
    </w:p>
    <w:p w14:paraId="0C1A281E" w14:textId="710424E7" w:rsidR="00B64394" w:rsidRDefault="00B64394" w:rsidP="00B64394">
      <w:pPr>
        <w:rPr>
          <w:b/>
          <w:bCs/>
          <w:lang w:val="en-GB"/>
        </w:rPr>
      </w:pPr>
      <w:r>
        <w:rPr>
          <w:b/>
          <w:bCs/>
          <w:lang w:val="en-GB"/>
        </w:rPr>
        <w:lastRenderedPageBreak/>
        <w:t>Order</w:t>
      </w:r>
    </w:p>
    <w:p w14:paraId="4708A9E1" w14:textId="77777777" w:rsidR="00B64394" w:rsidRPr="00B64394" w:rsidRDefault="00B64394" w:rsidP="00B64394">
      <w:pPr>
        <w:rPr>
          <w:b/>
          <w:bCs/>
          <w:lang w:val="en-GB"/>
        </w:rPr>
      </w:pPr>
    </w:p>
    <w:p w14:paraId="67E15417" w14:textId="3AC76521" w:rsidR="000E7A28" w:rsidRPr="0050619A" w:rsidRDefault="0050619A" w:rsidP="0050619A">
      <w:pPr>
        <w:autoSpaceDE w:val="0"/>
        <w:autoSpaceDN w:val="0"/>
        <w:adjustRightInd w:val="0"/>
        <w:jc w:val="both"/>
        <w:rPr>
          <w:lang w:val="en-GB"/>
        </w:rPr>
      </w:pPr>
      <w:r>
        <w:rPr>
          <w:lang w:val="en-GB"/>
        </w:rPr>
        <w:t>[33]</w:t>
      </w:r>
      <w:r>
        <w:rPr>
          <w:lang w:val="en-GB"/>
        </w:rPr>
        <w:tab/>
      </w:r>
      <w:r w:rsidR="007A7D37" w:rsidRPr="0050619A">
        <w:rPr>
          <w:lang w:val="en-GB"/>
        </w:rPr>
        <w:t>The following order will issue:</w:t>
      </w:r>
    </w:p>
    <w:p w14:paraId="38FA4F53" w14:textId="77777777" w:rsidR="007A7D37" w:rsidRPr="007A7D37" w:rsidRDefault="007A7D37" w:rsidP="007A7D37">
      <w:pPr>
        <w:pStyle w:val="ListParagraph"/>
        <w:rPr>
          <w:lang w:val="en-GB"/>
        </w:rPr>
      </w:pPr>
    </w:p>
    <w:p w14:paraId="1FE540F9" w14:textId="03D18516" w:rsidR="007A7D37" w:rsidRPr="0050619A" w:rsidRDefault="0050619A" w:rsidP="0050619A">
      <w:pPr>
        <w:autoSpaceDE w:val="0"/>
        <w:autoSpaceDN w:val="0"/>
        <w:adjustRightInd w:val="0"/>
        <w:ind w:left="1080" w:hanging="360"/>
        <w:jc w:val="both"/>
        <w:rPr>
          <w:lang w:val="en-GB"/>
        </w:rPr>
      </w:pPr>
      <w:r>
        <w:rPr>
          <w:lang w:val="en-GB"/>
        </w:rPr>
        <w:t>1.</w:t>
      </w:r>
      <w:r>
        <w:rPr>
          <w:lang w:val="en-GB"/>
        </w:rPr>
        <w:tab/>
      </w:r>
      <w:r w:rsidR="007A7D37" w:rsidRPr="0050619A">
        <w:rPr>
          <w:lang w:val="en-GB"/>
        </w:rPr>
        <w:t>The appeal is upheld</w:t>
      </w:r>
      <w:r w:rsidR="007A7A59" w:rsidRPr="0050619A">
        <w:rPr>
          <w:lang w:val="en-GB"/>
        </w:rPr>
        <w:t xml:space="preserve">. </w:t>
      </w:r>
    </w:p>
    <w:p w14:paraId="73685B86" w14:textId="0885560D" w:rsidR="007A7D37" w:rsidRPr="0050619A" w:rsidRDefault="0050619A" w:rsidP="0050619A">
      <w:pPr>
        <w:autoSpaceDE w:val="0"/>
        <w:autoSpaceDN w:val="0"/>
        <w:adjustRightInd w:val="0"/>
        <w:ind w:left="1080" w:hanging="360"/>
        <w:jc w:val="both"/>
        <w:rPr>
          <w:lang w:val="en-GB"/>
        </w:rPr>
      </w:pPr>
      <w:r>
        <w:rPr>
          <w:lang w:val="en-GB"/>
        </w:rPr>
        <w:t>2.</w:t>
      </w:r>
      <w:r>
        <w:rPr>
          <w:lang w:val="en-GB"/>
        </w:rPr>
        <w:tab/>
      </w:r>
      <w:r w:rsidR="007A7D37" w:rsidRPr="0050619A">
        <w:rPr>
          <w:lang w:val="en-GB"/>
        </w:rPr>
        <w:t xml:space="preserve">The order of the court </w:t>
      </w:r>
      <w:r w:rsidR="007A7D37" w:rsidRPr="0050619A">
        <w:rPr>
          <w:i/>
          <w:iCs/>
          <w:lang w:val="en-GB"/>
        </w:rPr>
        <w:t>a quo</w:t>
      </w:r>
      <w:r w:rsidR="007A7D37" w:rsidRPr="0050619A">
        <w:rPr>
          <w:lang w:val="en-GB"/>
        </w:rPr>
        <w:t xml:space="preserve"> </w:t>
      </w:r>
      <w:r w:rsidR="000A0E8E" w:rsidRPr="0050619A">
        <w:rPr>
          <w:lang w:val="en-GB"/>
        </w:rPr>
        <w:t>is set aside and replaced with the following:</w:t>
      </w:r>
    </w:p>
    <w:p w14:paraId="447EC89C" w14:textId="44DA4719" w:rsidR="000A0E8E" w:rsidRDefault="000A0E8E" w:rsidP="000A0E8E">
      <w:pPr>
        <w:pStyle w:val="ListParagraph"/>
        <w:autoSpaceDE w:val="0"/>
        <w:autoSpaceDN w:val="0"/>
        <w:adjustRightInd w:val="0"/>
        <w:ind w:left="1080"/>
        <w:jc w:val="both"/>
        <w:rPr>
          <w:lang w:val="en-GB"/>
        </w:rPr>
      </w:pPr>
      <w:r>
        <w:rPr>
          <w:lang w:val="en-GB"/>
        </w:rPr>
        <w:t>‘The special plea is dismissed with costs.’</w:t>
      </w:r>
    </w:p>
    <w:p w14:paraId="04E66D37" w14:textId="0C116C1D" w:rsidR="00FD278B" w:rsidRPr="0050619A" w:rsidRDefault="0050619A" w:rsidP="0050619A">
      <w:pPr>
        <w:autoSpaceDE w:val="0"/>
        <w:autoSpaceDN w:val="0"/>
        <w:adjustRightInd w:val="0"/>
        <w:ind w:left="1080" w:hanging="360"/>
        <w:jc w:val="both"/>
        <w:rPr>
          <w:lang w:val="en-GB"/>
        </w:rPr>
      </w:pPr>
      <w:r w:rsidRPr="00FD278B">
        <w:rPr>
          <w:lang w:val="en-GB"/>
        </w:rPr>
        <w:t>3.</w:t>
      </w:r>
      <w:r w:rsidRPr="00FD278B">
        <w:rPr>
          <w:lang w:val="en-GB"/>
        </w:rPr>
        <w:tab/>
      </w:r>
      <w:r w:rsidR="00FD278B" w:rsidRPr="0050619A">
        <w:rPr>
          <w:lang w:val="en-GB"/>
        </w:rPr>
        <w:t>Each party is to pay its own costs of the appeal.</w:t>
      </w:r>
    </w:p>
    <w:p w14:paraId="631AD31F" w14:textId="29A06465" w:rsidR="008677E3" w:rsidRDefault="008677E3" w:rsidP="00772E4B">
      <w:pPr>
        <w:autoSpaceDE w:val="0"/>
        <w:autoSpaceDN w:val="0"/>
        <w:adjustRightInd w:val="0"/>
        <w:jc w:val="both"/>
        <w:rPr>
          <w:lang w:val="en-GB"/>
        </w:rPr>
      </w:pPr>
    </w:p>
    <w:p w14:paraId="1D8D0B84" w14:textId="430AF04D" w:rsidR="00A56D64" w:rsidRDefault="00A56D64" w:rsidP="00772E4B">
      <w:pPr>
        <w:autoSpaceDE w:val="0"/>
        <w:autoSpaceDN w:val="0"/>
        <w:adjustRightInd w:val="0"/>
        <w:jc w:val="both"/>
        <w:rPr>
          <w:lang w:val="en-GB"/>
        </w:rPr>
      </w:pPr>
    </w:p>
    <w:p w14:paraId="5D37964F" w14:textId="18C21230" w:rsidR="00A56D64" w:rsidRDefault="00A56D64" w:rsidP="00772E4B">
      <w:pPr>
        <w:autoSpaceDE w:val="0"/>
        <w:autoSpaceDN w:val="0"/>
        <w:adjustRightInd w:val="0"/>
        <w:jc w:val="both"/>
        <w:rPr>
          <w:lang w:val="en-GB"/>
        </w:rPr>
      </w:pPr>
    </w:p>
    <w:p w14:paraId="03A8B53A" w14:textId="7EF138E6" w:rsidR="00351CB7" w:rsidRPr="00044B50" w:rsidRDefault="00351CB7" w:rsidP="00CE6E7F">
      <w:pPr>
        <w:rPr>
          <w:lang w:val="en-GB"/>
        </w:rPr>
      </w:pPr>
      <w:r>
        <w:rPr>
          <w:lang w:val="en-GB"/>
        </w:rPr>
        <w:t>__________________________</w:t>
      </w:r>
    </w:p>
    <w:p w14:paraId="7A3D2F95" w14:textId="261FBC6F" w:rsidR="00351CB7" w:rsidRPr="00044B50" w:rsidRDefault="0029473F" w:rsidP="00CE6E7F">
      <w:pPr>
        <w:rPr>
          <w:b/>
          <w:bCs/>
          <w:lang w:val="en-GB"/>
        </w:rPr>
      </w:pPr>
      <w:r>
        <w:rPr>
          <w:b/>
          <w:bCs/>
          <w:lang w:val="en-GB"/>
        </w:rPr>
        <w:t>A GOVINDJEE</w:t>
      </w:r>
    </w:p>
    <w:p w14:paraId="18576C34" w14:textId="0BCF6AF9" w:rsidR="00351CB7" w:rsidRDefault="00351CB7" w:rsidP="00CE6E7F">
      <w:pPr>
        <w:rPr>
          <w:b/>
          <w:bCs/>
          <w:lang w:val="en-GB"/>
        </w:rPr>
      </w:pPr>
      <w:r w:rsidRPr="00044B50">
        <w:rPr>
          <w:b/>
          <w:bCs/>
          <w:lang w:val="en-GB"/>
        </w:rPr>
        <w:t>JUDGE OF THE HIGH COURT</w:t>
      </w:r>
    </w:p>
    <w:p w14:paraId="6CDED124" w14:textId="77777777" w:rsidR="00351CB7" w:rsidRDefault="00351CB7" w:rsidP="00351CB7">
      <w:pPr>
        <w:jc w:val="right"/>
        <w:rPr>
          <w:b/>
          <w:bCs/>
          <w:lang w:val="en-GB"/>
        </w:rPr>
      </w:pPr>
    </w:p>
    <w:p w14:paraId="3B0A5281" w14:textId="77777777" w:rsidR="00351CB7" w:rsidRDefault="00351CB7" w:rsidP="00351CB7">
      <w:pPr>
        <w:jc w:val="right"/>
        <w:rPr>
          <w:b/>
          <w:bCs/>
          <w:lang w:val="en-GB"/>
        </w:rPr>
      </w:pPr>
    </w:p>
    <w:p w14:paraId="160C0598" w14:textId="6C4D4536" w:rsidR="00351CB7" w:rsidRDefault="00351CB7" w:rsidP="00CE6E7F">
      <w:pPr>
        <w:rPr>
          <w:lang w:val="en-GB"/>
        </w:rPr>
      </w:pPr>
      <w:r>
        <w:rPr>
          <w:lang w:val="en-GB"/>
        </w:rPr>
        <w:t>I agree, and it is so ordered.</w:t>
      </w:r>
    </w:p>
    <w:p w14:paraId="663F4CD1" w14:textId="79477E69" w:rsidR="00351CB7" w:rsidRDefault="00351CB7" w:rsidP="00351CB7">
      <w:pPr>
        <w:jc w:val="both"/>
        <w:rPr>
          <w:lang w:val="en-GB"/>
        </w:rPr>
      </w:pPr>
    </w:p>
    <w:p w14:paraId="425799FE" w14:textId="65D5F688" w:rsidR="00351CB7" w:rsidRPr="00044B50" w:rsidRDefault="00351CB7" w:rsidP="00351CB7">
      <w:pPr>
        <w:autoSpaceDE w:val="0"/>
        <w:autoSpaceDN w:val="0"/>
        <w:adjustRightInd w:val="0"/>
        <w:jc w:val="both"/>
        <w:rPr>
          <w:lang w:val="en-GB"/>
        </w:rPr>
      </w:pPr>
    </w:p>
    <w:p w14:paraId="7FEAC693" w14:textId="77777777" w:rsidR="002528A1" w:rsidRDefault="002528A1" w:rsidP="00CE6E7F">
      <w:pPr>
        <w:rPr>
          <w:lang w:val="en-GB"/>
        </w:rPr>
      </w:pPr>
    </w:p>
    <w:p w14:paraId="39645900" w14:textId="7F191294" w:rsidR="00CE6E7F" w:rsidRDefault="00351CB7" w:rsidP="00CE6E7F">
      <w:pPr>
        <w:rPr>
          <w:lang w:val="en-GB"/>
        </w:rPr>
      </w:pPr>
      <w:r w:rsidRPr="00044B50">
        <w:rPr>
          <w:lang w:val="en-GB"/>
        </w:rPr>
        <w:t>_________________________</w:t>
      </w:r>
      <w:r w:rsidR="00CE6E7F">
        <w:rPr>
          <w:lang w:val="en-GB"/>
        </w:rPr>
        <w:t>_</w:t>
      </w:r>
    </w:p>
    <w:p w14:paraId="7422578D" w14:textId="0339FBC1" w:rsidR="00351CB7" w:rsidRPr="00CE6E7F" w:rsidRDefault="0029473F" w:rsidP="00CE6E7F">
      <w:pPr>
        <w:rPr>
          <w:lang w:val="en-GB"/>
        </w:rPr>
      </w:pPr>
      <w:r>
        <w:rPr>
          <w:b/>
          <w:bCs/>
          <w:lang w:val="en-GB"/>
        </w:rPr>
        <w:t>M</w:t>
      </w:r>
      <w:r w:rsidR="00351CB7">
        <w:rPr>
          <w:b/>
          <w:bCs/>
          <w:lang w:val="en-GB"/>
        </w:rPr>
        <w:t xml:space="preserve"> </w:t>
      </w:r>
      <w:r>
        <w:rPr>
          <w:b/>
          <w:bCs/>
          <w:lang w:val="en-GB"/>
        </w:rPr>
        <w:t>MAKAULA</w:t>
      </w:r>
    </w:p>
    <w:p w14:paraId="6485AC63" w14:textId="77879B36" w:rsidR="00351CB7" w:rsidRDefault="00351CB7" w:rsidP="00CE6E7F">
      <w:pPr>
        <w:rPr>
          <w:b/>
          <w:bCs/>
          <w:lang w:val="en-GB"/>
        </w:rPr>
      </w:pPr>
      <w:r w:rsidRPr="00044B50">
        <w:rPr>
          <w:b/>
          <w:bCs/>
          <w:lang w:val="en-GB"/>
        </w:rPr>
        <w:t>JUDGE OF THE HIGH COURT</w:t>
      </w:r>
    </w:p>
    <w:p w14:paraId="77334F04" w14:textId="77777777" w:rsidR="00351CB7" w:rsidRDefault="00351CB7" w:rsidP="00351CB7">
      <w:pPr>
        <w:jc w:val="both"/>
        <w:rPr>
          <w:b/>
          <w:bCs/>
          <w:lang w:val="en-GB"/>
        </w:rPr>
      </w:pPr>
    </w:p>
    <w:p w14:paraId="066B52BA" w14:textId="77777777" w:rsidR="00351CB7" w:rsidRPr="00860489" w:rsidRDefault="00351CB7" w:rsidP="00351CB7">
      <w:pPr>
        <w:jc w:val="both"/>
        <w:rPr>
          <w:b/>
          <w:bCs/>
          <w:lang w:val="en-GB"/>
        </w:rPr>
      </w:pPr>
    </w:p>
    <w:p w14:paraId="5E51703A" w14:textId="75B9B402" w:rsidR="00351CB7" w:rsidRDefault="00351CB7" w:rsidP="00351CB7">
      <w:pPr>
        <w:autoSpaceDE w:val="0"/>
        <w:autoSpaceDN w:val="0"/>
        <w:adjustRightInd w:val="0"/>
        <w:jc w:val="both"/>
        <w:rPr>
          <w:lang w:val="en-GB"/>
        </w:rPr>
      </w:pPr>
    </w:p>
    <w:p w14:paraId="7018D00B" w14:textId="77794FDD" w:rsidR="00CE6E7F" w:rsidRDefault="007A2BFF" w:rsidP="00351CB7">
      <w:pPr>
        <w:tabs>
          <w:tab w:val="left" w:pos="5103"/>
        </w:tabs>
        <w:autoSpaceDE w:val="0"/>
        <w:autoSpaceDN w:val="0"/>
        <w:adjustRightInd w:val="0"/>
        <w:jc w:val="both"/>
        <w:rPr>
          <w:lang w:val="en-GB"/>
        </w:rPr>
      </w:pPr>
      <w:r>
        <w:rPr>
          <w:lang w:val="en-GB"/>
        </w:rPr>
        <w:t>I agree</w:t>
      </w:r>
      <w:r w:rsidR="0029473F">
        <w:rPr>
          <w:lang w:val="en-GB"/>
        </w:rPr>
        <w:t>.</w:t>
      </w:r>
      <w:r w:rsidR="00351CB7">
        <w:rPr>
          <w:lang w:val="en-GB"/>
        </w:rPr>
        <w:tab/>
      </w:r>
    </w:p>
    <w:p w14:paraId="79661F0B" w14:textId="43085CE7" w:rsidR="003B4D93" w:rsidRDefault="003B4D93" w:rsidP="00351CB7">
      <w:pPr>
        <w:tabs>
          <w:tab w:val="left" w:pos="5103"/>
        </w:tabs>
        <w:autoSpaceDE w:val="0"/>
        <w:autoSpaceDN w:val="0"/>
        <w:adjustRightInd w:val="0"/>
        <w:jc w:val="both"/>
        <w:rPr>
          <w:lang w:val="en-GB"/>
        </w:rPr>
      </w:pPr>
    </w:p>
    <w:p w14:paraId="3DA5E7D1" w14:textId="0B3D4C16" w:rsidR="00CE6E7F" w:rsidRDefault="00CE6E7F" w:rsidP="00351CB7">
      <w:pPr>
        <w:tabs>
          <w:tab w:val="left" w:pos="5103"/>
        </w:tabs>
        <w:autoSpaceDE w:val="0"/>
        <w:autoSpaceDN w:val="0"/>
        <w:adjustRightInd w:val="0"/>
        <w:jc w:val="both"/>
        <w:rPr>
          <w:lang w:val="en-GB"/>
        </w:rPr>
      </w:pPr>
      <w:r>
        <w:rPr>
          <w:lang w:val="en-GB"/>
        </w:rPr>
        <w:tab/>
      </w:r>
      <w:r>
        <w:rPr>
          <w:lang w:val="en-GB"/>
        </w:rPr>
        <w:tab/>
      </w:r>
    </w:p>
    <w:p w14:paraId="3F4D7A72" w14:textId="77777777" w:rsidR="0021210B" w:rsidRDefault="0021210B" w:rsidP="00351CB7">
      <w:pPr>
        <w:tabs>
          <w:tab w:val="left" w:pos="5103"/>
        </w:tabs>
        <w:autoSpaceDE w:val="0"/>
        <w:autoSpaceDN w:val="0"/>
        <w:adjustRightInd w:val="0"/>
        <w:jc w:val="both"/>
        <w:rPr>
          <w:lang w:val="en-GB"/>
        </w:rPr>
      </w:pPr>
    </w:p>
    <w:p w14:paraId="703B9893" w14:textId="6C818162" w:rsidR="00351CB7" w:rsidRDefault="00351CB7" w:rsidP="00351CB7">
      <w:pPr>
        <w:tabs>
          <w:tab w:val="left" w:pos="5103"/>
        </w:tabs>
        <w:autoSpaceDE w:val="0"/>
        <w:autoSpaceDN w:val="0"/>
        <w:adjustRightInd w:val="0"/>
        <w:jc w:val="both"/>
        <w:rPr>
          <w:lang w:val="en-GB"/>
        </w:rPr>
      </w:pPr>
      <w:r>
        <w:rPr>
          <w:lang w:val="en-GB"/>
        </w:rPr>
        <w:t>________________________</w:t>
      </w:r>
    </w:p>
    <w:p w14:paraId="3D378EFF" w14:textId="2EE57845" w:rsidR="00351CB7" w:rsidRPr="00CE6E7F" w:rsidRDefault="00B337CB" w:rsidP="00CE6E7F">
      <w:pPr>
        <w:tabs>
          <w:tab w:val="left" w:pos="5670"/>
          <w:tab w:val="left" w:pos="5812"/>
        </w:tabs>
        <w:rPr>
          <w:b/>
          <w:bCs/>
          <w:lang w:val="en-GB"/>
        </w:rPr>
      </w:pPr>
      <w:r>
        <w:rPr>
          <w:b/>
          <w:bCs/>
          <w:lang w:val="en-GB"/>
        </w:rPr>
        <w:t>T</w:t>
      </w:r>
      <w:r w:rsidR="00CE6E7F">
        <w:rPr>
          <w:b/>
          <w:bCs/>
          <w:lang w:val="en-GB"/>
        </w:rPr>
        <w:t xml:space="preserve"> </w:t>
      </w:r>
      <w:r>
        <w:rPr>
          <w:b/>
          <w:bCs/>
          <w:lang w:val="en-GB"/>
        </w:rPr>
        <w:t>MALUSI</w:t>
      </w:r>
    </w:p>
    <w:p w14:paraId="1775A43B" w14:textId="52E0A533" w:rsidR="00351CB7" w:rsidRDefault="00351CB7" w:rsidP="0025158E">
      <w:pPr>
        <w:tabs>
          <w:tab w:val="left" w:pos="4962"/>
          <w:tab w:val="left" w:pos="5670"/>
        </w:tabs>
        <w:ind w:right="-52"/>
        <w:rPr>
          <w:b/>
          <w:bCs/>
          <w:lang w:val="en-GB"/>
        </w:rPr>
      </w:pPr>
      <w:r w:rsidRPr="00044B50">
        <w:rPr>
          <w:b/>
          <w:bCs/>
          <w:lang w:val="en-GB"/>
        </w:rPr>
        <w:t>JUDGE OF THE HIGH COURT</w:t>
      </w:r>
    </w:p>
    <w:p w14:paraId="67B5DAEC" w14:textId="77777777" w:rsidR="00351CB7" w:rsidRDefault="00351CB7" w:rsidP="00351CB7">
      <w:pPr>
        <w:autoSpaceDE w:val="0"/>
        <w:autoSpaceDN w:val="0"/>
        <w:adjustRightInd w:val="0"/>
        <w:jc w:val="both"/>
        <w:rPr>
          <w:lang w:val="en-GB"/>
        </w:rPr>
      </w:pPr>
    </w:p>
    <w:p w14:paraId="754B45EC" w14:textId="77777777" w:rsidR="00351CB7" w:rsidRDefault="00351CB7" w:rsidP="00351CB7">
      <w:pPr>
        <w:widowControl w:val="0"/>
        <w:rPr>
          <w:spacing w:val="14"/>
          <w:kern w:val="2"/>
          <w:lang w:val="en-GB"/>
        </w:rPr>
      </w:pPr>
    </w:p>
    <w:p w14:paraId="11E06E1C" w14:textId="77777777" w:rsidR="00BE1074" w:rsidRDefault="00351CB7" w:rsidP="00BE1074">
      <w:pPr>
        <w:widowControl w:val="0"/>
        <w:ind w:right="89"/>
        <w:rPr>
          <w:spacing w:val="14"/>
          <w:kern w:val="2"/>
          <w:lang w:val="en-GB"/>
        </w:rPr>
      </w:pPr>
      <w:r w:rsidRPr="00170392">
        <w:rPr>
          <w:b/>
          <w:spacing w:val="14"/>
          <w:kern w:val="2"/>
          <w:lang w:val="en-GB"/>
        </w:rPr>
        <w:t>Heard</w:t>
      </w:r>
      <w:r w:rsidRPr="00A87D38">
        <w:rPr>
          <w:spacing w:val="14"/>
          <w:kern w:val="2"/>
          <w:lang w:val="en-GB"/>
        </w:rPr>
        <w:t>:</w:t>
      </w:r>
      <w:r w:rsidR="0025158E">
        <w:rPr>
          <w:spacing w:val="14"/>
          <w:kern w:val="2"/>
          <w:lang w:val="en-GB"/>
        </w:rPr>
        <w:t>14 November</w:t>
      </w:r>
      <w:r>
        <w:rPr>
          <w:spacing w:val="14"/>
          <w:kern w:val="2"/>
          <w:lang w:val="en-GB"/>
        </w:rPr>
        <w:t xml:space="preserve"> 2022</w:t>
      </w:r>
    </w:p>
    <w:p w14:paraId="4BA9A0D1" w14:textId="67FF7746" w:rsidR="00351CB7" w:rsidRPr="00A87D38" w:rsidRDefault="00351CB7" w:rsidP="00BE1074">
      <w:pPr>
        <w:widowControl w:val="0"/>
        <w:ind w:right="89"/>
        <w:rPr>
          <w:spacing w:val="14"/>
          <w:kern w:val="2"/>
          <w:lang w:val="en-GB"/>
        </w:rPr>
      </w:pPr>
      <w:r w:rsidRPr="00170392">
        <w:rPr>
          <w:b/>
          <w:spacing w:val="14"/>
          <w:kern w:val="2"/>
          <w:lang w:val="en-GB"/>
        </w:rPr>
        <w:t>Delivered</w:t>
      </w:r>
      <w:r w:rsidRPr="00A87D38">
        <w:rPr>
          <w:spacing w:val="14"/>
          <w:kern w:val="2"/>
          <w:lang w:val="en-GB"/>
        </w:rPr>
        <w:t>:</w:t>
      </w:r>
      <w:r>
        <w:rPr>
          <w:spacing w:val="14"/>
          <w:kern w:val="2"/>
          <w:lang w:val="en-GB"/>
        </w:rPr>
        <w:t xml:space="preserve"> </w:t>
      </w:r>
      <w:r w:rsidR="0025158E">
        <w:rPr>
          <w:spacing w:val="14"/>
          <w:kern w:val="2"/>
          <w:lang w:val="en-GB"/>
        </w:rPr>
        <w:t>2</w:t>
      </w:r>
      <w:r w:rsidR="002528A1">
        <w:rPr>
          <w:spacing w:val="14"/>
          <w:kern w:val="2"/>
          <w:lang w:val="en-GB"/>
        </w:rPr>
        <w:t>9</w:t>
      </w:r>
      <w:r w:rsidR="0025158E">
        <w:rPr>
          <w:spacing w:val="14"/>
          <w:kern w:val="2"/>
          <w:lang w:val="en-GB"/>
        </w:rPr>
        <w:t xml:space="preserve"> November</w:t>
      </w:r>
      <w:r>
        <w:rPr>
          <w:spacing w:val="14"/>
          <w:kern w:val="2"/>
          <w:lang w:val="en-GB"/>
        </w:rPr>
        <w:t xml:space="preserve"> 2022</w:t>
      </w:r>
    </w:p>
    <w:p w14:paraId="458B57D4" w14:textId="77777777" w:rsidR="00351CB7" w:rsidRPr="00044B50" w:rsidRDefault="00351CB7" w:rsidP="00351CB7">
      <w:pPr>
        <w:autoSpaceDE w:val="0"/>
        <w:autoSpaceDN w:val="0"/>
        <w:adjustRightInd w:val="0"/>
        <w:jc w:val="both"/>
        <w:rPr>
          <w:lang w:val="en-GB"/>
        </w:rPr>
      </w:pPr>
    </w:p>
    <w:p w14:paraId="28CE037A" w14:textId="77777777" w:rsidR="000E371D" w:rsidRDefault="000E371D" w:rsidP="00351CB7">
      <w:pPr>
        <w:jc w:val="both"/>
        <w:rPr>
          <w:lang w:val="en-GB"/>
        </w:rPr>
      </w:pPr>
    </w:p>
    <w:p w14:paraId="0DB53B0F" w14:textId="19E60802" w:rsidR="00351CB7" w:rsidRDefault="00351CB7" w:rsidP="00351CB7">
      <w:pPr>
        <w:jc w:val="both"/>
        <w:rPr>
          <w:lang w:val="en-GB"/>
        </w:rPr>
      </w:pPr>
      <w:r w:rsidRPr="00044B50">
        <w:rPr>
          <w:lang w:val="en-GB"/>
        </w:rPr>
        <w:t>Appearances:</w:t>
      </w:r>
    </w:p>
    <w:p w14:paraId="522FB7D4" w14:textId="77777777" w:rsidR="000E371D" w:rsidRDefault="000E371D" w:rsidP="00351CB7">
      <w:pPr>
        <w:jc w:val="both"/>
        <w:rPr>
          <w:lang w:val="en-GB"/>
        </w:rPr>
      </w:pPr>
    </w:p>
    <w:p w14:paraId="662C8ED3" w14:textId="2627713B" w:rsidR="00351CB7" w:rsidRDefault="00351CB7" w:rsidP="00351CB7">
      <w:pPr>
        <w:jc w:val="both"/>
        <w:rPr>
          <w:lang w:val="en-GB"/>
        </w:rPr>
      </w:pPr>
      <w:r>
        <w:rPr>
          <w:lang w:val="en-GB"/>
        </w:rPr>
        <w:t xml:space="preserve">Counsel for the </w:t>
      </w:r>
      <w:r w:rsidR="00DF179F">
        <w:rPr>
          <w:lang w:val="en-GB"/>
        </w:rPr>
        <w:t>Appellant</w:t>
      </w:r>
      <w:r>
        <w:rPr>
          <w:lang w:val="en-GB"/>
        </w:rPr>
        <w:t>:</w:t>
      </w:r>
      <w:r>
        <w:rPr>
          <w:lang w:val="en-GB"/>
        </w:rPr>
        <w:tab/>
      </w:r>
      <w:r>
        <w:rPr>
          <w:lang w:val="en-GB"/>
        </w:rPr>
        <w:tab/>
      </w:r>
      <w:r w:rsidR="00BC4BC5">
        <w:rPr>
          <w:lang w:val="en-GB"/>
        </w:rPr>
        <w:tab/>
      </w:r>
      <w:r w:rsidR="005711C7">
        <w:rPr>
          <w:lang w:val="en-GB"/>
        </w:rPr>
        <w:t>Adv TW Mgidlana</w:t>
      </w:r>
    </w:p>
    <w:p w14:paraId="5C6C7BED" w14:textId="6FC6B569" w:rsidR="005711C7" w:rsidRDefault="005711C7" w:rsidP="00351CB7">
      <w:pPr>
        <w:jc w:val="both"/>
        <w:rPr>
          <w:lang w:val="en-GB"/>
        </w:rPr>
      </w:pPr>
      <w:r>
        <w:rPr>
          <w:lang w:val="en-GB"/>
        </w:rPr>
        <w:tab/>
      </w:r>
      <w:r>
        <w:rPr>
          <w:lang w:val="en-GB"/>
        </w:rPr>
        <w:tab/>
      </w:r>
      <w:r>
        <w:rPr>
          <w:lang w:val="en-GB"/>
        </w:rPr>
        <w:tab/>
      </w:r>
      <w:r>
        <w:rPr>
          <w:lang w:val="en-GB"/>
        </w:rPr>
        <w:tab/>
      </w:r>
      <w:r>
        <w:rPr>
          <w:lang w:val="en-GB"/>
        </w:rPr>
        <w:tab/>
      </w:r>
      <w:r>
        <w:rPr>
          <w:lang w:val="en-GB"/>
        </w:rPr>
        <w:tab/>
        <w:t>Makhanda Chambers</w:t>
      </w:r>
    </w:p>
    <w:p w14:paraId="6711088E" w14:textId="3151C5AE" w:rsidR="005711C7" w:rsidRDefault="005711C7" w:rsidP="00351CB7">
      <w:pPr>
        <w:jc w:val="both"/>
        <w:rPr>
          <w:lang w:val="en-GB"/>
        </w:rPr>
      </w:pPr>
    </w:p>
    <w:p w14:paraId="29198206" w14:textId="37360554" w:rsidR="005711C7" w:rsidRDefault="005711C7" w:rsidP="00351CB7">
      <w:pPr>
        <w:jc w:val="both"/>
        <w:rPr>
          <w:lang w:val="en-GB"/>
        </w:rPr>
      </w:pPr>
      <w:r>
        <w:rPr>
          <w:lang w:val="en-GB"/>
        </w:rPr>
        <w:t>Instructed by:</w:t>
      </w:r>
      <w:r>
        <w:rPr>
          <w:lang w:val="en-GB"/>
        </w:rPr>
        <w:tab/>
      </w:r>
      <w:r>
        <w:rPr>
          <w:lang w:val="en-GB"/>
        </w:rPr>
        <w:tab/>
      </w:r>
      <w:r>
        <w:rPr>
          <w:lang w:val="en-GB"/>
        </w:rPr>
        <w:tab/>
      </w:r>
      <w:r>
        <w:rPr>
          <w:lang w:val="en-GB"/>
        </w:rPr>
        <w:tab/>
        <w:t>The State Attorney</w:t>
      </w:r>
    </w:p>
    <w:p w14:paraId="5670245F" w14:textId="0A27FE4D" w:rsidR="00351CB7" w:rsidRDefault="005711C7" w:rsidP="00351CB7">
      <w:pPr>
        <w:ind w:left="4320"/>
        <w:rPr>
          <w:lang w:val="en-GB"/>
        </w:rPr>
      </w:pPr>
      <w:r>
        <w:rPr>
          <w:lang w:val="en-GB"/>
        </w:rPr>
        <w:t>Broadcast House</w:t>
      </w:r>
    </w:p>
    <w:p w14:paraId="273023AF" w14:textId="72EA38EA" w:rsidR="00351CB7" w:rsidRDefault="005711C7" w:rsidP="00351CB7">
      <w:pPr>
        <w:ind w:left="4320"/>
        <w:rPr>
          <w:lang w:val="en-GB"/>
        </w:rPr>
      </w:pPr>
      <w:r>
        <w:rPr>
          <w:lang w:val="en-GB"/>
        </w:rPr>
        <w:t>94 Sission Street</w:t>
      </w:r>
    </w:p>
    <w:p w14:paraId="7CD5BBE0" w14:textId="789ADEB6" w:rsidR="00351CB7" w:rsidRDefault="005711C7" w:rsidP="00351CB7">
      <w:pPr>
        <w:ind w:left="4320"/>
        <w:rPr>
          <w:lang w:val="en-GB"/>
        </w:rPr>
      </w:pPr>
      <w:r>
        <w:rPr>
          <w:lang w:val="en-GB"/>
        </w:rPr>
        <w:t xml:space="preserve">Fortgale </w:t>
      </w:r>
    </w:p>
    <w:p w14:paraId="2E956F45" w14:textId="6C68D364" w:rsidR="00351CB7" w:rsidRDefault="005711C7" w:rsidP="00351CB7">
      <w:pPr>
        <w:ind w:left="4320"/>
        <w:rPr>
          <w:lang w:val="en-GB"/>
        </w:rPr>
      </w:pPr>
      <w:r>
        <w:rPr>
          <w:lang w:val="en-GB"/>
        </w:rPr>
        <w:t>Mthatha</w:t>
      </w:r>
    </w:p>
    <w:p w14:paraId="0C828B1B" w14:textId="0B8B0381" w:rsidR="005711C7" w:rsidRDefault="005711C7" w:rsidP="00351CB7">
      <w:pPr>
        <w:ind w:left="4320"/>
        <w:rPr>
          <w:lang w:val="en-GB"/>
        </w:rPr>
      </w:pPr>
      <w:r>
        <w:rPr>
          <w:lang w:val="en-GB"/>
        </w:rPr>
        <w:t>047 502 9900</w:t>
      </w:r>
    </w:p>
    <w:p w14:paraId="6F1222B5" w14:textId="7C2E9E2F" w:rsidR="005711C7" w:rsidRDefault="00000000" w:rsidP="00351CB7">
      <w:pPr>
        <w:ind w:left="4320"/>
        <w:rPr>
          <w:lang w:val="en-GB"/>
        </w:rPr>
      </w:pPr>
      <w:hyperlink r:id="rId9" w:history="1">
        <w:r w:rsidR="00BC4BC5" w:rsidRPr="00174E14">
          <w:rPr>
            <w:rStyle w:val="Hyperlink"/>
            <w:lang w:val="en-GB"/>
          </w:rPr>
          <w:t>mgidlana@roundbar.co.za</w:t>
        </w:r>
      </w:hyperlink>
    </w:p>
    <w:p w14:paraId="62221189" w14:textId="23775C39" w:rsidR="00BC4BC5" w:rsidRDefault="00BC4BC5" w:rsidP="00BC4BC5">
      <w:pPr>
        <w:rPr>
          <w:lang w:val="en-GB"/>
        </w:rPr>
      </w:pPr>
    </w:p>
    <w:p w14:paraId="38F26D16" w14:textId="77777777" w:rsidR="00BC4BC5" w:rsidRDefault="00BC4BC5" w:rsidP="00BC4BC5">
      <w:pPr>
        <w:jc w:val="both"/>
        <w:rPr>
          <w:lang w:val="en-GB"/>
        </w:rPr>
      </w:pPr>
    </w:p>
    <w:p w14:paraId="474FB4CA" w14:textId="710BFB1D" w:rsidR="00BC4BC5" w:rsidRDefault="00BC4BC5" w:rsidP="00BC4BC5">
      <w:pPr>
        <w:jc w:val="both"/>
        <w:rPr>
          <w:lang w:val="en-GB"/>
        </w:rPr>
      </w:pPr>
      <w:r>
        <w:rPr>
          <w:lang w:val="en-GB"/>
        </w:rPr>
        <w:t>Attorney for the Respondent:</w:t>
      </w:r>
      <w:r>
        <w:rPr>
          <w:lang w:val="en-GB"/>
        </w:rPr>
        <w:tab/>
      </w:r>
      <w:r>
        <w:rPr>
          <w:lang w:val="en-GB"/>
        </w:rPr>
        <w:tab/>
        <w:t>Mr C Pangwa</w:t>
      </w:r>
    </w:p>
    <w:p w14:paraId="57D79461" w14:textId="77777777" w:rsidR="00BC4BC5" w:rsidRDefault="00BC4BC5" w:rsidP="00BC4BC5">
      <w:pPr>
        <w:jc w:val="both"/>
        <w:rPr>
          <w:lang w:val="en-GB"/>
        </w:rPr>
      </w:pPr>
    </w:p>
    <w:p w14:paraId="046435C4" w14:textId="77777777" w:rsidR="00BC4BC5" w:rsidRDefault="00BC4BC5" w:rsidP="00BC4BC5">
      <w:pPr>
        <w:jc w:val="both"/>
        <w:rPr>
          <w:lang w:val="en-GB"/>
        </w:rPr>
      </w:pPr>
      <w:r>
        <w:rPr>
          <w:lang w:val="en-GB"/>
        </w:rPr>
        <w:t>Instructed by:</w:t>
      </w:r>
      <w:r>
        <w:rPr>
          <w:lang w:val="en-GB"/>
        </w:rPr>
        <w:tab/>
      </w:r>
      <w:r>
        <w:rPr>
          <w:lang w:val="en-GB"/>
        </w:rPr>
        <w:tab/>
      </w:r>
      <w:r>
        <w:rPr>
          <w:lang w:val="en-GB"/>
        </w:rPr>
        <w:tab/>
      </w:r>
      <w:r>
        <w:rPr>
          <w:lang w:val="en-GB"/>
        </w:rPr>
        <w:tab/>
        <w:t>Caps Pangwa and Associates</w:t>
      </w:r>
    </w:p>
    <w:p w14:paraId="136F6298" w14:textId="77777777" w:rsidR="00BC4BC5" w:rsidRDefault="00BC4BC5" w:rsidP="00BC4BC5">
      <w:pPr>
        <w:jc w:val="both"/>
        <w:rPr>
          <w:lang w:val="en-GB"/>
        </w:rPr>
      </w:pPr>
      <w:r>
        <w:rPr>
          <w:lang w:val="en-GB"/>
        </w:rPr>
        <w:tab/>
      </w:r>
      <w:r>
        <w:rPr>
          <w:lang w:val="en-GB"/>
        </w:rPr>
        <w:tab/>
      </w:r>
      <w:r>
        <w:rPr>
          <w:lang w:val="en-GB"/>
        </w:rPr>
        <w:tab/>
      </w:r>
      <w:r>
        <w:rPr>
          <w:lang w:val="en-GB"/>
        </w:rPr>
        <w:tab/>
      </w:r>
      <w:r>
        <w:rPr>
          <w:lang w:val="en-GB"/>
        </w:rPr>
        <w:tab/>
      </w:r>
      <w:r>
        <w:rPr>
          <w:lang w:val="en-GB"/>
        </w:rPr>
        <w:tab/>
        <w:t>Suit No.202 1</w:t>
      </w:r>
      <w:r w:rsidRPr="00083C9F">
        <w:rPr>
          <w:vertAlign w:val="superscript"/>
          <w:lang w:val="en-GB"/>
        </w:rPr>
        <w:t>st</w:t>
      </w:r>
      <w:r>
        <w:rPr>
          <w:lang w:val="en-GB"/>
        </w:rPr>
        <w:t xml:space="preserve"> Floor City Centre</w:t>
      </w:r>
    </w:p>
    <w:p w14:paraId="33261226" w14:textId="77777777" w:rsidR="00BC4BC5" w:rsidRDefault="00BC4BC5" w:rsidP="00BC4BC5">
      <w:pPr>
        <w:jc w:val="both"/>
        <w:rPr>
          <w:lang w:val="en-GB"/>
        </w:rPr>
      </w:pPr>
      <w:r>
        <w:rPr>
          <w:lang w:val="en-GB"/>
        </w:rPr>
        <w:tab/>
      </w:r>
      <w:r>
        <w:rPr>
          <w:lang w:val="en-GB"/>
        </w:rPr>
        <w:tab/>
      </w:r>
      <w:r>
        <w:rPr>
          <w:lang w:val="en-GB"/>
        </w:rPr>
        <w:tab/>
      </w:r>
      <w:r>
        <w:rPr>
          <w:lang w:val="en-GB"/>
        </w:rPr>
        <w:tab/>
      </w:r>
      <w:r>
        <w:rPr>
          <w:lang w:val="en-GB"/>
        </w:rPr>
        <w:tab/>
      </w:r>
      <w:r>
        <w:rPr>
          <w:lang w:val="en-GB"/>
        </w:rPr>
        <w:tab/>
        <w:t>York Road</w:t>
      </w:r>
    </w:p>
    <w:p w14:paraId="569306BB" w14:textId="77777777" w:rsidR="00BC4BC5" w:rsidRDefault="00BC4BC5" w:rsidP="00BC4BC5">
      <w:pPr>
        <w:jc w:val="both"/>
        <w:rPr>
          <w:lang w:val="en-GB"/>
        </w:rPr>
      </w:pPr>
      <w:r>
        <w:rPr>
          <w:lang w:val="en-GB"/>
        </w:rPr>
        <w:tab/>
      </w:r>
      <w:r>
        <w:rPr>
          <w:lang w:val="en-GB"/>
        </w:rPr>
        <w:tab/>
      </w:r>
      <w:r>
        <w:rPr>
          <w:lang w:val="en-GB"/>
        </w:rPr>
        <w:tab/>
      </w:r>
      <w:r>
        <w:rPr>
          <w:lang w:val="en-GB"/>
        </w:rPr>
        <w:tab/>
      </w:r>
      <w:r>
        <w:rPr>
          <w:lang w:val="en-GB"/>
        </w:rPr>
        <w:tab/>
      </w:r>
      <w:r>
        <w:rPr>
          <w:lang w:val="en-GB"/>
        </w:rPr>
        <w:tab/>
        <w:t>Mthatha</w:t>
      </w:r>
    </w:p>
    <w:p w14:paraId="61762659" w14:textId="77777777" w:rsidR="00BC4BC5" w:rsidRDefault="00BC4BC5" w:rsidP="00BC4BC5">
      <w:pPr>
        <w:jc w:val="both"/>
        <w:rPr>
          <w:lang w:val="en-GB"/>
        </w:rPr>
      </w:pPr>
      <w:r>
        <w:rPr>
          <w:lang w:val="en-GB"/>
        </w:rPr>
        <w:tab/>
      </w:r>
      <w:r>
        <w:rPr>
          <w:lang w:val="en-GB"/>
        </w:rPr>
        <w:tab/>
      </w:r>
      <w:r>
        <w:rPr>
          <w:lang w:val="en-GB"/>
        </w:rPr>
        <w:tab/>
      </w:r>
      <w:r>
        <w:rPr>
          <w:lang w:val="en-GB"/>
        </w:rPr>
        <w:tab/>
      </w:r>
      <w:r>
        <w:rPr>
          <w:lang w:val="en-GB"/>
        </w:rPr>
        <w:tab/>
      </w:r>
      <w:r>
        <w:rPr>
          <w:lang w:val="en-GB"/>
        </w:rPr>
        <w:tab/>
        <w:t>047 532 3664</w:t>
      </w:r>
    </w:p>
    <w:p w14:paraId="3519C6F5" w14:textId="5436F2F9" w:rsidR="00BC4BC5" w:rsidRDefault="00BC4BC5" w:rsidP="00BC4BC5">
      <w:pPr>
        <w:jc w:val="both"/>
        <w:rPr>
          <w:lang w:val="en-GB"/>
        </w:rPr>
      </w:pPr>
      <w:r>
        <w:rPr>
          <w:lang w:val="en-GB"/>
        </w:rPr>
        <w:tab/>
      </w:r>
      <w:r>
        <w:rPr>
          <w:lang w:val="en-GB"/>
        </w:rPr>
        <w:tab/>
      </w:r>
      <w:r>
        <w:rPr>
          <w:lang w:val="en-GB"/>
        </w:rPr>
        <w:tab/>
      </w:r>
      <w:r>
        <w:rPr>
          <w:lang w:val="en-GB"/>
        </w:rPr>
        <w:tab/>
      </w:r>
      <w:r>
        <w:rPr>
          <w:lang w:val="en-GB"/>
        </w:rPr>
        <w:tab/>
      </w:r>
      <w:r>
        <w:rPr>
          <w:lang w:val="en-GB"/>
        </w:rPr>
        <w:tab/>
        <w:t>caps@mweb.co.za</w:t>
      </w:r>
    </w:p>
    <w:sectPr w:rsidR="00BC4BC5" w:rsidSect="00351CB7">
      <w:headerReference w:type="even" r:id="rId10"/>
      <w:headerReference w:type="default" r:id="rId11"/>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B481C" w14:textId="77777777" w:rsidR="00F24E75" w:rsidRDefault="00F24E75" w:rsidP="00005691">
      <w:r>
        <w:separator/>
      </w:r>
    </w:p>
  </w:endnote>
  <w:endnote w:type="continuationSeparator" w:id="0">
    <w:p w14:paraId="1371CF9E" w14:textId="77777777" w:rsidR="00F24E75" w:rsidRDefault="00F24E75" w:rsidP="0000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DD108" w14:textId="77777777" w:rsidR="00F24E75" w:rsidRDefault="00F24E75" w:rsidP="00005691">
      <w:r>
        <w:separator/>
      </w:r>
    </w:p>
  </w:footnote>
  <w:footnote w:type="continuationSeparator" w:id="0">
    <w:p w14:paraId="1F3C2C78" w14:textId="77777777" w:rsidR="00F24E75" w:rsidRDefault="00F24E75" w:rsidP="00005691">
      <w:r>
        <w:continuationSeparator/>
      </w:r>
    </w:p>
  </w:footnote>
  <w:footnote w:id="1">
    <w:p w14:paraId="44E46D82" w14:textId="6ACBD8A4" w:rsidR="00654344" w:rsidRPr="00654344" w:rsidRDefault="00654344" w:rsidP="00830A71">
      <w:pPr>
        <w:pStyle w:val="FootnoteText"/>
        <w:spacing w:line="240" w:lineRule="auto"/>
        <w:jc w:val="both"/>
        <w:rPr>
          <w:lang w:val="en-US"/>
        </w:rPr>
      </w:pPr>
      <w:r>
        <w:rPr>
          <w:rStyle w:val="FootnoteReference"/>
        </w:rPr>
        <w:footnoteRef/>
      </w:r>
      <w:r>
        <w:t xml:space="preserve"> </w:t>
      </w:r>
      <w:r>
        <w:rPr>
          <w:lang w:val="en-US"/>
        </w:rPr>
        <w:t>Act 40 of 2002.</w:t>
      </w:r>
    </w:p>
  </w:footnote>
  <w:footnote w:id="2">
    <w:p w14:paraId="1B008880" w14:textId="77777777" w:rsidR="00D90BEB" w:rsidRPr="00ED2E22" w:rsidRDefault="00D90BEB" w:rsidP="00830A71">
      <w:pPr>
        <w:pStyle w:val="FootnoteText"/>
        <w:spacing w:line="240" w:lineRule="auto"/>
        <w:jc w:val="both"/>
        <w:rPr>
          <w:lang w:val="en-US"/>
        </w:rPr>
      </w:pPr>
      <w:r>
        <w:rPr>
          <w:rStyle w:val="FootnoteReference"/>
        </w:rPr>
        <w:footnoteRef/>
      </w:r>
      <w:r>
        <w:t xml:space="preserve"> </w:t>
      </w:r>
      <w:r>
        <w:rPr>
          <w:lang w:val="en-US"/>
        </w:rPr>
        <w:t>S 12(3) of the Prescription Act, 1969.</w:t>
      </w:r>
    </w:p>
  </w:footnote>
  <w:footnote w:id="3">
    <w:p w14:paraId="7E8168C5" w14:textId="196B9C8E" w:rsidR="00D90BEB" w:rsidRPr="00B23E9D" w:rsidRDefault="00D90BEB" w:rsidP="00830A71">
      <w:pPr>
        <w:pStyle w:val="FootnoteText"/>
        <w:spacing w:line="240" w:lineRule="auto"/>
        <w:jc w:val="both"/>
        <w:rPr>
          <w:lang w:val="en-US"/>
        </w:rPr>
      </w:pPr>
      <w:r>
        <w:rPr>
          <w:rStyle w:val="FootnoteReference"/>
        </w:rPr>
        <w:footnoteRef/>
      </w:r>
      <w:r>
        <w:t xml:space="preserve"> </w:t>
      </w:r>
      <w:r>
        <w:rPr>
          <w:i/>
          <w:iCs/>
          <w:lang w:val="en-US"/>
        </w:rPr>
        <w:t xml:space="preserve">MEC for Health, Western Cape v MC </w:t>
      </w:r>
      <w:r>
        <w:rPr>
          <w:lang w:val="en-US"/>
        </w:rPr>
        <w:t>[2020] ZASCA</w:t>
      </w:r>
      <w:r w:rsidR="00C51E4B">
        <w:rPr>
          <w:lang w:val="en-US"/>
        </w:rPr>
        <w:t xml:space="preserve"> </w:t>
      </w:r>
      <w:r>
        <w:rPr>
          <w:lang w:val="en-US"/>
        </w:rPr>
        <w:t>165 para 7.</w:t>
      </w:r>
      <w:r w:rsidR="00B23E9D">
        <w:rPr>
          <w:lang w:val="en-US"/>
        </w:rPr>
        <w:t xml:space="preserve"> Mere opinion or supposition is insufficient as there must be justified, true belief: </w:t>
      </w:r>
      <w:r w:rsidR="00505BDB">
        <w:rPr>
          <w:i/>
          <w:iCs/>
          <w:lang w:val="en-US"/>
        </w:rPr>
        <w:t>Minister of Finance and Others v Gore NO</w:t>
      </w:r>
      <w:r w:rsidR="00505BDB">
        <w:rPr>
          <w:lang w:val="en-US"/>
        </w:rPr>
        <w:t xml:space="preserve"> 2007 (1) SA 111 (SCA); [2007] 1 All SA 309; [2006] ZASCA 98</w:t>
      </w:r>
      <w:r w:rsidR="0085135C">
        <w:rPr>
          <w:lang w:val="en-US"/>
        </w:rPr>
        <w:t xml:space="preserve"> </w:t>
      </w:r>
      <w:r w:rsidR="008A316C">
        <w:rPr>
          <w:lang w:val="en-US"/>
        </w:rPr>
        <w:t>(‘</w:t>
      </w:r>
      <w:r w:rsidR="008A316C">
        <w:rPr>
          <w:i/>
          <w:iCs/>
          <w:lang w:val="en-US"/>
        </w:rPr>
        <w:t>Gore</w:t>
      </w:r>
      <w:r w:rsidR="008A316C">
        <w:rPr>
          <w:lang w:val="en-US"/>
        </w:rPr>
        <w:t>’)</w:t>
      </w:r>
      <w:r w:rsidR="008A316C">
        <w:rPr>
          <w:i/>
          <w:iCs/>
          <w:lang w:val="en-US"/>
        </w:rPr>
        <w:t xml:space="preserve"> </w:t>
      </w:r>
      <w:r w:rsidR="00B23E9D">
        <w:rPr>
          <w:lang w:val="en-US"/>
        </w:rPr>
        <w:t>para 18.</w:t>
      </w:r>
    </w:p>
  </w:footnote>
  <w:footnote w:id="4">
    <w:p w14:paraId="459D3857" w14:textId="467CBDEE" w:rsidR="00D90BEB" w:rsidRPr="0032252B" w:rsidRDefault="00D90BEB" w:rsidP="00830A71">
      <w:pPr>
        <w:pStyle w:val="FootnoteText"/>
        <w:spacing w:line="240" w:lineRule="auto"/>
        <w:jc w:val="both"/>
        <w:rPr>
          <w:lang w:val="en-US"/>
        </w:rPr>
      </w:pPr>
      <w:r>
        <w:rPr>
          <w:rStyle w:val="FootnoteReference"/>
        </w:rPr>
        <w:footnoteRef/>
      </w:r>
      <w:r>
        <w:t xml:space="preserve"> </w:t>
      </w:r>
      <w:r>
        <w:rPr>
          <w:i/>
          <w:iCs/>
          <w:lang w:val="en-US"/>
        </w:rPr>
        <w:t>Links</w:t>
      </w:r>
      <w:r>
        <w:rPr>
          <w:lang w:val="en-US"/>
        </w:rPr>
        <w:t xml:space="preserve"> </w:t>
      </w:r>
      <w:r w:rsidR="00497006">
        <w:rPr>
          <w:i/>
          <w:iCs/>
          <w:lang w:val="en-US"/>
        </w:rPr>
        <w:t xml:space="preserve">v MEC, Department of Health, Northern Cape Province </w:t>
      </w:r>
      <w:r w:rsidR="00497006">
        <w:rPr>
          <w:lang w:val="en-US"/>
        </w:rPr>
        <w:t>[2016] ZACC 10; 2016 (4) SA 414 (CC)</w:t>
      </w:r>
      <w:r w:rsidR="0041749C">
        <w:rPr>
          <w:lang w:val="en-US"/>
        </w:rPr>
        <w:t xml:space="preserve">; 2016 (5) BCLR 656 </w:t>
      </w:r>
      <w:r w:rsidR="00C960C3">
        <w:rPr>
          <w:lang w:val="en-US"/>
        </w:rPr>
        <w:t>(‘</w:t>
      </w:r>
      <w:r w:rsidR="00C960C3">
        <w:rPr>
          <w:i/>
          <w:iCs/>
          <w:lang w:val="en-US"/>
        </w:rPr>
        <w:t>Links</w:t>
      </w:r>
      <w:r w:rsidR="00C960C3">
        <w:rPr>
          <w:lang w:val="en-US"/>
        </w:rPr>
        <w:t xml:space="preserve">’) </w:t>
      </w:r>
      <w:r>
        <w:rPr>
          <w:lang w:val="en-US"/>
        </w:rPr>
        <w:t>para</w:t>
      </w:r>
      <w:r w:rsidR="0074686C">
        <w:rPr>
          <w:lang w:val="en-US"/>
        </w:rPr>
        <w:t>s</w:t>
      </w:r>
      <w:r>
        <w:rPr>
          <w:lang w:val="en-US"/>
        </w:rPr>
        <w:t xml:space="preserve"> 30</w:t>
      </w:r>
      <w:r w:rsidR="0074686C">
        <w:rPr>
          <w:lang w:val="en-US"/>
        </w:rPr>
        <w:t>, 50</w:t>
      </w:r>
      <w:r w:rsidR="00C960C3">
        <w:rPr>
          <w:lang w:val="en-US"/>
        </w:rPr>
        <w:t>.</w:t>
      </w:r>
    </w:p>
  </w:footnote>
  <w:footnote w:id="5">
    <w:p w14:paraId="3B87354D" w14:textId="2BB91A52" w:rsidR="00D90BEB" w:rsidRPr="007F578D" w:rsidRDefault="00D90BEB" w:rsidP="00830A71">
      <w:pPr>
        <w:pStyle w:val="FootnoteText"/>
        <w:spacing w:line="240" w:lineRule="auto"/>
        <w:jc w:val="both"/>
        <w:rPr>
          <w:lang w:val="en-US"/>
        </w:rPr>
      </w:pPr>
      <w:r>
        <w:rPr>
          <w:rStyle w:val="FootnoteReference"/>
        </w:rPr>
        <w:footnoteRef/>
      </w:r>
      <w:r>
        <w:t xml:space="preserve"> </w:t>
      </w:r>
      <w:r>
        <w:rPr>
          <w:i/>
          <w:iCs/>
          <w:lang w:val="en-US"/>
        </w:rPr>
        <w:t>MEC for Health, Western Cape v MC</w:t>
      </w:r>
      <w:r>
        <w:rPr>
          <w:lang w:val="en-US"/>
        </w:rPr>
        <w:t xml:space="preserve"> n</w:t>
      </w:r>
      <w:r w:rsidR="0069645F">
        <w:rPr>
          <w:lang w:val="en-US"/>
        </w:rPr>
        <w:t xml:space="preserve"> </w:t>
      </w:r>
      <w:r w:rsidR="005B5D91">
        <w:rPr>
          <w:lang w:val="en-US"/>
        </w:rPr>
        <w:t>3</w:t>
      </w:r>
      <w:r>
        <w:rPr>
          <w:lang w:val="en-US"/>
        </w:rPr>
        <w:t xml:space="preserve"> para 8.</w:t>
      </w:r>
    </w:p>
  </w:footnote>
  <w:footnote w:id="6">
    <w:p w14:paraId="4D14A0B1" w14:textId="77777777" w:rsidR="00D90BEB" w:rsidRPr="001D0A72" w:rsidRDefault="00D90BEB" w:rsidP="00830A71">
      <w:pPr>
        <w:pStyle w:val="FootnoteText"/>
        <w:spacing w:line="240" w:lineRule="auto"/>
        <w:jc w:val="both"/>
        <w:rPr>
          <w:lang w:val="en-US"/>
        </w:rPr>
      </w:pPr>
      <w:r>
        <w:rPr>
          <w:rStyle w:val="FootnoteReference"/>
        </w:rPr>
        <w:footnoteRef/>
      </w:r>
      <w:r>
        <w:t xml:space="preserve"> </w:t>
      </w:r>
      <w:r>
        <w:rPr>
          <w:i/>
          <w:iCs/>
          <w:lang w:val="en-US"/>
        </w:rPr>
        <w:t xml:space="preserve">WK Construction (Pty) Ltd v Moores Rowland and Others </w:t>
      </w:r>
      <w:r>
        <w:rPr>
          <w:lang w:val="en-US"/>
        </w:rPr>
        <w:t>2022 (6) SA 180 (SCA) para 32.</w:t>
      </w:r>
    </w:p>
  </w:footnote>
  <w:footnote w:id="7">
    <w:p w14:paraId="2B657859" w14:textId="358789AA" w:rsidR="00D90BEB" w:rsidRPr="002A43B1" w:rsidRDefault="00D90BEB" w:rsidP="00830A71">
      <w:pPr>
        <w:pStyle w:val="FootnoteText"/>
        <w:spacing w:line="240" w:lineRule="auto"/>
        <w:jc w:val="both"/>
        <w:rPr>
          <w:lang w:val="en-US"/>
        </w:rPr>
      </w:pPr>
      <w:r>
        <w:rPr>
          <w:rStyle w:val="FootnoteReference"/>
        </w:rPr>
        <w:footnoteRef/>
      </w:r>
      <w:r>
        <w:t xml:space="preserve"> </w:t>
      </w:r>
      <w:r>
        <w:rPr>
          <w:i/>
          <w:iCs/>
          <w:lang w:val="en-US"/>
        </w:rPr>
        <w:t>Links</w:t>
      </w:r>
      <w:r>
        <w:rPr>
          <w:lang w:val="en-US"/>
        </w:rPr>
        <w:t xml:space="preserve"> </w:t>
      </w:r>
      <w:r w:rsidR="008C194C">
        <w:rPr>
          <w:lang w:val="en-US"/>
        </w:rPr>
        <w:t>n</w:t>
      </w:r>
      <w:r w:rsidR="0069645F">
        <w:rPr>
          <w:lang w:val="en-US"/>
        </w:rPr>
        <w:t xml:space="preserve"> </w:t>
      </w:r>
      <w:r w:rsidR="008C194C">
        <w:rPr>
          <w:lang w:val="en-US"/>
        </w:rPr>
        <w:t xml:space="preserve">4 </w:t>
      </w:r>
      <w:r>
        <w:rPr>
          <w:lang w:val="en-US"/>
        </w:rPr>
        <w:t>para 42.</w:t>
      </w:r>
    </w:p>
  </w:footnote>
  <w:footnote w:id="8">
    <w:p w14:paraId="526889A5" w14:textId="0CCC7AE2" w:rsidR="00013486" w:rsidRPr="00013486" w:rsidRDefault="00013486" w:rsidP="00830A71">
      <w:pPr>
        <w:pStyle w:val="FootnoteText"/>
        <w:spacing w:line="240" w:lineRule="auto"/>
        <w:jc w:val="both"/>
        <w:rPr>
          <w:lang w:val="en-US"/>
        </w:rPr>
      </w:pPr>
      <w:r>
        <w:rPr>
          <w:rStyle w:val="FootnoteReference"/>
        </w:rPr>
        <w:footnoteRef/>
      </w:r>
      <w:r>
        <w:t xml:space="preserve"> </w:t>
      </w:r>
      <w:r w:rsidR="008C194C">
        <w:rPr>
          <w:lang w:val="en-US"/>
        </w:rPr>
        <w:t>Id</w:t>
      </w:r>
      <w:r>
        <w:rPr>
          <w:lang w:val="en-US"/>
        </w:rPr>
        <w:t>.</w:t>
      </w:r>
    </w:p>
  </w:footnote>
  <w:footnote w:id="9">
    <w:p w14:paraId="6EC6C433" w14:textId="2D74FDB4" w:rsidR="00D90BEB" w:rsidRPr="001B534A" w:rsidRDefault="00D90BEB" w:rsidP="00830A71">
      <w:pPr>
        <w:pStyle w:val="FootnoteText"/>
        <w:spacing w:line="240" w:lineRule="auto"/>
        <w:jc w:val="both"/>
        <w:rPr>
          <w:lang w:val="en-US"/>
        </w:rPr>
      </w:pPr>
      <w:r>
        <w:rPr>
          <w:rStyle w:val="FootnoteReference"/>
        </w:rPr>
        <w:footnoteRef/>
      </w:r>
      <w:r>
        <w:t xml:space="preserve"> </w:t>
      </w:r>
      <w:r w:rsidR="00661122">
        <w:rPr>
          <w:lang w:val="en-US"/>
        </w:rPr>
        <w:t>Id</w:t>
      </w:r>
      <w:r>
        <w:rPr>
          <w:lang w:val="en-US"/>
        </w:rPr>
        <w:t xml:space="preserve"> para 24</w:t>
      </w:r>
      <w:r w:rsidR="001B534A">
        <w:rPr>
          <w:lang w:val="en-US"/>
        </w:rPr>
        <w:t xml:space="preserve">; </w:t>
      </w:r>
      <w:r w:rsidR="001B534A">
        <w:rPr>
          <w:i/>
          <w:iCs/>
          <w:lang w:val="en-US"/>
        </w:rPr>
        <w:t xml:space="preserve">MEC for Health, Western Cape v MC </w:t>
      </w:r>
      <w:r w:rsidR="001B534A">
        <w:rPr>
          <w:lang w:val="en-US"/>
        </w:rPr>
        <w:t xml:space="preserve">n </w:t>
      </w:r>
      <w:r w:rsidR="00676F36">
        <w:rPr>
          <w:lang w:val="en-US"/>
        </w:rPr>
        <w:t>3</w:t>
      </w:r>
      <w:r w:rsidR="001B534A">
        <w:rPr>
          <w:lang w:val="en-US"/>
        </w:rPr>
        <w:t xml:space="preserve"> para 8.</w:t>
      </w:r>
    </w:p>
  </w:footnote>
  <w:footnote w:id="10">
    <w:p w14:paraId="71F0474A" w14:textId="77777777" w:rsidR="00D90BEB" w:rsidRPr="00111AB7" w:rsidRDefault="00D90BEB" w:rsidP="00830A71">
      <w:pPr>
        <w:pStyle w:val="FootnoteText"/>
        <w:spacing w:line="240" w:lineRule="auto"/>
        <w:jc w:val="both"/>
        <w:rPr>
          <w:lang w:val="en-US"/>
        </w:rPr>
      </w:pPr>
      <w:r>
        <w:rPr>
          <w:rStyle w:val="FootnoteReference"/>
        </w:rPr>
        <w:footnoteRef/>
      </w:r>
      <w:r>
        <w:t xml:space="preserve"> </w:t>
      </w:r>
      <w:r>
        <w:rPr>
          <w:i/>
          <w:iCs/>
          <w:lang w:val="en-US"/>
        </w:rPr>
        <w:t>Claasen v Bester</w:t>
      </w:r>
      <w:r>
        <w:rPr>
          <w:lang w:val="en-US"/>
        </w:rPr>
        <w:t xml:space="preserve"> 2012 (2) SA 404 (SCA); [2011] ZASCA 197 para 15.</w:t>
      </w:r>
    </w:p>
  </w:footnote>
  <w:footnote w:id="11">
    <w:p w14:paraId="55A141F4" w14:textId="23E03BB5" w:rsidR="00D90BEB" w:rsidRPr="001E2BDC" w:rsidRDefault="00D90BEB" w:rsidP="00830A71">
      <w:pPr>
        <w:pStyle w:val="FootnoteText"/>
        <w:spacing w:line="240" w:lineRule="auto"/>
        <w:jc w:val="both"/>
        <w:rPr>
          <w:lang w:val="en-US"/>
        </w:rPr>
      </w:pPr>
      <w:r>
        <w:rPr>
          <w:rStyle w:val="FootnoteReference"/>
        </w:rPr>
        <w:footnoteRef/>
      </w:r>
      <w:r>
        <w:t xml:space="preserve"> </w:t>
      </w:r>
      <w:r>
        <w:rPr>
          <w:i/>
          <w:iCs/>
          <w:lang w:val="en-US"/>
        </w:rPr>
        <w:t xml:space="preserve">WK Construction (Pty) Ltd </w:t>
      </w:r>
      <w:r w:rsidR="00A228CA">
        <w:rPr>
          <w:lang w:val="en-US"/>
        </w:rPr>
        <w:t xml:space="preserve">n 6 </w:t>
      </w:r>
      <w:r>
        <w:rPr>
          <w:lang w:val="en-US"/>
        </w:rPr>
        <w:t>para 33</w:t>
      </w:r>
      <w:r w:rsidR="001C18FB">
        <w:rPr>
          <w:lang w:val="en-US"/>
        </w:rPr>
        <w:t xml:space="preserve">; </w:t>
      </w:r>
      <w:r w:rsidR="00232E44">
        <w:rPr>
          <w:i/>
          <w:iCs/>
          <w:lang w:val="en-US"/>
        </w:rPr>
        <w:t xml:space="preserve">Loni v MEC, Department of Health, Eastern Cape Bhisho </w:t>
      </w:r>
      <w:r w:rsidR="00232E44">
        <w:rPr>
          <w:lang w:val="en-US"/>
        </w:rPr>
        <w:t xml:space="preserve">[2018] ZACC 2; 2018 (3) SA 335 (CC); 2018 (6) BCLR 659 (CC) </w:t>
      </w:r>
      <w:r w:rsidR="002E3741">
        <w:rPr>
          <w:lang w:val="en-US"/>
        </w:rPr>
        <w:t>(</w:t>
      </w:r>
      <w:r w:rsidR="002E3741" w:rsidRPr="002E3741">
        <w:rPr>
          <w:i/>
          <w:iCs/>
          <w:lang w:val="en-US"/>
        </w:rPr>
        <w:t>'</w:t>
      </w:r>
      <w:r w:rsidR="002E3741">
        <w:rPr>
          <w:i/>
          <w:iCs/>
          <w:lang w:val="en-US"/>
        </w:rPr>
        <w:t>Loni</w:t>
      </w:r>
      <w:r w:rsidR="002E3741">
        <w:rPr>
          <w:lang w:val="en-US"/>
        </w:rPr>
        <w:t>’)</w:t>
      </w:r>
      <w:r w:rsidR="002E3741">
        <w:rPr>
          <w:i/>
          <w:iCs/>
          <w:lang w:val="en-US"/>
        </w:rPr>
        <w:t xml:space="preserve"> </w:t>
      </w:r>
      <w:r w:rsidR="001C18FB" w:rsidRPr="008578A7">
        <w:rPr>
          <w:lang w:val="en-US"/>
        </w:rPr>
        <w:t>para</w:t>
      </w:r>
      <w:r w:rsidR="001C18FB">
        <w:rPr>
          <w:lang w:val="en-US"/>
        </w:rPr>
        <w:t xml:space="preserve"> 30.</w:t>
      </w:r>
    </w:p>
  </w:footnote>
  <w:footnote w:id="12">
    <w:p w14:paraId="266C0BE7" w14:textId="77777777" w:rsidR="00D90BEB" w:rsidRPr="003D07BE" w:rsidRDefault="00D90BEB" w:rsidP="00830A71">
      <w:pPr>
        <w:pStyle w:val="FootnoteText"/>
        <w:spacing w:line="240" w:lineRule="auto"/>
        <w:jc w:val="both"/>
        <w:rPr>
          <w:lang w:val="en-US"/>
        </w:rPr>
      </w:pPr>
      <w:r>
        <w:rPr>
          <w:rStyle w:val="FootnoteReference"/>
        </w:rPr>
        <w:footnoteRef/>
      </w:r>
      <w:r>
        <w:t xml:space="preserve"> </w:t>
      </w:r>
      <w:r>
        <w:rPr>
          <w:i/>
          <w:iCs/>
          <w:lang w:val="en-US"/>
        </w:rPr>
        <w:t>Van Staden v Fourie</w:t>
      </w:r>
      <w:r>
        <w:rPr>
          <w:lang w:val="en-US"/>
        </w:rPr>
        <w:t xml:space="preserve"> 1989 (3) SA 200 (A); [1989] ZASCA 36 at 216B-F.</w:t>
      </w:r>
    </w:p>
  </w:footnote>
  <w:footnote w:id="13">
    <w:p w14:paraId="1A1163BA" w14:textId="510CA2E3" w:rsidR="00D90BEB" w:rsidRPr="004A14FC" w:rsidRDefault="00D90BEB" w:rsidP="00830A71">
      <w:pPr>
        <w:pStyle w:val="FootnoteText"/>
        <w:spacing w:line="240" w:lineRule="auto"/>
        <w:jc w:val="both"/>
        <w:rPr>
          <w:lang w:val="en-US"/>
        </w:rPr>
      </w:pPr>
      <w:r>
        <w:rPr>
          <w:rStyle w:val="FootnoteReference"/>
        </w:rPr>
        <w:footnoteRef/>
      </w:r>
      <w:r>
        <w:t xml:space="preserve"> </w:t>
      </w:r>
      <w:r w:rsidR="00870556">
        <w:rPr>
          <w:i/>
          <w:iCs/>
        </w:rPr>
        <w:t xml:space="preserve">Gore </w:t>
      </w:r>
      <w:r w:rsidR="00870556">
        <w:t xml:space="preserve">n </w:t>
      </w:r>
      <w:r w:rsidR="0080286F">
        <w:t>3</w:t>
      </w:r>
      <w:r w:rsidR="00870556">
        <w:t xml:space="preserve"> </w:t>
      </w:r>
      <w:r>
        <w:rPr>
          <w:lang w:val="en-US"/>
        </w:rPr>
        <w:t>para 17.</w:t>
      </w:r>
    </w:p>
  </w:footnote>
  <w:footnote w:id="14">
    <w:p w14:paraId="54BE1432" w14:textId="03711B70" w:rsidR="00BB0BA7" w:rsidRPr="00CE52A6" w:rsidRDefault="00BB0BA7" w:rsidP="00830A71">
      <w:pPr>
        <w:pStyle w:val="FootnoteText"/>
        <w:spacing w:line="240" w:lineRule="auto"/>
        <w:jc w:val="both"/>
        <w:rPr>
          <w:lang w:val="en-US"/>
        </w:rPr>
      </w:pPr>
      <w:r>
        <w:rPr>
          <w:rStyle w:val="FootnoteReference"/>
        </w:rPr>
        <w:footnoteRef/>
      </w:r>
      <w:r>
        <w:t xml:space="preserve"> </w:t>
      </w:r>
      <w:r>
        <w:rPr>
          <w:i/>
          <w:iCs/>
          <w:lang w:val="en-US"/>
        </w:rPr>
        <w:t xml:space="preserve">Loni </w:t>
      </w:r>
      <w:r w:rsidR="00DF47D9">
        <w:rPr>
          <w:lang w:val="en-US"/>
        </w:rPr>
        <w:t xml:space="preserve">n 11 </w:t>
      </w:r>
      <w:r>
        <w:rPr>
          <w:lang w:val="en-US"/>
        </w:rPr>
        <w:t xml:space="preserve">paras 29, 30. In </w:t>
      </w:r>
      <w:r>
        <w:rPr>
          <w:i/>
          <w:iCs/>
          <w:lang w:val="en-US"/>
        </w:rPr>
        <w:t>Links</w:t>
      </w:r>
      <w:r>
        <w:rPr>
          <w:lang w:val="en-US"/>
        </w:rPr>
        <w:t xml:space="preserve">, the Constitutional Court considered the plaintiff’s knowledge of the facts that had caused his medical condition to be material knowledge required before the institution of action, and held that this was the case irrespective of whether the claim that followed proceeded on the basis of breach of contract or delict: </w:t>
      </w:r>
      <w:r>
        <w:rPr>
          <w:i/>
          <w:iCs/>
          <w:lang w:val="en-US"/>
        </w:rPr>
        <w:t xml:space="preserve">Links </w:t>
      </w:r>
      <w:r>
        <w:rPr>
          <w:lang w:val="en-US"/>
        </w:rPr>
        <w:t xml:space="preserve">n </w:t>
      </w:r>
      <w:r w:rsidR="00E231A9">
        <w:rPr>
          <w:lang w:val="en-US"/>
        </w:rPr>
        <w:t>4</w:t>
      </w:r>
      <w:r>
        <w:rPr>
          <w:lang w:val="en-US"/>
        </w:rPr>
        <w:t xml:space="preserve"> para 46. </w:t>
      </w:r>
    </w:p>
  </w:footnote>
  <w:footnote w:id="15">
    <w:p w14:paraId="2BF587AB" w14:textId="5446A728" w:rsidR="00165284" w:rsidRPr="00816D46" w:rsidRDefault="00165284" w:rsidP="00830A71">
      <w:pPr>
        <w:pStyle w:val="FootnoteText"/>
        <w:spacing w:line="240" w:lineRule="auto"/>
        <w:jc w:val="both"/>
        <w:rPr>
          <w:lang w:val="en-US"/>
        </w:rPr>
      </w:pPr>
      <w:r>
        <w:rPr>
          <w:rStyle w:val="FootnoteReference"/>
        </w:rPr>
        <w:footnoteRef/>
      </w:r>
      <w:r>
        <w:t xml:space="preserve"> </w:t>
      </w:r>
      <w:r>
        <w:rPr>
          <w:i/>
          <w:iCs/>
          <w:lang w:val="en-US"/>
        </w:rPr>
        <w:t xml:space="preserve">MEC for Health, Western Cape v MC </w:t>
      </w:r>
      <w:r w:rsidR="00AE2E8B">
        <w:rPr>
          <w:lang w:val="en-US"/>
        </w:rPr>
        <w:t>n</w:t>
      </w:r>
      <w:r w:rsidR="0069645F">
        <w:rPr>
          <w:lang w:val="en-US"/>
        </w:rPr>
        <w:t xml:space="preserve"> </w:t>
      </w:r>
      <w:r w:rsidR="00AE2E8B">
        <w:rPr>
          <w:lang w:val="en-US"/>
        </w:rPr>
        <w:t>3</w:t>
      </w:r>
      <w:r>
        <w:rPr>
          <w:lang w:val="en-US"/>
        </w:rPr>
        <w:t xml:space="preserve"> paras 10-13. </w:t>
      </w:r>
    </w:p>
  </w:footnote>
  <w:footnote w:id="16">
    <w:p w14:paraId="4818192C" w14:textId="77777777" w:rsidR="009F082D" w:rsidRPr="0004556F" w:rsidRDefault="009F082D" w:rsidP="00830A71">
      <w:pPr>
        <w:pStyle w:val="FootnoteText"/>
        <w:spacing w:line="240" w:lineRule="auto"/>
        <w:jc w:val="both"/>
        <w:rPr>
          <w:lang w:val="en-US"/>
        </w:rPr>
      </w:pPr>
      <w:r>
        <w:rPr>
          <w:rStyle w:val="FootnoteReference"/>
        </w:rPr>
        <w:footnoteRef/>
      </w:r>
      <w:r>
        <w:t xml:space="preserve"> </w:t>
      </w:r>
      <w:r>
        <w:rPr>
          <w:i/>
          <w:iCs/>
          <w:lang w:val="en-US"/>
        </w:rPr>
        <w:t>Gericke v Sack</w:t>
      </w:r>
      <w:r>
        <w:rPr>
          <w:lang w:val="en-US"/>
        </w:rPr>
        <w:t xml:space="preserve"> 1978 (1) SA 821 (A).</w:t>
      </w:r>
    </w:p>
  </w:footnote>
  <w:footnote w:id="17">
    <w:p w14:paraId="5F8A7AFC" w14:textId="39FD6A36" w:rsidR="009F082D" w:rsidRPr="00E241EB" w:rsidRDefault="009F082D" w:rsidP="00830A71">
      <w:pPr>
        <w:pStyle w:val="FootnoteText"/>
        <w:spacing w:line="240" w:lineRule="auto"/>
        <w:jc w:val="both"/>
        <w:rPr>
          <w:lang w:val="en-US"/>
        </w:rPr>
      </w:pPr>
      <w:r>
        <w:rPr>
          <w:rStyle w:val="FootnoteReference"/>
        </w:rPr>
        <w:footnoteRef/>
      </w:r>
      <w:r>
        <w:t xml:space="preserve"> </w:t>
      </w:r>
      <w:r>
        <w:rPr>
          <w:i/>
          <w:iCs/>
          <w:lang w:val="en-US"/>
        </w:rPr>
        <w:t>Greater Tzaneen Municipality v Bravospan 252 CC</w:t>
      </w:r>
      <w:r>
        <w:rPr>
          <w:lang w:val="en-US"/>
        </w:rPr>
        <w:t xml:space="preserve"> [2022] ZASCA 155 para 14. It is impermissible to advance a different case on appeal. </w:t>
      </w:r>
      <w:r w:rsidRPr="002E1CFA">
        <w:rPr>
          <w:lang w:val="en-US"/>
        </w:rPr>
        <w:t xml:space="preserve">Cf </w:t>
      </w:r>
      <w:r>
        <w:rPr>
          <w:i/>
          <w:iCs/>
          <w:lang w:val="en-US"/>
        </w:rPr>
        <w:t xml:space="preserve">Links </w:t>
      </w:r>
      <w:r w:rsidR="000705B9">
        <w:rPr>
          <w:lang w:val="en-US"/>
        </w:rPr>
        <w:t xml:space="preserve">n 4 </w:t>
      </w:r>
      <w:r>
        <w:rPr>
          <w:lang w:val="en-US"/>
        </w:rPr>
        <w:t>paras 24, 44.</w:t>
      </w:r>
    </w:p>
  </w:footnote>
  <w:footnote w:id="18">
    <w:p w14:paraId="5E9CF2C2" w14:textId="09E31C9D" w:rsidR="009F082D" w:rsidRPr="00181A4D" w:rsidRDefault="009F082D" w:rsidP="00830A71">
      <w:pPr>
        <w:pStyle w:val="FootnoteText"/>
        <w:spacing w:line="240" w:lineRule="auto"/>
        <w:jc w:val="both"/>
        <w:rPr>
          <w:lang w:val="en-US"/>
        </w:rPr>
      </w:pPr>
      <w:r>
        <w:rPr>
          <w:rStyle w:val="FootnoteReference"/>
        </w:rPr>
        <w:footnoteRef/>
      </w:r>
      <w:r>
        <w:t xml:space="preserve"> </w:t>
      </w:r>
      <w:r>
        <w:rPr>
          <w:lang w:val="en-US"/>
        </w:rPr>
        <w:t xml:space="preserve">See </w:t>
      </w:r>
      <w:r>
        <w:rPr>
          <w:i/>
          <w:iCs/>
          <w:lang w:val="en-US"/>
        </w:rPr>
        <w:t xml:space="preserve">Links </w:t>
      </w:r>
      <w:r>
        <w:rPr>
          <w:lang w:val="en-US"/>
        </w:rPr>
        <w:t xml:space="preserve">n </w:t>
      </w:r>
      <w:r w:rsidR="00774A88">
        <w:rPr>
          <w:lang w:val="en-US"/>
        </w:rPr>
        <w:t>4</w:t>
      </w:r>
      <w:r>
        <w:rPr>
          <w:lang w:val="en-US"/>
        </w:rPr>
        <w:t xml:space="preserve"> paras 41, 44.</w:t>
      </w:r>
    </w:p>
  </w:footnote>
  <w:footnote w:id="19">
    <w:p w14:paraId="50778AC6" w14:textId="32E3AF4A" w:rsidR="005377E4" w:rsidRPr="003825FD" w:rsidRDefault="005377E4" w:rsidP="00830A71">
      <w:pPr>
        <w:pStyle w:val="FootnoteText"/>
        <w:spacing w:line="240" w:lineRule="auto"/>
        <w:jc w:val="both"/>
        <w:rPr>
          <w:lang w:val="en-US"/>
        </w:rPr>
      </w:pPr>
      <w:r>
        <w:rPr>
          <w:rStyle w:val="FootnoteReference"/>
        </w:rPr>
        <w:footnoteRef/>
      </w:r>
      <w:r>
        <w:t xml:space="preserve"> </w:t>
      </w:r>
      <w:r w:rsidR="001561E5">
        <w:rPr>
          <w:lang w:val="en-US"/>
        </w:rPr>
        <w:t>I</w:t>
      </w:r>
      <w:r w:rsidR="00774A88">
        <w:rPr>
          <w:lang w:val="en-US"/>
        </w:rPr>
        <w:t>d</w:t>
      </w:r>
      <w:r>
        <w:rPr>
          <w:i/>
          <w:iCs/>
          <w:lang w:val="en-US"/>
        </w:rPr>
        <w:t xml:space="preserve"> </w:t>
      </w:r>
      <w:r>
        <w:rPr>
          <w:lang w:val="en-US"/>
        </w:rPr>
        <w:t xml:space="preserve">para 46; Also see </w:t>
      </w:r>
      <w:r>
        <w:rPr>
          <w:i/>
          <w:iCs/>
          <w:lang w:val="en-US"/>
        </w:rPr>
        <w:t>MEC for Health, Western Cape v MC</w:t>
      </w:r>
      <w:r>
        <w:rPr>
          <w:lang w:val="en-US"/>
        </w:rPr>
        <w:t xml:space="preserve"> n </w:t>
      </w:r>
      <w:r w:rsidR="002E1CFA">
        <w:rPr>
          <w:lang w:val="en-US"/>
        </w:rPr>
        <w:t>3</w:t>
      </w:r>
      <w:r>
        <w:rPr>
          <w:lang w:val="en-US"/>
        </w:rPr>
        <w:t xml:space="preserve"> para 9.</w:t>
      </w:r>
    </w:p>
  </w:footnote>
  <w:footnote w:id="20">
    <w:p w14:paraId="0F505D25" w14:textId="32BFCFC8" w:rsidR="004A5614" w:rsidRPr="004A5614" w:rsidRDefault="004A5614" w:rsidP="00830A71">
      <w:pPr>
        <w:pStyle w:val="FootnoteText"/>
        <w:spacing w:line="240" w:lineRule="auto"/>
        <w:jc w:val="both"/>
        <w:rPr>
          <w:lang w:val="en-US"/>
        </w:rPr>
      </w:pPr>
      <w:r>
        <w:rPr>
          <w:rStyle w:val="FootnoteReference"/>
        </w:rPr>
        <w:footnoteRef/>
      </w:r>
      <w:r>
        <w:t xml:space="preserve"> </w:t>
      </w:r>
      <w:r>
        <w:rPr>
          <w:i/>
          <w:iCs/>
          <w:lang w:val="en-US"/>
        </w:rPr>
        <w:t>Gericke v Sack</w:t>
      </w:r>
      <w:r>
        <w:rPr>
          <w:lang w:val="en-US"/>
        </w:rPr>
        <w:t xml:space="preserve"> </w:t>
      </w:r>
      <w:r w:rsidR="005510DD">
        <w:rPr>
          <w:lang w:val="en-US"/>
        </w:rPr>
        <w:t>n 16</w:t>
      </w:r>
      <w:r>
        <w:rPr>
          <w:lang w:val="en-US"/>
        </w:rPr>
        <w:t xml:space="preserve"> at 827D-G.</w:t>
      </w:r>
    </w:p>
  </w:footnote>
  <w:footnote w:id="21">
    <w:p w14:paraId="3717303D" w14:textId="73A775C8" w:rsidR="00B06D35" w:rsidRPr="00B06D35" w:rsidRDefault="00B06D35" w:rsidP="00830A71">
      <w:pPr>
        <w:pStyle w:val="FootnoteText"/>
        <w:spacing w:line="240" w:lineRule="auto"/>
        <w:jc w:val="both"/>
        <w:rPr>
          <w:lang w:val="en-US"/>
        </w:rPr>
      </w:pPr>
      <w:r>
        <w:rPr>
          <w:rStyle w:val="FootnoteReference"/>
        </w:rPr>
        <w:footnoteRef/>
      </w:r>
      <w:r>
        <w:t xml:space="preserve"> </w:t>
      </w:r>
      <w:r>
        <w:rPr>
          <w:i/>
          <w:iCs/>
          <w:lang w:val="en-US"/>
        </w:rPr>
        <w:t>Union Government (Minister of Railways) v Sykes</w:t>
      </w:r>
      <w:r>
        <w:rPr>
          <w:lang w:val="en-US"/>
        </w:rPr>
        <w:t xml:space="preserve"> 1913 AD 156 at 173.</w:t>
      </w:r>
    </w:p>
  </w:footnote>
  <w:footnote w:id="22">
    <w:p w14:paraId="39C80E68" w14:textId="5230E7E7" w:rsidR="00F94B42" w:rsidRPr="00F94B42" w:rsidRDefault="00F94B42" w:rsidP="00830A71">
      <w:pPr>
        <w:pStyle w:val="FootnoteText"/>
        <w:spacing w:line="240" w:lineRule="auto"/>
        <w:jc w:val="both"/>
        <w:rPr>
          <w:lang w:val="en-US"/>
        </w:rPr>
      </w:pPr>
      <w:r>
        <w:rPr>
          <w:rStyle w:val="FootnoteReference"/>
        </w:rPr>
        <w:footnoteRef/>
      </w:r>
      <w:r>
        <w:t xml:space="preserve"> </w:t>
      </w:r>
      <w:r>
        <w:rPr>
          <w:lang w:val="en-US"/>
        </w:rPr>
        <w:t xml:space="preserve">See </w:t>
      </w:r>
      <w:r>
        <w:rPr>
          <w:i/>
          <w:iCs/>
          <w:lang w:val="en-US"/>
        </w:rPr>
        <w:t>Gericke v Sack</w:t>
      </w:r>
      <w:r>
        <w:rPr>
          <w:lang w:val="en-US"/>
        </w:rPr>
        <w:t xml:space="preserve"> </w:t>
      </w:r>
      <w:r w:rsidR="00680019">
        <w:rPr>
          <w:lang w:val="en-US"/>
        </w:rPr>
        <w:t xml:space="preserve">n </w:t>
      </w:r>
      <w:r w:rsidR="003A4B54">
        <w:rPr>
          <w:lang w:val="en-US"/>
        </w:rPr>
        <w:t>16</w:t>
      </w:r>
      <w:r>
        <w:rPr>
          <w:lang w:val="en-US"/>
        </w:rPr>
        <w:t xml:space="preserve"> at 827H-828B, read with </w:t>
      </w:r>
      <w:r>
        <w:rPr>
          <w:i/>
          <w:iCs/>
          <w:lang w:val="en-US"/>
        </w:rPr>
        <w:t xml:space="preserve">Macleod v Kweyiya </w:t>
      </w:r>
      <w:r>
        <w:rPr>
          <w:lang w:val="en-US"/>
        </w:rPr>
        <w:t>2013 (6) SA 1 (SCA) para 10.</w:t>
      </w:r>
    </w:p>
  </w:footnote>
  <w:footnote w:id="23">
    <w:p w14:paraId="6B1629E4" w14:textId="6784DF01" w:rsidR="00CC7F36" w:rsidRPr="00CC7F36" w:rsidRDefault="00CC7F36" w:rsidP="00830A71">
      <w:pPr>
        <w:pStyle w:val="FootnoteText"/>
        <w:spacing w:line="240" w:lineRule="auto"/>
        <w:jc w:val="both"/>
        <w:rPr>
          <w:lang w:val="en-US"/>
        </w:rPr>
      </w:pPr>
      <w:r>
        <w:rPr>
          <w:rStyle w:val="FootnoteReference"/>
        </w:rPr>
        <w:footnoteRef/>
      </w:r>
      <w:r>
        <w:t xml:space="preserve"> </w:t>
      </w:r>
      <w:r>
        <w:rPr>
          <w:i/>
          <w:iCs/>
          <w:lang w:val="en-US"/>
        </w:rPr>
        <w:t>Macleod v Kweyiya</w:t>
      </w:r>
      <w:r>
        <w:rPr>
          <w:lang w:val="en-US"/>
        </w:rPr>
        <w:t xml:space="preserve"> </w:t>
      </w:r>
      <w:r w:rsidR="00AB2338">
        <w:rPr>
          <w:lang w:val="en-US"/>
        </w:rPr>
        <w:t>id</w:t>
      </w:r>
      <w:r>
        <w:rPr>
          <w:lang w:val="en-US"/>
        </w:rPr>
        <w:t xml:space="preserve"> para 10.</w:t>
      </w:r>
    </w:p>
  </w:footnote>
  <w:footnote w:id="24">
    <w:p w14:paraId="1DDD4C22" w14:textId="61B85E4C" w:rsidR="00834E99" w:rsidRPr="0067193A" w:rsidRDefault="00834E99" w:rsidP="00830A71">
      <w:pPr>
        <w:pStyle w:val="FootnoteText"/>
        <w:spacing w:line="240" w:lineRule="auto"/>
        <w:jc w:val="both"/>
        <w:rPr>
          <w:i/>
          <w:iCs/>
          <w:lang w:val="en-US"/>
        </w:rPr>
      </w:pPr>
      <w:r>
        <w:rPr>
          <w:rStyle w:val="FootnoteReference"/>
        </w:rPr>
        <w:footnoteRef/>
      </w:r>
      <w:r>
        <w:t xml:space="preserve"> </w:t>
      </w:r>
      <w:r>
        <w:rPr>
          <w:i/>
          <w:iCs/>
          <w:lang w:val="en-US"/>
        </w:rPr>
        <w:t>Gericke v Sack</w:t>
      </w:r>
      <w:r>
        <w:rPr>
          <w:lang w:val="en-US"/>
        </w:rPr>
        <w:t xml:space="preserve"> n </w:t>
      </w:r>
      <w:r w:rsidR="00BE769C">
        <w:rPr>
          <w:lang w:val="en-US"/>
        </w:rPr>
        <w:t>16</w:t>
      </w:r>
      <w:r>
        <w:rPr>
          <w:lang w:val="en-US"/>
        </w:rPr>
        <w:t xml:space="preserve"> at 828B.</w:t>
      </w:r>
      <w:r w:rsidR="0067193A">
        <w:rPr>
          <w:lang w:val="en-US"/>
        </w:rPr>
        <w:t xml:space="preserve"> </w:t>
      </w:r>
    </w:p>
  </w:footnote>
  <w:footnote w:id="25">
    <w:p w14:paraId="2D477D30" w14:textId="4A49D52D" w:rsidR="00527C9A" w:rsidRPr="002F0EA1" w:rsidRDefault="00527C9A" w:rsidP="00830A71">
      <w:pPr>
        <w:pStyle w:val="FootnoteText"/>
        <w:spacing w:line="240" w:lineRule="auto"/>
        <w:jc w:val="both"/>
        <w:rPr>
          <w:lang w:val="en-US"/>
        </w:rPr>
      </w:pPr>
      <w:r>
        <w:rPr>
          <w:rStyle w:val="FootnoteReference"/>
        </w:rPr>
        <w:footnoteRef/>
      </w:r>
      <w:r>
        <w:t xml:space="preserve"> </w:t>
      </w:r>
      <w:r>
        <w:rPr>
          <w:lang w:val="en-US"/>
        </w:rPr>
        <w:t xml:space="preserve">See </w:t>
      </w:r>
      <w:r>
        <w:rPr>
          <w:i/>
          <w:iCs/>
          <w:lang w:val="en-US"/>
        </w:rPr>
        <w:t>Lekup Properties</w:t>
      </w:r>
      <w:r w:rsidR="00E02521">
        <w:rPr>
          <w:i/>
          <w:iCs/>
          <w:lang w:val="en-US"/>
        </w:rPr>
        <w:t xml:space="preserve"> Co No 4 (Pty) Ltd v Wright </w:t>
      </w:r>
      <w:r w:rsidR="00E02521">
        <w:rPr>
          <w:lang w:val="en-US"/>
        </w:rPr>
        <w:t>2012 (5) SA 246 (SCA)</w:t>
      </w:r>
      <w:r w:rsidR="00C829F4">
        <w:rPr>
          <w:lang w:val="en-US"/>
        </w:rPr>
        <w:t xml:space="preserve">; [2012] 4 All SA 136 (SCA) </w:t>
      </w:r>
      <w:r w:rsidR="00100C24">
        <w:rPr>
          <w:lang w:val="en-US"/>
        </w:rPr>
        <w:t xml:space="preserve">[2012] ZASCA 67 </w:t>
      </w:r>
      <w:r w:rsidR="002F0EA1">
        <w:rPr>
          <w:lang w:val="en-US"/>
        </w:rPr>
        <w:t>para 32.</w:t>
      </w:r>
    </w:p>
  </w:footnote>
  <w:footnote w:id="26">
    <w:p w14:paraId="626F7D07" w14:textId="3A5B4A07" w:rsidR="00771030" w:rsidRPr="00771030" w:rsidRDefault="00771030" w:rsidP="00830A71">
      <w:pPr>
        <w:pStyle w:val="FootnoteText"/>
        <w:spacing w:line="240" w:lineRule="auto"/>
        <w:jc w:val="both"/>
        <w:rPr>
          <w:lang w:val="en-US"/>
        </w:rPr>
      </w:pPr>
      <w:r>
        <w:rPr>
          <w:rStyle w:val="FootnoteReference"/>
        </w:rPr>
        <w:footnoteRef/>
      </w:r>
      <w:r>
        <w:t xml:space="preserve"> </w:t>
      </w:r>
      <w:r>
        <w:rPr>
          <w:i/>
          <w:iCs/>
          <w:lang w:val="en-US"/>
        </w:rPr>
        <w:t>M. v MEC for Health, Eastern Cape</w:t>
      </w:r>
      <w:r>
        <w:rPr>
          <w:lang w:val="en-US"/>
        </w:rPr>
        <w:t xml:space="preserve"> [2018] ZASCA 141 para 47.</w:t>
      </w:r>
    </w:p>
  </w:footnote>
  <w:footnote w:id="27">
    <w:p w14:paraId="368FE8BE" w14:textId="47E11B54" w:rsidR="00D125D9" w:rsidRPr="00D125D9" w:rsidRDefault="00D125D9" w:rsidP="00830A71">
      <w:pPr>
        <w:pStyle w:val="FootnoteText"/>
        <w:spacing w:line="240" w:lineRule="auto"/>
        <w:jc w:val="both"/>
        <w:rPr>
          <w:lang w:val="en-US"/>
        </w:rPr>
      </w:pPr>
      <w:r>
        <w:rPr>
          <w:rStyle w:val="FootnoteReference"/>
        </w:rPr>
        <w:footnoteRef/>
      </w:r>
      <w:r>
        <w:t xml:space="preserve"> </w:t>
      </w:r>
      <w:r>
        <w:rPr>
          <w:lang w:val="en-US"/>
        </w:rPr>
        <w:t>Id para 65.</w:t>
      </w:r>
    </w:p>
  </w:footnote>
  <w:footnote w:id="28">
    <w:p w14:paraId="5553A5AA" w14:textId="77777777" w:rsidR="00D42C04" w:rsidRPr="002E1871" w:rsidRDefault="00D42C04" w:rsidP="00830A71">
      <w:pPr>
        <w:pStyle w:val="FootnoteText"/>
        <w:spacing w:line="240" w:lineRule="auto"/>
        <w:jc w:val="both"/>
        <w:rPr>
          <w:lang w:val="en-US"/>
        </w:rPr>
      </w:pPr>
      <w:r>
        <w:rPr>
          <w:rStyle w:val="FootnoteReference"/>
        </w:rPr>
        <w:footnoteRef/>
      </w:r>
      <w:r>
        <w:t xml:space="preserve"> </w:t>
      </w:r>
      <w:r>
        <w:rPr>
          <w:i/>
          <w:iCs/>
          <w:lang w:val="en-US"/>
        </w:rPr>
        <w:t>Road Accident Fund v Ntoni</w:t>
      </w:r>
      <w:r>
        <w:rPr>
          <w:lang w:val="en-US"/>
        </w:rPr>
        <w:t xml:space="preserve"> [2016] ZAECGHC 8.</w:t>
      </w:r>
    </w:p>
  </w:footnote>
  <w:footnote w:id="29">
    <w:p w14:paraId="05074234" w14:textId="67332A23" w:rsidR="00D42C04" w:rsidRPr="00120BED" w:rsidRDefault="00D42C04" w:rsidP="00830A71">
      <w:pPr>
        <w:pStyle w:val="FootnoteText"/>
        <w:spacing w:line="240" w:lineRule="auto"/>
        <w:jc w:val="both"/>
        <w:rPr>
          <w:lang w:val="en-US"/>
        </w:rPr>
      </w:pPr>
      <w:r>
        <w:rPr>
          <w:rStyle w:val="FootnoteReference"/>
        </w:rPr>
        <w:footnoteRef/>
      </w:r>
      <w:r>
        <w:t xml:space="preserve"> </w:t>
      </w:r>
      <w:r>
        <w:rPr>
          <w:lang w:val="en-US"/>
        </w:rPr>
        <w:t>Id para</w:t>
      </w:r>
      <w:r w:rsidR="00F00729">
        <w:rPr>
          <w:lang w:val="en-US"/>
        </w:rPr>
        <w:t>s</w:t>
      </w:r>
      <w:r>
        <w:rPr>
          <w:lang w:val="en-US"/>
        </w:rPr>
        <w:t xml:space="preserve"> 9 and 10, footnotes omitted.</w:t>
      </w:r>
    </w:p>
  </w:footnote>
  <w:footnote w:id="30">
    <w:p w14:paraId="7A8BBDE7" w14:textId="77777777" w:rsidR="0046006D" w:rsidRPr="000D0EC9" w:rsidRDefault="0046006D" w:rsidP="00830A71">
      <w:pPr>
        <w:pStyle w:val="FootnoteText"/>
        <w:spacing w:line="240" w:lineRule="auto"/>
        <w:jc w:val="both"/>
        <w:rPr>
          <w:lang w:val="en-US"/>
        </w:rPr>
      </w:pPr>
      <w:r>
        <w:rPr>
          <w:rStyle w:val="FootnoteReference"/>
        </w:rPr>
        <w:footnoteRef/>
      </w:r>
      <w:r>
        <w:t xml:space="preserve"> </w:t>
      </w:r>
      <w:r>
        <w:rPr>
          <w:lang w:val="en-US"/>
        </w:rPr>
        <w:t xml:space="preserve">See </w:t>
      </w:r>
      <w:r>
        <w:rPr>
          <w:i/>
          <w:iCs/>
          <w:lang w:val="en-US"/>
        </w:rPr>
        <w:t>MEC for Finance, Economic Development, Environmental Affairs and Tourism (Eastern Cape) and Others v Legal Practice Council and Others</w:t>
      </w:r>
      <w:r>
        <w:rPr>
          <w:lang w:val="en-US"/>
        </w:rPr>
        <w:t xml:space="preserve"> [2022] ZAECMKHC 58; [2022] 3 All SA 730 (ECG) para 31.</w:t>
      </w:r>
    </w:p>
  </w:footnote>
  <w:footnote w:id="31">
    <w:p w14:paraId="02837765" w14:textId="77777777" w:rsidR="00D42C04" w:rsidRPr="00FA1493" w:rsidRDefault="00D42C04" w:rsidP="00830A71">
      <w:pPr>
        <w:pStyle w:val="FootnoteText"/>
        <w:spacing w:line="240" w:lineRule="auto"/>
        <w:jc w:val="both"/>
        <w:rPr>
          <w:lang w:val="en-US"/>
        </w:rPr>
      </w:pPr>
      <w:r>
        <w:rPr>
          <w:rStyle w:val="FootnoteReference"/>
        </w:rPr>
        <w:footnoteRef/>
      </w:r>
      <w:r>
        <w:t xml:space="preserve"> </w:t>
      </w:r>
      <w:r>
        <w:rPr>
          <w:i/>
          <w:iCs/>
        </w:rPr>
        <w:t xml:space="preserve">MEC for Health: Eastern Cape v Mbodla </w:t>
      </w:r>
      <w:r>
        <w:rPr>
          <w:lang w:val="en-US"/>
        </w:rPr>
        <w:t>[2014] ZASCA 60.</w:t>
      </w:r>
    </w:p>
  </w:footnote>
  <w:footnote w:id="32">
    <w:p w14:paraId="08882181" w14:textId="0E703567" w:rsidR="00D42C04" w:rsidRPr="0025534F" w:rsidRDefault="00D42C04" w:rsidP="00830A71">
      <w:pPr>
        <w:pStyle w:val="FootnoteText"/>
        <w:spacing w:line="240" w:lineRule="auto"/>
        <w:jc w:val="both"/>
        <w:rPr>
          <w:lang w:val="en-US"/>
        </w:rPr>
      </w:pPr>
      <w:r>
        <w:rPr>
          <w:rStyle w:val="FootnoteReference"/>
        </w:rPr>
        <w:footnoteRef/>
      </w:r>
      <w:r>
        <w:t xml:space="preserve"> </w:t>
      </w:r>
      <w:r w:rsidR="00F00729">
        <w:rPr>
          <w:lang w:val="en-US"/>
        </w:rPr>
        <w:t>Id</w:t>
      </w:r>
      <w:r>
        <w:rPr>
          <w:lang w:val="en-US"/>
        </w:rPr>
        <w:t xml:space="preserve"> para 7.</w:t>
      </w:r>
    </w:p>
  </w:footnote>
  <w:footnote w:id="33">
    <w:p w14:paraId="59B99B8A" w14:textId="5D007097" w:rsidR="00F55837" w:rsidRPr="00F55837" w:rsidRDefault="00F55837" w:rsidP="00830A71">
      <w:pPr>
        <w:pStyle w:val="FootnoteText"/>
        <w:spacing w:line="240" w:lineRule="auto"/>
        <w:jc w:val="both"/>
        <w:rPr>
          <w:lang w:val="en-US"/>
        </w:rPr>
      </w:pPr>
      <w:r>
        <w:rPr>
          <w:rStyle w:val="FootnoteReference"/>
        </w:rPr>
        <w:footnoteRef/>
      </w:r>
      <w:r>
        <w:t xml:space="preserve"> </w:t>
      </w:r>
      <w:r>
        <w:rPr>
          <w:i/>
          <w:iCs/>
          <w:lang w:val="en-US"/>
        </w:rPr>
        <w:t>Bouwer v City of Johannesburg and Another</w:t>
      </w:r>
      <w:r>
        <w:rPr>
          <w:lang w:val="en-US"/>
        </w:rPr>
        <w:t xml:space="preserve"> [2008] ZALAC 15 paras 20-23.</w:t>
      </w:r>
    </w:p>
  </w:footnote>
  <w:footnote w:id="34">
    <w:p w14:paraId="6DAE5922" w14:textId="1674A54F" w:rsidR="00617555" w:rsidRPr="00617555" w:rsidRDefault="00617555" w:rsidP="00830A71">
      <w:pPr>
        <w:pStyle w:val="FootnoteText"/>
        <w:spacing w:line="240" w:lineRule="auto"/>
        <w:jc w:val="both"/>
        <w:rPr>
          <w:lang w:val="en-US"/>
        </w:rPr>
      </w:pPr>
      <w:r>
        <w:rPr>
          <w:rStyle w:val="FootnoteReference"/>
        </w:rPr>
        <w:footnoteRef/>
      </w:r>
      <w:r>
        <w:t xml:space="preserve"> </w:t>
      </w:r>
      <w:r>
        <w:rPr>
          <w:lang w:val="en-US"/>
        </w:rPr>
        <w:t xml:space="preserve">Herbstein and Van Winsen </w:t>
      </w:r>
      <w:r>
        <w:rPr>
          <w:i/>
          <w:iCs/>
          <w:lang w:val="en-US"/>
        </w:rPr>
        <w:t>The Civil Practice of the High Courts and the Supreme Court of Appeal of South Africa</w:t>
      </w:r>
      <w:r>
        <w:rPr>
          <w:lang w:val="en-US"/>
        </w:rPr>
        <w:t xml:space="preserve"> (5</w:t>
      </w:r>
      <w:r w:rsidRPr="00617555">
        <w:rPr>
          <w:vertAlign w:val="superscript"/>
          <w:lang w:val="en-US"/>
        </w:rPr>
        <w:t>th</w:t>
      </w:r>
      <w:r>
        <w:rPr>
          <w:lang w:val="en-US"/>
        </w:rPr>
        <w:t xml:space="preserve"> Ed) (2009) ch 39-p1241.</w:t>
      </w:r>
    </w:p>
  </w:footnote>
  <w:footnote w:id="35">
    <w:p w14:paraId="53BE2C15" w14:textId="726073E9" w:rsidR="00DC62D0" w:rsidRPr="00DC62D0" w:rsidRDefault="00DC62D0" w:rsidP="00830A71">
      <w:pPr>
        <w:pStyle w:val="FootnoteText"/>
        <w:spacing w:line="240" w:lineRule="auto"/>
        <w:jc w:val="both"/>
        <w:rPr>
          <w:lang w:val="en-US"/>
        </w:rPr>
      </w:pPr>
      <w:r>
        <w:rPr>
          <w:rStyle w:val="FootnoteReference"/>
        </w:rPr>
        <w:footnoteRef/>
      </w:r>
      <w:r>
        <w:t xml:space="preserve"> </w:t>
      </w:r>
      <w:r>
        <w:rPr>
          <w:i/>
          <w:iCs/>
          <w:lang w:val="en-US"/>
        </w:rPr>
        <w:t>Deintje v Gratus and Gratus</w:t>
      </w:r>
      <w:r>
        <w:rPr>
          <w:lang w:val="en-US"/>
        </w:rPr>
        <w:t xml:space="preserve"> 1929 AD 1.</w:t>
      </w:r>
    </w:p>
  </w:footnote>
  <w:footnote w:id="36">
    <w:p w14:paraId="3928A2BE" w14:textId="6BA07B2C" w:rsidR="00DC62D0" w:rsidRPr="00F81419" w:rsidRDefault="00DC62D0" w:rsidP="00830A71">
      <w:pPr>
        <w:pStyle w:val="FootnoteText"/>
        <w:spacing w:line="240" w:lineRule="auto"/>
        <w:rPr>
          <w:lang w:val="en-US"/>
        </w:rPr>
      </w:pPr>
      <w:r>
        <w:rPr>
          <w:rStyle w:val="FootnoteReference"/>
        </w:rPr>
        <w:footnoteRef/>
      </w:r>
      <w:r>
        <w:t xml:space="preserve"> </w:t>
      </w:r>
      <w:r>
        <w:rPr>
          <w:lang w:val="en-US"/>
        </w:rPr>
        <w:t>Id at 6.</w:t>
      </w:r>
      <w:r w:rsidR="00F81419">
        <w:rPr>
          <w:lang w:val="en-US"/>
        </w:rPr>
        <w:t xml:space="preserve"> See </w:t>
      </w:r>
      <w:r w:rsidR="00F81419">
        <w:rPr>
          <w:i/>
          <w:iCs/>
          <w:lang w:val="en-US"/>
        </w:rPr>
        <w:t>Shedden v Patrick</w:t>
      </w:r>
      <w:r w:rsidR="00F81419">
        <w:rPr>
          <w:lang w:val="en-US"/>
        </w:rPr>
        <w:t xml:space="preserve"> (L.R., 1 H.L. 476 at 545).</w:t>
      </w:r>
    </w:p>
  </w:footnote>
  <w:footnote w:id="37">
    <w:p w14:paraId="69620738" w14:textId="5F1A06F3" w:rsidR="00676318" w:rsidRPr="00676318" w:rsidRDefault="00676318" w:rsidP="00830A71">
      <w:pPr>
        <w:pStyle w:val="FootnoteText"/>
        <w:spacing w:line="240" w:lineRule="auto"/>
        <w:jc w:val="both"/>
        <w:rPr>
          <w:lang w:val="en-US"/>
        </w:rPr>
      </w:pPr>
      <w:r>
        <w:rPr>
          <w:rStyle w:val="FootnoteReference"/>
        </w:rPr>
        <w:footnoteRef/>
      </w:r>
      <w:r>
        <w:t xml:space="preserve"> </w:t>
      </w:r>
      <w:r>
        <w:rPr>
          <w:lang w:val="en-US"/>
        </w:rPr>
        <w:t xml:space="preserve">See </w:t>
      </w:r>
      <w:r>
        <w:rPr>
          <w:i/>
          <w:iCs/>
          <w:lang w:val="en-US"/>
        </w:rPr>
        <w:t>MEC for the Department of Public Works and Others v Ikamva Architects and Others</w:t>
      </w:r>
      <w:r>
        <w:rPr>
          <w:lang w:val="en-US"/>
        </w:rPr>
        <w:t xml:space="preserve"> [2022] ZAECBHC 13; [2022] 3 All SA 760 (ECB); 2022 (6) SA 275 (ECB) paras 25, 26.</w:t>
      </w:r>
    </w:p>
  </w:footnote>
  <w:footnote w:id="38">
    <w:p w14:paraId="7D468C81" w14:textId="2BD8DFCF" w:rsidR="00306E6F" w:rsidRPr="00306E6F" w:rsidRDefault="00306E6F" w:rsidP="00830A71">
      <w:pPr>
        <w:pStyle w:val="FootnoteText"/>
        <w:spacing w:line="240" w:lineRule="auto"/>
        <w:jc w:val="both"/>
        <w:rPr>
          <w:lang w:val="en-US"/>
        </w:rPr>
      </w:pPr>
      <w:r>
        <w:rPr>
          <w:rStyle w:val="FootnoteReference"/>
        </w:rPr>
        <w:footnoteRef/>
      </w:r>
      <w:r>
        <w:t xml:space="preserve"> </w:t>
      </w:r>
      <w:r>
        <w:rPr>
          <w:i/>
          <w:iCs/>
          <w:lang w:val="en-US"/>
        </w:rPr>
        <w:t>Patterson v Minister of Safety and Security and Another</w:t>
      </w:r>
      <w:r>
        <w:rPr>
          <w:lang w:val="en-US"/>
        </w:rPr>
        <w:t xml:space="preserve"> [2013] ZAWCHC 73</w:t>
      </w:r>
      <w:r w:rsidR="00FE6C6F">
        <w:rPr>
          <w:lang w:val="en-US"/>
        </w:rPr>
        <w:t xml:space="preserve"> paras 16, 17.</w:t>
      </w:r>
    </w:p>
  </w:footnote>
  <w:footnote w:id="39">
    <w:p w14:paraId="0098C9CF" w14:textId="41943A97" w:rsidR="006A7CD0" w:rsidRPr="006A7CD0" w:rsidRDefault="006A7CD0" w:rsidP="00830A71">
      <w:pPr>
        <w:pStyle w:val="FootnoteText"/>
        <w:spacing w:line="240" w:lineRule="auto"/>
        <w:jc w:val="both"/>
        <w:rPr>
          <w:lang w:val="en-US"/>
        </w:rPr>
      </w:pPr>
      <w:r>
        <w:rPr>
          <w:rStyle w:val="FootnoteReference"/>
        </w:rPr>
        <w:footnoteRef/>
      </w:r>
      <w:r>
        <w:t xml:space="preserve"> </w:t>
      </w:r>
      <w:r>
        <w:rPr>
          <w:i/>
          <w:iCs/>
          <w:lang w:val="en-US"/>
        </w:rPr>
        <w:t xml:space="preserve">Minister of Safety and Security and Another v Patterson </w:t>
      </w:r>
      <w:r>
        <w:rPr>
          <w:lang w:val="en-US"/>
        </w:rPr>
        <w:t>[2016] ZAWCHC 169 paras 12-18.</w:t>
      </w:r>
    </w:p>
  </w:footnote>
  <w:footnote w:id="40">
    <w:p w14:paraId="0D9E2F04" w14:textId="5E9CBE6F" w:rsidR="0041421A" w:rsidRPr="002D1A7D" w:rsidRDefault="0041421A" w:rsidP="00830A71">
      <w:pPr>
        <w:pStyle w:val="FootnoteText"/>
        <w:spacing w:line="240" w:lineRule="auto"/>
        <w:jc w:val="both"/>
        <w:rPr>
          <w:lang w:val="en-US"/>
        </w:rPr>
      </w:pPr>
      <w:r>
        <w:rPr>
          <w:rStyle w:val="FootnoteReference"/>
        </w:rPr>
        <w:footnoteRef/>
      </w:r>
      <w:r w:rsidR="00473183">
        <w:rPr>
          <w:i/>
          <w:iCs/>
          <w:lang w:val="en-US"/>
        </w:rPr>
        <w:t xml:space="preserve"> </w:t>
      </w:r>
      <w:r>
        <w:rPr>
          <w:i/>
          <w:iCs/>
          <w:lang w:val="en-US"/>
        </w:rPr>
        <w:t xml:space="preserve">Yellow Star Properties 1020 (Pty) Ltd v MEC, Department of Development Planning and </w:t>
      </w:r>
      <w:r w:rsidR="002D1A7D">
        <w:rPr>
          <w:i/>
          <w:iCs/>
          <w:lang w:val="en-US"/>
        </w:rPr>
        <w:t>Local Government, Gauteng</w:t>
      </w:r>
      <w:r w:rsidR="002D1A7D">
        <w:rPr>
          <w:lang w:val="en-US"/>
        </w:rPr>
        <w:t xml:space="preserve"> 2009 (</w:t>
      </w:r>
      <w:r w:rsidR="00E21970">
        <w:rPr>
          <w:lang w:val="en-US"/>
        </w:rPr>
        <w:t>3</w:t>
      </w:r>
      <w:r w:rsidR="002D1A7D">
        <w:rPr>
          <w:lang w:val="en-US"/>
        </w:rPr>
        <w:t>) SA 577 (SCA) para 22.</w:t>
      </w:r>
    </w:p>
  </w:footnote>
  <w:footnote w:id="41">
    <w:p w14:paraId="7AA56570" w14:textId="6D7D63F8" w:rsidR="007B3EF8" w:rsidRPr="007B3EF8" w:rsidRDefault="007B3EF8" w:rsidP="00830A71">
      <w:pPr>
        <w:pStyle w:val="FootnoteText"/>
        <w:spacing w:line="240" w:lineRule="auto"/>
        <w:jc w:val="both"/>
        <w:rPr>
          <w:lang w:val="en-US"/>
        </w:rPr>
      </w:pPr>
      <w:r>
        <w:rPr>
          <w:rStyle w:val="FootnoteReference"/>
        </w:rPr>
        <w:footnoteRef/>
      </w:r>
      <w:r>
        <w:t xml:space="preserve"> </w:t>
      </w:r>
      <w:r w:rsidR="00A75799">
        <w:rPr>
          <w:i/>
          <w:iCs/>
          <w:lang w:val="en-US"/>
        </w:rPr>
        <w:t xml:space="preserve">Minister of Safety and Security and Another v Patterson </w:t>
      </w:r>
      <w:r w:rsidR="00A75799">
        <w:rPr>
          <w:lang w:val="en-US"/>
        </w:rPr>
        <w:t xml:space="preserve">n </w:t>
      </w:r>
      <w:r w:rsidR="00681E45">
        <w:rPr>
          <w:lang w:val="en-US"/>
        </w:rPr>
        <w:t>36</w:t>
      </w:r>
      <w:r w:rsidR="00A75799">
        <w:rPr>
          <w:lang w:val="en-US"/>
        </w:rPr>
        <w:t xml:space="preserve"> </w:t>
      </w:r>
      <w:r>
        <w:rPr>
          <w:lang w:val="en-US"/>
        </w:rPr>
        <w:t>para 16.</w:t>
      </w:r>
    </w:p>
  </w:footnote>
  <w:footnote w:id="42">
    <w:p w14:paraId="16DA0C23" w14:textId="0436289E" w:rsidR="00D5251C" w:rsidRPr="00D5251C" w:rsidRDefault="00D5251C" w:rsidP="00830A71">
      <w:pPr>
        <w:pStyle w:val="FootnoteText"/>
        <w:spacing w:line="240" w:lineRule="auto"/>
        <w:jc w:val="both"/>
        <w:rPr>
          <w:lang w:val="en-US"/>
        </w:rPr>
      </w:pPr>
      <w:r>
        <w:rPr>
          <w:rStyle w:val="FootnoteReference"/>
        </w:rPr>
        <w:footnoteRef/>
      </w:r>
      <w:r>
        <w:t xml:space="preserve"> </w:t>
      </w:r>
      <w:r>
        <w:rPr>
          <w:i/>
          <w:iCs/>
          <w:lang w:val="en-US"/>
        </w:rPr>
        <w:t>Madinda v Minister of Safety and Security</w:t>
      </w:r>
      <w:r>
        <w:rPr>
          <w:lang w:val="en-US"/>
        </w:rPr>
        <w:t xml:space="preserve"> 2008 (4) SA 312 (SCA).</w:t>
      </w:r>
    </w:p>
  </w:footnote>
  <w:footnote w:id="43">
    <w:p w14:paraId="7E7F2FE0" w14:textId="0F2B13CA" w:rsidR="00F0728C" w:rsidRPr="00F0728C" w:rsidRDefault="00F0728C" w:rsidP="00830A71">
      <w:pPr>
        <w:pStyle w:val="FootnoteText"/>
        <w:spacing w:line="240" w:lineRule="auto"/>
        <w:jc w:val="both"/>
        <w:rPr>
          <w:lang w:val="en-US"/>
        </w:rPr>
      </w:pPr>
      <w:r>
        <w:rPr>
          <w:rStyle w:val="FootnoteReference"/>
        </w:rPr>
        <w:footnoteRef/>
      </w:r>
      <w:r>
        <w:t xml:space="preserve"> </w:t>
      </w:r>
      <w:r>
        <w:rPr>
          <w:lang w:val="en-US"/>
        </w:rPr>
        <w:t>Id para 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0537942"/>
      <w:docPartObj>
        <w:docPartGallery w:val="Page Numbers (Top of Page)"/>
        <w:docPartUnique/>
      </w:docPartObj>
    </w:sdtPr>
    <w:sdtContent>
      <w:p w14:paraId="70C87348" w14:textId="4DCB78CB" w:rsidR="00146BA3" w:rsidRDefault="00146BA3"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74FADB" w14:textId="77777777" w:rsidR="00146BA3" w:rsidRDefault="00146BA3" w:rsidP="00146BA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4796027"/>
      <w:docPartObj>
        <w:docPartGallery w:val="Page Numbers (Top of Page)"/>
        <w:docPartUnique/>
      </w:docPartObj>
    </w:sdtPr>
    <w:sdtContent>
      <w:p w14:paraId="35370323" w14:textId="1606535F" w:rsidR="00146BA3" w:rsidRDefault="00146BA3" w:rsidP="006F261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53891">
          <w:rPr>
            <w:rStyle w:val="PageNumber"/>
            <w:noProof/>
          </w:rPr>
          <w:t>4</w:t>
        </w:r>
        <w:r>
          <w:rPr>
            <w:rStyle w:val="PageNumber"/>
          </w:rPr>
          <w:fldChar w:fldCharType="end"/>
        </w:r>
      </w:p>
    </w:sdtContent>
  </w:sdt>
  <w:p w14:paraId="21F7A9BA" w14:textId="77777777" w:rsidR="00146BA3" w:rsidRDefault="00146BA3" w:rsidP="00146BA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5CB"/>
    <w:multiLevelType w:val="hybridMultilevel"/>
    <w:tmpl w:val="9CB4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70A16"/>
    <w:multiLevelType w:val="hybridMultilevel"/>
    <w:tmpl w:val="34A86E54"/>
    <w:lvl w:ilvl="0" w:tplc="892E53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DB7C98"/>
    <w:multiLevelType w:val="hybridMultilevel"/>
    <w:tmpl w:val="5A34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12B71"/>
    <w:multiLevelType w:val="hybridMultilevel"/>
    <w:tmpl w:val="181A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B3A42"/>
    <w:multiLevelType w:val="hybridMultilevel"/>
    <w:tmpl w:val="565E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A06456"/>
    <w:multiLevelType w:val="hybridMultilevel"/>
    <w:tmpl w:val="F1B2C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99420D"/>
    <w:multiLevelType w:val="hybridMultilevel"/>
    <w:tmpl w:val="08560BB2"/>
    <w:lvl w:ilvl="0" w:tplc="4A8644C8">
      <w:start w:val="1"/>
      <w:numFmt w:val="upperLetter"/>
      <w:lvlText w:val="%1."/>
      <w:lvlJc w:val="left"/>
      <w:pPr>
        <w:ind w:left="6100" w:hanging="360"/>
      </w:pPr>
      <w:rPr>
        <w:rFonts w:hint="default"/>
      </w:rPr>
    </w:lvl>
    <w:lvl w:ilvl="1" w:tplc="1C090019" w:tentative="1">
      <w:start w:val="1"/>
      <w:numFmt w:val="lowerLetter"/>
      <w:lvlText w:val="%2."/>
      <w:lvlJc w:val="left"/>
      <w:pPr>
        <w:ind w:left="6820" w:hanging="360"/>
      </w:pPr>
    </w:lvl>
    <w:lvl w:ilvl="2" w:tplc="1C09001B" w:tentative="1">
      <w:start w:val="1"/>
      <w:numFmt w:val="lowerRoman"/>
      <w:lvlText w:val="%3."/>
      <w:lvlJc w:val="right"/>
      <w:pPr>
        <w:ind w:left="7540" w:hanging="180"/>
      </w:pPr>
    </w:lvl>
    <w:lvl w:ilvl="3" w:tplc="1C09000F" w:tentative="1">
      <w:start w:val="1"/>
      <w:numFmt w:val="decimal"/>
      <w:lvlText w:val="%4."/>
      <w:lvlJc w:val="left"/>
      <w:pPr>
        <w:ind w:left="8260" w:hanging="360"/>
      </w:pPr>
    </w:lvl>
    <w:lvl w:ilvl="4" w:tplc="1C090019" w:tentative="1">
      <w:start w:val="1"/>
      <w:numFmt w:val="lowerLetter"/>
      <w:lvlText w:val="%5."/>
      <w:lvlJc w:val="left"/>
      <w:pPr>
        <w:ind w:left="8980" w:hanging="360"/>
      </w:pPr>
    </w:lvl>
    <w:lvl w:ilvl="5" w:tplc="1C09001B" w:tentative="1">
      <w:start w:val="1"/>
      <w:numFmt w:val="lowerRoman"/>
      <w:lvlText w:val="%6."/>
      <w:lvlJc w:val="right"/>
      <w:pPr>
        <w:ind w:left="9700" w:hanging="180"/>
      </w:pPr>
    </w:lvl>
    <w:lvl w:ilvl="6" w:tplc="1C09000F" w:tentative="1">
      <w:start w:val="1"/>
      <w:numFmt w:val="decimal"/>
      <w:lvlText w:val="%7."/>
      <w:lvlJc w:val="left"/>
      <w:pPr>
        <w:ind w:left="10420" w:hanging="360"/>
      </w:pPr>
    </w:lvl>
    <w:lvl w:ilvl="7" w:tplc="1C090019" w:tentative="1">
      <w:start w:val="1"/>
      <w:numFmt w:val="lowerLetter"/>
      <w:lvlText w:val="%8."/>
      <w:lvlJc w:val="left"/>
      <w:pPr>
        <w:ind w:left="11140" w:hanging="360"/>
      </w:pPr>
    </w:lvl>
    <w:lvl w:ilvl="8" w:tplc="1C09001B" w:tentative="1">
      <w:start w:val="1"/>
      <w:numFmt w:val="lowerRoman"/>
      <w:lvlText w:val="%9."/>
      <w:lvlJc w:val="right"/>
      <w:pPr>
        <w:ind w:left="11860" w:hanging="180"/>
      </w:pPr>
    </w:lvl>
  </w:abstractNum>
  <w:abstractNum w:abstractNumId="7" w15:restartNumberingAfterBreak="0">
    <w:nsid w:val="33E5112E"/>
    <w:multiLevelType w:val="hybridMultilevel"/>
    <w:tmpl w:val="75384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4E4C9B"/>
    <w:multiLevelType w:val="hybridMultilevel"/>
    <w:tmpl w:val="D170431A"/>
    <w:lvl w:ilvl="0" w:tplc="B69E61C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4554E5"/>
    <w:multiLevelType w:val="hybridMultilevel"/>
    <w:tmpl w:val="539A9718"/>
    <w:lvl w:ilvl="0" w:tplc="B262EF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BB72152"/>
    <w:multiLevelType w:val="hybridMultilevel"/>
    <w:tmpl w:val="FFFA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766ACE"/>
    <w:multiLevelType w:val="hybridMultilevel"/>
    <w:tmpl w:val="69FC5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CB6D84"/>
    <w:multiLevelType w:val="hybridMultilevel"/>
    <w:tmpl w:val="4FA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4866651">
    <w:abstractNumId w:val="2"/>
  </w:num>
  <w:num w:numId="2" w16cid:durableId="1144200090">
    <w:abstractNumId w:val="0"/>
  </w:num>
  <w:num w:numId="3" w16cid:durableId="412704225">
    <w:abstractNumId w:val="4"/>
  </w:num>
  <w:num w:numId="4" w16cid:durableId="1864055920">
    <w:abstractNumId w:val="3"/>
  </w:num>
  <w:num w:numId="5" w16cid:durableId="1726490435">
    <w:abstractNumId w:val="10"/>
  </w:num>
  <w:num w:numId="6" w16cid:durableId="1713071">
    <w:abstractNumId w:val="7"/>
  </w:num>
  <w:num w:numId="7" w16cid:durableId="2003049356">
    <w:abstractNumId w:val="12"/>
  </w:num>
  <w:num w:numId="8" w16cid:durableId="1369986515">
    <w:abstractNumId w:val="1"/>
  </w:num>
  <w:num w:numId="9" w16cid:durableId="1350177519">
    <w:abstractNumId w:val="5"/>
  </w:num>
  <w:num w:numId="10" w16cid:durableId="2020036490">
    <w:abstractNumId w:val="8"/>
  </w:num>
  <w:num w:numId="11" w16cid:durableId="1491093157">
    <w:abstractNumId w:val="11"/>
  </w:num>
  <w:num w:numId="12" w16cid:durableId="1176262106">
    <w:abstractNumId w:val="9"/>
  </w:num>
  <w:num w:numId="13" w16cid:durableId="8049340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1A4"/>
    <w:rsid w:val="00000574"/>
    <w:rsid w:val="00000935"/>
    <w:rsid w:val="00001972"/>
    <w:rsid w:val="0000217A"/>
    <w:rsid w:val="00004E1E"/>
    <w:rsid w:val="00005691"/>
    <w:rsid w:val="00005ABB"/>
    <w:rsid w:val="00005BC2"/>
    <w:rsid w:val="0000642E"/>
    <w:rsid w:val="00006A4A"/>
    <w:rsid w:val="00006EF3"/>
    <w:rsid w:val="00007009"/>
    <w:rsid w:val="00007087"/>
    <w:rsid w:val="0000746B"/>
    <w:rsid w:val="00007904"/>
    <w:rsid w:val="000109B4"/>
    <w:rsid w:val="00012A2F"/>
    <w:rsid w:val="00013486"/>
    <w:rsid w:val="00014437"/>
    <w:rsid w:val="00014770"/>
    <w:rsid w:val="00016FDA"/>
    <w:rsid w:val="00020BF3"/>
    <w:rsid w:val="000220C3"/>
    <w:rsid w:val="00022804"/>
    <w:rsid w:val="00023042"/>
    <w:rsid w:val="00024D77"/>
    <w:rsid w:val="00026A5A"/>
    <w:rsid w:val="00026D8C"/>
    <w:rsid w:val="00027DA3"/>
    <w:rsid w:val="00030A25"/>
    <w:rsid w:val="00030C79"/>
    <w:rsid w:val="000323B0"/>
    <w:rsid w:val="000341AF"/>
    <w:rsid w:val="00034B32"/>
    <w:rsid w:val="0003553E"/>
    <w:rsid w:val="0004040E"/>
    <w:rsid w:val="00040D7D"/>
    <w:rsid w:val="00040F79"/>
    <w:rsid w:val="0004125A"/>
    <w:rsid w:val="000422CD"/>
    <w:rsid w:val="00042778"/>
    <w:rsid w:val="0004347D"/>
    <w:rsid w:val="0004373B"/>
    <w:rsid w:val="00044B50"/>
    <w:rsid w:val="00044C53"/>
    <w:rsid w:val="000451D0"/>
    <w:rsid w:val="0004556F"/>
    <w:rsid w:val="00047035"/>
    <w:rsid w:val="000478E8"/>
    <w:rsid w:val="0005061D"/>
    <w:rsid w:val="00051F6C"/>
    <w:rsid w:val="000536DD"/>
    <w:rsid w:val="00053D81"/>
    <w:rsid w:val="0005429C"/>
    <w:rsid w:val="00054DEC"/>
    <w:rsid w:val="00056042"/>
    <w:rsid w:val="00056FBA"/>
    <w:rsid w:val="000574BF"/>
    <w:rsid w:val="00057FC3"/>
    <w:rsid w:val="00063188"/>
    <w:rsid w:val="00063C6E"/>
    <w:rsid w:val="00063D5A"/>
    <w:rsid w:val="000669B6"/>
    <w:rsid w:val="0007050F"/>
    <w:rsid w:val="000705B9"/>
    <w:rsid w:val="0007234C"/>
    <w:rsid w:val="00073EFC"/>
    <w:rsid w:val="000778A4"/>
    <w:rsid w:val="00080D4E"/>
    <w:rsid w:val="000815F5"/>
    <w:rsid w:val="00082378"/>
    <w:rsid w:val="00083322"/>
    <w:rsid w:val="00083386"/>
    <w:rsid w:val="000833DB"/>
    <w:rsid w:val="00083C9F"/>
    <w:rsid w:val="00084188"/>
    <w:rsid w:val="00084C6F"/>
    <w:rsid w:val="00086278"/>
    <w:rsid w:val="00086A06"/>
    <w:rsid w:val="0009015D"/>
    <w:rsid w:val="000910CD"/>
    <w:rsid w:val="00091F8C"/>
    <w:rsid w:val="00093B3F"/>
    <w:rsid w:val="0009497C"/>
    <w:rsid w:val="00095E4A"/>
    <w:rsid w:val="00096BC1"/>
    <w:rsid w:val="000976CA"/>
    <w:rsid w:val="000A0E8E"/>
    <w:rsid w:val="000A59DC"/>
    <w:rsid w:val="000A5A42"/>
    <w:rsid w:val="000B0946"/>
    <w:rsid w:val="000B0DC8"/>
    <w:rsid w:val="000B1385"/>
    <w:rsid w:val="000B26AE"/>
    <w:rsid w:val="000B26CF"/>
    <w:rsid w:val="000B5790"/>
    <w:rsid w:val="000B5FBC"/>
    <w:rsid w:val="000B6309"/>
    <w:rsid w:val="000B643B"/>
    <w:rsid w:val="000B78EC"/>
    <w:rsid w:val="000C07C3"/>
    <w:rsid w:val="000C0872"/>
    <w:rsid w:val="000C196E"/>
    <w:rsid w:val="000C21D3"/>
    <w:rsid w:val="000C22EF"/>
    <w:rsid w:val="000C2D21"/>
    <w:rsid w:val="000C3531"/>
    <w:rsid w:val="000C3620"/>
    <w:rsid w:val="000C39A5"/>
    <w:rsid w:val="000C3E93"/>
    <w:rsid w:val="000C450C"/>
    <w:rsid w:val="000C7746"/>
    <w:rsid w:val="000C7A27"/>
    <w:rsid w:val="000D085B"/>
    <w:rsid w:val="000D0D78"/>
    <w:rsid w:val="000D0EC9"/>
    <w:rsid w:val="000D22FB"/>
    <w:rsid w:val="000D487F"/>
    <w:rsid w:val="000D4BFA"/>
    <w:rsid w:val="000D4C7F"/>
    <w:rsid w:val="000D667A"/>
    <w:rsid w:val="000E193D"/>
    <w:rsid w:val="000E1C45"/>
    <w:rsid w:val="000E2444"/>
    <w:rsid w:val="000E371D"/>
    <w:rsid w:val="000E3E15"/>
    <w:rsid w:val="000E44A5"/>
    <w:rsid w:val="000E4F0D"/>
    <w:rsid w:val="000E5100"/>
    <w:rsid w:val="000E593D"/>
    <w:rsid w:val="000E7A28"/>
    <w:rsid w:val="000E7ECD"/>
    <w:rsid w:val="000F05E0"/>
    <w:rsid w:val="000F1A95"/>
    <w:rsid w:val="000F6BFE"/>
    <w:rsid w:val="000F787D"/>
    <w:rsid w:val="000F7B2D"/>
    <w:rsid w:val="000F7DF4"/>
    <w:rsid w:val="0010068E"/>
    <w:rsid w:val="00100C24"/>
    <w:rsid w:val="00100F9A"/>
    <w:rsid w:val="0010218C"/>
    <w:rsid w:val="00102D5B"/>
    <w:rsid w:val="00102F56"/>
    <w:rsid w:val="00104339"/>
    <w:rsid w:val="001044DB"/>
    <w:rsid w:val="00105EB6"/>
    <w:rsid w:val="0010622C"/>
    <w:rsid w:val="00106848"/>
    <w:rsid w:val="001078B5"/>
    <w:rsid w:val="00107A5F"/>
    <w:rsid w:val="0011026A"/>
    <w:rsid w:val="00110510"/>
    <w:rsid w:val="00110EF0"/>
    <w:rsid w:val="00111AB7"/>
    <w:rsid w:val="001124A5"/>
    <w:rsid w:val="00113270"/>
    <w:rsid w:val="00113794"/>
    <w:rsid w:val="0011435B"/>
    <w:rsid w:val="00116E87"/>
    <w:rsid w:val="00116EB9"/>
    <w:rsid w:val="00120BED"/>
    <w:rsid w:val="00120E93"/>
    <w:rsid w:val="001226DE"/>
    <w:rsid w:val="00123296"/>
    <w:rsid w:val="001234FC"/>
    <w:rsid w:val="00125944"/>
    <w:rsid w:val="0012621C"/>
    <w:rsid w:val="00126E29"/>
    <w:rsid w:val="00127F2B"/>
    <w:rsid w:val="00130228"/>
    <w:rsid w:val="00131984"/>
    <w:rsid w:val="00131A28"/>
    <w:rsid w:val="001337CC"/>
    <w:rsid w:val="00134C11"/>
    <w:rsid w:val="00135480"/>
    <w:rsid w:val="00135C81"/>
    <w:rsid w:val="00137DE1"/>
    <w:rsid w:val="00137E08"/>
    <w:rsid w:val="00142F79"/>
    <w:rsid w:val="001435EB"/>
    <w:rsid w:val="00143E50"/>
    <w:rsid w:val="00144974"/>
    <w:rsid w:val="00146BA3"/>
    <w:rsid w:val="001517E0"/>
    <w:rsid w:val="001536AA"/>
    <w:rsid w:val="001561E5"/>
    <w:rsid w:val="00157785"/>
    <w:rsid w:val="00157898"/>
    <w:rsid w:val="00157C19"/>
    <w:rsid w:val="00160EBC"/>
    <w:rsid w:val="00160F58"/>
    <w:rsid w:val="00163A58"/>
    <w:rsid w:val="00164B7B"/>
    <w:rsid w:val="00165284"/>
    <w:rsid w:val="00166938"/>
    <w:rsid w:val="00172B5C"/>
    <w:rsid w:val="00173547"/>
    <w:rsid w:val="00174B6D"/>
    <w:rsid w:val="00175298"/>
    <w:rsid w:val="0017614D"/>
    <w:rsid w:val="0018006A"/>
    <w:rsid w:val="00180F4E"/>
    <w:rsid w:val="001812CA"/>
    <w:rsid w:val="00181923"/>
    <w:rsid w:val="00181A4D"/>
    <w:rsid w:val="00181B76"/>
    <w:rsid w:val="00181C13"/>
    <w:rsid w:val="00181E7E"/>
    <w:rsid w:val="00182175"/>
    <w:rsid w:val="00184625"/>
    <w:rsid w:val="00186769"/>
    <w:rsid w:val="001870AF"/>
    <w:rsid w:val="00191768"/>
    <w:rsid w:val="00192869"/>
    <w:rsid w:val="001943D2"/>
    <w:rsid w:val="001954F0"/>
    <w:rsid w:val="00195571"/>
    <w:rsid w:val="001955AB"/>
    <w:rsid w:val="00196343"/>
    <w:rsid w:val="00196742"/>
    <w:rsid w:val="0019694A"/>
    <w:rsid w:val="001A4E8B"/>
    <w:rsid w:val="001A4F33"/>
    <w:rsid w:val="001B0D01"/>
    <w:rsid w:val="001B2578"/>
    <w:rsid w:val="001B2FE4"/>
    <w:rsid w:val="001B505F"/>
    <w:rsid w:val="001B534A"/>
    <w:rsid w:val="001B69E3"/>
    <w:rsid w:val="001C04BC"/>
    <w:rsid w:val="001C0BA3"/>
    <w:rsid w:val="001C18FB"/>
    <w:rsid w:val="001C2404"/>
    <w:rsid w:val="001C2DD7"/>
    <w:rsid w:val="001C2E39"/>
    <w:rsid w:val="001C4145"/>
    <w:rsid w:val="001C48A5"/>
    <w:rsid w:val="001C7061"/>
    <w:rsid w:val="001C7558"/>
    <w:rsid w:val="001D0962"/>
    <w:rsid w:val="001D0A72"/>
    <w:rsid w:val="001D214B"/>
    <w:rsid w:val="001D2CD3"/>
    <w:rsid w:val="001D4C5E"/>
    <w:rsid w:val="001D5A9D"/>
    <w:rsid w:val="001D5F83"/>
    <w:rsid w:val="001D61C8"/>
    <w:rsid w:val="001D71E8"/>
    <w:rsid w:val="001E0CFF"/>
    <w:rsid w:val="001E0F36"/>
    <w:rsid w:val="001E1834"/>
    <w:rsid w:val="001E1B07"/>
    <w:rsid w:val="001E24E0"/>
    <w:rsid w:val="001E2BDC"/>
    <w:rsid w:val="001E4824"/>
    <w:rsid w:val="001E57B0"/>
    <w:rsid w:val="001E640A"/>
    <w:rsid w:val="001E6A6E"/>
    <w:rsid w:val="001E701F"/>
    <w:rsid w:val="001E7844"/>
    <w:rsid w:val="001E78D5"/>
    <w:rsid w:val="001E7C8F"/>
    <w:rsid w:val="001F2276"/>
    <w:rsid w:val="001F335C"/>
    <w:rsid w:val="001F3A41"/>
    <w:rsid w:val="001F59AB"/>
    <w:rsid w:val="001F6C6E"/>
    <w:rsid w:val="00201DC6"/>
    <w:rsid w:val="00201F12"/>
    <w:rsid w:val="0020671B"/>
    <w:rsid w:val="00206D6C"/>
    <w:rsid w:val="00207573"/>
    <w:rsid w:val="002115FE"/>
    <w:rsid w:val="0021210B"/>
    <w:rsid w:val="00212761"/>
    <w:rsid w:val="00212DB4"/>
    <w:rsid w:val="0021430F"/>
    <w:rsid w:val="00215221"/>
    <w:rsid w:val="00215EBC"/>
    <w:rsid w:val="0021730A"/>
    <w:rsid w:val="00217399"/>
    <w:rsid w:val="002203EC"/>
    <w:rsid w:val="00222854"/>
    <w:rsid w:val="00224363"/>
    <w:rsid w:val="0022594E"/>
    <w:rsid w:val="00226444"/>
    <w:rsid w:val="00226ADA"/>
    <w:rsid w:val="00227379"/>
    <w:rsid w:val="00231325"/>
    <w:rsid w:val="002327AF"/>
    <w:rsid w:val="00232E44"/>
    <w:rsid w:val="00233A1B"/>
    <w:rsid w:val="00233AF6"/>
    <w:rsid w:val="00233DD5"/>
    <w:rsid w:val="0023410F"/>
    <w:rsid w:val="00234A45"/>
    <w:rsid w:val="00234E8C"/>
    <w:rsid w:val="0023677B"/>
    <w:rsid w:val="00236B9D"/>
    <w:rsid w:val="0023768E"/>
    <w:rsid w:val="002402F6"/>
    <w:rsid w:val="00243BDB"/>
    <w:rsid w:val="00244533"/>
    <w:rsid w:val="00245504"/>
    <w:rsid w:val="00245A62"/>
    <w:rsid w:val="00245BEB"/>
    <w:rsid w:val="00247022"/>
    <w:rsid w:val="00247551"/>
    <w:rsid w:val="00250530"/>
    <w:rsid w:val="0025056A"/>
    <w:rsid w:val="0025158E"/>
    <w:rsid w:val="002528A1"/>
    <w:rsid w:val="00252FC1"/>
    <w:rsid w:val="002530A8"/>
    <w:rsid w:val="00253273"/>
    <w:rsid w:val="0025534F"/>
    <w:rsid w:val="0025549B"/>
    <w:rsid w:val="00256208"/>
    <w:rsid w:val="00256FCC"/>
    <w:rsid w:val="00257A15"/>
    <w:rsid w:val="002606D8"/>
    <w:rsid w:val="00260A94"/>
    <w:rsid w:val="00260B67"/>
    <w:rsid w:val="0026129D"/>
    <w:rsid w:val="002612A5"/>
    <w:rsid w:val="00261583"/>
    <w:rsid w:val="0026158F"/>
    <w:rsid w:val="00262D2A"/>
    <w:rsid w:val="00262FDC"/>
    <w:rsid w:val="002635B7"/>
    <w:rsid w:val="00263B8D"/>
    <w:rsid w:val="0026495C"/>
    <w:rsid w:val="00265010"/>
    <w:rsid w:val="00265180"/>
    <w:rsid w:val="00265AEB"/>
    <w:rsid w:val="0026634E"/>
    <w:rsid w:val="0026645C"/>
    <w:rsid w:val="00266F52"/>
    <w:rsid w:val="002705E9"/>
    <w:rsid w:val="00270C01"/>
    <w:rsid w:val="00270C70"/>
    <w:rsid w:val="00272301"/>
    <w:rsid w:val="00273903"/>
    <w:rsid w:val="00274C64"/>
    <w:rsid w:val="00275410"/>
    <w:rsid w:val="00276100"/>
    <w:rsid w:val="00277EB6"/>
    <w:rsid w:val="00284984"/>
    <w:rsid w:val="002852C4"/>
    <w:rsid w:val="00285664"/>
    <w:rsid w:val="00286C51"/>
    <w:rsid w:val="002877ED"/>
    <w:rsid w:val="00287A18"/>
    <w:rsid w:val="00287A26"/>
    <w:rsid w:val="00290DC6"/>
    <w:rsid w:val="00290E92"/>
    <w:rsid w:val="0029395B"/>
    <w:rsid w:val="00294129"/>
    <w:rsid w:val="00294313"/>
    <w:rsid w:val="0029473F"/>
    <w:rsid w:val="00295E77"/>
    <w:rsid w:val="002960D0"/>
    <w:rsid w:val="002A01B5"/>
    <w:rsid w:val="002A080F"/>
    <w:rsid w:val="002A0EB5"/>
    <w:rsid w:val="002A157A"/>
    <w:rsid w:val="002A1950"/>
    <w:rsid w:val="002A1D97"/>
    <w:rsid w:val="002A1E2F"/>
    <w:rsid w:val="002A21AF"/>
    <w:rsid w:val="002A2AA4"/>
    <w:rsid w:val="002A3836"/>
    <w:rsid w:val="002A3C5C"/>
    <w:rsid w:val="002A41B3"/>
    <w:rsid w:val="002A43B1"/>
    <w:rsid w:val="002A4460"/>
    <w:rsid w:val="002A61D9"/>
    <w:rsid w:val="002A6332"/>
    <w:rsid w:val="002A6593"/>
    <w:rsid w:val="002A6B82"/>
    <w:rsid w:val="002A73A7"/>
    <w:rsid w:val="002B31B7"/>
    <w:rsid w:val="002B3FE3"/>
    <w:rsid w:val="002B54B7"/>
    <w:rsid w:val="002B6730"/>
    <w:rsid w:val="002B7874"/>
    <w:rsid w:val="002C0123"/>
    <w:rsid w:val="002C15C6"/>
    <w:rsid w:val="002C1ECF"/>
    <w:rsid w:val="002C1ED3"/>
    <w:rsid w:val="002C3A0C"/>
    <w:rsid w:val="002C3A0D"/>
    <w:rsid w:val="002C45D8"/>
    <w:rsid w:val="002C6E08"/>
    <w:rsid w:val="002C7128"/>
    <w:rsid w:val="002D0F56"/>
    <w:rsid w:val="002D1A7D"/>
    <w:rsid w:val="002D4CBC"/>
    <w:rsid w:val="002D6D70"/>
    <w:rsid w:val="002E0CCA"/>
    <w:rsid w:val="002E0D2C"/>
    <w:rsid w:val="002E141A"/>
    <w:rsid w:val="002E1871"/>
    <w:rsid w:val="002E1B95"/>
    <w:rsid w:val="002E1CFA"/>
    <w:rsid w:val="002E3741"/>
    <w:rsid w:val="002E3EC7"/>
    <w:rsid w:val="002E4808"/>
    <w:rsid w:val="002E483E"/>
    <w:rsid w:val="002E7045"/>
    <w:rsid w:val="002E7199"/>
    <w:rsid w:val="002F012F"/>
    <w:rsid w:val="002F0513"/>
    <w:rsid w:val="002F0990"/>
    <w:rsid w:val="002F0C58"/>
    <w:rsid w:val="002F0EA1"/>
    <w:rsid w:val="002F13D1"/>
    <w:rsid w:val="002F37F8"/>
    <w:rsid w:val="002F4EDB"/>
    <w:rsid w:val="002F6076"/>
    <w:rsid w:val="002F60D3"/>
    <w:rsid w:val="002F6DBD"/>
    <w:rsid w:val="002F7574"/>
    <w:rsid w:val="00300A59"/>
    <w:rsid w:val="00300A7D"/>
    <w:rsid w:val="0030214A"/>
    <w:rsid w:val="00302E78"/>
    <w:rsid w:val="00306288"/>
    <w:rsid w:val="00306884"/>
    <w:rsid w:val="00306E6F"/>
    <w:rsid w:val="00307C68"/>
    <w:rsid w:val="00307F7A"/>
    <w:rsid w:val="00310786"/>
    <w:rsid w:val="003140F9"/>
    <w:rsid w:val="0031426A"/>
    <w:rsid w:val="003148EA"/>
    <w:rsid w:val="003150CA"/>
    <w:rsid w:val="00315CB8"/>
    <w:rsid w:val="00315D8D"/>
    <w:rsid w:val="003168ED"/>
    <w:rsid w:val="003172EB"/>
    <w:rsid w:val="00317AB4"/>
    <w:rsid w:val="00321E11"/>
    <w:rsid w:val="00321FB3"/>
    <w:rsid w:val="0032252B"/>
    <w:rsid w:val="003228A7"/>
    <w:rsid w:val="00324CE8"/>
    <w:rsid w:val="00325BD4"/>
    <w:rsid w:val="00326A33"/>
    <w:rsid w:val="0032785C"/>
    <w:rsid w:val="00327ADA"/>
    <w:rsid w:val="00327E36"/>
    <w:rsid w:val="00327E53"/>
    <w:rsid w:val="00330795"/>
    <w:rsid w:val="00330E85"/>
    <w:rsid w:val="0033219D"/>
    <w:rsid w:val="00334624"/>
    <w:rsid w:val="00335693"/>
    <w:rsid w:val="00335897"/>
    <w:rsid w:val="0033634C"/>
    <w:rsid w:val="0033669D"/>
    <w:rsid w:val="003367DD"/>
    <w:rsid w:val="00337935"/>
    <w:rsid w:val="00341BED"/>
    <w:rsid w:val="003433D9"/>
    <w:rsid w:val="00343E5D"/>
    <w:rsid w:val="0034439B"/>
    <w:rsid w:val="00344A4E"/>
    <w:rsid w:val="003455A7"/>
    <w:rsid w:val="003458DD"/>
    <w:rsid w:val="003469BB"/>
    <w:rsid w:val="00350743"/>
    <w:rsid w:val="00350A47"/>
    <w:rsid w:val="003513CA"/>
    <w:rsid w:val="00351CB7"/>
    <w:rsid w:val="00351FAC"/>
    <w:rsid w:val="003529AF"/>
    <w:rsid w:val="00353389"/>
    <w:rsid w:val="00353652"/>
    <w:rsid w:val="003564CA"/>
    <w:rsid w:val="0035756C"/>
    <w:rsid w:val="00357751"/>
    <w:rsid w:val="003601F1"/>
    <w:rsid w:val="00360BFC"/>
    <w:rsid w:val="00362A40"/>
    <w:rsid w:val="00363BF3"/>
    <w:rsid w:val="003649E8"/>
    <w:rsid w:val="00366631"/>
    <w:rsid w:val="00366957"/>
    <w:rsid w:val="003679D5"/>
    <w:rsid w:val="00367B79"/>
    <w:rsid w:val="003700BB"/>
    <w:rsid w:val="0037015D"/>
    <w:rsid w:val="0037217E"/>
    <w:rsid w:val="00373BB6"/>
    <w:rsid w:val="003741B1"/>
    <w:rsid w:val="00374F02"/>
    <w:rsid w:val="00375614"/>
    <w:rsid w:val="00376F2F"/>
    <w:rsid w:val="00380D8B"/>
    <w:rsid w:val="00380E60"/>
    <w:rsid w:val="00381483"/>
    <w:rsid w:val="00381C36"/>
    <w:rsid w:val="00381D62"/>
    <w:rsid w:val="003825FD"/>
    <w:rsid w:val="00382FF5"/>
    <w:rsid w:val="003864AC"/>
    <w:rsid w:val="003869D5"/>
    <w:rsid w:val="0038739B"/>
    <w:rsid w:val="003905B9"/>
    <w:rsid w:val="00390803"/>
    <w:rsid w:val="0039206E"/>
    <w:rsid w:val="00392A4B"/>
    <w:rsid w:val="00392AA2"/>
    <w:rsid w:val="00393BA3"/>
    <w:rsid w:val="0039527F"/>
    <w:rsid w:val="00395A71"/>
    <w:rsid w:val="0039682A"/>
    <w:rsid w:val="003975EA"/>
    <w:rsid w:val="003A2624"/>
    <w:rsid w:val="003A37F4"/>
    <w:rsid w:val="003A4B54"/>
    <w:rsid w:val="003A4D05"/>
    <w:rsid w:val="003A4F1D"/>
    <w:rsid w:val="003A4F95"/>
    <w:rsid w:val="003A6F71"/>
    <w:rsid w:val="003A745C"/>
    <w:rsid w:val="003A7AA6"/>
    <w:rsid w:val="003A7BAA"/>
    <w:rsid w:val="003B01D4"/>
    <w:rsid w:val="003B10EC"/>
    <w:rsid w:val="003B124D"/>
    <w:rsid w:val="003B1570"/>
    <w:rsid w:val="003B15C9"/>
    <w:rsid w:val="003B21BF"/>
    <w:rsid w:val="003B25DB"/>
    <w:rsid w:val="003B2BE2"/>
    <w:rsid w:val="003B3C31"/>
    <w:rsid w:val="003B3EB5"/>
    <w:rsid w:val="003B43B8"/>
    <w:rsid w:val="003B4D93"/>
    <w:rsid w:val="003B5FEE"/>
    <w:rsid w:val="003B76D9"/>
    <w:rsid w:val="003C0CEB"/>
    <w:rsid w:val="003C1912"/>
    <w:rsid w:val="003C351A"/>
    <w:rsid w:val="003C3BC6"/>
    <w:rsid w:val="003C5934"/>
    <w:rsid w:val="003C7080"/>
    <w:rsid w:val="003D07BE"/>
    <w:rsid w:val="003D11D0"/>
    <w:rsid w:val="003D239A"/>
    <w:rsid w:val="003D2C74"/>
    <w:rsid w:val="003D5245"/>
    <w:rsid w:val="003D5507"/>
    <w:rsid w:val="003D5A10"/>
    <w:rsid w:val="003D5E6D"/>
    <w:rsid w:val="003D7CB9"/>
    <w:rsid w:val="003E0F7C"/>
    <w:rsid w:val="003E2B73"/>
    <w:rsid w:val="003E2F03"/>
    <w:rsid w:val="003E342E"/>
    <w:rsid w:val="003E3BBF"/>
    <w:rsid w:val="003E3FD6"/>
    <w:rsid w:val="003E424A"/>
    <w:rsid w:val="003E5642"/>
    <w:rsid w:val="003E63B5"/>
    <w:rsid w:val="003E75F3"/>
    <w:rsid w:val="003F0D9E"/>
    <w:rsid w:val="003F1974"/>
    <w:rsid w:val="003F1BC7"/>
    <w:rsid w:val="003F2109"/>
    <w:rsid w:val="003F2790"/>
    <w:rsid w:val="003F50FF"/>
    <w:rsid w:val="003F5900"/>
    <w:rsid w:val="003F6355"/>
    <w:rsid w:val="003F6EC0"/>
    <w:rsid w:val="00400266"/>
    <w:rsid w:val="00401A9A"/>
    <w:rsid w:val="00402EEA"/>
    <w:rsid w:val="00404201"/>
    <w:rsid w:val="00405CEF"/>
    <w:rsid w:val="00406337"/>
    <w:rsid w:val="00406A00"/>
    <w:rsid w:val="004074B3"/>
    <w:rsid w:val="004075EA"/>
    <w:rsid w:val="00410C82"/>
    <w:rsid w:val="0041108E"/>
    <w:rsid w:val="00412DF2"/>
    <w:rsid w:val="004138F5"/>
    <w:rsid w:val="00413D22"/>
    <w:rsid w:val="0041421A"/>
    <w:rsid w:val="00414C90"/>
    <w:rsid w:val="00415835"/>
    <w:rsid w:val="004165B0"/>
    <w:rsid w:val="004165D6"/>
    <w:rsid w:val="0041749C"/>
    <w:rsid w:val="0042163E"/>
    <w:rsid w:val="00423163"/>
    <w:rsid w:val="00424253"/>
    <w:rsid w:val="004244A5"/>
    <w:rsid w:val="00426034"/>
    <w:rsid w:val="00426FE3"/>
    <w:rsid w:val="00427318"/>
    <w:rsid w:val="004276CD"/>
    <w:rsid w:val="0042778E"/>
    <w:rsid w:val="00427843"/>
    <w:rsid w:val="004302B6"/>
    <w:rsid w:val="00430B9B"/>
    <w:rsid w:val="0043230A"/>
    <w:rsid w:val="00434631"/>
    <w:rsid w:val="0043511C"/>
    <w:rsid w:val="00435538"/>
    <w:rsid w:val="00437E88"/>
    <w:rsid w:val="00440672"/>
    <w:rsid w:val="00441E70"/>
    <w:rsid w:val="004422DB"/>
    <w:rsid w:val="00443779"/>
    <w:rsid w:val="00443CCC"/>
    <w:rsid w:val="004441E4"/>
    <w:rsid w:val="004448E8"/>
    <w:rsid w:val="00444E47"/>
    <w:rsid w:val="004474FB"/>
    <w:rsid w:val="0045037B"/>
    <w:rsid w:val="004505DA"/>
    <w:rsid w:val="004528CC"/>
    <w:rsid w:val="004529C3"/>
    <w:rsid w:val="004544D1"/>
    <w:rsid w:val="0045497B"/>
    <w:rsid w:val="0045608B"/>
    <w:rsid w:val="00456DAB"/>
    <w:rsid w:val="004579BB"/>
    <w:rsid w:val="0046006D"/>
    <w:rsid w:val="004629FA"/>
    <w:rsid w:val="00464A2A"/>
    <w:rsid w:val="004652FD"/>
    <w:rsid w:val="004657F4"/>
    <w:rsid w:val="00466979"/>
    <w:rsid w:val="00466D17"/>
    <w:rsid w:val="00467E20"/>
    <w:rsid w:val="0047068F"/>
    <w:rsid w:val="00472A4C"/>
    <w:rsid w:val="00472B05"/>
    <w:rsid w:val="00472D04"/>
    <w:rsid w:val="00472E85"/>
    <w:rsid w:val="00473068"/>
    <w:rsid w:val="00473183"/>
    <w:rsid w:val="004735D5"/>
    <w:rsid w:val="0047556B"/>
    <w:rsid w:val="00475C2D"/>
    <w:rsid w:val="00477226"/>
    <w:rsid w:val="004813E8"/>
    <w:rsid w:val="004827F3"/>
    <w:rsid w:val="004829F2"/>
    <w:rsid w:val="00486114"/>
    <w:rsid w:val="004863E4"/>
    <w:rsid w:val="00487264"/>
    <w:rsid w:val="004901AB"/>
    <w:rsid w:val="00490D2A"/>
    <w:rsid w:val="0049105D"/>
    <w:rsid w:val="004918C4"/>
    <w:rsid w:val="004930DF"/>
    <w:rsid w:val="004932A2"/>
    <w:rsid w:val="00496E8C"/>
    <w:rsid w:val="00496EAA"/>
    <w:rsid w:val="00497006"/>
    <w:rsid w:val="004A00B9"/>
    <w:rsid w:val="004A08D7"/>
    <w:rsid w:val="004A14FC"/>
    <w:rsid w:val="004A161A"/>
    <w:rsid w:val="004A5151"/>
    <w:rsid w:val="004A5614"/>
    <w:rsid w:val="004A5DB1"/>
    <w:rsid w:val="004A687F"/>
    <w:rsid w:val="004A6AFA"/>
    <w:rsid w:val="004A7359"/>
    <w:rsid w:val="004B15B5"/>
    <w:rsid w:val="004B3161"/>
    <w:rsid w:val="004B5BAF"/>
    <w:rsid w:val="004B5CB4"/>
    <w:rsid w:val="004B632A"/>
    <w:rsid w:val="004B7836"/>
    <w:rsid w:val="004B7E82"/>
    <w:rsid w:val="004C06AD"/>
    <w:rsid w:val="004C0946"/>
    <w:rsid w:val="004C0C08"/>
    <w:rsid w:val="004C13CF"/>
    <w:rsid w:val="004C7EB2"/>
    <w:rsid w:val="004D0163"/>
    <w:rsid w:val="004D0AC5"/>
    <w:rsid w:val="004D19EB"/>
    <w:rsid w:val="004D21D2"/>
    <w:rsid w:val="004D25FE"/>
    <w:rsid w:val="004D3210"/>
    <w:rsid w:val="004D35C6"/>
    <w:rsid w:val="004E06B4"/>
    <w:rsid w:val="004E189A"/>
    <w:rsid w:val="004E1A28"/>
    <w:rsid w:val="004E2076"/>
    <w:rsid w:val="004E2F8E"/>
    <w:rsid w:val="004E318F"/>
    <w:rsid w:val="004E3FF3"/>
    <w:rsid w:val="004E44A6"/>
    <w:rsid w:val="004E4B75"/>
    <w:rsid w:val="004E5A0A"/>
    <w:rsid w:val="004E6694"/>
    <w:rsid w:val="004E6764"/>
    <w:rsid w:val="004E791F"/>
    <w:rsid w:val="004F021C"/>
    <w:rsid w:val="004F1757"/>
    <w:rsid w:val="004F1D20"/>
    <w:rsid w:val="004F326C"/>
    <w:rsid w:val="004F38A6"/>
    <w:rsid w:val="004F444A"/>
    <w:rsid w:val="004F5575"/>
    <w:rsid w:val="004F74F2"/>
    <w:rsid w:val="004F79D9"/>
    <w:rsid w:val="005014BC"/>
    <w:rsid w:val="00501617"/>
    <w:rsid w:val="00502229"/>
    <w:rsid w:val="005030DE"/>
    <w:rsid w:val="0050436B"/>
    <w:rsid w:val="00505BDB"/>
    <w:rsid w:val="0050619A"/>
    <w:rsid w:val="0050634D"/>
    <w:rsid w:val="005078B2"/>
    <w:rsid w:val="005079C1"/>
    <w:rsid w:val="00507B77"/>
    <w:rsid w:val="00507BBF"/>
    <w:rsid w:val="00511260"/>
    <w:rsid w:val="00511565"/>
    <w:rsid w:val="0051172C"/>
    <w:rsid w:val="0051380C"/>
    <w:rsid w:val="00514878"/>
    <w:rsid w:val="00516745"/>
    <w:rsid w:val="0051706E"/>
    <w:rsid w:val="0051778A"/>
    <w:rsid w:val="00520E7F"/>
    <w:rsid w:val="00523DBC"/>
    <w:rsid w:val="005244E9"/>
    <w:rsid w:val="00525DF3"/>
    <w:rsid w:val="00527C9A"/>
    <w:rsid w:val="00530509"/>
    <w:rsid w:val="00531B99"/>
    <w:rsid w:val="00532080"/>
    <w:rsid w:val="00535CA4"/>
    <w:rsid w:val="005377E4"/>
    <w:rsid w:val="00537F46"/>
    <w:rsid w:val="005448FC"/>
    <w:rsid w:val="00545009"/>
    <w:rsid w:val="00545140"/>
    <w:rsid w:val="00545668"/>
    <w:rsid w:val="0055098F"/>
    <w:rsid w:val="005510DD"/>
    <w:rsid w:val="005517B9"/>
    <w:rsid w:val="005527E5"/>
    <w:rsid w:val="00553E7D"/>
    <w:rsid w:val="005542BD"/>
    <w:rsid w:val="00554B3E"/>
    <w:rsid w:val="00556489"/>
    <w:rsid w:val="00556E04"/>
    <w:rsid w:val="00556EDA"/>
    <w:rsid w:val="00556FC7"/>
    <w:rsid w:val="005573D6"/>
    <w:rsid w:val="0056029F"/>
    <w:rsid w:val="00560CCF"/>
    <w:rsid w:val="005644F5"/>
    <w:rsid w:val="0056509F"/>
    <w:rsid w:val="00565326"/>
    <w:rsid w:val="00566283"/>
    <w:rsid w:val="00570A0D"/>
    <w:rsid w:val="005711C7"/>
    <w:rsid w:val="005754FC"/>
    <w:rsid w:val="00575F9C"/>
    <w:rsid w:val="00576979"/>
    <w:rsid w:val="00576CF8"/>
    <w:rsid w:val="00577D50"/>
    <w:rsid w:val="00580D85"/>
    <w:rsid w:val="005813AC"/>
    <w:rsid w:val="0058354A"/>
    <w:rsid w:val="00584BA7"/>
    <w:rsid w:val="00585546"/>
    <w:rsid w:val="00586CFB"/>
    <w:rsid w:val="00587D29"/>
    <w:rsid w:val="00591072"/>
    <w:rsid w:val="005915C4"/>
    <w:rsid w:val="005934B8"/>
    <w:rsid w:val="00594C9D"/>
    <w:rsid w:val="005959A4"/>
    <w:rsid w:val="00595B49"/>
    <w:rsid w:val="00595C65"/>
    <w:rsid w:val="005964E5"/>
    <w:rsid w:val="005969E2"/>
    <w:rsid w:val="00597705"/>
    <w:rsid w:val="005A1BF4"/>
    <w:rsid w:val="005A2449"/>
    <w:rsid w:val="005A2C73"/>
    <w:rsid w:val="005A3E4D"/>
    <w:rsid w:val="005A4023"/>
    <w:rsid w:val="005A4293"/>
    <w:rsid w:val="005A4FC0"/>
    <w:rsid w:val="005A71F7"/>
    <w:rsid w:val="005A7BC7"/>
    <w:rsid w:val="005B1333"/>
    <w:rsid w:val="005B1872"/>
    <w:rsid w:val="005B5D91"/>
    <w:rsid w:val="005B649F"/>
    <w:rsid w:val="005B779E"/>
    <w:rsid w:val="005B7922"/>
    <w:rsid w:val="005B7CEE"/>
    <w:rsid w:val="005C1439"/>
    <w:rsid w:val="005C15DC"/>
    <w:rsid w:val="005C1DEC"/>
    <w:rsid w:val="005C28AE"/>
    <w:rsid w:val="005C36E4"/>
    <w:rsid w:val="005C4FDA"/>
    <w:rsid w:val="005C5C47"/>
    <w:rsid w:val="005C6A41"/>
    <w:rsid w:val="005C7B65"/>
    <w:rsid w:val="005D0320"/>
    <w:rsid w:val="005D0B78"/>
    <w:rsid w:val="005D25D6"/>
    <w:rsid w:val="005D3407"/>
    <w:rsid w:val="005D3941"/>
    <w:rsid w:val="005D411A"/>
    <w:rsid w:val="005D47C3"/>
    <w:rsid w:val="005D5E9D"/>
    <w:rsid w:val="005D6BF3"/>
    <w:rsid w:val="005D6D77"/>
    <w:rsid w:val="005D6F34"/>
    <w:rsid w:val="005D7A34"/>
    <w:rsid w:val="005E1F53"/>
    <w:rsid w:val="005E269B"/>
    <w:rsid w:val="005E2F30"/>
    <w:rsid w:val="005E3541"/>
    <w:rsid w:val="005E36A3"/>
    <w:rsid w:val="005E560B"/>
    <w:rsid w:val="005E601A"/>
    <w:rsid w:val="005E654E"/>
    <w:rsid w:val="005F03D5"/>
    <w:rsid w:val="005F04A5"/>
    <w:rsid w:val="005F158C"/>
    <w:rsid w:val="005F236B"/>
    <w:rsid w:val="005F6D85"/>
    <w:rsid w:val="005F77BC"/>
    <w:rsid w:val="00600269"/>
    <w:rsid w:val="0060138F"/>
    <w:rsid w:val="006020F7"/>
    <w:rsid w:val="0060391E"/>
    <w:rsid w:val="0060443D"/>
    <w:rsid w:val="0060486E"/>
    <w:rsid w:val="00606151"/>
    <w:rsid w:val="006062FB"/>
    <w:rsid w:val="00606867"/>
    <w:rsid w:val="00607419"/>
    <w:rsid w:val="006074A3"/>
    <w:rsid w:val="006101AF"/>
    <w:rsid w:val="00610A92"/>
    <w:rsid w:val="00612393"/>
    <w:rsid w:val="00612ACF"/>
    <w:rsid w:val="00613E36"/>
    <w:rsid w:val="00614A7A"/>
    <w:rsid w:val="00616B35"/>
    <w:rsid w:val="00617399"/>
    <w:rsid w:val="00617555"/>
    <w:rsid w:val="00617A30"/>
    <w:rsid w:val="00617F99"/>
    <w:rsid w:val="006215E6"/>
    <w:rsid w:val="00621B4B"/>
    <w:rsid w:val="006232F1"/>
    <w:rsid w:val="00623DDE"/>
    <w:rsid w:val="00624695"/>
    <w:rsid w:val="006249C3"/>
    <w:rsid w:val="00625806"/>
    <w:rsid w:val="00625ABA"/>
    <w:rsid w:val="00625D2D"/>
    <w:rsid w:val="00625DC2"/>
    <w:rsid w:val="00625EDB"/>
    <w:rsid w:val="006271A4"/>
    <w:rsid w:val="0062776F"/>
    <w:rsid w:val="00630138"/>
    <w:rsid w:val="006309EB"/>
    <w:rsid w:val="006313FC"/>
    <w:rsid w:val="006332F2"/>
    <w:rsid w:val="00634B17"/>
    <w:rsid w:val="00637A17"/>
    <w:rsid w:val="00637C90"/>
    <w:rsid w:val="00641035"/>
    <w:rsid w:val="00641661"/>
    <w:rsid w:val="0064303D"/>
    <w:rsid w:val="00644FB0"/>
    <w:rsid w:val="0064604B"/>
    <w:rsid w:val="006476E6"/>
    <w:rsid w:val="00650EE2"/>
    <w:rsid w:val="006511A4"/>
    <w:rsid w:val="006513E2"/>
    <w:rsid w:val="00651916"/>
    <w:rsid w:val="00651DE7"/>
    <w:rsid w:val="006531C9"/>
    <w:rsid w:val="0065358D"/>
    <w:rsid w:val="006535E1"/>
    <w:rsid w:val="00654344"/>
    <w:rsid w:val="0066025E"/>
    <w:rsid w:val="00661122"/>
    <w:rsid w:val="00661D64"/>
    <w:rsid w:val="00662682"/>
    <w:rsid w:val="00662CE5"/>
    <w:rsid w:val="006639A0"/>
    <w:rsid w:val="00663D7F"/>
    <w:rsid w:val="00664CD0"/>
    <w:rsid w:val="00665D94"/>
    <w:rsid w:val="006668FE"/>
    <w:rsid w:val="00667591"/>
    <w:rsid w:val="006679FC"/>
    <w:rsid w:val="00667F9F"/>
    <w:rsid w:val="006700E2"/>
    <w:rsid w:val="006710E7"/>
    <w:rsid w:val="0067193A"/>
    <w:rsid w:val="00671A0B"/>
    <w:rsid w:val="0067210D"/>
    <w:rsid w:val="00675C81"/>
    <w:rsid w:val="00676318"/>
    <w:rsid w:val="00676864"/>
    <w:rsid w:val="0067697F"/>
    <w:rsid w:val="00676F36"/>
    <w:rsid w:val="00680019"/>
    <w:rsid w:val="0068034D"/>
    <w:rsid w:val="00681152"/>
    <w:rsid w:val="00681467"/>
    <w:rsid w:val="0068197C"/>
    <w:rsid w:val="00681E45"/>
    <w:rsid w:val="00682987"/>
    <w:rsid w:val="00682CE5"/>
    <w:rsid w:val="006841DC"/>
    <w:rsid w:val="0068468E"/>
    <w:rsid w:val="00685DAD"/>
    <w:rsid w:val="0068615D"/>
    <w:rsid w:val="0068624B"/>
    <w:rsid w:val="0068675A"/>
    <w:rsid w:val="0069106B"/>
    <w:rsid w:val="00691AF2"/>
    <w:rsid w:val="00691CB2"/>
    <w:rsid w:val="00694527"/>
    <w:rsid w:val="0069550C"/>
    <w:rsid w:val="0069645F"/>
    <w:rsid w:val="00697465"/>
    <w:rsid w:val="00697EB1"/>
    <w:rsid w:val="006A2310"/>
    <w:rsid w:val="006A2706"/>
    <w:rsid w:val="006A3BB9"/>
    <w:rsid w:val="006A4108"/>
    <w:rsid w:val="006A498B"/>
    <w:rsid w:val="006A6F68"/>
    <w:rsid w:val="006A7CD0"/>
    <w:rsid w:val="006B150C"/>
    <w:rsid w:val="006B1DCE"/>
    <w:rsid w:val="006B2646"/>
    <w:rsid w:val="006B42B2"/>
    <w:rsid w:val="006B6180"/>
    <w:rsid w:val="006B61A5"/>
    <w:rsid w:val="006B692B"/>
    <w:rsid w:val="006B7358"/>
    <w:rsid w:val="006C177A"/>
    <w:rsid w:val="006C1B13"/>
    <w:rsid w:val="006C32C4"/>
    <w:rsid w:val="006C33B4"/>
    <w:rsid w:val="006D01C4"/>
    <w:rsid w:val="006D067F"/>
    <w:rsid w:val="006D07FB"/>
    <w:rsid w:val="006D5A67"/>
    <w:rsid w:val="006D6D07"/>
    <w:rsid w:val="006D762E"/>
    <w:rsid w:val="006D7DFD"/>
    <w:rsid w:val="006E16D1"/>
    <w:rsid w:val="006E1EE3"/>
    <w:rsid w:val="006E24C5"/>
    <w:rsid w:val="006E2B37"/>
    <w:rsid w:val="006E2B6D"/>
    <w:rsid w:val="006E3C88"/>
    <w:rsid w:val="006E4C1C"/>
    <w:rsid w:val="006E4C80"/>
    <w:rsid w:val="006E6498"/>
    <w:rsid w:val="006E6E42"/>
    <w:rsid w:val="006F0050"/>
    <w:rsid w:val="006F09D8"/>
    <w:rsid w:val="006F1624"/>
    <w:rsid w:val="006F3052"/>
    <w:rsid w:val="006F31BD"/>
    <w:rsid w:val="006F31CE"/>
    <w:rsid w:val="006F3259"/>
    <w:rsid w:val="006F3C00"/>
    <w:rsid w:val="006F48FF"/>
    <w:rsid w:val="006F78DB"/>
    <w:rsid w:val="00701E29"/>
    <w:rsid w:val="00702237"/>
    <w:rsid w:val="00702C42"/>
    <w:rsid w:val="00704A2E"/>
    <w:rsid w:val="007052A5"/>
    <w:rsid w:val="007057AB"/>
    <w:rsid w:val="00705F57"/>
    <w:rsid w:val="007065B9"/>
    <w:rsid w:val="00706F83"/>
    <w:rsid w:val="00707343"/>
    <w:rsid w:val="007073FB"/>
    <w:rsid w:val="00707A1C"/>
    <w:rsid w:val="00710935"/>
    <w:rsid w:val="00710C28"/>
    <w:rsid w:val="007119CA"/>
    <w:rsid w:val="00711C08"/>
    <w:rsid w:val="00711CC1"/>
    <w:rsid w:val="00712ED3"/>
    <w:rsid w:val="00714697"/>
    <w:rsid w:val="00714C9E"/>
    <w:rsid w:val="00715651"/>
    <w:rsid w:val="00717903"/>
    <w:rsid w:val="00717B10"/>
    <w:rsid w:val="00724B29"/>
    <w:rsid w:val="00724B59"/>
    <w:rsid w:val="0072737E"/>
    <w:rsid w:val="00727A78"/>
    <w:rsid w:val="00730A5A"/>
    <w:rsid w:val="00731207"/>
    <w:rsid w:val="00734430"/>
    <w:rsid w:val="00735023"/>
    <w:rsid w:val="00737783"/>
    <w:rsid w:val="0074053C"/>
    <w:rsid w:val="00743D4D"/>
    <w:rsid w:val="00743EB1"/>
    <w:rsid w:val="0074485F"/>
    <w:rsid w:val="007451A8"/>
    <w:rsid w:val="0074527C"/>
    <w:rsid w:val="00745BF2"/>
    <w:rsid w:val="00745E2B"/>
    <w:rsid w:val="00746757"/>
    <w:rsid w:val="0074686C"/>
    <w:rsid w:val="00751ADD"/>
    <w:rsid w:val="007520F6"/>
    <w:rsid w:val="00752BF2"/>
    <w:rsid w:val="007532C0"/>
    <w:rsid w:val="00756020"/>
    <w:rsid w:val="00756098"/>
    <w:rsid w:val="00757285"/>
    <w:rsid w:val="00757F3C"/>
    <w:rsid w:val="007631E0"/>
    <w:rsid w:val="00763530"/>
    <w:rsid w:val="00763628"/>
    <w:rsid w:val="00763BF3"/>
    <w:rsid w:val="00764F87"/>
    <w:rsid w:val="00767A6B"/>
    <w:rsid w:val="00771030"/>
    <w:rsid w:val="00771094"/>
    <w:rsid w:val="00771421"/>
    <w:rsid w:val="00772370"/>
    <w:rsid w:val="00772C5A"/>
    <w:rsid w:val="00772E4B"/>
    <w:rsid w:val="00773EF3"/>
    <w:rsid w:val="007744D5"/>
    <w:rsid w:val="0077459E"/>
    <w:rsid w:val="00774A88"/>
    <w:rsid w:val="00775448"/>
    <w:rsid w:val="0077676B"/>
    <w:rsid w:val="00781627"/>
    <w:rsid w:val="00782782"/>
    <w:rsid w:val="00783C10"/>
    <w:rsid w:val="007841E0"/>
    <w:rsid w:val="007863FC"/>
    <w:rsid w:val="007866DC"/>
    <w:rsid w:val="00791465"/>
    <w:rsid w:val="0079276A"/>
    <w:rsid w:val="00794AA8"/>
    <w:rsid w:val="00796986"/>
    <w:rsid w:val="00796F39"/>
    <w:rsid w:val="00796F7A"/>
    <w:rsid w:val="00797A49"/>
    <w:rsid w:val="00797B6A"/>
    <w:rsid w:val="007A1488"/>
    <w:rsid w:val="007A1A81"/>
    <w:rsid w:val="007A2884"/>
    <w:rsid w:val="007A2BFF"/>
    <w:rsid w:val="007A32BF"/>
    <w:rsid w:val="007A3705"/>
    <w:rsid w:val="007A39B0"/>
    <w:rsid w:val="007A7A59"/>
    <w:rsid w:val="007A7BBE"/>
    <w:rsid w:val="007A7D37"/>
    <w:rsid w:val="007B196E"/>
    <w:rsid w:val="007B1F09"/>
    <w:rsid w:val="007B21BC"/>
    <w:rsid w:val="007B3EF8"/>
    <w:rsid w:val="007B566C"/>
    <w:rsid w:val="007B568E"/>
    <w:rsid w:val="007B686F"/>
    <w:rsid w:val="007B6CEF"/>
    <w:rsid w:val="007B708D"/>
    <w:rsid w:val="007B7BC9"/>
    <w:rsid w:val="007C024D"/>
    <w:rsid w:val="007C129E"/>
    <w:rsid w:val="007C17AD"/>
    <w:rsid w:val="007C247A"/>
    <w:rsid w:val="007C2B18"/>
    <w:rsid w:val="007C2E01"/>
    <w:rsid w:val="007C4731"/>
    <w:rsid w:val="007C4775"/>
    <w:rsid w:val="007C546A"/>
    <w:rsid w:val="007C620A"/>
    <w:rsid w:val="007D0644"/>
    <w:rsid w:val="007D0A2D"/>
    <w:rsid w:val="007D181A"/>
    <w:rsid w:val="007D3369"/>
    <w:rsid w:val="007D3ACE"/>
    <w:rsid w:val="007D56DA"/>
    <w:rsid w:val="007D64EC"/>
    <w:rsid w:val="007E05A2"/>
    <w:rsid w:val="007E0B2D"/>
    <w:rsid w:val="007E1089"/>
    <w:rsid w:val="007E1B26"/>
    <w:rsid w:val="007E1F8D"/>
    <w:rsid w:val="007E5E24"/>
    <w:rsid w:val="007F0587"/>
    <w:rsid w:val="007F1E72"/>
    <w:rsid w:val="007F2317"/>
    <w:rsid w:val="007F2C37"/>
    <w:rsid w:val="007F4798"/>
    <w:rsid w:val="007F578D"/>
    <w:rsid w:val="007F786A"/>
    <w:rsid w:val="00800438"/>
    <w:rsid w:val="008019A5"/>
    <w:rsid w:val="008020C2"/>
    <w:rsid w:val="008020CD"/>
    <w:rsid w:val="0080286F"/>
    <w:rsid w:val="00803543"/>
    <w:rsid w:val="008048C8"/>
    <w:rsid w:val="008059FF"/>
    <w:rsid w:val="00806478"/>
    <w:rsid w:val="00806AFC"/>
    <w:rsid w:val="00810336"/>
    <w:rsid w:val="0081156D"/>
    <w:rsid w:val="00811B30"/>
    <w:rsid w:val="00812D95"/>
    <w:rsid w:val="00813448"/>
    <w:rsid w:val="00814EDE"/>
    <w:rsid w:val="00815C52"/>
    <w:rsid w:val="0081612B"/>
    <w:rsid w:val="00816454"/>
    <w:rsid w:val="00816D46"/>
    <w:rsid w:val="00816ED1"/>
    <w:rsid w:val="00817B9B"/>
    <w:rsid w:val="00820D72"/>
    <w:rsid w:val="00821D82"/>
    <w:rsid w:val="008230F2"/>
    <w:rsid w:val="00823442"/>
    <w:rsid w:val="008242ED"/>
    <w:rsid w:val="008276BB"/>
    <w:rsid w:val="00830383"/>
    <w:rsid w:val="00830A71"/>
    <w:rsid w:val="00830F6A"/>
    <w:rsid w:val="008319B8"/>
    <w:rsid w:val="00832548"/>
    <w:rsid w:val="00832EA6"/>
    <w:rsid w:val="00832FD6"/>
    <w:rsid w:val="0083336E"/>
    <w:rsid w:val="00833478"/>
    <w:rsid w:val="00833501"/>
    <w:rsid w:val="0083402B"/>
    <w:rsid w:val="00834066"/>
    <w:rsid w:val="008343B4"/>
    <w:rsid w:val="00834E99"/>
    <w:rsid w:val="00837B9A"/>
    <w:rsid w:val="00837E1F"/>
    <w:rsid w:val="008405CE"/>
    <w:rsid w:val="008405CF"/>
    <w:rsid w:val="008409C4"/>
    <w:rsid w:val="00841726"/>
    <w:rsid w:val="008417D1"/>
    <w:rsid w:val="008426AA"/>
    <w:rsid w:val="0084295A"/>
    <w:rsid w:val="00842B2B"/>
    <w:rsid w:val="0084393F"/>
    <w:rsid w:val="00843D8C"/>
    <w:rsid w:val="00846269"/>
    <w:rsid w:val="0085135C"/>
    <w:rsid w:val="00851511"/>
    <w:rsid w:val="00852523"/>
    <w:rsid w:val="008536CA"/>
    <w:rsid w:val="008547C2"/>
    <w:rsid w:val="00854A89"/>
    <w:rsid w:val="00855355"/>
    <w:rsid w:val="00855569"/>
    <w:rsid w:val="008557C2"/>
    <w:rsid w:val="00855F97"/>
    <w:rsid w:val="008578A7"/>
    <w:rsid w:val="0086080D"/>
    <w:rsid w:val="008634DE"/>
    <w:rsid w:val="00864230"/>
    <w:rsid w:val="008647BD"/>
    <w:rsid w:val="00864BB3"/>
    <w:rsid w:val="00865329"/>
    <w:rsid w:val="0086607E"/>
    <w:rsid w:val="00866552"/>
    <w:rsid w:val="008665C4"/>
    <w:rsid w:val="0086751C"/>
    <w:rsid w:val="008677E3"/>
    <w:rsid w:val="00870482"/>
    <w:rsid w:val="00870556"/>
    <w:rsid w:val="00870B41"/>
    <w:rsid w:val="00870D04"/>
    <w:rsid w:val="0087195C"/>
    <w:rsid w:val="00872817"/>
    <w:rsid w:val="00873C6E"/>
    <w:rsid w:val="00873EB9"/>
    <w:rsid w:val="008756AC"/>
    <w:rsid w:val="00875D5A"/>
    <w:rsid w:val="00875F1E"/>
    <w:rsid w:val="00880351"/>
    <w:rsid w:val="00880474"/>
    <w:rsid w:val="0088086C"/>
    <w:rsid w:val="008825BB"/>
    <w:rsid w:val="00882735"/>
    <w:rsid w:val="0088275A"/>
    <w:rsid w:val="00882EFE"/>
    <w:rsid w:val="00882FC8"/>
    <w:rsid w:val="00883B8F"/>
    <w:rsid w:val="00885514"/>
    <w:rsid w:val="00885C05"/>
    <w:rsid w:val="00885F6F"/>
    <w:rsid w:val="00886DDA"/>
    <w:rsid w:val="00890F28"/>
    <w:rsid w:val="00891365"/>
    <w:rsid w:val="00891565"/>
    <w:rsid w:val="00892541"/>
    <w:rsid w:val="0089372D"/>
    <w:rsid w:val="00893E14"/>
    <w:rsid w:val="0089533C"/>
    <w:rsid w:val="00895554"/>
    <w:rsid w:val="008957A8"/>
    <w:rsid w:val="00895A54"/>
    <w:rsid w:val="00896B6A"/>
    <w:rsid w:val="008A0454"/>
    <w:rsid w:val="008A1381"/>
    <w:rsid w:val="008A1A60"/>
    <w:rsid w:val="008A2EA9"/>
    <w:rsid w:val="008A316C"/>
    <w:rsid w:val="008A3B56"/>
    <w:rsid w:val="008A4281"/>
    <w:rsid w:val="008A537D"/>
    <w:rsid w:val="008A7240"/>
    <w:rsid w:val="008A75F3"/>
    <w:rsid w:val="008A7BFC"/>
    <w:rsid w:val="008A7CF7"/>
    <w:rsid w:val="008A7FAD"/>
    <w:rsid w:val="008B100F"/>
    <w:rsid w:val="008B1DA6"/>
    <w:rsid w:val="008B3660"/>
    <w:rsid w:val="008B3AAA"/>
    <w:rsid w:val="008B4515"/>
    <w:rsid w:val="008B528F"/>
    <w:rsid w:val="008B5F90"/>
    <w:rsid w:val="008B5FE5"/>
    <w:rsid w:val="008B6349"/>
    <w:rsid w:val="008B7806"/>
    <w:rsid w:val="008C194C"/>
    <w:rsid w:val="008C210D"/>
    <w:rsid w:val="008C2E45"/>
    <w:rsid w:val="008C37DC"/>
    <w:rsid w:val="008C3E59"/>
    <w:rsid w:val="008C480D"/>
    <w:rsid w:val="008C4C45"/>
    <w:rsid w:val="008C651B"/>
    <w:rsid w:val="008C7138"/>
    <w:rsid w:val="008D0627"/>
    <w:rsid w:val="008D2564"/>
    <w:rsid w:val="008D3BAD"/>
    <w:rsid w:val="008D3C26"/>
    <w:rsid w:val="008D5977"/>
    <w:rsid w:val="008D597A"/>
    <w:rsid w:val="008E0F1C"/>
    <w:rsid w:val="008E1626"/>
    <w:rsid w:val="008E1A4C"/>
    <w:rsid w:val="008E2696"/>
    <w:rsid w:val="008E270C"/>
    <w:rsid w:val="008E3187"/>
    <w:rsid w:val="008E3802"/>
    <w:rsid w:val="008E51D4"/>
    <w:rsid w:val="008E66F8"/>
    <w:rsid w:val="008E74EF"/>
    <w:rsid w:val="008E7904"/>
    <w:rsid w:val="008E7CD0"/>
    <w:rsid w:val="008E7EFA"/>
    <w:rsid w:val="008F051D"/>
    <w:rsid w:val="008F0FC5"/>
    <w:rsid w:val="008F0FD2"/>
    <w:rsid w:val="008F17A3"/>
    <w:rsid w:val="008F2C0E"/>
    <w:rsid w:val="008F4376"/>
    <w:rsid w:val="008F51AC"/>
    <w:rsid w:val="008F59AF"/>
    <w:rsid w:val="008F5B07"/>
    <w:rsid w:val="008F61FC"/>
    <w:rsid w:val="008F74A5"/>
    <w:rsid w:val="00900669"/>
    <w:rsid w:val="00901474"/>
    <w:rsid w:val="009014FD"/>
    <w:rsid w:val="00902AA7"/>
    <w:rsid w:val="00902C55"/>
    <w:rsid w:val="00903496"/>
    <w:rsid w:val="00903A37"/>
    <w:rsid w:val="009041F8"/>
    <w:rsid w:val="00904D53"/>
    <w:rsid w:val="00905C49"/>
    <w:rsid w:val="00906C53"/>
    <w:rsid w:val="0090737A"/>
    <w:rsid w:val="00911E32"/>
    <w:rsid w:val="00911F1B"/>
    <w:rsid w:val="009127E3"/>
    <w:rsid w:val="009148D4"/>
    <w:rsid w:val="0091491D"/>
    <w:rsid w:val="0091517B"/>
    <w:rsid w:val="00917E88"/>
    <w:rsid w:val="00921597"/>
    <w:rsid w:val="00921696"/>
    <w:rsid w:val="0092525C"/>
    <w:rsid w:val="009257EE"/>
    <w:rsid w:val="009262E3"/>
    <w:rsid w:val="00926851"/>
    <w:rsid w:val="009277D4"/>
    <w:rsid w:val="00927E7F"/>
    <w:rsid w:val="009300E6"/>
    <w:rsid w:val="00931856"/>
    <w:rsid w:val="00931957"/>
    <w:rsid w:val="00932259"/>
    <w:rsid w:val="009322EA"/>
    <w:rsid w:val="009372C8"/>
    <w:rsid w:val="00937B2D"/>
    <w:rsid w:val="00937F6E"/>
    <w:rsid w:val="00940225"/>
    <w:rsid w:val="009429D4"/>
    <w:rsid w:val="00943D4D"/>
    <w:rsid w:val="00944464"/>
    <w:rsid w:val="00945BC4"/>
    <w:rsid w:val="0094609D"/>
    <w:rsid w:val="009503FE"/>
    <w:rsid w:val="0095137C"/>
    <w:rsid w:val="0095291D"/>
    <w:rsid w:val="00954778"/>
    <w:rsid w:val="00954AF7"/>
    <w:rsid w:val="009567E8"/>
    <w:rsid w:val="0095687B"/>
    <w:rsid w:val="00957730"/>
    <w:rsid w:val="00960CDB"/>
    <w:rsid w:val="00962E0E"/>
    <w:rsid w:val="00964882"/>
    <w:rsid w:val="009648F1"/>
    <w:rsid w:val="00964C44"/>
    <w:rsid w:val="00964DFA"/>
    <w:rsid w:val="0096573F"/>
    <w:rsid w:val="00965F04"/>
    <w:rsid w:val="0096634B"/>
    <w:rsid w:val="0097136D"/>
    <w:rsid w:val="009715E2"/>
    <w:rsid w:val="009716D2"/>
    <w:rsid w:val="00973157"/>
    <w:rsid w:val="00973641"/>
    <w:rsid w:val="009737E6"/>
    <w:rsid w:val="0097492C"/>
    <w:rsid w:val="00974E2D"/>
    <w:rsid w:val="00975DB5"/>
    <w:rsid w:val="00976DCD"/>
    <w:rsid w:val="00976F0D"/>
    <w:rsid w:val="0098066C"/>
    <w:rsid w:val="009812F2"/>
    <w:rsid w:val="009814B0"/>
    <w:rsid w:val="00981871"/>
    <w:rsid w:val="00984181"/>
    <w:rsid w:val="0098571F"/>
    <w:rsid w:val="00987780"/>
    <w:rsid w:val="0099005D"/>
    <w:rsid w:val="00991324"/>
    <w:rsid w:val="00992B0D"/>
    <w:rsid w:val="00994693"/>
    <w:rsid w:val="009949C6"/>
    <w:rsid w:val="009969E0"/>
    <w:rsid w:val="00996B5C"/>
    <w:rsid w:val="009973AE"/>
    <w:rsid w:val="00997D17"/>
    <w:rsid w:val="009A003B"/>
    <w:rsid w:val="009A0545"/>
    <w:rsid w:val="009A0B4E"/>
    <w:rsid w:val="009A1EC2"/>
    <w:rsid w:val="009A36AF"/>
    <w:rsid w:val="009A3E97"/>
    <w:rsid w:val="009A4F6C"/>
    <w:rsid w:val="009A591E"/>
    <w:rsid w:val="009A77E7"/>
    <w:rsid w:val="009B1B5C"/>
    <w:rsid w:val="009B306D"/>
    <w:rsid w:val="009B5983"/>
    <w:rsid w:val="009B7B65"/>
    <w:rsid w:val="009C052D"/>
    <w:rsid w:val="009C09A0"/>
    <w:rsid w:val="009C1EAE"/>
    <w:rsid w:val="009C2135"/>
    <w:rsid w:val="009C2AEA"/>
    <w:rsid w:val="009C323D"/>
    <w:rsid w:val="009C36F1"/>
    <w:rsid w:val="009C3B51"/>
    <w:rsid w:val="009C3E3C"/>
    <w:rsid w:val="009C4F54"/>
    <w:rsid w:val="009C5271"/>
    <w:rsid w:val="009C55DC"/>
    <w:rsid w:val="009C63A4"/>
    <w:rsid w:val="009C63D5"/>
    <w:rsid w:val="009C6B5F"/>
    <w:rsid w:val="009C787C"/>
    <w:rsid w:val="009C7FC6"/>
    <w:rsid w:val="009D161A"/>
    <w:rsid w:val="009D1693"/>
    <w:rsid w:val="009D1BCC"/>
    <w:rsid w:val="009D3D26"/>
    <w:rsid w:val="009D4AB7"/>
    <w:rsid w:val="009D5302"/>
    <w:rsid w:val="009D62F3"/>
    <w:rsid w:val="009D754F"/>
    <w:rsid w:val="009E0407"/>
    <w:rsid w:val="009E1896"/>
    <w:rsid w:val="009E1980"/>
    <w:rsid w:val="009E1ACC"/>
    <w:rsid w:val="009E2833"/>
    <w:rsid w:val="009E2BB3"/>
    <w:rsid w:val="009E325E"/>
    <w:rsid w:val="009E3484"/>
    <w:rsid w:val="009E569F"/>
    <w:rsid w:val="009E5FDA"/>
    <w:rsid w:val="009E646F"/>
    <w:rsid w:val="009E776E"/>
    <w:rsid w:val="009E787B"/>
    <w:rsid w:val="009F082D"/>
    <w:rsid w:val="009F0921"/>
    <w:rsid w:val="009F1760"/>
    <w:rsid w:val="009F3EE4"/>
    <w:rsid w:val="009F4396"/>
    <w:rsid w:val="009F5BAA"/>
    <w:rsid w:val="009F5D93"/>
    <w:rsid w:val="009F6F14"/>
    <w:rsid w:val="009F7433"/>
    <w:rsid w:val="00A00F3C"/>
    <w:rsid w:val="00A0144A"/>
    <w:rsid w:val="00A02844"/>
    <w:rsid w:val="00A034F2"/>
    <w:rsid w:val="00A042CC"/>
    <w:rsid w:val="00A068D6"/>
    <w:rsid w:val="00A06BF5"/>
    <w:rsid w:val="00A076B8"/>
    <w:rsid w:val="00A07E9C"/>
    <w:rsid w:val="00A11066"/>
    <w:rsid w:val="00A1196D"/>
    <w:rsid w:val="00A11A36"/>
    <w:rsid w:val="00A122F8"/>
    <w:rsid w:val="00A1243E"/>
    <w:rsid w:val="00A12914"/>
    <w:rsid w:val="00A12EEB"/>
    <w:rsid w:val="00A14173"/>
    <w:rsid w:val="00A167B8"/>
    <w:rsid w:val="00A16DEA"/>
    <w:rsid w:val="00A17060"/>
    <w:rsid w:val="00A17ED7"/>
    <w:rsid w:val="00A20492"/>
    <w:rsid w:val="00A2185E"/>
    <w:rsid w:val="00A21919"/>
    <w:rsid w:val="00A228CA"/>
    <w:rsid w:val="00A26381"/>
    <w:rsid w:val="00A30283"/>
    <w:rsid w:val="00A31C08"/>
    <w:rsid w:val="00A32889"/>
    <w:rsid w:val="00A331C2"/>
    <w:rsid w:val="00A36A40"/>
    <w:rsid w:val="00A36D42"/>
    <w:rsid w:val="00A414A1"/>
    <w:rsid w:val="00A41BC0"/>
    <w:rsid w:val="00A42893"/>
    <w:rsid w:val="00A42906"/>
    <w:rsid w:val="00A43E5D"/>
    <w:rsid w:val="00A44D51"/>
    <w:rsid w:val="00A45490"/>
    <w:rsid w:val="00A45E86"/>
    <w:rsid w:val="00A4723D"/>
    <w:rsid w:val="00A47250"/>
    <w:rsid w:val="00A47494"/>
    <w:rsid w:val="00A47CF0"/>
    <w:rsid w:val="00A5180C"/>
    <w:rsid w:val="00A521EE"/>
    <w:rsid w:val="00A5427C"/>
    <w:rsid w:val="00A548FC"/>
    <w:rsid w:val="00A55A75"/>
    <w:rsid w:val="00A56668"/>
    <w:rsid w:val="00A56D64"/>
    <w:rsid w:val="00A603C3"/>
    <w:rsid w:val="00A61267"/>
    <w:rsid w:val="00A61467"/>
    <w:rsid w:val="00A63829"/>
    <w:rsid w:val="00A64250"/>
    <w:rsid w:val="00A64FD8"/>
    <w:rsid w:val="00A6550F"/>
    <w:rsid w:val="00A67C97"/>
    <w:rsid w:val="00A711F9"/>
    <w:rsid w:val="00A71783"/>
    <w:rsid w:val="00A719FE"/>
    <w:rsid w:val="00A74937"/>
    <w:rsid w:val="00A75799"/>
    <w:rsid w:val="00A75B8E"/>
    <w:rsid w:val="00A75F9A"/>
    <w:rsid w:val="00A80111"/>
    <w:rsid w:val="00A80EF8"/>
    <w:rsid w:val="00A81DF8"/>
    <w:rsid w:val="00A82B55"/>
    <w:rsid w:val="00A83F39"/>
    <w:rsid w:val="00A84210"/>
    <w:rsid w:val="00A85465"/>
    <w:rsid w:val="00A866AE"/>
    <w:rsid w:val="00A878A5"/>
    <w:rsid w:val="00A87D31"/>
    <w:rsid w:val="00A87D38"/>
    <w:rsid w:val="00A91638"/>
    <w:rsid w:val="00A92225"/>
    <w:rsid w:val="00A9381F"/>
    <w:rsid w:val="00A958D5"/>
    <w:rsid w:val="00A95B9A"/>
    <w:rsid w:val="00A95BCD"/>
    <w:rsid w:val="00A95CB4"/>
    <w:rsid w:val="00A95F57"/>
    <w:rsid w:val="00A976E6"/>
    <w:rsid w:val="00A979B0"/>
    <w:rsid w:val="00AA00D8"/>
    <w:rsid w:val="00AA32DA"/>
    <w:rsid w:val="00AA45A4"/>
    <w:rsid w:val="00AA4712"/>
    <w:rsid w:val="00AA4FAB"/>
    <w:rsid w:val="00AA65F4"/>
    <w:rsid w:val="00AA7A71"/>
    <w:rsid w:val="00AB01B3"/>
    <w:rsid w:val="00AB1B20"/>
    <w:rsid w:val="00AB1B2B"/>
    <w:rsid w:val="00AB2338"/>
    <w:rsid w:val="00AB35B4"/>
    <w:rsid w:val="00AB43EE"/>
    <w:rsid w:val="00AB4483"/>
    <w:rsid w:val="00AB4F07"/>
    <w:rsid w:val="00AB5121"/>
    <w:rsid w:val="00AB51EA"/>
    <w:rsid w:val="00AB6337"/>
    <w:rsid w:val="00AB6F0C"/>
    <w:rsid w:val="00AC1425"/>
    <w:rsid w:val="00AC1CDA"/>
    <w:rsid w:val="00AC1EC5"/>
    <w:rsid w:val="00AC36AF"/>
    <w:rsid w:val="00AC43EB"/>
    <w:rsid w:val="00AC4AC4"/>
    <w:rsid w:val="00AC7F40"/>
    <w:rsid w:val="00AC7FDF"/>
    <w:rsid w:val="00AD0544"/>
    <w:rsid w:val="00AD061A"/>
    <w:rsid w:val="00AD065D"/>
    <w:rsid w:val="00AD1040"/>
    <w:rsid w:val="00AD184F"/>
    <w:rsid w:val="00AD1C15"/>
    <w:rsid w:val="00AD2BF4"/>
    <w:rsid w:val="00AD2C5D"/>
    <w:rsid w:val="00AD35F0"/>
    <w:rsid w:val="00AD422C"/>
    <w:rsid w:val="00AE099A"/>
    <w:rsid w:val="00AE154F"/>
    <w:rsid w:val="00AE18E1"/>
    <w:rsid w:val="00AE1EE1"/>
    <w:rsid w:val="00AE207E"/>
    <w:rsid w:val="00AE2782"/>
    <w:rsid w:val="00AE2C20"/>
    <w:rsid w:val="00AE2E8B"/>
    <w:rsid w:val="00AE3DAE"/>
    <w:rsid w:val="00AE412E"/>
    <w:rsid w:val="00AE5E46"/>
    <w:rsid w:val="00AE5E67"/>
    <w:rsid w:val="00AF05EC"/>
    <w:rsid w:val="00AF252E"/>
    <w:rsid w:val="00AF2AE0"/>
    <w:rsid w:val="00AF399D"/>
    <w:rsid w:val="00AF3D6B"/>
    <w:rsid w:val="00AF4917"/>
    <w:rsid w:val="00AF4DC9"/>
    <w:rsid w:val="00AF6292"/>
    <w:rsid w:val="00AF680F"/>
    <w:rsid w:val="00AF6DF0"/>
    <w:rsid w:val="00B00514"/>
    <w:rsid w:val="00B00C04"/>
    <w:rsid w:val="00B010F1"/>
    <w:rsid w:val="00B01C2D"/>
    <w:rsid w:val="00B01FAF"/>
    <w:rsid w:val="00B04260"/>
    <w:rsid w:val="00B04A4E"/>
    <w:rsid w:val="00B04E6A"/>
    <w:rsid w:val="00B0511A"/>
    <w:rsid w:val="00B05D39"/>
    <w:rsid w:val="00B06D35"/>
    <w:rsid w:val="00B100BE"/>
    <w:rsid w:val="00B11284"/>
    <w:rsid w:val="00B11F80"/>
    <w:rsid w:val="00B13A6B"/>
    <w:rsid w:val="00B1448E"/>
    <w:rsid w:val="00B14FF9"/>
    <w:rsid w:val="00B15D9A"/>
    <w:rsid w:val="00B160F4"/>
    <w:rsid w:val="00B1684F"/>
    <w:rsid w:val="00B1722F"/>
    <w:rsid w:val="00B17CCB"/>
    <w:rsid w:val="00B20462"/>
    <w:rsid w:val="00B207AC"/>
    <w:rsid w:val="00B20D36"/>
    <w:rsid w:val="00B21512"/>
    <w:rsid w:val="00B21FA2"/>
    <w:rsid w:val="00B22854"/>
    <w:rsid w:val="00B235FF"/>
    <w:rsid w:val="00B237EA"/>
    <w:rsid w:val="00B23E9D"/>
    <w:rsid w:val="00B24486"/>
    <w:rsid w:val="00B24846"/>
    <w:rsid w:val="00B26963"/>
    <w:rsid w:val="00B26AA4"/>
    <w:rsid w:val="00B30BDA"/>
    <w:rsid w:val="00B30C98"/>
    <w:rsid w:val="00B30DFC"/>
    <w:rsid w:val="00B312EA"/>
    <w:rsid w:val="00B31443"/>
    <w:rsid w:val="00B32AE8"/>
    <w:rsid w:val="00B3323A"/>
    <w:rsid w:val="00B337CB"/>
    <w:rsid w:val="00B34ECD"/>
    <w:rsid w:val="00B36696"/>
    <w:rsid w:val="00B37184"/>
    <w:rsid w:val="00B40E18"/>
    <w:rsid w:val="00B418D6"/>
    <w:rsid w:val="00B43013"/>
    <w:rsid w:val="00B436AE"/>
    <w:rsid w:val="00B43D28"/>
    <w:rsid w:val="00B446F9"/>
    <w:rsid w:val="00B451E0"/>
    <w:rsid w:val="00B46FCB"/>
    <w:rsid w:val="00B50382"/>
    <w:rsid w:val="00B512A3"/>
    <w:rsid w:val="00B51F04"/>
    <w:rsid w:val="00B52A81"/>
    <w:rsid w:val="00B53331"/>
    <w:rsid w:val="00B53891"/>
    <w:rsid w:val="00B539B4"/>
    <w:rsid w:val="00B5472F"/>
    <w:rsid w:val="00B559B2"/>
    <w:rsid w:val="00B55EEF"/>
    <w:rsid w:val="00B565D4"/>
    <w:rsid w:val="00B56BAF"/>
    <w:rsid w:val="00B56D2F"/>
    <w:rsid w:val="00B56DA8"/>
    <w:rsid w:val="00B57BF8"/>
    <w:rsid w:val="00B60E51"/>
    <w:rsid w:val="00B63009"/>
    <w:rsid w:val="00B638CB"/>
    <w:rsid w:val="00B63F7F"/>
    <w:rsid w:val="00B64394"/>
    <w:rsid w:val="00B6537F"/>
    <w:rsid w:val="00B65433"/>
    <w:rsid w:val="00B65D0C"/>
    <w:rsid w:val="00B65DEE"/>
    <w:rsid w:val="00B673D7"/>
    <w:rsid w:val="00B71571"/>
    <w:rsid w:val="00B715B1"/>
    <w:rsid w:val="00B72D24"/>
    <w:rsid w:val="00B7619E"/>
    <w:rsid w:val="00B76E06"/>
    <w:rsid w:val="00B77677"/>
    <w:rsid w:val="00B77BF3"/>
    <w:rsid w:val="00B82D20"/>
    <w:rsid w:val="00B82E59"/>
    <w:rsid w:val="00B83257"/>
    <w:rsid w:val="00B8381D"/>
    <w:rsid w:val="00B84964"/>
    <w:rsid w:val="00B849F3"/>
    <w:rsid w:val="00B85F87"/>
    <w:rsid w:val="00B9092D"/>
    <w:rsid w:val="00B91527"/>
    <w:rsid w:val="00B92470"/>
    <w:rsid w:val="00B929D1"/>
    <w:rsid w:val="00B93AC6"/>
    <w:rsid w:val="00B9420C"/>
    <w:rsid w:val="00B95349"/>
    <w:rsid w:val="00B955C0"/>
    <w:rsid w:val="00B959B6"/>
    <w:rsid w:val="00B95B9C"/>
    <w:rsid w:val="00B961E2"/>
    <w:rsid w:val="00B975D0"/>
    <w:rsid w:val="00BA0067"/>
    <w:rsid w:val="00BA0F9A"/>
    <w:rsid w:val="00BA2179"/>
    <w:rsid w:val="00BA65AC"/>
    <w:rsid w:val="00BA70B7"/>
    <w:rsid w:val="00BB0BA7"/>
    <w:rsid w:val="00BB1A9E"/>
    <w:rsid w:val="00BB2985"/>
    <w:rsid w:val="00BB3509"/>
    <w:rsid w:val="00BC0A20"/>
    <w:rsid w:val="00BC21A0"/>
    <w:rsid w:val="00BC4BC5"/>
    <w:rsid w:val="00BC4EF3"/>
    <w:rsid w:val="00BC6837"/>
    <w:rsid w:val="00BC77C0"/>
    <w:rsid w:val="00BD0B25"/>
    <w:rsid w:val="00BD234D"/>
    <w:rsid w:val="00BD2561"/>
    <w:rsid w:val="00BD2D5E"/>
    <w:rsid w:val="00BD5DCD"/>
    <w:rsid w:val="00BD616D"/>
    <w:rsid w:val="00BD6C4D"/>
    <w:rsid w:val="00BD6D7A"/>
    <w:rsid w:val="00BE0997"/>
    <w:rsid w:val="00BE1074"/>
    <w:rsid w:val="00BE1907"/>
    <w:rsid w:val="00BE1A97"/>
    <w:rsid w:val="00BE1E51"/>
    <w:rsid w:val="00BE244C"/>
    <w:rsid w:val="00BE3AF3"/>
    <w:rsid w:val="00BE485B"/>
    <w:rsid w:val="00BE6379"/>
    <w:rsid w:val="00BE6A74"/>
    <w:rsid w:val="00BE769C"/>
    <w:rsid w:val="00BE7D08"/>
    <w:rsid w:val="00BF0840"/>
    <w:rsid w:val="00BF0DFF"/>
    <w:rsid w:val="00BF22B8"/>
    <w:rsid w:val="00BF2603"/>
    <w:rsid w:val="00BF40CD"/>
    <w:rsid w:val="00BF51CE"/>
    <w:rsid w:val="00BF5C1A"/>
    <w:rsid w:val="00BF63A4"/>
    <w:rsid w:val="00BF6541"/>
    <w:rsid w:val="00C01025"/>
    <w:rsid w:val="00C01A0D"/>
    <w:rsid w:val="00C028D9"/>
    <w:rsid w:val="00C036E4"/>
    <w:rsid w:val="00C038B8"/>
    <w:rsid w:val="00C03B35"/>
    <w:rsid w:val="00C06574"/>
    <w:rsid w:val="00C06F31"/>
    <w:rsid w:val="00C11EE9"/>
    <w:rsid w:val="00C12B8C"/>
    <w:rsid w:val="00C14F6D"/>
    <w:rsid w:val="00C155D9"/>
    <w:rsid w:val="00C1747E"/>
    <w:rsid w:val="00C17BE3"/>
    <w:rsid w:val="00C2211D"/>
    <w:rsid w:val="00C2344F"/>
    <w:rsid w:val="00C246F2"/>
    <w:rsid w:val="00C26707"/>
    <w:rsid w:val="00C27719"/>
    <w:rsid w:val="00C31BCD"/>
    <w:rsid w:val="00C320EB"/>
    <w:rsid w:val="00C32F7B"/>
    <w:rsid w:val="00C33845"/>
    <w:rsid w:val="00C34078"/>
    <w:rsid w:val="00C3513F"/>
    <w:rsid w:val="00C355AA"/>
    <w:rsid w:val="00C36223"/>
    <w:rsid w:val="00C37380"/>
    <w:rsid w:val="00C40725"/>
    <w:rsid w:val="00C4207E"/>
    <w:rsid w:val="00C451A3"/>
    <w:rsid w:val="00C4577E"/>
    <w:rsid w:val="00C45868"/>
    <w:rsid w:val="00C50C8F"/>
    <w:rsid w:val="00C50D41"/>
    <w:rsid w:val="00C51156"/>
    <w:rsid w:val="00C5138A"/>
    <w:rsid w:val="00C51E4B"/>
    <w:rsid w:val="00C53FD7"/>
    <w:rsid w:val="00C55C61"/>
    <w:rsid w:val="00C57047"/>
    <w:rsid w:val="00C64F44"/>
    <w:rsid w:val="00C650ED"/>
    <w:rsid w:val="00C65132"/>
    <w:rsid w:val="00C65F6A"/>
    <w:rsid w:val="00C6613F"/>
    <w:rsid w:val="00C67F3E"/>
    <w:rsid w:val="00C70CD5"/>
    <w:rsid w:val="00C7216F"/>
    <w:rsid w:val="00C730E4"/>
    <w:rsid w:val="00C735C4"/>
    <w:rsid w:val="00C73BB8"/>
    <w:rsid w:val="00C74CC5"/>
    <w:rsid w:val="00C76B48"/>
    <w:rsid w:val="00C76CC4"/>
    <w:rsid w:val="00C77815"/>
    <w:rsid w:val="00C801C6"/>
    <w:rsid w:val="00C823C5"/>
    <w:rsid w:val="00C829F4"/>
    <w:rsid w:val="00C82D42"/>
    <w:rsid w:val="00C8322A"/>
    <w:rsid w:val="00C83583"/>
    <w:rsid w:val="00C83950"/>
    <w:rsid w:val="00C84977"/>
    <w:rsid w:val="00C84B12"/>
    <w:rsid w:val="00C84F41"/>
    <w:rsid w:val="00C86370"/>
    <w:rsid w:val="00C869BC"/>
    <w:rsid w:val="00C8737E"/>
    <w:rsid w:val="00C90444"/>
    <w:rsid w:val="00C9243B"/>
    <w:rsid w:val="00C93093"/>
    <w:rsid w:val="00C953C0"/>
    <w:rsid w:val="00C956B9"/>
    <w:rsid w:val="00C960C3"/>
    <w:rsid w:val="00C96E5A"/>
    <w:rsid w:val="00C97ACC"/>
    <w:rsid w:val="00CA0AC8"/>
    <w:rsid w:val="00CA181F"/>
    <w:rsid w:val="00CA22C7"/>
    <w:rsid w:val="00CA2A54"/>
    <w:rsid w:val="00CA3219"/>
    <w:rsid w:val="00CA3CBB"/>
    <w:rsid w:val="00CA546D"/>
    <w:rsid w:val="00CB01EB"/>
    <w:rsid w:val="00CB0DFA"/>
    <w:rsid w:val="00CB1B15"/>
    <w:rsid w:val="00CB250C"/>
    <w:rsid w:val="00CB34D5"/>
    <w:rsid w:val="00CB5E35"/>
    <w:rsid w:val="00CB63F3"/>
    <w:rsid w:val="00CB6CB0"/>
    <w:rsid w:val="00CB71E2"/>
    <w:rsid w:val="00CC134C"/>
    <w:rsid w:val="00CC36F9"/>
    <w:rsid w:val="00CC3E8F"/>
    <w:rsid w:val="00CC49DE"/>
    <w:rsid w:val="00CC7F36"/>
    <w:rsid w:val="00CD0642"/>
    <w:rsid w:val="00CD0BA2"/>
    <w:rsid w:val="00CD18DE"/>
    <w:rsid w:val="00CD5676"/>
    <w:rsid w:val="00CD6272"/>
    <w:rsid w:val="00CD643B"/>
    <w:rsid w:val="00CD7AA2"/>
    <w:rsid w:val="00CD7B7F"/>
    <w:rsid w:val="00CE0D42"/>
    <w:rsid w:val="00CE19D1"/>
    <w:rsid w:val="00CE23EF"/>
    <w:rsid w:val="00CE3112"/>
    <w:rsid w:val="00CE52A6"/>
    <w:rsid w:val="00CE6197"/>
    <w:rsid w:val="00CE6490"/>
    <w:rsid w:val="00CE6BEE"/>
    <w:rsid w:val="00CE6E7F"/>
    <w:rsid w:val="00CE702E"/>
    <w:rsid w:val="00CE7723"/>
    <w:rsid w:val="00CE7E31"/>
    <w:rsid w:val="00CF088A"/>
    <w:rsid w:val="00CF1AEC"/>
    <w:rsid w:val="00CF2CC1"/>
    <w:rsid w:val="00CF38F2"/>
    <w:rsid w:val="00CF5CD7"/>
    <w:rsid w:val="00CF5E1F"/>
    <w:rsid w:val="00CF6EFA"/>
    <w:rsid w:val="00CF79DF"/>
    <w:rsid w:val="00CF7AB4"/>
    <w:rsid w:val="00CF7FB0"/>
    <w:rsid w:val="00D006A3"/>
    <w:rsid w:val="00D00702"/>
    <w:rsid w:val="00D01E61"/>
    <w:rsid w:val="00D02296"/>
    <w:rsid w:val="00D02B99"/>
    <w:rsid w:val="00D0306C"/>
    <w:rsid w:val="00D03487"/>
    <w:rsid w:val="00D034FA"/>
    <w:rsid w:val="00D06027"/>
    <w:rsid w:val="00D069C0"/>
    <w:rsid w:val="00D0751A"/>
    <w:rsid w:val="00D07561"/>
    <w:rsid w:val="00D075EE"/>
    <w:rsid w:val="00D078F8"/>
    <w:rsid w:val="00D07D25"/>
    <w:rsid w:val="00D10994"/>
    <w:rsid w:val="00D110F0"/>
    <w:rsid w:val="00D116BA"/>
    <w:rsid w:val="00D1217D"/>
    <w:rsid w:val="00D125D9"/>
    <w:rsid w:val="00D12852"/>
    <w:rsid w:val="00D13010"/>
    <w:rsid w:val="00D133F0"/>
    <w:rsid w:val="00D143ED"/>
    <w:rsid w:val="00D16C5A"/>
    <w:rsid w:val="00D16DAA"/>
    <w:rsid w:val="00D17E12"/>
    <w:rsid w:val="00D17FE4"/>
    <w:rsid w:val="00D2061D"/>
    <w:rsid w:val="00D20F59"/>
    <w:rsid w:val="00D21B84"/>
    <w:rsid w:val="00D22983"/>
    <w:rsid w:val="00D24563"/>
    <w:rsid w:val="00D25359"/>
    <w:rsid w:val="00D25E7D"/>
    <w:rsid w:val="00D261EA"/>
    <w:rsid w:val="00D26D6A"/>
    <w:rsid w:val="00D27732"/>
    <w:rsid w:val="00D27842"/>
    <w:rsid w:val="00D27F7A"/>
    <w:rsid w:val="00D30628"/>
    <w:rsid w:val="00D306A9"/>
    <w:rsid w:val="00D30CEE"/>
    <w:rsid w:val="00D31D6C"/>
    <w:rsid w:val="00D31FE7"/>
    <w:rsid w:val="00D32B3D"/>
    <w:rsid w:val="00D33C8D"/>
    <w:rsid w:val="00D348AC"/>
    <w:rsid w:val="00D354E2"/>
    <w:rsid w:val="00D37148"/>
    <w:rsid w:val="00D37A00"/>
    <w:rsid w:val="00D40860"/>
    <w:rsid w:val="00D4280D"/>
    <w:rsid w:val="00D42B76"/>
    <w:rsid w:val="00D42C04"/>
    <w:rsid w:val="00D43787"/>
    <w:rsid w:val="00D447D8"/>
    <w:rsid w:val="00D447FF"/>
    <w:rsid w:val="00D450B5"/>
    <w:rsid w:val="00D45623"/>
    <w:rsid w:val="00D45942"/>
    <w:rsid w:val="00D45968"/>
    <w:rsid w:val="00D468AF"/>
    <w:rsid w:val="00D470FA"/>
    <w:rsid w:val="00D47F57"/>
    <w:rsid w:val="00D506F6"/>
    <w:rsid w:val="00D50983"/>
    <w:rsid w:val="00D5251C"/>
    <w:rsid w:val="00D53B35"/>
    <w:rsid w:val="00D5648F"/>
    <w:rsid w:val="00D56499"/>
    <w:rsid w:val="00D56E3B"/>
    <w:rsid w:val="00D57748"/>
    <w:rsid w:val="00D57CC2"/>
    <w:rsid w:val="00D60F4C"/>
    <w:rsid w:val="00D616EC"/>
    <w:rsid w:val="00D625B8"/>
    <w:rsid w:val="00D648BA"/>
    <w:rsid w:val="00D66709"/>
    <w:rsid w:val="00D66A4D"/>
    <w:rsid w:val="00D675A2"/>
    <w:rsid w:val="00D70904"/>
    <w:rsid w:val="00D724E1"/>
    <w:rsid w:val="00D74112"/>
    <w:rsid w:val="00D7489D"/>
    <w:rsid w:val="00D76A95"/>
    <w:rsid w:val="00D801E1"/>
    <w:rsid w:val="00D81BF3"/>
    <w:rsid w:val="00D82515"/>
    <w:rsid w:val="00D82682"/>
    <w:rsid w:val="00D82E21"/>
    <w:rsid w:val="00D840E2"/>
    <w:rsid w:val="00D846FE"/>
    <w:rsid w:val="00D85082"/>
    <w:rsid w:val="00D860CB"/>
    <w:rsid w:val="00D87C68"/>
    <w:rsid w:val="00D9074C"/>
    <w:rsid w:val="00D90BEB"/>
    <w:rsid w:val="00D92783"/>
    <w:rsid w:val="00D92B70"/>
    <w:rsid w:val="00D92D3B"/>
    <w:rsid w:val="00D9456A"/>
    <w:rsid w:val="00D94B4E"/>
    <w:rsid w:val="00D94DBD"/>
    <w:rsid w:val="00DA00BB"/>
    <w:rsid w:val="00DA38F9"/>
    <w:rsid w:val="00DA4F1E"/>
    <w:rsid w:val="00DA776D"/>
    <w:rsid w:val="00DA777E"/>
    <w:rsid w:val="00DA7AAB"/>
    <w:rsid w:val="00DB03D4"/>
    <w:rsid w:val="00DB0815"/>
    <w:rsid w:val="00DB12AA"/>
    <w:rsid w:val="00DB1859"/>
    <w:rsid w:val="00DB3345"/>
    <w:rsid w:val="00DB5512"/>
    <w:rsid w:val="00DB6676"/>
    <w:rsid w:val="00DC0BCA"/>
    <w:rsid w:val="00DC119B"/>
    <w:rsid w:val="00DC1726"/>
    <w:rsid w:val="00DC2ABE"/>
    <w:rsid w:val="00DC43ED"/>
    <w:rsid w:val="00DC4B31"/>
    <w:rsid w:val="00DC5644"/>
    <w:rsid w:val="00DC59DE"/>
    <w:rsid w:val="00DC5DB8"/>
    <w:rsid w:val="00DC62D0"/>
    <w:rsid w:val="00DC7217"/>
    <w:rsid w:val="00DC79BB"/>
    <w:rsid w:val="00DD06AA"/>
    <w:rsid w:val="00DD11EB"/>
    <w:rsid w:val="00DD1B8B"/>
    <w:rsid w:val="00DD1F32"/>
    <w:rsid w:val="00DD23D6"/>
    <w:rsid w:val="00DD4855"/>
    <w:rsid w:val="00DD69C7"/>
    <w:rsid w:val="00DD75C4"/>
    <w:rsid w:val="00DE1756"/>
    <w:rsid w:val="00DE1F80"/>
    <w:rsid w:val="00DE1FBA"/>
    <w:rsid w:val="00DE4550"/>
    <w:rsid w:val="00DE4B65"/>
    <w:rsid w:val="00DE55DE"/>
    <w:rsid w:val="00DE5968"/>
    <w:rsid w:val="00DE6A2A"/>
    <w:rsid w:val="00DF1227"/>
    <w:rsid w:val="00DF131F"/>
    <w:rsid w:val="00DF179F"/>
    <w:rsid w:val="00DF2C98"/>
    <w:rsid w:val="00DF3492"/>
    <w:rsid w:val="00DF3D35"/>
    <w:rsid w:val="00DF47D9"/>
    <w:rsid w:val="00DF6FA8"/>
    <w:rsid w:val="00DF77FD"/>
    <w:rsid w:val="00DF7AB6"/>
    <w:rsid w:val="00E00DCA"/>
    <w:rsid w:val="00E02521"/>
    <w:rsid w:val="00E033B7"/>
    <w:rsid w:val="00E038DB"/>
    <w:rsid w:val="00E04FFB"/>
    <w:rsid w:val="00E05EEE"/>
    <w:rsid w:val="00E065DD"/>
    <w:rsid w:val="00E068EB"/>
    <w:rsid w:val="00E075A8"/>
    <w:rsid w:val="00E07D5A"/>
    <w:rsid w:val="00E105EE"/>
    <w:rsid w:val="00E10D91"/>
    <w:rsid w:val="00E10FBF"/>
    <w:rsid w:val="00E12364"/>
    <w:rsid w:val="00E134FC"/>
    <w:rsid w:val="00E138CC"/>
    <w:rsid w:val="00E1436B"/>
    <w:rsid w:val="00E14F22"/>
    <w:rsid w:val="00E151BD"/>
    <w:rsid w:val="00E170FA"/>
    <w:rsid w:val="00E178EB"/>
    <w:rsid w:val="00E2020E"/>
    <w:rsid w:val="00E20D15"/>
    <w:rsid w:val="00E21970"/>
    <w:rsid w:val="00E231A9"/>
    <w:rsid w:val="00E236E6"/>
    <w:rsid w:val="00E241EB"/>
    <w:rsid w:val="00E249E3"/>
    <w:rsid w:val="00E25A13"/>
    <w:rsid w:val="00E26F75"/>
    <w:rsid w:val="00E3064C"/>
    <w:rsid w:val="00E33007"/>
    <w:rsid w:val="00E34483"/>
    <w:rsid w:val="00E3456D"/>
    <w:rsid w:val="00E37384"/>
    <w:rsid w:val="00E406B2"/>
    <w:rsid w:val="00E41415"/>
    <w:rsid w:val="00E4190D"/>
    <w:rsid w:val="00E44987"/>
    <w:rsid w:val="00E44F34"/>
    <w:rsid w:val="00E45859"/>
    <w:rsid w:val="00E47666"/>
    <w:rsid w:val="00E47C2B"/>
    <w:rsid w:val="00E504E9"/>
    <w:rsid w:val="00E507A9"/>
    <w:rsid w:val="00E5131E"/>
    <w:rsid w:val="00E522DA"/>
    <w:rsid w:val="00E5253D"/>
    <w:rsid w:val="00E53860"/>
    <w:rsid w:val="00E554E7"/>
    <w:rsid w:val="00E5688C"/>
    <w:rsid w:val="00E56BEA"/>
    <w:rsid w:val="00E57C72"/>
    <w:rsid w:val="00E60AEE"/>
    <w:rsid w:val="00E62C7A"/>
    <w:rsid w:val="00E6547E"/>
    <w:rsid w:val="00E65E36"/>
    <w:rsid w:val="00E669A1"/>
    <w:rsid w:val="00E67625"/>
    <w:rsid w:val="00E67CE0"/>
    <w:rsid w:val="00E700D9"/>
    <w:rsid w:val="00E709E1"/>
    <w:rsid w:val="00E726E4"/>
    <w:rsid w:val="00E75FF6"/>
    <w:rsid w:val="00E77A6F"/>
    <w:rsid w:val="00E8390A"/>
    <w:rsid w:val="00E83A3B"/>
    <w:rsid w:val="00E8645E"/>
    <w:rsid w:val="00E901D7"/>
    <w:rsid w:val="00E9172D"/>
    <w:rsid w:val="00E91BD8"/>
    <w:rsid w:val="00E922BE"/>
    <w:rsid w:val="00E92478"/>
    <w:rsid w:val="00E9258D"/>
    <w:rsid w:val="00E9268E"/>
    <w:rsid w:val="00E92B00"/>
    <w:rsid w:val="00E9368B"/>
    <w:rsid w:val="00E93870"/>
    <w:rsid w:val="00E944DC"/>
    <w:rsid w:val="00E94D9A"/>
    <w:rsid w:val="00E953FA"/>
    <w:rsid w:val="00E96048"/>
    <w:rsid w:val="00E97D0F"/>
    <w:rsid w:val="00E97E28"/>
    <w:rsid w:val="00EA484D"/>
    <w:rsid w:val="00EA4A96"/>
    <w:rsid w:val="00EA7CDC"/>
    <w:rsid w:val="00EB1A14"/>
    <w:rsid w:val="00EB1C95"/>
    <w:rsid w:val="00EB2803"/>
    <w:rsid w:val="00EB3B0A"/>
    <w:rsid w:val="00EB3DAC"/>
    <w:rsid w:val="00EB4093"/>
    <w:rsid w:val="00EB46F3"/>
    <w:rsid w:val="00EB4913"/>
    <w:rsid w:val="00EB4958"/>
    <w:rsid w:val="00EB4CBA"/>
    <w:rsid w:val="00EB6F99"/>
    <w:rsid w:val="00EC0A0A"/>
    <w:rsid w:val="00EC1371"/>
    <w:rsid w:val="00EC2445"/>
    <w:rsid w:val="00EC284E"/>
    <w:rsid w:val="00EC31FF"/>
    <w:rsid w:val="00EC33B2"/>
    <w:rsid w:val="00EC3796"/>
    <w:rsid w:val="00EC41A4"/>
    <w:rsid w:val="00EC4341"/>
    <w:rsid w:val="00EC58B1"/>
    <w:rsid w:val="00EC5D78"/>
    <w:rsid w:val="00EC60BA"/>
    <w:rsid w:val="00EC6563"/>
    <w:rsid w:val="00EC6E59"/>
    <w:rsid w:val="00EC7294"/>
    <w:rsid w:val="00EC7555"/>
    <w:rsid w:val="00EC7728"/>
    <w:rsid w:val="00EC7F69"/>
    <w:rsid w:val="00ED0109"/>
    <w:rsid w:val="00ED0680"/>
    <w:rsid w:val="00ED10A6"/>
    <w:rsid w:val="00ED1C65"/>
    <w:rsid w:val="00ED27B9"/>
    <w:rsid w:val="00ED2905"/>
    <w:rsid w:val="00ED2E22"/>
    <w:rsid w:val="00ED3D65"/>
    <w:rsid w:val="00ED7E7A"/>
    <w:rsid w:val="00EE0D8C"/>
    <w:rsid w:val="00EE149D"/>
    <w:rsid w:val="00EE172B"/>
    <w:rsid w:val="00EE3F56"/>
    <w:rsid w:val="00EE4BB2"/>
    <w:rsid w:val="00EE560A"/>
    <w:rsid w:val="00EE6B47"/>
    <w:rsid w:val="00EE733B"/>
    <w:rsid w:val="00EE7B6D"/>
    <w:rsid w:val="00EF13A5"/>
    <w:rsid w:val="00EF1724"/>
    <w:rsid w:val="00EF1AA9"/>
    <w:rsid w:val="00EF1B4E"/>
    <w:rsid w:val="00EF1CC2"/>
    <w:rsid w:val="00EF3596"/>
    <w:rsid w:val="00EF3963"/>
    <w:rsid w:val="00EF5079"/>
    <w:rsid w:val="00EF7A77"/>
    <w:rsid w:val="00EF7DE3"/>
    <w:rsid w:val="00F006C9"/>
    <w:rsid w:val="00F00729"/>
    <w:rsid w:val="00F01918"/>
    <w:rsid w:val="00F02F54"/>
    <w:rsid w:val="00F03638"/>
    <w:rsid w:val="00F039ED"/>
    <w:rsid w:val="00F03F16"/>
    <w:rsid w:val="00F0620D"/>
    <w:rsid w:val="00F0728C"/>
    <w:rsid w:val="00F07ECC"/>
    <w:rsid w:val="00F10070"/>
    <w:rsid w:val="00F10116"/>
    <w:rsid w:val="00F11B23"/>
    <w:rsid w:val="00F1202B"/>
    <w:rsid w:val="00F1344F"/>
    <w:rsid w:val="00F13850"/>
    <w:rsid w:val="00F13A34"/>
    <w:rsid w:val="00F146CB"/>
    <w:rsid w:val="00F14B1E"/>
    <w:rsid w:val="00F15D92"/>
    <w:rsid w:val="00F220EF"/>
    <w:rsid w:val="00F2274B"/>
    <w:rsid w:val="00F2298C"/>
    <w:rsid w:val="00F24CF2"/>
    <w:rsid w:val="00F24E75"/>
    <w:rsid w:val="00F25235"/>
    <w:rsid w:val="00F254F6"/>
    <w:rsid w:val="00F3022D"/>
    <w:rsid w:val="00F30708"/>
    <w:rsid w:val="00F30D6C"/>
    <w:rsid w:val="00F31B3B"/>
    <w:rsid w:val="00F31E35"/>
    <w:rsid w:val="00F3228A"/>
    <w:rsid w:val="00F3272B"/>
    <w:rsid w:val="00F3395E"/>
    <w:rsid w:val="00F33A72"/>
    <w:rsid w:val="00F3415D"/>
    <w:rsid w:val="00F363F1"/>
    <w:rsid w:val="00F37256"/>
    <w:rsid w:val="00F42870"/>
    <w:rsid w:val="00F43DFC"/>
    <w:rsid w:val="00F45E5A"/>
    <w:rsid w:val="00F50172"/>
    <w:rsid w:val="00F54740"/>
    <w:rsid w:val="00F55837"/>
    <w:rsid w:val="00F565D0"/>
    <w:rsid w:val="00F57A3E"/>
    <w:rsid w:val="00F6149B"/>
    <w:rsid w:val="00F6158A"/>
    <w:rsid w:val="00F62899"/>
    <w:rsid w:val="00F6313A"/>
    <w:rsid w:val="00F637A9"/>
    <w:rsid w:val="00F63A4A"/>
    <w:rsid w:val="00F63E31"/>
    <w:rsid w:val="00F645AE"/>
    <w:rsid w:val="00F67284"/>
    <w:rsid w:val="00F67D00"/>
    <w:rsid w:val="00F67D2C"/>
    <w:rsid w:val="00F70011"/>
    <w:rsid w:val="00F720FA"/>
    <w:rsid w:val="00F733B2"/>
    <w:rsid w:val="00F75DF6"/>
    <w:rsid w:val="00F7688F"/>
    <w:rsid w:val="00F772EA"/>
    <w:rsid w:val="00F775E3"/>
    <w:rsid w:val="00F77698"/>
    <w:rsid w:val="00F811DE"/>
    <w:rsid w:val="00F81419"/>
    <w:rsid w:val="00F83BC2"/>
    <w:rsid w:val="00F83F1A"/>
    <w:rsid w:val="00F84ED2"/>
    <w:rsid w:val="00F85726"/>
    <w:rsid w:val="00F86727"/>
    <w:rsid w:val="00F8768E"/>
    <w:rsid w:val="00F90290"/>
    <w:rsid w:val="00F915B8"/>
    <w:rsid w:val="00F91B3B"/>
    <w:rsid w:val="00F94B42"/>
    <w:rsid w:val="00F94EC0"/>
    <w:rsid w:val="00F976C6"/>
    <w:rsid w:val="00FA0C52"/>
    <w:rsid w:val="00FA1493"/>
    <w:rsid w:val="00FA215D"/>
    <w:rsid w:val="00FA21C6"/>
    <w:rsid w:val="00FA2451"/>
    <w:rsid w:val="00FA3FB9"/>
    <w:rsid w:val="00FA457D"/>
    <w:rsid w:val="00FA6E33"/>
    <w:rsid w:val="00FA72B1"/>
    <w:rsid w:val="00FB3CF0"/>
    <w:rsid w:val="00FB638D"/>
    <w:rsid w:val="00FC479C"/>
    <w:rsid w:val="00FC57D6"/>
    <w:rsid w:val="00FC66E5"/>
    <w:rsid w:val="00FC6E57"/>
    <w:rsid w:val="00FC7151"/>
    <w:rsid w:val="00FD0C02"/>
    <w:rsid w:val="00FD1FCF"/>
    <w:rsid w:val="00FD2458"/>
    <w:rsid w:val="00FD278B"/>
    <w:rsid w:val="00FD282F"/>
    <w:rsid w:val="00FD37EC"/>
    <w:rsid w:val="00FD42D3"/>
    <w:rsid w:val="00FD6EAA"/>
    <w:rsid w:val="00FE0ABB"/>
    <w:rsid w:val="00FE141F"/>
    <w:rsid w:val="00FE20F0"/>
    <w:rsid w:val="00FE31A0"/>
    <w:rsid w:val="00FE4672"/>
    <w:rsid w:val="00FE58CE"/>
    <w:rsid w:val="00FE6C6F"/>
    <w:rsid w:val="00FE7911"/>
    <w:rsid w:val="00FF1735"/>
    <w:rsid w:val="00FF31C9"/>
    <w:rsid w:val="00FF3D51"/>
    <w:rsid w:val="00FF5DB9"/>
    <w:rsid w:val="00FF663F"/>
    <w:rsid w:val="00FF6741"/>
    <w:rsid w:val="00FF6A09"/>
    <w:rsid w:val="00FF7AE0"/>
    <w:rsid w:val="00FF7A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3D529"/>
  <w15:chartTrackingRefBased/>
  <w15:docId w15:val="{E63524B8-8CBB-964F-9110-200DCF77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themeColor="text1"/>
        <w:sz w:val="24"/>
        <w:szCs w:val="24"/>
        <w:lang w:val="en-ZA"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06884"/>
    <w:pPr>
      <w:spacing w:before="100" w:beforeAutospacing="1" w:after="100" w:afterAutospacing="1" w:line="240" w:lineRule="auto"/>
      <w:outlineLvl w:val="1"/>
    </w:pPr>
    <w:rPr>
      <w:rFonts w:ascii="Times New Roman" w:eastAsia="Times New Roman" w:hAnsi="Times New Roman" w:cs="Times New Roman"/>
      <w:b/>
      <w:bCs/>
      <w:color w:val="auto"/>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51"/>
    <w:pPr>
      <w:ind w:left="720"/>
      <w:contextualSpacing/>
    </w:pPr>
  </w:style>
  <w:style w:type="paragraph" w:styleId="FootnoteText">
    <w:name w:val="footnote text"/>
    <w:basedOn w:val="Normal"/>
    <w:link w:val="FootnoteTextChar"/>
    <w:uiPriority w:val="99"/>
    <w:semiHidden/>
    <w:unhideWhenUsed/>
    <w:rsid w:val="00005691"/>
    <w:rPr>
      <w:sz w:val="20"/>
      <w:szCs w:val="20"/>
    </w:rPr>
  </w:style>
  <w:style w:type="character" w:customStyle="1" w:styleId="FootnoteTextChar">
    <w:name w:val="Footnote Text Char"/>
    <w:basedOn w:val="DefaultParagraphFont"/>
    <w:link w:val="FootnoteText"/>
    <w:uiPriority w:val="99"/>
    <w:semiHidden/>
    <w:rsid w:val="00005691"/>
    <w:rPr>
      <w:sz w:val="20"/>
      <w:szCs w:val="20"/>
    </w:rPr>
  </w:style>
  <w:style w:type="character" w:styleId="FootnoteReference">
    <w:name w:val="footnote reference"/>
    <w:basedOn w:val="DefaultParagraphFont"/>
    <w:uiPriority w:val="99"/>
    <w:semiHidden/>
    <w:unhideWhenUsed/>
    <w:rsid w:val="00005691"/>
    <w:rPr>
      <w:vertAlign w:val="superscript"/>
    </w:rPr>
  </w:style>
  <w:style w:type="paragraph" w:styleId="Header">
    <w:name w:val="header"/>
    <w:basedOn w:val="Normal"/>
    <w:link w:val="HeaderChar"/>
    <w:uiPriority w:val="99"/>
    <w:unhideWhenUsed/>
    <w:rsid w:val="00146BA3"/>
    <w:pPr>
      <w:tabs>
        <w:tab w:val="center" w:pos="4513"/>
        <w:tab w:val="right" w:pos="9026"/>
      </w:tabs>
    </w:pPr>
  </w:style>
  <w:style w:type="character" w:customStyle="1" w:styleId="HeaderChar">
    <w:name w:val="Header Char"/>
    <w:basedOn w:val="DefaultParagraphFont"/>
    <w:link w:val="Header"/>
    <w:uiPriority w:val="99"/>
    <w:rsid w:val="00146BA3"/>
  </w:style>
  <w:style w:type="character" w:styleId="PageNumber">
    <w:name w:val="page number"/>
    <w:basedOn w:val="DefaultParagraphFont"/>
    <w:uiPriority w:val="99"/>
    <w:semiHidden/>
    <w:unhideWhenUsed/>
    <w:rsid w:val="00146BA3"/>
  </w:style>
  <w:style w:type="paragraph" w:styleId="NormalWeb">
    <w:name w:val="Normal (Web)"/>
    <w:basedOn w:val="Normal"/>
    <w:uiPriority w:val="99"/>
    <w:unhideWhenUsed/>
    <w:rsid w:val="00306884"/>
    <w:pPr>
      <w:spacing w:before="100" w:beforeAutospacing="1" w:after="100" w:afterAutospacing="1" w:line="240" w:lineRule="auto"/>
    </w:pPr>
    <w:rPr>
      <w:rFonts w:ascii="Times New Roman" w:eastAsia="Times New Roman" w:hAnsi="Times New Roman" w:cs="Times New Roman"/>
      <w:color w:val="auto"/>
      <w:lang w:eastAsia="en-GB"/>
    </w:rPr>
  </w:style>
  <w:style w:type="character" w:customStyle="1" w:styleId="apple-converted-space">
    <w:name w:val="apple-converted-space"/>
    <w:basedOn w:val="DefaultParagraphFont"/>
    <w:rsid w:val="00306884"/>
  </w:style>
  <w:style w:type="character" w:styleId="Hyperlink">
    <w:name w:val="Hyperlink"/>
    <w:basedOn w:val="DefaultParagraphFont"/>
    <w:uiPriority w:val="99"/>
    <w:unhideWhenUsed/>
    <w:rsid w:val="00306884"/>
    <w:rPr>
      <w:color w:val="0000FF"/>
      <w:u w:val="single"/>
    </w:rPr>
  </w:style>
  <w:style w:type="character" w:styleId="FollowedHyperlink">
    <w:name w:val="FollowedHyperlink"/>
    <w:basedOn w:val="DefaultParagraphFont"/>
    <w:uiPriority w:val="99"/>
    <w:semiHidden/>
    <w:unhideWhenUsed/>
    <w:rsid w:val="00306884"/>
    <w:rPr>
      <w:color w:val="954F72" w:themeColor="followedHyperlink"/>
      <w:u w:val="single"/>
    </w:rPr>
  </w:style>
  <w:style w:type="character" w:customStyle="1" w:styleId="Heading2Char">
    <w:name w:val="Heading 2 Char"/>
    <w:basedOn w:val="DefaultParagraphFont"/>
    <w:link w:val="Heading2"/>
    <w:uiPriority w:val="9"/>
    <w:rsid w:val="00306884"/>
    <w:rPr>
      <w:rFonts w:ascii="Times New Roman" w:eastAsia="Times New Roman" w:hAnsi="Times New Roman" w:cs="Times New Roman"/>
      <w:b/>
      <w:bCs/>
      <w:color w:val="auto"/>
      <w:sz w:val="36"/>
      <w:szCs w:val="36"/>
      <w:lang w:eastAsia="en-GB"/>
    </w:rPr>
  </w:style>
  <w:style w:type="character" w:customStyle="1" w:styleId="UnresolvedMention1">
    <w:name w:val="Unresolved Mention1"/>
    <w:basedOn w:val="DefaultParagraphFont"/>
    <w:uiPriority w:val="99"/>
    <w:semiHidden/>
    <w:unhideWhenUsed/>
    <w:rsid w:val="00BC4B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80424">
      <w:bodyDiv w:val="1"/>
      <w:marLeft w:val="0"/>
      <w:marRight w:val="0"/>
      <w:marTop w:val="0"/>
      <w:marBottom w:val="0"/>
      <w:divBdr>
        <w:top w:val="none" w:sz="0" w:space="0" w:color="auto"/>
        <w:left w:val="none" w:sz="0" w:space="0" w:color="auto"/>
        <w:bottom w:val="none" w:sz="0" w:space="0" w:color="auto"/>
        <w:right w:val="none" w:sz="0" w:space="0" w:color="auto"/>
      </w:divBdr>
    </w:div>
    <w:div w:id="457645338">
      <w:bodyDiv w:val="1"/>
      <w:marLeft w:val="0"/>
      <w:marRight w:val="0"/>
      <w:marTop w:val="0"/>
      <w:marBottom w:val="0"/>
      <w:divBdr>
        <w:top w:val="none" w:sz="0" w:space="0" w:color="auto"/>
        <w:left w:val="none" w:sz="0" w:space="0" w:color="auto"/>
        <w:bottom w:val="none" w:sz="0" w:space="0" w:color="auto"/>
        <w:right w:val="none" w:sz="0" w:space="0" w:color="auto"/>
      </w:divBdr>
    </w:div>
    <w:div w:id="574122980">
      <w:bodyDiv w:val="1"/>
      <w:marLeft w:val="0"/>
      <w:marRight w:val="0"/>
      <w:marTop w:val="0"/>
      <w:marBottom w:val="0"/>
      <w:divBdr>
        <w:top w:val="none" w:sz="0" w:space="0" w:color="auto"/>
        <w:left w:val="none" w:sz="0" w:space="0" w:color="auto"/>
        <w:bottom w:val="none" w:sz="0" w:space="0" w:color="auto"/>
        <w:right w:val="none" w:sz="0" w:space="0" w:color="auto"/>
      </w:divBdr>
    </w:div>
    <w:div w:id="814906467">
      <w:bodyDiv w:val="1"/>
      <w:marLeft w:val="0"/>
      <w:marRight w:val="0"/>
      <w:marTop w:val="0"/>
      <w:marBottom w:val="0"/>
      <w:divBdr>
        <w:top w:val="none" w:sz="0" w:space="0" w:color="auto"/>
        <w:left w:val="none" w:sz="0" w:space="0" w:color="auto"/>
        <w:bottom w:val="none" w:sz="0" w:space="0" w:color="auto"/>
        <w:right w:val="none" w:sz="0" w:space="0" w:color="auto"/>
      </w:divBdr>
    </w:div>
    <w:div w:id="192873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gidlana@roundbar.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92584-31B9-49A0-AC49-63EFE8495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4180</Words>
  <Characters>23827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Govindjee, Avinash (Prof) (Summerstrand Campus South)</dc:creator>
  <cp:keywords/>
  <dc:description/>
  <cp:lastModifiedBy>Mariana Anguelov</cp:lastModifiedBy>
  <cp:revision>3</cp:revision>
  <dcterms:created xsi:type="dcterms:W3CDTF">2022-11-30T09:00:00Z</dcterms:created>
  <dcterms:modified xsi:type="dcterms:W3CDTF">2022-12-04T19:53:00Z</dcterms:modified>
</cp:coreProperties>
</file>