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F0" w:rsidRDefault="00C80CF0" w:rsidP="00C80CF0">
      <w:pPr>
        <w:jc w:val="center"/>
        <w:rPr>
          <w:rFonts w:ascii="Arial" w:hAnsi="Arial" w:cs="Arial"/>
          <w:b/>
          <w:sz w:val="20"/>
          <w:szCs w:val="20"/>
        </w:rPr>
      </w:pPr>
      <w:bookmarkStart w:id="0" w:name="_GoBack"/>
      <w:bookmarkEnd w:id="0"/>
      <w:r>
        <w:rPr>
          <w:noProof/>
          <w:lang w:eastAsia="en-ZA"/>
        </w:rPr>
        <w:drawing>
          <wp:inline distT="0" distB="0" distL="0" distR="0">
            <wp:extent cx="1447165" cy="12801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165" cy="1280160"/>
                    </a:xfrm>
                    <a:prstGeom prst="rect">
                      <a:avLst/>
                    </a:prstGeom>
                    <a:noFill/>
                    <a:ln>
                      <a:noFill/>
                    </a:ln>
                  </pic:spPr>
                </pic:pic>
              </a:graphicData>
            </a:graphic>
          </wp:inline>
        </w:drawing>
      </w:r>
      <w:r>
        <w:rPr>
          <w:rFonts w:ascii="Arial" w:hAnsi="Arial" w:cs="Arial"/>
          <w:b/>
          <w:sz w:val="24"/>
          <w:szCs w:val="24"/>
        </w:rPr>
        <w:t xml:space="preserve">                           </w:t>
      </w:r>
    </w:p>
    <w:p w:rsidR="00C80CF0" w:rsidRDefault="00C80CF0" w:rsidP="00C80CF0">
      <w:pPr>
        <w:jc w:val="center"/>
        <w:rPr>
          <w:rFonts w:ascii="Arial" w:hAnsi="Arial" w:cs="Arial"/>
          <w:b/>
          <w:sz w:val="24"/>
          <w:szCs w:val="24"/>
        </w:rPr>
      </w:pPr>
    </w:p>
    <w:p w:rsidR="00C80CF0" w:rsidRDefault="00C80CF0" w:rsidP="00DB5E06">
      <w:pPr>
        <w:rPr>
          <w:rFonts w:ascii="Arial" w:hAnsi="Arial" w:cs="Arial"/>
          <w:b/>
          <w:sz w:val="24"/>
          <w:szCs w:val="24"/>
        </w:rPr>
      </w:pPr>
      <w:r>
        <w:rPr>
          <w:rFonts w:ascii="Arial" w:hAnsi="Arial" w:cs="Arial"/>
          <w:b/>
          <w:sz w:val="24"/>
          <w:szCs w:val="24"/>
        </w:rPr>
        <w:t>IN THE HIGH COURT OF SOUTH AFRICA</w:t>
      </w:r>
    </w:p>
    <w:p w:rsidR="00C80CF0" w:rsidRDefault="00C80CF0" w:rsidP="00DB5E06">
      <w:pPr>
        <w:rPr>
          <w:rFonts w:ascii="Arial" w:hAnsi="Arial" w:cs="Arial"/>
          <w:b/>
          <w:sz w:val="24"/>
          <w:szCs w:val="24"/>
        </w:rPr>
      </w:pPr>
      <w:r>
        <w:rPr>
          <w:rFonts w:ascii="Arial" w:hAnsi="Arial" w:cs="Arial"/>
          <w:b/>
          <w:sz w:val="24"/>
          <w:szCs w:val="24"/>
        </w:rPr>
        <w:t>EASTERN CAPE DIVISION – MTHATHA</w:t>
      </w:r>
    </w:p>
    <w:p w:rsidR="00C80CF0" w:rsidRDefault="00C80CF0" w:rsidP="00C80CF0">
      <w:pPr>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80CF0" w:rsidRDefault="00C80CF0" w:rsidP="00C80CF0">
      <w:pPr>
        <w:ind w:left="5040"/>
        <w:jc w:val="center"/>
        <w:rPr>
          <w:rFonts w:ascii="Arial" w:hAnsi="Arial" w:cs="Arial"/>
          <w:b/>
          <w:sz w:val="24"/>
          <w:szCs w:val="24"/>
        </w:rPr>
      </w:pPr>
      <w:r>
        <w:rPr>
          <w:rFonts w:ascii="Arial" w:hAnsi="Arial" w:cs="Arial"/>
          <w:b/>
          <w:sz w:val="20"/>
          <w:szCs w:val="20"/>
        </w:rPr>
        <w:t>NOT REPORATBLE</w:t>
      </w:r>
    </w:p>
    <w:p w:rsidR="00C80CF0" w:rsidRDefault="00C80CF0" w:rsidP="00C80CF0">
      <w:pPr>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Case No:  CA 14/2022</w:t>
      </w:r>
    </w:p>
    <w:p w:rsidR="00C80CF0" w:rsidRDefault="00C80CF0" w:rsidP="00C80CF0">
      <w:pPr>
        <w:jc w:val="center"/>
        <w:rPr>
          <w:rFonts w:ascii="Arial" w:hAnsi="Arial" w:cs="Arial"/>
          <w:b/>
          <w:sz w:val="24"/>
          <w:szCs w:val="24"/>
        </w:rPr>
      </w:pPr>
    </w:p>
    <w:p w:rsidR="00C80CF0" w:rsidRDefault="00C80CF0" w:rsidP="00C80CF0">
      <w:pPr>
        <w:jc w:val="both"/>
        <w:rPr>
          <w:rFonts w:ascii="Arial" w:hAnsi="Arial" w:cs="Arial"/>
          <w:sz w:val="24"/>
          <w:szCs w:val="24"/>
        </w:rPr>
      </w:pPr>
      <w:r>
        <w:rPr>
          <w:rFonts w:ascii="Arial" w:hAnsi="Arial" w:cs="Arial"/>
          <w:sz w:val="24"/>
          <w:szCs w:val="24"/>
        </w:rPr>
        <w:t>In the matter between:</w:t>
      </w:r>
    </w:p>
    <w:p w:rsidR="00C80CF0" w:rsidRDefault="00C80CF0" w:rsidP="00C80CF0">
      <w:pPr>
        <w:jc w:val="both"/>
        <w:rPr>
          <w:rFonts w:ascii="Arial" w:hAnsi="Arial" w:cs="Arial"/>
          <w:sz w:val="24"/>
          <w:szCs w:val="24"/>
        </w:rPr>
      </w:pPr>
    </w:p>
    <w:p w:rsidR="00C80CF0" w:rsidRDefault="00C80CF0" w:rsidP="00C80CF0">
      <w:pPr>
        <w:jc w:val="both"/>
        <w:rPr>
          <w:rFonts w:ascii="Arial" w:hAnsi="Arial" w:cs="Arial"/>
          <w:b/>
          <w:sz w:val="24"/>
          <w:szCs w:val="24"/>
        </w:rPr>
      </w:pPr>
      <w:r>
        <w:rPr>
          <w:rFonts w:ascii="Arial" w:hAnsi="Arial" w:cs="Arial"/>
          <w:b/>
          <w:sz w:val="24"/>
          <w:szCs w:val="24"/>
        </w:rPr>
        <w:t>KING SABATA DALINDYEBO MUNICIPALITY</w:t>
      </w:r>
    </w:p>
    <w:p w:rsidR="00C80CF0" w:rsidRDefault="00C80CF0" w:rsidP="00C80CF0">
      <w:pPr>
        <w:jc w:val="both"/>
        <w:rPr>
          <w:rFonts w:ascii="Arial" w:hAnsi="Arial" w:cs="Arial"/>
          <w:sz w:val="24"/>
          <w:szCs w:val="24"/>
        </w:rPr>
      </w:pPr>
      <w:r>
        <w:rPr>
          <w:rFonts w:ascii="Arial" w:hAnsi="Arial" w:cs="Arial"/>
          <w:b/>
          <w:sz w:val="24"/>
          <w:szCs w:val="24"/>
        </w:rPr>
        <w:t>EMPLOYEES (K.S.D) – ACCESS CONTROL OFFICERS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Appellant</w:t>
      </w:r>
    </w:p>
    <w:p w:rsidR="00C80CF0" w:rsidRDefault="00C80CF0" w:rsidP="00C80CF0">
      <w:pPr>
        <w:jc w:val="both"/>
        <w:rPr>
          <w:rFonts w:ascii="Arial" w:hAnsi="Arial" w:cs="Arial"/>
          <w:sz w:val="24"/>
          <w:szCs w:val="24"/>
        </w:rPr>
      </w:pPr>
    </w:p>
    <w:p w:rsidR="00C80CF0" w:rsidRDefault="00C80CF0" w:rsidP="00C80CF0">
      <w:pPr>
        <w:jc w:val="both"/>
        <w:rPr>
          <w:rFonts w:ascii="Arial" w:hAnsi="Arial" w:cs="Arial"/>
          <w:sz w:val="24"/>
          <w:szCs w:val="24"/>
        </w:rPr>
      </w:pPr>
      <w:r>
        <w:rPr>
          <w:rFonts w:ascii="Arial" w:hAnsi="Arial" w:cs="Arial"/>
          <w:sz w:val="24"/>
          <w:szCs w:val="24"/>
        </w:rPr>
        <w:t>and</w:t>
      </w:r>
    </w:p>
    <w:p w:rsidR="00C80CF0" w:rsidRDefault="00C80CF0" w:rsidP="00C80CF0">
      <w:pPr>
        <w:jc w:val="both"/>
        <w:rPr>
          <w:rFonts w:ascii="Arial" w:hAnsi="Arial" w:cs="Arial"/>
          <w:sz w:val="24"/>
          <w:szCs w:val="24"/>
        </w:rPr>
      </w:pPr>
    </w:p>
    <w:p w:rsidR="00C80CF0" w:rsidRDefault="00C80CF0" w:rsidP="00C80CF0">
      <w:pPr>
        <w:jc w:val="both"/>
        <w:rPr>
          <w:rFonts w:ascii="Arial" w:hAnsi="Arial" w:cs="Arial"/>
          <w:sz w:val="24"/>
          <w:szCs w:val="24"/>
        </w:rPr>
      </w:pPr>
      <w:r>
        <w:rPr>
          <w:rFonts w:ascii="Arial" w:hAnsi="Arial" w:cs="Arial"/>
          <w:b/>
          <w:sz w:val="24"/>
          <w:szCs w:val="24"/>
        </w:rPr>
        <w:t>KING SABATA DALINDYEBO LOCAL MUNICIPALITY (K.S.D)</w:t>
      </w:r>
      <w:r>
        <w:rPr>
          <w:rFonts w:ascii="Arial" w:hAnsi="Arial" w:cs="Arial"/>
          <w:b/>
          <w:sz w:val="24"/>
          <w:szCs w:val="24"/>
        </w:rPr>
        <w:tab/>
        <w:t xml:space="preserve">       </w:t>
      </w:r>
      <w:r>
        <w:rPr>
          <w:rFonts w:ascii="Arial" w:hAnsi="Arial" w:cs="Arial"/>
          <w:sz w:val="24"/>
          <w:szCs w:val="24"/>
        </w:rPr>
        <w:t>Respondent</w:t>
      </w:r>
    </w:p>
    <w:p w:rsidR="00C80CF0" w:rsidRDefault="00C80CF0" w:rsidP="00C80CF0">
      <w:pPr>
        <w:jc w:val="both"/>
        <w:rPr>
          <w:rFonts w:ascii="Arial" w:hAnsi="Arial" w:cs="Arial"/>
          <w:sz w:val="24"/>
          <w:szCs w:val="24"/>
        </w:rPr>
      </w:pPr>
      <w:r>
        <w:rPr>
          <w:rFonts w:ascii="Arial" w:hAnsi="Arial" w:cs="Arial"/>
          <w:sz w:val="24"/>
          <w:szCs w:val="24"/>
        </w:rPr>
        <w:t>___________________________________________________________________</w:t>
      </w:r>
    </w:p>
    <w:p w:rsidR="00C80CF0" w:rsidRDefault="00C80CF0" w:rsidP="00C80CF0">
      <w:pPr>
        <w:jc w:val="center"/>
        <w:rPr>
          <w:rFonts w:ascii="Arial" w:hAnsi="Arial" w:cs="Arial"/>
          <w:b/>
          <w:sz w:val="24"/>
          <w:szCs w:val="24"/>
        </w:rPr>
      </w:pPr>
      <w:r>
        <w:rPr>
          <w:rFonts w:ascii="Arial" w:hAnsi="Arial" w:cs="Arial"/>
          <w:b/>
          <w:sz w:val="24"/>
          <w:szCs w:val="24"/>
        </w:rPr>
        <w:t>JUDGMENT</w:t>
      </w:r>
    </w:p>
    <w:p w:rsidR="00C80CF0" w:rsidRDefault="00C80CF0" w:rsidP="00C80CF0">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C80CF0" w:rsidRDefault="00C80CF0" w:rsidP="00C80CF0">
      <w:pPr>
        <w:spacing w:after="0"/>
        <w:jc w:val="both"/>
        <w:rPr>
          <w:rFonts w:ascii="Arial" w:hAnsi="Arial" w:cs="Arial"/>
          <w:b/>
          <w:sz w:val="24"/>
          <w:szCs w:val="24"/>
        </w:rPr>
      </w:pPr>
      <w:r>
        <w:rPr>
          <w:rFonts w:ascii="Arial" w:hAnsi="Arial" w:cs="Arial"/>
          <w:b/>
          <w:sz w:val="24"/>
          <w:szCs w:val="24"/>
        </w:rPr>
        <w:t>MAKAULA J:</w:t>
      </w:r>
    </w:p>
    <w:p w:rsidR="0077556F" w:rsidRDefault="0077556F" w:rsidP="00C80CF0">
      <w:pPr>
        <w:spacing w:line="480" w:lineRule="auto"/>
        <w:jc w:val="both"/>
        <w:rPr>
          <w:rFonts w:ascii="Arial" w:hAnsi="Arial" w:cs="Arial"/>
          <w:sz w:val="24"/>
          <w:szCs w:val="24"/>
        </w:rPr>
      </w:pPr>
    </w:p>
    <w:p w:rsidR="00271B56" w:rsidRDefault="00271B56" w:rsidP="00C80CF0">
      <w:pPr>
        <w:spacing w:line="480" w:lineRule="auto"/>
        <w:jc w:val="both"/>
        <w:rPr>
          <w:rFonts w:ascii="Arial" w:hAnsi="Arial" w:cs="Arial"/>
          <w:b/>
          <w:sz w:val="24"/>
          <w:szCs w:val="24"/>
        </w:rPr>
      </w:pPr>
      <w:r>
        <w:rPr>
          <w:rFonts w:ascii="Arial" w:hAnsi="Arial" w:cs="Arial"/>
          <w:b/>
          <w:sz w:val="24"/>
          <w:szCs w:val="24"/>
        </w:rPr>
        <w:t>A.</w:t>
      </w:r>
      <w:r>
        <w:rPr>
          <w:rFonts w:ascii="Arial" w:hAnsi="Arial" w:cs="Arial"/>
          <w:b/>
          <w:sz w:val="24"/>
          <w:szCs w:val="24"/>
        </w:rPr>
        <w:tab/>
      </w:r>
      <w:r>
        <w:rPr>
          <w:rFonts w:ascii="Arial" w:hAnsi="Arial" w:cs="Arial"/>
          <w:b/>
          <w:sz w:val="24"/>
          <w:szCs w:val="24"/>
          <w:u w:val="single"/>
        </w:rPr>
        <w:t>Background</w:t>
      </w:r>
      <w:r>
        <w:rPr>
          <w:rFonts w:ascii="Arial" w:hAnsi="Arial" w:cs="Arial"/>
          <w:b/>
          <w:sz w:val="24"/>
          <w:szCs w:val="24"/>
        </w:rPr>
        <w:t>:</w:t>
      </w:r>
    </w:p>
    <w:p w:rsidR="00762D79" w:rsidRDefault="00C80CF0" w:rsidP="00C80CF0">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71B56">
        <w:rPr>
          <w:rFonts w:ascii="Arial" w:hAnsi="Arial" w:cs="Arial"/>
          <w:sz w:val="24"/>
          <w:szCs w:val="24"/>
        </w:rPr>
        <w:t xml:space="preserve">This appeal is against the judgment of the court </w:t>
      </w:r>
      <w:r w:rsidR="00271B56">
        <w:rPr>
          <w:rFonts w:ascii="Arial" w:hAnsi="Arial" w:cs="Arial"/>
          <w:i/>
          <w:sz w:val="24"/>
          <w:szCs w:val="24"/>
        </w:rPr>
        <w:t>a quo</w:t>
      </w:r>
      <w:r w:rsidR="00271B56">
        <w:rPr>
          <w:rFonts w:ascii="Arial" w:hAnsi="Arial" w:cs="Arial"/>
          <w:sz w:val="24"/>
          <w:szCs w:val="24"/>
        </w:rPr>
        <w:t xml:space="preserve"> which dismissed an application brought by the appellants for a declaratory order that the failure b</w:t>
      </w:r>
      <w:r w:rsidR="00D234F5">
        <w:rPr>
          <w:rFonts w:ascii="Arial" w:hAnsi="Arial" w:cs="Arial"/>
          <w:sz w:val="24"/>
          <w:szCs w:val="24"/>
        </w:rPr>
        <w:t xml:space="preserve">y the respondent to account </w:t>
      </w:r>
      <w:r w:rsidR="00271B56">
        <w:rPr>
          <w:rFonts w:ascii="Arial" w:hAnsi="Arial" w:cs="Arial"/>
          <w:sz w:val="24"/>
          <w:szCs w:val="24"/>
        </w:rPr>
        <w:t>and pay the appell</w:t>
      </w:r>
      <w:r w:rsidR="00D234F5">
        <w:rPr>
          <w:rFonts w:ascii="Arial" w:hAnsi="Arial" w:cs="Arial"/>
          <w:sz w:val="24"/>
          <w:szCs w:val="24"/>
        </w:rPr>
        <w:t>ants for overtime worked</w:t>
      </w:r>
      <w:r w:rsidR="00271B56">
        <w:rPr>
          <w:rFonts w:ascii="Arial" w:hAnsi="Arial" w:cs="Arial"/>
          <w:sz w:val="24"/>
          <w:szCs w:val="24"/>
        </w:rPr>
        <w:t xml:space="preserve"> during the period December 2014 to May 2015 was unlawful.  The appellants further sought an order </w:t>
      </w:r>
      <w:r w:rsidR="00271B56">
        <w:rPr>
          <w:rFonts w:ascii="Arial" w:hAnsi="Arial" w:cs="Arial"/>
          <w:sz w:val="24"/>
          <w:szCs w:val="24"/>
        </w:rPr>
        <w:lastRenderedPageBreak/>
        <w:t>compelling the respondent to furnish t</w:t>
      </w:r>
      <w:r w:rsidR="00D32E48">
        <w:rPr>
          <w:rFonts w:ascii="Arial" w:hAnsi="Arial" w:cs="Arial"/>
          <w:sz w:val="24"/>
          <w:szCs w:val="24"/>
        </w:rPr>
        <w:t>hem with the written account</w:t>
      </w:r>
      <w:r w:rsidR="00271B56">
        <w:rPr>
          <w:rFonts w:ascii="Arial" w:hAnsi="Arial" w:cs="Arial"/>
          <w:sz w:val="24"/>
          <w:szCs w:val="24"/>
        </w:rPr>
        <w:t xml:space="preserve"> relating to the overtime worked during the same period and the applicable overtime rate.  The appeal is with the leave of the court </w:t>
      </w:r>
      <w:r w:rsidR="00271B56">
        <w:rPr>
          <w:rFonts w:ascii="Arial" w:hAnsi="Arial" w:cs="Arial"/>
          <w:i/>
          <w:sz w:val="24"/>
          <w:szCs w:val="24"/>
        </w:rPr>
        <w:t>a quo.</w:t>
      </w:r>
    </w:p>
    <w:p w:rsidR="00762D79" w:rsidRDefault="00762D79" w:rsidP="00C80CF0">
      <w:pPr>
        <w:spacing w:line="480" w:lineRule="auto"/>
        <w:jc w:val="both"/>
        <w:rPr>
          <w:rFonts w:ascii="Arial" w:hAnsi="Arial" w:cs="Arial"/>
          <w:sz w:val="24"/>
          <w:szCs w:val="24"/>
        </w:rPr>
      </w:pPr>
    </w:p>
    <w:p w:rsidR="00762D79" w:rsidRDefault="00762D79" w:rsidP="00C80CF0">
      <w:pPr>
        <w:spacing w:line="480" w:lineRule="auto"/>
        <w:jc w:val="both"/>
        <w:rPr>
          <w:rFonts w:ascii="Arial" w:hAnsi="Arial" w:cs="Arial"/>
          <w:b/>
          <w:sz w:val="24"/>
          <w:szCs w:val="24"/>
        </w:rPr>
      </w:pPr>
      <w:r>
        <w:rPr>
          <w:rFonts w:ascii="Arial" w:hAnsi="Arial" w:cs="Arial"/>
          <w:b/>
          <w:sz w:val="24"/>
          <w:szCs w:val="24"/>
        </w:rPr>
        <w:t>B.</w:t>
      </w:r>
      <w:r>
        <w:rPr>
          <w:rFonts w:ascii="Arial" w:hAnsi="Arial" w:cs="Arial"/>
          <w:b/>
          <w:sz w:val="24"/>
          <w:szCs w:val="24"/>
        </w:rPr>
        <w:tab/>
      </w:r>
      <w:r w:rsidR="00CB7007">
        <w:rPr>
          <w:rFonts w:ascii="Arial" w:hAnsi="Arial" w:cs="Arial"/>
          <w:b/>
          <w:sz w:val="24"/>
          <w:szCs w:val="24"/>
          <w:u w:val="single"/>
        </w:rPr>
        <w:t xml:space="preserve">Appellants’ </w:t>
      </w:r>
      <w:r>
        <w:rPr>
          <w:rFonts w:ascii="Arial" w:hAnsi="Arial" w:cs="Arial"/>
          <w:b/>
          <w:sz w:val="24"/>
          <w:szCs w:val="24"/>
          <w:u w:val="single"/>
        </w:rPr>
        <w:t>case</w:t>
      </w:r>
      <w:r>
        <w:rPr>
          <w:rFonts w:ascii="Arial" w:hAnsi="Arial" w:cs="Arial"/>
          <w:b/>
          <w:sz w:val="24"/>
          <w:szCs w:val="24"/>
        </w:rPr>
        <w:t>:</w:t>
      </w:r>
    </w:p>
    <w:p w:rsidR="00125B8A" w:rsidRDefault="00606B6B" w:rsidP="00C80CF0">
      <w:pPr>
        <w:spacing w:line="480" w:lineRule="auto"/>
        <w:jc w:val="both"/>
        <w:rPr>
          <w:rFonts w:ascii="Arial" w:hAnsi="Arial" w:cs="Arial"/>
          <w:sz w:val="24"/>
          <w:szCs w:val="24"/>
        </w:rPr>
      </w:pPr>
      <w:r>
        <w:rPr>
          <w:rFonts w:ascii="Arial" w:hAnsi="Arial" w:cs="Arial"/>
          <w:sz w:val="24"/>
          <w:szCs w:val="24"/>
        </w:rPr>
        <w:t>[2]</w:t>
      </w:r>
      <w:r w:rsidR="00A83987">
        <w:rPr>
          <w:rFonts w:ascii="Arial" w:hAnsi="Arial" w:cs="Arial"/>
          <w:sz w:val="24"/>
          <w:szCs w:val="24"/>
        </w:rPr>
        <w:tab/>
        <w:t>The appellants describe</w:t>
      </w:r>
      <w:r w:rsidR="00762D79">
        <w:rPr>
          <w:rFonts w:ascii="Arial" w:hAnsi="Arial" w:cs="Arial"/>
          <w:sz w:val="24"/>
          <w:szCs w:val="24"/>
        </w:rPr>
        <w:t xml:space="preserve"> themselves as the King Sabata Dalindyebo Municipality Employees –</w:t>
      </w:r>
      <w:r w:rsidR="00A83987">
        <w:rPr>
          <w:rFonts w:ascii="Arial" w:hAnsi="Arial" w:cs="Arial"/>
          <w:sz w:val="24"/>
          <w:szCs w:val="24"/>
        </w:rPr>
        <w:t xml:space="preserve"> Access Control Officers and</w:t>
      </w:r>
      <w:r w:rsidR="00762D79">
        <w:rPr>
          <w:rFonts w:ascii="Arial" w:hAnsi="Arial" w:cs="Arial"/>
          <w:sz w:val="24"/>
          <w:szCs w:val="24"/>
        </w:rPr>
        <w:t xml:space="preserve"> employees of the respondent.</w:t>
      </w:r>
      <w:r>
        <w:rPr>
          <w:rFonts w:ascii="Arial" w:hAnsi="Arial" w:cs="Arial"/>
          <w:sz w:val="24"/>
          <w:szCs w:val="24"/>
        </w:rPr>
        <w:t xml:space="preserve">  Their relationship is governed by contracts of employment which, I presume, have similar provis</w:t>
      </w:r>
      <w:r w:rsidR="00A83987">
        <w:rPr>
          <w:rFonts w:ascii="Arial" w:hAnsi="Arial" w:cs="Arial"/>
          <w:sz w:val="24"/>
          <w:szCs w:val="24"/>
        </w:rPr>
        <w:t xml:space="preserve">ions.  The relevant clauses are </w:t>
      </w:r>
      <w:r>
        <w:rPr>
          <w:rFonts w:ascii="Arial" w:hAnsi="Arial" w:cs="Arial"/>
          <w:sz w:val="24"/>
          <w:szCs w:val="24"/>
        </w:rPr>
        <w:t>14 and 16 which provide</w:t>
      </w:r>
      <w:r w:rsidR="00125B8A">
        <w:rPr>
          <w:rFonts w:ascii="Arial" w:hAnsi="Arial" w:cs="Arial"/>
          <w:sz w:val="24"/>
          <w:szCs w:val="24"/>
        </w:rPr>
        <w:t>:</w:t>
      </w:r>
    </w:p>
    <w:p w:rsidR="00FF4512" w:rsidRDefault="00125B8A" w:rsidP="00E90017">
      <w:pPr>
        <w:spacing w:line="480" w:lineRule="auto"/>
        <w:ind w:left="720"/>
        <w:jc w:val="both"/>
        <w:rPr>
          <w:rFonts w:ascii="Arial" w:hAnsi="Arial" w:cs="Arial"/>
          <w:sz w:val="20"/>
          <w:szCs w:val="20"/>
        </w:rPr>
      </w:pPr>
      <w:r>
        <w:rPr>
          <w:rFonts w:ascii="Arial" w:hAnsi="Arial" w:cs="Arial"/>
          <w:sz w:val="20"/>
          <w:szCs w:val="20"/>
        </w:rPr>
        <w:t xml:space="preserve">“The Municipality could expect and you would be obliged to work overtime as dictated by work exigencies and/or as required by the Municipality subject to the Municipality’s policies on overtime.  Stand-by Night </w:t>
      </w:r>
      <w:r w:rsidR="00E90017">
        <w:rPr>
          <w:rFonts w:ascii="Arial" w:hAnsi="Arial" w:cs="Arial"/>
          <w:sz w:val="20"/>
          <w:szCs w:val="20"/>
        </w:rPr>
        <w:t>work,</w:t>
      </w:r>
      <w:r>
        <w:rPr>
          <w:rFonts w:ascii="Arial" w:hAnsi="Arial" w:cs="Arial"/>
          <w:sz w:val="20"/>
          <w:szCs w:val="20"/>
        </w:rPr>
        <w:t xml:space="preserve"> Sunday work and Public Holiday work allowances are payable at a rate prescribed by council to</w:t>
      </w:r>
      <w:r w:rsidR="00E90017">
        <w:rPr>
          <w:rFonts w:ascii="Arial" w:hAnsi="Arial" w:cs="Arial"/>
          <w:sz w:val="20"/>
          <w:szCs w:val="20"/>
        </w:rPr>
        <w:t xml:space="preserve"> employees who ordinarily work night shifts, or who work ordinarily on Sundays or Public Holidays and or whose duties require that they be on standby”.</w:t>
      </w:r>
    </w:p>
    <w:p w:rsidR="00FF4512" w:rsidRDefault="00FF4512" w:rsidP="00FF4512">
      <w:pPr>
        <w:spacing w:line="480" w:lineRule="auto"/>
        <w:jc w:val="both"/>
        <w:rPr>
          <w:rFonts w:ascii="Arial" w:hAnsi="Arial" w:cs="Arial"/>
          <w:sz w:val="20"/>
          <w:szCs w:val="20"/>
        </w:rPr>
      </w:pPr>
    </w:p>
    <w:p w:rsidR="0077556F" w:rsidRDefault="00754048" w:rsidP="00FF4512">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During the period December 2014 to May 2015, the appellants state that they were request</w:t>
      </w:r>
      <w:r w:rsidR="00606B6B">
        <w:rPr>
          <w:rFonts w:ascii="Arial" w:hAnsi="Arial" w:cs="Arial"/>
          <w:sz w:val="24"/>
          <w:szCs w:val="24"/>
        </w:rPr>
        <w:t>ed</w:t>
      </w:r>
      <w:r>
        <w:rPr>
          <w:rFonts w:ascii="Arial" w:hAnsi="Arial" w:cs="Arial"/>
          <w:sz w:val="24"/>
          <w:szCs w:val="24"/>
        </w:rPr>
        <w:t xml:space="preserve"> by the respondent </w:t>
      </w:r>
      <w:r w:rsidR="00A83987">
        <w:rPr>
          <w:rFonts w:ascii="Arial" w:hAnsi="Arial" w:cs="Arial"/>
          <w:sz w:val="24"/>
          <w:szCs w:val="24"/>
        </w:rPr>
        <w:t>to work overtime</w:t>
      </w:r>
      <w:r>
        <w:rPr>
          <w:rFonts w:ascii="Arial" w:hAnsi="Arial" w:cs="Arial"/>
          <w:sz w:val="24"/>
          <w:szCs w:val="24"/>
        </w:rPr>
        <w:t>.  They worked the required hours stipulated in the respondent’s policy which terms are consistent with their respective agreements.  Thereafter, the appellants submitted their claims from time to time.  The respondent failed to pay them after numerous requests from the appellant’s represen</w:t>
      </w:r>
      <w:r w:rsidR="00606B6B">
        <w:rPr>
          <w:rFonts w:ascii="Arial" w:hAnsi="Arial" w:cs="Arial"/>
          <w:sz w:val="24"/>
          <w:szCs w:val="24"/>
        </w:rPr>
        <w:t>tatives.  The response</w:t>
      </w:r>
      <w:r w:rsidR="00D234F5">
        <w:rPr>
          <w:rFonts w:ascii="Arial" w:hAnsi="Arial" w:cs="Arial"/>
          <w:sz w:val="24"/>
          <w:szCs w:val="24"/>
        </w:rPr>
        <w:t xml:space="preserve"> was </w:t>
      </w:r>
      <w:r>
        <w:rPr>
          <w:rFonts w:ascii="Arial" w:hAnsi="Arial" w:cs="Arial"/>
          <w:sz w:val="24"/>
          <w:szCs w:val="24"/>
        </w:rPr>
        <w:t>that the respondent had</w:t>
      </w:r>
      <w:r w:rsidR="00D32E48">
        <w:rPr>
          <w:rFonts w:ascii="Arial" w:hAnsi="Arial" w:cs="Arial"/>
          <w:sz w:val="24"/>
          <w:szCs w:val="24"/>
        </w:rPr>
        <w:t xml:space="preserve"> no</w:t>
      </w:r>
      <w:r>
        <w:rPr>
          <w:rFonts w:ascii="Arial" w:hAnsi="Arial" w:cs="Arial"/>
          <w:sz w:val="24"/>
          <w:szCs w:val="24"/>
        </w:rPr>
        <w:t xml:space="preserve"> money to pay for the overtime </w:t>
      </w:r>
      <w:r w:rsidR="00DD36F9">
        <w:rPr>
          <w:rFonts w:ascii="Arial" w:hAnsi="Arial" w:cs="Arial"/>
          <w:sz w:val="24"/>
          <w:szCs w:val="24"/>
        </w:rPr>
        <w:t xml:space="preserve">worked.  </w:t>
      </w:r>
      <w:r w:rsidR="001E0B5C">
        <w:rPr>
          <w:rFonts w:ascii="Arial" w:hAnsi="Arial" w:cs="Arial"/>
          <w:sz w:val="24"/>
          <w:szCs w:val="24"/>
        </w:rPr>
        <w:t>However, after some time the app</w:t>
      </w:r>
      <w:r w:rsidR="00D234F5">
        <w:rPr>
          <w:rFonts w:ascii="Arial" w:hAnsi="Arial" w:cs="Arial"/>
          <w:sz w:val="24"/>
          <w:szCs w:val="24"/>
        </w:rPr>
        <w:t xml:space="preserve">ellants were uniformily </w:t>
      </w:r>
      <w:r w:rsidR="001E0B5C">
        <w:rPr>
          <w:rFonts w:ascii="Arial" w:hAnsi="Arial" w:cs="Arial"/>
          <w:sz w:val="24"/>
          <w:szCs w:val="24"/>
        </w:rPr>
        <w:t>paid an amount of R12 000.00 each with a conc</w:t>
      </w:r>
      <w:r w:rsidR="00606B6B">
        <w:rPr>
          <w:rFonts w:ascii="Arial" w:hAnsi="Arial" w:cs="Arial"/>
          <w:sz w:val="24"/>
          <w:szCs w:val="24"/>
        </w:rPr>
        <w:t>omitant deduction of R6000.00</w:t>
      </w:r>
      <w:r w:rsidR="00D234F5">
        <w:rPr>
          <w:rFonts w:ascii="Arial" w:hAnsi="Arial" w:cs="Arial"/>
          <w:sz w:val="24"/>
          <w:szCs w:val="24"/>
        </w:rPr>
        <w:t>.  No breakdown</w:t>
      </w:r>
      <w:r w:rsidR="001E0B5C">
        <w:rPr>
          <w:rFonts w:ascii="Arial" w:hAnsi="Arial" w:cs="Arial"/>
          <w:sz w:val="24"/>
          <w:szCs w:val="24"/>
        </w:rPr>
        <w:t xml:space="preserve"> was given</w:t>
      </w:r>
      <w:r w:rsidR="00D234F5">
        <w:rPr>
          <w:rFonts w:ascii="Arial" w:hAnsi="Arial" w:cs="Arial"/>
          <w:sz w:val="24"/>
          <w:szCs w:val="24"/>
        </w:rPr>
        <w:t xml:space="preserve"> of the amount paid and</w:t>
      </w:r>
      <w:r w:rsidR="001E0B5C">
        <w:rPr>
          <w:rFonts w:ascii="Arial" w:hAnsi="Arial" w:cs="Arial"/>
          <w:sz w:val="24"/>
          <w:szCs w:val="24"/>
        </w:rPr>
        <w:t xml:space="preserve"> for the deduction despite numerous enquiries.</w:t>
      </w:r>
    </w:p>
    <w:p w:rsidR="0077556F" w:rsidRDefault="001E0B5C" w:rsidP="00FF4512">
      <w:pPr>
        <w:spacing w:line="48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The appellants allege that they incessantly visited the officials of the respondent, including the Human Resources Department for clarity, accountability and transparency on the amount each empl</w:t>
      </w:r>
      <w:r w:rsidR="00606B6B">
        <w:rPr>
          <w:rFonts w:ascii="Arial" w:hAnsi="Arial" w:cs="Arial"/>
          <w:sz w:val="24"/>
          <w:szCs w:val="24"/>
        </w:rPr>
        <w:t>oyee was</w:t>
      </w:r>
      <w:r>
        <w:rPr>
          <w:rFonts w:ascii="Arial" w:hAnsi="Arial" w:cs="Arial"/>
          <w:sz w:val="24"/>
          <w:szCs w:val="24"/>
        </w:rPr>
        <w:t xml:space="preserve"> entitled to for the overtime worked and needed an explanation about the R6000.00 de</w:t>
      </w:r>
      <w:r w:rsidR="00D32E48">
        <w:rPr>
          <w:rFonts w:ascii="Arial" w:hAnsi="Arial" w:cs="Arial"/>
          <w:sz w:val="24"/>
          <w:szCs w:val="24"/>
        </w:rPr>
        <w:t>duction</w:t>
      </w:r>
      <w:r>
        <w:rPr>
          <w:rFonts w:ascii="Arial" w:hAnsi="Arial" w:cs="Arial"/>
          <w:sz w:val="24"/>
          <w:szCs w:val="24"/>
        </w:rPr>
        <w:t>.  The contention by the appel</w:t>
      </w:r>
      <w:r w:rsidR="00606B6B">
        <w:rPr>
          <w:rFonts w:ascii="Arial" w:hAnsi="Arial" w:cs="Arial"/>
          <w:sz w:val="24"/>
          <w:szCs w:val="24"/>
        </w:rPr>
        <w:t>lants is that the respondent had</w:t>
      </w:r>
      <w:r>
        <w:rPr>
          <w:rFonts w:ascii="Arial" w:hAnsi="Arial" w:cs="Arial"/>
          <w:sz w:val="24"/>
          <w:szCs w:val="24"/>
        </w:rPr>
        <w:t xml:space="preserve"> not only </w:t>
      </w:r>
      <w:r w:rsidR="00606B6B">
        <w:rPr>
          <w:rFonts w:ascii="Arial" w:hAnsi="Arial" w:cs="Arial"/>
          <w:sz w:val="24"/>
          <w:szCs w:val="24"/>
        </w:rPr>
        <w:t>failed to fully pay them but</w:t>
      </w:r>
      <w:r>
        <w:rPr>
          <w:rFonts w:ascii="Arial" w:hAnsi="Arial" w:cs="Arial"/>
          <w:sz w:val="24"/>
          <w:szCs w:val="24"/>
        </w:rPr>
        <w:t xml:space="preserve"> also failed to accoun</w:t>
      </w:r>
      <w:r w:rsidR="00606B6B">
        <w:rPr>
          <w:rFonts w:ascii="Arial" w:hAnsi="Arial" w:cs="Arial"/>
          <w:sz w:val="24"/>
          <w:szCs w:val="24"/>
        </w:rPr>
        <w:t>t to them</w:t>
      </w:r>
      <w:r w:rsidR="0077556F">
        <w:rPr>
          <w:rFonts w:ascii="Arial" w:hAnsi="Arial" w:cs="Arial"/>
          <w:sz w:val="24"/>
          <w:szCs w:val="24"/>
        </w:rPr>
        <w:t>.</w:t>
      </w:r>
    </w:p>
    <w:p w:rsidR="0077556F" w:rsidRDefault="0077556F" w:rsidP="00FF4512">
      <w:pPr>
        <w:spacing w:line="480" w:lineRule="auto"/>
        <w:jc w:val="both"/>
        <w:rPr>
          <w:rFonts w:ascii="Arial" w:hAnsi="Arial" w:cs="Arial"/>
          <w:sz w:val="24"/>
          <w:szCs w:val="24"/>
        </w:rPr>
      </w:pPr>
    </w:p>
    <w:p w:rsidR="00A55523" w:rsidRDefault="00A55523" w:rsidP="00FF4512">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appellant’s pinned their application on the provisions of section</w:t>
      </w:r>
      <w:r w:rsidR="008C752D">
        <w:rPr>
          <w:rFonts w:ascii="Arial" w:hAnsi="Arial" w:cs="Arial"/>
          <w:sz w:val="24"/>
          <w:szCs w:val="24"/>
        </w:rPr>
        <w:t>s</w:t>
      </w:r>
      <w:r>
        <w:rPr>
          <w:rFonts w:ascii="Arial" w:hAnsi="Arial" w:cs="Arial"/>
          <w:sz w:val="24"/>
          <w:szCs w:val="24"/>
        </w:rPr>
        <w:t xml:space="preserve"> 10, 32 32(3)(a), 33(1)(g) and 35 of the Basic Conditions of the Employment Act 75 of 1997</w:t>
      </w:r>
      <w:r w:rsidR="008C752D">
        <w:rPr>
          <w:rFonts w:ascii="Arial" w:hAnsi="Arial" w:cs="Arial"/>
          <w:sz w:val="24"/>
          <w:szCs w:val="24"/>
        </w:rPr>
        <w:t xml:space="preserve"> </w:t>
      </w:r>
      <w:r w:rsidR="00606B6B">
        <w:rPr>
          <w:rFonts w:ascii="Arial" w:hAnsi="Arial" w:cs="Arial"/>
          <w:sz w:val="24"/>
          <w:szCs w:val="24"/>
        </w:rPr>
        <w:t>(</w:t>
      </w:r>
      <w:r w:rsidR="000A2D2C">
        <w:rPr>
          <w:rFonts w:ascii="Arial" w:hAnsi="Arial" w:cs="Arial"/>
          <w:sz w:val="24"/>
          <w:szCs w:val="24"/>
        </w:rPr>
        <w:t>BCE</w:t>
      </w:r>
      <w:r w:rsidR="008C752D">
        <w:rPr>
          <w:rFonts w:ascii="Arial" w:hAnsi="Arial" w:cs="Arial"/>
          <w:sz w:val="24"/>
          <w:szCs w:val="24"/>
        </w:rPr>
        <w:t>A</w:t>
      </w:r>
      <w:r w:rsidR="00606B6B">
        <w:rPr>
          <w:rFonts w:ascii="Arial" w:hAnsi="Arial" w:cs="Arial"/>
          <w:sz w:val="24"/>
          <w:szCs w:val="24"/>
        </w:rPr>
        <w:t>)</w:t>
      </w:r>
      <w:r>
        <w:rPr>
          <w:rFonts w:ascii="Arial" w:hAnsi="Arial" w:cs="Arial"/>
          <w:sz w:val="24"/>
          <w:szCs w:val="24"/>
        </w:rPr>
        <w:t xml:space="preserve"> and</w:t>
      </w:r>
      <w:r w:rsidR="00D234F5">
        <w:rPr>
          <w:rFonts w:ascii="Arial" w:hAnsi="Arial" w:cs="Arial"/>
          <w:sz w:val="24"/>
          <w:szCs w:val="24"/>
        </w:rPr>
        <w:t xml:space="preserve"> section</w:t>
      </w:r>
      <w:r>
        <w:rPr>
          <w:rFonts w:ascii="Arial" w:hAnsi="Arial" w:cs="Arial"/>
          <w:sz w:val="24"/>
          <w:szCs w:val="24"/>
        </w:rPr>
        <w:t xml:space="preserve"> 195 of the Constitution of the Repub</w:t>
      </w:r>
      <w:r w:rsidR="008C752D">
        <w:rPr>
          <w:rFonts w:ascii="Arial" w:hAnsi="Arial" w:cs="Arial"/>
          <w:sz w:val="24"/>
          <w:szCs w:val="24"/>
        </w:rPr>
        <w:t>lic of South Africa 106 of 1996 (the Constitution).</w:t>
      </w:r>
    </w:p>
    <w:p w:rsidR="00A55523" w:rsidRDefault="00A55523" w:rsidP="00FF4512">
      <w:pPr>
        <w:spacing w:line="480" w:lineRule="auto"/>
        <w:jc w:val="both"/>
        <w:rPr>
          <w:rFonts w:ascii="Arial" w:hAnsi="Arial" w:cs="Arial"/>
          <w:sz w:val="24"/>
          <w:szCs w:val="24"/>
        </w:rPr>
      </w:pPr>
    </w:p>
    <w:p w:rsidR="00A55523" w:rsidRDefault="00A55523" w:rsidP="00FF4512">
      <w:pPr>
        <w:spacing w:line="480" w:lineRule="auto"/>
        <w:jc w:val="both"/>
        <w:rPr>
          <w:rFonts w:ascii="Arial" w:hAnsi="Arial" w:cs="Arial"/>
          <w:b/>
          <w:sz w:val="24"/>
          <w:szCs w:val="24"/>
        </w:rPr>
      </w:pPr>
      <w:r>
        <w:rPr>
          <w:rFonts w:ascii="Arial" w:hAnsi="Arial" w:cs="Arial"/>
          <w:b/>
          <w:sz w:val="24"/>
          <w:szCs w:val="24"/>
        </w:rPr>
        <w:t>C.</w:t>
      </w:r>
      <w:r>
        <w:rPr>
          <w:rFonts w:ascii="Arial" w:hAnsi="Arial" w:cs="Arial"/>
          <w:b/>
          <w:sz w:val="24"/>
          <w:szCs w:val="24"/>
        </w:rPr>
        <w:tab/>
      </w:r>
      <w:r>
        <w:rPr>
          <w:rFonts w:ascii="Arial" w:hAnsi="Arial" w:cs="Arial"/>
          <w:b/>
          <w:sz w:val="24"/>
          <w:szCs w:val="24"/>
          <w:u w:val="single"/>
        </w:rPr>
        <w:t>The respondent’s case</w:t>
      </w:r>
      <w:r>
        <w:rPr>
          <w:rFonts w:ascii="Arial" w:hAnsi="Arial" w:cs="Arial"/>
          <w:b/>
          <w:sz w:val="24"/>
          <w:szCs w:val="24"/>
        </w:rPr>
        <w:t>:</w:t>
      </w:r>
    </w:p>
    <w:p w:rsidR="006B0666" w:rsidRDefault="00606B6B" w:rsidP="00FF4512">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respondent</w:t>
      </w:r>
      <w:r w:rsidR="00A55523">
        <w:rPr>
          <w:rFonts w:ascii="Arial" w:hAnsi="Arial" w:cs="Arial"/>
          <w:sz w:val="24"/>
          <w:szCs w:val="24"/>
        </w:rPr>
        <w:t xml:space="preserve"> contends that the appellants have been fully paid (as per</w:t>
      </w:r>
      <w:r>
        <w:rPr>
          <w:rFonts w:ascii="Arial" w:hAnsi="Arial" w:cs="Arial"/>
          <w:sz w:val="24"/>
          <w:szCs w:val="24"/>
        </w:rPr>
        <w:t xml:space="preserve"> their</w:t>
      </w:r>
      <w:r w:rsidR="00A55523">
        <w:rPr>
          <w:rFonts w:ascii="Arial" w:hAnsi="Arial" w:cs="Arial"/>
          <w:sz w:val="24"/>
          <w:szCs w:val="24"/>
        </w:rPr>
        <w:t xml:space="preserve"> salary slip</w:t>
      </w:r>
      <w:r>
        <w:rPr>
          <w:rFonts w:ascii="Arial" w:hAnsi="Arial" w:cs="Arial"/>
          <w:sz w:val="24"/>
          <w:szCs w:val="24"/>
        </w:rPr>
        <w:t xml:space="preserve">s) what was due </w:t>
      </w:r>
      <w:r w:rsidR="00A55523">
        <w:rPr>
          <w:rFonts w:ascii="Arial" w:hAnsi="Arial" w:cs="Arial"/>
          <w:sz w:val="24"/>
          <w:szCs w:val="24"/>
        </w:rPr>
        <w:t>in terms of the overtime w</w:t>
      </w:r>
      <w:r w:rsidR="0094785A">
        <w:rPr>
          <w:rFonts w:ascii="Arial" w:hAnsi="Arial" w:cs="Arial"/>
          <w:sz w:val="24"/>
          <w:szCs w:val="24"/>
        </w:rPr>
        <w:t xml:space="preserve">orked and has accounted </w:t>
      </w:r>
      <w:r w:rsidR="00A55523">
        <w:rPr>
          <w:rFonts w:ascii="Arial" w:hAnsi="Arial" w:cs="Arial"/>
          <w:sz w:val="24"/>
          <w:szCs w:val="24"/>
        </w:rPr>
        <w:t xml:space="preserve">on </w:t>
      </w:r>
      <w:r w:rsidR="0094785A">
        <w:rPr>
          <w:rFonts w:ascii="Arial" w:hAnsi="Arial" w:cs="Arial"/>
          <w:sz w:val="24"/>
          <w:szCs w:val="24"/>
        </w:rPr>
        <w:t>h</w:t>
      </w:r>
      <w:r w:rsidR="00A55523">
        <w:rPr>
          <w:rFonts w:ascii="Arial" w:hAnsi="Arial" w:cs="Arial"/>
          <w:sz w:val="24"/>
          <w:szCs w:val="24"/>
        </w:rPr>
        <w:t>ow the calcul</w:t>
      </w:r>
      <w:r w:rsidR="0094785A">
        <w:rPr>
          <w:rFonts w:ascii="Arial" w:hAnsi="Arial" w:cs="Arial"/>
          <w:sz w:val="24"/>
          <w:szCs w:val="24"/>
        </w:rPr>
        <w:t>ation was</w:t>
      </w:r>
      <w:r>
        <w:rPr>
          <w:rFonts w:ascii="Arial" w:hAnsi="Arial" w:cs="Arial"/>
          <w:sz w:val="24"/>
          <w:szCs w:val="24"/>
        </w:rPr>
        <w:t xml:space="preserve"> made</w:t>
      </w:r>
      <w:r w:rsidR="00A55523">
        <w:rPr>
          <w:rFonts w:ascii="Arial" w:hAnsi="Arial" w:cs="Arial"/>
          <w:sz w:val="24"/>
          <w:szCs w:val="24"/>
        </w:rPr>
        <w:t xml:space="preserve">.  Furthermore, the contention is that Mrs Nwabisa </w:t>
      </w:r>
      <w:r w:rsidR="00A53F10">
        <w:rPr>
          <w:rFonts w:ascii="Arial" w:hAnsi="Arial" w:cs="Arial"/>
          <w:sz w:val="24"/>
          <w:szCs w:val="24"/>
        </w:rPr>
        <w:t>Q</w:t>
      </w:r>
      <w:r w:rsidR="00A55523">
        <w:rPr>
          <w:rFonts w:ascii="Arial" w:hAnsi="Arial" w:cs="Arial"/>
          <w:sz w:val="24"/>
          <w:szCs w:val="24"/>
        </w:rPr>
        <w:t>hayiso</w:t>
      </w:r>
      <w:r w:rsidR="0069619C">
        <w:rPr>
          <w:rFonts w:ascii="Arial" w:hAnsi="Arial" w:cs="Arial"/>
          <w:sz w:val="24"/>
          <w:szCs w:val="24"/>
        </w:rPr>
        <w:t xml:space="preserve"> </w:t>
      </w:r>
      <w:r w:rsidR="00A55523">
        <w:rPr>
          <w:rFonts w:ascii="Arial" w:hAnsi="Arial" w:cs="Arial"/>
          <w:sz w:val="24"/>
          <w:szCs w:val="24"/>
        </w:rPr>
        <w:t>–</w:t>
      </w:r>
      <w:r w:rsidR="0069619C">
        <w:rPr>
          <w:rFonts w:ascii="Arial" w:hAnsi="Arial" w:cs="Arial"/>
          <w:sz w:val="24"/>
          <w:szCs w:val="24"/>
        </w:rPr>
        <w:t xml:space="preserve"> </w:t>
      </w:r>
      <w:r w:rsidR="00A55523">
        <w:rPr>
          <w:rFonts w:ascii="Arial" w:hAnsi="Arial" w:cs="Arial"/>
          <w:sz w:val="24"/>
          <w:szCs w:val="24"/>
        </w:rPr>
        <w:t xml:space="preserve">Giwu, the Manager Expenditure, </w:t>
      </w:r>
      <w:r w:rsidR="00A53F10">
        <w:rPr>
          <w:rFonts w:ascii="Arial" w:hAnsi="Arial" w:cs="Arial"/>
          <w:sz w:val="24"/>
          <w:szCs w:val="24"/>
        </w:rPr>
        <w:t>explained fully to the</w:t>
      </w:r>
      <w:r>
        <w:rPr>
          <w:rFonts w:ascii="Arial" w:hAnsi="Arial" w:cs="Arial"/>
          <w:sz w:val="24"/>
          <w:szCs w:val="24"/>
        </w:rPr>
        <w:t xml:space="preserve"> appellants’</w:t>
      </w:r>
      <w:r w:rsidR="00A53F10">
        <w:rPr>
          <w:rFonts w:ascii="Arial" w:hAnsi="Arial" w:cs="Arial"/>
          <w:sz w:val="24"/>
          <w:szCs w:val="24"/>
        </w:rPr>
        <w:t xml:space="preserve"> represe</w:t>
      </w:r>
      <w:r>
        <w:rPr>
          <w:rFonts w:ascii="Arial" w:hAnsi="Arial" w:cs="Arial"/>
          <w:sz w:val="24"/>
          <w:szCs w:val="24"/>
        </w:rPr>
        <w:t>ntatives</w:t>
      </w:r>
      <w:r w:rsidR="00FF7BD1">
        <w:rPr>
          <w:rFonts w:ascii="Arial" w:hAnsi="Arial" w:cs="Arial"/>
          <w:sz w:val="24"/>
          <w:szCs w:val="24"/>
        </w:rPr>
        <w:t xml:space="preserve"> how th</w:t>
      </w:r>
      <w:r w:rsidR="00F70F32">
        <w:rPr>
          <w:rFonts w:ascii="Arial" w:hAnsi="Arial" w:cs="Arial"/>
          <w:sz w:val="24"/>
          <w:szCs w:val="24"/>
        </w:rPr>
        <w:t>e calculation</w:t>
      </w:r>
      <w:r w:rsidR="00FF7BD1">
        <w:rPr>
          <w:rFonts w:ascii="Arial" w:hAnsi="Arial" w:cs="Arial"/>
          <w:sz w:val="24"/>
          <w:szCs w:val="24"/>
        </w:rPr>
        <w:t xml:space="preserve"> was made and the rate applicable.  </w:t>
      </w:r>
      <w:r w:rsidR="00A53F10">
        <w:rPr>
          <w:rFonts w:ascii="Arial" w:hAnsi="Arial" w:cs="Arial"/>
          <w:sz w:val="24"/>
          <w:szCs w:val="24"/>
        </w:rPr>
        <w:t>The respondent argues tha</w:t>
      </w:r>
      <w:r w:rsidR="00FF7BD1">
        <w:rPr>
          <w:rFonts w:ascii="Arial" w:hAnsi="Arial" w:cs="Arial"/>
          <w:sz w:val="24"/>
          <w:szCs w:val="24"/>
        </w:rPr>
        <w:t>t if the appellants sought the respondent to</w:t>
      </w:r>
      <w:r w:rsidR="00A53F10">
        <w:rPr>
          <w:rFonts w:ascii="Arial" w:hAnsi="Arial" w:cs="Arial"/>
          <w:sz w:val="24"/>
          <w:szCs w:val="24"/>
        </w:rPr>
        <w:t xml:space="preserve"> furnish them with the written information relating to the overtime worked, they should have followed the procedures prescribed by the Promotion of Access to Information Act</w:t>
      </w:r>
      <w:r w:rsidR="0069619C">
        <w:rPr>
          <w:rFonts w:ascii="Arial" w:hAnsi="Arial" w:cs="Arial"/>
          <w:sz w:val="24"/>
          <w:szCs w:val="24"/>
        </w:rPr>
        <w:t xml:space="preserve"> 2 of 2002 (PAIA</w:t>
      </w:r>
      <w:r w:rsidR="00A53F10">
        <w:rPr>
          <w:rFonts w:ascii="Arial" w:hAnsi="Arial" w:cs="Arial"/>
          <w:sz w:val="24"/>
          <w:szCs w:val="24"/>
        </w:rPr>
        <w:t>) and were so advised by Mrs Qhayiso</w:t>
      </w:r>
      <w:r w:rsidR="0069619C">
        <w:rPr>
          <w:rFonts w:ascii="Arial" w:hAnsi="Arial" w:cs="Arial"/>
          <w:sz w:val="24"/>
          <w:szCs w:val="24"/>
        </w:rPr>
        <w:t xml:space="preserve"> </w:t>
      </w:r>
      <w:r w:rsidR="00A53F10">
        <w:rPr>
          <w:rFonts w:ascii="Arial" w:hAnsi="Arial" w:cs="Arial"/>
          <w:sz w:val="24"/>
          <w:szCs w:val="24"/>
        </w:rPr>
        <w:t>-</w:t>
      </w:r>
      <w:r w:rsidR="0069619C">
        <w:rPr>
          <w:rFonts w:ascii="Arial" w:hAnsi="Arial" w:cs="Arial"/>
          <w:sz w:val="24"/>
          <w:szCs w:val="24"/>
        </w:rPr>
        <w:t xml:space="preserve"> </w:t>
      </w:r>
      <w:r w:rsidR="00A53F10">
        <w:rPr>
          <w:rFonts w:ascii="Arial" w:hAnsi="Arial" w:cs="Arial"/>
          <w:sz w:val="24"/>
          <w:szCs w:val="24"/>
        </w:rPr>
        <w:t>Giw</w:t>
      </w:r>
      <w:r w:rsidR="00FF7BD1">
        <w:rPr>
          <w:rFonts w:ascii="Arial" w:hAnsi="Arial" w:cs="Arial"/>
          <w:sz w:val="24"/>
          <w:szCs w:val="24"/>
        </w:rPr>
        <w:t>u.  Furthermore, the respondent</w:t>
      </w:r>
      <w:r w:rsidR="00A53F10">
        <w:rPr>
          <w:rFonts w:ascii="Arial" w:hAnsi="Arial" w:cs="Arial"/>
          <w:sz w:val="24"/>
          <w:szCs w:val="24"/>
        </w:rPr>
        <w:t xml:space="preserve"> argues that the appellants failed to exhaust the internal remedies within the respondent’s establishment in terms of the Municipal Systems Act 32 of 2002 the provisions of which allow the Municipal Council </w:t>
      </w:r>
      <w:r w:rsidR="00A53F10">
        <w:rPr>
          <w:rFonts w:ascii="Arial" w:hAnsi="Arial" w:cs="Arial"/>
          <w:sz w:val="24"/>
          <w:szCs w:val="24"/>
        </w:rPr>
        <w:lastRenderedPageBreak/>
        <w:t>to overturn a decision by the Municipal Manager.</w:t>
      </w:r>
      <w:r w:rsidR="0094785A">
        <w:rPr>
          <w:rFonts w:ascii="Arial" w:hAnsi="Arial" w:cs="Arial"/>
          <w:sz w:val="24"/>
          <w:szCs w:val="24"/>
        </w:rPr>
        <w:t xml:space="preserve">  In </w:t>
      </w:r>
      <w:r w:rsidR="000F658B">
        <w:rPr>
          <w:rFonts w:ascii="Arial" w:hAnsi="Arial" w:cs="Arial"/>
          <w:sz w:val="24"/>
          <w:szCs w:val="24"/>
        </w:rPr>
        <w:t>essence,</w:t>
      </w:r>
      <w:r w:rsidR="0094785A">
        <w:rPr>
          <w:rFonts w:ascii="Arial" w:hAnsi="Arial" w:cs="Arial"/>
          <w:sz w:val="24"/>
          <w:szCs w:val="24"/>
        </w:rPr>
        <w:t xml:space="preserve"> the respondents do not dispute that the appellants </w:t>
      </w:r>
      <w:r w:rsidR="00FF7BD1">
        <w:rPr>
          <w:rFonts w:ascii="Arial" w:hAnsi="Arial" w:cs="Arial"/>
          <w:sz w:val="24"/>
          <w:szCs w:val="24"/>
        </w:rPr>
        <w:t>are entitled to the calculation and the abatement of their overtime account</w:t>
      </w:r>
      <w:r w:rsidR="006B0666">
        <w:rPr>
          <w:rFonts w:ascii="Arial" w:hAnsi="Arial" w:cs="Arial"/>
          <w:sz w:val="24"/>
          <w:szCs w:val="24"/>
        </w:rPr>
        <w:t xml:space="preserve">. </w:t>
      </w:r>
    </w:p>
    <w:p w:rsidR="006B0666" w:rsidRDefault="006B0666" w:rsidP="00FF4512">
      <w:pPr>
        <w:spacing w:line="480" w:lineRule="auto"/>
        <w:jc w:val="both"/>
        <w:rPr>
          <w:rFonts w:ascii="Arial" w:hAnsi="Arial" w:cs="Arial"/>
          <w:sz w:val="24"/>
          <w:szCs w:val="24"/>
        </w:rPr>
      </w:pPr>
    </w:p>
    <w:p w:rsidR="00AA16DD" w:rsidRPr="006B0666" w:rsidRDefault="00AA16DD" w:rsidP="00FF4512">
      <w:pPr>
        <w:spacing w:line="480" w:lineRule="auto"/>
        <w:jc w:val="both"/>
        <w:rPr>
          <w:rFonts w:ascii="Arial" w:hAnsi="Arial" w:cs="Arial"/>
          <w:sz w:val="24"/>
          <w:szCs w:val="24"/>
        </w:rPr>
      </w:pPr>
      <w:r>
        <w:rPr>
          <w:rFonts w:ascii="Arial" w:hAnsi="Arial" w:cs="Arial"/>
          <w:b/>
          <w:sz w:val="24"/>
          <w:szCs w:val="24"/>
        </w:rPr>
        <w:t>D.</w:t>
      </w:r>
      <w:r>
        <w:rPr>
          <w:rFonts w:ascii="Arial" w:hAnsi="Arial" w:cs="Arial"/>
          <w:b/>
          <w:sz w:val="24"/>
          <w:szCs w:val="24"/>
        </w:rPr>
        <w:tab/>
      </w:r>
      <w:r w:rsidRPr="00AA16DD">
        <w:rPr>
          <w:rFonts w:ascii="Arial" w:hAnsi="Arial" w:cs="Arial"/>
          <w:b/>
          <w:sz w:val="24"/>
          <w:szCs w:val="24"/>
          <w:u w:val="single"/>
        </w:rPr>
        <w:t>The issue</w:t>
      </w:r>
      <w:r>
        <w:rPr>
          <w:rFonts w:ascii="Arial" w:hAnsi="Arial" w:cs="Arial"/>
          <w:b/>
          <w:sz w:val="24"/>
          <w:szCs w:val="24"/>
        </w:rPr>
        <w:t>:</w:t>
      </w:r>
    </w:p>
    <w:p w:rsidR="00E07258" w:rsidRDefault="00AA16DD" w:rsidP="00FF4512">
      <w:pPr>
        <w:spacing w:line="480" w:lineRule="auto"/>
        <w:jc w:val="both"/>
        <w:rPr>
          <w:rFonts w:ascii="Arial" w:hAnsi="Arial" w:cs="Arial"/>
          <w:sz w:val="24"/>
          <w:szCs w:val="24"/>
        </w:rPr>
      </w:pPr>
      <w:r>
        <w:rPr>
          <w:rFonts w:ascii="Arial" w:hAnsi="Arial" w:cs="Arial"/>
          <w:sz w:val="24"/>
          <w:szCs w:val="24"/>
        </w:rPr>
        <w:t>[7</w:t>
      </w:r>
      <w:r w:rsidR="00D234F5">
        <w:rPr>
          <w:rFonts w:ascii="Arial" w:hAnsi="Arial" w:cs="Arial"/>
          <w:sz w:val="24"/>
          <w:szCs w:val="24"/>
        </w:rPr>
        <w:t>]</w:t>
      </w:r>
      <w:r w:rsidR="00D234F5">
        <w:rPr>
          <w:rFonts w:ascii="Arial" w:hAnsi="Arial" w:cs="Arial"/>
          <w:sz w:val="24"/>
          <w:szCs w:val="24"/>
        </w:rPr>
        <w:tab/>
        <w:t>The issue as crystallised</w:t>
      </w:r>
      <w:r>
        <w:rPr>
          <w:rFonts w:ascii="Arial" w:hAnsi="Arial" w:cs="Arial"/>
          <w:sz w:val="24"/>
          <w:szCs w:val="24"/>
        </w:rPr>
        <w:t xml:space="preserve"> in the founding and replying affidavit is that the appellants seek the respondent to account to the</w:t>
      </w:r>
      <w:r w:rsidR="00D234F5">
        <w:rPr>
          <w:rFonts w:ascii="Arial" w:hAnsi="Arial" w:cs="Arial"/>
          <w:sz w:val="24"/>
          <w:szCs w:val="24"/>
        </w:rPr>
        <w:t>m</w:t>
      </w:r>
      <w:r>
        <w:rPr>
          <w:rFonts w:ascii="Arial" w:hAnsi="Arial" w:cs="Arial"/>
          <w:sz w:val="24"/>
          <w:szCs w:val="24"/>
        </w:rPr>
        <w:t xml:space="preserve"> and if there is money due, then in that event, it be paid to the appellants</w:t>
      </w:r>
      <w:r w:rsidR="004D45CE">
        <w:rPr>
          <w:rStyle w:val="FootnoteReference"/>
          <w:rFonts w:ascii="Arial" w:hAnsi="Arial" w:cs="Arial"/>
          <w:sz w:val="24"/>
          <w:szCs w:val="24"/>
        </w:rPr>
        <w:footnoteReference w:id="1"/>
      </w:r>
      <w:r>
        <w:rPr>
          <w:rFonts w:ascii="Arial" w:hAnsi="Arial" w:cs="Arial"/>
          <w:sz w:val="24"/>
          <w:szCs w:val="24"/>
        </w:rPr>
        <w:t>.</w:t>
      </w:r>
      <w:r w:rsidR="00033AAA">
        <w:rPr>
          <w:rFonts w:ascii="Arial" w:hAnsi="Arial" w:cs="Arial"/>
          <w:sz w:val="24"/>
          <w:szCs w:val="24"/>
        </w:rPr>
        <w:t xml:space="preserve"> </w:t>
      </w:r>
    </w:p>
    <w:p w:rsidR="00E07258" w:rsidRDefault="00E07258" w:rsidP="00FF4512">
      <w:pPr>
        <w:spacing w:line="480" w:lineRule="auto"/>
        <w:jc w:val="both"/>
        <w:rPr>
          <w:rFonts w:ascii="Arial" w:hAnsi="Arial" w:cs="Arial"/>
          <w:sz w:val="24"/>
          <w:szCs w:val="24"/>
        </w:rPr>
      </w:pPr>
    </w:p>
    <w:p w:rsidR="00033AAA" w:rsidRDefault="00E07258" w:rsidP="00FF4512">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It is necessary to emphasise the long established principle that a litigant stands or fails by the case presented in the application papers.  A claim that is before court is a matter of fact.  Once a claim of a particular nature is presented in the papers then the court must deal with it accordingly.  It is not open to the opponent nor the court to disregard the claim asserted in the papers and deal or decide the matter on a different basis.  It is wrong to engage in </w:t>
      </w:r>
      <w:r>
        <w:rPr>
          <w:rFonts w:ascii="Arial" w:hAnsi="Arial" w:cs="Arial"/>
          <w:i/>
          <w:sz w:val="24"/>
          <w:szCs w:val="24"/>
        </w:rPr>
        <w:t xml:space="preserve">‘an alchemical process’ </w:t>
      </w:r>
      <w:r>
        <w:rPr>
          <w:rFonts w:ascii="Arial" w:hAnsi="Arial" w:cs="Arial"/>
          <w:sz w:val="24"/>
          <w:szCs w:val="24"/>
        </w:rPr>
        <w:t>that purports to convert the claim asserted into a claim of another kind</w:t>
      </w:r>
      <w:r>
        <w:rPr>
          <w:rStyle w:val="FootnoteReference"/>
          <w:rFonts w:ascii="Arial" w:hAnsi="Arial" w:cs="Arial"/>
          <w:sz w:val="24"/>
          <w:szCs w:val="24"/>
        </w:rPr>
        <w:footnoteReference w:id="2"/>
      </w:r>
      <w:r>
        <w:rPr>
          <w:rFonts w:ascii="Arial" w:hAnsi="Arial" w:cs="Arial"/>
          <w:sz w:val="24"/>
          <w:szCs w:val="24"/>
        </w:rPr>
        <w:t>.</w:t>
      </w:r>
      <w:r w:rsidR="00033AAA">
        <w:rPr>
          <w:rFonts w:ascii="Arial" w:hAnsi="Arial" w:cs="Arial"/>
          <w:sz w:val="24"/>
          <w:szCs w:val="24"/>
        </w:rPr>
        <w:t xml:space="preserve"> </w:t>
      </w:r>
    </w:p>
    <w:p w:rsidR="00EB7BBF" w:rsidRDefault="00EB7BBF" w:rsidP="00FF4512">
      <w:pPr>
        <w:spacing w:line="480" w:lineRule="auto"/>
        <w:jc w:val="both"/>
        <w:rPr>
          <w:rFonts w:ascii="Arial" w:hAnsi="Arial" w:cs="Arial"/>
          <w:sz w:val="24"/>
          <w:szCs w:val="24"/>
        </w:rPr>
      </w:pPr>
    </w:p>
    <w:p w:rsidR="00EB7BBF" w:rsidRDefault="00EB7BBF" w:rsidP="00FF4512">
      <w:pPr>
        <w:spacing w:line="480" w:lineRule="auto"/>
        <w:jc w:val="both"/>
        <w:rPr>
          <w:rFonts w:ascii="Arial" w:hAnsi="Arial" w:cs="Arial"/>
          <w:b/>
          <w:sz w:val="24"/>
          <w:szCs w:val="24"/>
        </w:rPr>
      </w:pPr>
      <w:r>
        <w:rPr>
          <w:rFonts w:ascii="Arial" w:hAnsi="Arial" w:cs="Arial"/>
          <w:b/>
          <w:sz w:val="24"/>
          <w:szCs w:val="24"/>
        </w:rPr>
        <w:t>E.</w:t>
      </w:r>
      <w:r>
        <w:rPr>
          <w:rFonts w:ascii="Arial" w:hAnsi="Arial" w:cs="Arial"/>
          <w:b/>
          <w:sz w:val="24"/>
          <w:szCs w:val="24"/>
        </w:rPr>
        <w:tab/>
      </w:r>
      <w:r>
        <w:rPr>
          <w:rFonts w:ascii="Arial" w:hAnsi="Arial" w:cs="Arial"/>
          <w:b/>
          <w:sz w:val="24"/>
          <w:szCs w:val="24"/>
          <w:u w:val="single"/>
        </w:rPr>
        <w:t>Analysis</w:t>
      </w:r>
      <w:r>
        <w:rPr>
          <w:rFonts w:ascii="Arial" w:hAnsi="Arial" w:cs="Arial"/>
          <w:b/>
          <w:sz w:val="24"/>
          <w:szCs w:val="24"/>
        </w:rPr>
        <w:t>:</w:t>
      </w:r>
    </w:p>
    <w:p w:rsidR="00EB7BBF" w:rsidRPr="00BE4DF5" w:rsidRDefault="00EB7BBF" w:rsidP="00FF4512">
      <w:pPr>
        <w:spacing w:line="48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 xml:space="preserve">The cause of action asserted by the appellant is based on contract as stated in paragraph 2 above.  The appellants required the respondent to account and debate to them.  The object of a claim for an account and debate is to enable the appellants to establish the indebtness of the respondent to them.  The application is for the delivery of an account, a debate, and payment of the amount found to be due, if any.  A final order cannot issue </w:t>
      </w:r>
      <w:r w:rsidR="00BE4DF5">
        <w:rPr>
          <w:rFonts w:ascii="Arial" w:hAnsi="Arial" w:cs="Arial"/>
          <w:sz w:val="24"/>
          <w:szCs w:val="24"/>
        </w:rPr>
        <w:t>before, debatement</w:t>
      </w:r>
      <w:r w:rsidR="00BE4DF5">
        <w:rPr>
          <w:rStyle w:val="FootnoteReference"/>
          <w:rFonts w:ascii="Arial" w:hAnsi="Arial" w:cs="Arial"/>
          <w:sz w:val="24"/>
          <w:szCs w:val="24"/>
        </w:rPr>
        <w:footnoteReference w:id="3"/>
      </w:r>
      <w:r w:rsidR="00BE4DF5">
        <w:rPr>
          <w:rFonts w:ascii="Arial" w:hAnsi="Arial" w:cs="Arial"/>
          <w:sz w:val="24"/>
          <w:szCs w:val="24"/>
        </w:rPr>
        <w:t xml:space="preserve">.  Harms JA in </w:t>
      </w:r>
      <w:r w:rsidR="00BE4DF5">
        <w:rPr>
          <w:rFonts w:ascii="Arial" w:hAnsi="Arial" w:cs="Arial"/>
          <w:i/>
          <w:sz w:val="24"/>
          <w:szCs w:val="24"/>
        </w:rPr>
        <w:t>Doyle and Another vs Fleet Motors P.E. (Pty) Ltd</w:t>
      </w:r>
      <w:r w:rsidR="00BE4DF5" w:rsidRPr="00CB7007">
        <w:rPr>
          <w:rStyle w:val="FootnoteReference"/>
          <w:rFonts w:ascii="Arial" w:hAnsi="Arial" w:cs="Arial"/>
          <w:sz w:val="24"/>
          <w:szCs w:val="24"/>
        </w:rPr>
        <w:footnoteReference w:id="4"/>
      </w:r>
      <w:r w:rsidR="00BE4DF5">
        <w:rPr>
          <w:rFonts w:ascii="Arial" w:hAnsi="Arial" w:cs="Arial"/>
          <w:i/>
          <w:sz w:val="24"/>
          <w:szCs w:val="24"/>
        </w:rPr>
        <w:t xml:space="preserve"> </w:t>
      </w:r>
      <w:r w:rsidR="0060411B">
        <w:rPr>
          <w:rFonts w:ascii="Arial" w:hAnsi="Arial" w:cs="Arial"/>
          <w:sz w:val="24"/>
          <w:szCs w:val="24"/>
        </w:rPr>
        <w:t xml:space="preserve">formulated the following allegations that the plaintiff must prove in order to establish his right to accounting and debatement.  </w:t>
      </w:r>
    </w:p>
    <w:p w:rsidR="006E5459" w:rsidRDefault="006E5459" w:rsidP="00EC71D3">
      <w:pPr>
        <w:spacing w:line="480" w:lineRule="auto"/>
        <w:ind w:left="1440" w:hanging="660"/>
        <w:jc w:val="both"/>
        <w:rPr>
          <w:rFonts w:ascii="Arial" w:hAnsi="Arial" w:cs="Arial"/>
          <w:sz w:val="24"/>
          <w:szCs w:val="24"/>
        </w:rPr>
      </w:pPr>
      <w:r>
        <w:rPr>
          <w:rFonts w:ascii="Arial" w:hAnsi="Arial" w:cs="Arial"/>
          <w:sz w:val="24"/>
          <w:szCs w:val="24"/>
        </w:rPr>
        <w:t>“(a)</w:t>
      </w:r>
      <w:r>
        <w:rPr>
          <w:rFonts w:ascii="Arial" w:hAnsi="Arial" w:cs="Arial"/>
          <w:sz w:val="24"/>
          <w:szCs w:val="24"/>
        </w:rPr>
        <w:tab/>
        <w:t>his right to receive an account, and the basis of such right, whether by contract or by fiduciary relationship or otherwise;</w:t>
      </w:r>
    </w:p>
    <w:p w:rsidR="006E5459" w:rsidRDefault="006E5459" w:rsidP="006E5459">
      <w:pPr>
        <w:spacing w:line="48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any contractual terms or circumstances having a bearing on the amount sought; and</w:t>
      </w:r>
    </w:p>
    <w:p w:rsidR="006E5459" w:rsidRDefault="006E5459" w:rsidP="006E5459">
      <w:pPr>
        <w:spacing w:line="48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defendant’s failure to render an account”.  </w:t>
      </w:r>
    </w:p>
    <w:p w:rsidR="006E5459" w:rsidRDefault="006E5459" w:rsidP="006E5459">
      <w:pPr>
        <w:spacing w:line="480" w:lineRule="auto"/>
        <w:jc w:val="both"/>
        <w:rPr>
          <w:rFonts w:ascii="Arial" w:hAnsi="Arial" w:cs="Arial"/>
          <w:sz w:val="24"/>
          <w:szCs w:val="24"/>
        </w:rPr>
      </w:pPr>
    </w:p>
    <w:p w:rsidR="00D62FFB" w:rsidRDefault="006B0666" w:rsidP="006E5459">
      <w:pPr>
        <w:spacing w:line="480" w:lineRule="auto"/>
        <w:jc w:val="both"/>
        <w:rPr>
          <w:rFonts w:ascii="Arial" w:hAnsi="Arial" w:cs="Arial"/>
          <w:sz w:val="24"/>
          <w:szCs w:val="24"/>
        </w:rPr>
      </w:pPr>
      <w:r>
        <w:rPr>
          <w:rFonts w:ascii="Arial" w:hAnsi="Arial" w:cs="Arial"/>
          <w:sz w:val="24"/>
          <w:szCs w:val="24"/>
        </w:rPr>
        <w:t>[10</w:t>
      </w:r>
      <w:r w:rsidR="006E5459">
        <w:rPr>
          <w:rFonts w:ascii="Arial" w:hAnsi="Arial" w:cs="Arial"/>
          <w:sz w:val="24"/>
          <w:szCs w:val="24"/>
        </w:rPr>
        <w:t>]</w:t>
      </w:r>
      <w:r w:rsidR="006E5459">
        <w:rPr>
          <w:rFonts w:ascii="Arial" w:hAnsi="Arial" w:cs="Arial"/>
          <w:sz w:val="24"/>
          <w:szCs w:val="24"/>
        </w:rPr>
        <w:tab/>
        <w:t>The appellants pertinently raised the</w:t>
      </w:r>
      <w:r w:rsidR="0094785A">
        <w:rPr>
          <w:rFonts w:ascii="Arial" w:hAnsi="Arial" w:cs="Arial"/>
          <w:sz w:val="24"/>
          <w:szCs w:val="24"/>
        </w:rPr>
        <w:t xml:space="preserve"> allegation that the respondent has</w:t>
      </w:r>
      <w:r w:rsidR="006E5459">
        <w:rPr>
          <w:rFonts w:ascii="Arial" w:hAnsi="Arial" w:cs="Arial"/>
          <w:sz w:val="24"/>
          <w:szCs w:val="24"/>
        </w:rPr>
        <w:t xml:space="preserve"> failed to rende</w:t>
      </w:r>
      <w:r w:rsidR="00F70F32">
        <w:rPr>
          <w:rFonts w:ascii="Arial" w:hAnsi="Arial" w:cs="Arial"/>
          <w:sz w:val="24"/>
          <w:szCs w:val="24"/>
        </w:rPr>
        <w:t>r an account to them after there</w:t>
      </w:r>
      <w:r w:rsidR="007160DB">
        <w:rPr>
          <w:rFonts w:ascii="Arial" w:hAnsi="Arial" w:cs="Arial"/>
          <w:sz w:val="24"/>
          <w:szCs w:val="24"/>
        </w:rPr>
        <w:t xml:space="preserve"> had been requests</w:t>
      </w:r>
      <w:r w:rsidR="00D234F5">
        <w:rPr>
          <w:rFonts w:ascii="Arial" w:hAnsi="Arial" w:cs="Arial"/>
          <w:sz w:val="24"/>
          <w:szCs w:val="24"/>
        </w:rPr>
        <w:t xml:space="preserve"> both </w:t>
      </w:r>
      <w:r w:rsidR="00F70F32">
        <w:rPr>
          <w:rFonts w:ascii="Arial" w:hAnsi="Arial" w:cs="Arial"/>
          <w:sz w:val="24"/>
          <w:szCs w:val="24"/>
        </w:rPr>
        <w:t xml:space="preserve">verbally and in writing.  </w:t>
      </w:r>
      <w:r w:rsidR="00D234F5">
        <w:rPr>
          <w:rFonts w:ascii="Arial" w:hAnsi="Arial" w:cs="Arial"/>
          <w:sz w:val="24"/>
          <w:szCs w:val="24"/>
        </w:rPr>
        <w:t>I</w:t>
      </w:r>
      <w:r w:rsidR="00D62FFB">
        <w:rPr>
          <w:rFonts w:ascii="Arial" w:hAnsi="Arial" w:cs="Arial"/>
          <w:sz w:val="24"/>
          <w:szCs w:val="24"/>
        </w:rPr>
        <w:t>n the relevant parts</w:t>
      </w:r>
      <w:r w:rsidR="00D234F5">
        <w:rPr>
          <w:rFonts w:ascii="Arial" w:hAnsi="Arial" w:cs="Arial"/>
          <w:sz w:val="24"/>
          <w:szCs w:val="24"/>
        </w:rPr>
        <w:t xml:space="preserve"> the letter</w:t>
      </w:r>
      <w:r w:rsidR="001660AC">
        <w:rPr>
          <w:rFonts w:ascii="Arial" w:hAnsi="Arial" w:cs="Arial"/>
          <w:sz w:val="24"/>
          <w:szCs w:val="24"/>
        </w:rPr>
        <w:t xml:space="preserve"> dated 26</w:t>
      </w:r>
      <w:r w:rsidR="007160DB">
        <w:rPr>
          <w:rFonts w:ascii="Arial" w:hAnsi="Arial" w:cs="Arial"/>
          <w:sz w:val="24"/>
          <w:szCs w:val="24"/>
        </w:rPr>
        <w:t xml:space="preserve"> March 202</w:t>
      </w:r>
      <w:r w:rsidR="00F70F32">
        <w:rPr>
          <w:rFonts w:ascii="Arial" w:hAnsi="Arial" w:cs="Arial"/>
          <w:sz w:val="24"/>
          <w:szCs w:val="24"/>
        </w:rPr>
        <w:t>0 written by the appellants</w:t>
      </w:r>
      <w:r w:rsidR="007160DB">
        <w:rPr>
          <w:rFonts w:ascii="Arial" w:hAnsi="Arial" w:cs="Arial"/>
          <w:sz w:val="24"/>
          <w:szCs w:val="24"/>
        </w:rPr>
        <w:t xml:space="preserve"> read</w:t>
      </w:r>
      <w:r w:rsidR="00D62FFB">
        <w:rPr>
          <w:rFonts w:ascii="Arial" w:hAnsi="Arial" w:cs="Arial"/>
          <w:sz w:val="24"/>
          <w:szCs w:val="24"/>
        </w:rPr>
        <w:t>:</w:t>
      </w:r>
    </w:p>
    <w:p w:rsidR="0003305C" w:rsidRDefault="0003305C" w:rsidP="0003305C">
      <w:pPr>
        <w:spacing w:line="480" w:lineRule="auto"/>
        <w:ind w:left="720"/>
        <w:jc w:val="both"/>
        <w:rPr>
          <w:rFonts w:ascii="Arial" w:hAnsi="Arial" w:cs="Arial"/>
          <w:sz w:val="20"/>
          <w:szCs w:val="20"/>
        </w:rPr>
      </w:pPr>
      <w:r>
        <w:rPr>
          <w:rFonts w:ascii="Arial" w:hAnsi="Arial" w:cs="Arial"/>
          <w:sz w:val="20"/>
          <w:szCs w:val="20"/>
        </w:rPr>
        <w:t>“The municipality has always been promising to calculate, account and pay our clients for the ov</w:t>
      </w:r>
      <w:r w:rsidR="002A5243">
        <w:rPr>
          <w:rFonts w:ascii="Arial" w:hAnsi="Arial" w:cs="Arial"/>
          <w:sz w:val="20"/>
          <w:szCs w:val="20"/>
        </w:rPr>
        <w:t xml:space="preserve">ertime they have worked. . . .  </w:t>
      </w:r>
      <w:r>
        <w:rPr>
          <w:rFonts w:ascii="Arial" w:hAnsi="Arial" w:cs="Arial"/>
          <w:sz w:val="20"/>
          <w:szCs w:val="20"/>
        </w:rPr>
        <w:t>We place on record that you do not only have a statutory duty to furnish that</w:t>
      </w:r>
      <w:r w:rsidR="007160DB">
        <w:rPr>
          <w:rFonts w:ascii="Arial" w:hAnsi="Arial" w:cs="Arial"/>
          <w:sz w:val="20"/>
          <w:szCs w:val="20"/>
        </w:rPr>
        <w:t xml:space="preserve"> b</w:t>
      </w:r>
      <w:r w:rsidRPr="007160DB">
        <w:rPr>
          <w:rFonts w:ascii="Arial" w:hAnsi="Arial" w:cs="Arial"/>
          <w:sz w:val="20"/>
          <w:szCs w:val="20"/>
        </w:rPr>
        <w:t>(</w:t>
      </w:r>
      <w:r w:rsidR="00E816D4" w:rsidRPr="007160DB">
        <w:rPr>
          <w:rFonts w:ascii="Arial" w:hAnsi="Arial" w:cs="Arial"/>
          <w:sz w:val="20"/>
          <w:szCs w:val="20"/>
        </w:rPr>
        <w:t>si</w:t>
      </w:r>
      <w:r w:rsidRPr="007160DB">
        <w:rPr>
          <w:rFonts w:ascii="Arial" w:hAnsi="Arial" w:cs="Arial"/>
          <w:sz w:val="20"/>
          <w:szCs w:val="20"/>
        </w:rPr>
        <w:t>c</w:t>
      </w:r>
      <w:r w:rsidR="00996047">
        <w:rPr>
          <w:rFonts w:ascii="Arial" w:hAnsi="Arial" w:cs="Arial"/>
          <w:sz w:val="20"/>
          <w:szCs w:val="20"/>
        </w:rPr>
        <w:t xml:space="preserve">) </w:t>
      </w:r>
      <w:r>
        <w:rPr>
          <w:rFonts w:ascii="Arial" w:hAnsi="Arial" w:cs="Arial"/>
          <w:sz w:val="20"/>
          <w:szCs w:val="20"/>
        </w:rPr>
        <w:t>written information but also a contractual duty to do so”.</w:t>
      </w:r>
    </w:p>
    <w:p w:rsidR="0003305C" w:rsidRDefault="0003305C" w:rsidP="0003305C">
      <w:pPr>
        <w:spacing w:line="480" w:lineRule="auto"/>
        <w:jc w:val="both"/>
        <w:rPr>
          <w:rFonts w:ascii="Arial" w:hAnsi="Arial" w:cs="Arial"/>
          <w:sz w:val="24"/>
          <w:szCs w:val="24"/>
        </w:rPr>
      </w:pPr>
    </w:p>
    <w:p w:rsidR="0094785A" w:rsidRDefault="006B0666" w:rsidP="0003305C">
      <w:pPr>
        <w:spacing w:line="480" w:lineRule="auto"/>
        <w:jc w:val="both"/>
        <w:rPr>
          <w:rFonts w:ascii="Arial" w:hAnsi="Arial" w:cs="Arial"/>
          <w:sz w:val="24"/>
          <w:szCs w:val="24"/>
        </w:rPr>
      </w:pPr>
      <w:r>
        <w:rPr>
          <w:rFonts w:ascii="Arial" w:hAnsi="Arial" w:cs="Arial"/>
          <w:sz w:val="24"/>
          <w:szCs w:val="24"/>
        </w:rPr>
        <w:lastRenderedPageBreak/>
        <w:t>[11</w:t>
      </w:r>
      <w:r w:rsidR="0003305C">
        <w:rPr>
          <w:rFonts w:ascii="Arial" w:hAnsi="Arial" w:cs="Arial"/>
          <w:sz w:val="24"/>
          <w:szCs w:val="24"/>
        </w:rPr>
        <w:t>]</w:t>
      </w:r>
      <w:r w:rsidR="0003305C">
        <w:rPr>
          <w:rFonts w:ascii="Arial" w:hAnsi="Arial" w:cs="Arial"/>
          <w:sz w:val="24"/>
          <w:szCs w:val="24"/>
        </w:rPr>
        <w:tab/>
      </w:r>
      <w:r w:rsidR="00E816D4">
        <w:rPr>
          <w:rFonts w:ascii="Arial" w:hAnsi="Arial" w:cs="Arial"/>
          <w:sz w:val="24"/>
          <w:szCs w:val="24"/>
        </w:rPr>
        <w:t>This fact has not been gainsaid</w:t>
      </w:r>
      <w:r w:rsidR="0003305C">
        <w:rPr>
          <w:rFonts w:ascii="Arial" w:hAnsi="Arial" w:cs="Arial"/>
          <w:sz w:val="24"/>
          <w:szCs w:val="24"/>
        </w:rPr>
        <w:t xml:space="preserve"> by the respondent.  Instead it, th</w:t>
      </w:r>
      <w:r w:rsidR="00E816D4">
        <w:rPr>
          <w:rFonts w:ascii="Arial" w:hAnsi="Arial" w:cs="Arial"/>
          <w:sz w:val="24"/>
          <w:szCs w:val="24"/>
        </w:rPr>
        <w:t>r</w:t>
      </w:r>
      <w:r w:rsidR="00996047">
        <w:rPr>
          <w:rFonts w:ascii="Arial" w:hAnsi="Arial" w:cs="Arial"/>
          <w:sz w:val="24"/>
          <w:szCs w:val="24"/>
        </w:rPr>
        <w:t xml:space="preserve">ough Mrs </w:t>
      </w:r>
      <w:r w:rsidR="0003305C">
        <w:rPr>
          <w:rFonts w:ascii="Arial" w:hAnsi="Arial" w:cs="Arial"/>
          <w:sz w:val="24"/>
          <w:szCs w:val="24"/>
        </w:rPr>
        <w:t>Qhayiso – Giwu,</w:t>
      </w:r>
      <w:r w:rsidR="00996047">
        <w:rPr>
          <w:rFonts w:ascii="Arial" w:hAnsi="Arial" w:cs="Arial"/>
          <w:sz w:val="24"/>
          <w:szCs w:val="24"/>
        </w:rPr>
        <w:t xml:space="preserve"> the respondent advised the appellants to launch</w:t>
      </w:r>
      <w:r w:rsidR="0003305C">
        <w:rPr>
          <w:rFonts w:ascii="Arial" w:hAnsi="Arial" w:cs="Arial"/>
          <w:sz w:val="24"/>
          <w:szCs w:val="24"/>
        </w:rPr>
        <w:t xml:space="preserve"> review proceedings either i</w:t>
      </w:r>
      <w:r w:rsidR="00996047">
        <w:rPr>
          <w:rFonts w:ascii="Arial" w:hAnsi="Arial" w:cs="Arial"/>
          <w:sz w:val="24"/>
          <w:szCs w:val="24"/>
        </w:rPr>
        <w:t xml:space="preserve">n terms </w:t>
      </w:r>
      <w:r w:rsidR="0094785A">
        <w:rPr>
          <w:rFonts w:ascii="Arial" w:hAnsi="Arial" w:cs="Arial"/>
          <w:sz w:val="24"/>
          <w:szCs w:val="24"/>
        </w:rPr>
        <w:t>PAI</w:t>
      </w:r>
      <w:r w:rsidR="00996047">
        <w:rPr>
          <w:rFonts w:ascii="Arial" w:hAnsi="Arial" w:cs="Arial"/>
          <w:sz w:val="24"/>
          <w:szCs w:val="24"/>
        </w:rPr>
        <w:t>A</w:t>
      </w:r>
      <w:r w:rsidR="0003305C">
        <w:rPr>
          <w:rFonts w:ascii="Arial" w:hAnsi="Arial" w:cs="Arial"/>
          <w:sz w:val="24"/>
          <w:szCs w:val="24"/>
        </w:rPr>
        <w:t xml:space="preserve"> or Rule 53 of the Uniform Rules of </w:t>
      </w:r>
      <w:r w:rsidR="009F4CA1">
        <w:rPr>
          <w:rFonts w:ascii="Arial" w:hAnsi="Arial" w:cs="Arial"/>
          <w:sz w:val="24"/>
          <w:szCs w:val="24"/>
        </w:rPr>
        <w:t>Court.</w:t>
      </w:r>
    </w:p>
    <w:p w:rsidR="0094785A" w:rsidRDefault="0094785A" w:rsidP="0003305C">
      <w:pPr>
        <w:spacing w:line="480" w:lineRule="auto"/>
        <w:jc w:val="both"/>
        <w:rPr>
          <w:rFonts w:ascii="Arial" w:hAnsi="Arial" w:cs="Arial"/>
          <w:sz w:val="24"/>
          <w:szCs w:val="24"/>
        </w:rPr>
      </w:pPr>
    </w:p>
    <w:p w:rsidR="0077556F" w:rsidRDefault="006B0666" w:rsidP="008833FD">
      <w:pPr>
        <w:spacing w:line="480" w:lineRule="auto"/>
        <w:jc w:val="both"/>
        <w:rPr>
          <w:rFonts w:ascii="Arial" w:hAnsi="Arial" w:cs="Arial"/>
          <w:sz w:val="24"/>
          <w:szCs w:val="24"/>
        </w:rPr>
      </w:pPr>
      <w:r>
        <w:rPr>
          <w:rFonts w:ascii="Arial" w:hAnsi="Arial" w:cs="Arial"/>
          <w:sz w:val="24"/>
          <w:szCs w:val="24"/>
        </w:rPr>
        <w:t>[12</w:t>
      </w:r>
      <w:r w:rsidR="0094785A">
        <w:rPr>
          <w:rFonts w:ascii="Arial" w:hAnsi="Arial" w:cs="Arial"/>
          <w:sz w:val="24"/>
          <w:szCs w:val="24"/>
        </w:rPr>
        <w:t>]</w:t>
      </w:r>
      <w:r w:rsidR="0094785A">
        <w:rPr>
          <w:rFonts w:ascii="Arial" w:hAnsi="Arial" w:cs="Arial"/>
          <w:sz w:val="24"/>
          <w:szCs w:val="24"/>
        </w:rPr>
        <w:tab/>
        <w:t>Reliance on PAIA by the respondent as an instrument to get the information is misplaced.  I</w:t>
      </w:r>
      <w:r w:rsidR="00F70F32">
        <w:rPr>
          <w:rFonts w:ascii="Arial" w:hAnsi="Arial" w:cs="Arial"/>
          <w:sz w:val="24"/>
          <w:szCs w:val="24"/>
        </w:rPr>
        <w:t xml:space="preserve"> further,</w:t>
      </w:r>
      <w:r w:rsidR="0094785A">
        <w:rPr>
          <w:rFonts w:ascii="Arial" w:hAnsi="Arial" w:cs="Arial"/>
          <w:sz w:val="24"/>
          <w:szCs w:val="24"/>
        </w:rPr>
        <w:t xml:space="preserve"> do not</w:t>
      </w:r>
      <w:r w:rsidR="00F70F32">
        <w:rPr>
          <w:rFonts w:ascii="Arial" w:hAnsi="Arial" w:cs="Arial"/>
          <w:sz w:val="24"/>
          <w:szCs w:val="24"/>
        </w:rPr>
        <w:t>,</w:t>
      </w:r>
      <w:r w:rsidR="0094785A">
        <w:rPr>
          <w:rFonts w:ascii="Arial" w:hAnsi="Arial" w:cs="Arial"/>
          <w:sz w:val="24"/>
          <w:szCs w:val="24"/>
        </w:rPr>
        <w:t xml:space="preserve"> for the p</w:t>
      </w:r>
      <w:r w:rsidR="00114364">
        <w:rPr>
          <w:rFonts w:ascii="Arial" w:hAnsi="Arial" w:cs="Arial"/>
          <w:sz w:val="24"/>
          <w:szCs w:val="24"/>
        </w:rPr>
        <w:t>urposes</w:t>
      </w:r>
      <w:r w:rsidR="0094785A">
        <w:rPr>
          <w:rFonts w:ascii="Arial" w:hAnsi="Arial" w:cs="Arial"/>
          <w:sz w:val="24"/>
          <w:szCs w:val="24"/>
        </w:rPr>
        <w:t xml:space="preserve"> hereof venture into the provisions of the BCEA and the Constitution referred to by the appellants for the reason that the </w:t>
      </w:r>
      <w:r w:rsidR="00114364">
        <w:rPr>
          <w:rFonts w:ascii="Arial" w:hAnsi="Arial" w:cs="Arial"/>
          <w:sz w:val="24"/>
          <w:szCs w:val="24"/>
        </w:rPr>
        <w:t xml:space="preserve">ratio of the court </w:t>
      </w:r>
      <w:r w:rsidR="00114364">
        <w:rPr>
          <w:rFonts w:ascii="Arial" w:hAnsi="Arial" w:cs="Arial"/>
          <w:i/>
          <w:sz w:val="24"/>
          <w:szCs w:val="24"/>
        </w:rPr>
        <w:t xml:space="preserve">a quo </w:t>
      </w:r>
      <w:r w:rsidR="00114364">
        <w:rPr>
          <w:rFonts w:ascii="Arial" w:hAnsi="Arial" w:cs="Arial"/>
          <w:sz w:val="24"/>
          <w:szCs w:val="24"/>
        </w:rPr>
        <w:t>does not hinge on them.  Furthermore, their ca</w:t>
      </w:r>
      <w:r w:rsidR="00E816D4">
        <w:rPr>
          <w:rFonts w:ascii="Arial" w:hAnsi="Arial" w:cs="Arial"/>
          <w:sz w:val="24"/>
          <w:szCs w:val="24"/>
        </w:rPr>
        <w:t>use of action is premised on a contract</w:t>
      </w:r>
      <w:r w:rsidR="00F70F32">
        <w:rPr>
          <w:rFonts w:ascii="Arial" w:hAnsi="Arial" w:cs="Arial"/>
          <w:sz w:val="24"/>
          <w:szCs w:val="24"/>
        </w:rPr>
        <w:t>.</w:t>
      </w:r>
      <w:r w:rsidR="00E816D4">
        <w:rPr>
          <w:rFonts w:ascii="Arial" w:hAnsi="Arial" w:cs="Arial"/>
          <w:sz w:val="24"/>
          <w:szCs w:val="24"/>
        </w:rPr>
        <w:t xml:space="preserve"> </w:t>
      </w:r>
    </w:p>
    <w:p w:rsidR="006B0666" w:rsidRDefault="006B0666" w:rsidP="00FF4512">
      <w:pPr>
        <w:spacing w:line="480" w:lineRule="auto"/>
        <w:jc w:val="both"/>
        <w:rPr>
          <w:rFonts w:ascii="Arial" w:hAnsi="Arial" w:cs="Arial"/>
          <w:sz w:val="24"/>
          <w:szCs w:val="24"/>
        </w:rPr>
      </w:pPr>
    </w:p>
    <w:p w:rsidR="0077556F" w:rsidRDefault="006B0666" w:rsidP="00FF4512">
      <w:pPr>
        <w:spacing w:line="480" w:lineRule="auto"/>
        <w:jc w:val="both"/>
        <w:rPr>
          <w:rFonts w:ascii="Arial" w:hAnsi="Arial" w:cs="Arial"/>
          <w:sz w:val="20"/>
          <w:szCs w:val="20"/>
        </w:rPr>
      </w:pPr>
      <w:r>
        <w:rPr>
          <w:rFonts w:ascii="Arial" w:hAnsi="Arial" w:cs="Arial"/>
          <w:sz w:val="24"/>
          <w:szCs w:val="24"/>
        </w:rPr>
        <w:t>[13</w:t>
      </w:r>
      <w:r w:rsidR="00114364">
        <w:rPr>
          <w:rFonts w:ascii="Arial" w:hAnsi="Arial" w:cs="Arial"/>
          <w:sz w:val="24"/>
          <w:szCs w:val="24"/>
        </w:rPr>
        <w:t>]</w:t>
      </w:r>
      <w:r w:rsidR="00114364">
        <w:rPr>
          <w:rFonts w:ascii="Arial" w:hAnsi="Arial" w:cs="Arial"/>
          <w:sz w:val="24"/>
          <w:szCs w:val="24"/>
        </w:rPr>
        <w:tab/>
        <w:t xml:space="preserve">The court </w:t>
      </w:r>
      <w:r w:rsidR="00114364">
        <w:rPr>
          <w:rFonts w:ascii="Arial" w:hAnsi="Arial" w:cs="Arial"/>
          <w:i/>
          <w:sz w:val="24"/>
          <w:szCs w:val="24"/>
        </w:rPr>
        <w:t>a quo</w:t>
      </w:r>
      <w:r w:rsidR="00114364">
        <w:rPr>
          <w:rFonts w:ascii="Arial" w:hAnsi="Arial" w:cs="Arial"/>
          <w:sz w:val="24"/>
          <w:szCs w:val="24"/>
        </w:rPr>
        <w:t xml:space="preserve"> relied in its reasoning on the provisions of section 9 and 86(2) of the PAIA</w:t>
      </w:r>
      <w:r w:rsidR="00AA244E">
        <w:rPr>
          <w:rStyle w:val="FootnoteReference"/>
          <w:rFonts w:ascii="Arial" w:hAnsi="Arial" w:cs="Arial"/>
          <w:sz w:val="24"/>
          <w:szCs w:val="24"/>
        </w:rPr>
        <w:footnoteReference w:id="5"/>
      </w:r>
      <w:r w:rsidR="00AA244E">
        <w:rPr>
          <w:rFonts w:ascii="Arial" w:hAnsi="Arial" w:cs="Arial"/>
          <w:sz w:val="24"/>
          <w:szCs w:val="24"/>
        </w:rPr>
        <w:t xml:space="preserve">.  </w:t>
      </w:r>
      <w:r w:rsidR="008833FD">
        <w:rPr>
          <w:rFonts w:ascii="Arial" w:hAnsi="Arial" w:cs="Arial"/>
          <w:sz w:val="24"/>
          <w:szCs w:val="24"/>
        </w:rPr>
        <w:t xml:space="preserve">The court </w:t>
      </w:r>
      <w:r w:rsidR="008833FD">
        <w:rPr>
          <w:rFonts w:ascii="Arial" w:hAnsi="Arial" w:cs="Arial"/>
          <w:i/>
          <w:sz w:val="24"/>
          <w:szCs w:val="24"/>
        </w:rPr>
        <w:t>a quo</w:t>
      </w:r>
      <w:r w:rsidR="008833FD">
        <w:rPr>
          <w:rFonts w:ascii="Arial" w:hAnsi="Arial" w:cs="Arial"/>
          <w:sz w:val="24"/>
          <w:szCs w:val="24"/>
        </w:rPr>
        <w:t xml:space="preserve"> further found that </w:t>
      </w:r>
      <w:r w:rsidR="00E816D4">
        <w:rPr>
          <w:rFonts w:ascii="Arial" w:hAnsi="Arial" w:cs="Arial"/>
          <w:sz w:val="24"/>
          <w:szCs w:val="24"/>
        </w:rPr>
        <w:t>“</w:t>
      </w:r>
      <w:r w:rsidR="008833FD">
        <w:rPr>
          <w:rFonts w:ascii="Arial" w:hAnsi="Arial" w:cs="Arial"/>
          <w:sz w:val="24"/>
          <w:szCs w:val="24"/>
        </w:rPr>
        <w:t>the appellants had been asked to meet a simple requirement, to have the request reduced into writing.  I found no justification for them to start with court proceedings, in those circumstances, even on the bases of BCEA</w:t>
      </w:r>
      <w:r w:rsidR="00E816D4">
        <w:rPr>
          <w:rFonts w:ascii="Arial" w:hAnsi="Arial" w:cs="Arial"/>
          <w:sz w:val="24"/>
          <w:szCs w:val="24"/>
        </w:rPr>
        <w:t>”</w:t>
      </w:r>
      <w:r w:rsidR="008833FD">
        <w:rPr>
          <w:rFonts w:ascii="Arial" w:hAnsi="Arial" w:cs="Arial"/>
          <w:sz w:val="24"/>
          <w:szCs w:val="24"/>
        </w:rPr>
        <w:t>.</w:t>
      </w:r>
    </w:p>
    <w:p w:rsidR="0077556F" w:rsidRDefault="0077556F" w:rsidP="00FF4512">
      <w:pPr>
        <w:spacing w:line="480" w:lineRule="auto"/>
        <w:jc w:val="both"/>
        <w:rPr>
          <w:rFonts w:ascii="Arial" w:hAnsi="Arial" w:cs="Arial"/>
          <w:sz w:val="20"/>
          <w:szCs w:val="20"/>
        </w:rPr>
      </w:pPr>
    </w:p>
    <w:p w:rsidR="002B12FA" w:rsidRDefault="006B0666" w:rsidP="00FF4512">
      <w:pPr>
        <w:spacing w:line="480" w:lineRule="auto"/>
        <w:jc w:val="both"/>
        <w:rPr>
          <w:rFonts w:ascii="Arial" w:hAnsi="Arial" w:cs="Arial"/>
          <w:sz w:val="24"/>
          <w:szCs w:val="24"/>
        </w:rPr>
      </w:pPr>
      <w:r>
        <w:rPr>
          <w:rFonts w:ascii="Arial" w:hAnsi="Arial" w:cs="Arial"/>
          <w:sz w:val="24"/>
          <w:szCs w:val="24"/>
        </w:rPr>
        <w:t>[14</w:t>
      </w:r>
      <w:r w:rsidR="008833FD">
        <w:rPr>
          <w:rFonts w:ascii="Arial" w:hAnsi="Arial" w:cs="Arial"/>
          <w:sz w:val="24"/>
          <w:szCs w:val="24"/>
        </w:rPr>
        <w:t>]</w:t>
      </w:r>
      <w:r w:rsidR="008833FD">
        <w:rPr>
          <w:rFonts w:ascii="Arial" w:hAnsi="Arial" w:cs="Arial"/>
          <w:sz w:val="24"/>
          <w:szCs w:val="24"/>
        </w:rPr>
        <w:tab/>
        <w:t xml:space="preserve">With respect what the court </w:t>
      </w:r>
      <w:r w:rsidR="008833FD">
        <w:rPr>
          <w:rFonts w:ascii="Arial" w:hAnsi="Arial" w:cs="Arial"/>
          <w:i/>
          <w:sz w:val="24"/>
          <w:szCs w:val="24"/>
        </w:rPr>
        <w:t xml:space="preserve">a quo </w:t>
      </w:r>
      <w:r w:rsidR="008833FD">
        <w:rPr>
          <w:rFonts w:ascii="Arial" w:hAnsi="Arial" w:cs="Arial"/>
          <w:sz w:val="24"/>
          <w:szCs w:val="24"/>
        </w:rPr>
        <w:t xml:space="preserve">eventually found to be the reason for the dismissal of the application, does not </w:t>
      </w:r>
      <w:r w:rsidR="00C40E5B">
        <w:rPr>
          <w:rFonts w:ascii="Arial" w:hAnsi="Arial" w:cs="Arial"/>
          <w:sz w:val="24"/>
          <w:szCs w:val="24"/>
        </w:rPr>
        <w:t xml:space="preserve">find application in PAIA.  The cause of action </w:t>
      </w:r>
      <w:r w:rsidR="00C40E5B">
        <w:rPr>
          <w:rFonts w:ascii="Arial" w:hAnsi="Arial" w:cs="Arial"/>
          <w:sz w:val="24"/>
          <w:szCs w:val="24"/>
        </w:rPr>
        <w:lastRenderedPageBreak/>
        <w:t>has been succinctly dealt with by the appellants as state above.  All the appella</w:t>
      </w:r>
      <w:r w:rsidR="00E816D4">
        <w:rPr>
          <w:rFonts w:ascii="Arial" w:hAnsi="Arial" w:cs="Arial"/>
          <w:sz w:val="24"/>
          <w:szCs w:val="24"/>
        </w:rPr>
        <w:t>nts had to allege and prove</w:t>
      </w:r>
      <w:r w:rsidR="00C40E5B">
        <w:rPr>
          <w:rFonts w:ascii="Arial" w:hAnsi="Arial" w:cs="Arial"/>
          <w:sz w:val="24"/>
          <w:szCs w:val="24"/>
        </w:rPr>
        <w:t xml:space="preserve"> is the basis of their entitlement to receive an account and that the respondent has failed to render </w:t>
      </w:r>
      <w:r w:rsidR="000F658B">
        <w:rPr>
          <w:rFonts w:ascii="Arial" w:hAnsi="Arial" w:cs="Arial"/>
          <w:sz w:val="24"/>
          <w:szCs w:val="24"/>
        </w:rPr>
        <w:t>a</w:t>
      </w:r>
      <w:r w:rsidR="00C40E5B">
        <w:rPr>
          <w:rFonts w:ascii="Arial" w:hAnsi="Arial" w:cs="Arial"/>
          <w:sz w:val="24"/>
          <w:szCs w:val="24"/>
        </w:rPr>
        <w:t xml:space="preserve"> proper account and debatement to their request</w:t>
      </w:r>
      <w:r w:rsidR="00C40E5B">
        <w:rPr>
          <w:rStyle w:val="FootnoteReference"/>
          <w:rFonts w:ascii="Arial" w:hAnsi="Arial" w:cs="Arial"/>
          <w:sz w:val="24"/>
          <w:szCs w:val="24"/>
        </w:rPr>
        <w:footnoteReference w:id="6"/>
      </w:r>
      <w:r w:rsidR="002B12FA">
        <w:rPr>
          <w:rFonts w:ascii="Arial" w:hAnsi="Arial" w:cs="Arial"/>
          <w:sz w:val="24"/>
          <w:szCs w:val="24"/>
        </w:rPr>
        <w:t>.</w:t>
      </w:r>
      <w:r w:rsidR="00AA244E">
        <w:rPr>
          <w:rFonts w:ascii="Arial" w:hAnsi="Arial" w:cs="Arial"/>
          <w:sz w:val="24"/>
          <w:szCs w:val="24"/>
        </w:rPr>
        <w:t xml:space="preserve">  The appellants have satisfied those requirements,</w:t>
      </w:r>
      <w:r w:rsidR="002B12FA">
        <w:rPr>
          <w:rFonts w:ascii="Arial" w:hAnsi="Arial" w:cs="Arial"/>
          <w:sz w:val="24"/>
          <w:szCs w:val="24"/>
        </w:rPr>
        <w:t xml:space="preserve">  </w:t>
      </w:r>
    </w:p>
    <w:p w:rsidR="002B12FA" w:rsidRDefault="002B12FA" w:rsidP="00FF4512">
      <w:pPr>
        <w:spacing w:line="480" w:lineRule="auto"/>
        <w:jc w:val="both"/>
        <w:rPr>
          <w:rFonts w:ascii="Arial" w:hAnsi="Arial" w:cs="Arial"/>
          <w:sz w:val="24"/>
          <w:szCs w:val="24"/>
        </w:rPr>
      </w:pPr>
    </w:p>
    <w:p w:rsidR="00534B15" w:rsidRDefault="006B0666" w:rsidP="00FF4512">
      <w:pPr>
        <w:spacing w:line="480" w:lineRule="auto"/>
        <w:jc w:val="both"/>
        <w:rPr>
          <w:rFonts w:ascii="Arial" w:hAnsi="Arial" w:cs="Arial"/>
          <w:sz w:val="24"/>
          <w:szCs w:val="24"/>
        </w:rPr>
      </w:pPr>
      <w:r>
        <w:rPr>
          <w:rFonts w:ascii="Arial" w:hAnsi="Arial" w:cs="Arial"/>
          <w:sz w:val="24"/>
          <w:szCs w:val="24"/>
        </w:rPr>
        <w:t>[15</w:t>
      </w:r>
      <w:r w:rsidR="002A5243">
        <w:rPr>
          <w:rFonts w:ascii="Arial" w:hAnsi="Arial" w:cs="Arial"/>
          <w:sz w:val="24"/>
          <w:szCs w:val="24"/>
        </w:rPr>
        <w:t>]</w:t>
      </w:r>
      <w:r w:rsidR="002A5243">
        <w:rPr>
          <w:rFonts w:ascii="Arial" w:hAnsi="Arial" w:cs="Arial"/>
          <w:sz w:val="24"/>
          <w:szCs w:val="24"/>
        </w:rPr>
        <w:tab/>
        <w:t>I</w:t>
      </w:r>
      <w:r w:rsidR="002B12FA">
        <w:rPr>
          <w:rFonts w:ascii="Arial" w:hAnsi="Arial" w:cs="Arial"/>
          <w:sz w:val="24"/>
          <w:szCs w:val="24"/>
        </w:rPr>
        <w:t xml:space="preserve">n </w:t>
      </w:r>
      <w:r w:rsidR="002B12FA" w:rsidRPr="002B12FA">
        <w:rPr>
          <w:rFonts w:ascii="Arial" w:hAnsi="Arial" w:cs="Arial"/>
          <w:i/>
          <w:sz w:val="24"/>
          <w:szCs w:val="24"/>
        </w:rPr>
        <w:t>casu</w:t>
      </w:r>
      <w:r w:rsidR="002B12FA">
        <w:rPr>
          <w:rFonts w:ascii="Arial" w:hAnsi="Arial" w:cs="Arial"/>
          <w:i/>
          <w:sz w:val="24"/>
          <w:szCs w:val="24"/>
        </w:rPr>
        <w:t xml:space="preserve">, </w:t>
      </w:r>
      <w:r w:rsidR="002B12FA">
        <w:rPr>
          <w:rFonts w:ascii="Arial" w:hAnsi="Arial" w:cs="Arial"/>
          <w:sz w:val="24"/>
          <w:szCs w:val="24"/>
        </w:rPr>
        <w:t>based on the contract between the parties, the respondent is obliged in law to furnish the appellants with a proper account on how the overtime was calculated and the debatement of that account.  As aforesaid, the appellants pertinently referred to clause</w:t>
      </w:r>
      <w:r w:rsidR="00AA244E">
        <w:rPr>
          <w:rFonts w:ascii="Arial" w:hAnsi="Arial" w:cs="Arial"/>
          <w:sz w:val="24"/>
          <w:szCs w:val="24"/>
        </w:rPr>
        <w:t>s</w:t>
      </w:r>
      <w:r w:rsidR="002B12FA">
        <w:rPr>
          <w:rFonts w:ascii="Arial" w:hAnsi="Arial" w:cs="Arial"/>
          <w:sz w:val="24"/>
          <w:szCs w:val="24"/>
        </w:rPr>
        <w:t xml:space="preserve"> 14 and 16 of the contract</w:t>
      </w:r>
      <w:r w:rsidR="00AA244E">
        <w:rPr>
          <w:rFonts w:ascii="Arial" w:hAnsi="Arial" w:cs="Arial"/>
          <w:sz w:val="24"/>
          <w:szCs w:val="24"/>
        </w:rPr>
        <w:t>s</w:t>
      </w:r>
      <w:r w:rsidR="002B12FA">
        <w:rPr>
          <w:rFonts w:ascii="Arial" w:hAnsi="Arial" w:cs="Arial"/>
          <w:sz w:val="24"/>
          <w:szCs w:val="24"/>
        </w:rPr>
        <w:t xml:space="preserve"> between them</w:t>
      </w:r>
      <w:r w:rsidR="00E816D4">
        <w:rPr>
          <w:rFonts w:ascii="Arial" w:hAnsi="Arial" w:cs="Arial"/>
          <w:sz w:val="24"/>
          <w:szCs w:val="24"/>
        </w:rPr>
        <w:t>.  The respondents therefore have</w:t>
      </w:r>
      <w:r w:rsidR="002B12FA">
        <w:rPr>
          <w:rFonts w:ascii="Arial" w:hAnsi="Arial" w:cs="Arial"/>
          <w:sz w:val="24"/>
          <w:szCs w:val="24"/>
        </w:rPr>
        <w:t xml:space="preserve"> a contractual obligation to render an account to the appellants regarding how the amount of R12 000.00 </w:t>
      </w:r>
      <w:r w:rsidR="00534B15">
        <w:rPr>
          <w:rFonts w:ascii="Arial" w:hAnsi="Arial" w:cs="Arial"/>
          <w:sz w:val="24"/>
          <w:szCs w:val="24"/>
        </w:rPr>
        <w:t>has been calculated and debated especially that an amount of R6000.00 was universally deducted from all the appellants.  On that basis, the appeal stands to</w:t>
      </w:r>
      <w:r w:rsidR="002A5243">
        <w:rPr>
          <w:rFonts w:ascii="Arial" w:hAnsi="Arial" w:cs="Arial"/>
          <w:sz w:val="24"/>
          <w:szCs w:val="24"/>
        </w:rPr>
        <w:t xml:space="preserve"> be upheld</w:t>
      </w:r>
      <w:r w:rsidR="00534B15">
        <w:rPr>
          <w:rFonts w:ascii="Arial" w:hAnsi="Arial" w:cs="Arial"/>
          <w:sz w:val="24"/>
          <w:szCs w:val="24"/>
        </w:rPr>
        <w:t>.</w:t>
      </w:r>
    </w:p>
    <w:p w:rsidR="00534B15" w:rsidRDefault="00534B15" w:rsidP="00FF4512">
      <w:pPr>
        <w:spacing w:line="480" w:lineRule="auto"/>
        <w:jc w:val="both"/>
        <w:rPr>
          <w:rFonts w:ascii="Arial" w:hAnsi="Arial" w:cs="Arial"/>
          <w:sz w:val="24"/>
          <w:szCs w:val="24"/>
        </w:rPr>
      </w:pPr>
    </w:p>
    <w:p w:rsidR="00534B15" w:rsidRDefault="006B0666" w:rsidP="00FF4512">
      <w:pPr>
        <w:spacing w:line="480" w:lineRule="auto"/>
        <w:jc w:val="both"/>
        <w:rPr>
          <w:rFonts w:ascii="Arial" w:hAnsi="Arial" w:cs="Arial"/>
          <w:sz w:val="24"/>
          <w:szCs w:val="24"/>
        </w:rPr>
      </w:pPr>
      <w:r>
        <w:rPr>
          <w:rFonts w:ascii="Arial" w:hAnsi="Arial" w:cs="Arial"/>
          <w:sz w:val="24"/>
          <w:szCs w:val="24"/>
        </w:rPr>
        <w:t>[16</w:t>
      </w:r>
      <w:r w:rsidR="00534B15">
        <w:rPr>
          <w:rFonts w:ascii="Arial" w:hAnsi="Arial" w:cs="Arial"/>
          <w:sz w:val="24"/>
          <w:szCs w:val="24"/>
        </w:rPr>
        <w:t>]</w:t>
      </w:r>
      <w:r w:rsidR="00534B15">
        <w:rPr>
          <w:rFonts w:ascii="Arial" w:hAnsi="Arial" w:cs="Arial"/>
          <w:sz w:val="24"/>
          <w:szCs w:val="24"/>
        </w:rPr>
        <w:tab/>
        <w:t>Regarding costs, there is no reason why the costs should not follow the result.</w:t>
      </w:r>
    </w:p>
    <w:p w:rsidR="00534B15" w:rsidRDefault="00534B15" w:rsidP="00FF4512">
      <w:pPr>
        <w:spacing w:line="480" w:lineRule="auto"/>
        <w:jc w:val="both"/>
        <w:rPr>
          <w:rFonts w:ascii="Arial" w:hAnsi="Arial" w:cs="Arial"/>
          <w:sz w:val="24"/>
          <w:szCs w:val="24"/>
        </w:rPr>
      </w:pPr>
    </w:p>
    <w:p w:rsidR="00534B15" w:rsidRDefault="006B0666" w:rsidP="00FF4512">
      <w:pPr>
        <w:spacing w:line="480" w:lineRule="auto"/>
        <w:jc w:val="both"/>
        <w:rPr>
          <w:rFonts w:ascii="Arial" w:hAnsi="Arial" w:cs="Arial"/>
          <w:sz w:val="24"/>
          <w:szCs w:val="24"/>
        </w:rPr>
      </w:pPr>
      <w:r>
        <w:rPr>
          <w:rFonts w:ascii="Arial" w:hAnsi="Arial" w:cs="Arial"/>
          <w:sz w:val="24"/>
          <w:szCs w:val="24"/>
        </w:rPr>
        <w:t>[17</w:t>
      </w:r>
      <w:r w:rsidR="00534B15">
        <w:rPr>
          <w:rFonts w:ascii="Arial" w:hAnsi="Arial" w:cs="Arial"/>
          <w:sz w:val="24"/>
          <w:szCs w:val="24"/>
        </w:rPr>
        <w:t>]</w:t>
      </w:r>
      <w:r w:rsidR="00534B15">
        <w:rPr>
          <w:rFonts w:ascii="Arial" w:hAnsi="Arial" w:cs="Arial"/>
          <w:sz w:val="24"/>
          <w:szCs w:val="24"/>
        </w:rPr>
        <w:tab/>
        <w:t>Consequently, the following order shall issue.</w:t>
      </w:r>
    </w:p>
    <w:p w:rsidR="00E816D4" w:rsidRDefault="00534B15" w:rsidP="00534B15">
      <w:pPr>
        <w:spacing w:line="480" w:lineRule="auto"/>
        <w:ind w:left="720"/>
        <w:jc w:val="both"/>
        <w:rPr>
          <w:rFonts w:ascii="Arial" w:hAnsi="Arial" w:cs="Arial"/>
          <w:sz w:val="24"/>
          <w:szCs w:val="24"/>
        </w:rPr>
      </w:pPr>
      <w:r>
        <w:rPr>
          <w:rFonts w:ascii="Arial" w:hAnsi="Arial" w:cs="Arial"/>
          <w:sz w:val="24"/>
          <w:szCs w:val="24"/>
        </w:rPr>
        <w:t xml:space="preserve">“The order of the court </w:t>
      </w:r>
      <w:r>
        <w:rPr>
          <w:rFonts w:ascii="Arial" w:hAnsi="Arial" w:cs="Arial"/>
          <w:i/>
          <w:sz w:val="24"/>
          <w:szCs w:val="24"/>
        </w:rPr>
        <w:t>a quo</w:t>
      </w:r>
      <w:r>
        <w:rPr>
          <w:rFonts w:ascii="Arial" w:hAnsi="Arial" w:cs="Arial"/>
          <w:sz w:val="24"/>
          <w:szCs w:val="24"/>
        </w:rPr>
        <w:t xml:space="preserve"> is set aside and subst</w:t>
      </w:r>
      <w:r w:rsidR="00E816D4">
        <w:rPr>
          <w:rFonts w:ascii="Arial" w:hAnsi="Arial" w:cs="Arial"/>
          <w:sz w:val="24"/>
          <w:szCs w:val="24"/>
        </w:rPr>
        <w:t>ituted with the following order:</w:t>
      </w:r>
    </w:p>
    <w:p w:rsidR="00125BE1" w:rsidRDefault="00E816D4" w:rsidP="00E816D4">
      <w:pPr>
        <w:spacing w:line="480" w:lineRule="auto"/>
        <w:ind w:left="216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respondent is ordered to render to the applicant within 60 calendar days</w:t>
      </w:r>
      <w:r w:rsidR="002A5243">
        <w:rPr>
          <w:rFonts w:ascii="Arial" w:hAnsi="Arial" w:cs="Arial"/>
          <w:sz w:val="24"/>
          <w:szCs w:val="24"/>
        </w:rPr>
        <w:t xml:space="preserve"> from</w:t>
      </w:r>
      <w:r>
        <w:rPr>
          <w:rFonts w:ascii="Arial" w:hAnsi="Arial" w:cs="Arial"/>
          <w:sz w:val="24"/>
          <w:szCs w:val="24"/>
        </w:rPr>
        <w:t xml:space="preserve"> the date of this judgment </w:t>
      </w:r>
      <w:r w:rsidR="00125BE1">
        <w:rPr>
          <w:rFonts w:ascii="Arial" w:hAnsi="Arial" w:cs="Arial"/>
          <w:sz w:val="24"/>
          <w:szCs w:val="24"/>
        </w:rPr>
        <w:t xml:space="preserve">a true and proper statement of account together with substantiating documents </w:t>
      </w:r>
      <w:r w:rsidR="00125BE1">
        <w:rPr>
          <w:rFonts w:ascii="Arial" w:hAnsi="Arial" w:cs="Arial"/>
          <w:sz w:val="24"/>
          <w:szCs w:val="24"/>
        </w:rPr>
        <w:lastRenderedPageBreak/>
        <w:t>reflecting the correct calculation and the rate applicable in its calculation of the overtime worked.</w:t>
      </w:r>
    </w:p>
    <w:p w:rsidR="00762D79" w:rsidRDefault="00CB7007" w:rsidP="002B3D44">
      <w:pPr>
        <w:spacing w:line="480" w:lineRule="auto"/>
        <w:ind w:left="216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w:t>
      </w:r>
      <w:r w:rsidR="00125BE1">
        <w:rPr>
          <w:rFonts w:ascii="Arial" w:hAnsi="Arial" w:cs="Arial"/>
          <w:sz w:val="24"/>
          <w:szCs w:val="24"/>
        </w:rPr>
        <w:t xml:space="preserve">he respondent is ordered to debate the account with the applicants or their representatives within 10 court days from the date it was rendered in terms of paragraph </w:t>
      </w:r>
      <w:r w:rsidR="002B3D44">
        <w:rPr>
          <w:rFonts w:ascii="Arial" w:hAnsi="Arial" w:cs="Arial"/>
          <w:sz w:val="24"/>
          <w:szCs w:val="24"/>
        </w:rPr>
        <w:t>1 above.</w:t>
      </w:r>
    </w:p>
    <w:p w:rsidR="00AA244E" w:rsidRPr="002B3D44" w:rsidRDefault="00AA244E" w:rsidP="002B3D44">
      <w:pPr>
        <w:spacing w:line="480" w:lineRule="auto"/>
        <w:ind w:left="216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1660AC">
        <w:rPr>
          <w:rFonts w:ascii="Arial" w:hAnsi="Arial" w:cs="Arial"/>
          <w:sz w:val="24"/>
          <w:szCs w:val="24"/>
        </w:rPr>
        <w:t>The respondents are ordered to pay the costs of the application and the costs of appeal.</w:t>
      </w:r>
    </w:p>
    <w:p w:rsidR="00C80CF0" w:rsidRDefault="00271B56" w:rsidP="00A817F9">
      <w:pPr>
        <w:spacing w:line="480" w:lineRule="auto"/>
        <w:jc w:val="both"/>
        <w:rPr>
          <w:rFonts w:ascii="Arial" w:hAnsi="Arial" w:cs="Arial"/>
          <w:sz w:val="24"/>
          <w:szCs w:val="24"/>
        </w:rPr>
      </w:pPr>
      <w:r>
        <w:rPr>
          <w:rFonts w:ascii="Arial" w:hAnsi="Arial" w:cs="Arial"/>
          <w:sz w:val="24"/>
          <w:szCs w:val="24"/>
        </w:rPr>
        <w:t xml:space="preserve"> </w:t>
      </w:r>
    </w:p>
    <w:p w:rsidR="00C64094" w:rsidRPr="00A817F9" w:rsidRDefault="00C64094" w:rsidP="00A817F9">
      <w:pPr>
        <w:spacing w:line="480" w:lineRule="auto"/>
        <w:jc w:val="both"/>
        <w:rPr>
          <w:rFonts w:ascii="Arial" w:hAnsi="Arial" w:cs="Arial"/>
          <w:b/>
          <w:sz w:val="24"/>
          <w:szCs w:val="24"/>
        </w:rPr>
      </w:pPr>
    </w:p>
    <w:p w:rsidR="00C80CF0" w:rsidRPr="00C80CF0" w:rsidRDefault="00C80CF0" w:rsidP="00C80CF0">
      <w:pPr>
        <w:spacing w:after="0"/>
        <w:rPr>
          <w:rFonts w:ascii="Arial" w:hAnsi="Arial" w:cs="Arial"/>
          <w:sz w:val="24"/>
          <w:szCs w:val="24"/>
        </w:rPr>
      </w:pPr>
      <w:r w:rsidRPr="00C80CF0">
        <w:rPr>
          <w:rFonts w:ascii="Arial" w:hAnsi="Arial" w:cs="Arial"/>
          <w:sz w:val="24"/>
          <w:szCs w:val="24"/>
        </w:rPr>
        <w:t>___________________________</w:t>
      </w:r>
    </w:p>
    <w:p w:rsidR="00C80CF0" w:rsidRDefault="00C80CF0" w:rsidP="00C80CF0">
      <w:pPr>
        <w:spacing w:after="0"/>
        <w:rPr>
          <w:rFonts w:ascii="Arial" w:hAnsi="Arial" w:cs="Arial"/>
          <w:b/>
          <w:sz w:val="24"/>
          <w:szCs w:val="24"/>
        </w:rPr>
      </w:pPr>
      <w:r w:rsidRPr="00C80CF0">
        <w:rPr>
          <w:rFonts w:ascii="Arial" w:hAnsi="Arial" w:cs="Arial"/>
          <w:b/>
          <w:sz w:val="24"/>
          <w:szCs w:val="24"/>
        </w:rPr>
        <w:t>M MAKAULA</w:t>
      </w:r>
    </w:p>
    <w:p w:rsidR="00A817F9" w:rsidRDefault="00C80CF0" w:rsidP="00C80CF0">
      <w:pPr>
        <w:spacing w:after="0"/>
        <w:rPr>
          <w:rFonts w:ascii="Arial" w:hAnsi="Arial" w:cs="Arial"/>
          <w:b/>
          <w:sz w:val="24"/>
          <w:szCs w:val="24"/>
        </w:rPr>
      </w:pPr>
      <w:r>
        <w:rPr>
          <w:rFonts w:ascii="Arial" w:hAnsi="Arial" w:cs="Arial"/>
          <w:b/>
          <w:sz w:val="24"/>
          <w:szCs w:val="24"/>
        </w:rPr>
        <w:t>Judge</w:t>
      </w:r>
      <w:r w:rsidR="00A817F9">
        <w:rPr>
          <w:rFonts w:ascii="Arial" w:hAnsi="Arial" w:cs="Arial"/>
          <w:b/>
          <w:sz w:val="24"/>
          <w:szCs w:val="24"/>
        </w:rPr>
        <w:t xml:space="preserve"> of the High Court</w:t>
      </w:r>
    </w:p>
    <w:p w:rsidR="001660AC" w:rsidRDefault="001660AC" w:rsidP="00C80CF0">
      <w:pPr>
        <w:spacing w:after="0"/>
        <w:rPr>
          <w:rFonts w:ascii="Arial" w:hAnsi="Arial" w:cs="Arial"/>
          <w:b/>
          <w:sz w:val="24"/>
          <w:szCs w:val="24"/>
        </w:rPr>
      </w:pPr>
    </w:p>
    <w:p w:rsidR="006B0666" w:rsidRDefault="006B0666" w:rsidP="00C80CF0">
      <w:pPr>
        <w:spacing w:after="0"/>
        <w:rPr>
          <w:rFonts w:ascii="Arial" w:hAnsi="Arial" w:cs="Arial"/>
          <w:b/>
          <w:sz w:val="24"/>
          <w:szCs w:val="24"/>
        </w:rPr>
      </w:pPr>
    </w:p>
    <w:p w:rsidR="006B0666" w:rsidRDefault="006B0666" w:rsidP="00C80CF0">
      <w:pPr>
        <w:spacing w:after="0"/>
        <w:rPr>
          <w:rFonts w:ascii="Arial" w:hAnsi="Arial" w:cs="Arial"/>
          <w:b/>
          <w:sz w:val="24"/>
          <w:szCs w:val="24"/>
        </w:rPr>
      </w:pPr>
    </w:p>
    <w:p w:rsidR="00C80CF0" w:rsidRDefault="00C80CF0" w:rsidP="00C80CF0">
      <w:pPr>
        <w:spacing w:after="0"/>
        <w:rPr>
          <w:rFonts w:ascii="Arial" w:hAnsi="Arial" w:cs="Arial"/>
          <w:b/>
          <w:sz w:val="24"/>
          <w:szCs w:val="24"/>
        </w:rPr>
      </w:pPr>
      <w:r>
        <w:rPr>
          <w:rFonts w:ascii="Arial" w:hAnsi="Arial" w:cs="Arial"/>
          <w:b/>
          <w:sz w:val="24"/>
          <w:szCs w:val="24"/>
        </w:rPr>
        <w:t>Malusi J:</w:t>
      </w:r>
      <w:r>
        <w:rPr>
          <w:rFonts w:ascii="Arial" w:hAnsi="Arial" w:cs="Arial"/>
          <w:b/>
          <w:sz w:val="24"/>
          <w:szCs w:val="24"/>
        </w:rPr>
        <w:tab/>
        <w:t>I agree.</w:t>
      </w:r>
    </w:p>
    <w:p w:rsidR="00C80CF0" w:rsidRDefault="00C80CF0" w:rsidP="00C80CF0">
      <w:pPr>
        <w:spacing w:after="0"/>
        <w:rPr>
          <w:rFonts w:ascii="Arial" w:hAnsi="Arial" w:cs="Arial"/>
          <w:b/>
          <w:sz w:val="24"/>
          <w:szCs w:val="24"/>
        </w:rPr>
      </w:pPr>
    </w:p>
    <w:p w:rsidR="00C80CF0" w:rsidRDefault="00C80CF0" w:rsidP="00C80CF0">
      <w:pPr>
        <w:spacing w:after="0"/>
        <w:rPr>
          <w:rFonts w:ascii="Arial" w:hAnsi="Arial" w:cs="Arial"/>
          <w:b/>
          <w:sz w:val="24"/>
          <w:szCs w:val="24"/>
        </w:rPr>
      </w:pPr>
    </w:p>
    <w:p w:rsidR="00C80CF0" w:rsidRDefault="00C80CF0" w:rsidP="00C80CF0">
      <w:pPr>
        <w:spacing w:after="0"/>
        <w:rPr>
          <w:rFonts w:ascii="Arial" w:hAnsi="Arial" w:cs="Arial"/>
          <w:b/>
          <w:sz w:val="24"/>
          <w:szCs w:val="24"/>
        </w:rPr>
      </w:pPr>
    </w:p>
    <w:p w:rsidR="00C80CF0" w:rsidRDefault="00C80CF0" w:rsidP="00C80CF0">
      <w:pPr>
        <w:spacing w:after="0"/>
        <w:rPr>
          <w:rFonts w:ascii="Arial" w:hAnsi="Arial" w:cs="Arial"/>
          <w:b/>
          <w:sz w:val="24"/>
          <w:szCs w:val="24"/>
        </w:rPr>
      </w:pPr>
    </w:p>
    <w:p w:rsidR="00C80CF0" w:rsidRDefault="00C80CF0" w:rsidP="00C80CF0">
      <w:pPr>
        <w:spacing w:after="0"/>
        <w:rPr>
          <w:rFonts w:ascii="Arial" w:hAnsi="Arial" w:cs="Arial"/>
          <w:sz w:val="24"/>
          <w:szCs w:val="24"/>
        </w:rPr>
      </w:pPr>
      <w:r>
        <w:rPr>
          <w:rFonts w:ascii="Arial" w:hAnsi="Arial" w:cs="Arial"/>
          <w:sz w:val="24"/>
          <w:szCs w:val="24"/>
        </w:rPr>
        <w:t>___________________________</w:t>
      </w:r>
    </w:p>
    <w:p w:rsidR="00C80CF0" w:rsidRDefault="00B66494" w:rsidP="00C80CF0">
      <w:pPr>
        <w:spacing w:after="0"/>
        <w:rPr>
          <w:rFonts w:ascii="Arial" w:hAnsi="Arial" w:cs="Arial"/>
          <w:b/>
          <w:sz w:val="24"/>
          <w:szCs w:val="24"/>
        </w:rPr>
      </w:pPr>
      <w:r>
        <w:rPr>
          <w:rFonts w:ascii="Arial" w:hAnsi="Arial" w:cs="Arial"/>
          <w:b/>
          <w:sz w:val="24"/>
          <w:szCs w:val="24"/>
        </w:rPr>
        <w:t xml:space="preserve">T </w:t>
      </w:r>
      <w:r w:rsidR="00C80CF0">
        <w:rPr>
          <w:rFonts w:ascii="Arial" w:hAnsi="Arial" w:cs="Arial"/>
          <w:b/>
          <w:sz w:val="24"/>
          <w:szCs w:val="24"/>
        </w:rPr>
        <w:t>MALUSI</w:t>
      </w:r>
    </w:p>
    <w:p w:rsidR="00C80CF0" w:rsidRPr="00C80CF0" w:rsidRDefault="00C80CF0" w:rsidP="00C80CF0">
      <w:pPr>
        <w:spacing w:after="0"/>
        <w:rPr>
          <w:rFonts w:ascii="Arial" w:hAnsi="Arial" w:cs="Arial"/>
          <w:b/>
          <w:sz w:val="24"/>
          <w:szCs w:val="24"/>
        </w:rPr>
      </w:pPr>
      <w:r>
        <w:rPr>
          <w:rFonts w:ascii="Arial" w:hAnsi="Arial" w:cs="Arial"/>
          <w:b/>
          <w:sz w:val="24"/>
          <w:szCs w:val="24"/>
        </w:rPr>
        <w:t xml:space="preserve">Judge of the High Court </w:t>
      </w:r>
    </w:p>
    <w:p w:rsidR="00C80CF0" w:rsidRDefault="00C80CF0">
      <w:pPr>
        <w:rPr>
          <w:rFonts w:ascii="Arial" w:hAnsi="Arial" w:cs="Arial"/>
          <w:b/>
          <w:sz w:val="24"/>
          <w:szCs w:val="24"/>
        </w:rPr>
      </w:pPr>
    </w:p>
    <w:p w:rsidR="00C80CF0" w:rsidRPr="00C80CF0" w:rsidRDefault="00C80CF0">
      <w:pPr>
        <w:rPr>
          <w:rFonts w:ascii="Arial" w:hAnsi="Arial" w:cs="Arial"/>
          <w:b/>
          <w:sz w:val="24"/>
          <w:szCs w:val="24"/>
        </w:rPr>
      </w:pPr>
    </w:p>
    <w:p w:rsidR="00C80CF0" w:rsidRDefault="00C80CF0">
      <w:pPr>
        <w:rPr>
          <w:b/>
        </w:rPr>
      </w:pPr>
    </w:p>
    <w:p w:rsidR="00C80CF0" w:rsidRDefault="00C80CF0">
      <w:pPr>
        <w:rPr>
          <w:rFonts w:ascii="Arial" w:hAnsi="Arial" w:cs="Arial"/>
          <w:b/>
          <w:sz w:val="24"/>
          <w:szCs w:val="24"/>
        </w:rPr>
      </w:pPr>
      <w:r>
        <w:rPr>
          <w:rFonts w:ascii="Arial" w:hAnsi="Arial" w:cs="Arial"/>
          <w:b/>
          <w:sz w:val="24"/>
          <w:szCs w:val="24"/>
        </w:rPr>
        <w:t>Govindjee</w:t>
      </w:r>
      <w:r w:rsidR="0077556F">
        <w:rPr>
          <w:rFonts w:ascii="Arial" w:hAnsi="Arial" w:cs="Arial"/>
          <w:b/>
          <w:sz w:val="24"/>
          <w:szCs w:val="24"/>
        </w:rPr>
        <w:t xml:space="preserve"> J</w:t>
      </w:r>
      <w:r>
        <w:rPr>
          <w:rFonts w:ascii="Arial" w:hAnsi="Arial" w:cs="Arial"/>
          <w:b/>
          <w:sz w:val="24"/>
          <w:szCs w:val="24"/>
        </w:rPr>
        <w:t>:</w:t>
      </w:r>
      <w:r>
        <w:rPr>
          <w:rFonts w:ascii="Arial" w:hAnsi="Arial" w:cs="Arial"/>
          <w:b/>
          <w:sz w:val="24"/>
          <w:szCs w:val="24"/>
        </w:rPr>
        <w:tab/>
        <w:t>I agree.</w:t>
      </w:r>
    </w:p>
    <w:p w:rsidR="00C80CF0" w:rsidRDefault="00C80CF0">
      <w:pPr>
        <w:rPr>
          <w:rFonts w:ascii="Arial" w:hAnsi="Arial" w:cs="Arial"/>
          <w:b/>
          <w:sz w:val="24"/>
          <w:szCs w:val="24"/>
        </w:rPr>
      </w:pPr>
    </w:p>
    <w:p w:rsidR="00BF284C" w:rsidRDefault="00BF284C">
      <w:pPr>
        <w:rPr>
          <w:rFonts w:ascii="Arial" w:hAnsi="Arial" w:cs="Arial"/>
          <w:b/>
          <w:sz w:val="24"/>
          <w:szCs w:val="24"/>
        </w:rPr>
      </w:pPr>
    </w:p>
    <w:p w:rsidR="00BF284C" w:rsidRDefault="00BF284C" w:rsidP="00B66494">
      <w:pPr>
        <w:spacing w:after="0"/>
        <w:rPr>
          <w:rFonts w:ascii="Arial" w:hAnsi="Arial" w:cs="Arial"/>
          <w:sz w:val="24"/>
          <w:szCs w:val="24"/>
        </w:rPr>
      </w:pPr>
      <w:r>
        <w:rPr>
          <w:rFonts w:ascii="Arial" w:hAnsi="Arial" w:cs="Arial"/>
          <w:sz w:val="24"/>
          <w:szCs w:val="24"/>
        </w:rPr>
        <w:t>_____________________________</w:t>
      </w:r>
    </w:p>
    <w:p w:rsidR="00BF284C" w:rsidRDefault="00B66494" w:rsidP="00B66494">
      <w:pPr>
        <w:spacing w:after="0"/>
        <w:rPr>
          <w:rFonts w:ascii="Arial" w:hAnsi="Arial" w:cs="Arial"/>
          <w:b/>
          <w:sz w:val="24"/>
          <w:szCs w:val="24"/>
        </w:rPr>
      </w:pPr>
      <w:r>
        <w:rPr>
          <w:rFonts w:ascii="Arial" w:hAnsi="Arial" w:cs="Arial"/>
          <w:b/>
          <w:sz w:val="24"/>
          <w:szCs w:val="24"/>
        </w:rPr>
        <w:t xml:space="preserve">A </w:t>
      </w:r>
      <w:r w:rsidR="00BF284C">
        <w:rPr>
          <w:rFonts w:ascii="Arial" w:hAnsi="Arial" w:cs="Arial"/>
          <w:b/>
          <w:sz w:val="24"/>
          <w:szCs w:val="24"/>
        </w:rPr>
        <w:t>GOVINDJEE</w:t>
      </w:r>
    </w:p>
    <w:p w:rsidR="00BF284C" w:rsidRDefault="00BF284C" w:rsidP="00B66494">
      <w:pPr>
        <w:spacing w:after="0"/>
        <w:rPr>
          <w:rFonts w:ascii="Arial" w:hAnsi="Arial" w:cs="Arial"/>
          <w:b/>
          <w:sz w:val="24"/>
          <w:szCs w:val="24"/>
        </w:rPr>
      </w:pPr>
      <w:r>
        <w:rPr>
          <w:rFonts w:ascii="Arial" w:hAnsi="Arial" w:cs="Arial"/>
          <w:b/>
          <w:sz w:val="24"/>
          <w:szCs w:val="24"/>
        </w:rPr>
        <w:t xml:space="preserve">Judge of the High Court </w:t>
      </w:r>
    </w:p>
    <w:p w:rsidR="00B66494" w:rsidRDefault="00B66494" w:rsidP="00B66494">
      <w:pPr>
        <w:spacing w:after="0"/>
        <w:rPr>
          <w:rFonts w:ascii="Arial" w:hAnsi="Arial" w:cs="Arial"/>
          <w:b/>
          <w:sz w:val="24"/>
          <w:szCs w:val="24"/>
        </w:rPr>
      </w:pPr>
    </w:p>
    <w:p w:rsidR="006E4503" w:rsidRDefault="006E4503" w:rsidP="00B66494">
      <w:pPr>
        <w:spacing w:after="0"/>
        <w:rPr>
          <w:rFonts w:ascii="Arial" w:hAnsi="Arial" w:cs="Arial"/>
          <w:b/>
          <w:sz w:val="24"/>
          <w:szCs w:val="24"/>
        </w:rPr>
      </w:pPr>
    </w:p>
    <w:p w:rsidR="002B3D44" w:rsidRDefault="002B3D44" w:rsidP="00B66494">
      <w:pPr>
        <w:spacing w:after="0"/>
        <w:rPr>
          <w:rFonts w:ascii="Arial" w:hAnsi="Arial" w:cs="Arial"/>
          <w:sz w:val="24"/>
          <w:szCs w:val="24"/>
        </w:rPr>
      </w:pPr>
    </w:p>
    <w:p w:rsidR="006B0666" w:rsidRDefault="006B0666" w:rsidP="00B66494">
      <w:pPr>
        <w:spacing w:after="0"/>
        <w:rPr>
          <w:rFonts w:ascii="Arial" w:hAnsi="Arial" w:cs="Arial"/>
          <w:sz w:val="24"/>
          <w:szCs w:val="24"/>
        </w:rPr>
      </w:pPr>
    </w:p>
    <w:p w:rsidR="00B66494" w:rsidRDefault="00B66494" w:rsidP="00B66494">
      <w:pPr>
        <w:spacing w:after="0"/>
        <w:rPr>
          <w:rFonts w:ascii="Arial" w:hAnsi="Arial" w:cs="Arial"/>
          <w:sz w:val="24"/>
          <w:szCs w:val="24"/>
        </w:rPr>
      </w:pPr>
      <w:r>
        <w:rPr>
          <w:rFonts w:ascii="Arial" w:hAnsi="Arial" w:cs="Arial"/>
          <w:sz w:val="24"/>
          <w:szCs w:val="24"/>
        </w:rPr>
        <w:t>Appearances:</w:t>
      </w:r>
    </w:p>
    <w:p w:rsidR="00B66494" w:rsidRDefault="00B66494" w:rsidP="00B66494">
      <w:pPr>
        <w:spacing w:after="0"/>
        <w:rPr>
          <w:rFonts w:ascii="Arial" w:hAnsi="Arial" w:cs="Arial"/>
          <w:sz w:val="24"/>
          <w:szCs w:val="24"/>
        </w:rPr>
      </w:pPr>
    </w:p>
    <w:p w:rsidR="00B66494" w:rsidRDefault="00B66494" w:rsidP="00B66494">
      <w:pPr>
        <w:spacing w:after="0"/>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AS Zono</w:t>
      </w:r>
    </w:p>
    <w:p w:rsidR="00B66494" w:rsidRDefault="00B66494" w:rsidP="00B6649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rsidR="00B66494" w:rsidRDefault="00B66494" w:rsidP="00B66494">
      <w:pPr>
        <w:spacing w:after="0"/>
        <w:rPr>
          <w:rFonts w:ascii="Arial" w:hAnsi="Arial" w:cs="Arial"/>
          <w:sz w:val="24"/>
          <w:szCs w:val="24"/>
        </w:rPr>
      </w:pPr>
    </w:p>
    <w:p w:rsidR="00B66494" w:rsidRDefault="00B66494" w:rsidP="00B66494">
      <w:pPr>
        <w:spacing w:after="0" w:line="240" w:lineRule="auto"/>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 Zono &amp; Associates</w:t>
      </w:r>
    </w:p>
    <w:p w:rsidR="00B66494" w:rsidRDefault="00B66494" w:rsidP="00B66494">
      <w:pPr>
        <w:spacing w:after="0" w:line="240" w:lineRule="auto"/>
        <w:ind w:left="5760" w:firstLine="720"/>
        <w:rPr>
          <w:rFonts w:ascii="Arial" w:hAnsi="Arial" w:cs="Arial"/>
          <w:sz w:val="24"/>
          <w:szCs w:val="24"/>
        </w:rPr>
      </w:pPr>
      <w:r>
        <w:rPr>
          <w:rFonts w:ascii="Arial" w:hAnsi="Arial" w:cs="Arial"/>
          <w:sz w:val="24"/>
          <w:szCs w:val="24"/>
        </w:rPr>
        <w:t>Mthatha</w:t>
      </w:r>
    </w:p>
    <w:p w:rsidR="00B66494" w:rsidRDefault="00B66494" w:rsidP="00B66494">
      <w:pPr>
        <w:spacing w:after="0" w:line="240" w:lineRule="auto"/>
        <w:rPr>
          <w:rFonts w:ascii="Arial" w:hAnsi="Arial" w:cs="Arial"/>
          <w:sz w:val="24"/>
          <w:szCs w:val="24"/>
        </w:rPr>
      </w:pPr>
    </w:p>
    <w:p w:rsidR="00B66494" w:rsidRDefault="00B66494" w:rsidP="00B66494">
      <w:pPr>
        <w:spacing w:after="0" w:line="240" w:lineRule="auto"/>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L Malala</w:t>
      </w:r>
    </w:p>
    <w:p w:rsidR="00B66494" w:rsidRDefault="00B66494" w:rsidP="00B6649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rsidR="00B66494" w:rsidRDefault="00B66494" w:rsidP="00B66494">
      <w:pPr>
        <w:spacing w:after="0" w:line="240" w:lineRule="auto"/>
        <w:rPr>
          <w:rFonts w:ascii="Arial" w:hAnsi="Arial" w:cs="Arial"/>
          <w:sz w:val="24"/>
          <w:szCs w:val="24"/>
        </w:rPr>
      </w:pPr>
    </w:p>
    <w:p w:rsidR="00B66494" w:rsidRDefault="00B66494" w:rsidP="00B66494">
      <w:pPr>
        <w:spacing w:after="0" w:line="240" w:lineRule="auto"/>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Mvuzo Notyesi Inc</w:t>
      </w:r>
    </w:p>
    <w:p w:rsidR="00B66494" w:rsidRDefault="00B66494" w:rsidP="00B6649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rsidR="00B66494" w:rsidRDefault="00B66494" w:rsidP="00B66494">
      <w:pPr>
        <w:spacing w:after="0" w:line="240" w:lineRule="auto"/>
        <w:rPr>
          <w:rFonts w:ascii="Arial" w:hAnsi="Arial" w:cs="Arial"/>
          <w:sz w:val="24"/>
          <w:szCs w:val="24"/>
        </w:rPr>
      </w:pPr>
    </w:p>
    <w:p w:rsidR="00B66494" w:rsidRDefault="00B66494" w:rsidP="00B66494">
      <w:pPr>
        <w:spacing w:after="0" w:line="240" w:lineRule="auto"/>
        <w:rPr>
          <w:rFonts w:ascii="Arial" w:hAnsi="Arial" w:cs="Arial"/>
          <w:sz w:val="24"/>
          <w:szCs w:val="24"/>
        </w:rPr>
      </w:pPr>
      <w:r>
        <w:rPr>
          <w:rFonts w:ascii="Arial" w:hAnsi="Arial" w:cs="Arial"/>
          <w:sz w:val="24"/>
          <w:szCs w:val="24"/>
        </w:rPr>
        <w:t>Date reserved: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 November 2022</w:t>
      </w:r>
    </w:p>
    <w:p w:rsidR="00B66494" w:rsidRDefault="00B66494" w:rsidP="00B66494">
      <w:pPr>
        <w:spacing w:after="0" w:line="240" w:lineRule="auto"/>
        <w:rPr>
          <w:rFonts w:ascii="Arial" w:hAnsi="Arial" w:cs="Arial"/>
          <w:sz w:val="24"/>
          <w:szCs w:val="24"/>
        </w:rPr>
      </w:pPr>
    </w:p>
    <w:p w:rsidR="00B66494" w:rsidRDefault="00B66494" w:rsidP="00B66494">
      <w:pPr>
        <w:spacing w:after="0" w:line="240" w:lineRule="auto"/>
        <w:rPr>
          <w:rFonts w:ascii="Arial" w:hAnsi="Arial" w:cs="Arial"/>
          <w:sz w:val="24"/>
          <w:szCs w:val="24"/>
        </w:rPr>
      </w:pPr>
      <w:r>
        <w:rPr>
          <w:rFonts w:ascii="Arial" w:hAnsi="Arial" w:cs="Arial"/>
          <w:sz w:val="24"/>
          <w:szCs w:val="24"/>
        </w:rPr>
        <w:t>Date delivered: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0666">
        <w:rPr>
          <w:rFonts w:ascii="Arial" w:hAnsi="Arial" w:cs="Arial"/>
          <w:sz w:val="24"/>
          <w:szCs w:val="24"/>
        </w:rPr>
        <w:t>13 December 2022</w:t>
      </w:r>
    </w:p>
    <w:p w:rsidR="00B66494" w:rsidRDefault="00B66494" w:rsidP="00B66494">
      <w:pPr>
        <w:spacing w:after="0" w:line="240" w:lineRule="auto"/>
        <w:rPr>
          <w:rFonts w:ascii="Arial" w:hAnsi="Arial" w:cs="Arial"/>
          <w:sz w:val="24"/>
          <w:szCs w:val="24"/>
        </w:rPr>
      </w:pPr>
    </w:p>
    <w:p w:rsidR="00B66494" w:rsidRDefault="00B66494" w:rsidP="00B6649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66494" w:rsidRDefault="00B66494" w:rsidP="00B66494">
      <w:pPr>
        <w:spacing w:after="0" w:line="240" w:lineRule="auto"/>
        <w:rPr>
          <w:rFonts w:ascii="Arial" w:hAnsi="Arial" w:cs="Arial"/>
          <w:sz w:val="24"/>
          <w:szCs w:val="24"/>
        </w:rPr>
      </w:pPr>
    </w:p>
    <w:p w:rsidR="00B66494" w:rsidRDefault="00B66494" w:rsidP="00B66494">
      <w:pPr>
        <w:spacing w:after="0" w:line="240" w:lineRule="auto"/>
        <w:rPr>
          <w:rFonts w:ascii="Arial" w:hAnsi="Arial" w:cs="Arial"/>
          <w:sz w:val="24"/>
          <w:szCs w:val="24"/>
        </w:rPr>
      </w:pPr>
    </w:p>
    <w:p w:rsidR="00B66494" w:rsidRDefault="00B66494" w:rsidP="00B66494">
      <w:pPr>
        <w:spacing w:after="0"/>
        <w:rPr>
          <w:rFonts w:ascii="Arial" w:hAnsi="Arial" w:cs="Arial"/>
          <w:sz w:val="24"/>
          <w:szCs w:val="24"/>
        </w:rPr>
      </w:pPr>
    </w:p>
    <w:p w:rsidR="00C80CF0" w:rsidRPr="00C80CF0" w:rsidRDefault="00B66494" w:rsidP="00A817F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C80CF0" w:rsidRPr="00C80CF0" w:rsidSect="00064E2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AC" w:rsidRDefault="00D115AC" w:rsidP="00064E23">
      <w:pPr>
        <w:spacing w:after="0" w:line="240" w:lineRule="auto"/>
      </w:pPr>
      <w:r>
        <w:separator/>
      </w:r>
    </w:p>
  </w:endnote>
  <w:endnote w:type="continuationSeparator" w:id="0">
    <w:p w:rsidR="00D115AC" w:rsidRDefault="00D115AC" w:rsidP="000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89045"/>
      <w:docPartObj>
        <w:docPartGallery w:val="Page Numbers (Bottom of Page)"/>
        <w:docPartUnique/>
      </w:docPartObj>
    </w:sdtPr>
    <w:sdtEndPr/>
    <w:sdtContent>
      <w:sdt>
        <w:sdtPr>
          <w:id w:val="-1769616900"/>
          <w:docPartObj>
            <w:docPartGallery w:val="Page Numbers (Top of Page)"/>
            <w:docPartUnique/>
          </w:docPartObj>
        </w:sdtPr>
        <w:sdtEndPr/>
        <w:sdtContent>
          <w:p w:rsidR="00064E23" w:rsidRDefault="00064E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05D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05D9">
              <w:rPr>
                <w:b/>
                <w:bCs/>
                <w:noProof/>
              </w:rPr>
              <w:t>9</w:t>
            </w:r>
            <w:r>
              <w:rPr>
                <w:b/>
                <w:bCs/>
                <w:sz w:val="24"/>
                <w:szCs w:val="24"/>
              </w:rPr>
              <w:fldChar w:fldCharType="end"/>
            </w:r>
          </w:p>
        </w:sdtContent>
      </w:sdt>
    </w:sdtContent>
  </w:sdt>
  <w:p w:rsidR="00064E23" w:rsidRDefault="00064E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AC" w:rsidRDefault="00D115AC" w:rsidP="00064E23">
      <w:pPr>
        <w:spacing w:after="0" w:line="240" w:lineRule="auto"/>
      </w:pPr>
      <w:r>
        <w:separator/>
      </w:r>
    </w:p>
  </w:footnote>
  <w:footnote w:type="continuationSeparator" w:id="0">
    <w:p w:rsidR="00D115AC" w:rsidRDefault="00D115AC" w:rsidP="00064E23">
      <w:pPr>
        <w:spacing w:after="0" w:line="240" w:lineRule="auto"/>
      </w:pPr>
      <w:r>
        <w:continuationSeparator/>
      </w:r>
    </w:p>
  </w:footnote>
  <w:footnote w:id="1">
    <w:p w:rsidR="004D45CE" w:rsidRDefault="004D45CE">
      <w:pPr>
        <w:pStyle w:val="FootnoteText"/>
      </w:pPr>
      <w:r>
        <w:rPr>
          <w:rStyle w:val="FootnoteReference"/>
        </w:rPr>
        <w:footnoteRef/>
      </w:r>
      <w:r>
        <w:t xml:space="preserve"> Even the court </w:t>
      </w:r>
      <w:r>
        <w:rPr>
          <w:i/>
        </w:rPr>
        <w:t>a quo</w:t>
      </w:r>
      <w:r>
        <w:t xml:space="preserve"> correctly </w:t>
      </w:r>
      <w:r w:rsidR="00662787">
        <w:t>identified</w:t>
      </w:r>
      <w:r>
        <w:t xml:space="preserve"> the issue as follows:</w:t>
      </w:r>
    </w:p>
    <w:p w:rsidR="004D45CE" w:rsidRPr="004D45CE" w:rsidRDefault="004D45CE" w:rsidP="004D45CE">
      <w:pPr>
        <w:pStyle w:val="FootnoteText"/>
        <w:jc w:val="both"/>
        <w:rPr>
          <w:u w:val="single"/>
        </w:rPr>
      </w:pPr>
      <w:r>
        <w:t xml:space="preserve">“The issue for determination is whether the applicants have made out a case for the relief sought, that being, furnished with the accounting of the amount due, for the overtime work they performed.  Furthermore, whether they are entitled to an order for payments, in respect of the said overtime duties, by the respondent”. </w:t>
      </w:r>
    </w:p>
  </w:footnote>
  <w:footnote w:id="2">
    <w:p w:rsidR="00E07258" w:rsidRPr="00E07258" w:rsidRDefault="00E07258">
      <w:pPr>
        <w:pStyle w:val="FootnoteText"/>
      </w:pPr>
      <w:r>
        <w:rPr>
          <w:rStyle w:val="FootnoteReference"/>
        </w:rPr>
        <w:footnoteRef/>
      </w:r>
      <w:r>
        <w:t xml:space="preserve"> </w:t>
      </w:r>
      <w:r>
        <w:rPr>
          <w:i/>
        </w:rPr>
        <w:t xml:space="preserve">Makhanya v University of Zululand </w:t>
      </w:r>
      <w:r>
        <w:t>2010 (1) SA 62 (SCA); [2009] 8 BLLR 721 (SCA); [2009] 4 All SA 146 (SCA) at paras 71 and 72.</w:t>
      </w:r>
    </w:p>
  </w:footnote>
  <w:footnote w:id="3">
    <w:p w:rsidR="00BE4DF5" w:rsidRDefault="00BE4DF5">
      <w:pPr>
        <w:pStyle w:val="FootnoteText"/>
      </w:pPr>
      <w:r>
        <w:rPr>
          <w:rStyle w:val="FootnoteReference"/>
        </w:rPr>
        <w:footnoteRef/>
      </w:r>
      <w:r>
        <w:t xml:space="preserve"> Amler’s Precedents of Pleadings: Harms 9</w:t>
      </w:r>
      <w:r w:rsidRPr="00BE4DF5">
        <w:rPr>
          <w:vertAlign w:val="superscript"/>
        </w:rPr>
        <w:t>th</w:t>
      </w:r>
      <w:r>
        <w:t xml:space="preserve"> Edition at page 13 and the case referred therein.</w:t>
      </w:r>
    </w:p>
  </w:footnote>
  <w:footnote w:id="4">
    <w:p w:rsidR="00BE4DF5" w:rsidRDefault="00BE4DF5">
      <w:pPr>
        <w:pStyle w:val="FootnoteText"/>
      </w:pPr>
      <w:r>
        <w:rPr>
          <w:rStyle w:val="FootnoteReference"/>
        </w:rPr>
        <w:footnoteRef/>
      </w:r>
      <w:r>
        <w:t xml:space="preserve"> 1971 (3) SA 760 (A), 1971 (3) All S</w:t>
      </w:r>
      <w:r w:rsidR="00EC71D3">
        <w:t>A</w:t>
      </w:r>
      <w:r>
        <w:t xml:space="preserve"> 550 (A). </w:t>
      </w:r>
    </w:p>
  </w:footnote>
  <w:footnote w:id="5">
    <w:p w:rsidR="00AA244E" w:rsidRDefault="00AA244E" w:rsidP="00AA244E">
      <w:pPr>
        <w:spacing w:line="240" w:lineRule="auto"/>
        <w:jc w:val="both"/>
        <w:rPr>
          <w:rFonts w:cstheme="minorHAnsi"/>
          <w:sz w:val="20"/>
          <w:szCs w:val="20"/>
        </w:rPr>
      </w:pPr>
      <w:r w:rsidRPr="00AA244E">
        <w:rPr>
          <w:rStyle w:val="FootnoteReference"/>
          <w:rFonts w:cstheme="minorHAnsi"/>
          <w:sz w:val="20"/>
          <w:szCs w:val="20"/>
        </w:rPr>
        <w:footnoteRef/>
      </w:r>
      <w:r w:rsidRPr="00AA244E">
        <w:rPr>
          <w:rFonts w:cstheme="minorHAnsi"/>
          <w:sz w:val="20"/>
          <w:szCs w:val="20"/>
        </w:rPr>
        <w:t xml:space="preserve"> It reasoned as follows:</w:t>
      </w:r>
    </w:p>
    <w:p w:rsidR="00AA244E" w:rsidRPr="00AA244E" w:rsidRDefault="00AA244E" w:rsidP="00AA244E">
      <w:pPr>
        <w:spacing w:line="240" w:lineRule="auto"/>
        <w:ind w:left="720" w:hanging="720"/>
        <w:jc w:val="both"/>
        <w:rPr>
          <w:rFonts w:cstheme="minorHAnsi"/>
          <w:sz w:val="20"/>
          <w:szCs w:val="20"/>
        </w:rPr>
      </w:pPr>
      <w:r>
        <w:rPr>
          <w:rFonts w:cstheme="minorHAnsi"/>
          <w:sz w:val="20"/>
          <w:szCs w:val="20"/>
        </w:rPr>
        <w:t>“24.</w:t>
      </w:r>
      <w:r>
        <w:rPr>
          <w:rFonts w:cstheme="minorHAnsi"/>
          <w:sz w:val="20"/>
          <w:szCs w:val="20"/>
        </w:rPr>
        <w:tab/>
      </w:r>
      <w:r w:rsidRPr="00AA244E">
        <w:rPr>
          <w:rFonts w:cstheme="minorHAnsi"/>
          <w:sz w:val="20"/>
          <w:szCs w:val="20"/>
        </w:rPr>
        <w:t>In my view, the appellants could have employed PAIA.  Alternatively, each individual could have requested her or his information, as it is regarded as confidential and even safer so, request in writing, as   Mrs Qhayiso – Giwu advised.</w:t>
      </w:r>
    </w:p>
    <w:p w:rsidR="00AA244E" w:rsidRPr="00AA244E" w:rsidRDefault="00AA244E" w:rsidP="00AA244E">
      <w:pPr>
        <w:spacing w:line="240" w:lineRule="auto"/>
        <w:ind w:left="720" w:hanging="720"/>
        <w:jc w:val="both"/>
        <w:rPr>
          <w:rFonts w:cstheme="minorHAnsi"/>
          <w:sz w:val="20"/>
          <w:szCs w:val="20"/>
        </w:rPr>
      </w:pPr>
      <w:r w:rsidRPr="00AA244E">
        <w:rPr>
          <w:rFonts w:cstheme="minorHAnsi"/>
          <w:sz w:val="20"/>
          <w:szCs w:val="20"/>
        </w:rPr>
        <w:t>25.</w:t>
      </w:r>
      <w:r w:rsidRPr="00AA244E">
        <w:rPr>
          <w:rFonts w:cstheme="minorHAnsi"/>
          <w:sz w:val="20"/>
          <w:szCs w:val="20"/>
        </w:rPr>
        <w:tab/>
        <w:t>I do not agree that a court application is onerous than completion of the form required in section 18 of PAIA.  Section 9(d) of PAIA state as much that PAIA enables access records, swiftly, inexpensively and effortlessly, as reasonable possible.  The court process on the other hand takes long, it is expensive and requires more effort”.</w:t>
      </w:r>
    </w:p>
    <w:p w:rsidR="00AA244E" w:rsidRPr="00AA244E" w:rsidRDefault="00AA244E">
      <w:pPr>
        <w:pStyle w:val="FootnoteText"/>
        <w:rPr>
          <w:lang w:val="en-GB"/>
        </w:rPr>
      </w:pPr>
    </w:p>
  </w:footnote>
  <w:footnote w:id="6">
    <w:p w:rsidR="00C40E5B" w:rsidRPr="002B12FA" w:rsidRDefault="00C40E5B">
      <w:pPr>
        <w:pStyle w:val="FootnoteText"/>
      </w:pPr>
      <w:r>
        <w:rPr>
          <w:rStyle w:val="FootnoteReference"/>
        </w:rPr>
        <w:footnoteRef/>
      </w:r>
      <w:r>
        <w:t xml:space="preserve"> </w:t>
      </w:r>
      <w:r w:rsidR="004D45CE">
        <w:rPr>
          <w:rFonts w:cstheme="minorHAnsi"/>
          <w:i/>
        </w:rPr>
        <w:t>Doyle Ibid</w:t>
      </w:r>
      <w:r w:rsidR="002B12FA">
        <w:rPr>
          <w:rFonts w:cstheme="minorHAnsi"/>
          <w:i/>
        </w:rPr>
        <w:t xml:space="preserve"> and Nusca</w:t>
      </w:r>
      <w:r w:rsidR="000F658B">
        <w:rPr>
          <w:rFonts w:cstheme="minorHAnsi"/>
          <w:i/>
        </w:rPr>
        <w:t xml:space="preserve"> vs</w:t>
      </w:r>
      <w:r w:rsidR="002B12FA">
        <w:rPr>
          <w:rFonts w:cstheme="minorHAnsi"/>
          <w:i/>
        </w:rPr>
        <w:t xml:space="preserve"> Nusca </w:t>
      </w:r>
      <w:r w:rsidR="002B12FA">
        <w:rPr>
          <w:rFonts w:cstheme="minorHAnsi"/>
        </w:rPr>
        <w:t>1995 (</w:t>
      </w:r>
      <w:r w:rsidR="006E4503">
        <w:rPr>
          <w:rFonts w:cstheme="minorHAnsi"/>
        </w:rPr>
        <w:t>3</w:t>
      </w:r>
      <w:r w:rsidR="002B12FA">
        <w:rPr>
          <w:rFonts w:cstheme="minorHAnsi"/>
        </w:rPr>
        <w:t>) All SA</w:t>
      </w:r>
      <w:r w:rsidR="006E4503">
        <w:rPr>
          <w:rFonts w:cstheme="minorHAnsi"/>
        </w:rPr>
        <w:t xml:space="preserve"> 104</w:t>
      </w:r>
      <w:r w:rsidR="003D07A4">
        <w:rPr>
          <w:rFonts w:cstheme="minorHAnsi"/>
        </w:rPr>
        <w:t xml:space="preserve"> (</w:t>
      </w:r>
      <w:r w:rsidR="006E4503">
        <w:rPr>
          <w:rFonts w:cstheme="minorHAnsi"/>
        </w:rPr>
        <w:t>T</w:t>
      </w:r>
      <w:r w:rsidR="003D07A4">
        <w:rPr>
          <w:rFonts w:cstheme="minorHAnsi"/>
        </w:rPr>
        <w:t>)</w:t>
      </w:r>
      <w:r w:rsidR="002B12FA">
        <w:rPr>
          <w:rFonts w:cstheme="minorHAnsi"/>
        </w:rPr>
        <w:t>; 1995 (4) SA 813 (T) page 817 para e-j.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F0"/>
    <w:rsid w:val="0003305C"/>
    <w:rsid w:val="00033AAA"/>
    <w:rsid w:val="00057B78"/>
    <w:rsid w:val="00064E23"/>
    <w:rsid w:val="000A2D2C"/>
    <w:rsid w:val="000F658B"/>
    <w:rsid w:val="00114364"/>
    <w:rsid w:val="001179F2"/>
    <w:rsid w:val="00123423"/>
    <w:rsid w:val="00125B8A"/>
    <w:rsid w:val="00125BE1"/>
    <w:rsid w:val="00162D15"/>
    <w:rsid w:val="001660AC"/>
    <w:rsid w:val="001E0B5C"/>
    <w:rsid w:val="00241B48"/>
    <w:rsid w:val="0025479B"/>
    <w:rsid w:val="00271B56"/>
    <w:rsid w:val="002A5243"/>
    <w:rsid w:val="002B12FA"/>
    <w:rsid w:val="002B3D44"/>
    <w:rsid w:val="003952CD"/>
    <w:rsid w:val="003D07A4"/>
    <w:rsid w:val="004D45CE"/>
    <w:rsid w:val="00534B15"/>
    <w:rsid w:val="0060411B"/>
    <w:rsid w:val="00606B6B"/>
    <w:rsid w:val="00662787"/>
    <w:rsid w:val="0069619C"/>
    <w:rsid w:val="006B0666"/>
    <w:rsid w:val="006E4503"/>
    <w:rsid w:val="006E5459"/>
    <w:rsid w:val="007160DB"/>
    <w:rsid w:val="007269BA"/>
    <w:rsid w:val="00754048"/>
    <w:rsid w:val="00762D79"/>
    <w:rsid w:val="0077556F"/>
    <w:rsid w:val="008833FD"/>
    <w:rsid w:val="008A32F8"/>
    <w:rsid w:val="008C752D"/>
    <w:rsid w:val="0094785A"/>
    <w:rsid w:val="00990E69"/>
    <w:rsid w:val="00996047"/>
    <w:rsid w:val="009F4CA1"/>
    <w:rsid w:val="00A53F10"/>
    <w:rsid w:val="00A55523"/>
    <w:rsid w:val="00A817F9"/>
    <w:rsid w:val="00A83987"/>
    <w:rsid w:val="00AA16DD"/>
    <w:rsid w:val="00AA244E"/>
    <w:rsid w:val="00AE7432"/>
    <w:rsid w:val="00B40773"/>
    <w:rsid w:val="00B66494"/>
    <w:rsid w:val="00BE4DF5"/>
    <w:rsid w:val="00BF284C"/>
    <w:rsid w:val="00C40E5B"/>
    <w:rsid w:val="00C42C53"/>
    <w:rsid w:val="00C64094"/>
    <w:rsid w:val="00C80CF0"/>
    <w:rsid w:val="00CB05D9"/>
    <w:rsid w:val="00CB7007"/>
    <w:rsid w:val="00D115AC"/>
    <w:rsid w:val="00D234F5"/>
    <w:rsid w:val="00D32E48"/>
    <w:rsid w:val="00D62FFB"/>
    <w:rsid w:val="00D6754D"/>
    <w:rsid w:val="00DB5E06"/>
    <w:rsid w:val="00DD36F9"/>
    <w:rsid w:val="00E07258"/>
    <w:rsid w:val="00E363A6"/>
    <w:rsid w:val="00E816D4"/>
    <w:rsid w:val="00E878E3"/>
    <w:rsid w:val="00E90017"/>
    <w:rsid w:val="00EB7BBF"/>
    <w:rsid w:val="00EC71D3"/>
    <w:rsid w:val="00F70F32"/>
    <w:rsid w:val="00FC74C3"/>
    <w:rsid w:val="00FF4512"/>
    <w:rsid w:val="00FF7B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D755D-5A24-4C5F-9BA4-077439DB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E23"/>
  </w:style>
  <w:style w:type="paragraph" w:styleId="Footer">
    <w:name w:val="footer"/>
    <w:basedOn w:val="Normal"/>
    <w:link w:val="FooterChar"/>
    <w:uiPriority w:val="99"/>
    <w:unhideWhenUsed/>
    <w:rsid w:val="0006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E23"/>
  </w:style>
  <w:style w:type="paragraph" w:styleId="FootnoteText">
    <w:name w:val="footnote text"/>
    <w:basedOn w:val="Normal"/>
    <w:link w:val="FootnoteTextChar"/>
    <w:uiPriority w:val="99"/>
    <w:semiHidden/>
    <w:unhideWhenUsed/>
    <w:rsid w:val="00762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D79"/>
    <w:rPr>
      <w:sz w:val="20"/>
      <w:szCs w:val="20"/>
    </w:rPr>
  </w:style>
  <w:style w:type="character" w:styleId="FootnoteReference">
    <w:name w:val="footnote reference"/>
    <w:basedOn w:val="DefaultParagraphFont"/>
    <w:uiPriority w:val="99"/>
    <w:semiHidden/>
    <w:unhideWhenUsed/>
    <w:rsid w:val="00762D79"/>
    <w:rPr>
      <w:vertAlign w:val="superscript"/>
    </w:rPr>
  </w:style>
  <w:style w:type="paragraph" w:styleId="BalloonText">
    <w:name w:val="Balloon Text"/>
    <w:basedOn w:val="Normal"/>
    <w:link w:val="BalloonTextChar"/>
    <w:uiPriority w:val="99"/>
    <w:semiHidden/>
    <w:unhideWhenUsed/>
    <w:rsid w:val="008A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9C8F-C5CA-4A43-9EF6-AAF6BEFC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Horn</dc:creator>
  <cp:keywords/>
  <dc:description/>
  <cp:lastModifiedBy>Nomakorinte Ntliziywana</cp:lastModifiedBy>
  <cp:revision>2</cp:revision>
  <cp:lastPrinted>2022-12-07T13:06:00Z</cp:lastPrinted>
  <dcterms:created xsi:type="dcterms:W3CDTF">2022-12-15T08:52:00Z</dcterms:created>
  <dcterms:modified xsi:type="dcterms:W3CDTF">2022-12-15T08:52:00Z</dcterms:modified>
</cp:coreProperties>
</file>