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1B" w:rsidRDefault="00A95CFD" w:rsidP="0099401E">
      <w:pPr>
        <w:spacing w:line="480" w:lineRule="auto"/>
        <w:rPr>
          <w:b/>
        </w:rPr>
      </w:pPr>
      <w:bookmarkStart w:id="0" w:name="_GoBack"/>
      <w:bookmarkEnd w:id="0"/>
      <w:r w:rsidRPr="007373B9">
        <w:rPr>
          <w:rFonts w:cs="Arial"/>
          <w:b/>
          <w:i/>
          <w:noProof/>
          <w:sz w:val="20"/>
          <w:szCs w:val="20"/>
          <w:lang w:eastAsia="en-ZA"/>
        </w:rPr>
        <w:drawing>
          <wp:anchor distT="0" distB="0" distL="114300" distR="114300" simplePos="0" relativeHeight="251659264" behindDoc="0" locked="0" layoutInCell="1" allowOverlap="1" wp14:anchorId="050A0A85" wp14:editId="6D424896">
            <wp:simplePos x="0" y="0"/>
            <wp:positionH relativeFrom="margin">
              <wp:posOffset>2124075</wp:posOffset>
            </wp:positionH>
            <wp:positionV relativeFrom="paragraph">
              <wp:posOffset>0</wp:posOffset>
            </wp:positionV>
            <wp:extent cx="99060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D1B" w:rsidRDefault="00042D1B" w:rsidP="0099401E">
      <w:pPr>
        <w:spacing w:line="480" w:lineRule="auto"/>
        <w:rPr>
          <w:b/>
        </w:rPr>
      </w:pPr>
    </w:p>
    <w:p w:rsidR="00042D1B" w:rsidRDefault="00042D1B" w:rsidP="0099401E">
      <w:pPr>
        <w:spacing w:line="480" w:lineRule="auto"/>
        <w:rPr>
          <w:b/>
        </w:rPr>
      </w:pPr>
    </w:p>
    <w:p w:rsidR="00042D1B" w:rsidRDefault="00042D1B" w:rsidP="0099401E">
      <w:pPr>
        <w:spacing w:line="480" w:lineRule="auto"/>
        <w:rPr>
          <w:b/>
        </w:rPr>
      </w:pPr>
    </w:p>
    <w:p w:rsidR="00A95CFD" w:rsidRDefault="00A95CFD" w:rsidP="0099401E">
      <w:pPr>
        <w:spacing w:line="480" w:lineRule="auto"/>
        <w:rPr>
          <w:b/>
        </w:rPr>
      </w:pPr>
    </w:p>
    <w:p w:rsidR="0099401E" w:rsidRDefault="0099401E" w:rsidP="0099401E">
      <w:pPr>
        <w:spacing w:line="480" w:lineRule="auto"/>
        <w:rPr>
          <w:b/>
        </w:rPr>
      </w:pPr>
      <w:r>
        <w:rPr>
          <w:b/>
        </w:rPr>
        <w:t>IN THE HIGH COURT OF SOUTH AFRICA</w:t>
      </w:r>
    </w:p>
    <w:p w:rsidR="0099401E" w:rsidRDefault="0099401E" w:rsidP="0099401E">
      <w:pPr>
        <w:spacing w:line="480" w:lineRule="auto"/>
        <w:rPr>
          <w:b/>
        </w:rPr>
      </w:pPr>
      <w:r>
        <w:rPr>
          <w:b/>
        </w:rPr>
        <w:t>[EASTERN CAPE LOCAL DIVISION MTHATHA]</w:t>
      </w:r>
    </w:p>
    <w:p w:rsidR="0099401E" w:rsidRDefault="0099401E" w:rsidP="0099401E">
      <w:pPr>
        <w:spacing w:line="480" w:lineRule="auto"/>
        <w:jc w:val="right"/>
        <w:rPr>
          <w:b/>
        </w:rPr>
      </w:pPr>
      <w:r>
        <w:rPr>
          <w:b/>
        </w:rPr>
        <w:t>CASE NO.2807/21</w:t>
      </w:r>
    </w:p>
    <w:p w:rsidR="0099401E" w:rsidRDefault="0099401E" w:rsidP="0099401E">
      <w:pPr>
        <w:spacing w:line="480" w:lineRule="auto"/>
        <w:jc w:val="both"/>
      </w:pPr>
      <w:r>
        <w:t>In the matter between:</w:t>
      </w:r>
    </w:p>
    <w:p w:rsidR="0099401E" w:rsidRDefault="0099401E" w:rsidP="0099401E">
      <w:pPr>
        <w:spacing w:line="480" w:lineRule="auto"/>
        <w:jc w:val="both"/>
      </w:pPr>
      <w:r>
        <w:rPr>
          <w:b/>
        </w:rPr>
        <w:t>NOZIBELE BIKITSHA</w:t>
      </w:r>
      <w:r>
        <w:tab/>
      </w:r>
      <w:r>
        <w:tab/>
      </w:r>
      <w:r>
        <w:tab/>
      </w:r>
      <w:r>
        <w:tab/>
      </w:r>
      <w:r>
        <w:tab/>
      </w:r>
      <w:r>
        <w:tab/>
      </w:r>
      <w:r w:rsidR="009225EC">
        <w:t xml:space="preserve">    </w:t>
      </w:r>
      <w:r>
        <w:t>Applicant</w:t>
      </w:r>
    </w:p>
    <w:p w:rsidR="0099401E" w:rsidRDefault="0099401E" w:rsidP="0099401E">
      <w:pPr>
        <w:spacing w:line="480" w:lineRule="auto"/>
        <w:jc w:val="both"/>
      </w:pPr>
    </w:p>
    <w:p w:rsidR="0099401E" w:rsidRDefault="0099401E" w:rsidP="0099401E">
      <w:pPr>
        <w:spacing w:line="480" w:lineRule="auto"/>
        <w:jc w:val="both"/>
      </w:pPr>
      <w:r>
        <w:t>And</w:t>
      </w:r>
    </w:p>
    <w:p w:rsidR="0099401E" w:rsidRDefault="0099401E" w:rsidP="0099401E">
      <w:pPr>
        <w:spacing w:line="480" w:lineRule="auto"/>
        <w:jc w:val="both"/>
      </w:pPr>
    </w:p>
    <w:p w:rsidR="0099401E" w:rsidRPr="0099401E" w:rsidRDefault="0099401E" w:rsidP="0099401E">
      <w:pPr>
        <w:spacing w:line="480" w:lineRule="auto"/>
        <w:jc w:val="both"/>
      </w:pPr>
      <w:r>
        <w:rPr>
          <w:b/>
        </w:rPr>
        <w:t>PUMZA BIKITSHA</w:t>
      </w:r>
      <w:r>
        <w:rPr>
          <w:b/>
        </w:rPr>
        <w:tab/>
      </w:r>
      <w:r>
        <w:rPr>
          <w:b/>
        </w:rPr>
        <w:tab/>
      </w:r>
      <w:r>
        <w:rPr>
          <w:b/>
        </w:rPr>
        <w:tab/>
      </w:r>
      <w:r>
        <w:rPr>
          <w:b/>
        </w:rPr>
        <w:tab/>
      </w:r>
      <w:r>
        <w:rPr>
          <w:b/>
        </w:rPr>
        <w:tab/>
      </w:r>
      <w:r>
        <w:rPr>
          <w:b/>
        </w:rPr>
        <w:tab/>
      </w:r>
      <w:r w:rsidR="009225EC">
        <w:rPr>
          <w:b/>
        </w:rPr>
        <w:t xml:space="preserve">    </w:t>
      </w:r>
      <w:r>
        <w:t>First Respondent</w:t>
      </w:r>
    </w:p>
    <w:p w:rsidR="0099401E" w:rsidRDefault="0099401E" w:rsidP="0099401E">
      <w:pPr>
        <w:spacing w:line="480" w:lineRule="auto"/>
        <w:jc w:val="both"/>
      </w:pPr>
      <w:r>
        <w:rPr>
          <w:b/>
        </w:rPr>
        <w:t>BANDA BODOZA</w:t>
      </w:r>
      <w:r>
        <w:rPr>
          <w:b/>
        </w:rPr>
        <w:tab/>
      </w:r>
      <w:r>
        <w:rPr>
          <w:b/>
        </w:rPr>
        <w:tab/>
      </w:r>
      <w:r>
        <w:rPr>
          <w:b/>
        </w:rPr>
        <w:tab/>
      </w:r>
      <w:r>
        <w:rPr>
          <w:b/>
        </w:rPr>
        <w:tab/>
      </w:r>
      <w:r>
        <w:rPr>
          <w:b/>
        </w:rPr>
        <w:tab/>
      </w:r>
      <w:r w:rsidR="009225EC">
        <w:rPr>
          <w:b/>
        </w:rPr>
        <w:tab/>
      </w:r>
      <w:r w:rsidRPr="0099401E">
        <w:t>Second</w:t>
      </w:r>
      <w:r>
        <w:rPr>
          <w:b/>
        </w:rPr>
        <w:t xml:space="preserve"> </w:t>
      </w:r>
      <w:r>
        <w:t>Respondent</w:t>
      </w:r>
    </w:p>
    <w:p w:rsidR="0099401E" w:rsidRDefault="0099401E" w:rsidP="0099401E">
      <w:pPr>
        <w:spacing w:line="480" w:lineRule="auto"/>
        <w:jc w:val="both"/>
      </w:pPr>
      <w:r>
        <w:rPr>
          <w:b/>
        </w:rPr>
        <w:t>AYANDA BODOZA</w:t>
      </w:r>
      <w:r>
        <w:rPr>
          <w:b/>
        </w:rPr>
        <w:tab/>
      </w:r>
      <w:r>
        <w:rPr>
          <w:b/>
        </w:rPr>
        <w:tab/>
      </w:r>
      <w:r>
        <w:rPr>
          <w:b/>
        </w:rPr>
        <w:tab/>
      </w:r>
      <w:r>
        <w:rPr>
          <w:b/>
        </w:rPr>
        <w:tab/>
      </w:r>
      <w:r>
        <w:rPr>
          <w:b/>
        </w:rPr>
        <w:tab/>
      </w:r>
      <w:r w:rsidR="009225EC">
        <w:rPr>
          <w:b/>
        </w:rPr>
        <w:tab/>
        <w:t xml:space="preserve">   </w:t>
      </w:r>
      <w:r>
        <w:t>Third Respondent</w:t>
      </w:r>
    </w:p>
    <w:p w:rsidR="0099401E" w:rsidRPr="0099401E" w:rsidRDefault="0099401E" w:rsidP="0099401E">
      <w:pPr>
        <w:spacing w:line="480" w:lineRule="auto"/>
        <w:jc w:val="both"/>
      </w:pPr>
      <w:r>
        <w:rPr>
          <w:b/>
        </w:rPr>
        <w:t>BELEZA BODOZA</w:t>
      </w:r>
      <w:r>
        <w:rPr>
          <w:b/>
        </w:rPr>
        <w:tab/>
      </w:r>
      <w:r>
        <w:rPr>
          <w:b/>
        </w:rPr>
        <w:tab/>
      </w:r>
      <w:r>
        <w:rPr>
          <w:b/>
        </w:rPr>
        <w:tab/>
      </w:r>
      <w:r>
        <w:rPr>
          <w:b/>
        </w:rPr>
        <w:tab/>
      </w:r>
      <w:r>
        <w:rPr>
          <w:b/>
        </w:rPr>
        <w:tab/>
      </w:r>
      <w:r w:rsidR="009225EC">
        <w:rPr>
          <w:b/>
        </w:rPr>
        <w:tab/>
        <w:t xml:space="preserve"> </w:t>
      </w:r>
      <w:r>
        <w:t>Fourth Respondent</w:t>
      </w:r>
    </w:p>
    <w:p w:rsidR="0099401E" w:rsidRDefault="0099401E" w:rsidP="0099401E">
      <w:pPr>
        <w:pBdr>
          <w:bottom w:val="single" w:sz="4" w:space="1" w:color="auto"/>
        </w:pBdr>
        <w:spacing w:line="480" w:lineRule="auto"/>
        <w:jc w:val="both"/>
      </w:pPr>
    </w:p>
    <w:p w:rsidR="0099401E" w:rsidRDefault="0099401E" w:rsidP="0099401E">
      <w:pPr>
        <w:spacing w:line="480" w:lineRule="auto"/>
        <w:jc w:val="center"/>
      </w:pPr>
    </w:p>
    <w:p w:rsidR="0099401E" w:rsidRDefault="0099401E" w:rsidP="0099401E">
      <w:pPr>
        <w:spacing w:line="480" w:lineRule="auto"/>
        <w:jc w:val="center"/>
        <w:rPr>
          <w:b/>
        </w:rPr>
      </w:pPr>
      <w:r>
        <w:rPr>
          <w:b/>
        </w:rPr>
        <w:t>JUDGMENT</w:t>
      </w:r>
    </w:p>
    <w:p w:rsidR="0099401E" w:rsidRDefault="0099401E" w:rsidP="0099401E">
      <w:pPr>
        <w:pBdr>
          <w:top w:val="single" w:sz="4" w:space="1" w:color="auto"/>
        </w:pBdr>
        <w:spacing w:line="480" w:lineRule="auto"/>
        <w:jc w:val="both"/>
      </w:pPr>
    </w:p>
    <w:p w:rsidR="0099401E" w:rsidRDefault="0099401E" w:rsidP="0099401E">
      <w:pPr>
        <w:spacing w:line="480" w:lineRule="auto"/>
        <w:jc w:val="both"/>
        <w:rPr>
          <w:b/>
        </w:rPr>
      </w:pPr>
      <w:r>
        <w:rPr>
          <w:b/>
        </w:rPr>
        <w:t>TOKOTA J</w:t>
      </w:r>
    </w:p>
    <w:p w:rsidR="0099401E" w:rsidRPr="00FF3FA0" w:rsidRDefault="0099401E" w:rsidP="00175E72">
      <w:pPr>
        <w:spacing w:line="480" w:lineRule="auto"/>
        <w:jc w:val="both"/>
        <w:rPr>
          <w:b/>
        </w:rPr>
      </w:pPr>
      <w:r w:rsidRPr="00FF3FA0">
        <w:rPr>
          <w:b/>
        </w:rPr>
        <w:t>Introduction:</w:t>
      </w:r>
    </w:p>
    <w:p w:rsidR="00757048" w:rsidRDefault="009225EC" w:rsidP="00175E72">
      <w:pPr>
        <w:spacing w:line="480" w:lineRule="auto"/>
        <w:jc w:val="both"/>
      </w:pPr>
      <w:r>
        <w:t>[1]</w:t>
      </w:r>
      <w:r>
        <w:tab/>
        <w:t xml:space="preserve">The applicant is approaching this court seeking an </w:t>
      </w:r>
      <w:r w:rsidR="00175E72">
        <w:t xml:space="preserve">order to confirm a temporary </w:t>
      </w:r>
      <w:r>
        <w:t xml:space="preserve">interdict restraining and interdicting </w:t>
      </w:r>
      <w:r w:rsidR="00175E72">
        <w:t xml:space="preserve">the respondents from entering the applicant’s </w:t>
      </w:r>
      <w:r w:rsidR="00175E72">
        <w:lastRenderedPageBreak/>
        <w:t xml:space="preserve">home situated at </w:t>
      </w:r>
      <w:proofErr w:type="spellStart"/>
      <w:r w:rsidR="00175E72">
        <w:t>Hlombe</w:t>
      </w:r>
      <w:proofErr w:type="spellEnd"/>
      <w:r w:rsidR="00175E72">
        <w:t xml:space="preserve"> location </w:t>
      </w:r>
      <w:proofErr w:type="spellStart"/>
      <w:r w:rsidR="00175E72">
        <w:t>Lusikisiki</w:t>
      </w:r>
      <w:proofErr w:type="spellEnd"/>
      <w:r w:rsidR="00175E72">
        <w:t xml:space="preserve">, Eastern Cape with the purpose of committing unlawful acts by removing assets except those belonging to the first respondent. A </w:t>
      </w:r>
      <w:r w:rsidR="00175E72" w:rsidRPr="005F6C78">
        <w:rPr>
          <w:i/>
        </w:rPr>
        <w:t>Rule Nis</w:t>
      </w:r>
      <w:r w:rsidR="005F6C78" w:rsidRPr="005F6C78">
        <w:rPr>
          <w:i/>
        </w:rPr>
        <w:t>i</w:t>
      </w:r>
      <w:r w:rsidR="00175E72">
        <w:t xml:space="preserve"> was granted by this court on 6 July 2021 calling upon t</w:t>
      </w:r>
      <w:r w:rsidR="001D5C49">
        <w:t>he respondents to show cause</w:t>
      </w:r>
      <w:r w:rsidR="00C0135C">
        <w:t>,</w:t>
      </w:r>
      <w:r w:rsidR="001D5C49">
        <w:t xml:space="preserve"> on 24 August 2021</w:t>
      </w:r>
      <w:r w:rsidR="00C0135C">
        <w:t>,</w:t>
      </w:r>
      <w:r w:rsidR="001D5C49">
        <w:t xml:space="preserve"> why the </w:t>
      </w:r>
      <w:r w:rsidR="005F6C78">
        <w:t xml:space="preserve">interim </w:t>
      </w:r>
      <w:r w:rsidR="001D5C49">
        <w:t>order cannot be mad</w:t>
      </w:r>
      <w:r w:rsidR="005F6C78">
        <w:t>e final. On 24 August 2021 the</w:t>
      </w:r>
      <w:r w:rsidR="005F6C78" w:rsidRPr="00C0135C">
        <w:rPr>
          <w:i/>
        </w:rPr>
        <w:t xml:space="preserve"> R</w:t>
      </w:r>
      <w:r w:rsidR="001D5C49" w:rsidRPr="00C0135C">
        <w:rPr>
          <w:i/>
        </w:rPr>
        <w:t>ule</w:t>
      </w:r>
      <w:r w:rsidR="001D5C49">
        <w:t xml:space="preserve"> was extended to 7 September 2021</w:t>
      </w:r>
      <w:r w:rsidR="007008FE">
        <w:t>. On 7 September 2021 the matter was simply p</w:t>
      </w:r>
      <w:r w:rsidR="005F6C78">
        <w:t xml:space="preserve">ostponed to 5 May 2022 and the </w:t>
      </w:r>
      <w:r w:rsidR="005F6C78" w:rsidRPr="005F6C78">
        <w:rPr>
          <w:i/>
        </w:rPr>
        <w:t>Rule N</w:t>
      </w:r>
      <w:r w:rsidR="007008FE" w:rsidRPr="005F6C78">
        <w:rPr>
          <w:i/>
        </w:rPr>
        <w:t>is</w:t>
      </w:r>
      <w:r w:rsidR="005F6C78" w:rsidRPr="005F6C78">
        <w:rPr>
          <w:i/>
        </w:rPr>
        <w:t>i</w:t>
      </w:r>
      <w:r w:rsidR="007008FE">
        <w:t xml:space="preserve"> was not extended. </w:t>
      </w:r>
      <w:r w:rsidR="00FF1802">
        <w:t>The respondents are opposing the matter.</w:t>
      </w:r>
    </w:p>
    <w:p w:rsidR="00FF1802" w:rsidRDefault="00FF1802" w:rsidP="00175E72">
      <w:pPr>
        <w:spacing w:line="480" w:lineRule="auto"/>
        <w:jc w:val="both"/>
      </w:pPr>
    </w:p>
    <w:p w:rsidR="00FF1802" w:rsidRPr="00FF3FA0" w:rsidRDefault="00FF1802" w:rsidP="00175E72">
      <w:pPr>
        <w:spacing w:line="480" w:lineRule="auto"/>
        <w:jc w:val="both"/>
        <w:rPr>
          <w:b/>
        </w:rPr>
      </w:pPr>
      <w:r w:rsidRPr="00FF3FA0">
        <w:rPr>
          <w:b/>
        </w:rPr>
        <w:t>Factual background:</w:t>
      </w:r>
    </w:p>
    <w:p w:rsidR="00FF1802" w:rsidRDefault="00FF1802" w:rsidP="00175E72">
      <w:pPr>
        <w:spacing w:line="480" w:lineRule="auto"/>
        <w:jc w:val="both"/>
      </w:pPr>
    </w:p>
    <w:p w:rsidR="00FF1802" w:rsidRDefault="00FF1802" w:rsidP="00175E72">
      <w:pPr>
        <w:spacing w:line="480" w:lineRule="auto"/>
        <w:jc w:val="both"/>
      </w:pPr>
      <w:r>
        <w:t>[2]</w:t>
      </w:r>
      <w:r>
        <w:tab/>
        <w:t xml:space="preserve">The first respondent was married to the late </w:t>
      </w:r>
      <w:proofErr w:type="spellStart"/>
      <w:r>
        <w:t>Sanele</w:t>
      </w:r>
      <w:proofErr w:type="spellEnd"/>
      <w:r>
        <w:t xml:space="preserve"> </w:t>
      </w:r>
      <w:proofErr w:type="spellStart"/>
      <w:r>
        <w:t>Bikitsha</w:t>
      </w:r>
      <w:proofErr w:type="spellEnd"/>
      <w:r>
        <w:t xml:space="preserve"> who was the brother of the applicant. That marriage was dissolved by the death of </w:t>
      </w:r>
      <w:proofErr w:type="spellStart"/>
      <w:r>
        <w:t>Sanele</w:t>
      </w:r>
      <w:proofErr w:type="spellEnd"/>
      <w:r>
        <w:t xml:space="preserve"> who died on 1 June 2021.</w:t>
      </w:r>
    </w:p>
    <w:p w:rsidR="00FF1802" w:rsidRDefault="00FF1802" w:rsidP="00175E72">
      <w:pPr>
        <w:spacing w:line="480" w:lineRule="auto"/>
        <w:jc w:val="both"/>
      </w:pPr>
    </w:p>
    <w:p w:rsidR="00136773" w:rsidRDefault="00FF1802" w:rsidP="00175E72">
      <w:pPr>
        <w:spacing w:line="480" w:lineRule="auto"/>
        <w:jc w:val="both"/>
      </w:pPr>
      <w:r>
        <w:t>[3]</w:t>
      </w:r>
      <w:r>
        <w:tab/>
        <w:t xml:space="preserve">After the death of </w:t>
      </w:r>
      <w:r w:rsidR="005F6C78">
        <w:t xml:space="preserve">her husband the first respondent </w:t>
      </w:r>
      <w:r>
        <w:t>was chased away from her marital home</w:t>
      </w:r>
      <w:r w:rsidR="00136773">
        <w:t xml:space="preserve"> by the applicant instructing her to take all her</w:t>
      </w:r>
      <w:r w:rsidR="00E968E7">
        <w:t xml:space="preserve"> personal</w:t>
      </w:r>
      <w:r w:rsidR="00136773">
        <w:t xml:space="preserve"> belongings and go away. The applicant is staying at her house in </w:t>
      </w:r>
      <w:proofErr w:type="spellStart"/>
      <w:r w:rsidR="00136773">
        <w:t>Mthatha</w:t>
      </w:r>
      <w:proofErr w:type="spellEnd"/>
      <w:r w:rsidR="00136773">
        <w:t xml:space="preserve"> where she is employed. The first respondent </w:t>
      </w:r>
      <w:r w:rsidR="005F6C78">
        <w:t xml:space="preserve">is </w:t>
      </w:r>
      <w:r w:rsidR="00136773">
        <w:t xml:space="preserve">staying in Gauteng where she is also working. </w:t>
      </w:r>
    </w:p>
    <w:p w:rsidR="00136773" w:rsidRDefault="00136773" w:rsidP="00175E72">
      <w:pPr>
        <w:spacing w:line="480" w:lineRule="auto"/>
        <w:jc w:val="both"/>
      </w:pPr>
    </w:p>
    <w:p w:rsidR="00FF1802" w:rsidRDefault="00136773" w:rsidP="00175E72">
      <w:pPr>
        <w:spacing w:line="480" w:lineRule="auto"/>
        <w:jc w:val="both"/>
      </w:pPr>
      <w:r>
        <w:t>[4]</w:t>
      </w:r>
      <w:r>
        <w:tab/>
        <w:t>On 11 June 2021 the first respondent went and removed some of her personal belongings</w:t>
      </w:r>
      <w:r w:rsidR="005F6C78">
        <w:t xml:space="preserve"> from the marital home</w:t>
      </w:r>
      <w:r>
        <w:t>. The applicant claims that some of the items removed by the first respondent belong</w:t>
      </w:r>
      <w:r w:rsidR="005F6C78">
        <w:t>ed</w:t>
      </w:r>
      <w:r>
        <w:t xml:space="preserve"> to her late brother. She claims that the first respondent is not the heir to her late brother’s estate and as such taking items belonging to him is tantamount to </w:t>
      </w:r>
      <w:proofErr w:type="spellStart"/>
      <w:r>
        <w:t>self help</w:t>
      </w:r>
      <w:proofErr w:type="spellEnd"/>
      <w:r>
        <w:t>.</w:t>
      </w:r>
    </w:p>
    <w:p w:rsidR="00136773" w:rsidRDefault="00136773" w:rsidP="00175E72">
      <w:pPr>
        <w:spacing w:line="480" w:lineRule="auto"/>
        <w:jc w:val="both"/>
      </w:pPr>
    </w:p>
    <w:p w:rsidR="00136773" w:rsidRDefault="00136773" w:rsidP="00175E72">
      <w:pPr>
        <w:spacing w:line="480" w:lineRule="auto"/>
        <w:jc w:val="both"/>
      </w:pPr>
      <w:r>
        <w:lastRenderedPageBreak/>
        <w:t>[5]</w:t>
      </w:r>
      <w:r>
        <w:tab/>
        <w:t xml:space="preserve">It is not necessary to </w:t>
      </w:r>
      <w:r w:rsidR="00C0135C">
        <w:t xml:space="preserve">set out the </w:t>
      </w:r>
      <w:r>
        <w:t>detail</w:t>
      </w:r>
      <w:r w:rsidR="00C0135C">
        <w:t>s of</w:t>
      </w:r>
      <w:r>
        <w:t xml:space="preserve"> what had already been removed or what damage was caused thereby as the interdict is corned with future conduct and not the past.</w:t>
      </w:r>
      <w:r w:rsidR="0083621F">
        <w:rPr>
          <w:rStyle w:val="FootnoteReference"/>
        </w:rPr>
        <w:footnoteReference w:id="1"/>
      </w:r>
    </w:p>
    <w:p w:rsidR="00C0135C" w:rsidRDefault="00C0135C" w:rsidP="00175E72">
      <w:pPr>
        <w:spacing w:line="480" w:lineRule="auto"/>
        <w:jc w:val="both"/>
      </w:pPr>
    </w:p>
    <w:p w:rsidR="0083621F" w:rsidRDefault="0083621F" w:rsidP="00175E72">
      <w:pPr>
        <w:spacing w:line="480" w:lineRule="auto"/>
        <w:jc w:val="both"/>
      </w:pPr>
      <w:r>
        <w:t>[6]</w:t>
      </w:r>
      <w:r>
        <w:tab/>
        <w:t xml:space="preserve">On 12 June 2021 the respondents visited the </w:t>
      </w:r>
      <w:r w:rsidR="00C0135C">
        <w:t>marital home of the first respondent</w:t>
      </w:r>
      <w:r>
        <w:t xml:space="preserve"> again but could not remove anything as they were prevented from doing so. On15 June 2021 the respondents went back again</w:t>
      </w:r>
      <w:r w:rsidR="00B87345">
        <w:t>,</w:t>
      </w:r>
      <w:r>
        <w:t xml:space="preserve"> this time accompanied by the police</w:t>
      </w:r>
      <w:r w:rsidR="00B87345">
        <w:t xml:space="preserve"> and being in possession of a letter from Justice Centre authorising them to remove other items such as garage doors. They were again prevented from removing any item and were advised that they would not be allowed to do so without a court order. They then left.</w:t>
      </w:r>
    </w:p>
    <w:p w:rsidR="00B87345" w:rsidRDefault="00B87345" w:rsidP="00175E72">
      <w:pPr>
        <w:spacing w:line="480" w:lineRule="auto"/>
        <w:jc w:val="both"/>
      </w:pPr>
    </w:p>
    <w:p w:rsidR="0083621F" w:rsidRDefault="00B87345" w:rsidP="00175E72">
      <w:pPr>
        <w:spacing w:line="480" w:lineRule="auto"/>
        <w:jc w:val="both"/>
      </w:pPr>
      <w:r>
        <w:t>[7]</w:t>
      </w:r>
      <w:r>
        <w:tab/>
        <w:t xml:space="preserve">The applicant contends that the first respondent has no right to remove anything belonging </w:t>
      </w:r>
      <w:r w:rsidR="005D019A">
        <w:t>t</w:t>
      </w:r>
      <w:r>
        <w:t>o her husband since she is not the heir to his estate. She contends that the first respondent is committing an offence of trespassing by visiting her marital home.</w:t>
      </w:r>
    </w:p>
    <w:p w:rsidR="009B5AD8" w:rsidRDefault="009B5AD8" w:rsidP="00175E72">
      <w:pPr>
        <w:spacing w:line="480" w:lineRule="auto"/>
        <w:jc w:val="both"/>
        <w:rPr>
          <w:b/>
        </w:rPr>
      </w:pPr>
    </w:p>
    <w:p w:rsidR="00B87345" w:rsidRPr="005D019A" w:rsidRDefault="005D019A" w:rsidP="00175E72">
      <w:pPr>
        <w:spacing w:line="480" w:lineRule="auto"/>
        <w:jc w:val="both"/>
        <w:rPr>
          <w:b/>
        </w:rPr>
      </w:pPr>
      <w:r w:rsidRPr="005D019A">
        <w:rPr>
          <w:b/>
        </w:rPr>
        <w:t>Discussion:</w:t>
      </w:r>
    </w:p>
    <w:p w:rsidR="00677868" w:rsidRDefault="00B87345" w:rsidP="00175E72">
      <w:pPr>
        <w:spacing w:line="480" w:lineRule="auto"/>
        <w:jc w:val="both"/>
        <w:rPr>
          <w:rFonts w:cs="Arial"/>
        </w:rPr>
      </w:pPr>
      <w:r>
        <w:t>[8]</w:t>
      </w:r>
      <w:r>
        <w:tab/>
      </w:r>
      <w:r w:rsidR="00677868">
        <w:t>The</w:t>
      </w:r>
      <w:r w:rsidR="00C97EE8">
        <w:rPr>
          <w:rFonts w:cs="Arial"/>
        </w:rPr>
        <w:t xml:space="preserve"> requirements for a final interdict are trite.</w:t>
      </w:r>
      <w:r w:rsidR="00C97EE8">
        <w:rPr>
          <w:rStyle w:val="FootnoteReference"/>
          <w:rFonts w:cs="Arial"/>
        </w:rPr>
        <w:footnoteReference w:id="2"/>
      </w:r>
      <w:r w:rsidR="00C97EE8">
        <w:rPr>
          <w:rFonts w:cs="Arial"/>
        </w:rPr>
        <w:t xml:space="preserve"> </w:t>
      </w:r>
      <w:r w:rsidR="00C97EE8" w:rsidRPr="006F6C71">
        <w:rPr>
          <w:rFonts w:cs="Arial"/>
        </w:rPr>
        <w:t xml:space="preserve">Accordingly, in order to succeed, the applicant must </w:t>
      </w:r>
      <w:r w:rsidR="00F1454B">
        <w:rPr>
          <w:rFonts w:cs="Arial"/>
        </w:rPr>
        <w:t xml:space="preserve">establish such </w:t>
      </w:r>
      <w:r w:rsidR="00C97EE8" w:rsidRPr="006F6C71">
        <w:rPr>
          <w:rFonts w:cs="Arial"/>
        </w:rPr>
        <w:t>re</w:t>
      </w:r>
      <w:r w:rsidR="00C97EE8">
        <w:rPr>
          <w:rFonts w:cs="Arial"/>
        </w:rPr>
        <w:t>qu</w:t>
      </w:r>
      <w:r w:rsidR="00F1454B">
        <w:rPr>
          <w:rFonts w:cs="Arial"/>
        </w:rPr>
        <w:t xml:space="preserve">irements. </w:t>
      </w:r>
      <w:r w:rsidR="00C97EE8" w:rsidRPr="006F6C71">
        <w:rPr>
          <w:rFonts w:cs="Arial"/>
        </w:rPr>
        <w:t xml:space="preserve">These are </w:t>
      </w:r>
      <w:r w:rsidR="00C97EE8">
        <w:rPr>
          <w:rFonts w:cs="Arial"/>
        </w:rPr>
        <w:t>(a) a clear right,</w:t>
      </w:r>
      <w:r w:rsidR="00C97EE8" w:rsidRPr="006F6C71">
        <w:rPr>
          <w:rFonts w:cs="Arial"/>
        </w:rPr>
        <w:t xml:space="preserve"> </w:t>
      </w:r>
      <w:r w:rsidR="00C97EE8">
        <w:rPr>
          <w:rFonts w:cs="Arial"/>
        </w:rPr>
        <w:t xml:space="preserve">(b) </w:t>
      </w:r>
      <w:r w:rsidR="00C97EE8" w:rsidRPr="006F6C71">
        <w:rPr>
          <w:rFonts w:cs="Arial"/>
        </w:rPr>
        <w:t xml:space="preserve">injury actually committed or reasonably apprehended, and </w:t>
      </w:r>
      <w:r w:rsidR="00C97EE8">
        <w:rPr>
          <w:rFonts w:cs="Arial"/>
        </w:rPr>
        <w:t xml:space="preserve">(c) </w:t>
      </w:r>
      <w:r w:rsidR="00C97EE8" w:rsidRPr="006F6C71">
        <w:rPr>
          <w:rFonts w:cs="Arial"/>
        </w:rPr>
        <w:t>the absence of similar protecti</w:t>
      </w:r>
      <w:r w:rsidR="00C97EE8">
        <w:rPr>
          <w:rFonts w:cs="Arial"/>
        </w:rPr>
        <w:t xml:space="preserve">on by any other ordinary remedy. </w:t>
      </w:r>
    </w:p>
    <w:p w:rsidR="00F1454B" w:rsidRDefault="00F1454B" w:rsidP="00175E72">
      <w:pPr>
        <w:spacing w:line="480" w:lineRule="auto"/>
        <w:jc w:val="both"/>
        <w:rPr>
          <w:rFonts w:cs="Arial"/>
        </w:rPr>
      </w:pPr>
    </w:p>
    <w:p w:rsidR="00F1454B" w:rsidRDefault="0071262F" w:rsidP="00175E72">
      <w:pPr>
        <w:spacing w:line="480" w:lineRule="auto"/>
        <w:jc w:val="both"/>
        <w:rPr>
          <w:szCs w:val="26"/>
        </w:rPr>
      </w:pPr>
      <w:r>
        <w:rPr>
          <w:szCs w:val="26"/>
        </w:rPr>
        <w:lastRenderedPageBreak/>
        <w:t>[</w:t>
      </w:r>
      <w:r w:rsidR="00F1454B">
        <w:rPr>
          <w:szCs w:val="26"/>
        </w:rPr>
        <w:t>9]</w:t>
      </w:r>
      <w:r w:rsidR="00F1454B">
        <w:rPr>
          <w:szCs w:val="26"/>
        </w:rPr>
        <w:tab/>
        <w:t xml:space="preserve">The clear right to be proved is a right to which, if not protected by an interdict, irreparable harm would ensue.  Quite apart from the right to an interdict, the applicant should demonstrate a right that is threatened by an impending or imminent irreparable harm.  </w:t>
      </w:r>
      <w:r w:rsidR="00FE435C">
        <w:rPr>
          <w:szCs w:val="26"/>
        </w:rPr>
        <w:t>It is a right to which, if not protected by an interdict, irreparable harm would ensue.</w:t>
      </w:r>
      <w:r w:rsidR="00FE435C">
        <w:rPr>
          <w:rStyle w:val="FootnoteReference"/>
          <w:szCs w:val="26"/>
        </w:rPr>
        <w:footnoteReference w:id="3"/>
      </w:r>
      <w:r w:rsidR="00FE435C">
        <w:rPr>
          <w:szCs w:val="26"/>
        </w:rPr>
        <w:t xml:space="preserve">  An interdict is meant to prevent future conduc</w:t>
      </w:r>
      <w:r w:rsidR="00206D0F">
        <w:rPr>
          <w:szCs w:val="26"/>
        </w:rPr>
        <w:t>t and not the past</w:t>
      </w:r>
      <w:r w:rsidR="00FE435C">
        <w:rPr>
          <w:szCs w:val="26"/>
        </w:rPr>
        <w:t xml:space="preserve">.  When the applicant approached this court for an interim interdict she should have demonstrated a </w:t>
      </w:r>
      <w:r w:rsidR="00FE435C" w:rsidRPr="00E968E7">
        <w:rPr>
          <w:i/>
          <w:szCs w:val="26"/>
        </w:rPr>
        <w:t>prima facie</w:t>
      </w:r>
      <w:r w:rsidR="00FE435C">
        <w:rPr>
          <w:szCs w:val="26"/>
        </w:rPr>
        <w:t xml:space="preserve"> right that is threatened by an impending or imminent irreparable harm. On her own version she did not demonstra</w:t>
      </w:r>
      <w:r w:rsidR="00206D0F">
        <w:rPr>
          <w:szCs w:val="26"/>
        </w:rPr>
        <w:t xml:space="preserve">te any right which was </w:t>
      </w:r>
      <w:r w:rsidR="00FE435C">
        <w:rPr>
          <w:szCs w:val="26"/>
        </w:rPr>
        <w:t>threatened.</w:t>
      </w:r>
    </w:p>
    <w:p w:rsidR="00FE435C" w:rsidRDefault="00FE435C" w:rsidP="00175E72">
      <w:pPr>
        <w:spacing w:line="480" w:lineRule="auto"/>
        <w:jc w:val="both"/>
      </w:pPr>
    </w:p>
    <w:p w:rsidR="00EF1DCA" w:rsidRDefault="00EF1DCA" w:rsidP="00175E72">
      <w:pPr>
        <w:spacing w:line="480" w:lineRule="auto"/>
        <w:jc w:val="both"/>
      </w:pPr>
      <w:r>
        <w:t>[10]</w:t>
      </w:r>
      <w:r>
        <w:tab/>
        <w:t xml:space="preserve">This application falls flat on the first requirement for final interdict.  The applicant is not the owner of the property from which the first respondent has been interdicted. She stays in </w:t>
      </w:r>
      <w:proofErr w:type="spellStart"/>
      <w:r>
        <w:t>Mthatha</w:t>
      </w:r>
      <w:proofErr w:type="spellEnd"/>
      <w:r>
        <w:t>. The place in question is the marital home of the first respon</w:t>
      </w:r>
      <w:r w:rsidR="00FF3FA0">
        <w:t>dent. It is common cause that th</w:t>
      </w:r>
      <w:r>
        <w:t>e</w:t>
      </w:r>
      <w:r w:rsidR="00FF3FA0">
        <w:t xml:space="preserve"> first respondent</w:t>
      </w:r>
      <w:r w:rsidR="00E968E7">
        <w:t xml:space="preserve"> was married to the applicant’</w:t>
      </w:r>
      <w:r>
        <w:t xml:space="preserve">s brother </w:t>
      </w:r>
      <w:r w:rsidR="00E968E7">
        <w:t>(the deceased)</w:t>
      </w:r>
      <w:proofErr w:type="gramStart"/>
      <w:r w:rsidR="00E968E7">
        <w:t>.</w:t>
      </w:r>
      <w:r>
        <w:t>.</w:t>
      </w:r>
      <w:proofErr w:type="gramEnd"/>
      <w:r>
        <w:t xml:space="preserve"> She was the one who bought </w:t>
      </w:r>
      <w:r w:rsidR="00E968E7">
        <w:t xml:space="preserve">the </w:t>
      </w:r>
      <w:r>
        <w:t>house hold necessities as her husband was not working. The applicant has no right to pre</w:t>
      </w:r>
      <w:r w:rsidR="00FF3FA0">
        <w:t xml:space="preserve">vent her from </w:t>
      </w:r>
      <w:r w:rsidR="00C0135C">
        <w:t>staying</w:t>
      </w:r>
      <w:r w:rsidR="00FF3FA0">
        <w:t xml:space="preserve">, </w:t>
      </w:r>
      <w:r>
        <w:t>visiting or even taking her own property</w:t>
      </w:r>
      <w:r w:rsidR="00FF3FA0">
        <w:t xml:space="preserve"> from the marital home</w:t>
      </w:r>
      <w:r>
        <w:t xml:space="preserve">. The applicant </w:t>
      </w:r>
      <w:r w:rsidR="00206D0F">
        <w:t xml:space="preserve">has </w:t>
      </w:r>
      <w:r w:rsidR="00FF3FA0">
        <w:t xml:space="preserve">not </w:t>
      </w:r>
      <w:r>
        <w:t>allege</w:t>
      </w:r>
      <w:r w:rsidR="00206D0F">
        <w:t>d</w:t>
      </w:r>
      <w:r>
        <w:t xml:space="preserve"> any right which she may have</w:t>
      </w:r>
      <w:r w:rsidR="00FF3FA0">
        <w:t xml:space="preserve"> had</w:t>
      </w:r>
      <w:r>
        <w:t xml:space="preserve"> to any property in the homestead.</w:t>
      </w:r>
      <w:r w:rsidR="00E968E7">
        <w:t xml:space="preserve"> There she has no</w:t>
      </w:r>
      <w:r w:rsidR="009B483E">
        <w:t>t demonstrated any</w:t>
      </w:r>
      <w:r w:rsidR="00E968E7">
        <w:t xml:space="preserve"> r</w:t>
      </w:r>
      <w:r w:rsidR="009B483E">
        <w:t>i</w:t>
      </w:r>
      <w:r w:rsidR="00E968E7">
        <w:t>ght to be protected by means of an interdict.</w:t>
      </w:r>
    </w:p>
    <w:p w:rsidR="00EF1DCA" w:rsidRDefault="00EF1DCA" w:rsidP="00175E72">
      <w:pPr>
        <w:spacing w:line="480" w:lineRule="auto"/>
        <w:jc w:val="both"/>
      </w:pPr>
    </w:p>
    <w:p w:rsidR="00F1454B" w:rsidRDefault="00EF1DCA" w:rsidP="00175E72">
      <w:pPr>
        <w:spacing w:line="480" w:lineRule="auto"/>
        <w:jc w:val="both"/>
      </w:pPr>
      <w:r>
        <w:t>[11]</w:t>
      </w:r>
      <w:r>
        <w:tab/>
        <w:t xml:space="preserve">The second requirement depends on the first one. Consequently the application cannot succeed. This is merely a family feud which should not have come to this </w:t>
      </w:r>
      <w:r w:rsidR="00516E24">
        <w:t>court</w:t>
      </w:r>
      <w:r>
        <w:t xml:space="preserve">. </w:t>
      </w:r>
    </w:p>
    <w:p w:rsidR="00516E24" w:rsidRDefault="00516E24" w:rsidP="00175E72">
      <w:pPr>
        <w:spacing w:line="480" w:lineRule="auto"/>
        <w:jc w:val="both"/>
      </w:pPr>
    </w:p>
    <w:p w:rsidR="00516E24" w:rsidRDefault="00516E24" w:rsidP="00175E72">
      <w:pPr>
        <w:spacing w:line="480" w:lineRule="auto"/>
        <w:jc w:val="both"/>
      </w:pPr>
      <w:r>
        <w:t>[12]</w:t>
      </w:r>
      <w:r>
        <w:tab/>
        <w:t xml:space="preserve">There was an argument that the </w:t>
      </w:r>
      <w:r w:rsidRPr="003640B6">
        <w:rPr>
          <w:i/>
        </w:rPr>
        <w:t>Rule Nisi</w:t>
      </w:r>
      <w:r>
        <w:t xml:space="preserve"> has lapsed by reason of the fact that when the matter was last postponed to 5 May </w:t>
      </w:r>
      <w:r w:rsidR="00FF3FA0">
        <w:t xml:space="preserve">2022 </w:t>
      </w:r>
      <w:r>
        <w:t xml:space="preserve">the </w:t>
      </w:r>
      <w:r w:rsidRPr="009B483E">
        <w:rPr>
          <w:i/>
        </w:rPr>
        <w:t>Rule</w:t>
      </w:r>
      <w:r>
        <w:t xml:space="preserve"> was not extended. In the </w:t>
      </w:r>
      <w:r>
        <w:lastRenderedPageBreak/>
        <w:t>light of the view I take of the matter it is not necessary to debate that issue</w:t>
      </w:r>
      <w:r w:rsidR="003640B6">
        <w:t xml:space="preserve"> here</w:t>
      </w:r>
      <w:r>
        <w:t>. I will assume, without deciding, in fav</w:t>
      </w:r>
      <w:r w:rsidR="00FF3FA0">
        <w:t xml:space="preserve">our of the applicant that the </w:t>
      </w:r>
      <w:r w:rsidR="00FF3FA0" w:rsidRPr="009B483E">
        <w:rPr>
          <w:i/>
        </w:rPr>
        <w:t>R</w:t>
      </w:r>
      <w:r w:rsidRPr="009B483E">
        <w:rPr>
          <w:i/>
        </w:rPr>
        <w:t>ule</w:t>
      </w:r>
      <w:r>
        <w:t xml:space="preserve"> </w:t>
      </w:r>
      <w:r w:rsidR="003640B6">
        <w:t>has not lapsed</w:t>
      </w:r>
      <w:r>
        <w:t>.</w:t>
      </w:r>
    </w:p>
    <w:p w:rsidR="00F1454B" w:rsidRDefault="00F1454B" w:rsidP="00175E72">
      <w:pPr>
        <w:spacing w:line="480" w:lineRule="auto"/>
        <w:jc w:val="both"/>
      </w:pPr>
    </w:p>
    <w:p w:rsidR="000929A9" w:rsidRDefault="00516E24" w:rsidP="00175E72">
      <w:pPr>
        <w:spacing w:line="480" w:lineRule="auto"/>
        <w:jc w:val="both"/>
      </w:pPr>
      <w:r>
        <w:t>[13]</w:t>
      </w:r>
      <w:r>
        <w:tab/>
        <w:t xml:space="preserve">What remains is a question of costs. The general rule is that costs </w:t>
      </w:r>
      <w:r w:rsidR="003640B6">
        <w:t xml:space="preserve">should </w:t>
      </w:r>
      <w:r>
        <w:t>follo</w:t>
      </w:r>
      <w:r w:rsidR="003640B6">
        <w:t>w the event. I see no reason why I should</w:t>
      </w:r>
      <w:r>
        <w:t xml:space="preserve"> deviate from that rule.</w:t>
      </w:r>
    </w:p>
    <w:p w:rsidR="00516E24" w:rsidRDefault="00516E24" w:rsidP="00175E72">
      <w:pPr>
        <w:spacing w:line="480" w:lineRule="auto"/>
        <w:jc w:val="both"/>
      </w:pPr>
    </w:p>
    <w:p w:rsidR="00516E24" w:rsidRDefault="00516E24" w:rsidP="00175E72">
      <w:pPr>
        <w:spacing w:line="480" w:lineRule="auto"/>
        <w:jc w:val="both"/>
      </w:pPr>
      <w:r>
        <w:t>[14]</w:t>
      </w:r>
      <w:r>
        <w:tab/>
        <w:t>In the result the following order will issue:</w:t>
      </w:r>
    </w:p>
    <w:p w:rsidR="00516E24" w:rsidRDefault="00516E24" w:rsidP="00175E72">
      <w:pPr>
        <w:spacing w:line="480" w:lineRule="auto"/>
        <w:jc w:val="both"/>
      </w:pPr>
      <w:r>
        <w:t>1.</w:t>
      </w:r>
      <w:r>
        <w:tab/>
        <w:t xml:space="preserve">The </w:t>
      </w:r>
      <w:r w:rsidR="00FF3FA0" w:rsidRPr="00C0135C">
        <w:rPr>
          <w:i/>
        </w:rPr>
        <w:t>Rule Ni</w:t>
      </w:r>
      <w:r w:rsidRPr="00C0135C">
        <w:rPr>
          <w:i/>
        </w:rPr>
        <w:t>si</w:t>
      </w:r>
      <w:r>
        <w:t xml:space="preserve"> granted on 6 July 2021 is hereby discharged.</w:t>
      </w:r>
    </w:p>
    <w:p w:rsidR="00516E24" w:rsidRDefault="00516E24" w:rsidP="00175E72">
      <w:pPr>
        <w:spacing w:line="480" w:lineRule="auto"/>
        <w:jc w:val="both"/>
      </w:pPr>
      <w:r>
        <w:t>2.</w:t>
      </w:r>
      <w:r>
        <w:tab/>
        <w:t>The applicant is ordered to pay costs of this application.</w:t>
      </w:r>
    </w:p>
    <w:p w:rsidR="000929A9" w:rsidRDefault="000929A9" w:rsidP="00175E72">
      <w:pPr>
        <w:spacing w:line="480" w:lineRule="auto"/>
        <w:jc w:val="both"/>
      </w:pPr>
    </w:p>
    <w:p w:rsidR="000929A9" w:rsidRPr="00042D1B" w:rsidRDefault="000929A9" w:rsidP="00175E72">
      <w:pPr>
        <w:spacing w:line="480" w:lineRule="auto"/>
        <w:jc w:val="both"/>
        <w:rPr>
          <w:b/>
        </w:rPr>
      </w:pPr>
    </w:p>
    <w:p w:rsidR="000929A9" w:rsidRPr="00042D1B" w:rsidRDefault="00516E24" w:rsidP="00175E72">
      <w:pPr>
        <w:spacing w:line="480" w:lineRule="auto"/>
        <w:jc w:val="both"/>
        <w:rPr>
          <w:b/>
        </w:rPr>
      </w:pPr>
      <w:r w:rsidRPr="00042D1B">
        <w:rPr>
          <w:b/>
        </w:rPr>
        <w:t>B R TOKOTA</w:t>
      </w:r>
    </w:p>
    <w:p w:rsidR="00516E24" w:rsidRPr="00042D1B" w:rsidRDefault="00516E24" w:rsidP="00175E72">
      <w:pPr>
        <w:spacing w:line="480" w:lineRule="auto"/>
        <w:jc w:val="both"/>
        <w:rPr>
          <w:b/>
        </w:rPr>
      </w:pPr>
      <w:r w:rsidRPr="00042D1B">
        <w:rPr>
          <w:b/>
        </w:rPr>
        <w:t>JUDGE OF THE HIGH COURT</w:t>
      </w:r>
    </w:p>
    <w:p w:rsidR="00516E24" w:rsidRPr="00042D1B" w:rsidRDefault="00516E24" w:rsidP="00175E72">
      <w:pPr>
        <w:spacing w:line="480" w:lineRule="auto"/>
        <w:jc w:val="both"/>
        <w:rPr>
          <w:b/>
        </w:rPr>
      </w:pPr>
    </w:p>
    <w:p w:rsidR="00516E24" w:rsidRDefault="00516E24" w:rsidP="00175E72">
      <w:pPr>
        <w:spacing w:line="480" w:lineRule="auto"/>
        <w:jc w:val="both"/>
      </w:pPr>
      <w:r>
        <w:t>Appearances:</w:t>
      </w:r>
    </w:p>
    <w:p w:rsidR="00516E24" w:rsidRDefault="00516E24" w:rsidP="00175E72">
      <w:pPr>
        <w:spacing w:line="480" w:lineRule="auto"/>
        <w:jc w:val="both"/>
      </w:pPr>
      <w:r>
        <w:t>For the applicant:</w:t>
      </w:r>
      <w:r>
        <w:tab/>
      </w:r>
      <w:r>
        <w:tab/>
      </w:r>
      <w:r>
        <w:tab/>
      </w:r>
      <w:r>
        <w:tab/>
      </w:r>
      <w:r w:rsidR="00BF21F4">
        <w:t xml:space="preserve">Mr S L </w:t>
      </w:r>
      <w:proofErr w:type="spellStart"/>
      <w:r w:rsidR="00BF21F4">
        <w:t>Mgxaji</w:t>
      </w:r>
      <w:proofErr w:type="spellEnd"/>
    </w:p>
    <w:p w:rsidR="00BF21F4" w:rsidRDefault="00BF21F4" w:rsidP="00175E72">
      <w:pPr>
        <w:spacing w:line="480" w:lineRule="auto"/>
        <w:jc w:val="both"/>
      </w:pPr>
      <w:r>
        <w:t xml:space="preserve">Of </w:t>
      </w:r>
      <w:proofErr w:type="spellStart"/>
      <w:r>
        <w:t>Mgxaji</w:t>
      </w:r>
      <w:proofErr w:type="spellEnd"/>
      <w:r>
        <w:t xml:space="preserve"> &amp; Co Inc.</w:t>
      </w:r>
    </w:p>
    <w:p w:rsidR="00BF21F4" w:rsidRDefault="00BF21F4" w:rsidP="00175E72">
      <w:pPr>
        <w:spacing w:line="480" w:lineRule="auto"/>
        <w:jc w:val="both"/>
      </w:pPr>
      <w:r>
        <w:t>For the respondent:</w:t>
      </w:r>
      <w:r w:rsidR="00C56CC9">
        <w:tab/>
      </w:r>
      <w:r w:rsidR="00C56CC9">
        <w:tab/>
      </w:r>
      <w:r w:rsidR="00C56CC9">
        <w:tab/>
      </w:r>
      <w:r w:rsidR="00C56CC9">
        <w:tab/>
        <w:t xml:space="preserve">Mr </w:t>
      </w:r>
      <w:proofErr w:type="spellStart"/>
      <w:r w:rsidR="00C56CC9">
        <w:t>Madubela</w:t>
      </w:r>
      <w:proofErr w:type="spellEnd"/>
    </w:p>
    <w:p w:rsidR="00F61EDF" w:rsidRDefault="00F61EDF" w:rsidP="00175E72">
      <w:pPr>
        <w:spacing w:line="480" w:lineRule="auto"/>
        <w:jc w:val="both"/>
      </w:pPr>
      <w:r>
        <w:t xml:space="preserve">Instructed by </w:t>
      </w:r>
      <w:proofErr w:type="spellStart"/>
      <w:r w:rsidR="00C56CC9">
        <w:t>Mkata</w:t>
      </w:r>
      <w:proofErr w:type="spellEnd"/>
      <w:r w:rsidR="00C56CC9">
        <w:t xml:space="preserve"> Attorneys</w:t>
      </w:r>
    </w:p>
    <w:p w:rsidR="00C56CC9" w:rsidRDefault="00C56CC9" w:rsidP="00175E72">
      <w:pPr>
        <w:spacing w:line="480" w:lineRule="auto"/>
        <w:jc w:val="both"/>
      </w:pPr>
      <w:r>
        <w:t>Date of hearing:</w:t>
      </w:r>
      <w:r>
        <w:tab/>
      </w:r>
      <w:r>
        <w:tab/>
      </w:r>
      <w:r>
        <w:tab/>
      </w:r>
      <w:r>
        <w:tab/>
        <w:t>5 May 2022.</w:t>
      </w:r>
    </w:p>
    <w:p w:rsidR="00C56CC9" w:rsidRDefault="00780F40" w:rsidP="00175E72">
      <w:pPr>
        <w:spacing w:line="480" w:lineRule="auto"/>
        <w:jc w:val="both"/>
      </w:pPr>
      <w:r>
        <w:t>Date of delivery:</w:t>
      </w:r>
      <w:r>
        <w:tab/>
      </w:r>
      <w:r>
        <w:tab/>
      </w:r>
      <w:r>
        <w:tab/>
      </w:r>
      <w:r>
        <w:tab/>
        <w:t>17 May 2022.</w:t>
      </w:r>
    </w:p>
    <w:p w:rsidR="000929A9" w:rsidRDefault="000929A9" w:rsidP="00175E72">
      <w:pPr>
        <w:spacing w:line="480" w:lineRule="auto"/>
        <w:jc w:val="both"/>
      </w:pPr>
    </w:p>
    <w:p w:rsidR="0083621F" w:rsidRDefault="0083621F" w:rsidP="00175E72">
      <w:pPr>
        <w:spacing w:line="480" w:lineRule="auto"/>
        <w:jc w:val="both"/>
      </w:pPr>
      <w:r>
        <w:rPr>
          <w:szCs w:val="26"/>
        </w:rPr>
        <w:t>.</w:t>
      </w:r>
      <w:r>
        <w:rPr>
          <w:rStyle w:val="FootnoteReference"/>
          <w:szCs w:val="26"/>
        </w:rPr>
        <w:footnoteReference w:id="4"/>
      </w:r>
      <w:r>
        <w:rPr>
          <w:szCs w:val="26"/>
        </w:rPr>
        <w:t xml:space="preserve">  </w:t>
      </w:r>
    </w:p>
    <w:sectPr w:rsidR="0083621F" w:rsidSect="007570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E3" w:rsidRDefault="00652DE3" w:rsidP="0083621F">
      <w:r>
        <w:separator/>
      </w:r>
    </w:p>
  </w:endnote>
  <w:endnote w:type="continuationSeparator" w:id="0">
    <w:p w:rsidR="00652DE3" w:rsidRDefault="00652DE3" w:rsidP="0083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05608"/>
      <w:docPartObj>
        <w:docPartGallery w:val="Page Numbers (Bottom of Page)"/>
        <w:docPartUnique/>
      </w:docPartObj>
    </w:sdtPr>
    <w:sdtEndPr>
      <w:rPr>
        <w:noProof/>
      </w:rPr>
    </w:sdtEndPr>
    <w:sdtContent>
      <w:p w:rsidR="0067374E" w:rsidRDefault="0067374E">
        <w:pPr>
          <w:pStyle w:val="Footer"/>
          <w:jc w:val="center"/>
        </w:pPr>
        <w:r>
          <w:fldChar w:fldCharType="begin"/>
        </w:r>
        <w:r>
          <w:instrText xml:space="preserve"> PAGE   \* MERGEFORMAT </w:instrText>
        </w:r>
        <w:r>
          <w:fldChar w:fldCharType="separate"/>
        </w:r>
        <w:r w:rsidR="004B07A6">
          <w:rPr>
            <w:noProof/>
          </w:rPr>
          <w:t>5</w:t>
        </w:r>
        <w:r>
          <w:rPr>
            <w:noProof/>
          </w:rPr>
          <w:fldChar w:fldCharType="end"/>
        </w:r>
      </w:p>
    </w:sdtContent>
  </w:sdt>
  <w:p w:rsidR="0067374E" w:rsidRDefault="00673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E3" w:rsidRDefault="00652DE3" w:rsidP="0083621F">
      <w:r>
        <w:separator/>
      </w:r>
    </w:p>
  </w:footnote>
  <w:footnote w:type="continuationSeparator" w:id="0">
    <w:p w:rsidR="00652DE3" w:rsidRDefault="00652DE3" w:rsidP="0083621F">
      <w:r>
        <w:continuationSeparator/>
      </w:r>
    </w:p>
  </w:footnote>
  <w:footnote w:id="1">
    <w:p w:rsidR="0083621F" w:rsidRPr="00CC1FDA" w:rsidRDefault="0083621F" w:rsidP="00CC1FDA">
      <w:pPr>
        <w:rPr>
          <w:sz w:val="20"/>
          <w:szCs w:val="20"/>
        </w:rPr>
      </w:pPr>
      <w:r>
        <w:rPr>
          <w:rStyle w:val="FootnoteReference"/>
        </w:rPr>
        <w:footnoteRef/>
      </w:r>
      <w:r w:rsidR="00CC1FDA" w:rsidRPr="006C550C">
        <w:rPr>
          <w:sz w:val="20"/>
          <w:szCs w:val="20"/>
        </w:rPr>
        <w:t>National Treasury v Opposition to Urban Tolling All</w:t>
      </w:r>
      <w:r w:rsidR="00CC1FDA">
        <w:rPr>
          <w:sz w:val="20"/>
          <w:szCs w:val="20"/>
        </w:rPr>
        <w:t>ia</w:t>
      </w:r>
      <w:r w:rsidR="009B5AD8">
        <w:rPr>
          <w:sz w:val="20"/>
          <w:szCs w:val="20"/>
        </w:rPr>
        <w:t>nce 2012 (6) SA 223 (CC) para.50</w:t>
      </w:r>
    </w:p>
  </w:footnote>
  <w:footnote w:id="2">
    <w:p w:rsidR="00C97EE8" w:rsidRDefault="00C97EE8" w:rsidP="00C97EE8">
      <w:pPr>
        <w:pStyle w:val="FootnoteText"/>
      </w:pPr>
      <w:r>
        <w:rPr>
          <w:rStyle w:val="FootnoteReference"/>
        </w:rPr>
        <w:footnoteRef/>
      </w:r>
      <w:r>
        <w:t xml:space="preserve"> </w:t>
      </w:r>
      <w:proofErr w:type="spellStart"/>
      <w:r w:rsidRPr="009B7CA0">
        <w:t>Setlogelo</w:t>
      </w:r>
      <w:proofErr w:type="spellEnd"/>
      <w:r>
        <w:t xml:space="preserve"> v </w:t>
      </w:r>
      <w:proofErr w:type="spellStart"/>
      <w:r>
        <w:t>Setlogelo</w:t>
      </w:r>
      <w:proofErr w:type="spellEnd"/>
      <w:r>
        <w:t xml:space="preserve"> 1914 AD 221:  at 227 </w:t>
      </w:r>
    </w:p>
  </w:footnote>
  <w:footnote w:id="3">
    <w:p w:rsidR="00FE435C" w:rsidRDefault="00FE435C" w:rsidP="00FE435C">
      <w:pPr>
        <w:pStyle w:val="FootnoteText"/>
        <w:spacing w:after="120"/>
      </w:pPr>
      <w:r>
        <w:rPr>
          <w:rStyle w:val="FootnoteReference"/>
        </w:rPr>
        <w:footnoteRef/>
      </w:r>
      <w:r w:rsidR="00A77072">
        <w:t xml:space="preserve"> OUTA para.50 footnote 1 </w:t>
      </w:r>
    </w:p>
  </w:footnote>
  <w:footnote w:id="4">
    <w:p w:rsidR="0083621F" w:rsidRDefault="0083621F" w:rsidP="0083621F">
      <w:pPr>
        <w:pStyle w:val="FootnoteText"/>
        <w:spacing w:after="120"/>
      </w:pPr>
      <w:r w:rsidRPr="00CE2131">
        <w:rPr>
          <w:rStyle w:val="FootnoteReference"/>
        </w:rPr>
        <w:footnoteRef/>
      </w:r>
      <w:r w:rsidRPr="00CE2131">
        <w:t xml:space="preserve"> </w:t>
      </w:r>
      <w:proofErr w:type="spellStart"/>
      <w:r w:rsidRPr="005664FF">
        <w:rPr>
          <w:i/>
        </w:rPr>
        <w:t>Setlogelo</w:t>
      </w:r>
      <w:proofErr w:type="spellEnd"/>
      <w:r w:rsidRPr="005664FF">
        <w:rPr>
          <w:i/>
        </w:rPr>
        <w:t xml:space="preserve"> v </w:t>
      </w:r>
      <w:proofErr w:type="spellStart"/>
      <w:r w:rsidRPr="005664FF">
        <w:rPr>
          <w:i/>
        </w:rPr>
        <w:t>Setlogelo</w:t>
      </w:r>
      <w:proofErr w:type="spellEnd"/>
      <w:r>
        <w:t xml:space="preserve"> 1914 AD 221.  </w:t>
      </w:r>
      <w:proofErr w:type="gramStart"/>
      <w:r>
        <w:t>at</w:t>
      </w:r>
      <w:proofErr w:type="gramEnd"/>
      <w:r>
        <w:t xml:space="preserve"> 227.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E"/>
    <w:rsid w:val="00015934"/>
    <w:rsid w:val="00042D1B"/>
    <w:rsid w:val="000929A9"/>
    <w:rsid w:val="000B4A57"/>
    <w:rsid w:val="00134385"/>
    <w:rsid w:val="00136773"/>
    <w:rsid w:val="00175E72"/>
    <w:rsid w:val="001D5C49"/>
    <w:rsid w:val="00206D0F"/>
    <w:rsid w:val="002A4006"/>
    <w:rsid w:val="002B2342"/>
    <w:rsid w:val="002C40B8"/>
    <w:rsid w:val="003640B6"/>
    <w:rsid w:val="00406AC2"/>
    <w:rsid w:val="004B07A6"/>
    <w:rsid w:val="00516E24"/>
    <w:rsid w:val="005D019A"/>
    <w:rsid w:val="005F6C78"/>
    <w:rsid w:val="00652DE3"/>
    <w:rsid w:val="0067374E"/>
    <w:rsid w:val="00677868"/>
    <w:rsid w:val="006A0EAB"/>
    <w:rsid w:val="006F6667"/>
    <w:rsid w:val="007008FE"/>
    <w:rsid w:val="0071262F"/>
    <w:rsid w:val="007227B5"/>
    <w:rsid w:val="00735467"/>
    <w:rsid w:val="00757048"/>
    <w:rsid w:val="00780F40"/>
    <w:rsid w:val="007B028A"/>
    <w:rsid w:val="00804648"/>
    <w:rsid w:val="00834EBE"/>
    <w:rsid w:val="0083621F"/>
    <w:rsid w:val="008F73E9"/>
    <w:rsid w:val="009225EC"/>
    <w:rsid w:val="00974A9B"/>
    <w:rsid w:val="0099401E"/>
    <w:rsid w:val="009B483E"/>
    <w:rsid w:val="009B5AD8"/>
    <w:rsid w:val="00A77072"/>
    <w:rsid w:val="00A95CFD"/>
    <w:rsid w:val="00B87345"/>
    <w:rsid w:val="00BF21F4"/>
    <w:rsid w:val="00C0135C"/>
    <w:rsid w:val="00C041F9"/>
    <w:rsid w:val="00C56CC9"/>
    <w:rsid w:val="00C97EE8"/>
    <w:rsid w:val="00CC1FDA"/>
    <w:rsid w:val="00DB2B64"/>
    <w:rsid w:val="00E84C61"/>
    <w:rsid w:val="00E968E7"/>
    <w:rsid w:val="00EF1DCA"/>
    <w:rsid w:val="00F1454B"/>
    <w:rsid w:val="00F61EDF"/>
    <w:rsid w:val="00FC77A2"/>
    <w:rsid w:val="00FE435C"/>
    <w:rsid w:val="00FF1802"/>
    <w:rsid w:val="00FF31B2"/>
    <w:rsid w:val="00FF3F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9B5DC-C580-4FE2-A6D6-D6A7F962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1E"/>
    <w:rPr>
      <w:rFonts w:ascii="Arial" w:hAnsi="Arial"/>
      <w:sz w:val="24"/>
      <w:szCs w:val="24"/>
      <w:lang w:eastAsia="en-US"/>
    </w:rPr>
  </w:style>
  <w:style w:type="paragraph" w:styleId="Heading1">
    <w:name w:val="heading 1"/>
    <w:basedOn w:val="Normal"/>
    <w:next w:val="Normal"/>
    <w:link w:val="Heading1Char"/>
    <w:qFormat/>
    <w:rsid w:val="00974A9B"/>
    <w:pPr>
      <w:keepNext/>
      <w:spacing w:after="360" w:line="480" w:lineRule="auto"/>
      <w:jc w:val="both"/>
      <w:outlineLvl w:val="0"/>
    </w:pPr>
    <w:rPr>
      <w:b/>
      <w:u w:val="single"/>
    </w:rPr>
  </w:style>
  <w:style w:type="paragraph" w:styleId="Heading2">
    <w:name w:val="heading 2"/>
    <w:basedOn w:val="Normal"/>
    <w:next w:val="Normal"/>
    <w:link w:val="Heading2Char"/>
    <w:uiPriority w:val="9"/>
    <w:semiHidden/>
    <w:unhideWhenUsed/>
    <w:qFormat/>
    <w:rsid w:val="00974A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semiHidden/>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pPr>
    <w:rPr>
      <w:rFonts w:ascii="Calibri" w:eastAsia="Calibri" w:hAnsi="Calibri"/>
      <w:sz w:val="22"/>
      <w:szCs w:val="22"/>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
    <w:basedOn w:val="Normal"/>
    <w:link w:val="FootnoteTextChar"/>
    <w:uiPriority w:val="99"/>
    <w:semiHidden/>
    <w:unhideWhenUsed/>
    <w:rsid w:val="0083621F"/>
    <w:pPr>
      <w:jc w:val="both"/>
    </w:pPr>
    <w:rPr>
      <w:rFonts w:ascii="Times New Roman" w:hAnsi="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semiHidden/>
    <w:rsid w:val="0083621F"/>
    <w:rPr>
      <w:lang w:eastAsia="en-US"/>
    </w:rPr>
  </w:style>
  <w:style w:type="character" w:styleId="FootnoteReference">
    <w:name w:val="footnote reference"/>
    <w:basedOn w:val="DefaultParagraphFont"/>
    <w:uiPriority w:val="99"/>
    <w:semiHidden/>
    <w:unhideWhenUsed/>
    <w:rsid w:val="0083621F"/>
    <w:rPr>
      <w:rFonts w:cs="Times New Roman"/>
      <w:vertAlign w:val="superscript"/>
    </w:rPr>
  </w:style>
  <w:style w:type="paragraph" w:styleId="Header">
    <w:name w:val="header"/>
    <w:basedOn w:val="Normal"/>
    <w:link w:val="HeaderChar"/>
    <w:uiPriority w:val="99"/>
    <w:unhideWhenUsed/>
    <w:rsid w:val="00735467"/>
    <w:pPr>
      <w:tabs>
        <w:tab w:val="center" w:pos="4513"/>
        <w:tab w:val="right" w:pos="9026"/>
      </w:tabs>
    </w:pPr>
  </w:style>
  <w:style w:type="character" w:customStyle="1" w:styleId="HeaderChar">
    <w:name w:val="Header Char"/>
    <w:basedOn w:val="DefaultParagraphFont"/>
    <w:link w:val="Header"/>
    <w:uiPriority w:val="99"/>
    <w:rsid w:val="00735467"/>
    <w:rPr>
      <w:rFonts w:ascii="Arial" w:hAnsi="Arial"/>
      <w:sz w:val="24"/>
      <w:szCs w:val="24"/>
      <w:lang w:eastAsia="en-US"/>
    </w:rPr>
  </w:style>
  <w:style w:type="paragraph" w:styleId="Footer">
    <w:name w:val="footer"/>
    <w:basedOn w:val="Normal"/>
    <w:link w:val="FooterChar"/>
    <w:uiPriority w:val="99"/>
    <w:unhideWhenUsed/>
    <w:rsid w:val="00735467"/>
    <w:pPr>
      <w:tabs>
        <w:tab w:val="center" w:pos="4513"/>
        <w:tab w:val="right" w:pos="9026"/>
      </w:tabs>
    </w:pPr>
  </w:style>
  <w:style w:type="character" w:customStyle="1" w:styleId="FooterChar">
    <w:name w:val="Footer Char"/>
    <w:basedOn w:val="DefaultParagraphFont"/>
    <w:link w:val="Footer"/>
    <w:uiPriority w:val="99"/>
    <w:rsid w:val="0073546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CD8E-2348-4CFD-AC69-06717435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Tokota</dc:creator>
  <cp:lastModifiedBy>HOME</cp:lastModifiedBy>
  <cp:revision>2</cp:revision>
  <dcterms:created xsi:type="dcterms:W3CDTF">2022-05-23T17:06:00Z</dcterms:created>
  <dcterms:modified xsi:type="dcterms:W3CDTF">2022-05-23T17:06:00Z</dcterms:modified>
</cp:coreProperties>
</file>