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6FB85" w14:textId="77777777" w:rsidR="00616A50" w:rsidRPr="00BD3085" w:rsidRDefault="00616A50" w:rsidP="00BD3085">
      <w:pPr>
        <w:spacing w:after="0" w:line="360" w:lineRule="auto"/>
        <w:jc w:val="both"/>
        <w:rPr>
          <w:rFonts w:ascii="Arial" w:hAnsi="Arial" w:cs="Arial"/>
          <w:b/>
          <w:sz w:val="24"/>
          <w:szCs w:val="24"/>
        </w:rPr>
      </w:pPr>
      <w:bookmarkStart w:id="0" w:name="_GoBack"/>
      <w:bookmarkEnd w:id="0"/>
      <w:r w:rsidRPr="00BD3085">
        <w:rPr>
          <w:rFonts w:ascii="Arial" w:hAnsi="Arial" w:cs="Arial"/>
          <w:b/>
          <w:sz w:val="24"/>
          <w:szCs w:val="24"/>
        </w:rPr>
        <w:t>IN THE HIGH COURT OF SOUTH AFRICA</w:t>
      </w:r>
    </w:p>
    <w:p w14:paraId="637BEF36" w14:textId="733C2D93" w:rsidR="00616A50" w:rsidRPr="00BD3085" w:rsidRDefault="00616A50" w:rsidP="00BD3085">
      <w:pPr>
        <w:spacing w:after="0" w:line="360" w:lineRule="auto"/>
        <w:jc w:val="both"/>
        <w:rPr>
          <w:rFonts w:ascii="Arial" w:hAnsi="Arial" w:cs="Arial"/>
          <w:b/>
          <w:sz w:val="24"/>
          <w:szCs w:val="24"/>
        </w:rPr>
      </w:pPr>
      <w:r w:rsidRPr="00BD3085">
        <w:rPr>
          <w:rFonts w:ascii="Arial" w:hAnsi="Arial" w:cs="Arial"/>
          <w:b/>
          <w:sz w:val="24"/>
          <w:szCs w:val="24"/>
        </w:rPr>
        <w:t>(EASTERN CAPE DIVISION, M</w:t>
      </w:r>
      <w:r w:rsidR="00803F1B">
        <w:rPr>
          <w:rFonts w:ascii="Arial" w:hAnsi="Arial" w:cs="Arial"/>
          <w:b/>
          <w:sz w:val="24"/>
          <w:szCs w:val="24"/>
        </w:rPr>
        <w:t>THATHA</w:t>
      </w:r>
      <w:r w:rsidRPr="00BD3085">
        <w:rPr>
          <w:rFonts w:ascii="Arial" w:hAnsi="Arial" w:cs="Arial"/>
          <w:b/>
          <w:sz w:val="24"/>
          <w:szCs w:val="24"/>
        </w:rPr>
        <w:t>)</w:t>
      </w:r>
    </w:p>
    <w:p w14:paraId="2494D8EA" w14:textId="77777777" w:rsidR="00616A50" w:rsidRPr="00BD3085" w:rsidRDefault="00616A50" w:rsidP="00BD3085">
      <w:pPr>
        <w:spacing w:after="0" w:line="360" w:lineRule="auto"/>
        <w:jc w:val="both"/>
        <w:rPr>
          <w:rFonts w:ascii="Arial" w:hAnsi="Arial" w:cs="Arial"/>
          <w:b/>
          <w:sz w:val="24"/>
          <w:szCs w:val="24"/>
        </w:rPr>
      </w:pPr>
    </w:p>
    <w:p w14:paraId="7D524ADE" w14:textId="1E0D65F4" w:rsidR="00616A50" w:rsidRPr="00BD3085" w:rsidRDefault="00BD3085" w:rsidP="00BD3085">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16A50" w:rsidRPr="00BD3085">
        <w:rPr>
          <w:rFonts w:ascii="Arial" w:hAnsi="Arial" w:cs="Arial"/>
          <w:b/>
          <w:sz w:val="24"/>
          <w:szCs w:val="24"/>
        </w:rPr>
        <w:t xml:space="preserve">Case No: </w:t>
      </w:r>
      <w:r w:rsidR="00803F1B">
        <w:rPr>
          <w:rFonts w:ascii="Arial" w:hAnsi="Arial" w:cs="Arial"/>
          <w:b/>
          <w:sz w:val="24"/>
          <w:szCs w:val="24"/>
        </w:rPr>
        <w:t>4041/2020</w:t>
      </w:r>
    </w:p>
    <w:p w14:paraId="590F19E3" w14:textId="77777777" w:rsidR="00616A50" w:rsidRPr="00BD3085" w:rsidRDefault="00616A50" w:rsidP="00BD3085">
      <w:pPr>
        <w:spacing w:after="0" w:line="360" w:lineRule="auto"/>
        <w:jc w:val="both"/>
        <w:rPr>
          <w:rFonts w:ascii="Arial" w:hAnsi="Arial" w:cs="Arial"/>
          <w:sz w:val="24"/>
          <w:szCs w:val="24"/>
        </w:rPr>
      </w:pPr>
      <w:r w:rsidRPr="00BD3085">
        <w:rPr>
          <w:rFonts w:ascii="Arial" w:hAnsi="Arial" w:cs="Arial"/>
          <w:sz w:val="24"/>
          <w:szCs w:val="24"/>
        </w:rPr>
        <w:t>In the matter between:</w:t>
      </w:r>
    </w:p>
    <w:p w14:paraId="33610164" w14:textId="77777777" w:rsidR="00616A50" w:rsidRPr="00BD3085" w:rsidRDefault="00616A50" w:rsidP="00BD3085">
      <w:pPr>
        <w:spacing w:after="0" w:line="360" w:lineRule="auto"/>
        <w:jc w:val="both"/>
        <w:rPr>
          <w:rFonts w:ascii="Arial" w:hAnsi="Arial" w:cs="Arial"/>
          <w:sz w:val="24"/>
          <w:szCs w:val="24"/>
        </w:rPr>
      </w:pPr>
    </w:p>
    <w:p w14:paraId="2B7F30B2" w14:textId="1F8C35DF" w:rsidR="00616A50" w:rsidRPr="00BD3085" w:rsidRDefault="00803F1B" w:rsidP="00BD3085">
      <w:pPr>
        <w:spacing w:after="0" w:line="360" w:lineRule="auto"/>
        <w:jc w:val="both"/>
        <w:rPr>
          <w:rFonts w:ascii="Arial" w:hAnsi="Arial" w:cs="Arial"/>
          <w:sz w:val="24"/>
          <w:szCs w:val="24"/>
        </w:rPr>
      </w:pPr>
      <w:r>
        <w:rPr>
          <w:rFonts w:ascii="Arial" w:hAnsi="Arial" w:cs="Arial"/>
          <w:b/>
          <w:sz w:val="24"/>
          <w:szCs w:val="24"/>
        </w:rPr>
        <w:t>ZOYISILE RICHARDS MVUZELI</w:t>
      </w:r>
      <w:r w:rsidR="00163482">
        <w:rPr>
          <w:rFonts w:ascii="Arial" w:hAnsi="Arial" w:cs="Arial"/>
          <w:b/>
          <w:sz w:val="24"/>
          <w:szCs w:val="24"/>
        </w:rPr>
        <w:tab/>
      </w:r>
      <w:r w:rsidR="00163482">
        <w:rPr>
          <w:rFonts w:ascii="Arial" w:hAnsi="Arial" w:cs="Arial"/>
          <w:b/>
          <w:sz w:val="24"/>
          <w:szCs w:val="24"/>
        </w:rPr>
        <w:tab/>
      </w:r>
      <w:r w:rsidR="00163482">
        <w:rPr>
          <w:rFonts w:ascii="Arial" w:hAnsi="Arial" w:cs="Arial"/>
          <w:b/>
          <w:sz w:val="24"/>
          <w:szCs w:val="24"/>
        </w:rPr>
        <w:tab/>
      </w:r>
      <w:r w:rsidR="00616A50" w:rsidRPr="00BD3085">
        <w:rPr>
          <w:rFonts w:ascii="Arial" w:hAnsi="Arial" w:cs="Arial"/>
          <w:b/>
          <w:sz w:val="24"/>
          <w:szCs w:val="24"/>
        </w:rPr>
        <w:tab/>
      </w:r>
      <w:r w:rsidR="00616A50" w:rsidRPr="00BD3085">
        <w:rPr>
          <w:rFonts w:ascii="Arial" w:hAnsi="Arial" w:cs="Arial"/>
          <w:b/>
          <w:sz w:val="24"/>
          <w:szCs w:val="24"/>
        </w:rPr>
        <w:tab/>
      </w:r>
      <w:r w:rsidR="00616A50" w:rsidRPr="00BD3085">
        <w:rPr>
          <w:rFonts w:ascii="Arial" w:hAnsi="Arial" w:cs="Arial"/>
          <w:b/>
          <w:sz w:val="24"/>
          <w:szCs w:val="24"/>
        </w:rPr>
        <w:tab/>
      </w:r>
      <w:r w:rsidRPr="00803F1B">
        <w:rPr>
          <w:rFonts w:ascii="Arial" w:hAnsi="Arial" w:cs="Arial"/>
          <w:sz w:val="24"/>
          <w:szCs w:val="24"/>
        </w:rPr>
        <w:t>Plaintiff</w:t>
      </w:r>
    </w:p>
    <w:p w14:paraId="497BEE8F" w14:textId="77777777" w:rsidR="00616A50" w:rsidRPr="00BD3085" w:rsidRDefault="00616A50" w:rsidP="00BD3085">
      <w:pPr>
        <w:spacing w:after="0" w:line="360" w:lineRule="auto"/>
        <w:jc w:val="both"/>
        <w:rPr>
          <w:rFonts w:ascii="Arial" w:hAnsi="Arial" w:cs="Arial"/>
          <w:sz w:val="24"/>
          <w:szCs w:val="24"/>
        </w:rPr>
      </w:pPr>
    </w:p>
    <w:p w14:paraId="327BD23F" w14:textId="77777777" w:rsidR="00616A50" w:rsidRPr="00BD3085" w:rsidRDefault="00616A50" w:rsidP="00BD3085">
      <w:pPr>
        <w:spacing w:after="0" w:line="360" w:lineRule="auto"/>
        <w:jc w:val="both"/>
        <w:rPr>
          <w:rFonts w:ascii="Arial" w:hAnsi="Arial" w:cs="Arial"/>
          <w:sz w:val="24"/>
          <w:szCs w:val="24"/>
        </w:rPr>
      </w:pPr>
      <w:r w:rsidRPr="00BD3085">
        <w:rPr>
          <w:rFonts w:ascii="Arial" w:hAnsi="Arial" w:cs="Arial"/>
          <w:sz w:val="24"/>
          <w:szCs w:val="24"/>
        </w:rPr>
        <w:t>and</w:t>
      </w:r>
    </w:p>
    <w:p w14:paraId="533D7CBF" w14:textId="77777777" w:rsidR="00616A50" w:rsidRPr="00BD3085" w:rsidRDefault="00616A50" w:rsidP="00BD3085">
      <w:pPr>
        <w:spacing w:after="0" w:line="360" w:lineRule="auto"/>
        <w:jc w:val="both"/>
        <w:rPr>
          <w:rFonts w:ascii="Arial" w:hAnsi="Arial" w:cs="Arial"/>
          <w:sz w:val="24"/>
          <w:szCs w:val="24"/>
        </w:rPr>
      </w:pPr>
    </w:p>
    <w:p w14:paraId="78E79EA0" w14:textId="797ADFBA" w:rsidR="00616A50" w:rsidRPr="00803F1B" w:rsidRDefault="00803F1B" w:rsidP="00BD3085">
      <w:pPr>
        <w:spacing w:after="0" w:line="360" w:lineRule="auto"/>
        <w:jc w:val="both"/>
        <w:rPr>
          <w:rFonts w:ascii="Arial" w:hAnsi="Arial" w:cs="Arial"/>
          <w:sz w:val="24"/>
          <w:szCs w:val="24"/>
        </w:rPr>
      </w:pPr>
      <w:r>
        <w:rPr>
          <w:rFonts w:ascii="Arial" w:hAnsi="Arial" w:cs="Arial"/>
          <w:b/>
          <w:sz w:val="24"/>
          <w:szCs w:val="24"/>
        </w:rPr>
        <w:t>ROAD ACCIDENT FUND</w:t>
      </w:r>
      <w:r>
        <w:rPr>
          <w:rFonts w:ascii="Arial" w:hAnsi="Arial" w:cs="Arial"/>
          <w:b/>
          <w:sz w:val="24"/>
          <w:szCs w:val="24"/>
        </w:rPr>
        <w:tab/>
      </w:r>
      <w:r>
        <w:rPr>
          <w:rFonts w:ascii="Arial" w:hAnsi="Arial" w:cs="Arial"/>
          <w:b/>
          <w:sz w:val="24"/>
          <w:szCs w:val="24"/>
        </w:rPr>
        <w:tab/>
      </w:r>
      <w:r w:rsidR="00163482">
        <w:rPr>
          <w:rFonts w:ascii="Arial" w:hAnsi="Arial" w:cs="Arial"/>
          <w:b/>
          <w:sz w:val="24"/>
          <w:szCs w:val="24"/>
        </w:rPr>
        <w:tab/>
      </w:r>
      <w:r w:rsidR="00BD3085">
        <w:rPr>
          <w:rFonts w:ascii="Arial" w:hAnsi="Arial" w:cs="Arial"/>
          <w:b/>
          <w:sz w:val="24"/>
          <w:szCs w:val="24"/>
        </w:rPr>
        <w:tab/>
      </w:r>
      <w:r w:rsidR="00BD3085">
        <w:rPr>
          <w:rFonts w:ascii="Arial" w:hAnsi="Arial" w:cs="Arial"/>
          <w:b/>
          <w:sz w:val="24"/>
          <w:szCs w:val="24"/>
        </w:rPr>
        <w:tab/>
      </w:r>
      <w:r w:rsidR="00BD3085">
        <w:rPr>
          <w:rFonts w:ascii="Arial" w:hAnsi="Arial" w:cs="Arial"/>
          <w:b/>
          <w:sz w:val="24"/>
          <w:szCs w:val="24"/>
        </w:rPr>
        <w:tab/>
      </w:r>
      <w:r w:rsidR="00BD3085">
        <w:rPr>
          <w:rFonts w:ascii="Arial" w:hAnsi="Arial" w:cs="Arial"/>
          <w:b/>
          <w:sz w:val="24"/>
          <w:szCs w:val="24"/>
        </w:rPr>
        <w:tab/>
      </w:r>
      <w:r w:rsidRPr="00803F1B">
        <w:rPr>
          <w:rFonts w:ascii="Arial" w:hAnsi="Arial" w:cs="Arial"/>
          <w:sz w:val="24"/>
          <w:szCs w:val="24"/>
        </w:rPr>
        <w:t>Defendant</w:t>
      </w:r>
    </w:p>
    <w:p w14:paraId="68BD47E6" w14:textId="77777777" w:rsidR="009D13B3" w:rsidRPr="00BD3085" w:rsidRDefault="009D13B3" w:rsidP="00C40F88">
      <w:pPr>
        <w:pBdr>
          <w:top w:val="single" w:sz="6" w:space="1" w:color="auto"/>
          <w:bottom w:val="single" w:sz="6" w:space="1" w:color="auto"/>
        </w:pBdr>
        <w:spacing w:before="240" w:after="240" w:line="360" w:lineRule="auto"/>
        <w:jc w:val="center"/>
        <w:rPr>
          <w:rFonts w:ascii="Arial" w:hAnsi="Arial" w:cs="Arial"/>
          <w:b/>
          <w:sz w:val="24"/>
          <w:szCs w:val="24"/>
        </w:rPr>
      </w:pPr>
      <w:r w:rsidRPr="00BD3085">
        <w:rPr>
          <w:rFonts w:ascii="Arial" w:hAnsi="Arial" w:cs="Arial"/>
          <w:b/>
          <w:sz w:val="24"/>
          <w:szCs w:val="24"/>
        </w:rPr>
        <w:t>JUDGMENT</w:t>
      </w:r>
    </w:p>
    <w:p w14:paraId="407C326C" w14:textId="77777777" w:rsidR="00616A50" w:rsidRPr="00BD3085" w:rsidRDefault="00C176FE" w:rsidP="00797ED0">
      <w:pPr>
        <w:spacing w:after="120" w:line="360" w:lineRule="auto"/>
        <w:jc w:val="both"/>
        <w:rPr>
          <w:rFonts w:ascii="Arial" w:hAnsi="Arial" w:cs="Arial"/>
          <w:b/>
          <w:sz w:val="24"/>
          <w:szCs w:val="24"/>
        </w:rPr>
      </w:pPr>
      <w:r w:rsidRPr="00BD3085">
        <w:rPr>
          <w:rFonts w:ascii="Arial" w:hAnsi="Arial" w:cs="Arial"/>
          <w:b/>
          <w:sz w:val="24"/>
          <w:szCs w:val="24"/>
        </w:rPr>
        <w:t>BROOKS J:</w:t>
      </w:r>
    </w:p>
    <w:p w14:paraId="77A73A57" w14:textId="2AA6082F" w:rsidR="00C176FE" w:rsidRDefault="00C176FE" w:rsidP="00797ED0">
      <w:pPr>
        <w:spacing w:after="120" w:line="360" w:lineRule="auto"/>
        <w:jc w:val="both"/>
        <w:rPr>
          <w:rFonts w:ascii="Arial" w:hAnsi="Arial" w:cs="Arial"/>
          <w:sz w:val="24"/>
          <w:szCs w:val="24"/>
        </w:rPr>
      </w:pPr>
      <w:r w:rsidRPr="00BD3085">
        <w:rPr>
          <w:rFonts w:ascii="Arial" w:hAnsi="Arial" w:cs="Arial"/>
          <w:sz w:val="24"/>
          <w:szCs w:val="24"/>
        </w:rPr>
        <w:t>[1]</w:t>
      </w:r>
      <w:r w:rsidRPr="00BD3085">
        <w:rPr>
          <w:rFonts w:ascii="Arial" w:hAnsi="Arial" w:cs="Arial"/>
          <w:sz w:val="24"/>
          <w:szCs w:val="24"/>
        </w:rPr>
        <w:tab/>
      </w:r>
      <w:r w:rsidR="00803F1B">
        <w:rPr>
          <w:rFonts w:ascii="Arial" w:hAnsi="Arial" w:cs="Arial"/>
          <w:sz w:val="24"/>
          <w:szCs w:val="24"/>
        </w:rPr>
        <w:t>In accordance with the current arrangement made with the registrar of this court pursuant to the directive issued by the Judge President on 12 April 2021 (the directive), fifty-one matters were enrolled before this court on 15 March 2023.  All the matters were civil claims for unliquidated damages in which the plaintiffs sought judgment by default</w:t>
      </w:r>
      <w:r w:rsidR="005E6812" w:rsidRPr="00BD3085">
        <w:rPr>
          <w:rFonts w:ascii="Arial" w:hAnsi="Arial" w:cs="Arial"/>
          <w:sz w:val="24"/>
          <w:szCs w:val="24"/>
        </w:rPr>
        <w:t>.</w:t>
      </w:r>
      <w:r w:rsidR="00803F1B">
        <w:rPr>
          <w:rFonts w:ascii="Arial" w:hAnsi="Arial" w:cs="Arial"/>
          <w:sz w:val="24"/>
          <w:szCs w:val="24"/>
        </w:rPr>
        <w:t xml:space="preserve">  Remarkably, not a single matter so enrolled was presented to the court</w:t>
      </w:r>
      <w:r w:rsidR="00BD0C6E">
        <w:rPr>
          <w:rFonts w:ascii="Arial" w:hAnsi="Arial" w:cs="Arial"/>
          <w:sz w:val="24"/>
          <w:szCs w:val="24"/>
        </w:rPr>
        <w:t xml:space="preserve"> in the manner set out in the relevant portions of rule 31 of the Uniform Rules of Court (the rule).  Three of the matters, all presented by the same attorney, were substantially compliant with the provisions of the relevant portions of the rule.  This matter has been selected from amongst the three as a vehicle for the expression by the court of views that are applicable to all matters in which plaintiffs seek judgment by default in civil action for claims for unliquidated damages.</w:t>
      </w:r>
    </w:p>
    <w:p w14:paraId="65760507" w14:textId="77777777" w:rsidR="001D3FDE" w:rsidRPr="00BD3085" w:rsidRDefault="001D3FDE" w:rsidP="00797ED0">
      <w:pPr>
        <w:spacing w:after="120" w:line="360" w:lineRule="auto"/>
        <w:jc w:val="both"/>
        <w:rPr>
          <w:rFonts w:ascii="Arial" w:hAnsi="Arial" w:cs="Arial"/>
          <w:sz w:val="24"/>
          <w:szCs w:val="24"/>
        </w:rPr>
      </w:pPr>
    </w:p>
    <w:p w14:paraId="7BABCD42" w14:textId="46E3960F" w:rsidR="001D3FDE" w:rsidRDefault="001D3FDE" w:rsidP="00797ED0">
      <w:pPr>
        <w:spacing w:after="12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932D4">
        <w:rPr>
          <w:rFonts w:ascii="Arial" w:hAnsi="Arial" w:cs="Arial"/>
          <w:sz w:val="24"/>
          <w:szCs w:val="24"/>
        </w:rPr>
        <w:t>I</w:t>
      </w:r>
      <w:r w:rsidR="00BD0C6E">
        <w:rPr>
          <w:rFonts w:ascii="Arial" w:hAnsi="Arial" w:cs="Arial"/>
          <w:sz w:val="24"/>
          <w:szCs w:val="24"/>
        </w:rPr>
        <w:t>t is appropriate to contextualise</w:t>
      </w:r>
      <w:r w:rsidR="00A33010">
        <w:rPr>
          <w:rFonts w:ascii="Arial" w:hAnsi="Arial" w:cs="Arial"/>
          <w:sz w:val="24"/>
          <w:szCs w:val="24"/>
        </w:rPr>
        <w:t xml:space="preserve"> this judgment by referring to the historical position in this court relating to matters of this nature.  Over the years the practice had developed that saw attorneys enrolling such matters in the motion court.  They were commonly referred to as “applications for default judgment”.  Even the registrar endorsed the nomenclature weekly by providing a similarly worded subheading on the motion court roll and listing the matters thereunder.  Invariably, the court was </w:t>
      </w:r>
      <w:r w:rsidR="00A33010">
        <w:rPr>
          <w:rFonts w:ascii="Arial" w:hAnsi="Arial" w:cs="Arial"/>
          <w:sz w:val="24"/>
          <w:szCs w:val="24"/>
        </w:rPr>
        <w:lastRenderedPageBreak/>
        <w:t>presented with a “notice of application” or a “notice of motion” supported by a so-called “damages affidavit”.  It was the consistent expectation of practitioners</w:t>
      </w:r>
      <w:r w:rsidR="0014179D">
        <w:rPr>
          <w:rFonts w:ascii="Arial" w:hAnsi="Arial" w:cs="Arial"/>
          <w:sz w:val="24"/>
          <w:szCs w:val="24"/>
        </w:rPr>
        <w:t xml:space="preserve"> that the outcome in such matters would by a judgment by default.  In most instances, dilatory defendants would be represented on the motion court day and seek the removal of the matter from the roll against a tender for costs and an undertaking in respect of the future conduct of the matter</w:t>
      </w:r>
      <w:r>
        <w:rPr>
          <w:rFonts w:ascii="Arial" w:hAnsi="Arial" w:cs="Arial"/>
          <w:sz w:val="24"/>
          <w:szCs w:val="24"/>
        </w:rPr>
        <w:t>.</w:t>
      </w:r>
    </w:p>
    <w:p w14:paraId="08EE5684" w14:textId="77777777" w:rsidR="001D3FDE" w:rsidRDefault="001D3FDE" w:rsidP="00797ED0">
      <w:pPr>
        <w:spacing w:after="120" w:line="360" w:lineRule="auto"/>
        <w:jc w:val="both"/>
        <w:rPr>
          <w:rFonts w:ascii="Arial" w:hAnsi="Arial" w:cs="Arial"/>
          <w:sz w:val="24"/>
          <w:szCs w:val="24"/>
        </w:rPr>
      </w:pPr>
    </w:p>
    <w:p w14:paraId="3A79AB0B" w14:textId="71CC59D9" w:rsidR="00407DCE" w:rsidRPr="00BD3085" w:rsidRDefault="001D3FDE" w:rsidP="00797ED0">
      <w:pPr>
        <w:spacing w:after="12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4179D">
        <w:rPr>
          <w:rFonts w:ascii="Arial" w:hAnsi="Arial" w:cs="Arial"/>
          <w:sz w:val="24"/>
          <w:szCs w:val="24"/>
        </w:rPr>
        <w:t>For a number of reasons the directive was issued.  It highlighted the fact that motion court proceedings are not suited to the prosecution of claims for unliquidated damages.  It prescribed that “default judgment applications in which unliquidated damages are claimed” shall be set down on</w:t>
      </w:r>
      <w:r w:rsidR="005932D4">
        <w:rPr>
          <w:rFonts w:ascii="Arial" w:hAnsi="Arial" w:cs="Arial"/>
          <w:sz w:val="24"/>
          <w:szCs w:val="24"/>
        </w:rPr>
        <w:t xml:space="preserve"> specific days on</w:t>
      </w:r>
      <w:r w:rsidR="0014179D">
        <w:rPr>
          <w:rFonts w:ascii="Arial" w:hAnsi="Arial" w:cs="Arial"/>
          <w:sz w:val="24"/>
          <w:szCs w:val="24"/>
        </w:rPr>
        <w:t xml:space="preserve"> a trial roll</w:t>
      </w:r>
      <w:r w:rsidR="00407DCE" w:rsidRPr="00BD3085">
        <w:rPr>
          <w:rFonts w:ascii="Arial" w:hAnsi="Arial" w:cs="Arial"/>
          <w:sz w:val="24"/>
          <w:szCs w:val="24"/>
        </w:rPr>
        <w:t>.</w:t>
      </w:r>
    </w:p>
    <w:p w14:paraId="68A39B76" w14:textId="77777777" w:rsidR="00D237D0" w:rsidRPr="00BD3085" w:rsidRDefault="00D237D0" w:rsidP="00797ED0">
      <w:pPr>
        <w:spacing w:after="120" w:line="360" w:lineRule="auto"/>
        <w:jc w:val="both"/>
        <w:rPr>
          <w:rFonts w:ascii="Arial" w:hAnsi="Arial" w:cs="Arial"/>
          <w:sz w:val="24"/>
          <w:szCs w:val="24"/>
        </w:rPr>
      </w:pPr>
    </w:p>
    <w:p w14:paraId="678FEF3B" w14:textId="0480E49D" w:rsidR="0039152B" w:rsidRPr="004A353C" w:rsidRDefault="00407DCE" w:rsidP="00797ED0">
      <w:pPr>
        <w:spacing w:after="120" w:line="360" w:lineRule="auto"/>
        <w:jc w:val="both"/>
        <w:rPr>
          <w:rFonts w:ascii="Arial" w:hAnsi="Arial" w:cs="Arial"/>
          <w:sz w:val="24"/>
          <w:szCs w:val="24"/>
        </w:rPr>
      </w:pPr>
      <w:r w:rsidRPr="00BD3085">
        <w:rPr>
          <w:rFonts w:ascii="Arial" w:hAnsi="Arial" w:cs="Arial"/>
          <w:sz w:val="24"/>
          <w:szCs w:val="24"/>
        </w:rPr>
        <w:t>[4]</w:t>
      </w:r>
      <w:r w:rsidR="0039152B" w:rsidRPr="00BD3085">
        <w:rPr>
          <w:rFonts w:ascii="Arial" w:hAnsi="Arial" w:cs="Arial"/>
          <w:sz w:val="24"/>
          <w:szCs w:val="24"/>
        </w:rPr>
        <w:tab/>
      </w:r>
      <w:r w:rsidR="0014179D">
        <w:rPr>
          <w:rFonts w:ascii="Arial" w:hAnsi="Arial" w:cs="Arial"/>
          <w:sz w:val="24"/>
          <w:szCs w:val="24"/>
        </w:rPr>
        <w:t>Some practitioners sought to avoid compliance with the directive in respect of claims for unliquidated damages against the Minister of Police.  The approach they adopted was dealt with fully by a full bench in this court</w:t>
      </w:r>
      <w:r w:rsidR="002A1D5C">
        <w:rPr>
          <w:rFonts w:ascii="Arial" w:hAnsi="Arial" w:cs="Arial"/>
          <w:sz w:val="24"/>
          <w:szCs w:val="24"/>
        </w:rPr>
        <w:t>.  The relevant judgment is Bisha and Others v Minister of Police</w:t>
      </w:r>
      <w:r w:rsidR="0039152B" w:rsidRPr="00BD3085">
        <w:rPr>
          <w:rFonts w:ascii="Arial" w:hAnsi="Arial" w:cs="Arial"/>
          <w:sz w:val="24"/>
          <w:szCs w:val="24"/>
        </w:rPr>
        <w:t>.</w:t>
      </w:r>
      <w:r w:rsidR="002A1D5C">
        <w:rPr>
          <w:rStyle w:val="FootnoteReference"/>
          <w:rFonts w:ascii="Arial" w:hAnsi="Arial" w:cs="Arial"/>
          <w:sz w:val="24"/>
          <w:szCs w:val="24"/>
        </w:rPr>
        <w:footnoteReference w:id="1"/>
      </w:r>
      <w:r w:rsidR="002A1D5C">
        <w:rPr>
          <w:rFonts w:ascii="Arial" w:hAnsi="Arial" w:cs="Arial"/>
          <w:sz w:val="24"/>
          <w:szCs w:val="24"/>
        </w:rPr>
        <w:t xml:space="preserve">  Of relevance for present purposes is the content of paragraphs [19] to [22] of Bisha, in which the court highlighted that judgment can only be granted in favour of the plaintiff after the court has heard appropriate evidence.  The court highlighted that an attempt to establish</w:t>
      </w:r>
      <w:r w:rsidR="004A353C">
        <w:rPr>
          <w:rFonts w:ascii="Arial" w:hAnsi="Arial" w:cs="Arial"/>
          <w:sz w:val="24"/>
          <w:szCs w:val="24"/>
        </w:rPr>
        <w:t xml:space="preserve"> the merits of </w:t>
      </w:r>
      <w:r w:rsidR="005E1B68">
        <w:rPr>
          <w:rFonts w:ascii="Arial" w:hAnsi="Arial" w:cs="Arial"/>
          <w:sz w:val="24"/>
          <w:szCs w:val="24"/>
        </w:rPr>
        <w:t>a</w:t>
      </w:r>
      <w:r w:rsidR="005932D4">
        <w:rPr>
          <w:rFonts w:ascii="Arial" w:hAnsi="Arial" w:cs="Arial"/>
          <w:sz w:val="24"/>
          <w:szCs w:val="24"/>
        </w:rPr>
        <w:t xml:space="preserve">n </w:t>
      </w:r>
      <w:r w:rsidR="004A353C" w:rsidRPr="004A353C">
        <w:rPr>
          <w:rFonts w:ascii="Arial" w:hAnsi="Arial" w:cs="Arial"/>
          <w:i/>
          <w:sz w:val="24"/>
          <w:szCs w:val="24"/>
        </w:rPr>
        <w:t>actio iniuriarum</w:t>
      </w:r>
      <w:r w:rsidR="004A353C">
        <w:rPr>
          <w:rFonts w:ascii="Arial" w:hAnsi="Arial" w:cs="Arial"/>
          <w:i/>
          <w:sz w:val="24"/>
          <w:szCs w:val="24"/>
        </w:rPr>
        <w:t xml:space="preserve"> </w:t>
      </w:r>
      <w:r w:rsidR="004A353C">
        <w:rPr>
          <w:rFonts w:ascii="Arial" w:hAnsi="Arial" w:cs="Arial"/>
          <w:sz w:val="24"/>
          <w:szCs w:val="24"/>
        </w:rPr>
        <w:t>by placing an affidavit before the court is in conflict with all legal principles discussed in the judgment.</w:t>
      </w:r>
      <w:r w:rsidR="005932D4">
        <w:rPr>
          <w:rFonts w:ascii="Arial" w:hAnsi="Arial" w:cs="Arial"/>
          <w:sz w:val="24"/>
          <w:szCs w:val="24"/>
        </w:rPr>
        <w:t xml:space="preserve">  The reference to </w:t>
      </w:r>
      <w:r w:rsidR="005932D4" w:rsidRPr="005932D4">
        <w:rPr>
          <w:rFonts w:ascii="Arial" w:hAnsi="Arial" w:cs="Arial"/>
          <w:i/>
          <w:sz w:val="24"/>
          <w:szCs w:val="24"/>
        </w:rPr>
        <w:t>viva voce</w:t>
      </w:r>
      <w:r w:rsidR="005932D4">
        <w:rPr>
          <w:rFonts w:ascii="Arial" w:hAnsi="Arial" w:cs="Arial"/>
          <w:sz w:val="24"/>
          <w:szCs w:val="24"/>
        </w:rPr>
        <w:t xml:space="preserve"> evidence could not have been clearer.</w:t>
      </w:r>
    </w:p>
    <w:p w14:paraId="17D9A3D2" w14:textId="77777777" w:rsidR="00D237D0" w:rsidRPr="00BD3085" w:rsidRDefault="00D237D0" w:rsidP="00797ED0">
      <w:pPr>
        <w:spacing w:after="120" w:line="360" w:lineRule="auto"/>
        <w:jc w:val="both"/>
        <w:rPr>
          <w:rFonts w:ascii="Arial" w:hAnsi="Arial" w:cs="Arial"/>
          <w:sz w:val="24"/>
          <w:szCs w:val="24"/>
        </w:rPr>
      </w:pPr>
    </w:p>
    <w:p w14:paraId="6C9ED96B" w14:textId="2B7F1696" w:rsidR="00F514A0" w:rsidRPr="00705C03" w:rsidRDefault="00F514A0" w:rsidP="00045D5C">
      <w:pPr>
        <w:spacing w:after="120" w:line="360" w:lineRule="auto"/>
        <w:jc w:val="both"/>
        <w:rPr>
          <w:rFonts w:ascii="Arial" w:hAnsi="Arial" w:cs="Arial"/>
        </w:rPr>
      </w:pPr>
      <w:r w:rsidRPr="00BD3085">
        <w:rPr>
          <w:rFonts w:ascii="Arial" w:hAnsi="Arial" w:cs="Arial"/>
          <w:sz w:val="24"/>
          <w:szCs w:val="24"/>
        </w:rPr>
        <w:t>[5]</w:t>
      </w:r>
      <w:r w:rsidRPr="00BD3085">
        <w:rPr>
          <w:rFonts w:ascii="Arial" w:hAnsi="Arial" w:cs="Arial"/>
          <w:sz w:val="24"/>
          <w:szCs w:val="24"/>
        </w:rPr>
        <w:tab/>
      </w:r>
      <w:r w:rsidR="004A353C">
        <w:rPr>
          <w:rFonts w:ascii="Arial" w:hAnsi="Arial" w:cs="Arial"/>
          <w:sz w:val="24"/>
          <w:szCs w:val="24"/>
        </w:rPr>
        <w:t>The judgment in Bisha takes no issue with authorities</w:t>
      </w:r>
      <w:r w:rsidR="004A353C">
        <w:rPr>
          <w:rStyle w:val="FootnoteReference"/>
          <w:rFonts w:ascii="Arial" w:hAnsi="Arial" w:cs="Arial"/>
          <w:sz w:val="24"/>
          <w:szCs w:val="24"/>
        </w:rPr>
        <w:footnoteReference w:id="2"/>
      </w:r>
      <w:r w:rsidR="004A353C">
        <w:rPr>
          <w:rFonts w:ascii="Arial" w:hAnsi="Arial" w:cs="Arial"/>
          <w:sz w:val="24"/>
          <w:szCs w:val="24"/>
        </w:rPr>
        <w:t xml:space="preserve"> that state that normally the </w:t>
      </w:r>
      <w:r w:rsidR="004A353C" w:rsidRPr="004A353C">
        <w:rPr>
          <w:rFonts w:ascii="Arial" w:hAnsi="Arial" w:cs="Arial"/>
          <w:i/>
          <w:sz w:val="24"/>
          <w:szCs w:val="24"/>
        </w:rPr>
        <w:t>quantum</w:t>
      </w:r>
      <w:r w:rsidR="004A353C">
        <w:rPr>
          <w:rFonts w:ascii="Arial" w:hAnsi="Arial" w:cs="Arial"/>
          <w:sz w:val="24"/>
          <w:szCs w:val="24"/>
        </w:rPr>
        <w:t xml:space="preserve"> of damages should be established by oral evidence, but in special circumstances the court may accept evidence on affidavit.</w:t>
      </w:r>
    </w:p>
    <w:p w14:paraId="2507D41C" w14:textId="77777777" w:rsidR="00C4127C" w:rsidRDefault="00C4127C" w:rsidP="00797ED0">
      <w:pPr>
        <w:spacing w:after="120" w:line="360" w:lineRule="auto"/>
        <w:jc w:val="both"/>
        <w:rPr>
          <w:rFonts w:ascii="Arial" w:hAnsi="Arial" w:cs="Arial"/>
          <w:sz w:val="24"/>
          <w:szCs w:val="24"/>
        </w:rPr>
      </w:pPr>
    </w:p>
    <w:p w14:paraId="386101ED" w14:textId="7793BB98" w:rsidR="007A190D" w:rsidRPr="00BD3085" w:rsidRDefault="007A190D" w:rsidP="00797ED0">
      <w:pPr>
        <w:spacing w:after="120" w:line="360" w:lineRule="auto"/>
        <w:jc w:val="both"/>
        <w:rPr>
          <w:rFonts w:ascii="Arial" w:hAnsi="Arial" w:cs="Arial"/>
          <w:sz w:val="24"/>
          <w:szCs w:val="24"/>
        </w:rPr>
      </w:pPr>
      <w:r w:rsidRPr="00BD3085">
        <w:rPr>
          <w:rFonts w:ascii="Arial" w:hAnsi="Arial" w:cs="Arial"/>
          <w:sz w:val="24"/>
          <w:szCs w:val="24"/>
        </w:rPr>
        <w:lastRenderedPageBreak/>
        <w:t>[6]</w:t>
      </w:r>
      <w:r w:rsidRPr="00BD3085">
        <w:rPr>
          <w:rFonts w:ascii="Arial" w:hAnsi="Arial" w:cs="Arial"/>
          <w:sz w:val="24"/>
          <w:szCs w:val="24"/>
        </w:rPr>
        <w:tab/>
      </w:r>
      <w:r w:rsidR="00045D5C">
        <w:rPr>
          <w:rFonts w:ascii="Arial" w:hAnsi="Arial" w:cs="Arial"/>
          <w:sz w:val="24"/>
          <w:szCs w:val="24"/>
        </w:rPr>
        <w:t xml:space="preserve">In respect of evidence intended to establish </w:t>
      </w:r>
      <w:r w:rsidR="00045D5C" w:rsidRPr="00283442">
        <w:rPr>
          <w:rFonts w:ascii="Arial" w:hAnsi="Arial" w:cs="Arial"/>
          <w:i/>
          <w:sz w:val="24"/>
          <w:szCs w:val="24"/>
        </w:rPr>
        <w:t>quantum</w:t>
      </w:r>
      <w:r w:rsidR="00045D5C">
        <w:rPr>
          <w:rFonts w:ascii="Arial" w:hAnsi="Arial" w:cs="Arial"/>
          <w:sz w:val="24"/>
          <w:szCs w:val="24"/>
        </w:rPr>
        <w:t xml:space="preserve"> it must be obvious that where it presented in affidavit form the deponent must be a person who </w:t>
      </w:r>
      <w:r w:rsidR="005932D4">
        <w:rPr>
          <w:rFonts w:ascii="Arial" w:hAnsi="Arial" w:cs="Arial"/>
          <w:sz w:val="24"/>
          <w:szCs w:val="24"/>
        </w:rPr>
        <w:t>is qualified to express the opinion</w:t>
      </w:r>
      <w:r w:rsidR="00045D5C">
        <w:rPr>
          <w:rFonts w:ascii="Arial" w:hAnsi="Arial" w:cs="Arial"/>
          <w:sz w:val="24"/>
          <w:szCs w:val="24"/>
        </w:rPr>
        <w:t xml:space="preserve"> set out in the affidavit.  An affidavit</w:t>
      </w:r>
      <w:r w:rsidR="00283442">
        <w:rPr>
          <w:rFonts w:ascii="Arial" w:hAnsi="Arial" w:cs="Arial"/>
          <w:sz w:val="24"/>
          <w:szCs w:val="24"/>
        </w:rPr>
        <w:t xml:space="preserve"> by a plaintiff that states that the plaintiff has suffered special damages in a specific amount has no probative value.</w:t>
      </w:r>
    </w:p>
    <w:p w14:paraId="7C93AD12" w14:textId="6A70A9AD" w:rsidR="00FA4DFB" w:rsidRDefault="00FA4DFB" w:rsidP="00797ED0">
      <w:pPr>
        <w:spacing w:after="120" w:line="360" w:lineRule="auto"/>
        <w:jc w:val="both"/>
        <w:rPr>
          <w:rFonts w:ascii="Arial" w:hAnsi="Arial" w:cs="Arial"/>
          <w:sz w:val="24"/>
          <w:szCs w:val="24"/>
        </w:rPr>
      </w:pPr>
    </w:p>
    <w:p w14:paraId="7F2A3280" w14:textId="7731FF67" w:rsidR="00A232E3" w:rsidRDefault="00A232E3" w:rsidP="00797ED0">
      <w:pPr>
        <w:spacing w:after="12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It follows that there is no place in a matter of this nature for a so-called “damages affidavit” deposed to by a plaintiff.</w:t>
      </w:r>
    </w:p>
    <w:p w14:paraId="4202491F" w14:textId="77777777" w:rsidR="00A232E3" w:rsidRPr="00BD3085" w:rsidRDefault="00A232E3" w:rsidP="00797ED0">
      <w:pPr>
        <w:spacing w:after="120" w:line="360" w:lineRule="auto"/>
        <w:jc w:val="both"/>
        <w:rPr>
          <w:rFonts w:ascii="Arial" w:hAnsi="Arial" w:cs="Arial"/>
          <w:sz w:val="24"/>
          <w:szCs w:val="24"/>
        </w:rPr>
      </w:pPr>
    </w:p>
    <w:p w14:paraId="486392C9" w14:textId="79B4CE7C" w:rsidR="00E0021B" w:rsidRDefault="00A232E3" w:rsidP="00797ED0">
      <w:pPr>
        <w:spacing w:after="120" w:line="360" w:lineRule="auto"/>
        <w:jc w:val="both"/>
        <w:rPr>
          <w:rFonts w:ascii="Arial" w:hAnsi="Arial" w:cs="Arial"/>
          <w:sz w:val="24"/>
          <w:szCs w:val="24"/>
        </w:rPr>
      </w:pPr>
      <w:r>
        <w:rPr>
          <w:rFonts w:ascii="Arial" w:hAnsi="Arial" w:cs="Arial"/>
          <w:sz w:val="24"/>
          <w:szCs w:val="24"/>
        </w:rPr>
        <w:t>[8</w:t>
      </w:r>
      <w:r w:rsidR="007A190D" w:rsidRPr="00BD3085">
        <w:rPr>
          <w:rFonts w:ascii="Arial" w:hAnsi="Arial" w:cs="Arial"/>
          <w:sz w:val="24"/>
          <w:szCs w:val="24"/>
        </w:rPr>
        <w:t>]</w:t>
      </w:r>
      <w:r w:rsidR="004E6A02" w:rsidRPr="00BD3085">
        <w:rPr>
          <w:rFonts w:ascii="Arial" w:hAnsi="Arial" w:cs="Arial"/>
          <w:sz w:val="24"/>
          <w:szCs w:val="24"/>
        </w:rPr>
        <w:tab/>
      </w:r>
      <w:r w:rsidR="00283442">
        <w:rPr>
          <w:rFonts w:ascii="Arial" w:hAnsi="Arial" w:cs="Arial"/>
          <w:sz w:val="24"/>
          <w:szCs w:val="24"/>
        </w:rPr>
        <w:t xml:space="preserve">What is required is the oral evidence of a plaintiff that addresses the merits of his or her claim and the personal aspects relating </w:t>
      </w:r>
      <w:r w:rsidR="00283442" w:rsidRPr="005E1B68">
        <w:rPr>
          <w:rFonts w:ascii="Arial" w:hAnsi="Arial" w:cs="Arial"/>
          <w:sz w:val="24"/>
          <w:szCs w:val="24"/>
        </w:rPr>
        <w:t>to</w:t>
      </w:r>
      <w:r w:rsidR="00283442" w:rsidRPr="005932D4">
        <w:rPr>
          <w:rFonts w:ascii="Arial" w:hAnsi="Arial" w:cs="Arial"/>
          <w:i/>
          <w:sz w:val="24"/>
          <w:szCs w:val="24"/>
        </w:rPr>
        <w:t xml:space="preserve"> quantum</w:t>
      </w:r>
      <w:r w:rsidR="00283442">
        <w:rPr>
          <w:rFonts w:ascii="Arial" w:hAnsi="Arial" w:cs="Arial"/>
          <w:sz w:val="24"/>
          <w:szCs w:val="24"/>
        </w:rPr>
        <w:t>, such as might motivate a claim for general damages or provide the basis upon which an expert witness has formulated his or her opinion on special dam</w:t>
      </w:r>
      <w:r>
        <w:rPr>
          <w:rFonts w:ascii="Arial" w:hAnsi="Arial" w:cs="Arial"/>
          <w:sz w:val="24"/>
          <w:szCs w:val="24"/>
        </w:rPr>
        <w:t>a</w:t>
      </w:r>
      <w:r w:rsidR="00283442">
        <w:rPr>
          <w:rFonts w:ascii="Arial" w:hAnsi="Arial" w:cs="Arial"/>
          <w:sz w:val="24"/>
          <w:szCs w:val="24"/>
        </w:rPr>
        <w:t>ges.</w:t>
      </w:r>
    </w:p>
    <w:p w14:paraId="2F02FD9D" w14:textId="77777777" w:rsidR="002619DB" w:rsidRPr="00BD3085" w:rsidRDefault="002619DB" w:rsidP="00797ED0">
      <w:pPr>
        <w:spacing w:after="120" w:line="360" w:lineRule="auto"/>
        <w:jc w:val="both"/>
        <w:rPr>
          <w:rFonts w:ascii="Arial" w:hAnsi="Arial" w:cs="Arial"/>
          <w:sz w:val="24"/>
          <w:szCs w:val="24"/>
        </w:rPr>
      </w:pPr>
    </w:p>
    <w:p w14:paraId="46C804D6" w14:textId="547BBD76" w:rsidR="006C1174" w:rsidRDefault="00D237D0" w:rsidP="00A232E3">
      <w:pPr>
        <w:spacing w:after="120" w:line="360" w:lineRule="auto"/>
        <w:jc w:val="both"/>
        <w:rPr>
          <w:rFonts w:ascii="Arial" w:hAnsi="Arial" w:cs="Arial"/>
          <w:sz w:val="24"/>
          <w:szCs w:val="24"/>
        </w:rPr>
      </w:pPr>
      <w:r w:rsidRPr="00BD3085">
        <w:rPr>
          <w:rFonts w:ascii="Arial" w:hAnsi="Arial" w:cs="Arial"/>
          <w:sz w:val="24"/>
          <w:szCs w:val="24"/>
        </w:rPr>
        <w:t>[9]</w:t>
      </w:r>
      <w:r w:rsidR="00FA4DFB" w:rsidRPr="00BD3085">
        <w:rPr>
          <w:rFonts w:ascii="Arial" w:hAnsi="Arial" w:cs="Arial"/>
          <w:sz w:val="24"/>
          <w:szCs w:val="24"/>
        </w:rPr>
        <w:tab/>
      </w:r>
      <w:r w:rsidR="00A232E3">
        <w:rPr>
          <w:rFonts w:ascii="Arial" w:hAnsi="Arial" w:cs="Arial"/>
          <w:sz w:val="24"/>
          <w:szCs w:val="24"/>
        </w:rPr>
        <w:t>The relevant portions of the rule read as follows:</w:t>
      </w:r>
    </w:p>
    <w:p w14:paraId="2A203408" w14:textId="718E6D8C" w:rsidR="00A232E3" w:rsidRDefault="00A232E3" w:rsidP="00A232E3">
      <w:pPr>
        <w:spacing w:after="120" w:line="360" w:lineRule="auto"/>
        <w:jc w:val="both"/>
        <w:rPr>
          <w:rFonts w:ascii="Arial" w:hAnsi="Arial" w:cs="Arial"/>
          <w:sz w:val="24"/>
          <w:szCs w:val="24"/>
        </w:rPr>
      </w:pPr>
      <w:r>
        <w:rPr>
          <w:rFonts w:ascii="Arial" w:hAnsi="Arial" w:cs="Arial"/>
          <w:sz w:val="24"/>
          <w:szCs w:val="24"/>
        </w:rPr>
        <w:tab/>
        <w:t xml:space="preserve">31(2)(a) Whenever in an action the claim or, if there is more than one claim, </w:t>
      </w:r>
      <w:r>
        <w:rPr>
          <w:rFonts w:ascii="Arial" w:hAnsi="Arial" w:cs="Arial"/>
          <w:sz w:val="24"/>
          <w:szCs w:val="24"/>
        </w:rPr>
        <w:tab/>
        <w:t xml:space="preserve">any of the claims is not for a debt or liquidated demand and a defendant is in </w:t>
      </w:r>
      <w:r w:rsidR="00991088">
        <w:rPr>
          <w:rFonts w:ascii="Arial" w:hAnsi="Arial" w:cs="Arial"/>
          <w:sz w:val="24"/>
          <w:szCs w:val="24"/>
        </w:rPr>
        <w:tab/>
      </w:r>
      <w:r>
        <w:rPr>
          <w:rFonts w:ascii="Arial" w:hAnsi="Arial" w:cs="Arial"/>
          <w:sz w:val="24"/>
          <w:szCs w:val="24"/>
        </w:rPr>
        <w:t xml:space="preserve">default of delivery of notice of intention to defend or of a plea, the plaintiff may </w:t>
      </w:r>
      <w:r w:rsidR="00991088">
        <w:rPr>
          <w:rFonts w:ascii="Arial" w:hAnsi="Arial" w:cs="Arial"/>
          <w:sz w:val="24"/>
          <w:szCs w:val="24"/>
        </w:rPr>
        <w:tab/>
      </w:r>
      <w:r>
        <w:rPr>
          <w:rFonts w:ascii="Arial" w:hAnsi="Arial" w:cs="Arial"/>
          <w:sz w:val="24"/>
          <w:szCs w:val="24"/>
        </w:rPr>
        <w:t xml:space="preserve">set the action down as provided in subrule (4) for default judgment and the court </w:t>
      </w:r>
      <w:r w:rsidR="00991088">
        <w:rPr>
          <w:rFonts w:ascii="Arial" w:hAnsi="Arial" w:cs="Arial"/>
          <w:sz w:val="24"/>
          <w:szCs w:val="24"/>
        </w:rPr>
        <w:tab/>
      </w:r>
      <w:r>
        <w:rPr>
          <w:rFonts w:ascii="Arial" w:hAnsi="Arial" w:cs="Arial"/>
          <w:sz w:val="24"/>
          <w:szCs w:val="24"/>
        </w:rPr>
        <w:t xml:space="preserve">may, </w:t>
      </w:r>
      <w:r>
        <w:rPr>
          <w:rFonts w:ascii="Arial" w:hAnsi="Arial" w:cs="Arial"/>
          <w:sz w:val="24"/>
          <w:szCs w:val="24"/>
          <w:u w:val="single"/>
        </w:rPr>
        <w:t>after hearing evidence</w:t>
      </w:r>
      <w:r>
        <w:rPr>
          <w:rStyle w:val="FootnoteReference"/>
          <w:rFonts w:ascii="Arial" w:hAnsi="Arial" w:cs="Arial"/>
          <w:sz w:val="24"/>
          <w:szCs w:val="24"/>
          <w:u w:val="single"/>
        </w:rPr>
        <w:footnoteReference w:id="3"/>
      </w:r>
      <w:r>
        <w:rPr>
          <w:rFonts w:ascii="Arial" w:hAnsi="Arial" w:cs="Arial"/>
          <w:sz w:val="24"/>
          <w:szCs w:val="24"/>
          <w:u w:val="single"/>
        </w:rPr>
        <w:t xml:space="preserve"> </w:t>
      </w:r>
      <w:r>
        <w:rPr>
          <w:rFonts w:ascii="Arial" w:hAnsi="Arial" w:cs="Arial"/>
          <w:sz w:val="24"/>
          <w:szCs w:val="24"/>
        </w:rPr>
        <w:t>grant ju</w:t>
      </w:r>
      <w:r w:rsidR="00991088">
        <w:rPr>
          <w:rFonts w:ascii="Arial" w:hAnsi="Arial" w:cs="Arial"/>
          <w:sz w:val="24"/>
          <w:szCs w:val="24"/>
        </w:rPr>
        <w:t xml:space="preserve">dgment against the defendant or </w:t>
      </w:r>
      <w:r>
        <w:rPr>
          <w:rFonts w:ascii="Arial" w:hAnsi="Arial" w:cs="Arial"/>
          <w:sz w:val="24"/>
          <w:szCs w:val="24"/>
        </w:rPr>
        <w:t xml:space="preserve">make </w:t>
      </w:r>
      <w:r w:rsidR="00991088">
        <w:rPr>
          <w:rFonts w:ascii="Arial" w:hAnsi="Arial" w:cs="Arial"/>
          <w:sz w:val="24"/>
          <w:szCs w:val="24"/>
        </w:rPr>
        <w:tab/>
      </w:r>
      <w:r>
        <w:rPr>
          <w:rFonts w:ascii="Arial" w:hAnsi="Arial" w:cs="Arial"/>
          <w:sz w:val="24"/>
          <w:szCs w:val="24"/>
        </w:rPr>
        <w:t>such order as to it seems meet …</w:t>
      </w:r>
    </w:p>
    <w:p w14:paraId="000D7DE3" w14:textId="7D1A3A23" w:rsidR="00991088" w:rsidRPr="00991088" w:rsidRDefault="00991088" w:rsidP="00A232E3">
      <w:pPr>
        <w:spacing w:after="120" w:line="360" w:lineRule="auto"/>
        <w:jc w:val="both"/>
        <w:rPr>
          <w:rFonts w:ascii="Arial" w:hAnsi="Arial" w:cs="Arial"/>
        </w:rPr>
      </w:pPr>
      <w:r>
        <w:rPr>
          <w:rFonts w:ascii="Arial" w:hAnsi="Arial" w:cs="Arial"/>
          <w:sz w:val="24"/>
          <w:szCs w:val="24"/>
        </w:rPr>
        <w:tab/>
      </w:r>
      <w:r>
        <w:rPr>
          <w:rFonts w:ascii="Arial" w:hAnsi="Arial" w:cs="Arial"/>
          <w:sz w:val="24"/>
          <w:szCs w:val="24"/>
        </w:rPr>
        <w:tab/>
        <w:t xml:space="preserve">31(4) The proceedings referred to in subrules (2) and (3) </w:t>
      </w:r>
      <w:r>
        <w:rPr>
          <w:rFonts w:ascii="Arial" w:hAnsi="Arial" w:cs="Arial"/>
          <w:sz w:val="24"/>
          <w:szCs w:val="24"/>
          <w:u w:val="single"/>
        </w:rPr>
        <w:t xml:space="preserve">shall be set </w:t>
      </w:r>
      <w:r w:rsidRPr="00991088">
        <w:rPr>
          <w:rFonts w:ascii="Arial" w:hAnsi="Arial" w:cs="Arial"/>
          <w:sz w:val="24"/>
          <w:szCs w:val="24"/>
        </w:rPr>
        <w:tab/>
      </w:r>
      <w:r w:rsidRPr="00991088">
        <w:rPr>
          <w:rFonts w:ascii="Arial" w:hAnsi="Arial" w:cs="Arial"/>
          <w:sz w:val="24"/>
          <w:szCs w:val="24"/>
        </w:rPr>
        <w:tab/>
      </w:r>
      <w:r>
        <w:rPr>
          <w:rFonts w:ascii="Arial" w:hAnsi="Arial" w:cs="Arial"/>
          <w:sz w:val="24"/>
          <w:szCs w:val="24"/>
          <w:u w:val="single"/>
        </w:rPr>
        <w:t>down for hearing</w:t>
      </w:r>
      <w:r>
        <w:rPr>
          <w:rStyle w:val="FootnoteReference"/>
          <w:rFonts w:ascii="Arial" w:hAnsi="Arial" w:cs="Arial"/>
          <w:sz w:val="24"/>
          <w:szCs w:val="24"/>
          <w:u w:val="single"/>
        </w:rPr>
        <w:footnoteReference w:id="4"/>
      </w:r>
      <w:r>
        <w:rPr>
          <w:rFonts w:ascii="Arial" w:hAnsi="Arial" w:cs="Arial"/>
          <w:sz w:val="24"/>
          <w:szCs w:val="24"/>
          <w:u w:val="single"/>
        </w:rPr>
        <w:t xml:space="preserve"> </w:t>
      </w:r>
      <w:r w:rsidRPr="00991088">
        <w:rPr>
          <w:rFonts w:ascii="Arial" w:hAnsi="Arial" w:cs="Arial"/>
          <w:sz w:val="24"/>
          <w:szCs w:val="24"/>
        </w:rPr>
        <w:t>upon not less than</w:t>
      </w:r>
      <w:r>
        <w:rPr>
          <w:rFonts w:ascii="Arial" w:hAnsi="Arial" w:cs="Arial"/>
          <w:sz w:val="24"/>
          <w:szCs w:val="24"/>
        </w:rPr>
        <w:t xml:space="preserve"> five days’ notice to the party in </w:t>
      </w:r>
      <w:r>
        <w:rPr>
          <w:rFonts w:ascii="Arial" w:hAnsi="Arial" w:cs="Arial"/>
          <w:sz w:val="24"/>
          <w:szCs w:val="24"/>
        </w:rPr>
        <w:tab/>
      </w:r>
      <w:r>
        <w:rPr>
          <w:rFonts w:ascii="Arial" w:hAnsi="Arial" w:cs="Arial"/>
          <w:sz w:val="24"/>
          <w:szCs w:val="24"/>
        </w:rPr>
        <w:tab/>
        <w:t xml:space="preserve">default: Provided that no notice of set down need be given to any party </w:t>
      </w:r>
      <w:r>
        <w:rPr>
          <w:rFonts w:ascii="Arial" w:hAnsi="Arial" w:cs="Arial"/>
          <w:sz w:val="24"/>
          <w:szCs w:val="24"/>
        </w:rPr>
        <w:tab/>
      </w:r>
      <w:r>
        <w:rPr>
          <w:rFonts w:ascii="Arial" w:hAnsi="Arial" w:cs="Arial"/>
          <w:sz w:val="24"/>
          <w:szCs w:val="24"/>
        </w:rPr>
        <w:tab/>
        <w:t>in default of delivery of notice of intention to defend.</w:t>
      </w:r>
    </w:p>
    <w:p w14:paraId="026E5AF1" w14:textId="77777777" w:rsidR="002866FE" w:rsidRDefault="002866FE" w:rsidP="00797ED0">
      <w:pPr>
        <w:spacing w:after="120" w:line="360" w:lineRule="auto"/>
        <w:jc w:val="both"/>
        <w:rPr>
          <w:rFonts w:ascii="Arial" w:hAnsi="Arial" w:cs="Arial"/>
          <w:sz w:val="24"/>
          <w:szCs w:val="24"/>
        </w:rPr>
      </w:pPr>
    </w:p>
    <w:p w14:paraId="5EA370D1" w14:textId="55268B22" w:rsidR="00C50825" w:rsidRDefault="008203AE" w:rsidP="00797ED0">
      <w:pPr>
        <w:spacing w:after="120" w:line="360" w:lineRule="auto"/>
        <w:jc w:val="both"/>
        <w:rPr>
          <w:rFonts w:ascii="Arial" w:hAnsi="Arial" w:cs="Arial"/>
          <w:sz w:val="24"/>
          <w:szCs w:val="24"/>
        </w:rPr>
      </w:pPr>
      <w:r w:rsidRPr="00BD3085">
        <w:rPr>
          <w:rFonts w:ascii="Arial" w:hAnsi="Arial" w:cs="Arial"/>
          <w:sz w:val="24"/>
          <w:szCs w:val="24"/>
        </w:rPr>
        <w:t>[10]</w:t>
      </w:r>
      <w:r w:rsidRPr="00BD3085">
        <w:rPr>
          <w:rFonts w:ascii="Arial" w:hAnsi="Arial" w:cs="Arial"/>
          <w:sz w:val="24"/>
          <w:szCs w:val="24"/>
        </w:rPr>
        <w:tab/>
      </w:r>
      <w:r w:rsidR="00691450">
        <w:rPr>
          <w:rFonts w:ascii="Arial" w:hAnsi="Arial" w:cs="Arial"/>
          <w:sz w:val="24"/>
          <w:szCs w:val="24"/>
        </w:rPr>
        <w:t xml:space="preserve">The </w:t>
      </w:r>
      <w:r w:rsidR="00991088">
        <w:rPr>
          <w:rFonts w:ascii="Arial" w:hAnsi="Arial" w:cs="Arial"/>
          <w:sz w:val="24"/>
          <w:szCs w:val="24"/>
        </w:rPr>
        <w:t>provisions of the rule emphasise the need to hear oral evidence.</w:t>
      </w:r>
    </w:p>
    <w:p w14:paraId="42B46B1F" w14:textId="77777777" w:rsidR="00991088" w:rsidRPr="00BD3085" w:rsidRDefault="00991088" w:rsidP="00797ED0">
      <w:pPr>
        <w:spacing w:after="120" w:line="360" w:lineRule="auto"/>
        <w:jc w:val="both"/>
        <w:rPr>
          <w:rFonts w:ascii="Arial" w:hAnsi="Arial" w:cs="Arial"/>
          <w:sz w:val="24"/>
          <w:szCs w:val="24"/>
        </w:rPr>
      </w:pPr>
    </w:p>
    <w:p w14:paraId="3F2BF4A5" w14:textId="3009D951" w:rsidR="00A51CD9" w:rsidRDefault="00A51CD9" w:rsidP="00797ED0">
      <w:pPr>
        <w:spacing w:after="120" w:line="360" w:lineRule="auto"/>
        <w:jc w:val="both"/>
        <w:rPr>
          <w:rFonts w:ascii="Arial" w:hAnsi="Arial" w:cs="Arial"/>
          <w:sz w:val="24"/>
          <w:szCs w:val="24"/>
        </w:rPr>
      </w:pPr>
      <w:r w:rsidRPr="00BD3085">
        <w:rPr>
          <w:rFonts w:ascii="Arial" w:hAnsi="Arial" w:cs="Arial"/>
          <w:sz w:val="24"/>
          <w:szCs w:val="24"/>
        </w:rPr>
        <w:lastRenderedPageBreak/>
        <w:t>[11]</w:t>
      </w:r>
      <w:r w:rsidRPr="00BD3085">
        <w:rPr>
          <w:rFonts w:ascii="Arial" w:hAnsi="Arial" w:cs="Arial"/>
          <w:sz w:val="24"/>
          <w:szCs w:val="24"/>
        </w:rPr>
        <w:tab/>
      </w:r>
      <w:r w:rsidR="00991088">
        <w:rPr>
          <w:rFonts w:ascii="Arial" w:hAnsi="Arial" w:cs="Arial"/>
          <w:sz w:val="24"/>
          <w:szCs w:val="24"/>
        </w:rPr>
        <w:t>It is important not to overlook the provisions of the rule that prescribe how the matter is to be enrolled.  What is required is a notice of set down that contains relevant information, for example</w:t>
      </w:r>
      <w:r w:rsidR="008A024C">
        <w:rPr>
          <w:rFonts w:ascii="Arial" w:hAnsi="Arial" w:cs="Arial"/>
          <w:sz w:val="24"/>
          <w:szCs w:val="24"/>
        </w:rPr>
        <w:t>:</w:t>
      </w:r>
    </w:p>
    <w:p w14:paraId="04E2D1F9" w14:textId="0CA2EA49" w:rsidR="008A024C" w:rsidRDefault="008A024C" w:rsidP="00797ED0">
      <w:pPr>
        <w:spacing w:after="120" w:line="360" w:lineRule="auto"/>
        <w:jc w:val="both"/>
        <w:rPr>
          <w:rFonts w:ascii="Arial" w:hAnsi="Arial" w:cs="Arial"/>
          <w:sz w:val="24"/>
          <w:szCs w:val="24"/>
        </w:rPr>
      </w:pPr>
      <w:r>
        <w:rPr>
          <w:rFonts w:ascii="Arial" w:hAnsi="Arial" w:cs="Arial"/>
          <w:sz w:val="24"/>
          <w:szCs w:val="24"/>
        </w:rPr>
        <w:tab/>
        <w:t>WHEREAS the combined summons was served on 10 November 2020; and</w:t>
      </w:r>
    </w:p>
    <w:p w14:paraId="6102ADC9" w14:textId="7CAFA232" w:rsidR="008A024C" w:rsidRDefault="008A024C" w:rsidP="00797ED0">
      <w:pPr>
        <w:spacing w:after="120" w:line="360" w:lineRule="auto"/>
        <w:jc w:val="both"/>
        <w:rPr>
          <w:rFonts w:ascii="Arial" w:hAnsi="Arial" w:cs="Arial"/>
          <w:sz w:val="24"/>
          <w:szCs w:val="24"/>
        </w:rPr>
      </w:pPr>
    </w:p>
    <w:p w14:paraId="78EE4748" w14:textId="75307096" w:rsidR="008A024C" w:rsidRDefault="008A024C" w:rsidP="00797ED0">
      <w:pPr>
        <w:spacing w:after="120" w:line="360" w:lineRule="auto"/>
        <w:jc w:val="both"/>
        <w:rPr>
          <w:rFonts w:ascii="Arial" w:hAnsi="Arial" w:cs="Arial"/>
          <w:sz w:val="24"/>
          <w:szCs w:val="24"/>
        </w:rPr>
      </w:pPr>
      <w:r>
        <w:rPr>
          <w:rFonts w:ascii="Arial" w:hAnsi="Arial" w:cs="Arial"/>
          <w:sz w:val="24"/>
          <w:szCs w:val="24"/>
        </w:rPr>
        <w:tab/>
        <w:t xml:space="preserve">WHEREAS the defendant was offerded twenty (20) days within which to deliver </w:t>
      </w:r>
      <w:r>
        <w:rPr>
          <w:rFonts w:ascii="Arial" w:hAnsi="Arial" w:cs="Arial"/>
          <w:sz w:val="24"/>
          <w:szCs w:val="24"/>
        </w:rPr>
        <w:tab/>
        <w:t>a notice of intention to defend; and</w:t>
      </w:r>
    </w:p>
    <w:p w14:paraId="7A421F79" w14:textId="4AEB7761" w:rsidR="008A024C" w:rsidRDefault="008A024C" w:rsidP="00797ED0">
      <w:pPr>
        <w:spacing w:after="120" w:line="360" w:lineRule="auto"/>
        <w:jc w:val="both"/>
        <w:rPr>
          <w:rFonts w:ascii="Arial" w:hAnsi="Arial" w:cs="Arial"/>
          <w:sz w:val="24"/>
          <w:szCs w:val="24"/>
        </w:rPr>
      </w:pPr>
    </w:p>
    <w:p w14:paraId="464FA39F" w14:textId="763957F1" w:rsidR="008A024C" w:rsidRDefault="008A024C" w:rsidP="00797ED0">
      <w:pPr>
        <w:spacing w:after="120" w:line="360" w:lineRule="auto"/>
        <w:jc w:val="both"/>
        <w:rPr>
          <w:rFonts w:ascii="Arial" w:hAnsi="Arial" w:cs="Arial"/>
          <w:sz w:val="24"/>
          <w:szCs w:val="24"/>
        </w:rPr>
      </w:pPr>
      <w:r>
        <w:rPr>
          <w:rFonts w:ascii="Arial" w:hAnsi="Arial" w:cs="Arial"/>
          <w:sz w:val="24"/>
          <w:szCs w:val="24"/>
        </w:rPr>
        <w:tab/>
        <w:t xml:space="preserve">WHEREAS the defendant filed her notice of intention to defend on 26 October </w:t>
      </w:r>
      <w:r>
        <w:rPr>
          <w:rFonts w:ascii="Arial" w:hAnsi="Arial" w:cs="Arial"/>
          <w:sz w:val="24"/>
          <w:szCs w:val="24"/>
        </w:rPr>
        <w:tab/>
        <w:t>2021; and</w:t>
      </w:r>
    </w:p>
    <w:p w14:paraId="10EFAF64" w14:textId="6EFD4688" w:rsidR="008A024C" w:rsidRDefault="008A024C" w:rsidP="00797ED0">
      <w:pPr>
        <w:spacing w:after="120" w:line="360" w:lineRule="auto"/>
        <w:jc w:val="both"/>
        <w:rPr>
          <w:rFonts w:ascii="Arial" w:hAnsi="Arial" w:cs="Arial"/>
          <w:sz w:val="24"/>
          <w:szCs w:val="24"/>
        </w:rPr>
      </w:pPr>
    </w:p>
    <w:p w14:paraId="0587BF47" w14:textId="0A6B5463" w:rsidR="008A024C" w:rsidRDefault="008A024C" w:rsidP="00797ED0">
      <w:pPr>
        <w:spacing w:after="120" w:line="360" w:lineRule="auto"/>
        <w:jc w:val="both"/>
        <w:rPr>
          <w:rFonts w:ascii="Arial" w:hAnsi="Arial" w:cs="Arial"/>
          <w:sz w:val="24"/>
          <w:szCs w:val="24"/>
        </w:rPr>
      </w:pPr>
      <w:r>
        <w:rPr>
          <w:rFonts w:ascii="Arial" w:hAnsi="Arial" w:cs="Arial"/>
          <w:sz w:val="24"/>
          <w:szCs w:val="24"/>
        </w:rPr>
        <w:tab/>
        <w:t xml:space="preserve">WHEREAS the defendant failed to file a plea and was served with a notice to </w:t>
      </w:r>
      <w:r>
        <w:rPr>
          <w:rFonts w:ascii="Arial" w:hAnsi="Arial" w:cs="Arial"/>
          <w:sz w:val="24"/>
          <w:szCs w:val="24"/>
        </w:rPr>
        <w:tab/>
        <w:t>demand a plea and bar on 22 March 2022; and</w:t>
      </w:r>
    </w:p>
    <w:p w14:paraId="1FA1A2F5" w14:textId="5E8F06E8" w:rsidR="008A024C" w:rsidRDefault="008A024C" w:rsidP="00797ED0">
      <w:pPr>
        <w:spacing w:after="120" w:line="360" w:lineRule="auto"/>
        <w:jc w:val="both"/>
        <w:rPr>
          <w:rFonts w:ascii="Arial" w:hAnsi="Arial" w:cs="Arial"/>
          <w:sz w:val="24"/>
          <w:szCs w:val="24"/>
        </w:rPr>
      </w:pPr>
    </w:p>
    <w:p w14:paraId="3008CFCB" w14:textId="042183B6" w:rsidR="008A024C" w:rsidRDefault="008A024C" w:rsidP="00797ED0">
      <w:pPr>
        <w:spacing w:after="120" w:line="360" w:lineRule="auto"/>
        <w:jc w:val="both"/>
        <w:rPr>
          <w:rFonts w:ascii="Arial" w:hAnsi="Arial" w:cs="Arial"/>
          <w:sz w:val="24"/>
          <w:szCs w:val="24"/>
        </w:rPr>
      </w:pPr>
      <w:r>
        <w:rPr>
          <w:rFonts w:ascii="Arial" w:hAnsi="Arial" w:cs="Arial"/>
          <w:sz w:val="24"/>
          <w:szCs w:val="24"/>
        </w:rPr>
        <w:tab/>
        <w:t xml:space="preserve">WHEREAS the </w:t>
      </w:r>
      <w:r w:rsidR="00B57810">
        <w:rPr>
          <w:rFonts w:ascii="Arial" w:hAnsi="Arial" w:cs="Arial"/>
          <w:sz w:val="24"/>
          <w:szCs w:val="24"/>
        </w:rPr>
        <w:t>five-day</w:t>
      </w:r>
      <w:r>
        <w:rPr>
          <w:rFonts w:ascii="Arial" w:hAnsi="Arial" w:cs="Arial"/>
          <w:sz w:val="24"/>
          <w:szCs w:val="24"/>
        </w:rPr>
        <w:t xml:space="preserve"> period after service of the notice to demand a plea and </w:t>
      </w:r>
      <w:r>
        <w:rPr>
          <w:rFonts w:ascii="Arial" w:hAnsi="Arial" w:cs="Arial"/>
          <w:sz w:val="24"/>
          <w:szCs w:val="24"/>
        </w:rPr>
        <w:tab/>
        <w:t>bar expired on 30 March 2022; and</w:t>
      </w:r>
    </w:p>
    <w:p w14:paraId="4DF63859" w14:textId="64EB0006" w:rsidR="00CF6E63" w:rsidRDefault="00CF6E63" w:rsidP="00797ED0">
      <w:pPr>
        <w:spacing w:after="120" w:line="360" w:lineRule="auto"/>
        <w:jc w:val="both"/>
        <w:rPr>
          <w:rFonts w:ascii="Arial" w:hAnsi="Arial" w:cs="Arial"/>
          <w:sz w:val="24"/>
          <w:szCs w:val="24"/>
        </w:rPr>
      </w:pPr>
    </w:p>
    <w:p w14:paraId="266CD4A0" w14:textId="5CB39EF9" w:rsidR="00CF6E63" w:rsidRDefault="00CF6E63" w:rsidP="00797ED0">
      <w:pPr>
        <w:spacing w:after="120" w:line="360" w:lineRule="auto"/>
        <w:jc w:val="both"/>
        <w:rPr>
          <w:rFonts w:ascii="Arial" w:hAnsi="Arial" w:cs="Arial"/>
          <w:sz w:val="24"/>
          <w:szCs w:val="24"/>
        </w:rPr>
      </w:pPr>
      <w:r>
        <w:rPr>
          <w:rFonts w:ascii="Arial" w:hAnsi="Arial" w:cs="Arial"/>
          <w:sz w:val="24"/>
          <w:szCs w:val="24"/>
        </w:rPr>
        <w:tab/>
        <w:t>WHEREAS the defendant remains in default of filing a plea;</w:t>
      </w:r>
    </w:p>
    <w:p w14:paraId="71E6A486" w14:textId="30346219" w:rsidR="00CF6E63" w:rsidRDefault="00CF6E63" w:rsidP="00797ED0">
      <w:pPr>
        <w:spacing w:after="120" w:line="360" w:lineRule="auto"/>
        <w:jc w:val="both"/>
        <w:rPr>
          <w:rFonts w:ascii="Arial" w:hAnsi="Arial" w:cs="Arial"/>
          <w:sz w:val="24"/>
          <w:szCs w:val="24"/>
        </w:rPr>
      </w:pPr>
    </w:p>
    <w:p w14:paraId="64A42369" w14:textId="0DB18C01" w:rsidR="00CF6E63" w:rsidRDefault="00CF6E63" w:rsidP="00797ED0">
      <w:pPr>
        <w:spacing w:after="120" w:line="360" w:lineRule="auto"/>
        <w:jc w:val="both"/>
        <w:rPr>
          <w:rFonts w:ascii="Arial" w:hAnsi="Arial" w:cs="Arial"/>
          <w:sz w:val="24"/>
          <w:szCs w:val="24"/>
        </w:rPr>
      </w:pPr>
      <w:r>
        <w:rPr>
          <w:rFonts w:ascii="Arial" w:hAnsi="Arial" w:cs="Arial"/>
          <w:sz w:val="24"/>
          <w:szCs w:val="24"/>
        </w:rPr>
        <w:tab/>
        <w:t xml:space="preserve">NOW THEREFORE BE PLEASED TO TAKE NOTICE that the plaintiff hereby </w:t>
      </w:r>
      <w:r>
        <w:rPr>
          <w:rFonts w:ascii="Arial" w:hAnsi="Arial" w:cs="Arial"/>
          <w:sz w:val="24"/>
          <w:szCs w:val="24"/>
        </w:rPr>
        <w:tab/>
        <w:t xml:space="preserve">enrols the matter for hearing on a date to be allocated by the registrar when the </w:t>
      </w:r>
      <w:r>
        <w:rPr>
          <w:rFonts w:ascii="Arial" w:hAnsi="Arial" w:cs="Arial"/>
          <w:sz w:val="24"/>
          <w:szCs w:val="24"/>
        </w:rPr>
        <w:tab/>
        <w:t>plaintiff will seek judgment by default against the defendant as follows:</w:t>
      </w:r>
    </w:p>
    <w:p w14:paraId="6F54CA11" w14:textId="64C22921" w:rsidR="00CF6E63" w:rsidRDefault="00CF6E63" w:rsidP="00797ED0">
      <w:pPr>
        <w:spacing w:after="120" w:line="360" w:lineRule="auto"/>
        <w:jc w:val="both"/>
        <w:rPr>
          <w:rFonts w:ascii="Arial" w:hAnsi="Arial" w:cs="Arial"/>
          <w:sz w:val="24"/>
          <w:szCs w:val="24"/>
        </w:rPr>
      </w:pPr>
    </w:p>
    <w:p w14:paraId="07B0C43D" w14:textId="4F98EDBC" w:rsidR="00CF6E63" w:rsidRDefault="00CF6E63" w:rsidP="00797ED0">
      <w:pPr>
        <w:spacing w:after="12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706FBC">
        <w:rPr>
          <w:rFonts w:ascii="Arial" w:hAnsi="Arial" w:cs="Arial"/>
          <w:sz w:val="24"/>
          <w:szCs w:val="24"/>
        </w:rPr>
        <w:t>1</w:t>
      </w:r>
      <w:r w:rsidR="00706FBC">
        <w:rPr>
          <w:rFonts w:ascii="Arial" w:hAnsi="Arial" w:cs="Arial"/>
          <w:sz w:val="24"/>
          <w:szCs w:val="24"/>
        </w:rPr>
        <w:tab/>
        <w:t xml:space="preserve"> </w:t>
      </w:r>
      <w:r>
        <w:rPr>
          <w:rFonts w:ascii="Arial" w:hAnsi="Arial" w:cs="Arial"/>
          <w:sz w:val="24"/>
          <w:szCs w:val="24"/>
        </w:rPr>
        <w:t xml:space="preserve">that the defendant be and is hereby held liable to the plaintiff for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payment of the following sums as and for damages arising out of </w:t>
      </w:r>
      <w:r>
        <w:rPr>
          <w:rFonts w:ascii="Arial" w:hAnsi="Arial" w:cs="Arial"/>
          <w:sz w:val="24"/>
          <w:szCs w:val="24"/>
        </w:rPr>
        <w:tab/>
      </w:r>
      <w:r>
        <w:rPr>
          <w:rFonts w:ascii="Arial" w:hAnsi="Arial" w:cs="Arial"/>
          <w:sz w:val="24"/>
          <w:szCs w:val="24"/>
        </w:rPr>
        <w:tab/>
      </w:r>
      <w:r>
        <w:rPr>
          <w:rFonts w:ascii="Arial" w:hAnsi="Arial" w:cs="Arial"/>
          <w:sz w:val="24"/>
          <w:szCs w:val="24"/>
        </w:rPr>
        <w:tab/>
        <w:t>the motor vehicle accident that occurred on 9 February 2019:</w:t>
      </w:r>
    </w:p>
    <w:p w14:paraId="23F09DFC" w14:textId="2C33646C" w:rsidR="00CF6E63" w:rsidRDefault="00CF6E63" w:rsidP="00797ED0">
      <w:pPr>
        <w:spacing w:after="12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706FBC">
        <w:rPr>
          <w:rFonts w:ascii="Arial" w:hAnsi="Arial" w:cs="Arial"/>
          <w:sz w:val="24"/>
          <w:szCs w:val="24"/>
        </w:rPr>
        <w:tab/>
      </w:r>
      <w:r>
        <w:rPr>
          <w:rFonts w:ascii="Arial" w:hAnsi="Arial" w:cs="Arial"/>
          <w:sz w:val="24"/>
          <w:szCs w:val="24"/>
        </w:rPr>
        <w:t>1.1 general damages in the sum of R 200 000.00;</w:t>
      </w:r>
    </w:p>
    <w:p w14:paraId="4C0A7B4F" w14:textId="413ED7CA" w:rsidR="00CF6E63" w:rsidRDefault="00CF6E63" w:rsidP="00797ED0">
      <w:pPr>
        <w:spacing w:after="12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706FBC">
        <w:rPr>
          <w:rFonts w:ascii="Arial" w:hAnsi="Arial" w:cs="Arial"/>
          <w:sz w:val="24"/>
          <w:szCs w:val="24"/>
        </w:rPr>
        <w:tab/>
      </w:r>
      <w:r>
        <w:rPr>
          <w:rFonts w:ascii="Arial" w:hAnsi="Arial" w:cs="Arial"/>
          <w:sz w:val="24"/>
          <w:szCs w:val="24"/>
        </w:rPr>
        <w:t>1.2 future medical expenses in the sum of R180 000.00;</w:t>
      </w:r>
    </w:p>
    <w:p w14:paraId="408AD5A5" w14:textId="095B2197" w:rsidR="00CF6E63" w:rsidRDefault="00CF6E63" w:rsidP="00797ED0">
      <w:pPr>
        <w:spacing w:after="120"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706FBC">
        <w:rPr>
          <w:rFonts w:ascii="Arial" w:hAnsi="Arial" w:cs="Arial"/>
          <w:sz w:val="24"/>
          <w:szCs w:val="24"/>
        </w:rPr>
        <w:tab/>
      </w:r>
      <w:r>
        <w:rPr>
          <w:rFonts w:ascii="Arial" w:hAnsi="Arial" w:cs="Arial"/>
          <w:sz w:val="24"/>
          <w:szCs w:val="24"/>
        </w:rPr>
        <w:t>1.3 future loss of earnings in the sum of R 400 000.00.</w:t>
      </w:r>
      <w:r w:rsidR="00706FBC">
        <w:rPr>
          <w:rStyle w:val="FootnoteReference"/>
          <w:rFonts w:ascii="Arial" w:hAnsi="Arial" w:cs="Arial"/>
          <w:sz w:val="24"/>
          <w:szCs w:val="24"/>
        </w:rPr>
        <w:footnoteReference w:id="5"/>
      </w:r>
    </w:p>
    <w:p w14:paraId="5E98DB36" w14:textId="446EBB5C" w:rsidR="00706FBC" w:rsidRDefault="00706FBC" w:rsidP="00797ED0">
      <w:pPr>
        <w:spacing w:after="12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 xml:space="preserve">that the defendant be and is hereby ordered to pay the plaintiff’s </w:t>
      </w:r>
      <w:r>
        <w:rPr>
          <w:rFonts w:ascii="Arial" w:hAnsi="Arial" w:cs="Arial"/>
          <w:sz w:val="24"/>
          <w:szCs w:val="24"/>
        </w:rPr>
        <w:tab/>
      </w:r>
      <w:r>
        <w:rPr>
          <w:rFonts w:ascii="Arial" w:hAnsi="Arial" w:cs="Arial"/>
          <w:sz w:val="24"/>
          <w:szCs w:val="24"/>
        </w:rPr>
        <w:tab/>
      </w:r>
      <w:r>
        <w:rPr>
          <w:rFonts w:ascii="Arial" w:hAnsi="Arial" w:cs="Arial"/>
          <w:sz w:val="24"/>
          <w:szCs w:val="24"/>
        </w:rPr>
        <w:tab/>
        <w:t>costs of suit, such costs to include …</w:t>
      </w:r>
    </w:p>
    <w:p w14:paraId="67169495" w14:textId="49DC3341" w:rsidR="00706FBC" w:rsidRDefault="00706FBC" w:rsidP="00797ED0">
      <w:pPr>
        <w:spacing w:after="120" w:line="360" w:lineRule="auto"/>
        <w:jc w:val="both"/>
        <w:rPr>
          <w:rFonts w:ascii="Arial" w:hAnsi="Arial" w:cs="Arial"/>
          <w:sz w:val="24"/>
          <w:szCs w:val="24"/>
        </w:rPr>
      </w:pPr>
      <w:r>
        <w:rPr>
          <w:rFonts w:ascii="Arial" w:hAnsi="Arial" w:cs="Arial"/>
          <w:sz w:val="24"/>
          <w:szCs w:val="24"/>
        </w:rPr>
        <w:tab/>
        <w:t>KINDLY ENROL THE MATTER ACCORDINGLY.</w:t>
      </w:r>
    </w:p>
    <w:p w14:paraId="14552BF2" w14:textId="77777777" w:rsidR="00033853" w:rsidRPr="00BD3085" w:rsidRDefault="00033853" w:rsidP="00797ED0">
      <w:pPr>
        <w:spacing w:after="120" w:line="360" w:lineRule="auto"/>
        <w:jc w:val="both"/>
        <w:rPr>
          <w:rFonts w:ascii="Arial" w:hAnsi="Arial" w:cs="Arial"/>
          <w:sz w:val="24"/>
          <w:szCs w:val="24"/>
        </w:rPr>
      </w:pPr>
    </w:p>
    <w:p w14:paraId="27BC7044" w14:textId="17B9BD9A" w:rsidR="00A20836" w:rsidRPr="00CB1C56" w:rsidRDefault="00A51CD9" w:rsidP="00706FBC">
      <w:pPr>
        <w:spacing w:after="120" w:line="360" w:lineRule="auto"/>
        <w:jc w:val="both"/>
        <w:rPr>
          <w:rFonts w:ascii="Arial" w:eastAsia="Calibri" w:hAnsi="Arial" w:cs="Arial"/>
          <w:sz w:val="24"/>
          <w:szCs w:val="24"/>
        </w:rPr>
      </w:pPr>
      <w:r w:rsidRPr="00BD3085">
        <w:rPr>
          <w:rFonts w:ascii="Arial" w:hAnsi="Arial" w:cs="Arial"/>
          <w:sz w:val="24"/>
          <w:szCs w:val="24"/>
        </w:rPr>
        <w:t>[12]</w:t>
      </w:r>
      <w:r w:rsidRPr="00BD3085">
        <w:rPr>
          <w:rFonts w:ascii="Arial" w:hAnsi="Arial" w:cs="Arial"/>
          <w:sz w:val="24"/>
          <w:szCs w:val="24"/>
        </w:rPr>
        <w:tab/>
      </w:r>
      <w:r w:rsidR="00706FBC">
        <w:rPr>
          <w:rFonts w:ascii="Arial" w:hAnsi="Arial" w:cs="Arial"/>
          <w:sz w:val="24"/>
          <w:szCs w:val="24"/>
        </w:rPr>
        <w:t xml:space="preserve">In the present matter, the plaintiff’s attorney set out the sequence of the relevant events that occurred since the issue of the combined summons, much like the illustration set out in the preceding paragraph of this judgment.  </w:t>
      </w:r>
      <w:r w:rsidR="001A1C35">
        <w:rPr>
          <w:rFonts w:ascii="Arial" w:hAnsi="Arial" w:cs="Arial"/>
          <w:sz w:val="24"/>
          <w:szCs w:val="24"/>
        </w:rPr>
        <w:t>H</w:t>
      </w:r>
      <w:r w:rsidR="00706FBC">
        <w:rPr>
          <w:rFonts w:ascii="Arial" w:hAnsi="Arial" w:cs="Arial"/>
          <w:sz w:val="24"/>
          <w:szCs w:val="24"/>
        </w:rPr>
        <w:t>owever</w:t>
      </w:r>
      <w:r w:rsidR="001A1C35">
        <w:rPr>
          <w:rFonts w:ascii="Arial" w:hAnsi="Arial" w:cs="Arial"/>
          <w:sz w:val="24"/>
          <w:szCs w:val="24"/>
        </w:rPr>
        <w:t>, the document is erroneously headed “Notice of Application for Judgment by default in terms of rule 31(2)(a) of the Uniform Rules.”  It is preferable to style the appropriate document as “Notice of Set Down”.  However, the document stands head and shoulders above many others that were to be found on the relevant roll.  Some were styled “Notice of Motion” and others “Notice of Application”, still echoing the misguided history when such matters were enrolled in the motion court.</w:t>
      </w:r>
    </w:p>
    <w:p w14:paraId="23E60F36" w14:textId="77777777" w:rsidR="00B21FD0" w:rsidRDefault="00B21FD0" w:rsidP="00797ED0">
      <w:pPr>
        <w:spacing w:after="120" w:line="360" w:lineRule="auto"/>
        <w:jc w:val="both"/>
        <w:rPr>
          <w:rFonts w:ascii="Arial" w:hAnsi="Arial" w:cs="Arial"/>
          <w:sz w:val="24"/>
          <w:szCs w:val="24"/>
        </w:rPr>
      </w:pPr>
    </w:p>
    <w:p w14:paraId="43BD473B" w14:textId="3D74581C" w:rsidR="00C46E48" w:rsidRPr="001A1C35" w:rsidRDefault="0098412D" w:rsidP="00797ED0">
      <w:pPr>
        <w:spacing w:after="12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1A1C35">
        <w:rPr>
          <w:rFonts w:ascii="Arial" w:hAnsi="Arial" w:cs="Arial"/>
          <w:sz w:val="24"/>
          <w:szCs w:val="24"/>
        </w:rPr>
        <w:t xml:space="preserve">Regrettably, the present matter is no different from any of the other matters on the roll in that it was burdened by a so-called “damages affidavit” in which the plaintiff repeats the history of the matter, describes the merits of his case and addresses the </w:t>
      </w:r>
      <w:r w:rsidR="001A1C35" w:rsidRPr="001A1C35">
        <w:rPr>
          <w:rFonts w:ascii="Arial" w:hAnsi="Arial" w:cs="Arial"/>
          <w:i/>
          <w:sz w:val="24"/>
          <w:szCs w:val="24"/>
        </w:rPr>
        <w:t>quantum</w:t>
      </w:r>
      <w:r w:rsidR="001A1C35">
        <w:rPr>
          <w:rFonts w:ascii="Arial" w:hAnsi="Arial" w:cs="Arial"/>
          <w:i/>
          <w:sz w:val="24"/>
          <w:szCs w:val="24"/>
        </w:rPr>
        <w:t xml:space="preserve"> </w:t>
      </w:r>
      <w:r w:rsidR="00226303">
        <w:rPr>
          <w:rFonts w:ascii="Arial" w:hAnsi="Arial" w:cs="Arial"/>
          <w:sz w:val="24"/>
          <w:szCs w:val="24"/>
        </w:rPr>
        <w:t>of his case.  There is no place for such an affidavit.  Since the matter was clarified in the Bisha judgment, practitioners ought not to persist in the bad habit of introducing “damages affidavits”.  They have no probative value and simply run up the costs of litigation in a manner that neither the defendant nor the plaintiff should be expected to meet.  For this reason, an appropriate costs order will be made.</w:t>
      </w:r>
    </w:p>
    <w:p w14:paraId="4F627EE5" w14:textId="77777777" w:rsidR="00C46E48" w:rsidRPr="00BD3085" w:rsidRDefault="00C46E48" w:rsidP="00797ED0">
      <w:pPr>
        <w:spacing w:after="120" w:line="360" w:lineRule="auto"/>
        <w:jc w:val="both"/>
        <w:rPr>
          <w:rFonts w:ascii="Arial" w:hAnsi="Arial" w:cs="Arial"/>
          <w:sz w:val="24"/>
          <w:szCs w:val="24"/>
        </w:rPr>
      </w:pPr>
    </w:p>
    <w:p w14:paraId="10AAF694" w14:textId="7BC58AE0" w:rsidR="00D43078" w:rsidRPr="00C761E9" w:rsidRDefault="00C46E48" w:rsidP="00797ED0">
      <w:pPr>
        <w:spacing w:after="120" w:line="360" w:lineRule="auto"/>
        <w:jc w:val="both"/>
        <w:rPr>
          <w:rFonts w:ascii="Arial" w:hAnsi="Arial" w:cs="Arial"/>
          <w:sz w:val="24"/>
          <w:szCs w:val="24"/>
        </w:rPr>
      </w:pPr>
      <w:r w:rsidRPr="00BD3085">
        <w:rPr>
          <w:rFonts w:ascii="Arial" w:hAnsi="Arial" w:cs="Arial"/>
          <w:sz w:val="24"/>
          <w:szCs w:val="24"/>
        </w:rPr>
        <w:t>[14]</w:t>
      </w:r>
      <w:r w:rsidR="007A1158" w:rsidRPr="00BD3085">
        <w:rPr>
          <w:rFonts w:ascii="Arial" w:hAnsi="Arial" w:cs="Arial"/>
          <w:sz w:val="24"/>
          <w:szCs w:val="24"/>
        </w:rPr>
        <w:tab/>
      </w:r>
      <w:r w:rsidR="00226303">
        <w:rPr>
          <w:rFonts w:ascii="Arial" w:hAnsi="Arial" w:cs="Arial"/>
          <w:sz w:val="24"/>
          <w:szCs w:val="24"/>
        </w:rPr>
        <w:t>Two aspects of special damages were dealt with in this matter.  They were appropriately dealt with by the presentation of a fully motivated medico-legal report and opinion compiled by an appropriate expert witness who had examined the plaintiff and come to a well-reasoned opinion.  In each instance the expert report was covered by</w:t>
      </w:r>
      <w:r w:rsidR="00C761E9">
        <w:rPr>
          <w:rFonts w:ascii="Arial" w:hAnsi="Arial" w:cs="Arial"/>
          <w:sz w:val="24"/>
          <w:szCs w:val="24"/>
        </w:rPr>
        <w:t xml:space="preserve"> an affidavit deposed to by the relevant expert and confirming the accuracy and appropriateness of the medical opinion offered in the report.  This is compliant with the </w:t>
      </w:r>
      <w:r w:rsidR="00C761E9" w:rsidRPr="00C761E9">
        <w:rPr>
          <w:rFonts w:ascii="Arial" w:hAnsi="Arial" w:cs="Arial"/>
          <w:i/>
          <w:sz w:val="24"/>
          <w:szCs w:val="24"/>
        </w:rPr>
        <w:lastRenderedPageBreak/>
        <w:t>dicta</w:t>
      </w:r>
      <w:r w:rsidR="00C761E9">
        <w:rPr>
          <w:rFonts w:ascii="Arial" w:hAnsi="Arial" w:cs="Arial"/>
          <w:i/>
          <w:sz w:val="24"/>
          <w:szCs w:val="24"/>
        </w:rPr>
        <w:t xml:space="preserve"> </w:t>
      </w:r>
      <w:r w:rsidR="00C761E9">
        <w:rPr>
          <w:rFonts w:ascii="Arial" w:hAnsi="Arial" w:cs="Arial"/>
          <w:sz w:val="24"/>
          <w:szCs w:val="24"/>
        </w:rPr>
        <w:t xml:space="preserve">in the </w:t>
      </w:r>
      <w:r w:rsidR="00C761E9" w:rsidRPr="00C761E9">
        <w:rPr>
          <w:rFonts w:ascii="Arial" w:hAnsi="Arial" w:cs="Arial"/>
          <w:i/>
          <w:sz w:val="24"/>
          <w:szCs w:val="24"/>
        </w:rPr>
        <w:t>Havenga</w:t>
      </w:r>
      <w:r w:rsidR="00C761E9">
        <w:rPr>
          <w:rFonts w:ascii="Arial" w:hAnsi="Arial" w:cs="Arial"/>
          <w:sz w:val="24"/>
          <w:szCs w:val="24"/>
        </w:rPr>
        <w:t xml:space="preserve"> judgment</w:t>
      </w:r>
      <w:r w:rsidR="005932D4">
        <w:rPr>
          <w:rStyle w:val="FootnoteReference"/>
          <w:rFonts w:ascii="Arial" w:hAnsi="Arial" w:cs="Arial"/>
          <w:sz w:val="24"/>
          <w:szCs w:val="24"/>
        </w:rPr>
        <w:footnoteReference w:id="6"/>
      </w:r>
      <w:r w:rsidR="00C761E9">
        <w:rPr>
          <w:rFonts w:ascii="Arial" w:hAnsi="Arial" w:cs="Arial"/>
          <w:sz w:val="24"/>
          <w:szCs w:val="24"/>
        </w:rPr>
        <w:t xml:space="preserve"> and, in my view, constitutes an acceptable manner for placing expert evidence on </w:t>
      </w:r>
      <w:r w:rsidR="00C761E9" w:rsidRPr="00C761E9">
        <w:rPr>
          <w:rFonts w:ascii="Arial" w:hAnsi="Arial" w:cs="Arial"/>
          <w:i/>
          <w:sz w:val="24"/>
          <w:szCs w:val="24"/>
        </w:rPr>
        <w:t>quantum</w:t>
      </w:r>
      <w:r w:rsidR="00C761E9">
        <w:rPr>
          <w:rFonts w:ascii="Arial" w:hAnsi="Arial" w:cs="Arial"/>
          <w:i/>
          <w:sz w:val="24"/>
          <w:szCs w:val="24"/>
        </w:rPr>
        <w:t xml:space="preserve"> </w:t>
      </w:r>
      <w:r w:rsidR="00C761E9">
        <w:rPr>
          <w:rFonts w:ascii="Arial" w:hAnsi="Arial" w:cs="Arial"/>
          <w:sz w:val="24"/>
          <w:szCs w:val="24"/>
        </w:rPr>
        <w:t xml:space="preserve">before the court when a plaintiff seeks judgment by default on a claim for unliquidated damages.  Such evidence, of course, must still be based upon the </w:t>
      </w:r>
      <w:r w:rsidR="00C761E9" w:rsidRPr="00C761E9">
        <w:rPr>
          <w:rFonts w:ascii="Arial" w:hAnsi="Arial" w:cs="Arial"/>
          <w:i/>
          <w:sz w:val="24"/>
          <w:szCs w:val="24"/>
        </w:rPr>
        <w:t>viva voce</w:t>
      </w:r>
      <w:r w:rsidR="00C761E9">
        <w:rPr>
          <w:rFonts w:ascii="Arial" w:hAnsi="Arial" w:cs="Arial"/>
          <w:i/>
          <w:sz w:val="24"/>
          <w:szCs w:val="24"/>
        </w:rPr>
        <w:t xml:space="preserve"> </w:t>
      </w:r>
      <w:r w:rsidR="00C761E9">
        <w:rPr>
          <w:rFonts w:ascii="Arial" w:hAnsi="Arial" w:cs="Arial"/>
          <w:sz w:val="24"/>
          <w:szCs w:val="24"/>
        </w:rPr>
        <w:t>evidence given by the plaintiff.</w:t>
      </w:r>
      <w:r w:rsidR="00E22B4E">
        <w:rPr>
          <w:rFonts w:ascii="Arial" w:hAnsi="Arial" w:cs="Arial"/>
          <w:sz w:val="24"/>
          <w:szCs w:val="24"/>
        </w:rPr>
        <w:t xml:space="preserve">  It can also be led orally from the expert concerned.</w:t>
      </w:r>
    </w:p>
    <w:p w14:paraId="09C24803" w14:textId="77777777" w:rsidR="00D43078" w:rsidRPr="00BD3085" w:rsidRDefault="00D43078" w:rsidP="00797ED0">
      <w:pPr>
        <w:spacing w:after="120" w:line="360" w:lineRule="auto"/>
        <w:jc w:val="both"/>
        <w:rPr>
          <w:rFonts w:ascii="Arial" w:hAnsi="Arial" w:cs="Arial"/>
          <w:sz w:val="24"/>
          <w:szCs w:val="24"/>
        </w:rPr>
      </w:pPr>
    </w:p>
    <w:p w14:paraId="7D515010" w14:textId="0C415AD1" w:rsidR="00691450" w:rsidRDefault="00D43078" w:rsidP="00797ED0">
      <w:pPr>
        <w:spacing w:after="120" w:line="360" w:lineRule="auto"/>
        <w:jc w:val="both"/>
        <w:rPr>
          <w:rFonts w:ascii="Arial" w:hAnsi="Arial" w:cs="Arial"/>
          <w:sz w:val="24"/>
          <w:szCs w:val="24"/>
        </w:rPr>
      </w:pPr>
      <w:r w:rsidRPr="00BD3085">
        <w:rPr>
          <w:rFonts w:ascii="Arial" w:hAnsi="Arial" w:cs="Arial"/>
          <w:sz w:val="24"/>
          <w:szCs w:val="24"/>
        </w:rPr>
        <w:t>[15]</w:t>
      </w:r>
      <w:r w:rsidRPr="00BD3085">
        <w:rPr>
          <w:rFonts w:ascii="Arial" w:hAnsi="Arial" w:cs="Arial"/>
          <w:sz w:val="24"/>
          <w:szCs w:val="24"/>
        </w:rPr>
        <w:tab/>
      </w:r>
      <w:r w:rsidR="00C761E9">
        <w:rPr>
          <w:rFonts w:ascii="Arial" w:hAnsi="Arial" w:cs="Arial"/>
          <w:sz w:val="24"/>
          <w:szCs w:val="24"/>
        </w:rPr>
        <w:t>Although the origins of many of the bad practices referred to in this judgment are difficult to identify, perhaps one of them may be attributable to the wording of subrule (5) of the rule, which deals with claims for a debt or liquidated demand.  Here the subrule requires a plaintiff to “file with the registrar a written application for judgment”</w:t>
      </w:r>
      <w:r w:rsidR="00E93309">
        <w:rPr>
          <w:rFonts w:ascii="Arial" w:hAnsi="Arial" w:cs="Arial"/>
          <w:sz w:val="24"/>
          <w:szCs w:val="24"/>
        </w:rPr>
        <w:t>.  The subrule has nothing to do with claims for unliquidated damages and accordingly its prescript should not be followed.  In at least one matter on the relevant roll, reference was made to rule 31(5)(a), so the speculation of the court is not entirely</w:t>
      </w:r>
      <w:r w:rsidR="00E22B4E">
        <w:rPr>
          <w:rFonts w:ascii="Arial" w:hAnsi="Arial" w:cs="Arial"/>
          <w:sz w:val="24"/>
          <w:szCs w:val="24"/>
        </w:rPr>
        <w:t xml:space="preserve"> </w:t>
      </w:r>
      <w:r w:rsidR="00E93309">
        <w:rPr>
          <w:rFonts w:ascii="Arial" w:hAnsi="Arial" w:cs="Arial"/>
          <w:sz w:val="24"/>
          <w:szCs w:val="24"/>
        </w:rPr>
        <w:t>misplaced.</w:t>
      </w:r>
    </w:p>
    <w:p w14:paraId="33795FC3" w14:textId="77777777" w:rsidR="00691450" w:rsidRDefault="00691450" w:rsidP="00797ED0">
      <w:pPr>
        <w:spacing w:after="120" w:line="360" w:lineRule="auto"/>
        <w:jc w:val="both"/>
        <w:rPr>
          <w:rFonts w:ascii="Arial" w:hAnsi="Arial" w:cs="Arial"/>
          <w:sz w:val="24"/>
          <w:szCs w:val="24"/>
        </w:rPr>
      </w:pPr>
    </w:p>
    <w:p w14:paraId="1DA4103B" w14:textId="3580B71D" w:rsidR="005C4999" w:rsidRDefault="00281E84" w:rsidP="00E93309">
      <w:pPr>
        <w:spacing w:after="120" w:line="360" w:lineRule="auto"/>
        <w:jc w:val="both"/>
        <w:rPr>
          <w:rFonts w:ascii="Arial" w:hAnsi="Arial" w:cs="Arial"/>
          <w:sz w:val="24"/>
          <w:szCs w:val="24"/>
        </w:rPr>
      </w:pPr>
      <w:r w:rsidRPr="00BD3085">
        <w:rPr>
          <w:rFonts w:ascii="Arial" w:hAnsi="Arial" w:cs="Arial"/>
          <w:sz w:val="24"/>
          <w:szCs w:val="24"/>
        </w:rPr>
        <w:t>[16]</w:t>
      </w:r>
      <w:r w:rsidRPr="00BD3085">
        <w:rPr>
          <w:rFonts w:ascii="Arial" w:hAnsi="Arial" w:cs="Arial"/>
          <w:sz w:val="24"/>
          <w:szCs w:val="24"/>
        </w:rPr>
        <w:tab/>
      </w:r>
      <w:r w:rsidR="00E93309">
        <w:rPr>
          <w:rFonts w:ascii="Arial" w:hAnsi="Arial" w:cs="Arial"/>
          <w:sz w:val="24"/>
          <w:szCs w:val="24"/>
        </w:rPr>
        <w:t xml:space="preserve">In a few matters that served on the relevant roll, reference in a </w:t>
      </w:r>
      <w:r w:rsidR="00E22B4E">
        <w:rPr>
          <w:rFonts w:ascii="Arial" w:hAnsi="Arial" w:cs="Arial"/>
          <w:sz w:val="24"/>
          <w:szCs w:val="24"/>
        </w:rPr>
        <w:t>misnomered</w:t>
      </w:r>
      <w:r w:rsidR="00E93309">
        <w:rPr>
          <w:rFonts w:ascii="Arial" w:hAnsi="Arial" w:cs="Arial"/>
          <w:sz w:val="24"/>
          <w:szCs w:val="24"/>
        </w:rPr>
        <w:t xml:space="preserve"> notice was made to rule 6(11) of the Uniform Rules of Court, sometimes in conjunction with a reference to the rule.  Rule 6(11) reads as follows:</w:t>
      </w:r>
    </w:p>
    <w:p w14:paraId="5BC0C9BB" w14:textId="383CEBDC" w:rsidR="00E93309" w:rsidRDefault="00E93309" w:rsidP="00E93309">
      <w:pPr>
        <w:spacing w:after="120" w:line="360" w:lineRule="auto"/>
        <w:jc w:val="both"/>
        <w:rPr>
          <w:rFonts w:ascii="Arial" w:hAnsi="Arial" w:cs="Arial"/>
          <w:sz w:val="24"/>
          <w:szCs w:val="24"/>
        </w:rPr>
      </w:pPr>
      <w:r>
        <w:rPr>
          <w:rFonts w:ascii="Arial" w:hAnsi="Arial" w:cs="Arial"/>
          <w:sz w:val="24"/>
          <w:szCs w:val="24"/>
        </w:rPr>
        <w:tab/>
        <w:t xml:space="preserve">Notwithstanding the aforegoing subrules, interlocutory and other applications </w:t>
      </w:r>
      <w:r>
        <w:rPr>
          <w:rFonts w:ascii="Arial" w:hAnsi="Arial" w:cs="Arial"/>
          <w:sz w:val="24"/>
          <w:szCs w:val="24"/>
        </w:rPr>
        <w:tab/>
        <w:t xml:space="preserve">incidental to pending proceedings may be brought on notice supported by such </w:t>
      </w:r>
      <w:r>
        <w:rPr>
          <w:rFonts w:ascii="Arial" w:hAnsi="Arial" w:cs="Arial"/>
          <w:sz w:val="24"/>
          <w:szCs w:val="24"/>
        </w:rPr>
        <w:tab/>
        <w:t xml:space="preserve">affidavits as the case may require and set down at a time assigned by the </w:t>
      </w:r>
      <w:r>
        <w:rPr>
          <w:rFonts w:ascii="Arial" w:hAnsi="Arial" w:cs="Arial"/>
          <w:sz w:val="24"/>
          <w:szCs w:val="24"/>
        </w:rPr>
        <w:tab/>
        <w:t>registrar or as directed by a judge.</w:t>
      </w:r>
    </w:p>
    <w:p w14:paraId="14312261" w14:textId="5DFAADAC" w:rsidR="00E93309" w:rsidRDefault="00E93309" w:rsidP="00E93309">
      <w:pPr>
        <w:spacing w:after="120" w:line="360" w:lineRule="auto"/>
        <w:jc w:val="both"/>
        <w:rPr>
          <w:rFonts w:ascii="Arial" w:hAnsi="Arial" w:cs="Arial"/>
          <w:sz w:val="24"/>
          <w:szCs w:val="24"/>
        </w:rPr>
      </w:pPr>
      <w:r>
        <w:rPr>
          <w:rFonts w:ascii="Arial" w:hAnsi="Arial" w:cs="Arial"/>
          <w:sz w:val="24"/>
          <w:szCs w:val="24"/>
        </w:rPr>
        <w:t>In seeking judgment by default in accordance with the provisions of the rule, a plaintiff is not pursuing an “</w:t>
      </w:r>
      <w:r w:rsidR="00CF3797">
        <w:rPr>
          <w:rFonts w:ascii="Arial" w:hAnsi="Arial" w:cs="Arial"/>
          <w:sz w:val="24"/>
          <w:szCs w:val="24"/>
        </w:rPr>
        <w:t>interlocutory</w:t>
      </w:r>
      <w:r>
        <w:rPr>
          <w:rFonts w:ascii="Arial" w:hAnsi="Arial" w:cs="Arial"/>
          <w:sz w:val="24"/>
          <w:szCs w:val="24"/>
        </w:rPr>
        <w:t>”</w:t>
      </w:r>
      <w:r w:rsidR="00CF3797">
        <w:rPr>
          <w:rFonts w:ascii="Arial" w:hAnsi="Arial" w:cs="Arial"/>
          <w:sz w:val="24"/>
          <w:szCs w:val="24"/>
        </w:rPr>
        <w:t xml:space="preserve"> application or an “application incidental to pending proceedings.”  The invocation of, or reference to, rule 6(11) of the Uniform Rules of Court has no place in a matter such as the present.</w:t>
      </w:r>
    </w:p>
    <w:p w14:paraId="3A0F713D" w14:textId="77777777" w:rsidR="00691450" w:rsidRPr="00BD3085" w:rsidRDefault="00691450" w:rsidP="00797ED0">
      <w:pPr>
        <w:spacing w:after="120" w:line="360" w:lineRule="auto"/>
        <w:jc w:val="both"/>
        <w:rPr>
          <w:rFonts w:ascii="Arial" w:hAnsi="Arial" w:cs="Arial"/>
          <w:sz w:val="24"/>
          <w:szCs w:val="24"/>
        </w:rPr>
      </w:pPr>
    </w:p>
    <w:p w14:paraId="7D7807C6" w14:textId="5D327F28" w:rsidR="00B5386D" w:rsidRPr="00CF3797" w:rsidRDefault="00940EB1" w:rsidP="00797ED0">
      <w:pPr>
        <w:spacing w:after="120" w:line="360" w:lineRule="auto"/>
        <w:jc w:val="both"/>
        <w:rPr>
          <w:rFonts w:ascii="Arial" w:hAnsi="Arial" w:cs="Arial"/>
          <w:sz w:val="24"/>
          <w:szCs w:val="24"/>
        </w:rPr>
      </w:pPr>
      <w:r w:rsidRPr="00BD3085">
        <w:rPr>
          <w:rFonts w:ascii="Arial" w:hAnsi="Arial" w:cs="Arial"/>
          <w:sz w:val="24"/>
          <w:szCs w:val="24"/>
        </w:rPr>
        <w:t>[17]</w:t>
      </w:r>
      <w:r w:rsidRPr="00BD3085">
        <w:rPr>
          <w:rFonts w:ascii="Arial" w:hAnsi="Arial" w:cs="Arial"/>
          <w:sz w:val="24"/>
          <w:szCs w:val="24"/>
        </w:rPr>
        <w:tab/>
      </w:r>
      <w:r w:rsidR="00CF3797">
        <w:rPr>
          <w:rFonts w:ascii="Arial" w:hAnsi="Arial" w:cs="Arial"/>
          <w:sz w:val="24"/>
          <w:szCs w:val="24"/>
        </w:rPr>
        <w:t>In two matters o</w:t>
      </w:r>
      <w:r w:rsidR="00E22B4E">
        <w:rPr>
          <w:rFonts w:ascii="Arial" w:hAnsi="Arial" w:cs="Arial"/>
          <w:sz w:val="24"/>
          <w:szCs w:val="24"/>
        </w:rPr>
        <w:t>n the relevant roll, plaintiff</w:t>
      </w:r>
      <w:r w:rsidR="005E1B68">
        <w:rPr>
          <w:rFonts w:ascii="Arial" w:hAnsi="Arial" w:cs="Arial"/>
          <w:sz w:val="24"/>
          <w:szCs w:val="24"/>
        </w:rPr>
        <w:t>s</w:t>
      </w:r>
      <w:r w:rsidR="00CF3797">
        <w:rPr>
          <w:rFonts w:ascii="Arial" w:hAnsi="Arial" w:cs="Arial"/>
          <w:sz w:val="24"/>
          <w:szCs w:val="24"/>
        </w:rPr>
        <w:t xml:space="preserve"> sought an order in terms of rule 33(4) of the Uniform Rules of Court, separating merits and </w:t>
      </w:r>
      <w:r w:rsidR="00CF3797" w:rsidRPr="00CF3797">
        <w:rPr>
          <w:rFonts w:ascii="Arial" w:hAnsi="Arial" w:cs="Arial"/>
          <w:i/>
          <w:sz w:val="24"/>
          <w:szCs w:val="24"/>
        </w:rPr>
        <w:t>quantum</w:t>
      </w:r>
      <w:r w:rsidR="00CF3797">
        <w:rPr>
          <w:rFonts w:ascii="Arial" w:hAnsi="Arial" w:cs="Arial"/>
          <w:i/>
          <w:sz w:val="24"/>
          <w:szCs w:val="24"/>
        </w:rPr>
        <w:t xml:space="preserve">, </w:t>
      </w:r>
      <w:r w:rsidR="00CF3797">
        <w:rPr>
          <w:rFonts w:ascii="Arial" w:hAnsi="Arial" w:cs="Arial"/>
          <w:sz w:val="24"/>
          <w:szCs w:val="24"/>
        </w:rPr>
        <w:t xml:space="preserve">suggesting in the so-called “damages affidavit” that because the claims for unliquidated damages were </w:t>
      </w:r>
      <w:r w:rsidR="00CF3797">
        <w:rPr>
          <w:rFonts w:ascii="Arial" w:hAnsi="Arial" w:cs="Arial"/>
          <w:sz w:val="24"/>
          <w:szCs w:val="24"/>
        </w:rPr>
        <w:lastRenderedPageBreak/>
        <w:t>so large, they could be dealt with more conveniently at a later date.  In my view, such an argument does not address the concerns of a judge who may be called upon to make such an order.  Practitioners would be well advised to re-read the Bisha judgment that expresses the pertinent view of the full court in this regard.</w:t>
      </w:r>
      <w:r w:rsidR="00CF3797">
        <w:rPr>
          <w:rStyle w:val="FootnoteReference"/>
          <w:rFonts w:ascii="Arial" w:hAnsi="Arial" w:cs="Arial"/>
          <w:sz w:val="24"/>
          <w:szCs w:val="24"/>
        </w:rPr>
        <w:footnoteReference w:id="7"/>
      </w:r>
    </w:p>
    <w:p w14:paraId="00CF363D" w14:textId="77777777" w:rsidR="00353FC0" w:rsidRPr="005C4999" w:rsidRDefault="00353FC0" w:rsidP="00797ED0">
      <w:pPr>
        <w:spacing w:after="120" w:line="360" w:lineRule="auto"/>
        <w:jc w:val="both"/>
        <w:rPr>
          <w:rFonts w:ascii="Arial" w:hAnsi="Arial" w:cs="Arial"/>
          <w:sz w:val="24"/>
          <w:szCs w:val="24"/>
        </w:rPr>
      </w:pPr>
    </w:p>
    <w:p w14:paraId="286066A7" w14:textId="4ADC0BBA" w:rsidR="00B017AB" w:rsidRPr="00353FC0" w:rsidRDefault="00B5386D" w:rsidP="00797ED0">
      <w:pPr>
        <w:spacing w:after="120" w:line="360" w:lineRule="auto"/>
        <w:jc w:val="both"/>
        <w:rPr>
          <w:rFonts w:ascii="Arial" w:hAnsi="Arial" w:cs="Arial"/>
          <w:sz w:val="24"/>
          <w:szCs w:val="24"/>
        </w:rPr>
      </w:pPr>
      <w:r w:rsidRPr="00BD3085">
        <w:rPr>
          <w:rFonts w:ascii="Arial" w:hAnsi="Arial" w:cs="Arial"/>
          <w:sz w:val="24"/>
          <w:szCs w:val="24"/>
        </w:rPr>
        <w:t>[18]</w:t>
      </w:r>
      <w:r w:rsidRPr="00BD3085">
        <w:rPr>
          <w:rFonts w:ascii="Arial" w:hAnsi="Arial" w:cs="Arial"/>
          <w:sz w:val="24"/>
          <w:szCs w:val="24"/>
        </w:rPr>
        <w:tab/>
      </w:r>
      <w:r w:rsidR="00B017AB" w:rsidRPr="00BD3085">
        <w:rPr>
          <w:rFonts w:ascii="Arial" w:hAnsi="Arial" w:cs="Arial"/>
          <w:sz w:val="24"/>
          <w:szCs w:val="24"/>
        </w:rPr>
        <w:t xml:space="preserve"> </w:t>
      </w:r>
      <w:r w:rsidR="00E22B4E">
        <w:rPr>
          <w:rFonts w:ascii="Arial" w:hAnsi="Arial" w:cs="Arial"/>
          <w:sz w:val="24"/>
          <w:szCs w:val="24"/>
        </w:rPr>
        <w:t>When the matter was called, Ms Swartz, who is a member of the professional staff of the Office of the State Attorney, appeared on behalf of the defendant.  It became apparent that the parties had reached agreement in respect of the further conduct of the ma</w:t>
      </w:r>
      <w:r w:rsidR="005E1B68">
        <w:rPr>
          <w:rFonts w:ascii="Arial" w:hAnsi="Arial" w:cs="Arial"/>
          <w:sz w:val="24"/>
          <w:szCs w:val="24"/>
        </w:rPr>
        <w:t xml:space="preserve">tter as a defended </w:t>
      </w:r>
      <w:r w:rsidR="00E22B4E">
        <w:rPr>
          <w:rFonts w:ascii="Arial" w:hAnsi="Arial" w:cs="Arial"/>
          <w:sz w:val="24"/>
          <w:szCs w:val="24"/>
        </w:rPr>
        <w:t xml:space="preserve">action.  In such circumstances, it was not necessary to adjudicate upon the merits or </w:t>
      </w:r>
      <w:r w:rsidR="00E22B4E" w:rsidRPr="005E1B68">
        <w:rPr>
          <w:rFonts w:ascii="Arial" w:hAnsi="Arial" w:cs="Arial"/>
          <w:i/>
          <w:sz w:val="24"/>
          <w:szCs w:val="24"/>
        </w:rPr>
        <w:t>quantum</w:t>
      </w:r>
      <w:r w:rsidR="00E22B4E">
        <w:rPr>
          <w:rFonts w:ascii="Arial" w:hAnsi="Arial" w:cs="Arial"/>
          <w:sz w:val="24"/>
          <w:szCs w:val="24"/>
        </w:rPr>
        <w:t xml:space="preserve"> of the plaintiff’s claim.</w:t>
      </w:r>
    </w:p>
    <w:p w14:paraId="154ED9C2" w14:textId="77777777" w:rsidR="00B017AB" w:rsidRPr="00BD3085" w:rsidRDefault="00B017AB" w:rsidP="00797ED0">
      <w:pPr>
        <w:spacing w:after="120" w:line="360" w:lineRule="auto"/>
        <w:jc w:val="both"/>
        <w:rPr>
          <w:rFonts w:ascii="Arial" w:hAnsi="Arial" w:cs="Arial"/>
          <w:sz w:val="24"/>
          <w:szCs w:val="24"/>
        </w:rPr>
      </w:pPr>
    </w:p>
    <w:p w14:paraId="4A76E3A7" w14:textId="79AB3F77" w:rsidR="009740B3" w:rsidRDefault="00B017AB" w:rsidP="00797ED0">
      <w:pPr>
        <w:spacing w:after="120" w:line="360" w:lineRule="auto"/>
        <w:jc w:val="both"/>
        <w:rPr>
          <w:rFonts w:ascii="Arial" w:hAnsi="Arial" w:cs="Arial"/>
          <w:sz w:val="24"/>
          <w:szCs w:val="24"/>
        </w:rPr>
      </w:pPr>
      <w:r w:rsidRPr="00BD3085">
        <w:rPr>
          <w:rFonts w:ascii="Arial" w:hAnsi="Arial" w:cs="Arial"/>
          <w:sz w:val="24"/>
          <w:szCs w:val="24"/>
        </w:rPr>
        <w:t>[19]</w:t>
      </w:r>
      <w:r w:rsidRPr="00BD3085">
        <w:rPr>
          <w:rFonts w:ascii="Arial" w:hAnsi="Arial" w:cs="Arial"/>
          <w:sz w:val="24"/>
          <w:szCs w:val="24"/>
        </w:rPr>
        <w:tab/>
      </w:r>
      <w:r w:rsidR="009740B3" w:rsidRPr="00BD3085">
        <w:rPr>
          <w:rFonts w:ascii="Arial" w:hAnsi="Arial" w:cs="Arial"/>
          <w:sz w:val="24"/>
          <w:szCs w:val="24"/>
        </w:rPr>
        <w:t>The following order will issue:</w:t>
      </w:r>
    </w:p>
    <w:p w14:paraId="4E08509D" w14:textId="22670A3A" w:rsidR="009740B3" w:rsidRPr="00BD3085" w:rsidRDefault="009740B3" w:rsidP="00797ED0">
      <w:pPr>
        <w:spacing w:after="120" w:line="360" w:lineRule="auto"/>
        <w:ind w:left="720"/>
        <w:jc w:val="both"/>
        <w:rPr>
          <w:rFonts w:ascii="Arial" w:hAnsi="Arial" w:cs="Arial"/>
          <w:sz w:val="24"/>
          <w:szCs w:val="24"/>
        </w:rPr>
      </w:pPr>
      <w:r w:rsidRPr="00BD3085">
        <w:rPr>
          <w:rFonts w:ascii="Arial" w:hAnsi="Arial" w:cs="Arial"/>
          <w:sz w:val="24"/>
          <w:szCs w:val="24"/>
        </w:rPr>
        <w:t xml:space="preserve">1. </w:t>
      </w:r>
      <w:r w:rsidR="00B57810">
        <w:rPr>
          <w:rFonts w:ascii="Arial" w:hAnsi="Arial" w:cs="Arial"/>
          <w:sz w:val="24"/>
          <w:szCs w:val="24"/>
        </w:rPr>
        <w:t>The applic</w:t>
      </w:r>
      <w:r w:rsidR="00981A25">
        <w:rPr>
          <w:rFonts w:ascii="Arial" w:hAnsi="Arial" w:cs="Arial"/>
          <w:sz w:val="24"/>
          <w:szCs w:val="24"/>
        </w:rPr>
        <w:t>ation for judgment by default is</w:t>
      </w:r>
      <w:r w:rsidR="00B57810">
        <w:rPr>
          <w:rFonts w:ascii="Arial" w:hAnsi="Arial" w:cs="Arial"/>
          <w:sz w:val="24"/>
          <w:szCs w:val="24"/>
        </w:rPr>
        <w:t xml:space="preserve"> withdrawn with the leave of the court.</w:t>
      </w:r>
    </w:p>
    <w:p w14:paraId="5787E37A" w14:textId="77777777" w:rsidR="00981A25" w:rsidRDefault="009740B3" w:rsidP="00981A25">
      <w:pPr>
        <w:spacing w:after="120" w:line="360" w:lineRule="auto"/>
        <w:ind w:left="720"/>
        <w:jc w:val="both"/>
        <w:rPr>
          <w:rFonts w:ascii="Arial" w:hAnsi="Arial" w:cs="Arial"/>
          <w:sz w:val="24"/>
          <w:szCs w:val="24"/>
        </w:rPr>
      </w:pPr>
      <w:r w:rsidRPr="00BD3085">
        <w:rPr>
          <w:rFonts w:ascii="Arial" w:hAnsi="Arial" w:cs="Arial"/>
          <w:sz w:val="24"/>
          <w:szCs w:val="24"/>
        </w:rPr>
        <w:t xml:space="preserve">2. </w:t>
      </w:r>
      <w:r w:rsidR="00981A25">
        <w:rPr>
          <w:rFonts w:ascii="Arial" w:hAnsi="Arial" w:cs="Arial"/>
          <w:sz w:val="24"/>
          <w:szCs w:val="24"/>
        </w:rPr>
        <w:t>The bar is uplifted.</w:t>
      </w:r>
    </w:p>
    <w:p w14:paraId="75AC2E00" w14:textId="7C5BFA34" w:rsidR="00654581" w:rsidRDefault="00981A25" w:rsidP="00CA4C5E">
      <w:pPr>
        <w:spacing w:after="120" w:line="360" w:lineRule="auto"/>
        <w:ind w:left="720"/>
        <w:jc w:val="both"/>
        <w:rPr>
          <w:rFonts w:ascii="Arial" w:hAnsi="Arial" w:cs="Arial"/>
          <w:sz w:val="24"/>
          <w:szCs w:val="24"/>
        </w:rPr>
      </w:pPr>
      <w:r>
        <w:rPr>
          <w:rFonts w:ascii="Arial" w:hAnsi="Arial" w:cs="Arial"/>
          <w:sz w:val="24"/>
          <w:szCs w:val="24"/>
        </w:rPr>
        <w:t xml:space="preserve">3. </w:t>
      </w:r>
      <w:r w:rsidR="00B57810">
        <w:rPr>
          <w:rFonts w:ascii="Arial" w:hAnsi="Arial" w:cs="Arial"/>
          <w:sz w:val="24"/>
          <w:szCs w:val="24"/>
        </w:rPr>
        <w:t>The defendant is directed to pay the costs of the application on a party and party scale.</w:t>
      </w:r>
    </w:p>
    <w:p w14:paraId="492D2C78" w14:textId="2140D766" w:rsidR="00981A25" w:rsidRDefault="00981A25" w:rsidP="00CA4C5E">
      <w:pPr>
        <w:spacing w:after="120" w:line="360" w:lineRule="auto"/>
        <w:ind w:left="720"/>
        <w:jc w:val="both"/>
        <w:rPr>
          <w:rFonts w:ascii="Arial" w:hAnsi="Arial" w:cs="Arial"/>
          <w:sz w:val="24"/>
          <w:szCs w:val="24"/>
        </w:rPr>
      </w:pPr>
      <w:r>
        <w:rPr>
          <w:rFonts w:ascii="Arial" w:hAnsi="Arial" w:cs="Arial"/>
          <w:sz w:val="24"/>
          <w:szCs w:val="24"/>
        </w:rPr>
        <w:t>4</w:t>
      </w:r>
      <w:r w:rsidR="00B57810">
        <w:rPr>
          <w:rFonts w:ascii="Arial" w:hAnsi="Arial" w:cs="Arial"/>
          <w:sz w:val="24"/>
          <w:szCs w:val="24"/>
        </w:rPr>
        <w:t xml:space="preserve">. </w:t>
      </w:r>
      <w:r>
        <w:rPr>
          <w:rFonts w:ascii="Arial" w:hAnsi="Arial" w:cs="Arial"/>
          <w:sz w:val="24"/>
          <w:szCs w:val="24"/>
        </w:rPr>
        <w:t>The defendant is directed to file its plea within twenty days of the date of this order.</w:t>
      </w:r>
    </w:p>
    <w:p w14:paraId="50E51109" w14:textId="2A36FE40" w:rsidR="00B57810" w:rsidRPr="00BD3085" w:rsidRDefault="00981A25" w:rsidP="00CA4C5E">
      <w:pPr>
        <w:spacing w:after="120" w:line="360" w:lineRule="auto"/>
        <w:ind w:left="720"/>
        <w:jc w:val="both"/>
        <w:rPr>
          <w:rFonts w:ascii="Arial" w:hAnsi="Arial" w:cs="Arial"/>
          <w:sz w:val="24"/>
          <w:szCs w:val="24"/>
        </w:rPr>
      </w:pPr>
      <w:r>
        <w:rPr>
          <w:rFonts w:ascii="Arial" w:hAnsi="Arial" w:cs="Arial"/>
          <w:sz w:val="24"/>
          <w:szCs w:val="24"/>
        </w:rPr>
        <w:t xml:space="preserve">5. </w:t>
      </w:r>
      <w:r w:rsidR="00B57810">
        <w:rPr>
          <w:rFonts w:ascii="Arial" w:hAnsi="Arial" w:cs="Arial"/>
          <w:sz w:val="24"/>
          <w:szCs w:val="24"/>
        </w:rPr>
        <w:t>No costs shall be recovera</w:t>
      </w:r>
      <w:r>
        <w:rPr>
          <w:rFonts w:ascii="Arial" w:hAnsi="Arial" w:cs="Arial"/>
          <w:sz w:val="24"/>
          <w:szCs w:val="24"/>
        </w:rPr>
        <w:t>ble from either the plaintiff or</w:t>
      </w:r>
      <w:r w:rsidR="00B57810">
        <w:rPr>
          <w:rFonts w:ascii="Arial" w:hAnsi="Arial" w:cs="Arial"/>
          <w:sz w:val="24"/>
          <w:szCs w:val="24"/>
        </w:rPr>
        <w:t xml:space="preserve"> the defendant in respect of the “damages affidavit” prepared in the name of the plaintiff.</w:t>
      </w:r>
    </w:p>
    <w:p w14:paraId="696DAE7C" w14:textId="77777777" w:rsidR="00797ED0" w:rsidRDefault="00797ED0" w:rsidP="00AA44DF">
      <w:pPr>
        <w:spacing w:after="0" w:line="360" w:lineRule="auto"/>
        <w:jc w:val="both"/>
        <w:rPr>
          <w:rFonts w:ascii="Arial" w:hAnsi="Arial" w:cs="Arial"/>
          <w:sz w:val="24"/>
          <w:szCs w:val="24"/>
        </w:rPr>
      </w:pPr>
    </w:p>
    <w:p w14:paraId="2FCBA7E2" w14:textId="77777777" w:rsidR="00033853" w:rsidRPr="00797ED0" w:rsidRDefault="00033853" w:rsidP="00AA44DF">
      <w:pPr>
        <w:spacing w:after="0" w:line="360" w:lineRule="auto"/>
        <w:jc w:val="both"/>
        <w:rPr>
          <w:rFonts w:ascii="Arial" w:hAnsi="Arial" w:cs="Arial"/>
          <w:sz w:val="24"/>
          <w:szCs w:val="24"/>
        </w:rPr>
      </w:pPr>
    </w:p>
    <w:p w14:paraId="32F464F7" w14:textId="55DAD865" w:rsidR="00797ED0" w:rsidRDefault="00797ED0" w:rsidP="00AA44DF">
      <w:pPr>
        <w:spacing w:after="0" w:line="360" w:lineRule="auto"/>
        <w:jc w:val="both"/>
        <w:rPr>
          <w:rFonts w:ascii="Arial" w:hAnsi="Arial" w:cs="Arial"/>
          <w:sz w:val="24"/>
          <w:szCs w:val="24"/>
        </w:rPr>
      </w:pPr>
    </w:p>
    <w:p w14:paraId="47AC70B5" w14:textId="77777777" w:rsidR="00B57810" w:rsidRDefault="00B57810" w:rsidP="00AA44DF">
      <w:pPr>
        <w:spacing w:after="0" w:line="360" w:lineRule="auto"/>
        <w:jc w:val="both"/>
        <w:rPr>
          <w:rFonts w:ascii="Arial" w:hAnsi="Arial" w:cs="Arial"/>
          <w:sz w:val="24"/>
          <w:szCs w:val="24"/>
        </w:rPr>
      </w:pPr>
    </w:p>
    <w:p w14:paraId="73ACA6F0" w14:textId="77777777" w:rsidR="00CB1C56" w:rsidRPr="00797ED0" w:rsidRDefault="00CB1C56" w:rsidP="00AA44DF">
      <w:pPr>
        <w:spacing w:after="0" w:line="360" w:lineRule="auto"/>
        <w:jc w:val="both"/>
        <w:rPr>
          <w:rFonts w:ascii="Arial" w:hAnsi="Arial" w:cs="Arial"/>
          <w:sz w:val="24"/>
          <w:szCs w:val="24"/>
        </w:rPr>
      </w:pPr>
    </w:p>
    <w:p w14:paraId="64D225BB" w14:textId="77777777" w:rsidR="00797ED0" w:rsidRPr="00797ED0" w:rsidRDefault="00797ED0" w:rsidP="00AA44DF">
      <w:pPr>
        <w:spacing w:after="0" w:line="360" w:lineRule="auto"/>
        <w:jc w:val="both"/>
        <w:rPr>
          <w:rFonts w:ascii="Arial" w:hAnsi="Arial" w:cs="Arial"/>
          <w:b/>
          <w:sz w:val="24"/>
          <w:szCs w:val="24"/>
        </w:rPr>
      </w:pPr>
      <w:r w:rsidRPr="00797ED0">
        <w:rPr>
          <w:rFonts w:ascii="Arial" w:hAnsi="Arial" w:cs="Arial"/>
          <w:b/>
          <w:sz w:val="24"/>
          <w:szCs w:val="24"/>
        </w:rPr>
        <w:t>___________________</w:t>
      </w:r>
    </w:p>
    <w:p w14:paraId="6CFE5424" w14:textId="77777777" w:rsidR="00797ED0" w:rsidRPr="00797ED0" w:rsidRDefault="00797ED0" w:rsidP="00AA44DF">
      <w:pPr>
        <w:spacing w:after="0" w:line="360" w:lineRule="auto"/>
        <w:jc w:val="both"/>
        <w:rPr>
          <w:rFonts w:ascii="Arial" w:hAnsi="Arial" w:cs="Arial"/>
          <w:b/>
          <w:sz w:val="24"/>
          <w:szCs w:val="24"/>
        </w:rPr>
      </w:pPr>
      <w:r w:rsidRPr="00797ED0">
        <w:rPr>
          <w:rFonts w:ascii="Arial" w:hAnsi="Arial" w:cs="Arial"/>
          <w:b/>
          <w:sz w:val="24"/>
          <w:szCs w:val="24"/>
        </w:rPr>
        <w:t>R W N BROOKS</w:t>
      </w:r>
    </w:p>
    <w:p w14:paraId="73EEE7C7" w14:textId="77777777" w:rsidR="00797ED0" w:rsidRPr="00797ED0" w:rsidRDefault="00797ED0" w:rsidP="00AA44DF">
      <w:pPr>
        <w:spacing w:after="0" w:line="360" w:lineRule="auto"/>
        <w:jc w:val="both"/>
        <w:rPr>
          <w:rFonts w:ascii="Arial" w:hAnsi="Arial" w:cs="Arial"/>
          <w:b/>
          <w:sz w:val="24"/>
          <w:szCs w:val="24"/>
        </w:rPr>
      </w:pPr>
      <w:r w:rsidRPr="00797ED0">
        <w:rPr>
          <w:rFonts w:ascii="Arial" w:hAnsi="Arial" w:cs="Arial"/>
          <w:b/>
          <w:sz w:val="24"/>
          <w:szCs w:val="24"/>
        </w:rPr>
        <w:t>JUDGE OF THE HIGH COURT</w:t>
      </w:r>
    </w:p>
    <w:p w14:paraId="3355AFEB" w14:textId="77777777" w:rsidR="005D076B" w:rsidRPr="00797ED0" w:rsidRDefault="005D076B" w:rsidP="00AA44DF">
      <w:pPr>
        <w:spacing w:after="0" w:line="360" w:lineRule="auto"/>
        <w:jc w:val="both"/>
        <w:rPr>
          <w:rFonts w:ascii="Arial" w:hAnsi="Arial" w:cs="Arial"/>
          <w:sz w:val="24"/>
          <w:szCs w:val="24"/>
        </w:rPr>
      </w:pPr>
      <w:r w:rsidRPr="00797ED0">
        <w:rPr>
          <w:rFonts w:ascii="Arial" w:hAnsi="Arial" w:cs="Arial"/>
          <w:sz w:val="24"/>
          <w:szCs w:val="24"/>
        </w:rPr>
        <w:lastRenderedPageBreak/>
        <w:t>Appearances</w:t>
      </w:r>
    </w:p>
    <w:p w14:paraId="794A9B71" w14:textId="77777777" w:rsidR="005D076B" w:rsidRPr="00797ED0" w:rsidRDefault="005D076B" w:rsidP="00BD3085">
      <w:pPr>
        <w:spacing w:after="0" w:line="360" w:lineRule="auto"/>
        <w:ind w:left="720"/>
        <w:jc w:val="both"/>
        <w:rPr>
          <w:rFonts w:ascii="Arial" w:hAnsi="Arial" w:cs="Arial"/>
          <w:sz w:val="24"/>
          <w:szCs w:val="24"/>
        </w:rPr>
      </w:pPr>
    </w:p>
    <w:p w14:paraId="3E3A2C6C" w14:textId="0EAD5823" w:rsidR="0092470A" w:rsidRPr="00797ED0" w:rsidRDefault="005D076B" w:rsidP="00AA44DF">
      <w:pPr>
        <w:spacing w:after="0" w:line="360" w:lineRule="auto"/>
        <w:jc w:val="both"/>
        <w:rPr>
          <w:rFonts w:ascii="Arial" w:hAnsi="Arial" w:cs="Arial"/>
          <w:sz w:val="24"/>
          <w:szCs w:val="24"/>
        </w:rPr>
      </w:pPr>
      <w:r w:rsidRPr="00797ED0">
        <w:rPr>
          <w:rFonts w:ascii="Arial" w:hAnsi="Arial" w:cs="Arial"/>
          <w:sz w:val="24"/>
          <w:szCs w:val="24"/>
        </w:rPr>
        <w:t xml:space="preserve">For the </w:t>
      </w:r>
      <w:r w:rsidR="00CA4C5E">
        <w:rPr>
          <w:rFonts w:ascii="Arial" w:hAnsi="Arial" w:cs="Arial"/>
          <w:sz w:val="24"/>
          <w:szCs w:val="24"/>
        </w:rPr>
        <w:t>plaintiff:</w:t>
      </w:r>
      <w:r w:rsidRPr="00797ED0">
        <w:rPr>
          <w:rFonts w:ascii="Arial" w:hAnsi="Arial" w:cs="Arial"/>
          <w:sz w:val="24"/>
          <w:szCs w:val="24"/>
        </w:rPr>
        <w:t xml:space="preserve"> </w:t>
      </w:r>
      <w:r w:rsidR="0092470A" w:rsidRPr="00797ED0">
        <w:rPr>
          <w:rFonts w:ascii="Arial" w:hAnsi="Arial" w:cs="Arial"/>
          <w:sz w:val="24"/>
          <w:szCs w:val="24"/>
        </w:rPr>
        <w:tab/>
      </w:r>
      <w:r w:rsidR="0092470A" w:rsidRPr="00797ED0">
        <w:rPr>
          <w:rFonts w:ascii="Arial" w:hAnsi="Arial" w:cs="Arial"/>
          <w:sz w:val="24"/>
          <w:szCs w:val="24"/>
        </w:rPr>
        <w:tab/>
      </w:r>
      <w:r w:rsidR="0092470A" w:rsidRPr="00797ED0">
        <w:rPr>
          <w:rFonts w:ascii="Arial" w:hAnsi="Arial" w:cs="Arial"/>
          <w:sz w:val="24"/>
          <w:szCs w:val="24"/>
        </w:rPr>
        <w:tab/>
      </w:r>
      <w:r w:rsidR="0092470A" w:rsidRPr="00797ED0">
        <w:rPr>
          <w:rFonts w:ascii="Arial" w:hAnsi="Arial" w:cs="Arial"/>
          <w:sz w:val="24"/>
          <w:szCs w:val="24"/>
        </w:rPr>
        <w:tab/>
        <w:t xml:space="preserve"> </w:t>
      </w:r>
      <w:r w:rsidR="00B57810">
        <w:rPr>
          <w:rFonts w:ascii="Arial" w:hAnsi="Arial" w:cs="Arial"/>
          <w:sz w:val="24"/>
          <w:szCs w:val="24"/>
        </w:rPr>
        <w:t>Mr Jika</w:t>
      </w:r>
    </w:p>
    <w:p w14:paraId="58C6F423" w14:textId="455E90E4" w:rsidR="0092470A" w:rsidRPr="00797ED0" w:rsidRDefault="0092470A" w:rsidP="00AA44DF">
      <w:pPr>
        <w:spacing w:after="0" w:line="360" w:lineRule="auto"/>
        <w:jc w:val="both"/>
        <w:rPr>
          <w:rFonts w:ascii="Arial" w:hAnsi="Arial" w:cs="Arial"/>
          <w:sz w:val="24"/>
          <w:szCs w:val="24"/>
        </w:rPr>
      </w:pPr>
      <w:r w:rsidRPr="00797ED0">
        <w:rPr>
          <w:rFonts w:ascii="Arial" w:hAnsi="Arial" w:cs="Arial"/>
          <w:sz w:val="24"/>
          <w:szCs w:val="24"/>
        </w:rPr>
        <w:t>Instructed by</w:t>
      </w:r>
      <w:r w:rsidR="00CA4C5E">
        <w:rPr>
          <w:rFonts w:ascii="Arial" w:hAnsi="Arial" w:cs="Arial"/>
          <w:sz w:val="24"/>
          <w:szCs w:val="24"/>
        </w:rPr>
        <w:t>:</w:t>
      </w:r>
      <w:r w:rsidRPr="00797ED0">
        <w:rPr>
          <w:rFonts w:ascii="Arial" w:hAnsi="Arial" w:cs="Arial"/>
          <w:sz w:val="24"/>
          <w:szCs w:val="24"/>
        </w:rPr>
        <w:t xml:space="preserve"> </w:t>
      </w: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00B57810">
        <w:rPr>
          <w:rFonts w:ascii="Arial" w:hAnsi="Arial" w:cs="Arial"/>
          <w:sz w:val="24"/>
          <w:szCs w:val="24"/>
        </w:rPr>
        <w:t>Mjulelwa Inc. Attorneys</w:t>
      </w:r>
    </w:p>
    <w:p w14:paraId="6390D8CD" w14:textId="76526B3C" w:rsidR="0092470A" w:rsidRPr="00797ED0" w:rsidRDefault="0092470A" w:rsidP="00AA44DF">
      <w:pPr>
        <w:spacing w:after="0" w:line="360" w:lineRule="auto"/>
        <w:jc w:val="both"/>
        <w:rPr>
          <w:rFonts w:ascii="Arial" w:hAnsi="Arial" w:cs="Arial"/>
          <w:sz w:val="24"/>
          <w:szCs w:val="24"/>
        </w:rPr>
      </w:pP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00B57810">
        <w:rPr>
          <w:rFonts w:ascii="Arial" w:hAnsi="Arial" w:cs="Arial"/>
          <w:sz w:val="24"/>
          <w:szCs w:val="24"/>
        </w:rPr>
        <w:t>45 Leeds Road</w:t>
      </w:r>
    </w:p>
    <w:p w14:paraId="46DA1480" w14:textId="0FEA1B31" w:rsidR="0092470A" w:rsidRPr="00797ED0" w:rsidRDefault="0092470A" w:rsidP="00AA44DF">
      <w:pPr>
        <w:spacing w:after="0" w:line="360" w:lineRule="auto"/>
        <w:jc w:val="both"/>
        <w:rPr>
          <w:rFonts w:ascii="Arial" w:hAnsi="Arial" w:cs="Arial"/>
          <w:sz w:val="24"/>
          <w:szCs w:val="24"/>
        </w:rPr>
      </w:pP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00B57810">
        <w:rPr>
          <w:rFonts w:ascii="Arial" w:hAnsi="Arial" w:cs="Arial"/>
          <w:sz w:val="24"/>
          <w:szCs w:val="24"/>
        </w:rPr>
        <w:t>MTHATHA</w:t>
      </w:r>
    </w:p>
    <w:p w14:paraId="37515F26" w14:textId="77777777" w:rsidR="00E76BEE" w:rsidRPr="00797ED0" w:rsidRDefault="00E76BEE" w:rsidP="00AA44DF">
      <w:pPr>
        <w:spacing w:after="0" w:line="360" w:lineRule="auto"/>
        <w:jc w:val="both"/>
        <w:rPr>
          <w:rFonts w:ascii="Arial" w:hAnsi="Arial" w:cs="Arial"/>
          <w:sz w:val="24"/>
          <w:szCs w:val="24"/>
        </w:rPr>
      </w:pPr>
    </w:p>
    <w:p w14:paraId="47BBF6D1" w14:textId="49BC1B95" w:rsidR="00E33072" w:rsidRPr="00797ED0" w:rsidRDefault="0092470A" w:rsidP="00AA44DF">
      <w:pPr>
        <w:spacing w:after="0" w:line="360" w:lineRule="auto"/>
        <w:jc w:val="both"/>
        <w:rPr>
          <w:rFonts w:ascii="Arial" w:hAnsi="Arial" w:cs="Arial"/>
          <w:sz w:val="24"/>
          <w:szCs w:val="24"/>
        </w:rPr>
      </w:pPr>
      <w:r w:rsidRPr="00797ED0">
        <w:rPr>
          <w:rFonts w:ascii="Arial" w:hAnsi="Arial" w:cs="Arial"/>
          <w:sz w:val="24"/>
          <w:szCs w:val="24"/>
        </w:rPr>
        <w:t xml:space="preserve">For the </w:t>
      </w:r>
      <w:r w:rsidR="00CA4C5E">
        <w:rPr>
          <w:rFonts w:ascii="Arial" w:hAnsi="Arial" w:cs="Arial"/>
          <w:sz w:val="24"/>
          <w:szCs w:val="24"/>
        </w:rPr>
        <w:t>defendant</w:t>
      </w:r>
      <w:r w:rsidRPr="00797ED0">
        <w:rPr>
          <w:rFonts w:ascii="Arial" w:hAnsi="Arial" w:cs="Arial"/>
          <w:sz w:val="24"/>
          <w:szCs w:val="24"/>
        </w:rPr>
        <w:t xml:space="preserve"> </w:t>
      </w:r>
      <w:r w:rsidRPr="00797ED0">
        <w:rPr>
          <w:rFonts w:ascii="Arial" w:hAnsi="Arial" w:cs="Arial"/>
          <w:sz w:val="24"/>
          <w:szCs w:val="24"/>
        </w:rPr>
        <w:tab/>
      </w:r>
      <w:r w:rsidR="00970200">
        <w:rPr>
          <w:rFonts w:ascii="Arial" w:hAnsi="Arial" w:cs="Arial"/>
          <w:sz w:val="24"/>
          <w:szCs w:val="24"/>
        </w:rPr>
        <w:tab/>
      </w:r>
      <w:r w:rsidR="00970200">
        <w:rPr>
          <w:rFonts w:ascii="Arial" w:hAnsi="Arial" w:cs="Arial"/>
          <w:sz w:val="24"/>
          <w:szCs w:val="24"/>
        </w:rPr>
        <w:tab/>
      </w:r>
      <w:r w:rsidR="00970200">
        <w:rPr>
          <w:rFonts w:ascii="Arial" w:hAnsi="Arial" w:cs="Arial"/>
          <w:sz w:val="24"/>
          <w:szCs w:val="24"/>
        </w:rPr>
        <w:tab/>
      </w:r>
      <w:r w:rsidR="00B57810">
        <w:rPr>
          <w:rFonts w:ascii="Arial" w:hAnsi="Arial" w:cs="Arial"/>
          <w:sz w:val="24"/>
          <w:szCs w:val="24"/>
        </w:rPr>
        <w:t>Ms Swartz</w:t>
      </w:r>
    </w:p>
    <w:p w14:paraId="10F88ABE" w14:textId="34938C2D" w:rsidR="0092470A" w:rsidRPr="00797ED0" w:rsidRDefault="0092470A" w:rsidP="00BD3085">
      <w:pPr>
        <w:spacing w:after="0" w:line="360" w:lineRule="auto"/>
        <w:jc w:val="both"/>
        <w:rPr>
          <w:rFonts w:ascii="Arial" w:hAnsi="Arial" w:cs="Arial"/>
          <w:sz w:val="24"/>
          <w:szCs w:val="24"/>
        </w:rPr>
      </w:pPr>
      <w:r w:rsidRPr="00797ED0">
        <w:rPr>
          <w:rFonts w:ascii="Arial" w:hAnsi="Arial" w:cs="Arial"/>
          <w:sz w:val="24"/>
          <w:szCs w:val="24"/>
        </w:rPr>
        <w:t>Instructed by</w:t>
      </w: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00797ED0" w:rsidRPr="00797ED0">
        <w:rPr>
          <w:rFonts w:ascii="Arial" w:hAnsi="Arial" w:cs="Arial"/>
          <w:sz w:val="24"/>
          <w:szCs w:val="24"/>
        </w:rPr>
        <w:tab/>
      </w:r>
      <w:r w:rsidR="00B57810">
        <w:rPr>
          <w:rFonts w:ascii="Arial" w:hAnsi="Arial" w:cs="Arial"/>
          <w:sz w:val="24"/>
          <w:szCs w:val="24"/>
        </w:rPr>
        <w:t xml:space="preserve">Office of the </w:t>
      </w:r>
      <w:r w:rsidR="005E1B68">
        <w:rPr>
          <w:rFonts w:ascii="Arial" w:hAnsi="Arial" w:cs="Arial"/>
          <w:sz w:val="24"/>
          <w:szCs w:val="24"/>
        </w:rPr>
        <w:t>S</w:t>
      </w:r>
      <w:r w:rsidR="00B57810">
        <w:rPr>
          <w:rFonts w:ascii="Arial" w:hAnsi="Arial" w:cs="Arial"/>
          <w:sz w:val="24"/>
          <w:szCs w:val="24"/>
        </w:rPr>
        <w:t>tate Attorney</w:t>
      </w:r>
    </w:p>
    <w:p w14:paraId="29EF5432" w14:textId="0DF1A36C" w:rsidR="007D56F7" w:rsidRPr="00797ED0" w:rsidRDefault="007D56F7" w:rsidP="00BD3085">
      <w:pPr>
        <w:spacing w:after="0" w:line="360" w:lineRule="auto"/>
        <w:jc w:val="both"/>
        <w:rPr>
          <w:rFonts w:ascii="Arial" w:hAnsi="Arial" w:cs="Arial"/>
          <w:sz w:val="24"/>
          <w:szCs w:val="24"/>
        </w:rPr>
      </w:pP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00B57810">
        <w:rPr>
          <w:rFonts w:ascii="Arial" w:hAnsi="Arial" w:cs="Arial"/>
          <w:sz w:val="24"/>
          <w:szCs w:val="24"/>
        </w:rPr>
        <w:t>Sisson’s Street</w:t>
      </w:r>
    </w:p>
    <w:p w14:paraId="5D7DCC57" w14:textId="01296E09" w:rsidR="007D56F7" w:rsidRPr="00797ED0" w:rsidRDefault="007D56F7" w:rsidP="00BD3085">
      <w:pPr>
        <w:spacing w:after="0" w:line="360" w:lineRule="auto"/>
        <w:jc w:val="both"/>
        <w:rPr>
          <w:rFonts w:ascii="Arial" w:hAnsi="Arial" w:cs="Arial"/>
          <w:sz w:val="24"/>
          <w:szCs w:val="24"/>
        </w:rPr>
      </w:pP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00B57810">
        <w:rPr>
          <w:rFonts w:ascii="Arial" w:hAnsi="Arial" w:cs="Arial"/>
          <w:sz w:val="24"/>
          <w:szCs w:val="24"/>
        </w:rPr>
        <w:t>MTHATHA</w:t>
      </w:r>
    </w:p>
    <w:p w14:paraId="3E151F11" w14:textId="77777777" w:rsidR="004D6A4C" w:rsidRPr="00797ED0" w:rsidRDefault="004D6A4C" w:rsidP="00BD3085">
      <w:pPr>
        <w:spacing w:after="0" w:line="360" w:lineRule="auto"/>
        <w:jc w:val="both"/>
        <w:rPr>
          <w:rFonts w:ascii="Arial" w:hAnsi="Arial" w:cs="Arial"/>
          <w:sz w:val="24"/>
          <w:szCs w:val="24"/>
        </w:rPr>
      </w:pPr>
    </w:p>
    <w:p w14:paraId="4B559383" w14:textId="77777777" w:rsidR="00E76BEE" w:rsidRPr="00797ED0" w:rsidRDefault="00E76BEE" w:rsidP="00BD3085">
      <w:pPr>
        <w:spacing w:after="0" w:line="360" w:lineRule="auto"/>
        <w:jc w:val="both"/>
        <w:rPr>
          <w:rFonts w:ascii="Arial" w:hAnsi="Arial" w:cs="Arial"/>
          <w:sz w:val="24"/>
          <w:szCs w:val="24"/>
        </w:rPr>
      </w:pPr>
    </w:p>
    <w:p w14:paraId="2D08D53E" w14:textId="63F9DBC7" w:rsidR="004D6A4C" w:rsidRPr="00797ED0" w:rsidRDefault="004D6A4C" w:rsidP="00BD3085">
      <w:pPr>
        <w:spacing w:after="0" w:line="360" w:lineRule="auto"/>
        <w:jc w:val="both"/>
        <w:rPr>
          <w:rFonts w:ascii="Arial" w:hAnsi="Arial" w:cs="Arial"/>
          <w:sz w:val="24"/>
          <w:szCs w:val="24"/>
        </w:rPr>
      </w:pPr>
      <w:r w:rsidRPr="00797ED0">
        <w:rPr>
          <w:rFonts w:ascii="Arial" w:hAnsi="Arial" w:cs="Arial"/>
          <w:sz w:val="24"/>
          <w:szCs w:val="24"/>
        </w:rPr>
        <w:t>Date heard</w:t>
      </w: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00CA4C5E">
        <w:rPr>
          <w:rFonts w:ascii="Arial" w:hAnsi="Arial" w:cs="Arial"/>
          <w:sz w:val="24"/>
          <w:szCs w:val="24"/>
        </w:rPr>
        <w:t>15 March 2023</w:t>
      </w:r>
    </w:p>
    <w:p w14:paraId="46E97E65" w14:textId="528D0471" w:rsidR="007A190D" w:rsidRPr="00797ED0" w:rsidRDefault="004D6A4C" w:rsidP="00BD3085">
      <w:pPr>
        <w:spacing w:after="0" w:line="360" w:lineRule="auto"/>
        <w:jc w:val="both"/>
        <w:rPr>
          <w:rFonts w:ascii="Arial" w:hAnsi="Arial" w:cs="Arial"/>
          <w:sz w:val="24"/>
          <w:szCs w:val="24"/>
        </w:rPr>
      </w:pPr>
      <w:r w:rsidRPr="00797ED0">
        <w:rPr>
          <w:rFonts w:ascii="Arial" w:hAnsi="Arial" w:cs="Arial"/>
          <w:sz w:val="24"/>
          <w:szCs w:val="24"/>
        </w:rPr>
        <w:t>Date delivered</w:t>
      </w: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Pr="00797ED0">
        <w:rPr>
          <w:rFonts w:ascii="Arial" w:hAnsi="Arial" w:cs="Arial"/>
          <w:sz w:val="24"/>
          <w:szCs w:val="24"/>
        </w:rPr>
        <w:tab/>
      </w:r>
      <w:r w:rsidR="00CA4C5E">
        <w:rPr>
          <w:rFonts w:ascii="Arial" w:hAnsi="Arial" w:cs="Arial"/>
          <w:sz w:val="24"/>
          <w:szCs w:val="24"/>
        </w:rPr>
        <w:t>17 March 2023</w:t>
      </w:r>
    </w:p>
    <w:sectPr w:rsidR="007A190D" w:rsidRPr="00797ED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6D348" w14:textId="77777777" w:rsidR="000479CD" w:rsidRDefault="000479CD" w:rsidP="007A1743">
      <w:pPr>
        <w:spacing w:after="0" w:line="240" w:lineRule="auto"/>
      </w:pPr>
      <w:r>
        <w:separator/>
      </w:r>
    </w:p>
  </w:endnote>
  <w:endnote w:type="continuationSeparator" w:id="0">
    <w:p w14:paraId="3E36EB58" w14:textId="77777777" w:rsidR="000479CD" w:rsidRDefault="000479CD" w:rsidP="007A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72B17" w14:textId="77777777" w:rsidR="000479CD" w:rsidRDefault="000479CD" w:rsidP="007A1743">
      <w:pPr>
        <w:spacing w:after="0" w:line="240" w:lineRule="auto"/>
      </w:pPr>
      <w:r>
        <w:separator/>
      </w:r>
    </w:p>
  </w:footnote>
  <w:footnote w:type="continuationSeparator" w:id="0">
    <w:p w14:paraId="4095620D" w14:textId="77777777" w:rsidR="000479CD" w:rsidRDefault="000479CD" w:rsidP="007A1743">
      <w:pPr>
        <w:spacing w:after="0" w:line="240" w:lineRule="auto"/>
      </w:pPr>
      <w:r>
        <w:continuationSeparator/>
      </w:r>
    </w:p>
  </w:footnote>
  <w:footnote w:id="1">
    <w:p w14:paraId="707A6111" w14:textId="760B80EF" w:rsidR="00E93309" w:rsidRPr="002A1D5C" w:rsidRDefault="00E93309">
      <w:pPr>
        <w:pStyle w:val="FootnoteText"/>
        <w:rPr>
          <w:lang w:val="en-US"/>
        </w:rPr>
      </w:pPr>
      <w:r>
        <w:rPr>
          <w:rStyle w:val="FootnoteReference"/>
        </w:rPr>
        <w:footnoteRef/>
      </w:r>
      <w:r>
        <w:t xml:space="preserve"> </w:t>
      </w:r>
      <w:r>
        <w:rPr>
          <w:lang w:val="en-US"/>
        </w:rPr>
        <w:t>(4144/2020, 1129/2019, 3806/2021, 4143/2020, 80/2021, 4342/2020) [2021] ZAECMHC 24 (13 July 2021).</w:t>
      </w:r>
    </w:p>
  </w:footnote>
  <w:footnote w:id="2">
    <w:p w14:paraId="202C2A45" w14:textId="144EB184" w:rsidR="00E93309" w:rsidRPr="004A353C" w:rsidRDefault="00E93309">
      <w:pPr>
        <w:pStyle w:val="FootnoteText"/>
        <w:rPr>
          <w:lang w:val="en-US"/>
        </w:rPr>
      </w:pPr>
      <w:r>
        <w:rPr>
          <w:rStyle w:val="FootnoteReference"/>
        </w:rPr>
        <w:footnoteRef/>
      </w:r>
      <w:r>
        <w:t xml:space="preserve"> See for example New Zealand Insurance Co Ltd v Du Toit 1965 (4) SA 136 (T); Mister of Police v Lusindiso Nongwejane (CA&amp;R 63/2015) of the Eastern Cape Division, Mthatha; Havenga v Parker 1993 (3) SA 724 (T) </w:t>
      </w:r>
      <w:r w:rsidRPr="00045D5C">
        <w:t>726 C to I</w:t>
      </w:r>
      <w:r>
        <w:t xml:space="preserve"> </w:t>
      </w:r>
    </w:p>
  </w:footnote>
  <w:footnote w:id="3">
    <w:p w14:paraId="7D848D2A" w14:textId="404459EA" w:rsidR="00E93309" w:rsidRPr="00A232E3" w:rsidRDefault="00E93309">
      <w:pPr>
        <w:pStyle w:val="FootnoteText"/>
        <w:rPr>
          <w:lang w:val="en-US"/>
        </w:rPr>
      </w:pPr>
      <w:r>
        <w:rPr>
          <w:rStyle w:val="FootnoteReference"/>
        </w:rPr>
        <w:footnoteRef/>
      </w:r>
      <w:r>
        <w:t xml:space="preserve"> </w:t>
      </w:r>
      <w:r>
        <w:rPr>
          <w:lang w:val="en-US"/>
        </w:rPr>
        <w:t>Emphasis added.</w:t>
      </w:r>
    </w:p>
  </w:footnote>
  <w:footnote w:id="4">
    <w:p w14:paraId="1A6B6ED6" w14:textId="47BD96AB" w:rsidR="00E93309" w:rsidRPr="00991088" w:rsidRDefault="00E93309">
      <w:pPr>
        <w:pStyle w:val="FootnoteText"/>
        <w:rPr>
          <w:lang w:val="en-US"/>
        </w:rPr>
      </w:pPr>
      <w:r>
        <w:rPr>
          <w:rStyle w:val="FootnoteReference"/>
        </w:rPr>
        <w:footnoteRef/>
      </w:r>
      <w:r>
        <w:t xml:space="preserve"> </w:t>
      </w:r>
      <w:r>
        <w:rPr>
          <w:lang w:val="en-US"/>
        </w:rPr>
        <w:t>Emphasis added.</w:t>
      </w:r>
    </w:p>
  </w:footnote>
  <w:footnote w:id="5">
    <w:p w14:paraId="08245ED2" w14:textId="0DBB57B6" w:rsidR="00E93309" w:rsidRPr="00706FBC" w:rsidRDefault="00E93309">
      <w:pPr>
        <w:pStyle w:val="FootnoteText"/>
        <w:rPr>
          <w:lang w:val="en-US"/>
        </w:rPr>
      </w:pPr>
      <w:r>
        <w:rPr>
          <w:rStyle w:val="FootnoteReference"/>
        </w:rPr>
        <w:footnoteRef/>
      </w:r>
      <w:r>
        <w:t xml:space="preserve"> </w:t>
      </w:r>
      <w:r>
        <w:rPr>
          <w:lang w:val="en-US"/>
        </w:rPr>
        <w:t>Figures are purely illustrative examples.</w:t>
      </w:r>
    </w:p>
  </w:footnote>
  <w:footnote w:id="6">
    <w:p w14:paraId="721790EE" w14:textId="2F0EAD92" w:rsidR="005932D4" w:rsidRPr="005932D4" w:rsidRDefault="005932D4">
      <w:pPr>
        <w:pStyle w:val="FootnoteText"/>
        <w:rPr>
          <w:lang w:val="en-GB"/>
        </w:rPr>
      </w:pPr>
      <w:r>
        <w:rPr>
          <w:rStyle w:val="FootnoteReference"/>
        </w:rPr>
        <w:footnoteRef/>
      </w:r>
      <w:r>
        <w:t xml:space="preserve"> </w:t>
      </w:r>
      <w:r>
        <w:rPr>
          <w:lang w:val="en-GB"/>
        </w:rPr>
        <w:t>Note 2 supra.</w:t>
      </w:r>
    </w:p>
  </w:footnote>
  <w:footnote w:id="7">
    <w:p w14:paraId="5DF21E5D" w14:textId="390B6C25" w:rsidR="00CF3797" w:rsidRPr="00CF3797" w:rsidRDefault="00CF3797">
      <w:pPr>
        <w:pStyle w:val="FootnoteText"/>
        <w:rPr>
          <w:lang w:val="en-US"/>
        </w:rPr>
      </w:pPr>
      <w:r>
        <w:rPr>
          <w:rStyle w:val="FootnoteReference"/>
        </w:rPr>
        <w:footnoteRef/>
      </w:r>
      <w:r>
        <w:t xml:space="preserve"> </w:t>
      </w:r>
      <w:r>
        <w:rPr>
          <w:lang w:val="en-US"/>
        </w:rPr>
        <w:t>At para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708150"/>
      <w:docPartObj>
        <w:docPartGallery w:val="Page Numbers (Top of Page)"/>
        <w:docPartUnique/>
      </w:docPartObj>
    </w:sdtPr>
    <w:sdtEndPr>
      <w:rPr>
        <w:noProof/>
      </w:rPr>
    </w:sdtEndPr>
    <w:sdtContent>
      <w:p w14:paraId="643962DF" w14:textId="14183E68" w:rsidR="00E93309" w:rsidRDefault="00E93309">
        <w:pPr>
          <w:pStyle w:val="Header"/>
          <w:jc w:val="center"/>
        </w:pPr>
        <w:r>
          <w:fldChar w:fldCharType="begin"/>
        </w:r>
        <w:r>
          <w:instrText xml:space="preserve"> PAGE   \* MERGEFORMAT </w:instrText>
        </w:r>
        <w:r>
          <w:fldChar w:fldCharType="separate"/>
        </w:r>
        <w:r w:rsidR="003814C0">
          <w:rPr>
            <w:noProof/>
          </w:rPr>
          <w:t>6</w:t>
        </w:r>
        <w:r>
          <w:rPr>
            <w:noProof/>
          </w:rPr>
          <w:fldChar w:fldCharType="end"/>
        </w:r>
      </w:p>
    </w:sdtContent>
  </w:sdt>
  <w:p w14:paraId="0892EF6A" w14:textId="77777777" w:rsidR="00E93309" w:rsidRDefault="00E93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03169"/>
    <w:multiLevelType w:val="hybridMultilevel"/>
    <w:tmpl w:val="8EA02ACE"/>
    <w:lvl w:ilvl="0" w:tplc="30884098">
      <w:start w:val="1"/>
      <w:numFmt w:val="decimal"/>
      <w:lvlText w:val="%1."/>
      <w:lvlJc w:val="left"/>
      <w:pPr>
        <w:ind w:left="1080" w:hanging="360"/>
      </w:pPr>
      <w:rPr>
        <w:rFonts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1C60026"/>
    <w:multiLevelType w:val="hybridMultilevel"/>
    <w:tmpl w:val="B6E889F8"/>
    <w:lvl w:ilvl="0" w:tplc="30884098">
      <w:start w:val="1"/>
      <w:numFmt w:val="decimal"/>
      <w:lvlText w:val="%1."/>
      <w:lvlJc w:val="left"/>
      <w:pPr>
        <w:ind w:left="1806" w:hanging="360"/>
      </w:pPr>
      <w:rPr>
        <w:rFonts w:hint="default"/>
        <w:sz w:val="22"/>
      </w:r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2">
    <w:nsid w:val="1B8E5F93"/>
    <w:multiLevelType w:val="hybridMultilevel"/>
    <w:tmpl w:val="CD3CF88E"/>
    <w:lvl w:ilvl="0" w:tplc="30884098">
      <w:start w:val="1"/>
      <w:numFmt w:val="decimal"/>
      <w:lvlText w:val="%1."/>
      <w:lvlJc w:val="left"/>
      <w:pPr>
        <w:ind w:left="1080" w:hanging="360"/>
      </w:pPr>
      <w:rPr>
        <w:rFonts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8AD3CBA"/>
    <w:multiLevelType w:val="hybridMultilevel"/>
    <w:tmpl w:val="ABEE35A8"/>
    <w:lvl w:ilvl="0" w:tplc="CA4E8D3C">
      <w:start w:val="1"/>
      <w:numFmt w:val="lowerLetter"/>
      <w:lvlText w:val="(%1)"/>
      <w:lvlJc w:val="left"/>
      <w:pPr>
        <w:ind w:left="1440" w:hanging="360"/>
      </w:pPr>
      <w:rPr>
        <w:rFonts w:hint="default"/>
        <w:i/>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8C967C5"/>
    <w:multiLevelType w:val="hybridMultilevel"/>
    <w:tmpl w:val="F0E2B358"/>
    <w:lvl w:ilvl="0" w:tplc="3710EBA0">
      <w:start w:val="1"/>
      <w:numFmt w:val="decimal"/>
      <w:lvlText w:val="(%1)"/>
      <w:lvlJc w:val="left"/>
      <w:pPr>
        <w:ind w:left="1080" w:hanging="360"/>
      </w:pPr>
      <w:rPr>
        <w:rFonts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E523556"/>
    <w:multiLevelType w:val="hybridMultilevel"/>
    <w:tmpl w:val="A98AC7E4"/>
    <w:lvl w:ilvl="0" w:tplc="1B48E862">
      <w:start w:val="1"/>
      <w:numFmt w:val="decimal"/>
      <w:lvlText w:val="%1."/>
      <w:lvlJc w:val="left"/>
      <w:pPr>
        <w:ind w:left="1080" w:hanging="360"/>
      </w:pPr>
      <w:rPr>
        <w:rFonts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7781A0C"/>
    <w:multiLevelType w:val="hybridMultilevel"/>
    <w:tmpl w:val="EBF6F510"/>
    <w:lvl w:ilvl="0" w:tplc="28D00624">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US" w:vendorID="64" w:dllVersion="6" w:nlCheck="1" w:checkStyle="0"/>
  <w:activeWritingStyle w:appName="MSWord" w:lang="en-ZA" w:vendorID="64" w:dllVersion="4096" w:nlCheck="1" w:checkStyle="0"/>
  <w:activeWritingStyle w:appName="MSWord" w:lang="en-US" w:vendorID="64" w:dllVersion="4096"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50"/>
    <w:rsid w:val="000001A6"/>
    <w:rsid w:val="00012780"/>
    <w:rsid w:val="000327C4"/>
    <w:rsid w:val="00033853"/>
    <w:rsid w:val="00045D5C"/>
    <w:rsid w:val="000479CD"/>
    <w:rsid w:val="00070650"/>
    <w:rsid w:val="0007150D"/>
    <w:rsid w:val="000774E6"/>
    <w:rsid w:val="00084C57"/>
    <w:rsid w:val="000C1953"/>
    <w:rsid w:val="000C6881"/>
    <w:rsid w:val="00103F28"/>
    <w:rsid w:val="00104CA2"/>
    <w:rsid w:val="00117ECF"/>
    <w:rsid w:val="0014179D"/>
    <w:rsid w:val="00145349"/>
    <w:rsid w:val="00163482"/>
    <w:rsid w:val="00164764"/>
    <w:rsid w:val="00191916"/>
    <w:rsid w:val="001A1C35"/>
    <w:rsid w:val="001D3FDE"/>
    <w:rsid w:val="00220532"/>
    <w:rsid w:val="002229F7"/>
    <w:rsid w:val="00223239"/>
    <w:rsid w:val="002237C0"/>
    <w:rsid w:val="00226303"/>
    <w:rsid w:val="002619DB"/>
    <w:rsid w:val="00280D55"/>
    <w:rsid w:val="00281E84"/>
    <w:rsid w:val="00283442"/>
    <w:rsid w:val="002866FE"/>
    <w:rsid w:val="002A1D5C"/>
    <w:rsid w:val="002C571B"/>
    <w:rsid w:val="00306B84"/>
    <w:rsid w:val="003457FA"/>
    <w:rsid w:val="00345A27"/>
    <w:rsid w:val="00353FC0"/>
    <w:rsid w:val="003557F9"/>
    <w:rsid w:val="003726F7"/>
    <w:rsid w:val="003814C0"/>
    <w:rsid w:val="00383783"/>
    <w:rsid w:val="0039152B"/>
    <w:rsid w:val="003A4444"/>
    <w:rsid w:val="003A5EF8"/>
    <w:rsid w:val="003E69F7"/>
    <w:rsid w:val="00407DCE"/>
    <w:rsid w:val="00421C95"/>
    <w:rsid w:val="00451146"/>
    <w:rsid w:val="00455763"/>
    <w:rsid w:val="00490719"/>
    <w:rsid w:val="00493F60"/>
    <w:rsid w:val="004A353C"/>
    <w:rsid w:val="004D6A4C"/>
    <w:rsid w:val="004E6A02"/>
    <w:rsid w:val="005049CE"/>
    <w:rsid w:val="00506C78"/>
    <w:rsid w:val="00524BCF"/>
    <w:rsid w:val="00571DC4"/>
    <w:rsid w:val="0058022C"/>
    <w:rsid w:val="0059195D"/>
    <w:rsid w:val="005932D4"/>
    <w:rsid w:val="005A2B52"/>
    <w:rsid w:val="005A6A13"/>
    <w:rsid w:val="005B68B5"/>
    <w:rsid w:val="005C4999"/>
    <w:rsid w:val="005D076B"/>
    <w:rsid w:val="005E1B68"/>
    <w:rsid w:val="005E6812"/>
    <w:rsid w:val="00616A50"/>
    <w:rsid w:val="00640510"/>
    <w:rsid w:val="006512E0"/>
    <w:rsid w:val="00654465"/>
    <w:rsid w:val="00654581"/>
    <w:rsid w:val="00691450"/>
    <w:rsid w:val="006B113B"/>
    <w:rsid w:val="006B475E"/>
    <w:rsid w:val="006C1174"/>
    <w:rsid w:val="00705C03"/>
    <w:rsid w:val="00706FBC"/>
    <w:rsid w:val="00774EF8"/>
    <w:rsid w:val="0078564C"/>
    <w:rsid w:val="00796625"/>
    <w:rsid w:val="00797ED0"/>
    <w:rsid w:val="007A1158"/>
    <w:rsid w:val="007A1743"/>
    <w:rsid w:val="007A190D"/>
    <w:rsid w:val="007B3AAD"/>
    <w:rsid w:val="007D56F7"/>
    <w:rsid w:val="007D6674"/>
    <w:rsid w:val="007F1E42"/>
    <w:rsid w:val="00803F1B"/>
    <w:rsid w:val="008203AE"/>
    <w:rsid w:val="008437EB"/>
    <w:rsid w:val="0087439C"/>
    <w:rsid w:val="008A024C"/>
    <w:rsid w:val="008B3CC3"/>
    <w:rsid w:val="008C5A90"/>
    <w:rsid w:val="00900210"/>
    <w:rsid w:val="00915139"/>
    <w:rsid w:val="0092470A"/>
    <w:rsid w:val="00940EB1"/>
    <w:rsid w:val="009700EE"/>
    <w:rsid w:val="00970200"/>
    <w:rsid w:val="00973A0C"/>
    <w:rsid w:val="009740B3"/>
    <w:rsid w:val="00977A24"/>
    <w:rsid w:val="00981A25"/>
    <w:rsid w:val="0098412D"/>
    <w:rsid w:val="00991088"/>
    <w:rsid w:val="00994793"/>
    <w:rsid w:val="009967D5"/>
    <w:rsid w:val="009D13B3"/>
    <w:rsid w:val="009D3C56"/>
    <w:rsid w:val="009D79D1"/>
    <w:rsid w:val="009E0712"/>
    <w:rsid w:val="009E2FC2"/>
    <w:rsid w:val="00A15610"/>
    <w:rsid w:val="00A17968"/>
    <w:rsid w:val="00A20836"/>
    <w:rsid w:val="00A232E3"/>
    <w:rsid w:val="00A307AC"/>
    <w:rsid w:val="00A33010"/>
    <w:rsid w:val="00A51CD9"/>
    <w:rsid w:val="00A94C44"/>
    <w:rsid w:val="00AA44DF"/>
    <w:rsid w:val="00AB45B2"/>
    <w:rsid w:val="00AE165C"/>
    <w:rsid w:val="00B017AB"/>
    <w:rsid w:val="00B03152"/>
    <w:rsid w:val="00B10B90"/>
    <w:rsid w:val="00B21E7E"/>
    <w:rsid w:val="00B21FD0"/>
    <w:rsid w:val="00B23465"/>
    <w:rsid w:val="00B2434C"/>
    <w:rsid w:val="00B50C84"/>
    <w:rsid w:val="00B5386D"/>
    <w:rsid w:val="00B57810"/>
    <w:rsid w:val="00B622FC"/>
    <w:rsid w:val="00BD0C6E"/>
    <w:rsid w:val="00BD3085"/>
    <w:rsid w:val="00BE4797"/>
    <w:rsid w:val="00C0208E"/>
    <w:rsid w:val="00C123BC"/>
    <w:rsid w:val="00C176FE"/>
    <w:rsid w:val="00C40F88"/>
    <w:rsid w:val="00C4127C"/>
    <w:rsid w:val="00C46E48"/>
    <w:rsid w:val="00C50825"/>
    <w:rsid w:val="00C52605"/>
    <w:rsid w:val="00C60F5B"/>
    <w:rsid w:val="00C7414F"/>
    <w:rsid w:val="00C74ED0"/>
    <w:rsid w:val="00C761E9"/>
    <w:rsid w:val="00CA4C5E"/>
    <w:rsid w:val="00CB1C56"/>
    <w:rsid w:val="00CD0CA8"/>
    <w:rsid w:val="00CF3797"/>
    <w:rsid w:val="00CF4020"/>
    <w:rsid w:val="00CF6E63"/>
    <w:rsid w:val="00D0595B"/>
    <w:rsid w:val="00D0696B"/>
    <w:rsid w:val="00D17A9C"/>
    <w:rsid w:val="00D237D0"/>
    <w:rsid w:val="00D41B0C"/>
    <w:rsid w:val="00D43078"/>
    <w:rsid w:val="00D56A73"/>
    <w:rsid w:val="00D67BCB"/>
    <w:rsid w:val="00D932E2"/>
    <w:rsid w:val="00DA7B6F"/>
    <w:rsid w:val="00DC05D5"/>
    <w:rsid w:val="00DC4C91"/>
    <w:rsid w:val="00DD2FA2"/>
    <w:rsid w:val="00DE373C"/>
    <w:rsid w:val="00E0021B"/>
    <w:rsid w:val="00E14627"/>
    <w:rsid w:val="00E22B4E"/>
    <w:rsid w:val="00E33072"/>
    <w:rsid w:val="00E533BE"/>
    <w:rsid w:val="00E76BEE"/>
    <w:rsid w:val="00E8043C"/>
    <w:rsid w:val="00E90D80"/>
    <w:rsid w:val="00E93309"/>
    <w:rsid w:val="00ED39A6"/>
    <w:rsid w:val="00EF4353"/>
    <w:rsid w:val="00F03231"/>
    <w:rsid w:val="00F2388C"/>
    <w:rsid w:val="00F3402F"/>
    <w:rsid w:val="00F514A0"/>
    <w:rsid w:val="00FA4DFB"/>
    <w:rsid w:val="00FB53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C467"/>
  <w15:docId w15:val="{47AC60F1-FB19-4971-98B0-2BA92106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1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743"/>
    <w:rPr>
      <w:sz w:val="20"/>
      <w:szCs w:val="20"/>
    </w:rPr>
  </w:style>
  <w:style w:type="character" w:styleId="FootnoteReference">
    <w:name w:val="footnote reference"/>
    <w:basedOn w:val="DefaultParagraphFont"/>
    <w:uiPriority w:val="99"/>
    <w:semiHidden/>
    <w:unhideWhenUsed/>
    <w:rsid w:val="007A1743"/>
    <w:rPr>
      <w:vertAlign w:val="superscript"/>
    </w:rPr>
  </w:style>
  <w:style w:type="paragraph" w:styleId="Header">
    <w:name w:val="header"/>
    <w:basedOn w:val="Normal"/>
    <w:link w:val="HeaderChar"/>
    <w:uiPriority w:val="99"/>
    <w:unhideWhenUsed/>
    <w:rsid w:val="005E6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812"/>
  </w:style>
  <w:style w:type="paragraph" w:styleId="Footer">
    <w:name w:val="footer"/>
    <w:basedOn w:val="Normal"/>
    <w:link w:val="FooterChar"/>
    <w:uiPriority w:val="99"/>
    <w:unhideWhenUsed/>
    <w:rsid w:val="005E6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812"/>
  </w:style>
  <w:style w:type="paragraph" w:styleId="ListParagraph">
    <w:name w:val="List Paragraph"/>
    <w:basedOn w:val="Normal"/>
    <w:uiPriority w:val="34"/>
    <w:qFormat/>
    <w:rsid w:val="002229F7"/>
    <w:pPr>
      <w:ind w:left="720"/>
      <w:contextualSpacing/>
    </w:pPr>
  </w:style>
  <w:style w:type="paragraph" w:styleId="BalloonText">
    <w:name w:val="Balloon Text"/>
    <w:basedOn w:val="Normal"/>
    <w:link w:val="BalloonTextChar"/>
    <w:uiPriority w:val="99"/>
    <w:semiHidden/>
    <w:unhideWhenUsed/>
    <w:rsid w:val="00AA4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4DF"/>
    <w:rPr>
      <w:rFonts w:ascii="Segoe UI" w:hAnsi="Segoe UI" w:cs="Segoe UI"/>
      <w:sz w:val="18"/>
      <w:szCs w:val="18"/>
    </w:rPr>
  </w:style>
  <w:style w:type="paragraph" w:styleId="Revision">
    <w:name w:val="Revision"/>
    <w:hidden/>
    <w:uiPriority w:val="99"/>
    <w:semiHidden/>
    <w:rsid w:val="00012780"/>
    <w:pPr>
      <w:spacing w:after="0" w:line="240" w:lineRule="auto"/>
    </w:pPr>
  </w:style>
  <w:style w:type="character" w:styleId="CommentReference">
    <w:name w:val="annotation reference"/>
    <w:basedOn w:val="DefaultParagraphFont"/>
    <w:uiPriority w:val="99"/>
    <w:semiHidden/>
    <w:unhideWhenUsed/>
    <w:rsid w:val="00191916"/>
    <w:rPr>
      <w:sz w:val="16"/>
      <w:szCs w:val="16"/>
    </w:rPr>
  </w:style>
  <w:style w:type="paragraph" w:styleId="CommentText">
    <w:name w:val="annotation text"/>
    <w:basedOn w:val="Normal"/>
    <w:link w:val="CommentTextChar"/>
    <w:uiPriority w:val="99"/>
    <w:semiHidden/>
    <w:unhideWhenUsed/>
    <w:rsid w:val="00191916"/>
    <w:pPr>
      <w:spacing w:line="240" w:lineRule="auto"/>
    </w:pPr>
    <w:rPr>
      <w:sz w:val="20"/>
      <w:szCs w:val="20"/>
    </w:rPr>
  </w:style>
  <w:style w:type="character" w:customStyle="1" w:styleId="CommentTextChar">
    <w:name w:val="Comment Text Char"/>
    <w:basedOn w:val="DefaultParagraphFont"/>
    <w:link w:val="CommentText"/>
    <w:uiPriority w:val="99"/>
    <w:semiHidden/>
    <w:rsid w:val="00191916"/>
    <w:rPr>
      <w:sz w:val="20"/>
      <w:szCs w:val="20"/>
    </w:rPr>
  </w:style>
  <w:style w:type="paragraph" w:styleId="CommentSubject">
    <w:name w:val="annotation subject"/>
    <w:basedOn w:val="CommentText"/>
    <w:next w:val="CommentText"/>
    <w:link w:val="CommentSubjectChar"/>
    <w:uiPriority w:val="99"/>
    <w:semiHidden/>
    <w:unhideWhenUsed/>
    <w:rsid w:val="00191916"/>
    <w:rPr>
      <w:b/>
      <w:bCs/>
    </w:rPr>
  </w:style>
  <w:style w:type="character" w:customStyle="1" w:styleId="CommentSubjectChar">
    <w:name w:val="Comment Subject Char"/>
    <w:basedOn w:val="CommentTextChar"/>
    <w:link w:val="CommentSubject"/>
    <w:uiPriority w:val="99"/>
    <w:semiHidden/>
    <w:rsid w:val="001919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CC87B-FF2A-4912-88DC-0A83EB82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dc:creator>
  <cp:keywords/>
  <dc:description/>
  <cp:lastModifiedBy>Mokone</cp:lastModifiedBy>
  <cp:revision>2</cp:revision>
  <cp:lastPrinted>2023-03-15T14:08:00Z</cp:lastPrinted>
  <dcterms:created xsi:type="dcterms:W3CDTF">2023-03-23T09:20:00Z</dcterms:created>
  <dcterms:modified xsi:type="dcterms:W3CDTF">2023-03-23T09:20:00Z</dcterms:modified>
</cp:coreProperties>
</file>