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2E" w:rsidRDefault="00A47E2E" w:rsidP="00A47E2E">
      <w:pPr>
        <w:spacing w:after="0" w:line="36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A47E2E" w:rsidRDefault="00A47E2E" w:rsidP="00A47E2E">
      <w:pPr>
        <w:spacing w:after="0" w:line="36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A47E2E" w:rsidRDefault="00A47E2E" w:rsidP="00A47E2E">
      <w:pPr>
        <w:spacing w:after="0" w:line="360" w:lineRule="auto"/>
        <w:jc w:val="center"/>
        <w:rPr>
          <w:rFonts w:ascii="Arial" w:hAnsi="Arial" w:cs="Arial"/>
          <w:b/>
          <w:sz w:val="24"/>
          <w:szCs w:val="24"/>
          <w:lang w:val="en-US"/>
        </w:rPr>
      </w:pPr>
      <w:r>
        <w:rPr>
          <w:rFonts w:ascii="Arial" w:hAnsi="Arial" w:cs="Arial"/>
          <w:b/>
          <w:sz w:val="24"/>
          <w:szCs w:val="24"/>
          <w:lang w:val="en-US"/>
        </w:rPr>
        <w:t>(EASTERN CAPE DIVISION – MTHATHA)</w:t>
      </w:r>
    </w:p>
    <w:p w:rsidR="00A47E2E" w:rsidRDefault="00A47E2E" w:rsidP="00A47E2E">
      <w:pPr>
        <w:spacing w:after="0" w:line="360" w:lineRule="auto"/>
        <w:jc w:val="right"/>
        <w:rPr>
          <w:rFonts w:ascii="Arial" w:hAnsi="Arial" w:cs="Arial"/>
          <w:b/>
          <w:sz w:val="24"/>
          <w:szCs w:val="24"/>
          <w:lang w:val="en-US"/>
        </w:rPr>
      </w:pPr>
    </w:p>
    <w:p w:rsidR="00A47E2E" w:rsidRDefault="00A47E2E" w:rsidP="00A47E2E">
      <w:pPr>
        <w:spacing w:after="0" w:line="36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5257/2022</w:t>
      </w:r>
    </w:p>
    <w:p w:rsidR="00A47E2E" w:rsidRDefault="00A47E2E" w:rsidP="00A47E2E">
      <w:pPr>
        <w:spacing w:after="0" w:line="360" w:lineRule="auto"/>
        <w:jc w:val="right"/>
        <w:rPr>
          <w:rFonts w:ascii="Arial" w:hAnsi="Arial" w:cs="Arial"/>
          <w:b/>
          <w:sz w:val="24"/>
          <w:szCs w:val="24"/>
          <w:lang w:val="en-US"/>
        </w:rPr>
      </w:pPr>
      <w:r>
        <w:rPr>
          <w:rFonts w:ascii="Arial" w:hAnsi="Arial" w:cs="Arial"/>
          <w:b/>
          <w:sz w:val="24"/>
          <w:szCs w:val="24"/>
          <w:lang w:val="en-US"/>
        </w:rPr>
        <w:t xml:space="preserve">                                                   Matter heard on:  20 April 2023</w:t>
      </w:r>
    </w:p>
    <w:p w:rsidR="00A47E2E" w:rsidRDefault="00A47E2E" w:rsidP="00A47E2E">
      <w:pPr>
        <w:spacing w:after="0" w:line="360" w:lineRule="auto"/>
        <w:jc w:val="right"/>
        <w:rPr>
          <w:rFonts w:ascii="Arial" w:hAnsi="Arial" w:cs="Arial"/>
          <w:b/>
          <w:sz w:val="24"/>
          <w:szCs w:val="24"/>
          <w:lang w:val="en-US"/>
        </w:rPr>
      </w:pPr>
      <w:r>
        <w:rPr>
          <w:rFonts w:ascii="Arial" w:hAnsi="Arial" w:cs="Arial"/>
          <w:b/>
          <w:sz w:val="24"/>
          <w:szCs w:val="24"/>
          <w:lang w:val="en-US"/>
        </w:rPr>
        <w:t xml:space="preserve">                                                         Judgement delivered on: </w:t>
      </w:r>
      <w:r w:rsidR="00E322DD">
        <w:rPr>
          <w:rFonts w:ascii="Arial" w:hAnsi="Arial" w:cs="Arial"/>
          <w:b/>
          <w:sz w:val="24"/>
          <w:szCs w:val="24"/>
          <w:lang w:val="en-US"/>
        </w:rPr>
        <w:t>21</w:t>
      </w:r>
      <w:r w:rsidR="00065561">
        <w:rPr>
          <w:rFonts w:ascii="Arial" w:hAnsi="Arial" w:cs="Arial"/>
          <w:b/>
          <w:sz w:val="24"/>
          <w:szCs w:val="24"/>
          <w:lang w:val="en-US"/>
        </w:rPr>
        <w:t xml:space="preserve"> </w:t>
      </w:r>
      <w:r>
        <w:rPr>
          <w:rFonts w:ascii="Arial" w:hAnsi="Arial" w:cs="Arial"/>
          <w:b/>
          <w:sz w:val="24"/>
          <w:szCs w:val="24"/>
          <w:lang w:val="en-US"/>
        </w:rPr>
        <w:t>April 2023</w:t>
      </w:r>
    </w:p>
    <w:p w:rsidR="00A47E2E" w:rsidRDefault="00A47E2E" w:rsidP="00A47E2E">
      <w:pPr>
        <w:spacing w:after="0" w:line="360" w:lineRule="auto"/>
        <w:jc w:val="both"/>
        <w:rPr>
          <w:rFonts w:ascii="Arial" w:hAnsi="Arial" w:cs="Arial"/>
          <w:bCs/>
          <w:sz w:val="24"/>
          <w:szCs w:val="24"/>
          <w:lang w:val="en-US"/>
        </w:rPr>
      </w:pPr>
    </w:p>
    <w:p w:rsidR="00A47E2E" w:rsidRDefault="00A47E2E" w:rsidP="00A47E2E">
      <w:pPr>
        <w:spacing w:after="0" w:line="360" w:lineRule="auto"/>
        <w:jc w:val="both"/>
        <w:rPr>
          <w:rFonts w:ascii="Arial" w:hAnsi="Arial" w:cs="Arial"/>
          <w:bCs/>
          <w:sz w:val="24"/>
          <w:szCs w:val="24"/>
          <w:lang w:val="en-US"/>
        </w:rPr>
      </w:pPr>
      <w:r>
        <w:rPr>
          <w:rFonts w:ascii="Arial" w:hAnsi="Arial" w:cs="Arial"/>
          <w:bCs/>
          <w:sz w:val="24"/>
          <w:szCs w:val="24"/>
          <w:lang w:val="en-US"/>
        </w:rPr>
        <w:t>In the matter between: -</w:t>
      </w:r>
    </w:p>
    <w:p w:rsidR="00A47E2E" w:rsidRDefault="00A47E2E" w:rsidP="00A47E2E">
      <w:pPr>
        <w:spacing w:after="0" w:line="360" w:lineRule="auto"/>
        <w:jc w:val="both"/>
        <w:rPr>
          <w:rFonts w:ascii="Arial" w:hAnsi="Arial" w:cs="Arial"/>
          <w:b/>
          <w:sz w:val="24"/>
          <w:szCs w:val="24"/>
          <w:lang w:val="en-US"/>
        </w:rPr>
      </w:pPr>
    </w:p>
    <w:p w:rsidR="00A47E2E" w:rsidRDefault="00A47E2E" w:rsidP="00A47E2E">
      <w:pPr>
        <w:spacing w:after="0" w:line="360" w:lineRule="auto"/>
        <w:jc w:val="both"/>
        <w:rPr>
          <w:rFonts w:ascii="Arial" w:hAnsi="Arial" w:cs="Arial"/>
          <w:b/>
          <w:sz w:val="24"/>
          <w:szCs w:val="24"/>
          <w:lang w:val="en-US"/>
        </w:rPr>
      </w:pPr>
      <w:r>
        <w:rPr>
          <w:rFonts w:ascii="Arial" w:hAnsi="Arial" w:cs="Arial"/>
          <w:b/>
          <w:sz w:val="24"/>
          <w:szCs w:val="24"/>
          <w:lang w:val="en-US"/>
        </w:rPr>
        <w:t>NOBESUTHU MARGARET NOHAKO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Applicant</w:t>
      </w:r>
    </w:p>
    <w:p w:rsidR="00A47E2E" w:rsidRDefault="00A47E2E" w:rsidP="00A47E2E">
      <w:pPr>
        <w:spacing w:after="0" w:line="360" w:lineRule="auto"/>
        <w:jc w:val="both"/>
        <w:rPr>
          <w:rFonts w:ascii="Arial" w:hAnsi="Arial" w:cs="Arial"/>
          <w:bCs/>
          <w:sz w:val="24"/>
          <w:szCs w:val="24"/>
          <w:lang w:val="en-US"/>
        </w:rPr>
      </w:pPr>
    </w:p>
    <w:p w:rsidR="00A47E2E" w:rsidRDefault="00A47E2E" w:rsidP="00A47E2E">
      <w:pPr>
        <w:spacing w:after="0" w:line="360" w:lineRule="auto"/>
        <w:jc w:val="both"/>
        <w:rPr>
          <w:rFonts w:ascii="Arial" w:hAnsi="Arial" w:cs="Arial"/>
          <w:bCs/>
          <w:sz w:val="24"/>
          <w:szCs w:val="24"/>
          <w:lang w:val="en-US"/>
        </w:rPr>
      </w:pPr>
      <w:r>
        <w:rPr>
          <w:rFonts w:ascii="Arial" w:hAnsi="Arial" w:cs="Arial"/>
          <w:bCs/>
          <w:sz w:val="24"/>
          <w:szCs w:val="24"/>
          <w:lang w:val="en-US"/>
        </w:rPr>
        <w:t>and</w:t>
      </w:r>
    </w:p>
    <w:p w:rsidR="00A47E2E" w:rsidRDefault="00A47E2E" w:rsidP="00A47E2E">
      <w:pPr>
        <w:spacing w:after="0" w:line="360" w:lineRule="auto"/>
        <w:rPr>
          <w:rFonts w:ascii="Arial" w:hAnsi="Arial" w:cs="Arial"/>
          <w:b/>
          <w:sz w:val="24"/>
          <w:szCs w:val="24"/>
          <w:lang w:val="en-US"/>
        </w:rPr>
      </w:pPr>
    </w:p>
    <w:p w:rsidR="00A47E2E" w:rsidRDefault="00A47E2E" w:rsidP="00A47E2E">
      <w:pPr>
        <w:spacing w:after="0" w:line="360" w:lineRule="auto"/>
        <w:rPr>
          <w:rFonts w:ascii="Arial" w:hAnsi="Arial" w:cs="Arial"/>
          <w:b/>
          <w:sz w:val="24"/>
          <w:szCs w:val="24"/>
          <w:lang w:val="en-US"/>
        </w:rPr>
      </w:pPr>
      <w:r>
        <w:rPr>
          <w:rFonts w:ascii="Arial" w:hAnsi="Arial" w:cs="Arial"/>
          <w:b/>
          <w:sz w:val="24"/>
          <w:szCs w:val="24"/>
          <w:lang w:val="en-US"/>
        </w:rPr>
        <w:t xml:space="preserve">BENJAMIN NKOSINATHI NKOSI </w:t>
      </w:r>
      <w:r>
        <w:rPr>
          <w:rFonts w:ascii="Arial" w:hAnsi="Arial" w:cs="Arial"/>
          <w:b/>
          <w:sz w:val="24"/>
          <w:szCs w:val="24"/>
          <w:lang w:val="en-US"/>
        </w:rPr>
        <w:tab/>
        <w:t xml:space="preserve">        </w:t>
      </w:r>
      <w:r>
        <w:rPr>
          <w:rFonts w:ascii="Arial" w:hAnsi="Arial" w:cs="Arial"/>
          <w:b/>
          <w:sz w:val="24"/>
          <w:szCs w:val="24"/>
          <w:lang w:val="en-US"/>
        </w:rPr>
        <w:tab/>
        <w:t xml:space="preserv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Respondent</w:t>
      </w:r>
    </w:p>
    <w:p w:rsidR="00A47E2E" w:rsidRDefault="00A47E2E" w:rsidP="00A47E2E">
      <w:pPr>
        <w:spacing w:after="0" w:line="360" w:lineRule="auto"/>
        <w:jc w:val="both"/>
        <w:rPr>
          <w:rFonts w:ascii="Arial" w:hAnsi="Arial" w:cs="Arial"/>
          <w:b/>
          <w:sz w:val="24"/>
          <w:szCs w:val="24"/>
          <w:lang w:val="en-US"/>
        </w:rPr>
      </w:pPr>
    </w:p>
    <w:tbl>
      <w:tblPr>
        <w:tblpPr w:leftFromText="180" w:rightFromText="180" w:bottomFromText="20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tblGrid>
      <w:tr w:rsidR="00A47E2E" w:rsidTr="00A47E2E">
        <w:trPr>
          <w:trHeight w:val="2117"/>
        </w:trPr>
        <w:tc>
          <w:tcPr>
            <w:tcW w:w="4948" w:type="dxa"/>
            <w:tcBorders>
              <w:top w:val="single" w:sz="4" w:space="0" w:color="auto"/>
              <w:left w:val="single" w:sz="4" w:space="0" w:color="auto"/>
              <w:bottom w:val="single" w:sz="4" w:space="0" w:color="auto"/>
              <w:right w:val="single" w:sz="4" w:space="0" w:color="auto"/>
            </w:tcBorders>
          </w:tcPr>
          <w:p w:rsidR="00A47E2E" w:rsidRDefault="00A47E2E" w:rsidP="00086829">
            <w:pPr>
              <w:numPr>
                <w:ilvl w:val="0"/>
                <w:numId w:val="1"/>
              </w:numPr>
              <w:spacing w:after="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YES</w:t>
            </w:r>
          </w:p>
          <w:p w:rsidR="00A47E2E" w:rsidRDefault="00A47E2E" w:rsidP="00086829">
            <w:pPr>
              <w:numPr>
                <w:ilvl w:val="0"/>
                <w:numId w:val="1"/>
              </w:numPr>
              <w:spacing w:after="0" w:line="360" w:lineRule="auto"/>
              <w:ind w:left="447" w:hanging="425"/>
              <w:contextualSpacing/>
              <w:jc w:val="both"/>
              <w:rPr>
                <w:rFonts w:ascii="Arial" w:hAnsi="Arial" w:cs="Arial"/>
                <w:b/>
                <w:sz w:val="18"/>
                <w:szCs w:val="18"/>
                <w:lang w:val="en-US"/>
              </w:rPr>
            </w:pPr>
            <w:r>
              <w:rPr>
                <w:rFonts w:ascii="Arial" w:hAnsi="Arial" w:cs="Arial"/>
                <w:b/>
                <w:sz w:val="18"/>
                <w:szCs w:val="18"/>
                <w:lang w:val="en-US"/>
              </w:rPr>
              <w:t>OF INTEREST TO OTHER JUDGES: YES</w:t>
            </w:r>
          </w:p>
          <w:p w:rsidR="00A47E2E" w:rsidRDefault="00A47E2E" w:rsidP="00086829">
            <w:pPr>
              <w:numPr>
                <w:ilvl w:val="0"/>
                <w:numId w:val="1"/>
              </w:numPr>
              <w:spacing w:after="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REVISED.</w:t>
            </w:r>
          </w:p>
          <w:p w:rsidR="00A47E2E" w:rsidRDefault="00A47E2E">
            <w:pPr>
              <w:spacing w:after="0" w:line="360" w:lineRule="auto"/>
              <w:ind w:left="447"/>
              <w:contextualSpacing/>
              <w:jc w:val="both"/>
              <w:rPr>
                <w:rFonts w:ascii="Arial" w:hAnsi="Arial" w:cs="Arial"/>
                <w:b/>
                <w:sz w:val="18"/>
                <w:szCs w:val="18"/>
                <w:lang w:val="en-US"/>
              </w:rPr>
            </w:pPr>
          </w:p>
          <w:p w:rsidR="00A47E2E" w:rsidRDefault="00A47E2E">
            <w:pPr>
              <w:spacing w:after="0" w:line="360" w:lineRule="auto"/>
              <w:jc w:val="both"/>
              <w:rPr>
                <w:rFonts w:ascii="Arial" w:hAnsi="Arial" w:cs="Arial"/>
                <w:b/>
                <w:sz w:val="18"/>
                <w:szCs w:val="18"/>
                <w:lang w:val="en-US"/>
              </w:rPr>
            </w:pPr>
            <w:r>
              <w:rPr>
                <w:rFonts w:ascii="Arial" w:hAnsi="Arial" w:cs="Arial"/>
                <w:b/>
                <w:sz w:val="18"/>
                <w:szCs w:val="18"/>
                <w:lang w:val="en-US"/>
              </w:rPr>
              <w:t>…………………………               ………………………..</w:t>
            </w:r>
          </w:p>
          <w:p w:rsidR="00A47E2E" w:rsidRDefault="00A47E2E">
            <w:pPr>
              <w:spacing w:after="0" w:line="360" w:lineRule="auto"/>
              <w:jc w:val="both"/>
              <w:rPr>
                <w:rFonts w:ascii="Arial" w:hAnsi="Arial" w:cs="Arial"/>
                <w:b/>
                <w:sz w:val="18"/>
                <w:szCs w:val="18"/>
                <w:lang w:val="en-US"/>
              </w:rPr>
            </w:pPr>
            <w:r>
              <w:rPr>
                <w:rFonts w:ascii="Arial" w:hAnsi="Arial" w:cs="Arial"/>
                <w:b/>
                <w:sz w:val="18"/>
                <w:szCs w:val="18"/>
                <w:lang w:val="en-US"/>
              </w:rPr>
              <w:t>Signature                                       Date</w:t>
            </w:r>
          </w:p>
        </w:tc>
      </w:tr>
    </w:tbl>
    <w:p w:rsidR="00A47E2E" w:rsidRDefault="00A47E2E" w:rsidP="00A47E2E">
      <w:pPr>
        <w:spacing w:after="0" w:line="360" w:lineRule="auto"/>
        <w:jc w:val="both"/>
        <w:rPr>
          <w:rFonts w:ascii="Arial" w:hAnsi="Arial" w:cs="Arial"/>
          <w:b/>
          <w:lang w:val="en-US"/>
        </w:rPr>
      </w:pPr>
    </w:p>
    <w:p w:rsidR="00A47E2E" w:rsidRDefault="00A47E2E" w:rsidP="00A47E2E">
      <w:pPr>
        <w:spacing w:after="0" w:line="360" w:lineRule="auto"/>
        <w:jc w:val="both"/>
        <w:rPr>
          <w:rFonts w:ascii="Arial" w:hAnsi="Arial" w:cs="Arial"/>
          <w:b/>
          <w:sz w:val="24"/>
          <w:szCs w:val="24"/>
          <w:lang w:val="en-US"/>
        </w:rPr>
      </w:pPr>
    </w:p>
    <w:p w:rsidR="00A47E2E" w:rsidRDefault="00A47E2E" w:rsidP="00A47E2E">
      <w:pPr>
        <w:spacing w:after="0" w:line="360" w:lineRule="auto"/>
        <w:jc w:val="both"/>
        <w:rPr>
          <w:rFonts w:ascii="Arial" w:hAnsi="Arial" w:cs="Arial"/>
          <w:b/>
          <w:sz w:val="24"/>
          <w:szCs w:val="24"/>
          <w:lang w:val="en-US"/>
        </w:rPr>
      </w:pPr>
    </w:p>
    <w:p w:rsidR="00A47E2E" w:rsidRDefault="00A47E2E" w:rsidP="00A47E2E">
      <w:pPr>
        <w:spacing w:after="0" w:line="360" w:lineRule="auto"/>
        <w:jc w:val="both"/>
        <w:rPr>
          <w:rFonts w:ascii="Arial" w:hAnsi="Arial" w:cs="Arial"/>
          <w:b/>
          <w:sz w:val="24"/>
          <w:szCs w:val="24"/>
          <w:lang w:val="en-US"/>
        </w:rPr>
      </w:pPr>
    </w:p>
    <w:p w:rsidR="00A47E2E" w:rsidRDefault="00A47E2E" w:rsidP="00A47E2E">
      <w:pPr>
        <w:pBdr>
          <w:bottom w:val="single" w:sz="12" w:space="1" w:color="auto"/>
        </w:pBdr>
        <w:spacing w:after="0" w:line="360" w:lineRule="auto"/>
        <w:jc w:val="center"/>
        <w:rPr>
          <w:rFonts w:ascii="Arial" w:hAnsi="Arial" w:cs="Arial"/>
          <w:b/>
          <w:lang w:val="en-US"/>
        </w:rPr>
      </w:pPr>
    </w:p>
    <w:p w:rsidR="00A47E2E" w:rsidRDefault="00A47E2E" w:rsidP="00A47E2E">
      <w:pPr>
        <w:pBdr>
          <w:bottom w:val="single" w:sz="12" w:space="1" w:color="auto"/>
        </w:pBdr>
        <w:spacing w:after="0" w:line="360" w:lineRule="auto"/>
        <w:jc w:val="center"/>
        <w:rPr>
          <w:rFonts w:ascii="Arial" w:hAnsi="Arial" w:cs="Arial"/>
          <w:b/>
          <w:lang w:val="en-US"/>
        </w:rPr>
      </w:pPr>
    </w:p>
    <w:p w:rsidR="00A47E2E" w:rsidRDefault="00A47E2E" w:rsidP="00A47E2E">
      <w:pPr>
        <w:pBdr>
          <w:bottom w:val="single" w:sz="12" w:space="1" w:color="auto"/>
        </w:pBdr>
        <w:spacing w:after="0" w:line="360" w:lineRule="auto"/>
        <w:jc w:val="center"/>
        <w:rPr>
          <w:rFonts w:ascii="Arial" w:hAnsi="Arial" w:cs="Arial"/>
          <w:b/>
          <w:lang w:val="en-US"/>
        </w:rPr>
      </w:pPr>
    </w:p>
    <w:p w:rsidR="00A47E2E" w:rsidRDefault="00A47E2E" w:rsidP="00A47E2E">
      <w:pPr>
        <w:spacing w:after="0" w:line="360" w:lineRule="auto"/>
        <w:jc w:val="center"/>
        <w:rPr>
          <w:rFonts w:ascii="Arial" w:hAnsi="Arial" w:cs="Arial"/>
          <w:b/>
          <w:lang w:val="en-US"/>
        </w:rPr>
      </w:pPr>
    </w:p>
    <w:p w:rsidR="00A47E2E" w:rsidRDefault="00A47E2E" w:rsidP="00A47E2E">
      <w:pPr>
        <w:pBdr>
          <w:bottom w:val="single" w:sz="12" w:space="1" w:color="auto"/>
        </w:pBd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A47E2E" w:rsidRDefault="00A47E2E" w:rsidP="00A47E2E">
      <w:pPr>
        <w:spacing w:after="0" w:line="360" w:lineRule="auto"/>
        <w:jc w:val="both"/>
        <w:rPr>
          <w:rFonts w:ascii="Arial" w:hAnsi="Arial" w:cs="Arial"/>
          <w:b/>
          <w:sz w:val="24"/>
          <w:szCs w:val="24"/>
        </w:rPr>
      </w:pPr>
      <w:r>
        <w:rPr>
          <w:rFonts w:ascii="Arial" w:hAnsi="Arial" w:cs="Arial"/>
          <w:b/>
          <w:sz w:val="24"/>
          <w:szCs w:val="24"/>
        </w:rPr>
        <w:t>SMITH J:</w:t>
      </w:r>
    </w:p>
    <w:p w:rsidR="00A47E2E" w:rsidRDefault="00A47E2E" w:rsidP="00301A30">
      <w:pPr>
        <w:spacing w:line="360" w:lineRule="auto"/>
        <w:jc w:val="both"/>
        <w:rPr>
          <w:rFonts w:ascii="Arial" w:hAnsi="Arial" w:cs="Arial"/>
          <w:sz w:val="24"/>
          <w:szCs w:val="24"/>
        </w:rPr>
      </w:pPr>
    </w:p>
    <w:p w:rsidR="00D53D9C" w:rsidRDefault="00A47E2E" w:rsidP="00ED2185">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42102C">
        <w:rPr>
          <w:rFonts w:ascii="Arial" w:hAnsi="Arial" w:cs="Arial"/>
          <w:sz w:val="24"/>
          <w:szCs w:val="24"/>
        </w:rPr>
        <w:t>The applicant seeks an order</w:t>
      </w:r>
      <w:r w:rsidR="00BC33C1">
        <w:rPr>
          <w:rFonts w:ascii="Arial" w:hAnsi="Arial" w:cs="Arial"/>
          <w:sz w:val="24"/>
          <w:szCs w:val="24"/>
        </w:rPr>
        <w:t>, inter alia,</w:t>
      </w:r>
      <w:r w:rsidR="0042102C">
        <w:rPr>
          <w:rFonts w:ascii="Arial" w:hAnsi="Arial" w:cs="Arial"/>
          <w:sz w:val="24"/>
          <w:szCs w:val="24"/>
        </w:rPr>
        <w:t xml:space="preserve"> declaring the respondent’s </w:t>
      </w:r>
      <w:r w:rsidR="003E313A">
        <w:rPr>
          <w:rFonts w:ascii="Arial" w:hAnsi="Arial" w:cs="Arial"/>
          <w:sz w:val="24"/>
          <w:szCs w:val="24"/>
        </w:rPr>
        <w:t>‘</w:t>
      </w:r>
      <w:r w:rsidR="0042102C">
        <w:rPr>
          <w:rFonts w:ascii="Arial" w:hAnsi="Arial" w:cs="Arial"/>
          <w:sz w:val="24"/>
          <w:szCs w:val="24"/>
        </w:rPr>
        <w:t>impoundment</w:t>
      </w:r>
      <w:r w:rsidR="003E313A">
        <w:rPr>
          <w:rFonts w:ascii="Arial" w:hAnsi="Arial" w:cs="Arial"/>
          <w:sz w:val="24"/>
          <w:szCs w:val="24"/>
        </w:rPr>
        <w:t>’</w:t>
      </w:r>
      <w:r w:rsidR="0042102C">
        <w:rPr>
          <w:rFonts w:ascii="Arial" w:hAnsi="Arial" w:cs="Arial"/>
          <w:sz w:val="24"/>
          <w:szCs w:val="24"/>
        </w:rPr>
        <w:t xml:space="preserve"> of her vehicle, a Nissan Hardbody, unlawful and directing him to return the vehicle to her.</w:t>
      </w:r>
    </w:p>
    <w:p w:rsidR="00ED2185" w:rsidRDefault="00ED2185" w:rsidP="00ED2185">
      <w:pPr>
        <w:spacing w:after="0" w:line="360" w:lineRule="auto"/>
        <w:jc w:val="both"/>
        <w:rPr>
          <w:rFonts w:ascii="Arial" w:hAnsi="Arial" w:cs="Arial"/>
          <w:sz w:val="24"/>
          <w:szCs w:val="24"/>
        </w:rPr>
      </w:pPr>
    </w:p>
    <w:p w:rsidR="00AB5475" w:rsidRDefault="00A47E2E" w:rsidP="00ED218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B5475">
        <w:rPr>
          <w:rFonts w:ascii="Arial" w:hAnsi="Arial" w:cs="Arial"/>
          <w:sz w:val="24"/>
          <w:szCs w:val="24"/>
        </w:rPr>
        <w:t>The circumstances which resulted in the vehicle being in the respondent’s possession are as follows.</w:t>
      </w:r>
    </w:p>
    <w:p w:rsidR="00ED2185" w:rsidRDefault="00ED2185" w:rsidP="00ED2185">
      <w:pPr>
        <w:spacing w:after="0" w:line="360" w:lineRule="auto"/>
        <w:jc w:val="both"/>
        <w:rPr>
          <w:rFonts w:ascii="Arial" w:hAnsi="Arial" w:cs="Arial"/>
          <w:sz w:val="24"/>
          <w:szCs w:val="24"/>
        </w:rPr>
      </w:pPr>
    </w:p>
    <w:p w:rsidR="00193D40" w:rsidRDefault="00A47E2E" w:rsidP="00ED218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17FE3">
        <w:rPr>
          <w:rFonts w:ascii="Arial" w:hAnsi="Arial" w:cs="Arial"/>
          <w:sz w:val="24"/>
          <w:szCs w:val="24"/>
        </w:rPr>
        <w:t>The applicant stated</w:t>
      </w:r>
      <w:r w:rsidR="00AB5475">
        <w:rPr>
          <w:rFonts w:ascii="Arial" w:hAnsi="Arial" w:cs="Arial"/>
          <w:sz w:val="24"/>
          <w:szCs w:val="24"/>
        </w:rPr>
        <w:t xml:space="preserve"> that during July 2022, she had lent her vehicle to her daughter, who on 9 September 2022</w:t>
      </w:r>
      <w:r w:rsidR="0017073A">
        <w:rPr>
          <w:rFonts w:ascii="Arial" w:hAnsi="Arial" w:cs="Arial"/>
          <w:sz w:val="24"/>
          <w:szCs w:val="24"/>
        </w:rPr>
        <w:t>,</w:t>
      </w:r>
      <w:r w:rsidR="00AB5475">
        <w:rPr>
          <w:rFonts w:ascii="Arial" w:hAnsi="Arial" w:cs="Arial"/>
          <w:sz w:val="24"/>
          <w:szCs w:val="24"/>
        </w:rPr>
        <w:t xml:space="preserve"> </w:t>
      </w:r>
      <w:r w:rsidR="008152F8">
        <w:rPr>
          <w:rFonts w:ascii="Arial" w:hAnsi="Arial" w:cs="Arial"/>
          <w:sz w:val="24"/>
          <w:szCs w:val="24"/>
        </w:rPr>
        <w:t xml:space="preserve">while driving the vehicle, </w:t>
      </w:r>
      <w:r w:rsidR="00AB5475">
        <w:rPr>
          <w:rFonts w:ascii="Arial" w:hAnsi="Arial" w:cs="Arial"/>
          <w:sz w:val="24"/>
          <w:szCs w:val="24"/>
        </w:rPr>
        <w:t>collide</w:t>
      </w:r>
      <w:r w:rsidR="00105DF9">
        <w:rPr>
          <w:rFonts w:ascii="Arial" w:hAnsi="Arial" w:cs="Arial"/>
          <w:sz w:val="24"/>
          <w:szCs w:val="24"/>
        </w:rPr>
        <w:t>d</w:t>
      </w:r>
      <w:r w:rsidR="00AB5475">
        <w:rPr>
          <w:rFonts w:ascii="Arial" w:hAnsi="Arial" w:cs="Arial"/>
          <w:sz w:val="24"/>
          <w:szCs w:val="24"/>
        </w:rPr>
        <w:t xml:space="preserve"> with the respondent’s vehicle. The respondent then ‘impounded’ the vehicle at the scene, without obtaining her or her daughter’s consent. Despite numero</w:t>
      </w:r>
      <w:r w:rsidR="001E1E2A">
        <w:rPr>
          <w:rFonts w:ascii="Arial" w:hAnsi="Arial" w:cs="Arial"/>
          <w:sz w:val="24"/>
          <w:szCs w:val="24"/>
        </w:rPr>
        <w:t>us requests by her daughter for</w:t>
      </w:r>
      <w:r w:rsidR="00AB5475">
        <w:rPr>
          <w:rFonts w:ascii="Arial" w:hAnsi="Arial" w:cs="Arial"/>
          <w:sz w:val="24"/>
          <w:szCs w:val="24"/>
        </w:rPr>
        <w:t xml:space="preserve"> the respondent </w:t>
      </w:r>
      <w:r w:rsidR="001E1E2A">
        <w:rPr>
          <w:rFonts w:ascii="Arial" w:hAnsi="Arial" w:cs="Arial"/>
          <w:sz w:val="24"/>
          <w:szCs w:val="24"/>
        </w:rPr>
        <w:t xml:space="preserve">to </w:t>
      </w:r>
      <w:r w:rsidR="00AB5475">
        <w:rPr>
          <w:rFonts w:ascii="Arial" w:hAnsi="Arial" w:cs="Arial"/>
          <w:sz w:val="24"/>
          <w:szCs w:val="24"/>
        </w:rPr>
        <w:t>return the vehicle</w:t>
      </w:r>
      <w:r w:rsidR="00105DF9">
        <w:rPr>
          <w:rFonts w:ascii="Arial" w:hAnsi="Arial" w:cs="Arial"/>
          <w:sz w:val="24"/>
          <w:szCs w:val="24"/>
        </w:rPr>
        <w:t>,</w:t>
      </w:r>
      <w:r w:rsidR="00AB5475">
        <w:rPr>
          <w:rFonts w:ascii="Arial" w:hAnsi="Arial" w:cs="Arial"/>
          <w:sz w:val="24"/>
          <w:szCs w:val="24"/>
        </w:rPr>
        <w:t xml:space="preserve"> he has refused to do so, stating that</w:t>
      </w:r>
      <w:r w:rsidR="007E4247">
        <w:rPr>
          <w:rFonts w:ascii="Arial" w:hAnsi="Arial" w:cs="Arial"/>
          <w:sz w:val="24"/>
          <w:szCs w:val="24"/>
        </w:rPr>
        <w:t xml:space="preserve"> he would</w:t>
      </w:r>
      <w:r w:rsidR="001E1E2A">
        <w:rPr>
          <w:rFonts w:ascii="Arial" w:hAnsi="Arial" w:cs="Arial"/>
          <w:sz w:val="24"/>
          <w:szCs w:val="24"/>
        </w:rPr>
        <w:t xml:space="preserve"> only return it</w:t>
      </w:r>
      <w:r w:rsidR="00AB5475">
        <w:rPr>
          <w:rFonts w:ascii="Arial" w:hAnsi="Arial" w:cs="Arial"/>
          <w:sz w:val="24"/>
          <w:szCs w:val="24"/>
        </w:rPr>
        <w:t xml:space="preserve"> once his own </w:t>
      </w:r>
      <w:r w:rsidR="001E1E2A">
        <w:rPr>
          <w:rFonts w:ascii="Arial" w:hAnsi="Arial" w:cs="Arial"/>
          <w:sz w:val="24"/>
          <w:szCs w:val="24"/>
        </w:rPr>
        <w:t>vehicle h</w:t>
      </w:r>
      <w:r w:rsidR="00AB5475">
        <w:rPr>
          <w:rFonts w:ascii="Arial" w:hAnsi="Arial" w:cs="Arial"/>
          <w:sz w:val="24"/>
          <w:szCs w:val="24"/>
        </w:rPr>
        <w:t xml:space="preserve">ad been repaired. On 27 September 2022, her attorneys wrote to the respondent demanding that he returned the vehicle forthwith. </w:t>
      </w:r>
      <w:r w:rsidR="00033428">
        <w:rPr>
          <w:rFonts w:ascii="Arial" w:hAnsi="Arial" w:cs="Arial"/>
          <w:sz w:val="24"/>
          <w:szCs w:val="24"/>
        </w:rPr>
        <w:t>The respondent referred that letter to his attorneys who replied</w:t>
      </w:r>
      <w:r w:rsidR="00F53FF1">
        <w:rPr>
          <w:rFonts w:ascii="Arial" w:hAnsi="Arial" w:cs="Arial"/>
          <w:sz w:val="24"/>
          <w:szCs w:val="24"/>
        </w:rPr>
        <w:t xml:space="preserve"> on 29 September 2022</w:t>
      </w:r>
      <w:r w:rsidR="00033428">
        <w:rPr>
          <w:rFonts w:ascii="Arial" w:hAnsi="Arial" w:cs="Arial"/>
          <w:sz w:val="24"/>
          <w:szCs w:val="24"/>
        </w:rPr>
        <w:t xml:space="preserve">, inter alia, </w:t>
      </w:r>
      <w:r w:rsidR="00F53FF1">
        <w:rPr>
          <w:rFonts w:ascii="Arial" w:hAnsi="Arial" w:cs="Arial"/>
          <w:sz w:val="24"/>
          <w:szCs w:val="24"/>
        </w:rPr>
        <w:t xml:space="preserve">stating </w:t>
      </w:r>
      <w:r w:rsidR="00033428">
        <w:rPr>
          <w:rFonts w:ascii="Arial" w:hAnsi="Arial" w:cs="Arial"/>
          <w:sz w:val="24"/>
          <w:szCs w:val="24"/>
        </w:rPr>
        <w:t>that the parties</w:t>
      </w:r>
      <w:r w:rsidR="00755D64">
        <w:rPr>
          <w:rFonts w:ascii="Arial" w:hAnsi="Arial" w:cs="Arial"/>
          <w:sz w:val="24"/>
          <w:szCs w:val="24"/>
        </w:rPr>
        <w:t xml:space="preserve"> had </w:t>
      </w:r>
      <w:r w:rsidR="00033428">
        <w:rPr>
          <w:rFonts w:ascii="Arial" w:hAnsi="Arial" w:cs="Arial"/>
          <w:sz w:val="24"/>
          <w:szCs w:val="24"/>
        </w:rPr>
        <w:t xml:space="preserve">agreed that he would keep and use the applicant’s vehicle until such time as his </w:t>
      </w:r>
      <w:r w:rsidR="00E37D6C">
        <w:rPr>
          <w:rFonts w:ascii="Arial" w:hAnsi="Arial" w:cs="Arial"/>
          <w:sz w:val="24"/>
          <w:szCs w:val="24"/>
        </w:rPr>
        <w:t xml:space="preserve">own vehicle </w:t>
      </w:r>
      <w:r w:rsidR="00033428">
        <w:rPr>
          <w:rFonts w:ascii="Arial" w:hAnsi="Arial" w:cs="Arial"/>
          <w:sz w:val="24"/>
          <w:szCs w:val="24"/>
        </w:rPr>
        <w:t xml:space="preserve">had been repaired. </w:t>
      </w:r>
      <w:r w:rsidR="000C26E2">
        <w:rPr>
          <w:rFonts w:ascii="Arial" w:hAnsi="Arial" w:cs="Arial"/>
          <w:sz w:val="24"/>
          <w:szCs w:val="24"/>
        </w:rPr>
        <w:t>The respondent also denied that the applicant’s vehicle was driven by her daughter, but asserted that it was driven by her son</w:t>
      </w:r>
      <w:r w:rsidR="002939C4">
        <w:rPr>
          <w:rFonts w:ascii="Arial" w:hAnsi="Arial" w:cs="Arial"/>
          <w:sz w:val="24"/>
          <w:szCs w:val="24"/>
        </w:rPr>
        <w:t>,</w:t>
      </w:r>
      <w:r w:rsidR="000C26E2">
        <w:rPr>
          <w:rFonts w:ascii="Arial" w:hAnsi="Arial" w:cs="Arial"/>
          <w:sz w:val="24"/>
          <w:szCs w:val="24"/>
        </w:rPr>
        <w:t xml:space="preserve"> without a valid driver’s licence and whilst being under the influence </w:t>
      </w:r>
      <w:r w:rsidR="001D677E">
        <w:rPr>
          <w:rFonts w:ascii="Arial" w:hAnsi="Arial" w:cs="Arial"/>
          <w:sz w:val="24"/>
          <w:szCs w:val="24"/>
        </w:rPr>
        <w:t xml:space="preserve">of intoxication </w:t>
      </w:r>
      <w:r w:rsidR="000C26E2">
        <w:rPr>
          <w:rFonts w:ascii="Arial" w:hAnsi="Arial" w:cs="Arial"/>
          <w:sz w:val="24"/>
          <w:szCs w:val="24"/>
        </w:rPr>
        <w:t>li</w:t>
      </w:r>
      <w:r w:rsidR="001D677E">
        <w:rPr>
          <w:rFonts w:ascii="Arial" w:hAnsi="Arial" w:cs="Arial"/>
          <w:sz w:val="24"/>
          <w:szCs w:val="24"/>
        </w:rPr>
        <w:t>quor</w:t>
      </w:r>
      <w:r w:rsidR="000C26E2">
        <w:rPr>
          <w:rFonts w:ascii="Arial" w:hAnsi="Arial" w:cs="Arial"/>
          <w:sz w:val="24"/>
          <w:szCs w:val="24"/>
        </w:rPr>
        <w:t>.</w:t>
      </w:r>
      <w:r w:rsidR="00193D40" w:rsidRPr="00193D40">
        <w:rPr>
          <w:rFonts w:ascii="Arial" w:hAnsi="Arial" w:cs="Arial"/>
          <w:sz w:val="24"/>
          <w:szCs w:val="24"/>
        </w:rPr>
        <w:t xml:space="preserve"> </w:t>
      </w:r>
    </w:p>
    <w:p w:rsidR="00ED2185" w:rsidRDefault="00ED2185" w:rsidP="00ED2185">
      <w:pPr>
        <w:spacing w:after="0" w:line="360" w:lineRule="auto"/>
        <w:jc w:val="both"/>
        <w:rPr>
          <w:rFonts w:ascii="Arial" w:hAnsi="Arial" w:cs="Arial"/>
          <w:sz w:val="24"/>
          <w:szCs w:val="24"/>
        </w:rPr>
      </w:pPr>
    </w:p>
    <w:p w:rsidR="00AB5475" w:rsidRDefault="00A47E2E" w:rsidP="00ED218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93D40">
        <w:rPr>
          <w:rFonts w:ascii="Arial" w:hAnsi="Arial" w:cs="Arial"/>
          <w:sz w:val="24"/>
          <w:szCs w:val="24"/>
        </w:rPr>
        <w:t xml:space="preserve">The respondent’s version can be summarized as follows. On the day of the collision the applicant’s vehicle was driven by her son, without a valid driver’s licence, and whilst being under the influence of liquor. The accident was caused solely by his reckless and negligent driving. The applicant arrived on the scene and authorized her daughter to agree to an arrangement in terms of </w:t>
      </w:r>
      <w:r w:rsidR="006B257A">
        <w:rPr>
          <w:rFonts w:ascii="Arial" w:hAnsi="Arial" w:cs="Arial"/>
          <w:sz w:val="24"/>
          <w:szCs w:val="24"/>
        </w:rPr>
        <w:t>which he would retain and use the vehicle</w:t>
      </w:r>
      <w:r w:rsidR="00193D40">
        <w:rPr>
          <w:rFonts w:ascii="Arial" w:hAnsi="Arial" w:cs="Arial"/>
          <w:sz w:val="24"/>
          <w:szCs w:val="24"/>
        </w:rPr>
        <w:t xml:space="preserve"> until such time that his own vehicle had been repaired to its pre-accident state.</w:t>
      </w:r>
    </w:p>
    <w:p w:rsidR="00ED2185" w:rsidRDefault="00ED2185" w:rsidP="00ED2185">
      <w:pPr>
        <w:spacing w:after="0" w:line="360" w:lineRule="auto"/>
        <w:jc w:val="both"/>
        <w:rPr>
          <w:rFonts w:ascii="Arial" w:hAnsi="Arial" w:cs="Arial"/>
          <w:sz w:val="24"/>
          <w:szCs w:val="24"/>
        </w:rPr>
      </w:pPr>
    </w:p>
    <w:p w:rsidR="00301A30" w:rsidRDefault="00A47E2E" w:rsidP="00ED218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D165D">
        <w:rPr>
          <w:rFonts w:ascii="Arial" w:hAnsi="Arial" w:cs="Arial"/>
          <w:sz w:val="24"/>
          <w:szCs w:val="24"/>
        </w:rPr>
        <w:t xml:space="preserve">Despite having been alerted to the fact that the version </w:t>
      </w:r>
      <w:r w:rsidR="00420C8B">
        <w:rPr>
          <w:rFonts w:ascii="Arial" w:hAnsi="Arial" w:cs="Arial"/>
          <w:sz w:val="24"/>
          <w:szCs w:val="24"/>
        </w:rPr>
        <w:t>proffered</w:t>
      </w:r>
      <w:r w:rsidR="005D165D">
        <w:rPr>
          <w:rFonts w:ascii="Arial" w:hAnsi="Arial" w:cs="Arial"/>
          <w:sz w:val="24"/>
          <w:szCs w:val="24"/>
        </w:rPr>
        <w:t xml:space="preserve"> by the respondent raises genuine and fundamental factual disputes, the applicant nevertheless chose to institute application proceedings. </w:t>
      </w:r>
      <w:r w:rsidR="00EE53D4">
        <w:rPr>
          <w:rFonts w:ascii="Arial" w:hAnsi="Arial" w:cs="Arial"/>
          <w:sz w:val="24"/>
          <w:szCs w:val="24"/>
        </w:rPr>
        <w:t>She also</w:t>
      </w:r>
      <w:r w:rsidR="00E4753E">
        <w:rPr>
          <w:rFonts w:ascii="Arial" w:hAnsi="Arial" w:cs="Arial"/>
          <w:sz w:val="24"/>
          <w:szCs w:val="24"/>
        </w:rPr>
        <w:t xml:space="preserve"> did not apply for the matter to be referred</w:t>
      </w:r>
      <w:r w:rsidR="00C721FA">
        <w:rPr>
          <w:rFonts w:ascii="Arial" w:hAnsi="Arial" w:cs="Arial"/>
        </w:rPr>
        <w:t xml:space="preserve"> </w:t>
      </w:r>
      <w:r w:rsidR="00E4753E">
        <w:rPr>
          <w:rFonts w:ascii="Arial" w:hAnsi="Arial" w:cs="Arial"/>
          <w:sz w:val="24"/>
          <w:szCs w:val="24"/>
        </w:rPr>
        <w:t xml:space="preserve">for oral evidence. </w:t>
      </w:r>
      <w:r w:rsidR="005D165D">
        <w:rPr>
          <w:rFonts w:ascii="Arial" w:hAnsi="Arial" w:cs="Arial"/>
          <w:sz w:val="24"/>
          <w:szCs w:val="24"/>
        </w:rPr>
        <w:t xml:space="preserve">The approach to be adopted by the court in such an eventuality </w:t>
      </w:r>
      <w:r w:rsidR="00C44A2A">
        <w:rPr>
          <w:rFonts w:ascii="Arial" w:hAnsi="Arial" w:cs="Arial"/>
          <w:sz w:val="24"/>
          <w:szCs w:val="24"/>
        </w:rPr>
        <w:t xml:space="preserve">is trite. The matter must be decided on the respondent’s version </w:t>
      </w:r>
      <w:r w:rsidR="00C44A2A">
        <w:rPr>
          <w:rFonts w:ascii="Arial" w:hAnsi="Arial" w:cs="Arial"/>
          <w:sz w:val="24"/>
          <w:szCs w:val="24"/>
        </w:rPr>
        <w:lastRenderedPageBreak/>
        <w:t>unless it is so farfetched or uncreditworthy that it can be rejected out of hand.</w:t>
      </w:r>
      <w:r w:rsidR="00301A30" w:rsidRPr="00301A30">
        <w:rPr>
          <w:color w:val="000000"/>
          <w:sz w:val="24"/>
        </w:rPr>
        <w:t xml:space="preserve"> </w:t>
      </w:r>
      <w:r w:rsidR="00376F96">
        <w:rPr>
          <w:color w:val="000000"/>
          <w:sz w:val="24"/>
        </w:rPr>
        <w:t>(</w:t>
      </w:r>
      <w:r w:rsidR="00301A30" w:rsidRPr="00376F96">
        <w:rPr>
          <w:rFonts w:ascii="Arial" w:hAnsi="Arial" w:cs="Arial"/>
          <w:i/>
          <w:sz w:val="24"/>
          <w:szCs w:val="24"/>
        </w:rPr>
        <w:t>Plascon-Evans Paints (TVL) Ltd. v Van Riebeck Paints (Pty) Ltd.</w:t>
      </w:r>
      <w:r w:rsidR="00301A30" w:rsidRPr="00376F96">
        <w:rPr>
          <w:rFonts w:ascii="Arial" w:hAnsi="Arial" w:cs="Arial"/>
          <w:sz w:val="24"/>
          <w:szCs w:val="24"/>
        </w:rPr>
        <w:t xml:space="preserve"> [1984] 2</w:t>
      </w:r>
      <w:r w:rsidR="00376F96" w:rsidRPr="00376F96">
        <w:rPr>
          <w:rFonts w:ascii="Arial" w:hAnsi="Arial" w:cs="Arial"/>
          <w:sz w:val="24"/>
          <w:szCs w:val="24"/>
        </w:rPr>
        <w:t xml:space="preserve"> All SA 366 (A))</w:t>
      </w:r>
    </w:p>
    <w:p w:rsidR="00ED2185" w:rsidRPr="00376F96" w:rsidRDefault="00ED2185" w:rsidP="00ED2185">
      <w:pPr>
        <w:spacing w:after="0" w:line="360" w:lineRule="auto"/>
        <w:jc w:val="both"/>
        <w:rPr>
          <w:color w:val="000000"/>
          <w:sz w:val="24"/>
          <w:szCs w:val="24"/>
        </w:rPr>
      </w:pPr>
    </w:p>
    <w:p w:rsidR="00C53E2B" w:rsidRDefault="00A47E2E" w:rsidP="00ED2185">
      <w:pPr>
        <w:spacing w:after="0"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00301A30" w:rsidRPr="00301A30">
        <w:rPr>
          <w:rFonts w:ascii="Arial" w:hAnsi="Arial" w:cs="Arial"/>
          <w:color w:val="000000"/>
          <w:sz w:val="24"/>
          <w:szCs w:val="24"/>
        </w:rPr>
        <w:t xml:space="preserve">In </w:t>
      </w:r>
      <w:r w:rsidR="00301A30" w:rsidRPr="00301A30">
        <w:rPr>
          <w:rFonts w:ascii="Arial" w:hAnsi="Arial" w:cs="Arial"/>
          <w:i/>
          <w:sz w:val="24"/>
          <w:szCs w:val="24"/>
        </w:rPr>
        <w:t xml:space="preserve">National Director of Public of Prosecutions v Zuma </w:t>
      </w:r>
      <w:r w:rsidR="00301A30" w:rsidRPr="00301A30">
        <w:rPr>
          <w:rFonts w:ascii="Arial" w:hAnsi="Arial" w:cs="Arial"/>
          <w:sz w:val="24"/>
          <w:szCs w:val="24"/>
        </w:rPr>
        <w:t>2009 (2) SA 277 (SCA)</w:t>
      </w:r>
      <w:r w:rsidR="00376F96">
        <w:rPr>
          <w:rFonts w:ascii="Arial" w:hAnsi="Arial" w:cs="Arial"/>
          <w:sz w:val="24"/>
          <w:szCs w:val="24"/>
        </w:rPr>
        <w:t>,</w:t>
      </w:r>
      <w:r w:rsidR="00E54A3E">
        <w:rPr>
          <w:rFonts w:ascii="Arial" w:hAnsi="Arial" w:cs="Arial"/>
          <w:sz w:val="24"/>
          <w:szCs w:val="24"/>
        </w:rPr>
        <w:t xml:space="preserve"> at para 26,</w:t>
      </w:r>
      <w:r w:rsidR="00301A30" w:rsidRPr="00301A30">
        <w:rPr>
          <w:rFonts w:ascii="Arial" w:hAnsi="Arial" w:cs="Arial"/>
          <w:sz w:val="24"/>
          <w:szCs w:val="24"/>
        </w:rPr>
        <w:t xml:space="preserve"> the Supreme</w:t>
      </w:r>
      <w:r w:rsidR="00301A30" w:rsidRPr="00301A30">
        <w:rPr>
          <w:rFonts w:ascii="Arial" w:hAnsi="Arial" w:cs="Arial"/>
          <w:color w:val="000000"/>
          <w:sz w:val="24"/>
          <w:szCs w:val="24"/>
        </w:rPr>
        <w:t xml:space="preserve"> </w:t>
      </w:r>
      <w:r w:rsidR="00C53E2B" w:rsidRPr="00301A30">
        <w:rPr>
          <w:rFonts w:ascii="Arial" w:hAnsi="Arial" w:cs="Arial"/>
          <w:color w:val="000000"/>
          <w:sz w:val="24"/>
          <w:szCs w:val="24"/>
        </w:rPr>
        <w:t xml:space="preserve">Court </w:t>
      </w:r>
      <w:r w:rsidR="00925B26">
        <w:rPr>
          <w:rFonts w:ascii="Arial" w:hAnsi="Arial" w:cs="Arial"/>
          <w:color w:val="000000"/>
          <w:sz w:val="24"/>
          <w:szCs w:val="24"/>
        </w:rPr>
        <w:t xml:space="preserve">of Appeal </w:t>
      </w:r>
      <w:r w:rsidR="00C53E2B" w:rsidRPr="00301A30">
        <w:rPr>
          <w:rFonts w:ascii="Arial" w:hAnsi="Arial" w:cs="Arial"/>
          <w:color w:val="000000"/>
          <w:sz w:val="24"/>
          <w:szCs w:val="24"/>
        </w:rPr>
        <w:t xml:space="preserve">clarified the </w:t>
      </w:r>
      <w:r w:rsidR="00C53E2B" w:rsidRPr="00301A30">
        <w:rPr>
          <w:rFonts w:ascii="Arial" w:hAnsi="Arial" w:cs="Arial"/>
          <w:i/>
          <w:iCs/>
          <w:color w:val="000000"/>
          <w:sz w:val="24"/>
          <w:szCs w:val="24"/>
        </w:rPr>
        <w:t>Plascon-Evans</w:t>
      </w:r>
      <w:r w:rsidR="00C53E2B" w:rsidRPr="00301A30">
        <w:rPr>
          <w:rFonts w:ascii="Arial" w:hAnsi="Arial" w:cs="Arial"/>
          <w:color w:val="000000"/>
          <w:sz w:val="24"/>
          <w:szCs w:val="24"/>
        </w:rPr>
        <w:t xml:space="preserve"> principle as follows: </w:t>
      </w:r>
    </w:p>
    <w:p w:rsidR="00ED2185" w:rsidRPr="00301A30" w:rsidRDefault="00ED2185" w:rsidP="00ED2185">
      <w:pPr>
        <w:spacing w:after="0" w:line="360" w:lineRule="auto"/>
        <w:jc w:val="both"/>
        <w:rPr>
          <w:rFonts w:ascii="Arial" w:hAnsi="Arial" w:cs="Arial"/>
          <w:color w:val="000000"/>
          <w:sz w:val="24"/>
          <w:szCs w:val="24"/>
        </w:rPr>
      </w:pPr>
    </w:p>
    <w:p w:rsidR="00C53E2B" w:rsidRDefault="00C53E2B" w:rsidP="00ED2185">
      <w:pPr>
        <w:spacing w:after="0" w:line="360" w:lineRule="auto"/>
        <w:ind w:left="720"/>
        <w:jc w:val="both"/>
        <w:rPr>
          <w:rFonts w:ascii="Arial" w:hAnsi="Arial" w:cs="Arial"/>
          <w:color w:val="000000"/>
          <w:lang w:val="en-US"/>
        </w:rPr>
      </w:pPr>
      <w:r w:rsidRPr="00301A30">
        <w:rPr>
          <w:rFonts w:ascii="Arial" w:hAnsi="Arial" w:cs="Arial"/>
          <w:color w:val="000000"/>
        </w:rPr>
        <w:t xml:space="preserve">‘Motion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r w:rsidRPr="00301A30">
        <w:rPr>
          <w:rFonts w:ascii="Arial" w:hAnsi="Arial" w:cs="Arial"/>
          <w:i/>
          <w:iCs/>
          <w:color w:val="000000"/>
        </w:rPr>
        <w:t>Plascon-Evans</w:t>
      </w:r>
      <w:r w:rsidRPr="00301A30">
        <w:rPr>
          <w:rFonts w:ascii="Arial" w:hAnsi="Arial" w:cs="Arial"/>
          <w:color w:val="000000"/>
        </w:rPr>
        <w:t xml:space="preserve">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w:t>
      </w:r>
      <w:r w:rsidRPr="00301A30">
        <w:rPr>
          <w:rFonts w:ascii="Arial" w:hAnsi="Arial" w:cs="Arial"/>
          <w:color w:val="000000"/>
          <w:lang w:val="en-US"/>
        </w:rPr>
        <w:t>consists of bald or uncreditworthy denials, raises fictitious disputes of fact, is palpably implausible, far-fetched or so clearly untenable that the court is justified in rejecting them merely on the papers. The court below did not have regard to these propositions and instead decided the case on probabilities without</w:t>
      </w:r>
      <w:r w:rsidR="00301A30" w:rsidRPr="00301A30">
        <w:rPr>
          <w:rFonts w:ascii="Arial" w:hAnsi="Arial" w:cs="Arial"/>
          <w:color w:val="000000"/>
          <w:lang w:val="en-US"/>
        </w:rPr>
        <w:t xml:space="preserve"> rejecting the NDPP’s version.’</w:t>
      </w:r>
    </w:p>
    <w:p w:rsidR="00ED2185" w:rsidRDefault="00ED2185" w:rsidP="00ED2185">
      <w:pPr>
        <w:spacing w:after="0" w:line="360" w:lineRule="auto"/>
        <w:ind w:left="720"/>
        <w:jc w:val="both"/>
        <w:rPr>
          <w:rFonts w:ascii="Arial" w:hAnsi="Arial" w:cs="Arial"/>
          <w:color w:val="000000"/>
          <w:lang w:val="en-US"/>
        </w:rPr>
      </w:pPr>
    </w:p>
    <w:p w:rsidR="00B81A2F" w:rsidRDefault="00A47E2E" w:rsidP="00ED2185">
      <w:pPr>
        <w:spacing w:after="0" w:line="360" w:lineRule="auto"/>
        <w:jc w:val="both"/>
        <w:rPr>
          <w:rFonts w:ascii="Arial" w:hAnsi="Arial" w:cs="Arial"/>
          <w:color w:val="000000"/>
          <w:sz w:val="24"/>
          <w:szCs w:val="24"/>
        </w:rPr>
      </w:pPr>
      <w:r>
        <w:rPr>
          <w:rFonts w:ascii="Arial" w:hAnsi="Arial" w:cs="Arial"/>
          <w:color w:val="000000"/>
          <w:sz w:val="24"/>
          <w:szCs w:val="24"/>
          <w:lang w:val="en-US"/>
        </w:rPr>
        <w:t>[7]</w:t>
      </w:r>
      <w:r>
        <w:rPr>
          <w:rFonts w:ascii="Arial" w:hAnsi="Arial" w:cs="Arial"/>
          <w:color w:val="000000"/>
          <w:sz w:val="24"/>
          <w:szCs w:val="24"/>
          <w:lang w:val="en-US"/>
        </w:rPr>
        <w:tab/>
      </w:r>
      <w:r w:rsidR="006544BA">
        <w:rPr>
          <w:rFonts w:ascii="Arial" w:hAnsi="Arial" w:cs="Arial"/>
          <w:color w:val="000000"/>
          <w:sz w:val="24"/>
          <w:szCs w:val="24"/>
          <w:lang w:val="en-US"/>
        </w:rPr>
        <w:t>And i</w:t>
      </w:r>
      <w:r w:rsidR="00B81A2F" w:rsidRPr="00C721FA">
        <w:rPr>
          <w:rFonts w:ascii="Arial" w:hAnsi="Arial" w:cs="Arial"/>
          <w:color w:val="000000"/>
          <w:sz w:val="24"/>
          <w:szCs w:val="24"/>
          <w:lang w:val="en-US"/>
        </w:rPr>
        <w:t xml:space="preserve">n </w:t>
      </w:r>
      <w:r w:rsidR="00B81A2F" w:rsidRPr="00C721FA">
        <w:rPr>
          <w:rFonts w:ascii="Arial" w:hAnsi="Arial" w:cs="Arial"/>
          <w:i/>
          <w:iCs/>
          <w:color w:val="000000"/>
          <w:sz w:val="24"/>
          <w:szCs w:val="24"/>
        </w:rPr>
        <w:t>Wightman t/a J W Construction v Headfour (Pty) Ltd and Another</w:t>
      </w:r>
      <w:r w:rsidR="00B81A2F" w:rsidRPr="00C721FA">
        <w:rPr>
          <w:rFonts w:ascii="Arial" w:hAnsi="Arial" w:cs="Arial"/>
          <w:color w:val="000000"/>
          <w:sz w:val="24"/>
          <w:szCs w:val="24"/>
        </w:rPr>
        <w:t xml:space="preserve"> </w:t>
      </w:r>
      <w:r w:rsidR="00B81A2F" w:rsidRPr="00C721FA">
        <w:rPr>
          <w:rFonts w:ascii="Arial" w:hAnsi="Arial" w:cs="Arial"/>
          <w:sz w:val="24"/>
          <w:szCs w:val="24"/>
        </w:rPr>
        <w:t>2008 (3) SA 371 (SCA)</w:t>
      </w:r>
      <w:r w:rsidR="000920F2">
        <w:rPr>
          <w:rFonts w:ascii="Arial" w:hAnsi="Arial" w:cs="Arial"/>
          <w:sz w:val="24"/>
          <w:szCs w:val="24"/>
        </w:rPr>
        <w:t>, at</w:t>
      </w:r>
      <w:r w:rsidR="00B81A2F">
        <w:rPr>
          <w:rFonts w:ascii="Arial" w:hAnsi="Arial" w:cs="Arial"/>
          <w:sz w:val="24"/>
          <w:szCs w:val="24"/>
        </w:rPr>
        <w:t xml:space="preserve"> para 13</w:t>
      </w:r>
      <w:r w:rsidR="000920F2">
        <w:rPr>
          <w:rFonts w:ascii="Arial" w:hAnsi="Arial" w:cs="Arial"/>
          <w:sz w:val="24"/>
          <w:szCs w:val="24"/>
        </w:rPr>
        <w:t>,</w:t>
      </w:r>
      <w:r w:rsidR="00B81A2F">
        <w:rPr>
          <w:rFonts w:ascii="Arial" w:hAnsi="Arial" w:cs="Arial"/>
          <w:sz w:val="24"/>
          <w:szCs w:val="24"/>
        </w:rPr>
        <w:t xml:space="preserve"> the</w:t>
      </w:r>
      <w:r w:rsidR="000920F2">
        <w:rPr>
          <w:rFonts w:ascii="Arial" w:hAnsi="Arial" w:cs="Arial"/>
          <w:sz w:val="24"/>
          <w:szCs w:val="24"/>
        </w:rPr>
        <w:t xml:space="preserve"> Supreme Court of A</w:t>
      </w:r>
      <w:r w:rsidR="00B81A2F">
        <w:rPr>
          <w:rFonts w:ascii="Arial" w:hAnsi="Arial" w:cs="Arial"/>
          <w:sz w:val="24"/>
          <w:szCs w:val="24"/>
        </w:rPr>
        <w:t xml:space="preserve">ppeal </w:t>
      </w:r>
      <w:r w:rsidR="00BB7FBE">
        <w:rPr>
          <w:rFonts w:ascii="Arial" w:hAnsi="Arial" w:cs="Arial"/>
          <w:color w:val="000000"/>
          <w:sz w:val="24"/>
          <w:szCs w:val="24"/>
        </w:rPr>
        <w:t>explained</w:t>
      </w:r>
      <w:r w:rsidR="00320F28">
        <w:rPr>
          <w:rFonts w:ascii="Arial" w:hAnsi="Arial" w:cs="Arial"/>
          <w:color w:val="000000"/>
          <w:sz w:val="24"/>
          <w:szCs w:val="24"/>
        </w:rPr>
        <w:t xml:space="preserve"> that</w:t>
      </w:r>
      <w:r w:rsidR="00B81A2F" w:rsidRPr="00C721FA">
        <w:rPr>
          <w:rFonts w:ascii="Arial" w:hAnsi="Arial" w:cs="Arial"/>
          <w:color w:val="000000"/>
          <w:sz w:val="24"/>
          <w:szCs w:val="24"/>
        </w:rPr>
        <w:t>:</w:t>
      </w:r>
    </w:p>
    <w:p w:rsidR="00ED2185" w:rsidRPr="00C721FA" w:rsidRDefault="00ED2185" w:rsidP="00ED2185">
      <w:pPr>
        <w:spacing w:after="0" w:line="360" w:lineRule="auto"/>
        <w:jc w:val="both"/>
        <w:rPr>
          <w:rFonts w:ascii="Arial" w:hAnsi="Arial" w:cs="Arial"/>
          <w:color w:val="000000"/>
          <w:sz w:val="24"/>
          <w:szCs w:val="24"/>
        </w:rPr>
      </w:pPr>
    </w:p>
    <w:p w:rsidR="00B81A2F" w:rsidRDefault="00B81A2F" w:rsidP="00ED2185">
      <w:pPr>
        <w:spacing w:after="0" w:line="360" w:lineRule="auto"/>
        <w:ind w:left="720"/>
        <w:jc w:val="both"/>
        <w:rPr>
          <w:rFonts w:ascii="Arial" w:hAnsi="Arial" w:cs="Arial"/>
          <w:color w:val="000000"/>
        </w:rPr>
      </w:pPr>
      <w:r w:rsidRPr="006062BB">
        <w:rPr>
          <w:rFonts w:ascii="Arial" w:hAnsi="Arial" w:cs="Arial"/>
          <w:color w:val="000000"/>
        </w:rPr>
        <w:t>‘A real, genuine and </w:t>
      </w:r>
      <w:r w:rsidRPr="006062BB">
        <w:rPr>
          <w:rFonts w:ascii="Arial" w:hAnsi="Arial" w:cs="Arial"/>
          <w:i/>
          <w:iCs/>
          <w:color w:val="000000"/>
        </w:rPr>
        <w:t>bona fide</w:t>
      </w:r>
      <w:r w:rsidRPr="006062BB">
        <w:rPr>
          <w:rFonts w:ascii="Arial" w:hAnsi="Arial" w:cs="Arial"/>
          <w:color w:val="000000"/>
        </w:rPr>
        <w:t xml:space="preserv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w:t>
      </w:r>
    </w:p>
    <w:p w:rsidR="00ED2185" w:rsidRPr="006062BB" w:rsidRDefault="00ED2185" w:rsidP="00ED2185">
      <w:pPr>
        <w:spacing w:after="0" w:line="360" w:lineRule="auto"/>
        <w:ind w:left="720"/>
        <w:jc w:val="both"/>
        <w:rPr>
          <w:rFonts w:ascii="Arial" w:hAnsi="Arial" w:cs="Arial"/>
          <w:color w:val="000000"/>
        </w:rPr>
      </w:pPr>
    </w:p>
    <w:p w:rsidR="00C721FA" w:rsidRDefault="00A47E2E" w:rsidP="00ED2185">
      <w:pPr>
        <w:spacing w:after="0" w:line="360" w:lineRule="auto"/>
        <w:jc w:val="both"/>
        <w:rPr>
          <w:rFonts w:ascii="Arial" w:hAnsi="Arial" w:cs="Arial"/>
          <w:color w:val="000000"/>
          <w:sz w:val="24"/>
          <w:szCs w:val="24"/>
        </w:rPr>
      </w:pPr>
      <w:r>
        <w:rPr>
          <w:rFonts w:ascii="Arial" w:hAnsi="Arial" w:cs="Arial"/>
          <w:sz w:val="24"/>
          <w:szCs w:val="24"/>
        </w:rPr>
        <w:t>[8]</w:t>
      </w:r>
      <w:r>
        <w:rPr>
          <w:rFonts w:ascii="Arial" w:hAnsi="Arial" w:cs="Arial"/>
          <w:sz w:val="24"/>
          <w:szCs w:val="24"/>
        </w:rPr>
        <w:tab/>
      </w:r>
      <w:r w:rsidR="00232AA8">
        <w:rPr>
          <w:rFonts w:ascii="Arial" w:hAnsi="Arial" w:cs="Arial"/>
          <w:sz w:val="24"/>
          <w:szCs w:val="24"/>
        </w:rPr>
        <w:t>As mentioned earlier, the respondent’s</w:t>
      </w:r>
      <w:r w:rsidR="00704DCC">
        <w:rPr>
          <w:rFonts w:ascii="Arial" w:hAnsi="Arial" w:cs="Arial"/>
          <w:sz w:val="24"/>
          <w:szCs w:val="24"/>
        </w:rPr>
        <w:t xml:space="preserve"> version raises material and bona fide factual disputes which, if decided on the papers, must </w:t>
      </w:r>
      <w:r w:rsidR="00DC043D">
        <w:rPr>
          <w:rFonts w:ascii="Arial" w:hAnsi="Arial" w:cs="Arial"/>
          <w:sz w:val="24"/>
          <w:szCs w:val="24"/>
        </w:rPr>
        <w:t xml:space="preserve">in terms of the abovementioned legal principles, </w:t>
      </w:r>
      <w:r w:rsidR="00704DCC">
        <w:rPr>
          <w:rFonts w:ascii="Arial" w:hAnsi="Arial" w:cs="Arial"/>
          <w:sz w:val="24"/>
          <w:szCs w:val="24"/>
        </w:rPr>
        <w:t>be res</w:t>
      </w:r>
      <w:r w:rsidR="00DC043D">
        <w:rPr>
          <w:rFonts w:ascii="Arial" w:hAnsi="Arial" w:cs="Arial"/>
          <w:sz w:val="24"/>
          <w:szCs w:val="24"/>
        </w:rPr>
        <w:t xml:space="preserve">olved </w:t>
      </w:r>
      <w:r w:rsidR="00B922EE">
        <w:rPr>
          <w:rFonts w:ascii="Arial" w:hAnsi="Arial" w:cs="Arial"/>
          <w:sz w:val="24"/>
          <w:szCs w:val="24"/>
        </w:rPr>
        <w:t xml:space="preserve">on </w:t>
      </w:r>
      <w:r w:rsidR="00DC043D">
        <w:rPr>
          <w:rFonts w:ascii="Arial" w:hAnsi="Arial" w:cs="Arial"/>
          <w:sz w:val="24"/>
          <w:szCs w:val="24"/>
        </w:rPr>
        <w:t>hi</w:t>
      </w:r>
      <w:r w:rsidR="00704DCC">
        <w:rPr>
          <w:rFonts w:ascii="Arial" w:hAnsi="Arial" w:cs="Arial"/>
          <w:sz w:val="24"/>
          <w:szCs w:val="24"/>
        </w:rPr>
        <w:t>s version.</w:t>
      </w:r>
      <w:r w:rsidR="00636036">
        <w:rPr>
          <w:rFonts w:ascii="Arial" w:hAnsi="Arial" w:cs="Arial"/>
          <w:sz w:val="24"/>
          <w:szCs w:val="24"/>
        </w:rPr>
        <w:t xml:space="preserve"> </w:t>
      </w:r>
      <w:r w:rsidR="007A5909">
        <w:rPr>
          <w:rFonts w:ascii="Arial" w:hAnsi="Arial" w:cs="Arial"/>
          <w:sz w:val="24"/>
          <w:szCs w:val="24"/>
        </w:rPr>
        <w:t>That</w:t>
      </w:r>
      <w:r w:rsidR="006908DC">
        <w:rPr>
          <w:rFonts w:ascii="Arial" w:hAnsi="Arial" w:cs="Arial"/>
          <w:sz w:val="24"/>
          <w:szCs w:val="24"/>
        </w:rPr>
        <w:t xml:space="preserve"> version is not </w:t>
      </w:r>
      <w:r w:rsidR="0058389E">
        <w:rPr>
          <w:rFonts w:ascii="Arial" w:hAnsi="Arial" w:cs="Arial"/>
          <w:sz w:val="24"/>
          <w:szCs w:val="24"/>
        </w:rPr>
        <w:t xml:space="preserve">so </w:t>
      </w:r>
      <w:r w:rsidR="006908DC">
        <w:rPr>
          <w:rFonts w:ascii="Arial" w:hAnsi="Arial" w:cs="Arial"/>
          <w:sz w:val="24"/>
          <w:szCs w:val="24"/>
        </w:rPr>
        <w:t>i</w:t>
      </w:r>
      <w:r w:rsidR="0058389E">
        <w:rPr>
          <w:rFonts w:ascii="Arial" w:hAnsi="Arial" w:cs="Arial"/>
          <w:sz w:val="24"/>
          <w:szCs w:val="24"/>
        </w:rPr>
        <w:t xml:space="preserve">mprobable, uncreditworthy or </w:t>
      </w:r>
      <w:r w:rsidR="006908DC">
        <w:rPr>
          <w:rFonts w:ascii="Arial" w:hAnsi="Arial" w:cs="Arial"/>
          <w:sz w:val="24"/>
          <w:szCs w:val="24"/>
        </w:rPr>
        <w:t>farfetched that it can be</w:t>
      </w:r>
      <w:r w:rsidR="007705DF">
        <w:rPr>
          <w:rFonts w:ascii="Arial" w:hAnsi="Arial" w:cs="Arial"/>
          <w:sz w:val="24"/>
          <w:szCs w:val="24"/>
        </w:rPr>
        <w:t xml:space="preserve"> dismissed on the papers</w:t>
      </w:r>
      <w:r w:rsidR="00C721FA">
        <w:rPr>
          <w:rFonts w:ascii="Arial" w:hAnsi="Arial" w:cs="Arial"/>
          <w:sz w:val="24"/>
          <w:szCs w:val="24"/>
        </w:rPr>
        <w:t>.</w:t>
      </w:r>
      <w:r w:rsidR="00191301">
        <w:rPr>
          <w:rFonts w:ascii="Arial" w:hAnsi="Arial" w:cs="Arial"/>
          <w:sz w:val="24"/>
          <w:szCs w:val="24"/>
        </w:rPr>
        <w:t xml:space="preserve"> It</w:t>
      </w:r>
      <w:r w:rsidR="004B32D0">
        <w:rPr>
          <w:rFonts w:ascii="Arial" w:hAnsi="Arial" w:cs="Arial"/>
          <w:color w:val="000000"/>
          <w:sz w:val="24"/>
          <w:szCs w:val="24"/>
        </w:rPr>
        <w:t xml:space="preserve"> c</w:t>
      </w:r>
      <w:r w:rsidR="004B32D0" w:rsidRPr="004B32D0">
        <w:rPr>
          <w:rFonts w:ascii="Arial" w:hAnsi="Arial" w:cs="Arial"/>
          <w:color w:val="000000"/>
          <w:sz w:val="24"/>
          <w:szCs w:val="24"/>
        </w:rPr>
        <w:t>an</w:t>
      </w:r>
      <w:r w:rsidR="00287196">
        <w:rPr>
          <w:rFonts w:ascii="Arial" w:hAnsi="Arial" w:cs="Arial"/>
          <w:color w:val="000000"/>
          <w:sz w:val="24"/>
          <w:szCs w:val="24"/>
        </w:rPr>
        <w:t xml:space="preserve"> also </w:t>
      </w:r>
      <w:r w:rsidR="004B32D0" w:rsidRPr="004B32D0">
        <w:rPr>
          <w:rFonts w:ascii="Arial" w:hAnsi="Arial" w:cs="Arial"/>
          <w:color w:val="000000"/>
          <w:sz w:val="24"/>
          <w:szCs w:val="24"/>
        </w:rPr>
        <w:t>by no stretch of the im</w:t>
      </w:r>
      <w:r w:rsidR="00191301">
        <w:rPr>
          <w:rFonts w:ascii="Arial" w:hAnsi="Arial" w:cs="Arial"/>
          <w:color w:val="000000"/>
          <w:sz w:val="24"/>
          <w:szCs w:val="24"/>
        </w:rPr>
        <w:t>agination be described as a bald denial. The respondent</w:t>
      </w:r>
      <w:r w:rsidR="004B32D0" w:rsidRPr="004B32D0">
        <w:rPr>
          <w:rFonts w:ascii="Arial" w:hAnsi="Arial" w:cs="Arial"/>
          <w:color w:val="000000"/>
          <w:sz w:val="24"/>
          <w:szCs w:val="24"/>
        </w:rPr>
        <w:t xml:space="preserve"> has given a detailed explanation as to what had transpired at the scene of the accident and how it </w:t>
      </w:r>
      <w:r w:rsidR="004B32D0" w:rsidRPr="004B32D0">
        <w:rPr>
          <w:rFonts w:ascii="Arial" w:hAnsi="Arial" w:cs="Arial"/>
          <w:color w:val="000000"/>
          <w:sz w:val="24"/>
          <w:szCs w:val="24"/>
        </w:rPr>
        <w:lastRenderedPageBreak/>
        <w:t xml:space="preserve">came about that the applicant’s vehicle is in his possession. He has personal knowledge of those facts </w:t>
      </w:r>
      <w:r w:rsidR="00EB7E62">
        <w:rPr>
          <w:rFonts w:ascii="Arial" w:hAnsi="Arial" w:cs="Arial"/>
          <w:color w:val="000000"/>
          <w:sz w:val="24"/>
          <w:szCs w:val="24"/>
        </w:rPr>
        <w:t>and has</w:t>
      </w:r>
      <w:r w:rsidR="004B32D0">
        <w:rPr>
          <w:rFonts w:ascii="Arial" w:hAnsi="Arial" w:cs="Arial"/>
          <w:color w:val="000000"/>
          <w:sz w:val="24"/>
          <w:szCs w:val="24"/>
        </w:rPr>
        <w:t xml:space="preserve"> thus provided sufficient justification for the possession and use of the applicant’s vehicle</w:t>
      </w:r>
      <w:r w:rsidR="00C552A6">
        <w:rPr>
          <w:rFonts w:ascii="Arial" w:hAnsi="Arial" w:cs="Arial"/>
          <w:color w:val="000000"/>
          <w:sz w:val="24"/>
          <w:szCs w:val="24"/>
        </w:rPr>
        <w:t xml:space="preserve"> so as to raise </w:t>
      </w:r>
      <w:r w:rsidR="009134A7">
        <w:rPr>
          <w:rFonts w:ascii="Arial" w:hAnsi="Arial" w:cs="Arial"/>
          <w:color w:val="000000"/>
          <w:sz w:val="24"/>
          <w:szCs w:val="24"/>
        </w:rPr>
        <w:t xml:space="preserve">a </w:t>
      </w:r>
      <w:r w:rsidR="00C552A6">
        <w:rPr>
          <w:rFonts w:ascii="Arial" w:hAnsi="Arial" w:cs="Arial"/>
          <w:color w:val="000000"/>
          <w:sz w:val="24"/>
          <w:szCs w:val="24"/>
        </w:rPr>
        <w:t>genuine and bo</w:t>
      </w:r>
      <w:r w:rsidR="009134A7">
        <w:rPr>
          <w:rFonts w:ascii="Arial" w:hAnsi="Arial" w:cs="Arial"/>
          <w:color w:val="000000"/>
          <w:sz w:val="24"/>
          <w:szCs w:val="24"/>
        </w:rPr>
        <w:t>na fide factual dispute</w:t>
      </w:r>
      <w:r w:rsidR="004B32D0">
        <w:rPr>
          <w:rFonts w:ascii="Arial" w:hAnsi="Arial" w:cs="Arial"/>
          <w:color w:val="000000"/>
          <w:sz w:val="24"/>
          <w:szCs w:val="24"/>
        </w:rPr>
        <w:t>.</w:t>
      </w:r>
    </w:p>
    <w:p w:rsidR="00ED2185" w:rsidRPr="00191301" w:rsidRDefault="00ED2185" w:rsidP="00ED2185">
      <w:pPr>
        <w:spacing w:after="0" w:line="360" w:lineRule="auto"/>
        <w:jc w:val="both"/>
        <w:rPr>
          <w:rFonts w:ascii="Arial" w:hAnsi="Arial" w:cs="Arial"/>
          <w:sz w:val="24"/>
          <w:szCs w:val="24"/>
        </w:rPr>
      </w:pPr>
    </w:p>
    <w:p w:rsidR="00E322DD" w:rsidRDefault="00A47E2E" w:rsidP="00ED218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322DD">
        <w:rPr>
          <w:rFonts w:ascii="Arial" w:hAnsi="Arial" w:cs="Arial"/>
          <w:sz w:val="24"/>
          <w:szCs w:val="24"/>
        </w:rPr>
        <w:t xml:space="preserve">Mr Noah, who appeared for the applicant, submitted that the purported agreement is invalid, even on the respondent’s version. In this regard he submitted that the respondent relies on an agreement which was allegedly concluded between him and the applicant’s daughter. It is common cause that the applicant is the owner of the vehicle and her daughter therefore did not have the authority to conclude such an agreement on her behalf, or so the argument went. </w:t>
      </w:r>
    </w:p>
    <w:p w:rsidR="00E322DD" w:rsidRDefault="00E322DD" w:rsidP="00ED2185">
      <w:pPr>
        <w:spacing w:after="0" w:line="360" w:lineRule="auto"/>
        <w:jc w:val="both"/>
        <w:rPr>
          <w:rFonts w:ascii="Arial" w:hAnsi="Arial" w:cs="Arial"/>
          <w:sz w:val="24"/>
          <w:szCs w:val="24"/>
        </w:rPr>
      </w:pPr>
    </w:p>
    <w:p w:rsidR="00E322DD" w:rsidRDefault="00E322DD" w:rsidP="00ED2185">
      <w:pPr>
        <w:spacing w:after="0" w:line="360" w:lineRule="auto"/>
        <w:jc w:val="both"/>
        <w:rPr>
          <w:rFonts w:ascii="Arial" w:hAnsi="Arial" w:cs="Arial"/>
          <w:sz w:val="24"/>
          <w:szCs w:val="24"/>
        </w:rPr>
      </w:pPr>
      <w:r>
        <w:rPr>
          <w:rFonts w:ascii="Arial" w:hAnsi="Arial" w:cs="Arial"/>
          <w:sz w:val="24"/>
          <w:szCs w:val="24"/>
        </w:rPr>
        <w:t>[10]        To my mind this argument is unsustainable. As Mr Talapile, who appeared for the respondent, correctly submitted, the latter unambiguously stated that the applicant had authorized her daughter to conclude the agreement and th</w:t>
      </w:r>
      <w:r w:rsidR="00AA5C16">
        <w:rPr>
          <w:rFonts w:ascii="Arial" w:hAnsi="Arial" w:cs="Arial"/>
          <w:sz w:val="24"/>
          <w:szCs w:val="24"/>
        </w:rPr>
        <w:t>at she</w:t>
      </w:r>
      <w:r>
        <w:rPr>
          <w:rFonts w:ascii="Arial" w:hAnsi="Arial" w:cs="Arial"/>
          <w:sz w:val="24"/>
          <w:szCs w:val="24"/>
        </w:rPr>
        <w:t xml:space="preserve"> had freely and voluntarily handed the vehicle keys to him. </w:t>
      </w:r>
    </w:p>
    <w:p w:rsidR="00AA5C16" w:rsidRDefault="00AA5C16" w:rsidP="00ED2185">
      <w:pPr>
        <w:spacing w:after="0" w:line="360" w:lineRule="auto"/>
        <w:jc w:val="both"/>
        <w:rPr>
          <w:rFonts w:ascii="Arial" w:hAnsi="Arial" w:cs="Arial"/>
          <w:sz w:val="24"/>
          <w:szCs w:val="24"/>
        </w:rPr>
      </w:pPr>
    </w:p>
    <w:p w:rsidR="001448CA" w:rsidRDefault="00AA5C16" w:rsidP="00ED2185">
      <w:pPr>
        <w:spacing w:after="0" w:line="360" w:lineRule="auto"/>
        <w:jc w:val="both"/>
        <w:rPr>
          <w:rFonts w:ascii="Arial" w:hAnsi="Arial" w:cs="Arial"/>
          <w:sz w:val="24"/>
          <w:szCs w:val="24"/>
        </w:rPr>
      </w:pPr>
      <w:r>
        <w:rPr>
          <w:rFonts w:ascii="Arial" w:hAnsi="Arial" w:cs="Arial"/>
          <w:sz w:val="24"/>
          <w:szCs w:val="24"/>
        </w:rPr>
        <w:t xml:space="preserve">[11]         Mr </w:t>
      </w:r>
      <w:r w:rsidR="00F751FA">
        <w:rPr>
          <w:rFonts w:ascii="Arial" w:hAnsi="Arial" w:cs="Arial"/>
          <w:sz w:val="24"/>
          <w:szCs w:val="24"/>
        </w:rPr>
        <w:t>Noah has also belatedly applied for the matter to be referred for viva voce evidence.</w:t>
      </w:r>
      <w:r w:rsidR="0049486D">
        <w:rPr>
          <w:rFonts w:ascii="Arial" w:hAnsi="Arial" w:cs="Arial"/>
          <w:sz w:val="24"/>
          <w:szCs w:val="24"/>
        </w:rPr>
        <w:t xml:space="preserve"> However, no such application was made on the papers</w:t>
      </w:r>
      <w:r w:rsidR="001448CA">
        <w:rPr>
          <w:rFonts w:ascii="Arial" w:hAnsi="Arial" w:cs="Arial"/>
          <w:sz w:val="24"/>
          <w:szCs w:val="24"/>
        </w:rPr>
        <w:t>. In any event,</w:t>
      </w:r>
      <w:r w:rsidR="0049486D">
        <w:rPr>
          <w:rFonts w:ascii="Arial" w:hAnsi="Arial" w:cs="Arial"/>
          <w:sz w:val="24"/>
          <w:szCs w:val="24"/>
        </w:rPr>
        <w:t xml:space="preserve"> </w:t>
      </w:r>
      <w:r w:rsidR="001448CA">
        <w:rPr>
          <w:rFonts w:ascii="Arial" w:hAnsi="Arial" w:cs="Arial"/>
          <w:sz w:val="24"/>
          <w:szCs w:val="24"/>
        </w:rPr>
        <w:t>t</w:t>
      </w:r>
      <w:r w:rsidR="003274E5">
        <w:rPr>
          <w:rFonts w:ascii="Arial" w:hAnsi="Arial" w:cs="Arial"/>
          <w:sz w:val="24"/>
          <w:szCs w:val="24"/>
        </w:rPr>
        <w:t>he applicant had been</w:t>
      </w:r>
      <w:r w:rsidR="00B10464">
        <w:rPr>
          <w:rFonts w:ascii="Arial" w:hAnsi="Arial" w:cs="Arial"/>
          <w:sz w:val="24"/>
          <w:szCs w:val="24"/>
        </w:rPr>
        <w:t xml:space="preserve"> aware at the time of launching the application proceedings that the respondent’s version will raise disputes of fact</w:t>
      </w:r>
      <w:r w:rsidR="00AD3CBB">
        <w:rPr>
          <w:rFonts w:ascii="Arial" w:hAnsi="Arial" w:cs="Arial"/>
          <w:sz w:val="24"/>
          <w:szCs w:val="24"/>
        </w:rPr>
        <w:t xml:space="preserve"> that</w:t>
      </w:r>
      <w:r w:rsidR="00B10464">
        <w:rPr>
          <w:rFonts w:ascii="Arial" w:hAnsi="Arial" w:cs="Arial"/>
          <w:sz w:val="24"/>
          <w:szCs w:val="24"/>
        </w:rPr>
        <w:t xml:space="preserve"> might not be capable of resolution on the papers. </w:t>
      </w:r>
      <w:r w:rsidR="001448CA">
        <w:rPr>
          <w:rFonts w:ascii="Arial" w:hAnsi="Arial" w:cs="Arial"/>
          <w:sz w:val="24"/>
          <w:szCs w:val="24"/>
        </w:rPr>
        <w:t xml:space="preserve">The respondent’s version was clearly stated in the letter of 29 September 2022, to which I referred to above. </w:t>
      </w:r>
      <w:r w:rsidR="00AD3CBB">
        <w:rPr>
          <w:rFonts w:ascii="Arial" w:hAnsi="Arial" w:cs="Arial"/>
          <w:sz w:val="24"/>
          <w:szCs w:val="24"/>
        </w:rPr>
        <w:t>The applicant</w:t>
      </w:r>
      <w:r w:rsidR="00575CB4">
        <w:rPr>
          <w:rFonts w:ascii="Arial" w:hAnsi="Arial" w:cs="Arial"/>
          <w:sz w:val="24"/>
          <w:szCs w:val="24"/>
        </w:rPr>
        <w:t xml:space="preserve"> must therefo</w:t>
      </w:r>
      <w:r w:rsidR="001448CA">
        <w:rPr>
          <w:rFonts w:ascii="Arial" w:hAnsi="Arial" w:cs="Arial"/>
          <w:sz w:val="24"/>
          <w:szCs w:val="24"/>
        </w:rPr>
        <w:t>re bear the consequences of her</w:t>
      </w:r>
      <w:r w:rsidR="00575CB4">
        <w:rPr>
          <w:rFonts w:ascii="Arial" w:hAnsi="Arial" w:cs="Arial"/>
          <w:sz w:val="24"/>
          <w:szCs w:val="24"/>
        </w:rPr>
        <w:t xml:space="preserve"> decision</w:t>
      </w:r>
      <w:r w:rsidR="00301CD2">
        <w:rPr>
          <w:rFonts w:ascii="Arial" w:hAnsi="Arial" w:cs="Arial"/>
          <w:sz w:val="24"/>
          <w:szCs w:val="24"/>
        </w:rPr>
        <w:t xml:space="preserve"> </w:t>
      </w:r>
      <w:r w:rsidR="006E4BAE">
        <w:rPr>
          <w:rFonts w:ascii="Arial" w:hAnsi="Arial" w:cs="Arial"/>
          <w:sz w:val="24"/>
          <w:szCs w:val="24"/>
        </w:rPr>
        <w:t xml:space="preserve">to </w:t>
      </w:r>
      <w:r w:rsidR="001448CA">
        <w:rPr>
          <w:rFonts w:ascii="Arial" w:hAnsi="Arial" w:cs="Arial"/>
          <w:sz w:val="24"/>
          <w:szCs w:val="24"/>
        </w:rPr>
        <w:t xml:space="preserve">institute motion proceedings </w:t>
      </w:r>
      <w:r w:rsidR="006E4BAE">
        <w:rPr>
          <w:rFonts w:ascii="Arial" w:hAnsi="Arial" w:cs="Arial"/>
          <w:sz w:val="24"/>
          <w:szCs w:val="24"/>
        </w:rPr>
        <w:t xml:space="preserve">regardless. </w:t>
      </w:r>
    </w:p>
    <w:p w:rsidR="001448CA" w:rsidRDefault="001448CA" w:rsidP="00ED2185">
      <w:pPr>
        <w:spacing w:after="0" w:line="360" w:lineRule="auto"/>
        <w:jc w:val="both"/>
        <w:rPr>
          <w:rFonts w:ascii="Arial" w:hAnsi="Arial" w:cs="Arial"/>
          <w:sz w:val="24"/>
          <w:szCs w:val="24"/>
        </w:rPr>
      </w:pPr>
    </w:p>
    <w:p w:rsidR="00A71D11" w:rsidRDefault="001448CA" w:rsidP="00ED2185">
      <w:pPr>
        <w:spacing w:after="0" w:line="360" w:lineRule="auto"/>
        <w:jc w:val="both"/>
        <w:rPr>
          <w:rFonts w:ascii="Arial" w:hAnsi="Arial" w:cs="Arial"/>
          <w:sz w:val="24"/>
          <w:szCs w:val="24"/>
        </w:rPr>
      </w:pPr>
      <w:r>
        <w:rPr>
          <w:rFonts w:ascii="Arial" w:hAnsi="Arial" w:cs="Arial"/>
          <w:sz w:val="24"/>
          <w:szCs w:val="24"/>
        </w:rPr>
        <w:t>[12]          I am therefore of the view that t</w:t>
      </w:r>
      <w:r w:rsidR="00A71D11">
        <w:rPr>
          <w:rFonts w:ascii="Arial" w:hAnsi="Arial" w:cs="Arial"/>
          <w:sz w:val="24"/>
          <w:szCs w:val="24"/>
        </w:rPr>
        <w:t>he applicant has failed to make out a case for the relief sought in her notice of motion and the application falls to be dismissed with costs.</w:t>
      </w:r>
    </w:p>
    <w:p w:rsidR="00ED2185" w:rsidRDefault="00ED2185" w:rsidP="00ED2185">
      <w:pPr>
        <w:spacing w:after="0" w:line="360" w:lineRule="auto"/>
        <w:jc w:val="both"/>
        <w:rPr>
          <w:rFonts w:ascii="Arial" w:hAnsi="Arial" w:cs="Arial"/>
          <w:sz w:val="24"/>
          <w:szCs w:val="24"/>
        </w:rPr>
      </w:pPr>
    </w:p>
    <w:p w:rsidR="00A71D11" w:rsidRDefault="00A47E2E" w:rsidP="00ED218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71D11">
        <w:rPr>
          <w:rFonts w:ascii="Arial" w:hAnsi="Arial" w:cs="Arial"/>
          <w:sz w:val="24"/>
          <w:szCs w:val="24"/>
        </w:rPr>
        <w:t>In the result the following order issues:</w:t>
      </w:r>
    </w:p>
    <w:p w:rsidR="00ED2185" w:rsidRDefault="00ED2185" w:rsidP="00ED2185">
      <w:pPr>
        <w:spacing w:after="0" w:line="360" w:lineRule="auto"/>
        <w:jc w:val="both"/>
        <w:rPr>
          <w:rFonts w:ascii="Arial" w:hAnsi="Arial" w:cs="Arial"/>
          <w:sz w:val="24"/>
          <w:szCs w:val="24"/>
        </w:rPr>
      </w:pPr>
    </w:p>
    <w:p w:rsidR="00A71D11" w:rsidRDefault="00A47E2E" w:rsidP="00ED2185">
      <w:pPr>
        <w:spacing w:after="0" w:line="36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71D11">
        <w:rPr>
          <w:rFonts w:ascii="Arial" w:hAnsi="Arial" w:cs="Arial"/>
          <w:sz w:val="24"/>
          <w:szCs w:val="24"/>
        </w:rPr>
        <w:t>The application is dismissed with costs.</w:t>
      </w:r>
    </w:p>
    <w:p w:rsidR="00ED2185" w:rsidRDefault="00ED2185" w:rsidP="00ED2185">
      <w:pPr>
        <w:spacing w:after="0" w:line="360" w:lineRule="auto"/>
        <w:ind w:firstLine="720"/>
        <w:jc w:val="both"/>
        <w:rPr>
          <w:rFonts w:ascii="Arial" w:hAnsi="Arial" w:cs="Arial"/>
          <w:sz w:val="24"/>
          <w:szCs w:val="24"/>
        </w:rPr>
      </w:pPr>
    </w:p>
    <w:p w:rsidR="00ED2185" w:rsidRDefault="00ED2185" w:rsidP="00ED2185">
      <w:pPr>
        <w:spacing w:after="0" w:line="360" w:lineRule="auto"/>
        <w:jc w:val="both"/>
        <w:rPr>
          <w:rFonts w:ascii="Arial" w:hAnsi="Arial" w:cs="Arial"/>
          <w:sz w:val="24"/>
          <w:szCs w:val="24"/>
        </w:rPr>
      </w:pPr>
    </w:p>
    <w:p w:rsidR="00430EBC" w:rsidRDefault="00430EBC" w:rsidP="00ED2185">
      <w:pPr>
        <w:spacing w:after="0" w:line="360" w:lineRule="auto"/>
        <w:jc w:val="both"/>
        <w:rPr>
          <w:rFonts w:ascii="Arial" w:hAnsi="Arial" w:cs="Arial"/>
          <w:b/>
          <w:sz w:val="24"/>
          <w:szCs w:val="24"/>
        </w:rPr>
      </w:pPr>
    </w:p>
    <w:p w:rsidR="00ED2185" w:rsidRDefault="00ED2185" w:rsidP="00ED2185">
      <w:pPr>
        <w:spacing w:after="0" w:line="360" w:lineRule="auto"/>
        <w:jc w:val="both"/>
        <w:rPr>
          <w:rFonts w:ascii="Arial" w:hAnsi="Arial" w:cs="Arial"/>
          <w:b/>
          <w:sz w:val="24"/>
          <w:szCs w:val="24"/>
        </w:rPr>
      </w:pPr>
      <w:r>
        <w:rPr>
          <w:rFonts w:ascii="Arial" w:hAnsi="Arial" w:cs="Arial"/>
          <w:b/>
          <w:sz w:val="24"/>
          <w:szCs w:val="24"/>
        </w:rPr>
        <w:t>________________________</w:t>
      </w:r>
    </w:p>
    <w:p w:rsidR="00ED2185" w:rsidRDefault="00ED2185" w:rsidP="00ED2185">
      <w:pPr>
        <w:spacing w:after="0" w:line="360" w:lineRule="auto"/>
        <w:jc w:val="both"/>
        <w:rPr>
          <w:rFonts w:ascii="Arial" w:hAnsi="Arial" w:cs="Arial"/>
          <w:b/>
          <w:sz w:val="24"/>
          <w:szCs w:val="24"/>
        </w:rPr>
      </w:pPr>
      <w:r>
        <w:rPr>
          <w:rFonts w:ascii="Arial" w:hAnsi="Arial" w:cs="Arial"/>
          <w:b/>
          <w:sz w:val="24"/>
          <w:szCs w:val="24"/>
        </w:rPr>
        <w:t>JE SMITH</w:t>
      </w:r>
    </w:p>
    <w:p w:rsidR="00ED2185" w:rsidRDefault="00ED2185" w:rsidP="00ED2185">
      <w:pPr>
        <w:spacing w:after="0" w:line="360" w:lineRule="auto"/>
        <w:jc w:val="both"/>
        <w:rPr>
          <w:rFonts w:ascii="Arial" w:hAnsi="Arial" w:cs="Arial"/>
          <w:b/>
          <w:sz w:val="24"/>
          <w:szCs w:val="24"/>
        </w:rPr>
      </w:pPr>
      <w:r>
        <w:rPr>
          <w:rFonts w:ascii="Arial" w:hAnsi="Arial" w:cs="Arial"/>
          <w:b/>
          <w:sz w:val="24"/>
          <w:szCs w:val="24"/>
        </w:rPr>
        <w:t>JUDGE OF THE HIGH COURT</w:t>
      </w:r>
    </w:p>
    <w:p w:rsidR="00ED2185" w:rsidRDefault="00ED2185" w:rsidP="00ED2185">
      <w:pPr>
        <w:spacing w:after="0" w:line="360" w:lineRule="auto"/>
        <w:jc w:val="both"/>
        <w:rPr>
          <w:rFonts w:ascii="Arial" w:hAnsi="Arial" w:cs="Arial"/>
          <w:b/>
          <w:sz w:val="24"/>
          <w:szCs w:val="24"/>
        </w:rPr>
      </w:pPr>
    </w:p>
    <w:p w:rsidR="00ED2185" w:rsidRDefault="00ED2185" w:rsidP="00ED2185">
      <w:pPr>
        <w:rPr>
          <w:rFonts w:ascii="Arial" w:hAnsi="Arial" w:cs="Arial"/>
          <w:b/>
          <w:sz w:val="24"/>
          <w:szCs w:val="24"/>
        </w:rPr>
      </w:pPr>
      <w:r>
        <w:rPr>
          <w:rFonts w:ascii="Arial" w:hAnsi="Arial" w:cs="Arial"/>
          <w:b/>
          <w:sz w:val="24"/>
          <w:szCs w:val="24"/>
        </w:rPr>
        <w:t>Appearances:</w:t>
      </w:r>
    </w:p>
    <w:p w:rsidR="00ED2185" w:rsidRDefault="00ED2185" w:rsidP="00ED2185">
      <w:pPr>
        <w:spacing w:after="0" w:line="360" w:lineRule="auto"/>
        <w:jc w:val="both"/>
        <w:rPr>
          <w:rFonts w:ascii="Arial" w:hAnsi="Arial" w:cs="Arial"/>
          <w:sz w:val="24"/>
          <w:szCs w:val="24"/>
        </w:rPr>
      </w:pPr>
      <w:r>
        <w:rPr>
          <w:rFonts w:ascii="Arial" w:hAnsi="Arial" w:cs="Arial"/>
          <w:sz w:val="24"/>
          <w:szCs w:val="24"/>
        </w:rPr>
        <w:t xml:space="preserve">Counsel for </w:t>
      </w:r>
      <w:r w:rsidR="00430EBC">
        <w:rPr>
          <w:rFonts w:ascii="Arial" w:hAnsi="Arial" w:cs="Arial"/>
          <w:sz w:val="24"/>
          <w:szCs w:val="24"/>
        </w:rPr>
        <w:t>the Applicant</w:t>
      </w:r>
      <w:r w:rsidR="00430EBC">
        <w:rPr>
          <w:rFonts w:ascii="Arial" w:hAnsi="Arial" w:cs="Arial"/>
          <w:sz w:val="24"/>
          <w:szCs w:val="24"/>
        </w:rPr>
        <w:tab/>
      </w:r>
      <w:r w:rsidR="00430EBC">
        <w:rPr>
          <w:rFonts w:ascii="Arial" w:hAnsi="Arial" w:cs="Arial"/>
          <w:sz w:val="24"/>
          <w:szCs w:val="24"/>
        </w:rPr>
        <w:tab/>
        <w:t xml:space="preserve">:  </w:t>
      </w:r>
      <w:r w:rsidR="00430EBC">
        <w:rPr>
          <w:rFonts w:ascii="Arial" w:hAnsi="Arial" w:cs="Arial"/>
          <w:sz w:val="24"/>
          <w:szCs w:val="24"/>
        </w:rPr>
        <w:tab/>
        <w:t>Mr. Noah</w:t>
      </w:r>
    </w:p>
    <w:p w:rsidR="00ED2185" w:rsidRDefault="00ED2185" w:rsidP="00ED218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T. Noah &amp; Sons Inc. Attorneys</w:t>
      </w:r>
    </w:p>
    <w:p w:rsidR="00ED2185" w:rsidRDefault="00ED2185" w:rsidP="00ED2185">
      <w:pPr>
        <w:spacing w:after="0" w:line="360" w:lineRule="auto"/>
        <w:ind w:left="3600" w:firstLine="720"/>
        <w:jc w:val="both"/>
        <w:rPr>
          <w:rFonts w:ascii="Arial" w:hAnsi="Arial" w:cs="Arial"/>
          <w:sz w:val="24"/>
          <w:szCs w:val="24"/>
        </w:rPr>
      </w:pPr>
      <w:r>
        <w:rPr>
          <w:rFonts w:ascii="Arial" w:hAnsi="Arial" w:cs="Arial"/>
          <w:sz w:val="24"/>
          <w:szCs w:val="24"/>
        </w:rPr>
        <w:t>No. 54 Wesley Street</w:t>
      </w:r>
    </w:p>
    <w:p w:rsidR="00ED2185" w:rsidRDefault="00ED2185" w:rsidP="00ED2185">
      <w:pPr>
        <w:spacing w:after="0" w:line="360" w:lineRule="auto"/>
        <w:ind w:left="3600" w:firstLine="720"/>
        <w:jc w:val="both"/>
        <w:rPr>
          <w:rFonts w:ascii="Arial" w:hAnsi="Arial" w:cs="Arial"/>
          <w:sz w:val="24"/>
          <w:szCs w:val="24"/>
        </w:rPr>
      </w:pPr>
      <w:r>
        <w:rPr>
          <w:rFonts w:ascii="Arial" w:hAnsi="Arial" w:cs="Arial"/>
          <w:sz w:val="24"/>
          <w:szCs w:val="24"/>
        </w:rPr>
        <w:t>MTHATHA</w:t>
      </w:r>
    </w:p>
    <w:p w:rsidR="00ED2185" w:rsidRDefault="00ED2185" w:rsidP="00ED2185">
      <w:pPr>
        <w:spacing w:after="0" w:line="360" w:lineRule="auto"/>
        <w:ind w:left="3600" w:firstLine="720"/>
        <w:jc w:val="both"/>
        <w:rPr>
          <w:rFonts w:ascii="Arial" w:hAnsi="Arial" w:cs="Arial"/>
          <w:sz w:val="24"/>
          <w:szCs w:val="24"/>
        </w:rPr>
      </w:pPr>
      <w:r>
        <w:rPr>
          <w:rFonts w:ascii="Arial" w:hAnsi="Arial" w:cs="Arial"/>
          <w:sz w:val="24"/>
          <w:szCs w:val="24"/>
        </w:rPr>
        <w:t>(Ref.: TN/654/22)</w:t>
      </w:r>
    </w:p>
    <w:p w:rsidR="00ED2185" w:rsidRDefault="00ED2185" w:rsidP="00ED218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2185" w:rsidRDefault="00ED2185" w:rsidP="00ED2185">
      <w:pPr>
        <w:spacing w:after="0" w:line="360" w:lineRule="auto"/>
        <w:jc w:val="both"/>
        <w:rPr>
          <w:rFonts w:ascii="Arial" w:hAnsi="Arial" w:cs="Arial"/>
          <w:sz w:val="24"/>
          <w:szCs w:val="24"/>
        </w:rPr>
      </w:pPr>
      <w:r>
        <w:rPr>
          <w:rFonts w:ascii="Arial" w:hAnsi="Arial" w:cs="Arial"/>
          <w:sz w:val="24"/>
          <w:szCs w:val="24"/>
        </w:rPr>
        <w:t xml:space="preserve">Counsel for the </w:t>
      </w:r>
      <w:r w:rsidR="00E15706">
        <w:rPr>
          <w:rFonts w:ascii="Arial" w:hAnsi="Arial" w:cs="Arial"/>
          <w:sz w:val="24"/>
          <w:szCs w:val="24"/>
        </w:rPr>
        <w:t>Respondent</w:t>
      </w:r>
      <w:r>
        <w:rPr>
          <w:rFonts w:ascii="Arial" w:hAnsi="Arial" w:cs="Arial"/>
          <w:sz w:val="24"/>
          <w:szCs w:val="24"/>
        </w:rPr>
        <w:tab/>
        <w:t xml:space="preserve">: </w:t>
      </w:r>
      <w:r>
        <w:rPr>
          <w:rFonts w:ascii="Arial" w:hAnsi="Arial" w:cs="Arial"/>
          <w:sz w:val="24"/>
          <w:szCs w:val="24"/>
        </w:rPr>
        <w:tab/>
      </w:r>
      <w:r w:rsidR="00430EBC">
        <w:rPr>
          <w:rFonts w:ascii="Arial" w:hAnsi="Arial" w:cs="Arial"/>
          <w:sz w:val="24"/>
          <w:szCs w:val="24"/>
        </w:rPr>
        <w:t>Mr. Talapile</w:t>
      </w:r>
      <w:r>
        <w:rPr>
          <w:rFonts w:ascii="Arial" w:hAnsi="Arial" w:cs="Arial"/>
          <w:sz w:val="24"/>
          <w:szCs w:val="24"/>
        </w:rPr>
        <w:t xml:space="preserve"> </w:t>
      </w:r>
    </w:p>
    <w:p w:rsidR="00ED2185" w:rsidRDefault="00ED2185" w:rsidP="00ED218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Babe &amp; Talapile Inc. Attorneys</w:t>
      </w:r>
    </w:p>
    <w:p w:rsidR="00ED2185" w:rsidRDefault="00ED2185" w:rsidP="00ED2185">
      <w:pPr>
        <w:spacing w:after="0" w:line="36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No. 71 Cumberland Street </w:t>
      </w:r>
    </w:p>
    <w:p w:rsidR="00ED2185" w:rsidRDefault="00ED2185" w:rsidP="00ED218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rsidR="00ED2185" w:rsidRPr="0042102C" w:rsidRDefault="00ED2185" w:rsidP="00ED2185">
      <w:pPr>
        <w:spacing w:after="0" w:line="360" w:lineRule="auto"/>
        <w:ind w:left="3600" w:firstLine="720"/>
        <w:jc w:val="both"/>
        <w:rPr>
          <w:rFonts w:ascii="Arial" w:hAnsi="Arial" w:cs="Arial"/>
          <w:sz w:val="24"/>
          <w:szCs w:val="24"/>
        </w:rPr>
      </w:pPr>
      <w:r>
        <w:rPr>
          <w:rFonts w:ascii="Arial" w:hAnsi="Arial" w:cs="Arial"/>
          <w:sz w:val="24"/>
          <w:szCs w:val="24"/>
        </w:rPr>
        <w:t>(Ref.: BT/CIV-MR N NKOS)</w:t>
      </w:r>
    </w:p>
    <w:sectPr w:rsidR="00ED2185" w:rsidRPr="0042102C" w:rsidSect="00ED218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DD" w:rsidRDefault="00EC48DD" w:rsidP="00C53E2B">
      <w:pPr>
        <w:spacing w:after="0" w:line="240" w:lineRule="auto"/>
      </w:pPr>
      <w:r>
        <w:separator/>
      </w:r>
    </w:p>
  </w:endnote>
  <w:endnote w:type="continuationSeparator" w:id="0">
    <w:p w:rsidR="00EC48DD" w:rsidRDefault="00EC48DD" w:rsidP="00C5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01543"/>
      <w:docPartObj>
        <w:docPartGallery w:val="Page Numbers (Bottom of Page)"/>
        <w:docPartUnique/>
      </w:docPartObj>
    </w:sdtPr>
    <w:sdtEndPr>
      <w:rPr>
        <w:noProof/>
      </w:rPr>
    </w:sdtEndPr>
    <w:sdtContent>
      <w:p w:rsidR="00ED2185" w:rsidRDefault="00ED2185">
        <w:pPr>
          <w:pStyle w:val="Footer"/>
          <w:jc w:val="center"/>
        </w:pPr>
        <w:r>
          <w:fldChar w:fldCharType="begin"/>
        </w:r>
        <w:r>
          <w:instrText xml:space="preserve"> PAGE   \* MERGEFORMAT </w:instrText>
        </w:r>
        <w:r>
          <w:fldChar w:fldCharType="separate"/>
        </w:r>
        <w:r w:rsidR="00EE1FEE">
          <w:rPr>
            <w:noProof/>
          </w:rPr>
          <w:t>5</w:t>
        </w:r>
        <w:r>
          <w:rPr>
            <w:noProof/>
          </w:rPr>
          <w:fldChar w:fldCharType="end"/>
        </w:r>
      </w:p>
    </w:sdtContent>
  </w:sdt>
  <w:p w:rsidR="00ED2185" w:rsidRDefault="00ED2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DD" w:rsidRDefault="00EC48DD" w:rsidP="00C53E2B">
      <w:pPr>
        <w:spacing w:after="0" w:line="240" w:lineRule="auto"/>
      </w:pPr>
      <w:r>
        <w:separator/>
      </w:r>
    </w:p>
  </w:footnote>
  <w:footnote w:type="continuationSeparator" w:id="0">
    <w:p w:rsidR="00EC48DD" w:rsidRDefault="00EC48DD" w:rsidP="00C5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2C"/>
    <w:rsid w:val="00033428"/>
    <w:rsid w:val="00065561"/>
    <w:rsid w:val="000920F2"/>
    <w:rsid w:val="000C26E2"/>
    <w:rsid w:val="000E2CC3"/>
    <w:rsid w:val="00105DF9"/>
    <w:rsid w:val="001448CA"/>
    <w:rsid w:val="0017073A"/>
    <w:rsid w:val="0018215B"/>
    <w:rsid w:val="00190409"/>
    <w:rsid w:val="00191301"/>
    <w:rsid w:val="00193D40"/>
    <w:rsid w:val="001A29DD"/>
    <w:rsid w:val="001D16C5"/>
    <w:rsid w:val="001D677E"/>
    <w:rsid w:val="001E1E2A"/>
    <w:rsid w:val="001E289D"/>
    <w:rsid w:val="001F4B21"/>
    <w:rsid w:val="00217FE3"/>
    <w:rsid w:val="0022244F"/>
    <w:rsid w:val="00232AA8"/>
    <w:rsid w:val="00287196"/>
    <w:rsid w:val="00287D20"/>
    <w:rsid w:val="002939C4"/>
    <w:rsid w:val="00301A30"/>
    <w:rsid w:val="00301CD2"/>
    <w:rsid w:val="00320F28"/>
    <w:rsid w:val="003274E5"/>
    <w:rsid w:val="00376F96"/>
    <w:rsid w:val="003E313A"/>
    <w:rsid w:val="003F79EA"/>
    <w:rsid w:val="00420C8B"/>
    <w:rsid w:val="0042102C"/>
    <w:rsid w:val="00430EBC"/>
    <w:rsid w:val="0049486D"/>
    <w:rsid w:val="004B32D0"/>
    <w:rsid w:val="00515B58"/>
    <w:rsid w:val="00575CB4"/>
    <w:rsid w:val="0058389E"/>
    <w:rsid w:val="005D165D"/>
    <w:rsid w:val="005D7FD0"/>
    <w:rsid w:val="006062BB"/>
    <w:rsid w:val="006311C5"/>
    <w:rsid w:val="00636036"/>
    <w:rsid w:val="006544BA"/>
    <w:rsid w:val="006838FF"/>
    <w:rsid w:val="006908DC"/>
    <w:rsid w:val="006B257A"/>
    <w:rsid w:val="006E4BAE"/>
    <w:rsid w:val="00704DCC"/>
    <w:rsid w:val="00725897"/>
    <w:rsid w:val="00755D64"/>
    <w:rsid w:val="00765840"/>
    <w:rsid w:val="007705DF"/>
    <w:rsid w:val="007A40E0"/>
    <w:rsid w:val="007A5909"/>
    <w:rsid w:val="007E4247"/>
    <w:rsid w:val="007F1008"/>
    <w:rsid w:val="008152F8"/>
    <w:rsid w:val="0082226B"/>
    <w:rsid w:val="009134A7"/>
    <w:rsid w:val="00925B26"/>
    <w:rsid w:val="0095229E"/>
    <w:rsid w:val="00982B17"/>
    <w:rsid w:val="00A47E2E"/>
    <w:rsid w:val="00A71D11"/>
    <w:rsid w:val="00AA5C16"/>
    <w:rsid w:val="00AB5475"/>
    <w:rsid w:val="00AD3CBB"/>
    <w:rsid w:val="00B10464"/>
    <w:rsid w:val="00B15C34"/>
    <w:rsid w:val="00B81A2F"/>
    <w:rsid w:val="00B922EE"/>
    <w:rsid w:val="00BB7FBE"/>
    <w:rsid w:val="00BC33C1"/>
    <w:rsid w:val="00C42246"/>
    <w:rsid w:val="00C44A2A"/>
    <w:rsid w:val="00C53E2B"/>
    <w:rsid w:val="00C552A6"/>
    <w:rsid w:val="00C721FA"/>
    <w:rsid w:val="00CE28B5"/>
    <w:rsid w:val="00CF32B5"/>
    <w:rsid w:val="00D2662B"/>
    <w:rsid w:val="00D53D9C"/>
    <w:rsid w:val="00DC043D"/>
    <w:rsid w:val="00E15706"/>
    <w:rsid w:val="00E2295B"/>
    <w:rsid w:val="00E322DD"/>
    <w:rsid w:val="00E33365"/>
    <w:rsid w:val="00E34DDE"/>
    <w:rsid w:val="00E37D6C"/>
    <w:rsid w:val="00E4753E"/>
    <w:rsid w:val="00E54A3E"/>
    <w:rsid w:val="00EB7E62"/>
    <w:rsid w:val="00EC48DD"/>
    <w:rsid w:val="00ED2185"/>
    <w:rsid w:val="00EE1FEE"/>
    <w:rsid w:val="00EE53D4"/>
    <w:rsid w:val="00F53FF1"/>
    <w:rsid w:val="00F751FA"/>
    <w:rsid w:val="00FE0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9821-0313-4B46-8763-A07FBFF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rsid w:val="00C53E2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C53E2B"/>
    <w:rPr>
      <w:sz w:val="20"/>
      <w:szCs w:val="20"/>
    </w:rPr>
  </w:style>
  <w:style w:type="character" w:customStyle="1" w:styleId="FootnoteTextChar1">
    <w:name w:val="Footnote Text Char1"/>
    <w:link w:val="FootnoteText"/>
    <w:semiHidden/>
    <w:locked/>
    <w:rsid w:val="00C53E2B"/>
    <w:rPr>
      <w:rFonts w:ascii="Times New Roman" w:eastAsia="Times New Roman" w:hAnsi="Times New Roman" w:cs="Times New Roman"/>
      <w:sz w:val="20"/>
      <w:szCs w:val="20"/>
      <w:lang w:val="en-US"/>
    </w:rPr>
  </w:style>
  <w:style w:type="character" w:styleId="FootnoteReference">
    <w:name w:val="footnote reference"/>
    <w:uiPriority w:val="99"/>
    <w:semiHidden/>
    <w:rsid w:val="00C53E2B"/>
    <w:rPr>
      <w:rFonts w:cs="Times New Roman"/>
      <w:vertAlign w:val="superscript"/>
    </w:rPr>
  </w:style>
  <w:style w:type="paragraph" w:styleId="Header">
    <w:name w:val="header"/>
    <w:basedOn w:val="Normal"/>
    <w:link w:val="HeaderChar"/>
    <w:uiPriority w:val="99"/>
    <w:unhideWhenUsed/>
    <w:rsid w:val="00ED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185"/>
  </w:style>
  <w:style w:type="paragraph" w:styleId="Footer">
    <w:name w:val="footer"/>
    <w:basedOn w:val="Normal"/>
    <w:link w:val="FooterChar"/>
    <w:uiPriority w:val="99"/>
    <w:unhideWhenUsed/>
    <w:rsid w:val="00ED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185"/>
  </w:style>
  <w:style w:type="paragraph" w:styleId="BalloonText">
    <w:name w:val="Balloon Text"/>
    <w:basedOn w:val="Normal"/>
    <w:link w:val="BalloonTextChar"/>
    <w:uiPriority w:val="99"/>
    <w:semiHidden/>
    <w:unhideWhenUsed/>
    <w:rsid w:val="0006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2023-04-20T06:42:00Z</cp:lastPrinted>
  <dcterms:created xsi:type="dcterms:W3CDTF">2023-05-17T08:50:00Z</dcterms:created>
  <dcterms:modified xsi:type="dcterms:W3CDTF">2023-05-17T08:50:00Z</dcterms:modified>
</cp:coreProperties>
</file>