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A8A8" w14:textId="77777777" w:rsidR="002D77AB" w:rsidRDefault="002D77AB" w:rsidP="002740B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142D34" w14:textId="77777777" w:rsidR="002D77AB" w:rsidRPr="00A32B6F" w:rsidRDefault="002D77AB" w:rsidP="002D77AB">
      <w:pPr>
        <w:pStyle w:val="Header"/>
        <w:widowControl w:val="0"/>
        <w:spacing w:line="360" w:lineRule="auto"/>
        <w:jc w:val="center"/>
        <w:rPr>
          <w:rFonts w:cs="Arial"/>
        </w:rPr>
      </w:pPr>
      <w:r w:rsidRPr="00A32B6F">
        <w:rPr>
          <w:rFonts w:cs="Arial"/>
          <w:noProof/>
          <w:lang w:eastAsia="en-ZA"/>
        </w:rPr>
        <w:drawing>
          <wp:inline distT="0" distB="0" distL="0" distR="0" wp14:anchorId="6BD242F4" wp14:editId="7C5F82D2">
            <wp:extent cx="987425" cy="98742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17164E" w14:textId="77777777" w:rsidR="002D77AB" w:rsidRPr="00A32B6F" w:rsidRDefault="002D77AB" w:rsidP="002D77AB">
      <w:pPr>
        <w:pStyle w:val="Header"/>
        <w:widowControl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2B6F">
        <w:rPr>
          <w:rFonts w:ascii="Arial" w:hAnsi="Arial" w:cs="Arial"/>
          <w:b/>
          <w:sz w:val="24"/>
          <w:szCs w:val="24"/>
        </w:rPr>
        <w:t>IN THE HIGH COURT OF SOUTH AFRICA</w:t>
      </w:r>
    </w:p>
    <w:p w14:paraId="34BF9643" w14:textId="73AB8A4E" w:rsidR="002D77AB" w:rsidRDefault="00FD3FB1" w:rsidP="002D77AB">
      <w:pPr>
        <w:widowControl w:val="0"/>
        <w:tabs>
          <w:tab w:val="right" w:pos="9213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2D77AB">
        <w:rPr>
          <w:rFonts w:ascii="Arial" w:hAnsi="Arial" w:cs="Arial"/>
          <w:b/>
          <w:sz w:val="24"/>
          <w:szCs w:val="24"/>
        </w:rPr>
        <w:t>EASTERN CAPE</w:t>
      </w:r>
      <w:r w:rsidR="002D77AB" w:rsidRPr="00A32B6F">
        <w:rPr>
          <w:rFonts w:ascii="Arial" w:hAnsi="Arial" w:cs="Arial"/>
          <w:b/>
          <w:sz w:val="24"/>
          <w:szCs w:val="24"/>
        </w:rPr>
        <w:t xml:space="preserve"> DIVISION, MTHATHA</w:t>
      </w:r>
      <w:r>
        <w:rPr>
          <w:rFonts w:ascii="Arial" w:hAnsi="Arial" w:cs="Arial"/>
          <w:b/>
          <w:sz w:val="24"/>
          <w:szCs w:val="24"/>
        </w:rPr>
        <w:t>)</w:t>
      </w:r>
    </w:p>
    <w:p w14:paraId="1E0B5486" w14:textId="01070700" w:rsidR="002D77AB" w:rsidRPr="00A32B6F" w:rsidRDefault="002D77AB" w:rsidP="002D77AB">
      <w:pPr>
        <w:widowControl w:val="0"/>
        <w:tabs>
          <w:tab w:val="right" w:pos="9213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32B6F">
        <w:rPr>
          <w:rFonts w:ascii="Arial" w:hAnsi="Arial" w:cs="Arial"/>
          <w:sz w:val="24"/>
          <w:szCs w:val="24"/>
        </w:rPr>
        <w:tab/>
        <w:t xml:space="preserve">CASE NO. </w:t>
      </w:r>
      <w:r>
        <w:rPr>
          <w:rFonts w:ascii="Arial" w:hAnsi="Arial" w:cs="Arial"/>
          <w:sz w:val="24"/>
          <w:szCs w:val="24"/>
        </w:rPr>
        <w:t>3588/2021</w:t>
      </w:r>
      <w:r w:rsidRPr="00A32B6F">
        <w:rPr>
          <w:rFonts w:ascii="Arial" w:hAnsi="Arial" w:cs="Arial"/>
          <w:sz w:val="24"/>
          <w:szCs w:val="24"/>
        </w:rPr>
        <w:t xml:space="preserve"> </w:t>
      </w:r>
    </w:p>
    <w:p w14:paraId="33B65C7E" w14:textId="77777777" w:rsidR="002D77AB" w:rsidRPr="00A32B6F" w:rsidRDefault="002D77AB" w:rsidP="002D77AB">
      <w:pPr>
        <w:widowControl w:val="0"/>
        <w:tabs>
          <w:tab w:val="right" w:pos="9213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76071002" w14:textId="77777777" w:rsidR="002D77AB" w:rsidRPr="00A32B6F" w:rsidRDefault="002D77AB" w:rsidP="002D77AB">
      <w:pPr>
        <w:widowControl w:val="0"/>
        <w:tabs>
          <w:tab w:val="right" w:pos="9213"/>
        </w:tabs>
        <w:spacing w:line="240" w:lineRule="auto"/>
        <w:rPr>
          <w:rFonts w:ascii="Arial" w:hAnsi="Arial" w:cs="Arial"/>
          <w:sz w:val="24"/>
          <w:szCs w:val="24"/>
        </w:rPr>
      </w:pPr>
      <w:r w:rsidRPr="00A32B6F">
        <w:rPr>
          <w:rFonts w:ascii="Arial" w:hAnsi="Arial" w:cs="Arial"/>
          <w:sz w:val="24"/>
          <w:szCs w:val="24"/>
        </w:rPr>
        <w:t>In the matter between:</w:t>
      </w:r>
    </w:p>
    <w:p w14:paraId="07FE0C73" w14:textId="77777777" w:rsidR="002D77AB" w:rsidRPr="00A32B6F" w:rsidRDefault="002D77AB" w:rsidP="002D77AB">
      <w:pPr>
        <w:widowControl w:val="0"/>
        <w:tabs>
          <w:tab w:val="right" w:pos="9213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2EC6D9AB" w14:textId="5DED3D9A" w:rsidR="002D77AB" w:rsidRDefault="002D77AB" w:rsidP="002D77AB">
      <w:pPr>
        <w:widowControl w:val="0"/>
        <w:tabs>
          <w:tab w:val="right" w:pos="9213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SIVIWE TILAYI</w:t>
      </w:r>
      <w:r w:rsidRPr="00A32B6F">
        <w:rPr>
          <w:rFonts w:ascii="Arial" w:hAnsi="Arial" w:cs="Arial"/>
          <w:b/>
          <w:sz w:val="24"/>
          <w:szCs w:val="24"/>
        </w:rPr>
        <w:t xml:space="preserve"> </w:t>
      </w:r>
      <w:r w:rsidRPr="00A32B6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</w:t>
      </w:r>
      <w:r w:rsidRPr="002D77AB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32B6F">
        <w:rPr>
          <w:rFonts w:ascii="Arial" w:hAnsi="Arial" w:cs="Arial"/>
          <w:b/>
          <w:sz w:val="24"/>
          <w:szCs w:val="24"/>
        </w:rPr>
        <w:t xml:space="preserve">Applicant </w:t>
      </w:r>
    </w:p>
    <w:p w14:paraId="71611835" w14:textId="6BB4FC5F" w:rsidR="002D77AB" w:rsidRDefault="002D77AB" w:rsidP="002D77AB">
      <w:pPr>
        <w:widowControl w:val="0"/>
        <w:tabs>
          <w:tab w:val="right" w:pos="9213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TEMBEKILE SOBANTU</w:t>
      </w:r>
      <w:r>
        <w:rPr>
          <w:rFonts w:ascii="Arial" w:hAnsi="Arial" w:cs="Arial"/>
          <w:b/>
          <w:sz w:val="24"/>
          <w:szCs w:val="24"/>
        </w:rPr>
        <w:tab/>
        <w:t>2</w:t>
      </w:r>
      <w:r w:rsidRPr="002D77AB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Applicant</w:t>
      </w:r>
    </w:p>
    <w:p w14:paraId="1D993988" w14:textId="77777777" w:rsidR="002D77AB" w:rsidRPr="00A32B6F" w:rsidRDefault="002D77AB" w:rsidP="002D77AB">
      <w:pPr>
        <w:widowControl w:val="0"/>
        <w:tabs>
          <w:tab w:val="right" w:pos="921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1A40EA07" w14:textId="77777777" w:rsidR="002D77AB" w:rsidRPr="00A32B6F" w:rsidRDefault="002D77AB" w:rsidP="002D77AB">
      <w:pPr>
        <w:widowControl w:val="0"/>
        <w:tabs>
          <w:tab w:val="right" w:pos="9213"/>
        </w:tabs>
        <w:spacing w:line="600" w:lineRule="auto"/>
        <w:rPr>
          <w:rFonts w:ascii="Arial" w:hAnsi="Arial" w:cs="Arial"/>
          <w:b/>
          <w:sz w:val="24"/>
          <w:szCs w:val="24"/>
        </w:rPr>
      </w:pPr>
      <w:r w:rsidRPr="00A32B6F">
        <w:rPr>
          <w:rFonts w:ascii="Arial" w:hAnsi="Arial" w:cs="Arial"/>
          <w:b/>
          <w:sz w:val="24"/>
          <w:szCs w:val="24"/>
        </w:rPr>
        <w:t>and</w:t>
      </w:r>
    </w:p>
    <w:p w14:paraId="00FF2C72" w14:textId="77777777" w:rsidR="002D77AB" w:rsidRDefault="002D77AB" w:rsidP="002D77AB">
      <w:pPr>
        <w:widowControl w:val="0"/>
        <w:tabs>
          <w:tab w:val="right" w:pos="9213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MASTER OF THE HIGH COURT, MTHATHA </w:t>
      </w:r>
    </w:p>
    <w:p w14:paraId="475EDD4B" w14:textId="3A65A3AF" w:rsidR="002D77AB" w:rsidRPr="00A32B6F" w:rsidRDefault="002D77AB" w:rsidP="00EA3DC1">
      <w:pPr>
        <w:widowControl w:val="0"/>
        <w:tabs>
          <w:tab w:val="right" w:pos="935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EASTERN CAPE</w:t>
      </w:r>
      <w:r w:rsidRPr="00A32B6F">
        <w:rPr>
          <w:rFonts w:ascii="Arial" w:hAnsi="Arial" w:cs="Arial"/>
          <w:b/>
          <w:sz w:val="24"/>
          <w:szCs w:val="24"/>
        </w:rPr>
        <w:t xml:space="preserve"> </w:t>
      </w:r>
      <w:r w:rsidRPr="00A32B6F">
        <w:rPr>
          <w:rFonts w:ascii="Arial" w:hAnsi="Arial" w:cs="Arial"/>
          <w:b/>
          <w:sz w:val="24"/>
          <w:szCs w:val="24"/>
        </w:rPr>
        <w:tab/>
      </w:r>
      <w:r w:rsidR="00EA3DC1">
        <w:rPr>
          <w:rFonts w:ascii="Arial" w:hAnsi="Arial" w:cs="Arial"/>
          <w:b/>
          <w:sz w:val="24"/>
          <w:szCs w:val="24"/>
        </w:rPr>
        <w:t>1</w:t>
      </w:r>
      <w:r w:rsidR="00EA3DC1" w:rsidRPr="00EA3DC1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EA3DC1">
        <w:rPr>
          <w:rFonts w:ascii="Arial" w:hAnsi="Arial" w:cs="Arial"/>
          <w:b/>
          <w:sz w:val="24"/>
          <w:szCs w:val="24"/>
        </w:rPr>
        <w:t xml:space="preserve"> Respondent</w:t>
      </w:r>
    </w:p>
    <w:p w14:paraId="1D5C5C6B" w14:textId="68454923" w:rsidR="002D77AB" w:rsidRDefault="002D77AB" w:rsidP="00EA3DC1">
      <w:pPr>
        <w:widowControl w:val="0"/>
        <w:tabs>
          <w:tab w:val="right" w:pos="935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NONKUTHAZO </w:t>
      </w:r>
      <w:r w:rsidR="00EA3DC1">
        <w:rPr>
          <w:rFonts w:ascii="Arial" w:hAnsi="Arial" w:cs="Arial"/>
          <w:b/>
          <w:sz w:val="24"/>
          <w:szCs w:val="24"/>
        </w:rPr>
        <w:t>KUMBACA</w:t>
      </w:r>
      <w:r w:rsidRPr="00A32B6F">
        <w:rPr>
          <w:rFonts w:ascii="Arial" w:hAnsi="Arial" w:cs="Arial"/>
          <w:b/>
          <w:sz w:val="24"/>
          <w:szCs w:val="24"/>
        </w:rPr>
        <w:tab/>
      </w:r>
      <w:r w:rsidR="00EA3DC1">
        <w:rPr>
          <w:rFonts w:ascii="Arial" w:hAnsi="Arial" w:cs="Arial"/>
          <w:b/>
          <w:sz w:val="24"/>
          <w:szCs w:val="24"/>
        </w:rPr>
        <w:t>2</w:t>
      </w:r>
      <w:r w:rsidR="00EA3DC1" w:rsidRPr="00EA3DC1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EA3DC1">
        <w:rPr>
          <w:rFonts w:ascii="Arial" w:hAnsi="Arial" w:cs="Arial"/>
          <w:b/>
          <w:sz w:val="24"/>
          <w:szCs w:val="24"/>
        </w:rPr>
        <w:t xml:space="preserve"> R</w:t>
      </w:r>
      <w:r w:rsidRPr="00A32B6F">
        <w:rPr>
          <w:rFonts w:ascii="Arial" w:hAnsi="Arial" w:cs="Arial"/>
          <w:b/>
          <w:sz w:val="24"/>
          <w:szCs w:val="24"/>
        </w:rPr>
        <w:t>espondent</w:t>
      </w:r>
    </w:p>
    <w:p w14:paraId="4513B861" w14:textId="2F1A7C44" w:rsidR="00EA3DC1" w:rsidRDefault="00EA3DC1" w:rsidP="00EA3DC1">
      <w:pPr>
        <w:widowControl w:val="0"/>
        <w:tabs>
          <w:tab w:val="right" w:pos="935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VUKILE TILAYI</w:t>
      </w:r>
      <w:r>
        <w:rPr>
          <w:rFonts w:ascii="Arial" w:hAnsi="Arial" w:cs="Arial"/>
          <w:b/>
          <w:sz w:val="24"/>
          <w:szCs w:val="24"/>
        </w:rPr>
        <w:tab/>
        <w:t>3</w:t>
      </w:r>
      <w:r w:rsidRPr="00EA3DC1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Respondent</w:t>
      </w:r>
    </w:p>
    <w:p w14:paraId="261E0037" w14:textId="6C98524B" w:rsidR="00EA3DC1" w:rsidRDefault="00EA3DC1" w:rsidP="00EA3DC1">
      <w:pPr>
        <w:widowControl w:val="0"/>
        <w:tabs>
          <w:tab w:val="right" w:pos="935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KWANDA TILAYI</w:t>
      </w:r>
      <w:r>
        <w:rPr>
          <w:rFonts w:ascii="Arial" w:hAnsi="Arial" w:cs="Arial"/>
          <w:b/>
          <w:sz w:val="24"/>
          <w:szCs w:val="24"/>
        </w:rPr>
        <w:tab/>
        <w:t>4</w:t>
      </w:r>
      <w:r w:rsidRPr="00EA3DC1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Respondent</w:t>
      </w:r>
    </w:p>
    <w:p w14:paraId="2A99F1B9" w14:textId="79658C6E" w:rsidR="00EA3DC1" w:rsidRDefault="00EA3DC1" w:rsidP="00EA3DC1">
      <w:pPr>
        <w:widowControl w:val="0"/>
        <w:tabs>
          <w:tab w:val="right" w:pos="935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NQABA TILAYI</w:t>
      </w:r>
      <w:r>
        <w:rPr>
          <w:rFonts w:ascii="Arial" w:hAnsi="Arial" w:cs="Arial"/>
          <w:b/>
          <w:sz w:val="24"/>
          <w:szCs w:val="24"/>
        </w:rPr>
        <w:tab/>
        <w:t>5</w:t>
      </w:r>
      <w:r w:rsidRPr="00EA3DC1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Respondent</w:t>
      </w:r>
    </w:p>
    <w:p w14:paraId="47C940C9" w14:textId="58CBE027" w:rsidR="00EA3DC1" w:rsidRDefault="00EA3DC1" w:rsidP="00EA3DC1">
      <w:pPr>
        <w:widowControl w:val="0"/>
        <w:tabs>
          <w:tab w:val="right" w:pos="935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ZUKO TILAYI</w:t>
      </w:r>
      <w:r>
        <w:rPr>
          <w:rFonts w:ascii="Arial" w:hAnsi="Arial" w:cs="Arial"/>
          <w:b/>
          <w:sz w:val="24"/>
          <w:szCs w:val="24"/>
        </w:rPr>
        <w:tab/>
        <w:t>6</w:t>
      </w:r>
      <w:r w:rsidRPr="00EA3DC1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Respondent</w:t>
      </w:r>
    </w:p>
    <w:p w14:paraId="2063215F" w14:textId="7E40834F" w:rsidR="00EA3DC1" w:rsidRDefault="00EA3DC1" w:rsidP="00EA3DC1">
      <w:pPr>
        <w:widowControl w:val="0"/>
        <w:tabs>
          <w:tab w:val="right" w:pos="935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ZUKISANI TILAYI</w:t>
      </w:r>
      <w:r>
        <w:rPr>
          <w:rFonts w:ascii="Arial" w:hAnsi="Arial" w:cs="Arial"/>
          <w:b/>
          <w:sz w:val="24"/>
          <w:szCs w:val="24"/>
        </w:rPr>
        <w:tab/>
        <w:t>7</w:t>
      </w:r>
      <w:r w:rsidRPr="00EA3DC1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Respondent</w:t>
      </w:r>
    </w:p>
    <w:p w14:paraId="0BFA5F4B" w14:textId="7211BACB" w:rsidR="00EA3DC1" w:rsidRDefault="00EA3DC1" w:rsidP="00EA3DC1">
      <w:pPr>
        <w:widowControl w:val="0"/>
        <w:tabs>
          <w:tab w:val="right" w:pos="935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MONWABISI TILAYI</w:t>
      </w:r>
      <w:r>
        <w:rPr>
          <w:rFonts w:ascii="Arial" w:hAnsi="Arial" w:cs="Arial"/>
          <w:b/>
          <w:sz w:val="24"/>
          <w:szCs w:val="24"/>
        </w:rPr>
        <w:tab/>
        <w:t>8</w:t>
      </w:r>
      <w:r w:rsidRPr="00EA3DC1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Respondent</w:t>
      </w:r>
    </w:p>
    <w:p w14:paraId="2D37FC74" w14:textId="27E9FF81" w:rsidR="00EA3DC1" w:rsidRDefault="00EA3DC1" w:rsidP="00EA3DC1">
      <w:pPr>
        <w:widowControl w:val="0"/>
        <w:tabs>
          <w:tab w:val="right" w:pos="935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ANDISWA TILAYI</w:t>
      </w:r>
      <w:r>
        <w:rPr>
          <w:rFonts w:ascii="Arial" w:hAnsi="Arial" w:cs="Arial"/>
          <w:b/>
          <w:sz w:val="24"/>
          <w:szCs w:val="24"/>
        </w:rPr>
        <w:tab/>
        <w:t>9</w:t>
      </w:r>
      <w:r w:rsidRPr="00EA3DC1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Respondent</w:t>
      </w:r>
    </w:p>
    <w:p w14:paraId="56FBCB42" w14:textId="312C0675" w:rsidR="00EA3DC1" w:rsidRDefault="00EA3DC1" w:rsidP="00EA3DC1">
      <w:pPr>
        <w:widowControl w:val="0"/>
        <w:tabs>
          <w:tab w:val="right" w:pos="935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BABALWA TILAYI</w:t>
      </w:r>
      <w:r>
        <w:rPr>
          <w:rFonts w:ascii="Arial" w:hAnsi="Arial" w:cs="Arial"/>
          <w:b/>
          <w:sz w:val="24"/>
          <w:szCs w:val="24"/>
        </w:rPr>
        <w:tab/>
        <w:t>10</w:t>
      </w:r>
      <w:r w:rsidRPr="00EA3DC1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Respondent</w:t>
      </w:r>
    </w:p>
    <w:p w14:paraId="0100834F" w14:textId="2AB5EA54" w:rsidR="00EA3DC1" w:rsidRDefault="00EA3DC1" w:rsidP="00EA3DC1">
      <w:pPr>
        <w:widowControl w:val="0"/>
        <w:tabs>
          <w:tab w:val="right" w:pos="935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SIBONGISENI VOYI</w:t>
      </w:r>
      <w:r>
        <w:rPr>
          <w:rFonts w:ascii="Arial" w:hAnsi="Arial" w:cs="Arial"/>
          <w:b/>
          <w:sz w:val="24"/>
          <w:szCs w:val="24"/>
        </w:rPr>
        <w:tab/>
        <w:t>11</w:t>
      </w:r>
      <w:r w:rsidRPr="00EA3DC1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Respondent</w:t>
      </w:r>
    </w:p>
    <w:p w14:paraId="1FEB6146" w14:textId="28A3E83E" w:rsidR="00EA3DC1" w:rsidRDefault="00EA3DC1" w:rsidP="00EA3DC1">
      <w:pPr>
        <w:widowControl w:val="0"/>
        <w:tabs>
          <w:tab w:val="right" w:pos="935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SIKHUMBULE MQOMBOTI</w:t>
      </w:r>
      <w:r>
        <w:rPr>
          <w:rFonts w:ascii="Arial" w:hAnsi="Arial" w:cs="Arial"/>
          <w:b/>
          <w:sz w:val="24"/>
          <w:szCs w:val="24"/>
        </w:rPr>
        <w:tab/>
        <w:t>12</w:t>
      </w:r>
      <w:r w:rsidRPr="00EA3DC1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Respondent</w:t>
      </w:r>
    </w:p>
    <w:p w14:paraId="33116C24" w14:textId="2545FB55" w:rsidR="00EA3DC1" w:rsidRDefault="00EA3DC1" w:rsidP="00EA3DC1">
      <w:pPr>
        <w:widowControl w:val="0"/>
        <w:tabs>
          <w:tab w:val="right" w:pos="935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KHOLEKA KUTSHWA</w:t>
      </w:r>
      <w:r>
        <w:rPr>
          <w:rFonts w:ascii="Arial" w:hAnsi="Arial" w:cs="Arial"/>
          <w:b/>
          <w:sz w:val="24"/>
          <w:szCs w:val="24"/>
        </w:rPr>
        <w:tab/>
        <w:t>13</w:t>
      </w:r>
      <w:r w:rsidRPr="00EA3DC1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Respondent</w:t>
      </w:r>
    </w:p>
    <w:p w14:paraId="08C7A14E" w14:textId="622FC175" w:rsidR="00EA3DC1" w:rsidRDefault="00EA3DC1" w:rsidP="00EA3DC1">
      <w:pPr>
        <w:widowControl w:val="0"/>
        <w:tabs>
          <w:tab w:val="right" w:pos="935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HLELA MQUQO</w:t>
      </w:r>
      <w:r>
        <w:rPr>
          <w:rFonts w:ascii="Arial" w:hAnsi="Arial" w:cs="Arial"/>
          <w:b/>
          <w:sz w:val="24"/>
          <w:szCs w:val="24"/>
        </w:rPr>
        <w:tab/>
        <w:t>14</w:t>
      </w:r>
      <w:r w:rsidRPr="00EA3DC1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Respondent</w:t>
      </w:r>
    </w:p>
    <w:p w14:paraId="5D1D9AB1" w14:textId="36F5083E" w:rsidR="00EA3DC1" w:rsidRDefault="00EA3DC1" w:rsidP="00EA3DC1">
      <w:pPr>
        <w:widowControl w:val="0"/>
        <w:tabs>
          <w:tab w:val="right" w:pos="935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ZOLEKA VANGILE on behalf of IZIBELE VANGILE</w:t>
      </w:r>
      <w:r>
        <w:rPr>
          <w:rFonts w:ascii="Arial" w:hAnsi="Arial" w:cs="Arial"/>
          <w:b/>
          <w:sz w:val="24"/>
          <w:szCs w:val="24"/>
        </w:rPr>
        <w:tab/>
        <w:t>15</w:t>
      </w:r>
      <w:r w:rsidRPr="00EA3DC1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Respondent</w:t>
      </w:r>
    </w:p>
    <w:p w14:paraId="7149F7C1" w14:textId="24473DCB" w:rsidR="00EA3DC1" w:rsidRDefault="00EA3DC1" w:rsidP="00EA3DC1">
      <w:pPr>
        <w:widowControl w:val="0"/>
        <w:tabs>
          <w:tab w:val="right" w:pos="935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SGAGA VANGILE</w:t>
      </w:r>
      <w:r>
        <w:rPr>
          <w:rFonts w:ascii="Arial" w:hAnsi="Arial" w:cs="Arial"/>
          <w:b/>
          <w:sz w:val="24"/>
          <w:szCs w:val="24"/>
        </w:rPr>
        <w:tab/>
        <w:t>16</w:t>
      </w:r>
      <w:r w:rsidRPr="00EA3DC1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Respondent</w:t>
      </w:r>
    </w:p>
    <w:p w14:paraId="5C1A4E11" w14:textId="1F646D23" w:rsidR="00EA3DC1" w:rsidRDefault="00EA3DC1" w:rsidP="00EA3DC1">
      <w:pPr>
        <w:widowControl w:val="0"/>
        <w:tabs>
          <w:tab w:val="right" w:pos="935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YONELA DUBE</w:t>
      </w:r>
      <w:r>
        <w:rPr>
          <w:rFonts w:ascii="Arial" w:hAnsi="Arial" w:cs="Arial"/>
          <w:b/>
          <w:sz w:val="24"/>
          <w:szCs w:val="24"/>
        </w:rPr>
        <w:tab/>
        <w:t>17</w:t>
      </w:r>
      <w:r w:rsidRPr="00EA3DC1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Respondent</w:t>
      </w:r>
    </w:p>
    <w:p w14:paraId="6ABB9BBF" w14:textId="5EEDED24" w:rsidR="00EA3DC1" w:rsidRDefault="00EA3DC1" w:rsidP="00EA3DC1">
      <w:pPr>
        <w:widowControl w:val="0"/>
        <w:tabs>
          <w:tab w:val="right" w:pos="935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NALEDI NQABISA</w:t>
      </w:r>
      <w:r>
        <w:rPr>
          <w:rFonts w:ascii="Arial" w:hAnsi="Arial" w:cs="Arial"/>
          <w:b/>
          <w:sz w:val="24"/>
          <w:szCs w:val="24"/>
        </w:rPr>
        <w:tab/>
        <w:t>18</w:t>
      </w:r>
      <w:r w:rsidRPr="00EA3DC1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Respondent</w:t>
      </w:r>
    </w:p>
    <w:p w14:paraId="68AF7822" w14:textId="106DA940" w:rsidR="00EA3DC1" w:rsidRDefault="00EA3DC1" w:rsidP="00EA3DC1">
      <w:pPr>
        <w:widowControl w:val="0"/>
        <w:tabs>
          <w:tab w:val="right" w:pos="935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ETHEL NOFUMA</w:t>
      </w:r>
      <w:r>
        <w:rPr>
          <w:rFonts w:ascii="Arial" w:hAnsi="Arial" w:cs="Arial"/>
          <w:b/>
          <w:sz w:val="24"/>
          <w:szCs w:val="24"/>
        </w:rPr>
        <w:tab/>
        <w:t>19</w:t>
      </w:r>
      <w:r w:rsidRPr="00EA3DC1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Respondent</w:t>
      </w:r>
    </w:p>
    <w:p w14:paraId="5A02B292" w14:textId="1E2CE21F" w:rsidR="00EA3DC1" w:rsidRDefault="00EA3DC1" w:rsidP="00EA3DC1">
      <w:pPr>
        <w:widowControl w:val="0"/>
        <w:tabs>
          <w:tab w:val="right" w:pos="935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ZOLILE NOGANTSHO </w:t>
      </w:r>
      <w:r>
        <w:rPr>
          <w:rFonts w:ascii="Arial" w:hAnsi="Arial" w:cs="Arial"/>
          <w:b/>
          <w:sz w:val="24"/>
          <w:szCs w:val="24"/>
        </w:rPr>
        <w:tab/>
        <w:t>20</w:t>
      </w:r>
      <w:r w:rsidRPr="00EA3DC1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Respondent</w:t>
      </w:r>
    </w:p>
    <w:p w14:paraId="3AEB84F2" w14:textId="1E2D04B7" w:rsidR="00EA3DC1" w:rsidRDefault="00EA3DC1" w:rsidP="00EA3DC1">
      <w:pPr>
        <w:widowControl w:val="0"/>
        <w:tabs>
          <w:tab w:val="right" w:pos="935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NONTLE TILAYI </w:t>
      </w:r>
      <w:r>
        <w:rPr>
          <w:rFonts w:ascii="Arial" w:hAnsi="Arial" w:cs="Arial"/>
          <w:b/>
          <w:sz w:val="24"/>
          <w:szCs w:val="24"/>
        </w:rPr>
        <w:tab/>
        <w:t>21</w:t>
      </w:r>
      <w:r w:rsidRPr="00EA3DC1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Respondent</w:t>
      </w:r>
    </w:p>
    <w:p w14:paraId="401AA2A4" w14:textId="5F1B14A1" w:rsidR="00EA3DC1" w:rsidRDefault="00EA3DC1" w:rsidP="00EA3DC1">
      <w:pPr>
        <w:widowControl w:val="0"/>
        <w:tabs>
          <w:tab w:val="right" w:pos="935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ZUKISWA TILAYI</w:t>
      </w:r>
      <w:r>
        <w:rPr>
          <w:rFonts w:ascii="Arial" w:hAnsi="Arial" w:cs="Arial"/>
          <w:b/>
          <w:sz w:val="24"/>
          <w:szCs w:val="24"/>
        </w:rPr>
        <w:tab/>
        <w:t>22</w:t>
      </w:r>
      <w:r w:rsidRPr="00EA3DC1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Respondent</w:t>
      </w:r>
    </w:p>
    <w:p w14:paraId="2CF33F27" w14:textId="4906B62A" w:rsidR="00EA3DC1" w:rsidRDefault="00EA3DC1" w:rsidP="00EA3DC1">
      <w:pPr>
        <w:widowControl w:val="0"/>
        <w:tabs>
          <w:tab w:val="right" w:pos="935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UNATHI TILAYI</w:t>
      </w:r>
      <w:r>
        <w:rPr>
          <w:rFonts w:ascii="Arial" w:hAnsi="Arial" w:cs="Arial"/>
          <w:b/>
          <w:sz w:val="24"/>
          <w:szCs w:val="24"/>
        </w:rPr>
        <w:tab/>
        <w:t>23</w:t>
      </w:r>
      <w:r w:rsidRPr="00EA3DC1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Respondent</w:t>
      </w:r>
    </w:p>
    <w:p w14:paraId="2187353D" w14:textId="2B98A0EC" w:rsidR="00EA3DC1" w:rsidRDefault="00EA3DC1" w:rsidP="00EA3DC1">
      <w:pPr>
        <w:widowControl w:val="0"/>
        <w:tabs>
          <w:tab w:val="right" w:pos="935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VUYOKAZI TILAYI</w:t>
      </w:r>
      <w:r>
        <w:rPr>
          <w:rFonts w:ascii="Arial" w:hAnsi="Arial" w:cs="Arial"/>
          <w:b/>
          <w:sz w:val="24"/>
          <w:szCs w:val="24"/>
        </w:rPr>
        <w:tab/>
        <w:t>24</w:t>
      </w:r>
      <w:r w:rsidRPr="00EA3DC1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Respondent</w:t>
      </w:r>
    </w:p>
    <w:p w14:paraId="05B8DE17" w14:textId="24136B3B" w:rsidR="00EA3DC1" w:rsidRDefault="00EA3DC1" w:rsidP="00EA3DC1">
      <w:pPr>
        <w:widowControl w:val="0"/>
        <w:tabs>
          <w:tab w:val="right" w:pos="935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BONGINKOSI TILAYI</w:t>
      </w:r>
      <w:r>
        <w:rPr>
          <w:rFonts w:ascii="Arial" w:hAnsi="Arial" w:cs="Arial"/>
          <w:b/>
          <w:sz w:val="24"/>
          <w:szCs w:val="24"/>
        </w:rPr>
        <w:tab/>
        <w:t>25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b/>
          <w:sz w:val="24"/>
          <w:szCs w:val="24"/>
        </w:rPr>
        <w:t>Respondent</w:t>
      </w:r>
    </w:p>
    <w:p w14:paraId="1E774FC0" w14:textId="60C07282" w:rsidR="00EA3DC1" w:rsidRDefault="00EA3DC1" w:rsidP="00EA3DC1">
      <w:pPr>
        <w:widowControl w:val="0"/>
        <w:tabs>
          <w:tab w:val="right" w:pos="935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LULAMA SOMDAKA</w:t>
      </w:r>
      <w:r>
        <w:rPr>
          <w:rFonts w:ascii="Arial" w:hAnsi="Arial" w:cs="Arial"/>
          <w:b/>
          <w:sz w:val="24"/>
          <w:szCs w:val="24"/>
        </w:rPr>
        <w:tab/>
        <w:t>26</w:t>
      </w:r>
      <w:r w:rsidRPr="00EA3DC1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Respondent</w:t>
      </w:r>
    </w:p>
    <w:p w14:paraId="51F5DD09" w14:textId="378A2DCF" w:rsidR="0078495B" w:rsidRDefault="0078495B" w:rsidP="00EA3DC1">
      <w:pPr>
        <w:widowControl w:val="0"/>
        <w:tabs>
          <w:tab w:val="right" w:pos="935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MNCEDISI NOFUMA</w:t>
      </w:r>
      <w:r>
        <w:rPr>
          <w:rFonts w:ascii="Arial" w:hAnsi="Arial" w:cs="Arial"/>
          <w:b/>
          <w:sz w:val="24"/>
          <w:szCs w:val="24"/>
        </w:rPr>
        <w:tab/>
        <w:t>27</w:t>
      </w:r>
      <w:r w:rsidRPr="0078495B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Respondent</w:t>
      </w:r>
    </w:p>
    <w:p w14:paraId="4B0C309F" w14:textId="38AAE2B1" w:rsidR="0078495B" w:rsidRDefault="0078495B" w:rsidP="00EA3DC1">
      <w:pPr>
        <w:widowControl w:val="0"/>
        <w:tabs>
          <w:tab w:val="right" w:pos="935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EVELYN GCULE</w:t>
      </w:r>
      <w:r>
        <w:rPr>
          <w:rFonts w:ascii="Arial" w:hAnsi="Arial" w:cs="Arial"/>
          <w:b/>
          <w:sz w:val="24"/>
          <w:szCs w:val="24"/>
        </w:rPr>
        <w:tab/>
        <w:t>28</w:t>
      </w:r>
      <w:r w:rsidRPr="0078495B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Respondent</w:t>
      </w:r>
    </w:p>
    <w:p w14:paraId="0EC76EFB" w14:textId="0DBF1B25" w:rsidR="0078495B" w:rsidRDefault="0078495B" w:rsidP="00EA3DC1">
      <w:pPr>
        <w:widowControl w:val="0"/>
        <w:tabs>
          <w:tab w:val="right" w:pos="9356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SIBONGILE TILAYI</w:t>
      </w:r>
      <w:r>
        <w:rPr>
          <w:rFonts w:ascii="Arial" w:hAnsi="Arial" w:cs="Arial"/>
          <w:b/>
          <w:sz w:val="24"/>
          <w:szCs w:val="24"/>
        </w:rPr>
        <w:tab/>
        <w:t>29</w:t>
      </w:r>
      <w:r w:rsidRPr="0078495B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Respondent</w:t>
      </w:r>
    </w:p>
    <w:p w14:paraId="418F0AF7" w14:textId="1FDA036B" w:rsidR="002740B1" w:rsidRPr="002740B1" w:rsidRDefault="002740B1" w:rsidP="002740B1">
      <w:pPr>
        <w:spacing w:line="360" w:lineRule="auto"/>
        <w:rPr>
          <w:rFonts w:ascii="Arial" w:hAnsi="Arial" w:cs="Arial"/>
          <w:sz w:val="24"/>
          <w:szCs w:val="24"/>
        </w:rPr>
      </w:pPr>
      <w:r w:rsidRPr="002740B1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78495B">
        <w:rPr>
          <w:rFonts w:ascii="Arial" w:hAnsi="Arial" w:cs="Arial"/>
          <w:sz w:val="24"/>
          <w:szCs w:val="24"/>
        </w:rPr>
        <w:t>_</w:t>
      </w:r>
    </w:p>
    <w:p w14:paraId="47CAB0D0" w14:textId="26FD999D" w:rsidR="002740B1" w:rsidRPr="004D3653" w:rsidRDefault="002740B1" w:rsidP="004D365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D3653">
        <w:rPr>
          <w:rFonts w:ascii="Arial" w:hAnsi="Arial" w:cs="Arial"/>
          <w:b/>
          <w:bCs/>
          <w:sz w:val="24"/>
          <w:szCs w:val="24"/>
        </w:rPr>
        <w:t>REASONS FOR JUDGMENT</w:t>
      </w:r>
    </w:p>
    <w:p w14:paraId="585ECA96" w14:textId="40A9327D" w:rsidR="002740B1" w:rsidRPr="002740B1" w:rsidRDefault="002740B1" w:rsidP="002740B1">
      <w:pPr>
        <w:spacing w:line="360" w:lineRule="auto"/>
        <w:rPr>
          <w:rFonts w:ascii="Arial" w:hAnsi="Arial" w:cs="Arial"/>
          <w:sz w:val="24"/>
          <w:szCs w:val="24"/>
        </w:rPr>
      </w:pPr>
      <w:r w:rsidRPr="002740B1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BCF9D87" w14:textId="3505B15C" w:rsidR="002740B1" w:rsidRPr="004D3653" w:rsidRDefault="002740B1" w:rsidP="002740B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D3653">
        <w:rPr>
          <w:rFonts w:ascii="Arial" w:hAnsi="Arial" w:cs="Arial"/>
          <w:b/>
          <w:bCs/>
          <w:sz w:val="24"/>
          <w:szCs w:val="24"/>
        </w:rPr>
        <w:lastRenderedPageBreak/>
        <w:t>LAING J</w:t>
      </w:r>
    </w:p>
    <w:p w14:paraId="3E572699" w14:textId="77777777" w:rsidR="00D20E81" w:rsidRDefault="00D20E81" w:rsidP="002740B1">
      <w:pPr>
        <w:spacing w:line="360" w:lineRule="auto"/>
        <w:rPr>
          <w:rFonts w:ascii="Arial" w:hAnsi="Arial" w:cs="Arial"/>
          <w:sz w:val="24"/>
          <w:szCs w:val="24"/>
        </w:rPr>
      </w:pPr>
    </w:p>
    <w:p w14:paraId="4A8B7DFD" w14:textId="348D8E86" w:rsidR="002740B1" w:rsidRPr="0069166A" w:rsidRDefault="0069166A" w:rsidP="006916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58F">
        <w:rPr>
          <w:rFonts w:ascii="Arial" w:hAnsi="Arial" w:cs="Arial"/>
          <w:sz w:val="24"/>
          <w:szCs w:val="24"/>
        </w:rPr>
        <w:t>[1]</w:t>
      </w:r>
      <w:r w:rsidRPr="0015558F">
        <w:rPr>
          <w:rFonts w:ascii="Arial" w:hAnsi="Arial" w:cs="Arial"/>
          <w:sz w:val="24"/>
          <w:szCs w:val="24"/>
        </w:rPr>
        <w:tab/>
      </w:r>
      <w:r w:rsidR="002740B1" w:rsidRPr="0069166A">
        <w:rPr>
          <w:rFonts w:ascii="Arial" w:hAnsi="Arial" w:cs="Arial"/>
          <w:sz w:val="24"/>
          <w:szCs w:val="24"/>
        </w:rPr>
        <w:t xml:space="preserve">This </w:t>
      </w:r>
      <w:r w:rsidR="00EB2957" w:rsidRPr="0069166A">
        <w:rPr>
          <w:rFonts w:ascii="Arial" w:hAnsi="Arial" w:cs="Arial"/>
          <w:sz w:val="24"/>
          <w:szCs w:val="24"/>
        </w:rPr>
        <w:t>wa</w:t>
      </w:r>
      <w:r w:rsidR="002740B1" w:rsidRPr="0069166A">
        <w:rPr>
          <w:rFonts w:ascii="Arial" w:hAnsi="Arial" w:cs="Arial"/>
          <w:sz w:val="24"/>
          <w:szCs w:val="24"/>
        </w:rPr>
        <w:t xml:space="preserve">s an application for </w:t>
      </w:r>
      <w:r w:rsidR="00DF1DF4" w:rsidRPr="0069166A">
        <w:rPr>
          <w:rFonts w:ascii="Arial" w:hAnsi="Arial" w:cs="Arial"/>
          <w:sz w:val="24"/>
          <w:szCs w:val="24"/>
        </w:rPr>
        <w:t xml:space="preserve">an order directing the first respondent </w:t>
      </w:r>
      <w:r w:rsidR="008D4676" w:rsidRPr="0069166A">
        <w:rPr>
          <w:rFonts w:ascii="Arial" w:hAnsi="Arial" w:cs="Arial"/>
          <w:sz w:val="24"/>
          <w:szCs w:val="24"/>
        </w:rPr>
        <w:t xml:space="preserve">to accept the codicil of the late Mr </w:t>
      </w:r>
      <w:r w:rsidR="00FD45EA" w:rsidRPr="0069166A">
        <w:rPr>
          <w:rFonts w:ascii="Arial" w:hAnsi="Arial" w:cs="Arial"/>
          <w:sz w:val="24"/>
          <w:szCs w:val="24"/>
        </w:rPr>
        <w:t xml:space="preserve">Samuel </w:t>
      </w:r>
      <w:proofErr w:type="spellStart"/>
      <w:r w:rsidR="0059777F" w:rsidRPr="0069166A">
        <w:rPr>
          <w:rFonts w:ascii="Arial" w:hAnsi="Arial" w:cs="Arial"/>
          <w:sz w:val="24"/>
          <w:szCs w:val="24"/>
        </w:rPr>
        <w:t>Sonwabo</w:t>
      </w:r>
      <w:proofErr w:type="spellEnd"/>
      <w:r w:rsidR="0059777F" w:rsidRPr="00691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777F" w:rsidRPr="0069166A">
        <w:rPr>
          <w:rFonts w:ascii="Arial" w:hAnsi="Arial" w:cs="Arial"/>
          <w:sz w:val="24"/>
          <w:szCs w:val="24"/>
        </w:rPr>
        <w:t>Tilayi</w:t>
      </w:r>
      <w:proofErr w:type="spellEnd"/>
      <w:r w:rsidR="0059777F" w:rsidRPr="0069166A">
        <w:rPr>
          <w:rFonts w:ascii="Arial" w:hAnsi="Arial" w:cs="Arial"/>
          <w:sz w:val="24"/>
          <w:szCs w:val="24"/>
        </w:rPr>
        <w:t xml:space="preserve"> (‘the deceased’) as his last will and testament, under section </w:t>
      </w:r>
      <w:r w:rsidR="00840456" w:rsidRPr="0069166A">
        <w:rPr>
          <w:rFonts w:ascii="Arial" w:hAnsi="Arial" w:cs="Arial"/>
          <w:sz w:val="24"/>
          <w:szCs w:val="24"/>
        </w:rPr>
        <w:t>2(3) of the Wills Act</w:t>
      </w:r>
      <w:r w:rsidR="00AD4525" w:rsidRPr="0069166A">
        <w:rPr>
          <w:rFonts w:ascii="Arial" w:hAnsi="Arial" w:cs="Arial"/>
          <w:sz w:val="24"/>
          <w:szCs w:val="24"/>
        </w:rPr>
        <w:t xml:space="preserve"> 7 of 1953</w:t>
      </w:r>
      <w:r w:rsidR="00B8023C" w:rsidRPr="0069166A">
        <w:rPr>
          <w:rFonts w:ascii="Arial" w:hAnsi="Arial" w:cs="Arial"/>
          <w:sz w:val="24"/>
          <w:szCs w:val="24"/>
        </w:rPr>
        <w:t xml:space="preserve"> (‘the Act’)</w:t>
      </w:r>
      <w:r w:rsidR="00AD4525" w:rsidRPr="0069166A">
        <w:rPr>
          <w:rFonts w:ascii="Arial" w:hAnsi="Arial" w:cs="Arial"/>
          <w:sz w:val="24"/>
          <w:szCs w:val="24"/>
        </w:rPr>
        <w:t>.</w:t>
      </w:r>
      <w:r w:rsidR="00040AFA" w:rsidRPr="0069166A">
        <w:rPr>
          <w:rFonts w:ascii="Arial" w:hAnsi="Arial" w:cs="Arial"/>
          <w:sz w:val="24"/>
          <w:szCs w:val="24"/>
        </w:rPr>
        <w:t xml:space="preserve"> The court</w:t>
      </w:r>
      <w:r w:rsidR="00FB21C7" w:rsidRPr="0069166A">
        <w:rPr>
          <w:rFonts w:ascii="Arial" w:hAnsi="Arial" w:cs="Arial"/>
          <w:sz w:val="24"/>
          <w:szCs w:val="24"/>
        </w:rPr>
        <w:t xml:space="preserve"> previously dismissed the application. The reasons for judgment follow, pursuant to the applic</w:t>
      </w:r>
      <w:r w:rsidR="00F00CA5" w:rsidRPr="0069166A">
        <w:rPr>
          <w:rFonts w:ascii="Arial" w:hAnsi="Arial" w:cs="Arial"/>
          <w:sz w:val="24"/>
          <w:szCs w:val="24"/>
        </w:rPr>
        <w:t>ants’ request.</w:t>
      </w:r>
    </w:p>
    <w:p w14:paraId="1F80C628" w14:textId="77777777" w:rsidR="00F00CA5" w:rsidRDefault="00F00CA5" w:rsidP="002740B1">
      <w:pPr>
        <w:spacing w:line="360" w:lineRule="auto"/>
        <w:rPr>
          <w:rFonts w:ascii="Arial" w:hAnsi="Arial" w:cs="Arial"/>
          <w:sz w:val="24"/>
          <w:szCs w:val="24"/>
        </w:rPr>
      </w:pPr>
    </w:p>
    <w:p w14:paraId="411CCC6C" w14:textId="501CC09C" w:rsidR="00F00CA5" w:rsidRPr="00BC15E6" w:rsidRDefault="00F00CA5" w:rsidP="002740B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C15E6">
        <w:rPr>
          <w:rFonts w:ascii="Arial" w:hAnsi="Arial" w:cs="Arial"/>
          <w:b/>
          <w:bCs/>
          <w:sz w:val="24"/>
          <w:szCs w:val="24"/>
        </w:rPr>
        <w:t>Background</w:t>
      </w:r>
    </w:p>
    <w:p w14:paraId="3A322E80" w14:textId="77777777" w:rsidR="00F00CA5" w:rsidRDefault="00F00CA5" w:rsidP="002740B1">
      <w:pPr>
        <w:spacing w:line="360" w:lineRule="auto"/>
        <w:rPr>
          <w:rFonts w:ascii="Arial" w:hAnsi="Arial" w:cs="Arial"/>
          <w:sz w:val="24"/>
          <w:szCs w:val="24"/>
        </w:rPr>
      </w:pPr>
    </w:p>
    <w:p w14:paraId="2F95D617" w14:textId="58968803" w:rsidR="0015558F" w:rsidRPr="0069166A" w:rsidRDefault="0069166A" w:rsidP="006916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</w:r>
      <w:r w:rsidR="00170E1F" w:rsidRPr="0069166A">
        <w:rPr>
          <w:rFonts w:ascii="Arial" w:hAnsi="Arial" w:cs="Arial"/>
          <w:sz w:val="24"/>
          <w:szCs w:val="24"/>
        </w:rPr>
        <w:t xml:space="preserve">The </w:t>
      </w:r>
      <w:r w:rsidR="00A778A7" w:rsidRPr="0069166A">
        <w:rPr>
          <w:rFonts w:ascii="Arial" w:hAnsi="Arial" w:cs="Arial"/>
          <w:sz w:val="24"/>
          <w:szCs w:val="24"/>
        </w:rPr>
        <w:t>applicants allege</w:t>
      </w:r>
      <w:r w:rsidR="002B5B2D" w:rsidRPr="0069166A">
        <w:rPr>
          <w:rFonts w:ascii="Arial" w:hAnsi="Arial" w:cs="Arial"/>
          <w:sz w:val="24"/>
          <w:szCs w:val="24"/>
        </w:rPr>
        <w:t>d</w:t>
      </w:r>
      <w:r w:rsidR="00A778A7" w:rsidRPr="0069166A">
        <w:rPr>
          <w:rFonts w:ascii="Arial" w:hAnsi="Arial" w:cs="Arial"/>
          <w:sz w:val="24"/>
          <w:szCs w:val="24"/>
        </w:rPr>
        <w:t xml:space="preserve"> that the deceased</w:t>
      </w:r>
      <w:r w:rsidR="00676CC8" w:rsidRPr="0069166A">
        <w:rPr>
          <w:rFonts w:ascii="Arial" w:hAnsi="Arial" w:cs="Arial"/>
          <w:sz w:val="24"/>
          <w:szCs w:val="24"/>
        </w:rPr>
        <w:t xml:space="preserve"> prepared a codicil to his </w:t>
      </w:r>
      <w:r w:rsidR="00053613" w:rsidRPr="0069166A">
        <w:rPr>
          <w:rFonts w:ascii="Arial" w:hAnsi="Arial" w:cs="Arial"/>
          <w:sz w:val="24"/>
          <w:szCs w:val="24"/>
        </w:rPr>
        <w:t xml:space="preserve">will </w:t>
      </w:r>
      <w:r w:rsidR="00146B20" w:rsidRPr="0069166A">
        <w:rPr>
          <w:rFonts w:ascii="Arial" w:hAnsi="Arial" w:cs="Arial"/>
          <w:sz w:val="24"/>
          <w:szCs w:val="24"/>
        </w:rPr>
        <w:t>on 28 July 2020</w:t>
      </w:r>
      <w:r w:rsidR="00112144" w:rsidRPr="0069166A">
        <w:rPr>
          <w:rFonts w:ascii="Arial" w:hAnsi="Arial" w:cs="Arial"/>
          <w:sz w:val="24"/>
          <w:szCs w:val="24"/>
        </w:rPr>
        <w:t xml:space="preserve">, while undergoing medical treatment </w:t>
      </w:r>
      <w:r w:rsidR="008F0775" w:rsidRPr="0069166A">
        <w:rPr>
          <w:rFonts w:ascii="Arial" w:hAnsi="Arial" w:cs="Arial"/>
          <w:sz w:val="24"/>
          <w:szCs w:val="24"/>
        </w:rPr>
        <w:t xml:space="preserve">for </w:t>
      </w:r>
      <w:r w:rsidR="002A582D" w:rsidRPr="0069166A">
        <w:rPr>
          <w:rFonts w:ascii="Arial" w:hAnsi="Arial" w:cs="Arial"/>
          <w:sz w:val="24"/>
          <w:szCs w:val="24"/>
        </w:rPr>
        <w:t>COVID-19 at St Anne’s H</w:t>
      </w:r>
      <w:r w:rsidR="00112144" w:rsidRPr="0069166A">
        <w:rPr>
          <w:rFonts w:ascii="Arial" w:hAnsi="Arial" w:cs="Arial"/>
          <w:sz w:val="24"/>
          <w:szCs w:val="24"/>
        </w:rPr>
        <w:t>ospital</w:t>
      </w:r>
      <w:r w:rsidR="002A582D" w:rsidRPr="0069166A">
        <w:rPr>
          <w:rFonts w:ascii="Arial" w:hAnsi="Arial" w:cs="Arial"/>
          <w:sz w:val="24"/>
          <w:szCs w:val="24"/>
        </w:rPr>
        <w:t xml:space="preserve"> in Pietermarit</w:t>
      </w:r>
      <w:r w:rsidR="00BD47EC" w:rsidRPr="0069166A">
        <w:rPr>
          <w:rFonts w:ascii="Arial" w:hAnsi="Arial" w:cs="Arial"/>
          <w:sz w:val="24"/>
          <w:szCs w:val="24"/>
        </w:rPr>
        <w:t>zburg</w:t>
      </w:r>
      <w:r w:rsidR="00001A9F" w:rsidRPr="0069166A">
        <w:rPr>
          <w:rFonts w:ascii="Arial" w:hAnsi="Arial" w:cs="Arial"/>
          <w:sz w:val="24"/>
          <w:szCs w:val="24"/>
        </w:rPr>
        <w:t xml:space="preserve">. </w:t>
      </w:r>
      <w:r w:rsidR="00C106E0" w:rsidRPr="0069166A">
        <w:rPr>
          <w:rFonts w:ascii="Arial" w:hAnsi="Arial" w:cs="Arial"/>
          <w:sz w:val="24"/>
          <w:szCs w:val="24"/>
        </w:rPr>
        <w:t xml:space="preserve">He commenced </w:t>
      </w:r>
      <w:r w:rsidR="00DA0B56" w:rsidRPr="0069166A">
        <w:rPr>
          <w:rFonts w:ascii="Arial" w:hAnsi="Arial" w:cs="Arial"/>
          <w:sz w:val="24"/>
          <w:szCs w:val="24"/>
        </w:rPr>
        <w:t xml:space="preserve">drafting the document in </w:t>
      </w:r>
      <w:r w:rsidR="00E207DF" w:rsidRPr="0069166A">
        <w:rPr>
          <w:rFonts w:ascii="Arial" w:hAnsi="Arial" w:cs="Arial"/>
          <w:sz w:val="24"/>
          <w:szCs w:val="24"/>
        </w:rPr>
        <w:t>manuscript,</w:t>
      </w:r>
      <w:r w:rsidR="00DA0B56" w:rsidRPr="0069166A">
        <w:rPr>
          <w:rFonts w:ascii="Arial" w:hAnsi="Arial" w:cs="Arial"/>
          <w:sz w:val="24"/>
          <w:szCs w:val="24"/>
        </w:rPr>
        <w:t xml:space="preserve"> but </w:t>
      </w:r>
      <w:r w:rsidR="00E23A46" w:rsidRPr="0069166A">
        <w:rPr>
          <w:rFonts w:ascii="Arial" w:hAnsi="Arial" w:cs="Arial"/>
          <w:sz w:val="24"/>
          <w:szCs w:val="24"/>
        </w:rPr>
        <w:t xml:space="preserve">fatigue prevented </w:t>
      </w:r>
      <w:r w:rsidR="00E760CA" w:rsidRPr="0069166A">
        <w:rPr>
          <w:rFonts w:ascii="Arial" w:hAnsi="Arial" w:cs="Arial"/>
          <w:sz w:val="24"/>
          <w:szCs w:val="24"/>
        </w:rPr>
        <w:t xml:space="preserve">him from </w:t>
      </w:r>
      <w:r w:rsidR="00637B60" w:rsidRPr="0069166A">
        <w:rPr>
          <w:rFonts w:ascii="Arial" w:hAnsi="Arial" w:cs="Arial"/>
          <w:sz w:val="24"/>
          <w:szCs w:val="24"/>
        </w:rPr>
        <w:t>complet</w:t>
      </w:r>
      <w:r w:rsidR="00E760CA" w:rsidRPr="0069166A">
        <w:rPr>
          <w:rFonts w:ascii="Arial" w:hAnsi="Arial" w:cs="Arial"/>
          <w:sz w:val="24"/>
          <w:szCs w:val="24"/>
        </w:rPr>
        <w:t>ing</w:t>
      </w:r>
      <w:r w:rsidR="00637B60" w:rsidRPr="0069166A">
        <w:rPr>
          <w:rFonts w:ascii="Arial" w:hAnsi="Arial" w:cs="Arial"/>
          <w:sz w:val="24"/>
          <w:szCs w:val="24"/>
        </w:rPr>
        <w:t xml:space="preserve"> the process. Consequently, allege</w:t>
      </w:r>
      <w:r w:rsidR="00B47FC9" w:rsidRPr="0069166A">
        <w:rPr>
          <w:rFonts w:ascii="Arial" w:hAnsi="Arial" w:cs="Arial"/>
          <w:sz w:val="24"/>
          <w:szCs w:val="24"/>
        </w:rPr>
        <w:t>d</w:t>
      </w:r>
      <w:r w:rsidR="00637B60" w:rsidRPr="0069166A">
        <w:rPr>
          <w:rFonts w:ascii="Arial" w:hAnsi="Arial" w:cs="Arial"/>
          <w:sz w:val="24"/>
          <w:szCs w:val="24"/>
        </w:rPr>
        <w:t xml:space="preserve"> the applicants, he di</w:t>
      </w:r>
      <w:r w:rsidR="00095AD9" w:rsidRPr="0069166A">
        <w:rPr>
          <w:rFonts w:ascii="Arial" w:hAnsi="Arial" w:cs="Arial"/>
          <w:sz w:val="24"/>
          <w:szCs w:val="24"/>
        </w:rPr>
        <w:t xml:space="preserve">ctated the remainder of the codicil to his wife, </w:t>
      </w:r>
      <w:r w:rsidR="0041587F" w:rsidRPr="0069166A">
        <w:rPr>
          <w:rFonts w:ascii="Arial" w:hAnsi="Arial" w:cs="Arial"/>
          <w:sz w:val="24"/>
          <w:szCs w:val="24"/>
        </w:rPr>
        <w:t xml:space="preserve">the second respondent, who recorded his wishes </w:t>
      </w:r>
      <w:r w:rsidR="008040E6" w:rsidRPr="0069166A">
        <w:rPr>
          <w:rFonts w:ascii="Arial" w:hAnsi="Arial" w:cs="Arial"/>
          <w:sz w:val="24"/>
          <w:szCs w:val="24"/>
        </w:rPr>
        <w:t xml:space="preserve">in her own </w:t>
      </w:r>
      <w:r w:rsidR="00E44C4B" w:rsidRPr="0069166A">
        <w:rPr>
          <w:rFonts w:ascii="Arial" w:hAnsi="Arial" w:cs="Arial"/>
          <w:sz w:val="24"/>
          <w:szCs w:val="24"/>
        </w:rPr>
        <w:t xml:space="preserve">handwriting. </w:t>
      </w:r>
      <w:r w:rsidR="005370E0" w:rsidRPr="0069166A">
        <w:rPr>
          <w:rFonts w:ascii="Arial" w:hAnsi="Arial" w:cs="Arial"/>
          <w:sz w:val="24"/>
          <w:szCs w:val="24"/>
        </w:rPr>
        <w:t xml:space="preserve">The deceased confirmed the contents after the second respondent had read them </w:t>
      </w:r>
      <w:r w:rsidR="00325E19" w:rsidRPr="0069166A">
        <w:rPr>
          <w:rFonts w:ascii="Arial" w:hAnsi="Arial" w:cs="Arial"/>
          <w:sz w:val="24"/>
          <w:szCs w:val="24"/>
        </w:rPr>
        <w:t xml:space="preserve">back to him. He signed the </w:t>
      </w:r>
      <w:r w:rsidR="002517A6" w:rsidRPr="0069166A">
        <w:rPr>
          <w:rFonts w:ascii="Arial" w:hAnsi="Arial" w:cs="Arial"/>
          <w:sz w:val="24"/>
          <w:szCs w:val="24"/>
        </w:rPr>
        <w:t>document</w:t>
      </w:r>
      <w:r w:rsidR="00DA0CA2" w:rsidRPr="0069166A">
        <w:rPr>
          <w:rFonts w:ascii="Arial" w:hAnsi="Arial" w:cs="Arial"/>
          <w:sz w:val="24"/>
          <w:szCs w:val="24"/>
        </w:rPr>
        <w:t xml:space="preserve">, to which the second respondent and </w:t>
      </w:r>
      <w:r w:rsidR="009B325A" w:rsidRPr="0069166A">
        <w:rPr>
          <w:rFonts w:ascii="Arial" w:hAnsi="Arial" w:cs="Arial"/>
          <w:sz w:val="24"/>
          <w:szCs w:val="24"/>
        </w:rPr>
        <w:t xml:space="preserve">a nurse, Ms </w:t>
      </w:r>
      <w:proofErr w:type="spellStart"/>
      <w:r w:rsidR="009B325A" w:rsidRPr="0069166A">
        <w:rPr>
          <w:rFonts w:ascii="Arial" w:hAnsi="Arial" w:cs="Arial"/>
          <w:sz w:val="24"/>
          <w:szCs w:val="24"/>
        </w:rPr>
        <w:t>R</w:t>
      </w:r>
      <w:r w:rsidR="000A65D0" w:rsidRPr="0069166A">
        <w:rPr>
          <w:rFonts w:ascii="Arial" w:hAnsi="Arial" w:cs="Arial"/>
          <w:sz w:val="24"/>
          <w:szCs w:val="24"/>
        </w:rPr>
        <w:t>aindree</w:t>
      </w:r>
      <w:proofErr w:type="spellEnd"/>
      <w:r w:rsidR="000A65D0" w:rsidRPr="00691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5D0" w:rsidRPr="0069166A">
        <w:rPr>
          <w:rFonts w:ascii="Arial" w:hAnsi="Arial" w:cs="Arial"/>
          <w:sz w:val="24"/>
          <w:szCs w:val="24"/>
        </w:rPr>
        <w:t>Sewran</w:t>
      </w:r>
      <w:proofErr w:type="spellEnd"/>
      <w:r w:rsidR="009B325A" w:rsidRPr="0069166A">
        <w:rPr>
          <w:rFonts w:ascii="Arial" w:hAnsi="Arial" w:cs="Arial"/>
          <w:sz w:val="24"/>
          <w:szCs w:val="24"/>
        </w:rPr>
        <w:t xml:space="preserve">, </w:t>
      </w:r>
      <w:r w:rsidR="0040070E" w:rsidRPr="0069166A">
        <w:rPr>
          <w:rFonts w:ascii="Arial" w:hAnsi="Arial" w:cs="Arial"/>
          <w:sz w:val="24"/>
          <w:szCs w:val="24"/>
        </w:rPr>
        <w:t>then</w:t>
      </w:r>
      <w:r w:rsidR="00DA0CA2" w:rsidRPr="0069166A">
        <w:rPr>
          <w:rFonts w:ascii="Arial" w:hAnsi="Arial" w:cs="Arial"/>
          <w:sz w:val="24"/>
          <w:szCs w:val="24"/>
        </w:rPr>
        <w:t xml:space="preserve"> added </w:t>
      </w:r>
      <w:r w:rsidR="009B325A" w:rsidRPr="0069166A">
        <w:rPr>
          <w:rFonts w:ascii="Arial" w:hAnsi="Arial" w:cs="Arial"/>
          <w:sz w:val="24"/>
          <w:szCs w:val="24"/>
        </w:rPr>
        <w:t>their signatures.</w:t>
      </w:r>
    </w:p>
    <w:p w14:paraId="7C6765D2" w14:textId="77777777" w:rsidR="0015558F" w:rsidRDefault="0015558F" w:rsidP="0015558F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23CBA5C" w14:textId="3256C3D0" w:rsidR="00D92E96" w:rsidRPr="0069166A" w:rsidRDefault="0069166A" w:rsidP="006916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</w:r>
      <w:r w:rsidR="00F737A4" w:rsidRPr="0069166A">
        <w:rPr>
          <w:rFonts w:ascii="Arial" w:hAnsi="Arial" w:cs="Arial"/>
          <w:sz w:val="24"/>
          <w:szCs w:val="24"/>
        </w:rPr>
        <w:t xml:space="preserve">The deceased subsequently passed away on 2 August 2020. The first respondent issued letters of executorship to the applicants on 30 August 2020. They are the deceased’s son and nephew, respectively. </w:t>
      </w:r>
    </w:p>
    <w:p w14:paraId="7EC62C44" w14:textId="77777777" w:rsidR="00D92E96" w:rsidRPr="00D92E96" w:rsidRDefault="00D92E96" w:rsidP="00D92E96">
      <w:pPr>
        <w:pStyle w:val="ListParagraph"/>
        <w:rPr>
          <w:rFonts w:ascii="Arial" w:hAnsi="Arial" w:cs="Arial"/>
          <w:sz w:val="24"/>
          <w:szCs w:val="24"/>
        </w:rPr>
      </w:pPr>
    </w:p>
    <w:p w14:paraId="59626017" w14:textId="6A72BD01" w:rsidR="00D92E96" w:rsidRPr="0069166A" w:rsidRDefault="0069166A" w:rsidP="006916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[4]</w:t>
      </w:r>
      <w:r>
        <w:rPr>
          <w:rFonts w:ascii="Arial" w:hAnsi="Arial" w:cs="Arial"/>
          <w:sz w:val="24"/>
          <w:szCs w:val="24"/>
        </w:rPr>
        <w:tab/>
      </w:r>
      <w:r w:rsidR="001E612A" w:rsidRPr="0069166A">
        <w:rPr>
          <w:rFonts w:ascii="Arial" w:hAnsi="Arial" w:cs="Arial"/>
          <w:sz w:val="24"/>
          <w:szCs w:val="24"/>
        </w:rPr>
        <w:t xml:space="preserve">The </w:t>
      </w:r>
      <w:r w:rsidR="00F737A4" w:rsidRPr="0069166A">
        <w:rPr>
          <w:rFonts w:ascii="Arial" w:hAnsi="Arial" w:cs="Arial"/>
          <w:sz w:val="24"/>
          <w:szCs w:val="24"/>
        </w:rPr>
        <w:t>applicants aver</w:t>
      </w:r>
      <w:r w:rsidR="00713865" w:rsidRPr="0069166A">
        <w:rPr>
          <w:rFonts w:ascii="Arial" w:hAnsi="Arial" w:cs="Arial"/>
          <w:sz w:val="24"/>
          <w:szCs w:val="24"/>
        </w:rPr>
        <w:t>red</w:t>
      </w:r>
      <w:r w:rsidR="00F737A4" w:rsidRPr="0069166A">
        <w:rPr>
          <w:rFonts w:ascii="Arial" w:hAnsi="Arial" w:cs="Arial"/>
          <w:sz w:val="24"/>
          <w:szCs w:val="24"/>
        </w:rPr>
        <w:t xml:space="preserve"> that </w:t>
      </w:r>
      <w:r w:rsidR="005130AD" w:rsidRPr="0069166A">
        <w:rPr>
          <w:rFonts w:ascii="Arial" w:hAnsi="Arial" w:cs="Arial"/>
          <w:sz w:val="24"/>
          <w:szCs w:val="24"/>
        </w:rPr>
        <w:t xml:space="preserve">the </w:t>
      </w:r>
      <w:r w:rsidR="001E612A" w:rsidRPr="0069166A">
        <w:rPr>
          <w:rFonts w:ascii="Arial" w:hAnsi="Arial" w:cs="Arial"/>
          <w:sz w:val="24"/>
          <w:szCs w:val="24"/>
        </w:rPr>
        <w:t>decease</w:t>
      </w:r>
      <w:r w:rsidR="00F737A4" w:rsidRPr="0069166A">
        <w:rPr>
          <w:rFonts w:ascii="Arial" w:hAnsi="Arial" w:cs="Arial"/>
          <w:sz w:val="24"/>
          <w:szCs w:val="24"/>
        </w:rPr>
        <w:t>d</w:t>
      </w:r>
      <w:r w:rsidR="005130AD" w:rsidRPr="0069166A">
        <w:rPr>
          <w:rFonts w:ascii="Arial" w:hAnsi="Arial" w:cs="Arial"/>
          <w:sz w:val="24"/>
          <w:szCs w:val="24"/>
        </w:rPr>
        <w:t xml:space="preserve"> </w:t>
      </w:r>
      <w:r w:rsidR="001E612A" w:rsidRPr="0069166A">
        <w:rPr>
          <w:rFonts w:ascii="Arial" w:hAnsi="Arial" w:cs="Arial"/>
          <w:sz w:val="24"/>
          <w:szCs w:val="24"/>
        </w:rPr>
        <w:t>intended the codicil to be his last will and testament</w:t>
      </w:r>
      <w:r w:rsidR="00AD5792" w:rsidRPr="0069166A">
        <w:rPr>
          <w:rFonts w:ascii="Arial" w:hAnsi="Arial" w:cs="Arial"/>
          <w:sz w:val="24"/>
          <w:szCs w:val="24"/>
        </w:rPr>
        <w:t>. They a</w:t>
      </w:r>
      <w:r w:rsidR="0058768B" w:rsidRPr="0069166A">
        <w:rPr>
          <w:rFonts w:ascii="Arial" w:hAnsi="Arial" w:cs="Arial"/>
          <w:sz w:val="24"/>
          <w:szCs w:val="24"/>
        </w:rPr>
        <w:t>dmi</w:t>
      </w:r>
      <w:r w:rsidR="00AD5792" w:rsidRPr="0069166A">
        <w:rPr>
          <w:rFonts w:ascii="Arial" w:hAnsi="Arial" w:cs="Arial"/>
          <w:sz w:val="24"/>
          <w:szCs w:val="24"/>
        </w:rPr>
        <w:t>t</w:t>
      </w:r>
      <w:r w:rsidR="00713865" w:rsidRPr="0069166A">
        <w:rPr>
          <w:rFonts w:ascii="Arial" w:hAnsi="Arial" w:cs="Arial"/>
          <w:sz w:val="24"/>
          <w:szCs w:val="24"/>
        </w:rPr>
        <w:t>ted</w:t>
      </w:r>
      <w:r w:rsidR="00AD5792" w:rsidRPr="0069166A">
        <w:rPr>
          <w:rFonts w:ascii="Arial" w:hAnsi="Arial" w:cs="Arial"/>
          <w:sz w:val="24"/>
          <w:szCs w:val="24"/>
        </w:rPr>
        <w:t xml:space="preserve"> that the document d</w:t>
      </w:r>
      <w:r w:rsidR="00713865" w:rsidRPr="0069166A">
        <w:rPr>
          <w:rFonts w:ascii="Arial" w:hAnsi="Arial" w:cs="Arial"/>
          <w:sz w:val="24"/>
          <w:szCs w:val="24"/>
        </w:rPr>
        <w:t xml:space="preserve">id </w:t>
      </w:r>
      <w:r w:rsidR="00AD5792" w:rsidRPr="0069166A">
        <w:rPr>
          <w:rFonts w:ascii="Arial" w:hAnsi="Arial" w:cs="Arial"/>
          <w:sz w:val="24"/>
          <w:szCs w:val="24"/>
        </w:rPr>
        <w:t xml:space="preserve">not comply with the </w:t>
      </w:r>
      <w:r w:rsidR="00B8023C" w:rsidRPr="0069166A">
        <w:rPr>
          <w:rFonts w:ascii="Arial" w:hAnsi="Arial" w:cs="Arial"/>
          <w:sz w:val="24"/>
          <w:szCs w:val="24"/>
        </w:rPr>
        <w:t>formalities of the Act</w:t>
      </w:r>
      <w:r w:rsidR="00F71EAB" w:rsidRPr="0069166A">
        <w:rPr>
          <w:rFonts w:ascii="Arial" w:hAnsi="Arial" w:cs="Arial"/>
          <w:sz w:val="24"/>
          <w:szCs w:val="24"/>
        </w:rPr>
        <w:t xml:space="preserve"> </w:t>
      </w:r>
      <w:r w:rsidR="00403768" w:rsidRPr="0069166A">
        <w:rPr>
          <w:rFonts w:ascii="Arial" w:hAnsi="Arial" w:cs="Arial"/>
          <w:sz w:val="24"/>
          <w:szCs w:val="24"/>
        </w:rPr>
        <w:t>because</w:t>
      </w:r>
      <w:r w:rsidR="00F71EAB" w:rsidRPr="0069166A">
        <w:rPr>
          <w:rFonts w:ascii="Arial" w:hAnsi="Arial" w:cs="Arial"/>
          <w:sz w:val="24"/>
          <w:szCs w:val="24"/>
        </w:rPr>
        <w:t xml:space="preserve"> it was not prepared entirely by the deceased and ha</w:t>
      </w:r>
      <w:r w:rsidR="00846C25" w:rsidRPr="0069166A">
        <w:rPr>
          <w:rFonts w:ascii="Arial" w:hAnsi="Arial" w:cs="Arial"/>
          <w:sz w:val="24"/>
          <w:szCs w:val="24"/>
        </w:rPr>
        <w:t>d</w:t>
      </w:r>
      <w:r w:rsidR="00F71EAB" w:rsidRPr="0069166A">
        <w:rPr>
          <w:rFonts w:ascii="Arial" w:hAnsi="Arial" w:cs="Arial"/>
          <w:sz w:val="24"/>
          <w:szCs w:val="24"/>
        </w:rPr>
        <w:t xml:space="preserve"> not been properly signed</w:t>
      </w:r>
      <w:r w:rsidR="001E4648" w:rsidRPr="0069166A">
        <w:rPr>
          <w:rFonts w:ascii="Arial" w:hAnsi="Arial" w:cs="Arial"/>
          <w:sz w:val="24"/>
          <w:szCs w:val="24"/>
        </w:rPr>
        <w:t>. Nevertheless, sa</w:t>
      </w:r>
      <w:r w:rsidR="00846C25" w:rsidRPr="0069166A">
        <w:rPr>
          <w:rFonts w:ascii="Arial" w:hAnsi="Arial" w:cs="Arial"/>
          <w:sz w:val="24"/>
          <w:szCs w:val="24"/>
        </w:rPr>
        <w:t>id</w:t>
      </w:r>
      <w:r w:rsidR="001E4648" w:rsidRPr="0069166A">
        <w:rPr>
          <w:rFonts w:ascii="Arial" w:hAnsi="Arial" w:cs="Arial"/>
          <w:sz w:val="24"/>
          <w:szCs w:val="24"/>
        </w:rPr>
        <w:t xml:space="preserve"> the applicants, </w:t>
      </w:r>
      <w:r w:rsidR="00403768" w:rsidRPr="0069166A">
        <w:rPr>
          <w:rFonts w:ascii="Arial" w:hAnsi="Arial" w:cs="Arial"/>
          <w:sz w:val="24"/>
          <w:szCs w:val="24"/>
        </w:rPr>
        <w:t xml:space="preserve">the codicil should be </w:t>
      </w:r>
      <w:r w:rsidR="0058768B" w:rsidRPr="0069166A">
        <w:rPr>
          <w:rFonts w:ascii="Arial" w:hAnsi="Arial" w:cs="Arial"/>
          <w:sz w:val="24"/>
          <w:szCs w:val="24"/>
        </w:rPr>
        <w:t>trea</w:t>
      </w:r>
      <w:r w:rsidR="00403768" w:rsidRPr="0069166A">
        <w:rPr>
          <w:rFonts w:ascii="Arial" w:hAnsi="Arial" w:cs="Arial"/>
          <w:sz w:val="24"/>
          <w:szCs w:val="24"/>
        </w:rPr>
        <w:t xml:space="preserve">ted as </w:t>
      </w:r>
      <w:r w:rsidR="00981F5C" w:rsidRPr="0069166A">
        <w:rPr>
          <w:rFonts w:ascii="Arial" w:hAnsi="Arial" w:cs="Arial"/>
          <w:sz w:val="24"/>
          <w:szCs w:val="24"/>
        </w:rPr>
        <w:t>the deceased’s last will and testament and the first respondent should be directed to a</w:t>
      </w:r>
      <w:r w:rsidR="0058768B" w:rsidRPr="0069166A">
        <w:rPr>
          <w:rFonts w:ascii="Arial" w:hAnsi="Arial" w:cs="Arial"/>
          <w:sz w:val="24"/>
          <w:szCs w:val="24"/>
        </w:rPr>
        <w:t>ccept it as such</w:t>
      </w:r>
      <w:r w:rsidR="00D9385B" w:rsidRPr="0069166A">
        <w:rPr>
          <w:rFonts w:ascii="Arial" w:hAnsi="Arial" w:cs="Arial"/>
          <w:sz w:val="24"/>
          <w:szCs w:val="24"/>
        </w:rPr>
        <w:t>.</w:t>
      </w:r>
    </w:p>
    <w:p w14:paraId="2E0D339D" w14:textId="77777777" w:rsidR="00D92E96" w:rsidRPr="00D92E96" w:rsidRDefault="00D92E96" w:rsidP="00D92E96">
      <w:pPr>
        <w:pStyle w:val="ListParagraph"/>
        <w:rPr>
          <w:rFonts w:ascii="Arial" w:hAnsi="Arial" w:cs="Arial"/>
          <w:sz w:val="24"/>
          <w:szCs w:val="24"/>
        </w:rPr>
      </w:pPr>
    </w:p>
    <w:p w14:paraId="0B9236FB" w14:textId="45BC9855" w:rsidR="0058728A" w:rsidRPr="0069166A" w:rsidRDefault="0069166A" w:rsidP="006916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2E96">
        <w:rPr>
          <w:rFonts w:ascii="Arial" w:hAnsi="Arial" w:cs="Arial"/>
          <w:sz w:val="24"/>
          <w:szCs w:val="24"/>
        </w:rPr>
        <w:t>[5]</w:t>
      </w:r>
      <w:r w:rsidRPr="00D92E96">
        <w:rPr>
          <w:rFonts w:ascii="Arial" w:hAnsi="Arial" w:cs="Arial"/>
          <w:sz w:val="24"/>
          <w:szCs w:val="24"/>
        </w:rPr>
        <w:tab/>
      </w:r>
      <w:r w:rsidR="0058728A" w:rsidRPr="0069166A">
        <w:rPr>
          <w:rFonts w:ascii="Arial" w:hAnsi="Arial" w:cs="Arial"/>
          <w:sz w:val="24"/>
          <w:szCs w:val="24"/>
        </w:rPr>
        <w:t xml:space="preserve">The supporting affidavits of </w:t>
      </w:r>
      <w:r w:rsidR="00920945" w:rsidRPr="0069166A">
        <w:rPr>
          <w:rFonts w:ascii="Arial" w:hAnsi="Arial" w:cs="Arial"/>
          <w:sz w:val="24"/>
          <w:szCs w:val="24"/>
        </w:rPr>
        <w:t xml:space="preserve">two nurses and </w:t>
      </w:r>
      <w:r w:rsidR="008C28DD" w:rsidRPr="0069166A">
        <w:rPr>
          <w:rFonts w:ascii="Arial" w:hAnsi="Arial" w:cs="Arial"/>
          <w:sz w:val="24"/>
          <w:szCs w:val="24"/>
        </w:rPr>
        <w:t xml:space="preserve">a unit manager accompanied the application. To that effect, </w:t>
      </w:r>
      <w:r w:rsidR="003436FF" w:rsidRPr="0069166A">
        <w:rPr>
          <w:rFonts w:ascii="Arial" w:hAnsi="Arial" w:cs="Arial"/>
          <w:sz w:val="24"/>
          <w:szCs w:val="24"/>
        </w:rPr>
        <w:t xml:space="preserve">all three individuals </w:t>
      </w:r>
      <w:r w:rsidR="008C7524" w:rsidRPr="0069166A">
        <w:rPr>
          <w:rFonts w:ascii="Arial" w:hAnsi="Arial" w:cs="Arial"/>
          <w:sz w:val="24"/>
          <w:szCs w:val="24"/>
        </w:rPr>
        <w:t>indicat</w:t>
      </w:r>
      <w:r w:rsidR="003436FF" w:rsidRPr="0069166A">
        <w:rPr>
          <w:rFonts w:ascii="Arial" w:hAnsi="Arial" w:cs="Arial"/>
          <w:sz w:val="24"/>
          <w:szCs w:val="24"/>
        </w:rPr>
        <w:t xml:space="preserve">ed that they </w:t>
      </w:r>
      <w:r w:rsidR="00B96588" w:rsidRPr="0069166A">
        <w:rPr>
          <w:rFonts w:ascii="Arial" w:hAnsi="Arial" w:cs="Arial"/>
          <w:sz w:val="24"/>
          <w:szCs w:val="24"/>
        </w:rPr>
        <w:t>had seen the deceased ‘draft a document in the presence of his wife’.</w:t>
      </w:r>
      <w:r w:rsidR="003D6D73" w:rsidRPr="0069166A">
        <w:rPr>
          <w:rFonts w:ascii="Arial" w:hAnsi="Arial" w:cs="Arial"/>
          <w:sz w:val="24"/>
          <w:szCs w:val="24"/>
        </w:rPr>
        <w:t xml:space="preserve"> Both nurses </w:t>
      </w:r>
      <w:r w:rsidR="00C6058D" w:rsidRPr="0069166A">
        <w:rPr>
          <w:rFonts w:ascii="Arial" w:hAnsi="Arial" w:cs="Arial"/>
          <w:sz w:val="24"/>
          <w:szCs w:val="24"/>
        </w:rPr>
        <w:t xml:space="preserve">were </w:t>
      </w:r>
      <w:r w:rsidR="002122E2" w:rsidRPr="0069166A">
        <w:rPr>
          <w:rFonts w:ascii="Arial" w:hAnsi="Arial" w:cs="Arial"/>
          <w:sz w:val="24"/>
          <w:szCs w:val="24"/>
        </w:rPr>
        <w:t xml:space="preserve">in attendance </w:t>
      </w:r>
      <w:r w:rsidR="00C6058D" w:rsidRPr="0069166A">
        <w:rPr>
          <w:rFonts w:ascii="Arial" w:hAnsi="Arial" w:cs="Arial"/>
          <w:sz w:val="24"/>
          <w:szCs w:val="24"/>
        </w:rPr>
        <w:t>when</w:t>
      </w:r>
      <w:r w:rsidR="003D6D73" w:rsidRPr="0069166A">
        <w:rPr>
          <w:rFonts w:ascii="Arial" w:hAnsi="Arial" w:cs="Arial"/>
          <w:sz w:val="24"/>
          <w:szCs w:val="24"/>
        </w:rPr>
        <w:t xml:space="preserve"> </w:t>
      </w:r>
      <w:r w:rsidR="00816CB5" w:rsidRPr="0069166A">
        <w:rPr>
          <w:rFonts w:ascii="Arial" w:hAnsi="Arial" w:cs="Arial"/>
          <w:sz w:val="24"/>
          <w:szCs w:val="24"/>
        </w:rPr>
        <w:t xml:space="preserve">the deceased and his wife </w:t>
      </w:r>
      <w:r w:rsidR="00EA6984" w:rsidRPr="0069166A">
        <w:rPr>
          <w:rFonts w:ascii="Arial" w:hAnsi="Arial" w:cs="Arial"/>
          <w:sz w:val="24"/>
          <w:szCs w:val="24"/>
        </w:rPr>
        <w:t xml:space="preserve">had </w:t>
      </w:r>
      <w:r w:rsidR="00816CB5" w:rsidRPr="0069166A">
        <w:rPr>
          <w:rFonts w:ascii="Arial" w:hAnsi="Arial" w:cs="Arial"/>
          <w:sz w:val="24"/>
          <w:szCs w:val="24"/>
        </w:rPr>
        <w:t>sign</w:t>
      </w:r>
      <w:r w:rsidR="00C6058D" w:rsidRPr="0069166A">
        <w:rPr>
          <w:rFonts w:ascii="Arial" w:hAnsi="Arial" w:cs="Arial"/>
          <w:sz w:val="24"/>
          <w:szCs w:val="24"/>
        </w:rPr>
        <w:t>ed</w:t>
      </w:r>
      <w:r w:rsidR="00816CB5" w:rsidRPr="0069166A">
        <w:rPr>
          <w:rFonts w:ascii="Arial" w:hAnsi="Arial" w:cs="Arial"/>
          <w:sz w:val="24"/>
          <w:szCs w:val="24"/>
        </w:rPr>
        <w:t xml:space="preserve"> </w:t>
      </w:r>
      <w:r w:rsidR="00EA6984" w:rsidRPr="0069166A">
        <w:rPr>
          <w:rFonts w:ascii="Arial" w:hAnsi="Arial" w:cs="Arial"/>
          <w:sz w:val="24"/>
          <w:szCs w:val="24"/>
        </w:rPr>
        <w:t>it</w:t>
      </w:r>
      <w:r w:rsidR="00816CB5" w:rsidRPr="0069166A">
        <w:rPr>
          <w:rFonts w:ascii="Arial" w:hAnsi="Arial" w:cs="Arial"/>
          <w:sz w:val="24"/>
          <w:szCs w:val="24"/>
        </w:rPr>
        <w:t xml:space="preserve">. </w:t>
      </w:r>
      <w:r w:rsidR="00C6058D" w:rsidRPr="0069166A">
        <w:rPr>
          <w:rFonts w:ascii="Arial" w:hAnsi="Arial" w:cs="Arial"/>
          <w:sz w:val="24"/>
          <w:szCs w:val="24"/>
        </w:rPr>
        <w:t>One of the nurses</w:t>
      </w:r>
      <w:r w:rsidR="007D2682" w:rsidRPr="0069166A">
        <w:rPr>
          <w:rFonts w:ascii="Arial" w:hAnsi="Arial" w:cs="Arial"/>
          <w:sz w:val="24"/>
          <w:szCs w:val="24"/>
        </w:rPr>
        <w:t xml:space="preserve">, Ms </w:t>
      </w:r>
      <w:proofErr w:type="spellStart"/>
      <w:r w:rsidR="007D2682" w:rsidRPr="0069166A">
        <w:rPr>
          <w:rFonts w:ascii="Arial" w:hAnsi="Arial" w:cs="Arial"/>
          <w:sz w:val="24"/>
          <w:szCs w:val="24"/>
        </w:rPr>
        <w:t>Sewran</w:t>
      </w:r>
      <w:proofErr w:type="spellEnd"/>
      <w:r w:rsidR="008C7524" w:rsidRPr="0069166A">
        <w:rPr>
          <w:rFonts w:ascii="Arial" w:hAnsi="Arial" w:cs="Arial"/>
          <w:sz w:val="24"/>
          <w:szCs w:val="24"/>
        </w:rPr>
        <w:t xml:space="preserve">, </w:t>
      </w:r>
      <w:r w:rsidR="00EA6984" w:rsidRPr="0069166A">
        <w:rPr>
          <w:rFonts w:ascii="Arial" w:hAnsi="Arial" w:cs="Arial"/>
          <w:sz w:val="24"/>
          <w:szCs w:val="24"/>
        </w:rPr>
        <w:t>confirm</w:t>
      </w:r>
      <w:r w:rsidR="008C7524" w:rsidRPr="0069166A">
        <w:rPr>
          <w:rFonts w:ascii="Arial" w:hAnsi="Arial" w:cs="Arial"/>
          <w:sz w:val="24"/>
          <w:szCs w:val="24"/>
        </w:rPr>
        <w:t xml:space="preserve">ed that she had </w:t>
      </w:r>
      <w:r w:rsidR="00EA6984" w:rsidRPr="0069166A">
        <w:rPr>
          <w:rFonts w:ascii="Arial" w:hAnsi="Arial" w:cs="Arial"/>
          <w:sz w:val="24"/>
          <w:szCs w:val="24"/>
        </w:rPr>
        <w:t xml:space="preserve">signed the </w:t>
      </w:r>
      <w:r w:rsidR="003134B4" w:rsidRPr="0069166A">
        <w:rPr>
          <w:rFonts w:ascii="Arial" w:hAnsi="Arial" w:cs="Arial"/>
          <w:sz w:val="24"/>
          <w:szCs w:val="24"/>
        </w:rPr>
        <w:t>document as a witness.</w:t>
      </w:r>
    </w:p>
    <w:p w14:paraId="6F02EDE7" w14:textId="77777777" w:rsidR="00D02521" w:rsidRDefault="00D02521" w:rsidP="002740B1">
      <w:pPr>
        <w:spacing w:line="360" w:lineRule="auto"/>
        <w:rPr>
          <w:rFonts w:ascii="Arial" w:hAnsi="Arial" w:cs="Arial"/>
          <w:sz w:val="24"/>
          <w:szCs w:val="24"/>
        </w:rPr>
      </w:pPr>
    </w:p>
    <w:p w14:paraId="3247CFBC" w14:textId="78CBE112" w:rsidR="00D02521" w:rsidRPr="00C56233" w:rsidRDefault="00D02521" w:rsidP="002740B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56233">
        <w:rPr>
          <w:rFonts w:ascii="Arial" w:hAnsi="Arial" w:cs="Arial"/>
          <w:b/>
          <w:bCs/>
          <w:sz w:val="24"/>
          <w:szCs w:val="24"/>
        </w:rPr>
        <w:t xml:space="preserve">Issue to </w:t>
      </w:r>
      <w:r w:rsidR="009C440F">
        <w:rPr>
          <w:rFonts w:ascii="Arial" w:hAnsi="Arial" w:cs="Arial"/>
          <w:b/>
          <w:bCs/>
          <w:sz w:val="24"/>
          <w:szCs w:val="24"/>
        </w:rPr>
        <w:t xml:space="preserve">have </w:t>
      </w:r>
      <w:r w:rsidRPr="00C56233">
        <w:rPr>
          <w:rFonts w:ascii="Arial" w:hAnsi="Arial" w:cs="Arial"/>
          <w:b/>
          <w:bCs/>
          <w:sz w:val="24"/>
          <w:szCs w:val="24"/>
        </w:rPr>
        <w:t>be</w:t>
      </w:r>
      <w:r w:rsidR="009C440F">
        <w:rPr>
          <w:rFonts w:ascii="Arial" w:hAnsi="Arial" w:cs="Arial"/>
          <w:b/>
          <w:bCs/>
          <w:sz w:val="24"/>
          <w:szCs w:val="24"/>
        </w:rPr>
        <w:t>en</w:t>
      </w:r>
      <w:r w:rsidRPr="00C5623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C56233">
        <w:rPr>
          <w:rFonts w:ascii="Arial" w:hAnsi="Arial" w:cs="Arial"/>
          <w:b/>
          <w:bCs/>
          <w:sz w:val="24"/>
          <w:szCs w:val="24"/>
        </w:rPr>
        <w:t>decided</w:t>
      </w:r>
      <w:proofErr w:type="gramEnd"/>
    </w:p>
    <w:p w14:paraId="299FBF5D" w14:textId="77777777" w:rsidR="00D02521" w:rsidRDefault="00D02521" w:rsidP="002740B1">
      <w:pPr>
        <w:spacing w:line="360" w:lineRule="auto"/>
        <w:rPr>
          <w:rFonts w:ascii="Arial" w:hAnsi="Arial" w:cs="Arial"/>
          <w:sz w:val="24"/>
          <w:szCs w:val="24"/>
        </w:rPr>
      </w:pPr>
    </w:p>
    <w:p w14:paraId="46F351B4" w14:textId="46BDC81B" w:rsidR="00D92E96" w:rsidRPr="0069166A" w:rsidRDefault="0069166A" w:rsidP="006916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[6]</w:t>
      </w:r>
      <w:r>
        <w:rPr>
          <w:rFonts w:ascii="Arial" w:hAnsi="Arial" w:cs="Arial"/>
          <w:sz w:val="24"/>
          <w:szCs w:val="24"/>
        </w:rPr>
        <w:tab/>
      </w:r>
      <w:r w:rsidR="00C56233" w:rsidRPr="0069166A">
        <w:rPr>
          <w:rFonts w:ascii="Arial" w:hAnsi="Arial" w:cs="Arial"/>
          <w:sz w:val="24"/>
          <w:szCs w:val="24"/>
        </w:rPr>
        <w:t xml:space="preserve">The </w:t>
      </w:r>
      <w:r w:rsidR="009C4573" w:rsidRPr="0069166A">
        <w:rPr>
          <w:rFonts w:ascii="Arial" w:hAnsi="Arial" w:cs="Arial"/>
          <w:sz w:val="24"/>
          <w:szCs w:val="24"/>
        </w:rPr>
        <w:t xml:space="preserve">main </w:t>
      </w:r>
      <w:r w:rsidR="00371ACA" w:rsidRPr="0069166A">
        <w:rPr>
          <w:rFonts w:ascii="Arial" w:hAnsi="Arial" w:cs="Arial"/>
          <w:sz w:val="24"/>
          <w:szCs w:val="24"/>
        </w:rPr>
        <w:t>issue was whether</w:t>
      </w:r>
      <w:r w:rsidR="009C4573" w:rsidRPr="0069166A">
        <w:rPr>
          <w:rFonts w:ascii="Arial" w:hAnsi="Arial" w:cs="Arial"/>
          <w:sz w:val="24"/>
          <w:szCs w:val="24"/>
        </w:rPr>
        <w:t xml:space="preserve"> the </w:t>
      </w:r>
      <w:r w:rsidR="00F8575E" w:rsidRPr="0069166A">
        <w:rPr>
          <w:rFonts w:ascii="Arial" w:hAnsi="Arial" w:cs="Arial"/>
          <w:sz w:val="24"/>
          <w:szCs w:val="24"/>
        </w:rPr>
        <w:t xml:space="preserve">deceased had intended the </w:t>
      </w:r>
      <w:r w:rsidR="009C4573" w:rsidRPr="0069166A">
        <w:rPr>
          <w:rFonts w:ascii="Arial" w:hAnsi="Arial" w:cs="Arial"/>
          <w:sz w:val="24"/>
          <w:szCs w:val="24"/>
        </w:rPr>
        <w:t>codicil described by the applicants and attached to the application</w:t>
      </w:r>
      <w:r w:rsidR="00F8575E" w:rsidRPr="0069166A">
        <w:rPr>
          <w:rFonts w:ascii="Arial" w:hAnsi="Arial" w:cs="Arial"/>
          <w:sz w:val="24"/>
          <w:szCs w:val="24"/>
        </w:rPr>
        <w:t xml:space="preserve"> as</w:t>
      </w:r>
      <w:r w:rsidR="009C4573" w:rsidRPr="0069166A">
        <w:rPr>
          <w:rFonts w:ascii="Arial" w:hAnsi="Arial" w:cs="Arial"/>
          <w:sz w:val="24"/>
          <w:szCs w:val="24"/>
        </w:rPr>
        <w:t xml:space="preserve"> indeed </w:t>
      </w:r>
      <w:r w:rsidR="00F8575E" w:rsidRPr="0069166A">
        <w:rPr>
          <w:rFonts w:ascii="Arial" w:hAnsi="Arial" w:cs="Arial"/>
          <w:sz w:val="24"/>
          <w:szCs w:val="24"/>
        </w:rPr>
        <w:t>his will or an amendment there</w:t>
      </w:r>
      <w:r w:rsidR="00A30451" w:rsidRPr="0069166A">
        <w:rPr>
          <w:rFonts w:ascii="Arial" w:hAnsi="Arial" w:cs="Arial"/>
          <w:sz w:val="24"/>
          <w:szCs w:val="24"/>
        </w:rPr>
        <w:t>of. This ar</w:t>
      </w:r>
      <w:r w:rsidR="00E96054" w:rsidRPr="0069166A">
        <w:rPr>
          <w:rFonts w:ascii="Arial" w:hAnsi="Arial" w:cs="Arial"/>
          <w:sz w:val="24"/>
          <w:szCs w:val="24"/>
        </w:rPr>
        <w:t>o</w:t>
      </w:r>
      <w:r w:rsidR="00A30451" w:rsidRPr="0069166A">
        <w:rPr>
          <w:rFonts w:ascii="Arial" w:hAnsi="Arial" w:cs="Arial"/>
          <w:sz w:val="24"/>
          <w:szCs w:val="24"/>
        </w:rPr>
        <w:t>se from the provisions of section 2(3) of the Act.</w:t>
      </w:r>
    </w:p>
    <w:p w14:paraId="2B4EEB3C" w14:textId="77777777" w:rsidR="00D92E96" w:rsidRDefault="00D92E96" w:rsidP="00D92E96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016CF2C" w14:textId="35567EA1" w:rsidR="00E96054" w:rsidRPr="0069166A" w:rsidRDefault="0069166A" w:rsidP="006916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2E96">
        <w:rPr>
          <w:rFonts w:ascii="Arial" w:hAnsi="Arial" w:cs="Arial"/>
          <w:sz w:val="24"/>
          <w:szCs w:val="24"/>
        </w:rPr>
        <w:t>[7]</w:t>
      </w:r>
      <w:r w:rsidRPr="00D92E96">
        <w:rPr>
          <w:rFonts w:ascii="Arial" w:hAnsi="Arial" w:cs="Arial"/>
          <w:sz w:val="24"/>
          <w:szCs w:val="24"/>
        </w:rPr>
        <w:tab/>
      </w:r>
      <w:r w:rsidR="00E96054" w:rsidRPr="0069166A">
        <w:rPr>
          <w:rFonts w:ascii="Arial" w:hAnsi="Arial" w:cs="Arial"/>
          <w:sz w:val="24"/>
          <w:szCs w:val="24"/>
        </w:rPr>
        <w:t>None of the respondents opposed the application</w:t>
      </w:r>
      <w:r w:rsidR="005D0992" w:rsidRPr="0069166A">
        <w:rPr>
          <w:rFonts w:ascii="Arial" w:hAnsi="Arial" w:cs="Arial"/>
          <w:sz w:val="24"/>
          <w:szCs w:val="24"/>
        </w:rPr>
        <w:t>.</w:t>
      </w:r>
    </w:p>
    <w:p w14:paraId="223A30B6" w14:textId="77777777" w:rsidR="00855208" w:rsidRDefault="00855208" w:rsidP="002740B1">
      <w:pPr>
        <w:spacing w:line="360" w:lineRule="auto"/>
        <w:rPr>
          <w:rFonts w:ascii="Arial" w:hAnsi="Arial" w:cs="Arial"/>
          <w:sz w:val="24"/>
          <w:szCs w:val="24"/>
        </w:rPr>
      </w:pPr>
    </w:p>
    <w:p w14:paraId="0F84BDF3" w14:textId="482A7AB0" w:rsidR="00855208" w:rsidRPr="00126649" w:rsidRDefault="00855208" w:rsidP="002740B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26649">
        <w:rPr>
          <w:rFonts w:ascii="Arial" w:hAnsi="Arial" w:cs="Arial"/>
          <w:b/>
          <w:bCs/>
          <w:sz w:val="24"/>
          <w:szCs w:val="24"/>
        </w:rPr>
        <w:t>Legal framework</w:t>
      </w:r>
    </w:p>
    <w:p w14:paraId="58C48683" w14:textId="77777777" w:rsidR="00855208" w:rsidRDefault="00855208" w:rsidP="002740B1">
      <w:pPr>
        <w:spacing w:line="360" w:lineRule="auto"/>
        <w:rPr>
          <w:rFonts w:ascii="Arial" w:hAnsi="Arial" w:cs="Arial"/>
          <w:sz w:val="24"/>
          <w:szCs w:val="24"/>
        </w:rPr>
      </w:pPr>
    </w:p>
    <w:p w14:paraId="0D725B19" w14:textId="4BFF4BC8" w:rsidR="00855208" w:rsidRPr="0069166A" w:rsidRDefault="0069166A" w:rsidP="006916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5998">
        <w:rPr>
          <w:rFonts w:ascii="Arial" w:hAnsi="Arial" w:cs="Arial"/>
          <w:sz w:val="24"/>
          <w:szCs w:val="24"/>
        </w:rPr>
        <w:t>[8]</w:t>
      </w:r>
      <w:r w:rsidRPr="00DA5998">
        <w:rPr>
          <w:rFonts w:ascii="Arial" w:hAnsi="Arial" w:cs="Arial"/>
          <w:sz w:val="24"/>
          <w:szCs w:val="24"/>
        </w:rPr>
        <w:tab/>
      </w:r>
      <w:r w:rsidR="00855208" w:rsidRPr="0069166A">
        <w:rPr>
          <w:rFonts w:ascii="Arial" w:hAnsi="Arial" w:cs="Arial"/>
          <w:sz w:val="24"/>
          <w:szCs w:val="24"/>
        </w:rPr>
        <w:t xml:space="preserve">The </w:t>
      </w:r>
      <w:r w:rsidR="00EA1E3B" w:rsidRPr="0069166A">
        <w:rPr>
          <w:rFonts w:ascii="Arial" w:hAnsi="Arial" w:cs="Arial"/>
          <w:sz w:val="24"/>
          <w:szCs w:val="24"/>
        </w:rPr>
        <w:t xml:space="preserve">formalities to be observed in the </w:t>
      </w:r>
      <w:r w:rsidR="0068574F" w:rsidRPr="0069166A">
        <w:rPr>
          <w:rFonts w:ascii="Arial" w:hAnsi="Arial" w:cs="Arial"/>
          <w:sz w:val="24"/>
          <w:szCs w:val="24"/>
        </w:rPr>
        <w:t xml:space="preserve">drafting and completion of a will are contained in </w:t>
      </w:r>
      <w:r w:rsidR="00126649" w:rsidRPr="0069166A">
        <w:rPr>
          <w:rFonts w:ascii="Arial" w:hAnsi="Arial" w:cs="Arial"/>
          <w:sz w:val="24"/>
          <w:szCs w:val="24"/>
        </w:rPr>
        <w:t>section 2(</w:t>
      </w:r>
      <w:r w:rsidR="0068574F" w:rsidRPr="0069166A">
        <w:rPr>
          <w:rFonts w:ascii="Arial" w:hAnsi="Arial" w:cs="Arial"/>
          <w:sz w:val="24"/>
          <w:szCs w:val="24"/>
        </w:rPr>
        <w:t>1</w:t>
      </w:r>
      <w:r w:rsidR="00126649" w:rsidRPr="0069166A">
        <w:rPr>
          <w:rFonts w:ascii="Arial" w:hAnsi="Arial" w:cs="Arial"/>
          <w:sz w:val="24"/>
          <w:szCs w:val="24"/>
        </w:rPr>
        <w:t>) of the Act:</w:t>
      </w:r>
    </w:p>
    <w:p w14:paraId="705EAD34" w14:textId="773FC739" w:rsidR="00126649" w:rsidRPr="008C5206" w:rsidRDefault="00C253C1" w:rsidP="00B35D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5206">
        <w:rPr>
          <w:rFonts w:ascii="Arial" w:hAnsi="Arial" w:cs="Arial"/>
          <w:sz w:val="20"/>
          <w:szCs w:val="20"/>
        </w:rPr>
        <w:tab/>
        <w:t>‘</w:t>
      </w:r>
      <w:proofErr w:type="gramStart"/>
      <w:r w:rsidR="00A53015" w:rsidRPr="008C5206">
        <w:rPr>
          <w:rFonts w:ascii="Arial" w:hAnsi="Arial" w:cs="Arial"/>
          <w:sz w:val="20"/>
          <w:szCs w:val="20"/>
        </w:rPr>
        <w:t>…(</w:t>
      </w:r>
      <w:proofErr w:type="gramEnd"/>
      <w:r w:rsidR="00A53015" w:rsidRPr="008C5206">
        <w:rPr>
          <w:rFonts w:ascii="Arial" w:hAnsi="Arial" w:cs="Arial"/>
          <w:sz w:val="20"/>
          <w:szCs w:val="20"/>
        </w:rPr>
        <w:t>1)</w:t>
      </w:r>
      <w:r w:rsidR="00A53015" w:rsidRPr="008C5206">
        <w:rPr>
          <w:rFonts w:ascii="Arial" w:hAnsi="Arial" w:cs="Arial"/>
          <w:sz w:val="20"/>
          <w:szCs w:val="20"/>
        </w:rPr>
        <w:tab/>
        <w:t>Subject to the provisions of section 3bis–</w:t>
      </w:r>
    </w:p>
    <w:p w14:paraId="3E84EA00" w14:textId="47D4DC5F" w:rsidR="00476D02" w:rsidRPr="0069166A" w:rsidRDefault="0069166A" w:rsidP="0069166A">
      <w:pPr>
        <w:spacing w:line="360" w:lineRule="auto"/>
        <w:ind w:left="1800" w:hanging="360"/>
        <w:jc w:val="both"/>
        <w:rPr>
          <w:rFonts w:ascii="Arial" w:hAnsi="Arial" w:cs="Arial"/>
          <w:sz w:val="20"/>
          <w:szCs w:val="20"/>
        </w:rPr>
      </w:pPr>
      <w:r w:rsidRPr="008C5206">
        <w:rPr>
          <w:rFonts w:ascii="Arial" w:hAnsi="Arial" w:cs="Arial"/>
          <w:sz w:val="20"/>
          <w:szCs w:val="20"/>
        </w:rPr>
        <w:t>(a)</w:t>
      </w:r>
      <w:r w:rsidRPr="008C5206">
        <w:rPr>
          <w:rFonts w:ascii="Arial" w:hAnsi="Arial" w:cs="Arial"/>
          <w:sz w:val="20"/>
          <w:szCs w:val="20"/>
        </w:rPr>
        <w:tab/>
      </w:r>
      <w:r w:rsidR="009C4173" w:rsidRPr="0069166A">
        <w:rPr>
          <w:rFonts w:ascii="Arial" w:hAnsi="Arial" w:cs="Arial"/>
          <w:sz w:val="20"/>
          <w:szCs w:val="20"/>
        </w:rPr>
        <w:t>n</w:t>
      </w:r>
      <w:r w:rsidR="00476D02" w:rsidRPr="0069166A">
        <w:rPr>
          <w:rFonts w:ascii="Arial" w:hAnsi="Arial" w:cs="Arial"/>
          <w:sz w:val="20"/>
          <w:szCs w:val="20"/>
        </w:rPr>
        <w:t xml:space="preserve">o will executed on or after </w:t>
      </w:r>
      <w:r w:rsidR="00F866DB" w:rsidRPr="0069166A">
        <w:rPr>
          <w:rFonts w:ascii="Arial" w:hAnsi="Arial" w:cs="Arial"/>
          <w:sz w:val="20"/>
          <w:szCs w:val="20"/>
        </w:rPr>
        <w:t xml:space="preserve">the first day of </w:t>
      </w:r>
      <w:proofErr w:type="gramStart"/>
      <w:r w:rsidR="00F866DB" w:rsidRPr="0069166A">
        <w:rPr>
          <w:rFonts w:ascii="Arial" w:hAnsi="Arial" w:cs="Arial"/>
          <w:sz w:val="20"/>
          <w:szCs w:val="20"/>
        </w:rPr>
        <w:t>January,</w:t>
      </w:r>
      <w:proofErr w:type="gramEnd"/>
      <w:r w:rsidR="00F866DB" w:rsidRPr="0069166A">
        <w:rPr>
          <w:rFonts w:ascii="Arial" w:hAnsi="Arial" w:cs="Arial"/>
          <w:sz w:val="20"/>
          <w:szCs w:val="20"/>
        </w:rPr>
        <w:t xml:space="preserve"> 1954, shall be valid unless–</w:t>
      </w:r>
    </w:p>
    <w:p w14:paraId="05933D5B" w14:textId="77777777" w:rsidR="009C4173" w:rsidRDefault="009C4173" w:rsidP="00B35DA2">
      <w:pPr>
        <w:pStyle w:val="ListParagraph"/>
        <w:spacing w:line="360" w:lineRule="auto"/>
        <w:ind w:left="2520"/>
        <w:jc w:val="both"/>
        <w:rPr>
          <w:rFonts w:ascii="Arial" w:hAnsi="Arial" w:cs="Arial"/>
          <w:sz w:val="20"/>
          <w:szCs w:val="20"/>
        </w:rPr>
      </w:pPr>
    </w:p>
    <w:p w14:paraId="4AB2181B" w14:textId="29D2B117" w:rsidR="00F866DB" w:rsidRPr="0069166A" w:rsidRDefault="0069166A" w:rsidP="0069166A">
      <w:pPr>
        <w:spacing w:line="360" w:lineRule="auto"/>
        <w:ind w:left="2520" w:hanging="720"/>
        <w:jc w:val="both"/>
        <w:rPr>
          <w:rFonts w:ascii="Arial" w:hAnsi="Arial" w:cs="Arial"/>
          <w:sz w:val="20"/>
          <w:szCs w:val="20"/>
        </w:rPr>
      </w:pPr>
      <w:r w:rsidRPr="008C5206">
        <w:rPr>
          <w:rFonts w:ascii="Arial" w:hAnsi="Arial" w:cs="Arial"/>
          <w:sz w:val="20"/>
          <w:szCs w:val="20"/>
        </w:rPr>
        <w:t>(</w:t>
      </w:r>
      <w:proofErr w:type="spellStart"/>
      <w:r w:rsidRPr="008C5206">
        <w:rPr>
          <w:rFonts w:ascii="Arial" w:hAnsi="Arial" w:cs="Arial"/>
          <w:sz w:val="20"/>
          <w:szCs w:val="20"/>
        </w:rPr>
        <w:t>i</w:t>
      </w:r>
      <w:proofErr w:type="spellEnd"/>
      <w:r w:rsidRPr="008C5206">
        <w:rPr>
          <w:rFonts w:ascii="Arial" w:hAnsi="Arial" w:cs="Arial"/>
          <w:sz w:val="20"/>
          <w:szCs w:val="20"/>
        </w:rPr>
        <w:t>)</w:t>
      </w:r>
      <w:r w:rsidRPr="008C5206">
        <w:rPr>
          <w:rFonts w:ascii="Arial" w:hAnsi="Arial" w:cs="Arial"/>
          <w:sz w:val="20"/>
          <w:szCs w:val="20"/>
        </w:rPr>
        <w:tab/>
      </w:r>
      <w:r w:rsidR="009C4173" w:rsidRPr="0069166A">
        <w:rPr>
          <w:rFonts w:ascii="Arial" w:hAnsi="Arial" w:cs="Arial"/>
          <w:sz w:val="20"/>
          <w:szCs w:val="20"/>
        </w:rPr>
        <w:t>t</w:t>
      </w:r>
      <w:r w:rsidR="00C3429A" w:rsidRPr="0069166A">
        <w:rPr>
          <w:rFonts w:ascii="Arial" w:hAnsi="Arial" w:cs="Arial"/>
          <w:sz w:val="20"/>
          <w:szCs w:val="20"/>
        </w:rPr>
        <w:t>he will is signed at the end thereof</w:t>
      </w:r>
      <w:r w:rsidR="00360970" w:rsidRPr="0069166A">
        <w:rPr>
          <w:rFonts w:ascii="Arial" w:hAnsi="Arial" w:cs="Arial"/>
          <w:sz w:val="20"/>
          <w:szCs w:val="20"/>
        </w:rPr>
        <w:t xml:space="preserve"> by the testator or by some other person in his presence and by his direction;</w:t>
      </w:r>
      <w:r w:rsidR="006A0B3B" w:rsidRPr="0069166A">
        <w:rPr>
          <w:rFonts w:ascii="Arial" w:hAnsi="Arial" w:cs="Arial"/>
          <w:sz w:val="20"/>
          <w:szCs w:val="20"/>
        </w:rPr>
        <w:t xml:space="preserve"> and</w:t>
      </w:r>
    </w:p>
    <w:p w14:paraId="528E301D" w14:textId="77777777" w:rsidR="009C4173" w:rsidRDefault="009C4173" w:rsidP="00B35DA2">
      <w:pPr>
        <w:pStyle w:val="ListParagraph"/>
        <w:spacing w:line="360" w:lineRule="auto"/>
        <w:ind w:left="2520"/>
        <w:jc w:val="both"/>
        <w:rPr>
          <w:rFonts w:ascii="Arial" w:hAnsi="Arial" w:cs="Arial"/>
          <w:sz w:val="20"/>
          <w:szCs w:val="20"/>
        </w:rPr>
      </w:pPr>
    </w:p>
    <w:p w14:paraId="27D333B0" w14:textId="46ADC225" w:rsidR="00360970" w:rsidRPr="0069166A" w:rsidRDefault="0069166A" w:rsidP="0069166A">
      <w:pPr>
        <w:spacing w:line="360" w:lineRule="auto"/>
        <w:ind w:left="2520" w:hanging="720"/>
        <w:jc w:val="both"/>
        <w:rPr>
          <w:rFonts w:ascii="Arial" w:hAnsi="Arial" w:cs="Arial"/>
          <w:sz w:val="20"/>
          <w:szCs w:val="20"/>
        </w:rPr>
      </w:pPr>
      <w:r w:rsidRPr="008C5206">
        <w:rPr>
          <w:rFonts w:ascii="Arial" w:hAnsi="Arial" w:cs="Arial"/>
          <w:sz w:val="20"/>
          <w:szCs w:val="20"/>
        </w:rPr>
        <w:lastRenderedPageBreak/>
        <w:t>(ii)</w:t>
      </w:r>
      <w:r w:rsidRPr="008C5206">
        <w:rPr>
          <w:rFonts w:ascii="Arial" w:hAnsi="Arial" w:cs="Arial"/>
          <w:sz w:val="20"/>
          <w:szCs w:val="20"/>
        </w:rPr>
        <w:tab/>
      </w:r>
      <w:r w:rsidR="009C4173" w:rsidRPr="0069166A">
        <w:rPr>
          <w:rFonts w:ascii="Arial" w:hAnsi="Arial" w:cs="Arial"/>
          <w:sz w:val="20"/>
          <w:szCs w:val="20"/>
        </w:rPr>
        <w:t>s</w:t>
      </w:r>
      <w:r w:rsidR="006A0B3B" w:rsidRPr="0069166A">
        <w:rPr>
          <w:rFonts w:ascii="Arial" w:hAnsi="Arial" w:cs="Arial"/>
          <w:sz w:val="20"/>
          <w:szCs w:val="20"/>
        </w:rPr>
        <w:t>uch signature is made by the testator or by such other person</w:t>
      </w:r>
      <w:r w:rsidR="001D09A1" w:rsidRPr="0069166A">
        <w:rPr>
          <w:rFonts w:ascii="Arial" w:hAnsi="Arial" w:cs="Arial"/>
          <w:sz w:val="20"/>
          <w:szCs w:val="20"/>
        </w:rPr>
        <w:t xml:space="preserve"> or is acknowledged by the testator and, if made by such other person,</w:t>
      </w:r>
      <w:r w:rsidR="00572BF9" w:rsidRPr="0069166A">
        <w:rPr>
          <w:rFonts w:ascii="Arial" w:hAnsi="Arial" w:cs="Arial"/>
          <w:sz w:val="20"/>
          <w:szCs w:val="20"/>
        </w:rPr>
        <w:t xml:space="preserve"> also by such other person, in the presence of two or more competent witnesses</w:t>
      </w:r>
      <w:r w:rsidR="002542B2" w:rsidRPr="0069166A">
        <w:rPr>
          <w:rFonts w:ascii="Arial" w:hAnsi="Arial" w:cs="Arial"/>
          <w:sz w:val="20"/>
          <w:szCs w:val="20"/>
        </w:rPr>
        <w:t xml:space="preserve"> present at the same time; and</w:t>
      </w:r>
    </w:p>
    <w:p w14:paraId="6C6CBE3D" w14:textId="77777777" w:rsidR="009C4173" w:rsidRDefault="009C4173" w:rsidP="00B35DA2">
      <w:pPr>
        <w:pStyle w:val="ListParagraph"/>
        <w:spacing w:line="360" w:lineRule="auto"/>
        <w:ind w:left="2520"/>
        <w:jc w:val="both"/>
        <w:rPr>
          <w:rFonts w:ascii="Arial" w:hAnsi="Arial" w:cs="Arial"/>
          <w:sz w:val="20"/>
          <w:szCs w:val="20"/>
        </w:rPr>
      </w:pPr>
    </w:p>
    <w:p w14:paraId="63D316DF" w14:textId="380F5C15" w:rsidR="002542B2" w:rsidRPr="0069166A" w:rsidRDefault="0069166A" w:rsidP="0069166A">
      <w:pPr>
        <w:spacing w:line="360" w:lineRule="auto"/>
        <w:ind w:left="2520" w:hanging="720"/>
        <w:jc w:val="both"/>
        <w:rPr>
          <w:rFonts w:ascii="Arial" w:hAnsi="Arial" w:cs="Arial"/>
          <w:sz w:val="20"/>
          <w:szCs w:val="20"/>
        </w:rPr>
      </w:pPr>
      <w:r w:rsidRPr="008C5206">
        <w:rPr>
          <w:rFonts w:ascii="Arial" w:hAnsi="Arial" w:cs="Arial"/>
          <w:sz w:val="20"/>
          <w:szCs w:val="20"/>
        </w:rPr>
        <w:t>(iii)</w:t>
      </w:r>
      <w:r w:rsidRPr="008C5206">
        <w:rPr>
          <w:rFonts w:ascii="Arial" w:hAnsi="Arial" w:cs="Arial"/>
          <w:sz w:val="20"/>
          <w:szCs w:val="20"/>
        </w:rPr>
        <w:tab/>
      </w:r>
      <w:r w:rsidR="009E487F" w:rsidRPr="0069166A">
        <w:rPr>
          <w:rFonts w:ascii="Arial" w:hAnsi="Arial" w:cs="Arial"/>
          <w:sz w:val="20"/>
          <w:szCs w:val="20"/>
        </w:rPr>
        <w:t>s</w:t>
      </w:r>
      <w:r w:rsidR="002542B2" w:rsidRPr="0069166A">
        <w:rPr>
          <w:rFonts w:ascii="Arial" w:hAnsi="Arial" w:cs="Arial"/>
          <w:sz w:val="20"/>
          <w:szCs w:val="20"/>
        </w:rPr>
        <w:t>uch witnesses attest and sign</w:t>
      </w:r>
      <w:r w:rsidR="00447CF5" w:rsidRPr="0069166A">
        <w:rPr>
          <w:rFonts w:ascii="Arial" w:hAnsi="Arial" w:cs="Arial"/>
          <w:sz w:val="20"/>
          <w:szCs w:val="20"/>
        </w:rPr>
        <w:t xml:space="preserve"> the will in the presence of the testator and of each other</w:t>
      </w:r>
      <w:r w:rsidR="00802BCC" w:rsidRPr="0069166A">
        <w:rPr>
          <w:rFonts w:ascii="Arial" w:hAnsi="Arial" w:cs="Arial"/>
          <w:sz w:val="20"/>
          <w:szCs w:val="20"/>
        </w:rPr>
        <w:t xml:space="preserve"> and, if the will is signed by such other person, in the presence also of such other person</w:t>
      </w:r>
      <w:r w:rsidR="00AD63F9" w:rsidRPr="0069166A">
        <w:rPr>
          <w:rFonts w:ascii="Arial" w:hAnsi="Arial" w:cs="Arial"/>
          <w:sz w:val="20"/>
          <w:szCs w:val="20"/>
        </w:rPr>
        <w:t>; and</w:t>
      </w:r>
    </w:p>
    <w:p w14:paraId="53D8891E" w14:textId="77777777" w:rsidR="009E487F" w:rsidRDefault="009E487F" w:rsidP="00B35DA2">
      <w:pPr>
        <w:pStyle w:val="ListParagraph"/>
        <w:spacing w:line="360" w:lineRule="auto"/>
        <w:ind w:left="2520"/>
        <w:jc w:val="both"/>
        <w:rPr>
          <w:rFonts w:ascii="Arial" w:hAnsi="Arial" w:cs="Arial"/>
          <w:sz w:val="20"/>
          <w:szCs w:val="20"/>
        </w:rPr>
      </w:pPr>
    </w:p>
    <w:p w14:paraId="1DF2AF5B" w14:textId="4861ED72" w:rsidR="00AD63F9" w:rsidRPr="0069166A" w:rsidRDefault="0069166A" w:rsidP="0069166A">
      <w:pPr>
        <w:spacing w:line="360" w:lineRule="auto"/>
        <w:ind w:left="2520" w:hanging="720"/>
        <w:jc w:val="both"/>
        <w:rPr>
          <w:rFonts w:ascii="Arial" w:hAnsi="Arial" w:cs="Arial"/>
          <w:sz w:val="20"/>
          <w:szCs w:val="20"/>
        </w:rPr>
      </w:pPr>
      <w:r w:rsidRPr="008C5206">
        <w:rPr>
          <w:rFonts w:ascii="Arial" w:hAnsi="Arial" w:cs="Arial"/>
          <w:sz w:val="20"/>
          <w:szCs w:val="20"/>
        </w:rPr>
        <w:t>(iv)</w:t>
      </w:r>
      <w:r w:rsidRPr="008C5206">
        <w:rPr>
          <w:rFonts w:ascii="Arial" w:hAnsi="Arial" w:cs="Arial"/>
          <w:sz w:val="20"/>
          <w:szCs w:val="20"/>
        </w:rPr>
        <w:tab/>
      </w:r>
      <w:r w:rsidR="009E487F" w:rsidRPr="0069166A">
        <w:rPr>
          <w:rFonts w:ascii="Arial" w:hAnsi="Arial" w:cs="Arial"/>
          <w:sz w:val="20"/>
          <w:szCs w:val="20"/>
        </w:rPr>
        <w:t>i</w:t>
      </w:r>
      <w:r w:rsidR="00AD63F9" w:rsidRPr="0069166A">
        <w:rPr>
          <w:rFonts w:ascii="Arial" w:hAnsi="Arial" w:cs="Arial"/>
          <w:sz w:val="20"/>
          <w:szCs w:val="20"/>
        </w:rPr>
        <w:t>f the will consists of more than one page, each page other than the page</w:t>
      </w:r>
      <w:r w:rsidR="008B2B84" w:rsidRPr="0069166A">
        <w:rPr>
          <w:rFonts w:ascii="Arial" w:hAnsi="Arial" w:cs="Arial"/>
          <w:sz w:val="20"/>
          <w:szCs w:val="20"/>
        </w:rPr>
        <w:t xml:space="preserve"> on which it ends, is also signed by the testator or by such other person</w:t>
      </w:r>
      <w:r w:rsidR="00870B98" w:rsidRPr="0069166A">
        <w:rPr>
          <w:rFonts w:ascii="Arial" w:hAnsi="Arial" w:cs="Arial"/>
          <w:sz w:val="20"/>
          <w:szCs w:val="20"/>
        </w:rPr>
        <w:t xml:space="preserve"> anywhere on the page; and</w:t>
      </w:r>
    </w:p>
    <w:p w14:paraId="353BE1B2" w14:textId="77777777" w:rsidR="009E487F" w:rsidRDefault="009E487F" w:rsidP="00B35DA2">
      <w:pPr>
        <w:pStyle w:val="ListParagraph"/>
        <w:spacing w:line="360" w:lineRule="auto"/>
        <w:ind w:left="2520"/>
        <w:jc w:val="both"/>
        <w:rPr>
          <w:rFonts w:ascii="Arial" w:hAnsi="Arial" w:cs="Arial"/>
          <w:sz w:val="20"/>
          <w:szCs w:val="20"/>
        </w:rPr>
      </w:pPr>
    </w:p>
    <w:p w14:paraId="6D23F0B4" w14:textId="5ACF2802" w:rsidR="00870B98" w:rsidRPr="0069166A" w:rsidRDefault="0069166A" w:rsidP="0069166A">
      <w:pPr>
        <w:spacing w:line="360" w:lineRule="auto"/>
        <w:ind w:left="2520" w:hanging="720"/>
        <w:jc w:val="both"/>
        <w:rPr>
          <w:rFonts w:ascii="Arial" w:hAnsi="Arial" w:cs="Arial"/>
          <w:sz w:val="20"/>
          <w:szCs w:val="20"/>
        </w:rPr>
      </w:pPr>
      <w:r w:rsidRPr="008C5206">
        <w:rPr>
          <w:rFonts w:ascii="Arial" w:hAnsi="Arial" w:cs="Arial"/>
          <w:sz w:val="20"/>
          <w:szCs w:val="20"/>
        </w:rPr>
        <w:t>(v)</w:t>
      </w:r>
      <w:r w:rsidRPr="008C5206">
        <w:rPr>
          <w:rFonts w:ascii="Arial" w:hAnsi="Arial" w:cs="Arial"/>
          <w:sz w:val="20"/>
          <w:szCs w:val="20"/>
        </w:rPr>
        <w:tab/>
      </w:r>
      <w:r w:rsidR="009E487F" w:rsidRPr="0069166A">
        <w:rPr>
          <w:rFonts w:ascii="Arial" w:hAnsi="Arial" w:cs="Arial"/>
          <w:sz w:val="20"/>
          <w:szCs w:val="20"/>
        </w:rPr>
        <w:t>i</w:t>
      </w:r>
      <w:r w:rsidR="00870B98" w:rsidRPr="0069166A">
        <w:rPr>
          <w:rFonts w:ascii="Arial" w:hAnsi="Arial" w:cs="Arial"/>
          <w:sz w:val="20"/>
          <w:szCs w:val="20"/>
        </w:rPr>
        <w:t>f the will is signed by the testator</w:t>
      </w:r>
      <w:r w:rsidR="006516CD" w:rsidRPr="0069166A">
        <w:rPr>
          <w:rFonts w:ascii="Arial" w:hAnsi="Arial" w:cs="Arial"/>
          <w:sz w:val="20"/>
          <w:szCs w:val="20"/>
        </w:rPr>
        <w:t xml:space="preserve"> by the making of a mark or by some other person in the presence and by the direction of the testator</w:t>
      </w:r>
      <w:r w:rsidR="002F4259" w:rsidRPr="0069166A">
        <w:rPr>
          <w:rFonts w:ascii="Arial" w:hAnsi="Arial" w:cs="Arial"/>
          <w:sz w:val="20"/>
          <w:szCs w:val="20"/>
        </w:rPr>
        <w:t xml:space="preserve">, a commissioner </w:t>
      </w:r>
      <w:r w:rsidR="00E936B5" w:rsidRPr="0069166A">
        <w:rPr>
          <w:rFonts w:ascii="Arial" w:hAnsi="Arial" w:cs="Arial"/>
          <w:sz w:val="20"/>
          <w:szCs w:val="20"/>
        </w:rPr>
        <w:t xml:space="preserve">of oaths certifies that he has satisfied himself </w:t>
      </w:r>
      <w:r w:rsidR="0089117F" w:rsidRPr="0069166A">
        <w:rPr>
          <w:rFonts w:ascii="Arial" w:hAnsi="Arial" w:cs="Arial"/>
          <w:sz w:val="20"/>
          <w:szCs w:val="20"/>
        </w:rPr>
        <w:t>as to the identity of the testator and that the will so signed is the will of the testator</w:t>
      </w:r>
      <w:r w:rsidR="00570F9D" w:rsidRPr="0069166A">
        <w:rPr>
          <w:rFonts w:ascii="Arial" w:hAnsi="Arial" w:cs="Arial"/>
          <w:sz w:val="20"/>
          <w:szCs w:val="20"/>
        </w:rPr>
        <w:t>, and each page of the will, excluding the page on which his certificate appears,</w:t>
      </w:r>
      <w:r w:rsidR="00D7133A" w:rsidRPr="0069166A">
        <w:rPr>
          <w:rFonts w:ascii="Arial" w:hAnsi="Arial" w:cs="Arial"/>
          <w:sz w:val="20"/>
          <w:szCs w:val="20"/>
        </w:rPr>
        <w:t xml:space="preserve"> is also signed, anywhere on the page, </w:t>
      </w:r>
      <w:r w:rsidR="00CD71C2" w:rsidRPr="0069166A">
        <w:rPr>
          <w:rFonts w:ascii="Arial" w:hAnsi="Arial" w:cs="Arial"/>
          <w:sz w:val="20"/>
          <w:szCs w:val="20"/>
        </w:rPr>
        <w:t>by the commissioner of oaths who so certifies: Provided that–</w:t>
      </w:r>
    </w:p>
    <w:p w14:paraId="0E73219D" w14:textId="77777777" w:rsidR="00D90FA9" w:rsidRDefault="00D90FA9" w:rsidP="00B35DA2">
      <w:pPr>
        <w:pStyle w:val="ListParagraph"/>
        <w:spacing w:line="360" w:lineRule="auto"/>
        <w:ind w:left="2520"/>
        <w:jc w:val="both"/>
        <w:rPr>
          <w:rFonts w:ascii="Arial" w:hAnsi="Arial" w:cs="Arial"/>
          <w:sz w:val="20"/>
          <w:szCs w:val="20"/>
        </w:rPr>
      </w:pPr>
    </w:p>
    <w:p w14:paraId="65FE1F9B" w14:textId="05E624D9" w:rsidR="00CD71C2" w:rsidRPr="008C5206" w:rsidRDefault="003D070D" w:rsidP="00B35DA2">
      <w:pPr>
        <w:pStyle w:val="ListParagraph"/>
        <w:spacing w:line="360" w:lineRule="auto"/>
        <w:ind w:left="3600" w:hanging="1080"/>
        <w:jc w:val="both"/>
        <w:rPr>
          <w:rFonts w:ascii="Arial" w:hAnsi="Arial" w:cs="Arial"/>
          <w:sz w:val="20"/>
          <w:szCs w:val="20"/>
        </w:rPr>
      </w:pPr>
      <w:r w:rsidRPr="008C5206">
        <w:rPr>
          <w:rFonts w:ascii="Arial" w:hAnsi="Arial" w:cs="Arial"/>
          <w:sz w:val="20"/>
          <w:szCs w:val="20"/>
        </w:rPr>
        <w:t>(aa)</w:t>
      </w:r>
      <w:r w:rsidR="00D90FA9">
        <w:rPr>
          <w:rFonts w:ascii="Arial" w:hAnsi="Arial" w:cs="Arial"/>
          <w:sz w:val="20"/>
          <w:szCs w:val="20"/>
        </w:rPr>
        <w:tab/>
      </w:r>
      <w:r w:rsidRPr="008C5206">
        <w:rPr>
          <w:rFonts w:ascii="Arial" w:hAnsi="Arial" w:cs="Arial"/>
          <w:sz w:val="20"/>
          <w:szCs w:val="20"/>
        </w:rPr>
        <w:t>the will is signed in the presence of the commissioner of oaths in terms of sub-paragraphs (</w:t>
      </w:r>
      <w:proofErr w:type="spellStart"/>
      <w:r w:rsidRPr="008C5206">
        <w:rPr>
          <w:rFonts w:ascii="Arial" w:hAnsi="Arial" w:cs="Arial"/>
          <w:sz w:val="20"/>
          <w:szCs w:val="20"/>
        </w:rPr>
        <w:t>i</w:t>
      </w:r>
      <w:proofErr w:type="spellEnd"/>
      <w:r w:rsidRPr="008C5206">
        <w:rPr>
          <w:rFonts w:ascii="Arial" w:hAnsi="Arial" w:cs="Arial"/>
          <w:sz w:val="20"/>
          <w:szCs w:val="20"/>
        </w:rPr>
        <w:t>)</w:t>
      </w:r>
      <w:r w:rsidR="000D61E4" w:rsidRPr="008C5206">
        <w:rPr>
          <w:rFonts w:ascii="Arial" w:hAnsi="Arial" w:cs="Arial"/>
          <w:sz w:val="20"/>
          <w:szCs w:val="20"/>
        </w:rPr>
        <w:t>, (iii) and (iv) and the certificate concerned is made as soon as possible</w:t>
      </w:r>
      <w:r w:rsidR="004E1221" w:rsidRPr="008C5206">
        <w:rPr>
          <w:rFonts w:ascii="Arial" w:hAnsi="Arial" w:cs="Arial"/>
          <w:sz w:val="20"/>
          <w:szCs w:val="20"/>
        </w:rPr>
        <w:t xml:space="preserve"> after the will has been so signed; and</w:t>
      </w:r>
    </w:p>
    <w:p w14:paraId="6ABD9410" w14:textId="77777777" w:rsidR="00D90FA9" w:rsidRDefault="00D90FA9" w:rsidP="00B35DA2">
      <w:pPr>
        <w:pStyle w:val="ListParagraph"/>
        <w:spacing w:line="360" w:lineRule="auto"/>
        <w:ind w:left="2520"/>
        <w:jc w:val="both"/>
        <w:rPr>
          <w:rFonts w:ascii="Arial" w:hAnsi="Arial" w:cs="Arial"/>
          <w:sz w:val="20"/>
          <w:szCs w:val="20"/>
        </w:rPr>
      </w:pPr>
    </w:p>
    <w:p w14:paraId="6BA3F6AA" w14:textId="1891F390" w:rsidR="00E91439" w:rsidRPr="008C5206" w:rsidRDefault="004E1221" w:rsidP="00B35DA2">
      <w:pPr>
        <w:pStyle w:val="ListParagraph"/>
        <w:spacing w:line="360" w:lineRule="auto"/>
        <w:ind w:left="3600" w:hanging="1080"/>
        <w:jc w:val="both"/>
        <w:rPr>
          <w:rFonts w:ascii="Arial" w:hAnsi="Arial" w:cs="Arial"/>
          <w:sz w:val="20"/>
          <w:szCs w:val="20"/>
        </w:rPr>
      </w:pPr>
      <w:r w:rsidRPr="008C5206">
        <w:rPr>
          <w:rFonts w:ascii="Arial" w:hAnsi="Arial" w:cs="Arial"/>
          <w:sz w:val="20"/>
          <w:szCs w:val="20"/>
        </w:rPr>
        <w:t>(bb)</w:t>
      </w:r>
      <w:r w:rsidR="00D90FA9">
        <w:rPr>
          <w:rFonts w:ascii="Arial" w:hAnsi="Arial" w:cs="Arial"/>
          <w:sz w:val="20"/>
          <w:szCs w:val="20"/>
        </w:rPr>
        <w:tab/>
      </w:r>
      <w:r w:rsidRPr="008C5206">
        <w:rPr>
          <w:rFonts w:ascii="Arial" w:hAnsi="Arial" w:cs="Arial"/>
          <w:sz w:val="20"/>
          <w:szCs w:val="20"/>
        </w:rPr>
        <w:t xml:space="preserve">if the testator dies after the will </w:t>
      </w:r>
      <w:r w:rsidR="00F6313B" w:rsidRPr="008C5206">
        <w:rPr>
          <w:rFonts w:ascii="Arial" w:hAnsi="Arial" w:cs="Arial"/>
          <w:sz w:val="20"/>
          <w:szCs w:val="20"/>
        </w:rPr>
        <w:t>has been signed in terms of sub-paragraphs (</w:t>
      </w:r>
      <w:proofErr w:type="spellStart"/>
      <w:r w:rsidR="00F6313B" w:rsidRPr="008C5206">
        <w:rPr>
          <w:rFonts w:ascii="Arial" w:hAnsi="Arial" w:cs="Arial"/>
          <w:sz w:val="20"/>
          <w:szCs w:val="20"/>
        </w:rPr>
        <w:t>i</w:t>
      </w:r>
      <w:proofErr w:type="spellEnd"/>
      <w:r w:rsidR="00F6313B" w:rsidRPr="008C5206">
        <w:rPr>
          <w:rFonts w:ascii="Arial" w:hAnsi="Arial" w:cs="Arial"/>
          <w:sz w:val="20"/>
          <w:szCs w:val="20"/>
        </w:rPr>
        <w:t>), (iii) and (iv)</w:t>
      </w:r>
      <w:r w:rsidR="00EF7526" w:rsidRPr="008C5206">
        <w:rPr>
          <w:rFonts w:ascii="Arial" w:hAnsi="Arial" w:cs="Arial"/>
          <w:sz w:val="20"/>
          <w:szCs w:val="20"/>
        </w:rPr>
        <w:t xml:space="preserve"> but before the commissioner of oaths has made the certificate concerned, the commissioner of oaths shall as soon as possible</w:t>
      </w:r>
      <w:r w:rsidR="0015272A" w:rsidRPr="008C5206">
        <w:rPr>
          <w:rFonts w:ascii="Arial" w:hAnsi="Arial" w:cs="Arial"/>
          <w:sz w:val="20"/>
          <w:szCs w:val="20"/>
        </w:rPr>
        <w:t xml:space="preserve"> thereafter make or complete his certificate, and sign each page of the will</w:t>
      </w:r>
      <w:r w:rsidR="00D5465C" w:rsidRPr="008C5206">
        <w:rPr>
          <w:rFonts w:ascii="Arial" w:hAnsi="Arial" w:cs="Arial"/>
          <w:sz w:val="20"/>
          <w:szCs w:val="20"/>
        </w:rPr>
        <w:t xml:space="preserve">, excluding the page on which his certificate </w:t>
      </w:r>
      <w:proofErr w:type="gramStart"/>
      <w:r w:rsidR="00D5465C" w:rsidRPr="008C5206">
        <w:rPr>
          <w:rFonts w:ascii="Arial" w:hAnsi="Arial" w:cs="Arial"/>
          <w:sz w:val="20"/>
          <w:szCs w:val="20"/>
        </w:rPr>
        <w:t>appears;</w:t>
      </w:r>
      <w:proofErr w:type="gramEnd"/>
    </w:p>
    <w:p w14:paraId="437C9317" w14:textId="77777777" w:rsidR="00607F74" w:rsidRDefault="00607F74" w:rsidP="00B35DA2">
      <w:pPr>
        <w:pStyle w:val="ListParagraph"/>
        <w:spacing w:line="360" w:lineRule="auto"/>
        <w:ind w:left="1800"/>
        <w:jc w:val="both"/>
        <w:rPr>
          <w:rFonts w:ascii="Arial" w:hAnsi="Arial" w:cs="Arial"/>
          <w:sz w:val="20"/>
          <w:szCs w:val="20"/>
        </w:rPr>
      </w:pPr>
    </w:p>
    <w:p w14:paraId="7BDF23DB" w14:textId="414D8C96" w:rsidR="004E1221" w:rsidRPr="0069166A" w:rsidRDefault="0069166A" w:rsidP="0069166A">
      <w:pPr>
        <w:spacing w:line="360" w:lineRule="auto"/>
        <w:ind w:left="1800" w:hanging="360"/>
        <w:jc w:val="both"/>
        <w:rPr>
          <w:rFonts w:ascii="Arial" w:hAnsi="Arial" w:cs="Arial"/>
          <w:sz w:val="20"/>
          <w:szCs w:val="20"/>
        </w:rPr>
      </w:pPr>
      <w:r w:rsidRPr="008C5206">
        <w:rPr>
          <w:rFonts w:ascii="Arial" w:hAnsi="Arial" w:cs="Arial"/>
          <w:sz w:val="20"/>
          <w:szCs w:val="20"/>
        </w:rPr>
        <w:t>(b)</w:t>
      </w:r>
      <w:r w:rsidRPr="008C5206">
        <w:rPr>
          <w:rFonts w:ascii="Arial" w:hAnsi="Arial" w:cs="Arial"/>
          <w:sz w:val="20"/>
          <w:szCs w:val="20"/>
        </w:rPr>
        <w:tab/>
      </w:r>
      <w:r w:rsidR="00C91E72" w:rsidRPr="0069166A">
        <w:rPr>
          <w:rFonts w:ascii="Arial" w:hAnsi="Arial" w:cs="Arial"/>
          <w:sz w:val="20"/>
          <w:szCs w:val="20"/>
        </w:rPr>
        <w:t>…</w:t>
      </w:r>
      <w:r w:rsidR="00D5465C" w:rsidRPr="0069166A">
        <w:rPr>
          <w:rFonts w:ascii="Arial" w:hAnsi="Arial" w:cs="Arial"/>
          <w:sz w:val="20"/>
          <w:szCs w:val="20"/>
        </w:rPr>
        <w:t>’</w:t>
      </w:r>
    </w:p>
    <w:p w14:paraId="172A97A6" w14:textId="77777777" w:rsidR="00AE2F51" w:rsidRDefault="00AE2F51" w:rsidP="00AE2F51">
      <w:pPr>
        <w:spacing w:line="360" w:lineRule="auto"/>
        <w:rPr>
          <w:rFonts w:ascii="Arial" w:hAnsi="Arial" w:cs="Arial"/>
          <w:sz w:val="24"/>
          <w:szCs w:val="24"/>
        </w:rPr>
      </w:pPr>
    </w:p>
    <w:p w14:paraId="66836B12" w14:textId="69994A94" w:rsidR="00AE2F51" w:rsidRPr="0069166A" w:rsidRDefault="0069166A" w:rsidP="006916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5DA2">
        <w:rPr>
          <w:rFonts w:ascii="Arial" w:hAnsi="Arial" w:cs="Arial"/>
          <w:sz w:val="24"/>
          <w:szCs w:val="24"/>
        </w:rPr>
        <w:t>[9]</w:t>
      </w:r>
      <w:r w:rsidRPr="00B35DA2">
        <w:rPr>
          <w:rFonts w:ascii="Arial" w:hAnsi="Arial" w:cs="Arial"/>
          <w:sz w:val="24"/>
          <w:szCs w:val="24"/>
        </w:rPr>
        <w:tab/>
      </w:r>
      <w:r w:rsidR="00AE2F51" w:rsidRPr="0069166A">
        <w:rPr>
          <w:rFonts w:ascii="Arial" w:hAnsi="Arial" w:cs="Arial"/>
          <w:sz w:val="24"/>
          <w:szCs w:val="24"/>
        </w:rPr>
        <w:t>Section</w:t>
      </w:r>
      <w:r w:rsidR="004345C0" w:rsidRPr="0069166A">
        <w:rPr>
          <w:rFonts w:ascii="Arial" w:hAnsi="Arial" w:cs="Arial"/>
          <w:sz w:val="24"/>
          <w:szCs w:val="24"/>
        </w:rPr>
        <w:t>s</w:t>
      </w:r>
      <w:r w:rsidR="00AE2F51" w:rsidRPr="0069166A">
        <w:rPr>
          <w:rFonts w:ascii="Arial" w:hAnsi="Arial" w:cs="Arial"/>
          <w:sz w:val="24"/>
          <w:szCs w:val="24"/>
        </w:rPr>
        <w:t xml:space="preserve"> 2</w:t>
      </w:r>
      <w:r w:rsidR="00C91E72" w:rsidRPr="0069166A">
        <w:rPr>
          <w:rFonts w:ascii="Arial" w:hAnsi="Arial" w:cs="Arial"/>
          <w:sz w:val="24"/>
          <w:szCs w:val="24"/>
        </w:rPr>
        <w:t>(</w:t>
      </w:r>
      <w:r w:rsidR="00AB3206" w:rsidRPr="0069166A">
        <w:rPr>
          <w:rFonts w:ascii="Arial" w:hAnsi="Arial" w:cs="Arial"/>
          <w:sz w:val="24"/>
          <w:szCs w:val="24"/>
        </w:rPr>
        <w:t xml:space="preserve">1)(b) </w:t>
      </w:r>
      <w:r w:rsidR="004345C0" w:rsidRPr="0069166A">
        <w:rPr>
          <w:rFonts w:ascii="Arial" w:hAnsi="Arial" w:cs="Arial"/>
          <w:sz w:val="24"/>
          <w:szCs w:val="24"/>
        </w:rPr>
        <w:t xml:space="preserve">and 2(2) </w:t>
      </w:r>
      <w:r w:rsidR="00AB3206" w:rsidRPr="0069166A">
        <w:rPr>
          <w:rFonts w:ascii="Arial" w:hAnsi="Arial" w:cs="Arial"/>
          <w:sz w:val="24"/>
          <w:szCs w:val="24"/>
        </w:rPr>
        <w:t>deal with amendments made in a will. For the sake of completion</w:t>
      </w:r>
      <w:r w:rsidR="004345C0" w:rsidRPr="0069166A">
        <w:rPr>
          <w:rFonts w:ascii="Arial" w:hAnsi="Arial" w:cs="Arial"/>
          <w:sz w:val="24"/>
          <w:szCs w:val="24"/>
        </w:rPr>
        <w:t xml:space="preserve">, section 2(3) </w:t>
      </w:r>
      <w:r w:rsidR="00715200" w:rsidRPr="0069166A">
        <w:rPr>
          <w:rFonts w:ascii="Arial" w:hAnsi="Arial" w:cs="Arial"/>
          <w:sz w:val="24"/>
          <w:szCs w:val="24"/>
        </w:rPr>
        <w:t>provides as follows:</w:t>
      </w:r>
    </w:p>
    <w:p w14:paraId="7290F47D" w14:textId="3B2F1176" w:rsidR="00715200" w:rsidRPr="00C76749" w:rsidRDefault="00715200" w:rsidP="00B35DA2">
      <w:pPr>
        <w:spacing w:line="360" w:lineRule="auto"/>
        <w:ind w:left="1440" w:hanging="720"/>
        <w:jc w:val="both"/>
        <w:rPr>
          <w:rFonts w:ascii="Arial" w:hAnsi="Arial" w:cs="Arial"/>
          <w:sz w:val="20"/>
          <w:szCs w:val="20"/>
        </w:rPr>
      </w:pPr>
      <w:r w:rsidRPr="00C76749">
        <w:rPr>
          <w:rFonts w:ascii="Arial" w:hAnsi="Arial" w:cs="Arial"/>
          <w:sz w:val="20"/>
          <w:szCs w:val="20"/>
        </w:rPr>
        <w:t>‘(3)</w:t>
      </w:r>
      <w:r w:rsidRPr="00C76749">
        <w:rPr>
          <w:rFonts w:ascii="Arial" w:hAnsi="Arial" w:cs="Arial"/>
          <w:sz w:val="20"/>
          <w:szCs w:val="20"/>
        </w:rPr>
        <w:tab/>
        <w:t>If a court is satisfied that</w:t>
      </w:r>
      <w:r w:rsidR="0077465D" w:rsidRPr="00C76749">
        <w:rPr>
          <w:rFonts w:ascii="Arial" w:hAnsi="Arial" w:cs="Arial"/>
          <w:sz w:val="20"/>
          <w:szCs w:val="20"/>
        </w:rPr>
        <w:t xml:space="preserve"> a document or the amendment of a document drafted</w:t>
      </w:r>
      <w:r w:rsidR="007C5552" w:rsidRPr="00C76749">
        <w:rPr>
          <w:rFonts w:ascii="Arial" w:hAnsi="Arial" w:cs="Arial"/>
          <w:sz w:val="20"/>
          <w:szCs w:val="20"/>
        </w:rPr>
        <w:t xml:space="preserve"> or executed by a person who has died since the drafting or execution thereof,</w:t>
      </w:r>
      <w:r w:rsidR="000443DF" w:rsidRPr="00C76749">
        <w:rPr>
          <w:rFonts w:ascii="Arial" w:hAnsi="Arial" w:cs="Arial"/>
          <w:sz w:val="20"/>
          <w:szCs w:val="20"/>
        </w:rPr>
        <w:t xml:space="preserve"> was intended to be his will or an amendment of his will, the court shall order the Master</w:t>
      </w:r>
      <w:r w:rsidR="008D7BBA" w:rsidRPr="00C76749">
        <w:rPr>
          <w:rFonts w:ascii="Arial" w:hAnsi="Arial" w:cs="Arial"/>
          <w:sz w:val="20"/>
          <w:szCs w:val="20"/>
        </w:rPr>
        <w:t xml:space="preserve"> to accept that document, or that document as amended, for the purposes of the Administration of Estates Act, 1965 (</w:t>
      </w:r>
      <w:r w:rsidR="00530AC4" w:rsidRPr="00C76749">
        <w:rPr>
          <w:rFonts w:ascii="Arial" w:hAnsi="Arial" w:cs="Arial"/>
          <w:sz w:val="20"/>
          <w:szCs w:val="20"/>
        </w:rPr>
        <w:t xml:space="preserve">Act No. 66 of 1965), as a will, </w:t>
      </w:r>
      <w:r w:rsidR="00170040" w:rsidRPr="00C76749">
        <w:rPr>
          <w:rFonts w:ascii="Arial" w:hAnsi="Arial" w:cs="Arial"/>
          <w:sz w:val="20"/>
          <w:szCs w:val="20"/>
        </w:rPr>
        <w:t>although it does not comply with all the formalities for the execution or amendment</w:t>
      </w:r>
      <w:r w:rsidR="006C073E" w:rsidRPr="00C76749">
        <w:rPr>
          <w:rFonts w:ascii="Arial" w:hAnsi="Arial" w:cs="Arial"/>
          <w:sz w:val="20"/>
          <w:szCs w:val="20"/>
        </w:rPr>
        <w:t xml:space="preserve"> of wills referred to in sub-section (1).</w:t>
      </w:r>
      <w:r w:rsidR="00607F74" w:rsidRPr="00C76749">
        <w:rPr>
          <w:rFonts w:ascii="Arial" w:hAnsi="Arial" w:cs="Arial"/>
          <w:sz w:val="20"/>
          <w:szCs w:val="20"/>
        </w:rPr>
        <w:t>’</w:t>
      </w:r>
    </w:p>
    <w:p w14:paraId="471A72BB" w14:textId="77777777" w:rsidR="00607F74" w:rsidRDefault="00607F74" w:rsidP="00AE2F51">
      <w:pPr>
        <w:spacing w:line="360" w:lineRule="auto"/>
        <w:rPr>
          <w:rFonts w:ascii="Arial" w:hAnsi="Arial" w:cs="Arial"/>
          <w:sz w:val="24"/>
          <w:szCs w:val="24"/>
        </w:rPr>
      </w:pPr>
    </w:p>
    <w:p w14:paraId="6091BEA9" w14:textId="487E0D62" w:rsidR="00DD3411" w:rsidRPr="0069166A" w:rsidRDefault="0069166A" w:rsidP="006916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[10]</w:t>
      </w:r>
      <w:r>
        <w:rPr>
          <w:rFonts w:ascii="Arial" w:hAnsi="Arial" w:cs="Arial"/>
          <w:sz w:val="24"/>
          <w:szCs w:val="24"/>
        </w:rPr>
        <w:tab/>
      </w:r>
      <w:r w:rsidR="00C76749" w:rsidRPr="0069166A">
        <w:rPr>
          <w:rFonts w:ascii="Arial" w:hAnsi="Arial" w:cs="Arial"/>
          <w:sz w:val="24"/>
          <w:szCs w:val="24"/>
        </w:rPr>
        <w:t xml:space="preserve">The </w:t>
      </w:r>
      <w:r w:rsidR="003A3F36" w:rsidRPr="0069166A">
        <w:rPr>
          <w:rFonts w:ascii="Arial" w:hAnsi="Arial" w:cs="Arial"/>
          <w:sz w:val="24"/>
          <w:szCs w:val="24"/>
        </w:rPr>
        <w:t xml:space="preserve">Law of Succession Amendment Act </w:t>
      </w:r>
      <w:r w:rsidR="00D41BC1" w:rsidRPr="0069166A">
        <w:rPr>
          <w:rFonts w:ascii="Arial" w:hAnsi="Arial" w:cs="Arial"/>
          <w:sz w:val="24"/>
          <w:szCs w:val="24"/>
        </w:rPr>
        <w:t xml:space="preserve">43 of 1992 added section 2(3) to </w:t>
      </w:r>
      <w:r w:rsidR="00A53AB0" w:rsidRPr="0069166A">
        <w:rPr>
          <w:rFonts w:ascii="Arial" w:hAnsi="Arial" w:cs="Arial"/>
          <w:sz w:val="24"/>
          <w:szCs w:val="24"/>
        </w:rPr>
        <w:t xml:space="preserve">avoid the </w:t>
      </w:r>
      <w:r w:rsidR="007B456A" w:rsidRPr="0069166A">
        <w:rPr>
          <w:rFonts w:ascii="Arial" w:hAnsi="Arial" w:cs="Arial"/>
          <w:sz w:val="24"/>
          <w:szCs w:val="24"/>
        </w:rPr>
        <w:t xml:space="preserve">problems experienced and hardships caused by </w:t>
      </w:r>
      <w:r w:rsidR="00831EAE" w:rsidRPr="0069166A">
        <w:rPr>
          <w:rFonts w:ascii="Arial" w:hAnsi="Arial" w:cs="Arial"/>
          <w:sz w:val="24"/>
          <w:szCs w:val="24"/>
        </w:rPr>
        <w:t>the strict formalistic approach that had been adopted by the courts in the past.</w:t>
      </w:r>
      <w:r w:rsidR="00F45FD5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2B319E" w:rsidRPr="0069166A">
        <w:rPr>
          <w:rFonts w:ascii="Arial" w:hAnsi="Arial" w:cs="Arial"/>
          <w:sz w:val="24"/>
          <w:szCs w:val="24"/>
        </w:rPr>
        <w:t xml:space="preserve"> The </w:t>
      </w:r>
      <w:r w:rsidR="00F45FD5" w:rsidRPr="0069166A">
        <w:rPr>
          <w:rFonts w:ascii="Arial" w:hAnsi="Arial" w:cs="Arial"/>
          <w:sz w:val="24"/>
          <w:szCs w:val="24"/>
        </w:rPr>
        <w:t xml:space="preserve">purpose of </w:t>
      </w:r>
      <w:r w:rsidR="00E45B7E" w:rsidRPr="0069166A">
        <w:rPr>
          <w:rFonts w:ascii="Arial" w:hAnsi="Arial" w:cs="Arial"/>
          <w:sz w:val="24"/>
          <w:szCs w:val="24"/>
        </w:rPr>
        <w:t xml:space="preserve">the provision was to </w:t>
      </w:r>
      <w:r w:rsidR="000B61EE" w:rsidRPr="0069166A">
        <w:rPr>
          <w:rFonts w:ascii="Arial" w:hAnsi="Arial" w:cs="Arial"/>
          <w:sz w:val="24"/>
          <w:szCs w:val="24"/>
        </w:rPr>
        <w:t xml:space="preserve">provide legality to </w:t>
      </w:r>
      <w:r w:rsidR="00260765" w:rsidRPr="0069166A">
        <w:rPr>
          <w:rFonts w:ascii="Arial" w:hAnsi="Arial" w:cs="Arial"/>
          <w:sz w:val="24"/>
          <w:szCs w:val="24"/>
        </w:rPr>
        <w:t>a document that was</w:t>
      </w:r>
      <w:r w:rsidR="00EF14EA" w:rsidRPr="0069166A">
        <w:rPr>
          <w:rFonts w:ascii="Arial" w:hAnsi="Arial" w:cs="Arial"/>
          <w:sz w:val="24"/>
          <w:szCs w:val="24"/>
        </w:rPr>
        <w:t xml:space="preserve"> not</w:t>
      </w:r>
      <w:r w:rsidR="00260765" w:rsidRPr="0069166A">
        <w:rPr>
          <w:rFonts w:ascii="Arial" w:hAnsi="Arial" w:cs="Arial"/>
          <w:sz w:val="24"/>
          <w:szCs w:val="24"/>
        </w:rPr>
        <w:t xml:space="preserve">, </w:t>
      </w:r>
      <w:r w:rsidR="00260765" w:rsidRPr="0069166A">
        <w:rPr>
          <w:rFonts w:ascii="Arial" w:hAnsi="Arial" w:cs="Arial"/>
          <w:i/>
          <w:iCs/>
          <w:sz w:val="24"/>
          <w:szCs w:val="24"/>
        </w:rPr>
        <w:t>ex facie</w:t>
      </w:r>
      <w:r w:rsidR="00260765" w:rsidRPr="0069166A">
        <w:rPr>
          <w:rFonts w:ascii="Arial" w:hAnsi="Arial" w:cs="Arial"/>
          <w:sz w:val="24"/>
          <w:szCs w:val="24"/>
        </w:rPr>
        <w:t>, a valid will.</w:t>
      </w:r>
      <w:r w:rsidR="00DA1CB4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364C79" w:rsidRPr="0069166A">
        <w:rPr>
          <w:rFonts w:ascii="Arial" w:hAnsi="Arial" w:cs="Arial"/>
          <w:sz w:val="24"/>
          <w:szCs w:val="24"/>
        </w:rPr>
        <w:t xml:space="preserve"> It is apparent from the case law, however, that the </w:t>
      </w:r>
      <w:r w:rsidR="002467D8" w:rsidRPr="0069166A">
        <w:rPr>
          <w:rFonts w:ascii="Arial" w:hAnsi="Arial" w:cs="Arial"/>
          <w:sz w:val="24"/>
          <w:szCs w:val="24"/>
        </w:rPr>
        <w:t xml:space="preserve">formalities prescribed under section 2(1) </w:t>
      </w:r>
      <w:r w:rsidR="00371420" w:rsidRPr="0069166A">
        <w:rPr>
          <w:rFonts w:ascii="Arial" w:hAnsi="Arial" w:cs="Arial"/>
          <w:sz w:val="24"/>
          <w:szCs w:val="24"/>
        </w:rPr>
        <w:t xml:space="preserve">have </w:t>
      </w:r>
      <w:r w:rsidR="00A16538" w:rsidRPr="0069166A">
        <w:rPr>
          <w:rFonts w:ascii="Arial" w:hAnsi="Arial" w:cs="Arial"/>
          <w:sz w:val="24"/>
          <w:szCs w:val="24"/>
        </w:rPr>
        <w:t xml:space="preserve">certainly </w:t>
      </w:r>
      <w:r w:rsidR="00371420" w:rsidRPr="0069166A">
        <w:rPr>
          <w:rFonts w:ascii="Arial" w:hAnsi="Arial" w:cs="Arial"/>
          <w:sz w:val="24"/>
          <w:szCs w:val="24"/>
        </w:rPr>
        <w:t xml:space="preserve">not been rendered superfluous and are </w:t>
      </w:r>
      <w:r w:rsidR="00A16538" w:rsidRPr="0069166A">
        <w:rPr>
          <w:rFonts w:ascii="Arial" w:hAnsi="Arial" w:cs="Arial"/>
          <w:sz w:val="24"/>
          <w:szCs w:val="24"/>
        </w:rPr>
        <w:t xml:space="preserve">still required to guarantee the authenticity of a will and to </w:t>
      </w:r>
      <w:r w:rsidR="00DA1CB4" w:rsidRPr="0069166A">
        <w:rPr>
          <w:rFonts w:ascii="Arial" w:hAnsi="Arial" w:cs="Arial"/>
          <w:sz w:val="24"/>
          <w:szCs w:val="24"/>
        </w:rPr>
        <w:t>minimise the risk of fraud.</w:t>
      </w:r>
      <w:r w:rsidR="00E76B55">
        <w:rPr>
          <w:rStyle w:val="FootnoteReference"/>
          <w:rFonts w:ascii="Arial" w:hAnsi="Arial" w:cs="Arial"/>
          <w:sz w:val="24"/>
          <w:szCs w:val="24"/>
        </w:rPr>
        <w:footnoteReference w:id="3"/>
      </w:r>
    </w:p>
    <w:p w14:paraId="4FEEDB20" w14:textId="77777777" w:rsidR="00DD3411" w:rsidRDefault="00DD3411" w:rsidP="00DD3411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EEDBE3A" w14:textId="507B602A" w:rsidR="00DD3411" w:rsidRPr="0069166A" w:rsidRDefault="0069166A" w:rsidP="006916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[11]</w:t>
      </w:r>
      <w:r>
        <w:rPr>
          <w:rFonts w:ascii="Arial" w:hAnsi="Arial" w:cs="Arial"/>
          <w:sz w:val="24"/>
          <w:szCs w:val="24"/>
        </w:rPr>
        <w:tab/>
      </w:r>
      <w:r w:rsidR="00B55807" w:rsidRPr="0069166A">
        <w:rPr>
          <w:rFonts w:ascii="Arial" w:hAnsi="Arial" w:cs="Arial"/>
          <w:sz w:val="24"/>
          <w:szCs w:val="24"/>
        </w:rPr>
        <w:t xml:space="preserve">It is necessary to mention that the formalities apply equally to a codicil. </w:t>
      </w:r>
      <w:r w:rsidR="005A02A9" w:rsidRPr="0069166A">
        <w:rPr>
          <w:rFonts w:ascii="Arial" w:hAnsi="Arial" w:cs="Arial"/>
          <w:sz w:val="24"/>
          <w:szCs w:val="24"/>
        </w:rPr>
        <w:t xml:space="preserve">In terms of section 1 of the Act, </w:t>
      </w:r>
      <w:r w:rsidR="00B71A7F" w:rsidRPr="0069166A">
        <w:rPr>
          <w:rFonts w:ascii="Arial" w:hAnsi="Arial" w:cs="Arial"/>
          <w:sz w:val="24"/>
          <w:szCs w:val="24"/>
        </w:rPr>
        <w:t>a will ‘includes a codicil and any other testamentary writing’.</w:t>
      </w:r>
    </w:p>
    <w:p w14:paraId="41A77F9A" w14:textId="77777777" w:rsidR="00DD3411" w:rsidRPr="00DD3411" w:rsidRDefault="00DD3411" w:rsidP="00DD3411">
      <w:pPr>
        <w:pStyle w:val="ListParagraph"/>
        <w:rPr>
          <w:rFonts w:ascii="Arial" w:hAnsi="Arial" w:cs="Arial"/>
          <w:sz w:val="24"/>
          <w:szCs w:val="24"/>
        </w:rPr>
      </w:pPr>
    </w:p>
    <w:p w14:paraId="29AC2ACC" w14:textId="256B6405" w:rsidR="00362813" w:rsidRPr="0069166A" w:rsidRDefault="0069166A" w:rsidP="006916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3411">
        <w:rPr>
          <w:rFonts w:ascii="Arial" w:hAnsi="Arial" w:cs="Arial"/>
          <w:sz w:val="24"/>
          <w:szCs w:val="24"/>
        </w:rPr>
        <w:t>[12]</w:t>
      </w:r>
      <w:r w:rsidRPr="00DD3411">
        <w:rPr>
          <w:rFonts w:ascii="Arial" w:hAnsi="Arial" w:cs="Arial"/>
          <w:sz w:val="24"/>
          <w:szCs w:val="24"/>
        </w:rPr>
        <w:tab/>
      </w:r>
      <w:r w:rsidR="00362813" w:rsidRPr="0069166A">
        <w:rPr>
          <w:rFonts w:ascii="Arial" w:hAnsi="Arial" w:cs="Arial"/>
          <w:sz w:val="24"/>
          <w:szCs w:val="24"/>
        </w:rPr>
        <w:t xml:space="preserve">The </w:t>
      </w:r>
      <w:r w:rsidR="009D58B9" w:rsidRPr="0069166A">
        <w:rPr>
          <w:rFonts w:ascii="Arial" w:hAnsi="Arial" w:cs="Arial"/>
          <w:sz w:val="24"/>
          <w:szCs w:val="24"/>
        </w:rPr>
        <w:t xml:space="preserve">application of the law to the </w:t>
      </w:r>
      <w:r w:rsidR="003C706D" w:rsidRPr="0069166A">
        <w:rPr>
          <w:rFonts w:ascii="Arial" w:hAnsi="Arial" w:cs="Arial"/>
          <w:sz w:val="24"/>
          <w:szCs w:val="24"/>
        </w:rPr>
        <w:t xml:space="preserve">circumstances of the present matter </w:t>
      </w:r>
      <w:r w:rsidR="009D58B9" w:rsidRPr="0069166A">
        <w:rPr>
          <w:rFonts w:ascii="Arial" w:hAnsi="Arial" w:cs="Arial"/>
          <w:sz w:val="24"/>
          <w:szCs w:val="24"/>
        </w:rPr>
        <w:t xml:space="preserve">will be considered </w:t>
      </w:r>
      <w:r w:rsidR="003C706D" w:rsidRPr="0069166A">
        <w:rPr>
          <w:rFonts w:ascii="Arial" w:hAnsi="Arial" w:cs="Arial"/>
          <w:sz w:val="24"/>
          <w:szCs w:val="24"/>
        </w:rPr>
        <w:t>below.</w:t>
      </w:r>
    </w:p>
    <w:p w14:paraId="0022E4FE" w14:textId="77777777" w:rsidR="003C706D" w:rsidRDefault="003C706D" w:rsidP="00AE2F51">
      <w:pPr>
        <w:spacing w:line="360" w:lineRule="auto"/>
        <w:rPr>
          <w:rFonts w:ascii="Arial" w:hAnsi="Arial" w:cs="Arial"/>
          <w:sz w:val="24"/>
          <w:szCs w:val="24"/>
        </w:rPr>
      </w:pPr>
    </w:p>
    <w:p w14:paraId="7EE696B0" w14:textId="1C47F379" w:rsidR="003C706D" w:rsidRPr="00867588" w:rsidRDefault="003C706D" w:rsidP="00DD341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67588">
        <w:rPr>
          <w:rFonts w:ascii="Arial" w:hAnsi="Arial" w:cs="Arial"/>
          <w:b/>
          <w:bCs/>
          <w:sz w:val="24"/>
          <w:szCs w:val="24"/>
        </w:rPr>
        <w:lastRenderedPageBreak/>
        <w:t xml:space="preserve">Application </w:t>
      </w:r>
      <w:r w:rsidR="00867588" w:rsidRPr="00867588">
        <w:rPr>
          <w:rFonts w:ascii="Arial" w:hAnsi="Arial" w:cs="Arial"/>
          <w:b/>
          <w:bCs/>
          <w:sz w:val="24"/>
          <w:szCs w:val="24"/>
        </w:rPr>
        <w:t>to the facts</w:t>
      </w:r>
    </w:p>
    <w:p w14:paraId="2B7FC138" w14:textId="77777777" w:rsidR="00867588" w:rsidRDefault="00867588" w:rsidP="00AE2F51">
      <w:pPr>
        <w:spacing w:line="360" w:lineRule="auto"/>
        <w:rPr>
          <w:rFonts w:ascii="Arial" w:hAnsi="Arial" w:cs="Arial"/>
          <w:sz w:val="24"/>
          <w:szCs w:val="24"/>
        </w:rPr>
      </w:pPr>
    </w:p>
    <w:p w14:paraId="0D781208" w14:textId="4EE55110" w:rsidR="00867588" w:rsidRPr="0069166A" w:rsidRDefault="0069166A" w:rsidP="006916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3411">
        <w:rPr>
          <w:rFonts w:ascii="Arial" w:hAnsi="Arial" w:cs="Arial"/>
          <w:sz w:val="24"/>
          <w:szCs w:val="24"/>
        </w:rPr>
        <w:t>[13]</w:t>
      </w:r>
      <w:r w:rsidRPr="00DD3411">
        <w:rPr>
          <w:rFonts w:ascii="Arial" w:hAnsi="Arial" w:cs="Arial"/>
          <w:sz w:val="24"/>
          <w:szCs w:val="24"/>
        </w:rPr>
        <w:tab/>
      </w:r>
      <w:r w:rsidR="00867588" w:rsidRPr="0069166A">
        <w:rPr>
          <w:rFonts w:ascii="Arial" w:hAnsi="Arial" w:cs="Arial"/>
          <w:sz w:val="24"/>
          <w:szCs w:val="24"/>
        </w:rPr>
        <w:t xml:space="preserve">The </w:t>
      </w:r>
      <w:r w:rsidR="000F49FE" w:rsidRPr="0069166A">
        <w:rPr>
          <w:rFonts w:ascii="Arial" w:hAnsi="Arial" w:cs="Arial"/>
          <w:sz w:val="24"/>
          <w:szCs w:val="24"/>
        </w:rPr>
        <w:t>codicil to which the applicants refer</w:t>
      </w:r>
      <w:r w:rsidR="00402F7D" w:rsidRPr="0069166A">
        <w:rPr>
          <w:rFonts w:ascii="Arial" w:hAnsi="Arial" w:cs="Arial"/>
          <w:sz w:val="24"/>
          <w:szCs w:val="24"/>
        </w:rPr>
        <w:t>r</w:t>
      </w:r>
      <w:r w:rsidR="0087393C" w:rsidRPr="0069166A">
        <w:rPr>
          <w:rFonts w:ascii="Arial" w:hAnsi="Arial" w:cs="Arial"/>
          <w:sz w:val="24"/>
          <w:szCs w:val="24"/>
        </w:rPr>
        <w:t>ed</w:t>
      </w:r>
      <w:r w:rsidR="000F49FE" w:rsidRPr="0069166A">
        <w:rPr>
          <w:rFonts w:ascii="Arial" w:hAnsi="Arial" w:cs="Arial"/>
          <w:sz w:val="24"/>
          <w:szCs w:val="24"/>
        </w:rPr>
        <w:t xml:space="preserve"> </w:t>
      </w:r>
      <w:r w:rsidR="00311688" w:rsidRPr="0069166A">
        <w:rPr>
          <w:rFonts w:ascii="Arial" w:hAnsi="Arial" w:cs="Arial"/>
          <w:sz w:val="24"/>
          <w:szCs w:val="24"/>
        </w:rPr>
        <w:t>was</w:t>
      </w:r>
      <w:r w:rsidR="00402F7D" w:rsidRPr="0069166A">
        <w:rPr>
          <w:rFonts w:ascii="Arial" w:hAnsi="Arial" w:cs="Arial"/>
          <w:sz w:val="24"/>
          <w:szCs w:val="24"/>
        </w:rPr>
        <w:t xml:space="preserve"> </w:t>
      </w:r>
      <w:r w:rsidR="000F49FE" w:rsidRPr="0069166A">
        <w:rPr>
          <w:rFonts w:ascii="Arial" w:hAnsi="Arial" w:cs="Arial"/>
          <w:sz w:val="24"/>
          <w:szCs w:val="24"/>
        </w:rPr>
        <w:t>comprise</w:t>
      </w:r>
      <w:r w:rsidR="00402F7D" w:rsidRPr="0069166A">
        <w:rPr>
          <w:rFonts w:ascii="Arial" w:hAnsi="Arial" w:cs="Arial"/>
          <w:sz w:val="24"/>
          <w:szCs w:val="24"/>
        </w:rPr>
        <w:t>d of</w:t>
      </w:r>
      <w:r w:rsidR="000F49FE" w:rsidRPr="0069166A">
        <w:rPr>
          <w:rFonts w:ascii="Arial" w:hAnsi="Arial" w:cs="Arial"/>
          <w:sz w:val="24"/>
          <w:szCs w:val="24"/>
        </w:rPr>
        <w:t xml:space="preserve"> two parts</w:t>
      </w:r>
      <w:r w:rsidR="00402F7D" w:rsidRPr="0069166A">
        <w:rPr>
          <w:rFonts w:ascii="Arial" w:hAnsi="Arial" w:cs="Arial"/>
          <w:sz w:val="24"/>
          <w:szCs w:val="24"/>
        </w:rPr>
        <w:t>. The first</w:t>
      </w:r>
      <w:r w:rsidR="00693513" w:rsidRPr="0069166A">
        <w:rPr>
          <w:rFonts w:ascii="Arial" w:hAnsi="Arial" w:cs="Arial"/>
          <w:sz w:val="24"/>
          <w:szCs w:val="24"/>
        </w:rPr>
        <w:t>, in manuscript, read as follows:</w:t>
      </w:r>
    </w:p>
    <w:p w14:paraId="330B3874" w14:textId="5D4FAE1C" w:rsidR="00693513" w:rsidRPr="00DC32E0" w:rsidRDefault="00693513" w:rsidP="00C362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32E0">
        <w:rPr>
          <w:rFonts w:ascii="Arial" w:hAnsi="Arial" w:cs="Arial"/>
          <w:sz w:val="20"/>
          <w:szCs w:val="20"/>
        </w:rPr>
        <w:tab/>
        <w:t>‘</w:t>
      </w:r>
      <w:r w:rsidR="00551BDA" w:rsidRPr="00DC32E0">
        <w:rPr>
          <w:rFonts w:ascii="Arial" w:hAnsi="Arial" w:cs="Arial"/>
          <w:b/>
          <w:bCs/>
          <w:sz w:val="20"/>
          <w:szCs w:val="20"/>
        </w:rPr>
        <w:t>Cover page</w:t>
      </w:r>
    </w:p>
    <w:p w14:paraId="62A46C65" w14:textId="5634A654" w:rsidR="00551BDA" w:rsidRPr="00DC32E0" w:rsidRDefault="00551BDA" w:rsidP="00C36298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C32E0">
        <w:rPr>
          <w:rFonts w:ascii="Arial" w:hAnsi="Arial" w:cs="Arial"/>
          <w:sz w:val="20"/>
          <w:szCs w:val="20"/>
        </w:rPr>
        <w:t>Addendum to my will of 28 July 2020 and signed at Pietermaritzburg</w:t>
      </w:r>
      <w:r w:rsidR="00485C00" w:rsidRPr="00DC32E0">
        <w:rPr>
          <w:rFonts w:ascii="Arial" w:hAnsi="Arial" w:cs="Arial"/>
          <w:sz w:val="20"/>
          <w:szCs w:val="20"/>
        </w:rPr>
        <w:t xml:space="preserve">. My current will </w:t>
      </w:r>
      <w:proofErr w:type="spellStart"/>
      <w:r w:rsidR="00485C00" w:rsidRPr="00DC32E0">
        <w:rPr>
          <w:rFonts w:ascii="Arial" w:hAnsi="Arial" w:cs="Arial"/>
          <w:sz w:val="20"/>
          <w:szCs w:val="20"/>
        </w:rPr>
        <w:t>will</w:t>
      </w:r>
      <w:proofErr w:type="spellEnd"/>
      <w:r w:rsidR="00485C00" w:rsidRPr="00DC32E0">
        <w:rPr>
          <w:rFonts w:ascii="Arial" w:hAnsi="Arial" w:cs="Arial"/>
          <w:sz w:val="20"/>
          <w:szCs w:val="20"/>
        </w:rPr>
        <w:t xml:space="preserve"> be covered and dealt with principal by my wife. It will be read after burial</w:t>
      </w:r>
      <w:r w:rsidR="006D5E0B" w:rsidRPr="00DC32E0">
        <w:rPr>
          <w:rFonts w:ascii="Arial" w:hAnsi="Arial" w:cs="Arial"/>
          <w:sz w:val="20"/>
          <w:szCs w:val="20"/>
        </w:rPr>
        <w:t>.</w:t>
      </w:r>
    </w:p>
    <w:p w14:paraId="3F8E6B64" w14:textId="194E1D6A" w:rsidR="006D5E0B" w:rsidRPr="00DC32E0" w:rsidRDefault="006D5E0B" w:rsidP="00C362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32E0">
        <w:rPr>
          <w:rFonts w:ascii="Arial" w:hAnsi="Arial" w:cs="Arial"/>
          <w:sz w:val="20"/>
          <w:szCs w:val="20"/>
        </w:rPr>
        <w:tab/>
        <w:t>By me in the present of my wife.’</w:t>
      </w:r>
      <w:r w:rsidRPr="00DC32E0">
        <w:rPr>
          <w:rStyle w:val="FootnoteReference"/>
          <w:rFonts w:ascii="Arial" w:hAnsi="Arial" w:cs="Arial"/>
          <w:sz w:val="20"/>
          <w:szCs w:val="20"/>
        </w:rPr>
        <w:footnoteReference w:id="4"/>
      </w:r>
    </w:p>
    <w:p w14:paraId="4264505A" w14:textId="77777777" w:rsidR="00D66F52" w:rsidRDefault="00D66F52" w:rsidP="00AE2F51">
      <w:pPr>
        <w:spacing w:line="360" w:lineRule="auto"/>
        <w:rPr>
          <w:rFonts w:ascii="Arial" w:hAnsi="Arial" w:cs="Arial"/>
          <w:sz w:val="24"/>
          <w:szCs w:val="24"/>
        </w:rPr>
      </w:pPr>
    </w:p>
    <w:p w14:paraId="7E01843C" w14:textId="0931516E" w:rsidR="00954D56" w:rsidRPr="0069166A" w:rsidRDefault="0069166A" w:rsidP="006916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[14]</w:t>
      </w:r>
      <w:r>
        <w:rPr>
          <w:rFonts w:ascii="Arial" w:hAnsi="Arial" w:cs="Arial"/>
          <w:sz w:val="24"/>
          <w:szCs w:val="24"/>
        </w:rPr>
        <w:tab/>
      </w:r>
      <w:r w:rsidR="00D66F52" w:rsidRPr="0069166A">
        <w:rPr>
          <w:rFonts w:ascii="Arial" w:hAnsi="Arial" w:cs="Arial"/>
          <w:sz w:val="24"/>
          <w:szCs w:val="24"/>
        </w:rPr>
        <w:t xml:space="preserve">It </w:t>
      </w:r>
      <w:r w:rsidR="00567D5A" w:rsidRPr="0069166A">
        <w:rPr>
          <w:rFonts w:ascii="Arial" w:hAnsi="Arial" w:cs="Arial"/>
          <w:sz w:val="24"/>
          <w:szCs w:val="24"/>
        </w:rPr>
        <w:t>wa</w:t>
      </w:r>
      <w:r w:rsidR="00D66F52" w:rsidRPr="0069166A">
        <w:rPr>
          <w:rFonts w:ascii="Arial" w:hAnsi="Arial" w:cs="Arial"/>
          <w:sz w:val="24"/>
          <w:szCs w:val="24"/>
        </w:rPr>
        <w:t>s important to note that the</w:t>
      </w:r>
      <w:r w:rsidR="001D6E9A" w:rsidRPr="0069166A">
        <w:rPr>
          <w:rFonts w:ascii="Arial" w:hAnsi="Arial" w:cs="Arial"/>
          <w:sz w:val="24"/>
          <w:szCs w:val="24"/>
        </w:rPr>
        <w:t xml:space="preserve"> contents of the first part, </w:t>
      </w:r>
      <w:r w:rsidR="00AB031B" w:rsidRPr="0069166A">
        <w:rPr>
          <w:rFonts w:ascii="Arial" w:hAnsi="Arial" w:cs="Arial"/>
          <w:sz w:val="24"/>
          <w:szCs w:val="24"/>
        </w:rPr>
        <w:t xml:space="preserve">as </w:t>
      </w:r>
      <w:r w:rsidR="00AB1721" w:rsidRPr="0069166A">
        <w:rPr>
          <w:rFonts w:ascii="Arial" w:hAnsi="Arial" w:cs="Arial"/>
          <w:sz w:val="24"/>
          <w:szCs w:val="24"/>
        </w:rPr>
        <w:t>depict</w:t>
      </w:r>
      <w:r w:rsidR="001D6E9A" w:rsidRPr="0069166A">
        <w:rPr>
          <w:rFonts w:ascii="Arial" w:hAnsi="Arial" w:cs="Arial"/>
          <w:sz w:val="24"/>
          <w:szCs w:val="24"/>
        </w:rPr>
        <w:t xml:space="preserve">ed above, </w:t>
      </w:r>
      <w:r w:rsidR="004B7802" w:rsidRPr="0069166A">
        <w:rPr>
          <w:rFonts w:ascii="Arial" w:hAnsi="Arial" w:cs="Arial"/>
          <w:sz w:val="24"/>
          <w:szCs w:val="24"/>
        </w:rPr>
        <w:t>we</w:t>
      </w:r>
      <w:r w:rsidR="001D6E9A" w:rsidRPr="0069166A">
        <w:rPr>
          <w:rFonts w:ascii="Arial" w:hAnsi="Arial" w:cs="Arial"/>
          <w:sz w:val="24"/>
          <w:szCs w:val="24"/>
        </w:rPr>
        <w:t>re taken directly from a typed version attached to the applicants’ founding affidavit</w:t>
      </w:r>
      <w:r w:rsidR="00BE7476" w:rsidRPr="0069166A">
        <w:rPr>
          <w:rFonts w:ascii="Arial" w:hAnsi="Arial" w:cs="Arial"/>
          <w:sz w:val="24"/>
          <w:szCs w:val="24"/>
        </w:rPr>
        <w:t xml:space="preserve">. The </w:t>
      </w:r>
      <w:r w:rsidR="004B7802" w:rsidRPr="0069166A">
        <w:rPr>
          <w:rFonts w:ascii="Arial" w:hAnsi="Arial" w:cs="Arial"/>
          <w:sz w:val="24"/>
          <w:szCs w:val="24"/>
        </w:rPr>
        <w:t xml:space="preserve">identity of the author </w:t>
      </w:r>
      <w:r w:rsidR="001D4FE3" w:rsidRPr="0069166A">
        <w:rPr>
          <w:rFonts w:ascii="Arial" w:hAnsi="Arial" w:cs="Arial"/>
          <w:sz w:val="24"/>
          <w:szCs w:val="24"/>
        </w:rPr>
        <w:t xml:space="preserve">of the typed version </w:t>
      </w:r>
      <w:r w:rsidR="004B7802" w:rsidRPr="0069166A">
        <w:rPr>
          <w:rFonts w:ascii="Arial" w:hAnsi="Arial" w:cs="Arial"/>
          <w:sz w:val="24"/>
          <w:szCs w:val="24"/>
        </w:rPr>
        <w:t xml:space="preserve">was not </w:t>
      </w:r>
      <w:r w:rsidR="001D4FE3" w:rsidRPr="0069166A">
        <w:rPr>
          <w:rFonts w:ascii="Arial" w:hAnsi="Arial" w:cs="Arial"/>
          <w:sz w:val="24"/>
          <w:szCs w:val="24"/>
        </w:rPr>
        <w:t>disclos</w:t>
      </w:r>
      <w:r w:rsidR="004B7802" w:rsidRPr="0069166A">
        <w:rPr>
          <w:rFonts w:ascii="Arial" w:hAnsi="Arial" w:cs="Arial"/>
          <w:sz w:val="24"/>
          <w:szCs w:val="24"/>
        </w:rPr>
        <w:t xml:space="preserve">ed. </w:t>
      </w:r>
      <w:r w:rsidR="0067569B" w:rsidRPr="0069166A">
        <w:rPr>
          <w:rFonts w:ascii="Arial" w:hAnsi="Arial" w:cs="Arial"/>
          <w:sz w:val="24"/>
          <w:szCs w:val="24"/>
        </w:rPr>
        <w:t xml:space="preserve">Of some concern </w:t>
      </w:r>
      <w:r w:rsidR="008157A0" w:rsidRPr="0069166A">
        <w:rPr>
          <w:rFonts w:ascii="Arial" w:hAnsi="Arial" w:cs="Arial"/>
          <w:sz w:val="24"/>
          <w:szCs w:val="24"/>
        </w:rPr>
        <w:t>wa</w:t>
      </w:r>
      <w:r w:rsidR="0067569B" w:rsidRPr="0069166A">
        <w:rPr>
          <w:rFonts w:ascii="Arial" w:hAnsi="Arial" w:cs="Arial"/>
          <w:sz w:val="24"/>
          <w:szCs w:val="24"/>
        </w:rPr>
        <w:t>s that</w:t>
      </w:r>
      <w:r w:rsidR="001E5544" w:rsidRPr="0069166A">
        <w:rPr>
          <w:rFonts w:ascii="Arial" w:hAnsi="Arial" w:cs="Arial"/>
          <w:sz w:val="24"/>
          <w:szCs w:val="24"/>
        </w:rPr>
        <w:t>, in the absence of a</w:t>
      </w:r>
      <w:r w:rsidR="000A6B1C" w:rsidRPr="0069166A">
        <w:rPr>
          <w:rFonts w:ascii="Arial" w:hAnsi="Arial" w:cs="Arial"/>
          <w:sz w:val="24"/>
          <w:szCs w:val="24"/>
        </w:rPr>
        <w:t>n explanatory</w:t>
      </w:r>
      <w:r w:rsidR="001E5544" w:rsidRPr="0069166A">
        <w:rPr>
          <w:rFonts w:ascii="Arial" w:hAnsi="Arial" w:cs="Arial"/>
          <w:sz w:val="24"/>
          <w:szCs w:val="24"/>
        </w:rPr>
        <w:t xml:space="preserve"> affidavit from the </w:t>
      </w:r>
      <w:r w:rsidR="005F7B96" w:rsidRPr="0069166A">
        <w:rPr>
          <w:rFonts w:ascii="Arial" w:hAnsi="Arial" w:cs="Arial"/>
          <w:sz w:val="24"/>
          <w:szCs w:val="24"/>
        </w:rPr>
        <w:t>author,</w:t>
      </w:r>
      <w:r w:rsidR="0067569B" w:rsidRPr="0069166A">
        <w:rPr>
          <w:rFonts w:ascii="Arial" w:hAnsi="Arial" w:cs="Arial"/>
          <w:sz w:val="24"/>
          <w:szCs w:val="24"/>
        </w:rPr>
        <w:t xml:space="preserve"> </w:t>
      </w:r>
      <w:r w:rsidR="00C109FC" w:rsidRPr="0069166A">
        <w:rPr>
          <w:rFonts w:ascii="Arial" w:hAnsi="Arial" w:cs="Arial"/>
          <w:sz w:val="24"/>
          <w:szCs w:val="24"/>
        </w:rPr>
        <w:t xml:space="preserve">it was difficult to match the contents of the typed version with </w:t>
      </w:r>
      <w:r w:rsidR="00CB7E31" w:rsidRPr="0069166A">
        <w:rPr>
          <w:rFonts w:ascii="Arial" w:hAnsi="Arial" w:cs="Arial"/>
          <w:sz w:val="24"/>
          <w:szCs w:val="24"/>
        </w:rPr>
        <w:t xml:space="preserve">the </w:t>
      </w:r>
      <w:r w:rsidR="00C15DE3" w:rsidRPr="0069166A">
        <w:rPr>
          <w:rFonts w:ascii="Arial" w:hAnsi="Arial" w:cs="Arial"/>
          <w:sz w:val="24"/>
          <w:szCs w:val="24"/>
        </w:rPr>
        <w:t xml:space="preserve">barely legible handwriting </w:t>
      </w:r>
      <w:r w:rsidR="00983A27" w:rsidRPr="0069166A">
        <w:rPr>
          <w:rFonts w:ascii="Arial" w:hAnsi="Arial" w:cs="Arial"/>
          <w:sz w:val="24"/>
          <w:szCs w:val="24"/>
        </w:rPr>
        <w:t>of the first part of the codicil.</w:t>
      </w:r>
      <w:r w:rsidR="00D54217" w:rsidRPr="0069166A">
        <w:rPr>
          <w:rFonts w:ascii="Arial" w:hAnsi="Arial" w:cs="Arial"/>
          <w:sz w:val="24"/>
          <w:szCs w:val="24"/>
        </w:rPr>
        <w:t xml:space="preserve"> </w:t>
      </w:r>
    </w:p>
    <w:p w14:paraId="3EBEE332" w14:textId="77777777" w:rsidR="00954D56" w:rsidRDefault="00954D56" w:rsidP="00954D56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BB19AB8" w14:textId="77CE63D3" w:rsidR="00954D56" w:rsidRPr="0069166A" w:rsidRDefault="0069166A" w:rsidP="006916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[15]</w:t>
      </w:r>
      <w:r>
        <w:rPr>
          <w:rFonts w:ascii="Arial" w:hAnsi="Arial" w:cs="Arial"/>
          <w:sz w:val="24"/>
          <w:szCs w:val="24"/>
        </w:rPr>
        <w:tab/>
      </w:r>
      <w:r w:rsidR="004D0AC8" w:rsidRPr="0069166A">
        <w:rPr>
          <w:rFonts w:ascii="Arial" w:hAnsi="Arial" w:cs="Arial"/>
          <w:sz w:val="24"/>
          <w:szCs w:val="24"/>
        </w:rPr>
        <w:t xml:space="preserve">The </w:t>
      </w:r>
      <w:r w:rsidR="00780EE4" w:rsidRPr="0069166A">
        <w:rPr>
          <w:rFonts w:ascii="Arial" w:hAnsi="Arial" w:cs="Arial"/>
          <w:sz w:val="24"/>
          <w:szCs w:val="24"/>
        </w:rPr>
        <w:t xml:space="preserve">latter </w:t>
      </w:r>
      <w:r w:rsidR="00B07FC5" w:rsidRPr="0069166A">
        <w:rPr>
          <w:rFonts w:ascii="Arial" w:hAnsi="Arial" w:cs="Arial"/>
          <w:sz w:val="24"/>
          <w:szCs w:val="24"/>
        </w:rPr>
        <w:t>bore</w:t>
      </w:r>
      <w:r w:rsidR="00827225" w:rsidRPr="0069166A">
        <w:rPr>
          <w:rFonts w:ascii="Arial" w:hAnsi="Arial" w:cs="Arial"/>
          <w:sz w:val="24"/>
          <w:szCs w:val="24"/>
        </w:rPr>
        <w:t xml:space="preserve"> what may (or may not</w:t>
      </w:r>
      <w:r w:rsidR="00EE4A99" w:rsidRPr="0069166A">
        <w:rPr>
          <w:rFonts w:ascii="Arial" w:hAnsi="Arial" w:cs="Arial"/>
          <w:sz w:val="24"/>
          <w:szCs w:val="24"/>
        </w:rPr>
        <w:t>) have been the deceased’s signature</w:t>
      </w:r>
      <w:r w:rsidR="00B07FC5" w:rsidRPr="0069166A">
        <w:rPr>
          <w:rFonts w:ascii="Arial" w:hAnsi="Arial" w:cs="Arial"/>
          <w:sz w:val="24"/>
          <w:szCs w:val="24"/>
        </w:rPr>
        <w:t>.</w:t>
      </w:r>
      <w:r w:rsidR="00AB1721" w:rsidRPr="0069166A">
        <w:rPr>
          <w:rFonts w:ascii="Arial" w:hAnsi="Arial" w:cs="Arial"/>
          <w:sz w:val="24"/>
          <w:szCs w:val="24"/>
        </w:rPr>
        <w:t xml:space="preserve"> It also reflected</w:t>
      </w:r>
      <w:r w:rsidR="00C752A9" w:rsidRPr="0069166A">
        <w:rPr>
          <w:rFonts w:ascii="Arial" w:hAnsi="Arial" w:cs="Arial"/>
          <w:sz w:val="24"/>
          <w:szCs w:val="24"/>
        </w:rPr>
        <w:t xml:space="preserve"> the signatures</w:t>
      </w:r>
      <w:r w:rsidR="00106033" w:rsidRPr="0069166A">
        <w:rPr>
          <w:rFonts w:ascii="Arial" w:hAnsi="Arial" w:cs="Arial"/>
          <w:sz w:val="24"/>
          <w:szCs w:val="24"/>
        </w:rPr>
        <w:t xml:space="preserve"> of the second</w:t>
      </w:r>
      <w:r w:rsidR="00B75ECD" w:rsidRPr="0069166A">
        <w:rPr>
          <w:rFonts w:ascii="Arial" w:hAnsi="Arial" w:cs="Arial"/>
          <w:sz w:val="24"/>
          <w:szCs w:val="24"/>
        </w:rPr>
        <w:t xml:space="preserve"> respondent and </w:t>
      </w:r>
      <w:r w:rsidR="000E3D54" w:rsidRPr="0069166A">
        <w:rPr>
          <w:rFonts w:ascii="Arial" w:hAnsi="Arial" w:cs="Arial"/>
          <w:sz w:val="24"/>
          <w:szCs w:val="24"/>
        </w:rPr>
        <w:t xml:space="preserve">Ms </w:t>
      </w:r>
      <w:proofErr w:type="spellStart"/>
      <w:r w:rsidR="000E3D54" w:rsidRPr="0069166A">
        <w:rPr>
          <w:rFonts w:ascii="Arial" w:hAnsi="Arial" w:cs="Arial"/>
          <w:sz w:val="24"/>
          <w:szCs w:val="24"/>
        </w:rPr>
        <w:t>Sewran</w:t>
      </w:r>
      <w:proofErr w:type="spellEnd"/>
      <w:r w:rsidR="000E3D54" w:rsidRPr="0069166A">
        <w:rPr>
          <w:rFonts w:ascii="Arial" w:hAnsi="Arial" w:cs="Arial"/>
          <w:sz w:val="24"/>
          <w:szCs w:val="24"/>
        </w:rPr>
        <w:t>, respectively.</w:t>
      </w:r>
    </w:p>
    <w:p w14:paraId="5789608E" w14:textId="77777777" w:rsidR="00954D56" w:rsidRPr="00954D56" w:rsidRDefault="00954D56" w:rsidP="00954D56">
      <w:pPr>
        <w:pStyle w:val="ListParagraph"/>
        <w:rPr>
          <w:rFonts w:ascii="Arial" w:hAnsi="Arial" w:cs="Arial"/>
          <w:sz w:val="24"/>
          <w:szCs w:val="24"/>
        </w:rPr>
      </w:pPr>
    </w:p>
    <w:p w14:paraId="2AA24E6B" w14:textId="3AB1AED8" w:rsidR="00954D56" w:rsidRPr="0069166A" w:rsidRDefault="0069166A" w:rsidP="006916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[16]</w:t>
      </w:r>
      <w:r>
        <w:rPr>
          <w:rFonts w:ascii="Arial" w:hAnsi="Arial" w:cs="Arial"/>
          <w:sz w:val="24"/>
          <w:szCs w:val="24"/>
        </w:rPr>
        <w:tab/>
      </w:r>
      <w:r w:rsidR="00F70F76" w:rsidRPr="0069166A">
        <w:rPr>
          <w:rFonts w:ascii="Arial" w:hAnsi="Arial" w:cs="Arial"/>
          <w:sz w:val="24"/>
          <w:szCs w:val="24"/>
        </w:rPr>
        <w:t xml:space="preserve">The second part </w:t>
      </w:r>
      <w:r w:rsidR="000917F9" w:rsidRPr="0069166A">
        <w:rPr>
          <w:rFonts w:ascii="Arial" w:hAnsi="Arial" w:cs="Arial"/>
          <w:sz w:val="24"/>
          <w:szCs w:val="24"/>
        </w:rPr>
        <w:t xml:space="preserve">of the codicil </w:t>
      </w:r>
      <w:r w:rsidR="00350DE0" w:rsidRPr="0069166A">
        <w:rPr>
          <w:rFonts w:ascii="Arial" w:hAnsi="Arial" w:cs="Arial"/>
          <w:sz w:val="24"/>
          <w:szCs w:val="24"/>
        </w:rPr>
        <w:t>was completed in entirely different handwriting</w:t>
      </w:r>
      <w:r w:rsidR="003F3B4A" w:rsidRPr="0069166A">
        <w:rPr>
          <w:rFonts w:ascii="Arial" w:hAnsi="Arial" w:cs="Arial"/>
          <w:sz w:val="24"/>
          <w:szCs w:val="24"/>
        </w:rPr>
        <w:t xml:space="preserve"> and r</w:t>
      </w:r>
      <w:r w:rsidR="008A3872" w:rsidRPr="0069166A">
        <w:rPr>
          <w:rFonts w:ascii="Arial" w:hAnsi="Arial" w:cs="Arial"/>
          <w:sz w:val="24"/>
          <w:szCs w:val="24"/>
        </w:rPr>
        <w:t>an</w:t>
      </w:r>
      <w:r w:rsidR="003F3B4A" w:rsidRPr="0069166A">
        <w:rPr>
          <w:rFonts w:ascii="Arial" w:hAnsi="Arial" w:cs="Arial"/>
          <w:sz w:val="24"/>
          <w:szCs w:val="24"/>
        </w:rPr>
        <w:t xml:space="preserve"> to some four pages in length. </w:t>
      </w:r>
      <w:r w:rsidR="00B121EC" w:rsidRPr="0069166A">
        <w:rPr>
          <w:rFonts w:ascii="Arial" w:hAnsi="Arial" w:cs="Arial"/>
          <w:sz w:val="24"/>
          <w:szCs w:val="24"/>
        </w:rPr>
        <w:t>A</w:t>
      </w:r>
      <w:r w:rsidR="003F3B4A" w:rsidRPr="0069166A">
        <w:rPr>
          <w:rFonts w:ascii="Arial" w:hAnsi="Arial" w:cs="Arial"/>
          <w:sz w:val="24"/>
          <w:szCs w:val="24"/>
        </w:rPr>
        <w:t xml:space="preserve"> </w:t>
      </w:r>
      <w:r w:rsidR="00D36966" w:rsidRPr="0069166A">
        <w:rPr>
          <w:rFonts w:ascii="Arial" w:hAnsi="Arial" w:cs="Arial"/>
          <w:sz w:val="24"/>
          <w:szCs w:val="24"/>
        </w:rPr>
        <w:t xml:space="preserve">separate </w:t>
      </w:r>
      <w:r w:rsidR="003F3B4A" w:rsidRPr="0069166A">
        <w:rPr>
          <w:rFonts w:ascii="Arial" w:hAnsi="Arial" w:cs="Arial"/>
          <w:sz w:val="24"/>
          <w:szCs w:val="24"/>
        </w:rPr>
        <w:t xml:space="preserve">typed </w:t>
      </w:r>
      <w:r w:rsidR="003272E0" w:rsidRPr="0069166A">
        <w:rPr>
          <w:rFonts w:ascii="Arial" w:hAnsi="Arial" w:cs="Arial"/>
          <w:sz w:val="24"/>
          <w:szCs w:val="24"/>
        </w:rPr>
        <w:t>version</w:t>
      </w:r>
      <w:r w:rsidR="00FA2BB2" w:rsidRPr="0069166A">
        <w:rPr>
          <w:rFonts w:ascii="Arial" w:hAnsi="Arial" w:cs="Arial"/>
          <w:sz w:val="24"/>
          <w:szCs w:val="24"/>
        </w:rPr>
        <w:t xml:space="preserve"> was also attached</w:t>
      </w:r>
      <w:r w:rsidR="003272E0" w:rsidRPr="0069166A">
        <w:rPr>
          <w:rFonts w:ascii="Arial" w:hAnsi="Arial" w:cs="Arial"/>
          <w:sz w:val="24"/>
          <w:szCs w:val="24"/>
        </w:rPr>
        <w:t xml:space="preserve">, </w:t>
      </w:r>
      <w:r w:rsidR="0026619F" w:rsidRPr="0069166A">
        <w:rPr>
          <w:rFonts w:ascii="Arial" w:hAnsi="Arial" w:cs="Arial"/>
          <w:sz w:val="24"/>
          <w:szCs w:val="24"/>
        </w:rPr>
        <w:t xml:space="preserve">but, as with the other typed version, </w:t>
      </w:r>
      <w:r w:rsidR="003272E0" w:rsidRPr="0069166A">
        <w:rPr>
          <w:rFonts w:ascii="Arial" w:hAnsi="Arial" w:cs="Arial"/>
          <w:sz w:val="24"/>
          <w:szCs w:val="24"/>
        </w:rPr>
        <w:t>the author remain</w:t>
      </w:r>
      <w:r w:rsidR="008B0958" w:rsidRPr="0069166A">
        <w:rPr>
          <w:rFonts w:ascii="Arial" w:hAnsi="Arial" w:cs="Arial"/>
          <w:sz w:val="24"/>
          <w:szCs w:val="24"/>
        </w:rPr>
        <w:t>ed unidentified</w:t>
      </w:r>
      <w:r w:rsidR="0020709F" w:rsidRPr="0069166A">
        <w:rPr>
          <w:rFonts w:ascii="Arial" w:hAnsi="Arial" w:cs="Arial"/>
          <w:sz w:val="24"/>
          <w:szCs w:val="24"/>
        </w:rPr>
        <w:t>.</w:t>
      </w:r>
      <w:r w:rsidR="00E22870" w:rsidRPr="0069166A">
        <w:rPr>
          <w:rFonts w:ascii="Arial" w:hAnsi="Arial" w:cs="Arial"/>
          <w:sz w:val="24"/>
          <w:szCs w:val="24"/>
        </w:rPr>
        <w:t xml:space="preserve"> </w:t>
      </w:r>
      <w:r w:rsidR="00F47D56" w:rsidRPr="0069166A">
        <w:rPr>
          <w:rFonts w:ascii="Arial" w:hAnsi="Arial" w:cs="Arial"/>
          <w:sz w:val="24"/>
          <w:szCs w:val="24"/>
        </w:rPr>
        <w:t xml:space="preserve">It </w:t>
      </w:r>
      <w:r w:rsidR="00F55D80" w:rsidRPr="0069166A">
        <w:rPr>
          <w:rFonts w:ascii="Arial" w:hAnsi="Arial" w:cs="Arial"/>
          <w:sz w:val="24"/>
          <w:szCs w:val="24"/>
        </w:rPr>
        <w:t>indicated that the applicants and second respondent were appointed as executors</w:t>
      </w:r>
      <w:r w:rsidR="00587242" w:rsidRPr="0069166A">
        <w:rPr>
          <w:rFonts w:ascii="Arial" w:hAnsi="Arial" w:cs="Arial"/>
          <w:sz w:val="24"/>
          <w:szCs w:val="24"/>
        </w:rPr>
        <w:t xml:space="preserve">, </w:t>
      </w:r>
      <w:r w:rsidR="00FD6DD6" w:rsidRPr="0069166A">
        <w:rPr>
          <w:rFonts w:ascii="Arial" w:hAnsi="Arial" w:cs="Arial"/>
          <w:sz w:val="24"/>
          <w:szCs w:val="24"/>
        </w:rPr>
        <w:t xml:space="preserve">set out </w:t>
      </w:r>
      <w:r w:rsidR="005F292A" w:rsidRPr="0069166A">
        <w:rPr>
          <w:rFonts w:ascii="Arial" w:hAnsi="Arial" w:cs="Arial"/>
          <w:sz w:val="24"/>
          <w:szCs w:val="24"/>
        </w:rPr>
        <w:t xml:space="preserve">the </w:t>
      </w:r>
      <w:r w:rsidR="00FA7077" w:rsidRPr="0069166A">
        <w:rPr>
          <w:rFonts w:ascii="Arial" w:hAnsi="Arial" w:cs="Arial"/>
          <w:sz w:val="24"/>
          <w:szCs w:val="24"/>
        </w:rPr>
        <w:t>powers and duties of the second respondent</w:t>
      </w:r>
      <w:r w:rsidR="004F73BD" w:rsidRPr="0069166A">
        <w:rPr>
          <w:rFonts w:ascii="Arial" w:hAnsi="Arial" w:cs="Arial"/>
          <w:sz w:val="24"/>
          <w:szCs w:val="24"/>
        </w:rPr>
        <w:t xml:space="preserve">, </w:t>
      </w:r>
      <w:r w:rsidR="0042226D" w:rsidRPr="0069166A">
        <w:rPr>
          <w:rFonts w:ascii="Arial" w:hAnsi="Arial" w:cs="Arial"/>
          <w:sz w:val="24"/>
          <w:szCs w:val="24"/>
        </w:rPr>
        <w:t>and</w:t>
      </w:r>
      <w:r w:rsidR="004F73BD" w:rsidRPr="0069166A">
        <w:rPr>
          <w:rFonts w:ascii="Arial" w:hAnsi="Arial" w:cs="Arial"/>
          <w:sz w:val="24"/>
          <w:szCs w:val="24"/>
        </w:rPr>
        <w:t xml:space="preserve"> the </w:t>
      </w:r>
      <w:r w:rsidR="00D4669F" w:rsidRPr="0069166A">
        <w:rPr>
          <w:rFonts w:ascii="Arial" w:hAnsi="Arial" w:cs="Arial"/>
          <w:sz w:val="24"/>
          <w:szCs w:val="24"/>
        </w:rPr>
        <w:t>way</w:t>
      </w:r>
      <w:r w:rsidR="004F73BD" w:rsidRPr="0069166A">
        <w:rPr>
          <w:rFonts w:ascii="Arial" w:hAnsi="Arial" w:cs="Arial"/>
          <w:sz w:val="24"/>
          <w:szCs w:val="24"/>
        </w:rPr>
        <w:t xml:space="preserve"> </w:t>
      </w:r>
      <w:r w:rsidR="00DF188B" w:rsidRPr="0069166A">
        <w:rPr>
          <w:rFonts w:ascii="Arial" w:hAnsi="Arial" w:cs="Arial"/>
          <w:sz w:val="24"/>
          <w:szCs w:val="24"/>
        </w:rPr>
        <w:t>the estate was to have been administered</w:t>
      </w:r>
      <w:r w:rsidR="00D4669F" w:rsidRPr="0069166A">
        <w:rPr>
          <w:rFonts w:ascii="Arial" w:hAnsi="Arial" w:cs="Arial"/>
          <w:sz w:val="24"/>
          <w:szCs w:val="24"/>
        </w:rPr>
        <w:t>.</w:t>
      </w:r>
    </w:p>
    <w:p w14:paraId="2FA72CF3" w14:textId="77777777" w:rsidR="00954D56" w:rsidRPr="00954D56" w:rsidRDefault="00954D56" w:rsidP="00954D56">
      <w:pPr>
        <w:pStyle w:val="ListParagraph"/>
        <w:rPr>
          <w:rFonts w:ascii="Arial" w:hAnsi="Arial" w:cs="Arial"/>
          <w:sz w:val="24"/>
          <w:szCs w:val="24"/>
        </w:rPr>
      </w:pPr>
    </w:p>
    <w:p w14:paraId="03D18612" w14:textId="243890BD" w:rsidR="00FC055C" w:rsidRPr="0069166A" w:rsidRDefault="0069166A" w:rsidP="006916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[17]</w:t>
      </w:r>
      <w:r>
        <w:rPr>
          <w:rFonts w:ascii="Arial" w:hAnsi="Arial" w:cs="Arial"/>
          <w:sz w:val="24"/>
          <w:szCs w:val="24"/>
        </w:rPr>
        <w:tab/>
      </w:r>
      <w:r w:rsidR="00D4669F" w:rsidRPr="0069166A">
        <w:rPr>
          <w:rFonts w:ascii="Arial" w:hAnsi="Arial" w:cs="Arial"/>
          <w:sz w:val="24"/>
          <w:szCs w:val="24"/>
        </w:rPr>
        <w:t>A</w:t>
      </w:r>
      <w:r w:rsidR="000E0D94" w:rsidRPr="0069166A">
        <w:rPr>
          <w:rFonts w:ascii="Arial" w:hAnsi="Arial" w:cs="Arial"/>
          <w:sz w:val="24"/>
          <w:szCs w:val="24"/>
        </w:rPr>
        <w:t xml:space="preserve"> signature </w:t>
      </w:r>
      <w:r w:rsidR="00270B5D" w:rsidRPr="0069166A">
        <w:rPr>
          <w:rFonts w:ascii="Arial" w:hAnsi="Arial" w:cs="Arial"/>
          <w:sz w:val="24"/>
          <w:szCs w:val="24"/>
        </w:rPr>
        <w:t>appear</w:t>
      </w:r>
      <w:r w:rsidR="00FE086B" w:rsidRPr="0069166A">
        <w:rPr>
          <w:rFonts w:ascii="Arial" w:hAnsi="Arial" w:cs="Arial"/>
          <w:sz w:val="24"/>
          <w:szCs w:val="24"/>
        </w:rPr>
        <w:t>ed</w:t>
      </w:r>
      <w:r w:rsidR="00270B5D" w:rsidRPr="0069166A">
        <w:rPr>
          <w:rFonts w:ascii="Arial" w:hAnsi="Arial" w:cs="Arial"/>
          <w:sz w:val="24"/>
          <w:szCs w:val="24"/>
        </w:rPr>
        <w:t xml:space="preserve"> a</w:t>
      </w:r>
      <w:r w:rsidR="00D4669F" w:rsidRPr="0069166A">
        <w:rPr>
          <w:rFonts w:ascii="Arial" w:hAnsi="Arial" w:cs="Arial"/>
          <w:sz w:val="24"/>
          <w:szCs w:val="24"/>
        </w:rPr>
        <w:t xml:space="preserve">t the </w:t>
      </w:r>
      <w:r w:rsidR="00270B5D" w:rsidRPr="0069166A">
        <w:rPr>
          <w:rFonts w:ascii="Arial" w:hAnsi="Arial" w:cs="Arial"/>
          <w:sz w:val="24"/>
          <w:szCs w:val="24"/>
        </w:rPr>
        <w:t xml:space="preserve">foot of each page of the </w:t>
      </w:r>
      <w:r w:rsidR="00FE086B" w:rsidRPr="0069166A">
        <w:rPr>
          <w:rFonts w:ascii="Arial" w:hAnsi="Arial" w:cs="Arial"/>
          <w:sz w:val="24"/>
          <w:szCs w:val="24"/>
        </w:rPr>
        <w:t xml:space="preserve">second </w:t>
      </w:r>
      <w:r w:rsidR="005F0570" w:rsidRPr="0069166A">
        <w:rPr>
          <w:rFonts w:ascii="Arial" w:hAnsi="Arial" w:cs="Arial"/>
          <w:sz w:val="24"/>
          <w:szCs w:val="24"/>
        </w:rPr>
        <w:t>part,</w:t>
      </w:r>
      <w:r w:rsidR="00FE086B" w:rsidRPr="0069166A">
        <w:rPr>
          <w:rFonts w:ascii="Arial" w:hAnsi="Arial" w:cs="Arial"/>
          <w:sz w:val="24"/>
          <w:szCs w:val="24"/>
        </w:rPr>
        <w:t xml:space="preserve"> but </w:t>
      </w:r>
      <w:r w:rsidR="007D1A9E" w:rsidRPr="0069166A">
        <w:rPr>
          <w:rFonts w:ascii="Arial" w:hAnsi="Arial" w:cs="Arial"/>
          <w:sz w:val="24"/>
          <w:szCs w:val="24"/>
        </w:rPr>
        <w:t xml:space="preserve">it was impossible to discern whether </w:t>
      </w:r>
      <w:r w:rsidR="002C0DDB" w:rsidRPr="0069166A">
        <w:rPr>
          <w:rFonts w:ascii="Arial" w:hAnsi="Arial" w:cs="Arial"/>
          <w:sz w:val="24"/>
          <w:szCs w:val="24"/>
        </w:rPr>
        <w:t xml:space="preserve">it </w:t>
      </w:r>
      <w:r w:rsidR="007D1A9E" w:rsidRPr="0069166A">
        <w:rPr>
          <w:rFonts w:ascii="Arial" w:hAnsi="Arial" w:cs="Arial"/>
          <w:sz w:val="24"/>
          <w:szCs w:val="24"/>
        </w:rPr>
        <w:t xml:space="preserve">was </w:t>
      </w:r>
      <w:r w:rsidR="002C0DDB" w:rsidRPr="0069166A">
        <w:rPr>
          <w:rFonts w:ascii="Arial" w:hAnsi="Arial" w:cs="Arial"/>
          <w:sz w:val="24"/>
          <w:szCs w:val="24"/>
        </w:rPr>
        <w:t xml:space="preserve">that of </w:t>
      </w:r>
      <w:r w:rsidR="007D1A9E" w:rsidRPr="0069166A">
        <w:rPr>
          <w:rFonts w:ascii="Arial" w:hAnsi="Arial" w:cs="Arial"/>
          <w:sz w:val="24"/>
          <w:szCs w:val="24"/>
        </w:rPr>
        <w:t>the deceased. Similarl</w:t>
      </w:r>
      <w:r w:rsidR="005F0570" w:rsidRPr="0069166A">
        <w:rPr>
          <w:rFonts w:ascii="Arial" w:hAnsi="Arial" w:cs="Arial"/>
          <w:sz w:val="24"/>
          <w:szCs w:val="24"/>
        </w:rPr>
        <w:t xml:space="preserve">y, </w:t>
      </w:r>
      <w:r w:rsidR="00194EF5" w:rsidRPr="0069166A">
        <w:rPr>
          <w:rFonts w:ascii="Arial" w:hAnsi="Arial" w:cs="Arial"/>
          <w:sz w:val="24"/>
          <w:szCs w:val="24"/>
        </w:rPr>
        <w:t xml:space="preserve">the initials of a </w:t>
      </w:r>
      <w:r w:rsidR="00BD1999" w:rsidRPr="0069166A">
        <w:rPr>
          <w:rFonts w:ascii="Arial" w:hAnsi="Arial" w:cs="Arial"/>
          <w:sz w:val="24"/>
          <w:szCs w:val="24"/>
        </w:rPr>
        <w:t xml:space="preserve">single </w:t>
      </w:r>
      <w:r w:rsidR="00194EF5" w:rsidRPr="0069166A">
        <w:rPr>
          <w:rFonts w:ascii="Arial" w:hAnsi="Arial" w:cs="Arial"/>
          <w:sz w:val="24"/>
          <w:szCs w:val="24"/>
        </w:rPr>
        <w:t xml:space="preserve">witness had been added, </w:t>
      </w:r>
      <w:r w:rsidR="00FA087D" w:rsidRPr="0069166A">
        <w:rPr>
          <w:rFonts w:ascii="Arial" w:hAnsi="Arial" w:cs="Arial"/>
          <w:sz w:val="24"/>
          <w:szCs w:val="24"/>
        </w:rPr>
        <w:t>but these read ‘</w:t>
      </w:r>
      <w:r w:rsidR="0049055D" w:rsidRPr="0069166A">
        <w:rPr>
          <w:rFonts w:ascii="Arial" w:hAnsi="Arial" w:cs="Arial"/>
          <w:sz w:val="24"/>
          <w:szCs w:val="24"/>
        </w:rPr>
        <w:t xml:space="preserve">NZ’, which did not correspond with those of Ms </w:t>
      </w:r>
      <w:proofErr w:type="spellStart"/>
      <w:r w:rsidR="0049055D" w:rsidRPr="0069166A">
        <w:rPr>
          <w:rFonts w:ascii="Arial" w:hAnsi="Arial" w:cs="Arial"/>
          <w:sz w:val="24"/>
          <w:szCs w:val="24"/>
        </w:rPr>
        <w:t>Sewra</w:t>
      </w:r>
      <w:r w:rsidR="00AB3395" w:rsidRPr="0069166A">
        <w:rPr>
          <w:rFonts w:ascii="Arial" w:hAnsi="Arial" w:cs="Arial"/>
          <w:sz w:val="24"/>
          <w:szCs w:val="24"/>
        </w:rPr>
        <w:t>n</w:t>
      </w:r>
      <w:proofErr w:type="spellEnd"/>
      <w:r w:rsidR="00D86364" w:rsidRPr="0069166A">
        <w:rPr>
          <w:rFonts w:ascii="Arial" w:hAnsi="Arial" w:cs="Arial"/>
          <w:sz w:val="24"/>
          <w:szCs w:val="24"/>
        </w:rPr>
        <w:t>.</w:t>
      </w:r>
    </w:p>
    <w:p w14:paraId="181123D4" w14:textId="77777777" w:rsidR="00FC055C" w:rsidRPr="00FC055C" w:rsidRDefault="00FC055C" w:rsidP="00FC055C">
      <w:pPr>
        <w:pStyle w:val="ListParagraph"/>
        <w:rPr>
          <w:rFonts w:ascii="Arial" w:hAnsi="Arial" w:cs="Arial"/>
          <w:sz w:val="24"/>
          <w:szCs w:val="24"/>
        </w:rPr>
      </w:pPr>
    </w:p>
    <w:p w14:paraId="198FBD18" w14:textId="1D43ABE4" w:rsidR="00E95541" w:rsidRPr="0069166A" w:rsidRDefault="0069166A" w:rsidP="006916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[18]</w:t>
      </w:r>
      <w:r>
        <w:rPr>
          <w:rFonts w:ascii="Arial" w:hAnsi="Arial" w:cs="Arial"/>
          <w:sz w:val="24"/>
          <w:szCs w:val="24"/>
        </w:rPr>
        <w:tab/>
      </w:r>
      <w:r w:rsidR="00F53E5A" w:rsidRPr="0069166A">
        <w:rPr>
          <w:rFonts w:ascii="Arial" w:hAnsi="Arial" w:cs="Arial"/>
          <w:sz w:val="24"/>
          <w:szCs w:val="24"/>
        </w:rPr>
        <w:t>The codicil</w:t>
      </w:r>
      <w:r w:rsidR="008F3EAB" w:rsidRPr="0069166A">
        <w:rPr>
          <w:rFonts w:ascii="Arial" w:hAnsi="Arial" w:cs="Arial"/>
          <w:sz w:val="24"/>
          <w:szCs w:val="24"/>
        </w:rPr>
        <w:t xml:space="preserve"> </w:t>
      </w:r>
      <w:r w:rsidR="00F53AF6" w:rsidRPr="0069166A">
        <w:rPr>
          <w:rFonts w:ascii="Arial" w:hAnsi="Arial" w:cs="Arial"/>
          <w:sz w:val="24"/>
          <w:szCs w:val="24"/>
        </w:rPr>
        <w:t>wa</w:t>
      </w:r>
      <w:r w:rsidR="00751DCD" w:rsidRPr="0069166A">
        <w:rPr>
          <w:rFonts w:ascii="Arial" w:hAnsi="Arial" w:cs="Arial"/>
          <w:sz w:val="24"/>
          <w:szCs w:val="24"/>
        </w:rPr>
        <w:t>s</w:t>
      </w:r>
      <w:r w:rsidR="00EF14EA" w:rsidRPr="0069166A">
        <w:rPr>
          <w:rFonts w:ascii="Arial" w:hAnsi="Arial" w:cs="Arial"/>
          <w:sz w:val="24"/>
          <w:szCs w:val="24"/>
        </w:rPr>
        <w:t xml:space="preserve"> not</w:t>
      </w:r>
      <w:r w:rsidR="00751DCD" w:rsidRPr="0069166A">
        <w:rPr>
          <w:rFonts w:ascii="Arial" w:hAnsi="Arial" w:cs="Arial"/>
          <w:sz w:val="24"/>
          <w:szCs w:val="24"/>
        </w:rPr>
        <w:t xml:space="preserve">, </w:t>
      </w:r>
      <w:r w:rsidR="00751DCD" w:rsidRPr="0069166A">
        <w:rPr>
          <w:rFonts w:ascii="Arial" w:hAnsi="Arial" w:cs="Arial"/>
          <w:i/>
          <w:iCs/>
          <w:sz w:val="24"/>
          <w:szCs w:val="24"/>
        </w:rPr>
        <w:t>ex facie</w:t>
      </w:r>
      <w:r w:rsidR="00751DCD" w:rsidRPr="0069166A">
        <w:rPr>
          <w:rFonts w:ascii="Arial" w:hAnsi="Arial" w:cs="Arial"/>
          <w:sz w:val="24"/>
          <w:szCs w:val="24"/>
        </w:rPr>
        <w:t>, a valid will</w:t>
      </w:r>
      <w:r w:rsidR="00D23F67" w:rsidRPr="0069166A">
        <w:rPr>
          <w:rFonts w:ascii="Arial" w:hAnsi="Arial" w:cs="Arial"/>
          <w:sz w:val="24"/>
          <w:szCs w:val="24"/>
        </w:rPr>
        <w:t xml:space="preserve"> since it did not comply with the </w:t>
      </w:r>
      <w:r w:rsidR="00C855D3" w:rsidRPr="0069166A">
        <w:rPr>
          <w:rFonts w:ascii="Arial" w:hAnsi="Arial" w:cs="Arial"/>
          <w:sz w:val="24"/>
          <w:szCs w:val="24"/>
        </w:rPr>
        <w:t>formalities</w:t>
      </w:r>
      <w:r w:rsidR="004726E7" w:rsidRPr="0069166A">
        <w:rPr>
          <w:rFonts w:ascii="Arial" w:hAnsi="Arial" w:cs="Arial"/>
          <w:sz w:val="24"/>
          <w:szCs w:val="24"/>
        </w:rPr>
        <w:t xml:space="preserve"> </w:t>
      </w:r>
      <w:r w:rsidR="00652EC3" w:rsidRPr="0069166A">
        <w:rPr>
          <w:rFonts w:ascii="Arial" w:hAnsi="Arial" w:cs="Arial"/>
          <w:sz w:val="24"/>
          <w:szCs w:val="24"/>
        </w:rPr>
        <w:t xml:space="preserve">contained </w:t>
      </w:r>
      <w:r w:rsidR="004726E7" w:rsidRPr="0069166A">
        <w:rPr>
          <w:rFonts w:ascii="Arial" w:hAnsi="Arial" w:cs="Arial"/>
          <w:sz w:val="24"/>
          <w:szCs w:val="24"/>
        </w:rPr>
        <w:t>in section 2(1) of the Act</w:t>
      </w:r>
      <w:r w:rsidR="00751DCD" w:rsidRPr="0069166A">
        <w:rPr>
          <w:rFonts w:ascii="Arial" w:hAnsi="Arial" w:cs="Arial"/>
          <w:sz w:val="24"/>
          <w:szCs w:val="24"/>
        </w:rPr>
        <w:t>.</w:t>
      </w:r>
      <w:r w:rsidR="00F53AF6" w:rsidRPr="0069166A">
        <w:rPr>
          <w:rFonts w:ascii="Arial" w:hAnsi="Arial" w:cs="Arial"/>
          <w:sz w:val="24"/>
          <w:szCs w:val="24"/>
        </w:rPr>
        <w:t xml:space="preserve"> This much was </w:t>
      </w:r>
      <w:r w:rsidR="00E8501C" w:rsidRPr="0069166A">
        <w:rPr>
          <w:rFonts w:ascii="Arial" w:hAnsi="Arial" w:cs="Arial"/>
          <w:sz w:val="24"/>
          <w:szCs w:val="24"/>
        </w:rPr>
        <w:t xml:space="preserve">conceded by the applicants, who nevertheless contended that </w:t>
      </w:r>
      <w:r w:rsidR="005E7EB3" w:rsidRPr="0069166A">
        <w:rPr>
          <w:rFonts w:ascii="Arial" w:hAnsi="Arial" w:cs="Arial"/>
          <w:sz w:val="24"/>
          <w:szCs w:val="24"/>
        </w:rPr>
        <w:t xml:space="preserve">it would be proper for </w:t>
      </w:r>
      <w:r w:rsidR="004E09FE" w:rsidRPr="0069166A">
        <w:rPr>
          <w:rFonts w:ascii="Arial" w:hAnsi="Arial" w:cs="Arial"/>
          <w:sz w:val="24"/>
          <w:szCs w:val="24"/>
        </w:rPr>
        <w:t xml:space="preserve">the first respondent to be </w:t>
      </w:r>
      <w:r w:rsidR="00A31C2B" w:rsidRPr="0069166A">
        <w:rPr>
          <w:rFonts w:ascii="Arial" w:hAnsi="Arial" w:cs="Arial"/>
          <w:sz w:val="24"/>
          <w:szCs w:val="24"/>
        </w:rPr>
        <w:t>ordered to accept the codicil.</w:t>
      </w:r>
    </w:p>
    <w:p w14:paraId="3A55F2DF" w14:textId="77777777" w:rsidR="00E95541" w:rsidRPr="00E95541" w:rsidRDefault="00E95541" w:rsidP="00E95541">
      <w:pPr>
        <w:pStyle w:val="ListParagraph"/>
        <w:rPr>
          <w:rFonts w:ascii="Arial" w:hAnsi="Arial" w:cs="Arial"/>
          <w:sz w:val="24"/>
          <w:szCs w:val="24"/>
        </w:rPr>
      </w:pPr>
    </w:p>
    <w:p w14:paraId="1C01F576" w14:textId="0BC7688F" w:rsidR="003A1AF2" w:rsidRPr="0069166A" w:rsidRDefault="0069166A" w:rsidP="006916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5541">
        <w:rPr>
          <w:rFonts w:ascii="Arial" w:hAnsi="Arial" w:cs="Arial"/>
          <w:sz w:val="24"/>
          <w:szCs w:val="24"/>
        </w:rPr>
        <w:t>[19]</w:t>
      </w:r>
      <w:r w:rsidRPr="00E95541">
        <w:rPr>
          <w:rFonts w:ascii="Arial" w:hAnsi="Arial" w:cs="Arial"/>
          <w:sz w:val="24"/>
          <w:szCs w:val="24"/>
        </w:rPr>
        <w:tab/>
      </w:r>
      <w:r w:rsidR="008B1202" w:rsidRPr="0069166A">
        <w:rPr>
          <w:rFonts w:ascii="Arial" w:hAnsi="Arial" w:cs="Arial"/>
          <w:sz w:val="24"/>
          <w:szCs w:val="24"/>
        </w:rPr>
        <w:t>Erasmus (</w:t>
      </w:r>
      <w:r w:rsidR="008B1202" w:rsidRPr="0069166A">
        <w:rPr>
          <w:rFonts w:ascii="Arial" w:hAnsi="Arial" w:cs="Arial"/>
          <w:i/>
          <w:iCs/>
          <w:sz w:val="24"/>
          <w:szCs w:val="24"/>
        </w:rPr>
        <w:t>et al</w:t>
      </w:r>
      <w:r w:rsidR="008B1202" w:rsidRPr="0069166A">
        <w:rPr>
          <w:rFonts w:ascii="Arial" w:hAnsi="Arial" w:cs="Arial"/>
          <w:sz w:val="24"/>
          <w:szCs w:val="24"/>
        </w:rPr>
        <w:t>) observed that:</w:t>
      </w:r>
    </w:p>
    <w:p w14:paraId="3465A54D" w14:textId="40874724" w:rsidR="008B1202" w:rsidRPr="00B82526" w:rsidRDefault="008B1202" w:rsidP="00E95541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82526">
        <w:rPr>
          <w:rFonts w:ascii="Arial" w:hAnsi="Arial" w:cs="Arial"/>
          <w:sz w:val="20"/>
          <w:szCs w:val="20"/>
        </w:rPr>
        <w:t>‘</w:t>
      </w:r>
      <w:r w:rsidR="00C21F90" w:rsidRPr="00B82526">
        <w:rPr>
          <w:rFonts w:ascii="Arial" w:hAnsi="Arial" w:cs="Arial"/>
          <w:sz w:val="20"/>
          <w:szCs w:val="20"/>
        </w:rPr>
        <w:t>By far the most important requirement which has to be satisfied before a court</w:t>
      </w:r>
      <w:r w:rsidR="006B01C4" w:rsidRPr="00B82526">
        <w:rPr>
          <w:rFonts w:ascii="Arial" w:hAnsi="Arial" w:cs="Arial"/>
          <w:sz w:val="20"/>
          <w:szCs w:val="20"/>
        </w:rPr>
        <w:t xml:space="preserve"> will grant an order in terms of section 2(3) is the requirement that the court</w:t>
      </w:r>
      <w:r w:rsidR="00AD2860" w:rsidRPr="00B82526">
        <w:rPr>
          <w:rFonts w:ascii="Arial" w:hAnsi="Arial" w:cs="Arial"/>
          <w:sz w:val="20"/>
          <w:szCs w:val="20"/>
        </w:rPr>
        <w:t xml:space="preserve"> has to be satisfied that the testator intended the document</w:t>
      </w:r>
      <w:r w:rsidR="0080068D" w:rsidRPr="00B82526">
        <w:rPr>
          <w:rFonts w:ascii="Arial" w:hAnsi="Arial" w:cs="Arial"/>
          <w:sz w:val="20"/>
          <w:szCs w:val="20"/>
        </w:rPr>
        <w:t xml:space="preserve"> to be his or her will.’</w:t>
      </w:r>
      <w:r w:rsidR="0080068D" w:rsidRPr="00B82526">
        <w:rPr>
          <w:rStyle w:val="FootnoteReference"/>
          <w:rFonts w:ascii="Arial" w:hAnsi="Arial" w:cs="Arial"/>
          <w:sz w:val="20"/>
          <w:szCs w:val="20"/>
        </w:rPr>
        <w:footnoteReference w:id="5"/>
      </w:r>
    </w:p>
    <w:p w14:paraId="4A7F00C8" w14:textId="77777777" w:rsidR="00B82526" w:rsidRDefault="00B82526" w:rsidP="002740B1">
      <w:pPr>
        <w:spacing w:line="360" w:lineRule="auto"/>
        <w:rPr>
          <w:rFonts w:ascii="Arial" w:hAnsi="Arial" w:cs="Arial"/>
          <w:sz w:val="24"/>
          <w:szCs w:val="24"/>
        </w:rPr>
      </w:pPr>
    </w:p>
    <w:p w14:paraId="43C71574" w14:textId="11581272" w:rsidR="003E4488" w:rsidRPr="0069166A" w:rsidRDefault="0069166A" w:rsidP="006916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[20]</w:t>
      </w:r>
      <w:r>
        <w:rPr>
          <w:rFonts w:ascii="Arial" w:hAnsi="Arial" w:cs="Arial"/>
          <w:sz w:val="24"/>
          <w:szCs w:val="24"/>
        </w:rPr>
        <w:tab/>
      </w:r>
      <w:r w:rsidR="00B82526" w:rsidRPr="0069166A">
        <w:rPr>
          <w:rFonts w:ascii="Arial" w:hAnsi="Arial" w:cs="Arial"/>
          <w:sz w:val="24"/>
          <w:szCs w:val="24"/>
        </w:rPr>
        <w:t>In the present matter,</w:t>
      </w:r>
      <w:r w:rsidR="000D2C36" w:rsidRPr="0069166A">
        <w:rPr>
          <w:rFonts w:ascii="Arial" w:hAnsi="Arial" w:cs="Arial"/>
          <w:sz w:val="24"/>
          <w:szCs w:val="24"/>
        </w:rPr>
        <w:t xml:space="preserve"> the </w:t>
      </w:r>
      <w:r w:rsidR="00A77A62" w:rsidRPr="0069166A">
        <w:rPr>
          <w:rFonts w:ascii="Arial" w:hAnsi="Arial" w:cs="Arial"/>
          <w:sz w:val="24"/>
          <w:szCs w:val="24"/>
        </w:rPr>
        <w:t xml:space="preserve">most </w:t>
      </w:r>
      <w:r w:rsidR="000D2C36" w:rsidRPr="0069166A">
        <w:rPr>
          <w:rFonts w:ascii="Arial" w:hAnsi="Arial" w:cs="Arial"/>
          <w:sz w:val="24"/>
          <w:szCs w:val="24"/>
        </w:rPr>
        <w:t>difficult</w:t>
      </w:r>
      <w:r w:rsidR="00A77A62" w:rsidRPr="0069166A">
        <w:rPr>
          <w:rFonts w:ascii="Arial" w:hAnsi="Arial" w:cs="Arial"/>
          <w:sz w:val="24"/>
          <w:szCs w:val="24"/>
        </w:rPr>
        <w:t xml:space="preserve"> hurdle</w:t>
      </w:r>
      <w:r w:rsidR="000D2C36" w:rsidRPr="0069166A">
        <w:rPr>
          <w:rFonts w:ascii="Arial" w:hAnsi="Arial" w:cs="Arial"/>
          <w:sz w:val="24"/>
          <w:szCs w:val="24"/>
        </w:rPr>
        <w:t xml:space="preserve"> for the applicants </w:t>
      </w:r>
      <w:r w:rsidR="00A77A62" w:rsidRPr="0069166A">
        <w:rPr>
          <w:rFonts w:ascii="Arial" w:hAnsi="Arial" w:cs="Arial"/>
          <w:sz w:val="24"/>
          <w:szCs w:val="24"/>
        </w:rPr>
        <w:t xml:space="preserve">to have overcome was the </w:t>
      </w:r>
      <w:r w:rsidR="003D6916" w:rsidRPr="0069166A">
        <w:rPr>
          <w:rFonts w:ascii="Arial" w:hAnsi="Arial" w:cs="Arial"/>
          <w:sz w:val="24"/>
          <w:szCs w:val="24"/>
        </w:rPr>
        <w:t>interpretation to have been given to the first part of the codicil.</w:t>
      </w:r>
      <w:r w:rsidR="00EB2906" w:rsidRPr="0069166A">
        <w:rPr>
          <w:rFonts w:ascii="Arial" w:hAnsi="Arial" w:cs="Arial"/>
          <w:sz w:val="24"/>
          <w:szCs w:val="24"/>
        </w:rPr>
        <w:t xml:space="preserve"> </w:t>
      </w:r>
      <w:r w:rsidR="00563980" w:rsidRPr="0069166A">
        <w:rPr>
          <w:rFonts w:ascii="Arial" w:hAnsi="Arial" w:cs="Arial"/>
          <w:sz w:val="24"/>
          <w:szCs w:val="24"/>
        </w:rPr>
        <w:t xml:space="preserve">It </w:t>
      </w:r>
      <w:r w:rsidR="00EC27D3" w:rsidRPr="0069166A">
        <w:rPr>
          <w:rFonts w:ascii="Arial" w:hAnsi="Arial" w:cs="Arial"/>
          <w:sz w:val="24"/>
          <w:szCs w:val="24"/>
        </w:rPr>
        <w:t>suggest</w:t>
      </w:r>
      <w:r w:rsidR="00303A5C" w:rsidRPr="0069166A">
        <w:rPr>
          <w:rFonts w:ascii="Arial" w:hAnsi="Arial" w:cs="Arial"/>
          <w:sz w:val="24"/>
          <w:szCs w:val="24"/>
        </w:rPr>
        <w:t>ed</w:t>
      </w:r>
      <w:r w:rsidR="00B16FF1" w:rsidRPr="0069166A">
        <w:rPr>
          <w:rFonts w:ascii="Arial" w:hAnsi="Arial" w:cs="Arial"/>
          <w:sz w:val="24"/>
          <w:szCs w:val="24"/>
        </w:rPr>
        <w:t xml:space="preserve"> that the codicil was </w:t>
      </w:r>
      <w:r w:rsidR="00303A5C" w:rsidRPr="0069166A">
        <w:rPr>
          <w:rFonts w:ascii="Arial" w:hAnsi="Arial" w:cs="Arial"/>
          <w:sz w:val="24"/>
          <w:szCs w:val="24"/>
        </w:rPr>
        <w:t xml:space="preserve">merely </w:t>
      </w:r>
      <w:r w:rsidR="00524872" w:rsidRPr="0069166A">
        <w:rPr>
          <w:rFonts w:ascii="Arial" w:hAnsi="Arial" w:cs="Arial"/>
          <w:sz w:val="24"/>
          <w:szCs w:val="24"/>
        </w:rPr>
        <w:t xml:space="preserve">an addendum </w:t>
      </w:r>
      <w:r w:rsidR="00B16FF1" w:rsidRPr="0069166A">
        <w:rPr>
          <w:rFonts w:ascii="Arial" w:hAnsi="Arial" w:cs="Arial"/>
          <w:sz w:val="24"/>
          <w:szCs w:val="24"/>
        </w:rPr>
        <w:t>to an existing will</w:t>
      </w:r>
      <w:r w:rsidR="00D332F9" w:rsidRPr="0069166A">
        <w:rPr>
          <w:rFonts w:ascii="Arial" w:hAnsi="Arial" w:cs="Arial"/>
          <w:sz w:val="24"/>
          <w:szCs w:val="24"/>
        </w:rPr>
        <w:t xml:space="preserve">. This was reinforced by </w:t>
      </w:r>
      <w:r w:rsidR="00303A5C" w:rsidRPr="0069166A">
        <w:rPr>
          <w:rFonts w:ascii="Arial" w:hAnsi="Arial" w:cs="Arial"/>
          <w:sz w:val="24"/>
          <w:szCs w:val="24"/>
        </w:rPr>
        <w:t xml:space="preserve">the </w:t>
      </w:r>
      <w:r w:rsidR="00D332F9" w:rsidRPr="0069166A">
        <w:rPr>
          <w:rFonts w:ascii="Arial" w:hAnsi="Arial" w:cs="Arial"/>
          <w:sz w:val="24"/>
          <w:szCs w:val="24"/>
        </w:rPr>
        <w:t xml:space="preserve">reference to a </w:t>
      </w:r>
      <w:r w:rsidR="00204808" w:rsidRPr="0069166A">
        <w:rPr>
          <w:rFonts w:ascii="Arial" w:hAnsi="Arial" w:cs="Arial"/>
          <w:sz w:val="24"/>
          <w:szCs w:val="24"/>
        </w:rPr>
        <w:t>‘</w:t>
      </w:r>
      <w:r w:rsidR="00D332F9" w:rsidRPr="0069166A">
        <w:rPr>
          <w:rFonts w:ascii="Arial" w:hAnsi="Arial" w:cs="Arial"/>
          <w:sz w:val="24"/>
          <w:szCs w:val="24"/>
        </w:rPr>
        <w:t>current will</w:t>
      </w:r>
      <w:r w:rsidR="00204808" w:rsidRPr="0069166A">
        <w:rPr>
          <w:rFonts w:ascii="Arial" w:hAnsi="Arial" w:cs="Arial"/>
          <w:sz w:val="24"/>
          <w:szCs w:val="24"/>
        </w:rPr>
        <w:t>’</w:t>
      </w:r>
      <w:r w:rsidR="00D332F9" w:rsidRPr="0069166A">
        <w:rPr>
          <w:rFonts w:ascii="Arial" w:hAnsi="Arial" w:cs="Arial"/>
          <w:sz w:val="24"/>
          <w:szCs w:val="24"/>
        </w:rPr>
        <w:t xml:space="preserve">, </w:t>
      </w:r>
      <w:r w:rsidR="0023127A" w:rsidRPr="0069166A">
        <w:rPr>
          <w:rFonts w:ascii="Arial" w:hAnsi="Arial" w:cs="Arial"/>
          <w:sz w:val="24"/>
          <w:szCs w:val="24"/>
        </w:rPr>
        <w:t>intimat</w:t>
      </w:r>
      <w:r w:rsidR="00F5233D" w:rsidRPr="0069166A">
        <w:rPr>
          <w:rFonts w:ascii="Arial" w:hAnsi="Arial" w:cs="Arial"/>
          <w:sz w:val="24"/>
          <w:szCs w:val="24"/>
        </w:rPr>
        <w:t>ing</w:t>
      </w:r>
      <w:r w:rsidR="0023127A" w:rsidRPr="0069166A">
        <w:rPr>
          <w:rFonts w:ascii="Arial" w:hAnsi="Arial" w:cs="Arial"/>
          <w:sz w:val="24"/>
          <w:szCs w:val="24"/>
        </w:rPr>
        <w:t xml:space="preserve"> that there had been a prior will</w:t>
      </w:r>
      <w:r w:rsidR="00996E9B" w:rsidRPr="0069166A">
        <w:rPr>
          <w:rFonts w:ascii="Arial" w:hAnsi="Arial" w:cs="Arial"/>
          <w:sz w:val="24"/>
          <w:szCs w:val="24"/>
        </w:rPr>
        <w:t xml:space="preserve">, which </w:t>
      </w:r>
      <w:r w:rsidR="0023127A" w:rsidRPr="0069166A">
        <w:rPr>
          <w:rFonts w:ascii="Arial" w:hAnsi="Arial" w:cs="Arial"/>
          <w:sz w:val="24"/>
          <w:szCs w:val="24"/>
        </w:rPr>
        <w:t xml:space="preserve">may </w:t>
      </w:r>
      <w:r w:rsidR="00A4482A" w:rsidRPr="0069166A">
        <w:rPr>
          <w:rFonts w:ascii="Arial" w:hAnsi="Arial" w:cs="Arial"/>
          <w:sz w:val="24"/>
          <w:szCs w:val="24"/>
        </w:rPr>
        <w:t>(</w:t>
      </w:r>
      <w:r w:rsidR="0023127A" w:rsidRPr="0069166A">
        <w:rPr>
          <w:rFonts w:ascii="Arial" w:hAnsi="Arial" w:cs="Arial"/>
          <w:sz w:val="24"/>
          <w:szCs w:val="24"/>
        </w:rPr>
        <w:t>or may not</w:t>
      </w:r>
      <w:r w:rsidR="00A4482A" w:rsidRPr="0069166A">
        <w:rPr>
          <w:rFonts w:ascii="Arial" w:hAnsi="Arial" w:cs="Arial"/>
          <w:sz w:val="24"/>
          <w:szCs w:val="24"/>
        </w:rPr>
        <w:t>)</w:t>
      </w:r>
      <w:r w:rsidR="0023127A" w:rsidRPr="0069166A">
        <w:rPr>
          <w:rFonts w:ascii="Arial" w:hAnsi="Arial" w:cs="Arial"/>
          <w:sz w:val="24"/>
          <w:szCs w:val="24"/>
        </w:rPr>
        <w:t xml:space="preserve"> have </w:t>
      </w:r>
      <w:r w:rsidR="00F81585" w:rsidRPr="0069166A">
        <w:rPr>
          <w:rFonts w:ascii="Arial" w:hAnsi="Arial" w:cs="Arial"/>
          <w:sz w:val="24"/>
          <w:szCs w:val="24"/>
        </w:rPr>
        <w:t xml:space="preserve">remained </w:t>
      </w:r>
      <w:r w:rsidR="0023127A" w:rsidRPr="0069166A">
        <w:rPr>
          <w:rFonts w:ascii="Arial" w:hAnsi="Arial" w:cs="Arial"/>
          <w:sz w:val="24"/>
          <w:szCs w:val="24"/>
        </w:rPr>
        <w:t>of application</w:t>
      </w:r>
      <w:r w:rsidR="00F81585" w:rsidRPr="0069166A">
        <w:rPr>
          <w:rFonts w:ascii="Arial" w:hAnsi="Arial" w:cs="Arial"/>
          <w:sz w:val="24"/>
          <w:szCs w:val="24"/>
        </w:rPr>
        <w:t xml:space="preserve">. To compound the </w:t>
      </w:r>
      <w:r w:rsidR="0003226C" w:rsidRPr="0069166A">
        <w:rPr>
          <w:rFonts w:ascii="Arial" w:hAnsi="Arial" w:cs="Arial"/>
          <w:sz w:val="24"/>
          <w:szCs w:val="24"/>
        </w:rPr>
        <w:t xml:space="preserve">confusion, the second part of the codicil </w:t>
      </w:r>
      <w:r w:rsidR="0062587B" w:rsidRPr="0069166A">
        <w:rPr>
          <w:rFonts w:ascii="Arial" w:hAnsi="Arial" w:cs="Arial"/>
          <w:sz w:val="24"/>
          <w:szCs w:val="24"/>
        </w:rPr>
        <w:t xml:space="preserve">contained no revocation clause. </w:t>
      </w:r>
      <w:r w:rsidR="0040174F" w:rsidRPr="0069166A">
        <w:rPr>
          <w:rFonts w:ascii="Arial" w:hAnsi="Arial" w:cs="Arial"/>
          <w:sz w:val="24"/>
          <w:szCs w:val="24"/>
        </w:rPr>
        <w:t>If</w:t>
      </w:r>
      <w:r w:rsidR="00B42B54" w:rsidRPr="0069166A">
        <w:rPr>
          <w:rFonts w:ascii="Arial" w:hAnsi="Arial" w:cs="Arial"/>
          <w:sz w:val="24"/>
          <w:szCs w:val="24"/>
        </w:rPr>
        <w:t xml:space="preserve"> the second part indeed expressed the</w:t>
      </w:r>
      <w:r w:rsidR="005C7875" w:rsidRPr="0069166A">
        <w:rPr>
          <w:rFonts w:ascii="Arial" w:hAnsi="Arial" w:cs="Arial"/>
          <w:sz w:val="24"/>
          <w:szCs w:val="24"/>
        </w:rPr>
        <w:t xml:space="preserve"> </w:t>
      </w:r>
      <w:r w:rsidR="002F20A9" w:rsidRPr="0069166A">
        <w:rPr>
          <w:rFonts w:ascii="Arial" w:hAnsi="Arial" w:cs="Arial"/>
          <w:sz w:val="24"/>
          <w:szCs w:val="24"/>
        </w:rPr>
        <w:t>dying</w:t>
      </w:r>
      <w:r w:rsidR="005C7875" w:rsidRPr="0069166A">
        <w:rPr>
          <w:rFonts w:ascii="Arial" w:hAnsi="Arial" w:cs="Arial"/>
          <w:sz w:val="24"/>
          <w:szCs w:val="24"/>
        </w:rPr>
        <w:t xml:space="preserve"> wishes of the deceased</w:t>
      </w:r>
      <w:r w:rsidR="008E36C6" w:rsidRPr="0069166A">
        <w:rPr>
          <w:rFonts w:ascii="Arial" w:hAnsi="Arial" w:cs="Arial"/>
          <w:sz w:val="24"/>
          <w:szCs w:val="24"/>
        </w:rPr>
        <w:t xml:space="preserve">, </w:t>
      </w:r>
      <w:r w:rsidR="0040174F" w:rsidRPr="0069166A">
        <w:rPr>
          <w:rFonts w:ascii="Arial" w:hAnsi="Arial" w:cs="Arial"/>
          <w:sz w:val="24"/>
          <w:szCs w:val="24"/>
        </w:rPr>
        <w:t xml:space="preserve">then </w:t>
      </w:r>
      <w:r w:rsidR="008E36C6" w:rsidRPr="0069166A">
        <w:rPr>
          <w:rFonts w:ascii="Arial" w:hAnsi="Arial" w:cs="Arial"/>
          <w:sz w:val="24"/>
          <w:szCs w:val="24"/>
        </w:rPr>
        <w:t>it was</w:t>
      </w:r>
      <w:r w:rsidR="0040174F" w:rsidRPr="0069166A">
        <w:rPr>
          <w:rFonts w:ascii="Arial" w:hAnsi="Arial" w:cs="Arial"/>
          <w:sz w:val="24"/>
          <w:szCs w:val="24"/>
        </w:rPr>
        <w:t>, nevertheless,</w:t>
      </w:r>
      <w:r w:rsidR="008E36C6" w:rsidRPr="0069166A">
        <w:rPr>
          <w:rFonts w:ascii="Arial" w:hAnsi="Arial" w:cs="Arial"/>
          <w:sz w:val="24"/>
          <w:szCs w:val="24"/>
        </w:rPr>
        <w:t xml:space="preserve"> far from clear whether </w:t>
      </w:r>
      <w:r w:rsidR="003456E8" w:rsidRPr="0069166A">
        <w:rPr>
          <w:rFonts w:ascii="Arial" w:hAnsi="Arial" w:cs="Arial"/>
          <w:sz w:val="24"/>
          <w:szCs w:val="24"/>
        </w:rPr>
        <w:t xml:space="preserve">it was to have been interpreted as </w:t>
      </w:r>
      <w:r w:rsidR="00C46D45" w:rsidRPr="0069166A">
        <w:rPr>
          <w:rFonts w:ascii="Arial" w:hAnsi="Arial" w:cs="Arial"/>
          <w:sz w:val="24"/>
          <w:szCs w:val="24"/>
        </w:rPr>
        <w:t xml:space="preserve">his </w:t>
      </w:r>
      <w:r w:rsidR="002F20A9" w:rsidRPr="0069166A">
        <w:rPr>
          <w:rFonts w:ascii="Arial" w:hAnsi="Arial" w:cs="Arial"/>
          <w:sz w:val="24"/>
          <w:szCs w:val="24"/>
        </w:rPr>
        <w:t xml:space="preserve">final </w:t>
      </w:r>
      <w:r w:rsidR="003456E8" w:rsidRPr="0069166A">
        <w:rPr>
          <w:rFonts w:ascii="Arial" w:hAnsi="Arial" w:cs="Arial"/>
          <w:sz w:val="24"/>
          <w:szCs w:val="24"/>
        </w:rPr>
        <w:t xml:space="preserve">will </w:t>
      </w:r>
      <w:r w:rsidR="002F20A9" w:rsidRPr="0069166A">
        <w:rPr>
          <w:rFonts w:ascii="Arial" w:hAnsi="Arial" w:cs="Arial"/>
          <w:sz w:val="24"/>
          <w:szCs w:val="24"/>
        </w:rPr>
        <w:t xml:space="preserve">or whether it was to have been understood in </w:t>
      </w:r>
      <w:r w:rsidR="00A23299" w:rsidRPr="0069166A">
        <w:rPr>
          <w:rFonts w:ascii="Arial" w:hAnsi="Arial" w:cs="Arial"/>
          <w:sz w:val="24"/>
          <w:szCs w:val="24"/>
        </w:rPr>
        <w:t>conjunction with an existing will</w:t>
      </w:r>
      <w:r w:rsidR="00C94DD1" w:rsidRPr="0069166A">
        <w:rPr>
          <w:rFonts w:ascii="Arial" w:hAnsi="Arial" w:cs="Arial"/>
          <w:sz w:val="24"/>
          <w:szCs w:val="24"/>
        </w:rPr>
        <w:t>, prepared prior to his admission to hospital.</w:t>
      </w:r>
    </w:p>
    <w:p w14:paraId="5166BC55" w14:textId="77777777" w:rsidR="003E4488" w:rsidRDefault="003E4488" w:rsidP="003E4488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628AB13" w14:textId="558AEB1A" w:rsidR="000532C6" w:rsidRPr="0069166A" w:rsidRDefault="0069166A" w:rsidP="006916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[21]</w:t>
      </w:r>
      <w:r>
        <w:rPr>
          <w:rFonts w:ascii="Arial" w:hAnsi="Arial" w:cs="Arial"/>
          <w:sz w:val="24"/>
          <w:szCs w:val="24"/>
        </w:rPr>
        <w:tab/>
      </w:r>
      <w:r w:rsidR="00FC6BE7" w:rsidRPr="0069166A">
        <w:rPr>
          <w:rFonts w:ascii="Arial" w:hAnsi="Arial" w:cs="Arial"/>
          <w:sz w:val="24"/>
          <w:szCs w:val="24"/>
        </w:rPr>
        <w:t>T</w:t>
      </w:r>
      <w:r w:rsidR="00C94DD1" w:rsidRPr="0069166A">
        <w:rPr>
          <w:rFonts w:ascii="Arial" w:hAnsi="Arial" w:cs="Arial"/>
          <w:sz w:val="24"/>
          <w:szCs w:val="24"/>
        </w:rPr>
        <w:t xml:space="preserve">he above </w:t>
      </w:r>
      <w:r w:rsidR="000825E6" w:rsidRPr="0069166A">
        <w:rPr>
          <w:rFonts w:ascii="Arial" w:hAnsi="Arial" w:cs="Arial"/>
          <w:sz w:val="24"/>
          <w:szCs w:val="24"/>
        </w:rPr>
        <w:t xml:space="preserve">problems </w:t>
      </w:r>
      <w:r w:rsidR="00FC6BE7" w:rsidRPr="0069166A">
        <w:rPr>
          <w:rFonts w:ascii="Arial" w:hAnsi="Arial" w:cs="Arial"/>
          <w:sz w:val="24"/>
          <w:szCs w:val="24"/>
        </w:rPr>
        <w:t xml:space="preserve">must be viewed </w:t>
      </w:r>
      <w:r w:rsidR="004C69EC" w:rsidRPr="0069166A">
        <w:rPr>
          <w:rFonts w:ascii="Arial" w:hAnsi="Arial" w:cs="Arial"/>
          <w:sz w:val="24"/>
          <w:szCs w:val="24"/>
        </w:rPr>
        <w:t xml:space="preserve">within the context of the </w:t>
      </w:r>
      <w:r w:rsidR="00B0009B" w:rsidRPr="0069166A">
        <w:rPr>
          <w:rFonts w:ascii="Arial" w:hAnsi="Arial" w:cs="Arial"/>
          <w:sz w:val="24"/>
          <w:szCs w:val="24"/>
        </w:rPr>
        <w:t xml:space="preserve">overall </w:t>
      </w:r>
      <w:r w:rsidR="000825E6" w:rsidRPr="0069166A">
        <w:rPr>
          <w:rFonts w:ascii="Arial" w:hAnsi="Arial" w:cs="Arial"/>
          <w:sz w:val="24"/>
          <w:szCs w:val="24"/>
        </w:rPr>
        <w:t>uncertainty</w:t>
      </w:r>
      <w:r w:rsidR="00BD4625" w:rsidRPr="0069166A">
        <w:rPr>
          <w:rFonts w:ascii="Arial" w:hAnsi="Arial" w:cs="Arial"/>
          <w:sz w:val="24"/>
          <w:szCs w:val="24"/>
        </w:rPr>
        <w:t xml:space="preserve"> about whether </w:t>
      </w:r>
      <w:r w:rsidR="00C90992" w:rsidRPr="0069166A">
        <w:rPr>
          <w:rFonts w:ascii="Arial" w:hAnsi="Arial" w:cs="Arial"/>
          <w:sz w:val="24"/>
          <w:szCs w:val="24"/>
        </w:rPr>
        <w:t xml:space="preserve">the deceased </w:t>
      </w:r>
      <w:r w:rsidR="004C69EC" w:rsidRPr="0069166A">
        <w:rPr>
          <w:rFonts w:ascii="Arial" w:hAnsi="Arial" w:cs="Arial"/>
          <w:sz w:val="24"/>
          <w:szCs w:val="24"/>
        </w:rPr>
        <w:t xml:space="preserve">truly intended the </w:t>
      </w:r>
      <w:r w:rsidR="00BD4625" w:rsidRPr="0069166A">
        <w:rPr>
          <w:rFonts w:ascii="Arial" w:hAnsi="Arial" w:cs="Arial"/>
          <w:sz w:val="24"/>
          <w:szCs w:val="24"/>
        </w:rPr>
        <w:t>second part of the codicil</w:t>
      </w:r>
      <w:r w:rsidR="008F6D5E" w:rsidRPr="0069166A">
        <w:rPr>
          <w:rFonts w:ascii="Arial" w:hAnsi="Arial" w:cs="Arial"/>
          <w:sz w:val="24"/>
          <w:szCs w:val="24"/>
        </w:rPr>
        <w:t xml:space="preserve"> </w:t>
      </w:r>
      <w:r w:rsidR="00B3092A" w:rsidRPr="0069166A">
        <w:rPr>
          <w:rFonts w:ascii="Arial" w:hAnsi="Arial" w:cs="Arial"/>
          <w:sz w:val="24"/>
          <w:szCs w:val="24"/>
        </w:rPr>
        <w:t xml:space="preserve">to have been his </w:t>
      </w:r>
      <w:r w:rsidR="00B3092A" w:rsidRPr="0069166A">
        <w:rPr>
          <w:rFonts w:ascii="Arial" w:hAnsi="Arial" w:cs="Arial"/>
          <w:sz w:val="24"/>
          <w:szCs w:val="24"/>
        </w:rPr>
        <w:lastRenderedPageBreak/>
        <w:t>will.</w:t>
      </w:r>
      <w:r w:rsidR="00984776" w:rsidRPr="0069166A">
        <w:rPr>
          <w:rFonts w:ascii="Arial" w:hAnsi="Arial" w:cs="Arial"/>
          <w:sz w:val="24"/>
          <w:szCs w:val="24"/>
        </w:rPr>
        <w:t xml:space="preserve"> It </w:t>
      </w:r>
      <w:r w:rsidR="00A86A60" w:rsidRPr="0069166A">
        <w:rPr>
          <w:rFonts w:ascii="Arial" w:hAnsi="Arial" w:cs="Arial"/>
          <w:sz w:val="24"/>
          <w:szCs w:val="24"/>
        </w:rPr>
        <w:t>c</w:t>
      </w:r>
      <w:r w:rsidR="00E30333" w:rsidRPr="0069166A">
        <w:rPr>
          <w:rFonts w:ascii="Arial" w:hAnsi="Arial" w:cs="Arial"/>
          <w:sz w:val="24"/>
          <w:szCs w:val="24"/>
        </w:rPr>
        <w:t>ould not have</w:t>
      </w:r>
      <w:r w:rsidR="00A86A60" w:rsidRPr="0069166A">
        <w:rPr>
          <w:rFonts w:ascii="Arial" w:hAnsi="Arial" w:cs="Arial"/>
          <w:sz w:val="24"/>
          <w:szCs w:val="24"/>
        </w:rPr>
        <w:t xml:space="preserve"> be</w:t>
      </w:r>
      <w:r w:rsidR="006A36B4" w:rsidRPr="0069166A">
        <w:rPr>
          <w:rFonts w:ascii="Arial" w:hAnsi="Arial" w:cs="Arial"/>
          <w:sz w:val="24"/>
          <w:szCs w:val="24"/>
        </w:rPr>
        <w:t>en</w:t>
      </w:r>
      <w:r w:rsidR="00A86A60" w:rsidRPr="0069166A">
        <w:rPr>
          <w:rFonts w:ascii="Arial" w:hAnsi="Arial" w:cs="Arial"/>
          <w:sz w:val="24"/>
          <w:szCs w:val="24"/>
        </w:rPr>
        <w:t xml:space="preserve"> said</w:t>
      </w:r>
      <w:r w:rsidR="00335DC9" w:rsidRPr="0069166A">
        <w:rPr>
          <w:rFonts w:ascii="Arial" w:hAnsi="Arial" w:cs="Arial"/>
          <w:sz w:val="24"/>
          <w:szCs w:val="24"/>
        </w:rPr>
        <w:t>, with</w:t>
      </w:r>
      <w:r w:rsidR="00E61631" w:rsidRPr="0069166A">
        <w:rPr>
          <w:rFonts w:ascii="Arial" w:hAnsi="Arial" w:cs="Arial"/>
          <w:sz w:val="24"/>
          <w:szCs w:val="24"/>
        </w:rPr>
        <w:t>out hesitation</w:t>
      </w:r>
      <w:r w:rsidR="00335DC9" w:rsidRPr="0069166A">
        <w:rPr>
          <w:rFonts w:ascii="Arial" w:hAnsi="Arial" w:cs="Arial"/>
          <w:sz w:val="24"/>
          <w:szCs w:val="24"/>
        </w:rPr>
        <w:t xml:space="preserve">, that it </w:t>
      </w:r>
      <w:r w:rsidR="00CE1793" w:rsidRPr="0069166A">
        <w:rPr>
          <w:rFonts w:ascii="Arial" w:hAnsi="Arial" w:cs="Arial"/>
          <w:sz w:val="24"/>
          <w:szCs w:val="24"/>
        </w:rPr>
        <w:t>wa</w:t>
      </w:r>
      <w:r w:rsidR="00335DC9" w:rsidRPr="0069166A">
        <w:rPr>
          <w:rFonts w:ascii="Arial" w:hAnsi="Arial" w:cs="Arial"/>
          <w:sz w:val="24"/>
          <w:szCs w:val="24"/>
        </w:rPr>
        <w:t>s his signature at the foot of each page</w:t>
      </w:r>
      <w:r w:rsidR="002A3937" w:rsidRPr="0069166A">
        <w:rPr>
          <w:rFonts w:ascii="Arial" w:hAnsi="Arial" w:cs="Arial"/>
          <w:sz w:val="24"/>
          <w:szCs w:val="24"/>
        </w:rPr>
        <w:t xml:space="preserve">. The initials of the witness </w:t>
      </w:r>
      <w:r w:rsidR="00CE1793" w:rsidRPr="0069166A">
        <w:rPr>
          <w:rFonts w:ascii="Arial" w:hAnsi="Arial" w:cs="Arial"/>
          <w:sz w:val="24"/>
          <w:szCs w:val="24"/>
        </w:rPr>
        <w:t xml:space="preserve">were </w:t>
      </w:r>
      <w:r w:rsidR="002A3937" w:rsidRPr="0069166A">
        <w:rPr>
          <w:rFonts w:ascii="Arial" w:hAnsi="Arial" w:cs="Arial"/>
          <w:sz w:val="24"/>
          <w:szCs w:val="24"/>
        </w:rPr>
        <w:t xml:space="preserve">not </w:t>
      </w:r>
      <w:r w:rsidR="00CE1793" w:rsidRPr="0069166A">
        <w:rPr>
          <w:rFonts w:ascii="Arial" w:hAnsi="Arial" w:cs="Arial"/>
          <w:sz w:val="24"/>
          <w:szCs w:val="24"/>
        </w:rPr>
        <w:t xml:space="preserve">those of Ms </w:t>
      </w:r>
      <w:proofErr w:type="spellStart"/>
      <w:r w:rsidR="00CE1793" w:rsidRPr="0069166A">
        <w:rPr>
          <w:rFonts w:ascii="Arial" w:hAnsi="Arial" w:cs="Arial"/>
          <w:sz w:val="24"/>
          <w:szCs w:val="24"/>
        </w:rPr>
        <w:t>Sewra</w:t>
      </w:r>
      <w:r w:rsidR="002C43B9" w:rsidRPr="0069166A">
        <w:rPr>
          <w:rFonts w:ascii="Arial" w:hAnsi="Arial" w:cs="Arial"/>
          <w:sz w:val="24"/>
          <w:szCs w:val="24"/>
        </w:rPr>
        <w:t>n</w:t>
      </w:r>
      <w:proofErr w:type="spellEnd"/>
      <w:r w:rsidR="006E1958" w:rsidRPr="0069166A">
        <w:rPr>
          <w:rFonts w:ascii="Arial" w:hAnsi="Arial" w:cs="Arial"/>
          <w:sz w:val="24"/>
          <w:szCs w:val="24"/>
        </w:rPr>
        <w:t>. They</w:t>
      </w:r>
      <w:r w:rsidR="00AD42A6" w:rsidRPr="0069166A">
        <w:rPr>
          <w:rFonts w:ascii="Arial" w:hAnsi="Arial" w:cs="Arial"/>
          <w:sz w:val="24"/>
          <w:szCs w:val="24"/>
        </w:rPr>
        <w:t xml:space="preserve"> differed </w:t>
      </w:r>
      <w:r w:rsidR="00C029FC" w:rsidRPr="0069166A">
        <w:rPr>
          <w:rFonts w:ascii="Arial" w:hAnsi="Arial" w:cs="Arial"/>
          <w:sz w:val="24"/>
          <w:szCs w:val="24"/>
        </w:rPr>
        <w:t>from her signature on the first part of the codicil</w:t>
      </w:r>
      <w:r w:rsidR="00CE1793" w:rsidRPr="0069166A">
        <w:rPr>
          <w:rFonts w:ascii="Arial" w:hAnsi="Arial" w:cs="Arial"/>
          <w:sz w:val="24"/>
          <w:szCs w:val="24"/>
        </w:rPr>
        <w:t xml:space="preserve">. Whereas the </w:t>
      </w:r>
      <w:r w:rsidR="00C4101E" w:rsidRPr="0069166A">
        <w:rPr>
          <w:rFonts w:ascii="Arial" w:hAnsi="Arial" w:cs="Arial"/>
          <w:sz w:val="24"/>
          <w:szCs w:val="24"/>
        </w:rPr>
        <w:t xml:space="preserve">two nurses </w:t>
      </w:r>
      <w:r w:rsidR="00C2761B" w:rsidRPr="0069166A">
        <w:rPr>
          <w:rFonts w:ascii="Arial" w:hAnsi="Arial" w:cs="Arial"/>
          <w:sz w:val="24"/>
          <w:szCs w:val="24"/>
        </w:rPr>
        <w:t xml:space="preserve">and the unit manager </w:t>
      </w:r>
      <w:r w:rsidR="00AD1C28" w:rsidRPr="0069166A">
        <w:rPr>
          <w:rFonts w:ascii="Arial" w:hAnsi="Arial" w:cs="Arial"/>
          <w:sz w:val="24"/>
          <w:szCs w:val="24"/>
        </w:rPr>
        <w:t xml:space="preserve">stated that they saw the deceased </w:t>
      </w:r>
      <w:r w:rsidR="00EE5D25" w:rsidRPr="0069166A">
        <w:rPr>
          <w:rFonts w:ascii="Arial" w:hAnsi="Arial" w:cs="Arial"/>
          <w:sz w:val="24"/>
          <w:szCs w:val="24"/>
        </w:rPr>
        <w:t>‘</w:t>
      </w:r>
      <w:r w:rsidR="00AD1C28" w:rsidRPr="0069166A">
        <w:rPr>
          <w:rFonts w:ascii="Arial" w:hAnsi="Arial" w:cs="Arial"/>
          <w:sz w:val="24"/>
          <w:szCs w:val="24"/>
        </w:rPr>
        <w:t xml:space="preserve">draft </w:t>
      </w:r>
      <w:r w:rsidR="00C2761B" w:rsidRPr="0069166A">
        <w:rPr>
          <w:rFonts w:ascii="Arial" w:hAnsi="Arial" w:cs="Arial"/>
          <w:sz w:val="24"/>
          <w:szCs w:val="24"/>
        </w:rPr>
        <w:t xml:space="preserve">a document </w:t>
      </w:r>
      <w:r w:rsidR="00B85DC0" w:rsidRPr="0069166A">
        <w:rPr>
          <w:rFonts w:ascii="Arial" w:hAnsi="Arial" w:cs="Arial"/>
          <w:sz w:val="24"/>
          <w:szCs w:val="24"/>
        </w:rPr>
        <w:t xml:space="preserve">in the presence of </w:t>
      </w:r>
      <w:r w:rsidR="00EE5D25" w:rsidRPr="0069166A">
        <w:rPr>
          <w:rFonts w:ascii="Arial" w:hAnsi="Arial" w:cs="Arial"/>
          <w:sz w:val="24"/>
          <w:szCs w:val="24"/>
        </w:rPr>
        <w:t>his wife’,</w:t>
      </w:r>
      <w:r w:rsidR="00B85DC0" w:rsidRPr="0069166A">
        <w:rPr>
          <w:rFonts w:ascii="Arial" w:hAnsi="Arial" w:cs="Arial"/>
          <w:sz w:val="24"/>
          <w:szCs w:val="24"/>
        </w:rPr>
        <w:t xml:space="preserve"> they </w:t>
      </w:r>
      <w:r w:rsidR="00802697" w:rsidRPr="0069166A">
        <w:rPr>
          <w:rFonts w:ascii="Arial" w:hAnsi="Arial" w:cs="Arial"/>
          <w:sz w:val="24"/>
          <w:szCs w:val="24"/>
        </w:rPr>
        <w:t>failed to</w:t>
      </w:r>
      <w:r w:rsidR="00B85DC0" w:rsidRPr="0069166A">
        <w:rPr>
          <w:rFonts w:ascii="Arial" w:hAnsi="Arial" w:cs="Arial"/>
          <w:sz w:val="24"/>
          <w:szCs w:val="24"/>
        </w:rPr>
        <w:t xml:space="preserve"> identify it as having been either the first or second part, or both</w:t>
      </w:r>
      <w:r w:rsidR="003D0482" w:rsidRPr="0069166A">
        <w:rPr>
          <w:rFonts w:ascii="Arial" w:hAnsi="Arial" w:cs="Arial"/>
          <w:sz w:val="24"/>
          <w:szCs w:val="24"/>
        </w:rPr>
        <w:t xml:space="preserve">. </w:t>
      </w:r>
      <w:r w:rsidR="00E83770" w:rsidRPr="0069166A">
        <w:rPr>
          <w:rFonts w:ascii="Arial" w:hAnsi="Arial" w:cs="Arial"/>
          <w:sz w:val="24"/>
          <w:szCs w:val="24"/>
        </w:rPr>
        <w:t xml:space="preserve">Furthermore, </w:t>
      </w:r>
      <w:r w:rsidR="0087039F" w:rsidRPr="0069166A">
        <w:rPr>
          <w:rFonts w:ascii="Arial" w:hAnsi="Arial" w:cs="Arial"/>
          <w:sz w:val="24"/>
          <w:szCs w:val="24"/>
        </w:rPr>
        <w:t xml:space="preserve">Ms </w:t>
      </w:r>
      <w:proofErr w:type="spellStart"/>
      <w:r w:rsidR="0087039F" w:rsidRPr="0069166A">
        <w:rPr>
          <w:rFonts w:ascii="Arial" w:hAnsi="Arial" w:cs="Arial"/>
          <w:sz w:val="24"/>
          <w:szCs w:val="24"/>
        </w:rPr>
        <w:t>Sewran</w:t>
      </w:r>
      <w:r w:rsidR="00EB4760" w:rsidRPr="0069166A">
        <w:rPr>
          <w:rFonts w:ascii="Arial" w:hAnsi="Arial" w:cs="Arial"/>
          <w:sz w:val="24"/>
          <w:szCs w:val="24"/>
        </w:rPr>
        <w:t>’s</w:t>
      </w:r>
      <w:proofErr w:type="spellEnd"/>
      <w:r w:rsidR="00EB4760" w:rsidRPr="0069166A">
        <w:rPr>
          <w:rFonts w:ascii="Arial" w:hAnsi="Arial" w:cs="Arial"/>
          <w:sz w:val="24"/>
          <w:szCs w:val="24"/>
        </w:rPr>
        <w:t xml:space="preserve"> affidavit </w:t>
      </w:r>
      <w:r w:rsidR="00E83770" w:rsidRPr="0069166A">
        <w:rPr>
          <w:rFonts w:ascii="Arial" w:hAnsi="Arial" w:cs="Arial"/>
          <w:sz w:val="24"/>
          <w:szCs w:val="24"/>
        </w:rPr>
        <w:t xml:space="preserve">did not </w:t>
      </w:r>
      <w:r w:rsidR="00C2222D" w:rsidRPr="0069166A">
        <w:rPr>
          <w:rFonts w:ascii="Arial" w:hAnsi="Arial" w:cs="Arial"/>
          <w:sz w:val="24"/>
          <w:szCs w:val="24"/>
        </w:rPr>
        <w:t xml:space="preserve">clarify </w:t>
      </w:r>
      <w:r w:rsidR="00C40369" w:rsidRPr="0069166A">
        <w:rPr>
          <w:rFonts w:ascii="Arial" w:hAnsi="Arial" w:cs="Arial"/>
          <w:sz w:val="24"/>
          <w:szCs w:val="24"/>
        </w:rPr>
        <w:t xml:space="preserve">which document she </w:t>
      </w:r>
      <w:r w:rsidR="00850FFE" w:rsidRPr="0069166A">
        <w:rPr>
          <w:rFonts w:ascii="Arial" w:hAnsi="Arial" w:cs="Arial"/>
          <w:sz w:val="24"/>
          <w:szCs w:val="24"/>
        </w:rPr>
        <w:t xml:space="preserve">signed. </w:t>
      </w:r>
    </w:p>
    <w:p w14:paraId="7137D197" w14:textId="77777777" w:rsidR="000532C6" w:rsidRPr="000532C6" w:rsidRDefault="000532C6" w:rsidP="000532C6">
      <w:pPr>
        <w:pStyle w:val="ListParagraph"/>
        <w:rPr>
          <w:rFonts w:ascii="Arial" w:hAnsi="Arial" w:cs="Arial"/>
          <w:sz w:val="24"/>
          <w:szCs w:val="24"/>
        </w:rPr>
      </w:pPr>
    </w:p>
    <w:p w14:paraId="1F4BA4CF" w14:textId="5950F9EF" w:rsidR="00C94DD1" w:rsidRPr="0069166A" w:rsidRDefault="0069166A" w:rsidP="006916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2C6">
        <w:rPr>
          <w:rFonts w:ascii="Arial" w:hAnsi="Arial" w:cs="Arial"/>
          <w:sz w:val="24"/>
          <w:szCs w:val="24"/>
        </w:rPr>
        <w:t>[22]</w:t>
      </w:r>
      <w:r w:rsidRPr="000532C6">
        <w:rPr>
          <w:rFonts w:ascii="Arial" w:hAnsi="Arial" w:cs="Arial"/>
          <w:sz w:val="24"/>
          <w:szCs w:val="24"/>
        </w:rPr>
        <w:tab/>
      </w:r>
      <w:r w:rsidR="007F4D8B" w:rsidRPr="0069166A">
        <w:rPr>
          <w:rFonts w:ascii="Arial" w:hAnsi="Arial" w:cs="Arial"/>
          <w:sz w:val="24"/>
          <w:szCs w:val="24"/>
        </w:rPr>
        <w:t xml:space="preserve">The only reliable witness to the alleged drafting and signing of the </w:t>
      </w:r>
      <w:r w:rsidR="00FD709F" w:rsidRPr="0069166A">
        <w:rPr>
          <w:rFonts w:ascii="Arial" w:hAnsi="Arial" w:cs="Arial"/>
          <w:sz w:val="24"/>
          <w:szCs w:val="24"/>
        </w:rPr>
        <w:t xml:space="preserve">first and </w:t>
      </w:r>
      <w:r w:rsidR="00DF4CBC" w:rsidRPr="0069166A">
        <w:rPr>
          <w:rFonts w:ascii="Arial" w:hAnsi="Arial" w:cs="Arial"/>
          <w:sz w:val="24"/>
          <w:szCs w:val="24"/>
        </w:rPr>
        <w:t>second part</w:t>
      </w:r>
      <w:r w:rsidR="00FD709F" w:rsidRPr="0069166A">
        <w:rPr>
          <w:rFonts w:ascii="Arial" w:hAnsi="Arial" w:cs="Arial"/>
          <w:sz w:val="24"/>
          <w:szCs w:val="24"/>
        </w:rPr>
        <w:t>s</w:t>
      </w:r>
      <w:r w:rsidR="007F4D8B" w:rsidRPr="0069166A">
        <w:rPr>
          <w:rFonts w:ascii="Arial" w:hAnsi="Arial" w:cs="Arial"/>
          <w:sz w:val="24"/>
          <w:szCs w:val="24"/>
        </w:rPr>
        <w:t xml:space="preserve"> was the second respondent</w:t>
      </w:r>
      <w:r w:rsidR="00F31E7E" w:rsidRPr="0069166A">
        <w:rPr>
          <w:rFonts w:ascii="Arial" w:hAnsi="Arial" w:cs="Arial"/>
          <w:sz w:val="24"/>
          <w:szCs w:val="24"/>
        </w:rPr>
        <w:t>. A</w:t>
      </w:r>
      <w:r w:rsidR="001A6F48" w:rsidRPr="0069166A">
        <w:rPr>
          <w:rFonts w:ascii="Arial" w:hAnsi="Arial" w:cs="Arial"/>
          <w:sz w:val="24"/>
          <w:szCs w:val="24"/>
        </w:rPr>
        <w:t xml:space="preserve">s the deceased’s wife, </w:t>
      </w:r>
      <w:r w:rsidR="00F31E7E" w:rsidRPr="0069166A">
        <w:rPr>
          <w:rFonts w:ascii="Arial" w:hAnsi="Arial" w:cs="Arial"/>
          <w:sz w:val="24"/>
          <w:szCs w:val="24"/>
        </w:rPr>
        <w:t xml:space="preserve">however, </w:t>
      </w:r>
      <w:r w:rsidR="001A6F48" w:rsidRPr="0069166A">
        <w:rPr>
          <w:rFonts w:ascii="Arial" w:hAnsi="Arial" w:cs="Arial"/>
          <w:sz w:val="24"/>
          <w:szCs w:val="24"/>
        </w:rPr>
        <w:t xml:space="preserve">she stood to benefit from the </w:t>
      </w:r>
      <w:r w:rsidR="00B16DDB" w:rsidRPr="0069166A">
        <w:rPr>
          <w:rFonts w:ascii="Arial" w:hAnsi="Arial" w:cs="Arial"/>
          <w:sz w:val="24"/>
          <w:szCs w:val="24"/>
        </w:rPr>
        <w:t xml:space="preserve">will and </w:t>
      </w:r>
      <w:r w:rsidR="00775FB4" w:rsidRPr="0069166A">
        <w:rPr>
          <w:rFonts w:ascii="Arial" w:hAnsi="Arial" w:cs="Arial"/>
          <w:sz w:val="24"/>
          <w:szCs w:val="24"/>
        </w:rPr>
        <w:t xml:space="preserve">consequently </w:t>
      </w:r>
      <w:r w:rsidR="002218FE" w:rsidRPr="0069166A">
        <w:rPr>
          <w:rFonts w:ascii="Arial" w:hAnsi="Arial" w:cs="Arial"/>
          <w:sz w:val="24"/>
          <w:szCs w:val="24"/>
        </w:rPr>
        <w:t xml:space="preserve">her reliability </w:t>
      </w:r>
      <w:r w:rsidR="00775FB4" w:rsidRPr="0069166A">
        <w:rPr>
          <w:rFonts w:ascii="Arial" w:hAnsi="Arial" w:cs="Arial"/>
          <w:sz w:val="24"/>
          <w:szCs w:val="24"/>
        </w:rPr>
        <w:t xml:space="preserve">had to be </w:t>
      </w:r>
      <w:r w:rsidR="000F632A" w:rsidRPr="0069166A">
        <w:rPr>
          <w:rFonts w:ascii="Arial" w:hAnsi="Arial" w:cs="Arial"/>
          <w:sz w:val="24"/>
          <w:szCs w:val="24"/>
        </w:rPr>
        <w:t>called into question.</w:t>
      </w:r>
    </w:p>
    <w:p w14:paraId="709CA7AF" w14:textId="77777777" w:rsidR="006E1AC2" w:rsidRDefault="006E1AC2" w:rsidP="002740B1">
      <w:pPr>
        <w:spacing w:line="360" w:lineRule="auto"/>
        <w:rPr>
          <w:rFonts w:ascii="Arial" w:hAnsi="Arial" w:cs="Arial"/>
          <w:sz w:val="24"/>
          <w:szCs w:val="24"/>
        </w:rPr>
      </w:pPr>
    </w:p>
    <w:p w14:paraId="71A9CBF9" w14:textId="1B886DF0" w:rsidR="006E1AC2" w:rsidRPr="003049CF" w:rsidRDefault="006E1AC2" w:rsidP="007172D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049CF">
        <w:rPr>
          <w:rFonts w:ascii="Arial" w:hAnsi="Arial" w:cs="Arial"/>
          <w:b/>
          <w:bCs/>
          <w:sz w:val="24"/>
          <w:szCs w:val="24"/>
        </w:rPr>
        <w:t>Relief and order</w:t>
      </w:r>
    </w:p>
    <w:p w14:paraId="5F251CBD" w14:textId="77777777" w:rsidR="006E1AC2" w:rsidRDefault="006E1AC2" w:rsidP="002740B1">
      <w:pPr>
        <w:spacing w:line="360" w:lineRule="auto"/>
        <w:rPr>
          <w:rFonts w:ascii="Arial" w:hAnsi="Arial" w:cs="Arial"/>
          <w:sz w:val="24"/>
          <w:szCs w:val="24"/>
        </w:rPr>
      </w:pPr>
    </w:p>
    <w:p w14:paraId="22D4C86C" w14:textId="49A35E4E" w:rsidR="007172DF" w:rsidRPr="0069166A" w:rsidRDefault="0069166A" w:rsidP="006916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[23]</w:t>
      </w:r>
      <w:r>
        <w:rPr>
          <w:rFonts w:ascii="Arial" w:hAnsi="Arial" w:cs="Arial"/>
          <w:sz w:val="24"/>
          <w:szCs w:val="24"/>
        </w:rPr>
        <w:tab/>
      </w:r>
      <w:r w:rsidR="00BF10A1" w:rsidRPr="0069166A">
        <w:rPr>
          <w:rFonts w:ascii="Arial" w:hAnsi="Arial" w:cs="Arial"/>
          <w:sz w:val="24"/>
          <w:szCs w:val="24"/>
        </w:rPr>
        <w:t>There were</w:t>
      </w:r>
      <w:r w:rsidR="006E1AC2" w:rsidRPr="0069166A">
        <w:rPr>
          <w:rFonts w:ascii="Arial" w:hAnsi="Arial" w:cs="Arial"/>
          <w:sz w:val="24"/>
          <w:szCs w:val="24"/>
        </w:rPr>
        <w:t>, ultimately,</w:t>
      </w:r>
      <w:r w:rsidR="00BF10A1" w:rsidRPr="0069166A">
        <w:rPr>
          <w:rFonts w:ascii="Arial" w:hAnsi="Arial" w:cs="Arial"/>
          <w:sz w:val="24"/>
          <w:szCs w:val="24"/>
        </w:rPr>
        <w:t xml:space="preserve"> too many </w:t>
      </w:r>
      <w:r w:rsidR="00B66DC4" w:rsidRPr="0069166A">
        <w:rPr>
          <w:rFonts w:ascii="Arial" w:hAnsi="Arial" w:cs="Arial"/>
          <w:sz w:val="24"/>
          <w:szCs w:val="24"/>
        </w:rPr>
        <w:t xml:space="preserve">uncertainties to have permitted me to have </w:t>
      </w:r>
      <w:r w:rsidR="00053FE9" w:rsidRPr="0069166A">
        <w:rPr>
          <w:rFonts w:ascii="Arial" w:hAnsi="Arial" w:cs="Arial"/>
          <w:sz w:val="24"/>
          <w:szCs w:val="24"/>
        </w:rPr>
        <w:t xml:space="preserve">been satisfied that the codicil was </w:t>
      </w:r>
      <w:r w:rsidR="005A333F" w:rsidRPr="0069166A">
        <w:rPr>
          <w:rFonts w:ascii="Arial" w:hAnsi="Arial" w:cs="Arial"/>
          <w:sz w:val="24"/>
          <w:szCs w:val="24"/>
        </w:rPr>
        <w:t xml:space="preserve">intended as </w:t>
      </w:r>
      <w:r w:rsidR="00053FE9" w:rsidRPr="0069166A">
        <w:rPr>
          <w:rFonts w:ascii="Arial" w:hAnsi="Arial" w:cs="Arial"/>
          <w:sz w:val="24"/>
          <w:szCs w:val="24"/>
        </w:rPr>
        <w:t>the deceased’s will</w:t>
      </w:r>
      <w:r w:rsidR="003049CF" w:rsidRPr="0069166A">
        <w:rPr>
          <w:rFonts w:ascii="Arial" w:hAnsi="Arial" w:cs="Arial"/>
          <w:sz w:val="24"/>
          <w:szCs w:val="24"/>
        </w:rPr>
        <w:t xml:space="preserve">. </w:t>
      </w:r>
      <w:r w:rsidR="00143C40" w:rsidRPr="0069166A">
        <w:rPr>
          <w:rFonts w:ascii="Arial" w:hAnsi="Arial" w:cs="Arial"/>
          <w:sz w:val="24"/>
          <w:szCs w:val="24"/>
        </w:rPr>
        <w:t>I was unable to hold</w:t>
      </w:r>
      <w:r w:rsidR="007D002F" w:rsidRPr="0069166A">
        <w:rPr>
          <w:rFonts w:ascii="Arial" w:hAnsi="Arial" w:cs="Arial"/>
          <w:sz w:val="24"/>
          <w:szCs w:val="24"/>
        </w:rPr>
        <w:t>, on a balance of probabilities</w:t>
      </w:r>
      <w:r w:rsidR="005C7684" w:rsidRPr="0069166A">
        <w:rPr>
          <w:rFonts w:ascii="Arial" w:hAnsi="Arial" w:cs="Arial"/>
          <w:sz w:val="24"/>
          <w:szCs w:val="24"/>
        </w:rPr>
        <w:t>,</w:t>
      </w:r>
      <w:r w:rsidR="00143C40" w:rsidRPr="0069166A">
        <w:rPr>
          <w:rFonts w:ascii="Arial" w:hAnsi="Arial" w:cs="Arial"/>
          <w:sz w:val="24"/>
          <w:szCs w:val="24"/>
        </w:rPr>
        <w:t xml:space="preserve"> that either the first </w:t>
      </w:r>
      <w:r w:rsidR="000B5BC3" w:rsidRPr="0069166A">
        <w:rPr>
          <w:rFonts w:ascii="Arial" w:hAnsi="Arial" w:cs="Arial"/>
          <w:sz w:val="24"/>
          <w:szCs w:val="24"/>
        </w:rPr>
        <w:t xml:space="preserve">or the second part, or both, expressed his </w:t>
      </w:r>
      <w:r w:rsidR="005A333F" w:rsidRPr="0069166A">
        <w:rPr>
          <w:rFonts w:ascii="Arial" w:hAnsi="Arial" w:cs="Arial"/>
          <w:sz w:val="24"/>
          <w:szCs w:val="24"/>
        </w:rPr>
        <w:t>final wishes</w:t>
      </w:r>
      <w:r w:rsidR="008D7317" w:rsidRPr="0069166A">
        <w:rPr>
          <w:rFonts w:ascii="Arial" w:hAnsi="Arial" w:cs="Arial"/>
          <w:sz w:val="24"/>
          <w:szCs w:val="24"/>
        </w:rPr>
        <w:t>.</w:t>
      </w:r>
    </w:p>
    <w:p w14:paraId="6C54BB74" w14:textId="77777777" w:rsidR="007172DF" w:rsidRDefault="007172DF" w:rsidP="007172DF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D95335E" w14:textId="2240EF1F" w:rsidR="007172DF" w:rsidRPr="0069166A" w:rsidRDefault="0069166A" w:rsidP="006916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[24]</w:t>
      </w:r>
      <w:r>
        <w:rPr>
          <w:rFonts w:ascii="Arial" w:hAnsi="Arial" w:cs="Arial"/>
          <w:sz w:val="24"/>
          <w:szCs w:val="24"/>
        </w:rPr>
        <w:tab/>
      </w:r>
      <w:r w:rsidR="00FC0B37" w:rsidRPr="0069166A">
        <w:rPr>
          <w:rFonts w:ascii="Arial" w:hAnsi="Arial" w:cs="Arial"/>
          <w:sz w:val="24"/>
          <w:szCs w:val="24"/>
        </w:rPr>
        <w:t xml:space="preserve">I pause to observe that </w:t>
      </w:r>
      <w:r w:rsidR="00C14B71" w:rsidRPr="0069166A">
        <w:rPr>
          <w:rFonts w:ascii="Arial" w:hAnsi="Arial" w:cs="Arial"/>
          <w:sz w:val="24"/>
          <w:szCs w:val="24"/>
        </w:rPr>
        <w:t xml:space="preserve">the second respondent’s drafting of the second part attracted </w:t>
      </w:r>
      <w:r w:rsidR="008D7317" w:rsidRPr="0069166A">
        <w:rPr>
          <w:rFonts w:ascii="Arial" w:hAnsi="Arial" w:cs="Arial"/>
          <w:sz w:val="24"/>
          <w:szCs w:val="24"/>
        </w:rPr>
        <w:t xml:space="preserve">the </w:t>
      </w:r>
      <w:r w:rsidR="00530789" w:rsidRPr="0069166A">
        <w:rPr>
          <w:rFonts w:ascii="Arial" w:hAnsi="Arial" w:cs="Arial"/>
          <w:sz w:val="24"/>
          <w:szCs w:val="24"/>
        </w:rPr>
        <w:t xml:space="preserve">implementation of </w:t>
      </w:r>
      <w:r w:rsidR="00033D3D" w:rsidRPr="0069166A">
        <w:rPr>
          <w:rFonts w:ascii="Arial" w:hAnsi="Arial" w:cs="Arial"/>
          <w:sz w:val="24"/>
          <w:szCs w:val="24"/>
        </w:rPr>
        <w:t>section 4A</w:t>
      </w:r>
      <w:r w:rsidR="008621B5" w:rsidRPr="0069166A">
        <w:rPr>
          <w:rFonts w:ascii="Arial" w:hAnsi="Arial" w:cs="Arial"/>
          <w:sz w:val="24"/>
          <w:szCs w:val="24"/>
        </w:rPr>
        <w:t>(1)</w:t>
      </w:r>
      <w:r w:rsidR="00033D3D" w:rsidRPr="0069166A">
        <w:rPr>
          <w:rFonts w:ascii="Arial" w:hAnsi="Arial" w:cs="Arial"/>
          <w:sz w:val="24"/>
          <w:szCs w:val="24"/>
        </w:rPr>
        <w:t xml:space="preserve"> of the Act, which would have disqualified </w:t>
      </w:r>
      <w:r w:rsidR="006C67FD" w:rsidRPr="0069166A">
        <w:rPr>
          <w:rFonts w:ascii="Arial" w:hAnsi="Arial" w:cs="Arial"/>
          <w:sz w:val="24"/>
          <w:szCs w:val="24"/>
        </w:rPr>
        <w:t xml:space="preserve">her </w:t>
      </w:r>
      <w:r w:rsidR="00860DA6" w:rsidRPr="0069166A">
        <w:rPr>
          <w:rFonts w:ascii="Arial" w:hAnsi="Arial" w:cs="Arial"/>
          <w:sz w:val="24"/>
          <w:szCs w:val="24"/>
        </w:rPr>
        <w:t>from benefitting from the will.</w:t>
      </w:r>
      <w:r w:rsidR="000D287D">
        <w:rPr>
          <w:rStyle w:val="FootnoteReference"/>
          <w:rFonts w:ascii="Arial" w:hAnsi="Arial" w:cs="Arial"/>
          <w:sz w:val="24"/>
          <w:szCs w:val="24"/>
        </w:rPr>
        <w:footnoteReference w:id="6"/>
      </w:r>
      <w:r w:rsidR="00860DA6" w:rsidRPr="0069166A">
        <w:rPr>
          <w:rFonts w:ascii="Arial" w:hAnsi="Arial" w:cs="Arial"/>
          <w:sz w:val="24"/>
          <w:szCs w:val="24"/>
        </w:rPr>
        <w:t xml:space="preserve"> Th</w:t>
      </w:r>
      <w:r w:rsidR="00E65F41" w:rsidRPr="0069166A">
        <w:rPr>
          <w:rFonts w:ascii="Arial" w:hAnsi="Arial" w:cs="Arial"/>
          <w:sz w:val="24"/>
          <w:szCs w:val="24"/>
        </w:rPr>
        <w:t xml:space="preserve">e provisions of section </w:t>
      </w:r>
      <w:r w:rsidR="0066113B" w:rsidRPr="0069166A">
        <w:rPr>
          <w:rFonts w:ascii="Arial" w:hAnsi="Arial" w:cs="Arial"/>
          <w:sz w:val="24"/>
          <w:szCs w:val="24"/>
        </w:rPr>
        <w:t xml:space="preserve">4A(2) create exceptions to this, including </w:t>
      </w:r>
      <w:r w:rsidR="00220EB5" w:rsidRPr="0069166A">
        <w:rPr>
          <w:rFonts w:ascii="Arial" w:hAnsi="Arial" w:cs="Arial"/>
          <w:sz w:val="24"/>
          <w:szCs w:val="24"/>
        </w:rPr>
        <w:t xml:space="preserve">authority for a court to declare that </w:t>
      </w:r>
      <w:r w:rsidR="008F78BB" w:rsidRPr="0069166A">
        <w:rPr>
          <w:rFonts w:ascii="Arial" w:hAnsi="Arial" w:cs="Arial"/>
          <w:sz w:val="24"/>
          <w:szCs w:val="24"/>
        </w:rPr>
        <w:t>a person in the position of the second respondent would indeed be competent to benefit</w:t>
      </w:r>
      <w:r w:rsidR="00EB5C7E" w:rsidRPr="0069166A">
        <w:rPr>
          <w:rFonts w:ascii="Arial" w:hAnsi="Arial" w:cs="Arial"/>
          <w:sz w:val="24"/>
          <w:szCs w:val="24"/>
        </w:rPr>
        <w:t xml:space="preserve"> if the court was satisfied that the person </w:t>
      </w:r>
      <w:r w:rsidR="00EB5C7E" w:rsidRPr="0069166A">
        <w:rPr>
          <w:rFonts w:ascii="Arial" w:hAnsi="Arial" w:cs="Arial"/>
          <w:sz w:val="24"/>
          <w:szCs w:val="24"/>
        </w:rPr>
        <w:lastRenderedPageBreak/>
        <w:t>did not defraud or unduly influence</w:t>
      </w:r>
      <w:r w:rsidR="00F33FC4" w:rsidRPr="0069166A">
        <w:rPr>
          <w:rFonts w:ascii="Arial" w:hAnsi="Arial" w:cs="Arial"/>
          <w:sz w:val="24"/>
          <w:szCs w:val="24"/>
        </w:rPr>
        <w:t xml:space="preserve"> the testator in the execution of the will. </w:t>
      </w:r>
      <w:r w:rsidR="005E55F8" w:rsidRPr="0069166A">
        <w:rPr>
          <w:rFonts w:ascii="Arial" w:hAnsi="Arial" w:cs="Arial"/>
          <w:sz w:val="24"/>
          <w:szCs w:val="24"/>
        </w:rPr>
        <w:t xml:space="preserve">Such an issue </w:t>
      </w:r>
      <w:r w:rsidR="00860DA6" w:rsidRPr="0069166A">
        <w:rPr>
          <w:rFonts w:ascii="Arial" w:hAnsi="Arial" w:cs="Arial"/>
          <w:sz w:val="24"/>
          <w:szCs w:val="24"/>
        </w:rPr>
        <w:t xml:space="preserve">was, </w:t>
      </w:r>
      <w:r w:rsidR="005E55F8" w:rsidRPr="0069166A">
        <w:rPr>
          <w:rFonts w:ascii="Arial" w:hAnsi="Arial" w:cs="Arial"/>
          <w:sz w:val="24"/>
          <w:szCs w:val="24"/>
        </w:rPr>
        <w:t>however,</w:t>
      </w:r>
      <w:r w:rsidR="00860DA6" w:rsidRPr="0069166A">
        <w:rPr>
          <w:rFonts w:ascii="Arial" w:hAnsi="Arial" w:cs="Arial"/>
          <w:sz w:val="24"/>
          <w:szCs w:val="24"/>
        </w:rPr>
        <w:t xml:space="preserve"> not before the court</w:t>
      </w:r>
      <w:r w:rsidR="00C4066C" w:rsidRPr="0069166A">
        <w:rPr>
          <w:rFonts w:ascii="Arial" w:hAnsi="Arial" w:cs="Arial"/>
          <w:sz w:val="24"/>
          <w:szCs w:val="24"/>
        </w:rPr>
        <w:t>.</w:t>
      </w:r>
    </w:p>
    <w:p w14:paraId="6FE08260" w14:textId="77777777" w:rsidR="007172DF" w:rsidRPr="007172DF" w:rsidRDefault="007172DF" w:rsidP="007172DF">
      <w:pPr>
        <w:pStyle w:val="ListParagraph"/>
        <w:rPr>
          <w:rFonts w:ascii="Arial" w:hAnsi="Arial" w:cs="Arial"/>
          <w:sz w:val="24"/>
          <w:szCs w:val="24"/>
        </w:rPr>
      </w:pPr>
    </w:p>
    <w:p w14:paraId="43689625" w14:textId="49C63C19" w:rsidR="007172DF" w:rsidRPr="0069166A" w:rsidRDefault="0069166A" w:rsidP="006916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[25]</w:t>
      </w:r>
      <w:r>
        <w:rPr>
          <w:rFonts w:ascii="Arial" w:hAnsi="Arial" w:cs="Arial"/>
          <w:sz w:val="24"/>
          <w:szCs w:val="24"/>
        </w:rPr>
        <w:tab/>
      </w:r>
      <w:r w:rsidR="00633ED9" w:rsidRPr="0069166A">
        <w:rPr>
          <w:rFonts w:ascii="Arial" w:hAnsi="Arial" w:cs="Arial"/>
          <w:sz w:val="24"/>
          <w:szCs w:val="24"/>
        </w:rPr>
        <w:t>O</w:t>
      </w:r>
      <w:r w:rsidR="00FA5719" w:rsidRPr="0069166A">
        <w:rPr>
          <w:rFonts w:ascii="Arial" w:hAnsi="Arial" w:cs="Arial"/>
          <w:sz w:val="24"/>
          <w:szCs w:val="24"/>
        </w:rPr>
        <w:t>vera</w:t>
      </w:r>
      <w:r w:rsidR="00633ED9" w:rsidRPr="0069166A">
        <w:rPr>
          <w:rFonts w:ascii="Arial" w:hAnsi="Arial" w:cs="Arial"/>
          <w:sz w:val="24"/>
          <w:szCs w:val="24"/>
        </w:rPr>
        <w:t>ll, I was not persuaded that the requirements of section 2(3) of the Act had been met</w:t>
      </w:r>
      <w:r w:rsidR="00A45ECC" w:rsidRPr="0069166A">
        <w:rPr>
          <w:rFonts w:ascii="Arial" w:hAnsi="Arial" w:cs="Arial"/>
          <w:sz w:val="24"/>
          <w:szCs w:val="24"/>
        </w:rPr>
        <w:t xml:space="preserve">. </w:t>
      </w:r>
      <w:r w:rsidR="005D0252" w:rsidRPr="0069166A">
        <w:rPr>
          <w:rFonts w:ascii="Arial" w:hAnsi="Arial" w:cs="Arial"/>
          <w:sz w:val="24"/>
          <w:szCs w:val="24"/>
        </w:rPr>
        <w:t>The application was not opposed, t</w:t>
      </w:r>
      <w:r w:rsidR="00A45ECC" w:rsidRPr="0069166A">
        <w:rPr>
          <w:rFonts w:ascii="Arial" w:hAnsi="Arial" w:cs="Arial"/>
          <w:sz w:val="24"/>
          <w:szCs w:val="24"/>
        </w:rPr>
        <w:t xml:space="preserve">here was no need to have </w:t>
      </w:r>
      <w:r w:rsidR="005B3B16" w:rsidRPr="0069166A">
        <w:rPr>
          <w:rFonts w:ascii="Arial" w:hAnsi="Arial" w:cs="Arial"/>
          <w:sz w:val="24"/>
          <w:szCs w:val="24"/>
        </w:rPr>
        <w:t xml:space="preserve">directed the applicants to pay </w:t>
      </w:r>
      <w:r w:rsidR="000C6219" w:rsidRPr="0069166A">
        <w:rPr>
          <w:rFonts w:ascii="Arial" w:hAnsi="Arial" w:cs="Arial"/>
          <w:sz w:val="24"/>
          <w:szCs w:val="24"/>
        </w:rPr>
        <w:t xml:space="preserve">the </w:t>
      </w:r>
      <w:r w:rsidR="00A45ECC" w:rsidRPr="0069166A">
        <w:rPr>
          <w:rFonts w:ascii="Arial" w:hAnsi="Arial" w:cs="Arial"/>
          <w:sz w:val="24"/>
          <w:szCs w:val="24"/>
        </w:rPr>
        <w:t>costs</w:t>
      </w:r>
      <w:r w:rsidR="000C6219" w:rsidRPr="0069166A">
        <w:rPr>
          <w:rFonts w:ascii="Arial" w:hAnsi="Arial" w:cs="Arial"/>
          <w:sz w:val="24"/>
          <w:szCs w:val="24"/>
        </w:rPr>
        <w:t xml:space="preserve"> thereof</w:t>
      </w:r>
      <w:r w:rsidR="00A45ECC" w:rsidRPr="0069166A">
        <w:rPr>
          <w:rFonts w:ascii="Arial" w:hAnsi="Arial" w:cs="Arial"/>
          <w:sz w:val="24"/>
          <w:szCs w:val="24"/>
        </w:rPr>
        <w:t>.</w:t>
      </w:r>
    </w:p>
    <w:p w14:paraId="1E54F291" w14:textId="77777777" w:rsidR="007172DF" w:rsidRPr="007172DF" w:rsidRDefault="007172DF" w:rsidP="007172DF">
      <w:pPr>
        <w:pStyle w:val="ListParagraph"/>
        <w:rPr>
          <w:rFonts w:ascii="Arial" w:hAnsi="Arial" w:cs="Arial"/>
          <w:sz w:val="24"/>
          <w:szCs w:val="24"/>
        </w:rPr>
      </w:pPr>
    </w:p>
    <w:p w14:paraId="43071C0C" w14:textId="025838C9" w:rsidR="00AC402F" w:rsidRPr="0069166A" w:rsidRDefault="0069166A" w:rsidP="006916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2DF">
        <w:rPr>
          <w:rFonts w:ascii="Arial" w:hAnsi="Arial" w:cs="Arial"/>
          <w:sz w:val="24"/>
          <w:szCs w:val="24"/>
        </w:rPr>
        <w:t>[26]</w:t>
      </w:r>
      <w:r w:rsidRPr="007172DF">
        <w:rPr>
          <w:rFonts w:ascii="Arial" w:hAnsi="Arial" w:cs="Arial"/>
          <w:sz w:val="24"/>
          <w:szCs w:val="24"/>
        </w:rPr>
        <w:tab/>
      </w:r>
      <w:r w:rsidR="003A092D" w:rsidRPr="0069166A">
        <w:rPr>
          <w:rFonts w:ascii="Arial" w:hAnsi="Arial" w:cs="Arial"/>
          <w:sz w:val="24"/>
          <w:szCs w:val="24"/>
        </w:rPr>
        <w:t>T</w:t>
      </w:r>
      <w:r w:rsidR="007257D2" w:rsidRPr="0069166A">
        <w:rPr>
          <w:rFonts w:ascii="Arial" w:hAnsi="Arial" w:cs="Arial"/>
          <w:sz w:val="24"/>
          <w:szCs w:val="24"/>
        </w:rPr>
        <w:t>he application</w:t>
      </w:r>
      <w:r w:rsidR="00684BA3" w:rsidRPr="0069166A">
        <w:rPr>
          <w:rFonts w:ascii="Arial" w:hAnsi="Arial" w:cs="Arial"/>
          <w:sz w:val="24"/>
          <w:szCs w:val="24"/>
        </w:rPr>
        <w:t xml:space="preserve"> </w:t>
      </w:r>
      <w:r w:rsidR="003A092D" w:rsidRPr="0069166A">
        <w:rPr>
          <w:rFonts w:ascii="Arial" w:hAnsi="Arial" w:cs="Arial"/>
          <w:sz w:val="24"/>
          <w:szCs w:val="24"/>
        </w:rPr>
        <w:t>was dismissed.</w:t>
      </w:r>
    </w:p>
    <w:p w14:paraId="064F8DD3" w14:textId="77777777" w:rsidR="003A092D" w:rsidRDefault="003A092D" w:rsidP="002740B1">
      <w:pPr>
        <w:spacing w:line="360" w:lineRule="auto"/>
        <w:rPr>
          <w:rFonts w:ascii="Arial" w:hAnsi="Arial" w:cs="Arial"/>
          <w:sz w:val="24"/>
          <w:szCs w:val="24"/>
        </w:rPr>
      </w:pPr>
    </w:p>
    <w:p w14:paraId="46EC9AA9" w14:textId="3BEC11E6" w:rsidR="003A092D" w:rsidRDefault="003A092D" w:rsidP="004139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14:paraId="718B8914" w14:textId="1E2107DB" w:rsidR="003A092D" w:rsidRPr="007D204E" w:rsidRDefault="003A092D" w:rsidP="004139C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D204E">
        <w:rPr>
          <w:rFonts w:ascii="Arial" w:hAnsi="Arial" w:cs="Arial"/>
          <w:b/>
          <w:bCs/>
          <w:sz w:val="24"/>
          <w:szCs w:val="24"/>
        </w:rPr>
        <w:t>JGA LAING</w:t>
      </w:r>
    </w:p>
    <w:p w14:paraId="044E82D1" w14:textId="13D99A41" w:rsidR="003A092D" w:rsidRPr="007D204E" w:rsidRDefault="003A092D" w:rsidP="004139C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D204E">
        <w:rPr>
          <w:rFonts w:ascii="Arial" w:hAnsi="Arial" w:cs="Arial"/>
          <w:b/>
          <w:bCs/>
          <w:sz w:val="24"/>
          <w:szCs w:val="24"/>
        </w:rPr>
        <w:t>JUDGE OF THE HIGH COURT</w:t>
      </w:r>
    </w:p>
    <w:p w14:paraId="5FC79D01" w14:textId="77777777" w:rsidR="00887C20" w:rsidRDefault="00887C20" w:rsidP="002740B1">
      <w:pPr>
        <w:spacing w:line="360" w:lineRule="auto"/>
        <w:rPr>
          <w:rFonts w:ascii="Arial" w:hAnsi="Arial" w:cs="Arial"/>
          <w:sz w:val="24"/>
          <w:szCs w:val="24"/>
        </w:rPr>
      </w:pPr>
    </w:p>
    <w:p w14:paraId="2B337E6F" w14:textId="07DF175E" w:rsidR="003A092D" w:rsidRDefault="00887C20" w:rsidP="002740B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agree.</w:t>
      </w:r>
    </w:p>
    <w:p w14:paraId="79865809" w14:textId="77777777" w:rsidR="00887C20" w:rsidRDefault="00887C20" w:rsidP="002740B1">
      <w:pPr>
        <w:spacing w:line="360" w:lineRule="auto"/>
        <w:rPr>
          <w:rFonts w:ascii="Arial" w:hAnsi="Arial" w:cs="Arial"/>
          <w:sz w:val="24"/>
          <w:szCs w:val="24"/>
        </w:rPr>
      </w:pPr>
    </w:p>
    <w:p w14:paraId="4F5DBEF7" w14:textId="7589D406" w:rsidR="00887C20" w:rsidRDefault="00887C20" w:rsidP="004139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14:paraId="376BF350" w14:textId="36FC1758" w:rsidR="00887C20" w:rsidRPr="007D204E" w:rsidRDefault="00E36341" w:rsidP="004139C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D204E">
        <w:rPr>
          <w:rFonts w:ascii="Arial" w:hAnsi="Arial" w:cs="Arial"/>
          <w:b/>
          <w:bCs/>
          <w:sz w:val="24"/>
          <w:szCs w:val="24"/>
        </w:rPr>
        <w:t>L RUSI</w:t>
      </w:r>
    </w:p>
    <w:p w14:paraId="356D7166" w14:textId="2A9B185D" w:rsidR="00C4066C" w:rsidRDefault="00E36341" w:rsidP="004139C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D204E">
        <w:rPr>
          <w:rFonts w:ascii="Arial" w:hAnsi="Arial" w:cs="Arial"/>
          <w:b/>
          <w:bCs/>
          <w:sz w:val="24"/>
          <w:szCs w:val="24"/>
        </w:rPr>
        <w:t>JUDGE OF THE HIGH COURT</w:t>
      </w:r>
    </w:p>
    <w:p w14:paraId="1B027018" w14:textId="687F2032" w:rsidR="00676966" w:rsidRDefault="00676966" w:rsidP="004139C2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0031FCA" w14:textId="42E76B5D" w:rsidR="008804EF" w:rsidRDefault="008804EF" w:rsidP="004139C2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30EA6AD" w14:textId="77777777" w:rsidR="008804EF" w:rsidRPr="00676966" w:rsidRDefault="008804EF" w:rsidP="004139C2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E82A915" w14:textId="04459D1A" w:rsidR="00676966" w:rsidRDefault="00676966" w:rsidP="004139C2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76966">
        <w:rPr>
          <w:rFonts w:ascii="Arial" w:hAnsi="Arial" w:cs="Arial"/>
          <w:bCs/>
          <w:sz w:val="24"/>
          <w:szCs w:val="24"/>
        </w:rPr>
        <w:t>APPEARANCE</w:t>
      </w:r>
    </w:p>
    <w:p w14:paraId="7DA8A357" w14:textId="15413E42" w:rsidR="00676966" w:rsidRDefault="00676966" w:rsidP="004139C2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For the applicants:</w:t>
      </w:r>
      <w:r w:rsidR="00FD3FB1">
        <w:rPr>
          <w:rFonts w:ascii="Arial" w:hAnsi="Arial" w:cs="Arial"/>
          <w:bCs/>
          <w:sz w:val="24"/>
          <w:szCs w:val="24"/>
        </w:rPr>
        <w:tab/>
      </w:r>
      <w:r w:rsidR="00FD3FB1">
        <w:rPr>
          <w:rFonts w:ascii="Arial" w:hAnsi="Arial" w:cs="Arial"/>
          <w:bCs/>
          <w:sz w:val="24"/>
          <w:szCs w:val="24"/>
        </w:rPr>
        <w:tab/>
      </w:r>
      <w:r w:rsidR="00726F4C">
        <w:rPr>
          <w:rFonts w:ascii="Arial" w:hAnsi="Arial" w:cs="Arial"/>
          <w:bCs/>
          <w:sz w:val="24"/>
          <w:szCs w:val="24"/>
        </w:rPr>
        <w:tab/>
      </w:r>
      <w:r w:rsidR="00FD3FB1">
        <w:rPr>
          <w:rFonts w:ascii="Arial" w:hAnsi="Arial" w:cs="Arial"/>
          <w:bCs/>
          <w:sz w:val="24"/>
          <w:szCs w:val="24"/>
        </w:rPr>
        <w:t xml:space="preserve">Adv </w:t>
      </w:r>
      <w:proofErr w:type="spellStart"/>
      <w:r w:rsidR="00FD3FB1">
        <w:rPr>
          <w:rFonts w:ascii="Arial" w:hAnsi="Arial" w:cs="Arial"/>
          <w:bCs/>
          <w:sz w:val="24"/>
          <w:szCs w:val="24"/>
        </w:rPr>
        <w:t>Nabela</w:t>
      </w:r>
      <w:proofErr w:type="spellEnd"/>
      <w:r w:rsidR="00FD3FB1">
        <w:rPr>
          <w:rFonts w:ascii="Arial" w:hAnsi="Arial" w:cs="Arial"/>
          <w:bCs/>
          <w:sz w:val="24"/>
          <w:szCs w:val="24"/>
        </w:rPr>
        <w:t xml:space="preserve">, instructed by Polo Attorneys, Mthatha. </w:t>
      </w:r>
    </w:p>
    <w:p w14:paraId="47FD337F" w14:textId="57AD57F7" w:rsidR="00676966" w:rsidRDefault="00676966" w:rsidP="004139C2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0148DDA" w14:textId="48E115A9" w:rsidR="00676966" w:rsidRDefault="00676966" w:rsidP="004139C2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For the respondents: </w:t>
      </w:r>
      <w:r w:rsidR="00FD3FB1">
        <w:rPr>
          <w:rFonts w:ascii="Arial" w:hAnsi="Arial" w:cs="Arial"/>
          <w:bCs/>
          <w:sz w:val="24"/>
          <w:szCs w:val="24"/>
        </w:rPr>
        <w:tab/>
      </w:r>
      <w:r w:rsidR="00726F4C">
        <w:rPr>
          <w:rFonts w:ascii="Arial" w:hAnsi="Arial" w:cs="Arial"/>
          <w:bCs/>
          <w:sz w:val="24"/>
          <w:szCs w:val="24"/>
        </w:rPr>
        <w:tab/>
      </w:r>
      <w:r w:rsidR="00FD3FB1">
        <w:rPr>
          <w:rFonts w:ascii="Arial" w:hAnsi="Arial" w:cs="Arial"/>
          <w:bCs/>
          <w:sz w:val="24"/>
          <w:szCs w:val="24"/>
        </w:rPr>
        <w:t>No appearance.</w:t>
      </w:r>
    </w:p>
    <w:p w14:paraId="1D7017D9" w14:textId="704FA0F1" w:rsidR="00676966" w:rsidRDefault="00676966" w:rsidP="004139C2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9DE37D6" w14:textId="433BDE24" w:rsidR="00676966" w:rsidRDefault="00676966" w:rsidP="004139C2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Date of </w:t>
      </w:r>
      <w:r w:rsidR="00726F4C">
        <w:rPr>
          <w:rFonts w:ascii="Arial" w:hAnsi="Arial" w:cs="Arial"/>
          <w:bCs/>
          <w:sz w:val="24"/>
          <w:szCs w:val="24"/>
        </w:rPr>
        <w:t>request for reasons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726F4C">
        <w:rPr>
          <w:rFonts w:ascii="Arial" w:hAnsi="Arial" w:cs="Arial"/>
          <w:bCs/>
          <w:sz w:val="24"/>
          <w:szCs w:val="24"/>
        </w:rPr>
        <w:tab/>
      </w:r>
      <w:r w:rsidR="00B704B3">
        <w:rPr>
          <w:rFonts w:ascii="Arial" w:hAnsi="Arial" w:cs="Arial"/>
          <w:bCs/>
          <w:sz w:val="24"/>
          <w:szCs w:val="24"/>
        </w:rPr>
        <w:tab/>
      </w:r>
      <w:r w:rsidR="00B704B3">
        <w:rPr>
          <w:rFonts w:ascii="Arial" w:hAnsi="Arial" w:cs="Arial"/>
          <w:bCs/>
          <w:sz w:val="24"/>
          <w:szCs w:val="24"/>
        </w:rPr>
        <w:tab/>
      </w:r>
      <w:r w:rsidR="00FD3FB1">
        <w:rPr>
          <w:rFonts w:ascii="Arial" w:hAnsi="Arial" w:cs="Arial"/>
          <w:bCs/>
          <w:sz w:val="24"/>
          <w:szCs w:val="24"/>
        </w:rPr>
        <w:t>15 February 2023.</w:t>
      </w:r>
    </w:p>
    <w:p w14:paraId="54556F9C" w14:textId="54276865" w:rsidR="00676966" w:rsidRPr="00676966" w:rsidRDefault="00676966" w:rsidP="004139C2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Date of delivery of </w:t>
      </w:r>
      <w:r w:rsidR="00B704B3">
        <w:rPr>
          <w:rFonts w:ascii="Arial" w:hAnsi="Arial" w:cs="Arial"/>
          <w:bCs/>
          <w:sz w:val="24"/>
          <w:szCs w:val="24"/>
        </w:rPr>
        <w:t xml:space="preserve">reasons for </w:t>
      </w:r>
      <w:r>
        <w:rPr>
          <w:rFonts w:ascii="Arial" w:hAnsi="Arial" w:cs="Arial"/>
          <w:bCs/>
          <w:sz w:val="24"/>
          <w:szCs w:val="24"/>
        </w:rPr>
        <w:t xml:space="preserve">judgment: </w:t>
      </w:r>
      <w:r w:rsidR="00FD3FB1">
        <w:rPr>
          <w:rFonts w:ascii="Arial" w:hAnsi="Arial" w:cs="Arial"/>
          <w:bCs/>
          <w:sz w:val="24"/>
          <w:szCs w:val="24"/>
        </w:rPr>
        <w:tab/>
      </w:r>
      <w:r w:rsidR="00726F4C">
        <w:rPr>
          <w:rFonts w:ascii="Arial" w:hAnsi="Arial" w:cs="Arial"/>
          <w:bCs/>
          <w:sz w:val="24"/>
          <w:szCs w:val="24"/>
        </w:rPr>
        <w:t>10 May 2023.</w:t>
      </w:r>
    </w:p>
    <w:sectPr w:rsidR="00676966" w:rsidRPr="00676966" w:rsidSect="00726F4C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3746" w14:textId="77777777" w:rsidR="00081A8B" w:rsidRDefault="00081A8B" w:rsidP="00F45FD5">
      <w:pPr>
        <w:spacing w:after="0" w:line="240" w:lineRule="auto"/>
      </w:pPr>
      <w:r>
        <w:separator/>
      </w:r>
    </w:p>
  </w:endnote>
  <w:endnote w:type="continuationSeparator" w:id="0">
    <w:p w14:paraId="1940FF45" w14:textId="77777777" w:rsidR="00081A8B" w:rsidRDefault="00081A8B" w:rsidP="00F4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CC6D" w14:textId="77777777" w:rsidR="00081A8B" w:rsidRDefault="00081A8B" w:rsidP="00F45FD5">
      <w:pPr>
        <w:spacing w:after="0" w:line="240" w:lineRule="auto"/>
      </w:pPr>
      <w:r>
        <w:separator/>
      </w:r>
    </w:p>
  </w:footnote>
  <w:footnote w:type="continuationSeparator" w:id="0">
    <w:p w14:paraId="58959928" w14:textId="77777777" w:rsidR="00081A8B" w:rsidRDefault="00081A8B" w:rsidP="00F45FD5">
      <w:pPr>
        <w:spacing w:after="0" w:line="240" w:lineRule="auto"/>
      </w:pPr>
      <w:r>
        <w:continuationSeparator/>
      </w:r>
    </w:p>
  </w:footnote>
  <w:footnote w:id="1">
    <w:p w14:paraId="25DAE969" w14:textId="03AF0C73" w:rsidR="00F45FD5" w:rsidRPr="00F45FD5" w:rsidRDefault="00F45FD5" w:rsidP="00C3629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AE5839">
        <w:rPr>
          <w:lang w:val="en-US"/>
        </w:rPr>
        <w:t>HJ Erasmus (</w:t>
      </w:r>
      <w:r w:rsidR="00AE5839" w:rsidRPr="000B61EE">
        <w:rPr>
          <w:i/>
          <w:iCs/>
          <w:lang w:val="en-US"/>
        </w:rPr>
        <w:t>et al</w:t>
      </w:r>
      <w:r w:rsidR="00AE5839">
        <w:rPr>
          <w:lang w:val="en-US"/>
        </w:rPr>
        <w:t>), ‘Wills and Succession</w:t>
      </w:r>
      <w:r w:rsidR="006D11D3">
        <w:rPr>
          <w:lang w:val="en-US"/>
        </w:rPr>
        <w:t xml:space="preserve">, Administration of Deceased Estates’, in </w:t>
      </w:r>
      <w:r w:rsidR="006D11D3" w:rsidRPr="00FC2B7D">
        <w:rPr>
          <w:i/>
          <w:iCs/>
          <w:lang w:val="en-US"/>
        </w:rPr>
        <w:t>LAWSA</w:t>
      </w:r>
      <w:r w:rsidR="006D11D3">
        <w:rPr>
          <w:lang w:val="en-US"/>
        </w:rPr>
        <w:t xml:space="preserve"> (vol 31, 2ed, </w:t>
      </w:r>
      <w:r w:rsidR="00ED44F1">
        <w:rPr>
          <w:lang w:val="en-US"/>
        </w:rPr>
        <w:t>2011), at paragraph 265.</w:t>
      </w:r>
      <w:r w:rsidR="001843C2">
        <w:rPr>
          <w:lang w:val="en-US"/>
        </w:rPr>
        <w:t xml:space="preserve"> See</w:t>
      </w:r>
      <w:r w:rsidR="00F56C5D">
        <w:rPr>
          <w:lang w:val="en-US"/>
        </w:rPr>
        <w:t xml:space="preserve">, for example, </w:t>
      </w:r>
      <w:r w:rsidR="00F56C5D" w:rsidRPr="00F56C5D">
        <w:rPr>
          <w:i/>
          <w:iCs/>
          <w:lang w:val="en-US"/>
        </w:rPr>
        <w:t>Kidwell v The Master</w:t>
      </w:r>
      <w:r w:rsidR="00F56C5D">
        <w:rPr>
          <w:lang w:val="en-US"/>
        </w:rPr>
        <w:t xml:space="preserve"> 1983 (1) SA 509 (E).</w:t>
      </w:r>
    </w:p>
  </w:footnote>
  <w:footnote w:id="2">
    <w:p w14:paraId="144DCCB0" w14:textId="1338773D" w:rsidR="00DA1CB4" w:rsidRPr="00DA1CB4" w:rsidRDefault="00DA1CB4" w:rsidP="00C3629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884F44">
        <w:rPr>
          <w:lang w:val="en-US"/>
        </w:rPr>
        <w:t>Ibid.</w:t>
      </w:r>
    </w:p>
  </w:footnote>
  <w:footnote w:id="3">
    <w:p w14:paraId="540D89EE" w14:textId="76FB7889" w:rsidR="00E76B55" w:rsidRPr="00E76B55" w:rsidRDefault="00E76B55" w:rsidP="00C3629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2C3D66">
        <w:t xml:space="preserve">This is evident from a trio of cases decided </w:t>
      </w:r>
      <w:r w:rsidR="00207F68">
        <w:t>shortly after the amendment</w:t>
      </w:r>
      <w:r w:rsidR="005E40A4">
        <w:t xml:space="preserve"> of</w:t>
      </w:r>
      <w:r w:rsidR="00207F68">
        <w:t xml:space="preserve"> the Act. See </w:t>
      </w:r>
      <w:r w:rsidR="00803404" w:rsidRPr="009801A1">
        <w:rPr>
          <w:i/>
          <w:iCs/>
          <w:lang w:val="en-US"/>
        </w:rPr>
        <w:t>Horn v Horn</w:t>
      </w:r>
      <w:r w:rsidR="00803404">
        <w:rPr>
          <w:lang w:val="en-US"/>
        </w:rPr>
        <w:t xml:space="preserve"> 1995 (1) SA 48 (W); </w:t>
      </w:r>
      <w:r w:rsidR="00803404" w:rsidRPr="009801A1">
        <w:rPr>
          <w:i/>
          <w:iCs/>
          <w:lang w:val="en-US"/>
        </w:rPr>
        <w:t>Logue v The Master</w:t>
      </w:r>
      <w:r w:rsidR="00803404">
        <w:rPr>
          <w:lang w:val="en-US"/>
        </w:rPr>
        <w:t xml:space="preserve"> </w:t>
      </w:r>
      <w:r w:rsidR="00905AA9">
        <w:rPr>
          <w:lang w:val="en-US"/>
        </w:rPr>
        <w:t xml:space="preserve">1995 (1) SA 199 (N); </w:t>
      </w:r>
      <w:r w:rsidR="009801A1">
        <w:rPr>
          <w:lang w:val="en-US"/>
        </w:rPr>
        <w:t xml:space="preserve">and </w:t>
      </w:r>
      <w:r w:rsidR="00905AA9" w:rsidRPr="009801A1">
        <w:rPr>
          <w:i/>
          <w:iCs/>
          <w:lang w:val="en-US"/>
        </w:rPr>
        <w:t>Ex parte Maurice</w:t>
      </w:r>
      <w:r w:rsidR="006971E9">
        <w:rPr>
          <w:lang w:val="en-US"/>
        </w:rPr>
        <w:t xml:space="preserve"> 1995 (2) SA 713 (C).</w:t>
      </w:r>
    </w:p>
  </w:footnote>
  <w:footnote w:id="4">
    <w:p w14:paraId="64CB2414" w14:textId="1BEC603C" w:rsidR="006D5E0B" w:rsidRPr="006D5E0B" w:rsidRDefault="006D5E0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Sic. </w:t>
      </w:r>
    </w:p>
  </w:footnote>
  <w:footnote w:id="5">
    <w:p w14:paraId="580D18C9" w14:textId="27F4039C" w:rsidR="0080068D" w:rsidRPr="0080068D" w:rsidRDefault="0080068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HJ Erasmus (</w:t>
      </w:r>
      <w:r w:rsidRPr="00801640">
        <w:rPr>
          <w:i/>
          <w:iCs/>
          <w:lang w:val="en-US"/>
        </w:rPr>
        <w:t>et al</w:t>
      </w:r>
      <w:r>
        <w:rPr>
          <w:lang w:val="en-US"/>
        </w:rPr>
        <w:t xml:space="preserve">), </w:t>
      </w:r>
      <w:r w:rsidRPr="00801640">
        <w:rPr>
          <w:i/>
          <w:iCs/>
          <w:lang w:val="en-US"/>
        </w:rPr>
        <w:t>op cit</w:t>
      </w:r>
      <w:r>
        <w:rPr>
          <w:lang w:val="en-US"/>
        </w:rPr>
        <w:t xml:space="preserve"> </w:t>
      </w:r>
      <w:r w:rsidR="00801640">
        <w:rPr>
          <w:lang w:val="en-US"/>
        </w:rPr>
        <w:t>(</w:t>
      </w:r>
      <w:r>
        <w:rPr>
          <w:lang w:val="en-US"/>
        </w:rPr>
        <w:t xml:space="preserve">n </w:t>
      </w:r>
      <w:r w:rsidR="00EB648A">
        <w:rPr>
          <w:lang w:val="en-US"/>
        </w:rPr>
        <w:t>1</w:t>
      </w:r>
      <w:r w:rsidR="00801640">
        <w:rPr>
          <w:lang w:val="en-US"/>
        </w:rPr>
        <w:t>)</w:t>
      </w:r>
      <w:r w:rsidR="00CE7A48">
        <w:rPr>
          <w:lang w:val="en-US"/>
        </w:rPr>
        <w:t>.</w:t>
      </w:r>
    </w:p>
  </w:footnote>
  <w:footnote w:id="6">
    <w:p w14:paraId="78B24B13" w14:textId="4891A462" w:rsidR="000D287D" w:rsidRDefault="000D287D" w:rsidP="004139C2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The provisions of section 4A(1) state that</w:t>
      </w:r>
      <w:r w:rsidR="006174A2">
        <w:rPr>
          <w:lang w:val="en-US"/>
        </w:rPr>
        <w:t>:</w:t>
      </w:r>
    </w:p>
    <w:p w14:paraId="66CE2AA0" w14:textId="3FF1AC18" w:rsidR="006174A2" w:rsidRPr="000D287D" w:rsidRDefault="006174A2" w:rsidP="004139C2">
      <w:pPr>
        <w:pStyle w:val="FootnoteText"/>
        <w:ind w:left="720"/>
        <w:jc w:val="both"/>
        <w:rPr>
          <w:lang w:val="en-US"/>
        </w:rPr>
      </w:pPr>
      <w:r>
        <w:rPr>
          <w:lang w:val="en-US"/>
        </w:rPr>
        <w:t>‘…Any person who attests and signs a will as a witness</w:t>
      </w:r>
      <w:r w:rsidR="00594AAB">
        <w:rPr>
          <w:lang w:val="en-US"/>
        </w:rPr>
        <w:t xml:space="preserve">, or who signs a will in the presence and by direction of the testator, </w:t>
      </w:r>
      <w:r w:rsidR="002B1B3A">
        <w:rPr>
          <w:lang w:val="en-US"/>
        </w:rPr>
        <w:t>or who writes out the will or any part thereof in his own handwriting, and the person who is the spouse</w:t>
      </w:r>
      <w:r w:rsidR="006A3369">
        <w:rPr>
          <w:lang w:val="en-US"/>
        </w:rPr>
        <w:t xml:space="preserve"> of such person at the time of the execution of the will, shall be disqualified from receiving</w:t>
      </w:r>
      <w:r w:rsidR="00703BBF">
        <w:rPr>
          <w:lang w:val="en-US"/>
        </w:rPr>
        <w:t xml:space="preserve"> any benefit from that will.’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0262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C9B1DA" w14:textId="0CE47476" w:rsidR="00726F4C" w:rsidRDefault="00726F4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F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1AD228" w14:textId="77777777" w:rsidR="00726F4C" w:rsidRDefault="00726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845"/>
    <w:multiLevelType w:val="hybridMultilevel"/>
    <w:tmpl w:val="632AB5FE"/>
    <w:lvl w:ilvl="0" w:tplc="C6D43DF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1CEB"/>
    <w:multiLevelType w:val="hybridMultilevel"/>
    <w:tmpl w:val="1C5A1B4E"/>
    <w:lvl w:ilvl="0" w:tplc="C7C2E87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F0305EE"/>
    <w:multiLevelType w:val="hybridMultilevel"/>
    <w:tmpl w:val="2F22A494"/>
    <w:lvl w:ilvl="0" w:tplc="B1FCA36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CBB621B"/>
    <w:multiLevelType w:val="hybridMultilevel"/>
    <w:tmpl w:val="F5EAA350"/>
    <w:lvl w:ilvl="0" w:tplc="C6D43DF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411454">
    <w:abstractNumId w:val="1"/>
  </w:num>
  <w:num w:numId="2" w16cid:durableId="481243014">
    <w:abstractNumId w:val="2"/>
  </w:num>
  <w:num w:numId="3" w16cid:durableId="74665090">
    <w:abstractNumId w:val="0"/>
  </w:num>
  <w:num w:numId="4" w16cid:durableId="1155728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BF0"/>
    <w:rsid w:val="00001A9F"/>
    <w:rsid w:val="0003226C"/>
    <w:rsid w:val="00033D3D"/>
    <w:rsid w:val="000375CB"/>
    <w:rsid w:val="00040AFA"/>
    <w:rsid w:val="000443DF"/>
    <w:rsid w:val="000532C6"/>
    <w:rsid w:val="00053613"/>
    <w:rsid w:val="00053FE9"/>
    <w:rsid w:val="0006058E"/>
    <w:rsid w:val="000627F0"/>
    <w:rsid w:val="00081A8B"/>
    <w:rsid w:val="000825E6"/>
    <w:rsid w:val="000850ED"/>
    <w:rsid w:val="000917F9"/>
    <w:rsid w:val="00095AD9"/>
    <w:rsid w:val="000A65D0"/>
    <w:rsid w:val="000A6B1C"/>
    <w:rsid w:val="000B5BC3"/>
    <w:rsid w:val="000B61EE"/>
    <w:rsid w:val="000C2767"/>
    <w:rsid w:val="000C6219"/>
    <w:rsid w:val="000D287D"/>
    <w:rsid w:val="000D2C36"/>
    <w:rsid w:val="000D61E4"/>
    <w:rsid w:val="000E0D94"/>
    <w:rsid w:val="000E3D54"/>
    <w:rsid w:val="000F49FE"/>
    <w:rsid w:val="000F632A"/>
    <w:rsid w:val="00106033"/>
    <w:rsid w:val="00112144"/>
    <w:rsid w:val="00126649"/>
    <w:rsid w:val="00130766"/>
    <w:rsid w:val="00143C40"/>
    <w:rsid w:val="00146B20"/>
    <w:rsid w:val="0015272A"/>
    <w:rsid w:val="0015558F"/>
    <w:rsid w:val="00170040"/>
    <w:rsid w:val="00170E1F"/>
    <w:rsid w:val="001843C2"/>
    <w:rsid w:val="00187557"/>
    <w:rsid w:val="00194EF5"/>
    <w:rsid w:val="001A3862"/>
    <w:rsid w:val="001A6F48"/>
    <w:rsid w:val="001B23DA"/>
    <w:rsid w:val="001D09A1"/>
    <w:rsid w:val="001D1B36"/>
    <w:rsid w:val="001D4FE3"/>
    <w:rsid w:val="001D6E9A"/>
    <w:rsid w:val="001E4648"/>
    <w:rsid w:val="001E5544"/>
    <w:rsid w:val="001E612A"/>
    <w:rsid w:val="00201FF9"/>
    <w:rsid w:val="00204808"/>
    <w:rsid w:val="0020709F"/>
    <w:rsid w:val="00207F68"/>
    <w:rsid w:val="002122E2"/>
    <w:rsid w:val="00220EB5"/>
    <w:rsid w:val="002218FE"/>
    <w:rsid w:val="0023127A"/>
    <w:rsid w:val="002467D8"/>
    <w:rsid w:val="002517A6"/>
    <w:rsid w:val="002542B2"/>
    <w:rsid w:val="00260765"/>
    <w:rsid w:val="0026619F"/>
    <w:rsid w:val="00270B5D"/>
    <w:rsid w:val="00272179"/>
    <w:rsid w:val="002740B1"/>
    <w:rsid w:val="002A3937"/>
    <w:rsid w:val="002A582D"/>
    <w:rsid w:val="002B1B3A"/>
    <w:rsid w:val="002B319E"/>
    <w:rsid w:val="002B5B2D"/>
    <w:rsid w:val="002C0DDB"/>
    <w:rsid w:val="002C3D66"/>
    <w:rsid w:val="002C43B9"/>
    <w:rsid w:val="002D20C7"/>
    <w:rsid w:val="002D663F"/>
    <w:rsid w:val="002D77AB"/>
    <w:rsid w:val="002F20A9"/>
    <w:rsid w:val="002F4259"/>
    <w:rsid w:val="00303A5C"/>
    <w:rsid w:val="003049CF"/>
    <w:rsid w:val="00304C74"/>
    <w:rsid w:val="00311688"/>
    <w:rsid w:val="003134B4"/>
    <w:rsid w:val="00325E19"/>
    <w:rsid w:val="003272E0"/>
    <w:rsid w:val="00335DC9"/>
    <w:rsid w:val="003436FF"/>
    <w:rsid w:val="003456E8"/>
    <w:rsid w:val="00350DE0"/>
    <w:rsid w:val="00360970"/>
    <w:rsid w:val="00362813"/>
    <w:rsid w:val="00364C79"/>
    <w:rsid w:val="00371420"/>
    <w:rsid w:val="00371ACA"/>
    <w:rsid w:val="003A092D"/>
    <w:rsid w:val="003A1AF2"/>
    <w:rsid w:val="003A3F36"/>
    <w:rsid w:val="003C706D"/>
    <w:rsid w:val="003D0482"/>
    <w:rsid w:val="003D070D"/>
    <w:rsid w:val="003D6916"/>
    <w:rsid w:val="003D6D73"/>
    <w:rsid w:val="003E229D"/>
    <w:rsid w:val="003E4488"/>
    <w:rsid w:val="003F3B4A"/>
    <w:rsid w:val="0040070E"/>
    <w:rsid w:val="0040174F"/>
    <w:rsid w:val="00402F7D"/>
    <w:rsid w:val="00403768"/>
    <w:rsid w:val="004139C2"/>
    <w:rsid w:val="0041587F"/>
    <w:rsid w:val="0042226D"/>
    <w:rsid w:val="00431A97"/>
    <w:rsid w:val="004345C0"/>
    <w:rsid w:val="00447CF5"/>
    <w:rsid w:val="00465CCB"/>
    <w:rsid w:val="004726E7"/>
    <w:rsid w:val="00476D02"/>
    <w:rsid w:val="00485C00"/>
    <w:rsid w:val="0049055D"/>
    <w:rsid w:val="004A715B"/>
    <w:rsid w:val="004B7802"/>
    <w:rsid w:val="004C69EC"/>
    <w:rsid w:val="004D0AC8"/>
    <w:rsid w:val="004D3653"/>
    <w:rsid w:val="004E09FE"/>
    <w:rsid w:val="004E1221"/>
    <w:rsid w:val="004F73BD"/>
    <w:rsid w:val="0051123D"/>
    <w:rsid w:val="005130AD"/>
    <w:rsid w:val="00524872"/>
    <w:rsid w:val="00530789"/>
    <w:rsid w:val="00530AC4"/>
    <w:rsid w:val="005370E0"/>
    <w:rsid w:val="00551BDA"/>
    <w:rsid w:val="00563980"/>
    <w:rsid w:val="00567D5A"/>
    <w:rsid w:val="00570F9D"/>
    <w:rsid w:val="00572BF9"/>
    <w:rsid w:val="00587242"/>
    <w:rsid w:val="0058728A"/>
    <w:rsid w:val="0058768B"/>
    <w:rsid w:val="00594AAB"/>
    <w:rsid w:val="0059777F"/>
    <w:rsid w:val="005A02A9"/>
    <w:rsid w:val="005A333F"/>
    <w:rsid w:val="005B3B16"/>
    <w:rsid w:val="005B3BF0"/>
    <w:rsid w:val="005C7684"/>
    <w:rsid w:val="005C7875"/>
    <w:rsid w:val="005D0252"/>
    <w:rsid w:val="005D0992"/>
    <w:rsid w:val="005E40A4"/>
    <w:rsid w:val="005E55F8"/>
    <w:rsid w:val="005E7EB3"/>
    <w:rsid w:val="005F0570"/>
    <w:rsid w:val="005F292A"/>
    <w:rsid w:val="005F7B96"/>
    <w:rsid w:val="00607F74"/>
    <w:rsid w:val="0061166E"/>
    <w:rsid w:val="006174A2"/>
    <w:rsid w:val="0062587B"/>
    <w:rsid w:val="00633ED9"/>
    <w:rsid w:val="00637000"/>
    <w:rsid w:val="00637548"/>
    <w:rsid w:val="00637B60"/>
    <w:rsid w:val="006516CD"/>
    <w:rsid w:val="00652EC3"/>
    <w:rsid w:val="0066113B"/>
    <w:rsid w:val="0067569B"/>
    <w:rsid w:val="00676966"/>
    <w:rsid w:val="00676CC8"/>
    <w:rsid w:val="00684BA3"/>
    <w:rsid w:val="0068574F"/>
    <w:rsid w:val="0069166A"/>
    <w:rsid w:val="00693513"/>
    <w:rsid w:val="006971E9"/>
    <w:rsid w:val="006A0B3B"/>
    <w:rsid w:val="006A3369"/>
    <w:rsid w:val="006A36B4"/>
    <w:rsid w:val="006B01C4"/>
    <w:rsid w:val="006B4483"/>
    <w:rsid w:val="006C073E"/>
    <w:rsid w:val="006C4731"/>
    <w:rsid w:val="006C67FD"/>
    <w:rsid w:val="006D11D3"/>
    <w:rsid w:val="006D5E0B"/>
    <w:rsid w:val="006E1958"/>
    <w:rsid w:val="006E1AC2"/>
    <w:rsid w:val="00703BBF"/>
    <w:rsid w:val="00713865"/>
    <w:rsid w:val="00715200"/>
    <w:rsid w:val="007172DF"/>
    <w:rsid w:val="00720B46"/>
    <w:rsid w:val="007257D2"/>
    <w:rsid w:val="00726F4C"/>
    <w:rsid w:val="00751DCD"/>
    <w:rsid w:val="0077465D"/>
    <w:rsid w:val="00775FB4"/>
    <w:rsid w:val="00780EE4"/>
    <w:rsid w:val="0078495B"/>
    <w:rsid w:val="007A45A0"/>
    <w:rsid w:val="007A4941"/>
    <w:rsid w:val="007B3F28"/>
    <w:rsid w:val="007B456A"/>
    <w:rsid w:val="007C5552"/>
    <w:rsid w:val="007D002F"/>
    <w:rsid w:val="007D1A9E"/>
    <w:rsid w:val="007D204E"/>
    <w:rsid w:val="007D2682"/>
    <w:rsid w:val="007F2D79"/>
    <w:rsid w:val="007F4D8B"/>
    <w:rsid w:val="0080068D"/>
    <w:rsid w:val="00801640"/>
    <w:rsid w:val="00802697"/>
    <w:rsid w:val="00802BCC"/>
    <w:rsid w:val="00803404"/>
    <w:rsid w:val="008040E6"/>
    <w:rsid w:val="008157A0"/>
    <w:rsid w:val="00816CB5"/>
    <w:rsid w:val="00827225"/>
    <w:rsid w:val="00831EAE"/>
    <w:rsid w:val="00840456"/>
    <w:rsid w:val="00846C25"/>
    <w:rsid w:val="00850FFE"/>
    <w:rsid w:val="00855208"/>
    <w:rsid w:val="00860DA6"/>
    <w:rsid w:val="008621B5"/>
    <w:rsid w:val="00867588"/>
    <w:rsid w:val="0087039F"/>
    <w:rsid w:val="00870B98"/>
    <w:rsid w:val="0087393C"/>
    <w:rsid w:val="008804EF"/>
    <w:rsid w:val="00884F44"/>
    <w:rsid w:val="00887C20"/>
    <w:rsid w:val="0089117F"/>
    <w:rsid w:val="008A3872"/>
    <w:rsid w:val="008B0958"/>
    <w:rsid w:val="008B1202"/>
    <w:rsid w:val="008B2B84"/>
    <w:rsid w:val="008C0B1F"/>
    <w:rsid w:val="008C28DD"/>
    <w:rsid w:val="008C5206"/>
    <w:rsid w:val="008C7524"/>
    <w:rsid w:val="008D4676"/>
    <w:rsid w:val="008D7317"/>
    <w:rsid w:val="008D7BBA"/>
    <w:rsid w:val="008E36C6"/>
    <w:rsid w:val="008E3DBC"/>
    <w:rsid w:val="008F0775"/>
    <w:rsid w:val="008F3EAB"/>
    <w:rsid w:val="008F6D5E"/>
    <w:rsid w:val="008F78BB"/>
    <w:rsid w:val="00905AA9"/>
    <w:rsid w:val="00920945"/>
    <w:rsid w:val="0092340E"/>
    <w:rsid w:val="0095428E"/>
    <w:rsid w:val="00954D56"/>
    <w:rsid w:val="009801A1"/>
    <w:rsid w:val="00981F5C"/>
    <w:rsid w:val="00983A27"/>
    <w:rsid w:val="00984776"/>
    <w:rsid w:val="00990575"/>
    <w:rsid w:val="00996E9B"/>
    <w:rsid w:val="009B325A"/>
    <w:rsid w:val="009C4173"/>
    <w:rsid w:val="009C440F"/>
    <w:rsid w:val="009C4573"/>
    <w:rsid w:val="009D58B9"/>
    <w:rsid w:val="009E487F"/>
    <w:rsid w:val="00A16538"/>
    <w:rsid w:val="00A23299"/>
    <w:rsid w:val="00A30451"/>
    <w:rsid w:val="00A31C2B"/>
    <w:rsid w:val="00A4482A"/>
    <w:rsid w:val="00A45ECC"/>
    <w:rsid w:val="00A53015"/>
    <w:rsid w:val="00A53AB0"/>
    <w:rsid w:val="00A778A7"/>
    <w:rsid w:val="00A77A62"/>
    <w:rsid w:val="00A8570E"/>
    <w:rsid w:val="00A86A60"/>
    <w:rsid w:val="00AB031B"/>
    <w:rsid w:val="00AB1721"/>
    <w:rsid w:val="00AB3206"/>
    <w:rsid w:val="00AB3395"/>
    <w:rsid w:val="00AC402F"/>
    <w:rsid w:val="00AD1C28"/>
    <w:rsid w:val="00AD2860"/>
    <w:rsid w:val="00AD42A6"/>
    <w:rsid w:val="00AD4525"/>
    <w:rsid w:val="00AD5792"/>
    <w:rsid w:val="00AD63F9"/>
    <w:rsid w:val="00AE2F51"/>
    <w:rsid w:val="00AE5839"/>
    <w:rsid w:val="00B0009B"/>
    <w:rsid w:val="00B07FC5"/>
    <w:rsid w:val="00B121EC"/>
    <w:rsid w:val="00B14786"/>
    <w:rsid w:val="00B16DDB"/>
    <w:rsid w:val="00B16FF1"/>
    <w:rsid w:val="00B3092A"/>
    <w:rsid w:val="00B35DA2"/>
    <w:rsid w:val="00B42B54"/>
    <w:rsid w:val="00B47FC9"/>
    <w:rsid w:val="00B55807"/>
    <w:rsid w:val="00B66DC4"/>
    <w:rsid w:val="00B704B3"/>
    <w:rsid w:val="00B71A7F"/>
    <w:rsid w:val="00B75ECD"/>
    <w:rsid w:val="00B8023C"/>
    <w:rsid w:val="00B82526"/>
    <w:rsid w:val="00B85DC0"/>
    <w:rsid w:val="00B948D6"/>
    <w:rsid w:val="00B96588"/>
    <w:rsid w:val="00B97834"/>
    <w:rsid w:val="00BC15E6"/>
    <w:rsid w:val="00BD1999"/>
    <w:rsid w:val="00BD4625"/>
    <w:rsid w:val="00BD47EC"/>
    <w:rsid w:val="00BE7476"/>
    <w:rsid w:val="00BF10A1"/>
    <w:rsid w:val="00BF31DB"/>
    <w:rsid w:val="00C029FC"/>
    <w:rsid w:val="00C106E0"/>
    <w:rsid w:val="00C109FC"/>
    <w:rsid w:val="00C14B71"/>
    <w:rsid w:val="00C15DE3"/>
    <w:rsid w:val="00C1753F"/>
    <w:rsid w:val="00C21CEF"/>
    <w:rsid w:val="00C21F90"/>
    <w:rsid w:val="00C2222D"/>
    <w:rsid w:val="00C253C1"/>
    <w:rsid w:val="00C2761B"/>
    <w:rsid w:val="00C3429A"/>
    <w:rsid w:val="00C36298"/>
    <w:rsid w:val="00C36AEF"/>
    <w:rsid w:val="00C40369"/>
    <w:rsid w:val="00C4066C"/>
    <w:rsid w:val="00C4101E"/>
    <w:rsid w:val="00C4431F"/>
    <w:rsid w:val="00C46D45"/>
    <w:rsid w:val="00C5248E"/>
    <w:rsid w:val="00C56233"/>
    <w:rsid w:val="00C6058D"/>
    <w:rsid w:val="00C752A9"/>
    <w:rsid w:val="00C76749"/>
    <w:rsid w:val="00C855D3"/>
    <w:rsid w:val="00C90992"/>
    <w:rsid w:val="00C91E72"/>
    <w:rsid w:val="00C94DD1"/>
    <w:rsid w:val="00CB7E31"/>
    <w:rsid w:val="00CD4DBA"/>
    <w:rsid w:val="00CD71C2"/>
    <w:rsid w:val="00CE1793"/>
    <w:rsid w:val="00CE7A48"/>
    <w:rsid w:val="00D02521"/>
    <w:rsid w:val="00D20E81"/>
    <w:rsid w:val="00D23F67"/>
    <w:rsid w:val="00D332F9"/>
    <w:rsid w:val="00D36966"/>
    <w:rsid w:val="00D41BC1"/>
    <w:rsid w:val="00D4669F"/>
    <w:rsid w:val="00D54217"/>
    <w:rsid w:val="00D5465C"/>
    <w:rsid w:val="00D600C0"/>
    <w:rsid w:val="00D65C3D"/>
    <w:rsid w:val="00D66F52"/>
    <w:rsid w:val="00D7133A"/>
    <w:rsid w:val="00D86364"/>
    <w:rsid w:val="00D90FA9"/>
    <w:rsid w:val="00D92E96"/>
    <w:rsid w:val="00D9385B"/>
    <w:rsid w:val="00DA0B56"/>
    <w:rsid w:val="00DA0CA2"/>
    <w:rsid w:val="00DA1CB4"/>
    <w:rsid w:val="00DA5998"/>
    <w:rsid w:val="00DB6CA5"/>
    <w:rsid w:val="00DC32E0"/>
    <w:rsid w:val="00DD3411"/>
    <w:rsid w:val="00DF188B"/>
    <w:rsid w:val="00DF1DF4"/>
    <w:rsid w:val="00DF4CBC"/>
    <w:rsid w:val="00E207DF"/>
    <w:rsid w:val="00E22870"/>
    <w:rsid w:val="00E23A46"/>
    <w:rsid w:val="00E30333"/>
    <w:rsid w:val="00E36341"/>
    <w:rsid w:val="00E44C4B"/>
    <w:rsid w:val="00E45B7E"/>
    <w:rsid w:val="00E61631"/>
    <w:rsid w:val="00E65F41"/>
    <w:rsid w:val="00E66256"/>
    <w:rsid w:val="00E73691"/>
    <w:rsid w:val="00E760CA"/>
    <w:rsid w:val="00E76B55"/>
    <w:rsid w:val="00E83770"/>
    <w:rsid w:val="00E83C65"/>
    <w:rsid w:val="00E84467"/>
    <w:rsid w:val="00E8501C"/>
    <w:rsid w:val="00E91439"/>
    <w:rsid w:val="00E936B5"/>
    <w:rsid w:val="00E95541"/>
    <w:rsid w:val="00E96054"/>
    <w:rsid w:val="00EA1E3B"/>
    <w:rsid w:val="00EA3DC1"/>
    <w:rsid w:val="00EA6984"/>
    <w:rsid w:val="00EB2906"/>
    <w:rsid w:val="00EB2957"/>
    <w:rsid w:val="00EB4760"/>
    <w:rsid w:val="00EB5C7E"/>
    <w:rsid w:val="00EB648A"/>
    <w:rsid w:val="00EC27D3"/>
    <w:rsid w:val="00ED44F1"/>
    <w:rsid w:val="00EE4813"/>
    <w:rsid w:val="00EE4A99"/>
    <w:rsid w:val="00EE5D25"/>
    <w:rsid w:val="00EF14EA"/>
    <w:rsid w:val="00EF7526"/>
    <w:rsid w:val="00F00CA5"/>
    <w:rsid w:val="00F31E7E"/>
    <w:rsid w:val="00F33FC4"/>
    <w:rsid w:val="00F34B4F"/>
    <w:rsid w:val="00F45FD5"/>
    <w:rsid w:val="00F47D56"/>
    <w:rsid w:val="00F5233D"/>
    <w:rsid w:val="00F53AF6"/>
    <w:rsid w:val="00F53E5A"/>
    <w:rsid w:val="00F55D80"/>
    <w:rsid w:val="00F56C5D"/>
    <w:rsid w:val="00F6313B"/>
    <w:rsid w:val="00F70F76"/>
    <w:rsid w:val="00F71EAB"/>
    <w:rsid w:val="00F737A4"/>
    <w:rsid w:val="00F81585"/>
    <w:rsid w:val="00F8575E"/>
    <w:rsid w:val="00F866DB"/>
    <w:rsid w:val="00FA087D"/>
    <w:rsid w:val="00FA2BB2"/>
    <w:rsid w:val="00FA5719"/>
    <w:rsid w:val="00FA7077"/>
    <w:rsid w:val="00FB21C7"/>
    <w:rsid w:val="00FC055C"/>
    <w:rsid w:val="00FC0B37"/>
    <w:rsid w:val="00FC2B7D"/>
    <w:rsid w:val="00FC6BE7"/>
    <w:rsid w:val="00FD3FB1"/>
    <w:rsid w:val="00FD45EA"/>
    <w:rsid w:val="00FD6DD6"/>
    <w:rsid w:val="00FD709F"/>
    <w:rsid w:val="00FE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359EB5"/>
  <w15:chartTrackingRefBased/>
  <w15:docId w15:val="{BE29A04D-2E37-405F-AEE9-84043782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D0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45F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5FD5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F45FD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77AB"/>
    <w:pPr>
      <w:tabs>
        <w:tab w:val="center" w:pos="4513"/>
        <w:tab w:val="right" w:pos="9026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2D77AB"/>
    <w:rPr>
      <w:kern w:val="0"/>
      <w:lang w:val="en-Z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26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F4C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1982</Words>
  <Characters>10766</Characters>
  <Application>Microsoft Office Word</Application>
  <DocSecurity>0</DocSecurity>
  <Lines>598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 Justin Laing</dc:creator>
  <cp:keywords/>
  <dc:description/>
  <cp:lastModifiedBy>Mariana Anguelov</cp:lastModifiedBy>
  <cp:revision>3</cp:revision>
  <cp:lastPrinted>2023-05-10T07:48:00Z</cp:lastPrinted>
  <dcterms:created xsi:type="dcterms:W3CDTF">2023-05-16T08:23:00Z</dcterms:created>
  <dcterms:modified xsi:type="dcterms:W3CDTF">2023-05-21T13:01:00Z</dcterms:modified>
</cp:coreProperties>
</file>