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46367" w14:textId="77777777" w:rsidR="00D450B5" w:rsidRPr="00044B50" w:rsidRDefault="00D450B5" w:rsidP="00772E4B">
      <w:pPr>
        <w:jc w:val="center"/>
        <w:rPr>
          <w:lang w:val="en-GB"/>
        </w:rPr>
      </w:pPr>
      <w:r w:rsidRPr="00044B50">
        <w:rPr>
          <w:noProof/>
          <w:lang w:val="en-US"/>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52F3980B" w:rsidR="00D450B5" w:rsidRPr="00044B50" w:rsidRDefault="00877EE4"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sidR="000808CC">
        <w:rPr>
          <w:b/>
          <w:bCs/>
          <w:lang w:val="en-GB"/>
        </w:rPr>
        <w:t>MAKHANDA</w:t>
      </w:r>
      <w:r>
        <w:rPr>
          <w:b/>
          <w:bCs/>
          <w:lang w:val="en-GB"/>
        </w:rPr>
        <w:t>)</w:t>
      </w:r>
    </w:p>
    <w:p w14:paraId="260381A7" w14:textId="77777777" w:rsidR="00D450B5" w:rsidRPr="00044B50" w:rsidRDefault="00D450B5" w:rsidP="00772E4B">
      <w:pPr>
        <w:widowControl w:val="0"/>
        <w:jc w:val="both"/>
        <w:rPr>
          <w:spacing w:val="14"/>
          <w:kern w:val="2"/>
          <w:u w:val="single"/>
          <w:lang w:val="en-GB"/>
        </w:rPr>
      </w:pPr>
    </w:p>
    <w:p w14:paraId="434E4AD9" w14:textId="77777777" w:rsidR="00D450B5" w:rsidRPr="00044B50" w:rsidRDefault="00D450B5" w:rsidP="00772E4B">
      <w:pPr>
        <w:ind w:right="-52"/>
        <w:jc w:val="center"/>
        <w:rPr>
          <w:b/>
          <w:bCs/>
          <w:lang w:val="en-GB"/>
        </w:rPr>
      </w:pPr>
      <w:r w:rsidRPr="00044B50">
        <w:rPr>
          <w:lang w:val="en-GB"/>
        </w:rPr>
        <w:t xml:space="preserve">                                                                                           </w:t>
      </w:r>
      <w:r w:rsidRPr="00044B50">
        <w:rPr>
          <w:b/>
          <w:bCs/>
          <w:lang w:val="en-GB"/>
        </w:rPr>
        <w:t xml:space="preserve">NOT REPORTABLE                                     </w:t>
      </w:r>
    </w:p>
    <w:p w14:paraId="101AD6EF" w14:textId="77777777" w:rsidR="008A75F3" w:rsidRDefault="00E44987" w:rsidP="008A75F3">
      <w:pPr>
        <w:jc w:val="center"/>
        <w:rPr>
          <w:lang w:val="en-GB"/>
        </w:rPr>
      </w:pPr>
      <w:r w:rsidRPr="00044B50">
        <w:rPr>
          <w:lang w:val="en-GB"/>
        </w:rPr>
        <w:t xml:space="preserve">                                                                                                  </w:t>
      </w:r>
    </w:p>
    <w:p w14:paraId="4934DB4B" w14:textId="3D51CDC8" w:rsidR="00E44987" w:rsidRPr="00044B50" w:rsidRDefault="00E44987" w:rsidP="008A75F3">
      <w:pPr>
        <w:ind w:left="5760" w:firstLine="720"/>
        <w:rPr>
          <w:lang w:val="en-GB"/>
        </w:rPr>
      </w:pPr>
      <w:r w:rsidRPr="00044B50">
        <w:rPr>
          <w:lang w:val="en-GB"/>
        </w:rPr>
        <w:t xml:space="preserve">Case no: </w:t>
      </w:r>
      <w:r w:rsidR="00580B92">
        <w:rPr>
          <w:lang w:val="en-GB"/>
        </w:rPr>
        <w:t>3277/2018</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1E1DB02E" w:rsidR="00D450B5" w:rsidRPr="00580B92" w:rsidRDefault="00580B92" w:rsidP="00A1103C">
      <w:pPr>
        <w:tabs>
          <w:tab w:val="left" w:pos="8010"/>
          <w:tab w:val="left" w:pos="8190"/>
          <w:tab w:val="right" w:pos="8820"/>
        </w:tabs>
        <w:suppressAutoHyphens/>
        <w:ind w:right="-160"/>
        <w:jc w:val="both"/>
        <w:rPr>
          <w:b/>
          <w:lang w:val="en-GB"/>
        </w:rPr>
      </w:pPr>
      <w:r w:rsidRPr="00580B92">
        <w:rPr>
          <w:b/>
          <w:lang w:val="en-GB"/>
        </w:rPr>
        <w:t>ZUKISWA KONA</w:t>
      </w:r>
      <w:r w:rsidR="00CD2E30" w:rsidRPr="00580B92">
        <w:rPr>
          <w:b/>
          <w:lang w:val="en-GB"/>
        </w:rPr>
        <w:t xml:space="preserve"> </w:t>
      </w:r>
      <w:r>
        <w:rPr>
          <w:b/>
          <w:lang w:val="en-GB"/>
        </w:rPr>
        <w:tab/>
        <w:t>Applicant</w:t>
      </w:r>
    </w:p>
    <w:p w14:paraId="50A760EA" w14:textId="77777777" w:rsidR="00F565D0" w:rsidRPr="00580B92" w:rsidRDefault="00F565D0" w:rsidP="00772E4B">
      <w:pPr>
        <w:tabs>
          <w:tab w:val="right" w:pos="9072"/>
        </w:tabs>
        <w:suppressAutoHyphens/>
        <w:jc w:val="both"/>
        <w:rPr>
          <w:b/>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1D4463DF" w14:textId="3675DE83" w:rsidR="00580B92" w:rsidRDefault="00580B92" w:rsidP="00A1103C">
      <w:pPr>
        <w:tabs>
          <w:tab w:val="left" w:pos="7200"/>
          <w:tab w:val="left" w:pos="7560"/>
        </w:tabs>
        <w:ind w:right="-160"/>
        <w:jc w:val="both"/>
        <w:rPr>
          <w:b/>
          <w:lang w:val="en-GB"/>
        </w:rPr>
      </w:pPr>
      <w:r w:rsidRPr="00580B92">
        <w:rPr>
          <w:b/>
          <w:lang w:val="en-GB"/>
        </w:rPr>
        <w:t>THE PREMIER, EASTERN CAPE</w:t>
      </w:r>
      <w:r>
        <w:rPr>
          <w:b/>
          <w:lang w:val="en-GB"/>
        </w:rPr>
        <w:t xml:space="preserve"> </w:t>
      </w:r>
      <w:r>
        <w:rPr>
          <w:b/>
          <w:lang w:val="en-GB"/>
        </w:rPr>
        <w:tab/>
        <w:t>First Respondent</w:t>
      </w:r>
    </w:p>
    <w:p w14:paraId="62E624F3" w14:textId="77777777" w:rsidR="00580B92" w:rsidRDefault="00580B92" w:rsidP="00580B92">
      <w:pPr>
        <w:tabs>
          <w:tab w:val="left" w:pos="7020"/>
          <w:tab w:val="left" w:pos="7560"/>
        </w:tabs>
        <w:jc w:val="both"/>
        <w:rPr>
          <w:b/>
          <w:lang w:val="en-GB"/>
        </w:rPr>
      </w:pPr>
    </w:p>
    <w:p w14:paraId="5F02FCEC" w14:textId="77777777" w:rsidR="005155FB" w:rsidRDefault="00580B92" w:rsidP="00A1103C">
      <w:pPr>
        <w:tabs>
          <w:tab w:val="left" w:pos="6480"/>
          <w:tab w:val="left" w:pos="6660"/>
          <w:tab w:val="left" w:pos="7200"/>
          <w:tab w:val="left" w:pos="7470"/>
          <w:tab w:val="left" w:pos="7920"/>
        </w:tabs>
        <w:ind w:right="-160"/>
        <w:jc w:val="both"/>
        <w:rPr>
          <w:b/>
          <w:lang w:val="en-GB"/>
        </w:rPr>
      </w:pPr>
      <w:r>
        <w:rPr>
          <w:b/>
          <w:lang w:val="en-GB"/>
        </w:rPr>
        <w:t>MEC FOR CO-OPERATIVE GOVERNANCE</w:t>
      </w:r>
      <w:r w:rsidR="005155FB">
        <w:rPr>
          <w:b/>
          <w:lang w:val="en-GB"/>
        </w:rPr>
        <w:t xml:space="preserve"> AND</w:t>
      </w:r>
    </w:p>
    <w:p w14:paraId="626E9D4E" w14:textId="43DD97EC" w:rsidR="00580B92" w:rsidRDefault="005155FB" w:rsidP="00A1103C">
      <w:pPr>
        <w:tabs>
          <w:tab w:val="left" w:pos="6480"/>
          <w:tab w:val="left" w:pos="6660"/>
          <w:tab w:val="left" w:pos="7200"/>
          <w:tab w:val="left" w:pos="7470"/>
          <w:tab w:val="left" w:pos="7920"/>
        </w:tabs>
        <w:ind w:right="-160"/>
        <w:jc w:val="both"/>
        <w:rPr>
          <w:b/>
          <w:lang w:val="en-GB"/>
        </w:rPr>
      </w:pPr>
      <w:r>
        <w:rPr>
          <w:b/>
          <w:lang w:val="en-GB"/>
        </w:rPr>
        <w:t xml:space="preserve">TRADITIONAL AFFAIRS (EASTERN </w:t>
      </w:r>
      <w:r w:rsidR="009838F9">
        <w:rPr>
          <w:b/>
          <w:lang w:val="en-GB"/>
        </w:rPr>
        <w:t xml:space="preserve">CAPE) </w:t>
      </w:r>
      <w:r w:rsidR="009838F9">
        <w:rPr>
          <w:b/>
          <w:lang w:val="en-GB"/>
        </w:rPr>
        <w:tab/>
      </w:r>
      <w:r w:rsidR="00580B92">
        <w:rPr>
          <w:b/>
          <w:lang w:val="en-GB"/>
        </w:rPr>
        <w:tab/>
        <w:t xml:space="preserve">   Second Respondent</w:t>
      </w:r>
    </w:p>
    <w:p w14:paraId="43BC304E" w14:textId="77777777" w:rsidR="00580B92" w:rsidRDefault="00580B92" w:rsidP="00580B92">
      <w:pPr>
        <w:tabs>
          <w:tab w:val="left" w:pos="6300"/>
          <w:tab w:val="left" w:pos="6480"/>
          <w:tab w:val="left" w:pos="7200"/>
          <w:tab w:val="left" w:pos="7470"/>
          <w:tab w:val="left" w:pos="7920"/>
        </w:tabs>
        <w:jc w:val="both"/>
        <w:rPr>
          <w:b/>
          <w:lang w:val="en-GB"/>
        </w:rPr>
      </w:pPr>
    </w:p>
    <w:p w14:paraId="33A8D4D6" w14:textId="77777777" w:rsidR="00580B92" w:rsidRDefault="00580B92" w:rsidP="00580B92">
      <w:pPr>
        <w:tabs>
          <w:tab w:val="left" w:pos="6300"/>
          <w:tab w:val="left" w:pos="6480"/>
          <w:tab w:val="left" w:pos="7200"/>
          <w:tab w:val="left" w:pos="7470"/>
          <w:tab w:val="left" w:pos="7920"/>
        </w:tabs>
        <w:jc w:val="both"/>
        <w:rPr>
          <w:b/>
          <w:lang w:val="en-GB"/>
        </w:rPr>
      </w:pPr>
      <w:r>
        <w:rPr>
          <w:b/>
          <w:lang w:val="en-GB"/>
        </w:rPr>
        <w:t>PROVINCIAL HOUSE OF TRADITIONAL</w:t>
      </w:r>
    </w:p>
    <w:p w14:paraId="74FBF7DE" w14:textId="77777777" w:rsidR="008721B1" w:rsidRDefault="00580B92" w:rsidP="00A1103C">
      <w:pPr>
        <w:tabs>
          <w:tab w:val="left" w:pos="7110"/>
          <w:tab w:val="left" w:pos="7200"/>
          <w:tab w:val="left" w:pos="7470"/>
          <w:tab w:val="left" w:pos="7920"/>
        </w:tabs>
        <w:ind w:right="-160"/>
        <w:jc w:val="both"/>
        <w:rPr>
          <w:b/>
          <w:lang w:val="en-GB"/>
        </w:rPr>
      </w:pPr>
      <w:r>
        <w:rPr>
          <w:b/>
          <w:lang w:val="en-GB"/>
        </w:rPr>
        <w:t xml:space="preserve">LEADERS (EASTERN CAPE) </w:t>
      </w:r>
      <w:r>
        <w:rPr>
          <w:b/>
          <w:lang w:val="en-GB"/>
        </w:rPr>
        <w:tab/>
        <w:t>Third Respondent</w:t>
      </w:r>
    </w:p>
    <w:p w14:paraId="193FFD57" w14:textId="77777777" w:rsidR="008721B1" w:rsidRDefault="008721B1" w:rsidP="008721B1">
      <w:pPr>
        <w:tabs>
          <w:tab w:val="left" w:pos="6930"/>
          <w:tab w:val="left" w:pos="7020"/>
          <w:tab w:val="left" w:pos="7200"/>
          <w:tab w:val="left" w:pos="7470"/>
          <w:tab w:val="left" w:pos="7920"/>
        </w:tabs>
        <w:jc w:val="both"/>
        <w:rPr>
          <w:b/>
          <w:lang w:val="en-GB"/>
        </w:rPr>
      </w:pPr>
    </w:p>
    <w:p w14:paraId="673385CA" w14:textId="68952E0E" w:rsidR="008721B1" w:rsidRDefault="008721B1" w:rsidP="00A1103C">
      <w:pPr>
        <w:tabs>
          <w:tab w:val="left" w:pos="6930"/>
          <w:tab w:val="left" w:pos="7020"/>
          <w:tab w:val="left" w:pos="7200"/>
          <w:tab w:val="left" w:pos="7470"/>
          <w:tab w:val="left" w:pos="7920"/>
          <w:tab w:val="left" w:pos="8910"/>
        </w:tabs>
        <w:ind w:right="-250"/>
        <w:jc w:val="both"/>
        <w:rPr>
          <w:b/>
          <w:lang w:val="en-GB"/>
        </w:rPr>
      </w:pPr>
      <w:r>
        <w:rPr>
          <w:b/>
          <w:lang w:val="en-GB"/>
        </w:rPr>
        <w:t xml:space="preserve">MBUKUMBUKU KONA </w:t>
      </w:r>
      <w:r>
        <w:rPr>
          <w:b/>
          <w:lang w:val="en-GB"/>
        </w:rPr>
        <w:tab/>
        <w:t xml:space="preserve"> Fourth Respondent</w:t>
      </w:r>
    </w:p>
    <w:p w14:paraId="3E14BD4E" w14:textId="77777777" w:rsidR="00A1103C" w:rsidRDefault="00A1103C" w:rsidP="00A1103C">
      <w:pPr>
        <w:tabs>
          <w:tab w:val="left" w:pos="6930"/>
          <w:tab w:val="left" w:pos="7020"/>
          <w:tab w:val="left" w:pos="7200"/>
          <w:tab w:val="left" w:pos="7470"/>
          <w:tab w:val="left" w:pos="7920"/>
          <w:tab w:val="left" w:pos="8910"/>
        </w:tabs>
        <w:ind w:right="-250"/>
        <w:jc w:val="both"/>
        <w:rPr>
          <w:b/>
          <w:lang w:val="en-GB"/>
        </w:rPr>
      </w:pPr>
    </w:p>
    <w:p w14:paraId="514DC7FD" w14:textId="6819D3CD" w:rsidR="008721B1" w:rsidRDefault="008721B1" w:rsidP="00A1103C">
      <w:pPr>
        <w:tabs>
          <w:tab w:val="left" w:pos="6930"/>
          <w:tab w:val="left" w:pos="7200"/>
          <w:tab w:val="left" w:pos="7470"/>
          <w:tab w:val="left" w:pos="8100"/>
        </w:tabs>
        <w:ind w:right="-160"/>
        <w:jc w:val="both"/>
        <w:rPr>
          <w:b/>
          <w:lang w:val="en-GB"/>
        </w:rPr>
      </w:pPr>
      <w:r>
        <w:rPr>
          <w:b/>
          <w:lang w:val="en-GB"/>
        </w:rPr>
        <w:t xml:space="preserve">NOMISILE KONA </w:t>
      </w:r>
      <w:r>
        <w:rPr>
          <w:b/>
          <w:lang w:val="en-GB"/>
        </w:rPr>
        <w:tab/>
        <w:t xml:space="preserve">  </w:t>
      </w:r>
      <w:r w:rsidR="00A1103C">
        <w:rPr>
          <w:b/>
          <w:lang w:val="en-GB"/>
        </w:rPr>
        <w:t xml:space="preserve"> </w:t>
      </w:r>
      <w:r>
        <w:rPr>
          <w:b/>
          <w:lang w:val="en-GB"/>
        </w:rPr>
        <w:t xml:space="preserve"> Fifth Respondent</w:t>
      </w:r>
    </w:p>
    <w:p w14:paraId="25BDDCCC" w14:textId="77777777" w:rsidR="008721B1" w:rsidRDefault="008721B1" w:rsidP="008721B1">
      <w:pPr>
        <w:tabs>
          <w:tab w:val="left" w:pos="6840"/>
          <w:tab w:val="left" w:pos="6930"/>
          <w:tab w:val="left" w:pos="7020"/>
          <w:tab w:val="left" w:pos="7200"/>
          <w:tab w:val="left" w:pos="7470"/>
          <w:tab w:val="left" w:pos="7920"/>
        </w:tabs>
        <w:ind w:right="20"/>
        <w:jc w:val="both"/>
        <w:rPr>
          <w:b/>
          <w:lang w:val="en-GB"/>
        </w:rPr>
      </w:pPr>
    </w:p>
    <w:p w14:paraId="46F9170B" w14:textId="1B964725" w:rsidR="00A1103C" w:rsidRDefault="008721B1" w:rsidP="00A1103C">
      <w:pPr>
        <w:tabs>
          <w:tab w:val="left" w:pos="7020"/>
          <w:tab w:val="left" w:pos="7200"/>
          <w:tab w:val="left" w:pos="7470"/>
          <w:tab w:val="left" w:pos="7920"/>
        </w:tabs>
        <w:ind w:right="-160"/>
        <w:jc w:val="both"/>
        <w:rPr>
          <w:b/>
          <w:lang w:val="en-GB"/>
        </w:rPr>
      </w:pPr>
      <w:r>
        <w:rPr>
          <w:b/>
          <w:lang w:val="en-GB"/>
        </w:rPr>
        <w:t xml:space="preserve">KONA ROYAL FAMILY </w:t>
      </w:r>
      <w:r w:rsidR="00A1103C">
        <w:rPr>
          <w:b/>
          <w:lang w:val="en-GB"/>
        </w:rPr>
        <w:tab/>
        <w:t xml:space="preserve">  Sixth</w:t>
      </w:r>
      <w:r>
        <w:rPr>
          <w:b/>
          <w:lang w:val="en-GB"/>
        </w:rPr>
        <w:t xml:space="preserve"> Respondent</w:t>
      </w:r>
    </w:p>
    <w:p w14:paraId="165A1028" w14:textId="77777777" w:rsidR="00A1103C" w:rsidRDefault="00A1103C" w:rsidP="00A1103C">
      <w:pPr>
        <w:tabs>
          <w:tab w:val="left" w:pos="7020"/>
          <w:tab w:val="left" w:pos="7200"/>
          <w:tab w:val="left" w:pos="7470"/>
          <w:tab w:val="left" w:pos="7920"/>
        </w:tabs>
        <w:ind w:right="-160"/>
        <w:jc w:val="both"/>
        <w:rPr>
          <w:b/>
          <w:lang w:val="en-GB"/>
        </w:rPr>
      </w:pPr>
    </w:p>
    <w:p w14:paraId="2E6F4607" w14:textId="248294D5" w:rsidR="002641FD" w:rsidRDefault="00A1103C" w:rsidP="00984B20">
      <w:pPr>
        <w:tabs>
          <w:tab w:val="left" w:pos="6804"/>
          <w:tab w:val="left" w:pos="7797"/>
          <w:tab w:val="right" w:pos="8820"/>
        </w:tabs>
        <w:suppressAutoHyphens/>
        <w:ind w:right="-160"/>
        <w:jc w:val="both"/>
        <w:rPr>
          <w:b/>
          <w:lang w:val="en-GB"/>
        </w:rPr>
      </w:pPr>
      <w:r>
        <w:rPr>
          <w:b/>
          <w:lang w:val="en-GB"/>
        </w:rPr>
        <w:t xml:space="preserve">NTSIKELELO KWEBESE </w:t>
      </w:r>
      <w:r w:rsidR="002641FD">
        <w:rPr>
          <w:b/>
          <w:lang w:val="en-GB"/>
        </w:rPr>
        <w:tab/>
        <w:t>Seventh Respondent</w:t>
      </w:r>
    </w:p>
    <w:p w14:paraId="4F0E2CE6" w14:textId="49F74718" w:rsidR="00C246F2" w:rsidRPr="00580B92" w:rsidRDefault="00C246F2" w:rsidP="00A1103C">
      <w:pPr>
        <w:tabs>
          <w:tab w:val="left" w:pos="6660"/>
          <w:tab w:val="left" w:pos="6750"/>
          <w:tab w:val="left" w:pos="7020"/>
          <w:tab w:val="left" w:pos="7200"/>
          <w:tab w:val="left" w:pos="7470"/>
          <w:tab w:val="left" w:pos="7920"/>
        </w:tabs>
        <w:ind w:right="-160"/>
        <w:jc w:val="both"/>
        <w:rPr>
          <w:b/>
          <w:bCs/>
          <w:lang w:val="en-GB"/>
        </w:rPr>
      </w:pPr>
      <w:r w:rsidRPr="00580B92">
        <w:rPr>
          <w:b/>
          <w:lang w:val="en-GB"/>
        </w:rPr>
        <w:lastRenderedPageBreak/>
        <w:tab/>
      </w:r>
      <w:r w:rsidRPr="00580B92">
        <w:rPr>
          <w:b/>
          <w:lang w:val="en-GB"/>
        </w:rPr>
        <w:tab/>
      </w:r>
      <w:r w:rsidRPr="00580B92">
        <w:rPr>
          <w:b/>
          <w:lang w:val="en-GB"/>
        </w:rPr>
        <w:tab/>
      </w:r>
    </w:p>
    <w:p w14:paraId="76889E9C" w14:textId="1C27A91D" w:rsidR="00D450B5" w:rsidRPr="00044B50" w:rsidRDefault="00D450B5" w:rsidP="00772E4B">
      <w:pPr>
        <w:jc w:val="both"/>
        <w:rPr>
          <w:lang w:val="en-GB"/>
        </w:rPr>
      </w:pPr>
      <w:r w:rsidRPr="00044B50">
        <w:rPr>
          <w:lang w:val="en-GB"/>
        </w:rPr>
        <w:t>________________________________________________________________</w:t>
      </w:r>
      <w:r w:rsidR="006B1DCE">
        <w:rPr>
          <w:lang w:val="en-GB"/>
        </w:rPr>
        <w:t>_</w:t>
      </w:r>
      <w:r w:rsidR="00984B20">
        <w:rPr>
          <w:lang w:val="en-GB"/>
        </w:rPr>
        <w:t>__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388F8BC3" w:rsidR="00D450B5" w:rsidRDefault="00D450B5" w:rsidP="00772E4B">
      <w:pPr>
        <w:jc w:val="both"/>
        <w:rPr>
          <w:lang w:val="en-GB"/>
        </w:rPr>
      </w:pPr>
      <w:r w:rsidRPr="00044B50">
        <w:rPr>
          <w:lang w:val="en-GB"/>
        </w:rPr>
        <w:t>___________________________________________________________________</w:t>
      </w:r>
    </w:p>
    <w:p w14:paraId="75F18397" w14:textId="77777777" w:rsidR="00984B20" w:rsidRPr="00044B50" w:rsidRDefault="00984B20" w:rsidP="00772E4B">
      <w:pPr>
        <w:jc w:val="both"/>
        <w:rPr>
          <w:lang w:val="en-GB"/>
        </w:rPr>
      </w:pP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77777777" w:rsidR="00D468AF" w:rsidRPr="00044B50" w:rsidRDefault="00D468AF" w:rsidP="00682CE5">
      <w:pPr>
        <w:autoSpaceDE w:val="0"/>
        <w:autoSpaceDN w:val="0"/>
        <w:adjustRightInd w:val="0"/>
        <w:jc w:val="both"/>
        <w:rPr>
          <w:lang w:val="en-GB"/>
        </w:rPr>
      </w:pPr>
    </w:p>
    <w:p w14:paraId="239CF605" w14:textId="05971348" w:rsidR="007F5C69" w:rsidRPr="001916B7" w:rsidRDefault="001916B7" w:rsidP="001916B7">
      <w:pPr>
        <w:autoSpaceDE w:val="0"/>
        <w:autoSpaceDN w:val="0"/>
        <w:adjustRightInd w:val="0"/>
        <w:jc w:val="both"/>
        <w:rPr>
          <w:lang w:val="en-GB"/>
        </w:rPr>
      </w:pPr>
      <w:r>
        <w:rPr>
          <w:lang w:val="en-GB"/>
        </w:rPr>
        <w:t>[1]</w:t>
      </w:r>
      <w:r>
        <w:rPr>
          <w:lang w:val="en-GB"/>
        </w:rPr>
        <w:tab/>
      </w:r>
      <w:r w:rsidR="006A7DA6" w:rsidRPr="001916B7">
        <w:rPr>
          <w:lang w:val="en-GB"/>
        </w:rPr>
        <w:t xml:space="preserve">The </w:t>
      </w:r>
      <w:r w:rsidR="007F2200" w:rsidRPr="001916B7">
        <w:rPr>
          <w:lang w:val="en-GB"/>
        </w:rPr>
        <w:t>applicant seeks an extension of the 180-day period prescribed in s 7(1) of the Promotion of Administrative Justice Act, 2000</w:t>
      </w:r>
      <w:r w:rsidR="007F2200">
        <w:rPr>
          <w:rStyle w:val="FootnoteReference"/>
          <w:lang w:val="en-GB"/>
        </w:rPr>
        <w:footnoteReference w:id="1"/>
      </w:r>
      <w:r w:rsidR="007F2200" w:rsidRPr="001916B7">
        <w:rPr>
          <w:lang w:val="en-GB"/>
        </w:rPr>
        <w:t xml:space="preserve"> (‘PAJA’)</w:t>
      </w:r>
      <w:r w:rsidR="004E2219" w:rsidRPr="001916B7">
        <w:rPr>
          <w:lang w:val="en-GB"/>
        </w:rPr>
        <w:t xml:space="preserve">, in respect of the </w:t>
      </w:r>
      <w:r w:rsidR="00600F4A" w:rsidRPr="001916B7">
        <w:rPr>
          <w:lang w:val="en-GB"/>
        </w:rPr>
        <w:t xml:space="preserve">institution of judicial review </w:t>
      </w:r>
      <w:r w:rsidR="00E66356" w:rsidRPr="001916B7">
        <w:rPr>
          <w:lang w:val="en-GB"/>
        </w:rPr>
        <w:t>against</w:t>
      </w:r>
      <w:r w:rsidR="00600F4A" w:rsidRPr="001916B7">
        <w:rPr>
          <w:lang w:val="en-GB"/>
        </w:rPr>
        <w:t xml:space="preserve"> the </w:t>
      </w:r>
      <w:r w:rsidR="004E2219" w:rsidRPr="001916B7">
        <w:rPr>
          <w:lang w:val="en-GB"/>
        </w:rPr>
        <w:t>following</w:t>
      </w:r>
      <w:r w:rsidR="00600F4A" w:rsidRPr="001916B7">
        <w:rPr>
          <w:lang w:val="en-GB"/>
        </w:rPr>
        <w:t xml:space="preserve"> decisions</w:t>
      </w:r>
      <w:r w:rsidR="004E2219" w:rsidRPr="001916B7">
        <w:rPr>
          <w:lang w:val="en-GB"/>
        </w:rPr>
        <w:t>:</w:t>
      </w:r>
      <w:r w:rsidR="00FB2641">
        <w:rPr>
          <w:rStyle w:val="FootnoteReference"/>
          <w:lang w:val="en-GB"/>
        </w:rPr>
        <w:footnoteReference w:id="2"/>
      </w:r>
    </w:p>
    <w:p w14:paraId="186AE4D0" w14:textId="77777777" w:rsidR="00BB4675" w:rsidRPr="00BB4675" w:rsidRDefault="00BB4675" w:rsidP="00BB4675">
      <w:pPr>
        <w:pStyle w:val="ListParagraph"/>
        <w:autoSpaceDE w:val="0"/>
        <w:autoSpaceDN w:val="0"/>
        <w:adjustRightInd w:val="0"/>
        <w:ind w:left="0"/>
        <w:jc w:val="both"/>
        <w:rPr>
          <w:lang w:val="en-GB"/>
        </w:rPr>
      </w:pPr>
    </w:p>
    <w:p w14:paraId="48C789D7" w14:textId="3DE88E23" w:rsidR="00F70442" w:rsidRPr="001916B7" w:rsidRDefault="001916B7" w:rsidP="001916B7">
      <w:pPr>
        <w:autoSpaceDE w:val="0"/>
        <w:autoSpaceDN w:val="0"/>
        <w:adjustRightInd w:val="0"/>
        <w:ind w:left="720" w:hanging="360"/>
        <w:jc w:val="both"/>
        <w:rPr>
          <w:sz w:val="22"/>
          <w:szCs w:val="22"/>
          <w:lang w:val="en-GB"/>
        </w:rPr>
      </w:pPr>
      <w:r w:rsidRPr="00BB4675">
        <w:rPr>
          <w:sz w:val="22"/>
          <w:szCs w:val="22"/>
          <w:lang w:val="en-GB"/>
        </w:rPr>
        <w:t>(a)</w:t>
      </w:r>
      <w:r w:rsidRPr="00BB4675">
        <w:rPr>
          <w:sz w:val="22"/>
          <w:szCs w:val="22"/>
          <w:lang w:val="en-GB"/>
        </w:rPr>
        <w:tab/>
      </w:r>
      <w:r w:rsidR="004E2219" w:rsidRPr="001916B7">
        <w:rPr>
          <w:sz w:val="22"/>
          <w:szCs w:val="22"/>
          <w:lang w:val="en-GB"/>
        </w:rPr>
        <w:t>‘the decision taken by the second respondent (‘the MEC’) in or around 2011 to recognise the Fourth Respondent as Headman of the Gqunqu Village in terms of s 18(3) of the 2005 Act</w:t>
      </w:r>
      <w:r w:rsidR="006D661C" w:rsidRPr="001916B7">
        <w:rPr>
          <w:sz w:val="22"/>
          <w:szCs w:val="22"/>
          <w:lang w:val="en-GB"/>
        </w:rPr>
        <w:t xml:space="preserve">’; </w:t>
      </w:r>
    </w:p>
    <w:p w14:paraId="56C914E1" w14:textId="53C7D6D4" w:rsidR="00F70442" w:rsidRDefault="006D661C" w:rsidP="00562B09">
      <w:pPr>
        <w:autoSpaceDE w:val="0"/>
        <w:autoSpaceDN w:val="0"/>
        <w:adjustRightInd w:val="0"/>
        <w:jc w:val="both"/>
        <w:rPr>
          <w:sz w:val="22"/>
          <w:szCs w:val="22"/>
          <w:lang w:val="en-GB"/>
        </w:rPr>
      </w:pPr>
      <w:r w:rsidRPr="00E87945">
        <w:rPr>
          <w:lang w:val="en-GB"/>
        </w:rPr>
        <w:t>and</w:t>
      </w:r>
    </w:p>
    <w:p w14:paraId="3E302700" w14:textId="688507BC" w:rsidR="006D661C" w:rsidRPr="001916B7" w:rsidRDefault="001916B7" w:rsidP="001916B7">
      <w:pPr>
        <w:autoSpaceDE w:val="0"/>
        <w:autoSpaceDN w:val="0"/>
        <w:adjustRightInd w:val="0"/>
        <w:ind w:left="720" w:hanging="360"/>
        <w:jc w:val="both"/>
        <w:rPr>
          <w:sz w:val="22"/>
          <w:szCs w:val="22"/>
          <w:lang w:val="en-GB"/>
        </w:rPr>
      </w:pPr>
      <w:r w:rsidRPr="007F5C69">
        <w:rPr>
          <w:sz w:val="22"/>
          <w:szCs w:val="22"/>
          <w:lang w:val="en-GB"/>
        </w:rPr>
        <w:t>(</w:t>
      </w:r>
      <w:bookmarkStart w:id="0" w:name="_GoBack"/>
      <w:bookmarkEnd w:id="0"/>
      <w:r w:rsidRPr="007F5C69">
        <w:rPr>
          <w:sz w:val="22"/>
          <w:szCs w:val="22"/>
          <w:lang w:val="en-GB"/>
        </w:rPr>
        <w:t>b)</w:t>
      </w:r>
      <w:r w:rsidRPr="007F5C69">
        <w:rPr>
          <w:sz w:val="22"/>
          <w:szCs w:val="22"/>
          <w:lang w:val="en-GB"/>
        </w:rPr>
        <w:tab/>
      </w:r>
      <w:r w:rsidR="006D661C" w:rsidRPr="001916B7">
        <w:rPr>
          <w:sz w:val="22"/>
          <w:szCs w:val="22"/>
          <w:lang w:val="en-GB"/>
        </w:rPr>
        <w:t>‘the determination by the Eastern Cape Provincial House of Traditional Leaders in terms of s 21(2) of the Traditional Leadership and Governance Act, 41 of 2003, recorded in a report dated 6 September 2013 that the applicant was legitimately excluded from succession to the Headmanship of the Gunqe Village’.</w:t>
      </w:r>
    </w:p>
    <w:p w14:paraId="5F1CA22B" w14:textId="06FCB766" w:rsidR="00FB2641" w:rsidRDefault="004E2219" w:rsidP="00562B09">
      <w:pPr>
        <w:pStyle w:val="ListParagraph"/>
        <w:autoSpaceDE w:val="0"/>
        <w:autoSpaceDN w:val="0"/>
        <w:adjustRightInd w:val="0"/>
        <w:jc w:val="both"/>
        <w:rPr>
          <w:lang w:val="en-GB"/>
        </w:rPr>
      </w:pPr>
      <w:r>
        <w:rPr>
          <w:lang w:val="en-GB"/>
        </w:rPr>
        <w:t xml:space="preserve"> </w:t>
      </w:r>
    </w:p>
    <w:p w14:paraId="4BFBBBC7" w14:textId="259820C7" w:rsidR="00F61DB5" w:rsidRPr="001916B7" w:rsidRDefault="001916B7" w:rsidP="001916B7">
      <w:pPr>
        <w:autoSpaceDE w:val="0"/>
        <w:autoSpaceDN w:val="0"/>
        <w:adjustRightInd w:val="0"/>
        <w:jc w:val="both"/>
        <w:rPr>
          <w:lang w:val="en-GB"/>
        </w:rPr>
      </w:pPr>
      <w:r>
        <w:rPr>
          <w:lang w:val="en-GB"/>
        </w:rPr>
        <w:t>[2]</w:t>
      </w:r>
      <w:r>
        <w:rPr>
          <w:lang w:val="en-GB"/>
        </w:rPr>
        <w:tab/>
      </w:r>
      <w:r w:rsidR="007B1E77" w:rsidRPr="001916B7">
        <w:rPr>
          <w:lang w:val="en-GB"/>
        </w:rPr>
        <w:t>In terms of an order issued on 23 August 2019, the issue concerning the applicant’s delay in instituting the application is to be determined first, subject to any contrary ruling.</w:t>
      </w:r>
      <w:r w:rsidR="00937699" w:rsidRPr="001916B7">
        <w:rPr>
          <w:lang w:val="en-GB"/>
        </w:rPr>
        <w:t xml:space="preserve"> The parties have had full opportunity to ventilate the issue on the papers</w:t>
      </w:r>
      <w:r w:rsidR="007001D1" w:rsidRPr="001916B7">
        <w:rPr>
          <w:lang w:val="en-GB"/>
        </w:rPr>
        <w:t xml:space="preserve"> and during argument</w:t>
      </w:r>
      <w:r w:rsidR="006B427C" w:rsidRPr="001916B7">
        <w:rPr>
          <w:lang w:val="en-GB"/>
        </w:rPr>
        <w:t xml:space="preserve">. The point </w:t>
      </w:r>
      <w:r w:rsidR="00937699" w:rsidRPr="001916B7">
        <w:rPr>
          <w:lang w:val="en-GB"/>
        </w:rPr>
        <w:t xml:space="preserve">is such that its determination might be dispositive of the entire application. </w:t>
      </w:r>
      <w:r w:rsidR="007B1E77" w:rsidRPr="001916B7">
        <w:rPr>
          <w:lang w:val="en-GB"/>
        </w:rPr>
        <w:t>I am</w:t>
      </w:r>
      <w:r w:rsidR="00937699" w:rsidRPr="001916B7">
        <w:rPr>
          <w:lang w:val="en-GB"/>
        </w:rPr>
        <w:t xml:space="preserve">, for these reasons, </w:t>
      </w:r>
      <w:r w:rsidR="007B1E77" w:rsidRPr="001916B7">
        <w:rPr>
          <w:lang w:val="en-GB"/>
        </w:rPr>
        <w:t xml:space="preserve">inclined to deal with this issue </w:t>
      </w:r>
      <w:r w:rsidR="00086B04" w:rsidRPr="001916B7">
        <w:rPr>
          <w:lang w:val="en-GB"/>
        </w:rPr>
        <w:t>at the outset.</w:t>
      </w:r>
    </w:p>
    <w:p w14:paraId="6045DBA3" w14:textId="77777777" w:rsidR="00BB4675" w:rsidRDefault="00BB4675" w:rsidP="00B01274">
      <w:pPr>
        <w:pStyle w:val="ListParagraph"/>
        <w:autoSpaceDE w:val="0"/>
        <w:autoSpaceDN w:val="0"/>
        <w:adjustRightInd w:val="0"/>
        <w:ind w:left="0"/>
        <w:jc w:val="both"/>
        <w:rPr>
          <w:lang w:val="en-GB"/>
        </w:rPr>
      </w:pPr>
    </w:p>
    <w:p w14:paraId="5027ED8E" w14:textId="77777777" w:rsidR="00B60098" w:rsidRDefault="00B60098" w:rsidP="00B01274">
      <w:pPr>
        <w:pStyle w:val="ListParagraph"/>
        <w:autoSpaceDE w:val="0"/>
        <w:autoSpaceDN w:val="0"/>
        <w:adjustRightInd w:val="0"/>
        <w:ind w:left="0"/>
        <w:jc w:val="both"/>
        <w:rPr>
          <w:b/>
          <w:bCs/>
          <w:lang w:val="en-GB"/>
        </w:rPr>
      </w:pPr>
    </w:p>
    <w:p w14:paraId="45BDC21F" w14:textId="77777777" w:rsidR="00B60098" w:rsidRDefault="00B60098" w:rsidP="00B01274">
      <w:pPr>
        <w:pStyle w:val="ListParagraph"/>
        <w:autoSpaceDE w:val="0"/>
        <w:autoSpaceDN w:val="0"/>
        <w:adjustRightInd w:val="0"/>
        <w:ind w:left="0"/>
        <w:jc w:val="both"/>
        <w:rPr>
          <w:b/>
          <w:bCs/>
          <w:lang w:val="en-GB"/>
        </w:rPr>
      </w:pPr>
    </w:p>
    <w:p w14:paraId="201B9C07" w14:textId="77777777" w:rsidR="00B60098" w:rsidRDefault="00B60098" w:rsidP="00B01274">
      <w:pPr>
        <w:pStyle w:val="ListParagraph"/>
        <w:autoSpaceDE w:val="0"/>
        <w:autoSpaceDN w:val="0"/>
        <w:adjustRightInd w:val="0"/>
        <w:ind w:left="0"/>
        <w:jc w:val="both"/>
        <w:rPr>
          <w:b/>
          <w:bCs/>
          <w:lang w:val="en-GB"/>
        </w:rPr>
      </w:pPr>
    </w:p>
    <w:p w14:paraId="789AD6A7" w14:textId="1BCCEFE3" w:rsidR="006868B7" w:rsidRDefault="00336F16" w:rsidP="00B01274">
      <w:pPr>
        <w:pStyle w:val="ListParagraph"/>
        <w:autoSpaceDE w:val="0"/>
        <w:autoSpaceDN w:val="0"/>
        <w:adjustRightInd w:val="0"/>
        <w:ind w:left="0"/>
        <w:jc w:val="both"/>
        <w:rPr>
          <w:b/>
          <w:bCs/>
          <w:lang w:val="en-GB"/>
        </w:rPr>
      </w:pPr>
      <w:r>
        <w:rPr>
          <w:b/>
          <w:bCs/>
          <w:lang w:val="en-GB"/>
        </w:rPr>
        <w:lastRenderedPageBreak/>
        <w:t>Brief b</w:t>
      </w:r>
      <w:r w:rsidR="006868B7">
        <w:rPr>
          <w:b/>
          <w:bCs/>
          <w:lang w:val="en-GB"/>
        </w:rPr>
        <w:t>ackground</w:t>
      </w:r>
    </w:p>
    <w:p w14:paraId="08000E14" w14:textId="77777777" w:rsidR="006868B7" w:rsidRPr="006868B7" w:rsidRDefault="006868B7" w:rsidP="00B01274">
      <w:pPr>
        <w:pStyle w:val="ListParagraph"/>
        <w:autoSpaceDE w:val="0"/>
        <w:autoSpaceDN w:val="0"/>
        <w:adjustRightInd w:val="0"/>
        <w:ind w:left="0"/>
        <w:jc w:val="both"/>
        <w:rPr>
          <w:b/>
          <w:bCs/>
          <w:lang w:val="en-GB"/>
        </w:rPr>
      </w:pPr>
    </w:p>
    <w:p w14:paraId="17FCF6F6" w14:textId="54A883BD" w:rsidR="00B01274" w:rsidRPr="001916B7" w:rsidRDefault="001916B7" w:rsidP="001916B7">
      <w:pPr>
        <w:autoSpaceDE w:val="0"/>
        <w:autoSpaceDN w:val="0"/>
        <w:adjustRightInd w:val="0"/>
        <w:jc w:val="both"/>
        <w:rPr>
          <w:lang w:val="en-GB"/>
        </w:rPr>
      </w:pPr>
      <w:r>
        <w:rPr>
          <w:lang w:val="en-GB"/>
        </w:rPr>
        <w:t>[3]</w:t>
      </w:r>
      <w:r>
        <w:rPr>
          <w:lang w:val="en-GB"/>
        </w:rPr>
        <w:tab/>
      </w:r>
      <w:r w:rsidR="00B01274" w:rsidRPr="001916B7">
        <w:rPr>
          <w:lang w:val="en-GB"/>
        </w:rPr>
        <w:t>The applicant’s case is that the headmanship of the Gqunqe Village (‘the Village’) is, by custom, hereditary, passing to the eldest child of the departing incumbent. She alleges that a body purporting to act as the Kona Royal Family refused to identify her as the rightful successor to her father in terms of the applicable legislation</w:t>
      </w:r>
      <w:r w:rsidR="00E1185D" w:rsidRPr="001916B7">
        <w:rPr>
          <w:lang w:val="en-GB"/>
        </w:rPr>
        <w:t>, namely the Traditional Leadership and Governance Framework Act</w:t>
      </w:r>
      <w:r w:rsidR="00E1185D">
        <w:rPr>
          <w:rStyle w:val="FootnoteReference"/>
          <w:lang w:val="en-GB"/>
        </w:rPr>
        <w:footnoteReference w:id="3"/>
      </w:r>
      <w:r w:rsidR="00374C3C" w:rsidRPr="001916B7">
        <w:rPr>
          <w:lang w:val="en-GB"/>
        </w:rPr>
        <w:t xml:space="preserve"> (‘the Framework Act’) and the Eastern Cape Traditional Leadership and Governance Act</w:t>
      </w:r>
      <w:r w:rsidR="00374C3C">
        <w:rPr>
          <w:rStyle w:val="FootnoteReference"/>
          <w:lang w:val="en-GB"/>
        </w:rPr>
        <w:footnoteReference w:id="4"/>
      </w:r>
      <w:r w:rsidR="00B01274" w:rsidRPr="001916B7">
        <w:rPr>
          <w:lang w:val="en-GB"/>
        </w:rPr>
        <w:t xml:space="preserve"> </w:t>
      </w:r>
      <w:r w:rsidR="004725B8" w:rsidRPr="001916B7">
        <w:rPr>
          <w:lang w:val="en-GB"/>
        </w:rPr>
        <w:t xml:space="preserve">(‘the Provincial Act’). </w:t>
      </w:r>
    </w:p>
    <w:p w14:paraId="6E761E45" w14:textId="77777777" w:rsidR="005B03A8" w:rsidRPr="005B03A8" w:rsidRDefault="005B03A8" w:rsidP="005B03A8">
      <w:pPr>
        <w:pStyle w:val="ListParagraph"/>
        <w:rPr>
          <w:lang w:val="en-GB"/>
        </w:rPr>
      </w:pPr>
    </w:p>
    <w:p w14:paraId="391825FD" w14:textId="7F234DAA" w:rsidR="005B03A8" w:rsidRPr="001916B7" w:rsidRDefault="001916B7" w:rsidP="001916B7">
      <w:pPr>
        <w:autoSpaceDE w:val="0"/>
        <w:autoSpaceDN w:val="0"/>
        <w:adjustRightInd w:val="0"/>
        <w:jc w:val="both"/>
        <w:rPr>
          <w:lang w:val="en-GB"/>
        </w:rPr>
      </w:pPr>
      <w:r>
        <w:rPr>
          <w:lang w:val="en-GB"/>
        </w:rPr>
        <w:t>[4]</w:t>
      </w:r>
      <w:r>
        <w:rPr>
          <w:lang w:val="en-GB"/>
        </w:rPr>
        <w:tab/>
      </w:r>
      <w:r w:rsidR="008658EF" w:rsidRPr="001916B7">
        <w:rPr>
          <w:lang w:val="en-GB"/>
        </w:rPr>
        <w:t>It is common cause that</w:t>
      </w:r>
      <w:r w:rsidR="005B03A8" w:rsidRPr="001916B7">
        <w:rPr>
          <w:lang w:val="en-GB"/>
        </w:rPr>
        <w:t xml:space="preserve"> the MEC, as per a delegation from the </w:t>
      </w:r>
      <w:r w:rsidR="00142C77" w:rsidRPr="001916B7">
        <w:rPr>
          <w:lang w:val="en-GB"/>
        </w:rPr>
        <w:t xml:space="preserve">first respondent (‘the </w:t>
      </w:r>
      <w:r w:rsidR="005B03A8" w:rsidRPr="001916B7">
        <w:rPr>
          <w:lang w:val="en-GB"/>
        </w:rPr>
        <w:t>Premier</w:t>
      </w:r>
      <w:r w:rsidR="00142C77" w:rsidRPr="001916B7">
        <w:rPr>
          <w:lang w:val="en-GB"/>
        </w:rPr>
        <w:t>’)</w:t>
      </w:r>
      <w:r w:rsidR="005B03A8" w:rsidRPr="001916B7">
        <w:rPr>
          <w:lang w:val="en-GB"/>
        </w:rPr>
        <w:t xml:space="preserve">, </w:t>
      </w:r>
      <w:r w:rsidR="008658EF" w:rsidRPr="001916B7">
        <w:rPr>
          <w:lang w:val="en-GB"/>
        </w:rPr>
        <w:t xml:space="preserve">issued a certificate of recognition (‘the 2011 Recognition Decision’) </w:t>
      </w:r>
      <w:r w:rsidR="005B03A8" w:rsidRPr="001916B7">
        <w:rPr>
          <w:lang w:val="en-GB"/>
        </w:rPr>
        <w:t>recognis</w:t>
      </w:r>
      <w:r w:rsidR="008658EF" w:rsidRPr="001916B7">
        <w:rPr>
          <w:lang w:val="en-GB"/>
        </w:rPr>
        <w:t>ing</w:t>
      </w:r>
      <w:r w:rsidR="005B03A8" w:rsidRPr="001916B7">
        <w:rPr>
          <w:lang w:val="en-GB"/>
        </w:rPr>
        <w:t xml:space="preserve"> </w:t>
      </w:r>
      <w:r w:rsidR="0028461E" w:rsidRPr="001916B7">
        <w:rPr>
          <w:lang w:val="en-GB"/>
        </w:rPr>
        <w:t>and appoint</w:t>
      </w:r>
      <w:r w:rsidR="008658EF" w:rsidRPr="001916B7">
        <w:rPr>
          <w:lang w:val="en-GB"/>
        </w:rPr>
        <w:t>ing</w:t>
      </w:r>
      <w:r w:rsidR="0028461E" w:rsidRPr="001916B7">
        <w:rPr>
          <w:lang w:val="en-GB"/>
        </w:rPr>
        <w:t xml:space="preserve"> </w:t>
      </w:r>
      <w:r w:rsidR="005B03A8" w:rsidRPr="001916B7">
        <w:rPr>
          <w:lang w:val="en-GB"/>
        </w:rPr>
        <w:t>the fourth respondent as headman.</w:t>
      </w:r>
      <w:r w:rsidR="00BB33E5" w:rsidRPr="001916B7">
        <w:rPr>
          <w:lang w:val="en-GB"/>
        </w:rPr>
        <w:t xml:space="preserve"> </w:t>
      </w:r>
      <w:r w:rsidR="00814914" w:rsidRPr="001916B7">
        <w:rPr>
          <w:lang w:val="en-GB"/>
        </w:rPr>
        <w:t xml:space="preserve">The applicant confirms that she approached the Commission for Gender Equality </w:t>
      </w:r>
      <w:r w:rsidR="000A369D" w:rsidRPr="001916B7">
        <w:rPr>
          <w:lang w:val="en-GB"/>
        </w:rPr>
        <w:t xml:space="preserve">(‘CGE’) </w:t>
      </w:r>
      <w:r w:rsidR="00814914" w:rsidRPr="001916B7">
        <w:rPr>
          <w:lang w:val="en-GB"/>
        </w:rPr>
        <w:t xml:space="preserve">as early as 3 June 2011 to seek assistance in challenging </w:t>
      </w:r>
      <w:r w:rsidR="009547BD" w:rsidRPr="001916B7">
        <w:rPr>
          <w:lang w:val="en-GB"/>
        </w:rPr>
        <w:t>this decision</w:t>
      </w:r>
      <w:r w:rsidR="00814914" w:rsidRPr="001916B7">
        <w:rPr>
          <w:lang w:val="en-GB"/>
        </w:rPr>
        <w:t xml:space="preserve">. The founding papers explain the steps taken thereafter, purportedly as ‘internal remedies’ prior to launching this application. </w:t>
      </w:r>
      <w:r w:rsidR="00D24E90" w:rsidRPr="001916B7">
        <w:rPr>
          <w:lang w:val="en-GB"/>
        </w:rPr>
        <w:t>I</w:t>
      </w:r>
      <w:r w:rsidR="00B0603C" w:rsidRPr="001916B7">
        <w:rPr>
          <w:lang w:val="en-GB"/>
        </w:rPr>
        <w:t xml:space="preserve">t was the applicant’s dissatisfaction with </w:t>
      </w:r>
      <w:r w:rsidR="00EA75CA" w:rsidRPr="001916B7">
        <w:rPr>
          <w:lang w:val="en-GB"/>
        </w:rPr>
        <w:t>the 2011 Recognition</w:t>
      </w:r>
      <w:r w:rsidR="00B0603C" w:rsidRPr="001916B7">
        <w:rPr>
          <w:lang w:val="en-GB"/>
        </w:rPr>
        <w:t xml:space="preserve"> </w:t>
      </w:r>
      <w:r w:rsidR="00EA75CA" w:rsidRPr="001916B7">
        <w:rPr>
          <w:lang w:val="en-GB"/>
        </w:rPr>
        <w:t>D</w:t>
      </w:r>
      <w:r w:rsidR="00B0603C" w:rsidRPr="001916B7">
        <w:rPr>
          <w:lang w:val="en-GB"/>
        </w:rPr>
        <w:t>ecision</w:t>
      </w:r>
      <w:r w:rsidR="00354826" w:rsidRPr="001916B7">
        <w:rPr>
          <w:lang w:val="en-GB"/>
        </w:rPr>
        <w:t>, and the advice that she received,</w:t>
      </w:r>
      <w:r w:rsidR="00B0603C" w:rsidRPr="001916B7">
        <w:rPr>
          <w:lang w:val="en-GB"/>
        </w:rPr>
        <w:t xml:space="preserve"> that precipitated </w:t>
      </w:r>
      <w:r w:rsidR="00354826" w:rsidRPr="001916B7">
        <w:rPr>
          <w:lang w:val="en-GB"/>
        </w:rPr>
        <w:t>a</w:t>
      </w:r>
      <w:r w:rsidR="00B0603C" w:rsidRPr="001916B7">
        <w:rPr>
          <w:lang w:val="en-GB"/>
        </w:rPr>
        <w:t xml:space="preserve"> complaint to the </w:t>
      </w:r>
      <w:r w:rsidR="00177C58" w:rsidRPr="001916B7">
        <w:rPr>
          <w:lang w:val="en-GB"/>
        </w:rPr>
        <w:t xml:space="preserve">Eastern Cape </w:t>
      </w:r>
      <w:r w:rsidR="00B0603C" w:rsidRPr="001916B7">
        <w:rPr>
          <w:lang w:val="en-GB"/>
        </w:rPr>
        <w:t>Provincial House</w:t>
      </w:r>
      <w:r w:rsidR="00177C58" w:rsidRPr="001916B7">
        <w:rPr>
          <w:lang w:val="en-GB"/>
        </w:rPr>
        <w:t xml:space="preserve"> of Traditional Leaders (‘the Provincial House’)</w:t>
      </w:r>
      <w:r w:rsidR="00B0603C" w:rsidRPr="001916B7">
        <w:rPr>
          <w:lang w:val="en-GB"/>
        </w:rPr>
        <w:t xml:space="preserve">, </w:t>
      </w:r>
      <w:r w:rsidR="00177C58" w:rsidRPr="001916B7">
        <w:rPr>
          <w:lang w:val="en-GB"/>
        </w:rPr>
        <w:t>as an internal dispute resolution process</w:t>
      </w:r>
      <w:r w:rsidR="004E6AA3" w:rsidRPr="001916B7">
        <w:rPr>
          <w:lang w:val="en-GB"/>
        </w:rPr>
        <w:t xml:space="preserve"> in terms of s 21 of the Framework Act</w:t>
      </w:r>
      <w:r w:rsidR="008045E1" w:rsidRPr="001916B7">
        <w:rPr>
          <w:lang w:val="en-GB"/>
        </w:rPr>
        <w:t>. T</w:t>
      </w:r>
      <w:r w:rsidR="009A43F7" w:rsidRPr="001916B7">
        <w:rPr>
          <w:lang w:val="en-GB"/>
        </w:rPr>
        <w:t>he consequent</w:t>
      </w:r>
      <w:r w:rsidR="00B0603C" w:rsidRPr="001916B7">
        <w:rPr>
          <w:lang w:val="en-GB"/>
        </w:rPr>
        <w:t xml:space="preserve"> report</w:t>
      </w:r>
      <w:r w:rsidR="00B50AE9" w:rsidRPr="001916B7">
        <w:rPr>
          <w:lang w:val="en-GB"/>
        </w:rPr>
        <w:t xml:space="preserve"> (‘the Provincial House Report’)</w:t>
      </w:r>
      <w:r w:rsidR="00A40706" w:rsidRPr="001916B7">
        <w:rPr>
          <w:lang w:val="en-GB"/>
        </w:rPr>
        <w:t>, dated 6 September 2013</w:t>
      </w:r>
      <w:r w:rsidR="00BD0C61" w:rsidRPr="001916B7">
        <w:rPr>
          <w:lang w:val="en-GB"/>
        </w:rPr>
        <w:t>, recorded approval of the decision taken by the royal family in favour of the fourth respondent</w:t>
      </w:r>
      <w:r w:rsidR="00B50AE9" w:rsidRPr="001916B7">
        <w:rPr>
          <w:lang w:val="en-GB"/>
        </w:rPr>
        <w:t>.</w:t>
      </w:r>
      <w:r w:rsidR="009E47AD" w:rsidRPr="001916B7">
        <w:rPr>
          <w:lang w:val="en-GB"/>
        </w:rPr>
        <w:t xml:space="preserve"> </w:t>
      </w:r>
      <w:r w:rsidR="001E61FF" w:rsidRPr="001916B7">
        <w:rPr>
          <w:lang w:val="en-GB"/>
        </w:rPr>
        <w:t>This is linked to the request for condonation or extension of the 180-day period prescribed in PAJA.</w:t>
      </w:r>
      <w:r w:rsidR="009F2682" w:rsidRPr="001916B7">
        <w:rPr>
          <w:lang w:val="en-GB"/>
        </w:rPr>
        <w:t xml:space="preserve"> For reasons that will become apparent, it is convenient to first consider the review of the 2011 Recognition Decision.</w:t>
      </w:r>
    </w:p>
    <w:p w14:paraId="7FB03765" w14:textId="3009B9F7" w:rsidR="00D70532" w:rsidRDefault="00D70532" w:rsidP="0001452E">
      <w:pPr>
        <w:rPr>
          <w:lang w:val="en-GB"/>
        </w:rPr>
      </w:pPr>
    </w:p>
    <w:p w14:paraId="01F481C8" w14:textId="77777777" w:rsidR="00390AFE" w:rsidRDefault="00390AFE" w:rsidP="0001452E">
      <w:pPr>
        <w:rPr>
          <w:b/>
          <w:bCs/>
          <w:lang w:val="en-GB"/>
        </w:rPr>
      </w:pPr>
    </w:p>
    <w:p w14:paraId="1BAF5F40" w14:textId="77777777" w:rsidR="00390AFE" w:rsidRDefault="00390AFE" w:rsidP="0001452E">
      <w:pPr>
        <w:rPr>
          <w:b/>
          <w:bCs/>
          <w:lang w:val="en-GB"/>
        </w:rPr>
      </w:pPr>
    </w:p>
    <w:p w14:paraId="5AD82A4C" w14:textId="77777777" w:rsidR="00390AFE" w:rsidRDefault="00390AFE" w:rsidP="0001452E">
      <w:pPr>
        <w:rPr>
          <w:b/>
          <w:bCs/>
          <w:lang w:val="en-GB"/>
        </w:rPr>
      </w:pPr>
    </w:p>
    <w:p w14:paraId="4F52F251" w14:textId="77777777" w:rsidR="00390AFE" w:rsidRDefault="00390AFE" w:rsidP="0001452E">
      <w:pPr>
        <w:rPr>
          <w:b/>
          <w:bCs/>
          <w:lang w:val="en-GB"/>
        </w:rPr>
      </w:pPr>
    </w:p>
    <w:p w14:paraId="3B469017" w14:textId="77777777" w:rsidR="00390AFE" w:rsidRDefault="00390AFE" w:rsidP="0001452E">
      <w:pPr>
        <w:rPr>
          <w:b/>
          <w:bCs/>
          <w:lang w:val="en-GB"/>
        </w:rPr>
      </w:pPr>
    </w:p>
    <w:p w14:paraId="002FFF78" w14:textId="3C26E5B1" w:rsidR="0001452E" w:rsidRDefault="0001452E" w:rsidP="0001452E">
      <w:pPr>
        <w:rPr>
          <w:b/>
          <w:bCs/>
          <w:lang w:val="en-GB"/>
        </w:rPr>
      </w:pPr>
      <w:r>
        <w:rPr>
          <w:b/>
          <w:bCs/>
          <w:lang w:val="en-GB"/>
        </w:rPr>
        <w:lastRenderedPageBreak/>
        <w:t>Was there an unreasonable or undue delay?</w:t>
      </w:r>
    </w:p>
    <w:p w14:paraId="250DC61F" w14:textId="77777777" w:rsidR="00390AFE" w:rsidRPr="00390AFE" w:rsidRDefault="00390AFE" w:rsidP="0001452E">
      <w:pPr>
        <w:rPr>
          <w:b/>
          <w:bCs/>
          <w:lang w:val="en-GB"/>
        </w:rPr>
      </w:pPr>
    </w:p>
    <w:p w14:paraId="462167E0" w14:textId="3E555805" w:rsidR="00D70532" w:rsidRPr="001916B7" w:rsidRDefault="001916B7" w:rsidP="001916B7">
      <w:pPr>
        <w:autoSpaceDE w:val="0"/>
        <w:autoSpaceDN w:val="0"/>
        <w:adjustRightInd w:val="0"/>
        <w:jc w:val="both"/>
        <w:rPr>
          <w:lang w:val="en-GB"/>
        </w:rPr>
      </w:pPr>
      <w:r>
        <w:rPr>
          <w:lang w:val="en-GB"/>
        </w:rPr>
        <w:t>[5]</w:t>
      </w:r>
      <w:r>
        <w:rPr>
          <w:lang w:val="en-GB"/>
        </w:rPr>
        <w:tab/>
      </w:r>
      <w:r w:rsidR="00D70532" w:rsidRPr="001916B7">
        <w:rPr>
          <w:lang w:val="en-GB"/>
        </w:rPr>
        <w:t>The Constitutional Court has endorsed the following approach to determining a plea of undue delay:</w:t>
      </w:r>
      <w:r w:rsidR="00D70532">
        <w:rPr>
          <w:rStyle w:val="FootnoteReference"/>
          <w:lang w:val="en-GB"/>
        </w:rPr>
        <w:footnoteReference w:id="5"/>
      </w:r>
    </w:p>
    <w:p w14:paraId="1F5541B4" w14:textId="77777777" w:rsidR="00EF25EA" w:rsidRDefault="00EF25EA" w:rsidP="00EF25EA">
      <w:pPr>
        <w:pStyle w:val="ListParagraph"/>
        <w:autoSpaceDE w:val="0"/>
        <w:autoSpaceDN w:val="0"/>
        <w:adjustRightInd w:val="0"/>
        <w:ind w:left="0"/>
        <w:jc w:val="both"/>
        <w:rPr>
          <w:lang w:val="en-GB"/>
        </w:rPr>
      </w:pPr>
    </w:p>
    <w:p w14:paraId="0A9AE6ED" w14:textId="123133D3" w:rsidR="00D70532" w:rsidRPr="007B2A2D" w:rsidRDefault="007B2A2D" w:rsidP="007B2A2D">
      <w:pPr>
        <w:autoSpaceDE w:val="0"/>
        <w:autoSpaceDN w:val="0"/>
        <w:adjustRightInd w:val="0"/>
        <w:jc w:val="both"/>
        <w:rPr>
          <w:sz w:val="22"/>
          <w:szCs w:val="22"/>
          <w:lang w:val="en-GB"/>
        </w:rPr>
      </w:pPr>
      <w:r w:rsidRPr="007B2A2D">
        <w:rPr>
          <w:sz w:val="22"/>
          <w:szCs w:val="22"/>
          <w:lang w:val="en-GB"/>
        </w:rPr>
        <w:t xml:space="preserve">‘(1) </w:t>
      </w:r>
      <w:r w:rsidR="00D70532" w:rsidRPr="007B2A2D">
        <w:rPr>
          <w:sz w:val="22"/>
          <w:szCs w:val="22"/>
          <w:lang w:val="en-GB"/>
        </w:rPr>
        <w:t>Consider whether the delay is unreasonable or undue (a factual enquiry upon which a value judgment is made in the light of all the relevant circumstances); and if so,</w:t>
      </w:r>
    </w:p>
    <w:p w14:paraId="24F254E9" w14:textId="174E238C" w:rsidR="00D70532" w:rsidRPr="007B2A2D" w:rsidRDefault="007B2A2D" w:rsidP="007B2A2D">
      <w:pPr>
        <w:autoSpaceDE w:val="0"/>
        <w:autoSpaceDN w:val="0"/>
        <w:adjustRightInd w:val="0"/>
        <w:jc w:val="both"/>
        <w:rPr>
          <w:sz w:val="22"/>
          <w:szCs w:val="22"/>
          <w:lang w:val="en-GB"/>
        </w:rPr>
      </w:pPr>
      <w:r w:rsidRPr="007B2A2D">
        <w:rPr>
          <w:sz w:val="22"/>
          <w:szCs w:val="22"/>
          <w:lang w:val="en-GB"/>
        </w:rPr>
        <w:t xml:space="preserve">(2) </w:t>
      </w:r>
      <w:r w:rsidR="00D70532" w:rsidRPr="007B2A2D">
        <w:rPr>
          <w:sz w:val="22"/>
          <w:szCs w:val="22"/>
          <w:lang w:val="en-GB"/>
        </w:rPr>
        <w:t>Decide whether the court’s discretion should be exercised to overlook the delay and nevertheless entertain the application.</w:t>
      </w:r>
      <w:r>
        <w:rPr>
          <w:sz w:val="22"/>
          <w:szCs w:val="22"/>
          <w:lang w:val="en-GB"/>
        </w:rPr>
        <w:t>’</w:t>
      </w:r>
    </w:p>
    <w:p w14:paraId="502DB84D" w14:textId="77777777" w:rsidR="001A6019" w:rsidRPr="001A6019" w:rsidRDefault="001A6019" w:rsidP="001A6019">
      <w:pPr>
        <w:rPr>
          <w:b/>
          <w:bCs/>
          <w:lang w:val="en-GB"/>
        </w:rPr>
      </w:pPr>
    </w:p>
    <w:p w14:paraId="2BA28319" w14:textId="6C00BFC7" w:rsidR="00A7325C" w:rsidRPr="001916B7" w:rsidRDefault="001916B7" w:rsidP="001916B7">
      <w:pPr>
        <w:autoSpaceDE w:val="0"/>
        <w:autoSpaceDN w:val="0"/>
        <w:adjustRightInd w:val="0"/>
        <w:jc w:val="both"/>
        <w:rPr>
          <w:lang w:val="en-GB"/>
        </w:rPr>
      </w:pPr>
      <w:r>
        <w:rPr>
          <w:lang w:val="en-GB"/>
        </w:rPr>
        <w:t>[6]</w:t>
      </w:r>
      <w:r>
        <w:rPr>
          <w:lang w:val="en-GB"/>
        </w:rPr>
        <w:tab/>
      </w:r>
      <w:r w:rsidR="00A7325C" w:rsidRPr="001916B7">
        <w:rPr>
          <w:lang w:val="en-GB"/>
        </w:rPr>
        <w:t>Section 7 of PAJA provides as follows:</w:t>
      </w:r>
    </w:p>
    <w:p w14:paraId="271EE076" w14:textId="77777777" w:rsidR="00EF25EA" w:rsidRDefault="00EF25EA" w:rsidP="00A15ABB">
      <w:pPr>
        <w:pStyle w:val="ListParagraph"/>
        <w:autoSpaceDE w:val="0"/>
        <w:autoSpaceDN w:val="0"/>
        <w:adjustRightInd w:val="0"/>
        <w:ind w:left="0"/>
        <w:jc w:val="both"/>
        <w:rPr>
          <w:sz w:val="22"/>
          <w:szCs w:val="22"/>
          <w:lang w:val="en-GB"/>
        </w:rPr>
      </w:pPr>
    </w:p>
    <w:p w14:paraId="00E090C4" w14:textId="2A15F32D" w:rsidR="00A15ABB" w:rsidRDefault="00A15ABB" w:rsidP="00A15ABB">
      <w:pPr>
        <w:pStyle w:val="ListParagraph"/>
        <w:autoSpaceDE w:val="0"/>
        <w:autoSpaceDN w:val="0"/>
        <w:adjustRightInd w:val="0"/>
        <w:ind w:left="0"/>
        <w:jc w:val="both"/>
        <w:rPr>
          <w:sz w:val="22"/>
          <w:szCs w:val="22"/>
          <w:lang w:val="en-GB"/>
        </w:rPr>
      </w:pPr>
      <w:r>
        <w:rPr>
          <w:sz w:val="22"/>
          <w:szCs w:val="22"/>
          <w:lang w:val="en-GB"/>
        </w:rPr>
        <w:t xml:space="preserve">‘(1) </w:t>
      </w:r>
      <w:r w:rsidRPr="00C23D96">
        <w:rPr>
          <w:sz w:val="22"/>
          <w:szCs w:val="22"/>
          <w:lang w:val="en-GB"/>
        </w:rPr>
        <w:t>Any proceedings for judicial review in terms of s 6(1) must be instituted without unreasonable delay and not later than 180 days after the date</w:t>
      </w:r>
      <w:r>
        <w:rPr>
          <w:sz w:val="22"/>
          <w:szCs w:val="22"/>
          <w:lang w:val="en-GB"/>
        </w:rPr>
        <w:t xml:space="preserve"> –</w:t>
      </w:r>
      <w:r w:rsidRPr="00C23D96">
        <w:rPr>
          <w:sz w:val="22"/>
          <w:szCs w:val="22"/>
          <w:lang w:val="en-GB"/>
        </w:rPr>
        <w:t xml:space="preserve"> </w:t>
      </w:r>
    </w:p>
    <w:p w14:paraId="421E67ED" w14:textId="7B500CA4" w:rsidR="00A15ABB" w:rsidRPr="001916B7" w:rsidRDefault="001916B7" w:rsidP="001916B7">
      <w:pPr>
        <w:autoSpaceDE w:val="0"/>
        <w:autoSpaceDN w:val="0"/>
        <w:adjustRightInd w:val="0"/>
        <w:ind w:left="720" w:hanging="360"/>
        <w:jc w:val="both"/>
        <w:rPr>
          <w:sz w:val="22"/>
          <w:szCs w:val="22"/>
          <w:lang w:val="en-GB"/>
        </w:rPr>
      </w:pPr>
      <w:r>
        <w:rPr>
          <w:i/>
          <w:iCs/>
          <w:sz w:val="22"/>
          <w:szCs w:val="22"/>
          <w:lang w:val="en-GB"/>
        </w:rPr>
        <w:t>(a)</w:t>
      </w:r>
      <w:r>
        <w:rPr>
          <w:i/>
          <w:iCs/>
          <w:sz w:val="22"/>
          <w:szCs w:val="22"/>
          <w:lang w:val="en-GB"/>
        </w:rPr>
        <w:tab/>
      </w:r>
      <w:r w:rsidR="00A15ABB" w:rsidRPr="001916B7">
        <w:rPr>
          <w:sz w:val="22"/>
          <w:szCs w:val="22"/>
          <w:lang w:val="en-GB"/>
        </w:rPr>
        <w:t xml:space="preserve">subject to subsection 2(c), on which any proceedings instituted in terms of internal remedies as contemplated in subsection 2(a) have been concluded; or </w:t>
      </w:r>
    </w:p>
    <w:p w14:paraId="2385B5D5" w14:textId="0376650B" w:rsidR="00A15ABB" w:rsidRPr="001916B7" w:rsidRDefault="001916B7" w:rsidP="001916B7">
      <w:pPr>
        <w:autoSpaceDE w:val="0"/>
        <w:autoSpaceDN w:val="0"/>
        <w:adjustRightInd w:val="0"/>
        <w:ind w:left="720" w:hanging="360"/>
        <w:jc w:val="both"/>
        <w:rPr>
          <w:sz w:val="22"/>
          <w:szCs w:val="22"/>
          <w:lang w:val="en-GB"/>
        </w:rPr>
      </w:pPr>
      <w:r>
        <w:rPr>
          <w:i/>
          <w:iCs/>
          <w:sz w:val="22"/>
          <w:szCs w:val="22"/>
          <w:lang w:val="en-GB"/>
        </w:rPr>
        <w:t>(b)</w:t>
      </w:r>
      <w:r>
        <w:rPr>
          <w:i/>
          <w:iCs/>
          <w:sz w:val="22"/>
          <w:szCs w:val="22"/>
          <w:lang w:val="en-GB"/>
        </w:rPr>
        <w:tab/>
      </w:r>
      <w:r w:rsidR="00A15ABB" w:rsidRPr="001916B7">
        <w:rPr>
          <w:sz w:val="22"/>
          <w:szCs w:val="22"/>
          <w:lang w:val="en-GB"/>
        </w:rPr>
        <w:t>where no such remedies exist, on which the person concerned was informed of the administrative action, became aware of the action and the reasons for it or might reasonably have been expected to have become aware of the action and the reasons.</w:t>
      </w:r>
    </w:p>
    <w:p w14:paraId="33CF12EE" w14:textId="77777777" w:rsidR="00EF25EA" w:rsidRDefault="00EF25EA" w:rsidP="00A15ABB">
      <w:pPr>
        <w:autoSpaceDE w:val="0"/>
        <w:autoSpaceDN w:val="0"/>
        <w:adjustRightInd w:val="0"/>
        <w:jc w:val="both"/>
        <w:rPr>
          <w:sz w:val="22"/>
          <w:szCs w:val="22"/>
          <w:lang w:val="en-GB"/>
        </w:rPr>
      </w:pPr>
    </w:p>
    <w:p w14:paraId="5B9D7D4D" w14:textId="3EED61D6" w:rsidR="00A15ABB" w:rsidRPr="00A7325C" w:rsidRDefault="00A15ABB" w:rsidP="00A15ABB">
      <w:pPr>
        <w:autoSpaceDE w:val="0"/>
        <w:autoSpaceDN w:val="0"/>
        <w:adjustRightInd w:val="0"/>
        <w:jc w:val="both"/>
        <w:rPr>
          <w:sz w:val="22"/>
          <w:szCs w:val="22"/>
          <w:lang w:val="en-GB"/>
        </w:rPr>
      </w:pPr>
      <w:r>
        <w:rPr>
          <w:sz w:val="22"/>
          <w:szCs w:val="22"/>
          <w:lang w:val="en-GB"/>
        </w:rPr>
        <w:t>(2)</w:t>
      </w:r>
      <w:r>
        <w:rPr>
          <w:i/>
          <w:iCs/>
          <w:sz w:val="22"/>
          <w:szCs w:val="22"/>
          <w:lang w:val="en-GB"/>
        </w:rPr>
        <w:t xml:space="preserve">(a) </w:t>
      </w:r>
      <w:r>
        <w:rPr>
          <w:sz w:val="22"/>
          <w:szCs w:val="22"/>
          <w:lang w:val="en-GB"/>
        </w:rPr>
        <w:t>Subject to paragraph (c), no court or tribunal shall review an administrative action in terms of this Act, unless any internal remedy provided for in any other law has first been exhausted …’</w:t>
      </w:r>
    </w:p>
    <w:p w14:paraId="3F8B2DFF" w14:textId="77777777" w:rsidR="00A15ABB" w:rsidRDefault="00A15ABB" w:rsidP="00A15ABB">
      <w:pPr>
        <w:pStyle w:val="ListParagraph"/>
        <w:autoSpaceDE w:val="0"/>
        <w:autoSpaceDN w:val="0"/>
        <w:adjustRightInd w:val="0"/>
        <w:ind w:left="0"/>
        <w:jc w:val="both"/>
        <w:rPr>
          <w:lang w:val="en-GB"/>
        </w:rPr>
      </w:pPr>
    </w:p>
    <w:p w14:paraId="4FB9C2F2" w14:textId="77777D4D" w:rsidR="00A15ABB" w:rsidRPr="001916B7" w:rsidRDefault="001916B7" w:rsidP="001916B7">
      <w:pPr>
        <w:autoSpaceDE w:val="0"/>
        <w:autoSpaceDN w:val="0"/>
        <w:adjustRightInd w:val="0"/>
        <w:jc w:val="both"/>
        <w:rPr>
          <w:lang w:val="en-GB"/>
        </w:rPr>
      </w:pPr>
      <w:r>
        <w:rPr>
          <w:lang w:val="en-GB"/>
        </w:rPr>
        <w:t>[7]</w:t>
      </w:r>
      <w:r>
        <w:rPr>
          <w:lang w:val="en-GB"/>
        </w:rPr>
        <w:tab/>
      </w:r>
      <w:r w:rsidR="00A15ABB" w:rsidRPr="001916B7">
        <w:rPr>
          <w:lang w:val="en-GB"/>
        </w:rPr>
        <w:t>The prescribed 180-day time-period may be extended for a fixed period, following application to court</w:t>
      </w:r>
      <w:r w:rsidR="00B21CA5" w:rsidRPr="001916B7">
        <w:rPr>
          <w:lang w:val="en-GB"/>
        </w:rPr>
        <w:t xml:space="preserve">, where parties are unable to agree to this, </w:t>
      </w:r>
      <w:r w:rsidR="00A15ABB" w:rsidRPr="001916B7">
        <w:rPr>
          <w:lang w:val="en-GB"/>
        </w:rPr>
        <w:t>in cas</w:t>
      </w:r>
      <w:r w:rsidR="00B21CA5" w:rsidRPr="001916B7">
        <w:rPr>
          <w:lang w:val="en-GB"/>
        </w:rPr>
        <w:t xml:space="preserve">es </w:t>
      </w:r>
      <w:r w:rsidR="00A15ABB" w:rsidRPr="001916B7">
        <w:rPr>
          <w:lang w:val="en-GB"/>
        </w:rPr>
        <w:t>where the interests of justice so require.</w:t>
      </w:r>
      <w:r w:rsidR="00280CB3">
        <w:rPr>
          <w:rStyle w:val="FootnoteReference"/>
          <w:lang w:val="en-GB"/>
        </w:rPr>
        <w:footnoteReference w:id="6"/>
      </w:r>
    </w:p>
    <w:p w14:paraId="5F01DD82" w14:textId="5BF778DA" w:rsidR="006A6255" w:rsidRDefault="006A6255" w:rsidP="006A6255">
      <w:pPr>
        <w:pStyle w:val="ListParagraph"/>
        <w:autoSpaceDE w:val="0"/>
        <w:autoSpaceDN w:val="0"/>
        <w:adjustRightInd w:val="0"/>
        <w:ind w:left="0"/>
        <w:jc w:val="both"/>
        <w:rPr>
          <w:lang w:val="en-GB"/>
        </w:rPr>
      </w:pPr>
    </w:p>
    <w:p w14:paraId="3FE43769" w14:textId="312E866B" w:rsidR="009838F9" w:rsidRDefault="009838F9" w:rsidP="006A6255">
      <w:pPr>
        <w:pStyle w:val="ListParagraph"/>
        <w:autoSpaceDE w:val="0"/>
        <w:autoSpaceDN w:val="0"/>
        <w:adjustRightInd w:val="0"/>
        <w:ind w:left="0"/>
        <w:jc w:val="both"/>
        <w:rPr>
          <w:lang w:val="en-GB"/>
        </w:rPr>
      </w:pPr>
    </w:p>
    <w:p w14:paraId="60E79774" w14:textId="2FAA1C27" w:rsidR="009838F9" w:rsidRDefault="009838F9" w:rsidP="006A6255">
      <w:pPr>
        <w:pStyle w:val="ListParagraph"/>
        <w:autoSpaceDE w:val="0"/>
        <w:autoSpaceDN w:val="0"/>
        <w:adjustRightInd w:val="0"/>
        <w:ind w:left="0"/>
        <w:jc w:val="both"/>
        <w:rPr>
          <w:lang w:val="en-GB"/>
        </w:rPr>
      </w:pPr>
    </w:p>
    <w:p w14:paraId="2C06C3EF" w14:textId="77777777" w:rsidR="009838F9" w:rsidRDefault="009838F9" w:rsidP="006A6255">
      <w:pPr>
        <w:pStyle w:val="ListParagraph"/>
        <w:autoSpaceDE w:val="0"/>
        <w:autoSpaceDN w:val="0"/>
        <w:adjustRightInd w:val="0"/>
        <w:ind w:left="0"/>
        <w:jc w:val="both"/>
        <w:rPr>
          <w:lang w:val="en-GB"/>
        </w:rPr>
      </w:pPr>
    </w:p>
    <w:p w14:paraId="6F4F3773" w14:textId="77777777" w:rsidR="006A6255" w:rsidRPr="00726278" w:rsidRDefault="006A6255" w:rsidP="006A6255">
      <w:pPr>
        <w:rPr>
          <w:i/>
          <w:iCs/>
          <w:lang w:val="en-GB"/>
        </w:rPr>
      </w:pPr>
      <w:r w:rsidRPr="00726278">
        <w:rPr>
          <w:i/>
          <w:iCs/>
          <w:lang w:val="en-GB"/>
        </w:rPr>
        <w:lastRenderedPageBreak/>
        <w:t>Was the 2011 Recognition Decision subject to internal remedies?</w:t>
      </w:r>
    </w:p>
    <w:p w14:paraId="5A259843" w14:textId="77777777" w:rsidR="006A6255" w:rsidRDefault="006A6255" w:rsidP="006A6255">
      <w:pPr>
        <w:pStyle w:val="ListParagraph"/>
        <w:autoSpaceDE w:val="0"/>
        <w:autoSpaceDN w:val="0"/>
        <w:adjustRightInd w:val="0"/>
        <w:ind w:left="0"/>
        <w:jc w:val="both"/>
        <w:rPr>
          <w:lang w:val="en-GB"/>
        </w:rPr>
      </w:pPr>
    </w:p>
    <w:p w14:paraId="29E96A18" w14:textId="3749C057" w:rsidR="009A48B6" w:rsidRPr="001916B7" w:rsidRDefault="001916B7" w:rsidP="001916B7">
      <w:pPr>
        <w:autoSpaceDE w:val="0"/>
        <w:autoSpaceDN w:val="0"/>
        <w:adjustRightInd w:val="0"/>
        <w:jc w:val="both"/>
        <w:rPr>
          <w:lang w:val="en-GB"/>
        </w:rPr>
      </w:pPr>
      <w:r>
        <w:rPr>
          <w:lang w:val="en-GB"/>
        </w:rPr>
        <w:t>[8]</w:t>
      </w:r>
      <w:r>
        <w:rPr>
          <w:lang w:val="en-GB"/>
        </w:rPr>
        <w:tab/>
      </w:r>
      <w:r w:rsidR="006546C2" w:rsidRPr="001916B7">
        <w:rPr>
          <w:lang w:val="en-GB"/>
        </w:rPr>
        <w:t xml:space="preserve">In determining whether these proceedings have been instituted </w:t>
      </w:r>
      <w:r w:rsidR="0067617F" w:rsidRPr="001916B7">
        <w:rPr>
          <w:lang w:val="en-GB"/>
        </w:rPr>
        <w:t xml:space="preserve">within the prescribed time period, or </w:t>
      </w:r>
      <w:r w:rsidR="006546C2" w:rsidRPr="001916B7">
        <w:rPr>
          <w:lang w:val="en-GB"/>
        </w:rPr>
        <w:t xml:space="preserve">without unreasonable delay, it is first necessary to consider the issue of internal remedies. </w:t>
      </w:r>
      <w:r w:rsidR="000F6460" w:rsidRPr="001916B7">
        <w:rPr>
          <w:lang w:val="en-GB"/>
        </w:rPr>
        <w:t xml:space="preserve">The applicant followed a process, seemingly on the advice of the CGE, centred on the Provincial House. </w:t>
      </w:r>
      <w:r w:rsidR="00B332D5" w:rsidRPr="001916B7">
        <w:rPr>
          <w:lang w:val="en-GB"/>
        </w:rPr>
        <w:t xml:space="preserve">It was </w:t>
      </w:r>
      <w:r w:rsidR="009838F9" w:rsidRPr="001916B7">
        <w:rPr>
          <w:lang w:val="en-GB"/>
        </w:rPr>
        <w:t xml:space="preserve">attempted </w:t>
      </w:r>
      <w:r w:rsidR="00B332D5" w:rsidRPr="001916B7">
        <w:rPr>
          <w:lang w:val="en-GB"/>
        </w:rPr>
        <w:t xml:space="preserve">engagement in that process that has occupied the time of the applicant and her advisors for </w:t>
      </w:r>
      <w:r w:rsidR="00D47FB6" w:rsidRPr="001916B7">
        <w:rPr>
          <w:lang w:val="en-GB"/>
        </w:rPr>
        <w:t>parts</w:t>
      </w:r>
      <w:r w:rsidR="00B332D5" w:rsidRPr="001916B7">
        <w:rPr>
          <w:lang w:val="en-GB"/>
        </w:rPr>
        <w:t xml:space="preserve"> of the </w:t>
      </w:r>
      <w:r w:rsidR="00EC4A5A" w:rsidRPr="001916B7">
        <w:rPr>
          <w:lang w:val="en-GB"/>
        </w:rPr>
        <w:t>period</w:t>
      </w:r>
      <w:r w:rsidR="00B332D5" w:rsidRPr="001916B7">
        <w:rPr>
          <w:lang w:val="en-GB"/>
        </w:rPr>
        <w:t xml:space="preserve"> between the end of 2011 and 2018</w:t>
      </w:r>
      <w:r w:rsidR="005509EE" w:rsidRPr="001916B7">
        <w:rPr>
          <w:lang w:val="en-GB"/>
        </w:rPr>
        <w:t>, when the application was launched</w:t>
      </w:r>
      <w:r w:rsidR="00B332D5" w:rsidRPr="001916B7">
        <w:rPr>
          <w:lang w:val="en-GB"/>
        </w:rPr>
        <w:t>.</w:t>
      </w:r>
      <w:r w:rsidR="00CE1137" w:rsidRPr="001916B7">
        <w:rPr>
          <w:lang w:val="en-GB"/>
        </w:rPr>
        <w:t xml:space="preserve"> It was the outcome of that process that was penned during 2013 but only communicated to the applicant in 2017.</w:t>
      </w:r>
      <w:r w:rsidR="00B332D5" w:rsidRPr="001916B7">
        <w:rPr>
          <w:lang w:val="en-GB"/>
        </w:rPr>
        <w:t xml:space="preserve"> </w:t>
      </w:r>
      <w:r w:rsidR="000F6460" w:rsidRPr="001916B7">
        <w:rPr>
          <w:lang w:val="en-GB"/>
        </w:rPr>
        <w:t xml:space="preserve">If that </w:t>
      </w:r>
      <w:r w:rsidR="00372221" w:rsidRPr="001916B7">
        <w:rPr>
          <w:lang w:val="en-GB"/>
        </w:rPr>
        <w:t>approach constituted a process properly instituted as an internal remedy ‘provided for in any other law’, it would affect the calculation of the 180-day period in terms of PAJA in favour of the applicant.</w:t>
      </w:r>
      <w:r w:rsidR="00B332D5" w:rsidRPr="001916B7">
        <w:rPr>
          <w:lang w:val="en-GB"/>
        </w:rPr>
        <w:t xml:space="preserve"> </w:t>
      </w:r>
      <w:r w:rsidR="0078304B" w:rsidRPr="001916B7">
        <w:rPr>
          <w:lang w:val="en-GB"/>
        </w:rPr>
        <w:t>If not</w:t>
      </w:r>
      <w:r w:rsidR="00156728" w:rsidRPr="001916B7">
        <w:rPr>
          <w:lang w:val="en-GB"/>
        </w:rPr>
        <w:t>, the proverbial clock start</w:t>
      </w:r>
      <w:r w:rsidR="00113542" w:rsidRPr="001916B7">
        <w:rPr>
          <w:lang w:val="en-GB"/>
        </w:rPr>
        <w:t>ed</w:t>
      </w:r>
      <w:r w:rsidR="00156728" w:rsidRPr="001916B7">
        <w:rPr>
          <w:lang w:val="en-GB"/>
        </w:rPr>
        <w:t xml:space="preserve"> running from the date that the applicant became aware or reasonably ought to have become aware of the </w:t>
      </w:r>
      <w:r w:rsidR="00F015FF" w:rsidRPr="001916B7">
        <w:rPr>
          <w:lang w:val="en-GB"/>
        </w:rPr>
        <w:t xml:space="preserve">administrative </w:t>
      </w:r>
      <w:r w:rsidR="00156728" w:rsidRPr="001916B7">
        <w:rPr>
          <w:lang w:val="en-GB"/>
        </w:rPr>
        <w:t>action.</w:t>
      </w:r>
      <w:r w:rsidR="00156728">
        <w:rPr>
          <w:rStyle w:val="FootnoteReference"/>
          <w:lang w:val="en-GB"/>
        </w:rPr>
        <w:footnoteReference w:id="7"/>
      </w:r>
      <w:r w:rsidR="00156728" w:rsidRPr="001916B7">
        <w:rPr>
          <w:lang w:val="en-GB"/>
        </w:rPr>
        <w:t xml:space="preserve"> </w:t>
      </w:r>
      <w:r w:rsidR="00B332D5" w:rsidRPr="001916B7">
        <w:rPr>
          <w:lang w:val="en-GB"/>
        </w:rPr>
        <w:t>I</w:t>
      </w:r>
      <w:r w:rsidR="009A48B6" w:rsidRPr="001916B7">
        <w:rPr>
          <w:lang w:val="en-GB"/>
        </w:rPr>
        <w:t>n that case</w:t>
      </w:r>
      <w:r w:rsidR="00B332D5" w:rsidRPr="001916B7">
        <w:rPr>
          <w:lang w:val="en-GB"/>
        </w:rPr>
        <w:t xml:space="preserve">, </w:t>
      </w:r>
      <w:r w:rsidR="00D3580E" w:rsidRPr="001916B7">
        <w:rPr>
          <w:lang w:val="en-GB"/>
        </w:rPr>
        <w:t xml:space="preserve">the </w:t>
      </w:r>
      <w:r w:rsidR="00304D01" w:rsidRPr="001916B7">
        <w:rPr>
          <w:lang w:val="en-GB"/>
        </w:rPr>
        <w:t xml:space="preserve">circumstances surrounding the </w:t>
      </w:r>
      <w:r w:rsidR="009A48B6" w:rsidRPr="001916B7">
        <w:rPr>
          <w:lang w:val="en-GB"/>
        </w:rPr>
        <w:t xml:space="preserve">approach to the Provincial House, are factors to be considered as part of the explanation for the delay. </w:t>
      </w:r>
    </w:p>
    <w:p w14:paraId="31AACDD7" w14:textId="77777777" w:rsidR="009A48B6" w:rsidRDefault="009A48B6" w:rsidP="009A48B6">
      <w:pPr>
        <w:pStyle w:val="ListParagraph"/>
        <w:autoSpaceDE w:val="0"/>
        <w:autoSpaceDN w:val="0"/>
        <w:adjustRightInd w:val="0"/>
        <w:ind w:left="0"/>
        <w:jc w:val="both"/>
        <w:rPr>
          <w:lang w:val="en-GB"/>
        </w:rPr>
      </w:pPr>
    </w:p>
    <w:p w14:paraId="13F01895" w14:textId="7B15F573" w:rsidR="00101B28" w:rsidRPr="001916B7" w:rsidRDefault="001916B7" w:rsidP="001916B7">
      <w:pPr>
        <w:autoSpaceDE w:val="0"/>
        <w:autoSpaceDN w:val="0"/>
        <w:adjustRightInd w:val="0"/>
        <w:jc w:val="both"/>
        <w:rPr>
          <w:lang w:val="en-GB"/>
        </w:rPr>
      </w:pPr>
      <w:r>
        <w:rPr>
          <w:lang w:val="en-GB"/>
        </w:rPr>
        <w:t>[9]</w:t>
      </w:r>
      <w:r>
        <w:rPr>
          <w:lang w:val="en-GB"/>
        </w:rPr>
        <w:tab/>
      </w:r>
      <w:r w:rsidR="000D5D16" w:rsidRPr="001916B7">
        <w:rPr>
          <w:lang w:val="en-GB"/>
        </w:rPr>
        <w:t>V</w:t>
      </w:r>
      <w:r w:rsidR="001231F2" w:rsidRPr="001916B7">
        <w:rPr>
          <w:lang w:val="en-GB"/>
        </w:rPr>
        <w:t xml:space="preserve">arious decisions of the SCA and Constitutional Court, which have considered similarly worded provincial legislative provisions and interpreted the relevant sections of the Framework Act, </w:t>
      </w:r>
      <w:r w:rsidR="000D5D16" w:rsidRPr="001916B7">
        <w:rPr>
          <w:lang w:val="en-GB"/>
        </w:rPr>
        <w:t>have clarified the position</w:t>
      </w:r>
      <w:r w:rsidR="001231F2" w:rsidRPr="001916B7">
        <w:rPr>
          <w:lang w:val="en-GB"/>
        </w:rPr>
        <w:t xml:space="preserve">. </w:t>
      </w:r>
      <w:r w:rsidR="00C43645" w:rsidRPr="001916B7">
        <w:rPr>
          <w:lang w:val="en-GB"/>
        </w:rPr>
        <w:t xml:space="preserve">In </w:t>
      </w:r>
      <w:r w:rsidR="00C43645" w:rsidRPr="001916B7">
        <w:rPr>
          <w:i/>
          <w:iCs/>
          <w:lang w:val="en-GB"/>
        </w:rPr>
        <w:t>Tshivhulana</w:t>
      </w:r>
      <w:r w:rsidR="00C43645" w:rsidRPr="001916B7">
        <w:rPr>
          <w:lang w:val="en-GB"/>
        </w:rPr>
        <w:t>,</w:t>
      </w:r>
      <w:r w:rsidR="00C43645">
        <w:rPr>
          <w:rStyle w:val="FootnoteReference"/>
          <w:lang w:val="en-GB"/>
        </w:rPr>
        <w:footnoteReference w:id="8"/>
      </w:r>
      <w:r w:rsidR="00B41313" w:rsidRPr="001916B7">
        <w:rPr>
          <w:lang w:val="en-GB"/>
        </w:rPr>
        <w:t xml:space="preserve"> the Constitutional Court considered s 21 of the Framework Act, following a High Court’s decision that internal remedies were to be exhausted</w:t>
      </w:r>
      <w:r w:rsidR="00823EC3" w:rsidRPr="001916B7">
        <w:rPr>
          <w:lang w:val="en-GB"/>
        </w:rPr>
        <w:t xml:space="preserve"> prior to a review application. </w:t>
      </w:r>
      <w:r w:rsidR="006E11A0" w:rsidRPr="001916B7">
        <w:rPr>
          <w:lang w:val="en-GB"/>
        </w:rPr>
        <w:t xml:space="preserve">As in the present instance, the High Court had been approached on the basis that the Premier’s decision to recognise the respondent as a village headman ought to be reviewed and set aside. </w:t>
      </w:r>
      <w:r w:rsidR="00F2267D" w:rsidRPr="001916B7">
        <w:rPr>
          <w:lang w:val="en-GB"/>
        </w:rPr>
        <w:t xml:space="preserve">The point </w:t>
      </w:r>
      <w:r w:rsidR="00F2267D" w:rsidRPr="001916B7">
        <w:rPr>
          <w:i/>
          <w:iCs/>
          <w:lang w:val="en-GB"/>
        </w:rPr>
        <w:t>in limine</w:t>
      </w:r>
      <w:r w:rsidR="00F2267D" w:rsidRPr="001916B7">
        <w:rPr>
          <w:lang w:val="en-GB"/>
        </w:rPr>
        <w:t xml:space="preserve"> considered by the Constitutional Court was whether the appellant had failed to exhaust the internal remedies prescribed by s 21 of the Framework Act</w:t>
      </w:r>
      <w:r w:rsidR="008400E7" w:rsidRPr="001916B7">
        <w:rPr>
          <w:lang w:val="en-GB"/>
        </w:rPr>
        <w:t>, prior to reviewing the Premier’s decision</w:t>
      </w:r>
      <w:r w:rsidR="008264F2" w:rsidRPr="001916B7">
        <w:rPr>
          <w:lang w:val="en-GB"/>
        </w:rPr>
        <w:t xml:space="preserve"> in terms of PAJA</w:t>
      </w:r>
      <w:r w:rsidR="00F2267D" w:rsidRPr="001916B7">
        <w:rPr>
          <w:lang w:val="en-GB"/>
        </w:rPr>
        <w:t>.</w:t>
      </w:r>
      <w:r w:rsidR="00101B28" w:rsidRPr="001916B7">
        <w:rPr>
          <w:lang w:val="en-GB"/>
        </w:rPr>
        <w:t xml:space="preserve"> The Court </w:t>
      </w:r>
      <w:r w:rsidR="00F8238A" w:rsidRPr="001916B7">
        <w:rPr>
          <w:lang w:val="en-GB"/>
        </w:rPr>
        <w:t>interpreted that section</w:t>
      </w:r>
      <w:r w:rsidR="00101B28" w:rsidRPr="001916B7">
        <w:rPr>
          <w:lang w:val="en-GB"/>
        </w:rPr>
        <w:t xml:space="preserve"> as follows:</w:t>
      </w:r>
      <w:r w:rsidR="00EA207C">
        <w:rPr>
          <w:rStyle w:val="FootnoteReference"/>
          <w:lang w:val="en-GB"/>
        </w:rPr>
        <w:footnoteReference w:id="9"/>
      </w:r>
    </w:p>
    <w:p w14:paraId="3779680B" w14:textId="77777777" w:rsidR="00BD6763" w:rsidRPr="008400E7" w:rsidRDefault="00BD6763" w:rsidP="00BD6763">
      <w:pPr>
        <w:pStyle w:val="ListParagraph"/>
        <w:autoSpaceDE w:val="0"/>
        <w:autoSpaceDN w:val="0"/>
        <w:adjustRightInd w:val="0"/>
        <w:ind w:left="0"/>
        <w:jc w:val="both"/>
        <w:rPr>
          <w:lang w:val="en-GB"/>
        </w:rPr>
      </w:pPr>
    </w:p>
    <w:p w14:paraId="47F16D04" w14:textId="0C71E747" w:rsidR="00101B28" w:rsidRPr="00F8238A" w:rsidRDefault="00F8238A" w:rsidP="00101B28">
      <w:pPr>
        <w:pStyle w:val="ListParagraph"/>
        <w:autoSpaceDE w:val="0"/>
        <w:autoSpaceDN w:val="0"/>
        <w:adjustRightInd w:val="0"/>
        <w:ind w:left="0"/>
        <w:jc w:val="both"/>
        <w:rPr>
          <w:sz w:val="22"/>
          <w:szCs w:val="22"/>
          <w:lang w:val="en-GB"/>
        </w:rPr>
      </w:pPr>
      <w:r>
        <w:rPr>
          <w:sz w:val="22"/>
          <w:szCs w:val="22"/>
          <w:lang w:val="en-GB"/>
        </w:rPr>
        <w:lastRenderedPageBreak/>
        <w:t>‘</w:t>
      </w:r>
      <w:r w:rsidR="008400E7">
        <w:rPr>
          <w:sz w:val="22"/>
          <w:szCs w:val="22"/>
          <w:lang w:val="en-GB"/>
        </w:rPr>
        <w:t xml:space="preserve">The dispute may be referred from one level to the next only if it is unresolved. </w:t>
      </w:r>
      <w:r w:rsidR="000E63C7">
        <w:rPr>
          <w:sz w:val="22"/>
          <w:szCs w:val="22"/>
          <w:lang w:val="en-GB"/>
        </w:rPr>
        <w:t>When a definitive decision is taken at any level, the aggrieved party does not have any further internal recourse. This is so because none of the levels is a review or appeal level. A decision at any level gives the aggrieved party the right to exit the internal structure and approach a court for appropriate relief.</w:t>
      </w:r>
      <w:r w:rsidR="006A5237">
        <w:rPr>
          <w:sz w:val="22"/>
          <w:szCs w:val="22"/>
          <w:lang w:val="en-GB"/>
        </w:rPr>
        <w:t>’</w:t>
      </w:r>
    </w:p>
    <w:p w14:paraId="1F673728" w14:textId="77777777" w:rsidR="00184107" w:rsidRPr="00BE75AD" w:rsidRDefault="00184107" w:rsidP="00BE75AD">
      <w:pPr>
        <w:rPr>
          <w:lang w:val="en-GB"/>
        </w:rPr>
      </w:pPr>
    </w:p>
    <w:p w14:paraId="6ECF3D15" w14:textId="2842D0BA" w:rsidR="00184107" w:rsidRPr="001916B7" w:rsidRDefault="001916B7" w:rsidP="001916B7">
      <w:pPr>
        <w:autoSpaceDE w:val="0"/>
        <w:autoSpaceDN w:val="0"/>
        <w:adjustRightInd w:val="0"/>
        <w:jc w:val="both"/>
        <w:rPr>
          <w:lang w:val="en-GB"/>
        </w:rPr>
      </w:pPr>
      <w:r>
        <w:rPr>
          <w:lang w:val="en-GB"/>
        </w:rPr>
        <w:t>[10]</w:t>
      </w:r>
      <w:r>
        <w:rPr>
          <w:lang w:val="en-GB"/>
        </w:rPr>
        <w:tab/>
      </w:r>
      <w:r w:rsidR="00BE75AD" w:rsidRPr="001916B7">
        <w:rPr>
          <w:lang w:val="en-GB"/>
        </w:rPr>
        <w:t>In addition:</w:t>
      </w:r>
      <w:r w:rsidR="00BE75AD">
        <w:rPr>
          <w:rStyle w:val="FootnoteReference"/>
          <w:lang w:val="en-GB"/>
        </w:rPr>
        <w:footnoteReference w:id="10"/>
      </w:r>
    </w:p>
    <w:p w14:paraId="39EA4623" w14:textId="77777777" w:rsidR="00BD6763" w:rsidRDefault="00BD6763" w:rsidP="00BD6763">
      <w:pPr>
        <w:pStyle w:val="ListParagraph"/>
        <w:autoSpaceDE w:val="0"/>
        <w:autoSpaceDN w:val="0"/>
        <w:adjustRightInd w:val="0"/>
        <w:ind w:left="0"/>
        <w:jc w:val="both"/>
        <w:rPr>
          <w:lang w:val="en-GB"/>
        </w:rPr>
      </w:pPr>
    </w:p>
    <w:p w14:paraId="5B3DCA98" w14:textId="3256E4B1" w:rsidR="00D67692" w:rsidRDefault="00BE75AD" w:rsidP="00BE75AD">
      <w:pPr>
        <w:pStyle w:val="ListParagraph"/>
        <w:autoSpaceDE w:val="0"/>
        <w:autoSpaceDN w:val="0"/>
        <w:adjustRightInd w:val="0"/>
        <w:ind w:left="0"/>
        <w:jc w:val="both"/>
        <w:rPr>
          <w:sz w:val="22"/>
          <w:szCs w:val="22"/>
          <w:lang w:val="en-GB"/>
        </w:rPr>
      </w:pPr>
      <w:r>
        <w:rPr>
          <w:sz w:val="22"/>
          <w:szCs w:val="22"/>
          <w:lang w:val="en-GB"/>
        </w:rPr>
        <w:t xml:space="preserve">‘The dispute or claim that should be subjected to the internal remedies prescribed in section 21 must be one </w:t>
      </w:r>
      <w:r>
        <w:rPr>
          <w:i/>
          <w:iCs/>
          <w:sz w:val="22"/>
          <w:szCs w:val="22"/>
          <w:lang w:val="en-GB"/>
        </w:rPr>
        <w:t>between or within</w:t>
      </w:r>
      <w:r>
        <w:rPr>
          <w:sz w:val="22"/>
          <w:szCs w:val="22"/>
          <w:lang w:val="en-GB"/>
        </w:rPr>
        <w:t xml:space="preserve"> traditional communities or customary institutions as defined in the Framework Act … [the applicant] presented the dispute in the High Court as the unlawful or irregular recognition of the respondent by the Premier …</w:t>
      </w:r>
      <w:r w:rsidR="00465385">
        <w:rPr>
          <w:sz w:val="22"/>
          <w:szCs w:val="22"/>
          <w:lang w:val="en-GB"/>
        </w:rPr>
        <w:t xml:space="preserve"> The dispute is between [the applicant] and the Premier. The Premier is not a traditional community or customary institution. </w:t>
      </w:r>
      <w:r w:rsidR="008947D7">
        <w:rPr>
          <w:sz w:val="22"/>
          <w:szCs w:val="22"/>
          <w:lang w:val="en-GB"/>
        </w:rPr>
        <w:t xml:space="preserve">It is highly unlikely that the Legislature </w:t>
      </w:r>
      <w:r w:rsidR="00472FFB">
        <w:rPr>
          <w:sz w:val="22"/>
          <w:szCs w:val="22"/>
          <w:lang w:val="en-GB"/>
        </w:rPr>
        <w:t>would have contemplated a dispute between the Premier and a traditional community or a customary institution to fall within the purview of section 21(1)</w:t>
      </w:r>
      <w:r w:rsidR="00472FFB">
        <w:rPr>
          <w:i/>
          <w:iCs/>
          <w:sz w:val="22"/>
          <w:szCs w:val="22"/>
          <w:lang w:val="en-GB"/>
        </w:rPr>
        <w:t>(a)</w:t>
      </w:r>
      <w:r w:rsidR="00472FFB">
        <w:rPr>
          <w:sz w:val="22"/>
          <w:szCs w:val="22"/>
          <w:lang w:val="en-GB"/>
        </w:rPr>
        <w:t xml:space="preserve"> of the Framework Act. </w:t>
      </w:r>
      <w:r w:rsidR="00640616">
        <w:rPr>
          <w:sz w:val="22"/>
          <w:szCs w:val="22"/>
          <w:lang w:val="en-GB"/>
        </w:rPr>
        <w:t xml:space="preserve">This is so because the Premier is part of the internal dispute </w:t>
      </w:r>
      <w:r w:rsidR="00D67692">
        <w:rPr>
          <w:sz w:val="22"/>
          <w:szCs w:val="22"/>
          <w:lang w:val="en-GB"/>
        </w:rPr>
        <w:t>resolution institutions or persons in section 21. It would be absurd to have the Premier simultaneously as a party to and resolver of the dispute. In recognition disputes, the Premier’s decision would invariably be impugned because he or she is the recognising authority. Having decided the issue, he or she would be disqualified to resolve the dispute about his or her alleged unlawful conduct</w:t>
      </w:r>
      <w:r w:rsidR="00262A08">
        <w:rPr>
          <w:sz w:val="22"/>
          <w:szCs w:val="22"/>
          <w:lang w:val="en-GB"/>
        </w:rPr>
        <w:t xml:space="preserve"> … </w:t>
      </w:r>
      <w:r w:rsidR="00E84E82">
        <w:rPr>
          <w:sz w:val="22"/>
          <w:szCs w:val="22"/>
          <w:lang w:val="en-GB"/>
        </w:rPr>
        <w:t>the section 21 dispute resolution remedies are not applicable when the Premier’s action is challenged …’</w:t>
      </w:r>
    </w:p>
    <w:p w14:paraId="6EB021AA" w14:textId="77777777" w:rsidR="0084258D" w:rsidRPr="0084258D" w:rsidRDefault="0084258D" w:rsidP="0084258D">
      <w:pPr>
        <w:pStyle w:val="ListParagraph"/>
        <w:autoSpaceDE w:val="0"/>
        <w:autoSpaceDN w:val="0"/>
        <w:adjustRightInd w:val="0"/>
        <w:ind w:left="0"/>
        <w:jc w:val="both"/>
        <w:rPr>
          <w:lang w:val="en-GB"/>
        </w:rPr>
      </w:pPr>
    </w:p>
    <w:p w14:paraId="37816AB1" w14:textId="38B8538E" w:rsidR="00AF6DF0" w:rsidRPr="001916B7" w:rsidRDefault="001916B7" w:rsidP="001916B7">
      <w:pPr>
        <w:autoSpaceDE w:val="0"/>
        <w:autoSpaceDN w:val="0"/>
        <w:adjustRightInd w:val="0"/>
        <w:jc w:val="both"/>
        <w:rPr>
          <w:lang w:val="en-GB"/>
        </w:rPr>
      </w:pPr>
      <w:r>
        <w:rPr>
          <w:lang w:val="en-GB"/>
        </w:rPr>
        <w:t>[11]</w:t>
      </w:r>
      <w:r>
        <w:rPr>
          <w:lang w:val="en-GB"/>
        </w:rPr>
        <w:tab/>
      </w:r>
      <w:r w:rsidR="0084258D" w:rsidRPr="001916B7">
        <w:rPr>
          <w:lang w:val="en-GB"/>
        </w:rPr>
        <w:t xml:space="preserve">The judgment of Mogoeng JP in </w:t>
      </w:r>
      <w:r w:rsidR="0084258D" w:rsidRPr="001916B7">
        <w:rPr>
          <w:i/>
          <w:iCs/>
          <w:lang w:val="en-GB"/>
        </w:rPr>
        <w:t>Mamogale</w:t>
      </w:r>
      <w:r w:rsidR="0084258D" w:rsidRPr="001916B7">
        <w:rPr>
          <w:lang w:val="en-GB"/>
        </w:rPr>
        <w:t>,</w:t>
      </w:r>
      <w:r w:rsidR="0084258D">
        <w:rPr>
          <w:rStyle w:val="FootnoteReference"/>
          <w:sz w:val="22"/>
          <w:szCs w:val="22"/>
          <w:lang w:val="en-GB"/>
        </w:rPr>
        <w:footnoteReference w:id="11"/>
      </w:r>
      <w:r w:rsidR="0084258D" w:rsidRPr="001916B7">
        <w:rPr>
          <w:lang w:val="en-GB"/>
        </w:rPr>
        <w:t xml:space="preserve"> cited with approval in </w:t>
      </w:r>
      <w:r w:rsidR="0084258D" w:rsidRPr="001916B7">
        <w:rPr>
          <w:i/>
          <w:iCs/>
          <w:lang w:val="en-GB"/>
        </w:rPr>
        <w:t>Tshivhulana</w:t>
      </w:r>
      <w:r w:rsidR="0084258D" w:rsidRPr="001916B7">
        <w:rPr>
          <w:lang w:val="en-GB"/>
        </w:rPr>
        <w:t>, further elucidates the position:</w:t>
      </w:r>
    </w:p>
    <w:p w14:paraId="5F372928" w14:textId="77777777" w:rsidR="00696BA8" w:rsidRDefault="00696BA8" w:rsidP="00696BA8">
      <w:pPr>
        <w:pStyle w:val="ListParagraph"/>
        <w:autoSpaceDE w:val="0"/>
        <w:autoSpaceDN w:val="0"/>
        <w:adjustRightInd w:val="0"/>
        <w:ind w:left="0"/>
        <w:jc w:val="both"/>
        <w:rPr>
          <w:lang w:val="en-GB"/>
        </w:rPr>
      </w:pPr>
    </w:p>
    <w:p w14:paraId="6C300F6E" w14:textId="0482B5FF" w:rsidR="0084258D" w:rsidRDefault="00451C74" w:rsidP="0084258D">
      <w:pPr>
        <w:pStyle w:val="ListParagraph"/>
        <w:autoSpaceDE w:val="0"/>
        <w:autoSpaceDN w:val="0"/>
        <w:adjustRightInd w:val="0"/>
        <w:ind w:left="0"/>
        <w:jc w:val="both"/>
        <w:rPr>
          <w:sz w:val="22"/>
          <w:szCs w:val="22"/>
          <w:lang w:val="en-GB"/>
        </w:rPr>
      </w:pPr>
      <w:r>
        <w:rPr>
          <w:sz w:val="22"/>
          <w:szCs w:val="22"/>
          <w:lang w:val="en-GB"/>
        </w:rPr>
        <w:t xml:space="preserve">‘The Premier of this Province has pronounced herself … on the recognition </w:t>
      </w:r>
      <w:r w:rsidR="00D91E3A">
        <w:rPr>
          <w:sz w:val="22"/>
          <w:szCs w:val="22"/>
          <w:lang w:val="en-GB"/>
        </w:rPr>
        <w:t xml:space="preserve">of the second respondent as his replacement. This decision has elevated what once was an internal dispute, potentially capable of internal resolution, to a dispute between a faction of the Royal Family … and the Provincial Government … which has caused the resolution to no longer be internal. </w:t>
      </w:r>
      <w:r w:rsidR="007E4BC3">
        <w:rPr>
          <w:sz w:val="22"/>
          <w:szCs w:val="22"/>
          <w:lang w:val="en-GB"/>
        </w:rPr>
        <w:t>A truly internal dispute is, in the context of this case, capable of being resolved by the Royal Family through customary laws, customs and processes … once the Premier takes a decision, the dispute loses every semblance of being internal</w:t>
      </w:r>
      <w:r w:rsidR="00C01977">
        <w:rPr>
          <w:sz w:val="22"/>
          <w:szCs w:val="22"/>
          <w:lang w:val="en-GB"/>
        </w:rPr>
        <w:t xml:space="preserve"> …’</w:t>
      </w:r>
    </w:p>
    <w:p w14:paraId="258CB7ED" w14:textId="77777777" w:rsidR="00A32A40" w:rsidRDefault="00A32A40" w:rsidP="0084258D">
      <w:pPr>
        <w:pStyle w:val="ListParagraph"/>
        <w:autoSpaceDE w:val="0"/>
        <w:autoSpaceDN w:val="0"/>
        <w:adjustRightInd w:val="0"/>
        <w:ind w:left="0"/>
        <w:jc w:val="both"/>
        <w:rPr>
          <w:sz w:val="22"/>
          <w:szCs w:val="22"/>
          <w:lang w:val="en-GB"/>
        </w:rPr>
      </w:pPr>
    </w:p>
    <w:p w14:paraId="06F7BB48" w14:textId="5B022D1E" w:rsidR="005E71B2" w:rsidRPr="001916B7" w:rsidRDefault="001916B7" w:rsidP="001916B7">
      <w:pPr>
        <w:autoSpaceDE w:val="0"/>
        <w:autoSpaceDN w:val="0"/>
        <w:adjustRightInd w:val="0"/>
        <w:jc w:val="both"/>
        <w:rPr>
          <w:lang w:val="en-GB"/>
        </w:rPr>
      </w:pPr>
      <w:r>
        <w:rPr>
          <w:lang w:val="en-GB"/>
        </w:rPr>
        <w:t>[12]</w:t>
      </w:r>
      <w:r>
        <w:rPr>
          <w:lang w:val="en-GB"/>
        </w:rPr>
        <w:tab/>
      </w:r>
      <w:r w:rsidR="00266F97" w:rsidRPr="001916B7">
        <w:rPr>
          <w:lang w:val="en-GB"/>
        </w:rPr>
        <w:t>Applying these decisions, t</w:t>
      </w:r>
      <w:r w:rsidR="004B55E9" w:rsidRPr="001916B7">
        <w:rPr>
          <w:lang w:val="en-GB"/>
        </w:rPr>
        <w:t xml:space="preserve">he 2011 Recognition Decision was a definitive decision which precluded internal recourse. </w:t>
      </w:r>
      <w:r w:rsidR="00EF5EF9" w:rsidRPr="001916B7">
        <w:rPr>
          <w:lang w:val="en-GB"/>
        </w:rPr>
        <w:t>As the</w:t>
      </w:r>
      <w:r w:rsidR="004B55E9" w:rsidRPr="001916B7">
        <w:rPr>
          <w:lang w:val="en-GB"/>
        </w:rPr>
        <w:t xml:space="preserve"> </w:t>
      </w:r>
      <w:r w:rsidR="00EF5EF9" w:rsidRPr="001916B7">
        <w:rPr>
          <w:lang w:val="en-GB"/>
        </w:rPr>
        <w:t xml:space="preserve">subsequent </w:t>
      </w:r>
      <w:r w:rsidR="004B55E9" w:rsidRPr="001916B7">
        <w:rPr>
          <w:lang w:val="en-GB"/>
        </w:rPr>
        <w:t xml:space="preserve">dispute </w:t>
      </w:r>
      <w:r w:rsidR="00EF5EF9" w:rsidRPr="001916B7">
        <w:rPr>
          <w:lang w:val="en-GB"/>
        </w:rPr>
        <w:t xml:space="preserve">involved the Premier or their delegate, it </w:t>
      </w:r>
      <w:r w:rsidR="004B55E9" w:rsidRPr="001916B7">
        <w:rPr>
          <w:lang w:val="en-GB"/>
        </w:rPr>
        <w:t>was clearly not one that was ‘between or within traditional communities’</w:t>
      </w:r>
      <w:r w:rsidR="002773A2" w:rsidRPr="001916B7">
        <w:rPr>
          <w:lang w:val="en-GB"/>
        </w:rPr>
        <w:t xml:space="preserve">, and the s 21 </w:t>
      </w:r>
      <w:r w:rsidR="00AD6841" w:rsidRPr="001916B7">
        <w:rPr>
          <w:lang w:val="en-GB"/>
        </w:rPr>
        <w:t xml:space="preserve">Framework Act </w:t>
      </w:r>
      <w:r w:rsidR="002773A2" w:rsidRPr="001916B7">
        <w:rPr>
          <w:lang w:val="en-GB"/>
        </w:rPr>
        <w:t>dispute resolution remedies were inapposite</w:t>
      </w:r>
      <w:r w:rsidR="004B55E9" w:rsidRPr="001916B7">
        <w:rPr>
          <w:lang w:val="en-GB"/>
        </w:rPr>
        <w:t>. Instead, this court ought to have been approached in terms of PAJA</w:t>
      </w:r>
      <w:r w:rsidR="001F4A8C" w:rsidRPr="001916B7">
        <w:rPr>
          <w:lang w:val="en-GB"/>
        </w:rPr>
        <w:t xml:space="preserve">, on the timeframes applicable to </w:t>
      </w:r>
      <w:r w:rsidR="00F015FF" w:rsidRPr="001916B7">
        <w:rPr>
          <w:lang w:val="en-GB"/>
        </w:rPr>
        <w:t>review of administrative action</w:t>
      </w:r>
      <w:r w:rsidR="001F4A8C" w:rsidRPr="001916B7">
        <w:rPr>
          <w:lang w:val="en-GB"/>
        </w:rPr>
        <w:t xml:space="preserve"> where no internal remedies existed</w:t>
      </w:r>
      <w:r w:rsidR="00581C74" w:rsidRPr="001916B7">
        <w:rPr>
          <w:lang w:val="en-GB"/>
        </w:rPr>
        <w:t xml:space="preserve">. </w:t>
      </w:r>
    </w:p>
    <w:p w14:paraId="50AA0196" w14:textId="77777777" w:rsidR="005E71B2" w:rsidRDefault="005E71B2" w:rsidP="005E71B2">
      <w:pPr>
        <w:pStyle w:val="ListParagraph"/>
        <w:autoSpaceDE w:val="0"/>
        <w:autoSpaceDN w:val="0"/>
        <w:adjustRightInd w:val="0"/>
        <w:ind w:left="0"/>
        <w:jc w:val="both"/>
        <w:rPr>
          <w:lang w:val="en-GB"/>
        </w:rPr>
      </w:pPr>
    </w:p>
    <w:p w14:paraId="5FDA37E2" w14:textId="51FBC885" w:rsidR="00E86313" w:rsidRPr="001916B7" w:rsidRDefault="001916B7" w:rsidP="001916B7">
      <w:pPr>
        <w:autoSpaceDE w:val="0"/>
        <w:autoSpaceDN w:val="0"/>
        <w:adjustRightInd w:val="0"/>
        <w:jc w:val="both"/>
        <w:rPr>
          <w:lang w:val="en-GB"/>
        </w:rPr>
      </w:pPr>
      <w:r>
        <w:rPr>
          <w:lang w:val="en-GB"/>
        </w:rPr>
        <w:t>[13]</w:t>
      </w:r>
      <w:r>
        <w:rPr>
          <w:lang w:val="en-GB"/>
        </w:rPr>
        <w:tab/>
      </w:r>
      <w:r w:rsidR="0048069D" w:rsidRPr="001916B7">
        <w:rPr>
          <w:lang w:val="en-GB"/>
        </w:rPr>
        <w:t xml:space="preserve">In addition, </w:t>
      </w:r>
      <w:r w:rsidR="0079538D" w:rsidRPr="001916B7">
        <w:rPr>
          <w:lang w:val="en-GB"/>
        </w:rPr>
        <w:t xml:space="preserve">it may be noted that </w:t>
      </w:r>
      <w:r w:rsidR="00385AF6" w:rsidRPr="001916B7">
        <w:rPr>
          <w:lang w:val="en-GB"/>
        </w:rPr>
        <w:t>PAJA’s reference</w:t>
      </w:r>
      <w:r w:rsidR="00272931" w:rsidRPr="001916B7">
        <w:rPr>
          <w:lang w:val="en-GB"/>
        </w:rPr>
        <w:t>s</w:t>
      </w:r>
      <w:r w:rsidR="00385AF6" w:rsidRPr="001916B7">
        <w:rPr>
          <w:lang w:val="en-GB"/>
        </w:rPr>
        <w:t xml:space="preserve"> to ‘</w:t>
      </w:r>
      <w:r w:rsidR="00385AF6" w:rsidRPr="001916B7">
        <w:rPr>
          <w:i/>
          <w:iCs/>
          <w:lang w:val="en-GB"/>
        </w:rPr>
        <w:t>any</w:t>
      </w:r>
      <w:r w:rsidR="00385AF6" w:rsidRPr="001916B7">
        <w:rPr>
          <w:lang w:val="en-GB"/>
        </w:rPr>
        <w:t xml:space="preserve"> internal remedy’ in s</w:t>
      </w:r>
      <w:r w:rsidR="00272931" w:rsidRPr="001916B7">
        <w:rPr>
          <w:lang w:val="en-GB"/>
        </w:rPr>
        <w:t xml:space="preserve"> </w:t>
      </w:r>
      <w:r w:rsidR="00385AF6" w:rsidRPr="001916B7">
        <w:rPr>
          <w:lang w:val="en-GB"/>
        </w:rPr>
        <w:t>7(2)</w:t>
      </w:r>
      <w:r w:rsidR="00385AF6" w:rsidRPr="001916B7">
        <w:rPr>
          <w:i/>
          <w:iCs/>
          <w:lang w:val="en-GB"/>
        </w:rPr>
        <w:t>(a)</w:t>
      </w:r>
      <w:r w:rsidR="00272931" w:rsidRPr="001916B7">
        <w:rPr>
          <w:lang w:val="en-GB"/>
        </w:rPr>
        <w:t>, read with s 7(1)</w:t>
      </w:r>
      <w:r w:rsidR="00272931" w:rsidRPr="001916B7">
        <w:rPr>
          <w:i/>
          <w:iCs/>
          <w:lang w:val="en-GB"/>
        </w:rPr>
        <w:t>(a)</w:t>
      </w:r>
      <w:r w:rsidR="0098558B" w:rsidRPr="001916B7">
        <w:rPr>
          <w:lang w:val="en-GB"/>
        </w:rPr>
        <w:t>,</w:t>
      </w:r>
      <w:r w:rsidR="00385AF6" w:rsidRPr="001916B7">
        <w:rPr>
          <w:lang w:val="en-GB"/>
        </w:rPr>
        <w:t xml:space="preserve"> </w:t>
      </w:r>
      <w:r w:rsidR="00272931" w:rsidRPr="001916B7">
        <w:rPr>
          <w:lang w:val="en-GB"/>
        </w:rPr>
        <w:t>is</w:t>
      </w:r>
      <w:r w:rsidR="00385AF6" w:rsidRPr="001916B7">
        <w:rPr>
          <w:lang w:val="en-GB"/>
        </w:rPr>
        <w:t xml:space="preserve"> specific to ‘any internal remedy provided for </w:t>
      </w:r>
      <w:r w:rsidR="00385AF6" w:rsidRPr="001916B7">
        <w:rPr>
          <w:i/>
          <w:iCs/>
          <w:lang w:val="en-GB"/>
        </w:rPr>
        <w:t>in any other law</w:t>
      </w:r>
      <w:r w:rsidR="00385AF6" w:rsidRPr="001916B7">
        <w:rPr>
          <w:lang w:val="en-GB"/>
        </w:rPr>
        <w:t>’</w:t>
      </w:r>
      <w:r w:rsidR="0026282E" w:rsidRPr="001916B7">
        <w:rPr>
          <w:lang w:val="en-GB"/>
        </w:rPr>
        <w:t xml:space="preserve"> in respect of the impugned decision</w:t>
      </w:r>
      <w:r w:rsidR="00385AF6" w:rsidRPr="001916B7">
        <w:rPr>
          <w:lang w:val="en-GB"/>
        </w:rPr>
        <w:t xml:space="preserve">.  </w:t>
      </w:r>
      <w:r w:rsidR="00522464" w:rsidRPr="001916B7">
        <w:rPr>
          <w:lang w:val="en-GB"/>
        </w:rPr>
        <w:t>The referral to the Provincial House simply did not fit the bill</w:t>
      </w:r>
      <w:r w:rsidR="00AC7EB7" w:rsidRPr="001916B7">
        <w:rPr>
          <w:lang w:val="en-GB"/>
        </w:rPr>
        <w:t xml:space="preserve"> in respect of the 2011 Recognition Decision</w:t>
      </w:r>
      <w:r w:rsidR="00522464" w:rsidRPr="001916B7">
        <w:rPr>
          <w:lang w:val="en-GB"/>
        </w:rPr>
        <w:t xml:space="preserve">. </w:t>
      </w:r>
      <w:r w:rsidR="00CE39ED" w:rsidRPr="001916B7">
        <w:rPr>
          <w:lang w:val="en-GB"/>
        </w:rPr>
        <w:t xml:space="preserve">As a result, the applicant was engaged, between 3 June 2011 and November 2018, when this application was launched, in ‘attempted dispute resolution’ in circumstances where no internal remedy was prescribed or could have been utilised in order to challenge the 2011 Recognition Decision. </w:t>
      </w:r>
      <w:r w:rsidR="003E6DA1" w:rsidRPr="001916B7">
        <w:rPr>
          <w:lang w:val="en-GB"/>
        </w:rPr>
        <w:t>On the applicant’s own papers, this date in June 2011 may be taken as the date on which she became aware of the impugned administrative action.</w:t>
      </w:r>
      <w:r w:rsidR="00DE09B3" w:rsidRPr="001916B7">
        <w:rPr>
          <w:lang w:val="en-GB"/>
        </w:rPr>
        <w:t xml:space="preserve"> </w:t>
      </w:r>
      <w:r w:rsidR="00F61F30" w:rsidRPr="001916B7">
        <w:rPr>
          <w:lang w:val="en-GB"/>
        </w:rPr>
        <w:t>Instead of launching the review sometime during the subsequent 180 days, the application was filed some seven years late.</w:t>
      </w:r>
      <w:r w:rsidR="00B77FAF">
        <w:rPr>
          <w:rStyle w:val="FootnoteReference"/>
          <w:lang w:val="en-GB"/>
        </w:rPr>
        <w:footnoteReference w:id="12"/>
      </w:r>
    </w:p>
    <w:p w14:paraId="2B8F665E" w14:textId="77777777" w:rsidR="007236CF" w:rsidRPr="007236CF" w:rsidRDefault="007236CF" w:rsidP="007236CF">
      <w:pPr>
        <w:pStyle w:val="ListParagraph"/>
        <w:rPr>
          <w:lang w:val="en-GB"/>
        </w:rPr>
      </w:pPr>
    </w:p>
    <w:p w14:paraId="72F3364F" w14:textId="24F29C5D" w:rsidR="00C56649" w:rsidRPr="001916B7" w:rsidRDefault="001916B7" w:rsidP="001916B7">
      <w:pPr>
        <w:autoSpaceDE w:val="0"/>
        <w:autoSpaceDN w:val="0"/>
        <w:adjustRightInd w:val="0"/>
        <w:jc w:val="both"/>
        <w:rPr>
          <w:lang w:val="en-GB"/>
        </w:rPr>
      </w:pPr>
      <w:r>
        <w:rPr>
          <w:lang w:val="en-GB"/>
        </w:rPr>
        <w:t>[14]</w:t>
      </w:r>
      <w:r>
        <w:rPr>
          <w:lang w:val="en-GB"/>
        </w:rPr>
        <w:tab/>
      </w:r>
      <w:r w:rsidR="0084766B" w:rsidRPr="001916B7">
        <w:rPr>
          <w:lang w:val="en-GB"/>
        </w:rPr>
        <w:t>Judicial review proceedings should be initiated without unreasonable delay</w:t>
      </w:r>
      <w:r w:rsidR="007236CF" w:rsidRPr="001916B7">
        <w:rPr>
          <w:lang w:val="en-GB"/>
        </w:rPr>
        <w:t>.</w:t>
      </w:r>
      <w:r w:rsidR="007236CF">
        <w:rPr>
          <w:rStyle w:val="FootnoteReference"/>
          <w:lang w:val="en-GB"/>
        </w:rPr>
        <w:footnoteReference w:id="13"/>
      </w:r>
      <w:r w:rsidR="007236CF" w:rsidRPr="001916B7">
        <w:rPr>
          <w:lang w:val="en-GB"/>
        </w:rPr>
        <w:t xml:space="preserve"> </w:t>
      </w:r>
      <w:r w:rsidR="00F5688D" w:rsidRPr="001916B7">
        <w:rPr>
          <w:lang w:val="en-GB"/>
        </w:rPr>
        <w:t>I</w:t>
      </w:r>
      <w:r w:rsidR="00C56649" w:rsidRPr="001916B7">
        <w:rPr>
          <w:lang w:val="en-GB"/>
        </w:rPr>
        <w:t xml:space="preserve">n </w:t>
      </w:r>
      <w:r w:rsidR="00C56649" w:rsidRPr="001916B7">
        <w:rPr>
          <w:i/>
          <w:iCs/>
          <w:lang w:val="en-GB"/>
        </w:rPr>
        <w:t>Gqwetha v Transkei Development Corporation and Others</w:t>
      </w:r>
      <w:r w:rsidR="00C56649" w:rsidRPr="001916B7">
        <w:rPr>
          <w:lang w:val="en-GB"/>
        </w:rPr>
        <w:t>,</w:t>
      </w:r>
      <w:r w:rsidR="00C56649" w:rsidRPr="00F95B4E">
        <w:rPr>
          <w:rStyle w:val="FootnoteReference"/>
          <w:lang w:val="en-GB"/>
        </w:rPr>
        <w:footnoteReference w:id="14"/>
      </w:r>
      <w:r w:rsidR="00C56649" w:rsidRPr="001916B7">
        <w:rPr>
          <w:lang w:val="en-GB"/>
        </w:rPr>
        <w:t xml:space="preserve"> Nugent JA </w:t>
      </w:r>
      <w:r w:rsidR="00F5688D" w:rsidRPr="001916B7">
        <w:rPr>
          <w:lang w:val="en-GB"/>
        </w:rPr>
        <w:t>explained the rationale for this as follows</w:t>
      </w:r>
      <w:r w:rsidR="00C56649" w:rsidRPr="001916B7">
        <w:rPr>
          <w:lang w:val="en-GB"/>
        </w:rPr>
        <w:t>:</w:t>
      </w:r>
    </w:p>
    <w:p w14:paraId="5FACBF22" w14:textId="77777777" w:rsidR="002F6904" w:rsidRPr="00C56649" w:rsidRDefault="002F6904" w:rsidP="002F6904">
      <w:pPr>
        <w:pStyle w:val="ListParagraph"/>
        <w:autoSpaceDE w:val="0"/>
        <w:autoSpaceDN w:val="0"/>
        <w:adjustRightInd w:val="0"/>
        <w:ind w:left="0"/>
        <w:jc w:val="both"/>
        <w:rPr>
          <w:lang w:val="en-GB"/>
        </w:rPr>
      </w:pPr>
    </w:p>
    <w:p w14:paraId="7777573A" w14:textId="3AB2DB7A" w:rsidR="00C56649" w:rsidRDefault="00C56649" w:rsidP="00C56649">
      <w:pPr>
        <w:jc w:val="both"/>
        <w:rPr>
          <w:sz w:val="22"/>
          <w:szCs w:val="22"/>
          <w:lang w:val="en-GB"/>
        </w:rPr>
      </w:pPr>
      <w:r>
        <w:rPr>
          <w:sz w:val="22"/>
          <w:szCs w:val="22"/>
          <w:lang w:val="en-GB"/>
        </w:rPr>
        <w:t xml:space="preserve">‘[22] It is important for the efficient functioning of public bodies … that a challenge to the validity of their decisions by proceedings for judicial review should be initiated without undue delay. The rationale for that longstanding rule … is twofold: First, the failure to bring a review within </w:t>
      </w:r>
      <w:r>
        <w:rPr>
          <w:sz w:val="22"/>
          <w:szCs w:val="22"/>
          <w:lang w:val="en-GB"/>
        </w:rPr>
        <w:lastRenderedPageBreak/>
        <w:t xml:space="preserve">a reasonable time may cause prejudice to the respondent. Secondly, and in my view more importantly, there is a public interest element in the finality of administrative decisions and the exercise of administrative functions. As pointed out by Miller JA in </w:t>
      </w:r>
      <w:r>
        <w:rPr>
          <w:i/>
          <w:iCs/>
          <w:sz w:val="22"/>
          <w:szCs w:val="22"/>
          <w:lang w:val="en-GB"/>
        </w:rPr>
        <w:t>Wolgroeiers Afslaers (Edms) Bpk v Munisipaliteit van Kaapstad</w:t>
      </w:r>
      <w:r>
        <w:rPr>
          <w:sz w:val="22"/>
          <w:szCs w:val="22"/>
          <w:lang w:val="en-GB"/>
        </w:rPr>
        <w:t xml:space="preserve"> 1978 (1) SA 13 (A) at 41E-F (my translation):</w:t>
      </w:r>
    </w:p>
    <w:p w14:paraId="7A9AA564" w14:textId="77777777" w:rsidR="00654AAE" w:rsidRDefault="00654AAE" w:rsidP="00C56649">
      <w:pPr>
        <w:jc w:val="both"/>
        <w:rPr>
          <w:sz w:val="22"/>
          <w:szCs w:val="22"/>
          <w:lang w:val="en-GB"/>
        </w:rPr>
      </w:pPr>
    </w:p>
    <w:p w14:paraId="385A46E1" w14:textId="77777777" w:rsidR="00C56649" w:rsidRDefault="00C56649" w:rsidP="00C56649">
      <w:pPr>
        <w:ind w:left="567" w:hanging="567"/>
        <w:jc w:val="both"/>
        <w:rPr>
          <w:sz w:val="22"/>
          <w:szCs w:val="22"/>
          <w:lang w:val="en-GB"/>
        </w:rPr>
      </w:pPr>
      <w:r>
        <w:rPr>
          <w:sz w:val="22"/>
          <w:szCs w:val="22"/>
          <w:lang w:val="en-GB"/>
        </w:rPr>
        <w:tab/>
        <w:t xml:space="preserve">“It is desirable and important that finality should be arrived at within a reasonable time in relation to judicial and administrative decisions or acts. It can be contrary to the administration of justice and the public interest to allow such decisions or acts to be set aside after an unreasonably long period of time has elapsed – </w:t>
      </w:r>
      <w:r>
        <w:rPr>
          <w:i/>
          <w:iCs/>
          <w:sz w:val="22"/>
          <w:szCs w:val="22"/>
          <w:lang w:val="en-GB"/>
        </w:rPr>
        <w:t>interest republicae ut sit finis litium</w:t>
      </w:r>
      <w:r>
        <w:rPr>
          <w:sz w:val="22"/>
          <w:szCs w:val="22"/>
          <w:lang w:val="en-GB"/>
        </w:rPr>
        <w:t xml:space="preserve"> … Considerations of this kind undoubtedly constitute part of the underlying reasons for the existence of this rule.”</w:t>
      </w:r>
    </w:p>
    <w:p w14:paraId="7A5DF47C" w14:textId="77777777" w:rsidR="00C56649" w:rsidRDefault="00C56649" w:rsidP="00C56649">
      <w:pPr>
        <w:jc w:val="both"/>
        <w:rPr>
          <w:sz w:val="22"/>
          <w:szCs w:val="22"/>
          <w:lang w:val="en-GB"/>
        </w:rPr>
      </w:pPr>
    </w:p>
    <w:p w14:paraId="01793595" w14:textId="77777777" w:rsidR="00C56649" w:rsidRDefault="00C56649" w:rsidP="00C56649">
      <w:pPr>
        <w:jc w:val="both"/>
        <w:rPr>
          <w:sz w:val="22"/>
          <w:szCs w:val="22"/>
          <w:lang w:val="en-GB"/>
        </w:rPr>
      </w:pPr>
      <w:r>
        <w:rPr>
          <w:sz w:val="22"/>
          <w:szCs w:val="22"/>
          <w:lang w:val="en-GB"/>
        </w:rPr>
        <w:t>[23] Underlying that latter aspect of the rationale is the inherent potential for prejudice, both to the efficient functioning of the public body and to those who rely upon its decisions, if the validity of its decisions remains uncertain. It is for that reason in particular that proof of actual prejudice to the respondent is not a precondition for refusing to entertain review proceedings by reason of undue delay, although the extent to which prejudice has been shown is a relevant consideration that might even be decisive where the delay has been relatively slight (</w:t>
      </w:r>
      <w:r>
        <w:rPr>
          <w:i/>
          <w:iCs/>
          <w:sz w:val="22"/>
          <w:szCs w:val="22"/>
          <w:lang w:val="en-GB"/>
        </w:rPr>
        <w:t>Wolgroeiers Afslaers</w:t>
      </w:r>
      <w:r>
        <w:rPr>
          <w:sz w:val="22"/>
          <w:szCs w:val="22"/>
          <w:lang w:val="en-GB"/>
        </w:rPr>
        <w:t>, above, at 42C).</w:t>
      </w:r>
    </w:p>
    <w:p w14:paraId="22094469" w14:textId="77777777" w:rsidR="00C56649" w:rsidRDefault="00C56649" w:rsidP="00C56649">
      <w:pPr>
        <w:jc w:val="both"/>
        <w:rPr>
          <w:sz w:val="22"/>
          <w:szCs w:val="22"/>
          <w:lang w:val="en-GB"/>
        </w:rPr>
      </w:pPr>
    </w:p>
    <w:p w14:paraId="7AF5ADCF" w14:textId="0366586B" w:rsidR="00C56649" w:rsidRPr="002C136A" w:rsidRDefault="00C56649" w:rsidP="002C136A">
      <w:pPr>
        <w:jc w:val="both"/>
        <w:rPr>
          <w:sz w:val="22"/>
          <w:szCs w:val="22"/>
          <w:lang w:val="en-GB"/>
        </w:rPr>
      </w:pPr>
      <w:r>
        <w:rPr>
          <w:sz w:val="22"/>
          <w:szCs w:val="22"/>
          <w:lang w:val="en-GB"/>
        </w:rPr>
        <w:t>[24] Whether there has been undue delay entails a factual enquiry upon which a value judgment is called for in the light of all the relevant circumstances including any explanation that is offered for the delay (</w:t>
      </w:r>
      <w:r>
        <w:rPr>
          <w:i/>
          <w:iCs/>
          <w:sz w:val="22"/>
          <w:szCs w:val="22"/>
          <w:lang w:val="en-GB"/>
        </w:rPr>
        <w:t>Setsokosane Busdiens (Edms) Bpk v Voorsitter, Nasionale Vervoerkommissie, en ‘n Ander</w:t>
      </w:r>
      <w:r>
        <w:rPr>
          <w:sz w:val="22"/>
          <w:szCs w:val="22"/>
          <w:lang w:val="en-GB"/>
        </w:rPr>
        <w:t xml:space="preserve"> 1986 (2) SA 57 (A) at 86D-F and 86I-87A). A material fact to be taken into account in making that value judgment – bearing in mind the rationale for the rule – is the nature of the challenged decision. Not all decisions have the same potential for prejudice to result from their being set aside.’</w:t>
      </w:r>
    </w:p>
    <w:p w14:paraId="295A6A76" w14:textId="77777777" w:rsidR="00C56649" w:rsidRPr="00C56649" w:rsidRDefault="00C56649" w:rsidP="00C56649">
      <w:pPr>
        <w:pStyle w:val="ListParagraph"/>
        <w:rPr>
          <w:lang w:val="en-GB"/>
        </w:rPr>
      </w:pPr>
    </w:p>
    <w:p w14:paraId="36D0A7AD" w14:textId="773D6EAA" w:rsidR="008A1CBB" w:rsidRPr="001916B7" w:rsidRDefault="001916B7" w:rsidP="001916B7">
      <w:pPr>
        <w:autoSpaceDE w:val="0"/>
        <w:autoSpaceDN w:val="0"/>
        <w:adjustRightInd w:val="0"/>
        <w:jc w:val="both"/>
        <w:rPr>
          <w:lang w:val="en-GB"/>
        </w:rPr>
      </w:pPr>
      <w:r w:rsidRPr="004331EC">
        <w:rPr>
          <w:lang w:val="en-GB"/>
        </w:rPr>
        <w:t>[15]</w:t>
      </w:r>
      <w:r w:rsidRPr="004331EC">
        <w:rPr>
          <w:lang w:val="en-GB"/>
        </w:rPr>
        <w:tab/>
      </w:r>
      <w:r w:rsidR="007236CF" w:rsidRPr="001916B7">
        <w:rPr>
          <w:lang w:val="en-GB"/>
        </w:rPr>
        <w:t>In the case of PAJA reviews, s 7 of the Act creates a presumption that a delay of longer than 180 days is ‘per se unreasonable’.</w:t>
      </w:r>
      <w:r w:rsidR="007236CF">
        <w:rPr>
          <w:rStyle w:val="FootnoteReference"/>
          <w:lang w:val="en-GB"/>
        </w:rPr>
        <w:footnoteReference w:id="15"/>
      </w:r>
      <w:r w:rsidR="007236CF" w:rsidRPr="001916B7">
        <w:rPr>
          <w:lang w:val="en-GB"/>
        </w:rPr>
        <w:t xml:space="preserve"> </w:t>
      </w:r>
      <w:r w:rsidR="00A27F57" w:rsidRPr="001916B7">
        <w:rPr>
          <w:lang w:val="en-GB"/>
        </w:rPr>
        <w:t>Th</w:t>
      </w:r>
      <w:r w:rsidR="007D42C6" w:rsidRPr="001916B7">
        <w:rPr>
          <w:lang w:val="en-GB"/>
        </w:rPr>
        <w:t>e</w:t>
      </w:r>
      <w:r w:rsidR="00A27F57" w:rsidRPr="001916B7">
        <w:rPr>
          <w:lang w:val="en-GB"/>
        </w:rPr>
        <w:t xml:space="preserve"> delay in reviewing the 2011 Recognition Decision was </w:t>
      </w:r>
      <w:r w:rsidR="002F0211" w:rsidRPr="001916B7">
        <w:rPr>
          <w:lang w:val="en-GB"/>
        </w:rPr>
        <w:t xml:space="preserve">clearly </w:t>
      </w:r>
      <w:r w:rsidR="00A27F57" w:rsidRPr="001916B7">
        <w:rPr>
          <w:lang w:val="en-GB"/>
        </w:rPr>
        <w:t xml:space="preserve">unreasonable, being well in excess of the prescribed 180-day period. </w:t>
      </w:r>
      <w:r w:rsidR="00F42DF8" w:rsidRPr="001916B7">
        <w:rPr>
          <w:lang w:val="en-GB"/>
        </w:rPr>
        <w:t>It was not suggested otherwise, c</w:t>
      </w:r>
      <w:r w:rsidR="00BA79EB" w:rsidRPr="001916B7">
        <w:rPr>
          <w:lang w:val="en-GB"/>
        </w:rPr>
        <w:t>ounsel for the applicant rightly conced</w:t>
      </w:r>
      <w:r w:rsidR="00E93F7A" w:rsidRPr="001916B7">
        <w:rPr>
          <w:lang w:val="en-GB"/>
        </w:rPr>
        <w:t>ing</w:t>
      </w:r>
      <w:r w:rsidR="00BA79EB" w:rsidRPr="001916B7">
        <w:rPr>
          <w:lang w:val="en-GB"/>
        </w:rPr>
        <w:t xml:space="preserve"> the point. </w:t>
      </w:r>
      <w:r w:rsidR="004331EC" w:rsidRPr="001916B7">
        <w:rPr>
          <w:lang w:val="en-GB"/>
        </w:rPr>
        <w:t xml:space="preserve">Nonetheless, the obligatory nature of dealing with both legs of </w:t>
      </w:r>
      <w:r w:rsidR="004331EC" w:rsidRPr="001916B7">
        <w:rPr>
          <w:lang w:val="en-GB"/>
        </w:rPr>
        <w:lastRenderedPageBreak/>
        <w:t>the test has been highlighted, so that even an unreasonable delay cannot be ‘evaluated in a vacuum’.</w:t>
      </w:r>
      <w:r w:rsidR="004331EC">
        <w:rPr>
          <w:rStyle w:val="FootnoteReference"/>
          <w:lang w:val="en-GB"/>
        </w:rPr>
        <w:footnoteReference w:id="16"/>
      </w:r>
      <w:r w:rsidR="004331EC" w:rsidRPr="001916B7">
        <w:rPr>
          <w:lang w:val="en-GB"/>
        </w:rPr>
        <w:t xml:space="preserve"> </w:t>
      </w:r>
      <w:r w:rsidR="00A27F57" w:rsidRPr="001916B7">
        <w:rPr>
          <w:lang w:val="en-GB"/>
        </w:rPr>
        <w:t xml:space="preserve">What remains to be considered, and involves the exercise of a </w:t>
      </w:r>
      <w:r w:rsidR="00EC0B90" w:rsidRPr="001916B7">
        <w:rPr>
          <w:lang w:val="en-GB"/>
        </w:rPr>
        <w:t xml:space="preserve">so-called true </w:t>
      </w:r>
      <w:r w:rsidR="00A27F57" w:rsidRPr="001916B7">
        <w:rPr>
          <w:lang w:val="en-GB"/>
        </w:rPr>
        <w:t>discretion,</w:t>
      </w:r>
      <w:r w:rsidR="007C2795">
        <w:rPr>
          <w:rStyle w:val="FootnoteReference"/>
          <w:lang w:val="en-GB"/>
        </w:rPr>
        <w:footnoteReference w:id="17"/>
      </w:r>
      <w:r w:rsidR="00A27F57" w:rsidRPr="001916B7">
        <w:rPr>
          <w:lang w:val="en-GB"/>
        </w:rPr>
        <w:t xml:space="preserve"> is whether the court</w:t>
      </w:r>
      <w:r w:rsidR="00C27D0F" w:rsidRPr="001916B7">
        <w:rPr>
          <w:lang w:val="en-GB"/>
        </w:rPr>
        <w:t xml:space="preserve"> </w:t>
      </w:r>
      <w:r w:rsidR="00A27F57" w:rsidRPr="001916B7">
        <w:rPr>
          <w:lang w:val="en-GB"/>
        </w:rPr>
        <w:t>should</w:t>
      </w:r>
      <w:r w:rsidR="00C27D0F" w:rsidRPr="001916B7">
        <w:rPr>
          <w:lang w:val="en-GB"/>
        </w:rPr>
        <w:t xml:space="preserve"> </w:t>
      </w:r>
      <w:r w:rsidR="00A27F57" w:rsidRPr="001916B7">
        <w:rPr>
          <w:lang w:val="en-GB"/>
        </w:rPr>
        <w:t>overlook the delay and nevertheless entertain the application in the interests of justice.</w:t>
      </w:r>
      <w:r w:rsidR="00A27F57">
        <w:rPr>
          <w:rStyle w:val="FootnoteReference"/>
          <w:lang w:val="en-GB"/>
        </w:rPr>
        <w:footnoteReference w:id="18"/>
      </w:r>
      <w:r w:rsidR="00A27F57" w:rsidRPr="001916B7">
        <w:rPr>
          <w:lang w:val="en-GB"/>
        </w:rPr>
        <w:t xml:space="preserve"> </w:t>
      </w:r>
    </w:p>
    <w:p w14:paraId="15AC1BBA" w14:textId="77777777" w:rsidR="00743BD8" w:rsidRPr="00743BD8" w:rsidRDefault="00743BD8" w:rsidP="00743BD8">
      <w:pPr>
        <w:pStyle w:val="ListParagraph"/>
        <w:autoSpaceDE w:val="0"/>
        <w:autoSpaceDN w:val="0"/>
        <w:adjustRightInd w:val="0"/>
        <w:ind w:left="0"/>
        <w:jc w:val="both"/>
        <w:rPr>
          <w:lang w:val="en-GB"/>
        </w:rPr>
      </w:pPr>
    </w:p>
    <w:p w14:paraId="2675E3E3" w14:textId="249A943F" w:rsidR="00480E09" w:rsidRDefault="00480E09" w:rsidP="00480E09">
      <w:pPr>
        <w:rPr>
          <w:b/>
          <w:bCs/>
          <w:lang w:val="en-GB"/>
        </w:rPr>
      </w:pPr>
      <w:r>
        <w:rPr>
          <w:b/>
          <w:bCs/>
          <w:lang w:val="en-GB"/>
        </w:rPr>
        <w:t>Should the delay be condoned?</w:t>
      </w:r>
    </w:p>
    <w:p w14:paraId="49D3723A" w14:textId="77777777" w:rsidR="007D729D" w:rsidRPr="009A0D48" w:rsidRDefault="007D729D" w:rsidP="009A0D48">
      <w:pPr>
        <w:rPr>
          <w:lang w:val="en-GB"/>
        </w:rPr>
      </w:pPr>
    </w:p>
    <w:p w14:paraId="1F9520E7" w14:textId="48420932" w:rsidR="00323BE6" w:rsidRPr="001916B7" w:rsidRDefault="001916B7" w:rsidP="001916B7">
      <w:pPr>
        <w:autoSpaceDE w:val="0"/>
        <w:autoSpaceDN w:val="0"/>
        <w:adjustRightInd w:val="0"/>
        <w:jc w:val="both"/>
        <w:rPr>
          <w:sz w:val="22"/>
          <w:szCs w:val="22"/>
          <w:lang w:val="en-GB"/>
        </w:rPr>
      </w:pPr>
      <w:r w:rsidRPr="003D694F">
        <w:rPr>
          <w:sz w:val="22"/>
          <w:szCs w:val="22"/>
          <w:lang w:val="en-GB"/>
        </w:rPr>
        <w:t>[16]</w:t>
      </w:r>
      <w:r w:rsidRPr="003D694F">
        <w:rPr>
          <w:sz w:val="22"/>
          <w:szCs w:val="22"/>
          <w:lang w:val="en-GB"/>
        </w:rPr>
        <w:tab/>
      </w:r>
      <w:r w:rsidR="00B2424A" w:rsidRPr="001916B7">
        <w:rPr>
          <w:lang w:val="en-GB"/>
        </w:rPr>
        <w:t>A court is only empowered to entertain the review application if the interest</w:t>
      </w:r>
      <w:r w:rsidR="00353E85" w:rsidRPr="001916B7">
        <w:rPr>
          <w:lang w:val="en-GB"/>
        </w:rPr>
        <w:t>s</w:t>
      </w:r>
      <w:r w:rsidR="00B2424A" w:rsidRPr="001916B7">
        <w:rPr>
          <w:lang w:val="en-GB"/>
        </w:rPr>
        <w:t xml:space="preserve"> of justice dictate an extension in terms of s 9 of PAJA, and absent such extension there is no authority to entertain the review application at all.</w:t>
      </w:r>
      <w:r w:rsidR="00B2424A">
        <w:rPr>
          <w:rStyle w:val="FootnoteReference"/>
          <w:lang w:val="en-GB"/>
        </w:rPr>
        <w:footnoteReference w:id="19"/>
      </w:r>
      <w:r w:rsidR="00B2424A" w:rsidRPr="001916B7">
        <w:rPr>
          <w:lang w:val="en-GB"/>
        </w:rPr>
        <w:t xml:space="preserve"> </w:t>
      </w:r>
      <w:r w:rsidR="00323BE6" w:rsidRPr="001916B7">
        <w:rPr>
          <w:lang w:val="en-GB"/>
        </w:rPr>
        <w:t>Condonation for failure to comply with the time period prescribed by PAJA in traditional leadership disputes is not simply there for the asking, and a proper explanation is necessary.</w:t>
      </w:r>
      <w:r w:rsidR="00323BE6">
        <w:rPr>
          <w:rStyle w:val="FootnoteReference"/>
          <w:lang w:val="en-GB"/>
        </w:rPr>
        <w:footnoteReference w:id="20"/>
      </w:r>
      <w:r w:rsidR="00323BE6" w:rsidRPr="001916B7">
        <w:rPr>
          <w:lang w:val="en-GB"/>
        </w:rPr>
        <w:t xml:space="preserve"> The court has a discretion whether or not to grant condonation. It is trite that the discretion must be exercised in a judicial manner, with due regard to the nature of the relief sought, the </w:t>
      </w:r>
      <w:r w:rsidR="009D4FB4" w:rsidRPr="001916B7">
        <w:rPr>
          <w:lang w:val="en-GB"/>
        </w:rPr>
        <w:t xml:space="preserve">extent and cause of the delay and its </w:t>
      </w:r>
      <w:r w:rsidR="00323BE6" w:rsidRPr="001916B7">
        <w:rPr>
          <w:lang w:val="en-GB"/>
        </w:rPr>
        <w:t>effect upon the administration of justice, the reasonableness of the explanation for the delay, whether or not the delay has caused prejudice to the other parties, the importance of the issue for determination to the parties and the applicant’s prospects of success. The overarching focus remains consideration of what outcome would be in the interests of justice.</w:t>
      </w:r>
      <w:r w:rsidR="00323BE6">
        <w:rPr>
          <w:rStyle w:val="FootnoteReference"/>
          <w:lang w:val="en-GB"/>
        </w:rPr>
        <w:footnoteReference w:id="21"/>
      </w:r>
    </w:p>
    <w:p w14:paraId="586E5FEE" w14:textId="77777777" w:rsidR="003D694F" w:rsidRPr="003D694F" w:rsidRDefault="003D694F" w:rsidP="003D694F">
      <w:pPr>
        <w:pStyle w:val="ListParagraph"/>
        <w:autoSpaceDE w:val="0"/>
        <w:autoSpaceDN w:val="0"/>
        <w:adjustRightInd w:val="0"/>
        <w:ind w:left="0"/>
        <w:jc w:val="both"/>
        <w:rPr>
          <w:lang w:val="en-GB"/>
        </w:rPr>
      </w:pPr>
    </w:p>
    <w:p w14:paraId="789C3298" w14:textId="71F9C675" w:rsidR="00C138E5" w:rsidRPr="001916B7" w:rsidRDefault="001916B7" w:rsidP="001916B7">
      <w:pPr>
        <w:autoSpaceDE w:val="0"/>
        <w:autoSpaceDN w:val="0"/>
        <w:adjustRightInd w:val="0"/>
        <w:jc w:val="both"/>
        <w:rPr>
          <w:lang w:val="en-GB"/>
        </w:rPr>
      </w:pPr>
      <w:r>
        <w:rPr>
          <w:lang w:val="en-GB"/>
        </w:rPr>
        <w:t>[17]</w:t>
      </w:r>
      <w:r>
        <w:rPr>
          <w:lang w:val="en-GB"/>
        </w:rPr>
        <w:tab/>
      </w:r>
      <w:r w:rsidR="00C138E5" w:rsidRPr="001916B7">
        <w:rPr>
          <w:lang w:val="en-GB"/>
        </w:rPr>
        <w:t xml:space="preserve">In </w:t>
      </w:r>
      <w:r w:rsidR="00C138E5" w:rsidRPr="001916B7">
        <w:rPr>
          <w:i/>
          <w:iCs/>
          <w:lang w:val="en-GB"/>
        </w:rPr>
        <w:t>Camps Bay</w:t>
      </w:r>
      <w:r w:rsidR="00C138E5" w:rsidRPr="001916B7">
        <w:rPr>
          <w:lang w:val="en-GB"/>
        </w:rPr>
        <w:t xml:space="preserve">, Maya JA </w:t>
      </w:r>
      <w:r w:rsidR="001A1000" w:rsidRPr="001916B7">
        <w:rPr>
          <w:lang w:val="en-GB"/>
        </w:rPr>
        <w:t>confirmed the position</w:t>
      </w:r>
      <w:r w:rsidR="00C138E5" w:rsidRPr="001916B7">
        <w:rPr>
          <w:lang w:val="en-GB"/>
        </w:rPr>
        <w:t xml:space="preserve"> as follows:</w:t>
      </w:r>
      <w:r w:rsidR="00C138E5">
        <w:rPr>
          <w:rStyle w:val="FootnoteReference"/>
          <w:lang w:val="en-GB"/>
        </w:rPr>
        <w:footnoteReference w:id="22"/>
      </w:r>
    </w:p>
    <w:p w14:paraId="5F421976" w14:textId="7CD08E69" w:rsidR="00BD3DE3" w:rsidRPr="003D694F" w:rsidRDefault="00BD3DE3" w:rsidP="00BD3DE3">
      <w:pPr>
        <w:pStyle w:val="ListParagraph"/>
        <w:autoSpaceDE w:val="0"/>
        <w:autoSpaceDN w:val="0"/>
        <w:adjustRightInd w:val="0"/>
        <w:ind w:left="0"/>
        <w:jc w:val="both"/>
        <w:rPr>
          <w:lang w:val="en-GB"/>
        </w:rPr>
      </w:pPr>
    </w:p>
    <w:p w14:paraId="4651B4F4" w14:textId="47716CC9" w:rsidR="00B2666A" w:rsidRPr="008F1081" w:rsidRDefault="00B2666A" w:rsidP="008F1081">
      <w:pPr>
        <w:autoSpaceDE w:val="0"/>
        <w:autoSpaceDN w:val="0"/>
        <w:adjustRightInd w:val="0"/>
        <w:jc w:val="both"/>
        <w:rPr>
          <w:sz w:val="22"/>
          <w:szCs w:val="22"/>
          <w:lang w:val="en-GB"/>
        </w:rPr>
      </w:pPr>
      <w:r w:rsidRPr="00B2666A">
        <w:rPr>
          <w:sz w:val="22"/>
          <w:szCs w:val="22"/>
          <w:lang w:val="en-GB"/>
        </w:rPr>
        <w:lastRenderedPageBreak/>
        <w:t>‘…the question whether the interests of justice require the grant of such extension depends on the facts and circumstances of each case: the party seeking it must furnish a full and reasonable explanation for the delay which covers the entire duration thereof and relevant factors include the nature of the relief sought, the extent and cause of the delay, its effect on the administration of justice and other litigants, the importance of the issues to be raised in the intended proceedings and the prospects of success.’</w:t>
      </w:r>
    </w:p>
    <w:p w14:paraId="686C042D" w14:textId="0DC9EEF5" w:rsidR="00D568DF" w:rsidRDefault="00D568DF" w:rsidP="008843DF">
      <w:pPr>
        <w:rPr>
          <w:lang w:val="en-GB"/>
        </w:rPr>
      </w:pPr>
    </w:p>
    <w:p w14:paraId="16E0E0C8" w14:textId="2E2962F7" w:rsidR="008843DF" w:rsidRDefault="008843DF" w:rsidP="008843DF">
      <w:pPr>
        <w:rPr>
          <w:i/>
          <w:iCs/>
          <w:lang w:val="en-GB"/>
        </w:rPr>
      </w:pPr>
      <w:r>
        <w:rPr>
          <w:i/>
          <w:iCs/>
          <w:lang w:val="en-GB"/>
        </w:rPr>
        <w:t>The explanation</w:t>
      </w:r>
      <w:r w:rsidR="005C6AB0">
        <w:rPr>
          <w:i/>
          <w:iCs/>
          <w:lang w:val="en-GB"/>
        </w:rPr>
        <w:t xml:space="preserve"> of the delay</w:t>
      </w:r>
    </w:p>
    <w:p w14:paraId="01E1C9D9" w14:textId="77777777" w:rsidR="008843DF" w:rsidRPr="008843DF" w:rsidRDefault="008843DF" w:rsidP="008843DF">
      <w:pPr>
        <w:rPr>
          <w:i/>
          <w:iCs/>
          <w:lang w:val="en-GB"/>
        </w:rPr>
      </w:pPr>
    </w:p>
    <w:p w14:paraId="07696EFD" w14:textId="767AE31E" w:rsidR="007B5874" w:rsidRPr="001916B7" w:rsidRDefault="001916B7" w:rsidP="001916B7">
      <w:pPr>
        <w:autoSpaceDE w:val="0"/>
        <w:autoSpaceDN w:val="0"/>
        <w:adjustRightInd w:val="0"/>
        <w:jc w:val="both"/>
        <w:rPr>
          <w:sz w:val="22"/>
          <w:szCs w:val="22"/>
          <w:lang w:val="en-GB"/>
        </w:rPr>
      </w:pPr>
      <w:r w:rsidRPr="00FB346B">
        <w:rPr>
          <w:sz w:val="22"/>
          <w:szCs w:val="22"/>
          <w:lang w:val="en-GB"/>
        </w:rPr>
        <w:t>[18]</w:t>
      </w:r>
      <w:r w:rsidRPr="00FB346B">
        <w:rPr>
          <w:sz w:val="22"/>
          <w:szCs w:val="22"/>
          <w:lang w:val="en-GB"/>
        </w:rPr>
        <w:tab/>
      </w:r>
      <w:r w:rsidR="005D6410" w:rsidRPr="001916B7">
        <w:rPr>
          <w:lang w:val="en-GB"/>
        </w:rPr>
        <w:t>It is expected that a party applying for condonation will give a full and honest explanation for the whole period of the delay.</w:t>
      </w:r>
      <w:r w:rsidR="005D6410">
        <w:rPr>
          <w:rStyle w:val="FootnoteReference"/>
          <w:lang w:val="en-GB"/>
        </w:rPr>
        <w:footnoteReference w:id="23"/>
      </w:r>
      <w:r w:rsidR="005D6410" w:rsidRPr="001916B7">
        <w:rPr>
          <w:lang w:val="en-GB"/>
        </w:rPr>
        <w:t xml:space="preserve"> </w:t>
      </w:r>
      <w:r w:rsidR="002A365A" w:rsidRPr="001916B7">
        <w:rPr>
          <w:lang w:val="en-GB"/>
        </w:rPr>
        <w:t xml:space="preserve">The extent and cause of the delay are </w:t>
      </w:r>
      <w:r w:rsidR="00B73363" w:rsidRPr="001916B7">
        <w:rPr>
          <w:lang w:val="en-GB"/>
        </w:rPr>
        <w:t xml:space="preserve">also </w:t>
      </w:r>
      <w:r w:rsidR="002A365A" w:rsidRPr="001916B7">
        <w:rPr>
          <w:lang w:val="en-GB"/>
        </w:rPr>
        <w:t xml:space="preserve">pertinent considerations. </w:t>
      </w:r>
      <w:r w:rsidR="00FB346B" w:rsidRPr="001916B7">
        <w:rPr>
          <w:lang w:val="en-GB"/>
        </w:rPr>
        <w:t>The reasonableness of the delay must be examined with reference to the explanation offered for the delay.</w:t>
      </w:r>
      <w:r w:rsidR="00FB346B">
        <w:rPr>
          <w:rStyle w:val="FootnoteReference"/>
          <w:lang w:val="en-GB"/>
        </w:rPr>
        <w:footnoteReference w:id="24"/>
      </w:r>
      <w:r w:rsidR="00FB346B" w:rsidRPr="001916B7">
        <w:rPr>
          <w:lang w:val="en-GB"/>
        </w:rPr>
        <w:t xml:space="preserve"> Importantly, an explanation for the delay must cover </w:t>
      </w:r>
      <w:r w:rsidR="00B73363" w:rsidRPr="001916B7">
        <w:rPr>
          <w:lang w:val="en-GB"/>
        </w:rPr>
        <w:t>its entirety</w:t>
      </w:r>
      <w:r w:rsidR="00FB346B" w:rsidRPr="001916B7">
        <w:rPr>
          <w:lang w:val="en-GB"/>
        </w:rPr>
        <w:t>.</w:t>
      </w:r>
      <w:r w:rsidR="00FB346B">
        <w:rPr>
          <w:rStyle w:val="FootnoteReference"/>
          <w:lang w:val="en-GB"/>
        </w:rPr>
        <w:footnoteReference w:id="25"/>
      </w:r>
      <w:r w:rsidR="00FB346B" w:rsidRPr="001916B7">
        <w:rPr>
          <w:lang w:val="en-GB"/>
        </w:rPr>
        <w:t xml:space="preserve"> </w:t>
      </w:r>
      <w:r w:rsidR="00B2666A" w:rsidRPr="001916B7">
        <w:rPr>
          <w:lang w:val="en-GB"/>
        </w:rPr>
        <w:t>According to Hoexter</w:t>
      </w:r>
      <w:r w:rsidR="008548F1" w:rsidRPr="001916B7">
        <w:rPr>
          <w:lang w:val="en-GB"/>
        </w:rPr>
        <w:t xml:space="preserve"> and Penfold</w:t>
      </w:r>
      <w:r w:rsidR="00B2666A" w:rsidRPr="001916B7">
        <w:rPr>
          <w:lang w:val="en-GB"/>
        </w:rPr>
        <w:t>, the explanation for the delay, and its reasonableness, assumes greater importance in PAJA reviews when considering that t</w:t>
      </w:r>
      <w:r w:rsidR="00BC3394" w:rsidRPr="001916B7">
        <w:rPr>
          <w:lang w:val="en-GB"/>
        </w:rPr>
        <w:t>hese factors would not necessarily have been interrogated in the first leg of the test (when the delay exceeds 180 days).</w:t>
      </w:r>
      <w:r w:rsidR="008548F1">
        <w:rPr>
          <w:rStyle w:val="FootnoteReference"/>
          <w:lang w:val="en-GB"/>
        </w:rPr>
        <w:footnoteReference w:id="26"/>
      </w:r>
      <w:r w:rsidR="007B5874" w:rsidRPr="001916B7">
        <w:rPr>
          <w:lang w:val="en-GB"/>
        </w:rPr>
        <w:t xml:space="preserve"> </w:t>
      </w:r>
    </w:p>
    <w:p w14:paraId="0586B65B" w14:textId="77777777" w:rsidR="00DA56E4" w:rsidRDefault="00DA56E4" w:rsidP="00DA56E4">
      <w:pPr>
        <w:pStyle w:val="ListParagraph"/>
        <w:autoSpaceDE w:val="0"/>
        <w:autoSpaceDN w:val="0"/>
        <w:adjustRightInd w:val="0"/>
        <w:ind w:left="0"/>
        <w:jc w:val="both"/>
        <w:rPr>
          <w:lang w:val="en-GB"/>
        </w:rPr>
      </w:pPr>
    </w:p>
    <w:p w14:paraId="42F35A41" w14:textId="23310736" w:rsidR="009A0D48" w:rsidRPr="001916B7" w:rsidRDefault="001916B7" w:rsidP="001916B7">
      <w:pPr>
        <w:autoSpaceDE w:val="0"/>
        <w:autoSpaceDN w:val="0"/>
        <w:adjustRightInd w:val="0"/>
        <w:jc w:val="both"/>
        <w:rPr>
          <w:lang w:val="en-GB"/>
        </w:rPr>
      </w:pPr>
      <w:r w:rsidRPr="009A0D48">
        <w:rPr>
          <w:lang w:val="en-GB"/>
        </w:rPr>
        <w:t>[19]</w:t>
      </w:r>
      <w:r w:rsidRPr="009A0D48">
        <w:rPr>
          <w:lang w:val="en-GB"/>
        </w:rPr>
        <w:tab/>
      </w:r>
      <w:r w:rsidR="0094006B" w:rsidRPr="001916B7">
        <w:rPr>
          <w:lang w:val="en-GB"/>
        </w:rPr>
        <w:t xml:space="preserve">Given the misguided </w:t>
      </w:r>
      <w:r w:rsidR="008A5FEB" w:rsidRPr="001916B7">
        <w:rPr>
          <w:lang w:val="en-GB"/>
        </w:rPr>
        <w:t>understanding</w:t>
      </w:r>
      <w:r w:rsidR="0094006B" w:rsidRPr="001916B7">
        <w:rPr>
          <w:lang w:val="en-GB"/>
        </w:rPr>
        <w:t xml:space="preserve"> </w:t>
      </w:r>
      <w:r w:rsidR="008A5FEB" w:rsidRPr="001916B7">
        <w:rPr>
          <w:lang w:val="en-GB"/>
        </w:rPr>
        <w:t>of</w:t>
      </w:r>
      <w:r w:rsidR="0094006B" w:rsidRPr="001916B7">
        <w:rPr>
          <w:lang w:val="en-GB"/>
        </w:rPr>
        <w:t xml:space="preserve"> the purported internal remedy, it is unsurprising that t</w:t>
      </w:r>
      <w:r w:rsidR="009A0D48" w:rsidRPr="001916B7">
        <w:rPr>
          <w:lang w:val="en-GB"/>
        </w:rPr>
        <w:t>he case for extension of the prescribed period is dealt with only briefly in the founding papers. A limited explanation has been provided in explaining the years of delay</w:t>
      </w:r>
      <w:r w:rsidR="00F21CE7" w:rsidRPr="001916B7">
        <w:rPr>
          <w:lang w:val="en-GB"/>
        </w:rPr>
        <w:t xml:space="preserve">, also after the purported internal remedy decision was taken in 2013. </w:t>
      </w:r>
      <w:r w:rsidR="003C1FFE" w:rsidRPr="001916B7">
        <w:rPr>
          <w:lang w:val="en-GB"/>
        </w:rPr>
        <w:t>R</w:t>
      </w:r>
      <w:r w:rsidR="009A0D48" w:rsidRPr="001916B7">
        <w:rPr>
          <w:lang w:val="en-GB"/>
        </w:rPr>
        <w:t xml:space="preserve">eliance is placed </w:t>
      </w:r>
      <w:r w:rsidR="007072CB" w:rsidRPr="001916B7">
        <w:rPr>
          <w:lang w:val="en-GB"/>
        </w:rPr>
        <w:t xml:space="preserve">squarely </w:t>
      </w:r>
      <w:r w:rsidR="009A0D48" w:rsidRPr="001916B7">
        <w:rPr>
          <w:lang w:val="en-GB"/>
        </w:rPr>
        <w:t>on an abortive referral of the matter to the Premier via COGTA’s Head of Department, the applicant assuming that each of the processes described in s 21 of the Framework Act was a precursor to a court application. Once advised that the Premier would not entertain the dispute further, the application was launched without undue delay. The applicant also submits that no prejudice would result from an extension granted</w:t>
      </w:r>
      <w:r w:rsidR="008A5FEB" w:rsidRPr="001916B7">
        <w:rPr>
          <w:lang w:val="en-GB"/>
        </w:rPr>
        <w:t>, and fails to deal with the prospects of success</w:t>
      </w:r>
      <w:r w:rsidR="009D5512" w:rsidRPr="001916B7">
        <w:rPr>
          <w:lang w:val="en-GB"/>
        </w:rPr>
        <w:t xml:space="preserve"> under this heading.</w:t>
      </w:r>
    </w:p>
    <w:p w14:paraId="3692D09F" w14:textId="77777777" w:rsidR="006158A8" w:rsidRDefault="006158A8" w:rsidP="006158A8">
      <w:pPr>
        <w:pStyle w:val="ListParagraph"/>
        <w:autoSpaceDE w:val="0"/>
        <w:autoSpaceDN w:val="0"/>
        <w:adjustRightInd w:val="0"/>
        <w:ind w:left="0"/>
        <w:jc w:val="both"/>
        <w:rPr>
          <w:lang w:val="en-GB"/>
        </w:rPr>
      </w:pPr>
    </w:p>
    <w:p w14:paraId="25019287" w14:textId="58F9A540" w:rsidR="001D6994" w:rsidRPr="001916B7" w:rsidRDefault="001916B7" w:rsidP="001916B7">
      <w:pPr>
        <w:autoSpaceDE w:val="0"/>
        <w:autoSpaceDN w:val="0"/>
        <w:adjustRightInd w:val="0"/>
        <w:jc w:val="both"/>
        <w:rPr>
          <w:lang w:val="en-GB"/>
        </w:rPr>
      </w:pPr>
      <w:r>
        <w:rPr>
          <w:lang w:val="en-GB"/>
        </w:rPr>
        <w:lastRenderedPageBreak/>
        <w:t>[20]</w:t>
      </w:r>
      <w:r>
        <w:rPr>
          <w:lang w:val="en-GB"/>
        </w:rPr>
        <w:tab/>
      </w:r>
      <w:r w:rsidR="001D6994" w:rsidRPr="001916B7">
        <w:rPr>
          <w:lang w:val="en-GB"/>
        </w:rPr>
        <w:t xml:space="preserve">It is relevant </w:t>
      </w:r>
      <w:r w:rsidR="00A118D6" w:rsidRPr="001916B7">
        <w:rPr>
          <w:lang w:val="en-GB"/>
        </w:rPr>
        <w:t xml:space="preserve">to consider </w:t>
      </w:r>
      <w:r w:rsidR="001D6994" w:rsidRPr="001916B7">
        <w:rPr>
          <w:lang w:val="en-GB"/>
        </w:rPr>
        <w:t>that the applicant attempted to resolve the dispute through the Provincial House prior to resorting to court.</w:t>
      </w:r>
      <w:r w:rsidR="001D6994">
        <w:rPr>
          <w:rStyle w:val="FootnoteReference"/>
          <w:lang w:val="en-GB"/>
        </w:rPr>
        <w:footnoteReference w:id="27"/>
      </w:r>
      <w:r w:rsidR="00184EB9" w:rsidRPr="001916B7">
        <w:rPr>
          <w:lang w:val="en-GB"/>
        </w:rPr>
        <w:t xml:space="preserve"> The applicant concedes that this process was incorrectly invoked, based on the advice of C</w:t>
      </w:r>
      <w:r w:rsidR="00385AF6" w:rsidRPr="001916B7">
        <w:rPr>
          <w:lang w:val="en-GB"/>
        </w:rPr>
        <w:t>O</w:t>
      </w:r>
      <w:r w:rsidR="00184EB9" w:rsidRPr="001916B7">
        <w:rPr>
          <w:lang w:val="en-GB"/>
        </w:rPr>
        <w:t xml:space="preserve">GTA. </w:t>
      </w:r>
      <w:r w:rsidR="005620A8" w:rsidRPr="001916B7">
        <w:rPr>
          <w:lang w:val="en-GB"/>
        </w:rPr>
        <w:t>But that cannot on its own justify subsequent inaction of the kind that followed.</w:t>
      </w:r>
      <w:r w:rsidR="00567E32" w:rsidRPr="001916B7">
        <w:rPr>
          <w:lang w:val="en-GB"/>
        </w:rPr>
        <w:t xml:space="preserve"> It does not avail the applicant to lay the blame for all delays at the door of the CGE in circumstances where the applicant fails to explain her own conduct in pursuing the matter through the CGE or otherwise</w:t>
      </w:r>
      <w:r w:rsidR="00866D58" w:rsidRPr="001916B7">
        <w:rPr>
          <w:lang w:val="en-GB"/>
        </w:rPr>
        <w:t>, or to obtain the outcome of the process considered to be an internal remedy</w:t>
      </w:r>
      <w:r w:rsidR="00567E32" w:rsidRPr="001916B7">
        <w:rPr>
          <w:lang w:val="en-GB"/>
        </w:rPr>
        <w:t>.</w:t>
      </w:r>
      <w:r w:rsidR="00032C55" w:rsidRPr="001916B7">
        <w:rPr>
          <w:lang w:val="en-GB"/>
        </w:rPr>
        <w:t xml:space="preserve"> As the papers demonstrate, the CGE’s assistance was </w:t>
      </w:r>
      <w:r w:rsidR="00B968C6" w:rsidRPr="001916B7">
        <w:rPr>
          <w:lang w:val="en-GB"/>
        </w:rPr>
        <w:t xml:space="preserve">provided sporadically and, even making some allowance for the usual difficulties of dealing with a bureaucracy, the overall pace adopted was sedentary. </w:t>
      </w:r>
    </w:p>
    <w:p w14:paraId="0644F7D8" w14:textId="77777777" w:rsidR="005620A8" w:rsidRPr="00DA56E4" w:rsidRDefault="005620A8" w:rsidP="005620A8">
      <w:pPr>
        <w:pStyle w:val="ListParagraph"/>
        <w:autoSpaceDE w:val="0"/>
        <w:autoSpaceDN w:val="0"/>
        <w:adjustRightInd w:val="0"/>
        <w:ind w:left="0"/>
        <w:jc w:val="both"/>
        <w:rPr>
          <w:lang w:val="en-GB"/>
        </w:rPr>
      </w:pPr>
    </w:p>
    <w:p w14:paraId="455BBF77" w14:textId="5CC31A39" w:rsidR="00FB5EC9" w:rsidRPr="001916B7" w:rsidRDefault="001916B7" w:rsidP="001916B7">
      <w:pPr>
        <w:autoSpaceDE w:val="0"/>
        <w:autoSpaceDN w:val="0"/>
        <w:adjustRightInd w:val="0"/>
        <w:jc w:val="both"/>
        <w:rPr>
          <w:lang w:val="en-GB"/>
        </w:rPr>
      </w:pPr>
      <w:r>
        <w:rPr>
          <w:lang w:val="en-GB"/>
        </w:rPr>
        <w:t>[21]</w:t>
      </w:r>
      <w:r>
        <w:rPr>
          <w:lang w:val="en-GB"/>
        </w:rPr>
        <w:tab/>
      </w:r>
      <w:r w:rsidR="001D0915" w:rsidRPr="001916B7">
        <w:rPr>
          <w:lang w:val="en-GB"/>
        </w:rPr>
        <w:t>For example, for a year subsequent to August 2011, all that was achieved was a single meeting</w:t>
      </w:r>
      <w:r w:rsidR="00F06080" w:rsidRPr="001916B7">
        <w:rPr>
          <w:lang w:val="en-GB"/>
        </w:rPr>
        <w:t xml:space="preserve"> following protracted correspondence</w:t>
      </w:r>
      <w:r w:rsidR="001D0915" w:rsidRPr="001916B7">
        <w:rPr>
          <w:lang w:val="en-GB"/>
        </w:rPr>
        <w:t xml:space="preserve">. </w:t>
      </w:r>
      <w:r w:rsidR="0072010D" w:rsidRPr="001916B7">
        <w:rPr>
          <w:lang w:val="en-GB"/>
        </w:rPr>
        <w:t>Nothing occurred between October 2011 and June 2012</w:t>
      </w:r>
      <w:r w:rsidR="009C1ACD" w:rsidRPr="001916B7">
        <w:rPr>
          <w:lang w:val="en-GB"/>
        </w:rPr>
        <w:t xml:space="preserve">. </w:t>
      </w:r>
      <w:r w:rsidR="001E3AEB" w:rsidRPr="001916B7">
        <w:rPr>
          <w:lang w:val="en-GB"/>
        </w:rPr>
        <w:t xml:space="preserve">Representatives of </w:t>
      </w:r>
      <w:r w:rsidR="00184EB9" w:rsidRPr="001916B7">
        <w:rPr>
          <w:lang w:val="en-GB"/>
        </w:rPr>
        <w:t>the Eastern Cape Department of Cooperative Governance and Traditional Affairs (‘</w:t>
      </w:r>
      <w:r w:rsidR="001E3AEB" w:rsidRPr="001916B7">
        <w:rPr>
          <w:lang w:val="en-GB"/>
        </w:rPr>
        <w:t>COGTA</w:t>
      </w:r>
      <w:r w:rsidR="00184EB9" w:rsidRPr="001916B7">
        <w:rPr>
          <w:lang w:val="en-GB"/>
        </w:rPr>
        <w:t>’)</w:t>
      </w:r>
      <w:r w:rsidR="001E3AEB" w:rsidRPr="001916B7">
        <w:rPr>
          <w:lang w:val="en-GB"/>
        </w:rPr>
        <w:t xml:space="preserve"> advised the CGE that the Provincial House was the correct forum to resolve the dispute. That was at a meeting on 14 August 2012</w:t>
      </w:r>
      <w:r w:rsidR="00147463" w:rsidRPr="001916B7">
        <w:rPr>
          <w:lang w:val="en-GB"/>
        </w:rPr>
        <w:t xml:space="preserve">, but nothing transpired for another three months. </w:t>
      </w:r>
      <w:r w:rsidR="00021AB9" w:rsidRPr="001916B7">
        <w:rPr>
          <w:lang w:val="en-GB"/>
        </w:rPr>
        <w:t>Correspondence reflects that once the dispute was referred to the Provincial House on 8 November 2012, the CGE</w:t>
      </w:r>
      <w:r w:rsidR="00954063" w:rsidRPr="001916B7">
        <w:rPr>
          <w:lang w:val="en-GB"/>
        </w:rPr>
        <w:t>, based on an undertaking received from COGTA,</w:t>
      </w:r>
      <w:r w:rsidR="00021AB9" w:rsidRPr="001916B7">
        <w:rPr>
          <w:lang w:val="en-GB"/>
        </w:rPr>
        <w:t xml:space="preserve"> expected finalisation within 90 working days from 14 January 2013. </w:t>
      </w:r>
      <w:r w:rsidR="00920420" w:rsidRPr="001916B7">
        <w:rPr>
          <w:lang w:val="en-GB"/>
        </w:rPr>
        <w:t xml:space="preserve">There is nothing on the papers to suggest that it did not keep the applicant appraised of such developments. </w:t>
      </w:r>
      <w:r w:rsidR="005938BC" w:rsidRPr="001916B7">
        <w:rPr>
          <w:lang w:val="en-GB"/>
        </w:rPr>
        <w:t>A public hearing was convened in February 2013</w:t>
      </w:r>
      <w:r w:rsidR="00606C14" w:rsidRPr="001916B7">
        <w:rPr>
          <w:lang w:val="en-GB"/>
        </w:rPr>
        <w:t xml:space="preserve">. </w:t>
      </w:r>
      <w:r w:rsidR="009E43F7" w:rsidRPr="001916B7">
        <w:rPr>
          <w:lang w:val="en-GB"/>
        </w:rPr>
        <w:t xml:space="preserve">Despite </w:t>
      </w:r>
      <w:r w:rsidR="00F9010B" w:rsidRPr="001916B7">
        <w:rPr>
          <w:lang w:val="en-GB"/>
        </w:rPr>
        <w:t>the</w:t>
      </w:r>
      <w:r w:rsidR="009E43F7" w:rsidRPr="001916B7">
        <w:rPr>
          <w:lang w:val="en-GB"/>
        </w:rPr>
        <w:t xml:space="preserve"> expectation</w:t>
      </w:r>
      <w:r w:rsidR="00F9010B" w:rsidRPr="001916B7">
        <w:rPr>
          <w:lang w:val="en-GB"/>
        </w:rPr>
        <w:t xml:space="preserve"> of an outcome </w:t>
      </w:r>
      <w:r w:rsidR="00AF68E4" w:rsidRPr="001916B7">
        <w:rPr>
          <w:lang w:val="en-GB"/>
        </w:rPr>
        <w:t>on 24 May 2013</w:t>
      </w:r>
      <w:r w:rsidR="009E43F7" w:rsidRPr="001916B7">
        <w:rPr>
          <w:lang w:val="en-GB"/>
        </w:rPr>
        <w:t xml:space="preserve">, little seems to have occurred until </w:t>
      </w:r>
      <w:r w:rsidR="00C84451" w:rsidRPr="001916B7">
        <w:rPr>
          <w:lang w:val="en-GB"/>
        </w:rPr>
        <w:t xml:space="preserve">the CGE summoned COGTA’s Head of Department to a meeting during February 2015, and </w:t>
      </w:r>
      <w:r w:rsidR="009E43F7" w:rsidRPr="001916B7">
        <w:rPr>
          <w:lang w:val="en-GB"/>
        </w:rPr>
        <w:t>the Department of Cooperative Governance and Traditional Affairs addressed a letter to the Kona Royal Family in May 2015.</w:t>
      </w:r>
      <w:r w:rsidR="00FE3EF7" w:rsidRPr="001916B7">
        <w:rPr>
          <w:lang w:val="en-GB"/>
        </w:rPr>
        <w:t xml:space="preserve"> In the applicant’s own words, ‘despite numerous inquiries the report of the Provincial House was not provided, nor were any further steps taken by COGTA in connection with the dispute for almost two years’.</w:t>
      </w:r>
      <w:r w:rsidR="009E43F7" w:rsidRPr="001916B7">
        <w:rPr>
          <w:lang w:val="en-GB"/>
        </w:rPr>
        <w:t xml:space="preserve"> </w:t>
      </w:r>
      <w:r w:rsidR="001B6407" w:rsidRPr="001916B7">
        <w:rPr>
          <w:lang w:val="en-GB"/>
        </w:rPr>
        <w:t xml:space="preserve">A letter was addressed to the Head of Department in June 2013. </w:t>
      </w:r>
      <w:r w:rsidR="00427BAE" w:rsidRPr="001916B7">
        <w:rPr>
          <w:lang w:val="en-GB"/>
        </w:rPr>
        <w:t xml:space="preserve">The subsequent family meeting occurred only in September of that year. Other than generic correspondence from the CGE in September 2016, only in January 2017 was </w:t>
      </w:r>
      <w:r w:rsidR="0055292C" w:rsidRPr="001916B7">
        <w:rPr>
          <w:lang w:val="en-GB"/>
        </w:rPr>
        <w:t>a follow-up to the outstanding report from the Provincial House sought</w:t>
      </w:r>
      <w:r w:rsidR="00E04D0C" w:rsidRPr="001916B7">
        <w:rPr>
          <w:lang w:val="en-GB"/>
        </w:rPr>
        <w:t>, some years after it had been expected</w:t>
      </w:r>
      <w:r w:rsidR="0055292C" w:rsidRPr="001916B7">
        <w:rPr>
          <w:lang w:val="en-GB"/>
        </w:rPr>
        <w:t xml:space="preserve">. </w:t>
      </w:r>
      <w:r w:rsidR="00694B16" w:rsidRPr="001916B7">
        <w:rPr>
          <w:lang w:val="en-GB"/>
        </w:rPr>
        <w:t xml:space="preserve">As the applicant </w:t>
      </w:r>
      <w:r w:rsidR="00694B16" w:rsidRPr="001916B7">
        <w:rPr>
          <w:lang w:val="en-GB"/>
        </w:rPr>
        <w:lastRenderedPageBreak/>
        <w:t xml:space="preserve">acknowledges, </w:t>
      </w:r>
      <w:r w:rsidR="006C1AAE" w:rsidRPr="001916B7">
        <w:rPr>
          <w:lang w:val="en-GB"/>
        </w:rPr>
        <w:t xml:space="preserve">at least </w:t>
      </w:r>
      <w:r w:rsidR="00694B16" w:rsidRPr="001916B7">
        <w:rPr>
          <w:lang w:val="en-GB"/>
        </w:rPr>
        <w:t>from September 2015 to December 2016 there was no progress at all on this matter, despite some letters having been addressed to COGTA by the CGE and a complaint to the Premier</w:t>
      </w:r>
      <w:r w:rsidR="00675095" w:rsidRPr="001916B7">
        <w:rPr>
          <w:lang w:val="en-GB"/>
        </w:rPr>
        <w:t xml:space="preserve"> regarding </w:t>
      </w:r>
      <w:r w:rsidR="00015706" w:rsidRPr="001916B7">
        <w:rPr>
          <w:lang w:val="en-GB"/>
        </w:rPr>
        <w:t xml:space="preserve">departmental </w:t>
      </w:r>
      <w:r w:rsidR="00675095" w:rsidRPr="001916B7">
        <w:rPr>
          <w:lang w:val="en-GB"/>
        </w:rPr>
        <w:t>inaction in certain matters</w:t>
      </w:r>
      <w:r w:rsidR="00694B16" w:rsidRPr="001916B7">
        <w:rPr>
          <w:lang w:val="en-GB"/>
        </w:rPr>
        <w:t>.</w:t>
      </w:r>
    </w:p>
    <w:p w14:paraId="6CBDBB75" w14:textId="49EA8777" w:rsidR="00FB5EC9" w:rsidRPr="00FB5EC9" w:rsidRDefault="00694B16" w:rsidP="00FB5EC9">
      <w:pPr>
        <w:pStyle w:val="ListParagraph"/>
        <w:autoSpaceDE w:val="0"/>
        <w:autoSpaceDN w:val="0"/>
        <w:adjustRightInd w:val="0"/>
        <w:ind w:left="0"/>
        <w:jc w:val="both"/>
        <w:rPr>
          <w:lang w:val="en-GB"/>
        </w:rPr>
      </w:pPr>
      <w:r w:rsidRPr="00FB5EC9">
        <w:rPr>
          <w:lang w:val="en-GB"/>
        </w:rPr>
        <w:t xml:space="preserve"> </w:t>
      </w:r>
    </w:p>
    <w:p w14:paraId="7CF6E840" w14:textId="53419A33" w:rsidR="00DA56E4" w:rsidRPr="001916B7" w:rsidRDefault="001916B7" w:rsidP="001916B7">
      <w:pPr>
        <w:autoSpaceDE w:val="0"/>
        <w:autoSpaceDN w:val="0"/>
        <w:adjustRightInd w:val="0"/>
        <w:jc w:val="both"/>
        <w:rPr>
          <w:lang w:val="en-GB"/>
        </w:rPr>
      </w:pPr>
      <w:r>
        <w:rPr>
          <w:lang w:val="en-GB"/>
        </w:rPr>
        <w:t>[22]</w:t>
      </w:r>
      <w:r>
        <w:rPr>
          <w:lang w:val="en-GB"/>
        </w:rPr>
        <w:tab/>
      </w:r>
      <w:r w:rsidR="00495F3A" w:rsidRPr="001916B7">
        <w:rPr>
          <w:lang w:val="en-GB"/>
        </w:rPr>
        <w:t>The Acting Head of Department: Cooperative Governance and Traditional Affairs was eventually summoned to appear before the CGE in April 2017, resulting in the outcome letter</w:t>
      </w:r>
      <w:r w:rsidR="005D77CB" w:rsidRPr="001916B7">
        <w:rPr>
          <w:lang w:val="en-GB"/>
        </w:rPr>
        <w:t>, dated 6 September 2013,</w:t>
      </w:r>
      <w:r w:rsidR="00495F3A" w:rsidRPr="001916B7">
        <w:rPr>
          <w:lang w:val="en-GB"/>
        </w:rPr>
        <w:t xml:space="preserve"> being provided</w:t>
      </w:r>
      <w:r w:rsidR="005D77CB" w:rsidRPr="001916B7">
        <w:rPr>
          <w:lang w:val="en-GB"/>
        </w:rPr>
        <w:t xml:space="preserve"> </w:t>
      </w:r>
      <w:r w:rsidR="009E6351" w:rsidRPr="001916B7">
        <w:rPr>
          <w:lang w:val="en-GB"/>
        </w:rPr>
        <w:t>on 12 April 2017</w:t>
      </w:r>
      <w:r w:rsidR="00495F3A" w:rsidRPr="001916B7">
        <w:rPr>
          <w:lang w:val="en-GB"/>
        </w:rPr>
        <w:t xml:space="preserve">. </w:t>
      </w:r>
      <w:r w:rsidR="007363ED" w:rsidRPr="001916B7">
        <w:rPr>
          <w:lang w:val="en-GB"/>
        </w:rPr>
        <w:t>The applicant</w:t>
      </w:r>
      <w:r w:rsidR="00DF765A" w:rsidRPr="001916B7">
        <w:rPr>
          <w:lang w:val="en-GB"/>
        </w:rPr>
        <w:t xml:space="preserve"> received advice, via the CGE, from the Acting Head of Department on 6 June 2017, proposing that the applicant submit an appeal to the Executive Authority</w:t>
      </w:r>
      <w:r w:rsidR="0000399D" w:rsidRPr="001916B7">
        <w:rPr>
          <w:lang w:val="en-GB"/>
        </w:rPr>
        <w:t xml:space="preserve">, which </w:t>
      </w:r>
      <w:r w:rsidR="000C305D" w:rsidRPr="001916B7">
        <w:rPr>
          <w:lang w:val="en-GB"/>
        </w:rPr>
        <w:t>followed</w:t>
      </w:r>
      <w:r w:rsidR="007363ED" w:rsidRPr="001916B7">
        <w:rPr>
          <w:lang w:val="en-GB"/>
        </w:rPr>
        <w:t xml:space="preserve"> on 13 June 201</w:t>
      </w:r>
      <w:r w:rsidR="006634CD" w:rsidRPr="001916B7">
        <w:rPr>
          <w:lang w:val="en-GB"/>
        </w:rPr>
        <w:t>7</w:t>
      </w:r>
      <w:r w:rsidR="007363ED" w:rsidRPr="001916B7">
        <w:rPr>
          <w:lang w:val="en-GB"/>
        </w:rPr>
        <w:t xml:space="preserve">. </w:t>
      </w:r>
      <w:r w:rsidR="00105076" w:rsidRPr="001916B7">
        <w:rPr>
          <w:lang w:val="en-GB"/>
        </w:rPr>
        <w:t xml:space="preserve">Other than a meeting with the MEC and HoD on 30 November 2017, when it was suggested that an outcome would be furnished by 28 February 2018, nothing occurred until 26 April 2018, when the MEC indicated that an appeal was not possible. </w:t>
      </w:r>
      <w:r w:rsidR="0071433C" w:rsidRPr="001916B7">
        <w:rPr>
          <w:lang w:val="en-GB"/>
        </w:rPr>
        <w:t xml:space="preserve">Legal advice was sought and an application prepared only during September 2018. The founding affidavit </w:t>
      </w:r>
      <w:r w:rsidR="006158A8" w:rsidRPr="001916B7">
        <w:rPr>
          <w:lang w:val="en-GB"/>
        </w:rPr>
        <w:t xml:space="preserve">launching these proceedings </w:t>
      </w:r>
      <w:r w:rsidR="0071433C" w:rsidRPr="001916B7">
        <w:rPr>
          <w:lang w:val="en-GB"/>
        </w:rPr>
        <w:t xml:space="preserve">was commissioned more than a month thereafter. </w:t>
      </w:r>
    </w:p>
    <w:p w14:paraId="4BF835DA" w14:textId="77777777" w:rsidR="00DA56E4" w:rsidRDefault="00DA56E4" w:rsidP="00DA56E4">
      <w:pPr>
        <w:pStyle w:val="ListParagraph"/>
        <w:autoSpaceDE w:val="0"/>
        <w:autoSpaceDN w:val="0"/>
        <w:adjustRightInd w:val="0"/>
        <w:ind w:left="0"/>
        <w:jc w:val="both"/>
        <w:rPr>
          <w:lang w:val="en-GB"/>
        </w:rPr>
      </w:pPr>
    </w:p>
    <w:p w14:paraId="100DDBAE" w14:textId="32C757D0" w:rsidR="00DA56E4" w:rsidRPr="001916B7" w:rsidRDefault="001916B7" w:rsidP="001916B7">
      <w:pPr>
        <w:autoSpaceDE w:val="0"/>
        <w:autoSpaceDN w:val="0"/>
        <w:adjustRightInd w:val="0"/>
        <w:jc w:val="both"/>
        <w:rPr>
          <w:lang w:val="en-GB"/>
        </w:rPr>
      </w:pPr>
      <w:r>
        <w:rPr>
          <w:lang w:val="en-GB"/>
        </w:rPr>
        <w:t>[23]</w:t>
      </w:r>
      <w:r>
        <w:rPr>
          <w:lang w:val="en-GB"/>
        </w:rPr>
        <w:tab/>
      </w:r>
      <w:r w:rsidR="00CB6FCA" w:rsidRPr="001916B7">
        <w:rPr>
          <w:lang w:val="en-GB"/>
        </w:rPr>
        <w:t>The applicant has failed to confront the excessive delay meaningfully and with full reference to her own conduct during the years that have lapsed.</w:t>
      </w:r>
      <w:r w:rsidR="00CB6FCA">
        <w:rPr>
          <w:rStyle w:val="FootnoteReference"/>
          <w:lang w:val="en-GB"/>
        </w:rPr>
        <w:footnoteReference w:id="28"/>
      </w:r>
      <w:r w:rsidR="00CB6FCA" w:rsidRPr="001916B7">
        <w:rPr>
          <w:lang w:val="en-GB"/>
        </w:rPr>
        <w:t xml:space="preserve"> </w:t>
      </w:r>
      <w:r w:rsidR="00DA56E4" w:rsidRPr="001916B7">
        <w:rPr>
          <w:lang w:val="en-GB"/>
        </w:rPr>
        <w:t xml:space="preserve"> </w:t>
      </w:r>
      <w:r w:rsidR="00FB5EC9" w:rsidRPr="001916B7">
        <w:rPr>
          <w:lang w:val="en-GB"/>
        </w:rPr>
        <w:t xml:space="preserve">The CGE failed to pursue the matter with any urgency, despite the </w:t>
      </w:r>
      <w:r w:rsidR="0045087F" w:rsidRPr="001916B7">
        <w:rPr>
          <w:lang w:val="en-GB"/>
        </w:rPr>
        <w:t>lengthy</w:t>
      </w:r>
      <w:r w:rsidR="00FB5EC9" w:rsidRPr="001916B7">
        <w:rPr>
          <w:lang w:val="en-GB"/>
        </w:rPr>
        <w:t xml:space="preserve"> period of time that elapsed since the applicant sought its assistance. </w:t>
      </w:r>
      <w:r w:rsidR="00AB61B6" w:rsidRPr="001916B7">
        <w:rPr>
          <w:lang w:val="en-GB"/>
        </w:rPr>
        <w:t>Neither the applicant nor the CGE appear to have even attempted to seek</w:t>
      </w:r>
      <w:r w:rsidR="00FB5EC9" w:rsidRPr="001916B7">
        <w:rPr>
          <w:lang w:val="en-GB"/>
        </w:rPr>
        <w:t xml:space="preserve"> legal advice </w:t>
      </w:r>
      <w:r w:rsidR="00AB61B6" w:rsidRPr="001916B7">
        <w:rPr>
          <w:lang w:val="en-GB"/>
        </w:rPr>
        <w:t>until at least May 2018</w:t>
      </w:r>
      <w:r w:rsidR="00903CBE" w:rsidRPr="001916B7">
        <w:rPr>
          <w:lang w:val="en-GB"/>
        </w:rPr>
        <w:t xml:space="preserve">. </w:t>
      </w:r>
      <w:r w:rsidR="00126C9D" w:rsidRPr="001916B7">
        <w:rPr>
          <w:lang w:val="en-GB"/>
        </w:rPr>
        <w:t>T</w:t>
      </w:r>
      <w:r w:rsidR="00FB5EC9" w:rsidRPr="001916B7">
        <w:rPr>
          <w:lang w:val="en-GB"/>
        </w:rPr>
        <w:t xml:space="preserve">here is nothing on the papers explaining any </w:t>
      </w:r>
      <w:r w:rsidR="00126C9D" w:rsidRPr="001916B7">
        <w:rPr>
          <w:lang w:val="en-GB"/>
        </w:rPr>
        <w:t xml:space="preserve">serious </w:t>
      </w:r>
      <w:r w:rsidR="00FB5EC9" w:rsidRPr="001916B7">
        <w:rPr>
          <w:lang w:val="en-GB"/>
        </w:rPr>
        <w:t>attempts on the part of the applicant to accelerate proceeding</w:t>
      </w:r>
      <w:r w:rsidR="00126C9D" w:rsidRPr="001916B7">
        <w:rPr>
          <w:lang w:val="en-GB"/>
        </w:rPr>
        <w:t>s</w:t>
      </w:r>
      <w:r w:rsidR="00427568" w:rsidRPr="001916B7">
        <w:rPr>
          <w:lang w:val="en-GB"/>
        </w:rPr>
        <w:t>, notwithstanding the nature of the relief sought and its importance to her, and considering that the fourth respondent remained in the position</w:t>
      </w:r>
      <w:r w:rsidR="00126C9D" w:rsidRPr="001916B7">
        <w:rPr>
          <w:lang w:val="en-GB"/>
        </w:rPr>
        <w:t>.</w:t>
      </w:r>
      <w:r w:rsidR="008A35C5" w:rsidRPr="001916B7">
        <w:rPr>
          <w:lang w:val="en-GB"/>
        </w:rPr>
        <w:t xml:space="preserve"> </w:t>
      </w:r>
      <w:r w:rsidR="00126C9D" w:rsidRPr="001916B7">
        <w:rPr>
          <w:lang w:val="en-GB"/>
        </w:rPr>
        <w:t xml:space="preserve">It must be accepted that she was content to permit the CGE to engage in protracted correspondence spanning an inordinate period of time, blindly </w:t>
      </w:r>
      <w:r w:rsidR="007308C2" w:rsidRPr="001916B7">
        <w:rPr>
          <w:lang w:val="en-GB"/>
        </w:rPr>
        <w:t>expectant</w:t>
      </w:r>
      <w:r w:rsidR="00126C9D" w:rsidRPr="001916B7">
        <w:rPr>
          <w:lang w:val="en-GB"/>
        </w:rPr>
        <w:t xml:space="preserve"> o</w:t>
      </w:r>
      <w:r w:rsidR="007308C2" w:rsidRPr="001916B7">
        <w:rPr>
          <w:lang w:val="en-GB"/>
        </w:rPr>
        <w:t>f</w:t>
      </w:r>
      <w:r w:rsidR="00126C9D" w:rsidRPr="001916B7">
        <w:rPr>
          <w:lang w:val="en-GB"/>
        </w:rPr>
        <w:t xml:space="preserve"> those efforts </w:t>
      </w:r>
      <w:r w:rsidR="007308C2" w:rsidRPr="001916B7">
        <w:rPr>
          <w:lang w:val="en-GB"/>
        </w:rPr>
        <w:t>yielding an outcome that would overturn the recognition of the fourth respondent</w:t>
      </w:r>
      <w:r w:rsidR="0084170B" w:rsidRPr="001916B7">
        <w:rPr>
          <w:lang w:val="en-GB"/>
        </w:rPr>
        <w:t xml:space="preserve"> in 2011.</w:t>
      </w:r>
      <w:r w:rsidR="008A35C5" w:rsidRPr="001916B7">
        <w:rPr>
          <w:lang w:val="en-GB"/>
        </w:rPr>
        <w:t xml:space="preserve"> </w:t>
      </w:r>
      <w:r w:rsidR="0016510D" w:rsidRPr="001916B7">
        <w:rPr>
          <w:lang w:val="en-GB"/>
        </w:rPr>
        <w:t>Notwithstanding</w:t>
      </w:r>
      <w:r w:rsidR="00520499" w:rsidRPr="001916B7">
        <w:rPr>
          <w:lang w:val="en-GB"/>
        </w:rPr>
        <w:t xml:space="preserve"> </w:t>
      </w:r>
      <w:r w:rsidR="003D68DC" w:rsidRPr="001916B7">
        <w:rPr>
          <w:lang w:val="en-GB"/>
        </w:rPr>
        <w:t xml:space="preserve">due consideration of the fact </w:t>
      </w:r>
      <w:r w:rsidR="00520499" w:rsidRPr="001916B7">
        <w:rPr>
          <w:lang w:val="en-GB"/>
        </w:rPr>
        <w:t>that the CGE and applicant received erroneous advice, t</w:t>
      </w:r>
      <w:r w:rsidR="00127981" w:rsidRPr="001916B7">
        <w:rPr>
          <w:lang w:val="en-GB"/>
        </w:rPr>
        <w:t xml:space="preserve">he explanation provided </w:t>
      </w:r>
      <w:r w:rsidR="00786F1B" w:rsidRPr="001916B7">
        <w:rPr>
          <w:lang w:val="en-GB"/>
        </w:rPr>
        <w:t xml:space="preserve">for the </w:t>
      </w:r>
      <w:r w:rsidR="00070A50" w:rsidRPr="001916B7">
        <w:rPr>
          <w:lang w:val="en-GB"/>
        </w:rPr>
        <w:t>subsequent</w:t>
      </w:r>
      <w:r w:rsidR="0045087F" w:rsidRPr="001916B7">
        <w:rPr>
          <w:lang w:val="en-GB"/>
        </w:rPr>
        <w:t xml:space="preserve"> </w:t>
      </w:r>
      <w:r w:rsidR="00786F1B" w:rsidRPr="001916B7">
        <w:rPr>
          <w:lang w:val="en-GB"/>
        </w:rPr>
        <w:lastRenderedPageBreak/>
        <w:t xml:space="preserve">delays in obtaining the 2013 Provincial House Report </w:t>
      </w:r>
      <w:r w:rsidR="00127981" w:rsidRPr="001916B7">
        <w:rPr>
          <w:lang w:val="en-GB"/>
        </w:rPr>
        <w:t>is incomplete and wholly inadequate</w:t>
      </w:r>
      <w:r w:rsidR="006F655E" w:rsidRPr="001916B7">
        <w:rPr>
          <w:lang w:val="en-GB"/>
        </w:rPr>
        <w:t xml:space="preserve"> when considering the </w:t>
      </w:r>
      <w:r w:rsidR="004E3E62" w:rsidRPr="001916B7">
        <w:rPr>
          <w:lang w:val="en-GB"/>
        </w:rPr>
        <w:t xml:space="preserve">substantial </w:t>
      </w:r>
      <w:r w:rsidR="006F655E" w:rsidRPr="001916B7">
        <w:rPr>
          <w:lang w:val="en-GB"/>
        </w:rPr>
        <w:t>period of delay.</w:t>
      </w:r>
      <w:r w:rsidR="008228F2">
        <w:rPr>
          <w:rStyle w:val="FootnoteReference"/>
          <w:lang w:val="en-GB"/>
        </w:rPr>
        <w:footnoteReference w:id="29"/>
      </w:r>
      <w:r w:rsidR="0037780E" w:rsidRPr="001916B7">
        <w:rPr>
          <w:lang w:val="en-GB"/>
        </w:rPr>
        <w:t xml:space="preserve"> </w:t>
      </w:r>
      <w:r w:rsidR="00F7118E" w:rsidRPr="001916B7">
        <w:rPr>
          <w:lang w:val="en-GB"/>
        </w:rPr>
        <w:t>Even if this had constituted an internal remedy in terms of s 7(1)</w:t>
      </w:r>
      <w:r w:rsidR="00F7118E" w:rsidRPr="001916B7">
        <w:rPr>
          <w:i/>
          <w:iCs/>
          <w:lang w:val="en-GB"/>
        </w:rPr>
        <w:t>(a)</w:t>
      </w:r>
      <w:r w:rsidR="00F7118E" w:rsidRPr="001916B7">
        <w:rPr>
          <w:lang w:val="en-GB"/>
        </w:rPr>
        <w:t xml:space="preserve"> of PAJA, those proceedings were concluded during 2013, and the </w:t>
      </w:r>
      <w:r w:rsidR="000540AB" w:rsidRPr="001916B7">
        <w:rPr>
          <w:lang w:val="en-GB"/>
        </w:rPr>
        <w:t xml:space="preserve">explanation for the excessive </w:t>
      </w:r>
      <w:r w:rsidR="00F7118E" w:rsidRPr="001916B7">
        <w:rPr>
          <w:lang w:val="en-GB"/>
        </w:rPr>
        <w:t xml:space="preserve">delay </w:t>
      </w:r>
      <w:r w:rsidR="000540AB" w:rsidRPr="001916B7">
        <w:rPr>
          <w:lang w:val="en-GB"/>
        </w:rPr>
        <w:t>in launching the review is inadequate.</w:t>
      </w:r>
      <w:r w:rsidR="00F7118E" w:rsidRPr="001916B7">
        <w:rPr>
          <w:lang w:val="en-GB"/>
        </w:rPr>
        <w:t xml:space="preserve"> </w:t>
      </w:r>
      <w:r w:rsidR="0037780E" w:rsidRPr="001916B7">
        <w:rPr>
          <w:lang w:val="en-GB"/>
        </w:rPr>
        <w:t>The applicant’s attitude, contrary to what might have been expected, was indifferent and it cannot be said that all reasonable steps were taken.</w:t>
      </w:r>
      <w:r w:rsidR="0037780E">
        <w:rPr>
          <w:rStyle w:val="FootnoteReference"/>
          <w:lang w:val="en-GB"/>
        </w:rPr>
        <w:footnoteReference w:id="30"/>
      </w:r>
      <w:r w:rsidR="00294124" w:rsidRPr="001916B7">
        <w:rPr>
          <w:lang w:val="en-GB"/>
        </w:rPr>
        <w:t xml:space="preserve"> The applicant must</w:t>
      </w:r>
      <w:r w:rsidR="00827849" w:rsidRPr="001916B7">
        <w:rPr>
          <w:lang w:val="en-GB"/>
        </w:rPr>
        <w:t>, as a result,</w:t>
      </w:r>
      <w:r w:rsidR="00294124" w:rsidRPr="001916B7">
        <w:rPr>
          <w:lang w:val="en-GB"/>
        </w:rPr>
        <w:t xml:space="preserve"> b</w:t>
      </w:r>
      <w:r w:rsidR="001F67A9" w:rsidRPr="001916B7">
        <w:rPr>
          <w:lang w:val="en-GB"/>
        </w:rPr>
        <w:t>ear significant responsibility for the extensive delay</w:t>
      </w:r>
      <w:r w:rsidR="00382FF5" w:rsidRPr="001916B7">
        <w:rPr>
          <w:lang w:val="en-GB"/>
        </w:rPr>
        <w:t xml:space="preserve"> when considering the limited explanation offered.</w:t>
      </w:r>
      <w:r w:rsidR="00651DA1">
        <w:rPr>
          <w:rStyle w:val="FootnoteReference"/>
          <w:lang w:val="en-GB"/>
        </w:rPr>
        <w:footnoteReference w:id="31"/>
      </w:r>
    </w:p>
    <w:p w14:paraId="04D0F785" w14:textId="77777777" w:rsidR="0069165B" w:rsidRPr="0069165B" w:rsidRDefault="0069165B" w:rsidP="0069165B">
      <w:pPr>
        <w:pStyle w:val="ListParagraph"/>
        <w:rPr>
          <w:lang w:val="en-GB"/>
        </w:rPr>
      </w:pPr>
    </w:p>
    <w:p w14:paraId="4993E40C" w14:textId="5EBD105C" w:rsidR="00F35EC4" w:rsidRPr="001916B7" w:rsidRDefault="001916B7" w:rsidP="001916B7">
      <w:pPr>
        <w:autoSpaceDE w:val="0"/>
        <w:autoSpaceDN w:val="0"/>
        <w:adjustRightInd w:val="0"/>
        <w:jc w:val="both"/>
        <w:rPr>
          <w:lang w:val="en-GB"/>
        </w:rPr>
      </w:pPr>
      <w:r w:rsidRPr="008A26AB">
        <w:rPr>
          <w:lang w:val="en-GB"/>
        </w:rPr>
        <w:t>[24]</w:t>
      </w:r>
      <w:r w:rsidRPr="008A26AB">
        <w:rPr>
          <w:lang w:val="en-GB"/>
        </w:rPr>
        <w:tab/>
      </w:r>
      <w:r w:rsidR="008A26AB" w:rsidRPr="001916B7">
        <w:rPr>
          <w:lang w:val="en-GB"/>
        </w:rPr>
        <w:t>The difficulties in granting condonation in such circumstan</w:t>
      </w:r>
      <w:r w:rsidR="00F73E6B" w:rsidRPr="001916B7">
        <w:rPr>
          <w:lang w:val="en-GB"/>
        </w:rPr>
        <w:t>c</w:t>
      </w:r>
      <w:r w:rsidR="008A26AB" w:rsidRPr="001916B7">
        <w:rPr>
          <w:lang w:val="en-GB"/>
        </w:rPr>
        <w:t xml:space="preserve">es have been articulated in decided cases. </w:t>
      </w:r>
      <w:r w:rsidR="0021550F" w:rsidRPr="001916B7">
        <w:rPr>
          <w:lang w:val="en-GB"/>
        </w:rPr>
        <w:t xml:space="preserve">In instances where the unlawfulness of the impugned action is not clear-cut, </w:t>
      </w:r>
      <w:r w:rsidR="00B635F0" w:rsidRPr="001916B7">
        <w:rPr>
          <w:lang w:val="en-GB"/>
        </w:rPr>
        <w:t xml:space="preserve">it must be accepted that </w:t>
      </w:r>
      <w:r w:rsidR="0021550F" w:rsidRPr="001916B7">
        <w:rPr>
          <w:lang w:val="en-GB"/>
        </w:rPr>
        <w:t xml:space="preserve">delay </w:t>
      </w:r>
      <w:r w:rsidR="00860453" w:rsidRPr="001916B7">
        <w:rPr>
          <w:lang w:val="en-GB"/>
        </w:rPr>
        <w:t xml:space="preserve">to this extent </w:t>
      </w:r>
      <w:r w:rsidR="0021550F" w:rsidRPr="001916B7">
        <w:rPr>
          <w:lang w:val="en-GB"/>
        </w:rPr>
        <w:t xml:space="preserve">may </w:t>
      </w:r>
      <w:r w:rsidR="004036B1" w:rsidRPr="001916B7">
        <w:rPr>
          <w:lang w:val="en-GB"/>
        </w:rPr>
        <w:t>accentuate the</w:t>
      </w:r>
      <w:r w:rsidR="0021550F" w:rsidRPr="001916B7">
        <w:rPr>
          <w:lang w:val="en-GB"/>
        </w:rPr>
        <w:t xml:space="preserve"> risk that the review is adjudicated on the basis of unreliable facts. This potentially includes prejudice where, as a result of the delay, the recollections of parties or the person whose decision is being reviewed is likely to have paled; persons who have to depose to affidavits or testify may no longer be available; and where documentary or other forms of evidence are no longer available.</w:t>
      </w:r>
      <w:r w:rsidR="0021550F">
        <w:rPr>
          <w:rStyle w:val="FootnoteReference"/>
          <w:lang w:val="en-GB"/>
        </w:rPr>
        <w:footnoteReference w:id="32"/>
      </w:r>
    </w:p>
    <w:p w14:paraId="4EF0FF81" w14:textId="77777777" w:rsidR="00775D8C" w:rsidRDefault="00775D8C" w:rsidP="00775D8C">
      <w:pPr>
        <w:rPr>
          <w:lang w:val="en-GB"/>
        </w:rPr>
      </w:pPr>
    </w:p>
    <w:p w14:paraId="0E86E8C9" w14:textId="1301B9DC" w:rsidR="00775D8C" w:rsidRDefault="00760D57" w:rsidP="00775D8C">
      <w:pPr>
        <w:rPr>
          <w:i/>
          <w:iCs/>
          <w:lang w:val="en-GB"/>
        </w:rPr>
      </w:pPr>
      <w:r>
        <w:rPr>
          <w:i/>
          <w:iCs/>
          <w:lang w:val="en-GB"/>
        </w:rPr>
        <w:t>T</w:t>
      </w:r>
      <w:r w:rsidR="00775D8C">
        <w:rPr>
          <w:i/>
          <w:iCs/>
          <w:lang w:val="en-GB"/>
        </w:rPr>
        <w:t>he prospects of success</w:t>
      </w:r>
      <w:r>
        <w:rPr>
          <w:i/>
          <w:iCs/>
          <w:lang w:val="en-GB"/>
        </w:rPr>
        <w:t xml:space="preserve"> and the importance of the issue</w:t>
      </w:r>
    </w:p>
    <w:p w14:paraId="689D103A" w14:textId="77777777" w:rsidR="00775D8C" w:rsidRPr="009126F5" w:rsidRDefault="00775D8C" w:rsidP="00775D8C">
      <w:pPr>
        <w:rPr>
          <w:i/>
          <w:iCs/>
          <w:lang w:val="en-GB"/>
        </w:rPr>
      </w:pPr>
    </w:p>
    <w:p w14:paraId="6C847D86" w14:textId="2DBDD27A" w:rsidR="00775D8C" w:rsidRPr="001916B7" w:rsidRDefault="001916B7" w:rsidP="001916B7">
      <w:pPr>
        <w:autoSpaceDE w:val="0"/>
        <w:autoSpaceDN w:val="0"/>
        <w:adjustRightInd w:val="0"/>
        <w:jc w:val="both"/>
        <w:rPr>
          <w:lang w:val="en-GB"/>
        </w:rPr>
      </w:pPr>
      <w:r>
        <w:rPr>
          <w:lang w:val="en-GB"/>
        </w:rPr>
        <w:t>[25]</w:t>
      </w:r>
      <w:r>
        <w:rPr>
          <w:lang w:val="en-GB"/>
        </w:rPr>
        <w:tab/>
      </w:r>
      <w:r w:rsidR="00775D8C" w:rsidRPr="001916B7">
        <w:rPr>
          <w:lang w:val="en-GB"/>
        </w:rPr>
        <w:t xml:space="preserve">Even though the issue at hand has been elevated, as described, to be determined at the outset of these proceedings, </w:t>
      </w:r>
      <w:r w:rsidR="00550AF4" w:rsidRPr="001916B7">
        <w:rPr>
          <w:lang w:val="en-GB"/>
        </w:rPr>
        <w:t xml:space="preserve">and notwithstanding the above </w:t>
      </w:r>
      <w:r w:rsidR="00550AF4" w:rsidRPr="001916B7">
        <w:rPr>
          <w:lang w:val="en-GB"/>
        </w:rPr>
        <w:lastRenderedPageBreak/>
        <w:t xml:space="preserve">sentiments, </w:t>
      </w:r>
      <w:r w:rsidR="00775D8C" w:rsidRPr="001916B7">
        <w:rPr>
          <w:lang w:val="en-GB"/>
        </w:rPr>
        <w:t>delay is not a purely interlocutory matter to be determined in isolation.</w:t>
      </w:r>
      <w:r w:rsidR="00775D8C">
        <w:rPr>
          <w:rStyle w:val="FootnoteReference"/>
          <w:lang w:val="en-GB"/>
        </w:rPr>
        <w:footnoteReference w:id="33"/>
      </w:r>
      <w:r w:rsidR="00775D8C" w:rsidRPr="001916B7">
        <w:rPr>
          <w:lang w:val="en-GB"/>
        </w:rPr>
        <w:t xml:space="preserve"> Regard must still be had to the merits, or prospects of success, in deciding whether the delay should be condoned.</w:t>
      </w:r>
      <w:r w:rsidR="00775D8C">
        <w:rPr>
          <w:rStyle w:val="FootnoteReference"/>
          <w:lang w:val="en-GB"/>
        </w:rPr>
        <w:footnoteReference w:id="34"/>
      </w:r>
      <w:r w:rsidR="00775D8C" w:rsidRPr="001916B7">
        <w:rPr>
          <w:lang w:val="en-GB"/>
        </w:rPr>
        <w:t xml:space="preserve"> This is not to suggest that prospects of success will be determinative on its own. Instead, the merits are important as part of a consideration of all the circumstances in determining whether the interests of justice dictate that the delay should be condoned.</w:t>
      </w:r>
      <w:r w:rsidR="00775D8C">
        <w:rPr>
          <w:rStyle w:val="FootnoteReference"/>
          <w:lang w:val="en-GB"/>
        </w:rPr>
        <w:footnoteReference w:id="35"/>
      </w:r>
      <w:r w:rsidR="00775D8C" w:rsidRPr="001916B7">
        <w:rPr>
          <w:lang w:val="en-GB"/>
        </w:rPr>
        <w:t xml:space="preserve"> </w:t>
      </w:r>
    </w:p>
    <w:p w14:paraId="24E82ACF" w14:textId="77777777" w:rsidR="00581C74" w:rsidRDefault="00581C74" w:rsidP="00581C74">
      <w:pPr>
        <w:pStyle w:val="ListParagraph"/>
        <w:autoSpaceDE w:val="0"/>
        <w:autoSpaceDN w:val="0"/>
        <w:adjustRightInd w:val="0"/>
        <w:ind w:left="0"/>
        <w:jc w:val="both"/>
        <w:rPr>
          <w:lang w:val="en-GB"/>
        </w:rPr>
      </w:pPr>
    </w:p>
    <w:p w14:paraId="6A39BD21" w14:textId="22D93661" w:rsidR="00050CF2" w:rsidRPr="001916B7" w:rsidRDefault="001916B7" w:rsidP="001916B7">
      <w:pPr>
        <w:autoSpaceDE w:val="0"/>
        <w:autoSpaceDN w:val="0"/>
        <w:adjustRightInd w:val="0"/>
        <w:jc w:val="both"/>
        <w:rPr>
          <w:lang w:val="en-GB"/>
        </w:rPr>
      </w:pPr>
      <w:r>
        <w:rPr>
          <w:lang w:val="en-GB"/>
        </w:rPr>
        <w:t>[26]</w:t>
      </w:r>
      <w:r>
        <w:rPr>
          <w:lang w:val="en-GB"/>
        </w:rPr>
        <w:tab/>
      </w:r>
      <w:r w:rsidR="00754707" w:rsidRPr="001916B7">
        <w:rPr>
          <w:lang w:val="en-GB"/>
        </w:rPr>
        <w:t>Assessing the</w:t>
      </w:r>
      <w:r w:rsidR="002456DF" w:rsidRPr="001916B7">
        <w:rPr>
          <w:lang w:val="en-GB"/>
        </w:rPr>
        <w:t xml:space="preserve"> prospects of success </w:t>
      </w:r>
      <w:r w:rsidR="00754707" w:rsidRPr="001916B7">
        <w:rPr>
          <w:lang w:val="en-GB"/>
        </w:rPr>
        <w:t xml:space="preserve">is complicated by the applicant’s failure to deal with this cohesively on the papers, and particularly because of the lengthy period of time that has elapsed since the impugned decision was taken. </w:t>
      </w:r>
      <w:r w:rsidR="003C71A9" w:rsidRPr="001916B7">
        <w:rPr>
          <w:lang w:val="en-GB"/>
        </w:rPr>
        <w:t>In essence, the applicant’s case is that she was the rightful successor to the headmanship in the Village after her father’s passing in 2006 and that she was wrongfully excluded from succession because of her marital status. The Kona royal family, or a body purporting to speak for the family, identified the applicant’s mother to serve as acting headwoman of the Village</w:t>
      </w:r>
      <w:r w:rsidR="002810EB" w:rsidRPr="001916B7">
        <w:rPr>
          <w:lang w:val="en-GB"/>
        </w:rPr>
        <w:t xml:space="preserve"> on behalf of her sister,</w:t>
      </w:r>
      <w:r w:rsidR="003C71A9" w:rsidRPr="001916B7">
        <w:rPr>
          <w:lang w:val="en-GB"/>
        </w:rPr>
        <w:t xml:space="preserve"> until such time as her sister was old enough to assume the position. That decision</w:t>
      </w:r>
      <w:r w:rsidR="006E70FB" w:rsidRPr="001916B7">
        <w:rPr>
          <w:lang w:val="en-GB"/>
        </w:rPr>
        <w:t>, which was formalised by the MEC in terms of s 18(3) of the</w:t>
      </w:r>
      <w:r w:rsidR="002F622D" w:rsidRPr="001916B7">
        <w:rPr>
          <w:lang w:val="en-GB"/>
        </w:rPr>
        <w:t xml:space="preserve"> Provincial Act</w:t>
      </w:r>
      <w:r w:rsidR="0072211C" w:rsidRPr="001916B7">
        <w:rPr>
          <w:lang w:val="en-GB"/>
        </w:rPr>
        <w:t xml:space="preserve"> in 2008</w:t>
      </w:r>
      <w:r w:rsidR="00883C1D" w:rsidRPr="001916B7">
        <w:rPr>
          <w:lang w:val="en-GB"/>
        </w:rPr>
        <w:t>,</w:t>
      </w:r>
      <w:r w:rsidR="002F622D" w:rsidRPr="001916B7">
        <w:rPr>
          <w:lang w:val="en-GB"/>
        </w:rPr>
        <w:t xml:space="preserve"> </w:t>
      </w:r>
      <w:r w:rsidR="003C71A9" w:rsidRPr="001916B7">
        <w:rPr>
          <w:lang w:val="en-GB"/>
        </w:rPr>
        <w:t xml:space="preserve">is no longer the subject of any challenge. </w:t>
      </w:r>
      <w:r w:rsidR="00754707" w:rsidRPr="001916B7">
        <w:rPr>
          <w:lang w:val="en-GB"/>
        </w:rPr>
        <w:t xml:space="preserve"> </w:t>
      </w:r>
      <w:r w:rsidR="00050CF2" w:rsidRPr="001916B7">
        <w:rPr>
          <w:lang w:val="en-GB"/>
        </w:rPr>
        <w:t>The applicant’s mother was removed from the position in 2011, when the applicant’s uncle, the fourth respondent, was recognised</w:t>
      </w:r>
      <w:r w:rsidR="00830F44" w:rsidRPr="001916B7">
        <w:rPr>
          <w:lang w:val="en-GB"/>
        </w:rPr>
        <w:t xml:space="preserve"> by the MEC.</w:t>
      </w:r>
    </w:p>
    <w:p w14:paraId="54748B40" w14:textId="77777777" w:rsidR="00DF379A" w:rsidRPr="00DF379A" w:rsidRDefault="00DF379A" w:rsidP="00DF379A">
      <w:pPr>
        <w:pStyle w:val="ListParagraph"/>
        <w:rPr>
          <w:lang w:val="en-GB"/>
        </w:rPr>
      </w:pPr>
    </w:p>
    <w:p w14:paraId="2E642F3A" w14:textId="7F5DA726" w:rsidR="00DF379A" w:rsidRPr="001916B7" w:rsidRDefault="001916B7" w:rsidP="001916B7">
      <w:pPr>
        <w:autoSpaceDE w:val="0"/>
        <w:autoSpaceDN w:val="0"/>
        <w:adjustRightInd w:val="0"/>
        <w:jc w:val="both"/>
        <w:rPr>
          <w:lang w:val="en-GB"/>
        </w:rPr>
      </w:pPr>
      <w:r>
        <w:rPr>
          <w:lang w:val="en-GB"/>
        </w:rPr>
        <w:t>[27]</w:t>
      </w:r>
      <w:r>
        <w:rPr>
          <w:lang w:val="en-GB"/>
        </w:rPr>
        <w:tab/>
      </w:r>
      <w:r w:rsidR="00DF379A" w:rsidRPr="001916B7">
        <w:rPr>
          <w:lang w:val="en-GB"/>
        </w:rPr>
        <w:t>The Provincial Act makes it clear that it is the task of the royal family to identify a person qualifying in terms of customary law to assume the position in question</w:t>
      </w:r>
      <w:r w:rsidR="0087564D" w:rsidRPr="001916B7">
        <w:rPr>
          <w:lang w:val="en-GB"/>
        </w:rPr>
        <w:t xml:space="preserve">, and to inform the Premier of the particulars of that person and the reasons for the identification. </w:t>
      </w:r>
      <w:r w:rsidR="00D21A0A" w:rsidRPr="001916B7">
        <w:rPr>
          <w:lang w:val="en-GB"/>
        </w:rPr>
        <w:t>It is the Premier’s responsibility to recognise the person formally, and to issue a certificate of recognition.</w:t>
      </w:r>
      <w:r w:rsidR="00D21A0A">
        <w:rPr>
          <w:rStyle w:val="FootnoteReference"/>
          <w:lang w:val="en-GB"/>
        </w:rPr>
        <w:footnoteReference w:id="36"/>
      </w:r>
    </w:p>
    <w:p w14:paraId="522B29D6" w14:textId="77777777" w:rsidR="002D2149" w:rsidRPr="002D2149" w:rsidRDefault="002D2149" w:rsidP="002D2149">
      <w:pPr>
        <w:pStyle w:val="ListParagraph"/>
        <w:rPr>
          <w:lang w:val="en-GB"/>
        </w:rPr>
      </w:pPr>
    </w:p>
    <w:p w14:paraId="317E37B0" w14:textId="14E3BBBD" w:rsidR="002D2149" w:rsidRPr="001916B7" w:rsidRDefault="001916B7" w:rsidP="001916B7">
      <w:pPr>
        <w:autoSpaceDE w:val="0"/>
        <w:autoSpaceDN w:val="0"/>
        <w:adjustRightInd w:val="0"/>
        <w:jc w:val="both"/>
        <w:rPr>
          <w:lang w:val="en-GB"/>
        </w:rPr>
      </w:pPr>
      <w:r>
        <w:rPr>
          <w:lang w:val="en-GB"/>
        </w:rPr>
        <w:t>[28]</w:t>
      </w:r>
      <w:r>
        <w:rPr>
          <w:lang w:val="en-GB"/>
        </w:rPr>
        <w:tab/>
      </w:r>
      <w:r w:rsidR="002D2149" w:rsidRPr="001916B7">
        <w:rPr>
          <w:lang w:val="en-GB"/>
        </w:rPr>
        <w:t>The applicant concedes that the royal family is the competent body to determine the successor when a vacancy arises, rather than the broader community.</w:t>
      </w:r>
      <w:r w:rsidR="00882D1E" w:rsidRPr="001916B7">
        <w:rPr>
          <w:lang w:val="en-GB"/>
        </w:rPr>
        <w:t xml:space="preserve"> Although there is some suggestion that only ‘a fraction of the members of royal family’ attended the meeting that resulted in her mother being recognised, it is clear that the body that </w:t>
      </w:r>
      <w:r w:rsidR="00882D1E" w:rsidRPr="001916B7">
        <w:rPr>
          <w:lang w:val="en-GB"/>
        </w:rPr>
        <w:lastRenderedPageBreak/>
        <w:t>made the decision applied its mind in coming to that decision, which paved the way for the formal recognition that followed.</w:t>
      </w:r>
      <w:r w:rsidR="00B20446" w:rsidRPr="001916B7">
        <w:rPr>
          <w:lang w:val="en-GB"/>
        </w:rPr>
        <w:t xml:space="preserve"> The applicant claims that she was erroneously excluded from the line of succession</w:t>
      </w:r>
      <w:r w:rsidR="002C2341" w:rsidRPr="001916B7">
        <w:rPr>
          <w:lang w:val="en-GB"/>
        </w:rPr>
        <w:t xml:space="preserve">, ultimately in favour of her </w:t>
      </w:r>
      <w:r w:rsidR="00EC1DC8" w:rsidRPr="001916B7">
        <w:rPr>
          <w:lang w:val="en-GB"/>
        </w:rPr>
        <w:t>sister</w:t>
      </w:r>
      <w:r w:rsidR="00C52852" w:rsidRPr="001916B7">
        <w:rPr>
          <w:lang w:val="en-GB"/>
        </w:rPr>
        <w:t xml:space="preserve"> and mother</w:t>
      </w:r>
      <w:r w:rsidR="002C2341" w:rsidRPr="001916B7">
        <w:rPr>
          <w:lang w:val="en-GB"/>
        </w:rPr>
        <w:t>,</w:t>
      </w:r>
      <w:r w:rsidR="00B20446" w:rsidRPr="001916B7">
        <w:rPr>
          <w:lang w:val="en-GB"/>
        </w:rPr>
        <w:t xml:space="preserve"> because of a false claim that she had been married. Significantly, there is no suggestion that</w:t>
      </w:r>
      <w:r w:rsidR="006C1AAE" w:rsidRPr="001916B7">
        <w:rPr>
          <w:lang w:val="en-GB"/>
        </w:rPr>
        <w:t>, at the time,</w:t>
      </w:r>
      <w:r w:rsidR="00B20446" w:rsidRPr="001916B7">
        <w:rPr>
          <w:lang w:val="en-GB"/>
        </w:rPr>
        <w:t xml:space="preserve"> the applicant took steps to right the perceived wrong</w:t>
      </w:r>
      <w:r w:rsidR="0047304F" w:rsidRPr="001916B7">
        <w:rPr>
          <w:lang w:val="en-GB"/>
        </w:rPr>
        <w:t xml:space="preserve"> by taking any steps whatsoever</w:t>
      </w:r>
      <w:r w:rsidR="00BF1AC2" w:rsidRPr="001916B7">
        <w:rPr>
          <w:lang w:val="en-GB"/>
        </w:rPr>
        <w:t xml:space="preserve"> to press her claim</w:t>
      </w:r>
      <w:r w:rsidR="00D33749" w:rsidRPr="001916B7">
        <w:rPr>
          <w:lang w:val="en-GB"/>
        </w:rPr>
        <w:t xml:space="preserve"> based on the appropriate, customary line of succession.</w:t>
      </w:r>
    </w:p>
    <w:p w14:paraId="61642F3A" w14:textId="77777777" w:rsidR="00D33749" w:rsidRPr="00D33749" w:rsidRDefault="00D33749" w:rsidP="00D33749">
      <w:pPr>
        <w:pStyle w:val="ListParagraph"/>
        <w:rPr>
          <w:lang w:val="en-GB"/>
        </w:rPr>
      </w:pPr>
    </w:p>
    <w:p w14:paraId="553191C2" w14:textId="5EC093E4" w:rsidR="009A6284" w:rsidRPr="001916B7" w:rsidRDefault="001916B7" w:rsidP="001916B7">
      <w:pPr>
        <w:autoSpaceDE w:val="0"/>
        <w:autoSpaceDN w:val="0"/>
        <w:adjustRightInd w:val="0"/>
        <w:jc w:val="both"/>
        <w:rPr>
          <w:lang w:val="en-GB"/>
        </w:rPr>
      </w:pPr>
      <w:r>
        <w:rPr>
          <w:lang w:val="en-GB"/>
        </w:rPr>
        <w:t>[29]</w:t>
      </w:r>
      <w:r>
        <w:rPr>
          <w:lang w:val="en-GB"/>
        </w:rPr>
        <w:tab/>
      </w:r>
      <w:r w:rsidR="00437489" w:rsidRPr="001916B7">
        <w:rPr>
          <w:lang w:val="en-GB"/>
        </w:rPr>
        <w:t xml:space="preserve">She failed to act even once her mother was removed, during 2010, resulting in her uncle’s recognition. </w:t>
      </w:r>
      <w:r w:rsidR="003B58FE" w:rsidRPr="001916B7">
        <w:rPr>
          <w:lang w:val="en-GB"/>
        </w:rPr>
        <w:t xml:space="preserve">Her first attempt to intervene was </w:t>
      </w:r>
      <w:r w:rsidR="00851ACE" w:rsidRPr="001916B7">
        <w:rPr>
          <w:lang w:val="en-GB"/>
        </w:rPr>
        <w:t xml:space="preserve">only </w:t>
      </w:r>
      <w:r w:rsidR="003B58FE" w:rsidRPr="001916B7">
        <w:rPr>
          <w:lang w:val="en-GB"/>
        </w:rPr>
        <w:t>in June 2011</w:t>
      </w:r>
      <w:r w:rsidR="00851ACE" w:rsidRPr="001916B7">
        <w:rPr>
          <w:lang w:val="en-GB"/>
        </w:rPr>
        <w:t>.</w:t>
      </w:r>
      <w:r w:rsidR="00EB348B" w:rsidRPr="001916B7">
        <w:rPr>
          <w:lang w:val="en-GB"/>
        </w:rPr>
        <w:t xml:space="preserve"> </w:t>
      </w:r>
      <w:r w:rsidR="00851ACE" w:rsidRPr="001916B7">
        <w:rPr>
          <w:lang w:val="en-GB"/>
        </w:rPr>
        <w:t>M</w:t>
      </w:r>
      <w:r w:rsidR="00EB348B" w:rsidRPr="001916B7">
        <w:rPr>
          <w:lang w:val="en-GB"/>
        </w:rPr>
        <w:t xml:space="preserve">uch of her dissatisfaction stems from </w:t>
      </w:r>
      <w:r w:rsidR="00851ACE" w:rsidRPr="001916B7">
        <w:rPr>
          <w:lang w:val="en-GB"/>
        </w:rPr>
        <w:t xml:space="preserve">the Provincial House’s summation of the reasons provided to it for the applicant’s exclusion by the royal family. </w:t>
      </w:r>
      <w:r w:rsidR="00094465" w:rsidRPr="001916B7">
        <w:rPr>
          <w:lang w:val="en-GB"/>
        </w:rPr>
        <w:t xml:space="preserve">It may be reiterated that the ‘findings’ of the Provincial House were crafted some two years after the 2011 Recognition Decision and were </w:t>
      </w:r>
      <w:r w:rsidR="00AD777C" w:rsidRPr="001916B7">
        <w:rPr>
          <w:lang w:val="en-GB"/>
        </w:rPr>
        <w:t>by no means</w:t>
      </w:r>
      <w:r w:rsidR="00094465" w:rsidRPr="001916B7">
        <w:rPr>
          <w:lang w:val="en-GB"/>
        </w:rPr>
        <w:t xml:space="preserve"> </w:t>
      </w:r>
      <w:r w:rsidR="00AD777C" w:rsidRPr="001916B7">
        <w:rPr>
          <w:lang w:val="en-GB"/>
        </w:rPr>
        <w:t xml:space="preserve">a proper appeal of that decision. </w:t>
      </w:r>
      <w:r w:rsidR="006D2E18" w:rsidRPr="001916B7">
        <w:rPr>
          <w:lang w:val="en-GB"/>
        </w:rPr>
        <w:t xml:space="preserve">That the Provincial House ‘simply deferred to the decision of the royal family’ is, in any event, unsurprising given the functions to be performed by the royal family in terms of the Provincial Act. </w:t>
      </w:r>
    </w:p>
    <w:p w14:paraId="60333C83" w14:textId="77777777" w:rsidR="00176B34" w:rsidRPr="00176B34" w:rsidRDefault="00176B34" w:rsidP="00176B34">
      <w:pPr>
        <w:pStyle w:val="ListParagraph"/>
        <w:autoSpaceDE w:val="0"/>
        <w:autoSpaceDN w:val="0"/>
        <w:adjustRightInd w:val="0"/>
        <w:ind w:left="0"/>
        <w:jc w:val="both"/>
        <w:rPr>
          <w:lang w:val="en-GB"/>
        </w:rPr>
      </w:pPr>
    </w:p>
    <w:p w14:paraId="7E276FB5" w14:textId="21C09EF9" w:rsidR="00300E79" w:rsidRPr="001916B7" w:rsidRDefault="001916B7" w:rsidP="001916B7">
      <w:pPr>
        <w:autoSpaceDE w:val="0"/>
        <w:autoSpaceDN w:val="0"/>
        <w:adjustRightInd w:val="0"/>
        <w:jc w:val="both"/>
        <w:rPr>
          <w:lang w:val="en-GB"/>
        </w:rPr>
      </w:pPr>
      <w:r>
        <w:rPr>
          <w:lang w:val="en-GB"/>
        </w:rPr>
        <w:t>[30]</w:t>
      </w:r>
      <w:r>
        <w:rPr>
          <w:lang w:val="en-GB"/>
        </w:rPr>
        <w:tab/>
      </w:r>
      <w:r w:rsidR="00444104" w:rsidRPr="001916B7">
        <w:rPr>
          <w:lang w:val="en-GB"/>
        </w:rPr>
        <w:t>At best for the applicant, i</w:t>
      </w:r>
      <w:r w:rsidR="009A6284" w:rsidRPr="001916B7">
        <w:rPr>
          <w:lang w:val="en-GB"/>
        </w:rPr>
        <w:t xml:space="preserve">t may be accepted that the process that resulted in the fourth respondent’s identification </w:t>
      </w:r>
      <w:r w:rsidR="00BF0C3F" w:rsidRPr="001916B7">
        <w:rPr>
          <w:lang w:val="en-GB"/>
        </w:rPr>
        <w:t xml:space="preserve">and recognition </w:t>
      </w:r>
      <w:r w:rsidR="000C7179" w:rsidRPr="001916B7">
        <w:rPr>
          <w:lang w:val="en-GB"/>
        </w:rPr>
        <w:t>was</w:t>
      </w:r>
      <w:r w:rsidR="009A6284" w:rsidRPr="001916B7">
        <w:rPr>
          <w:lang w:val="en-GB"/>
        </w:rPr>
        <w:t xml:space="preserve"> questionable</w:t>
      </w:r>
      <w:r w:rsidR="002674C1" w:rsidRPr="001916B7">
        <w:rPr>
          <w:lang w:val="en-GB"/>
        </w:rPr>
        <w:t xml:space="preserve">, </w:t>
      </w:r>
      <w:r w:rsidR="004E67D3" w:rsidRPr="001916B7">
        <w:rPr>
          <w:lang w:val="en-GB"/>
        </w:rPr>
        <w:t>especially</w:t>
      </w:r>
      <w:r w:rsidR="002674C1" w:rsidRPr="001916B7">
        <w:rPr>
          <w:lang w:val="en-GB"/>
        </w:rPr>
        <w:t xml:space="preserve"> considering that the position was not vacant at the time. </w:t>
      </w:r>
      <w:r w:rsidR="007A0642" w:rsidRPr="001916B7">
        <w:rPr>
          <w:lang w:val="en-GB"/>
        </w:rPr>
        <w:t xml:space="preserve">As the SCA has recently confirmed, the </w:t>
      </w:r>
      <w:r w:rsidR="003366BF" w:rsidRPr="001916B7">
        <w:rPr>
          <w:lang w:val="en-GB"/>
        </w:rPr>
        <w:t>recognition</w:t>
      </w:r>
      <w:r w:rsidR="007A0642" w:rsidRPr="001916B7">
        <w:rPr>
          <w:lang w:val="en-GB"/>
        </w:rPr>
        <w:t xml:space="preserve"> of the fifth respondent as regent would have proceeded on the basis of a recognised administrative decision (to appoint the applicant’s sister) preceding the </w:t>
      </w:r>
      <w:r w:rsidR="00875755" w:rsidRPr="001916B7">
        <w:rPr>
          <w:lang w:val="en-GB"/>
        </w:rPr>
        <w:t>recognition</w:t>
      </w:r>
      <w:r w:rsidR="007A0642" w:rsidRPr="001916B7">
        <w:rPr>
          <w:lang w:val="en-GB"/>
        </w:rPr>
        <w:t xml:space="preserve"> of the regent.</w:t>
      </w:r>
      <w:r w:rsidR="007A0642">
        <w:rPr>
          <w:rStyle w:val="FootnoteReference"/>
          <w:lang w:val="en-GB"/>
        </w:rPr>
        <w:footnoteReference w:id="37"/>
      </w:r>
      <w:r w:rsidR="007A0642" w:rsidRPr="001916B7">
        <w:rPr>
          <w:lang w:val="en-GB"/>
        </w:rPr>
        <w:t xml:space="preserve"> </w:t>
      </w:r>
      <w:r w:rsidR="00300E79" w:rsidRPr="001916B7">
        <w:rPr>
          <w:lang w:val="en-GB"/>
        </w:rPr>
        <w:t>Absent that administrative conduct being set aside, both the MEC and Premier could not lawfully recognise another identified headman nor purport to appoint such person to the position of headman or acting headman.</w:t>
      </w:r>
      <w:r w:rsidR="00657D73">
        <w:rPr>
          <w:rStyle w:val="FootnoteReference"/>
          <w:lang w:val="en-GB"/>
        </w:rPr>
        <w:footnoteReference w:id="38"/>
      </w:r>
      <w:r w:rsidR="00300E79" w:rsidRPr="001916B7">
        <w:rPr>
          <w:lang w:val="en-GB"/>
        </w:rPr>
        <w:t xml:space="preserve"> </w:t>
      </w:r>
      <w:r w:rsidR="00020EAE" w:rsidRPr="001916B7">
        <w:rPr>
          <w:lang w:val="en-GB"/>
        </w:rPr>
        <w:t>But these are realities that might have demonstrated the prospects of success of the applicant’s sister or mother, and are of no benefit to the applicant’s own claim to the position.</w:t>
      </w:r>
      <w:r w:rsidR="00982640">
        <w:rPr>
          <w:rStyle w:val="FootnoteReference"/>
          <w:lang w:val="en-GB"/>
        </w:rPr>
        <w:footnoteReference w:id="39"/>
      </w:r>
    </w:p>
    <w:p w14:paraId="72B5AD52" w14:textId="77777777" w:rsidR="00050CF2" w:rsidRPr="00050CF2" w:rsidRDefault="00050CF2" w:rsidP="00050CF2">
      <w:pPr>
        <w:pStyle w:val="ListParagraph"/>
        <w:autoSpaceDE w:val="0"/>
        <w:autoSpaceDN w:val="0"/>
        <w:adjustRightInd w:val="0"/>
        <w:ind w:left="0"/>
        <w:jc w:val="both"/>
        <w:rPr>
          <w:lang w:val="en-GB"/>
        </w:rPr>
      </w:pPr>
    </w:p>
    <w:p w14:paraId="5425177D" w14:textId="6BD9A1D8" w:rsidR="008D0DE8" w:rsidRPr="001916B7" w:rsidRDefault="001916B7" w:rsidP="001916B7">
      <w:pPr>
        <w:autoSpaceDE w:val="0"/>
        <w:autoSpaceDN w:val="0"/>
        <w:adjustRightInd w:val="0"/>
        <w:jc w:val="both"/>
        <w:rPr>
          <w:lang w:val="en-GB"/>
        </w:rPr>
      </w:pPr>
      <w:r>
        <w:rPr>
          <w:lang w:val="en-GB"/>
        </w:rPr>
        <w:t>[31]</w:t>
      </w:r>
      <w:r>
        <w:rPr>
          <w:lang w:val="en-GB"/>
        </w:rPr>
        <w:tab/>
      </w:r>
      <w:r w:rsidR="00367EB3" w:rsidRPr="001916B7">
        <w:rPr>
          <w:lang w:val="en-GB"/>
        </w:rPr>
        <w:t>This is a further issue of relevance. I</w:t>
      </w:r>
      <w:r w:rsidR="00902267" w:rsidRPr="001916B7">
        <w:rPr>
          <w:lang w:val="en-GB"/>
        </w:rPr>
        <w:t xml:space="preserve">t </w:t>
      </w:r>
      <w:r w:rsidR="00CC133C" w:rsidRPr="001916B7">
        <w:rPr>
          <w:lang w:val="en-GB"/>
        </w:rPr>
        <w:t xml:space="preserve">has </w:t>
      </w:r>
      <w:r w:rsidR="00367EB3" w:rsidRPr="001916B7">
        <w:rPr>
          <w:lang w:val="en-GB"/>
        </w:rPr>
        <w:t xml:space="preserve">previously </w:t>
      </w:r>
      <w:r w:rsidR="00CC133C" w:rsidRPr="001916B7">
        <w:rPr>
          <w:lang w:val="en-GB"/>
        </w:rPr>
        <w:t>been</w:t>
      </w:r>
      <w:r w:rsidR="00902267" w:rsidRPr="001916B7">
        <w:rPr>
          <w:lang w:val="en-GB"/>
        </w:rPr>
        <w:t xml:space="preserve"> established that a court is unlikely to grant an extension where the passage of time means that the issue is of little practical import.</w:t>
      </w:r>
      <w:r w:rsidR="00902267">
        <w:rPr>
          <w:rStyle w:val="FootnoteReference"/>
          <w:lang w:val="en-GB"/>
        </w:rPr>
        <w:footnoteReference w:id="40"/>
      </w:r>
      <w:r w:rsidR="00902267" w:rsidRPr="001916B7">
        <w:rPr>
          <w:lang w:val="en-GB"/>
        </w:rPr>
        <w:t xml:space="preserve"> </w:t>
      </w:r>
      <w:r w:rsidR="0059284C" w:rsidRPr="001916B7">
        <w:rPr>
          <w:lang w:val="en-GB"/>
        </w:rPr>
        <w:t xml:space="preserve">In the present circumstances, the </w:t>
      </w:r>
      <w:r w:rsidR="00750559" w:rsidRPr="001916B7">
        <w:rPr>
          <w:lang w:val="en-GB"/>
        </w:rPr>
        <w:t xml:space="preserve">years spent by the fifth respondent in the role are uncontested. The </w:t>
      </w:r>
      <w:r w:rsidR="0059284C" w:rsidRPr="001916B7">
        <w:rPr>
          <w:lang w:val="en-GB"/>
        </w:rPr>
        <w:t>fourth respondent’s contested identification and recognition has been followed by uninterrupted years spent in the rol</w:t>
      </w:r>
      <w:r w:rsidR="00ED33BD" w:rsidRPr="001916B7">
        <w:rPr>
          <w:lang w:val="en-GB"/>
        </w:rPr>
        <w:t>e</w:t>
      </w:r>
      <w:r w:rsidR="0059284C" w:rsidRPr="001916B7">
        <w:rPr>
          <w:lang w:val="en-GB"/>
        </w:rPr>
        <w:t xml:space="preserve"> prior to his passing. </w:t>
      </w:r>
      <w:r w:rsidR="009757FD" w:rsidRPr="001916B7">
        <w:rPr>
          <w:lang w:val="en-GB"/>
        </w:rPr>
        <w:t xml:space="preserve">The applicant concedes that he became the </w:t>
      </w:r>
      <w:r w:rsidR="009757FD" w:rsidRPr="001916B7">
        <w:rPr>
          <w:i/>
          <w:iCs/>
          <w:lang w:val="en-GB"/>
        </w:rPr>
        <w:t xml:space="preserve">de facto </w:t>
      </w:r>
      <w:r w:rsidR="009757FD" w:rsidRPr="001916B7">
        <w:rPr>
          <w:lang w:val="en-GB"/>
        </w:rPr>
        <w:t>headman of the Village and was treated as such</w:t>
      </w:r>
      <w:r w:rsidR="00B76BFB" w:rsidRPr="001916B7">
        <w:rPr>
          <w:lang w:val="en-GB"/>
        </w:rPr>
        <w:t xml:space="preserve"> following meetings in November and December 2010</w:t>
      </w:r>
      <w:r w:rsidR="009757FD" w:rsidRPr="001916B7">
        <w:rPr>
          <w:lang w:val="en-GB"/>
        </w:rPr>
        <w:t xml:space="preserve">. </w:t>
      </w:r>
      <w:r w:rsidR="007662D4" w:rsidRPr="001916B7">
        <w:rPr>
          <w:lang w:val="en-GB"/>
        </w:rPr>
        <w:t xml:space="preserve">He attended to duties as headman from 2011 until he became too ill to do so prior to his passing in 2021. </w:t>
      </w:r>
      <w:r w:rsidR="0059284C" w:rsidRPr="001916B7">
        <w:rPr>
          <w:lang w:val="en-GB"/>
        </w:rPr>
        <w:t xml:space="preserve">The practical impact of reviewing and setting aside </w:t>
      </w:r>
      <w:r w:rsidR="00BC2754" w:rsidRPr="001916B7">
        <w:rPr>
          <w:lang w:val="en-GB"/>
        </w:rPr>
        <w:t>the impugned</w:t>
      </w:r>
      <w:r w:rsidR="0059284C" w:rsidRPr="001916B7">
        <w:rPr>
          <w:lang w:val="en-GB"/>
        </w:rPr>
        <w:t xml:space="preserve"> decisions in circumstances where the position is presently vacant is questionable</w:t>
      </w:r>
      <w:r w:rsidR="00546B8B" w:rsidRPr="001916B7">
        <w:rPr>
          <w:lang w:val="en-GB"/>
        </w:rPr>
        <w:t xml:space="preserve"> and arguably of little practical import.</w:t>
      </w:r>
      <w:r w:rsidR="0006125A">
        <w:rPr>
          <w:rStyle w:val="FootnoteReference"/>
          <w:lang w:val="en-GB"/>
        </w:rPr>
        <w:footnoteReference w:id="41"/>
      </w:r>
      <w:r w:rsidR="00612125" w:rsidRPr="001916B7">
        <w:rPr>
          <w:lang w:val="en-GB"/>
        </w:rPr>
        <w:t xml:space="preserve"> </w:t>
      </w:r>
      <w:r w:rsidR="00DD5B5C" w:rsidRPr="001916B7">
        <w:rPr>
          <w:lang w:val="en-GB"/>
        </w:rPr>
        <w:t>Although the issue is undeniably of importance to the applicant, this is balanced by the likely negative impact on the community in the event that the application succeeds in these circumstances, and considering the extensive history of the matter.</w:t>
      </w:r>
      <w:r w:rsidR="00F24540">
        <w:rPr>
          <w:rStyle w:val="FootnoteReference"/>
          <w:lang w:val="en-GB"/>
        </w:rPr>
        <w:footnoteReference w:id="42"/>
      </w:r>
      <w:r w:rsidR="00DD5B5C" w:rsidRPr="001916B7">
        <w:rPr>
          <w:lang w:val="en-GB"/>
        </w:rPr>
        <w:t xml:space="preserve"> </w:t>
      </w:r>
    </w:p>
    <w:p w14:paraId="2E02F007" w14:textId="77777777" w:rsidR="008D0DE8" w:rsidRPr="008D0DE8" w:rsidRDefault="008D0DE8" w:rsidP="008D0DE8">
      <w:pPr>
        <w:pStyle w:val="ListParagraph"/>
        <w:rPr>
          <w:lang w:val="en-GB"/>
        </w:rPr>
      </w:pPr>
    </w:p>
    <w:p w14:paraId="298CC7D5" w14:textId="609667F0" w:rsidR="00775D8C" w:rsidRPr="001916B7" w:rsidRDefault="001916B7" w:rsidP="001916B7">
      <w:pPr>
        <w:autoSpaceDE w:val="0"/>
        <w:autoSpaceDN w:val="0"/>
        <w:adjustRightInd w:val="0"/>
        <w:jc w:val="both"/>
        <w:rPr>
          <w:lang w:val="en-GB"/>
        </w:rPr>
      </w:pPr>
      <w:r w:rsidRPr="00EA3F5C">
        <w:rPr>
          <w:lang w:val="en-GB"/>
        </w:rPr>
        <w:t>[32]</w:t>
      </w:r>
      <w:r w:rsidRPr="00EA3F5C">
        <w:rPr>
          <w:lang w:val="en-GB"/>
        </w:rPr>
        <w:tab/>
      </w:r>
      <w:r w:rsidR="00CD5286" w:rsidRPr="001916B7">
        <w:rPr>
          <w:lang w:val="en-GB"/>
        </w:rPr>
        <w:t xml:space="preserve">As an aside, </w:t>
      </w:r>
      <w:r w:rsidR="00CE5E74" w:rsidRPr="001916B7">
        <w:rPr>
          <w:lang w:val="en-GB"/>
        </w:rPr>
        <w:t xml:space="preserve">I do not read the papers in a way that permanently precludes the applicant from being identified and recognised as a traditional leader in the Village. </w:t>
      </w:r>
      <w:r w:rsidR="00995EE4" w:rsidRPr="001916B7">
        <w:rPr>
          <w:lang w:val="en-GB"/>
        </w:rPr>
        <w:t>I</w:t>
      </w:r>
      <w:r w:rsidR="00760D57" w:rsidRPr="001916B7">
        <w:rPr>
          <w:lang w:val="en-GB"/>
        </w:rPr>
        <w:t xml:space="preserve">t </w:t>
      </w:r>
      <w:r w:rsidR="00C5788B" w:rsidRPr="001916B7">
        <w:rPr>
          <w:lang w:val="en-GB"/>
        </w:rPr>
        <w:t xml:space="preserve"> is open to the royal family to </w:t>
      </w:r>
      <w:r w:rsidR="00171B72" w:rsidRPr="001916B7">
        <w:rPr>
          <w:lang w:val="en-GB"/>
        </w:rPr>
        <w:t>identify</w:t>
      </w:r>
      <w:r w:rsidR="00C5788B" w:rsidRPr="001916B7">
        <w:rPr>
          <w:lang w:val="en-GB"/>
        </w:rPr>
        <w:t xml:space="preserve"> the appropriate traditional leader</w:t>
      </w:r>
      <w:r w:rsidR="00F636F0" w:rsidRPr="001916B7">
        <w:rPr>
          <w:lang w:val="en-GB"/>
        </w:rPr>
        <w:t xml:space="preserve"> </w:t>
      </w:r>
      <w:r w:rsidR="00A3074F" w:rsidRPr="001916B7">
        <w:rPr>
          <w:lang w:val="en-GB"/>
        </w:rPr>
        <w:t>in terms of the customs of the community and</w:t>
      </w:r>
      <w:r w:rsidR="00C5788B" w:rsidRPr="001916B7">
        <w:rPr>
          <w:lang w:val="en-GB"/>
        </w:rPr>
        <w:t xml:space="preserve"> </w:t>
      </w:r>
      <w:r w:rsidR="00A3074F" w:rsidRPr="001916B7">
        <w:rPr>
          <w:lang w:val="en-GB"/>
        </w:rPr>
        <w:t xml:space="preserve">in accordance with the </w:t>
      </w:r>
      <w:r w:rsidR="00C5788B" w:rsidRPr="001916B7">
        <w:rPr>
          <w:lang w:val="en-GB"/>
        </w:rPr>
        <w:t>present</w:t>
      </w:r>
      <w:r w:rsidR="00A3074F" w:rsidRPr="001916B7">
        <w:rPr>
          <w:lang w:val="en-GB"/>
        </w:rPr>
        <w:t>ly applicable</w:t>
      </w:r>
      <w:r w:rsidR="00C5788B" w:rsidRPr="001916B7">
        <w:rPr>
          <w:lang w:val="en-GB"/>
        </w:rPr>
        <w:t xml:space="preserve"> legislation, for the Premier to publish a notice and invite comments, and to then consider and ‘decide on the comments’ before recognising the person.</w:t>
      </w:r>
      <w:r w:rsidR="004534EB">
        <w:rPr>
          <w:rStyle w:val="FootnoteReference"/>
          <w:lang w:val="en-GB"/>
        </w:rPr>
        <w:footnoteReference w:id="43"/>
      </w:r>
      <w:r w:rsidR="00C5788B" w:rsidRPr="001916B7">
        <w:rPr>
          <w:lang w:val="en-GB"/>
        </w:rPr>
        <w:t xml:space="preserve"> </w:t>
      </w:r>
      <w:r w:rsidR="00FF1B82" w:rsidRPr="001916B7">
        <w:rPr>
          <w:lang w:val="en-GB"/>
        </w:rPr>
        <w:t xml:space="preserve">The purported </w:t>
      </w:r>
      <w:r w:rsidR="007C0CBB" w:rsidRPr="001916B7">
        <w:rPr>
          <w:lang w:val="en-GB"/>
        </w:rPr>
        <w:t>identification</w:t>
      </w:r>
      <w:r w:rsidR="00FF1B82" w:rsidRPr="001916B7">
        <w:rPr>
          <w:lang w:val="en-GB"/>
        </w:rPr>
        <w:t xml:space="preserve"> of the seventh respondent</w:t>
      </w:r>
      <w:r w:rsidR="00991C2B" w:rsidRPr="001916B7">
        <w:rPr>
          <w:lang w:val="en-GB"/>
        </w:rPr>
        <w:t>, if contrary to legislation,</w:t>
      </w:r>
      <w:r w:rsidR="00FF1B82" w:rsidRPr="001916B7">
        <w:rPr>
          <w:lang w:val="en-GB"/>
        </w:rPr>
        <w:t xml:space="preserve"> </w:t>
      </w:r>
      <w:r w:rsidR="00991C2B" w:rsidRPr="001916B7">
        <w:rPr>
          <w:lang w:val="en-GB"/>
        </w:rPr>
        <w:t>may</w:t>
      </w:r>
      <w:r w:rsidR="00606D5F" w:rsidRPr="001916B7">
        <w:rPr>
          <w:lang w:val="en-GB"/>
        </w:rPr>
        <w:t xml:space="preserve">, in appropriate circumstances, </w:t>
      </w:r>
      <w:r w:rsidR="00991C2B" w:rsidRPr="001916B7">
        <w:rPr>
          <w:lang w:val="en-GB"/>
        </w:rPr>
        <w:t xml:space="preserve">also be referred to the Provincial House </w:t>
      </w:r>
      <w:r w:rsidR="00520764" w:rsidRPr="001916B7">
        <w:rPr>
          <w:lang w:val="en-GB"/>
        </w:rPr>
        <w:t>for a proper recommendation,</w:t>
      </w:r>
      <w:r w:rsidR="00EA3F5C" w:rsidRPr="001916B7">
        <w:rPr>
          <w:lang w:val="en-GB"/>
        </w:rPr>
        <w:t xml:space="preserve"> </w:t>
      </w:r>
      <w:r w:rsidR="00520764" w:rsidRPr="001916B7">
        <w:rPr>
          <w:lang w:val="en-GB"/>
        </w:rPr>
        <w:t xml:space="preserve">which might also result in the matter being referred back to the royal family for reconsideration. </w:t>
      </w:r>
      <w:r w:rsidR="005C44D5" w:rsidRPr="001916B7">
        <w:rPr>
          <w:lang w:val="en-GB"/>
        </w:rPr>
        <w:t>This is part of the reason why the declaratory relief sought in the papers was ill-conceived, and rightly jettisoned during argument</w:t>
      </w:r>
      <w:r w:rsidR="00F300F5" w:rsidRPr="001916B7">
        <w:rPr>
          <w:lang w:val="en-GB"/>
        </w:rPr>
        <w:t xml:space="preserve"> as over-ambitious</w:t>
      </w:r>
      <w:r w:rsidR="005C44D5" w:rsidRPr="001916B7">
        <w:rPr>
          <w:lang w:val="en-GB"/>
        </w:rPr>
        <w:t>.</w:t>
      </w:r>
      <w:r w:rsidR="004272EF">
        <w:rPr>
          <w:rStyle w:val="FootnoteReference"/>
          <w:lang w:val="en-GB"/>
        </w:rPr>
        <w:footnoteReference w:id="44"/>
      </w:r>
      <w:r w:rsidR="005C44D5" w:rsidRPr="001916B7">
        <w:rPr>
          <w:lang w:val="en-GB"/>
        </w:rPr>
        <w:t xml:space="preserve"> </w:t>
      </w:r>
      <w:r w:rsidR="00F300F5" w:rsidRPr="001916B7">
        <w:rPr>
          <w:lang w:val="en-GB"/>
        </w:rPr>
        <w:lastRenderedPageBreak/>
        <w:t xml:space="preserve">A </w:t>
      </w:r>
      <w:r w:rsidR="007962C6" w:rsidRPr="001916B7">
        <w:rPr>
          <w:lang w:val="en-GB"/>
        </w:rPr>
        <w:t xml:space="preserve">declaratory order by this court on the present papers would be tantamount to usurping the functions of the royal family and premier, as well as the process prescribed in terms of the applicable legislation. </w:t>
      </w:r>
    </w:p>
    <w:p w14:paraId="733CE374" w14:textId="77777777" w:rsidR="00DD5B5C" w:rsidRPr="00DD5B5C" w:rsidRDefault="00DD5B5C" w:rsidP="00DD5B5C">
      <w:pPr>
        <w:pStyle w:val="ListParagraph"/>
        <w:autoSpaceDE w:val="0"/>
        <w:autoSpaceDN w:val="0"/>
        <w:adjustRightInd w:val="0"/>
        <w:ind w:left="0"/>
        <w:jc w:val="both"/>
        <w:rPr>
          <w:lang w:val="en-GB"/>
        </w:rPr>
      </w:pPr>
    </w:p>
    <w:p w14:paraId="57FA0715" w14:textId="19C4B3C2" w:rsidR="0082786A" w:rsidRPr="001916B7" w:rsidRDefault="001916B7" w:rsidP="001916B7">
      <w:pPr>
        <w:autoSpaceDE w:val="0"/>
        <w:autoSpaceDN w:val="0"/>
        <w:adjustRightInd w:val="0"/>
        <w:jc w:val="both"/>
        <w:rPr>
          <w:lang w:val="en-GB"/>
        </w:rPr>
      </w:pPr>
      <w:r>
        <w:rPr>
          <w:lang w:val="en-GB"/>
        </w:rPr>
        <w:t>[33]</w:t>
      </w:r>
      <w:r>
        <w:rPr>
          <w:lang w:val="en-GB"/>
        </w:rPr>
        <w:tab/>
      </w:r>
      <w:r w:rsidR="00367EB3" w:rsidRPr="001916B7">
        <w:rPr>
          <w:lang w:val="en-GB"/>
        </w:rPr>
        <w:t>The exercise of a discretion in determining the issue of condonation has been described as involving a ‘factual, multifactorial and context-sensitive framework’.</w:t>
      </w:r>
      <w:r w:rsidR="00367EB3">
        <w:rPr>
          <w:rStyle w:val="FootnoteReference"/>
          <w:lang w:val="en-GB"/>
        </w:rPr>
        <w:footnoteReference w:id="45"/>
      </w:r>
      <w:r w:rsidR="0070309F" w:rsidRPr="001916B7">
        <w:rPr>
          <w:lang w:val="en-GB"/>
        </w:rPr>
        <w:t xml:space="preserve"> </w:t>
      </w:r>
      <w:r w:rsidR="00A5694B" w:rsidRPr="001916B7">
        <w:rPr>
          <w:lang w:val="en-GB"/>
        </w:rPr>
        <w:t>The</w:t>
      </w:r>
      <w:r w:rsidR="005F0AC4" w:rsidRPr="001916B7">
        <w:rPr>
          <w:lang w:val="en-GB"/>
        </w:rPr>
        <w:t xml:space="preserve"> considerations that favour granting condonation</w:t>
      </w:r>
      <w:r w:rsidR="002A7055" w:rsidRPr="001916B7">
        <w:rPr>
          <w:lang w:val="en-GB"/>
        </w:rPr>
        <w:t xml:space="preserve"> are</w:t>
      </w:r>
      <w:r w:rsidR="00777C4E" w:rsidRPr="001916B7">
        <w:rPr>
          <w:lang w:val="en-GB"/>
        </w:rPr>
        <w:t xml:space="preserve"> heavily overshadowed by the range of </w:t>
      </w:r>
      <w:r w:rsidR="00D25100" w:rsidRPr="001916B7">
        <w:rPr>
          <w:lang w:val="en-GB"/>
        </w:rPr>
        <w:t>countervailing factors identified</w:t>
      </w:r>
      <w:r w:rsidR="00CA37A4" w:rsidRPr="001916B7">
        <w:rPr>
          <w:lang w:val="en-GB"/>
        </w:rPr>
        <w:t>, notably the extent and cause of the delay</w:t>
      </w:r>
      <w:r w:rsidR="005B661F" w:rsidRPr="001916B7">
        <w:rPr>
          <w:lang w:val="en-GB"/>
        </w:rPr>
        <w:t>s</w:t>
      </w:r>
      <w:r w:rsidR="00CA37A4" w:rsidRPr="001916B7">
        <w:rPr>
          <w:lang w:val="en-GB"/>
        </w:rPr>
        <w:t>, the partial explanation</w:t>
      </w:r>
      <w:r w:rsidR="00557A58" w:rsidRPr="001916B7">
        <w:rPr>
          <w:lang w:val="en-GB"/>
        </w:rPr>
        <w:t xml:space="preserve"> for the delay</w:t>
      </w:r>
      <w:r w:rsidR="00D22244" w:rsidRPr="001916B7">
        <w:rPr>
          <w:lang w:val="en-GB"/>
        </w:rPr>
        <w:t>s</w:t>
      </w:r>
      <w:r w:rsidR="00CA37A4" w:rsidRPr="001916B7">
        <w:rPr>
          <w:lang w:val="en-GB"/>
        </w:rPr>
        <w:t>, the limited prospects of success and likely prejudice to the community</w:t>
      </w:r>
      <w:r w:rsidR="00D25100" w:rsidRPr="001916B7">
        <w:rPr>
          <w:lang w:val="en-GB"/>
        </w:rPr>
        <w:t>.</w:t>
      </w:r>
      <w:r w:rsidR="004F00D0">
        <w:rPr>
          <w:rStyle w:val="FootnoteReference"/>
          <w:lang w:val="en-GB"/>
        </w:rPr>
        <w:footnoteReference w:id="46"/>
      </w:r>
      <w:r w:rsidR="00D25100" w:rsidRPr="001916B7">
        <w:rPr>
          <w:lang w:val="en-GB"/>
        </w:rPr>
        <w:t xml:space="preserve"> </w:t>
      </w:r>
      <w:r w:rsidR="00E14237" w:rsidRPr="001916B7">
        <w:rPr>
          <w:lang w:val="en-GB"/>
        </w:rPr>
        <w:t>Ultimately, I do not consider it to be in the interests of justice to exercise my discretion to overlook the extensive delay</w:t>
      </w:r>
      <w:r w:rsidR="00D22244" w:rsidRPr="001916B7">
        <w:rPr>
          <w:lang w:val="en-GB"/>
        </w:rPr>
        <w:t>s</w:t>
      </w:r>
      <w:r w:rsidR="00E14237" w:rsidRPr="001916B7">
        <w:rPr>
          <w:lang w:val="en-GB"/>
        </w:rPr>
        <w:t xml:space="preserve"> and entertain the application</w:t>
      </w:r>
      <w:r w:rsidR="00176B34" w:rsidRPr="001916B7">
        <w:rPr>
          <w:lang w:val="en-GB"/>
        </w:rPr>
        <w:t xml:space="preserve"> in respect of the review of the 2011 Recognition Decision</w:t>
      </w:r>
      <w:r w:rsidR="00E14237" w:rsidRPr="001916B7">
        <w:rPr>
          <w:lang w:val="en-GB"/>
        </w:rPr>
        <w:t>.</w:t>
      </w:r>
      <w:r w:rsidR="00AA3639">
        <w:rPr>
          <w:rStyle w:val="FootnoteReference"/>
          <w:lang w:val="en-GB"/>
        </w:rPr>
        <w:footnoteReference w:id="47"/>
      </w:r>
      <w:r w:rsidR="00822F42" w:rsidRPr="001916B7">
        <w:rPr>
          <w:lang w:val="en-GB"/>
        </w:rPr>
        <w:t xml:space="preserve"> </w:t>
      </w:r>
    </w:p>
    <w:p w14:paraId="4B5C0B58" w14:textId="77777777" w:rsidR="0082786A" w:rsidRPr="0082786A" w:rsidRDefault="0082786A" w:rsidP="0082786A">
      <w:pPr>
        <w:pStyle w:val="ListParagraph"/>
        <w:rPr>
          <w:lang w:val="en-GB"/>
        </w:rPr>
      </w:pPr>
    </w:p>
    <w:p w14:paraId="0BE684A8" w14:textId="21EEA5CA" w:rsidR="0070309F" w:rsidRPr="001916B7" w:rsidRDefault="001916B7" w:rsidP="001916B7">
      <w:pPr>
        <w:autoSpaceDE w:val="0"/>
        <w:autoSpaceDN w:val="0"/>
        <w:adjustRightInd w:val="0"/>
        <w:jc w:val="both"/>
        <w:rPr>
          <w:lang w:val="en-GB"/>
        </w:rPr>
      </w:pPr>
      <w:r w:rsidRPr="007F6955">
        <w:rPr>
          <w:lang w:val="en-GB"/>
        </w:rPr>
        <w:t>[34]</w:t>
      </w:r>
      <w:r w:rsidRPr="007F6955">
        <w:rPr>
          <w:lang w:val="en-GB"/>
        </w:rPr>
        <w:tab/>
      </w:r>
      <w:r w:rsidR="0082786A" w:rsidRPr="001916B7">
        <w:rPr>
          <w:lang w:val="en-GB"/>
        </w:rPr>
        <w:t>This conclusion is fatal to the attempt to review the Provincial House Report</w:t>
      </w:r>
      <w:r w:rsidR="00DE212F" w:rsidRPr="001916B7">
        <w:rPr>
          <w:lang w:val="en-GB"/>
        </w:rPr>
        <w:t xml:space="preserve"> as an internal appeal decision</w:t>
      </w:r>
      <w:r w:rsidR="0082786A" w:rsidRPr="001916B7">
        <w:rPr>
          <w:lang w:val="en-GB"/>
        </w:rPr>
        <w:t>.</w:t>
      </w:r>
      <w:r w:rsidR="00F268EE" w:rsidRPr="001916B7">
        <w:rPr>
          <w:lang w:val="en-GB"/>
        </w:rPr>
        <w:t xml:space="preserve"> As Plasket J held in </w:t>
      </w:r>
      <w:r w:rsidR="00F268EE" w:rsidRPr="001916B7">
        <w:rPr>
          <w:i/>
          <w:iCs/>
          <w:lang w:val="en-GB"/>
        </w:rPr>
        <w:t>Wings Park Port Elizabeth (Pty) Ltd v MEC, Environmental Affairs, Eastern Cape and Others</w:t>
      </w:r>
      <w:r w:rsidR="00F11A19" w:rsidRPr="001916B7">
        <w:rPr>
          <w:lang w:val="en-GB"/>
        </w:rPr>
        <w:t>,</w:t>
      </w:r>
      <w:r w:rsidR="00F268EE" w:rsidRPr="00F268EE">
        <w:rPr>
          <w:rStyle w:val="FootnoteReference"/>
          <w:lang w:val="en-GB"/>
        </w:rPr>
        <w:footnoteReference w:id="48"/>
      </w:r>
      <w:r w:rsidR="00F11A19" w:rsidRPr="001916B7">
        <w:rPr>
          <w:lang w:val="en-GB"/>
        </w:rPr>
        <w:t xml:space="preserve"> when an applicant has suffered an unfavourable decision at first instance and it is confirmed on appeal, both decisions must be taken on review and, for the applicant to achieve success, usually both decisions will have to be set aside.</w:t>
      </w:r>
      <w:r w:rsidR="00F11A19">
        <w:rPr>
          <w:rStyle w:val="FootnoteReference"/>
          <w:lang w:val="en-GB"/>
        </w:rPr>
        <w:footnoteReference w:id="49"/>
      </w:r>
      <w:r w:rsidR="000A0174" w:rsidRPr="001916B7">
        <w:rPr>
          <w:lang w:val="en-GB"/>
        </w:rPr>
        <w:t xml:space="preserve"> </w:t>
      </w:r>
      <w:r w:rsidR="00801596" w:rsidRPr="001916B7">
        <w:rPr>
          <w:lang w:val="en-GB"/>
        </w:rPr>
        <w:t>In other words, even accepting for present purposes that the Provincial House Report constituted an internal remedy, s</w:t>
      </w:r>
      <w:r w:rsidR="00896297" w:rsidRPr="001916B7">
        <w:rPr>
          <w:lang w:val="en-GB"/>
        </w:rPr>
        <w:t xml:space="preserve">etting </w:t>
      </w:r>
      <w:r w:rsidR="00801596" w:rsidRPr="001916B7">
        <w:rPr>
          <w:lang w:val="en-GB"/>
        </w:rPr>
        <w:t xml:space="preserve">that </w:t>
      </w:r>
      <w:r w:rsidR="00896297" w:rsidRPr="001916B7">
        <w:rPr>
          <w:lang w:val="en-GB"/>
        </w:rPr>
        <w:t xml:space="preserve">aside in circumstances where the 2011 Recognition Decision stands </w:t>
      </w:r>
      <w:r w:rsidR="0051512F" w:rsidRPr="001916B7">
        <w:rPr>
          <w:lang w:val="en-GB"/>
        </w:rPr>
        <w:t>would be</w:t>
      </w:r>
      <w:r w:rsidR="00896297" w:rsidRPr="001916B7">
        <w:rPr>
          <w:lang w:val="en-GB"/>
        </w:rPr>
        <w:t xml:space="preserve"> pointless</w:t>
      </w:r>
      <w:r w:rsidR="0087750D" w:rsidRPr="001916B7">
        <w:rPr>
          <w:lang w:val="en-GB"/>
        </w:rPr>
        <w:t xml:space="preserve"> for purposes of this application</w:t>
      </w:r>
      <w:r w:rsidR="00896297" w:rsidRPr="001916B7">
        <w:rPr>
          <w:lang w:val="en-GB"/>
        </w:rPr>
        <w:t>.</w:t>
      </w:r>
      <w:r w:rsidR="002D41BF">
        <w:rPr>
          <w:rStyle w:val="FootnoteReference"/>
          <w:lang w:val="en-GB"/>
        </w:rPr>
        <w:footnoteReference w:id="50"/>
      </w:r>
      <w:r w:rsidR="0051512F" w:rsidRPr="001916B7">
        <w:rPr>
          <w:lang w:val="en-GB"/>
        </w:rPr>
        <w:t xml:space="preserve"> </w:t>
      </w:r>
      <w:r w:rsidR="00822F42" w:rsidRPr="001916B7">
        <w:rPr>
          <w:lang w:val="en-GB"/>
        </w:rPr>
        <w:t>The consequence is that the application must be dismissed.</w:t>
      </w:r>
    </w:p>
    <w:p w14:paraId="121C2E52" w14:textId="65480114" w:rsidR="005C44D5" w:rsidRDefault="005C44D5" w:rsidP="005C44D5">
      <w:pPr>
        <w:rPr>
          <w:lang w:val="en-GB"/>
        </w:rPr>
      </w:pPr>
    </w:p>
    <w:p w14:paraId="165E4398" w14:textId="447DDD7E" w:rsidR="005C44D5" w:rsidRDefault="005C44D5" w:rsidP="005C44D5">
      <w:pPr>
        <w:rPr>
          <w:b/>
          <w:bCs/>
          <w:lang w:val="en-GB"/>
        </w:rPr>
      </w:pPr>
      <w:r>
        <w:rPr>
          <w:b/>
          <w:bCs/>
          <w:lang w:val="en-GB"/>
        </w:rPr>
        <w:lastRenderedPageBreak/>
        <w:t>Costs</w:t>
      </w:r>
    </w:p>
    <w:p w14:paraId="2BA7031E" w14:textId="77777777" w:rsidR="005C44D5" w:rsidRPr="005C44D5" w:rsidRDefault="005C44D5" w:rsidP="005C44D5">
      <w:pPr>
        <w:rPr>
          <w:b/>
          <w:bCs/>
          <w:lang w:val="en-GB"/>
        </w:rPr>
      </w:pPr>
    </w:p>
    <w:p w14:paraId="27A8CF0F" w14:textId="13F23DCD" w:rsidR="005C44D5" w:rsidRPr="001916B7" w:rsidRDefault="001916B7" w:rsidP="001916B7">
      <w:pPr>
        <w:autoSpaceDE w:val="0"/>
        <w:autoSpaceDN w:val="0"/>
        <w:adjustRightInd w:val="0"/>
        <w:jc w:val="both"/>
        <w:rPr>
          <w:lang w:val="en-GB"/>
        </w:rPr>
      </w:pPr>
      <w:r w:rsidRPr="0021463A">
        <w:rPr>
          <w:lang w:val="en-GB"/>
        </w:rPr>
        <w:t>[35]</w:t>
      </w:r>
      <w:r w:rsidRPr="0021463A">
        <w:rPr>
          <w:lang w:val="en-GB"/>
        </w:rPr>
        <w:tab/>
      </w:r>
      <w:r w:rsidR="00833873" w:rsidRPr="001916B7">
        <w:rPr>
          <w:lang w:val="en-GB"/>
        </w:rPr>
        <w:t>Counsel furnished useful supplementary heads of argument in respect of costs</w:t>
      </w:r>
      <w:r w:rsidR="00D40758" w:rsidRPr="001916B7">
        <w:rPr>
          <w:lang w:val="en-GB"/>
        </w:rPr>
        <w:t xml:space="preserve"> and, in particular, in answer to the question as to the applicability of </w:t>
      </w:r>
      <w:r w:rsidR="00D40758" w:rsidRPr="001916B7">
        <w:rPr>
          <w:i/>
          <w:iCs/>
          <w:lang w:val="en-GB"/>
        </w:rPr>
        <w:t>Biowatch</w:t>
      </w:r>
      <w:r w:rsidR="00D40758" w:rsidRPr="001916B7">
        <w:rPr>
          <w:lang w:val="en-GB"/>
        </w:rPr>
        <w:t>.</w:t>
      </w:r>
      <w:r w:rsidR="00D40758">
        <w:rPr>
          <w:rStyle w:val="FootnoteReference"/>
          <w:lang w:val="en-GB"/>
        </w:rPr>
        <w:footnoteReference w:id="51"/>
      </w:r>
      <w:r w:rsidR="00D40758" w:rsidRPr="001916B7">
        <w:rPr>
          <w:i/>
          <w:iCs/>
          <w:lang w:val="en-GB"/>
        </w:rPr>
        <w:t xml:space="preserve"> </w:t>
      </w:r>
      <w:r w:rsidR="00645162" w:rsidRPr="001916B7">
        <w:rPr>
          <w:lang w:val="en-GB"/>
        </w:rPr>
        <w:t xml:space="preserve">That decision explains the appropriate approach to adopt in unsuccessful constitutional litigation against the state. </w:t>
      </w:r>
      <w:r w:rsidR="00CE51BB" w:rsidRPr="001916B7">
        <w:rPr>
          <w:lang w:val="en-GB"/>
        </w:rPr>
        <w:t>Constitutional litigation is that which has been undertaken to assert constitutional rights.</w:t>
      </w:r>
      <w:r w:rsidR="00CE51BB">
        <w:rPr>
          <w:rStyle w:val="FootnoteReference"/>
          <w:lang w:val="en-GB"/>
        </w:rPr>
        <w:footnoteReference w:id="52"/>
      </w:r>
      <w:r w:rsidR="00CE51BB" w:rsidRPr="001916B7">
        <w:rPr>
          <w:lang w:val="en-GB"/>
        </w:rPr>
        <w:t xml:space="preserve"> As a general rule, an unsuccessful litigant in proceedings against the state ought not to be ordered to pay costs.</w:t>
      </w:r>
      <w:r w:rsidR="00CE51BB">
        <w:rPr>
          <w:rStyle w:val="FootnoteReference"/>
          <w:lang w:val="en-GB"/>
        </w:rPr>
        <w:footnoteReference w:id="53"/>
      </w:r>
    </w:p>
    <w:p w14:paraId="66A5DE76" w14:textId="77777777" w:rsidR="00081B69" w:rsidRPr="00081B69" w:rsidRDefault="00081B69" w:rsidP="00081B69">
      <w:pPr>
        <w:pStyle w:val="ListParagraph"/>
        <w:autoSpaceDE w:val="0"/>
        <w:autoSpaceDN w:val="0"/>
        <w:adjustRightInd w:val="0"/>
        <w:ind w:left="0"/>
        <w:jc w:val="both"/>
        <w:rPr>
          <w:lang w:val="en-GB"/>
        </w:rPr>
      </w:pPr>
    </w:p>
    <w:p w14:paraId="7BEE9C35" w14:textId="2D5AF18C" w:rsidR="00081B69" w:rsidRPr="001916B7" w:rsidRDefault="001916B7" w:rsidP="001916B7">
      <w:pPr>
        <w:autoSpaceDE w:val="0"/>
        <w:autoSpaceDN w:val="0"/>
        <w:adjustRightInd w:val="0"/>
        <w:jc w:val="both"/>
        <w:rPr>
          <w:lang w:val="en-GB"/>
        </w:rPr>
      </w:pPr>
      <w:r>
        <w:rPr>
          <w:lang w:val="en-GB"/>
        </w:rPr>
        <w:t>[36]</w:t>
      </w:r>
      <w:r>
        <w:rPr>
          <w:lang w:val="en-GB"/>
        </w:rPr>
        <w:tab/>
      </w:r>
      <w:r w:rsidR="0021463A" w:rsidRPr="001916B7">
        <w:rPr>
          <w:lang w:val="en-GB"/>
        </w:rPr>
        <w:t>A court must exercise its discretion by doing that which is just considering the facts and circumstances of the case.</w:t>
      </w:r>
      <w:r w:rsidR="007F55ED" w:rsidRPr="001916B7">
        <w:rPr>
          <w:lang w:val="en-GB"/>
        </w:rPr>
        <w:t xml:space="preserve"> The general approach of not awarding costs against an unsuccessful litigant in genuine constitutional proceedings against the state should not easily be forsaken. </w:t>
      </w:r>
      <w:r w:rsidR="005A4194" w:rsidRPr="001916B7">
        <w:rPr>
          <w:lang w:val="en-GB"/>
        </w:rPr>
        <w:t>T</w:t>
      </w:r>
      <w:r w:rsidR="00047A7D" w:rsidRPr="001916B7">
        <w:rPr>
          <w:lang w:val="en-GB"/>
        </w:rPr>
        <w:t>o</w:t>
      </w:r>
      <w:r w:rsidR="005A4194" w:rsidRPr="001916B7">
        <w:rPr>
          <w:lang w:val="en-GB"/>
        </w:rPr>
        <w:t xml:space="preserve"> fit the bill, the issues must be genuine and substantive and truly raise constitutional considerations relevant to the adjudication.</w:t>
      </w:r>
      <w:r w:rsidR="0016488C">
        <w:rPr>
          <w:rStyle w:val="FootnoteReference"/>
          <w:lang w:val="en-GB"/>
        </w:rPr>
        <w:footnoteReference w:id="54"/>
      </w:r>
      <w:r w:rsidR="005A4194" w:rsidRPr="001916B7">
        <w:rPr>
          <w:lang w:val="en-GB"/>
        </w:rPr>
        <w:t xml:space="preserve"> </w:t>
      </w:r>
    </w:p>
    <w:p w14:paraId="49604457" w14:textId="77777777" w:rsidR="0021463A" w:rsidRPr="0021463A" w:rsidRDefault="0021463A" w:rsidP="0021463A">
      <w:pPr>
        <w:pStyle w:val="ListParagraph"/>
        <w:rPr>
          <w:lang w:val="en-GB"/>
        </w:rPr>
      </w:pPr>
    </w:p>
    <w:p w14:paraId="45E3A5E6" w14:textId="39022AA6" w:rsidR="0021463A" w:rsidRPr="001916B7" w:rsidRDefault="001916B7" w:rsidP="001916B7">
      <w:pPr>
        <w:autoSpaceDE w:val="0"/>
        <w:autoSpaceDN w:val="0"/>
        <w:adjustRightInd w:val="0"/>
        <w:jc w:val="both"/>
        <w:rPr>
          <w:lang w:val="en-GB"/>
        </w:rPr>
      </w:pPr>
      <w:r>
        <w:rPr>
          <w:lang w:val="en-GB"/>
        </w:rPr>
        <w:t>[37]</w:t>
      </w:r>
      <w:r>
        <w:rPr>
          <w:lang w:val="en-GB"/>
        </w:rPr>
        <w:tab/>
      </w:r>
      <w:r w:rsidR="00F30B0F" w:rsidRPr="001916B7">
        <w:rPr>
          <w:lang w:val="en-GB"/>
        </w:rPr>
        <w:t xml:space="preserve">The relief sought in the present matter involves, at its core, </w:t>
      </w:r>
      <w:r w:rsidR="00921B69" w:rsidRPr="001916B7">
        <w:rPr>
          <w:lang w:val="en-GB"/>
        </w:rPr>
        <w:t>state functionaries acting</w:t>
      </w:r>
      <w:r w:rsidR="00BA09FF" w:rsidRPr="001916B7">
        <w:rPr>
          <w:lang w:val="en-GB"/>
        </w:rPr>
        <w:t>, or purporting to act,</w:t>
      </w:r>
      <w:r w:rsidR="00921B69" w:rsidRPr="001916B7">
        <w:rPr>
          <w:lang w:val="en-GB"/>
        </w:rPr>
        <w:t xml:space="preserve"> in terms of statutorily delineated responsibilities</w:t>
      </w:r>
      <w:r w:rsidR="00C16ACF" w:rsidRPr="001916B7">
        <w:rPr>
          <w:lang w:val="en-GB"/>
        </w:rPr>
        <w:t xml:space="preserve">. The sixth and seventh respondents have been dragged into the litigation and argue that the applicant, having been unsuccessful, should pay their costs. </w:t>
      </w:r>
      <w:r w:rsidR="009F3A5F" w:rsidRPr="001916B7">
        <w:rPr>
          <w:lang w:val="en-GB"/>
        </w:rPr>
        <w:t>Sachs J described the position as follows:</w:t>
      </w:r>
      <w:r w:rsidR="009F3A5F">
        <w:rPr>
          <w:rStyle w:val="FootnoteReference"/>
          <w:lang w:val="en-GB"/>
        </w:rPr>
        <w:footnoteReference w:id="55"/>
      </w:r>
    </w:p>
    <w:p w14:paraId="6484AD4F" w14:textId="77777777" w:rsidR="003B28DC" w:rsidRDefault="00914BFC" w:rsidP="00914BFC">
      <w:pPr>
        <w:jc w:val="both"/>
        <w:rPr>
          <w:sz w:val="22"/>
          <w:szCs w:val="22"/>
          <w:lang w:val="en-GB"/>
        </w:rPr>
      </w:pPr>
      <w:r>
        <w:rPr>
          <w:sz w:val="22"/>
          <w:szCs w:val="22"/>
          <w:lang w:val="en-GB"/>
        </w:rPr>
        <w:t xml:space="preserve">‘In matter such as these a number of private parties might have opposite interests in the outcome of a dispute where a private party challenges the constitutionality of government action. The fact that more than one private party is involved in the proceedings does not mean however, that the litigation should be characterised as being between the private parties. In essence the dispute turns on whether the governmental agencies have failed adequately to fulfil their constitutional and statutory responsibilities. </w:t>
      </w:r>
      <w:r w:rsidR="004333D0">
        <w:rPr>
          <w:sz w:val="22"/>
          <w:szCs w:val="22"/>
          <w:lang w:val="en-GB"/>
        </w:rPr>
        <w:t>Essentially, therefore, these matters involve litigation between a private party and the state, with radiating impact on other private parties. In general terms costs awards in these matters should be governed by the over-</w:t>
      </w:r>
      <w:r w:rsidR="004333D0">
        <w:rPr>
          <w:sz w:val="22"/>
          <w:szCs w:val="22"/>
          <w:lang w:val="en-GB"/>
        </w:rPr>
        <w:lastRenderedPageBreak/>
        <w:t>arching principle of not discouraging the pursuit of constitutional claims, irrespective of the number of parties seeking to support or oppose the state’s posture in the litigation.’</w:t>
      </w:r>
    </w:p>
    <w:p w14:paraId="0CCD0795" w14:textId="2FA4E8D3" w:rsidR="00F30B0F" w:rsidRPr="00914BFC" w:rsidRDefault="004333D0" w:rsidP="00914BFC">
      <w:pPr>
        <w:jc w:val="both"/>
        <w:rPr>
          <w:sz w:val="22"/>
          <w:szCs w:val="22"/>
          <w:lang w:val="en-GB"/>
        </w:rPr>
      </w:pPr>
      <w:r>
        <w:rPr>
          <w:sz w:val="22"/>
          <w:szCs w:val="22"/>
          <w:lang w:val="en-GB"/>
        </w:rPr>
        <w:t xml:space="preserve"> </w:t>
      </w:r>
    </w:p>
    <w:p w14:paraId="30822B8A" w14:textId="549B8731" w:rsidR="00F30B0F" w:rsidRPr="001916B7" w:rsidRDefault="001916B7" w:rsidP="001916B7">
      <w:pPr>
        <w:autoSpaceDE w:val="0"/>
        <w:autoSpaceDN w:val="0"/>
        <w:adjustRightInd w:val="0"/>
        <w:jc w:val="both"/>
        <w:rPr>
          <w:lang w:val="en-GB"/>
        </w:rPr>
      </w:pPr>
      <w:r>
        <w:rPr>
          <w:lang w:val="en-GB"/>
        </w:rPr>
        <w:t>[38]</w:t>
      </w:r>
      <w:r>
        <w:rPr>
          <w:lang w:val="en-GB"/>
        </w:rPr>
        <w:tab/>
      </w:r>
      <w:r w:rsidR="00A16CD5" w:rsidRPr="001916B7">
        <w:rPr>
          <w:lang w:val="en-GB"/>
        </w:rPr>
        <w:t xml:space="preserve">These comments are apposite considering the facts of this dispute. </w:t>
      </w:r>
      <w:r w:rsidR="002A3CEF" w:rsidRPr="001916B7">
        <w:rPr>
          <w:lang w:val="en-GB"/>
        </w:rPr>
        <w:t>The purpose of the application was to assert the applicant’s entitlement to recognition as headwoman of the Gqunqe Village in terms of the Provincial Act</w:t>
      </w:r>
      <w:r w:rsidR="002A3D6D" w:rsidRPr="001916B7">
        <w:rPr>
          <w:lang w:val="en-GB"/>
        </w:rPr>
        <w:t xml:space="preserve"> following the death of her father. The crux of the challenge was the complaint of her unconstitutional exclusion from succession based on marital status. </w:t>
      </w:r>
      <w:r w:rsidR="00D524D1" w:rsidRPr="001916B7">
        <w:rPr>
          <w:lang w:val="en-GB"/>
        </w:rPr>
        <w:t xml:space="preserve">The applicant asserted a constitutionally protected right. </w:t>
      </w:r>
      <w:r w:rsidR="0045749B" w:rsidRPr="001916B7">
        <w:rPr>
          <w:lang w:val="en-GB"/>
        </w:rPr>
        <w:t xml:space="preserve">To succeed, decisions taken by state respondents </w:t>
      </w:r>
      <w:r w:rsidR="00420C58" w:rsidRPr="001916B7">
        <w:rPr>
          <w:lang w:val="en-GB"/>
        </w:rPr>
        <w:t>were sought to be reviewed</w:t>
      </w:r>
      <w:r w:rsidR="00C55CA6" w:rsidRPr="001916B7">
        <w:rPr>
          <w:lang w:val="en-GB"/>
        </w:rPr>
        <w:t xml:space="preserve"> and set aside. </w:t>
      </w:r>
      <w:r w:rsidR="000E57CC" w:rsidRPr="001916B7">
        <w:rPr>
          <w:lang w:val="en-GB"/>
        </w:rPr>
        <w:t>I am satisfied that this constituted a bona fide attempt to raise an issue of genuine constitutional significance</w:t>
      </w:r>
      <w:r w:rsidR="00AE7FD9" w:rsidRPr="001916B7">
        <w:rPr>
          <w:lang w:val="en-GB"/>
        </w:rPr>
        <w:t xml:space="preserve">, namely whether a customary rule excluding a woman from succession to traditional leadership positions based on marital status would constitute </w:t>
      </w:r>
      <w:r w:rsidR="00016754" w:rsidRPr="001916B7">
        <w:rPr>
          <w:lang w:val="en-GB"/>
        </w:rPr>
        <w:t xml:space="preserve">unfair discrimination. </w:t>
      </w:r>
      <w:r w:rsidR="005160AF" w:rsidRPr="001916B7">
        <w:rPr>
          <w:lang w:val="en-GB"/>
        </w:rPr>
        <w:t>The application was non-frivolous, non-vexatious and</w:t>
      </w:r>
      <w:r w:rsidR="00EB05BE" w:rsidRPr="001916B7">
        <w:rPr>
          <w:lang w:val="en-GB"/>
        </w:rPr>
        <w:t>, considering the circumstances,</w:t>
      </w:r>
      <w:r w:rsidR="005160AF" w:rsidRPr="001916B7">
        <w:rPr>
          <w:lang w:val="en-GB"/>
        </w:rPr>
        <w:t xml:space="preserve"> not in any other way manifestly inappropriate</w:t>
      </w:r>
      <w:r w:rsidR="00945235" w:rsidRPr="001916B7">
        <w:rPr>
          <w:lang w:val="en-GB"/>
        </w:rPr>
        <w:t>.</w:t>
      </w:r>
      <w:r w:rsidR="005160AF" w:rsidRPr="001916B7">
        <w:rPr>
          <w:lang w:val="en-GB"/>
        </w:rPr>
        <w:t xml:space="preserve"> </w:t>
      </w:r>
      <w:r w:rsidR="00945235" w:rsidRPr="001916B7">
        <w:rPr>
          <w:lang w:val="en-GB"/>
        </w:rPr>
        <w:t xml:space="preserve">This </w:t>
      </w:r>
      <w:r w:rsidR="005160AF" w:rsidRPr="001916B7">
        <w:rPr>
          <w:lang w:val="en-GB"/>
        </w:rPr>
        <w:t>despite the applicant’s failure to obtain the required extension of time</w:t>
      </w:r>
      <w:r w:rsidR="00D805EB" w:rsidRPr="001916B7">
        <w:rPr>
          <w:lang w:val="en-GB"/>
        </w:rPr>
        <w:t>, for reasons already canvassed.</w:t>
      </w:r>
      <w:r w:rsidR="009400C9">
        <w:rPr>
          <w:rStyle w:val="FootnoteReference"/>
          <w:lang w:val="en-GB"/>
        </w:rPr>
        <w:footnoteReference w:id="56"/>
      </w:r>
      <w:r w:rsidR="00D805EB" w:rsidRPr="001916B7">
        <w:rPr>
          <w:lang w:val="en-GB"/>
        </w:rPr>
        <w:t xml:space="preserve"> </w:t>
      </w:r>
      <w:r w:rsidR="00A627F0" w:rsidRPr="001916B7">
        <w:rPr>
          <w:lang w:val="en-GB"/>
        </w:rPr>
        <w:t xml:space="preserve">A costs order in such circumstances would, in my view, hinder the advancement of justice. </w:t>
      </w:r>
      <w:r w:rsidR="0017743F" w:rsidRPr="001916B7">
        <w:rPr>
          <w:lang w:val="en-GB"/>
        </w:rPr>
        <w:t>That being the case, it is appropriate for each party to bear its own costs.</w:t>
      </w:r>
      <w:r w:rsidR="001A2977">
        <w:rPr>
          <w:rStyle w:val="FootnoteReference"/>
          <w:lang w:val="en-GB"/>
        </w:rPr>
        <w:footnoteReference w:id="57"/>
      </w:r>
      <w:r w:rsidR="0017743F" w:rsidRPr="001916B7">
        <w:rPr>
          <w:lang w:val="en-GB"/>
        </w:rPr>
        <w:t xml:space="preserve"> </w:t>
      </w:r>
    </w:p>
    <w:p w14:paraId="5CDE6715" w14:textId="77777777" w:rsidR="00620340" w:rsidRDefault="00620340" w:rsidP="005C44D5">
      <w:pPr>
        <w:pStyle w:val="ListParagraph"/>
        <w:autoSpaceDE w:val="0"/>
        <w:autoSpaceDN w:val="0"/>
        <w:adjustRightInd w:val="0"/>
        <w:ind w:left="0"/>
        <w:jc w:val="both"/>
        <w:rPr>
          <w:lang w:val="en-GB"/>
        </w:rPr>
      </w:pPr>
    </w:p>
    <w:p w14:paraId="0C196A7F" w14:textId="35BA421C" w:rsidR="005C44D5" w:rsidRDefault="005C44D5" w:rsidP="005C44D5">
      <w:pPr>
        <w:pStyle w:val="ListParagraph"/>
        <w:autoSpaceDE w:val="0"/>
        <w:autoSpaceDN w:val="0"/>
        <w:adjustRightInd w:val="0"/>
        <w:ind w:left="0"/>
        <w:jc w:val="both"/>
        <w:rPr>
          <w:b/>
          <w:bCs/>
          <w:lang w:val="en-GB"/>
        </w:rPr>
      </w:pPr>
      <w:r>
        <w:rPr>
          <w:b/>
          <w:bCs/>
          <w:lang w:val="en-GB"/>
        </w:rPr>
        <w:t>Order</w:t>
      </w:r>
    </w:p>
    <w:p w14:paraId="4586FAC6" w14:textId="77777777" w:rsidR="005C44D5" w:rsidRPr="005C44D5" w:rsidRDefault="005C44D5" w:rsidP="005C44D5">
      <w:pPr>
        <w:pStyle w:val="ListParagraph"/>
        <w:autoSpaceDE w:val="0"/>
        <w:autoSpaceDN w:val="0"/>
        <w:adjustRightInd w:val="0"/>
        <w:ind w:left="0"/>
        <w:jc w:val="both"/>
        <w:rPr>
          <w:b/>
          <w:bCs/>
          <w:lang w:val="en-GB"/>
        </w:rPr>
      </w:pPr>
    </w:p>
    <w:p w14:paraId="2A67885F" w14:textId="48B4AE08" w:rsidR="00167C42" w:rsidRPr="001916B7" w:rsidRDefault="001916B7" w:rsidP="001916B7">
      <w:pPr>
        <w:autoSpaceDE w:val="0"/>
        <w:autoSpaceDN w:val="0"/>
        <w:adjustRightInd w:val="0"/>
        <w:jc w:val="both"/>
        <w:rPr>
          <w:lang w:val="en-GB"/>
        </w:rPr>
      </w:pPr>
      <w:r>
        <w:rPr>
          <w:lang w:val="en-GB"/>
        </w:rPr>
        <w:t>[39]</w:t>
      </w:r>
      <w:r>
        <w:rPr>
          <w:lang w:val="en-GB"/>
        </w:rPr>
        <w:tab/>
      </w:r>
      <w:r w:rsidR="00167C42" w:rsidRPr="001916B7">
        <w:rPr>
          <w:lang w:val="en-GB"/>
        </w:rPr>
        <w:t>The following order will issue:</w:t>
      </w:r>
    </w:p>
    <w:p w14:paraId="2940B2E4" w14:textId="77777777" w:rsidR="00167C42" w:rsidRDefault="00167C42" w:rsidP="00167C42">
      <w:pPr>
        <w:pStyle w:val="ListParagraph"/>
        <w:autoSpaceDE w:val="0"/>
        <w:autoSpaceDN w:val="0"/>
        <w:adjustRightInd w:val="0"/>
        <w:ind w:left="0"/>
        <w:jc w:val="both"/>
        <w:rPr>
          <w:lang w:val="en-GB"/>
        </w:rPr>
      </w:pPr>
    </w:p>
    <w:p w14:paraId="024B235E" w14:textId="1BD5A1DF" w:rsidR="005C44D5" w:rsidRPr="001916B7" w:rsidRDefault="001916B7" w:rsidP="001916B7">
      <w:pPr>
        <w:autoSpaceDE w:val="0"/>
        <w:autoSpaceDN w:val="0"/>
        <w:adjustRightInd w:val="0"/>
        <w:ind w:left="720" w:hanging="360"/>
        <w:jc w:val="both"/>
        <w:rPr>
          <w:lang w:val="en-GB"/>
        </w:rPr>
      </w:pPr>
      <w:r>
        <w:rPr>
          <w:lang w:val="en-GB"/>
        </w:rPr>
        <w:t>1.</w:t>
      </w:r>
      <w:r>
        <w:rPr>
          <w:lang w:val="en-GB"/>
        </w:rPr>
        <w:tab/>
      </w:r>
      <w:r w:rsidR="005C44D5" w:rsidRPr="001916B7">
        <w:rPr>
          <w:lang w:val="en-GB"/>
        </w:rPr>
        <w:t xml:space="preserve">The </w:t>
      </w:r>
      <w:r w:rsidR="0096444B" w:rsidRPr="001916B7">
        <w:rPr>
          <w:lang w:val="en-GB"/>
        </w:rPr>
        <w:t>application is dismissed.</w:t>
      </w:r>
    </w:p>
    <w:p w14:paraId="409F1D12" w14:textId="4D21B1A8" w:rsidR="00167C42" w:rsidRPr="001916B7" w:rsidRDefault="001916B7" w:rsidP="001916B7">
      <w:pPr>
        <w:autoSpaceDE w:val="0"/>
        <w:autoSpaceDN w:val="0"/>
        <w:adjustRightInd w:val="0"/>
        <w:ind w:left="720" w:hanging="360"/>
        <w:jc w:val="both"/>
        <w:rPr>
          <w:lang w:val="en-GB"/>
        </w:rPr>
      </w:pPr>
      <w:r>
        <w:rPr>
          <w:lang w:val="en-GB"/>
        </w:rPr>
        <w:t>2.</w:t>
      </w:r>
      <w:r>
        <w:rPr>
          <w:lang w:val="en-GB"/>
        </w:rPr>
        <w:tab/>
      </w:r>
      <w:r w:rsidR="00167C42" w:rsidRPr="001916B7">
        <w:rPr>
          <w:lang w:val="en-GB"/>
        </w:rPr>
        <w:t>Each party is to pay its own costs.</w:t>
      </w:r>
    </w:p>
    <w:p w14:paraId="6987D2C8" w14:textId="77777777" w:rsidR="004452E6" w:rsidRPr="00CA37A4" w:rsidRDefault="004452E6" w:rsidP="004452E6">
      <w:pPr>
        <w:pStyle w:val="ListParagraph"/>
        <w:autoSpaceDE w:val="0"/>
        <w:autoSpaceDN w:val="0"/>
        <w:adjustRightInd w:val="0"/>
        <w:jc w:val="both"/>
        <w:rPr>
          <w:lang w:val="en-GB"/>
        </w:rPr>
      </w:pPr>
    </w:p>
    <w:p w14:paraId="563F1FAD" w14:textId="77777777" w:rsidR="0037780E" w:rsidRPr="00044B50" w:rsidRDefault="0037780E" w:rsidP="00682CE5">
      <w:pPr>
        <w:autoSpaceDE w:val="0"/>
        <w:autoSpaceDN w:val="0"/>
        <w:adjustRightInd w:val="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Pr="00044B50" w:rsidRDefault="00D450B5" w:rsidP="00CA056D">
      <w:pPr>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4E913372" w14:textId="77777777" w:rsidR="008A75F3" w:rsidRDefault="008A75F3" w:rsidP="008A75F3">
      <w:pPr>
        <w:widowControl w:val="0"/>
        <w:jc w:val="center"/>
        <w:rPr>
          <w:spacing w:val="14"/>
          <w:kern w:val="2"/>
          <w:lang w:val="en-GB"/>
        </w:rPr>
      </w:pPr>
    </w:p>
    <w:p w14:paraId="04EEEF0A" w14:textId="521E6A64" w:rsidR="007A7BBE" w:rsidRPr="00A87D38" w:rsidRDefault="007A7BBE" w:rsidP="00CA056D">
      <w:pPr>
        <w:widowControl w:val="0"/>
        <w:ind w:right="656"/>
        <w:rPr>
          <w:spacing w:val="14"/>
          <w:kern w:val="2"/>
          <w:lang w:val="en-GB"/>
        </w:rPr>
      </w:pPr>
      <w:r w:rsidRPr="006254F4">
        <w:rPr>
          <w:b/>
          <w:spacing w:val="14"/>
          <w:kern w:val="2"/>
          <w:lang w:val="en-GB"/>
        </w:rPr>
        <w:t>Heard</w:t>
      </w:r>
      <w:r w:rsidRPr="00A87D38">
        <w:rPr>
          <w:spacing w:val="14"/>
          <w:kern w:val="2"/>
          <w:lang w:val="en-GB"/>
        </w:rPr>
        <w:t>:</w:t>
      </w:r>
      <w:r w:rsidR="00404521">
        <w:rPr>
          <w:spacing w:val="14"/>
          <w:kern w:val="2"/>
          <w:lang w:val="en-GB"/>
        </w:rPr>
        <w:t xml:space="preserve"> </w:t>
      </w:r>
      <w:r w:rsidR="006254F4">
        <w:rPr>
          <w:spacing w:val="14"/>
          <w:kern w:val="2"/>
          <w:lang w:val="en-GB"/>
        </w:rPr>
        <w:t>22 &amp; 23 May 2023</w:t>
      </w:r>
    </w:p>
    <w:p w14:paraId="299C01BC" w14:textId="77777777" w:rsidR="00CA056D" w:rsidRDefault="00CA056D" w:rsidP="000D4C7F">
      <w:pPr>
        <w:widowControl w:val="0"/>
        <w:ind w:left="4320" w:right="656" w:firstLine="720"/>
        <w:jc w:val="right"/>
        <w:rPr>
          <w:spacing w:val="14"/>
          <w:kern w:val="2"/>
          <w:lang w:val="en-GB"/>
        </w:rPr>
      </w:pPr>
    </w:p>
    <w:p w14:paraId="34AEF48F" w14:textId="36336C7E" w:rsidR="00B325DA" w:rsidRDefault="007A7BBE" w:rsidP="0072596C">
      <w:pPr>
        <w:widowControl w:val="0"/>
        <w:ind w:right="656"/>
        <w:rPr>
          <w:spacing w:val="14"/>
          <w:kern w:val="2"/>
          <w:lang w:val="en-GB"/>
        </w:rPr>
      </w:pPr>
      <w:r w:rsidRPr="006254F4">
        <w:rPr>
          <w:b/>
          <w:spacing w:val="14"/>
          <w:kern w:val="2"/>
          <w:lang w:val="en-GB"/>
        </w:rPr>
        <w:t>Delivered</w:t>
      </w:r>
      <w:r w:rsidRPr="00A87D38">
        <w:rPr>
          <w:spacing w:val="14"/>
          <w:kern w:val="2"/>
          <w:lang w:val="en-GB"/>
        </w:rPr>
        <w:t>:</w:t>
      </w:r>
      <w:r w:rsidR="006254F4">
        <w:rPr>
          <w:spacing w:val="14"/>
          <w:kern w:val="2"/>
          <w:lang w:val="en-GB"/>
        </w:rPr>
        <w:t xml:space="preserve"> 20 June 2023</w:t>
      </w:r>
    </w:p>
    <w:p w14:paraId="6DD5E3FB" w14:textId="77777777" w:rsidR="0072596C" w:rsidRPr="0072596C" w:rsidRDefault="0072596C" w:rsidP="0072596C">
      <w:pPr>
        <w:widowControl w:val="0"/>
        <w:ind w:right="656"/>
        <w:rPr>
          <w:spacing w:val="14"/>
          <w:kern w:val="2"/>
          <w:lang w:val="en-GB"/>
        </w:rPr>
      </w:pPr>
    </w:p>
    <w:p w14:paraId="20291BE0" w14:textId="77777777" w:rsidR="00B325DA" w:rsidRPr="00044B50" w:rsidRDefault="00B325DA" w:rsidP="004A5151">
      <w:pPr>
        <w:autoSpaceDE w:val="0"/>
        <w:autoSpaceDN w:val="0"/>
        <w:adjustRightInd w:val="0"/>
        <w:jc w:val="both"/>
        <w:rPr>
          <w:lang w:val="en-GB"/>
        </w:rPr>
      </w:pPr>
    </w:p>
    <w:p w14:paraId="0BAE84DD" w14:textId="56F70534" w:rsidR="007C247A" w:rsidRPr="00923B36" w:rsidRDefault="007C247A" w:rsidP="00772E4B">
      <w:pPr>
        <w:jc w:val="both"/>
        <w:rPr>
          <w:b/>
          <w:bCs/>
          <w:lang w:val="en-GB"/>
        </w:rPr>
      </w:pPr>
      <w:r w:rsidRPr="00923B36">
        <w:rPr>
          <w:b/>
          <w:bCs/>
          <w:lang w:val="en-GB"/>
        </w:rPr>
        <w:t>Appearances</w:t>
      </w:r>
    </w:p>
    <w:p w14:paraId="66837056" w14:textId="5B798FD9" w:rsidR="00C33845" w:rsidRDefault="00C33845" w:rsidP="00772E4B">
      <w:pPr>
        <w:jc w:val="both"/>
        <w:rPr>
          <w:lang w:val="en-GB"/>
        </w:rPr>
      </w:pPr>
    </w:p>
    <w:p w14:paraId="1A96B021" w14:textId="7AA00001" w:rsidR="00C33845" w:rsidRDefault="00C33845" w:rsidP="00772E4B">
      <w:pPr>
        <w:jc w:val="both"/>
        <w:rPr>
          <w:lang w:val="en-GB"/>
        </w:rPr>
      </w:pPr>
      <w:r>
        <w:rPr>
          <w:lang w:val="en-GB"/>
        </w:rPr>
        <w:t xml:space="preserve">For </w:t>
      </w:r>
      <w:r w:rsidR="006254F4">
        <w:rPr>
          <w:lang w:val="en-GB"/>
        </w:rPr>
        <w:t>the Applicant:</w:t>
      </w:r>
      <w:r w:rsidR="006254F4">
        <w:rPr>
          <w:lang w:val="en-GB"/>
        </w:rPr>
        <w:tab/>
      </w:r>
      <w:r w:rsidR="006254F4">
        <w:rPr>
          <w:lang w:val="en-GB"/>
        </w:rPr>
        <w:tab/>
      </w:r>
      <w:r w:rsidR="006254F4">
        <w:rPr>
          <w:lang w:val="en-GB"/>
        </w:rPr>
        <w:tab/>
      </w:r>
      <w:r w:rsidR="006254F4">
        <w:rPr>
          <w:lang w:val="en-GB"/>
        </w:rPr>
        <w:tab/>
        <w:t>Adv J Blomkamp &amp; Adv L Ntlokwana</w:t>
      </w:r>
    </w:p>
    <w:p w14:paraId="672D176E" w14:textId="16DA7638" w:rsidR="006254F4" w:rsidRDefault="006254F4" w:rsidP="00772E4B">
      <w:pPr>
        <w:jc w:val="both"/>
        <w:rPr>
          <w:lang w:val="en-GB"/>
        </w:rPr>
      </w:pPr>
      <w:r>
        <w:rPr>
          <w:lang w:val="en-GB"/>
        </w:rPr>
        <w:tab/>
      </w:r>
      <w:r>
        <w:rPr>
          <w:lang w:val="en-GB"/>
        </w:rPr>
        <w:tab/>
      </w:r>
      <w:r>
        <w:rPr>
          <w:lang w:val="en-GB"/>
        </w:rPr>
        <w:tab/>
      </w:r>
      <w:r>
        <w:rPr>
          <w:lang w:val="en-GB"/>
        </w:rPr>
        <w:tab/>
      </w:r>
      <w:r>
        <w:rPr>
          <w:lang w:val="en-GB"/>
        </w:rPr>
        <w:tab/>
      </w:r>
      <w:r>
        <w:rPr>
          <w:lang w:val="en-GB"/>
        </w:rPr>
        <w:tab/>
        <w:t>Cape Town, Makhanda Chambers</w:t>
      </w:r>
    </w:p>
    <w:p w14:paraId="55F5FA50" w14:textId="70A5AD17" w:rsidR="006254F4" w:rsidRDefault="006254F4" w:rsidP="00772E4B">
      <w:pPr>
        <w:jc w:val="both"/>
        <w:rPr>
          <w:lang w:val="en-GB"/>
        </w:rPr>
      </w:pPr>
    </w:p>
    <w:p w14:paraId="6DC33061" w14:textId="77777777" w:rsidR="00282862" w:rsidRDefault="006254F4" w:rsidP="00772E4B">
      <w:pPr>
        <w:jc w:val="both"/>
        <w:rPr>
          <w:lang w:val="en-GB"/>
        </w:rPr>
      </w:pPr>
      <w:r>
        <w:rPr>
          <w:lang w:val="en-GB"/>
        </w:rPr>
        <w:t>Instructed by:</w:t>
      </w:r>
      <w:r>
        <w:rPr>
          <w:lang w:val="en-GB"/>
        </w:rPr>
        <w:tab/>
      </w:r>
      <w:r w:rsidR="00282862">
        <w:rPr>
          <w:lang w:val="en-GB"/>
        </w:rPr>
        <w:tab/>
      </w:r>
      <w:r w:rsidR="00282862">
        <w:rPr>
          <w:lang w:val="en-GB"/>
        </w:rPr>
        <w:tab/>
      </w:r>
      <w:r w:rsidR="00282862">
        <w:rPr>
          <w:lang w:val="en-GB"/>
        </w:rPr>
        <w:tab/>
        <w:t>Yokwana Attorneys</w:t>
      </w:r>
    </w:p>
    <w:p w14:paraId="186E4328" w14:textId="77777777" w:rsidR="00282862" w:rsidRDefault="00282862" w:rsidP="00772E4B">
      <w:pPr>
        <w:jc w:val="both"/>
        <w:rPr>
          <w:lang w:val="en-GB"/>
        </w:rPr>
      </w:pPr>
      <w:r>
        <w:rPr>
          <w:lang w:val="en-GB"/>
        </w:rPr>
        <w:tab/>
      </w:r>
      <w:r>
        <w:rPr>
          <w:lang w:val="en-GB"/>
        </w:rPr>
        <w:tab/>
      </w:r>
      <w:r>
        <w:rPr>
          <w:lang w:val="en-GB"/>
        </w:rPr>
        <w:tab/>
      </w:r>
      <w:r>
        <w:rPr>
          <w:lang w:val="en-GB"/>
        </w:rPr>
        <w:tab/>
      </w:r>
      <w:r>
        <w:rPr>
          <w:lang w:val="en-GB"/>
        </w:rPr>
        <w:tab/>
      </w:r>
      <w:r>
        <w:rPr>
          <w:lang w:val="en-GB"/>
        </w:rPr>
        <w:tab/>
        <w:t>Applicant’s Attorneys</w:t>
      </w:r>
    </w:p>
    <w:p w14:paraId="5EE20C3A" w14:textId="77777777" w:rsidR="00282862" w:rsidRDefault="00282862" w:rsidP="00772E4B">
      <w:pPr>
        <w:jc w:val="both"/>
        <w:rPr>
          <w:lang w:val="en-GB"/>
        </w:rPr>
      </w:pPr>
      <w:r>
        <w:rPr>
          <w:lang w:val="en-GB"/>
        </w:rPr>
        <w:tab/>
      </w:r>
      <w:r>
        <w:rPr>
          <w:lang w:val="en-GB"/>
        </w:rPr>
        <w:tab/>
      </w:r>
      <w:r>
        <w:rPr>
          <w:lang w:val="en-GB"/>
        </w:rPr>
        <w:tab/>
      </w:r>
      <w:r>
        <w:rPr>
          <w:lang w:val="en-GB"/>
        </w:rPr>
        <w:tab/>
      </w:r>
      <w:r>
        <w:rPr>
          <w:lang w:val="en-GB"/>
        </w:rPr>
        <w:tab/>
      </w:r>
      <w:r>
        <w:rPr>
          <w:lang w:val="en-GB"/>
        </w:rPr>
        <w:tab/>
        <w:t>10 New Street</w:t>
      </w:r>
    </w:p>
    <w:p w14:paraId="0DC27A3E" w14:textId="77777777" w:rsidR="00282862" w:rsidRDefault="00282862" w:rsidP="00772E4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 Makhanda</w:t>
      </w:r>
    </w:p>
    <w:p w14:paraId="2014D32E" w14:textId="59F63FB6" w:rsidR="00923B36" w:rsidRDefault="00282862" w:rsidP="00772E4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 Email:yokwanaattorneys@telkomsa.net</w:t>
      </w:r>
      <w:r w:rsidR="006254F4">
        <w:rPr>
          <w:lang w:val="en-GB"/>
        </w:rPr>
        <w:tab/>
      </w:r>
      <w:r w:rsidR="006254F4">
        <w:rPr>
          <w:lang w:val="en-GB"/>
        </w:rPr>
        <w:tab/>
      </w:r>
      <w:r w:rsidR="006254F4">
        <w:rPr>
          <w:lang w:val="en-GB"/>
        </w:rPr>
        <w:tab/>
      </w:r>
    </w:p>
    <w:p w14:paraId="428CD6A6" w14:textId="77777777" w:rsidR="006254F4" w:rsidRDefault="00C33845" w:rsidP="00772E4B">
      <w:pPr>
        <w:jc w:val="both"/>
        <w:rPr>
          <w:lang w:val="en-GB"/>
        </w:rPr>
      </w:pPr>
      <w:r>
        <w:rPr>
          <w:lang w:val="en-GB"/>
        </w:rPr>
        <w:t xml:space="preserve">For </w:t>
      </w:r>
      <w:r w:rsidR="006254F4">
        <w:rPr>
          <w:lang w:val="en-GB"/>
        </w:rPr>
        <w:t>the 6</w:t>
      </w:r>
      <w:r w:rsidR="006254F4" w:rsidRPr="006254F4">
        <w:rPr>
          <w:vertAlign w:val="superscript"/>
          <w:lang w:val="en-GB"/>
        </w:rPr>
        <w:t>th</w:t>
      </w:r>
      <w:r w:rsidR="006254F4">
        <w:rPr>
          <w:lang w:val="en-GB"/>
        </w:rPr>
        <w:t xml:space="preserve"> &amp; 7</w:t>
      </w:r>
      <w:r w:rsidR="006254F4" w:rsidRPr="006254F4">
        <w:rPr>
          <w:vertAlign w:val="superscript"/>
          <w:lang w:val="en-GB"/>
        </w:rPr>
        <w:t>th</w:t>
      </w:r>
      <w:r w:rsidR="006254F4">
        <w:rPr>
          <w:lang w:val="en-GB"/>
        </w:rPr>
        <w:t xml:space="preserve"> Respondents:</w:t>
      </w:r>
      <w:r w:rsidR="006254F4">
        <w:rPr>
          <w:lang w:val="en-GB"/>
        </w:rPr>
        <w:tab/>
      </w:r>
      <w:r w:rsidR="006254F4">
        <w:rPr>
          <w:lang w:val="en-GB"/>
        </w:rPr>
        <w:tab/>
        <w:t>Adv L Crouse</w:t>
      </w:r>
    </w:p>
    <w:p w14:paraId="4E3BB03D" w14:textId="2D97175A" w:rsidR="00282862" w:rsidRDefault="006254F4" w:rsidP="00772E4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Club </w:t>
      </w:r>
      <w:r w:rsidR="00282862">
        <w:rPr>
          <w:lang w:val="en-GB"/>
        </w:rPr>
        <w:t>Chambers, Gqeberha</w:t>
      </w:r>
    </w:p>
    <w:p w14:paraId="1867A147" w14:textId="46057459" w:rsidR="00282862" w:rsidRDefault="00282862" w:rsidP="00772E4B">
      <w:pPr>
        <w:jc w:val="both"/>
        <w:rPr>
          <w:lang w:val="en-GB"/>
        </w:rPr>
      </w:pPr>
    </w:p>
    <w:p w14:paraId="57B5BF2B" w14:textId="77777777" w:rsidR="00282862" w:rsidRDefault="00282862" w:rsidP="00772E4B">
      <w:pPr>
        <w:jc w:val="both"/>
        <w:rPr>
          <w:lang w:val="en-GB"/>
        </w:rPr>
      </w:pPr>
      <w:r>
        <w:rPr>
          <w:lang w:val="en-GB"/>
        </w:rPr>
        <w:t>Instructed by:</w:t>
      </w:r>
      <w:r>
        <w:rPr>
          <w:lang w:val="en-GB"/>
        </w:rPr>
        <w:tab/>
      </w:r>
      <w:r>
        <w:rPr>
          <w:lang w:val="en-GB"/>
        </w:rPr>
        <w:tab/>
      </w:r>
      <w:r>
        <w:rPr>
          <w:lang w:val="en-GB"/>
        </w:rPr>
        <w:tab/>
      </w:r>
      <w:r>
        <w:rPr>
          <w:lang w:val="en-GB"/>
        </w:rPr>
        <w:tab/>
        <w:t>Luxolo Peko Attorneys</w:t>
      </w:r>
    </w:p>
    <w:p w14:paraId="142D71F1" w14:textId="77777777" w:rsidR="00282862" w:rsidRDefault="00282862" w:rsidP="00772E4B">
      <w:pPr>
        <w:jc w:val="both"/>
        <w:rPr>
          <w:lang w:val="en-GB"/>
        </w:rPr>
      </w:pPr>
      <w:r>
        <w:rPr>
          <w:lang w:val="en-GB"/>
        </w:rPr>
        <w:tab/>
      </w:r>
      <w:r>
        <w:rPr>
          <w:lang w:val="en-GB"/>
        </w:rPr>
        <w:tab/>
      </w:r>
      <w:r>
        <w:rPr>
          <w:lang w:val="en-GB"/>
        </w:rPr>
        <w:tab/>
      </w:r>
      <w:r>
        <w:rPr>
          <w:lang w:val="en-GB"/>
        </w:rPr>
        <w:tab/>
      </w:r>
      <w:r>
        <w:rPr>
          <w:lang w:val="en-GB"/>
        </w:rPr>
        <w:tab/>
      </w:r>
      <w:r>
        <w:rPr>
          <w:lang w:val="en-GB"/>
        </w:rPr>
        <w:tab/>
        <w:t>Respondent’s Attorneys</w:t>
      </w:r>
    </w:p>
    <w:p w14:paraId="44AF938C" w14:textId="77777777" w:rsidR="00282862" w:rsidRDefault="00282862" w:rsidP="00772E4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09 Fuller Street </w:t>
      </w:r>
    </w:p>
    <w:p w14:paraId="66F5E4B7" w14:textId="77777777" w:rsidR="00282862" w:rsidRDefault="00282862" w:rsidP="00772E4B">
      <w:pPr>
        <w:jc w:val="both"/>
        <w:rPr>
          <w:lang w:val="en-GB"/>
        </w:rPr>
      </w:pPr>
      <w:r>
        <w:rPr>
          <w:lang w:val="en-GB"/>
        </w:rPr>
        <w:tab/>
      </w:r>
      <w:r>
        <w:rPr>
          <w:lang w:val="en-GB"/>
        </w:rPr>
        <w:tab/>
      </w:r>
      <w:r>
        <w:rPr>
          <w:lang w:val="en-GB"/>
        </w:rPr>
        <w:tab/>
      </w:r>
      <w:r>
        <w:rPr>
          <w:lang w:val="en-GB"/>
        </w:rPr>
        <w:tab/>
      </w:r>
      <w:r>
        <w:rPr>
          <w:lang w:val="en-GB"/>
        </w:rPr>
        <w:tab/>
      </w:r>
      <w:r>
        <w:rPr>
          <w:lang w:val="en-GB"/>
        </w:rPr>
        <w:tab/>
        <w:t>Butterworth</w:t>
      </w:r>
    </w:p>
    <w:p w14:paraId="5A4D56DE" w14:textId="7CA4CCE1" w:rsidR="00282862" w:rsidRDefault="00282862"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Email: luxpeko@gmail.com</w:t>
      </w:r>
      <w:r>
        <w:rPr>
          <w:lang w:val="en-GB"/>
        </w:rPr>
        <w:tab/>
      </w:r>
    </w:p>
    <w:p w14:paraId="6A403F65" w14:textId="77777777" w:rsidR="00282862" w:rsidRDefault="00282862" w:rsidP="00772E4B">
      <w:pPr>
        <w:jc w:val="both"/>
        <w:rPr>
          <w:lang w:val="en-GB"/>
        </w:rPr>
      </w:pPr>
    </w:p>
    <w:p w14:paraId="6190544B" w14:textId="7D2AB3CA" w:rsidR="00C33845" w:rsidRPr="00044B50" w:rsidRDefault="00C33845" w:rsidP="00772E4B">
      <w:pPr>
        <w:jc w:val="both"/>
        <w:rPr>
          <w:lang w:val="en-GB"/>
        </w:rPr>
      </w:pPr>
      <w:r>
        <w:rPr>
          <w:lang w:val="en-GB"/>
        </w:rPr>
        <w:tab/>
      </w:r>
      <w:r>
        <w:rPr>
          <w:lang w:val="en-GB"/>
        </w:rPr>
        <w:tab/>
      </w:r>
      <w:r>
        <w:rPr>
          <w:lang w:val="en-GB"/>
        </w:rPr>
        <w:tab/>
      </w:r>
      <w:r>
        <w:rPr>
          <w:lang w:val="en-GB"/>
        </w:rPr>
        <w:tab/>
      </w:r>
      <w:r>
        <w:rPr>
          <w:lang w:val="en-GB"/>
        </w:rPr>
        <w:tab/>
      </w:r>
    </w:p>
    <w:p w14:paraId="412BB833" w14:textId="77777777" w:rsidR="007C247A" w:rsidRPr="00044B50" w:rsidRDefault="007C247A" w:rsidP="00772E4B">
      <w:pPr>
        <w:jc w:val="both"/>
        <w:rPr>
          <w:lang w:val="en-GB"/>
        </w:rPr>
      </w:pPr>
    </w:p>
    <w:p w14:paraId="23C9F21C" w14:textId="01B1003E" w:rsidR="007C247A" w:rsidRPr="00044B50" w:rsidRDefault="007C247A" w:rsidP="00772E4B">
      <w:pPr>
        <w:tabs>
          <w:tab w:val="left" w:pos="3261"/>
          <w:tab w:val="left" w:pos="3544"/>
        </w:tabs>
        <w:jc w:val="both"/>
        <w:rPr>
          <w:lang w:val="en-GB"/>
        </w:rPr>
      </w:pPr>
      <w:r w:rsidRPr="00044B50">
        <w:rPr>
          <w:lang w:val="en-GB"/>
        </w:rPr>
        <w:t xml:space="preserve">                      </w:t>
      </w:r>
    </w:p>
    <w:p w14:paraId="2C48F6E2" w14:textId="35A0B721" w:rsidR="00AA32DA" w:rsidRPr="00044B50" w:rsidRDefault="00AA32DA" w:rsidP="00772E4B">
      <w:pPr>
        <w:tabs>
          <w:tab w:val="left" w:pos="3119"/>
          <w:tab w:val="center" w:pos="3989"/>
        </w:tabs>
        <w:rPr>
          <w:lang w:val="en-GB"/>
        </w:rPr>
      </w:pPr>
      <w:r w:rsidRPr="00044B50">
        <w:rPr>
          <w:lang w:val="en-GB"/>
        </w:rPr>
        <w:t xml:space="preserve">                                                </w:t>
      </w:r>
    </w:p>
    <w:p w14:paraId="631AD31F" w14:textId="77590EF9" w:rsidR="008677E3" w:rsidRPr="00044B50" w:rsidRDefault="008677E3" w:rsidP="00772E4B">
      <w:pPr>
        <w:autoSpaceDE w:val="0"/>
        <w:autoSpaceDN w:val="0"/>
        <w:adjustRightInd w:val="0"/>
        <w:jc w:val="both"/>
        <w:rPr>
          <w:lang w:val="en-GB"/>
        </w:rPr>
      </w:pPr>
    </w:p>
    <w:sectPr w:rsidR="008677E3"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DA88F" w14:textId="77777777" w:rsidR="00CC35C1" w:rsidRDefault="00CC35C1" w:rsidP="00005691">
      <w:r>
        <w:separator/>
      </w:r>
    </w:p>
  </w:endnote>
  <w:endnote w:type="continuationSeparator" w:id="0">
    <w:p w14:paraId="14E51E08" w14:textId="77777777" w:rsidR="00CC35C1" w:rsidRDefault="00CC35C1"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99C31" w14:textId="77777777" w:rsidR="00CC35C1" w:rsidRDefault="00CC35C1" w:rsidP="00005691">
      <w:r>
        <w:separator/>
      </w:r>
    </w:p>
  </w:footnote>
  <w:footnote w:type="continuationSeparator" w:id="0">
    <w:p w14:paraId="5FAA7441" w14:textId="77777777" w:rsidR="00CC35C1" w:rsidRDefault="00CC35C1" w:rsidP="00005691">
      <w:r>
        <w:continuationSeparator/>
      </w:r>
    </w:p>
  </w:footnote>
  <w:footnote w:id="1">
    <w:p w14:paraId="70C5425A" w14:textId="2434C2D5" w:rsidR="007F2200" w:rsidRPr="00D66B09" w:rsidRDefault="007F2200"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Act 3 of 2000.</w:t>
      </w:r>
    </w:p>
  </w:footnote>
  <w:footnote w:id="2">
    <w:p w14:paraId="00B64ABF" w14:textId="02A26B23" w:rsidR="00FB2641" w:rsidRPr="00D66B09" w:rsidRDefault="00FB2641"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 xml:space="preserve">The applicant initially sought to also review the recognition of her mother as Headwoman during 2008, but abandoned this relief </w:t>
      </w:r>
      <w:r w:rsidR="00562B09" w:rsidRPr="00D66B09">
        <w:rPr>
          <w:lang w:val="en-US"/>
        </w:rPr>
        <w:t>prior to the commencement of argument in the matter</w:t>
      </w:r>
      <w:r w:rsidRPr="00D66B09">
        <w:rPr>
          <w:lang w:val="en-US"/>
        </w:rPr>
        <w:t>.</w:t>
      </w:r>
      <w:r w:rsidR="00562B09" w:rsidRPr="00D66B09">
        <w:rPr>
          <w:lang w:val="en-US"/>
        </w:rPr>
        <w:t xml:space="preserve"> </w:t>
      </w:r>
    </w:p>
  </w:footnote>
  <w:footnote w:id="3">
    <w:p w14:paraId="52806D0D" w14:textId="32146F0C" w:rsidR="00E1185D" w:rsidRPr="00D66B09" w:rsidRDefault="00E1185D"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Act 41 of 2003.</w:t>
      </w:r>
    </w:p>
  </w:footnote>
  <w:footnote w:id="4">
    <w:p w14:paraId="36A1567F" w14:textId="622E5A8D" w:rsidR="00374C3C" w:rsidRPr="00D66B09" w:rsidRDefault="00374C3C"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Act 4 of 2005.</w:t>
      </w:r>
    </w:p>
  </w:footnote>
  <w:footnote w:id="5">
    <w:p w14:paraId="6EEC96AC" w14:textId="7FFD3C89" w:rsidR="00D70532" w:rsidRPr="00D66B09" w:rsidRDefault="00D70532"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 xml:space="preserve">See </w:t>
      </w:r>
      <w:r w:rsidRPr="00D66B09">
        <w:rPr>
          <w:i/>
          <w:iCs/>
          <w:lang w:val="en-US"/>
        </w:rPr>
        <w:t>Khumalo and Another v Member of the Executive Council for Education: KwaZulu-Natal</w:t>
      </w:r>
      <w:r w:rsidRPr="00D66B09">
        <w:rPr>
          <w:lang w:val="en-US"/>
        </w:rPr>
        <w:t xml:space="preserve"> 2014 (3) BCLR 333 (CC) </w:t>
      </w:r>
      <w:r w:rsidR="00CD4D96" w:rsidRPr="00D66B09">
        <w:rPr>
          <w:lang w:val="en-US"/>
        </w:rPr>
        <w:t>(</w:t>
      </w:r>
      <w:r w:rsidR="00CD4D96" w:rsidRPr="00D66B09">
        <w:rPr>
          <w:i/>
          <w:iCs/>
          <w:lang w:val="en-US"/>
        </w:rPr>
        <w:t>Khumalo</w:t>
      </w:r>
      <w:r w:rsidR="00CD4D96" w:rsidRPr="00D66B09">
        <w:rPr>
          <w:lang w:val="en-US"/>
        </w:rPr>
        <w:t>)</w:t>
      </w:r>
      <w:r w:rsidR="00CD4D96" w:rsidRPr="00D66B09">
        <w:rPr>
          <w:i/>
          <w:iCs/>
          <w:lang w:val="en-US"/>
        </w:rPr>
        <w:t xml:space="preserve"> </w:t>
      </w:r>
      <w:r w:rsidRPr="00D66B09">
        <w:rPr>
          <w:lang w:val="en-US"/>
        </w:rPr>
        <w:t xml:space="preserve">para 49, as confirmed in </w:t>
      </w:r>
      <w:r w:rsidRPr="00D66B09">
        <w:rPr>
          <w:i/>
          <w:iCs/>
          <w:lang w:val="en-US"/>
        </w:rPr>
        <w:t xml:space="preserve">Buffalo City Metropolitan Municipality v Asla Construction (Pty) Ltd </w:t>
      </w:r>
      <w:r w:rsidRPr="00D66B09">
        <w:rPr>
          <w:lang w:val="en-US"/>
        </w:rPr>
        <w:t>2019 (6) BCLR 661 (CC) (</w:t>
      </w:r>
      <w:r w:rsidRPr="00D66B09">
        <w:rPr>
          <w:i/>
          <w:iCs/>
          <w:lang w:val="en-US"/>
        </w:rPr>
        <w:t>Asla</w:t>
      </w:r>
      <w:r w:rsidRPr="00D66B09">
        <w:rPr>
          <w:lang w:val="en-US"/>
        </w:rPr>
        <w:t>).</w:t>
      </w:r>
    </w:p>
  </w:footnote>
  <w:footnote w:id="6">
    <w:p w14:paraId="49A26970" w14:textId="43918722" w:rsidR="00280CB3" w:rsidRPr="00D66B09" w:rsidRDefault="00280CB3"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S 9 of PAJA.</w:t>
      </w:r>
    </w:p>
  </w:footnote>
  <w:footnote w:id="7">
    <w:p w14:paraId="40DB8ED6" w14:textId="25DEDCD0" w:rsidR="00156728" w:rsidRPr="00A24DF2" w:rsidRDefault="00156728" w:rsidP="009400C9">
      <w:pPr>
        <w:pStyle w:val="FootnoteText"/>
        <w:spacing w:line="240" w:lineRule="auto"/>
        <w:jc w:val="both"/>
        <w:rPr>
          <w:lang w:val="en-US"/>
        </w:rPr>
      </w:pPr>
      <w:r w:rsidRPr="00D66B09">
        <w:rPr>
          <w:rStyle w:val="FootnoteReference"/>
        </w:rPr>
        <w:footnoteRef/>
      </w:r>
      <w:r w:rsidRPr="00D66B09">
        <w:t xml:space="preserve"> </w:t>
      </w:r>
      <w:r w:rsidR="00E3228B" w:rsidRPr="00D66B09">
        <w:rPr>
          <w:lang w:val="en-US"/>
        </w:rPr>
        <w:t>S 7(1)</w:t>
      </w:r>
      <w:r w:rsidR="00E3228B" w:rsidRPr="00D66B09">
        <w:rPr>
          <w:i/>
          <w:iCs/>
          <w:lang w:val="en-US"/>
        </w:rPr>
        <w:t>(b)</w:t>
      </w:r>
      <w:r w:rsidR="00E3228B" w:rsidRPr="00D66B09">
        <w:rPr>
          <w:lang w:val="en-US"/>
        </w:rPr>
        <w:t xml:space="preserve"> of PAJA</w:t>
      </w:r>
      <w:r w:rsidRPr="00D66B09">
        <w:rPr>
          <w:lang w:val="en-US"/>
        </w:rPr>
        <w:t>.</w:t>
      </w:r>
      <w:r w:rsidR="00A24DF2">
        <w:rPr>
          <w:lang w:val="en-US"/>
        </w:rPr>
        <w:t xml:space="preserve"> See, in general, </w:t>
      </w:r>
      <w:r w:rsidR="00A24DF2">
        <w:rPr>
          <w:i/>
          <w:iCs/>
          <w:lang w:val="en-US"/>
        </w:rPr>
        <w:t>Reed and Others v Master of the High Court of SA and Others</w:t>
      </w:r>
      <w:r w:rsidR="00A24DF2">
        <w:rPr>
          <w:lang w:val="en-US"/>
        </w:rPr>
        <w:t xml:space="preserve"> [2005] 2 All SA 429 (E) paras 20-25.</w:t>
      </w:r>
    </w:p>
  </w:footnote>
  <w:footnote w:id="8">
    <w:p w14:paraId="75819BAA" w14:textId="3259392F" w:rsidR="00C43645" w:rsidRPr="00D66B09" w:rsidRDefault="00C43645" w:rsidP="009400C9">
      <w:pPr>
        <w:pStyle w:val="FootnoteText"/>
        <w:spacing w:line="240" w:lineRule="auto"/>
        <w:jc w:val="both"/>
        <w:rPr>
          <w:lang w:val="en-US"/>
        </w:rPr>
      </w:pPr>
      <w:r w:rsidRPr="00D66B09">
        <w:rPr>
          <w:rStyle w:val="FootnoteReference"/>
        </w:rPr>
        <w:footnoteRef/>
      </w:r>
      <w:r w:rsidRPr="00D66B09">
        <w:t xml:space="preserve"> </w:t>
      </w:r>
      <w:r w:rsidRPr="00D66B09">
        <w:rPr>
          <w:i/>
          <w:iCs/>
          <w:lang w:val="en-US"/>
        </w:rPr>
        <w:t>Tshivhulana Royal Family v Netshivhulana</w:t>
      </w:r>
      <w:r w:rsidRPr="00D66B09">
        <w:rPr>
          <w:lang w:val="en-US"/>
        </w:rPr>
        <w:t xml:space="preserve"> [2016] ZACC 47</w:t>
      </w:r>
      <w:r w:rsidR="000515CC" w:rsidRPr="00D66B09">
        <w:rPr>
          <w:lang w:val="en-US"/>
        </w:rPr>
        <w:t xml:space="preserve"> (</w:t>
      </w:r>
      <w:r w:rsidR="000515CC" w:rsidRPr="00D66B09">
        <w:rPr>
          <w:i/>
          <w:iCs/>
          <w:lang w:val="en-US"/>
        </w:rPr>
        <w:t>Tshivhulana</w:t>
      </w:r>
      <w:r w:rsidR="000515CC" w:rsidRPr="00D66B09">
        <w:rPr>
          <w:lang w:val="en-US"/>
        </w:rPr>
        <w:t>)</w:t>
      </w:r>
      <w:r w:rsidRPr="00D66B09">
        <w:rPr>
          <w:lang w:val="en-US"/>
        </w:rPr>
        <w:t>.</w:t>
      </w:r>
    </w:p>
  </w:footnote>
  <w:footnote w:id="9">
    <w:p w14:paraId="336BC82A" w14:textId="3AAD1271" w:rsidR="00EA207C" w:rsidRPr="00D66B09" w:rsidRDefault="00EA207C" w:rsidP="009400C9">
      <w:pPr>
        <w:pStyle w:val="FootnoteText"/>
        <w:spacing w:line="240" w:lineRule="auto"/>
        <w:jc w:val="both"/>
        <w:rPr>
          <w:lang w:val="en-US"/>
        </w:rPr>
      </w:pPr>
      <w:r w:rsidRPr="00D66B09">
        <w:rPr>
          <w:rStyle w:val="FootnoteReference"/>
        </w:rPr>
        <w:footnoteRef/>
      </w:r>
      <w:r w:rsidRPr="00D66B09">
        <w:t xml:space="preserve"> </w:t>
      </w:r>
      <w:r w:rsidR="000515CC" w:rsidRPr="00D66B09">
        <w:t xml:space="preserve">Ibid </w:t>
      </w:r>
      <w:r w:rsidR="000515CC" w:rsidRPr="00D66B09">
        <w:rPr>
          <w:lang w:val="en-US"/>
        </w:rPr>
        <w:t>p</w:t>
      </w:r>
      <w:r w:rsidRPr="00D66B09">
        <w:rPr>
          <w:lang w:val="en-US"/>
        </w:rPr>
        <w:t>ara 32.</w:t>
      </w:r>
    </w:p>
  </w:footnote>
  <w:footnote w:id="10">
    <w:p w14:paraId="6C96F56C" w14:textId="2AC027D9" w:rsidR="00BE75AD" w:rsidRPr="00D66B09" w:rsidRDefault="00BE75AD" w:rsidP="009400C9">
      <w:pPr>
        <w:pStyle w:val="FootnoteText"/>
        <w:spacing w:line="240" w:lineRule="auto"/>
        <w:jc w:val="both"/>
        <w:rPr>
          <w:lang w:val="en-US"/>
        </w:rPr>
      </w:pPr>
      <w:r w:rsidRPr="00D66B09">
        <w:rPr>
          <w:rStyle w:val="FootnoteReference"/>
        </w:rPr>
        <w:footnoteRef/>
      </w:r>
      <w:r w:rsidRPr="00D66B09">
        <w:t xml:space="preserve"> </w:t>
      </w:r>
      <w:r w:rsidR="0013267C" w:rsidRPr="00D66B09">
        <w:rPr>
          <w:lang w:val="en-US"/>
        </w:rPr>
        <w:t>Ibid paras</w:t>
      </w:r>
      <w:r w:rsidRPr="00D66B09">
        <w:rPr>
          <w:lang w:val="en-US"/>
        </w:rPr>
        <w:t xml:space="preserve"> 3</w:t>
      </w:r>
      <w:r w:rsidR="00CF5BAE" w:rsidRPr="00D66B09">
        <w:rPr>
          <w:lang w:val="en-US"/>
        </w:rPr>
        <w:t>5</w:t>
      </w:r>
      <w:r w:rsidRPr="00D66B09">
        <w:rPr>
          <w:lang w:val="en-US"/>
        </w:rPr>
        <w:t>, 37</w:t>
      </w:r>
      <w:r w:rsidR="000361DC" w:rsidRPr="00D66B09">
        <w:rPr>
          <w:lang w:val="en-US"/>
        </w:rPr>
        <w:t>, 38</w:t>
      </w:r>
      <w:r w:rsidR="00465385" w:rsidRPr="00D66B09">
        <w:rPr>
          <w:lang w:val="en-US"/>
        </w:rPr>
        <w:t>, 40</w:t>
      </w:r>
      <w:r w:rsidR="00262A08" w:rsidRPr="00D66B09">
        <w:rPr>
          <w:lang w:val="en-US"/>
        </w:rPr>
        <w:t>, 43.</w:t>
      </w:r>
      <w:r w:rsidR="00E86313" w:rsidRPr="00D66B09">
        <w:rPr>
          <w:lang w:val="en-US"/>
        </w:rPr>
        <w:t xml:space="preserve"> </w:t>
      </w:r>
    </w:p>
  </w:footnote>
  <w:footnote w:id="11">
    <w:p w14:paraId="745A2654" w14:textId="6F5DC01C" w:rsidR="0084258D" w:rsidRPr="00D66B09" w:rsidRDefault="0084258D" w:rsidP="009400C9">
      <w:pPr>
        <w:pStyle w:val="FootnoteText"/>
        <w:spacing w:line="240" w:lineRule="auto"/>
        <w:jc w:val="both"/>
        <w:rPr>
          <w:lang w:val="en-US"/>
        </w:rPr>
      </w:pPr>
      <w:r w:rsidRPr="00D66B09">
        <w:rPr>
          <w:rStyle w:val="FootnoteReference"/>
        </w:rPr>
        <w:footnoteRef/>
      </w:r>
      <w:r w:rsidRPr="00D66B09">
        <w:t xml:space="preserve"> </w:t>
      </w:r>
      <w:r w:rsidRPr="00D66B09">
        <w:rPr>
          <w:i/>
          <w:iCs/>
          <w:lang w:val="en-US"/>
        </w:rPr>
        <w:t xml:space="preserve">Mamogale v Premier, North West </w:t>
      </w:r>
      <w:r w:rsidRPr="00D66B09">
        <w:rPr>
          <w:lang w:val="en-US"/>
        </w:rPr>
        <w:t>[2006] ZANWHC 63 paras</w:t>
      </w:r>
      <w:r w:rsidR="00A6401B" w:rsidRPr="00D66B09">
        <w:rPr>
          <w:lang w:val="en-US"/>
        </w:rPr>
        <w:t xml:space="preserve"> </w:t>
      </w:r>
      <w:r w:rsidRPr="00D66B09">
        <w:rPr>
          <w:lang w:val="en-US"/>
        </w:rPr>
        <w:t>19-20.</w:t>
      </w:r>
    </w:p>
  </w:footnote>
  <w:footnote w:id="12">
    <w:p w14:paraId="0181EC7B" w14:textId="15DF87CE" w:rsidR="00B77FAF" w:rsidRPr="00D66B09" w:rsidRDefault="00B77FAF" w:rsidP="009400C9">
      <w:pPr>
        <w:pStyle w:val="FootnoteText"/>
        <w:spacing w:line="240" w:lineRule="auto"/>
        <w:jc w:val="both"/>
        <w:rPr>
          <w:lang w:val="en-US"/>
        </w:rPr>
      </w:pPr>
      <w:r w:rsidRPr="00D66B09">
        <w:rPr>
          <w:rStyle w:val="FootnoteReference"/>
        </w:rPr>
        <w:footnoteRef/>
      </w:r>
      <w:r w:rsidRPr="00D66B09">
        <w:t xml:space="preserve"> </w:t>
      </w:r>
      <w:r w:rsidR="00AA7F46">
        <w:t>S</w:t>
      </w:r>
      <w:r w:rsidR="0060484C">
        <w:t xml:space="preserve">ee </w:t>
      </w:r>
      <w:r w:rsidR="0060484C">
        <w:rPr>
          <w:i/>
          <w:iCs/>
        </w:rPr>
        <w:t xml:space="preserve">Premier of the Eastern Cape and Others v Ntamo and </w:t>
      </w:r>
      <w:r w:rsidR="0060484C" w:rsidRPr="0060484C">
        <w:rPr>
          <w:i/>
          <w:iCs/>
        </w:rPr>
        <w:t>Others</w:t>
      </w:r>
      <w:r w:rsidR="0060484C">
        <w:t xml:space="preserve"> </w:t>
      </w:r>
      <w:r w:rsidR="0060484C">
        <w:rPr>
          <w:lang w:val="en-US"/>
        </w:rPr>
        <w:t xml:space="preserve">[2015] ZAECBHC 14; 2015 (6) SA 400 (ECB) para 65. </w:t>
      </w:r>
      <w:r w:rsidR="00AA7F46">
        <w:rPr>
          <w:lang w:val="en-US"/>
        </w:rPr>
        <w:t xml:space="preserve">Also see </w:t>
      </w:r>
      <w:r w:rsidR="00AA7F46">
        <w:rPr>
          <w:i/>
          <w:iCs/>
          <w:lang w:val="en-US"/>
        </w:rPr>
        <w:t xml:space="preserve">Members of the Murangoni Royal Family and Another v Tshivhase Traditional Council and Others </w:t>
      </w:r>
      <w:r w:rsidR="00AA7F46">
        <w:rPr>
          <w:lang w:val="en-US"/>
        </w:rPr>
        <w:t xml:space="preserve">[2021] ZALMPTHC 7 paras 9-11. </w:t>
      </w:r>
      <w:r w:rsidR="00CB4260">
        <w:rPr>
          <w:lang w:val="en-US"/>
        </w:rPr>
        <w:t xml:space="preserve">Cf </w:t>
      </w:r>
      <w:r w:rsidR="00CB4260">
        <w:rPr>
          <w:i/>
          <w:iCs/>
          <w:lang w:val="en-US"/>
        </w:rPr>
        <w:t>Kobe and Others v Lebogo and Others</w:t>
      </w:r>
      <w:r w:rsidR="00CB4260">
        <w:rPr>
          <w:lang w:val="en-US"/>
        </w:rPr>
        <w:t xml:space="preserve"> [2021] ZALMPPHC 31.</w:t>
      </w:r>
      <w:r w:rsidR="00CB4260">
        <w:rPr>
          <w:i/>
          <w:iCs/>
          <w:lang w:val="en-US"/>
        </w:rPr>
        <w:t xml:space="preserve"> </w:t>
      </w:r>
      <w:r w:rsidRPr="0060484C">
        <w:rPr>
          <w:lang w:val="en-US"/>
        </w:rPr>
        <w:t>For</w:t>
      </w:r>
      <w:r w:rsidRPr="00D66B09">
        <w:rPr>
          <w:lang w:val="en-US"/>
        </w:rPr>
        <w:t xml:space="preserve"> reasons that will become apparent, the position would, in the circumstances of this matter, be the same even if the appeal to the Provincial House had constituted an internal appeal in terms of PAJA.</w:t>
      </w:r>
    </w:p>
  </w:footnote>
  <w:footnote w:id="13">
    <w:p w14:paraId="790C54A6" w14:textId="77777777" w:rsidR="007236CF" w:rsidRPr="00D66B09" w:rsidRDefault="007236CF" w:rsidP="009400C9">
      <w:pPr>
        <w:pStyle w:val="FootnoteText"/>
        <w:spacing w:line="240" w:lineRule="auto"/>
        <w:jc w:val="both"/>
        <w:rPr>
          <w:lang w:val="en-US"/>
        </w:rPr>
      </w:pPr>
      <w:r w:rsidRPr="00D66B09">
        <w:rPr>
          <w:rStyle w:val="FootnoteReference"/>
        </w:rPr>
        <w:footnoteRef/>
      </w:r>
      <w:r w:rsidRPr="00D66B09">
        <w:t xml:space="preserve"> </w:t>
      </w:r>
      <w:r w:rsidRPr="00D66B09">
        <w:rPr>
          <w:i/>
          <w:iCs/>
          <w:lang w:val="en-US"/>
        </w:rPr>
        <w:t>City of Cape Town v Aurecon South Africa (Pty) Ltd</w:t>
      </w:r>
      <w:r w:rsidRPr="00D66B09">
        <w:rPr>
          <w:lang w:val="en-US"/>
        </w:rPr>
        <w:t xml:space="preserve"> [2017] ZACC 5; 2017 (4) SA 223 (CC) (</w:t>
      </w:r>
      <w:r w:rsidRPr="00D66B09">
        <w:rPr>
          <w:i/>
          <w:iCs/>
          <w:lang w:val="en-US"/>
        </w:rPr>
        <w:t>Aurecon</w:t>
      </w:r>
      <w:r w:rsidRPr="00D66B09">
        <w:rPr>
          <w:lang w:val="en-US"/>
        </w:rPr>
        <w:t>)</w:t>
      </w:r>
      <w:r w:rsidRPr="00D66B09">
        <w:rPr>
          <w:i/>
          <w:iCs/>
          <w:lang w:val="en-US"/>
        </w:rPr>
        <w:t xml:space="preserve"> </w:t>
      </w:r>
      <w:r w:rsidRPr="00D66B09">
        <w:rPr>
          <w:lang w:val="en-US"/>
        </w:rPr>
        <w:t>para 37.</w:t>
      </w:r>
    </w:p>
  </w:footnote>
  <w:footnote w:id="14">
    <w:p w14:paraId="7CF6DF32" w14:textId="77777777" w:rsidR="00C56649" w:rsidRPr="00D66B09" w:rsidRDefault="00C56649" w:rsidP="009400C9">
      <w:pPr>
        <w:pStyle w:val="FootnoteText"/>
        <w:spacing w:line="240" w:lineRule="auto"/>
        <w:jc w:val="both"/>
        <w:rPr>
          <w:lang w:val="en-US"/>
        </w:rPr>
      </w:pPr>
      <w:r w:rsidRPr="00D66B09">
        <w:rPr>
          <w:rStyle w:val="FootnoteReference"/>
        </w:rPr>
        <w:footnoteRef/>
      </w:r>
      <w:r w:rsidRPr="00D66B09">
        <w:t xml:space="preserve"> </w:t>
      </w:r>
      <w:r w:rsidRPr="00D66B09">
        <w:rPr>
          <w:i/>
          <w:iCs/>
          <w:lang w:val="en-US"/>
        </w:rPr>
        <w:t>Gqwetha v Transkei Development Corporation and Others</w:t>
      </w:r>
      <w:r w:rsidRPr="00D66B09">
        <w:rPr>
          <w:lang w:val="en-US"/>
        </w:rPr>
        <w:t xml:space="preserve"> [2006] 3 All SA 245 (SCA) paras 22 – 24.</w:t>
      </w:r>
    </w:p>
  </w:footnote>
  <w:footnote w:id="15">
    <w:p w14:paraId="69186EC5" w14:textId="5FB4560B" w:rsidR="007236CF" w:rsidRPr="00D66B09" w:rsidRDefault="007236CF" w:rsidP="009400C9">
      <w:pPr>
        <w:pStyle w:val="FootnoteText"/>
        <w:spacing w:line="240" w:lineRule="auto"/>
        <w:jc w:val="both"/>
        <w:rPr>
          <w:lang w:val="en-US"/>
        </w:rPr>
      </w:pPr>
      <w:r w:rsidRPr="00D66B09">
        <w:rPr>
          <w:rStyle w:val="FootnoteReference"/>
        </w:rPr>
        <w:footnoteRef/>
      </w:r>
      <w:r w:rsidRPr="00D66B09">
        <w:t xml:space="preserve"> </w:t>
      </w:r>
      <w:r w:rsidRPr="00D66B09">
        <w:rPr>
          <w:i/>
          <w:iCs/>
          <w:lang w:val="en-US"/>
        </w:rPr>
        <w:t>Opposition to Urban Tolling v South African National Roads Agency Ltd</w:t>
      </w:r>
      <w:r w:rsidRPr="00D66B09">
        <w:rPr>
          <w:lang w:val="en-US"/>
        </w:rPr>
        <w:t xml:space="preserve"> [2013] ZASCA 148; [2013] 4 All SA 639 (SCA) </w:t>
      </w:r>
      <w:r w:rsidR="0010221F" w:rsidRPr="00D66B09">
        <w:rPr>
          <w:lang w:val="en-US"/>
        </w:rPr>
        <w:t>(</w:t>
      </w:r>
      <w:r w:rsidR="0010221F" w:rsidRPr="00D66B09">
        <w:rPr>
          <w:i/>
          <w:iCs/>
          <w:lang w:val="en-US"/>
        </w:rPr>
        <w:t>OUTA</w:t>
      </w:r>
      <w:r w:rsidR="0010221F" w:rsidRPr="00D66B09">
        <w:rPr>
          <w:lang w:val="en-US"/>
        </w:rPr>
        <w:t>)</w:t>
      </w:r>
      <w:r w:rsidR="0010221F" w:rsidRPr="00D66B09">
        <w:rPr>
          <w:i/>
          <w:iCs/>
          <w:lang w:val="en-US"/>
        </w:rPr>
        <w:t xml:space="preserve"> </w:t>
      </w:r>
      <w:r w:rsidRPr="00D66B09">
        <w:rPr>
          <w:lang w:val="en-US"/>
        </w:rPr>
        <w:t>para 26.</w:t>
      </w:r>
    </w:p>
  </w:footnote>
  <w:footnote w:id="16">
    <w:p w14:paraId="7E9AACA0" w14:textId="5F6E1296" w:rsidR="004331EC" w:rsidRPr="00D66B09" w:rsidRDefault="004331EC" w:rsidP="009400C9">
      <w:pPr>
        <w:pStyle w:val="FootnoteText"/>
        <w:spacing w:line="240" w:lineRule="auto"/>
        <w:jc w:val="both"/>
        <w:rPr>
          <w:lang w:val="en-US"/>
        </w:rPr>
      </w:pPr>
      <w:r w:rsidRPr="00D66B09">
        <w:rPr>
          <w:rStyle w:val="FootnoteReference"/>
        </w:rPr>
        <w:footnoteRef/>
      </w:r>
      <w:r w:rsidRPr="00D66B09">
        <w:t xml:space="preserve"> </w:t>
      </w:r>
      <w:r w:rsidRPr="00D66B09">
        <w:rPr>
          <w:i/>
          <w:iCs/>
          <w:lang w:val="en-US"/>
        </w:rPr>
        <w:t xml:space="preserve">Khumalo </w:t>
      </w:r>
      <w:r w:rsidRPr="00D66B09">
        <w:rPr>
          <w:lang w:val="en-US"/>
        </w:rPr>
        <w:t>above n</w:t>
      </w:r>
      <w:r w:rsidR="00184CAB" w:rsidRPr="00D66B09">
        <w:rPr>
          <w:lang w:val="en-US"/>
        </w:rPr>
        <w:t xml:space="preserve"> 5</w:t>
      </w:r>
      <w:r w:rsidRPr="00D66B09">
        <w:rPr>
          <w:lang w:val="en-US"/>
        </w:rPr>
        <w:t xml:space="preserve"> para 49.</w:t>
      </w:r>
    </w:p>
  </w:footnote>
  <w:footnote w:id="17">
    <w:p w14:paraId="501F8963" w14:textId="1605334B" w:rsidR="007C2795" w:rsidRPr="00D66B09" w:rsidRDefault="007C2795"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 xml:space="preserve">See </w:t>
      </w:r>
      <w:r w:rsidRPr="00D66B09">
        <w:rPr>
          <w:i/>
          <w:iCs/>
          <w:lang w:val="en-US"/>
        </w:rPr>
        <w:t>Member of the Executive Council for Cooperative Governance and Traditional Affairs, KwaZulu-Natal v Nkandla Local Municipality and Others</w:t>
      </w:r>
      <w:r w:rsidRPr="00D66B09">
        <w:rPr>
          <w:lang w:val="en-US"/>
        </w:rPr>
        <w:t xml:space="preserve"> [2021] ZACC 46 para 58</w:t>
      </w:r>
      <w:r w:rsidR="00DA7F2C" w:rsidRPr="00D66B09">
        <w:rPr>
          <w:lang w:val="en-US"/>
        </w:rPr>
        <w:t xml:space="preserve">; </w:t>
      </w:r>
      <w:r w:rsidR="00DA7F2C" w:rsidRPr="00D66B09">
        <w:rPr>
          <w:i/>
          <w:iCs/>
          <w:lang w:val="en-US"/>
        </w:rPr>
        <w:t>Notyawa v Makana Municipality</w:t>
      </w:r>
      <w:r w:rsidR="00DA7F2C" w:rsidRPr="00D66B09">
        <w:rPr>
          <w:lang w:val="en-US"/>
        </w:rPr>
        <w:t xml:space="preserve"> [2019] ZACC 43</w:t>
      </w:r>
      <w:r w:rsidR="00A6401B" w:rsidRPr="00D66B09">
        <w:rPr>
          <w:lang w:val="en-US"/>
        </w:rPr>
        <w:t xml:space="preserve"> (</w:t>
      </w:r>
      <w:r w:rsidR="00A6401B" w:rsidRPr="00D66B09">
        <w:rPr>
          <w:i/>
          <w:iCs/>
          <w:lang w:val="en-US"/>
        </w:rPr>
        <w:t>Notyawa</w:t>
      </w:r>
      <w:r w:rsidR="00A6401B" w:rsidRPr="00D66B09">
        <w:rPr>
          <w:lang w:val="en-US"/>
        </w:rPr>
        <w:t>)</w:t>
      </w:r>
      <w:r w:rsidR="00DA7F2C" w:rsidRPr="00D66B09">
        <w:rPr>
          <w:lang w:val="en-US"/>
        </w:rPr>
        <w:t xml:space="preserve"> para</w:t>
      </w:r>
      <w:r w:rsidR="00AA3639" w:rsidRPr="00D66B09">
        <w:rPr>
          <w:lang w:val="en-US"/>
        </w:rPr>
        <w:t>s</w:t>
      </w:r>
      <w:r w:rsidR="00DA7F2C" w:rsidRPr="00D66B09">
        <w:rPr>
          <w:lang w:val="en-US"/>
        </w:rPr>
        <w:t xml:space="preserve"> 40-41.</w:t>
      </w:r>
    </w:p>
  </w:footnote>
  <w:footnote w:id="18">
    <w:p w14:paraId="232B0D75" w14:textId="6287E9C4" w:rsidR="00A27F57" w:rsidRPr="00D66B09" w:rsidRDefault="00A27F57"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 xml:space="preserve">See, for example, </w:t>
      </w:r>
      <w:r w:rsidRPr="00D66B09">
        <w:rPr>
          <w:i/>
          <w:iCs/>
          <w:lang w:val="en-US"/>
        </w:rPr>
        <w:t xml:space="preserve">Gongqose and Others; S v Gongqose and Others v Minister of Agriculture, Forestry and Fisheries and Others </w:t>
      </w:r>
      <w:r w:rsidRPr="00D66B09">
        <w:rPr>
          <w:lang w:val="en-US"/>
        </w:rPr>
        <w:t xml:space="preserve">[2016] ZAECMHC 1; [2016] 2 All SA 130 (ECM); 2016 (1) SACR 556 (ECM) </w:t>
      </w:r>
      <w:r w:rsidR="0071124B" w:rsidRPr="00D66B09">
        <w:rPr>
          <w:lang w:val="en-US"/>
        </w:rPr>
        <w:t>(</w:t>
      </w:r>
      <w:r w:rsidR="0071124B" w:rsidRPr="00D66B09">
        <w:rPr>
          <w:i/>
          <w:iCs/>
          <w:lang w:val="en-US"/>
        </w:rPr>
        <w:t>Gongqose</w:t>
      </w:r>
      <w:r w:rsidR="0071124B" w:rsidRPr="00D66B09">
        <w:rPr>
          <w:lang w:val="en-US"/>
        </w:rPr>
        <w:t>)</w:t>
      </w:r>
      <w:r w:rsidR="0071124B" w:rsidRPr="00D66B09">
        <w:rPr>
          <w:i/>
          <w:iCs/>
          <w:lang w:val="en-US"/>
        </w:rPr>
        <w:t xml:space="preserve"> </w:t>
      </w:r>
      <w:r w:rsidRPr="00D66B09">
        <w:rPr>
          <w:lang w:val="en-US"/>
        </w:rPr>
        <w:t>para 68.</w:t>
      </w:r>
    </w:p>
  </w:footnote>
  <w:footnote w:id="19">
    <w:p w14:paraId="48C96D30" w14:textId="4DA86097" w:rsidR="00B2424A" w:rsidRPr="00D66B09" w:rsidRDefault="00B2424A" w:rsidP="009400C9">
      <w:pPr>
        <w:pStyle w:val="FootnoteText"/>
        <w:spacing w:line="240" w:lineRule="auto"/>
        <w:jc w:val="both"/>
        <w:rPr>
          <w:lang w:val="en-US"/>
        </w:rPr>
      </w:pPr>
      <w:r w:rsidRPr="00D66B09">
        <w:rPr>
          <w:rStyle w:val="FootnoteReference"/>
        </w:rPr>
        <w:footnoteRef/>
      </w:r>
      <w:r w:rsidRPr="00D66B09">
        <w:t xml:space="preserve"> </w:t>
      </w:r>
      <w:r w:rsidRPr="00D66B09">
        <w:rPr>
          <w:i/>
          <w:iCs/>
          <w:lang w:val="en-US"/>
        </w:rPr>
        <w:t xml:space="preserve">OUTA </w:t>
      </w:r>
      <w:r w:rsidRPr="00D66B09">
        <w:rPr>
          <w:lang w:val="en-US"/>
        </w:rPr>
        <w:t xml:space="preserve">above n </w:t>
      </w:r>
      <w:r w:rsidR="00B529E1" w:rsidRPr="00D66B09">
        <w:rPr>
          <w:lang w:val="en-US"/>
        </w:rPr>
        <w:t>1</w:t>
      </w:r>
      <w:r w:rsidR="003348CF" w:rsidRPr="00D66B09">
        <w:rPr>
          <w:lang w:val="en-US"/>
        </w:rPr>
        <w:t>5</w:t>
      </w:r>
      <w:r w:rsidR="00B529E1" w:rsidRPr="00D66B09">
        <w:rPr>
          <w:lang w:val="en-US"/>
        </w:rPr>
        <w:t xml:space="preserve"> </w:t>
      </w:r>
      <w:r w:rsidRPr="00D66B09">
        <w:rPr>
          <w:lang w:val="en-US"/>
        </w:rPr>
        <w:t xml:space="preserve">para 26. In such an instance, whether or not the decision was unlawful is immaterial as the decision has been ‘validated by the delay’. It may be added that the applicant did not rely on the </w:t>
      </w:r>
      <w:r w:rsidRPr="00D66B09">
        <w:rPr>
          <w:i/>
          <w:iCs/>
          <w:lang w:val="en-US"/>
        </w:rPr>
        <w:t xml:space="preserve">Gijima </w:t>
      </w:r>
      <w:r w:rsidRPr="00D66B09">
        <w:rPr>
          <w:lang w:val="en-US"/>
        </w:rPr>
        <w:t xml:space="preserve">principle, so that there is no need to enter the debate as to whether the principle may possibly be applicable to PAJA reviews: see </w:t>
      </w:r>
      <w:r w:rsidR="00072188" w:rsidRPr="00D66B09">
        <w:t>C Hoexter and G Penfold</w:t>
      </w:r>
      <w:r w:rsidR="00072188" w:rsidRPr="00D66B09">
        <w:rPr>
          <w:i/>
          <w:iCs/>
        </w:rPr>
        <w:t xml:space="preserve"> Administrative Law in South Africa</w:t>
      </w:r>
      <w:r w:rsidR="00072188" w:rsidRPr="00D66B09">
        <w:t xml:space="preserve"> (3</w:t>
      </w:r>
      <w:r w:rsidR="00072188" w:rsidRPr="00D66B09">
        <w:rPr>
          <w:vertAlign w:val="superscript"/>
        </w:rPr>
        <w:t>rd</w:t>
      </w:r>
      <w:r w:rsidR="00072188" w:rsidRPr="00D66B09">
        <w:t xml:space="preserve"> Ed) (Juta) (2021) </w:t>
      </w:r>
      <w:r w:rsidRPr="00D66B09">
        <w:rPr>
          <w:lang w:val="en-US"/>
        </w:rPr>
        <w:t xml:space="preserve">at 730, 731. For the sake of completeness, it may be noted that this was not a case of ‘clear and indisputable’ illegality or unlawfulness akin to the circumstances in </w:t>
      </w:r>
      <w:r w:rsidRPr="00D66B09">
        <w:rPr>
          <w:i/>
          <w:iCs/>
          <w:lang w:val="en-US"/>
        </w:rPr>
        <w:t>Central Energy Fund SOC Ltd v Venus Rays Trade (Pty) Ltd</w:t>
      </w:r>
      <w:r w:rsidRPr="00D66B09">
        <w:rPr>
          <w:lang w:val="en-US"/>
        </w:rPr>
        <w:t xml:space="preserve"> [2020] ZAWCHC 164 para 298.</w:t>
      </w:r>
    </w:p>
  </w:footnote>
  <w:footnote w:id="20">
    <w:p w14:paraId="371C0015" w14:textId="77777777" w:rsidR="00323BE6" w:rsidRPr="00D66B09" w:rsidRDefault="00323BE6" w:rsidP="009400C9">
      <w:pPr>
        <w:pStyle w:val="FootnoteText"/>
        <w:spacing w:line="240" w:lineRule="auto"/>
        <w:jc w:val="both"/>
        <w:rPr>
          <w:lang w:val="en-US"/>
        </w:rPr>
      </w:pPr>
      <w:r w:rsidRPr="00D66B09">
        <w:rPr>
          <w:rStyle w:val="FootnoteReference"/>
        </w:rPr>
        <w:footnoteRef/>
      </w:r>
      <w:r w:rsidRPr="00D66B09">
        <w:t xml:space="preserve"> </w:t>
      </w:r>
      <w:r w:rsidRPr="00D66B09">
        <w:rPr>
          <w:i/>
          <w:iCs/>
          <w:lang w:val="en-US"/>
        </w:rPr>
        <w:t>Mbabama v Premier of the Eastern Cape and Others</w:t>
      </w:r>
      <w:r w:rsidRPr="00D66B09">
        <w:rPr>
          <w:lang w:val="en-US"/>
        </w:rPr>
        <w:t xml:space="preserve"> [2022] ZAECMHC 36 para 13.</w:t>
      </w:r>
    </w:p>
  </w:footnote>
  <w:footnote w:id="21">
    <w:p w14:paraId="483BE804" w14:textId="7B4A6A78" w:rsidR="00323BE6" w:rsidRPr="00D66B09" w:rsidRDefault="00323BE6"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 xml:space="preserve">See, for example, </w:t>
      </w:r>
      <w:r w:rsidRPr="00D66B09">
        <w:rPr>
          <w:i/>
          <w:iCs/>
          <w:lang w:val="en-US"/>
        </w:rPr>
        <w:t>Matiwane v President of the Republic of South Africa and Others</w:t>
      </w:r>
      <w:r w:rsidRPr="00D66B09">
        <w:rPr>
          <w:lang w:val="en-US"/>
        </w:rPr>
        <w:t xml:space="preserve"> [2019] ZAECMHC 23; [2019] 3 All SA 209 (ECM) paras 13, 14.</w:t>
      </w:r>
    </w:p>
  </w:footnote>
  <w:footnote w:id="22">
    <w:p w14:paraId="7FF2726E" w14:textId="6EDE9A98" w:rsidR="00C138E5" w:rsidRPr="00D66B09" w:rsidRDefault="00C138E5" w:rsidP="009400C9">
      <w:pPr>
        <w:pStyle w:val="FootnoteText"/>
        <w:spacing w:line="240" w:lineRule="auto"/>
        <w:jc w:val="both"/>
        <w:rPr>
          <w:lang w:val="en-US"/>
        </w:rPr>
      </w:pPr>
      <w:r w:rsidRPr="00D66B09">
        <w:rPr>
          <w:rStyle w:val="FootnoteReference"/>
        </w:rPr>
        <w:footnoteRef/>
      </w:r>
      <w:r w:rsidRPr="00D66B09">
        <w:t xml:space="preserve"> </w:t>
      </w:r>
      <w:r w:rsidRPr="00D66B09">
        <w:rPr>
          <w:i/>
          <w:iCs/>
          <w:lang w:val="en-US"/>
        </w:rPr>
        <w:t xml:space="preserve">Camps Bay Ratepayers’ and Residents’ Association v Harrison </w:t>
      </w:r>
      <w:r w:rsidRPr="00D66B09">
        <w:rPr>
          <w:lang w:val="en-US"/>
        </w:rPr>
        <w:t>[2010] 2 All SA 519 (SCA) para 54</w:t>
      </w:r>
      <w:r w:rsidR="00AA73F6" w:rsidRPr="00D66B09">
        <w:rPr>
          <w:lang w:val="en-US"/>
        </w:rPr>
        <w:t xml:space="preserve">. Also see </w:t>
      </w:r>
      <w:r w:rsidR="00AA73F6" w:rsidRPr="00D66B09">
        <w:rPr>
          <w:i/>
          <w:iCs/>
          <w:lang w:val="en-US"/>
        </w:rPr>
        <w:t>Aurecon</w:t>
      </w:r>
      <w:r w:rsidR="00AA73F6" w:rsidRPr="00D66B09">
        <w:rPr>
          <w:lang w:val="en-US"/>
        </w:rPr>
        <w:t xml:space="preserve"> above n </w:t>
      </w:r>
      <w:r w:rsidR="005F3BF0" w:rsidRPr="00D66B09">
        <w:rPr>
          <w:lang w:val="en-US"/>
        </w:rPr>
        <w:t>1</w:t>
      </w:r>
      <w:r w:rsidR="00D72886" w:rsidRPr="00D66B09">
        <w:rPr>
          <w:lang w:val="en-US"/>
        </w:rPr>
        <w:t>3</w:t>
      </w:r>
      <w:r w:rsidR="005F3BF0" w:rsidRPr="00D66B09">
        <w:rPr>
          <w:lang w:val="en-US"/>
        </w:rPr>
        <w:t xml:space="preserve"> </w:t>
      </w:r>
      <w:r w:rsidR="00AA73F6" w:rsidRPr="00D66B09">
        <w:rPr>
          <w:lang w:val="en-US"/>
        </w:rPr>
        <w:t>para 47.</w:t>
      </w:r>
    </w:p>
  </w:footnote>
  <w:footnote w:id="23">
    <w:p w14:paraId="3A23595D" w14:textId="4CBE0EAC" w:rsidR="005D6410" w:rsidRPr="00D66B09" w:rsidRDefault="005D6410" w:rsidP="009400C9">
      <w:pPr>
        <w:pStyle w:val="FootnoteText"/>
        <w:spacing w:line="240" w:lineRule="auto"/>
        <w:jc w:val="both"/>
        <w:rPr>
          <w:lang w:val="en-US"/>
        </w:rPr>
      </w:pPr>
      <w:r w:rsidRPr="00D66B09">
        <w:rPr>
          <w:rStyle w:val="FootnoteReference"/>
        </w:rPr>
        <w:footnoteRef/>
      </w:r>
      <w:r w:rsidRPr="00D66B09">
        <w:t xml:space="preserve"> </w:t>
      </w:r>
      <w:r w:rsidRPr="00D66B09">
        <w:rPr>
          <w:i/>
          <w:iCs/>
          <w:lang w:val="en-US"/>
        </w:rPr>
        <w:t xml:space="preserve">Asla </w:t>
      </w:r>
      <w:r w:rsidRPr="00D66B09">
        <w:rPr>
          <w:lang w:val="en-US"/>
        </w:rPr>
        <w:t xml:space="preserve">above n </w:t>
      </w:r>
      <w:r w:rsidR="00CE7812" w:rsidRPr="00D66B09">
        <w:rPr>
          <w:lang w:val="en-US"/>
        </w:rPr>
        <w:t xml:space="preserve">5 </w:t>
      </w:r>
      <w:r w:rsidRPr="00D66B09">
        <w:rPr>
          <w:lang w:val="en-US"/>
        </w:rPr>
        <w:t>para 80.</w:t>
      </w:r>
    </w:p>
  </w:footnote>
  <w:footnote w:id="24">
    <w:p w14:paraId="095833C2" w14:textId="07413041" w:rsidR="00FB346B" w:rsidRPr="00D66B09" w:rsidRDefault="00FB346B" w:rsidP="009400C9">
      <w:pPr>
        <w:pStyle w:val="FootnoteText"/>
        <w:spacing w:line="240" w:lineRule="auto"/>
        <w:jc w:val="both"/>
        <w:rPr>
          <w:lang w:val="en-US"/>
        </w:rPr>
      </w:pPr>
      <w:r w:rsidRPr="00D66B09">
        <w:rPr>
          <w:rStyle w:val="FootnoteReference"/>
        </w:rPr>
        <w:footnoteRef/>
      </w:r>
      <w:r w:rsidRPr="00D66B09">
        <w:t xml:space="preserve"> </w:t>
      </w:r>
      <w:r w:rsidRPr="00D66B09">
        <w:rPr>
          <w:i/>
          <w:iCs/>
          <w:lang w:val="en-US"/>
        </w:rPr>
        <w:t>Khumalo</w:t>
      </w:r>
      <w:r w:rsidRPr="00D66B09">
        <w:rPr>
          <w:lang w:val="en-US"/>
        </w:rPr>
        <w:t xml:space="preserve"> above n </w:t>
      </w:r>
      <w:r w:rsidR="00C059FB" w:rsidRPr="00D66B09">
        <w:rPr>
          <w:lang w:val="en-US"/>
        </w:rPr>
        <w:t xml:space="preserve">5 </w:t>
      </w:r>
      <w:r w:rsidRPr="00D66B09">
        <w:rPr>
          <w:lang w:val="en-US"/>
        </w:rPr>
        <w:t>para 44.</w:t>
      </w:r>
    </w:p>
  </w:footnote>
  <w:footnote w:id="25">
    <w:p w14:paraId="17C64A42" w14:textId="77777777" w:rsidR="00FB346B" w:rsidRPr="00D66B09" w:rsidRDefault="00FB346B" w:rsidP="009400C9">
      <w:pPr>
        <w:pStyle w:val="FootnoteText"/>
        <w:spacing w:line="240" w:lineRule="auto"/>
        <w:jc w:val="both"/>
        <w:rPr>
          <w:lang w:val="en-US"/>
        </w:rPr>
      </w:pPr>
      <w:r w:rsidRPr="00D66B09">
        <w:rPr>
          <w:rStyle w:val="FootnoteReference"/>
        </w:rPr>
        <w:footnoteRef/>
      </w:r>
      <w:r w:rsidRPr="00D66B09">
        <w:t xml:space="preserve"> </w:t>
      </w:r>
      <w:r w:rsidRPr="00D66B09">
        <w:rPr>
          <w:i/>
          <w:iCs/>
        </w:rPr>
        <w:t xml:space="preserve">Department of Transport v Tasima (Pty) Ltd </w:t>
      </w:r>
      <w:r w:rsidRPr="00D66B09">
        <w:t>[2016] ZACC 39; 2017 (2) SA 622 (CC) (</w:t>
      </w:r>
      <w:r w:rsidRPr="00D66B09">
        <w:rPr>
          <w:i/>
          <w:iCs/>
          <w:lang w:val="en-US"/>
        </w:rPr>
        <w:t>Tasima I</w:t>
      </w:r>
      <w:r w:rsidRPr="00D66B09">
        <w:rPr>
          <w:lang w:val="en-US"/>
        </w:rPr>
        <w:t>) para 153.</w:t>
      </w:r>
    </w:p>
  </w:footnote>
  <w:footnote w:id="26">
    <w:p w14:paraId="5C707EAB" w14:textId="3A4F89E7" w:rsidR="008548F1" w:rsidRPr="00D66B09" w:rsidRDefault="008548F1" w:rsidP="009400C9">
      <w:pPr>
        <w:pStyle w:val="FootnoteText"/>
        <w:spacing w:line="240" w:lineRule="auto"/>
        <w:jc w:val="both"/>
        <w:rPr>
          <w:lang w:val="en-US"/>
        </w:rPr>
      </w:pPr>
      <w:r w:rsidRPr="00D66B09">
        <w:rPr>
          <w:rStyle w:val="FootnoteReference"/>
        </w:rPr>
        <w:footnoteRef/>
      </w:r>
      <w:r w:rsidRPr="00D66B09">
        <w:t xml:space="preserve"> Hoexter and Penfold</w:t>
      </w:r>
      <w:r w:rsidRPr="00D66B09">
        <w:rPr>
          <w:i/>
          <w:iCs/>
        </w:rPr>
        <w:t xml:space="preserve"> </w:t>
      </w:r>
      <w:r w:rsidR="004663C1">
        <w:t>above n 19</w:t>
      </w:r>
      <w:r w:rsidRPr="00D66B09">
        <w:t xml:space="preserve"> at 728</w:t>
      </w:r>
      <w:r w:rsidR="00FB7B44" w:rsidRPr="00D66B09">
        <w:t>.</w:t>
      </w:r>
    </w:p>
  </w:footnote>
  <w:footnote w:id="27">
    <w:p w14:paraId="01003A82" w14:textId="24A0D1D2" w:rsidR="001D6994" w:rsidRPr="00D66B09" w:rsidRDefault="001D6994" w:rsidP="009400C9">
      <w:pPr>
        <w:pStyle w:val="FootnoteText"/>
        <w:spacing w:line="240" w:lineRule="auto"/>
        <w:jc w:val="both"/>
        <w:rPr>
          <w:lang w:val="en-US"/>
        </w:rPr>
      </w:pPr>
      <w:r w:rsidRPr="00D66B09">
        <w:rPr>
          <w:rStyle w:val="FootnoteReference"/>
        </w:rPr>
        <w:footnoteRef/>
      </w:r>
      <w:r w:rsidRPr="00D66B09">
        <w:t xml:space="preserve"> </w:t>
      </w:r>
      <w:r w:rsidR="00880F10" w:rsidRPr="00D66B09">
        <w:rPr>
          <w:i/>
          <w:iCs/>
          <w:lang w:val="en-US"/>
        </w:rPr>
        <w:t xml:space="preserve">OUTA </w:t>
      </w:r>
      <w:r w:rsidR="00880F10" w:rsidRPr="00D66B09">
        <w:rPr>
          <w:lang w:val="en-US"/>
        </w:rPr>
        <w:t>above n</w:t>
      </w:r>
      <w:r w:rsidRPr="00D66B09">
        <w:rPr>
          <w:lang w:val="en-US"/>
        </w:rPr>
        <w:t xml:space="preserve"> </w:t>
      </w:r>
      <w:r w:rsidR="0019051A" w:rsidRPr="00D66B09">
        <w:rPr>
          <w:lang w:val="en-US"/>
        </w:rPr>
        <w:t>1</w:t>
      </w:r>
      <w:r w:rsidR="00E43093" w:rsidRPr="00D66B09">
        <w:rPr>
          <w:lang w:val="en-US"/>
        </w:rPr>
        <w:t>5</w:t>
      </w:r>
      <w:r w:rsidR="0019051A" w:rsidRPr="00D66B09">
        <w:rPr>
          <w:lang w:val="en-US"/>
        </w:rPr>
        <w:t xml:space="preserve"> </w:t>
      </w:r>
      <w:r w:rsidRPr="00D66B09">
        <w:rPr>
          <w:lang w:val="en-US"/>
        </w:rPr>
        <w:t>paras 29-30.</w:t>
      </w:r>
      <w:r w:rsidRPr="00D66B09">
        <w:rPr>
          <w:i/>
          <w:iCs/>
          <w:lang w:val="en-US"/>
        </w:rPr>
        <w:t xml:space="preserve"> </w:t>
      </w:r>
    </w:p>
  </w:footnote>
  <w:footnote w:id="28">
    <w:p w14:paraId="5667ED74" w14:textId="5AA2EF33" w:rsidR="00CB6FCA" w:rsidRPr="00D66B09" w:rsidRDefault="00CB6FCA"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 xml:space="preserve">See </w:t>
      </w:r>
      <w:r w:rsidRPr="00D66B09">
        <w:rPr>
          <w:i/>
          <w:iCs/>
          <w:lang w:val="en-US"/>
        </w:rPr>
        <w:t>Sithelo Royal Family and Another v The Premier of the Eastern Cape and Others</w:t>
      </w:r>
      <w:r w:rsidRPr="00D66B09">
        <w:rPr>
          <w:lang w:val="en-US"/>
        </w:rPr>
        <w:t xml:space="preserve"> [2021] ZAECMHC 28 para 23.</w:t>
      </w:r>
      <w:r w:rsidR="003D00AA" w:rsidRPr="00D66B09">
        <w:rPr>
          <w:lang w:val="en-US"/>
        </w:rPr>
        <w:t xml:space="preserve"> Where an application seeks condonation for delay, a full explanation that covers the ‘entire period’ must be provided: </w:t>
      </w:r>
      <w:r w:rsidR="003D00AA" w:rsidRPr="00D66B09">
        <w:rPr>
          <w:i/>
          <w:iCs/>
          <w:lang w:val="en-US"/>
        </w:rPr>
        <w:t>Van Wyk v Unitas Hospital and Another (Open Democratic Advice Centre as Amicus Curiae)</w:t>
      </w:r>
      <w:r w:rsidR="003D00AA" w:rsidRPr="00D66B09">
        <w:rPr>
          <w:lang w:val="en-US"/>
        </w:rPr>
        <w:t xml:space="preserve"> 2008 (2) SA 472 (CC) para 22.</w:t>
      </w:r>
      <w:r w:rsidR="00484419" w:rsidRPr="00D66B09">
        <w:rPr>
          <w:lang w:val="en-US"/>
        </w:rPr>
        <w:t xml:space="preserve"> Also see </w:t>
      </w:r>
      <w:r w:rsidR="00484419" w:rsidRPr="00D66B09">
        <w:rPr>
          <w:i/>
          <w:iCs/>
          <w:lang w:val="en-US"/>
        </w:rPr>
        <w:t xml:space="preserve">Notyawa </w:t>
      </w:r>
      <w:r w:rsidR="001E5F34" w:rsidRPr="00D66B09">
        <w:rPr>
          <w:lang w:val="en-US"/>
        </w:rPr>
        <w:t>above n 17</w:t>
      </w:r>
      <w:r w:rsidR="00484419" w:rsidRPr="00D66B09">
        <w:rPr>
          <w:lang w:val="en-US"/>
        </w:rPr>
        <w:t xml:space="preserve">. </w:t>
      </w:r>
    </w:p>
  </w:footnote>
  <w:footnote w:id="29">
    <w:p w14:paraId="2FD07264" w14:textId="13EE44CC" w:rsidR="008228F2" w:rsidRPr="00D66B09" w:rsidRDefault="008228F2"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 xml:space="preserve">See </w:t>
      </w:r>
      <w:r w:rsidRPr="00D66B09">
        <w:rPr>
          <w:i/>
          <w:iCs/>
          <w:lang w:val="en-US"/>
        </w:rPr>
        <w:t>Beweging vir Christelik-Volkseie Onderwys v Minister of Education</w:t>
      </w:r>
      <w:r w:rsidRPr="00D66B09">
        <w:rPr>
          <w:lang w:val="en-US"/>
        </w:rPr>
        <w:t xml:space="preserve"> [2012] 2 All SA 462 (SCA) (</w:t>
      </w:r>
      <w:r w:rsidRPr="00D66B09">
        <w:rPr>
          <w:i/>
          <w:iCs/>
          <w:lang w:val="en-US"/>
        </w:rPr>
        <w:t>BCVO</w:t>
      </w:r>
      <w:r w:rsidRPr="00D66B09">
        <w:rPr>
          <w:lang w:val="en-US"/>
        </w:rPr>
        <w:t>)</w:t>
      </w:r>
      <w:r w:rsidRPr="00D66B09">
        <w:rPr>
          <w:i/>
          <w:iCs/>
          <w:lang w:val="en-US"/>
        </w:rPr>
        <w:t xml:space="preserve"> </w:t>
      </w:r>
      <w:r w:rsidRPr="00D66B09">
        <w:rPr>
          <w:lang w:val="en-US"/>
        </w:rPr>
        <w:t>para 64.</w:t>
      </w:r>
      <w:r w:rsidR="00C370F5" w:rsidRPr="00D66B09">
        <w:rPr>
          <w:lang w:val="en-US"/>
        </w:rPr>
        <w:t xml:space="preserve"> This is a key distinction between the facts of this matter, which involve unwarranted lethargy in pursuing a supposed internal appeal, and cases such as </w:t>
      </w:r>
      <w:r w:rsidR="00C370F5" w:rsidRPr="00D66B09">
        <w:rPr>
          <w:i/>
          <w:iCs/>
          <w:lang w:val="en-US"/>
        </w:rPr>
        <w:t>Bengwenyama Minerals (Pty) Ltd and Others v Genorah Resources (Pty) Ltd and Others</w:t>
      </w:r>
      <w:r w:rsidR="00C370F5" w:rsidRPr="00D66B09">
        <w:rPr>
          <w:lang w:val="en-US"/>
        </w:rPr>
        <w:t xml:space="preserve"> [2010] ZACC 26; 2011 (4) SA 113 (CC)</w:t>
      </w:r>
      <w:r w:rsidR="00B3439B" w:rsidRPr="00D66B09">
        <w:rPr>
          <w:lang w:val="en-US"/>
        </w:rPr>
        <w:t xml:space="preserve"> (</w:t>
      </w:r>
      <w:r w:rsidR="00B3439B" w:rsidRPr="00D66B09">
        <w:rPr>
          <w:i/>
          <w:iCs/>
          <w:lang w:val="en-US"/>
        </w:rPr>
        <w:t>Bengwenyama Minerals</w:t>
      </w:r>
      <w:r w:rsidR="00B3439B" w:rsidRPr="00D66B09">
        <w:rPr>
          <w:lang w:val="en-US"/>
        </w:rPr>
        <w:t>)</w:t>
      </w:r>
      <w:r w:rsidR="00C370F5" w:rsidRPr="00D66B09">
        <w:rPr>
          <w:lang w:val="en-US"/>
        </w:rPr>
        <w:t>, where apparent confusion about the availability of an internal appeal warranted a short delay in pursuing review proceedings:</w:t>
      </w:r>
      <w:r w:rsidR="00B3439B" w:rsidRPr="00D66B09">
        <w:rPr>
          <w:lang w:val="en-US"/>
        </w:rPr>
        <w:t xml:space="preserve"> </w:t>
      </w:r>
      <w:r w:rsidR="00B3439B" w:rsidRPr="00D66B09">
        <w:rPr>
          <w:i/>
          <w:iCs/>
          <w:lang w:val="en-US"/>
        </w:rPr>
        <w:t>Bengwenyama Minerals</w:t>
      </w:r>
      <w:r w:rsidR="00C370F5" w:rsidRPr="00D66B09">
        <w:rPr>
          <w:lang w:val="en-US"/>
        </w:rPr>
        <w:t xml:space="preserve"> para 59</w:t>
      </w:r>
      <w:r w:rsidR="00B3439B" w:rsidRPr="00D66B09">
        <w:rPr>
          <w:lang w:val="en-US"/>
        </w:rPr>
        <w:t>.</w:t>
      </w:r>
      <w:r w:rsidR="008E55EC" w:rsidRPr="00D66B09">
        <w:rPr>
          <w:lang w:val="en-US"/>
        </w:rPr>
        <w:t xml:space="preserve"> The applicant’s reliance on this decision is in any event misplaced on the facts</w:t>
      </w:r>
      <w:r w:rsidR="00554E1B" w:rsidRPr="00D66B09">
        <w:rPr>
          <w:lang w:val="en-US"/>
        </w:rPr>
        <w:t>.</w:t>
      </w:r>
      <w:r w:rsidR="008E55EC" w:rsidRPr="00D66B09">
        <w:rPr>
          <w:lang w:val="en-US"/>
        </w:rPr>
        <w:t xml:space="preserve"> </w:t>
      </w:r>
      <w:r w:rsidR="00554E1B" w:rsidRPr="00D66B09">
        <w:rPr>
          <w:lang w:val="en-US"/>
        </w:rPr>
        <w:t>I</w:t>
      </w:r>
      <w:r w:rsidR="008E55EC" w:rsidRPr="00D66B09">
        <w:rPr>
          <w:lang w:val="en-US"/>
        </w:rPr>
        <w:t>n that matter the time lines were such that the court found that there was no indication of any deliberate delay on the part of the applicants</w:t>
      </w:r>
      <w:r w:rsidR="00F765A4" w:rsidRPr="00D66B09">
        <w:rPr>
          <w:lang w:val="en-US"/>
        </w:rPr>
        <w:t xml:space="preserve"> and a department letter opened the door for a review</w:t>
      </w:r>
      <w:r w:rsidR="00554E1B" w:rsidRPr="00D66B09">
        <w:rPr>
          <w:lang w:val="en-US"/>
        </w:rPr>
        <w:t xml:space="preserve">: </w:t>
      </w:r>
      <w:r w:rsidR="00554E1B" w:rsidRPr="00D66B09">
        <w:rPr>
          <w:i/>
          <w:iCs/>
          <w:lang w:val="en-US"/>
        </w:rPr>
        <w:t>Bengwenyama Minerals</w:t>
      </w:r>
      <w:r w:rsidR="00554E1B" w:rsidRPr="00D66B09">
        <w:rPr>
          <w:lang w:val="en-US"/>
        </w:rPr>
        <w:t xml:space="preserve"> para</w:t>
      </w:r>
      <w:r w:rsidR="00F765A4" w:rsidRPr="00D66B09">
        <w:rPr>
          <w:lang w:val="en-US"/>
        </w:rPr>
        <w:t>s</w:t>
      </w:r>
      <w:r w:rsidR="00554E1B" w:rsidRPr="00D66B09">
        <w:rPr>
          <w:lang w:val="en-US"/>
        </w:rPr>
        <w:t xml:space="preserve"> 57</w:t>
      </w:r>
      <w:r w:rsidR="00F765A4" w:rsidRPr="00D66B09">
        <w:rPr>
          <w:lang w:val="en-US"/>
        </w:rPr>
        <w:t>, 58</w:t>
      </w:r>
      <w:r w:rsidR="00554E1B" w:rsidRPr="00D66B09">
        <w:rPr>
          <w:lang w:val="en-US"/>
        </w:rPr>
        <w:t>.</w:t>
      </w:r>
      <w:r w:rsidR="004532CE" w:rsidRPr="00D66B09">
        <w:rPr>
          <w:lang w:val="en-US"/>
        </w:rPr>
        <w:t xml:space="preserve"> Also see </w:t>
      </w:r>
      <w:r w:rsidR="004532CE" w:rsidRPr="00D66B09">
        <w:rPr>
          <w:i/>
          <w:iCs/>
          <w:lang w:val="en-US"/>
        </w:rPr>
        <w:t>Joint Municipal Pension Fund v Grobler and Others</w:t>
      </w:r>
      <w:r w:rsidR="004532CE" w:rsidRPr="00D66B09">
        <w:rPr>
          <w:lang w:val="en-US"/>
        </w:rPr>
        <w:t xml:space="preserve"> 2007 (5) SA 629 (SCA)</w:t>
      </w:r>
      <w:r w:rsidR="00BD3E33" w:rsidRPr="00D66B09">
        <w:rPr>
          <w:lang w:val="en-US"/>
        </w:rPr>
        <w:t xml:space="preserve"> paras 29, 30: the issue relating to time was not pressed during argument in circumstances where there was no provision in law for a complaint to an adjudicator as an internal remedy</w:t>
      </w:r>
      <w:r w:rsidR="009D501D" w:rsidRPr="00D66B09">
        <w:rPr>
          <w:lang w:val="en-US"/>
        </w:rPr>
        <w:t>. T</w:t>
      </w:r>
      <w:r w:rsidR="00523B38" w:rsidRPr="00D66B09">
        <w:rPr>
          <w:lang w:val="en-US"/>
        </w:rPr>
        <w:t>he</w:t>
      </w:r>
      <w:r w:rsidR="00435A3C" w:rsidRPr="00D66B09">
        <w:rPr>
          <w:lang w:val="en-US"/>
        </w:rPr>
        <w:t xml:space="preserve"> unduly delay was</w:t>
      </w:r>
      <w:r w:rsidR="009D501D" w:rsidRPr="00D66B09">
        <w:rPr>
          <w:lang w:val="en-US"/>
        </w:rPr>
        <w:t>, however,</w:t>
      </w:r>
      <w:r w:rsidR="00435A3C" w:rsidRPr="00D66B09">
        <w:rPr>
          <w:lang w:val="en-US"/>
        </w:rPr>
        <w:t xml:space="preserve"> for a much shorter period and the application to court was launched </w:t>
      </w:r>
      <w:r w:rsidR="00396DCF" w:rsidRPr="00D66B09">
        <w:rPr>
          <w:lang w:val="en-US"/>
        </w:rPr>
        <w:t>with sufficient promptness</w:t>
      </w:r>
      <w:r w:rsidR="00BC1582" w:rsidRPr="00D66B09">
        <w:rPr>
          <w:lang w:val="en-US"/>
        </w:rPr>
        <w:t>, so that the interests of justice warranted condonation</w:t>
      </w:r>
      <w:r w:rsidR="00435A3C" w:rsidRPr="00D66B09">
        <w:rPr>
          <w:lang w:val="en-US"/>
        </w:rPr>
        <w:t>.</w:t>
      </w:r>
    </w:p>
  </w:footnote>
  <w:footnote w:id="30">
    <w:p w14:paraId="629B4EB6" w14:textId="7FD47D0E" w:rsidR="0037780E" w:rsidRPr="00D66B09" w:rsidRDefault="0037780E"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 xml:space="preserve">See </w:t>
      </w:r>
      <w:r w:rsidRPr="00D66B09">
        <w:rPr>
          <w:i/>
          <w:iCs/>
          <w:lang w:val="en-US"/>
        </w:rPr>
        <w:t>Associated Institutions Pension Fund and Others v Van Zyl and Others</w:t>
      </w:r>
      <w:r w:rsidRPr="00D66B09">
        <w:rPr>
          <w:lang w:val="en-US"/>
        </w:rPr>
        <w:t xml:space="preserve"> 2005 (2) SA 302 (SCA) para </w:t>
      </w:r>
      <w:r w:rsidR="00972BE3" w:rsidRPr="00D66B09">
        <w:rPr>
          <w:lang w:val="en-US"/>
        </w:rPr>
        <w:t>51.</w:t>
      </w:r>
      <w:r w:rsidR="008228F2" w:rsidRPr="00D66B09">
        <w:rPr>
          <w:lang w:val="en-US"/>
        </w:rPr>
        <w:t xml:space="preserve"> </w:t>
      </w:r>
    </w:p>
  </w:footnote>
  <w:footnote w:id="31">
    <w:p w14:paraId="2F091D70" w14:textId="4963ECF0" w:rsidR="00651DA1" w:rsidRPr="00D66B09" w:rsidRDefault="00651DA1"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 xml:space="preserve">See </w:t>
      </w:r>
      <w:r w:rsidRPr="00D66B09">
        <w:rPr>
          <w:i/>
          <w:iCs/>
          <w:lang w:val="en-US"/>
        </w:rPr>
        <w:t xml:space="preserve">Khumalo </w:t>
      </w:r>
      <w:r w:rsidR="002E2DC8" w:rsidRPr="00D66B09">
        <w:rPr>
          <w:lang w:val="en-US"/>
        </w:rPr>
        <w:t>above n 5.</w:t>
      </w:r>
    </w:p>
  </w:footnote>
  <w:footnote w:id="32">
    <w:p w14:paraId="2E9094DD" w14:textId="39E3060E" w:rsidR="0021550F" w:rsidRPr="00D66B09" w:rsidRDefault="0021550F" w:rsidP="009400C9">
      <w:pPr>
        <w:pStyle w:val="FootnoteText"/>
        <w:spacing w:line="240" w:lineRule="auto"/>
        <w:jc w:val="both"/>
        <w:rPr>
          <w:lang w:val="en-US"/>
        </w:rPr>
      </w:pPr>
      <w:r w:rsidRPr="00D66B09">
        <w:rPr>
          <w:rStyle w:val="FootnoteReference"/>
        </w:rPr>
        <w:footnoteRef/>
      </w:r>
      <w:r w:rsidRPr="00D66B09">
        <w:t xml:space="preserve"> </w:t>
      </w:r>
      <w:r w:rsidR="000B27D0" w:rsidRPr="00D66B09">
        <w:t xml:space="preserve">See </w:t>
      </w:r>
      <w:r w:rsidRPr="00D66B09">
        <w:rPr>
          <w:i/>
          <w:iCs/>
          <w:lang w:val="en-US"/>
        </w:rPr>
        <w:t>Madikizela-Mandela v Executors, Estate Late Mandela</w:t>
      </w:r>
      <w:r w:rsidRPr="00D66B09">
        <w:rPr>
          <w:lang w:val="en-US"/>
        </w:rPr>
        <w:t xml:space="preserve"> 2018 (4) SA 86 (SCA) para 27.</w:t>
      </w:r>
    </w:p>
  </w:footnote>
  <w:footnote w:id="33">
    <w:p w14:paraId="18DAF266" w14:textId="3590FF6B" w:rsidR="00775D8C" w:rsidRPr="00D66B09" w:rsidRDefault="00775D8C"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Hoexter and Penfold above n</w:t>
      </w:r>
      <w:r w:rsidR="0019051A" w:rsidRPr="00D66B09">
        <w:rPr>
          <w:lang w:val="en-US"/>
        </w:rPr>
        <w:t xml:space="preserve"> 2</w:t>
      </w:r>
      <w:r w:rsidR="002E2DC8" w:rsidRPr="00D66B09">
        <w:rPr>
          <w:lang w:val="en-US"/>
        </w:rPr>
        <w:t>6</w:t>
      </w:r>
      <w:r w:rsidRPr="00D66B09">
        <w:rPr>
          <w:lang w:val="en-US"/>
        </w:rPr>
        <w:t xml:space="preserve"> at 729.</w:t>
      </w:r>
    </w:p>
  </w:footnote>
  <w:footnote w:id="34">
    <w:p w14:paraId="2291F97D" w14:textId="410AF608" w:rsidR="00775D8C" w:rsidRPr="00D66B09" w:rsidRDefault="00775D8C" w:rsidP="009400C9">
      <w:pPr>
        <w:pStyle w:val="FootnoteText"/>
        <w:spacing w:line="240" w:lineRule="auto"/>
        <w:jc w:val="both"/>
        <w:rPr>
          <w:lang w:val="en-US"/>
        </w:rPr>
      </w:pPr>
      <w:r w:rsidRPr="00D66B09">
        <w:rPr>
          <w:rStyle w:val="FootnoteReference"/>
        </w:rPr>
        <w:footnoteRef/>
      </w:r>
      <w:r w:rsidRPr="00D66B09">
        <w:t xml:space="preserve"> </w:t>
      </w:r>
      <w:r w:rsidRPr="00D66B09">
        <w:rPr>
          <w:i/>
          <w:iCs/>
          <w:lang w:val="en-US"/>
        </w:rPr>
        <w:t xml:space="preserve">Asla </w:t>
      </w:r>
      <w:r w:rsidRPr="00D66B09">
        <w:rPr>
          <w:lang w:val="en-US"/>
        </w:rPr>
        <w:t xml:space="preserve">above n </w:t>
      </w:r>
      <w:r w:rsidR="00E1164C" w:rsidRPr="00D66B09">
        <w:rPr>
          <w:lang w:val="en-US"/>
        </w:rPr>
        <w:t xml:space="preserve">5 </w:t>
      </w:r>
      <w:r w:rsidRPr="00D66B09">
        <w:rPr>
          <w:lang w:val="en-US"/>
        </w:rPr>
        <w:t xml:space="preserve">paras 55-57; </w:t>
      </w:r>
      <w:r w:rsidRPr="00D66B09">
        <w:rPr>
          <w:i/>
          <w:iCs/>
          <w:lang w:val="en-US"/>
        </w:rPr>
        <w:t>Aurecon</w:t>
      </w:r>
      <w:r w:rsidRPr="00D66B09">
        <w:rPr>
          <w:lang w:val="en-US"/>
        </w:rPr>
        <w:t xml:space="preserve"> above n </w:t>
      </w:r>
      <w:r w:rsidR="00E1716F" w:rsidRPr="00D66B09">
        <w:rPr>
          <w:lang w:val="en-US"/>
        </w:rPr>
        <w:t>1</w:t>
      </w:r>
      <w:r w:rsidR="00E44646" w:rsidRPr="00D66B09">
        <w:rPr>
          <w:lang w:val="en-US"/>
        </w:rPr>
        <w:t>3</w:t>
      </w:r>
      <w:r w:rsidR="00E1716F" w:rsidRPr="00D66B09">
        <w:rPr>
          <w:lang w:val="en-US"/>
        </w:rPr>
        <w:t xml:space="preserve"> </w:t>
      </w:r>
      <w:r w:rsidRPr="00D66B09">
        <w:rPr>
          <w:lang w:val="en-US"/>
        </w:rPr>
        <w:t>paras 46, 49.</w:t>
      </w:r>
    </w:p>
  </w:footnote>
  <w:footnote w:id="35">
    <w:p w14:paraId="551D005C" w14:textId="3B26E8BC" w:rsidR="00775D8C" w:rsidRPr="00D66B09" w:rsidRDefault="00775D8C" w:rsidP="009400C9">
      <w:pPr>
        <w:pStyle w:val="FootnoteText"/>
        <w:spacing w:line="240" w:lineRule="auto"/>
        <w:jc w:val="both"/>
        <w:rPr>
          <w:lang w:val="en-US"/>
        </w:rPr>
      </w:pPr>
      <w:r w:rsidRPr="00D66B09">
        <w:rPr>
          <w:rStyle w:val="FootnoteReference"/>
        </w:rPr>
        <w:footnoteRef/>
      </w:r>
      <w:r w:rsidRPr="00D66B09">
        <w:t xml:space="preserve"> </w:t>
      </w:r>
      <w:r w:rsidRPr="00D66B09">
        <w:rPr>
          <w:i/>
          <w:iCs/>
          <w:lang w:val="en-US"/>
        </w:rPr>
        <w:t xml:space="preserve">Asla </w:t>
      </w:r>
      <w:r w:rsidRPr="00D66B09">
        <w:rPr>
          <w:lang w:val="en-US"/>
        </w:rPr>
        <w:t>above</w:t>
      </w:r>
      <w:r w:rsidRPr="00D66B09">
        <w:rPr>
          <w:i/>
          <w:iCs/>
          <w:lang w:val="en-US"/>
        </w:rPr>
        <w:t xml:space="preserve"> </w:t>
      </w:r>
      <w:r w:rsidRPr="00D66B09">
        <w:rPr>
          <w:lang w:val="en-US"/>
        </w:rPr>
        <w:t xml:space="preserve">n </w:t>
      </w:r>
      <w:r w:rsidR="00672EA3" w:rsidRPr="00D66B09">
        <w:rPr>
          <w:lang w:val="en-US"/>
        </w:rPr>
        <w:t xml:space="preserve">5 </w:t>
      </w:r>
      <w:r w:rsidRPr="00D66B09">
        <w:rPr>
          <w:lang w:val="en-US"/>
        </w:rPr>
        <w:t xml:space="preserve">para 40; </w:t>
      </w:r>
      <w:r w:rsidRPr="00D66B09">
        <w:rPr>
          <w:i/>
          <w:iCs/>
          <w:lang w:val="en-US"/>
        </w:rPr>
        <w:t>SANRAL v Cape Town City</w:t>
      </w:r>
      <w:r w:rsidRPr="00D66B09">
        <w:rPr>
          <w:lang w:val="en-US"/>
        </w:rPr>
        <w:t xml:space="preserve"> 2017 (1) SA 468 (SCA) para 81.</w:t>
      </w:r>
    </w:p>
  </w:footnote>
  <w:footnote w:id="36">
    <w:p w14:paraId="66C61605" w14:textId="65E2B5E3" w:rsidR="00D21A0A" w:rsidRPr="00D66B09" w:rsidRDefault="00D21A0A"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S 18 of the Provincial Act.</w:t>
      </w:r>
    </w:p>
  </w:footnote>
  <w:footnote w:id="37">
    <w:p w14:paraId="57B17C1D" w14:textId="2AB6ABB7" w:rsidR="007A0642" w:rsidRPr="00D66B09" w:rsidRDefault="007A0642" w:rsidP="009400C9">
      <w:pPr>
        <w:pStyle w:val="FootnoteText"/>
        <w:spacing w:line="240" w:lineRule="auto"/>
        <w:jc w:val="both"/>
        <w:rPr>
          <w:lang w:val="en-US"/>
        </w:rPr>
      </w:pPr>
      <w:r w:rsidRPr="00D66B09">
        <w:rPr>
          <w:rStyle w:val="FootnoteReference"/>
        </w:rPr>
        <w:footnoteRef/>
      </w:r>
      <w:r w:rsidRPr="00D66B09">
        <w:t xml:space="preserve"> </w:t>
      </w:r>
      <w:r w:rsidRPr="00D66B09">
        <w:rPr>
          <w:i/>
          <w:iCs/>
          <w:lang w:val="en-US"/>
        </w:rPr>
        <w:t>Maxwele Royal Family &amp; Another v The Premier of the Eastern Cape Province and Others</w:t>
      </w:r>
      <w:r w:rsidRPr="00D66B09">
        <w:rPr>
          <w:lang w:val="en-US"/>
        </w:rPr>
        <w:t xml:space="preserve"> [2023] ZASCA 73 para 13.</w:t>
      </w:r>
    </w:p>
  </w:footnote>
  <w:footnote w:id="38">
    <w:p w14:paraId="0D9E321C" w14:textId="2EAAFD7F" w:rsidR="00657D73" w:rsidRPr="00D66B09" w:rsidRDefault="00657D73"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Ibid.</w:t>
      </w:r>
    </w:p>
  </w:footnote>
  <w:footnote w:id="39">
    <w:p w14:paraId="1B514A7B" w14:textId="1A1515DC" w:rsidR="00982640" w:rsidRPr="00D66B09" w:rsidRDefault="00982640" w:rsidP="009400C9">
      <w:pPr>
        <w:pStyle w:val="FootnoteText"/>
        <w:spacing w:line="240" w:lineRule="auto"/>
        <w:jc w:val="both"/>
        <w:rPr>
          <w:lang w:val="en-US"/>
        </w:rPr>
      </w:pPr>
      <w:r w:rsidRPr="00D66B09">
        <w:rPr>
          <w:rStyle w:val="FootnoteReference"/>
        </w:rPr>
        <w:footnoteRef/>
      </w:r>
      <w:r w:rsidRPr="00D66B09">
        <w:t xml:space="preserve"> There are also no constitutional obligations compelling the granting of the remaining relief sought: see </w:t>
      </w:r>
      <w:r w:rsidRPr="00D66B09">
        <w:rPr>
          <w:i/>
          <w:iCs/>
        </w:rPr>
        <w:t>Dabula-Mbanga v The Premier of the Eastern Cape and Others</w:t>
      </w:r>
      <w:r w:rsidRPr="00D66B09">
        <w:t xml:space="preserve"> (unreported case no. 4715A/2019) (Eastern Cape Division, Mthatha) (22 March 2022) para 46.</w:t>
      </w:r>
    </w:p>
  </w:footnote>
  <w:footnote w:id="40">
    <w:p w14:paraId="7F45080B" w14:textId="35C26FED" w:rsidR="00902267" w:rsidRPr="00D66B09" w:rsidRDefault="00902267" w:rsidP="009400C9">
      <w:pPr>
        <w:pStyle w:val="FootnoteText"/>
        <w:spacing w:line="240" w:lineRule="auto"/>
        <w:jc w:val="both"/>
        <w:rPr>
          <w:lang w:val="en-US"/>
        </w:rPr>
      </w:pPr>
      <w:r w:rsidRPr="00D66B09">
        <w:rPr>
          <w:rStyle w:val="FootnoteReference"/>
        </w:rPr>
        <w:footnoteRef/>
      </w:r>
      <w:r w:rsidRPr="00D66B09">
        <w:t xml:space="preserve"> </w:t>
      </w:r>
      <w:r w:rsidR="00E1716F" w:rsidRPr="00D66B09">
        <w:rPr>
          <w:i/>
          <w:iCs/>
          <w:lang w:val="en-US"/>
        </w:rPr>
        <w:t xml:space="preserve">BCVO </w:t>
      </w:r>
      <w:r w:rsidR="00E1716F" w:rsidRPr="00D66B09">
        <w:rPr>
          <w:lang w:val="en-US"/>
        </w:rPr>
        <w:t>above n</w:t>
      </w:r>
      <w:r w:rsidRPr="00D66B09">
        <w:rPr>
          <w:lang w:val="en-US"/>
        </w:rPr>
        <w:t xml:space="preserve"> </w:t>
      </w:r>
      <w:r w:rsidR="00E1716F" w:rsidRPr="00D66B09">
        <w:rPr>
          <w:lang w:val="en-US"/>
        </w:rPr>
        <w:t>2</w:t>
      </w:r>
      <w:r w:rsidR="00DF41CB" w:rsidRPr="00D66B09">
        <w:rPr>
          <w:lang w:val="en-US"/>
        </w:rPr>
        <w:t>9</w:t>
      </w:r>
      <w:r w:rsidR="00E1716F" w:rsidRPr="00D66B09">
        <w:rPr>
          <w:lang w:val="en-US"/>
        </w:rPr>
        <w:t xml:space="preserve"> </w:t>
      </w:r>
      <w:r w:rsidRPr="00D66B09">
        <w:rPr>
          <w:lang w:val="en-US"/>
        </w:rPr>
        <w:t>para 65.</w:t>
      </w:r>
    </w:p>
  </w:footnote>
  <w:footnote w:id="41">
    <w:p w14:paraId="3CD7E6B6" w14:textId="5B926753" w:rsidR="0006125A" w:rsidRPr="00D66B09" w:rsidRDefault="0006125A"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Ibid.</w:t>
      </w:r>
      <w:r w:rsidR="00686041" w:rsidRPr="00D66B09">
        <w:rPr>
          <w:lang w:val="en-US"/>
        </w:rPr>
        <w:t xml:space="preserve"> Also see </w:t>
      </w:r>
      <w:r w:rsidR="00686041" w:rsidRPr="00D66B09">
        <w:rPr>
          <w:i/>
          <w:iCs/>
          <w:lang w:val="en-US"/>
        </w:rPr>
        <w:t xml:space="preserve">Notyawa </w:t>
      </w:r>
      <w:r w:rsidR="00686041" w:rsidRPr="00D66B09">
        <w:rPr>
          <w:lang w:val="en-US"/>
        </w:rPr>
        <w:t xml:space="preserve">above n </w:t>
      </w:r>
      <w:r w:rsidR="0031669D" w:rsidRPr="00D66B09">
        <w:rPr>
          <w:lang w:val="en-US"/>
        </w:rPr>
        <w:t xml:space="preserve">17 </w:t>
      </w:r>
      <w:r w:rsidR="00686041" w:rsidRPr="00D66B09">
        <w:rPr>
          <w:lang w:val="en-US"/>
        </w:rPr>
        <w:t>para 45 and following.</w:t>
      </w:r>
    </w:p>
  </w:footnote>
  <w:footnote w:id="42">
    <w:p w14:paraId="0C1E1C78" w14:textId="3787AA63" w:rsidR="00F24540" w:rsidRPr="00D66B09" w:rsidRDefault="00F24540"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 xml:space="preserve">In saying this, the court is mindful of the development to the law brought about by PAJA and the Constitution, particularly the rights to just administrative action and access to courts, and that the issue of prejudice may, in an appropriate case, adequately be addressed by the grant of a just and equitable order: </w:t>
      </w:r>
      <w:r w:rsidRPr="00D66B09">
        <w:rPr>
          <w:i/>
          <w:iCs/>
          <w:lang w:val="en-US"/>
        </w:rPr>
        <w:t xml:space="preserve">Notyawa </w:t>
      </w:r>
      <w:r w:rsidRPr="00D66B09">
        <w:rPr>
          <w:lang w:val="en-US"/>
        </w:rPr>
        <w:t xml:space="preserve">above n </w:t>
      </w:r>
      <w:r w:rsidR="007C2465" w:rsidRPr="00D66B09">
        <w:rPr>
          <w:lang w:val="en-US"/>
        </w:rPr>
        <w:t xml:space="preserve">17 </w:t>
      </w:r>
      <w:r w:rsidRPr="00D66B09">
        <w:rPr>
          <w:lang w:val="en-US"/>
        </w:rPr>
        <w:t>para 51</w:t>
      </w:r>
      <w:r w:rsidR="0055666D" w:rsidRPr="00D66B09">
        <w:rPr>
          <w:lang w:val="en-US"/>
        </w:rPr>
        <w:t xml:space="preserve"> and following.</w:t>
      </w:r>
    </w:p>
  </w:footnote>
  <w:footnote w:id="43">
    <w:p w14:paraId="41AA7CA0" w14:textId="03F60905" w:rsidR="004534EB" w:rsidRPr="00D66B09" w:rsidRDefault="004534EB"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S 23 of the Eastern Cape Traditional Leadership and Governance Act, 2017 (Act 1 of 2017).</w:t>
      </w:r>
    </w:p>
  </w:footnote>
  <w:footnote w:id="44">
    <w:p w14:paraId="6C2166F6" w14:textId="5C5C38B3" w:rsidR="004272EF" w:rsidRPr="00D66B09" w:rsidRDefault="004272EF"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The notice of motion included a prayer for a declaration ‘that the customary rule governing succession to the Gqunqe headmanship is that the position is inherited by the eldest child of the previous incumbent upon his or her death or removal from the office, regardless of that child’s marital status’.</w:t>
      </w:r>
      <w:r w:rsidR="008949F0" w:rsidRPr="00D66B09">
        <w:rPr>
          <w:lang w:val="en-US"/>
        </w:rPr>
        <w:t xml:space="preserve"> On the applicant’s own papers, however, </w:t>
      </w:r>
      <w:r w:rsidR="00425739" w:rsidRPr="00D66B09">
        <w:rPr>
          <w:lang w:val="en-US"/>
        </w:rPr>
        <w:t>‘</w:t>
      </w:r>
      <w:r w:rsidR="008949F0" w:rsidRPr="00D66B09">
        <w:rPr>
          <w:lang w:val="en-US"/>
        </w:rPr>
        <w:t xml:space="preserve">the Gqunqe headmanship was only established in 1992 and this is the first time that the question of succession has arisen in connection therewith. How could a settled rule or practice sufficient to constitute a custom arise in these circumstances?’ </w:t>
      </w:r>
    </w:p>
  </w:footnote>
  <w:footnote w:id="45">
    <w:p w14:paraId="2366B776" w14:textId="583D4166" w:rsidR="00367EB3" w:rsidRPr="00D66B09" w:rsidRDefault="00367EB3" w:rsidP="009400C9">
      <w:pPr>
        <w:pStyle w:val="FootnoteText"/>
        <w:spacing w:line="240" w:lineRule="auto"/>
        <w:jc w:val="both"/>
        <w:rPr>
          <w:lang w:val="en-US"/>
        </w:rPr>
      </w:pPr>
      <w:r w:rsidRPr="00D66B09">
        <w:rPr>
          <w:rStyle w:val="FootnoteReference"/>
        </w:rPr>
        <w:footnoteRef/>
      </w:r>
      <w:r w:rsidRPr="00D66B09">
        <w:t xml:space="preserve"> </w:t>
      </w:r>
      <w:r w:rsidRPr="00D66B09">
        <w:rPr>
          <w:i/>
          <w:iCs/>
          <w:lang w:val="en-US"/>
        </w:rPr>
        <w:t>Tasima</w:t>
      </w:r>
      <w:r w:rsidRPr="00D66B09">
        <w:rPr>
          <w:lang w:val="en-US"/>
        </w:rPr>
        <w:t xml:space="preserve"> </w:t>
      </w:r>
      <w:r w:rsidRPr="00D66B09">
        <w:rPr>
          <w:i/>
          <w:iCs/>
          <w:lang w:val="en-US"/>
        </w:rPr>
        <w:t xml:space="preserve">I </w:t>
      </w:r>
      <w:r w:rsidR="004C4900" w:rsidRPr="00D66B09">
        <w:rPr>
          <w:lang w:val="en-US"/>
        </w:rPr>
        <w:t xml:space="preserve">above n </w:t>
      </w:r>
      <w:r w:rsidR="00D451E1" w:rsidRPr="00D66B09">
        <w:rPr>
          <w:lang w:val="en-US"/>
        </w:rPr>
        <w:t>2</w:t>
      </w:r>
      <w:r w:rsidR="00DB333B" w:rsidRPr="00D66B09">
        <w:rPr>
          <w:lang w:val="en-US"/>
        </w:rPr>
        <w:t>5</w:t>
      </w:r>
      <w:r w:rsidR="00D451E1" w:rsidRPr="00D66B09">
        <w:rPr>
          <w:lang w:val="en-US"/>
        </w:rPr>
        <w:t xml:space="preserve"> </w:t>
      </w:r>
      <w:r w:rsidRPr="00D66B09">
        <w:rPr>
          <w:lang w:val="en-US"/>
        </w:rPr>
        <w:t>para 144.</w:t>
      </w:r>
    </w:p>
  </w:footnote>
  <w:footnote w:id="46">
    <w:p w14:paraId="17E448A7" w14:textId="24EC9ECF" w:rsidR="004F00D0" w:rsidRPr="00D66B09" w:rsidRDefault="004F00D0"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 xml:space="preserve">See </w:t>
      </w:r>
      <w:r w:rsidRPr="00D66B09">
        <w:rPr>
          <w:i/>
          <w:iCs/>
          <w:lang w:val="en-US"/>
        </w:rPr>
        <w:t xml:space="preserve">Gongqose </w:t>
      </w:r>
      <w:r w:rsidRPr="00D66B09">
        <w:rPr>
          <w:lang w:val="en-US"/>
        </w:rPr>
        <w:t xml:space="preserve">above n </w:t>
      </w:r>
      <w:r w:rsidR="00D451E1" w:rsidRPr="00D66B09">
        <w:rPr>
          <w:lang w:val="en-US"/>
        </w:rPr>
        <w:t>1</w:t>
      </w:r>
      <w:r w:rsidR="00DB333B" w:rsidRPr="00D66B09">
        <w:rPr>
          <w:lang w:val="en-US"/>
        </w:rPr>
        <w:t>8</w:t>
      </w:r>
      <w:r w:rsidR="00D451E1" w:rsidRPr="00D66B09">
        <w:rPr>
          <w:lang w:val="en-US"/>
        </w:rPr>
        <w:t xml:space="preserve"> </w:t>
      </w:r>
      <w:r w:rsidRPr="00D66B09">
        <w:rPr>
          <w:lang w:val="en-US"/>
        </w:rPr>
        <w:t>para 73.</w:t>
      </w:r>
    </w:p>
  </w:footnote>
  <w:footnote w:id="47">
    <w:p w14:paraId="51511010" w14:textId="5599B882" w:rsidR="00AA3639" w:rsidRPr="00D66B09" w:rsidRDefault="00AA3639"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 xml:space="preserve">See </w:t>
      </w:r>
      <w:r w:rsidRPr="00D66B09">
        <w:rPr>
          <w:i/>
          <w:iCs/>
          <w:lang w:val="en-US"/>
        </w:rPr>
        <w:t>State Information Technology Agency SOC Limited v Gijima Holdings (Pty) Limited</w:t>
      </w:r>
      <w:r w:rsidRPr="00D66B09">
        <w:rPr>
          <w:lang w:val="en-US"/>
        </w:rPr>
        <w:t xml:space="preserve"> </w:t>
      </w:r>
      <w:r w:rsidR="00A2712B" w:rsidRPr="00D66B09">
        <w:rPr>
          <w:lang w:val="en-US"/>
        </w:rPr>
        <w:t>[</w:t>
      </w:r>
      <w:r w:rsidRPr="00D66B09">
        <w:rPr>
          <w:lang w:val="en-US"/>
        </w:rPr>
        <w:t>2017</w:t>
      </w:r>
      <w:r w:rsidR="00A2712B" w:rsidRPr="00D66B09">
        <w:rPr>
          <w:lang w:val="en-US"/>
        </w:rPr>
        <w:t>]</w:t>
      </w:r>
      <w:r w:rsidRPr="00D66B09">
        <w:rPr>
          <w:lang w:val="en-US"/>
        </w:rPr>
        <w:t xml:space="preserve"> ZACC 40</w:t>
      </w:r>
      <w:r w:rsidR="00297480" w:rsidRPr="00D66B09">
        <w:rPr>
          <w:lang w:val="en-US"/>
        </w:rPr>
        <w:t xml:space="preserve"> para 49.</w:t>
      </w:r>
      <w:r w:rsidR="00A41B7E">
        <w:rPr>
          <w:lang w:val="en-US"/>
        </w:rPr>
        <w:t xml:space="preserve"> As indicated, the position would be the same, on these facts, even if the Provincial House </w:t>
      </w:r>
      <w:r w:rsidR="00801596">
        <w:rPr>
          <w:lang w:val="en-US"/>
        </w:rPr>
        <w:t>outcome</w:t>
      </w:r>
      <w:r w:rsidR="00A41B7E">
        <w:rPr>
          <w:lang w:val="en-US"/>
        </w:rPr>
        <w:t xml:space="preserve"> was considered to be an internal appeal decision.</w:t>
      </w:r>
    </w:p>
  </w:footnote>
  <w:footnote w:id="48">
    <w:p w14:paraId="62AFFA6F" w14:textId="0684137F" w:rsidR="00F268EE" w:rsidRPr="00D66B09" w:rsidRDefault="00F268EE" w:rsidP="009400C9">
      <w:pPr>
        <w:pStyle w:val="FootnoteText"/>
        <w:spacing w:line="240" w:lineRule="auto"/>
        <w:jc w:val="both"/>
        <w:rPr>
          <w:lang w:val="en-US"/>
        </w:rPr>
      </w:pPr>
      <w:r w:rsidRPr="00D66B09">
        <w:rPr>
          <w:rStyle w:val="FootnoteReference"/>
        </w:rPr>
        <w:footnoteRef/>
      </w:r>
      <w:r w:rsidRPr="00D66B09">
        <w:t xml:space="preserve"> </w:t>
      </w:r>
      <w:r w:rsidRPr="00D66B09">
        <w:rPr>
          <w:i/>
          <w:iCs/>
        </w:rPr>
        <w:t>Wings Park Port Elizabeth (Pty) Ltd v MEC, Environmental Affairs, Eastern Cape and Others</w:t>
      </w:r>
      <w:r w:rsidRPr="00D66B09">
        <w:t xml:space="preserve"> 2019 (2) SA 606 (ECG) </w:t>
      </w:r>
      <w:r w:rsidR="002D41BF" w:rsidRPr="00D66B09">
        <w:t>(</w:t>
      </w:r>
      <w:r w:rsidR="002D41BF" w:rsidRPr="00D66B09">
        <w:rPr>
          <w:i/>
          <w:iCs/>
        </w:rPr>
        <w:t>Wings Park</w:t>
      </w:r>
      <w:r w:rsidR="002D41BF" w:rsidRPr="00D66B09">
        <w:t>)</w:t>
      </w:r>
      <w:r w:rsidR="002D41BF" w:rsidRPr="00D66B09">
        <w:rPr>
          <w:i/>
          <w:iCs/>
        </w:rPr>
        <w:t xml:space="preserve"> </w:t>
      </w:r>
      <w:r w:rsidRPr="00D66B09">
        <w:t>para</w:t>
      </w:r>
      <w:r w:rsidR="00964544" w:rsidRPr="00D66B09">
        <w:t>s</w:t>
      </w:r>
      <w:r w:rsidRPr="00D66B09">
        <w:t xml:space="preserve"> 34</w:t>
      </w:r>
      <w:r w:rsidR="0023533D" w:rsidRPr="00D66B09">
        <w:t xml:space="preserve"> and</w:t>
      </w:r>
      <w:r w:rsidR="00964544" w:rsidRPr="00D66B09">
        <w:t xml:space="preserve"> 46</w:t>
      </w:r>
      <w:r w:rsidRPr="00D66B09">
        <w:t>.</w:t>
      </w:r>
    </w:p>
  </w:footnote>
  <w:footnote w:id="49">
    <w:p w14:paraId="685DD024" w14:textId="32A2D7D1" w:rsidR="00F11A19" w:rsidRPr="00D66B09" w:rsidRDefault="00F11A19"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 xml:space="preserve">Also see </w:t>
      </w:r>
      <w:r w:rsidRPr="00D66B09">
        <w:rPr>
          <w:i/>
          <w:iCs/>
          <w:lang w:val="en-US"/>
        </w:rPr>
        <w:t>MEC for Health, Eastern Cape and Another v Kirland Investments (Pty) Ltd t/a Eye and Laser Institute</w:t>
      </w:r>
      <w:r w:rsidRPr="00D66B09">
        <w:rPr>
          <w:lang w:val="en-US"/>
        </w:rPr>
        <w:t xml:space="preserve"> 2014 (3) SA 219 (SCA) paras 20</w:t>
      </w:r>
      <w:r w:rsidR="00164D28" w:rsidRPr="00D66B09">
        <w:rPr>
          <w:lang w:val="en-US"/>
        </w:rPr>
        <w:t>-21</w:t>
      </w:r>
      <w:r w:rsidRPr="00D66B09">
        <w:rPr>
          <w:lang w:val="en-US"/>
        </w:rPr>
        <w:t>.</w:t>
      </w:r>
    </w:p>
  </w:footnote>
  <w:footnote w:id="50">
    <w:p w14:paraId="43ED79F5" w14:textId="588DCE96" w:rsidR="002D41BF" w:rsidRPr="00D66B09" w:rsidRDefault="002D41BF" w:rsidP="009400C9">
      <w:pPr>
        <w:pStyle w:val="FootnoteText"/>
        <w:spacing w:line="240" w:lineRule="auto"/>
        <w:jc w:val="both"/>
        <w:rPr>
          <w:lang w:val="en-US"/>
        </w:rPr>
      </w:pPr>
      <w:r w:rsidRPr="00D66B09">
        <w:rPr>
          <w:rStyle w:val="FootnoteReference"/>
        </w:rPr>
        <w:footnoteRef/>
      </w:r>
      <w:r w:rsidRPr="00D66B09">
        <w:t xml:space="preserve"> </w:t>
      </w:r>
      <w:r w:rsidR="00E118F4" w:rsidRPr="00D66B09">
        <w:t xml:space="preserve">See </w:t>
      </w:r>
      <w:r w:rsidR="00E118F4" w:rsidRPr="00D66B09">
        <w:rPr>
          <w:i/>
          <w:iCs/>
        </w:rPr>
        <w:t xml:space="preserve">Wings Park </w:t>
      </w:r>
      <w:r w:rsidR="00E118F4" w:rsidRPr="00D66B09">
        <w:t xml:space="preserve">above n </w:t>
      </w:r>
      <w:r w:rsidR="0035552F" w:rsidRPr="00D66B09">
        <w:t xml:space="preserve">48 </w:t>
      </w:r>
      <w:r w:rsidR="00E118F4" w:rsidRPr="00D66B09">
        <w:t>para 47</w:t>
      </w:r>
      <w:r w:rsidR="00DC4191" w:rsidRPr="00D66B09">
        <w:t xml:space="preserve">; </w:t>
      </w:r>
      <w:r w:rsidR="00DC4191" w:rsidRPr="00D66B09">
        <w:rPr>
          <w:i/>
          <w:iCs/>
        </w:rPr>
        <w:t>Oudekraal Estates (Pty) Ltd v City of Cape Town and Others</w:t>
      </w:r>
      <w:r w:rsidR="00DC4191" w:rsidRPr="00D66B09">
        <w:t xml:space="preserve"> 2004 (6) SA 222 (SCA) para 28.</w:t>
      </w:r>
    </w:p>
  </w:footnote>
  <w:footnote w:id="51">
    <w:p w14:paraId="6F5F5CEE" w14:textId="5EB4B622" w:rsidR="00D40758" w:rsidRPr="00D66B09" w:rsidRDefault="00D40758" w:rsidP="009400C9">
      <w:pPr>
        <w:pStyle w:val="FootnoteText"/>
        <w:spacing w:line="240" w:lineRule="auto"/>
        <w:jc w:val="both"/>
        <w:rPr>
          <w:lang w:val="en-US"/>
        </w:rPr>
      </w:pPr>
      <w:r w:rsidRPr="00D66B09">
        <w:rPr>
          <w:rStyle w:val="FootnoteReference"/>
        </w:rPr>
        <w:footnoteRef/>
      </w:r>
      <w:r w:rsidRPr="00D66B09">
        <w:t xml:space="preserve"> </w:t>
      </w:r>
      <w:r w:rsidRPr="00D66B09">
        <w:rPr>
          <w:i/>
          <w:iCs/>
          <w:lang w:val="en-US"/>
        </w:rPr>
        <w:t>Biowatch Trust v Registrar Genetic Resources and Others</w:t>
      </w:r>
      <w:r w:rsidRPr="00D66B09">
        <w:rPr>
          <w:lang w:val="en-US"/>
        </w:rPr>
        <w:t xml:space="preserve"> 2009 (6) SA 232 (CC) (</w:t>
      </w:r>
      <w:r w:rsidRPr="00D66B09">
        <w:rPr>
          <w:i/>
          <w:iCs/>
          <w:lang w:val="en-US"/>
        </w:rPr>
        <w:t>Biowatch</w:t>
      </w:r>
      <w:r w:rsidRPr="00D66B09">
        <w:rPr>
          <w:lang w:val="en-US"/>
        </w:rPr>
        <w:t>).</w:t>
      </w:r>
    </w:p>
  </w:footnote>
  <w:footnote w:id="52">
    <w:p w14:paraId="0A03F658" w14:textId="77777777" w:rsidR="00CE51BB" w:rsidRPr="00D66B09" w:rsidRDefault="00CE51BB"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Ibid para 20.</w:t>
      </w:r>
    </w:p>
  </w:footnote>
  <w:footnote w:id="53">
    <w:p w14:paraId="550E4CC2" w14:textId="1A3E5E61" w:rsidR="00CE51BB" w:rsidRPr="00D66B09" w:rsidRDefault="00CE51BB"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 xml:space="preserve">See </w:t>
      </w:r>
      <w:r w:rsidRPr="00D66B09">
        <w:rPr>
          <w:i/>
          <w:iCs/>
          <w:lang w:val="en-US"/>
        </w:rPr>
        <w:t>Affordable Medicines Trust and Others v Minister of Health and Another</w:t>
      </w:r>
      <w:r w:rsidRPr="00D66B09">
        <w:rPr>
          <w:lang w:val="en-US"/>
        </w:rPr>
        <w:t xml:space="preserve"> [2005] ZACC 3; 2006 (3) SA 247 (CC) para 139. </w:t>
      </w:r>
      <w:r w:rsidR="00B949A9" w:rsidRPr="00D66B09">
        <w:rPr>
          <w:lang w:val="en-US"/>
        </w:rPr>
        <w:t xml:space="preserve">On the three-fold rationale for the general rule, see </w:t>
      </w:r>
      <w:r w:rsidR="00B949A9" w:rsidRPr="00D66B09">
        <w:rPr>
          <w:i/>
          <w:iCs/>
          <w:lang w:val="en-US"/>
        </w:rPr>
        <w:t>Biowatch</w:t>
      </w:r>
      <w:r w:rsidR="00B949A9" w:rsidRPr="00D66B09">
        <w:rPr>
          <w:lang w:val="en-US"/>
        </w:rPr>
        <w:t xml:space="preserve"> above n </w:t>
      </w:r>
      <w:r w:rsidR="00022E96" w:rsidRPr="00D66B09">
        <w:rPr>
          <w:lang w:val="en-US"/>
        </w:rPr>
        <w:t xml:space="preserve">51 </w:t>
      </w:r>
      <w:r w:rsidR="00B949A9" w:rsidRPr="00D66B09">
        <w:rPr>
          <w:lang w:val="en-US"/>
        </w:rPr>
        <w:t>para 23.</w:t>
      </w:r>
    </w:p>
  </w:footnote>
  <w:footnote w:id="54">
    <w:p w14:paraId="5BDE5D75" w14:textId="5E26F78A" w:rsidR="0016488C" w:rsidRPr="00D66B09" w:rsidRDefault="0016488C" w:rsidP="009400C9">
      <w:pPr>
        <w:pStyle w:val="FootnoteText"/>
        <w:spacing w:line="240" w:lineRule="auto"/>
        <w:jc w:val="both"/>
        <w:rPr>
          <w:lang w:val="en-US"/>
        </w:rPr>
      </w:pPr>
      <w:r w:rsidRPr="00D66B09">
        <w:rPr>
          <w:rStyle w:val="FootnoteReference"/>
        </w:rPr>
        <w:footnoteRef/>
      </w:r>
      <w:r w:rsidRPr="00D66B09">
        <w:t xml:space="preserve"> </w:t>
      </w:r>
      <w:r w:rsidRPr="00D66B09">
        <w:rPr>
          <w:i/>
          <w:iCs/>
          <w:lang w:val="en-US"/>
        </w:rPr>
        <w:t>Biowatch</w:t>
      </w:r>
      <w:r w:rsidRPr="00D66B09">
        <w:rPr>
          <w:lang w:val="en-US"/>
        </w:rPr>
        <w:t xml:space="preserve"> above n </w:t>
      </w:r>
      <w:r w:rsidR="00022E96" w:rsidRPr="00D66B09">
        <w:rPr>
          <w:lang w:val="en-US"/>
        </w:rPr>
        <w:t xml:space="preserve">51 </w:t>
      </w:r>
      <w:r w:rsidRPr="00D66B09">
        <w:rPr>
          <w:lang w:val="en-US"/>
        </w:rPr>
        <w:t>para 25.</w:t>
      </w:r>
    </w:p>
  </w:footnote>
  <w:footnote w:id="55">
    <w:p w14:paraId="05359AA8" w14:textId="1ED9A841" w:rsidR="009F3A5F" w:rsidRPr="00D66B09" w:rsidRDefault="009F3A5F" w:rsidP="009400C9">
      <w:pPr>
        <w:pStyle w:val="FootnoteText"/>
        <w:spacing w:line="240" w:lineRule="auto"/>
        <w:jc w:val="both"/>
        <w:rPr>
          <w:lang w:val="en-US"/>
        </w:rPr>
      </w:pPr>
      <w:r w:rsidRPr="00D66B09">
        <w:rPr>
          <w:rStyle w:val="FootnoteReference"/>
        </w:rPr>
        <w:footnoteRef/>
      </w:r>
      <w:r w:rsidRPr="00D66B09">
        <w:t xml:space="preserve"> </w:t>
      </w:r>
      <w:r w:rsidRPr="00D66B09">
        <w:rPr>
          <w:i/>
          <w:iCs/>
          <w:lang w:val="en-US"/>
        </w:rPr>
        <w:t xml:space="preserve">Biowatch </w:t>
      </w:r>
      <w:r w:rsidRPr="00D66B09">
        <w:rPr>
          <w:lang w:val="en-US"/>
        </w:rPr>
        <w:t xml:space="preserve">above n </w:t>
      </w:r>
      <w:r w:rsidR="00022E96" w:rsidRPr="00D66B09">
        <w:rPr>
          <w:lang w:val="en-US"/>
        </w:rPr>
        <w:t xml:space="preserve">51 </w:t>
      </w:r>
      <w:r w:rsidRPr="00D66B09">
        <w:rPr>
          <w:lang w:val="en-US"/>
        </w:rPr>
        <w:t>para 28.</w:t>
      </w:r>
    </w:p>
  </w:footnote>
  <w:footnote w:id="56">
    <w:p w14:paraId="148A9DEF" w14:textId="495AB290" w:rsidR="009400C9" w:rsidRPr="009400C9" w:rsidRDefault="009400C9" w:rsidP="009400C9">
      <w:pPr>
        <w:pStyle w:val="FootnoteText"/>
        <w:spacing w:line="240" w:lineRule="auto"/>
        <w:rPr>
          <w:lang w:val="en-US"/>
        </w:rPr>
      </w:pPr>
      <w:r>
        <w:rPr>
          <w:rStyle w:val="FootnoteReference"/>
        </w:rPr>
        <w:footnoteRef/>
      </w:r>
      <w:r>
        <w:t xml:space="preserve"> See </w:t>
      </w:r>
      <w:r w:rsidRPr="007E274A">
        <w:rPr>
          <w:i/>
          <w:iCs/>
          <w:lang w:val="en-US"/>
        </w:rPr>
        <w:t xml:space="preserve">Lawyers for Human Rights v Minister in the Presidency and Others </w:t>
      </w:r>
      <w:r w:rsidRPr="007E274A">
        <w:rPr>
          <w:lang w:val="en-US"/>
        </w:rPr>
        <w:t>[2016] ZACC 45</w:t>
      </w:r>
      <w:r w:rsidR="00F23E99">
        <w:rPr>
          <w:lang w:val="en-US"/>
        </w:rPr>
        <w:t xml:space="preserve"> para 19.</w:t>
      </w:r>
    </w:p>
  </w:footnote>
  <w:footnote w:id="57">
    <w:p w14:paraId="36AC253E" w14:textId="4D959929" w:rsidR="001A2977" w:rsidRPr="00D66B09" w:rsidRDefault="001A2977" w:rsidP="009400C9">
      <w:pPr>
        <w:pStyle w:val="FootnoteText"/>
        <w:spacing w:line="240" w:lineRule="auto"/>
        <w:jc w:val="both"/>
        <w:rPr>
          <w:lang w:val="en-US"/>
        </w:rPr>
      </w:pPr>
      <w:r w:rsidRPr="00D66B09">
        <w:rPr>
          <w:rStyle w:val="FootnoteReference"/>
        </w:rPr>
        <w:footnoteRef/>
      </w:r>
      <w:r w:rsidRPr="00D66B09">
        <w:t xml:space="preserve"> </w:t>
      </w:r>
      <w:r w:rsidRPr="00D66B09">
        <w:rPr>
          <w:lang w:val="en-US"/>
        </w:rPr>
        <w:t xml:space="preserve">See </w:t>
      </w:r>
      <w:r w:rsidRPr="00D66B09">
        <w:rPr>
          <w:i/>
          <w:iCs/>
          <w:lang w:val="en-US"/>
        </w:rPr>
        <w:t>Rikhotso v Premier, Limpopo Province and Others</w:t>
      </w:r>
      <w:r w:rsidRPr="00D66B09">
        <w:rPr>
          <w:lang w:val="en-US"/>
        </w:rPr>
        <w:t xml:space="preserve"> [2021] ZACC 1 para 25</w:t>
      </w:r>
      <w:r w:rsidR="007325DE" w:rsidRPr="00D66B09">
        <w:rPr>
          <w:lang w:val="en-US"/>
        </w:rPr>
        <w:t xml:space="preserve">; </w:t>
      </w:r>
      <w:r w:rsidR="00CF22B4" w:rsidRPr="00D66B09">
        <w:rPr>
          <w:i/>
          <w:iCs/>
          <w:lang w:val="en-US"/>
        </w:rPr>
        <w:t xml:space="preserve">Notyawa </w:t>
      </w:r>
      <w:r w:rsidR="00022E96" w:rsidRPr="00D66B09">
        <w:rPr>
          <w:lang w:val="en-US"/>
        </w:rPr>
        <w:t>above n 17</w:t>
      </w:r>
      <w:r w:rsidR="00E96872" w:rsidRPr="00D66B09">
        <w:rPr>
          <w:lang w:val="en-US"/>
        </w:rPr>
        <w:t xml:space="preserve"> para 55; </w:t>
      </w:r>
      <w:r w:rsidR="007325DE" w:rsidRPr="00D66B09">
        <w:rPr>
          <w:i/>
          <w:iCs/>
          <w:lang w:val="en-US"/>
        </w:rPr>
        <w:t>Baleni v Baleni and Others</w:t>
      </w:r>
      <w:r w:rsidR="007325DE" w:rsidRPr="00D66B09">
        <w:rPr>
          <w:lang w:val="en-US"/>
        </w:rPr>
        <w:t xml:space="preserve"> [2012] ZAECMHC 19 para 60.</w:t>
      </w:r>
      <w:r w:rsidR="00CF22B4" w:rsidRPr="00D66B09">
        <w:rPr>
          <w:lang w:val="en-US"/>
        </w:rPr>
        <w:t xml:space="preserve"> Compare, </w:t>
      </w:r>
      <w:r w:rsidR="00195969" w:rsidRPr="00D66B09">
        <w:rPr>
          <w:i/>
          <w:iCs/>
          <w:lang w:val="en-US"/>
        </w:rPr>
        <w:t>BCVO</w:t>
      </w:r>
      <w:r w:rsidR="00195969" w:rsidRPr="00D66B09">
        <w:rPr>
          <w:lang w:val="en-US"/>
        </w:rPr>
        <w:t xml:space="preserve"> above n 29</w:t>
      </w:r>
      <w:r w:rsidR="00CF22B4" w:rsidRPr="00D66B09">
        <w:rPr>
          <w:i/>
          <w:iCs/>
          <w:lang w:val="en-US"/>
        </w:rPr>
        <w:t xml:space="preserve"> </w:t>
      </w:r>
      <w:r w:rsidR="00CF22B4" w:rsidRPr="00D66B09">
        <w:rPr>
          <w:lang w:val="en-US"/>
        </w:rPr>
        <w:t>para 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6BBAD2AC"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916B7">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2367CC"/>
    <w:multiLevelType w:val="hybridMultilevel"/>
    <w:tmpl w:val="86E440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2115C6"/>
    <w:multiLevelType w:val="hybridMultilevel"/>
    <w:tmpl w:val="0CF80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C377FD"/>
    <w:multiLevelType w:val="hybridMultilevel"/>
    <w:tmpl w:val="32D22778"/>
    <w:lvl w:ilvl="0" w:tplc="62A618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0D7D37"/>
    <w:multiLevelType w:val="hybridMultilevel"/>
    <w:tmpl w:val="A6EEA1EE"/>
    <w:lvl w:ilvl="0" w:tplc="D39EE558">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FD3753"/>
    <w:multiLevelType w:val="hybridMultilevel"/>
    <w:tmpl w:val="FB605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2"/>
  </w:num>
  <w:num w:numId="6">
    <w:abstractNumId w:val="8"/>
  </w:num>
  <w:num w:numId="7">
    <w:abstractNumId w:val="15"/>
  </w:num>
  <w:num w:numId="8">
    <w:abstractNumId w:val="1"/>
  </w:num>
  <w:num w:numId="9">
    <w:abstractNumId w:val="5"/>
  </w:num>
  <w:num w:numId="10">
    <w:abstractNumId w:val="10"/>
  </w:num>
  <w:num w:numId="11">
    <w:abstractNumId w:val="13"/>
  </w:num>
  <w:num w:numId="12">
    <w:abstractNumId w:val="7"/>
  </w:num>
  <w:num w:numId="13">
    <w:abstractNumId w:val="11"/>
  </w:num>
  <w:num w:numId="14">
    <w:abstractNumId w:val="6"/>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399D"/>
    <w:rsid w:val="00004E1E"/>
    <w:rsid w:val="00005691"/>
    <w:rsid w:val="00005ABB"/>
    <w:rsid w:val="00005BC2"/>
    <w:rsid w:val="00005DA1"/>
    <w:rsid w:val="0000642E"/>
    <w:rsid w:val="00006EF3"/>
    <w:rsid w:val="00007087"/>
    <w:rsid w:val="00007904"/>
    <w:rsid w:val="000102DD"/>
    <w:rsid w:val="000109B4"/>
    <w:rsid w:val="00012A2F"/>
    <w:rsid w:val="00014437"/>
    <w:rsid w:val="0001452E"/>
    <w:rsid w:val="00014770"/>
    <w:rsid w:val="00015706"/>
    <w:rsid w:val="00016754"/>
    <w:rsid w:val="00016FDA"/>
    <w:rsid w:val="00020EAE"/>
    <w:rsid w:val="00021AB9"/>
    <w:rsid w:val="000220C3"/>
    <w:rsid w:val="00022804"/>
    <w:rsid w:val="00022E96"/>
    <w:rsid w:val="00027BC3"/>
    <w:rsid w:val="00027DA3"/>
    <w:rsid w:val="00030A25"/>
    <w:rsid w:val="000323B0"/>
    <w:rsid w:val="00032C55"/>
    <w:rsid w:val="000341AF"/>
    <w:rsid w:val="00034B32"/>
    <w:rsid w:val="0003553E"/>
    <w:rsid w:val="000361DC"/>
    <w:rsid w:val="0004040E"/>
    <w:rsid w:val="00040F79"/>
    <w:rsid w:val="000422CD"/>
    <w:rsid w:val="0004347D"/>
    <w:rsid w:val="0004373B"/>
    <w:rsid w:val="00044B50"/>
    <w:rsid w:val="000451D0"/>
    <w:rsid w:val="00047035"/>
    <w:rsid w:val="000478E8"/>
    <w:rsid w:val="00047A7D"/>
    <w:rsid w:val="0005061D"/>
    <w:rsid w:val="00050CF2"/>
    <w:rsid w:val="000515CC"/>
    <w:rsid w:val="00051F6C"/>
    <w:rsid w:val="000536DD"/>
    <w:rsid w:val="00053D81"/>
    <w:rsid w:val="000540AB"/>
    <w:rsid w:val="00054DEC"/>
    <w:rsid w:val="00055C33"/>
    <w:rsid w:val="00056042"/>
    <w:rsid w:val="00056FBA"/>
    <w:rsid w:val="000574BF"/>
    <w:rsid w:val="0006125A"/>
    <w:rsid w:val="000628D5"/>
    <w:rsid w:val="00063188"/>
    <w:rsid w:val="00063C6E"/>
    <w:rsid w:val="00063D5A"/>
    <w:rsid w:val="0007050F"/>
    <w:rsid w:val="00070A50"/>
    <w:rsid w:val="00072188"/>
    <w:rsid w:val="0007234C"/>
    <w:rsid w:val="00072B9E"/>
    <w:rsid w:val="00072F00"/>
    <w:rsid w:val="00073EFC"/>
    <w:rsid w:val="00074CCD"/>
    <w:rsid w:val="00075871"/>
    <w:rsid w:val="000778A4"/>
    <w:rsid w:val="000808CC"/>
    <w:rsid w:val="00080D4E"/>
    <w:rsid w:val="000815F5"/>
    <w:rsid w:val="00081B69"/>
    <w:rsid w:val="0008246F"/>
    <w:rsid w:val="00083322"/>
    <w:rsid w:val="00083386"/>
    <w:rsid w:val="000833DB"/>
    <w:rsid w:val="000843AD"/>
    <w:rsid w:val="00084C6F"/>
    <w:rsid w:val="0008624C"/>
    <w:rsid w:val="00086278"/>
    <w:rsid w:val="00086A06"/>
    <w:rsid w:val="00086B04"/>
    <w:rsid w:val="0009015D"/>
    <w:rsid w:val="000910CD"/>
    <w:rsid w:val="00091F8C"/>
    <w:rsid w:val="00092BB6"/>
    <w:rsid w:val="00094465"/>
    <w:rsid w:val="0009497C"/>
    <w:rsid w:val="00096BC1"/>
    <w:rsid w:val="000976CA"/>
    <w:rsid w:val="000A0174"/>
    <w:rsid w:val="000A369D"/>
    <w:rsid w:val="000A59DC"/>
    <w:rsid w:val="000B0946"/>
    <w:rsid w:val="000B0DC8"/>
    <w:rsid w:val="000B26AE"/>
    <w:rsid w:val="000B26CF"/>
    <w:rsid w:val="000B27D0"/>
    <w:rsid w:val="000B548D"/>
    <w:rsid w:val="000B5790"/>
    <w:rsid w:val="000B5FBC"/>
    <w:rsid w:val="000B6309"/>
    <w:rsid w:val="000B643B"/>
    <w:rsid w:val="000B6A3C"/>
    <w:rsid w:val="000B78EC"/>
    <w:rsid w:val="000C166A"/>
    <w:rsid w:val="000C2D21"/>
    <w:rsid w:val="000C305D"/>
    <w:rsid w:val="000C3531"/>
    <w:rsid w:val="000C3620"/>
    <w:rsid w:val="000C39A5"/>
    <w:rsid w:val="000C450C"/>
    <w:rsid w:val="000C7179"/>
    <w:rsid w:val="000C7746"/>
    <w:rsid w:val="000C7A27"/>
    <w:rsid w:val="000C7C8B"/>
    <w:rsid w:val="000D085B"/>
    <w:rsid w:val="000D0D78"/>
    <w:rsid w:val="000D22FB"/>
    <w:rsid w:val="000D4820"/>
    <w:rsid w:val="000D487F"/>
    <w:rsid w:val="000D4BFA"/>
    <w:rsid w:val="000D4C7F"/>
    <w:rsid w:val="000D5D16"/>
    <w:rsid w:val="000D667A"/>
    <w:rsid w:val="000E1C45"/>
    <w:rsid w:val="000E2444"/>
    <w:rsid w:val="000E3E15"/>
    <w:rsid w:val="000E4F0D"/>
    <w:rsid w:val="000E5100"/>
    <w:rsid w:val="000E57CC"/>
    <w:rsid w:val="000E63C7"/>
    <w:rsid w:val="000E6981"/>
    <w:rsid w:val="000E7ECD"/>
    <w:rsid w:val="000F05E0"/>
    <w:rsid w:val="000F1A95"/>
    <w:rsid w:val="000F3663"/>
    <w:rsid w:val="000F6460"/>
    <w:rsid w:val="000F64DD"/>
    <w:rsid w:val="000F6BFE"/>
    <w:rsid w:val="000F7DF4"/>
    <w:rsid w:val="0010068E"/>
    <w:rsid w:val="00100F9A"/>
    <w:rsid w:val="00101B28"/>
    <w:rsid w:val="0010218C"/>
    <w:rsid w:val="0010221F"/>
    <w:rsid w:val="00102D5B"/>
    <w:rsid w:val="001044DB"/>
    <w:rsid w:val="00105076"/>
    <w:rsid w:val="00105EB6"/>
    <w:rsid w:val="0010622C"/>
    <w:rsid w:val="001078B5"/>
    <w:rsid w:val="00107A5F"/>
    <w:rsid w:val="0011026A"/>
    <w:rsid w:val="00110EF0"/>
    <w:rsid w:val="001124A5"/>
    <w:rsid w:val="00113542"/>
    <w:rsid w:val="00116EB9"/>
    <w:rsid w:val="00120E93"/>
    <w:rsid w:val="001226DE"/>
    <w:rsid w:val="001231F2"/>
    <w:rsid w:val="00123296"/>
    <w:rsid w:val="00123757"/>
    <w:rsid w:val="0012621C"/>
    <w:rsid w:val="0012630C"/>
    <w:rsid w:val="00126C9D"/>
    <w:rsid w:val="00127981"/>
    <w:rsid w:val="00130228"/>
    <w:rsid w:val="00131984"/>
    <w:rsid w:val="00131A28"/>
    <w:rsid w:val="0013267C"/>
    <w:rsid w:val="001337CC"/>
    <w:rsid w:val="00134C11"/>
    <w:rsid w:val="00135321"/>
    <w:rsid w:val="00135C81"/>
    <w:rsid w:val="00137E08"/>
    <w:rsid w:val="00142C77"/>
    <w:rsid w:val="00142F79"/>
    <w:rsid w:val="001435EB"/>
    <w:rsid w:val="00144974"/>
    <w:rsid w:val="00146BA3"/>
    <w:rsid w:val="00147463"/>
    <w:rsid w:val="001505DA"/>
    <w:rsid w:val="001517E0"/>
    <w:rsid w:val="00151860"/>
    <w:rsid w:val="00151CDA"/>
    <w:rsid w:val="00156728"/>
    <w:rsid w:val="001572A1"/>
    <w:rsid w:val="00157785"/>
    <w:rsid w:val="00157898"/>
    <w:rsid w:val="00157C19"/>
    <w:rsid w:val="00160A87"/>
    <w:rsid w:val="00160EBC"/>
    <w:rsid w:val="00160F58"/>
    <w:rsid w:val="001632DB"/>
    <w:rsid w:val="00163A58"/>
    <w:rsid w:val="0016488C"/>
    <w:rsid w:val="00164B7B"/>
    <w:rsid w:val="00164D28"/>
    <w:rsid w:val="0016510D"/>
    <w:rsid w:val="00167121"/>
    <w:rsid w:val="00167C42"/>
    <w:rsid w:val="00170AA0"/>
    <w:rsid w:val="00171B72"/>
    <w:rsid w:val="00172B5C"/>
    <w:rsid w:val="00173547"/>
    <w:rsid w:val="00174B6D"/>
    <w:rsid w:val="0017614D"/>
    <w:rsid w:val="00176B34"/>
    <w:rsid w:val="0017743F"/>
    <w:rsid w:val="00177C58"/>
    <w:rsid w:val="0018006A"/>
    <w:rsid w:val="00180F4E"/>
    <w:rsid w:val="00181536"/>
    <w:rsid w:val="00181923"/>
    <w:rsid w:val="00181E7E"/>
    <w:rsid w:val="00182175"/>
    <w:rsid w:val="00184107"/>
    <w:rsid w:val="00184625"/>
    <w:rsid w:val="00184CAB"/>
    <w:rsid w:val="00184EB9"/>
    <w:rsid w:val="00186769"/>
    <w:rsid w:val="001870AF"/>
    <w:rsid w:val="0019051A"/>
    <w:rsid w:val="001916B7"/>
    <w:rsid w:val="00191768"/>
    <w:rsid w:val="00191E58"/>
    <w:rsid w:val="00192869"/>
    <w:rsid w:val="001943D2"/>
    <w:rsid w:val="00194974"/>
    <w:rsid w:val="001954F0"/>
    <w:rsid w:val="00195571"/>
    <w:rsid w:val="001955AB"/>
    <w:rsid w:val="00195969"/>
    <w:rsid w:val="00196742"/>
    <w:rsid w:val="0019730D"/>
    <w:rsid w:val="001A1000"/>
    <w:rsid w:val="001A2323"/>
    <w:rsid w:val="001A2977"/>
    <w:rsid w:val="001A4F33"/>
    <w:rsid w:val="001A6019"/>
    <w:rsid w:val="001A6DCD"/>
    <w:rsid w:val="001B0D01"/>
    <w:rsid w:val="001B2578"/>
    <w:rsid w:val="001B2FE4"/>
    <w:rsid w:val="001B505F"/>
    <w:rsid w:val="001B6407"/>
    <w:rsid w:val="001B69E3"/>
    <w:rsid w:val="001C04BC"/>
    <w:rsid w:val="001C2DD7"/>
    <w:rsid w:val="001C48A5"/>
    <w:rsid w:val="001C7061"/>
    <w:rsid w:val="001D0915"/>
    <w:rsid w:val="001D0962"/>
    <w:rsid w:val="001D214B"/>
    <w:rsid w:val="001D294A"/>
    <w:rsid w:val="001D416A"/>
    <w:rsid w:val="001D4C5E"/>
    <w:rsid w:val="001D5789"/>
    <w:rsid w:val="001D5A9D"/>
    <w:rsid w:val="001D5F83"/>
    <w:rsid w:val="001D61C8"/>
    <w:rsid w:val="001D6994"/>
    <w:rsid w:val="001E0F36"/>
    <w:rsid w:val="001E134E"/>
    <w:rsid w:val="001E1834"/>
    <w:rsid w:val="001E1B07"/>
    <w:rsid w:val="001E24E0"/>
    <w:rsid w:val="001E297E"/>
    <w:rsid w:val="001E317A"/>
    <w:rsid w:val="001E3AEB"/>
    <w:rsid w:val="001E3F58"/>
    <w:rsid w:val="001E4824"/>
    <w:rsid w:val="001E5F34"/>
    <w:rsid w:val="001E61FF"/>
    <w:rsid w:val="001E640A"/>
    <w:rsid w:val="001E68DC"/>
    <w:rsid w:val="001E6A6E"/>
    <w:rsid w:val="001E701F"/>
    <w:rsid w:val="001E7844"/>
    <w:rsid w:val="001E78D5"/>
    <w:rsid w:val="001E7C8F"/>
    <w:rsid w:val="001F0FAC"/>
    <w:rsid w:val="001F2276"/>
    <w:rsid w:val="001F335C"/>
    <w:rsid w:val="001F3A41"/>
    <w:rsid w:val="001F4A8C"/>
    <w:rsid w:val="001F59AB"/>
    <w:rsid w:val="001F67A9"/>
    <w:rsid w:val="001F6E7E"/>
    <w:rsid w:val="00201DC6"/>
    <w:rsid w:val="00201F12"/>
    <w:rsid w:val="00206D6C"/>
    <w:rsid w:val="00207573"/>
    <w:rsid w:val="002115FE"/>
    <w:rsid w:val="0021211F"/>
    <w:rsid w:val="00213565"/>
    <w:rsid w:val="00213E8A"/>
    <w:rsid w:val="0021430F"/>
    <w:rsid w:val="0021463A"/>
    <w:rsid w:val="0021550F"/>
    <w:rsid w:val="00215EBC"/>
    <w:rsid w:val="00216C09"/>
    <w:rsid w:val="0021730A"/>
    <w:rsid w:val="00217399"/>
    <w:rsid w:val="002203EC"/>
    <w:rsid w:val="00220AD5"/>
    <w:rsid w:val="00220AE5"/>
    <w:rsid w:val="00222854"/>
    <w:rsid w:val="002230C0"/>
    <w:rsid w:val="00224363"/>
    <w:rsid w:val="0022594E"/>
    <w:rsid w:val="00226444"/>
    <w:rsid w:val="00226ADA"/>
    <w:rsid w:val="00227379"/>
    <w:rsid w:val="00227C30"/>
    <w:rsid w:val="00230B10"/>
    <w:rsid w:val="00231325"/>
    <w:rsid w:val="00231D8D"/>
    <w:rsid w:val="002327AF"/>
    <w:rsid w:val="00233F4C"/>
    <w:rsid w:val="0023410F"/>
    <w:rsid w:val="0023533D"/>
    <w:rsid w:val="0023677B"/>
    <w:rsid w:val="00236B9D"/>
    <w:rsid w:val="0023768E"/>
    <w:rsid w:val="002402F6"/>
    <w:rsid w:val="002440F5"/>
    <w:rsid w:val="00245504"/>
    <w:rsid w:val="002456DF"/>
    <w:rsid w:val="00245BEB"/>
    <w:rsid w:val="00247551"/>
    <w:rsid w:val="00250530"/>
    <w:rsid w:val="0025056A"/>
    <w:rsid w:val="00252FC1"/>
    <w:rsid w:val="00253273"/>
    <w:rsid w:val="00254CB5"/>
    <w:rsid w:val="00256208"/>
    <w:rsid w:val="00256FCC"/>
    <w:rsid w:val="00257A15"/>
    <w:rsid w:val="002606D8"/>
    <w:rsid w:val="00260A94"/>
    <w:rsid w:val="00260B67"/>
    <w:rsid w:val="002612A5"/>
    <w:rsid w:val="00261583"/>
    <w:rsid w:val="0026158F"/>
    <w:rsid w:val="002617D8"/>
    <w:rsid w:val="0026282E"/>
    <w:rsid w:val="00262A08"/>
    <w:rsid w:val="00262D2A"/>
    <w:rsid w:val="002635B7"/>
    <w:rsid w:val="00263B8D"/>
    <w:rsid w:val="002641FD"/>
    <w:rsid w:val="0026495C"/>
    <w:rsid w:val="00265010"/>
    <w:rsid w:val="00265180"/>
    <w:rsid w:val="00265AEB"/>
    <w:rsid w:val="0026634E"/>
    <w:rsid w:val="0026645C"/>
    <w:rsid w:val="00266F97"/>
    <w:rsid w:val="002674C1"/>
    <w:rsid w:val="002705E9"/>
    <w:rsid w:val="00272931"/>
    <w:rsid w:val="00273903"/>
    <w:rsid w:val="00274C64"/>
    <w:rsid w:val="00275410"/>
    <w:rsid w:val="00276100"/>
    <w:rsid w:val="002773A2"/>
    <w:rsid w:val="00277EB6"/>
    <w:rsid w:val="00280CB3"/>
    <w:rsid w:val="002810EB"/>
    <w:rsid w:val="0028182D"/>
    <w:rsid w:val="00282862"/>
    <w:rsid w:val="002829E7"/>
    <w:rsid w:val="0028461E"/>
    <w:rsid w:val="002852C4"/>
    <w:rsid w:val="00285664"/>
    <w:rsid w:val="00287A18"/>
    <w:rsid w:val="00287A26"/>
    <w:rsid w:val="00290DC6"/>
    <w:rsid w:val="00290E92"/>
    <w:rsid w:val="00292EC2"/>
    <w:rsid w:val="0029395B"/>
    <w:rsid w:val="00294124"/>
    <w:rsid w:val="00294129"/>
    <w:rsid w:val="00294313"/>
    <w:rsid w:val="00294472"/>
    <w:rsid w:val="002960D0"/>
    <w:rsid w:val="00297480"/>
    <w:rsid w:val="00297CE5"/>
    <w:rsid w:val="002A01B5"/>
    <w:rsid w:val="002A080F"/>
    <w:rsid w:val="002A0EB5"/>
    <w:rsid w:val="002A0FDC"/>
    <w:rsid w:val="002A157A"/>
    <w:rsid w:val="002A1950"/>
    <w:rsid w:val="002A1D97"/>
    <w:rsid w:val="002A1E2F"/>
    <w:rsid w:val="002A21AF"/>
    <w:rsid w:val="002A2AA4"/>
    <w:rsid w:val="002A365A"/>
    <w:rsid w:val="002A3836"/>
    <w:rsid w:val="002A3C5C"/>
    <w:rsid w:val="002A3CEF"/>
    <w:rsid w:val="002A3D6D"/>
    <w:rsid w:val="002A61D9"/>
    <w:rsid w:val="002A6332"/>
    <w:rsid w:val="002A6593"/>
    <w:rsid w:val="002A6B82"/>
    <w:rsid w:val="002A7055"/>
    <w:rsid w:val="002A73A7"/>
    <w:rsid w:val="002B0DEA"/>
    <w:rsid w:val="002B31B7"/>
    <w:rsid w:val="002B3FE3"/>
    <w:rsid w:val="002B490D"/>
    <w:rsid w:val="002B4F88"/>
    <w:rsid w:val="002B54B7"/>
    <w:rsid w:val="002B6730"/>
    <w:rsid w:val="002B7874"/>
    <w:rsid w:val="002C136A"/>
    <w:rsid w:val="002C1ECF"/>
    <w:rsid w:val="002C1ED3"/>
    <w:rsid w:val="002C2341"/>
    <w:rsid w:val="002C3A0D"/>
    <w:rsid w:val="002C45D8"/>
    <w:rsid w:val="002C4659"/>
    <w:rsid w:val="002C7128"/>
    <w:rsid w:val="002D1A21"/>
    <w:rsid w:val="002D2149"/>
    <w:rsid w:val="002D41BF"/>
    <w:rsid w:val="002D4CBC"/>
    <w:rsid w:val="002D4E6E"/>
    <w:rsid w:val="002D6D70"/>
    <w:rsid w:val="002D7292"/>
    <w:rsid w:val="002E0CCA"/>
    <w:rsid w:val="002E141A"/>
    <w:rsid w:val="002E1B95"/>
    <w:rsid w:val="002E2DC8"/>
    <w:rsid w:val="002E3EC7"/>
    <w:rsid w:val="002E4808"/>
    <w:rsid w:val="002E483E"/>
    <w:rsid w:val="002E6D7C"/>
    <w:rsid w:val="002E7045"/>
    <w:rsid w:val="002E7199"/>
    <w:rsid w:val="002F012F"/>
    <w:rsid w:val="002F0211"/>
    <w:rsid w:val="002F0513"/>
    <w:rsid w:val="002F0990"/>
    <w:rsid w:val="002F0C58"/>
    <w:rsid w:val="002F13D1"/>
    <w:rsid w:val="002F33C4"/>
    <w:rsid w:val="002F37F8"/>
    <w:rsid w:val="002F4EDB"/>
    <w:rsid w:val="002F5EA3"/>
    <w:rsid w:val="002F60D3"/>
    <w:rsid w:val="002F622D"/>
    <w:rsid w:val="002F6904"/>
    <w:rsid w:val="002F7574"/>
    <w:rsid w:val="003006BA"/>
    <w:rsid w:val="00300A59"/>
    <w:rsid w:val="00300E79"/>
    <w:rsid w:val="0030214A"/>
    <w:rsid w:val="00302992"/>
    <w:rsid w:val="00302E78"/>
    <w:rsid w:val="003035F7"/>
    <w:rsid w:val="00303C07"/>
    <w:rsid w:val="00304D01"/>
    <w:rsid w:val="00306288"/>
    <w:rsid w:val="00307F13"/>
    <w:rsid w:val="003133C9"/>
    <w:rsid w:val="003140F9"/>
    <w:rsid w:val="003148EA"/>
    <w:rsid w:val="003150CA"/>
    <w:rsid w:val="00315CB8"/>
    <w:rsid w:val="00315D8D"/>
    <w:rsid w:val="0031669D"/>
    <w:rsid w:val="003168ED"/>
    <w:rsid w:val="003172EB"/>
    <w:rsid w:val="00317AB4"/>
    <w:rsid w:val="00321E11"/>
    <w:rsid w:val="00321EF4"/>
    <w:rsid w:val="003228A7"/>
    <w:rsid w:val="003233C3"/>
    <w:rsid w:val="00323BE6"/>
    <w:rsid w:val="00324CE8"/>
    <w:rsid w:val="00325BD4"/>
    <w:rsid w:val="003261BD"/>
    <w:rsid w:val="00326A33"/>
    <w:rsid w:val="0032785C"/>
    <w:rsid w:val="00327E36"/>
    <w:rsid w:val="00327E53"/>
    <w:rsid w:val="00330795"/>
    <w:rsid w:val="00330E85"/>
    <w:rsid w:val="0033219D"/>
    <w:rsid w:val="00334624"/>
    <w:rsid w:val="003348CF"/>
    <w:rsid w:val="00334A0F"/>
    <w:rsid w:val="00335693"/>
    <w:rsid w:val="00335897"/>
    <w:rsid w:val="0033634C"/>
    <w:rsid w:val="0033669D"/>
    <w:rsid w:val="003366BF"/>
    <w:rsid w:val="003367DD"/>
    <w:rsid w:val="00336F00"/>
    <w:rsid w:val="00336F16"/>
    <w:rsid w:val="0034206E"/>
    <w:rsid w:val="00343E5D"/>
    <w:rsid w:val="0034439B"/>
    <w:rsid w:val="003455A7"/>
    <w:rsid w:val="003469BB"/>
    <w:rsid w:val="00347B78"/>
    <w:rsid w:val="00350743"/>
    <w:rsid w:val="00350A47"/>
    <w:rsid w:val="003513CA"/>
    <w:rsid w:val="00351FAC"/>
    <w:rsid w:val="003529AF"/>
    <w:rsid w:val="00353652"/>
    <w:rsid w:val="00353E85"/>
    <w:rsid w:val="00354826"/>
    <w:rsid w:val="00354A73"/>
    <w:rsid w:val="0035552F"/>
    <w:rsid w:val="003564CA"/>
    <w:rsid w:val="0035756C"/>
    <w:rsid w:val="00357751"/>
    <w:rsid w:val="003601F1"/>
    <w:rsid w:val="00360BFC"/>
    <w:rsid w:val="00362A40"/>
    <w:rsid w:val="00363BF3"/>
    <w:rsid w:val="003649E8"/>
    <w:rsid w:val="00364BFE"/>
    <w:rsid w:val="00366631"/>
    <w:rsid w:val="003679D5"/>
    <w:rsid w:val="00367B79"/>
    <w:rsid w:val="00367EB3"/>
    <w:rsid w:val="003700BB"/>
    <w:rsid w:val="0037015D"/>
    <w:rsid w:val="0037217E"/>
    <w:rsid w:val="00372221"/>
    <w:rsid w:val="00373BB6"/>
    <w:rsid w:val="00374C3C"/>
    <w:rsid w:val="00374F02"/>
    <w:rsid w:val="00375614"/>
    <w:rsid w:val="0037780E"/>
    <w:rsid w:val="00380E60"/>
    <w:rsid w:val="00381483"/>
    <w:rsid w:val="00381C36"/>
    <w:rsid w:val="00381D62"/>
    <w:rsid w:val="00382ADF"/>
    <w:rsid w:val="00382FF5"/>
    <w:rsid w:val="003850C1"/>
    <w:rsid w:val="00385AF6"/>
    <w:rsid w:val="003869D5"/>
    <w:rsid w:val="003905B9"/>
    <w:rsid w:val="00390AFE"/>
    <w:rsid w:val="0039206E"/>
    <w:rsid w:val="00392A4B"/>
    <w:rsid w:val="00392AA2"/>
    <w:rsid w:val="00393BA3"/>
    <w:rsid w:val="0039527F"/>
    <w:rsid w:val="00395A71"/>
    <w:rsid w:val="0039682A"/>
    <w:rsid w:val="00396DCF"/>
    <w:rsid w:val="003A28FD"/>
    <w:rsid w:val="003A37F4"/>
    <w:rsid w:val="003A4F1D"/>
    <w:rsid w:val="003A4F95"/>
    <w:rsid w:val="003A6F71"/>
    <w:rsid w:val="003A745C"/>
    <w:rsid w:val="003A7AA6"/>
    <w:rsid w:val="003A7BAA"/>
    <w:rsid w:val="003B01D4"/>
    <w:rsid w:val="003B10EC"/>
    <w:rsid w:val="003B1570"/>
    <w:rsid w:val="003B15C9"/>
    <w:rsid w:val="003B21BF"/>
    <w:rsid w:val="003B28DC"/>
    <w:rsid w:val="003B3C31"/>
    <w:rsid w:val="003B43B8"/>
    <w:rsid w:val="003B58FE"/>
    <w:rsid w:val="003B5FEE"/>
    <w:rsid w:val="003B76D9"/>
    <w:rsid w:val="003C0CEB"/>
    <w:rsid w:val="003C1FFE"/>
    <w:rsid w:val="003C351A"/>
    <w:rsid w:val="003C3BC6"/>
    <w:rsid w:val="003C5934"/>
    <w:rsid w:val="003C7080"/>
    <w:rsid w:val="003C71A9"/>
    <w:rsid w:val="003C777B"/>
    <w:rsid w:val="003D00AA"/>
    <w:rsid w:val="003D11D0"/>
    <w:rsid w:val="003D2373"/>
    <w:rsid w:val="003D239A"/>
    <w:rsid w:val="003D2C74"/>
    <w:rsid w:val="003D3B1E"/>
    <w:rsid w:val="003D5245"/>
    <w:rsid w:val="003D5507"/>
    <w:rsid w:val="003D5A10"/>
    <w:rsid w:val="003D5E6D"/>
    <w:rsid w:val="003D68DC"/>
    <w:rsid w:val="003D694F"/>
    <w:rsid w:val="003D7CB9"/>
    <w:rsid w:val="003E0F7C"/>
    <w:rsid w:val="003E2B73"/>
    <w:rsid w:val="003E2F03"/>
    <w:rsid w:val="003E3BBF"/>
    <w:rsid w:val="003E424A"/>
    <w:rsid w:val="003E6DA1"/>
    <w:rsid w:val="003E75F3"/>
    <w:rsid w:val="003F0D9E"/>
    <w:rsid w:val="003F1974"/>
    <w:rsid w:val="003F2109"/>
    <w:rsid w:val="003F2790"/>
    <w:rsid w:val="003F50FF"/>
    <w:rsid w:val="003F5900"/>
    <w:rsid w:val="003F6355"/>
    <w:rsid w:val="003F78B1"/>
    <w:rsid w:val="00400266"/>
    <w:rsid w:val="00401242"/>
    <w:rsid w:val="00401A9A"/>
    <w:rsid w:val="00401EB3"/>
    <w:rsid w:val="00402234"/>
    <w:rsid w:val="0040260D"/>
    <w:rsid w:val="00402EEA"/>
    <w:rsid w:val="004036B1"/>
    <w:rsid w:val="0040386C"/>
    <w:rsid w:val="00403A44"/>
    <w:rsid w:val="00404201"/>
    <w:rsid w:val="00404521"/>
    <w:rsid w:val="00404584"/>
    <w:rsid w:val="00405CEF"/>
    <w:rsid w:val="00406337"/>
    <w:rsid w:val="00406A00"/>
    <w:rsid w:val="004074B3"/>
    <w:rsid w:val="004075EA"/>
    <w:rsid w:val="004076BE"/>
    <w:rsid w:val="00410C82"/>
    <w:rsid w:val="0041108E"/>
    <w:rsid w:val="00412DF2"/>
    <w:rsid w:val="004138F5"/>
    <w:rsid w:val="00413D22"/>
    <w:rsid w:val="00414C90"/>
    <w:rsid w:val="004165B0"/>
    <w:rsid w:val="004165D6"/>
    <w:rsid w:val="004168AE"/>
    <w:rsid w:val="00420C58"/>
    <w:rsid w:val="0042163E"/>
    <w:rsid w:val="00423163"/>
    <w:rsid w:val="004244A5"/>
    <w:rsid w:val="00425739"/>
    <w:rsid w:val="004272EF"/>
    <w:rsid w:val="00427318"/>
    <w:rsid w:val="00427568"/>
    <w:rsid w:val="004276CD"/>
    <w:rsid w:val="0042778E"/>
    <w:rsid w:val="00427843"/>
    <w:rsid w:val="00427BAE"/>
    <w:rsid w:val="004302B6"/>
    <w:rsid w:val="0043230A"/>
    <w:rsid w:val="00432705"/>
    <w:rsid w:val="004331EC"/>
    <w:rsid w:val="004333D0"/>
    <w:rsid w:val="0043511C"/>
    <w:rsid w:val="00435538"/>
    <w:rsid w:val="00435A3C"/>
    <w:rsid w:val="00437489"/>
    <w:rsid w:val="00437E88"/>
    <w:rsid w:val="00440672"/>
    <w:rsid w:val="00441E70"/>
    <w:rsid w:val="00443779"/>
    <w:rsid w:val="00443CCC"/>
    <w:rsid w:val="00444104"/>
    <w:rsid w:val="004441E4"/>
    <w:rsid w:val="004448E8"/>
    <w:rsid w:val="004452E6"/>
    <w:rsid w:val="00447264"/>
    <w:rsid w:val="004474FB"/>
    <w:rsid w:val="0045087F"/>
    <w:rsid w:val="00451C74"/>
    <w:rsid w:val="004528CC"/>
    <w:rsid w:val="004529C3"/>
    <w:rsid w:val="004532CE"/>
    <w:rsid w:val="004534EB"/>
    <w:rsid w:val="0045389E"/>
    <w:rsid w:val="0045608B"/>
    <w:rsid w:val="0045749B"/>
    <w:rsid w:val="004652FD"/>
    <w:rsid w:val="00465385"/>
    <w:rsid w:val="004657F4"/>
    <w:rsid w:val="004663C1"/>
    <w:rsid w:val="00466979"/>
    <w:rsid w:val="00466D17"/>
    <w:rsid w:val="00467E20"/>
    <w:rsid w:val="004725B8"/>
    <w:rsid w:val="00472A4C"/>
    <w:rsid w:val="00472B05"/>
    <w:rsid w:val="00472E85"/>
    <w:rsid w:val="00472FFB"/>
    <w:rsid w:val="0047304F"/>
    <w:rsid w:val="00473068"/>
    <w:rsid w:val="004735D5"/>
    <w:rsid w:val="0047556B"/>
    <w:rsid w:val="004758AB"/>
    <w:rsid w:val="00475C2D"/>
    <w:rsid w:val="00477226"/>
    <w:rsid w:val="0048069D"/>
    <w:rsid w:val="00480E09"/>
    <w:rsid w:val="004813E8"/>
    <w:rsid w:val="004827F3"/>
    <w:rsid w:val="004829F2"/>
    <w:rsid w:val="00484419"/>
    <w:rsid w:val="00486114"/>
    <w:rsid w:val="00486188"/>
    <w:rsid w:val="004863E4"/>
    <w:rsid w:val="00487264"/>
    <w:rsid w:val="00490D2A"/>
    <w:rsid w:val="0049105D"/>
    <w:rsid w:val="004918C4"/>
    <w:rsid w:val="00492CD7"/>
    <w:rsid w:val="004932A2"/>
    <w:rsid w:val="004953EF"/>
    <w:rsid w:val="00495BDF"/>
    <w:rsid w:val="00495F3A"/>
    <w:rsid w:val="00496E8C"/>
    <w:rsid w:val="00496EAA"/>
    <w:rsid w:val="004A00B9"/>
    <w:rsid w:val="004A08D7"/>
    <w:rsid w:val="004A5151"/>
    <w:rsid w:val="004A5DB1"/>
    <w:rsid w:val="004A687F"/>
    <w:rsid w:val="004A7359"/>
    <w:rsid w:val="004B029B"/>
    <w:rsid w:val="004B3161"/>
    <w:rsid w:val="004B55E9"/>
    <w:rsid w:val="004B5BAF"/>
    <w:rsid w:val="004B5CB4"/>
    <w:rsid w:val="004B632A"/>
    <w:rsid w:val="004B7E82"/>
    <w:rsid w:val="004C06AD"/>
    <w:rsid w:val="004C0946"/>
    <w:rsid w:val="004C0C08"/>
    <w:rsid w:val="004C13CF"/>
    <w:rsid w:val="004C4900"/>
    <w:rsid w:val="004C4DD5"/>
    <w:rsid w:val="004C7D8B"/>
    <w:rsid w:val="004C7EB2"/>
    <w:rsid w:val="004D0163"/>
    <w:rsid w:val="004D0AC5"/>
    <w:rsid w:val="004D0ECD"/>
    <w:rsid w:val="004D1013"/>
    <w:rsid w:val="004D19EB"/>
    <w:rsid w:val="004D1AAF"/>
    <w:rsid w:val="004D2D4F"/>
    <w:rsid w:val="004D2FC1"/>
    <w:rsid w:val="004D3210"/>
    <w:rsid w:val="004D35C6"/>
    <w:rsid w:val="004E06B4"/>
    <w:rsid w:val="004E0A8B"/>
    <w:rsid w:val="004E1543"/>
    <w:rsid w:val="004E189A"/>
    <w:rsid w:val="004E1A28"/>
    <w:rsid w:val="004E2076"/>
    <w:rsid w:val="004E2219"/>
    <w:rsid w:val="004E2F8E"/>
    <w:rsid w:val="004E318F"/>
    <w:rsid w:val="004E3E62"/>
    <w:rsid w:val="004E4A46"/>
    <w:rsid w:val="004E5A0A"/>
    <w:rsid w:val="004E6694"/>
    <w:rsid w:val="004E6764"/>
    <w:rsid w:val="004E67D3"/>
    <w:rsid w:val="004E6AA3"/>
    <w:rsid w:val="004E791F"/>
    <w:rsid w:val="004F00D0"/>
    <w:rsid w:val="004F021C"/>
    <w:rsid w:val="004F0B35"/>
    <w:rsid w:val="004F1757"/>
    <w:rsid w:val="004F1D20"/>
    <w:rsid w:val="004F2B6C"/>
    <w:rsid w:val="004F326C"/>
    <w:rsid w:val="004F38A6"/>
    <w:rsid w:val="004F444A"/>
    <w:rsid w:val="004F4D1F"/>
    <w:rsid w:val="004F5575"/>
    <w:rsid w:val="004F79D9"/>
    <w:rsid w:val="00500CA5"/>
    <w:rsid w:val="005014BC"/>
    <w:rsid w:val="00501617"/>
    <w:rsid w:val="00502229"/>
    <w:rsid w:val="005030DE"/>
    <w:rsid w:val="00504BCF"/>
    <w:rsid w:val="0050634D"/>
    <w:rsid w:val="005078B2"/>
    <w:rsid w:val="005079C1"/>
    <w:rsid w:val="00507BBF"/>
    <w:rsid w:val="0051022D"/>
    <w:rsid w:val="00511260"/>
    <w:rsid w:val="00511565"/>
    <w:rsid w:val="0051172C"/>
    <w:rsid w:val="00513072"/>
    <w:rsid w:val="0051380C"/>
    <w:rsid w:val="00514878"/>
    <w:rsid w:val="0051512F"/>
    <w:rsid w:val="005155FB"/>
    <w:rsid w:val="005160AF"/>
    <w:rsid w:val="0051706E"/>
    <w:rsid w:val="00520499"/>
    <w:rsid w:val="00520764"/>
    <w:rsid w:val="00520D2E"/>
    <w:rsid w:val="00520E7F"/>
    <w:rsid w:val="00522464"/>
    <w:rsid w:val="00523B38"/>
    <w:rsid w:val="00523DBC"/>
    <w:rsid w:val="005244E9"/>
    <w:rsid w:val="00525DF3"/>
    <w:rsid w:val="00530509"/>
    <w:rsid w:val="00532080"/>
    <w:rsid w:val="005371EE"/>
    <w:rsid w:val="00544F8A"/>
    <w:rsid w:val="00545009"/>
    <w:rsid w:val="00545140"/>
    <w:rsid w:val="00545668"/>
    <w:rsid w:val="00546B8B"/>
    <w:rsid w:val="0055098F"/>
    <w:rsid w:val="005509EE"/>
    <w:rsid w:val="00550AF4"/>
    <w:rsid w:val="005517B9"/>
    <w:rsid w:val="0055292C"/>
    <w:rsid w:val="00553E7D"/>
    <w:rsid w:val="005542BD"/>
    <w:rsid w:val="00554E1B"/>
    <w:rsid w:val="00556489"/>
    <w:rsid w:val="0055666D"/>
    <w:rsid w:val="00556EDA"/>
    <w:rsid w:val="00556F50"/>
    <w:rsid w:val="00556FC7"/>
    <w:rsid w:val="00557063"/>
    <w:rsid w:val="005573D6"/>
    <w:rsid w:val="00557A58"/>
    <w:rsid w:val="0056029F"/>
    <w:rsid w:val="005620A8"/>
    <w:rsid w:val="00562B09"/>
    <w:rsid w:val="00563562"/>
    <w:rsid w:val="005645DD"/>
    <w:rsid w:val="0056509F"/>
    <w:rsid w:val="00565326"/>
    <w:rsid w:val="00567E32"/>
    <w:rsid w:val="005703D6"/>
    <w:rsid w:val="00570727"/>
    <w:rsid w:val="00570A0D"/>
    <w:rsid w:val="00572784"/>
    <w:rsid w:val="00574351"/>
    <w:rsid w:val="005754FC"/>
    <w:rsid w:val="00575F9C"/>
    <w:rsid w:val="00576979"/>
    <w:rsid w:val="00577D50"/>
    <w:rsid w:val="00580B92"/>
    <w:rsid w:val="00580D85"/>
    <w:rsid w:val="005813AC"/>
    <w:rsid w:val="00581C74"/>
    <w:rsid w:val="0058354A"/>
    <w:rsid w:val="00583F36"/>
    <w:rsid w:val="0058455F"/>
    <w:rsid w:val="00584BA7"/>
    <w:rsid w:val="00586CFB"/>
    <w:rsid w:val="0058752F"/>
    <w:rsid w:val="00587D29"/>
    <w:rsid w:val="00591072"/>
    <w:rsid w:val="0059284C"/>
    <w:rsid w:val="005934B8"/>
    <w:rsid w:val="005938BC"/>
    <w:rsid w:val="00594C9D"/>
    <w:rsid w:val="00595C65"/>
    <w:rsid w:val="005964E5"/>
    <w:rsid w:val="005969E2"/>
    <w:rsid w:val="00597663"/>
    <w:rsid w:val="00597705"/>
    <w:rsid w:val="005A1772"/>
    <w:rsid w:val="005A2449"/>
    <w:rsid w:val="005A2C73"/>
    <w:rsid w:val="005A3E4D"/>
    <w:rsid w:val="005A4194"/>
    <w:rsid w:val="005A4367"/>
    <w:rsid w:val="005A4FC0"/>
    <w:rsid w:val="005A71F7"/>
    <w:rsid w:val="005B03A8"/>
    <w:rsid w:val="005B1333"/>
    <w:rsid w:val="005B1872"/>
    <w:rsid w:val="005B649F"/>
    <w:rsid w:val="005B661F"/>
    <w:rsid w:val="005B76CF"/>
    <w:rsid w:val="005B7922"/>
    <w:rsid w:val="005B7CEE"/>
    <w:rsid w:val="005C1439"/>
    <w:rsid w:val="005C15DC"/>
    <w:rsid w:val="005C1DEC"/>
    <w:rsid w:val="005C28AE"/>
    <w:rsid w:val="005C36E4"/>
    <w:rsid w:val="005C44D5"/>
    <w:rsid w:val="005C4FDA"/>
    <w:rsid w:val="005C5C47"/>
    <w:rsid w:val="005C6A41"/>
    <w:rsid w:val="005C6AB0"/>
    <w:rsid w:val="005D0320"/>
    <w:rsid w:val="005D0B78"/>
    <w:rsid w:val="005D25D6"/>
    <w:rsid w:val="005D3407"/>
    <w:rsid w:val="005D3941"/>
    <w:rsid w:val="005D411A"/>
    <w:rsid w:val="005D47C3"/>
    <w:rsid w:val="005D5326"/>
    <w:rsid w:val="005D5E9D"/>
    <w:rsid w:val="005D6410"/>
    <w:rsid w:val="005D6BF3"/>
    <w:rsid w:val="005D6D77"/>
    <w:rsid w:val="005D77CB"/>
    <w:rsid w:val="005E2920"/>
    <w:rsid w:val="005E2F30"/>
    <w:rsid w:val="005E3541"/>
    <w:rsid w:val="005E35E9"/>
    <w:rsid w:val="005E411E"/>
    <w:rsid w:val="005E560B"/>
    <w:rsid w:val="005E601A"/>
    <w:rsid w:val="005E71B2"/>
    <w:rsid w:val="005F03D5"/>
    <w:rsid w:val="005F04A5"/>
    <w:rsid w:val="005F0AC4"/>
    <w:rsid w:val="005F0B1A"/>
    <w:rsid w:val="005F158C"/>
    <w:rsid w:val="005F236B"/>
    <w:rsid w:val="005F2694"/>
    <w:rsid w:val="005F3BF0"/>
    <w:rsid w:val="005F43DA"/>
    <w:rsid w:val="005F6D85"/>
    <w:rsid w:val="005F7653"/>
    <w:rsid w:val="005F77BC"/>
    <w:rsid w:val="00600269"/>
    <w:rsid w:val="00600F4A"/>
    <w:rsid w:val="0060138F"/>
    <w:rsid w:val="00601EC3"/>
    <w:rsid w:val="00602B05"/>
    <w:rsid w:val="00603822"/>
    <w:rsid w:val="0060391E"/>
    <w:rsid w:val="0060443D"/>
    <w:rsid w:val="0060484C"/>
    <w:rsid w:val="0060486E"/>
    <w:rsid w:val="006062D3"/>
    <w:rsid w:val="006062FB"/>
    <w:rsid w:val="00606867"/>
    <w:rsid w:val="00606C14"/>
    <w:rsid w:val="00606D5F"/>
    <w:rsid w:val="00607419"/>
    <w:rsid w:val="006101AF"/>
    <w:rsid w:val="00612125"/>
    <w:rsid w:val="00612393"/>
    <w:rsid w:val="00612ACF"/>
    <w:rsid w:val="00613E36"/>
    <w:rsid w:val="00614A7A"/>
    <w:rsid w:val="006158A8"/>
    <w:rsid w:val="00616B35"/>
    <w:rsid w:val="00616E99"/>
    <w:rsid w:val="0061724B"/>
    <w:rsid w:val="00617A30"/>
    <w:rsid w:val="00617F99"/>
    <w:rsid w:val="00620340"/>
    <w:rsid w:val="006215E6"/>
    <w:rsid w:val="00621B4B"/>
    <w:rsid w:val="006223F4"/>
    <w:rsid w:val="006232F1"/>
    <w:rsid w:val="00623DDE"/>
    <w:rsid w:val="00624695"/>
    <w:rsid w:val="006249C3"/>
    <w:rsid w:val="006254F4"/>
    <w:rsid w:val="00625D2D"/>
    <w:rsid w:val="006271A4"/>
    <w:rsid w:val="00630138"/>
    <w:rsid w:val="006313FC"/>
    <w:rsid w:val="006332F2"/>
    <w:rsid w:val="006334FD"/>
    <w:rsid w:val="00634B17"/>
    <w:rsid w:val="00637A17"/>
    <w:rsid w:val="00640616"/>
    <w:rsid w:val="00640CE9"/>
    <w:rsid w:val="00641035"/>
    <w:rsid w:val="00641661"/>
    <w:rsid w:val="00641DE4"/>
    <w:rsid w:val="006449E1"/>
    <w:rsid w:val="00644FB0"/>
    <w:rsid w:val="00645162"/>
    <w:rsid w:val="006476E6"/>
    <w:rsid w:val="00650EE2"/>
    <w:rsid w:val="006511A4"/>
    <w:rsid w:val="006513E2"/>
    <w:rsid w:val="00651916"/>
    <w:rsid w:val="00651DA1"/>
    <w:rsid w:val="00651DE7"/>
    <w:rsid w:val="006531C9"/>
    <w:rsid w:val="006535E1"/>
    <w:rsid w:val="006546C2"/>
    <w:rsid w:val="00654820"/>
    <w:rsid w:val="00654AAE"/>
    <w:rsid w:val="00657D73"/>
    <w:rsid w:val="0066025E"/>
    <w:rsid w:val="00661D64"/>
    <w:rsid w:val="00662682"/>
    <w:rsid w:val="006634CD"/>
    <w:rsid w:val="006639A0"/>
    <w:rsid w:val="00663D7F"/>
    <w:rsid w:val="00664CD0"/>
    <w:rsid w:val="00665D94"/>
    <w:rsid w:val="006668FE"/>
    <w:rsid w:val="00667591"/>
    <w:rsid w:val="00667F9F"/>
    <w:rsid w:val="006710E7"/>
    <w:rsid w:val="00671A0B"/>
    <w:rsid w:val="0067210D"/>
    <w:rsid w:val="00672EA3"/>
    <w:rsid w:val="00675095"/>
    <w:rsid w:val="00675C81"/>
    <w:rsid w:val="0067617F"/>
    <w:rsid w:val="0068034D"/>
    <w:rsid w:val="00681152"/>
    <w:rsid w:val="00682987"/>
    <w:rsid w:val="00682CE5"/>
    <w:rsid w:val="006841DC"/>
    <w:rsid w:val="0068468E"/>
    <w:rsid w:val="00685DAD"/>
    <w:rsid w:val="00686041"/>
    <w:rsid w:val="0068615D"/>
    <w:rsid w:val="0068675A"/>
    <w:rsid w:val="006868B7"/>
    <w:rsid w:val="0069106B"/>
    <w:rsid w:val="0069165B"/>
    <w:rsid w:val="00691AF2"/>
    <w:rsid w:val="00691CB2"/>
    <w:rsid w:val="00694527"/>
    <w:rsid w:val="00694B16"/>
    <w:rsid w:val="0069550C"/>
    <w:rsid w:val="00696BA8"/>
    <w:rsid w:val="00697140"/>
    <w:rsid w:val="00697465"/>
    <w:rsid w:val="00697EB1"/>
    <w:rsid w:val="006A2310"/>
    <w:rsid w:val="006A2706"/>
    <w:rsid w:val="006A498B"/>
    <w:rsid w:val="006A5237"/>
    <w:rsid w:val="006A6255"/>
    <w:rsid w:val="006A7DA6"/>
    <w:rsid w:val="006B150C"/>
    <w:rsid w:val="006B1DCE"/>
    <w:rsid w:val="006B32F5"/>
    <w:rsid w:val="006B427C"/>
    <w:rsid w:val="006B42B2"/>
    <w:rsid w:val="006B6180"/>
    <w:rsid w:val="006B692B"/>
    <w:rsid w:val="006C177A"/>
    <w:rsid w:val="006C1AAE"/>
    <w:rsid w:val="006C1B13"/>
    <w:rsid w:val="006C2860"/>
    <w:rsid w:val="006C32C4"/>
    <w:rsid w:val="006D067F"/>
    <w:rsid w:val="006D07FB"/>
    <w:rsid w:val="006D2E18"/>
    <w:rsid w:val="006D5A67"/>
    <w:rsid w:val="006D5DA0"/>
    <w:rsid w:val="006D661C"/>
    <w:rsid w:val="006D762E"/>
    <w:rsid w:val="006D7DFD"/>
    <w:rsid w:val="006E11A0"/>
    <w:rsid w:val="006E1447"/>
    <w:rsid w:val="006E16D1"/>
    <w:rsid w:val="006E2B6D"/>
    <w:rsid w:val="006E3C88"/>
    <w:rsid w:val="006E4C1C"/>
    <w:rsid w:val="006E70FB"/>
    <w:rsid w:val="006E7358"/>
    <w:rsid w:val="006F09D8"/>
    <w:rsid w:val="006F1624"/>
    <w:rsid w:val="006F3052"/>
    <w:rsid w:val="006F31BD"/>
    <w:rsid w:val="006F3259"/>
    <w:rsid w:val="006F3C00"/>
    <w:rsid w:val="006F3FA4"/>
    <w:rsid w:val="006F46DC"/>
    <w:rsid w:val="006F655E"/>
    <w:rsid w:val="006F78DB"/>
    <w:rsid w:val="007001D1"/>
    <w:rsid w:val="00702C42"/>
    <w:rsid w:val="0070309F"/>
    <w:rsid w:val="00704A2E"/>
    <w:rsid w:val="007057AB"/>
    <w:rsid w:val="00705F57"/>
    <w:rsid w:val="007072CB"/>
    <w:rsid w:val="00707343"/>
    <w:rsid w:val="007073FB"/>
    <w:rsid w:val="00710C28"/>
    <w:rsid w:val="0071124B"/>
    <w:rsid w:val="00711C08"/>
    <w:rsid w:val="00711CC1"/>
    <w:rsid w:val="00712ED3"/>
    <w:rsid w:val="0071433C"/>
    <w:rsid w:val="00714697"/>
    <w:rsid w:val="00714AE5"/>
    <w:rsid w:val="00714C9E"/>
    <w:rsid w:val="00715651"/>
    <w:rsid w:val="00717903"/>
    <w:rsid w:val="00717B10"/>
    <w:rsid w:val="0072010D"/>
    <w:rsid w:val="0072211C"/>
    <w:rsid w:val="007236CF"/>
    <w:rsid w:val="00723A0C"/>
    <w:rsid w:val="00724B29"/>
    <w:rsid w:val="0072596C"/>
    <w:rsid w:val="00726278"/>
    <w:rsid w:val="00727A78"/>
    <w:rsid w:val="007308C2"/>
    <w:rsid w:val="00730A5A"/>
    <w:rsid w:val="00731207"/>
    <w:rsid w:val="007325DE"/>
    <w:rsid w:val="007339D7"/>
    <w:rsid w:val="00734430"/>
    <w:rsid w:val="007363ED"/>
    <w:rsid w:val="0074053C"/>
    <w:rsid w:val="00742199"/>
    <w:rsid w:val="00743BD8"/>
    <w:rsid w:val="00743D4D"/>
    <w:rsid w:val="00743EB1"/>
    <w:rsid w:val="0074485F"/>
    <w:rsid w:val="007451A8"/>
    <w:rsid w:val="0074527C"/>
    <w:rsid w:val="00745BF2"/>
    <w:rsid w:val="00745E2B"/>
    <w:rsid w:val="00746757"/>
    <w:rsid w:val="0075029B"/>
    <w:rsid w:val="00750559"/>
    <w:rsid w:val="00751ADD"/>
    <w:rsid w:val="007520F6"/>
    <w:rsid w:val="007532C0"/>
    <w:rsid w:val="00754707"/>
    <w:rsid w:val="00756020"/>
    <w:rsid w:val="00756098"/>
    <w:rsid w:val="00757F3C"/>
    <w:rsid w:val="00760D57"/>
    <w:rsid w:val="0076272F"/>
    <w:rsid w:val="007631E0"/>
    <w:rsid w:val="00763628"/>
    <w:rsid w:val="00763BF3"/>
    <w:rsid w:val="00764815"/>
    <w:rsid w:val="00764F87"/>
    <w:rsid w:val="007662D4"/>
    <w:rsid w:val="00767184"/>
    <w:rsid w:val="00767A6B"/>
    <w:rsid w:val="007703DF"/>
    <w:rsid w:val="00771094"/>
    <w:rsid w:val="00771421"/>
    <w:rsid w:val="00772E4B"/>
    <w:rsid w:val="00773654"/>
    <w:rsid w:val="007744D5"/>
    <w:rsid w:val="0077459E"/>
    <w:rsid w:val="00774C51"/>
    <w:rsid w:val="00775448"/>
    <w:rsid w:val="00775D8C"/>
    <w:rsid w:val="0077676B"/>
    <w:rsid w:val="00777C4E"/>
    <w:rsid w:val="00780690"/>
    <w:rsid w:val="00782782"/>
    <w:rsid w:val="0078304B"/>
    <w:rsid w:val="00783F5E"/>
    <w:rsid w:val="007841E0"/>
    <w:rsid w:val="007863FC"/>
    <w:rsid w:val="007866DC"/>
    <w:rsid w:val="00786F1B"/>
    <w:rsid w:val="00791465"/>
    <w:rsid w:val="0079235B"/>
    <w:rsid w:val="0079276A"/>
    <w:rsid w:val="00794463"/>
    <w:rsid w:val="00794A21"/>
    <w:rsid w:val="00794AA8"/>
    <w:rsid w:val="0079538D"/>
    <w:rsid w:val="007957A4"/>
    <w:rsid w:val="007962C6"/>
    <w:rsid w:val="00796986"/>
    <w:rsid w:val="00796F39"/>
    <w:rsid w:val="00796F7A"/>
    <w:rsid w:val="00797A49"/>
    <w:rsid w:val="007A0642"/>
    <w:rsid w:val="007A1488"/>
    <w:rsid w:val="007A1A81"/>
    <w:rsid w:val="007A2884"/>
    <w:rsid w:val="007A3705"/>
    <w:rsid w:val="007A39B0"/>
    <w:rsid w:val="007A7BBE"/>
    <w:rsid w:val="007B196E"/>
    <w:rsid w:val="007B1E77"/>
    <w:rsid w:val="007B1F09"/>
    <w:rsid w:val="007B2A2D"/>
    <w:rsid w:val="007B566C"/>
    <w:rsid w:val="007B5874"/>
    <w:rsid w:val="007B686F"/>
    <w:rsid w:val="007B6CEF"/>
    <w:rsid w:val="007C0CBB"/>
    <w:rsid w:val="007C17AD"/>
    <w:rsid w:val="007C2465"/>
    <w:rsid w:val="007C247A"/>
    <w:rsid w:val="007C2795"/>
    <w:rsid w:val="007C4731"/>
    <w:rsid w:val="007C546A"/>
    <w:rsid w:val="007D0644"/>
    <w:rsid w:val="007D0A2D"/>
    <w:rsid w:val="007D3ACE"/>
    <w:rsid w:val="007D42C6"/>
    <w:rsid w:val="007D64EC"/>
    <w:rsid w:val="007D729D"/>
    <w:rsid w:val="007E05A2"/>
    <w:rsid w:val="007E1089"/>
    <w:rsid w:val="007E1B26"/>
    <w:rsid w:val="007E1F8D"/>
    <w:rsid w:val="007E4BC3"/>
    <w:rsid w:val="007E5E24"/>
    <w:rsid w:val="007F1E72"/>
    <w:rsid w:val="007F2200"/>
    <w:rsid w:val="007F2C37"/>
    <w:rsid w:val="007F4798"/>
    <w:rsid w:val="007F55ED"/>
    <w:rsid w:val="007F5C69"/>
    <w:rsid w:val="007F6955"/>
    <w:rsid w:val="007F7977"/>
    <w:rsid w:val="00800438"/>
    <w:rsid w:val="00801596"/>
    <w:rsid w:val="008019A5"/>
    <w:rsid w:val="008020C2"/>
    <w:rsid w:val="008020CD"/>
    <w:rsid w:val="00803543"/>
    <w:rsid w:val="008045E1"/>
    <w:rsid w:val="00806AFC"/>
    <w:rsid w:val="008100C7"/>
    <w:rsid w:val="00810336"/>
    <w:rsid w:val="0081156D"/>
    <w:rsid w:val="00811B30"/>
    <w:rsid w:val="0081239F"/>
    <w:rsid w:val="00812D95"/>
    <w:rsid w:val="00813448"/>
    <w:rsid w:val="00814914"/>
    <w:rsid w:val="00814EDE"/>
    <w:rsid w:val="0081612B"/>
    <w:rsid w:val="00816ED1"/>
    <w:rsid w:val="0082151E"/>
    <w:rsid w:val="00821D82"/>
    <w:rsid w:val="0082208C"/>
    <w:rsid w:val="008228F2"/>
    <w:rsid w:val="00822F42"/>
    <w:rsid w:val="008230F2"/>
    <w:rsid w:val="00823442"/>
    <w:rsid w:val="00823CFE"/>
    <w:rsid w:val="00823EC3"/>
    <w:rsid w:val="008242ED"/>
    <w:rsid w:val="008264F2"/>
    <w:rsid w:val="008276BB"/>
    <w:rsid w:val="00827849"/>
    <w:rsid w:val="0082786A"/>
    <w:rsid w:val="00830F44"/>
    <w:rsid w:val="00830F6A"/>
    <w:rsid w:val="00832EA6"/>
    <w:rsid w:val="00832FD6"/>
    <w:rsid w:val="0083336E"/>
    <w:rsid w:val="00833873"/>
    <w:rsid w:val="00834066"/>
    <w:rsid w:val="008343B4"/>
    <w:rsid w:val="00836B79"/>
    <w:rsid w:val="00837B9A"/>
    <w:rsid w:val="00837E1F"/>
    <w:rsid w:val="008400E7"/>
    <w:rsid w:val="00840488"/>
    <w:rsid w:val="008405CE"/>
    <w:rsid w:val="008405CF"/>
    <w:rsid w:val="0084170B"/>
    <w:rsid w:val="00841726"/>
    <w:rsid w:val="008417D1"/>
    <w:rsid w:val="0084258D"/>
    <w:rsid w:val="008426AA"/>
    <w:rsid w:val="0084295A"/>
    <w:rsid w:val="0084393F"/>
    <w:rsid w:val="00846269"/>
    <w:rsid w:val="00847375"/>
    <w:rsid w:val="0084766B"/>
    <w:rsid w:val="00851511"/>
    <w:rsid w:val="00851ACE"/>
    <w:rsid w:val="008536CA"/>
    <w:rsid w:val="008547C2"/>
    <w:rsid w:val="008548F1"/>
    <w:rsid w:val="00854A89"/>
    <w:rsid w:val="00855355"/>
    <w:rsid w:val="008557C2"/>
    <w:rsid w:val="00855F97"/>
    <w:rsid w:val="00860453"/>
    <w:rsid w:val="0086080D"/>
    <w:rsid w:val="00861977"/>
    <w:rsid w:val="00862FC1"/>
    <w:rsid w:val="008634DE"/>
    <w:rsid w:val="008647BD"/>
    <w:rsid w:val="008658EF"/>
    <w:rsid w:val="00866377"/>
    <w:rsid w:val="008665C4"/>
    <w:rsid w:val="00866D58"/>
    <w:rsid w:val="0086751C"/>
    <w:rsid w:val="008677E3"/>
    <w:rsid w:val="00870B41"/>
    <w:rsid w:val="0087195C"/>
    <w:rsid w:val="00871E03"/>
    <w:rsid w:val="008721B1"/>
    <w:rsid w:val="00872A23"/>
    <w:rsid w:val="00873C6E"/>
    <w:rsid w:val="00873EB9"/>
    <w:rsid w:val="0087564D"/>
    <w:rsid w:val="00875755"/>
    <w:rsid w:val="00875D5A"/>
    <w:rsid w:val="00875F1E"/>
    <w:rsid w:val="0087606C"/>
    <w:rsid w:val="0087750D"/>
    <w:rsid w:val="00877EE4"/>
    <w:rsid w:val="00880351"/>
    <w:rsid w:val="0088086C"/>
    <w:rsid w:val="00880F10"/>
    <w:rsid w:val="008825BB"/>
    <w:rsid w:val="00882735"/>
    <w:rsid w:val="0088275A"/>
    <w:rsid w:val="00882D1E"/>
    <w:rsid w:val="00882EFE"/>
    <w:rsid w:val="00883C1D"/>
    <w:rsid w:val="008843DF"/>
    <w:rsid w:val="00885C05"/>
    <w:rsid w:val="00885F6F"/>
    <w:rsid w:val="00890D4A"/>
    <w:rsid w:val="00890F28"/>
    <w:rsid w:val="00892541"/>
    <w:rsid w:val="0089372D"/>
    <w:rsid w:val="00893E14"/>
    <w:rsid w:val="0089475E"/>
    <w:rsid w:val="008947D7"/>
    <w:rsid w:val="008949F0"/>
    <w:rsid w:val="0089533C"/>
    <w:rsid w:val="00895554"/>
    <w:rsid w:val="008957A8"/>
    <w:rsid w:val="00895A54"/>
    <w:rsid w:val="00896297"/>
    <w:rsid w:val="00896B6A"/>
    <w:rsid w:val="008A0454"/>
    <w:rsid w:val="008A1381"/>
    <w:rsid w:val="008A1A60"/>
    <w:rsid w:val="008A1CBB"/>
    <w:rsid w:val="008A26AB"/>
    <w:rsid w:val="008A35C5"/>
    <w:rsid w:val="008A3B56"/>
    <w:rsid w:val="008A4281"/>
    <w:rsid w:val="008A537D"/>
    <w:rsid w:val="008A5FEB"/>
    <w:rsid w:val="008A7240"/>
    <w:rsid w:val="008A75F3"/>
    <w:rsid w:val="008A7BFC"/>
    <w:rsid w:val="008A7CF7"/>
    <w:rsid w:val="008A7FAD"/>
    <w:rsid w:val="008B100F"/>
    <w:rsid w:val="008B1DA6"/>
    <w:rsid w:val="008B3660"/>
    <w:rsid w:val="008B5026"/>
    <w:rsid w:val="008B6F26"/>
    <w:rsid w:val="008C1142"/>
    <w:rsid w:val="008C210D"/>
    <w:rsid w:val="008C3E59"/>
    <w:rsid w:val="008C480D"/>
    <w:rsid w:val="008C4C45"/>
    <w:rsid w:val="008C651B"/>
    <w:rsid w:val="008C7138"/>
    <w:rsid w:val="008D0DE8"/>
    <w:rsid w:val="008D136B"/>
    <w:rsid w:val="008D2564"/>
    <w:rsid w:val="008D2AE9"/>
    <w:rsid w:val="008D3C26"/>
    <w:rsid w:val="008E1626"/>
    <w:rsid w:val="008E270C"/>
    <w:rsid w:val="008E51D4"/>
    <w:rsid w:val="008E55EC"/>
    <w:rsid w:val="008E58A3"/>
    <w:rsid w:val="008E66F8"/>
    <w:rsid w:val="008E74EF"/>
    <w:rsid w:val="008E7904"/>
    <w:rsid w:val="008E7EFA"/>
    <w:rsid w:val="008F051D"/>
    <w:rsid w:val="008F0FC5"/>
    <w:rsid w:val="008F0FD2"/>
    <w:rsid w:val="008F1081"/>
    <w:rsid w:val="008F17A3"/>
    <w:rsid w:val="008F4376"/>
    <w:rsid w:val="008F59AF"/>
    <w:rsid w:val="008F5B07"/>
    <w:rsid w:val="008F5E59"/>
    <w:rsid w:val="008F61FC"/>
    <w:rsid w:val="008F74A5"/>
    <w:rsid w:val="00901474"/>
    <w:rsid w:val="009014FD"/>
    <w:rsid w:val="00902267"/>
    <w:rsid w:val="00902AA7"/>
    <w:rsid w:val="00902C55"/>
    <w:rsid w:val="00903496"/>
    <w:rsid w:val="00903A37"/>
    <w:rsid w:val="00903CBE"/>
    <w:rsid w:val="009041F8"/>
    <w:rsid w:val="00904D53"/>
    <w:rsid w:val="00905C49"/>
    <w:rsid w:val="00906C53"/>
    <w:rsid w:val="0090737A"/>
    <w:rsid w:val="009126F5"/>
    <w:rsid w:val="0091491D"/>
    <w:rsid w:val="00914BFC"/>
    <w:rsid w:val="0091517B"/>
    <w:rsid w:val="009160E1"/>
    <w:rsid w:val="00920420"/>
    <w:rsid w:val="00921597"/>
    <w:rsid w:val="00921696"/>
    <w:rsid w:val="00921B69"/>
    <w:rsid w:val="00923B36"/>
    <w:rsid w:val="0092525C"/>
    <w:rsid w:val="009257EE"/>
    <w:rsid w:val="009262E3"/>
    <w:rsid w:val="00927E7F"/>
    <w:rsid w:val="009300E6"/>
    <w:rsid w:val="0093036D"/>
    <w:rsid w:val="009312C6"/>
    <w:rsid w:val="00931856"/>
    <w:rsid w:val="00931957"/>
    <w:rsid w:val="00932259"/>
    <w:rsid w:val="00935F01"/>
    <w:rsid w:val="00937699"/>
    <w:rsid w:val="00937B2D"/>
    <w:rsid w:val="00937F6E"/>
    <w:rsid w:val="0094006B"/>
    <w:rsid w:val="009400C9"/>
    <w:rsid w:val="00940225"/>
    <w:rsid w:val="009429D4"/>
    <w:rsid w:val="00943D4D"/>
    <w:rsid w:val="00944464"/>
    <w:rsid w:val="00945235"/>
    <w:rsid w:val="00945520"/>
    <w:rsid w:val="00945BC4"/>
    <w:rsid w:val="009503FE"/>
    <w:rsid w:val="0095291D"/>
    <w:rsid w:val="00953E8A"/>
    <w:rsid w:val="00954063"/>
    <w:rsid w:val="00954778"/>
    <w:rsid w:val="009547BD"/>
    <w:rsid w:val="0095687B"/>
    <w:rsid w:val="009575FF"/>
    <w:rsid w:val="00957730"/>
    <w:rsid w:val="00960CDB"/>
    <w:rsid w:val="00962E0E"/>
    <w:rsid w:val="00963420"/>
    <w:rsid w:val="00963B52"/>
    <w:rsid w:val="0096444B"/>
    <w:rsid w:val="00964544"/>
    <w:rsid w:val="00964882"/>
    <w:rsid w:val="009648F1"/>
    <w:rsid w:val="00964C44"/>
    <w:rsid w:val="00964DFA"/>
    <w:rsid w:val="0096634B"/>
    <w:rsid w:val="0097136D"/>
    <w:rsid w:val="00971D2F"/>
    <w:rsid w:val="00972505"/>
    <w:rsid w:val="00972BE3"/>
    <w:rsid w:val="009737E6"/>
    <w:rsid w:val="00974123"/>
    <w:rsid w:val="0097492C"/>
    <w:rsid w:val="00974E2D"/>
    <w:rsid w:val="009757FD"/>
    <w:rsid w:val="00975DB5"/>
    <w:rsid w:val="00976DCD"/>
    <w:rsid w:val="00976F0D"/>
    <w:rsid w:val="0098066C"/>
    <w:rsid w:val="009812F2"/>
    <w:rsid w:val="009814B0"/>
    <w:rsid w:val="00981871"/>
    <w:rsid w:val="00982640"/>
    <w:rsid w:val="009838F9"/>
    <w:rsid w:val="00983943"/>
    <w:rsid w:val="00984181"/>
    <w:rsid w:val="00984B20"/>
    <w:rsid w:val="0098558B"/>
    <w:rsid w:val="0098571F"/>
    <w:rsid w:val="00987780"/>
    <w:rsid w:val="0099005D"/>
    <w:rsid w:val="00991C2B"/>
    <w:rsid w:val="00992B0D"/>
    <w:rsid w:val="00993BB9"/>
    <w:rsid w:val="009949C6"/>
    <w:rsid w:val="00994BFF"/>
    <w:rsid w:val="00995EE4"/>
    <w:rsid w:val="009969E0"/>
    <w:rsid w:val="00996B5C"/>
    <w:rsid w:val="00997881"/>
    <w:rsid w:val="00997899"/>
    <w:rsid w:val="009A0545"/>
    <w:rsid w:val="009A0B4E"/>
    <w:rsid w:val="009A0D48"/>
    <w:rsid w:val="009A1EC2"/>
    <w:rsid w:val="009A36AF"/>
    <w:rsid w:val="009A3E97"/>
    <w:rsid w:val="009A43F7"/>
    <w:rsid w:val="009A48B6"/>
    <w:rsid w:val="009A591E"/>
    <w:rsid w:val="009A6284"/>
    <w:rsid w:val="009A77E7"/>
    <w:rsid w:val="009B1B5C"/>
    <w:rsid w:val="009B306D"/>
    <w:rsid w:val="009B518E"/>
    <w:rsid w:val="009B561D"/>
    <w:rsid w:val="009B5983"/>
    <w:rsid w:val="009B7B65"/>
    <w:rsid w:val="009C052D"/>
    <w:rsid w:val="009C09A0"/>
    <w:rsid w:val="009C1ACD"/>
    <w:rsid w:val="009C1D23"/>
    <w:rsid w:val="009C2135"/>
    <w:rsid w:val="009C323D"/>
    <w:rsid w:val="009C36F1"/>
    <w:rsid w:val="009C3B51"/>
    <w:rsid w:val="009C3E3C"/>
    <w:rsid w:val="009C4F15"/>
    <w:rsid w:val="009C4F54"/>
    <w:rsid w:val="009C5271"/>
    <w:rsid w:val="009C63A4"/>
    <w:rsid w:val="009C63D5"/>
    <w:rsid w:val="009C6B5F"/>
    <w:rsid w:val="009C787C"/>
    <w:rsid w:val="009C7FC6"/>
    <w:rsid w:val="009D161A"/>
    <w:rsid w:val="009D1693"/>
    <w:rsid w:val="009D1BCC"/>
    <w:rsid w:val="009D3D26"/>
    <w:rsid w:val="009D4AB7"/>
    <w:rsid w:val="009D4FB4"/>
    <w:rsid w:val="009D501D"/>
    <w:rsid w:val="009D5302"/>
    <w:rsid w:val="009D5512"/>
    <w:rsid w:val="009D62F3"/>
    <w:rsid w:val="009D754F"/>
    <w:rsid w:val="009E1896"/>
    <w:rsid w:val="009E1980"/>
    <w:rsid w:val="009E1ACC"/>
    <w:rsid w:val="009E20B0"/>
    <w:rsid w:val="009E259E"/>
    <w:rsid w:val="009E2833"/>
    <w:rsid w:val="009E2BB3"/>
    <w:rsid w:val="009E325E"/>
    <w:rsid w:val="009E3484"/>
    <w:rsid w:val="009E43F7"/>
    <w:rsid w:val="009E47AD"/>
    <w:rsid w:val="009E569F"/>
    <w:rsid w:val="009E5FDA"/>
    <w:rsid w:val="009E6351"/>
    <w:rsid w:val="009E646F"/>
    <w:rsid w:val="009E776E"/>
    <w:rsid w:val="009F07A0"/>
    <w:rsid w:val="009F1760"/>
    <w:rsid w:val="009F2682"/>
    <w:rsid w:val="009F3450"/>
    <w:rsid w:val="009F3A5F"/>
    <w:rsid w:val="009F4396"/>
    <w:rsid w:val="009F5BAA"/>
    <w:rsid w:val="009F5D93"/>
    <w:rsid w:val="009F6F14"/>
    <w:rsid w:val="009F7433"/>
    <w:rsid w:val="00A008FF"/>
    <w:rsid w:val="00A00F3C"/>
    <w:rsid w:val="00A0144A"/>
    <w:rsid w:val="00A02844"/>
    <w:rsid w:val="00A034F2"/>
    <w:rsid w:val="00A042CC"/>
    <w:rsid w:val="00A06BF5"/>
    <w:rsid w:val="00A076B8"/>
    <w:rsid w:val="00A07E9C"/>
    <w:rsid w:val="00A1103C"/>
    <w:rsid w:val="00A11066"/>
    <w:rsid w:val="00A118D6"/>
    <w:rsid w:val="00A1196D"/>
    <w:rsid w:val="00A11A36"/>
    <w:rsid w:val="00A122F8"/>
    <w:rsid w:val="00A1243E"/>
    <w:rsid w:val="00A12914"/>
    <w:rsid w:val="00A12EEB"/>
    <w:rsid w:val="00A13294"/>
    <w:rsid w:val="00A14173"/>
    <w:rsid w:val="00A15ABB"/>
    <w:rsid w:val="00A167B8"/>
    <w:rsid w:val="00A16CD5"/>
    <w:rsid w:val="00A17060"/>
    <w:rsid w:val="00A17ED7"/>
    <w:rsid w:val="00A20492"/>
    <w:rsid w:val="00A2185E"/>
    <w:rsid w:val="00A21919"/>
    <w:rsid w:val="00A24DF2"/>
    <w:rsid w:val="00A26381"/>
    <w:rsid w:val="00A2712B"/>
    <w:rsid w:val="00A27F57"/>
    <w:rsid w:val="00A3074F"/>
    <w:rsid w:val="00A31C08"/>
    <w:rsid w:val="00A32889"/>
    <w:rsid w:val="00A32A40"/>
    <w:rsid w:val="00A331C2"/>
    <w:rsid w:val="00A36A40"/>
    <w:rsid w:val="00A36D42"/>
    <w:rsid w:val="00A40706"/>
    <w:rsid w:val="00A414A1"/>
    <w:rsid w:val="00A41B7E"/>
    <w:rsid w:val="00A41BC0"/>
    <w:rsid w:val="00A42893"/>
    <w:rsid w:val="00A42906"/>
    <w:rsid w:val="00A43E5D"/>
    <w:rsid w:val="00A45490"/>
    <w:rsid w:val="00A46A87"/>
    <w:rsid w:val="00A4723D"/>
    <w:rsid w:val="00A47250"/>
    <w:rsid w:val="00A5180C"/>
    <w:rsid w:val="00A518B4"/>
    <w:rsid w:val="00A521EE"/>
    <w:rsid w:val="00A5427C"/>
    <w:rsid w:val="00A5694B"/>
    <w:rsid w:val="00A603C3"/>
    <w:rsid w:val="00A61267"/>
    <w:rsid w:val="00A61714"/>
    <w:rsid w:val="00A62218"/>
    <w:rsid w:val="00A627F0"/>
    <w:rsid w:val="00A63829"/>
    <w:rsid w:val="00A6401B"/>
    <w:rsid w:val="00A64250"/>
    <w:rsid w:val="00A64FD8"/>
    <w:rsid w:val="00A6550F"/>
    <w:rsid w:val="00A67C97"/>
    <w:rsid w:val="00A711F9"/>
    <w:rsid w:val="00A71783"/>
    <w:rsid w:val="00A719FE"/>
    <w:rsid w:val="00A7325C"/>
    <w:rsid w:val="00A74937"/>
    <w:rsid w:val="00A75B8E"/>
    <w:rsid w:val="00A80111"/>
    <w:rsid w:val="00A81DF8"/>
    <w:rsid w:val="00A82B55"/>
    <w:rsid w:val="00A83F39"/>
    <w:rsid w:val="00A84210"/>
    <w:rsid w:val="00A84263"/>
    <w:rsid w:val="00A85465"/>
    <w:rsid w:val="00A865B6"/>
    <w:rsid w:val="00A866AE"/>
    <w:rsid w:val="00A878A5"/>
    <w:rsid w:val="00A87D38"/>
    <w:rsid w:val="00A92225"/>
    <w:rsid w:val="00A9381F"/>
    <w:rsid w:val="00A939A9"/>
    <w:rsid w:val="00A958D5"/>
    <w:rsid w:val="00A95B9A"/>
    <w:rsid w:val="00A95CB4"/>
    <w:rsid w:val="00A976E6"/>
    <w:rsid w:val="00AA00D8"/>
    <w:rsid w:val="00AA307D"/>
    <w:rsid w:val="00AA32DA"/>
    <w:rsid w:val="00AA3639"/>
    <w:rsid w:val="00AA434A"/>
    <w:rsid w:val="00AA45A4"/>
    <w:rsid w:val="00AA4712"/>
    <w:rsid w:val="00AA4FAB"/>
    <w:rsid w:val="00AA65F4"/>
    <w:rsid w:val="00AA73F6"/>
    <w:rsid w:val="00AA7A71"/>
    <w:rsid w:val="00AA7F46"/>
    <w:rsid w:val="00AB01B3"/>
    <w:rsid w:val="00AB1B2B"/>
    <w:rsid w:val="00AB43EE"/>
    <w:rsid w:val="00AB4F07"/>
    <w:rsid w:val="00AB5121"/>
    <w:rsid w:val="00AB51EA"/>
    <w:rsid w:val="00AB61B6"/>
    <w:rsid w:val="00AB6F0C"/>
    <w:rsid w:val="00AC0B01"/>
    <w:rsid w:val="00AC1EC5"/>
    <w:rsid w:val="00AC1F83"/>
    <w:rsid w:val="00AC4AC4"/>
    <w:rsid w:val="00AC7EB7"/>
    <w:rsid w:val="00AC7F40"/>
    <w:rsid w:val="00AC7FDF"/>
    <w:rsid w:val="00AD0544"/>
    <w:rsid w:val="00AD061A"/>
    <w:rsid w:val="00AD1C15"/>
    <w:rsid w:val="00AD35F0"/>
    <w:rsid w:val="00AD6841"/>
    <w:rsid w:val="00AD6B3C"/>
    <w:rsid w:val="00AD777C"/>
    <w:rsid w:val="00AE099A"/>
    <w:rsid w:val="00AE154F"/>
    <w:rsid w:val="00AE18E1"/>
    <w:rsid w:val="00AE1EE1"/>
    <w:rsid w:val="00AE207E"/>
    <w:rsid w:val="00AE2782"/>
    <w:rsid w:val="00AE2C20"/>
    <w:rsid w:val="00AE3DAE"/>
    <w:rsid w:val="00AE412E"/>
    <w:rsid w:val="00AE5E46"/>
    <w:rsid w:val="00AE5FA0"/>
    <w:rsid w:val="00AE701B"/>
    <w:rsid w:val="00AE7F0F"/>
    <w:rsid w:val="00AE7FD9"/>
    <w:rsid w:val="00AF05EC"/>
    <w:rsid w:val="00AF252E"/>
    <w:rsid w:val="00AF2AE0"/>
    <w:rsid w:val="00AF399D"/>
    <w:rsid w:val="00AF39EE"/>
    <w:rsid w:val="00AF3D6B"/>
    <w:rsid w:val="00AF4917"/>
    <w:rsid w:val="00AF4DC9"/>
    <w:rsid w:val="00AF6292"/>
    <w:rsid w:val="00AF680F"/>
    <w:rsid w:val="00AF68E4"/>
    <w:rsid w:val="00AF6DF0"/>
    <w:rsid w:val="00AF7812"/>
    <w:rsid w:val="00B00514"/>
    <w:rsid w:val="00B00C04"/>
    <w:rsid w:val="00B01274"/>
    <w:rsid w:val="00B01C2D"/>
    <w:rsid w:val="00B01FAF"/>
    <w:rsid w:val="00B02428"/>
    <w:rsid w:val="00B04260"/>
    <w:rsid w:val="00B04A4E"/>
    <w:rsid w:val="00B0511A"/>
    <w:rsid w:val="00B05D39"/>
    <w:rsid w:val="00B0603C"/>
    <w:rsid w:val="00B06BAF"/>
    <w:rsid w:val="00B100BE"/>
    <w:rsid w:val="00B11284"/>
    <w:rsid w:val="00B11F80"/>
    <w:rsid w:val="00B13A6B"/>
    <w:rsid w:val="00B14FF9"/>
    <w:rsid w:val="00B15D9A"/>
    <w:rsid w:val="00B160F4"/>
    <w:rsid w:val="00B1684F"/>
    <w:rsid w:val="00B1722F"/>
    <w:rsid w:val="00B17CCB"/>
    <w:rsid w:val="00B20446"/>
    <w:rsid w:val="00B207AC"/>
    <w:rsid w:val="00B20D36"/>
    <w:rsid w:val="00B21512"/>
    <w:rsid w:val="00B21CA5"/>
    <w:rsid w:val="00B21FA2"/>
    <w:rsid w:val="00B235FF"/>
    <w:rsid w:val="00B2424A"/>
    <w:rsid w:val="00B24486"/>
    <w:rsid w:val="00B24846"/>
    <w:rsid w:val="00B2666A"/>
    <w:rsid w:val="00B26963"/>
    <w:rsid w:val="00B26AA4"/>
    <w:rsid w:val="00B30BDA"/>
    <w:rsid w:val="00B30C98"/>
    <w:rsid w:val="00B32214"/>
    <w:rsid w:val="00B325DA"/>
    <w:rsid w:val="00B32AE8"/>
    <w:rsid w:val="00B3323A"/>
    <w:rsid w:val="00B332D5"/>
    <w:rsid w:val="00B3439B"/>
    <w:rsid w:val="00B345FD"/>
    <w:rsid w:val="00B34ECD"/>
    <w:rsid w:val="00B36696"/>
    <w:rsid w:val="00B41313"/>
    <w:rsid w:val="00B418D6"/>
    <w:rsid w:val="00B446F9"/>
    <w:rsid w:val="00B46ADF"/>
    <w:rsid w:val="00B50382"/>
    <w:rsid w:val="00B50AE9"/>
    <w:rsid w:val="00B512A3"/>
    <w:rsid w:val="00B51F04"/>
    <w:rsid w:val="00B529E1"/>
    <w:rsid w:val="00B53331"/>
    <w:rsid w:val="00B53C41"/>
    <w:rsid w:val="00B559B2"/>
    <w:rsid w:val="00B565D4"/>
    <w:rsid w:val="00B56BAF"/>
    <w:rsid w:val="00B56D2F"/>
    <w:rsid w:val="00B56DA8"/>
    <w:rsid w:val="00B57BF8"/>
    <w:rsid w:val="00B60098"/>
    <w:rsid w:val="00B60E51"/>
    <w:rsid w:val="00B635F0"/>
    <w:rsid w:val="00B63F7F"/>
    <w:rsid w:val="00B6537F"/>
    <w:rsid w:val="00B65433"/>
    <w:rsid w:val="00B65D0C"/>
    <w:rsid w:val="00B65DEE"/>
    <w:rsid w:val="00B673D7"/>
    <w:rsid w:val="00B70982"/>
    <w:rsid w:val="00B70BD6"/>
    <w:rsid w:val="00B71571"/>
    <w:rsid w:val="00B715B1"/>
    <w:rsid w:val="00B73363"/>
    <w:rsid w:val="00B736FA"/>
    <w:rsid w:val="00B7619E"/>
    <w:rsid w:val="00B76BFB"/>
    <w:rsid w:val="00B77677"/>
    <w:rsid w:val="00B77BF3"/>
    <w:rsid w:val="00B77FAF"/>
    <w:rsid w:val="00B83257"/>
    <w:rsid w:val="00B8381D"/>
    <w:rsid w:val="00B84964"/>
    <w:rsid w:val="00B849F3"/>
    <w:rsid w:val="00B85F87"/>
    <w:rsid w:val="00B87BAA"/>
    <w:rsid w:val="00B9092D"/>
    <w:rsid w:val="00B91037"/>
    <w:rsid w:val="00B91527"/>
    <w:rsid w:val="00B92470"/>
    <w:rsid w:val="00B929D1"/>
    <w:rsid w:val="00B92F89"/>
    <w:rsid w:val="00B93AC6"/>
    <w:rsid w:val="00B949A9"/>
    <w:rsid w:val="00B95349"/>
    <w:rsid w:val="00B955C0"/>
    <w:rsid w:val="00B95B9C"/>
    <w:rsid w:val="00B961E2"/>
    <w:rsid w:val="00B968C6"/>
    <w:rsid w:val="00B96F96"/>
    <w:rsid w:val="00BA0067"/>
    <w:rsid w:val="00BA09FF"/>
    <w:rsid w:val="00BA0F9A"/>
    <w:rsid w:val="00BA2179"/>
    <w:rsid w:val="00BA2723"/>
    <w:rsid w:val="00BA65AC"/>
    <w:rsid w:val="00BA79EB"/>
    <w:rsid w:val="00BB14D8"/>
    <w:rsid w:val="00BB2985"/>
    <w:rsid w:val="00BB2A38"/>
    <w:rsid w:val="00BB33E5"/>
    <w:rsid w:val="00BB4675"/>
    <w:rsid w:val="00BB6F3C"/>
    <w:rsid w:val="00BB7839"/>
    <w:rsid w:val="00BB785B"/>
    <w:rsid w:val="00BC0A20"/>
    <w:rsid w:val="00BC1582"/>
    <w:rsid w:val="00BC21A0"/>
    <w:rsid w:val="00BC2754"/>
    <w:rsid w:val="00BC3394"/>
    <w:rsid w:val="00BC4EF3"/>
    <w:rsid w:val="00BC54FC"/>
    <w:rsid w:val="00BC5982"/>
    <w:rsid w:val="00BC59AA"/>
    <w:rsid w:val="00BC77C0"/>
    <w:rsid w:val="00BD0B25"/>
    <w:rsid w:val="00BD0C61"/>
    <w:rsid w:val="00BD234D"/>
    <w:rsid w:val="00BD2561"/>
    <w:rsid w:val="00BD3DE3"/>
    <w:rsid w:val="00BD3E33"/>
    <w:rsid w:val="00BD5DCD"/>
    <w:rsid w:val="00BD5DE5"/>
    <w:rsid w:val="00BD616D"/>
    <w:rsid w:val="00BD6763"/>
    <w:rsid w:val="00BD6C4D"/>
    <w:rsid w:val="00BE0997"/>
    <w:rsid w:val="00BE1907"/>
    <w:rsid w:val="00BE1A97"/>
    <w:rsid w:val="00BE3AF3"/>
    <w:rsid w:val="00BE485B"/>
    <w:rsid w:val="00BE6A74"/>
    <w:rsid w:val="00BE75AD"/>
    <w:rsid w:val="00BE7D08"/>
    <w:rsid w:val="00BF0840"/>
    <w:rsid w:val="00BF0C3F"/>
    <w:rsid w:val="00BF0DFF"/>
    <w:rsid w:val="00BF1AC2"/>
    <w:rsid w:val="00BF22B8"/>
    <w:rsid w:val="00BF2603"/>
    <w:rsid w:val="00BF2F58"/>
    <w:rsid w:val="00BF51CE"/>
    <w:rsid w:val="00BF6541"/>
    <w:rsid w:val="00C01977"/>
    <w:rsid w:val="00C01A0D"/>
    <w:rsid w:val="00C028D9"/>
    <w:rsid w:val="00C036E4"/>
    <w:rsid w:val="00C038B8"/>
    <w:rsid w:val="00C03B35"/>
    <w:rsid w:val="00C04DF7"/>
    <w:rsid w:val="00C059ED"/>
    <w:rsid w:val="00C059FB"/>
    <w:rsid w:val="00C06574"/>
    <w:rsid w:val="00C06F31"/>
    <w:rsid w:val="00C11EE9"/>
    <w:rsid w:val="00C12B8C"/>
    <w:rsid w:val="00C13506"/>
    <w:rsid w:val="00C138E5"/>
    <w:rsid w:val="00C155D9"/>
    <w:rsid w:val="00C16ACF"/>
    <w:rsid w:val="00C2211D"/>
    <w:rsid w:val="00C2344F"/>
    <w:rsid w:val="00C23D96"/>
    <w:rsid w:val="00C246F2"/>
    <w:rsid w:val="00C26707"/>
    <w:rsid w:val="00C27719"/>
    <w:rsid w:val="00C27D0F"/>
    <w:rsid w:val="00C31BCD"/>
    <w:rsid w:val="00C320EB"/>
    <w:rsid w:val="00C32F7B"/>
    <w:rsid w:val="00C33845"/>
    <w:rsid w:val="00C3513F"/>
    <w:rsid w:val="00C355AA"/>
    <w:rsid w:val="00C36223"/>
    <w:rsid w:val="00C370F5"/>
    <w:rsid w:val="00C40725"/>
    <w:rsid w:val="00C4207E"/>
    <w:rsid w:val="00C43645"/>
    <w:rsid w:val="00C451A3"/>
    <w:rsid w:val="00C4577E"/>
    <w:rsid w:val="00C50C8F"/>
    <w:rsid w:val="00C50D41"/>
    <w:rsid w:val="00C51156"/>
    <w:rsid w:val="00C51D01"/>
    <w:rsid w:val="00C52852"/>
    <w:rsid w:val="00C53FD7"/>
    <w:rsid w:val="00C55C61"/>
    <w:rsid w:val="00C55CA6"/>
    <w:rsid w:val="00C56649"/>
    <w:rsid w:val="00C57047"/>
    <w:rsid w:val="00C5788B"/>
    <w:rsid w:val="00C64F44"/>
    <w:rsid w:val="00C650ED"/>
    <w:rsid w:val="00C65132"/>
    <w:rsid w:val="00C65F6A"/>
    <w:rsid w:val="00C67F3E"/>
    <w:rsid w:val="00C70CD5"/>
    <w:rsid w:val="00C7194E"/>
    <w:rsid w:val="00C7216F"/>
    <w:rsid w:val="00C730E4"/>
    <w:rsid w:val="00C73BB8"/>
    <w:rsid w:val="00C74CC5"/>
    <w:rsid w:val="00C75128"/>
    <w:rsid w:val="00C757C3"/>
    <w:rsid w:val="00C76B48"/>
    <w:rsid w:val="00C76CC4"/>
    <w:rsid w:val="00C77815"/>
    <w:rsid w:val="00C823C5"/>
    <w:rsid w:val="00C82D42"/>
    <w:rsid w:val="00C8322A"/>
    <w:rsid w:val="00C83583"/>
    <w:rsid w:val="00C84451"/>
    <w:rsid w:val="00C84B12"/>
    <w:rsid w:val="00C869BC"/>
    <w:rsid w:val="00C8737E"/>
    <w:rsid w:val="00C90444"/>
    <w:rsid w:val="00C9243B"/>
    <w:rsid w:val="00C94583"/>
    <w:rsid w:val="00C953C0"/>
    <w:rsid w:val="00C96E5A"/>
    <w:rsid w:val="00C97ACC"/>
    <w:rsid w:val="00CA056D"/>
    <w:rsid w:val="00CA181F"/>
    <w:rsid w:val="00CA22C7"/>
    <w:rsid w:val="00CA2A54"/>
    <w:rsid w:val="00CA3219"/>
    <w:rsid w:val="00CA37A4"/>
    <w:rsid w:val="00CB01EB"/>
    <w:rsid w:val="00CB0DFA"/>
    <w:rsid w:val="00CB250C"/>
    <w:rsid w:val="00CB34D5"/>
    <w:rsid w:val="00CB4260"/>
    <w:rsid w:val="00CB6CB0"/>
    <w:rsid w:val="00CB6FCA"/>
    <w:rsid w:val="00CB7306"/>
    <w:rsid w:val="00CC133C"/>
    <w:rsid w:val="00CC134C"/>
    <w:rsid w:val="00CC32CF"/>
    <w:rsid w:val="00CC35C1"/>
    <w:rsid w:val="00CC36F9"/>
    <w:rsid w:val="00CC3E8F"/>
    <w:rsid w:val="00CD0BA2"/>
    <w:rsid w:val="00CD18DE"/>
    <w:rsid w:val="00CD2DEC"/>
    <w:rsid w:val="00CD2E30"/>
    <w:rsid w:val="00CD4D96"/>
    <w:rsid w:val="00CD5286"/>
    <w:rsid w:val="00CD643B"/>
    <w:rsid w:val="00CD7B7F"/>
    <w:rsid w:val="00CE0D42"/>
    <w:rsid w:val="00CE1137"/>
    <w:rsid w:val="00CE19D1"/>
    <w:rsid w:val="00CE23EF"/>
    <w:rsid w:val="00CE39ED"/>
    <w:rsid w:val="00CE51BB"/>
    <w:rsid w:val="00CE5E74"/>
    <w:rsid w:val="00CE6197"/>
    <w:rsid w:val="00CE6490"/>
    <w:rsid w:val="00CE6BEE"/>
    <w:rsid w:val="00CE702E"/>
    <w:rsid w:val="00CE7723"/>
    <w:rsid w:val="00CE7812"/>
    <w:rsid w:val="00CF088A"/>
    <w:rsid w:val="00CF1AEC"/>
    <w:rsid w:val="00CF210E"/>
    <w:rsid w:val="00CF22B4"/>
    <w:rsid w:val="00CF38F2"/>
    <w:rsid w:val="00CF429F"/>
    <w:rsid w:val="00CF5BAE"/>
    <w:rsid w:val="00CF5CD7"/>
    <w:rsid w:val="00CF62DB"/>
    <w:rsid w:val="00CF79DF"/>
    <w:rsid w:val="00D00057"/>
    <w:rsid w:val="00D00702"/>
    <w:rsid w:val="00D01E61"/>
    <w:rsid w:val="00D02296"/>
    <w:rsid w:val="00D02B99"/>
    <w:rsid w:val="00D0306C"/>
    <w:rsid w:val="00D034FA"/>
    <w:rsid w:val="00D04534"/>
    <w:rsid w:val="00D05F44"/>
    <w:rsid w:val="00D06027"/>
    <w:rsid w:val="00D0751A"/>
    <w:rsid w:val="00D078F8"/>
    <w:rsid w:val="00D07D25"/>
    <w:rsid w:val="00D110F0"/>
    <w:rsid w:val="00D114BB"/>
    <w:rsid w:val="00D116BA"/>
    <w:rsid w:val="00D12852"/>
    <w:rsid w:val="00D13010"/>
    <w:rsid w:val="00D133F0"/>
    <w:rsid w:val="00D143ED"/>
    <w:rsid w:val="00D16C5A"/>
    <w:rsid w:val="00D16DAA"/>
    <w:rsid w:val="00D17E12"/>
    <w:rsid w:val="00D20F59"/>
    <w:rsid w:val="00D21A0A"/>
    <w:rsid w:val="00D21B84"/>
    <w:rsid w:val="00D22244"/>
    <w:rsid w:val="00D22983"/>
    <w:rsid w:val="00D24E90"/>
    <w:rsid w:val="00D25100"/>
    <w:rsid w:val="00D25359"/>
    <w:rsid w:val="00D25E7D"/>
    <w:rsid w:val="00D261EA"/>
    <w:rsid w:val="00D26D6A"/>
    <w:rsid w:val="00D27732"/>
    <w:rsid w:val="00D27842"/>
    <w:rsid w:val="00D30628"/>
    <w:rsid w:val="00D30CEE"/>
    <w:rsid w:val="00D31D6C"/>
    <w:rsid w:val="00D32B3D"/>
    <w:rsid w:val="00D33749"/>
    <w:rsid w:val="00D33C8D"/>
    <w:rsid w:val="00D3580E"/>
    <w:rsid w:val="00D37148"/>
    <w:rsid w:val="00D37A00"/>
    <w:rsid w:val="00D40758"/>
    <w:rsid w:val="00D40860"/>
    <w:rsid w:val="00D4280D"/>
    <w:rsid w:val="00D42B76"/>
    <w:rsid w:val="00D43787"/>
    <w:rsid w:val="00D447D8"/>
    <w:rsid w:val="00D447FF"/>
    <w:rsid w:val="00D450B5"/>
    <w:rsid w:val="00D451E1"/>
    <w:rsid w:val="00D45623"/>
    <w:rsid w:val="00D45942"/>
    <w:rsid w:val="00D45968"/>
    <w:rsid w:val="00D468AF"/>
    <w:rsid w:val="00D470FA"/>
    <w:rsid w:val="00D47F57"/>
    <w:rsid w:val="00D47FB6"/>
    <w:rsid w:val="00D50983"/>
    <w:rsid w:val="00D524D1"/>
    <w:rsid w:val="00D53B35"/>
    <w:rsid w:val="00D5648F"/>
    <w:rsid w:val="00D568DF"/>
    <w:rsid w:val="00D56E3B"/>
    <w:rsid w:val="00D57CC2"/>
    <w:rsid w:val="00D616EC"/>
    <w:rsid w:val="00D6183B"/>
    <w:rsid w:val="00D625B8"/>
    <w:rsid w:val="00D648BA"/>
    <w:rsid w:val="00D66709"/>
    <w:rsid w:val="00D66A4D"/>
    <w:rsid w:val="00D66B09"/>
    <w:rsid w:val="00D67692"/>
    <w:rsid w:val="00D67818"/>
    <w:rsid w:val="00D67CE6"/>
    <w:rsid w:val="00D70532"/>
    <w:rsid w:val="00D724E1"/>
    <w:rsid w:val="00D72886"/>
    <w:rsid w:val="00D76A95"/>
    <w:rsid w:val="00D80102"/>
    <w:rsid w:val="00D801E1"/>
    <w:rsid w:val="00D805EB"/>
    <w:rsid w:val="00D82515"/>
    <w:rsid w:val="00D82682"/>
    <w:rsid w:val="00D82E21"/>
    <w:rsid w:val="00D83764"/>
    <w:rsid w:val="00D840E2"/>
    <w:rsid w:val="00D846FE"/>
    <w:rsid w:val="00D860CB"/>
    <w:rsid w:val="00D87C68"/>
    <w:rsid w:val="00D91013"/>
    <w:rsid w:val="00D91829"/>
    <w:rsid w:val="00D91E3A"/>
    <w:rsid w:val="00D92783"/>
    <w:rsid w:val="00D92B70"/>
    <w:rsid w:val="00D92D3B"/>
    <w:rsid w:val="00D9456A"/>
    <w:rsid w:val="00D94B4E"/>
    <w:rsid w:val="00D94DBD"/>
    <w:rsid w:val="00DA00BB"/>
    <w:rsid w:val="00DA38F9"/>
    <w:rsid w:val="00DA56E4"/>
    <w:rsid w:val="00DA73F0"/>
    <w:rsid w:val="00DA776D"/>
    <w:rsid w:val="00DA7AAB"/>
    <w:rsid w:val="00DA7F2C"/>
    <w:rsid w:val="00DB0815"/>
    <w:rsid w:val="00DB1859"/>
    <w:rsid w:val="00DB333B"/>
    <w:rsid w:val="00DB3ABE"/>
    <w:rsid w:val="00DB4D78"/>
    <w:rsid w:val="00DB6676"/>
    <w:rsid w:val="00DC0DC7"/>
    <w:rsid w:val="00DC2ABE"/>
    <w:rsid w:val="00DC4191"/>
    <w:rsid w:val="00DC59DE"/>
    <w:rsid w:val="00DC7217"/>
    <w:rsid w:val="00DC79BB"/>
    <w:rsid w:val="00DD08F1"/>
    <w:rsid w:val="00DD11EB"/>
    <w:rsid w:val="00DD1B8B"/>
    <w:rsid w:val="00DD1F32"/>
    <w:rsid w:val="00DD23D6"/>
    <w:rsid w:val="00DD4414"/>
    <w:rsid w:val="00DD4855"/>
    <w:rsid w:val="00DD5B5C"/>
    <w:rsid w:val="00DD75C4"/>
    <w:rsid w:val="00DE012A"/>
    <w:rsid w:val="00DE09B3"/>
    <w:rsid w:val="00DE1FBA"/>
    <w:rsid w:val="00DE212F"/>
    <w:rsid w:val="00DE4550"/>
    <w:rsid w:val="00DE55DE"/>
    <w:rsid w:val="00DE5968"/>
    <w:rsid w:val="00DE6A2A"/>
    <w:rsid w:val="00DE7629"/>
    <w:rsid w:val="00DF1227"/>
    <w:rsid w:val="00DF131F"/>
    <w:rsid w:val="00DF2C98"/>
    <w:rsid w:val="00DF379A"/>
    <w:rsid w:val="00DF41CB"/>
    <w:rsid w:val="00DF6DDC"/>
    <w:rsid w:val="00DF765A"/>
    <w:rsid w:val="00DF77FD"/>
    <w:rsid w:val="00DF7AB6"/>
    <w:rsid w:val="00E00DCA"/>
    <w:rsid w:val="00E033B7"/>
    <w:rsid w:val="00E038DB"/>
    <w:rsid w:val="00E04D0C"/>
    <w:rsid w:val="00E04FFB"/>
    <w:rsid w:val="00E0561F"/>
    <w:rsid w:val="00E05EEE"/>
    <w:rsid w:val="00E065DD"/>
    <w:rsid w:val="00E075A8"/>
    <w:rsid w:val="00E07D5A"/>
    <w:rsid w:val="00E105EE"/>
    <w:rsid w:val="00E10D91"/>
    <w:rsid w:val="00E1164C"/>
    <w:rsid w:val="00E1185D"/>
    <w:rsid w:val="00E118F4"/>
    <w:rsid w:val="00E12862"/>
    <w:rsid w:val="00E134FC"/>
    <w:rsid w:val="00E14237"/>
    <w:rsid w:val="00E1436B"/>
    <w:rsid w:val="00E14F22"/>
    <w:rsid w:val="00E151BD"/>
    <w:rsid w:val="00E170FA"/>
    <w:rsid w:val="00E1716F"/>
    <w:rsid w:val="00E177E8"/>
    <w:rsid w:val="00E2020E"/>
    <w:rsid w:val="00E20CBB"/>
    <w:rsid w:val="00E20D15"/>
    <w:rsid w:val="00E25A13"/>
    <w:rsid w:val="00E26F75"/>
    <w:rsid w:val="00E3064C"/>
    <w:rsid w:val="00E3112E"/>
    <w:rsid w:val="00E3174C"/>
    <w:rsid w:val="00E3228B"/>
    <w:rsid w:val="00E33007"/>
    <w:rsid w:val="00E338BA"/>
    <w:rsid w:val="00E34483"/>
    <w:rsid w:val="00E3456D"/>
    <w:rsid w:val="00E406B2"/>
    <w:rsid w:val="00E4190D"/>
    <w:rsid w:val="00E41A6C"/>
    <w:rsid w:val="00E43093"/>
    <w:rsid w:val="00E44646"/>
    <w:rsid w:val="00E44987"/>
    <w:rsid w:val="00E44EB9"/>
    <w:rsid w:val="00E44F34"/>
    <w:rsid w:val="00E45859"/>
    <w:rsid w:val="00E47666"/>
    <w:rsid w:val="00E47C2B"/>
    <w:rsid w:val="00E504E9"/>
    <w:rsid w:val="00E507A9"/>
    <w:rsid w:val="00E5253D"/>
    <w:rsid w:val="00E5370C"/>
    <w:rsid w:val="00E53860"/>
    <w:rsid w:val="00E554E7"/>
    <w:rsid w:val="00E5688C"/>
    <w:rsid w:val="00E57C72"/>
    <w:rsid w:val="00E60AEE"/>
    <w:rsid w:val="00E63762"/>
    <w:rsid w:val="00E6547E"/>
    <w:rsid w:val="00E65E36"/>
    <w:rsid w:val="00E66356"/>
    <w:rsid w:val="00E669A1"/>
    <w:rsid w:val="00E67625"/>
    <w:rsid w:val="00E700D9"/>
    <w:rsid w:val="00E70C0A"/>
    <w:rsid w:val="00E70C2E"/>
    <w:rsid w:val="00E75FF6"/>
    <w:rsid w:val="00E76970"/>
    <w:rsid w:val="00E77A6F"/>
    <w:rsid w:val="00E8390A"/>
    <w:rsid w:val="00E83A3B"/>
    <w:rsid w:val="00E84E82"/>
    <w:rsid w:val="00E86313"/>
    <w:rsid w:val="00E87945"/>
    <w:rsid w:val="00E901D7"/>
    <w:rsid w:val="00E9172D"/>
    <w:rsid w:val="00E91BD8"/>
    <w:rsid w:val="00E922BE"/>
    <w:rsid w:val="00E9258D"/>
    <w:rsid w:val="00E9268E"/>
    <w:rsid w:val="00E92B00"/>
    <w:rsid w:val="00E9368B"/>
    <w:rsid w:val="00E93F7A"/>
    <w:rsid w:val="00E94D9A"/>
    <w:rsid w:val="00E951CA"/>
    <w:rsid w:val="00E953FA"/>
    <w:rsid w:val="00E96872"/>
    <w:rsid w:val="00E97D0F"/>
    <w:rsid w:val="00E97E28"/>
    <w:rsid w:val="00EA207C"/>
    <w:rsid w:val="00EA3E94"/>
    <w:rsid w:val="00EA3F5C"/>
    <w:rsid w:val="00EA484D"/>
    <w:rsid w:val="00EA4A96"/>
    <w:rsid w:val="00EA75CA"/>
    <w:rsid w:val="00EB05BE"/>
    <w:rsid w:val="00EB1A14"/>
    <w:rsid w:val="00EB1C95"/>
    <w:rsid w:val="00EB348B"/>
    <w:rsid w:val="00EB3B0A"/>
    <w:rsid w:val="00EB3DAC"/>
    <w:rsid w:val="00EB4093"/>
    <w:rsid w:val="00EB46F3"/>
    <w:rsid w:val="00EB4958"/>
    <w:rsid w:val="00EB4B88"/>
    <w:rsid w:val="00EB5470"/>
    <w:rsid w:val="00EB5AF8"/>
    <w:rsid w:val="00EC0A0A"/>
    <w:rsid w:val="00EC0B90"/>
    <w:rsid w:val="00EC1371"/>
    <w:rsid w:val="00EC1DC8"/>
    <w:rsid w:val="00EC2445"/>
    <w:rsid w:val="00EC25FA"/>
    <w:rsid w:val="00EC33B2"/>
    <w:rsid w:val="00EC3796"/>
    <w:rsid w:val="00EC41A4"/>
    <w:rsid w:val="00EC4A5A"/>
    <w:rsid w:val="00EC5D78"/>
    <w:rsid w:val="00EC6563"/>
    <w:rsid w:val="00EC7294"/>
    <w:rsid w:val="00EC7555"/>
    <w:rsid w:val="00EC7728"/>
    <w:rsid w:val="00ED0109"/>
    <w:rsid w:val="00ED0680"/>
    <w:rsid w:val="00ED10A6"/>
    <w:rsid w:val="00ED27B0"/>
    <w:rsid w:val="00ED27B9"/>
    <w:rsid w:val="00ED2905"/>
    <w:rsid w:val="00ED33BD"/>
    <w:rsid w:val="00ED3D65"/>
    <w:rsid w:val="00ED7E7A"/>
    <w:rsid w:val="00EE0D8C"/>
    <w:rsid w:val="00EE149D"/>
    <w:rsid w:val="00EE172B"/>
    <w:rsid w:val="00EE3F56"/>
    <w:rsid w:val="00EE4BB2"/>
    <w:rsid w:val="00EE560A"/>
    <w:rsid w:val="00EE6B47"/>
    <w:rsid w:val="00EE6C93"/>
    <w:rsid w:val="00EE733B"/>
    <w:rsid w:val="00EE7B6D"/>
    <w:rsid w:val="00EF13A5"/>
    <w:rsid w:val="00EF1724"/>
    <w:rsid w:val="00EF1AA9"/>
    <w:rsid w:val="00EF1B4E"/>
    <w:rsid w:val="00EF1CC2"/>
    <w:rsid w:val="00EF25EA"/>
    <w:rsid w:val="00EF26F4"/>
    <w:rsid w:val="00EF3963"/>
    <w:rsid w:val="00EF5079"/>
    <w:rsid w:val="00EF5EF9"/>
    <w:rsid w:val="00EF6A36"/>
    <w:rsid w:val="00EF7A77"/>
    <w:rsid w:val="00EF7B28"/>
    <w:rsid w:val="00EF7DE3"/>
    <w:rsid w:val="00F006C9"/>
    <w:rsid w:val="00F015FF"/>
    <w:rsid w:val="00F021FB"/>
    <w:rsid w:val="00F02F54"/>
    <w:rsid w:val="00F03638"/>
    <w:rsid w:val="00F039ED"/>
    <w:rsid w:val="00F03F16"/>
    <w:rsid w:val="00F04BBC"/>
    <w:rsid w:val="00F06080"/>
    <w:rsid w:val="00F0620D"/>
    <w:rsid w:val="00F06C5C"/>
    <w:rsid w:val="00F07ECC"/>
    <w:rsid w:val="00F10116"/>
    <w:rsid w:val="00F1085C"/>
    <w:rsid w:val="00F11A19"/>
    <w:rsid w:val="00F11B23"/>
    <w:rsid w:val="00F1344F"/>
    <w:rsid w:val="00F13850"/>
    <w:rsid w:val="00F13A34"/>
    <w:rsid w:val="00F146CB"/>
    <w:rsid w:val="00F14B1E"/>
    <w:rsid w:val="00F14E3C"/>
    <w:rsid w:val="00F15D92"/>
    <w:rsid w:val="00F21C03"/>
    <w:rsid w:val="00F21CE7"/>
    <w:rsid w:val="00F220EF"/>
    <w:rsid w:val="00F2267D"/>
    <w:rsid w:val="00F2298C"/>
    <w:rsid w:val="00F23E99"/>
    <w:rsid w:val="00F24540"/>
    <w:rsid w:val="00F24CF2"/>
    <w:rsid w:val="00F25235"/>
    <w:rsid w:val="00F254F6"/>
    <w:rsid w:val="00F268EE"/>
    <w:rsid w:val="00F300F5"/>
    <w:rsid w:val="00F3022D"/>
    <w:rsid w:val="00F30708"/>
    <w:rsid w:val="00F30B0F"/>
    <w:rsid w:val="00F31B3B"/>
    <w:rsid w:val="00F31E35"/>
    <w:rsid w:val="00F3228A"/>
    <w:rsid w:val="00F3395E"/>
    <w:rsid w:val="00F33A72"/>
    <w:rsid w:val="00F3415D"/>
    <w:rsid w:val="00F35EC4"/>
    <w:rsid w:val="00F363F1"/>
    <w:rsid w:val="00F37256"/>
    <w:rsid w:val="00F42C0C"/>
    <w:rsid w:val="00F42DF8"/>
    <w:rsid w:val="00F43DFC"/>
    <w:rsid w:val="00F45E5A"/>
    <w:rsid w:val="00F50172"/>
    <w:rsid w:val="00F54740"/>
    <w:rsid w:val="00F54BD2"/>
    <w:rsid w:val="00F565D0"/>
    <w:rsid w:val="00F5688D"/>
    <w:rsid w:val="00F57A3E"/>
    <w:rsid w:val="00F61CED"/>
    <w:rsid w:val="00F61DB5"/>
    <w:rsid w:val="00F61F30"/>
    <w:rsid w:val="00F62899"/>
    <w:rsid w:val="00F636F0"/>
    <w:rsid w:val="00F637A9"/>
    <w:rsid w:val="00F63A4A"/>
    <w:rsid w:val="00F63E31"/>
    <w:rsid w:val="00F645AE"/>
    <w:rsid w:val="00F67D00"/>
    <w:rsid w:val="00F67D2C"/>
    <w:rsid w:val="00F70011"/>
    <w:rsid w:val="00F70442"/>
    <w:rsid w:val="00F7118E"/>
    <w:rsid w:val="00F720FA"/>
    <w:rsid w:val="00F733B2"/>
    <w:rsid w:val="00F73E6B"/>
    <w:rsid w:val="00F75DF6"/>
    <w:rsid w:val="00F765A4"/>
    <w:rsid w:val="00F76F34"/>
    <w:rsid w:val="00F772EA"/>
    <w:rsid w:val="00F77698"/>
    <w:rsid w:val="00F80295"/>
    <w:rsid w:val="00F805AF"/>
    <w:rsid w:val="00F82152"/>
    <w:rsid w:val="00F8238A"/>
    <w:rsid w:val="00F83BC2"/>
    <w:rsid w:val="00F84ED2"/>
    <w:rsid w:val="00F87AC1"/>
    <w:rsid w:val="00F9010B"/>
    <w:rsid w:val="00F90290"/>
    <w:rsid w:val="00F90393"/>
    <w:rsid w:val="00F915B8"/>
    <w:rsid w:val="00F91B3B"/>
    <w:rsid w:val="00F935F7"/>
    <w:rsid w:val="00F94EC0"/>
    <w:rsid w:val="00F95B4E"/>
    <w:rsid w:val="00F96C5E"/>
    <w:rsid w:val="00F976C6"/>
    <w:rsid w:val="00FA0C52"/>
    <w:rsid w:val="00FA1CFB"/>
    <w:rsid w:val="00FA215D"/>
    <w:rsid w:val="00FA2451"/>
    <w:rsid w:val="00FA2726"/>
    <w:rsid w:val="00FA3FB9"/>
    <w:rsid w:val="00FA457D"/>
    <w:rsid w:val="00FA6E33"/>
    <w:rsid w:val="00FA72B1"/>
    <w:rsid w:val="00FB2641"/>
    <w:rsid w:val="00FB346B"/>
    <w:rsid w:val="00FB38B0"/>
    <w:rsid w:val="00FB5EC9"/>
    <w:rsid w:val="00FB67E5"/>
    <w:rsid w:val="00FB7B44"/>
    <w:rsid w:val="00FC479C"/>
    <w:rsid w:val="00FC6E57"/>
    <w:rsid w:val="00FC7151"/>
    <w:rsid w:val="00FC72B9"/>
    <w:rsid w:val="00FD0560"/>
    <w:rsid w:val="00FD0C02"/>
    <w:rsid w:val="00FD1FCF"/>
    <w:rsid w:val="00FD282F"/>
    <w:rsid w:val="00FD3F11"/>
    <w:rsid w:val="00FD6EAA"/>
    <w:rsid w:val="00FE0ABB"/>
    <w:rsid w:val="00FE141F"/>
    <w:rsid w:val="00FE20F0"/>
    <w:rsid w:val="00FE2ED1"/>
    <w:rsid w:val="00FE3EF7"/>
    <w:rsid w:val="00FE7911"/>
    <w:rsid w:val="00FF04F2"/>
    <w:rsid w:val="00FF1735"/>
    <w:rsid w:val="00FF1B82"/>
    <w:rsid w:val="00FF31C9"/>
    <w:rsid w:val="00FF3D51"/>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4263"/>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customStyle="1" w:styleId="western">
    <w:name w:val="western"/>
    <w:basedOn w:val="Normal"/>
    <w:rsid w:val="00A84263"/>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apple-converted-space">
    <w:name w:val="apple-converted-space"/>
    <w:basedOn w:val="DefaultParagraphFont"/>
    <w:rsid w:val="00A84263"/>
  </w:style>
  <w:style w:type="character" w:customStyle="1" w:styleId="Heading2Char">
    <w:name w:val="Heading 2 Char"/>
    <w:basedOn w:val="DefaultParagraphFont"/>
    <w:link w:val="Heading2"/>
    <w:uiPriority w:val="9"/>
    <w:rsid w:val="00A84263"/>
    <w:rPr>
      <w:rFonts w:ascii="Times New Roman" w:eastAsia="Times New Roman" w:hAnsi="Times New Roman" w:cs="Times New Roman"/>
      <w:b/>
      <w:bCs/>
      <w:color w:val="auto"/>
      <w:sz w:val="36"/>
      <w:szCs w:val="36"/>
      <w:lang w:eastAsia="en-GB"/>
    </w:rPr>
  </w:style>
  <w:style w:type="paragraph" w:styleId="NormalWeb">
    <w:name w:val="Normal (Web)"/>
    <w:basedOn w:val="Normal"/>
    <w:uiPriority w:val="99"/>
    <w:semiHidden/>
    <w:unhideWhenUsed/>
    <w:rsid w:val="001D416A"/>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Hyperlink">
    <w:name w:val="Hyperlink"/>
    <w:basedOn w:val="DefaultParagraphFont"/>
    <w:uiPriority w:val="99"/>
    <w:semiHidden/>
    <w:unhideWhenUsed/>
    <w:rsid w:val="001D4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4698">
      <w:bodyDiv w:val="1"/>
      <w:marLeft w:val="0"/>
      <w:marRight w:val="0"/>
      <w:marTop w:val="0"/>
      <w:marBottom w:val="0"/>
      <w:divBdr>
        <w:top w:val="none" w:sz="0" w:space="0" w:color="auto"/>
        <w:left w:val="none" w:sz="0" w:space="0" w:color="auto"/>
        <w:bottom w:val="none" w:sz="0" w:space="0" w:color="auto"/>
        <w:right w:val="none" w:sz="0" w:space="0" w:color="auto"/>
      </w:divBdr>
      <w:divsChild>
        <w:div w:id="1374618431">
          <w:marLeft w:val="0"/>
          <w:marRight w:val="0"/>
          <w:marTop w:val="0"/>
          <w:marBottom w:val="0"/>
          <w:divBdr>
            <w:top w:val="none" w:sz="0" w:space="0" w:color="auto"/>
            <w:left w:val="none" w:sz="0" w:space="0" w:color="auto"/>
            <w:bottom w:val="none" w:sz="0" w:space="0" w:color="auto"/>
            <w:right w:val="none" w:sz="0" w:space="0" w:color="auto"/>
          </w:divBdr>
          <w:divsChild>
            <w:div w:id="1804229373">
              <w:marLeft w:val="0"/>
              <w:marRight w:val="0"/>
              <w:marTop w:val="0"/>
              <w:marBottom w:val="0"/>
              <w:divBdr>
                <w:top w:val="none" w:sz="0" w:space="0" w:color="auto"/>
                <w:left w:val="none" w:sz="0" w:space="0" w:color="auto"/>
                <w:bottom w:val="none" w:sz="0" w:space="0" w:color="auto"/>
                <w:right w:val="none" w:sz="0" w:space="0" w:color="auto"/>
              </w:divBdr>
              <w:divsChild>
                <w:div w:id="6606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9326">
      <w:bodyDiv w:val="1"/>
      <w:marLeft w:val="0"/>
      <w:marRight w:val="0"/>
      <w:marTop w:val="0"/>
      <w:marBottom w:val="0"/>
      <w:divBdr>
        <w:top w:val="none" w:sz="0" w:space="0" w:color="auto"/>
        <w:left w:val="none" w:sz="0" w:space="0" w:color="auto"/>
        <w:bottom w:val="none" w:sz="0" w:space="0" w:color="auto"/>
        <w:right w:val="none" w:sz="0" w:space="0" w:color="auto"/>
      </w:divBdr>
    </w:div>
    <w:div w:id="182406990">
      <w:bodyDiv w:val="1"/>
      <w:marLeft w:val="0"/>
      <w:marRight w:val="0"/>
      <w:marTop w:val="0"/>
      <w:marBottom w:val="0"/>
      <w:divBdr>
        <w:top w:val="none" w:sz="0" w:space="0" w:color="auto"/>
        <w:left w:val="none" w:sz="0" w:space="0" w:color="auto"/>
        <w:bottom w:val="none" w:sz="0" w:space="0" w:color="auto"/>
        <w:right w:val="none" w:sz="0" w:space="0" w:color="auto"/>
      </w:divBdr>
    </w:div>
    <w:div w:id="1645817619">
      <w:bodyDiv w:val="1"/>
      <w:marLeft w:val="0"/>
      <w:marRight w:val="0"/>
      <w:marTop w:val="0"/>
      <w:marBottom w:val="0"/>
      <w:divBdr>
        <w:top w:val="none" w:sz="0" w:space="0" w:color="auto"/>
        <w:left w:val="none" w:sz="0" w:space="0" w:color="auto"/>
        <w:bottom w:val="none" w:sz="0" w:space="0" w:color="auto"/>
        <w:right w:val="none" w:sz="0" w:space="0" w:color="auto"/>
      </w:divBdr>
    </w:div>
    <w:div w:id="1936740126">
      <w:bodyDiv w:val="1"/>
      <w:marLeft w:val="0"/>
      <w:marRight w:val="0"/>
      <w:marTop w:val="0"/>
      <w:marBottom w:val="0"/>
      <w:divBdr>
        <w:top w:val="none" w:sz="0" w:space="0" w:color="auto"/>
        <w:left w:val="none" w:sz="0" w:space="0" w:color="auto"/>
        <w:bottom w:val="none" w:sz="0" w:space="0" w:color="auto"/>
        <w:right w:val="none" w:sz="0" w:space="0" w:color="auto"/>
      </w:divBdr>
    </w:div>
    <w:div w:id="20267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4ABF-0B35-4B1A-B129-20703E5C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5410</Words>
  <Characters>30843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Mokone</cp:lastModifiedBy>
  <cp:revision>3</cp:revision>
  <dcterms:created xsi:type="dcterms:W3CDTF">2023-06-20T13:04:00Z</dcterms:created>
  <dcterms:modified xsi:type="dcterms:W3CDTF">2023-06-20T13:04:00Z</dcterms:modified>
</cp:coreProperties>
</file>