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91BD0" w:rsidRPr="00F34416" w:rsidRDefault="00C91BD0" w:rsidP="00C91BD0">
      <w:pPr>
        <w:jc w:val="center"/>
        <w:rPr>
          <w:lang w:val="en-GB"/>
        </w:rPr>
      </w:pPr>
      <w:bookmarkStart w:id="0" w:name="_GoBack"/>
      <w:bookmarkEnd w:id="0"/>
      <w:r w:rsidRPr="00F34416">
        <w:rPr>
          <w:noProof/>
          <w:lang w:val="en-US"/>
        </w:rPr>
        <w:drawing>
          <wp:inline distT="0" distB="0" distL="0" distR="0" wp14:anchorId="0900FF1A" wp14:editId="06474571">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08B099AB" w14:textId="77777777" w:rsidR="00C91BD0" w:rsidRPr="00F34416" w:rsidRDefault="00C91BD0" w:rsidP="00EB1C99">
      <w:pPr>
        <w:jc w:val="center"/>
        <w:rPr>
          <w:b/>
          <w:bCs/>
          <w:lang w:val="en-GB"/>
        </w:rPr>
      </w:pPr>
      <w:r w:rsidRPr="00F34416">
        <w:rPr>
          <w:b/>
          <w:bCs/>
          <w:lang w:val="en-GB"/>
        </w:rPr>
        <w:t>IN THE HIGH COURT OF SOUTH AFRICA</w:t>
      </w:r>
    </w:p>
    <w:p w14:paraId="64117CC7" w14:textId="126CF781" w:rsidR="00C91BD0" w:rsidRPr="00F34416" w:rsidRDefault="00656E28" w:rsidP="00EB1C99">
      <w:pPr>
        <w:jc w:val="center"/>
        <w:rPr>
          <w:b/>
          <w:bCs/>
          <w:lang w:val="en-GB"/>
        </w:rPr>
      </w:pPr>
      <w:r>
        <w:rPr>
          <w:b/>
          <w:bCs/>
          <w:lang w:val="en-GB"/>
        </w:rPr>
        <w:t>(</w:t>
      </w:r>
      <w:r w:rsidR="00C91BD0" w:rsidRPr="00F34416">
        <w:rPr>
          <w:b/>
          <w:bCs/>
          <w:lang w:val="en-GB"/>
        </w:rPr>
        <w:t>EAST</w:t>
      </w:r>
      <w:r w:rsidR="000E61F4">
        <w:rPr>
          <w:b/>
          <w:bCs/>
          <w:lang w:val="en-GB"/>
        </w:rPr>
        <w:t>ERN CAPE DIVISION</w:t>
      </w:r>
      <w:r w:rsidR="0089323F">
        <w:rPr>
          <w:b/>
          <w:bCs/>
          <w:lang w:val="en-GB"/>
        </w:rPr>
        <w:t>, MTHATHA</w:t>
      </w:r>
      <w:r>
        <w:rPr>
          <w:b/>
          <w:bCs/>
          <w:lang w:val="en-GB"/>
        </w:rPr>
        <w:t>)</w:t>
      </w:r>
    </w:p>
    <w:p w14:paraId="0A37501D" w14:textId="77777777" w:rsidR="00C91BD0" w:rsidRPr="00F34416" w:rsidRDefault="00C91BD0" w:rsidP="00EB1C99">
      <w:pPr>
        <w:widowControl w:val="0"/>
        <w:jc w:val="both"/>
        <w:rPr>
          <w:spacing w:val="14"/>
          <w:kern w:val="2"/>
          <w:u w:val="single"/>
          <w:lang w:val="en-GB"/>
        </w:rPr>
      </w:pPr>
    </w:p>
    <w:p w14:paraId="6A0BFBFE" w14:textId="2D249BBF" w:rsidR="00757664" w:rsidRPr="00F34416" w:rsidRDefault="00D86E36" w:rsidP="00EB1C99">
      <w:pPr>
        <w:ind w:right="-52"/>
        <w:jc w:val="right"/>
        <w:rPr>
          <w:lang w:val="en-GB"/>
        </w:rPr>
      </w:pPr>
      <w:r w:rsidRPr="009A5958">
        <w:rPr>
          <w:b/>
          <w:bCs/>
          <w:lang w:val="en-GB"/>
        </w:rPr>
        <w:t xml:space="preserve">CASE NO: </w:t>
      </w:r>
      <w:r w:rsidRPr="00D42E4D">
        <w:rPr>
          <w:lang w:val="en-GB"/>
        </w:rPr>
        <w:t>2555/201</w:t>
      </w:r>
    </w:p>
    <w:p w14:paraId="2F4385DC" w14:textId="7077C274" w:rsidR="00C91BD0" w:rsidRPr="00F34416" w:rsidRDefault="00C91BD0" w:rsidP="009A5958">
      <w:pPr>
        <w:ind w:right="-52"/>
        <w:jc w:val="both"/>
        <w:rPr>
          <w:lang w:val="en-GB"/>
        </w:rPr>
      </w:pPr>
    </w:p>
    <w:p w14:paraId="55C90636" w14:textId="27D3BE87" w:rsidR="00C91BD0" w:rsidRPr="002838D5" w:rsidRDefault="00C91BD0" w:rsidP="009A5958">
      <w:pPr>
        <w:widowControl w:val="0"/>
        <w:spacing w:line="480" w:lineRule="auto"/>
        <w:jc w:val="both"/>
        <w:rPr>
          <w:lang w:val="en-GB"/>
        </w:rPr>
      </w:pPr>
      <w:r w:rsidRPr="00D42E4D">
        <w:rPr>
          <w:spacing w:val="14"/>
          <w:kern w:val="2"/>
          <w:lang w:val="en-GB"/>
        </w:rPr>
        <w:t>In the matter between:</w:t>
      </w:r>
    </w:p>
    <w:p w14:paraId="154BBEB3" w14:textId="39B9C163" w:rsidR="00C91BD0" w:rsidRDefault="0017350E" w:rsidP="009A5958">
      <w:pPr>
        <w:widowControl w:val="0"/>
        <w:tabs>
          <w:tab w:val="right" w:pos="8931"/>
        </w:tabs>
        <w:spacing w:line="480" w:lineRule="auto"/>
        <w:jc w:val="both"/>
        <w:rPr>
          <w:b/>
          <w:color w:val="auto"/>
        </w:rPr>
      </w:pPr>
      <w:r>
        <w:rPr>
          <w:b/>
          <w:color w:val="auto"/>
        </w:rPr>
        <w:t>KERIKE IVAN</w:t>
      </w:r>
      <w:r w:rsidR="0089323F">
        <w:rPr>
          <w:b/>
          <w:color w:val="auto"/>
        </w:rPr>
        <w:t xml:space="preserve"> NGCAMA</w:t>
      </w:r>
      <w:r w:rsidR="00757664">
        <w:rPr>
          <w:b/>
          <w:color w:val="auto"/>
        </w:rPr>
        <w:tab/>
      </w:r>
      <w:r w:rsidR="0089323F">
        <w:rPr>
          <w:b/>
          <w:color w:val="auto"/>
        </w:rPr>
        <w:t>P</w:t>
      </w:r>
      <w:r w:rsidR="0030749E">
        <w:rPr>
          <w:b/>
          <w:color w:val="auto"/>
        </w:rPr>
        <w:t>LAINTIFF</w:t>
      </w:r>
    </w:p>
    <w:p w14:paraId="5A39BBE3" w14:textId="77777777" w:rsidR="00C91BD0" w:rsidRPr="002838D5" w:rsidRDefault="00C91BD0" w:rsidP="009A5958">
      <w:pPr>
        <w:widowControl w:val="0"/>
        <w:tabs>
          <w:tab w:val="right" w:pos="8640"/>
        </w:tabs>
        <w:spacing w:line="480" w:lineRule="auto"/>
        <w:jc w:val="both"/>
        <w:rPr>
          <w:b/>
          <w:color w:val="auto"/>
        </w:rPr>
      </w:pPr>
    </w:p>
    <w:p w14:paraId="201911FB" w14:textId="77777777" w:rsidR="00C91BD0" w:rsidRPr="00CB04F8" w:rsidRDefault="00C91BD0" w:rsidP="009A5958">
      <w:pPr>
        <w:widowControl w:val="0"/>
        <w:tabs>
          <w:tab w:val="right" w:pos="8640"/>
        </w:tabs>
        <w:spacing w:line="480" w:lineRule="auto"/>
        <w:jc w:val="both"/>
        <w:rPr>
          <w:bCs/>
          <w:color w:val="auto"/>
        </w:rPr>
      </w:pPr>
      <w:r w:rsidRPr="00CB04F8">
        <w:rPr>
          <w:bCs/>
          <w:color w:val="auto"/>
        </w:rPr>
        <w:t>and</w:t>
      </w:r>
    </w:p>
    <w:p w14:paraId="41C8F396" w14:textId="77777777" w:rsidR="00C91BD0" w:rsidRDefault="00C91BD0" w:rsidP="009A5958">
      <w:pPr>
        <w:widowControl w:val="0"/>
        <w:tabs>
          <w:tab w:val="right" w:pos="8640"/>
        </w:tabs>
        <w:spacing w:line="480" w:lineRule="auto"/>
        <w:jc w:val="both"/>
        <w:rPr>
          <w:b/>
          <w:color w:val="auto"/>
        </w:rPr>
      </w:pPr>
    </w:p>
    <w:p w14:paraId="35759C58" w14:textId="6B268186" w:rsidR="00C91BD0" w:rsidRDefault="0089323F" w:rsidP="009A5958">
      <w:pPr>
        <w:widowControl w:val="0"/>
        <w:tabs>
          <w:tab w:val="right" w:pos="8931"/>
        </w:tabs>
        <w:spacing w:line="480" w:lineRule="auto"/>
        <w:jc w:val="both"/>
        <w:rPr>
          <w:b/>
          <w:color w:val="auto"/>
        </w:rPr>
      </w:pPr>
      <w:r>
        <w:rPr>
          <w:b/>
          <w:color w:val="auto"/>
        </w:rPr>
        <w:t>MINISTER OF POLICE</w:t>
      </w:r>
      <w:r w:rsidR="00757664">
        <w:rPr>
          <w:b/>
          <w:color w:val="auto"/>
        </w:rPr>
        <w:tab/>
      </w:r>
      <w:r>
        <w:rPr>
          <w:b/>
          <w:color w:val="auto"/>
        </w:rPr>
        <w:t>1</w:t>
      </w:r>
      <w:r w:rsidRPr="0089323F">
        <w:rPr>
          <w:b/>
          <w:color w:val="auto"/>
          <w:vertAlign w:val="superscript"/>
        </w:rPr>
        <w:t>st</w:t>
      </w:r>
      <w:r>
        <w:rPr>
          <w:b/>
          <w:color w:val="auto"/>
        </w:rPr>
        <w:t xml:space="preserve"> </w:t>
      </w:r>
      <w:r w:rsidR="0030749E">
        <w:rPr>
          <w:b/>
          <w:color w:val="auto"/>
        </w:rPr>
        <w:t>DEFENDANT</w:t>
      </w:r>
    </w:p>
    <w:p w14:paraId="687E420A" w14:textId="3F43E239" w:rsidR="0089323F" w:rsidRPr="002838D5" w:rsidRDefault="0089323F" w:rsidP="009A5958">
      <w:pPr>
        <w:widowControl w:val="0"/>
        <w:tabs>
          <w:tab w:val="right" w:pos="8931"/>
        </w:tabs>
        <w:spacing w:line="480" w:lineRule="auto"/>
        <w:jc w:val="both"/>
        <w:rPr>
          <w:b/>
          <w:color w:val="auto"/>
        </w:rPr>
      </w:pPr>
      <w:r>
        <w:rPr>
          <w:b/>
          <w:color w:val="auto"/>
        </w:rPr>
        <w:t>NATIONAL DIRECTOR OF PUBLIC PROSECUTION</w:t>
      </w:r>
      <w:r w:rsidR="00757664">
        <w:rPr>
          <w:b/>
          <w:color w:val="auto"/>
        </w:rPr>
        <w:tab/>
      </w:r>
      <w:r>
        <w:rPr>
          <w:b/>
          <w:color w:val="auto"/>
        </w:rPr>
        <w:t>2</w:t>
      </w:r>
      <w:r>
        <w:rPr>
          <w:b/>
          <w:color w:val="auto"/>
          <w:vertAlign w:val="superscript"/>
        </w:rPr>
        <w:t xml:space="preserve">nd </w:t>
      </w:r>
      <w:r w:rsidR="0030749E">
        <w:rPr>
          <w:b/>
          <w:color w:val="auto"/>
        </w:rPr>
        <w:t>DEFENDANT</w:t>
      </w:r>
    </w:p>
    <w:p w14:paraId="54414E8C" w14:textId="77777777" w:rsidR="00C91BD0" w:rsidRPr="009A5958" w:rsidRDefault="00C91BD0" w:rsidP="00EB1C99">
      <w:pPr>
        <w:jc w:val="both"/>
        <w:rPr>
          <w:b/>
          <w:bCs/>
          <w:u w:val="single"/>
          <w:lang w:val="en-GB"/>
        </w:rPr>
      </w:pPr>
      <w:r w:rsidRPr="009A5958">
        <w:rPr>
          <w:b/>
          <w:bCs/>
          <w:u w:val="single"/>
          <w:lang w:val="en-GB"/>
        </w:rPr>
        <w:t>___________________________________________________________________</w:t>
      </w:r>
    </w:p>
    <w:p w14:paraId="72A3D3EC" w14:textId="77777777" w:rsidR="00C91BD0" w:rsidRPr="00F34416" w:rsidRDefault="00C91BD0" w:rsidP="009A5958">
      <w:pPr>
        <w:jc w:val="both"/>
        <w:rPr>
          <w:lang w:val="en-GB"/>
        </w:rPr>
      </w:pPr>
    </w:p>
    <w:p w14:paraId="102EC43C" w14:textId="412114D4" w:rsidR="00C91BD0" w:rsidRPr="00F34416" w:rsidRDefault="00C91BD0" w:rsidP="00EB1C99">
      <w:pPr>
        <w:jc w:val="center"/>
        <w:rPr>
          <w:b/>
          <w:bCs/>
          <w:lang w:val="en-GB"/>
        </w:rPr>
      </w:pPr>
      <w:r w:rsidRPr="00F34416">
        <w:rPr>
          <w:b/>
          <w:bCs/>
          <w:lang w:val="en-GB"/>
        </w:rPr>
        <w:t>JUDGMENT</w:t>
      </w:r>
    </w:p>
    <w:p w14:paraId="51C8D2D5" w14:textId="2A4A77F4" w:rsidR="00656E28" w:rsidRPr="009A5958" w:rsidRDefault="00C91BD0" w:rsidP="00EB1C99">
      <w:pPr>
        <w:jc w:val="both"/>
        <w:rPr>
          <w:b/>
          <w:bCs/>
          <w:u w:val="single"/>
          <w:lang w:val="en-GB"/>
        </w:rPr>
      </w:pPr>
      <w:r w:rsidRPr="009A5958">
        <w:rPr>
          <w:b/>
          <w:bCs/>
          <w:u w:val="single"/>
          <w:lang w:val="en-GB"/>
        </w:rPr>
        <w:t>___________________________________________________________________</w:t>
      </w:r>
    </w:p>
    <w:p w14:paraId="0D0B940D" w14:textId="77777777" w:rsidR="004A3816" w:rsidRPr="00EB1C99" w:rsidRDefault="004A3816" w:rsidP="009A5958">
      <w:pPr>
        <w:jc w:val="both"/>
        <w:rPr>
          <w:lang w:val="en-GB"/>
        </w:rPr>
      </w:pPr>
    </w:p>
    <w:p w14:paraId="46C10A4B" w14:textId="05E89DEA" w:rsidR="00782560" w:rsidRPr="00713345" w:rsidRDefault="00C2796C" w:rsidP="00EB1C99">
      <w:pPr>
        <w:tabs>
          <w:tab w:val="left" w:pos="851"/>
        </w:tabs>
        <w:jc w:val="both"/>
        <w:rPr>
          <w:b/>
          <w:lang w:val="en-GB"/>
        </w:rPr>
      </w:pPr>
      <w:r w:rsidRPr="00713345">
        <w:rPr>
          <w:b/>
          <w:lang w:val="en-GB"/>
        </w:rPr>
        <w:t>CENGANI</w:t>
      </w:r>
      <w:r w:rsidR="00EB1C99">
        <w:rPr>
          <w:b/>
          <w:lang w:val="en-GB"/>
        </w:rPr>
        <w:t>-</w:t>
      </w:r>
      <w:r w:rsidRPr="00713345">
        <w:rPr>
          <w:b/>
          <w:lang w:val="en-GB"/>
        </w:rPr>
        <w:t>MBAKAZA AJ</w:t>
      </w:r>
    </w:p>
    <w:p w14:paraId="5AC82EB6" w14:textId="5CC65017" w:rsidR="5AC7D5BF" w:rsidRDefault="5AC7D5BF" w:rsidP="00EB1C99">
      <w:pPr>
        <w:tabs>
          <w:tab w:val="left" w:pos="851"/>
        </w:tabs>
        <w:jc w:val="both"/>
        <w:rPr>
          <w:b/>
          <w:bCs/>
          <w:lang w:val="en-GB"/>
        </w:rPr>
      </w:pPr>
    </w:p>
    <w:p w14:paraId="3E7A9F1C" w14:textId="0B407655" w:rsidR="005A6A7B" w:rsidRPr="0030749E" w:rsidRDefault="00456043" w:rsidP="00EB1C99">
      <w:pPr>
        <w:tabs>
          <w:tab w:val="left" w:pos="851"/>
        </w:tabs>
        <w:jc w:val="both"/>
        <w:rPr>
          <w:b/>
          <w:lang w:val="en-GB"/>
        </w:rPr>
      </w:pPr>
      <w:r w:rsidRPr="0030749E">
        <w:rPr>
          <w:b/>
          <w:lang w:val="en-GB"/>
        </w:rPr>
        <w:t>INTRODUCTION</w:t>
      </w:r>
    </w:p>
    <w:p w14:paraId="60061E4C" w14:textId="77777777" w:rsidR="00C2796C" w:rsidRDefault="00C2796C" w:rsidP="00EB1C99">
      <w:pPr>
        <w:tabs>
          <w:tab w:val="left" w:pos="851"/>
        </w:tabs>
        <w:jc w:val="both"/>
        <w:rPr>
          <w:b/>
          <w:lang w:val="en-GB"/>
        </w:rPr>
      </w:pPr>
    </w:p>
    <w:p w14:paraId="01CECE02" w14:textId="166C8D0F" w:rsidR="00757664" w:rsidRPr="00757664" w:rsidRDefault="00757664" w:rsidP="009A5958">
      <w:pPr>
        <w:tabs>
          <w:tab w:val="left" w:pos="851"/>
        </w:tabs>
        <w:jc w:val="both"/>
        <w:rPr>
          <w:lang w:val="en-GB"/>
        </w:rPr>
      </w:pPr>
      <w:r>
        <w:rPr>
          <w:lang w:val="en-GB"/>
        </w:rPr>
        <w:t>[1]</w:t>
      </w:r>
      <w:r>
        <w:rPr>
          <w:lang w:val="en-GB"/>
        </w:rPr>
        <w:tab/>
      </w:r>
      <w:r w:rsidR="000A5A6C" w:rsidRPr="00757664">
        <w:rPr>
          <w:lang w:val="en-GB"/>
        </w:rPr>
        <w:t>T</w:t>
      </w:r>
      <w:r w:rsidR="000E61F4">
        <w:rPr>
          <w:lang w:val="en-GB"/>
        </w:rPr>
        <w:t>he p</w:t>
      </w:r>
      <w:r w:rsidR="0050050D" w:rsidRPr="00757664">
        <w:rPr>
          <w:lang w:val="en-GB"/>
        </w:rPr>
        <w:t>laintiff</w:t>
      </w:r>
      <w:r w:rsidR="0017350E" w:rsidRPr="00757664">
        <w:rPr>
          <w:lang w:val="en-GB"/>
        </w:rPr>
        <w:t xml:space="preserve"> </w:t>
      </w:r>
      <w:r w:rsidR="000E61F4">
        <w:rPr>
          <w:lang w:val="en-GB"/>
        </w:rPr>
        <w:t>instituted</w:t>
      </w:r>
      <w:r w:rsidR="004C1AC5">
        <w:rPr>
          <w:lang w:val="en-GB"/>
        </w:rPr>
        <w:t xml:space="preserve"> action</w:t>
      </w:r>
      <w:r w:rsidR="00CB04F8" w:rsidRPr="00757664">
        <w:rPr>
          <w:lang w:val="en-GB"/>
        </w:rPr>
        <w:t xml:space="preserve"> </w:t>
      </w:r>
      <w:r w:rsidR="003D2D18">
        <w:rPr>
          <w:lang w:val="en-GB"/>
        </w:rPr>
        <w:t>for unlawful arrest and detention</w:t>
      </w:r>
      <w:r w:rsidR="00C41457" w:rsidRPr="00757664">
        <w:rPr>
          <w:lang w:val="en-GB"/>
        </w:rPr>
        <w:t xml:space="preserve"> against</w:t>
      </w:r>
      <w:r w:rsidR="004555B9" w:rsidRPr="00757664">
        <w:rPr>
          <w:lang w:val="en-GB"/>
        </w:rPr>
        <w:t xml:space="preserve"> the Minister of Police (the 1</w:t>
      </w:r>
      <w:r w:rsidR="004555B9" w:rsidRPr="00757664">
        <w:rPr>
          <w:vertAlign w:val="superscript"/>
          <w:lang w:val="en-GB"/>
        </w:rPr>
        <w:t>st</w:t>
      </w:r>
      <w:r w:rsidR="000E61F4">
        <w:rPr>
          <w:lang w:val="en-GB"/>
        </w:rPr>
        <w:t xml:space="preserve"> d</w:t>
      </w:r>
      <w:r w:rsidR="004555B9" w:rsidRPr="00757664">
        <w:rPr>
          <w:lang w:val="en-GB"/>
        </w:rPr>
        <w:t>efendant) and the National Prosecuting Authority (the 2</w:t>
      </w:r>
      <w:r w:rsidR="004555B9" w:rsidRPr="00757664">
        <w:rPr>
          <w:vertAlign w:val="superscript"/>
          <w:lang w:val="en-GB"/>
        </w:rPr>
        <w:t>nd</w:t>
      </w:r>
      <w:r w:rsidR="00F5764D">
        <w:rPr>
          <w:lang w:val="en-GB"/>
        </w:rPr>
        <w:t xml:space="preserve"> d</w:t>
      </w:r>
      <w:r w:rsidR="004555B9" w:rsidRPr="00757664">
        <w:rPr>
          <w:lang w:val="en-GB"/>
        </w:rPr>
        <w:t>efendant)</w:t>
      </w:r>
      <w:r w:rsidR="003D2D18">
        <w:rPr>
          <w:lang w:val="en-GB"/>
        </w:rPr>
        <w:t xml:space="preserve"> for malicious prosecution</w:t>
      </w:r>
      <w:r w:rsidR="004555B9" w:rsidRPr="00757664">
        <w:rPr>
          <w:lang w:val="en-GB"/>
        </w:rPr>
        <w:t xml:space="preserve">. </w:t>
      </w:r>
      <w:r w:rsidR="00B15985" w:rsidRPr="00757664">
        <w:rPr>
          <w:lang w:val="en-GB"/>
        </w:rPr>
        <w:t>On</w:t>
      </w:r>
      <w:r w:rsidR="00DF54A8" w:rsidRPr="00757664">
        <w:rPr>
          <w:lang w:val="en-GB"/>
        </w:rPr>
        <w:t xml:space="preserve"> 12 July 2022</w:t>
      </w:r>
      <w:r w:rsidR="000E61F4" w:rsidRPr="00757664">
        <w:rPr>
          <w:lang w:val="en-GB"/>
        </w:rPr>
        <w:t xml:space="preserve">, </w:t>
      </w:r>
      <w:r w:rsidR="000E61F4">
        <w:rPr>
          <w:lang w:val="en-GB"/>
        </w:rPr>
        <w:t>the p</w:t>
      </w:r>
      <w:r w:rsidR="00B15985" w:rsidRPr="00757664">
        <w:rPr>
          <w:lang w:val="en-GB"/>
        </w:rPr>
        <w:t>laint</w:t>
      </w:r>
      <w:r w:rsidR="00DF54A8" w:rsidRPr="00757664">
        <w:rPr>
          <w:lang w:val="en-GB"/>
        </w:rPr>
        <w:t>iff withdrew</w:t>
      </w:r>
      <w:r w:rsidR="004602DA" w:rsidRPr="00757664">
        <w:rPr>
          <w:lang w:val="en-GB"/>
        </w:rPr>
        <w:t xml:space="preserve"> a claim for</w:t>
      </w:r>
      <w:r w:rsidR="00B15985" w:rsidRPr="00757664">
        <w:rPr>
          <w:lang w:val="en-GB"/>
        </w:rPr>
        <w:t xml:space="preserve"> malicious prosecution against the second</w:t>
      </w:r>
      <w:r w:rsidR="000E61F4">
        <w:rPr>
          <w:lang w:val="en-GB"/>
        </w:rPr>
        <w:t xml:space="preserve"> d</w:t>
      </w:r>
      <w:r w:rsidR="00D110A4" w:rsidRPr="00757664">
        <w:rPr>
          <w:lang w:val="en-GB"/>
        </w:rPr>
        <w:t xml:space="preserve">efendant </w:t>
      </w:r>
      <w:r w:rsidR="00DF54A8" w:rsidRPr="00757664">
        <w:rPr>
          <w:lang w:val="en-GB"/>
        </w:rPr>
        <w:t xml:space="preserve">and tendered </w:t>
      </w:r>
      <w:r w:rsidR="00D110A4" w:rsidRPr="00757664">
        <w:rPr>
          <w:lang w:val="en-GB"/>
        </w:rPr>
        <w:t xml:space="preserve">to </w:t>
      </w:r>
      <w:r w:rsidRPr="00757664">
        <w:rPr>
          <w:lang w:val="en-GB"/>
        </w:rPr>
        <w:t xml:space="preserve">make </w:t>
      </w:r>
      <w:r w:rsidR="00D110A4" w:rsidRPr="00757664">
        <w:rPr>
          <w:lang w:val="en-GB"/>
        </w:rPr>
        <w:t>pay</w:t>
      </w:r>
      <w:r w:rsidRPr="00757664">
        <w:rPr>
          <w:lang w:val="en-GB"/>
        </w:rPr>
        <w:t>ment</w:t>
      </w:r>
      <w:r w:rsidR="3589F658" w:rsidRPr="00757664">
        <w:rPr>
          <w:lang w:val="en-GB"/>
        </w:rPr>
        <w:t xml:space="preserve"> for</w:t>
      </w:r>
      <w:r w:rsidR="00D110A4" w:rsidRPr="00757664">
        <w:rPr>
          <w:lang w:val="en-GB"/>
        </w:rPr>
        <w:t xml:space="preserve"> the wasted</w:t>
      </w:r>
      <w:r w:rsidR="004555B9" w:rsidRPr="00757664">
        <w:rPr>
          <w:lang w:val="en-GB"/>
        </w:rPr>
        <w:t xml:space="preserve"> costs.</w:t>
      </w:r>
      <w:r w:rsidR="00DF54A8" w:rsidRPr="00757664">
        <w:rPr>
          <w:lang w:val="en-GB"/>
        </w:rPr>
        <w:t xml:space="preserve"> The ten</w:t>
      </w:r>
      <w:r w:rsidR="000E61F4">
        <w:rPr>
          <w:lang w:val="en-GB"/>
        </w:rPr>
        <w:t>der</w:t>
      </w:r>
      <w:r w:rsidR="00CF2DAE">
        <w:rPr>
          <w:lang w:val="en-GB"/>
        </w:rPr>
        <w:t>ed payment</w:t>
      </w:r>
      <w:r w:rsidR="000E61F4">
        <w:rPr>
          <w:lang w:val="en-GB"/>
        </w:rPr>
        <w:t xml:space="preserve"> was accepted by the second d</w:t>
      </w:r>
      <w:r w:rsidR="00DF54A8" w:rsidRPr="00757664">
        <w:rPr>
          <w:lang w:val="en-GB"/>
        </w:rPr>
        <w:t>efendant’</w:t>
      </w:r>
      <w:r w:rsidR="00D110A4" w:rsidRPr="00757664">
        <w:rPr>
          <w:lang w:val="en-GB"/>
        </w:rPr>
        <w:t>s counsel.</w:t>
      </w:r>
    </w:p>
    <w:p w14:paraId="6B2A1A60" w14:textId="77777777" w:rsidR="00EB1C99" w:rsidRDefault="00EB1C99" w:rsidP="00EB1C99">
      <w:pPr>
        <w:pStyle w:val="ListParagraph"/>
        <w:tabs>
          <w:tab w:val="left" w:pos="851"/>
        </w:tabs>
        <w:ind w:left="360"/>
        <w:jc w:val="both"/>
        <w:rPr>
          <w:lang w:val="en-GB"/>
        </w:rPr>
      </w:pPr>
    </w:p>
    <w:p w14:paraId="262A40FE" w14:textId="00206DC8" w:rsidR="0053085F" w:rsidRPr="009A5958" w:rsidRDefault="00757664" w:rsidP="009A5958">
      <w:pPr>
        <w:tabs>
          <w:tab w:val="left" w:pos="851"/>
        </w:tabs>
        <w:jc w:val="both"/>
        <w:rPr>
          <w:b/>
          <w:lang w:val="en-GB"/>
        </w:rPr>
      </w:pPr>
      <w:r w:rsidRPr="00757664">
        <w:rPr>
          <w:b/>
          <w:lang w:val="en-GB"/>
        </w:rPr>
        <w:t>THE PLEADINGS</w:t>
      </w:r>
    </w:p>
    <w:p w14:paraId="4B94D5A5" w14:textId="77777777" w:rsidR="0030749E" w:rsidRDefault="0030749E" w:rsidP="00EB1C99">
      <w:pPr>
        <w:pStyle w:val="ListParagraph"/>
        <w:tabs>
          <w:tab w:val="left" w:pos="851"/>
        </w:tabs>
        <w:jc w:val="both"/>
        <w:rPr>
          <w:lang w:val="en-GB"/>
        </w:rPr>
      </w:pPr>
    </w:p>
    <w:p w14:paraId="1F89A50F" w14:textId="513AB70C" w:rsidR="0053085F" w:rsidRPr="00757664" w:rsidRDefault="00757664" w:rsidP="009A5958">
      <w:pPr>
        <w:tabs>
          <w:tab w:val="left" w:pos="851"/>
        </w:tabs>
        <w:jc w:val="both"/>
        <w:rPr>
          <w:lang w:val="en-GB"/>
        </w:rPr>
      </w:pPr>
      <w:r>
        <w:rPr>
          <w:lang w:val="en-GB"/>
        </w:rPr>
        <w:t>[2]</w:t>
      </w:r>
      <w:r>
        <w:rPr>
          <w:lang w:val="en-GB"/>
        </w:rPr>
        <w:tab/>
      </w:r>
      <w:r w:rsidR="00D110A4" w:rsidRPr="00757664">
        <w:rPr>
          <w:lang w:val="en-GB"/>
        </w:rPr>
        <w:t>In</w:t>
      </w:r>
      <w:r w:rsidR="004602DA" w:rsidRPr="00757664">
        <w:rPr>
          <w:lang w:val="en-GB"/>
        </w:rPr>
        <w:t xml:space="preserve"> </w:t>
      </w:r>
      <w:r w:rsidR="00D110A4" w:rsidRPr="00757664">
        <w:rPr>
          <w:lang w:val="en-GB"/>
        </w:rPr>
        <w:t>pursuit</w:t>
      </w:r>
      <w:r w:rsidR="004602DA" w:rsidRPr="00757664">
        <w:rPr>
          <w:lang w:val="en-GB"/>
        </w:rPr>
        <w:t xml:space="preserve"> of his claim for unlawful arrest and detention</w:t>
      </w:r>
      <w:r w:rsidR="00F5764D" w:rsidRPr="00757664">
        <w:rPr>
          <w:lang w:val="en-GB"/>
        </w:rPr>
        <w:t xml:space="preserve">, </w:t>
      </w:r>
      <w:r w:rsidR="00F5764D">
        <w:rPr>
          <w:lang w:val="en-GB"/>
        </w:rPr>
        <w:t>the</w:t>
      </w:r>
      <w:r w:rsidR="000E61F4">
        <w:rPr>
          <w:lang w:val="en-GB"/>
        </w:rPr>
        <w:t xml:space="preserve"> p</w:t>
      </w:r>
      <w:r w:rsidR="00B15985" w:rsidRPr="00757664">
        <w:rPr>
          <w:lang w:val="en-GB"/>
        </w:rPr>
        <w:t>laintiff</w:t>
      </w:r>
      <w:r w:rsidR="004602DA" w:rsidRPr="00757664">
        <w:rPr>
          <w:lang w:val="en-GB"/>
        </w:rPr>
        <w:t xml:space="preserve"> </w:t>
      </w:r>
      <w:r w:rsidR="004555B9" w:rsidRPr="00757664">
        <w:rPr>
          <w:lang w:val="en-GB"/>
        </w:rPr>
        <w:t>issued</w:t>
      </w:r>
      <w:r w:rsidR="0030749E" w:rsidRPr="00757664">
        <w:rPr>
          <w:lang w:val="en-GB"/>
        </w:rPr>
        <w:t xml:space="preserve"> a combined</w:t>
      </w:r>
      <w:r w:rsidR="004555B9" w:rsidRPr="00757664">
        <w:rPr>
          <w:lang w:val="en-GB"/>
        </w:rPr>
        <w:t xml:space="preserve"> summons</w:t>
      </w:r>
      <w:r w:rsidR="00D110A4" w:rsidRPr="00757664">
        <w:rPr>
          <w:lang w:val="en-GB"/>
        </w:rPr>
        <w:t xml:space="preserve"> </w:t>
      </w:r>
      <w:r w:rsidR="00BB16AE" w:rsidRPr="00757664">
        <w:rPr>
          <w:lang w:val="en-GB"/>
        </w:rPr>
        <w:t xml:space="preserve">against </w:t>
      </w:r>
      <w:r w:rsidR="00D110A4" w:rsidRPr="00757664">
        <w:rPr>
          <w:lang w:val="en-GB"/>
        </w:rPr>
        <w:t>the 1</w:t>
      </w:r>
      <w:r w:rsidR="00D110A4" w:rsidRPr="00757664">
        <w:rPr>
          <w:vertAlign w:val="superscript"/>
          <w:lang w:val="en-GB"/>
        </w:rPr>
        <w:t>st</w:t>
      </w:r>
      <w:r w:rsidR="000E61F4">
        <w:rPr>
          <w:lang w:val="en-GB"/>
        </w:rPr>
        <w:t xml:space="preserve"> d</w:t>
      </w:r>
      <w:r w:rsidR="00D110A4" w:rsidRPr="00757664">
        <w:rPr>
          <w:lang w:val="en-GB"/>
        </w:rPr>
        <w:t>efendant</w:t>
      </w:r>
      <w:r w:rsidR="006E644F">
        <w:rPr>
          <w:lang w:val="en-GB"/>
        </w:rPr>
        <w:t xml:space="preserve"> (the defendant)</w:t>
      </w:r>
      <w:r w:rsidR="00CA4F94" w:rsidRPr="00757664">
        <w:rPr>
          <w:lang w:val="en-GB"/>
        </w:rPr>
        <w:t xml:space="preserve"> on</w:t>
      </w:r>
      <w:r w:rsidR="0053085F" w:rsidRPr="00757664">
        <w:rPr>
          <w:lang w:val="en-GB"/>
        </w:rPr>
        <w:t xml:space="preserve"> 27</w:t>
      </w:r>
      <w:r w:rsidR="0030749E" w:rsidRPr="00757664">
        <w:rPr>
          <w:lang w:val="en-GB"/>
        </w:rPr>
        <w:t xml:space="preserve"> July</w:t>
      </w:r>
      <w:r w:rsidR="004602DA" w:rsidRPr="00757664">
        <w:rPr>
          <w:lang w:val="en-GB"/>
        </w:rPr>
        <w:t xml:space="preserve"> </w:t>
      </w:r>
      <w:r w:rsidR="00D110A4" w:rsidRPr="00757664">
        <w:rPr>
          <w:lang w:val="en-GB"/>
        </w:rPr>
        <w:t>2016.</w:t>
      </w:r>
      <w:r w:rsidR="0053085F" w:rsidRPr="00757664">
        <w:rPr>
          <w:lang w:val="en-GB"/>
        </w:rPr>
        <w:t xml:space="preserve"> The par</w:t>
      </w:r>
      <w:r w:rsidR="000E61F4">
        <w:rPr>
          <w:lang w:val="en-GB"/>
        </w:rPr>
        <w:t>ticulars of claim are summarised</w:t>
      </w:r>
      <w:r w:rsidR="0053085F" w:rsidRPr="00757664">
        <w:rPr>
          <w:lang w:val="en-GB"/>
        </w:rPr>
        <w:t xml:space="preserve"> as follows:</w:t>
      </w:r>
    </w:p>
    <w:p w14:paraId="3DEEC669" w14:textId="77777777" w:rsidR="00762225" w:rsidRDefault="00762225" w:rsidP="00EB1C99">
      <w:pPr>
        <w:pStyle w:val="ListParagraph"/>
        <w:tabs>
          <w:tab w:val="left" w:pos="851"/>
        </w:tabs>
        <w:ind w:left="360"/>
        <w:jc w:val="both"/>
        <w:rPr>
          <w:lang w:val="en-GB"/>
        </w:rPr>
      </w:pPr>
    </w:p>
    <w:p w14:paraId="18A349F5" w14:textId="4E7938FE" w:rsidR="0053085F" w:rsidRDefault="00BA2C7C" w:rsidP="00EB1C99">
      <w:pPr>
        <w:pStyle w:val="ListParagraph"/>
        <w:numPr>
          <w:ilvl w:val="0"/>
          <w:numId w:val="23"/>
        </w:numPr>
        <w:tabs>
          <w:tab w:val="left" w:pos="851"/>
        </w:tabs>
        <w:jc w:val="both"/>
        <w:rPr>
          <w:lang w:val="en-GB"/>
        </w:rPr>
      </w:pPr>
      <w:r>
        <w:rPr>
          <w:lang w:val="en-GB"/>
        </w:rPr>
        <w:t>O</w:t>
      </w:r>
      <w:r w:rsidR="31D938A7" w:rsidRPr="5AC7D5BF">
        <w:rPr>
          <w:lang w:val="en-GB"/>
        </w:rPr>
        <w:t xml:space="preserve">n 20 April 2015, at KSD </w:t>
      </w:r>
      <w:r w:rsidR="00CB04F8">
        <w:rPr>
          <w:lang w:val="en-GB"/>
        </w:rPr>
        <w:t>College</w:t>
      </w:r>
      <w:r w:rsidR="6A178774" w:rsidRPr="5AC7D5BF">
        <w:rPr>
          <w:lang w:val="en-GB"/>
        </w:rPr>
        <w:t xml:space="preserve"> Libode</w:t>
      </w:r>
      <w:r>
        <w:rPr>
          <w:lang w:val="en-GB"/>
        </w:rPr>
        <w:t>,</w:t>
      </w:r>
      <w:r w:rsidRPr="00BA2C7C">
        <w:rPr>
          <w:lang w:val="en-GB"/>
        </w:rPr>
        <w:t xml:space="preserve"> </w:t>
      </w:r>
      <w:r>
        <w:rPr>
          <w:lang w:val="en-GB"/>
        </w:rPr>
        <w:t>the p</w:t>
      </w:r>
      <w:r w:rsidRPr="5AC7D5BF">
        <w:rPr>
          <w:lang w:val="en-GB"/>
        </w:rPr>
        <w:t>laintiff was wr</w:t>
      </w:r>
      <w:r>
        <w:rPr>
          <w:lang w:val="en-GB"/>
        </w:rPr>
        <w:t>ongfully arrested and detained</w:t>
      </w:r>
      <w:r w:rsidR="6A178774" w:rsidRPr="5AC7D5BF">
        <w:rPr>
          <w:lang w:val="en-GB"/>
        </w:rPr>
        <w:t xml:space="preserve"> by members of the South African Police Service</w:t>
      </w:r>
      <w:r w:rsidR="00DF3EE4">
        <w:rPr>
          <w:lang w:val="en-GB"/>
        </w:rPr>
        <w:t xml:space="preserve"> (SAPS)</w:t>
      </w:r>
      <w:r>
        <w:rPr>
          <w:lang w:val="en-GB"/>
        </w:rPr>
        <w:t xml:space="preserve">, </w:t>
      </w:r>
      <w:r w:rsidRPr="5AC7D5BF">
        <w:rPr>
          <w:lang w:val="en-GB"/>
        </w:rPr>
        <w:t>where</w:t>
      </w:r>
      <w:r w:rsidR="0053085F" w:rsidRPr="5AC7D5BF">
        <w:rPr>
          <w:lang w:val="en-GB"/>
        </w:rPr>
        <w:t xml:space="preserve"> it was allege</w:t>
      </w:r>
      <w:r w:rsidR="00B92ACE" w:rsidRPr="5AC7D5BF">
        <w:rPr>
          <w:lang w:val="en-GB"/>
        </w:rPr>
        <w:t>d that he committed a crime of r</w:t>
      </w:r>
      <w:r w:rsidR="0053085F" w:rsidRPr="5AC7D5BF">
        <w:rPr>
          <w:lang w:val="en-GB"/>
        </w:rPr>
        <w:t>ape.</w:t>
      </w:r>
      <w:r w:rsidR="00762225" w:rsidRPr="5AC7D5BF">
        <w:rPr>
          <w:lang w:val="en-GB"/>
        </w:rPr>
        <w:t xml:space="preserve"> The arrest was </w:t>
      </w:r>
      <w:bookmarkStart w:id="1" w:name="_Int_FFsv6Ac9"/>
      <w:r w:rsidR="00762225" w:rsidRPr="5AC7D5BF">
        <w:rPr>
          <w:lang w:val="en-GB"/>
        </w:rPr>
        <w:t>effected</w:t>
      </w:r>
      <w:bookmarkEnd w:id="1"/>
      <w:r w:rsidR="00DF3EE4">
        <w:rPr>
          <w:lang w:val="en-GB"/>
        </w:rPr>
        <w:t xml:space="preserve"> by the said members of SAPS</w:t>
      </w:r>
      <w:r w:rsidR="00762225" w:rsidRPr="5AC7D5BF">
        <w:rPr>
          <w:lang w:val="en-GB"/>
        </w:rPr>
        <w:t xml:space="preserve"> without reasonable suspicion and justifiable cause and with</w:t>
      </w:r>
      <w:r w:rsidR="00CF2DAE">
        <w:rPr>
          <w:lang w:val="en-GB"/>
        </w:rPr>
        <w:t>out any warrant authorizing it</w:t>
      </w:r>
      <w:r w:rsidR="00762225" w:rsidRPr="5AC7D5BF">
        <w:rPr>
          <w:lang w:val="en-GB"/>
        </w:rPr>
        <w:t>.</w:t>
      </w:r>
    </w:p>
    <w:p w14:paraId="3656B9AB" w14:textId="77777777" w:rsidR="00762225" w:rsidRDefault="00762225" w:rsidP="00EB1C99">
      <w:pPr>
        <w:pStyle w:val="ListParagraph"/>
        <w:tabs>
          <w:tab w:val="left" w:pos="851"/>
        </w:tabs>
        <w:jc w:val="both"/>
        <w:rPr>
          <w:lang w:val="en-GB"/>
        </w:rPr>
      </w:pPr>
    </w:p>
    <w:p w14:paraId="74E2E9F6" w14:textId="367F8346" w:rsidR="004C1AC5" w:rsidRDefault="000E61F4" w:rsidP="00EB1C99">
      <w:pPr>
        <w:pStyle w:val="ListParagraph"/>
        <w:numPr>
          <w:ilvl w:val="0"/>
          <w:numId w:val="23"/>
        </w:numPr>
        <w:tabs>
          <w:tab w:val="left" w:pos="851"/>
        </w:tabs>
        <w:jc w:val="both"/>
        <w:rPr>
          <w:lang w:val="en-GB"/>
        </w:rPr>
      </w:pPr>
      <w:r>
        <w:rPr>
          <w:lang w:val="en-GB"/>
        </w:rPr>
        <w:t>The p</w:t>
      </w:r>
      <w:r w:rsidR="00762225" w:rsidRPr="000769C7">
        <w:rPr>
          <w:lang w:val="en-GB"/>
        </w:rPr>
        <w:t>laintiff fu</w:t>
      </w:r>
      <w:r w:rsidR="0037289E">
        <w:rPr>
          <w:lang w:val="en-GB"/>
        </w:rPr>
        <w:t>rther averred that he</w:t>
      </w:r>
      <w:r w:rsidR="00762225" w:rsidRPr="000769C7">
        <w:rPr>
          <w:lang w:val="en-GB"/>
        </w:rPr>
        <w:t xml:space="preserve"> was</w:t>
      </w:r>
      <w:r w:rsidR="00CD42FE">
        <w:rPr>
          <w:lang w:val="en-GB"/>
        </w:rPr>
        <w:t xml:space="preserve"> unlawfully detained at Libode p</w:t>
      </w:r>
      <w:r w:rsidR="00762225" w:rsidRPr="000769C7">
        <w:rPr>
          <w:lang w:val="en-GB"/>
        </w:rPr>
        <w:t>olic</w:t>
      </w:r>
      <w:r w:rsidR="00CD42FE">
        <w:rPr>
          <w:lang w:val="en-GB"/>
        </w:rPr>
        <w:t>e s</w:t>
      </w:r>
      <w:r w:rsidR="00762225" w:rsidRPr="000769C7">
        <w:rPr>
          <w:lang w:val="en-GB"/>
        </w:rPr>
        <w:t xml:space="preserve">tation </w:t>
      </w:r>
      <w:r w:rsidR="00CB04F8">
        <w:rPr>
          <w:lang w:val="en-GB"/>
        </w:rPr>
        <w:t>on</w:t>
      </w:r>
      <w:r w:rsidR="00CB04F8" w:rsidRPr="000769C7">
        <w:rPr>
          <w:lang w:val="en-GB"/>
        </w:rPr>
        <w:t xml:space="preserve"> </w:t>
      </w:r>
      <w:r w:rsidR="00762225" w:rsidRPr="000769C7">
        <w:rPr>
          <w:lang w:val="en-GB"/>
        </w:rPr>
        <w:t>20</w:t>
      </w:r>
      <w:r w:rsidR="00762225" w:rsidRPr="000769C7">
        <w:rPr>
          <w:vertAlign w:val="superscript"/>
          <w:lang w:val="en-GB"/>
        </w:rPr>
        <w:t>th</w:t>
      </w:r>
      <w:r w:rsidR="00BF798D">
        <w:rPr>
          <w:lang w:val="en-GB"/>
        </w:rPr>
        <w:t xml:space="preserve"> April 2015, </w:t>
      </w:r>
      <w:r w:rsidR="0037289E">
        <w:rPr>
          <w:lang w:val="en-GB"/>
        </w:rPr>
        <w:t>was</w:t>
      </w:r>
      <w:r w:rsidR="00762225" w:rsidRPr="000769C7">
        <w:rPr>
          <w:lang w:val="en-GB"/>
        </w:rPr>
        <w:t xml:space="preserve"> later transferred to Wellington Prison</w:t>
      </w:r>
      <w:r w:rsidR="00CF2DAE">
        <w:rPr>
          <w:lang w:val="en-GB"/>
        </w:rPr>
        <w:t>,</w:t>
      </w:r>
      <w:r w:rsidR="00242960">
        <w:rPr>
          <w:lang w:val="en-GB"/>
        </w:rPr>
        <w:t xml:space="preserve"> and later released</w:t>
      </w:r>
      <w:r w:rsidR="00762225" w:rsidRPr="000769C7">
        <w:rPr>
          <w:lang w:val="en-GB"/>
        </w:rPr>
        <w:t xml:space="preserve"> on 31</w:t>
      </w:r>
      <w:r w:rsidR="00762225" w:rsidRPr="000769C7">
        <w:rPr>
          <w:vertAlign w:val="superscript"/>
          <w:lang w:val="en-GB"/>
        </w:rPr>
        <w:t>st</w:t>
      </w:r>
      <w:r w:rsidR="00242960">
        <w:rPr>
          <w:lang w:val="en-GB"/>
        </w:rPr>
        <w:t xml:space="preserve"> March</w:t>
      </w:r>
      <w:r w:rsidR="00762225" w:rsidRPr="000769C7">
        <w:rPr>
          <w:lang w:val="en-GB"/>
        </w:rPr>
        <w:t xml:space="preserve"> 2016.</w:t>
      </w:r>
      <w:r w:rsidR="00D110A4" w:rsidRPr="000769C7">
        <w:rPr>
          <w:lang w:val="en-GB"/>
        </w:rPr>
        <w:t xml:space="preserve"> He demands</w:t>
      </w:r>
      <w:r w:rsidR="002E774E" w:rsidRPr="000769C7">
        <w:rPr>
          <w:lang w:val="en-GB"/>
        </w:rPr>
        <w:t xml:space="preserve"> a sum of</w:t>
      </w:r>
    </w:p>
    <w:p w14:paraId="0E1DC775" w14:textId="57C74F8F" w:rsidR="0053085F" w:rsidRPr="000769C7" w:rsidRDefault="3C1177ED" w:rsidP="004C1AC5">
      <w:pPr>
        <w:pStyle w:val="ListParagraph"/>
        <w:tabs>
          <w:tab w:val="left" w:pos="851"/>
        </w:tabs>
        <w:ind w:left="1210"/>
        <w:jc w:val="both"/>
        <w:rPr>
          <w:lang w:val="en-GB"/>
        </w:rPr>
      </w:pPr>
      <w:r w:rsidRPr="000769C7">
        <w:rPr>
          <w:lang w:val="en-GB"/>
        </w:rPr>
        <w:t>R</w:t>
      </w:r>
      <w:r w:rsidR="004C1AC5">
        <w:rPr>
          <w:lang w:val="en-GB"/>
        </w:rPr>
        <w:t>2</w:t>
      </w:r>
      <w:r w:rsidR="00DF3EE4">
        <w:rPr>
          <w:lang w:val="en-GB"/>
        </w:rPr>
        <w:t xml:space="preserve"> </w:t>
      </w:r>
      <w:r w:rsidR="003F34B8">
        <w:rPr>
          <w:lang w:val="en-GB"/>
        </w:rPr>
        <w:t>50</w:t>
      </w:r>
      <w:r w:rsidR="00242960">
        <w:rPr>
          <w:lang w:val="en-GB"/>
        </w:rPr>
        <w:t>0</w:t>
      </w:r>
      <w:r w:rsidR="006052DB">
        <w:rPr>
          <w:lang w:val="en-GB"/>
        </w:rPr>
        <w:t> 000.00</w:t>
      </w:r>
      <w:r w:rsidR="003F34B8">
        <w:rPr>
          <w:lang w:val="en-GB"/>
        </w:rPr>
        <w:t xml:space="preserve"> (T</w:t>
      </w:r>
      <w:r w:rsidR="00242960">
        <w:rPr>
          <w:lang w:val="en-GB"/>
        </w:rPr>
        <w:t>wo Million</w:t>
      </w:r>
      <w:r w:rsidR="00CF2DAE">
        <w:rPr>
          <w:lang w:val="en-GB"/>
        </w:rPr>
        <w:t xml:space="preserve">, </w:t>
      </w:r>
      <w:r w:rsidR="00242960">
        <w:rPr>
          <w:lang w:val="en-GB"/>
        </w:rPr>
        <w:t>Five Hundred</w:t>
      </w:r>
      <w:r w:rsidR="006052DB">
        <w:rPr>
          <w:lang w:val="en-GB"/>
        </w:rPr>
        <w:t xml:space="preserve"> </w:t>
      </w:r>
      <w:r w:rsidR="003F34B8">
        <w:rPr>
          <w:lang w:val="en-GB"/>
        </w:rPr>
        <w:t xml:space="preserve">Thousand </w:t>
      </w:r>
      <w:r w:rsidR="002E774E" w:rsidRPr="000769C7">
        <w:rPr>
          <w:lang w:val="en-GB"/>
        </w:rPr>
        <w:t>R</w:t>
      </w:r>
      <w:r w:rsidR="00B15985" w:rsidRPr="000769C7">
        <w:rPr>
          <w:lang w:val="en-GB"/>
        </w:rPr>
        <w:t>and</w:t>
      </w:r>
      <w:r w:rsidR="002E774E" w:rsidRPr="000769C7">
        <w:rPr>
          <w:lang w:val="en-GB"/>
        </w:rPr>
        <w:t xml:space="preserve"> only)</w:t>
      </w:r>
      <w:r w:rsidR="00B15985" w:rsidRPr="000769C7">
        <w:rPr>
          <w:lang w:val="en-GB"/>
        </w:rPr>
        <w:t xml:space="preserve"> </w:t>
      </w:r>
      <w:r w:rsidR="000A5A6C" w:rsidRPr="000769C7">
        <w:rPr>
          <w:lang w:val="en-GB"/>
        </w:rPr>
        <w:t>for a delictual claim against</w:t>
      </w:r>
      <w:r w:rsidR="00B15985" w:rsidRPr="000769C7">
        <w:rPr>
          <w:lang w:val="en-GB"/>
        </w:rPr>
        <w:t xml:space="preserve"> unlawful arrest and</w:t>
      </w:r>
      <w:r w:rsidR="00242960">
        <w:rPr>
          <w:lang w:val="en-GB"/>
        </w:rPr>
        <w:t xml:space="preserve"> detention.</w:t>
      </w:r>
    </w:p>
    <w:p w14:paraId="45FB0818" w14:textId="77777777" w:rsidR="00762225" w:rsidRPr="0053085F" w:rsidRDefault="00762225" w:rsidP="00EB1C99">
      <w:pPr>
        <w:pStyle w:val="ListParagraph"/>
        <w:tabs>
          <w:tab w:val="left" w:pos="851"/>
        </w:tabs>
        <w:ind w:left="360"/>
        <w:jc w:val="both"/>
        <w:rPr>
          <w:lang w:val="en-GB"/>
        </w:rPr>
      </w:pPr>
    </w:p>
    <w:p w14:paraId="5A1ADBCE" w14:textId="51CF08DD" w:rsidR="00D110A4" w:rsidRPr="00757664" w:rsidRDefault="00757664" w:rsidP="009A5958">
      <w:pPr>
        <w:tabs>
          <w:tab w:val="left" w:pos="851"/>
        </w:tabs>
        <w:jc w:val="both"/>
        <w:rPr>
          <w:lang w:val="en-GB"/>
        </w:rPr>
      </w:pPr>
      <w:r>
        <w:rPr>
          <w:lang w:val="en-GB"/>
        </w:rPr>
        <w:t>[3]</w:t>
      </w:r>
      <w:r>
        <w:rPr>
          <w:lang w:val="en-GB"/>
        </w:rPr>
        <w:tab/>
      </w:r>
      <w:r w:rsidR="00CB04F8" w:rsidRPr="00757664">
        <w:rPr>
          <w:lang w:val="en-GB"/>
        </w:rPr>
        <w:t xml:space="preserve"> </w:t>
      </w:r>
      <w:r w:rsidR="00DF3EE4">
        <w:rPr>
          <w:lang w:val="en-GB"/>
        </w:rPr>
        <w:t>The d</w:t>
      </w:r>
      <w:r w:rsidR="00713345" w:rsidRPr="00757664">
        <w:rPr>
          <w:lang w:val="en-GB"/>
        </w:rPr>
        <w:t xml:space="preserve">efendant delivered a plea </w:t>
      </w:r>
      <w:r w:rsidR="002E774E" w:rsidRPr="00757664">
        <w:rPr>
          <w:lang w:val="en-GB"/>
        </w:rPr>
        <w:t>dated 18 November</w:t>
      </w:r>
      <w:r w:rsidR="00D110A4" w:rsidRPr="00757664">
        <w:rPr>
          <w:lang w:val="en-GB"/>
        </w:rPr>
        <w:t xml:space="preserve"> 2016 and </w:t>
      </w:r>
      <w:r w:rsidRPr="00757664">
        <w:rPr>
          <w:lang w:val="en-GB"/>
        </w:rPr>
        <w:t>boldly denied</w:t>
      </w:r>
      <w:r w:rsidR="00D110A4" w:rsidRPr="00757664">
        <w:rPr>
          <w:lang w:val="en-GB"/>
        </w:rPr>
        <w:t xml:space="preserve"> the events as pleaded.</w:t>
      </w:r>
      <w:r w:rsidR="0053085F" w:rsidRPr="00757664">
        <w:rPr>
          <w:lang w:val="en-GB"/>
        </w:rPr>
        <w:t xml:space="preserve"> This </w:t>
      </w:r>
      <w:r w:rsidR="37BEF2D2" w:rsidRPr="00757664">
        <w:rPr>
          <w:lang w:val="en-GB"/>
        </w:rPr>
        <w:t xml:space="preserve">led to </w:t>
      </w:r>
      <w:r w:rsidR="00DF3EE4">
        <w:rPr>
          <w:lang w:val="en-GB"/>
        </w:rPr>
        <w:t>d</w:t>
      </w:r>
      <w:r w:rsidRPr="00757664">
        <w:rPr>
          <w:lang w:val="en-GB"/>
        </w:rPr>
        <w:t>e</w:t>
      </w:r>
      <w:r w:rsidR="009A01EC">
        <w:rPr>
          <w:lang w:val="en-GB"/>
        </w:rPr>
        <w:t>fendant filing an amended plea</w:t>
      </w:r>
      <w:r w:rsidR="37BEF2D2" w:rsidRPr="00757664">
        <w:rPr>
          <w:lang w:val="en-GB"/>
        </w:rPr>
        <w:t xml:space="preserve"> </w:t>
      </w:r>
      <w:r w:rsidR="48E91DD4" w:rsidRPr="00757664">
        <w:rPr>
          <w:lang w:val="en-GB"/>
        </w:rPr>
        <w:t>o</w:t>
      </w:r>
      <w:r w:rsidR="0053085F" w:rsidRPr="00757664">
        <w:rPr>
          <w:lang w:val="en-GB"/>
        </w:rPr>
        <w:t>n 07 June 2022. In the amended plea</w:t>
      </w:r>
      <w:r w:rsidR="00F5764D" w:rsidRPr="00757664">
        <w:rPr>
          <w:lang w:val="en-GB"/>
        </w:rPr>
        <w:t xml:space="preserve">, </w:t>
      </w:r>
      <w:r w:rsidR="00F5764D">
        <w:rPr>
          <w:lang w:val="en-GB"/>
        </w:rPr>
        <w:t>the</w:t>
      </w:r>
      <w:r w:rsidR="00DF3EE4">
        <w:rPr>
          <w:lang w:val="en-GB"/>
        </w:rPr>
        <w:t xml:space="preserve"> d</w:t>
      </w:r>
      <w:r w:rsidR="0053085F" w:rsidRPr="00757664">
        <w:rPr>
          <w:lang w:val="en-GB"/>
        </w:rPr>
        <w:t>efendant averred that</w:t>
      </w:r>
      <w:r w:rsidR="00DF3EE4">
        <w:rPr>
          <w:lang w:val="en-GB"/>
        </w:rPr>
        <w:t xml:space="preserve"> the p</w:t>
      </w:r>
      <w:r w:rsidR="0053085F" w:rsidRPr="00757664">
        <w:rPr>
          <w:lang w:val="en-GB"/>
        </w:rPr>
        <w:t xml:space="preserve">laintiff was lawfully arrested and detained for a charge of rape of a </w:t>
      </w:r>
      <w:r w:rsidR="61861DF3" w:rsidRPr="00757664">
        <w:rPr>
          <w:lang w:val="en-GB"/>
        </w:rPr>
        <w:t>five-year-old</w:t>
      </w:r>
      <w:r w:rsidR="0053085F" w:rsidRPr="00757664">
        <w:rPr>
          <w:lang w:val="en-GB"/>
        </w:rPr>
        <w:t xml:space="preserve"> grade R girl by the name of </w:t>
      </w:r>
      <w:r w:rsidR="00762225" w:rsidRPr="00757664">
        <w:rPr>
          <w:lang w:val="en-GB"/>
        </w:rPr>
        <w:t>[K</w:t>
      </w:r>
      <w:r w:rsidR="0053085F" w:rsidRPr="00757664">
        <w:rPr>
          <w:lang w:val="en-GB"/>
        </w:rPr>
        <w:t>……].</w:t>
      </w:r>
    </w:p>
    <w:p w14:paraId="049F31CB" w14:textId="77777777" w:rsidR="00D110A4" w:rsidRDefault="00D110A4" w:rsidP="00EB1C99">
      <w:pPr>
        <w:pStyle w:val="ListParagraph"/>
        <w:tabs>
          <w:tab w:val="left" w:pos="851"/>
        </w:tabs>
        <w:jc w:val="both"/>
        <w:rPr>
          <w:lang w:val="en-GB"/>
        </w:rPr>
      </w:pPr>
    </w:p>
    <w:p w14:paraId="661FFC20" w14:textId="2C22E7E1" w:rsidR="00C2796C" w:rsidRPr="005A34AE" w:rsidRDefault="00757664" w:rsidP="00EB1C99">
      <w:pPr>
        <w:tabs>
          <w:tab w:val="left" w:pos="851"/>
        </w:tabs>
        <w:jc w:val="both"/>
        <w:rPr>
          <w:lang w:val="en-GB"/>
        </w:rPr>
      </w:pPr>
      <w:r>
        <w:rPr>
          <w:lang w:val="en-GB"/>
        </w:rPr>
        <w:t>[4]</w:t>
      </w:r>
      <w:r>
        <w:rPr>
          <w:lang w:val="en-GB"/>
        </w:rPr>
        <w:tab/>
      </w:r>
      <w:r w:rsidR="00D110A4" w:rsidRPr="005A34AE">
        <w:rPr>
          <w:lang w:val="en-GB"/>
        </w:rPr>
        <w:t xml:space="preserve">The claim is based on vicarious </w:t>
      </w:r>
      <w:r w:rsidR="00CB04F8" w:rsidRPr="005A34AE">
        <w:rPr>
          <w:lang w:val="en-GB"/>
        </w:rPr>
        <w:t>liability;</w:t>
      </w:r>
      <w:r w:rsidR="00D110A4" w:rsidRPr="005A34AE">
        <w:rPr>
          <w:lang w:val="en-GB"/>
        </w:rPr>
        <w:t xml:space="preserve"> it being pleaded that the members of </w:t>
      </w:r>
      <w:r w:rsidR="00DF3EE4">
        <w:rPr>
          <w:lang w:val="en-GB"/>
        </w:rPr>
        <w:t>SAPS</w:t>
      </w:r>
      <w:r w:rsidR="00CB04F8" w:rsidRPr="005A34AE">
        <w:rPr>
          <w:lang w:val="en-GB"/>
        </w:rPr>
        <w:t xml:space="preserve"> </w:t>
      </w:r>
      <w:r w:rsidR="00D110A4" w:rsidRPr="005A34AE">
        <w:rPr>
          <w:lang w:val="en-GB"/>
        </w:rPr>
        <w:t>committed a delict when acting</w:t>
      </w:r>
      <w:r w:rsidR="004555B9" w:rsidRPr="005A34AE">
        <w:rPr>
          <w:lang w:val="en-GB"/>
        </w:rPr>
        <w:t xml:space="preserve"> </w:t>
      </w:r>
      <w:r w:rsidR="006605A0">
        <w:rPr>
          <w:lang w:val="en-GB"/>
        </w:rPr>
        <w:t xml:space="preserve">in the course and scope of the </w:t>
      </w:r>
      <w:r w:rsidR="00DF3EE4">
        <w:rPr>
          <w:lang w:val="en-GB"/>
        </w:rPr>
        <w:t>d</w:t>
      </w:r>
      <w:r w:rsidR="004555B9" w:rsidRPr="005A34AE">
        <w:rPr>
          <w:lang w:val="en-GB"/>
        </w:rPr>
        <w:t xml:space="preserve">efendant’s </w:t>
      </w:r>
      <w:r w:rsidR="00D110A4" w:rsidRPr="005A34AE">
        <w:rPr>
          <w:lang w:val="en-GB"/>
        </w:rPr>
        <w:t xml:space="preserve">employment. </w:t>
      </w:r>
      <w:r w:rsidR="00B15985" w:rsidRPr="005A34AE">
        <w:rPr>
          <w:lang w:val="en-GB"/>
        </w:rPr>
        <w:t xml:space="preserve">In </w:t>
      </w:r>
      <w:r w:rsidR="003137C1" w:rsidRPr="005A34AE">
        <w:rPr>
          <w:lang w:val="en-GB"/>
        </w:rPr>
        <w:t>a pre</w:t>
      </w:r>
      <w:r w:rsidR="00B15985" w:rsidRPr="005A34AE">
        <w:rPr>
          <w:lang w:val="en-GB"/>
        </w:rPr>
        <w:t>-trial conference held on</w:t>
      </w:r>
      <w:r w:rsidR="00DF54A8" w:rsidRPr="005A34AE">
        <w:rPr>
          <w:lang w:val="en-GB"/>
        </w:rPr>
        <w:t xml:space="preserve"> 12 April 2023,</w:t>
      </w:r>
      <w:r w:rsidR="001C619D" w:rsidRPr="005A34AE">
        <w:rPr>
          <w:lang w:val="en-GB"/>
        </w:rPr>
        <w:t xml:space="preserve"> </w:t>
      </w:r>
      <w:r w:rsidR="00B15985" w:rsidRPr="005A34AE">
        <w:rPr>
          <w:lang w:val="en-GB"/>
        </w:rPr>
        <w:t>the parties agreed tha</w:t>
      </w:r>
      <w:r w:rsidR="00D110A4" w:rsidRPr="005A34AE">
        <w:rPr>
          <w:lang w:val="en-GB"/>
        </w:rPr>
        <w:t>t</w:t>
      </w:r>
      <w:r w:rsidR="0030749E" w:rsidRPr="005A34AE">
        <w:rPr>
          <w:lang w:val="en-GB"/>
        </w:rPr>
        <w:t xml:space="preserve"> </w:t>
      </w:r>
      <w:r w:rsidR="00CF2DAE">
        <w:rPr>
          <w:lang w:val="en-GB"/>
        </w:rPr>
        <w:t>there would</w:t>
      </w:r>
      <w:r w:rsidR="00D110A4" w:rsidRPr="005A34AE">
        <w:rPr>
          <w:lang w:val="en-GB"/>
        </w:rPr>
        <w:t xml:space="preserve"> be no separation between</w:t>
      </w:r>
      <w:r w:rsidR="004555B9" w:rsidRPr="005A34AE">
        <w:rPr>
          <w:lang w:val="en-GB"/>
        </w:rPr>
        <w:t xml:space="preserve"> merits and </w:t>
      </w:r>
      <w:r w:rsidR="00B15985" w:rsidRPr="005A34AE">
        <w:rPr>
          <w:lang w:val="en-GB"/>
        </w:rPr>
        <w:t>quantum. The trial proceeded on that basis.</w:t>
      </w:r>
    </w:p>
    <w:p w14:paraId="53128261" w14:textId="77777777" w:rsidR="003137C1" w:rsidRDefault="003137C1" w:rsidP="00EB1C99">
      <w:pPr>
        <w:pStyle w:val="ListParagraph"/>
        <w:tabs>
          <w:tab w:val="left" w:pos="851"/>
        </w:tabs>
        <w:jc w:val="both"/>
        <w:rPr>
          <w:lang w:val="en-GB"/>
        </w:rPr>
      </w:pPr>
    </w:p>
    <w:p w14:paraId="23AAEE7A" w14:textId="360BF1C4" w:rsidR="005A6A7B" w:rsidRPr="005A34AE" w:rsidRDefault="00757664" w:rsidP="00EB1C99">
      <w:pPr>
        <w:tabs>
          <w:tab w:val="left" w:pos="851"/>
        </w:tabs>
        <w:jc w:val="both"/>
        <w:rPr>
          <w:lang w:val="en-GB"/>
        </w:rPr>
      </w:pPr>
      <w:r>
        <w:rPr>
          <w:lang w:val="en-GB"/>
        </w:rPr>
        <w:t>[5]</w:t>
      </w:r>
      <w:r>
        <w:rPr>
          <w:lang w:val="en-GB"/>
        </w:rPr>
        <w:tab/>
      </w:r>
      <w:r w:rsidR="00DF3EE4">
        <w:rPr>
          <w:lang w:val="en-GB"/>
        </w:rPr>
        <w:t>Counsel for the d</w:t>
      </w:r>
      <w:r w:rsidR="00FD2707" w:rsidRPr="005A34AE">
        <w:rPr>
          <w:lang w:val="en-GB"/>
        </w:rPr>
        <w:t>efendant admit</w:t>
      </w:r>
      <w:r w:rsidR="00DF3EE4">
        <w:rPr>
          <w:lang w:val="en-GB"/>
        </w:rPr>
        <w:t>ted that the onus rests on the d</w:t>
      </w:r>
      <w:r w:rsidR="00FD2707" w:rsidRPr="005A34AE">
        <w:rPr>
          <w:lang w:val="en-GB"/>
        </w:rPr>
        <w:t>efendant to justify arrest. He further admitted that the duty to begin consequently rests with them.</w:t>
      </w:r>
      <w:r w:rsidR="004602DA" w:rsidRPr="005A34AE">
        <w:rPr>
          <w:lang w:val="en-GB"/>
        </w:rPr>
        <w:t xml:space="preserve"> </w:t>
      </w:r>
    </w:p>
    <w:p w14:paraId="62486C05" w14:textId="77777777" w:rsidR="0017350E" w:rsidRPr="0017350E" w:rsidRDefault="0017350E" w:rsidP="009A5958">
      <w:pPr>
        <w:pStyle w:val="ListParagraph"/>
        <w:jc w:val="both"/>
        <w:rPr>
          <w:lang w:val="en-GB"/>
        </w:rPr>
      </w:pPr>
    </w:p>
    <w:p w14:paraId="17D4A4B9" w14:textId="1889FE4F" w:rsidR="00643E53" w:rsidRDefault="00757664" w:rsidP="00EB1C99">
      <w:pPr>
        <w:tabs>
          <w:tab w:val="left" w:pos="851"/>
        </w:tabs>
        <w:jc w:val="both"/>
        <w:rPr>
          <w:b/>
          <w:lang w:val="en-GB"/>
        </w:rPr>
      </w:pPr>
      <w:r w:rsidRPr="0030749E">
        <w:rPr>
          <w:b/>
          <w:lang w:val="en-GB"/>
        </w:rPr>
        <w:t>DEFENDANT’S CASE</w:t>
      </w:r>
    </w:p>
    <w:p w14:paraId="354B8EC5" w14:textId="77777777" w:rsidR="00757664" w:rsidRPr="0030749E" w:rsidRDefault="00757664" w:rsidP="009A5958">
      <w:pPr>
        <w:tabs>
          <w:tab w:val="left" w:pos="851"/>
        </w:tabs>
        <w:jc w:val="both"/>
        <w:rPr>
          <w:b/>
          <w:lang w:val="en-GB"/>
        </w:rPr>
      </w:pPr>
    </w:p>
    <w:p w14:paraId="2C127AFB" w14:textId="64B01603" w:rsidR="0030749E" w:rsidRPr="00757664" w:rsidRDefault="00757664" w:rsidP="009A5958">
      <w:pPr>
        <w:tabs>
          <w:tab w:val="left" w:pos="851"/>
        </w:tabs>
        <w:jc w:val="both"/>
        <w:rPr>
          <w:rFonts w:eastAsia="Calibri"/>
          <w:lang w:val="en-GB"/>
        </w:rPr>
      </w:pPr>
      <w:r>
        <w:rPr>
          <w:lang w:val="en-GB"/>
        </w:rPr>
        <w:t>[6]</w:t>
      </w:r>
      <w:r>
        <w:rPr>
          <w:lang w:val="en-GB"/>
        </w:rPr>
        <w:tab/>
      </w:r>
      <w:r w:rsidR="005A6A7B" w:rsidRPr="00757664">
        <w:rPr>
          <w:lang w:val="en-GB"/>
        </w:rPr>
        <w:t xml:space="preserve">Warrant </w:t>
      </w:r>
      <w:r w:rsidRPr="00757664">
        <w:rPr>
          <w:lang w:val="en-GB"/>
        </w:rPr>
        <w:t xml:space="preserve">Officer </w:t>
      </w:r>
      <w:r w:rsidR="00D97DDF">
        <w:rPr>
          <w:lang w:val="en-GB"/>
        </w:rPr>
        <w:t>Xhala</w:t>
      </w:r>
      <w:r w:rsidR="000769C7" w:rsidRPr="00757664">
        <w:rPr>
          <w:lang w:val="en-GB"/>
        </w:rPr>
        <w:t xml:space="preserve"> (the arresting officer) works</w:t>
      </w:r>
      <w:r w:rsidR="005A6A7B" w:rsidRPr="00757664">
        <w:rPr>
          <w:lang w:val="en-GB"/>
        </w:rPr>
        <w:t xml:space="preserve"> for</w:t>
      </w:r>
      <w:r w:rsidR="00643E53" w:rsidRPr="00757664">
        <w:rPr>
          <w:lang w:val="en-GB"/>
        </w:rPr>
        <w:t xml:space="preserve"> </w:t>
      </w:r>
      <w:r w:rsidRPr="00757664">
        <w:rPr>
          <w:lang w:val="en-GB"/>
        </w:rPr>
        <w:t xml:space="preserve">the </w:t>
      </w:r>
      <w:r w:rsidR="00643E53" w:rsidRPr="00757664">
        <w:rPr>
          <w:lang w:val="en-GB"/>
        </w:rPr>
        <w:t>Family</w:t>
      </w:r>
      <w:r w:rsidR="004555B9" w:rsidRPr="00757664">
        <w:rPr>
          <w:lang w:val="en-GB"/>
        </w:rPr>
        <w:t>, C</w:t>
      </w:r>
      <w:r w:rsidR="00643E53" w:rsidRPr="00757664">
        <w:rPr>
          <w:lang w:val="en-GB"/>
        </w:rPr>
        <w:t>hild</w:t>
      </w:r>
      <w:r w:rsidR="64C7245C" w:rsidRPr="00757664">
        <w:rPr>
          <w:lang w:val="en-GB"/>
        </w:rPr>
        <w:t>,</w:t>
      </w:r>
      <w:r w:rsidR="00643E53" w:rsidRPr="00757664">
        <w:rPr>
          <w:lang w:val="en-GB"/>
        </w:rPr>
        <w:t xml:space="preserve"> and Sexual Offence Unit (FSC)</w:t>
      </w:r>
      <w:r w:rsidR="00E5420B">
        <w:rPr>
          <w:lang w:val="en-GB"/>
        </w:rPr>
        <w:t xml:space="preserve"> at SAPS</w:t>
      </w:r>
      <w:r w:rsidR="000769C7" w:rsidRPr="00757664">
        <w:rPr>
          <w:lang w:val="en-GB"/>
        </w:rPr>
        <w:t>.</w:t>
      </w:r>
      <w:r w:rsidR="00E5420B">
        <w:rPr>
          <w:lang w:val="en-GB"/>
        </w:rPr>
        <w:t xml:space="preserve"> </w:t>
      </w:r>
      <w:r w:rsidR="000769C7" w:rsidRPr="00757664">
        <w:rPr>
          <w:lang w:val="en-GB"/>
        </w:rPr>
        <w:t>He</w:t>
      </w:r>
      <w:r w:rsidR="00643E53" w:rsidRPr="00757664">
        <w:rPr>
          <w:lang w:val="en-GB"/>
        </w:rPr>
        <w:t xml:space="preserve"> </w:t>
      </w:r>
      <w:r w:rsidR="005A6A7B" w:rsidRPr="00757664">
        <w:rPr>
          <w:lang w:val="en-GB"/>
        </w:rPr>
        <w:t>receiv</w:t>
      </w:r>
      <w:r w:rsidR="004F70D7">
        <w:rPr>
          <w:lang w:val="en-GB"/>
        </w:rPr>
        <w:t>ed a police docket from Libode police s</w:t>
      </w:r>
      <w:r w:rsidR="005A6A7B" w:rsidRPr="00757664">
        <w:rPr>
          <w:lang w:val="en-GB"/>
        </w:rPr>
        <w:t xml:space="preserve">tation. The docket </w:t>
      </w:r>
      <w:r w:rsidRPr="00757664">
        <w:rPr>
          <w:lang w:val="en-GB"/>
        </w:rPr>
        <w:t>consisted of</w:t>
      </w:r>
      <w:r w:rsidR="005A6A7B" w:rsidRPr="00757664">
        <w:rPr>
          <w:lang w:val="en-GB"/>
        </w:rPr>
        <w:t xml:space="preserve"> a statement </w:t>
      </w:r>
      <w:r w:rsidRPr="00757664">
        <w:rPr>
          <w:lang w:val="en-GB"/>
        </w:rPr>
        <w:t xml:space="preserve">from </w:t>
      </w:r>
      <w:r w:rsidR="005A6A7B" w:rsidRPr="00757664">
        <w:rPr>
          <w:lang w:val="en-GB"/>
        </w:rPr>
        <w:t xml:space="preserve">the victim’s mother who deposed </w:t>
      </w:r>
      <w:r w:rsidR="00F6281C" w:rsidRPr="00757664">
        <w:rPr>
          <w:lang w:val="en-GB"/>
        </w:rPr>
        <w:t>that she</w:t>
      </w:r>
      <w:r w:rsidR="005A6A7B" w:rsidRPr="00757664">
        <w:rPr>
          <w:lang w:val="en-GB"/>
        </w:rPr>
        <w:t xml:space="preserve"> observed </w:t>
      </w:r>
      <w:r w:rsidR="00A70E2D">
        <w:rPr>
          <w:lang w:val="en-GB"/>
        </w:rPr>
        <w:t>the child</w:t>
      </w:r>
      <w:r w:rsidR="00BB16AE" w:rsidRPr="00757664">
        <w:rPr>
          <w:lang w:val="en-GB"/>
        </w:rPr>
        <w:t xml:space="preserve"> oozing a substance</w:t>
      </w:r>
      <w:r w:rsidR="00DF3EE4">
        <w:rPr>
          <w:lang w:val="en-GB"/>
        </w:rPr>
        <w:t xml:space="preserve"> from her genitals and peeing on</w:t>
      </w:r>
      <w:r w:rsidR="00643E53" w:rsidRPr="00757664">
        <w:rPr>
          <w:lang w:val="en-GB"/>
        </w:rPr>
        <w:t xml:space="preserve"> herself.</w:t>
      </w:r>
      <w:r w:rsidR="20B5D3F1" w:rsidRPr="00757664">
        <w:rPr>
          <w:lang w:val="en-GB"/>
        </w:rPr>
        <w:t xml:space="preserve"> </w:t>
      </w:r>
      <w:r w:rsidR="00DF3EE4">
        <w:rPr>
          <w:lang w:val="en-GB"/>
        </w:rPr>
        <w:t xml:space="preserve">She </w:t>
      </w:r>
      <w:r w:rsidR="000769C7" w:rsidRPr="00757664">
        <w:rPr>
          <w:lang w:val="en-GB"/>
        </w:rPr>
        <w:t>ascertain</w:t>
      </w:r>
      <w:r w:rsidR="00DF3EE4">
        <w:rPr>
          <w:lang w:val="en-GB"/>
        </w:rPr>
        <w:t>ed</w:t>
      </w:r>
      <w:r w:rsidR="000769C7" w:rsidRPr="00757664">
        <w:rPr>
          <w:lang w:val="en-GB"/>
        </w:rPr>
        <w:t xml:space="preserve"> </w:t>
      </w:r>
      <w:r w:rsidRPr="00757664">
        <w:rPr>
          <w:lang w:val="en-GB"/>
        </w:rPr>
        <w:t xml:space="preserve">from </w:t>
      </w:r>
      <w:r w:rsidR="00DF3EE4">
        <w:rPr>
          <w:lang w:val="en-GB"/>
        </w:rPr>
        <w:t>the child what was</w:t>
      </w:r>
      <w:r w:rsidR="000769C7" w:rsidRPr="00757664">
        <w:rPr>
          <w:lang w:val="en-GB"/>
        </w:rPr>
        <w:t xml:space="preserve"> wrong. The child could not reveal until she later informed</w:t>
      </w:r>
      <w:r w:rsidR="00DF3EE4">
        <w:rPr>
          <w:lang w:val="en-GB"/>
        </w:rPr>
        <w:t xml:space="preserve"> her that she was raped by the p</w:t>
      </w:r>
      <w:r w:rsidR="000769C7" w:rsidRPr="00757664">
        <w:rPr>
          <w:lang w:val="en-GB"/>
        </w:rPr>
        <w:t>laintiff.</w:t>
      </w:r>
    </w:p>
    <w:p w14:paraId="18D66622" w14:textId="2DFF162E" w:rsidR="0030749E" w:rsidRDefault="0030749E" w:rsidP="00EB1C99">
      <w:pPr>
        <w:tabs>
          <w:tab w:val="left" w:pos="851"/>
        </w:tabs>
        <w:ind w:left="360"/>
        <w:jc w:val="both"/>
        <w:rPr>
          <w:lang w:val="en-GB"/>
        </w:rPr>
      </w:pPr>
    </w:p>
    <w:p w14:paraId="683B3BDF" w14:textId="42735C3B" w:rsidR="0030749E" w:rsidRPr="00757664" w:rsidRDefault="00757664" w:rsidP="009A5958">
      <w:pPr>
        <w:tabs>
          <w:tab w:val="left" w:pos="851"/>
        </w:tabs>
        <w:jc w:val="both"/>
        <w:rPr>
          <w:rFonts w:eastAsia="Calibri"/>
          <w:lang w:val="en-GB"/>
        </w:rPr>
      </w:pPr>
      <w:r>
        <w:rPr>
          <w:lang w:val="en-GB"/>
        </w:rPr>
        <w:t>[7]</w:t>
      </w:r>
      <w:r>
        <w:rPr>
          <w:lang w:val="en-GB"/>
        </w:rPr>
        <w:tab/>
      </w:r>
      <w:r w:rsidR="00643E53" w:rsidRPr="00757664">
        <w:rPr>
          <w:lang w:val="en-GB"/>
        </w:rPr>
        <w:t>The docket further consisted of a medical report commonly known as a J88</w:t>
      </w:r>
      <w:r w:rsidR="008E07C4" w:rsidRPr="00757664">
        <w:rPr>
          <w:lang w:val="en-GB"/>
        </w:rPr>
        <w:t>.</w:t>
      </w:r>
      <w:r w:rsidR="0F8BA8EF" w:rsidRPr="00757664">
        <w:rPr>
          <w:lang w:val="en-GB"/>
        </w:rPr>
        <w:t xml:space="preserve"> </w:t>
      </w:r>
      <w:r w:rsidR="004555B9" w:rsidRPr="00757664">
        <w:rPr>
          <w:lang w:val="en-GB"/>
        </w:rPr>
        <w:t xml:space="preserve">This report </w:t>
      </w:r>
      <w:r w:rsidR="008E07C4" w:rsidRPr="00757664">
        <w:rPr>
          <w:lang w:val="en-GB"/>
        </w:rPr>
        <w:t>was compiled by</w:t>
      </w:r>
      <w:r w:rsidR="00CA4F94" w:rsidRPr="00757664">
        <w:rPr>
          <w:lang w:val="en-GB"/>
        </w:rPr>
        <w:t xml:space="preserve"> the Doctor</w:t>
      </w:r>
      <w:r w:rsidR="008E07C4" w:rsidRPr="00757664">
        <w:rPr>
          <w:lang w:val="en-GB"/>
        </w:rPr>
        <w:t xml:space="preserve"> after he examined the </w:t>
      </w:r>
      <w:r w:rsidR="5E49FA99" w:rsidRPr="00757664">
        <w:rPr>
          <w:lang w:val="en-GB"/>
        </w:rPr>
        <w:t>five-year-old</w:t>
      </w:r>
      <w:r w:rsidR="008E07C4" w:rsidRPr="00757664">
        <w:rPr>
          <w:lang w:val="en-GB"/>
        </w:rPr>
        <w:t xml:space="preserve"> girl on 17 April 2015.</w:t>
      </w:r>
      <w:r w:rsidR="00643E53" w:rsidRPr="00757664">
        <w:rPr>
          <w:lang w:val="en-GB"/>
        </w:rPr>
        <w:t xml:space="preserve"> </w:t>
      </w:r>
      <w:r w:rsidR="008E07C4" w:rsidRPr="00757664">
        <w:rPr>
          <w:lang w:val="en-GB"/>
        </w:rPr>
        <w:t xml:space="preserve">The details </w:t>
      </w:r>
      <w:r w:rsidR="4A32283E" w:rsidRPr="00757664">
        <w:rPr>
          <w:lang w:val="en-GB"/>
        </w:rPr>
        <w:t xml:space="preserve">on the </w:t>
      </w:r>
      <w:r w:rsidR="008E07C4" w:rsidRPr="00757664">
        <w:rPr>
          <w:lang w:val="en-GB"/>
        </w:rPr>
        <w:t xml:space="preserve">gynaecological examination </w:t>
      </w:r>
      <w:r w:rsidR="00CB04F8" w:rsidRPr="00757664">
        <w:rPr>
          <w:lang w:val="en-GB"/>
        </w:rPr>
        <w:t>are</w:t>
      </w:r>
      <w:r w:rsidR="009A01EC">
        <w:rPr>
          <w:lang w:val="en-GB"/>
        </w:rPr>
        <w:t xml:space="preserve"> </w:t>
      </w:r>
      <w:r w:rsidR="00DF3EE4">
        <w:rPr>
          <w:lang w:val="en-GB"/>
        </w:rPr>
        <w:t>contained</w:t>
      </w:r>
      <w:r w:rsidR="008E07C4" w:rsidRPr="00757664">
        <w:rPr>
          <w:lang w:val="en-GB"/>
        </w:rPr>
        <w:t xml:space="preserve"> </w:t>
      </w:r>
      <w:r w:rsidR="00CB04F8" w:rsidRPr="00757664">
        <w:rPr>
          <w:lang w:val="en-GB"/>
        </w:rPr>
        <w:t xml:space="preserve">on </w:t>
      </w:r>
      <w:r w:rsidR="008E07C4" w:rsidRPr="00757664">
        <w:rPr>
          <w:lang w:val="en-GB"/>
        </w:rPr>
        <w:t xml:space="preserve">pages 2 and 3 of the report. The Dr observed that </w:t>
      </w:r>
      <w:r w:rsidR="00CB04F8" w:rsidRPr="00757664">
        <w:rPr>
          <w:lang w:val="en-GB"/>
        </w:rPr>
        <w:t xml:space="preserve">the </w:t>
      </w:r>
      <w:r w:rsidR="008E07C4" w:rsidRPr="00757664">
        <w:rPr>
          <w:lang w:val="en-GB"/>
        </w:rPr>
        <w:t>C</w:t>
      </w:r>
      <w:r w:rsidR="00F6281C" w:rsidRPr="00757664">
        <w:rPr>
          <w:lang w:val="en-GB"/>
        </w:rPr>
        <w:t>l</w:t>
      </w:r>
      <w:r w:rsidR="008E07C4" w:rsidRPr="00757664">
        <w:rPr>
          <w:lang w:val="en-GB"/>
        </w:rPr>
        <w:t>ito</w:t>
      </w:r>
      <w:r w:rsidR="00CA4F94" w:rsidRPr="00757664">
        <w:rPr>
          <w:lang w:val="en-GB"/>
        </w:rPr>
        <w:t>ris,</w:t>
      </w:r>
      <w:r w:rsidR="00F6281C" w:rsidRPr="00757664">
        <w:rPr>
          <w:lang w:val="en-GB"/>
        </w:rPr>
        <w:t xml:space="preserve"> labia minora, frenulum of </w:t>
      </w:r>
      <w:r w:rsidR="00CB04F8" w:rsidRPr="00757664">
        <w:rPr>
          <w:lang w:val="en-GB"/>
        </w:rPr>
        <w:t xml:space="preserve">the </w:t>
      </w:r>
      <w:r w:rsidR="00F6281C" w:rsidRPr="00757664">
        <w:rPr>
          <w:lang w:val="en-GB"/>
        </w:rPr>
        <w:t>clitoris and para-urethral folds</w:t>
      </w:r>
      <w:r w:rsidR="008E07C4" w:rsidRPr="00757664">
        <w:rPr>
          <w:lang w:val="en-GB"/>
        </w:rPr>
        <w:t xml:space="preserve"> were </w:t>
      </w:r>
      <w:r w:rsidR="00CB04F8" w:rsidRPr="00757664">
        <w:rPr>
          <w:lang w:val="en-GB"/>
        </w:rPr>
        <w:t>bloodstained</w:t>
      </w:r>
      <w:r w:rsidR="008E07C4" w:rsidRPr="00757664">
        <w:rPr>
          <w:lang w:val="en-GB"/>
        </w:rPr>
        <w:t xml:space="preserve">. </w:t>
      </w:r>
      <w:r w:rsidR="00F6281C" w:rsidRPr="00757664">
        <w:rPr>
          <w:lang w:val="en-GB"/>
        </w:rPr>
        <w:t>Additionally</w:t>
      </w:r>
      <w:r w:rsidR="00F145A7" w:rsidRPr="00757664">
        <w:rPr>
          <w:lang w:val="en-GB"/>
        </w:rPr>
        <w:t>, there</w:t>
      </w:r>
      <w:r w:rsidR="008E07C4" w:rsidRPr="00757664">
        <w:rPr>
          <w:lang w:val="en-GB"/>
        </w:rPr>
        <w:t xml:space="preserve"> was active vaginal bleeding a</w:t>
      </w:r>
      <w:r w:rsidR="00DF3EE4">
        <w:rPr>
          <w:lang w:val="en-GB"/>
        </w:rPr>
        <w:t>nd scratches</w:t>
      </w:r>
      <w:r w:rsidR="00F6281C" w:rsidRPr="00757664">
        <w:rPr>
          <w:lang w:val="en-GB"/>
        </w:rPr>
        <w:t xml:space="preserve"> in her </w:t>
      </w:r>
      <w:r w:rsidR="00CB04F8" w:rsidRPr="00757664">
        <w:rPr>
          <w:lang w:val="en-GB"/>
        </w:rPr>
        <w:t>genitals to</w:t>
      </w:r>
      <w:r w:rsidR="26FEF5DC" w:rsidRPr="00757664">
        <w:rPr>
          <w:lang w:val="en-GB"/>
        </w:rPr>
        <w:t xml:space="preserve"> which the Doctor </w:t>
      </w:r>
      <w:r w:rsidR="00F6281C" w:rsidRPr="00757664">
        <w:rPr>
          <w:lang w:val="en-GB"/>
        </w:rPr>
        <w:t>conclude</w:t>
      </w:r>
      <w:r w:rsidR="27717EF5" w:rsidRPr="00757664">
        <w:rPr>
          <w:lang w:val="en-GB"/>
        </w:rPr>
        <w:t>d</w:t>
      </w:r>
      <w:r w:rsidR="00F6281C" w:rsidRPr="00757664">
        <w:rPr>
          <w:lang w:val="en-GB"/>
        </w:rPr>
        <w:t xml:space="preserve"> </w:t>
      </w:r>
      <w:r w:rsidR="008E07C4" w:rsidRPr="00757664">
        <w:rPr>
          <w:lang w:val="en-GB"/>
        </w:rPr>
        <w:t>that a vaginal penetration by a blunt</w:t>
      </w:r>
      <w:r w:rsidR="00F6281C" w:rsidRPr="00757664">
        <w:rPr>
          <w:lang w:val="en-GB"/>
        </w:rPr>
        <w:t xml:space="preserve"> object could </w:t>
      </w:r>
      <w:r w:rsidR="004555B9" w:rsidRPr="00757664">
        <w:rPr>
          <w:lang w:val="en-GB"/>
        </w:rPr>
        <w:t xml:space="preserve">have </w:t>
      </w:r>
      <w:r w:rsidR="00DF3EE4">
        <w:rPr>
          <w:lang w:val="en-GB"/>
        </w:rPr>
        <w:t>occurred in</w:t>
      </w:r>
      <w:r w:rsidR="000769C7" w:rsidRPr="00757664">
        <w:rPr>
          <w:lang w:val="en-GB"/>
        </w:rPr>
        <w:t xml:space="preserve"> her</w:t>
      </w:r>
      <w:r w:rsidR="00C41457" w:rsidRPr="00757664">
        <w:rPr>
          <w:lang w:val="en-GB"/>
        </w:rPr>
        <w:t xml:space="preserve"> genitals</w:t>
      </w:r>
      <w:r w:rsidR="008E07C4" w:rsidRPr="00757664">
        <w:rPr>
          <w:lang w:val="en-GB"/>
        </w:rPr>
        <w:t>.</w:t>
      </w:r>
    </w:p>
    <w:p w14:paraId="63A7C1EC" w14:textId="7117ADD7" w:rsidR="5AC7D5BF" w:rsidRDefault="5AC7D5BF" w:rsidP="00EB1C99">
      <w:pPr>
        <w:tabs>
          <w:tab w:val="left" w:pos="851"/>
        </w:tabs>
        <w:ind w:left="360"/>
        <w:jc w:val="both"/>
        <w:rPr>
          <w:lang w:val="en-GB"/>
        </w:rPr>
      </w:pPr>
    </w:p>
    <w:p w14:paraId="3BC34885" w14:textId="37179414" w:rsidR="005A6A7B" w:rsidRPr="004944A6" w:rsidRDefault="004944A6" w:rsidP="009A5958">
      <w:pPr>
        <w:jc w:val="both"/>
        <w:rPr>
          <w:rFonts w:eastAsia="Calibri"/>
          <w:lang w:val="en-GB"/>
        </w:rPr>
      </w:pPr>
      <w:r>
        <w:rPr>
          <w:lang w:val="en-GB"/>
        </w:rPr>
        <w:t>[8]</w:t>
      </w:r>
      <w:r>
        <w:rPr>
          <w:lang w:val="en-GB"/>
        </w:rPr>
        <w:tab/>
      </w:r>
      <w:r w:rsidR="00A70E2D">
        <w:rPr>
          <w:lang w:val="en-GB"/>
        </w:rPr>
        <w:t xml:space="preserve">The arresting officer </w:t>
      </w:r>
      <w:r w:rsidR="008E07C4" w:rsidRPr="004944A6">
        <w:rPr>
          <w:lang w:val="en-GB"/>
        </w:rPr>
        <w:t>interviewed the child in</w:t>
      </w:r>
      <w:r w:rsidR="00E5420B">
        <w:rPr>
          <w:lang w:val="en-GB"/>
        </w:rPr>
        <w:t xml:space="preserve"> the presence of her mother</w:t>
      </w:r>
      <w:r w:rsidR="00DF3EE4">
        <w:rPr>
          <w:lang w:val="en-GB"/>
        </w:rPr>
        <w:t>.</w:t>
      </w:r>
      <w:r w:rsidR="00E5420B">
        <w:rPr>
          <w:lang w:val="en-GB"/>
        </w:rPr>
        <w:t xml:space="preserve"> The child consistently informed him that she was raped by the plaintiff.</w:t>
      </w:r>
      <w:r w:rsidR="00DF3EE4">
        <w:rPr>
          <w:lang w:val="en-GB"/>
        </w:rPr>
        <w:t xml:space="preserve"> The child implicated the p</w:t>
      </w:r>
      <w:r w:rsidR="008E07C4" w:rsidRPr="004944A6">
        <w:rPr>
          <w:lang w:val="en-GB"/>
        </w:rPr>
        <w:t>laintiff by c</w:t>
      </w:r>
      <w:r w:rsidR="00C41457" w:rsidRPr="004944A6">
        <w:rPr>
          <w:lang w:val="en-GB"/>
        </w:rPr>
        <w:t>alling his name and</w:t>
      </w:r>
      <w:r w:rsidR="008E07C4" w:rsidRPr="004944A6">
        <w:rPr>
          <w:lang w:val="en-GB"/>
        </w:rPr>
        <w:t xml:space="preserve"> further described him as </w:t>
      </w:r>
      <w:r w:rsidR="004F70D7">
        <w:rPr>
          <w:lang w:val="en-GB"/>
        </w:rPr>
        <w:t>Sheniye</w:t>
      </w:r>
      <w:r w:rsidR="009A693B" w:rsidRPr="004944A6">
        <w:rPr>
          <w:lang w:val="en-GB"/>
        </w:rPr>
        <w:t>’s brother.</w:t>
      </w:r>
      <w:r w:rsidR="00E5420B">
        <w:rPr>
          <w:lang w:val="en-GB"/>
        </w:rPr>
        <w:t xml:space="preserve">  </w:t>
      </w:r>
      <w:r w:rsidR="00113A4C">
        <w:rPr>
          <w:lang w:val="en-GB"/>
        </w:rPr>
        <w:t>In a statement written in both English and IsiXhosa languages the child stated that the plaintiff called her at his home and raped her.</w:t>
      </w:r>
    </w:p>
    <w:p w14:paraId="681DE6A6" w14:textId="1F23B4DD" w:rsidR="005A6A7B" w:rsidRDefault="005A6A7B" w:rsidP="00EB1C99">
      <w:pPr>
        <w:ind w:left="360"/>
        <w:jc w:val="both"/>
        <w:rPr>
          <w:lang w:val="en-GB"/>
        </w:rPr>
      </w:pPr>
    </w:p>
    <w:p w14:paraId="3CC67878" w14:textId="440BE10A" w:rsidR="005A6A7B" w:rsidRPr="004944A6" w:rsidRDefault="004944A6" w:rsidP="009A5958">
      <w:pPr>
        <w:jc w:val="both"/>
        <w:rPr>
          <w:rFonts w:eastAsia="Calibri"/>
          <w:lang w:val="en-GB"/>
        </w:rPr>
      </w:pPr>
      <w:r>
        <w:rPr>
          <w:lang w:val="en-GB"/>
        </w:rPr>
        <w:t>[9]</w:t>
      </w:r>
      <w:r>
        <w:rPr>
          <w:lang w:val="en-GB"/>
        </w:rPr>
        <w:tab/>
      </w:r>
      <w:r w:rsidR="00CA4F94" w:rsidRPr="004944A6">
        <w:rPr>
          <w:lang w:val="en-GB"/>
        </w:rPr>
        <w:t>The arresting officer testified</w:t>
      </w:r>
      <w:r w:rsidR="009A693B" w:rsidRPr="004944A6">
        <w:rPr>
          <w:lang w:val="en-GB"/>
        </w:rPr>
        <w:t xml:space="preserve"> that </w:t>
      </w:r>
      <w:r w:rsidR="00757664" w:rsidRPr="004944A6">
        <w:rPr>
          <w:lang w:val="en-GB"/>
        </w:rPr>
        <w:t>considering</w:t>
      </w:r>
      <w:r w:rsidR="009A693B" w:rsidRPr="004944A6">
        <w:rPr>
          <w:lang w:val="en-GB"/>
        </w:rPr>
        <w:t xml:space="preserve"> the evidence </w:t>
      </w:r>
      <w:r w:rsidR="004555B9" w:rsidRPr="004944A6">
        <w:rPr>
          <w:lang w:val="en-GB"/>
        </w:rPr>
        <w:t xml:space="preserve">that </w:t>
      </w:r>
      <w:r w:rsidR="009A693B" w:rsidRPr="004944A6">
        <w:rPr>
          <w:lang w:val="en-GB"/>
        </w:rPr>
        <w:t>he possessed in the police docket, he formulated a</w:t>
      </w:r>
      <w:r w:rsidR="00F6281C" w:rsidRPr="004944A6">
        <w:rPr>
          <w:lang w:val="en-GB"/>
        </w:rPr>
        <w:t xml:space="preserve"> reasonable</w:t>
      </w:r>
      <w:r w:rsidR="00DF3EE4">
        <w:rPr>
          <w:lang w:val="en-GB"/>
        </w:rPr>
        <w:t xml:space="preserve"> suspicion that the p</w:t>
      </w:r>
      <w:r w:rsidR="009A693B" w:rsidRPr="004944A6">
        <w:rPr>
          <w:lang w:val="en-GB"/>
        </w:rPr>
        <w:t>laintiff had committed a crime of rape</w:t>
      </w:r>
      <w:r w:rsidR="00E5420B">
        <w:rPr>
          <w:lang w:val="en-GB"/>
        </w:rPr>
        <w:t>. He then approached the suspect and introduced himself. He informed him of his constitutional rights and executed arrest</w:t>
      </w:r>
      <w:r w:rsidR="00A70E2D">
        <w:rPr>
          <w:lang w:val="en-GB"/>
        </w:rPr>
        <w:t xml:space="preserve"> and</w:t>
      </w:r>
      <w:r w:rsidR="006E644F">
        <w:rPr>
          <w:lang w:val="en-GB"/>
        </w:rPr>
        <w:t xml:space="preserve"> </w:t>
      </w:r>
      <w:r w:rsidR="00A70E2D">
        <w:rPr>
          <w:lang w:val="en-GB"/>
        </w:rPr>
        <w:t>detention</w:t>
      </w:r>
      <w:r w:rsidR="00E5420B">
        <w:rPr>
          <w:lang w:val="en-GB"/>
        </w:rPr>
        <w:t>. The arresting officer</w:t>
      </w:r>
      <w:r w:rsidR="009A693B" w:rsidRPr="004944A6">
        <w:rPr>
          <w:lang w:val="en-GB"/>
        </w:rPr>
        <w:t xml:space="preserve"> further testified that </w:t>
      </w:r>
      <w:r w:rsidR="3246BC9C" w:rsidRPr="004944A6">
        <w:rPr>
          <w:lang w:val="en-GB"/>
        </w:rPr>
        <w:t>even though</w:t>
      </w:r>
      <w:r w:rsidR="009A693B" w:rsidRPr="004944A6">
        <w:rPr>
          <w:lang w:val="en-GB"/>
        </w:rPr>
        <w:t xml:space="preserve"> no semen was detected which could be utilised to </w:t>
      </w:r>
      <w:r w:rsidR="00242960" w:rsidRPr="004944A6">
        <w:rPr>
          <w:lang w:val="en-GB"/>
        </w:rPr>
        <w:t>provide DNA</w:t>
      </w:r>
      <w:r w:rsidR="30EB8E20" w:rsidRPr="004944A6">
        <w:rPr>
          <w:lang w:val="en-GB"/>
        </w:rPr>
        <w:t xml:space="preserve"> evidence</w:t>
      </w:r>
      <w:r w:rsidR="009A693B" w:rsidRPr="004944A6">
        <w:rPr>
          <w:lang w:val="en-GB"/>
        </w:rPr>
        <w:t>, he still held a</w:t>
      </w:r>
      <w:r w:rsidR="00DF3EE4">
        <w:rPr>
          <w:lang w:val="en-GB"/>
        </w:rPr>
        <w:t xml:space="preserve"> reasonable suspicion that the p</w:t>
      </w:r>
      <w:r w:rsidR="009A693B" w:rsidRPr="004944A6">
        <w:rPr>
          <w:lang w:val="en-GB"/>
        </w:rPr>
        <w:t>lainti</w:t>
      </w:r>
      <w:r w:rsidR="00713345" w:rsidRPr="004944A6">
        <w:rPr>
          <w:lang w:val="en-GB"/>
        </w:rPr>
        <w:t>ff had committed the said crime</w:t>
      </w:r>
      <w:r w:rsidR="009A693B" w:rsidRPr="004944A6">
        <w:rPr>
          <w:lang w:val="en-GB"/>
        </w:rPr>
        <w:t>.</w:t>
      </w:r>
    </w:p>
    <w:p w14:paraId="1FC39945" w14:textId="77777777" w:rsidR="00F6281C" w:rsidRDefault="00F6281C" w:rsidP="009A5958">
      <w:pPr>
        <w:ind w:left="709"/>
        <w:jc w:val="both"/>
        <w:rPr>
          <w:lang w:val="en-GB"/>
        </w:rPr>
      </w:pPr>
    </w:p>
    <w:p w14:paraId="4227B746" w14:textId="6E0E6BF0" w:rsidR="0030749E" w:rsidRDefault="004944A6" w:rsidP="009A5958">
      <w:pPr>
        <w:jc w:val="both"/>
        <w:rPr>
          <w:lang w:val="en-GB"/>
        </w:rPr>
      </w:pPr>
      <w:r>
        <w:rPr>
          <w:lang w:val="en-GB"/>
        </w:rPr>
        <w:t>[10]</w:t>
      </w:r>
      <w:r>
        <w:rPr>
          <w:lang w:val="en-GB"/>
        </w:rPr>
        <w:tab/>
      </w:r>
      <w:r w:rsidR="00F6281C" w:rsidRPr="004944A6">
        <w:rPr>
          <w:lang w:val="en-GB"/>
        </w:rPr>
        <w:t>I</w:t>
      </w:r>
      <w:r w:rsidR="00A469AB" w:rsidRPr="004944A6">
        <w:rPr>
          <w:lang w:val="en-GB"/>
        </w:rPr>
        <w:t>n cross-examination,</w:t>
      </w:r>
      <w:r w:rsidR="00436342" w:rsidRPr="004944A6">
        <w:rPr>
          <w:lang w:val="en-GB"/>
        </w:rPr>
        <w:t xml:space="preserve"> </w:t>
      </w:r>
      <w:r w:rsidR="00CA4F94" w:rsidRPr="004944A6">
        <w:rPr>
          <w:lang w:val="en-GB"/>
        </w:rPr>
        <w:t>c</w:t>
      </w:r>
      <w:r w:rsidR="00DF3EE4">
        <w:rPr>
          <w:lang w:val="en-GB"/>
        </w:rPr>
        <w:t>ounsel for</w:t>
      </w:r>
      <w:r w:rsidR="004F70D7">
        <w:rPr>
          <w:lang w:val="en-GB"/>
        </w:rPr>
        <w:t xml:space="preserve"> the</w:t>
      </w:r>
      <w:r w:rsidR="00DF3EE4">
        <w:rPr>
          <w:lang w:val="en-GB"/>
        </w:rPr>
        <w:t xml:space="preserve"> p</w:t>
      </w:r>
      <w:r w:rsidR="00436342" w:rsidRPr="004944A6">
        <w:rPr>
          <w:lang w:val="en-GB"/>
        </w:rPr>
        <w:t>laintiff suggested that the office</w:t>
      </w:r>
      <w:r w:rsidR="00DF3EE4">
        <w:rPr>
          <w:lang w:val="en-GB"/>
        </w:rPr>
        <w:t>r should not have arrested the p</w:t>
      </w:r>
      <w:r w:rsidR="00436342" w:rsidRPr="004944A6">
        <w:rPr>
          <w:lang w:val="en-GB"/>
        </w:rPr>
        <w:t>laintiff be</w:t>
      </w:r>
      <w:r w:rsidR="009A01EC">
        <w:rPr>
          <w:lang w:val="en-GB"/>
        </w:rPr>
        <w:t>cause there was no DNA evidence</w:t>
      </w:r>
      <w:r w:rsidR="00436342" w:rsidRPr="004944A6">
        <w:rPr>
          <w:lang w:val="en-GB"/>
        </w:rPr>
        <w:t xml:space="preserve"> which is required </w:t>
      </w:r>
      <w:r w:rsidR="003F34B8" w:rsidRPr="004944A6">
        <w:rPr>
          <w:lang w:val="en-GB"/>
        </w:rPr>
        <w:t>for conviction</w:t>
      </w:r>
      <w:r w:rsidR="00436342" w:rsidRPr="004944A6">
        <w:rPr>
          <w:lang w:val="en-GB"/>
        </w:rPr>
        <w:t xml:space="preserve"> in rape c</w:t>
      </w:r>
      <w:r w:rsidR="00DF3EE4">
        <w:rPr>
          <w:lang w:val="en-GB"/>
        </w:rPr>
        <w:t>ases. Counsel claimed that the p</w:t>
      </w:r>
      <w:r w:rsidR="00436342" w:rsidRPr="004944A6">
        <w:rPr>
          <w:lang w:val="en-GB"/>
        </w:rPr>
        <w:t xml:space="preserve">laintiff should have been </w:t>
      </w:r>
      <w:r w:rsidR="000769C7" w:rsidRPr="004944A6">
        <w:rPr>
          <w:lang w:val="en-GB"/>
        </w:rPr>
        <w:t>interviewed before arrest. The o</w:t>
      </w:r>
      <w:r w:rsidR="00DF3EE4">
        <w:rPr>
          <w:lang w:val="en-GB"/>
        </w:rPr>
        <w:t>fficer should have relied on p</w:t>
      </w:r>
      <w:r w:rsidR="00436342" w:rsidRPr="004944A6">
        <w:rPr>
          <w:lang w:val="en-GB"/>
        </w:rPr>
        <w:t xml:space="preserve">laintiff’s denial of facts </w:t>
      </w:r>
      <w:r w:rsidR="00436342" w:rsidRPr="004944A6">
        <w:rPr>
          <w:lang w:val="en-GB"/>
        </w:rPr>
        <w:lastRenderedPageBreak/>
        <w:t xml:space="preserve">and not </w:t>
      </w:r>
      <w:r w:rsidR="003B5C2F">
        <w:rPr>
          <w:lang w:val="en-GB"/>
        </w:rPr>
        <w:t>arrest</w:t>
      </w:r>
      <w:r w:rsidR="00436342" w:rsidRPr="004944A6">
        <w:rPr>
          <w:lang w:val="en-GB"/>
        </w:rPr>
        <w:t xml:space="preserve"> him, so he suggested.</w:t>
      </w:r>
      <w:r w:rsidR="00100C0A">
        <w:rPr>
          <w:lang w:val="en-GB"/>
        </w:rPr>
        <w:t xml:space="preserve"> </w:t>
      </w:r>
      <w:r w:rsidR="006605A0">
        <w:rPr>
          <w:lang w:val="en-GB"/>
        </w:rPr>
        <w:t>The arresting officer testified that he interviewed the plaintiff and that he denied the allegations against him.</w:t>
      </w:r>
    </w:p>
    <w:p w14:paraId="2F67733C" w14:textId="77777777" w:rsidR="00A3419B" w:rsidRDefault="00A3419B" w:rsidP="009A5958">
      <w:pPr>
        <w:jc w:val="both"/>
        <w:rPr>
          <w:lang w:val="en-GB"/>
        </w:rPr>
      </w:pPr>
    </w:p>
    <w:p w14:paraId="2EBC82C4" w14:textId="3BB55CD1" w:rsidR="00A3419B" w:rsidRDefault="00A3419B" w:rsidP="009A5958">
      <w:pPr>
        <w:jc w:val="both"/>
        <w:rPr>
          <w:lang w:val="en-GB"/>
        </w:rPr>
      </w:pPr>
      <w:r>
        <w:rPr>
          <w:lang w:val="en-GB"/>
        </w:rPr>
        <w:t>[11</w:t>
      </w:r>
      <w:r w:rsidR="003C3529">
        <w:rPr>
          <w:lang w:val="en-GB"/>
        </w:rPr>
        <w:t xml:space="preserve">]  </w:t>
      </w:r>
      <w:r w:rsidR="00A70E2D">
        <w:rPr>
          <w:lang w:val="en-GB"/>
        </w:rPr>
        <w:t xml:space="preserve"> </w:t>
      </w:r>
      <w:r w:rsidR="003C3529">
        <w:rPr>
          <w:lang w:val="en-GB"/>
        </w:rPr>
        <w:t>Counsel</w:t>
      </w:r>
      <w:r w:rsidR="00A70E2D">
        <w:rPr>
          <w:lang w:val="en-GB"/>
        </w:rPr>
        <w:t xml:space="preserve"> criticis</w:t>
      </w:r>
      <w:r>
        <w:rPr>
          <w:lang w:val="en-GB"/>
        </w:rPr>
        <w:t>ed the arresting officer for relying on the child’s statement which was not commissioned. The arresting offi</w:t>
      </w:r>
      <w:r w:rsidR="00A96C83">
        <w:rPr>
          <w:lang w:val="en-GB"/>
        </w:rPr>
        <w:t>cer conceded that the child stateme</w:t>
      </w:r>
      <w:r>
        <w:rPr>
          <w:lang w:val="en-GB"/>
        </w:rPr>
        <w:t>n</w:t>
      </w:r>
      <w:r w:rsidR="00A96C83">
        <w:rPr>
          <w:lang w:val="en-GB"/>
        </w:rPr>
        <w:t>t</w:t>
      </w:r>
      <w:r w:rsidR="006605A0">
        <w:rPr>
          <w:lang w:val="en-GB"/>
        </w:rPr>
        <w:t xml:space="preserve"> was not commissioned</w:t>
      </w:r>
      <w:r w:rsidR="00A96C83">
        <w:rPr>
          <w:lang w:val="en-GB"/>
        </w:rPr>
        <w:t xml:space="preserve"> and</w:t>
      </w:r>
      <w:r w:rsidR="006605A0">
        <w:rPr>
          <w:lang w:val="en-GB"/>
        </w:rPr>
        <w:t xml:space="preserve"> asked the court to note that this was a child</w:t>
      </w:r>
      <w:r w:rsidR="00A96C83">
        <w:rPr>
          <w:lang w:val="en-GB"/>
        </w:rPr>
        <w:t xml:space="preserve"> </w:t>
      </w:r>
      <w:r w:rsidR="006605A0">
        <w:rPr>
          <w:lang w:val="en-GB"/>
        </w:rPr>
        <w:t xml:space="preserve">and </w:t>
      </w:r>
      <w:r w:rsidR="00A96C83">
        <w:rPr>
          <w:lang w:val="en-GB"/>
        </w:rPr>
        <w:t xml:space="preserve">that he </w:t>
      </w:r>
      <w:r w:rsidR="006605A0">
        <w:rPr>
          <w:lang w:val="en-GB"/>
        </w:rPr>
        <w:t>interviewed her in the presence of her guardian (the mother)</w:t>
      </w:r>
      <w:r w:rsidR="00A96C83">
        <w:rPr>
          <w:lang w:val="en-GB"/>
        </w:rPr>
        <w:t>.</w:t>
      </w:r>
      <w:r w:rsidR="006E644F">
        <w:rPr>
          <w:lang w:val="en-GB"/>
        </w:rPr>
        <w:t xml:space="preserve"> </w:t>
      </w:r>
      <w:r w:rsidR="00A96C83">
        <w:rPr>
          <w:lang w:val="en-GB"/>
        </w:rPr>
        <w:t xml:space="preserve"> </w:t>
      </w:r>
    </w:p>
    <w:p w14:paraId="12C58541" w14:textId="77777777" w:rsidR="007F483A" w:rsidRPr="004944A6" w:rsidRDefault="007F483A" w:rsidP="009A5958">
      <w:pPr>
        <w:jc w:val="both"/>
        <w:rPr>
          <w:rFonts w:eastAsia="Calibri"/>
          <w:lang w:val="en-GB"/>
        </w:rPr>
      </w:pPr>
    </w:p>
    <w:p w14:paraId="1281DF53" w14:textId="208B4DD8" w:rsidR="00436342" w:rsidRPr="004944A6" w:rsidRDefault="007F483A" w:rsidP="009A5958">
      <w:pPr>
        <w:jc w:val="both"/>
        <w:rPr>
          <w:lang w:val="en-GB"/>
        </w:rPr>
      </w:pPr>
      <w:r>
        <w:rPr>
          <w:lang w:val="en-GB"/>
        </w:rPr>
        <w:t>[12</w:t>
      </w:r>
      <w:r w:rsidR="004944A6">
        <w:rPr>
          <w:lang w:val="en-GB"/>
        </w:rPr>
        <w:t>]</w:t>
      </w:r>
      <w:r w:rsidR="004944A6">
        <w:rPr>
          <w:lang w:val="en-GB"/>
        </w:rPr>
        <w:tab/>
      </w:r>
      <w:r w:rsidR="00A70E2D">
        <w:rPr>
          <w:lang w:val="en-GB"/>
        </w:rPr>
        <w:t>Counsel further criticis</w:t>
      </w:r>
      <w:r w:rsidR="00436342" w:rsidRPr="004944A6">
        <w:rPr>
          <w:lang w:val="en-GB"/>
        </w:rPr>
        <w:t>ed</w:t>
      </w:r>
      <w:r w:rsidR="003968EE" w:rsidRPr="004944A6">
        <w:rPr>
          <w:lang w:val="en-GB"/>
        </w:rPr>
        <w:t xml:space="preserve"> the arresting officer</w:t>
      </w:r>
      <w:r w:rsidR="006E644F">
        <w:rPr>
          <w:lang w:val="en-GB"/>
        </w:rPr>
        <w:t xml:space="preserve"> for not employing less inva</w:t>
      </w:r>
      <w:r w:rsidR="000A5A6C" w:rsidRPr="004944A6">
        <w:rPr>
          <w:lang w:val="en-GB"/>
        </w:rPr>
        <w:t>sive arrest techniques.</w:t>
      </w:r>
      <w:r w:rsidR="00C4242B" w:rsidRPr="004944A6">
        <w:rPr>
          <w:lang w:val="en-GB"/>
        </w:rPr>
        <w:t xml:space="preserve"> </w:t>
      </w:r>
      <w:r w:rsidR="00100C0A">
        <w:rPr>
          <w:lang w:val="en-GB"/>
        </w:rPr>
        <w:t>It was put to him that the plaintiff was not a flight risk. The arresting officer conceded that there was no likelihood that the plaintiff would evade his trial.</w:t>
      </w:r>
      <w:r w:rsidR="006605A0">
        <w:rPr>
          <w:lang w:val="en-GB"/>
        </w:rPr>
        <w:t xml:space="preserve"> H</w:t>
      </w:r>
      <w:r w:rsidR="000A5A6C" w:rsidRPr="004944A6">
        <w:rPr>
          <w:lang w:val="en-GB"/>
        </w:rPr>
        <w:t>e</w:t>
      </w:r>
      <w:r w:rsidR="006605A0">
        <w:rPr>
          <w:lang w:val="en-GB"/>
        </w:rPr>
        <w:t xml:space="preserve"> further stated that he</w:t>
      </w:r>
      <w:r w:rsidR="000A5A6C" w:rsidRPr="004944A6">
        <w:rPr>
          <w:lang w:val="en-GB"/>
        </w:rPr>
        <w:t xml:space="preserve"> was not required to request a warrant prior to</w:t>
      </w:r>
      <w:r w:rsidR="006605A0">
        <w:rPr>
          <w:lang w:val="en-GB"/>
        </w:rPr>
        <w:t xml:space="preserve"> his</w:t>
      </w:r>
      <w:r w:rsidR="000A5A6C" w:rsidRPr="004944A6">
        <w:rPr>
          <w:lang w:val="en-GB"/>
        </w:rPr>
        <w:t xml:space="preserve"> arrest. </w:t>
      </w:r>
      <w:r w:rsidR="009467F1" w:rsidRPr="004944A6">
        <w:rPr>
          <w:lang w:val="en-GB"/>
        </w:rPr>
        <w:t xml:space="preserve"> Based on the information in the police docket and his analysi</w:t>
      </w:r>
      <w:r w:rsidR="00DF3EE4">
        <w:rPr>
          <w:lang w:val="en-GB"/>
        </w:rPr>
        <w:t>s of facts he decided that the p</w:t>
      </w:r>
      <w:r w:rsidR="009467F1" w:rsidRPr="004944A6">
        <w:rPr>
          <w:lang w:val="en-GB"/>
        </w:rPr>
        <w:t>laintiff ought to be arrested and detained.</w:t>
      </w:r>
      <w:r w:rsidR="00436342" w:rsidRPr="004944A6">
        <w:rPr>
          <w:lang w:val="en-GB"/>
        </w:rPr>
        <w:t xml:space="preserve"> </w:t>
      </w:r>
      <w:r w:rsidR="00CA4F94" w:rsidRPr="004944A6">
        <w:rPr>
          <w:lang w:val="en-GB"/>
        </w:rPr>
        <w:t>The arresting officer</w:t>
      </w:r>
      <w:r w:rsidR="00F6281C" w:rsidRPr="004944A6">
        <w:rPr>
          <w:lang w:val="en-GB"/>
        </w:rPr>
        <w:t xml:space="preserve"> was adamant that his actions were justified.</w:t>
      </w:r>
      <w:r w:rsidR="00436342" w:rsidRPr="004944A6">
        <w:rPr>
          <w:lang w:val="en-GB"/>
        </w:rPr>
        <w:t xml:space="preserve"> With this evidence</w:t>
      </w:r>
      <w:r w:rsidR="00757664" w:rsidRPr="004944A6">
        <w:rPr>
          <w:lang w:val="en-GB"/>
        </w:rPr>
        <w:t>,</w:t>
      </w:r>
      <w:r w:rsidR="00DF3EE4">
        <w:rPr>
          <w:lang w:val="en-GB"/>
        </w:rPr>
        <w:t xml:space="preserve"> the d</w:t>
      </w:r>
      <w:r w:rsidR="00436342" w:rsidRPr="004944A6">
        <w:rPr>
          <w:lang w:val="en-GB"/>
        </w:rPr>
        <w:t>efendant closed his case.</w:t>
      </w:r>
    </w:p>
    <w:p w14:paraId="34CE0A41" w14:textId="77777777" w:rsidR="00F6281C" w:rsidRDefault="00F6281C" w:rsidP="009A5958">
      <w:pPr>
        <w:pStyle w:val="ListParagraph"/>
        <w:jc w:val="both"/>
        <w:rPr>
          <w:lang w:val="en-GB"/>
        </w:rPr>
      </w:pPr>
    </w:p>
    <w:p w14:paraId="7D11ABBA" w14:textId="11A8D1A0" w:rsidR="00436342" w:rsidRPr="009A5958" w:rsidRDefault="004944A6" w:rsidP="009A5958">
      <w:pPr>
        <w:jc w:val="both"/>
        <w:rPr>
          <w:b/>
          <w:lang w:val="en-GB"/>
        </w:rPr>
      </w:pPr>
      <w:r w:rsidRPr="004944A6">
        <w:rPr>
          <w:b/>
          <w:lang w:val="en-GB"/>
        </w:rPr>
        <w:t>THE PLAINTIFF’S CASE</w:t>
      </w:r>
    </w:p>
    <w:p w14:paraId="510C577A" w14:textId="6D6C5A31" w:rsidR="00F145A7" w:rsidRDefault="00F145A7" w:rsidP="009A5958">
      <w:pPr>
        <w:jc w:val="both"/>
        <w:rPr>
          <w:lang w:val="en-GB"/>
        </w:rPr>
      </w:pPr>
    </w:p>
    <w:p w14:paraId="482EED86" w14:textId="137B9C3D" w:rsidR="0030749E" w:rsidRDefault="007F483A" w:rsidP="009A5958">
      <w:pPr>
        <w:jc w:val="both"/>
        <w:rPr>
          <w:lang w:val="en-GB"/>
        </w:rPr>
      </w:pPr>
      <w:r>
        <w:rPr>
          <w:lang w:val="en-GB"/>
        </w:rPr>
        <w:t>[13</w:t>
      </w:r>
      <w:r w:rsidR="004944A6">
        <w:rPr>
          <w:lang w:val="en-GB"/>
        </w:rPr>
        <w:t>]</w:t>
      </w:r>
      <w:r w:rsidR="004944A6">
        <w:rPr>
          <w:lang w:val="en-GB"/>
        </w:rPr>
        <w:tab/>
      </w:r>
      <w:r w:rsidR="00DF3EE4">
        <w:rPr>
          <w:lang w:val="en-GB"/>
        </w:rPr>
        <w:t xml:space="preserve"> The p</w:t>
      </w:r>
      <w:r w:rsidR="00F145A7" w:rsidRPr="004944A6">
        <w:rPr>
          <w:lang w:val="en-GB"/>
        </w:rPr>
        <w:t>laintiff testified that at the time of his arrest</w:t>
      </w:r>
      <w:r w:rsidR="00757664" w:rsidRPr="004944A6">
        <w:rPr>
          <w:lang w:val="en-GB"/>
        </w:rPr>
        <w:t>,</w:t>
      </w:r>
      <w:r w:rsidR="00F145A7" w:rsidRPr="004944A6">
        <w:rPr>
          <w:lang w:val="en-GB"/>
        </w:rPr>
        <w:t xml:space="preserve"> he was a student at FET College in Mthatha. On the day of his arrest, the police officer came </w:t>
      </w:r>
      <w:r w:rsidR="009A01EC">
        <w:rPr>
          <w:lang w:val="en-GB"/>
        </w:rPr>
        <w:t>to school</w:t>
      </w:r>
      <w:r w:rsidR="00F145A7" w:rsidRPr="004944A6">
        <w:rPr>
          <w:lang w:val="en-GB"/>
        </w:rPr>
        <w:t xml:space="preserve">, </w:t>
      </w:r>
      <w:r w:rsidR="004555B9" w:rsidRPr="004944A6">
        <w:rPr>
          <w:lang w:val="en-GB"/>
        </w:rPr>
        <w:t xml:space="preserve">introduced themselves and </w:t>
      </w:r>
      <w:r w:rsidR="4960D8CC" w:rsidRPr="004944A6">
        <w:rPr>
          <w:lang w:val="en-GB"/>
        </w:rPr>
        <w:t xml:space="preserve">publicly </w:t>
      </w:r>
      <w:r w:rsidR="004555B9" w:rsidRPr="004944A6">
        <w:rPr>
          <w:lang w:val="en-GB"/>
        </w:rPr>
        <w:t xml:space="preserve">informed him of </w:t>
      </w:r>
      <w:r w:rsidR="7C905945" w:rsidRPr="004944A6">
        <w:rPr>
          <w:lang w:val="en-GB"/>
        </w:rPr>
        <w:t>the crime he was being arrested for.</w:t>
      </w:r>
    </w:p>
    <w:p w14:paraId="1261F279" w14:textId="77777777" w:rsidR="00A70E2D" w:rsidRDefault="00A70E2D" w:rsidP="009A5958">
      <w:pPr>
        <w:jc w:val="both"/>
        <w:rPr>
          <w:lang w:val="en-GB"/>
        </w:rPr>
      </w:pPr>
    </w:p>
    <w:p w14:paraId="09A2857E" w14:textId="3FB868DF" w:rsidR="00F145A7" w:rsidRPr="004944A6" w:rsidRDefault="007F483A" w:rsidP="009A5958">
      <w:pPr>
        <w:jc w:val="both"/>
        <w:rPr>
          <w:lang w:val="en-GB"/>
        </w:rPr>
      </w:pPr>
      <w:r>
        <w:rPr>
          <w:lang w:val="en-GB"/>
        </w:rPr>
        <w:t>[14</w:t>
      </w:r>
      <w:r w:rsidR="004944A6">
        <w:rPr>
          <w:lang w:val="en-GB"/>
        </w:rPr>
        <w:t>]</w:t>
      </w:r>
      <w:r w:rsidR="004944A6">
        <w:rPr>
          <w:lang w:val="en-GB"/>
        </w:rPr>
        <w:tab/>
      </w:r>
      <w:r w:rsidR="00D87E0C" w:rsidRPr="004944A6">
        <w:rPr>
          <w:lang w:val="en-GB"/>
        </w:rPr>
        <w:t>They arrested</w:t>
      </w:r>
      <w:r w:rsidR="004555B9" w:rsidRPr="004944A6">
        <w:rPr>
          <w:lang w:val="en-GB"/>
        </w:rPr>
        <w:t xml:space="preserve"> and </w:t>
      </w:r>
      <w:r w:rsidR="00C41457" w:rsidRPr="004944A6">
        <w:rPr>
          <w:lang w:val="en-GB"/>
        </w:rPr>
        <w:t>detained him</w:t>
      </w:r>
      <w:r w:rsidR="004555B9" w:rsidRPr="004944A6">
        <w:rPr>
          <w:lang w:val="en-GB"/>
        </w:rPr>
        <w:t xml:space="preserve"> </w:t>
      </w:r>
      <w:r w:rsidR="00F145A7" w:rsidRPr="004944A6">
        <w:rPr>
          <w:lang w:val="en-GB"/>
        </w:rPr>
        <w:t>at Ngqeleni</w:t>
      </w:r>
      <w:r w:rsidR="00D87E0C" w:rsidRPr="004944A6">
        <w:rPr>
          <w:lang w:val="en-GB"/>
        </w:rPr>
        <w:t xml:space="preserve"> Police Station </w:t>
      </w:r>
      <w:r w:rsidR="00F145A7" w:rsidRPr="004944A6">
        <w:rPr>
          <w:lang w:val="en-GB"/>
        </w:rPr>
        <w:t xml:space="preserve">for </w:t>
      </w:r>
      <w:r w:rsidR="004555B9" w:rsidRPr="004944A6">
        <w:rPr>
          <w:lang w:val="en-GB"/>
        </w:rPr>
        <w:t xml:space="preserve">three days, </w:t>
      </w:r>
      <w:r w:rsidR="004F70D7">
        <w:rPr>
          <w:lang w:val="en-GB"/>
        </w:rPr>
        <w:t>later at Libode p</w:t>
      </w:r>
      <w:r w:rsidR="00F145A7" w:rsidRPr="004944A6">
        <w:rPr>
          <w:lang w:val="en-GB"/>
        </w:rPr>
        <w:t xml:space="preserve">olice </w:t>
      </w:r>
      <w:r w:rsidR="004F70D7">
        <w:rPr>
          <w:lang w:val="en-GB"/>
        </w:rPr>
        <w:t>s</w:t>
      </w:r>
      <w:r w:rsidR="00757664" w:rsidRPr="004944A6">
        <w:rPr>
          <w:lang w:val="en-GB"/>
        </w:rPr>
        <w:t xml:space="preserve">tation </w:t>
      </w:r>
      <w:r w:rsidR="00C41457" w:rsidRPr="004944A6">
        <w:rPr>
          <w:lang w:val="en-GB"/>
        </w:rPr>
        <w:t>and further</w:t>
      </w:r>
      <w:r w:rsidR="004555B9" w:rsidRPr="004944A6">
        <w:rPr>
          <w:lang w:val="en-GB"/>
        </w:rPr>
        <w:t xml:space="preserve"> at </w:t>
      </w:r>
      <w:r w:rsidR="004F70D7">
        <w:rPr>
          <w:lang w:val="en-GB"/>
        </w:rPr>
        <w:t>Wellington p</w:t>
      </w:r>
      <w:r w:rsidR="00F145A7" w:rsidRPr="004944A6">
        <w:rPr>
          <w:lang w:val="en-GB"/>
        </w:rPr>
        <w:t xml:space="preserve">rison. After his first appearance in court, he was detained for a period of seven days. He later applied for bail which was denied. He was detained for a period of twelve months. When the </w:t>
      </w:r>
      <w:r w:rsidR="4A346EBA" w:rsidRPr="004944A6">
        <w:rPr>
          <w:lang w:val="en-GB"/>
        </w:rPr>
        <w:t>5-year-old</w:t>
      </w:r>
      <w:r w:rsidR="00F145A7" w:rsidRPr="004944A6">
        <w:rPr>
          <w:lang w:val="en-GB"/>
        </w:rPr>
        <w:t xml:space="preserve"> girl testified in court</w:t>
      </w:r>
      <w:r w:rsidR="003968EE" w:rsidRPr="004944A6">
        <w:rPr>
          <w:lang w:val="en-GB"/>
        </w:rPr>
        <w:t>,</w:t>
      </w:r>
      <w:r w:rsidR="00F145A7" w:rsidRPr="004944A6">
        <w:rPr>
          <w:lang w:val="en-GB"/>
        </w:rPr>
        <w:t xml:space="preserve"> </w:t>
      </w:r>
      <w:r w:rsidR="003968EE" w:rsidRPr="004944A6">
        <w:rPr>
          <w:lang w:val="en-GB"/>
        </w:rPr>
        <w:t>s</w:t>
      </w:r>
      <w:r w:rsidR="00F145A7" w:rsidRPr="004944A6">
        <w:rPr>
          <w:lang w:val="en-GB"/>
        </w:rPr>
        <w:t xml:space="preserve">he implicated </w:t>
      </w:r>
      <w:r w:rsidR="006605A0">
        <w:rPr>
          <w:lang w:val="en-GB"/>
        </w:rPr>
        <w:t>him</w:t>
      </w:r>
      <w:r w:rsidR="00F145A7" w:rsidRPr="004944A6">
        <w:rPr>
          <w:lang w:val="en-GB"/>
        </w:rPr>
        <w:t xml:space="preserve"> and another known </w:t>
      </w:r>
      <w:r w:rsidR="1781083A" w:rsidRPr="004944A6">
        <w:rPr>
          <w:lang w:val="en-GB"/>
        </w:rPr>
        <w:t>5-year-old</w:t>
      </w:r>
      <w:r w:rsidR="00F145A7" w:rsidRPr="004944A6">
        <w:rPr>
          <w:lang w:val="en-GB"/>
        </w:rPr>
        <w:t xml:space="preserve"> boy as</w:t>
      </w:r>
      <w:r w:rsidR="00DF3EE4">
        <w:rPr>
          <w:lang w:val="en-GB"/>
        </w:rPr>
        <w:t xml:space="preserve"> the</w:t>
      </w:r>
      <w:r w:rsidR="00F145A7" w:rsidRPr="004944A6">
        <w:rPr>
          <w:lang w:val="en-GB"/>
        </w:rPr>
        <w:t xml:space="preserve"> perpe</w:t>
      </w:r>
      <w:r w:rsidR="006605A0">
        <w:rPr>
          <w:lang w:val="en-GB"/>
        </w:rPr>
        <w:t>trators. He testified that</w:t>
      </w:r>
      <w:r w:rsidR="00F145A7" w:rsidRPr="004944A6">
        <w:rPr>
          <w:lang w:val="en-GB"/>
        </w:rPr>
        <w:t xml:space="preserve"> during criminal proceedings, the court returned a verdict o</w:t>
      </w:r>
      <w:r w:rsidR="00C41457" w:rsidRPr="004944A6">
        <w:rPr>
          <w:lang w:val="en-GB"/>
        </w:rPr>
        <w:t>f</w:t>
      </w:r>
      <w:r w:rsidR="006605A0">
        <w:rPr>
          <w:lang w:val="en-GB"/>
        </w:rPr>
        <w:t xml:space="preserve"> not guilty and discharged him</w:t>
      </w:r>
      <w:r w:rsidR="00C41457" w:rsidRPr="004944A6">
        <w:rPr>
          <w:lang w:val="en-GB"/>
        </w:rPr>
        <w:t xml:space="preserve"> </w:t>
      </w:r>
      <w:r w:rsidR="00F145A7" w:rsidRPr="004944A6">
        <w:rPr>
          <w:lang w:val="en-GB"/>
        </w:rPr>
        <w:t>accordingly.</w:t>
      </w:r>
    </w:p>
    <w:p w14:paraId="6D98A12B" w14:textId="77777777" w:rsidR="00C4242B" w:rsidRDefault="00C4242B" w:rsidP="009A5958">
      <w:pPr>
        <w:pStyle w:val="ListParagraph"/>
        <w:jc w:val="both"/>
        <w:rPr>
          <w:lang w:val="en-GB"/>
        </w:rPr>
      </w:pPr>
    </w:p>
    <w:p w14:paraId="1A1FAD5A" w14:textId="77777777" w:rsidR="00CF2DAE" w:rsidRDefault="007F483A" w:rsidP="009A5958">
      <w:pPr>
        <w:jc w:val="both"/>
        <w:rPr>
          <w:lang w:val="en-GB"/>
        </w:rPr>
      </w:pPr>
      <w:r>
        <w:rPr>
          <w:lang w:val="en-GB"/>
        </w:rPr>
        <w:t>[15</w:t>
      </w:r>
      <w:r w:rsidR="004944A6">
        <w:rPr>
          <w:lang w:val="en-GB"/>
        </w:rPr>
        <w:t>]</w:t>
      </w:r>
      <w:r w:rsidR="004944A6">
        <w:rPr>
          <w:lang w:val="en-GB"/>
        </w:rPr>
        <w:tab/>
      </w:r>
      <w:r w:rsidR="00DF3EE4">
        <w:rPr>
          <w:lang w:val="en-GB"/>
        </w:rPr>
        <w:t>The p</w:t>
      </w:r>
      <w:r w:rsidR="00F145A7" w:rsidRPr="004944A6">
        <w:rPr>
          <w:lang w:val="en-GB"/>
        </w:rPr>
        <w:t>laintiff further testified</w:t>
      </w:r>
      <w:r w:rsidR="004F70D7">
        <w:rPr>
          <w:lang w:val="en-GB"/>
        </w:rPr>
        <w:t xml:space="preserve"> that the police cells were </w:t>
      </w:r>
      <w:r w:rsidR="004F70D7" w:rsidRPr="004944A6">
        <w:rPr>
          <w:lang w:val="en-GB"/>
        </w:rPr>
        <w:t>filthy</w:t>
      </w:r>
      <w:r w:rsidR="00F145A7" w:rsidRPr="004944A6">
        <w:rPr>
          <w:lang w:val="en-GB"/>
        </w:rPr>
        <w:t xml:space="preserve"> with a capacity of ab</w:t>
      </w:r>
      <w:r w:rsidR="00C4242B" w:rsidRPr="004944A6">
        <w:rPr>
          <w:lang w:val="en-GB"/>
        </w:rPr>
        <w:t>out 10 inmates inside. They were made to wash with cold water and sing the whole night. It was eas</w:t>
      </w:r>
      <w:r w:rsidR="00CD662E" w:rsidRPr="004944A6">
        <w:rPr>
          <w:lang w:val="en-GB"/>
        </w:rPr>
        <w:t xml:space="preserve">y to fight </w:t>
      </w:r>
      <w:r w:rsidR="004944A6">
        <w:rPr>
          <w:lang w:val="en-GB"/>
        </w:rPr>
        <w:t>among</w:t>
      </w:r>
      <w:r w:rsidR="004944A6" w:rsidRPr="004944A6">
        <w:rPr>
          <w:lang w:val="en-GB"/>
        </w:rPr>
        <w:t xml:space="preserve"> </w:t>
      </w:r>
      <w:r w:rsidR="007E234A">
        <w:rPr>
          <w:lang w:val="en-GB"/>
        </w:rPr>
        <w:t xml:space="preserve">the inmates, so he </w:t>
      </w:r>
      <w:r w:rsidR="00113A4C">
        <w:rPr>
          <w:lang w:val="en-GB"/>
        </w:rPr>
        <w:t xml:space="preserve">testified. </w:t>
      </w:r>
    </w:p>
    <w:p w14:paraId="66B3CDCA" w14:textId="77777777" w:rsidR="00CF2DAE" w:rsidRDefault="00CF2DAE" w:rsidP="009A5958">
      <w:pPr>
        <w:jc w:val="both"/>
        <w:rPr>
          <w:lang w:val="en-GB"/>
        </w:rPr>
      </w:pPr>
    </w:p>
    <w:p w14:paraId="765D0A69" w14:textId="3183F1F8" w:rsidR="00C4242B" w:rsidRPr="004944A6" w:rsidRDefault="00CF2DAE" w:rsidP="009A5958">
      <w:pPr>
        <w:jc w:val="both"/>
        <w:rPr>
          <w:lang w:val="en-GB"/>
        </w:rPr>
      </w:pPr>
      <w:r>
        <w:rPr>
          <w:lang w:val="en-GB"/>
        </w:rPr>
        <w:t xml:space="preserve">[16]    </w:t>
      </w:r>
      <w:r w:rsidR="00113A4C">
        <w:rPr>
          <w:lang w:val="en-GB"/>
        </w:rPr>
        <w:t xml:space="preserve">In cross-examination </w:t>
      </w:r>
      <w:r>
        <w:rPr>
          <w:lang w:val="en-GB"/>
        </w:rPr>
        <w:t>t</w:t>
      </w:r>
      <w:r w:rsidR="00113A4C">
        <w:rPr>
          <w:lang w:val="en-GB"/>
        </w:rPr>
        <w:t>he plaintiff</w:t>
      </w:r>
      <w:r>
        <w:rPr>
          <w:lang w:val="en-GB"/>
        </w:rPr>
        <w:t xml:space="preserve"> testified that on the day of the incident he had paid a visit at Nqadu area. He</w:t>
      </w:r>
      <w:r w:rsidR="00113A4C">
        <w:rPr>
          <w:lang w:val="en-GB"/>
        </w:rPr>
        <w:t xml:space="preserve"> admitted that the child is his neighb</w:t>
      </w:r>
      <w:r w:rsidR="00536E3D">
        <w:rPr>
          <w:lang w:val="en-GB"/>
        </w:rPr>
        <w:t>our and would normally come to his home to play with others.</w:t>
      </w:r>
      <w:r w:rsidR="00113A4C">
        <w:rPr>
          <w:lang w:val="en-GB"/>
        </w:rPr>
        <w:t xml:space="preserve"> </w:t>
      </w:r>
      <w:r w:rsidR="00536E3D">
        <w:rPr>
          <w:lang w:val="en-GB"/>
        </w:rPr>
        <w:t xml:space="preserve">The plaintiff further confirmed that he made a statement to the police and informed them that on the day of the incident he saw the child fetching water at his home. </w:t>
      </w:r>
      <w:r w:rsidR="00113A4C">
        <w:rPr>
          <w:lang w:val="en-GB"/>
        </w:rPr>
        <w:t>It was further</w:t>
      </w:r>
      <w:r w:rsidR="003C3529">
        <w:rPr>
          <w:lang w:val="en-GB"/>
        </w:rPr>
        <w:t xml:space="preserve"> put to him that the arrest and subsequent detention were justified.</w:t>
      </w:r>
    </w:p>
    <w:p w14:paraId="2946DB82" w14:textId="77777777" w:rsidR="0030749E" w:rsidRPr="0030749E" w:rsidRDefault="0030749E" w:rsidP="009A5958">
      <w:pPr>
        <w:pStyle w:val="ListParagraph"/>
        <w:jc w:val="both"/>
        <w:rPr>
          <w:lang w:val="en-GB"/>
        </w:rPr>
      </w:pPr>
    </w:p>
    <w:p w14:paraId="6A061280" w14:textId="3B875015" w:rsidR="0030749E" w:rsidRPr="009A5958" w:rsidRDefault="004944A6" w:rsidP="009A5958">
      <w:pPr>
        <w:jc w:val="both"/>
        <w:rPr>
          <w:b/>
          <w:lang w:val="en-GB"/>
        </w:rPr>
      </w:pPr>
      <w:r w:rsidRPr="004944A6">
        <w:rPr>
          <w:b/>
          <w:lang w:val="en-GB"/>
        </w:rPr>
        <w:t>ISSUES</w:t>
      </w:r>
      <w:r w:rsidR="0030749E" w:rsidRPr="009A5958">
        <w:rPr>
          <w:b/>
          <w:lang w:val="en-GB"/>
        </w:rPr>
        <w:t xml:space="preserve"> </w:t>
      </w:r>
    </w:p>
    <w:p w14:paraId="5997CC1D" w14:textId="77777777" w:rsidR="006378F1" w:rsidRDefault="006378F1" w:rsidP="009A5958">
      <w:pPr>
        <w:pStyle w:val="ListParagraph"/>
        <w:jc w:val="both"/>
        <w:rPr>
          <w:lang w:val="en-GB"/>
        </w:rPr>
      </w:pPr>
    </w:p>
    <w:p w14:paraId="6D48BB74" w14:textId="025C5067" w:rsidR="00B5075D" w:rsidRPr="004944A6" w:rsidRDefault="00CF2DAE" w:rsidP="009A5958">
      <w:pPr>
        <w:jc w:val="both"/>
        <w:rPr>
          <w:lang w:val="en-GB"/>
        </w:rPr>
      </w:pPr>
      <w:r>
        <w:rPr>
          <w:lang w:val="en-GB"/>
        </w:rPr>
        <w:t>[17</w:t>
      </w:r>
      <w:r w:rsidR="004944A6">
        <w:rPr>
          <w:lang w:val="en-GB"/>
        </w:rPr>
        <w:t>]</w:t>
      </w:r>
      <w:r w:rsidR="004944A6">
        <w:rPr>
          <w:lang w:val="en-GB"/>
        </w:rPr>
        <w:tab/>
      </w:r>
      <w:r w:rsidR="00B5075D" w:rsidRPr="004944A6">
        <w:rPr>
          <w:lang w:val="en-GB"/>
        </w:rPr>
        <w:t>The is</w:t>
      </w:r>
      <w:r w:rsidR="00DF3EE4">
        <w:rPr>
          <w:lang w:val="en-GB"/>
        </w:rPr>
        <w:t>sues up for debate are whether p</w:t>
      </w:r>
      <w:r w:rsidR="00B5075D" w:rsidRPr="004944A6">
        <w:rPr>
          <w:lang w:val="en-GB"/>
        </w:rPr>
        <w:t>laintiff’s arrest and subsequent det</w:t>
      </w:r>
      <w:r w:rsidR="006378F1" w:rsidRPr="004944A6">
        <w:rPr>
          <w:lang w:val="en-GB"/>
        </w:rPr>
        <w:t>enti</w:t>
      </w:r>
      <w:r w:rsidR="00BB16AE" w:rsidRPr="004944A6">
        <w:rPr>
          <w:lang w:val="en-GB"/>
        </w:rPr>
        <w:t>on were justified and</w:t>
      </w:r>
      <w:r w:rsidR="006E644F">
        <w:rPr>
          <w:lang w:val="en-GB"/>
        </w:rPr>
        <w:t xml:space="preserve"> whether the less inv</w:t>
      </w:r>
      <w:r w:rsidR="00B5075D" w:rsidRPr="004944A6">
        <w:rPr>
          <w:lang w:val="en-GB"/>
        </w:rPr>
        <w:t>asive methods of arrest were not necessary in the circumstances</w:t>
      </w:r>
      <w:r w:rsidR="00BB16AE" w:rsidRPr="004944A6">
        <w:rPr>
          <w:lang w:val="en-GB"/>
        </w:rPr>
        <w:t>.</w:t>
      </w:r>
    </w:p>
    <w:p w14:paraId="110FFD37" w14:textId="77777777" w:rsidR="009A3FF9" w:rsidRDefault="009A3FF9" w:rsidP="009A5958">
      <w:pPr>
        <w:pStyle w:val="ListParagraph"/>
        <w:jc w:val="both"/>
        <w:rPr>
          <w:lang w:val="en-GB"/>
        </w:rPr>
      </w:pPr>
    </w:p>
    <w:p w14:paraId="32F3932B" w14:textId="46DA7465" w:rsidR="00F6281C" w:rsidRPr="009A5958" w:rsidRDefault="004944A6" w:rsidP="009A5958">
      <w:pPr>
        <w:jc w:val="both"/>
        <w:rPr>
          <w:b/>
          <w:lang w:val="en-GB"/>
        </w:rPr>
      </w:pPr>
      <w:r w:rsidRPr="004944A6">
        <w:rPr>
          <w:b/>
          <w:lang w:val="en-GB"/>
        </w:rPr>
        <w:t xml:space="preserve">THE LAW </w:t>
      </w:r>
    </w:p>
    <w:p w14:paraId="6B699379" w14:textId="77777777" w:rsidR="00A448EA" w:rsidRDefault="00A448EA" w:rsidP="009A5958">
      <w:pPr>
        <w:pStyle w:val="ListParagraph"/>
        <w:jc w:val="both"/>
        <w:rPr>
          <w:i/>
          <w:u w:val="single"/>
          <w:lang w:val="en-GB"/>
        </w:rPr>
      </w:pPr>
    </w:p>
    <w:p w14:paraId="73E9E283" w14:textId="4634765F" w:rsidR="00D46EF3" w:rsidRDefault="00CF2DAE" w:rsidP="009A5958">
      <w:pPr>
        <w:jc w:val="both"/>
      </w:pPr>
      <w:r>
        <w:t>[18</w:t>
      </w:r>
      <w:r w:rsidR="004944A6">
        <w:t>]</w:t>
      </w:r>
      <w:r w:rsidR="004944A6">
        <w:tab/>
      </w:r>
      <w:r w:rsidR="00A448EA">
        <w:t xml:space="preserve">Section 12 of the </w:t>
      </w:r>
      <w:r w:rsidR="00F62745">
        <w:t>C</w:t>
      </w:r>
      <w:r w:rsidR="00A448EA" w:rsidRPr="004A30A7">
        <w:t xml:space="preserve">onstitution of the Republic of South </w:t>
      </w:r>
      <w:r w:rsidR="00B233B8" w:rsidRPr="004A30A7">
        <w:t>Africa</w:t>
      </w:r>
      <w:r w:rsidR="00B233B8">
        <w:t xml:space="preserve"> (the Constitution)</w:t>
      </w:r>
      <w:r w:rsidR="00F62745">
        <w:rPr>
          <w:rStyle w:val="FootnoteReference"/>
        </w:rPr>
        <w:footnoteReference w:id="1"/>
      </w:r>
      <w:r w:rsidR="00A448EA">
        <w:t xml:space="preserve"> guarantees</w:t>
      </w:r>
      <w:r w:rsidR="00F62745">
        <w:t xml:space="preserve"> </w:t>
      </w:r>
      <w:r w:rsidR="006A281D">
        <w:t xml:space="preserve">the </w:t>
      </w:r>
      <w:r w:rsidR="00F62745">
        <w:t>freedom and security of a</w:t>
      </w:r>
      <w:r w:rsidR="00A448EA">
        <w:t xml:space="preserve"> person. T</w:t>
      </w:r>
      <w:r w:rsidR="00F62745">
        <w:t>he</w:t>
      </w:r>
      <w:r w:rsidR="00A448EA">
        <w:t xml:space="preserve"> section </w:t>
      </w:r>
      <w:r w:rsidR="00F62745">
        <w:t xml:space="preserve">pledges </w:t>
      </w:r>
      <w:r w:rsidR="00F62745" w:rsidRPr="004944A6">
        <w:rPr>
          <w:i/>
          <w:iCs/>
        </w:rPr>
        <w:t>inter alia</w:t>
      </w:r>
      <w:r w:rsidR="00F62745">
        <w:t xml:space="preserve"> the right not to be deprived of freedom arbitrarily without a just cause.</w:t>
      </w:r>
      <w:r w:rsidR="00B92ACE">
        <w:t xml:space="preserve"> The onus rests upon the arrestor to prove that the arrest was objectively lawful.</w:t>
      </w:r>
      <w:r w:rsidR="00B92ACE">
        <w:rPr>
          <w:rStyle w:val="FootnoteReference"/>
        </w:rPr>
        <w:footnoteReference w:id="2"/>
      </w:r>
      <w:r w:rsidR="00B92ACE">
        <w:t xml:space="preserve"> </w:t>
      </w:r>
    </w:p>
    <w:p w14:paraId="3FE9F23F" w14:textId="77777777" w:rsidR="00D46EF3" w:rsidRDefault="00D46EF3" w:rsidP="00EB1C99">
      <w:pPr>
        <w:ind w:left="360"/>
        <w:jc w:val="both"/>
      </w:pPr>
    </w:p>
    <w:p w14:paraId="0333041F" w14:textId="4757023E" w:rsidR="0049286B" w:rsidRDefault="00CF2DAE" w:rsidP="009A5958">
      <w:pPr>
        <w:jc w:val="both"/>
      </w:pPr>
      <w:r>
        <w:t>[19</w:t>
      </w:r>
      <w:r w:rsidR="004944A6">
        <w:t>]</w:t>
      </w:r>
      <w:r w:rsidR="004944A6">
        <w:tab/>
      </w:r>
      <w:r w:rsidR="00BB16AE">
        <w:t>It is common cause that</w:t>
      </w:r>
      <w:r w:rsidR="003B5C2F">
        <w:t xml:space="preserve"> the p</w:t>
      </w:r>
      <w:r w:rsidR="00BB16AE">
        <w:t>laintiff was arrested without a warrant</w:t>
      </w:r>
      <w:r w:rsidR="00A82AD9">
        <w:t xml:space="preserve"> of arrest</w:t>
      </w:r>
      <w:r w:rsidR="00BB16AE">
        <w:t>.</w:t>
      </w:r>
      <w:r w:rsidR="00B92ACE">
        <w:t xml:space="preserve"> </w:t>
      </w:r>
      <w:r w:rsidR="00D34BFD">
        <w:t xml:space="preserve">Section 40(1) (b) of the </w:t>
      </w:r>
      <w:r w:rsidR="00DF3EE4">
        <w:t>Criminal Procedure Act (</w:t>
      </w:r>
      <w:r w:rsidR="00D34BFD">
        <w:t>CPA</w:t>
      </w:r>
      <w:r w:rsidR="00C139B4">
        <w:t>)</w:t>
      </w:r>
      <w:r w:rsidR="009A01EC">
        <w:rPr>
          <w:rStyle w:val="FootnoteReference"/>
        </w:rPr>
        <w:footnoteReference w:id="3"/>
      </w:r>
      <w:r w:rsidR="00D34BFD">
        <w:t xml:space="preserve"> prescribes arrest without a warrant as is relevant in this case. </w:t>
      </w:r>
      <w:r w:rsidR="003B5C2F">
        <w:t>The Section</w:t>
      </w:r>
      <w:r w:rsidR="0757D581">
        <w:t xml:space="preserve"> reads</w:t>
      </w:r>
      <w:r w:rsidR="0049286B">
        <w:t>,</w:t>
      </w:r>
    </w:p>
    <w:p w14:paraId="1F72F646" w14:textId="77777777" w:rsidR="00B92ACE" w:rsidRDefault="00B92ACE" w:rsidP="009A5958">
      <w:pPr>
        <w:pStyle w:val="ListParagraph"/>
        <w:jc w:val="both"/>
      </w:pPr>
    </w:p>
    <w:p w14:paraId="411E9875" w14:textId="7BF74B1B" w:rsidR="0049286B" w:rsidRPr="009A5958" w:rsidRDefault="0049286B" w:rsidP="00EB1C99">
      <w:pPr>
        <w:pStyle w:val="ListParagraph"/>
        <w:jc w:val="both"/>
        <w:rPr>
          <w:sz w:val="20"/>
          <w:szCs w:val="20"/>
        </w:rPr>
      </w:pPr>
      <w:r w:rsidRPr="009A5958">
        <w:rPr>
          <w:sz w:val="20"/>
          <w:szCs w:val="20"/>
        </w:rPr>
        <w:t>‘’A peace officer may</w:t>
      </w:r>
      <w:r w:rsidR="007E34B1" w:rsidRPr="009A5958">
        <w:rPr>
          <w:sz w:val="20"/>
          <w:szCs w:val="20"/>
        </w:rPr>
        <w:t xml:space="preserve">, </w:t>
      </w:r>
      <w:r w:rsidRPr="009A5958">
        <w:rPr>
          <w:sz w:val="20"/>
          <w:szCs w:val="20"/>
        </w:rPr>
        <w:t xml:space="preserve">without a warrant, arrest any person whom he reasonably suspects of having committed an offence referred to in Schedule 1, other than the offence of escaping from </w:t>
      </w:r>
      <w:r w:rsidR="00757664" w:rsidRPr="009A5958">
        <w:rPr>
          <w:sz w:val="20"/>
          <w:szCs w:val="20"/>
        </w:rPr>
        <w:t>custody’’.</w:t>
      </w:r>
    </w:p>
    <w:p w14:paraId="08CE6F91" w14:textId="77777777" w:rsidR="00237B86" w:rsidRDefault="00237B86" w:rsidP="00EB1C99">
      <w:pPr>
        <w:pStyle w:val="ListParagraph"/>
        <w:ind w:left="2100"/>
        <w:jc w:val="both"/>
      </w:pPr>
    </w:p>
    <w:p w14:paraId="6B5EF852" w14:textId="62D4491F" w:rsidR="00A82AD9" w:rsidRDefault="00CF2DAE" w:rsidP="00EB1C99">
      <w:pPr>
        <w:jc w:val="both"/>
      </w:pPr>
      <w:r>
        <w:t>[20</w:t>
      </w:r>
      <w:r w:rsidR="004944A6">
        <w:t>]</w:t>
      </w:r>
      <w:r w:rsidR="004944A6">
        <w:tab/>
      </w:r>
      <w:r w:rsidR="006A281D">
        <w:t>To</w:t>
      </w:r>
      <w:r w:rsidR="00A82AD9">
        <w:t xml:space="preserve"> prove that the arrest </w:t>
      </w:r>
      <w:r w:rsidR="003F34B8">
        <w:t>was lawful, it must be satisfied</w:t>
      </w:r>
      <w:r w:rsidR="00A82AD9">
        <w:t xml:space="preserve"> that:</w:t>
      </w:r>
    </w:p>
    <w:p w14:paraId="34C1637B" w14:textId="77777777" w:rsidR="004944A6" w:rsidRDefault="004944A6" w:rsidP="009A5958">
      <w:pPr>
        <w:jc w:val="both"/>
      </w:pPr>
    </w:p>
    <w:p w14:paraId="6D117898" w14:textId="44FE97F8" w:rsidR="00A82AD9" w:rsidRDefault="006A281D" w:rsidP="00EB1C99">
      <w:pPr>
        <w:pStyle w:val="ListParagraph"/>
        <w:numPr>
          <w:ilvl w:val="0"/>
          <w:numId w:val="28"/>
        </w:numPr>
        <w:jc w:val="both"/>
      </w:pPr>
      <w:r>
        <w:t xml:space="preserve">The </w:t>
      </w:r>
      <w:r w:rsidR="00A82AD9">
        <w:t>arresting officer was a peace officer;</w:t>
      </w:r>
    </w:p>
    <w:p w14:paraId="20AF1ABF" w14:textId="77777777" w:rsidR="00A82AD9" w:rsidRDefault="00A82AD9" w:rsidP="00EB1C99">
      <w:pPr>
        <w:pStyle w:val="ListParagraph"/>
        <w:numPr>
          <w:ilvl w:val="0"/>
          <w:numId w:val="28"/>
        </w:numPr>
        <w:jc w:val="both"/>
      </w:pPr>
      <w:r>
        <w:t xml:space="preserve"> the arresting officer entertained a suspicion;</w:t>
      </w:r>
    </w:p>
    <w:p w14:paraId="26D53880" w14:textId="493ADFAE" w:rsidR="00A82AD9" w:rsidRDefault="00A82AD9" w:rsidP="00EB1C99">
      <w:pPr>
        <w:pStyle w:val="ListParagraph"/>
        <w:numPr>
          <w:ilvl w:val="0"/>
          <w:numId w:val="28"/>
        </w:numPr>
        <w:jc w:val="both"/>
      </w:pPr>
      <w:r>
        <w:t xml:space="preserve"> the suspect to be arrested committed an offence referred to in Schedule 1;</w:t>
      </w:r>
      <w:r w:rsidR="007E34B1">
        <w:t xml:space="preserve"> and that </w:t>
      </w:r>
    </w:p>
    <w:p w14:paraId="722B39E3" w14:textId="351E9220" w:rsidR="00A82AD9" w:rsidRDefault="00A82AD9" w:rsidP="00EB1C99">
      <w:pPr>
        <w:pStyle w:val="ListParagraph"/>
        <w:numPr>
          <w:ilvl w:val="0"/>
          <w:numId w:val="28"/>
        </w:numPr>
        <w:jc w:val="both"/>
      </w:pPr>
      <w:r>
        <w:t xml:space="preserve">the suspicion rested on reasonable </w:t>
      </w:r>
      <w:r w:rsidR="004944A6">
        <w:t>grounds.</w:t>
      </w:r>
    </w:p>
    <w:p w14:paraId="61CDCEAD" w14:textId="77777777" w:rsidR="00724392" w:rsidRDefault="00724392" w:rsidP="00EB1C99">
      <w:pPr>
        <w:pStyle w:val="ListParagraph"/>
        <w:ind w:left="1080"/>
        <w:jc w:val="both"/>
      </w:pPr>
    </w:p>
    <w:p w14:paraId="09F155A0" w14:textId="02982A6D" w:rsidR="005C26C4" w:rsidRDefault="00CF2DAE" w:rsidP="00A96C83">
      <w:pPr>
        <w:pStyle w:val="ListParagraph"/>
        <w:ind w:left="0"/>
        <w:jc w:val="both"/>
        <w:rPr>
          <w:color w:val="111111"/>
        </w:rPr>
      </w:pPr>
      <w:r>
        <w:t>[21</w:t>
      </w:r>
      <w:r w:rsidR="004944A6">
        <w:t>]</w:t>
      </w:r>
      <w:r w:rsidR="004944A6">
        <w:tab/>
      </w:r>
      <w:r w:rsidR="00724392">
        <w:t xml:space="preserve">The ruling in </w:t>
      </w:r>
      <w:r w:rsidR="00724392" w:rsidRPr="009A5958">
        <w:rPr>
          <w:i/>
          <w:iCs/>
        </w:rPr>
        <w:t>Mabona</w:t>
      </w:r>
      <w:r w:rsidR="00724392">
        <w:rPr>
          <w:rStyle w:val="FootnoteReference"/>
        </w:rPr>
        <w:footnoteReference w:id="4"/>
      </w:r>
      <w:r w:rsidR="00724392">
        <w:t xml:space="preserve"> demonstrates how a reasonable suspicion is formed. </w:t>
      </w:r>
      <w:r w:rsidR="00724392" w:rsidRPr="009A5958">
        <w:rPr>
          <w:color w:val="111111"/>
        </w:rPr>
        <w:t xml:space="preserve">Jones J explained what the concept of reasonable suspicion entailed. First, he held, the test is an objective one involving an enquiry into whether a reasonable person in the arrestor’s position and having the same information would have considered that there were ‘good and sufficient </w:t>
      </w:r>
      <w:r w:rsidR="006A281D">
        <w:rPr>
          <w:color w:val="111111"/>
        </w:rPr>
        <w:t>grounds</w:t>
      </w:r>
      <w:r w:rsidR="006A281D" w:rsidRPr="009A5958">
        <w:rPr>
          <w:color w:val="111111"/>
        </w:rPr>
        <w:t xml:space="preserve"> </w:t>
      </w:r>
      <w:r w:rsidR="00724392" w:rsidRPr="009A5958">
        <w:rPr>
          <w:color w:val="111111"/>
        </w:rPr>
        <w:t>for suspecting that the arrestee had committed a Schedule 1 offence. Secondly, the arrestor is required to analyse and assess the quality of the information critically and not accept it without checking it where it can be checked. Thirdly, while the section requires ‘suspicion but not certainty’, that suspicion must be based ‘upon solid grounds’ because if it is not, it is ‘flighty or arbitrary, and not a reasonable suspicion’.</w:t>
      </w:r>
      <w:r w:rsidR="005C26C4" w:rsidRPr="005C26C4">
        <w:rPr>
          <w:color w:val="111111"/>
        </w:rPr>
        <w:t xml:space="preserve"> </w:t>
      </w:r>
    </w:p>
    <w:p w14:paraId="0A6E852A" w14:textId="77777777" w:rsidR="005C26C4" w:rsidRDefault="005C26C4" w:rsidP="005C26C4">
      <w:pPr>
        <w:pStyle w:val="ListParagraph"/>
        <w:jc w:val="both"/>
        <w:rPr>
          <w:color w:val="111111"/>
        </w:rPr>
      </w:pPr>
    </w:p>
    <w:p w14:paraId="4CF74BE9" w14:textId="7C11EF60" w:rsidR="005C26C4" w:rsidRDefault="00CF2DAE" w:rsidP="005C26C4">
      <w:pPr>
        <w:jc w:val="both"/>
      </w:pPr>
      <w:r>
        <w:t>[22</w:t>
      </w:r>
      <w:r w:rsidR="005C26C4">
        <w:t>]</w:t>
      </w:r>
      <w:r w:rsidR="005C26C4">
        <w:tab/>
        <w:t xml:space="preserve">It is trite that if the jurisdictional facts are satisfied, the peace officer may invoke the power conferred upon him and arrest the suspect, but he has discretion as whether to exercise that power. In </w:t>
      </w:r>
      <w:r w:rsidR="005C26C4" w:rsidRPr="009A5958">
        <w:rPr>
          <w:i/>
          <w:iCs/>
        </w:rPr>
        <w:t>Holgate- Mohammed v Duke</w:t>
      </w:r>
      <w:r w:rsidR="005C26C4">
        <w:rPr>
          <w:rStyle w:val="FootnoteReference"/>
        </w:rPr>
        <w:footnoteReference w:id="5"/>
      </w:r>
      <w:r w:rsidR="005C26C4">
        <w:t>, it was stated that the exercise of discretion will be unlawful if the arrestor knowingly invokes the power to arrest for a purpose not contemplated by the legislator.</w:t>
      </w:r>
      <w:r w:rsidR="005C26C4" w:rsidRPr="00724392">
        <w:t xml:space="preserve"> </w:t>
      </w:r>
    </w:p>
    <w:p w14:paraId="46281790" w14:textId="77777777" w:rsidR="005C26C4" w:rsidRDefault="005C26C4" w:rsidP="005C26C4">
      <w:pPr>
        <w:pStyle w:val="ListParagraph"/>
        <w:jc w:val="both"/>
      </w:pPr>
    </w:p>
    <w:p w14:paraId="0B1CDB10" w14:textId="3FEDBB6A" w:rsidR="005C26C4" w:rsidRPr="009A5958" w:rsidRDefault="00CF2DAE" w:rsidP="005C26C4">
      <w:pPr>
        <w:jc w:val="both"/>
        <w:rPr>
          <w:color w:val="111111"/>
        </w:rPr>
      </w:pPr>
      <w:r>
        <w:rPr>
          <w:color w:val="111111"/>
        </w:rPr>
        <w:t>[23</w:t>
      </w:r>
      <w:r w:rsidR="005C26C4">
        <w:rPr>
          <w:color w:val="111111"/>
        </w:rPr>
        <w:t>]</w:t>
      </w:r>
      <w:r w:rsidR="005C26C4">
        <w:rPr>
          <w:color w:val="111111"/>
        </w:rPr>
        <w:tab/>
        <w:t>T</w:t>
      </w:r>
      <w:r w:rsidR="005C26C4" w:rsidRPr="009A5958">
        <w:rPr>
          <w:color w:val="111111"/>
        </w:rPr>
        <w:t xml:space="preserve">he </w:t>
      </w:r>
      <w:r w:rsidR="005C26C4" w:rsidRPr="009A5958">
        <w:rPr>
          <w:i/>
          <w:iCs/>
          <w:color w:val="111111"/>
        </w:rPr>
        <w:t>Sekhoto</w:t>
      </w:r>
      <w:r w:rsidR="005C26C4">
        <w:rPr>
          <w:rStyle w:val="FootnoteReference"/>
          <w:color w:val="111111"/>
        </w:rPr>
        <w:footnoteReference w:id="6"/>
      </w:r>
      <w:r w:rsidR="005C26C4" w:rsidRPr="009A5958">
        <w:rPr>
          <w:color w:val="111111"/>
        </w:rPr>
        <w:t xml:space="preserve"> matter ruled that once jurisdictional facts are present the discretion </w:t>
      </w:r>
      <w:r w:rsidR="005C26C4">
        <w:rPr>
          <w:color w:val="111111"/>
        </w:rPr>
        <w:t xml:space="preserve">of </w:t>
      </w:r>
      <w:r w:rsidR="005C26C4" w:rsidRPr="009A5958">
        <w:rPr>
          <w:color w:val="111111"/>
        </w:rPr>
        <w:t>whether to arrest arises. Harms DP set some limits of the reasonable suspicion discretion.</w:t>
      </w:r>
    </w:p>
    <w:p w14:paraId="51F8109B" w14:textId="77777777" w:rsidR="00BF798D" w:rsidRDefault="00BF798D" w:rsidP="005C26C4">
      <w:pPr>
        <w:pStyle w:val="ListParagraph"/>
        <w:jc w:val="both"/>
        <w:rPr>
          <w:color w:val="111111"/>
          <w:sz w:val="20"/>
          <w:szCs w:val="20"/>
        </w:rPr>
      </w:pPr>
    </w:p>
    <w:p w14:paraId="1AC6235E" w14:textId="77777777" w:rsidR="005C26C4" w:rsidRPr="009A5958" w:rsidRDefault="005C26C4" w:rsidP="005C26C4">
      <w:pPr>
        <w:pStyle w:val="ListParagraph"/>
        <w:jc w:val="both"/>
        <w:rPr>
          <w:color w:val="111111"/>
          <w:sz w:val="20"/>
          <w:szCs w:val="20"/>
        </w:rPr>
      </w:pPr>
      <w:r w:rsidRPr="009A5958">
        <w:rPr>
          <w:color w:val="111111"/>
          <w:sz w:val="20"/>
          <w:szCs w:val="20"/>
        </w:rPr>
        <w:t xml:space="preserve">“At para 42-44: </w:t>
      </w:r>
    </w:p>
    <w:p w14:paraId="3E4781D3" w14:textId="77777777" w:rsidR="005C26C4" w:rsidRDefault="005C26C4" w:rsidP="005C26C4">
      <w:pPr>
        <w:pStyle w:val="ListParagraph"/>
        <w:numPr>
          <w:ilvl w:val="0"/>
          <w:numId w:val="1"/>
        </w:numPr>
        <w:jc w:val="both"/>
        <w:rPr>
          <w:color w:val="111111"/>
          <w:sz w:val="20"/>
          <w:szCs w:val="20"/>
        </w:rPr>
      </w:pPr>
      <w:r w:rsidRPr="009A5958">
        <w:rPr>
          <w:color w:val="111111"/>
          <w:sz w:val="20"/>
          <w:szCs w:val="20"/>
        </w:rPr>
        <w:t xml:space="preserve">Peace officers are entitled to exercise this discretion as they see fit, provided they stayed within the bounds of </w:t>
      </w:r>
      <w:r w:rsidRPr="00456043">
        <w:rPr>
          <w:color w:val="111111"/>
          <w:sz w:val="20"/>
          <w:szCs w:val="20"/>
        </w:rPr>
        <w:t>rationality.</w:t>
      </w:r>
    </w:p>
    <w:p w14:paraId="584C49BA" w14:textId="77777777" w:rsidR="005C26C4" w:rsidRDefault="005C26C4" w:rsidP="005C26C4">
      <w:pPr>
        <w:pStyle w:val="ListParagraph"/>
        <w:numPr>
          <w:ilvl w:val="0"/>
          <w:numId w:val="1"/>
        </w:numPr>
        <w:jc w:val="both"/>
        <w:rPr>
          <w:color w:val="111111"/>
          <w:sz w:val="20"/>
          <w:szCs w:val="20"/>
        </w:rPr>
      </w:pPr>
      <w:r w:rsidRPr="009A5958">
        <w:rPr>
          <w:color w:val="111111"/>
          <w:sz w:val="20"/>
          <w:szCs w:val="20"/>
        </w:rPr>
        <w:lastRenderedPageBreak/>
        <w:t>This standard is not breached because an officer exercised the discretion in a manner other than that deemed optimal by the court.</w:t>
      </w:r>
    </w:p>
    <w:p w14:paraId="01B548C1" w14:textId="77777777" w:rsidR="005C26C4" w:rsidRPr="00242960" w:rsidRDefault="005C26C4" w:rsidP="005C26C4">
      <w:pPr>
        <w:pStyle w:val="ListParagraph"/>
        <w:numPr>
          <w:ilvl w:val="0"/>
          <w:numId w:val="1"/>
        </w:numPr>
        <w:jc w:val="both"/>
        <w:rPr>
          <w:rFonts w:eastAsia="Calibri"/>
          <w:sz w:val="20"/>
          <w:szCs w:val="20"/>
        </w:rPr>
      </w:pPr>
      <w:r w:rsidRPr="009A5958">
        <w:rPr>
          <w:color w:val="111111"/>
          <w:sz w:val="20"/>
          <w:szCs w:val="20"/>
        </w:rPr>
        <w:t>The standard is not perfection, or even the optimum judged from the vantage of hindsight, and, as long as the choice made fell within the range of rationality, the standard is not breached.</w:t>
      </w:r>
    </w:p>
    <w:p w14:paraId="22B4C1F9" w14:textId="77777777" w:rsidR="005C26C4" w:rsidRDefault="005C26C4" w:rsidP="005C26C4">
      <w:pPr>
        <w:pStyle w:val="ListParagraph"/>
        <w:numPr>
          <w:ilvl w:val="0"/>
          <w:numId w:val="1"/>
        </w:numPr>
        <w:jc w:val="both"/>
        <w:rPr>
          <w:color w:val="111111"/>
          <w:sz w:val="20"/>
          <w:szCs w:val="20"/>
        </w:rPr>
      </w:pPr>
      <w:r w:rsidRPr="009A5958">
        <w:rPr>
          <w:color w:val="111111"/>
          <w:sz w:val="20"/>
          <w:szCs w:val="20"/>
        </w:rPr>
        <w:t xml:space="preserve">It is clear that the power to arrest is to be exercised only for </w:t>
      </w:r>
      <w:r>
        <w:rPr>
          <w:color w:val="111111"/>
          <w:sz w:val="20"/>
          <w:szCs w:val="20"/>
        </w:rPr>
        <w:t>purpose</w:t>
      </w:r>
      <w:r w:rsidRPr="009A5958">
        <w:rPr>
          <w:color w:val="111111"/>
          <w:sz w:val="20"/>
          <w:szCs w:val="20"/>
        </w:rPr>
        <w:t xml:space="preserve"> of bringing the suspect to justice; however, arrest is but one step in that process.</w:t>
      </w:r>
    </w:p>
    <w:p w14:paraId="0B82273C" w14:textId="77777777" w:rsidR="005C26C4" w:rsidRPr="00242960" w:rsidRDefault="005C26C4" w:rsidP="005C26C4">
      <w:pPr>
        <w:pStyle w:val="ListParagraph"/>
        <w:numPr>
          <w:ilvl w:val="0"/>
          <w:numId w:val="1"/>
        </w:numPr>
        <w:jc w:val="both"/>
        <w:rPr>
          <w:rFonts w:eastAsia="Calibri"/>
          <w:sz w:val="20"/>
          <w:szCs w:val="20"/>
        </w:rPr>
      </w:pPr>
      <w:r w:rsidRPr="009A5958">
        <w:rPr>
          <w:color w:val="111111"/>
          <w:sz w:val="20"/>
          <w:szCs w:val="20"/>
        </w:rPr>
        <w:t>The arrestee is to be brought to court as soon as reasonably possible, and the authority to detain the suspect further is then within the discretion of the court.</w:t>
      </w:r>
    </w:p>
    <w:p w14:paraId="1B27CEA3" w14:textId="77777777" w:rsidR="005C26C4" w:rsidRDefault="005C26C4" w:rsidP="005C26C4">
      <w:pPr>
        <w:pStyle w:val="ListParagraph"/>
        <w:numPr>
          <w:ilvl w:val="0"/>
          <w:numId w:val="1"/>
        </w:numPr>
        <w:jc w:val="both"/>
        <w:rPr>
          <w:color w:val="111111"/>
          <w:sz w:val="20"/>
          <w:szCs w:val="20"/>
        </w:rPr>
      </w:pPr>
      <w:r w:rsidRPr="009A5958">
        <w:rPr>
          <w:color w:val="111111"/>
          <w:sz w:val="20"/>
          <w:szCs w:val="20"/>
        </w:rPr>
        <w:t>This discretion is subject to a wide-ranging statutory structure and, if a peace officer were to be permitted to arrest only when he or she is satisfied that the suspect might not otherwise attend the trial, then the statutory structure would be entirely frustrated. To suggest that such a constraint upon the power to arrest is to be found in the statute by inference is untenable.</w:t>
      </w:r>
    </w:p>
    <w:p w14:paraId="612F12A3" w14:textId="77777777" w:rsidR="005C26C4" w:rsidRPr="009A5958" w:rsidRDefault="005C26C4" w:rsidP="005C26C4">
      <w:pPr>
        <w:pStyle w:val="ListParagraph"/>
        <w:numPr>
          <w:ilvl w:val="0"/>
          <w:numId w:val="1"/>
        </w:numPr>
        <w:jc w:val="both"/>
        <w:rPr>
          <w:color w:val="111111"/>
          <w:sz w:val="20"/>
          <w:szCs w:val="20"/>
        </w:rPr>
      </w:pPr>
      <w:r w:rsidRPr="009A5958">
        <w:rPr>
          <w:color w:val="111111"/>
          <w:sz w:val="20"/>
          <w:szCs w:val="20"/>
        </w:rPr>
        <w:t>The arrestor is not called upon to determine whether</w:t>
      </w:r>
      <w:r>
        <w:rPr>
          <w:color w:val="111111"/>
          <w:sz w:val="20"/>
          <w:szCs w:val="20"/>
        </w:rPr>
        <w:t xml:space="preserve"> </w:t>
      </w:r>
      <w:r w:rsidRPr="009A5958">
        <w:rPr>
          <w:color w:val="111111"/>
          <w:sz w:val="20"/>
          <w:szCs w:val="20"/>
        </w:rPr>
        <w:t xml:space="preserve">a suspect ought to be detained pending trial; that is for the court to determine; and the purpose of an arrest is simply to bring the suspect before </w:t>
      </w:r>
      <w:r>
        <w:rPr>
          <w:color w:val="111111"/>
          <w:sz w:val="20"/>
          <w:szCs w:val="20"/>
        </w:rPr>
        <w:t xml:space="preserve">the </w:t>
      </w:r>
      <w:r w:rsidRPr="009A5958">
        <w:rPr>
          <w:color w:val="111111"/>
          <w:sz w:val="20"/>
          <w:szCs w:val="20"/>
        </w:rPr>
        <w:t>court to enable it to make that determination.</w:t>
      </w:r>
    </w:p>
    <w:p w14:paraId="65EAE5BB" w14:textId="77777777" w:rsidR="005C26C4" w:rsidRPr="009607FA" w:rsidRDefault="005C26C4" w:rsidP="005C26C4">
      <w:pPr>
        <w:pStyle w:val="ListParagraph"/>
        <w:numPr>
          <w:ilvl w:val="0"/>
          <w:numId w:val="1"/>
        </w:numPr>
        <w:jc w:val="both"/>
        <w:rPr>
          <w:rFonts w:eastAsia="Calibri"/>
          <w:sz w:val="20"/>
          <w:szCs w:val="20"/>
        </w:rPr>
      </w:pPr>
      <w:r w:rsidRPr="009A5958">
        <w:rPr>
          <w:color w:val="111111"/>
          <w:sz w:val="20"/>
          <w:szCs w:val="20"/>
        </w:rPr>
        <w:t xml:space="preserve">The enquiry to be made by a peace officer is not how best to bring the suspect to trial, but only whether the case is one in which the decision ought properly to be made by a court. The rationality of the arrestor’s decision on that question is depended upon the facts of the particular case, but it is clear that in cases of serious crimes such as those listed in Schedule 1, an arrestor could seldom be criticised for arresting a suspect </w:t>
      </w:r>
      <w:r>
        <w:rPr>
          <w:color w:val="111111"/>
          <w:sz w:val="20"/>
          <w:szCs w:val="20"/>
        </w:rPr>
        <w:t>to</w:t>
      </w:r>
      <w:r w:rsidRPr="009A5958">
        <w:rPr>
          <w:color w:val="111111"/>
          <w:sz w:val="20"/>
          <w:szCs w:val="20"/>
        </w:rPr>
        <w:t xml:space="preserve"> bring him or her before </w:t>
      </w:r>
      <w:r>
        <w:rPr>
          <w:color w:val="111111"/>
          <w:sz w:val="20"/>
          <w:szCs w:val="20"/>
        </w:rPr>
        <w:t xml:space="preserve">the </w:t>
      </w:r>
      <w:r w:rsidRPr="009A5958">
        <w:rPr>
          <w:color w:val="111111"/>
          <w:sz w:val="20"/>
          <w:szCs w:val="20"/>
        </w:rPr>
        <w:t>court.”</w:t>
      </w:r>
    </w:p>
    <w:p w14:paraId="578A97CB" w14:textId="77777777" w:rsidR="009607FA" w:rsidRPr="009A5958" w:rsidRDefault="009607FA" w:rsidP="009607FA">
      <w:pPr>
        <w:pStyle w:val="ListParagraph"/>
        <w:ind w:left="1068"/>
        <w:jc w:val="both"/>
        <w:rPr>
          <w:rFonts w:eastAsia="Calibri"/>
          <w:sz w:val="20"/>
          <w:szCs w:val="20"/>
        </w:rPr>
      </w:pPr>
    </w:p>
    <w:p w14:paraId="4D16F8B8" w14:textId="39365E71" w:rsidR="00192AB3" w:rsidRDefault="00767FEE" w:rsidP="00B447F5">
      <w:pPr>
        <w:jc w:val="both"/>
        <w:rPr>
          <w:b/>
          <w:color w:val="111111"/>
        </w:rPr>
      </w:pPr>
      <w:r>
        <w:rPr>
          <w:b/>
          <w:color w:val="111111"/>
        </w:rPr>
        <w:t xml:space="preserve">THE </w:t>
      </w:r>
      <w:r w:rsidR="004C1DBF">
        <w:rPr>
          <w:b/>
          <w:color w:val="111111"/>
        </w:rPr>
        <w:t>PARTIES’ LEGAL SUBMISSIONS</w:t>
      </w:r>
    </w:p>
    <w:p w14:paraId="6C638485" w14:textId="77777777" w:rsidR="005C26C4" w:rsidRPr="009A5958" w:rsidRDefault="005C26C4" w:rsidP="00B447F5">
      <w:pPr>
        <w:jc w:val="both"/>
        <w:rPr>
          <w:b/>
          <w:color w:val="111111"/>
        </w:rPr>
      </w:pPr>
    </w:p>
    <w:p w14:paraId="3F8B2B4B" w14:textId="2EE11E90" w:rsidR="00793AE1" w:rsidRDefault="00CF2DAE" w:rsidP="009A5958">
      <w:pPr>
        <w:jc w:val="both"/>
      </w:pPr>
      <w:r>
        <w:t>[24</w:t>
      </w:r>
      <w:r w:rsidR="004944A6">
        <w:t>]</w:t>
      </w:r>
      <w:r w:rsidR="004944A6">
        <w:tab/>
      </w:r>
      <w:r w:rsidR="00CD662E">
        <w:t xml:space="preserve">In his heads of argument, </w:t>
      </w:r>
      <w:r w:rsidR="00C139B4">
        <w:t>the p</w:t>
      </w:r>
      <w:r w:rsidR="00CD662E">
        <w:t xml:space="preserve">laintiff launched certain points of </w:t>
      </w:r>
      <w:r w:rsidR="00456043">
        <w:t xml:space="preserve">criticism </w:t>
      </w:r>
      <w:r w:rsidR="00C139B4">
        <w:t>regarding</w:t>
      </w:r>
      <w:r w:rsidR="00A96C83">
        <w:t xml:space="preserve"> the</w:t>
      </w:r>
      <w:r w:rsidR="00C139B4">
        <w:t xml:space="preserve"> d</w:t>
      </w:r>
      <w:r w:rsidR="00CD662E">
        <w:t xml:space="preserve">efendant’s defence to the claim. He brought the court’s attention to the </w:t>
      </w:r>
      <w:r w:rsidR="00C139B4">
        <w:t>d</w:t>
      </w:r>
      <w:r w:rsidR="00793AE1">
        <w:t>efendant’s</w:t>
      </w:r>
      <w:r w:rsidR="00CD662E">
        <w:t xml:space="preserve"> plea, </w:t>
      </w:r>
      <w:r w:rsidR="00456043">
        <w:t xml:space="preserve">on </w:t>
      </w:r>
      <w:r w:rsidR="00CD662E">
        <w:t>p</w:t>
      </w:r>
      <w:r w:rsidR="00793AE1">
        <w:t>age 31 and paragraph 3 of page 32 of the index bundle. The paragraph reads:</w:t>
      </w:r>
    </w:p>
    <w:p w14:paraId="637805D2" w14:textId="77777777" w:rsidR="00793AE1" w:rsidRPr="005812F3" w:rsidRDefault="00793AE1" w:rsidP="00EB1C99">
      <w:pPr>
        <w:pStyle w:val="ListParagraph"/>
        <w:ind w:left="1276"/>
        <w:jc w:val="both"/>
      </w:pPr>
    </w:p>
    <w:p w14:paraId="37ED86AC" w14:textId="1F4C78A4" w:rsidR="00793AE1" w:rsidRPr="009A5958" w:rsidRDefault="0072760E" w:rsidP="009A5958">
      <w:pPr>
        <w:ind w:left="720"/>
        <w:jc w:val="both"/>
        <w:rPr>
          <w:sz w:val="20"/>
          <w:szCs w:val="20"/>
        </w:rPr>
      </w:pPr>
      <w:r>
        <w:rPr>
          <w:sz w:val="20"/>
          <w:szCs w:val="20"/>
        </w:rPr>
        <w:t>‘’3</w:t>
      </w:r>
      <w:r w:rsidR="005812F3" w:rsidRPr="009A5958">
        <w:rPr>
          <w:sz w:val="20"/>
          <w:szCs w:val="20"/>
        </w:rPr>
        <w:t xml:space="preserve"> </w:t>
      </w:r>
      <w:r w:rsidR="00100C0A">
        <w:rPr>
          <w:sz w:val="20"/>
          <w:szCs w:val="20"/>
        </w:rPr>
        <w:t>…………. the</w:t>
      </w:r>
      <w:r w:rsidR="007E34B1" w:rsidRPr="009A5958">
        <w:rPr>
          <w:sz w:val="20"/>
          <w:szCs w:val="20"/>
        </w:rPr>
        <w:t xml:space="preserve"> d</w:t>
      </w:r>
      <w:r w:rsidR="00793AE1" w:rsidRPr="009A5958">
        <w:rPr>
          <w:sz w:val="20"/>
          <w:szCs w:val="20"/>
        </w:rPr>
        <w:t>efendant</w:t>
      </w:r>
      <w:r>
        <w:rPr>
          <w:sz w:val="20"/>
          <w:szCs w:val="20"/>
        </w:rPr>
        <w:t xml:space="preserve"> further</w:t>
      </w:r>
      <w:r w:rsidR="00793AE1" w:rsidRPr="009A5958">
        <w:rPr>
          <w:sz w:val="20"/>
          <w:szCs w:val="20"/>
        </w:rPr>
        <w:t xml:space="preserve"> contends that </w:t>
      </w:r>
      <w:r w:rsidR="24536E28" w:rsidRPr="009A5958">
        <w:rPr>
          <w:sz w:val="20"/>
          <w:szCs w:val="20"/>
        </w:rPr>
        <w:t>P</w:t>
      </w:r>
      <w:r w:rsidR="00793AE1" w:rsidRPr="009A5958">
        <w:rPr>
          <w:sz w:val="20"/>
          <w:szCs w:val="20"/>
        </w:rPr>
        <w:t>laintiff was lawfully arrested and detained for charge of</w:t>
      </w:r>
      <w:r w:rsidR="0064058A" w:rsidRPr="009A5958">
        <w:rPr>
          <w:sz w:val="20"/>
          <w:szCs w:val="20"/>
        </w:rPr>
        <w:t xml:space="preserve"> rape of a </w:t>
      </w:r>
      <w:r w:rsidR="2F28FCF3" w:rsidRPr="009A5958">
        <w:rPr>
          <w:sz w:val="20"/>
          <w:szCs w:val="20"/>
        </w:rPr>
        <w:t>five-year-old</w:t>
      </w:r>
      <w:r w:rsidR="0064058A" w:rsidRPr="009A5958">
        <w:rPr>
          <w:sz w:val="20"/>
          <w:szCs w:val="20"/>
        </w:rPr>
        <w:t xml:space="preserve"> Grade R</w:t>
      </w:r>
      <w:r w:rsidR="00793AE1" w:rsidRPr="009A5958">
        <w:rPr>
          <w:sz w:val="20"/>
          <w:szCs w:val="20"/>
        </w:rPr>
        <w:t xml:space="preserve"> girl by</w:t>
      </w:r>
      <w:r w:rsidR="007E34B1" w:rsidRPr="009A5958">
        <w:rPr>
          <w:sz w:val="20"/>
          <w:szCs w:val="20"/>
        </w:rPr>
        <w:t xml:space="preserve"> the </w:t>
      </w:r>
      <w:r w:rsidR="00793AE1" w:rsidRPr="009A5958">
        <w:rPr>
          <w:sz w:val="20"/>
          <w:szCs w:val="20"/>
        </w:rPr>
        <w:t>name of</w:t>
      </w:r>
      <w:r w:rsidR="0064058A" w:rsidRPr="009A5958">
        <w:rPr>
          <w:sz w:val="20"/>
          <w:szCs w:val="20"/>
        </w:rPr>
        <w:t xml:space="preserve"> [</w:t>
      </w:r>
      <w:r w:rsidR="00793AE1" w:rsidRPr="009A5958">
        <w:rPr>
          <w:sz w:val="20"/>
          <w:szCs w:val="20"/>
        </w:rPr>
        <w:t xml:space="preserve"> K</w:t>
      </w:r>
      <w:r w:rsidR="5EC8799C" w:rsidRPr="009A5958">
        <w:rPr>
          <w:sz w:val="20"/>
          <w:szCs w:val="20"/>
        </w:rPr>
        <w:t>….</w:t>
      </w:r>
      <w:r w:rsidR="0064058A" w:rsidRPr="009A5958">
        <w:rPr>
          <w:sz w:val="20"/>
          <w:szCs w:val="20"/>
        </w:rPr>
        <w:t>]</w:t>
      </w:r>
      <w:r w:rsidR="00793AE1" w:rsidRPr="009A5958">
        <w:rPr>
          <w:sz w:val="20"/>
          <w:szCs w:val="20"/>
        </w:rPr>
        <w:t>’’</w:t>
      </w:r>
    </w:p>
    <w:p w14:paraId="463F29E8" w14:textId="77777777" w:rsidR="0013477B" w:rsidRDefault="0013477B" w:rsidP="00EB1C99">
      <w:pPr>
        <w:pStyle w:val="ListParagraph"/>
        <w:ind w:left="1211"/>
        <w:jc w:val="both"/>
        <w:rPr>
          <w:i/>
        </w:rPr>
      </w:pPr>
    </w:p>
    <w:p w14:paraId="612CCD72" w14:textId="1F0F2266" w:rsidR="0013477B" w:rsidRDefault="00CF2DAE" w:rsidP="009A5958">
      <w:pPr>
        <w:jc w:val="both"/>
      </w:pPr>
      <w:r>
        <w:t>[25</w:t>
      </w:r>
      <w:r w:rsidR="004944A6">
        <w:t>]</w:t>
      </w:r>
      <w:r w:rsidR="004944A6">
        <w:tab/>
      </w:r>
      <w:r w:rsidR="00C139B4">
        <w:t>The p</w:t>
      </w:r>
      <w:r w:rsidR="006A281D">
        <w:t>la</w:t>
      </w:r>
      <w:r w:rsidR="00242960">
        <w:t>intiff argued</w:t>
      </w:r>
      <w:r w:rsidR="00C139B4">
        <w:t xml:space="preserve"> that the d</w:t>
      </w:r>
      <w:r w:rsidR="0013477B">
        <w:t>efendant’s defence is a bare denial as it does not co</w:t>
      </w:r>
      <w:r w:rsidR="001A4C94">
        <w:t xml:space="preserve">ntain a specific reliance </w:t>
      </w:r>
      <w:r w:rsidR="006A281D">
        <w:t xml:space="preserve">on </w:t>
      </w:r>
      <w:r w:rsidR="001A4C94">
        <w:t>a S</w:t>
      </w:r>
      <w:r w:rsidR="0013477B">
        <w:t>ecti</w:t>
      </w:r>
      <w:r w:rsidR="00C139B4">
        <w:t>on in the CPA</w:t>
      </w:r>
      <w:r w:rsidR="0013477B">
        <w:t xml:space="preserve">. </w:t>
      </w:r>
    </w:p>
    <w:p w14:paraId="0DFAE634" w14:textId="77777777" w:rsidR="0013477B" w:rsidRDefault="0013477B" w:rsidP="00EB1C99">
      <w:pPr>
        <w:pStyle w:val="ListParagraph"/>
        <w:jc w:val="both"/>
      </w:pPr>
      <w:r>
        <w:t xml:space="preserve">  </w:t>
      </w:r>
    </w:p>
    <w:p w14:paraId="1E418443" w14:textId="1A81E7C7" w:rsidR="007C1981" w:rsidRDefault="00CF2DAE" w:rsidP="009A5958">
      <w:pPr>
        <w:jc w:val="both"/>
      </w:pPr>
      <w:r>
        <w:lastRenderedPageBreak/>
        <w:t>[26</w:t>
      </w:r>
      <w:r w:rsidR="004944A6">
        <w:t>]</w:t>
      </w:r>
      <w:r w:rsidR="004944A6">
        <w:tab/>
      </w:r>
      <w:r w:rsidR="005D7B2D">
        <w:t xml:space="preserve">Before traversing on the facts and other points of </w:t>
      </w:r>
      <w:r w:rsidR="007C1981">
        <w:t>criticism</w:t>
      </w:r>
      <w:r w:rsidR="005D7B2D">
        <w:t xml:space="preserve"> t</w:t>
      </w:r>
      <w:r w:rsidR="007E34B1">
        <w:t>hat were raised by the parties</w:t>
      </w:r>
      <w:r w:rsidR="005D7B2D">
        <w:t>, I pause to deal with this preliminary issue.</w:t>
      </w:r>
      <w:r w:rsidR="007C1981">
        <w:t xml:space="preserve"> To settle the argument raised</w:t>
      </w:r>
      <w:r w:rsidR="007E34B1">
        <w:t>,</w:t>
      </w:r>
      <w:r w:rsidR="007C1981">
        <w:t xml:space="preserve"> it is imperative to first have regard to the basic principles governing pleadings in general. </w:t>
      </w:r>
      <w:r w:rsidR="009607FA">
        <w:t xml:space="preserve"> The p</w:t>
      </w:r>
      <w:r w:rsidR="00F97816">
        <w:t>leadings must state the facts only and not the law; pleadings must state the material facts and not the evidence required to prove those facts and lastly</w:t>
      </w:r>
      <w:r w:rsidR="00757664">
        <w:t>,</w:t>
      </w:r>
      <w:r w:rsidR="00F97816">
        <w:t xml:space="preserve"> the material facts must be pleaded </w:t>
      </w:r>
      <w:r w:rsidR="006A281D">
        <w:t>concisely</w:t>
      </w:r>
      <w:r w:rsidR="00F97816">
        <w:t>.</w:t>
      </w:r>
      <w:r w:rsidR="00242960">
        <w:t xml:space="preserve"> The other party must not be ambushed, he must know which case to meet.</w:t>
      </w:r>
    </w:p>
    <w:p w14:paraId="3B7B4B86" w14:textId="77777777" w:rsidR="001677F1" w:rsidRDefault="001677F1" w:rsidP="00EB1C99">
      <w:pPr>
        <w:pStyle w:val="ListParagraph"/>
        <w:jc w:val="both"/>
      </w:pPr>
    </w:p>
    <w:p w14:paraId="2091BB48" w14:textId="5E487CBA" w:rsidR="00F97816" w:rsidRDefault="00CF2DAE" w:rsidP="009A5958">
      <w:pPr>
        <w:jc w:val="both"/>
      </w:pPr>
      <w:r>
        <w:t>[27</w:t>
      </w:r>
      <w:r w:rsidR="004944A6">
        <w:t>]</w:t>
      </w:r>
      <w:r w:rsidR="004944A6">
        <w:tab/>
      </w:r>
      <w:r w:rsidR="00F97816">
        <w:t xml:space="preserve">In </w:t>
      </w:r>
      <w:r w:rsidR="00F97816" w:rsidRPr="009A5958">
        <w:rPr>
          <w:i/>
          <w:iCs/>
        </w:rPr>
        <w:t>Minister of Safety and Security v Slabbert</w:t>
      </w:r>
      <w:r w:rsidR="006A281D">
        <w:rPr>
          <w:i/>
          <w:iCs/>
        </w:rPr>
        <w:t>,</w:t>
      </w:r>
      <w:r w:rsidR="00945A9C">
        <w:rPr>
          <w:rStyle w:val="FootnoteReference"/>
        </w:rPr>
        <w:footnoteReference w:id="7"/>
      </w:r>
      <w:r w:rsidR="00F97816">
        <w:t xml:space="preserve"> the court stated, </w:t>
      </w:r>
    </w:p>
    <w:p w14:paraId="3A0FF5F2" w14:textId="77777777" w:rsidR="00F97816" w:rsidRDefault="00F97816" w:rsidP="00EB1C99">
      <w:pPr>
        <w:pStyle w:val="ListParagraph"/>
        <w:jc w:val="both"/>
      </w:pPr>
    </w:p>
    <w:p w14:paraId="0C6A8347" w14:textId="52890C9E" w:rsidR="00F97816" w:rsidRPr="009A5958" w:rsidRDefault="00050945" w:rsidP="00EB1C99">
      <w:pPr>
        <w:pStyle w:val="ListParagraph"/>
        <w:jc w:val="both"/>
        <w:rPr>
          <w:sz w:val="20"/>
          <w:szCs w:val="20"/>
        </w:rPr>
      </w:pPr>
      <w:r>
        <w:t>“</w:t>
      </w:r>
      <w:r w:rsidR="00F97816" w:rsidRPr="009A5958">
        <w:rPr>
          <w:sz w:val="20"/>
          <w:szCs w:val="20"/>
        </w:rPr>
        <w:t>The purpose of pleadings is to define the issues for the other party and the court. A party has a duty to allege in the pleadings the material facts</w:t>
      </w:r>
      <w:r w:rsidR="001677F1" w:rsidRPr="009A5958">
        <w:rPr>
          <w:sz w:val="20"/>
          <w:szCs w:val="20"/>
        </w:rPr>
        <w:t xml:space="preserve"> </w:t>
      </w:r>
      <w:r w:rsidR="00F97816" w:rsidRPr="009A5958">
        <w:rPr>
          <w:sz w:val="20"/>
          <w:szCs w:val="20"/>
        </w:rPr>
        <w:t xml:space="preserve">upon which it relies, </w:t>
      </w:r>
      <w:r w:rsidR="0013477B" w:rsidRPr="009A5958">
        <w:rPr>
          <w:sz w:val="20"/>
          <w:szCs w:val="20"/>
        </w:rPr>
        <w:t>it</w:t>
      </w:r>
      <w:r w:rsidR="00F97816" w:rsidRPr="009A5958">
        <w:rPr>
          <w:sz w:val="20"/>
          <w:szCs w:val="20"/>
        </w:rPr>
        <w:t xml:space="preserve"> is </w:t>
      </w:r>
      <w:r w:rsidR="001677F1" w:rsidRPr="009A5958">
        <w:rPr>
          <w:sz w:val="20"/>
          <w:szCs w:val="20"/>
        </w:rPr>
        <w:t>impermissible for</w:t>
      </w:r>
      <w:r w:rsidR="00F97816" w:rsidRPr="009A5958">
        <w:rPr>
          <w:sz w:val="20"/>
          <w:szCs w:val="20"/>
        </w:rPr>
        <w:t xml:space="preserve"> a plaintiff</w:t>
      </w:r>
      <w:r w:rsidR="00100C0A">
        <w:rPr>
          <w:sz w:val="20"/>
          <w:szCs w:val="20"/>
        </w:rPr>
        <w:t xml:space="preserve"> </w:t>
      </w:r>
      <w:r w:rsidR="00100C0A" w:rsidRPr="00100C0A">
        <w:rPr>
          <w:sz w:val="20"/>
          <w:szCs w:val="20"/>
          <w:u w:val="single"/>
        </w:rPr>
        <w:t>[in this case the defendant]</w:t>
      </w:r>
      <w:r w:rsidR="00F97816" w:rsidRPr="009A5958">
        <w:rPr>
          <w:sz w:val="20"/>
          <w:szCs w:val="20"/>
        </w:rPr>
        <w:t xml:space="preserve"> to plead a particular case and seek to establish a different case at trial.</w:t>
      </w:r>
      <w:r w:rsidRPr="009A5958">
        <w:rPr>
          <w:sz w:val="20"/>
          <w:szCs w:val="20"/>
        </w:rPr>
        <w:t>”</w:t>
      </w:r>
      <w:r w:rsidR="00100C0A">
        <w:rPr>
          <w:sz w:val="20"/>
          <w:szCs w:val="20"/>
        </w:rPr>
        <w:t>(Accentuation added)</w:t>
      </w:r>
    </w:p>
    <w:p w14:paraId="5630AD66" w14:textId="77777777" w:rsidR="001677F1" w:rsidRDefault="001677F1" w:rsidP="00EB1C99">
      <w:pPr>
        <w:pStyle w:val="ListParagraph"/>
        <w:jc w:val="both"/>
      </w:pPr>
    </w:p>
    <w:p w14:paraId="2125848A" w14:textId="2C5B583F" w:rsidR="005D7B2D" w:rsidRDefault="00CF2DAE" w:rsidP="009A5958">
      <w:pPr>
        <w:jc w:val="both"/>
      </w:pPr>
      <w:r>
        <w:t>[28</w:t>
      </w:r>
      <w:r w:rsidR="00050945">
        <w:t>]</w:t>
      </w:r>
      <w:r w:rsidR="00050945">
        <w:tab/>
      </w:r>
      <w:r w:rsidR="00C139B4">
        <w:t>At the onset, the d</w:t>
      </w:r>
      <w:r w:rsidR="005D7B2D">
        <w:t>efendant’s plea was a bare denial until he filed an amended plea whic</w:t>
      </w:r>
      <w:r w:rsidR="00C139B4">
        <w:t>h specifically stated that the p</w:t>
      </w:r>
      <w:r w:rsidR="005D7B2D">
        <w:t xml:space="preserve">laintiff was lawfully arrested and detained for charge of rape of a </w:t>
      </w:r>
      <w:r w:rsidR="270FC4B6">
        <w:t>five-year-old</w:t>
      </w:r>
      <w:r w:rsidR="005D7B2D">
        <w:t xml:space="preserve"> Grade R girl by the name of [K……].</w:t>
      </w:r>
    </w:p>
    <w:p w14:paraId="61829076" w14:textId="77777777" w:rsidR="005812F3" w:rsidRDefault="005812F3" w:rsidP="00EB1C99">
      <w:pPr>
        <w:pStyle w:val="ListParagraph"/>
        <w:jc w:val="both"/>
      </w:pPr>
    </w:p>
    <w:p w14:paraId="660413DB" w14:textId="4AB3F878" w:rsidR="005D7B2D" w:rsidRDefault="00CF2DAE" w:rsidP="009A5958">
      <w:pPr>
        <w:jc w:val="both"/>
      </w:pPr>
      <w:r>
        <w:t>[29</w:t>
      </w:r>
      <w:r w:rsidR="00050945">
        <w:t>]</w:t>
      </w:r>
      <w:r w:rsidR="00050945">
        <w:tab/>
      </w:r>
      <w:r w:rsidR="00242960">
        <w:t>I</w:t>
      </w:r>
      <w:r w:rsidR="005D7B2D">
        <w:t>t must be remembered that a pre-trial conference was</w:t>
      </w:r>
      <w:r w:rsidR="007C1981">
        <w:t xml:space="preserve"> held on 12 April 2023</w:t>
      </w:r>
      <w:r w:rsidR="007C1981">
        <w:rPr>
          <w:rStyle w:val="FootnoteReference"/>
        </w:rPr>
        <w:footnoteReference w:id="8"/>
      </w:r>
      <w:r w:rsidR="007C1981">
        <w:t xml:space="preserve">. </w:t>
      </w:r>
      <w:r w:rsidR="006A281D">
        <w:t xml:space="preserve">In </w:t>
      </w:r>
      <w:r w:rsidR="007C1981">
        <w:t>paragraph 2 of the minutes, the following is stated,</w:t>
      </w:r>
    </w:p>
    <w:p w14:paraId="2BA226A1" w14:textId="77777777" w:rsidR="007C1981" w:rsidRDefault="007C1981" w:rsidP="00EB1C99">
      <w:pPr>
        <w:pStyle w:val="ListParagraph"/>
        <w:jc w:val="both"/>
      </w:pPr>
    </w:p>
    <w:p w14:paraId="0CBA0064" w14:textId="0ABFEB4A" w:rsidR="007C1981" w:rsidRPr="009A5958" w:rsidRDefault="007C1981" w:rsidP="00EB1C99">
      <w:pPr>
        <w:pStyle w:val="ListParagraph"/>
        <w:jc w:val="both"/>
        <w:rPr>
          <w:sz w:val="20"/>
          <w:szCs w:val="20"/>
        </w:rPr>
      </w:pPr>
      <w:r w:rsidRPr="009A5958">
        <w:rPr>
          <w:sz w:val="20"/>
          <w:szCs w:val="20"/>
        </w:rPr>
        <w:t xml:space="preserve">‘’Both parties agreed that at this stage neither party has been prejudiced due to non </w:t>
      </w:r>
      <w:r w:rsidR="001677F1" w:rsidRPr="009A5958">
        <w:rPr>
          <w:sz w:val="20"/>
          <w:szCs w:val="20"/>
        </w:rPr>
        <w:t>-</w:t>
      </w:r>
      <w:r w:rsidRPr="009A5958">
        <w:rPr>
          <w:sz w:val="20"/>
          <w:szCs w:val="20"/>
        </w:rPr>
        <w:t>compliance with the Rules of Court</w:t>
      </w:r>
      <w:r w:rsidR="001677F1" w:rsidRPr="009A5958">
        <w:rPr>
          <w:sz w:val="20"/>
          <w:szCs w:val="20"/>
        </w:rPr>
        <w:t>.</w:t>
      </w:r>
      <w:r w:rsidR="00050945">
        <w:rPr>
          <w:sz w:val="20"/>
          <w:szCs w:val="20"/>
        </w:rPr>
        <w:t>”</w:t>
      </w:r>
    </w:p>
    <w:p w14:paraId="17AD93B2" w14:textId="77777777" w:rsidR="0013477B" w:rsidRDefault="0013477B" w:rsidP="00EB1C99">
      <w:pPr>
        <w:pStyle w:val="ListParagraph"/>
        <w:jc w:val="both"/>
      </w:pPr>
    </w:p>
    <w:p w14:paraId="7263A163" w14:textId="76F12EDF" w:rsidR="001677F1" w:rsidRDefault="00CF2DAE" w:rsidP="009A5958">
      <w:pPr>
        <w:jc w:val="both"/>
      </w:pPr>
      <w:r>
        <w:t>[30</w:t>
      </w:r>
      <w:r w:rsidR="00050945">
        <w:t>]</w:t>
      </w:r>
      <w:r w:rsidR="00050945">
        <w:tab/>
      </w:r>
      <w:r w:rsidR="001677F1">
        <w:t>At the beginning of the proceedings, there were no preliminary issues raised and the trial</w:t>
      </w:r>
      <w:r w:rsidR="00945A9C">
        <w:t xml:space="preserve"> was conducted on the understanding</w:t>
      </w:r>
      <w:r w:rsidR="00C139B4">
        <w:t xml:space="preserve"> that the d</w:t>
      </w:r>
      <w:r w:rsidR="001677F1">
        <w:t xml:space="preserve">efendant bore </w:t>
      </w:r>
      <w:r w:rsidR="006A281D">
        <w:t xml:space="preserve">the </w:t>
      </w:r>
      <w:r w:rsidR="001677F1">
        <w:t>onus to prove that the arrest and subsequent detention were justified. T</w:t>
      </w:r>
      <w:r w:rsidR="008751D8">
        <w:t xml:space="preserve">he fact that a rape charge falls under Schedules 1 </w:t>
      </w:r>
      <w:r w:rsidR="0072760E">
        <w:t>of the CPA</w:t>
      </w:r>
      <w:r w:rsidR="001677F1">
        <w:t xml:space="preserve"> was never plac</w:t>
      </w:r>
      <w:r w:rsidR="00C139B4">
        <w:t>ed in dispute.</w:t>
      </w:r>
      <w:r w:rsidR="008B1A85">
        <w:t xml:space="preserve"> The defendant admitted that the plaintiff was arrested without a warrant.</w:t>
      </w:r>
      <w:r w:rsidR="00C139B4">
        <w:t xml:space="preserve"> Counsel for the p</w:t>
      </w:r>
      <w:r w:rsidR="001677F1">
        <w:t>laintiff laid no basis to demonstrate that a different case was pleaded</w:t>
      </w:r>
      <w:r w:rsidR="00C139B4">
        <w:t>,</w:t>
      </w:r>
      <w:r w:rsidR="001677F1">
        <w:t xml:space="preserve"> and that he suffered prejudice.</w:t>
      </w:r>
      <w:r w:rsidR="00E44C69">
        <w:t xml:space="preserve"> Instead, he referred the court to the case of Jowell v Bramwell-Jones </w:t>
      </w:r>
      <w:r w:rsidR="00E44C69">
        <w:lastRenderedPageBreak/>
        <w:t xml:space="preserve">1998(1) SA 836 (W). </w:t>
      </w:r>
      <w:r w:rsidR="00FC4E13">
        <w:t>It is insignifi</w:t>
      </w:r>
      <w:r w:rsidR="00A96C83">
        <w:t>cant to dwell much on this case, it</w:t>
      </w:r>
      <w:r w:rsidR="009607FA">
        <w:t xml:space="preserve"> is</w:t>
      </w:r>
      <w:r w:rsidR="00FC4E13">
        <w:t xml:space="preserve"> safe to conclude that t</w:t>
      </w:r>
      <w:r w:rsidR="00E44C69">
        <w:t xml:space="preserve">he facts at the </w:t>
      </w:r>
      <w:r w:rsidR="00E44C69" w:rsidRPr="00050945">
        <w:rPr>
          <w:i/>
          <w:iCs/>
        </w:rPr>
        <w:t>Jowell</w:t>
      </w:r>
      <w:r w:rsidR="00E44C69">
        <w:t xml:space="preserve"> matter as well as the principles laid down thereto are irrelevant for purposes of these proceedings. In the present matter, t</w:t>
      </w:r>
      <w:r w:rsidR="001677F1">
        <w:t>he material facts were known by both parties throughout the proceedings. The fact that no relevant section was quoted in the pleadings is immateri</w:t>
      </w:r>
      <w:r w:rsidR="00C139B4">
        <w:t>al. In my considered view, the p</w:t>
      </w:r>
      <w:r w:rsidR="001677F1">
        <w:t xml:space="preserve">laintiff suffered </w:t>
      </w:r>
      <w:r w:rsidR="0013477B">
        <w:t xml:space="preserve">no prejudice </w:t>
      </w:r>
      <w:bookmarkStart w:id="2" w:name="_Int_FVgWAnmF"/>
      <w:r w:rsidR="0013477B">
        <w:t>as a result of</w:t>
      </w:r>
      <w:bookmarkEnd w:id="2"/>
      <w:r w:rsidR="0013477B">
        <w:t xml:space="preserve"> </w:t>
      </w:r>
      <w:r w:rsidR="006A281D">
        <w:t xml:space="preserve">the </w:t>
      </w:r>
      <w:r w:rsidR="0013477B">
        <w:t>lack of</w:t>
      </w:r>
      <w:r w:rsidR="00945A9C">
        <w:t xml:space="preserve"> a</w:t>
      </w:r>
      <w:r w:rsidR="0013477B">
        <w:t xml:space="preserve"> quo</w:t>
      </w:r>
      <w:r w:rsidR="00A84D56">
        <w:t>tation of a particular s</w:t>
      </w:r>
      <w:r w:rsidR="0013477B">
        <w:t>ection</w:t>
      </w:r>
      <w:r w:rsidR="00C139B4">
        <w:t xml:space="preserve"> in the CPA</w:t>
      </w:r>
      <w:r w:rsidR="001677F1">
        <w:t xml:space="preserve">. </w:t>
      </w:r>
    </w:p>
    <w:p w14:paraId="0DE4B5B7" w14:textId="77777777" w:rsidR="0013477B" w:rsidRPr="005D7B2D" w:rsidRDefault="0013477B" w:rsidP="00EB1C99">
      <w:pPr>
        <w:pStyle w:val="ListParagraph"/>
        <w:jc w:val="both"/>
      </w:pPr>
    </w:p>
    <w:p w14:paraId="0F669A9D" w14:textId="6CE95D45" w:rsidR="000769C7" w:rsidRDefault="00CF2DAE" w:rsidP="009A5958">
      <w:pPr>
        <w:jc w:val="both"/>
      </w:pPr>
      <w:r>
        <w:t>[31</w:t>
      </w:r>
      <w:r w:rsidR="00050945">
        <w:t>]</w:t>
      </w:r>
      <w:r w:rsidR="00050945">
        <w:tab/>
      </w:r>
      <w:r w:rsidR="000769C7">
        <w:t>Counse</w:t>
      </w:r>
      <w:r w:rsidR="003968EE">
        <w:t xml:space="preserve">l also </w:t>
      </w:r>
      <w:r w:rsidR="00C139B4">
        <w:t>criticized the d</w:t>
      </w:r>
      <w:r w:rsidR="003968EE">
        <w:t>efendant</w:t>
      </w:r>
      <w:r w:rsidR="000769C7">
        <w:t xml:space="preserve"> for not calling the child and her mother to give evidence before court.</w:t>
      </w:r>
      <w:r w:rsidR="0064058A">
        <w:t xml:space="preserve"> Their statements remain hearsay with no probative value to be attached </w:t>
      </w:r>
      <w:r w:rsidR="00EB1C99">
        <w:t xml:space="preserve">to </w:t>
      </w:r>
      <w:r w:rsidR="0064058A">
        <w:t>them at all, so the argument continued.</w:t>
      </w:r>
    </w:p>
    <w:p w14:paraId="66204FF1" w14:textId="77777777" w:rsidR="0013477B" w:rsidRDefault="0013477B" w:rsidP="00EB1C99">
      <w:pPr>
        <w:pStyle w:val="ListParagraph"/>
        <w:jc w:val="both"/>
      </w:pPr>
    </w:p>
    <w:p w14:paraId="629A4537" w14:textId="6505628F" w:rsidR="0064058A" w:rsidRDefault="00CF2DAE" w:rsidP="009A5958">
      <w:pPr>
        <w:jc w:val="both"/>
      </w:pPr>
      <w:r>
        <w:t>[32</w:t>
      </w:r>
      <w:r w:rsidR="00050945">
        <w:t>]</w:t>
      </w:r>
      <w:r w:rsidR="00050945">
        <w:tab/>
      </w:r>
      <w:r w:rsidR="00C139B4">
        <w:t xml:space="preserve"> The p</w:t>
      </w:r>
      <w:r w:rsidR="0064058A">
        <w:t>laintiff further argued that the child’s statement was not commissioned and should accordingly be rejected.</w:t>
      </w:r>
    </w:p>
    <w:p w14:paraId="2DBF0D7D" w14:textId="77777777" w:rsidR="0013477B" w:rsidRDefault="0013477B" w:rsidP="009A5958">
      <w:pPr>
        <w:pStyle w:val="ListParagraph"/>
        <w:jc w:val="both"/>
      </w:pPr>
    </w:p>
    <w:p w14:paraId="1054127C" w14:textId="36256ABE" w:rsidR="0064058A" w:rsidRDefault="00CF2DAE" w:rsidP="009A5958">
      <w:pPr>
        <w:jc w:val="both"/>
      </w:pPr>
      <w:r>
        <w:t>[33</w:t>
      </w:r>
      <w:r w:rsidR="00050945">
        <w:t>]</w:t>
      </w:r>
      <w:r w:rsidR="00050945">
        <w:tab/>
      </w:r>
      <w:r w:rsidR="00C139B4">
        <w:t>The d</w:t>
      </w:r>
      <w:r w:rsidR="0064058A">
        <w:t>efendant, on</w:t>
      </w:r>
      <w:r w:rsidR="0013477B">
        <w:t xml:space="preserve"> the other hand, referred the court to </w:t>
      </w:r>
      <w:r w:rsidR="006A281D">
        <w:t>several</w:t>
      </w:r>
      <w:r w:rsidR="0013477B">
        <w:t xml:space="preserve"> </w:t>
      </w:r>
      <w:r w:rsidR="00E44C69">
        <w:t>authorities</w:t>
      </w:r>
      <w:r w:rsidR="0013477B">
        <w:t xml:space="preserve"> and argued that rape is a very serious offence that justified arrest and made issuing of summons inappropriate. </w:t>
      </w:r>
      <w:r w:rsidR="00C139B4">
        <w:t xml:space="preserve"> The d</w:t>
      </w:r>
      <w:r w:rsidR="00E44C69">
        <w:t xml:space="preserve">efendant further argued that the information at the arresting officer’s disposal was sufficient to justify </w:t>
      </w:r>
      <w:r w:rsidR="006A281D">
        <w:t xml:space="preserve">the </w:t>
      </w:r>
      <w:r w:rsidR="00E44C69">
        <w:t xml:space="preserve">arrest and subsequent detention. </w:t>
      </w:r>
    </w:p>
    <w:p w14:paraId="6B62F1B3" w14:textId="77777777" w:rsidR="00B77184" w:rsidRDefault="00B77184" w:rsidP="00EB1C99">
      <w:pPr>
        <w:pStyle w:val="ListParagraph"/>
        <w:jc w:val="both"/>
      </w:pPr>
    </w:p>
    <w:p w14:paraId="16D9E787" w14:textId="503F2BF9" w:rsidR="00217F23" w:rsidRPr="009A5958" w:rsidRDefault="00050945" w:rsidP="00B447F5">
      <w:pPr>
        <w:jc w:val="both"/>
        <w:rPr>
          <w:b/>
        </w:rPr>
      </w:pPr>
      <w:r w:rsidRPr="00050945">
        <w:rPr>
          <w:b/>
        </w:rPr>
        <w:t>EVALUATION</w:t>
      </w:r>
    </w:p>
    <w:p w14:paraId="02F2C34E" w14:textId="77777777" w:rsidR="00217F23" w:rsidRPr="00217F23" w:rsidRDefault="00217F23" w:rsidP="00EB1C99">
      <w:pPr>
        <w:pStyle w:val="ListParagraph"/>
        <w:ind w:left="1211"/>
        <w:jc w:val="both"/>
        <w:rPr>
          <w:b/>
        </w:rPr>
      </w:pPr>
    </w:p>
    <w:p w14:paraId="48F21B3F" w14:textId="7352497A" w:rsidR="006A281D" w:rsidRDefault="00CF2DAE" w:rsidP="009A5958">
      <w:pPr>
        <w:jc w:val="both"/>
      </w:pPr>
      <w:r>
        <w:t>[34</w:t>
      </w:r>
      <w:r w:rsidR="00050945">
        <w:t>]</w:t>
      </w:r>
      <w:r w:rsidR="00050945">
        <w:tab/>
      </w:r>
      <w:r w:rsidR="00E44C69">
        <w:t>The following facts are found to have been proven:</w:t>
      </w:r>
    </w:p>
    <w:p w14:paraId="680A4E5D" w14:textId="77777777" w:rsidR="001A4C94" w:rsidRDefault="001A4C94" w:rsidP="009A5958">
      <w:pPr>
        <w:jc w:val="both"/>
      </w:pPr>
    </w:p>
    <w:p w14:paraId="3BEBFB01" w14:textId="77777777" w:rsidR="00E44C69" w:rsidRDefault="00E44C69" w:rsidP="00EB1C99">
      <w:pPr>
        <w:pStyle w:val="ListParagraph"/>
        <w:numPr>
          <w:ilvl w:val="0"/>
          <w:numId w:val="31"/>
        </w:numPr>
        <w:jc w:val="both"/>
      </w:pPr>
      <w:r>
        <w:t xml:space="preserve">Warrant Officer </w:t>
      </w:r>
      <w:r w:rsidR="001A4C94">
        <w:t>Xhala was a peace officer;</w:t>
      </w:r>
    </w:p>
    <w:p w14:paraId="22CF09B5" w14:textId="77777777" w:rsidR="001A4C94" w:rsidRDefault="001A4C94" w:rsidP="00EB1C99">
      <w:pPr>
        <w:pStyle w:val="ListParagraph"/>
        <w:numPr>
          <w:ilvl w:val="0"/>
          <w:numId w:val="31"/>
        </w:numPr>
        <w:jc w:val="both"/>
      </w:pPr>
      <w:r>
        <w:t>He entertained a suspicion;</w:t>
      </w:r>
    </w:p>
    <w:p w14:paraId="076A91F8" w14:textId="0C228CF5" w:rsidR="001A4C94" w:rsidRDefault="00E5420B" w:rsidP="00EB1C99">
      <w:pPr>
        <w:pStyle w:val="ListParagraph"/>
        <w:numPr>
          <w:ilvl w:val="0"/>
          <w:numId w:val="31"/>
        </w:numPr>
        <w:jc w:val="both"/>
      </w:pPr>
      <w:r>
        <w:t>a</w:t>
      </w:r>
      <w:r w:rsidR="005B0E2B">
        <w:t xml:space="preserve"> suspicion was that </w:t>
      </w:r>
      <w:r w:rsidR="00C139B4">
        <w:t>the p</w:t>
      </w:r>
      <w:r w:rsidR="001A4C94">
        <w:t>laintiff</w:t>
      </w:r>
      <w:r w:rsidR="005B0E2B">
        <w:t xml:space="preserve"> had</w:t>
      </w:r>
      <w:r w:rsidR="001A4C94">
        <w:t xml:space="preserve"> committed a Schedule I offence</w:t>
      </w:r>
      <w:r w:rsidR="005B0E2B">
        <w:t>;</w:t>
      </w:r>
    </w:p>
    <w:p w14:paraId="1B702DBF" w14:textId="71D512DE" w:rsidR="001A4C94" w:rsidRDefault="00C139B4" w:rsidP="00EB1C99">
      <w:pPr>
        <w:pStyle w:val="ListParagraph"/>
        <w:numPr>
          <w:ilvl w:val="0"/>
          <w:numId w:val="31"/>
        </w:numPr>
        <w:jc w:val="both"/>
      </w:pPr>
      <w:r>
        <w:t>the p</w:t>
      </w:r>
      <w:r w:rsidR="001A4C94">
        <w:t>laintiff was arrested on 20 April 2015</w:t>
      </w:r>
      <w:r w:rsidR="005B0E2B">
        <w:t>;</w:t>
      </w:r>
    </w:p>
    <w:p w14:paraId="59D9F23B" w14:textId="50F2A72F" w:rsidR="001A4C94" w:rsidRDefault="005B0E2B" w:rsidP="00EB1C99">
      <w:pPr>
        <w:pStyle w:val="ListParagraph"/>
        <w:numPr>
          <w:ilvl w:val="0"/>
          <w:numId w:val="31"/>
        </w:numPr>
        <w:jc w:val="both"/>
      </w:pPr>
      <w:r>
        <w:t xml:space="preserve">on his first appearance before </w:t>
      </w:r>
      <w:r w:rsidR="006A281D">
        <w:t xml:space="preserve">the </w:t>
      </w:r>
      <w:r>
        <w:t>court, he was detained for seven days;</w:t>
      </w:r>
    </w:p>
    <w:p w14:paraId="61237F14" w14:textId="2E13FE9E" w:rsidR="005B0E2B" w:rsidRDefault="005B0E2B" w:rsidP="00EB1C99">
      <w:pPr>
        <w:pStyle w:val="ListParagraph"/>
        <w:numPr>
          <w:ilvl w:val="0"/>
          <w:numId w:val="31"/>
        </w:numPr>
        <w:jc w:val="both"/>
      </w:pPr>
      <w:r>
        <w:t xml:space="preserve">on the day of </w:t>
      </w:r>
      <w:r w:rsidR="006A281D">
        <w:t xml:space="preserve">the </w:t>
      </w:r>
      <w:r>
        <w:t xml:space="preserve">formal bail application, bail was </w:t>
      </w:r>
      <w:r w:rsidR="007E34B1">
        <w:t>opposed and</w:t>
      </w:r>
      <w:r w:rsidR="008751D8">
        <w:t xml:space="preserve"> formally</w:t>
      </w:r>
      <w:r w:rsidR="007E34B1">
        <w:t xml:space="preserve"> denied by the court;</w:t>
      </w:r>
    </w:p>
    <w:p w14:paraId="380AF053" w14:textId="5904CC9A" w:rsidR="003968EE" w:rsidRDefault="00C139B4" w:rsidP="00EB1C99">
      <w:pPr>
        <w:pStyle w:val="ListParagraph"/>
        <w:numPr>
          <w:ilvl w:val="0"/>
          <w:numId w:val="31"/>
        </w:numPr>
        <w:jc w:val="both"/>
      </w:pPr>
      <w:r>
        <w:t>the p</w:t>
      </w:r>
      <w:r w:rsidR="0072760E">
        <w:t>laintiff is Sheniye</w:t>
      </w:r>
      <w:r w:rsidR="00E5420B">
        <w:t>’s brother and also the child’s neighbour;</w:t>
      </w:r>
    </w:p>
    <w:p w14:paraId="2E2F0CDA" w14:textId="76537DD5" w:rsidR="005B0E2B" w:rsidRDefault="005B0E2B" w:rsidP="00EB1C99">
      <w:pPr>
        <w:pStyle w:val="ListParagraph"/>
        <w:numPr>
          <w:ilvl w:val="0"/>
          <w:numId w:val="31"/>
        </w:numPr>
        <w:jc w:val="both"/>
      </w:pPr>
      <w:r>
        <w:t>when the matter was tried, th</w:t>
      </w:r>
      <w:r w:rsidR="00C139B4">
        <w:t>e child witness implicated the p</w:t>
      </w:r>
      <w:r>
        <w:t xml:space="preserve">laintiff and another </w:t>
      </w:r>
      <w:r w:rsidR="2ED3E0DC">
        <w:t>five-year-old</w:t>
      </w:r>
      <w:r>
        <w:t xml:space="preserve"> boy as pe</w:t>
      </w:r>
      <w:r w:rsidR="007E34B1">
        <w:t>rpetrators of the crime of rape;</w:t>
      </w:r>
    </w:p>
    <w:p w14:paraId="013C02CC" w14:textId="77777777" w:rsidR="005B0E2B" w:rsidRDefault="005B0E2B" w:rsidP="00EB1C99">
      <w:pPr>
        <w:pStyle w:val="ListParagraph"/>
        <w:numPr>
          <w:ilvl w:val="0"/>
          <w:numId w:val="31"/>
        </w:numPr>
        <w:jc w:val="both"/>
      </w:pPr>
      <w:r>
        <w:lastRenderedPageBreak/>
        <w:t xml:space="preserve"> the court returned a verdict of not guilty in terms of Section 174 of the CPA</w:t>
      </w:r>
      <w:r w:rsidR="007E34B1">
        <w:t xml:space="preserve"> and</w:t>
      </w:r>
    </w:p>
    <w:p w14:paraId="0FBAA1EF" w14:textId="1CD82C50" w:rsidR="007E34B1" w:rsidRDefault="00C139B4" w:rsidP="00EB1C99">
      <w:pPr>
        <w:pStyle w:val="ListParagraph"/>
        <w:numPr>
          <w:ilvl w:val="0"/>
          <w:numId w:val="31"/>
        </w:numPr>
        <w:jc w:val="both"/>
      </w:pPr>
      <w:r>
        <w:t>the p</w:t>
      </w:r>
      <w:r w:rsidR="007E34B1">
        <w:t>laintiff was released</w:t>
      </w:r>
      <w:r w:rsidR="00242960">
        <w:t xml:space="preserve"> on 31 March</w:t>
      </w:r>
      <w:r w:rsidR="003F34B8">
        <w:t xml:space="preserve"> 201</w:t>
      </w:r>
      <w:r w:rsidR="007E34B1">
        <w:t>6</w:t>
      </w:r>
      <w:r>
        <w:t>.</w:t>
      </w:r>
    </w:p>
    <w:p w14:paraId="2C8F7305" w14:textId="77777777" w:rsidR="003F34B8" w:rsidRDefault="003F34B8" w:rsidP="003F34B8">
      <w:pPr>
        <w:pStyle w:val="ListParagraph"/>
        <w:ind w:left="1080"/>
        <w:jc w:val="both"/>
      </w:pPr>
    </w:p>
    <w:p w14:paraId="163C4A2E" w14:textId="21F68581" w:rsidR="003F34B8" w:rsidRPr="003F34B8" w:rsidRDefault="003F34B8" w:rsidP="00B447F5">
      <w:pPr>
        <w:pStyle w:val="ListParagraph"/>
        <w:ind w:left="0"/>
        <w:jc w:val="both"/>
        <w:rPr>
          <w:b/>
        </w:rPr>
      </w:pPr>
      <w:r w:rsidRPr="003F34B8">
        <w:rPr>
          <w:b/>
        </w:rPr>
        <w:t>ARREST</w:t>
      </w:r>
    </w:p>
    <w:p w14:paraId="19219836" w14:textId="77777777" w:rsidR="001A4C94" w:rsidRDefault="001A4C94" w:rsidP="00EB1C99">
      <w:pPr>
        <w:pStyle w:val="ListParagraph"/>
        <w:ind w:left="1080"/>
        <w:jc w:val="both"/>
      </w:pPr>
    </w:p>
    <w:p w14:paraId="35658D67" w14:textId="6BCA463E" w:rsidR="00724392" w:rsidRDefault="00CF2DAE" w:rsidP="009A5958">
      <w:pPr>
        <w:jc w:val="both"/>
      </w:pPr>
      <w:r>
        <w:t>[35</w:t>
      </w:r>
      <w:r w:rsidR="00050945">
        <w:t>]</w:t>
      </w:r>
      <w:r w:rsidR="00050945">
        <w:tab/>
      </w:r>
      <w:r w:rsidR="00724392">
        <w:t xml:space="preserve">Our courts have accepted that if an arrest or detention is by or at the instance of any public officer or authority, the responsible official must justify the arrest or detention by pointing to the statute or statutory regulation from which he claims to derive his power to arrest or detain the detainee and he must demonstrate that he acted within the scope of </w:t>
      </w:r>
      <w:r w:rsidR="00050945">
        <w:t xml:space="preserve">the </w:t>
      </w:r>
      <w:r w:rsidR="00724392">
        <w:t>power conferred</w:t>
      </w:r>
      <w:r w:rsidR="00713345">
        <w:t>,</w:t>
      </w:r>
      <w:r w:rsidR="00724392">
        <w:t xml:space="preserve"> and further that he has observed the provisions of the statute or regulation that empowered him to do so.</w:t>
      </w:r>
      <w:r w:rsidR="00724392">
        <w:rPr>
          <w:rStyle w:val="FootnoteReference"/>
        </w:rPr>
        <w:footnoteReference w:id="9"/>
      </w:r>
      <w:r w:rsidR="00AB7D0D">
        <w:t xml:space="preserve"> As alluded</w:t>
      </w:r>
      <w:r w:rsidR="00053390">
        <w:t>, Section 40(1)</w:t>
      </w:r>
      <w:r w:rsidR="005812F3">
        <w:t xml:space="preserve"> </w:t>
      </w:r>
      <w:r w:rsidR="00053390">
        <w:t>(b)</w:t>
      </w:r>
      <w:r w:rsidR="00C139B4">
        <w:t xml:space="preserve"> of the CPA</w:t>
      </w:r>
      <w:r w:rsidR="003968EE">
        <w:t xml:space="preserve"> justifies arrest without a warrant.</w:t>
      </w:r>
    </w:p>
    <w:p w14:paraId="296FEF7D" w14:textId="77777777" w:rsidR="00692B10" w:rsidRDefault="00692B10" w:rsidP="00EB1C99">
      <w:pPr>
        <w:pStyle w:val="ListParagraph"/>
        <w:ind w:left="1080"/>
        <w:jc w:val="both"/>
      </w:pPr>
    </w:p>
    <w:p w14:paraId="561EB7A0" w14:textId="433A45B4" w:rsidR="005C3B00" w:rsidRDefault="00CF2DAE" w:rsidP="009A5958">
      <w:pPr>
        <w:jc w:val="both"/>
      </w:pPr>
      <w:r>
        <w:t>[36</w:t>
      </w:r>
      <w:r w:rsidR="00050945">
        <w:t>]</w:t>
      </w:r>
      <w:r w:rsidR="00050945">
        <w:tab/>
      </w:r>
      <w:r w:rsidR="00692B10">
        <w:t>Rape of a minor child i</w:t>
      </w:r>
      <w:r w:rsidR="00713345">
        <w:t>s a statutory offence falling</w:t>
      </w:r>
      <w:r w:rsidR="00692B10">
        <w:t xml:space="preserve"> within the ambit of Section 3</w:t>
      </w:r>
      <w:r w:rsidR="00237B86">
        <w:t xml:space="preserve"> of</w:t>
      </w:r>
      <w:r w:rsidR="00A469AB">
        <w:t xml:space="preserve"> Criminal Law Sexual Offences and Related Matters </w:t>
      </w:r>
      <w:r w:rsidR="00D40BEA">
        <w:t>Amendment Act</w:t>
      </w:r>
      <w:r w:rsidR="00692B10">
        <w:t>, 32 of 2007.</w:t>
      </w:r>
      <w:r w:rsidR="00692B10">
        <w:rPr>
          <w:rStyle w:val="FootnoteReference"/>
        </w:rPr>
        <w:footnoteReference w:id="10"/>
      </w:r>
      <w:r w:rsidR="00692B10">
        <w:t xml:space="preserve"> In terms </w:t>
      </w:r>
      <w:r w:rsidR="006A281D">
        <w:t xml:space="preserve">of </w:t>
      </w:r>
      <w:r w:rsidR="00692B10">
        <w:t>statute rape</w:t>
      </w:r>
      <w:r w:rsidR="7948FCA3">
        <w:t xml:space="preserve"> it</w:t>
      </w:r>
      <w:r w:rsidR="00692B10">
        <w:t xml:space="preserve"> is defined as an act of ‘sexual penetration’ with another person without such person’</w:t>
      </w:r>
      <w:r w:rsidR="00113ACF">
        <w:t xml:space="preserve">s consent. The statement </w:t>
      </w:r>
      <w:r w:rsidR="00741CAE">
        <w:t xml:space="preserve">of </w:t>
      </w:r>
      <w:r w:rsidR="00113ACF">
        <w:t>the child’s</w:t>
      </w:r>
      <w:r w:rsidR="00692B10">
        <w:t xml:space="preserve"> </w:t>
      </w:r>
      <w:r>
        <w:t>mother, that</w:t>
      </w:r>
      <w:r w:rsidR="0072760E">
        <w:t xml:space="preserve"> of the child</w:t>
      </w:r>
      <w:r w:rsidR="00692B10">
        <w:t xml:space="preserve"> and a medical report were discovered in the</w:t>
      </w:r>
      <w:r w:rsidR="00D87E0C">
        <w:t xml:space="preserve"> bundle of documents</w:t>
      </w:r>
      <w:r w:rsidR="00692B10">
        <w:t>. An act of sexual penetration was demonstrated in the said statements.</w:t>
      </w:r>
      <w:r w:rsidR="00741CAE">
        <w:t xml:space="preserve"> The child consistently informed the arresting officer that </w:t>
      </w:r>
      <w:r w:rsidR="00A84D56">
        <w:t>s</w:t>
      </w:r>
      <w:r w:rsidR="00741CAE">
        <w:t>he was raped by the plaintiff.</w:t>
      </w:r>
      <w:r w:rsidR="009866CD">
        <w:t xml:space="preserve"> It is imperative to note that</w:t>
      </w:r>
      <w:r w:rsidR="00692B10">
        <w:t xml:space="preserve"> </w:t>
      </w:r>
      <w:r w:rsidR="009866CD">
        <w:t>a</w:t>
      </w:r>
      <w:r w:rsidR="005C3B00">
        <w:t xml:space="preserve"> </w:t>
      </w:r>
      <w:r w:rsidR="031BB550">
        <w:t>five-year-old</w:t>
      </w:r>
      <w:r w:rsidR="005C3B00">
        <w:t xml:space="preserve"> lacks </w:t>
      </w:r>
      <w:r w:rsidR="003B5C2F">
        <w:t xml:space="preserve">the </w:t>
      </w:r>
      <w:r w:rsidR="005C3B00">
        <w:t>capacity t</w:t>
      </w:r>
      <w:r w:rsidR="00BC31BA">
        <w:t>o consent to sexual intercourse.</w:t>
      </w:r>
      <w:r w:rsidR="005C3B00">
        <w:rPr>
          <w:rStyle w:val="FootnoteReference"/>
        </w:rPr>
        <w:footnoteReference w:id="11"/>
      </w:r>
      <w:r w:rsidR="007E234A">
        <w:t xml:space="preserve"> The arresting officer</w:t>
      </w:r>
      <w:r w:rsidR="005C3B00">
        <w:t xml:space="preserve"> obtained</w:t>
      </w:r>
      <w:r w:rsidR="00692B10">
        <w:t xml:space="preserve"> </w:t>
      </w:r>
      <w:r w:rsidR="00113ACF">
        <w:t>a statement from the child</w:t>
      </w:r>
      <w:r w:rsidR="00692B10">
        <w:t>’s mother to prove con</w:t>
      </w:r>
      <w:r w:rsidR="00113ACF">
        <w:t>sistency in the child</w:t>
      </w:r>
      <w:r w:rsidR="005C3B00">
        <w:t xml:space="preserve">’s complaint and not to prove that rape </w:t>
      </w:r>
      <w:r w:rsidR="009866CD">
        <w:t xml:space="preserve">had </w:t>
      </w:r>
      <w:r w:rsidR="005C3B00">
        <w:t>occurred.</w:t>
      </w:r>
      <w:r w:rsidR="009112A8">
        <w:rPr>
          <w:rStyle w:val="FootnoteReference"/>
        </w:rPr>
        <w:footnoteReference w:id="12"/>
      </w:r>
      <w:r w:rsidR="005C3B00">
        <w:t xml:space="preserve"> This is a st</w:t>
      </w:r>
      <w:r w:rsidR="009112A8">
        <w:t>andard practi</w:t>
      </w:r>
      <w:r w:rsidR="470E24EB">
        <w:t>c</w:t>
      </w:r>
      <w:r w:rsidR="009112A8">
        <w:t>e that is admitted</w:t>
      </w:r>
      <w:r w:rsidR="005C3B00">
        <w:t xml:space="preserve"> in criminal proceedings in particular rape </w:t>
      </w:r>
      <w:r w:rsidR="00050945">
        <w:t>matters. The</w:t>
      </w:r>
      <w:r w:rsidR="009112A8">
        <w:t xml:space="preserve"> statement is normally referred to as</w:t>
      </w:r>
      <w:r w:rsidR="003B5C2F">
        <w:t xml:space="preserve"> first</w:t>
      </w:r>
      <w:r w:rsidR="009112A8">
        <w:t xml:space="preserve"> report evidence.</w:t>
      </w:r>
      <w:r w:rsidR="000E711B">
        <w:t xml:space="preserve"> </w:t>
      </w:r>
      <w:r w:rsidR="00411609">
        <w:t xml:space="preserve">With respect, the contention that the mother’s evidence is irrelevant because he was not present when the rape offence was allegedly committed is misplaced. </w:t>
      </w:r>
      <w:r w:rsidR="000E711B">
        <w:t>Additionally, t</w:t>
      </w:r>
      <w:r w:rsidR="00237B86">
        <w:t xml:space="preserve">he fact that semen was not emitted during the alleged sexual intercourse </w:t>
      </w:r>
      <w:r w:rsidR="000E711B">
        <w:t xml:space="preserve">is irrelevant for purposes of Section </w:t>
      </w:r>
      <w:r w:rsidR="000E711B">
        <w:lastRenderedPageBreak/>
        <w:t>40(1) (b)</w:t>
      </w:r>
      <w:r w:rsidR="00C139B4">
        <w:t xml:space="preserve"> of the CPA</w:t>
      </w:r>
      <w:r w:rsidR="000E711B">
        <w:t>. This then settles the argument that scientific proof in the form of DNA analysis was not produced.</w:t>
      </w:r>
    </w:p>
    <w:p w14:paraId="7194DBDC" w14:textId="77777777" w:rsidR="000E711B" w:rsidRDefault="000E711B" w:rsidP="00EB1C99">
      <w:pPr>
        <w:pStyle w:val="ListParagraph"/>
        <w:ind w:left="1080"/>
        <w:jc w:val="both"/>
      </w:pPr>
    </w:p>
    <w:p w14:paraId="6791C020" w14:textId="5665EEDE" w:rsidR="008F7A39" w:rsidRDefault="00CF2DAE" w:rsidP="009A5958">
      <w:pPr>
        <w:jc w:val="both"/>
      </w:pPr>
      <w:r>
        <w:t>[37</w:t>
      </w:r>
      <w:r w:rsidR="00050945">
        <w:t>]</w:t>
      </w:r>
      <w:r w:rsidR="00050945">
        <w:tab/>
      </w:r>
      <w:r w:rsidR="000E711B">
        <w:t>I</w:t>
      </w:r>
      <w:r w:rsidR="004934BE">
        <w:t>t is further my considered view that</w:t>
      </w:r>
      <w:r w:rsidR="000042AC">
        <w:t xml:space="preserve"> the</w:t>
      </w:r>
      <w:r w:rsidR="00B9527D">
        <w:t xml:space="preserve"> focus should not be </w:t>
      </w:r>
      <w:r w:rsidR="000E711B">
        <w:t xml:space="preserve">on the quantity of evidence that </w:t>
      </w:r>
      <w:r w:rsidR="00B9527D">
        <w:t xml:space="preserve">a </w:t>
      </w:r>
      <w:r w:rsidR="000E711B">
        <w:t>police officer h</w:t>
      </w:r>
      <w:r w:rsidR="000042AC">
        <w:t>ad at</w:t>
      </w:r>
      <w:r w:rsidR="000E711B">
        <w:t xml:space="preserve"> his disposal. The focus should rather be on the quality of </w:t>
      </w:r>
      <w:r w:rsidR="000042AC">
        <w:t>information that the officer possessed</w:t>
      </w:r>
      <w:r w:rsidR="000E711B">
        <w:t>.</w:t>
      </w:r>
    </w:p>
    <w:p w14:paraId="769D0D3C" w14:textId="77777777" w:rsidR="008F7A39" w:rsidRDefault="008F7A39" w:rsidP="009A5958">
      <w:pPr>
        <w:pStyle w:val="ListParagraph"/>
        <w:jc w:val="both"/>
      </w:pPr>
    </w:p>
    <w:p w14:paraId="04E5474E" w14:textId="40252186" w:rsidR="008F7A39" w:rsidRDefault="00CF2DAE" w:rsidP="009A5958">
      <w:pPr>
        <w:jc w:val="both"/>
      </w:pPr>
      <w:r>
        <w:t>[38</w:t>
      </w:r>
      <w:r w:rsidR="00050945">
        <w:t>]</w:t>
      </w:r>
      <w:r w:rsidR="00050945">
        <w:tab/>
      </w:r>
      <w:r w:rsidR="008F7A39">
        <w:t xml:space="preserve">The following passage quoted from the matter of </w:t>
      </w:r>
      <w:r w:rsidR="008F7A39" w:rsidRPr="009A5958">
        <w:rPr>
          <w:i/>
          <w:iCs/>
        </w:rPr>
        <w:t>Biyela</w:t>
      </w:r>
      <w:r w:rsidR="006E2720" w:rsidRPr="009A5958">
        <w:rPr>
          <w:i/>
          <w:iCs/>
        </w:rPr>
        <w:t xml:space="preserve"> v Minister of Police</w:t>
      </w:r>
      <w:r w:rsidR="006E2720">
        <w:rPr>
          <w:rStyle w:val="FootnoteReference"/>
        </w:rPr>
        <w:footnoteReference w:id="13"/>
      </w:r>
      <w:r w:rsidR="008F7A39">
        <w:t xml:space="preserve"> is relevant in these </w:t>
      </w:r>
      <w:r w:rsidR="00050945">
        <w:t>proceedings:</w:t>
      </w:r>
    </w:p>
    <w:p w14:paraId="54CD245A" w14:textId="77777777" w:rsidR="008F7A39" w:rsidRDefault="008F7A39" w:rsidP="009A5958">
      <w:pPr>
        <w:pStyle w:val="ListParagraph"/>
        <w:jc w:val="both"/>
      </w:pPr>
    </w:p>
    <w:p w14:paraId="60991E21" w14:textId="1EE1A5D1" w:rsidR="008F7A39" w:rsidRPr="009A5958" w:rsidRDefault="00050945" w:rsidP="00EB1C99">
      <w:pPr>
        <w:pStyle w:val="ListParagraph"/>
        <w:jc w:val="both"/>
        <w:rPr>
          <w:sz w:val="20"/>
          <w:szCs w:val="20"/>
        </w:rPr>
      </w:pPr>
      <w:r w:rsidRPr="009A5958">
        <w:rPr>
          <w:sz w:val="20"/>
          <w:szCs w:val="20"/>
        </w:rPr>
        <w:t>“</w:t>
      </w:r>
      <w:r w:rsidR="008F7A39" w:rsidRPr="009A5958">
        <w:rPr>
          <w:sz w:val="20"/>
          <w:szCs w:val="20"/>
        </w:rPr>
        <w:t xml:space="preserve">At para [35] What is required is that the arresting officer must form a reasonable suspicion that a Schedule 1 offence has been committed based on credible and trustworthy information. Whether that information </w:t>
      </w:r>
      <w:r w:rsidR="00113ACF">
        <w:rPr>
          <w:sz w:val="20"/>
          <w:szCs w:val="20"/>
        </w:rPr>
        <w:t xml:space="preserve">would later in a court of law </w:t>
      </w:r>
      <w:r w:rsidR="008F7A39" w:rsidRPr="009A5958">
        <w:rPr>
          <w:sz w:val="20"/>
          <w:szCs w:val="20"/>
        </w:rPr>
        <w:t>found to be inadmissible is neither here nor there for the determination of whether the arresting officer at the time of arrest harboured a reasonable sus</w:t>
      </w:r>
      <w:r w:rsidR="00113ACF">
        <w:rPr>
          <w:sz w:val="20"/>
          <w:szCs w:val="20"/>
        </w:rPr>
        <w:t>picion that the arrestee</w:t>
      </w:r>
      <w:r w:rsidR="008F7A39" w:rsidRPr="009A5958">
        <w:rPr>
          <w:sz w:val="20"/>
          <w:szCs w:val="20"/>
        </w:rPr>
        <w:t xml:space="preserve"> committed a Schedule 1 offence.</w:t>
      </w:r>
      <w:r>
        <w:rPr>
          <w:sz w:val="20"/>
          <w:szCs w:val="20"/>
        </w:rPr>
        <w:t>”</w:t>
      </w:r>
    </w:p>
    <w:p w14:paraId="1231BE67" w14:textId="77777777" w:rsidR="008F7A39" w:rsidRDefault="008F7A39" w:rsidP="009A5958">
      <w:pPr>
        <w:pStyle w:val="ListParagraph"/>
        <w:jc w:val="both"/>
      </w:pPr>
    </w:p>
    <w:p w14:paraId="23BC74EA" w14:textId="38328B3C" w:rsidR="007F483A" w:rsidRDefault="00CF2DAE" w:rsidP="009A5958">
      <w:pPr>
        <w:jc w:val="both"/>
      </w:pPr>
      <w:r>
        <w:t>[39</w:t>
      </w:r>
      <w:r w:rsidR="00050945">
        <w:t>]</w:t>
      </w:r>
      <w:r w:rsidR="00050945">
        <w:tab/>
      </w:r>
      <w:r w:rsidR="005812F3">
        <w:t>O</w:t>
      </w:r>
      <w:r w:rsidR="006E2720">
        <w:t>n the hearsay nature of evidence, as argued, it must be remembered that the arrest</w:t>
      </w:r>
      <w:r w:rsidR="009607FA">
        <w:t>ing officer not only relied on the</w:t>
      </w:r>
      <w:r w:rsidR="00C139B4">
        <w:t xml:space="preserve"> </w:t>
      </w:r>
      <w:r w:rsidR="00D44575">
        <w:t>witness’s statements</w:t>
      </w:r>
      <w:r w:rsidR="006E2720">
        <w:t xml:space="preserve"> </w:t>
      </w:r>
      <w:r w:rsidR="4F194A98">
        <w:t xml:space="preserve">but </w:t>
      </w:r>
      <w:r w:rsidR="00945A9C">
        <w:t>also interviewed</w:t>
      </w:r>
      <w:r w:rsidR="00D44575">
        <w:t xml:space="preserve"> all</w:t>
      </w:r>
      <w:r w:rsidR="00945A9C">
        <w:t xml:space="preserve"> the</w:t>
      </w:r>
      <w:r w:rsidR="006E2720">
        <w:t xml:space="preserve"> parties involved</w:t>
      </w:r>
      <w:r w:rsidR="00945A9C">
        <w:t xml:space="preserve"> on the alleged charge of rape</w:t>
      </w:r>
      <w:r w:rsidR="006E2720">
        <w:t xml:space="preserve">. I </w:t>
      </w:r>
      <w:r w:rsidR="7C2DAC14">
        <w:t>disagree</w:t>
      </w:r>
      <w:r w:rsidR="00C139B4">
        <w:t xml:space="preserve"> with </w:t>
      </w:r>
      <w:r w:rsidR="00A84D56">
        <w:t xml:space="preserve">the </w:t>
      </w:r>
      <w:r w:rsidR="00C139B4">
        <w:t>p</w:t>
      </w:r>
      <w:r w:rsidR="006E2720">
        <w:t>laintiff’s counsel that the child and the mother ought to have been called to testify in these proceedings.</w:t>
      </w:r>
      <w:r w:rsidR="00BE6A8B" w:rsidRPr="00BE6A8B">
        <w:t xml:space="preserve"> </w:t>
      </w:r>
      <w:r w:rsidR="006E2720">
        <w:t>I am</w:t>
      </w:r>
      <w:r w:rsidR="00BE6A8B">
        <w:t xml:space="preserve"> therefore</w:t>
      </w:r>
      <w:r w:rsidR="006E2720">
        <w:t xml:space="preserve"> not persuaded that the evidence of the arrestin</w:t>
      </w:r>
      <w:r w:rsidR="00945A9C">
        <w:t xml:space="preserve">g officer qualifies as hearsay </w:t>
      </w:r>
      <w:r w:rsidR="006E2720">
        <w:t xml:space="preserve">in terms of Section 3 (1) of the Law of Evidence Amendment Act 45 of </w:t>
      </w:r>
      <w:r w:rsidR="00945A9C">
        <w:t>1988.</w:t>
      </w:r>
      <w:r w:rsidR="00BE6A8B">
        <w:t xml:space="preserve"> </w:t>
      </w:r>
      <w:r w:rsidR="3E803FC8">
        <w:t>Regardless</w:t>
      </w:r>
      <w:r w:rsidR="006E2720">
        <w:t xml:space="preserve">, the principle in </w:t>
      </w:r>
      <w:r w:rsidR="006E2720" w:rsidRPr="00050945">
        <w:rPr>
          <w:i/>
          <w:iCs/>
        </w:rPr>
        <w:t>Biyela</w:t>
      </w:r>
      <w:r w:rsidR="006E2720" w:rsidRPr="5AC7D5BF">
        <w:rPr>
          <w:rStyle w:val="FootnoteReference"/>
          <w:i/>
          <w:iCs/>
        </w:rPr>
        <w:footnoteReference w:id="14"/>
      </w:r>
      <w:r w:rsidR="006E2720">
        <w:t xml:space="preserve"> matter settles the argument raised on this aspect.</w:t>
      </w:r>
      <w:r w:rsidR="00945A9C" w:rsidRPr="00945A9C">
        <w:t xml:space="preserve"> </w:t>
      </w:r>
    </w:p>
    <w:p w14:paraId="16CF7B3C" w14:textId="77777777" w:rsidR="007F483A" w:rsidRDefault="007F483A" w:rsidP="009A5958">
      <w:pPr>
        <w:jc w:val="both"/>
      </w:pPr>
    </w:p>
    <w:p w14:paraId="514427EF" w14:textId="655DBB26" w:rsidR="007F483A" w:rsidRDefault="007F483A" w:rsidP="009A5958">
      <w:pPr>
        <w:jc w:val="both"/>
      </w:pPr>
      <w:r>
        <w:t>[</w:t>
      </w:r>
      <w:r w:rsidR="00CF2DAE">
        <w:t>40</w:t>
      </w:r>
      <w:r w:rsidR="00873205">
        <w:t xml:space="preserve">]  </w:t>
      </w:r>
      <w:r w:rsidR="00CF2DAE">
        <w:t xml:space="preserve"> </w:t>
      </w:r>
      <w:r w:rsidR="00873205">
        <w:t>It</w:t>
      </w:r>
      <w:r>
        <w:t xml:space="preserve"> is noted that the child statement was not commissioned. To address this point, it is </w:t>
      </w:r>
      <w:r w:rsidR="00A16B83">
        <w:t>commanding</w:t>
      </w:r>
      <w:r>
        <w:t xml:space="preserve"> to consider </w:t>
      </w:r>
      <w:r w:rsidR="00127E9E">
        <w:t xml:space="preserve">the Standing Orders 322, 327 and Standing Order General 18 of 1990. The guidelines relating to the taking of a statement of a child victim </w:t>
      </w:r>
      <w:r w:rsidR="00BE6A8B">
        <w:t xml:space="preserve">are set out in the </w:t>
      </w:r>
      <w:r w:rsidR="00127E9E">
        <w:t>Standing Orders. In terms of Section 28 of the Constitution, a child is a person under the age of 18 years.</w:t>
      </w:r>
      <w:r w:rsidR="00BE6A8B">
        <w:t xml:space="preserve"> </w:t>
      </w:r>
      <w:r w:rsidR="009F06BF">
        <w:t>P</w:t>
      </w:r>
      <w:r w:rsidR="00127E9E">
        <w:t>olice are guided to determine whether or not a child understands the oath or affirmation. In terms of the Standing Orders</w:t>
      </w:r>
      <w:r w:rsidR="00753420">
        <w:t>,</w:t>
      </w:r>
      <w:r w:rsidR="00127E9E">
        <w:t xml:space="preserve"> it is generally accepted that a child under the age of 12 years does not understand the </w:t>
      </w:r>
      <w:r w:rsidR="00127E9E">
        <w:lastRenderedPageBreak/>
        <w:t>oa</w:t>
      </w:r>
      <w:r w:rsidR="00D44575">
        <w:t>th or affirmation. This then explains why the child’s statement was not</w:t>
      </w:r>
      <w:r w:rsidR="00127E9E">
        <w:t xml:space="preserve"> commissioned. </w:t>
      </w:r>
    </w:p>
    <w:p w14:paraId="2D1E1B53" w14:textId="77777777" w:rsidR="00BE6A8B" w:rsidRDefault="00BE6A8B" w:rsidP="009A5958">
      <w:pPr>
        <w:jc w:val="both"/>
      </w:pPr>
    </w:p>
    <w:p w14:paraId="44EC8504" w14:textId="2E89D8CE" w:rsidR="000E711B" w:rsidRDefault="00127E9E" w:rsidP="009A5958">
      <w:pPr>
        <w:jc w:val="both"/>
      </w:pPr>
      <w:r>
        <w:t>[</w:t>
      </w:r>
      <w:r w:rsidR="00CF2DAE">
        <w:t>41</w:t>
      </w:r>
      <w:r>
        <w:t xml:space="preserve">] </w:t>
      </w:r>
      <w:r w:rsidR="00565DCB">
        <w:t xml:space="preserve">   </w:t>
      </w:r>
      <w:r w:rsidR="00D44575">
        <w:t>I</w:t>
      </w:r>
      <w:r>
        <w:t>t is</w:t>
      </w:r>
      <w:r w:rsidR="00753420">
        <w:t xml:space="preserve"> further</w:t>
      </w:r>
      <w:r>
        <w:t xml:space="preserve"> accepted that the child was a 5 </w:t>
      </w:r>
      <w:r w:rsidR="00A84D56">
        <w:t>–</w:t>
      </w:r>
      <w:r>
        <w:t>year</w:t>
      </w:r>
      <w:r w:rsidR="00A84D56">
        <w:t>-</w:t>
      </w:r>
      <w:r>
        <w:t xml:space="preserve"> old</w:t>
      </w:r>
      <w:r w:rsidR="00873205">
        <w:t xml:space="preserve"> grade R girl</w:t>
      </w:r>
      <w:r>
        <w:t>. Most importantly she was interviewed in the presence of her mother. It was</w:t>
      </w:r>
      <w:r w:rsidR="00A16B83">
        <w:t xml:space="preserve"> therefore</w:t>
      </w:r>
      <w:r>
        <w:t xml:space="preserve"> </w:t>
      </w:r>
      <w:r w:rsidR="00A16B83">
        <w:t>significant</w:t>
      </w:r>
      <w:r>
        <w:t xml:space="preserve"> for the arresting officer to keep records of the said interview.</w:t>
      </w:r>
      <w:r w:rsidR="00E5420B">
        <w:t xml:space="preserve"> The arresting officer informed the court that the content of his interview with the child was consistent to what was contained in the statement. </w:t>
      </w:r>
      <w:r>
        <w:t xml:space="preserve"> </w:t>
      </w:r>
      <w:r w:rsidR="00945A9C">
        <w:t>In my considered view, reliance on the statements of</w:t>
      </w:r>
      <w:r w:rsidR="00F5764D">
        <w:t xml:space="preserve"> the</w:t>
      </w:r>
      <w:r w:rsidR="00945A9C">
        <w:t xml:space="preserve"> witnesses</w:t>
      </w:r>
      <w:r w:rsidR="008751D8">
        <w:t>, the records of the interview</w:t>
      </w:r>
      <w:r w:rsidR="00536E3D">
        <w:t xml:space="preserve"> of the child and the plaintiff as well as a</w:t>
      </w:r>
      <w:r w:rsidR="00945A9C">
        <w:t xml:space="preserve"> medical </w:t>
      </w:r>
      <w:r w:rsidR="00BE6A8B">
        <w:t>report</w:t>
      </w:r>
      <w:r w:rsidR="00945A9C">
        <w:t xml:space="preserve"> was enough to formula</w:t>
      </w:r>
      <w:r w:rsidR="003C3529">
        <w:t>te a reasonable suspicion that the</w:t>
      </w:r>
      <w:r w:rsidR="00945A9C">
        <w:t xml:space="preserve"> child was </w:t>
      </w:r>
      <w:r w:rsidR="00050945">
        <w:t>raped,</w:t>
      </w:r>
      <w:r w:rsidR="00945A9C">
        <w:t xml:space="preserve"> and the perpetrator was </w:t>
      </w:r>
      <w:r w:rsidR="00050945">
        <w:t xml:space="preserve">satisfactorily </w:t>
      </w:r>
      <w:r w:rsidR="00945A9C">
        <w:t>identified.</w:t>
      </w:r>
      <w:r w:rsidR="00CD42FE">
        <w:t xml:space="preserve"> Even though the date of the incident was not specifically mentioned, </w:t>
      </w:r>
      <w:r w:rsidR="008751D8">
        <w:t>the plaintiff ad</w:t>
      </w:r>
      <w:r w:rsidR="00CD42FE">
        <w:t>mitted to have seen the child at his home on the day</w:t>
      </w:r>
      <w:r w:rsidR="008751D8">
        <w:t xml:space="preserve"> of the alleged incident. The issue of alibi was </w:t>
      </w:r>
      <w:r w:rsidR="00CD42FE">
        <w:t>raised later</w:t>
      </w:r>
      <w:r w:rsidR="008751D8">
        <w:t xml:space="preserve">, hence the arresting officer could not make any follow up </w:t>
      </w:r>
      <w:r w:rsidR="00CD42FE">
        <w:t>to</w:t>
      </w:r>
      <w:r w:rsidR="008751D8">
        <w:t xml:space="preserve"> verify it.</w:t>
      </w:r>
      <w:r w:rsidR="0031240C">
        <w:t xml:space="preserve"> I therefore find t</w:t>
      </w:r>
      <w:r w:rsidR="007639F3">
        <w:t>hat the information was credible</w:t>
      </w:r>
      <w:r w:rsidR="0031240C">
        <w:t xml:space="preserve"> and trustworthy for purposes of formulating a reasonable suspicion that a Schedule 1 offence was committed. Considering the above, </w:t>
      </w:r>
      <w:r w:rsidR="00B9527D">
        <w:t>the suspicion was ba</w:t>
      </w:r>
      <w:r w:rsidR="004934BE">
        <w:t>sed on solid grounds.</w:t>
      </w:r>
      <w:r w:rsidR="000042AC">
        <w:t xml:space="preserve"> </w:t>
      </w:r>
      <w:r w:rsidR="007E234A">
        <w:t xml:space="preserve">I am therefore satisfied that prior to arrest, the jurisdictional facts were established. </w:t>
      </w:r>
      <w:r w:rsidR="000042AC">
        <w:t>The fact that</w:t>
      </w:r>
      <w:r w:rsidR="00F5764D">
        <w:t xml:space="preserve"> the p</w:t>
      </w:r>
      <w:r w:rsidR="000042AC">
        <w:t>laintiff was discharged in terms of Section 1</w:t>
      </w:r>
      <w:r w:rsidR="00BE6A8B">
        <w:t>74 of the CPA</w:t>
      </w:r>
      <w:r w:rsidR="000042AC">
        <w:t xml:space="preserve"> has no bearing on the issues raised. </w:t>
      </w:r>
    </w:p>
    <w:p w14:paraId="356A0526" w14:textId="77777777" w:rsidR="00E94AF1" w:rsidRDefault="00E94AF1" w:rsidP="00E94AF1">
      <w:pPr>
        <w:pStyle w:val="ListParagraph"/>
        <w:jc w:val="both"/>
        <w:rPr>
          <w:color w:val="111111"/>
        </w:rPr>
      </w:pPr>
    </w:p>
    <w:p w14:paraId="24A87455" w14:textId="1F35B8A7" w:rsidR="009866CD" w:rsidRDefault="00050945" w:rsidP="00B447F5">
      <w:pPr>
        <w:jc w:val="both"/>
        <w:rPr>
          <w:b/>
        </w:rPr>
      </w:pPr>
      <w:r w:rsidRPr="00050945">
        <w:rPr>
          <w:b/>
        </w:rPr>
        <w:t>DETENTION</w:t>
      </w:r>
    </w:p>
    <w:p w14:paraId="40DFCF56" w14:textId="77777777" w:rsidR="005C26C4" w:rsidRDefault="005C26C4" w:rsidP="00B447F5">
      <w:pPr>
        <w:jc w:val="both"/>
        <w:rPr>
          <w:b/>
        </w:rPr>
      </w:pPr>
    </w:p>
    <w:p w14:paraId="7196D064" w14:textId="2A3D2701" w:rsidR="00E96C7C" w:rsidRDefault="00CF2DAE" w:rsidP="00C513CB">
      <w:pPr>
        <w:jc w:val="both"/>
      </w:pPr>
      <w:r>
        <w:t>[42</w:t>
      </w:r>
      <w:r w:rsidR="00050945">
        <w:t>]</w:t>
      </w:r>
      <w:r w:rsidR="00050945">
        <w:tab/>
      </w:r>
      <w:r w:rsidR="000042AC">
        <w:t>An argument was raised</w:t>
      </w:r>
      <w:r w:rsidR="005C3B00">
        <w:t xml:space="preserve"> that</w:t>
      </w:r>
      <w:r w:rsidR="00F5764D">
        <w:t xml:space="preserve"> the</w:t>
      </w:r>
      <w:r w:rsidR="005C3B00">
        <w:t xml:space="preserve"> arrest should have been </w:t>
      </w:r>
      <w:bookmarkStart w:id="3" w:name="_Int_PoOsEEyD"/>
      <w:r w:rsidR="005C3B00">
        <w:t>effected</w:t>
      </w:r>
      <w:bookmarkEnd w:id="3"/>
      <w:r w:rsidR="00330569">
        <w:t xml:space="preserve"> by less in</w:t>
      </w:r>
      <w:r w:rsidR="005C3B00">
        <w:t>vasive means.</w:t>
      </w:r>
      <w:r w:rsidR="00C513CB">
        <w:t xml:space="preserve"> This triggers a question on whether the arresting officer was justified to detain the plaintiff. The methods of securing the attendance of an accused in court are encapsulated in Section 38 of the CPA.</w:t>
      </w:r>
      <w:r w:rsidR="00C513CB">
        <w:rPr>
          <w:rStyle w:val="FootnoteReference"/>
        </w:rPr>
        <w:footnoteReference w:id="15"/>
      </w:r>
      <w:r w:rsidR="005C3B00">
        <w:t xml:space="preserve">  In </w:t>
      </w:r>
      <w:r w:rsidR="005C3B00" w:rsidRPr="009A5958">
        <w:rPr>
          <w:i/>
          <w:iCs/>
        </w:rPr>
        <w:t xml:space="preserve">Louw v Minister of Safety and </w:t>
      </w:r>
      <w:r w:rsidR="007636FE" w:rsidRPr="009A5958">
        <w:rPr>
          <w:i/>
          <w:iCs/>
        </w:rPr>
        <w:t>Security</w:t>
      </w:r>
      <w:r w:rsidR="005C3B00" w:rsidRPr="009A5958">
        <w:rPr>
          <w:rStyle w:val="FootnoteReference"/>
          <w:b/>
          <w:bCs/>
        </w:rPr>
        <w:footnoteReference w:id="16"/>
      </w:r>
      <w:r w:rsidR="005C3B00" w:rsidRPr="00050945">
        <w:t>,</w:t>
      </w:r>
      <w:r w:rsidR="005C3B00">
        <w:t xml:space="preserve"> it was stated that police are obliged to consider </w:t>
      </w:r>
      <w:r w:rsidR="007636FE">
        <w:t xml:space="preserve">each case when a charge has been laid for which a suspect </w:t>
      </w:r>
      <w:r w:rsidR="007636FE" w:rsidRPr="007636FE">
        <w:t xml:space="preserve">might be </w:t>
      </w:r>
      <w:r w:rsidR="007636FE">
        <w:t>averted whether there are no le</w:t>
      </w:r>
      <w:r w:rsidR="00FD7347">
        <w:t>ss inv</w:t>
      </w:r>
      <w:r w:rsidR="007636FE" w:rsidRPr="007636FE">
        <w:t>a</w:t>
      </w:r>
      <w:r w:rsidR="007636FE">
        <w:t xml:space="preserve">sive </w:t>
      </w:r>
      <w:r w:rsidR="007636FE">
        <w:lastRenderedPageBreak/>
        <w:t xml:space="preserve">options to bring </w:t>
      </w:r>
      <w:r w:rsidR="00EB1C99">
        <w:t xml:space="preserve">the </w:t>
      </w:r>
      <w:r w:rsidR="007636FE">
        <w:t xml:space="preserve">suspect before </w:t>
      </w:r>
      <w:r w:rsidR="00EB1C99">
        <w:t xml:space="preserve">a </w:t>
      </w:r>
      <w:r w:rsidR="71AAAEBD">
        <w:t>court other</w:t>
      </w:r>
      <w:r w:rsidR="00A469AB">
        <w:t xml:space="preserve"> </w:t>
      </w:r>
      <w:r w:rsidR="007636FE">
        <w:t xml:space="preserve">than immediate detention of the person concerned. If there is no reasonable apprehension that </w:t>
      </w:r>
      <w:r w:rsidR="00EB1C99">
        <w:t xml:space="preserve">the </w:t>
      </w:r>
      <w:r w:rsidR="007636FE">
        <w:t>suspect will abscond or fail to appear in court if the warrant is first obtained for his or her arrest</w:t>
      </w:r>
      <w:r w:rsidR="00E96C7C">
        <w:t xml:space="preserve"> </w:t>
      </w:r>
      <w:r w:rsidR="007636FE">
        <w:t>or a notice</w:t>
      </w:r>
      <w:r w:rsidR="00E96C7C">
        <w:t xml:space="preserve"> </w:t>
      </w:r>
      <w:r w:rsidR="007636FE">
        <w:t>or summons</w:t>
      </w:r>
      <w:r w:rsidR="00E96C7C">
        <w:t xml:space="preserve"> </w:t>
      </w:r>
      <w:r w:rsidR="007636FE">
        <w:t xml:space="preserve">to appear in court is </w:t>
      </w:r>
      <w:r w:rsidR="04E43EFA">
        <w:t>obtained,</w:t>
      </w:r>
      <w:r w:rsidR="007636FE">
        <w:t xml:space="preserve"> then it is </w:t>
      </w:r>
      <w:r w:rsidR="003C3529">
        <w:t>constitutionally</w:t>
      </w:r>
      <w:r w:rsidR="007636FE">
        <w:t xml:space="preserve"> untenable to exercise power to arrest</w:t>
      </w:r>
      <w:r w:rsidR="009866CD">
        <w:t>.</w:t>
      </w:r>
      <w:r w:rsidR="00E96C7C" w:rsidRPr="00E96C7C">
        <w:t xml:space="preserve"> </w:t>
      </w:r>
    </w:p>
    <w:p w14:paraId="5F8B5E49" w14:textId="77777777" w:rsidR="003C3529" w:rsidRDefault="003C3529" w:rsidP="00C513CB">
      <w:pPr>
        <w:jc w:val="both"/>
      </w:pPr>
    </w:p>
    <w:p w14:paraId="48E34B66" w14:textId="4B4F1375" w:rsidR="00E96C7C" w:rsidRDefault="00CF2DAE" w:rsidP="009A5958">
      <w:pPr>
        <w:jc w:val="both"/>
      </w:pPr>
      <w:r>
        <w:t>[43</w:t>
      </w:r>
      <w:r w:rsidR="00456043">
        <w:t>]</w:t>
      </w:r>
      <w:r w:rsidR="00456043">
        <w:tab/>
      </w:r>
      <w:r w:rsidR="00E96C7C" w:rsidRPr="00050945">
        <w:t>In</w:t>
      </w:r>
      <w:r w:rsidR="00E96C7C" w:rsidRPr="009A5958">
        <w:rPr>
          <w:i/>
          <w:iCs/>
        </w:rPr>
        <w:t xml:space="preserve"> McDonald v Kumalo</w:t>
      </w:r>
      <w:r w:rsidR="00E96C7C">
        <w:rPr>
          <w:rStyle w:val="FootnoteReference"/>
        </w:rPr>
        <w:footnoteReference w:id="17"/>
      </w:r>
      <w:r w:rsidR="00E96C7C">
        <w:t xml:space="preserve">, Graham JP </w:t>
      </w:r>
      <w:r w:rsidR="007E234A">
        <w:t>re</w:t>
      </w:r>
      <w:r w:rsidR="00E96C7C">
        <w:t>iterated that, the object of the arrest of an accused perso</w:t>
      </w:r>
      <w:r w:rsidR="00F5764D">
        <w:t>n is to ensure his attendance in court to</w:t>
      </w:r>
      <w:r w:rsidR="00E96C7C">
        <w:t xml:space="preserve"> answer to a charge, and not to punish him for an offence of which he has not been convicted.</w:t>
      </w:r>
    </w:p>
    <w:p w14:paraId="34FF1C98" w14:textId="77777777" w:rsidR="00945AEB" w:rsidRDefault="00945AEB" w:rsidP="009A5958">
      <w:pPr>
        <w:pStyle w:val="ListParagraph"/>
        <w:jc w:val="both"/>
      </w:pPr>
    </w:p>
    <w:p w14:paraId="72EF7946" w14:textId="7D7D67BF" w:rsidR="00192AB3" w:rsidRPr="00456043" w:rsidRDefault="00CF2DAE" w:rsidP="009A5958">
      <w:pPr>
        <w:jc w:val="both"/>
        <w:rPr>
          <w:i/>
          <w:u w:val="single"/>
        </w:rPr>
      </w:pPr>
      <w:r>
        <w:t>[44</w:t>
      </w:r>
      <w:r w:rsidR="00456043">
        <w:t>]</w:t>
      </w:r>
      <w:r w:rsidR="00456043">
        <w:tab/>
      </w:r>
      <w:r w:rsidR="00EC6687">
        <w:t>It has been established that effecting</w:t>
      </w:r>
      <w:r w:rsidR="00F5764D">
        <w:t xml:space="preserve"> an</w:t>
      </w:r>
      <w:r w:rsidR="00EC6687">
        <w:t xml:space="preserve"> arrest is a harsher method of initiating a prosecution than citation by way of summons but if circumstances exist which make it </w:t>
      </w:r>
      <w:r w:rsidR="00EC6687" w:rsidRPr="009A5958">
        <w:t>lawful under a statutory provision</w:t>
      </w:r>
      <w:r w:rsidR="00EC6687">
        <w:t xml:space="preserve"> to arrest a person as a means of bringing him to court, such arrest is not unlawful even if it is made because the arrest will be more harassing than summons.</w:t>
      </w:r>
      <w:r w:rsidR="00EC6687">
        <w:rPr>
          <w:rStyle w:val="FootnoteReference"/>
        </w:rPr>
        <w:footnoteReference w:id="18"/>
      </w:r>
      <w:r w:rsidR="00EC6687">
        <w:t xml:space="preserve"> At 17H, Schreiner </w:t>
      </w:r>
      <w:r w:rsidR="00192AB3">
        <w:t>JA said,</w:t>
      </w:r>
    </w:p>
    <w:p w14:paraId="29D6B04F" w14:textId="77777777" w:rsidR="00EC6687" w:rsidRPr="00EC6687" w:rsidRDefault="00EC6687" w:rsidP="00EB1C99">
      <w:pPr>
        <w:pStyle w:val="ListParagraph"/>
        <w:ind w:left="1701"/>
        <w:jc w:val="both"/>
        <w:rPr>
          <w:i/>
          <w:u w:val="single"/>
        </w:rPr>
      </w:pPr>
      <w:r>
        <w:t xml:space="preserve"> </w:t>
      </w:r>
    </w:p>
    <w:p w14:paraId="16421B99" w14:textId="5BB8E5FD" w:rsidR="007636FE" w:rsidRPr="009A5958" w:rsidRDefault="00456043" w:rsidP="009A5958">
      <w:pPr>
        <w:ind w:left="360"/>
        <w:jc w:val="both"/>
        <w:rPr>
          <w:iCs/>
          <w:sz w:val="20"/>
          <w:szCs w:val="20"/>
        </w:rPr>
      </w:pPr>
      <w:r w:rsidRPr="009A5958">
        <w:rPr>
          <w:iCs/>
          <w:sz w:val="20"/>
          <w:szCs w:val="20"/>
        </w:rPr>
        <w:t>“</w:t>
      </w:r>
      <w:r w:rsidR="00EC6687" w:rsidRPr="009A5958">
        <w:rPr>
          <w:iCs/>
          <w:sz w:val="20"/>
          <w:szCs w:val="20"/>
        </w:rPr>
        <w:t>But there is no rule of law that requires the milder method of bringing a person into court to be used whenever it would be equally effective.</w:t>
      </w:r>
      <w:r w:rsidRPr="009A5958">
        <w:rPr>
          <w:iCs/>
          <w:sz w:val="20"/>
          <w:szCs w:val="20"/>
        </w:rPr>
        <w:t>”</w:t>
      </w:r>
    </w:p>
    <w:p w14:paraId="6D072C0D" w14:textId="77777777" w:rsidR="00192AB3" w:rsidRPr="00192AB3" w:rsidRDefault="00192AB3" w:rsidP="00EB1C99">
      <w:pPr>
        <w:pStyle w:val="ListParagraph"/>
        <w:ind w:left="567"/>
        <w:jc w:val="both"/>
        <w:rPr>
          <w:u w:val="single"/>
        </w:rPr>
      </w:pPr>
    </w:p>
    <w:p w14:paraId="53F412AE" w14:textId="1BF04AAE" w:rsidR="007A0E7B" w:rsidRDefault="00CF2DAE" w:rsidP="009A5958">
      <w:pPr>
        <w:jc w:val="both"/>
        <w:rPr>
          <w:lang w:val="en-GB"/>
        </w:rPr>
      </w:pPr>
      <w:r>
        <w:rPr>
          <w:lang w:val="en-GB"/>
        </w:rPr>
        <w:t>[45</w:t>
      </w:r>
      <w:r w:rsidR="00456043">
        <w:rPr>
          <w:lang w:val="en-GB"/>
        </w:rPr>
        <w:t>]</w:t>
      </w:r>
      <w:r w:rsidR="00456043">
        <w:rPr>
          <w:lang w:val="en-GB"/>
        </w:rPr>
        <w:tab/>
      </w:r>
      <w:r w:rsidR="004934BE" w:rsidRPr="00456043">
        <w:rPr>
          <w:lang w:val="en-GB"/>
        </w:rPr>
        <w:t>In the</w:t>
      </w:r>
      <w:r w:rsidR="00217F23" w:rsidRPr="00456043">
        <w:rPr>
          <w:lang w:val="en-GB"/>
        </w:rPr>
        <w:t xml:space="preserve"> </w:t>
      </w:r>
      <w:r w:rsidR="000042AC" w:rsidRPr="00456043">
        <w:rPr>
          <w:lang w:val="en-GB"/>
        </w:rPr>
        <w:t xml:space="preserve">case under consideration, </w:t>
      </w:r>
      <w:r w:rsidR="00290FA0" w:rsidRPr="00456043">
        <w:rPr>
          <w:lang w:val="en-GB"/>
        </w:rPr>
        <w:t>the arresting officer</w:t>
      </w:r>
      <w:r w:rsidR="00192AB3" w:rsidRPr="00456043">
        <w:rPr>
          <w:lang w:val="en-GB"/>
        </w:rPr>
        <w:t xml:space="preserve"> conceded that th</w:t>
      </w:r>
      <w:r w:rsidR="003B5C2F">
        <w:rPr>
          <w:lang w:val="en-GB"/>
        </w:rPr>
        <w:t>ere was no likelihood that the p</w:t>
      </w:r>
      <w:r w:rsidR="00192AB3" w:rsidRPr="00456043">
        <w:rPr>
          <w:lang w:val="en-GB"/>
        </w:rPr>
        <w:t>laintiff would evade his trial.</w:t>
      </w:r>
      <w:r w:rsidR="00C513CB" w:rsidRPr="00C513CB">
        <w:rPr>
          <w:lang w:val="en-GB"/>
        </w:rPr>
        <w:t xml:space="preserve"> </w:t>
      </w:r>
      <w:r w:rsidR="00C513CB" w:rsidRPr="00456043">
        <w:rPr>
          <w:lang w:val="en-GB"/>
        </w:rPr>
        <w:t>The arresting officer’s role was to arrest</w:t>
      </w:r>
      <w:r w:rsidR="00BF02B4">
        <w:rPr>
          <w:lang w:val="en-GB"/>
        </w:rPr>
        <w:t xml:space="preserve"> the </w:t>
      </w:r>
      <w:r w:rsidR="00D7579A">
        <w:rPr>
          <w:lang w:val="en-GB"/>
        </w:rPr>
        <w:t xml:space="preserve">plaintiff </w:t>
      </w:r>
      <w:r w:rsidR="00D7579A" w:rsidRPr="00456043">
        <w:rPr>
          <w:lang w:val="en-GB"/>
        </w:rPr>
        <w:t>to</w:t>
      </w:r>
      <w:r w:rsidR="00C513CB">
        <w:rPr>
          <w:lang w:val="en-GB"/>
        </w:rPr>
        <w:t xml:space="preserve"> bring</w:t>
      </w:r>
      <w:r w:rsidR="00C513CB" w:rsidRPr="00456043">
        <w:rPr>
          <w:lang w:val="en-GB"/>
        </w:rPr>
        <w:t xml:space="preserve"> him before </w:t>
      </w:r>
      <w:r w:rsidR="00C513CB">
        <w:rPr>
          <w:lang w:val="en-GB"/>
        </w:rPr>
        <w:t xml:space="preserve">the </w:t>
      </w:r>
      <w:r w:rsidR="00C513CB" w:rsidRPr="00456043">
        <w:rPr>
          <w:lang w:val="en-GB"/>
        </w:rPr>
        <w:t>court. I find that this was a reasonable step to employ.</w:t>
      </w:r>
      <w:r w:rsidR="00C513CB">
        <w:rPr>
          <w:lang w:val="en-GB"/>
        </w:rPr>
        <w:t xml:space="preserve"> I also find that in doing so, he followed all the relevant procedures</w:t>
      </w:r>
      <w:r w:rsidR="00D7579A">
        <w:rPr>
          <w:lang w:val="en-GB"/>
        </w:rPr>
        <w:t>, I say so because the plaintiff was aware of the charges that were levelled against him</w:t>
      </w:r>
      <w:r w:rsidR="00741CAE">
        <w:rPr>
          <w:lang w:val="en-GB"/>
        </w:rPr>
        <w:t>, he was informed of his constitutional rights and</w:t>
      </w:r>
      <w:r w:rsidR="00D7579A">
        <w:rPr>
          <w:lang w:val="en-GB"/>
        </w:rPr>
        <w:t xml:space="preserve"> was brought to court within a reasonable time</w:t>
      </w:r>
      <w:r w:rsidR="00C513CB">
        <w:rPr>
          <w:lang w:val="en-GB"/>
        </w:rPr>
        <w:t>.</w:t>
      </w:r>
      <w:r w:rsidR="007A0E7B">
        <w:rPr>
          <w:lang w:val="en-GB"/>
        </w:rPr>
        <w:t xml:space="preserve"> At page 6 of the index bundle titled ‘index on docket contents’, it is noted that the plaintiff was informed of his rights to consult with a legal representative of his choice. He thus elected to be pro</w:t>
      </w:r>
      <w:r w:rsidR="00903A7E">
        <w:rPr>
          <w:lang w:val="en-GB"/>
        </w:rPr>
        <w:t>vided with a legal pr</w:t>
      </w:r>
      <w:r w:rsidR="00536E3D">
        <w:rPr>
          <w:lang w:val="en-GB"/>
        </w:rPr>
        <w:t>actitioner.</w:t>
      </w:r>
    </w:p>
    <w:p w14:paraId="4D4F313A" w14:textId="77777777" w:rsidR="007A0E7B" w:rsidRDefault="007A0E7B" w:rsidP="009A5958">
      <w:pPr>
        <w:jc w:val="both"/>
        <w:rPr>
          <w:lang w:val="en-GB"/>
        </w:rPr>
      </w:pPr>
    </w:p>
    <w:p w14:paraId="0DFB1FC7" w14:textId="16D2122A" w:rsidR="00C513CB" w:rsidRDefault="00CF2DAE" w:rsidP="009A5958">
      <w:pPr>
        <w:jc w:val="both"/>
        <w:rPr>
          <w:lang w:val="en-GB"/>
        </w:rPr>
      </w:pPr>
      <w:r>
        <w:rPr>
          <w:lang w:val="en-GB"/>
        </w:rPr>
        <w:t>[46</w:t>
      </w:r>
      <w:r w:rsidR="00753420">
        <w:rPr>
          <w:lang w:val="en-GB"/>
        </w:rPr>
        <w:t>]   According to my assessment of the</w:t>
      </w:r>
      <w:r w:rsidR="00C513CB" w:rsidRPr="00456043">
        <w:rPr>
          <w:lang w:val="en-GB"/>
        </w:rPr>
        <w:t xml:space="preserve"> </w:t>
      </w:r>
      <w:r w:rsidR="00C513CB" w:rsidRPr="009A5958">
        <w:rPr>
          <w:i/>
          <w:iCs/>
          <w:lang w:val="en-GB"/>
        </w:rPr>
        <w:t>Sekhoto</w:t>
      </w:r>
      <w:r w:rsidR="00C513CB">
        <w:rPr>
          <w:rStyle w:val="FootnoteReference"/>
          <w:lang w:val="en-GB"/>
        </w:rPr>
        <w:footnoteReference w:id="19"/>
      </w:r>
      <w:r w:rsidR="00753420">
        <w:rPr>
          <w:lang w:val="en-GB"/>
        </w:rPr>
        <w:t xml:space="preserve"> case, </w:t>
      </w:r>
      <w:r w:rsidR="00C513CB">
        <w:rPr>
          <w:lang w:val="en-GB"/>
        </w:rPr>
        <w:t>since the p</w:t>
      </w:r>
      <w:r w:rsidR="00C513CB" w:rsidRPr="00456043">
        <w:rPr>
          <w:lang w:val="en-GB"/>
        </w:rPr>
        <w:t>laintiff was charged with</w:t>
      </w:r>
      <w:r w:rsidR="00FD7347">
        <w:rPr>
          <w:lang w:val="en-GB"/>
        </w:rPr>
        <w:t xml:space="preserve"> an offence falling under</w:t>
      </w:r>
      <w:r w:rsidR="00C513CB" w:rsidRPr="00456043">
        <w:rPr>
          <w:lang w:val="en-GB"/>
        </w:rPr>
        <w:t xml:space="preserve"> schedule</w:t>
      </w:r>
      <w:r w:rsidR="00753420">
        <w:rPr>
          <w:lang w:val="en-GB"/>
        </w:rPr>
        <w:t>s</w:t>
      </w:r>
      <w:r w:rsidR="00FD7347">
        <w:rPr>
          <w:lang w:val="en-GB"/>
        </w:rPr>
        <w:t xml:space="preserve"> 1 and 6 of the </w:t>
      </w:r>
      <w:r w:rsidR="00903A7E">
        <w:rPr>
          <w:lang w:val="en-GB"/>
        </w:rPr>
        <w:t>CPA,</w:t>
      </w:r>
      <w:r w:rsidR="00C513CB" w:rsidRPr="00456043">
        <w:rPr>
          <w:lang w:val="en-GB"/>
        </w:rPr>
        <w:t xml:space="preserve"> the q</w:t>
      </w:r>
      <w:r w:rsidR="00753420">
        <w:rPr>
          <w:lang w:val="en-GB"/>
        </w:rPr>
        <w:t xml:space="preserve">uality of </w:t>
      </w:r>
      <w:r w:rsidR="00753420">
        <w:rPr>
          <w:lang w:val="en-GB"/>
        </w:rPr>
        <w:lastRenderedPageBreak/>
        <w:t>information in favour of</w:t>
      </w:r>
      <w:r w:rsidR="00C513CB" w:rsidRPr="00456043">
        <w:rPr>
          <w:lang w:val="en-GB"/>
        </w:rPr>
        <w:t xml:space="preserve"> the arrest</w:t>
      </w:r>
      <w:r w:rsidR="001523E1">
        <w:rPr>
          <w:lang w:val="en-GB"/>
        </w:rPr>
        <w:t xml:space="preserve"> and detention</w:t>
      </w:r>
      <w:r w:rsidR="00741CAE">
        <w:rPr>
          <w:lang w:val="en-GB"/>
        </w:rPr>
        <w:t xml:space="preserve"> was overwhelming. </w:t>
      </w:r>
      <w:r w:rsidR="007A0E7B">
        <w:rPr>
          <w:lang w:val="en-GB"/>
        </w:rPr>
        <w:t>E</w:t>
      </w:r>
      <w:r w:rsidR="00C513CB" w:rsidRPr="00456043">
        <w:rPr>
          <w:lang w:val="en-GB"/>
        </w:rPr>
        <w:t>ven if the arresting officer had a belief that arrest will be more harassing than summons, he was unable to prevent arrest and subsequent detention for purposes of bringing</w:t>
      </w:r>
      <w:r w:rsidR="00C513CB">
        <w:rPr>
          <w:lang w:val="en-GB"/>
        </w:rPr>
        <w:t xml:space="preserve"> the p</w:t>
      </w:r>
      <w:r w:rsidR="00C513CB" w:rsidRPr="00456043">
        <w:rPr>
          <w:lang w:val="en-GB"/>
        </w:rPr>
        <w:t>laintiff to justice.</w:t>
      </w:r>
      <w:r w:rsidR="00C513CB" w:rsidRPr="00053390">
        <w:t xml:space="preserve"> </w:t>
      </w:r>
      <w:r w:rsidR="00C513CB">
        <w:t>The statutory framework governing bail would be undermined if the arresting officer were only required to arrest in circumstances where he was satisfied that the suspect would not attend the trial. This was not a trivial offence where the peace officer would have been expected to employ other methods of arrest. It was for the court to make a determination on whether the plaintiff was eligible to be released on bail or on warning.</w:t>
      </w:r>
      <w:r w:rsidR="00D7579A" w:rsidRPr="00D7579A">
        <w:rPr>
          <w:lang w:val="en-GB"/>
        </w:rPr>
        <w:t xml:space="preserve"> </w:t>
      </w:r>
      <w:r w:rsidR="00D7579A" w:rsidRPr="00456043">
        <w:rPr>
          <w:lang w:val="en-GB"/>
        </w:rPr>
        <w:t>I agree</w:t>
      </w:r>
      <w:r w:rsidR="00D7579A">
        <w:rPr>
          <w:lang w:val="en-GB"/>
        </w:rPr>
        <w:t xml:space="preserve"> with the d</w:t>
      </w:r>
      <w:r w:rsidR="00D7579A" w:rsidRPr="00456043">
        <w:rPr>
          <w:lang w:val="en-GB"/>
        </w:rPr>
        <w:t>efendant’s counsel that</w:t>
      </w:r>
      <w:r w:rsidR="00565DCB">
        <w:rPr>
          <w:lang w:val="en-GB"/>
        </w:rPr>
        <w:t xml:space="preserve"> the</w:t>
      </w:r>
      <w:r w:rsidR="00D7579A" w:rsidRPr="00456043">
        <w:rPr>
          <w:lang w:val="en-GB"/>
        </w:rPr>
        <w:t xml:space="preserve"> issuing of summons in this </w:t>
      </w:r>
      <w:r w:rsidR="00565DCB" w:rsidRPr="00456043">
        <w:rPr>
          <w:lang w:val="en-GB"/>
        </w:rPr>
        <w:t>situation</w:t>
      </w:r>
      <w:r w:rsidR="00D7579A" w:rsidRPr="00456043">
        <w:rPr>
          <w:lang w:val="en-GB"/>
        </w:rPr>
        <w:t xml:space="preserve"> would be inappropriate</w:t>
      </w:r>
      <w:r w:rsidR="00565DCB">
        <w:rPr>
          <w:lang w:val="en-GB"/>
        </w:rPr>
        <w:t>.</w:t>
      </w:r>
      <w:r w:rsidR="00C513CB" w:rsidRPr="00456043">
        <w:rPr>
          <w:lang w:val="en-GB"/>
        </w:rPr>
        <w:t xml:space="preserve"> </w:t>
      </w:r>
      <w:r w:rsidR="00192AB3" w:rsidRPr="00456043">
        <w:rPr>
          <w:lang w:val="en-GB"/>
        </w:rPr>
        <w:t xml:space="preserve"> </w:t>
      </w:r>
    </w:p>
    <w:p w14:paraId="4DBEB8D4" w14:textId="77777777" w:rsidR="00C513CB" w:rsidRDefault="00C513CB" w:rsidP="009A5958">
      <w:pPr>
        <w:jc w:val="both"/>
        <w:rPr>
          <w:lang w:val="en-GB"/>
        </w:rPr>
      </w:pPr>
    </w:p>
    <w:p w14:paraId="2B9EC45B" w14:textId="311EBB33" w:rsidR="005C3B00" w:rsidRPr="00456043" w:rsidRDefault="00CF2DAE" w:rsidP="009A5958">
      <w:pPr>
        <w:jc w:val="both"/>
        <w:rPr>
          <w:lang w:val="en-GB"/>
        </w:rPr>
      </w:pPr>
      <w:r>
        <w:rPr>
          <w:lang w:val="en-GB"/>
        </w:rPr>
        <w:t>[47</w:t>
      </w:r>
      <w:r w:rsidR="00BF02B4">
        <w:rPr>
          <w:lang w:val="en-GB"/>
        </w:rPr>
        <w:t xml:space="preserve">]  </w:t>
      </w:r>
      <w:r>
        <w:rPr>
          <w:lang w:val="en-GB"/>
        </w:rPr>
        <w:t xml:space="preserve"> </w:t>
      </w:r>
      <w:r w:rsidR="001523E1">
        <w:rPr>
          <w:lang w:val="en-GB"/>
        </w:rPr>
        <w:t>Section</w:t>
      </w:r>
      <w:r w:rsidR="00192AB3" w:rsidRPr="00456043">
        <w:rPr>
          <w:lang w:val="en-GB"/>
        </w:rPr>
        <w:t xml:space="preserve"> 60</w:t>
      </w:r>
      <w:r w:rsidR="00403C2F" w:rsidRPr="00456043">
        <w:rPr>
          <w:lang w:val="en-GB"/>
        </w:rPr>
        <w:t>(11</w:t>
      </w:r>
      <w:r w:rsidR="000042AC" w:rsidRPr="00456043">
        <w:rPr>
          <w:lang w:val="en-GB"/>
        </w:rPr>
        <w:t>) (</w:t>
      </w:r>
      <w:r w:rsidR="00403C2F" w:rsidRPr="00456043">
        <w:rPr>
          <w:lang w:val="en-GB"/>
        </w:rPr>
        <w:t>a)</w:t>
      </w:r>
      <w:r w:rsidR="001523E1">
        <w:rPr>
          <w:lang w:val="en-GB"/>
        </w:rPr>
        <w:t xml:space="preserve"> of the CPA justifies detention in rape cases involving minor children.</w:t>
      </w:r>
      <w:r w:rsidR="0037289E" w:rsidRPr="00456043">
        <w:rPr>
          <w:lang w:val="en-GB"/>
        </w:rPr>
        <w:t xml:space="preserve"> This</w:t>
      </w:r>
      <w:r w:rsidR="00661DAD" w:rsidRPr="00456043">
        <w:rPr>
          <w:lang w:val="en-GB"/>
        </w:rPr>
        <w:t xml:space="preserve"> provision reads:</w:t>
      </w:r>
    </w:p>
    <w:p w14:paraId="48A21919" w14:textId="77777777" w:rsidR="00661DAD" w:rsidRDefault="00661DAD" w:rsidP="00EB1C99">
      <w:pPr>
        <w:pStyle w:val="ListParagraph"/>
        <w:ind w:left="1211"/>
        <w:jc w:val="both"/>
        <w:rPr>
          <w:lang w:val="en-GB"/>
        </w:rPr>
      </w:pPr>
    </w:p>
    <w:p w14:paraId="725E4EC2" w14:textId="2D72B60B" w:rsidR="00192AB3" w:rsidRPr="009A5958" w:rsidRDefault="00456043" w:rsidP="009A5958">
      <w:pPr>
        <w:ind w:left="720"/>
        <w:jc w:val="both"/>
        <w:rPr>
          <w:sz w:val="20"/>
          <w:szCs w:val="20"/>
        </w:rPr>
      </w:pPr>
      <w:r w:rsidRPr="009A5958">
        <w:rPr>
          <w:sz w:val="20"/>
          <w:szCs w:val="20"/>
          <w:lang w:val="en-GB"/>
        </w:rPr>
        <w:t>“</w:t>
      </w:r>
      <w:r w:rsidR="00403C2F" w:rsidRPr="009A5958">
        <w:rPr>
          <w:sz w:val="20"/>
          <w:szCs w:val="20"/>
        </w:rPr>
        <w:t xml:space="preserve">Notwithstanding any provision of this Act, where an accused is charged with an offence referred </w:t>
      </w:r>
      <w:r w:rsidR="00EB1C99">
        <w:rPr>
          <w:sz w:val="20"/>
          <w:szCs w:val="20"/>
        </w:rPr>
        <w:t xml:space="preserve">to </w:t>
      </w:r>
      <w:r w:rsidR="00403C2F" w:rsidRPr="009A5958">
        <w:rPr>
          <w:sz w:val="20"/>
          <w:szCs w:val="20"/>
        </w:rPr>
        <w:t xml:space="preserve">(a) in Schedule 6, </w:t>
      </w:r>
      <w:r w:rsidR="00403C2F" w:rsidRPr="00D7579A">
        <w:rPr>
          <w:sz w:val="20"/>
          <w:szCs w:val="20"/>
          <w:u w:val="single"/>
        </w:rPr>
        <w:t>the court shall order that the accused be detained in custody</w:t>
      </w:r>
      <w:r w:rsidR="00403C2F" w:rsidRPr="009A5958">
        <w:rPr>
          <w:sz w:val="20"/>
          <w:szCs w:val="20"/>
        </w:rPr>
        <w:t xml:space="preserve"> until he or she is dealt with in accordance with the law, unless the accused, having been given a reasonable opportunity to do so, adduces evidence which satisfies the court that exceptional circumstances exist which in the interest of justice permit his or her </w:t>
      </w:r>
      <w:r w:rsidR="00562491" w:rsidRPr="009A5958">
        <w:rPr>
          <w:sz w:val="20"/>
          <w:szCs w:val="20"/>
        </w:rPr>
        <w:t>release</w:t>
      </w:r>
      <w:r w:rsidRPr="009A5958">
        <w:rPr>
          <w:sz w:val="20"/>
          <w:szCs w:val="20"/>
        </w:rPr>
        <w:t>”</w:t>
      </w:r>
      <w:r w:rsidR="00562491" w:rsidRPr="009A5958">
        <w:rPr>
          <w:sz w:val="20"/>
          <w:szCs w:val="20"/>
        </w:rPr>
        <w:t xml:space="preserve"> [</w:t>
      </w:r>
      <w:r w:rsidR="005A2BE5" w:rsidRPr="009A5958">
        <w:rPr>
          <w:sz w:val="20"/>
          <w:szCs w:val="20"/>
        </w:rPr>
        <w:t>Emphasis added]</w:t>
      </w:r>
    </w:p>
    <w:p w14:paraId="6BD18F9B" w14:textId="77777777" w:rsidR="00661DAD" w:rsidRPr="00192AB3" w:rsidRDefault="00661DAD" w:rsidP="00EB1C99">
      <w:pPr>
        <w:pStyle w:val="ListParagraph"/>
        <w:ind w:left="1080"/>
        <w:jc w:val="both"/>
        <w:rPr>
          <w:lang w:val="en-GB"/>
        </w:rPr>
      </w:pPr>
    </w:p>
    <w:p w14:paraId="43D95F34" w14:textId="08AFFE97" w:rsidR="00562491" w:rsidRPr="00456043" w:rsidRDefault="00A16B83" w:rsidP="009A5958">
      <w:pPr>
        <w:jc w:val="both"/>
        <w:rPr>
          <w:lang w:val="en-GB"/>
        </w:rPr>
      </w:pPr>
      <w:r>
        <w:rPr>
          <w:lang w:val="en-GB"/>
        </w:rPr>
        <w:t>[4</w:t>
      </w:r>
      <w:r w:rsidR="00CF2DAE">
        <w:rPr>
          <w:lang w:val="en-GB"/>
        </w:rPr>
        <w:t>8</w:t>
      </w:r>
      <w:r w:rsidR="00456043">
        <w:rPr>
          <w:lang w:val="en-GB"/>
        </w:rPr>
        <w:t>]</w:t>
      </w:r>
      <w:r w:rsidR="00456043">
        <w:rPr>
          <w:lang w:val="en-GB"/>
        </w:rPr>
        <w:tab/>
      </w:r>
      <w:r w:rsidR="00562491" w:rsidRPr="00456043">
        <w:rPr>
          <w:lang w:val="en-GB"/>
        </w:rPr>
        <w:t xml:space="preserve">The word </w:t>
      </w:r>
      <w:r w:rsidR="00562491" w:rsidRPr="00456043">
        <w:rPr>
          <w:i/>
          <w:iCs/>
          <w:lang w:val="en-GB"/>
        </w:rPr>
        <w:t>‘shall’</w:t>
      </w:r>
      <w:r w:rsidR="00562491" w:rsidRPr="00456043">
        <w:rPr>
          <w:lang w:val="en-GB"/>
        </w:rPr>
        <w:t xml:space="preserve"> </w:t>
      </w:r>
      <w:r w:rsidR="00456043" w:rsidRPr="00456043">
        <w:rPr>
          <w:lang w:val="en-GB"/>
        </w:rPr>
        <w:t>demonstrate</w:t>
      </w:r>
      <w:r w:rsidR="00F5764D">
        <w:rPr>
          <w:lang w:val="en-GB"/>
        </w:rPr>
        <w:t>s</w:t>
      </w:r>
      <w:r w:rsidR="00562491" w:rsidRPr="00456043">
        <w:rPr>
          <w:lang w:val="en-GB"/>
        </w:rPr>
        <w:t xml:space="preserve"> that </w:t>
      </w:r>
      <w:r w:rsidR="005812F3" w:rsidRPr="00456043">
        <w:rPr>
          <w:lang w:val="en-GB"/>
        </w:rPr>
        <w:t xml:space="preserve">the detention is </w:t>
      </w:r>
      <w:r w:rsidR="00456043" w:rsidRPr="00456043">
        <w:rPr>
          <w:lang w:val="en-GB"/>
        </w:rPr>
        <w:t>peremptory,</w:t>
      </w:r>
      <w:r w:rsidR="00562491" w:rsidRPr="00456043">
        <w:rPr>
          <w:lang w:val="en-GB"/>
        </w:rPr>
        <w:t xml:space="preserve"> and the court can only release the suspect after having heard </w:t>
      </w:r>
      <w:r w:rsidR="008C0ADA" w:rsidRPr="00456043">
        <w:rPr>
          <w:lang w:val="en-GB"/>
        </w:rPr>
        <w:t xml:space="preserve">the </w:t>
      </w:r>
      <w:r w:rsidR="00562491" w:rsidRPr="00456043">
        <w:rPr>
          <w:lang w:val="en-GB"/>
        </w:rPr>
        <w:t xml:space="preserve">evidence and </w:t>
      </w:r>
      <w:r w:rsidR="00EB1C99">
        <w:rPr>
          <w:lang w:val="en-GB"/>
        </w:rPr>
        <w:t>exercising</w:t>
      </w:r>
      <w:r w:rsidR="00EB1C99" w:rsidRPr="00456043">
        <w:rPr>
          <w:lang w:val="en-GB"/>
        </w:rPr>
        <w:t xml:space="preserve"> </w:t>
      </w:r>
      <w:r w:rsidR="00562491" w:rsidRPr="00456043">
        <w:rPr>
          <w:lang w:val="en-GB"/>
        </w:rPr>
        <w:t>its discretion based on the circumstances of the case. In this scenario</w:t>
      </w:r>
      <w:r w:rsidR="00F5764D">
        <w:rPr>
          <w:lang w:val="en-GB"/>
        </w:rPr>
        <w:t>, the onus was placed upon the p</w:t>
      </w:r>
      <w:r w:rsidR="00562491" w:rsidRPr="00456043">
        <w:rPr>
          <w:lang w:val="en-GB"/>
        </w:rPr>
        <w:t>laintiff to adduce evidence to prove that exceptional circumstances exist which in the interest of j</w:t>
      </w:r>
      <w:r w:rsidR="00F5764D">
        <w:rPr>
          <w:lang w:val="en-GB"/>
        </w:rPr>
        <w:t>ustice permit</w:t>
      </w:r>
      <w:r w:rsidR="001F00CB">
        <w:rPr>
          <w:lang w:val="en-GB"/>
        </w:rPr>
        <w:t>ted</w:t>
      </w:r>
      <w:r w:rsidR="00F5764D">
        <w:rPr>
          <w:lang w:val="en-GB"/>
        </w:rPr>
        <w:t xml:space="preserve"> his release. The p</w:t>
      </w:r>
      <w:r w:rsidR="00562491" w:rsidRPr="00456043">
        <w:rPr>
          <w:lang w:val="en-GB"/>
        </w:rPr>
        <w:t>laintif</w:t>
      </w:r>
      <w:r w:rsidR="00903A7E">
        <w:rPr>
          <w:lang w:val="en-GB"/>
        </w:rPr>
        <w:t>f’s further detention which spiralled</w:t>
      </w:r>
      <w:r w:rsidR="00562491" w:rsidRPr="00456043">
        <w:rPr>
          <w:lang w:val="en-GB"/>
        </w:rPr>
        <w:t xml:space="preserve"> up to a period of twelve months was dependent upon the lawfulness of the Magistrate’s orders. The f</w:t>
      </w:r>
      <w:r w:rsidR="00F5764D">
        <w:rPr>
          <w:lang w:val="en-GB"/>
        </w:rPr>
        <w:t xml:space="preserve">acts demonstrate that </w:t>
      </w:r>
      <w:r w:rsidR="00BF02B4">
        <w:rPr>
          <w:lang w:val="en-GB"/>
        </w:rPr>
        <w:t xml:space="preserve">although the </w:t>
      </w:r>
      <w:r w:rsidR="00F5764D">
        <w:rPr>
          <w:lang w:val="en-GB"/>
        </w:rPr>
        <w:t>p</w:t>
      </w:r>
      <w:r w:rsidR="00562491" w:rsidRPr="00456043">
        <w:rPr>
          <w:lang w:val="en-GB"/>
        </w:rPr>
        <w:t xml:space="preserve">laintiff was </w:t>
      </w:r>
      <w:r w:rsidR="00EB1C99">
        <w:rPr>
          <w:lang w:val="en-GB"/>
        </w:rPr>
        <w:t>allowed</w:t>
      </w:r>
      <w:r w:rsidR="00562491" w:rsidRPr="00456043">
        <w:rPr>
          <w:lang w:val="en-GB"/>
        </w:rPr>
        <w:t xml:space="preserve"> to adduce evidence in a formal bail application, he failed to meet the necessary threshold. The situation is not at all the fault of the arresting officer. </w:t>
      </w:r>
    </w:p>
    <w:p w14:paraId="0F3CABC7" w14:textId="77777777" w:rsidR="00562491" w:rsidRPr="00562491" w:rsidRDefault="00562491" w:rsidP="009A5958">
      <w:pPr>
        <w:pStyle w:val="ListParagraph"/>
        <w:jc w:val="both"/>
        <w:rPr>
          <w:i/>
          <w:u w:val="single"/>
          <w:lang w:val="en-GB"/>
        </w:rPr>
      </w:pPr>
    </w:p>
    <w:p w14:paraId="0AA2BAC3" w14:textId="598D913A" w:rsidR="00692B10" w:rsidRDefault="00CF2DAE" w:rsidP="009A5958">
      <w:pPr>
        <w:jc w:val="both"/>
      </w:pPr>
      <w:r>
        <w:t>[49</w:t>
      </w:r>
      <w:r w:rsidR="00456043">
        <w:t>]</w:t>
      </w:r>
      <w:r w:rsidR="00456043">
        <w:tab/>
      </w:r>
      <w:r w:rsidR="00D01916">
        <w:t>Our Constitution empowers police officers to</w:t>
      </w:r>
      <w:r w:rsidR="00C34F38">
        <w:t xml:space="preserve"> prevent, combat and investigate crime, to maintain public order</w:t>
      </w:r>
      <w:r w:rsidR="3652EA35">
        <w:t>,</w:t>
      </w:r>
      <w:r w:rsidR="00456043">
        <w:t xml:space="preserve"> </w:t>
      </w:r>
      <w:r w:rsidR="00C34F38">
        <w:t>to protect</w:t>
      </w:r>
      <w:r w:rsidR="088A901F">
        <w:t>,</w:t>
      </w:r>
      <w:r w:rsidR="00C34F38">
        <w:t xml:space="preserve"> </w:t>
      </w:r>
      <w:r w:rsidR="00EB1C99">
        <w:t xml:space="preserve">and </w:t>
      </w:r>
      <w:r w:rsidR="00C34F38">
        <w:t>secure inhabitants of the Republic, and to</w:t>
      </w:r>
      <w:r w:rsidR="00D01916">
        <w:t xml:space="preserve"> uphold and enforce the law.</w:t>
      </w:r>
      <w:r w:rsidR="00D01916">
        <w:rPr>
          <w:rStyle w:val="FootnoteReference"/>
        </w:rPr>
        <w:footnoteReference w:id="20"/>
      </w:r>
      <w:r w:rsidR="00D01916">
        <w:t xml:space="preserve"> The South African Police Act, on the other hand, </w:t>
      </w:r>
      <w:r w:rsidR="00D01916">
        <w:lastRenderedPageBreak/>
        <w:t>permits</w:t>
      </w:r>
      <w:r w:rsidR="005B73B9">
        <w:t xml:space="preserve"> police officers </w:t>
      </w:r>
      <w:r w:rsidR="00D01916">
        <w:t>to exercise their</w:t>
      </w:r>
      <w:r w:rsidR="005B73B9">
        <w:t xml:space="preserve"> </w:t>
      </w:r>
      <w:r w:rsidR="00D01916">
        <w:t>authority and</w:t>
      </w:r>
      <w:r w:rsidR="005B73B9">
        <w:t xml:space="preserve"> to carry out the responsibilities granted to or delegated</w:t>
      </w:r>
      <w:r w:rsidR="00D01916">
        <w:t xml:space="preserve"> </w:t>
      </w:r>
      <w:r w:rsidR="005B73B9">
        <w:t xml:space="preserve">to them by law, subject to the Constitution and with proper consideration for each </w:t>
      </w:r>
      <w:r w:rsidR="00D01916">
        <w:t>person’s</w:t>
      </w:r>
      <w:r w:rsidR="005B73B9">
        <w:t xml:space="preserve"> fundamental rights</w:t>
      </w:r>
      <w:r w:rsidR="00D01916">
        <w:t>.</w:t>
      </w:r>
      <w:r w:rsidR="00C34F38">
        <w:t xml:space="preserve"> Failure to effect arrest and detention in circumstances where it is reasonable and justified may undermine the community’s confidence in the criminal justice system</w:t>
      </w:r>
      <w:r w:rsidR="00290FA0">
        <w:t>.</w:t>
      </w:r>
      <w:r w:rsidR="00D01916">
        <w:t xml:space="preserve"> In my respec</w:t>
      </w:r>
      <w:r w:rsidR="00290FA0">
        <w:t>tful view, the arresting officer</w:t>
      </w:r>
      <w:r w:rsidR="00D01916">
        <w:t xml:space="preserve"> carried </w:t>
      </w:r>
      <w:r w:rsidR="00456043">
        <w:t xml:space="preserve">out </w:t>
      </w:r>
      <w:r w:rsidR="00D01916">
        <w:t>his official task</w:t>
      </w:r>
      <w:r w:rsidR="00767FEE">
        <w:t xml:space="preserve"> in a manner that was rational</w:t>
      </w:r>
      <w:r w:rsidR="00D01916">
        <w:t xml:space="preserve"> under the c</w:t>
      </w:r>
      <w:r w:rsidR="002D00D1">
        <w:t>ircumstances. I</w:t>
      </w:r>
      <w:r w:rsidR="00456043">
        <w:t>, therefore,</w:t>
      </w:r>
      <w:r w:rsidR="002D00D1">
        <w:t xml:space="preserve"> conclude</w:t>
      </w:r>
      <w:r w:rsidR="00D01916">
        <w:t xml:space="preserve"> that the</w:t>
      </w:r>
      <w:r w:rsidR="00053390">
        <w:t xml:space="preserve"> arrest and subsequent</w:t>
      </w:r>
      <w:r w:rsidR="00D01916">
        <w:t xml:space="preserve"> detention</w:t>
      </w:r>
      <w:r w:rsidR="00F5764D">
        <w:t xml:space="preserve"> of the p</w:t>
      </w:r>
      <w:r w:rsidR="002D00D1">
        <w:t>laintiff</w:t>
      </w:r>
      <w:r w:rsidR="00053390">
        <w:t xml:space="preserve"> were </w:t>
      </w:r>
      <w:r w:rsidR="00D01916">
        <w:t>lawful.</w:t>
      </w:r>
      <w:r w:rsidR="00F5764D">
        <w:t xml:space="preserve"> It then follows that p</w:t>
      </w:r>
      <w:r w:rsidR="007F483A">
        <w:t>laintiff’s claim must</w:t>
      </w:r>
      <w:r w:rsidR="00053390">
        <w:t xml:space="preserve"> fail.</w:t>
      </w:r>
    </w:p>
    <w:p w14:paraId="5B08B5D1" w14:textId="77777777" w:rsidR="00A86E12" w:rsidRDefault="00A86E12" w:rsidP="00EB1C99">
      <w:pPr>
        <w:pStyle w:val="ListParagraph"/>
        <w:jc w:val="both"/>
      </w:pPr>
    </w:p>
    <w:p w14:paraId="3F339768" w14:textId="77777777" w:rsidR="00D86E36" w:rsidRDefault="00D86E36" w:rsidP="009A5958">
      <w:pPr>
        <w:pStyle w:val="ListParagraph"/>
        <w:jc w:val="both"/>
      </w:pPr>
    </w:p>
    <w:p w14:paraId="5D45A338" w14:textId="00E5445C" w:rsidR="00A86E12" w:rsidRDefault="00A16B83" w:rsidP="00B447F5">
      <w:pPr>
        <w:jc w:val="both"/>
        <w:rPr>
          <w:b/>
        </w:rPr>
      </w:pPr>
      <w:r>
        <w:rPr>
          <w:b/>
        </w:rPr>
        <w:t>ORDER</w:t>
      </w:r>
    </w:p>
    <w:p w14:paraId="16DEB4AB" w14:textId="77777777" w:rsidR="00812345" w:rsidRDefault="00812345" w:rsidP="00EB1C99">
      <w:pPr>
        <w:jc w:val="both"/>
        <w:rPr>
          <w:b/>
        </w:rPr>
      </w:pPr>
    </w:p>
    <w:p w14:paraId="58EC0712" w14:textId="22F11983" w:rsidR="00A86E12" w:rsidRPr="009A5958" w:rsidRDefault="00CF2DAE" w:rsidP="009A5958">
      <w:pPr>
        <w:jc w:val="both"/>
        <w:rPr>
          <w:b/>
        </w:rPr>
      </w:pPr>
      <w:r>
        <w:rPr>
          <w:bCs/>
        </w:rPr>
        <w:t>[50</w:t>
      </w:r>
      <w:r w:rsidR="00EB1C99" w:rsidRPr="00A16B83">
        <w:rPr>
          <w:bCs/>
        </w:rPr>
        <w:t>]</w:t>
      </w:r>
      <w:r w:rsidR="00EB1C99">
        <w:rPr>
          <w:b/>
          <w:bCs/>
        </w:rPr>
        <w:tab/>
      </w:r>
      <w:r w:rsidR="00A86E12" w:rsidRPr="00EB1C99">
        <w:rPr>
          <w:b/>
          <w:bCs/>
        </w:rPr>
        <w:t xml:space="preserve"> </w:t>
      </w:r>
      <w:r w:rsidR="00F5764D">
        <w:t>The p</w:t>
      </w:r>
      <w:r w:rsidR="00A86E12">
        <w:t xml:space="preserve">laintiff’s claim is dismissed with </w:t>
      </w:r>
      <w:r w:rsidR="00EB1C99">
        <w:t>costs.</w:t>
      </w:r>
    </w:p>
    <w:p w14:paraId="6CB1DF91" w14:textId="77777777" w:rsidR="00EB1C99" w:rsidRPr="009A5958" w:rsidRDefault="00EB1C99" w:rsidP="009A5958">
      <w:pPr>
        <w:jc w:val="both"/>
        <w:rPr>
          <w:b/>
        </w:rPr>
      </w:pPr>
    </w:p>
    <w:p w14:paraId="0AD9C6F4" w14:textId="0E35B656" w:rsidR="00D25388" w:rsidRDefault="00D25388" w:rsidP="00EB1C99">
      <w:pPr>
        <w:jc w:val="both"/>
        <w:rPr>
          <w:b/>
        </w:rPr>
      </w:pPr>
    </w:p>
    <w:p w14:paraId="054C7699" w14:textId="2B0DB6AD" w:rsidR="00EB1C99" w:rsidRDefault="00EB1C99" w:rsidP="00EB1C99">
      <w:pPr>
        <w:jc w:val="both"/>
        <w:rPr>
          <w:b/>
        </w:rPr>
      </w:pPr>
      <w:r>
        <w:rPr>
          <w:b/>
        </w:rPr>
        <w:t>____________________________________</w:t>
      </w:r>
    </w:p>
    <w:p w14:paraId="0BEE141A" w14:textId="77777777" w:rsidR="00D25388" w:rsidRDefault="00D25388" w:rsidP="00EB1C99">
      <w:pPr>
        <w:jc w:val="both"/>
        <w:rPr>
          <w:b/>
        </w:rPr>
      </w:pPr>
      <w:r>
        <w:rPr>
          <w:b/>
        </w:rPr>
        <w:t>N CENGANI-MBAKAZA</w:t>
      </w:r>
    </w:p>
    <w:p w14:paraId="50571B58" w14:textId="09D7D9B2" w:rsidR="00D25388" w:rsidRPr="00D25388" w:rsidRDefault="00D25388" w:rsidP="00EB1C99">
      <w:pPr>
        <w:jc w:val="both"/>
        <w:rPr>
          <w:b/>
        </w:rPr>
      </w:pPr>
      <w:r>
        <w:rPr>
          <w:b/>
        </w:rPr>
        <w:t>ACTING JUDGE OF THE HIGH COURT</w:t>
      </w:r>
      <w:r w:rsidR="003C3529">
        <w:rPr>
          <w:b/>
        </w:rPr>
        <w:t xml:space="preserve"> OF SOUTH AFRICA</w:t>
      </w:r>
    </w:p>
    <w:p w14:paraId="65F9C3DC" w14:textId="77777777" w:rsidR="00A86E12" w:rsidRDefault="00A86E12" w:rsidP="00EB1C99">
      <w:pPr>
        <w:pStyle w:val="ListParagraph"/>
        <w:jc w:val="both"/>
      </w:pPr>
    </w:p>
    <w:p w14:paraId="2319D113" w14:textId="12191915" w:rsidR="00EB1C99" w:rsidRPr="009A5958" w:rsidRDefault="00D25388" w:rsidP="00EB1C99">
      <w:pPr>
        <w:jc w:val="both"/>
        <w:rPr>
          <w:b/>
          <w:bCs/>
        </w:rPr>
      </w:pPr>
      <w:r w:rsidRPr="009A5958">
        <w:rPr>
          <w:b/>
          <w:bCs/>
        </w:rPr>
        <w:t>APPEARANCES</w:t>
      </w:r>
      <w:r w:rsidR="00EB1C99">
        <w:rPr>
          <w:b/>
          <w:bCs/>
        </w:rPr>
        <w:t>:</w:t>
      </w:r>
      <w:r w:rsidR="00EB1C99" w:rsidRPr="009A5958">
        <w:rPr>
          <w:b/>
          <w:bCs/>
        </w:rPr>
        <w:tab/>
      </w:r>
      <w:r w:rsidR="00EB1C99" w:rsidRPr="009A5958">
        <w:rPr>
          <w:b/>
          <w:bCs/>
        </w:rPr>
        <w:tab/>
      </w:r>
      <w:r w:rsidR="00EB1C99" w:rsidRPr="009A5958">
        <w:rPr>
          <w:b/>
          <w:bCs/>
        </w:rPr>
        <w:tab/>
      </w:r>
      <w:r w:rsidR="00EB1C99" w:rsidRPr="009A5958">
        <w:rPr>
          <w:b/>
          <w:bCs/>
        </w:rPr>
        <w:tab/>
      </w:r>
    </w:p>
    <w:p w14:paraId="50B0F25B" w14:textId="77777777" w:rsidR="00EB1C99" w:rsidRDefault="00EB1C99" w:rsidP="00EB1C99">
      <w:pPr>
        <w:jc w:val="both"/>
      </w:pPr>
    </w:p>
    <w:p w14:paraId="286E4A70" w14:textId="6F3D3094" w:rsidR="00A86E12" w:rsidRDefault="00EB1C99" w:rsidP="009A5958">
      <w:pPr>
        <w:jc w:val="both"/>
      </w:pPr>
      <w:r>
        <w:t>Counsel for the Plaintiff</w:t>
      </w:r>
      <w:r>
        <w:tab/>
      </w:r>
      <w:r>
        <w:tab/>
      </w:r>
      <w:r>
        <w:tab/>
        <w:t>:</w:t>
      </w:r>
      <w:r>
        <w:tab/>
      </w:r>
      <w:r>
        <w:tab/>
      </w:r>
      <w:r w:rsidR="00812345">
        <w:t xml:space="preserve">Adv SM Luzipho </w:t>
      </w:r>
    </w:p>
    <w:p w14:paraId="5023141B" w14:textId="77777777" w:rsidR="00812345" w:rsidRDefault="00812345" w:rsidP="00EB1C99">
      <w:pPr>
        <w:pStyle w:val="ListParagraph"/>
        <w:jc w:val="both"/>
      </w:pPr>
    </w:p>
    <w:p w14:paraId="3B2F2FFF" w14:textId="39011338" w:rsidR="00812345" w:rsidRDefault="00812345" w:rsidP="009A5958">
      <w:pPr>
        <w:jc w:val="both"/>
      </w:pPr>
      <w:r>
        <w:t>Instructed by</w:t>
      </w:r>
      <w:r w:rsidR="006A281D">
        <w:tab/>
      </w:r>
      <w:r w:rsidR="006A281D">
        <w:tab/>
      </w:r>
      <w:r w:rsidR="006A281D">
        <w:tab/>
      </w:r>
      <w:r w:rsidR="006A281D">
        <w:tab/>
      </w:r>
      <w:r w:rsidR="006A281D">
        <w:tab/>
      </w:r>
      <w:r w:rsidR="00EB1C99">
        <w:t>:</w:t>
      </w:r>
      <w:r w:rsidR="00EB1C99">
        <w:tab/>
      </w:r>
      <w:r w:rsidR="00EB1C99">
        <w:tab/>
      </w:r>
      <w:r>
        <w:t>M</w:t>
      </w:r>
      <w:r w:rsidR="00565DCB">
        <w:t xml:space="preserve"> </w:t>
      </w:r>
      <w:r>
        <w:t xml:space="preserve">K Majavu &amp; Associates </w:t>
      </w:r>
    </w:p>
    <w:p w14:paraId="55A33006" w14:textId="408DCA0F" w:rsidR="00812345" w:rsidRDefault="00D25388" w:rsidP="00EB1C99">
      <w:pPr>
        <w:pStyle w:val="ListParagraph"/>
        <w:jc w:val="both"/>
      </w:pPr>
      <w:r>
        <w:t xml:space="preserve">                       </w:t>
      </w:r>
      <w:r w:rsidR="00812345">
        <w:t xml:space="preserve">                 </w:t>
      </w:r>
      <w:r>
        <w:t xml:space="preserve">         </w:t>
      </w:r>
      <w:r w:rsidR="00812345">
        <w:t xml:space="preserve">  </w:t>
      </w:r>
      <w:r w:rsidR="00EB1C99">
        <w:tab/>
      </w:r>
      <w:r w:rsidR="00EB1C99">
        <w:tab/>
      </w:r>
      <w:r w:rsidR="00EB1C99">
        <w:tab/>
      </w:r>
      <w:r w:rsidR="00812345">
        <w:t>Plaintiff’s Attorney</w:t>
      </w:r>
    </w:p>
    <w:p w14:paraId="6A8FD03E" w14:textId="287D37D3" w:rsidR="00812345" w:rsidRDefault="00D25388" w:rsidP="00EB1C99">
      <w:pPr>
        <w:pStyle w:val="ListParagraph"/>
        <w:jc w:val="both"/>
      </w:pPr>
      <w:r>
        <w:t xml:space="preserve">                          </w:t>
      </w:r>
      <w:r w:rsidR="00812345">
        <w:t xml:space="preserve">      </w:t>
      </w:r>
      <w:r>
        <w:t xml:space="preserve">                  </w:t>
      </w:r>
      <w:r w:rsidR="00812345">
        <w:t xml:space="preserve"> </w:t>
      </w:r>
      <w:r w:rsidR="00EB1C99">
        <w:tab/>
      </w:r>
      <w:r w:rsidR="00EB1C99">
        <w:tab/>
      </w:r>
      <w:r w:rsidR="00EB1C99">
        <w:tab/>
      </w:r>
      <w:r w:rsidR="00812345">
        <w:t>Cathedral Building</w:t>
      </w:r>
    </w:p>
    <w:p w14:paraId="2F1DDC4D" w14:textId="60FF16E3" w:rsidR="00812345" w:rsidRDefault="00D25388" w:rsidP="00EB1C99">
      <w:pPr>
        <w:pStyle w:val="ListParagraph"/>
        <w:jc w:val="both"/>
      </w:pPr>
      <w:r>
        <w:t xml:space="preserve">                                                 </w:t>
      </w:r>
      <w:r w:rsidR="00812345">
        <w:t xml:space="preserve">  </w:t>
      </w:r>
      <w:r w:rsidR="00EB1C99">
        <w:tab/>
      </w:r>
      <w:r w:rsidR="00EB1C99">
        <w:tab/>
      </w:r>
      <w:r w:rsidR="00EB1C99">
        <w:tab/>
      </w:r>
      <w:r w:rsidR="00812345">
        <w:t>27 Victoria Street</w:t>
      </w:r>
    </w:p>
    <w:p w14:paraId="21678624" w14:textId="63F0F8AB" w:rsidR="00812345" w:rsidRDefault="00812345" w:rsidP="00EB1C99">
      <w:pPr>
        <w:pStyle w:val="ListParagraph"/>
        <w:jc w:val="both"/>
      </w:pPr>
      <w:r>
        <w:t xml:space="preserve">                              </w:t>
      </w:r>
      <w:r w:rsidR="00D25388">
        <w:t xml:space="preserve">                   </w:t>
      </w:r>
      <w:r>
        <w:t xml:space="preserve">  </w:t>
      </w:r>
      <w:r w:rsidR="00EB1C99">
        <w:tab/>
      </w:r>
      <w:r w:rsidR="00EB1C99">
        <w:tab/>
      </w:r>
      <w:r w:rsidR="00EB1C99">
        <w:tab/>
      </w:r>
      <w:r>
        <w:t>Mthatha</w:t>
      </w:r>
    </w:p>
    <w:p w14:paraId="1F3B1409" w14:textId="77777777" w:rsidR="00812345" w:rsidRDefault="00812345" w:rsidP="00EB1C99">
      <w:pPr>
        <w:pStyle w:val="ListParagraph"/>
        <w:jc w:val="both"/>
      </w:pPr>
    </w:p>
    <w:p w14:paraId="6D92655D" w14:textId="67F53A8A" w:rsidR="00812345" w:rsidRDefault="00EB1C99" w:rsidP="009A5958">
      <w:pPr>
        <w:jc w:val="both"/>
      </w:pPr>
      <w:r>
        <w:t>Counsel for the Defendant</w:t>
      </w:r>
      <w:r w:rsidR="006A281D">
        <w:tab/>
      </w:r>
      <w:r w:rsidR="006A281D">
        <w:tab/>
      </w:r>
      <w:r w:rsidR="006A281D">
        <w:tab/>
      </w:r>
      <w:r>
        <w:t>:</w:t>
      </w:r>
      <w:r>
        <w:tab/>
      </w:r>
      <w:r>
        <w:tab/>
      </w:r>
      <w:r w:rsidR="00812345">
        <w:t>Adv S D Mfeya</w:t>
      </w:r>
    </w:p>
    <w:p w14:paraId="041E5B68" w14:textId="45D3BD30" w:rsidR="00812345" w:rsidRDefault="00D25388" w:rsidP="009A5958">
      <w:pPr>
        <w:pStyle w:val="ListParagraph"/>
        <w:jc w:val="both"/>
      </w:pPr>
      <w:r>
        <w:t xml:space="preserve">                  </w:t>
      </w:r>
      <w:r w:rsidR="006C33F4">
        <w:t xml:space="preserve">                             </w:t>
      </w:r>
      <w:r>
        <w:t xml:space="preserve">    </w:t>
      </w:r>
      <w:r w:rsidR="00EB1C99">
        <w:tab/>
        <w:t>:</w:t>
      </w:r>
      <w:r w:rsidR="00EB1C99">
        <w:tab/>
      </w:r>
      <w:r w:rsidR="00EB1C99">
        <w:tab/>
      </w:r>
    </w:p>
    <w:p w14:paraId="54C40053" w14:textId="4B279700" w:rsidR="00812345" w:rsidRDefault="00812345" w:rsidP="009A5958">
      <w:pPr>
        <w:jc w:val="both"/>
      </w:pPr>
      <w:r>
        <w:t>Instructed by</w:t>
      </w:r>
      <w:r w:rsidR="006A281D">
        <w:tab/>
      </w:r>
      <w:r w:rsidR="006A281D">
        <w:tab/>
      </w:r>
      <w:r w:rsidR="006A281D">
        <w:tab/>
      </w:r>
      <w:r w:rsidR="006A281D">
        <w:tab/>
      </w:r>
      <w:r w:rsidR="006A281D">
        <w:tab/>
      </w:r>
      <w:r>
        <w:t xml:space="preserve">: </w:t>
      </w:r>
      <w:r w:rsidR="00EB1C99">
        <w:tab/>
      </w:r>
      <w:r w:rsidR="00EB1C99">
        <w:tab/>
      </w:r>
      <w:r w:rsidR="00D25388">
        <w:t>State Attorne</w:t>
      </w:r>
      <w:r w:rsidR="00EB1C99">
        <w:t>y</w:t>
      </w:r>
    </w:p>
    <w:p w14:paraId="54B04259" w14:textId="41AD5008" w:rsidR="00812345" w:rsidRDefault="00D25388" w:rsidP="009A5958">
      <w:pPr>
        <w:pStyle w:val="ListParagraph"/>
        <w:jc w:val="both"/>
      </w:pPr>
      <w:r>
        <w:t xml:space="preserve">                     </w:t>
      </w:r>
      <w:r w:rsidR="006C33F4">
        <w:t xml:space="preserve">                            </w:t>
      </w:r>
      <w:r>
        <w:t xml:space="preserve">   </w:t>
      </w:r>
      <w:r w:rsidR="00EB1C99">
        <w:tab/>
      </w:r>
      <w:r w:rsidR="00EB1C99">
        <w:tab/>
      </w:r>
      <w:r w:rsidR="00EB1C99">
        <w:tab/>
      </w:r>
      <w:r>
        <w:t>D</w:t>
      </w:r>
      <w:r w:rsidR="00812345">
        <w:t>efendant’s Attorney</w:t>
      </w:r>
    </w:p>
    <w:p w14:paraId="57F4799E" w14:textId="77777777" w:rsidR="00EB1C99" w:rsidRDefault="00D25388" w:rsidP="00EB1C99">
      <w:pPr>
        <w:pStyle w:val="ListParagraph"/>
        <w:jc w:val="both"/>
      </w:pPr>
      <w:r>
        <w:t xml:space="preserve">                    </w:t>
      </w:r>
      <w:r w:rsidR="006C33F4">
        <w:t xml:space="preserve">                            </w:t>
      </w:r>
      <w:r>
        <w:t xml:space="preserve">    </w:t>
      </w:r>
      <w:r w:rsidR="00EB1C99">
        <w:tab/>
      </w:r>
      <w:r w:rsidR="00EB1C99">
        <w:tab/>
      </w:r>
      <w:r w:rsidR="00EB1C99">
        <w:tab/>
      </w:r>
      <w:r>
        <w:t>B</w:t>
      </w:r>
      <w:r w:rsidR="00812345">
        <w:t>roadcast House</w:t>
      </w:r>
      <w:r>
        <w:t xml:space="preserve">, </w:t>
      </w:r>
    </w:p>
    <w:p w14:paraId="0A642793" w14:textId="55A938CA" w:rsidR="00D25388" w:rsidRDefault="00D25388" w:rsidP="009A5958">
      <w:pPr>
        <w:pStyle w:val="ListParagraph"/>
        <w:ind w:left="5040" w:firstLine="720"/>
        <w:jc w:val="both"/>
      </w:pPr>
      <w:r>
        <w:lastRenderedPageBreak/>
        <w:t xml:space="preserve">94 </w:t>
      </w:r>
      <w:r w:rsidR="006C33F4">
        <w:t>Sisson Street</w:t>
      </w:r>
      <w:r>
        <w:t xml:space="preserve">,                 </w:t>
      </w:r>
    </w:p>
    <w:p w14:paraId="5FD27D82" w14:textId="4A034323" w:rsidR="00812345" w:rsidRDefault="00D25388" w:rsidP="009A5958">
      <w:pPr>
        <w:pStyle w:val="ListParagraph"/>
        <w:jc w:val="both"/>
      </w:pPr>
      <w:r>
        <w:t xml:space="preserve">                   </w:t>
      </w:r>
      <w:r w:rsidR="006C33F4">
        <w:t xml:space="preserve">                          </w:t>
      </w:r>
      <w:r>
        <w:t xml:space="preserve">      </w:t>
      </w:r>
      <w:r w:rsidR="00EB1C99">
        <w:tab/>
      </w:r>
      <w:r w:rsidR="00EB1C99">
        <w:tab/>
      </w:r>
      <w:r w:rsidR="00EB1C99">
        <w:tab/>
      </w:r>
      <w:r>
        <w:t>MTHATHA</w:t>
      </w:r>
    </w:p>
    <w:p w14:paraId="7BAB6A5F" w14:textId="77777777" w:rsidR="00812345" w:rsidRDefault="00812345" w:rsidP="00EB1C99">
      <w:pPr>
        <w:pStyle w:val="ListParagraph"/>
        <w:jc w:val="both"/>
      </w:pPr>
      <w:r>
        <w:t xml:space="preserve">                                </w:t>
      </w:r>
    </w:p>
    <w:p w14:paraId="325D4AF2" w14:textId="48D8C2B3" w:rsidR="00D86E36" w:rsidRDefault="006C33F4" w:rsidP="00EB1C99">
      <w:pPr>
        <w:tabs>
          <w:tab w:val="left" w:pos="851"/>
        </w:tabs>
        <w:jc w:val="both"/>
        <w:rPr>
          <w:b/>
          <w:lang w:val="en-GB"/>
        </w:rPr>
      </w:pPr>
      <w:r>
        <w:rPr>
          <w:b/>
          <w:lang w:val="en-GB"/>
        </w:rPr>
        <w:t>DATE HEARD</w:t>
      </w:r>
      <w:r w:rsidR="006A281D">
        <w:rPr>
          <w:b/>
          <w:lang w:val="en-GB"/>
        </w:rPr>
        <w:tab/>
      </w:r>
      <w:r w:rsidR="006A281D">
        <w:rPr>
          <w:b/>
          <w:lang w:val="en-GB"/>
        </w:rPr>
        <w:tab/>
      </w:r>
      <w:r w:rsidR="006A281D">
        <w:rPr>
          <w:b/>
          <w:lang w:val="en-GB"/>
        </w:rPr>
        <w:tab/>
      </w:r>
      <w:r w:rsidR="006A281D">
        <w:rPr>
          <w:b/>
          <w:lang w:val="en-GB"/>
        </w:rPr>
        <w:tab/>
      </w:r>
      <w:r>
        <w:rPr>
          <w:b/>
          <w:lang w:val="en-GB"/>
        </w:rPr>
        <w:t xml:space="preserve">:         </w:t>
      </w:r>
      <w:r w:rsidR="00EB1C99">
        <w:rPr>
          <w:b/>
          <w:lang w:val="en-GB"/>
        </w:rPr>
        <w:tab/>
      </w:r>
      <w:r w:rsidR="00EB1C99">
        <w:rPr>
          <w:b/>
          <w:lang w:val="en-GB"/>
        </w:rPr>
        <w:tab/>
      </w:r>
      <w:r>
        <w:rPr>
          <w:b/>
          <w:lang w:val="en-GB"/>
        </w:rPr>
        <w:t>30 June 2023</w:t>
      </w:r>
    </w:p>
    <w:p w14:paraId="718771E7" w14:textId="77777777" w:rsidR="00D86E36" w:rsidRDefault="00D86E36" w:rsidP="00EB1C99">
      <w:pPr>
        <w:tabs>
          <w:tab w:val="left" w:pos="851"/>
        </w:tabs>
        <w:jc w:val="both"/>
        <w:rPr>
          <w:b/>
          <w:lang w:val="en-GB"/>
        </w:rPr>
      </w:pPr>
    </w:p>
    <w:p w14:paraId="1EFB684E" w14:textId="3651D833" w:rsidR="006C33F4" w:rsidRDefault="006C33F4" w:rsidP="00EB1C99">
      <w:pPr>
        <w:tabs>
          <w:tab w:val="left" w:pos="851"/>
        </w:tabs>
        <w:jc w:val="both"/>
        <w:rPr>
          <w:lang w:val="en-GB"/>
        </w:rPr>
      </w:pPr>
      <w:r>
        <w:rPr>
          <w:b/>
          <w:lang w:val="en-GB"/>
        </w:rPr>
        <w:t>DATE DELIVERED:</w:t>
      </w:r>
      <w:r>
        <w:rPr>
          <w:lang w:val="en-GB"/>
        </w:rPr>
        <w:t xml:space="preserve"> The judgment was handed down electronically by circulation to the parties’ legal representatives by email. The date and time </w:t>
      </w:r>
      <w:r w:rsidR="007F483A">
        <w:rPr>
          <w:lang w:val="en-GB"/>
        </w:rPr>
        <w:t>for hand-down is deemed to be 01 August</w:t>
      </w:r>
      <w:r>
        <w:rPr>
          <w:lang w:val="en-GB"/>
        </w:rPr>
        <w:t xml:space="preserve"> 2023 at 10:00</w:t>
      </w:r>
    </w:p>
    <w:p w14:paraId="664355AD" w14:textId="77777777" w:rsidR="00812345" w:rsidRPr="00A86E12" w:rsidRDefault="00812345" w:rsidP="00EB1C99">
      <w:pPr>
        <w:pStyle w:val="ListParagraph"/>
        <w:jc w:val="both"/>
        <w:rPr>
          <w:b/>
        </w:rPr>
      </w:pPr>
    </w:p>
    <w:p w14:paraId="1A965116" w14:textId="77777777" w:rsidR="00D60B4C" w:rsidRDefault="00D60B4C" w:rsidP="009A5958">
      <w:pPr>
        <w:pStyle w:val="ListParagraph"/>
        <w:jc w:val="both"/>
      </w:pPr>
    </w:p>
    <w:sectPr w:rsidR="00D60B4C" w:rsidSect="004F0FEF">
      <w:headerReference w:type="default" r:id="rId12"/>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EC476" w14:textId="77777777" w:rsidR="008237DD" w:rsidRDefault="008237DD" w:rsidP="00C91BD0">
      <w:pPr>
        <w:spacing w:line="240" w:lineRule="auto"/>
      </w:pPr>
      <w:r>
        <w:separator/>
      </w:r>
    </w:p>
  </w:endnote>
  <w:endnote w:type="continuationSeparator" w:id="0">
    <w:p w14:paraId="03B095AC" w14:textId="77777777" w:rsidR="008237DD" w:rsidRDefault="008237DD"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2618A" w14:textId="77777777" w:rsidR="008237DD" w:rsidRDefault="008237DD" w:rsidP="00C91BD0">
      <w:pPr>
        <w:spacing w:line="240" w:lineRule="auto"/>
      </w:pPr>
      <w:r>
        <w:separator/>
      </w:r>
    </w:p>
  </w:footnote>
  <w:footnote w:type="continuationSeparator" w:id="0">
    <w:p w14:paraId="288B66BE" w14:textId="77777777" w:rsidR="008237DD" w:rsidRDefault="008237DD" w:rsidP="00C91BD0">
      <w:pPr>
        <w:spacing w:line="240" w:lineRule="auto"/>
      </w:pPr>
      <w:r>
        <w:continuationSeparator/>
      </w:r>
    </w:p>
  </w:footnote>
  <w:footnote w:id="1">
    <w:p w14:paraId="66EBEF36" w14:textId="1370A15F" w:rsidR="006E2720" w:rsidRPr="005812F3" w:rsidRDefault="006E2720">
      <w:pPr>
        <w:pStyle w:val="FootnoteText"/>
      </w:pPr>
      <w:r w:rsidRPr="005812F3">
        <w:rPr>
          <w:rStyle w:val="FootnoteReference"/>
        </w:rPr>
        <w:footnoteRef/>
      </w:r>
      <w:r w:rsidRPr="005812F3">
        <w:t xml:space="preserve"> A</w:t>
      </w:r>
      <w:r w:rsidR="0037289E" w:rsidRPr="005812F3">
        <w:t>ct 108 of 1996, The Constitution</w:t>
      </w:r>
      <w:r w:rsidR="0066163F">
        <w:t>.</w:t>
      </w:r>
    </w:p>
  </w:footnote>
  <w:footnote w:id="2">
    <w:p w14:paraId="3CAB15B4" w14:textId="140CF70C" w:rsidR="006E2720" w:rsidRPr="005812F3" w:rsidRDefault="006E2720">
      <w:pPr>
        <w:pStyle w:val="FootnoteText"/>
        <w:rPr>
          <w:lang w:val="en-US"/>
        </w:rPr>
      </w:pPr>
      <w:r w:rsidRPr="005812F3">
        <w:rPr>
          <w:rStyle w:val="FootnoteReference"/>
        </w:rPr>
        <w:footnoteRef/>
      </w:r>
      <w:r w:rsidRPr="005812F3">
        <w:t xml:space="preserve"> Minister of Law a</w:t>
      </w:r>
      <w:r w:rsidR="008B1A85">
        <w:t>nd Order and Others v Hurley and</w:t>
      </w:r>
      <w:r w:rsidRPr="005812F3">
        <w:t xml:space="preserve"> Another 1986(</w:t>
      </w:r>
      <w:r w:rsidR="00757664" w:rsidRPr="005812F3">
        <w:t>3) SA</w:t>
      </w:r>
      <w:r w:rsidR="00A70E2D">
        <w:t xml:space="preserve"> 568 AD at 589 E-F;</w:t>
      </w:r>
      <w:r w:rsidRPr="005812F3">
        <w:t xml:space="preserve">Minister of </w:t>
      </w:r>
      <w:r w:rsidR="004944A6" w:rsidRPr="005812F3">
        <w:t>Law-and-Order</w:t>
      </w:r>
      <w:r w:rsidRPr="005812F3">
        <w:t xml:space="preserve"> v </w:t>
      </w:r>
      <w:r w:rsidR="00A70E2D" w:rsidRPr="005812F3">
        <w:t>Matshoba1990 (</w:t>
      </w:r>
      <w:r w:rsidR="004944A6" w:rsidRPr="005812F3">
        <w:t>1) SA</w:t>
      </w:r>
      <w:r w:rsidRPr="005812F3">
        <w:t xml:space="preserve"> 280 AD at 284</w:t>
      </w:r>
      <w:r w:rsidR="0066163F">
        <w:t>.</w:t>
      </w:r>
    </w:p>
  </w:footnote>
  <w:footnote w:id="3">
    <w:p w14:paraId="6ADEEF0C" w14:textId="00BA89CE" w:rsidR="009A01EC" w:rsidRPr="009A01EC" w:rsidRDefault="009A01EC">
      <w:pPr>
        <w:pStyle w:val="FootnoteText"/>
        <w:rPr>
          <w:lang w:val="en-US"/>
        </w:rPr>
      </w:pPr>
      <w:r>
        <w:rPr>
          <w:rStyle w:val="FootnoteReference"/>
        </w:rPr>
        <w:footnoteRef/>
      </w:r>
      <w:r>
        <w:t xml:space="preserve"> </w:t>
      </w:r>
      <w:r>
        <w:rPr>
          <w:lang w:val="en-US"/>
        </w:rPr>
        <w:t>The Criminal Procedure Act 51 of 1977</w:t>
      </w:r>
      <w:r w:rsidR="0066163F">
        <w:rPr>
          <w:lang w:val="en-US"/>
        </w:rPr>
        <w:t>.</w:t>
      </w:r>
    </w:p>
  </w:footnote>
  <w:footnote w:id="4">
    <w:p w14:paraId="6B1A5265" w14:textId="77777777" w:rsidR="006E2720" w:rsidRPr="005812F3" w:rsidRDefault="006E2720" w:rsidP="00724392">
      <w:pPr>
        <w:pStyle w:val="FootnoteText"/>
        <w:rPr>
          <w:b/>
        </w:rPr>
      </w:pPr>
      <w:r w:rsidRPr="005812F3">
        <w:rPr>
          <w:rStyle w:val="FootnoteReference"/>
        </w:rPr>
        <w:footnoteRef/>
      </w:r>
      <w:r w:rsidRPr="005812F3">
        <w:t xml:space="preserve"> </w:t>
      </w:r>
      <w:r w:rsidRPr="005812F3">
        <w:rPr>
          <w:color w:val="111111"/>
        </w:rPr>
        <w:t xml:space="preserve"> Mabona &amp; another v Minister of Law and Order &amp; others</w:t>
      </w:r>
      <w:r w:rsidRPr="005812F3">
        <w:rPr>
          <w:rStyle w:val="Strong"/>
          <w:color w:val="111111"/>
        </w:rPr>
        <w:t xml:space="preserve"> </w:t>
      </w:r>
      <w:r w:rsidRPr="005812F3">
        <w:rPr>
          <w:rStyle w:val="Strong"/>
          <w:b w:val="0"/>
          <w:color w:val="111111"/>
        </w:rPr>
        <w:t>1988 (2) SA 654 (SE) at 658E-H</w:t>
      </w:r>
      <w:r w:rsidRPr="005812F3">
        <w:rPr>
          <w:b/>
          <w:color w:val="111111"/>
        </w:rPr>
        <w:t>,</w:t>
      </w:r>
    </w:p>
  </w:footnote>
  <w:footnote w:id="5">
    <w:p w14:paraId="5AE630B0" w14:textId="77777777" w:rsidR="005C26C4" w:rsidRPr="005812F3" w:rsidRDefault="005C26C4" w:rsidP="005C26C4">
      <w:pPr>
        <w:pStyle w:val="FootnoteText"/>
      </w:pPr>
      <w:r w:rsidRPr="005812F3">
        <w:rPr>
          <w:rStyle w:val="FootnoteReference"/>
        </w:rPr>
        <w:footnoteRef/>
      </w:r>
      <w:r w:rsidRPr="005812F3">
        <w:t xml:space="preserve"> 1984 (1) All ER 1054 (HL) 1057</w:t>
      </w:r>
      <w:r>
        <w:t>.</w:t>
      </w:r>
    </w:p>
  </w:footnote>
  <w:footnote w:id="6">
    <w:p w14:paraId="4BE6B8E9" w14:textId="77777777" w:rsidR="005C26C4" w:rsidRPr="005812F3" w:rsidRDefault="005C26C4" w:rsidP="005C26C4">
      <w:pPr>
        <w:pStyle w:val="FootnoteText"/>
      </w:pPr>
      <w:r w:rsidRPr="005812F3">
        <w:rPr>
          <w:rStyle w:val="FootnoteReference"/>
        </w:rPr>
        <w:footnoteRef/>
      </w:r>
      <w:r w:rsidRPr="005812F3">
        <w:t xml:space="preserve"> 2011</w:t>
      </w:r>
      <w:r>
        <w:t xml:space="preserve"> </w:t>
      </w:r>
      <w:r w:rsidRPr="005812F3">
        <w:t>(1) SACR 315 (SCA)</w:t>
      </w:r>
      <w:r>
        <w:t>.</w:t>
      </w:r>
    </w:p>
  </w:footnote>
  <w:footnote w:id="7">
    <w:p w14:paraId="67FA947F" w14:textId="77777777" w:rsidR="00945A9C" w:rsidRPr="00945A9C" w:rsidRDefault="00945A9C">
      <w:pPr>
        <w:pStyle w:val="FootnoteText"/>
        <w:rPr>
          <w:lang w:val="en-US"/>
        </w:rPr>
      </w:pPr>
      <w:r>
        <w:rPr>
          <w:rStyle w:val="FootnoteReference"/>
        </w:rPr>
        <w:footnoteRef/>
      </w:r>
      <w:r>
        <w:t xml:space="preserve"> </w:t>
      </w:r>
      <w:r>
        <w:rPr>
          <w:lang w:val="en-US"/>
        </w:rPr>
        <w:t>Minister of Safety and Security v Slabbert [2009] ZASCA 163; (2010) 2 All SA 474 (SCA).</w:t>
      </w:r>
    </w:p>
  </w:footnote>
  <w:footnote w:id="8">
    <w:p w14:paraId="5CE330AE" w14:textId="77777777" w:rsidR="006E2720" w:rsidRPr="007C1981" w:rsidRDefault="006E2720">
      <w:pPr>
        <w:pStyle w:val="FootnoteText"/>
        <w:rPr>
          <w:lang w:val="en-US"/>
        </w:rPr>
      </w:pPr>
      <w:r>
        <w:rPr>
          <w:rStyle w:val="FootnoteReference"/>
        </w:rPr>
        <w:footnoteRef/>
      </w:r>
      <w:r>
        <w:t xml:space="preserve"> </w:t>
      </w:r>
      <w:r>
        <w:rPr>
          <w:lang w:val="en-US"/>
        </w:rPr>
        <w:t>Pages 66- 70 of the amended index to pleadings</w:t>
      </w:r>
    </w:p>
  </w:footnote>
  <w:footnote w:id="9">
    <w:p w14:paraId="68122054" w14:textId="1BEBF061" w:rsidR="006E2720" w:rsidRPr="005812F3" w:rsidRDefault="006E2720" w:rsidP="00724392">
      <w:pPr>
        <w:pStyle w:val="FootnoteText"/>
      </w:pPr>
      <w:r w:rsidRPr="005812F3">
        <w:rPr>
          <w:rStyle w:val="FootnoteReference"/>
        </w:rPr>
        <w:footnoteRef/>
      </w:r>
      <w:r w:rsidRPr="005812F3">
        <w:t xml:space="preserve"> Madyibi v Minister of Police (4132/</w:t>
      </w:r>
      <w:r w:rsidR="00050945" w:rsidRPr="005812F3">
        <w:t>17) [</w:t>
      </w:r>
      <w:r w:rsidRPr="005812F3">
        <w:t>2020] ZAECMHC 11;2020(2) SACR 243 (ECM</w:t>
      </w:r>
      <w:r w:rsidR="006A281D" w:rsidRPr="005812F3">
        <w:t>) (</w:t>
      </w:r>
      <w:r w:rsidRPr="005812F3">
        <w:t>17 March 2020)</w:t>
      </w:r>
      <w:r w:rsidR="0066163F">
        <w:t>.</w:t>
      </w:r>
    </w:p>
  </w:footnote>
  <w:footnote w:id="10">
    <w:p w14:paraId="171449A1" w14:textId="4571685E" w:rsidR="006E2720" w:rsidRPr="005812F3" w:rsidRDefault="006E2720" w:rsidP="00692B10">
      <w:pPr>
        <w:pStyle w:val="FootnoteText"/>
      </w:pPr>
      <w:r w:rsidRPr="00B04EE2">
        <w:rPr>
          <w:rStyle w:val="FootnoteReference"/>
          <w:sz w:val="18"/>
          <w:szCs w:val="18"/>
        </w:rPr>
        <w:footnoteRef/>
      </w:r>
      <w:r w:rsidRPr="00B04EE2">
        <w:rPr>
          <w:sz w:val="18"/>
          <w:szCs w:val="18"/>
        </w:rPr>
        <w:t xml:space="preserve"> </w:t>
      </w:r>
      <w:r w:rsidRPr="005812F3">
        <w:t>The Criminal Sexual offences and Related matters Amendment Act, the Act</w:t>
      </w:r>
      <w:r w:rsidR="0066163F">
        <w:t>.</w:t>
      </w:r>
    </w:p>
  </w:footnote>
  <w:footnote w:id="11">
    <w:p w14:paraId="166AF1E2" w14:textId="2ABDC1A8" w:rsidR="006E2720" w:rsidRPr="005812F3" w:rsidRDefault="006E2720" w:rsidP="005C3B00">
      <w:pPr>
        <w:pStyle w:val="FootnoteText"/>
      </w:pPr>
      <w:r w:rsidRPr="005812F3">
        <w:rPr>
          <w:rStyle w:val="FootnoteReference"/>
        </w:rPr>
        <w:footnoteRef/>
      </w:r>
      <w:r w:rsidRPr="005812F3">
        <w:t xml:space="preserve"> Section</w:t>
      </w:r>
      <w:r w:rsidR="005812F3" w:rsidRPr="005812F3">
        <w:t xml:space="preserve"> 1(2)(d)(iv) Criminal Law Sexual Offences and Related Matters Amendment Act 32 of 2007</w:t>
      </w:r>
      <w:r w:rsidR="0066163F">
        <w:t>.</w:t>
      </w:r>
    </w:p>
  </w:footnote>
  <w:footnote w:id="12">
    <w:p w14:paraId="4120D8E9" w14:textId="4CBB05E6" w:rsidR="009112A8" w:rsidRDefault="009112A8">
      <w:pPr>
        <w:pStyle w:val="FootnoteText"/>
      </w:pPr>
      <w:r>
        <w:rPr>
          <w:rStyle w:val="FootnoteReference"/>
        </w:rPr>
        <w:footnoteRef/>
      </w:r>
      <w:r>
        <w:t xml:space="preserve"> In S v </w:t>
      </w:r>
      <w:r w:rsidR="00050945">
        <w:t>Hammond (</w:t>
      </w:r>
      <w:r>
        <w:t>500/03) [2004] ZASCA 71; [2004] 4 All SA 5 (SCA</w:t>
      </w:r>
      <w:r w:rsidR="006A281D">
        <w:t>) (</w:t>
      </w:r>
      <w:r>
        <w:t>3 September 2004)</w:t>
      </w:r>
      <w:r w:rsidR="0066163F">
        <w:t>.</w:t>
      </w:r>
    </w:p>
  </w:footnote>
  <w:footnote w:id="13">
    <w:p w14:paraId="39BAD422" w14:textId="3DDE276A" w:rsidR="006E2720" w:rsidRPr="006E2720" w:rsidRDefault="006E2720">
      <w:pPr>
        <w:pStyle w:val="FootnoteText"/>
        <w:rPr>
          <w:lang w:val="en-US"/>
        </w:rPr>
      </w:pPr>
      <w:r>
        <w:rPr>
          <w:rStyle w:val="FootnoteReference"/>
        </w:rPr>
        <w:footnoteRef/>
      </w:r>
      <w:r>
        <w:t xml:space="preserve"> </w:t>
      </w:r>
      <w:r>
        <w:rPr>
          <w:lang w:val="en-US"/>
        </w:rPr>
        <w:t>(1017/</w:t>
      </w:r>
      <w:r w:rsidR="00050945">
        <w:rPr>
          <w:lang w:val="en-US"/>
        </w:rPr>
        <w:t>2020) [</w:t>
      </w:r>
      <w:r>
        <w:rPr>
          <w:lang w:val="en-US"/>
        </w:rPr>
        <w:t>2022] ZASCA 36; 2023 (1) SACR 235 (SCA) (1 April 2022)</w:t>
      </w:r>
      <w:r w:rsidR="0066163F">
        <w:rPr>
          <w:lang w:val="en-US"/>
        </w:rPr>
        <w:t>.</w:t>
      </w:r>
    </w:p>
  </w:footnote>
  <w:footnote w:id="14">
    <w:p w14:paraId="7891A563" w14:textId="676AD5D9" w:rsidR="006E2720" w:rsidRPr="00CB04F8" w:rsidRDefault="006E2720">
      <w:pPr>
        <w:pStyle w:val="FootnoteText"/>
        <w:rPr>
          <w:lang w:val="pt-BR"/>
        </w:rPr>
      </w:pPr>
      <w:r>
        <w:rPr>
          <w:rStyle w:val="FootnoteReference"/>
        </w:rPr>
        <w:footnoteRef/>
      </w:r>
      <w:r w:rsidRPr="00CB04F8">
        <w:rPr>
          <w:lang w:val="pt-BR"/>
        </w:rPr>
        <w:t xml:space="preserve"> Supra footnote no 13</w:t>
      </w:r>
      <w:r w:rsidR="0066163F">
        <w:rPr>
          <w:lang w:val="pt-BR"/>
        </w:rPr>
        <w:t>.</w:t>
      </w:r>
    </w:p>
  </w:footnote>
  <w:footnote w:id="15">
    <w:p w14:paraId="5D7DD2F9" w14:textId="77777777" w:rsidR="00C513CB" w:rsidRPr="00E96C7C" w:rsidRDefault="00C513CB" w:rsidP="00C513CB">
      <w:pPr>
        <w:pStyle w:val="ListParagraph"/>
        <w:ind w:left="0"/>
        <w:jc w:val="both"/>
        <w:rPr>
          <w:b/>
          <w:sz w:val="20"/>
          <w:szCs w:val="20"/>
        </w:rPr>
      </w:pPr>
      <w:r>
        <w:rPr>
          <w:rStyle w:val="FootnoteReference"/>
        </w:rPr>
        <w:footnoteRef/>
      </w:r>
      <w:r>
        <w:t xml:space="preserve"> </w:t>
      </w:r>
      <w:r w:rsidRPr="006A44C8">
        <w:t>‘</w:t>
      </w:r>
      <w:r w:rsidRPr="002D2735">
        <w:t>’</w:t>
      </w:r>
      <w:r w:rsidRPr="002D2735">
        <w:rPr>
          <w:sz w:val="20"/>
          <w:szCs w:val="20"/>
        </w:rPr>
        <w:t>38 METHODS OF SECURING THE ATTENDANCE OF ACCUSED IN COURT</w:t>
      </w:r>
    </w:p>
    <w:p w14:paraId="3F137712" w14:textId="77777777" w:rsidR="00C513CB" w:rsidRPr="009A5958" w:rsidRDefault="00C513CB" w:rsidP="00C513CB">
      <w:pPr>
        <w:pStyle w:val="ListParagraph"/>
        <w:numPr>
          <w:ilvl w:val="0"/>
          <w:numId w:val="17"/>
        </w:numPr>
        <w:spacing w:after="200"/>
        <w:jc w:val="both"/>
        <w:rPr>
          <w:sz w:val="20"/>
          <w:szCs w:val="20"/>
        </w:rPr>
      </w:pPr>
      <w:r w:rsidRPr="00D86E36">
        <w:rPr>
          <w:i/>
          <w:sz w:val="20"/>
          <w:szCs w:val="20"/>
        </w:rPr>
        <w:t>Subject to section 4(2) of the Child Justice Act, 2008 (Act 75 OF 2008), the methods of securing the attendance of an accused in court who is eighteen years or older in court for purposes of his or her trial shall be arrest, summons, written notice and indictment in accordance with the relevant provisions of this Act.’’</w:t>
      </w:r>
    </w:p>
  </w:footnote>
  <w:footnote w:id="16">
    <w:p w14:paraId="13F0D6DB" w14:textId="089ACD29" w:rsidR="006E2720" w:rsidRPr="00CB04F8" w:rsidRDefault="006E2720">
      <w:pPr>
        <w:pStyle w:val="FootnoteText"/>
        <w:rPr>
          <w:sz w:val="18"/>
          <w:szCs w:val="18"/>
          <w:lang w:val="pt-BR"/>
        </w:rPr>
      </w:pPr>
      <w:r w:rsidRPr="00B04EE2">
        <w:rPr>
          <w:rStyle w:val="FootnoteReference"/>
          <w:sz w:val="18"/>
          <w:szCs w:val="18"/>
        </w:rPr>
        <w:footnoteRef/>
      </w:r>
      <w:r w:rsidRPr="00CB04F8">
        <w:rPr>
          <w:sz w:val="18"/>
          <w:szCs w:val="18"/>
          <w:lang w:val="pt-BR"/>
        </w:rPr>
        <w:t xml:space="preserve"> 2006</w:t>
      </w:r>
      <w:r w:rsidR="00D86E36">
        <w:rPr>
          <w:sz w:val="18"/>
          <w:szCs w:val="18"/>
          <w:lang w:val="pt-BR"/>
        </w:rPr>
        <w:t xml:space="preserve"> </w:t>
      </w:r>
      <w:r w:rsidRPr="00CB04F8">
        <w:rPr>
          <w:sz w:val="18"/>
          <w:szCs w:val="18"/>
          <w:lang w:val="pt-BR"/>
        </w:rPr>
        <w:t xml:space="preserve">(2) SACR 173(T) </w:t>
      </w:r>
      <w:r w:rsidR="00D86E36">
        <w:rPr>
          <w:sz w:val="18"/>
          <w:szCs w:val="18"/>
          <w:lang w:val="pt-BR"/>
        </w:rPr>
        <w:t xml:space="preserve">at </w:t>
      </w:r>
      <w:r w:rsidRPr="00CB04F8">
        <w:rPr>
          <w:sz w:val="18"/>
          <w:szCs w:val="18"/>
          <w:lang w:val="pt-BR"/>
        </w:rPr>
        <w:t>186a-187(e)</w:t>
      </w:r>
      <w:r w:rsidR="0066163F">
        <w:rPr>
          <w:sz w:val="18"/>
          <w:szCs w:val="18"/>
          <w:lang w:val="pt-BR"/>
        </w:rPr>
        <w:t>.</w:t>
      </w:r>
    </w:p>
  </w:footnote>
  <w:footnote w:id="17">
    <w:p w14:paraId="77E13B82" w14:textId="22801178" w:rsidR="006E2720" w:rsidRPr="009A5958" w:rsidRDefault="006E2720" w:rsidP="00E96C7C">
      <w:pPr>
        <w:pStyle w:val="FootnoteText"/>
      </w:pPr>
      <w:r w:rsidRPr="009A5958">
        <w:rPr>
          <w:rStyle w:val="FootnoteReference"/>
        </w:rPr>
        <w:footnoteRef/>
      </w:r>
      <w:r w:rsidRPr="009A5958">
        <w:t xml:space="preserve"> </w:t>
      </w:r>
      <w:r w:rsidR="006052DB">
        <w:t>1927 AD 293 at</w:t>
      </w:r>
      <w:r w:rsidRPr="009A5958">
        <w:t xml:space="preserve"> 301</w:t>
      </w:r>
      <w:r w:rsidR="0066163F">
        <w:t>.</w:t>
      </w:r>
    </w:p>
  </w:footnote>
  <w:footnote w:id="18">
    <w:p w14:paraId="51E17B3D" w14:textId="3DAD7B3E" w:rsidR="006E2720" w:rsidRPr="00D86E36" w:rsidRDefault="006E2720">
      <w:pPr>
        <w:pStyle w:val="FootnoteText"/>
      </w:pPr>
      <w:r w:rsidRPr="00D86E36">
        <w:rPr>
          <w:rStyle w:val="FootnoteReference"/>
        </w:rPr>
        <w:footnoteRef/>
      </w:r>
      <w:r w:rsidRPr="00D86E36">
        <w:t xml:space="preserve"> Tsose v Minister of Justice and Others 1951</w:t>
      </w:r>
      <w:r w:rsidR="00D86E36">
        <w:t xml:space="preserve"> </w:t>
      </w:r>
      <w:r w:rsidRPr="00D86E36">
        <w:t xml:space="preserve">(3) SA 10(A) </w:t>
      </w:r>
      <w:r w:rsidR="00D86E36">
        <w:t xml:space="preserve">at </w:t>
      </w:r>
      <w:r w:rsidRPr="00D86E36">
        <w:t>17F-H</w:t>
      </w:r>
      <w:r w:rsidR="0066163F">
        <w:t>.</w:t>
      </w:r>
    </w:p>
  </w:footnote>
  <w:footnote w:id="19">
    <w:p w14:paraId="5EC93B78" w14:textId="77777777" w:rsidR="00C513CB" w:rsidRDefault="00C513CB" w:rsidP="00C513CB">
      <w:pPr>
        <w:pStyle w:val="FootnoteText"/>
      </w:pPr>
      <w:r>
        <w:rPr>
          <w:rStyle w:val="FootnoteReference"/>
        </w:rPr>
        <w:footnoteRef/>
      </w:r>
      <w:r>
        <w:t xml:space="preserve"> Above n 8. </w:t>
      </w:r>
    </w:p>
  </w:footnote>
  <w:footnote w:id="20">
    <w:p w14:paraId="15AAF9E9" w14:textId="130EC750" w:rsidR="006E2720" w:rsidRDefault="006E2720">
      <w:pPr>
        <w:pStyle w:val="FootnoteText"/>
      </w:pPr>
      <w:r>
        <w:rPr>
          <w:rStyle w:val="FootnoteReference"/>
        </w:rPr>
        <w:footnoteRef/>
      </w:r>
      <w:r>
        <w:t xml:space="preserve"> Section 205</w:t>
      </w:r>
      <w:r w:rsidR="00D86E36">
        <w:t xml:space="preserve"> </w:t>
      </w:r>
      <w:r>
        <w:t>(3</w:t>
      </w:r>
      <w:r w:rsidR="00565DCB">
        <w:t>)</w:t>
      </w:r>
      <w:r w:rsidR="006616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4554"/>
      <w:docPartObj>
        <w:docPartGallery w:val="Page Numbers (Top of Page)"/>
        <w:docPartUnique/>
      </w:docPartObj>
    </w:sdtPr>
    <w:sdtEndPr>
      <w:rPr>
        <w:noProof/>
        <w:sz w:val="20"/>
        <w:szCs w:val="20"/>
      </w:rPr>
    </w:sdtEndPr>
    <w:sdtContent>
      <w:p w14:paraId="50230CC7" w14:textId="77777777" w:rsidR="006E2720" w:rsidRPr="004F0FEF" w:rsidRDefault="006E2720">
        <w:pPr>
          <w:pStyle w:val="Header"/>
          <w:jc w:val="right"/>
          <w:rPr>
            <w:sz w:val="20"/>
            <w:szCs w:val="20"/>
          </w:rPr>
        </w:pPr>
        <w:r w:rsidRPr="004F0FEF">
          <w:rPr>
            <w:sz w:val="20"/>
            <w:szCs w:val="20"/>
          </w:rPr>
          <w:fldChar w:fldCharType="begin"/>
        </w:r>
        <w:r w:rsidRPr="004F0FEF">
          <w:rPr>
            <w:sz w:val="20"/>
            <w:szCs w:val="20"/>
          </w:rPr>
          <w:instrText xml:space="preserve"> PAGE   \* MERGEFORMAT </w:instrText>
        </w:r>
        <w:r w:rsidRPr="004F0FEF">
          <w:rPr>
            <w:sz w:val="20"/>
            <w:szCs w:val="20"/>
          </w:rPr>
          <w:fldChar w:fldCharType="separate"/>
        </w:r>
        <w:r w:rsidR="00EB5E5D">
          <w:rPr>
            <w:noProof/>
            <w:sz w:val="20"/>
            <w:szCs w:val="20"/>
          </w:rPr>
          <w:t>16</w:t>
        </w:r>
        <w:r w:rsidRPr="004F0FEF">
          <w:rPr>
            <w:noProof/>
            <w:sz w:val="20"/>
            <w:szCs w:val="20"/>
          </w:rPr>
          <w:fldChar w:fldCharType="end"/>
        </w:r>
      </w:p>
    </w:sdtContent>
  </w:sdt>
  <w:p w14:paraId="7DF4E37C" w14:textId="77777777" w:rsidR="006E2720" w:rsidRDefault="006E272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Fsv6Ac9" int2:invalidationBookmarkName="" int2:hashCode="IyiE9HXcqHAEGT" int2:id="8b9q2cgP">
      <int2:state int2:value="Rejected" int2:type="AugLoop_Text_Critique"/>
    </int2:bookmark>
    <int2:bookmark int2:bookmarkName="_Int_FVgWAnmF" int2:invalidationBookmarkName="" int2:hashCode="VRd/LyDcPFdCnc" int2:id="1UjLQ5AN">
      <int2:state int2:value="Rejected" int2:type="AugLoop_Text_Critique"/>
    </int2:bookmark>
    <int2:bookmark int2:bookmarkName="_Int_PoOsEEyD" int2:invalidationBookmarkName="" int2:hashCode="IyiE9HXcqHAEGT" int2:id="jjN0h8Y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64B4"/>
    <w:multiLevelType w:val="hybridMultilevel"/>
    <w:tmpl w:val="757EEF98"/>
    <w:lvl w:ilvl="0" w:tplc="B4AA4BCE">
      <w:start w:val="4"/>
      <w:numFmt w:val="lowerLetter"/>
      <w:lvlText w:val="(%1)"/>
      <w:lvlJc w:val="left"/>
      <w:pPr>
        <w:ind w:left="2100" w:hanging="360"/>
      </w:pPr>
      <w:rPr>
        <w:rFonts w:hint="default"/>
      </w:rPr>
    </w:lvl>
    <w:lvl w:ilvl="1" w:tplc="1C090019" w:tentative="1">
      <w:start w:val="1"/>
      <w:numFmt w:val="lowerLetter"/>
      <w:lvlText w:val="%2."/>
      <w:lvlJc w:val="left"/>
      <w:pPr>
        <w:ind w:left="2820" w:hanging="360"/>
      </w:pPr>
    </w:lvl>
    <w:lvl w:ilvl="2" w:tplc="1C09001B" w:tentative="1">
      <w:start w:val="1"/>
      <w:numFmt w:val="lowerRoman"/>
      <w:lvlText w:val="%3."/>
      <w:lvlJc w:val="right"/>
      <w:pPr>
        <w:ind w:left="3540" w:hanging="180"/>
      </w:pPr>
    </w:lvl>
    <w:lvl w:ilvl="3" w:tplc="1C09000F" w:tentative="1">
      <w:start w:val="1"/>
      <w:numFmt w:val="decimal"/>
      <w:lvlText w:val="%4."/>
      <w:lvlJc w:val="left"/>
      <w:pPr>
        <w:ind w:left="4260" w:hanging="360"/>
      </w:pPr>
    </w:lvl>
    <w:lvl w:ilvl="4" w:tplc="1C090019" w:tentative="1">
      <w:start w:val="1"/>
      <w:numFmt w:val="lowerLetter"/>
      <w:lvlText w:val="%5."/>
      <w:lvlJc w:val="left"/>
      <w:pPr>
        <w:ind w:left="4980" w:hanging="360"/>
      </w:pPr>
    </w:lvl>
    <w:lvl w:ilvl="5" w:tplc="1C09001B" w:tentative="1">
      <w:start w:val="1"/>
      <w:numFmt w:val="lowerRoman"/>
      <w:lvlText w:val="%6."/>
      <w:lvlJc w:val="right"/>
      <w:pPr>
        <w:ind w:left="5700" w:hanging="180"/>
      </w:pPr>
    </w:lvl>
    <w:lvl w:ilvl="6" w:tplc="1C09000F" w:tentative="1">
      <w:start w:val="1"/>
      <w:numFmt w:val="decimal"/>
      <w:lvlText w:val="%7."/>
      <w:lvlJc w:val="left"/>
      <w:pPr>
        <w:ind w:left="6420" w:hanging="360"/>
      </w:pPr>
    </w:lvl>
    <w:lvl w:ilvl="7" w:tplc="1C090019" w:tentative="1">
      <w:start w:val="1"/>
      <w:numFmt w:val="lowerLetter"/>
      <w:lvlText w:val="%8."/>
      <w:lvlJc w:val="left"/>
      <w:pPr>
        <w:ind w:left="7140" w:hanging="360"/>
      </w:pPr>
    </w:lvl>
    <w:lvl w:ilvl="8" w:tplc="1C09001B" w:tentative="1">
      <w:start w:val="1"/>
      <w:numFmt w:val="lowerRoman"/>
      <w:lvlText w:val="%9."/>
      <w:lvlJc w:val="right"/>
      <w:pPr>
        <w:ind w:left="7860" w:hanging="180"/>
      </w:pPr>
    </w:lvl>
  </w:abstractNum>
  <w:abstractNum w:abstractNumId="1">
    <w:nsid w:val="09430D40"/>
    <w:multiLevelType w:val="hybridMultilevel"/>
    <w:tmpl w:val="CBFC2AC8"/>
    <w:lvl w:ilvl="0" w:tplc="7574869E">
      <w:start w:val="1"/>
      <w:numFmt w:val="lowerRoman"/>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2">
    <w:nsid w:val="09535CDE"/>
    <w:multiLevelType w:val="hybridMultilevel"/>
    <w:tmpl w:val="015A4D5C"/>
    <w:lvl w:ilvl="0" w:tplc="EEC6D5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8D6DF7"/>
    <w:multiLevelType w:val="hybridMultilevel"/>
    <w:tmpl w:val="56E61532"/>
    <w:lvl w:ilvl="0" w:tplc="862E33DC">
      <w:start w:val="6"/>
      <w:numFmt w:val="decimal"/>
      <w:lvlText w:val="%1."/>
      <w:lvlJc w:val="left"/>
      <w:pPr>
        <w:ind w:left="360" w:hanging="360"/>
      </w:pPr>
    </w:lvl>
    <w:lvl w:ilvl="1" w:tplc="D1A40D76">
      <w:start w:val="1"/>
      <w:numFmt w:val="lowerLetter"/>
      <w:lvlText w:val="%2."/>
      <w:lvlJc w:val="left"/>
      <w:pPr>
        <w:ind w:left="1440" w:hanging="360"/>
      </w:pPr>
    </w:lvl>
    <w:lvl w:ilvl="2" w:tplc="D4CC4114">
      <w:start w:val="1"/>
      <w:numFmt w:val="lowerRoman"/>
      <w:lvlText w:val="%3."/>
      <w:lvlJc w:val="right"/>
      <w:pPr>
        <w:ind w:left="2160" w:hanging="180"/>
      </w:pPr>
    </w:lvl>
    <w:lvl w:ilvl="3" w:tplc="24BCB74C">
      <w:start w:val="1"/>
      <w:numFmt w:val="decimal"/>
      <w:lvlText w:val="%4."/>
      <w:lvlJc w:val="left"/>
      <w:pPr>
        <w:ind w:left="2880" w:hanging="360"/>
      </w:pPr>
    </w:lvl>
    <w:lvl w:ilvl="4" w:tplc="56A0D0F2">
      <w:start w:val="1"/>
      <w:numFmt w:val="lowerLetter"/>
      <w:lvlText w:val="%5."/>
      <w:lvlJc w:val="left"/>
      <w:pPr>
        <w:ind w:left="3600" w:hanging="360"/>
      </w:pPr>
    </w:lvl>
    <w:lvl w:ilvl="5" w:tplc="93B02A3A">
      <w:start w:val="1"/>
      <w:numFmt w:val="lowerRoman"/>
      <w:lvlText w:val="%6."/>
      <w:lvlJc w:val="right"/>
      <w:pPr>
        <w:ind w:left="4320" w:hanging="180"/>
      </w:pPr>
    </w:lvl>
    <w:lvl w:ilvl="6" w:tplc="4E22FAB6">
      <w:start w:val="1"/>
      <w:numFmt w:val="decimal"/>
      <w:lvlText w:val="%7."/>
      <w:lvlJc w:val="left"/>
      <w:pPr>
        <w:ind w:left="5040" w:hanging="360"/>
      </w:pPr>
    </w:lvl>
    <w:lvl w:ilvl="7" w:tplc="A3A45ECC">
      <w:start w:val="1"/>
      <w:numFmt w:val="lowerLetter"/>
      <w:lvlText w:val="%8."/>
      <w:lvlJc w:val="left"/>
      <w:pPr>
        <w:ind w:left="5760" w:hanging="360"/>
      </w:pPr>
    </w:lvl>
    <w:lvl w:ilvl="8" w:tplc="54D62ADE">
      <w:start w:val="1"/>
      <w:numFmt w:val="lowerRoman"/>
      <w:lvlText w:val="%9."/>
      <w:lvlJc w:val="right"/>
      <w:pPr>
        <w:ind w:left="6480" w:hanging="180"/>
      </w:pPr>
    </w:lvl>
  </w:abstractNum>
  <w:abstractNum w:abstractNumId="4">
    <w:nsid w:val="0FB95208"/>
    <w:multiLevelType w:val="hybridMultilevel"/>
    <w:tmpl w:val="7670499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B1CCC1"/>
    <w:multiLevelType w:val="hybridMultilevel"/>
    <w:tmpl w:val="4016086E"/>
    <w:lvl w:ilvl="0" w:tplc="C89A42FC">
      <w:start w:val="1"/>
      <w:numFmt w:val="decimal"/>
      <w:lvlText w:val="%1."/>
      <w:lvlJc w:val="left"/>
      <w:pPr>
        <w:ind w:left="720" w:hanging="360"/>
      </w:pPr>
    </w:lvl>
    <w:lvl w:ilvl="1" w:tplc="301AA3D2">
      <w:start w:val="1"/>
      <w:numFmt w:val="lowerLetter"/>
      <w:lvlText w:val="%2."/>
      <w:lvlJc w:val="left"/>
      <w:pPr>
        <w:ind w:left="1440" w:hanging="360"/>
      </w:pPr>
    </w:lvl>
    <w:lvl w:ilvl="2" w:tplc="23EA310A">
      <w:start w:val="1"/>
      <w:numFmt w:val="lowerRoman"/>
      <w:lvlText w:val="%3."/>
      <w:lvlJc w:val="right"/>
      <w:pPr>
        <w:ind w:left="2160" w:hanging="180"/>
      </w:pPr>
    </w:lvl>
    <w:lvl w:ilvl="3" w:tplc="AEF8CE22">
      <w:start w:val="1"/>
      <w:numFmt w:val="decimal"/>
      <w:lvlText w:val="%4."/>
      <w:lvlJc w:val="left"/>
      <w:pPr>
        <w:ind w:left="2880" w:hanging="360"/>
      </w:pPr>
    </w:lvl>
    <w:lvl w:ilvl="4" w:tplc="AC2801D8">
      <w:start w:val="1"/>
      <w:numFmt w:val="lowerLetter"/>
      <w:lvlText w:val="%5."/>
      <w:lvlJc w:val="left"/>
      <w:pPr>
        <w:ind w:left="3600" w:hanging="360"/>
      </w:pPr>
    </w:lvl>
    <w:lvl w:ilvl="5" w:tplc="3E14E534">
      <w:start w:val="1"/>
      <w:numFmt w:val="lowerRoman"/>
      <w:lvlText w:val="%6."/>
      <w:lvlJc w:val="right"/>
      <w:pPr>
        <w:ind w:left="4320" w:hanging="180"/>
      </w:pPr>
    </w:lvl>
    <w:lvl w:ilvl="6" w:tplc="A5067F98">
      <w:start w:val="1"/>
      <w:numFmt w:val="decimal"/>
      <w:lvlText w:val="%7."/>
      <w:lvlJc w:val="left"/>
      <w:pPr>
        <w:ind w:left="5040" w:hanging="360"/>
      </w:pPr>
    </w:lvl>
    <w:lvl w:ilvl="7" w:tplc="70CE27CE">
      <w:start w:val="1"/>
      <w:numFmt w:val="lowerLetter"/>
      <w:lvlText w:val="%8."/>
      <w:lvlJc w:val="left"/>
      <w:pPr>
        <w:ind w:left="5760" w:hanging="360"/>
      </w:pPr>
    </w:lvl>
    <w:lvl w:ilvl="8" w:tplc="9140DF10">
      <w:start w:val="1"/>
      <w:numFmt w:val="lowerRoman"/>
      <w:lvlText w:val="%9."/>
      <w:lvlJc w:val="right"/>
      <w:pPr>
        <w:ind w:left="6480" w:hanging="180"/>
      </w:pPr>
    </w:lvl>
  </w:abstractNum>
  <w:abstractNum w:abstractNumId="6">
    <w:nsid w:val="180243CF"/>
    <w:multiLevelType w:val="multilevel"/>
    <w:tmpl w:val="3E2C966C"/>
    <w:lvl w:ilvl="0">
      <w:start w:val="10"/>
      <w:numFmt w:val="decimal"/>
      <w:lvlText w:val="%1"/>
      <w:lvlJc w:val="left"/>
      <w:pPr>
        <w:ind w:left="465" w:hanging="465"/>
      </w:pPr>
      <w:rPr>
        <w:rFonts w:hint="default"/>
      </w:rPr>
    </w:lvl>
    <w:lvl w:ilvl="1">
      <w:start w:val="4"/>
      <w:numFmt w:val="decimal"/>
      <w:lvlText w:val="%1.%2"/>
      <w:lvlJc w:val="left"/>
      <w:pPr>
        <w:ind w:left="2340" w:hanging="465"/>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7">
    <w:nsid w:val="19F45863"/>
    <w:multiLevelType w:val="multilevel"/>
    <w:tmpl w:val="154EC7A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27AC42"/>
    <w:multiLevelType w:val="hybridMultilevel"/>
    <w:tmpl w:val="80469534"/>
    <w:lvl w:ilvl="0" w:tplc="95D21B3E">
      <w:start w:val="1"/>
      <w:numFmt w:val="decimal"/>
      <w:lvlText w:val="%1."/>
      <w:lvlJc w:val="left"/>
      <w:pPr>
        <w:ind w:left="720" w:hanging="360"/>
      </w:pPr>
    </w:lvl>
    <w:lvl w:ilvl="1" w:tplc="8CFE55AE">
      <w:start w:val="1"/>
      <w:numFmt w:val="lowerLetter"/>
      <w:lvlText w:val="%2."/>
      <w:lvlJc w:val="left"/>
      <w:pPr>
        <w:ind w:left="1440" w:hanging="360"/>
      </w:pPr>
    </w:lvl>
    <w:lvl w:ilvl="2" w:tplc="78363BF6">
      <w:start w:val="1"/>
      <w:numFmt w:val="lowerRoman"/>
      <w:lvlText w:val="%3."/>
      <w:lvlJc w:val="right"/>
      <w:pPr>
        <w:ind w:left="2160" w:hanging="180"/>
      </w:pPr>
    </w:lvl>
    <w:lvl w:ilvl="3" w:tplc="BDCCEF16">
      <w:start w:val="1"/>
      <w:numFmt w:val="decimal"/>
      <w:lvlText w:val="%4."/>
      <w:lvlJc w:val="left"/>
      <w:pPr>
        <w:ind w:left="2880" w:hanging="360"/>
      </w:pPr>
    </w:lvl>
    <w:lvl w:ilvl="4" w:tplc="BA90CD14">
      <w:start w:val="1"/>
      <w:numFmt w:val="lowerLetter"/>
      <w:lvlText w:val="%5."/>
      <w:lvlJc w:val="left"/>
      <w:pPr>
        <w:ind w:left="3600" w:hanging="360"/>
      </w:pPr>
    </w:lvl>
    <w:lvl w:ilvl="5" w:tplc="160C3652">
      <w:start w:val="1"/>
      <w:numFmt w:val="lowerRoman"/>
      <w:lvlText w:val="%6."/>
      <w:lvlJc w:val="right"/>
      <w:pPr>
        <w:ind w:left="4320" w:hanging="180"/>
      </w:pPr>
    </w:lvl>
    <w:lvl w:ilvl="6" w:tplc="3828C6F4">
      <w:start w:val="1"/>
      <w:numFmt w:val="decimal"/>
      <w:lvlText w:val="%7."/>
      <w:lvlJc w:val="left"/>
      <w:pPr>
        <w:ind w:left="5040" w:hanging="360"/>
      </w:pPr>
    </w:lvl>
    <w:lvl w:ilvl="7" w:tplc="F8380238">
      <w:start w:val="1"/>
      <w:numFmt w:val="lowerLetter"/>
      <w:lvlText w:val="%8."/>
      <w:lvlJc w:val="left"/>
      <w:pPr>
        <w:ind w:left="5760" w:hanging="360"/>
      </w:pPr>
    </w:lvl>
    <w:lvl w:ilvl="8" w:tplc="7C787CF4">
      <w:start w:val="1"/>
      <w:numFmt w:val="lowerRoman"/>
      <w:lvlText w:val="%9."/>
      <w:lvlJc w:val="right"/>
      <w:pPr>
        <w:ind w:left="6480" w:hanging="180"/>
      </w:pPr>
    </w:lvl>
  </w:abstractNum>
  <w:abstractNum w:abstractNumId="9">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0">
    <w:nsid w:val="2B744350"/>
    <w:multiLevelType w:val="hybridMultilevel"/>
    <w:tmpl w:val="52200EDA"/>
    <w:lvl w:ilvl="0" w:tplc="E0141274">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1">
    <w:nsid w:val="2BC19FCE"/>
    <w:multiLevelType w:val="hybridMultilevel"/>
    <w:tmpl w:val="B3567F76"/>
    <w:lvl w:ilvl="0" w:tplc="7A4C4F48">
      <w:start w:val="1"/>
      <w:numFmt w:val="decimal"/>
      <w:lvlText w:val="%1."/>
      <w:lvlJc w:val="left"/>
      <w:pPr>
        <w:ind w:left="720" w:hanging="360"/>
      </w:pPr>
    </w:lvl>
    <w:lvl w:ilvl="1" w:tplc="0278ED46">
      <w:start w:val="1"/>
      <w:numFmt w:val="lowerLetter"/>
      <w:lvlText w:val="%2."/>
      <w:lvlJc w:val="left"/>
      <w:pPr>
        <w:ind w:left="1440" w:hanging="360"/>
      </w:pPr>
    </w:lvl>
    <w:lvl w:ilvl="2" w:tplc="33022904">
      <w:start w:val="1"/>
      <w:numFmt w:val="lowerRoman"/>
      <w:lvlText w:val="%3."/>
      <w:lvlJc w:val="right"/>
      <w:pPr>
        <w:ind w:left="2160" w:hanging="180"/>
      </w:pPr>
    </w:lvl>
    <w:lvl w:ilvl="3" w:tplc="D722AF62">
      <w:start w:val="1"/>
      <w:numFmt w:val="decimal"/>
      <w:lvlText w:val="%4."/>
      <w:lvlJc w:val="left"/>
      <w:pPr>
        <w:ind w:left="2880" w:hanging="360"/>
      </w:pPr>
    </w:lvl>
    <w:lvl w:ilvl="4" w:tplc="F800B6D8">
      <w:start w:val="1"/>
      <w:numFmt w:val="lowerLetter"/>
      <w:lvlText w:val="%5."/>
      <w:lvlJc w:val="left"/>
      <w:pPr>
        <w:ind w:left="3600" w:hanging="360"/>
      </w:pPr>
    </w:lvl>
    <w:lvl w:ilvl="5" w:tplc="1D1E84C2">
      <w:start w:val="1"/>
      <w:numFmt w:val="lowerRoman"/>
      <w:lvlText w:val="%6."/>
      <w:lvlJc w:val="right"/>
      <w:pPr>
        <w:ind w:left="4320" w:hanging="180"/>
      </w:pPr>
    </w:lvl>
    <w:lvl w:ilvl="6" w:tplc="81622A4E">
      <w:start w:val="1"/>
      <w:numFmt w:val="decimal"/>
      <w:lvlText w:val="%7."/>
      <w:lvlJc w:val="left"/>
      <w:pPr>
        <w:ind w:left="5040" w:hanging="360"/>
      </w:pPr>
    </w:lvl>
    <w:lvl w:ilvl="7" w:tplc="37225B5A">
      <w:start w:val="1"/>
      <w:numFmt w:val="lowerLetter"/>
      <w:lvlText w:val="%8."/>
      <w:lvlJc w:val="left"/>
      <w:pPr>
        <w:ind w:left="5760" w:hanging="360"/>
      </w:pPr>
    </w:lvl>
    <w:lvl w:ilvl="8" w:tplc="172EA0E8">
      <w:start w:val="1"/>
      <w:numFmt w:val="lowerRoman"/>
      <w:lvlText w:val="%9."/>
      <w:lvlJc w:val="right"/>
      <w:pPr>
        <w:ind w:left="6480" w:hanging="180"/>
      </w:pPr>
    </w:lvl>
  </w:abstractNum>
  <w:abstractNum w:abstractNumId="12">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nsid w:val="35610808"/>
    <w:multiLevelType w:val="hybridMultilevel"/>
    <w:tmpl w:val="880C9DE0"/>
    <w:lvl w:ilvl="0" w:tplc="3E000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BC06B35"/>
    <w:multiLevelType w:val="multilevel"/>
    <w:tmpl w:val="296A4D8A"/>
    <w:lvl w:ilvl="0">
      <w:start w:val="10"/>
      <w:numFmt w:val="decimal"/>
      <w:lvlText w:val="%1"/>
      <w:lvlJc w:val="left"/>
      <w:pPr>
        <w:ind w:left="465" w:hanging="465"/>
      </w:pPr>
      <w:rPr>
        <w:rFonts w:hint="default"/>
      </w:rPr>
    </w:lvl>
    <w:lvl w:ilvl="1">
      <w:start w:val="4"/>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
    <w:nsid w:val="3C6B07E8"/>
    <w:multiLevelType w:val="hybridMultilevel"/>
    <w:tmpl w:val="1D4681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3A2258"/>
    <w:multiLevelType w:val="hybridMultilevel"/>
    <w:tmpl w:val="43F462A2"/>
    <w:lvl w:ilvl="0" w:tplc="41641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16759FF"/>
    <w:multiLevelType w:val="hybridMultilevel"/>
    <w:tmpl w:val="8E0CEDEE"/>
    <w:lvl w:ilvl="0" w:tplc="2E48E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59D5F01"/>
    <w:multiLevelType w:val="hybridMultilevel"/>
    <w:tmpl w:val="205014A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0B662E"/>
    <w:multiLevelType w:val="hybridMultilevel"/>
    <w:tmpl w:val="DC1A7A70"/>
    <w:lvl w:ilvl="0" w:tplc="AF42F03E">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F5E3F83"/>
    <w:multiLevelType w:val="hybridMultilevel"/>
    <w:tmpl w:val="2DF2F978"/>
    <w:lvl w:ilvl="0" w:tplc="12C67BF4">
      <w:start w:val="1"/>
      <w:numFmt w:val="decimal"/>
      <w:lvlText w:val="%1."/>
      <w:lvlJc w:val="left"/>
      <w:pPr>
        <w:ind w:left="720" w:hanging="360"/>
      </w:pPr>
    </w:lvl>
    <w:lvl w:ilvl="1" w:tplc="DC3471AA">
      <w:start w:val="1"/>
      <w:numFmt w:val="lowerLetter"/>
      <w:lvlText w:val="%2."/>
      <w:lvlJc w:val="left"/>
      <w:pPr>
        <w:ind w:left="1440" w:hanging="360"/>
      </w:pPr>
    </w:lvl>
    <w:lvl w:ilvl="2" w:tplc="FC20E124">
      <w:start w:val="1"/>
      <w:numFmt w:val="lowerRoman"/>
      <w:lvlText w:val="%3."/>
      <w:lvlJc w:val="right"/>
      <w:pPr>
        <w:ind w:left="2160" w:hanging="180"/>
      </w:pPr>
    </w:lvl>
    <w:lvl w:ilvl="3" w:tplc="E81C3A36">
      <w:start w:val="1"/>
      <w:numFmt w:val="decimal"/>
      <w:lvlText w:val="%4."/>
      <w:lvlJc w:val="left"/>
      <w:pPr>
        <w:ind w:left="2880" w:hanging="360"/>
      </w:pPr>
    </w:lvl>
    <w:lvl w:ilvl="4" w:tplc="85F46A92">
      <w:start w:val="1"/>
      <w:numFmt w:val="lowerLetter"/>
      <w:lvlText w:val="%5."/>
      <w:lvlJc w:val="left"/>
      <w:pPr>
        <w:ind w:left="3600" w:hanging="360"/>
      </w:pPr>
    </w:lvl>
    <w:lvl w:ilvl="5" w:tplc="D1065456">
      <w:start w:val="1"/>
      <w:numFmt w:val="lowerRoman"/>
      <w:lvlText w:val="%6."/>
      <w:lvlJc w:val="right"/>
      <w:pPr>
        <w:ind w:left="4320" w:hanging="180"/>
      </w:pPr>
    </w:lvl>
    <w:lvl w:ilvl="6" w:tplc="CDAA89D0">
      <w:start w:val="1"/>
      <w:numFmt w:val="decimal"/>
      <w:lvlText w:val="%7."/>
      <w:lvlJc w:val="left"/>
      <w:pPr>
        <w:ind w:left="5040" w:hanging="360"/>
      </w:pPr>
    </w:lvl>
    <w:lvl w:ilvl="7" w:tplc="5896F64C">
      <w:start w:val="1"/>
      <w:numFmt w:val="lowerLetter"/>
      <w:lvlText w:val="%8."/>
      <w:lvlJc w:val="left"/>
      <w:pPr>
        <w:ind w:left="5760" w:hanging="360"/>
      </w:pPr>
    </w:lvl>
    <w:lvl w:ilvl="8" w:tplc="44CA7C8A">
      <w:start w:val="1"/>
      <w:numFmt w:val="lowerRoman"/>
      <w:lvlText w:val="%9."/>
      <w:lvlJc w:val="right"/>
      <w:pPr>
        <w:ind w:left="6480" w:hanging="180"/>
      </w:pPr>
    </w:lvl>
  </w:abstractNum>
  <w:abstractNum w:abstractNumId="22">
    <w:nsid w:val="5739652F"/>
    <w:multiLevelType w:val="hybridMultilevel"/>
    <w:tmpl w:val="B54E1088"/>
    <w:lvl w:ilvl="0" w:tplc="3796010E">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5A3313CB"/>
    <w:multiLevelType w:val="hybridMultilevel"/>
    <w:tmpl w:val="96FA9CEA"/>
    <w:lvl w:ilvl="0" w:tplc="EBCC90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C626E9A"/>
    <w:multiLevelType w:val="hybridMultilevel"/>
    <w:tmpl w:val="85E89B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324D03"/>
    <w:multiLevelType w:val="hybridMultilevel"/>
    <w:tmpl w:val="5372AFC4"/>
    <w:lvl w:ilvl="0" w:tplc="1576C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631DD0"/>
    <w:multiLevelType w:val="hybridMultilevel"/>
    <w:tmpl w:val="88C0B962"/>
    <w:lvl w:ilvl="0" w:tplc="1D4C6D1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D952BA"/>
    <w:multiLevelType w:val="hybridMultilevel"/>
    <w:tmpl w:val="6C3CA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EF56D66"/>
    <w:multiLevelType w:val="hybridMultilevel"/>
    <w:tmpl w:val="E01059E8"/>
    <w:lvl w:ilvl="0" w:tplc="65304DFA">
      <w:start w:val="1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8AA5190"/>
    <w:multiLevelType w:val="hybridMultilevel"/>
    <w:tmpl w:val="B4BE8588"/>
    <w:lvl w:ilvl="0" w:tplc="4EE8B4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7A294894"/>
    <w:multiLevelType w:val="hybridMultilevel"/>
    <w:tmpl w:val="697A07F8"/>
    <w:lvl w:ilvl="0" w:tplc="1576CA0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2">
    <w:nsid w:val="7AFEE93F"/>
    <w:multiLevelType w:val="hybridMultilevel"/>
    <w:tmpl w:val="3238E7C0"/>
    <w:lvl w:ilvl="0" w:tplc="6DD4C82C">
      <w:start w:val="1"/>
      <w:numFmt w:val="decimal"/>
      <w:lvlText w:val="%1."/>
      <w:lvlJc w:val="left"/>
      <w:pPr>
        <w:ind w:left="1068" w:hanging="360"/>
      </w:pPr>
    </w:lvl>
    <w:lvl w:ilvl="1" w:tplc="E318ADAC">
      <w:start w:val="1"/>
      <w:numFmt w:val="lowerLetter"/>
      <w:lvlText w:val="%2."/>
      <w:lvlJc w:val="left"/>
      <w:pPr>
        <w:ind w:left="1788" w:hanging="360"/>
      </w:pPr>
    </w:lvl>
    <w:lvl w:ilvl="2" w:tplc="4F7CA1D6">
      <w:start w:val="1"/>
      <w:numFmt w:val="lowerRoman"/>
      <w:lvlText w:val="%3."/>
      <w:lvlJc w:val="right"/>
      <w:pPr>
        <w:ind w:left="2508" w:hanging="180"/>
      </w:pPr>
    </w:lvl>
    <w:lvl w:ilvl="3" w:tplc="06728636">
      <w:start w:val="1"/>
      <w:numFmt w:val="decimal"/>
      <w:lvlText w:val="%4."/>
      <w:lvlJc w:val="left"/>
      <w:pPr>
        <w:ind w:left="3228" w:hanging="360"/>
      </w:pPr>
    </w:lvl>
    <w:lvl w:ilvl="4" w:tplc="2D2A1E1C">
      <w:start w:val="1"/>
      <w:numFmt w:val="lowerLetter"/>
      <w:lvlText w:val="%5."/>
      <w:lvlJc w:val="left"/>
      <w:pPr>
        <w:ind w:left="3948" w:hanging="360"/>
      </w:pPr>
    </w:lvl>
    <w:lvl w:ilvl="5" w:tplc="7CA09B40">
      <w:start w:val="1"/>
      <w:numFmt w:val="lowerRoman"/>
      <w:lvlText w:val="%6."/>
      <w:lvlJc w:val="right"/>
      <w:pPr>
        <w:ind w:left="4668" w:hanging="180"/>
      </w:pPr>
    </w:lvl>
    <w:lvl w:ilvl="6" w:tplc="7DC6B5AE">
      <w:start w:val="1"/>
      <w:numFmt w:val="decimal"/>
      <w:lvlText w:val="%7."/>
      <w:lvlJc w:val="left"/>
      <w:pPr>
        <w:ind w:left="5388" w:hanging="360"/>
      </w:pPr>
    </w:lvl>
    <w:lvl w:ilvl="7" w:tplc="51708E5E">
      <w:start w:val="1"/>
      <w:numFmt w:val="lowerLetter"/>
      <w:lvlText w:val="%8."/>
      <w:lvlJc w:val="left"/>
      <w:pPr>
        <w:ind w:left="6108" w:hanging="360"/>
      </w:pPr>
    </w:lvl>
    <w:lvl w:ilvl="8" w:tplc="2EDC0180">
      <w:start w:val="1"/>
      <w:numFmt w:val="lowerRoman"/>
      <w:lvlText w:val="%9."/>
      <w:lvlJc w:val="right"/>
      <w:pPr>
        <w:ind w:left="6828" w:hanging="180"/>
      </w:pPr>
    </w:lvl>
  </w:abstractNum>
  <w:num w:numId="1">
    <w:abstractNumId w:val="32"/>
  </w:num>
  <w:num w:numId="2">
    <w:abstractNumId w:val="21"/>
  </w:num>
  <w:num w:numId="3">
    <w:abstractNumId w:val="3"/>
  </w:num>
  <w:num w:numId="4">
    <w:abstractNumId w:val="5"/>
  </w:num>
  <w:num w:numId="5">
    <w:abstractNumId w:val="11"/>
  </w:num>
  <w:num w:numId="6">
    <w:abstractNumId w:val="8"/>
  </w:num>
  <w:num w:numId="7">
    <w:abstractNumId w:val="12"/>
  </w:num>
  <w:num w:numId="8">
    <w:abstractNumId w:val="26"/>
  </w:num>
  <w:num w:numId="9">
    <w:abstractNumId w:val="9"/>
  </w:num>
  <w:num w:numId="10">
    <w:abstractNumId w:val="13"/>
  </w:num>
  <w:num w:numId="11">
    <w:abstractNumId w:val="24"/>
  </w:num>
  <w:num w:numId="12">
    <w:abstractNumId w:val="15"/>
  </w:num>
  <w:num w:numId="13">
    <w:abstractNumId w:val="16"/>
  </w:num>
  <w:num w:numId="14">
    <w:abstractNumId w:val="6"/>
  </w:num>
  <w:num w:numId="15">
    <w:abstractNumId w:val="7"/>
  </w:num>
  <w:num w:numId="16">
    <w:abstractNumId w:val="29"/>
  </w:num>
  <w:num w:numId="17">
    <w:abstractNumId w:val="20"/>
  </w:num>
  <w:num w:numId="18">
    <w:abstractNumId w:val="22"/>
  </w:num>
  <w:num w:numId="19">
    <w:abstractNumId w:val="0"/>
  </w:num>
  <w:num w:numId="20">
    <w:abstractNumId w:val="31"/>
  </w:num>
  <w:num w:numId="21">
    <w:abstractNumId w:val="4"/>
  </w:num>
  <w:num w:numId="22">
    <w:abstractNumId w:val="19"/>
  </w:num>
  <w:num w:numId="23">
    <w:abstractNumId w:val="10"/>
  </w:num>
  <w:num w:numId="24">
    <w:abstractNumId w:val="28"/>
  </w:num>
  <w:num w:numId="25">
    <w:abstractNumId w:val="18"/>
  </w:num>
  <w:num w:numId="26">
    <w:abstractNumId w:val="17"/>
  </w:num>
  <w:num w:numId="27">
    <w:abstractNumId w:val="30"/>
  </w:num>
  <w:num w:numId="28">
    <w:abstractNumId w:val="1"/>
  </w:num>
  <w:num w:numId="29">
    <w:abstractNumId w:val="23"/>
  </w:num>
  <w:num w:numId="30">
    <w:abstractNumId w:val="25"/>
  </w:num>
  <w:num w:numId="31">
    <w:abstractNumId w:val="14"/>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D0"/>
    <w:rsid w:val="00003670"/>
    <w:rsid w:val="000042AC"/>
    <w:rsid w:val="000100C4"/>
    <w:rsid w:val="00013BBE"/>
    <w:rsid w:val="000342A6"/>
    <w:rsid w:val="000471C6"/>
    <w:rsid w:val="00050945"/>
    <w:rsid w:val="00053390"/>
    <w:rsid w:val="000769C7"/>
    <w:rsid w:val="00077457"/>
    <w:rsid w:val="00087986"/>
    <w:rsid w:val="000A5A6C"/>
    <w:rsid w:val="000D3452"/>
    <w:rsid w:val="000E2A80"/>
    <w:rsid w:val="000E61F4"/>
    <w:rsid w:val="000E711B"/>
    <w:rsid w:val="000F6EDD"/>
    <w:rsid w:val="00100C0A"/>
    <w:rsid w:val="00113A4C"/>
    <w:rsid w:val="00113ACF"/>
    <w:rsid w:val="00127E9E"/>
    <w:rsid w:val="001318BD"/>
    <w:rsid w:val="0013477B"/>
    <w:rsid w:val="001523E1"/>
    <w:rsid w:val="001677F1"/>
    <w:rsid w:val="0017350E"/>
    <w:rsid w:val="00182D24"/>
    <w:rsid w:val="00183DF0"/>
    <w:rsid w:val="00192AB3"/>
    <w:rsid w:val="001947E2"/>
    <w:rsid w:val="00196E38"/>
    <w:rsid w:val="001A4C94"/>
    <w:rsid w:val="001A4DF7"/>
    <w:rsid w:val="001C2606"/>
    <w:rsid w:val="001C619D"/>
    <w:rsid w:val="001F00CB"/>
    <w:rsid w:val="001F2277"/>
    <w:rsid w:val="001F3157"/>
    <w:rsid w:val="00201EC4"/>
    <w:rsid w:val="00217F23"/>
    <w:rsid w:val="002278D8"/>
    <w:rsid w:val="0022794C"/>
    <w:rsid w:val="00237B86"/>
    <w:rsid w:val="00242960"/>
    <w:rsid w:val="002639E9"/>
    <w:rsid w:val="002640C6"/>
    <w:rsid w:val="0027602A"/>
    <w:rsid w:val="00290FA0"/>
    <w:rsid w:val="00296EC1"/>
    <w:rsid w:val="002C0B8A"/>
    <w:rsid w:val="002D00D1"/>
    <w:rsid w:val="002D2735"/>
    <w:rsid w:val="002E774E"/>
    <w:rsid w:val="0030749E"/>
    <w:rsid w:val="00310D90"/>
    <w:rsid w:val="0031240C"/>
    <w:rsid w:val="003137C1"/>
    <w:rsid w:val="00320437"/>
    <w:rsid w:val="00325834"/>
    <w:rsid w:val="00330569"/>
    <w:rsid w:val="00361015"/>
    <w:rsid w:val="003661B8"/>
    <w:rsid w:val="00371E51"/>
    <w:rsid w:val="0037289E"/>
    <w:rsid w:val="003968EE"/>
    <w:rsid w:val="003B0227"/>
    <w:rsid w:val="003B5C2F"/>
    <w:rsid w:val="003C0A46"/>
    <w:rsid w:val="003C2399"/>
    <w:rsid w:val="003C3529"/>
    <w:rsid w:val="003D02DC"/>
    <w:rsid w:val="003D2D18"/>
    <w:rsid w:val="003F34B8"/>
    <w:rsid w:val="003F4AEA"/>
    <w:rsid w:val="00403C2F"/>
    <w:rsid w:val="00411609"/>
    <w:rsid w:val="00413353"/>
    <w:rsid w:val="00436342"/>
    <w:rsid w:val="00444170"/>
    <w:rsid w:val="0045485D"/>
    <w:rsid w:val="004555B9"/>
    <w:rsid w:val="00456043"/>
    <w:rsid w:val="004602DA"/>
    <w:rsid w:val="0046153D"/>
    <w:rsid w:val="00476FA3"/>
    <w:rsid w:val="0049001A"/>
    <w:rsid w:val="0049286B"/>
    <w:rsid w:val="004934BE"/>
    <w:rsid w:val="004944A6"/>
    <w:rsid w:val="004A3816"/>
    <w:rsid w:val="004C0D3D"/>
    <w:rsid w:val="004C1AC5"/>
    <w:rsid w:val="004C1DBF"/>
    <w:rsid w:val="004E0C21"/>
    <w:rsid w:val="004E57ED"/>
    <w:rsid w:val="004F0FEF"/>
    <w:rsid w:val="004F1518"/>
    <w:rsid w:val="004F70D7"/>
    <w:rsid w:val="0050050D"/>
    <w:rsid w:val="00516503"/>
    <w:rsid w:val="005235B6"/>
    <w:rsid w:val="0053085F"/>
    <w:rsid w:val="00536E3D"/>
    <w:rsid w:val="00562491"/>
    <w:rsid w:val="00565DCB"/>
    <w:rsid w:val="00570CF0"/>
    <w:rsid w:val="005812F3"/>
    <w:rsid w:val="005A2BE5"/>
    <w:rsid w:val="005A34AE"/>
    <w:rsid w:val="005A6A7B"/>
    <w:rsid w:val="005B0E2B"/>
    <w:rsid w:val="005B73B9"/>
    <w:rsid w:val="005C26C4"/>
    <w:rsid w:val="005C3B00"/>
    <w:rsid w:val="005D7B2D"/>
    <w:rsid w:val="005E1780"/>
    <w:rsid w:val="005E6CA1"/>
    <w:rsid w:val="005F39F4"/>
    <w:rsid w:val="00605087"/>
    <w:rsid w:val="006052DB"/>
    <w:rsid w:val="006145F2"/>
    <w:rsid w:val="00621D2B"/>
    <w:rsid w:val="0063269F"/>
    <w:rsid w:val="00634D1E"/>
    <w:rsid w:val="006378F1"/>
    <w:rsid w:val="0064058A"/>
    <w:rsid w:val="00643E53"/>
    <w:rsid w:val="006455D9"/>
    <w:rsid w:val="0065130E"/>
    <w:rsid w:val="00656E28"/>
    <w:rsid w:val="006605A0"/>
    <w:rsid w:val="0066163F"/>
    <w:rsid w:val="00661DAD"/>
    <w:rsid w:val="006773E9"/>
    <w:rsid w:val="00692B10"/>
    <w:rsid w:val="00694FFB"/>
    <w:rsid w:val="006A2492"/>
    <w:rsid w:val="006A281D"/>
    <w:rsid w:val="006B2B0B"/>
    <w:rsid w:val="006B43D1"/>
    <w:rsid w:val="006B496B"/>
    <w:rsid w:val="006C1760"/>
    <w:rsid w:val="006C33F4"/>
    <w:rsid w:val="006C4A50"/>
    <w:rsid w:val="006D22C9"/>
    <w:rsid w:val="006D5D2F"/>
    <w:rsid w:val="006E2720"/>
    <w:rsid w:val="006E644F"/>
    <w:rsid w:val="00700AE0"/>
    <w:rsid w:val="007033C5"/>
    <w:rsid w:val="0071017F"/>
    <w:rsid w:val="00710384"/>
    <w:rsid w:val="00713345"/>
    <w:rsid w:val="00724392"/>
    <w:rsid w:val="0072760E"/>
    <w:rsid w:val="00741CAE"/>
    <w:rsid w:val="00753420"/>
    <w:rsid w:val="00753B29"/>
    <w:rsid w:val="00757664"/>
    <w:rsid w:val="00762225"/>
    <w:rsid w:val="007636FE"/>
    <w:rsid w:val="007639F3"/>
    <w:rsid w:val="007657AF"/>
    <w:rsid w:val="00767FEE"/>
    <w:rsid w:val="00776A2D"/>
    <w:rsid w:val="00782560"/>
    <w:rsid w:val="007915FF"/>
    <w:rsid w:val="00793AE1"/>
    <w:rsid w:val="007A0E7B"/>
    <w:rsid w:val="007A16BB"/>
    <w:rsid w:val="007C1981"/>
    <w:rsid w:val="007C724B"/>
    <w:rsid w:val="007E234A"/>
    <w:rsid w:val="007E34B1"/>
    <w:rsid w:val="007F3D49"/>
    <w:rsid w:val="007F483A"/>
    <w:rsid w:val="00811AFC"/>
    <w:rsid w:val="00812345"/>
    <w:rsid w:val="008237DD"/>
    <w:rsid w:val="00862D0C"/>
    <w:rsid w:val="00863068"/>
    <w:rsid w:val="00867942"/>
    <w:rsid w:val="00873205"/>
    <w:rsid w:val="008751D8"/>
    <w:rsid w:val="00886814"/>
    <w:rsid w:val="0089323F"/>
    <w:rsid w:val="008A143D"/>
    <w:rsid w:val="008B0118"/>
    <w:rsid w:val="008B1A85"/>
    <w:rsid w:val="008C0ADA"/>
    <w:rsid w:val="008C2739"/>
    <w:rsid w:val="008E07C4"/>
    <w:rsid w:val="008F7A39"/>
    <w:rsid w:val="009026A1"/>
    <w:rsid w:val="00903A7E"/>
    <w:rsid w:val="00905E3A"/>
    <w:rsid w:val="009112A8"/>
    <w:rsid w:val="009135AF"/>
    <w:rsid w:val="00914794"/>
    <w:rsid w:val="00920431"/>
    <w:rsid w:val="00925877"/>
    <w:rsid w:val="00936B07"/>
    <w:rsid w:val="00945A9C"/>
    <w:rsid w:val="00945AEB"/>
    <w:rsid w:val="009467F1"/>
    <w:rsid w:val="009607FA"/>
    <w:rsid w:val="009866CD"/>
    <w:rsid w:val="009946C0"/>
    <w:rsid w:val="009A01EC"/>
    <w:rsid w:val="009A0E4F"/>
    <w:rsid w:val="009A3FF9"/>
    <w:rsid w:val="009A47A3"/>
    <w:rsid w:val="009A5958"/>
    <w:rsid w:val="009A693B"/>
    <w:rsid w:val="009D6966"/>
    <w:rsid w:val="009D7D9B"/>
    <w:rsid w:val="009F06BF"/>
    <w:rsid w:val="00A00D0C"/>
    <w:rsid w:val="00A13CAA"/>
    <w:rsid w:val="00A16B83"/>
    <w:rsid w:val="00A260A7"/>
    <w:rsid w:val="00A3354A"/>
    <w:rsid w:val="00A33587"/>
    <w:rsid w:val="00A3419B"/>
    <w:rsid w:val="00A448EA"/>
    <w:rsid w:val="00A469AB"/>
    <w:rsid w:val="00A479E9"/>
    <w:rsid w:val="00A70E2D"/>
    <w:rsid w:val="00A82AD9"/>
    <w:rsid w:val="00A8401C"/>
    <w:rsid w:val="00A84D56"/>
    <w:rsid w:val="00A86E12"/>
    <w:rsid w:val="00A96C83"/>
    <w:rsid w:val="00AB4CEE"/>
    <w:rsid w:val="00AB7D0D"/>
    <w:rsid w:val="00AC63B5"/>
    <w:rsid w:val="00AD0475"/>
    <w:rsid w:val="00AE00CA"/>
    <w:rsid w:val="00B04EE2"/>
    <w:rsid w:val="00B072B9"/>
    <w:rsid w:val="00B15985"/>
    <w:rsid w:val="00B16D07"/>
    <w:rsid w:val="00B233B8"/>
    <w:rsid w:val="00B42EBB"/>
    <w:rsid w:val="00B447F5"/>
    <w:rsid w:val="00B45D1C"/>
    <w:rsid w:val="00B50080"/>
    <w:rsid w:val="00B5075D"/>
    <w:rsid w:val="00B5543C"/>
    <w:rsid w:val="00B61C4D"/>
    <w:rsid w:val="00B77184"/>
    <w:rsid w:val="00B917E0"/>
    <w:rsid w:val="00B92ACE"/>
    <w:rsid w:val="00B93A41"/>
    <w:rsid w:val="00B9527D"/>
    <w:rsid w:val="00BA2C7C"/>
    <w:rsid w:val="00BB16AE"/>
    <w:rsid w:val="00BC31BA"/>
    <w:rsid w:val="00BD661B"/>
    <w:rsid w:val="00BE6A8B"/>
    <w:rsid w:val="00BF02B4"/>
    <w:rsid w:val="00BF5E49"/>
    <w:rsid w:val="00BF798D"/>
    <w:rsid w:val="00C059D2"/>
    <w:rsid w:val="00C139B4"/>
    <w:rsid w:val="00C16D91"/>
    <w:rsid w:val="00C2796C"/>
    <w:rsid w:val="00C31C53"/>
    <w:rsid w:val="00C34F38"/>
    <w:rsid w:val="00C41457"/>
    <w:rsid w:val="00C4242B"/>
    <w:rsid w:val="00C43E5A"/>
    <w:rsid w:val="00C513CB"/>
    <w:rsid w:val="00C618EA"/>
    <w:rsid w:val="00C64348"/>
    <w:rsid w:val="00C73001"/>
    <w:rsid w:val="00C7708B"/>
    <w:rsid w:val="00C80FF7"/>
    <w:rsid w:val="00C91BD0"/>
    <w:rsid w:val="00CA4F94"/>
    <w:rsid w:val="00CB04F8"/>
    <w:rsid w:val="00CB442B"/>
    <w:rsid w:val="00CD42FE"/>
    <w:rsid w:val="00CD5D60"/>
    <w:rsid w:val="00CD662E"/>
    <w:rsid w:val="00CF0400"/>
    <w:rsid w:val="00CF2122"/>
    <w:rsid w:val="00CF2DAE"/>
    <w:rsid w:val="00D01916"/>
    <w:rsid w:val="00D07A29"/>
    <w:rsid w:val="00D110A4"/>
    <w:rsid w:val="00D25388"/>
    <w:rsid w:val="00D27D8C"/>
    <w:rsid w:val="00D34BFD"/>
    <w:rsid w:val="00D35F27"/>
    <w:rsid w:val="00D40BEA"/>
    <w:rsid w:val="00D42E4D"/>
    <w:rsid w:val="00D43AA8"/>
    <w:rsid w:val="00D44575"/>
    <w:rsid w:val="00D46CC6"/>
    <w:rsid w:val="00D46EF3"/>
    <w:rsid w:val="00D52AE1"/>
    <w:rsid w:val="00D562E6"/>
    <w:rsid w:val="00D60B4C"/>
    <w:rsid w:val="00D7579A"/>
    <w:rsid w:val="00D86E36"/>
    <w:rsid w:val="00D87E0C"/>
    <w:rsid w:val="00D958F7"/>
    <w:rsid w:val="00D97DDF"/>
    <w:rsid w:val="00DB7C24"/>
    <w:rsid w:val="00DD5E22"/>
    <w:rsid w:val="00DF3EE4"/>
    <w:rsid w:val="00DF54A8"/>
    <w:rsid w:val="00E172F3"/>
    <w:rsid w:val="00E34ADD"/>
    <w:rsid w:val="00E43F8F"/>
    <w:rsid w:val="00E44C69"/>
    <w:rsid w:val="00E5420B"/>
    <w:rsid w:val="00E57A5F"/>
    <w:rsid w:val="00E60254"/>
    <w:rsid w:val="00E8500B"/>
    <w:rsid w:val="00E943B4"/>
    <w:rsid w:val="00E94AF1"/>
    <w:rsid w:val="00E96C7C"/>
    <w:rsid w:val="00EA0E6B"/>
    <w:rsid w:val="00EA1DB4"/>
    <w:rsid w:val="00EA5FD7"/>
    <w:rsid w:val="00EA6475"/>
    <w:rsid w:val="00EB1C99"/>
    <w:rsid w:val="00EB5E5D"/>
    <w:rsid w:val="00EC6687"/>
    <w:rsid w:val="00ED528D"/>
    <w:rsid w:val="00EE1255"/>
    <w:rsid w:val="00F145A7"/>
    <w:rsid w:val="00F23715"/>
    <w:rsid w:val="00F54984"/>
    <w:rsid w:val="00F5764D"/>
    <w:rsid w:val="00F60E16"/>
    <w:rsid w:val="00F61E9B"/>
    <w:rsid w:val="00F62745"/>
    <w:rsid w:val="00F6281C"/>
    <w:rsid w:val="00F701E0"/>
    <w:rsid w:val="00F84EDC"/>
    <w:rsid w:val="00F93711"/>
    <w:rsid w:val="00F97816"/>
    <w:rsid w:val="00FA15F5"/>
    <w:rsid w:val="00FB7214"/>
    <w:rsid w:val="00FC4E13"/>
    <w:rsid w:val="00FD2707"/>
    <w:rsid w:val="00FD7347"/>
    <w:rsid w:val="010E8BF4"/>
    <w:rsid w:val="02DCA323"/>
    <w:rsid w:val="031BB550"/>
    <w:rsid w:val="0366EF6A"/>
    <w:rsid w:val="04E43EFA"/>
    <w:rsid w:val="052F8B77"/>
    <w:rsid w:val="057743F2"/>
    <w:rsid w:val="0627A38D"/>
    <w:rsid w:val="064594DF"/>
    <w:rsid w:val="0757D581"/>
    <w:rsid w:val="087C94F5"/>
    <w:rsid w:val="088A901F"/>
    <w:rsid w:val="0BB074BA"/>
    <w:rsid w:val="0BF96F24"/>
    <w:rsid w:val="0CD9E3C2"/>
    <w:rsid w:val="0F8BA8EF"/>
    <w:rsid w:val="10769ED4"/>
    <w:rsid w:val="109D19FB"/>
    <w:rsid w:val="10F4EC07"/>
    <w:rsid w:val="11992F35"/>
    <w:rsid w:val="129A631B"/>
    <w:rsid w:val="13062695"/>
    <w:rsid w:val="1781083A"/>
    <w:rsid w:val="17864160"/>
    <w:rsid w:val="197D559F"/>
    <w:rsid w:val="1CB4F661"/>
    <w:rsid w:val="1ECE16ED"/>
    <w:rsid w:val="1F128872"/>
    <w:rsid w:val="1FEC9723"/>
    <w:rsid w:val="20AE58D3"/>
    <w:rsid w:val="20B5D3F1"/>
    <w:rsid w:val="2162FC7E"/>
    <w:rsid w:val="21B8278D"/>
    <w:rsid w:val="220F6AA2"/>
    <w:rsid w:val="229E1345"/>
    <w:rsid w:val="232437E5"/>
    <w:rsid w:val="24536E28"/>
    <w:rsid w:val="250F61C8"/>
    <w:rsid w:val="26D14E55"/>
    <w:rsid w:val="26FEF5DC"/>
    <w:rsid w:val="270FC4B6"/>
    <w:rsid w:val="27717EF5"/>
    <w:rsid w:val="2845ED48"/>
    <w:rsid w:val="28BC6CA6"/>
    <w:rsid w:val="296D6C53"/>
    <w:rsid w:val="2A9FAFA0"/>
    <w:rsid w:val="2DDE3636"/>
    <w:rsid w:val="2ED3E0DC"/>
    <w:rsid w:val="2F28FCF3"/>
    <w:rsid w:val="2F7A0697"/>
    <w:rsid w:val="30EB8E20"/>
    <w:rsid w:val="317D80FE"/>
    <w:rsid w:val="31D938A7"/>
    <w:rsid w:val="3223C8FF"/>
    <w:rsid w:val="3228138A"/>
    <w:rsid w:val="3246BC9C"/>
    <w:rsid w:val="342995B3"/>
    <w:rsid w:val="3589F658"/>
    <w:rsid w:val="35F3C557"/>
    <w:rsid w:val="3652EA35"/>
    <w:rsid w:val="373A6AA9"/>
    <w:rsid w:val="3784DDB0"/>
    <w:rsid w:val="37BEF2D2"/>
    <w:rsid w:val="37F4B008"/>
    <w:rsid w:val="39B3FCCE"/>
    <w:rsid w:val="3A8437C9"/>
    <w:rsid w:val="3B0EC7B7"/>
    <w:rsid w:val="3C1177ED"/>
    <w:rsid w:val="3C2E266B"/>
    <w:rsid w:val="3CC8212B"/>
    <w:rsid w:val="3D9ACE3B"/>
    <w:rsid w:val="3E803FC8"/>
    <w:rsid w:val="3F369E9C"/>
    <w:rsid w:val="419B924E"/>
    <w:rsid w:val="42762151"/>
    <w:rsid w:val="4300B13F"/>
    <w:rsid w:val="433762AF"/>
    <w:rsid w:val="461C2AAF"/>
    <w:rsid w:val="470E24EB"/>
    <w:rsid w:val="4740F1CB"/>
    <w:rsid w:val="48E91DD4"/>
    <w:rsid w:val="4960D8CC"/>
    <w:rsid w:val="4A32283E"/>
    <w:rsid w:val="4A346EBA"/>
    <w:rsid w:val="4A813336"/>
    <w:rsid w:val="4AA2D4FE"/>
    <w:rsid w:val="4B899597"/>
    <w:rsid w:val="4C5D67FA"/>
    <w:rsid w:val="4CAFCF87"/>
    <w:rsid w:val="4EECBC0D"/>
    <w:rsid w:val="4F194A98"/>
    <w:rsid w:val="514A3DE8"/>
    <w:rsid w:val="522B9E19"/>
    <w:rsid w:val="526EC79B"/>
    <w:rsid w:val="52E60E49"/>
    <w:rsid w:val="5A28D2B9"/>
    <w:rsid w:val="5AC7D5BF"/>
    <w:rsid w:val="5BC4A31A"/>
    <w:rsid w:val="5CD49E72"/>
    <w:rsid w:val="5D60737B"/>
    <w:rsid w:val="5E454DE4"/>
    <w:rsid w:val="5E49FA99"/>
    <w:rsid w:val="5EC8799C"/>
    <w:rsid w:val="5FCC24B4"/>
    <w:rsid w:val="5FE11E45"/>
    <w:rsid w:val="60B3CB55"/>
    <w:rsid w:val="61861DF3"/>
    <w:rsid w:val="6202D4E2"/>
    <w:rsid w:val="64251C7C"/>
    <w:rsid w:val="64980D0C"/>
    <w:rsid w:val="64C7245C"/>
    <w:rsid w:val="65137707"/>
    <w:rsid w:val="66B04F1A"/>
    <w:rsid w:val="687DD7C2"/>
    <w:rsid w:val="687FA8C2"/>
    <w:rsid w:val="68AA3DCC"/>
    <w:rsid w:val="6A178774"/>
    <w:rsid w:val="6A2072EF"/>
    <w:rsid w:val="6A8A802C"/>
    <w:rsid w:val="6A97EAD0"/>
    <w:rsid w:val="6BA92B43"/>
    <w:rsid w:val="6CC98616"/>
    <w:rsid w:val="6D5319E5"/>
    <w:rsid w:val="6D7DAEEF"/>
    <w:rsid w:val="6EEEEA46"/>
    <w:rsid w:val="6F10A13E"/>
    <w:rsid w:val="6F8AC69B"/>
    <w:rsid w:val="705E5F35"/>
    <w:rsid w:val="714E6382"/>
    <w:rsid w:val="71AAAEBD"/>
    <w:rsid w:val="7242431B"/>
    <w:rsid w:val="7387A44D"/>
    <w:rsid w:val="7404ACF8"/>
    <w:rsid w:val="77D7431D"/>
    <w:rsid w:val="7948FCA3"/>
    <w:rsid w:val="7A7FCBFD"/>
    <w:rsid w:val="7C2DAC14"/>
    <w:rsid w:val="7C448CBE"/>
    <w:rsid w:val="7C905945"/>
    <w:rsid w:val="7E55131C"/>
    <w:rsid w:val="7FF57F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2AB9"/>
  <w15:docId w15:val="{7A650F42-2402-4E14-A1E2-CCC0212F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724392"/>
    <w:rPr>
      <w:b/>
      <w:bCs/>
    </w:rPr>
  </w:style>
  <w:style w:type="paragraph" w:styleId="Revision">
    <w:name w:val="Revision"/>
    <w:hidden/>
    <w:uiPriority w:val="99"/>
    <w:semiHidden/>
    <w:rsid w:val="00CB04F8"/>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4.xml><?xml version="1.0" encoding="utf-8"?>
<ds:datastoreItem xmlns:ds="http://schemas.openxmlformats.org/officeDocument/2006/customXml" ds:itemID="{03CB13E0-D82C-4A8C-A549-DE54F138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Mokone</cp:lastModifiedBy>
  <cp:revision>2</cp:revision>
  <cp:lastPrinted>2023-07-30T14:05:00Z</cp:lastPrinted>
  <dcterms:created xsi:type="dcterms:W3CDTF">2023-08-11T09:30:00Z</dcterms:created>
  <dcterms:modified xsi:type="dcterms:W3CDTF">2023-08-11T09:30:00Z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9bca165b4d6bc6c336c90e273b572430580a2e51a9ff012027480a0ac216baf3</vt:lpwstr>
  </property>
</Properties>
</file>