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F9" w:rsidRDefault="00B419F9" w:rsidP="00B419F9">
      <w:pPr>
        <w:spacing w:line="360" w:lineRule="auto"/>
        <w:jc w:val="center"/>
        <w:rPr>
          <w:sz w:val="25"/>
          <w:szCs w:val="25"/>
        </w:rPr>
      </w:pPr>
      <w:bookmarkStart w:id="0" w:name="_GoBack"/>
      <w:bookmarkEnd w:id="0"/>
      <w:r>
        <w:rPr>
          <w:noProof/>
          <w:lang w:eastAsia="en-ZA"/>
        </w:rPr>
        <w:drawing>
          <wp:inline distT="0" distB="0" distL="0" distR="0" wp14:anchorId="16FC1904" wp14:editId="60586021">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B419F9" w:rsidRDefault="00B419F9" w:rsidP="00B419F9">
      <w:pPr>
        <w:spacing w:line="360" w:lineRule="auto"/>
        <w:jc w:val="center"/>
        <w:rPr>
          <w:sz w:val="25"/>
          <w:szCs w:val="25"/>
        </w:rPr>
      </w:pPr>
    </w:p>
    <w:p w:rsidR="00B419F9" w:rsidRPr="00B13E3E" w:rsidRDefault="00B419F9" w:rsidP="00B419F9">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IN THE HIGH COURT OF SOUTH AFRICA</w:t>
      </w:r>
    </w:p>
    <w:p w:rsidR="00B419F9" w:rsidRPr="00B13E3E" w:rsidRDefault="00B419F9" w:rsidP="00B419F9">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 xml:space="preserve">EASTERN CAPE DIVISION, </w:t>
      </w:r>
      <w:r>
        <w:rPr>
          <w:rFonts w:ascii="Times New Roman" w:hAnsi="Times New Roman" w:cs="Times New Roman"/>
          <w:b/>
          <w:sz w:val="28"/>
          <w:szCs w:val="28"/>
        </w:rPr>
        <w:t>MTHATHA</w:t>
      </w:r>
    </w:p>
    <w:p w:rsidR="00B419F9" w:rsidRDefault="00B419F9" w:rsidP="00B419F9">
      <w:pPr>
        <w:spacing w:line="360" w:lineRule="auto"/>
        <w:ind w:left="5760"/>
        <w:rPr>
          <w:rFonts w:ascii="Times New Roman" w:hAnsi="Times New Roman" w:cs="Times New Roman"/>
          <w:b/>
          <w:sz w:val="28"/>
          <w:szCs w:val="28"/>
        </w:rPr>
      </w:pPr>
      <w:r w:rsidRPr="00B13E3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419F9" w:rsidRPr="00B13E3E" w:rsidRDefault="00B419F9" w:rsidP="00B419F9">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r w:rsidRPr="00B13E3E">
        <w:rPr>
          <w:rFonts w:ascii="Times New Roman" w:hAnsi="Times New Roman" w:cs="Times New Roman"/>
          <w:b/>
          <w:sz w:val="28"/>
          <w:szCs w:val="28"/>
        </w:rPr>
        <w:t xml:space="preserve">CASE NO: </w:t>
      </w:r>
      <w:r>
        <w:rPr>
          <w:rFonts w:ascii="Times New Roman" w:hAnsi="Times New Roman" w:cs="Times New Roman"/>
          <w:b/>
          <w:sz w:val="28"/>
          <w:szCs w:val="28"/>
        </w:rPr>
        <w:t>1677/2014</w:t>
      </w:r>
    </w:p>
    <w:p w:rsidR="00B419F9" w:rsidRPr="00B13E3E" w:rsidRDefault="00B419F9" w:rsidP="00B419F9">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In the matter between:</w:t>
      </w:r>
    </w:p>
    <w:p w:rsidR="00B419F9" w:rsidRPr="00B13E3E" w:rsidRDefault="00B419F9" w:rsidP="00B419F9">
      <w:pPr>
        <w:spacing w:line="360" w:lineRule="auto"/>
        <w:jc w:val="both"/>
        <w:rPr>
          <w:rFonts w:ascii="Times New Roman" w:hAnsi="Times New Roman" w:cs="Times New Roman"/>
          <w:sz w:val="28"/>
          <w:szCs w:val="28"/>
        </w:rPr>
      </w:pPr>
    </w:p>
    <w:p w:rsidR="00B419F9" w:rsidRPr="00B13E3E" w:rsidRDefault="00B419F9" w:rsidP="00B419F9">
      <w:pPr>
        <w:spacing w:line="360" w:lineRule="auto"/>
        <w:jc w:val="both"/>
        <w:rPr>
          <w:rFonts w:ascii="Times New Roman" w:hAnsi="Times New Roman" w:cs="Times New Roman"/>
          <w:sz w:val="28"/>
          <w:szCs w:val="28"/>
        </w:rPr>
      </w:pPr>
      <w:r>
        <w:rPr>
          <w:rFonts w:ascii="Times New Roman" w:hAnsi="Times New Roman" w:cs="Times New Roman"/>
          <w:b/>
          <w:sz w:val="28"/>
          <w:szCs w:val="28"/>
        </w:rPr>
        <w:t>FEZILE NONGADLA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rsidR="00B419F9" w:rsidRPr="00B13E3E" w:rsidRDefault="00B419F9" w:rsidP="00B419F9">
      <w:pPr>
        <w:spacing w:line="360" w:lineRule="auto"/>
        <w:jc w:val="both"/>
        <w:rPr>
          <w:rFonts w:ascii="Times New Roman" w:hAnsi="Times New Roman" w:cs="Times New Roman"/>
          <w:sz w:val="28"/>
          <w:szCs w:val="28"/>
        </w:rPr>
      </w:pPr>
    </w:p>
    <w:p w:rsidR="00B419F9" w:rsidRPr="00B13E3E" w:rsidRDefault="00B419F9" w:rsidP="00B419F9">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and</w:t>
      </w:r>
    </w:p>
    <w:p w:rsidR="00B419F9" w:rsidRPr="00B13E3E" w:rsidRDefault="00B419F9" w:rsidP="00B419F9">
      <w:pPr>
        <w:spacing w:line="360" w:lineRule="auto"/>
        <w:jc w:val="both"/>
        <w:rPr>
          <w:rFonts w:ascii="Times New Roman" w:hAnsi="Times New Roman" w:cs="Times New Roman"/>
          <w:sz w:val="28"/>
          <w:szCs w:val="28"/>
        </w:rPr>
      </w:pPr>
    </w:p>
    <w:p w:rsidR="00B419F9" w:rsidRDefault="00B419F9" w:rsidP="00B419F9">
      <w:pPr>
        <w:spacing w:line="360" w:lineRule="auto"/>
        <w:jc w:val="both"/>
        <w:rPr>
          <w:rFonts w:ascii="Times New Roman" w:hAnsi="Times New Roman" w:cs="Times New Roman"/>
          <w:sz w:val="28"/>
          <w:szCs w:val="28"/>
        </w:rPr>
      </w:pPr>
      <w:r>
        <w:rPr>
          <w:rFonts w:ascii="Times New Roman" w:hAnsi="Times New Roman" w:cs="Times New Roman"/>
          <w:b/>
          <w:sz w:val="28"/>
          <w:szCs w:val="28"/>
        </w:rPr>
        <w:t>STANDARD BANK (PTY)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sz w:val="28"/>
          <w:szCs w:val="28"/>
        </w:rPr>
        <w:t>Respondent</w:t>
      </w:r>
    </w:p>
    <w:p w:rsidR="00B419F9" w:rsidRPr="003328A3" w:rsidRDefault="00B419F9" w:rsidP="00B419F9">
      <w:pPr>
        <w:spacing w:line="36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9971E6"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102396">
        <w:rPr>
          <w:rFonts w:ascii="Times New Roman" w:hAnsi="Times New Roman"/>
          <w:sz w:val="28"/>
          <w:szCs w:val="28"/>
        </w:rPr>
        <w:t xml:space="preserve">The applicant </w:t>
      </w:r>
      <w:r w:rsidR="001545BB">
        <w:rPr>
          <w:rFonts w:ascii="Times New Roman" w:hAnsi="Times New Roman"/>
          <w:sz w:val="28"/>
          <w:szCs w:val="28"/>
        </w:rPr>
        <w:t>is a resident of Mthatha. In the circumstances set out below</w:t>
      </w:r>
      <w:r w:rsidR="00361C4E">
        <w:rPr>
          <w:rFonts w:ascii="Times New Roman" w:hAnsi="Times New Roman"/>
          <w:sz w:val="28"/>
          <w:szCs w:val="28"/>
        </w:rPr>
        <w:t xml:space="preserve"> (</w:t>
      </w:r>
      <w:r w:rsidR="00275B73">
        <w:rPr>
          <w:rFonts w:ascii="Times New Roman" w:hAnsi="Times New Roman"/>
          <w:sz w:val="28"/>
          <w:szCs w:val="28"/>
        </w:rPr>
        <w:t>elucidate</w:t>
      </w:r>
      <w:r w:rsidR="00361C4E">
        <w:rPr>
          <w:rFonts w:ascii="Times New Roman" w:hAnsi="Times New Roman"/>
          <w:sz w:val="28"/>
          <w:szCs w:val="28"/>
        </w:rPr>
        <w:t>d</w:t>
      </w:r>
      <w:r w:rsidR="00275B73">
        <w:rPr>
          <w:rFonts w:ascii="Times New Roman" w:hAnsi="Times New Roman"/>
          <w:sz w:val="28"/>
          <w:szCs w:val="28"/>
        </w:rPr>
        <w:t xml:space="preserve"> only to the extent considered relevant for the conclusion arrived at in this judgment), h</w:t>
      </w:r>
      <w:r w:rsidR="001545BB">
        <w:rPr>
          <w:rFonts w:ascii="Times New Roman" w:hAnsi="Times New Roman"/>
          <w:sz w:val="28"/>
          <w:szCs w:val="28"/>
        </w:rPr>
        <w:t xml:space="preserve">e </w:t>
      </w:r>
      <w:r w:rsidR="00102396">
        <w:rPr>
          <w:rFonts w:ascii="Times New Roman" w:hAnsi="Times New Roman"/>
          <w:sz w:val="28"/>
          <w:szCs w:val="28"/>
        </w:rPr>
        <w:t xml:space="preserve">approaches this court </w:t>
      </w:r>
      <w:r w:rsidR="008216A7">
        <w:rPr>
          <w:rFonts w:ascii="Times New Roman" w:hAnsi="Times New Roman"/>
          <w:sz w:val="28"/>
          <w:szCs w:val="28"/>
        </w:rPr>
        <w:t xml:space="preserve">for the </w:t>
      </w:r>
      <w:r w:rsidR="00102396">
        <w:rPr>
          <w:rFonts w:ascii="Times New Roman" w:hAnsi="Times New Roman"/>
          <w:sz w:val="28"/>
          <w:szCs w:val="28"/>
        </w:rPr>
        <w:t xml:space="preserve">enforcement of the </w:t>
      </w:r>
      <w:r w:rsidR="001966E2">
        <w:rPr>
          <w:rFonts w:ascii="Times New Roman" w:hAnsi="Times New Roman"/>
          <w:sz w:val="28"/>
          <w:szCs w:val="28"/>
        </w:rPr>
        <w:t xml:space="preserve">provisions of section 111 </w:t>
      </w:r>
      <w:r w:rsidR="00102396">
        <w:rPr>
          <w:rFonts w:ascii="Times New Roman" w:hAnsi="Times New Roman"/>
          <w:sz w:val="28"/>
          <w:szCs w:val="28"/>
        </w:rPr>
        <w:t>of the National Credit Act</w:t>
      </w:r>
      <w:r w:rsidR="00102396">
        <w:rPr>
          <w:rStyle w:val="FootnoteReference"/>
          <w:rFonts w:ascii="Times New Roman" w:hAnsi="Times New Roman"/>
          <w:sz w:val="28"/>
          <w:szCs w:val="28"/>
        </w:rPr>
        <w:footnoteReference w:id="1"/>
      </w:r>
      <w:r w:rsidR="001966E2">
        <w:rPr>
          <w:rFonts w:ascii="Times New Roman" w:hAnsi="Times New Roman"/>
          <w:sz w:val="28"/>
          <w:szCs w:val="28"/>
        </w:rPr>
        <w:t xml:space="preserve"> (‘the </w:t>
      </w:r>
      <w:r w:rsidR="00B419F9">
        <w:rPr>
          <w:rFonts w:ascii="Times New Roman" w:hAnsi="Times New Roman"/>
          <w:sz w:val="28"/>
          <w:szCs w:val="28"/>
        </w:rPr>
        <w:t>Act</w:t>
      </w:r>
      <w:r w:rsidR="001966E2">
        <w:rPr>
          <w:rFonts w:ascii="Times New Roman" w:hAnsi="Times New Roman"/>
          <w:sz w:val="28"/>
          <w:szCs w:val="28"/>
        </w:rPr>
        <w:t>’)</w:t>
      </w:r>
      <w:r w:rsidR="00287BFB">
        <w:rPr>
          <w:rFonts w:ascii="Times New Roman" w:hAnsi="Times New Roman"/>
          <w:sz w:val="28"/>
          <w:szCs w:val="28"/>
        </w:rPr>
        <w:t>.</w:t>
      </w:r>
      <w:r w:rsidR="001966E2">
        <w:rPr>
          <w:rFonts w:ascii="Times New Roman" w:hAnsi="Times New Roman"/>
          <w:sz w:val="28"/>
          <w:szCs w:val="28"/>
        </w:rPr>
        <w:t xml:space="preserve"> </w:t>
      </w:r>
      <w:r w:rsidR="001966E2">
        <w:rPr>
          <w:rFonts w:ascii="Times New Roman" w:hAnsi="Times New Roman"/>
          <w:sz w:val="28"/>
          <w:szCs w:val="28"/>
        </w:rPr>
        <w:lastRenderedPageBreak/>
        <w:t>He seeks a</w:t>
      </w:r>
      <w:r w:rsidR="004C6A4F">
        <w:rPr>
          <w:rFonts w:ascii="Times New Roman" w:hAnsi="Times New Roman"/>
          <w:sz w:val="28"/>
          <w:szCs w:val="28"/>
        </w:rPr>
        <w:t>n</w:t>
      </w:r>
      <w:r w:rsidR="001966E2">
        <w:rPr>
          <w:rFonts w:ascii="Times New Roman" w:hAnsi="Times New Roman"/>
          <w:sz w:val="28"/>
          <w:szCs w:val="28"/>
        </w:rPr>
        <w:t xml:space="preserve"> order to the effect that the delay of the respondent in giving a written notice to him in terms of section 111(2)(a) </w:t>
      </w:r>
      <w:r w:rsidR="004C6A4F">
        <w:rPr>
          <w:rFonts w:ascii="Times New Roman" w:hAnsi="Times New Roman"/>
          <w:sz w:val="28"/>
          <w:szCs w:val="28"/>
        </w:rPr>
        <w:t xml:space="preserve">be declared </w:t>
      </w:r>
      <w:r w:rsidR="001966E2">
        <w:rPr>
          <w:rFonts w:ascii="Times New Roman" w:hAnsi="Times New Roman"/>
          <w:sz w:val="28"/>
          <w:szCs w:val="28"/>
        </w:rPr>
        <w:t>unlawful</w:t>
      </w:r>
      <w:r w:rsidR="00923E8C">
        <w:rPr>
          <w:rFonts w:ascii="Times New Roman" w:hAnsi="Times New Roman"/>
          <w:sz w:val="28"/>
          <w:szCs w:val="28"/>
        </w:rPr>
        <w:t xml:space="preserve">. In addition he seeks </w:t>
      </w:r>
      <w:r w:rsidR="00FD45CE">
        <w:rPr>
          <w:rFonts w:ascii="Times New Roman" w:hAnsi="Times New Roman"/>
          <w:sz w:val="28"/>
          <w:szCs w:val="28"/>
        </w:rPr>
        <w:t xml:space="preserve">further orders </w:t>
      </w:r>
      <w:r w:rsidR="00923E8C">
        <w:rPr>
          <w:rFonts w:ascii="Times New Roman" w:hAnsi="Times New Roman"/>
          <w:sz w:val="28"/>
          <w:szCs w:val="28"/>
        </w:rPr>
        <w:t xml:space="preserve">directing the respondent to comply with </w:t>
      </w:r>
      <w:r w:rsidR="00FD45CE">
        <w:rPr>
          <w:rFonts w:ascii="Times New Roman" w:hAnsi="Times New Roman"/>
          <w:sz w:val="28"/>
          <w:szCs w:val="28"/>
        </w:rPr>
        <w:t xml:space="preserve">section </w:t>
      </w:r>
      <w:r w:rsidR="00116C85">
        <w:rPr>
          <w:rFonts w:ascii="Times New Roman" w:hAnsi="Times New Roman"/>
          <w:sz w:val="28"/>
          <w:szCs w:val="28"/>
        </w:rPr>
        <w:t>111(2)</w:t>
      </w:r>
      <w:r w:rsidR="005A5722">
        <w:rPr>
          <w:rFonts w:ascii="Times New Roman" w:hAnsi="Times New Roman"/>
          <w:sz w:val="28"/>
          <w:szCs w:val="28"/>
        </w:rPr>
        <w:t>(a)</w:t>
      </w:r>
      <w:r w:rsidR="00116C85">
        <w:rPr>
          <w:rFonts w:ascii="Times New Roman" w:hAnsi="Times New Roman"/>
          <w:sz w:val="28"/>
          <w:szCs w:val="28"/>
        </w:rPr>
        <w:t xml:space="preserve"> </w:t>
      </w:r>
      <w:r w:rsidR="00FD45CE">
        <w:rPr>
          <w:rFonts w:ascii="Times New Roman" w:hAnsi="Times New Roman"/>
          <w:sz w:val="28"/>
          <w:szCs w:val="28"/>
        </w:rPr>
        <w:t>and that it pays the costs of the application.</w:t>
      </w:r>
    </w:p>
    <w:p w:rsidR="00906B0C"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906B0C">
        <w:rPr>
          <w:rFonts w:ascii="Times New Roman" w:hAnsi="Times New Roman"/>
          <w:sz w:val="28"/>
          <w:szCs w:val="28"/>
        </w:rPr>
        <w:t xml:space="preserve">It is not in issue that the dispute between the parties arises from </w:t>
      </w:r>
      <w:r w:rsidR="00AE34FD">
        <w:rPr>
          <w:rFonts w:ascii="Times New Roman" w:hAnsi="Times New Roman"/>
          <w:sz w:val="28"/>
          <w:szCs w:val="28"/>
        </w:rPr>
        <w:t xml:space="preserve">transactions in the applicant’s </w:t>
      </w:r>
      <w:r w:rsidR="005921B1">
        <w:rPr>
          <w:rFonts w:ascii="Times New Roman" w:hAnsi="Times New Roman"/>
          <w:sz w:val="28"/>
          <w:szCs w:val="28"/>
        </w:rPr>
        <w:t>bank</w:t>
      </w:r>
      <w:r w:rsidR="00AE34FD">
        <w:rPr>
          <w:rFonts w:ascii="Times New Roman" w:hAnsi="Times New Roman"/>
          <w:sz w:val="28"/>
          <w:szCs w:val="28"/>
        </w:rPr>
        <w:t xml:space="preserve"> account </w:t>
      </w:r>
      <w:r w:rsidR="005921B1">
        <w:rPr>
          <w:rFonts w:ascii="Times New Roman" w:hAnsi="Times New Roman"/>
          <w:sz w:val="28"/>
          <w:szCs w:val="28"/>
        </w:rPr>
        <w:t xml:space="preserve">facility </w:t>
      </w:r>
      <w:r w:rsidR="00AE34FD">
        <w:rPr>
          <w:rFonts w:ascii="Times New Roman" w:hAnsi="Times New Roman"/>
          <w:sz w:val="28"/>
          <w:szCs w:val="28"/>
        </w:rPr>
        <w:t xml:space="preserve">held with the respondent. </w:t>
      </w:r>
      <w:r w:rsidR="00713DC3">
        <w:rPr>
          <w:rFonts w:ascii="Times New Roman" w:hAnsi="Times New Roman"/>
          <w:sz w:val="28"/>
          <w:szCs w:val="28"/>
        </w:rPr>
        <w:t>I</w:t>
      </w:r>
      <w:r w:rsidR="00903165">
        <w:rPr>
          <w:rFonts w:ascii="Times New Roman" w:hAnsi="Times New Roman"/>
          <w:sz w:val="28"/>
          <w:szCs w:val="28"/>
        </w:rPr>
        <w:t>n argument the respondent impermissibly attempted, without prior compliance with rule 6(5)(d)(iii), to raise the point that</w:t>
      </w:r>
      <w:r w:rsidR="00906B0C">
        <w:rPr>
          <w:rFonts w:ascii="Times New Roman" w:hAnsi="Times New Roman"/>
          <w:sz w:val="28"/>
          <w:szCs w:val="28"/>
        </w:rPr>
        <w:t xml:space="preserve"> </w:t>
      </w:r>
      <w:r w:rsidR="005921B1">
        <w:rPr>
          <w:rFonts w:ascii="Times New Roman" w:hAnsi="Times New Roman"/>
          <w:sz w:val="28"/>
          <w:szCs w:val="28"/>
        </w:rPr>
        <w:t>the facility was not a credit agreement as defined in the Act.</w:t>
      </w:r>
      <w:r w:rsidR="00713DC3">
        <w:rPr>
          <w:rFonts w:ascii="Times New Roman" w:hAnsi="Times New Roman"/>
          <w:sz w:val="28"/>
          <w:szCs w:val="28"/>
        </w:rPr>
        <w:t xml:space="preserve"> As</w:t>
      </w:r>
      <w:r w:rsidR="006F4E51">
        <w:rPr>
          <w:rFonts w:ascii="Times New Roman" w:hAnsi="Times New Roman"/>
          <w:sz w:val="28"/>
          <w:szCs w:val="28"/>
        </w:rPr>
        <w:t xml:space="preserve"> the issue </w:t>
      </w:r>
      <w:r w:rsidR="00E87C3D">
        <w:rPr>
          <w:rFonts w:ascii="Times New Roman" w:hAnsi="Times New Roman"/>
          <w:sz w:val="28"/>
          <w:szCs w:val="28"/>
        </w:rPr>
        <w:t xml:space="preserve">had not been raised in the answering affidavit nor through compliance </w:t>
      </w:r>
      <w:r w:rsidR="00FA5CA3">
        <w:rPr>
          <w:rFonts w:ascii="Times New Roman" w:hAnsi="Times New Roman"/>
          <w:sz w:val="28"/>
          <w:szCs w:val="28"/>
        </w:rPr>
        <w:t>with the aforementioned subrule, the matter was argued on the footing that the provisions of the Act are applicable,</w:t>
      </w:r>
    </w:p>
    <w:p w:rsidR="00436527"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436527">
        <w:rPr>
          <w:rFonts w:ascii="Times New Roman" w:hAnsi="Times New Roman"/>
          <w:sz w:val="28"/>
          <w:szCs w:val="28"/>
        </w:rPr>
        <w:t xml:space="preserve">Section 111 of the </w:t>
      </w:r>
      <w:r w:rsidR="00B419F9">
        <w:rPr>
          <w:rFonts w:ascii="Times New Roman" w:hAnsi="Times New Roman"/>
          <w:sz w:val="28"/>
          <w:szCs w:val="28"/>
        </w:rPr>
        <w:t>A</w:t>
      </w:r>
      <w:r w:rsidR="0011499D">
        <w:rPr>
          <w:rFonts w:ascii="Times New Roman" w:hAnsi="Times New Roman"/>
          <w:sz w:val="28"/>
          <w:szCs w:val="28"/>
        </w:rPr>
        <w:t>ct</w:t>
      </w:r>
      <w:r w:rsidR="00436527">
        <w:rPr>
          <w:rFonts w:ascii="Times New Roman" w:hAnsi="Times New Roman"/>
          <w:sz w:val="28"/>
          <w:szCs w:val="28"/>
        </w:rPr>
        <w:t xml:space="preserve"> provides as follows</w:t>
      </w:r>
      <w:r w:rsidR="00C26DA0">
        <w:rPr>
          <w:rFonts w:ascii="Times New Roman" w:hAnsi="Times New Roman"/>
          <w:sz w:val="28"/>
          <w:szCs w:val="28"/>
        </w:rPr>
        <w:t>:</w:t>
      </w:r>
    </w:p>
    <w:p w:rsidR="002F6E08" w:rsidRPr="00E627AB" w:rsidRDefault="002F6E08" w:rsidP="00E627AB">
      <w:pPr>
        <w:pStyle w:val="LegalList1"/>
        <w:spacing w:line="240" w:lineRule="auto"/>
        <w:ind w:left="851"/>
        <w:rPr>
          <w:rFonts w:ascii="Times New Roman" w:hAnsi="Times New Roman"/>
        </w:rPr>
      </w:pPr>
      <w:r w:rsidRPr="00E627AB">
        <w:rPr>
          <w:rFonts w:ascii="Times New Roman" w:hAnsi="Times New Roman"/>
        </w:rPr>
        <w:t>‘111.</w:t>
      </w:r>
      <w:r w:rsidRPr="00E627AB">
        <w:rPr>
          <w:rFonts w:ascii="Times New Roman" w:hAnsi="Times New Roman"/>
        </w:rPr>
        <w:tab/>
      </w:r>
      <w:r w:rsidRPr="00E627AB">
        <w:rPr>
          <w:rFonts w:ascii="Times New Roman" w:hAnsi="Times New Roman"/>
        </w:rPr>
        <w:tab/>
      </w:r>
      <w:r w:rsidR="00817BAA" w:rsidRPr="00E627AB">
        <w:rPr>
          <w:rFonts w:ascii="Times New Roman" w:hAnsi="Times New Roman"/>
        </w:rPr>
        <w:t>Disputed entries in accounts</w:t>
      </w:r>
    </w:p>
    <w:p w:rsidR="00817BAA" w:rsidRPr="00E627AB" w:rsidRDefault="00817BAA" w:rsidP="00E627AB">
      <w:pPr>
        <w:pStyle w:val="LegalList1"/>
        <w:spacing w:line="240" w:lineRule="auto"/>
        <w:ind w:left="2160" w:hanging="1309"/>
        <w:rPr>
          <w:rFonts w:ascii="Times New Roman" w:hAnsi="Times New Roman"/>
        </w:rPr>
      </w:pPr>
      <w:r w:rsidRPr="00E627AB">
        <w:rPr>
          <w:rFonts w:ascii="Times New Roman" w:hAnsi="Times New Roman"/>
        </w:rPr>
        <w:t>(</w:t>
      </w:r>
      <w:r w:rsidR="00060F8C" w:rsidRPr="00E627AB">
        <w:rPr>
          <w:rFonts w:ascii="Times New Roman" w:hAnsi="Times New Roman"/>
        </w:rPr>
        <w:t>1)</w:t>
      </w:r>
      <w:r w:rsidR="00060F8C" w:rsidRPr="00E627AB">
        <w:rPr>
          <w:rFonts w:ascii="Times New Roman" w:hAnsi="Times New Roman"/>
        </w:rPr>
        <w:tab/>
      </w:r>
      <w:r w:rsidRPr="00E627AB">
        <w:rPr>
          <w:rFonts w:ascii="Times New Roman" w:hAnsi="Times New Roman"/>
        </w:rPr>
        <w:t>A consumer may dispute all or part of any particular credit or debit entered under a credit agreement, by delivering a written notice to the credit provider.</w:t>
      </w:r>
    </w:p>
    <w:p w:rsidR="00817BAA" w:rsidRPr="00E627AB" w:rsidRDefault="00817BAA" w:rsidP="00E627AB">
      <w:pPr>
        <w:pStyle w:val="LegalList1"/>
        <w:spacing w:line="240" w:lineRule="auto"/>
        <w:ind w:left="2160" w:hanging="1309"/>
        <w:rPr>
          <w:rFonts w:ascii="Times New Roman" w:hAnsi="Times New Roman"/>
        </w:rPr>
      </w:pPr>
      <w:r w:rsidRPr="00E627AB">
        <w:rPr>
          <w:rFonts w:ascii="Times New Roman" w:hAnsi="Times New Roman"/>
        </w:rPr>
        <w:t>(2)</w:t>
      </w:r>
      <w:r w:rsidR="00060F8C" w:rsidRPr="00E627AB">
        <w:rPr>
          <w:rFonts w:ascii="Times New Roman" w:hAnsi="Times New Roman"/>
        </w:rPr>
        <w:tab/>
      </w:r>
      <w:r w:rsidRPr="00E627AB">
        <w:rPr>
          <w:rFonts w:ascii="Times New Roman" w:hAnsi="Times New Roman"/>
        </w:rPr>
        <w:t>A</w:t>
      </w:r>
      <w:r w:rsidR="00060F8C" w:rsidRPr="00E627AB">
        <w:rPr>
          <w:rFonts w:ascii="Times New Roman" w:hAnsi="Times New Roman"/>
        </w:rPr>
        <w:t xml:space="preserve"> </w:t>
      </w:r>
      <w:r w:rsidRPr="00E627AB">
        <w:rPr>
          <w:rFonts w:ascii="Times New Roman" w:hAnsi="Times New Roman"/>
        </w:rPr>
        <w:t>credit provider who receives a notice of dispute in terms of subsection (1) –</w:t>
      </w:r>
    </w:p>
    <w:p w:rsidR="00817BAA" w:rsidRPr="00E627AB" w:rsidRDefault="00817BAA" w:rsidP="00E627AB">
      <w:pPr>
        <w:pStyle w:val="LegalList1"/>
        <w:spacing w:line="240" w:lineRule="auto"/>
        <w:ind w:left="2160"/>
        <w:rPr>
          <w:rFonts w:ascii="Times New Roman" w:hAnsi="Times New Roman"/>
        </w:rPr>
      </w:pPr>
      <w:r w:rsidRPr="00E627AB">
        <w:rPr>
          <w:rFonts w:ascii="Times New Roman" w:hAnsi="Times New Roman"/>
        </w:rPr>
        <w:t>(a)</w:t>
      </w:r>
      <w:r w:rsidR="00060F8C" w:rsidRPr="00E627AB">
        <w:rPr>
          <w:rFonts w:ascii="Times New Roman" w:hAnsi="Times New Roman"/>
        </w:rPr>
        <w:tab/>
      </w:r>
      <w:r w:rsidRPr="00E627AB">
        <w:rPr>
          <w:rFonts w:ascii="Times New Roman" w:hAnsi="Times New Roman"/>
        </w:rPr>
        <w:t>must give the consumer a written notice either –</w:t>
      </w:r>
    </w:p>
    <w:p w:rsidR="00817BAA" w:rsidRPr="00E627AB" w:rsidRDefault="00817BAA" w:rsidP="00E627AB">
      <w:pPr>
        <w:pStyle w:val="LegalList1"/>
        <w:spacing w:line="240" w:lineRule="auto"/>
        <w:ind w:left="2880"/>
        <w:rPr>
          <w:rFonts w:ascii="Times New Roman" w:hAnsi="Times New Roman"/>
        </w:rPr>
      </w:pPr>
      <w:r w:rsidRPr="00E627AB">
        <w:rPr>
          <w:rFonts w:ascii="Times New Roman" w:hAnsi="Times New Roman"/>
        </w:rPr>
        <w:t>(</w:t>
      </w:r>
      <w:r w:rsidR="00060F8C" w:rsidRPr="00E627AB">
        <w:rPr>
          <w:rFonts w:ascii="Times New Roman" w:hAnsi="Times New Roman"/>
        </w:rPr>
        <w:t>i</w:t>
      </w:r>
      <w:r w:rsidRPr="00E627AB">
        <w:rPr>
          <w:rFonts w:ascii="Times New Roman" w:hAnsi="Times New Roman"/>
        </w:rPr>
        <w:t>)</w:t>
      </w:r>
      <w:r w:rsidR="00060F8C" w:rsidRPr="00E627AB">
        <w:rPr>
          <w:rFonts w:ascii="Times New Roman" w:hAnsi="Times New Roman"/>
        </w:rPr>
        <w:tab/>
      </w:r>
      <w:r w:rsidR="005257D3" w:rsidRPr="00E627AB">
        <w:rPr>
          <w:rFonts w:ascii="Times New Roman" w:hAnsi="Times New Roman"/>
        </w:rPr>
        <w:t>explaining the entry in reasonable detail; or</w:t>
      </w:r>
    </w:p>
    <w:p w:rsidR="005257D3" w:rsidRPr="00E627AB" w:rsidRDefault="005257D3" w:rsidP="00E627AB">
      <w:pPr>
        <w:pStyle w:val="LegalList1"/>
        <w:spacing w:line="240" w:lineRule="auto"/>
        <w:ind w:left="3600" w:hanging="720"/>
        <w:rPr>
          <w:rFonts w:ascii="Times New Roman" w:hAnsi="Times New Roman"/>
        </w:rPr>
      </w:pPr>
      <w:r w:rsidRPr="00E627AB">
        <w:rPr>
          <w:rFonts w:ascii="Times New Roman" w:hAnsi="Times New Roman"/>
        </w:rPr>
        <w:t>(</w:t>
      </w:r>
      <w:r w:rsidR="00060F8C" w:rsidRPr="00E627AB">
        <w:rPr>
          <w:rFonts w:ascii="Times New Roman" w:hAnsi="Times New Roman"/>
        </w:rPr>
        <w:t>ii</w:t>
      </w:r>
      <w:r w:rsidRPr="00E627AB">
        <w:rPr>
          <w:rFonts w:ascii="Times New Roman" w:hAnsi="Times New Roman"/>
        </w:rPr>
        <w:t>)</w:t>
      </w:r>
      <w:r w:rsidR="00060F8C" w:rsidRPr="00E627AB">
        <w:rPr>
          <w:rFonts w:ascii="Times New Roman" w:hAnsi="Times New Roman"/>
        </w:rPr>
        <w:tab/>
      </w:r>
      <w:r w:rsidRPr="00E627AB">
        <w:rPr>
          <w:rFonts w:ascii="Times New Roman" w:hAnsi="Times New Roman"/>
        </w:rPr>
        <w:t>confirming that the statement was an error either in whole or in part, and setting out the revised entry; and</w:t>
      </w:r>
    </w:p>
    <w:p w:rsidR="005257D3" w:rsidRPr="00E627AB" w:rsidRDefault="005257D3" w:rsidP="00E627AB">
      <w:pPr>
        <w:pStyle w:val="LegalList1"/>
        <w:spacing w:line="240" w:lineRule="auto"/>
        <w:ind w:left="2880" w:hanging="720"/>
        <w:rPr>
          <w:rFonts w:ascii="Times New Roman" w:hAnsi="Times New Roman"/>
        </w:rPr>
      </w:pPr>
      <w:r w:rsidRPr="00E627AB">
        <w:rPr>
          <w:rFonts w:ascii="Times New Roman" w:hAnsi="Times New Roman"/>
        </w:rPr>
        <w:t>(</w:t>
      </w:r>
      <w:r w:rsidR="00060F8C" w:rsidRPr="00E627AB">
        <w:rPr>
          <w:rFonts w:ascii="Times New Roman" w:hAnsi="Times New Roman"/>
        </w:rPr>
        <w:t>b</w:t>
      </w:r>
      <w:r w:rsidRPr="00E627AB">
        <w:rPr>
          <w:rFonts w:ascii="Times New Roman" w:hAnsi="Times New Roman"/>
        </w:rPr>
        <w:t>)</w:t>
      </w:r>
      <w:r w:rsidR="00060F8C" w:rsidRPr="00E627AB">
        <w:rPr>
          <w:rFonts w:ascii="Times New Roman" w:hAnsi="Times New Roman"/>
        </w:rPr>
        <w:tab/>
      </w:r>
      <w:r w:rsidRPr="00E627AB">
        <w:rPr>
          <w:rFonts w:ascii="Times New Roman" w:hAnsi="Times New Roman"/>
        </w:rPr>
        <w:t>must not begin enforcement proceedings on the basis of a default arising from the disputed entry –</w:t>
      </w:r>
    </w:p>
    <w:p w:rsidR="005257D3" w:rsidRPr="00E627AB" w:rsidRDefault="005257D3" w:rsidP="00E627AB">
      <w:pPr>
        <w:pStyle w:val="LegalList1"/>
        <w:spacing w:line="240" w:lineRule="auto"/>
        <w:ind w:left="3599" w:hanging="850"/>
        <w:rPr>
          <w:rFonts w:ascii="Times New Roman" w:hAnsi="Times New Roman"/>
        </w:rPr>
      </w:pPr>
      <w:r w:rsidRPr="00E627AB">
        <w:rPr>
          <w:rFonts w:ascii="Times New Roman" w:hAnsi="Times New Roman"/>
        </w:rPr>
        <w:t>(</w:t>
      </w:r>
      <w:r w:rsidR="00E627AB" w:rsidRPr="00E627AB">
        <w:rPr>
          <w:rFonts w:ascii="Times New Roman" w:hAnsi="Times New Roman"/>
        </w:rPr>
        <w:t>i</w:t>
      </w:r>
      <w:r w:rsidRPr="00E627AB">
        <w:rPr>
          <w:rFonts w:ascii="Times New Roman" w:hAnsi="Times New Roman"/>
        </w:rPr>
        <w:t>)</w:t>
      </w:r>
      <w:r w:rsidR="00E627AB" w:rsidRPr="00E627AB">
        <w:rPr>
          <w:rFonts w:ascii="Times New Roman" w:hAnsi="Times New Roman"/>
        </w:rPr>
        <w:tab/>
      </w:r>
      <w:r w:rsidRPr="00E627AB">
        <w:rPr>
          <w:rFonts w:ascii="Times New Roman" w:hAnsi="Times New Roman"/>
        </w:rPr>
        <w:t>until the credit provider has complied with paragraph (a); or</w:t>
      </w:r>
    </w:p>
    <w:p w:rsidR="005257D3" w:rsidRPr="00E627AB" w:rsidRDefault="005257D3" w:rsidP="00E627AB">
      <w:pPr>
        <w:pStyle w:val="LegalList1"/>
        <w:spacing w:line="240" w:lineRule="auto"/>
        <w:ind w:left="3599" w:hanging="850"/>
        <w:rPr>
          <w:rFonts w:ascii="Times New Roman" w:hAnsi="Times New Roman"/>
        </w:rPr>
      </w:pPr>
      <w:r w:rsidRPr="00E627AB">
        <w:rPr>
          <w:rFonts w:ascii="Times New Roman" w:hAnsi="Times New Roman"/>
        </w:rPr>
        <w:lastRenderedPageBreak/>
        <w:t>(</w:t>
      </w:r>
      <w:r w:rsidR="00E627AB" w:rsidRPr="00E627AB">
        <w:rPr>
          <w:rFonts w:ascii="Times New Roman" w:hAnsi="Times New Roman"/>
        </w:rPr>
        <w:t>ii</w:t>
      </w:r>
      <w:r w:rsidRPr="00E627AB">
        <w:rPr>
          <w:rFonts w:ascii="Times New Roman" w:hAnsi="Times New Roman"/>
        </w:rPr>
        <w:t>)</w:t>
      </w:r>
      <w:r w:rsidR="00E627AB" w:rsidRPr="00E627AB">
        <w:rPr>
          <w:rFonts w:ascii="Times New Roman" w:hAnsi="Times New Roman"/>
        </w:rPr>
        <w:tab/>
      </w:r>
      <w:r w:rsidRPr="00E627AB">
        <w:rPr>
          <w:rFonts w:ascii="Times New Roman" w:hAnsi="Times New Roman"/>
        </w:rPr>
        <w:t>at any time that the matter is under alternative dispute resolution procedures, or before the Tribunal in terms of section 115.’</w:t>
      </w:r>
    </w:p>
    <w:p w:rsidR="002F3D23"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829DF">
        <w:rPr>
          <w:rFonts w:ascii="Times New Roman" w:hAnsi="Times New Roman"/>
          <w:sz w:val="28"/>
          <w:szCs w:val="28"/>
        </w:rPr>
        <w:t>Section 115 of the Act deals with disputes arising from statements. The section reads as follows:</w:t>
      </w:r>
    </w:p>
    <w:p w:rsidR="003829DF" w:rsidRPr="00F64AF7" w:rsidRDefault="003829DF" w:rsidP="00F64AF7">
      <w:pPr>
        <w:pStyle w:val="LegalList1"/>
        <w:spacing w:line="240" w:lineRule="auto"/>
        <w:ind w:left="851"/>
        <w:rPr>
          <w:rFonts w:ascii="Times New Roman" w:hAnsi="Times New Roman"/>
        </w:rPr>
      </w:pPr>
      <w:r w:rsidRPr="00F64AF7">
        <w:rPr>
          <w:rFonts w:ascii="Times New Roman" w:hAnsi="Times New Roman"/>
        </w:rPr>
        <w:t>‘115.</w:t>
      </w:r>
      <w:r w:rsidRPr="00F64AF7">
        <w:rPr>
          <w:rFonts w:ascii="Times New Roman" w:hAnsi="Times New Roman"/>
        </w:rPr>
        <w:tab/>
      </w:r>
      <w:r w:rsidRPr="00F64AF7">
        <w:rPr>
          <w:rFonts w:ascii="Times New Roman" w:hAnsi="Times New Roman"/>
        </w:rPr>
        <w:tab/>
        <w:t>Disputes concerning statements</w:t>
      </w:r>
    </w:p>
    <w:p w:rsidR="003829DF" w:rsidRPr="00F64AF7" w:rsidRDefault="003829DF" w:rsidP="00F64AF7">
      <w:pPr>
        <w:pStyle w:val="LegalList1"/>
        <w:spacing w:line="240" w:lineRule="auto"/>
        <w:ind w:left="2160" w:hanging="1309"/>
        <w:rPr>
          <w:rFonts w:ascii="Times New Roman" w:hAnsi="Times New Roman"/>
        </w:rPr>
      </w:pPr>
      <w:r w:rsidRPr="00F64AF7">
        <w:rPr>
          <w:rFonts w:ascii="Times New Roman" w:hAnsi="Times New Roman"/>
        </w:rPr>
        <w:t>(1)</w:t>
      </w:r>
      <w:r w:rsidR="00894AAD" w:rsidRPr="00F64AF7">
        <w:rPr>
          <w:rFonts w:ascii="Times New Roman" w:hAnsi="Times New Roman"/>
        </w:rPr>
        <w:tab/>
        <w:t>A</w:t>
      </w:r>
      <w:r w:rsidRPr="00F64AF7">
        <w:rPr>
          <w:rFonts w:ascii="Times New Roman" w:hAnsi="Times New Roman"/>
        </w:rPr>
        <w:t xml:space="preserve"> consumer who has unsuccessfully attempted to resolve a disputed entry directly with the credit provider in terms of section 111, and through alternative dispute resolution under Part A</w:t>
      </w:r>
      <w:r w:rsidR="0083164F" w:rsidRPr="00F64AF7">
        <w:rPr>
          <w:rFonts w:ascii="Times New Roman" w:hAnsi="Times New Roman"/>
        </w:rPr>
        <w:t xml:space="preserve"> of Chapter 7, may apply to the Tribunal to resolve –</w:t>
      </w:r>
    </w:p>
    <w:p w:rsidR="0083164F" w:rsidRPr="00F64AF7" w:rsidRDefault="0083164F" w:rsidP="00F64AF7">
      <w:pPr>
        <w:pStyle w:val="LegalList1"/>
        <w:spacing w:line="240" w:lineRule="auto"/>
        <w:ind w:left="2160"/>
        <w:rPr>
          <w:rFonts w:ascii="Times New Roman" w:hAnsi="Times New Roman"/>
        </w:rPr>
      </w:pPr>
      <w:r w:rsidRPr="00F64AF7">
        <w:rPr>
          <w:rFonts w:ascii="Times New Roman" w:hAnsi="Times New Roman"/>
        </w:rPr>
        <w:t>(a)</w:t>
      </w:r>
      <w:r w:rsidR="00894AAD" w:rsidRPr="00F64AF7">
        <w:rPr>
          <w:rFonts w:ascii="Times New Roman" w:hAnsi="Times New Roman"/>
        </w:rPr>
        <w:tab/>
      </w:r>
      <w:r w:rsidRPr="00F64AF7">
        <w:rPr>
          <w:rFonts w:ascii="Times New Roman" w:hAnsi="Times New Roman"/>
        </w:rPr>
        <w:t>a disputed entry shown on a statement of account; or</w:t>
      </w:r>
    </w:p>
    <w:p w:rsidR="0083164F" w:rsidRPr="00F64AF7" w:rsidRDefault="00894AAD" w:rsidP="00F64AF7">
      <w:pPr>
        <w:pStyle w:val="LegalList1"/>
        <w:spacing w:line="240" w:lineRule="auto"/>
        <w:ind w:left="2880" w:hanging="720"/>
        <w:rPr>
          <w:rFonts w:ascii="Times New Roman" w:hAnsi="Times New Roman"/>
        </w:rPr>
      </w:pPr>
      <w:r w:rsidRPr="00F64AF7">
        <w:rPr>
          <w:rFonts w:ascii="Times New Roman" w:hAnsi="Times New Roman"/>
        </w:rPr>
        <w:t>(b</w:t>
      </w:r>
      <w:r w:rsidR="0083164F" w:rsidRPr="00F64AF7">
        <w:rPr>
          <w:rFonts w:ascii="Times New Roman" w:hAnsi="Times New Roman"/>
        </w:rPr>
        <w:t>)</w:t>
      </w:r>
      <w:r w:rsidRPr="00F64AF7">
        <w:rPr>
          <w:rFonts w:ascii="Times New Roman" w:hAnsi="Times New Roman"/>
        </w:rPr>
        <w:tab/>
      </w:r>
      <w:r w:rsidR="0083164F" w:rsidRPr="00F64AF7">
        <w:rPr>
          <w:rFonts w:ascii="Times New Roman" w:hAnsi="Times New Roman"/>
        </w:rPr>
        <w:t>a dispute concerning a statement of the settlement amount.</w:t>
      </w:r>
    </w:p>
    <w:p w:rsidR="0083164F" w:rsidRPr="00F64AF7" w:rsidRDefault="0083164F" w:rsidP="00F64AF7">
      <w:pPr>
        <w:pStyle w:val="LegalList1"/>
        <w:spacing w:line="240" w:lineRule="auto"/>
        <w:ind w:left="2160" w:hanging="1309"/>
        <w:rPr>
          <w:rFonts w:ascii="Times New Roman" w:hAnsi="Times New Roman"/>
        </w:rPr>
      </w:pPr>
      <w:r w:rsidRPr="00F64AF7">
        <w:rPr>
          <w:rFonts w:ascii="Times New Roman" w:hAnsi="Times New Roman"/>
        </w:rPr>
        <w:t>(2)</w:t>
      </w:r>
      <w:r w:rsidR="00894AAD" w:rsidRPr="00F64AF7">
        <w:rPr>
          <w:rFonts w:ascii="Times New Roman" w:hAnsi="Times New Roman"/>
        </w:rPr>
        <w:tab/>
        <w:t>I</w:t>
      </w:r>
      <w:r w:rsidRPr="00F64AF7">
        <w:rPr>
          <w:rFonts w:ascii="Times New Roman" w:hAnsi="Times New Roman"/>
        </w:rPr>
        <w:t xml:space="preserve">f the </w:t>
      </w:r>
      <w:r w:rsidR="0065697D">
        <w:rPr>
          <w:rFonts w:ascii="Times New Roman" w:hAnsi="Times New Roman"/>
        </w:rPr>
        <w:t>Tribunal</w:t>
      </w:r>
      <w:r w:rsidRPr="00F64AF7">
        <w:rPr>
          <w:rFonts w:ascii="Times New Roman" w:hAnsi="Times New Roman"/>
        </w:rPr>
        <w:t xml:space="preserve"> is satisfied that an entry, the settlement amount, as shown on a statement is in error, the Tribunal may determine the matter</w:t>
      </w:r>
      <w:r w:rsidR="0011499D">
        <w:rPr>
          <w:rFonts w:ascii="Times New Roman" w:hAnsi="Times New Roman"/>
        </w:rPr>
        <w:t>s</w:t>
      </w:r>
      <w:r w:rsidRPr="00F64AF7">
        <w:rPr>
          <w:rFonts w:ascii="Times New Roman" w:hAnsi="Times New Roman"/>
        </w:rPr>
        <w:t xml:space="preserve"> in dispute and may make any</w:t>
      </w:r>
      <w:r w:rsidR="00894AAD" w:rsidRPr="00F64AF7">
        <w:rPr>
          <w:rFonts w:ascii="Times New Roman" w:hAnsi="Times New Roman"/>
        </w:rPr>
        <w:t xml:space="preserve"> appropriate order to correct the statement that gave rise to the dispute.’</w:t>
      </w:r>
    </w:p>
    <w:p w:rsidR="00546F16"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E46CD4">
        <w:rPr>
          <w:rFonts w:ascii="Times New Roman" w:hAnsi="Times New Roman"/>
          <w:sz w:val="28"/>
          <w:szCs w:val="28"/>
        </w:rPr>
        <w:t>Q</w:t>
      </w:r>
      <w:r w:rsidR="00F50464">
        <w:rPr>
          <w:rFonts w:ascii="Times New Roman" w:hAnsi="Times New Roman"/>
          <w:sz w:val="28"/>
          <w:szCs w:val="28"/>
        </w:rPr>
        <w:t>uoting directly from the founding affidavit</w:t>
      </w:r>
      <w:r w:rsidR="00E46CD4">
        <w:rPr>
          <w:rFonts w:ascii="Times New Roman" w:hAnsi="Times New Roman"/>
          <w:sz w:val="28"/>
          <w:szCs w:val="28"/>
        </w:rPr>
        <w:t>, the applicant makes the following averment</w:t>
      </w:r>
      <w:r w:rsidR="00895970">
        <w:rPr>
          <w:rFonts w:ascii="Times New Roman" w:hAnsi="Times New Roman"/>
          <w:sz w:val="28"/>
          <w:szCs w:val="28"/>
        </w:rPr>
        <w:t>s</w:t>
      </w:r>
      <w:r w:rsidR="0099438D">
        <w:rPr>
          <w:rFonts w:ascii="Times New Roman" w:hAnsi="Times New Roman"/>
          <w:sz w:val="28"/>
          <w:szCs w:val="28"/>
        </w:rPr>
        <w:t xml:space="preserve"> (all </w:t>
      </w:r>
      <w:r w:rsidR="0099438D" w:rsidRPr="00A6266F">
        <w:rPr>
          <w:rFonts w:ascii="Times New Roman" w:hAnsi="Times New Roman"/>
          <w:i/>
          <w:sz w:val="28"/>
          <w:szCs w:val="28"/>
        </w:rPr>
        <w:t>sic</w:t>
      </w:r>
      <w:r w:rsidR="0099438D">
        <w:rPr>
          <w:rFonts w:ascii="Times New Roman" w:hAnsi="Times New Roman"/>
          <w:sz w:val="28"/>
          <w:szCs w:val="28"/>
        </w:rPr>
        <w:t>)</w:t>
      </w:r>
      <w:r w:rsidR="001545BB">
        <w:rPr>
          <w:rFonts w:ascii="Times New Roman" w:hAnsi="Times New Roman"/>
          <w:sz w:val="28"/>
          <w:szCs w:val="28"/>
        </w:rPr>
        <w:t>:</w:t>
      </w:r>
    </w:p>
    <w:p w:rsidR="001545BB" w:rsidRDefault="001545BB" w:rsidP="002B2EB8">
      <w:pPr>
        <w:pStyle w:val="LegalList1"/>
        <w:spacing w:line="360" w:lineRule="auto"/>
        <w:ind w:left="1440" w:hanging="589"/>
        <w:rPr>
          <w:rFonts w:ascii="Times New Roman" w:hAnsi="Times New Roman"/>
        </w:rPr>
      </w:pPr>
      <w:r w:rsidRPr="00566CBF">
        <w:rPr>
          <w:rFonts w:ascii="Times New Roman" w:hAnsi="Times New Roman"/>
        </w:rPr>
        <w:t>‘</w:t>
      </w:r>
      <w:r w:rsidR="002B2EB8">
        <w:rPr>
          <w:rFonts w:ascii="Times New Roman" w:hAnsi="Times New Roman"/>
        </w:rPr>
        <w:t>4.</w:t>
      </w:r>
      <w:r w:rsidR="002B2EB8">
        <w:rPr>
          <w:rFonts w:ascii="Times New Roman" w:hAnsi="Times New Roman"/>
        </w:rPr>
        <w:tab/>
      </w:r>
      <w:r w:rsidRPr="00566CBF">
        <w:rPr>
          <w:rFonts w:ascii="Times New Roman" w:hAnsi="Times New Roman"/>
        </w:rPr>
        <w:t>On 30</w:t>
      </w:r>
      <w:r w:rsidRPr="00566CBF">
        <w:rPr>
          <w:rFonts w:ascii="Times New Roman" w:hAnsi="Times New Roman"/>
          <w:vertAlign w:val="superscript"/>
        </w:rPr>
        <w:t>th</w:t>
      </w:r>
      <w:r w:rsidRPr="00566CBF">
        <w:rPr>
          <w:rFonts w:ascii="Times New Roman" w:hAnsi="Times New Roman"/>
        </w:rPr>
        <w:t xml:space="preserve"> April 2014</w:t>
      </w:r>
      <w:r w:rsidR="00E46CD4" w:rsidRPr="00566CBF">
        <w:rPr>
          <w:rFonts w:ascii="Times New Roman" w:hAnsi="Times New Roman"/>
        </w:rPr>
        <w:t xml:space="preserve"> I was at respondent’s Northcrest Spar automated teller machine (ATM)</w:t>
      </w:r>
      <w:r w:rsidR="002D2461" w:rsidRPr="00566CBF">
        <w:rPr>
          <w:rFonts w:ascii="Times New Roman" w:hAnsi="Times New Roman"/>
        </w:rPr>
        <w:t xml:space="preserve"> for statement enquiry and cash withdrawal, and my card was swallowed by the machine at about 19h50. When I was in the process of reporting the incident</w:t>
      </w:r>
      <w:r w:rsidR="0099438D" w:rsidRPr="00566CBF">
        <w:rPr>
          <w:rFonts w:ascii="Times New Roman" w:hAnsi="Times New Roman"/>
        </w:rPr>
        <w:t xml:space="preserve"> through the toll free numbers pasted on the machine, an </w:t>
      </w:r>
      <w:r w:rsidR="00761CE9">
        <w:rPr>
          <w:rFonts w:ascii="Times New Roman" w:hAnsi="Times New Roman"/>
        </w:rPr>
        <w:t xml:space="preserve">ATM </w:t>
      </w:r>
      <w:r w:rsidR="0099438D" w:rsidRPr="00566CBF">
        <w:rPr>
          <w:rFonts w:ascii="Times New Roman" w:hAnsi="Times New Roman"/>
        </w:rPr>
        <w:t xml:space="preserve">withdrawal at </w:t>
      </w:r>
      <w:r w:rsidR="00761CE9">
        <w:rPr>
          <w:rFonts w:ascii="Times New Roman" w:hAnsi="Times New Roman"/>
        </w:rPr>
        <w:t>BP</w:t>
      </w:r>
      <w:r w:rsidR="0099438D" w:rsidRPr="00566CBF">
        <w:rPr>
          <w:rFonts w:ascii="Times New Roman" w:hAnsi="Times New Roman"/>
        </w:rPr>
        <w:t xml:space="preserve"> garage, </w:t>
      </w:r>
      <w:r w:rsidR="00761CE9">
        <w:rPr>
          <w:rFonts w:ascii="Times New Roman" w:hAnsi="Times New Roman"/>
        </w:rPr>
        <w:t>N</w:t>
      </w:r>
      <w:r w:rsidR="0099438D" w:rsidRPr="00566CBF">
        <w:rPr>
          <w:rFonts w:ascii="Times New Roman" w:hAnsi="Times New Roman"/>
        </w:rPr>
        <w:t xml:space="preserve">orwood </w:t>
      </w:r>
      <w:r w:rsidR="00761CE9">
        <w:rPr>
          <w:rFonts w:ascii="Times New Roman" w:hAnsi="Times New Roman"/>
        </w:rPr>
        <w:t>M</w:t>
      </w:r>
      <w:r w:rsidR="0099438D" w:rsidRPr="00566CBF">
        <w:rPr>
          <w:rFonts w:ascii="Times New Roman" w:hAnsi="Times New Roman"/>
        </w:rPr>
        <w:t xml:space="preserve">thatha was effected and subsequent thereto a card purchase at Sutherland </w:t>
      </w:r>
      <w:r w:rsidR="00761CE9">
        <w:rPr>
          <w:rFonts w:ascii="Times New Roman" w:hAnsi="Times New Roman"/>
        </w:rPr>
        <w:t>s</w:t>
      </w:r>
      <w:r w:rsidR="0099438D" w:rsidRPr="00566CBF">
        <w:rPr>
          <w:rFonts w:ascii="Times New Roman" w:hAnsi="Times New Roman"/>
        </w:rPr>
        <w:t>par Mthatha was made. I may mention that no one used the machine as I was standing and or working on it</w:t>
      </w:r>
      <w:r w:rsidR="00A6266F" w:rsidRPr="00566CBF">
        <w:rPr>
          <w:rFonts w:ascii="Times New Roman" w:hAnsi="Times New Roman"/>
        </w:rPr>
        <w:t xml:space="preserve">. I may further mention that I had an in contact or notify me agreement with the respondent where every transaction is reported on my cell phone. The aforesaid two transactions reported on my cell phone when I was still at the </w:t>
      </w:r>
      <w:r w:rsidR="00761CE9">
        <w:rPr>
          <w:rFonts w:ascii="Times New Roman" w:hAnsi="Times New Roman"/>
        </w:rPr>
        <w:t xml:space="preserve">ATM </w:t>
      </w:r>
      <w:r w:rsidR="00A6266F" w:rsidRPr="00566CBF">
        <w:rPr>
          <w:rFonts w:ascii="Times New Roman" w:hAnsi="Times New Roman"/>
        </w:rPr>
        <w:t>trying to get hold of the respondent for the stopping of the card</w:t>
      </w:r>
      <w:r w:rsidR="00566CBF" w:rsidRPr="00566CBF">
        <w:rPr>
          <w:rFonts w:ascii="Times New Roman" w:hAnsi="Times New Roman"/>
        </w:rPr>
        <w:t>. Respondent’s telephone took a very long time to be held by the respondent’s consultants.</w:t>
      </w:r>
    </w:p>
    <w:p w:rsidR="002B2EB8" w:rsidRPr="00566CBF" w:rsidRDefault="002B2EB8" w:rsidP="002B2EB8">
      <w:pPr>
        <w:pStyle w:val="LegalList1"/>
        <w:spacing w:line="360" w:lineRule="auto"/>
        <w:ind w:left="1440" w:hanging="589"/>
        <w:rPr>
          <w:rFonts w:ascii="Times New Roman" w:hAnsi="Times New Roman"/>
        </w:rPr>
      </w:pPr>
      <w:r>
        <w:rPr>
          <w:rFonts w:ascii="Times New Roman" w:hAnsi="Times New Roman"/>
        </w:rPr>
        <w:lastRenderedPageBreak/>
        <w:t>4.1</w:t>
      </w:r>
      <w:r>
        <w:rPr>
          <w:rFonts w:ascii="Times New Roman" w:hAnsi="Times New Roman"/>
        </w:rPr>
        <w:tab/>
      </w:r>
      <w:r w:rsidR="00F555B1">
        <w:rPr>
          <w:rFonts w:ascii="Times New Roman" w:hAnsi="Times New Roman"/>
        </w:rPr>
        <w:t>It became clear that my account aforesaid was debited with an amount of R8 299 and that amount to me is unknown.’</w:t>
      </w:r>
    </w:p>
    <w:p w:rsidR="00FA5CA3"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FA5CA3">
        <w:rPr>
          <w:rFonts w:ascii="Times New Roman" w:hAnsi="Times New Roman"/>
          <w:sz w:val="28"/>
          <w:szCs w:val="28"/>
        </w:rPr>
        <w:t>I pause to state it is common cause that the applicant’s legal representatives pursuant to the provisions of section 111(1) of the Act delivered a written notice dated 2 June 2014 to the respondent. The notice re</w:t>
      </w:r>
      <w:r w:rsidR="00762A79">
        <w:rPr>
          <w:rFonts w:ascii="Times New Roman" w:hAnsi="Times New Roman"/>
          <w:sz w:val="28"/>
          <w:szCs w:val="28"/>
        </w:rPr>
        <w:t>flects</w:t>
      </w:r>
      <w:r w:rsidR="00FA5CA3">
        <w:rPr>
          <w:rFonts w:ascii="Times New Roman" w:hAnsi="Times New Roman"/>
          <w:sz w:val="28"/>
          <w:szCs w:val="28"/>
        </w:rPr>
        <w:t xml:space="preserve"> that the applicant’s bank card was swallowed at about 19h50 on 30 April 2014 and what followed were a series of two transactions for the sum of R8 299.00 that were effected against his bank account. The notice formulates the dispute in the following terms:</w:t>
      </w:r>
    </w:p>
    <w:p w:rsidR="00FA5CA3" w:rsidRPr="00F92627" w:rsidRDefault="00FA5CA3" w:rsidP="00FA5CA3">
      <w:pPr>
        <w:pStyle w:val="LegalList1"/>
        <w:spacing w:line="360" w:lineRule="auto"/>
        <w:ind w:left="851"/>
        <w:rPr>
          <w:rFonts w:ascii="Times New Roman" w:hAnsi="Times New Roman"/>
        </w:rPr>
      </w:pPr>
      <w:r w:rsidRPr="00F92627">
        <w:rPr>
          <w:rFonts w:ascii="Times New Roman" w:hAnsi="Times New Roman"/>
        </w:rPr>
        <w:t>‘We now demand, duly instructed by our client, a written notice either explaining the entries in reasonable detail or confirming that the statement was an error either in whole or in part, and setting out the revised entry.’</w:t>
      </w:r>
    </w:p>
    <w:p w:rsidR="00467EEC"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467EEC">
        <w:rPr>
          <w:rFonts w:ascii="Times New Roman" w:hAnsi="Times New Roman"/>
          <w:sz w:val="28"/>
          <w:szCs w:val="28"/>
        </w:rPr>
        <w:t xml:space="preserve">In answer, </w:t>
      </w:r>
      <w:r w:rsidR="00472299">
        <w:rPr>
          <w:rFonts w:ascii="Times New Roman" w:hAnsi="Times New Roman"/>
          <w:sz w:val="28"/>
          <w:szCs w:val="28"/>
        </w:rPr>
        <w:t>(an</w:t>
      </w:r>
      <w:r w:rsidR="00F733E4">
        <w:rPr>
          <w:rFonts w:ascii="Times New Roman" w:hAnsi="Times New Roman"/>
          <w:sz w:val="28"/>
          <w:szCs w:val="28"/>
        </w:rPr>
        <w:t>d</w:t>
      </w:r>
      <w:r w:rsidR="00472299">
        <w:rPr>
          <w:rFonts w:ascii="Times New Roman" w:hAnsi="Times New Roman"/>
          <w:sz w:val="28"/>
          <w:szCs w:val="28"/>
        </w:rPr>
        <w:t xml:space="preserve"> omitting irrelevant wording) </w:t>
      </w:r>
      <w:r w:rsidR="00467EEC">
        <w:rPr>
          <w:rFonts w:ascii="Times New Roman" w:hAnsi="Times New Roman"/>
          <w:sz w:val="28"/>
          <w:szCs w:val="28"/>
        </w:rPr>
        <w:t xml:space="preserve">the </w:t>
      </w:r>
      <w:r w:rsidR="00895970">
        <w:rPr>
          <w:rFonts w:ascii="Times New Roman" w:hAnsi="Times New Roman"/>
          <w:sz w:val="28"/>
          <w:szCs w:val="28"/>
        </w:rPr>
        <w:t xml:space="preserve">deponent on behalf of the </w:t>
      </w:r>
      <w:r w:rsidR="00467EEC">
        <w:rPr>
          <w:rFonts w:ascii="Times New Roman" w:hAnsi="Times New Roman"/>
          <w:sz w:val="28"/>
          <w:szCs w:val="28"/>
        </w:rPr>
        <w:t>respondent states:</w:t>
      </w:r>
    </w:p>
    <w:p w:rsidR="00467EEC" w:rsidRPr="00F70692" w:rsidRDefault="00472299" w:rsidP="00F70692">
      <w:pPr>
        <w:pStyle w:val="LegalList1"/>
        <w:spacing w:line="360" w:lineRule="auto"/>
        <w:ind w:left="851"/>
        <w:rPr>
          <w:rFonts w:ascii="Times New Roman" w:hAnsi="Times New Roman"/>
        </w:rPr>
      </w:pPr>
      <w:r w:rsidRPr="00F70692">
        <w:rPr>
          <w:rFonts w:ascii="Times New Roman" w:hAnsi="Times New Roman"/>
        </w:rPr>
        <w:t>‘</w:t>
      </w:r>
      <w:r w:rsidR="00467EEC" w:rsidRPr="00F70692">
        <w:rPr>
          <w:rFonts w:ascii="Times New Roman" w:hAnsi="Times New Roman"/>
        </w:rPr>
        <w:t>11. Ad paragraph 4 to 4.1 – The contents of these paragraphs are denied …</w:t>
      </w:r>
    </w:p>
    <w:p w:rsidR="00F555B1" w:rsidRPr="00F70692" w:rsidRDefault="00467EEC" w:rsidP="004935BB">
      <w:pPr>
        <w:pStyle w:val="LegalList1"/>
        <w:spacing w:line="360" w:lineRule="auto"/>
        <w:ind w:left="2029" w:hanging="589"/>
        <w:rPr>
          <w:rFonts w:ascii="Times New Roman" w:hAnsi="Times New Roman"/>
        </w:rPr>
      </w:pPr>
      <w:r w:rsidRPr="00F70692">
        <w:rPr>
          <w:rFonts w:ascii="Times New Roman" w:hAnsi="Times New Roman"/>
        </w:rPr>
        <w:t>11.1</w:t>
      </w:r>
      <w:r w:rsidRPr="00F70692">
        <w:rPr>
          <w:rFonts w:ascii="Times New Roman" w:hAnsi="Times New Roman"/>
        </w:rPr>
        <w:tab/>
        <w:t>It appears that the applicant’s disputed transaction</w:t>
      </w:r>
      <w:r w:rsidR="00472299" w:rsidRPr="00F70692">
        <w:rPr>
          <w:rFonts w:ascii="Times New Roman" w:hAnsi="Times New Roman"/>
        </w:rPr>
        <w:t>s occurred at the following times:</w:t>
      </w:r>
      <w:r w:rsidRPr="00F70692">
        <w:rPr>
          <w:rFonts w:ascii="Times New Roman" w:hAnsi="Times New Roman"/>
        </w:rPr>
        <w:t xml:space="preserve"> </w:t>
      </w:r>
    </w:p>
    <w:p w:rsidR="00472299" w:rsidRPr="00F70692" w:rsidRDefault="00472299" w:rsidP="004935BB">
      <w:pPr>
        <w:pStyle w:val="LegalList1"/>
        <w:spacing w:line="360" w:lineRule="auto"/>
        <w:ind w:left="2029"/>
        <w:rPr>
          <w:rFonts w:ascii="Times New Roman" w:hAnsi="Times New Roman"/>
        </w:rPr>
      </w:pPr>
      <w:r w:rsidRPr="00F70692">
        <w:rPr>
          <w:rFonts w:ascii="Times New Roman" w:hAnsi="Times New Roman"/>
        </w:rPr>
        <w:t>R5 000.00 – 30 April 2014 at 19:02 pm; and</w:t>
      </w:r>
    </w:p>
    <w:p w:rsidR="00472299" w:rsidRPr="00F70692" w:rsidRDefault="00472299" w:rsidP="004935BB">
      <w:pPr>
        <w:pStyle w:val="LegalList1"/>
        <w:spacing w:line="360" w:lineRule="auto"/>
        <w:ind w:left="2029"/>
        <w:rPr>
          <w:rFonts w:ascii="Times New Roman" w:hAnsi="Times New Roman"/>
        </w:rPr>
      </w:pPr>
      <w:r w:rsidRPr="00F70692">
        <w:rPr>
          <w:rFonts w:ascii="Times New Roman" w:hAnsi="Times New Roman"/>
        </w:rPr>
        <w:t>R3 299.00 – 30 April 2014 at 19:09 pm.</w:t>
      </w:r>
    </w:p>
    <w:p w:rsidR="00472299" w:rsidRPr="00F70692" w:rsidRDefault="00472299" w:rsidP="004935BB">
      <w:pPr>
        <w:pStyle w:val="LegalList1"/>
        <w:spacing w:line="360" w:lineRule="auto"/>
        <w:ind w:left="2029" w:hanging="589"/>
        <w:rPr>
          <w:rFonts w:ascii="Times New Roman" w:hAnsi="Times New Roman"/>
        </w:rPr>
      </w:pPr>
      <w:r w:rsidRPr="00F70692">
        <w:rPr>
          <w:rFonts w:ascii="Times New Roman" w:hAnsi="Times New Roman"/>
        </w:rPr>
        <w:t>11.2</w:t>
      </w:r>
      <w:r w:rsidRPr="00F70692">
        <w:rPr>
          <w:rFonts w:ascii="Times New Roman" w:hAnsi="Times New Roman"/>
        </w:rPr>
        <w:tab/>
        <w:t>The applicant avers that his card was swallowed by</w:t>
      </w:r>
      <w:r w:rsidR="000F3025" w:rsidRPr="00F70692">
        <w:rPr>
          <w:rFonts w:ascii="Times New Roman" w:hAnsi="Times New Roman"/>
        </w:rPr>
        <w:t xml:space="preserve"> an automated teller machine on 30 April 2014 at about 19:50 pm.</w:t>
      </w:r>
    </w:p>
    <w:p w:rsidR="000F3025" w:rsidRPr="00F70692" w:rsidRDefault="000F3025" w:rsidP="004935BB">
      <w:pPr>
        <w:pStyle w:val="LegalList1"/>
        <w:spacing w:line="360" w:lineRule="auto"/>
        <w:ind w:left="2029" w:hanging="589"/>
        <w:rPr>
          <w:rFonts w:ascii="Times New Roman" w:hAnsi="Times New Roman"/>
        </w:rPr>
      </w:pPr>
      <w:r w:rsidRPr="00F70692">
        <w:rPr>
          <w:rFonts w:ascii="Times New Roman" w:hAnsi="Times New Roman"/>
        </w:rPr>
        <w:t>11.3</w:t>
      </w:r>
      <w:r w:rsidRPr="00F70692">
        <w:rPr>
          <w:rFonts w:ascii="Times New Roman" w:hAnsi="Times New Roman"/>
        </w:rPr>
        <w:tab/>
        <w:t xml:space="preserve">It appears that the applicant placed a call to the </w:t>
      </w:r>
      <w:r w:rsidR="00E448D4" w:rsidRPr="00F70692">
        <w:rPr>
          <w:rFonts w:ascii="Times New Roman" w:hAnsi="Times New Roman"/>
        </w:rPr>
        <w:t>r</w:t>
      </w:r>
      <w:r w:rsidRPr="00F70692">
        <w:rPr>
          <w:rFonts w:ascii="Times New Roman" w:hAnsi="Times New Roman"/>
        </w:rPr>
        <w:t xml:space="preserve">espondent’s call centre reporting </w:t>
      </w:r>
      <w:r w:rsidR="00E448D4" w:rsidRPr="00F70692">
        <w:rPr>
          <w:rFonts w:ascii="Times New Roman" w:hAnsi="Times New Roman"/>
        </w:rPr>
        <w:t>the incident after the card was allegedly swallowed and, more importantly, after the transactions had taken place.</w:t>
      </w:r>
    </w:p>
    <w:p w:rsidR="00E448D4" w:rsidRPr="00F70692" w:rsidRDefault="00E448D4" w:rsidP="004935BB">
      <w:pPr>
        <w:pStyle w:val="LegalList1"/>
        <w:spacing w:line="360" w:lineRule="auto"/>
        <w:ind w:left="2029" w:hanging="589"/>
        <w:rPr>
          <w:rFonts w:ascii="Times New Roman" w:hAnsi="Times New Roman"/>
        </w:rPr>
      </w:pPr>
      <w:r w:rsidRPr="00F70692">
        <w:rPr>
          <w:rFonts w:ascii="Times New Roman" w:hAnsi="Times New Roman"/>
        </w:rPr>
        <w:lastRenderedPageBreak/>
        <w:t>11.4</w:t>
      </w:r>
      <w:r w:rsidRPr="00F70692">
        <w:rPr>
          <w:rFonts w:ascii="Times New Roman" w:hAnsi="Times New Roman"/>
        </w:rPr>
        <w:tab/>
        <w:t>The above had already been communicated to the applicant in various correspondences during the period 2014 and 2015 geared towards settlement of the matter.</w:t>
      </w:r>
      <w:r w:rsidR="00F70692" w:rsidRPr="00F70692">
        <w:rPr>
          <w:rFonts w:ascii="Times New Roman" w:hAnsi="Times New Roman"/>
        </w:rPr>
        <w:t>’</w:t>
      </w:r>
    </w:p>
    <w:p w:rsidR="00232BE7"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DD4A27">
        <w:rPr>
          <w:rFonts w:ascii="Times New Roman" w:hAnsi="Times New Roman"/>
          <w:sz w:val="28"/>
          <w:szCs w:val="28"/>
        </w:rPr>
        <w:t>Elsewhere in the answering affidavit it is stated that</w:t>
      </w:r>
      <w:r w:rsidR="00232BE7">
        <w:rPr>
          <w:rFonts w:ascii="Times New Roman" w:hAnsi="Times New Roman"/>
          <w:sz w:val="28"/>
          <w:szCs w:val="28"/>
        </w:rPr>
        <w:t>:</w:t>
      </w:r>
    </w:p>
    <w:p w:rsidR="00232BE7" w:rsidRPr="00232BE7" w:rsidRDefault="00DD4A27" w:rsidP="00232BE7">
      <w:pPr>
        <w:pStyle w:val="LegalList1"/>
        <w:spacing w:line="360" w:lineRule="auto"/>
        <w:ind w:left="851"/>
        <w:rPr>
          <w:rFonts w:ascii="Times New Roman" w:hAnsi="Times New Roman"/>
        </w:rPr>
      </w:pPr>
      <w:r w:rsidRPr="00232BE7">
        <w:rPr>
          <w:rFonts w:ascii="Times New Roman" w:hAnsi="Times New Roman"/>
        </w:rPr>
        <w:t>‘</w:t>
      </w:r>
      <w:r w:rsidR="002C19F8">
        <w:rPr>
          <w:rFonts w:ascii="Times New Roman" w:hAnsi="Times New Roman"/>
        </w:rPr>
        <w:t>12.</w:t>
      </w:r>
      <w:r w:rsidR="002C19F8">
        <w:rPr>
          <w:rFonts w:ascii="Times New Roman" w:hAnsi="Times New Roman"/>
        </w:rPr>
        <w:tab/>
      </w:r>
      <w:r w:rsidR="00232BE7" w:rsidRPr="00232BE7">
        <w:rPr>
          <w:rFonts w:ascii="Times New Roman" w:hAnsi="Times New Roman"/>
        </w:rPr>
        <w:t xml:space="preserve">… </w:t>
      </w:r>
      <w:r w:rsidRPr="00232BE7">
        <w:rPr>
          <w:rFonts w:ascii="Times New Roman" w:hAnsi="Times New Roman"/>
        </w:rPr>
        <w:t>the applicant had made a fraud claim for the disputed transactions in the total amount of R8 299.00’</w:t>
      </w:r>
      <w:r w:rsidR="00232BE7" w:rsidRPr="00232BE7">
        <w:rPr>
          <w:rFonts w:ascii="Times New Roman" w:hAnsi="Times New Roman"/>
        </w:rPr>
        <w:t>;</w:t>
      </w:r>
    </w:p>
    <w:p w:rsidR="00232BE7" w:rsidRDefault="00DD4A27" w:rsidP="00232BE7">
      <w:pPr>
        <w:pStyle w:val="LegalList1"/>
        <w:spacing w:line="360" w:lineRule="auto"/>
        <w:ind w:left="851"/>
        <w:rPr>
          <w:rFonts w:ascii="Times New Roman" w:hAnsi="Times New Roman"/>
          <w:sz w:val="28"/>
          <w:szCs w:val="28"/>
        </w:rPr>
      </w:pPr>
      <w:r>
        <w:rPr>
          <w:rFonts w:ascii="Times New Roman" w:hAnsi="Times New Roman"/>
          <w:sz w:val="28"/>
          <w:szCs w:val="28"/>
        </w:rPr>
        <w:t>and</w:t>
      </w:r>
    </w:p>
    <w:p w:rsidR="00DD4A27" w:rsidRPr="00232BE7" w:rsidRDefault="002C19F8" w:rsidP="00CA45D7">
      <w:pPr>
        <w:pStyle w:val="LegalList1"/>
        <w:spacing w:line="360" w:lineRule="auto"/>
        <w:ind w:left="2160" w:hanging="1309"/>
        <w:rPr>
          <w:rFonts w:ascii="Times New Roman" w:hAnsi="Times New Roman"/>
        </w:rPr>
      </w:pPr>
      <w:r>
        <w:rPr>
          <w:rFonts w:ascii="Times New Roman" w:hAnsi="Times New Roman"/>
        </w:rPr>
        <w:t>‘12.1.</w:t>
      </w:r>
      <w:r>
        <w:rPr>
          <w:rFonts w:ascii="Times New Roman" w:hAnsi="Times New Roman"/>
        </w:rPr>
        <w:tab/>
      </w:r>
      <w:r w:rsidR="00DD4A27" w:rsidRPr="00232BE7">
        <w:rPr>
          <w:rFonts w:ascii="Times New Roman" w:hAnsi="Times New Roman"/>
        </w:rPr>
        <w:t>On or about 17 May 2014 [his] fraud claim was declined as the applicant was a victim of a card swop</w:t>
      </w:r>
      <w:r w:rsidR="00232BE7" w:rsidRPr="00232BE7">
        <w:rPr>
          <w:rFonts w:ascii="Times New Roman" w:hAnsi="Times New Roman"/>
        </w:rPr>
        <w:t xml:space="preserve"> and that incident was reported late.’</w:t>
      </w:r>
    </w:p>
    <w:p w:rsidR="00901B9A"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901B9A">
        <w:rPr>
          <w:rFonts w:ascii="Times New Roman" w:hAnsi="Times New Roman"/>
          <w:sz w:val="28"/>
          <w:szCs w:val="28"/>
        </w:rPr>
        <w:t>At this point, I refer to an item of correspondence dated 14 October 2014 from the respondent’s attorneys to the applicant’s attorneys</w:t>
      </w:r>
      <w:r w:rsidR="004F4332">
        <w:rPr>
          <w:rFonts w:ascii="Times New Roman" w:hAnsi="Times New Roman"/>
          <w:sz w:val="28"/>
          <w:szCs w:val="28"/>
        </w:rPr>
        <w:t xml:space="preserve">. Therein </w:t>
      </w:r>
      <w:r w:rsidR="00901B9A">
        <w:rPr>
          <w:rFonts w:ascii="Times New Roman" w:hAnsi="Times New Roman"/>
          <w:sz w:val="28"/>
          <w:szCs w:val="28"/>
        </w:rPr>
        <w:t>the respondent proffer</w:t>
      </w:r>
      <w:r w:rsidR="004F4332">
        <w:rPr>
          <w:rFonts w:ascii="Times New Roman" w:hAnsi="Times New Roman"/>
          <w:sz w:val="28"/>
          <w:szCs w:val="28"/>
        </w:rPr>
        <w:t>s</w:t>
      </w:r>
      <w:r w:rsidR="00901B9A">
        <w:rPr>
          <w:rFonts w:ascii="Times New Roman" w:hAnsi="Times New Roman"/>
          <w:sz w:val="28"/>
          <w:szCs w:val="28"/>
        </w:rPr>
        <w:t xml:space="preserve"> the detail set out in paragraphs 11.1 to 11.4 of its answering affidavit, and further point</w:t>
      </w:r>
      <w:r w:rsidR="004F4332">
        <w:rPr>
          <w:rFonts w:ascii="Times New Roman" w:hAnsi="Times New Roman"/>
          <w:sz w:val="28"/>
          <w:szCs w:val="28"/>
        </w:rPr>
        <w:t>s</w:t>
      </w:r>
      <w:r w:rsidR="00901B9A">
        <w:rPr>
          <w:rFonts w:ascii="Times New Roman" w:hAnsi="Times New Roman"/>
          <w:sz w:val="28"/>
          <w:szCs w:val="28"/>
        </w:rPr>
        <w:t xml:space="preserve"> out that the applicant’s attempt at contacting its call centre ‘was successful at 19h26 and his card was subsequently stopped’.</w:t>
      </w:r>
    </w:p>
    <w:p w:rsidR="00161DE9"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F733E4">
        <w:rPr>
          <w:rFonts w:ascii="Times New Roman" w:hAnsi="Times New Roman"/>
          <w:sz w:val="28"/>
          <w:szCs w:val="28"/>
        </w:rPr>
        <w:t xml:space="preserve">In </w:t>
      </w:r>
      <w:r w:rsidR="004F4332">
        <w:rPr>
          <w:rFonts w:ascii="Times New Roman" w:hAnsi="Times New Roman"/>
          <w:sz w:val="28"/>
          <w:szCs w:val="28"/>
        </w:rPr>
        <w:t xml:space="preserve">his replying affidavit </w:t>
      </w:r>
      <w:r w:rsidR="00F733E4">
        <w:rPr>
          <w:rFonts w:ascii="Times New Roman" w:hAnsi="Times New Roman"/>
          <w:sz w:val="28"/>
          <w:szCs w:val="28"/>
        </w:rPr>
        <w:t>the applicant states:</w:t>
      </w:r>
    </w:p>
    <w:p w:rsidR="00F733E4" w:rsidRPr="00E923A1" w:rsidRDefault="002C19F8" w:rsidP="00E923A1">
      <w:pPr>
        <w:pStyle w:val="LegalList1"/>
        <w:spacing w:line="360" w:lineRule="auto"/>
        <w:ind w:left="1571" w:hanging="720"/>
        <w:rPr>
          <w:rFonts w:ascii="Times New Roman" w:hAnsi="Times New Roman"/>
        </w:rPr>
      </w:pPr>
      <w:r>
        <w:rPr>
          <w:rFonts w:ascii="Times New Roman" w:hAnsi="Times New Roman"/>
        </w:rPr>
        <w:t>‘</w:t>
      </w:r>
      <w:r w:rsidR="00F733E4" w:rsidRPr="00E923A1">
        <w:rPr>
          <w:rFonts w:ascii="Times New Roman" w:hAnsi="Times New Roman"/>
        </w:rPr>
        <w:t>19</w:t>
      </w:r>
      <w:r>
        <w:rPr>
          <w:rFonts w:ascii="Times New Roman" w:hAnsi="Times New Roman"/>
        </w:rPr>
        <w:t>.</w:t>
      </w:r>
      <w:r w:rsidR="00F733E4" w:rsidRPr="00E923A1">
        <w:rPr>
          <w:rFonts w:ascii="Times New Roman" w:hAnsi="Times New Roman"/>
        </w:rPr>
        <w:tab/>
        <w:t xml:space="preserve">Contents of paragraph 11 of answering affidavit is denied. </w:t>
      </w:r>
      <w:r w:rsidR="00F70195" w:rsidRPr="00E923A1">
        <w:rPr>
          <w:rFonts w:ascii="Times New Roman" w:hAnsi="Times New Roman"/>
        </w:rPr>
        <w:t>Firstly the time stated herein is not consistent with the time al</w:t>
      </w:r>
      <w:r w:rsidR="00895970">
        <w:rPr>
          <w:rFonts w:ascii="Times New Roman" w:hAnsi="Times New Roman"/>
        </w:rPr>
        <w:t>leged in my founding affidavit.</w:t>
      </w:r>
      <w:r w:rsidR="002C4227" w:rsidRPr="00E923A1">
        <w:rPr>
          <w:rFonts w:ascii="Times New Roman" w:hAnsi="Times New Roman"/>
        </w:rPr>
        <w:t xml:space="preserve"> </w:t>
      </w:r>
      <w:r w:rsidR="00E923A1" w:rsidRPr="00E923A1">
        <w:rPr>
          <w:rFonts w:ascii="Times New Roman" w:hAnsi="Times New Roman"/>
        </w:rPr>
        <w:t>The</w:t>
      </w:r>
      <w:r w:rsidR="002C4227" w:rsidRPr="00E923A1">
        <w:rPr>
          <w:rFonts w:ascii="Times New Roman" w:hAnsi="Times New Roman"/>
        </w:rPr>
        <w:t xml:space="preserve"> time alleged in my founding affidavit is consistent and or reflected in my in contact or notify me facility in my cellphone. Transaction detail information which is a computer generated printout, does not even deal or reflect the transaction of R5 000.00. </w:t>
      </w:r>
      <w:r w:rsidR="00E923A1" w:rsidRPr="00E923A1">
        <w:rPr>
          <w:rFonts w:ascii="Times New Roman" w:hAnsi="Times New Roman"/>
        </w:rPr>
        <w:t>There</w:t>
      </w:r>
      <w:r w:rsidR="002C4227" w:rsidRPr="00E923A1">
        <w:rPr>
          <w:rFonts w:ascii="Times New Roman" w:hAnsi="Times New Roman"/>
        </w:rPr>
        <w:t xml:space="preserve"> is no confluence between the transaction report and the allegations in this paragraph.’</w:t>
      </w:r>
    </w:p>
    <w:p w:rsidR="002C19F8"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2C19F8">
        <w:rPr>
          <w:rFonts w:ascii="Times New Roman" w:hAnsi="Times New Roman"/>
          <w:sz w:val="28"/>
          <w:szCs w:val="28"/>
        </w:rPr>
        <w:t>The applicant goes on further to state:</w:t>
      </w:r>
    </w:p>
    <w:p w:rsidR="002C19F8" w:rsidRPr="00E54420" w:rsidRDefault="00E54420" w:rsidP="004F4332">
      <w:pPr>
        <w:pStyle w:val="LegalList1"/>
        <w:spacing w:line="360" w:lineRule="auto"/>
        <w:ind w:left="1440" w:hanging="589"/>
        <w:rPr>
          <w:rFonts w:ascii="Times New Roman" w:hAnsi="Times New Roman"/>
        </w:rPr>
      </w:pPr>
      <w:r>
        <w:rPr>
          <w:rFonts w:ascii="Times New Roman" w:hAnsi="Times New Roman"/>
        </w:rPr>
        <w:lastRenderedPageBreak/>
        <w:t>‘</w:t>
      </w:r>
      <w:r w:rsidR="002C19F8" w:rsidRPr="00E54420">
        <w:rPr>
          <w:rFonts w:ascii="Times New Roman" w:hAnsi="Times New Roman"/>
        </w:rPr>
        <w:t>23.</w:t>
      </w:r>
      <w:r w:rsidR="002C19F8" w:rsidRPr="00E54420">
        <w:rPr>
          <w:rFonts w:ascii="Times New Roman" w:hAnsi="Times New Roman"/>
        </w:rPr>
        <w:tab/>
      </w:r>
      <w:r w:rsidR="00CA45D7" w:rsidRPr="00E54420">
        <w:rPr>
          <w:rFonts w:ascii="Times New Roman" w:hAnsi="Times New Roman"/>
        </w:rPr>
        <w:t xml:space="preserve">Paragraph 12 of answering affidavit is denied. There is no evidence that my card was a subject of card swop especially from transaction detail information. In fact after my card was swallowed, I never received any card </w:t>
      </w:r>
      <w:r w:rsidR="0021667D" w:rsidRPr="00E54420">
        <w:rPr>
          <w:rFonts w:ascii="Times New Roman" w:hAnsi="Times New Roman"/>
        </w:rPr>
        <w:t>from the machine or anyone. No card swopping took place. Accordingly, the respondent had not given any reasonable explanation. It is not clear where the respondent got this information. An inescapable thought is that respondent’s machine was used by scammers to clone consumers’ cards and I was a victim of a scam.’</w:t>
      </w:r>
    </w:p>
    <w:p w:rsidR="00A3506D"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A3506D">
        <w:rPr>
          <w:rFonts w:ascii="Times New Roman" w:hAnsi="Times New Roman"/>
          <w:sz w:val="28"/>
          <w:szCs w:val="28"/>
        </w:rPr>
        <w:t>In a further letter dated 4 February 2015 from the applicant’s attorneys the applicant adopts a change in stance in the following terms (</w:t>
      </w:r>
      <w:r w:rsidR="00AA530F">
        <w:rPr>
          <w:rFonts w:ascii="Times New Roman" w:hAnsi="Times New Roman"/>
          <w:sz w:val="28"/>
          <w:szCs w:val="28"/>
        </w:rPr>
        <w:t xml:space="preserve">all </w:t>
      </w:r>
      <w:r w:rsidR="00A3506D" w:rsidRPr="006F4E51">
        <w:rPr>
          <w:rFonts w:ascii="Times New Roman" w:hAnsi="Times New Roman"/>
          <w:i/>
          <w:sz w:val="28"/>
          <w:szCs w:val="28"/>
        </w:rPr>
        <w:t>sic</w:t>
      </w:r>
      <w:r w:rsidR="00A3506D">
        <w:rPr>
          <w:rFonts w:ascii="Times New Roman" w:hAnsi="Times New Roman"/>
          <w:sz w:val="28"/>
          <w:szCs w:val="28"/>
        </w:rPr>
        <w:t>):</w:t>
      </w:r>
    </w:p>
    <w:p w:rsidR="00A3506D" w:rsidRPr="003A6C62" w:rsidRDefault="00A3506D" w:rsidP="00A3506D">
      <w:pPr>
        <w:pStyle w:val="LegalList1"/>
        <w:spacing w:line="360" w:lineRule="auto"/>
        <w:ind w:left="851"/>
        <w:rPr>
          <w:rFonts w:ascii="Times New Roman" w:hAnsi="Times New Roman"/>
        </w:rPr>
      </w:pPr>
      <w:r w:rsidRPr="003A6C62">
        <w:rPr>
          <w:rFonts w:ascii="Times New Roman" w:hAnsi="Times New Roman"/>
        </w:rPr>
        <w:t>‘Our client</w:t>
      </w:r>
      <w:r>
        <w:rPr>
          <w:rFonts w:ascii="Times New Roman" w:hAnsi="Times New Roman"/>
        </w:rPr>
        <w:t>’</w:t>
      </w:r>
      <w:r w:rsidRPr="003A6C62">
        <w:rPr>
          <w:rFonts w:ascii="Times New Roman" w:hAnsi="Times New Roman"/>
        </w:rPr>
        <w:t>s notice of motion requires your client to give our client a notice either explaining the disputed entries in “reasonable detail”. Your client’s refusal to give us ATM number and the call log is unreasonable.’</w:t>
      </w:r>
    </w:p>
    <w:p w:rsidR="00CA053B"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A3506D">
        <w:rPr>
          <w:rFonts w:ascii="Times New Roman" w:hAnsi="Times New Roman"/>
          <w:sz w:val="28"/>
          <w:szCs w:val="28"/>
        </w:rPr>
        <w:t xml:space="preserve">It is apparent that the issue relating to the ATM number and call log was not pertinently raised in the applicant’s </w:t>
      </w:r>
      <w:r w:rsidR="00711364">
        <w:rPr>
          <w:rFonts w:ascii="Times New Roman" w:hAnsi="Times New Roman"/>
          <w:sz w:val="28"/>
          <w:szCs w:val="28"/>
        </w:rPr>
        <w:t xml:space="preserve">founding affidavit nor in his </w:t>
      </w:r>
      <w:r w:rsidR="00A3506D">
        <w:rPr>
          <w:rFonts w:ascii="Times New Roman" w:hAnsi="Times New Roman"/>
          <w:sz w:val="28"/>
          <w:szCs w:val="28"/>
        </w:rPr>
        <w:t>notice of 2 June 2014. Obvious from the wording of the notice is the time of retention of the applicant’s bank card followed by the alleged transactions. That was the issue identified by the applicant</w:t>
      </w:r>
      <w:r w:rsidR="00711364">
        <w:rPr>
          <w:rFonts w:ascii="Times New Roman" w:hAnsi="Times New Roman"/>
          <w:sz w:val="28"/>
          <w:szCs w:val="28"/>
        </w:rPr>
        <w:t xml:space="preserve"> (both in his founding affidavit and in his notice)</w:t>
      </w:r>
      <w:r w:rsidR="00A3506D">
        <w:rPr>
          <w:rFonts w:ascii="Times New Roman" w:hAnsi="Times New Roman"/>
          <w:sz w:val="28"/>
          <w:szCs w:val="28"/>
        </w:rPr>
        <w:t xml:space="preserve">. The respondent </w:t>
      </w:r>
      <w:r w:rsidR="00895970">
        <w:rPr>
          <w:rFonts w:ascii="Times New Roman" w:hAnsi="Times New Roman"/>
          <w:sz w:val="28"/>
          <w:szCs w:val="28"/>
        </w:rPr>
        <w:t xml:space="preserve">directly </w:t>
      </w:r>
      <w:r w:rsidR="00A3506D">
        <w:rPr>
          <w:rFonts w:ascii="Times New Roman" w:hAnsi="Times New Roman"/>
          <w:sz w:val="28"/>
          <w:szCs w:val="28"/>
        </w:rPr>
        <w:t xml:space="preserve">addressed the issue by </w:t>
      </w:r>
      <w:r w:rsidR="00263CDB">
        <w:rPr>
          <w:rFonts w:ascii="Times New Roman" w:hAnsi="Times New Roman"/>
          <w:sz w:val="28"/>
          <w:szCs w:val="28"/>
        </w:rPr>
        <w:t xml:space="preserve">identifying </w:t>
      </w:r>
      <w:r w:rsidR="00A3506D">
        <w:rPr>
          <w:rFonts w:ascii="Times New Roman" w:hAnsi="Times New Roman"/>
          <w:sz w:val="28"/>
          <w:szCs w:val="28"/>
        </w:rPr>
        <w:t xml:space="preserve">the time at which the transactions were effected and </w:t>
      </w:r>
      <w:r w:rsidR="00263CDB">
        <w:rPr>
          <w:rFonts w:ascii="Times New Roman" w:hAnsi="Times New Roman"/>
          <w:sz w:val="28"/>
          <w:szCs w:val="28"/>
        </w:rPr>
        <w:t xml:space="preserve">by identifying </w:t>
      </w:r>
      <w:r w:rsidR="00A3506D">
        <w:rPr>
          <w:rFonts w:ascii="Times New Roman" w:hAnsi="Times New Roman"/>
          <w:sz w:val="28"/>
          <w:szCs w:val="28"/>
        </w:rPr>
        <w:t>the time at which the applicant’s card was stopped.</w:t>
      </w:r>
    </w:p>
    <w:p w:rsidR="00CA053B"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A20B38">
        <w:rPr>
          <w:rFonts w:ascii="Times New Roman" w:hAnsi="Times New Roman"/>
          <w:sz w:val="28"/>
          <w:szCs w:val="28"/>
        </w:rPr>
        <w:t xml:space="preserve">Considered in the proper context of the </w:t>
      </w:r>
      <w:r w:rsidR="003C5A86">
        <w:rPr>
          <w:rFonts w:ascii="Times New Roman" w:hAnsi="Times New Roman"/>
          <w:sz w:val="28"/>
          <w:szCs w:val="28"/>
        </w:rPr>
        <w:t>dispute identified by the applicant in his notice of 2 June 2014</w:t>
      </w:r>
      <w:r w:rsidR="00A3506D">
        <w:rPr>
          <w:rFonts w:ascii="Times New Roman" w:hAnsi="Times New Roman"/>
          <w:sz w:val="28"/>
          <w:szCs w:val="28"/>
        </w:rPr>
        <w:t>, the respondent complied with its statutory obligatio</w:t>
      </w:r>
      <w:r w:rsidR="003C5A86">
        <w:rPr>
          <w:rFonts w:ascii="Times New Roman" w:hAnsi="Times New Roman"/>
          <w:sz w:val="28"/>
          <w:szCs w:val="28"/>
        </w:rPr>
        <w:t>n to proffer reasonable detail in response thereto.</w:t>
      </w:r>
    </w:p>
    <w:p w:rsidR="00A3506D"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A3506D">
        <w:rPr>
          <w:rFonts w:ascii="Times New Roman" w:hAnsi="Times New Roman"/>
          <w:sz w:val="28"/>
          <w:szCs w:val="28"/>
        </w:rPr>
        <w:t>The belated demand for the</w:t>
      </w:r>
      <w:r w:rsidR="00A3506D" w:rsidRPr="00AB0058">
        <w:rPr>
          <w:rFonts w:ascii="Times New Roman" w:hAnsi="Times New Roman"/>
          <w:sz w:val="28"/>
          <w:szCs w:val="28"/>
        </w:rPr>
        <w:t xml:space="preserve"> </w:t>
      </w:r>
      <w:r w:rsidR="00A3506D">
        <w:rPr>
          <w:rFonts w:ascii="Times New Roman" w:hAnsi="Times New Roman"/>
          <w:sz w:val="28"/>
          <w:szCs w:val="28"/>
        </w:rPr>
        <w:t>ATM number and the call log is considered disingenuous.</w:t>
      </w:r>
      <w:r w:rsidR="00CA053B">
        <w:rPr>
          <w:rFonts w:ascii="Times New Roman" w:hAnsi="Times New Roman"/>
          <w:sz w:val="28"/>
          <w:szCs w:val="28"/>
        </w:rPr>
        <w:t xml:space="preserve"> It was on </w:t>
      </w:r>
      <w:r w:rsidR="003124A0">
        <w:rPr>
          <w:rFonts w:ascii="Times New Roman" w:hAnsi="Times New Roman"/>
          <w:sz w:val="28"/>
          <w:szCs w:val="28"/>
        </w:rPr>
        <w:t xml:space="preserve">the </w:t>
      </w:r>
      <w:r w:rsidR="00CA053B">
        <w:rPr>
          <w:rFonts w:ascii="Times New Roman" w:hAnsi="Times New Roman"/>
          <w:sz w:val="28"/>
          <w:szCs w:val="28"/>
        </w:rPr>
        <w:t xml:space="preserve">basis </w:t>
      </w:r>
      <w:r w:rsidR="003124A0">
        <w:rPr>
          <w:rFonts w:ascii="Times New Roman" w:hAnsi="Times New Roman"/>
          <w:sz w:val="28"/>
          <w:szCs w:val="28"/>
        </w:rPr>
        <w:t xml:space="preserve">of this demand </w:t>
      </w:r>
      <w:r w:rsidR="00CA053B">
        <w:rPr>
          <w:rFonts w:ascii="Times New Roman" w:hAnsi="Times New Roman"/>
          <w:sz w:val="28"/>
          <w:szCs w:val="28"/>
        </w:rPr>
        <w:t>that the application was set down and argued</w:t>
      </w:r>
      <w:r w:rsidR="004606D6">
        <w:rPr>
          <w:rFonts w:ascii="Times New Roman" w:hAnsi="Times New Roman"/>
          <w:sz w:val="28"/>
          <w:szCs w:val="28"/>
        </w:rPr>
        <w:t xml:space="preserve"> on the statutory premise that the applicant </w:t>
      </w:r>
      <w:r w:rsidR="005A5722">
        <w:rPr>
          <w:rFonts w:ascii="Times New Roman" w:hAnsi="Times New Roman"/>
          <w:sz w:val="28"/>
          <w:szCs w:val="28"/>
        </w:rPr>
        <w:t xml:space="preserve">seeks </w:t>
      </w:r>
      <w:r w:rsidR="005A5722">
        <w:rPr>
          <w:rFonts w:ascii="Times New Roman" w:hAnsi="Times New Roman"/>
          <w:sz w:val="28"/>
          <w:szCs w:val="28"/>
        </w:rPr>
        <w:lastRenderedPageBreak/>
        <w:t>compliance with section 111(2)(a) of the Act.</w:t>
      </w:r>
      <w:r w:rsidR="00CA053B">
        <w:rPr>
          <w:rFonts w:ascii="Times New Roman" w:hAnsi="Times New Roman"/>
          <w:sz w:val="28"/>
          <w:szCs w:val="28"/>
        </w:rPr>
        <w:t xml:space="preserve"> </w:t>
      </w:r>
      <w:r w:rsidR="003124A0">
        <w:rPr>
          <w:rFonts w:ascii="Times New Roman" w:hAnsi="Times New Roman"/>
          <w:sz w:val="28"/>
          <w:szCs w:val="28"/>
        </w:rPr>
        <w:t xml:space="preserve">My sense is that the submission by respondent’s counsel that the matter has become moot is not without merit. </w:t>
      </w:r>
    </w:p>
    <w:p w:rsidR="00DF1582" w:rsidRPr="00F54315" w:rsidRDefault="00AB476A" w:rsidP="00AB476A">
      <w:pPr>
        <w:pStyle w:val="LegalList1"/>
        <w:spacing w:line="360" w:lineRule="auto"/>
        <w:ind w:left="851" w:hanging="851"/>
        <w:rPr>
          <w:rFonts w:ascii="Times New Roman" w:hAnsi="Times New Roman"/>
          <w:sz w:val="28"/>
          <w:szCs w:val="28"/>
        </w:rPr>
      </w:pPr>
      <w:r w:rsidRPr="00F54315">
        <w:rPr>
          <w:rFonts w:ascii="Times New Roman" w:hAnsi="Times New Roman"/>
          <w:sz w:val="28"/>
          <w:szCs w:val="28"/>
        </w:rPr>
        <w:t>[16]</w:t>
      </w:r>
      <w:r w:rsidRPr="00F54315">
        <w:rPr>
          <w:rFonts w:ascii="Times New Roman" w:hAnsi="Times New Roman"/>
          <w:sz w:val="28"/>
          <w:szCs w:val="28"/>
        </w:rPr>
        <w:tab/>
      </w:r>
      <w:r w:rsidR="00361C4E">
        <w:rPr>
          <w:rFonts w:ascii="Times New Roman" w:hAnsi="Times New Roman"/>
          <w:sz w:val="28"/>
          <w:szCs w:val="28"/>
        </w:rPr>
        <w:t>T</w:t>
      </w:r>
      <w:r w:rsidR="00B33597">
        <w:rPr>
          <w:rFonts w:ascii="Times New Roman" w:hAnsi="Times New Roman"/>
          <w:sz w:val="28"/>
          <w:szCs w:val="28"/>
        </w:rPr>
        <w:t xml:space="preserve">he </w:t>
      </w:r>
      <w:r w:rsidR="006050F2" w:rsidRPr="001539FD">
        <w:rPr>
          <w:rFonts w:ascii="Times New Roman" w:hAnsi="Times New Roman"/>
          <w:sz w:val="28"/>
          <w:szCs w:val="28"/>
        </w:rPr>
        <w:t>excerpt</w:t>
      </w:r>
      <w:r w:rsidR="00D85A09">
        <w:rPr>
          <w:rFonts w:ascii="Times New Roman" w:hAnsi="Times New Roman"/>
          <w:sz w:val="28"/>
          <w:szCs w:val="28"/>
        </w:rPr>
        <w:t>s are</w:t>
      </w:r>
      <w:r w:rsidR="00361C4E">
        <w:rPr>
          <w:rFonts w:ascii="Times New Roman" w:hAnsi="Times New Roman"/>
          <w:sz w:val="28"/>
          <w:szCs w:val="28"/>
        </w:rPr>
        <w:t xml:space="preserve"> quoted</w:t>
      </w:r>
      <w:r w:rsidR="001C52AF">
        <w:rPr>
          <w:rFonts w:ascii="Times New Roman" w:hAnsi="Times New Roman"/>
          <w:sz w:val="28"/>
          <w:szCs w:val="28"/>
        </w:rPr>
        <w:t xml:space="preserve"> above</w:t>
      </w:r>
      <w:r w:rsidR="00B33597">
        <w:rPr>
          <w:rFonts w:ascii="Times New Roman" w:hAnsi="Times New Roman"/>
          <w:sz w:val="28"/>
          <w:szCs w:val="28"/>
        </w:rPr>
        <w:t xml:space="preserve"> </w:t>
      </w:r>
      <w:r w:rsidR="006050F2" w:rsidRPr="001539FD">
        <w:rPr>
          <w:rFonts w:ascii="Times New Roman" w:hAnsi="Times New Roman"/>
          <w:sz w:val="28"/>
          <w:szCs w:val="28"/>
        </w:rPr>
        <w:t xml:space="preserve">to lay emphasis </w:t>
      </w:r>
      <w:r w:rsidR="00327C18" w:rsidRPr="001539FD">
        <w:rPr>
          <w:rFonts w:ascii="Times New Roman" w:hAnsi="Times New Roman"/>
          <w:sz w:val="28"/>
          <w:szCs w:val="28"/>
        </w:rPr>
        <w:t xml:space="preserve">on </w:t>
      </w:r>
      <w:r w:rsidR="00DF1582" w:rsidRPr="001539FD">
        <w:rPr>
          <w:rFonts w:ascii="Times New Roman" w:hAnsi="Times New Roman"/>
          <w:sz w:val="28"/>
          <w:szCs w:val="28"/>
        </w:rPr>
        <w:t xml:space="preserve">the </w:t>
      </w:r>
      <w:r w:rsidR="00B33597">
        <w:rPr>
          <w:rFonts w:ascii="Times New Roman" w:hAnsi="Times New Roman"/>
          <w:sz w:val="28"/>
          <w:szCs w:val="28"/>
        </w:rPr>
        <w:t xml:space="preserve">principle that </w:t>
      </w:r>
      <w:r w:rsidR="00DF1582" w:rsidRPr="001539FD">
        <w:rPr>
          <w:rFonts w:ascii="Times New Roman" w:hAnsi="Times New Roman"/>
          <w:sz w:val="28"/>
          <w:szCs w:val="28"/>
        </w:rPr>
        <w:t>in motion proceedings</w:t>
      </w:r>
      <w:r w:rsidR="00B33597">
        <w:rPr>
          <w:rFonts w:ascii="Times New Roman" w:hAnsi="Times New Roman"/>
          <w:sz w:val="28"/>
          <w:szCs w:val="28"/>
        </w:rPr>
        <w:t xml:space="preserve"> a</w:t>
      </w:r>
      <w:r w:rsidR="007C2623" w:rsidRPr="001539FD">
        <w:rPr>
          <w:rFonts w:ascii="Times New Roman" w:hAnsi="Times New Roman"/>
          <w:sz w:val="28"/>
          <w:szCs w:val="28"/>
        </w:rPr>
        <w:t>ffidavits constitute both the pleadings and the evidence and the issues and averments in support of the parties’ cases should appear clearly therefrom</w:t>
      </w:r>
      <w:r w:rsidR="007C2623">
        <w:rPr>
          <w:rStyle w:val="FootnoteReference"/>
          <w:rFonts w:ascii="Times New Roman" w:hAnsi="Times New Roman"/>
          <w:sz w:val="28"/>
          <w:szCs w:val="28"/>
        </w:rPr>
        <w:footnoteReference w:id="2"/>
      </w:r>
      <w:r w:rsidR="007C2623" w:rsidRPr="001539FD">
        <w:rPr>
          <w:rFonts w:ascii="Times New Roman" w:hAnsi="Times New Roman"/>
          <w:sz w:val="28"/>
          <w:szCs w:val="28"/>
        </w:rPr>
        <w:t>. I</w:t>
      </w:r>
      <w:r w:rsidR="005F6FE5">
        <w:rPr>
          <w:rFonts w:ascii="Times New Roman" w:hAnsi="Times New Roman"/>
          <w:sz w:val="28"/>
          <w:szCs w:val="28"/>
        </w:rPr>
        <w:t xml:space="preserve">n motion proceedings a court will look at the founding affidavit to </w:t>
      </w:r>
      <w:r w:rsidR="0084563C">
        <w:rPr>
          <w:rFonts w:ascii="Times New Roman" w:hAnsi="Times New Roman"/>
          <w:sz w:val="28"/>
          <w:szCs w:val="28"/>
        </w:rPr>
        <w:t>determine what the complaint is</w:t>
      </w:r>
      <w:r w:rsidR="006A2249">
        <w:rPr>
          <w:rFonts w:ascii="Times New Roman" w:hAnsi="Times New Roman"/>
          <w:sz w:val="28"/>
          <w:szCs w:val="28"/>
        </w:rPr>
        <w:t xml:space="preserve"> – and </w:t>
      </w:r>
      <w:r w:rsidR="0084563C">
        <w:rPr>
          <w:rFonts w:ascii="Times New Roman" w:hAnsi="Times New Roman"/>
          <w:sz w:val="28"/>
          <w:szCs w:val="28"/>
        </w:rPr>
        <w:t>as has been said in many cases an applicant must stand or fall by his founding affidavit</w:t>
      </w:r>
      <w:r w:rsidR="0084563C">
        <w:rPr>
          <w:rStyle w:val="FootnoteReference"/>
          <w:rFonts w:ascii="Times New Roman" w:hAnsi="Times New Roman"/>
          <w:sz w:val="28"/>
          <w:szCs w:val="28"/>
        </w:rPr>
        <w:footnoteReference w:id="3"/>
      </w:r>
      <w:r w:rsidR="006A2249">
        <w:rPr>
          <w:rFonts w:ascii="Times New Roman" w:hAnsi="Times New Roman"/>
          <w:sz w:val="28"/>
          <w:szCs w:val="28"/>
        </w:rPr>
        <w:t xml:space="preserve">. Put another way, </w:t>
      </w:r>
      <w:r w:rsidR="007C2623" w:rsidRPr="001539FD">
        <w:rPr>
          <w:rFonts w:ascii="Times New Roman" w:hAnsi="Times New Roman"/>
          <w:sz w:val="28"/>
          <w:szCs w:val="28"/>
        </w:rPr>
        <w:t>an applicant must make out</w:t>
      </w:r>
      <w:r w:rsidR="009171CD">
        <w:rPr>
          <w:rFonts w:ascii="Times New Roman" w:hAnsi="Times New Roman"/>
          <w:sz w:val="28"/>
          <w:szCs w:val="28"/>
        </w:rPr>
        <w:t xml:space="preserve"> his</w:t>
      </w:r>
      <w:r w:rsidR="007C2623" w:rsidRPr="001539FD">
        <w:rPr>
          <w:rFonts w:ascii="Times New Roman" w:hAnsi="Times New Roman"/>
          <w:sz w:val="28"/>
          <w:szCs w:val="28"/>
        </w:rPr>
        <w:t xml:space="preserve"> case in the founding affidavit </w:t>
      </w:r>
      <w:r w:rsidR="00980BB0">
        <w:rPr>
          <w:rFonts w:ascii="Times New Roman" w:hAnsi="Times New Roman"/>
          <w:sz w:val="28"/>
          <w:szCs w:val="28"/>
        </w:rPr>
        <w:t xml:space="preserve">– it </w:t>
      </w:r>
      <w:r w:rsidR="007C2623" w:rsidRPr="001539FD">
        <w:rPr>
          <w:rFonts w:ascii="Times New Roman" w:hAnsi="Times New Roman"/>
          <w:sz w:val="28"/>
          <w:szCs w:val="28"/>
        </w:rPr>
        <w:t>must contain sufficient facts in itself upon which a court may find in the applicant’s favour.</w:t>
      </w:r>
      <w:r w:rsidR="00F54315">
        <w:rPr>
          <w:rFonts w:ascii="Times New Roman" w:hAnsi="Times New Roman"/>
          <w:sz w:val="28"/>
          <w:szCs w:val="28"/>
        </w:rPr>
        <w:t xml:space="preserve"> The contemporary </w:t>
      </w:r>
      <w:r w:rsidR="00970948">
        <w:rPr>
          <w:rFonts w:ascii="Times New Roman" w:hAnsi="Times New Roman"/>
          <w:sz w:val="28"/>
          <w:szCs w:val="28"/>
        </w:rPr>
        <w:t xml:space="preserve">view </w:t>
      </w:r>
      <w:r w:rsidR="00F54315">
        <w:rPr>
          <w:rFonts w:ascii="Times New Roman" w:hAnsi="Times New Roman"/>
          <w:sz w:val="28"/>
          <w:szCs w:val="28"/>
        </w:rPr>
        <w:t xml:space="preserve">articulated by the </w:t>
      </w:r>
      <w:r w:rsidR="00DF1582" w:rsidRPr="00F54315">
        <w:rPr>
          <w:rFonts w:ascii="Times New Roman" w:hAnsi="Times New Roman"/>
          <w:sz w:val="28"/>
          <w:szCs w:val="28"/>
        </w:rPr>
        <w:t xml:space="preserve">Constitutional Court in </w:t>
      </w:r>
      <w:r w:rsidR="00DF1582" w:rsidRPr="00F54315">
        <w:rPr>
          <w:rFonts w:ascii="Times New Roman" w:hAnsi="Times New Roman"/>
          <w:i/>
          <w:sz w:val="28"/>
          <w:szCs w:val="28"/>
        </w:rPr>
        <w:t>South African Transport and Allied Workers Union and another v Garvas and others</w:t>
      </w:r>
      <w:r w:rsidR="00DF1582">
        <w:rPr>
          <w:rStyle w:val="FootnoteReference"/>
          <w:rFonts w:ascii="Times New Roman" w:hAnsi="Times New Roman"/>
          <w:sz w:val="28"/>
          <w:szCs w:val="28"/>
        </w:rPr>
        <w:footnoteReference w:id="4"/>
      </w:r>
      <w:r w:rsidR="00970948">
        <w:rPr>
          <w:rFonts w:ascii="Times New Roman" w:hAnsi="Times New Roman"/>
          <w:sz w:val="28"/>
          <w:szCs w:val="28"/>
        </w:rPr>
        <w:t xml:space="preserve"> </w:t>
      </w:r>
      <w:r w:rsidR="00F54315">
        <w:rPr>
          <w:rFonts w:ascii="Times New Roman" w:hAnsi="Times New Roman"/>
          <w:sz w:val="28"/>
          <w:szCs w:val="28"/>
        </w:rPr>
        <w:t xml:space="preserve"> </w:t>
      </w:r>
      <w:r w:rsidR="00970948">
        <w:rPr>
          <w:rFonts w:ascii="Times New Roman" w:hAnsi="Times New Roman"/>
          <w:sz w:val="28"/>
          <w:szCs w:val="28"/>
        </w:rPr>
        <w:t xml:space="preserve">is </w:t>
      </w:r>
      <w:r w:rsidR="009171CD">
        <w:rPr>
          <w:rFonts w:ascii="Times New Roman" w:hAnsi="Times New Roman"/>
          <w:sz w:val="28"/>
          <w:szCs w:val="28"/>
        </w:rPr>
        <w:t xml:space="preserve">that </w:t>
      </w:r>
      <w:r w:rsidR="003E5F88">
        <w:rPr>
          <w:rFonts w:ascii="Times New Roman" w:hAnsi="Times New Roman"/>
          <w:sz w:val="28"/>
          <w:szCs w:val="28"/>
        </w:rPr>
        <w:t xml:space="preserve">holding parties to their pleadings is not </w:t>
      </w:r>
      <w:r w:rsidR="00C3231E">
        <w:rPr>
          <w:rFonts w:ascii="Times New Roman" w:hAnsi="Times New Roman"/>
          <w:sz w:val="28"/>
          <w:szCs w:val="28"/>
        </w:rPr>
        <w:t xml:space="preserve">pedantry – it </w:t>
      </w:r>
      <w:r w:rsidR="009171CD">
        <w:rPr>
          <w:rFonts w:ascii="Times New Roman" w:hAnsi="Times New Roman"/>
          <w:sz w:val="28"/>
          <w:szCs w:val="28"/>
        </w:rPr>
        <w:t xml:space="preserve">promotes </w:t>
      </w:r>
      <w:r w:rsidR="00970948">
        <w:rPr>
          <w:rFonts w:ascii="Times New Roman" w:hAnsi="Times New Roman"/>
          <w:sz w:val="28"/>
          <w:szCs w:val="28"/>
        </w:rPr>
        <w:t>legal certainty so that an opposing party must know what case it is required to meet</w:t>
      </w:r>
      <w:r w:rsidR="00C3231E">
        <w:rPr>
          <w:rFonts w:ascii="Times New Roman" w:hAnsi="Times New Roman"/>
          <w:sz w:val="28"/>
          <w:szCs w:val="28"/>
        </w:rPr>
        <w:t>.</w:t>
      </w:r>
    </w:p>
    <w:p w:rsidR="00657314"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1004F4">
        <w:rPr>
          <w:rFonts w:ascii="Times New Roman" w:hAnsi="Times New Roman"/>
          <w:sz w:val="28"/>
          <w:szCs w:val="28"/>
        </w:rPr>
        <w:t>On the facts</w:t>
      </w:r>
      <w:r w:rsidR="0088753E">
        <w:rPr>
          <w:rFonts w:ascii="Times New Roman" w:hAnsi="Times New Roman"/>
          <w:sz w:val="28"/>
          <w:szCs w:val="28"/>
        </w:rPr>
        <w:t xml:space="preserve">, the applicant’s case is that his card was swallowed </w:t>
      </w:r>
      <w:r w:rsidR="0026255F">
        <w:rPr>
          <w:rFonts w:ascii="Times New Roman" w:hAnsi="Times New Roman"/>
          <w:sz w:val="28"/>
          <w:szCs w:val="28"/>
        </w:rPr>
        <w:t xml:space="preserve">at about 19h50 </w:t>
      </w:r>
      <w:r w:rsidR="0088753E">
        <w:rPr>
          <w:rFonts w:ascii="Times New Roman" w:hAnsi="Times New Roman"/>
          <w:sz w:val="28"/>
          <w:szCs w:val="28"/>
        </w:rPr>
        <w:t>and the transactions occurred while he was in the process of contacting the call centre.</w:t>
      </w:r>
      <w:r w:rsidR="0026255F">
        <w:rPr>
          <w:rFonts w:ascii="Times New Roman" w:hAnsi="Times New Roman"/>
          <w:sz w:val="28"/>
          <w:szCs w:val="28"/>
        </w:rPr>
        <w:t xml:space="preserve"> On the version of the respondent </w:t>
      </w:r>
      <w:r w:rsidR="003C09B8">
        <w:rPr>
          <w:rFonts w:ascii="Times New Roman" w:hAnsi="Times New Roman"/>
          <w:sz w:val="28"/>
          <w:szCs w:val="28"/>
        </w:rPr>
        <w:t xml:space="preserve">the transactions occurred </w:t>
      </w:r>
      <w:r w:rsidR="00D02C27">
        <w:rPr>
          <w:rFonts w:ascii="Times New Roman" w:hAnsi="Times New Roman"/>
          <w:sz w:val="28"/>
          <w:szCs w:val="28"/>
        </w:rPr>
        <w:t xml:space="preserve">at 19h02 and 19h09 </w:t>
      </w:r>
      <w:r w:rsidR="001C52AF">
        <w:rPr>
          <w:rFonts w:ascii="Times New Roman" w:hAnsi="Times New Roman"/>
          <w:sz w:val="28"/>
          <w:szCs w:val="28"/>
        </w:rPr>
        <w:t xml:space="preserve">and the </w:t>
      </w:r>
      <w:r w:rsidR="0079165F">
        <w:rPr>
          <w:rFonts w:ascii="Times New Roman" w:hAnsi="Times New Roman"/>
          <w:sz w:val="28"/>
          <w:szCs w:val="28"/>
        </w:rPr>
        <w:t xml:space="preserve">applicant’s ATM card </w:t>
      </w:r>
      <w:r w:rsidR="0050334B">
        <w:rPr>
          <w:rFonts w:ascii="Times New Roman" w:hAnsi="Times New Roman"/>
          <w:sz w:val="28"/>
          <w:szCs w:val="28"/>
        </w:rPr>
        <w:t xml:space="preserve">was </w:t>
      </w:r>
      <w:r w:rsidR="001C52AF">
        <w:rPr>
          <w:rFonts w:ascii="Times New Roman" w:hAnsi="Times New Roman"/>
          <w:sz w:val="28"/>
          <w:szCs w:val="28"/>
        </w:rPr>
        <w:t xml:space="preserve">stopped or cancelled at </w:t>
      </w:r>
      <w:r w:rsidR="0079165F">
        <w:rPr>
          <w:rFonts w:ascii="Times New Roman" w:hAnsi="Times New Roman"/>
          <w:sz w:val="28"/>
          <w:szCs w:val="28"/>
        </w:rPr>
        <w:t xml:space="preserve">19h26 – all of which occurred </w:t>
      </w:r>
      <w:r w:rsidR="00D02C27">
        <w:rPr>
          <w:rFonts w:ascii="Times New Roman" w:hAnsi="Times New Roman"/>
          <w:sz w:val="28"/>
          <w:szCs w:val="28"/>
        </w:rPr>
        <w:t xml:space="preserve">before </w:t>
      </w:r>
      <w:r w:rsidR="0079165F">
        <w:rPr>
          <w:rFonts w:ascii="Times New Roman" w:hAnsi="Times New Roman"/>
          <w:sz w:val="28"/>
          <w:szCs w:val="28"/>
        </w:rPr>
        <w:t xml:space="preserve">the </w:t>
      </w:r>
      <w:r w:rsidR="003C09B8">
        <w:rPr>
          <w:rFonts w:ascii="Times New Roman" w:hAnsi="Times New Roman"/>
          <w:sz w:val="28"/>
          <w:szCs w:val="28"/>
        </w:rPr>
        <w:t>card was swallowed</w:t>
      </w:r>
      <w:r w:rsidR="0029740E">
        <w:rPr>
          <w:rFonts w:ascii="Times New Roman" w:hAnsi="Times New Roman"/>
          <w:sz w:val="28"/>
          <w:szCs w:val="28"/>
        </w:rPr>
        <w:t xml:space="preserve"> </w:t>
      </w:r>
      <w:r w:rsidR="00530DFD">
        <w:rPr>
          <w:rFonts w:ascii="Times New Roman" w:hAnsi="Times New Roman"/>
          <w:sz w:val="28"/>
          <w:szCs w:val="28"/>
        </w:rPr>
        <w:t xml:space="preserve">and before </w:t>
      </w:r>
      <w:r w:rsidR="0029740E">
        <w:rPr>
          <w:rFonts w:ascii="Times New Roman" w:hAnsi="Times New Roman"/>
          <w:sz w:val="28"/>
          <w:szCs w:val="28"/>
        </w:rPr>
        <w:t xml:space="preserve">he </w:t>
      </w:r>
      <w:r w:rsidR="00530DFD">
        <w:rPr>
          <w:rFonts w:ascii="Times New Roman" w:hAnsi="Times New Roman"/>
          <w:sz w:val="28"/>
          <w:szCs w:val="28"/>
        </w:rPr>
        <w:t xml:space="preserve">attempted to report the issue. </w:t>
      </w:r>
      <w:r w:rsidR="00BC260C" w:rsidRPr="00172555">
        <w:rPr>
          <w:rFonts w:ascii="Times New Roman" w:hAnsi="Times New Roman"/>
          <w:sz w:val="28"/>
          <w:szCs w:val="28"/>
        </w:rPr>
        <w:t xml:space="preserve">A feature of the </w:t>
      </w:r>
      <w:r w:rsidR="00BC260C">
        <w:rPr>
          <w:rFonts w:ascii="Times New Roman" w:hAnsi="Times New Roman"/>
          <w:sz w:val="28"/>
          <w:szCs w:val="28"/>
        </w:rPr>
        <w:t xml:space="preserve">applicant’s reply </w:t>
      </w:r>
      <w:r w:rsidR="00BC260C" w:rsidRPr="00172555">
        <w:rPr>
          <w:rFonts w:ascii="Times New Roman" w:hAnsi="Times New Roman"/>
          <w:sz w:val="28"/>
          <w:szCs w:val="28"/>
        </w:rPr>
        <w:t>is that he</w:t>
      </w:r>
      <w:r w:rsidR="00BC260C">
        <w:rPr>
          <w:rFonts w:ascii="Times New Roman" w:hAnsi="Times New Roman"/>
          <w:sz w:val="28"/>
          <w:szCs w:val="28"/>
        </w:rPr>
        <w:t xml:space="preserve"> </w:t>
      </w:r>
      <w:r w:rsidR="008D0BE9">
        <w:rPr>
          <w:rFonts w:ascii="Times New Roman" w:hAnsi="Times New Roman"/>
          <w:sz w:val="28"/>
          <w:szCs w:val="28"/>
        </w:rPr>
        <w:t xml:space="preserve">does not deny that he was the victim of a card scam irrespective of whether his bank card was swopped or cloned. In addition, he expressly </w:t>
      </w:r>
      <w:r w:rsidR="00F03EAC">
        <w:rPr>
          <w:rFonts w:ascii="Times New Roman" w:hAnsi="Times New Roman"/>
          <w:sz w:val="28"/>
          <w:szCs w:val="28"/>
        </w:rPr>
        <w:t xml:space="preserve">affirms what is stated in his founding affidavit </w:t>
      </w:r>
      <w:r w:rsidR="00F03EAC">
        <w:rPr>
          <w:rFonts w:ascii="Times New Roman" w:hAnsi="Times New Roman"/>
          <w:sz w:val="28"/>
          <w:szCs w:val="28"/>
        </w:rPr>
        <w:lastRenderedPageBreak/>
        <w:t>regarding the time of occurrence</w:t>
      </w:r>
      <w:r w:rsidR="00BC260C">
        <w:rPr>
          <w:rFonts w:ascii="Times New Roman" w:hAnsi="Times New Roman"/>
          <w:sz w:val="28"/>
          <w:szCs w:val="28"/>
        </w:rPr>
        <w:t xml:space="preserve"> and sequence of events</w:t>
      </w:r>
      <w:r w:rsidR="00D27119">
        <w:rPr>
          <w:rFonts w:ascii="Times New Roman" w:hAnsi="Times New Roman"/>
          <w:sz w:val="28"/>
          <w:szCs w:val="28"/>
        </w:rPr>
        <w:t>, presumably</w:t>
      </w:r>
      <w:r w:rsidR="00F03EAC" w:rsidRPr="00172555">
        <w:rPr>
          <w:rFonts w:ascii="Times New Roman" w:hAnsi="Times New Roman"/>
          <w:sz w:val="28"/>
          <w:szCs w:val="28"/>
        </w:rPr>
        <w:t xml:space="preserve"> intended to illustrate </w:t>
      </w:r>
      <w:r w:rsidR="00D27119">
        <w:rPr>
          <w:rFonts w:ascii="Times New Roman" w:hAnsi="Times New Roman"/>
          <w:sz w:val="28"/>
          <w:szCs w:val="28"/>
        </w:rPr>
        <w:t xml:space="preserve">the improbability of </w:t>
      </w:r>
      <w:r w:rsidR="00F03EAC" w:rsidRPr="00172555">
        <w:rPr>
          <w:rFonts w:ascii="Times New Roman" w:hAnsi="Times New Roman"/>
          <w:sz w:val="28"/>
          <w:szCs w:val="28"/>
        </w:rPr>
        <w:t xml:space="preserve">the </w:t>
      </w:r>
      <w:r w:rsidR="00BC260C">
        <w:rPr>
          <w:rFonts w:ascii="Times New Roman" w:hAnsi="Times New Roman"/>
          <w:sz w:val="28"/>
          <w:szCs w:val="28"/>
        </w:rPr>
        <w:t>respondent’s version</w:t>
      </w:r>
      <w:r w:rsidR="00F03EAC" w:rsidRPr="00172555">
        <w:rPr>
          <w:rFonts w:ascii="Times New Roman" w:hAnsi="Times New Roman"/>
          <w:sz w:val="28"/>
          <w:szCs w:val="28"/>
        </w:rPr>
        <w:t>.</w:t>
      </w:r>
    </w:p>
    <w:p w:rsidR="007D7BDD"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79165F" w:rsidRPr="007D7BDD">
        <w:rPr>
          <w:rFonts w:ascii="Times New Roman" w:hAnsi="Times New Roman"/>
          <w:sz w:val="28"/>
          <w:szCs w:val="28"/>
        </w:rPr>
        <w:t>On the material before this court, t</w:t>
      </w:r>
      <w:r w:rsidR="00530DFD" w:rsidRPr="007D7BDD">
        <w:rPr>
          <w:rFonts w:ascii="Times New Roman" w:hAnsi="Times New Roman"/>
          <w:sz w:val="28"/>
          <w:szCs w:val="28"/>
        </w:rPr>
        <w:t>h</w:t>
      </w:r>
      <w:r w:rsidR="00657314" w:rsidRPr="007D7BDD">
        <w:rPr>
          <w:rFonts w:ascii="Times New Roman" w:hAnsi="Times New Roman"/>
          <w:sz w:val="28"/>
          <w:szCs w:val="28"/>
        </w:rPr>
        <w:t xml:space="preserve">e applicant is </w:t>
      </w:r>
      <w:r w:rsidR="00530DFD" w:rsidRPr="007D7BDD">
        <w:rPr>
          <w:rFonts w:ascii="Times New Roman" w:hAnsi="Times New Roman"/>
          <w:sz w:val="28"/>
          <w:szCs w:val="28"/>
        </w:rPr>
        <w:t>bound by what is s</w:t>
      </w:r>
      <w:r w:rsidR="007D7BDD" w:rsidRPr="007D7BDD">
        <w:rPr>
          <w:rFonts w:ascii="Times New Roman" w:hAnsi="Times New Roman"/>
          <w:sz w:val="28"/>
          <w:szCs w:val="28"/>
        </w:rPr>
        <w:t xml:space="preserve">tated in his founding affidavit and there is </w:t>
      </w:r>
      <w:r w:rsidR="0045521D" w:rsidRPr="007D7BDD">
        <w:rPr>
          <w:rFonts w:ascii="Times New Roman" w:hAnsi="Times New Roman"/>
          <w:sz w:val="28"/>
          <w:szCs w:val="28"/>
        </w:rPr>
        <w:t>clearly a dispute of fact between the parties’ respective versions.</w:t>
      </w:r>
    </w:p>
    <w:p w:rsidR="00F03EAC" w:rsidRPr="007D7BDD" w:rsidRDefault="00AB476A" w:rsidP="00AB476A">
      <w:pPr>
        <w:pStyle w:val="LegalList1"/>
        <w:spacing w:line="360" w:lineRule="auto"/>
        <w:ind w:left="851" w:hanging="851"/>
        <w:rPr>
          <w:rFonts w:ascii="Times New Roman" w:hAnsi="Times New Roman"/>
          <w:sz w:val="28"/>
          <w:szCs w:val="28"/>
        </w:rPr>
      </w:pPr>
      <w:r w:rsidRPr="007D7BDD">
        <w:rPr>
          <w:rFonts w:ascii="Times New Roman" w:hAnsi="Times New Roman"/>
          <w:sz w:val="28"/>
          <w:szCs w:val="28"/>
        </w:rPr>
        <w:t>[19]</w:t>
      </w:r>
      <w:r w:rsidRPr="007D7BDD">
        <w:rPr>
          <w:rFonts w:ascii="Times New Roman" w:hAnsi="Times New Roman"/>
          <w:sz w:val="28"/>
          <w:szCs w:val="28"/>
        </w:rPr>
        <w:tab/>
      </w:r>
      <w:r w:rsidR="00F03EAC" w:rsidRPr="007D7BDD">
        <w:rPr>
          <w:rFonts w:ascii="Times New Roman" w:hAnsi="Times New Roman"/>
          <w:sz w:val="28"/>
          <w:szCs w:val="28"/>
        </w:rPr>
        <w:t>Tritely, motion proceedings are not designed to determine disputes of fact upon the basis of probabilities.</w:t>
      </w:r>
      <w:r w:rsidR="00F03EAC" w:rsidRPr="00172555">
        <w:rPr>
          <w:rStyle w:val="FootnoteReference"/>
          <w:rFonts w:ascii="Times New Roman" w:hAnsi="Times New Roman"/>
          <w:sz w:val="28"/>
          <w:szCs w:val="28"/>
        </w:rPr>
        <w:footnoteReference w:id="5"/>
      </w:r>
      <w:r w:rsidR="00F03EAC" w:rsidRPr="007D7BDD">
        <w:rPr>
          <w:rFonts w:ascii="Times New Roman" w:hAnsi="Times New Roman"/>
          <w:sz w:val="28"/>
          <w:szCs w:val="28"/>
        </w:rPr>
        <w:t xml:space="preserve"> Central to the character of motion proceedings is that the evidence is placed before the court in the form of affidavits containing factual allegations made under oath. The factual allegations cannot be evaluated in any manner other than in accordance with the </w:t>
      </w:r>
      <w:r w:rsidR="00F03EAC" w:rsidRPr="007D7BDD">
        <w:rPr>
          <w:rFonts w:ascii="Times New Roman" w:hAnsi="Times New Roman"/>
          <w:i/>
          <w:sz w:val="28"/>
          <w:szCs w:val="28"/>
        </w:rPr>
        <w:t>Plascon-Evans</w:t>
      </w:r>
      <w:r w:rsidR="00CF7FD7">
        <w:rPr>
          <w:rStyle w:val="FootnoteReference"/>
          <w:rFonts w:ascii="Times New Roman" w:hAnsi="Times New Roman"/>
          <w:sz w:val="28"/>
          <w:szCs w:val="28"/>
        </w:rPr>
        <w:footnoteReference w:id="6"/>
      </w:r>
      <w:r w:rsidR="00F03EAC" w:rsidRPr="007D7BDD">
        <w:rPr>
          <w:rFonts w:ascii="Times New Roman" w:hAnsi="Times New Roman"/>
          <w:sz w:val="28"/>
          <w:szCs w:val="28"/>
        </w:rPr>
        <w:t xml:space="preserve"> rule unless the matter is referred for the hearing of oral evidence. The affidavits are not devices for communicating submissions on the improbability that factual averments contained in the affidavits deposed to by an opponent are incorrect or untrue.</w:t>
      </w:r>
      <w:r w:rsidR="00F03EAC" w:rsidRPr="00172555">
        <w:rPr>
          <w:rStyle w:val="FootnoteReference"/>
          <w:rFonts w:ascii="Times New Roman" w:hAnsi="Times New Roman"/>
          <w:sz w:val="28"/>
          <w:szCs w:val="28"/>
        </w:rPr>
        <w:footnoteReference w:id="7"/>
      </w:r>
    </w:p>
    <w:p w:rsidR="000F49CF"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0F49CF">
        <w:rPr>
          <w:rFonts w:ascii="Times New Roman" w:hAnsi="Times New Roman"/>
          <w:sz w:val="28"/>
          <w:szCs w:val="28"/>
        </w:rPr>
        <w:t xml:space="preserve">In </w:t>
      </w:r>
      <w:r w:rsidR="00761CE9">
        <w:rPr>
          <w:rFonts w:ascii="Times New Roman" w:hAnsi="Times New Roman"/>
          <w:sz w:val="28"/>
          <w:szCs w:val="28"/>
        </w:rPr>
        <w:t xml:space="preserve">adopting </w:t>
      </w:r>
      <w:r w:rsidR="000F49CF">
        <w:rPr>
          <w:rFonts w:ascii="Times New Roman" w:hAnsi="Times New Roman"/>
          <w:sz w:val="28"/>
          <w:szCs w:val="28"/>
        </w:rPr>
        <w:t xml:space="preserve">the </w:t>
      </w:r>
      <w:r w:rsidR="00761CE9">
        <w:rPr>
          <w:rFonts w:ascii="Times New Roman" w:hAnsi="Times New Roman"/>
          <w:sz w:val="28"/>
          <w:szCs w:val="28"/>
        </w:rPr>
        <w:t xml:space="preserve">approach in </w:t>
      </w:r>
      <w:r w:rsidR="000F49CF" w:rsidRPr="00761CE9">
        <w:rPr>
          <w:rFonts w:ascii="Times New Roman" w:hAnsi="Times New Roman"/>
          <w:i/>
          <w:sz w:val="28"/>
          <w:szCs w:val="28"/>
        </w:rPr>
        <w:t>Plascon-Evans</w:t>
      </w:r>
      <w:r w:rsidR="000F49CF">
        <w:rPr>
          <w:rFonts w:ascii="Times New Roman" w:hAnsi="Times New Roman"/>
          <w:sz w:val="28"/>
          <w:szCs w:val="28"/>
        </w:rPr>
        <w:t>, the version of the respondent that the disputed transactions took place before the card was reported should be accepted.</w:t>
      </w:r>
    </w:p>
    <w:p w:rsidR="004D0D14" w:rsidRPr="00172555" w:rsidRDefault="00AB476A" w:rsidP="00AB476A">
      <w:pPr>
        <w:pStyle w:val="LegalList1"/>
        <w:spacing w:line="360" w:lineRule="auto"/>
        <w:ind w:left="851" w:hanging="851"/>
        <w:rPr>
          <w:rFonts w:ascii="Times New Roman" w:hAnsi="Times New Roman"/>
          <w:sz w:val="28"/>
          <w:szCs w:val="28"/>
        </w:rPr>
      </w:pPr>
      <w:r w:rsidRPr="00172555">
        <w:rPr>
          <w:rFonts w:ascii="Times New Roman" w:hAnsi="Times New Roman"/>
          <w:sz w:val="28"/>
          <w:szCs w:val="28"/>
        </w:rPr>
        <w:t>[21]</w:t>
      </w:r>
      <w:r w:rsidRPr="00172555">
        <w:rPr>
          <w:rFonts w:ascii="Times New Roman" w:hAnsi="Times New Roman"/>
          <w:sz w:val="28"/>
          <w:szCs w:val="28"/>
        </w:rPr>
        <w:tab/>
      </w:r>
      <w:r w:rsidR="004D0D14">
        <w:rPr>
          <w:rFonts w:ascii="Times New Roman" w:hAnsi="Times New Roman"/>
          <w:sz w:val="28"/>
          <w:szCs w:val="28"/>
        </w:rPr>
        <w:t>That approach is dispositive of the merits of the matter.</w:t>
      </w:r>
    </w:p>
    <w:p w:rsidR="00B27EF5"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7D7BDD">
        <w:rPr>
          <w:rFonts w:ascii="Times New Roman" w:hAnsi="Times New Roman"/>
          <w:sz w:val="28"/>
          <w:szCs w:val="28"/>
        </w:rPr>
        <w:t xml:space="preserve">A further aspect of the matter raised </w:t>
      </w:r>
      <w:r w:rsidR="007D7BDD" w:rsidRPr="005C2EC3">
        <w:rPr>
          <w:rFonts w:ascii="Times New Roman" w:hAnsi="Times New Roman"/>
          <w:i/>
          <w:sz w:val="28"/>
          <w:szCs w:val="28"/>
        </w:rPr>
        <w:t>in limine</w:t>
      </w:r>
      <w:r w:rsidR="007D7BDD">
        <w:rPr>
          <w:rFonts w:ascii="Times New Roman" w:hAnsi="Times New Roman"/>
          <w:sz w:val="28"/>
          <w:szCs w:val="28"/>
        </w:rPr>
        <w:t xml:space="preserve"> by the respondent</w:t>
      </w:r>
      <w:r w:rsidR="000508A0">
        <w:rPr>
          <w:rFonts w:ascii="Times New Roman" w:hAnsi="Times New Roman"/>
          <w:sz w:val="28"/>
          <w:szCs w:val="28"/>
        </w:rPr>
        <w:t xml:space="preserve"> is </w:t>
      </w:r>
      <w:r w:rsidR="002227B8">
        <w:rPr>
          <w:rFonts w:ascii="Times New Roman" w:hAnsi="Times New Roman"/>
          <w:sz w:val="28"/>
          <w:szCs w:val="28"/>
        </w:rPr>
        <w:t xml:space="preserve">that </w:t>
      </w:r>
      <w:r w:rsidR="000508A0">
        <w:rPr>
          <w:rFonts w:ascii="Times New Roman" w:hAnsi="Times New Roman"/>
          <w:sz w:val="28"/>
          <w:szCs w:val="28"/>
        </w:rPr>
        <w:t xml:space="preserve">this court has </w:t>
      </w:r>
      <w:r w:rsidR="002227B8">
        <w:rPr>
          <w:rFonts w:ascii="Times New Roman" w:hAnsi="Times New Roman"/>
          <w:sz w:val="28"/>
          <w:szCs w:val="28"/>
        </w:rPr>
        <w:t xml:space="preserve">no </w:t>
      </w:r>
      <w:r w:rsidR="000508A0">
        <w:rPr>
          <w:rFonts w:ascii="Times New Roman" w:hAnsi="Times New Roman"/>
          <w:sz w:val="28"/>
          <w:szCs w:val="28"/>
        </w:rPr>
        <w:t>jurisdiction to deal with the matter as a forum of first instance.</w:t>
      </w:r>
    </w:p>
    <w:p w:rsidR="00B27EF5"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[23]</w:t>
      </w:r>
      <w:r>
        <w:rPr>
          <w:rFonts w:ascii="Times New Roman" w:hAnsi="Times New Roman"/>
          <w:sz w:val="28"/>
          <w:szCs w:val="28"/>
        </w:rPr>
        <w:tab/>
      </w:r>
      <w:r w:rsidR="000508A0">
        <w:rPr>
          <w:rFonts w:ascii="Times New Roman" w:hAnsi="Times New Roman"/>
          <w:sz w:val="28"/>
          <w:szCs w:val="28"/>
        </w:rPr>
        <w:t>Section 115</w:t>
      </w:r>
      <w:r w:rsidR="005C2EC3">
        <w:rPr>
          <w:rFonts w:ascii="Times New Roman" w:hAnsi="Times New Roman"/>
          <w:sz w:val="28"/>
          <w:szCs w:val="28"/>
        </w:rPr>
        <w:t xml:space="preserve"> of the </w:t>
      </w:r>
      <w:r w:rsidR="00B419F9">
        <w:rPr>
          <w:rFonts w:ascii="Times New Roman" w:hAnsi="Times New Roman"/>
          <w:sz w:val="28"/>
          <w:szCs w:val="28"/>
        </w:rPr>
        <w:t>A</w:t>
      </w:r>
      <w:r w:rsidR="00895970">
        <w:rPr>
          <w:rFonts w:ascii="Times New Roman" w:hAnsi="Times New Roman"/>
          <w:sz w:val="28"/>
          <w:szCs w:val="28"/>
        </w:rPr>
        <w:t>ct</w:t>
      </w:r>
      <w:r w:rsidR="006A26DD">
        <w:rPr>
          <w:rFonts w:ascii="Times New Roman" w:hAnsi="Times New Roman"/>
          <w:sz w:val="28"/>
          <w:szCs w:val="28"/>
        </w:rPr>
        <w:t xml:space="preserve"> deals with disputes concerning statements. In terms of the section a consumer who has unsuccessfully attempted to resolve a disputed entry directly with the credit provider in terms of section 111, and through alternative dispute resolution, may apply to the Tribunal to resolve –</w:t>
      </w:r>
    </w:p>
    <w:p w:rsidR="006A26DD" w:rsidRDefault="006A26DD" w:rsidP="00BA5BA5">
      <w:pPr>
        <w:pStyle w:val="LegalList1"/>
        <w:spacing w:line="360" w:lineRule="auto"/>
        <w:ind w:left="851"/>
        <w:rPr>
          <w:rFonts w:ascii="Times New Roman" w:hAnsi="Times New Roman"/>
          <w:sz w:val="28"/>
          <w:szCs w:val="28"/>
        </w:rPr>
      </w:pPr>
      <w:r>
        <w:rPr>
          <w:rFonts w:ascii="Times New Roman" w:hAnsi="Times New Roman"/>
          <w:sz w:val="28"/>
          <w:szCs w:val="28"/>
        </w:rPr>
        <w:t>(a)</w:t>
      </w:r>
      <w:r w:rsidR="00BA5BA5">
        <w:rPr>
          <w:rFonts w:ascii="Times New Roman" w:hAnsi="Times New Roman"/>
          <w:sz w:val="28"/>
          <w:szCs w:val="28"/>
        </w:rPr>
        <w:tab/>
      </w:r>
      <w:r>
        <w:rPr>
          <w:rFonts w:ascii="Times New Roman" w:hAnsi="Times New Roman"/>
          <w:sz w:val="28"/>
          <w:szCs w:val="28"/>
        </w:rPr>
        <w:t>a disputed entry shown on a statement of account</w:t>
      </w:r>
      <w:r w:rsidR="00AD0980">
        <w:rPr>
          <w:rFonts w:ascii="Times New Roman" w:hAnsi="Times New Roman"/>
          <w:sz w:val="28"/>
          <w:szCs w:val="28"/>
        </w:rPr>
        <w:t>; or</w:t>
      </w:r>
    </w:p>
    <w:p w:rsidR="00AD0980" w:rsidRDefault="00AD0980" w:rsidP="00BA5BA5">
      <w:pPr>
        <w:pStyle w:val="LegalList1"/>
        <w:spacing w:line="360" w:lineRule="auto"/>
        <w:ind w:left="851"/>
        <w:rPr>
          <w:rFonts w:ascii="Times New Roman" w:hAnsi="Times New Roman"/>
          <w:sz w:val="28"/>
          <w:szCs w:val="28"/>
        </w:rPr>
      </w:pPr>
      <w:r>
        <w:rPr>
          <w:rFonts w:ascii="Times New Roman" w:hAnsi="Times New Roman"/>
          <w:sz w:val="28"/>
          <w:szCs w:val="28"/>
        </w:rPr>
        <w:t>(b)</w:t>
      </w:r>
      <w:r w:rsidR="00BA5BA5">
        <w:rPr>
          <w:rFonts w:ascii="Times New Roman" w:hAnsi="Times New Roman"/>
          <w:sz w:val="28"/>
          <w:szCs w:val="28"/>
        </w:rPr>
        <w:tab/>
      </w:r>
      <w:r>
        <w:rPr>
          <w:rFonts w:ascii="Times New Roman" w:hAnsi="Times New Roman"/>
          <w:sz w:val="28"/>
          <w:szCs w:val="28"/>
        </w:rPr>
        <w:t>a dispute concerning a statement of the settlement amount.</w:t>
      </w:r>
    </w:p>
    <w:p w:rsidR="00AD0980"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E002AC">
        <w:rPr>
          <w:rFonts w:ascii="Times New Roman" w:hAnsi="Times New Roman"/>
          <w:sz w:val="28"/>
          <w:szCs w:val="28"/>
        </w:rPr>
        <w:t xml:space="preserve">In respect of </w:t>
      </w:r>
      <w:r w:rsidR="00AB0AB5">
        <w:rPr>
          <w:rFonts w:ascii="Times New Roman" w:hAnsi="Times New Roman"/>
          <w:sz w:val="28"/>
          <w:szCs w:val="28"/>
        </w:rPr>
        <w:t xml:space="preserve">any dispute between a credit provider and </w:t>
      </w:r>
      <w:r w:rsidR="006C482C">
        <w:rPr>
          <w:rFonts w:ascii="Times New Roman" w:hAnsi="Times New Roman"/>
          <w:sz w:val="28"/>
          <w:szCs w:val="28"/>
        </w:rPr>
        <w:t xml:space="preserve">a </w:t>
      </w:r>
      <w:r w:rsidR="00AB0AB5">
        <w:rPr>
          <w:rFonts w:ascii="Times New Roman" w:hAnsi="Times New Roman"/>
          <w:sz w:val="28"/>
          <w:szCs w:val="28"/>
        </w:rPr>
        <w:t>consumer</w:t>
      </w:r>
      <w:r w:rsidR="00E002AC">
        <w:rPr>
          <w:rFonts w:ascii="Times New Roman" w:hAnsi="Times New Roman"/>
          <w:sz w:val="28"/>
          <w:szCs w:val="28"/>
        </w:rPr>
        <w:t xml:space="preserve">, </w:t>
      </w:r>
      <w:r w:rsidR="006C482C">
        <w:rPr>
          <w:rFonts w:ascii="Times New Roman" w:hAnsi="Times New Roman"/>
          <w:sz w:val="28"/>
          <w:szCs w:val="28"/>
        </w:rPr>
        <w:t xml:space="preserve">the </w:t>
      </w:r>
      <w:r w:rsidR="00E002AC">
        <w:rPr>
          <w:rFonts w:ascii="Times New Roman" w:hAnsi="Times New Roman"/>
          <w:sz w:val="28"/>
          <w:szCs w:val="28"/>
        </w:rPr>
        <w:t xml:space="preserve">parties are enjoined by </w:t>
      </w:r>
      <w:r w:rsidR="00AB0AB5">
        <w:rPr>
          <w:rFonts w:ascii="Times New Roman" w:hAnsi="Times New Roman"/>
          <w:sz w:val="28"/>
          <w:szCs w:val="28"/>
        </w:rPr>
        <w:t xml:space="preserve"> </w:t>
      </w:r>
      <w:r w:rsidR="00060750">
        <w:rPr>
          <w:rFonts w:ascii="Times New Roman" w:hAnsi="Times New Roman"/>
          <w:sz w:val="28"/>
          <w:szCs w:val="28"/>
        </w:rPr>
        <w:t xml:space="preserve">Section 134(4) of the Act – before either one of them </w:t>
      </w:r>
      <w:r w:rsidR="00436ED5">
        <w:rPr>
          <w:rFonts w:ascii="Times New Roman" w:hAnsi="Times New Roman"/>
          <w:sz w:val="28"/>
          <w:szCs w:val="28"/>
        </w:rPr>
        <w:t>‘</w:t>
      </w:r>
      <w:r w:rsidR="00060750">
        <w:rPr>
          <w:rFonts w:ascii="Times New Roman" w:hAnsi="Times New Roman"/>
          <w:sz w:val="28"/>
          <w:szCs w:val="28"/>
        </w:rPr>
        <w:t>may apply directly to the Tribunal</w:t>
      </w:r>
      <w:r w:rsidR="006C482C">
        <w:rPr>
          <w:rStyle w:val="FootnoteReference"/>
          <w:rFonts w:ascii="Times New Roman" w:hAnsi="Times New Roman"/>
          <w:sz w:val="28"/>
          <w:szCs w:val="28"/>
        </w:rPr>
        <w:footnoteReference w:id="8"/>
      </w:r>
      <w:r w:rsidR="00436ED5">
        <w:rPr>
          <w:rFonts w:ascii="Times New Roman" w:hAnsi="Times New Roman"/>
          <w:sz w:val="28"/>
          <w:szCs w:val="28"/>
        </w:rPr>
        <w:t>’</w:t>
      </w:r>
      <w:r w:rsidR="00793FBB">
        <w:rPr>
          <w:rFonts w:ascii="Times New Roman" w:hAnsi="Times New Roman"/>
          <w:sz w:val="28"/>
          <w:szCs w:val="28"/>
        </w:rPr>
        <w:t>:</w:t>
      </w:r>
    </w:p>
    <w:p w:rsidR="00793FBB" w:rsidRDefault="00BA5BA5" w:rsidP="00BA5BA5">
      <w:pPr>
        <w:pStyle w:val="LegalList1"/>
        <w:spacing w:line="360" w:lineRule="auto"/>
        <w:ind w:left="131" w:firstLine="720"/>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793FBB">
        <w:rPr>
          <w:rFonts w:ascii="Times New Roman" w:hAnsi="Times New Roman"/>
          <w:sz w:val="28"/>
          <w:szCs w:val="28"/>
        </w:rPr>
        <w:t>to attempt to resolve the matter directly between themselves; and</w:t>
      </w:r>
    </w:p>
    <w:p w:rsidR="00793FBB" w:rsidRDefault="00BC7EB8" w:rsidP="00325B62">
      <w:pPr>
        <w:pStyle w:val="LegalList1"/>
        <w:spacing w:line="360" w:lineRule="auto"/>
        <w:ind w:left="1440" w:hanging="589"/>
        <w:rPr>
          <w:rFonts w:ascii="Times New Roman" w:hAnsi="Times New Roman"/>
          <w:sz w:val="28"/>
          <w:szCs w:val="28"/>
        </w:rPr>
      </w:pPr>
      <w:r>
        <w:rPr>
          <w:rFonts w:ascii="Times New Roman" w:hAnsi="Times New Roman"/>
          <w:sz w:val="28"/>
          <w:szCs w:val="28"/>
        </w:rPr>
        <w:t>(</w:t>
      </w:r>
      <w:r w:rsidR="00BA5BA5">
        <w:rPr>
          <w:rFonts w:ascii="Times New Roman" w:hAnsi="Times New Roman"/>
          <w:sz w:val="28"/>
          <w:szCs w:val="28"/>
        </w:rPr>
        <w:t>b</w:t>
      </w:r>
      <w:r>
        <w:rPr>
          <w:rFonts w:ascii="Times New Roman" w:hAnsi="Times New Roman"/>
          <w:sz w:val="28"/>
          <w:szCs w:val="28"/>
        </w:rPr>
        <w:t>)</w:t>
      </w:r>
      <w:r w:rsidR="00BA5BA5">
        <w:rPr>
          <w:rFonts w:ascii="Times New Roman" w:hAnsi="Times New Roman"/>
          <w:sz w:val="28"/>
          <w:szCs w:val="28"/>
        </w:rPr>
        <w:tab/>
      </w:r>
      <w:r>
        <w:rPr>
          <w:rFonts w:ascii="Times New Roman" w:hAnsi="Times New Roman"/>
          <w:sz w:val="28"/>
          <w:szCs w:val="28"/>
        </w:rPr>
        <w:t>if unable to do so, must refer the matter to the ombudsman with jurisdiction; or</w:t>
      </w:r>
    </w:p>
    <w:p w:rsidR="00B27EF5" w:rsidRPr="00BC7EB8" w:rsidRDefault="00BC7EB8" w:rsidP="00325B62">
      <w:pPr>
        <w:pStyle w:val="LegalList1"/>
        <w:spacing w:line="360" w:lineRule="auto"/>
        <w:ind w:left="131" w:firstLine="720"/>
        <w:rPr>
          <w:rFonts w:ascii="Times New Roman" w:hAnsi="Times New Roman"/>
          <w:sz w:val="28"/>
          <w:szCs w:val="28"/>
        </w:rPr>
      </w:pPr>
      <w:r w:rsidRPr="00BC7EB8">
        <w:rPr>
          <w:rFonts w:ascii="Times New Roman" w:hAnsi="Times New Roman"/>
          <w:sz w:val="28"/>
          <w:szCs w:val="28"/>
        </w:rPr>
        <w:t>(c)</w:t>
      </w:r>
      <w:r w:rsidR="00BA5BA5">
        <w:rPr>
          <w:rFonts w:ascii="Times New Roman" w:hAnsi="Times New Roman"/>
          <w:sz w:val="28"/>
          <w:szCs w:val="28"/>
        </w:rPr>
        <w:tab/>
      </w:r>
      <w:r w:rsidRPr="00BC7EB8">
        <w:rPr>
          <w:rFonts w:ascii="Times New Roman" w:hAnsi="Times New Roman"/>
          <w:sz w:val="28"/>
          <w:szCs w:val="28"/>
        </w:rPr>
        <w:t>an alternative dispute resolution agent.</w:t>
      </w:r>
    </w:p>
    <w:p w:rsidR="00271C4C"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FB255B">
        <w:rPr>
          <w:rFonts w:ascii="Times New Roman" w:hAnsi="Times New Roman"/>
          <w:sz w:val="28"/>
          <w:szCs w:val="28"/>
        </w:rPr>
        <w:t xml:space="preserve">In terms of section 148(1) of the </w:t>
      </w:r>
      <w:r w:rsidR="00B419F9">
        <w:rPr>
          <w:rFonts w:ascii="Times New Roman" w:hAnsi="Times New Roman"/>
          <w:sz w:val="28"/>
          <w:szCs w:val="28"/>
        </w:rPr>
        <w:t>Act</w:t>
      </w:r>
      <w:r w:rsidR="00FB255B">
        <w:rPr>
          <w:rFonts w:ascii="Times New Roman" w:hAnsi="Times New Roman"/>
          <w:sz w:val="28"/>
          <w:szCs w:val="28"/>
        </w:rPr>
        <w:t xml:space="preserve"> a party (referred to as ‘a participant’) in a hearing before a single member of the </w:t>
      </w:r>
      <w:r w:rsidR="0065697D">
        <w:rPr>
          <w:rFonts w:ascii="Times New Roman" w:hAnsi="Times New Roman"/>
          <w:sz w:val="28"/>
          <w:szCs w:val="28"/>
        </w:rPr>
        <w:t>Tribunal</w:t>
      </w:r>
      <w:r w:rsidR="00FB255B">
        <w:rPr>
          <w:rFonts w:ascii="Times New Roman" w:hAnsi="Times New Roman"/>
          <w:sz w:val="28"/>
          <w:szCs w:val="28"/>
        </w:rPr>
        <w:t xml:space="preserve"> may appeal to a full panel of the </w:t>
      </w:r>
      <w:r w:rsidR="0065697D">
        <w:rPr>
          <w:rFonts w:ascii="Times New Roman" w:hAnsi="Times New Roman"/>
          <w:sz w:val="28"/>
          <w:szCs w:val="28"/>
        </w:rPr>
        <w:t>Tribunal</w:t>
      </w:r>
      <w:r w:rsidR="00FB255B">
        <w:rPr>
          <w:rFonts w:ascii="Times New Roman" w:hAnsi="Times New Roman"/>
          <w:sz w:val="28"/>
          <w:szCs w:val="28"/>
        </w:rPr>
        <w:t>.</w:t>
      </w:r>
    </w:p>
    <w:p w:rsidR="00A11BE7"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A11BE7">
        <w:rPr>
          <w:rFonts w:ascii="Times New Roman" w:hAnsi="Times New Roman"/>
          <w:sz w:val="28"/>
          <w:szCs w:val="28"/>
        </w:rPr>
        <w:t xml:space="preserve">Section 148(2) provides that a party in a hearing before a full panel of the </w:t>
      </w:r>
      <w:r w:rsidR="0065697D">
        <w:rPr>
          <w:rFonts w:ascii="Times New Roman" w:hAnsi="Times New Roman"/>
          <w:sz w:val="28"/>
          <w:szCs w:val="28"/>
        </w:rPr>
        <w:t>Tribunal</w:t>
      </w:r>
      <w:r w:rsidR="00A11BE7">
        <w:rPr>
          <w:rFonts w:ascii="Times New Roman" w:hAnsi="Times New Roman"/>
          <w:sz w:val="28"/>
          <w:szCs w:val="28"/>
        </w:rPr>
        <w:t xml:space="preserve"> may apply to the High Court to review the decision of the </w:t>
      </w:r>
      <w:r w:rsidR="0065697D">
        <w:rPr>
          <w:rFonts w:ascii="Times New Roman" w:hAnsi="Times New Roman"/>
          <w:sz w:val="28"/>
          <w:szCs w:val="28"/>
        </w:rPr>
        <w:t>Tribunal</w:t>
      </w:r>
      <w:r w:rsidR="00A11BE7">
        <w:rPr>
          <w:rFonts w:ascii="Times New Roman" w:hAnsi="Times New Roman"/>
          <w:sz w:val="28"/>
          <w:szCs w:val="28"/>
        </w:rPr>
        <w:t xml:space="preserve">, or appeal to the High Court against the decision of the </w:t>
      </w:r>
      <w:r w:rsidR="0065697D">
        <w:rPr>
          <w:rFonts w:ascii="Times New Roman" w:hAnsi="Times New Roman"/>
          <w:sz w:val="28"/>
          <w:szCs w:val="28"/>
        </w:rPr>
        <w:t>Tribunal</w:t>
      </w:r>
      <w:r w:rsidR="00A11BE7">
        <w:rPr>
          <w:rFonts w:ascii="Times New Roman" w:hAnsi="Times New Roman"/>
          <w:sz w:val="28"/>
          <w:szCs w:val="28"/>
        </w:rPr>
        <w:t>.</w:t>
      </w:r>
    </w:p>
    <w:p w:rsidR="00157B9C"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[27]</w:t>
      </w:r>
      <w:r>
        <w:rPr>
          <w:rFonts w:ascii="Times New Roman" w:hAnsi="Times New Roman"/>
          <w:sz w:val="28"/>
          <w:szCs w:val="28"/>
        </w:rPr>
        <w:tab/>
      </w:r>
      <w:r w:rsidR="00FF406F">
        <w:rPr>
          <w:rFonts w:ascii="Times New Roman" w:hAnsi="Times New Roman"/>
          <w:sz w:val="28"/>
          <w:szCs w:val="28"/>
        </w:rPr>
        <w:t xml:space="preserve">For purposes of rationalising its argument the respondent accepts albeit without conceding that the applicant has ‘unsuccessfully attempted to resolve a disputed entry directly with the credit provider’. In that event </w:t>
      </w:r>
      <w:r w:rsidR="008309D8">
        <w:rPr>
          <w:rFonts w:ascii="Times New Roman" w:hAnsi="Times New Roman"/>
          <w:sz w:val="28"/>
          <w:szCs w:val="28"/>
        </w:rPr>
        <w:t>its counsel submitted that the applicant</w:t>
      </w:r>
      <w:r w:rsidR="00FF406F">
        <w:rPr>
          <w:rFonts w:ascii="Times New Roman" w:hAnsi="Times New Roman"/>
          <w:sz w:val="28"/>
          <w:szCs w:val="28"/>
        </w:rPr>
        <w:t xml:space="preserve"> was obliged to approach the </w:t>
      </w:r>
      <w:r w:rsidR="0065697D">
        <w:rPr>
          <w:rFonts w:ascii="Times New Roman" w:hAnsi="Times New Roman"/>
          <w:sz w:val="28"/>
          <w:szCs w:val="28"/>
        </w:rPr>
        <w:t>Tribunal</w:t>
      </w:r>
      <w:r w:rsidR="00FF406F">
        <w:rPr>
          <w:rFonts w:ascii="Times New Roman" w:hAnsi="Times New Roman"/>
          <w:sz w:val="28"/>
          <w:szCs w:val="28"/>
        </w:rPr>
        <w:t xml:space="preserve"> provided that there has been prior compliance with section 134(4) of the </w:t>
      </w:r>
      <w:r w:rsidR="001473A5">
        <w:rPr>
          <w:rFonts w:ascii="Times New Roman" w:hAnsi="Times New Roman"/>
          <w:sz w:val="28"/>
          <w:szCs w:val="28"/>
        </w:rPr>
        <w:t>A</w:t>
      </w:r>
      <w:r w:rsidR="00FF406F">
        <w:rPr>
          <w:rFonts w:ascii="Times New Roman" w:hAnsi="Times New Roman"/>
          <w:sz w:val="28"/>
          <w:szCs w:val="28"/>
        </w:rPr>
        <w:t>ct.</w:t>
      </w:r>
    </w:p>
    <w:p w:rsidR="0052002E"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157B9C">
        <w:rPr>
          <w:rFonts w:ascii="Times New Roman" w:hAnsi="Times New Roman"/>
          <w:sz w:val="28"/>
          <w:szCs w:val="28"/>
        </w:rPr>
        <w:t xml:space="preserve">In support of its argument the respondent contended that the present case </w:t>
      </w:r>
      <w:r w:rsidR="001C46EC">
        <w:rPr>
          <w:rFonts w:ascii="Times New Roman" w:hAnsi="Times New Roman"/>
          <w:sz w:val="28"/>
          <w:szCs w:val="28"/>
        </w:rPr>
        <w:t xml:space="preserve">in which the applicant seeks compliance with section 111(2)(a) </w:t>
      </w:r>
      <w:r w:rsidR="00157B9C">
        <w:rPr>
          <w:rFonts w:ascii="Times New Roman" w:hAnsi="Times New Roman"/>
          <w:sz w:val="28"/>
          <w:szCs w:val="28"/>
        </w:rPr>
        <w:t xml:space="preserve">is </w:t>
      </w:r>
      <w:r w:rsidR="001C46EC">
        <w:rPr>
          <w:rFonts w:ascii="Times New Roman" w:hAnsi="Times New Roman"/>
          <w:sz w:val="28"/>
          <w:szCs w:val="28"/>
        </w:rPr>
        <w:t xml:space="preserve">administrative. It is </w:t>
      </w:r>
      <w:r w:rsidR="00157B9C">
        <w:rPr>
          <w:rFonts w:ascii="Times New Roman" w:hAnsi="Times New Roman"/>
          <w:sz w:val="28"/>
          <w:szCs w:val="28"/>
        </w:rPr>
        <w:t xml:space="preserve">analogous to a situation contemplated by the amended section 71 of the </w:t>
      </w:r>
      <w:r w:rsidR="00B419F9">
        <w:rPr>
          <w:rFonts w:ascii="Times New Roman" w:hAnsi="Times New Roman"/>
          <w:sz w:val="28"/>
          <w:szCs w:val="28"/>
        </w:rPr>
        <w:t>Act</w:t>
      </w:r>
      <w:r w:rsidR="00157B9C">
        <w:rPr>
          <w:rFonts w:ascii="Times New Roman" w:hAnsi="Times New Roman"/>
          <w:sz w:val="28"/>
          <w:szCs w:val="28"/>
        </w:rPr>
        <w:t xml:space="preserve"> </w:t>
      </w:r>
      <w:r w:rsidR="000244AC">
        <w:rPr>
          <w:rFonts w:ascii="Times New Roman" w:hAnsi="Times New Roman"/>
          <w:sz w:val="28"/>
          <w:szCs w:val="28"/>
        </w:rPr>
        <w:t xml:space="preserve">where a consumer applies for a clearance certificate relating to a debt rearrangement and the debt counsellor either decides not to issue the certificate or fails to do so. In this scenario the consumer may apply to the </w:t>
      </w:r>
      <w:r w:rsidR="0065697D">
        <w:rPr>
          <w:rFonts w:ascii="Times New Roman" w:hAnsi="Times New Roman"/>
          <w:sz w:val="28"/>
          <w:szCs w:val="28"/>
        </w:rPr>
        <w:t>Tribunal</w:t>
      </w:r>
      <w:r w:rsidR="000244AC">
        <w:rPr>
          <w:rFonts w:ascii="Times New Roman" w:hAnsi="Times New Roman"/>
          <w:sz w:val="28"/>
          <w:szCs w:val="28"/>
        </w:rPr>
        <w:t xml:space="preserve"> to review that decision and if the </w:t>
      </w:r>
      <w:r w:rsidR="0065697D">
        <w:rPr>
          <w:rFonts w:ascii="Times New Roman" w:hAnsi="Times New Roman"/>
          <w:sz w:val="28"/>
          <w:szCs w:val="28"/>
        </w:rPr>
        <w:t>Tribunal</w:t>
      </w:r>
      <w:r w:rsidR="000244AC">
        <w:rPr>
          <w:rFonts w:ascii="Times New Roman" w:hAnsi="Times New Roman"/>
          <w:sz w:val="28"/>
          <w:szCs w:val="28"/>
        </w:rPr>
        <w:t xml:space="preserve"> is satisfied that the consumer is entitled to the certificate it may order</w:t>
      </w:r>
      <w:r w:rsidR="0052002E">
        <w:rPr>
          <w:rFonts w:ascii="Times New Roman" w:hAnsi="Times New Roman"/>
          <w:sz w:val="28"/>
          <w:szCs w:val="28"/>
        </w:rPr>
        <w:t xml:space="preserve"> the debt counsellor to issue it.</w:t>
      </w:r>
    </w:p>
    <w:p w:rsidR="002351D5"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E13706">
        <w:rPr>
          <w:rFonts w:ascii="Times New Roman" w:hAnsi="Times New Roman"/>
          <w:sz w:val="28"/>
          <w:szCs w:val="28"/>
        </w:rPr>
        <w:t xml:space="preserve">It was held in </w:t>
      </w:r>
      <w:r w:rsidR="0052002E" w:rsidRPr="00E13706">
        <w:rPr>
          <w:rFonts w:ascii="Times New Roman" w:hAnsi="Times New Roman"/>
          <w:i/>
          <w:sz w:val="28"/>
          <w:szCs w:val="28"/>
        </w:rPr>
        <w:t>Du Toit v Benay Sager t/a Debt Busters and Others</w:t>
      </w:r>
      <w:r w:rsidR="0052002E">
        <w:rPr>
          <w:rStyle w:val="FootnoteReference"/>
          <w:rFonts w:ascii="Times New Roman" w:hAnsi="Times New Roman"/>
          <w:sz w:val="28"/>
          <w:szCs w:val="28"/>
        </w:rPr>
        <w:footnoteReference w:id="9"/>
      </w:r>
      <w:r w:rsidR="00E13706">
        <w:rPr>
          <w:rFonts w:ascii="Times New Roman" w:hAnsi="Times New Roman"/>
          <w:sz w:val="28"/>
          <w:szCs w:val="28"/>
        </w:rPr>
        <w:t xml:space="preserve"> that the process set out in section 71 is administrative and not judicial. It is only the </w:t>
      </w:r>
      <w:r w:rsidR="0065697D">
        <w:rPr>
          <w:rFonts w:ascii="Times New Roman" w:hAnsi="Times New Roman"/>
          <w:sz w:val="28"/>
          <w:szCs w:val="28"/>
        </w:rPr>
        <w:t>Tribunal</w:t>
      </w:r>
      <w:r w:rsidR="00E13706">
        <w:rPr>
          <w:rFonts w:ascii="Times New Roman" w:hAnsi="Times New Roman"/>
          <w:sz w:val="28"/>
          <w:szCs w:val="28"/>
        </w:rPr>
        <w:t xml:space="preserve"> that is empowered to assist the consumer at first instance – the </w:t>
      </w:r>
      <w:r w:rsidR="00B419F9">
        <w:rPr>
          <w:rFonts w:ascii="Times New Roman" w:hAnsi="Times New Roman"/>
          <w:sz w:val="28"/>
          <w:szCs w:val="28"/>
        </w:rPr>
        <w:t>Act</w:t>
      </w:r>
      <w:r w:rsidR="00E13706">
        <w:rPr>
          <w:rFonts w:ascii="Times New Roman" w:hAnsi="Times New Roman"/>
          <w:sz w:val="28"/>
          <w:szCs w:val="28"/>
        </w:rPr>
        <w:t xml:space="preserve"> does not afford the High Court the jurisdiction to deal at first instance with matters falling within the province of the </w:t>
      </w:r>
      <w:r w:rsidR="0065697D">
        <w:rPr>
          <w:rFonts w:ascii="Times New Roman" w:hAnsi="Times New Roman"/>
          <w:sz w:val="28"/>
          <w:szCs w:val="28"/>
        </w:rPr>
        <w:t>Tribunal</w:t>
      </w:r>
      <w:r w:rsidR="00E13706">
        <w:rPr>
          <w:rFonts w:ascii="Times New Roman" w:hAnsi="Times New Roman"/>
          <w:sz w:val="28"/>
          <w:szCs w:val="28"/>
        </w:rPr>
        <w:t xml:space="preserve">. The role of the High Court in the legislative scheme is limited to dealing with judicial reviews of, or appeals from, the decisions of the </w:t>
      </w:r>
      <w:r w:rsidR="0065697D">
        <w:rPr>
          <w:rFonts w:ascii="Times New Roman" w:hAnsi="Times New Roman"/>
          <w:sz w:val="28"/>
          <w:szCs w:val="28"/>
        </w:rPr>
        <w:t>Tribunal</w:t>
      </w:r>
      <w:r w:rsidR="00E13706">
        <w:rPr>
          <w:rFonts w:ascii="Times New Roman" w:hAnsi="Times New Roman"/>
          <w:sz w:val="28"/>
          <w:szCs w:val="28"/>
        </w:rPr>
        <w:t>.</w:t>
      </w:r>
    </w:p>
    <w:p w:rsidR="00FF406F"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6C482C">
        <w:rPr>
          <w:rFonts w:ascii="Times New Roman" w:hAnsi="Times New Roman"/>
          <w:sz w:val="28"/>
          <w:szCs w:val="28"/>
        </w:rPr>
        <w:t>With regard to the above i</w:t>
      </w:r>
      <w:r w:rsidR="002351D5">
        <w:rPr>
          <w:rFonts w:ascii="Times New Roman" w:hAnsi="Times New Roman"/>
          <w:sz w:val="28"/>
          <w:szCs w:val="28"/>
        </w:rPr>
        <w:t xml:space="preserve">t is edifying to repeat in full the reasoning and pronouncement of the court in </w:t>
      </w:r>
      <w:r w:rsidR="002351D5" w:rsidRPr="006D046C">
        <w:rPr>
          <w:rFonts w:ascii="Times New Roman" w:hAnsi="Times New Roman"/>
          <w:i/>
          <w:sz w:val="28"/>
          <w:szCs w:val="28"/>
        </w:rPr>
        <w:t>Du Toit</w:t>
      </w:r>
      <w:r w:rsidR="002351D5">
        <w:rPr>
          <w:rFonts w:ascii="Times New Roman" w:hAnsi="Times New Roman"/>
          <w:sz w:val="28"/>
          <w:szCs w:val="28"/>
        </w:rPr>
        <w:t>:</w:t>
      </w:r>
    </w:p>
    <w:p w:rsidR="002351D5" w:rsidRPr="0065697D" w:rsidRDefault="002351D5" w:rsidP="006D046C">
      <w:pPr>
        <w:pStyle w:val="LegalList1"/>
        <w:spacing w:line="360" w:lineRule="auto"/>
        <w:ind w:left="851"/>
        <w:rPr>
          <w:rFonts w:ascii="Times New Roman" w:hAnsi="Times New Roman"/>
        </w:rPr>
      </w:pPr>
      <w:r w:rsidRPr="0065697D">
        <w:rPr>
          <w:rFonts w:ascii="Times New Roman" w:hAnsi="Times New Roman"/>
        </w:rPr>
        <w:lastRenderedPageBreak/>
        <w:t>‘</w:t>
      </w:r>
      <w:r w:rsidR="00477793" w:rsidRPr="0065697D">
        <w:rPr>
          <w:rFonts w:ascii="Times New Roman" w:hAnsi="Times New Roman"/>
        </w:rPr>
        <w:t>[27]</w:t>
      </w:r>
      <w:r w:rsidR="00477793" w:rsidRPr="0065697D">
        <w:rPr>
          <w:rFonts w:ascii="Times New Roman" w:hAnsi="Times New Roman"/>
        </w:rPr>
        <w:tab/>
      </w:r>
      <w:r w:rsidR="00477793" w:rsidRPr="0065697D">
        <w:rPr>
          <w:rFonts w:ascii="Times New Roman" w:hAnsi="Times New Roman"/>
        </w:rPr>
        <w:tab/>
        <w:t>I</w:t>
      </w:r>
      <w:r w:rsidR="00A12B44" w:rsidRPr="0065697D">
        <w:rPr>
          <w:rFonts w:ascii="Times New Roman" w:hAnsi="Times New Roman"/>
        </w:rPr>
        <w:t xml:space="preserve">n my view, the general thrust of the NCA, and in particular the consumer credit policy under </w:t>
      </w:r>
      <w:r w:rsidR="0065697D">
        <w:rPr>
          <w:rFonts w:ascii="Times New Roman" w:hAnsi="Times New Roman"/>
        </w:rPr>
        <w:t>C</w:t>
      </w:r>
      <w:r w:rsidR="00A12B44" w:rsidRPr="0065697D">
        <w:rPr>
          <w:rFonts w:ascii="Times New Roman" w:hAnsi="Times New Roman"/>
        </w:rPr>
        <w:t>hapter 4, places the primary jurisdiction of consumer rights, consumer credit records and over</w:t>
      </w:r>
      <w:r w:rsidR="0065697D">
        <w:rPr>
          <w:rFonts w:ascii="Times New Roman" w:hAnsi="Times New Roman"/>
        </w:rPr>
        <w:t>-</w:t>
      </w:r>
      <w:r w:rsidR="00A12B44" w:rsidRPr="0065697D">
        <w:rPr>
          <w:rFonts w:ascii="Times New Roman" w:hAnsi="Times New Roman"/>
        </w:rPr>
        <w:t xml:space="preserve">indebtedness and reckless credit, in the debt counsellor, National Credit Regulator, the </w:t>
      </w:r>
      <w:r w:rsidR="0065697D">
        <w:rPr>
          <w:rFonts w:ascii="Times New Roman" w:hAnsi="Times New Roman"/>
        </w:rPr>
        <w:t>T</w:t>
      </w:r>
      <w:r w:rsidR="00A12B44" w:rsidRPr="0065697D">
        <w:rPr>
          <w:rFonts w:ascii="Times New Roman" w:hAnsi="Times New Roman"/>
        </w:rPr>
        <w:t xml:space="preserve">ribunal and the </w:t>
      </w:r>
      <w:r w:rsidR="0065697D">
        <w:rPr>
          <w:rFonts w:ascii="Times New Roman" w:hAnsi="Times New Roman"/>
        </w:rPr>
        <w:t>M</w:t>
      </w:r>
      <w:r w:rsidR="00A12B44" w:rsidRPr="0065697D">
        <w:rPr>
          <w:rFonts w:ascii="Times New Roman" w:hAnsi="Times New Roman"/>
        </w:rPr>
        <w:t xml:space="preserve">agistrate’s </w:t>
      </w:r>
      <w:r w:rsidR="0065697D">
        <w:rPr>
          <w:rFonts w:ascii="Times New Roman" w:hAnsi="Times New Roman"/>
        </w:rPr>
        <w:t>C</w:t>
      </w:r>
      <w:r w:rsidR="00A12B44" w:rsidRPr="0065697D">
        <w:rPr>
          <w:rFonts w:ascii="Times New Roman" w:hAnsi="Times New Roman"/>
        </w:rPr>
        <w:t xml:space="preserve">ourts, the latter </w:t>
      </w:r>
      <w:r w:rsidR="0065697D">
        <w:rPr>
          <w:rFonts w:ascii="Times New Roman" w:hAnsi="Times New Roman"/>
        </w:rPr>
        <w:t>two</w:t>
      </w:r>
      <w:r w:rsidR="00A12B44" w:rsidRPr="0065697D">
        <w:rPr>
          <w:rFonts w:ascii="Times New Roman" w:hAnsi="Times New Roman"/>
        </w:rPr>
        <w:t xml:space="preserve"> being subject to the supervision and inherent jurisdiction of the High Courts. The nature of the work set out for a debt counsellor, the NCR</w:t>
      </w:r>
      <w:r w:rsidR="00DF614B" w:rsidRPr="0065697D">
        <w:rPr>
          <w:rFonts w:ascii="Times New Roman" w:hAnsi="Times New Roman"/>
        </w:rPr>
        <w:t xml:space="preserve"> or the </w:t>
      </w:r>
      <w:r w:rsidR="0065697D">
        <w:rPr>
          <w:rFonts w:ascii="Times New Roman" w:hAnsi="Times New Roman"/>
        </w:rPr>
        <w:t>Tribunal</w:t>
      </w:r>
      <w:r w:rsidR="00DF614B" w:rsidRPr="0065697D">
        <w:rPr>
          <w:rFonts w:ascii="Times New Roman" w:hAnsi="Times New Roman"/>
        </w:rPr>
        <w:t xml:space="preserve"> in such circumstances, in my view, is necessary for a credible market place. Such an investigation cannot be avoided by simply crying lacunae and running to the </w:t>
      </w:r>
      <w:r w:rsidR="009D345B">
        <w:rPr>
          <w:rFonts w:ascii="Times New Roman" w:hAnsi="Times New Roman"/>
        </w:rPr>
        <w:t>H</w:t>
      </w:r>
      <w:r w:rsidR="00DF614B" w:rsidRPr="0065697D">
        <w:rPr>
          <w:rFonts w:ascii="Times New Roman" w:hAnsi="Times New Roman"/>
        </w:rPr>
        <w:t xml:space="preserve">igh Courts, and thereby avoiding a proper investigation by the debt counsellor, the NCR or the </w:t>
      </w:r>
      <w:r w:rsidR="0065697D">
        <w:rPr>
          <w:rFonts w:ascii="Times New Roman" w:hAnsi="Times New Roman"/>
        </w:rPr>
        <w:t>Tribunal</w:t>
      </w:r>
      <w:r w:rsidR="00DF614B" w:rsidRPr="0065697D">
        <w:rPr>
          <w:rFonts w:ascii="Times New Roman" w:hAnsi="Times New Roman"/>
        </w:rPr>
        <w:t xml:space="preserve"> into the credibility of the information that sustains the alleged change in the financial position of a consumer. Under the circumstances, in my view, there is no good cause for the quantum leap out of the domestic remedies available to the applicant by statute, into the recourse to the courts</w:t>
      </w:r>
      <w:r w:rsidR="00477793" w:rsidRPr="0065697D">
        <w:rPr>
          <w:rFonts w:ascii="Times New Roman" w:hAnsi="Times New Roman"/>
        </w:rPr>
        <w:t>, until the final stage and until the applicant has exhausted his statutory remedies. The application to the High Court is premature.</w:t>
      </w:r>
    </w:p>
    <w:p w:rsidR="00477793" w:rsidRPr="0065697D" w:rsidRDefault="00477793" w:rsidP="006D046C">
      <w:pPr>
        <w:pStyle w:val="LegalList1"/>
        <w:spacing w:line="360" w:lineRule="auto"/>
        <w:ind w:left="851"/>
        <w:rPr>
          <w:rFonts w:ascii="Times New Roman" w:hAnsi="Times New Roman"/>
        </w:rPr>
      </w:pPr>
      <w:r w:rsidRPr="0065697D">
        <w:rPr>
          <w:rFonts w:ascii="Times New Roman" w:hAnsi="Times New Roman"/>
        </w:rPr>
        <w:t>[28]</w:t>
      </w:r>
      <w:r w:rsidRPr="0065697D">
        <w:rPr>
          <w:rFonts w:ascii="Times New Roman" w:hAnsi="Times New Roman"/>
        </w:rPr>
        <w:tab/>
      </w:r>
      <w:r w:rsidRPr="0065697D">
        <w:rPr>
          <w:rFonts w:ascii="Times New Roman" w:hAnsi="Times New Roman"/>
        </w:rPr>
        <w:tab/>
      </w:r>
      <w:r w:rsidR="00BB7522">
        <w:rPr>
          <w:rFonts w:ascii="Times New Roman" w:hAnsi="Times New Roman"/>
        </w:rPr>
        <w:t>I</w:t>
      </w:r>
      <w:r w:rsidRPr="0065697D">
        <w:rPr>
          <w:rFonts w:ascii="Times New Roman" w:hAnsi="Times New Roman"/>
        </w:rPr>
        <w:t xml:space="preserve">t follows, in my view, that the High Court is not the forum of first instance on matters which both the </w:t>
      </w:r>
      <w:r w:rsidR="0065697D">
        <w:rPr>
          <w:rFonts w:ascii="Times New Roman" w:hAnsi="Times New Roman"/>
        </w:rPr>
        <w:t>Tribunal</w:t>
      </w:r>
      <w:r w:rsidRPr="0065697D">
        <w:rPr>
          <w:rFonts w:ascii="Times New Roman" w:hAnsi="Times New Roman"/>
        </w:rPr>
        <w:t xml:space="preserve"> and the </w:t>
      </w:r>
      <w:r w:rsidR="00BB7522">
        <w:rPr>
          <w:rFonts w:ascii="Times New Roman" w:hAnsi="Times New Roman"/>
        </w:rPr>
        <w:t>M</w:t>
      </w:r>
      <w:r w:rsidRPr="0065697D">
        <w:rPr>
          <w:rFonts w:ascii="Times New Roman" w:hAnsi="Times New Roman"/>
        </w:rPr>
        <w:t>agistrate</w:t>
      </w:r>
      <w:r w:rsidR="00BB7522">
        <w:rPr>
          <w:rFonts w:ascii="Times New Roman" w:hAnsi="Times New Roman"/>
        </w:rPr>
        <w:t>’s C</w:t>
      </w:r>
      <w:r w:rsidRPr="0065697D">
        <w:rPr>
          <w:rFonts w:ascii="Times New Roman" w:hAnsi="Times New Roman"/>
        </w:rPr>
        <w:t xml:space="preserve">ourts should deal with. Under circumstances where there are various </w:t>
      </w:r>
      <w:r w:rsidR="0065697D">
        <w:rPr>
          <w:rFonts w:ascii="Times New Roman" w:hAnsi="Times New Roman"/>
        </w:rPr>
        <w:t>Tribunal</w:t>
      </w:r>
      <w:r w:rsidRPr="0065697D">
        <w:rPr>
          <w:rFonts w:ascii="Times New Roman" w:hAnsi="Times New Roman"/>
        </w:rPr>
        <w:t>’s under the NCA are open to an applicant, it is preferable that the intervention of the High Court be deferred until the domestic remedies provided for in the NCA have been exhausted, unless the very complaint is the legality of fundamental</w:t>
      </w:r>
      <w:r w:rsidR="00B27648" w:rsidRPr="0065697D">
        <w:rPr>
          <w:rFonts w:ascii="Times New Roman" w:hAnsi="Times New Roman"/>
        </w:rPr>
        <w:t xml:space="preserve"> irregularity of the decision sought to be challenged (Welkom Village Management Board v Leteno 1958 (1) SA 490 (A) at 501C-503H).</w:t>
      </w:r>
    </w:p>
    <w:p w:rsidR="00B27648" w:rsidRPr="0065697D" w:rsidRDefault="00B27648" w:rsidP="006D046C">
      <w:pPr>
        <w:pStyle w:val="LegalList1"/>
        <w:spacing w:line="360" w:lineRule="auto"/>
        <w:ind w:left="851"/>
        <w:rPr>
          <w:rFonts w:ascii="Times New Roman" w:hAnsi="Times New Roman"/>
        </w:rPr>
      </w:pPr>
      <w:r w:rsidRPr="0065697D">
        <w:rPr>
          <w:rFonts w:ascii="Times New Roman" w:hAnsi="Times New Roman"/>
        </w:rPr>
        <w:t>[29]</w:t>
      </w:r>
      <w:r w:rsidRPr="0065697D">
        <w:rPr>
          <w:rFonts w:ascii="Times New Roman" w:hAnsi="Times New Roman"/>
        </w:rPr>
        <w:tab/>
      </w:r>
      <w:r w:rsidRPr="0065697D">
        <w:rPr>
          <w:rFonts w:ascii="Times New Roman" w:hAnsi="Times New Roman"/>
        </w:rPr>
        <w:tab/>
      </w:r>
      <w:r w:rsidR="00BB7522">
        <w:rPr>
          <w:rFonts w:ascii="Times New Roman" w:hAnsi="Times New Roman"/>
        </w:rPr>
        <w:t>W</w:t>
      </w:r>
      <w:r w:rsidRPr="0065697D">
        <w:rPr>
          <w:rFonts w:ascii="Times New Roman" w:hAnsi="Times New Roman"/>
        </w:rPr>
        <w:t>here the legislature has spared the High Courts from such primary tasks as a form of first instance in such elementary investigations, in my view, that ordination should not be departed from at the slightest indication and for light and flimsy reasons. The applicant had an option to simply challenge the information held by the credit bureau, and if the credit bureau did not remove the information,</w:t>
      </w:r>
      <w:r w:rsidR="006D046C" w:rsidRPr="0065697D">
        <w:rPr>
          <w:rFonts w:ascii="Times New Roman" w:hAnsi="Times New Roman"/>
        </w:rPr>
        <w:t xml:space="preserve"> it would have led to an investigation of his t</w:t>
      </w:r>
      <w:r w:rsidR="009D345B">
        <w:rPr>
          <w:rFonts w:ascii="Times New Roman" w:hAnsi="Times New Roman"/>
        </w:rPr>
        <w:t>rue</w:t>
      </w:r>
      <w:r w:rsidR="006D046C" w:rsidRPr="0065697D">
        <w:rPr>
          <w:rFonts w:ascii="Times New Roman" w:hAnsi="Times New Roman"/>
        </w:rPr>
        <w:t xml:space="preserve"> financial position by the NCR leading up to, if needs be, the full panel of the </w:t>
      </w:r>
      <w:r w:rsidR="0065697D">
        <w:rPr>
          <w:rFonts w:ascii="Times New Roman" w:hAnsi="Times New Roman"/>
        </w:rPr>
        <w:t>Tribunal</w:t>
      </w:r>
      <w:r w:rsidR="006D046C" w:rsidRPr="0065697D">
        <w:rPr>
          <w:rFonts w:ascii="Times New Roman" w:hAnsi="Times New Roman"/>
        </w:rPr>
        <w:t xml:space="preserve"> deciding the matter. There is no explicable reason given by the applicant as to why this path was not followed. Secondly, the refusal of the first respondent to issue the applicant with a clearance certificate is a </w:t>
      </w:r>
      <w:r w:rsidR="006D046C" w:rsidRPr="0065697D">
        <w:rPr>
          <w:rFonts w:ascii="Times New Roman" w:hAnsi="Times New Roman"/>
        </w:rPr>
        <w:lastRenderedPageBreak/>
        <w:t xml:space="preserve">decision that is reviewable by the </w:t>
      </w:r>
      <w:r w:rsidR="0065697D">
        <w:rPr>
          <w:rFonts w:ascii="Times New Roman" w:hAnsi="Times New Roman"/>
        </w:rPr>
        <w:t>Tribunal</w:t>
      </w:r>
      <w:r w:rsidR="006D046C" w:rsidRPr="0065697D">
        <w:rPr>
          <w:rFonts w:ascii="Times New Roman" w:hAnsi="Times New Roman"/>
        </w:rPr>
        <w:t xml:space="preserve">. There is no reason advanced as to why the applicant did not approach the </w:t>
      </w:r>
      <w:r w:rsidR="0065697D">
        <w:rPr>
          <w:rFonts w:ascii="Times New Roman" w:hAnsi="Times New Roman"/>
        </w:rPr>
        <w:t>Tribunal</w:t>
      </w:r>
      <w:r w:rsidR="006D046C" w:rsidRPr="0065697D">
        <w:rPr>
          <w:rFonts w:ascii="Times New Roman" w:hAnsi="Times New Roman"/>
        </w:rPr>
        <w:t xml:space="preserve"> for intervention.’</w:t>
      </w:r>
    </w:p>
    <w:p w:rsidR="00A14255"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A14255">
        <w:rPr>
          <w:rFonts w:ascii="Times New Roman" w:hAnsi="Times New Roman"/>
          <w:sz w:val="28"/>
          <w:szCs w:val="28"/>
        </w:rPr>
        <w:t xml:space="preserve">The approach in </w:t>
      </w:r>
      <w:r w:rsidR="00A14255" w:rsidRPr="00C8204B">
        <w:rPr>
          <w:rFonts w:ascii="Times New Roman" w:hAnsi="Times New Roman"/>
          <w:i/>
          <w:sz w:val="28"/>
          <w:szCs w:val="28"/>
        </w:rPr>
        <w:t xml:space="preserve">Du Toit </w:t>
      </w:r>
      <w:r w:rsidR="00C8204B">
        <w:rPr>
          <w:rFonts w:ascii="Times New Roman" w:hAnsi="Times New Roman"/>
          <w:sz w:val="28"/>
          <w:szCs w:val="28"/>
        </w:rPr>
        <w:t xml:space="preserve">was </w:t>
      </w:r>
      <w:r w:rsidR="00A513B6">
        <w:rPr>
          <w:rFonts w:ascii="Times New Roman" w:hAnsi="Times New Roman"/>
          <w:sz w:val="28"/>
          <w:szCs w:val="28"/>
        </w:rPr>
        <w:t xml:space="preserve">adopted and </w:t>
      </w:r>
      <w:r w:rsidR="00C8204B">
        <w:rPr>
          <w:rFonts w:ascii="Times New Roman" w:hAnsi="Times New Roman"/>
          <w:sz w:val="28"/>
          <w:szCs w:val="28"/>
        </w:rPr>
        <w:t xml:space="preserve">followed by the full Court of this division in </w:t>
      </w:r>
      <w:r w:rsidR="00C8204B" w:rsidRPr="00CD1E51">
        <w:rPr>
          <w:rFonts w:ascii="Times New Roman" w:hAnsi="Times New Roman"/>
          <w:i/>
          <w:sz w:val="28"/>
          <w:szCs w:val="28"/>
        </w:rPr>
        <w:t xml:space="preserve">Transunion Africa (Pty) Ltd </w:t>
      </w:r>
      <w:r w:rsidR="00BB2208">
        <w:rPr>
          <w:rFonts w:ascii="Times New Roman" w:hAnsi="Times New Roman"/>
          <w:i/>
          <w:sz w:val="28"/>
          <w:szCs w:val="28"/>
        </w:rPr>
        <w:t>v</w:t>
      </w:r>
      <w:r w:rsidR="00C8204B" w:rsidRPr="00CD1E51">
        <w:rPr>
          <w:rFonts w:ascii="Times New Roman" w:hAnsi="Times New Roman"/>
          <w:i/>
          <w:sz w:val="28"/>
          <w:szCs w:val="28"/>
        </w:rPr>
        <w:t xml:space="preserve"> Ngcenge</w:t>
      </w:r>
      <w:r w:rsidR="00C8204B">
        <w:rPr>
          <w:rStyle w:val="FootnoteReference"/>
          <w:rFonts w:ascii="Times New Roman" w:hAnsi="Times New Roman"/>
          <w:sz w:val="28"/>
          <w:szCs w:val="28"/>
        </w:rPr>
        <w:footnoteReference w:id="10"/>
      </w:r>
      <w:r w:rsidR="00CD1E51">
        <w:rPr>
          <w:rFonts w:ascii="Times New Roman" w:hAnsi="Times New Roman"/>
          <w:i/>
          <w:sz w:val="28"/>
          <w:szCs w:val="28"/>
        </w:rPr>
        <w:t>.</w:t>
      </w:r>
    </w:p>
    <w:p w:rsidR="008F3B23"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8309D8">
        <w:rPr>
          <w:rFonts w:ascii="Times New Roman" w:hAnsi="Times New Roman"/>
          <w:sz w:val="28"/>
          <w:szCs w:val="28"/>
        </w:rPr>
        <w:t>The applicant meets th</w:t>
      </w:r>
      <w:r w:rsidR="0001480E">
        <w:rPr>
          <w:rFonts w:ascii="Times New Roman" w:hAnsi="Times New Roman"/>
          <w:sz w:val="28"/>
          <w:szCs w:val="28"/>
        </w:rPr>
        <w:t>e</w:t>
      </w:r>
      <w:r w:rsidR="008309D8">
        <w:rPr>
          <w:rFonts w:ascii="Times New Roman" w:hAnsi="Times New Roman"/>
          <w:sz w:val="28"/>
          <w:szCs w:val="28"/>
        </w:rPr>
        <w:t xml:space="preserve"> argument </w:t>
      </w:r>
      <w:r w:rsidR="009D345B" w:rsidRPr="009D345B">
        <w:rPr>
          <w:rFonts w:ascii="Times New Roman" w:hAnsi="Times New Roman"/>
          <w:i/>
          <w:sz w:val="28"/>
          <w:szCs w:val="28"/>
        </w:rPr>
        <w:t>in limine</w:t>
      </w:r>
      <w:r w:rsidR="009D345B">
        <w:rPr>
          <w:rFonts w:ascii="Times New Roman" w:hAnsi="Times New Roman"/>
          <w:sz w:val="28"/>
          <w:szCs w:val="28"/>
        </w:rPr>
        <w:t xml:space="preserve"> </w:t>
      </w:r>
      <w:r w:rsidR="008309D8">
        <w:rPr>
          <w:rFonts w:ascii="Times New Roman" w:hAnsi="Times New Roman"/>
          <w:sz w:val="28"/>
          <w:szCs w:val="28"/>
        </w:rPr>
        <w:t>with a two-fold contention.</w:t>
      </w:r>
      <w:r w:rsidR="00C907A5">
        <w:rPr>
          <w:rFonts w:ascii="Times New Roman" w:hAnsi="Times New Roman"/>
          <w:sz w:val="28"/>
          <w:szCs w:val="28"/>
        </w:rPr>
        <w:t xml:space="preserve"> In the first instance it is argued that that there has been non-compliance by the respondent with its statutory obligation to have given him a written notice as contemplated by section 111(2).</w:t>
      </w:r>
      <w:r w:rsidR="00531AB3">
        <w:rPr>
          <w:rFonts w:ascii="Times New Roman" w:hAnsi="Times New Roman"/>
          <w:sz w:val="28"/>
          <w:szCs w:val="28"/>
        </w:rPr>
        <w:t xml:space="preserve"> Taken further</w:t>
      </w:r>
      <w:r w:rsidR="00704AA6">
        <w:rPr>
          <w:rFonts w:ascii="Times New Roman" w:hAnsi="Times New Roman"/>
          <w:sz w:val="28"/>
          <w:szCs w:val="28"/>
        </w:rPr>
        <w:t>,</w:t>
      </w:r>
      <w:r w:rsidR="00531AB3">
        <w:rPr>
          <w:rFonts w:ascii="Times New Roman" w:hAnsi="Times New Roman"/>
          <w:sz w:val="28"/>
          <w:szCs w:val="28"/>
        </w:rPr>
        <w:t xml:space="preserve"> the argument is that there has been a breach of a </w:t>
      </w:r>
      <w:r w:rsidR="00704AA6">
        <w:rPr>
          <w:rFonts w:ascii="Times New Roman" w:hAnsi="Times New Roman"/>
          <w:sz w:val="28"/>
          <w:szCs w:val="28"/>
        </w:rPr>
        <w:t>statutory duty rendering it a legality issue which invokes the jurisdiction of this court to adjudicate the matter and afford redress.</w:t>
      </w:r>
      <w:r w:rsidR="00704AA6">
        <w:rPr>
          <w:rStyle w:val="FootnoteReference"/>
          <w:rFonts w:ascii="Times New Roman" w:hAnsi="Times New Roman"/>
          <w:sz w:val="28"/>
          <w:szCs w:val="28"/>
        </w:rPr>
        <w:footnoteReference w:id="11"/>
      </w:r>
      <w:r w:rsidR="00652254">
        <w:rPr>
          <w:rFonts w:ascii="Times New Roman" w:hAnsi="Times New Roman"/>
          <w:sz w:val="28"/>
          <w:szCs w:val="28"/>
        </w:rPr>
        <w:t xml:space="preserve"> Having found that</w:t>
      </w:r>
      <w:r w:rsidR="00652254" w:rsidRPr="00652254">
        <w:rPr>
          <w:rFonts w:ascii="Times New Roman" w:hAnsi="Times New Roman"/>
          <w:sz w:val="28"/>
          <w:szCs w:val="28"/>
        </w:rPr>
        <w:t xml:space="preserve"> </w:t>
      </w:r>
      <w:r w:rsidR="00E34B6A">
        <w:rPr>
          <w:rFonts w:ascii="Times New Roman" w:hAnsi="Times New Roman"/>
          <w:sz w:val="28"/>
          <w:szCs w:val="28"/>
        </w:rPr>
        <w:t>the respondent</w:t>
      </w:r>
      <w:r w:rsidR="00652254">
        <w:rPr>
          <w:rFonts w:ascii="Times New Roman" w:hAnsi="Times New Roman"/>
          <w:sz w:val="28"/>
          <w:szCs w:val="28"/>
        </w:rPr>
        <w:t xml:space="preserve"> proffer</w:t>
      </w:r>
      <w:r w:rsidR="00E34B6A">
        <w:rPr>
          <w:rFonts w:ascii="Times New Roman" w:hAnsi="Times New Roman"/>
          <w:sz w:val="28"/>
          <w:szCs w:val="28"/>
        </w:rPr>
        <w:t>ed</w:t>
      </w:r>
      <w:r w:rsidR="00652254">
        <w:rPr>
          <w:rFonts w:ascii="Times New Roman" w:hAnsi="Times New Roman"/>
          <w:sz w:val="28"/>
          <w:szCs w:val="28"/>
        </w:rPr>
        <w:t xml:space="preserve"> reasonable det</w:t>
      </w:r>
      <w:r w:rsidR="00E34B6A">
        <w:rPr>
          <w:rFonts w:ascii="Times New Roman" w:hAnsi="Times New Roman"/>
          <w:sz w:val="28"/>
          <w:szCs w:val="28"/>
        </w:rPr>
        <w:t xml:space="preserve">ail </w:t>
      </w:r>
      <w:r w:rsidR="008F3B23">
        <w:rPr>
          <w:rFonts w:ascii="Times New Roman" w:hAnsi="Times New Roman"/>
          <w:sz w:val="28"/>
          <w:szCs w:val="28"/>
        </w:rPr>
        <w:t>the implicit conclusion i</w:t>
      </w:r>
      <w:r w:rsidR="00E34B6A">
        <w:rPr>
          <w:rFonts w:ascii="Times New Roman" w:hAnsi="Times New Roman"/>
          <w:sz w:val="28"/>
          <w:szCs w:val="28"/>
        </w:rPr>
        <w:t>n my view is that it</w:t>
      </w:r>
      <w:r w:rsidR="008F3B23">
        <w:rPr>
          <w:rFonts w:ascii="Times New Roman" w:hAnsi="Times New Roman"/>
          <w:sz w:val="28"/>
          <w:szCs w:val="28"/>
        </w:rPr>
        <w:t xml:space="preserve"> has complied with its statutory obligation. </w:t>
      </w:r>
      <w:r w:rsidR="00A30107">
        <w:rPr>
          <w:rFonts w:ascii="Times New Roman" w:hAnsi="Times New Roman"/>
          <w:sz w:val="28"/>
          <w:szCs w:val="28"/>
        </w:rPr>
        <w:t>T</w:t>
      </w:r>
      <w:r w:rsidR="008F3B23">
        <w:rPr>
          <w:rFonts w:ascii="Times New Roman" w:hAnsi="Times New Roman"/>
          <w:sz w:val="28"/>
          <w:szCs w:val="28"/>
        </w:rPr>
        <w:t>he legality argument does not assist the applicant.</w:t>
      </w:r>
    </w:p>
    <w:p w:rsidR="00FF406F"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8F3B23">
        <w:rPr>
          <w:rFonts w:ascii="Times New Roman" w:hAnsi="Times New Roman"/>
          <w:sz w:val="28"/>
          <w:szCs w:val="28"/>
        </w:rPr>
        <w:t xml:space="preserve">The applicant argues in the second instance that section 115 of the </w:t>
      </w:r>
      <w:r w:rsidR="00136D11">
        <w:rPr>
          <w:rFonts w:ascii="Times New Roman" w:hAnsi="Times New Roman"/>
          <w:sz w:val="28"/>
          <w:szCs w:val="28"/>
        </w:rPr>
        <w:t>A</w:t>
      </w:r>
      <w:r w:rsidR="008F3B23">
        <w:rPr>
          <w:rFonts w:ascii="Times New Roman" w:hAnsi="Times New Roman"/>
          <w:sz w:val="28"/>
          <w:szCs w:val="28"/>
        </w:rPr>
        <w:t xml:space="preserve">ct is </w:t>
      </w:r>
      <w:r w:rsidR="00136D11">
        <w:rPr>
          <w:rFonts w:ascii="Times New Roman" w:hAnsi="Times New Roman"/>
          <w:sz w:val="28"/>
          <w:szCs w:val="28"/>
        </w:rPr>
        <w:t>couched in permissive language. Accordingly, it does not oust the jurisdiction of this court to adjudicate the matter.</w:t>
      </w:r>
    </w:p>
    <w:p w:rsidR="00FF406F"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463C59">
        <w:rPr>
          <w:rFonts w:ascii="Times New Roman" w:hAnsi="Times New Roman"/>
          <w:sz w:val="28"/>
          <w:szCs w:val="28"/>
        </w:rPr>
        <w:t xml:space="preserve">In </w:t>
      </w:r>
      <w:r w:rsidR="00463C59" w:rsidRPr="00764B4C">
        <w:rPr>
          <w:rFonts w:ascii="Times New Roman" w:hAnsi="Times New Roman"/>
          <w:i/>
          <w:sz w:val="28"/>
          <w:szCs w:val="28"/>
        </w:rPr>
        <w:t xml:space="preserve">Helen Suzman Foundation v Speaker of the National Assembly and </w:t>
      </w:r>
      <w:r w:rsidR="00C11DA3" w:rsidRPr="00764B4C">
        <w:rPr>
          <w:rFonts w:ascii="Times New Roman" w:hAnsi="Times New Roman"/>
          <w:i/>
          <w:sz w:val="28"/>
          <w:szCs w:val="28"/>
        </w:rPr>
        <w:t>O</w:t>
      </w:r>
      <w:r w:rsidR="00463C59" w:rsidRPr="00764B4C">
        <w:rPr>
          <w:rFonts w:ascii="Times New Roman" w:hAnsi="Times New Roman"/>
          <w:i/>
          <w:sz w:val="28"/>
          <w:szCs w:val="28"/>
        </w:rPr>
        <w:t>thers</w:t>
      </w:r>
      <w:r w:rsidR="00463C59">
        <w:rPr>
          <w:rStyle w:val="FootnoteReference"/>
          <w:rFonts w:ascii="Times New Roman" w:hAnsi="Times New Roman"/>
          <w:sz w:val="28"/>
          <w:szCs w:val="28"/>
        </w:rPr>
        <w:footnoteReference w:id="12"/>
      </w:r>
      <w:r w:rsidR="00C11DA3">
        <w:rPr>
          <w:rFonts w:ascii="Times New Roman" w:hAnsi="Times New Roman"/>
          <w:sz w:val="28"/>
          <w:szCs w:val="28"/>
        </w:rPr>
        <w:t xml:space="preserve"> the court approved the </w:t>
      </w:r>
      <w:r w:rsidR="00C11DA3" w:rsidRPr="00DA2B2A">
        <w:rPr>
          <w:rFonts w:ascii="Times New Roman" w:hAnsi="Times New Roman"/>
          <w:i/>
          <w:sz w:val="28"/>
          <w:szCs w:val="28"/>
        </w:rPr>
        <w:t>dictum</w:t>
      </w:r>
      <w:r w:rsidR="00C11DA3">
        <w:rPr>
          <w:rFonts w:ascii="Times New Roman" w:hAnsi="Times New Roman"/>
          <w:sz w:val="28"/>
          <w:szCs w:val="28"/>
        </w:rPr>
        <w:t xml:space="preserve"> explained </w:t>
      </w:r>
      <w:r w:rsidR="009138B0">
        <w:rPr>
          <w:rFonts w:ascii="Times New Roman" w:hAnsi="Times New Roman"/>
          <w:sz w:val="28"/>
          <w:szCs w:val="28"/>
        </w:rPr>
        <w:t xml:space="preserve">as follows </w:t>
      </w:r>
      <w:r w:rsidR="00C11DA3">
        <w:rPr>
          <w:rFonts w:ascii="Times New Roman" w:hAnsi="Times New Roman"/>
          <w:sz w:val="28"/>
          <w:szCs w:val="28"/>
        </w:rPr>
        <w:t xml:space="preserve">by the Appellate Division in </w:t>
      </w:r>
      <w:r w:rsidR="00C11DA3" w:rsidRPr="00764B4C">
        <w:rPr>
          <w:rFonts w:ascii="Times New Roman" w:hAnsi="Times New Roman"/>
          <w:i/>
          <w:sz w:val="28"/>
          <w:szCs w:val="28"/>
        </w:rPr>
        <w:t>Schwartz v Schwartz</w:t>
      </w:r>
      <w:r w:rsidR="00C11DA3">
        <w:rPr>
          <w:rStyle w:val="FootnoteReference"/>
          <w:rFonts w:ascii="Times New Roman" w:hAnsi="Times New Roman"/>
          <w:sz w:val="28"/>
          <w:szCs w:val="28"/>
        </w:rPr>
        <w:footnoteReference w:id="13"/>
      </w:r>
      <w:r w:rsidR="009138B0">
        <w:rPr>
          <w:rFonts w:ascii="Times New Roman" w:hAnsi="Times New Roman"/>
          <w:sz w:val="28"/>
          <w:szCs w:val="28"/>
        </w:rPr>
        <w:t>:</w:t>
      </w:r>
    </w:p>
    <w:p w:rsidR="009138B0" w:rsidRPr="00764B4C" w:rsidRDefault="009138B0" w:rsidP="009138B0">
      <w:pPr>
        <w:pStyle w:val="LegalList1"/>
        <w:spacing w:line="360" w:lineRule="auto"/>
        <w:ind w:left="851"/>
        <w:rPr>
          <w:rFonts w:ascii="Times New Roman" w:hAnsi="Times New Roman"/>
        </w:rPr>
      </w:pPr>
      <w:r w:rsidRPr="00764B4C">
        <w:rPr>
          <w:rFonts w:ascii="Times New Roman" w:hAnsi="Times New Roman"/>
          <w:iCs/>
        </w:rPr>
        <w:lastRenderedPageBreak/>
        <w:t>‘A statutory enactment conferring a power in permissive language may nevertheless have to be construed as making it the duty of the person or authority in whom the power is reposed to exercise that power when the conditi</w:t>
      </w:r>
      <w:r w:rsidR="00764B4C">
        <w:rPr>
          <w:rFonts w:ascii="Times New Roman" w:hAnsi="Times New Roman"/>
          <w:iCs/>
        </w:rPr>
        <w:t>ons prescribed as justifying it</w:t>
      </w:r>
      <w:r w:rsidRPr="00764B4C">
        <w:rPr>
          <w:rFonts w:ascii="Times New Roman" w:hAnsi="Times New Roman"/>
          <w:iCs/>
        </w:rPr>
        <w:t xml:space="preserve">s exercise have been satisfied. Whether an enactment should be so construed depends on </w:t>
      </w:r>
      <w:r w:rsidRPr="00764B4C">
        <w:rPr>
          <w:rFonts w:ascii="Times New Roman" w:hAnsi="Times New Roman"/>
          <w:i/>
          <w:iCs/>
        </w:rPr>
        <w:t>inter alia</w:t>
      </w:r>
      <w:r w:rsidRPr="00764B4C">
        <w:rPr>
          <w:rFonts w:ascii="Times New Roman" w:hAnsi="Times New Roman"/>
          <w:iCs/>
        </w:rPr>
        <w:t xml:space="preserve"> the language in which it is couched, the context in which it appears, the general scope and object of the legislation, the nature of the thing empowered to be done and the person or persons for whose benefit the power is to be exercised.’</w:t>
      </w:r>
    </w:p>
    <w:p w:rsidR="00FA28A2"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8B338B">
        <w:rPr>
          <w:rFonts w:ascii="Times New Roman" w:hAnsi="Times New Roman"/>
          <w:sz w:val="28"/>
          <w:szCs w:val="28"/>
        </w:rPr>
        <w:t xml:space="preserve">As the applicant’s complaint is purely administrative in nature he was bound to follow the course ordained in section 115 of the Act which he has failed to do. </w:t>
      </w:r>
      <w:r w:rsidR="00CC5DEC">
        <w:rPr>
          <w:rFonts w:ascii="Times New Roman" w:hAnsi="Times New Roman"/>
          <w:sz w:val="28"/>
          <w:szCs w:val="28"/>
        </w:rPr>
        <w:t>In the circumstances</w:t>
      </w:r>
      <w:r w:rsidR="00B71389">
        <w:rPr>
          <w:rFonts w:ascii="Times New Roman" w:hAnsi="Times New Roman"/>
          <w:sz w:val="28"/>
          <w:szCs w:val="28"/>
        </w:rPr>
        <w:t>,</w:t>
      </w:r>
      <w:r w:rsidR="00CC5DEC">
        <w:rPr>
          <w:rFonts w:ascii="Times New Roman" w:hAnsi="Times New Roman"/>
          <w:sz w:val="28"/>
          <w:szCs w:val="28"/>
        </w:rPr>
        <w:t xml:space="preserve"> t</w:t>
      </w:r>
      <w:r w:rsidR="0031782B">
        <w:rPr>
          <w:rFonts w:ascii="Times New Roman" w:hAnsi="Times New Roman"/>
          <w:sz w:val="28"/>
          <w:szCs w:val="28"/>
        </w:rPr>
        <w:t xml:space="preserve">he pronouncements in the </w:t>
      </w:r>
      <w:r w:rsidR="0031782B" w:rsidRPr="0031782B">
        <w:rPr>
          <w:rFonts w:ascii="Times New Roman" w:hAnsi="Times New Roman"/>
          <w:i/>
          <w:sz w:val="28"/>
          <w:szCs w:val="28"/>
        </w:rPr>
        <w:t>dicta</w:t>
      </w:r>
      <w:r w:rsidR="0031782B">
        <w:rPr>
          <w:rFonts w:ascii="Times New Roman" w:hAnsi="Times New Roman"/>
          <w:sz w:val="28"/>
          <w:szCs w:val="28"/>
        </w:rPr>
        <w:t xml:space="preserve"> cited in the preceding paragraphs impel me to the conclusion that this court has no jurisdiction to hear the matter.</w:t>
      </w:r>
    </w:p>
    <w:p w:rsidR="009138B0"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CC5DEC">
        <w:rPr>
          <w:rFonts w:ascii="Times New Roman" w:hAnsi="Times New Roman"/>
          <w:sz w:val="28"/>
          <w:szCs w:val="28"/>
        </w:rPr>
        <w:t xml:space="preserve">I consider </w:t>
      </w:r>
      <w:r w:rsidR="0001480E">
        <w:rPr>
          <w:rFonts w:ascii="Times New Roman" w:hAnsi="Times New Roman"/>
          <w:sz w:val="28"/>
          <w:szCs w:val="28"/>
        </w:rPr>
        <w:t xml:space="preserve">as well </w:t>
      </w:r>
      <w:r w:rsidR="00B71389">
        <w:rPr>
          <w:rFonts w:ascii="Times New Roman" w:hAnsi="Times New Roman"/>
          <w:sz w:val="28"/>
          <w:szCs w:val="28"/>
        </w:rPr>
        <w:t xml:space="preserve">that </w:t>
      </w:r>
      <w:r w:rsidR="00CC5DEC">
        <w:rPr>
          <w:rFonts w:ascii="Times New Roman" w:hAnsi="Times New Roman"/>
          <w:sz w:val="28"/>
          <w:szCs w:val="28"/>
        </w:rPr>
        <w:t xml:space="preserve">this </w:t>
      </w:r>
      <w:r w:rsidR="004A278F">
        <w:rPr>
          <w:rFonts w:ascii="Times New Roman" w:hAnsi="Times New Roman"/>
          <w:sz w:val="28"/>
          <w:szCs w:val="28"/>
        </w:rPr>
        <w:t xml:space="preserve">court </w:t>
      </w:r>
      <w:r w:rsidR="00CC5DEC">
        <w:rPr>
          <w:rFonts w:ascii="Times New Roman" w:hAnsi="Times New Roman"/>
          <w:sz w:val="28"/>
          <w:szCs w:val="28"/>
        </w:rPr>
        <w:t xml:space="preserve">to be </w:t>
      </w:r>
      <w:r w:rsidR="004A278F">
        <w:rPr>
          <w:rFonts w:ascii="Times New Roman" w:hAnsi="Times New Roman"/>
          <w:sz w:val="28"/>
          <w:szCs w:val="28"/>
        </w:rPr>
        <w:t xml:space="preserve">bound by the </w:t>
      </w:r>
      <w:r w:rsidR="00A513B6">
        <w:rPr>
          <w:rFonts w:ascii="Times New Roman" w:hAnsi="Times New Roman"/>
          <w:sz w:val="28"/>
          <w:szCs w:val="28"/>
        </w:rPr>
        <w:t xml:space="preserve">Full Court </w:t>
      </w:r>
      <w:r w:rsidR="004A278F">
        <w:rPr>
          <w:rFonts w:ascii="Times New Roman" w:hAnsi="Times New Roman"/>
          <w:sz w:val="28"/>
          <w:szCs w:val="28"/>
        </w:rPr>
        <w:t xml:space="preserve">in </w:t>
      </w:r>
      <w:r w:rsidR="00BB2208" w:rsidRPr="00CD1E51">
        <w:rPr>
          <w:rFonts w:ascii="Times New Roman" w:hAnsi="Times New Roman"/>
          <w:i/>
          <w:sz w:val="28"/>
          <w:szCs w:val="28"/>
        </w:rPr>
        <w:t>Ngcenge</w:t>
      </w:r>
      <w:r w:rsidR="00A513B6">
        <w:rPr>
          <w:rFonts w:ascii="Times New Roman" w:hAnsi="Times New Roman"/>
          <w:i/>
          <w:sz w:val="28"/>
          <w:szCs w:val="28"/>
        </w:rPr>
        <w:t> –</w:t>
      </w:r>
      <w:r w:rsidR="00A513B6">
        <w:rPr>
          <w:rFonts w:ascii="Times New Roman" w:hAnsi="Times New Roman"/>
          <w:sz w:val="28"/>
          <w:szCs w:val="28"/>
        </w:rPr>
        <w:t xml:space="preserve"> but</w:t>
      </w:r>
      <w:r w:rsidR="00FA28A2">
        <w:rPr>
          <w:rFonts w:ascii="Times New Roman" w:hAnsi="Times New Roman"/>
          <w:sz w:val="28"/>
          <w:szCs w:val="28"/>
        </w:rPr>
        <w:t xml:space="preserve"> s</w:t>
      </w:r>
      <w:r w:rsidR="00A12E7D">
        <w:rPr>
          <w:rFonts w:ascii="Times New Roman" w:hAnsi="Times New Roman"/>
          <w:sz w:val="28"/>
          <w:szCs w:val="28"/>
        </w:rPr>
        <w:t>hould I be mistaken</w:t>
      </w:r>
      <w:r w:rsidR="00EC7350">
        <w:rPr>
          <w:rFonts w:ascii="Times New Roman" w:hAnsi="Times New Roman"/>
          <w:sz w:val="28"/>
          <w:szCs w:val="28"/>
        </w:rPr>
        <w:t>,</w:t>
      </w:r>
      <w:r w:rsidR="00A12E7D">
        <w:rPr>
          <w:rFonts w:ascii="Times New Roman" w:hAnsi="Times New Roman"/>
          <w:sz w:val="28"/>
          <w:szCs w:val="28"/>
        </w:rPr>
        <w:t xml:space="preserve"> the application nonetheless falls to be dismissed on its merits</w:t>
      </w:r>
      <w:r w:rsidR="00FA28A2">
        <w:rPr>
          <w:rFonts w:ascii="Times New Roman" w:hAnsi="Times New Roman"/>
          <w:sz w:val="28"/>
          <w:szCs w:val="28"/>
        </w:rPr>
        <w:t>.</w:t>
      </w:r>
    </w:p>
    <w:p w:rsidR="004C7B23"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F52785">
        <w:rPr>
          <w:rFonts w:ascii="Times New Roman" w:hAnsi="Times New Roman"/>
          <w:sz w:val="28"/>
          <w:szCs w:val="28"/>
        </w:rPr>
        <w:t xml:space="preserve">There remains the outstanding issue relating to costs. </w:t>
      </w:r>
      <w:r w:rsidR="007C55AF">
        <w:rPr>
          <w:rFonts w:ascii="Times New Roman" w:hAnsi="Times New Roman"/>
          <w:sz w:val="28"/>
          <w:szCs w:val="28"/>
        </w:rPr>
        <w:t>I do not intend belabouring this judgment with factual minutiae</w:t>
      </w:r>
      <w:r w:rsidR="000F42B9">
        <w:rPr>
          <w:rFonts w:ascii="Times New Roman" w:hAnsi="Times New Roman"/>
          <w:sz w:val="28"/>
          <w:szCs w:val="28"/>
        </w:rPr>
        <w:t xml:space="preserve">. </w:t>
      </w:r>
      <w:r w:rsidR="00C53891">
        <w:rPr>
          <w:rFonts w:ascii="Times New Roman" w:hAnsi="Times New Roman"/>
          <w:sz w:val="28"/>
          <w:szCs w:val="28"/>
        </w:rPr>
        <w:t xml:space="preserve">This application was </w:t>
      </w:r>
      <w:r w:rsidR="00271535">
        <w:rPr>
          <w:rFonts w:ascii="Times New Roman" w:hAnsi="Times New Roman"/>
          <w:sz w:val="28"/>
          <w:szCs w:val="28"/>
        </w:rPr>
        <w:t xml:space="preserve">issued </w:t>
      </w:r>
      <w:r w:rsidR="00C53891">
        <w:rPr>
          <w:rFonts w:ascii="Times New Roman" w:hAnsi="Times New Roman"/>
          <w:sz w:val="28"/>
          <w:szCs w:val="28"/>
        </w:rPr>
        <w:t>on 26 June 2014</w:t>
      </w:r>
      <w:r w:rsidR="000F42B9">
        <w:rPr>
          <w:rFonts w:ascii="Times New Roman" w:hAnsi="Times New Roman"/>
          <w:sz w:val="28"/>
          <w:szCs w:val="28"/>
        </w:rPr>
        <w:t xml:space="preserve">. Following an order granted on 26 April 2022 the matter was removed from the </w:t>
      </w:r>
      <w:r w:rsidR="00FD69BC">
        <w:rPr>
          <w:rFonts w:ascii="Times New Roman" w:hAnsi="Times New Roman"/>
          <w:sz w:val="28"/>
          <w:szCs w:val="28"/>
        </w:rPr>
        <w:t xml:space="preserve">unopposed roll where it had been enrolled as an uncontested opposed matter. The order directed </w:t>
      </w:r>
      <w:r w:rsidR="000F42B9">
        <w:rPr>
          <w:rFonts w:ascii="Times New Roman" w:hAnsi="Times New Roman"/>
          <w:sz w:val="28"/>
          <w:szCs w:val="28"/>
        </w:rPr>
        <w:t>the respondent to file its answering affidavit on or before 17 May 2022.</w:t>
      </w:r>
      <w:r w:rsidR="006306E7">
        <w:rPr>
          <w:rFonts w:ascii="Times New Roman" w:hAnsi="Times New Roman"/>
          <w:sz w:val="28"/>
          <w:szCs w:val="28"/>
        </w:rPr>
        <w:t xml:space="preserve"> The order is silent on whether condonation was granted to the respondent.</w:t>
      </w:r>
      <w:r w:rsidR="000F42B9">
        <w:rPr>
          <w:rFonts w:ascii="Times New Roman" w:hAnsi="Times New Roman"/>
          <w:sz w:val="28"/>
          <w:szCs w:val="28"/>
        </w:rPr>
        <w:t xml:space="preserve"> The costs of the hearing of 26 April 2022</w:t>
      </w:r>
      <w:r w:rsidR="00EE7740">
        <w:rPr>
          <w:rFonts w:ascii="Times New Roman" w:hAnsi="Times New Roman"/>
          <w:sz w:val="28"/>
          <w:szCs w:val="28"/>
        </w:rPr>
        <w:t xml:space="preserve"> were reserved. The respondent </w:t>
      </w:r>
      <w:r w:rsidR="00563DAF">
        <w:rPr>
          <w:rFonts w:ascii="Times New Roman" w:hAnsi="Times New Roman"/>
          <w:sz w:val="28"/>
          <w:szCs w:val="28"/>
        </w:rPr>
        <w:t>complied with the order</w:t>
      </w:r>
      <w:r w:rsidR="00EE7740">
        <w:rPr>
          <w:rFonts w:ascii="Times New Roman" w:hAnsi="Times New Roman"/>
          <w:sz w:val="28"/>
          <w:szCs w:val="28"/>
        </w:rPr>
        <w:t xml:space="preserve"> </w:t>
      </w:r>
      <w:r w:rsidR="00563DAF">
        <w:rPr>
          <w:rFonts w:ascii="Times New Roman" w:hAnsi="Times New Roman"/>
          <w:sz w:val="28"/>
          <w:szCs w:val="28"/>
        </w:rPr>
        <w:t>whereafter</w:t>
      </w:r>
      <w:r w:rsidR="00EE7740">
        <w:rPr>
          <w:rFonts w:ascii="Times New Roman" w:hAnsi="Times New Roman"/>
          <w:sz w:val="28"/>
          <w:szCs w:val="28"/>
        </w:rPr>
        <w:t xml:space="preserve"> the matter proceeded to argument on </w:t>
      </w:r>
      <w:r w:rsidR="00563DAF">
        <w:rPr>
          <w:rFonts w:ascii="Times New Roman" w:hAnsi="Times New Roman"/>
          <w:sz w:val="28"/>
          <w:szCs w:val="28"/>
        </w:rPr>
        <w:t xml:space="preserve">the opposed motion court roll on </w:t>
      </w:r>
      <w:r w:rsidR="00EE7740">
        <w:rPr>
          <w:rFonts w:ascii="Times New Roman" w:hAnsi="Times New Roman"/>
          <w:sz w:val="28"/>
          <w:szCs w:val="28"/>
        </w:rPr>
        <w:t>3</w:t>
      </w:r>
      <w:r w:rsidR="00155220">
        <w:rPr>
          <w:rFonts w:ascii="Times New Roman" w:hAnsi="Times New Roman"/>
          <w:sz w:val="28"/>
          <w:szCs w:val="28"/>
        </w:rPr>
        <w:t> </w:t>
      </w:r>
      <w:r w:rsidR="00EE7740">
        <w:rPr>
          <w:rFonts w:ascii="Times New Roman" w:hAnsi="Times New Roman"/>
          <w:sz w:val="28"/>
          <w:szCs w:val="28"/>
        </w:rPr>
        <w:t>November 2022</w:t>
      </w:r>
      <w:r w:rsidR="00323647">
        <w:rPr>
          <w:rFonts w:ascii="Times New Roman" w:hAnsi="Times New Roman"/>
          <w:sz w:val="28"/>
          <w:szCs w:val="28"/>
        </w:rPr>
        <w:t xml:space="preserve"> with condonation being granted </w:t>
      </w:r>
      <w:r w:rsidR="008651A8">
        <w:rPr>
          <w:rFonts w:ascii="Times New Roman" w:hAnsi="Times New Roman"/>
          <w:sz w:val="28"/>
          <w:szCs w:val="28"/>
        </w:rPr>
        <w:t>for the purpose of finality in the matter in the interests of justice.</w:t>
      </w:r>
    </w:p>
    <w:p w:rsidR="00E87EA2"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[38]</w:t>
      </w:r>
      <w:r>
        <w:rPr>
          <w:rFonts w:ascii="Times New Roman" w:hAnsi="Times New Roman"/>
          <w:sz w:val="28"/>
          <w:szCs w:val="28"/>
        </w:rPr>
        <w:tab/>
      </w:r>
      <w:r w:rsidR="00C5485E">
        <w:rPr>
          <w:rFonts w:ascii="Times New Roman" w:hAnsi="Times New Roman"/>
          <w:sz w:val="28"/>
          <w:szCs w:val="28"/>
        </w:rPr>
        <w:t xml:space="preserve">In the period between </w:t>
      </w:r>
      <w:r w:rsidR="00AD5B4C">
        <w:rPr>
          <w:rFonts w:ascii="Times New Roman" w:hAnsi="Times New Roman"/>
          <w:sz w:val="28"/>
          <w:szCs w:val="28"/>
        </w:rPr>
        <w:t xml:space="preserve">26 June 2014 and 26 April 2022 – a </w:t>
      </w:r>
      <w:r w:rsidR="00C5485E">
        <w:rPr>
          <w:rFonts w:ascii="Times New Roman" w:hAnsi="Times New Roman"/>
          <w:sz w:val="28"/>
          <w:szCs w:val="28"/>
        </w:rPr>
        <w:t>hiatus of almost 8 years</w:t>
      </w:r>
      <w:r w:rsidR="00AD5B4C">
        <w:rPr>
          <w:rFonts w:ascii="Times New Roman" w:hAnsi="Times New Roman"/>
          <w:sz w:val="28"/>
          <w:szCs w:val="28"/>
        </w:rPr>
        <w:t xml:space="preserve"> – the </w:t>
      </w:r>
      <w:r w:rsidR="00C5485E">
        <w:rPr>
          <w:rFonts w:ascii="Times New Roman" w:hAnsi="Times New Roman"/>
          <w:sz w:val="28"/>
          <w:szCs w:val="28"/>
        </w:rPr>
        <w:t xml:space="preserve">applicant </w:t>
      </w:r>
      <w:r w:rsidR="00E87EA2">
        <w:rPr>
          <w:rFonts w:ascii="Times New Roman" w:hAnsi="Times New Roman"/>
          <w:sz w:val="28"/>
          <w:szCs w:val="28"/>
        </w:rPr>
        <w:t xml:space="preserve">similarly defaulted by failing to take </w:t>
      </w:r>
      <w:r w:rsidR="0012247B">
        <w:rPr>
          <w:rFonts w:ascii="Times New Roman" w:hAnsi="Times New Roman"/>
          <w:sz w:val="28"/>
          <w:szCs w:val="28"/>
        </w:rPr>
        <w:t>steps to have the matter set down for hearing</w:t>
      </w:r>
      <w:r w:rsidR="00210DDF">
        <w:rPr>
          <w:rFonts w:ascii="Times New Roman" w:hAnsi="Times New Roman"/>
          <w:sz w:val="28"/>
          <w:szCs w:val="28"/>
        </w:rPr>
        <w:t xml:space="preserve"> on an expedited basis</w:t>
      </w:r>
      <w:r w:rsidR="0012247B">
        <w:rPr>
          <w:rFonts w:ascii="Times New Roman" w:hAnsi="Times New Roman"/>
          <w:sz w:val="28"/>
          <w:szCs w:val="28"/>
        </w:rPr>
        <w:t xml:space="preserve"> in accordance with rule 6(5)(f)(i) of the </w:t>
      </w:r>
      <w:r w:rsidR="0001480E">
        <w:rPr>
          <w:rFonts w:ascii="Times New Roman" w:hAnsi="Times New Roman"/>
          <w:sz w:val="28"/>
          <w:szCs w:val="28"/>
        </w:rPr>
        <w:t>U</w:t>
      </w:r>
      <w:r w:rsidR="0012247B">
        <w:rPr>
          <w:rFonts w:ascii="Times New Roman" w:hAnsi="Times New Roman"/>
          <w:sz w:val="28"/>
          <w:szCs w:val="28"/>
        </w:rPr>
        <w:t xml:space="preserve">niform </w:t>
      </w:r>
      <w:r w:rsidR="0001480E">
        <w:rPr>
          <w:rFonts w:ascii="Times New Roman" w:hAnsi="Times New Roman"/>
          <w:sz w:val="28"/>
          <w:szCs w:val="28"/>
        </w:rPr>
        <w:t>R</w:t>
      </w:r>
      <w:r w:rsidR="0012247B">
        <w:rPr>
          <w:rFonts w:ascii="Times New Roman" w:hAnsi="Times New Roman"/>
          <w:sz w:val="28"/>
          <w:szCs w:val="28"/>
        </w:rPr>
        <w:t xml:space="preserve">ules of </w:t>
      </w:r>
      <w:r w:rsidR="0001480E">
        <w:rPr>
          <w:rFonts w:ascii="Times New Roman" w:hAnsi="Times New Roman"/>
          <w:sz w:val="28"/>
          <w:szCs w:val="28"/>
        </w:rPr>
        <w:t>C</w:t>
      </w:r>
      <w:r w:rsidR="0012247B">
        <w:rPr>
          <w:rFonts w:ascii="Times New Roman" w:hAnsi="Times New Roman"/>
          <w:sz w:val="28"/>
          <w:szCs w:val="28"/>
        </w:rPr>
        <w:t xml:space="preserve">ourt. </w:t>
      </w:r>
      <w:r w:rsidR="00E87EA2">
        <w:rPr>
          <w:rFonts w:ascii="Times New Roman" w:hAnsi="Times New Roman"/>
          <w:sz w:val="28"/>
          <w:szCs w:val="28"/>
        </w:rPr>
        <w:t>Overall, t</w:t>
      </w:r>
      <w:r w:rsidR="00505AFB">
        <w:rPr>
          <w:rFonts w:ascii="Times New Roman" w:hAnsi="Times New Roman"/>
          <w:sz w:val="28"/>
          <w:szCs w:val="28"/>
        </w:rPr>
        <w:t xml:space="preserve">he respondent contended for </w:t>
      </w:r>
      <w:r w:rsidR="00FA5248">
        <w:rPr>
          <w:rFonts w:ascii="Times New Roman" w:hAnsi="Times New Roman"/>
          <w:sz w:val="28"/>
          <w:szCs w:val="28"/>
        </w:rPr>
        <w:t xml:space="preserve">the reserved costs to be declared costs in the cause and that such </w:t>
      </w:r>
      <w:r w:rsidR="00505AFB">
        <w:rPr>
          <w:rFonts w:ascii="Times New Roman" w:hAnsi="Times New Roman"/>
          <w:sz w:val="28"/>
          <w:szCs w:val="28"/>
        </w:rPr>
        <w:t xml:space="preserve">costs </w:t>
      </w:r>
      <w:r w:rsidR="00D62F18">
        <w:rPr>
          <w:rFonts w:ascii="Times New Roman" w:hAnsi="Times New Roman"/>
          <w:sz w:val="28"/>
          <w:szCs w:val="28"/>
        </w:rPr>
        <w:t xml:space="preserve">be </w:t>
      </w:r>
      <w:r w:rsidR="00505AFB">
        <w:rPr>
          <w:rFonts w:ascii="Times New Roman" w:hAnsi="Times New Roman"/>
          <w:sz w:val="28"/>
          <w:szCs w:val="28"/>
        </w:rPr>
        <w:t>punitive on the basis that the applicant’s legal representative had first</w:t>
      </w:r>
      <w:r w:rsidR="00BB2208">
        <w:rPr>
          <w:rFonts w:ascii="Times New Roman" w:hAnsi="Times New Roman"/>
          <w:sz w:val="28"/>
          <w:szCs w:val="28"/>
        </w:rPr>
        <w:t>-</w:t>
      </w:r>
      <w:r w:rsidR="00505AFB">
        <w:rPr>
          <w:rFonts w:ascii="Times New Roman" w:hAnsi="Times New Roman"/>
          <w:sz w:val="28"/>
          <w:szCs w:val="28"/>
        </w:rPr>
        <w:t xml:space="preserve">hand knowledge of </w:t>
      </w:r>
      <w:r w:rsidR="00BB2208">
        <w:rPr>
          <w:rFonts w:ascii="Times New Roman" w:hAnsi="Times New Roman"/>
          <w:sz w:val="28"/>
          <w:szCs w:val="28"/>
        </w:rPr>
        <w:t xml:space="preserve">the decision in </w:t>
      </w:r>
      <w:r w:rsidR="00BB2208" w:rsidRPr="00CD1E51">
        <w:rPr>
          <w:rFonts w:ascii="Times New Roman" w:hAnsi="Times New Roman"/>
          <w:i/>
          <w:sz w:val="28"/>
          <w:szCs w:val="28"/>
        </w:rPr>
        <w:t>Ngcenge</w:t>
      </w:r>
      <w:r w:rsidR="00BB2208">
        <w:rPr>
          <w:rFonts w:ascii="Times New Roman" w:hAnsi="Times New Roman"/>
          <w:sz w:val="28"/>
          <w:szCs w:val="28"/>
        </w:rPr>
        <w:t xml:space="preserve"> in which </w:t>
      </w:r>
      <w:r w:rsidR="0001480E">
        <w:rPr>
          <w:rFonts w:ascii="Times New Roman" w:hAnsi="Times New Roman"/>
          <w:sz w:val="28"/>
          <w:szCs w:val="28"/>
        </w:rPr>
        <w:t xml:space="preserve">the said representative appeared </w:t>
      </w:r>
      <w:r w:rsidR="003E241A">
        <w:rPr>
          <w:rFonts w:ascii="Times New Roman" w:hAnsi="Times New Roman"/>
          <w:sz w:val="28"/>
          <w:szCs w:val="28"/>
        </w:rPr>
        <w:t>in that matter</w:t>
      </w:r>
      <w:r w:rsidR="00AF0E46">
        <w:rPr>
          <w:rFonts w:ascii="Times New Roman" w:hAnsi="Times New Roman"/>
          <w:sz w:val="28"/>
          <w:szCs w:val="28"/>
        </w:rPr>
        <w:t xml:space="preserve">. It was also contended that </w:t>
      </w:r>
      <w:r w:rsidR="003E241A">
        <w:rPr>
          <w:rFonts w:ascii="Times New Roman" w:hAnsi="Times New Roman"/>
          <w:sz w:val="28"/>
          <w:szCs w:val="28"/>
        </w:rPr>
        <w:t xml:space="preserve">the denial on oath by the applicant of the establishment of the Tribunal (i.e. </w:t>
      </w:r>
      <w:r w:rsidR="005629A5">
        <w:rPr>
          <w:rFonts w:ascii="Times New Roman" w:hAnsi="Times New Roman"/>
          <w:sz w:val="28"/>
          <w:szCs w:val="28"/>
        </w:rPr>
        <w:t xml:space="preserve">the </w:t>
      </w:r>
      <w:r w:rsidR="003E241A">
        <w:rPr>
          <w:rFonts w:ascii="Times New Roman" w:hAnsi="Times New Roman"/>
          <w:sz w:val="28"/>
          <w:szCs w:val="28"/>
        </w:rPr>
        <w:t xml:space="preserve">National Consumer Tribunal) as a mechanism for giving effect to section 115 of the Act was </w:t>
      </w:r>
      <w:r w:rsidR="00C41772">
        <w:rPr>
          <w:rFonts w:ascii="Times New Roman" w:hAnsi="Times New Roman"/>
          <w:sz w:val="28"/>
          <w:szCs w:val="28"/>
        </w:rPr>
        <w:t>‘</w:t>
      </w:r>
      <w:r w:rsidR="003E241A">
        <w:rPr>
          <w:rFonts w:ascii="Times New Roman" w:hAnsi="Times New Roman"/>
          <w:sz w:val="28"/>
          <w:szCs w:val="28"/>
        </w:rPr>
        <w:t>shocking</w:t>
      </w:r>
      <w:r w:rsidR="00C41772">
        <w:rPr>
          <w:rFonts w:ascii="Times New Roman" w:hAnsi="Times New Roman"/>
          <w:sz w:val="28"/>
          <w:szCs w:val="28"/>
        </w:rPr>
        <w:t>’</w:t>
      </w:r>
      <w:r w:rsidR="003E241A">
        <w:rPr>
          <w:rFonts w:ascii="Times New Roman" w:hAnsi="Times New Roman"/>
          <w:sz w:val="28"/>
          <w:szCs w:val="28"/>
        </w:rPr>
        <w:t xml:space="preserve">. </w:t>
      </w:r>
      <w:r w:rsidR="005629A5">
        <w:rPr>
          <w:rFonts w:ascii="Times New Roman" w:hAnsi="Times New Roman"/>
          <w:sz w:val="28"/>
          <w:szCs w:val="28"/>
        </w:rPr>
        <w:t>Although these submissions were not countered in replying argument</w:t>
      </w:r>
      <w:r w:rsidR="000A4E2F">
        <w:rPr>
          <w:rFonts w:ascii="Times New Roman" w:hAnsi="Times New Roman"/>
          <w:sz w:val="28"/>
          <w:szCs w:val="28"/>
        </w:rPr>
        <w:t xml:space="preserve">, neither </w:t>
      </w:r>
      <w:r w:rsidR="00210DDF">
        <w:rPr>
          <w:rFonts w:ascii="Times New Roman" w:hAnsi="Times New Roman"/>
          <w:sz w:val="28"/>
          <w:szCs w:val="28"/>
        </w:rPr>
        <w:t xml:space="preserve">party </w:t>
      </w:r>
      <w:r w:rsidR="0012035B">
        <w:rPr>
          <w:rFonts w:ascii="Times New Roman" w:hAnsi="Times New Roman"/>
          <w:sz w:val="28"/>
          <w:szCs w:val="28"/>
        </w:rPr>
        <w:t>to</w:t>
      </w:r>
      <w:r w:rsidR="00DD62F0">
        <w:rPr>
          <w:rFonts w:ascii="Times New Roman" w:hAnsi="Times New Roman"/>
          <w:sz w:val="28"/>
          <w:szCs w:val="28"/>
        </w:rPr>
        <w:t>ok</w:t>
      </w:r>
      <w:r w:rsidR="0012035B">
        <w:rPr>
          <w:rFonts w:ascii="Times New Roman" w:hAnsi="Times New Roman"/>
          <w:sz w:val="28"/>
          <w:szCs w:val="28"/>
        </w:rPr>
        <w:t xml:space="preserve"> this court into the</w:t>
      </w:r>
      <w:r w:rsidR="00DD62F0">
        <w:rPr>
          <w:rFonts w:ascii="Times New Roman" w:hAnsi="Times New Roman"/>
          <w:sz w:val="28"/>
          <w:szCs w:val="28"/>
        </w:rPr>
        <w:t>ir</w:t>
      </w:r>
      <w:r w:rsidR="0012035B">
        <w:rPr>
          <w:rFonts w:ascii="Times New Roman" w:hAnsi="Times New Roman"/>
          <w:sz w:val="28"/>
          <w:szCs w:val="28"/>
        </w:rPr>
        <w:t xml:space="preserve"> confidence by </w:t>
      </w:r>
      <w:r w:rsidR="00D62F18">
        <w:rPr>
          <w:rFonts w:ascii="Times New Roman" w:hAnsi="Times New Roman"/>
          <w:sz w:val="28"/>
          <w:szCs w:val="28"/>
        </w:rPr>
        <w:t xml:space="preserve">unequivocally </w:t>
      </w:r>
      <w:r w:rsidR="0012035B">
        <w:rPr>
          <w:rFonts w:ascii="Times New Roman" w:hAnsi="Times New Roman"/>
          <w:sz w:val="28"/>
          <w:szCs w:val="28"/>
        </w:rPr>
        <w:t>explaining t</w:t>
      </w:r>
      <w:r w:rsidR="00210DDF">
        <w:rPr>
          <w:rFonts w:ascii="Times New Roman" w:hAnsi="Times New Roman"/>
          <w:sz w:val="28"/>
          <w:szCs w:val="28"/>
        </w:rPr>
        <w:t>heir default</w:t>
      </w:r>
      <w:r w:rsidR="00E87EA2">
        <w:rPr>
          <w:rFonts w:ascii="Times New Roman" w:hAnsi="Times New Roman"/>
          <w:sz w:val="28"/>
          <w:szCs w:val="28"/>
        </w:rPr>
        <w:t xml:space="preserve"> in the conduct of the</w:t>
      </w:r>
      <w:r w:rsidR="000A4E2F">
        <w:rPr>
          <w:rFonts w:ascii="Times New Roman" w:hAnsi="Times New Roman"/>
          <w:sz w:val="28"/>
          <w:szCs w:val="28"/>
        </w:rPr>
        <w:t xml:space="preserve"> matter</w:t>
      </w:r>
      <w:r w:rsidR="00210DDF">
        <w:rPr>
          <w:rFonts w:ascii="Times New Roman" w:hAnsi="Times New Roman"/>
          <w:sz w:val="28"/>
          <w:szCs w:val="28"/>
        </w:rPr>
        <w:t>.</w:t>
      </w:r>
      <w:r w:rsidR="00CF71B3">
        <w:rPr>
          <w:rFonts w:ascii="Times New Roman" w:hAnsi="Times New Roman"/>
          <w:sz w:val="28"/>
          <w:szCs w:val="28"/>
        </w:rPr>
        <w:t xml:space="preserve"> The court nonetheless derived assistance from the parties’ legal submissions on the </w:t>
      </w:r>
      <w:r w:rsidR="005871FF">
        <w:rPr>
          <w:rFonts w:ascii="Times New Roman" w:hAnsi="Times New Roman"/>
          <w:sz w:val="28"/>
          <w:szCs w:val="28"/>
        </w:rPr>
        <w:t xml:space="preserve">material </w:t>
      </w:r>
      <w:r w:rsidR="00CF71B3">
        <w:rPr>
          <w:rFonts w:ascii="Times New Roman" w:hAnsi="Times New Roman"/>
          <w:sz w:val="28"/>
          <w:szCs w:val="28"/>
        </w:rPr>
        <w:t>raised on the merits</w:t>
      </w:r>
      <w:r w:rsidR="00D62F18">
        <w:rPr>
          <w:rFonts w:ascii="Times New Roman" w:hAnsi="Times New Roman"/>
          <w:sz w:val="28"/>
          <w:szCs w:val="28"/>
        </w:rPr>
        <w:t>,</w:t>
      </w:r>
      <w:r w:rsidR="00CF71B3">
        <w:rPr>
          <w:rFonts w:ascii="Times New Roman" w:hAnsi="Times New Roman"/>
          <w:sz w:val="28"/>
          <w:szCs w:val="28"/>
        </w:rPr>
        <w:t xml:space="preserve"> </w:t>
      </w:r>
      <w:r w:rsidR="004C7B23">
        <w:rPr>
          <w:rFonts w:ascii="Times New Roman" w:hAnsi="Times New Roman"/>
          <w:sz w:val="28"/>
          <w:szCs w:val="28"/>
        </w:rPr>
        <w:t>as well as their submissions</w:t>
      </w:r>
      <w:r w:rsidR="00CF71B3">
        <w:rPr>
          <w:rFonts w:ascii="Times New Roman" w:hAnsi="Times New Roman"/>
          <w:sz w:val="28"/>
          <w:szCs w:val="28"/>
        </w:rPr>
        <w:t xml:space="preserve"> </w:t>
      </w:r>
      <w:r w:rsidR="00CF71B3" w:rsidRPr="00CF71B3">
        <w:rPr>
          <w:rFonts w:ascii="Times New Roman" w:hAnsi="Times New Roman"/>
          <w:i/>
          <w:sz w:val="28"/>
          <w:szCs w:val="28"/>
        </w:rPr>
        <w:t>in limine</w:t>
      </w:r>
      <w:r w:rsidR="00CF71B3">
        <w:rPr>
          <w:rFonts w:ascii="Times New Roman" w:hAnsi="Times New Roman"/>
          <w:sz w:val="28"/>
          <w:szCs w:val="28"/>
        </w:rPr>
        <w:t>.</w:t>
      </w:r>
    </w:p>
    <w:p w:rsidR="00A25931"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5871FF">
        <w:rPr>
          <w:rFonts w:ascii="Times New Roman" w:hAnsi="Times New Roman"/>
          <w:sz w:val="28"/>
          <w:szCs w:val="28"/>
        </w:rPr>
        <w:t>T</w:t>
      </w:r>
      <w:r w:rsidR="0012035B">
        <w:rPr>
          <w:rFonts w:ascii="Times New Roman" w:hAnsi="Times New Roman"/>
          <w:sz w:val="28"/>
          <w:szCs w:val="28"/>
        </w:rPr>
        <w:t xml:space="preserve">he principle that costs should follow the result must </w:t>
      </w:r>
      <w:r w:rsidR="00FA5248">
        <w:rPr>
          <w:rFonts w:ascii="Times New Roman" w:hAnsi="Times New Roman"/>
          <w:sz w:val="28"/>
          <w:szCs w:val="28"/>
        </w:rPr>
        <w:t xml:space="preserve">therefore </w:t>
      </w:r>
      <w:r w:rsidR="0012035B">
        <w:rPr>
          <w:rFonts w:ascii="Times New Roman" w:hAnsi="Times New Roman"/>
          <w:sz w:val="28"/>
          <w:szCs w:val="28"/>
        </w:rPr>
        <w:t xml:space="preserve">apply, </w:t>
      </w:r>
      <w:r w:rsidR="005871FF">
        <w:rPr>
          <w:rFonts w:ascii="Times New Roman" w:hAnsi="Times New Roman"/>
          <w:sz w:val="28"/>
          <w:szCs w:val="28"/>
        </w:rPr>
        <w:t xml:space="preserve">though </w:t>
      </w:r>
      <w:r w:rsidR="00A25931">
        <w:rPr>
          <w:rFonts w:ascii="Times New Roman" w:hAnsi="Times New Roman"/>
          <w:sz w:val="28"/>
          <w:szCs w:val="28"/>
        </w:rPr>
        <w:t xml:space="preserve">I think it is eminently sensible in </w:t>
      </w:r>
      <w:r w:rsidR="00E87EA2">
        <w:rPr>
          <w:rFonts w:ascii="Times New Roman" w:hAnsi="Times New Roman"/>
          <w:sz w:val="28"/>
          <w:szCs w:val="28"/>
        </w:rPr>
        <w:t xml:space="preserve">the exercise of </w:t>
      </w:r>
      <w:r w:rsidR="00A25931">
        <w:rPr>
          <w:rFonts w:ascii="Times New Roman" w:hAnsi="Times New Roman"/>
          <w:sz w:val="28"/>
          <w:szCs w:val="28"/>
        </w:rPr>
        <w:t xml:space="preserve">my discretion </w:t>
      </w:r>
      <w:r w:rsidR="00DD62F0">
        <w:rPr>
          <w:rFonts w:ascii="Times New Roman" w:hAnsi="Times New Roman"/>
          <w:sz w:val="28"/>
          <w:szCs w:val="28"/>
        </w:rPr>
        <w:t xml:space="preserve">on the question of the reserved costs </w:t>
      </w:r>
      <w:r w:rsidR="00A25931">
        <w:rPr>
          <w:rFonts w:ascii="Times New Roman" w:hAnsi="Times New Roman"/>
          <w:sz w:val="28"/>
          <w:szCs w:val="28"/>
        </w:rPr>
        <w:t xml:space="preserve">to </w:t>
      </w:r>
      <w:r w:rsidR="00DD62F0">
        <w:rPr>
          <w:rFonts w:ascii="Times New Roman" w:hAnsi="Times New Roman"/>
          <w:sz w:val="28"/>
          <w:szCs w:val="28"/>
        </w:rPr>
        <w:t xml:space="preserve">make the order reflected </w:t>
      </w:r>
      <w:r w:rsidR="00A25931">
        <w:rPr>
          <w:rFonts w:ascii="Times New Roman" w:hAnsi="Times New Roman"/>
          <w:sz w:val="28"/>
          <w:szCs w:val="28"/>
        </w:rPr>
        <w:t xml:space="preserve">below. </w:t>
      </w:r>
    </w:p>
    <w:p w:rsidR="00A25931" w:rsidRDefault="00AB476A" w:rsidP="00AB476A">
      <w:pPr>
        <w:pStyle w:val="LegalList1"/>
        <w:spacing w:line="360" w:lineRule="auto"/>
        <w:ind w:left="851" w:hanging="851"/>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A25931">
        <w:rPr>
          <w:rFonts w:ascii="Times New Roman" w:hAnsi="Times New Roman"/>
          <w:sz w:val="28"/>
          <w:szCs w:val="28"/>
        </w:rPr>
        <w:t xml:space="preserve">In the result, I make the following order: </w:t>
      </w:r>
    </w:p>
    <w:p w:rsidR="0012035B" w:rsidRDefault="00A25931" w:rsidP="008E36A9">
      <w:pPr>
        <w:pStyle w:val="LegalList1"/>
        <w:spacing w:line="360" w:lineRule="auto"/>
        <w:ind w:left="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05AFB">
        <w:rPr>
          <w:rFonts w:ascii="Times New Roman" w:hAnsi="Times New Roman"/>
          <w:sz w:val="28"/>
          <w:szCs w:val="28"/>
        </w:rPr>
        <w:t>The application is dismissed with costs</w:t>
      </w:r>
      <w:r w:rsidR="0012035B">
        <w:rPr>
          <w:rFonts w:ascii="Times New Roman" w:hAnsi="Times New Roman"/>
          <w:sz w:val="28"/>
          <w:szCs w:val="28"/>
        </w:rPr>
        <w:t>.</w:t>
      </w:r>
    </w:p>
    <w:p w:rsidR="008E36A9" w:rsidRDefault="0012035B" w:rsidP="008E36A9">
      <w:pPr>
        <w:pStyle w:val="LegalList1"/>
        <w:spacing w:line="360" w:lineRule="auto"/>
        <w:ind w:left="1571" w:hanging="72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Each party shall pay their own costs in respect of the reserved costs </w:t>
      </w:r>
      <w:r w:rsidR="008E36A9">
        <w:rPr>
          <w:rFonts w:ascii="Times New Roman" w:hAnsi="Times New Roman"/>
          <w:sz w:val="28"/>
          <w:szCs w:val="28"/>
        </w:rPr>
        <w:t xml:space="preserve">attendant on the order of 26 April 2022. </w:t>
      </w:r>
    </w:p>
    <w:p w:rsidR="008E36A9" w:rsidRDefault="008E36A9" w:rsidP="008E36A9">
      <w:pPr>
        <w:pStyle w:val="LegalList1"/>
        <w:spacing w:line="360" w:lineRule="auto"/>
        <w:rPr>
          <w:rFonts w:ascii="Times New Roman" w:hAnsi="Times New Roman"/>
          <w:sz w:val="28"/>
          <w:szCs w:val="28"/>
        </w:rPr>
      </w:pPr>
    </w:p>
    <w:p w:rsidR="008E36A9" w:rsidRDefault="008E36A9" w:rsidP="008E36A9">
      <w:pPr>
        <w:pStyle w:val="LegalList1"/>
        <w:spacing w:line="360" w:lineRule="auto"/>
        <w:rPr>
          <w:rFonts w:ascii="Times New Roman" w:hAnsi="Times New Roman"/>
          <w:sz w:val="28"/>
          <w:szCs w:val="28"/>
        </w:rPr>
      </w:pPr>
    </w:p>
    <w:p w:rsidR="00A65A4F" w:rsidRDefault="00A65A4F" w:rsidP="008E36A9">
      <w:pPr>
        <w:pStyle w:val="LegalList1"/>
        <w:spacing w:line="360" w:lineRule="auto"/>
        <w:rPr>
          <w:rFonts w:ascii="Times New Roman" w:hAnsi="Times New Roman"/>
          <w:sz w:val="28"/>
          <w:szCs w:val="28"/>
        </w:rPr>
      </w:pPr>
    </w:p>
    <w:p w:rsidR="00A65A4F" w:rsidRDefault="00A65A4F" w:rsidP="008E36A9">
      <w:pPr>
        <w:pStyle w:val="LegalList1"/>
        <w:spacing w:line="360" w:lineRule="auto"/>
        <w:rPr>
          <w:rFonts w:ascii="Times New Roman" w:hAnsi="Times New Roman"/>
          <w:sz w:val="28"/>
          <w:szCs w:val="28"/>
        </w:rPr>
      </w:pPr>
    </w:p>
    <w:p w:rsidR="008E36A9" w:rsidRDefault="008E36A9" w:rsidP="008E36A9">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8E36A9" w:rsidRPr="009E483B" w:rsidRDefault="008E36A9" w:rsidP="008E36A9">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8E36A9" w:rsidRPr="009E483B" w:rsidRDefault="008E36A9" w:rsidP="008E36A9">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155220" w:rsidRDefault="00155220" w:rsidP="004A7D60">
      <w:pPr>
        <w:pStyle w:val="LegalList1"/>
        <w:spacing w:line="240" w:lineRule="auto"/>
        <w:ind w:left="851"/>
        <w:rPr>
          <w:rFonts w:ascii="Times New Roman" w:hAnsi="Times New Roman"/>
          <w:sz w:val="28"/>
          <w:szCs w:val="28"/>
        </w:rPr>
      </w:pPr>
    </w:p>
    <w:p w:rsidR="004A7D60" w:rsidRDefault="004A7D60" w:rsidP="004A7D60">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4A7D60" w:rsidRPr="009E483B" w:rsidRDefault="004A7D60" w:rsidP="004A7D60">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t>A. S. Zono</w:t>
      </w:r>
    </w:p>
    <w:p w:rsidR="004A7D60" w:rsidRPr="00AB476A" w:rsidRDefault="00AB476A" w:rsidP="00AB476A">
      <w:pPr>
        <w:ind w:left="4682" w:hanging="360"/>
        <w:rPr>
          <w:rFonts w:ascii="Times New Roman" w:hAnsi="Times New Roman" w:cs="Times New Roman"/>
          <w:sz w:val="28"/>
          <w:szCs w:val="28"/>
        </w:rPr>
      </w:pPr>
      <w:r w:rsidRPr="00FC011D">
        <w:rPr>
          <w:rFonts w:ascii="Times New Roman" w:hAnsi="Times New Roman" w:cs="Times New Roman"/>
          <w:sz w:val="28"/>
          <w:szCs w:val="28"/>
        </w:rPr>
        <w:t>A.</w:t>
      </w:r>
      <w:r w:rsidRPr="00FC011D">
        <w:rPr>
          <w:rFonts w:ascii="Times New Roman" w:hAnsi="Times New Roman" w:cs="Times New Roman"/>
          <w:sz w:val="28"/>
          <w:szCs w:val="28"/>
        </w:rPr>
        <w:tab/>
      </w:r>
      <w:r w:rsidR="004A7D60" w:rsidRPr="00AB476A">
        <w:rPr>
          <w:rFonts w:ascii="Times New Roman" w:hAnsi="Times New Roman" w:cs="Times New Roman"/>
          <w:sz w:val="28"/>
          <w:szCs w:val="28"/>
        </w:rPr>
        <w:t>S. Zono &amp; Associates</w:t>
      </w:r>
    </w:p>
    <w:p w:rsidR="004A7D60" w:rsidRDefault="004A7D60" w:rsidP="00875DEF">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875DEF">
        <w:rPr>
          <w:rFonts w:ascii="Times New Roman" w:hAnsi="Times New Roman" w:cs="Times New Roman"/>
          <w:sz w:val="28"/>
          <w:szCs w:val="28"/>
        </w:rPr>
        <w:t>Mthatha</w:t>
      </w:r>
    </w:p>
    <w:p w:rsidR="004A7D60" w:rsidRDefault="004A7D60" w:rsidP="004A7D60">
      <w:pPr>
        <w:ind w:left="3862" w:firstLine="458"/>
        <w:rPr>
          <w:rFonts w:ascii="Times New Roman" w:hAnsi="Times New Roman" w:cs="Times New Roman"/>
          <w:sz w:val="28"/>
          <w:szCs w:val="28"/>
        </w:rPr>
      </w:pPr>
      <w:r>
        <w:rPr>
          <w:rFonts w:ascii="Times New Roman" w:hAnsi="Times New Roman" w:cs="Times New Roman"/>
          <w:sz w:val="28"/>
          <w:szCs w:val="28"/>
        </w:rPr>
        <w:t>Tel: 0</w:t>
      </w:r>
      <w:r w:rsidR="00875DEF">
        <w:rPr>
          <w:rFonts w:ascii="Times New Roman" w:hAnsi="Times New Roman" w:cs="Times New Roman"/>
          <w:sz w:val="28"/>
          <w:szCs w:val="28"/>
        </w:rPr>
        <w:t>83 364 3515 or 047- 532 4263</w:t>
      </w:r>
    </w:p>
    <w:p w:rsidR="004A7D60" w:rsidRPr="004662B9" w:rsidRDefault="004A7D60" w:rsidP="004A7D60">
      <w:pPr>
        <w:ind w:left="3862" w:firstLine="458"/>
        <w:rPr>
          <w:rFonts w:ascii="Times New Roman" w:hAnsi="Times New Roman" w:cs="Times New Roman"/>
          <w:sz w:val="28"/>
          <w:szCs w:val="28"/>
        </w:rPr>
      </w:pPr>
      <w:r w:rsidRPr="004662B9">
        <w:rPr>
          <w:rFonts w:ascii="Times New Roman" w:hAnsi="Times New Roman" w:cs="Times New Roman"/>
          <w:sz w:val="28"/>
          <w:szCs w:val="28"/>
        </w:rPr>
        <w:t xml:space="preserve">Email: </w:t>
      </w:r>
      <w:hyperlink r:id="rId9" w:history="1">
        <w:r w:rsidRPr="004662B9">
          <w:rPr>
            <w:rStyle w:val="Hyperlink"/>
            <w:rFonts w:ascii="Times New Roman" w:hAnsi="Times New Roman" w:cs="Times New Roman"/>
            <w:sz w:val="28"/>
            <w:szCs w:val="28"/>
          </w:rPr>
          <w:t>zono@telkomsa.net</w:t>
        </w:r>
      </w:hyperlink>
    </w:p>
    <w:p w:rsidR="004A7D60" w:rsidRDefault="00023A37" w:rsidP="004A7D60">
      <w:pPr>
        <w:ind w:left="3862" w:firstLine="458"/>
        <w:rPr>
          <w:rFonts w:ascii="Times New Roman" w:hAnsi="Times New Roman" w:cs="Times New Roman"/>
          <w:sz w:val="28"/>
          <w:szCs w:val="28"/>
        </w:rPr>
      </w:pPr>
      <w:hyperlink r:id="rId10" w:history="1">
        <w:r w:rsidR="004A7D60" w:rsidRPr="004662B9">
          <w:rPr>
            <w:rStyle w:val="Hyperlink"/>
            <w:rFonts w:ascii="Times New Roman" w:hAnsi="Times New Roman" w:cs="Times New Roman"/>
            <w:sz w:val="28"/>
            <w:szCs w:val="28"/>
          </w:rPr>
          <w:t>aronsiphozono@gmail.com</w:t>
        </w:r>
      </w:hyperlink>
    </w:p>
    <w:p w:rsidR="004A7D60" w:rsidRDefault="00875DEF" w:rsidP="004A7D60">
      <w:pPr>
        <w:ind w:left="3862" w:firstLine="458"/>
        <w:rPr>
          <w:rFonts w:ascii="Times New Roman" w:hAnsi="Times New Roman" w:cs="Times New Roman"/>
          <w:sz w:val="28"/>
          <w:szCs w:val="28"/>
        </w:rPr>
      </w:pPr>
      <w:r w:rsidRPr="009E483B">
        <w:rPr>
          <w:rFonts w:ascii="Times New Roman" w:hAnsi="Times New Roman" w:cs="Times New Roman"/>
          <w:sz w:val="28"/>
          <w:szCs w:val="28"/>
        </w:rPr>
        <w:t xml:space="preserve"> </w:t>
      </w:r>
      <w:r w:rsidR="004A7D60" w:rsidRPr="009E483B">
        <w:rPr>
          <w:rFonts w:ascii="Times New Roman" w:hAnsi="Times New Roman" w:cs="Times New Roman"/>
          <w:sz w:val="28"/>
          <w:szCs w:val="28"/>
        </w:rPr>
        <w:t xml:space="preserve">(Ref: </w:t>
      </w:r>
      <w:r w:rsidR="006634A3">
        <w:rPr>
          <w:rFonts w:ascii="Times New Roman" w:hAnsi="Times New Roman" w:cs="Times New Roman"/>
          <w:sz w:val="28"/>
          <w:szCs w:val="28"/>
        </w:rPr>
        <w:t>Mr Zono</w:t>
      </w:r>
      <w:r w:rsidR="004A7D60">
        <w:rPr>
          <w:rFonts w:ascii="Times New Roman" w:hAnsi="Times New Roman" w:cs="Times New Roman"/>
          <w:sz w:val="28"/>
          <w:szCs w:val="28"/>
        </w:rPr>
        <w:t>)</w:t>
      </w:r>
    </w:p>
    <w:p w:rsidR="004A7D60" w:rsidRPr="009E483B" w:rsidRDefault="004A7D60" w:rsidP="004A7D60">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7D60" w:rsidRPr="00DE1B37" w:rsidRDefault="004A7D60" w:rsidP="004A7D60">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Respondent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6634A3">
        <w:rPr>
          <w:rFonts w:ascii="Times New Roman" w:hAnsi="Times New Roman" w:cs="Times New Roman"/>
          <w:sz w:val="28"/>
          <w:szCs w:val="28"/>
        </w:rPr>
        <w:t>D. C. Bothma</w:t>
      </w:r>
    </w:p>
    <w:p w:rsidR="004A7D60" w:rsidRDefault="004A7D60" w:rsidP="004A7D60">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9C1AE7" w:rsidRDefault="009C1AE7" w:rsidP="004A7D60">
      <w:pPr>
        <w:ind w:left="3600" w:firstLine="720"/>
        <w:rPr>
          <w:rFonts w:ascii="Times New Roman" w:hAnsi="Times New Roman" w:cs="Times New Roman"/>
          <w:sz w:val="28"/>
          <w:szCs w:val="28"/>
        </w:rPr>
      </w:pPr>
      <w:r>
        <w:rPr>
          <w:rFonts w:ascii="Times New Roman" w:hAnsi="Times New Roman" w:cs="Times New Roman"/>
          <w:sz w:val="28"/>
          <w:szCs w:val="28"/>
        </w:rPr>
        <w:t>Venter &amp; Associates Inc.</w:t>
      </w:r>
    </w:p>
    <w:p w:rsidR="009C1AE7" w:rsidRDefault="000800D9" w:rsidP="004A7D60">
      <w:pPr>
        <w:ind w:left="3600" w:firstLine="720"/>
        <w:rPr>
          <w:rFonts w:ascii="Times New Roman" w:hAnsi="Times New Roman" w:cs="Times New Roman"/>
          <w:sz w:val="28"/>
          <w:szCs w:val="28"/>
        </w:rPr>
      </w:pPr>
      <w:r>
        <w:rPr>
          <w:rFonts w:ascii="Times New Roman" w:hAnsi="Times New Roman" w:cs="Times New Roman"/>
          <w:sz w:val="28"/>
          <w:szCs w:val="28"/>
        </w:rPr>
        <w:t>Blackheath</w:t>
      </w:r>
    </w:p>
    <w:p w:rsidR="000800D9" w:rsidRDefault="000800D9" w:rsidP="000800D9">
      <w:pPr>
        <w:ind w:left="3600" w:firstLine="720"/>
        <w:rPr>
          <w:rFonts w:ascii="Times New Roman" w:hAnsi="Times New Roman" w:cs="Times New Roman"/>
          <w:sz w:val="28"/>
          <w:szCs w:val="28"/>
        </w:rPr>
      </w:pPr>
      <w:r>
        <w:rPr>
          <w:rFonts w:ascii="Times New Roman" w:hAnsi="Times New Roman" w:cs="Times New Roman"/>
          <w:sz w:val="28"/>
          <w:szCs w:val="28"/>
        </w:rPr>
        <w:t>(Ref: H. Aravelo)</w:t>
      </w:r>
    </w:p>
    <w:p w:rsidR="000800D9" w:rsidRDefault="000800D9" w:rsidP="004A7D60">
      <w:pPr>
        <w:ind w:left="3600" w:firstLine="720"/>
        <w:rPr>
          <w:rFonts w:ascii="Times New Roman" w:hAnsi="Times New Roman" w:cs="Times New Roman"/>
          <w:sz w:val="28"/>
          <w:szCs w:val="28"/>
        </w:rPr>
      </w:pPr>
      <w:r>
        <w:rPr>
          <w:rFonts w:ascii="Times New Roman" w:hAnsi="Times New Roman" w:cs="Times New Roman"/>
          <w:sz w:val="28"/>
          <w:szCs w:val="28"/>
        </w:rPr>
        <w:t>Tel: 087 945 0300</w:t>
      </w:r>
    </w:p>
    <w:p w:rsidR="000800D9" w:rsidRDefault="000800D9" w:rsidP="004A7D60">
      <w:pPr>
        <w:ind w:left="3600" w:firstLine="720"/>
        <w:rPr>
          <w:rFonts w:ascii="Times New Roman" w:hAnsi="Times New Roman" w:cs="Times New Roman"/>
          <w:sz w:val="28"/>
          <w:szCs w:val="28"/>
        </w:rPr>
      </w:pPr>
      <w:r>
        <w:rPr>
          <w:rFonts w:ascii="Times New Roman" w:hAnsi="Times New Roman" w:cs="Times New Roman"/>
          <w:sz w:val="28"/>
          <w:szCs w:val="28"/>
        </w:rPr>
        <w:t xml:space="preserve">Email: </w:t>
      </w:r>
      <w:hyperlink r:id="rId11" w:history="1">
        <w:r w:rsidRPr="0026353F">
          <w:rPr>
            <w:rStyle w:val="Hyperlink"/>
            <w:rFonts w:ascii="Times New Roman" w:hAnsi="Times New Roman" w:cs="Times New Roman"/>
            <w:sz w:val="28"/>
            <w:szCs w:val="28"/>
          </w:rPr>
          <w:t>helen@venterinc.co.za</w:t>
        </w:r>
      </w:hyperlink>
    </w:p>
    <w:p w:rsidR="004A7D60" w:rsidRDefault="009C1AE7" w:rsidP="000800D9">
      <w:pPr>
        <w:ind w:left="4320"/>
        <w:rPr>
          <w:rFonts w:ascii="Times New Roman" w:hAnsi="Times New Roman" w:cs="Times New Roman"/>
          <w:sz w:val="28"/>
          <w:szCs w:val="28"/>
        </w:rPr>
      </w:pPr>
      <w:r>
        <w:rPr>
          <w:rFonts w:ascii="Times New Roman" w:hAnsi="Times New Roman" w:cs="Times New Roman"/>
          <w:sz w:val="28"/>
          <w:szCs w:val="28"/>
        </w:rPr>
        <w:t xml:space="preserve">c/o </w:t>
      </w:r>
      <w:r w:rsidR="006634A3">
        <w:rPr>
          <w:rFonts w:ascii="Times New Roman" w:hAnsi="Times New Roman" w:cs="Times New Roman"/>
          <w:sz w:val="28"/>
          <w:szCs w:val="28"/>
        </w:rPr>
        <w:t xml:space="preserve">Drake </w:t>
      </w:r>
      <w:r w:rsidR="000800D9">
        <w:rPr>
          <w:rFonts w:ascii="Times New Roman" w:hAnsi="Times New Roman" w:cs="Times New Roman"/>
          <w:sz w:val="28"/>
          <w:szCs w:val="28"/>
        </w:rPr>
        <w:t>F</w:t>
      </w:r>
      <w:r w:rsidR="006634A3">
        <w:rPr>
          <w:rFonts w:ascii="Times New Roman" w:hAnsi="Times New Roman" w:cs="Times New Roman"/>
          <w:sz w:val="28"/>
          <w:szCs w:val="28"/>
        </w:rPr>
        <w:t>lemmer &amp; Orsmond Attorneys</w:t>
      </w:r>
    </w:p>
    <w:p w:rsidR="004A7D60" w:rsidRDefault="006634A3" w:rsidP="004A7D60">
      <w:pPr>
        <w:ind w:left="3600" w:firstLine="720"/>
        <w:rPr>
          <w:rFonts w:ascii="Times New Roman" w:hAnsi="Times New Roman" w:cs="Times New Roman"/>
          <w:sz w:val="28"/>
          <w:szCs w:val="28"/>
        </w:rPr>
      </w:pPr>
      <w:r>
        <w:rPr>
          <w:rFonts w:ascii="Times New Roman" w:hAnsi="Times New Roman" w:cs="Times New Roman"/>
          <w:sz w:val="28"/>
          <w:szCs w:val="28"/>
        </w:rPr>
        <w:t>Mthatha</w:t>
      </w:r>
    </w:p>
    <w:p w:rsidR="000800D9" w:rsidRDefault="000800D9" w:rsidP="004A7D60">
      <w:pPr>
        <w:ind w:left="3600" w:firstLine="720"/>
        <w:rPr>
          <w:rFonts w:ascii="Times New Roman" w:hAnsi="Times New Roman" w:cs="Times New Roman"/>
          <w:sz w:val="28"/>
          <w:szCs w:val="28"/>
        </w:rPr>
      </w:pPr>
    </w:p>
    <w:p w:rsidR="008E36A9" w:rsidRDefault="008E36A9" w:rsidP="008E36A9">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A7D60">
        <w:rPr>
          <w:rFonts w:ascii="Times New Roman" w:hAnsi="Times New Roman"/>
          <w:sz w:val="28"/>
          <w:szCs w:val="28"/>
        </w:rPr>
        <w:t>03 November 2022</w:t>
      </w:r>
      <w:r w:rsidR="00A65A4F">
        <w:rPr>
          <w:rFonts w:ascii="Times New Roman" w:hAnsi="Times New Roman"/>
          <w:sz w:val="28"/>
          <w:szCs w:val="28"/>
        </w:rPr>
        <w:t>.</w:t>
      </w:r>
    </w:p>
    <w:p w:rsidR="008E36A9" w:rsidRDefault="008E36A9" w:rsidP="00A65A4F">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75DEF">
        <w:rPr>
          <w:rFonts w:ascii="Times New Roman" w:hAnsi="Times New Roman"/>
          <w:sz w:val="28"/>
          <w:szCs w:val="28"/>
        </w:rPr>
        <w:t>02 February 2023</w:t>
      </w:r>
      <w:r w:rsidR="00A65A4F">
        <w:rPr>
          <w:rFonts w:ascii="Times New Roman" w:hAnsi="Times New Roman"/>
          <w:sz w:val="28"/>
          <w:szCs w:val="28"/>
        </w:rPr>
        <w:t>.</w:t>
      </w:r>
    </w:p>
    <w:sectPr w:rsidR="008E36A9" w:rsidSect="00A572D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37" w:rsidRDefault="00023A37" w:rsidP="00354A12">
      <w:pPr>
        <w:spacing w:line="240" w:lineRule="auto"/>
      </w:pPr>
      <w:r>
        <w:separator/>
      </w:r>
    </w:p>
  </w:endnote>
  <w:endnote w:type="continuationSeparator" w:id="0">
    <w:p w:rsidR="00023A37" w:rsidRDefault="00023A37"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37" w:rsidRDefault="00023A37" w:rsidP="00354A12">
      <w:pPr>
        <w:spacing w:line="240" w:lineRule="auto"/>
      </w:pPr>
      <w:r>
        <w:separator/>
      </w:r>
    </w:p>
  </w:footnote>
  <w:footnote w:type="continuationSeparator" w:id="0">
    <w:p w:rsidR="00023A37" w:rsidRDefault="00023A37" w:rsidP="00354A12">
      <w:pPr>
        <w:spacing w:line="240" w:lineRule="auto"/>
      </w:pPr>
      <w:r>
        <w:continuationSeparator/>
      </w:r>
    </w:p>
  </w:footnote>
  <w:footnote w:id="1">
    <w:p w:rsidR="00102396" w:rsidRPr="004662B9" w:rsidRDefault="00102396"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Act 34 of 2005</w:t>
      </w:r>
    </w:p>
  </w:footnote>
  <w:footnote w:id="2">
    <w:p w:rsidR="007C2623" w:rsidRPr="004662B9" w:rsidRDefault="007C2623"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w:t>
      </w:r>
      <w:r w:rsidRPr="004662B9">
        <w:rPr>
          <w:rFonts w:ascii="Times New Roman" w:hAnsi="Times New Roman" w:cs="Times New Roman"/>
          <w:i/>
        </w:rPr>
        <w:t>Minister of Land Affairs and Agriculture v D &amp; F Wevell Trust</w:t>
      </w:r>
      <w:r w:rsidRPr="004662B9">
        <w:rPr>
          <w:rFonts w:ascii="Times New Roman" w:hAnsi="Times New Roman" w:cs="Times New Roman"/>
        </w:rPr>
        <w:t xml:space="preserve"> 2008 (2) SA 184 (SCA) at 200D.</w:t>
      </w:r>
    </w:p>
  </w:footnote>
  <w:footnote w:id="3">
    <w:p w:rsidR="0084563C" w:rsidRPr="004662B9" w:rsidRDefault="0084563C"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w:t>
      </w:r>
      <w:r w:rsidRPr="004662B9">
        <w:rPr>
          <w:rFonts w:ascii="Times New Roman" w:hAnsi="Times New Roman" w:cs="Times New Roman"/>
          <w:i/>
        </w:rPr>
        <w:t>Director of Hospital Services v Mistry</w:t>
      </w:r>
      <w:r w:rsidR="00E241EB" w:rsidRPr="004662B9">
        <w:rPr>
          <w:rFonts w:ascii="Times New Roman" w:hAnsi="Times New Roman" w:cs="Times New Roman"/>
          <w:i/>
        </w:rPr>
        <w:t xml:space="preserve"> </w:t>
      </w:r>
      <w:r w:rsidRPr="004662B9">
        <w:rPr>
          <w:rFonts w:ascii="Times New Roman" w:hAnsi="Times New Roman" w:cs="Times New Roman"/>
        </w:rPr>
        <w:t>1979 (1) SA 626 (A) at 635H-636B.</w:t>
      </w:r>
    </w:p>
  </w:footnote>
  <w:footnote w:id="4">
    <w:p w:rsidR="00DF1582" w:rsidRPr="004662B9" w:rsidRDefault="00DF1582"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2013 (1) SA 83 (CC) para 114.</w:t>
      </w:r>
    </w:p>
  </w:footnote>
  <w:footnote w:id="5">
    <w:p w:rsidR="00F03EAC" w:rsidRPr="004662B9" w:rsidRDefault="00F03EAC"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w:t>
      </w:r>
      <w:r w:rsidRPr="004662B9">
        <w:rPr>
          <w:rFonts w:ascii="Times New Roman" w:hAnsi="Times New Roman" w:cs="Times New Roman"/>
          <w:i/>
        </w:rPr>
        <w:t xml:space="preserve">National Director of Public Prosecutions v Zuma </w:t>
      </w:r>
      <w:r w:rsidRPr="004662B9">
        <w:rPr>
          <w:rFonts w:ascii="Times New Roman" w:hAnsi="Times New Roman" w:cs="Times New Roman"/>
        </w:rPr>
        <w:t xml:space="preserve">2009 (2) SA 277 (SCA) </w:t>
      </w:r>
      <w:r w:rsidR="00065C94" w:rsidRPr="004662B9">
        <w:rPr>
          <w:rFonts w:ascii="Times New Roman" w:hAnsi="Times New Roman" w:cs="Times New Roman"/>
        </w:rPr>
        <w:t>para 26.</w:t>
      </w:r>
    </w:p>
  </w:footnote>
  <w:footnote w:id="6">
    <w:p w:rsidR="00CF7FD7" w:rsidRPr="004662B9" w:rsidRDefault="00CF7FD7"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w:t>
      </w:r>
      <w:r w:rsidRPr="004662B9">
        <w:rPr>
          <w:rFonts w:ascii="Times New Roman" w:hAnsi="Times New Roman" w:cs="Times New Roman"/>
          <w:i/>
        </w:rPr>
        <w:t xml:space="preserve">Plascon-Evans Paints (Pty) Ltd v Van Riebeeck Paints (Pty) Ltd </w:t>
      </w:r>
      <w:r w:rsidRPr="004662B9">
        <w:rPr>
          <w:rFonts w:ascii="Times New Roman" w:hAnsi="Times New Roman" w:cs="Times New Roman"/>
        </w:rPr>
        <w:t>1984 (3) SA 623 (A) at 634E-635C</w:t>
      </w:r>
      <w:r w:rsidR="00081A8F">
        <w:rPr>
          <w:rFonts w:ascii="Times New Roman" w:hAnsi="Times New Roman" w:cs="Times New Roman"/>
        </w:rPr>
        <w:t>.</w:t>
      </w:r>
    </w:p>
  </w:footnote>
  <w:footnote w:id="7">
    <w:p w:rsidR="00F03EAC" w:rsidRPr="004662B9" w:rsidRDefault="00F03EAC"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w:t>
      </w:r>
      <w:r w:rsidR="00065C94" w:rsidRPr="004662B9">
        <w:rPr>
          <w:rFonts w:ascii="Times New Roman" w:hAnsi="Times New Roman" w:cs="Times New Roman"/>
          <w:i/>
        </w:rPr>
        <w:t xml:space="preserve">National Director of Public Prosecutions v Nqaba Mpahlwa </w:t>
      </w:r>
      <w:r w:rsidR="00065C94" w:rsidRPr="004662B9">
        <w:rPr>
          <w:rFonts w:ascii="Times New Roman" w:hAnsi="Times New Roman" w:cs="Times New Roman"/>
        </w:rPr>
        <w:t xml:space="preserve"> [2020] ZAECMHC 18 </w:t>
      </w:r>
      <w:r w:rsidRPr="004662B9">
        <w:rPr>
          <w:rFonts w:ascii="Times New Roman" w:hAnsi="Times New Roman" w:cs="Times New Roman"/>
        </w:rPr>
        <w:t>para</w:t>
      </w:r>
      <w:r w:rsidR="00065C94" w:rsidRPr="004662B9">
        <w:rPr>
          <w:rFonts w:ascii="Times New Roman" w:hAnsi="Times New Roman" w:cs="Times New Roman"/>
        </w:rPr>
        <w:t xml:space="preserve"> 21.</w:t>
      </w:r>
    </w:p>
  </w:footnote>
  <w:footnote w:id="8">
    <w:p w:rsidR="006C482C" w:rsidRDefault="006C482C">
      <w:pPr>
        <w:pStyle w:val="FootnoteText"/>
      </w:pPr>
      <w:r>
        <w:rPr>
          <w:rStyle w:val="FootnoteReference"/>
        </w:rPr>
        <w:footnoteRef/>
      </w:r>
      <w:r>
        <w:t xml:space="preserve"> </w:t>
      </w:r>
      <w:r w:rsidRPr="006C482C">
        <w:rPr>
          <w:rFonts w:ascii="Times New Roman" w:hAnsi="Times New Roman"/>
        </w:rPr>
        <w:t>i.e. the National Consumer Tribunal established by section 26 of the Act</w:t>
      </w:r>
      <w:r>
        <w:rPr>
          <w:rFonts w:ascii="Times New Roman" w:hAnsi="Times New Roman"/>
        </w:rPr>
        <w:t>.</w:t>
      </w:r>
    </w:p>
  </w:footnote>
  <w:footnote w:id="9">
    <w:p w:rsidR="0052002E" w:rsidRPr="004662B9" w:rsidRDefault="0052002E"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[2017] ZAWCHC 141 para 17.</w:t>
      </w:r>
    </w:p>
  </w:footnote>
  <w:footnote w:id="10">
    <w:p w:rsidR="00C8204B" w:rsidRPr="004662B9" w:rsidRDefault="00C8204B"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[2021] ZAECHCMC 40</w:t>
      </w:r>
    </w:p>
  </w:footnote>
  <w:footnote w:id="11">
    <w:p w:rsidR="00704AA6" w:rsidRPr="004662B9" w:rsidRDefault="00704AA6"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w:t>
      </w:r>
      <w:r w:rsidR="006368B4" w:rsidRPr="004662B9">
        <w:rPr>
          <w:rFonts w:ascii="Times New Roman" w:hAnsi="Times New Roman" w:cs="Times New Roman"/>
        </w:rPr>
        <w:t xml:space="preserve">Reliance in this regard is placed on </w:t>
      </w:r>
      <w:r w:rsidR="006368B4" w:rsidRPr="007F2289">
        <w:rPr>
          <w:rFonts w:ascii="Times New Roman" w:hAnsi="Times New Roman" w:cs="Times New Roman"/>
          <w:i/>
        </w:rPr>
        <w:t xml:space="preserve">MEC for Health, Eastern Cape and another v Kirland </w:t>
      </w:r>
      <w:r w:rsidR="00652254" w:rsidRPr="007F2289">
        <w:rPr>
          <w:rFonts w:ascii="Times New Roman" w:hAnsi="Times New Roman" w:cs="Times New Roman"/>
          <w:i/>
        </w:rPr>
        <w:t>I</w:t>
      </w:r>
      <w:r w:rsidR="006368B4" w:rsidRPr="007F2289">
        <w:rPr>
          <w:rFonts w:ascii="Times New Roman" w:hAnsi="Times New Roman" w:cs="Times New Roman"/>
          <w:i/>
        </w:rPr>
        <w:t>nvestment</w:t>
      </w:r>
      <w:r w:rsidR="00081A8F">
        <w:rPr>
          <w:rFonts w:ascii="Times New Roman" w:hAnsi="Times New Roman" w:cs="Times New Roman"/>
          <w:i/>
        </w:rPr>
        <w:t>s</w:t>
      </w:r>
      <w:r w:rsidR="006368B4" w:rsidRPr="007F2289">
        <w:rPr>
          <w:rFonts w:ascii="Times New Roman" w:hAnsi="Times New Roman" w:cs="Times New Roman"/>
          <w:i/>
        </w:rPr>
        <w:t xml:space="preserve"> (Pty) Ltd</w:t>
      </w:r>
      <w:r w:rsidR="006368B4" w:rsidRPr="004662B9">
        <w:rPr>
          <w:rFonts w:ascii="Times New Roman" w:hAnsi="Times New Roman" w:cs="Times New Roman"/>
        </w:rPr>
        <w:t xml:space="preserve"> 2014 (3) SA 481 (CC) pa</w:t>
      </w:r>
      <w:r w:rsidR="00DE2A81">
        <w:rPr>
          <w:rFonts w:ascii="Times New Roman" w:hAnsi="Times New Roman" w:cs="Times New Roman"/>
        </w:rPr>
        <w:t>ra 103, where</w:t>
      </w:r>
      <w:r w:rsidR="00081A8F">
        <w:rPr>
          <w:rFonts w:ascii="Times New Roman" w:hAnsi="Times New Roman" w:cs="Times New Roman"/>
        </w:rPr>
        <w:t xml:space="preserve"> it is stated: 'T</w:t>
      </w:r>
      <w:r w:rsidR="006368B4" w:rsidRPr="004662B9">
        <w:rPr>
          <w:rFonts w:ascii="Times New Roman" w:hAnsi="Times New Roman" w:cs="Times New Roman"/>
        </w:rPr>
        <w:t>he courts alone, and not public offic</w:t>
      </w:r>
      <w:r w:rsidR="00DE2A81">
        <w:rPr>
          <w:rFonts w:ascii="Times New Roman" w:hAnsi="Times New Roman" w:cs="Times New Roman"/>
        </w:rPr>
        <w:t xml:space="preserve">ials, the arbiters of legality’ and </w:t>
      </w:r>
      <w:r w:rsidR="007A6F02">
        <w:rPr>
          <w:rFonts w:ascii="Times New Roman" w:hAnsi="Times New Roman" w:cs="Times New Roman"/>
        </w:rPr>
        <w:t xml:space="preserve">at footnote 78 of the judgment where reference is made to </w:t>
      </w:r>
      <w:r w:rsidR="007A6F02" w:rsidRPr="00122EE2">
        <w:rPr>
          <w:rFonts w:ascii="Times New Roman" w:hAnsi="Times New Roman" w:cs="Times New Roman"/>
          <w:i/>
        </w:rPr>
        <w:t>Th</w:t>
      </w:r>
      <w:r w:rsidR="00122EE2" w:rsidRPr="00122EE2">
        <w:rPr>
          <w:rFonts w:ascii="Times New Roman" w:hAnsi="Times New Roman" w:cs="Times New Roman"/>
          <w:i/>
        </w:rPr>
        <w:t>e</w:t>
      </w:r>
      <w:r w:rsidR="007A6F02" w:rsidRPr="00122EE2">
        <w:rPr>
          <w:rFonts w:ascii="Times New Roman" w:hAnsi="Times New Roman" w:cs="Times New Roman"/>
          <w:i/>
        </w:rPr>
        <w:t xml:space="preserve"> Master of the High Court (North Gauteng High Court, Pretoria) v Motala NO and Others</w:t>
      </w:r>
      <w:r w:rsidR="00122EE2">
        <w:rPr>
          <w:rFonts w:ascii="Times New Roman" w:hAnsi="Times New Roman" w:cs="Times New Roman"/>
        </w:rPr>
        <w:t xml:space="preserve"> 2012 (3) SA 325 (SCA) for authority for the proposition that </w:t>
      </w:r>
      <w:r w:rsidR="00DE2A81">
        <w:rPr>
          <w:rFonts w:ascii="Times New Roman" w:hAnsi="Times New Roman" w:cs="Times New Roman"/>
        </w:rPr>
        <w:t>‘</w:t>
      </w:r>
      <w:r w:rsidR="006368B4" w:rsidRPr="004662B9">
        <w:rPr>
          <w:rFonts w:ascii="Times New Roman" w:hAnsi="Times New Roman" w:cs="Times New Roman"/>
        </w:rPr>
        <w:t xml:space="preserve">The court </w:t>
      </w:r>
      <w:r w:rsidR="00122EE2">
        <w:rPr>
          <w:rFonts w:ascii="Times New Roman" w:hAnsi="Times New Roman" w:cs="Times New Roman"/>
        </w:rPr>
        <w:t>a</w:t>
      </w:r>
      <w:r w:rsidR="006368B4" w:rsidRPr="004662B9">
        <w:rPr>
          <w:rFonts w:ascii="Times New Roman" w:hAnsi="Times New Roman" w:cs="Times New Roman"/>
        </w:rPr>
        <w:t>s the font of legality, has the means itself to assert the dividing line between what is lawful and not lawful.</w:t>
      </w:r>
      <w:r w:rsidR="00652254" w:rsidRPr="004662B9">
        <w:rPr>
          <w:rFonts w:ascii="Times New Roman" w:hAnsi="Times New Roman" w:cs="Times New Roman"/>
        </w:rPr>
        <w:t>’</w:t>
      </w:r>
    </w:p>
  </w:footnote>
  <w:footnote w:id="12">
    <w:p w:rsidR="00463C59" w:rsidRPr="004662B9" w:rsidRDefault="00463C59" w:rsidP="004662B9">
      <w:pPr>
        <w:pStyle w:val="FootnoteText"/>
        <w:jc w:val="both"/>
        <w:rPr>
          <w:rFonts w:ascii="Times New Roman" w:hAnsi="Times New Roman" w:cs="Times New Roman"/>
        </w:rPr>
      </w:pPr>
      <w:r w:rsidRPr="004662B9">
        <w:rPr>
          <w:rStyle w:val="FootnoteReference"/>
          <w:rFonts w:ascii="Times New Roman" w:hAnsi="Times New Roman" w:cs="Times New Roman"/>
        </w:rPr>
        <w:footnoteRef/>
      </w:r>
      <w:r w:rsidRPr="004662B9">
        <w:rPr>
          <w:rFonts w:ascii="Times New Roman" w:hAnsi="Times New Roman" w:cs="Times New Roman"/>
        </w:rPr>
        <w:t xml:space="preserve"> [2020] ZAGPPHC 574 para 50.</w:t>
      </w:r>
    </w:p>
  </w:footnote>
  <w:footnote w:id="13">
    <w:p w:rsidR="00C11DA3" w:rsidRDefault="00C11DA3" w:rsidP="004662B9">
      <w:pPr>
        <w:pStyle w:val="FootnoteText"/>
        <w:jc w:val="both"/>
      </w:pPr>
      <w:r w:rsidRPr="004662B9">
        <w:rPr>
          <w:rStyle w:val="FootnoteReference"/>
          <w:rFonts w:ascii="Times New Roman" w:hAnsi="Times New Roman" w:cs="Times New Roman"/>
        </w:rPr>
        <w:footnoteRef/>
      </w:r>
      <w:r w:rsidRPr="004662B9">
        <w:rPr>
          <w:rFonts w:ascii="Times New Roman" w:hAnsi="Times New Roman" w:cs="Times New Roman"/>
        </w:rPr>
        <w:t xml:space="preserve"> 1984 (4) SA 645 (AD) at 650.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AB476A">
          <w:rPr>
            <w:noProof/>
          </w:rPr>
          <w:t>15</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4AD80476"/>
    <w:multiLevelType w:val="hybridMultilevel"/>
    <w:tmpl w:val="D72419A8"/>
    <w:lvl w:ilvl="0" w:tplc="CC14C792">
      <w:start w:val="1"/>
      <w:numFmt w:val="upperLetter"/>
      <w:lvlText w:val="%1."/>
      <w:lvlJc w:val="left"/>
      <w:pPr>
        <w:ind w:left="4682" w:hanging="360"/>
      </w:pPr>
      <w:rPr>
        <w:rFonts w:hint="default"/>
      </w:rPr>
    </w:lvl>
    <w:lvl w:ilvl="1" w:tplc="1C090019" w:tentative="1">
      <w:start w:val="1"/>
      <w:numFmt w:val="lowerLetter"/>
      <w:lvlText w:val="%2."/>
      <w:lvlJc w:val="left"/>
      <w:pPr>
        <w:ind w:left="5402" w:hanging="360"/>
      </w:pPr>
    </w:lvl>
    <w:lvl w:ilvl="2" w:tplc="1C09001B" w:tentative="1">
      <w:start w:val="1"/>
      <w:numFmt w:val="lowerRoman"/>
      <w:lvlText w:val="%3."/>
      <w:lvlJc w:val="right"/>
      <w:pPr>
        <w:ind w:left="6122" w:hanging="180"/>
      </w:pPr>
    </w:lvl>
    <w:lvl w:ilvl="3" w:tplc="1C09000F" w:tentative="1">
      <w:start w:val="1"/>
      <w:numFmt w:val="decimal"/>
      <w:lvlText w:val="%4."/>
      <w:lvlJc w:val="left"/>
      <w:pPr>
        <w:ind w:left="6842" w:hanging="360"/>
      </w:pPr>
    </w:lvl>
    <w:lvl w:ilvl="4" w:tplc="1C090019" w:tentative="1">
      <w:start w:val="1"/>
      <w:numFmt w:val="lowerLetter"/>
      <w:lvlText w:val="%5."/>
      <w:lvlJc w:val="left"/>
      <w:pPr>
        <w:ind w:left="7562" w:hanging="360"/>
      </w:pPr>
    </w:lvl>
    <w:lvl w:ilvl="5" w:tplc="1C09001B" w:tentative="1">
      <w:start w:val="1"/>
      <w:numFmt w:val="lowerRoman"/>
      <w:lvlText w:val="%6."/>
      <w:lvlJc w:val="right"/>
      <w:pPr>
        <w:ind w:left="8282" w:hanging="180"/>
      </w:pPr>
    </w:lvl>
    <w:lvl w:ilvl="6" w:tplc="1C09000F" w:tentative="1">
      <w:start w:val="1"/>
      <w:numFmt w:val="decimal"/>
      <w:lvlText w:val="%7."/>
      <w:lvlJc w:val="left"/>
      <w:pPr>
        <w:ind w:left="9002" w:hanging="360"/>
      </w:pPr>
    </w:lvl>
    <w:lvl w:ilvl="7" w:tplc="1C090019" w:tentative="1">
      <w:start w:val="1"/>
      <w:numFmt w:val="lowerLetter"/>
      <w:lvlText w:val="%8."/>
      <w:lvlJc w:val="left"/>
      <w:pPr>
        <w:ind w:left="9722" w:hanging="360"/>
      </w:pPr>
    </w:lvl>
    <w:lvl w:ilvl="8" w:tplc="1C09001B" w:tentative="1">
      <w:start w:val="1"/>
      <w:numFmt w:val="lowerRoman"/>
      <w:lvlText w:val="%9."/>
      <w:lvlJc w:val="right"/>
      <w:pPr>
        <w:ind w:left="10442" w:hanging="180"/>
      </w:p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4813B3-191D-4518-A606-70F3ADA805CA}"/>
    <w:docVar w:name="dgnword-eventsink" w:val="142287480"/>
  </w:docVars>
  <w:rsids>
    <w:rsidRoot w:val="00354A12"/>
    <w:rsid w:val="000006AD"/>
    <w:rsid w:val="00004220"/>
    <w:rsid w:val="000116B2"/>
    <w:rsid w:val="0001480E"/>
    <w:rsid w:val="000154B4"/>
    <w:rsid w:val="000222BF"/>
    <w:rsid w:val="00023A37"/>
    <w:rsid w:val="000244AC"/>
    <w:rsid w:val="000508A0"/>
    <w:rsid w:val="00053832"/>
    <w:rsid w:val="00060750"/>
    <w:rsid w:val="00060F8C"/>
    <w:rsid w:val="00065C94"/>
    <w:rsid w:val="00066F15"/>
    <w:rsid w:val="0007141A"/>
    <w:rsid w:val="00072198"/>
    <w:rsid w:val="000800D9"/>
    <w:rsid w:val="00081A8F"/>
    <w:rsid w:val="000A456C"/>
    <w:rsid w:val="000A4E2F"/>
    <w:rsid w:val="000B3BA1"/>
    <w:rsid w:val="000D1DCE"/>
    <w:rsid w:val="000D6DA7"/>
    <w:rsid w:val="000E054D"/>
    <w:rsid w:val="000F3025"/>
    <w:rsid w:val="000F42B9"/>
    <w:rsid w:val="000F49CF"/>
    <w:rsid w:val="001004F4"/>
    <w:rsid w:val="00102396"/>
    <w:rsid w:val="0010392D"/>
    <w:rsid w:val="0011499D"/>
    <w:rsid w:val="00116C85"/>
    <w:rsid w:val="0012035B"/>
    <w:rsid w:val="0012247B"/>
    <w:rsid w:val="00122EE2"/>
    <w:rsid w:val="00131176"/>
    <w:rsid w:val="00136D11"/>
    <w:rsid w:val="001461F8"/>
    <w:rsid w:val="001473A5"/>
    <w:rsid w:val="001539FD"/>
    <w:rsid w:val="001545BB"/>
    <w:rsid w:val="00155220"/>
    <w:rsid w:val="00157B9C"/>
    <w:rsid w:val="00161DE9"/>
    <w:rsid w:val="00167BDA"/>
    <w:rsid w:val="00172555"/>
    <w:rsid w:val="00175270"/>
    <w:rsid w:val="001966E2"/>
    <w:rsid w:val="001B21C4"/>
    <w:rsid w:val="001B2FE7"/>
    <w:rsid w:val="001C46EC"/>
    <w:rsid w:val="001C52AF"/>
    <w:rsid w:val="001D055A"/>
    <w:rsid w:val="001E09CF"/>
    <w:rsid w:val="002058E0"/>
    <w:rsid w:val="00210DDF"/>
    <w:rsid w:val="0021667D"/>
    <w:rsid w:val="002227B8"/>
    <w:rsid w:val="00227E00"/>
    <w:rsid w:val="00232BE7"/>
    <w:rsid w:val="002351D5"/>
    <w:rsid w:val="0026255F"/>
    <w:rsid w:val="00263CDB"/>
    <w:rsid w:val="00271535"/>
    <w:rsid w:val="00271C4C"/>
    <w:rsid w:val="00275B73"/>
    <w:rsid w:val="00287BFB"/>
    <w:rsid w:val="0029740E"/>
    <w:rsid w:val="002A21A5"/>
    <w:rsid w:val="002B2EB8"/>
    <w:rsid w:val="002B7A11"/>
    <w:rsid w:val="002C19F8"/>
    <w:rsid w:val="002C4227"/>
    <w:rsid w:val="002D2461"/>
    <w:rsid w:val="002D391B"/>
    <w:rsid w:val="002D552D"/>
    <w:rsid w:val="002F3D23"/>
    <w:rsid w:val="002F6E08"/>
    <w:rsid w:val="003052FF"/>
    <w:rsid w:val="003124A0"/>
    <w:rsid w:val="0031782B"/>
    <w:rsid w:val="00323647"/>
    <w:rsid w:val="00324991"/>
    <w:rsid w:val="003250EC"/>
    <w:rsid w:val="00325B62"/>
    <w:rsid w:val="00327688"/>
    <w:rsid w:val="00327C18"/>
    <w:rsid w:val="003328A3"/>
    <w:rsid w:val="00343D0E"/>
    <w:rsid w:val="00344F81"/>
    <w:rsid w:val="00354A12"/>
    <w:rsid w:val="00361C4E"/>
    <w:rsid w:val="00366ED9"/>
    <w:rsid w:val="003829DF"/>
    <w:rsid w:val="00383166"/>
    <w:rsid w:val="0038522E"/>
    <w:rsid w:val="0038713E"/>
    <w:rsid w:val="003A6188"/>
    <w:rsid w:val="003A6C62"/>
    <w:rsid w:val="003C09B8"/>
    <w:rsid w:val="003C3BAD"/>
    <w:rsid w:val="003C5A86"/>
    <w:rsid w:val="003E0465"/>
    <w:rsid w:val="003E241A"/>
    <w:rsid w:val="003E3543"/>
    <w:rsid w:val="003E5F88"/>
    <w:rsid w:val="0040012C"/>
    <w:rsid w:val="00412277"/>
    <w:rsid w:val="00436527"/>
    <w:rsid w:val="00436ED5"/>
    <w:rsid w:val="0045521D"/>
    <w:rsid w:val="00457126"/>
    <w:rsid w:val="004606D6"/>
    <w:rsid w:val="00463C59"/>
    <w:rsid w:val="004662B9"/>
    <w:rsid w:val="00467EEC"/>
    <w:rsid w:val="00472299"/>
    <w:rsid w:val="00474991"/>
    <w:rsid w:val="00477793"/>
    <w:rsid w:val="004804E0"/>
    <w:rsid w:val="004935BB"/>
    <w:rsid w:val="00495E86"/>
    <w:rsid w:val="004A278F"/>
    <w:rsid w:val="004A7D60"/>
    <w:rsid w:val="004C6A4F"/>
    <w:rsid w:val="004C7B23"/>
    <w:rsid w:val="004D0D14"/>
    <w:rsid w:val="004D49B9"/>
    <w:rsid w:val="004F4332"/>
    <w:rsid w:val="004F74AC"/>
    <w:rsid w:val="0050334B"/>
    <w:rsid w:val="00505AFB"/>
    <w:rsid w:val="005125C0"/>
    <w:rsid w:val="005177DD"/>
    <w:rsid w:val="0052002E"/>
    <w:rsid w:val="00522840"/>
    <w:rsid w:val="00524D6E"/>
    <w:rsid w:val="005257D3"/>
    <w:rsid w:val="00530DFD"/>
    <w:rsid w:val="00531AB3"/>
    <w:rsid w:val="00546F16"/>
    <w:rsid w:val="005629A5"/>
    <w:rsid w:val="005635D2"/>
    <w:rsid w:val="00563A15"/>
    <w:rsid w:val="00563DAF"/>
    <w:rsid w:val="00566CBF"/>
    <w:rsid w:val="005750D8"/>
    <w:rsid w:val="005871FF"/>
    <w:rsid w:val="005921B1"/>
    <w:rsid w:val="005A5722"/>
    <w:rsid w:val="005A7FFB"/>
    <w:rsid w:val="005B7B4F"/>
    <w:rsid w:val="005C2EC3"/>
    <w:rsid w:val="005D5427"/>
    <w:rsid w:val="005F6FE5"/>
    <w:rsid w:val="00601CF9"/>
    <w:rsid w:val="006050F2"/>
    <w:rsid w:val="00610062"/>
    <w:rsid w:val="006211FC"/>
    <w:rsid w:val="00625EB2"/>
    <w:rsid w:val="006306E7"/>
    <w:rsid w:val="00633710"/>
    <w:rsid w:val="006368B4"/>
    <w:rsid w:val="00652254"/>
    <w:rsid w:val="0065697D"/>
    <w:rsid w:val="00657314"/>
    <w:rsid w:val="00660865"/>
    <w:rsid w:val="006634A3"/>
    <w:rsid w:val="00670B4B"/>
    <w:rsid w:val="00677A0A"/>
    <w:rsid w:val="00681EC7"/>
    <w:rsid w:val="006923E4"/>
    <w:rsid w:val="006A2249"/>
    <w:rsid w:val="006A26DD"/>
    <w:rsid w:val="006C482C"/>
    <w:rsid w:val="006D046C"/>
    <w:rsid w:val="006E375C"/>
    <w:rsid w:val="006F1E78"/>
    <w:rsid w:val="006F4E51"/>
    <w:rsid w:val="00704AA6"/>
    <w:rsid w:val="00711364"/>
    <w:rsid w:val="00713DC3"/>
    <w:rsid w:val="00761CE9"/>
    <w:rsid w:val="00762A79"/>
    <w:rsid w:val="00764B4C"/>
    <w:rsid w:val="00772450"/>
    <w:rsid w:val="0077334D"/>
    <w:rsid w:val="0079165F"/>
    <w:rsid w:val="00793FBB"/>
    <w:rsid w:val="007A22C3"/>
    <w:rsid w:val="007A66D7"/>
    <w:rsid w:val="007A6F02"/>
    <w:rsid w:val="007B79FF"/>
    <w:rsid w:val="007C2623"/>
    <w:rsid w:val="007C55AF"/>
    <w:rsid w:val="007D7BDD"/>
    <w:rsid w:val="007F2289"/>
    <w:rsid w:val="00817BAA"/>
    <w:rsid w:val="008216A7"/>
    <w:rsid w:val="008309D8"/>
    <w:rsid w:val="0083164F"/>
    <w:rsid w:val="0084563C"/>
    <w:rsid w:val="008651A8"/>
    <w:rsid w:val="00872289"/>
    <w:rsid w:val="00875DEF"/>
    <w:rsid w:val="008861AF"/>
    <w:rsid w:val="0088753E"/>
    <w:rsid w:val="00894AAD"/>
    <w:rsid w:val="00895970"/>
    <w:rsid w:val="00895FE0"/>
    <w:rsid w:val="008978BB"/>
    <w:rsid w:val="008B338B"/>
    <w:rsid w:val="008B72E1"/>
    <w:rsid w:val="008D0BE9"/>
    <w:rsid w:val="008D19BC"/>
    <w:rsid w:val="008E2ECD"/>
    <w:rsid w:val="008E36A9"/>
    <w:rsid w:val="008F22CA"/>
    <w:rsid w:val="008F3B23"/>
    <w:rsid w:val="008F7993"/>
    <w:rsid w:val="00901B9A"/>
    <w:rsid w:val="00903165"/>
    <w:rsid w:val="00906B0C"/>
    <w:rsid w:val="00906DD1"/>
    <w:rsid w:val="00910716"/>
    <w:rsid w:val="00912ABB"/>
    <w:rsid w:val="009138B0"/>
    <w:rsid w:val="009171CD"/>
    <w:rsid w:val="00920E39"/>
    <w:rsid w:val="00923E8C"/>
    <w:rsid w:val="00930CBE"/>
    <w:rsid w:val="00932C3F"/>
    <w:rsid w:val="009523A5"/>
    <w:rsid w:val="009541A5"/>
    <w:rsid w:val="00960EDD"/>
    <w:rsid w:val="00970948"/>
    <w:rsid w:val="00972091"/>
    <w:rsid w:val="00974544"/>
    <w:rsid w:val="00977510"/>
    <w:rsid w:val="00980272"/>
    <w:rsid w:val="00980BB0"/>
    <w:rsid w:val="0099438D"/>
    <w:rsid w:val="009971E6"/>
    <w:rsid w:val="009A409E"/>
    <w:rsid w:val="009C1AE7"/>
    <w:rsid w:val="009D345B"/>
    <w:rsid w:val="009E709D"/>
    <w:rsid w:val="009F48A6"/>
    <w:rsid w:val="00A07BFF"/>
    <w:rsid w:val="00A11BE7"/>
    <w:rsid w:val="00A12B44"/>
    <w:rsid w:val="00A12E7D"/>
    <w:rsid w:val="00A14255"/>
    <w:rsid w:val="00A20B38"/>
    <w:rsid w:val="00A25931"/>
    <w:rsid w:val="00A27D5A"/>
    <w:rsid w:val="00A30107"/>
    <w:rsid w:val="00A3506D"/>
    <w:rsid w:val="00A513B6"/>
    <w:rsid w:val="00A572D4"/>
    <w:rsid w:val="00A604C0"/>
    <w:rsid w:val="00A6266F"/>
    <w:rsid w:val="00A62CE5"/>
    <w:rsid w:val="00A65A4F"/>
    <w:rsid w:val="00A664FC"/>
    <w:rsid w:val="00A9467A"/>
    <w:rsid w:val="00AA530F"/>
    <w:rsid w:val="00AB0058"/>
    <w:rsid w:val="00AB0AB5"/>
    <w:rsid w:val="00AB476A"/>
    <w:rsid w:val="00AD0980"/>
    <w:rsid w:val="00AD4C82"/>
    <w:rsid w:val="00AD4ECD"/>
    <w:rsid w:val="00AD5B4C"/>
    <w:rsid w:val="00AD7016"/>
    <w:rsid w:val="00AE34FD"/>
    <w:rsid w:val="00AF0451"/>
    <w:rsid w:val="00AF0E46"/>
    <w:rsid w:val="00B05A09"/>
    <w:rsid w:val="00B14C07"/>
    <w:rsid w:val="00B27648"/>
    <w:rsid w:val="00B27EF5"/>
    <w:rsid w:val="00B33597"/>
    <w:rsid w:val="00B419F9"/>
    <w:rsid w:val="00B43022"/>
    <w:rsid w:val="00B54ECB"/>
    <w:rsid w:val="00B6756B"/>
    <w:rsid w:val="00B71389"/>
    <w:rsid w:val="00B800F5"/>
    <w:rsid w:val="00B85312"/>
    <w:rsid w:val="00B86371"/>
    <w:rsid w:val="00BA5BA5"/>
    <w:rsid w:val="00BB2208"/>
    <w:rsid w:val="00BB7522"/>
    <w:rsid w:val="00BC0127"/>
    <w:rsid w:val="00BC260C"/>
    <w:rsid w:val="00BC7EB8"/>
    <w:rsid w:val="00BE3D8A"/>
    <w:rsid w:val="00BF2FAD"/>
    <w:rsid w:val="00C11DA3"/>
    <w:rsid w:val="00C26DA0"/>
    <w:rsid w:val="00C3231E"/>
    <w:rsid w:val="00C41772"/>
    <w:rsid w:val="00C53891"/>
    <w:rsid w:val="00C5485E"/>
    <w:rsid w:val="00C73ADC"/>
    <w:rsid w:val="00C8204B"/>
    <w:rsid w:val="00C857D9"/>
    <w:rsid w:val="00C907A5"/>
    <w:rsid w:val="00CA053B"/>
    <w:rsid w:val="00CA45D7"/>
    <w:rsid w:val="00CC3C69"/>
    <w:rsid w:val="00CC5DEC"/>
    <w:rsid w:val="00CD1E51"/>
    <w:rsid w:val="00CE1F27"/>
    <w:rsid w:val="00CF673E"/>
    <w:rsid w:val="00CF71B3"/>
    <w:rsid w:val="00CF7FD7"/>
    <w:rsid w:val="00D02C27"/>
    <w:rsid w:val="00D22EF3"/>
    <w:rsid w:val="00D27119"/>
    <w:rsid w:val="00D31964"/>
    <w:rsid w:val="00D45647"/>
    <w:rsid w:val="00D602FA"/>
    <w:rsid w:val="00D62F18"/>
    <w:rsid w:val="00D72AF1"/>
    <w:rsid w:val="00D7501C"/>
    <w:rsid w:val="00D81518"/>
    <w:rsid w:val="00D85A09"/>
    <w:rsid w:val="00D9251B"/>
    <w:rsid w:val="00D95133"/>
    <w:rsid w:val="00DA2B2A"/>
    <w:rsid w:val="00DC7A3C"/>
    <w:rsid w:val="00DD38F4"/>
    <w:rsid w:val="00DD4A27"/>
    <w:rsid w:val="00DD62F0"/>
    <w:rsid w:val="00DE2A81"/>
    <w:rsid w:val="00DE3DAC"/>
    <w:rsid w:val="00DF1582"/>
    <w:rsid w:val="00DF614B"/>
    <w:rsid w:val="00E002AC"/>
    <w:rsid w:val="00E1030A"/>
    <w:rsid w:val="00E13706"/>
    <w:rsid w:val="00E16EEF"/>
    <w:rsid w:val="00E20E92"/>
    <w:rsid w:val="00E241EB"/>
    <w:rsid w:val="00E30317"/>
    <w:rsid w:val="00E34B6A"/>
    <w:rsid w:val="00E41829"/>
    <w:rsid w:val="00E448D4"/>
    <w:rsid w:val="00E46CD4"/>
    <w:rsid w:val="00E54420"/>
    <w:rsid w:val="00E57D23"/>
    <w:rsid w:val="00E627AB"/>
    <w:rsid w:val="00E82D21"/>
    <w:rsid w:val="00E87C3D"/>
    <w:rsid w:val="00E87EA2"/>
    <w:rsid w:val="00E923A1"/>
    <w:rsid w:val="00E95379"/>
    <w:rsid w:val="00E95C8A"/>
    <w:rsid w:val="00EC7350"/>
    <w:rsid w:val="00EE1E9E"/>
    <w:rsid w:val="00EE5EC6"/>
    <w:rsid w:val="00EE6AFC"/>
    <w:rsid w:val="00EE7740"/>
    <w:rsid w:val="00F03EAC"/>
    <w:rsid w:val="00F12E8C"/>
    <w:rsid w:val="00F307FB"/>
    <w:rsid w:val="00F325C3"/>
    <w:rsid w:val="00F43A54"/>
    <w:rsid w:val="00F50464"/>
    <w:rsid w:val="00F52785"/>
    <w:rsid w:val="00F54315"/>
    <w:rsid w:val="00F555B1"/>
    <w:rsid w:val="00F64AF7"/>
    <w:rsid w:val="00F66332"/>
    <w:rsid w:val="00F70195"/>
    <w:rsid w:val="00F70692"/>
    <w:rsid w:val="00F733E4"/>
    <w:rsid w:val="00F73B8A"/>
    <w:rsid w:val="00F85BC0"/>
    <w:rsid w:val="00F92627"/>
    <w:rsid w:val="00F97C22"/>
    <w:rsid w:val="00FA1581"/>
    <w:rsid w:val="00FA28A2"/>
    <w:rsid w:val="00FA5248"/>
    <w:rsid w:val="00FA5CA3"/>
    <w:rsid w:val="00FB255B"/>
    <w:rsid w:val="00FB53B7"/>
    <w:rsid w:val="00FC280A"/>
    <w:rsid w:val="00FD45CE"/>
    <w:rsid w:val="00FD5C56"/>
    <w:rsid w:val="00FD69BC"/>
    <w:rsid w:val="00FE338A"/>
    <w:rsid w:val="00FE45BF"/>
    <w:rsid w:val="00FF12C0"/>
    <w:rsid w:val="00FF40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paragraph" w:styleId="Heading2">
    <w:name w:val="heading 2"/>
    <w:basedOn w:val="Normal"/>
    <w:link w:val="Heading2Char"/>
    <w:uiPriority w:val="9"/>
    <w:qFormat/>
    <w:rsid w:val="00F43A5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customStyle="1" w:styleId="Heading2Char">
    <w:name w:val="Heading 2 Char"/>
    <w:basedOn w:val="DefaultParagraphFont"/>
    <w:link w:val="Heading2"/>
    <w:uiPriority w:val="9"/>
    <w:rsid w:val="00F43A54"/>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4A7D60"/>
    <w:rPr>
      <w:color w:val="0563C1" w:themeColor="hyperlink"/>
      <w:u w:val="single"/>
    </w:rPr>
  </w:style>
  <w:style w:type="paragraph" w:styleId="BalloonText">
    <w:name w:val="Balloon Text"/>
    <w:basedOn w:val="Normal"/>
    <w:link w:val="BalloonTextChar"/>
    <w:uiPriority w:val="99"/>
    <w:semiHidden/>
    <w:unhideWhenUsed/>
    <w:rsid w:val="00343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936">
      <w:bodyDiv w:val="1"/>
      <w:marLeft w:val="0"/>
      <w:marRight w:val="0"/>
      <w:marTop w:val="0"/>
      <w:marBottom w:val="0"/>
      <w:divBdr>
        <w:top w:val="none" w:sz="0" w:space="0" w:color="auto"/>
        <w:left w:val="none" w:sz="0" w:space="0" w:color="auto"/>
        <w:bottom w:val="none" w:sz="0" w:space="0" w:color="auto"/>
        <w:right w:val="none" w:sz="0" w:space="0" w:color="auto"/>
      </w:divBdr>
    </w:div>
    <w:div w:id="525216045">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venterinc.co.za" TargetMode="External"/><Relationship Id="rId5" Type="http://schemas.openxmlformats.org/officeDocument/2006/relationships/webSettings" Target="webSettings.xml"/><Relationship Id="rId10" Type="http://schemas.openxmlformats.org/officeDocument/2006/relationships/hyperlink" Target="mailto:aronsiphozono@gmail.com" TargetMode="External"/><Relationship Id="rId4" Type="http://schemas.openxmlformats.org/officeDocument/2006/relationships/settings" Target="settings.xml"/><Relationship Id="rId9" Type="http://schemas.openxmlformats.org/officeDocument/2006/relationships/hyperlink" Target="mailto:zono@telkoms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5A5F0-941F-4BAE-A7D1-FBB619F2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cp:lastPrinted>2023-01-31T17:11:00Z</cp:lastPrinted>
  <dcterms:created xsi:type="dcterms:W3CDTF">2023-02-07T10:52:00Z</dcterms:created>
  <dcterms:modified xsi:type="dcterms:W3CDTF">2023-02-17T14:06:00Z</dcterms:modified>
  <cp:contentStatus/>
</cp:coreProperties>
</file>