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253DA2A" w:rsidR="00D450B5" w:rsidRPr="00044B50" w:rsidRDefault="00D450B5" w:rsidP="00772E4B">
      <w:pPr>
        <w:jc w:val="center"/>
        <w:rPr>
          <w:b/>
          <w:bCs/>
          <w:lang w:val="en-GB"/>
        </w:rPr>
      </w:pPr>
      <w:r w:rsidRPr="00044B50">
        <w:rPr>
          <w:b/>
          <w:bCs/>
          <w:lang w:val="en-GB"/>
        </w:rPr>
        <w:t>EASTERN CAPE DIVISION,</w:t>
      </w:r>
      <w:r w:rsidR="00E25E35">
        <w:rPr>
          <w:b/>
          <w:bCs/>
          <w:lang w:val="en-GB"/>
        </w:rPr>
        <w:t xml:space="preserve"> MTHATHA</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11BA3D1D" w:rsidR="00E44987" w:rsidRPr="00044B50" w:rsidRDefault="00E25E35" w:rsidP="008A75F3">
      <w:pPr>
        <w:ind w:left="5760" w:firstLine="720"/>
        <w:rPr>
          <w:lang w:val="en-GB"/>
        </w:rPr>
      </w:pPr>
      <w:r>
        <w:rPr>
          <w:lang w:val="en-GB"/>
        </w:rPr>
        <w:t xml:space="preserve">   </w:t>
      </w:r>
      <w:r w:rsidR="00E44987" w:rsidRPr="00044B50">
        <w:rPr>
          <w:lang w:val="en-GB"/>
        </w:rPr>
        <w:t>Case no:</w:t>
      </w:r>
      <w:r>
        <w:rPr>
          <w:lang w:val="en-GB"/>
        </w:rPr>
        <w:t xml:space="preserve"> 596/2021</w:t>
      </w:r>
      <w:r w:rsidR="00E44987" w:rsidRPr="00044B50">
        <w:rPr>
          <w:lang w:val="en-GB"/>
        </w:rPr>
        <w:t xml:space="preserve"> </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33AFF7D6" w:rsidR="00D450B5" w:rsidRDefault="00E25E35" w:rsidP="00772E4B">
      <w:pPr>
        <w:tabs>
          <w:tab w:val="right" w:pos="9072"/>
        </w:tabs>
        <w:suppressAutoHyphens/>
        <w:jc w:val="both"/>
        <w:rPr>
          <w:lang w:val="en-GB"/>
        </w:rPr>
      </w:pPr>
      <w:r>
        <w:rPr>
          <w:b/>
          <w:bCs/>
          <w:lang w:val="en-GB"/>
        </w:rPr>
        <w:t>SIMFUMENE SWELI</w:t>
      </w:r>
      <w:r>
        <w:rPr>
          <w:b/>
          <w:bCs/>
          <w:lang w:val="en-GB"/>
        </w:rPr>
        <w:tab/>
        <w:t>Plaintiff</w:t>
      </w:r>
      <w:r w:rsidR="00CD2E30">
        <w:rPr>
          <w:lang w:val="en-GB"/>
        </w:rPr>
        <w:t xml:space="preserve"> </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A38FDA3" w14:textId="77777777" w:rsidR="00E25E35" w:rsidRDefault="00E25E35" w:rsidP="00772E4B">
      <w:pPr>
        <w:jc w:val="both"/>
        <w:rPr>
          <w:b/>
          <w:bCs/>
          <w:lang w:val="en-GB"/>
        </w:rPr>
      </w:pPr>
      <w:r>
        <w:rPr>
          <w:b/>
          <w:bCs/>
          <w:lang w:val="en-GB"/>
        </w:rPr>
        <w:t>MEC FOR THE DEPARTMENT OF EDUCATION,</w:t>
      </w:r>
    </w:p>
    <w:p w14:paraId="4F0E2CE6" w14:textId="7B4B6614" w:rsidR="00C246F2" w:rsidRPr="00E25E35" w:rsidRDefault="00E25E35" w:rsidP="00772E4B">
      <w:pPr>
        <w:jc w:val="both"/>
        <w:rPr>
          <w:b/>
          <w:bCs/>
          <w:lang w:val="en-GB"/>
        </w:rPr>
      </w:pPr>
      <w:r>
        <w:rPr>
          <w:b/>
          <w:bCs/>
          <w:lang w:val="en-GB"/>
        </w:rPr>
        <w:t>EASTERN CAPE PROVINCE</w:t>
      </w:r>
      <w:r>
        <w:rPr>
          <w:b/>
          <w:bCs/>
          <w:lang w:val="en-GB"/>
        </w:rPr>
        <w:tab/>
      </w:r>
      <w:r>
        <w:rPr>
          <w:b/>
          <w:bCs/>
          <w:lang w:val="en-GB"/>
        </w:rPr>
        <w:tab/>
      </w:r>
      <w:r>
        <w:rPr>
          <w:b/>
          <w:bCs/>
          <w:lang w:val="en-GB"/>
        </w:rPr>
        <w:tab/>
      </w:r>
      <w:r>
        <w:rPr>
          <w:b/>
          <w:bCs/>
          <w:lang w:val="en-GB"/>
        </w:rPr>
        <w:tab/>
      </w:r>
      <w:r>
        <w:rPr>
          <w:b/>
          <w:bCs/>
          <w:lang w:val="en-GB"/>
        </w:rPr>
        <w:tab/>
      </w:r>
      <w:r>
        <w:rPr>
          <w:b/>
          <w:bCs/>
          <w:lang w:val="en-GB"/>
        </w:rPr>
        <w:tab/>
      </w:r>
      <w:r w:rsidR="008118F1">
        <w:rPr>
          <w:b/>
          <w:bCs/>
          <w:lang w:val="en-GB"/>
        </w:rPr>
        <w:t xml:space="preserve">         </w:t>
      </w:r>
      <w:r>
        <w:rPr>
          <w:b/>
          <w:bCs/>
          <w:lang w:val="en-GB"/>
        </w:rPr>
        <w:t>Defendant</w:t>
      </w:r>
      <w:r w:rsidR="00C246F2" w:rsidRPr="00E25E35">
        <w:rPr>
          <w:b/>
          <w:bCs/>
          <w:lang w:val="en-GB"/>
        </w:rPr>
        <w:tab/>
      </w:r>
      <w:r w:rsidR="00C246F2" w:rsidRPr="00E25E35">
        <w:rPr>
          <w:b/>
          <w:bCs/>
          <w:lang w:val="en-GB"/>
        </w:rPr>
        <w:tab/>
      </w:r>
      <w:r w:rsidR="00C246F2" w:rsidRPr="00E25E35">
        <w:rPr>
          <w:b/>
          <w:bCs/>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0D3B31A1" w:rsidR="00D450B5" w:rsidRPr="00044B50" w:rsidRDefault="00E25E35" w:rsidP="00772E4B">
      <w:pPr>
        <w:jc w:val="both"/>
        <w:rPr>
          <w:b/>
          <w:bCs/>
          <w:lang w:val="en-GB"/>
        </w:rPr>
      </w:pPr>
      <w:r>
        <w:rPr>
          <w:b/>
          <w:bCs/>
          <w:lang w:val="en-GB"/>
        </w:rPr>
        <w:t>Z</w:t>
      </w:r>
      <w:r w:rsidR="00D8744F">
        <w:rPr>
          <w:b/>
          <w:bCs/>
          <w:lang w:val="en-GB"/>
        </w:rPr>
        <w:t>ILWA</w:t>
      </w:r>
      <w:r>
        <w:rPr>
          <w:b/>
          <w:bCs/>
          <w:lang w:val="en-GB"/>
        </w:rPr>
        <w:t xml:space="preserve"> AJ</w:t>
      </w:r>
    </w:p>
    <w:p w14:paraId="34F7781B" w14:textId="77777777" w:rsidR="00D468AF" w:rsidRPr="00044B50" w:rsidRDefault="00D468AF" w:rsidP="00953863">
      <w:pPr>
        <w:autoSpaceDE w:val="0"/>
        <w:autoSpaceDN w:val="0"/>
        <w:adjustRightInd w:val="0"/>
        <w:spacing w:line="480" w:lineRule="auto"/>
        <w:jc w:val="both"/>
        <w:rPr>
          <w:lang w:val="en-GB"/>
        </w:rPr>
      </w:pPr>
    </w:p>
    <w:p w14:paraId="15057235" w14:textId="22D9165F" w:rsidR="00823CFE" w:rsidRPr="00380EEB" w:rsidRDefault="00380EEB" w:rsidP="00380EEB">
      <w:pPr>
        <w:autoSpaceDE w:val="0"/>
        <w:autoSpaceDN w:val="0"/>
        <w:adjustRightInd w:val="0"/>
        <w:spacing w:line="480" w:lineRule="auto"/>
        <w:jc w:val="both"/>
        <w:rPr>
          <w:lang w:val="en-GB"/>
        </w:rPr>
      </w:pPr>
      <w:r>
        <w:rPr>
          <w:lang w:val="en-GB"/>
        </w:rPr>
        <w:t>[1]</w:t>
      </w:r>
      <w:r>
        <w:rPr>
          <w:lang w:val="en-GB"/>
        </w:rPr>
        <w:tab/>
      </w:r>
      <w:r w:rsidR="00E25E35" w:rsidRPr="00380EEB">
        <w:rPr>
          <w:lang w:val="en-GB"/>
        </w:rPr>
        <w:t>On 11 February 2021 t</w:t>
      </w:r>
      <w:r w:rsidR="006A7DA6" w:rsidRPr="00380EEB">
        <w:rPr>
          <w:lang w:val="en-GB"/>
        </w:rPr>
        <w:t xml:space="preserve">he </w:t>
      </w:r>
      <w:r w:rsidR="00E25E35" w:rsidRPr="00380EEB">
        <w:rPr>
          <w:lang w:val="en-GB"/>
        </w:rPr>
        <w:t xml:space="preserve">Plaintiff instituted a </w:t>
      </w:r>
      <w:r w:rsidR="009E1DA9" w:rsidRPr="00380EEB">
        <w:rPr>
          <w:lang w:val="en-GB"/>
        </w:rPr>
        <w:t>civi</w:t>
      </w:r>
      <w:r w:rsidR="00E25E35" w:rsidRPr="00380EEB">
        <w:rPr>
          <w:lang w:val="en-GB"/>
        </w:rPr>
        <w:t xml:space="preserve">l claim against the Defendant allegedly based on defamation. The Defendant raised two special pleas. The first special plea was to the effect that the Plaintiff’s claim has prescribed </w:t>
      </w:r>
      <w:r w:rsidR="009E1DA9" w:rsidRPr="00380EEB">
        <w:rPr>
          <w:lang w:val="en-GB"/>
        </w:rPr>
        <w:t xml:space="preserve">owing to the failure to institute the action within 3 years as prescribed by Sections 10, 11, 12 and </w:t>
      </w:r>
      <w:r w:rsidR="009E1DA9" w:rsidRPr="00380EEB">
        <w:rPr>
          <w:lang w:val="en-GB"/>
        </w:rPr>
        <w:lastRenderedPageBreak/>
        <w:t>15 of the Prescription Act.</w:t>
      </w:r>
      <w:r w:rsidR="009E1DA9">
        <w:rPr>
          <w:rStyle w:val="FootnoteReference"/>
          <w:lang w:val="en-GB"/>
        </w:rPr>
        <w:footnoteReference w:id="1"/>
      </w:r>
      <w:r w:rsidR="009E1DA9" w:rsidRPr="00380EEB">
        <w:rPr>
          <w:lang w:val="en-GB"/>
        </w:rPr>
        <w:t xml:space="preserve"> The second special plea was in respect of non-compliance with Section 3 (1) of the Institution of Legal Proceedings Against Certain Organs of State.</w:t>
      </w:r>
      <w:r w:rsidR="009E1DA9">
        <w:rPr>
          <w:rStyle w:val="FootnoteReference"/>
          <w:lang w:val="en-GB"/>
        </w:rPr>
        <w:footnoteReference w:id="2"/>
      </w:r>
    </w:p>
    <w:p w14:paraId="43DF4339" w14:textId="77777777" w:rsidR="009E1DA9" w:rsidRDefault="009E1DA9" w:rsidP="00953863">
      <w:pPr>
        <w:pStyle w:val="ListParagraph"/>
        <w:autoSpaceDE w:val="0"/>
        <w:autoSpaceDN w:val="0"/>
        <w:adjustRightInd w:val="0"/>
        <w:spacing w:line="480" w:lineRule="auto"/>
        <w:ind w:left="0"/>
        <w:jc w:val="both"/>
        <w:rPr>
          <w:lang w:val="en-GB"/>
        </w:rPr>
      </w:pPr>
    </w:p>
    <w:p w14:paraId="29A0499A" w14:textId="6189F21A" w:rsidR="00601C5F" w:rsidRPr="00380EEB" w:rsidRDefault="00380EEB" w:rsidP="00380EEB">
      <w:pPr>
        <w:autoSpaceDE w:val="0"/>
        <w:autoSpaceDN w:val="0"/>
        <w:adjustRightInd w:val="0"/>
        <w:spacing w:line="480" w:lineRule="auto"/>
        <w:jc w:val="both"/>
        <w:rPr>
          <w:lang w:val="en-GB"/>
        </w:rPr>
      </w:pPr>
      <w:r>
        <w:rPr>
          <w:lang w:val="en-GB"/>
        </w:rPr>
        <w:t>[2]</w:t>
      </w:r>
      <w:r>
        <w:rPr>
          <w:lang w:val="en-GB"/>
        </w:rPr>
        <w:tab/>
      </w:r>
      <w:r w:rsidR="009E1DA9" w:rsidRPr="00380EEB">
        <w:rPr>
          <w:lang w:val="en-GB"/>
        </w:rPr>
        <w:t>In re</w:t>
      </w:r>
      <w:r w:rsidR="00B634A7" w:rsidRPr="00380EEB">
        <w:rPr>
          <w:lang w:val="en-GB"/>
        </w:rPr>
        <w:t>action</w:t>
      </w:r>
      <w:r w:rsidR="009E1DA9" w:rsidRPr="00380EEB">
        <w:rPr>
          <w:lang w:val="en-GB"/>
        </w:rPr>
        <w:t xml:space="preserve"> to the second special plea</w:t>
      </w:r>
      <w:r w:rsidR="00601C5F" w:rsidRPr="00380EEB">
        <w:rPr>
          <w:lang w:val="en-GB"/>
        </w:rPr>
        <w:t>, on 19 April 2021,</w:t>
      </w:r>
      <w:r w:rsidR="009E1DA9" w:rsidRPr="00380EEB">
        <w:rPr>
          <w:lang w:val="en-GB"/>
        </w:rPr>
        <w:t xml:space="preserve"> the Plaintiff launched an interlocutory application for condonation</w:t>
      </w:r>
      <w:r w:rsidR="00601C5F" w:rsidRPr="00380EEB">
        <w:rPr>
          <w:lang w:val="en-GB"/>
        </w:rPr>
        <w:t xml:space="preserve">. That application was fully opposed and, after all the papers were exchanged, a hearing date was obtained in the opposed motion court. The hearing came before my sister, Justice Dawood, on 10 February 2022 where an order was issued referring the matter to the trial court for the determination of the issue of condonation </w:t>
      </w:r>
      <w:r w:rsidR="00B634A7" w:rsidRPr="00380EEB">
        <w:rPr>
          <w:lang w:val="en-GB"/>
        </w:rPr>
        <w:t xml:space="preserve">which was </w:t>
      </w:r>
      <w:r w:rsidR="00601C5F" w:rsidRPr="00380EEB">
        <w:rPr>
          <w:lang w:val="en-GB"/>
        </w:rPr>
        <w:t>to be determined together with the special plea of prescription.</w:t>
      </w:r>
    </w:p>
    <w:p w14:paraId="05346B5F" w14:textId="77777777" w:rsidR="00601C5F" w:rsidRPr="00601C5F" w:rsidRDefault="00601C5F" w:rsidP="00953863">
      <w:pPr>
        <w:pStyle w:val="ListParagraph"/>
        <w:spacing w:line="480" w:lineRule="auto"/>
        <w:rPr>
          <w:lang w:val="en-GB"/>
        </w:rPr>
      </w:pPr>
    </w:p>
    <w:p w14:paraId="614DB451" w14:textId="240F2F1F" w:rsidR="0046496F" w:rsidRPr="00380EEB" w:rsidRDefault="00380EEB" w:rsidP="00380EEB">
      <w:pPr>
        <w:autoSpaceDE w:val="0"/>
        <w:autoSpaceDN w:val="0"/>
        <w:adjustRightInd w:val="0"/>
        <w:spacing w:line="480" w:lineRule="auto"/>
        <w:jc w:val="both"/>
        <w:rPr>
          <w:lang w:val="en-GB"/>
        </w:rPr>
      </w:pPr>
      <w:r>
        <w:rPr>
          <w:lang w:val="en-GB"/>
        </w:rPr>
        <w:t>[3]</w:t>
      </w:r>
      <w:r>
        <w:rPr>
          <w:lang w:val="en-GB"/>
        </w:rPr>
        <w:tab/>
      </w:r>
      <w:r w:rsidR="00601C5F" w:rsidRPr="00380EEB">
        <w:rPr>
          <w:lang w:val="en-GB"/>
        </w:rPr>
        <w:t xml:space="preserve"> The Plaintiff proceeded to secure a trial date and on the day of the hearing the parties, by agreement and in terms of Rule </w:t>
      </w:r>
      <w:r w:rsidR="0046496F" w:rsidRPr="00380EEB">
        <w:rPr>
          <w:lang w:val="en-GB"/>
        </w:rPr>
        <w:t>33(1) of the Uniform Rules, agreed, prepared and submitted a stated case in terms of which the two special pleas fell for determination.</w:t>
      </w:r>
      <w:r w:rsidR="00961B6F" w:rsidRPr="00380EEB">
        <w:rPr>
          <w:lang w:val="en-GB"/>
        </w:rPr>
        <w:t xml:space="preserve"> </w:t>
      </w:r>
      <w:r w:rsidR="00B634A7" w:rsidRPr="00380EEB">
        <w:rPr>
          <w:lang w:val="en-GB"/>
        </w:rPr>
        <w:t xml:space="preserve">I was satisfied that the issues identified </w:t>
      </w:r>
      <w:r w:rsidR="00DC2749" w:rsidRPr="00380EEB">
        <w:rPr>
          <w:lang w:val="en-GB"/>
        </w:rPr>
        <w:t xml:space="preserve">by the parties </w:t>
      </w:r>
      <w:r w:rsidR="00B634A7" w:rsidRPr="00380EEB">
        <w:rPr>
          <w:lang w:val="en-GB"/>
        </w:rPr>
        <w:t xml:space="preserve">were capable of being decided by way of a stated case. </w:t>
      </w:r>
      <w:r w:rsidR="00961B6F" w:rsidRPr="00380EEB">
        <w:rPr>
          <w:lang w:val="en-GB"/>
        </w:rPr>
        <w:t xml:space="preserve">Application for separation was </w:t>
      </w:r>
      <w:r w:rsidR="00DC2749" w:rsidRPr="00380EEB">
        <w:rPr>
          <w:lang w:val="en-GB"/>
        </w:rPr>
        <w:t xml:space="preserve">accordingly </w:t>
      </w:r>
      <w:r w:rsidR="00961B6F" w:rsidRPr="00380EEB">
        <w:rPr>
          <w:lang w:val="en-GB"/>
        </w:rPr>
        <w:t>granted and the matter proceeded on the basis of the agreed statement of issues.</w:t>
      </w:r>
    </w:p>
    <w:p w14:paraId="07EE2EC8" w14:textId="77777777" w:rsidR="0046496F" w:rsidRPr="0046496F" w:rsidRDefault="0046496F" w:rsidP="00953863">
      <w:pPr>
        <w:pStyle w:val="ListParagraph"/>
        <w:spacing w:line="480" w:lineRule="auto"/>
        <w:rPr>
          <w:lang w:val="en-GB"/>
        </w:rPr>
      </w:pPr>
    </w:p>
    <w:p w14:paraId="010069F9" w14:textId="2DF22FD6" w:rsidR="0046496F" w:rsidRPr="0046496F" w:rsidRDefault="0046496F" w:rsidP="00953863">
      <w:pPr>
        <w:pStyle w:val="ListParagraph"/>
        <w:autoSpaceDE w:val="0"/>
        <w:autoSpaceDN w:val="0"/>
        <w:adjustRightInd w:val="0"/>
        <w:spacing w:line="480" w:lineRule="auto"/>
        <w:ind w:left="0"/>
        <w:jc w:val="both"/>
        <w:rPr>
          <w:b/>
          <w:bCs/>
          <w:lang w:val="en-GB"/>
        </w:rPr>
      </w:pPr>
      <w:r>
        <w:rPr>
          <w:b/>
          <w:bCs/>
          <w:lang w:val="en-GB"/>
        </w:rPr>
        <w:t>THE STATED CASE</w:t>
      </w:r>
    </w:p>
    <w:p w14:paraId="7D0B6708" w14:textId="77777777" w:rsidR="0046496F" w:rsidRPr="0046496F" w:rsidRDefault="0046496F" w:rsidP="00953863">
      <w:pPr>
        <w:pStyle w:val="ListParagraph"/>
        <w:spacing w:line="480" w:lineRule="auto"/>
        <w:rPr>
          <w:lang w:val="en-GB"/>
        </w:rPr>
      </w:pPr>
    </w:p>
    <w:p w14:paraId="7BE123D5" w14:textId="1069C6C8" w:rsidR="009E1DA9" w:rsidRPr="00380EEB" w:rsidRDefault="00380EEB" w:rsidP="00380EEB">
      <w:pPr>
        <w:autoSpaceDE w:val="0"/>
        <w:autoSpaceDN w:val="0"/>
        <w:adjustRightInd w:val="0"/>
        <w:spacing w:line="480" w:lineRule="auto"/>
        <w:jc w:val="both"/>
        <w:rPr>
          <w:lang w:val="en-GB"/>
        </w:rPr>
      </w:pPr>
      <w:r w:rsidRPr="00EA0121">
        <w:rPr>
          <w:lang w:val="en-GB"/>
        </w:rPr>
        <w:lastRenderedPageBreak/>
        <w:t>[4]</w:t>
      </w:r>
      <w:r w:rsidRPr="00EA0121">
        <w:rPr>
          <w:lang w:val="en-GB"/>
        </w:rPr>
        <w:tab/>
      </w:r>
      <w:r w:rsidR="0046496F" w:rsidRPr="00380EEB">
        <w:rPr>
          <w:lang w:val="en-GB"/>
        </w:rPr>
        <w:t xml:space="preserve"> </w:t>
      </w:r>
      <w:r w:rsidR="00601C5F" w:rsidRPr="00380EEB">
        <w:rPr>
          <w:lang w:val="en-GB"/>
        </w:rPr>
        <w:t xml:space="preserve">  </w:t>
      </w:r>
      <w:r w:rsidR="0046496F" w:rsidRPr="00380EEB">
        <w:rPr>
          <w:color w:val="2C3E50"/>
          <w:shd w:val="clear" w:color="auto" w:fill="FFFFFF"/>
        </w:rPr>
        <w:t xml:space="preserve">To avoid prolixity I do not </w:t>
      </w:r>
      <w:r w:rsidR="00B634A7" w:rsidRPr="00380EEB">
        <w:rPr>
          <w:color w:val="2C3E50"/>
          <w:shd w:val="clear" w:color="auto" w:fill="FFFFFF"/>
        </w:rPr>
        <w:t>re</w:t>
      </w:r>
      <w:r w:rsidR="0046496F" w:rsidRPr="00380EEB">
        <w:rPr>
          <w:color w:val="2C3E50"/>
          <w:shd w:val="clear" w:color="auto" w:fill="FFFFFF"/>
        </w:rPr>
        <w:t>cite the entire </w:t>
      </w:r>
      <w:r w:rsidR="0046496F" w:rsidRPr="0046496F">
        <w:t>stated case</w:t>
      </w:r>
      <w:r w:rsidR="0046496F" w:rsidRPr="00380EEB">
        <w:rPr>
          <w:color w:val="2C3E50"/>
          <w:shd w:val="clear" w:color="auto" w:fill="FFFFFF"/>
        </w:rPr>
        <w:t>, but shall instead give a synopsis of those agreed facts</w:t>
      </w:r>
      <w:r w:rsidR="00590B62" w:rsidRPr="00380EEB">
        <w:rPr>
          <w:color w:val="2C3E50"/>
          <w:shd w:val="clear" w:color="auto" w:fill="FFFFFF"/>
        </w:rPr>
        <w:t xml:space="preserve"> (quoted </w:t>
      </w:r>
      <w:r w:rsidR="00590B62" w:rsidRPr="00380EEB">
        <w:rPr>
          <w:i/>
          <w:iCs/>
          <w:color w:val="2C3E50"/>
          <w:shd w:val="clear" w:color="auto" w:fill="FFFFFF"/>
        </w:rPr>
        <w:t>verbatim</w:t>
      </w:r>
      <w:r w:rsidR="00590B62" w:rsidRPr="00380EEB">
        <w:rPr>
          <w:color w:val="2C3E50"/>
          <w:shd w:val="clear" w:color="auto" w:fill="FFFFFF"/>
        </w:rPr>
        <w:t>)</w:t>
      </w:r>
      <w:r w:rsidR="0046496F" w:rsidRPr="00380EEB">
        <w:rPr>
          <w:color w:val="2C3E50"/>
          <w:shd w:val="clear" w:color="auto" w:fill="FFFFFF"/>
        </w:rPr>
        <w:t xml:space="preserve"> which are relevant for the adjudication of the separated issues</w:t>
      </w:r>
      <w:r w:rsidR="00EA0121" w:rsidRPr="00380EEB">
        <w:rPr>
          <w:color w:val="2C3E50"/>
          <w:shd w:val="clear" w:color="auto" w:fill="FFFFFF"/>
        </w:rPr>
        <w:t>, in the following manner:</w:t>
      </w:r>
    </w:p>
    <w:p w14:paraId="5744327D" w14:textId="77777777" w:rsidR="00EA0121" w:rsidRPr="00590B62" w:rsidRDefault="00EA0121" w:rsidP="00953863">
      <w:pPr>
        <w:autoSpaceDE w:val="0"/>
        <w:autoSpaceDN w:val="0"/>
        <w:adjustRightInd w:val="0"/>
        <w:spacing w:line="480" w:lineRule="auto"/>
        <w:jc w:val="both"/>
        <w:rPr>
          <w:i/>
          <w:iCs/>
          <w:lang w:val="en-GB"/>
        </w:rPr>
      </w:pPr>
    </w:p>
    <w:p w14:paraId="32266953" w14:textId="75D902BE" w:rsidR="00EA0121" w:rsidRPr="00590B62" w:rsidRDefault="00B634A7" w:rsidP="00953863">
      <w:pPr>
        <w:autoSpaceDE w:val="0"/>
        <w:autoSpaceDN w:val="0"/>
        <w:adjustRightInd w:val="0"/>
        <w:spacing w:line="480" w:lineRule="auto"/>
        <w:ind w:left="1440" w:hanging="720"/>
        <w:jc w:val="both"/>
        <w:rPr>
          <w:i/>
          <w:iCs/>
          <w:lang w:val="en-US"/>
        </w:rPr>
      </w:pPr>
      <w:r>
        <w:rPr>
          <w:i/>
          <w:iCs/>
          <w:lang w:val="en-GB"/>
        </w:rPr>
        <w:t>‘</w:t>
      </w:r>
      <w:proofErr w:type="spellStart"/>
      <w:r w:rsidR="00590B62" w:rsidRPr="00590B62">
        <w:rPr>
          <w:i/>
          <w:iCs/>
          <w:lang w:val="en-GB"/>
        </w:rPr>
        <w:t>i</w:t>
      </w:r>
      <w:proofErr w:type="spellEnd"/>
      <w:r w:rsidR="00590B62" w:rsidRPr="00590B62">
        <w:rPr>
          <w:i/>
          <w:iCs/>
          <w:lang w:val="en-GB"/>
        </w:rPr>
        <w:t>)</w:t>
      </w:r>
      <w:r w:rsidR="00EA0121" w:rsidRPr="00590B62">
        <w:rPr>
          <w:i/>
          <w:iCs/>
          <w:lang w:val="en-GB"/>
        </w:rPr>
        <w:tab/>
        <w:t xml:space="preserve">On 19 September </w:t>
      </w:r>
      <w:r w:rsidR="00EA0121" w:rsidRPr="00590B62">
        <w:rPr>
          <w:i/>
          <w:iCs/>
          <w:lang w:val="en-US"/>
        </w:rPr>
        <w:t xml:space="preserve">2016, Plaintiff was the school principal of the Upper </w:t>
      </w:r>
      <w:proofErr w:type="spellStart"/>
      <w:r w:rsidR="00EA0121" w:rsidRPr="00590B62">
        <w:rPr>
          <w:i/>
          <w:iCs/>
          <w:lang w:val="en-US"/>
        </w:rPr>
        <w:t>Tabase</w:t>
      </w:r>
      <w:proofErr w:type="spellEnd"/>
      <w:r w:rsidR="00EA0121" w:rsidRPr="00590B62">
        <w:rPr>
          <w:i/>
          <w:iCs/>
          <w:lang w:val="en-US"/>
        </w:rPr>
        <w:t xml:space="preserve"> Junior Secondary School.</w:t>
      </w:r>
    </w:p>
    <w:p w14:paraId="75360B3B" w14:textId="67018863" w:rsidR="00EA0121" w:rsidRPr="00590B62" w:rsidRDefault="00590B62" w:rsidP="00953863">
      <w:pPr>
        <w:autoSpaceDE w:val="0"/>
        <w:autoSpaceDN w:val="0"/>
        <w:adjustRightInd w:val="0"/>
        <w:spacing w:line="480" w:lineRule="auto"/>
        <w:ind w:left="1440" w:hanging="720"/>
        <w:jc w:val="both"/>
        <w:rPr>
          <w:i/>
          <w:iCs/>
          <w:lang w:val="en-US"/>
        </w:rPr>
      </w:pPr>
      <w:r w:rsidRPr="00590B62">
        <w:rPr>
          <w:i/>
          <w:iCs/>
          <w:lang w:val="en-US"/>
        </w:rPr>
        <w:t>ii)</w:t>
      </w:r>
      <w:r w:rsidR="00EA0121" w:rsidRPr="00590B62">
        <w:rPr>
          <w:i/>
          <w:iCs/>
          <w:lang w:val="en-US"/>
        </w:rPr>
        <w:t xml:space="preserve"> </w:t>
      </w:r>
      <w:r w:rsidR="00EA0121" w:rsidRPr="00590B62">
        <w:rPr>
          <w:i/>
          <w:iCs/>
          <w:lang w:val="en-US"/>
        </w:rPr>
        <w:tab/>
        <w:t xml:space="preserve">The Plaintiff was one of panelists who conducted interviews to fill vacancy of </w:t>
      </w:r>
      <w:r w:rsidR="004700CA" w:rsidRPr="00590B62">
        <w:rPr>
          <w:i/>
          <w:iCs/>
          <w:lang w:val="en-US"/>
        </w:rPr>
        <w:t>A</w:t>
      </w:r>
      <w:r w:rsidR="00EA0121" w:rsidRPr="00590B62">
        <w:rPr>
          <w:i/>
          <w:iCs/>
          <w:lang w:val="en-US"/>
        </w:rPr>
        <w:t xml:space="preserve">dministration </w:t>
      </w:r>
      <w:r w:rsidR="004700CA" w:rsidRPr="00590B62">
        <w:rPr>
          <w:i/>
          <w:iCs/>
          <w:lang w:val="en-US"/>
        </w:rPr>
        <w:t>C</w:t>
      </w:r>
      <w:r w:rsidR="00EA0121" w:rsidRPr="00590B62">
        <w:rPr>
          <w:i/>
          <w:iCs/>
          <w:lang w:val="en-US"/>
        </w:rPr>
        <w:t>lerk at the school.</w:t>
      </w:r>
    </w:p>
    <w:p w14:paraId="00DE689D" w14:textId="2A6E2EDA" w:rsidR="00EA0121" w:rsidRPr="00590B62" w:rsidRDefault="00590B62" w:rsidP="00953863">
      <w:pPr>
        <w:autoSpaceDE w:val="0"/>
        <w:autoSpaceDN w:val="0"/>
        <w:adjustRightInd w:val="0"/>
        <w:spacing w:line="480" w:lineRule="auto"/>
        <w:ind w:left="1440" w:hanging="720"/>
        <w:jc w:val="both"/>
        <w:rPr>
          <w:i/>
          <w:iCs/>
          <w:lang w:val="en-US"/>
        </w:rPr>
      </w:pPr>
      <w:r w:rsidRPr="00590B62">
        <w:rPr>
          <w:i/>
          <w:iCs/>
          <w:lang w:val="en-US"/>
        </w:rPr>
        <w:t>iii)</w:t>
      </w:r>
      <w:r w:rsidR="00EA0121" w:rsidRPr="00590B62">
        <w:rPr>
          <w:i/>
          <w:iCs/>
          <w:lang w:val="en-US"/>
        </w:rPr>
        <w:t xml:space="preserve"> </w:t>
      </w:r>
      <w:r w:rsidR="00EA0121" w:rsidRPr="00590B62">
        <w:rPr>
          <w:i/>
          <w:iCs/>
          <w:lang w:val="en-US"/>
        </w:rPr>
        <w:tab/>
        <w:t>The other panelists who conducted the said interviews were employees of the Defendant.</w:t>
      </w:r>
    </w:p>
    <w:p w14:paraId="7F3C06DA" w14:textId="365F8B25" w:rsidR="00EA0121" w:rsidRPr="00590B62" w:rsidRDefault="00590B62" w:rsidP="00953863">
      <w:pPr>
        <w:autoSpaceDE w:val="0"/>
        <w:autoSpaceDN w:val="0"/>
        <w:adjustRightInd w:val="0"/>
        <w:spacing w:line="480" w:lineRule="auto"/>
        <w:ind w:firstLine="720"/>
        <w:jc w:val="both"/>
        <w:rPr>
          <w:i/>
          <w:iCs/>
          <w:lang w:val="en-US"/>
        </w:rPr>
      </w:pPr>
      <w:r w:rsidRPr="00590B62">
        <w:rPr>
          <w:i/>
          <w:iCs/>
          <w:lang w:val="en-US"/>
        </w:rPr>
        <w:t>iv)</w:t>
      </w:r>
      <w:r w:rsidR="00EA0121" w:rsidRPr="00590B62">
        <w:rPr>
          <w:i/>
          <w:iCs/>
          <w:lang w:val="en-US"/>
        </w:rPr>
        <w:t xml:space="preserve"> </w:t>
      </w:r>
      <w:r w:rsidR="00EA0121" w:rsidRPr="00590B62">
        <w:rPr>
          <w:i/>
          <w:iCs/>
          <w:lang w:val="en-US"/>
        </w:rPr>
        <w:tab/>
        <w:t>The Plaintiff left the said process of interviews before its finalization.</w:t>
      </w:r>
    </w:p>
    <w:p w14:paraId="4F09EDBB" w14:textId="13A00408" w:rsidR="00EA0121" w:rsidRPr="00590B62" w:rsidRDefault="00590B62" w:rsidP="00953863">
      <w:pPr>
        <w:autoSpaceDE w:val="0"/>
        <w:autoSpaceDN w:val="0"/>
        <w:adjustRightInd w:val="0"/>
        <w:spacing w:line="480" w:lineRule="auto"/>
        <w:ind w:left="1440" w:hanging="720"/>
        <w:jc w:val="both"/>
        <w:rPr>
          <w:i/>
          <w:iCs/>
          <w:lang w:val="en-US"/>
        </w:rPr>
      </w:pPr>
      <w:r w:rsidRPr="00590B62">
        <w:rPr>
          <w:i/>
          <w:iCs/>
          <w:lang w:val="en-US"/>
        </w:rPr>
        <w:t>v)</w:t>
      </w:r>
      <w:r w:rsidR="00EA0121" w:rsidRPr="00590B62">
        <w:rPr>
          <w:i/>
          <w:iCs/>
          <w:lang w:val="en-US"/>
        </w:rPr>
        <w:t xml:space="preserve"> </w:t>
      </w:r>
      <w:r w:rsidR="00EA0121" w:rsidRPr="00590B62">
        <w:rPr>
          <w:i/>
          <w:iCs/>
          <w:lang w:val="en-US"/>
        </w:rPr>
        <w:tab/>
        <w:t xml:space="preserve">One of the candidates, inter alia, </w:t>
      </w:r>
      <w:proofErr w:type="spellStart"/>
      <w:r w:rsidR="00EA0121" w:rsidRPr="00590B62">
        <w:rPr>
          <w:i/>
          <w:iCs/>
          <w:lang w:val="en-US"/>
        </w:rPr>
        <w:t>Zonwabe</w:t>
      </w:r>
      <w:proofErr w:type="spellEnd"/>
      <w:r w:rsidR="00EA0121" w:rsidRPr="00590B62">
        <w:rPr>
          <w:i/>
          <w:iCs/>
          <w:lang w:val="en-US"/>
        </w:rPr>
        <w:t xml:space="preserve"> </w:t>
      </w:r>
      <w:proofErr w:type="spellStart"/>
      <w:r w:rsidR="00EA0121" w:rsidRPr="00590B62">
        <w:rPr>
          <w:i/>
          <w:iCs/>
          <w:lang w:val="en-US"/>
        </w:rPr>
        <w:t>Mbuzi</w:t>
      </w:r>
      <w:proofErr w:type="spellEnd"/>
      <w:r w:rsidR="00EA0121" w:rsidRPr="00590B62">
        <w:rPr>
          <w:i/>
          <w:iCs/>
          <w:lang w:val="en-US"/>
        </w:rPr>
        <w:t>, was selected by the remaining members of the panel.</w:t>
      </w:r>
    </w:p>
    <w:p w14:paraId="4B8835B7" w14:textId="291DAF71" w:rsidR="00EA0121" w:rsidRPr="00590B62" w:rsidRDefault="00590B62" w:rsidP="00953863">
      <w:pPr>
        <w:autoSpaceDE w:val="0"/>
        <w:autoSpaceDN w:val="0"/>
        <w:adjustRightInd w:val="0"/>
        <w:spacing w:line="480" w:lineRule="auto"/>
        <w:ind w:left="1440" w:hanging="720"/>
        <w:jc w:val="both"/>
        <w:rPr>
          <w:i/>
          <w:iCs/>
          <w:lang w:val="en-US"/>
        </w:rPr>
      </w:pPr>
      <w:r w:rsidRPr="00590B62">
        <w:rPr>
          <w:i/>
          <w:iCs/>
          <w:lang w:val="en-US"/>
        </w:rPr>
        <w:t>vi)</w:t>
      </w:r>
      <w:r w:rsidR="00EA0121" w:rsidRPr="00590B62">
        <w:rPr>
          <w:i/>
          <w:iCs/>
          <w:lang w:val="en-US"/>
        </w:rPr>
        <w:t xml:space="preserve"> </w:t>
      </w:r>
      <w:r w:rsidR="00EA0121" w:rsidRPr="00590B62">
        <w:rPr>
          <w:i/>
          <w:iCs/>
          <w:lang w:val="en-US"/>
        </w:rPr>
        <w:tab/>
        <w:t xml:space="preserve">The appointment of </w:t>
      </w:r>
      <w:proofErr w:type="spellStart"/>
      <w:r w:rsidR="00EA0121" w:rsidRPr="00590B62">
        <w:rPr>
          <w:i/>
          <w:iCs/>
          <w:lang w:val="en-US"/>
        </w:rPr>
        <w:t>Ms</w:t>
      </w:r>
      <w:proofErr w:type="spellEnd"/>
      <w:r w:rsidR="00EA0121" w:rsidRPr="00590B62">
        <w:rPr>
          <w:i/>
          <w:iCs/>
          <w:lang w:val="en-US"/>
        </w:rPr>
        <w:t xml:space="preserve"> </w:t>
      </w:r>
      <w:proofErr w:type="spellStart"/>
      <w:r w:rsidR="00EA0121" w:rsidRPr="00590B62">
        <w:rPr>
          <w:i/>
          <w:iCs/>
          <w:lang w:val="en-US"/>
        </w:rPr>
        <w:t>Mbuzi</w:t>
      </w:r>
      <w:proofErr w:type="spellEnd"/>
      <w:r w:rsidR="00EA0121" w:rsidRPr="00590B62">
        <w:rPr>
          <w:i/>
          <w:iCs/>
          <w:lang w:val="en-US"/>
        </w:rPr>
        <w:t xml:space="preserve"> at the school was challenged and it was set aside on 29 August 2017.</w:t>
      </w:r>
    </w:p>
    <w:p w14:paraId="524E99DF" w14:textId="169A1622" w:rsidR="004700CA" w:rsidRPr="00590B62" w:rsidRDefault="00590B62" w:rsidP="00953863">
      <w:pPr>
        <w:autoSpaceDE w:val="0"/>
        <w:autoSpaceDN w:val="0"/>
        <w:adjustRightInd w:val="0"/>
        <w:spacing w:line="480" w:lineRule="auto"/>
        <w:ind w:left="1440" w:hanging="720"/>
        <w:jc w:val="both"/>
        <w:rPr>
          <w:i/>
          <w:iCs/>
          <w:lang w:val="en-US"/>
        </w:rPr>
      </w:pPr>
      <w:r w:rsidRPr="00590B62">
        <w:rPr>
          <w:i/>
          <w:iCs/>
          <w:lang w:val="en-US"/>
        </w:rPr>
        <w:t>vii)</w:t>
      </w:r>
      <w:r w:rsidR="00EA0121" w:rsidRPr="00590B62">
        <w:rPr>
          <w:i/>
          <w:iCs/>
          <w:lang w:val="en-US"/>
        </w:rPr>
        <w:t xml:space="preserve"> </w:t>
      </w:r>
      <w:r w:rsidR="00EA0121" w:rsidRPr="00590B62">
        <w:rPr>
          <w:i/>
          <w:iCs/>
          <w:lang w:val="en-US"/>
        </w:rPr>
        <w:tab/>
        <w:t>On 15 November 2017 the Plaintiff penned a letter to the Director of OR Tambo inland, alleging that he had strong beliefs that his signature was forged and his name used to perpetuate the interests of the officials who were present to the process, the said letter is annexed hereto marked an</w:t>
      </w:r>
      <w:r w:rsidR="004700CA" w:rsidRPr="00590B62">
        <w:rPr>
          <w:i/>
          <w:iCs/>
          <w:lang w:val="en-US"/>
        </w:rPr>
        <w:t>nexure ‘</w:t>
      </w:r>
      <w:r w:rsidR="004700CA" w:rsidRPr="00590B62">
        <w:rPr>
          <w:b/>
          <w:bCs/>
          <w:i/>
          <w:iCs/>
          <w:lang w:val="en-US"/>
        </w:rPr>
        <w:t>KP1</w:t>
      </w:r>
      <w:r w:rsidR="004700CA" w:rsidRPr="00590B62">
        <w:rPr>
          <w:i/>
          <w:iCs/>
          <w:lang w:val="en-US"/>
        </w:rPr>
        <w:t>’.</w:t>
      </w:r>
      <w:r w:rsidR="00EA0121" w:rsidRPr="00590B62">
        <w:rPr>
          <w:i/>
          <w:iCs/>
          <w:lang w:val="en-US"/>
        </w:rPr>
        <w:t xml:space="preserve"> </w:t>
      </w:r>
    </w:p>
    <w:p w14:paraId="1BA85632" w14:textId="16A90651" w:rsidR="004700CA" w:rsidRPr="00590B62" w:rsidRDefault="00590B62" w:rsidP="00953863">
      <w:pPr>
        <w:autoSpaceDE w:val="0"/>
        <w:autoSpaceDN w:val="0"/>
        <w:adjustRightInd w:val="0"/>
        <w:spacing w:line="480" w:lineRule="auto"/>
        <w:ind w:left="1440" w:hanging="720"/>
        <w:jc w:val="both"/>
        <w:rPr>
          <w:i/>
          <w:iCs/>
          <w:lang w:val="en-US"/>
        </w:rPr>
      </w:pPr>
      <w:r w:rsidRPr="00590B62">
        <w:rPr>
          <w:i/>
          <w:iCs/>
          <w:lang w:val="en-US"/>
        </w:rPr>
        <w:t>viii)</w:t>
      </w:r>
      <w:r w:rsidR="004700CA" w:rsidRPr="00590B62">
        <w:rPr>
          <w:i/>
          <w:iCs/>
          <w:lang w:val="en-US"/>
        </w:rPr>
        <w:tab/>
        <w:t>T</w:t>
      </w:r>
      <w:r w:rsidR="00EA0121" w:rsidRPr="00590B62">
        <w:rPr>
          <w:i/>
          <w:iCs/>
          <w:lang w:val="en-US"/>
        </w:rPr>
        <w:t xml:space="preserve">he </w:t>
      </w:r>
      <w:r w:rsidR="004700CA" w:rsidRPr="00590B62">
        <w:rPr>
          <w:i/>
          <w:iCs/>
          <w:lang w:val="en-US"/>
        </w:rPr>
        <w:t>Plaintiff’s</w:t>
      </w:r>
      <w:r w:rsidR="00EA0121" w:rsidRPr="00590B62">
        <w:rPr>
          <w:i/>
          <w:iCs/>
          <w:lang w:val="en-US"/>
        </w:rPr>
        <w:t xml:space="preserve"> statutory notice in terms of section </w:t>
      </w:r>
      <w:r w:rsidR="004700CA" w:rsidRPr="00590B62">
        <w:rPr>
          <w:i/>
          <w:iCs/>
          <w:lang w:val="en-US"/>
        </w:rPr>
        <w:t>3(2)</w:t>
      </w:r>
      <w:r w:rsidR="00EA0121" w:rsidRPr="00590B62">
        <w:rPr>
          <w:i/>
          <w:iCs/>
          <w:lang w:val="en-US"/>
        </w:rPr>
        <w:t xml:space="preserve"> of the </w:t>
      </w:r>
      <w:r w:rsidR="004700CA" w:rsidRPr="00590B62">
        <w:rPr>
          <w:i/>
          <w:iCs/>
          <w:lang w:val="en-US"/>
        </w:rPr>
        <w:t>I</w:t>
      </w:r>
      <w:r w:rsidR="00EA0121" w:rsidRPr="00590B62">
        <w:rPr>
          <w:i/>
          <w:iCs/>
          <w:lang w:val="en-US"/>
        </w:rPr>
        <w:t xml:space="preserve">nstitution of </w:t>
      </w:r>
      <w:r w:rsidR="004700CA" w:rsidRPr="00590B62">
        <w:rPr>
          <w:i/>
          <w:iCs/>
          <w:lang w:val="en-US"/>
        </w:rPr>
        <w:t>L</w:t>
      </w:r>
      <w:r w:rsidR="00EA0121" w:rsidRPr="00590B62">
        <w:rPr>
          <w:i/>
          <w:iCs/>
          <w:lang w:val="en-US"/>
        </w:rPr>
        <w:t>egal</w:t>
      </w:r>
      <w:r w:rsidR="00D8744F">
        <w:rPr>
          <w:i/>
          <w:iCs/>
          <w:lang w:val="en-US"/>
        </w:rPr>
        <w:t xml:space="preserve"> </w:t>
      </w:r>
      <w:r w:rsidR="004700CA" w:rsidRPr="00590B62">
        <w:rPr>
          <w:i/>
          <w:iCs/>
          <w:lang w:val="en-US"/>
        </w:rPr>
        <w:t>P</w:t>
      </w:r>
      <w:r w:rsidR="00EA0121" w:rsidRPr="00590B62">
        <w:rPr>
          <w:i/>
          <w:iCs/>
          <w:lang w:val="en-US"/>
        </w:rPr>
        <w:t xml:space="preserve">roceedings </w:t>
      </w:r>
      <w:r w:rsidR="004700CA" w:rsidRPr="00590B62">
        <w:rPr>
          <w:i/>
          <w:iCs/>
          <w:lang w:val="en-US"/>
        </w:rPr>
        <w:t>A</w:t>
      </w:r>
      <w:r w:rsidR="00EA0121" w:rsidRPr="00590B62">
        <w:rPr>
          <w:i/>
          <w:iCs/>
          <w:lang w:val="en-US"/>
        </w:rPr>
        <w:t xml:space="preserve">gainst </w:t>
      </w:r>
      <w:r w:rsidR="004700CA" w:rsidRPr="00590B62">
        <w:rPr>
          <w:i/>
          <w:iCs/>
          <w:lang w:val="en-US"/>
        </w:rPr>
        <w:t>C</w:t>
      </w:r>
      <w:r w:rsidR="00EA0121" w:rsidRPr="00590B62">
        <w:rPr>
          <w:i/>
          <w:iCs/>
          <w:lang w:val="en-US"/>
        </w:rPr>
        <w:t xml:space="preserve">ertain </w:t>
      </w:r>
      <w:r w:rsidR="004700CA" w:rsidRPr="00590B62">
        <w:rPr>
          <w:i/>
          <w:iCs/>
          <w:lang w:val="en-US"/>
        </w:rPr>
        <w:t>O</w:t>
      </w:r>
      <w:r w:rsidR="00EA0121" w:rsidRPr="00590B62">
        <w:rPr>
          <w:i/>
          <w:iCs/>
          <w:lang w:val="en-US"/>
        </w:rPr>
        <w:t xml:space="preserve">rgans of </w:t>
      </w:r>
      <w:r w:rsidR="004700CA" w:rsidRPr="00590B62">
        <w:rPr>
          <w:i/>
          <w:iCs/>
          <w:lang w:val="en-US"/>
        </w:rPr>
        <w:t>S</w:t>
      </w:r>
      <w:r w:rsidR="00EA0121" w:rsidRPr="00590B62">
        <w:rPr>
          <w:i/>
          <w:iCs/>
          <w:lang w:val="en-US"/>
        </w:rPr>
        <w:t>tate was issued 10</w:t>
      </w:r>
      <w:r w:rsidR="004700CA" w:rsidRPr="00590B62">
        <w:rPr>
          <w:i/>
          <w:iCs/>
          <w:lang w:val="en-US"/>
        </w:rPr>
        <w:t xml:space="preserve"> November </w:t>
      </w:r>
      <w:r w:rsidR="00EA0121" w:rsidRPr="00590B62">
        <w:rPr>
          <w:i/>
          <w:iCs/>
          <w:lang w:val="en-US"/>
        </w:rPr>
        <w:t>2020</w:t>
      </w:r>
      <w:r w:rsidR="004700CA" w:rsidRPr="00590B62">
        <w:rPr>
          <w:i/>
          <w:iCs/>
          <w:lang w:val="en-US"/>
        </w:rPr>
        <w:t>, more than two and half years after the cause of action arose, the notice is attached hereto marked annexure ‘</w:t>
      </w:r>
      <w:r w:rsidR="004700CA" w:rsidRPr="00590B62">
        <w:rPr>
          <w:b/>
          <w:bCs/>
          <w:i/>
          <w:iCs/>
          <w:lang w:val="en-US"/>
        </w:rPr>
        <w:t>KP2</w:t>
      </w:r>
      <w:r w:rsidR="004700CA" w:rsidRPr="00590B62">
        <w:rPr>
          <w:i/>
          <w:iCs/>
          <w:lang w:val="en-US"/>
        </w:rPr>
        <w:t>’.</w:t>
      </w:r>
    </w:p>
    <w:p w14:paraId="2BD14C85" w14:textId="546B8EFD" w:rsidR="004700CA" w:rsidRPr="00590B62" w:rsidRDefault="00590B62" w:rsidP="00953863">
      <w:pPr>
        <w:autoSpaceDE w:val="0"/>
        <w:autoSpaceDN w:val="0"/>
        <w:adjustRightInd w:val="0"/>
        <w:spacing w:line="480" w:lineRule="auto"/>
        <w:ind w:left="1440" w:hanging="720"/>
        <w:jc w:val="both"/>
        <w:rPr>
          <w:i/>
          <w:iCs/>
          <w:lang w:val="en-US"/>
        </w:rPr>
      </w:pPr>
      <w:r>
        <w:rPr>
          <w:i/>
          <w:iCs/>
          <w:lang w:val="en-US"/>
        </w:rPr>
        <w:lastRenderedPageBreak/>
        <w:t>ix</w:t>
      </w:r>
      <w:r w:rsidRPr="00590B62">
        <w:rPr>
          <w:i/>
          <w:iCs/>
          <w:lang w:val="en-US"/>
        </w:rPr>
        <w:t>)</w:t>
      </w:r>
      <w:r w:rsidR="004700CA" w:rsidRPr="00590B62">
        <w:rPr>
          <w:i/>
          <w:iCs/>
          <w:lang w:val="en-US"/>
        </w:rPr>
        <w:t xml:space="preserve"> </w:t>
      </w:r>
      <w:r w:rsidR="004700CA" w:rsidRPr="00590B62">
        <w:rPr>
          <w:i/>
          <w:iCs/>
          <w:lang w:val="en-US"/>
        </w:rPr>
        <w:tab/>
        <w:t xml:space="preserve">The summons </w:t>
      </w:r>
      <w:proofErr w:type="gramStart"/>
      <w:r w:rsidR="004700CA" w:rsidRPr="00590B62">
        <w:rPr>
          <w:i/>
          <w:iCs/>
          <w:lang w:val="en-US"/>
        </w:rPr>
        <w:t>were</w:t>
      </w:r>
      <w:proofErr w:type="gramEnd"/>
      <w:r w:rsidR="004700CA" w:rsidRPr="00590B62">
        <w:rPr>
          <w:i/>
          <w:iCs/>
          <w:lang w:val="en-US"/>
        </w:rPr>
        <w:t xml:space="preserve"> issued on the 18</w:t>
      </w:r>
      <w:r w:rsidR="004700CA" w:rsidRPr="00590B62">
        <w:rPr>
          <w:i/>
          <w:iCs/>
          <w:vertAlign w:val="superscript"/>
          <w:lang w:val="en-US"/>
        </w:rPr>
        <w:t>th</w:t>
      </w:r>
      <w:r w:rsidR="004700CA" w:rsidRPr="00590B62">
        <w:rPr>
          <w:i/>
          <w:iCs/>
          <w:lang w:val="en-US"/>
        </w:rPr>
        <w:t xml:space="preserve"> February 2021, the return of service is attached hereto marked ‘</w:t>
      </w:r>
      <w:r w:rsidR="004700CA" w:rsidRPr="00590B62">
        <w:rPr>
          <w:b/>
          <w:bCs/>
          <w:i/>
          <w:iCs/>
          <w:lang w:val="en-US"/>
        </w:rPr>
        <w:t>KP3</w:t>
      </w:r>
      <w:r w:rsidR="004700CA" w:rsidRPr="00590B62">
        <w:rPr>
          <w:i/>
          <w:iCs/>
          <w:lang w:val="en-US"/>
        </w:rPr>
        <w:t>’.</w:t>
      </w:r>
    </w:p>
    <w:p w14:paraId="2015D49F" w14:textId="3D596118" w:rsidR="004700CA" w:rsidRPr="00590B62" w:rsidRDefault="00590B62" w:rsidP="00953863">
      <w:pPr>
        <w:autoSpaceDE w:val="0"/>
        <w:autoSpaceDN w:val="0"/>
        <w:adjustRightInd w:val="0"/>
        <w:spacing w:line="480" w:lineRule="auto"/>
        <w:ind w:left="1440" w:hanging="720"/>
        <w:jc w:val="both"/>
        <w:rPr>
          <w:i/>
          <w:iCs/>
          <w:lang w:val="en-US"/>
        </w:rPr>
      </w:pPr>
      <w:r w:rsidRPr="00590B62">
        <w:rPr>
          <w:i/>
          <w:iCs/>
          <w:lang w:val="en-US"/>
        </w:rPr>
        <w:t>x)</w:t>
      </w:r>
      <w:r w:rsidR="004700CA" w:rsidRPr="00590B62">
        <w:rPr>
          <w:i/>
          <w:iCs/>
          <w:lang w:val="en-US"/>
        </w:rPr>
        <w:t xml:space="preserve"> </w:t>
      </w:r>
      <w:r w:rsidR="004700CA" w:rsidRPr="00590B62">
        <w:rPr>
          <w:i/>
          <w:iCs/>
          <w:lang w:val="en-US"/>
        </w:rPr>
        <w:tab/>
        <w:t xml:space="preserve">The Plaintiff’s action is premised on defamation, as a result of the fraudulent forgery of his signature by the Defendant’s employees on the scoring sheet for the interview panel. </w:t>
      </w:r>
    </w:p>
    <w:p w14:paraId="639573F1" w14:textId="28EE9FC0" w:rsidR="00EA0121" w:rsidRDefault="00590B62" w:rsidP="00953863">
      <w:pPr>
        <w:autoSpaceDE w:val="0"/>
        <w:autoSpaceDN w:val="0"/>
        <w:adjustRightInd w:val="0"/>
        <w:spacing w:line="480" w:lineRule="auto"/>
        <w:ind w:left="1440" w:hanging="720"/>
        <w:jc w:val="both"/>
        <w:rPr>
          <w:i/>
          <w:iCs/>
          <w:lang w:val="en-US"/>
        </w:rPr>
      </w:pPr>
      <w:r w:rsidRPr="00590B62">
        <w:rPr>
          <w:i/>
          <w:iCs/>
          <w:lang w:val="en-US"/>
        </w:rPr>
        <w:t>x</w:t>
      </w:r>
      <w:r>
        <w:rPr>
          <w:i/>
          <w:iCs/>
          <w:lang w:val="en-US"/>
        </w:rPr>
        <w:t>i</w:t>
      </w:r>
      <w:r w:rsidRPr="00590B62">
        <w:rPr>
          <w:i/>
          <w:iCs/>
          <w:lang w:val="en-US"/>
        </w:rPr>
        <w:t>)</w:t>
      </w:r>
      <w:r w:rsidR="004700CA" w:rsidRPr="00590B62">
        <w:rPr>
          <w:i/>
          <w:iCs/>
          <w:lang w:val="en-US"/>
        </w:rPr>
        <w:tab/>
        <w:t>The matter was referred to trial court by Madam Justice Dawood on the 10 February 2022, for the determination of the issues of the special plea of non- compliance with section 3(2) of the Institution of Legal Proceedings Against Certain Organs of State Act 40 of 2002.</w:t>
      </w:r>
    </w:p>
    <w:p w14:paraId="79F9EF39" w14:textId="77777777" w:rsidR="00590B62" w:rsidRDefault="00590B62" w:rsidP="00953863">
      <w:pPr>
        <w:autoSpaceDE w:val="0"/>
        <w:autoSpaceDN w:val="0"/>
        <w:adjustRightInd w:val="0"/>
        <w:spacing w:line="480" w:lineRule="auto"/>
        <w:ind w:left="720" w:hanging="720"/>
        <w:jc w:val="both"/>
        <w:rPr>
          <w:lang w:val="en-US"/>
        </w:rPr>
      </w:pPr>
    </w:p>
    <w:p w14:paraId="501DFA7F" w14:textId="09249F3E" w:rsidR="00677B6F" w:rsidRDefault="00590B62" w:rsidP="00953863">
      <w:pPr>
        <w:autoSpaceDE w:val="0"/>
        <w:autoSpaceDN w:val="0"/>
        <w:adjustRightInd w:val="0"/>
        <w:spacing w:line="480" w:lineRule="auto"/>
        <w:ind w:left="720" w:hanging="720"/>
        <w:jc w:val="both"/>
        <w:rPr>
          <w:lang w:val="en-US"/>
        </w:rPr>
      </w:pPr>
      <w:r>
        <w:rPr>
          <w:lang w:val="en-US"/>
        </w:rPr>
        <w:t>[5]</w:t>
      </w:r>
      <w:r w:rsidR="00582D48">
        <w:rPr>
          <w:lang w:val="en-US"/>
        </w:rPr>
        <w:tab/>
      </w:r>
      <w:r w:rsidR="00677B6F">
        <w:rPr>
          <w:lang w:val="en-US"/>
        </w:rPr>
        <w:t>The Plaintiff’s case can be summarized as follows:</w:t>
      </w:r>
    </w:p>
    <w:p w14:paraId="3F8D77E6" w14:textId="77777777" w:rsidR="00677B6F" w:rsidRDefault="00677B6F" w:rsidP="00953863">
      <w:pPr>
        <w:autoSpaceDE w:val="0"/>
        <w:autoSpaceDN w:val="0"/>
        <w:adjustRightInd w:val="0"/>
        <w:spacing w:line="480" w:lineRule="auto"/>
        <w:ind w:left="720" w:hanging="720"/>
        <w:jc w:val="both"/>
        <w:rPr>
          <w:lang w:val="en-US"/>
        </w:rPr>
      </w:pPr>
    </w:p>
    <w:p w14:paraId="678F588B" w14:textId="442BBFCB" w:rsidR="00677B6F" w:rsidRDefault="00677B6F" w:rsidP="00953863">
      <w:pPr>
        <w:autoSpaceDE w:val="0"/>
        <w:autoSpaceDN w:val="0"/>
        <w:adjustRightInd w:val="0"/>
        <w:spacing w:line="480" w:lineRule="auto"/>
        <w:ind w:left="1440" w:hanging="720"/>
        <w:jc w:val="both"/>
        <w:rPr>
          <w:lang w:val="en-US"/>
        </w:rPr>
      </w:pPr>
      <w:r>
        <w:rPr>
          <w:lang w:val="en-US"/>
        </w:rPr>
        <w:t>5.1</w:t>
      </w:r>
      <w:r>
        <w:rPr>
          <w:lang w:val="en-US"/>
        </w:rPr>
        <w:tab/>
        <w:t>He was one of the panelists who conducted interviews for the filling of the vacancy of Administration Clerk but he withdrew his participation before the</w:t>
      </w:r>
      <w:r w:rsidR="00B634A7">
        <w:rPr>
          <w:lang w:val="en-US"/>
        </w:rPr>
        <w:t>y</w:t>
      </w:r>
      <w:r>
        <w:rPr>
          <w:lang w:val="en-US"/>
        </w:rPr>
        <w:t xml:space="preserve"> could be finalized. </w:t>
      </w:r>
      <w:r w:rsidR="00B634A7">
        <w:rPr>
          <w:lang w:val="en-US"/>
        </w:rPr>
        <w:t>After</w:t>
      </w:r>
      <w:r>
        <w:rPr>
          <w:lang w:val="en-US"/>
        </w:rPr>
        <w:t xml:space="preserve"> the appointment of one </w:t>
      </w:r>
      <w:proofErr w:type="spellStart"/>
      <w:r>
        <w:rPr>
          <w:lang w:val="en-US"/>
        </w:rPr>
        <w:t>Ms</w:t>
      </w:r>
      <w:proofErr w:type="spellEnd"/>
      <w:r>
        <w:rPr>
          <w:lang w:val="en-US"/>
        </w:rPr>
        <w:t xml:space="preserve"> </w:t>
      </w:r>
      <w:proofErr w:type="spellStart"/>
      <w:r>
        <w:rPr>
          <w:lang w:val="en-US"/>
        </w:rPr>
        <w:t>Mbuzi</w:t>
      </w:r>
      <w:proofErr w:type="spellEnd"/>
      <w:r>
        <w:rPr>
          <w:lang w:val="en-US"/>
        </w:rPr>
        <w:t xml:space="preserve">, he suspected that some irregularities might have occurred which included usage of his name and signature improperly. </w:t>
      </w:r>
    </w:p>
    <w:p w14:paraId="46768BD2" w14:textId="77777777" w:rsidR="00677B6F" w:rsidRDefault="00677B6F" w:rsidP="00953863">
      <w:pPr>
        <w:autoSpaceDE w:val="0"/>
        <w:autoSpaceDN w:val="0"/>
        <w:adjustRightInd w:val="0"/>
        <w:spacing w:line="480" w:lineRule="auto"/>
        <w:ind w:left="720" w:hanging="720"/>
        <w:jc w:val="both"/>
        <w:rPr>
          <w:lang w:val="en-US"/>
        </w:rPr>
      </w:pPr>
    </w:p>
    <w:p w14:paraId="1DF0E7DC" w14:textId="6D46DF4A" w:rsidR="00D8744F" w:rsidRDefault="00677B6F" w:rsidP="00953863">
      <w:pPr>
        <w:autoSpaceDE w:val="0"/>
        <w:autoSpaceDN w:val="0"/>
        <w:adjustRightInd w:val="0"/>
        <w:spacing w:line="480" w:lineRule="auto"/>
        <w:ind w:left="1418" w:hanging="567"/>
        <w:jc w:val="both"/>
        <w:rPr>
          <w:lang w:val="en-US"/>
        </w:rPr>
      </w:pPr>
      <w:r>
        <w:rPr>
          <w:lang w:val="en-US"/>
        </w:rPr>
        <w:t>5.2</w:t>
      </w:r>
      <w:r>
        <w:rPr>
          <w:lang w:val="en-US"/>
        </w:rPr>
        <w:tab/>
        <w:t xml:space="preserve">After his suspicion he </w:t>
      </w:r>
      <w:r w:rsidR="00DC2749">
        <w:rPr>
          <w:lang w:val="en-US"/>
        </w:rPr>
        <w:t xml:space="preserve">proceeded to </w:t>
      </w:r>
      <w:r>
        <w:rPr>
          <w:lang w:val="en-US"/>
        </w:rPr>
        <w:t xml:space="preserve">lodge a complaint at the Defendant’s offices at Botha </w:t>
      </w:r>
      <w:proofErr w:type="spellStart"/>
      <w:r>
        <w:rPr>
          <w:lang w:val="en-US"/>
        </w:rPr>
        <w:t>Sigcau</w:t>
      </w:r>
      <w:proofErr w:type="spellEnd"/>
      <w:r>
        <w:rPr>
          <w:lang w:val="en-US"/>
        </w:rPr>
        <w:t xml:space="preserve"> Building in </w:t>
      </w:r>
      <w:proofErr w:type="spellStart"/>
      <w:r>
        <w:rPr>
          <w:lang w:val="en-US"/>
        </w:rPr>
        <w:t>Mthatha</w:t>
      </w:r>
      <w:proofErr w:type="spellEnd"/>
      <w:r>
        <w:rPr>
          <w:lang w:val="en-US"/>
        </w:rPr>
        <w:t xml:space="preserve">. He escalated his complaint to the Provincial Offices in </w:t>
      </w:r>
      <w:proofErr w:type="spellStart"/>
      <w:r>
        <w:rPr>
          <w:lang w:val="en-US"/>
        </w:rPr>
        <w:t>Bhisho</w:t>
      </w:r>
      <w:proofErr w:type="spellEnd"/>
      <w:r>
        <w:rPr>
          <w:lang w:val="en-US"/>
        </w:rPr>
        <w:t xml:space="preserve"> </w:t>
      </w:r>
      <w:r w:rsidR="00EF1853">
        <w:rPr>
          <w:lang w:val="en-US"/>
        </w:rPr>
        <w:t>after failing to</w:t>
      </w:r>
      <w:r>
        <w:rPr>
          <w:lang w:val="en-US"/>
        </w:rPr>
        <w:t xml:space="preserve"> get positive results from the local office.</w:t>
      </w:r>
    </w:p>
    <w:p w14:paraId="38482951" w14:textId="20F624DD" w:rsidR="00582D48" w:rsidRDefault="00677B6F" w:rsidP="00953863">
      <w:pPr>
        <w:autoSpaceDE w:val="0"/>
        <w:autoSpaceDN w:val="0"/>
        <w:adjustRightInd w:val="0"/>
        <w:spacing w:line="480" w:lineRule="auto"/>
        <w:ind w:left="2160" w:hanging="720"/>
        <w:jc w:val="both"/>
        <w:rPr>
          <w:lang w:val="en-US"/>
        </w:rPr>
      </w:pPr>
      <w:r>
        <w:rPr>
          <w:lang w:val="en-US"/>
        </w:rPr>
        <w:t xml:space="preserve"> </w:t>
      </w:r>
      <w:r w:rsidR="00590B62">
        <w:rPr>
          <w:lang w:val="en-US"/>
        </w:rPr>
        <w:tab/>
      </w:r>
    </w:p>
    <w:p w14:paraId="69836C9A" w14:textId="4821583B" w:rsidR="00B24A2C" w:rsidRDefault="00B24A2C" w:rsidP="00953863">
      <w:pPr>
        <w:autoSpaceDE w:val="0"/>
        <w:autoSpaceDN w:val="0"/>
        <w:adjustRightInd w:val="0"/>
        <w:spacing w:line="480" w:lineRule="auto"/>
        <w:ind w:left="1418" w:hanging="567"/>
        <w:jc w:val="both"/>
        <w:rPr>
          <w:lang w:val="en-US"/>
        </w:rPr>
      </w:pPr>
      <w:r>
        <w:rPr>
          <w:lang w:val="en-US"/>
        </w:rPr>
        <w:t>5.3</w:t>
      </w:r>
      <w:r>
        <w:rPr>
          <w:lang w:val="en-US"/>
        </w:rPr>
        <w:tab/>
        <w:t xml:space="preserve">In August 2018 he approached the South African Police Services (‘SAPS’) and opened a case of suspected fraudulent conduct by </w:t>
      </w:r>
      <w:r>
        <w:rPr>
          <w:lang w:val="en-US"/>
        </w:rPr>
        <w:lastRenderedPageBreak/>
        <w:t xml:space="preserve">Defendant’s employees for investigation. On 5 September 2019 he was called by SAPS to come and verify the signatures appearing on the score sheets of panelists. </w:t>
      </w:r>
    </w:p>
    <w:p w14:paraId="3C58C97A" w14:textId="77777777" w:rsidR="00D8744F" w:rsidRDefault="00D8744F" w:rsidP="00953863">
      <w:pPr>
        <w:autoSpaceDE w:val="0"/>
        <w:autoSpaceDN w:val="0"/>
        <w:adjustRightInd w:val="0"/>
        <w:spacing w:line="480" w:lineRule="auto"/>
        <w:ind w:left="2160" w:hanging="720"/>
        <w:jc w:val="both"/>
        <w:rPr>
          <w:lang w:val="en-US"/>
        </w:rPr>
      </w:pPr>
    </w:p>
    <w:p w14:paraId="14B7B956" w14:textId="0A45F1EC" w:rsidR="00B24A2C" w:rsidRDefault="00B24A2C" w:rsidP="00953863">
      <w:pPr>
        <w:autoSpaceDE w:val="0"/>
        <w:autoSpaceDN w:val="0"/>
        <w:adjustRightInd w:val="0"/>
        <w:spacing w:line="480" w:lineRule="auto"/>
        <w:ind w:left="1418" w:hanging="567"/>
        <w:jc w:val="both"/>
        <w:rPr>
          <w:lang w:val="en-US"/>
        </w:rPr>
      </w:pPr>
      <w:r>
        <w:rPr>
          <w:lang w:val="en-US"/>
        </w:rPr>
        <w:t>5.4</w:t>
      </w:r>
      <w:r>
        <w:rPr>
          <w:lang w:val="en-US"/>
        </w:rPr>
        <w:tab/>
        <w:t xml:space="preserve">On 10 November 2020 he received a police docket containing statement of one </w:t>
      </w:r>
      <w:proofErr w:type="spellStart"/>
      <w:r>
        <w:rPr>
          <w:lang w:val="en-US"/>
        </w:rPr>
        <w:t>Ms</w:t>
      </w:r>
      <w:proofErr w:type="spellEnd"/>
      <w:r>
        <w:rPr>
          <w:lang w:val="en-US"/>
        </w:rPr>
        <w:t xml:space="preserve"> </w:t>
      </w:r>
      <w:proofErr w:type="spellStart"/>
      <w:r>
        <w:rPr>
          <w:lang w:val="en-US"/>
        </w:rPr>
        <w:t>Nomquphu</w:t>
      </w:r>
      <w:proofErr w:type="spellEnd"/>
      <w:r>
        <w:rPr>
          <w:lang w:val="en-US"/>
        </w:rPr>
        <w:t xml:space="preserve"> revealing that she was the one who improperly signed on his behalf without his knowledge and consent.</w:t>
      </w:r>
    </w:p>
    <w:p w14:paraId="4259399A" w14:textId="77777777" w:rsidR="00D8744F" w:rsidRDefault="00D8744F" w:rsidP="00953863">
      <w:pPr>
        <w:autoSpaceDE w:val="0"/>
        <w:autoSpaceDN w:val="0"/>
        <w:adjustRightInd w:val="0"/>
        <w:spacing w:line="480" w:lineRule="auto"/>
        <w:ind w:left="2160" w:hanging="720"/>
        <w:jc w:val="both"/>
        <w:rPr>
          <w:lang w:val="en-US"/>
        </w:rPr>
      </w:pPr>
    </w:p>
    <w:p w14:paraId="221BE174" w14:textId="6B835557" w:rsidR="00B24A2C" w:rsidRPr="00082375" w:rsidRDefault="00B24A2C" w:rsidP="00953863">
      <w:pPr>
        <w:autoSpaceDE w:val="0"/>
        <w:autoSpaceDN w:val="0"/>
        <w:adjustRightInd w:val="0"/>
        <w:spacing w:line="480" w:lineRule="auto"/>
        <w:ind w:left="1418" w:hanging="567"/>
        <w:jc w:val="both"/>
        <w:rPr>
          <w:lang w:val="en-US"/>
        </w:rPr>
      </w:pPr>
      <w:r>
        <w:rPr>
          <w:lang w:val="en-US"/>
        </w:rPr>
        <w:t>5.5</w:t>
      </w:r>
      <w:r>
        <w:rPr>
          <w:lang w:val="en-US"/>
        </w:rPr>
        <w:tab/>
        <w:t xml:space="preserve">He </w:t>
      </w:r>
      <w:r w:rsidRPr="00082375">
        <w:rPr>
          <w:u w:val="single"/>
          <w:lang w:val="en-US"/>
        </w:rPr>
        <w:t>became aware of all the facts giving rise to his cause of action in September 2018</w:t>
      </w:r>
      <w:r>
        <w:rPr>
          <w:lang w:val="en-US"/>
        </w:rPr>
        <w:t xml:space="preserve"> when he was informed by the members of the SAPS that there might be forgery of his </w:t>
      </w:r>
      <w:r w:rsidR="00082375">
        <w:rPr>
          <w:lang w:val="en-US"/>
        </w:rPr>
        <w:t xml:space="preserve">signature during interview process. He </w:t>
      </w:r>
      <w:r w:rsidR="00082375">
        <w:rPr>
          <w:u w:val="single"/>
          <w:lang w:val="en-US"/>
        </w:rPr>
        <w:t xml:space="preserve">received </w:t>
      </w:r>
      <w:r w:rsidR="00082375" w:rsidRPr="00082375">
        <w:rPr>
          <w:u w:val="single"/>
          <w:lang w:val="en-US"/>
        </w:rPr>
        <w:t>all the facts giving rise to his cause of action on 10 November 2020</w:t>
      </w:r>
      <w:r w:rsidR="00082375">
        <w:rPr>
          <w:lang w:val="en-US"/>
        </w:rPr>
        <w:t xml:space="preserve"> upon receipt of police docket from the members of SAPS.</w:t>
      </w:r>
    </w:p>
    <w:p w14:paraId="729DA8C5" w14:textId="77777777" w:rsidR="00A96E55" w:rsidRDefault="00A96E55" w:rsidP="00953863">
      <w:pPr>
        <w:autoSpaceDE w:val="0"/>
        <w:autoSpaceDN w:val="0"/>
        <w:adjustRightInd w:val="0"/>
        <w:spacing w:line="480" w:lineRule="auto"/>
        <w:jc w:val="both"/>
        <w:rPr>
          <w:lang w:val="en-US"/>
        </w:rPr>
      </w:pPr>
    </w:p>
    <w:p w14:paraId="0F1392AF" w14:textId="4BD5B8C0" w:rsidR="00DD6E80" w:rsidRDefault="00A96E55" w:rsidP="00953863">
      <w:pPr>
        <w:autoSpaceDE w:val="0"/>
        <w:autoSpaceDN w:val="0"/>
        <w:adjustRightInd w:val="0"/>
        <w:spacing w:line="480" w:lineRule="auto"/>
        <w:jc w:val="both"/>
        <w:rPr>
          <w:lang w:val="en-US"/>
        </w:rPr>
      </w:pPr>
      <w:r>
        <w:rPr>
          <w:lang w:val="en-US"/>
        </w:rPr>
        <w:t>[6]</w:t>
      </w:r>
      <w:r w:rsidR="00DD6E80">
        <w:rPr>
          <w:lang w:val="en-US"/>
        </w:rPr>
        <w:tab/>
        <w:t>The parties agreed that a special plea of prescription should be dealt with first for a simple reason that – if it is upheld - there would be no need to proceed to determine the second special plea as it would automatically suffer the same fate</w:t>
      </w:r>
      <w:r w:rsidR="00DC2749">
        <w:rPr>
          <w:lang w:val="en-US"/>
        </w:rPr>
        <w:t>,</w:t>
      </w:r>
      <w:r w:rsidR="00EF1853">
        <w:rPr>
          <w:lang w:val="en-US"/>
        </w:rPr>
        <w:t xml:space="preserve"> as prescription is one of the elements to be considered to succeed</w:t>
      </w:r>
      <w:r w:rsidR="00DD6E80">
        <w:rPr>
          <w:lang w:val="en-US"/>
        </w:rPr>
        <w:t xml:space="preserve">. </w:t>
      </w:r>
      <w:r w:rsidR="00DC2749">
        <w:rPr>
          <w:lang w:val="en-US"/>
        </w:rPr>
        <w:t xml:space="preserve">Conversely, </w:t>
      </w:r>
      <w:r w:rsidR="00DD6E80">
        <w:rPr>
          <w:lang w:val="en-US"/>
        </w:rPr>
        <w:t>if the special plea of prescription fails, the Court will proceed to make a determination on the condonation application.</w:t>
      </w:r>
    </w:p>
    <w:p w14:paraId="385F5CD4" w14:textId="77777777" w:rsidR="00DD6E80" w:rsidRDefault="00DD6E80" w:rsidP="00953863">
      <w:pPr>
        <w:autoSpaceDE w:val="0"/>
        <w:autoSpaceDN w:val="0"/>
        <w:adjustRightInd w:val="0"/>
        <w:spacing w:line="480" w:lineRule="auto"/>
        <w:jc w:val="both"/>
        <w:rPr>
          <w:lang w:val="en-US"/>
        </w:rPr>
      </w:pPr>
    </w:p>
    <w:p w14:paraId="671E0B2D" w14:textId="6DC7FDA9" w:rsidR="00DD6E80" w:rsidRDefault="00DD6E80" w:rsidP="00953863">
      <w:pPr>
        <w:autoSpaceDE w:val="0"/>
        <w:autoSpaceDN w:val="0"/>
        <w:adjustRightInd w:val="0"/>
        <w:spacing w:line="480" w:lineRule="auto"/>
        <w:jc w:val="both"/>
        <w:rPr>
          <w:lang w:val="en-US"/>
        </w:rPr>
      </w:pPr>
      <w:r>
        <w:rPr>
          <w:lang w:val="en-US"/>
        </w:rPr>
        <w:t>[7]</w:t>
      </w:r>
      <w:r>
        <w:rPr>
          <w:lang w:val="en-US"/>
        </w:rPr>
        <w:tab/>
      </w:r>
      <w:r w:rsidR="008A17A8">
        <w:rPr>
          <w:lang w:val="en-US"/>
        </w:rPr>
        <w:t xml:space="preserve">After the hearing </w:t>
      </w:r>
      <w:r w:rsidR="00DC2749">
        <w:rPr>
          <w:lang w:val="en-US"/>
        </w:rPr>
        <w:t xml:space="preserve">of </w:t>
      </w:r>
      <w:r w:rsidR="00EF1853">
        <w:rPr>
          <w:lang w:val="en-US"/>
        </w:rPr>
        <w:t>oral</w:t>
      </w:r>
      <w:r w:rsidR="008A17A8">
        <w:rPr>
          <w:lang w:val="en-US"/>
        </w:rPr>
        <w:t xml:space="preserve"> arguments on 7 November 2023 the parties were directed to deliver supplementary heads of argument (with the Plaintiff and Defendant delivering by 17 November 2023 and 1</w:t>
      </w:r>
      <w:r w:rsidR="00961B6F">
        <w:rPr>
          <w:lang w:val="en-US"/>
        </w:rPr>
        <w:t>4</w:t>
      </w:r>
      <w:r w:rsidR="008A17A8">
        <w:rPr>
          <w:lang w:val="en-US"/>
        </w:rPr>
        <w:t xml:space="preserve"> November 2023 respectively) covering, </w:t>
      </w:r>
      <w:r w:rsidR="008A17A8">
        <w:rPr>
          <w:i/>
          <w:iCs/>
          <w:lang w:val="en-US"/>
        </w:rPr>
        <w:t xml:space="preserve">inter </w:t>
      </w:r>
      <w:r w:rsidR="008A17A8">
        <w:rPr>
          <w:i/>
          <w:iCs/>
          <w:lang w:val="en-US"/>
        </w:rPr>
        <w:lastRenderedPageBreak/>
        <w:t xml:space="preserve">alia, </w:t>
      </w:r>
      <w:r w:rsidR="008A17A8">
        <w:rPr>
          <w:lang w:val="en-US"/>
        </w:rPr>
        <w:t>their understanding and submissions on the effect of the words ‘</w:t>
      </w:r>
      <w:r w:rsidR="008A17A8" w:rsidRPr="008A17A8">
        <w:rPr>
          <w:i/>
          <w:iCs/>
          <w:u w:val="single"/>
          <w:lang w:val="en-US"/>
        </w:rPr>
        <w:t>becoming aware of all the facts</w:t>
      </w:r>
      <w:r w:rsidR="008A17A8">
        <w:rPr>
          <w:i/>
          <w:iCs/>
          <w:lang w:val="en-US"/>
        </w:rPr>
        <w:t xml:space="preserve">’ </w:t>
      </w:r>
      <w:r w:rsidR="008A17A8">
        <w:rPr>
          <w:lang w:val="en-US"/>
        </w:rPr>
        <w:t xml:space="preserve">and </w:t>
      </w:r>
      <w:r w:rsidR="008A17A8">
        <w:rPr>
          <w:i/>
          <w:iCs/>
          <w:lang w:val="en-US"/>
        </w:rPr>
        <w:t>‘</w:t>
      </w:r>
      <w:r w:rsidR="008A17A8" w:rsidRPr="008A17A8">
        <w:rPr>
          <w:i/>
          <w:iCs/>
          <w:u w:val="single"/>
          <w:lang w:val="en-US"/>
        </w:rPr>
        <w:t>receiving all the facts</w:t>
      </w:r>
      <w:r w:rsidR="008A17A8">
        <w:rPr>
          <w:i/>
          <w:iCs/>
          <w:lang w:val="en-US"/>
        </w:rPr>
        <w:t>’</w:t>
      </w:r>
      <w:r w:rsidR="00961B6F">
        <w:rPr>
          <w:i/>
          <w:iCs/>
          <w:lang w:val="en-US"/>
        </w:rPr>
        <w:t xml:space="preserve">, </w:t>
      </w:r>
      <w:r w:rsidR="00961B6F">
        <w:rPr>
          <w:lang w:val="en-US"/>
        </w:rPr>
        <w:t xml:space="preserve">as submitted by the Plaintiff. </w:t>
      </w:r>
    </w:p>
    <w:p w14:paraId="74A0907D" w14:textId="77777777" w:rsidR="00961B6F" w:rsidRDefault="00961B6F" w:rsidP="00953863">
      <w:pPr>
        <w:autoSpaceDE w:val="0"/>
        <w:autoSpaceDN w:val="0"/>
        <w:adjustRightInd w:val="0"/>
        <w:spacing w:line="480" w:lineRule="auto"/>
        <w:jc w:val="both"/>
        <w:rPr>
          <w:lang w:val="en-US"/>
        </w:rPr>
      </w:pPr>
    </w:p>
    <w:p w14:paraId="35811238" w14:textId="795DB501" w:rsidR="00961B6F" w:rsidRDefault="00961B6F" w:rsidP="00953863">
      <w:pPr>
        <w:autoSpaceDE w:val="0"/>
        <w:autoSpaceDN w:val="0"/>
        <w:adjustRightInd w:val="0"/>
        <w:spacing w:line="480" w:lineRule="auto"/>
        <w:jc w:val="both"/>
        <w:rPr>
          <w:lang w:val="en-US"/>
        </w:rPr>
      </w:pPr>
      <w:r>
        <w:rPr>
          <w:lang w:val="en-US"/>
        </w:rPr>
        <w:t>[8]</w:t>
      </w:r>
      <w:r>
        <w:rPr>
          <w:lang w:val="en-US"/>
        </w:rPr>
        <w:tab/>
        <w:t>The Plaintiff delivered his heads timeously whereas the Plaintiff delivered his 3 days later and no explanatory affidavit delivered accompanying them.</w:t>
      </w:r>
    </w:p>
    <w:p w14:paraId="0AAB9ECE" w14:textId="77777777" w:rsidR="00B106AA" w:rsidRDefault="00B106AA" w:rsidP="00953863">
      <w:pPr>
        <w:autoSpaceDE w:val="0"/>
        <w:autoSpaceDN w:val="0"/>
        <w:adjustRightInd w:val="0"/>
        <w:spacing w:line="480" w:lineRule="auto"/>
        <w:jc w:val="both"/>
        <w:rPr>
          <w:lang w:val="en-US"/>
        </w:rPr>
      </w:pPr>
    </w:p>
    <w:p w14:paraId="3E7F5987" w14:textId="2ECE9910" w:rsidR="00F60F9E" w:rsidRDefault="00F60F9E" w:rsidP="00953863">
      <w:pPr>
        <w:autoSpaceDE w:val="0"/>
        <w:autoSpaceDN w:val="0"/>
        <w:adjustRightInd w:val="0"/>
        <w:spacing w:line="480" w:lineRule="auto"/>
        <w:jc w:val="both"/>
        <w:rPr>
          <w:b/>
          <w:bCs/>
          <w:lang w:val="en-US"/>
        </w:rPr>
      </w:pPr>
      <w:r>
        <w:rPr>
          <w:b/>
          <w:bCs/>
          <w:lang w:val="en-US"/>
        </w:rPr>
        <w:t>Prescription</w:t>
      </w:r>
    </w:p>
    <w:p w14:paraId="1E327F00" w14:textId="77777777" w:rsidR="00F60F9E" w:rsidRPr="00F60F9E" w:rsidRDefault="00F60F9E" w:rsidP="00953863">
      <w:pPr>
        <w:autoSpaceDE w:val="0"/>
        <w:autoSpaceDN w:val="0"/>
        <w:adjustRightInd w:val="0"/>
        <w:spacing w:line="480" w:lineRule="auto"/>
        <w:jc w:val="both"/>
        <w:rPr>
          <w:b/>
          <w:bCs/>
          <w:lang w:val="en-US"/>
        </w:rPr>
      </w:pPr>
    </w:p>
    <w:p w14:paraId="3FEAAB3C" w14:textId="77777777" w:rsidR="00F60F9E" w:rsidRPr="00F60F9E" w:rsidRDefault="00961B6F" w:rsidP="00953863">
      <w:pPr>
        <w:autoSpaceDE w:val="0"/>
        <w:autoSpaceDN w:val="0"/>
        <w:adjustRightInd w:val="0"/>
        <w:spacing w:line="480" w:lineRule="auto"/>
        <w:jc w:val="both"/>
        <w:rPr>
          <w:lang w:val="en-US"/>
        </w:rPr>
      </w:pPr>
      <w:r>
        <w:rPr>
          <w:lang w:val="en-US"/>
        </w:rPr>
        <w:t>[9]</w:t>
      </w:r>
      <w:r w:rsidR="00B106AA">
        <w:rPr>
          <w:lang w:val="en-US"/>
        </w:rPr>
        <w:tab/>
      </w:r>
      <w:r w:rsidR="00F60F9E" w:rsidRPr="00F60F9E">
        <w:rPr>
          <w:lang w:val="en-US"/>
        </w:rPr>
        <w:t>Section 12(1), (2) and (3) of the Prescription Act read:</w:t>
      </w:r>
    </w:p>
    <w:p w14:paraId="28B7E64E" w14:textId="77777777" w:rsidR="00F60F9E" w:rsidRPr="00F60F9E" w:rsidRDefault="00F60F9E" w:rsidP="00953863">
      <w:pPr>
        <w:autoSpaceDE w:val="0"/>
        <w:autoSpaceDN w:val="0"/>
        <w:adjustRightInd w:val="0"/>
        <w:spacing w:line="480" w:lineRule="auto"/>
        <w:jc w:val="both"/>
        <w:rPr>
          <w:i/>
          <w:iCs/>
          <w:sz w:val="21"/>
          <w:szCs w:val="21"/>
          <w:lang w:val="en-US"/>
        </w:rPr>
      </w:pPr>
    </w:p>
    <w:p w14:paraId="320AF915" w14:textId="1B7E55FF" w:rsidR="00F60F9E" w:rsidRPr="00F60F9E" w:rsidRDefault="00F60F9E" w:rsidP="00953863">
      <w:pPr>
        <w:autoSpaceDE w:val="0"/>
        <w:autoSpaceDN w:val="0"/>
        <w:adjustRightInd w:val="0"/>
        <w:spacing w:line="480" w:lineRule="auto"/>
        <w:ind w:left="720"/>
        <w:jc w:val="both"/>
        <w:rPr>
          <w:i/>
          <w:iCs/>
          <w:sz w:val="21"/>
          <w:szCs w:val="21"/>
          <w:lang w:val="en-US"/>
        </w:rPr>
      </w:pPr>
      <w:r w:rsidRPr="00F60F9E">
        <w:rPr>
          <w:i/>
          <w:iCs/>
          <w:sz w:val="21"/>
          <w:szCs w:val="21"/>
          <w:lang w:val="en-US"/>
        </w:rPr>
        <w:t xml:space="preserve">'(1) Subject to the provisions of subsections (2), (3), and (4), prescription shall commence to run as soon as the debt is due.   </w:t>
      </w:r>
    </w:p>
    <w:p w14:paraId="6A025DB0" w14:textId="77777777" w:rsidR="00F60F9E" w:rsidRPr="00F60F9E" w:rsidRDefault="00F60F9E" w:rsidP="00953863">
      <w:pPr>
        <w:autoSpaceDE w:val="0"/>
        <w:autoSpaceDN w:val="0"/>
        <w:adjustRightInd w:val="0"/>
        <w:spacing w:line="480" w:lineRule="auto"/>
        <w:jc w:val="both"/>
        <w:rPr>
          <w:i/>
          <w:iCs/>
          <w:sz w:val="21"/>
          <w:szCs w:val="21"/>
          <w:lang w:val="en-US"/>
        </w:rPr>
      </w:pPr>
    </w:p>
    <w:p w14:paraId="77D11894" w14:textId="77777777" w:rsidR="00F60F9E" w:rsidRPr="00F60F9E" w:rsidRDefault="00F60F9E" w:rsidP="00953863">
      <w:pPr>
        <w:autoSpaceDE w:val="0"/>
        <w:autoSpaceDN w:val="0"/>
        <w:adjustRightInd w:val="0"/>
        <w:spacing w:line="480" w:lineRule="auto"/>
        <w:ind w:left="720"/>
        <w:jc w:val="both"/>
        <w:rPr>
          <w:i/>
          <w:iCs/>
          <w:sz w:val="21"/>
          <w:szCs w:val="21"/>
          <w:lang w:val="en-US"/>
        </w:rPr>
      </w:pPr>
      <w:r w:rsidRPr="00F60F9E">
        <w:rPr>
          <w:i/>
          <w:iCs/>
          <w:sz w:val="21"/>
          <w:szCs w:val="21"/>
          <w:lang w:val="en-US"/>
        </w:rPr>
        <w:t xml:space="preserve">(2) If the debtor </w:t>
      </w:r>
      <w:proofErr w:type="spellStart"/>
      <w:r w:rsidRPr="00F60F9E">
        <w:rPr>
          <w:i/>
          <w:iCs/>
          <w:sz w:val="21"/>
          <w:szCs w:val="21"/>
          <w:lang w:val="en-US"/>
        </w:rPr>
        <w:t>wilfully</w:t>
      </w:r>
      <w:proofErr w:type="spellEnd"/>
      <w:r w:rsidRPr="00F60F9E">
        <w:rPr>
          <w:i/>
          <w:iCs/>
          <w:sz w:val="21"/>
          <w:szCs w:val="21"/>
          <w:lang w:val="en-US"/>
        </w:rPr>
        <w:t xml:space="preserve"> prevents the creditor from coming to know of the existence of the debt, prescription shall not commence to run until the creditor becomes aware of the existence of the debt.</w:t>
      </w:r>
    </w:p>
    <w:p w14:paraId="2BA8D855" w14:textId="77777777" w:rsidR="00F60F9E" w:rsidRPr="00F60F9E" w:rsidRDefault="00F60F9E" w:rsidP="00953863">
      <w:pPr>
        <w:autoSpaceDE w:val="0"/>
        <w:autoSpaceDN w:val="0"/>
        <w:adjustRightInd w:val="0"/>
        <w:spacing w:line="480" w:lineRule="auto"/>
        <w:jc w:val="both"/>
        <w:rPr>
          <w:i/>
          <w:iCs/>
          <w:sz w:val="21"/>
          <w:szCs w:val="21"/>
          <w:lang w:val="en-US"/>
        </w:rPr>
      </w:pPr>
    </w:p>
    <w:p w14:paraId="6590DE6E" w14:textId="35FAF941" w:rsidR="00F60F9E" w:rsidRDefault="00F60F9E" w:rsidP="00953863">
      <w:pPr>
        <w:autoSpaceDE w:val="0"/>
        <w:autoSpaceDN w:val="0"/>
        <w:adjustRightInd w:val="0"/>
        <w:spacing w:line="480" w:lineRule="auto"/>
        <w:ind w:left="720"/>
        <w:jc w:val="both"/>
        <w:rPr>
          <w:i/>
          <w:iCs/>
          <w:sz w:val="21"/>
          <w:szCs w:val="21"/>
          <w:lang w:val="en-US"/>
        </w:rPr>
      </w:pPr>
      <w:r w:rsidRPr="00F60F9E">
        <w:rPr>
          <w:i/>
          <w:iCs/>
          <w:sz w:val="21"/>
          <w:szCs w:val="21"/>
          <w:lang w:val="en-US"/>
        </w:rPr>
        <w:t xml:space="preserve">(3) A debt shall not be deemed to be due </w:t>
      </w:r>
      <w:r w:rsidRPr="00F60F9E">
        <w:rPr>
          <w:i/>
          <w:iCs/>
          <w:sz w:val="21"/>
          <w:szCs w:val="21"/>
          <w:u w:val="single"/>
          <w:lang w:val="en-US"/>
        </w:rPr>
        <w:t>until the creditor has knowledge</w:t>
      </w:r>
      <w:r w:rsidRPr="00F60F9E">
        <w:rPr>
          <w:i/>
          <w:iCs/>
          <w:sz w:val="21"/>
          <w:szCs w:val="21"/>
          <w:lang w:val="en-US"/>
        </w:rPr>
        <w:t xml:space="preserve"> of the identity of the debtor and of the </w:t>
      </w:r>
      <w:r w:rsidRPr="00F60F9E">
        <w:rPr>
          <w:i/>
          <w:iCs/>
          <w:sz w:val="21"/>
          <w:szCs w:val="21"/>
          <w:u w:val="single"/>
          <w:lang w:val="en-US"/>
        </w:rPr>
        <w:t>facts from which the debt arises</w:t>
      </w:r>
      <w:r w:rsidRPr="00F60F9E">
        <w:rPr>
          <w:i/>
          <w:iCs/>
          <w:sz w:val="21"/>
          <w:szCs w:val="21"/>
          <w:lang w:val="en-US"/>
        </w:rPr>
        <w:t xml:space="preserve">: Provided that a creditor shall be deemed to have such knowledge if he could have acquired it by exercising reasonable care.'  </w:t>
      </w:r>
      <w:r>
        <w:rPr>
          <w:i/>
          <w:iCs/>
          <w:sz w:val="21"/>
          <w:szCs w:val="21"/>
          <w:lang w:val="en-US"/>
        </w:rPr>
        <w:t>(My underlining)</w:t>
      </w:r>
    </w:p>
    <w:p w14:paraId="0212C814" w14:textId="77777777" w:rsidR="00F60F9E" w:rsidRDefault="00F60F9E" w:rsidP="00953863">
      <w:pPr>
        <w:autoSpaceDE w:val="0"/>
        <w:autoSpaceDN w:val="0"/>
        <w:adjustRightInd w:val="0"/>
        <w:spacing w:line="480" w:lineRule="auto"/>
        <w:jc w:val="both"/>
        <w:rPr>
          <w:lang w:val="en-US"/>
        </w:rPr>
      </w:pPr>
    </w:p>
    <w:p w14:paraId="4BECD7BA" w14:textId="2C5B1D0E" w:rsidR="00F60F9E" w:rsidRDefault="00F60F9E" w:rsidP="00953863">
      <w:pPr>
        <w:autoSpaceDE w:val="0"/>
        <w:autoSpaceDN w:val="0"/>
        <w:adjustRightInd w:val="0"/>
        <w:spacing w:line="480" w:lineRule="auto"/>
        <w:jc w:val="both"/>
        <w:rPr>
          <w:lang w:val="en-US"/>
        </w:rPr>
      </w:pPr>
      <w:r>
        <w:rPr>
          <w:lang w:val="en-US"/>
        </w:rPr>
        <w:t>[10]</w:t>
      </w:r>
      <w:r>
        <w:rPr>
          <w:lang w:val="en-US"/>
        </w:rPr>
        <w:tab/>
        <w:t>Clearly</w:t>
      </w:r>
      <w:r w:rsidR="00DC2749">
        <w:rPr>
          <w:lang w:val="en-US"/>
        </w:rPr>
        <w:t>,</w:t>
      </w:r>
      <w:r>
        <w:rPr>
          <w:lang w:val="en-US"/>
        </w:rPr>
        <w:t xml:space="preserve"> the above</w:t>
      </w:r>
      <w:r w:rsidRPr="00F60F9E">
        <w:rPr>
          <w:lang w:val="en-US"/>
        </w:rPr>
        <w:t xml:space="preserve"> provisions seek to strike a fair </w:t>
      </w:r>
      <w:r>
        <w:rPr>
          <w:lang w:val="en-US"/>
        </w:rPr>
        <w:t xml:space="preserve">and reasonable </w:t>
      </w:r>
      <w:r w:rsidRPr="00F60F9E">
        <w:rPr>
          <w:lang w:val="en-US"/>
        </w:rPr>
        <w:t xml:space="preserve">balance between, on the one hand, the need for a cutoff point beyond which a person who has a claim to pursue against another may not do so after the lapse of a certain period of time if he or she has failed to act diligently and, on the other,  the need to ensure fairness in those cases in which a rigid application of prescription legislation would </w:t>
      </w:r>
      <w:r w:rsidRPr="00F60F9E">
        <w:rPr>
          <w:lang w:val="en-US"/>
        </w:rPr>
        <w:lastRenderedPageBreak/>
        <w:t xml:space="preserve">result in injustice. </w:t>
      </w:r>
      <w:r>
        <w:rPr>
          <w:lang w:val="en-US"/>
        </w:rPr>
        <w:t>It is trite that</w:t>
      </w:r>
      <w:r w:rsidR="00802746">
        <w:rPr>
          <w:lang w:val="en-US"/>
        </w:rPr>
        <w:t>,</w:t>
      </w:r>
      <w:r w:rsidRPr="00F60F9E">
        <w:rPr>
          <w:lang w:val="en-US"/>
        </w:rPr>
        <w:t xml:space="preserve"> in interpreting s</w:t>
      </w:r>
      <w:r w:rsidR="00802746">
        <w:rPr>
          <w:lang w:val="en-US"/>
        </w:rPr>
        <w:t>ection</w:t>
      </w:r>
      <w:r w:rsidRPr="00F60F9E">
        <w:rPr>
          <w:lang w:val="en-US"/>
        </w:rPr>
        <w:t xml:space="preserve"> 12(3) </w:t>
      </w:r>
      <w:r w:rsidR="00802746">
        <w:rPr>
          <w:lang w:val="en-US"/>
        </w:rPr>
        <w:t xml:space="preserve">of the Prescription Act, </w:t>
      </w:r>
      <w:r w:rsidRPr="00F60F9E">
        <w:rPr>
          <w:lang w:val="en-US"/>
        </w:rPr>
        <w:t>the injunction in s</w:t>
      </w:r>
      <w:r w:rsidR="00802746">
        <w:rPr>
          <w:lang w:val="en-US"/>
        </w:rPr>
        <w:t>ection</w:t>
      </w:r>
      <w:r w:rsidRPr="00F60F9E">
        <w:rPr>
          <w:lang w:val="en-US"/>
        </w:rPr>
        <w:t xml:space="preserve"> 39(2) of the Constitution must be </w:t>
      </w:r>
      <w:r w:rsidR="00802746">
        <w:rPr>
          <w:lang w:val="en-US"/>
        </w:rPr>
        <w:t>mental flagged</w:t>
      </w:r>
      <w:r w:rsidRPr="00F60F9E">
        <w:rPr>
          <w:lang w:val="en-US"/>
        </w:rPr>
        <w:t xml:space="preserve">. </w:t>
      </w:r>
      <w:r w:rsidR="00802746">
        <w:rPr>
          <w:lang w:val="en-US"/>
        </w:rPr>
        <w:t>Due regard must be had</w:t>
      </w:r>
      <w:r w:rsidRPr="00F60F9E">
        <w:rPr>
          <w:lang w:val="en-US"/>
        </w:rPr>
        <w:t xml:space="preserve"> on the right entrenched in s</w:t>
      </w:r>
      <w:r w:rsidR="00802746">
        <w:rPr>
          <w:lang w:val="en-US"/>
        </w:rPr>
        <w:t>ection</w:t>
      </w:r>
      <w:r w:rsidRPr="00F60F9E">
        <w:rPr>
          <w:lang w:val="en-US"/>
        </w:rPr>
        <w:t xml:space="preserve"> 34</w:t>
      </w:r>
      <w:r w:rsidR="00802746">
        <w:rPr>
          <w:rStyle w:val="FootnoteReference"/>
          <w:lang w:val="en-US"/>
        </w:rPr>
        <w:footnoteReference w:id="3"/>
      </w:r>
      <w:r w:rsidRPr="00F60F9E">
        <w:rPr>
          <w:lang w:val="en-US"/>
        </w:rPr>
        <w:t xml:space="preserve"> of the Constitution</w:t>
      </w:r>
      <w:r w:rsidR="00802746">
        <w:rPr>
          <w:rStyle w:val="FootnoteReference"/>
          <w:lang w:val="en-US"/>
        </w:rPr>
        <w:footnoteReference w:id="4"/>
      </w:r>
      <w:r w:rsidRPr="00F60F9E">
        <w:rPr>
          <w:lang w:val="en-US"/>
        </w:rPr>
        <w:t>.</w:t>
      </w:r>
    </w:p>
    <w:p w14:paraId="2991058C" w14:textId="77777777" w:rsidR="00802746" w:rsidRDefault="00802746" w:rsidP="00953863">
      <w:pPr>
        <w:autoSpaceDE w:val="0"/>
        <w:autoSpaceDN w:val="0"/>
        <w:adjustRightInd w:val="0"/>
        <w:spacing w:line="480" w:lineRule="auto"/>
        <w:jc w:val="both"/>
        <w:rPr>
          <w:lang w:val="en-US"/>
        </w:rPr>
      </w:pPr>
    </w:p>
    <w:p w14:paraId="65FCA94C" w14:textId="04F366CB" w:rsidR="00802746" w:rsidRDefault="00802746" w:rsidP="00953863">
      <w:pPr>
        <w:autoSpaceDE w:val="0"/>
        <w:autoSpaceDN w:val="0"/>
        <w:adjustRightInd w:val="0"/>
        <w:spacing w:line="480" w:lineRule="auto"/>
        <w:jc w:val="both"/>
        <w:rPr>
          <w:lang w:val="en-US"/>
        </w:rPr>
      </w:pPr>
      <w:r>
        <w:rPr>
          <w:lang w:val="en-US"/>
        </w:rPr>
        <w:t>[11]</w:t>
      </w:r>
      <w:r>
        <w:rPr>
          <w:lang w:val="en-US"/>
        </w:rPr>
        <w:tab/>
        <w:t xml:space="preserve">The question to be interrogated is whether the Plaintiff had the entire set of facts which he needed to prove in order to succeed with his claim. </w:t>
      </w:r>
      <w:r w:rsidR="007E4CBA">
        <w:rPr>
          <w:lang w:val="en-US"/>
        </w:rPr>
        <w:t xml:space="preserve">The Plaintiff’s version as summarized in the stated case is that he became aware of all the facts giving rise to his cause of action in September 2018 whereas he received all the facts giving rise to his cause of action on 10 November 2020 when he received a police docket containing a statement of one </w:t>
      </w:r>
      <w:proofErr w:type="spellStart"/>
      <w:r w:rsidR="007E4CBA">
        <w:rPr>
          <w:lang w:val="en-US"/>
        </w:rPr>
        <w:t>Ms</w:t>
      </w:r>
      <w:proofErr w:type="spellEnd"/>
      <w:r w:rsidR="007E4CBA">
        <w:rPr>
          <w:lang w:val="en-US"/>
        </w:rPr>
        <w:t xml:space="preserve"> </w:t>
      </w:r>
      <w:proofErr w:type="spellStart"/>
      <w:r w:rsidR="007E4CBA">
        <w:rPr>
          <w:lang w:val="en-US"/>
        </w:rPr>
        <w:t>Nomquphu</w:t>
      </w:r>
      <w:proofErr w:type="spellEnd"/>
      <w:r w:rsidR="007E4CBA">
        <w:rPr>
          <w:lang w:val="en-US"/>
        </w:rPr>
        <w:t xml:space="preserve"> which revealed that she was the person</w:t>
      </w:r>
      <w:r>
        <w:rPr>
          <w:lang w:val="en-US"/>
        </w:rPr>
        <w:t xml:space="preserve"> </w:t>
      </w:r>
      <w:r w:rsidR="007E4CBA">
        <w:rPr>
          <w:lang w:val="en-US"/>
        </w:rPr>
        <w:t>who improperly used his signature without his consent.</w:t>
      </w:r>
    </w:p>
    <w:p w14:paraId="12189A7B" w14:textId="77777777" w:rsidR="007E4CBA" w:rsidRDefault="007E4CBA" w:rsidP="00953863">
      <w:pPr>
        <w:autoSpaceDE w:val="0"/>
        <w:autoSpaceDN w:val="0"/>
        <w:adjustRightInd w:val="0"/>
        <w:spacing w:line="480" w:lineRule="auto"/>
        <w:jc w:val="both"/>
        <w:rPr>
          <w:lang w:val="en-US"/>
        </w:rPr>
      </w:pPr>
    </w:p>
    <w:p w14:paraId="4C860257" w14:textId="3E7661B3" w:rsidR="00CE1182" w:rsidRDefault="007E4CBA" w:rsidP="00953863">
      <w:pPr>
        <w:autoSpaceDE w:val="0"/>
        <w:autoSpaceDN w:val="0"/>
        <w:adjustRightInd w:val="0"/>
        <w:spacing w:line="480" w:lineRule="auto"/>
        <w:jc w:val="both"/>
        <w:rPr>
          <w:lang w:val="en-US"/>
        </w:rPr>
      </w:pPr>
      <w:r>
        <w:rPr>
          <w:lang w:val="en-US"/>
        </w:rPr>
        <w:t>[12]</w:t>
      </w:r>
      <w:r>
        <w:rPr>
          <w:lang w:val="en-US"/>
        </w:rPr>
        <w:tab/>
        <w:t xml:space="preserve">Juxtaposing, reading and understanding in context the Plaintiff’s assertions of becoming aware of all the facts and receiving all the facts, it </w:t>
      </w:r>
      <w:r w:rsidR="008258AF">
        <w:rPr>
          <w:lang w:val="en-US"/>
        </w:rPr>
        <w:t>appears to me</w:t>
      </w:r>
      <w:r>
        <w:rPr>
          <w:lang w:val="en-US"/>
        </w:rPr>
        <w:t xml:space="preserve"> that he was only able to know the identity of the debtor only in November 2020. As at September 2018 the Plaintiff </w:t>
      </w:r>
      <w:r w:rsidR="008258AF">
        <w:rPr>
          <w:lang w:val="en-US"/>
        </w:rPr>
        <w:t>did not know</w:t>
      </w:r>
      <w:r>
        <w:rPr>
          <w:lang w:val="en-US"/>
        </w:rPr>
        <w:t xml:space="preserve"> all the facts in the sense that he </w:t>
      </w:r>
      <w:r w:rsidR="008258AF">
        <w:rPr>
          <w:lang w:val="en-US"/>
        </w:rPr>
        <w:t xml:space="preserve">only </w:t>
      </w:r>
      <w:r>
        <w:rPr>
          <w:lang w:val="en-US"/>
        </w:rPr>
        <w:t xml:space="preserve">knew that someone might have forged his signature but it is not apparent that he knew that the perpetrator was </w:t>
      </w:r>
      <w:proofErr w:type="spellStart"/>
      <w:r w:rsidR="00CE1182">
        <w:rPr>
          <w:lang w:val="en-US"/>
        </w:rPr>
        <w:t>Ms</w:t>
      </w:r>
      <w:proofErr w:type="spellEnd"/>
      <w:r w:rsidR="00CE1182">
        <w:rPr>
          <w:lang w:val="en-US"/>
        </w:rPr>
        <w:t xml:space="preserve"> </w:t>
      </w:r>
      <w:proofErr w:type="spellStart"/>
      <w:r w:rsidR="00CE1182">
        <w:rPr>
          <w:lang w:val="en-US"/>
        </w:rPr>
        <w:t>Nomquphu</w:t>
      </w:r>
      <w:proofErr w:type="spellEnd"/>
      <w:r w:rsidR="00CE1182">
        <w:rPr>
          <w:lang w:val="en-US"/>
        </w:rPr>
        <w:t xml:space="preserve">, as alleged. For this </w:t>
      </w:r>
      <w:proofErr w:type="gramStart"/>
      <w:r w:rsidR="00CE1182">
        <w:rPr>
          <w:lang w:val="en-US"/>
        </w:rPr>
        <w:t>reason</w:t>
      </w:r>
      <w:proofErr w:type="gramEnd"/>
      <w:r w:rsidR="00CE1182">
        <w:rPr>
          <w:lang w:val="en-US"/>
        </w:rPr>
        <w:t xml:space="preserve"> h</w:t>
      </w:r>
      <w:r w:rsidR="008258AF">
        <w:rPr>
          <w:lang w:val="en-US"/>
        </w:rPr>
        <w:t>is</w:t>
      </w:r>
      <w:r w:rsidR="00CE1182">
        <w:rPr>
          <w:lang w:val="en-US"/>
        </w:rPr>
        <w:t xml:space="preserve"> cause of action could not have been complete by September 2018.</w:t>
      </w:r>
    </w:p>
    <w:p w14:paraId="4EB506E7" w14:textId="77777777" w:rsidR="00CE1182" w:rsidRDefault="00CE1182" w:rsidP="00953863">
      <w:pPr>
        <w:autoSpaceDE w:val="0"/>
        <w:autoSpaceDN w:val="0"/>
        <w:adjustRightInd w:val="0"/>
        <w:spacing w:line="480" w:lineRule="auto"/>
        <w:jc w:val="both"/>
        <w:rPr>
          <w:lang w:val="en-US"/>
        </w:rPr>
      </w:pPr>
    </w:p>
    <w:p w14:paraId="314EE3B8" w14:textId="143B3F27" w:rsidR="00CE1182" w:rsidRDefault="00CE1182" w:rsidP="00953863">
      <w:pPr>
        <w:autoSpaceDE w:val="0"/>
        <w:autoSpaceDN w:val="0"/>
        <w:adjustRightInd w:val="0"/>
        <w:spacing w:line="480" w:lineRule="auto"/>
        <w:jc w:val="both"/>
        <w:rPr>
          <w:lang w:val="en-US"/>
        </w:rPr>
      </w:pPr>
      <w:r>
        <w:rPr>
          <w:lang w:val="en-US"/>
        </w:rPr>
        <w:lastRenderedPageBreak/>
        <w:t>[13]</w:t>
      </w:r>
      <w:r>
        <w:rPr>
          <w:lang w:val="en-US"/>
        </w:rPr>
        <w:tab/>
        <w:t xml:space="preserve">Assuming that the Plaintiff decided to institute an action in September 2018 without knowing the identity of the person responsible for this alleged forgery, clearly he could not have been in a position to successfully pursue the Defendant vicariously. Even on evidence, it was not going to be possible for him to provide a name that would justify the cause against the Defendant. Without the knowledge of </w:t>
      </w:r>
      <w:r>
        <w:rPr>
          <w:u w:val="single"/>
          <w:lang w:val="en-US"/>
        </w:rPr>
        <w:t>entire</w:t>
      </w:r>
      <w:r w:rsidRPr="00CE1182">
        <w:rPr>
          <w:u w:val="single"/>
          <w:lang w:val="en-US"/>
        </w:rPr>
        <w:t xml:space="preserve"> </w:t>
      </w:r>
      <w:r>
        <w:rPr>
          <w:u w:val="single"/>
          <w:lang w:val="en-US"/>
        </w:rPr>
        <w:t>set of</w:t>
      </w:r>
      <w:r w:rsidRPr="00CE1182">
        <w:rPr>
          <w:u w:val="single"/>
          <w:lang w:val="en-US"/>
        </w:rPr>
        <w:t xml:space="preserve"> facts</w:t>
      </w:r>
      <w:r>
        <w:rPr>
          <w:u w:val="single"/>
          <w:lang w:val="en-US"/>
        </w:rPr>
        <w:t xml:space="preserve"> </w:t>
      </w:r>
      <w:r>
        <w:rPr>
          <w:lang w:val="en-US"/>
        </w:rPr>
        <w:t>as contemplated in section 12(3) of the Prescription Act no debt may become due.</w:t>
      </w:r>
    </w:p>
    <w:p w14:paraId="0C0A244C" w14:textId="77777777" w:rsidR="008D0D86" w:rsidRDefault="008D0D86" w:rsidP="00953863">
      <w:pPr>
        <w:autoSpaceDE w:val="0"/>
        <w:autoSpaceDN w:val="0"/>
        <w:adjustRightInd w:val="0"/>
        <w:spacing w:line="480" w:lineRule="auto"/>
        <w:jc w:val="both"/>
        <w:rPr>
          <w:lang w:val="en-US"/>
        </w:rPr>
      </w:pPr>
    </w:p>
    <w:p w14:paraId="5218446C" w14:textId="70940284" w:rsidR="008D0D86" w:rsidRDefault="008D0D86" w:rsidP="00953863">
      <w:pPr>
        <w:autoSpaceDE w:val="0"/>
        <w:autoSpaceDN w:val="0"/>
        <w:adjustRightInd w:val="0"/>
        <w:spacing w:line="480" w:lineRule="auto"/>
        <w:jc w:val="both"/>
        <w:rPr>
          <w:lang w:val="en-US"/>
        </w:rPr>
      </w:pPr>
      <w:r>
        <w:rPr>
          <w:lang w:val="en-US"/>
        </w:rPr>
        <w:t>[14]</w:t>
      </w:r>
      <w:r>
        <w:rPr>
          <w:lang w:val="en-US"/>
        </w:rPr>
        <w:tab/>
      </w:r>
      <w:r w:rsidR="00576A9D">
        <w:rPr>
          <w:lang w:val="en-US"/>
        </w:rPr>
        <w:t>Unfortunately</w:t>
      </w:r>
      <w:r>
        <w:rPr>
          <w:lang w:val="en-US"/>
        </w:rPr>
        <w:t>, the Defendant</w:t>
      </w:r>
      <w:r w:rsidR="008258AF">
        <w:rPr>
          <w:lang w:val="en-US"/>
        </w:rPr>
        <w:t>,</w:t>
      </w:r>
      <w:r>
        <w:rPr>
          <w:lang w:val="en-US"/>
        </w:rPr>
        <w:t xml:space="preserve"> as onus bearer</w:t>
      </w:r>
      <w:r w:rsidR="008258AF">
        <w:rPr>
          <w:lang w:val="en-US"/>
        </w:rPr>
        <w:t>,</w:t>
      </w:r>
      <w:r>
        <w:rPr>
          <w:lang w:val="en-US"/>
        </w:rPr>
        <w:t xml:space="preserve"> </w:t>
      </w:r>
      <w:r w:rsidR="005501D7">
        <w:rPr>
          <w:lang w:val="en-US"/>
        </w:rPr>
        <w:t>o</w:t>
      </w:r>
      <w:r w:rsidR="00576A9D">
        <w:rPr>
          <w:lang w:val="en-US"/>
        </w:rPr>
        <w:t xml:space="preserve">n this </w:t>
      </w:r>
      <w:r w:rsidR="005501D7">
        <w:rPr>
          <w:lang w:val="en-US"/>
        </w:rPr>
        <w:t>issue</w:t>
      </w:r>
      <w:r w:rsidR="00576A9D">
        <w:rPr>
          <w:lang w:val="en-US"/>
        </w:rPr>
        <w:t xml:space="preserve"> has not succeeded in convincing me and proving that the Plaintiff would have been able to successfully pursue his claim against the </w:t>
      </w:r>
      <w:r w:rsidR="005501D7">
        <w:rPr>
          <w:lang w:val="en-US"/>
        </w:rPr>
        <w:t>him</w:t>
      </w:r>
      <w:r w:rsidR="00576A9D">
        <w:rPr>
          <w:lang w:val="en-US"/>
        </w:rPr>
        <w:t xml:space="preserve"> vicariously without knowing </w:t>
      </w:r>
      <w:r w:rsidR="008258AF">
        <w:rPr>
          <w:lang w:val="en-US"/>
        </w:rPr>
        <w:t xml:space="preserve">that </w:t>
      </w:r>
      <w:r w:rsidR="00576A9D">
        <w:rPr>
          <w:lang w:val="en-US"/>
        </w:rPr>
        <w:t xml:space="preserve">the person who forged his signature was one </w:t>
      </w:r>
      <w:r w:rsidR="008258AF">
        <w:rPr>
          <w:lang w:val="en-US"/>
        </w:rPr>
        <w:t>of the Defendant’s</w:t>
      </w:r>
      <w:r w:rsidR="00576A9D">
        <w:rPr>
          <w:lang w:val="en-US"/>
        </w:rPr>
        <w:t xml:space="preserve"> employees who was performing her duties within the scope of her employment.</w:t>
      </w:r>
      <w:r w:rsidR="00576A9D">
        <w:rPr>
          <w:rStyle w:val="FootnoteReference"/>
          <w:lang w:val="en-US"/>
        </w:rPr>
        <w:footnoteReference w:id="5"/>
      </w:r>
      <w:r w:rsidR="00576A9D">
        <w:rPr>
          <w:lang w:val="en-US"/>
        </w:rPr>
        <w:t xml:space="preserve">  </w:t>
      </w:r>
    </w:p>
    <w:p w14:paraId="45FEB4F1" w14:textId="77777777" w:rsidR="00CE1182" w:rsidRDefault="00CE1182" w:rsidP="00953863">
      <w:pPr>
        <w:autoSpaceDE w:val="0"/>
        <w:autoSpaceDN w:val="0"/>
        <w:adjustRightInd w:val="0"/>
        <w:spacing w:line="480" w:lineRule="auto"/>
        <w:jc w:val="both"/>
        <w:rPr>
          <w:lang w:val="en-US"/>
        </w:rPr>
      </w:pPr>
    </w:p>
    <w:p w14:paraId="12AF88C5" w14:textId="337E41CB" w:rsidR="00FD1275" w:rsidRPr="00FD1275" w:rsidRDefault="00CE1182" w:rsidP="00953863">
      <w:pPr>
        <w:autoSpaceDE w:val="0"/>
        <w:autoSpaceDN w:val="0"/>
        <w:adjustRightInd w:val="0"/>
        <w:spacing w:line="480" w:lineRule="auto"/>
        <w:jc w:val="both"/>
        <w:rPr>
          <w:lang w:val="en-US"/>
        </w:rPr>
      </w:pPr>
      <w:r>
        <w:rPr>
          <w:lang w:val="en-US"/>
        </w:rPr>
        <w:t>[14]</w:t>
      </w:r>
      <w:r>
        <w:rPr>
          <w:lang w:val="en-US"/>
        </w:rPr>
        <w:tab/>
        <w:t xml:space="preserve">   </w:t>
      </w:r>
      <w:r w:rsidR="007E4CBA">
        <w:rPr>
          <w:lang w:val="en-US"/>
        </w:rPr>
        <w:t xml:space="preserve"> </w:t>
      </w:r>
      <w:r w:rsidR="00FD1275" w:rsidRPr="00FD1275">
        <w:rPr>
          <w:lang w:val="en-US"/>
        </w:rPr>
        <w:t xml:space="preserve">In </w:t>
      </w:r>
      <w:r w:rsidR="00FD1275" w:rsidRPr="00FD1275">
        <w:rPr>
          <w:b/>
          <w:bCs/>
          <w:lang w:val="en-US"/>
        </w:rPr>
        <w:t xml:space="preserve">Truter and Another v </w:t>
      </w:r>
      <w:proofErr w:type="spellStart"/>
      <w:r w:rsidR="00FD1275" w:rsidRPr="00FD1275">
        <w:rPr>
          <w:b/>
          <w:bCs/>
          <w:lang w:val="en-US"/>
        </w:rPr>
        <w:t>Deysel</w:t>
      </w:r>
      <w:proofErr w:type="spellEnd"/>
      <w:r w:rsidR="00FD1275">
        <w:rPr>
          <w:rStyle w:val="FootnoteReference"/>
          <w:b/>
          <w:bCs/>
          <w:lang w:val="en-US"/>
        </w:rPr>
        <w:footnoteReference w:id="6"/>
      </w:r>
      <w:r w:rsidR="00FD1275" w:rsidRPr="00FD1275">
        <w:rPr>
          <w:lang w:val="en-US"/>
        </w:rPr>
        <w:t xml:space="preserve"> the Supreme Court of Appeal dealt with the meaning of the phrase '</w:t>
      </w:r>
      <w:r w:rsidR="00FD1275" w:rsidRPr="00BE1136">
        <w:rPr>
          <w:i/>
          <w:iCs/>
          <w:lang w:val="en-US"/>
        </w:rPr>
        <w:t>debt due</w:t>
      </w:r>
      <w:r w:rsidR="00FD1275" w:rsidRPr="00FD1275">
        <w:rPr>
          <w:lang w:val="en-US"/>
        </w:rPr>
        <w:t xml:space="preserve">'. It </w:t>
      </w:r>
      <w:r w:rsidR="00BE1136">
        <w:rPr>
          <w:lang w:val="en-US"/>
        </w:rPr>
        <w:t xml:space="preserve">had the following to </w:t>
      </w:r>
      <w:r w:rsidR="00FD1275" w:rsidRPr="00FD1275">
        <w:rPr>
          <w:lang w:val="en-US"/>
        </w:rPr>
        <w:t>sa</w:t>
      </w:r>
      <w:r w:rsidR="00BE1136">
        <w:rPr>
          <w:lang w:val="en-US"/>
        </w:rPr>
        <w:t>y</w:t>
      </w:r>
      <w:r w:rsidR="00FD1275" w:rsidRPr="00FD1275">
        <w:rPr>
          <w:lang w:val="en-US"/>
        </w:rPr>
        <w:t>:</w:t>
      </w:r>
    </w:p>
    <w:p w14:paraId="731EB01A" w14:textId="77777777" w:rsidR="00FD1275" w:rsidRPr="00FD1275" w:rsidRDefault="00FD1275" w:rsidP="00953863">
      <w:pPr>
        <w:autoSpaceDE w:val="0"/>
        <w:autoSpaceDN w:val="0"/>
        <w:adjustRightInd w:val="0"/>
        <w:spacing w:line="480" w:lineRule="auto"/>
        <w:jc w:val="both"/>
        <w:rPr>
          <w:lang w:val="en-US"/>
        </w:rPr>
      </w:pPr>
    </w:p>
    <w:p w14:paraId="7B56BAAC" w14:textId="01065F40" w:rsidR="00FD1275" w:rsidRPr="00BE1136" w:rsidRDefault="00FD1275" w:rsidP="00953863">
      <w:pPr>
        <w:autoSpaceDE w:val="0"/>
        <w:autoSpaceDN w:val="0"/>
        <w:adjustRightInd w:val="0"/>
        <w:spacing w:line="480" w:lineRule="auto"/>
        <w:ind w:left="720"/>
        <w:jc w:val="both"/>
        <w:rPr>
          <w:i/>
          <w:iCs/>
          <w:sz w:val="21"/>
          <w:szCs w:val="21"/>
          <w:lang w:val="en-US"/>
        </w:rPr>
      </w:pPr>
      <w:r w:rsidRPr="00BE1136">
        <w:rPr>
          <w:i/>
          <w:iCs/>
          <w:sz w:val="21"/>
          <w:szCs w:val="21"/>
          <w:lang w:val="en-US"/>
        </w:rPr>
        <w:t xml:space="preserve">'For the purposes of the Act, the term debt due means a debt, including a </w:t>
      </w:r>
      <w:proofErr w:type="spellStart"/>
      <w:r w:rsidRPr="00BE1136">
        <w:rPr>
          <w:i/>
          <w:iCs/>
          <w:sz w:val="21"/>
          <w:szCs w:val="21"/>
          <w:lang w:val="en-US"/>
        </w:rPr>
        <w:t>delictual</w:t>
      </w:r>
      <w:proofErr w:type="spellEnd"/>
      <w:r w:rsidRPr="00BE1136">
        <w:rPr>
          <w:i/>
          <w:iCs/>
          <w:sz w:val="21"/>
          <w:szCs w:val="21"/>
          <w:lang w:val="en-US"/>
        </w:rPr>
        <w:t xml:space="preserve"> debt, which is owing and payable. A debt is due in this sense when the creditor acquires a </w:t>
      </w:r>
      <w:r w:rsidRPr="00BE1136">
        <w:rPr>
          <w:i/>
          <w:iCs/>
          <w:sz w:val="21"/>
          <w:szCs w:val="21"/>
          <w:u w:val="single"/>
          <w:lang w:val="en-US"/>
        </w:rPr>
        <w:t>complete cause of action</w:t>
      </w:r>
      <w:r w:rsidRPr="00BE1136">
        <w:rPr>
          <w:i/>
          <w:iCs/>
          <w:sz w:val="21"/>
          <w:szCs w:val="21"/>
          <w:lang w:val="en-US"/>
        </w:rPr>
        <w:t xml:space="preserve"> for the recovery of the debt, that is, </w:t>
      </w:r>
      <w:r w:rsidRPr="00BE1136">
        <w:rPr>
          <w:i/>
          <w:iCs/>
          <w:sz w:val="21"/>
          <w:szCs w:val="21"/>
          <w:u w:val="single"/>
          <w:lang w:val="en-US"/>
        </w:rPr>
        <w:t>when the entire set of facts which the creditor must prove in order to succeed with his or her claim against the debtor is in place</w:t>
      </w:r>
      <w:r w:rsidRPr="00BE1136">
        <w:rPr>
          <w:i/>
          <w:iCs/>
          <w:sz w:val="21"/>
          <w:szCs w:val="21"/>
          <w:lang w:val="en-US"/>
        </w:rPr>
        <w:t xml:space="preserve"> or, in other words, when everything has happened which would entitle the creditor to institute action and to pursue his or her claim.'</w:t>
      </w:r>
      <w:r w:rsidR="00BE1136">
        <w:rPr>
          <w:i/>
          <w:iCs/>
          <w:sz w:val="21"/>
          <w:szCs w:val="21"/>
          <w:lang w:val="en-US"/>
        </w:rPr>
        <w:t xml:space="preserve"> (My underling)</w:t>
      </w:r>
    </w:p>
    <w:p w14:paraId="6E6052DE" w14:textId="77777777" w:rsidR="00BE1136" w:rsidRDefault="00BE1136" w:rsidP="00953863">
      <w:pPr>
        <w:autoSpaceDE w:val="0"/>
        <w:autoSpaceDN w:val="0"/>
        <w:adjustRightInd w:val="0"/>
        <w:spacing w:line="480" w:lineRule="auto"/>
        <w:jc w:val="both"/>
        <w:rPr>
          <w:lang w:val="en-US"/>
        </w:rPr>
      </w:pPr>
    </w:p>
    <w:p w14:paraId="3DD7FC16" w14:textId="77777777" w:rsidR="00F77C16" w:rsidRDefault="00BE1136" w:rsidP="00953863">
      <w:pPr>
        <w:autoSpaceDE w:val="0"/>
        <w:autoSpaceDN w:val="0"/>
        <w:adjustRightInd w:val="0"/>
        <w:spacing w:line="480" w:lineRule="auto"/>
        <w:jc w:val="both"/>
        <w:rPr>
          <w:lang w:val="en-US"/>
        </w:rPr>
      </w:pPr>
      <w:r>
        <w:rPr>
          <w:lang w:val="en-US"/>
        </w:rPr>
        <w:lastRenderedPageBreak/>
        <w:t>[15]</w:t>
      </w:r>
      <w:r w:rsidR="00FD1275" w:rsidRPr="00FD1275">
        <w:rPr>
          <w:lang w:val="en-US"/>
        </w:rPr>
        <w:t xml:space="preserve"> </w:t>
      </w:r>
      <w:r>
        <w:rPr>
          <w:lang w:val="en-US"/>
        </w:rPr>
        <w:tab/>
      </w:r>
      <w:r w:rsidR="007F77B3">
        <w:rPr>
          <w:lang w:val="en-US"/>
        </w:rPr>
        <w:t>In paragraph 1</w:t>
      </w:r>
      <w:r w:rsidR="00F77C16">
        <w:rPr>
          <w:lang w:val="en-US"/>
        </w:rPr>
        <w:t>9</w:t>
      </w:r>
      <w:r w:rsidR="007F77B3">
        <w:rPr>
          <w:lang w:val="en-US"/>
        </w:rPr>
        <w:t xml:space="preserve"> of </w:t>
      </w:r>
      <w:r w:rsidR="007F77B3" w:rsidRPr="00F77C16">
        <w:rPr>
          <w:b/>
          <w:bCs/>
          <w:lang w:val="en-US"/>
        </w:rPr>
        <w:t>Truter</w:t>
      </w:r>
      <w:r w:rsidR="00F77C16">
        <w:rPr>
          <w:b/>
          <w:bCs/>
          <w:lang w:val="en-US"/>
        </w:rPr>
        <w:t xml:space="preserve"> </w:t>
      </w:r>
      <w:r w:rsidR="00F77C16">
        <w:rPr>
          <w:lang w:val="en-US"/>
        </w:rPr>
        <w:t>the following appears:</w:t>
      </w:r>
    </w:p>
    <w:p w14:paraId="4D563E4E" w14:textId="6BE7FCBE" w:rsidR="00FD1275" w:rsidRDefault="00FD1275" w:rsidP="00953863">
      <w:pPr>
        <w:autoSpaceDE w:val="0"/>
        <w:autoSpaceDN w:val="0"/>
        <w:adjustRightInd w:val="0"/>
        <w:spacing w:line="480" w:lineRule="auto"/>
        <w:jc w:val="both"/>
        <w:rPr>
          <w:lang w:val="en-US"/>
        </w:rPr>
      </w:pPr>
      <w:r w:rsidRPr="00FD1275">
        <w:rPr>
          <w:lang w:val="en-US"/>
        </w:rPr>
        <w:t xml:space="preserve"> </w:t>
      </w:r>
    </w:p>
    <w:p w14:paraId="5558C4E5" w14:textId="0FF0FB8B" w:rsidR="00F77C16" w:rsidRPr="008258AF" w:rsidRDefault="00F77C16" w:rsidP="00953863">
      <w:pPr>
        <w:autoSpaceDE w:val="0"/>
        <w:autoSpaceDN w:val="0"/>
        <w:adjustRightInd w:val="0"/>
        <w:spacing w:line="480" w:lineRule="auto"/>
        <w:ind w:firstLine="720"/>
        <w:jc w:val="both"/>
        <w:rPr>
          <w:i/>
          <w:iCs/>
          <w:sz w:val="21"/>
          <w:szCs w:val="21"/>
          <w:lang w:val="en-US"/>
        </w:rPr>
      </w:pPr>
      <w:r w:rsidRPr="008258AF">
        <w:rPr>
          <w:i/>
          <w:iCs/>
          <w:sz w:val="21"/>
          <w:szCs w:val="21"/>
          <w:lang w:val="en-US"/>
        </w:rPr>
        <w:t>‘</w:t>
      </w:r>
      <w:proofErr w:type="spellStart"/>
      <w:r w:rsidRPr="008258AF">
        <w:rPr>
          <w:i/>
          <w:iCs/>
          <w:sz w:val="21"/>
          <w:szCs w:val="21"/>
          <w:lang w:val="en-US"/>
        </w:rPr>
        <w:t>'Cause</w:t>
      </w:r>
      <w:proofErr w:type="spellEnd"/>
      <w:r w:rsidRPr="008258AF">
        <w:rPr>
          <w:i/>
          <w:iCs/>
          <w:sz w:val="21"/>
          <w:szCs w:val="21"/>
          <w:lang w:val="en-US"/>
        </w:rPr>
        <w:t xml:space="preserve"> of action' for the purposes of prescription thus means</w:t>
      </w:r>
    </w:p>
    <w:p w14:paraId="49866DAE" w14:textId="77777777" w:rsidR="00F77C16" w:rsidRPr="008258AF" w:rsidRDefault="00F77C16" w:rsidP="00953863">
      <w:pPr>
        <w:autoSpaceDE w:val="0"/>
        <w:autoSpaceDN w:val="0"/>
        <w:adjustRightInd w:val="0"/>
        <w:spacing w:line="480" w:lineRule="auto"/>
        <w:jc w:val="both"/>
        <w:rPr>
          <w:i/>
          <w:iCs/>
          <w:sz w:val="21"/>
          <w:szCs w:val="21"/>
          <w:lang w:val="en-US"/>
        </w:rPr>
      </w:pPr>
    </w:p>
    <w:p w14:paraId="777B7128" w14:textId="77EE51A5" w:rsidR="00BE1136" w:rsidRPr="005501D7" w:rsidRDefault="00F77C16" w:rsidP="005501D7">
      <w:pPr>
        <w:autoSpaceDE w:val="0"/>
        <w:autoSpaceDN w:val="0"/>
        <w:adjustRightInd w:val="0"/>
        <w:spacing w:line="480" w:lineRule="auto"/>
        <w:ind w:left="720"/>
        <w:jc w:val="both"/>
        <w:rPr>
          <w:i/>
          <w:iCs/>
          <w:sz w:val="21"/>
          <w:szCs w:val="21"/>
          <w:lang w:val="en-US"/>
        </w:rPr>
      </w:pPr>
      <w:r w:rsidRPr="008258AF">
        <w:rPr>
          <w:i/>
          <w:iCs/>
          <w:sz w:val="21"/>
          <w:szCs w:val="21"/>
          <w:lang w:val="en-US"/>
        </w:rPr>
        <w:t xml:space="preserve">'. . . every fact which it would be necessary for the plaintiff to prove, if traversed, in order to support his right to the judgment of the Court. It does not comprise every piece of evidence which is necessary to prove each fact, but </w:t>
      </w:r>
      <w:r w:rsidRPr="008258AF">
        <w:rPr>
          <w:i/>
          <w:iCs/>
          <w:sz w:val="21"/>
          <w:szCs w:val="21"/>
          <w:u w:val="single"/>
          <w:lang w:val="en-US"/>
        </w:rPr>
        <w:t>every fact which is necessary to be proved</w:t>
      </w:r>
      <w:r w:rsidR="001D72D9">
        <w:rPr>
          <w:i/>
          <w:iCs/>
          <w:sz w:val="21"/>
          <w:szCs w:val="21"/>
          <w:u w:val="single"/>
          <w:lang w:val="en-US"/>
        </w:rPr>
        <w:t>’</w:t>
      </w:r>
      <w:r w:rsidRPr="008258AF">
        <w:rPr>
          <w:i/>
          <w:iCs/>
          <w:sz w:val="21"/>
          <w:szCs w:val="21"/>
          <w:lang w:val="en-US"/>
        </w:rPr>
        <w:t>.</w:t>
      </w:r>
      <w:r w:rsidR="001D72D9">
        <w:rPr>
          <w:i/>
          <w:iCs/>
          <w:sz w:val="21"/>
          <w:szCs w:val="21"/>
          <w:lang w:val="en-US"/>
        </w:rPr>
        <w:t xml:space="preserve"> [</w:t>
      </w:r>
      <w:r w:rsidR="001D72D9">
        <w:rPr>
          <w:sz w:val="21"/>
          <w:szCs w:val="21"/>
          <w:lang w:val="en-US"/>
        </w:rPr>
        <w:t>My underlining]</w:t>
      </w:r>
      <w:r w:rsidRPr="008258AF">
        <w:rPr>
          <w:sz w:val="21"/>
          <w:szCs w:val="21"/>
          <w:lang w:val="en-US"/>
        </w:rPr>
        <w:t xml:space="preserve">  </w:t>
      </w:r>
    </w:p>
    <w:p w14:paraId="5E5CC884" w14:textId="77777777" w:rsidR="00F77C16" w:rsidRDefault="00F77C16" w:rsidP="00953863">
      <w:pPr>
        <w:autoSpaceDE w:val="0"/>
        <w:autoSpaceDN w:val="0"/>
        <w:adjustRightInd w:val="0"/>
        <w:spacing w:line="480" w:lineRule="auto"/>
        <w:jc w:val="both"/>
        <w:rPr>
          <w:lang w:val="en-US"/>
        </w:rPr>
      </w:pPr>
    </w:p>
    <w:p w14:paraId="00A105FD" w14:textId="52638DB8" w:rsidR="00FD1275" w:rsidRPr="001D72D9" w:rsidRDefault="001D72D9" w:rsidP="00953863">
      <w:pPr>
        <w:autoSpaceDE w:val="0"/>
        <w:autoSpaceDN w:val="0"/>
        <w:adjustRightInd w:val="0"/>
        <w:spacing w:line="480" w:lineRule="auto"/>
        <w:jc w:val="both"/>
        <w:rPr>
          <w:lang w:val="en-US"/>
        </w:rPr>
      </w:pPr>
      <w:r>
        <w:rPr>
          <w:lang w:val="en-US"/>
        </w:rPr>
        <w:t xml:space="preserve">[16] My view is that </w:t>
      </w:r>
      <w:r w:rsidRPr="001D72D9">
        <w:rPr>
          <w:lang w:val="en-US"/>
        </w:rPr>
        <w:t>a</w:t>
      </w:r>
      <w:r w:rsidR="00FD1275" w:rsidRPr="001D72D9">
        <w:rPr>
          <w:lang w:val="en-US"/>
        </w:rPr>
        <w:t xml:space="preserve"> cause of action </w:t>
      </w:r>
      <w:r>
        <w:rPr>
          <w:lang w:val="en-US"/>
        </w:rPr>
        <w:t xml:space="preserve">should </w:t>
      </w:r>
      <w:r w:rsidR="00FD1275" w:rsidRPr="001D72D9">
        <w:rPr>
          <w:lang w:val="en-US"/>
        </w:rPr>
        <w:t xml:space="preserve">mean the combination of facts that are material for the </w:t>
      </w:r>
      <w:r>
        <w:rPr>
          <w:lang w:val="en-US"/>
        </w:rPr>
        <w:t>P</w:t>
      </w:r>
      <w:r w:rsidR="00FD1275" w:rsidRPr="001D72D9">
        <w:rPr>
          <w:lang w:val="en-US"/>
        </w:rPr>
        <w:t xml:space="preserve">laintiff to prove in order to succeed with his action. Such facts must enable a court to arrive at certain legal conclusions regarding unlawfulness and fault, the constituent elements of a </w:t>
      </w:r>
      <w:proofErr w:type="spellStart"/>
      <w:r w:rsidR="00FD1275" w:rsidRPr="001D72D9">
        <w:rPr>
          <w:lang w:val="en-US"/>
        </w:rPr>
        <w:t>delictual</w:t>
      </w:r>
      <w:proofErr w:type="spellEnd"/>
      <w:r w:rsidR="00FD1275" w:rsidRPr="001D72D9">
        <w:rPr>
          <w:lang w:val="en-US"/>
        </w:rPr>
        <w:t xml:space="preserve"> cause of action</w:t>
      </w:r>
      <w:r>
        <w:rPr>
          <w:lang w:val="en-US"/>
        </w:rPr>
        <w:t>,</w:t>
      </w:r>
      <w:r w:rsidR="00FD1275" w:rsidRPr="001D72D9">
        <w:rPr>
          <w:lang w:val="en-US"/>
        </w:rPr>
        <w:t xml:space="preserve"> being a combination of factual and legal conclusions, namely a causative act, harm, unlawfulness and culpability or fault.</w:t>
      </w:r>
      <w:r>
        <w:rPr>
          <w:lang w:val="en-US"/>
        </w:rPr>
        <w:t xml:space="preserve"> </w:t>
      </w:r>
      <w:r w:rsidRPr="009A073B">
        <w:rPr>
          <w:i/>
          <w:iCs/>
          <w:lang w:val="en-US"/>
        </w:rPr>
        <w:t xml:space="preserve">In </w:t>
      </w:r>
      <w:proofErr w:type="spellStart"/>
      <w:r w:rsidRPr="009A073B">
        <w:rPr>
          <w:i/>
          <w:iCs/>
          <w:lang w:val="en-US"/>
        </w:rPr>
        <w:t>casu</w:t>
      </w:r>
      <w:proofErr w:type="spellEnd"/>
      <w:r>
        <w:rPr>
          <w:lang w:val="en-US"/>
        </w:rPr>
        <w:t xml:space="preserve"> not all these elements were in existence as at September 2018.  </w:t>
      </w:r>
    </w:p>
    <w:p w14:paraId="3C6F719C" w14:textId="77777777" w:rsidR="00FD1275" w:rsidRPr="00FD1275" w:rsidRDefault="00FD1275" w:rsidP="00953863">
      <w:pPr>
        <w:autoSpaceDE w:val="0"/>
        <w:autoSpaceDN w:val="0"/>
        <w:adjustRightInd w:val="0"/>
        <w:spacing w:line="480" w:lineRule="auto"/>
        <w:jc w:val="both"/>
        <w:rPr>
          <w:lang w:val="en-US"/>
        </w:rPr>
      </w:pPr>
    </w:p>
    <w:p w14:paraId="5E82245E" w14:textId="77777777" w:rsidR="00FD1275" w:rsidRPr="00FD1275" w:rsidRDefault="00FD1275" w:rsidP="00953863">
      <w:pPr>
        <w:autoSpaceDE w:val="0"/>
        <w:autoSpaceDN w:val="0"/>
        <w:adjustRightInd w:val="0"/>
        <w:spacing w:line="480" w:lineRule="auto"/>
        <w:jc w:val="both"/>
        <w:rPr>
          <w:lang w:val="en-US"/>
        </w:rPr>
      </w:pPr>
    </w:p>
    <w:p w14:paraId="1345B17A" w14:textId="771480C3" w:rsidR="00FD1275" w:rsidRPr="00FD1275" w:rsidRDefault="007F77B3" w:rsidP="00953863">
      <w:pPr>
        <w:autoSpaceDE w:val="0"/>
        <w:autoSpaceDN w:val="0"/>
        <w:adjustRightInd w:val="0"/>
        <w:spacing w:line="480" w:lineRule="auto"/>
        <w:jc w:val="both"/>
        <w:rPr>
          <w:lang w:val="en-US"/>
        </w:rPr>
      </w:pPr>
      <w:r>
        <w:rPr>
          <w:lang w:val="en-US"/>
        </w:rPr>
        <w:t>[1</w:t>
      </w:r>
      <w:r w:rsidR="001D72D9">
        <w:rPr>
          <w:lang w:val="en-US"/>
        </w:rPr>
        <w:t>7</w:t>
      </w:r>
      <w:r>
        <w:rPr>
          <w:lang w:val="en-US"/>
        </w:rPr>
        <w:t>]</w:t>
      </w:r>
      <w:r>
        <w:rPr>
          <w:lang w:val="en-US"/>
        </w:rPr>
        <w:tab/>
      </w:r>
      <w:r w:rsidR="00F77C16">
        <w:rPr>
          <w:lang w:val="en-US"/>
        </w:rPr>
        <w:t xml:space="preserve">Last but </w:t>
      </w:r>
      <w:r w:rsidR="009A073B">
        <w:rPr>
          <w:lang w:val="en-US"/>
        </w:rPr>
        <w:t xml:space="preserve">not </w:t>
      </w:r>
      <w:r w:rsidR="00F77C16">
        <w:rPr>
          <w:lang w:val="en-US"/>
        </w:rPr>
        <w:t>least, i</w:t>
      </w:r>
      <w:r w:rsidR="00FD1275" w:rsidRPr="00FD1275">
        <w:rPr>
          <w:lang w:val="en-US"/>
        </w:rPr>
        <w:t xml:space="preserve">n </w:t>
      </w:r>
      <w:r w:rsidR="00F77C16">
        <w:rPr>
          <w:lang w:val="en-US"/>
        </w:rPr>
        <w:t xml:space="preserve">the case of </w:t>
      </w:r>
      <w:r w:rsidR="00F77C16" w:rsidRPr="00F77C16">
        <w:rPr>
          <w:b/>
          <w:bCs/>
          <w:lang w:val="en-US"/>
        </w:rPr>
        <w:t>Minister of Finance and Others v Gore NO</w:t>
      </w:r>
      <w:r w:rsidR="00F77C16">
        <w:rPr>
          <w:rStyle w:val="FootnoteReference"/>
          <w:b/>
          <w:bCs/>
          <w:lang w:val="en-US"/>
        </w:rPr>
        <w:footnoteReference w:id="7"/>
      </w:r>
      <w:r w:rsidR="00F77C16" w:rsidRPr="00F77C16">
        <w:rPr>
          <w:lang w:val="en-US"/>
        </w:rPr>
        <w:t xml:space="preserve"> </w:t>
      </w:r>
      <w:r w:rsidR="00FD1275" w:rsidRPr="00FD1275">
        <w:rPr>
          <w:lang w:val="en-US"/>
        </w:rPr>
        <w:t>the Supreme Court of Appeal</w:t>
      </w:r>
      <w:r w:rsidR="001921F0">
        <w:rPr>
          <w:lang w:val="en-US"/>
        </w:rPr>
        <w:t>, in paragraph 17,</w:t>
      </w:r>
      <w:r w:rsidR="00FD1275" w:rsidRPr="00FD1275">
        <w:rPr>
          <w:lang w:val="en-US"/>
        </w:rPr>
        <w:t xml:space="preserve"> said </w:t>
      </w:r>
      <w:r w:rsidR="001921F0">
        <w:rPr>
          <w:lang w:val="en-US"/>
        </w:rPr>
        <w:t>the following</w:t>
      </w:r>
      <w:r w:rsidR="00FD1275" w:rsidRPr="00FD1275">
        <w:rPr>
          <w:lang w:val="en-US"/>
        </w:rPr>
        <w:t>:</w:t>
      </w:r>
    </w:p>
    <w:p w14:paraId="73B64CB1" w14:textId="77777777" w:rsidR="00FD1275" w:rsidRPr="00FD1275" w:rsidRDefault="00FD1275" w:rsidP="00953863">
      <w:pPr>
        <w:autoSpaceDE w:val="0"/>
        <w:autoSpaceDN w:val="0"/>
        <w:adjustRightInd w:val="0"/>
        <w:spacing w:line="480" w:lineRule="auto"/>
        <w:jc w:val="both"/>
        <w:rPr>
          <w:lang w:val="en-US"/>
        </w:rPr>
      </w:pPr>
    </w:p>
    <w:p w14:paraId="33A9050F" w14:textId="203F47D7" w:rsidR="00FD1275" w:rsidRPr="00FD1275" w:rsidRDefault="00FD1275" w:rsidP="00953863">
      <w:pPr>
        <w:autoSpaceDE w:val="0"/>
        <w:autoSpaceDN w:val="0"/>
        <w:adjustRightInd w:val="0"/>
        <w:spacing w:line="480" w:lineRule="auto"/>
        <w:ind w:left="720"/>
        <w:jc w:val="both"/>
        <w:rPr>
          <w:lang w:val="en-US"/>
        </w:rPr>
      </w:pPr>
      <w:r w:rsidRPr="00FD1275">
        <w:rPr>
          <w:lang w:val="en-US"/>
        </w:rPr>
        <w:t>'</w:t>
      </w:r>
      <w:r w:rsidRPr="001921F0">
        <w:rPr>
          <w:i/>
          <w:iCs/>
          <w:sz w:val="21"/>
          <w:szCs w:val="21"/>
          <w:lang w:val="en-US"/>
        </w:rPr>
        <w:t xml:space="preserve">This court has, in a series of decisions, </w:t>
      </w:r>
      <w:proofErr w:type="spellStart"/>
      <w:r w:rsidRPr="001921F0">
        <w:rPr>
          <w:i/>
          <w:iCs/>
          <w:sz w:val="21"/>
          <w:szCs w:val="21"/>
          <w:lang w:val="en-US"/>
        </w:rPr>
        <w:t>emphasised</w:t>
      </w:r>
      <w:proofErr w:type="spellEnd"/>
      <w:r w:rsidRPr="001921F0">
        <w:rPr>
          <w:i/>
          <w:iCs/>
          <w:sz w:val="21"/>
          <w:szCs w:val="21"/>
          <w:lang w:val="en-US"/>
        </w:rPr>
        <w:t xml:space="preserve"> that time begins to run against the creditor when it has the minimum facts that are necessary to institute action.'</w:t>
      </w:r>
      <w:r w:rsidRPr="00FD1275">
        <w:rPr>
          <w:lang w:val="en-US"/>
        </w:rPr>
        <w:t xml:space="preserve"> </w:t>
      </w:r>
    </w:p>
    <w:p w14:paraId="7633D35B" w14:textId="77777777" w:rsidR="00FD1275" w:rsidRPr="00FD1275" w:rsidRDefault="00FD1275" w:rsidP="00953863">
      <w:pPr>
        <w:autoSpaceDE w:val="0"/>
        <w:autoSpaceDN w:val="0"/>
        <w:adjustRightInd w:val="0"/>
        <w:spacing w:line="480" w:lineRule="auto"/>
        <w:jc w:val="both"/>
        <w:rPr>
          <w:lang w:val="en-US"/>
        </w:rPr>
      </w:pPr>
    </w:p>
    <w:p w14:paraId="3D405221" w14:textId="641C959B" w:rsidR="00FD1275" w:rsidRPr="00FD1275" w:rsidRDefault="00FD1275" w:rsidP="00953863">
      <w:pPr>
        <w:autoSpaceDE w:val="0"/>
        <w:autoSpaceDN w:val="0"/>
        <w:adjustRightInd w:val="0"/>
        <w:spacing w:line="480" w:lineRule="auto"/>
        <w:jc w:val="both"/>
        <w:rPr>
          <w:lang w:val="en-US"/>
        </w:rPr>
      </w:pPr>
      <w:r w:rsidRPr="00FD1275">
        <w:rPr>
          <w:lang w:val="en-US"/>
        </w:rPr>
        <w:t xml:space="preserve"> </w:t>
      </w:r>
      <w:r w:rsidR="001921F0">
        <w:rPr>
          <w:lang w:val="en-US"/>
        </w:rPr>
        <w:t>[</w:t>
      </w:r>
      <w:r w:rsidR="009A073B">
        <w:rPr>
          <w:lang w:val="en-US"/>
        </w:rPr>
        <w:t>18</w:t>
      </w:r>
      <w:proofErr w:type="gramStart"/>
      <w:r w:rsidR="001921F0">
        <w:rPr>
          <w:lang w:val="en-US"/>
        </w:rPr>
        <w:t>]</w:t>
      </w:r>
      <w:r w:rsidRPr="00FD1275">
        <w:rPr>
          <w:lang w:val="en-US"/>
        </w:rPr>
        <w:t xml:space="preserve">  </w:t>
      </w:r>
      <w:r w:rsidR="001921F0">
        <w:rPr>
          <w:lang w:val="en-US"/>
        </w:rPr>
        <w:t>In</w:t>
      </w:r>
      <w:proofErr w:type="gramEnd"/>
      <w:r w:rsidR="001921F0">
        <w:rPr>
          <w:lang w:val="en-US"/>
        </w:rPr>
        <w:t xml:space="preserve"> paragraph 18</w:t>
      </w:r>
      <w:r w:rsidR="00394937">
        <w:rPr>
          <w:lang w:val="en-US"/>
        </w:rPr>
        <w:t xml:space="preserve"> of</w:t>
      </w:r>
      <w:r w:rsidRPr="00FD1275">
        <w:rPr>
          <w:lang w:val="en-US"/>
        </w:rPr>
        <w:t xml:space="preserve"> </w:t>
      </w:r>
      <w:r w:rsidR="00394937" w:rsidRPr="00394937">
        <w:rPr>
          <w:b/>
          <w:bCs/>
          <w:i/>
          <w:iCs/>
          <w:lang w:val="en-US"/>
        </w:rPr>
        <w:t>Gore</w:t>
      </w:r>
      <w:r w:rsidR="00394937">
        <w:rPr>
          <w:lang w:val="en-US"/>
        </w:rPr>
        <w:t xml:space="preserve"> </w:t>
      </w:r>
      <w:r w:rsidR="009A073B">
        <w:rPr>
          <w:lang w:val="en-US"/>
        </w:rPr>
        <w:t>(</w:t>
      </w:r>
      <w:r w:rsidR="009A073B" w:rsidRPr="009A073B">
        <w:rPr>
          <w:i/>
          <w:iCs/>
          <w:lang w:val="en-US"/>
        </w:rPr>
        <w:t>supra</w:t>
      </w:r>
      <w:r w:rsidR="009A073B">
        <w:rPr>
          <w:lang w:val="en-US"/>
        </w:rPr>
        <w:t xml:space="preserve">) </w:t>
      </w:r>
      <w:r w:rsidR="001921F0">
        <w:rPr>
          <w:lang w:val="en-US"/>
        </w:rPr>
        <w:t xml:space="preserve">the </w:t>
      </w:r>
      <w:r w:rsidRPr="00FD1275">
        <w:rPr>
          <w:lang w:val="en-US"/>
        </w:rPr>
        <w:t xml:space="preserve">court </w:t>
      </w:r>
      <w:r w:rsidR="001921F0">
        <w:rPr>
          <w:lang w:val="en-US"/>
        </w:rPr>
        <w:t xml:space="preserve">went on to </w:t>
      </w:r>
      <w:r w:rsidRPr="00FD1275">
        <w:rPr>
          <w:lang w:val="en-US"/>
        </w:rPr>
        <w:t>sa</w:t>
      </w:r>
      <w:r w:rsidR="001921F0">
        <w:rPr>
          <w:lang w:val="en-US"/>
        </w:rPr>
        <w:t>y</w:t>
      </w:r>
      <w:r w:rsidRPr="00FD1275">
        <w:rPr>
          <w:lang w:val="en-US"/>
        </w:rPr>
        <w:t>:</w:t>
      </w:r>
    </w:p>
    <w:p w14:paraId="679B906E" w14:textId="77777777" w:rsidR="00FD1275" w:rsidRPr="00FD1275" w:rsidRDefault="00FD1275" w:rsidP="00953863">
      <w:pPr>
        <w:autoSpaceDE w:val="0"/>
        <w:autoSpaceDN w:val="0"/>
        <w:adjustRightInd w:val="0"/>
        <w:spacing w:line="480" w:lineRule="auto"/>
        <w:jc w:val="both"/>
        <w:rPr>
          <w:lang w:val="en-US"/>
        </w:rPr>
      </w:pPr>
    </w:p>
    <w:p w14:paraId="5600C0FF" w14:textId="581AA927" w:rsidR="00FD1275" w:rsidRPr="001921F0" w:rsidRDefault="00FD1275" w:rsidP="00953863">
      <w:pPr>
        <w:autoSpaceDE w:val="0"/>
        <w:autoSpaceDN w:val="0"/>
        <w:adjustRightInd w:val="0"/>
        <w:spacing w:line="480" w:lineRule="auto"/>
        <w:ind w:left="720"/>
        <w:jc w:val="both"/>
        <w:rPr>
          <w:i/>
          <w:iCs/>
          <w:sz w:val="21"/>
          <w:szCs w:val="21"/>
          <w:lang w:val="en-US"/>
        </w:rPr>
      </w:pPr>
      <w:r w:rsidRPr="001921F0">
        <w:rPr>
          <w:i/>
          <w:iCs/>
          <w:sz w:val="21"/>
          <w:szCs w:val="21"/>
          <w:lang w:val="en-US"/>
        </w:rPr>
        <w:t xml:space="preserve">'The defendants' argument seems to us to mistake the nature of knowledge that is required to trigger the running of prescriptive time. Mere opinion or supposition is not enough: there must be justified, true belief. Belief, on its own, is insufficient. Belief that happens to be </w:t>
      </w:r>
      <w:proofErr w:type="gramStart"/>
      <w:r w:rsidRPr="001921F0">
        <w:rPr>
          <w:i/>
          <w:iCs/>
          <w:sz w:val="21"/>
          <w:szCs w:val="21"/>
          <w:lang w:val="en-US"/>
        </w:rPr>
        <w:t>true  (</w:t>
      </w:r>
      <w:proofErr w:type="gramEnd"/>
      <w:r w:rsidRPr="001921F0">
        <w:rPr>
          <w:i/>
          <w:iCs/>
          <w:sz w:val="21"/>
          <w:szCs w:val="21"/>
          <w:lang w:val="en-US"/>
        </w:rPr>
        <w:t xml:space="preserve">as Rabie had) is also insufficient. For there to be knowledge, the belief must be justified.' </w:t>
      </w:r>
    </w:p>
    <w:p w14:paraId="75F8EC32" w14:textId="77777777" w:rsidR="00FD1275" w:rsidRPr="00FD1275" w:rsidRDefault="00FD1275" w:rsidP="00953863">
      <w:pPr>
        <w:autoSpaceDE w:val="0"/>
        <w:autoSpaceDN w:val="0"/>
        <w:adjustRightInd w:val="0"/>
        <w:spacing w:line="480" w:lineRule="auto"/>
        <w:jc w:val="both"/>
        <w:rPr>
          <w:lang w:val="en-US"/>
        </w:rPr>
      </w:pPr>
    </w:p>
    <w:p w14:paraId="698A3A24" w14:textId="4CAEF496" w:rsidR="00FD1275" w:rsidRPr="00FD1275" w:rsidRDefault="00394937" w:rsidP="00953863">
      <w:pPr>
        <w:autoSpaceDE w:val="0"/>
        <w:autoSpaceDN w:val="0"/>
        <w:adjustRightInd w:val="0"/>
        <w:spacing w:line="480" w:lineRule="auto"/>
        <w:jc w:val="both"/>
        <w:rPr>
          <w:lang w:val="en-US"/>
        </w:rPr>
      </w:pPr>
      <w:r>
        <w:rPr>
          <w:lang w:val="en-US"/>
        </w:rPr>
        <w:t>[</w:t>
      </w:r>
      <w:r w:rsidR="009A073B">
        <w:rPr>
          <w:lang w:val="en-US"/>
        </w:rPr>
        <w:t>19</w:t>
      </w:r>
      <w:r>
        <w:rPr>
          <w:lang w:val="en-US"/>
        </w:rPr>
        <w:t>]</w:t>
      </w:r>
      <w:r>
        <w:rPr>
          <w:lang w:val="en-US"/>
        </w:rPr>
        <w:tab/>
        <w:t xml:space="preserve">In paragraph 19 of </w:t>
      </w:r>
      <w:r>
        <w:rPr>
          <w:b/>
          <w:bCs/>
          <w:i/>
          <w:iCs/>
          <w:lang w:val="en-US"/>
        </w:rPr>
        <w:t xml:space="preserve">Gore </w:t>
      </w:r>
      <w:r>
        <w:rPr>
          <w:lang w:val="en-US"/>
        </w:rPr>
        <w:t>t</w:t>
      </w:r>
      <w:r w:rsidR="00FD1275" w:rsidRPr="00FD1275">
        <w:rPr>
          <w:lang w:val="en-US"/>
        </w:rPr>
        <w:t xml:space="preserve">he court </w:t>
      </w:r>
      <w:r>
        <w:rPr>
          <w:lang w:val="en-US"/>
        </w:rPr>
        <w:t>clarified the legal position when it went on to say</w:t>
      </w:r>
      <w:r w:rsidR="00FD1275" w:rsidRPr="00FD1275">
        <w:rPr>
          <w:lang w:val="en-US"/>
        </w:rPr>
        <w:t>:</w:t>
      </w:r>
    </w:p>
    <w:p w14:paraId="76E55A35" w14:textId="77777777" w:rsidR="00FD1275" w:rsidRPr="00394937" w:rsidRDefault="00FD1275" w:rsidP="00953863">
      <w:pPr>
        <w:autoSpaceDE w:val="0"/>
        <w:autoSpaceDN w:val="0"/>
        <w:adjustRightInd w:val="0"/>
        <w:spacing w:line="480" w:lineRule="auto"/>
        <w:jc w:val="both"/>
        <w:rPr>
          <w:i/>
          <w:iCs/>
          <w:sz w:val="21"/>
          <w:szCs w:val="21"/>
          <w:lang w:val="en-US"/>
        </w:rPr>
      </w:pPr>
    </w:p>
    <w:p w14:paraId="2CFCA71E" w14:textId="7B8C3187" w:rsidR="00394937" w:rsidRDefault="00394937" w:rsidP="00953863">
      <w:pPr>
        <w:autoSpaceDE w:val="0"/>
        <w:autoSpaceDN w:val="0"/>
        <w:adjustRightInd w:val="0"/>
        <w:spacing w:line="480" w:lineRule="auto"/>
        <w:ind w:firstLine="720"/>
        <w:jc w:val="both"/>
        <w:rPr>
          <w:i/>
          <w:iCs/>
          <w:sz w:val="21"/>
          <w:szCs w:val="21"/>
          <w:lang w:val="en-US"/>
        </w:rPr>
      </w:pPr>
      <w:r w:rsidRPr="00394937">
        <w:rPr>
          <w:i/>
          <w:iCs/>
          <w:sz w:val="21"/>
          <w:szCs w:val="21"/>
          <w:lang w:val="en-US"/>
        </w:rPr>
        <w:t>‘It is well established in our law that:</w:t>
      </w:r>
    </w:p>
    <w:p w14:paraId="224FF663" w14:textId="77777777" w:rsidR="009A073B" w:rsidRPr="00394937" w:rsidRDefault="009A073B" w:rsidP="00953863">
      <w:pPr>
        <w:autoSpaceDE w:val="0"/>
        <w:autoSpaceDN w:val="0"/>
        <w:adjustRightInd w:val="0"/>
        <w:spacing w:line="480" w:lineRule="auto"/>
        <w:ind w:firstLine="720"/>
        <w:jc w:val="both"/>
        <w:rPr>
          <w:i/>
          <w:iCs/>
          <w:sz w:val="21"/>
          <w:szCs w:val="21"/>
          <w:lang w:val="en-US"/>
        </w:rPr>
      </w:pPr>
    </w:p>
    <w:p w14:paraId="165D33E3" w14:textId="6D48C12F" w:rsidR="00394937" w:rsidRPr="00380EEB" w:rsidRDefault="00380EEB" w:rsidP="00380EEB">
      <w:pPr>
        <w:autoSpaceDE w:val="0"/>
        <w:autoSpaceDN w:val="0"/>
        <w:adjustRightInd w:val="0"/>
        <w:spacing w:line="480" w:lineRule="auto"/>
        <w:ind w:left="1080" w:hanging="360"/>
        <w:jc w:val="both"/>
        <w:rPr>
          <w:i/>
          <w:iCs/>
          <w:sz w:val="21"/>
          <w:szCs w:val="21"/>
          <w:lang w:val="en-US"/>
        </w:rPr>
      </w:pPr>
      <w:r w:rsidRPr="00394937">
        <w:rPr>
          <w:i/>
          <w:iCs/>
          <w:sz w:val="21"/>
          <w:szCs w:val="21"/>
          <w:lang w:val="en-US"/>
        </w:rPr>
        <w:t>(a)</w:t>
      </w:r>
      <w:r w:rsidRPr="00394937">
        <w:rPr>
          <w:i/>
          <w:iCs/>
          <w:sz w:val="21"/>
          <w:szCs w:val="21"/>
          <w:lang w:val="en-US"/>
        </w:rPr>
        <w:tab/>
      </w:r>
      <w:r w:rsidR="00394937" w:rsidRPr="00380EEB">
        <w:rPr>
          <w:i/>
          <w:iCs/>
          <w:sz w:val="21"/>
          <w:szCs w:val="21"/>
          <w:lang w:val="en-US"/>
        </w:rPr>
        <w:t>Knowledge is not confined to the mental state of awareness of facts that is produced by personally witnessing or participating in events, or by being the direct recipient of first-hand evidence about them.</w:t>
      </w:r>
    </w:p>
    <w:p w14:paraId="24D57311" w14:textId="74305342" w:rsidR="00394937" w:rsidRPr="00380EEB" w:rsidRDefault="00380EEB" w:rsidP="00380EEB">
      <w:pPr>
        <w:autoSpaceDE w:val="0"/>
        <w:autoSpaceDN w:val="0"/>
        <w:adjustRightInd w:val="0"/>
        <w:spacing w:line="480" w:lineRule="auto"/>
        <w:ind w:left="1080" w:hanging="360"/>
        <w:jc w:val="both"/>
        <w:rPr>
          <w:i/>
          <w:iCs/>
          <w:sz w:val="21"/>
          <w:szCs w:val="21"/>
          <w:lang w:val="en-US"/>
        </w:rPr>
      </w:pPr>
      <w:r w:rsidRPr="00394937">
        <w:rPr>
          <w:i/>
          <w:iCs/>
          <w:sz w:val="21"/>
          <w:szCs w:val="21"/>
          <w:lang w:val="en-US"/>
        </w:rPr>
        <w:t>(b)</w:t>
      </w:r>
      <w:r w:rsidRPr="00394937">
        <w:rPr>
          <w:i/>
          <w:iCs/>
          <w:sz w:val="21"/>
          <w:szCs w:val="21"/>
          <w:lang w:val="en-US"/>
        </w:rPr>
        <w:tab/>
      </w:r>
      <w:r w:rsidR="00394937" w:rsidRPr="00380EEB">
        <w:rPr>
          <w:i/>
          <w:iCs/>
          <w:sz w:val="21"/>
          <w:szCs w:val="21"/>
          <w:lang w:val="en-US"/>
        </w:rPr>
        <w:t>It extends to a conviction or belief that is engendered by or inferred from attendant circumstances.</w:t>
      </w:r>
    </w:p>
    <w:p w14:paraId="23CAE1E8" w14:textId="5A2D5FAE" w:rsidR="00394937" w:rsidRPr="00380EEB" w:rsidRDefault="00380EEB" w:rsidP="00380EEB">
      <w:pPr>
        <w:autoSpaceDE w:val="0"/>
        <w:autoSpaceDN w:val="0"/>
        <w:adjustRightInd w:val="0"/>
        <w:spacing w:line="480" w:lineRule="auto"/>
        <w:ind w:left="1080" w:hanging="360"/>
        <w:jc w:val="both"/>
        <w:rPr>
          <w:i/>
          <w:iCs/>
          <w:sz w:val="21"/>
          <w:szCs w:val="21"/>
          <w:lang w:val="en-US"/>
        </w:rPr>
      </w:pPr>
      <w:r>
        <w:rPr>
          <w:i/>
          <w:iCs/>
          <w:sz w:val="21"/>
          <w:szCs w:val="21"/>
          <w:lang w:val="en-US"/>
        </w:rPr>
        <w:t>(c)</w:t>
      </w:r>
      <w:r>
        <w:rPr>
          <w:i/>
          <w:iCs/>
          <w:sz w:val="21"/>
          <w:szCs w:val="21"/>
          <w:lang w:val="en-US"/>
        </w:rPr>
        <w:tab/>
      </w:r>
      <w:r w:rsidR="00394937" w:rsidRPr="00380EEB">
        <w:rPr>
          <w:i/>
          <w:iCs/>
          <w:sz w:val="21"/>
          <w:szCs w:val="21"/>
          <w:lang w:val="en-US"/>
        </w:rPr>
        <w:t>On the other hand, mere suspicion not amounting to conviction or belief justifiably inferred from attendant circumstances does not amount to knowledge.</w:t>
      </w:r>
    </w:p>
    <w:p w14:paraId="346E6FC0" w14:textId="77777777" w:rsidR="008D0D86" w:rsidRPr="00394937" w:rsidRDefault="008D0D86" w:rsidP="00953863">
      <w:pPr>
        <w:pStyle w:val="ListParagraph"/>
        <w:autoSpaceDE w:val="0"/>
        <w:autoSpaceDN w:val="0"/>
        <w:adjustRightInd w:val="0"/>
        <w:spacing w:line="480" w:lineRule="auto"/>
        <w:ind w:left="1080"/>
        <w:jc w:val="both"/>
        <w:rPr>
          <w:i/>
          <w:iCs/>
          <w:sz w:val="21"/>
          <w:szCs w:val="21"/>
          <w:lang w:val="en-US"/>
        </w:rPr>
      </w:pPr>
    </w:p>
    <w:p w14:paraId="653B3D6E" w14:textId="41FFFC1F" w:rsidR="00961B6F" w:rsidRPr="00394937" w:rsidRDefault="00FD1275" w:rsidP="00953863">
      <w:pPr>
        <w:autoSpaceDE w:val="0"/>
        <w:autoSpaceDN w:val="0"/>
        <w:adjustRightInd w:val="0"/>
        <w:spacing w:line="480" w:lineRule="auto"/>
        <w:ind w:left="720"/>
        <w:jc w:val="both"/>
        <w:rPr>
          <w:i/>
          <w:iCs/>
          <w:sz w:val="21"/>
          <w:szCs w:val="21"/>
          <w:lang w:val="en-US"/>
        </w:rPr>
      </w:pPr>
      <w:r w:rsidRPr="00394937">
        <w:rPr>
          <w:i/>
          <w:iCs/>
          <w:sz w:val="21"/>
          <w:szCs w:val="21"/>
          <w:lang w:val="en-US"/>
        </w:rPr>
        <w:t xml:space="preserve">It follows that belief that is without apparent warrant is not knowledge; nor is assertion and unjustified suspicion, however passionately </w:t>
      </w:r>
      <w:proofErr w:type="spellStart"/>
      <w:r w:rsidRPr="00394937">
        <w:rPr>
          <w:i/>
          <w:iCs/>
          <w:sz w:val="21"/>
          <w:szCs w:val="21"/>
          <w:lang w:val="en-US"/>
        </w:rPr>
        <w:t>harboured</w:t>
      </w:r>
      <w:proofErr w:type="spellEnd"/>
      <w:r w:rsidRPr="00394937">
        <w:rPr>
          <w:i/>
          <w:iCs/>
          <w:sz w:val="21"/>
          <w:szCs w:val="21"/>
          <w:lang w:val="en-US"/>
        </w:rPr>
        <w:t xml:space="preserve">; still less, is vehemently controverted allegation or subjective conviction.' </w:t>
      </w:r>
    </w:p>
    <w:p w14:paraId="527ECEA7" w14:textId="77777777" w:rsidR="008A17A8" w:rsidRDefault="008A17A8" w:rsidP="00953863">
      <w:pPr>
        <w:autoSpaceDE w:val="0"/>
        <w:autoSpaceDN w:val="0"/>
        <w:adjustRightInd w:val="0"/>
        <w:spacing w:line="480" w:lineRule="auto"/>
        <w:jc w:val="both"/>
        <w:rPr>
          <w:lang w:val="en-US"/>
        </w:rPr>
      </w:pPr>
    </w:p>
    <w:p w14:paraId="3E377BF3" w14:textId="1EC65B93" w:rsidR="00590B62" w:rsidRPr="00394937" w:rsidRDefault="00394937" w:rsidP="00953863">
      <w:pPr>
        <w:autoSpaceDE w:val="0"/>
        <w:autoSpaceDN w:val="0"/>
        <w:adjustRightInd w:val="0"/>
        <w:spacing w:line="480" w:lineRule="auto"/>
        <w:jc w:val="both"/>
        <w:rPr>
          <w:lang w:val="en-US"/>
        </w:rPr>
      </w:pPr>
      <w:r>
        <w:rPr>
          <w:lang w:val="en-US"/>
        </w:rPr>
        <w:t>[</w:t>
      </w:r>
      <w:r w:rsidR="009A073B">
        <w:rPr>
          <w:lang w:val="en-US"/>
        </w:rPr>
        <w:t>20</w:t>
      </w:r>
      <w:r>
        <w:rPr>
          <w:lang w:val="en-US"/>
        </w:rPr>
        <w:t>]</w:t>
      </w:r>
      <w:r>
        <w:rPr>
          <w:lang w:val="en-US"/>
        </w:rPr>
        <w:tab/>
        <w:t>In the light of the above authorities it is my considered view that the circumstances of this case do not suggest that the Plaintiff’s claim ha</w:t>
      </w:r>
      <w:r w:rsidR="009A073B">
        <w:rPr>
          <w:lang w:val="en-US"/>
        </w:rPr>
        <w:t>d</w:t>
      </w:r>
      <w:r>
        <w:rPr>
          <w:lang w:val="en-US"/>
        </w:rPr>
        <w:t xml:space="preserve"> prescribed. Our law is that </w:t>
      </w:r>
      <w:r>
        <w:rPr>
          <w:lang w:val="en-GB"/>
        </w:rPr>
        <w:t>t</w:t>
      </w:r>
      <w:r w:rsidR="001921F0" w:rsidRPr="001921F0">
        <w:rPr>
          <w:lang w:val="en-GB"/>
        </w:rPr>
        <w:t xml:space="preserve">he statutory prescription periods are meant to protect </w:t>
      </w:r>
      <w:r>
        <w:rPr>
          <w:lang w:val="en-GB"/>
        </w:rPr>
        <w:t>D</w:t>
      </w:r>
      <w:r w:rsidR="001921F0" w:rsidRPr="001921F0">
        <w:rPr>
          <w:lang w:val="en-GB"/>
        </w:rPr>
        <w:t xml:space="preserve">efendants from undue delay by </w:t>
      </w:r>
      <w:r w:rsidR="00552CA1">
        <w:rPr>
          <w:lang w:val="en-GB"/>
        </w:rPr>
        <w:t>Plaintiff</w:t>
      </w:r>
      <w:r w:rsidR="001921F0" w:rsidRPr="001921F0">
        <w:rPr>
          <w:lang w:val="en-GB"/>
        </w:rPr>
        <w:t xml:space="preserve">s who are laggard in enforcing their rights. </w:t>
      </w:r>
      <w:r w:rsidR="00552CA1">
        <w:rPr>
          <w:lang w:val="en-GB"/>
        </w:rPr>
        <w:t>On the facts before me, to conclude</w:t>
      </w:r>
      <w:r w:rsidR="001921F0" w:rsidRPr="001921F0">
        <w:rPr>
          <w:lang w:val="en-GB"/>
        </w:rPr>
        <w:t xml:space="preserve"> that the </w:t>
      </w:r>
      <w:r w:rsidR="00552CA1">
        <w:rPr>
          <w:lang w:val="en-GB"/>
        </w:rPr>
        <w:t>P</w:t>
      </w:r>
      <w:r w:rsidR="001921F0" w:rsidRPr="001921F0">
        <w:rPr>
          <w:lang w:val="en-GB"/>
        </w:rPr>
        <w:t xml:space="preserve">laintiff was dilatory </w:t>
      </w:r>
      <w:r w:rsidR="00552CA1">
        <w:rPr>
          <w:lang w:val="en-GB"/>
        </w:rPr>
        <w:t xml:space="preserve">and delayed </w:t>
      </w:r>
      <w:r w:rsidR="001921F0" w:rsidRPr="001921F0">
        <w:rPr>
          <w:lang w:val="en-GB"/>
        </w:rPr>
        <w:t xml:space="preserve">would be inapt, to say the </w:t>
      </w:r>
      <w:r w:rsidR="001921F0" w:rsidRPr="001921F0">
        <w:rPr>
          <w:lang w:val="en-GB"/>
        </w:rPr>
        <w:lastRenderedPageBreak/>
        <w:t xml:space="preserve">least. It would therefore be most surprising if </w:t>
      </w:r>
      <w:r w:rsidR="005501D7">
        <w:rPr>
          <w:lang w:val="en-GB"/>
        </w:rPr>
        <w:t>he</w:t>
      </w:r>
      <w:r w:rsidR="001921F0" w:rsidRPr="001921F0">
        <w:rPr>
          <w:lang w:val="en-GB"/>
        </w:rPr>
        <w:t xml:space="preserve"> were to be non-suited for delay. In </w:t>
      </w:r>
      <w:r w:rsidR="00552CA1">
        <w:rPr>
          <w:lang w:val="en-GB"/>
        </w:rPr>
        <w:t>my</w:t>
      </w:r>
      <w:r w:rsidR="001921F0" w:rsidRPr="001921F0">
        <w:rPr>
          <w:lang w:val="en-GB"/>
        </w:rPr>
        <w:t xml:space="preserve"> view, that is not </w:t>
      </w:r>
      <w:r w:rsidR="00552CA1">
        <w:rPr>
          <w:lang w:val="en-GB"/>
        </w:rPr>
        <w:t>what our</w:t>
      </w:r>
      <w:r w:rsidR="001921F0" w:rsidRPr="001921F0">
        <w:rPr>
          <w:lang w:val="en-GB"/>
        </w:rPr>
        <w:t xml:space="preserve"> law</w:t>
      </w:r>
      <w:r w:rsidR="00552CA1">
        <w:rPr>
          <w:lang w:val="en-GB"/>
        </w:rPr>
        <w:t xml:space="preserve"> contemplates</w:t>
      </w:r>
      <w:r w:rsidR="001921F0" w:rsidRPr="001921F0">
        <w:rPr>
          <w:lang w:val="en-GB"/>
        </w:rPr>
        <w:t>.</w:t>
      </w:r>
    </w:p>
    <w:p w14:paraId="22E06277" w14:textId="77777777" w:rsidR="009B271A" w:rsidRPr="004D1AAF" w:rsidRDefault="009B271A" w:rsidP="00953863">
      <w:pPr>
        <w:autoSpaceDE w:val="0"/>
        <w:autoSpaceDN w:val="0"/>
        <w:adjustRightInd w:val="0"/>
        <w:spacing w:line="480" w:lineRule="auto"/>
        <w:jc w:val="both"/>
        <w:rPr>
          <w:lang w:val="en-GB"/>
        </w:rPr>
      </w:pPr>
    </w:p>
    <w:p w14:paraId="3117877B" w14:textId="67989287" w:rsidR="003C3BC6" w:rsidRPr="00044B50" w:rsidRDefault="00552CA1" w:rsidP="00953863">
      <w:pPr>
        <w:autoSpaceDE w:val="0"/>
        <w:autoSpaceDN w:val="0"/>
        <w:adjustRightInd w:val="0"/>
        <w:spacing w:line="480" w:lineRule="auto"/>
        <w:jc w:val="both"/>
        <w:rPr>
          <w:lang w:val="en-GB"/>
        </w:rPr>
      </w:pPr>
      <w:r>
        <w:rPr>
          <w:lang w:val="en-GB"/>
        </w:rPr>
        <w:t>[</w:t>
      </w:r>
      <w:r w:rsidR="009A073B">
        <w:rPr>
          <w:lang w:val="en-GB"/>
        </w:rPr>
        <w:t>21</w:t>
      </w:r>
      <w:r>
        <w:rPr>
          <w:lang w:val="en-GB"/>
        </w:rPr>
        <w:t>]</w:t>
      </w:r>
      <w:r>
        <w:rPr>
          <w:lang w:val="en-GB"/>
        </w:rPr>
        <w:tab/>
        <w:t xml:space="preserve">This now brings me to the second special plea of non-compliance with Act 40 of 2002. </w:t>
      </w:r>
    </w:p>
    <w:p w14:paraId="38FC7F46" w14:textId="77777777" w:rsidR="003C3BC6" w:rsidRDefault="003C3BC6" w:rsidP="00953863">
      <w:pPr>
        <w:autoSpaceDE w:val="0"/>
        <w:autoSpaceDN w:val="0"/>
        <w:adjustRightInd w:val="0"/>
        <w:spacing w:line="480" w:lineRule="auto"/>
        <w:jc w:val="both"/>
        <w:rPr>
          <w:lang w:val="en-GB"/>
        </w:rPr>
      </w:pPr>
    </w:p>
    <w:p w14:paraId="22818BA7" w14:textId="77777777" w:rsidR="009B271A" w:rsidRPr="009B271A" w:rsidRDefault="009B271A" w:rsidP="00953863">
      <w:pPr>
        <w:autoSpaceDE w:val="0"/>
        <w:autoSpaceDN w:val="0"/>
        <w:adjustRightInd w:val="0"/>
        <w:spacing w:line="480" w:lineRule="auto"/>
        <w:jc w:val="both"/>
        <w:rPr>
          <w:b/>
          <w:bCs/>
          <w:lang w:val="en-GB"/>
        </w:rPr>
      </w:pPr>
      <w:proofErr w:type="gramStart"/>
      <w:r w:rsidRPr="009B271A">
        <w:rPr>
          <w:b/>
          <w:bCs/>
          <w:lang w:val="en-GB"/>
        </w:rPr>
        <w:t>Condonation :</w:t>
      </w:r>
      <w:proofErr w:type="gramEnd"/>
      <w:r w:rsidRPr="009B271A">
        <w:rPr>
          <w:b/>
          <w:bCs/>
          <w:lang w:val="en-GB"/>
        </w:rPr>
        <w:t xml:space="preserve"> Institution of Legal Proceedings Against Certain Organs of State Act 40 of 2002</w:t>
      </w:r>
    </w:p>
    <w:p w14:paraId="1022CF90" w14:textId="77777777" w:rsidR="009B271A" w:rsidRDefault="009B271A" w:rsidP="00953863">
      <w:pPr>
        <w:autoSpaceDE w:val="0"/>
        <w:autoSpaceDN w:val="0"/>
        <w:adjustRightInd w:val="0"/>
        <w:spacing w:line="480" w:lineRule="auto"/>
        <w:jc w:val="both"/>
        <w:rPr>
          <w:lang w:val="en-GB"/>
        </w:rPr>
      </w:pPr>
    </w:p>
    <w:p w14:paraId="608B1D67" w14:textId="16712A1C" w:rsidR="009B271A" w:rsidRDefault="009B271A" w:rsidP="00953863">
      <w:pPr>
        <w:autoSpaceDE w:val="0"/>
        <w:autoSpaceDN w:val="0"/>
        <w:adjustRightInd w:val="0"/>
        <w:spacing w:line="480" w:lineRule="auto"/>
        <w:jc w:val="both"/>
        <w:rPr>
          <w:lang w:val="en-GB"/>
        </w:rPr>
      </w:pPr>
      <w:r>
        <w:rPr>
          <w:lang w:val="en-GB"/>
        </w:rPr>
        <w:t>[</w:t>
      </w:r>
      <w:r w:rsidR="009A073B">
        <w:rPr>
          <w:lang w:val="en-GB"/>
        </w:rPr>
        <w:t>22</w:t>
      </w:r>
      <w:r>
        <w:rPr>
          <w:lang w:val="en-GB"/>
        </w:rPr>
        <w:t>]</w:t>
      </w:r>
      <w:r>
        <w:rPr>
          <w:lang w:val="en-GB"/>
        </w:rPr>
        <w:tab/>
        <w:t xml:space="preserve">As indicated above the application for condonation that was initially launched was ultimately referred for trial. It is </w:t>
      </w:r>
      <w:r w:rsidR="009A073B">
        <w:rPr>
          <w:lang w:val="en-GB"/>
        </w:rPr>
        <w:t>also</w:t>
      </w:r>
      <w:r>
        <w:rPr>
          <w:lang w:val="en-GB"/>
        </w:rPr>
        <w:t xml:space="preserve"> before me for determination and I proceed to do so.</w:t>
      </w:r>
    </w:p>
    <w:p w14:paraId="4CA7D635" w14:textId="77777777" w:rsidR="009B271A" w:rsidRDefault="009B271A" w:rsidP="00953863">
      <w:pPr>
        <w:autoSpaceDE w:val="0"/>
        <w:autoSpaceDN w:val="0"/>
        <w:adjustRightInd w:val="0"/>
        <w:spacing w:line="480" w:lineRule="auto"/>
        <w:jc w:val="both"/>
        <w:rPr>
          <w:lang w:val="en-GB"/>
        </w:rPr>
      </w:pPr>
    </w:p>
    <w:p w14:paraId="28D98FA8" w14:textId="258324F5" w:rsidR="00266D1E" w:rsidRDefault="009B271A" w:rsidP="00953863">
      <w:pPr>
        <w:autoSpaceDE w:val="0"/>
        <w:autoSpaceDN w:val="0"/>
        <w:adjustRightInd w:val="0"/>
        <w:spacing w:line="480" w:lineRule="auto"/>
        <w:jc w:val="both"/>
        <w:rPr>
          <w:lang w:val="en-US"/>
        </w:rPr>
      </w:pPr>
      <w:r>
        <w:rPr>
          <w:lang w:val="en-GB"/>
        </w:rPr>
        <w:t>[</w:t>
      </w:r>
      <w:r w:rsidR="009A073B">
        <w:rPr>
          <w:lang w:val="en-GB"/>
        </w:rPr>
        <w:t>23</w:t>
      </w:r>
      <w:r>
        <w:rPr>
          <w:lang w:val="en-GB"/>
        </w:rPr>
        <w:t>]</w:t>
      </w:r>
      <w:r>
        <w:rPr>
          <w:lang w:val="en-GB"/>
        </w:rPr>
        <w:tab/>
        <w:t>The prayers in the notice of motion have been formulated as follows:</w:t>
      </w:r>
      <w:r w:rsidR="00266D1E" w:rsidRPr="00266D1E">
        <w:rPr>
          <w:lang w:val="en-US"/>
        </w:rPr>
        <w:t xml:space="preserve"> </w:t>
      </w:r>
    </w:p>
    <w:p w14:paraId="7ABA860F" w14:textId="77777777" w:rsidR="00266D1E" w:rsidRPr="00266D1E" w:rsidRDefault="00266D1E" w:rsidP="00953863">
      <w:pPr>
        <w:autoSpaceDE w:val="0"/>
        <w:autoSpaceDN w:val="0"/>
        <w:adjustRightInd w:val="0"/>
        <w:spacing w:line="480" w:lineRule="auto"/>
        <w:jc w:val="both"/>
        <w:rPr>
          <w:i/>
          <w:iCs/>
          <w:sz w:val="21"/>
          <w:szCs w:val="21"/>
          <w:lang w:val="en-US"/>
        </w:rPr>
      </w:pPr>
    </w:p>
    <w:p w14:paraId="07E680CA" w14:textId="4CF07B5B" w:rsidR="00266D1E" w:rsidRPr="00266D1E" w:rsidRDefault="00266D1E" w:rsidP="00953863">
      <w:pPr>
        <w:autoSpaceDE w:val="0"/>
        <w:autoSpaceDN w:val="0"/>
        <w:adjustRightInd w:val="0"/>
        <w:spacing w:line="480" w:lineRule="auto"/>
        <w:ind w:left="1440" w:hanging="720"/>
        <w:jc w:val="both"/>
        <w:rPr>
          <w:i/>
          <w:iCs/>
          <w:sz w:val="21"/>
          <w:szCs w:val="21"/>
          <w:lang w:val="en-US"/>
        </w:rPr>
      </w:pPr>
      <w:r w:rsidRPr="00266D1E">
        <w:rPr>
          <w:i/>
          <w:iCs/>
          <w:sz w:val="21"/>
          <w:szCs w:val="21"/>
          <w:lang w:val="en-US"/>
        </w:rPr>
        <w:t xml:space="preserve">‘1. </w:t>
      </w:r>
      <w:r>
        <w:rPr>
          <w:i/>
          <w:iCs/>
          <w:sz w:val="21"/>
          <w:szCs w:val="21"/>
          <w:lang w:val="en-US"/>
        </w:rPr>
        <w:tab/>
      </w:r>
      <w:r w:rsidRPr="00266D1E">
        <w:rPr>
          <w:i/>
          <w:iCs/>
          <w:sz w:val="21"/>
          <w:szCs w:val="21"/>
          <w:lang w:val="en-US"/>
        </w:rPr>
        <w:t>That the late service of Section 3 statutory notice to the Superintendent General of the Department of Education prior to the institution of action against the respondent be and is hereby condoned.</w:t>
      </w:r>
    </w:p>
    <w:p w14:paraId="396534FE" w14:textId="77777777" w:rsidR="00266D1E" w:rsidRPr="00266D1E" w:rsidRDefault="00266D1E" w:rsidP="00953863">
      <w:pPr>
        <w:autoSpaceDE w:val="0"/>
        <w:autoSpaceDN w:val="0"/>
        <w:adjustRightInd w:val="0"/>
        <w:spacing w:line="480" w:lineRule="auto"/>
        <w:jc w:val="both"/>
        <w:rPr>
          <w:i/>
          <w:iCs/>
          <w:sz w:val="21"/>
          <w:szCs w:val="21"/>
          <w:lang w:val="en-US"/>
        </w:rPr>
      </w:pPr>
    </w:p>
    <w:p w14:paraId="56F91CFD" w14:textId="5FA79FEC" w:rsidR="00266D1E" w:rsidRPr="00266D1E" w:rsidRDefault="00266D1E" w:rsidP="00953863">
      <w:pPr>
        <w:autoSpaceDE w:val="0"/>
        <w:autoSpaceDN w:val="0"/>
        <w:adjustRightInd w:val="0"/>
        <w:spacing w:line="480" w:lineRule="auto"/>
        <w:ind w:left="1440" w:hanging="720"/>
        <w:jc w:val="both"/>
        <w:rPr>
          <w:i/>
          <w:iCs/>
          <w:sz w:val="21"/>
          <w:szCs w:val="21"/>
          <w:lang w:val="en-US"/>
        </w:rPr>
      </w:pPr>
      <w:r w:rsidRPr="00266D1E">
        <w:rPr>
          <w:i/>
          <w:iCs/>
          <w:sz w:val="21"/>
          <w:szCs w:val="21"/>
          <w:lang w:val="en-US"/>
        </w:rPr>
        <w:t xml:space="preserve">2. </w:t>
      </w:r>
      <w:r>
        <w:rPr>
          <w:i/>
          <w:iCs/>
          <w:sz w:val="21"/>
          <w:szCs w:val="21"/>
          <w:lang w:val="en-US"/>
        </w:rPr>
        <w:tab/>
      </w:r>
      <w:r w:rsidRPr="00266D1E">
        <w:rPr>
          <w:i/>
          <w:iCs/>
          <w:sz w:val="21"/>
          <w:szCs w:val="21"/>
          <w:lang w:val="en-US"/>
        </w:rPr>
        <w:t xml:space="preserve">That the applicant be granted leave to proceed with his action pending before this </w:t>
      </w:r>
      <w:proofErr w:type="spellStart"/>
      <w:r w:rsidRPr="00266D1E">
        <w:rPr>
          <w:i/>
          <w:iCs/>
          <w:sz w:val="21"/>
          <w:szCs w:val="21"/>
          <w:lang w:val="en-US"/>
        </w:rPr>
        <w:t>Honourable</w:t>
      </w:r>
      <w:proofErr w:type="spellEnd"/>
      <w:r w:rsidRPr="00266D1E">
        <w:rPr>
          <w:i/>
          <w:iCs/>
          <w:sz w:val="21"/>
          <w:szCs w:val="21"/>
          <w:lang w:val="en-US"/>
        </w:rPr>
        <w:t xml:space="preserve"> Court under Case No. 596/2021. </w:t>
      </w:r>
    </w:p>
    <w:p w14:paraId="1CC3EAF1" w14:textId="77777777" w:rsidR="00266D1E" w:rsidRPr="00266D1E" w:rsidRDefault="00266D1E" w:rsidP="00953863">
      <w:pPr>
        <w:autoSpaceDE w:val="0"/>
        <w:autoSpaceDN w:val="0"/>
        <w:adjustRightInd w:val="0"/>
        <w:spacing w:line="480" w:lineRule="auto"/>
        <w:jc w:val="both"/>
        <w:rPr>
          <w:i/>
          <w:iCs/>
          <w:sz w:val="21"/>
          <w:szCs w:val="21"/>
          <w:lang w:val="en-US"/>
        </w:rPr>
      </w:pPr>
    </w:p>
    <w:p w14:paraId="33F99D6A" w14:textId="77777777" w:rsidR="00266D1E" w:rsidRPr="00266D1E" w:rsidRDefault="00266D1E" w:rsidP="00953863">
      <w:pPr>
        <w:autoSpaceDE w:val="0"/>
        <w:autoSpaceDN w:val="0"/>
        <w:adjustRightInd w:val="0"/>
        <w:spacing w:line="480" w:lineRule="auto"/>
        <w:ind w:firstLine="720"/>
        <w:jc w:val="both"/>
        <w:rPr>
          <w:i/>
          <w:iCs/>
          <w:sz w:val="21"/>
          <w:szCs w:val="21"/>
          <w:lang w:val="en-US"/>
        </w:rPr>
      </w:pPr>
      <w:r w:rsidRPr="00266D1E">
        <w:rPr>
          <w:i/>
          <w:iCs/>
          <w:sz w:val="21"/>
          <w:szCs w:val="21"/>
          <w:lang w:val="en-US"/>
        </w:rPr>
        <w:t>3.</w:t>
      </w:r>
      <w:r w:rsidRPr="00266D1E">
        <w:rPr>
          <w:i/>
          <w:iCs/>
          <w:sz w:val="21"/>
          <w:szCs w:val="21"/>
          <w:lang w:val="en-US"/>
        </w:rPr>
        <w:tab/>
        <w:t xml:space="preserve">That the respondent be ordered to pay costs of this obligation. </w:t>
      </w:r>
    </w:p>
    <w:p w14:paraId="74744C33" w14:textId="77777777" w:rsidR="00266D1E" w:rsidRPr="00266D1E" w:rsidRDefault="00266D1E" w:rsidP="00953863">
      <w:pPr>
        <w:autoSpaceDE w:val="0"/>
        <w:autoSpaceDN w:val="0"/>
        <w:adjustRightInd w:val="0"/>
        <w:spacing w:line="480" w:lineRule="auto"/>
        <w:jc w:val="both"/>
        <w:rPr>
          <w:i/>
          <w:iCs/>
          <w:sz w:val="21"/>
          <w:szCs w:val="21"/>
          <w:lang w:val="en-US"/>
        </w:rPr>
      </w:pPr>
    </w:p>
    <w:p w14:paraId="07278F95" w14:textId="31D079B7" w:rsidR="009B271A" w:rsidRPr="00266D1E" w:rsidRDefault="00266D1E" w:rsidP="00953863">
      <w:pPr>
        <w:autoSpaceDE w:val="0"/>
        <w:autoSpaceDN w:val="0"/>
        <w:adjustRightInd w:val="0"/>
        <w:spacing w:line="480" w:lineRule="auto"/>
        <w:ind w:firstLine="720"/>
        <w:jc w:val="both"/>
        <w:rPr>
          <w:i/>
          <w:iCs/>
          <w:sz w:val="21"/>
          <w:szCs w:val="21"/>
          <w:lang w:val="en-GB"/>
        </w:rPr>
      </w:pPr>
      <w:r w:rsidRPr="00266D1E">
        <w:rPr>
          <w:i/>
          <w:iCs/>
          <w:sz w:val="21"/>
          <w:szCs w:val="21"/>
          <w:lang w:val="en-US"/>
        </w:rPr>
        <w:t>4.</w:t>
      </w:r>
      <w:r w:rsidRPr="00266D1E">
        <w:rPr>
          <w:i/>
          <w:iCs/>
          <w:sz w:val="21"/>
          <w:szCs w:val="21"/>
          <w:lang w:val="en-US"/>
        </w:rPr>
        <w:tab/>
        <w:t>That this Honorable Court grants such relief and all alternative relief.’</w:t>
      </w:r>
    </w:p>
    <w:p w14:paraId="2DE01A1A" w14:textId="77777777" w:rsidR="009B271A" w:rsidRDefault="009B271A" w:rsidP="00953863">
      <w:pPr>
        <w:autoSpaceDE w:val="0"/>
        <w:autoSpaceDN w:val="0"/>
        <w:adjustRightInd w:val="0"/>
        <w:spacing w:line="480" w:lineRule="auto"/>
        <w:jc w:val="both"/>
        <w:rPr>
          <w:lang w:val="en-GB"/>
        </w:rPr>
      </w:pPr>
    </w:p>
    <w:p w14:paraId="0907E914" w14:textId="54F9130F" w:rsidR="00642D78" w:rsidRPr="00642D78" w:rsidRDefault="00266D1E" w:rsidP="00953863">
      <w:pPr>
        <w:autoSpaceDE w:val="0"/>
        <w:autoSpaceDN w:val="0"/>
        <w:adjustRightInd w:val="0"/>
        <w:spacing w:line="480" w:lineRule="auto"/>
        <w:jc w:val="both"/>
        <w:rPr>
          <w:lang w:val="en-GB"/>
        </w:rPr>
      </w:pPr>
      <w:r>
        <w:rPr>
          <w:lang w:val="en-GB"/>
        </w:rPr>
        <w:lastRenderedPageBreak/>
        <w:t>[</w:t>
      </w:r>
      <w:r w:rsidR="009A073B">
        <w:rPr>
          <w:lang w:val="en-GB"/>
        </w:rPr>
        <w:t>24</w:t>
      </w:r>
      <w:r>
        <w:rPr>
          <w:lang w:val="en-GB"/>
        </w:rPr>
        <w:t>]</w:t>
      </w:r>
      <w:r>
        <w:rPr>
          <w:lang w:val="en-GB"/>
        </w:rPr>
        <w:tab/>
      </w:r>
      <w:r w:rsidR="00642D78" w:rsidRPr="00642D78">
        <w:rPr>
          <w:lang w:val="en-GB"/>
        </w:rPr>
        <w:t xml:space="preserve">It is </w:t>
      </w:r>
      <w:r w:rsidR="00642D78">
        <w:rPr>
          <w:lang w:val="en-GB"/>
        </w:rPr>
        <w:t>apposite</w:t>
      </w:r>
      <w:r w:rsidR="00642D78" w:rsidRPr="00642D78">
        <w:rPr>
          <w:lang w:val="en-GB"/>
        </w:rPr>
        <w:t xml:space="preserve"> to set out the relevant provisions of s</w:t>
      </w:r>
      <w:r w:rsidR="00642D78">
        <w:rPr>
          <w:lang w:val="en-GB"/>
        </w:rPr>
        <w:t>ection</w:t>
      </w:r>
      <w:r w:rsidR="00642D78" w:rsidRPr="00642D78">
        <w:rPr>
          <w:lang w:val="en-GB"/>
        </w:rPr>
        <w:t xml:space="preserve"> 3 of the Act in order to appreciate the point taken by the </w:t>
      </w:r>
      <w:r w:rsidR="00642D78">
        <w:rPr>
          <w:lang w:val="en-GB"/>
        </w:rPr>
        <w:t>Defenda</w:t>
      </w:r>
      <w:r w:rsidR="00642D78" w:rsidRPr="00642D78">
        <w:rPr>
          <w:lang w:val="en-GB"/>
        </w:rPr>
        <w:t xml:space="preserve">nt and the basis upon which condonation may be sought to overcome a failure to give notice. Section 3 reads:   </w:t>
      </w:r>
    </w:p>
    <w:p w14:paraId="0F856622" w14:textId="77777777" w:rsidR="00642D78" w:rsidRPr="006D5045" w:rsidRDefault="00642D78" w:rsidP="00953863">
      <w:pPr>
        <w:autoSpaceDE w:val="0"/>
        <w:autoSpaceDN w:val="0"/>
        <w:adjustRightInd w:val="0"/>
        <w:spacing w:line="480" w:lineRule="auto"/>
        <w:jc w:val="both"/>
        <w:rPr>
          <w:i/>
          <w:iCs/>
          <w:sz w:val="21"/>
          <w:szCs w:val="21"/>
          <w:lang w:val="en-GB"/>
        </w:rPr>
      </w:pPr>
    </w:p>
    <w:p w14:paraId="0BABCCDE" w14:textId="2585DD2E" w:rsidR="00642D78" w:rsidRPr="006D5045" w:rsidRDefault="00642D78" w:rsidP="00953863">
      <w:pPr>
        <w:autoSpaceDE w:val="0"/>
        <w:autoSpaceDN w:val="0"/>
        <w:adjustRightInd w:val="0"/>
        <w:spacing w:line="480" w:lineRule="auto"/>
        <w:ind w:left="1134" w:hanging="414"/>
        <w:jc w:val="both"/>
        <w:rPr>
          <w:i/>
          <w:iCs/>
          <w:sz w:val="21"/>
          <w:szCs w:val="21"/>
          <w:lang w:val="en-GB"/>
        </w:rPr>
      </w:pPr>
      <w:r w:rsidRPr="006D5045">
        <w:rPr>
          <w:i/>
          <w:iCs/>
          <w:sz w:val="21"/>
          <w:szCs w:val="21"/>
          <w:lang w:val="en-GB"/>
        </w:rPr>
        <w:t>'(1) No legal proceedings for the recovery of a debt may be instituted against an organ of state unless —</w:t>
      </w:r>
    </w:p>
    <w:p w14:paraId="58DF220F" w14:textId="77777777" w:rsidR="00642D78" w:rsidRPr="006D5045" w:rsidRDefault="00642D78" w:rsidP="00953863">
      <w:pPr>
        <w:autoSpaceDE w:val="0"/>
        <w:autoSpaceDN w:val="0"/>
        <w:adjustRightInd w:val="0"/>
        <w:spacing w:line="480" w:lineRule="auto"/>
        <w:jc w:val="both"/>
        <w:rPr>
          <w:i/>
          <w:iCs/>
          <w:sz w:val="21"/>
          <w:szCs w:val="21"/>
          <w:lang w:val="en-GB"/>
        </w:rPr>
      </w:pPr>
    </w:p>
    <w:p w14:paraId="11DFE9AA" w14:textId="0CD968AC" w:rsidR="00642D78" w:rsidRPr="00380EEB" w:rsidRDefault="00380EEB" w:rsidP="00380EEB">
      <w:pPr>
        <w:autoSpaceDE w:val="0"/>
        <w:autoSpaceDN w:val="0"/>
        <w:adjustRightInd w:val="0"/>
        <w:spacing w:line="480" w:lineRule="auto"/>
        <w:ind w:left="1494" w:hanging="360"/>
        <w:jc w:val="both"/>
        <w:rPr>
          <w:i/>
          <w:iCs/>
          <w:sz w:val="21"/>
          <w:szCs w:val="21"/>
          <w:lang w:val="en-GB"/>
        </w:rPr>
      </w:pPr>
      <w:r w:rsidRPr="006D5045">
        <w:rPr>
          <w:i/>
          <w:iCs/>
          <w:sz w:val="21"/>
          <w:szCs w:val="21"/>
          <w:lang w:val="en-GB"/>
        </w:rPr>
        <w:t>(a)</w:t>
      </w:r>
      <w:r w:rsidRPr="006D5045">
        <w:rPr>
          <w:i/>
          <w:iCs/>
          <w:sz w:val="21"/>
          <w:szCs w:val="21"/>
          <w:lang w:val="en-GB"/>
        </w:rPr>
        <w:tab/>
      </w:r>
      <w:r w:rsidR="00642D78" w:rsidRPr="00380EEB">
        <w:rPr>
          <w:i/>
          <w:iCs/>
          <w:sz w:val="21"/>
          <w:szCs w:val="21"/>
          <w:lang w:val="en-GB"/>
        </w:rPr>
        <w:t>the creditor has given the organ of state in question notice in writing of his or her or its intention to institute the legal proceedings in question; or</w:t>
      </w:r>
    </w:p>
    <w:p w14:paraId="5613E5F1" w14:textId="77777777" w:rsidR="00642D78" w:rsidRPr="006D5045" w:rsidRDefault="00642D78" w:rsidP="00953863">
      <w:pPr>
        <w:autoSpaceDE w:val="0"/>
        <w:autoSpaceDN w:val="0"/>
        <w:adjustRightInd w:val="0"/>
        <w:spacing w:line="480" w:lineRule="auto"/>
        <w:jc w:val="both"/>
        <w:rPr>
          <w:i/>
          <w:iCs/>
          <w:sz w:val="21"/>
          <w:szCs w:val="21"/>
          <w:lang w:val="en-GB"/>
        </w:rPr>
      </w:pPr>
    </w:p>
    <w:p w14:paraId="62282B86" w14:textId="0FF1E730" w:rsidR="00642D78" w:rsidRPr="00380EEB" w:rsidRDefault="00380EEB" w:rsidP="00380EEB">
      <w:pPr>
        <w:autoSpaceDE w:val="0"/>
        <w:autoSpaceDN w:val="0"/>
        <w:adjustRightInd w:val="0"/>
        <w:spacing w:line="480" w:lineRule="auto"/>
        <w:ind w:left="1494" w:hanging="360"/>
        <w:jc w:val="both"/>
        <w:rPr>
          <w:i/>
          <w:iCs/>
          <w:sz w:val="21"/>
          <w:szCs w:val="21"/>
          <w:lang w:val="en-GB"/>
        </w:rPr>
      </w:pPr>
      <w:r w:rsidRPr="006D5045">
        <w:rPr>
          <w:i/>
          <w:iCs/>
          <w:sz w:val="21"/>
          <w:szCs w:val="21"/>
          <w:lang w:val="en-GB"/>
        </w:rPr>
        <w:t>(b)</w:t>
      </w:r>
      <w:r w:rsidRPr="006D5045">
        <w:rPr>
          <w:i/>
          <w:iCs/>
          <w:sz w:val="21"/>
          <w:szCs w:val="21"/>
          <w:lang w:val="en-GB"/>
        </w:rPr>
        <w:tab/>
      </w:r>
      <w:r w:rsidR="00642D78" w:rsidRPr="00380EEB">
        <w:rPr>
          <w:i/>
          <w:iCs/>
          <w:sz w:val="21"/>
          <w:szCs w:val="21"/>
          <w:lang w:val="en-GB"/>
        </w:rPr>
        <w:t>the organ of state in question has consented in writing to the institution of that legal proceedings —</w:t>
      </w:r>
    </w:p>
    <w:p w14:paraId="3A1A9889" w14:textId="77777777" w:rsidR="00642D78" w:rsidRPr="006D5045" w:rsidRDefault="00642D78" w:rsidP="00953863">
      <w:pPr>
        <w:autoSpaceDE w:val="0"/>
        <w:autoSpaceDN w:val="0"/>
        <w:adjustRightInd w:val="0"/>
        <w:spacing w:line="480" w:lineRule="auto"/>
        <w:jc w:val="both"/>
        <w:rPr>
          <w:i/>
          <w:iCs/>
          <w:sz w:val="21"/>
          <w:szCs w:val="21"/>
          <w:lang w:val="en-GB"/>
        </w:rPr>
      </w:pPr>
    </w:p>
    <w:p w14:paraId="10D2A93B" w14:textId="44CABCDD" w:rsidR="00642D78" w:rsidRPr="00380EEB" w:rsidRDefault="00380EEB" w:rsidP="00380EEB">
      <w:pPr>
        <w:autoSpaceDE w:val="0"/>
        <w:autoSpaceDN w:val="0"/>
        <w:adjustRightInd w:val="0"/>
        <w:spacing w:line="480" w:lineRule="auto"/>
        <w:ind w:left="2160" w:hanging="720"/>
        <w:jc w:val="both"/>
        <w:rPr>
          <w:i/>
          <w:iCs/>
          <w:sz w:val="21"/>
          <w:szCs w:val="21"/>
          <w:lang w:val="en-GB"/>
        </w:rPr>
      </w:pPr>
      <w:r w:rsidRPr="006D5045">
        <w:rPr>
          <w:i/>
          <w:iCs/>
          <w:sz w:val="21"/>
          <w:szCs w:val="21"/>
          <w:lang w:val="en-GB"/>
        </w:rPr>
        <w:t>(</w:t>
      </w:r>
      <w:proofErr w:type="spellStart"/>
      <w:r w:rsidRPr="006D5045">
        <w:rPr>
          <w:i/>
          <w:iCs/>
          <w:sz w:val="21"/>
          <w:szCs w:val="21"/>
          <w:lang w:val="en-GB"/>
        </w:rPr>
        <w:t>i</w:t>
      </w:r>
      <w:proofErr w:type="spellEnd"/>
      <w:r w:rsidRPr="006D5045">
        <w:rPr>
          <w:i/>
          <w:iCs/>
          <w:sz w:val="21"/>
          <w:szCs w:val="21"/>
          <w:lang w:val="en-GB"/>
        </w:rPr>
        <w:t>)</w:t>
      </w:r>
      <w:r w:rsidRPr="006D5045">
        <w:rPr>
          <w:i/>
          <w:iCs/>
          <w:sz w:val="21"/>
          <w:szCs w:val="21"/>
          <w:lang w:val="en-GB"/>
        </w:rPr>
        <w:tab/>
      </w:r>
      <w:r w:rsidR="00642D78" w:rsidRPr="00380EEB">
        <w:rPr>
          <w:i/>
          <w:iCs/>
          <w:sz w:val="21"/>
          <w:szCs w:val="21"/>
          <w:lang w:val="en-GB"/>
        </w:rPr>
        <w:t>without such notice; or</w:t>
      </w:r>
    </w:p>
    <w:p w14:paraId="7CB2F500" w14:textId="77777777" w:rsidR="00642D78" w:rsidRPr="006D5045" w:rsidRDefault="00642D78" w:rsidP="00953863">
      <w:pPr>
        <w:autoSpaceDE w:val="0"/>
        <w:autoSpaceDN w:val="0"/>
        <w:adjustRightInd w:val="0"/>
        <w:spacing w:line="480" w:lineRule="auto"/>
        <w:jc w:val="both"/>
        <w:rPr>
          <w:i/>
          <w:iCs/>
          <w:sz w:val="21"/>
          <w:szCs w:val="21"/>
          <w:lang w:val="en-GB"/>
        </w:rPr>
      </w:pPr>
    </w:p>
    <w:p w14:paraId="2FFD1062" w14:textId="7AF43B86" w:rsidR="00642D78" w:rsidRPr="00380EEB" w:rsidRDefault="00380EEB" w:rsidP="00380EEB">
      <w:pPr>
        <w:autoSpaceDE w:val="0"/>
        <w:autoSpaceDN w:val="0"/>
        <w:adjustRightInd w:val="0"/>
        <w:spacing w:line="480" w:lineRule="auto"/>
        <w:ind w:left="2160" w:hanging="720"/>
        <w:jc w:val="both"/>
        <w:rPr>
          <w:i/>
          <w:iCs/>
          <w:sz w:val="21"/>
          <w:szCs w:val="21"/>
          <w:lang w:val="en-GB"/>
        </w:rPr>
      </w:pPr>
      <w:r w:rsidRPr="006D5045">
        <w:rPr>
          <w:i/>
          <w:iCs/>
          <w:sz w:val="21"/>
          <w:szCs w:val="21"/>
          <w:lang w:val="en-GB"/>
        </w:rPr>
        <w:t>(ii)</w:t>
      </w:r>
      <w:r w:rsidRPr="006D5045">
        <w:rPr>
          <w:i/>
          <w:iCs/>
          <w:sz w:val="21"/>
          <w:szCs w:val="21"/>
          <w:lang w:val="en-GB"/>
        </w:rPr>
        <w:tab/>
      </w:r>
      <w:r w:rsidR="00642D78" w:rsidRPr="00380EEB">
        <w:rPr>
          <w:i/>
          <w:iCs/>
          <w:sz w:val="21"/>
          <w:szCs w:val="21"/>
          <w:lang w:val="en-GB"/>
        </w:rPr>
        <w:t xml:space="preserve">upon receipt of a notice which does not comply with all the requirements set out in ss (2).  </w:t>
      </w:r>
    </w:p>
    <w:p w14:paraId="235AF503" w14:textId="4FD2E2B8" w:rsidR="00642D78" w:rsidRPr="006D5045" w:rsidRDefault="00642D78" w:rsidP="00953863">
      <w:pPr>
        <w:autoSpaceDE w:val="0"/>
        <w:autoSpaceDN w:val="0"/>
        <w:adjustRightInd w:val="0"/>
        <w:spacing w:line="480" w:lineRule="auto"/>
        <w:ind w:firstLine="720"/>
        <w:jc w:val="both"/>
        <w:rPr>
          <w:i/>
          <w:iCs/>
          <w:sz w:val="21"/>
          <w:szCs w:val="21"/>
          <w:lang w:val="en-GB"/>
        </w:rPr>
      </w:pPr>
      <w:r w:rsidRPr="006D5045">
        <w:rPr>
          <w:i/>
          <w:iCs/>
          <w:sz w:val="21"/>
          <w:szCs w:val="21"/>
          <w:lang w:val="en-GB"/>
        </w:rPr>
        <w:t>(2) A notice must —</w:t>
      </w:r>
    </w:p>
    <w:p w14:paraId="73763221" w14:textId="77777777" w:rsidR="00642D78" w:rsidRPr="006D5045" w:rsidRDefault="00642D78" w:rsidP="00953863">
      <w:pPr>
        <w:autoSpaceDE w:val="0"/>
        <w:autoSpaceDN w:val="0"/>
        <w:adjustRightInd w:val="0"/>
        <w:spacing w:line="480" w:lineRule="auto"/>
        <w:jc w:val="both"/>
        <w:rPr>
          <w:i/>
          <w:iCs/>
          <w:sz w:val="21"/>
          <w:szCs w:val="21"/>
          <w:lang w:val="en-GB"/>
        </w:rPr>
      </w:pPr>
    </w:p>
    <w:p w14:paraId="4FC6FD61" w14:textId="75661413" w:rsidR="00642D78" w:rsidRPr="00380EEB" w:rsidRDefault="00380EEB" w:rsidP="00380EEB">
      <w:pPr>
        <w:autoSpaceDE w:val="0"/>
        <w:autoSpaceDN w:val="0"/>
        <w:adjustRightInd w:val="0"/>
        <w:spacing w:line="480" w:lineRule="auto"/>
        <w:ind w:left="1800" w:hanging="360"/>
        <w:jc w:val="both"/>
        <w:rPr>
          <w:i/>
          <w:iCs/>
          <w:sz w:val="21"/>
          <w:szCs w:val="21"/>
          <w:lang w:val="en-GB"/>
        </w:rPr>
      </w:pPr>
      <w:r w:rsidRPr="006D5045">
        <w:rPr>
          <w:i/>
          <w:iCs/>
          <w:sz w:val="21"/>
          <w:szCs w:val="21"/>
          <w:lang w:val="en-GB"/>
        </w:rPr>
        <w:t>(a)</w:t>
      </w:r>
      <w:r w:rsidRPr="006D5045">
        <w:rPr>
          <w:i/>
          <w:iCs/>
          <w:sz w:val="21"/>
          <w:szCs w:val="21"/>
          <w:lang w:val="en-GB"/>
        </w:rPr>
        <w:tab/>
      </w:r>
      <w:r w:rsidR="00642D78" w:rsidRPr="00380EEB">
        <w:rPr>
          <w:i/>
          <w:iCs/>
          <w:sz w:val="21"/>
          <w:szCs w:val="21"/>
          <w:lang w:val="en-GB"/>
        </w:rPr>
        <w:t>within six months from the date on which the debt became due, be served on the organ of state in accordance with s 4(1); and</w:t>
      </w:r>
    </w:p>
    <w:p w14:paraId="1FF355E5" w14:textId="77777777" w:rsidR="00642D78" w:rsidRPr="006D5045" w:rsidRDefault="00642D78" w:rsidP="00953863">
      <w:pPr>
        <w:autoSpaceDE w:val="0"/>
        <w:autoSpaceDN w:val="0"/>
        <w:adjustRightInd w:val="0"/>
        <w:spacing w:line="480" w:lineRule="auto"/>
        <w:jc w:val="both"/>
        <w:rPr>
          <w:i/>
          <w:iCs/>
          <w:sz w:val="21"/>
          <w:szCs w:val="21"/>
          <w:lang w:val="en-GB"/>
        </w:rPr>
      </w:pPr>
    </w:p>
    <w:p w14:paraId="1FFA3C42" w14:textId="6D5A8F9B" w:rsidR="00642D78" w:rsidRPr="00380EEB" w:rsidRDefault="00380EEB" w:rsidP="00380EEB">
      <w:pPr>
        <w:autoSpaceDE w:val="0"/>
        <w:autoSpaceDN w:val="0"/>
        <w:adjustRightInd w:val="0"/>
        <w:spacing w:line="480" w:lineRule="auto"/>
        <w:ind w:left="1800" w:hanging="360"/>
        <w:jc w:val="both"/>
        <w:rPr>
          <w:i/>
          <w:iCs/>
          <w:sz w:val="21"/>
          <w:szCs w:val="21"/>
          <w:lang w:val="en-GB"/>
        </w:rPr>
      </w:pPr>
      <w:r w:rsidRPr="006D5045">
        <w:rPr>
          <w:i/>
          <w:iCs/>
          <w:sz w:val="21"/>
          <w:szCs w:val="21"/>
          <w:lang w:val="en-GB"/>
        </w:rPr>
        <w:t>(b)</w:t>
      </w:r>
      <w:r w:rsidRPr="006D5045">
        <w:rPr>
          <w:i/>
          <w:iCs/>
          <w:sz w:val="21"/>
          <w:szCs w:val="21"/>
          <w:lang w:val="en-GB"/>
        </w:rPr>
        <w:tab/>
      </w:r>
      <w:r w:rsidR="00642D78" w:rsidRPr="00380EEB">
        <w:rPr>
          <w:i/>
          <w:iCs/>
          <w:sz w:val="21"/>
          <w:szCs w:val="21"/>
          <w:lang w:val="en-GB"/>
        </w:rPr>
        <w:t>briefly set out —</w:t>
      </w:r>
    </w:p>
    <w:p w14:paraId="5DE6628D" w14:textId="77777777" w:rsidR="00642D78" w:rsidRPr="006D5045" w:rsidRDefault="00642D78" w:rsidP="00953863">
      <w:pPr>
        <w:autoSpaceDE w:val="0"/>
        <w:autoSpaceDN w:val="0"/>
        <w:adjustRightInd w:val="0"/>
        <w:spacing w:line="480" w:lineRule="auto"/>
        <w:jc w:val="both"/>
        <w:rPr>
          <w:i/>
          <w:iCs/>
          <w:sz w:val="21"/>
          <w:szCs w:val="21"/>
          <w:lang w:val="en-GB"/>
        </w:rPr>
      </w:pPr>
    </w:p>
    <w:p w14:paraId="73645043" w14:textId="63750344" w:rsidR="00642D78" w:rsidRPr="00380EEB" w:rsidRDefault="00380EEB" w:rsidP="00380EEB">
      <w:pPr>
        <w:autoSpaceDE w:val="0"/>
        <w:autoSpaceDN w:val="0"/>
        <w:adjustRightInd w:val="0"/>
        <w:spacing w:line="480" w:lineRule="auto"/>
        <w:ind w:left="2520" w:hanging="720"/>
        <w:jc w:val="both"/>
        <w:rPr>
          <w:i/>
          <w:iCs/>
          <w:sz w:val="21"/>
          <w:szCs w:val="21"/>
          <w:lang w:val="en-GB"/>
        </w:rPr>
      </w:pPr>
      <w:r w:rsidRPr="006D5045">
        <w:rPr>
          <w:i/>
          <w:iCs/>
          <w:sz w:val="21"/>
          <w:szCs w:val="21"/>
          <w:lang w:val="en-GB"/>
        </w:rPr>
        <w:t>(</w:t>
      </w:r>
      <w:proofErr w:type="spellStart"/>
      <w:r w:rsidRPr="006D5045">
        <w:rPr>
          <w:i/>
          <w:iCs/>
          <w:sz w:val="21"/>
          <w:szCs w:val="21"/>
          <w:lang w:val="en-GB"/>
        </w:rPr>
        <w:t>i</w:t>
      </w:r>
      <w:proofErr w:type="spellEnd"/>
      <w:r w:rsidRPr="006D5045">
        <w:rPr>
          <w:i/>
          <w:iCs/>
          <w:sz w:val="21"/>
          <w:szCs w:val="21"/>
          <w:lang w:val="en-GB"/>
        </w:rPr>
        <w:t>)</w:t>
      </w:r>
      <w:r w:rsidRPr="006D5045">
        <w:rPr>
          <w:i/>
          <w:iCs/>
          <w:sz w:val="21"/>
          <w:szCs w:val="21"/>
          <w:lang w:val="en-GB"/>
        </w:rPr>
        <w:tab/>
      </w:r>
      <w:r w:rsidR="00642D78" w:rsidRPr="00380EEB">
        <w:rPr>
          <w:i/>
          <w:iCs/>
          <w:sz w:val="21"/>
          <w:szCs w:val="21"/>
          <w:lang w:val="en-GB"/>
        </w:rPr>
        <w:t>the facts giving rise to the debt; and</w:t>
      </w:r>
    </w:p>
    <w:p w14:paraId="6A680A6E" w14:textId="77777777" w:rsidR="00642D78" w:rsidRPr="006D5045" w:rsidRDefault="00642D78" w:rsidP="00953863">
      <w:pPr>
        <w:autoSpaceDE w:val="0"/>
        <w:autoSpaceDN w:val="0"/>
        <w:adjustRightInd w:val="0"/>
        <w:spacing w:line="480" w:lineRule="auto"/>
        <w:jc w:val="both"/>
        <w:rPr>
          <w:i/>
          <w:iCs/>
          <w:sz w:val="21"/>
          <w:szCs w:val="21"/>
          <w:lang w:val="en-GB"/>
        </w:rPr>
      </w:pPr>
    </w:p>
    <w:p w14:paraId="24BC1485" w14:textId="4B74BC21" w:rsidR="00642D78" w:rsidRPr="00380EEB" w:rsidRDefault="00380EEB" w:rsidP="00380EEB">
      <w:pPr>
        <w:autoSpaceDE w:val="0"/>
        <w:autoSpaceDN w:val="0"/>
        <w:adjustRightInd w:val="0"/>
        <w:spacing w:line="480" w:lineRule="auto"/>
        <w:ind w:left="2520" w:hanging="720"/>
        <w:jc w:val="both"/>
        <w:rPr>
          <w:i/>
          <w:iCs/>
          <w:sz w:val="21"/>
          <w:szCs w:val="21"/>
          <w:lang w:val="en-GB"/>
        </w:rPr>
      </w:pPr>
      <w:r w:rsidRPr="006D5045">
        <w:rPr>
          <w:i/>
          <w:iCs/>
          <w:sz w:val="21"/>
          <w:szCs w:val="21"/>
          <w:lang w:val="en-GB"/>
        </w:rPr>
        <w:t>(ii)</w:t>
      </w:r>
      <w:r w:rsidRPr="006D5045">
        <w:rPr>
          <w:i/>
          <w:iCs/>
          <w:sz w:val="21"/>
          <w:szCs w:val="21"/>
          <w:lang w:val="en-GB"/>
        </w:rPr>
        <w:tab/>
      </w:r>
      <w:r w:rsidR="00642D78" w:rsidRPr="00380EEB">
        <w:rPr>
          <w:i/>
          <w:iCs/>
          <w:sz w:val="21"/>
          <w:szCs w:val="21"/>
          <w:lang w:val="en-GB"/>
        </w:rPr>
        <w:t>such particulars of such debt as are within the knowledge of the creditor.</w:t>
      </w:r>
    </w:p>
    <w:p w14:paraId="5E6BFCB8" w14:textId="77777777" w:rsidR="00642D78" w:rsidRPr="006D5045" w:rsidRDefault="00642D78" w:rsidP="00953863">
      <w:pPr>
        <w:autoSpaceDE w:val="0"/>
        <w:autoSpaceDN w:val="0"/>
        <w:adjustRightInd w:val="0"/>
        <w:spacing w:line="480" w:lineRule="auto"/>
        <w:jc w:val="both"/>
        <w:rPr>
          <w:i/>
          <w:iCs/>
          <w:sz w:val="21"/>
          <w:szCs w:val="21"/>
          <w:lang w:val="en-GB"/>
        </w:rPr>
      </w:pPr>
    </w:p>
    <w:p w14:paraId="6FCB06D7" w14:textId="77777777" w:rsidR="00642D78" w:rsidRPr="006D5045" w:rsidRDefault="00642D78" w:rsidP="00953863">
      <w:pPr>
        <w:autoSpaceDE w:val="0"/>
        <w:autoSpaceDN w:val="0"/>
        <w:adjustRightInd w:val="0"/>
        <w:spacing w:line="480" w:lineRule="auto"/>
        <w:ind w:firstLine="720"/>
        <w:jc w:val="both"/>
        <w:rPr>
          <w:i/>
          <w:iCs/>
          <w:sz w:val="21"/>
          <w:szCs w:val="21"/>
          <w:lang w:val="en-GB"/>
        </w:rPr>
      </w:pPr>
      <w:r w:rsidRPr="006D5045">
        <w:rPr>
          <w:i/>
          <w:iCs/>
          <w:sz w:val="21"/>
          <w:szCs w:val="21"/>
          <w:lang w:val="en-GB"/>
        </w:rPr>
        <w:t>(3) For purposes of subsection (2)(a) —</w:t>
      </w:r>
    </w:p>
    <w:p w14:paraId="5AD26ACD" w14:textId="77777777" w:rsidR="00642D78" w:rsidRPr="006D5045" w:rsidRDefault="00642D78" w:rsidP="00953863">
      <w:pPr>
        <w:autoSpaceDE w:val="0"/>
        <w:autoSpaceDN w:val="0"/>
        <w:adjustRightInd w:val="0"/>
        <w:spacing w:line="480" w:lineRule="auto"/>
        <w:jc w:val="both"/>
        <w:rPr>
          <w:i/>
          <w:iCs/>
          <w:sz w:val="21"/>
          <w:szCs w:val="21"/>
          <w:lang w:val="en-GB"/>
        </w:rPr>
      </w:pPr>
    </w:p>
    <w:p w14:paraId="3303E536" w14:textId="1FEBC3D2" w:rsidR="00642D78" w:rsidRPr="00380EEB" w:rsidRDefault="00380EEB" w:rsidP="00380EEB">
      <w:pPr>
        <w:autoSpaceDE w:val="0"/>
        <w:autoSpaceDN w:val="0"/>
        <w:adjustRightInd w:val="0"/>
        <w:spacing w:line="480" w:lineRule="auto"/>
        <w:ind w:left="1800" w:hanging="360"/>
        <w:jc w:val="both"/>
        <w:rPr>
          <w:i/>
          <w:iCs/>
          <w:sz w:val="21"/>
          <w:szCs w:val="21"/>
          <w:lang w:val="en-GB"/>
        </w:rPr>
      </w:pPr>
      <w:r w:rsidRPr="006D5045">
        <w:rPr>
          <w:i/>
          <w:iCs/>
          <w:sz w:val="21"/>
          <w:szCs w:val="21"/>
          <w:lang w:val="en-GB"/>
        </w:rPr>
        <w:t>(a)</w:t>
      </w:r>
      <w:r w:rsidRPr="006D5045">
        <w:rPr>
          <w:i/>
          <w:iCs/>
          <w:sz w:val="21"/>
          <w:szCs w:val="21"/>
          <w:lang w:val="en-GB"/>
        </w:rPr>
        <w:tab/>
      </w:r>
      <w:r w:rsidR="00642D78" w:rsidRPr="00380EEB">
        <w:rPr>
          <w:i/>
          <w:iCs/>
          <w:sz w:val="21"/>
          <w:szCs w:val="21"/>
          <w:lang w:val="en-GB"/>
        </w:rPr>
        <w:t>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14:paraId="377D2933" w14:textId="77777777" w:rsidR="00642D78" w:rsidRPr="006D5045" w:rsidRDefault="00642D78" w:rsidP="00953863">
      <w:pPr>
        <w:autoSpaceDE w:val="0"/>
        <w:autoSpaceDN w:val="0"/>
        <w:adjustRightInd w:val="0"/>
        <w:spacing w:line="480" w:lineRule="auto"/>
        <w:jc w:val="both"/>
        <w:rPr>
          <w:i/>
          <w:iCs/>
          <w:sz w:val="21"/>
          <w:szCs w:val="21"/>
          <w:lang w:val="en-GB"/>
        </w:rPr>
      </w:pPr>
    </w:p>
    <w:p w14:paraId="0C9135E6" w14:textId="7FA32F0B" w:rsidR="00642D78" w:rsidRPr="00380EEB" w:rsidRDefault="00380EEB" w:rsidP="00380EEB">
      <w:pPr>
        <w:autoSpaceDE w:val="0"/>
        <w:autoSpaceDN w:val="0"/>
        <w:adjustRightInd w:val="0"/>
        <w:spacing w:line="480" w:lineRule="auto"/>
        <w:ind w:left="1800" w:hanging="360"/>
        <w:jc w:val="both"/>
        <w:rPr>
          <w:i/>
          <w:iCs/>
          <w:sz w:val="21"/>
          <w:szCs w:val="21"/>
          <w:lang w:val="en-GB"/>
        </w:rPr>
      </w:pPr>
      <w:r w:rsidRPr="006D5045">
        <w:rPr>
          <w:i/>
          <w:iCs/>
          <w:sz w:val="21"/>
          <w:szCs w:val="21"/>
          <w:lang w:val="en-GB"/>
        </w:rPr>
        <w:t>(b)</w:t>
      </w:r>
      <w:r w:rsidRPr="006D5045">
        <w:rPr>
          <w:i/>
          <w:iCs/>
          <w:sz w:val="21"/>
          <w:szCs w:val="21"/>
          <w:lang w:val="en-GB"/>
        </w:rPr>
        <w:tab/>
      </w:r>
      <w:r w:rsidR="00642D78" w:rsidRPr="00380EEB">
        <w:rPr>
          <w:i/>
          <w:iCs/>
          <w:sz w:val="21"/>
          <w:szCs w:val="21"/>
          <w:lang w:val="en-GB"/>
        </w:rPr>
        <w:t>a debt referred to in s 2(2)(a), must be regarded as having become due on the fixed date.</w:t>
      </w:r>
    </w:p>
    <w:p w14:paraId="39CD8223" w14:textId="77777777" w:rsidR="00642D78" w:rsidRPr="006D5045" w:rsidRDefault="00642D78" w:rsidP="00953863">
      <w:pPr>
        <w:autoSpaceDE w:val="0"/>
        <w:autoSpaceDN w:val="0"/>
        <w:adjustRightInd w:val="0"/>
        <w:spacing w:line="480" w:lineRule="auto"/>
        <w:jc w:val="both"/>
        <w:rPr>
          <w:i/>
          <w:iCs/>
          <w:sz w:val="21"/>
          <w:szCs w:val="21"/>
          <w:lang w:val="en-GB"/>
        </w:rPr>
      </w:pPr>
    </w:p>
    <w:p w14:paraId="1C063A6E" w14:textId="3FFFB1ED" w:rsidR="00642D78" w:rsidRPr="006D5045" w:rsidRDefault="00642D78" w:rsidP="00953863">
      <w:pPr>
        <w:autoSpaceDE w:val="0"/>
        <w:autoSpaceDN w:val="0"/>
        <w:adjustRightInd w:val="0"/>
        <w:spacing w:line="480" w:lineRule="auto"/>
        <w:ind w:left="1418" w:hanging="698"/>
        <w:jc w:val="both"/>
        <w:rPr>
          <w:i/>
          <w:iCs/>
          <w:sz w:val="21"/>
          <w:szCs w:val="21"/>
          <w:lang w:val="en-GB"/>
        </w:rPr>
      </w:pPr>
      <w:r w:rsidRPr="006D5045">
        <w:rPr>
          <w:i/>
          <w:iCs/>
          <w:sz w:val="21"/>
          <w:szCs w:val="21"/>
          <w:lang w:val="en-GB"/>
        </w:rPr>
        <w:t>(4)</w:t>
      </w:r>
      <w:r w:rsidRPr="006D5045">
        <w:rPr>
          <w:i/>
          <w:iCs/>
          <w:sz w:val="21"/>
          <w:szCs w:val="21"/>
          <w:lang w:val="en-GB"/>
        </w:rPr>
        <w:tab/>
        <w:t>(a) If an organ of state relies on a creditor's failure to serve a notice in terms of ss (2)(a), the creditor may apply to a court having jurisdiction for condonation of such failure.</w:t>
      </w:r>
    </w:p>
    <w:p w14:paraId="35FC4CE7" w14:textId="77777777" w:rsidR="00642D78" w:rsidRPr="006D5045" w:rsidRDefault="00642D78" w:rsidP="00953863">
      <w:pPr>
        <w:autoSpaceDE w:val="0"/>
        <w:autoSpaceDN w:val="0"/>
        <w:adjustRightInd w:val="0"/>
        <w:spacing w:line="480" w:lineRule="auto"/>
        <w:jc w:val="both"/>
        <w:rPr>
          <w:i/>
          <w:iCs/>
          <w:sz w:val="21"/>
          <w:szCs w:val="21"/>
          <w:lang w:val="en-GB"/>
        </w:rPr>
      </w:pPr>
    </w:p>
    <w:p w14:paraId="2B1F0393" w14:textId="296189DA" w:rsidR="00642D78" w:rsidRPr="006D5045" w:rsidRDefault="00642D78" w:rsidP="00953863">
      <w:pPr>
        <w:autoSpaceDE w:val="0"/>
        <w:autoSpaceDN w:val="0"/>
        <w:adjustRightInd w:val="0"/>
        <w:spacing w:line="480" w:lineRule="auto"/>
        <w:ind w:left="1440"/>
        <w:jc w:val="both"/>
        <w:rPr>
          <w:i/>
          <w:iCs/>
          <w:sz w:val="21"/>
          <w:szCs w:val="21"/>
          <w:lang w:val="en-GB"/>
        </w:rPr>
      </w:pPr>
      <w:r w:rsidRPr="006D5045">
        <w:rPr>
          <w:i/>
          <w:iCs/>
          <w:sz w:val="21"/>
          <w:szCs w:val="21"/>
          <w:lang w:val="en-GB"/>
        </w:rPr>
        <w:t>(b) The court may grant an application referred to in para (a) if it is satisfied that —</w:t>
      </w:r>
    </w:p>
    <w:p w14:paraId="5FD8E715" w14:textId="77777777" w:rsidR="00642D78" w:rsidRPr="006D5045" w:rsidRDefault="00642D78" w:rsidP="00953863">
      <w:pPr>
        <w:autoSpaceDE w:val="0"/>
        <w:autoSpaceDN w:val="0"/>
        <w:adjustRightInd w:val="0"/>
        <w:spacing w:line="480" w:lineRule="auto"/>
        <w:jc w:val="both"/>
        <w:rPr>
          <w:i/>
          <w:iCs/>
          <w:sz w:val="21"/>
          <w:szCs w:val="21"/>
          <w:lang w:val="en-GB"/>
        </w:rPr>
      </w:pPr>
    </w:p>
    <w:p w14:paraId="0DBA8298" w14:textId="325C2B03" w:rsidR="00642D78" w:rsidRPr="00380EEB" w:rsidRDefault="00380EEB" w:rsidP="00380EEB">
      <w:pPr>
        <w:autoSpaceDE w:val="0"/>
        <w:autoSpaceDN w:val="0"/>
        <w:adjustRightInd w:val="0"/>
        <w:spacing w:line="480" w:lineRule="auto"/>
        <w:ind w:left="2160" w:hanging="720"/>
        <w:jc w:val="both"/>
        <w:rPr>
          <w:i/>
          <w:iCs/>
          <w:sz w:val="21"/>
          <w:szCs w:val="21"/>
          <w:lang w:val="en-GB"/>
        </w:rPr>
      </w:pPr>
      <w:r w:rsidRPr="006D5045">
        <w:rPr>
          <w:i/>
          <w:iCs/>
          <w:sz w:val="21"/>
          <w:szCs w:val="21"/>
          <w:lang w:val="en-GB"/>
        </w:rPr>
        <w:t>(</w:t>
      </w:r>
      <w:proofErr w:type="spellStart"/>
      <w:r w:rsidRPr="006D5045">
        <w:rPr>
          <w:i/>
          <w:iCs/>
          <w:sz w:val="21"/>
          <w:szCs w:val="21"/>
          <w:lang w:val="en-GB"/>
        </w:rPr>
        <w:t>i</w:t>
      </w:r>
      <w:proofErr w:type="spellEnd"/>
      <w:r w:rsidRPr="006D5045">
        <w:rPr>
          <w:i/>
          <w:iCs/>
          <w:sz w:val="21"/>
          <w:szCs w:val="21"/>
          <w:lang w:val="en-GB"/>
        </w:rPr>
        <w:t>)</w:t>
      </w:r>
      <w:r w:rsidRPr="006D5045">
        <w:rPr>
          <w:i/>
          <w:iCs/>
          <w:sz w:val="21"/>
          <w:szCs w:val="21"/>
          <w:lang w:val="en-GB"/>
        </w:rPr>
        <w:tab/>
      </w:r>
      <w:r w:rsidR="00642D78" w:rsidRPr="00380EEB">
        <w:rPr>
          <w:i/>
          <w:iCs/>
          <w:sz w:val="21"/>
          <w:szCs w:val="21"/>
          <w:lang w:val="en-GB"/>
        </w:rPr>
        <w:t>the debt has not been extinguished by prescription;</w:t>
      </w:r>
    </w:p>
    <w:p w14:paraId="4730C661" w14:textId="77777777" w:rsidR="00642D78" w:rsidRPr="006D5045" w:rsidRDefault="00642D78" w:rsidP="00953863">
      <w:pPr>
        <w:autoSpaceDE w:val="0"/>
        <w:autoSpaceDN w:val="0"/>
        <w:adjustRightInd w:val="0"/>
        <w:spacing w:line="480" w:lineRule="auto"/>
        <w:jc w:val="both"/>
        <w:rPr>
          <w:i/>
          <w:iCs/>
          <w:sz w:val="21"/>
          <w:szCs w:val="21"/>
          <w:lang w:val="en-GB"/>
        </w:rPr>
      </w:pPr>
    </w:p>
    <w:p w14:paraId="243174D5" w14:textId="0B8017BF" w:rsidR="00642D78" w:rsidRPr="00380EEB" w:rsidRDefault="00380EEB" w:rsidP="00380EEB">
      <w:pPr>
        <w:autoSpaceDE w:val="0"/>
        <w:autoSpaceDN w:val="0"/>
        <w:adjustRightInd w:val="0"/>
        <w:spacing w:line="480" w:lineRule="auto"/>
        <w:ind w:left="2160" w:hanging="720"/>
        <w:jc w:val="both"/>
        <w:rPr>
          <w:i/>
          <w:iCs/>
          <w:sz w:val="21"/>
          <w:szCs w:val="21"/>
          <w:lang w:val="en-GB"/>
        </w:rPr>
      </w:pPr>
      <w:r w:rsidRPr="006D5045">
        <w:rPr>
          <w:i/>
          <w:iCs/>
          <w:sz w:val="21"/>
          <w:szCs w:val="21"/>
          <w:lang w:val="en-GB"/>
        </w:rPr>
        <w:t>(ii)</w:t>
      </w:r>
      <w:r w:rsidRPr="006D5045">
        <w:rPr>
          <w:i/>
          <w:iCs/>
          <w:sz w:val="21"/>
          <w:szCs w:val="21"/>
          <w:lang w:val="en-GB"/>
        </w:rPr>
        <w:tab/>
      </w:r>
      <w:r w:rsidR="00642D78" w:rsidRPr="00380EEB">
        <w:rPr>
          <w:i/>
          <w:iCs/>
          <w:sz w:val="21"/>
          <w:szCs w:val="21"/>
          <w:lang w:val="en-GB"/>
        </w:rPr>
        <w:t>good cause exists for the failure by the creditor; and</w:t>
      </w:r>
    </w:p>
    <w:p w14:paraId="185BC2EF" w14:textId="77777777" w:rsidR="00642D78" w:rsidRPr="006D5045" w:rsidRDefault="00642D78" w:rsidP="00953863">
      <w:pPr>
        <w:autoSpaceDE w:val="0"/>
        <w:autoSpaceDN w:val="0"/>
        <w:adjustRightInd w:val="0"/>
        <w:spacing w:line="480" w:lineRule="auto"/>
        <w:jc w:val="both"/>
        <w:rPr>
          <w:i/>
          <w:iCs/>
          <w:sz w:val="21"/>
          <w:szCs w:val="21"/>
          <w:lang w:val="en-GB"/>
        </w:rPr>
      </w:pPr>
    </w:p>
    <w:p w14:paraId="4B67A3B7" w14:textId="0A26701C" w:rsidR="00642D78" w:rsidRPr="00380EEB" w:rsidRDefault="00380EEB" w:rsidP="00380EEB">
      <w:pPr>
        <w:autoSpaceDE w:val="0"/>
        <w:autoSpaceDN w:val="0"/>
        <w:adjustRightInd w:val="0"/>
        <w:spacing w:line="480" w:lineRule="auto"/>
        <w:ind w:left="2160" w:hanging="720"/>
        <w:jc w:val="both"/>
        <w:rPr>
          <w:i/>
          <w:iCs/>
          <w:sz w:val="21"/>
          <w:szCs w:val="21"/>
          <w:lang w:val="en-GB"/>
        </w:rPr>
      </w:pPr>
      <w:r w:rsidRPr="006D5045">
        <w:rPr>
          <w:i/>
          <w:iCs/>
          <w:sz w:val="21"/>
          <w:szCs w:val="21"/>
          <w:lang w:val="en-GB"/>
        </w:rPr>
        <w:t>(iii)</w:t>
      </w:r>
      <w:r w:rsidRPr="006D5045">
        <w:rPr>
          <w:i/>
          <w:iCs/>
          <w:sz w:val="21"/>
          <w:szCs w:val="21"/>
          <w:lang w:val="en-GB"/>
        </w:rPr>
        <w:tab/>
      </w:r>
      <w:r w:rsidR="00642D78" w:rsidRPr="00380EEB">
        <w:rPr>
          <w:i/>
          <w:iCs/>
          <w:sz w:val="21"/>
          <w:szCs w:val="21"/>
          <w:lang w:val="en-GB"/>
        </w:rPr>
        <w:t>the organ of state was not unreasonably prejudiced by the failure.’</w:t>
      </w:r>
    </w:p>
    <w:p w14:paraId="62007214" w14:textId="77777777" w:rsidR="00642D78" w:rsidRPr="00642D78" w:rsidRDefault="00642D78" w:rsidP="00953863">
      <w:pPr>
        <w:autoSpaceDE w:val="0"/>
        <w:autoSpaceDN w:val="0"/>
        <w:adjustRightInd w:val="0"/>
        <w:spacing w:line="480" w:lineRule="auto"/>
        <w:jc w:val="both"/>
        <w:rPr>
          <w:lang w:val="en-GB"/>
        </w:rPr>
      </w:pPr>
    </w:p>
    <w:p w14:paraId="1BA25C08" w14:textId="77777777" w:rsidR="009B271A" w:rsidRDefault="009B271A" w:rsidP="00953863">
      <w:pPr>
        <w:autoSpaceDE w:val="0"/>
        <w:autoSpaceDN w:val="0"/>
        <w:adjustRightInd w:val="0"/>
        <w:spacing w:line="480" w:lineRule="auto"/>
        <w:jc w:val="both"/>
        <w:rPr>
          <w:lang w:val="en-GB"/>
        </w:rPr>
      </w:pPr>
    </w:p>
    <w:p w14:paraId="33826B17" w14:textId="5958D977" w:rsidR="006D5045" w:rsidRDefault="006D5045" w:rsidP="00953863">
      <w:pPr>
        <w:autoSpaceDE w:val="0"/>
        <w:autoSpaceDN w:val="0"/>
        <w:adjustRightInd w:val="0"/>
        <w:spacing w:line="480" w:lineRule="auto"/>
        <w:jc w:val="both"/>
        <w:rPr>
          <w:lang w:val="en-GB"/>
        </w:rPr>
      </w:pPr>
      <w:r>
        <w:rPr>
          <w:lang w:val="en-GB"/>
        </w:rPr>
        <w:t>[</w:t>
      </w:r>
      <w:r w:rsidR="009A073B">
        <w:rPr>
          <w:lang w:val="en-GB"/>
        </w:rPr>
        <w:t>25</w:t>
      </w:r>
      <w:r>
        <w:rPr>
          <w:lang w:val="en-GB"/>
        </w:rPr>
        <w:t>]</w:t>
      </w:r>
      <w:r>
        <w:rPr>
          <w:lang w:val="en-GB"/>
        </w:rPr>
        <w:tab/>
        <w:t xml:space="preserve">It is common cause that the Defendant has not taken any issue about unreasonable prejudice he has suffered because of the failure to comply with the Act. </w:t>
      </w:r>
      <w:r>
        <w:rPr>
          <w:lang w:val="en-GB"/>
        </w:rPr>
        <w:lastRenderedPageBreak/>
        <w:t>The issue of prescription has already been dealt with above and the only issue remaining for determination is whether good cause exists for the failure to give notice within the prescribed time.</w:t>
      </w:r>
    </w:p>
    <w:p w14:paraId="686E08B3" w14:textId="77777777" w:rsidR="006D5045" w:rsidRDefault="006D5045" w:rsidP="00953863">
      <w:pPr>
        <w:autoSpaceDE w:val="0"/>
        <w:autoSpaceDN w:val="0"/>
        <w:adjustRightInd w:val="0"/>
        <w:spacing w:line="480" w:lineRule="auto"/>
        <w:jc w:val="both"/>
        <w:rPr>
          <w:lang w:val="en-GB"/>
        </w:rPr>
      </w:pPr>
    </w:p>
    <w:p w14:paraId="72F4D679" w14:textId="77777777" w:rsidR="00121184" w:rsidRDefault="006D5045" w:rsidP="00953863">
      <w:pPr>
        <w:autoSpaceDE w:val="0"/>
        <w:autoSpaceDN w:val="0"/>
        <w:adjustRightInd w:val="0"/>
        <w:spacing w:line="480" w:lineRule="auto"/>
        <w:jc w:val="both"/>
        <w:rPr>
          <w:lang w:val="en-GB"/>
        </w:rPr>
      </w:pPr>
      <w:r>
        <w:rPr>
          <w:lang w:val="en-GB"/>
        </w:rPr>
        <w:t>[</w:t>
      </w:r>
      <w:r w:rsidR="009A073B">
        <w:rPr>
          <w:lang w:val="en-GB"/>
        </w:rPr>
        <w:t>26</w:t>
      </w:r>
      <w:r>
        <w:rPr>
          <w:lang w:val="en-GB"/>
        </w:rPr>
        <w:t>]</w:t>
      </w:r>
      <w:r>
        <w:rPr>
          <w:lang w:val="en-GB"/>
        </w:rPr>
        <w:tab/>
        <w:t xml:space="preserve">The Plaintiff has dealt with </w:t>
      </w:r>
      <w:r w:rsidR="006048E0">
        <w:rPr>
          <w:lang w:val="en-GB"/>
        </w:rPr>
        <w:t xml:space="preserve">good </w:t>
      </w:r>
      <w:r>
        <w:rPr>
          <w:lang w:val="en-GB"/>
        </w:rPr>
        <w:t>cause in paragraph</w:t>
      </w:r>
      <w:r w:rsidR="006048E0">
        <w:rPr>
          <w:lang w:val="en-GB"/>
        </w:rPr>
        <w:t>s</w:t>
      </w:r>
      <w:r>
        <w:rPr>
          <w:lang w:val="en-GB"/>
        </w:rPr>
        <w:t xml:space="preserve"> </w:t>
      </w:r>
      <w:r w:rsidR="006048E0">
        <w:rPr>
          <w:lang w:val="en-GB"/>
        </w:rPr>
        <w:t xml:space="preserve">37 to 45 of his founding affidavit and in summary he re-iterates that his cause of action became complete when he received Ms </w:t>
      </w:r>
      <w:proofErr w:type="spellStart"/>
      <w:r w:rsidR="006048E0">
        <w:rPr>
          <w:lang w:val="en-GB"/>
        </w:rPr>
        <w:t>Nomqupho’s</w:t>
      </w:r>
      <w:proofErr w:type="spellEnd"/>
      <w:r w:rsidR="006048E0">
        <w:rPr>
          <w:lang w:val="en-GB"/>
        </w:rPr>
        <w:t xml:space="preserve"> statement confirming that she is the one who forged the signature. The Defendant has dealt with the Plaintiff’s averments in his answering affidavit contending that the latter </w:t>
      </w:r>
      <w:r w:rsidR="009A073B">
        <w:rPr>
          <w:lang w:val="en-GB"/>
        </w:rPr>
        <w:t>should be</w:t>
      </w:r>
      <w:r w:rsidR="006048E0">
        <w:rPr>
          <w:lang w:val="en-GB"/>
        </w:rPr>
        <w:t xml:space="preserve"> deemed to have acquired knowledge </w:t>
      </w:r>
      <w:r w:rsidR="00C52C86">
        <w:rPr>
          <w:lang w:val="en-GB"/>
        </w:rPr>
        <w:t xml:space="preserve">as he could gave acquired it by exercising reasonable care as envisaged in section 12(3) of the </w:t>
      </w:r>
      <w:proofErr w:type="spellStart"/>
      <w:r w:rsidR="00C52C86">
        <w:rPr>
          <w:lang w:val="en-GB"/>
        </w:rPr>
        <w:t>Presciption</w:t>
      </w:r>
      <w:proofErr w:type="spellEnd"/>
      <w:r w:rsidR="00C52C86">
        <w:rPr>
          <w:lang w:val="en-GB"/>
        </w:rPr>
        <w:t xml:space="preserve"> Act. </w:t>
      </w:r>
      <w:r w:rsidR="00121184" w:rsidRPr="00121184">
        <w:rPr>
          <w:i/>
          <w:iCs/>
          <w:lang w:val="en-GB"/>
        </w:rPr>
        <w:t>Mr Malunga</w:t>
      </w:r>
      <w:r w:rsidR="00121184">
        <w:rPr>
          <w:lang w:val="en-GB"/>
        </w:rPr>
        <w:t xml:space="preserve"> argued on behalf of t</w:t>
      </w:r>
      <w:r w:rsidR="00C52C86">
        <w:rPr>
          <w:lang w:val="en-GB"/>
        </w:rPr>
        <w:t xml:space="preserve">he Defendant that the mere fact that the Plaintiff laid a criminal charge with the SAPS on 26 August 2018 after realizing that the appointment has been made notwithstanding the fact that he withdrew his name as one of the </w:t>
      </w:r>
      <w:proofErr w:type="spellStart"/>
      <w:r w:rsidR="00C52C86">
        <w:rPr>
          <w:lang w:val="en-GB"/>
        </w:rPr>
        <w:t>panelists</w:t>
      </w:r>
      <w:proofErr w:type="spellEnd"/>
      <w:r w:rsidR="008F1F7C">
        <w:rPr>
          <w:lang w:val="en-GB"/>
        </w:rPr>
        <w:t>,</w:t>
      </w:r>
      <w:r w:rsidR="009A073B">
        <w:rPr>
          <w:lang w:val="en-GB"/>
        </w:rPr>
        <w:t xml:space="preserve"> should have completed his cause of action</w:t>
      </w:r>
      <w:r w:rsidR="00C52C86">
        <w:rPr>
          <w:lang w:val="en-GB"/>
        </w:rPr>
        <w:t xml:space="preserve">. </w:t>
      </w:r>
      <w:r w:rsidR="008F1F7C">
        <w:rPr>
          <w:lang w:val="en-GB"/>
        </w:rPr>
        <w:t xml:space="preserve">I disagree. </w:t>
      </w:r>
      <w:r w:rsidR="00C52C86">
        <w:rPr>
          <w:lang w:val="en-GB"/>
        </w:rPr>
        <w:t>With respect, this contention is not sustainable as it fails to differentiate between the criminal charge laid on the basis of the suspicion the Plaintiff harboured in August 2018 and the disclosure that the Plaintiff received from the SAPS</w:t>
      </w:r>
      <w:r w:rsidR="00B242AB">
        <w:rPr>
          <w:lang w:val="en-GB"/>
        </w:rPr>
        <w:t xml:space="preserve"> (through the contents of the docket)</w:t>
      </w:r>
      <w:r w:rsidR="00C52C86">
        <w:rPr>
          <w:lang w:val="en-GB"/>
        </w:rPr>
        <w:t xml:space="preserve"> on 10 November 2020 that the person who forged his signature was Ms </w:t>
      </w:r>
      <w:proofErr w:type="spellStart"/>
      <w:r w:rsidR="00C52C86">
        <w:rPr>
          <w:lang w:val="en-GB"/>
        </w:rPr>
        <w:t>Nomqupho</w:t>
      </w:r>
      <w:proofErr w:type="spellEnd"/>
      <w:r w:rsidR="00C52C86">
        <w:rPr>
          <w:lang w:val="en-GB"/>
        </w:rPr>
        <w:t xml:space="preserve">. </w:t>
      </w:r>
    </w:p>
    <w:p w14:paraId="42327BDE" w14:textId="77777777" w:rsidR="00121184" w:rsidRDefault="00121184" w:rsidP="00953863">
      <w:pPr>
        <w:autoSpaceDE w:val="0"/>
        <w:autoSpaceDN w:val="0"/>
        <w:adjustRightInd w:val="0"/>
        <w:spacing w:line="480" w:lineRule="auto"/>
        <w:jc w:val="both"/>
        <w:rPr>
          <w:lang w:val="en-GB"/>
        </w:rPr>
      </w:pPr>
    </w:p>
    <w:p w14:paraId="2E2657E5" w14:textId="04618A80" w:rsidR="00B242AB" w:rsidRPr="00242452" w:rsidRDefault="00121184" w:rsidP="00953863">
      <w:pPr>
        <w:autoSpaceDE w:val="0"/>
        <w:autoSpaceDN w:val="0"/>
        <w:adjustRightInd w:val="0"/>
        <w:spacing w:line="480" w:lineRule="auto"/>
        <w:jc w:val="both"/>
        <w:rPr>
          <w:lang w:val="en-GB"/>
        </w:rPr>
      </w:pPr>
      <w:r>
        <w:rPr>
          <w:lang w:val="en-GB"/>
        </w:rPr>
        <w:t>[2</w:t>
      </w:r>
      <w:r w:rsidR="004C3CA2">
        <w:rPr>
          <w:lang w:val="en-GB"/>
        </w:rPr>
        <w:t>7</w:t>
      </w:r>
      <w:r>
        <w:rPr>
          <w:lang w:val="en-GB"/>
        </w:rPr>
        <w:t>]</w:t>
      </w:r>
      <w:r>
        <w:rPr>
          <w:lang w:val="en-GB"/>
        </w:rPr>
        <w:tab/>
      </w:r>
      <w:r>
        <w:rPr>
          <w:i/>
          <w:iCs/>
          <w:lang w:val="en-GB"/>
        </w:rPr>
        <w:t xml:space="preserve">Mr Malunga </w:t>
      </w:r>
      <w:r>
        <w:rPr>
          <w:lang w:val="en-GB"/>
        </w:rPr>
        <w:t>further argued that the Plaintiff should have done more by requesting documentation</w:t>
      </w:r>
      <w:r w:rsidR="00242452">
        <w:rPr>
          <w:lang w:val="en-GB"/>
        </w:rPr>
        <w:t xml:space="preserve">. </w:t>
      </w:r>
      <w:r w:rsidR="00242452">
        <w:rPr>
          <w:i/>
          <w:iCs/>
          <w:lang w:val="en-GB"/>
        </w:rPr>
        <w:t xml:space="preserve">Mr </w:t>
      </w:r>
      <w:proofErr w:type="spellStart"/>
      <w:r w:rsidR="00242452">
        <w:rPr>
          <w:i/>
          <w:iCs/>
          <w:lang w:val="en-GB"/>
        </w:rPr>
        <w:t>Pangwa</w:t>
      </w:r>
      <w:proofErr w:type="spellEnd"/>
      <w:r w:rsidR="00242452">
        <w:rPr>
          <w:i/>
          <w:iCs/>
          <w:lang w:val="en-GB"/>
        </w:rPr>
        <w:t xml:space="preserve"> </w:t>
      </w:r>
      <w:r w:rsidR="00242452">
        <w:rPr>
          <w:lang w:val="en-GB"/>
        </w:rPr>
        <w:t>who appeared for the Plaintiff argued that it cannot be correct to say that the Plaintiff folded his arms and did nothing. He referred to annexure AA2 of the answering affidavit which reveals that the Plaintiff even wrote a letter on 22 February 2018 calling upon the Department ‘</w:t>
      </w:r>
      <w:r w:rsidR="00242452">
        <w:rPr>
          <w:i/>
          <w:iCs/>
          <w:lang w:val="en-GB"/>
        </w:rPr>
        <w:t xml:space="preserve">open another hearing or </w:t>
      </w:r>
      <w:r w:rsidR="00242452">
        <w:rPr>
          <w:i/>
          <w:iCs/>
          <w:lang w:val="en-GB"/>
        </w:rPr>
        <w:lastRenderedPageBreak/>
        <w:t xml:space="preserve">platform where the issue of misrepresentation is going to be probed’. </w:t>
      </w:r>
      <w:r w:rsidR="00242452">
        <w:rPr>
          <w:lang w:val="en-GB"/>
        </w:rPr>
        <w:t xml:space="preserve">Proper reading of the letter point to one direction, namely, that the </w:t>
      </w:r>
      <w:r w:rsidR="004C3CA2">
        <w:rPr>
          <w:lang w:val="en-GB"/>
        </w:rPr>
        <w:t xml:space="preserve">Plaintiff did not know the identity of the person who forged his signature and that he was calling for this issue to be probed further. </w:t>
      </w:r>
    </w:p>
    <w:p w14:paraId="6BBD570C" w14:textId="77777777" w:rsidR="00B242AB" w:rsidRDefault="00B242AB" w:rsidP="00953863">
      <w:pPr>
        <w:autoSpaceDE w:val="0"/>
        <w:autoSpaceDN w:val="0"/>
        <w:adjustRightInd w:val="0"/>
        <w:spacing w:line="480" w:lineRule="auto"/>
        <w:jc w:val="both"/>
        <w:rPr>
          <w:lang w:val="en-GB"/>
        </w:rPr>
      </w:pPr>
    </w:p>
    <w:p w14:paraId="36A64943" w14:textId="1BA433FC" w:rsidR="009B271A" w:rsidRDefault="00B242AB" w:rsidP="00953863">
      <w:pPr>
        <w:autoSpaceDE w:val="0"/>
        <w:autoSpaceDN w:val="0"/>
        <w:adjustRightInd w:val="0"/>
        <w:spacing w:line="480" w:lineRule="auto"/>
        <w:jc w:val="both"/>
        <w:rPr>
          <w:lang w:val="en-GB"/>
        </w:rPr>
      </w:pPr>
      <w:r>
        <w:rPr>
          <w:lang w:val="en-GB"/>
        </w:rPr>
        <w:t>[</w:t>
      </w:r>
      <w:r w:rsidR="00865C49">
        <w:rPr>
          <w:lang w:val="en-GB"/>
        </w:rPr>
        <w:t>2</w:t>
      </w:r>
      <w:r w:rsidR="004C3CA2">
        <w:rPr>
          <w:lang w:val="en-GB"/>
        </w:rPr>
        <w:t>8</w:t>
      </w:r>
      <w:r>
        <w:rPr>
          <w:lang w:val="en-GB"/>
        </w:rPr>
        <w:t>]</w:t>
      </w:r>
      <w:r>
        <w:rPr>
          <w:lang w:val="en-GB"/>
        </w:rPr>
        <w:tab/>
        <w:t xml:space="preserve">In the case of </w:t>
      </w:r>
      <w:r>
        <w:rPr>
          <w:b/>
          <w:bCs/>
          <w:lang w:val="en-GB"/>
        </w:rPr>
        <w:t>Premier of the Western Cape Provincial Government NO v Lakay</w:t>
      </w:r>
      <w:r>
        <w:rPr>
          <w:rStyle w:val="FootnoteReference"/>
          <w:b/>
          <w:bCs/>
          <w:lang w:val="en-GB"/>
        </w:rPr>
        <w:footnoteReference w:id="8"/>
      </w:r>
      <w:r w:rsidR="00C52C86">
        <w:rPr>
          <w:lang w:val="en-GB"/>
        </w:rPr>
        <w:t xml:space="preserve"> </w:t>
      </w:r>
      <w:r w:rsidR="00847D7C">
        <w:rPr>
          <w:lang w:val="en-GB"/>
        </w:rPr>
        <w:t>the Supreme Court of Appeal dealt with the issue of good cause as follows:</w:t>
      </w:r>
    </w:p>
    <w:p w14:paraId="58513F05" w14:textId="77777777" w:rsidR="00847D7C" w:rsidRPr="00847D7C" w:rsidRDefault="00847D7C" w:rsidP="00953863">
      <w:pPr>
        <w:autoSpaceDE w:val="0"/>
        <w:autoSpaceDN w:val="0"/>
        <w:adjustRightInd w:val="0"/>
        <w:spacing w:line="480" w:lineRule="auto"/>
        <w:jc w:val="both"/>
        <w:rPr>
          <w:i/>
          <w:iCs/>
          <w:lang w:val="en-GB"/>
        </w:rPr>
      </w:pPr>
    </w:p>
    <w:p w14:paraId="41E97344" w14:textId="59A08832" w:rsidR="00847D7C" w:rsidRPr="00847D7C" w:rsidRDefault="00847D7C" w:rsidP="00953863">
      <w:pPr>
        <w:autoSpaceDE w:val="0"/>
        <w:autoSpaceDN w:val="0"/>
        <w:adjustRightInd w:val="0"/>
        <w:spacing w:line="480" w:lineRule="auto"/>
        <w:ind w:left="720"/>
        <w:jc w:val="both"/>
        <w:rPr>
          <w:i/>
          <w:iCs/>
          <w:sz w:val="21"/>
          <w:szCs w:val="21"/>
          <w:lang w:val="en-GB"/>
        </w:rPr>
      </w:pPr>
      <w:r w:rsidRPr="00847D7C">
        <w:rPr>
          <w:i/>
          <w:iCs/>
          <w:sz w:val="21"/>
          <w:szCs w:val="21"/>
          <w:lang w:val="en-GB"/>
        </w:rPr>
        <w:t xml:space="preserve">‘[17] The second question on which a court must be satisfied is that 'good cause' exists for the failure by the creditor to give the notice. </w:t>
      </w:r>
      <w:r w:rsidRPr="00847D7C">
        <w:rPr>
          <w:i/>
          <w:iCs/>
          <w:sz w:val="21"/>
          <w:szCs w:val="21"/>
          <w:u w:val="single"/>
          <w:lang w:val="en-GB"/>
        </w:rPr>
        <w:t>The minimum requirement is that the applicant for condonation must furnish an explanation of the default sufficiently full to enable the court to understand how it really came about, and to assess his/her conduct and motives</w:t>
      </w:r>
      <w:r w:rsidRPr="00847D7C">
        <w:rPr>
          <w:i/>
          <w:iCs/>
          <w:sz w:val="21"/>
          <w:szCs w:val="21"/>
          <w:lang w:val="en-GB"/>
        </w:rPr>
        <w:t xml:space="preserve">: Silber v Ozen Wholesalers (Pty) Ltd 1954 (2) SA 345 (A) at 352H – 353A, quoted in the context of the 2002 Act in </w:t>
      </w:r>
      <w:proofErr w:type="spellStart"/>
      <w:r w:rsidRPr="00847D7C">
        <w:rPr>
          <w:i/>
          <w:iCs/>
          <w:sz w:val="21"/>
          <w:szCs w:val="21"/>
          <w:lang w:val="en-GB"/>
        </w:rPr>
        <w:t>Madinda's</w:t>
      </w:r>
      <w:proofErr w:type="spellEnd"/>
      <w:r w:rsidRPr="00847D7C">
        <w:rPr>
          <w:i/>
          <w:iCs/>
          <w:sz w:val="21"/>
          <w:szCs w:val="21"/>
          <w:lang w:val="en-GB"/>
        </w:rPr>
        <w:t xml:space="preserve"> case. Beyond that, each case must depend on its own facts. As Innes CJ said in Cohen Brothers v Samuels 1906 TS 221 at 224 (in the context of an application for leave to prosecute a lapsed appeal, but the remarks are equally appropriate to s 3(4)(b)(ii) of the 2002 Act):</w:t>
      </w:r>
    </w:p>
    <w:p w14:paraId="33F7C255" w14:textId="77777777" w:rsidR="00847D7C" w:rsidRPr="00847D7C" w:rsidRDefault="00847D7C" w:rsidP="00953863">
      <w:pPr>
        <w:autoSpaceDE w:val="0"/>
        <w:autoSpaceDN w:val="0"/>
        <w:adjustRightInd w:val="0"/>
        <w:spacing w:line="480" w:lineRule="auto"/>
        <w:jc w:val="both"/>
        <w:rPr>
          <w:i/>
          <w:iCs/>
          <w:sz w:val="20"/>
          <w:szCs w:val="20"/>
          <w:lang w:val="en-GB"/>
        </w:rPr>
      </w:pPr>
    </w:p>
    <w:p w14:paraId="4902E03A" w14:textId="6D6F8219" w:rsidR="00847D7C" w:rsidRDefault="00847D7C" w:rsidP="00953863">
      <w:pPr>
        <w:autoSpaceDE w:val="0"/>
        <w:autoSpaceDN w:val="0"/>
        <w:adjustRightInd w:val="0"/>
        <w:spacing w:line="480" w:lineRule="auto"/>
        <w:ind w:left="1440"/>
        <w:jc w:val="both"/>
        <w:rPr>
          <w:i/>
          <w:iCs/>
          <w:sz w:val="20"/>
          <w:szCs w:val="20"/>
          <w:lang w:val="en-GB"/>
        </w:rPr>
      </w:pPr>
      <w:r w:rsidRPr="00847D7C">
        <w:rPr>
          <w:i/>
          <w:iCs/>
          <w:sz w:val="20"/>
          <w:szCs w:val="20"/>
          <w:lang w:val="en-GB"/>
        </w:rPr>
        <w:t>'In the nature of things, it is hardly possible, and certainly undesirable, for the Court to attempt to [define good cause]. No general rule which the wit of man could devise would be likely to cover all the varying circumstances which may arise in applications of this nature. We can only deal with each application on its merits and decide in each case whether good cause has been shown.'</w:t>
      </w:r>
      <w:r>
        <w:rPr>
          <w:i/>
          <w:iCs/>
          <w:sz w:val="20"/>
          <w:szCs w:val="20"/>
          <w:lang w:val="en-GB"/>
        </w:rPr>
        <w:t xml:space="preserve"> (My underlining)</w:t>
      </w:r>
    </w:p>
    <w:p w14:paraId="26738C3F" w14:textId="77777777" w:rsidR="00847D7C" w:rsidRDefault="00847D7C" w:rsidP="00953863">
      <w:pPr>
        <w:autoSpaceDE w:val="0"/>
        <w:autoSpaceDN w:val="0"/>
        <w:adjustRightInd w:val="0"/>
        <w:spacing w:line="480" w:lineRule="auto"/>
        <w:jc w:val="both"/>
        <w:rPr>
          <w:i/>
          <w:iCs/>
          <w:sz w:val="20"/>
          <w:szCs w:val="20"/>
          <w:lang w:val="en-GB"/>
        </w:rPr>
      </w:pPr>
    </w:p>
    <w:p w14:paraId="77D65F6C" w14:textId="3B4E7F41" w:rsidR="007824BA" w:rsidRDefault="00847D7C" w:rsidP="00953863">
      <w:pPr>
        <w:autoSpaceDE w:val="0"/>
        <w:autoSpaceDN w:val="0"/>
        <w:adjustRightInd w:val="0"/>
        <w:spacing w:line="480" w:lineRule="auto"/>
        <w:jc w:val="both"/>
        <w:rPr>
          <w:lang w:val="en-GB"/>
        </w:rPr>
      </w:pPr>
      <w:r>
        <w:rPr>
          <w:lang w:val="en-GB"/>
        </w:rPr>
        <w:t>[</w:t>
      </w:r>
      <w:r w:rsidR="00865C49">
        <w:rPr>
          <w:lang w:val="en-GB"/>
        </w:rPr>
        <w:t>29</w:t>
      </w:r>
      <w:r>
        <w:rPr>
          <w:lang w:val="en-GB"/>
        </w:rPr>
        <w:t>]</w:t>
      </w:r>
      <w:r>
        <w:rPr>
          <w:lang w:val="en-GB"/>
        </w:rPr>
        <w:tab/>
      </w:r>
      <w:r w:rsidRPr="00847D7C">
        <w:rPr>
          <w:i/>
          <w:iCs/>
          <w:lang w:val="en-GB"/>
        </w:rPr>
        <w:t xml:space="preserve">In </w:t>
      </w:r>
      <w:proofErr w:type="spellStart"/>
      <w:r w:rsidRPr="00847D7C">
        <w:rPr>
          <w:i/>
          <w:iCs/>
          <w:lang w:val="en-GB"/>
        </w:rPr>
        <w:t>casu</w:t>
      </w:r>
      <w:proofErr w:type="spellEnd"/>
      <w:r>
        <w:rPr>
          <w:i/>
          <w:iCs/>
          <w:lang w:val="en-GB"/>
        </w:rPr>
        <w:t>,</w:t>
      </w:r>
      <w:r>
        <w:rPr>
          <w:lang w:val="en-GB"/>
        </w:rPr>
        <w:t xml:space="preserve"> I am satisfied that the Plaintiff has proffered a sufficient explanation that has enabled </w:t>
      </w:r>
      <w:r w:rsidR="00865C49">
        <w:rPr>
          <w:lang w:val="en-GB"/>
        </w:rPr>
        <w:t>me</w:t>
      </w:r>
      <w:r>
        <w:rPr>
          <w:lang w:val="en-GB"/>
        </w:rPr>
        <w:t xml:space="preserve"> to fully understand as to how the failure to give notice timeously </w:t>
      </w:r>
      <w:r>
        <w:rPr>
          <w:lang w:val="en-GB"/>
        </w:rPr>
        <w:lastRenderedPageBreak/>
        <w:t>came about.</w:t>
      </w:r>
      <w:r w:rsidR="007824BA">
        <w:rPr>
          <w:lang w:val="en-GB"/>
        </w:rPr>
        <w:t xml:space="preserve"> Accordingly</w:t>
      </w:r>
      <w:r w:rsidR="008F1F7C">
        <w:rPr>
          <w:lang w:val="en-GB"/>
        </w:rPr>
        <w:t>,</w:t>
      </w:r>
      <w:r w:rsidR="007824BA">
        <w:rPr>
          <w:lang w:val="en-GB"/>
        </w:rPr>
        <w:t xml:space="preserve"> I am satisfied that the Plaintiff has made out a proper case for the condonation sought.</w:t>
      </w:r>
    </w:p>
    <w:p w14:paraId="61181E6F" w14:textId="77777777" w:rsidR="007824BA" w:rsidRDefault="007824BA" w:rsidP="00953863">
      <w:pPr>
        <w:autoSpaceDE w:val="0"/>
        <w:autoSpaceDN w:val="0"/>
        <w:adjustRightInd w:val="0"/>
        <w:spacing w:line="480" w:lineRule="auto"/>
        <w:jc w:val="both"/>
        <w:rPr>
          <w:lang w:val="en-GB"/>
        </w:rPr>
      </w:pPr>
    </w:p>
    <w:p w14:paraId="4562C799" w14:textId="35828478" w:rsidR="007824BA" w:rsidRDefault="007824BA" w:rsidP="00953863">
      <w:pPr>
        <w:autoSpaceDE w:val="0"/>
        <w:autoSpaceDN w:val="0"/>
        <w:adjustRightInd w:val="0"/>
        <w:spacing w:line="480" w:lineRule="auto"/>
        <w:jc w:val="both"/>
        <w:rPr>
          <w:lang w:val="en-GB"/>
        </w:rPr>
      </w:pPr>
      <w:r>
        <w:rPr>
          <w:lang w:val="en-GB"/>
        </w:rPr>
        <w:t>[</w:t>
      </w:r>
      <w:r w:rsidR="00865C49">
        <w:rPr>
          <w:lang w:val="en-GB"/>
        </w:rPr>
        <w:t>30</w:t>
      </w:r>
      <w:r>
        <w:rPr>
          <w:lang w:val="en-GB"/>
        </w:rPr>
        <w:t>]</w:t>
      </w:r>
      <w:r>
        <w:rPr>
          <w:lang w:val="en-GB"/>
        </w:rPr>
        <w:tab/>
        <w:t>In the circumstances both special pleas should fail.</w:t>
      </w:r>
    </w:p>
    <w:p w14:paraId="0C2CF57C" w14:textId="77777777" w:rsidR="00865C49" w:rsidRDefault="00865C49" w:rsidP="00953863">
      <w:pPr>
        <w:autoSpaceDE w:val="0"/>
        <w:autoSpaceDN w:val="0"/>
        <w:adjustRightInd w:val="0"/>
        <w:spacing w:line="480" w:lineRule="auto"/>
        <w:jc w:val="both"/>
        <w:rPr>
          <w:b/>
          <w:bCs/>
          <w:lang w:val="en-GB"/>
        </w:rPr>
      </w:pPr>
    </w:p>
    <w:p w14:paraId="253CA0A3" w14:textId="00D5265A" w:rsidR="007824BA" w:rsidRPr="007824BA" w:rsidRDefault="007824BA" w:rsidP="00953863">
      <w:pPr>
        <w:autoSpaceDE w:val="0"/>
        <w:autoSpaceDN w:val="0"/>
        <w:adjustRightInd w:val="0"/>
        <w:spacing w:line="480" w:lineRule="auto"/>
        <w:jc w:val="both"/>
        <w:rPr>
          <w:b/>
          <w:bCs/>
          <w:lang w:val="en-GB"/>
        </w:rPr>
      </w:pPr>
      <w:r w:rsidRPr="007824BA">
        <w:rPr>
          <w:b/>
          <w:bCs/>
          <w:lang w:val="en-GB"/>
        </w:rPr>
        <w:t>Costs</w:t>
      </w:r>
    </w:p>
    <w:p w14:paraId="674F260C" w14:textId="77777777" w:rsidR="007824BA" w:rsidRDefault="007824BA" w:rsidP="00953863">
      <w:pPr>
        <w:autoSpaceDE w:val="0"/>
        <w:autoSpaceDN w:val="0"/>
        <w:adjustRightInd w:val="0"/>
        <w:spacing w:line="480" w:lineRule="auto"/>
        <w:jc w:val="both"/>
        <w:rPr>
          <w:lang w:val="en-GB"/>
        </w:rPr>
      </w:pPr>
    </w:p>
    <w:p w14:paraId="04FDE5FB" w14:textId="3254A68D" w:rsidR="007824BA" w:rsidRDefault="007824BA" w:rsidP="00953863">
      <w:pPr>
        <w:autoSpaceDE w:val="0"/>
        <w:autoSpaceDN w:val="0"/>
        <w:adjustRightInd w:val="0"/>
        <w:spacing w:line="480" w:lineRule="auto"/>
        <w:jc w:val="both"/>
        <w:rPr>
          <w:lang w:val="en-GB"/>
        </w:rPr>
      </w:pPr>
      <w:r>
        <w:rPr>
          <w:lang w:val="en-GB"/>
        </w:rPr>
        <w:t>[</w:t>
      </w:r>
      <w:r w:rsidR="00865C49">
        <w:rPr>
          <w:lang w:val="en-GB"/>
        </w:rPr>
        <w:t>31</w:t>
      </w:r>
      <w:r>
        <w:rPr>
          <w:lang w:val="en-GB"/>
        </w:rPr>
        <w:t>]</w:t>
      </w:r>
      <w:r>
        <w:rPr>
          <w:lang w:val="en-GB"/>
        </w:rPr>
        <w:tab/>
      </w:r>
      <w:r w:rsidRPr="007824BA">
        <w:rPr>
          <w:lang w:val="en-GB"/>
        </w:rPr>
        <w:t xml:space="preserve">The general rule is that costs should follow the result. This also applies to proceedings of this nature, especially where the </w:t>
      </w:r>
      <w:r>
        <w:rPr>
          <w:lang w:val="en-GB"/>
        </w:rPr>
        <w:t>Defenda</w:t>
      </w:r>
      <w:r w:rsidRPr="007824BA">
        <w:rPr>
          <w:lang w:val="en-GB"/>
        </w:rPr>
        <w:t>nt has opposed the application. I find no reason in the present case to depart from that principle</w:t>
      </w:r>
      <w:r w:rsidR="008F1F7C">
        <w:rPr>
          <w:lang w:val="en-GB"/>
        </w:rPr>
        <w:t xml:space="preserve"> and none was also given during argument.</w:t>
      </w:r>
    </w:p>
    <w:p w14:paraId="02BE4B8D" w14:textId="77777777" w:rsidR="007824BA" w:rsidRDefault="007824BA" w:rsidP="00953863">
      <w:pPr>
        <w:autoSpaceDE w:val="0"/>
        <w:autoSpaceDN w:val="0"/>
        <w:adjustRightInd w:val="0"/>
        <w:spacing w:line="480" w:lineRule="auto"/>
        <w:jc w:val="both"/>
        <w:rPr>
          <w:lang w:val="en-GB"/>
        </w:rPr>
      </w:pPr>
    </w:p>
    <w:p w14:paraId="130B2A3A" w14:textId="10F4185F" w:rsidR="007824BA" w:rsidRDefault="00A82739" w:rsidP="00953863">
      <w:pPr>
        <w:autoSpaceDE w:val="0"/>
        <w:autoSpaceDN w:val="0"/>
        <w:adjustRightInd w:val="0"/>
        <w:spacing w:line="480" w:lineRule="auto"/>
        <w:jc w:val="both"/>
        <w:rPr>
          <w:lang w:val="en-GB"/>
        </w:rPr>
      </w:pPr>
      <w:r>
        <w:rPr>
          <w:lang w:val="en-GB"/>
        </w:rPr>
        <w:t>In the result I make the following order:</w:t>
      </w:r>
    </w:p>
    <w:p w14:paraId="604D4CA9" w14:textId="77777777" w:rsidR="00A82739" w:rsidRDefault="00A82739" w:rsidP="00953863">
      <w:pPr>
        <w:autoSpaceDE w:val="0"/>
        <w:autoSpaceDN w:val="0"/>
        <w:adjustRightInd w:val="0"/>
        <w:spacing w:line="480" w:lineRule="auto"/>
        <w:jc w:val="both"/>
        <w:rPr>
          <w:lang w:val="en-GB"/>
        </w:rPr>
      </w:pPr>
    </w:p>
    <w:p w14:paraId="04A851E3" w14:textId="1B250545" w:rsidR="00A82739" w:rsidRPr="00380EEB" w:rsidRDefault="00380EEB" w:rsidP="00380EEB">
      <w:pPr>
        <w:autoSpaceDE w:val="0"/>
        <w:autoSpaceDN w:val="0"/>
        <w:adjustRightInd w:val="0"/>
        <w:spacing w:line="480" w:lineRule="auto"/>
        <w:ind w:left="720" w:hanging="360"/>
        <w:jc w:val="both"/>
        <w:rPr>
          <w:lang w:val="en-GB"/>
        </w:rPr>
      </w:pPr>
      <w:r>
        <w:rPr>
          <w:lang w:val="en-GB"/>
        </w:rPr>
        <w:t>1.</w:t>
      </w:r>
      <w:r>
        <w:rPr>
          <w:lang w:val="en-GB"/>
        </w:rPr>
        <w:tab/>
      </w:r>
      <w:r w:rsidR="00A82739" w:rsidRPr="00380EEB">
        <w:rPr>
          <w:lang w:val="en-GB"/>
        </w:rPr>
        <w:t>Both special pleas are hereby dismissed.</w:t>
      </w:r>
    </w:p>
    <w:p w14:paraId="405F05B6" w14:textId="08222BA1" w:rsidR="00A82739" w:rsidRPr="00380EEB" w:rsidRDefault="00380EEB" w:rsidP="00380EEB">
      <w:pPr>
        <w:autoSpaceDE w:val="0"/>
        <w:autoSpaceDN w:val="0"/>
        <w:adjustRightInd w:val="0"/>
        <w:spacing w:line="480" w:lineRule="auto"/>
        <w:ind w:left="720" w:hanging="360"/>
        <w:jc w:val="both"/>
        <w:rPr>
          <w:lang w:val="en-GB"/>
        </w:rPr>
      </w:pPr>
      <w:r>
        <w:rPr>
          <w:lang w:val="en-GB"/>
        </w:rPr>
        <w:t>2.</w:t>
      </w:r>
      <w:r>
        <w:rPr>
          <w:lang w:val="en-GB"/>
        </w:rPr>
        <w:tab/>
      </w:r>
      <w:r w:rsidR="00A82739" w:rsidRPr="00380EEB">
        <w:rPr>
          <w:lang w:val="en-GB"/>
        </w:rPr>
        <w:t>That the late service of the section 3 statutory notice as contemplated in Act 40 of 2002 be and is hereby condoned.</w:t>
      </w:r>
    </w:p>
    <w:p w14:paraId="0C0B74FE" w14:textId="08DC8991" w:rsidR="00A82739" w:rsidRPr="00380EEB" w:rsidRDefault="00380EEB" w:rsidP="00380EEB">
      <w:pPr>
        <w:autoSpaceDE w:val="0"/>
        <w:autoSpaceDN w:val="0"/>
        <w:adjustRightInd w:val="0"/>
        <w:spacing w:line="480" w:lineRule="auto"/>
        <w:ind w:left="720" w:hanging="360"/>
        <w:jc w:val="both"/>
        <w:rPr>
          <w:lang w:val="en-GB"/>
        </w:rPr>
      </w:pPr>
      <w:r>
        <w:rPr>
          <w:lang w:val="en-GB"/>
        </w:rPr>
        <w:t>3.</w:t>
      </w:r>
      <w:r>
        <w:rPr>
          <w:lang w:val="en-GB"/>
        </w:rPr>
        <w:tab/>
      </w:r>
      <w:r w:rsidR="00A82739" w:rsidRPr="00380EEB">
        <w:rPr>
          <w:lang w:val="en-GB"/>
        </w:rPr>
        <w:t xml:space="preserve">That the Plaintiff is </w:t>
      </w:r>
      <w:r w:rsidR="00953863" w:rsidRPr="00380EEB">
        <w:rPr>
          <w:lang w:val="en-GB"/>
        </w:rPr>
        <w:t xml:space="preserve">hereby </w:t>
      </w:r>
      <w:r w:rsidR="00A82739" w:rsidRPr="00380EEB">
        <w:rPr>
          <w:lang w:val="en-GB"/>
        </w:rPr>
        <w:t>granted leave to proceed with his main action.</w:t>
      </w:r>
    </w:p>
    <w:p w14:paraId="04FBF768" w14:textId="2C9DE9FF" w:rsidR="00A82739" w:rsidRPr="00380EEB" w:rsidRDefault="00380EEB" w:rsidP="00380EEB">
      <w:pPr>
        <w:autoSpaceDE w:val="0"/>
        <w:autoSpaceDN w:val="0"/>
        <w:adjustRightInd w:val="0"/>
        <w:spacing w:line="480" w:lineRule="auto"/>
        <w:ind w:left="720" w:hanging="360"/>
        <w:jc w:val="both"/>
        <w:rPr>
          <w:lang w:val="en-GB"/>
        </w:rPr>
      </w:pPr>
      <w:r>
        <w:rPr>
          <w:lang w:val="en-GB"/>
        </w:rPr>
        <w:t>4.</w:t>
      </w:r>
      <w:r>
        <w:rPr>
          <w:lang w:val="en-GB"/>
        </w:rPr>
        <w:tab/>
      </w:r>
      <w:r w:rsidR="00A82739" w:rsidRPr="00380EEB">
        <w:rPr>
          <w:lang w:val="en-GB"/>
        </w:rPr>
        <w:t>That the Defendant be and is hereby ordered to pay costs of the special pleas.</w:t>
      </w:r>
    </w:p>
    <w:p w14:paraId="782F5602" w14:textId="2C75C6D9" w:rsidR="00A82739" w:rsidRPr="00380EEB" w:rsidRDefault="00380EEB" w:rsidP="00380EEB">
      <w:pPr>
        <w:autoSpaceDE w:val="0"/>
        <w:autoSpaceDN w:val="0"/>
        <w:adjustRightInd w:val="0"/>
        <w:spacing w:line="480" w:lineRule="auto"/>
        <w:ind w:left="720" w:hanging="360"/>
        <w:jc w:val="both"/>
        <w:rPr>
          <w:lang w:val="en-GB"/>
        </w:rPr>
      </w:pPr>
      <w:r w:rsidRPr="00A82739">
        <w:rPr>
          <w:lang w:val="en-GB"/>
        </w:rPr>
        <w:t>5.</w:t>
      </w:r>
      <w:r w:rsidRPr="00A82739">
        <w:rPr>
          <w:lang w:val="en-GB"/>
        </w:rPr>
        <w:tab/>
      </w:r>
      <w:r w:rsidR="00A82739" w:rsidRPr="00380EEB">
        <w:rPr>
          <w:lang w:val="en-GB"/>
        </w:rPr>
        <w:t>That the Defendant (Respondent in the interlocutory application) be and is hereby ordered to pay costs of the application.</w:t>
      </w:r>
    </w:p>
    <w:p w14:paraId="262BFE8B" w14:textId="77777777" w:rsidR="007824BA" w:rsidRDefault="007824BA" w:rsidP="00953863">
      <w:pPr>
        <w:autoSpaceDE w:val="0"/>
        <w:autoSpaceDN w:val="0"/>
        <w:adjustRightInd w:val="0"/>
        <w:spacing w:line="480" w:lineRule="auto"/>
        <w:jc w:val="both"/>
        <w:rPr>
          <w:lang w:val="en-GB"/>
        </w:rPr>
      </w:pPr>
    </w:p>
    <w:p w14:paraId="3D0753BE" w14:textId="2E5FA43A" w:rsidR="00847D7C" w:rsidRPr="00847D7C" w:rsidRDefault="00847D7C" w:rsidP="00847D7C">
      <w:pPr>
        <w:autoSpaceDE w:val="0"/>
        <w:autoSpaceDN w:val="0"/>
        <w:adjustRightInd w:val="0"/>
        <w:jc w:val="both"/>
        <w:rPr>
          <w:lang w:val="en-GB"/>
        </w:rPr>
      </w:pPr>
      <w:r>
        <w:rPr>
          <w:lang w:val="en-GB"/>
        </w:rPr>
        <w:t xml:space="preserve"> </w:t>
      </w:r>
    </w:p>
    <w:p w14:paraId="363DCE68" w14:textId="2907081F"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42E338F0" w:rsidR="00D450B5" w:rsidRPr="00044B50" w:rsidRDefault="00590B62" w:rsidP="00CA056D">
      <w:pPr>
        <w:jc w:val="both"/>
        <w:rPr>
          <w:b/>
          <w:bCs/>
          <w:lang w:val="en-GB"/>
        </w:rPr>
      </w:pPr>
      <w:r>
        <w:rPr>
          <w:b/>
          <w:bCs/>
          <w:lang w:val="en-GB"/>
        </w:rPr>
        <w:t>H ZILWA</w:t>
      </w:r>
      <w:r w:rsidR="00D450B5" w:rsidRPr="00044B50">
        <w:rPr>
          <w:b/>
          <w:bCs/>
          <w:lang w:val="en-GB"/>
        </w:rPr>
        <w:t xml:space="preserve">                                                                                                                                                       </w:t>
      </w:r>
    </w:p>
    <w:p w14:paraId="14E92973" w14:textId="5313C2B9" w:rsidR="00D450B5" w:rsidRPr="00044B50" w:rsidRDefault="00D450B5" w:rsidP="00CA056D">
      <w:pPr>
        <w:jc w:val="both"/>
        <w:rPr>
          <w:b/>
          <w:bCs/>
          <w:lang w:val="en-GB"/>
        </w:rPr>
      </w:pPr>
      <w:r w:rsidRPr="00044B50">
        <w:rPr>
          <w:b/>
          <w:bCs/>
          <w:lang w:val="en-GB"/>
        </w:rPr>
        <w:t>JUDGE OF THE HIGH COURT</w:t>
      </w:r>
      <w:r w:rsidR="00A82739">
        <w:rPr>
          <w:b/>
          <w:bCs/>
          <w:lang w:val="en-GB"/>
        </w:rPr>
        <w:t xml:space="preserve"> (ACTING)</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2E4A4A8E" w14:textId="77777777" w:rsidR="00A82739" w:rsidRDefault="00A82739" w:rsidP="00A82739">
      <w:r w:rsidRPr="001A2F55">
        <w:t>Appearances:</w:t>
      </w:r>
    </w:p>
    <w:p w14:paraId="731B02D3" w14:textId="77777777" w:rsidR="00A82739" w:rsidRPr="001A2F55" w:rsidRDefault="00A82739" w:rsidP="00A82739"/>
    <w:p w14:paraId="6E483F4D" w14:textId="15AFB45C" w:rsidR="00A82739" w:rsidRDefault="00A82739" w:rsidP="00A82739">
      <w:r w:rsidRPr="001A2F55">
        <w:t xml:space="preserve">For </w:t>
      </w:r>
      <w:r>
        <w:t>Plaintiff</w:t>
      </w:r>
      <w:r>
        <w:tab/>
      </w:r>
      <w:r w:rsidR="001718BD">
        <w:tab/>
      </w:r>
      <w:r w:rsidRPr="001A2F55">
        <w:t>:</w:t>
      </w:r>
      <w:r w:rsidRPr="001A2F55">
        <w:tab/>
        <w:t xml:space="preserve">Adv </w:t>
      </w:r>
      <w:r w:rsidR="001718BD">
        <w:t>Malunga</w:t>
      </w:r>
      <w:r w:rsidRPr="001A2F55">
        <w:t xml:space="preserve"> </w:t>
      </w:r>
    </w:p>
    <w:p w14:paraId="16DA8AE7" w14:textId="77777777" w:rsidR="001718BD" w:rsidRDefault="001718BD" w:rsidP="001718BD">
      <w:pPr>
        <w:ind w:left="708"/>
      </w:pPr>
    </w:p>
    <w:p w14:paraId="64B16754" w14:textId="32068663" w:rsidR="00A82739" w:rsidRDefault="00A82739" w:rsidP="001718BD">
      <w:r>
        <w:t>I</w:t>
      </w:r>
      <w:r w:rsidRPr="001A2F55">
        <w:t>nstructed by</w:t>
      </w:r>
      <w:r w:rsidR="001718BD">
        <w:tab/>
        <w:t xml:space="preserve">         </w:t>
      </w:r>
      <w:r w:rsidR="00953863">
        <w:t xml:space="preserve"> </w:t>
      </w:r>
      <w:r>
        <w:t>:</w:t>
      </w:r>
      <w:r>
        <w:tab/>
      </w:r>
      <w:proofErr w:type="spellStart"/>
      <w:r w:rsidR="001718BD">
        <w:t>Changfoot</w:t>
      </w:r>
      <w:proofErr w:type="spellEnd"/>
      <w:r w:rsidR="001718BD">
        <w:t xml:space="preserve"> Van Breda Inc. </w:t>
      </w:r>
      <w:r>
        <w:t xml:space="preserve"> c/o </w:t>
      </w:r>
      <w:proofErr w:type="spellStart"/>
      <w:r w:rsidR="001718BD">
        <w:t>Potelwa</w:t>
      </w:r>
      <w:proofErr w:type="spellEnd"/>
      <w:r>
        <w:t xml:space="preserve"> &amp; </w:t>
      </w:r>
      <w:r w:rsidR="001718BD">
        <w:t>C</w:t>
      </w:r>
      <w:r w:rsidR="00953863">
        <w:t>o.</w:t>
      </w:r>
      <w:r>
        <w:t>, M</w:t>
      </w:r>
      <w:r w:rsidR="001718BD">
        <w:t>thath</w:t>
      </w:r>
      <w:r>
        <w:t>a</w:t>
      </w:r>
    </w:p>
    <w:p w14:paraId="04D5F330" w14:textId="77777777" w:rsidR="00A82739" w:rsidRPr="001A2F55" w:rsidRDefault="00A82739" w:rsidP="00A82739"/>
    <w:p w14:paraId="1EDF1A9B" w14:textId="142B27AD" w:rsidR="00A82739" w:rsidRDefault="00A82739" w:rsidP="00A82739">
      <w:r w:rsidRPr="001A2F55">
        <w:t>For Respondents</w:t>
      </w:r>
      <w:r w:rsidR="001718BD">
        <w:tab/>
      </w:r>
      <w:r w:rsidRPr="001A2F55">
        <w:t>:</w:t>
      </w:r>
      <w:r w:rsidRPr="001A2F55">
        <w:tab/>
      </w:r>
      <w:r w:rsidR="001718BD">
        <w:t xml:space="preserve">Mr </w:t>
      </w:r>
      <w:proofErr w:type="spellStart"/>
      <w:r w:rsidR="001718BD">
        <w:t>Pangwa</w:t>
      </w:r>
      <w:proofErr w:type="spellEnd"/>
    </w:p>
    <w:p w14:paraId="700C7F8D" w14:textId="15007058" w:rsidR="00A82739" w:rsidRDefault="00A82739" w:rsidP="00A82739">
      <w:pPr>
        <w:ind w:left="2160" w:hanging="2160"/>
      </w:pPr>
      <w:r>
        <w:t>I</w:t>
      </w:r>
      <w:r w:rsidRPr="001A2F55">
        <w:t>nstructed by</w:t>
      </w:r>
      <w:r w:rsidR="001718BD">
        <w:tab/>
      </w:r>
      <w:r>
        <w:t>:</w:t>
      </w:r>
      <w:r>
        <w:tab/>
      </w:r>
      <w:r w:rsidR="001718BD">
        <w:t xml:space="preserve">Caps </w:t>
      </w:r>
      <w:proofErr w:type="spellStart"/>
      <w:r w:rsidR="001718BD">
        <w:t>Pangwa</w:t>
      </w:r>
      <w:proofErr w:type="spellEnd"/>
      <w:r w:rsidR="001718BD">
        <w:t xml:space="preserve"> &amp; Associates</w:t>
      </w:r>
      <w:r>
        <w:t xml:space="preserve">, </w:t>
      </w:r>
      <w:proofErr w:type="spellStart"/>
      <w:r>
        <w:t>M</w:t>
      </w:r>
      <w:r w:rsidR="001718BD">
        <w:t>thatha</w:t>
      </w:r>
      <w:proofErr w:type="spellEnd"/>
    </w:p>
    <w:p w14:paraId="2A863CDC" w14:textId="77777777" w:rsidR="00A82739" w:rsidRDefault="00A82739" w:rsidP="00A82739"/>
    <w:p w14:paraId="7AD98854" w14:textId="1381A3F4" w:rsidR="00A82739" w:rsidRDefault="00A82739" w:rsidP="00A82739">
      <w:r>
        <w:t>Date Heard</w:t>
      </w:r>
      <w:r w:rsidR="001718BD">
        <w:tab/>
      </w:r>
      <w:r w:rsidR="001718BD">
        <w:tab/>
      </w:r>
      <w:r>
        <w:t>:</w:t>
      </w:r>
      <w:r>
        <w:tab/>
      </w:r>
      <w:r w:rsidR="001718BD">
        <w:t>07</w:t>
      </w:r>
      <w:r>
        <w:t xml:space="preserve"> November 2023</w:t>
      </w:r>
    </w:p>
    <w:p w14:paraId="064FF881" w14:textId="77777777" w:rsidR="00A82739" w:rsidRDefault="00A82739" w:rsidP="00A82739"/>
    <w:p w14:paraId="44FD1540" w14:textId="59CDBD39" w:rsidR="00A82739" w:rsidRPr="001A2F55" w:rsidRDefault="00A82739" w:rsidP="00A82739">
      <w:r>
        <w:t>Date Delivered</w:t>
      </w:r>
      <w:r w:rsidR="001718BD">
        <w:tab/>
      </w:r>
      <w:r>
        <w:t>:</w:t>
      </w:r>
      <w:r>
        <w:tab/>
      </w:r>
      <w:r w:rsidR="001718BD">
        <w:t>05</w:t>
      </w:r>
      <w:r>
        <w:t xml:space="preserve"> </w:t>
      </w:r>
      <w:r w:rsidR="001718BD">
        <w:t>Dec</w:t>
      </w:r>
      <w:r>
        <w:t>ember 2023</w:t>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9F110B">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AB1F1" w14:textId="77777777" w:rsidR="00A815A0" w:rsidRDefault="00A815A0" w:rsidP="00005691">
      <w:r>
        <w:separator/>
      </w:r>
    </w:p>
  </w:endnote>
  <w:endnote w:type="continuationSeparator" w:id="0">
    <w:p w14:paraId="48F80ABD" w14:textId="77777777" w:rsidR="00A815A0" w:rsidRDefault="00A815A0"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7C540" w14:textId="77777777" w:rsidR="00A815A0" w:rsidRDefault="00A815A0" w:rsidP="00005691">
      <w:r>
        <w:separator/>
      </w:r>
    </w:p>
  </w:footnote>
  <w:footnote w:type="continuationSeparator" w:id="0">
    <w:p w14:paraId="0424C724" w14:textId="77777777" w:rsidR="00A815A0" w:rsidRDefault="00A815A0" w:rsidP="00005691">
      <w:r>
        <w:continuationSeparator/>
      </w:r>
    </w:p>
  </w:footnote>
  <w:footnote w:id="1">
    <w:p w14:paraId="7481D3A2" w14:textId="20611AFB" w:rsidR="009E1DA9" w:rsidRPr="009E1DA9" w:rsidRDefault="009E1DA9">
      <w:pPr>
        <w:pStyle w:val="FootnoteText"/>
        <w:rPr>
          <w:lang w:val="en-US"/>
        </w:rPr>
      </w:pPr>
      <w:r>
        <w:rPr>
          <w:rStyle w:val="FootnoteReference"/>
        </w:rPr>
        <w:footnoteRef/>
      </w:r>
      <w:r>
        <w:t xml:space="preserve"> </w:t>
      </w:r>
      <w:r>
        <w:rPr>
          <w:lang w:val="en-US"/>
        </w:rPr>
        <w:t>68 of 1969</w:t>
      </w:r>
    </w:p>
  </w:footnote>
  <w:footnote w:id="2">
    <w:p w14:paraId="00B91B37" w14:textId="23D657D0" w:rsidR="009E1DA9" w:rsidRPr="009E1DA9" w:rsidRDefault="009E1DA9">
      <w:pPr>
        <w:pStyle w:val="FootnoteText"/>
        <w:rPr>
          <w:lang w:val="en-US"/>
        </w:rPr>
      </w:pPr>
      <w:r>
        <w:rPr>
          <w:rStyle w:val="FootnoteReference"/>
        </w:rPr>
        <w:footnoteRef/>
      </w:r>
      <w:r>
        <w:t xml:space="preserve"> </w:t>
      </w:r>
      <w:r w:rsidR="00B634A7">
        <w:t xml:space="preserve">Act </w:t>
      </w:r>
      <w:r>
        <w:rPr>
          <w:lang w:val="en-US"/>
        </w:rPr>
        <w:t>40 of 2002</w:t>
      </w:r>
    </w:p>
  </w:footnote>
  <w:footnote w:id="3">
    <w:p w14:paraId="460ADF5A" w14:textId="77777777" w:rsidR="00802746" w:rsidRPr="00802746" w:rsidRDefault="00802746" w:rsidP="00802746">
      <w:pPr>
        <w:shd w:val="clear" w:color="auto" w:fill="FFFFFF"/>
        <w:jc w:val="both"/>
        <w:rPr>
          <w:rFonts w:eastAsia="Times New Roman"/>
          <w:b/>
          <w:bCs/>
          <w:color w:val="2C3E50"/>
          <w:sz w:val="20"/>
          <w:szCs w:val="20"/>
          <w:lang w:eastAsia="en-GB"/>
        </w:rPr>
      </w:pPr>
      <w:r>
        <w:rPr>
          <w:rStyle w:val="FootnoteReference"/>
        </w:rPr>
        <w:footnoteRef/>
      </w:r>
      <w:r>
        <w:t xml:space="preserve"> </w:t>
      </w:r>
      <w:r w:rsidRPr="00802746">
        <w:rPr>
          <w:rFonts w:eastAsia="Times New Roman"/>
          <w:b/>
          <w:bCs/>
          <w:color w:val="2C3E50"/>
          <w:sz w:val="20"/>
          <w:szCs w:val="20"/>
          <w:lang w:eastAsia="en-GB"/>
        </w:rPr>
        <w:t>34  Access to courts</w:t>
      </w:r>
    </w:p>
    <w:p w14:paraId="2A27521E" w14:textId="77777777" w:rsidR="00802746" w:rsidRPr="00802746" w:rsidRDefault="00802746" w:rsidP="00802746">
      <w:pPr>
        <w:spacing w:line="240" w:lineRule="auto"/>
        <w:jc w:val="both"/>
        <w:rPr>
          <w:rFonts w:eastAsia="Times New Roman"/>
          <w:color w:val="auto"/>
          <w:sz w:val="20"/>
          <w:szCs w:val="20"/>
          <w:lang w:eastAsia="en-GB"/>
        </w:rPr>
      </w:pPr>
      <w:r w:rsidRPr="00802746">
        <w:rPr>
          <w:rFonts w:eastAsia="Times New Roman"/>
          <w:color w:val="auto"/>
          <w:sz w:val="20"/>
          <w:szCs w:val="20"/>
          <w:lang w:eastAsia="en-GB"/>
        </w:rPr>
        <w:t>Everyone has the right to have any dispute that can be resolved by the application of law decided in a fair public hearing before a court or, where appropriate, another independent and impartial tribunal or forum.</w:t>
      </w:r>
    </w:p>
    <w:p w14:paraId="41861B3F" w14:textId="77777777" w:rsidR="00802746" w:rsidRPr="00802746" w:rsidRDefault="00802746" w:rsidP="00802746">
      <w:pPr>
        <w:spacing w:line="240" w:lineRule="auto"/>
        <w:jc w:val="both"/>
        <w:rPr>
          <w:rFonts w:eastAsia="Times New Roman"/>
          <w:color w:val="auto"/>
          <w:lang w:eastAsia="en-GB"/>
        </w:rPr>
      </w:pPr>
    </w:p>
    <w:p w14:paraId="4718D13B" w14:textId="50D00B44" w:rsidR="00802746" w:rsidRPr="00802746" w:rsidRDefault="00802746">
      <w:pPr>
        <w:pStyle w:val="FootnoteText"/>
        <w:rPr>
          <w:lang w:val="en-US"/>
        </w:rPr>
      </w:pPr>
    </w:p>
  </w:footnote>
  <w:footnote w:id="4">
    <w:p w14:paraId="0E00D8AB" w14:textId="221D8EB2" w:rsidR="00802746" w:rsidRPr="00802746" w:rsidRDefault="00802746">
      <w:pPr>
        <w:pStyle w:val="FootnoteText"/>
        <w:rPr>
          <w:lang w:val="en-US"/>
        </w:rPr>
      </w:pPr>
      <w:r>
        <w:rPr>
          <w:rStyle w:val="FootnoteReference"/>
        </w:rPr>
        <w:footnoteRef/>
      </w:r>
      <w:r>
        <w:t xml:space="preserve"> </w:t>
      </w:r>
      <w:r>
        <w:rPr>
          <w:lang w:val="en-US"/>
        </w:rPr>
        <w:t>108 of 1996</w:t>
      </w:r>
    </w:p>
  </w:footnote>
  <w:footnote w:id="5">
    <w:p w14:paraId="3AED5F45" w14:textId="0C95A8E9" w:rsidR="00576A9D" w:rsidRPr="00576A9D" w:rsidRDefault="00576A9D" w:rsidP="00576A9D">
      <w:pPr>
        <w:pStyle w:val="Heading2"/>
        <w:shd w:val="clear" w:color="auto" w:fill="FFFFFF"/>
        <w:spacing w:before="0" w:beforeAutospacing="0" w:after="0" w:afterAutospacing="0"/>
        <w:rPr>
          <w:rFonts w:ascii="Arial" w:hAnsi="Arial" w:cs="Arial"/>
          <w:b w:val="0"/>
          <w:bCs w:val="0"/>
          <w:sz w:val="20"/>
          <w:szCs w:val="20"/>
        </w:rPr>
      </w:pPr>
      <w:r w:rsidRPr="00576A9D">
        <w:rPr>
          <w:rStyle w:val="FootnoteReference"/>
          <w:rFonts w:ascii="Arial" w:hAnsi="Arial" w:cs="Arial"/>
          <w:b w:val="0"/>
          <w:bCs w:val="0"/>
          <w:sz w:val="20"/>
          <w:szCs w:val="20"/>
        </w:rPr>
        <w:footnoteRef/>
      </w:r>
      <w:r w:rsidRPr="00576A9D">
        <w:rPr>
          <w:rFonts w:ascii="Arial" w:hAnsi="Arial" w:cs="Arial"/>
          <w:b w:val="0"/>
          <w:bCs w:val="0"/>
          <w:sz w:val="20"/>
          <w:szCs w:val="20"/>
        </w:rPr>
        <w:t xml:space="preserve"> </w:t>
      </w:r>
      <w:proofErr w:type="gramStart"/>
      <w:r w:rsidRPr="00576A9D">
        <w:rPr>
          <w:rFonts w:ascii="Arial" w:hAnsi="Arial" w:cs="Arial"/>
          <w:b w:val="0"/>
          <w:bCs w:val="0"/>
          <w:sz w:val="20"/>
          <w:szCs w:val="20"/>
          <w:lang w:val="en-US"/>
        </w:rPr>
        <w:t>See :</w:t>
      </w:r>
      <w:proofErr w:type="gramEnd"/>
      <w:r w:rsidRPr="00576A9D">
        <w:rPr>
          <w:rFonts w:ascii="Arial" w:hAnsi="Arial" w:cs="Arial"/>
          <w:b w:val="0"/>
          <w:bCs w:val="0"/>
          <w:sz w:val="20"/>
          <w:szCs w:val="20"/>
          <w:lang w:val="en-US"/>
        </w:rPr>
        <w:t xml:space="preserve"> </w:t>
      </w:r>
      <w:proofErr w:type="spellStart"/>
      <w:r w:rsidRPr="00576A9D">
        <w:rPr>
          <w:rFonts w:ascii="Arial" w:hAnsi="Arial" w:cs="Arial"/>
          <w:b w:val="0"/>
          <w:bCs w:val="0"/>
          <w:sz w:val="20"/>
          <w:szCs w:val="20"/>
        </w:rPr>
        <w:t>Mtokonya</w:t>
      </w:r>
      <w:proofErr w:type="spellEnd"/>
      <w:r w:rsidRPr="00576A9D">
        <w:rPr>
          <w:rFonts w:ascii="Arial" w:hAnsi="Arial" w:cs="Arial"/>
          <w:b w:val="0"/>
          <w:bCs w:val="0"/>
          <w:sz w:val="20"/>
          <w:szCs w:val="20"/>
        </w:rPr>
        <w:t xml:space="preserve"> v Minister of Police 2018 (5) SA 22 (CC</w:t>
      </w:r>
      <w:r>
        <w:rPr>
          <w:rFonts w:ascii="Arial" w:hAnsi="Arial" w:cs="Arial"/>
          <w:b w:val="0"/>
          <w:bCs w:val="0"/>
          <w:sz w:val="20"/>
          <w:szCs w:val="20"/>
        </w:rPr>
        <w:t>) para 181</w:t>
      </w:r>
    </w:p>
    <w:p w14:paraId="7AA7201E" w14:textId="3F6CB99A" w:rsidR="00576A9D" w:rsidRPr="00576A9D" w:rsidRDefault="00576A9D">
      <w:pPr>
        <w:pStyle w:val="FootnoteText"/>
        <w:rPr>
          <w:lang w:val="en-US"/>
        </w:rPr>
      </w:pPr>
    </w:p>
  </w:footnote>
  <w:footnote w:id="6">
    <w:p w14:paraId="3D137363" w14:textId="0D63D272" w:rsidR="00FD1275" w:rsidRPr="00FD1275" w:rsidRDefault="00FD1275">
      <w:pPr>
        <w:pStyle w:val="FootnoteText"/>
        <w:rPr>
          <w:lang w:val="en-US"/>
        </w:rPr>
      </w:pPr>
      <w:r>
        <w:rPr>
          <w:rStyle w:val="FootnoteReference"/>
        </w:rPr>
        <w:footnoteRef/>
      </w:r>
      <w:r>
        <w:t xml:space="preserve"> </w:t>
      </w:r>
      <w:r w:rsidRPr="00FD1275">
        <w:rPr>
          <w:lang w:val="en-US"/>
        </w:rPr>
        <w:t>2006 (4) SA 168 (SCA)</w:t>
      </w:r>
      <w:r w:rsidR="00BE1136">
        <w:rPr>
          <w:lang w:val="en-US"/>
        </w:rPr>
        <w:t xml:space="preserve"> at para 16</w:t>
      </w:r>
    </w:p>
  </w:footnote>
  <w:footnote w:id="7">
    <w:p w14:paraId="0795E1E5" w14:textId="0A9F5368" w:rsidR="00F77C16" w:rsidRPr="00F77C16" w:rsidRDefault="00F77C16">
      <w:pPr>
        <w:pStyle w:val="FootnoteText"/>
        <w:rPr>
          <w:lang w:val="en-US"/>
        </w:rPr>
      </w:pPr>
      <w:r>
        <w:rPr>
          <w:rStyle w:val="FootnoteReference"/>
        </w:rPr>
        <w:footnoteRef/>
      </w:r>
      <w:r>
        <w:t xml:space="preserve"> </w:t>
      </w:r>
      <w:r w:rsidRPr="00F77C16">
        <w:rPr>
          <w:lang w:val="en-US"/>
        </w:rPr>
        <w:t>2007 (1) SA 111 (SCA</w:t>
      </w:r>
      <w:r>
        <w:rPr>
          <w:lang w:val="en-US"/>
        </w:rPr>
        <w:t>)</w:t>
      </w:r>
    </w:p>
  </w:footnote>
  <w:footnote w:id="8">
    <w:p w14:paraId="7541987F" w14:textId="36C3E5EC" w:rsidR="00B242AB" w:rsidRPr="00B242AB" w:rsidRDefault="00B242AB">
      <w:pPr>
        <w:pStyle w:val="FootnoteText"/>
        <w:rPr>
          <w:lang w:val="en-US"/>
        </w:rPr>
      </w:pPr>
      <w:r>
        <w:rPr>
          <w:rStyle w:val="FootnoteReference"/>
        </w:rPr>
        <w:footnoteRef/>
      </w:r>
      <w:r>
        <w:t xml:space="preserve"> </w:t>
      </w:r>
      <w:r w:rsidR="00847D7C">
        <w:rPr>
          <w:lang w:val="en-US"/>
        </w:rPr>
        <w:t>2012 (2) SA 1 (SCA) at para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0ADD33D0"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0EEB">
          <w:rPr>
            <w:rStyle w:val="PageNumber"/>
            <w:noProof/>
          </w:rPr>
          <w:t>17</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F0B16"/>
    <w:multiLevelType w:val="hybridMultilevel"/>
    <w:tmpl w:val="17080A04"/>
    <w:lvl w:ilvl="0" w:tplc="246E07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A1DBD"/>
    <w:multiLevelType w:val="hybridMultilevel"/>
    <w:tmpl w:val="297A98E0"/>
    <w:lvl w:ilvl="0" w:tplc="CD96A5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E46570E"/>
    <w:multiLevelType w:val="hybridMultilevel"/>
    <w:tmpl w:val="B134A15A"/>
    <w:lvl w:ilvl="0" w:tplc="D6DC39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4405F"/>
    <w:multiLevelType w:val="hybridMultilevel"/>
    <w:tmpl w:val="A8DE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37D27"/>
    <w:multiLevelType w:val="hybridMultilevel"/>
    <w:tmpl w:val="10BEC5DA"/>
    <w:lvl w:ilvl="0" w:tplc="99666D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95539D7"/>
    <w:multiLevelType w:val="hybridMultilevel"/>
    <w:tmpl w:val="44222CC2"/>
    <w:lvl w:ilvl="0" w:tplc="1A360B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66CC6"/>
    <w:multiLevelType w:val="hybridMultilevel"/>
    <w:tmpl w:val="4DE0EB24"/>
    <w:lvl w:ilvl="0" w:tplc="3DF43BB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26732C8"/>
    <w:multiLevelType w:val="hybridMultilevel"/>
    <w:tmpl w:val="527E16FE"/>
    <w:lvl w:ilvl="0" w:tplc="7AA218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4"/>
  </w:num>
  <w:num w:numId="6">
    <w:abstractNumId w:val="7"/>
  </w:num>
  <w:num w:numId="7">
    <w:abstractNumId w:val="18"/>
  </w:num>
  <w:num w:numId="8">
    <w:abstractNumId w:val="1"/>
  </w:num>
  <w:num w:numId="9">
    <w:abstractNumId w:val="6"/>
  </w:num>
  <w:num w:numId="10">
    <w:abstractNumId w:val="10"/>
  </w:num>
  <w:num w:numId="11">
    <w:abstractNumId w:val="17"/>
  </w:num>
  <w:num w:numId="12">
    <w:abstractNumId w:val="9"/>
  </w:num>
  <w:num w:numId="13">
    <w:abstractNumId w:val="16"/>
  </w:num>
  <w:num w:numId="14">
    <w:abstractNumId w:val="8"/>
  </w:num>
  <w:num w:numId="15">
    <w:abstractNumId w:val="13"/>
  </w:num>
  <w:num w:numId="16">
    <w:abstractNumId w:val="15"/>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220C3"/>
    <w:rsid w:val="00022804"/>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5C33"/>
    <w:rsid w:val="00056042"/>
    <w:rsid w:val="00056FBA"/>
    <w:rsid w:val="000574BF"/>
    <w:rsid w:val="00063188"/>
    <w:rsid w:val="00063C6E"/>
    <w:rsid w:val="00063D5A"/>
    <w:rsid w:val="0007050F"/>
    <w:rsid w:val="0007234C"/>
    <w:rsid w:val="00073EFC"/>
    <w:rsid w:val="000778A4"/>
    <w:rsid w:val="00080D4E"/>
    <w:rsid w:val="000815F5"/>
    <w:rsid w:val="00082375"/>
    <w:rsid w:val="00083322"/>
    <w:rsid w:val="00083386"/>
    <w:rsid w:val="000833DB"/>
    <w:rsid w:val="00084C6F"/>
    <w:rsid w:val="00086278"/>
    <w:rsid w:val="00086A06"/>
    <w:rsid w:val="0009015D"/>
    <w:rsid w:val="000910CD"/>
    <w:rsid w:val="00091F8C"/>
    <w:rsid w:val="0009497C"/>
    <w:rsid w:val="00096BC1"/>
    <w:rsid w:val="000976CA"/>
    <w:rsid w:val="000A59DC"/>
    <w:rsid w:val="000B0946"/>
    <w:rsid w:val="000B0DC8"/>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667A"/>
    <w:rsid w:val="000E1C45"/>
    <w:rsid w:val="000E2444"/>
    <w:rsid w:val="000E3E15"/>
    <w:rsid w:val="000E4F0D"/>
    <w:rsid w:val="000E5100"/>
    <w:rsid w:val="000E7ECD"/>
    <w:rsid w:val="000F05E0"/>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6EB9"/>
    <w:rsid w:val="00120E93"/>
    <w:rsid w:val="00121184"/>
    <w:rsid w:val="001226DE"/>
    <w:rsid w:val="00123296"/>
    <w:rsid w:val="0012621C"/>
    <w:rsid w:val="00130228"/>
    <w:rsid w:val="00131984"/>
    <w:rsid w:val="00131A28"/>
    <w:rsid w:val="001337CC"/>
    <w:rsid w:val="00134C11"/>
    <w:rsid w:val="00135C81"/>
    <w:rsid w:val="00137E08"/>
    <w:rsid w:val="00142F79"/>
    <w:rsid w:val="001435EB"/>
    <w:rsid w:val="00144974"/>
    <w:rsid w:val="00146BA3"/>
    <w:rsid w:val="001517E0"/>
    <w:rsid w:val="00157785"/>
    <w:rsid w:val="00157898"/>
    <w:rsid w:val="00157C19"/>
    <w:rsid w:val="00160EBC"/>
    <w:rsid w:val="00160F58"/>
    <w:rsid w:val="00163A58"/>
    <w:rsid w:val="00164B7B"/>
    <w:rsid w:val="001718BD"/>
    <w:rsid w:val="00172B5C"/>
    <w:rsid w:val="00173547"/>
    <w:rsid w:val="00174B6D"/>
    <w:rsid w:val="0017614D"/>
    <w:rsid w:val="0018006A"/>
    <w:rsid w:val="00180F4E"/>
    <w:rsid w:val="00181923"/>
    <w:rsid w:val="00181E7E"/>
    <w:rsid w:val="00182175"/>
    <w:rsid w:val="00184625"/>
    <w:rsid w:val="00186769"/>
    <w:rsid w:val="001870AF"/>
    <w:rsid w:val="00191768"/>
    <w:rsid w:val="001921F0"/>
    <w:rsid w:val="00192869"/>
    <w:rsid w:val="001943D2"/>
    <w:rsid w:val="001954F0"/>
    <w:rsid w:val="00195571"/>
    <w:rsid w:val="001955AB"/>
    <w:rsid w:val="00196742"/>
    <w:rsid w:val="001A4F33"/>
    <w:rsid w:val="001B0D01"/>
    <w:rsid w:val="001B2578"/>
    <w:rsid w:val="001B2FE4"/>
    <w:rsid w:val="001B505F"/>
    <w:rsid w:val="001B69E3"/>
    <w:rsid w:val="001C04BC"/>
    <w:rsid w:val="001C2DD7"/>
    <w:rsid w:val="001C48A5"/>
    <w:rsid w:val="001C7061"/>
    <w:rsid w:val="001D0962"/>
    <w:rsid w:val="001D214B"/>
    <w:rsid w:val="001D4C5E"/>
    <w:rsid w:val="001D5A9D"/>
    <w:rsid w:val="001D5F83"/>
    <w:rsid w:val="001D61C8"/>
    <w:rsid w:val="001D72D9"/>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6D6C"/>
    <w:rsid w:val="00207573"/>
    <w:rsid w:val="002115FE"/>
    <w:rsid w:val="00213565"/>
    <w:rsid w:val="0021430F"/>
    <w:rsid w:val="00215EBC"/>
    <w:rsid w:val="0021730A"/>
    <w:rsid w:val="00217399"/>
    <w:rsid w:val="002203EC"/>
    <w:rsid w:val="00222854"/>
    <w:rsid w:val="00224363"/>
    <w:rsid w:val="0022594E"/>
    <w:rsid w:val="00226444"/>
    <w:rsid w:val="00226ADA"/>
    <w:rsid w:val="00227379"/>
    <w:rsid w:val="00230B10"/>
    <w:rsid w:val="00231325"/>
    <w:rsid w:val="002327AF"/>
    <w:rsid w:val="0023410F"/>
    <w:rsid w:val="0023677B"/>
    <w:rsid w:val="00236B9D"/>
    <w:rsid w:val="0023768E"/>
    <w:rsid w:val="002402F6"/>
    <w:rsid w:val="00242452"/>
    <w:rsid w:val="00245504"/>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66D1E"/>
    <w:rsid w:val="002705E9"/>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0DEA"/>
    <w:rsid w:val="002B31B7"/>
    <w:rsid w:val="002B3FE3"/>
    <w:rsid w:val="002B54B7"/>
    <w:rsid w:val="002B6730"/>
    <w:rsid w:val="002B7874"/>
    <w:rsid w:val="002C1ECF"/>
    <w:rsid w:val="002C1ED3"/>
    <w:rsid w:val="002C3A0D"/>
    <w:rsid w:val="002C45D8"/>
    <w:rsid w:val="002C7128"/>
    <w:rsid w:val="002D4CBC"/>
    <w:rsid w:val="002D6D70"/>
    <w:rsid w:val="002D7292"/>
    <w:rsid w:val="002E0CCA"/>
    <w:rsid w:val="002E141A"/>
    <w:rsid w:val="002E1B95"/>
    <w:rsid w:val="002E3EC7"/>
    <w:rsid w:val="002E4808"/>
    <w:rsid w:val="002E483E"/>
    <w:rsid w:val="002E6D7C"/>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35F7"/>
    <w:rsid w:val="00306288"/>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206E"/>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BB6"/>
    <w:rsid w:val="00374F02"/>
    <w:rsid w:val="00375614"/>
    <w:rsid w:val="00380E60"/>
    <w:rsid w:val="00380EEB"/>
    <w:rsid w:val="00381483"/>
    <w:rsid w:val="00381C36"/>
    <w:rsid w:val="00381D62"/>
    <w:rsid w:val="00382ADF"/>
    <w:rsid w:val="003869D5"/>
    <w:rsid w:val="003905B9"/>
    <w:rsid w:val="0039206E"/>
    <w:rsid w:val="00392A4B"/>
    <w:rsid w:val="00392AA2"/>
    <w:rsid w:val="00393BA3"/>
    <w:rsid w:val="00394937"/>
    <w:rsid w:val="0039527F"/>
    <w:rsid w:val="00395A71"/>
    <w:rsid w:val="0039682A"/>
    <w:rsid w:val="003A1184"/>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F7C"/>
    <w:rsid w:val="003E2B73"/>
    <w:rsid w:val="003E2F03"/>
    <w:rsid w:val="003E3BBF"/>
    <w:rsid w:val="003E424A"/>
    <w:rsid w:val="003E75F3"/>
    <w:rsid w:val="003F0D9E"/>
    <w:rsid w:val="003F1974"/>
    <w:rsid w:val="003F2109"/>
    <w:rsid w:val="003F2790"/>
    <w:rsid w:val="003F50FF"/>
    <w:rsid w:val="003F5900"/>
    <w:rsid w:val="003F6355"/>
    <w:rsid w:val="00400266"/>
    <w:rsid w:val="00401A9A"/>
    <w:rsid w:val="00402EEA"/>
    <w:rsid w:val="00404201"/>
    <w:rsid w:val="00405CEF"/>
    <w:rsid w:val="00406337"/>
    <w:rsid w:val="00406A00"/>
    <w:rsid w:val="004074B3"/>
    <w:rsid w:val="004075EA"/>
    <w:rsid w:val="00410C82"/>
    <w:rsid w:val="0041108E"/>
    <w:rsid w:val="00412DF2"/>
    <w:rsid w:val="004138F5"/>
    <w:rsid w:val="00413D22"/>
    <w:rsid w:val="00414C90"/>
    <w:rsid w:val="004165B0"/>
    <w:rsid w:val="004165D6"/>
    <w:rsid w:val="0042163E"/>
    <w:rsid w:val="00423163"/>
    <w:rsid w:val="004244A5"/>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74FB"/>
    <w:rsid w:val="004528CC"/>
    <w:rsid w:val="004529C3"/>
    <w:rsid w:val="0045608B"/>
    <w:rsid w:val="0046496F"/>
    <w:rsid w:val="004652FD"/>
    <w:rsid w:val="004657F4"/>
    <w:rsid w:val="00466979"/>
    <w:rsid w:val="00466D17"/>
    <w:rsid w:val="00467E20"/>
    <w:rsid w:val="004700CA"/>
    <w:rsid w:val="00472A4C"/>
    <w:rsid w:val="00472B05"/>
    <w:rsid w:val="00472E85"/>
    <w:rsid w:val="00473068"/>
    <w:rsid w:val="004735D5"/>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B9"/>
    <w:rsid w:val="004A08D7"/>
    <w:rsid w:val="004A5151"/>
    <w:rsid w:val="004A5DB1"/>
    <w:rsid w:val="004A687F"/>
    <w:rsid w:val="004A7359"/>
    <w:rsid w:val="004B3161"/>
    <w:rsid w:val="004B5BAF"/>
    <w:rsid w:val="004B5CB4"/>
    <w:rsid w:val="004B632A"/>
    <w:rsid w:val="004B7E82"/>
    <w:rsid w:val="004C06AD"/>
    <w:rsid w:val="004C0946"/>
    <w:rsid w:val="004C0C08"/>
    <w:rsid w:val="004C13CF"/>
    <w:rsid w:val="004C3CA2"/>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4BCF"/>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30509"/>
    <w:rsid w:val="00532080"/>
    <w:rsid w:val="00545009"/>
    <w:rsid w:val="00545140"/>
    <w:rsid w:val="00545668"/>
    <w:rsid w:val="005501D7"/>
    <w:rsid w:val="0055098F"/>
    <w:rsid w:val="005517B9"/>
    <w:rsid w:val="00552CA1"/>
    <w:rsid w:val="00553E7D"/>
    <w:rsid w:val="005542BD"/>
    <w:rsid w:val="00555232"/>
    <w:rsid w:val="00556489"/>
    <w:rsid w:val="00556EDA"/>
    <w:rsid w:val="00556FC7"/>
    <w:rsid w:val="005573D6"/>
    <w:rsid w:val="0056029F"/>
    <w:rsid w:val="00560D09"/>
    <w:rsid w:val="0056509F"/>
    <w:rsid w:val="00565326"/>
    <w:rsid w:val="005703D6"/>
    <w:rsid w:val="00570A0D"/>
    <w:rsid w:val="005754FC"/>
    <w:rsid w:val="00575F9C"/>
    <w:rsid w:val="00576979"/>
    <w:rsid w:val="00576A9D"/>
    <w:rsid w:val="00577D50"/>
    <w:rsid w:val="00580D85"/>
    <w:rsid w:val="005813AC"/>
    <w:rsid w:val="00582D48"/>
    <w:rsid w:val="0058354A"/>
    <w:rsid w:val="00584BA7"/>
    <w:rsid w:val="00586CFB"/>
    <w:rsid w:val="00587D29"/>
    <w:rsid w:val="00590B62"/>
    <w:rsid w:val="00591072"/>
    <w:rsid w:val="005934B8"/>
    <w:rsid w:val="00594C9D"/>
    <w:rsid w:val="00595C65"/>
    <w:rsid w:val="005964E5"/>
    <w:rsid w:val="005969E2"/>
    <w:rsid w:val="00597705"/>
    <w:rsid w:val="005A2449"/>
    <w:rsid w:val="005A2C73"/>
    <w:rsid w:val="005A3E4D"/>
    <w:rsid w:val="005A4FC0"/>
    <w:rsid w:val="005A71F7"/>
    <w:rsid w:val="005B1333"/>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411E"/>
    <w:rsid w:val="005E560B"/>
    <w:rsid w:val="005E601A"/>
    <w:rsid w:val="005F03D5"/>
    <w:rsid w:val="005F04A5"/>
    <w:rsid w:val="005F158C"/>
    <w:rsid w:val="005F236B"/>
    <w:rsid w:val="005F6D85"/>
    <w:rsid w:val="005F77BC"/>
    <w:rsid w:val="00600269"/>
    <w:rsid w:val="0060138F"/>
    <w:rsid w:val="00601C5F"/>
    <w:rsid w:val="00603678"/>
    <w:rsid w:val="0060391E"/>
    <w:rsid w:val="0060443D"/>
    <w:rsid w:val="0060486E"/>
    <w:rsid w:val="006048E0"/>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13FC"/>
    <w:rsid w:val="006332F2"/>
    <w:rsid w:val="00634B17"/>
    <w:rsid w:val="00637A17"/>
    <w:rsid w:val="00641035"/>
    <w:rsid w:val="00641661"/>
    <w:rsid w:val="00642D78"/>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210D"/>
    <w:rsid w:val="00675C81"/>
    <w:rsid w:val="00677B6F"/>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A7DA6"/>
    <w:rsid w:val="006B150C"/>
    <w:rsid w:val="006B1DCE"/>
    <w:rsid w:val="006B42B2"/>
    <w:rsid w:val="006B6180"/>
    <w:rsid w:val="006B692B"/>
    <w:rsid w:val="006C177A"/>
    <w:rsid w:val="006C1B13"/>
    <w:rsid w:val="006C32C4"/>
    <w:rsid w:val="006D067F"/>
    <w:rsid w:val="006D07FB"/>
    <w:rsid w:val="006D5045"/>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207"/>
    <w:rsid w:val="00734430"/>
    <w:rsid w:val="0074053C"/>
    <w:rsid w:val="00743D4D"/>
    <w:rsid w:val="00743EB1"/>
    <w:rsid w:val="0074485F"/>
    <w:rsid w:val="007451A8"/>
    <w:rsid w:val="0074527C"/>
    <w:rsid w:val="00745BF2"/>
    <w:rsid w:val="00745E2B"/>
    <w:rsid w:val="00746757"/>
    <w:rsid w:val="00751ADD"/>
    <w:rsid w:val="007520F6"/>
    <w:rsid w:val="007532C0"/>
    <w:rsid w:val="00756020"/>
    <w:rsid w:val="00756098"/>
    <w:rsid w:val="00757F3C"/>
    <w:rsid w:val="007631E0"/>
    <w:rsid w:val="00763628"/>
    <w:rsid w:val="00763BF3"/>
    <w:rsid w:val="00764F87"/>
    <w:rsid w:val="00767A6B"/>
    <w:rsid w:val="00771094"/>
    <w:rsid w:val="00771421"/>
    <w:rsid w:val="00772E4B"/>
    <w:rsid w:val="007744D5"/>
    <w:rsid w:val="0077459E"/>
    <w:rsid w:val="00775448"/>
    <w:rsid w:val="0077676B"/>
    <w:rsid w:val="007824BA"/>
    <w:rsid w:val="00782782"/>
    <w:rsid w:val="007841E0"/>
    <w:rsid w:val="007863FC"/>
    <w:rsid w:val="007866DC"/>
    <w:rsid w:val="00791465"/>
    <w:rsid w:val="0079276A"/>
    <w:rsid w:val="00794AA8"/>
    <w:rsid w:val="00796986"/>
    <w:rsid w:val="00796F39"/>
    <w:rsid w:val="00796F7A"/>
    <w:rsid w:val="00797A49"/>
    <w:rsid w:val="007A1488"/>
    <w:rsid w:val="007A1A81"/>
    <w:rsid w:val="007A2884"/>
    <w:rsid w:val="007A3705"/>
    <w:rsid w:val="007A39B0"/>
    <w:rsid w:val="007A7BBE"/>
    <w:rsid w:val="007B196E"/>
    <w:rsid w:val="007B1F09"/>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F8D"/>
    <w:rsid w:val="007E4CBA"/>
    <w:rsid w:val="007E5E24"/>
    <w:rsid w:val="007F1E72"/>
    <w:rsid w:val="007F2C37"/>
    <w:rsid w:val="007F4798"/>
    <w:rsid w:val="007F77B3"/>
    <w:rsid w:val="00800438"/>
    <w:rsid w:val="008019A5"/>
    <w:rsid w:val="008020C2"/>
    <w:rsid w:val="008020CD"/>
    <w:rsid w:val="00802746"/>
    <w:rsid w:val="00803543"/>
    <w:rsid w:val="00806AFC"/>
    <w:rsid w:val="00810336"/>
    <w:rsid w:val="0081156D"/>
    <w:rsid w:val="008118F1"/>
    <w:rsid w:val="00811B30"/>
    <w:rsid w:val="00812D95"/>
    <w:rsid w:val="00813448"/>
    <w:rsid w:val="00814EDE"/>
    <w:rsid w:val="0081612B"/>
    <w:rsid w:val="00816ED1"/>
    <w:rsid w:val="00821D82"/>
    <w:rsid w:val="008230F2"/>
    <w:rsid w:val="00823442"/>
    <w:rsid w:val="00823CFE"/>
    <w:rsid w:val="008242ED"/>
    <w:rsid w:val="00824974"/>
    <w:rsid w:val="008258AF"/>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47D7C"/>
    <w:rsid w:val="00851511"/>
    <w:rsid w:val="008536CA"/>
    <w:rsid w:val="008547C2"/>
    <w:rsid w:val="00854A89"/>
    <w:rsid w:val="00855355"/>
    <w:rsid w:val="008557C2"/>
    <w:rsid w:val="00855F97"/>
    <w:rsid w:val="0086080D"/>
    <w:rsid w:val="008634DE"/>
    <w:rsid w:val="008647BD"/>
    <w:rsid w:val="00865C49"/>
    <w:rsid w:val="008665C4"/>
    <w:rsid w:val="0086751C"/>
    <w:rsid w:val="008677E3"/>
    <w:rsid w:val="00870B41"/>
    <w:rsid w:val="0087195C"/>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372D"/>
    <w:rsid w:val="00893E14"/>
    <w:rsid w:val="0089533C"/>
    <w:rsid w:val="00895554"/>
    <w:rsid w:val="008957A8"/>
    <w:rsid w:val="00895A54"/>
    <w:rsid w:val="00896B6A"/>
    <w:rsid w:val="008A0454"/>
    <w:rsid w:val="008A1381"/>
    <w:rsid w:val="008A17A8"/>
    <w:rsid w:val="008A1A60"/>
    <w:rsid w:val="008A3B56"/>
    <w:rsid w:val="008A4281"/>
    <w:rsid w:val="008A537D"/>
    <w:rsid w:val="008A7240"/>
    <w:rsid w:val="008A75F3"/>
    <w:rsid w:val="008A7BFC"/>
    <w:rsid w:val="008A7CF7"/>
    <w:rsid w:val="008A7FAD"/>
    <w:rsid w:val="008B100F"/>
    <w:rsid w:val="008B1DA6"/>
    <w:rsid w:val="008B3660"/>
    <w:rsid w:val="008C210D"/>
    <w:rsid w:val="008C3E59"/>
    <w:rsid w:val="008C480D"/>
    <w:rsid w:val="008C4C45"/>
    <w:rsid w:val="008C651B"/>
    <w:rsid w:val="008C7138"/>
    <w:rsid w:val="008D0D86"/>
    <w:rsid w:val="008D136B"/>
    <w:rsid w:val="008D2564"/>
    <w:rsid w:val="008D3C26"/>
    <w:rsid w:val="008E1626"/>
    <w:rsid w:val="008E270C"/>
    <w:rsid w:val="008E51D4"/>
    <w:rsid w:val="008E66F8"/>
    <w:rsid w:val="008E74EF"/>
    <w:rsid w:val="008E7904"/>
    <w:rsid w:val="008E7EFA"/>
    <w:rsid w:val="008F051D"/>
    <w:rsid w:val="008F0FC5"/>
    <w:rsid w:val="008F0FD2"/>
    <w:rsid w:val="008F17A3"/>
    <w:rsid w:val="008F1F7C"/>
    <w:rsid w:val="008F4376"/>
    <w:rsid w:val="008F59AF"/>
    <w:rsid w:val="008F5B07"/>
    <w:rsid w:val="008F5E59"/>
    <w:rsid w:val="008F61FC"/>
    <w:rsid w:val="008F74A5"/>
    <w:rsid w:val="00901474"/>
    <w:rsid w:val="009014FD"/>
    <w:rsid w:val="00902AA7"/>
    <w:rsid w:val="00902C55"/>
    <w:rsid w:val="00903496"/>
    <w:rsid w:val="00903A37"/>
    <w:rsid w:val="009041F8"/>
    <w:rsid w:val="00904D53"/>
    <w:rsid w:val="00905C49"/>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3D4D"/>
    <w:rsid w:val="00944464"/>
    <w:rsid w:val="00945BC4"/>
    <w:rsid w:val="009503FE"/>
    <w:rsid w:val="0095291D"/>
    <w:rsid w:val="00953863"/>
    <w:rsid w:val="00954778"/>
    <w:rsid w:val="0095687B"/>
    <w:rsid w:val="00957730"/>
    <w:rsid w:val="00960CDB"/>
    <w:rsid w:val="00961B6F"/>
    <w:rsid w:val="00962E0E"/>
    <w:rsid w:val="00964882"/>
    <w:rsid w:val="009648F1"/>
    <w:rsid w:val="00964C44"/>
    <w:rsid w:val="00964DFA"/>
    <w:rsid w:val="0096634B"/>
    <w:rsid w:val="0097136D"/>
    <w:rsid w:val="00971D2F"/>
    <w:rsid w:val="009737E6"/>
    <w:rsid w:val="0097492C"/>
    <w:rsid w:val="00974E2D"/>
    <w:rsid w:val="00975DB5"/>
    <w:rsid w:val="00976DCD"/>
    <w:rsid w:val="00976F0D"/>
    <w:rsid w:val="0098066C"/>
    <w:rsid w:val="009812F2"/>
    <w:rsid w:val="009814B0"/>
    <w:rsid w:val="00981871"/>
    <w:rsid w:val="00984181"/>
    <w:rsid w:val="0098571F"/>
    <w:rsid w:val="00987780"/>
    <w:rsid w:val="0099005D"/>
    <w:rsid w:val="00992B0D"/>
    <w:rsid w:val="009949C6"/>
    <w:rsid w:val="009969E0"/>
    <w:rsid w:val="00996B5C"/>
    <w:rsid w:val="009A0545"/>
    <w:rsid w:val="009A073B"/>
    <w:rsid w:val="009A0B4E"/>
    <w:rsid w:val="009A1EC2"/>
    <w:rsid w:val="009A36AF"/>
    <w:rsid w:val="009A3E97"/>
    <w:rsid w:val="009A591E"/>
    <w:rsid w:val="009A77E7"/>
    <w:rsid w:val="009B1B5C"/>
    <w:rsid w:val="009B271A"/>
    <w:rsid w:val="009B306D"/>
    <w:rsid w:val="009B5983"/>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1DA9"/>
    <w:rsid w:val="009E20B0"/>
    <w:rsid w:val="009E2833"/>
    <w:rsid w:val="009E2BB3"/>
    <w:rsid w:val="009E325E"/>
    <w:rsid w:val="009E3484"/>
    <w:rsid w:val="009E569F"/>
    <w:rsid w:val="009E5FDA"/>
    <w:rsid w:val="009E646F"/>
    <w:rsid w:val="009E67C9"/>
    <w:rsid w:val="009E776E"/>
    <w:rsid w:val="009F110B"/>
    <w:rsid w:val="009F1760"/>
    <w:rsid w:val="009F4396"/>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67B8"/>
    <w:rsid w:val="00A17060"/>
    <w:rsid w:val="00A17ED7"/>
    <w:rsid w:val="00A20492"/>
    <w:rsid w:val="00A2185E"/>
    <w:rsid w:val="00A21919"/>
    <w:rsid w:val="00A26381"/>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427C"/>
    <w:rsid w:val="00A603C3"/>
    <w:rsid w:val="00A61267"/>
    <w:rsid w:val="00A63829"/>
    <w:rsid w:val="00A64250"/>
    <w:rsid w:val="00A64FD8"/>
    <w:rsid w:val="00A6550F"/>
    <w:rsid w:val="00A67C97"/>
    <w:rsid w:val="00A711F9"/>
    <w:rsid w:val="00A71783"/>
    <w:rsid w:val="00A719FE"/>
    <w:rsid w:val="00A74937"/>
    <w:rsid w:val="00A75B8E"/>
    <w:rsid w:val="00A80111"/>
    <w:rsid w:val="00A815A0"/>
    <w:rsid w:val="00A81DF8"/>
    <w:rsid w:val="00A82739"/>
    <w:rsid w:val="00A82B55"/>
    <w:rsid w:val="00A83F39"/>
    <w:rsid w:val="00A84210"/>
    <w:rsid w:val="00A85465"/>
    <w:rsid w:val="00A866AE"/>
    <w:rsid w:val="00A878A5"/>
    <w:rsid w:val="00A87D38"/>
    <w:rsid w:val="00A92225"/>
    <w:rsid w:val="00A9381F"/>
    <w:rsid w:val="00A958D5"/>
    <w:rsid w:val="00A95B9A"/>
    <w:rsid w:val="00A95CB4"/>
    <w:rsid w:val="00A96E55"/>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F0C"/>
    <w:rsid w:val="00AC1EC5"/>
    <w:rsid w:val="00AC4AC4"/>
    <w:rsid w:val="00AC7F40"/>
    <w:rsid w:val="00AC7FDF"/>
    <w:rsid w:val="00AD0544"/>
    <w:rsid w:val="00AD061A"/>
    <w:rsid w:val="00AD1C15"/>
    <w:rsid w:val="00AD35F0"/>
    <w:rsid w:val="00AD6B3C"/>
    <w:rsid w:val="00AE099A"/>
    <w:rsid w:val="00AE154F"/>
    <w:rsid w:val="00AE18E1"/>
    <w:rsid w:val="00AE1EE1"/>
    <w:rsid w:val="00AE207E"/>
    <w:rsid w:val="00AE2782"/>
    <w:rsid w:val="00AE2C20"/>
    <w:rsid w:val="00AE3DAE"/>
    <w:rsid w:val="00AE412E"/>
    <w:rsid w:val="00AE5E46"/>
    <w:rsid w:val="00AF05EC"/>
    <w:rsid w:val="00AF252E"/>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06AA"/>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2AB"/>
    <w:rsid w:val="00B24486"/>
    <w:rsid w:val="00B24846"/>
    <w:rsid w:val="00B24A2C"/>
    <w:rsid w:val="00B26963"/>
    <w:rsid w:val="00B26AA4"/>
    <w:rsid w:val="00B30BDA"/>
    <w:rsid w:val="00B30C98"/>
    <w:rsid w:val="00B32AE8"/>
    <w:rsid w:val="00B3323A"/>
    <w:rsid w:val="00B34ECD"/>
    <w:rsid w:val="00B36696"/>
    <w:rsid w:val="00B37145"/>
    <w:rsid w:val="00B418D6"/>
    <w:rsid w:val="00B446F9"/>
    <w:rsid w:val="00B46ADF"/>
    <w:rsid w:val="00B50382"/>
    <w:rsid w:val="00B512A3"/>
    <w:rsid w:val="00B51F04"/>
    <w:rsid w:val="00B53331"/>
    <w:rsid w:val="00B559B2"/>
    <w:rsid w:val="00B565D4"/>
    <w:rsid w:val="00B56BAF"/>
    <w:rsid w:val="00B56D2F"/>
    <w:rsid w:val="00B56DA8"/>
    <w:rsid w:val="00B57BF8"/>
    <w:rsid w:val="00B60E51"/>
    <w:rsid w:val="00B634A7"/>
    <w:rsid w:val="00B63F7F"/>
    <w:rsid w:val="00B6537F"/>
    <w:rsid w:val="00B65433"/>
    <w:rsid w:val="00B65D0C"/>
    <w:rsid w:val="00B65DEE"/>
    <w:rsid w:val="00B673D7"/>
    <w:rsid w:val="00B71571"/>
    <w:rsid w:val="00B715B1"/>
    <w:rsid w:val="00B7619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B2985"/>
    <w:rsid w:val="00BC0A20"/>
    <w:rsid w:val="00BC21A0"/>
    <w:rsid w:val="00BC4EF3"/>
    <w:rsid w:val="00BC77C0"/>
    <w:rsid w:val="00BD0B25"/>
    <w:rsid w:val="00BD234D"/>
    <w:rsid w:val="00BD2561"/>
    <w:rsid w:val="00BD5DCD"/>
    <w:rsid w:val="00BD616D"/>
    <w:rsid w:val="00BD6C4D"/>
    <w:rsid w:val="00BE0997"/>
    <w:rsid w:val="00BE1136"/>
    <w:rsid w:val="00BE1907"/>
    <w:rsid w:val="00BE1A97"/>
    <w:rsid w:val="00BE3AF3"/>
    <w:rsid w:val="00BE485B"/>
    <w:rsid w:val="00BE6A74"/>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11EE9"/>
    <w:rsid w:val="00C12B8C"/>
    <w:rsid w:val="00C155D9"/>
    <w:rsid w:val="00C2211D"/>
    <w:rsid w:val="00C2344F"/>
    <w:rsid w:val="00C246F2"/>
    <w:rsid w:val="00C26707"/>
    <w:rsid w:val="00C27719"/>
    <w:rsid w:val="00C31BCD"/>
    <w:rsid w:val="00C320EB"/>
    <w:rsid w:val="00C32F7B"/>
    <w:rsid w:val="00C33845"/>
    <w:rsid w:val="00C3513F"/>
    <w:rsid w:val="00C355AA"/>
    <w:rsid w:val="00C36223"/>
    <w:rsid w:val="00C40725"/>
    <w:rsid w:val="00C4207E"/>
    <w:rsid w:val="00C451A3"/>
    <w:rsid w:val="00C4577E"/>
    <w:rsid w:val="00C50C8F"/>
    <w:rsid w:val="00C50D41"/>
    <w:rsid w:val="00C51156"/>
    <w:rsid w:val="00C52C8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53C0"/>
    <w:rsid w:val="00C96E5A"/>
    <w:rsid w:val="00C97ACC"/>
    <w:rsid w:val="00CA056D"/>
    <w:rsid w:val="00CA181F"/>
    <w:rsid w:val="00CA22C7"/>
    <w:rsid w:val="00CA2A54"/>
    <w:rsid w:val="00CA3219"/>
    <w:rsid w:val="00CB01EB"/>
    <w:rsid w:val="00CB0DFA"/>
    <w:rsid w:val="00CB250C"/>
    <w:rsid w:val="00CB34D5"/>
    <w:rsid w:val="00CB6CB0"/>
    <w:rsid w:val="00CC1114"/>
    <w:rsid w:val="00CC134C"/>
    <w:rsid w:val="00CC36F9"/>
    <w:rsid w:val="00CC3E8F"/>
    <w:rsid w:val="00CD0BA2"/>
    <w:rsid w:val="00CD18DE"/>
    <w:rsid w:val="00CD2E30"/>
    <w:rsid w:val="00CD643B"/>
    <w:rsid w:val="00CD7B7F"/>
    <w:rsid w:val="00CE0D42"/>
    <w:rsid w:val="00CE1182"/>
    <w:rsid w:val="00CE19D1"/>
    <w:rsid w:val="00CE23EF"/>
    <w:rsid w:val="00CE6197"/>
    <w:rsid w:val="00CE6490"/>
    <w:rsid w:val="00CE6BEE"/>
    <w:rsid w:val="00CE702E"/>
    <w:rsid w:val="00CE7723"/>
    <w:rsid w:val="00CF088A"/>
    <w:rsid w:val="00CF1AEC"/>
    <w:rsid w:val="00CF38F2"/>
    <w:rsid w:val="00CF5CD7"/>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3B35"/>
    <w:rsid w:val="00D5648F"/>
    <w:rsid w:val="00D56E3B"/>
    <w:rsid w:val="00D57CC2"/>
    <w:rsid w:val="00D616EC"/>
    <w:rsid w:val="00D625B8"/>
    <w:rsid w:val="00D648BA"/>
    <w:rsid w:val="00D66709"/>
    <w:rsid w:val="00D66A4D"/>
    <w:rsid w:val="00D724E1"/>
    <w:rsid w:val="00D76A95"/>
    <w:rsid w:val="00D801E1"/>
    <w:rsid w:val="00D82515"/>
    <w:rsid w:val="00D82682"/>
    <w:rsid w:val="00D82E21"/>
    <w:rsid w:val="00D840E2"/>
    <w:rsid w:val="00D846FE"/>
    <w:rsid w:val="00D860CB"/>
    <w:rsid w:val="00D8744F"/>
    <w:rsid w:val="00D87C68"/>
    <w:rsid w:val="00D92783"/>
    <w:rsid w:val="00D92B70"/>
    <w:rsid w:val="00D92D3B"/>
    <w:rsid w:val="00D9456A"/>
    <w:rsid w:val="00D94B4E"/>
    <w:rsid w:val="00D94DBD"/>
    <w:rsid w:val="00DA00BB"/>
    <w:rsid w:val="00DA38F9"/>
    <w:rsid w:val="00DA776D"/>
    <w:rsid w:val="00DA7AAB"/>
    <w:rsid w:val="00DB0815"/>
    <w:rsid w:val="00DB1859"/>
    <w:rsid w:val="00DB3ABE"/>
    <w:rsid w:val="00DB6676"/>
    <w:rsid w:val="00DC2749"/>
    <w:rsid w:val="00DC2ABE"/>
    <w:rsid w:val="00DC59DE"/>
    <w:rsid w:val="00DC7217"/>
    <w:rsid w:val="00DC79BB"/>
    <w:rsid w:val="00DD11EB"/>
    <w:rsid w:val="00DD1B8B"/>
    <w:rsid w:val="00DD1F32"/>
    <w:rsid w:val="00DD23D6"/>
    <w:rsid w:val="00DD4855"/>
    <w:rsid w:val="00DD6E80"/>
    <w:rsid w:val="00DD75C4"/>
    <w:rsid w:val="00DE1FBA"/>
    <w:rsid w:val="00DE4550"/>
    <w:rsid w:val="00DE55DE"/>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D15"/>
    <w:rsid w:val="00E25A13"/>
    <w:rsid w:val="00E25E35"/>
    <w:rsid w:val="00E26F75"/>
    <w:rsid w:val="00E3064C"/>
    <w:rsid w:val="00E33007"/>
    <w:rsid w:val="00E34483"/>
    <w:rsid w:val="00E3456D"/>
    <w:rsid w:val="00E406B2"/>
    <w:rsid w:val="00E4190D"/>
    <w:rsid w:val="00E44987"/>
    <w:rsid w:val="00E44EB9"/>
    <w:rsid w:val="00E44F34"/>
    <w:rsid w:val="00E45859"/>
    <w:rsid w:val="00E47666"/>
    <w:rsid w:val="00E47C2B"/>
    <w:rsid w:val="00E504E9"/>
    <w:rsid w:val="00E507A9"/>
    <w:rsid w:val="00E5253D"/>
    <w:rsid w:val="00E53860"/>
    <w:rsid w:val="00E554E7"/>
    <w:rsid w:val="00E5688C"/>
    <w:rsid w:val="00E57C72"/>
    <w:rsid w:val="00E60AEE"/>
    <w:rsid w:val="00E6547E"/>
    <w:rsid w:val="00E65E36"/>
    <w:rsid w:val="00E669A1"/>
    <w:rsid w:val="00E67625"/>
    <w:rsid w:val="00E700D9"/>
    <w:rsid w:val="00E75FF6"/>
    <w:rsid w:val="00E77A6F"/>
    <w:rsid w:val="00E8390A"/>
    <w:rsid w:val="00E83A3B"/>
    <w:rsid w:val="00E901D7"/>
    <w:rsid w:val="00E9172D"/>
    <w:rsid w:val="00E91BD8"/>
    <w:rsid w:val="00E922BE"/>
    <w:rsid w:val="00E9258D"/>
    <w:rsid w:val="00E9268E"/>
    <w:rsid w:val="00E92B00"/>
    <w:rsid w:val="00E9368B"/>
    <w:rsid w:val="00E94D9A"/>
    <w:rsid w:val="00E951CA"/>
    <w:rsid w:val="00E953FA"/>
    <w:rsid w:val="00E97D0F"/>
    <w:rsid w:val="00E97E28"/>
    <w:rsid w:val="00EA0121"/>
    <w:rsid w:val="00EA484D"/>
    <w:rsid w:val="00EA4A96"/>
    <w:rsid w:val="00EA765B"/>
    <w:rsid w:val="00EB1A14"/>
    <w:rsid w:val="00EB1C95"/>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724"/>
    <w:rsid w:val="00EF1853"/>
    <w:rsid w:val="00EF1AA9"/>
    <w:rsid w:val="00EF1B4E"/>
    <w:rsid w:val="00EF1CC2"/>
    <w:rsid w:val="00EF3963"/>
    <w:rsid w:val="00EF5079"/>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5E5A"/>
    <w:rsid w:val="00F50172"/>
    <w:rsid w:val="00F54740"/>
    <w:rsid w:val="00F565D0"/>
    <w:rsid w:val="00F57A3E"/>
    <w:rsid w:val="00F60F9E"/>
    <w:rsid w:val="00F62899"/>
    <w:rsid w:val="00F637A9"/>
    <w:rsid w:val="00F63A4A"/>
    <w:rsid w:val="00F63E31"/>
    <w:rsid w:val="00F645AE"/>
    <w:rsid w:val="00F67D00"/>
    <w:rsid w:val="00F67D2C"/>
    <w:rsid w:val="00F70011"/>
    <w:rsid w:val="00F720FA"/>
    <w:rsid w:val="00F733B2"/>
    <w:rsid w:val="00F75DF6"/>
    <w:rsid w:val="00F772EA"/>
    <w:rsid w:val="00F77698"/>
    <w:rsid w:val="00F77C16"/>
    <w:rsid w:val="00F83BC2"/>
    <w:rsid w:val="00F84ED2"/>
    <w:rsid w:val="00F87AC1"/>
    <w:rsid w:val="00F90290"/>
    <w:rsid w:val="00F915B8"/>
    <w:rsid w:val="00F91B3B"/>
    <w:rsid w:val="00F94EC0"/>
    <w:rsid w:val="00F976C6"/>
    <w:rsid w:val="00FA0C52"/>
    <w:rsid w:val="00FA1CFB"/>
    <w:rsid w:val="00FA215D"/>
    <w:rsid w:val="00FA2451"/>
    <w:rsid w:val="00FA2726"/>
    <w:rsid w:val="00FA3FB9"/>
    <w:rsid w:val="00FA457D"/>
    <w:rsid w:val="00FA6E33"/>
    <w:rsid w:val="00FA72B1"/>
    <w:rsid w:val="00FC479C"/>
    <w:rsid w:val="00FC6E57"/>
    <w:rsid w:val="00FC7151"/>
    <w:rsid w:val="00FD0560"/>
    <w:rsid w:val="00FD0C02"/>
    <w:rsid w:val="00FD1275"/>
    <w:rsid w:val="00FD1FCF"/>
    <w:rsid w:val="00FD282F"/>
    <w:rsid w:val="00FD6EAA"/>
    <w:rsid w:val="00FE0ABB"/>
    <w:rsid w:val="00FE141F"/>
    <w:rsid w:val="00FE20F0"/>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6A9D"/>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mc">
    <w:name w:val="mc"/>
    <w:basedOn w:val="DefaultParagraphFont"/>
    <w:rsid w:val="0046496F"/>
  </w:style>
  <w:style w:type="character" w:customStyle="1" w:styleId="Heading2Char">
    <w:name w:val="Heading 2 Char"/>
    <w:basedOn w:val="DefaultParagraphFont"/>
    <w:link w:val="Heading2"/>
    <w:uiPriority w:val="9"/>
    <w:rsid w:val="00576A9D"/>
    <w:rPr>
      <w:rFonts w:ascii="Times New Roman" w:eastAsia="Times New Roman" w:hAnsi="Times New Roman" w:cs="Times New Roman"/>
      <w:b/>
      <w:bCs/>
      <w:color w:val="auto"/>
      <w:sz w:val="36"/>
      <w:szCs w:val="36"/>
      <w:lang w:eastAsia="en-GB"/>
    </w:rPr>
  </w:style>
  <w:style w:type="character" w:customStyle="1" w:styleId="result-title">
    <w:name w:val="result-title"/>
    <w:basedOn w:val="DefaultParagraphFont"/>
    <w:rsid w:val="0057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92951">
      <w:bodyDiv w:val="1"/>
      <w:marLeft w:val="0"/>
      <w:marRight w:val="0"/>
      <w:marTop w:val="0"/>
      <w:marBottom w:val="0"/>
      <w:divBdr>
        <w:top w:val="none" w:sz="0" w:space="0" w:color="auto"/>
        <w:left w:val="none" w:sz="0" w:space="0" w:color="auto"/>
        <w:bottom w:val="none" w:sz="0" w:space="0" w:color="auto"/>
        <w:right w:val="none" w:sz="0" w:space="0" w:color="auto"/>
      </w:divBdr>
      <w:divsChild>
        <w:div w:id="1628464654">
          <w:marLeft w:val="0"/>
          <w:marRight w:val="0"/>
          <w:marTop w:val="240"/>
          <w:marBottom w:val="0"/>
          <w:divBdr>
            <w:top w:val="none" w:sz="0" w:space="0" w:color="auto"/>
            <w:left w:val="none" w:sz="0" w:space="0" w:color="auto"/>
            <w:bottom w:val="none" w:sz="0" w:space="0" w:color="auto"/>
            <w:right w:val="none" w:sz="0" w:space="0" w:color="auto"/>
          </w:divBdr>
        </w:div>
        <w:div w:id="1378505193">
          <w:marLeft w:val="0"/>
          <w:marRight w:val="0"/>
          <w:marTop w:val="120"/>
          <w:marBottom w:val="0"/>
          <w:divBdr>
            <w:top w:val="none" w:sz="0" w:space="0" w:color="auto"/>
            <w:left w:val="none" w:sz="0" w:space="0" w:color="auto"/>
            <w:bottom w:val="none" w:sz="0" w:space="0" w:color="auto"/>
            <w:right w:val="none" w:sz="0" w:space="0" w:color="auto"/>
          </w:divBdr>
        </w:div>
      </w:divsChild>
    </w:div>
    <w:div w:id="17492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2A3A-F870-457D-A818-08E4F0CA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cp:lastPrinted>2023-11-26T14:33:00Z</cp:lastPrinted>
  <dcterms:created xsi:type="dcterms:W3CDTF">2024-05-04T11:41:00Z</dcterms:created>
  <dcterms:modified xsi:type="dcterms:W3CDTF">2024-05-07T18:39:00Z</dcterms:modified>
</cp:coreProperties>
</file>