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43406" w14:textId="7E90C7CF" w:rsidR="00D3574B" w:rsidRPr="00D3574B" w:rsidRDefault="00D3574B" w:rsidP="00D3574B">
      <w:pPr>
        <w:rPr>
          <w:color w:val="FF0000"/>
          <w:u w:val="single"/>
        </w:rPr>
      </w:pPr>
      <w:r>
        <w:rPr>
          <w:color w:val="FF0000"/>
        </w:rPr>
        <w:t>Editorial note: Certain information has been redacted from this judgment in compliance with the law.</w:t>
      </w:r>
    </w:p>
    <w:p w14:paraId="3BB46367" w14:textId="436FD968"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0CFB8BF0" w:rsidR="00D450B5" w:rsidRPr="00044B50" w:rsidRDefault="00797E4E"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Pr>
          <w:b/>
          <w:bCs/>
          <w:lang w:val="en-GB"/>
        </w:rPr>
        <w:t>M</w:t>
      </w:r>
      <w:r w:rsidR="00F054C9">
        <w:rPr>
          <w:b/>
          <w:bCs/>
          <w:lang w:val="en-GB"/>
        </w:rPr>
        <w:t>THATHA</w:t>
      </w:r>
      <w:r>
        <w:rPr>
          <w:b/>
          <w:bCs/>
          <w:lang w:val="en-GB"/>
        </w:rPr>
        <w:t>)</w:t>
      </w:r>
    </w:p>
    <w:p w14:paraId="260381A7" w14:textId="77777777" w:rsidR="00D450B5" w:rsidRPr="00044B50" w:rsidRDefault="00D450B5" w:rsidP="00772E4B">
      <w:pPr>
        <w:widowControl w:val="0"/>
        <w:jc w:val="both"/>
        <w:rPr>
          <w:spacing w:val="14"/>
          <w:kern w:val="2"/>
          <w:u w:val="single"/>
          <w:lang w:val="en-GB"/>
        </w:rPr>
      </w:pPr>
    </w:p>
    <w:p w14:paraId="434E4AD9" w14:textId="6665F8C7" w:rsidR="00D450B5" w:rsidRPr="00044B50" w:rsidRDefault="00D450B5" w:rsidP="0094300A">
      <w:pPr>
        <w:tabs>
          <w:tab w:val="left" w:pos="8931"/>
        </w:tabs>
        <w:ind w:right="89"/>
        <w:jc w:val="center"/>
        <w:rPr>
          <w:b/>
          <w:bCs/>
          <w:lang w:val="en-GB"/>
        </w:rPr>
      </w:pPr>
      <w:r w:rsidRPr="00044B50">
        <w:rPr>
          <w:lang w:val="en-GB"/>
        </w:rPr>
        <w:t xml:space="preserve">                                                                                           </w:t>
      </w:r>
      <w:r w:rsidR="0094300A">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4934DB4B" w14:textId="0164D229" w:rsidR="00E44987" w:rsidRPr="00044B50" w:rsidRDefault="0094300A" w:rsidP="0094300A">
      <w:pPr>
        <w:ind w:left="5760" w:right="89" w:firstLine="720"/>
        <w:rPr>
          <w:lang w:val="en-GB"/>
        </w:rPr>
      </w:pPr>
      <w:r>
        <w:rPr>
          <w:lang w:val="en-GB"/>
        </w:rPr>
        <w:t xml:space="preserve">   </w:t>
      </w:r>
      <w:r w:rsidR="00E44987" w:rsidRPr="00044B50">
        <w:rPr>
          <w:lang w:val="en-GB"/>
        </w:rPr>
        <w:t xml:space="preserve">Case no: </w:t>
      </w:r>
      <w:r w:rsidR="00907FBE">
        <w:rPr>
          <w:lang w:val="en-GB"/>
        </w:rPr>
        <w:t>1433/2015</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72A8BF9B" w14:textId="3D0E53AE" w:rsidR="002166D6" w:rsidRPr="00797E4E" w:rsidRDefault="00D3574B" w:rsidP="002166D6">
      <w:pPr>
        <w:tabs>
          <w:tab w:val="left" w:pos="6946"/>
        </w:tabs>
        <w:suppressAutoHyphens/>
        <w:ind w:right="-52"/>
        <w:jc w:val="both"/>
        <w:rPr>
          <w:b/>
          <w:bCs/>
          <w:lang w:val="en-GB"/>
        </w:rPr>
      </w:pPr>
      <w:proofErr w:type="gramStart"/>
      <w:r>
        <w:rPr>
          <w:b/>
          <w:bCs/>
          <w:lang w:val="en-GB"/>
        </w:rPr>
        <w:t>S[</w:t>
      </w:r>
      <w:proofErr w:type="gramEnd"/>
      <w:r>
        <w:rPr>
          <w:b/>
          <w:bCs/>
          <w:lang w:val="en-GB"/>
        </w:rPr>
        <w:t>…]</w:t>
      </w:r>
      <w:r w:rsidR="002166D6">
        <w:rPr>
          <w:b/>
          <w:bCs/>
          <w:lang w:val="en-GB"/>
        </w:rPr>
        <w:t xml:space="preserve"> M</w:t>
      </w:r>
      <w:r>
        <w:rPr>
          <w:b/>
          <w:bCs/>
          <w:lang w:val="en-GB"/>
        </w:rPr>
        <w:t>[…]</w:t>
      </w:r>
      <w:r w:rsidR="002166D6">
        <w:rPr>
          <w:b/>
          <w:bCs/>
          <w:lang w:val="en-GB"/>
        </w:rPr>
        <w:tab/>
      </w:r>
      <w:r w:rsidR="002166D6">
        <w:rPr>
          <w:b/>
          <w:bCs/>
          <w:lang w:val="en-GB"/>
        </w:rPr>
        <w:tab/>
        <w:t xml:space="preserve">         Plaintiff</w:t>
      </w:r>
    </w:p>
    <w:p w14:paraId="4ECB83CF" w14:textId="77777777" w:rsidR="002166D6" w:rsidRPr="00044B50" w:rsidRDefault="002166D6" w:rsidP="002166D6">
      <w:pPr>
        <w:tabs>
          <w:tab w:val="right" w:pos="9072"/>
        </w:tabs>
        <w:suppressAutoHyphens/>
        <w:jc w:val="both"/>
        <w:rPr>
          <w:lang w:val="en-GB"/>
        </w:rPr>
      </w:pPr>
    </w:p>
    <w:p w14:paraId="708C889E" w14:textId="77777777" w:rsidR="002166D6" w:rsidRPr="00044B50" w:rsidRDefault="002166D6" w:rsidP="002166D6">
      <w:pPr>
        <w:jc w:val="both"/>
        <w:rPr>
          <w:lang w:val="en-GB"/>
        </w:rPr>
      </w:pPr>
      <w:r w:rsidRPr="00044B50">
        <w:rPr>
          <w:lang w:val="en-GB"/>
        </w:rPr>
        <w:t>and</w:t>
      </w:r>
    </w:p>
    <w:p w14:paraId="5A620F3B" w14:textId="77777777" w:rsidR="002166D6" w:rsidRPr="00044B50" w:rsidRDefault="002166D6" w:rsidP="002166D6">
      <w:pPr>
        <w:jc w:val="both"/>
        <w:rPr>
          <w:lang w:val="en-GB"/>
        </w:rPr>
      </w:pPr>
    </w:p>
    <w:p w14:paraId="7EEF31C2" w14:textId="77777777" w:rsidR="002166D6" w:rsidRDefault="002166D6" w:rsidP="002166D6">
      <w:pPr>
        <w:tabs>
          <w:tab w:val="left" w:pos="7513"/>
        </w:tabs>
        <w:ind w:right="-52"/>
        <w:jc w:val="both"/>
        <w:rPr>
          <w:b/>
          <w:bCs/>
          <w:lang w:val="en-GB"/>
        </w:rPr>
      </w:pPr>
      <w:r>
        <w:rPr>
          <w:b/>
          <w:bCs/>
          <w:lang w:val="en-GB"/>
        </w:rPr>
        <w:t xml:space="preserve">THE MEMBER OF EXECUTIVE COUNCIL FOR </w:t>
      </w:r>
      <w:r w:rsidRPr="00797E4E">
        <w:rPr>
          <w:b/>
          <w:bCs/>
          <w:lang w:val="en-GB"/>
        </w:rPr>
        <w:tab/>
      </w:r>
      <w:r>
        <w:rPr>
          <w:b/>
          <w:bCs/>
          <w:lang w:val="en-GB"/>
        </w:rPr>
        <w:t>Defendant</w:t>
      </w:r>
    </w:p>
    <w:p w14:paraId="3954CBD3" w14:textId="77777777" w:rsidR="002166D6" w:rsidRPr="00797E4E" w:rsidRDefault="002166D6" w:rsidP="002166D6">
      <w:pPr>
        <w:tabs>
          <w:tab w:val="left" w:pos="7513"/>
        </w:tabs>
        <w:ind w:right="-52"/>
        <w:jc w:val="both"/>
        <w:rPr>
          <w:b/>
          <w:bCs/>
          <w:lang w:val="en-GB"/>
        </w:rPr>
      </w:pPr>
      <w:r>
        <w:rPr>
          <w:b/>
          <w:bCs/>
          <w:lang w:val="en-GB"/>
        </w:rPr>
        <w:t>HEALTH, EASTERN CAPE PROVINCE</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344780BA" w:rsidR="00D450B5" w:rsidRPr="00044B50" w:rsidRDefault="00E763A4" w:rsidP="00772E4B">
      <w:pPr>
        <w:jc w:val="center"/>
        <w:rPr>
          <w:b/>
          <w:bCs/>
          <w:lang w:val="en-GB"/>
        </w:rPr>
      </w:pPr>
      <w:r>
        <w:rPr>
          <w:b/>
          <w:bCs/>
          <w:lang w:val="en-GB"/>
        </w:rPr>
        <w:t xml:space="preserve">REASONS FOR </w:t>
      </w:r>
      <w:r w:rsidR="00D450B5"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17C1CC63" w:rsidR="00D468AF" w:rsidRDefault="00D468AF" w:rsidP="00682CE5">
      <w:pPr>
        <w:autoSpaceDE w:val="0"/>
        <w:autoSpaceDN w:val="0"/>
        <w:adjustRightInd w:val="0"/>
        <w:jc w:val="both"/>
        <w:rPr>
          <w:lang w:val="en-GB"/>
        </w:rPr>
      </w:pPr>
    </w:p>
    <w:p w14:paraId="0B137E71" w14:textId="427B32F4" w:rsidR="00382162" w:rsidRPr="00C72EBD" w:rsidRDefault="00C72EBD" w:rsidP="00C72EBD">
      <w:pPr>
        <w:autoSpaceDE w:val="0"/>
        <w:autoSpaceDN w:val="0"/>
        <w:adjustRightInd w:val="0"/>
        <w:jc w:val="both"/>
        <w:rPr>
          <w:lang w:val="en-GB"/>
        </w:rPr>
      </w:pPr>
      <w:r>
        <w:rPr>
          <w:lang w:val="en-GB"/>
        </w:rPr>
        <w:t>[1]</w:t>
      </w:r>
      <w:r>
        <w:rPr>
          <w:lang w:val="en-GB"/>
        </w:rPr>
        <w:tab/>
      </w:r>
      <w:r w:rsidR="00782539" w:rsidRPr="00C72EBD">
        <w:rPr>
          <w:lang w:val="en-GB"/>
        </w:rPr>
        <w:t>The plaintiff sues in her personal and representative capacity on behalf of her daughter (</w:t>
      </w:r>
      <w:r w:rsidR="00382162" w:rsidRPr="00C72EBD">
        <w:rPr>
          <w:lang w:val="en-GB"/>
        </w:rPr>
        <w:t xml:space="preserve">referred to for convenience as </w:t>
      </w:r>
      <w:r w:rsidR="00D3574B">
        <w:rPr>
          <w:lang w:val="en-GB"/>
        </w:rPr>
        <w:t>‘</w:t>
      </w:r>
      <w:proofErr w:type="gramStart"/>
      <w:r w:rsidR="00D3574B">
        <w:rPr>
          <w:lang w:val="en-GB"/>
        </w:rPr>
        <w:t>S[</w:t>
      </w:r>
      <w:proofErr w:type="gramEnd"/>
      <w:r w:rsidR="00D3574B">
        <w:rPr>
          <w:lang w:val="en-GB"/>
        </w:rPr>
        <w:t>…]</w:t>
      </w:r>
      <w:r w:rsidR="00782539" w:rsidRPr="00C72EBD">
        <w:rPr>
          <w:lang w:val="en-GB"/>
        </w:rPr>
        <w:t xml:space="preserve">’). </w:t>
      </w:r>
      <w:r w:rsidR="00C30E81" w:rsidRPr="00C72EBD">
        <w:rPr>
          <w:lang w:val="en-GB"/>
        </w:rPr>
        <w:t>The issue</w:t>
      </w:r>
      <w:r w:rsidR="004E773F" w:rsidRPr="00C72EBD">
        <w:rPr>
          <w:lang w:val="en-GB"/>
        </w:rPr>
        <w:t>s</w:t>
      </w:r>
      <w:r w:rsidR="00C30E81" w:rsidRPr="00C72EBD">
        <w:rPr>
          <w:lang w:val="en-GB"/>
        </w:rPr>
        <w:t xml:space="preserve"> requiring determination </w:t>
      </w:r>
      <w:r w:rsidR="004E773F" w:rsidRPr="00C72EBD">
        <w:rPr>
          <w:lang w:val="en-GB"/>
        </w:rPr>
        <w:t>at the commencement of these proceedings were</w:t>
      </w:r>
      <w:r w:rsidR="00C30E81" w:rsidRPr="00C72EBD">
        <w:rPr>
          <w:lang w:val="en-GB"/>
        </w:rPr>
        <w:t xml:space="preserve"> the plaintiff’s claim</w:t>
      </w:r>
      <w:r w:rsidR="004E773F" w:rsidRPr="00C72EBD">
        <w:rPr>
          <w:lang w:val="en-GB"/>
        </w:rPr>
        <w:t>s</w:t>
      </w:r>
      <w:r w:rsidR="00C30E81" w:rsidRPr="00C72EBD">
        <w:rPr>
          <w:lang w:val="en-GB"/>
        </w:rPr>
        <w:t xml:space="preserve"> in respect of transportation, carers, domestic and auxiliary services</w:t>
      </w:r>
      <w:r w:rsidR="00782539" w:rsidRPr="00C72EBD">
        <w:rPr>
          <w:lang w:val="en-GB"/>
        </w:rPr>
        <w:t xml:space="preserve"> for </w:t>
      </w:r>
      <w:proofErr w:type="gramStart"/>
      <w:r w:rsidR="00782539" w:rsidRPr="00C72EBD">
        <w:rPr>
          <w:lang w:val="en-GB"/>
        </w:rPr>
        <w:t>S</w:t>
      </w:r>
      <w:r w:rsidR="00D3574B">
        <w:rPr>
          <w:lang w:val="en-GB"/>
        </w:rPr>
        <w:t>[</w:t>
      </w:r>
      <w:proofErr w:type="gramEnd"/>
      <w:r w:rsidR="00D3574B">
        <w:rPr>
          <w:lang w:val="en-GB"/>
        </w:rPr>
        <w:t>…]</w:t>
      </w:r>
      <w:r w:rsidR="00782539" w:rsidRPr="00C72EBD">
        <w:rPr>
          <w:lang w:val="en-GB"/>
        </w:rPr>
        <w:t xml:space="preserve">, pursuant to paraplegia caused as a result of tuberculosis of the spine and due to the defendant’s </w:t>
      </w:r>
      <w:r w:rsidR="00782539" w:rsidRPr="00C72EBD">
        <w:rPr>
          <w:lang w:val="en-GB"/>
        </w:rPr>
        <w:lastRenderedPageBreak/>
        <w:t>negligent conduct</w:t>
      </w:r>
      <w:r w:rsidR="00C30E81" w:rsidRPr="00C72EBD">
        <w:rPr>
          <w:lang w:val="en-GB"/>
        </w:rPr>
        <w:t xml:space="preserve">. </w:t>
      </w:r>
      <w:proofErr w:type="gramStart"/>
      <w:r w:rsidR="00382162" w:rsidRPr="00C72EBD">
        <w:rPr>
          <w:lang w:val="en-GB"/>
        </w:rPr>
        <w:t>S</w:t>
      </w:r>
      <w:r w:rsidR="00D3574B">
        <w:rPr>
          <w:lang w:val="en-GB"/>
        </w:rPr>
        <w:t>[</w:t>
      </w:r>
      <w:proofErr w:type="gramEnd"/>
      <w:r w:rsidR="00D3574B">
        <w:rPr>
          <w:lang w:val="en-GB"/>
        </w:rPr>
        <w:t>…]</w:t>
      </w:r>
      <w:r w:rsidR="009405D3" w:rsidRPr="00C72EBD">
        <w:rPr>
          <w:lang w:val="en-GB"/>
        </w:rPr>
        <w:t xml:space="preserve"> became permanently paralysed in 2011, at the age of six</w:t>
      </w:r>
      <w:r w:rsidR="004077DC" w:rsidRPr="00C72EBD">
        <w:rPr>
          <w:lang w:val="en-GB"/>
        </w:rPr>
        <w:t xml:space="preserve"> and has since been confined to a wheelchair</w:t>
      </w:r>
      <w:r w:rsidR="00007F3A" w:rsidRPr="00C72EBD">
        <w:rPr>
          <w:lang w:val="en-GB"/>
        </w:rPr>
        <w:t>.</w:t>
      </w:r>
    </w:p>
    <w:p w14:paraId="29827DF4" w14:textId="112E20BE" w:rsidR="000C67E0" w:rsidRPr="00C72EBD" w:rsidRDefault="00C72EBD" w:rsidP="00C72EBD">
      <w:pPr>
        <w:autoSpaceDE w:val="0"/>
        <w:autoSpaceDN w:val="0"/>
        <w:adjustRightInd w:val="0"/>
        <w:jc w:val="both"/>
        <w:rPr>
          <w:lang w:val="en-GB"/>
        </w:rPr>
      </w:pPr>
      <w:r>
        <w:rPr>
          <w:lang w:val="en-GB"/>
        </w:rPr>
        <w:t>[2]</w:t>
      </w:r>
      <w:r>
        <w:rPr>
          <w:lang w:val="en-GB"/>
        </w:rPr>
        <w:tab/>
      </w:r>
      <w:r w:rsidR="009233DF" w:rsidRPr="00C72EBD">
        <w:rPr>
          <w:lang w:val="en-GB"/>
        </w:rPr>
        <w:t xml:space="preserve">The defendant has conceded liability in respect of the plaintiff’s claim in her representative capacity. </w:t>
      </w:r>
      <w:r w:rsidR="00007F3A" w:rsidRPr="00C72EBD">
        <w:rPr>
          <w:lang w:val="en-GB"/>
        </w:rPr>
        <w:t>Various</w:t>
      </w:r>
      <w:r w:rsidR="00C30E81" w:rsidRPr="00C72EBD">
        <w:rPr>
          <w:lang w:val="en-GB"/>
        </w:rPr>
        <w:t xml:space="preserve"> issues were postponed for trial, the balance of issues</w:t>
      </w:r>
      <w:r w:rsidR="00D67324" w:rsidRPr="00C72EBD">
        <w:rPr>
          <w:lang w:val="en-GB"/>
        </w:rPr>
        <w:t>, other than past and future medical expenses,</w:t>
      </w:r>
      <w:r w:rsidR="00C30E81" w:rsidRPr="00C72EBD">
        <w:rPr>
          <w:lang w:val="en-GB"/>
        </w:rPr>
        <w:t xml:space="preserve"> having been determined by agreement and made an order of court before Laing J on 15 March 2023. </w:t>
      </w:r>
    </w:p>
    <w:p w14:paraId="65B0FCE3" w14:textId="77777777" w:rsidR="0020191D" w:rsidRDefault="0020191D" w:rsidP="0020191D">
      <w:pPr>
        <w:pStyle w:val="ListParagraph"/>
        <w:autoSpaceDE w:val="0"/>
        <w:autoSpaceDN w:val="0"/>
        <w:adjustRightInd w:val="0"/>
        <w:ind w:left="0"/>
        <w:jc w:val="both"/>
        <w:rPr>
          <w:lang w:val="en-GB"/>
        </w:rPr>
      </w:pPr>
    </w:p>
    <w:p w14:paraId="384874C6" w14:textId="49960571" w:rsidR="00115E6B" w:rsidRPr="00C72EBD" w:rsidRDefault="00C72EBD" w:rsidP="00C72EBD">
      <w:pPr>
        <w:autoSpaceDE w:val="0"/>
        <w:autoSpaceDN w:val="0"/>
        <w:adjustRightInd w:val="0"/>
        <w:jc w:val="both"/>
        <w:rPr>
          <w:lang w:val="en-GB"/>
        </w:rPr>
      </w:pPr>
      <w:r w:rsidRPr="005C7E20">
        <w:rPr>
          <w:lang w:val="en-GB"/>
        </w:rPr>
        <w:t>[3]</w:t>
      </w:r>
      <w:r w:rsidRPr="005C7E20">
        <w:rPr>
          <w:lang w:val="en-GB"/>
        </w:rPr>
        <w:tab/>
      </w:r>
      <w:r w:rsidR="004E773F" w:rsidRPr="00C72EBD">
        <w:rPr>
          <w:lang w:val="en-GB"/>
        </w:rPr>
        <w:t>On the pleadings, t</w:t>
      </w:r>
      <w:r w:rsidR="0020191D" w:rsidRPr="00C72EBD">
        <w:rPr>
          <w:lang w:val="en-GB"/>
        </w:rPr>
        <w:t>he defendant accept</w:t>
      </w:r>
      <w:r w:rsidR="004E773F" w:rsidRPr="00C72EBD">
        <w:rPr>
          <w:lang w:val="en-GB"/>
        </w:rPr>
        <w:t>ed</w:t>
      </w:r>
      <w:r w:rsidR="0020191D" w:rsidRPr="00C72EBD">
        <w:rPr>
          <w:lang w:val="en-GB"/>
        </w:rPr>
        <w:t xml:space="preserve"> that various forms of medical treatment and therapy, special adaptive aids and devices are required by </w:t>
      </w:r>
      <w:proofErr w:type="gramStart"/>
      <w:r w:rsidR="0020191D" w:rsidRPr="00C72EBD">
        <w:rPr>
          <w:lang w:val="en-GB"/>
        </w:rPr>
        <w:t>S</w:t>
      </w:r>
      <w:r w:rsidR="00AE151F">
        <w:rPr>
          <w:lang w:val="en-GB"/>
        </w:rPr>
        <w:t>[</w:t>
      </w:r>
      <w:proofErr w:type="gramEnd"/>
      <w:r w:rsidR="00AE151F">
        <w:rPr>
          <w:lang w:val="en-GB"/>
        </w:rPr>
        <w:t>…]</w:t>
      </w:r>
      <w:r w:rsidR="0020191D" w:rsidRPr="00C72EBD">
        <w:rPr>
          <w:lang w:val="en-GB"/>
        </w:rPr>
        <w:t>, but denie</w:t>
      </w:r>
      <w:r w:rsidR="00DE618E" w:rsidRPr="00C72EBD">
        <w:rPr>
          <w:lang w:val="en-GB"/>
        </w:rPr>
        <w:t>d</w:t>
      </w:r>
      <w:r w:rsidR="0020191D" w:rsidRPr="00C72EBD">
        <w:rPr>
          <w:lang w:val="en-GB"/>
        </w:rPr>
        <w:t xml:space="preserve"> that permanent and continuous care </w:t>
      </w:r>
      <w:r w:rsidR="0000475E" w:rsidRPr="00C72EBD">
        <w:rPr>
          <w:lang w:val="en-GB"/>
        </w:rPr>
        <w:t>would</w:t>
      </w:r>
      <w:r w:rsidR="0020191D" w:rsidRPr="00C72EBD">
        <w:rPr>
          <w:lang w:val="en-GB"/>
        </w:rPr>
        <w:t xml:space="preserve"> be required. In addition, the defendant plead</w:t>
      </w:r>
      <w:r w:rsidR="00BE0E84" w:rsidRPr="00C72EBD">
        <w:rPr>
          <w:lang w:val="en-GB"/>
        </w:rPr>
        <w:t>ed</w:t>
      </w:r>
      <w:r w:rsidR="0020191D" w:rsidRPr="00C72EBD">
        <w:rPr>
          <w:lang w:val="en-GB"/>
        </w:rPr>
        <w:t xml:space="preserve"> that </w:t>
      </w:r>
      <w:proofErr w:type="gramStart"/>
      <w:r w:rsidR="0020191D" w:rsidRPr="00C72EBD">
        <w:rPr>
          <w:lang w:val="en-GB"/>
        </w:rPr>
        <w:t>S</w:t>
      </w:r>
      <w:r w:rsidR="00AE151F">
        <w:rPr>
          <w:lang w:val="en-GB"/>
        </w:rPr>
        <w:t>[</w:t>
      </w:r>
      <w:proofErr w:type="gramEnd"/>
      <w:r w:rsidR="00AE151F">
        <w:rPr>
          <w:lang w:val="en-GB"/>
        </w:rPr>
        <w:t>…]</w:t>
      </w:r>
      <w:r w:rsidR="0020191D" w:rsidRPr="00C72EBD">
        <w:rPr>
          <w:lang w:val="en-GB"/>
        </w:rPr>
        <w:t xml:space="preserve"> </w:t>
      </w:r>
      <w:r w:rsidR="00D5192A" w:rsidRPr="00C72EBD">
        <w:rPr>
          <w:lang w:val="en-GB"/>
        </w:rPr>
        <w:t>would</w:t>
      </w:r>
      <w:r w:rsidR="0020191D" w:rsidRPr="00C72EBD">
        <w:rPr>
          <w:lang w:val="en-GB"/>
        </w:rPr>
        <w:t xml:space="preserve"> only require a caregiver from 35 years of age, and not currently. </w:t>
      </w:r>
      <w:r w:rsidR="00115E6B" w:rsidRPr="00C72EBD">
        <w:rPr>
          <w:lang w:val="en-GB"/>
        </w:rPr>
        <w:t xml:space="preserve">On the plaintiff’s pleaded case, </w:t>
      </w:r>
      <w:proofErr w:type="gramStart"/>
      <w:r w:rsidR="00115E6B" w:rsidRPr="00C72EBD">
        <w:rPr>
          <w:lang w:val="en-GB"/>
        </w:rPr>
        <w:t>S</w:t>
      </w:r>
      <w:r w:rsidR="00AE151F">
        <w:rPr>
          <w:lang w:val="en-GB"/>
        </w:rPr>
        <w:t>[</w:t>
      </w:r>
      <w:proofErr w:type="gramEnd"/>
      <w:r w:rsidR="00AE151F">
        <w:rPr>
          <w:lang w:val="en-GB"/>
        </w:rPr>
        <w:t>…]</w:t>
      </w:r>
      <w:r w:rsidR="00115E6B" w:rsidRPr="00C72EBD">
        <w:rPr>
          <w:lang w:val="en-GB"/>
        </w:rPr>
        <w:t xml:space="preserve"> requires caregiver assistance immediately, the level of support increasing from age 36 onwards to allow for ‘live-in, full-time care and oversight’.</w:t>
      </w:r>
      <w:r w:rsidR="00E077A4" w:rsidRPr="00C72EBD">
        <w:rPr>
          <w:lang w:val="en-GB"/>
        </w:rPr>
        <w:t xml:space="preserve"> </w:t>
      </w:r>
    </w:p>
    <w:p w14:paraId="6728CC66" w14:textId="77777777" w:rsidR="004E773F" w:rsidRPr="004E773F" w:rsidRDefault="004E773F" w:rsidP="004E773F">
      <w:pPr>
        <w:pStyle w:val="ListParagraph"/>
        <w:rPr>
          <w:lang w:val="en-GB"/>
        </w:rPr>
      </w:pPr>
    </w:p>
    <w:p w14:paraId="10B47420" w14:textId="496A1AAD" w:rsidR="00CB73CA" w:rsidRPr="00C72EBD" w:rsidRDefault="00C72EBD" w:rsidP="00C72EBD">
      <w:pPr>
        <w:autoSpaceDE w:val="0"/>
        <w:autoSpaceDN w:val="0"/>
        <w:adjustRightInd w:val="0"/>
        <w:jc w:val="both"/>
        <w:rPr>
          <w:lang w:val="en-GB"/>
        </w:rPr>
      </w:pPr>
      <w:r>
        <w:rPr>
          <w:lang w:val="en-GB"/>
        </w:rPr>
        <w:t>[4]</w:t>
      </w:r>
      <w:r>
        <w:rPr>
          <w:lang w:val="en-GB"/>
        </w:rPr>
        <w:tab/>
      </w:r>
      <w:r w:rsidR="007F28C0" w:rsidRPr="00C72EBD">
        <w:rPr>
          <w:lang w:val="en-GB"/>
        </w:rPr>
        <w:t xml:space="preserve">A further pre-trial minute reflects a figure of R1 032 898,00, being the average between the parties’ respective actuarial calculations, for domestic assistance. </w:t>
      </w:r>
      <w:r w:rsidR="0049353E" w:rsidRPr="00C72EBD">
        <w:rPr>
          <w:lang w:val="en-GB"/>
        </w:rPr>
        <w:t xml:space="preserve">It may be added that an interim payment in respect of ‘carers / domestic workers’ in the amount of </w:t>
      </w:r>
      <w:r w:rsidR="001C4D08" w:rsidRPr="00C72EBD">
        <w:rPr>
          <w:lang w:val="en-GB"/>
        </w:rPr>
        <w:t>R 1 million</w:t>
      </w:r>
      <w:r w:rsidR="0049353E" w:rsidRPr="00C72EBD">
        <w:rPr>
          <w:lang w:val="en-GB"/>
        </w:rPr>
        <w:t xml:space="preserve"> has already been made, and must be factored one way or another. </w:t>
      </w:r>
      <w:r w:rsidR="007F28C0" w:rsidRPr="00C72EBD">
        <w:rPr>
          <w:lang w:val="en-GB"/>
        </w:rPr>
        <w:t>There has been agreement that the plaintiff is entitled to a motor vehicle to the value of R713 421,</w:t>
      </w:r>
      <w:r w:rsidR="00F70F3C" w:rsidRPr="00C72EBD">
        <w:rPr>
          <w:lang w:val="en-GB"/>
        </w:rPr>
        <w:t>00</w:t>
      </w:r>
      <w:r w:rsidR="007F28C0" w:rsidRPr="00C72EBD">
        <w:rPr>
          <w:lang w:val="en-GB"/>
        </w:rPr>
        <w:t xml:space="preserve"> and auxiliary assistance in the amount of R179 567,00 again being the average between the respective actuaries’ calculations. The approach </w:t>
      </w:r>
      <w:r w:rsidR="00836A52" w:rsidRPr="00C72EBD">
        <w:rPr>
          <w:lang w:val="en-GB"/>
        </w:rPr>
        <w:t xml:space="preserve">adopted by the parties and their representatives </w:t>
      </w:r>
      <w:r w:rsidR="007F28C0" w:rsidRPr="00C72EBD">
        <w:rPr>
          <w:lang w:val="en-GB"/>
        </w:rPr>
        <w:t>in these respects appear to me to be fair and reasonable and I intend to incorporate these amounts in the order to be issued.</w:t>
      </w:r>
    </w:p>
    <w:p w14:paraId="3C054A4C" w14:textId="77777777" w:rsidR="00CB73CA" w:rsidRPr="00CB73CA" w:rsidRDefault="00CB73CA" w:rsidP="00CB73CA">
      <w:pPr>
        <w:pStyle w:val="ListParagraph"/>
        <w:rPr>
          <w:lang w:val="en-GB"/>
        </w:rPr>
      </w:pPr>
    </w:p>
    <w:p w14:paraId="3757BD48" w14:textId="50E4EF1D" w:rsidR="00CB73CA" w:rsidRPr="00C72EBD" w:rsidRDefault="00C72EBD" w:rsidP="00C72EBD">
      <w:pPr>
        <w:autoSpaceDE w:val="0"/>
        <w:autoSpaceDN w:val="0"/>
        <w:adjustRightInd w:val="0"/>
        <w:jc w:val="both"/>
        <w:rPr>
          <w:lang w:val="en-GB"/>
        </w:rPr>
      </w:pPr>
      <w:r>
        <w:rPr>
          <w:lang w:val="en-GB"/>
        </w:rPr>
        <w:t>[5]</w:t>
      </w:r>
      <w:r>
        <w:rPr>
          <w:lang w:val="en-GB"/>
        </w:rPr>
        <w:tab/>
      </w:r>
      <w:r w:rsidR="00CB73CA" w:rsidRPr="00C72EBD">
        <w:rPr>
          <w:lang w:val="en-GB"/>
        </w:rPr>
        <w:t xml:space="preserve">There is no disagreement that the joint minute of the occupational therapists requires the provision of caregiving. Here the combined average actuarial calculation, including relief caregiving, totals R4 082 011,00. The </w:t>
      </w:r>
      <w:r w:rsidR="007D33A1" w:rsidRPr="00C72EBD">
        <w:rPr>
          <w:lang w:val="en-GB"/>
        </w:rPr>
        <w:t xml:space="preserve">only real </w:t>
      </w:r>
      <w:r w:rsidR="00CB73CA" w:rsidRPr="00C72EBD">
        <w:rPr>
          <w:lang w:val="en-GB"/>
        </w:rPr>
        <w:t>remaining divergence is in respect of whether the plaintiff is entitled to payment of that amount upfront, in which case there is agreement that the amount cited above is to be awarded, or whether ‘the defendant is entitled to provide this service to the plaintiff and / or reimburse the plaintiff on proof of invoice</w:t>
      </w:r>
      <w:r w:rsidR="007E0040" w:rsidRPr="00C72EBD">
        <w:rPr>
          <w:lang w:val="en-GB"/>
        </w:rPr>
        <w:t>’</w:t>
      </w:r>
      <w:r w:rsidR="00CB73CA" w:rsidRPr="00C72EBD">
        <w:rPr>
          <w:lang w:val="en-GB"/>
        </w:rPr>
        <w:t>. In that event, there is agreement that no monies are to be awarded in respect of caregiving at this stage</w:t>
      </w:r>
      <w:r w:rsidR="001C4D08" w:rsidRPr="00C72EBD">
        <w:rPr>
          <w:lang w:val="en-GB"/>
        </w:rPr>
        <w:t xml:space="preserve">, so that the R1 million </w:t>
      </w:r>
      <w:r w:rsidR="00593EF8" w:rsidRPr="00C72EBD">
        <w:rPr>
          <w:lang w:val="en-GB"/>
        </w:rPr>
        <w:lastRenderedPageBreak/>
        <w:t>already paid may be deducted from the amount agreed in respect of domestic worker support</w:t>
      </w:r>
      <w:r w:rsidR="00CB73CA" w:rsidRPr="00C72EBD">
        <w:rPr>
          <w:lang w:val="en-GB"/>
        </w:rPr>
        <w:t>.</w:t>
      </w:r>
    </w:p>
    <w:p w14:paraId="25852686" w14:textId="77777777" w:rsidR="00480EB1" w:rsidRPr="00480EB1" w:rsidRDefault="00480EB1" w:rsidP="00480EB1">
      <w:pPr>
        <w:pStyle w:val="ListParagraph"/>
        <w:rPr>
          <w:lang w:val="en-GB"/>
        </w:rPr>
      </w:pPr>
    </w:p>
    <w:p w14:paraId="6E6EA38C" w14:textId="0BFC0767" w:rsidR="00480EB1" w:rsidRPr="00C72EBD" w:rsidRDefault="00C72EBD" w:rsidP="00C72EBD">
      <w:pPr>
        <w:autoSpaceDE w:val="0"/>
        <w:autoSpaceDN w:val="0"/>
        <w:adjustRightInd w:val="0"/>
        <w:jc w:val="both"/>
        <w:rPr>
          <w:lang w:val="en-GB"/>
        </w:rPr>
      </w:pPr>
      <w:r>
        <w:rPr>
          <w:lang w:val="en-GB"/>
        </w:rPr>
        <w:t>[6]</w:t>
      </w:r>
      <w:r>
        <w:rPr>
          <w:lang w:val="en-GB"/>
        </w:rPr>
        <w:tab/>
      </w:r>
      <w:r w:rsidR="00480EB1" w:rsidRPr="00C72EBD">
        <w:rPr>
          <w:lang w:val="en-GB"/>
        </w:rPr>
        <w:t xml:space="preserve">The defendant’s </w:t>
      </w:r>
      <w:r w:rsidR="00F164A3" w:rsidRPr="00C72EBD">
        <w:rPr>
          <w:lang w:val="en-GB"/>
        </w:rPr>
        <w:t>stance</w:t>
      </w:r>
      <w:r w:rsidR="00480EB1" w:rsidRPr="00C72EBD">
        <w:rPr>
          <w:lang w:val="en-GB"/>
        </w:rPr>
        <w:t xml:space="preserve"> stems from </w:t>
      </w:r>
      <w:r w:rsidR="00D0191E" w:rsidRPr="00C72EBD">
        <w:rPr>
          <w:lang w:val="en-GB"/>
        </w:rPr>
        <w:t xml:space="preserve">its pleaded reliance on the so-called public healthcare defence and the decision of Griffiths J in </w:t>
      </w:r>
      <w:r w:rsidR="00D0191E" w:rsidRPr="00C72EBD">
        <w:rPr>
          <w:i/>
          <w:iCs/>
          <w:lang w:val="en-GB"/>
        </w:rPr>
        <w:t>TN obo BN v MEC for Health, Eastern Cape</w:t>
      </w:r>
      <w:r w:rsidR="00920FD5" w:rsidRPr="00C72EBD">
        <w:rPr>
          <w:lang w:val="en-GB"/>
        </w:rPr>
        <w:t>. In respect of carers, leaving aside its pleaded denial of the need for a caregiver until the age of 35, the MEC pleads as follows:</w:t>
      </w:r>
    </w:p>
    <w:p w14:paraId="40209521" w14:textId="156AF2A6" w:rsidR="00920FD5" w:rsidRDefault="00920FD5" w:rsidP="00920FD5">
      <w:pPr>
        <w:jc w:val="both"/>
        <w:rPr>
          <w:sz w:val="22"/>
          <w:szCs w:val="22"/>
          <w:lang w:val="en-GB"/>
        </w:rPr>
      </w:pPr>
      <w:r>
        <w:rPr>
          <w:sz w:val="22"/>
          <w:szCs w:val="22"/>
          <w:lang w:val="en-GB"/>
        </w:rPr>
        <w:t xml:space="preserve">‘…the Defendant pleads that she is able to provide caregivers to </w:t>
      </w:r>
      <w:proofErr w:type="gramStart"/>
      <w:r>
        <w:rPr>
          <w:sz w:val="22"/>
          <w:szCs w:val="22"/>
          <w:lang w:val="en-GB"/>
        </w:rPr>
        <w:t>S</w:t>
      </w:r>
      <w:r w:rsidR="00AE151F">
        <w:rPr>
          <w:sz w:val="22"/>
          <w:szCs w:val="22"/>
          <w:lang w:val="en-GB"/>
        </w:rPr>
        <w:t>[</w:t>
      </w:r>
      <w:proofErr w:type="gramEnd"/>
      <w:r w:rsidR="00AE151F">
        <w:rPr>
          <w:sz w:val="22"/>
          <w:szCs w:val="22"/>
          <w:lang w:val="en-GB"/>
        </w:rPr>
        <w:t>…]</w:t>
      </w:r>
      <w:r>
        <w:rPr>
          <w:sz w:val="22"/>
          <w:szCs w:val="22"/>
          <w:lang w:val="en-GB"/>
        </w:rPr>
        <w:t xml:space="preserve"> at a reasonable cost and only in the event that the defendant is unable to provide such caregivers, undertakes to pay such caregivers upon an invoice submitted to the defendant by the plaintiff.’</w:t>
      </w:r>
    </w:p>
    <w:p w14:paraId="0673C059" w14:textId="21A6DAD2" w:rsidR="005E256E" w:rsidRDefault="005E256E" w:rsidP="00920FD5">
      <w:pPr>
        <w:jc w:val="both"/>
        <w:rPr>
          <w:sz w:val="22"/>
          <w:szCs w:val="22"/>
          <w:lang w:val="en-GB"/>
        </w:rPr>
      </w:pPr>
    </w:p>
    <w:p w14:paraId="19255E84" w14:textId="5E90C29C" w:rsidR="005E256E" w:rsidRPr="00E26F4C" w:rsidRDefault="005E256E" w:rsidP="00920FD5">
      <w:pPr>
        <w:jc w:val="both"/>
        <w:rPr>
          <w:lang w:val="en-GB"/>
        </w:rPr>
      </w:pPr>
      <w:r w:rsidRPr="00E26F4C">
        <w:rPr>
          <w:lang w:val="en-GB"/>
        </w:rPr>
        <w:t>The draft order prayed for by the defendant is along these lines.</w:t>
      </w:r>
    </w:p>
    <w:p w14:paraId="465A023A" w14:textId="100208CA" w:rsidR="00920FD5" w:rsidRDefault="00920FD5" w:rsidP="00920FD5">
      <w:pPr>
        <w:rPr>
          <w:sz w:val="22"/>
          <w:szCs w:val="22"/>
          <w:lang w:val="en-GB"/>
        </w:rPr>
      </w:pPr>
    </w:p>
    <w:p w14:paraId="3917EE59" w14:textId="38712497" w:rsidR="00AA0337" w:rsidRDefault="00AA0337" w:rsidP="00920FD5">
      <w:pPr>
        <w:rPr>
          <w:b/>
          <w:bCs/>
          <w:lang w:val="en-GB"/>
        </w:rPr>
      </w:pPr>
      <w:r w:rsidRPr="00AA0337">
        <w:rPr>
          <w:b/>
          <w:bCs/>
          <w:lang w:val="en-GB"/>
        </w:rPr>
        <w:t>The evidence</w:t>
      </w:r>
    </w:p>
    <w:p w14:paraId="67958062" w14:textId="77777777" w:rsidR="00AA0337" w:rsidRPr="00AA0337" w:rsidRDefault="00AA0337" w:rsidP="00920FD5">
      <w:pPr>
        <w:rPr>
          <w:b/>
          <w:bCs/>
          <w:lang w:val="en-GB"/>
        </w:rPr>
      </w:pPr>
    </w:p>
    <w:p w14:paraId="29965708" w14:textId="25A00E7C" w:rsidR="00805212" w:rsidRPr="00C72EBD" w:rsidRDefault="00C72EBD" w:rsidP="00C72EBD">
      <w:pPr>
        <w:autoSpaceDE w:val="0"/>
        <w:autoSpaceDN w:val="0"/>
        <w:adjustRightInd w:val="0"/>
        <w:jc w:val="both"/>
        <w:rPr>
          <w:lang w:val="en-GB"/>
        </w:rPr>
      </w:pPr>
      <w:r>
        <w:rPr>
          <w:lang w:val="en-GB"/>
        </w:rPr>
        <w:t>[7]</w:t>
      </w:r>
      <w:r>
        <w:rPr>
          <w:lang w:val="en-GB"/>
        </w:rPr>
        <w:tab/>
      </w:r>
      <w:r w:rsidR="00DC313D" w:rsidRPr="00C72EBD">
        <w:rPr>
          <w:lang w:val="en-GB"/>
        </w:rPr>
        <w:t xml:space="preserve">Ms Bainbridge, an occupational therapist, testified as to the contents of a joint minute she had entered into with Ms </w:t>
      </w:r>
      <w:proofErr w:type="spellStart"/>
      <w:r w:rsidR="00DC313D" w:rsidRPr="00C72EBD">
        <w:rPr>
          <w:lang w:val="en-GB"/>
        </w:rPr>
        <w:t>Omarjee</w:t>
      </w:r>
      <w:proofErr w:type="spellEnd"/>
      <w:r w:rsidR="00DC313D" w:rsidRPr="00C72EBD">
        <w:rPr>
          <w:lang w:val="en-GB"/>
        </w:rPr>
        <w:t>, the occupational therapist appointed by the defendant, following various independent assessments by both therapists.</w:t>
      </w:r>
    </w:p>
    <w:p w14:paraId="0708F5D3" w14:textId="77777777" w:rsidR="009E747B" w:rsidRDefault="009E747B" w:rsidP="009E747B">
      <w:pPr>
        <w:pStyle w:val="ListParagraph"/>
        <w:autoSpaceDE w:val="0"/>
        <w:autoSpaceDN w:val="0"/>
        <w:adjustRightInd w:val="0"/>
        <w:ind w:left="0"/>
        <w:jc w:val="both"/>
        <w:rPr>
          <w:lang w:val="en-GB"/>
        </w:rPr>
      </w:pPr>
    </w:p>
    <w:p w14:paraId="16108CFD" w14:textId="65DD9D92" w:rsidR="00275BC5" w:rsidRPr="00C72EBD" w:rsidRDefault="00C72EBD" w:rsidP="00C72EBD">
      <w:pPr>
        <w:autoSpaceDE w:val="0"/>
        <w:autoSpaceDN w:val="0"/>
        <w:adjustRightInd w:val="0"/>
        <w:jc w:val="both"/>
        <w:rPr>
          <w:lang w:val="en-GB"/>
        </w:rPr>
      </w:pPr>
      <w:r>
        <w:rPr>
          <w:lang w:val="en-GB"/>
        </w:rPr>
        <w:t>[8]</w:t>
      </w:r>
      <w:r>
        <w:rPr>
          <w:lang w:val="en-GB"/>
        </w:rPr>
        <w:tab/>
      </w:r>
      <w:r w:rsidR="00275BC5" w:rsidRPr="00C72EBD">
        <w:rPr>
          <w:lang w:val="en-GB"/>
        </w:rPr>
        <w:t xml:space="preserve">From her evidence, and the latest joint report, it may be </w:t>
      </w:r>
      <w:r w:rsidR="00E26F4C" w:rsidRPr="00C72EBD">
        <w:rPr>
          <w:lang w:val="en-GB"/>
        </w:rPr>
        <w:t>noted</w:t>
      </w:r>
      <w:r w:rsidR="00275BC5" w:rsidRPr="00C72EBD">
        <w:rPr>
          <w:lang w:val="en-GB"/>
        </w:rPr>
        <w:t xml:space="preserve"> that there is agreement between the occupational therapists that </w:t>
      </w:r>
      <w:proofErr w:type="gramStart"/>
      <w:r w:rsidR="00382162" w:rsidRPr="00C72EBD">
        <w:rPr>
          <w:lang w:val="en-GB"/>
        </w:rPr>
        <w:t>S</w:t>
      </w:r>
      <w:r w:rsidR="00BF5568">
        <w:rPr>
          <w:lang w:val="en-GB"/>
        </w:rPr>
        <w:t>[</w:t>
      </w:r>
      <w:proofErr w:type="gramEnd"/>
      <w:r w:rsidR="00BF5568">
        <w:rPr>
          <w:lang w:val="en-GB"/>
        </w:rPr>
        <w:t>…]</w:t>
      </w:r>
      <w:r w:rsidR="00382162" w:rsidRPr="00C72EBD">
        <w:rPr>
          <w:lang w:val="en-GB"/>
        </w:rPr>
        <w:t xml:space="preserve"> </w:t>
      </w:r>
      <w:r w:rsidR="00275BC5" w:rsidRPr="00C72EBD">
        <w:rPr>
          <w:lang w:val="en-GB"/>
        </w:rPr>
        <w:t>will benefit from a live</w:t>
      </w:r>
      <w:r w:rsidR="00240EDB" w:rsidRPr="00C72EBD">
        <w:rPr>
          <w:lang w:val="en-GB"/>
        </w:rPr>
        <w:t>-</w:t>
      </w:r>
      <w:r w:rsidR="00275BC5" w:rsidRPr="00C72EBD">
        <w:rPr>
          <w:lang w:val="en-GB"/>
        </w:rPr>
        <w:t xml:space="preserve">in companion caregiver, for purposes of obtaining necessary assistance, care and security, should she choose to live alone in the community in future. </w:t>
      </w:r>
      <w:r w:rsidR="00D976D9" w:rsidRPr="00C72EBD">
        <w:rPr>
          <w:lang w:val="en-GB"/>
        </w:rPr>
        <w:t xml:space="preserve">This follows the agreement in the first joint minute (dated 12 October 2021) that </w:t>
      </w:r>
      <w:proofErr w:type="gramStart"/>
      <w:r w:rsidR="00D976D9" w:rsidRPr="00C72EBD">
        <w:rPr>
          <w:lang w:val="en-GB"/>
        </w:rPr>
        <w:t>S</w:t>
      </w:r>
      <w:r w:rsidR="00BF5568">
        <w:rPr>
          <w:lang w:val="en-GB"/>
        </w:rPr>
        <w:t>[</w:t>
      </w:r>
      <w:proofErr w:type="gramEnd"/>
      <w:r w:rsidR="00BF5568">
        <w:rPr>
          <w:lang w:val="en-GB"/>
        </w:rPr>
        <w:t>…]</w:t>
      </w:r>
      <w:r w:rsidR="00D976D9" w:rsidRPr="00C72EBD">
        <w:rPr>
          <w:lang w:val="en-GB"/>
        </w:rPr>
        <w:t xml:space="preserve"> would require ‘ongoing assistance by a caregiver trained in the monitoring and management of SCI persons; able to help with the heavier aspects of household and community living’.</w:t>
      </w:r>
      <w:r w:rsidR="00E70567" w:rsidRPr="00C72EBD">
        <w:rPr>
          <w:lang w:val="en-GB"/>
        </w:rPr>
        <w:t xml:space="preserve"> As Mr </w:t>
      </w:r>
      <w:proofErr w:type="spellStart"/>
      <w:r w:rsidR="00E70567" w:rsidRPr="00C72EBD">
        <w:rPr>
          <w:i/>
          <w:iCs/>
          <w:lang w:val="en-GB"/>
        </w:rPr>
        <w:t>Mtshabe</w:t>
      </w:r>
      <w:proofErr w:type="spellEnd"/>
      <w:r w:rsidR="000375B4" w:rsidRPr="00C72EBD">
        <w:rPr>
          <w:lang w:val="en-GB"/>
        </w:rPr>
        <w:t xml:space="preserve"> for the defendant</w:t>
      </w:r>
      <w:r w:rsidR="00E70567" w:rsidRPr="00C72EBD">
        <w:rPr>
          <w:lang w:val="en-GB"/>
        </w:rPr>
        <w:t xml:space="preserve"> emphasised, the parties argued the matter on the basis that caregiver support would practically only be required from age 35, with domestic worker support prior to that point being deemed adequate.</w:t>
      </w:r>
    </w:p>
    <w:p w14:paraId="1E88CC25" w14:textId="77777777" w:rsidR="00046706" w:rsidRPr="00046706" w:rsidRDefault="00046706" w:rsidP="00046706">
      <w:pPr>
        <w:pStyle w:val="ListParagraph"/>
        <w:rPr>
          <w:lang w:val="en-GB"/>
        </w:rPr>
      </w:pPr>
    </w:p>
    <w:p w14:paraId="4D505990" w14:textId="74907562" w:rsidR="00046706" w:rsidRPr="00C72EBD" w:rsidRDefault="00C72EBD" w:rsidP="00C72EBD">
      <w:pPr>
        <w:autoSpaceDE w:val="0"/>
        <w:autoSpaceDN w:val="0"/>
        <w:adjustRightInd w:val="0"/>
        <w:jc w:val="both"/>
        <w:rPr>
          <w:lang w:val="en-GB"/>
        </w:rPr>
      </w:pPr>
      <w:r>
        <w:rPr>
          <w:lang w:val="en-GB"/>
        </w:rPr>
        <w:t>[9]</w:t>
      </w:r>
      <w:r>
        <w:rPr>
          <w:lang w:val="en-GB"/>
        </w:rPr>
        <w:tab/>
      </w:r>
      <w:r w:rsidR="00CC7D84" w:rsidRPr="00C72EBD">
        <w:rPr>
          <w:lang w:val="en-GB"/>
        </w:rPr>
        <w:t xml:space="preserve">That </w:t>
      </w:r>
      <w:r w:rsidR="000B274D" w:rsidRPr="00C72EBD">
        <w:rPr>
          <w:lang w:val="en-GB"/>
        </w:rPr>
        <w:t>caregiver support</w:t>
      </w:r>
      <w:r w:rsidR="00CC7D84" w:rsidRPr="00C72EBD">
        <w:rPr>
          <w:lang w:val="en-GB"/>
        </w:rPr>
        <w:t xml:space="preserve"> </w:t>
      </w:r>
      <w:r w:rsidR="000B274D" w:rsidRPr="00C72EBD">
        <w:rPr>
          <w:lang w:val="en-GB"/>
        </w:rPr>
        <w:t>will be</w:t>
      </w:r>
      <w:r w:rsidR="00CC7D84" w:rsidRPr="00C72EBD">
        <w:rPr>
          <w:lang w:val="en-GB"/>
        </w:rPr>
        <w:t xml:space="preserve"> required is readily apparent from the evidence of Ms Bainbridge and </w:t>
      </w:r>
      <w:proofErr w:type="gramStart"/>
      <w:r w:rsidR="00CC7D84" w:rsidRPr="00C72EBD">
        <w:rPr>
          <w:lang w:val="en-GB"/>
        </w:rPr>
        <w:t>S</w:t>
      </w:r>
      <w:r w:rsidR="00BF5568">
        <w:rPr>
          <w:lang w:val="en-GB"/>
        </w:rPr>
        <w:t>[</w:t>
      </w:r>
      <w:proofErr w:type="gramEnd"/>
      <w:r w:rsidR="00BF5568">
        <w:rPr>
          <w:lang w:val="en-GB"/>
        </w:rPr>
        <w:t>…]</w:t>
      </w:r>
      <w:r w:rsidR="00CC7D84" w:rsidRPr="00C72EBD">
        <w:rPr>
          <w:lang w:val="en-GB"/>
        </w:rPr>
        <w:t xml:space="preserve"> herself, which I accept. The cost of time and energy when attending to basic functioning</w:t>
      </w:r>
      <w:r w:rsidR="00103143" w:rsidRPr="00C72EBD">
        <w:rPr>
          <w:lang w:val="en-GB"/>
        </w:rPr>
        <w:t>, absent caregiving,</w:t>
      </w:r>
      <w:r w:rsidR="00CC7D84" w:rsidRPr="00C72EBD">
        <w:rPr>
          <w:lang w:val="en-GB"/>
        </w:rPr>
        <w:t xml:space="preserve"> for a person with paraplegia of the kind afflicting </w:t>
      </w:r>
      <w:proofErr w:type="gramStart"/>
      <w:r w:rsidR="00CC7D84" w:rsidRPr="00C72EBD">
        <w:rPr>
          <w:lang w:val="en-GB"/>
        </w:rPr>
        <w:t>S</w:t>
      </w:r>
      <w:r w:rsidR="00BF5568">
        <w:rPr>
          <w:lang w:val="en-GB"/>
        </w:rPr>
        <w:t>[</w:t>
      </w:r>
      <w:proofErr w:type="gramEnd"/>
      <w:r w:rsidR="00BF5568">
        <w:rPr>
          <w:lang w:val="en-GB"/>
        </w:rPr>
        <w:t>…]</w:t>
      </w:r>
      <w:r w:rsidR="00CA4855" w:rsidRPr="00C72EBD">
        <w:rPr>
          <w:lang w:val="en-GB"/>
        </w:rPr>
        <w:t>,</w:t>
      </w:r>
      <w:r w:rsidR="00CC7D84" w:rsidRPr="00C72EBD">
        <w:rPr>
          <w:lang w:val="en-GB"/>
        </w:rPr>
        <w:t xml:space="preserve"> has been such that it impacted negatively on her studies during </w:t>
      </w:r>
      <w:r w:rsidR="00CC7D84" w:rsidRPr="00C72EBD">
        <w:rPr>
          <w:lang w:val="en-GB"/>
        </w:rPr>
        <w:lastRenderedPageBreak/>
        <w:t>2023</w:t>
      </w:r>
      <w:r w:rsidR="00923659" w:rsidRPr="00C72EBD">
        <w:rPr>
          <w:lang w:val="en-GB"/>
        </w:rPr>
        <w:t>. The</w:t>
      </w:r>
      <w:r w:rsidR="000B4346" w:rsidRPr="00C72EBD">
        <w:rPr>
          <w:lang w:val="en-GB"/>
        </w:rPr>
        <w:t xml:space="preserve"> various positive</w:t>
      </w:r>
      <w:r w:rsidR="00923659" w:rsidRPr="00C72EBD">
        <w:rPr>
          <w:lang w:val="en-GB"/>
        </w:rPr>
        <w:t xml:space="preserve"> link</w:t>
      </w:r>
      <w:r w:rsidR="00974C17" w:rsidRPr="00C72EBD">
        <w:rPr>
          <w:lang w:val="en-GB"/>
        </w:rPr>
        <w:t>s</w:t>
      </w:r>
      <w:r w:rsidR="00923659" w:rsidRPr="00C72EBD">
        <w:rPr>
          <w:lang w:val="en-GB"/>
        </w:rPr>
        <w:t xml:space="preserve"> between caregiver provisioning and </w:t>
      </w:r>
      <w:proofErr w:type="gramStart"/>
      <w:r w:rsidR="00923659" w:rsidRPr="00C72EBD">
        <w:rPr>
          <w:lang w:val="en-GB"/>
        </w:rPr>
        <w:t>S</w:t>
      </w:r>
      <w:r w:rsidR="00BF5568">
        <w:rPr>
          <w:lang w:val="en-GB"/>
        </w:rPr>
        <w:t>[</w:t>
      </w:r>
      <w:proofErr w:type="gramEnd"/>
      <w:r w:rsidR="00BF5568">
        <w:rPr>
          <w:lang w:val="en-GB"/>
        </w:rPr>
        <w:t>…]</w:t>
      </w:r>
      <w:r w:rsidR="00923659" w:rsidRPr="00C72EBD">
        <w:rPr>
          <w:lang w:val="en-GB"/>
        </w:rPr>
        <w:t xml:space="preserve">’s ability to reclaim maximum independence, dignity and a sense of agency, was well-explained by Ms </w:t>
      </w:r>
      <w:r w:rsidR="00F62B03" w:rsidRPr="00C72EBD">
        <w:rPr>
          <w:lang w:val="en-GB"/>
        </w:rPr>
        <w:t>Bainbridge</w:t>
      </w:r>
      <w:r w:rsidR="00566E85" w:rsidRPr="00C72EBD">
        <w:rPr>
          <w:lang w:val="en-GB"/>
        </w:rPr>
        <w:t>. She also expressed concern at the prospect of the state assuming control of caregiver selection, given the intimate relationship between caregiver and the person being cared for</w:t>
      </w:r>
      <w:r w:rsidR="00195D65" w:rsidRPr="00C72EBD">
        <w:rPr>
          <w:lang w:val="en-GB"/>
        </w:rPr>
        <w:t xml:space="preserve">, </w:t>
      </w:r>
      <w:r w:rsidR="00910329" w:rsidRPr="00C72EBD">
        <w:rPr>
          <w:lang w:val="en-GB"/>
        </w:rPr>
        <w:t xml:space="preserve">and the need for flexibility, </w:t>
      </w:r>
      <w:r w:rsidR="00195D65" w:rsidRPr="00C72EBD">
        <w:rPr>
          <w:lang w:val="en-GB"/>
        </w:rPr>
        <w:t xml:space="preserve">as well as </w:t>
      </w:r>
      <w:r w:rsidR="00CA4855" w:rsidRPr="00C72EBD">
        <w:rPr>
          <w:lang w:val="en-GB"/>
        </w:rPr>
        <w:t>scepticism</w:t>
      </w:r>
      <w:r w:rsidR="00195D65" w:rsidRPr="00C72EBD">
        <w:rPr>
          <w:lang w:val="en-GB"/>
        </w:rPr>
        <w:t xml:space="preserve"> as to the state’s ability </w:t>
      </w:r>
      <w:r w:rsidR="0073250B" w:rsidRPr="00C72EBD">
        <w:rPr>
          <w:lang w:val="en-GB"/>
        </w:rPr>
        <w:t>to successfully manage such a system</w:t>
      </w:r>
      <w:r w:rsidR="00C36901" w:rsidRPr="00C72EBD">
        <w:rPr>
          <w:lang w:val="en-GB"/>
        </w:rPr>
        <w:t xml:space="preserve"> with the necessary consistency</w:t>
      </w:r>
      <w:r w:rsidR="00F62B03" w:rsidRPr="00C72EBD">
        <w:rPr>
          <w:lang w:val="en-GB"/>
        </w:rPr>
        <w:t>.</w:t>
      </w:r>
      <w:r w:rsidR="002818E1" w:rsidRPr="00C72EBD">
        <w:rPr>
          <w:lang w:val="en-GB"/>
        </w:rPr>
        <w:t xml:space="preserve"> </w:t>
      </w:r>
      <w:r w:rsidR="006C45CE" w:rsidRPr="00C72EBD">
        <w:rPr>
          <w:lang w:val="en-GB"/>
        </w:rPr>
        <w:t>She added that t</w:t>
      </w:r>
      <w:r w:rsidR="002818E1" w:rsidRPr="00C72EBD">
        <w:rPr>
          <w:lang w:val="en-GB"/>
        </w:rPr>
        <w:t>he joint reports of the occupational therapists did not provide for this possibility</w:t>
      </w:r>
      <w:r w:rsidR="006C45CE" w:rsidRPr="00C72EBD">
        <w:rPr>
          <w:lang w:val="en-GB"/>
        </w:rPr>
        <w:t xml:space="preserve"> and that there would be no cost saving in the event that the caregiving services were provided by the state via a private agency</w:t>
      </w:r>
      <w:r w:rsidR="00372585" w:rsidRPr="00C72EBD">
        <w:rPr>
          <w:lang w:val="en-GB"/>
        </w:rPr>
        <w:t>.</w:t>
      </w:r>
      <w:r w:rsidR="006C45CE" w:rsidRPr="00C72EBD">
        <w:rPr>
          <w:lang w:val="en-GB"/>
        </w:rPr>
        <w:t xml:space="preserve"> </w:t>
      </w:r>
    </w:p>
    <w:p w14:paraId="7DC2C20D" w14:textId="77777777" w:rsidR="00566E85" w:rsidRPr="00566E85" w:rsidRDefault="00566E85" w:rsidP="00566E85">
      <w:pPr>
        <w:pStyle w:val="ListParagraph"/>
        <w:rPr>
          <w:lang w:val="en-GB"/>
        </w:rPr>
      </w:pPr>
    </w:p>
    <w:p w14:paraId="7BA4D66B" w14:textId="685F3CE4" w:rsidR="00566E85" w:rsidRPr="00C72EBD" w:rsidRDefault="00C72EBD" w:rsidP="00C72EBD">
      <w:pPr>
        <w:autoSpaceDE w:val="0"/>
        <w:autoSpaceDN w:val="0"/>
        <w:adjustRightInd w:val="0"/>
        <w:jc w:val="both"/>
        <w:rPr>
          <w:lang w:val="en-GB"/>
        </w:rPr>
      </w:pPr>
      <w:r>
        <w:rPr>
          <w:lang w:val="en-GB"/>
        </w:rPr>
        <w:t>[10]</w:t>
      </w:r>
      <w:r>
        <w:rPr>
          <w:lang w:val="en-GB"/>
        </w:rPr>
        <w:tab/>
      </w:r>
      <w:proofErr w:type="gramStart"/>
      <w:r w:rsidR="00CA6DB4" w:rsidRPr="00C72EBD">
        <w:rPr>
          <w:lang w:val="en-GB"/>
        </w:rPr>
        <w:t>S</w:t>
      </w:r>
      <w:r w:rsidR="00BF5568">
        <w:rPr>
          <w:lang w:val="en-GB"/>
        </w:rPr>
        <w:t>[</w:t>
      </w:r>
      <w:proofErr w:type="gramEnd"/>
      <w:r w:rsidR="00BF5568">
        <w:rPr>
          <w:lang w:val="en-GB"/>
        </w:rPr>
        <w:t>…]</w:t>
      </w:r>
      <w:r w:rsidR="000A6E30" w:rsidRPr="00C72EBD">
        <w:rPr>
          <w:lang w:val="en-GB"/>
        </w:rPr>
        <w:t>, now 19 years of age,</w:t>
      </w:r>
      <w:r w:rsidR="00CA6DB4" w:rsidRPr="00C72EBD">
        <w:rPr>
          <w:lang w:val="en-GB"/>
        </w:rPr>
        <w:t xml:space="preserve"> herself provided background information about her life, including a year spent in a private residence while she studied at </w:t>
      </w:r>
      <w:proofErr w:type="spellStart"/>
      <w:r w:rsidR="00CA6DB4" w:rsidRPr="00C72EBD">
        <w:rPr>
          <w:lang w:val="en-GB"/>
        </w:rPr>
        <w:t>Eduvos</w:t>
      </w:r>
      <w:proofErr w:type="spellEnd"/>
      <w:r w:rsidR="00CA6DB4" w:rsidRPr="00C72EBD">
        <w:rPr>
          <w:lang w:val="en-GB"/>
        </w:rPr>
        <w:t xml:space="preserve"> College in 2023. </w:t>
      </w:r>
      <w:r w:rsidR="000037E0" w:rsidRPr="00C72EBD">
        <w:rPr>
          <w:lang w:val="en-GB"/>
        </w:rPr>
        <w:t xml:space="preserve">Her difficulties in coping, including challenges with socialising and resultant depression, were explained. </w:t>
      </w:r>
      <w:r w:rsidR="006069A5" w:rsidRPr="00C72EBD">
        <w:rPr>
          <w:lang w:val="en-GB"/>
        </w:rPr>
        <w:t>In future, she hopes to stay by herself and be independent, living on her own with the necessary assistance and support outside of a residential situation.</w:t>
      </w:r>
    </w:p>
    <w:p w14:paraId="06BD7D2B" w14:textId="77777777" w:rsidR="00F906C9" w:rsidRPr="00F906C9" w:rsidRDefault="00F906C9" w:rsidP="00F906C9">
      <w:pPr>
        <w:pStyle w:val="ListParagraph"/>
        <w:rPr>
          <w:lang w:val="en-GB"/>
        </w:rPr>
      </w:pPr>
    </w:p>
    <w:p w14:paraId="60004E02" w14:textId="582AA385" w:rsidR="00F906C9" w:rsidRPr="00C72EBD" w:rsidRDefault="00C72EBD" w:rsidP="00C72EBD">
      <w:pPr>
        <w:autoSpaceDE w:val="0"/>
        <w:autoSpaceDN w:val="0"/>
        <w:adjustRightInd w:val="0"/>
        <w:jc w:val="both"/>
        <w:rPr>
          <w:lang w:val="en-GB"/>
        </w:rPr>
      </w:pPr>
      <w:r>
        <w:rPr>
          <w:lang w:val="en-GB"/>
        </w:rPr>
        <w:t>[11]</w:t>
      </w:r>
      <w:r>
        <w:rPr>
          <w:lang w:val="en-GB"/>
        </w:rPr>
        <w:tab/>
      </w:r>
      <w:r w:rsidR="00F906C9" w:rsidRPr="00C72EBD">
        <w:rPr>
          <w:lang w:val="en-GB"/>
        </w:rPr>
        <w:t>The need for caregiver support was apparent from her testimony, given the difficulties she experiences, for example, in bathing, and concern as to lack of support should she suffer an asthma attack</w:t>
      </w:r>
      <w:r w:rsidR="00E24453" w:rsidRPr="00C72EBD">
        <w:rPr>
          <w:lang w:val="en-GB"/>
        </w:rPr>
        <w:t xml:space="preserve"> or become otherwise unwell.</w:t>
      </w:r>
      <w:r w:rsidR="008344D0" w:rsidRPr="00C72EBD">
        <w:rPr>
          <w:lang w:val="en-GB"/>
        </w:rPr>
        <w:t xml:space="preserve"> She demonstrated concern as to the possibility of state intervention in the process of </w:t>
      </w:r>
      <w:r w:rsidR="00372585" w:rsidRPr="00C72EBD">
        <w:rPr>
          <w:lang w:val="en-GB"/>
        </w:rPr>
        <w:t xml:space="preserve">the appointment of a </w:t>
      </w:r>
      <w:r w:rsidR="008344D0" w:rsidRPr="00C72EBD">
        <w:rPr>
          <w:lang w:val="en-GB"/>
        </w:rPr>
        <w:t>caregiver to assist her, expressing that she would prefer to make such decisions on her own.</w:t>
      </w:r>
    </w:p>
    <w:p w14:paraId="2496A3CA" w14:textId="77777777" w:rsidR="00227A2B" w:rsidRPr="00227A2B" w:rsidRDefault="00227A2B" w:rsidP="00227A2B">
      <w:pPr>
        <w:pStyle w:val="ListParagraph"/>
        <w:rPr>
          <w:lang w:val="en-GB"/>
        </w:rPr>
      </w:pPr>
    </w:p>
    <w:p w14:paraId="65A27606" w14:textId="5A199202" w:rsidR="00227A2B" w:rsidRPr="00C72EBD" w:rsidRDefault="00C72EBD" w:rsidP="00C72EBD">
      <w:pPr>
        <w:autoSpaceDE w:val="0"/>
        <w:autoSpaceDN w:val="0"/>
        <w:adjustRightInd w:val="0"/>
        <w:jc w:val="both"/>
        <w:rPr>
          <w:lang w:val="en-GB"/>
        </w:rPr>
      </w:pPr>
      <w:r>
        <w:rPr>
          <w:lang w:val="en-GB"/>
        </w:rPr>
        <w:t>[12]</w:t>
      </w:r>
      <w:r>
        <w:rPr>
          <w:lang w:val="en-GB"/>
        </w:rPr>
        <w:tab/>
      </w:r>
      <w:r w:rsidR="00227A2B" w:rsidRPr="00C72EBD">
        <w:rPr>
          <w:lang w:val="en-GB"/>
        </w:rPr>
        <w:t xml:space="preserve">Mr </w:t>
      </w:r>
      <w:proofErr w:type="spellStart"/>
      <w:r w:rsidR="00227A2B" w:rsidRPr="00C72EBD">
        <w:rPr>
          <w:lang w:val="en-GB"/>
        </w:rPr>
        <w:t>Matshotyana</w:t>
      </w:r>
      <w:proofErr w:type="spellEnd"/>
      <w:r w:rsidR="00227A2B" w:rsidRPr="00C72EBD">
        <w:rPr>
          <w:lang w:val="en-GB"/>
        </w:rPr>
        <w:t xml:space="preserve">, employed by the defendant as chief director responsible for clinical support services, </w:t>
      </w:r>
      <w:r w:rsidR="00C329ED" w:rsidRPr="00C72EBD">
        <w:rPr>
          <w:lang w:val="en-GB"/>
        </w:rPr>
        <w:t>was the only witness to testify on the defendant’s behalf</w:t>
      </w:r>
      <w:r w:rsidR="00D73156" w:rsidRPr="00C72EBD">
        <w:rPr>
          <w:lang w:val="en-GB"/>
        </w:rPr>
        <w:t>. He explained that a new mechanism had been introduced by the department of health in the province for caregiving pursuant to two cases decided last year, in terms of which a private institution, namely St Bernard’s Hospice, in East London, was engaged to provide caregiving services in those two cases</w:t>
      </w:r>
      <w:r w:rsidR="00A50CA3" w:rsidRPr="00C72EBD">
        <w:rPr>
          <w:lang w:val="en-GB"/>
        </w:rPr>
        <w:t xml:space="preserve">, </w:t>
      </w:r>
      <w:r w:rsidR="00743544" w:rsidRPr="00C72EBD">
        <w:rPr>
          <w:lang w:val="en-GB"/>
        </w:rPr>
        <w:t xml:space="preserve">both </w:t>
      </w:r>
      <w:r w:rsidR="00A50CA3" w:rsidRPr="00C72EBD">
        <w:rPr>
          <w:lang w:val="en-GB"/>
        </w:rPr>
        <w:t>involving cerebral palsy</w:t>
      </w:r>
      <w:r w:rsidR="00D73156" w:rsidRPr="00C72EBD">
        <w:rPr>
          <w:lang w:val="en-GB"/>
        </w:rPr>
        <w:t xml:space="preserve">. </w:t>
      </w:r>
      <w:r w:rsidR="00695E44" w:rsidRPr="00C72EBD">
        <w:rPr>
          <w:lang w:val="en-GB"/>
        </w:rPr>
        <w:t>The arrangement was for St Bernard’s to place the caregivers, attend to training where necessary, supervise and pay the monthly wages of the caregivers.</w:t>
      </w:r>
    </w:p>
    <w:p w14:paraId="4DFBAEBB" w14:textId="77777777" w:rsidR="003730C8" w:rsidRPr="003730C8" w:rsidRDefault="003730C8" w:rsidP="003730C8">
      <w:pPr>
        <w:pStyle w:val="ListParagraph"/>
        <w:rPr>
          <w:lang w:val="en-GB"/>
        </w:rPr>
      </w:pPr>
    </w:p>
    <w:p w14:paraId="6A9E1795" w14:textId="1FE28395" w:rsidR="003730C8" w:rsidRPr="00C72EBD" w:rsidRDefault="00C72EBD" w:rsidP="00C72EBD">
      <w:pPr>
        <w:autoSpaceDE w:val="0"/>
        <w:autoSpaceDN w:val="0"/>
        <w:adjustRightInd w:val="0"/>
        <w:jc w:val="both"/>
        <w:rPr>
          <w:lang w:val="en-GB"/>
        </w:rPr>
      </w:pPr>
      <w:r>
        <w:rPr>
          <w:lang w:val="en-GB"/>
        </w:rPr>
        <w:lastRenderedPageBreak/>
        <w:t>[13]</w:t>
      </w:r>
      <w:r>
        <w:rPr>
          <w:lang w:val="en-GB"/>
        </w:rPr>
        <w:tab/>
      </w:r>
      <w:r w:rsidR="003730C8" w:rsidRPr="00C72EBD">
        <w:rPr>
          <w:lang w:val="en-GB"/>
        </w:rPr>
        <w:t xml:space="preserve">Mr </w:t>
      </w:r>
      <w:proofErr w:type="spellStart"/>
      <w:r w:rsidR="003730C8" w:rsidRPr="00C72EBD">
        <w:rPr>
          <w:lang w:val="en-GB"/>
        </w:rPr>
        <w:t>Matshotyana</w:t>
      </w:r>
      <w:proofErr w:type="spellEnd"/>
      <w:r w:rsidR="003730C8" w:rsidRPr="00C72EBD">
        <w:rPr>
          <w:lang w:val="en-GB"/>
        </w:rPr>
        <w:t xml:space="preserve"> suggested </w:t>
      </w:r>
      <w:r w:rsidR="0073587E" w:rsidRPr="00C72EBD">
        <w:rPr>
          <w:lang w:val="en-GB"/>
        </w:rPr>
        <w:t xml:space="preserve">that it would be possible for similar provisioning to be made in other orthopaedic cases in future, and referred to a designated </w:t>
      </w:r>
      <w:r w:rsidR="00E76C0D" w:rsidRPr="00C72EBD">
        <w:rPr>
          <w:lang w:val="en-GB"/>
        </w:rPr>
        <w:t xml:space="preserve">medico-legal </w:t>
      </w:r>
      <w:r w:rsidR="0073587E" w:rsidRPr="00C72EBD">
        <w:rPr>
          <w:lang w:val="en-GB"/>
        </w:rPr>
        <w:t xml:space="preserve">budget that was being ring-fenced for this purpose, </w:t>
      </w:r>
      <w:r w:rsidR="005758A0" w:rsidRPr="00C72EBD">
        <w:rPr>
          <w:lang w:val="en-GB"/>
        </w:rPr>
        <w:t xml:space="preserve">along with the undescribed possibility of additional ways to continue to provide services if the budget was exhausted, </w:t>
      </w:r>
      <w:r w:rsidR="0073587E" w:rsidRPr="00C72EBD">
        <w:rPr>
          <w:lang w:val="en-GB"/>
        </w:rPr>
        <w:t xml:space="preserve">coupled with a </w:t>
      </w:r>
      <w:r w:rsidR="00CB7DD9" w:rsidRPr="00C72EBD">
        <w:rPr>
          <w:lang w:val="en-GB"/>
        </w:rPr>
        <w:t xml:space="preserve">multidisciplinary </w:t>
      </w:r>
      <w:r w:rsidR="0073587E" w:rsidRPr="00C72EBD">
        <w:rPr>
          <w:lang w:val="en-GB"/>
        </w:rPr>
        <w:t>task-team created to monitor such activities</w:t>
      </w:r>
      <w:r w:rsidR="00B54405" w:rsidRPr="00C72EBD">
        <w:rPr>
          <w:lang w:val="en-GB"/>
        </w:rPr>
        <w:t xml:space="preserve"> on a weekly basis</w:t>
      </w:r>
      <w:r w:rsidR="00203370" w:rsidRPr="00C72EBD">
        <w:rPr>
          <w:lang w:val="en-GB"/>
        </w:rPr>
        <w:t>. The present reality was that such services were provided only by St Bernard’s in East London in the two instances mentioned</w:t>
      </w:r>
      <w:r w:rsidR="00FE33CE" w:rsidRPr="00C72EBD">
        <w:rPr>
          <w:lang w:val="en-GB"/>
        </w:rPr>
        <w:t>,</w:t>
      </w:r>
      <w:r w:rsidR="00920BA8" w:rsidRPr="00C72EBD">
        <w:rPr>
          <w:lang w:val="en-GB"/>
        </w:rPr>
        <w:t xml:space="preserve"> seemingly</w:t>
      </w:r>
      <w:r w:rsidR="00FE33CE" w:rsidRPr="00C72EBD">
        <w:rPr>
          <w:lang w:val="en-GB"/>
        </w:rPr>
        <w:t xml:space="preserve"> following court order</w:t>
      </w:r>
      <w:r w:rsidR="00920BA8" w:rsidRPr="00C72EBD">
        <w:rPr>
          <w:lang w:val="en-GB"/>
        </w:rPr>
        <w:t>s</w:t>
      </w:r>
      <w:r w:rsidR="00FE33CE" w:rsidRPr="00C72EBD">
        <w:rPr>
          <w:lang w:val="en-GB"/>
        </w:rPr>
        <w:t>.</w:t>
      </w:r>
      <w:r w:rsidR="008B6397" w:rsidRPr="00C72EBD">
        <w:rPr>
          <w:lang w:val="en-GB"/>
        </w:rPr>
        <w:t xml:space="preserve"> The hoped-for expansion of arrangements would be required to cater for </w:t>
      </w:r>
      <w:proofErr w:type="gramStart"/>
      <w:r w:rsidR="008B6397" w:rsidRPr="00C72EBD">
        <w:rPr>
          <w:lang w:val="en-GB"/>
        </w:rPr>
        <w:t>S</w:t>
      </w:r>
      <w:r w:rsidR="00BF5568">
        <w:rPr>
          <w:lang w:val="en-GB"/>
        </w:rPr>
        <w:t>[</w:t>
      </w:r>
      <w:proofErr w:type="gramEnd"/>
      <w:r w:rsidR="00BF5568">
        <w:rPr>
          <w:lang w:val="en-GB"/>
        </w:rPr>
        <w:t>…]</w:t>
      </w:r>
      <w:r w:rsidR="008B6397" w:rsidRPr="00C72EBD">
        <w:rPr>
          <w:lang w:val="en-GB"/>
        </w:rPr>
        <w:t>’s needs.</w:t>
      </w:r>
    </w:p>
    <w:p w14:paraId="65550053" w14:textId="77777777" w:rsidR="008B12B1" w:rsidRPr="008B12B1" w:rsidRDefault="008B12B1" w:rsidP="008B12B1">
      <w:pPr>
        <w:pStyle w:val="ListParagraph"/>
        <w:rPr>
          <w:lang w:val="en-GB"/>
        </w:rPr>
      </w:pPr>
    </w:p>
    <w:p w14:paraId="111B749A" w14:textId="77714C56" w:rsidR="008B12B1" w:rsidRPr="00C72EBD" w:rsidRDefault="00C72EBD" w:rsidP="00C72EBD">
      <w:pPr>
        <w:autoSpaceDE w:val="0"/>
        <w:autoSpaceDN w:val="0"/>
        <w:adjustRightInd w:val="0"/>
        <w:jc w:val="both"/>
        <w:rPr>
          <w:lang w:val="en-GB"/>
        </w:rPr>
      </w:pPr>
      <w:r>
        <w:rPr>
          <w:lang w:val="en-GB"/>
        </w:rPr>
        <w:t>[14]</w:t>
      </w:r>
      <w:r>
        <w:rPr>
          <w:lang w:val="en-GB"/>
        </w:rPr>
        <w:tab/>
      </w:r>
      <w:r w:rsidR="00247B3C" w:rsidRPr="00C72EBD">
        <w:rPr>
          <w:lang w:val="en-GB"/>
        </w:rPr>
        <w:t xml:space="preserve">Mr </w:t>
      </w:r>
      <w:proofErr w:type="spellStart"/>
      <w:r w:rsidR="00247B3C" w:rsidRPr="00C72EBD">
        <w:rPr>
          <w:lang w:val="en-GB"/>
        </w:rPr>
        <w:t>Matshotyana</w:t>
      </w:r>
      <w:proofErr w:type="spellEnd"/>
      <w:r w:rsidR="00247B3C" w:rsidRPr="00C72EBD">
        <w:rPr>
          <w:lang w:val="en-GB"/>
        </w:rPr>
        <w:t xml:space="preserve"> suggested that individual involvement of caregiver selection and management may be possible</w:t>
      </w:r>
      <w:r w:rsidR="00DE1449" w:rsidRPr="00C72EBD">
        <w:rPr>
          <w:lang w:val="en-GB"/>
        </w:rPr>
        <w:t>, while acknowledging that private institutions would retain autonomy over the management of staff on their payroll.</w:t>
      </w:r>
      <w:r w:rsidR="00FF0A90" w:rsidRPr="00C72EBD">
        <w:rPr>
          <w:lang w:val="en-GB"/>
        </w:rPr>
        <w:t xml:space="preserve"> As for caregiver appointment</w:t>
      </w:r>
      <w:r w:rsidR="008342B7" w:rsidRPr="00C72EBD">
        <w:rPr>
          <w:lang w:val="en-GB"/>
        </w:rPr>
        <w:t>s</w:t>
      </w:r>
      <w:r w:rsidR="00FF0A90" w:rsidRPr="00C72EBD">
        <w:rPr>
          <w:lang w:val="en-GB"/>
        </w:rPr>
        <w:t xml:space="preserve"> in </w:t>
      </w:r>
      <w:proofErr w:type="spellStart"/>
      <w:r w:rsidR="00FF0A90" w:rsidRPr="00C72EBD">
        <w:rPr>
          <w:lang w:val="en-GB"/>
        </w:rPr>
        <w:t>Gqeberha</w:t>
      </w:r>
      <w:proofErr w:type="spellEnd"/>
      <w:r w:rsidR="00FF0A90" w:rsidRPr="00C72EBD">
        <w:rPr>
          <w:lang w:val="en-GB"/>
        </w:rPr>
        <w:t xml:space="preserve">, he hoped that St Bernard’s might use their network to identify and recruit a caregiver, even though their work was limited to East London, alternatively the department might do so itself. </w:t>
      </w:r>
      <w:r w:rsidR="00D50AE5" w:rsidRPr="00C72EBD">
        <w:rPr>
          <w:lang w:val="en-GB"/>
        </w:rPr>
        <w:t>It was clear that the mechanism for such an appointment had not been clearly ascertained or articulated to date, the hope being that this would eventuate once the planned system matured in time-to-come</w:t>
      </w:r>
      <w:r w:rsidR="00DA089B" w:rsidRPr="00C72EBD">
        <w:rPr>
          <w:lang w:val="en-GB"/>
        </w:rPr>
        <w:t>, possibly including the creation of a database of organisations similar to St Bernard’s throughout the province</w:t>
      </w:r>
      <w:r w:rsidR="00D50AE5" w:rsidRPr="00C72EBD">
        <w:rPr>
          <w:lang w:val="en-GB"/>
        </w:rPr>
        <w:t>.</w:t>
      </w:r>
      <w:r w:rsidR="007B6BC3" w:rsidRPr="00C72EBD">
        <w:rPr>
          <w:lang w:val="en-GB"/>
        </w:rPr>
        <w:t xml:space="preserve"> These plans were contained in the 2024/2025 departmental procurement plan, the details of which were not disclosed </w:t>
      </w:r>
      <w:r w:rsidR="0073404D" w:rsidRPr="00C72EBD">
        <w:rPr>
          <w:lang w:val="en-GB"/>
        </w:rPr>
        <w:t>during evidence.</w:t>
      </w:r>
    </w:p>
    <w:p w14:paraId="2D511831" w14:textId="77777777" w:rsidR="005A2205" w:rsidRPr="005A2205" w:rsidRDefault="005A2205" w:rsidP="005A2205">
      <w:pPr>
        <w:pStyle w:val="ListParagraph"/>
        <w:rPr>
          <w:lang w:val="en-GB"/>
        </w:rPr>
      </w:pPr>
    </w:p>
    <w:p w14:paraId="277039C7" w14:textId="663A561F" w:rsidR="006C6546" w:rsidRPr="00C72EBD" w:rsidRDefault="00C72EBD" w:rsidP="00C72EBD">
      <w:pPr>
        <w:autoSpaceDE w:val="0"/>
        <w:autoSpaceDN w:val="0"/>
        <w:adjustRightInd w:val="0"/>
        <w:jc w:val="both"/>
        <w:rPr>
          <w:lang w:val="en-GB"/>
        </w:rPr>
      </w:pPr>
      <w:r>
        <w:rPr>
          <w:lang w:val="en-GB"/>
        </w:rPr>
        <w:t>[15]</w:t>
      </w:r>
      <w:r>
        <w:rPr>
          <w:lang w:val="en-GB"/>
        </w:rPr>
        <w:tab/>
      </w:r>
      <w:r w:rsidR="00730EDB" w:rsidRPr="00C72EBD">
        <w:rPr>
          <w:lang w:val="en-GB"/>
        </w:rPr>
        <w:t xml:space="preserve">Mr </w:t>
      </w:r>
      <w:proofErr w:type="spellStart"/>
      <w:r w:rsidR="00730EDB" w:rsidRPr="00C72EBD">
        <w:rPr>
          <w:lang w:val="en-GB"/>
        </w:rPr>
        <w:t>Matshotyana</w:t>
      </w:r>
      <w:proofErr w:type="spellEnd"/>
      <w:r w:rsidR="00730EDB" w:rsidRPr="00C72EBD">
        <w:rPr>
          <w:lang w:val="en-GB"/>
        </w:rPr>
        <w:t xml:space="preserve"> conceded, during cross-examination, that he could not describe with any level of confidence what the picture would look like by time </w:t>
      </w:r>
      <w:proofErr w:type="gramStart"/>
      <w:r w:rsidR="00730EDB" w:rsidRPr="00C72EBD">
        <w:rPr>
          <w:lang w:val="en-GB"/>
        </w:rPr>
        <w:t>S</w:t>
      </w:r>
      <w:r w:rsidR="00584117">
        <w:rPr>
          <w:lang w:val="en-GB"/>
        </w:rPr>
        <w:t>[</w:t>
      </w:r>
      <w:proofErr w:type="gramEnd"/>
      <w:r w:rsidR="00584117">
        <w:rPr>
          <w:lang w:val="en-GB"/>
        </w:rPr>
        <w:t>…]</w:t>
      </w:r>
      <w:r w:rsidR="00730EDB" w:rsidRPr="00C72EBD">
        <w:rPr>
          <w:lang w:val="en-GB"/>
        </w:rPr>
        <w:t xml:space="preserve"> attained the age of 35.</w:t>
      </w:r>
      <w:r w:rsidR="00BD6331" w:rsidRPr="00C72EBD">
        <w:rPr>
          <w:lang w:val="en-GB"/>
        </w:rPr>
        <w:t xml:space="preserve"> He also conceded that the department’s track record in respect of timeous payments left much to be desired, but placed reliance on the envisaged system.</w:t>
      </w:r>
      <w:r w:rsidR="00ED6C66" w:rsidRPr="00C72EBD">
        <w:rPr>
          <w:lang w:val="en-GB"/>
        </w:rPr>
        <w:t xml:space="preserve"> </w:t>
      </w:r>
      <w:r w:rsidR="005116AB" w:rsidRPr="00C72EBD">
        <w:rPr>
          <w:lang w:val="en-GB"/>
        </w:rPr>
        <w:t xml:space="preserve">As for the mechanics of payment, </w:t>
      </w:r>
      <w:r w:rsidR="000F34E7" w:rsidRPr="00C72EBD">
        <w:rPr>
          <w:lang w:val="en-GB"/>
        </w:rPr>
        <w:t xml:space="preserve">there could be various modalities adopted so as to ensure that a person in </w:t>
      </w:r>
      <w:proofErr w:type="gramStart"/>
      <w:r w:rsidR="000F34E7" w:rsidRPr="00C72EBD">
        <w:rPr>
          <w:lang w:val="en-GB"/>
        </w:rPr>
        <w:t>S</w:t>
      </w:r>
      <w:r w:rsidR="00584117">
        <w:rPr>
          <w:lang w:val="en-GB"/>
        </w:rPr>
        <w:t>[</w:t>
      </w:r>
      <w:proofErr w:type="gramEnd"/>
      <w:r w:rsidR="00584117">
        <w:rPr>
          <w:lang w:val="en-GB"/>
        </w:rPr>
        <w:t>…]</w:t>
      </w:r>
      <w:r w:rsidR="000F34E7" w:rsidRPr="00C72EBD">
        <w:rPr>
          <w:lang w:val="en-GB"/>
        </w:rPr>
        <w:t>’s position would not be out of pocket.</w:t>
      </w:r>
      <w:r w:rsidR="001B55CF" w:rsidRPr="00C72EBD">
        <w:rPr>
          <w:lang w:val="en-GB"/>
        </w:rPr>
        <w:t xml:space="preserve"> </w:t>
      </w:r>
    </w:p>
    <w:p w14:paraId="17655AEA" w14:textId="77777777" w:rsidR="006C6546" w:rsidRPr="006C6546" w:rsidRDefault="006C6546" w:rsidP="006C6546">
      <w:pPr>
        <w:pStyle w:val="ListParagraph"/>
        <w:rPr>
          <w:lang w:val="en-GB"/>
        </w:rPr>
      </w:pPr>
    </w:p>
    <w:p w14:paraId="087054C4" w14:textId="6D26A200" w:rsidR="00730EDB" w:rsidRPr="00C72EBD" w:rsidRDefault="00C72EBD" w:rsidP="00C72EBD">
      <w:pPr>
        <w:autoSpaceDE w:val="0"/>
        <w:autoSpaceDN w:val="0"/>
        <w:adjustRightInd w:val="0"/>
        <w:jc w:val="both"/>
        <w:rPr>
          <w:lang w:val="en-GB"/>
        </w:rPr>
      </w:pPr>
      <w:r>
        <w:rPr>
          <w:lang w:val="en-GB"/>
        </w:rPr>
        <w:t>[16]</w:t>
      </w:r>
      <w:r>
        <w:rPr>
          <w:lang w:val="en-GB"/>
        </w:rPr>
        <w:tab/>
      </w:r>
      <w:r w:rsidR="001B55CF" w:rsidRPr="00C72EBD">
        <w:rPr>
          <w:lang w:val="en-GB"/>
        </w:rPr>
        <w:t xml:space="preserve">Mr </w:t>
      </w:r>
      <w:proofErr w:type="spellStart"/>
      <w:r w:rsidR="001B55CF" w:rsidRPr="00C72EBD">
        <w:rPr>
          <w:lang w:val="en-GB"/>
        </w:rPr>
        <w:t>Matshotyana</w:t>
      </w:r>
      <w:proofErr w:type="spellEnd"/>
      <w:r w:rsidR="001B55CF" w:rsidRPr="00C72EBD">
        <w:rPr>
          <w:lang w:val="en-GB"/>
        </w:rPr>
        <w:t xml:space="preserve"> concluded his testimony in chief by assuring the court that a system had been established, coupled with a team that could be mobilised in a short space of time, so as to identify and place a caregiver for </w:t>
      </w:r>
      <w:proofErr w:type="gramStart"/>
      <w:r w:rsidR="001B55CF" w:rsidRPr="00C72EBD">
        <w:rPr>
          <w:lang w:val="en-GB"/>
        </w:rPr>
        <w:t>S</w:t>
      </w:r>
      <w:r w:rsidR="00584117">
        <w:rPr>
          <w:lang w:val="en-GB"/>
        </w:rPr>
        <w:t>[</w:t>
      </w:r>
      <w:proofErr w:type="gramEnd"/>
      <w:r w:rsidR="00584117">
        <w:rPr>
          <w:lang w:val="en-GB"/>
        </w:rPr>
        <w:t>…]</w:t>
      </w:r>
      <w:r w:rsidR="001B55CF" w:rsidRPr="00C72EBD">
        <w:rPr>
          <w:lang w:val="en-GB"/>
        </w:rPr>
        <w:t xml:space="preserve"> in </w:t>
      </w:r>
      <w:proofErr w:type="spellStart"/>
      <w:r w:rsidR="001B55CF" w:rsidRPr="00C72EBD">
        <w:rPr>
          <w:lang w:val="en-GB"/>
        </w:rPr>
        <w:t>Kariega</w:t>
      </w:r>
      <w:proofErr w:type="spellEnd"/>
      <w:r w:rsidR="001B55CF" w:rsidRPr="00C72EBD">
        <w:rPr>
          <w:lang w:val="en-GB"/>
        </w:rPr>
        <w:t xml:space="preserve">, properly supported and timeously paid, and that come 2040 this system would run seamlessly. </w:t>
      </w:r>
      <w:r w:rsidR="00ED6C66" w:rsidRPr="00C72EBD">
        <w:rPr>
          <w:lang w:val="en-GB"/>
        </w:rPr>
        <w:t>Part of the rationale</w:t>
      </w:r>
      <w:r w:rsidR="006C6546" w:rsidRPr="00C72EBD">
        <w:rPr>
          <w:lang w:val="en-GB"/>
        </w:rPr>
        <w:t xml:space="preserve"> for the defendant’s position was explained as being related to the </w:t>
      </w:r>
      <w:r w:rsidR="006C6546" w:rsidRPr="00C72EBD">
        <w:rPr>
          <w:lang w:val="en-GB"/>
        </w:rPr>
        <w:lastRenderedPageBreak/>
        <w:t>need to monitor the benefit received by those receiving state funds</w:t>
      </w:r>
      <w:r w:rsidR="000078A8" w:rsidRPr="00C72EBD">
        <w:rPr>
          <w:lang w:val="en-GB"/>
        </w:rPr>
        <w:t xml:space="preserve"> for healthcare purposes</w:t>
      </w:r>
      <w:r w:rsidR="006D0E67" w:rsidRPr="00C72EBD">
        <w:rPr>
          <w:lang w:val="en-GB"/>
        </w:rPr>
        <w:t>, given the state’s duty to provide healthcare to the populace.</w:t>
      </w:r>
      <w:r w:rsidR="00B93E44" w:rsidRPr="00C72EBD">
        <w:rPr>
          <w:lang w:val="en-GB"/>
        </w:rPr>
        <w:t xml:space="preserve"> </w:t>
      </w:r>
      <w:r w:rsidR="000A1576" w:rsidRPr="00C72EBD">
        <w:rPr>
          <w:lang w:val="en-GB"/>
        </w:rPr>
        <w:t>To this was added the financial benefit to the department in the event that it could avoid paying large lumpsums, which would exhaust its budget, and instead defer such payments</w:t>
      </w:r>
      <w:r w:rsidR="004A1260" w:rsidRPr="00C72EBD">
        <w:rPr>
          <w:lang w:val="en-GB"/>
        </w:rPr>
        <w:t xml:space="preserve"> in the manner proposed.</w:t>
      </w:r>
    </w:p>
    <w:p w14:paraId="1822B544" w14:textId="5F7C885D" w:rsidR="00970692" w:rsidRDefault="00970692" w:rsidP="00970692">
      <w:pPr>
        <w:rPr>
          <w:lang w:val="en-GB"/>
        </w:rPr>
      </w:pPr>
    </w:p>
    <w:p w14:paraId="478840E9" w14:textId="6716FED9" w:rsidR="00970692" w:rsidRPr="00BA3492" w:rsidRDefault="00E1522F" w:rsidP="00970692">
      <w:pPr>
        <w:rPr>
          <w:b/>
          <w:bCs/>
          <w:lang w:val="en-GB"/>
        </w:rPr>
      </w:pPr>
      <w:r>
        <w:rPr>
          <w:b/>
          <w:bCs/>
          <w:lang w:val="en-GB"/>
        </w:rPr>
        <w:t>The legal position</w:t>
      </w:r>
    </w:p>
    <w:p w14:paraId="75D2D942" w14:textId="77777777" w:rsidR="00970692" w:rsidRPr="00970692" w:rsidRDefault="00970692" w:rsidP="00970692">
      <w:pPr>
        <w:rPr>
          <w:i/>
          <w:iCs/>
          <w:lang w:val="en-GB"/>
        </w:rPr>
      </w:pPr>
    </w:p>
    <w:p w14:paraId="74012AE3" w14:textId="0D18B68B" w:rsidR="00E1522F" w:rsidRPr="00C72EBD" w:rsidRDefault="00C72EBD" w:rsidP="00C72EBD">
      <w:pPr>
        <w:autoSpaceDE w:val="0"/>
        <w:autoSpaceDN w:val="0"/>
        <w:adjustRightInd w:val="0"/>
        <w:jc w:val="both"/>
        <w:rPr>
          <w:lang w:val="en-GB"/>
        </w:rPr>
      </w:pPr>
      <w:r>
        <w:rPr>
          <w:lang w:val="en-GB"/>
        </w:rPr>
        <w:t>[17]</w:t>
      </w:r>
      <w:r>
        <w:rPr>
          <w:lang w:val="en-GB"/>
        </w:rPr>
        <w:tab/>
      </w:r>
      <w:r w:rsidR="00E1522F" w:rsidRPr="00C72EBD">
        <w:rPr>
          <w:lang w:val="en-GB"/>
        </w:rPr>
        <w:t xml:space="preserve">Given that this is an Aquilian action, the defendant is obliged to make good the difference between the value of the plaintiff’s estate after the commission of the delict and the value it would have had if the delict had not been committed. The purpose of an award of damages is to compensate the victim in money terms for the loss suffered. A plaintiff must allege and prove the quantum of damages suffered because of the defendant’s wrongful act. In other words, in this instance it was for the plaintiff to lead evidence establishing the reasonable and necessary cost of future caregiving expenses. </w:t>
      </w:r>
    </w:p>
    <w:p w14:paraId="3D8AF6C3" w14:textId="77777777" w:rsidR="00E1522F" w:rsidRDefault="00E1522F" w:rsidP="00E1522F">
      <w:pPr>
        <w:pStyle w:val="ListParagraph"/>
        <w:autoSpaceDE w:val="0"/>
        <w:autoSpaceDN w:val="0"/>
        <w:adjustRightInd w:val="0"/>
        <w:ind w:left="0"/>
        <w:jc w:val="both"/>
        <w:rPr>
          <w:lang w:val="en-GB"/>
        </w:rPr>
      </w:pPr>
    </w:p>
    <w:p w14:paraId="5A2AF42C" w14:textId="687AD663" w:rsidR="00BB1FBF" w:rsidRPr="00C72EBD" w:rsidRDefault="00C72EBD" w:rsidP="00C72EBD">
      <w:pPr>
        <w:autoSpaceDE w:val="0"/>
        <w:autoSpaceDN w:val="0"/>
        <w:adjustRightInd w:val="0"/>
        <w:jc w:val="both"/>
        <w:rPr>
          <w:lang w:val="en-GB"/>
        </w:rPr>
      </w:pPr>
      <w:r w:rsidRPr="00BB1FBF">
        <w:rPr>
          <w:lang w:val="en-GB"/>
        </w:rPr>
        <w:t>[18]</w:t>
      </w:r>
      <w:r w:rsidRPr="00BB1FBF">
        <w:rPr>
          <w:lang w:val="en-GB"/>
        </w:rPr>
        <w:tab/>
      </w:r>
      <w:r w:rsidR="007076CE" w:rsidRPr="00C72EBD">
        <w:rPr>
          <w:lang w:val="en-GB"/>
        </w:rPr>
        <w:t xml:space="preserve">Although the ‘once and for all’ rule favours individualism and the free market, the decision in </w:t>
      </w:r>
      <w:r w:rsidR="007076CE" w:rsidRPr="00C72EBD">
        <w:rPr>
          <w:i/>
          <w:iCs/>
          <w:lang w:val="en-GB"/>
        </w:rPr>
        <w:t>DZ</w:t>
      </w:r>
      <w:r w:rsidR="007076CE" w:rsidRPr="00C72EBD">
        <w:rPr>
          <w:lang w:val="en-GB"/>
        </w:rPr>
        <w:t xml:space="preserve"> has confirmed that this does not conflict with the constitutional </w:t>
      </w:r>
      <w:r w:rsidR="0053617F" w:rsidRPr="00C72EBD">
        <w:rPr>
          <w:lang w:val="en-GB"/>
        </w:rPr>
        <w:t xml:space="preserve">value system. </w:t>
      </w:r>
      <w:r w:rsidR="00F909FE" w:rsidRPr="00C72EBD">
        <w:rPr>
          <w:lang w:val="en-GB"/>
        </w:rPr>
        <w:t xml:space="preserve">Periodic payment may, however, be countenanced, based on the particular circumstances of a case. </w:t>
      </w:r>
      <w:r w:rsidR="00F822E2" w:rsidRPr="00C72EBD">
        <w:rPr>
          <w:lang w:val="en-GB"/>
        </w:rPr>
        <w:t xml:space="preserve">As to the public healthcare defence, and the parameters of its applicability in the present instance, I can do no better than to quote the judgment of the SCA in </w:t>
      </w:r>
      <w:r w:rsidR="00F822E2" w:rsidRPr="00C72EBD">
        <w:rPr>
          <w:i/>
          <w:iCs/>
          <w:lang w:val="en-GB"/>
        </w:rPr>
        <w:t>Ngubane v South African Transport Services</w:t>
      </w:r>
      <w:r w:rsidR="00F822E2" w:rsidRPr="00C72EBD">
        <w:rPr>
          <w:lang w:val="en-GB"/>
        </w:rPr>
        <w:t xml:space="preserve">, which was cited with approval by the Constitutional Court in </w:t>
      </w:r>
      <w:r w:rsidR="00F822E2" w:rsidRPr="00C72EBD">
        <w:rPr>
          <w:i/>
          <w:iCs/>
          <w:lang w:val="en-GB"/>
        </w:rPr>
        <w:t>MEC for Health v DZ</w:t>
      </w:r>
      <w:r w:rsidR="00F822E2" w:rsidRPr="00C72EBD">
        <w:rPr>
          <w:lang w:val="en-GB"/>
        </w:rPr>
        <w:t xml:space="preserve">, and more recently confirmed by the SCA in </w:t>
      </w:r>
      <w:r w:rsidR="00F822E2" w:rsidRPr="00C72EBD">
        <w:rPr>
          <w:i/>
          <w:iCs/>
          <w:lang w:val="en-GB"/>
        </w:rPr>
        <w:t>Mashinini v MEC for Health, Gauteng</w:t>
      </w:r>
      <w:r w:rsidR="00BB1FBF" w:rsidRPr="00C72EBD">
        <w:rPr>
          <w:lang w:val="en-GB"/>
        </w:rPr>
        <w:t>:</w:t>
      </w:r>
      <w:r w:rsidR="00C87455">
        <w:rPr>
          <w:rStyle w:val="FootnoteReference"/>
          <w:lang w:val="en-GB"/>
        </w:rPr>
        <w:footnoteReference w:id="1"/>
      </w:r>
      <w:r w:rsidR="00F822E2" w:rsidRPr="00C72EBD">
        <w:rPr>
          <w:i/>
          <w:iCs/>
          <w:lang w:val="en-GB"/>
        </w:rPr>
        <w:t xml:space="preserve"> </w:t>
      </w:r>
    </w:p>
    <w:p w14:paraId="5CEF6306" w14:textId="66B6B512" w:rsidR="009A2D20" w:rsidRPr="00BB1FBF" w:rsidRDefault="00BB1FBF" w:rsidP="00BB1FBF">
      <w:pPr>
        <w:jc w:val="both"/>
        <w:rPr>
          <w:sz w:val="22"/>
          <w:szCs w:val="22"/>
          <w:lang w:val="en-GB"/>
        </w:rPr>
      </w:pPr>
      <w:r>
        <w:rPr>
          <w:sz w:val="22"/>
          <w:szCs w:val="22"/>
          <w:lang w:val="en-GB"/>
        </w:rPr>
        <w:t xml:space="preserve">‘Though the onus of proving damages is correctly placed upon the plaintiff … by making use of private medical services and hospital facilities, a plaintiff, who has suffered personal injuries, will in the normal course (as a result of enquiries and exercising a right of selection) receive skilled medical attention and, where the need arises, be admitted to a well-run and properly equipped hospital. To accord him such benefits, all would agree, is both reasonable and deserving. For this </w:t>
      </w:r>
      <w:proofErr w:type="gramStart"/>
      <w:r>
        <w:rPr>
          <w:sz w:val="22"/>
          <w:szCs w:val="22"/>
          <w:lang w:val="en-GB"/>
        </w:rPr>
        <w:t>reason</w:t>
      </w:r>
      <w:proofErr w:type="gramEnd"/>
      <w:r>
        <w:rPr>
          <w:sz w:val="22"/>
          <w:szCs w:val="22"/>
          <w:lang w:val="en-GB"/>
        </w:rPr>
        <w:t xml:space="preserve"> it is a legitimate – and as far as I am aware the customary – basis on which a claim for future medical expenses is determined. Such evidence will thus discharge </w:t>
      </w:r>
      <w:r>
        <w:rPr>
          <w:sz w:val="22"/>
          <w:szCs w:val="22"/>
          <w:lang w:val="en-GB"/>
        </w:rPr>
        <w:lastRenderedPageBreak/>
        <w:t>the onus of proving the cost of such expenses unless, having regard to all the evidence, including that adduced in support of an alternative and cheaper source of medical services, it can be said that the plaintiff has failed to prove on a preponderance of probabilities that the medical services envisaged are reasonable and hence that the amounts claimed are excessive.’</w:t>
      </w:r>
    </w:p>
    <w:p w14:paraId="03E4216C" w14:textId="77777777" w:rsidR="00BB1FBF" w:rsidRPr="00BB1FBF" w:rsidRDefault="00BB1FBF" w:rsidP="00BB1FBF">
      <w:pPr>
        <w:rPr>
          <w:lang w:val="en-GB"/>
        </w:rPr>
      </w:pPr>
    </w:p>
    <w:p w14:paraId="167EB63C" w14:textId="69C2BE5A" w:rsidR="00BB1FBF" w:rsidRPr="00C72EBD" w:rsidRDefault="00C72EBD" w:rsidP="00C72EBD">
      <w:pPr>
        <w:autoSpaceDE w:val="0"/>
        <w:autoSpaceDN w:val="0"/>
        <w:adjustRightInd w:val="0"/>
        <w:jc w:val="both"/>
        <w:rPr>
          <w:lang w:val="en-GB"/>
        </w:rPr>
      </w:pPr>
      <w:r>
        <w:rPr>
          <w:lang w:val="en-GB"/>
        </w:rPr>
        <w:t>[19]</w:t>
      </w:r>
      <w:r>
        <w:rPr>
          <w:lang w:val="en-GB"/>
        </w:rPr>
        <w:tab/>
      </w:r>
      <w:r w:rsidR="009A2D20" w:rsidRPr="00C72EBD">
        <w:rPr>
          <w:lang w:val="en-GB"/>
        </w:rPr>
        <w:t xml:space="preserve">The court in </w:t>
      </w:r>
      <w:proofErr w:type="spellStart"/>
      <w:r w:rsidR="009A2D20" w:rsidRPr="00C72EBD">
        <w:rPr>
          <w:i/>
          <w:iCs/>
          <w:lang w:val="en-GB"/>
        </w:rPr>
        <w:t>Ngubane</w:t>
      </w:r>
      <w:proofErr w:type="spellEnd"/>
      <w:r w:rsidR="009A2D20" w:rsidRPr="00C72EBD">
        <w:rPr>
          <w:lang w:val="en-GB"/>
        </w:rPr>
        <w:t xml:space="preserve"> added the following:</w:t>
      </w:r>
      <w:r w:rsidR="00B655D8">
        <w:rPr>
          <w:rStyle w:val="FootnoteReference"/>
          <w:lang w:val="en-GB"/>
        </w:rPr>
        <w:footnoteReference w:id="2"/>
      </w:r>
    </w:p>
    <w:p w14:paraId="35D78DA8" w14:textId="2C001400" w:rsidR="009A2D20" w:rsidRPr="009A2D20" w:rsidRDefault="009A2D20" w:rsidP="009A2D20">
      <w:pPr>
        <w:pStyle w:val="ListParagraph"/>
        <w:autoSpaceDE w:val="0"/>
        <w:autoSpaceDN w:val="0"/>
        <w:adjustRightInd w:val="0"/>
        <w:ind w:left="0"/>
        <w:jc w:val="both"/>
        <w:rPr>
          <w:sz w:val="22"/>
          <w:szCs w:val="22"/>
          <w:lang w:val="en-GB"/>
        </w:rPr>
      </w:pPr>
      <w:r>
        <w:rPr>
          <w:sz w:val="22"/>
          <w:szCs w:val="22"/>
          <w:lang w:val="en-GB"/>
        </w:rPr>
        <w:t xml:space="preserve">‘Thus, in the instant case the respondent was required to adduce evidence – a </w:t>
      </w:r>
      <w:proofErr w:type="spellStart"/>
      <w:r>
        <w:rPr>
          <w:sz w:val="22"/>
          <w:szCs w:val="22"/>
          <w:lang w:val="en-GB"/>
        </w:rPr>
        <w:t>voldoende</w:t>
      </w:r>
      <w:proofErr w:type="spellEnd"/>
      <w:r>
        <w:rPr>
          <w:sz w:val="22"/>
          <w:szCs w:val="22"/>
          <w:lang w:val="en-GB"/>
        </w:rPr>
        <w:t xml:space="preserve"> </w:t>
      </w:r>
      <w:proofErr w:type="spellStart"/>
      <w:r>
        <w:rPr>
          <w:sz w:val="22"/>
          <w:szCs w:val="22"/>
          <w:lang w:val="en-GB"/>
        </w:rPr>
        <w:t>getuienisbasis</w:t>
      </w:r>
      <w:proofErr w:type="spellEnd"/>
      <w:r>
        <w:rPr>
          <w:sz w:val="22"/>
          <w:szCs w:val="22"/>
          <w:lang w:val="en-GB"/>
        </w:rPr>
        <w:t xml:space="preserve"> in the words of Jansen JA – in support of its contention, that is to say, that for the next 35 years, or for some shorter period, medical services of the same, or an acceptably high, standard will be available to the appellant </w:t>
      </w:r>
      <w:r>
        <w:rPr>
          <w:i/>
          <w:iCs/>
          <w:sz w:val="22"/>
          <w:szCs w:val="22"/>
          <w:lang w:val="en-GB"/>
        </w:rPr>
        <w:t>at no cost or for less than that claimed by him</w:t>
      </w:r>
      <w:r>
        <w:rPr>
          <w:sz w:val="22"/>
          <w:szCs w:val="22"/>
          <w:lang w:val="en-GB"/>
        </w:rPr>
        <w:t>’</w:t>
      </w:r>
      <w:r w:rsidR="000E60EC">
        <w:rPr>
          <w:sz w:val="22"/>
          <w:szCs w:val="22"/>
          <w:lang w:val="en-GB"/>
        </w:rPr>
        <w:t>. (Own emphasis).</w:t>
      </w:r>
    </w:p>
    <w:p w14:paraId="1B24DDD1" w14:textId="77777777" w:rsidR="009A2D20" w:rsidRDefault="009A2D20" w:rsidP="009A2D20">
      <w:pPr>
        <w:pStyle w:val="ListParagraph"/>
        <w:autoSpaceDE w:val="0"/>
        <w:autoSpaceDN w:val="0"/>
        <w:adjustRightInd w:val="0"/>
        <w:ind w:left="0"/>
        <w:jc w:val="both"/>
        <w:rPr>
          <w:lang w:val="en-GB"/>
        </w:rPr>
      </w:pPr>
    </w:p>
    <w:p w14:paraId="3CE4C3E7" w14:textId="05396139" w:rsidR="009A2D20" w:rsidRPr="00C72EBD" w:rsidRDefault="00C72EBD" w:rsidP="00C72EBD">
      <w:pPr>
        <w:autoSpaceDE w:val="0"/>
        <w:autoSpaceDN w:val="0"/>
        <w:adjustRightInd w:val="0"/>
        <w:jc w:val="both"/>
        <w:rPr>
          <w:lang w:val="en-GB"/>
        </w:rPr>
      </w:pPr>
      <w:r>
        <w:rPr>
          <w:lang w:val="en-GB"/>
        </w:rPr>
        <w:t>[20]</w:t>
      </w:r>
      <w:r>
        <w:rPr>
          <w:lang w:val="en-GB"/>
        </w:rPr>
        <w:tab/>
      </w:r>
      <w:r w:rsidR="009E6EA9" w:rsidRPr="00C72EBD">
        <w:rPr>
          <w:lang w:val="en-GB"/>
        </w:rPr>
        <w:t xml:space="preserve">These principles must apply with equal force in respect of the present claim for caregiver support. </w:t>
      </w:r>
      <w:r w:rsidR="00A66B2E" w:rsidRPr="00C72EBD">
        <w:rPr>
          <w:lang w:val="en-GB"/>
        </w:rPr>
        <w:t xml:space="preserve">The point, as articulated by the Constitutional Court in </w:t>
      </w:r>
      <w:r w:rsidR="00A66B2E" w:rsidRPr="00C72EBD">
        <w:rPr>
          <w:i/>
          <w:iCs/>
          <w:lang w:val="en-GB"/>
        </w:rPr>
        <w:t>DZ</w:t>
      </w:r>
      <w:r w:rsidR="00A66B2E" w:rsidRPr="00C72EBD">
        <w:rPr>
          <w:lang w:val="en-GB"/>
        </w:rPr>
        <w:t xml:space="preserve">, is that it is for the defendant to produce evidence that medical services, of the same or higher standard, </w:t>
      </w:r>
      <w:r w:rsidR="00A66B2E" w:rsidRPr="00C72EBD">
        <w:rPr>
          <w:i/>
          <w:iCs/>
          <w:lang w:val="en-GB"/>
        </w:rPr>
        <w:t>at no or less cost than private medical care</w:t>
      </w:r>
      <w:r w:rsidR="00A66B2E" w:rsidRPr="00C72EBD">
        <w:rPr>
          <w:lang w:val="en-GB"/>
        </w:rPr>
        <w:t>, would be available to a plaintiff in future</w:t>
      </w:r>
      <w:r w:rsidR="00320E8A" w:rsidRPr="00C72EBD">
        <w:rPr>
          <w:lang w:val="en-GB"/>
        </w:rPr>
        <w:t>, the emphasis being on cost-saving</w:t>
      </w:r>
      <w:r w:rsidR="006C6625" w:rsidRPr="00C72EBD">
        <w:rPr>
          <w:lang w:val="en-GB"/>
        </w:rPr>
        <w:t>. To quote</w:t>
      </w:r>
      <w:r w:rsidR="00A66B2E" w:rsidRPr="00C72EBD">
        <w:rPr>
          <w:lang w:val="en-GB"/>
        </w:rPr>
        <w:t>:</w:t>
      </w:r>
      <w:r w:rsidR="00147510">
        <w:rPr>
          <w:rStyle w:val="FootnoteReference"/>
          <w:lang w:val="en-GB"/>
        </w:rPr>
        <w:footnoteReference w:id="3"/>
      </w:r>
    </w:p>
    <w:p w14:paraId="6094C208" w14:textId="67AF9E37" w:rsidR="00A66B2E" w:rsidRDefault="00A66B2E" w:rsidP="00A66B2E">
      <w:pPr>
        <w:pStyle w:val="ListParagraph"/>
        <w:autoSpaceDE w:val="0"/>
        <w:autoSpaceDN w:val="0"/>
        <w:adjustRightInd w:val="0"/>
        <w:ind w:left="0"/>
        <w:jc w:val="both"/>
        <w:rPr>
          <w:sz w:val="22"/>
          <w:szCs w:val="22"/>
          <w:lang w:val="en-GB"/>
        </w:rPr>
      </w:pPr>
      <w:r>
        <w:rPr>
          <w:sz w:val="22"/>
          <w:szCs w:val="22"/>
          <w:lang w:val="en-GB"/>
        </w:rPr>
        <w:t>‘If that evidence is of a sufficiently cogent nature to disturb the presumption that private future healthcare is reasonable, the plaintiff will not succeed in the claim for the higher future medical expenses.’</w:t>
      </w:r>
    </w:p>
    <w:p w14:paraId="57559B0A" w14:textId="77777777" w:rsidR="004D1E6D" w:rsidRPr="00A66B2E" w:rsidRDefault="004D1E6D" w:rsidP="00A66B2E">
      <w:pPr>
        <w:pStyle w:val="ListParagraph"/>
        <w:autoSpaceDE w:val="0"/>
        <w:autoSpaceDN w:val="0"/>
        <w:adjustRightInd w:val="0"/>
        <w:ind w:left="0"/>
        <w:jc w:val="both"/>
        <w:rPr>
          <w:sz w:val="22"/>
          <w:szCs w:val="22"/>
          <w:lang w:val="en-GB"/>
        </w:rPr>
      </w:pPr>
    </w:p>
    <w:p w14:paraId="12626910" w14:textId="0DD19630" w:rsidR="00C333B3" w:rsidRPr="00C72EBD" w:rsidRDefault="00C72EBD" w:rsidP="00C72EBD">
      <w:pPr>
        <w:autoSpaceDE w:val="0"/>
        <w:autoSpaceDN w:val="0"/>
        <w:adjustRightInd w:val="0"/>
        <w:jc w:val="both"/>
        <w:rPr>
          <w:lang w:val="en-GB"/>
        </w:rPr>
      </w:pPr>
      <w:r>
        <w:rPr>
          <w:lang w:val="en-GB"/>
        </w:rPr>
        <w:t>[21]</w:t>
      </w:r>
      <w:r>
        <w:rPr>
          <w:lang w:val="en-GB"/>
        </w:rPr>
        <w:tab/>
      </w:r>
      <w:r w:rsidR="009527F0" w:rsidRPr="00C72EBD">
        <w:rPr>
          <w:lang w:val="en-GB"/>
        </w:rPr>
        <w:t xml:space="preserve">It is immediately apparent that this case is distinguishable, based on the evidence presented, from </w:t>
      </w:r>
      <w:r w:rsidR="009527F0" w:rsidRPr="00C72EBD">
        <w:rPr>
          <w:i/>
          <w:iCs/>
          <w:lang w:val="en-GB"/>
        </w:rPr>
        <w:t>TN obo BN v MEC for Health, Eastern Cape</w:t>
      </w:r>
      <w:r w:rsidR="00C70BE8" w:rsidRPr="00C72EBD">
        <w:rPr>
          <w:i/>
          <w:iCs/>
          <w:lang w:val="en-GB"/>
        </w:rPr>
        <w:t xml:space="preserve">, </w:t>
      </w:r>
      <w:r w:rsidR="00C70BE8" w:rsidRPr="00C72EBD">
        <w:rPr>
          <w:lang w:val="en-GB"/>
        </w:rPr>
        <w:t xml:space="preserve">as </w:t>
      </w:r>
      <w:r w:rsidR="00C70BE8" w:rsidRPr="00C72EBD">
        <w:rPr>
          <w:i/>
          <w:iCs/>
          <w:lang w:val="en-GB"/>
        </w:rPr>
        <w:t>Mr Schoeman</w:t>
      </w:r>
      <w:r w:rsidR="00C70BE8" w:rsidRPr="00C72EBD">
        <w:rPr>
          <w:lang w:val="en-GB"/>
        </w:rPr>
        <w:t xml:space="preserve"> </w:t>
      </w:r>
      <w:r w:rsidR="000375B4" w:rsidRPr="00C72EBD">
        <w:rPr>
          <w:lang w:val="en-GB"/>
        </w:rPr>
        <w:t xml:space="preserve">for the plaintiff </w:t>
      </w:r>
      <w:r w:rsidR="00C70BE8" w:rsidRPr="00C72EBD">
        <w:rPr>
          <w:lang w:val="en-GB"/>
        </w:rPr>
        <w:t>argued</w:t>
      </w:r>
      <w:r w:rsidR="009527F0" w:rsidRPr="00C72EBD">
        <w:rPr>
          <w:lang w:val="en-GB"/>
        </w:rPr>
        <w:t>.</w:t>
      </w:r>
      <w:r w:rsidR="001F71B3">
        <w:rPr>
          <w:rStyle w:val="FootnoteReference"/>
          <w:lang w:val="en-GB"/>
        </w:rPr>
        <w:footnoteReference w:id="4"/>
      </w:r>
      <w:r w:rsidR="009527F0" w:rsidRPr="00C72EBD">
        <w:rPr>
          <w:lang w:val="en-GB"/>
        </w:rPr>
        <w:t xml:space="preserve"> To cite the most obvious illustration, in that matter the court heard the evidence of various expert witnesses, including a</w:t>
      </w:r>
      <w:r w:rsidR="00E83CBC" w:rsidRPr="00C72EBD">
        <w:rPr>
          <w:lang w:val="en-GB"/>
        </w:rPr>
        <w:t>n esteemed</w:t>
      </w:r>
      <w:r w:rsidR="009527F0" w:rsidRPr="00C72EBD">
        <w:rPr>
          <w:lang w:val="en-GB"/>
        </w:rPr>
        <w:t xml:space="preserve"> public finance economist</w:t>
      </w:r>
      <w:r w:rsidR="00310F40" w:rsidRPr="00C72EBD">
        <w:rPr>
          <w:lang w:val="en-GB"/>
        </w:rPr>
        <w:t xml:space="preserve"> who testified as to state resource constraints</w:t>
      </w:r>
      <w:r w:rsidR="00486CF8" w:rsidRPr="00C72EBD">
        <w:rPr>
          <w:lang w:val="en-GB"/>
        </w:rPr>
        <w:t xml:space="preserve"> in the face of medical </w:t>
      </w:r>
      <w:r w:rsidR="006B0486" w:rsidRPr="00C72EBD">
        <w:rPr>
          <w:lang w:val="en-GB"/>
        </w:rPr>
        <w:t xml:space="preserve">negligence </w:t>
      </w:r>
      <w:r w:rsidR="00486CF8" w:rsidRPr="00C72EBD">
        <w:rPr>
          <w:lang w:val="en-GB"/>
        </w:rPr>
        <w:t xml:space="preserve">claims, </w:t>
      </w:r>
      <w:r w:rsidR="00E726D6" w:rsidRPr="00C72EBD">
        <w:rPr>
          <w:lang w:val="en-GB"/>
        </w:rPr>
        <w:t xml:space="preserve">undertakings to pay </w:t>
      </w:r>
      <w:r w:rsidR="00486CF8" w:rsidRPr="00C72EBD">
        <w:rPr>
          <w:lang w:val="en-GB"/>
        </w:rPr>
        <w:t>and cost-effectiveness.</w:t>
      </w:r>
      <w:r w:rsidR="00066A9A" w:rsidRPr="00C72EBD">
        <w:rPr>
          <w:lang w:val="en-GB"/>
        </w:rPr>
        <w:t xml:space="preserve"> </w:t>
      </w:r>
      <w:r w:rsidR="00E83CBC" w:rsidRPr="00C72EBD">
        <w:rPr>
          <w:lang w:val="en-GB"/>
        </w:rPr>
        <w:t>The evidence in that matter disclosed, in fine detail, the risks associated with lump sum payments</w:t>
      </w:r>
      <w:r w:rsidR="002F2D15" w:rsidRPr="00C72EBD">
        <w:rPr>
          <w:lang w:val="en-GB"/>
        </w:rPr>
        <w:t xml:space="preserve"> and the department’s financial struggles.</w:t>
      </w:r>
      <w:r w:rsidR="004F0C8D" w:rsidRPr="00C72EBD">
        <w:rPr>
          <w:lang w:val="en-GB"/>
        </w:rPr>
        <w:t xml:space="preserve"> </w:t>
      </w:r>
      <w:r w:rsidR="00F97C62" w:rsidRPr="00C72EBD">
        <w:rPr>
          <w:lang w:val="en-GB"/>
        </w:rPr>
        <w:t>Perhaps most significantly, at issue was the ability of the department to provide services and supplies</w:t>
      </w:r>
      <w:r w:rsidR="00374A90" w:rsidRPr="00C72EBD">
        <w:rPr>
          <w:lang w:val="en-GB"/>
        </w:rPr>
        <w:t>,</w:t>
      </w:r>
      <w:r w:rsidR="00D472B2" w:rsidRPr="00C72EBD">
        <w:rPr>
          <w:lang w:val="en-GB"/>
        </w:rPr>
        <w:t xml:space="preserve"> that were </w:t>
      </w:r>
      <w:r w:rsidR="00374A90" w:rsidRPr="00C72EBD">
        <w:rPr>
          <w:lang w:val="en-GB"/>
        </w:rPr>
        <w:t xml:space="preserve">of the kind </w:t>
      </w:r>
      <w:r w:rsidR="00374A90" w:rsidRPr="00C72EBD">
        <w:rPr>
          <w:lang w:val="en-GB"/>
        </w:rPr>
        <w:lastRenderedPageBreak/>
        <w:t>available at public hospitals,</w:t>
      </w:r>
      <w:r w:rsidR="00F97C62" w:rsidRPr="00C72EBD">
        <w:rPr>
          <w:lang w:val="en-GB"/>
        </w:rPr>
        <w:t xml:space="preserve"> at the required standard. The evidence presented </w:t>
      </w:r>
      <w:r w:rsidR="00F04FE9" w:rsidRPr="00C72EBD">
        <w:rPr>
          <w:lang w:val="en-GB"/>
        </w:rPr>
        <w:t xml:space="preserve">in that matter </w:t>
      </w:r>
      <w:r w:rsidR="00F97C62" w:rsidRPr="00C72EBD">
        <w:rPr>
          <w:lang w:val="en-GB"/>
        </w:rPr>
        <w:t xml:space="preserve">was held to point ineluctably to the conclusion that this was the case. </w:t>
      </w:r>
    </w:p>
    <w:p w14:paraId="625FC349" w14:textId="77777777" w:rsidR="00E83CBC" w:rsidRDefault="00E83CBC" w:rsidP="00E83CBC">
      <w:pPr>
        <w:pStyle w:val="ListParagraph"/>
        <w:autoSpaceDE w:val="0"/>
        <w:autoSpaceDN w:val="0"/>
        <w:adjustRightInd w:val="0"/>
        <w:ind w:left="0"/>
        <w:jc w:val="both"/>
        <w:rPr>
          <w:lang w:val="en-GB"/>
        </w:rPr>
      </w:pPr>
    </w:p>
    <w:p w14:paraId="4CF9CF30" w14:textId="7DADB30D" w:rsidR="00F43345" w:rsidRPr="00C72EBD" w:rsidRDefault="00C72EBD" w:rsidP="00C72EBD">
      <w:pPr>
        <w:autoSpaceDE w:val="0"/>
        <w:autoSpaceDN w:val="0"/>
        <w:adjustRightInd w:val="0"/>
        <w:jc w:val="both"/>
        <w:rPr>
          <w:i/>
          <w:iCs/>
          <w:lang w:val="en-GB"/>
        </w:rPr>
      </w:pPr>
      <w:r w:rsidRPr="00F43345">
        <w:rPr>
          <w:i/>
          <w:iCs/>
          <w:lang w:val="en-GB"/>
        </w:rPr>
        <w:t>[22]</w:t>
      </w:r>
      <w:r w:rsidRPr="00F43345">
        <w:rPr>
          <w:i/>
          <w:iCs/>
          <w:lang w:val="en-GB"/>
        </w:rPr>
        <w:tab/>
      </w:r>
      <w:r w:rsidR="00066A9A" w:rsidRPr="00C72EBD">
        <w:rPr>
          <w:lang w:val="en-GB"/>
        </w:rPr>
        <w:t xml:space="preserve">In deciding whether to develop the common law, </w:t>
      </w:r>
      <w:r w:rsidR="00463429" w:rsidRPr="00C72EBD">
        <w:rPr>
          <w:lang w:val="en-GB"/>
        </w:rPr>
        <w:t xml:space="preserve">the court </w:t>
      </w:r>
      <w:r w:rsidR="00066A9A" w:rsidRPr="00C72EBD">
        <w:rPr>
          <w:lang w:val="en-GB"/>
        </w:rPr>
        <w:t xml:space="preserve">held that the facts </w:t>
      </w:r>
      <w:r w:rsidR="00D964CD" w:rsidRPr="00C72EBD">
        <w:rPr>
          <w:lang w:val="en-GB"/>
        </w:rPr>
        <w:t xml:space="preserve">before it </w:t>
      </w:r>
      <w:r w:rsidR="00066A9A" w:rsidRPr="00C72EBD">
        <w:rPr>
          <w:lang w:val="en-GB"/>
        </w:rPr>
        <w:t xml:space="preserve">were on all fours with the </w:t>
      </w:r>
      <w:r w:rsidR="00AA7808" w:rsidRPr="00C72EBD">
        <w:rPr>
          <w:lang w:val="en-GB"/>
        </w:rPr>
        <w:t>case of</w:t>
      </w:r>
      <w:r w:rsidR="00066A9A" w:rsidRPr="00C72EBD">
        <w:rPr>
          <w:lang w:val="en-GB"/>
        </w:rPr>
        <w:t xml:space="preserve"> </w:t>
      </w:r>
      <w:r w:rsidR="00066A9A" w:rsidRPr="00C72EBD">
        <w:rPr>
          <w:i/>
          <w:iCs/>
          <w:lang w:val="en-GB"/>
        </w:rPr>
        <w:t>MSM</w:t>
      </w:r>
      <w:r w:rsidR="00225135" w:rsidRPr="00C72EBD">
        <w:rPr>
          <w:i/>
          <w:iCs/>
          <w:lang w:val="en-GB"/>
        </w:rPr>
        <w:t xml:space="preserve"> obo KBM v MEC for Health, Gauteng</w:t>
      </w:r>
      <w:r w:rsidR="00066A9A" w:rsidRPr="00C72EBD">
        <w:rPr>
          <w:lang w:val="en-GB"/>
        </w:rPr>
        <w:t>, and followed that decision in ultimately developing the common law.</w:t>
      </w:r>
      <w:r w:rsidR="00225135">
        <w:rPr>
          <w:rStyle w:val="FootnoteReference"/>
          <w:lang w:val="en-GB"/>
        </w:rPr>
        <w:footnoteReference w:id="5"/>
      </w:r>
      <w:r w:rsidR="00066A9A" w:rsidRPr="00C72EBD">
        <w:rPr>
          <w:lang w:val="en-GB"/>
        </w:rPr>
        <w:t xml:space="preserve"> It must be noted that the SCA </w:t>
      </w:r>
      <w:r w:rsidR="003D26F2" w:rsidRPr="00C72EBD">
        <w:rPr>
          <w:lang w:val="en-GB"/>
        </w:rPr>
        <w:t xml:space="preserve">has subsequently, </w:t>
      </w:r>
      <w:r w:rsidR="008C48D4" w:rsidRPr="00C72EBD">
        <w:rPr>
          <w:lang w:val="en-GB"/>
        </w:rPr>
        <w:t xml:space="preserve">in </w:t>
      </w:r>
      <w:proofErr w:type="spellStart"/>
      <w:r w:rsidR="008C48D4" w:rsidRPr="00C72EBD">
        <w:rPr>
          <w:i/>
          <w:iCs/>
          <w:lang w:val="en-GB"/>
        </w:rPr>
        <w:t>Mashini</w:t>
      </w:r>
      <w:proofErr w:type="spellEnd"/>
      <w:r w:rsidR="00225135" w:rsidRPr="00C72EBD">
        <w:rPr>
          <w:i/>
          <w:iCs/>
          <w:lang w:val="en-GB"/>
        </w:rPr>
        <w:t xml:space="preserve"> v MEC for Health, Gauteng</w:t>
      </w:r>
      <w:r w:rsidR="008C48D4" w:rsidRPr="00C72EBD">
        <w:rPr>
          <w:lang w:val="en-GB"/>
        </w:rPr>
        <w:t>,</w:t>
      </w:r>
      <w:r w:rsidR="008C48D4" w:rsidRPr="00C72EBD">
        <w:rPr>
          <w:i/>
          <w:iCs/>
          <w:lang w:val="en-GB"/>
        </w:rPr>
        <w:t xml:space="preserve"> </w:t>
      </w:r>
      <w:r w:rsidR="00066A9A" w:rsidRPr="00C72EBD">
        <w:rPr>
          <w:lang w:val="en-GB"/>
        </w:rPr>
        <w:t xml:space="preserve">and </w:t>
      </w:r>
      <w:r w:rsidR="00066960" w:rsidRPr="00C72EBD">
        <w:rPr>
          <w:lang w:val="en-GB"/>
        </w:rPr>
        <w:t>without any</w:t>
      </w:r>
      <w:r w:rsidR="00066A9A" w:rsidRPr="00C72EBD">
        <w:rPr>
          <w:lang w:val="en-GB"/>
        </w:rPr>
        <w:t xml:space="preserve"> reference </w:t>
      </w:r>
      <w:r w:rsidR="003D26F2" w:rsidRPr="00C72EBD">
        <w:rPr>
          <w:lang w:val="en-GB"/>
        </w:rPr>
        <w:t xml:space="preserve">to </w:t>
      </w:r>
      <w:r w:rsidR="003D26F2" w:rsidRPr="00C72EBD">
        <w:rPr>
          <w:i/>
          <w:iCs/>
          <w:lang w:val="en-GB"/>
        </w:rPr>
        <w:t>TN obo BN</w:t>
      </w:r>
      <w:r w:rsidR="00066A9A" w:rsidRPr="00C72EBD">
        <w:rPr>
          <w:lang w:val="en-GB"/>
        </w:rPr>
        <w:t>, criticised the finding</w:t>
      </w:r>
      <w:r w:rsidR="00C40A15" w:rsidRPr="00C72EBD">
        <w:rPr>
          <w:lang w:val="en-GB"/>
        </w:rPr>
        <w:t xml:space="preserve"> of Keightley J</w:t>
      </w:r>
      <w:r w:rsidR="00066A9A" w:rsidRPr="00C72EBD">
        <w:rPr>
          <w:lang w:val="en-GB"/>
        </w:rPr>
        <w:t xml:space="preserve"> in </w:t>
      </w:r>
      <w:r w:rsidR="00066A9A" w:rsidRPr="00C72EBD">
        <w:rPr>
          <w:i/>
          <w:iCs/>
          <w:lang w:val="en-GB"/>
        </w:rPr>
        <w:t>MSM</w:t>
      </w:r>
      <w:r w:rsidR="00066A9A" w:rsidRPr="00C72EBD">
        <w:rPr>
          <w:lang w:val="en-GB"/>
        </w:rPr>
        <w:t xml:space="preserve"> that the common law was being developed.</w:t>
      </w:r>
      <w:r w:rsidR="00225135">
        <w:rPr>
          <w:rStyle w:val="FootnoteReference"/>
          <w:lang w:val="en-GB"/>
        </w:rPr>
        <w:footnoteReference w:id="6"/>
      </w:r>
      <w:r w:rsidR="00066A9A" w:rsidRPr="00C72EBD">
        <w:rPr>
          <w:lang w:val="en-GB"/>
        </w:rPr>
        <w:t xml:space="preserve"> The order in </w:t>
      </w:r>
      <w:r w:rsidR="00066A9A" w:rsidRPr="00C72EBD">
        <w:rPr>
          <w:i/>
          <w:iCs/>
          <w:lang w:val="en-GB"/>
        </w:rPr>
        <w:t>MSM</w:t>
      </w:r>
      <w:r w:rsidR="00066A9A" w:rsidRPr="00C72EBD">
        <w:rPr>
          <w:lang w:val="en-GB"/>
        </w:rPr>
        <w:t xml:space="preserve"> was, in fact, based on </w:t>
      </w:r>
      <w:proofErr w:type="spellStart"/>
      <w:r w:rsidR="00066A9A" w:rsidRPr="00C72EBD">
        <w:rPr>
          <w:lang w:val="en-GB"/>
        </w:rPr>
        <w:t>delictual</w:t>
      </w:r>
      <w:proofErr w:type="spellEnd"/>
      <w:r w:rsidR="00066A9A" w:rsidRPr="00C72EBD">
        <w:rPr>
          <w:lang w:val="en-GB"/>
        </w:rPr>
        <w:t xml:space="preserve"> principles.</w:t>
      </w:r>
      <w:r w:rsidR="004F0C8D" w:rsidRPr="00C72EBD">
        <w:rPr>
          <w:lang w:val="en-GB"/>
        </w:rPr>
        <w:t xml:space="preserve"> </w:t>
      </w:r>
    </w:p>
    <w:p w14:paraId="268E4E3D" w14:textId="77777777" w:rsidR="00F43345" w:rsidRPr="00F43345" w:rsidRDefault="00F43345" w:rsidP="00F43345">
      <w:pPr>
        <w:pStyle w:val="ListParagraph"/>
        <w:rPr>
          <w:lang w:val="en-GB"/>
        </w:rPr>
      </w:pPr>
    </w:p>
    <w:p w14:paraId="46FC5643" w14:textId="0F433C38" w:rsidR="001003EA" w:rsidRPr="00C72EBD" w:rsidRDefault="00C72EBD" w:rsidP="00C72EBD">
      <w:pPr>
        <w:autoSpaceDE w:val="0"/>
        <w:autoSpaceDN w:val="0"/>
        <w:adjustRightInd w:val="0"/>
        <w:jc w:val="both"/>
        <w:rPr>
          <w:lang w:val="en-GB"/>
        </w:rPr>
      </w:pPr>
      <w:r>
        <w:rPr>
          <w:lang w:val="en-GB"/>
        </w:rPr>
        <w:t>[23]</w:t>
      </w:r>
      <w:r>
        <w:rPr>
          <w:lang w:val="en-GB"/>
        </w:rPr>
        <w:tab/>
      </w:r>
      <w:r w:rsidR="004F0C8D" w:rsidRPr="00C72EBD">
        <w:rPr>
          <w:lang w:val="en-GB"/>
        </w:rPr>
        <w:t xml:space="preserve">I </w:t>
      </w:r>
      <w:r w:rsidR="00F43345" w:rsidRPr="00C72EBD">
        <w:rPr>
          <w:lang w:val="en-GB"/>
        </w:rPr>
        <w:t>do</w:t>
      </w:r>
      <w:r w:rsidR="004F0C8D" w:rsidRPr="00C72EBD">
        <w:rPr>
          <w:lang w:val="en-GB"/>
        </w:rPr>
        <w:t xml:space="preserve"> not consider </w:t>
      </w:r>
      <w:r w:rsidR="00F43345" w:rsidRPr="00C72EBD">
        <w:rPr>
          <w:lang w:val="en-GB"/>
        </w:rPr>
        <w:t xml:space="preserve">it necessary to pronounce upon </w:t>
      </w:r>
      <w:r w:rsidR="004F0C8D" w:rsidRPr="00C72EBD">
        <w:rPr>
          <w:lang w:val="en-GB"/>
        </w:rPr>
        <w:t xml:space="preserve">the impact of </w:t>
      </w:r>
      <w:r w:rsidR="00F43345" w:rsidRPr="00C72EBD">
        <w:rPr>
          <w:i/>
          <w:iCs/>
          <w:lang w:val="en-GB"/>
        </w:rPr>
        <w:t>Mashinini</w:t>
      </w:r>
      <w:r w:rsidR="00F43345" w:rsidRPr="00C72EBD">
        <w:rPr>
          <w:lang w:val="en-GB"/>
        </w:rPr>
        <w:t xml:space="preserve">, if any, on the development of the common law in </w:t>
      </w:r>
      <w:r w:rsidR="00F43345" w:rsidRPr="00C72EBD">
        <w:rPr>
          <w:i/>
          <w:iCs/>
          <w:lang w:val="en-GB"/>
        </w:rPr>
        <w:t>TN obo BN</w:t>
      </w:r>
      <w:r w:rsidR="00F43345" w:rsidRPr="00C72EBD">
        <w:rPr>
          <w:lang w:val="en-GB"/>
        </w:rPr>
        <w:t xml:space="preserve">. </w:t>
      </w:r>
      <w:r w:rsidR="001003EA" w:rsidRPr="00C72EBD">
        <w:rPr>
          <w:lang w:val="en-GB"/>
        </w:rPr>
        <w:t>Of importance is that the latter case is clearly distinguishable</w:t>
      </w:r>
      <w:r w:rsidR="00616E36" w:rsidRPr="00C72EBD">
        <w:rPr>
          <w:lang w:val="en-GB"/>
        </w:rPr>
        <w:t xml:space="preserve"> from the present circumstances</w:t>
      </w:r>
      <w:r w:rsidR="001003EA" w:rsidRPr="00C72EBD">
        <w:rPr>
          <w:lang w:val="en-GB"/>
        </w:rPr>
        <w:t xml:space="preserve">. In addition to the reasons </w:t>
      </w:r>
      <w:r w:rsidR="00B03017" w:rsidRPr="00C72EBD">
        <w:rPr>
          <w:lang w:val="en-GB"/>
        </w:rPr>
        <w:t>already</w:t>
      </w:r>
      <w:r w:rsidR="001003EA" w:rsidRPr="00C72EBD">
        <w:rPr>
          <w:lang w:val="en-GB"/>
        </w:rPr>
        <w:t xml:space="preserve"> provided for this conclusion, caregiving clearly fell outside the parameters of the decision. That aside, the evidence in the present matter is altogether </w:t>
      </w:r>
      <w:r w:rsidR="00AC0FC1" w:rsidRPr="00C72EBD">
        <w:rPr>
          <w:lang w:val="en-GB"/>
        </w:rPr>
        <w:t>of a different sort</w:t>
      </w:r>
      <w:r w:rsidR="001003EA" w:rsidRPr="00C72EBD">
        <w:rPr>
          <w:lang w:val="en-GB"/>
        </w:rPr>
        <w:t xml:space="preserve">. </w:t>
      </w:r>
    </w:p>
    <w:p w14:paraId="29B46CEC" w14:textId="77777777" w:rsidR="00ED75A1" w:rsidRPr="00ED75A1" w:rsidRDefault="00ED75A1" w:rsidP="00ED75A1">
      <w:pPr>
        <w:pStyle w:val="ListParagraph"/>
        <w:rPr>
          <w:lang w:val="en-GB"/>
        </w:rPr>
      </w:pPr>
    </w:p>
    <w:p w14:paraId="610220E2" w14:textId="09E2CA52" w:rsidR="00ED75A1" w:rsidRPr="00C72EBD" w:rsidRDefault="00C72EBD" w:rsidP="00C72EBD">
      <w:pPr>
        <w:autoSpaceDE w:val="0"/>
        <w:autoSpaceDN w:val="0"/>
        <w:adjustRightInd w:val="0"/>
        <w:jc w:val="both"/>
        <w:rPr>
          <w:lang w:val="en-GB"/>
        </w:rPr>
      </w:pPr>
      <w:r>
        <w:rPr>
          <w:lang w:val="en-GB"/>
        </w:rPr>
        <w:t>[24]</w:t>
      </w:r>
      <w:r>
        <w:rPr>
          <w:lang w:val="en-GB"/>
        </w:rPr>
        <w:tab/>
      </w:r>
      <w:r w:rsidR="00D70C9F" w:rsidRPr="00C72EBD">
        <w:rPr>
          <w:lang w:val="en-GB"/>
        </w:rPr>
        <w:t>Everyone has the constitution</w:t>
      </w:r>
      <w:r w:rsidR="009519B5" w:rsidRPr="00C72EBD">
        <w:rPr>
          <w:lang w:val="en-GB"/>
        </w:rPr>
        <w:t>al</w:t>
      </w:r>
      <w:r w:rsidR="00D70C9F" w:rsidRPr="00C72EBD">
        <w:rPr>
          <w:lang w:val="en-GB"/>
        </w:rPr>
        <w:t xml:space="preserve"> right to have access to healthcare services. The state must take reasonable legislative and other measures, within its available resources, to achieve the progressive realisation of this right. </w:t>
      </w:r>
      <w:r w:rsidR="00DB0209" w:rsidRPr="00C72EBD">
        <w:rPr>
          <w:lang w:val="en-GB"/>
        </w:rPr>
        <w:t xml:space="preserve">Plans, however laudable, must be reasonable in their conceptualisation and implementation, as detailed by the Constitutional Court in </w:t>
      </w:r>
      <w:r w:rsidR="00EC6685" w:rsidRPr="00C72EBD">
        <w:rPr>
          <w:i/>
          <w:iCs/>
          <w:lang w:val="en-GB"/>
        </w:rPr>
        <w:t xml:space="preserve">Government of the </w:t>
      </w:r>
      <w:proofErr w:type="spellStart"/>
      <w:r w:rsidR="00EC6685" w:rsidRPr="00C72EBD">
        <w:rPr>
          <w:i/>
          <w:iCs/>
          <w:lang w:val="en-GB"/>
        </w:rPr>
        <w:t>Repbublic</w:t>
      </w:r>
      <w:proofErr w:type="spellEnd"/>
      <w:r w:rsidR="00EC6685" w:rsidRPr="00C72EBD">
        <w:rPr>
          <w:i/>
          <w:iCs/>
          <w:lang w:val="en-GB"/>
        </w:rPr>
        <w:t xml:space="preserve"> of South Africa v </w:t>
      </w:r>
      <w:r w:rsidR="00DB0209" w:rsidRPr="00C72EBD">
        <w:rPr>
          <w:i/>
          <w:iCs/>
          <w:lang w:val="en-GB"/>
        </w:rPr>
        <w:t>Grootboom</w:t>
      </w:r>
      <w:r w:rsidR="00DB0209" w:rsidRPr="00C72EBD">
        <w:rPr>
          <w:lang w:val="en-GB"/>
        </w:rPr>
        <w:t>.</w:t>
      </w:r>
      <w:r w:rsidR="00EC6685">
        <w:rPr>
          <w:rStyle w:val="FootnoteReference"/>
          <w:lang w:val="en-GB"/>
        </w:rPr>
        <w:footnoteReference w:id="7"/>
      </w:r>
      <w:r w:rsidR="00DB0209" w:rsidRPr="00C72EBD">
        <w:rPr>
          <w:lang w:val="en-GB"/>
        </w:rPr>
        <w:t xml:space="preserve"> </w:t>
      </w:r>
      <w:r w:rsidR="00184664" w:rsidRPr="00C72EBD">
        <w:rPr>
          <w:lang w:val="en-GB"/>
        </w:rPr>
        <w:t xml:space="preserve">In support of legislative measures, it has been held that the formulation of a programme is only the first stage in meeting the state’s obligations. The programme must also be reasonably implemented. An otherwise reasonable programme that is not implemented reasonably will not constitute compliance with the state’s obligations. </w:t>
      </w:r>
    </w:p>
    <w:p w14:paraId="6D3B0BDD" w14:textId="77777777" w:rsidR="00184664" w:rsidRPr="00184664" w:rsidRDefault="00184664" w:rsidP="00184664">
      <w:pPr>
        <w:pStyle w:val="ListParagraph"/>
        <w:rPr>
          <w:lang w:val="en-GB"/>
        </w:rPr>
      </w:pPr>
    </w:p>
    <w:p w14:paraId="39402793" w14:textId="1200A345" w:rsidR="00184664" w:rsidRPr="00C72EBD" w:rsidRDefault="00C72EBD" w:rsidP="00C72EBD">
      <w:pPr>
        <w:autoSpaceDE w:val="0"/>
        <w:autoSpaceDN w:val="0"/>
        <w:adjustRightInd w:val="0"/>
        <w:jc w:val="both"/>
        <w:rPr>
          <w:lang w:val="en-GB"/>
        </w:rPr>
      </w:pPr>
      <w:r w:rsidRPr="00231B8B">
        <w:rPr>
          <w:lang w:val="en-GB"/>
        </w:rPr>
        <w:lastRenderedPageBreak/>
        <w:t>[25]</w:t>
      </w:r>
      <w:r w:rsidRPr="00231B8B">
        <w:rPr>
          <w:lang w:val="en-GB"/>
        </w:rPr>
        <w:tab/>
      </w:r>
      <w:r w:rsidR="00971166" w:rsidRPr="00C72EBD">
        <w:rPr>
          <w:lang w:val="en-GB"/>
        </w:rPr>
        <w:t xml:space="preserve">In the present circumstances it is impossible to say whether the plan depicted is workable. </w:t>
      </w:r>
      <w:r w:rsidR="009C1358" w:rsidRPr="00C72EBD">
        <w:rPr>
          <w:lang w:val="en-GB"/>
        </w:rPr>
        <w:t xml:space="preserve">It was shorn of all detail and presented in the vaguest of terms, also absent any supporting documentation. </w:t>
      </w:r>
      <w:r w:rsidR="009B76D5" w:rsidRPr="00C72EBD">
        <w:rPr>
          <w:lang w:val="en-GB"/>
        </w:rPr>
        <w:t xml:space="preserve">The defendant’s approach failed to give serious consideration to matters such as the realities of changes in leadership personnel, future budgetary priority changes, </w:t>
      </w:r>
      <w:r w:rsidR="003A4DF2" w:rsidRPr="00C72EBD">
        <w:rPr>
          <w:lang w:val="en-GB"/>
        </w:rPr>
        <w:t>and how to accommodate</w:t>
      </w:r>
      <w:r w:rsidR="009B76D5" w:rsidRPr="00C72EBD">
        <w:rPr>
          <w:lang w:val="en-GB"/>
        </w:rPr>
        <w:t xml:space="preserve"> S</w:t>
      </w:r>
      <w:r w:rsidR="007B361F" w:rsidRPr="007B361F">
        <w:rPr>
          <w:lang w:val="en-GB"/>
        </w:rPr>
        <w:t xml:space="preserve"> </w:t>
      </w:r>
      <w:proofErr w:type="gramStart"/>
      <w:r w:rsidR="007B361F" w:rsidRPr="00C72EBD">
        <w:rPr>
          <w:lang w:val="en-GB"/>
        </w:rPr>
        <w:t>In</w:t>
      </w:r>
      <w:proofErr w:type="gramEnd"/>
      <w:r w:rsidR="007B361F" w:rsidRPr="00C72EBD">
        <w:rPr>
          <w:lang w:val="en-GB"/>
        </w:rPr>
        <w:t xml:space="preserve"> deciding whether to develop the common law, the court held that the facts before it were on all fours with the case of </w:t>
      </w:r>
      <w:r w:rsidR="007B361F" w:rsidRPr="00C72EBD">
        <w:rPr>
          <w:i/>
          <w:iCs/>
          <w:lang w:val="en-GB"/>
        </w:rPr>
        <w:t>MSM obo KBM v MEC for Health</w:t>
      </w:r>
      <w:r w:rsidR="009B76D5" w:rsidRPr="00C72EBD">
        <w:rPr>
          <w:lang w:val="en-GB"/>
        </w:rPr>
        <w:t xml:space="preserve"> </w:t>
      </w:r>
      <w:r w:rsidR="003A4DF2" w:rsidRPr="00C72EBD">
        <w:rPr>
          <w:lang w:val="en-GB"/>
        </w:rPr>
        <w:t xml:space="preserve">should she move abroad. </w:t>
      </w:r>
      <w:r w:rsidR="00EF6D54" w:rsidRPr="00C72EBD">
        <w:rPr>
          <w:lang w:val="en-GB"/>
        </w:rPr>
        <w:t>The logistical, nitty-gritty support for what would be necessary to make the plan a reality was absent, heightening the sense of concern as to the agility of the system being proposed</w:t>
      </w:r>
      <w:r w:rsidR="00682799" w:rsidRPr="00C72EBD">
        <w:rPr>
          <w:lang w:val="en-GB"/>
        </w:rPr>
        <w:t xml:space="preserve"> for present purposes</w:t>
      </w:r>
      <w:r w:rsidR="00EF6D54" w:rsidRPr="00C72EBD">
        <w:rPr>
          <w:lang w:val="en-GB"/>
        </w:rPr>
        <w:t xml:space="preserve">. </w:t>
      </w:r>
      <w:r w:rsidR="00E90014" w:rsidRPr="00C72EBD">
        <w:rPr>
          <w:lang w:val="en-GB"/>
        </w:rPr>
        <w:t xml:space="preserve">On the evidence, and unsurprisingly considering that state provision of caregivers is in its infancy in the province, there </w:t>
      </w:r>
      <w:r w:rsidR="00991355" w:rsidRPr="00C72EBD">
        <w:rPr>
          <w:lang w:val="en-GB"/>
        </w:rPr>
        <w:t>are</w:t>
      </w:r>
      <w:r w:rsidR="00E90014" w:rsidRPr="00C72EBD">
        <w:rPr>
          <w:lang w:val="en-GB"/>
        </w:rPr>
        <w:t xml:space="preserve"> serious concerns as to the bureaucratic realities associated with the proposal</w:t>
      </w:r>
      <w:r w:rsidR="009A3503" w:rsidRPr="00C72EBD">
        <w:rPr>
          <w:lang w:val="en-GB"/>
        </w:rPr>
        <w:t>, its scalability and efficacy. Much of what was presented was in hope and anticipation of what might be possible in future</w:t>
      </w:r>
      <w:r w:rsidR="0086178D" w:rsidRPr="00C72EBD">
        <w:rPr>
          <w:lang w:val="en-GB"/>
        </w:rPr>
        <w:t xml:space="preserve">. Absent </w:t>
      </w:r>
      <w:r w:rsidR="00446C55" w:rsidRPr="00C72EBD">
        <w:rPr>
          <w:lang w:val="en-GB"/>
        </w:rPr>
        <w:t xml:space="preserve">any </w:t>
      </w:r>
      <w:r w:rsidR="0086178D" w:rsidRPr="00C72EBD">
        <w:rPr>
          <w:lang w:val="en-GB"/>
        </w:rPr>
        <w:t>proof of the pudding, it</w:t>
      </w:r>
      <w:r w:rsidR="009A3503" w:rsidRPr="00C72EBD">
        <w:rPr>
          <w:lang w:val="en-GB"/>
        </w:rPr>
        <w:t xml:space="preserve"> amount</w:t>
      </w:r>
      <w:r w:rsidR="0086178D" w:rsidRPr="00C72EBD">
        <w:rPr>
          <w:lang w:val="en-GB"/>
        </w:rPr>
        <w:t>ed</w:t>
      </w:r>
      <w:r w:rsidR="009A3503" w:rsidRPr="00C72EBD">
        <w:rPr>
          <w:lang w:val="en-GB"/>
        </w:rPr>
        <w:t xml:space="preserve"> to nebulous crystal-gazing of the </w:t>
      </w:r>
      <w:r w:rsidR="0086178D" w:rsidRPr="00C72EBD">
        <w:rPr>
          <w:lang w:val="en-GB"/>
        </w:rPr>
        <w:t>over-</w:t>
      </w:r>
      <w:r w:rsidR="00FA4AAB" w:rsidRPr="00C72EBD">
        <w:rPr>
          <w:lang w:val="en-GB"/>
        </w:rPr>
        <w:t>optimistic</w:t>
      </w:r>
      <w:r w:rsidR="009A3503" w:rsidRPr="00C72EBD">
        <w:rPr>
          <w:lang w:val="en-GB"/>
        </w:rPr>
        <w:t xml:space="preserve"> </w:t>
      </w:r>
      <w:r w:rsidR="00FA4AAB" w:rsidRPr="00C72EBD">
        <w:rPr>
          <w:lang w:val="en-GB"/>
        </w:rPr>
        <w:t>variety</w:t>
      </w:r>
      <w:r w:rsidR="009A3503" w:rsidRPr="00C72EBD">
        <w:rPr>
          <w:lang w:val="en-GB"/>
        </w:rPr>
        <w:t>.</w:t>
      </w:r>
      <w:r w:rsidR="00FE4C7C" w:rsidRPr="00C72EBD">
        <w:rPr>
          <w:lang w:val="en-GB"/>
        </w:rPr>
        <w:t xml:space="preserve"> </w:t>
      </w:r>
    </w:p>
    <w:p w14:paraId="6E37C765" w14:textId="77777777" w:rsidR="001003EA" w:rsidRDefault="001003EA" w:rsidP="001003EA">
      <w:pPr>
        <w:pStyle w:val="ListParagraph"/>
        <w:autoSpaceDE w:val="0"/>
        <w:autoSpaceDN w:val="0"/>
        <w:adjustRightInd w:val="0"/>
        <w:ind w:left="0"/>
        <w:jc w:val="both"/>
        <w:rPr>
          <w:lang w:val="en-GB"/>
        </w:rPr>
      </w:pPr>
    </w:p>
    <w:p w14:paraId="0A2FE6E3" w14:textId="3C6A70D4" w:rsidR="00A66B2E" w:rsidRPr="00C72EBD" w:rsidRDefault="00C72EBD" w:rsidP="00C72EBD">
      <w:pPr>
        <w:autoSpaceDE w:val="0"/>
        <w:autoSpaceDN w:val="0"/>
        <w:adjustRightInd w:val="0"/>
        <w:jc w:val="both"/>
        <w:rPr>
          <w:i/>
          <w:iCs/>
          <w:lang w:val="en-GB"/>
        </w:rPr>
      </w:pPr>
      <w:r w:rsidRPr="00592B87">
        <w:rPr>
          <w:i/>
          <w:iCs/>
          <w:lang w:val="en-GB"/>
        </w:rPr>
        <w:t>[26]</w:t>
      </w:r>
      <w:r w:rsidRPr="00592B87">
        <w:rPr>
          <w:i/>
          <w:iCs/>
          <w:lang w:val="en-GB"/>
        </w:rPr>
        <w:tab/>
      </w:r>
      <w:r w:rsidR="00AB3E84" w:rsidRPr="00C72EBD">
        <w:rPr>
          <w:lang w:val="en-GB"/>
        </w:rPr>
        <w:t xml:space="preserve">The application of </w:t>
      </w:r>
      <w:r w:rsidR="00FD2E88" w:rsidRPr="00C72EBD">
        <w:rPr>
          <w:lang w:val="en-GB"/>
        </w:rPr>
        <w:t>the various</w:t>
      </w:r>
      <w:r w:rsidR="00AB3E84" w:rsidRPr="00C72EBD">
        <w:rPr>
          <w:lang w:val="en-GB"/>
        </w:rPr>
        <w:t xml:space="preserve"> authorities</w:t>
      </w:r>
      <w:r w:rsidR="00FD2E88" w:rsidRPr="00C72EBD">
        <w:rPr>
          <w:lang w:val="en-GB"/>
        </w:rPr>
        <w:t xml:space="preserve"> considered</w:t>
      </w:r>
      <w:r w:rsidR="00AB3E84" w:rsidRPr="00C72EBD">
        <w:rPr>
          <w:lang w:val="en-GB"/>
        </w:rPr>
        <w:t xml:space="preserve"> by the SCA in </w:t>
      </w:r>
      <w:r w:rsidR="00AB3E84" w:rsidRPr="00C72EBD">
        <w:rPr>
          <w:i/>
          <w:iCs/>
          <w:lang w:val="en-GB"/>
        </w:rPr>
        <w:t>Mashinini</w:t>
      </w:r>
      <w:r w:rsidR="00AB3E84" w:rsidRPr="00C72EBD">
        <w:rPr>
          <w:lang w:val="en-GB"/>
        </w:rPr>
        <w:t xml:space="preserve"> is instructive</w:t>
      </w:r>
      <w:r w:rsidR="00E76CF1" w:rsidRPr="00C72EBD">
        <w:rPr>
          <w:lang w:val="en-GB"/>
        </w:rPr>
        <w:t xml:space="preserve"> on these facts</w:t>
      </w:r>
      <w:r w:rsidR="00AB3E84" w:rsidRPr="00C72EBD">
        <w:rPr>
          <w:lang w:val="en-GB"/>
        </w:rPr>
        <w:t>. As was the case in that matter, the plaintiff has discharged the onus of proving, not only that she has suffered damages in respect of which caregiver support will be required in the future (along with domestic and transportation support, as calculated by the respective actuarial scientists)</w:t>
      </w:r>
      <w:r w:rsidR="001D3264" w:rsidRPr="00C72EBD">
        <w:rPr>
          <w:lang w:val="en-GB"/>
        </w:rPr>
        <w:t xml:space="preserve">, but also the quantum thereof. In fact, even leaving aside the evidence led, this is now a matter of agreement between the parties. </w:t>
      </w:r>
      <w:r w:rsidR="00EF4D12" w:rsidRPr="00C72EBD">
        <w:rPr>
          <w:lang w:val="en-GB"/>
        </w:rPr>
        <w:t>This constitutes prima facie proof that payment to the plaintiff of such amounts would place her financially in the same position as she would have been in had she not suffered as a result of the defendant’s negligent conduct.</w:t>
      </w:r>
      <w:r w:rsidR="00257156" w:rsidRPr="00C72EBD">
        <w:rPr>
          <w:lang w:val="en-GB"/>
        </w:rPr>
        <w:t xml:space="preserve"> There is no basis for concluding that the amount of just over R4 million claimed in respect of caregiver support is not a reasonable and necessary amount by which </w:t>
      </w:r>
      <w:proofErr w:type="gramStart"/>
      <w:r w:rsidR="00257156" w:rsidRPr="00C72EBD">
        <w:rPr>
          <w:lang w:val="en-GB"/>
        </w:rPr>
        <w:t>S</w:t>
      </w:r>
      <w:r w:rsidR="001F2201">
        <w:rPr>
          <w:lang w:val="en-GB"/>
        </w:rPr>
        <w:t>[</w:t>
      </w:r>
      <w:proofErr w:type="gramEnd"/>
      <w:r w:rsidR="001F2201">
        <w:rPr>
          <w:lang w:val="en-GB"/>
        </w:rPr>
        <w:t>…]</w:t>
      </w:r>
      <w:r w:rsidR="00257156" w:rsidRPr="00C72EBD">
        <w:rPr>
          <w:lang w:val="en-GB"/>
        </w:rPr>
        <w:t>’s patrimony was diminished by the conduct of the defendant’s employees</w:t>
      </w:r>
      <w:r w:rsidR="00C63E22" w:rsidRPr="00C72EBD">
        <w:rPr>
          <w:lang w:val="en-GB"/>
        </w:rPr>
        <w:t xml:space="preserve">. As was the case in </w:t>
      </w:r>
      <w:r w:rsidR="00C63E22" w:rsidRPr="00C72EBD">
        <w:rPr>
          <w:i/>
          <w:iCs/>
          <w:lang w:val="en-GB"/>
        </w:rPr>
        <w:t>Mashinini</w:t>
      </w:r>
      <w:r w:rsidR="00C63E22" w:rsidRPr="00C72EBD">
        <w:rPr>
          <w:lang w:val="en-GB"/>
        </w:rPr>
        <w:t>, none of this has been contested by the MEC</w:t>
      </w:r>
      <w:r w:rsidR="00381278" w:rsidRPr="00C72EBD">
        <w:rPr>
          <w:lang w:val="en-GB"/>
        </w:rPr>
        <w:t xml:space="preserve"> and the evidence adduced on her behalf falls short of establishing that the necessary caregiving services would be available to </w:t>
      </w:r>
      <w:proofErr w:type="gramStart"/>
      <w:r w:rsidR="00381278" w:rsidRPr="00C72EBD">
        <w:rPr>
          <w:lang w:val="en-GB"/>
        </w:rPr>
        <w:t>S</w:t>
      </w:r>
      <w:r w:rsidR="001F2201">
        <w:rPr>
          <w:lang w:val="en-GB"/>
        </w:rPr>
        <w:t>[</w:t>
      </w:r>
      <w:proofErr w:type="gramEnd"/>
      <w:r w:rsidR="001F2201">
        <w:rPr>
          <w:lang w:val="en-GB"/>
        </w:rPr>
        <w:t>…]</w:t>
      </w:r>
      <w:r w:rsidR="00381278" w:rsidRPr="00C72EBD">
        <w:rPr>
          <w:lang w:val="en-GB"/>
        </w:rPr>
        <w:t xml:space="preserve"> at the requisite standard 16 years from now at no or reduced cost to the state. </w:t>
      </w:r>
      <w:r w:rsidR="00D03AA9" w:rsidRPr="00C72EBD">
        <w:rPr>
          <w:lang w:val="en-GB"/>
        </w:rPr>
        <w:t xml:space="preserve">Bearing in mind inflation and the defendant’s plan to involve the private sector in identifying and engaging </w:t>
      </w:r>
      <w:r w:rsidR="00AC1A8D" w:rsidRPr="00C72EBD">
        <w:rPr>
          <w:lang w:val="en-GB"/>
        </w:rPr>
        <w:t>suitable caregivers, that threshold has not been met.</w:t>
      </w:r>
    </w:p>
    <w:p w14:paraId="724AA8B3" w14:textId="77777777" w:rsidR="00CF2756" w:rsidRDefault="00CF2756" w:rsidP="00CF2756">
      <w:pPr>
        <w:pStyle w:val="ListParagraph"/>
        <w:autoSpaceDE w:val="0"/>
        <w:autoSpaceDN w:val="0"/>
        <w:adjustRightInd w:val="0"/>
        <w:ind w:left="0"/>
        <w:jc w:val="both"/>
        <w:rPr>
          <w:lang w:val="en-GB"/>
        </w:rPr>
      </w:pPr>
    </w:p>
    <w:p w14:paraId="07D7B813" w14:textId="595F65E0" w:rsidR="00CF2756" w:rsidRPr="00C72EBD" w:rsidRDefault="00C72EBD" w:rsidP="00C72EBD">
      <w:pPr>
        <w:autoSpaceDE w:val="0"/>
        <w:autoSpaceDN w:val="0"/>
        <w:adjustRightInd w:val="0"/>
        <w:jc w:val="both"/>
        <w:rPr>
          <w:lang w:val="en-GB"/>
        </w:rPr>
      </w:pPr>
      <w:r>
        <w:rPr>
          <w:lang w:val="en-GB"/>
        </w:rPr>
        <w:t>[27]</w:t>
      </w:r>
      <w:r>
        <w:rPr>
          <w:lang w:val="en-GB"/>
        </w:rPr>
        <w:tab/>
      </w:r>
      <w:r w:rsidR="00CF2756" w:rsidRPr="00C72EBD">
        <w:rPr>
          <w:lang w:val="en-GB"/>
        </w:rPr>
        <w:t xml:space="preserve">The position may have been different, as it was in </w:t>
      </w:r>
      <w:r w:rsidR="00CF2756" w:rsidRPr="00C72EBD">
        <w:rPr>
          <w:i/>
          <w:iCs/>
          <w:lang w:val="en-GB"/>
        </w:rPr>
        <w:t>MSM</w:t>
      </w:r>
      <w:r w:rsidR="00CF2756" w:rsidRPr="00C72EBD">
        <w:rPr>
          <w:lang w:val="en-GB"/>
        </w:rPr>
        <w:t xml:space="preserve">, had the evidence shown that the public sector could </w:t>
      </w:r>
      <w:r w:rsidR="00E214FE" w:rsidRPr="00C72EBD">
        <w:rPr>
          <w:lang w:val="en-GB"/>
        </w:rPr>
        <w:t>provide the same, or better, services tha</w:t>
      </w:r>
      <w:r w:rsidR="00FF6FD8" w:rsidRPr="00C72EBD">
        <w:rPr>
          <w:lang w:val="en-GB"/>
        </w:rPr>
        <w:t>n</w:t>
      </w:r>
      <w:r w:rsidR="00E214FE" w:rsidRPr="00C72EBD">
        <w:rPr>
          <w:lang w:val="en-GB"/>
        </w:rPr>
        <w:t xml:space="preserve"> could be received by </w:t>
      </w:r>
      <w:proofErr w:type="gramStart"/>
      <w:r w:rsidR="00E214FE" w:rsidRPr="00C72EBD">
        <w:rPr>
          <w:lang w:val="en-GB"/>
        </w:rPr>
        <w:t>S</w:t>
      </w:r>
      <w:r w:rsidR="001F2201">
        <w:rPr>
          <w:lang w:val="en-GB"/>
        </w:rPr>
        <w:t>[</w:t>
      </w:r>
      <w:proofErr w:type="gramEnd"/>
      <w:r w:rsidR="001F2201">
        <w:rPr>
          <w:lang w:val="en-GB"/>
        </w:rPr>
        <w:t>…]</w:t>
      </w:r>
      <w:r w:rsidR="00E214FE" w:rsidRPr="00C72EBD">
        <w:rPr>
          <w:lang w:val="en-GB"/>
        </w:rPr>
        <w:t xml:space="preserve"> in the private sector through the payment of monetary compensation</w:t>
      </w:r>
      <w:r w:rsidR="006F36CB" w:rsidRPr="00C72EBD">
        <w:rPr>
          <w:lang w:val="en-GB"/>
        </w:rPr>
        <w:t xml:space="preserve"> by the</w:t>
      </w:r>
      <w:r w:rsidR="0017696F" w:rsidRPr="00C72EBD">
        <w:rPr>
          <w:lang w:val="en-GB"/>
        </w:rPr>
        <w:t xml:space="preserve"> defendant</w:t>
      </w:r>
      <w:r w:rsidR="006F36CB" w:rsidRPr="00C72EBD">
        <w:rPr>
          <w:lang w:val="en-GB"/>
        </w:rPr>
        <w:t xml:space="preserve">. </w:t>
      </w:r>
      <w:r w:rsidR="0017696F" w:rsidRPr="00C72EBD">
        <w:rPr>
          <w:lang w:val="en-GB"/>
        </w:rPr>
        <w:t xml:space="preserve">In </w:t>
      </w:r>
      <w:r w:rsidR="0017696F" w:rsidRPr="00C72EBD">
        <w:rPr>
          <w:i/>
          <w:iCs/>
          <w:lang w:val="en-GB"/>
        </w:rPr>
        <w:t>MSM</w:t>
      </w:r>
      <w:r w:rsidR="0017696F" w:rsidRPr="00C72EBD">
        <w:rPr>
          <w:lang w:val="en-GB"/>
        </w:rPr>
        <w:t xml:space="preserve">, the MEC discharged an evidential burden showing that the costs of the private healthcare in question were not reasonable or necessary in the circumstances of that matter. As a result, the order for damages excluded those costs. The MEC tendered the requisite services, so that the court made an order granting the relief sought by the MEC by consent, thereby reducing the monetary award for that specific reason. </w:t>
      </w:r>
      <w:r w:rsidR="002E7ADD" w:rsidRPr="00C72EBD">
        <w:rPr>
          <w:lang w:val="en-GB"/>
        </w:rPr>
        <w:t>In the present circumstances</w:t>
      </w:r>
      <w:r w:rsidR="00305B9E" w:rsidRPr="00C72EBD">
        <w:rPr>
          <w:lang w:val="en-GB"/>
        </w:rPr>
        <w:t xml:space="preserve">, the plan is really to utilise the private sector as an intermediary or agent, while retaining a modicum of control over the services to be provided to </w:t>
      </w:r>
      <w:proofErr w:type="gramStart"/>
      <w:r w:rsidR="00305B9E" w:rsidRPr="00C72EBD">
        <w:rPr>
          <w:lang w:val="en-GB"/>
        </w:rPr>
        <w:t>S</w:t>
      </w:r>
      <w:r w:rsidR="001F2201">
        <w:rPr>
          <w:lang w:val="en-GB"/>
        </w:rPr>
        <w:t>[</w:t>
      </w:r>
      <w:proofErr w:type="gramEnd"/>
      <w:r w:rsidR="001F2201">
        <w:rPr>
          <w:lang w:val="en-GB"/>
        </w:rPr>
        <w:t>…]</w:t>
      </w:r>
      <w:r w:rsidR="00305B9E" w:rsidRPr="00C72EBD">
        <w:rPr>
          <w:lang w:val="en-GB"/>
        </w:rPr>
        <w:t xml:space="preserve">. </w:t>
      </w:r>
      <w:r w:rsidR="00FF6FD8" w:rsidRPr="00C72EBD">
        <w:rPr>
          <w:lang w:val="en-GB"/>
        </w:rPr>
        <w:t xml:space="preserve">As indicated, </w:t>
      </w:r>
      <w:r w:rsidR="00A748BC" w:rsidRPr="00C72EBD">
        <w:rPr>
          <w:lang w:val="en-GB"/>
        </w:rPr>
        <w:t xml:space="preserve">leaving aside </w:t>
      </w:r>
      <w:r w:rsidR="0059646E" w:rsidRPr="00C72EBD">
        <w:rPr>
          <w:lang w:val="en-GB"/>
        </w:rPr>
        <w:t xml:space="preserve">concerns as to the practicalities of the proposed arrangement come 2040, </w:t>
      </w:r>
      <w:r w:rsidR="00FF6FD8" w:rsidRPr="00C72EBD">
        <w:rPr>
          <w:lang w:val="en-GB"/>
        </w:rPr>
        <w:t>t</w:t>
      </w:r>
      <w:r w:rsidR="00F71892" w:rsidRPr="00C72EBD">
        <w:rPr>
          <w:lang w:val="en-GB"/>
        </w:rPr>
        <w:t>he evidence fails to show that the services to be procured will result in any cost saving for the defendant</w:t>
      </w:r>
      <w:r w:rsidR="00CC77E4" w:rsidRPr="00C72EBD">
        <w:rPr>
          <w:lang w:val="en-GB"/>
        </w:rPr>
        <w:t>, which is fatal to the proffered defence.</w:t>
      </w:r>
    </w:p>
    <w:p w14:paraId="2558EE21" w14:textId="77777777" w:rsidR="0050675A" w:rsidRPr="0050675A" w:rsidRDefault="0050675A" w:rsidP="0050675A">
      <w:pPr>
        <w:pStyle w:val="ListParagraph"/>
        <w:rPr>
          <w:lang w:val="en-GB"/>
        </w:rPr>
      </w:pPr>
    </w:p>
    <w:p w14:paraId="0A02B7FC" w14:textId="6FCD65D0" w:rsidR="0050675A" w:rsidRPr="00C72EBD" w:rsidRDefault="00C72EBD" w:rsidP="00C72EBD">
      <w:pPr>
        <w:autoSpaceDE w:val="0"/>
        <w:autoSpaceDN w:val="0"/>
        <w:adjustRightInd w:val="0"/>
        <w:jc w:val="both"/>
        <w:rPr>
          <w:lang w:val="en-GB"/>
        </w:rPr>
      </w:pPr>
      <w:r>
        <w:rPr>
          <w:lang w:val="en-GB"/>
        </w:rPr>
        <w:t>[28]</w:t>
      </w:r>
      <w:r>
        <w:rPr>
          <w:lang w:val="en-GB"/>
        </w:rPr>
        <w:tab/>
      </w:r>
      <w:r w:rsidR="0050675A" w:rsidRPr="00C72EBD">
        <w:rPr>
          <w:lang w:val="en-GB"/>
        </w:rPr>
        <w:t xml:space="preserve">Having pleaded the public healthcare defence, it was incumbent upon the defendant, who bore an evidentiary burden, to rebut the prima facie case established by the plaintiff. </w:t>
      </w:r>
      <w:r w:rsidR="0050675A" w:rsidRPr="00C72EBD">
        <w:rPr>
          <w:i/>
          <w:iCs/>
          <w:lang w:val="en-GB"/>
        </w:rPr>
        <w:t xml:space="preserve">Mashinini </w:t>
      </w:r>
      <w:r w:rsidR="0050675A" w:rsidRPr="00C72EBD">
        <w:rPr>
          <w:lang w:val="en-GB"/>
        </w:rPr>
        <w:t xml:space="preserve">is authority for holding that absent the presentation of any evidence of the cost of the provision of caregiver services in the public sector, the public healthcare defence stands to be dismissed. As in that matter, there is simply no evidence that the same, or an acceptably high, standard would be available through public provision </w:t>
      </w:r>
      <w:r w:rsidR="0050675A" w:rsidRPr="00C72EBD">
        <w:rPr>
          <w:i/>
          <w:iCs/>
          <w:lang w:val="en-GB"/>
        </w:rPr>
        <w:t xml:space="preserve">at no cost or for less than that claimed </w:t>
      </w:r>
      <w:r w:rsidR="0050675A" w:rsidRPr="00C72EBD">
        <w:rPr>
          <w:lang w:val="en-GB"/>
        </w:rPr>
        <w:t>by the plaintiff</w:t>
      </w:r>
      <w:r w:rsidR="0045783B" w:rsidRPr="00C72EBD">
        <w:rPr>
          <w:lang w:val="en-GB"/>
        </w:rPr>
        <w:t xml:space="preserve">. </w:t>
      </w:r>
    </w:p>
    <w:p w14:paraId="1F22460B" w14:textId="77777777" w:rsidR="00BB1FBF" w:rsidRDefault="00BB1FBF" w:rsidP="00BB1FBF">
      <w:pPr>
        <w:pStyle w:val="ListParagraph"/>
        <w:autoSpaceDE w:val="0"/>
        <w:autoSpaceDN w:val="0"/>
        <w:adjustRightInd w:val="0"/>
        <w:ind w:left="0"/>
        <w:jc w:val="both"/>
        <w:rPr>
          <w:lang w:val="en-GB"/>
        </w:rPr>
      </w:pPr>
    </w:p>
    <w:p w14:paraId="4384699A" w14:textId="43DFE77B" w:rsidR="00EF1C12" w:rsidRPr="00C72EBD" w:rsidRDefault="00C72EBD" w:rsidP="00C72EBD">
      <w:pPr>
        <w:autoSpaceDE w:val="0"/>
        <w:autoSpaceDN w:val="0"/>
        <w:adjustRightInd w:val="0"/>
        <w:jc w:val="both"/>
        <w:rPr>
          <w:lang w:val="en-GB"/>
        </w:rPr>
      </w:pPr>
      <w:r w:rsidRPr="002F42E2">
        <w:rPr>
          <w:lang w:val="en-GB"/>
        </w:rPr>
        <w:t>[29]</w:t>
      </w:r>
      <w:r w:rsidRPr="002F42E2">
        <w:rPr>
          <w:lang w:val="en-GB"/>
        </w:rPr>
        <w:tab/>
      </w:r>
      <w:r w:rsidR="002F42E2" w:rsidRPr="00C72EBD">
        <w:rPr>
          <w:lang w:val="en-GB"/>
        </w:rPr>
        <w:t xml:space="preserve">While one may speculate, or even take judicial notice of the realities of healthcare challenges in the province, and country, and the alleviation of pressure that </w:t>
      </w:r>
      <w:r w:rsidR="00B5020A" w:rsidRPr="00C72EBD">
        <w:rPr>
          <w:lang w:val="en-GB"/>
        </w:rPr>
        <w:t>may</w:t>
      </w:r>
      <w:r w:rsidR="002F42E2" w:rsidRPr="00C72EBD">
        <w:rPr>
          <w:lang w:val="en-GB"/>
        </w:rPr>
        <w:t xml:space="preserve"> result from reduced lump sum payments, to deprive a claimant of </w:t>
      </w:r>
      <w:proofErr w:type="spellStart"/>
      <w:r w:rsidR="002F42E2" w:rsidRPr="00C72EBD">
        <w:rPr>
          <w:lang w:val="en-GB"/>
        </w:rPr>
        <w:t>delictual</w:t>
      </w:r>
      <w:proofErr w:type="spellEnd"/>
      <w:r w:rsidR="00B5020A" w:rsidRPr="00C72EBD">
        <w:rPr>
          <w:lang w:val="en-GB"/>
        </w:rPr>
        <w:t xml:space="preserve"> damages to which she is entitled requires a lawful basis</w:t>
      </w:r>
      <w:r w:rsidR="008D0105" w:rsidRPr="00C72EBD">
        <w:rPr>
          <w:lang w:val="en-GB"/>
        </w:rPr>
        <w:t>, to be determined case-by-case</w:t>
      </w:r>
      <w:r w:rsidR="00B5020A" w:rsidRPr="00C72EBD">
        <w:rPr>
          <w:lang w:val="en-GB"/>
        </w:rPr>
        <w:t>.</w:t>
      </w:r>
      <w:r w:rsidR="002F42E2" w:rsidRPr="00C72EBD">
        <w:rPr>
          <w:lang w:val="en-GB"/>
        </w:rPr>
        <w:t xml:space="preserve"> </w:t>
      </w:r>
      <w:r w:rsidR="00A92705" w:rsidRPr="00C72EBD">
        <w:rPr>
          <w:lang w:val="en-GB"/>
        </w:rPr>
        <w:t>What the defendant seeks</w:t>
      </w:r>
      <w:r w:rsidR="00946D1A" w:rsidRPr="00C72EBD">
        <w:rPr>
          <w:lang w:val="en-GB"/>
        </w:rPr>
        <w:t xml:space="preserve">, in effect, </w:t>
      </w:r>
      <w:r w:rsidR="00A92705" w:rsidRPr="00C72EBD">
        <w:rPr>
          <w:lang w:val="en-GB"/>
        </w:rPr>
        <w:t>is an u</w:t>
      </w:r>
      <w:r w:rsidR="002871CB" w:rsidRPr="00C72EBD">
        <w:rPr>
          <w:lang w:val="en-GB"/>
        </w:rPr>
        <w:t>nprecedented extension of the public healthcare defence</w:t>
      </w:r>
      <w:r w:rsidR="00A92705" w:rsidRPr="00C72EBD">
        <w:rPr>
          <w:lang w:val="en-GB"/>
        </w:rPr>
        <w:t xml:space="preserve"> to develop the common law in circumstances where the ordinary application of </w:t>
      </w:r>
      <w:proofErr w:type="spellStart"/>
      <w:r w:rsidR="00A92705" w:rsidRPr="00C72EBD">
        <w:rPr>
          <w:lang w:val="en-GB"/>
        </w:rPr>
        <w:t>delictual</w:t>
      </w:r>
      <w:proofErr w:type="spellEnd"/>
      <w:r w:rsidR="00A92705" w:rsidRPr="00C72EBD">
        <w:rPr>
          <w:lang w:val="en-GB"/>
        </w:rPr>
        <w:t xml:space="preserve"> principles results in it being liable for </w:t>
      </w:r>
      <w:r w:rsidR="006F1E28" w:rsidRPr="00C72EBD">
        <w:rPr>
          <w:lang w:val="en-GB"/>
        </w:rPr>
        <w:t xml:space="preserve">immediate </w:t>
      </w:r>
      <w:r w:rsidR="00A92705" w:rsidRPr="00C72EBD">
        <w:rPr>
          <w:lang w:val="en-GB"/>
        </w:rPr>
        <w:t xml:space="preserve">payment of caregiver support for </w:t>
      </w:r>
      <w:proofErr w:type="gramStart"/>
      <w:r w:rsidR="00A92705" w:rsidRPr="00C72EBD">
        <w:rPr>
          <w:lang w:val="en-GB"/>
        </w:rPr>
        <w:t>S</w:t>
      </w:r>
      <w:r w:rsidR="00872023">
        <w:rPr>
          <w:lang w:val="en-GB"/>
        </w:rPr>
        <w:t>[</w:t>
      </w:r>
      <w:proofErr w:type="gramEnd"/>
      <w:r w:rsidR="00872023">
        <w:rPr>
          <w:lang w:val="en-GB"/>
        </w:rPr>
        <w:t>…]</w:t>
      </w:r>
      <w:r w:rsidR="00A92705" w:rsidRPr="00C72EBD">
        <w:rPr>
          <w:lang w:val="en-GB"/>
        </w:rPr>
        <w:t xml:space="preserve">. </w:t>
      </w:r>
      <w:r w:rsidR="003C3580" w:rsidRPr="00C72EBD">
        <w:rPr>
          <w:lang w:val="en-GB"/>
        </w:rPr>
        <w:t>On the evidence before the court, the invitation to develop the common law must be declined.</w:t>
      </w:r>
      <w:r w:rsidR="00ED0D31" w:rsidRPr="00C72EBD">
        <w:rPr>
          <w:lang w:val="en-GB"/>
        </w:rPr>
        <w:t xml:space="preserve"> </w:t>
      </w:r>
      <w:r w:rsidR="005D71F1" w:rsidRPr="00C72EBD">
        <w:rPr>
          <w:lang w:val="en-GB"/>
        </w:rPr>
        <w:t xml:space="preserve">As Mr </w:t>
      </w:r>
      <w:r w:rsidR="005D71F1" w:rsidRPr="00C72EBD">
        <w:rPr>
          <w:i/>
          <w:iCs/>
          <w:lang w:val="en-GB"/>
        </w:rPr>
        <w:t xml:space="preserve">Schoeman </w:t>
      </w:r>
      <w:r w:rsidR="005D71F1" w:rsidRPr="00C72EBD">
        <w:rPr>
          <w:lang w:val="en-GB"/>
        </w:rPr>
        <w:t xml:space="preserve">submitted, the </w:t>
      </w:r>
      <w:r w:rsidR="005D71F1" w:rsidRPr="00C72EBD">
        <w:rPr>
          <w:i/>
          <w:iCs/>
          <w:lang w:val="en-GB"/>
        </w:rPr>
        <w:t xml:space="preserve">Zulu </w:t>
      </w:r>
      <w:r w:rsidR="005D71F1" w:rsidRPr="00C72EBD">
        <w:rPr>
          <w:lang w:val="en-GB"/>
        </w:rPr>
        <w:t xml:space="preserve">decision explains the approach to the development of common law and the department has </w:t>
      </w:r>
      <w:r w:rsidR="005D71F1" w:rsidRPr="00C72EBD">
        <w:rPr>
          <w:lang w:val="en-GB"/>
        </w:rPr>
        <w:lastRenderedPageBreak/>
        <w:t>fallen short of making out a case for this.</w:t>
      </w:r>
      <w:r w:rsidR="00074BD2">
        <w:rPr>
          <w:rStyle w:val="FootnoteReference"/>
          <w:lang w:val="en-GB"/>
        </w:rPr>
        <w:footnoteReference w:id="8"/>
      </w:r>
      <w:r w:rsidR="005D71F1" w:rsidRPr="00C72EBD">
        <w:rPr>
          <w:lang w:val="en-GB"/>
        </w:rPr>
        <w:t xml:space="preserve"> </w:t>
      </w:r>
      <w:r w:rsidR="00FA1022" w:rsidRPr="00C72EBD">
        <w:rPr>
          <w:lang w:val="en-GB"/>
        </w:rPr>
        <w:t>To accept the defendant’s position would deprive S</w:t>
      </w:r>
      <w:r w:rsidR="00872023">
        <w:rPr>
          <w:lang w:val="en-GB"/>
        </w:rPr>
        <w:t>[…]</w:t>
      </w:r>
      <w:r w:rsidR="00FA1022" w:rsidRPr="00C72EBD">
        <w:rPr>
          <w:lang w:val="en-GB"/>
        </w:rPr>
        <w:t xml:space="preserve"> of a payment to which she is entitled</w:t>
      </w:r>
      <w:r w:rsidR="00F65E4F" w:rsidRPr="00C72EBD">
        <w:rPr>
          <w:lang w:val="en-GB"/>
        </w:rPr>
        <w:t xml:space="preserve"> and the </w:t>
      </w:r>
      <w:r w:rsidR="002E01F9" w:rsidRPr="00C72EBD">
        <w:rPr>
          <w:lang w:val="en-GB"/>
        </w:rPr>
        <w:t xml:space="preserve">independent </w:t>
      </w:r>
      <w:r w:rsidR="00F65E4F" w:rsidRPr="00C72EBD">
        <w:rPr>
          <w:lang w:val="en-GB"/>
        </w:rPr>
        <w:t xml:space="preserve">choice of how </w:t>
      </w:r>
      <w:bookmarkStart w:id="0" w:name="_GoBack"/>
      <w:bookmarkEnd w:id="0"/>
      <w:r w:rsidR="00F65E4F" w:rsidRPr="00C72EBD">
        <w:rPr>
          <w:lang w:val="en-GB"/>
        </w:rPr>
        <w:t xml:space="preserve">to utilise those funds to procure the services she requires. </w:t>
      </w:r>
      <w:r w:rsidR="00862DA3" w:rsidRPr="00C72EBD">
        <w:rPr>
          <w:lang w:val="en-GB"/>
        </w:rPr>
        <w:t xml:space="preserve">That significance of that right of selection, as alluded to in </w:t>
      </w:r>
      <w:r w:rsidR="00862DA3" w:rsidRPr="00C72EBD">
        <w:rPr>
          <w:i/>
          <w:iCs/>
          <w:lang w:val="en-GB"/>
        </w:rPr>
        <w:t>Ngubane</w:t>
      </w:r>
      <w:r w:rsidR="00862DA3" w:rsidRPr="00C72EBD">
        <w:rPr>
          <w:lang w:val="en-GB"/>
        </w:rPr>
        <w:t>,</w:t>
      </w:r>
      <w:r w:rsidR="00862DA3" w:rsidRPr="00C72EBD">
        <w:rPr>
          <w:i/>
          <w:iCs/>
          <w:lang w:val="en-GB"/>
        </w:rPr>
        <w:t xml:space="preserve"> </w:t>
      </w:r>
      <w:r w:rsidR="00862DA3" w:rsidRPr="00C72EBD">
        <w:rPr>
          <w:lang w:val="en-GB"/>
        </w:rPr>
        <w:t>ought not to be diminished without proper justification. To do so</w:t>
      </w:r>
      <w:r w:rsidR="00FA1022" w:rsidRPr="00C72EBD">
        <w:rPr>
          <w:lang w:val="en-GB"/>
        </w:rPr>
        <w:t xml:space="preserve"> will</w:t>
      </w:r>
      <w:r w:rsidR="00511280" w:rsidRPr="00C72EBD">
        <w:rPr>
          <w:lang w:val="en-GB"/>
        </w:rPr>
        <w:t>, somewhat perversely,</w:t>
      </w:r>
      <w:r w:rsidR="00FA1022" w:rsidRPr="00C72EBD">
        <w:rPr>
          <w:lang w:val="en-GB"/>
        </w:rPr>
        <w:t xml:space="preserve"> </w:t>
      </w:r>
      <w:r w:rsidR="00824334" w:rsidRPr="00C72EBD">
        <w:rPr>
          <w:lang w:val="en-GB"/>
        </w:rPr>
        <w:t xml:space="preserve">afford the defendant, the party responsible for causing the </w:t>
      </w:r>
      <w:proofErr w:type="spellStart"/>
      <w:r w:rsidR="00824334" w:rsidRPr="00C72EBD">
        <w:rPr>
          <w:lang w:val="en-GB"/>
        </w:rPr>
        <w:t>delictual</w:t>
      </w:r>
      <w:proofErr w:type="spellEnd"/>
      <w:r w:rsidR="00824334" w:rsidRPr="00C72EBD">
        <w:rPr>
          <w:lang w:val="en-GB"/>
        </w:rPr>
        <w:t xml:space="preserve"> harm she suffered, the option of how to make good, either by providing caregivers, alternatively paying in the event that </w:t>
      </w:r>
      <w:r w:rsidR="00CF6CDD" w:rsidRPr="00C72EBD">
        <w:rPr>
          <w:lang w:val="en-GB"/>
        </w:rPr>
        <w:t>this proves difficult</w:t>
      </w:r>
      <w:r w:rsidR="00360B74" w:rsidRPr="00C72EBD">
        <w:rPr>
          <w:lang w:val="en-GB"/>
        </w:rPr>
        <w:t xml:space="preserve"> 16 years from now</w:t>
      </w:r>
      <w:r w:rsidR="00824334" w:rsidRPr="00C72EBD">
        <w:rPr>
          <w:lang w:val="en-GB"/>
        </w:rPr>
        <w:t>.</w:t>
      </w:r>
      <w:r w:rsidR="0002248A" w:rsidRPr="00C72EBD">
        <w:rPr>
          <w:lang w:val="en-GB"/>
        </w:rPr>
        <w:t xml:space="preserve"> </w:t>
      </w:r>
      <w:r w:rsidR="00FA1022" w:rsidRPr="00C72EBD">
        <w:rPr>
          <w:lang w:val="en-GB"/>
        </w:rPr>
        <w:t xml:space="preserve"> </w:t>
      </w:r>
    </w:p>
    <w:p w14:paraId="13FD8527" w14:textId="77777777" w:rsidR="00275BC5" w:rsidRPr="008D0105" w:rsidRDefault="00275BC5" w:rsidP="008D0105">
      <w:pPr>
        <w:rPr>
          <w:lang w:val="en-GB"/>
        </w:rPr>
      </w:pPr>
    </w:p>
    <w:p w14:paraId="7372B5CC" w14:textId="0C3AD635" w:rsidR="00F42A54" w:rsidRPr="00C72EBD" w:rsidRDefault="00C72EBD" w:rsidP="00C72EBD">
      <w:pPr>
        <w:autoSpaceDE w:val="0"/>
        <w:autoSpaceDN w:val="0"/>
        <w:adjustRightInd w:val="0"/>
        <w:jc w:val="both"/>
        <w:rPr>
          <w:lang w:val="en-GB"/>
        </w:rPr>
      </w:pPr>
      <w:r>
        <w:rPr>
          <w:lang w:val="en-GB"/>
        </w:rPr>
        <w:t>[30]</w:t>
      </w:r>
      <w:r>
        <w:rPr>
          <w:lang w:val="en-GB"/>
        </w:rPr>
        <w:tab/>
      </w:r>
      <w:r w:rsidR="00F42A54" w:rsidRPr="00C72EBD">
        <w:rPr>
          <w:lang w:val="en-GB"/>
        </w:rPr>
        <w:t xml:space="preserve">I have considered the </w:t>
      </w:r>
      <w:r w:rsidR="00947D47" w:rsidRPr="00C72EBD">
        <w:rPr>
          <w:lang w:val="en-GB"/>
        </w:rPr>
        <w:t>argument that a</w:t>
      </w:r>
      <w:r w:rsidR="00F42A54" w:rsidRPr="00C72EBD">
        <w:rPr>
          <w:lang w:val="en-GB"/>
        </w:rPr>
        <w:t xml:space="preserve"> contingency </w:t>
      </w:r>
      <w:r w:rsidR="00947D47" w:rsidRPr="00C72EBD">
        <w:rPr>
          <w:lang w:val="en-GB"/>
        </w:rPr>
        <w:t xml:space="preserve">should be applied </w:t>
      </w:r>
      <w:r w:rsidR="00F42A54" w:rsidRPr="00C72EBD">
        <w:rPr>
          <w:lang w:val="en-GB"/>
        </w:rPr>
        <w:t xml:space="preserve">to the amounts to be awarded and decline to do so, </w:t>
      </w:r>
      <w:r w:rsidR="00046312" w:rsidRPr="00C72EBD">
        <w:rPr>
          <w:lang w:val="en-GB"/>
        </w:rPr>
        <w:t xml:space="preserve">also </w:t>
      </w:r>
      <w:r w:rsidR="00F42A54" w:rsidRPr="00C72EBD">
        <w:rPr>
          <w:lang w:val="en-GB"/>
        </w:rPr>
        <w:t xml:space="preserve">on the authority of </w:t>
      </w:r>
      <w:r w:rsidR="00F42A54" w:rsidRPr="00C72EBD">
        <w:rPr>
          <w:i/>
          <w:iCs/>
          <w:lang w:val="en-GB"/>
        </w:rPr>
        <w:t xml:space="preserve">P </w:t>
      </w:r>
      <w:proofErr w:type="gramStart"/>
      <w:r w:rsidR="00F42A54" w:rsidRPr="00C72EBD">
        <w:rPr>
          <w:i/>
          <w:iCs/>
          <w:lang w:val="en-GB"/>
        </w:rPr>
        <w:t>obo</w:t>
      </w:r>
      <w:proofErr w:type="gramEnd"/>
      <w:r w:rsidR="00F42A54" w:rsidRPr="00C72EBD">
        <w:rPr>
          <w:i/>
          <w:iCs/>
          <w:lang w:val="en-GB"/>
        </w:rPr>
        <w:t xml:space="preserve"> P v MEC for Health</w:t>
      </w:r>
      <w:r w:rsidR="00F42A54" w:rsidRPr="00C72EBD">
        <w:rPr>
          <w:lang w:val="en-GB"/>
        </w:rPr>
        <w:t xml:space="preserve">. </w:t>
      </w:r>
      <w:r w:rsidR="00DC0F66" w:rsidRPr="00C72EBD">
        <w:rPr>
          <w:lang w:val="en-GB"/>
        </w:rPr>
        <w:t xml:space="preserve">That argument stems from the terms of a further pre-trial minute dated 17 November 2021, which contains reference to the application of a 5% contingency deduction on future medical expenses. In terms of paragraph 7 of that minute, it was specifically recorded that the plaintiff’s compromise of her claim was conditional on the defendant electing to settle the matter </w:t>
      </w:r>
      <w:r w:rsidR="00DC0F66" w:rsidRPr="00C72EBD">
        <w:rPr>
          <w:i/>
          <w:iCs/>
          <w:lang w:val="en-GB"/>
        </w:rPr>
        <w:t>in its entirety</w:t>
      </w:r>
      <w:r w:rsidR="00DC0F66" w:rsidRPr="00C72EBD">
        <w:rPr>
          <w:lang w:val="en-GB"/>
        </w:rPr>
        <w:t xml:space="preserve"> on the terms contained in that document, failing which it was expressly agreed that the plaintiff would be entitled to proceed to prove her full claim. That argument is therefore without merit.</w:t>
      </w:r>
    </w:p>
    <w:p w14:paraId="0D6B7685" w14:textId="77777777" w:rsidR="00F42A54" w:rsidRPr="00F42A54" w:rsidRDefault="00F42A54" w:rsidP="00F42A54">
      <w:pPr>
        <w:pStyle w:val="ListParagraph"/>
        <w:rPr>
          <w:lang w:val="en-GB"/>
        </w:rPr>
      </w:pPr>
    </w:p>
    <w:p w14:paraId="4ADCA324" w14:textId="6BCC6910" w:rsidR="00F42A54" w:rsidRPr="00C72EBD" w:rsidRDefault="00C72EBD" w:rsidP="00C72EBD">
      <w:pPr>
        <w:autoSpaceDE w:val="0"/>
        <w:autoSpaceDN w:val="0"/>
        <w:adjustRightInd w:val="0"/>
        <w:jc w:val="both"/>
        <w:rPr>
          <w:lang w:val="en-GB"/>
        </w:rPr>
      </w:pPr>
      <w:r>
        <w:rPr>
          <w:lang w:val="en-GB"/>
        </w:rPr>
        <w:t>[31]</w:t>
      </w:r>
      <w:r>
        <w:rPr>
          <w:lang w:val="en-GB"/>
        </w:rPr>
        <w:tab/>
      </w:r>
      <w:r w:rsidR="003C20B7" w:rsidRPr="00C72EBD">
        <w:rPr>
          <w:lang w:val="en-GB"/>
        </w:rPr>
        <w:t>It is for these reasons that the court made the order dated 23 February 2024, a copy of which is attached</w:t>
      </w:r>
      <w:r w:rsidR="00F42A54" w:rsidRPr="00C72EBD">
        <w:rPr>
          <w:lang w:val="en-GB"/>
        </w:rPr>
        <w:t xml:space="preserve">. </w:t>
      </w:r>
    </w:p>
    <w:p w14:paraId="12B54681" w14:textId="77777777" w:rsidR="00F42A54" w:rsidRPr="00F42A54" w:rsidRDefault="00F42A54" w:rsidP="00F42A54">
      <w:pPr>
        <w:pStyle w:val="ListParagraph"/>
        <w:rPr>
          <w:lang w:val="en-GB"/>
        </w:rPr>
      </w:pPr>
    </w:p>
    <w:p w14:paraId="4E6343B6" w14:textId="77777777" w:rsidR="007D7A96" w:rsidRDefault="007D7A96" w:rsidP="00075260">
      <w:pPr>
        <w:pStyle w:val="ListParagraph"/>
        <w:autoSpaceDE w:val="0"/>
        <w:autoSpaceDN w:val="0"/>
        <w:adjustRightInd w:val="0"/>
        <w:ind w:left="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Default="00D450B5" w:rsidP="00CA056D">
      <w:pPr>
        <w:jc w:val="both"/>
        <w:rPr>
          <w:b/>
          <w:bCs/>
          <w:lang w:val="en-GB"/>
        </w:rPr>
      </w:pPr>
      <w:r w:rsidRPr="00044B50">
        <w:rPr>
          <w:b/>
          <w:bCs/>
          <w:lang w:val="en-GB"/>
        </w:rPr>
        <w:t>JUDGE OF THE HIGH COURT</w:t>
      </w:r>
    </w:p>
    <w:p w14:paraId="66B4BCC4" w14:textId="77777777" w:rsidR="00F01483" w:rsidRDefault="00F01483" w:rsidP="00CA056D">
      <w:pPr>
        <w:jc w:val="both"/>
        <w:rPr>
          <w:b/>
          <w:bCs/>
          <w:lang w:val="en-GB"/>
        </w:rPr>
      </w:pPr>
    </w:p>
    <w:p w14:paraId="6B5C0E06" w14:textId="77777777" w:rsidR="00F01483" w:rsidRDefault="00F01483" w:rsidP="00CA056D">
      <w:pPr>
        <w:jc w:val="both"/>
        <w:rPr>
          <w:b/>
          <w:bCs/>
          <w:lang w:val="en-GB"/>
        </w:rPr>
      </w:pPr>
    </w:p>
    <w:p w14:paraId="4E913372" w14:textId="77777777" w:rsidR="008A75F3" w:rsidRDefault="008A75F3" w:rsidP="008A75F3">
      <w:pPr>
        <w:widowControl w:val="0"/>
        <w:jc w:val="center"/>
        <w:rPr>
          <w:spacing w:val="14"/>
          <w:kern w:val="2"/>
          <w:lang w:val="en-GB"/>
        </w:rPr>
      </w:pPr>
    </w:p>
    <w:p w14:paraId="04EEEF0A" w14:textId="48E6B40C" w:rsidR="007A7BBE" w:rsidRPr="00F01483" w:rsidRDefault="007A7BBE" w:rsidP="00CA056D">
      <w:pPr>
        <w:widowControl w:val="0"/>
        <w:ind w:right="656"/>
        <w:rPr>
          <w:spacing w:val="14"/>
          <w:kern w:val="2"/>
          <w:lang w:val="en-GB"/>
        </w:rPr>
      </w:pPr>
      <w:r w:rsidRPr="00F01483">
        <w:rPr>
          <w:b/>
          <w:bCs/>
          <w:spacing w:val="14"/>
          <w:kern w:val="2"/>
          <w:lang w:val="en-GB"/>
        </w:rPr>
        <w:t>Heard:</w:t>
      </w:r>
      <w:r w:rsidR="00F01483">
        <w:rPr>
          <w:b/>
          <w:bCs/>
          <w:spacing w:val="14"/>
          <w:kern w:val="2"/>
          <w:lang w:val="en-GB"/>
        </w:rPr>
        <w:t xml:space="preserve"> </w:t>
      </w:r>
      <w:r w:rsidR="00907FBE" w:rsidRPr="00907FBE">
        <w:rPr>
          <w:spacing w:val="14"/>
          <w:kern w:val="2"/>
          <w:lang w:val="en-GB"/>
        </w:rPr>
        <w:t>19-2</w:t>
      </w:r>
      <w:r w:rsidR="00907FBE">
        <w:rPr>
          <w:spacing w:val="14"/>
          <w:kern w:val="2"/>
          <w:lang w:val="en-GB"/>
        </w:rPr>
        <w:t>2</w:t>
      </w:r>
      <w:r w:rsidR="00907FBE" w:rsidRPr="00907FBE">
        <w:rPr>
          <w:spacing w:val="14"/>
          <w:kern w:val="2"/>
          <w:lang w:val="en-GB"/>
        </w:rPr>
        <w:t xml:space="preserve"> February 2024</w:t>
      </w:r>
    </w:p>
    <w:p w14:paraId="299C01BC" w14:textId="77777777" w:rsidR="00CA056D" w:rsidRDefault="00CA056D" w:rsidP="000D4C7F">
      <w:pPr>
        <w:widowControl w:val="0"/>
        <w:ind w:left="4320" w:right="656" w:firstLine="720"/>
        <w:jc w:val="right"/>
        <w:rPr>
          <w:spacing w:val="14"/>
          <w:kern w:val="2"/>
          <w:lang w:val="en-GB"/>
        </w:rPr>
      </w:pPr>
    </w:p>
    <w:p w14:paraId="5D550954" w14:textId="635E9CD5" w:rsidR="007A7BBE" w:rsidRDefault="003C20B7" w:rsidP="00CA056D">
      <w:pPr>
        <w:widowControl w:val="0"/>
        <w:ind w:right="656"/>
        <w:rPr>
          <w:spacing w:val="14"/>
          <w:kern w:val="2"/>
          <w:lang w:val="en-GB"/>
        </w:rPr>
      </w:pPr>
      <w:r>
        <w:rPr>
          <w:b/>
          <w:bCs/>
          <w:spacing w:val="14"/>
          <w:kern w:val="2"/>
          <w:lang w:val="en-GB"/>
        </w:rPr>
        <w:lastRenderedPageBreak/>
        <w:t xml:space="preserve">Date of order and </w:t>
      </w:r>
      <w:r>
        <w:rPr>
          <w:b/>
          <w:bCs/>
          <w:i/>
          <w:iCs/>
          <w:spacing w:val="14"/>
          <w:kern w:val="2"/>
          <w:lang w:val="en-GB"/>
        </w:rPr>
        <w:t>ex tempore</w:t>
      </w:r>
      <w:r>
        <w:rPr>
          <w:b/>
          <w:bCs/>
          <w:spacing w:val="14"/>
          <w:kern w:val="2"/>
          <w:lang w:val="en-GB"/>
        </w:rPr>
        <w:t xml:space="preserve"> judgment</w:t>
      </w:r>
      <w:r w:rsidR="007A7BBE" w:rsidRPr="00F01483">
        <w:rPr>
          <w:b/>
          <w:bCs/>
          <w:spacing w:val="14"/>
          <w:kern w:val="2"/>
          <w:lang w:val="en-GB"/>
        </w:rPr>
        <w:t>:</w:t>
      </w:r>
      <w:r w:rsidR="00F01483">
        <w:rPr>
          <w:b/>
          <w:bCs/>
          <w:spacing w:val="14"/>
          <w:kern w:val="2"/>
          <w:lang w:val="en-GB"/>
        </w:rPr>
        <w:t xml:space="preserve"> </w:t>
      </w:r>
      <w:r w:rsidR="00907FBE" w:rsidRPr="00907FBE">
        <w:rPr>
          <w:spacing w:val="14"/>
          <w:kern w:val="2"/>
          <w:lang w:val="en-GB"/>
        </w:rPr>
        <w:t>23 February 2024</w:t>
      </w:r>
    </w:p>
    <w:p w14:paraId="5AF877B1" w14:textId="0914B7EA" w:rsidR="00E763A4" w:rsidRDefault="00E763A4" w:rsidP="00CA056D">
      <w:pPr>
        <w:widowControl w:val="0"/>
        <w:ind w:right="656"/>
        <w:rPr>
          <w:spacing w:val="14"/>
          <w:kern w:val="2"/>
          <w:lang w:val="en-GB"/>
        </w:rPr>
      </w:pPr>
    </w:p>
    <w:p w14:paraId="7AE05416" w14:textId="387F89B3" w:rsidR="00E763A4" w:rsidRPr="00E763A4" w:rsidRDefault="00E763A4" w:rsidP="00CA056D">
      <w:pPr>
        <w:widowControl w:val="0"/>
        <w:ind w:right="656"/>
        <w:rPr>
          <w:spacing w:val="14"/>
          <w:kern w:val="2"/>
          <w:lang w:val="en-GB"/>
        </w:rPr>
      </w:pPr>
      <w:r>
        <w:rPr>
          <w:b/>
          <w:bCs/>
          <w:spacing w:val="14"/>
          <w:kern w:val="2"/>
          <w:lang w:val="en-GB"/>
        </w:rPr>
        <w:t xml:space="preserve">Written reasons provided: </w:t>
      </w:r>
      <w:r>
        <w:rPr>
          <w:spacing w:val="14"/>
          <w:kern w:val="2"/>
          <w:lang w:val="en-GB"/>
        </w:rPr>
        <w:t>18 March 2024</w:t>
      </w:r>
    </w:p>
    <w:p w14:paraId="294A39F0" w14:textId="77777777" w:rsidR="00F01483" w:rsidRDefault="00F01483" w:rsidP="00CA056D">
      <w:pPr>
        <w:widowControl w:val="0"/>
        <w:ind w:right="656"/>
        <w:rPr>
          <w:spacing w:val="14"/>
          <w:kern w:val="2"/>
          <w:lang w:val="en-GB"/>
        </w:rPr>
      </w:pPr>
    </w:p>
    <w:p w14:paraId="7463034E" w14:textId="77777777" w:rsidR="00F01483" w:rsidRDefault="00F01483" w:rsidP="00CA056D">
      <w:pPr>
        <w:widowControl w:val="0"/>
        <w:ind w:right="656"/>
        <w:rPr>
          <w:spacing w:val="14"/>
          <w:kern w:val="2"/>
          <w:lang w:val="en-GB"/>
        </w:rPr>
      </w:pPr>
    </w:p>
    <w:p w14:paraId="46ED34E2" w14:textId="77777777" w:rsidR="00907FBE" w:rsidRDefault="00907FBE" w:rsidP="00CA056D">
      <w:pPr>
        <w:widowControl w:val="0"/>
        <w:ind w:right="656"/>
        <w:rPr>
          <w:spacing w:val="14"/>
          <w:kern w:val="2"/>
          <w:lang w:val="en-GB"/>
        </w:rPr>
      </w:pPr>
    </w:p>
    <w:p w14:paraId="53BDDB6F" w14:textId="77777777" w:rsidR="00F01483" w:rsidRDefault="00F01483" w:rsidP="00CA056D">
      <w:pPr>
        <w:widowControl w:val="0"/>
        <w:ind w:right="656"/>
        <w:rPr>
          <w:b/>
          <w:bCs/>
          <w:spacing w:val="14"/>
          <w:kern w:val="2"/>
          <w:lang w:val="en-GB"/>
        </w:rPr>
      </w:pPr>
    </w:p>
    <w:p w14:paraId="6C521244" w14:textId="77777777" w:rsidR="002166D6" w:rsidRDefault="002166D6" w:rsidP="002166D6">
      <w:pPr>
        <w:jc w:val="both"/>
        <w:rPr>
          <w:lang w:val="en-GB"/>
        </w:rPr>
      </w:pPr>
      <w:r w:rsidRPr="00044B50">
        <w:rPr>
          <w:lang w:val="en-GB"/>
        </w:rPr>
        <w:t>Appearances:</w:t>
      </w:r>
    </w:p>
    <w:p w14:paraId="2393BC55" w14:textId="77777777" w:rsidR="002166D6" w:rsidRDefault="002166D6" w:rsidP="002166D6">
      <w:pPr>
        <w:jc w:val="both"/>
        <w:rPr>
          <w:lang w:val="en-GB"/>
        </w:rPr>
      </w:pPr>
    </w:p>
    <w:p w14:paraId="75ACC5A5" w14:textId="77777777" w:rsidR="002166D6" w:rsidRDefault="002166D6" w:rsidP="002166D6">
      <w:pPr>
        <w:jc w:val="both"/>
        <w:rPr>
          <w:lang w:val="en-GB"/>
        </w:rPr>
      </w:pPr>
      <w:r>
        <w:rPr>
          <w:lang w:val="en-GB"/>
        </w:rPr>
        <w:t>Counsel for the Plaintiff:</w:t>
      </w:r>
      <w:r>
        <w:rPr>
          <w:lang w:val="en-GB"/>
        </w:rPr>
        <w:tab/>
      </w:r>
      <w:r>
        <w:rPr>
          <w:lang w:val="en-GB"/>
        </w:rPr>
        <w:tab/>
      </w:r>
      <w:r>
        <w:rPr>
          <w:lang w:val="en-GB"/>
        </w:rPr>
        <w:tab/>
        <w:t>Adv AD Schoeman SC and Adv HB Ayerst</w:t>
      </w:r>
    </w:p>
    <w:p w14:paraId="002730B3" w14:textId="77777777" w:rsidR="002166D6" w:rsidRDefault="002166D6" w:rsidP="002166D6">
      <w:pPr>
        <w:jc w:val="both"/>
        <w:rPr>
          <w:lang w:val="en-GB"/>
        </w:rPr>
      </w:pPr>
      <w:r>
        <w:rPr>
          <w:lang w:val="en-GB"/>
        </w:rPr>
        <w:tab/>
      </w:r>
      <w:r>
        <w:rPr>
          <w:lang w:val="en-GB"/>
        </w:rPr>
        <w:tab/>
      </w:r>
      <w:r>
        <w:rPr>
          <w:lang w:val="en-GB"/>
        </w:rPr>
        <w:tab/>
      </w:r>
      <w:r>
        <w:rPr>
          <w:lang w:val="en-GB"/>
        </w:rPr>
        <w:tab/>
      </w:r>
      <w:r>
        <w:rPr>
          <w:lang w:val="en-GB"/>
        </w:rPr>
        <w:tab/>
      </w:r>
      <w:r>
        <w:rPr>
          <w:lang w:val="en-GB"/>
        </w:rPr>
        <w:tab/>
      </w:r>
      <w:proofErr w:type="spellStart"/>
      <w:r>
        <w:rPr>
          <w:lang w:val="en-GB"/>
        </w:rPr>
        <w:t>Makhanda</w:t>
      </w:r>
      <w:proofErr w:type="spellEnd"/>
      <w:r>
        <w:rPr>
          <w:lang w:val="en-GB"/>
        </w:rPr>
        <w:t>, Chambers</w:t>
      </w:r>
    </w:p>
    <w:p w14:paraId="7A83E9E9" w14:textId="77777777" w:rsidR="002166D6" w:rsidRDefault="002166D6" w:rsidP="002166D6">
      <w:pPr>
        <w:jc w:val="both"/>
        <w:rPr>
          <w:lang w:val="en-GB"/>
        </w:rPr>
      </w:pPr>
      <w:r>
        <w:rPr>
          <w:lang w:val="en-GB"/>
        </w:rPr>
        <w:tab/>
      </w:r>
      <w:r>
        <w:rPr>
          <w:lang w:val="en-GB"/>
        </w:rPr>
        <w:tab/>
      </w:r>
      <w:r>
        <w:rPr>
          <w:lang w:val="en-GB"/>
        </w:rPr>
        <w:tab/>
      </w:r>
      <w:r>
        <w:rPr>
          <w:lang w:val="en-GB"/>
        </w:rPr>
        <w:tab/>
      </w:r>
      <w:r>
        <w:rPr>
          <w:lang w:val="en-GB"/>
        </w:rPr>
        <w:tab/>
      </w:r>
      <w:r>
        <w:rPr>
          <w:lang w:val="en-GB"/>
        </w:rPr>
        <w:tab/>
      </w:r>
    </w:p>
    <w:p w14:paraId="31B19A44" w14:textId="77777777" w:rsidR="002166D6" w:rsidRDefault="002166D6" w:rsidP="002166D6">
      <w:pPr>
        <w:jc w:val="both"/>
        <w:rPr>
          <w:lang w:val="en-GB"/>
        </w:rPr>
      </w:pPr>
      <w:r>
        <w:rPr>
          <w:lang w:val="en-GB"/>
        </w:rPr>
        <w:t>Instructed by:</w:t>
      </w:r>
      <w:r>
        <w:rPr>
          <w:lang w:val="en-GB"/>
        </w:rPr>
        <w:tab/>
      </w:r>
      <w:r>
        <w:rPr>
          <w:lang w:val="en-GB"/>
        </w:rPr>
        <w:tab/>
      </w:r>
      <w:r>
        <w:rPr>
          <w:lang w:val="en-GB"/>
        </w:rPr>
        <w:tab/>
      </w:r>
      <w:r>
        <w:rPr>
          <w:lang w:val="en-GB"/>
        </w:rPr>
        <w:tab/>
      </w:r>
      <w:proofErr w:type="spellStart"/>
      <w:r>
        <w:rPr>
          <w:lang w:val="en-GB"/>
        </w:rPr>
        <w:t>Mpambaniso</w:t>
      </w:r>
      <w:proofErr w:type="spellEnd"/>
      <w:r>
        <w:rPr>
          <w:lang w:val="en-GB"/>
        </w:rPr>
        <w:t xml:space="preserve"> Attorneys</w:t>
      </w:r>
    </w:p>
    <w:p w14:paraId="0577E5EB" w14:textId="77777777" w:rsidR="002166D6" w:rsidRDefault="002166D6" w:rsidP="002166D6">
      <w:pPr>
        <w:jc w:val="both"/>
        <w:rPr>
          <w:lang w:val="en-GB"/>
        </w:rPr>
      </w:pPr>
      <w:r>
        <w:rPr>
          <w:lang w:val="en-GB"/>
        </w:rPr>
        <w:tab/>
      </w:r>
      <w:r>
        <w:rPr>
          <w:lang w:val="en-GB"/>
        </w:rPr>
        <w:tab/>
      </w:r>
      <w:r>
        <w:rPr>
          <w:lang w:val="en-GB"/>
        </w:rPr>
        <w:tab/>
      </w:r>
      <w:r>
        <w:rPr>
          <w:lang w:val="en-GB"/>
        </w:rPr>
        <w:tab/>
      </w:r>
      <w:r>
        <w:rPr>
          <w:lang w:val="en-GB"/>
        </w:rPr>
        <w:tab/>
      </w:r>
      <w:r>
        <w:rPr>
          <w:lang w:val="en-GB"/>
        </w:rPr>
        <w:tab/>
        <w:t>Plaintiff’s Attorneys</w:t>
      </w:r>
    </w:p>
    <w:p w14:paraId="63BC1939" w14:textId="77777777" w:rsidR="002166D6" w:rsidRDefault="002166D6" w:rsidP="002166D6">
      <w:pPr>
        <w:jc w:val="both"/>
        <w:rPr>
          <w:lang w:val="en-GB"/>
        </w:rPr>
      </w:pPr>
      <w:r>
        <w:rPr>
          <w:lang w:val="en-GB"/>
        </w:rPr>
        <w:tab/>
      </w:r>
      <w:r>
        <w:rPr>
          <w:lang w:val="en-GB"/>
        </w:rPr>
        <w:tab/>
      </w:r>
      <w:r>
        <w:rPr>
          <w:lang w:val="en-GB"/>
        </w:rPr>
        <w:tab/>
      </w:r>
      <w:r>
        <w:rPr>
          <w:lang w:val="en-GB"/>
        </w:rPr>
        <w:tab/>
      </w:r>
      <w:r>
        <w:rPr>
          <w:lang w:val="en-GB"/>
        </w:rPr>
        <w:tab/>
      </w:r>
      <w:r>
        <w:rPr>
          <w:lang w:val="en-GB"/>
        </w:rPr>
        <w:tab/>
        <w:t>63 Grey Street</w:t>
      </w:r>
    </w:p>
    <w:p w14:paraId="42208A08" w14:textId="77777777" w:rsidR="002166D6" w:rsidRDefault="002166D6" w:rsidP="002166D6">
      <w:pPr>
        <w:jc w:val="both"/>
        <w:rPr>
          <w:lang w:val="en-GB"/>
        </w:rPr>
      </w:pPr>
      <w:r>
        <w:rPr>
          <w:lang w:val="en-GB"/>
        </w:rPr>
        <w:tab/>
      </w:r>
      <w:r>
        <w:rPr>
          <w:lang w:val="en-GB"/>
        </w:rPr>
        <w:tab/>
      </w:r>
      <w:r>
        <w:rPr>
          <w:lang w:val="en-GB"/>
        </w:rPr>
        <w:tab/>
      </w:r>
      <w:r>
        <w:rPr>
          <w:lang w:val="en-GB"/>
        </w:rPr>
        <w:tab/>
      </w:r>
      <w:r>
        <w:rPr>
          <w:lang w:val="en-GB"/>
        </w:rPr>
        <w:tab/>
      </w:r>
      <w:r>
        <w:rPr>
          <w:lang w:val="en-GB"/>
        </w:rPr>
        <w:tab/>
        <w:t>Komani</w:t>
      </w:r>
    </w:p>
    <w:p w14:paraId="755C2514" w14:textId="77777777" w:rsidR="002166D6" w:rsidRDefault="002166D6" w:rsidP="002166D6">
      <w:pPr>
        <w:jc w:val="both"/>
        <w:rPr>
          <w:lang w:val="en-GB"/>
        </w:rPr>
      </w:pPr>
    </w:p>
    <w:p w14:paraId="6B0757BD" w14:textId="77777777" w:rsidR="002166D6" w:rsidRDefault="002166D6" w:rsidP="002166D6">
      <w:pPr>
        <w:jc w:val="both"/>
        <w:rPr>
          <w:lang w:val="en-GB"/>
        </w:rPr>
      </w:pPr>
      <w:r>
        <w:rPr>
          <w:lang w:val="en-GB"/>
        </w:rPr>
        <w:t>C/o:</w:t>
      </w:r>
      <w:r>
        <w:rPr>
          <w:lang w:val="en-GB"/>
        </w:rPr>
        <w:tab/>
      </w:r>
      <w:r>
        <w:rPr>
          <w:lang w:val="en-GB"/>
        </w:rPr>
        <w:tab/>
      </w:r>
      <w:r>
        <w:rPr>
          <w:lang w:val="en-GB"/>
        </w:rPr>
        <w:tab/>
      </w:r>
      <w:r>
        <w:rPr>
          <w:lang w:val="en-GB"/>
        </w:rPr>
        <w:tab/>
      </w:r>
      <w:r>
        <w:rPr>
          <w:lang w:val="en-GB"/>
        </w:rPr>
        <w:tab/>
      </w:r>
      <w:r>
        <w:rPr>
          <w:lang w:val="en-GB"/>
        </w:rPr>
        <w:tab/>
        <w:t>Vapi Inc. Attorneys</w:t>
      </w:r>
    </w:p>
    <w:p w14:paraId="13BDE805" w14:textId="77777777" w:rsidR="002166D6" w:rsidRDefault="002166D6" w:rsidP="002166D6">
      <w:pPr>
        <w:jc w:val="both"/>
        <w:rPr>
          <w:lang w:val="en-GB"/>
        </w:rPr>
      </w:pPr>
      <w:r>
        <w:rPr>
          <w:lang w:val="en-GB"/>
        </w:rPr>
        <w:tab/>
      </w:r>
      <w:r>
        <w:rPr>
          <w:lang w:val="en-GB"/>
        </w:rPr>
        <w:tab/>
      </w:r>
      <w:r>
        <w:rPr>
          <w:lang w:val="en-GB"/>
        </w:rPr>
        <w:tab/>
      </w:r>
      <w:r>
        <w:rPr>
          <w:lang w:val="en-GB"/>
        </w:rPr>
        <w:tab/>
      </w:r>
      <w:r>
        <w:rPr>
          <w:lang w:val="en-GB"/>
        </w:rPr>
        <w:tab/>
      </w:r>
      <w:r>
        <w:rPr>
          <w:lang w:val="en-GB"/>
        </w:rPr>
        <w:tab/>
        <w:t>08 Mirriam Raziya Street</w:t>
      </w:r>
    </w:p>
    <w:p w14:paraId="777AD31E" w14:textId="77777777" w:rsidR="002166D6" w:rsidRDefault="002166D6" w:rsidP="002166D6">
      <w:pPr>
        <w:jc w:val="both"/>
        <w:rPr>
          <w:lang w:val="en-GB"/>
        </w:rPr>
      </w:pPr>
      <w:r>
        <w:rPr>
          <w:lang w:val="en-GB"/>
        </w:rPr>
        <w:tab/>
      </w:r>
      <w:r>
        <w:rPr>
          <w:lang w:val="en-GB"/>
        </w:rPr>
        <w:tab/>
      </w:r>
      <w:r>
        <w:rPr>
          <w:lang w:val="en-GB"/>
        </w:rPr>
        <w:tab/>
      </w:r>
      <w:r>
        <w:rPr>
          <w:lang w:val="en-GB"/>
        </w:rPr>
        <w:tab/>
      </w:r>
      <w:r>
        <w:rPr>
          <w:lang w:val="en-GB"/>
        </w:rPr>
        <w:tab/>
      </w:r>
      <w:r>
        <w:rPr>
          <w:lang w:val="en-GB"/>
        </w:rPr>
        <w:tab/>
        <w:t>Mthatha</w:t>
      </w:r>
    </w:p>
    <w:p w14:paraId="3E0214CB" w14:textId="77777777" w:rsidR="002166D6" w:rsidRDefault="002166D6" w:rsidP="002166D6">
      <w:pPr>
        <w:rPr>
          <w:lang w:val="en-GB"/>
        </w:rPr>
      </w:pPr>
      <w:r>
        <w:rPr>
          <w:lang w:val="en-GB"/>
        </w:rPr>
        <w:tab/>
      </w:r>
      <w:r>
        <w:rPr>
          <w:lang w:val="en-GB"/>
        </w:rPr>
        <w:tab/>
      </w:r>
      <w:r>
        <w:rPr>
          <w:lang w:val="en-GB"/>
        </w:rPr>
        <w:tab/>
      </w:r>
      <w:r>
        <w:rPr>
          <w:lang w:val="en-GB"/>
        </w:rPr>
        <w:tab/>
      </w:r>
      <w:r>
        <w:rPr>
          <w:lang w:val="en-GB"/>
        </w:rPr>
        <w:tab/>
      </w:r>
      <w:r>
        <w:rPr>
          <w:lang w:val="en-GB"/>
        </w:rPr>
        <w:tab/>
        <w:t xml:space="preserve">Email: </w:t>
      </w:r>
      <w:hyperlink r:id="rId9" w:history="1">
        <w:r w:rsidRPr="00A413DB">
          <w:rPr>
            <w:rStyle w:val="Hyperlink"/>
          </w:rPr>
          <w:t>mpambanisoattorneys@gmail.com</w:t>
        </w:r>
      </w:hyperlink>
      <w:r>
        <w:rPr>
          <w:lang w:val="en-GB"/>
        </w:rPr>
        <w:tab/>
      </w:r>
      <w:r>
        <w:rPr>
          <w:lang w:val="en-GB"/>
        </w:rPr>
        <w:tab/>
      </w:r>
      <w:r>
        <w:rPr>
          <w:lang w:val="en-GB"/>
        </w:rPr>
        <w:tab/>
      </w:r>
    </w:p>
    <w:p w14:paraId="70E482FD" w14:textId="77777777" w:rsidR="002166D6" w:rsidRDefault="002166D6" w:rsidP="002166D6">
      <w:pPr>
        <w:jc w:val="both"/>
        <w:rPr>
          <w:lang w:val="en-GB"/>
        </w:rPr>
      </w:pPr>
      <w:r>
        <w:rPr>
          <w:lang w:val="en-GB"/>
        </w:rPr>
        <w:tab/>
      </w:r>
      <w:r>
        <w:rPr>
          <w:lang w:val="en-GB"/>
        </w:rPr>
        <w:tab/>
      </w:r>
      <w:r>
        <w:rPr>
          <w:lang w:val="en-GB"/>
        </w:rPr>
        <w:tab/>
      </w:r>
      <w:r>
        <w:rPr>
          <w:lang w:val="en-GB"/>
        </w:rPr>
        <w:tab/>
      </w:r>
      <w:r>
        <w:rPr>
          <w:lang w:val="en-GB"/>
        </w:rPr>
        <w:tab/>
      </w:r>
      <w:r>
        <w:rPr>
          <w:lang w:val="en-GB"/>
        </w:rPr>
        <w:tab/>
      </w:r>
    </w:p>
    <w:p w14:paraId="09821C8C" w14:textId="77777777" w:rsidR="002166D6" w:rsidRDefault="002166D6" w:rsidP="002166D6">
      <w:pPr>
        <w:jc w:val="both"/>
        <w:rPr>
          <w:lang w:val="en-GB"/>
        </w:rPr>
      </w:pPr>
      <w:r>
        <w:rPr>
          <w:lang w:val="en-GB"/>
        </w:rPr>
        <w:t>For the Defendant:</w:t>
      </w:r>
      <w:r>
        <w:rPr>
          <w:lang w:val="en-GB"/>
        </w:rPr>
        <w:tab/>
      </w:r>
      <w:r>
        <w:rPr>
          <w:lang w:val="en-GB"/>
        </w:rPr>
        <w:tab/>
      </w:r>
      <w:r>
        <w:rPr>
          <w:lang w:val="en-GB"/>
        </w:rPr>
        <w:tab/>
      </w:r>
      <w:r>
        <w:rPr>
          <w:lang w:val="en-GB"/>
        </w:rPr>
        <w:tab/>
      </w:r>
      <w:proofErr w:type="spellStart"/>
      <w:r>
        <w:rPr>
          <w:lang w:val="en-GB"/>
        </w:rPr>
        <w:t>Adv</w:t>
      </w:r>
      <w:proofErr w:type="spellEnd"/>
      <w:r>
        <w:rPr>
          <w:lang w:val="en-GB"/>
        </w:rPr>
        <w:t xml:space="preserve"> NR </w:t>
      </w:r>
      <w:proofErr w:type="spellStart"/>
      <w:r>
        <w:rPr>
          <w:lang w:val="en-GB"/>
        </w:rPr>
        <w:t>Mtshabe</w:t>
      </w:r>
      <w:proofErr w:type="spellEnd"/>
      <w:r>
        <w:rPr>
          <w:lang w:val="en-GB"/>
        </w:rPr>
        <w:t xml:space="preserve"> SC and </w:t>
      </w:r>
      <w:proofErr w:type="spellStart"/>
      <w:r>
        <w:rPr>
          <w:lang w:val="en-GB"/>
        </w:rPr>
        <w:t>Adv</w:t>
      </w:r>
      <w:proofErr w:type="spellEnd"/>
      <w:r>
        <w:rPr>
          <w:lang w:val="en-GB"/>
        </w:rPr>
        <w:t xml:space="preserve"> Z </w:t>
      </w:r>
      <w:proofErr w:type="spellStart"/>
      <w:r>
        <w:rPr>
          <w:lang w:val="en-GB"/>
        </w:rPr>
        <w:t>Madlanga</w:t>
      </w:r>
      <w:proofErr w:type="spellEnd"/>
    </w:p>
    <w:p w14:paraId="5F8DEB6B" w14:textId="77777777" w:rsidR="002166D6" w:rsidRDefault="002166D6" w:rsidP="002166D6">
      <w:pPr>
        <w:jc w:val="both"/>
        <w:rPr>
          <w:lang w:val="en-GB"/>
        </w:rPr>
      </w:pPr>
      <w:r>
        <w:rPr>
          <w:lang w:val="en-GB"/>
        </w:rPr>
        <w:tab/>
      </w:r>
      <w:r>
        <w:rPr>
          <w:lang w:val="en-GB"/>
        </w:rPr>
        <w:tab/>
      </w:r>
      <w:r>
        <w:rPr>
          <w:lang w:val="en-GB"/>
        </w:rPr>
        <w:tab/>
      </w:r>
      <w:r>
        <w:rPr>
          <w:lang w:val="en-GB"/>
        </w:rPr>
        <w:tab/>
      </w:r>
      <w:r>
        <w:rPr>
          <w:lang w:val="en-GB"/>
        </w:rPr>
        <w:tab/>
      </w:r>
      <w:r>
        <w:rPr>
          <w:lang w:val="en-GB"/>
        </w:rPr>
        <w:tab/>
        <w:t>Mthatha, Chambers</w:t>
      </w:r>
    </w:p>
    <w:p w14:paraId="628D496D" w14:textId="77777777" w:rsidR="002166D6" w:rsidRDefault="002166D6" w:rsidP="002166D6">
      <w:pPr>
        <w:jc w:val="both"/>
        <w:rPr>
          <w:lang w:val="en-GB"/>
        </w:rPr>
      </w:pPr>
      <w:r>
        <w:rPr>
          <w:lang w:val="en-GB"/>
        </w:rPr>
        <w:tab/>
      </w:r>
      <w:r>
        <w:rPr>
          <w:lang w:val="en-GB"/>
        </w:rPr>
        <w:tab/>
      </w:r>
      <w:r>
        <w:rPr>
          <w:lang w:val="en-GB"/>
        </w:rPr>
        <w:tab/>
      </w:r>
      <w:r>
        <w:rPr>
          <w:lang w:val="en-GB"/>
        </w:rPr>
        <w:tab/>
      </w:r>
      <w:r>
        <w:rPr>
          <w:lang w:val="en-GB"/>
        </w:rPr>
        <w:tab/>
      </w:r>
      <w:r>
        <w:rPr>
          <w:lang w:val="en-GB"/>
        </w:rPr>
        <w:tab/>
      </w:r>
    </w:p>
    <w:p w14:paraId="6146C777" w14:textId="77777777" w:rsidR="002166D6" w:rsidRDefault="002166D6" w:rsidP="002166D6">
      <w:pPr>
        <w:jc w:val="both"/>
        <w:rPr>
          <w:lang w:val="en-GB"/>
        </w:rPr>
      </w:pPr>
      <w:r>
        <w:rPr>
          <w:lang w:val="en-GB"/>
        </w:rPr>
        <w:t>Instructed by:</w:t>
      </w:r>
      <w:r>
        <w:rPr>
          <w:lang w:val="en-GB"/>
        </w:rPr>
        <w:tab/>
      </w:r>
      <w:r>
        <w:rPr>
          <w:lang w:val="en-GB"/>
        </w:rPr>
        <w:tab/>
      </w:r>
      <w:r>
        <w:rPr>
          <w:lang w:val="en-GB"/>
        </w:rPr>
        <w:tab/>
      </w:r>
      <w:r>
        <w:rPr>
          <w:lang w:val="en-GB"/>
        </w:rPr>
        <w:tab/>
        <w:t>The State Attorney</w:t>
      </w:r>
      <w:r>
        <w:rPr>
          <w:lang w:val="en-GB"/>
        </w:rPr>
        <w:tab/>
      </w:r>
    </w:p>
    <w:p w14:paraId="735F1D82" w14:textId="77777777" w:rsidR="002166D6" w:rsidRDefault="002166D6" w:rsidP="002166D6">
      <w:pPr>
        <w:jc w:val="both"/>
        <w:rPr>
          <w:lang w:val="en-GB"/>
        </w:rPr>
      </w:pPr>
      <w:r>
        <w:rPr>
          <w:lang w:val="en-GB"/>
        </w:rPr>
        <w:tab/>
      </w:r>
      <w:r>
        <w:rPr>
          <w:lang w:val="en-GB"/>
        </w:rPr>
        <w:tab/>
      </w:r>
      <w:r>
        <w:rPr>
          <w:lang w:val="en-GB"/>
        </w:rPr>
        <w:tab/>
      </w:r>
      <w:r>
        <w:rPr>
          <w:lang w:val="en-GB"/>
        </w:rPr>
        <w:tab/>
      </w:r>
      <w:r>
        <w:rPr>
          <w:lang w:val="en-GB"/>
        </w:rPr>
        <w:tab/>
      </w:r>
      <w:r>
        <w:rPr>
          <w:lang w:val="en-GB"/>
        </w:rPr>
        <w:tab/>
        <w:t>Defendant’s Attorneys</w:t>
      </w:r>
    </w:p>
    <w:p w14:paraId="22FBF90B" w14:textId="77777777" w:rsidR="002166D6" w:rsidRDefault="002166D6" w:rsidP="002166D6">
      <w:pPr>
        <w:jc w:val="both"/>
        <w:rPr>
          <w:lang w:val="en-GB"/>
        </w:rPr>
      </w:pPr>
      <w:r>
        <w:rPr>
          <w:lang w:val="en-GB"/>
        </w:rPr>
        <w:tab/>
      </w:r>
      <w:r>
        <w:rPr>
          <w:lang w:val="en-GB"/>
        </w:rPr>
        <w:tab/>
      </w:r>
      <w:r>
        <w:rPr>
          <w:lang w:val="en-GB"/>
        </w:rPr>
        <w:tab/>
      </w:r>
      <w:r>
        <w:rPr>
          <w:lang w:val="en-GB"/>
        </w:rPr>
        <w:tab/>
      </w:r>
      <w:r>
        <w:rPr>
          <w:lang w:val="en-GB"/>
        </w:rPr>
        <w:tab/>
      </w:r>
      <w:r>
        <w:rPr>
          <w:lang w:val="en-GB"/>
        </w:rPr>
        <w:tab/>
        <w:t>Sissons Street</w:t>
      </w:r>
    </w:p>
    <w:p w14:paraId="378DD55E" w14:textId="77777777" w:rsidR="002166D6" w:rsidRDefault="002166D6" w:rsidP="002166D6">
      <w:pPr>
        <w:jc w:val="both"/>
        <w:rPr>
          <w:lang w:val="en-GB"/>
        </w:rPr>
      </w:pPr>
      <w:r>
        <w:rPr>
          <w:lang w:val="en-GB"/>
        </w:rPr>
        <w:tab/>
      </w:r>
      <w:r>
        <w:rPr>
          <w:lang w:val="en-GB"/>
        </w:rPr>
        <w:tab/>
      </w:r>
      <w:r>
        <w:rPr>
          <w:lang w:val="en-GB"/>
        </w:rPr>
        <w:tab/>
      </w:r>
      <w:r>
        <w:rPr>
          <w:lang w:val="en-GB"/>
        </w:rPr>
        <w:tab/>
      </w:r>
      <w:r>
        <w:rPr>
          <w:lang w:val="en-GB"/>
        </w:rPr>
        <w:tab/>
      </w:r>
      <w:r>
        <w:rPr>
          <w:lang w:val="en-GB"/>
        </w:rPr>
        <w:tab/>
      </w:r>
      <w:proofErr w:type="spellStart"/>
      <w:r>
        <w:rPr>
          <w:lang w:val="en-GB"/>
        </w:rPr>
        <w:t>Fortgale</w:t>
      </w:r>
      <w:proofErr w:type="spellEnd"/>
    </w:p>
    <w:p w14:paraId="573F3DBB" w14:textId="77777777" w:rsidR="002166D6" w:rsidRDefault="002166D6" w:rsidP="002166D6">
      <w:pPr>
        <w:jc w:val="both"/>
        <w:rPr>
          <w:lang w:val="en-GB"/>
        </w:rPr>
      </w:pPr>
      <w:r>
        <w:rPr>
          <w:lang w:val="en-GB"/>
        </w:rPr>
        <w:tab/>
      </w:r>
      <w:r>
        <w:rPr>
          <w:lang w:val="en-GB"/>
        </w:rPr>
        <w:tab/>
      </w:r>
      <w:r>
        <w:rPr>
          <w:lang w:val="en-GB"/>
        </w:rPr>
        <w:tab/>
      </w:r>
      <w:r>
        <w:rPr>
          <w:lang w:val="en-GB"/>
        </w:rPr>
        <w:tab/>
      </w:r>
      <w:r>
        <w:rPr>
          <w:lang w:val="en-GB"/>
        </w:rPr>
        <w:tab/>
      </w:r>
      <w:r>
        <w:rPr>
          <w:lang w:val="en-GB"/>
        </w:rPr>
        <w:tab/>
        <w:t>Mthatha</w:t>
      </w:r>
    </w:p>
    <w:p w14:paraId="30300CD2" w14:textId="77777777" w:rsidR="002166D6" w:rsidRDefault="002166D6" w:rsidP="002166D6">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Email: </w:t>
      </w:r>
      <w:hyperlink r:id="rId10" w:history="1">
        <w:r>
          <w:rPr>
            <w:rStyle w:val="Hyperlink"/>
          </w:rPr>
          <w:t>nqiwamncedisi@gmail.com</w:t>
        </w:r>
      </w:hyperlink>
    </w:p>
    <w:p w14:paraId="3E689E9E" w14:textId="77777777" w:rsidR="002166D6" w:rsidRDefault="002166D6" w:rsidP="002166D6">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 </w:t>
      </w:r>
      <w:r>
        <w:rPr>
          <w:lang w:val="en-GB"/>
        </w:rPr>
        <w:tab/>
      </w:r>
      <w:r>
        <w:rPr>
          <w:lang w:val="en-GB"/>
        </w:rPr>
        <w:tab/>
      </w:r>
    </w:p>
    <w:p w14:paraId="4E99F46E" w14:textId="77777777" w:rsidR="002166D6" w:rsidRPr="00044B50" w:rsidRDefault="002166D6" w:rsidP="002166D6">
      <w:pPr>
        <w:jc w:val="both"/>
        <w:rPr>
          <w:lang w:val="en-GB"/>
        </w:rPr>
      </w:pPr>
      <w:r>
        <w:rPr>
          <w:lang w:val="en-GB"/>
        </w:rPr>
        <w:tab/>
      </w:r>
      <w:r>
        <w:rPr>
          <w:lang w:val="en-GB"/>
        </w:rPr>
        <w:tab/>
      </w:r>
      <w:r>
        <w:rPr>
          <w:lang w:val="en-GB"/>
        </w:rPr>
        <w:tab/>
      </w:r>
      <w:r>
        <w:rPr>
          <w:lang w:val="en-GB"/>
        </w:rPr>
        <w:tab/>
      </w:r>
      <w:r>
        <w:rPr>
          <w:lang w:val="en-GB"/>
        </w:rPr>
        <w:tab/>
      </w:r>
    </w:p>
    <w:p w14:paraId="23C9F21C" w14:textId="609C6EC3" w:rsidR="007C247A" w:rsidRPr="00044B50" w:rsidRDefault="007C247A" w:rsidP="002166D6">
      <w:pPr>
        <w:jc w:val="both"/>
        <w:rPr>
          <w:lang w:val="en-GB"/>
        </w:rPr>
      </w:pPr>
    </w:p>
    <w:sectPr w:rsidR="007C247A" w:rsidRPr="00044B50" w:rsidSect="00D8414F">
      <w:headerReference w:type="even" r:id="rId11"/>
      <w:head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E3F02" w14:textId="77777777" w:rsidR="00B420D2" w:rsidRDefault="00B420D2" w:rsidP="00005691">
      <w:r>
        <w:separator/>
      </w:r>
    </w:p>
  </w:endnote>
  <w:endnote w:type="continuationSeparator" w:id="0">
    <w:p w14:paraId="677533EA" w14:textId="77777777" w:rsidR="00B420D2" w:rsidRDefault="00B420D2"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B44C8" w14:textId="77777777" w:rsidR="00B420D2" w:rsidRDefault="00B420D2" w:rsidP="00005691">
      <w:r>
        <w:separator/>
      </w:r>
    </w:p>
  </w:footnote>
  <w:footnote w:type="continuationSeparator" w:id="0">
    <w:p w14:paraId="48CEAB0B" w14:textId="77777777" w:rsidR="00B420D2" w:rsidRDefault="00B420D2" w:rsidP="00005691">
      <w:r>
        <w:continuationSeparator/>
      </w:r>
    </w:p>
  </w:footnote>
  <w:footnote w:id="1">
    <w:p w14:paraId="29116849" w14:textId="6C332231" w:rsidR="00C87455" w:rsidRPr="00C87455" w:rsidRDefault="00C87455">
      <w:pPr>
        <w:pStyle w:val="FootnoteText"/>
        <w:rPr>
          <w:lang w:val="en-US"/>
        </w:rPr>
      </w:pPr>
      <w:r>
        <w:rPr>
          <w:rStyle w:val="FootnoteReference"/>
        </w:rPr>
        <w:footnoteRef/>
      </w:r>
      <w:r>
        <w:t xml:space="preserve"> </w:t>
      </w:r>
      <w:r>
        <w:rPr>
          <w:i/>
          <w:iCs/>
          <w:lang w:val="en-US"/>
        </w:rPr>
        <w:t>Ngubane v South African Transport Services</w:t>
      </w:r>
      <w:r>
        <w:rPr>
          <w:lang w:val="en-US"/>
        </w:rPr>
        <w:t xml:space="preserve"> 1991 (1) SA 756 (A) at 784C–F.</w:t>
      </w:r>
    </w:p>
  </w:footnote>
  <w:footnote w:id="2">
    <w:p w14:paraId="477CD8C1" w14:textId="105EA7BC" w:rsidR="00B655D8" w:rsidRPr="00B655D8" w:rsidRDefault="00B655D8">
      <w:pPr>
        <w:pStyle w:val="FootnoteText"/>
        <w:rPr>
          <w:lang w:val="en-US"/>
        </w:rPr>
      </w:pPr>
      <w:r>
        <w:rPr>
          <w:rStyle w:val="FootnoteReference"/>
        </w:rPr>
        <w:footnoteRef/>
      </w:r>
      <w:r>
        <w:t xml:space="preserve"> </w:t>
      </w:r>
      <w:r>
        <w:rPr>
          <w:lang w:val="en-US"/>
        </w:rPr>
        <w:t>Ibid at 785C–D.</w:t>
      </w:r>
    </w:p>
  </w:footnote>
  <w:footnote w:id="3">
    <w:p w14:paraId="24873379" w14:textId="34B9B084" w:rsidR="00147510" w:rsidRPr="00147510" w:rsidRDefault="00147510">
      <w:pPr>
        <w:pStyle w:val="FootnoteText"/>
        <w:rPr>
          <w:lang w:val="en-US"/>
        </w:rPr>
      </w:pPr>
      <w:r>
        <w:rPr>
          <w:rStyle w:val="FootnoteReference"/>
        </w:rPr>
        <w:footnoteRef/>
      </w:r>
      <w:r>
        <w:t xml:space="preserve"> </w:t>
      </w:r>
      <w:r>
        <w:rPr>
          <w:i/>
          <w:iCs/>
          <w:lang w:val="en-US"/>
        </w:rPr>
        <w:t>MEC for Health and Social Development, Gauteng v DZ obo WZ</w:t>
      </w:r>
      <w:r>
        <w:rPr>
          <w:lang w:val="en-US"/>
        </w:rPr>
        <w:t xml:space="preserve"> 2018 (1) SA 335 (CC) para 35.</w:t>
      </w:r>
    </w:p>
  </w:footnote>
  <w:footnote w:id="4">
    <w:p w14:paraId="7F383DB6" w14:textId="2FE8231B" w:rsidR="001F71B3" w:rsidRPr="001F71B3" w:rsidRDefault="001F71B3">
      <w:pPr>
        <w:pStyle w:val="FootnoteText"/>
        <w:rPr>
          <w:lang w:val="en-US"/>
        </w:rPr>
      </w:pPr>
      <w:r>
        <w:rPr>
          <w:rStyle w:val="FootnoteReference"/>
        </w:rPr>
        <w:footnoteRef/>
      </w:r>
      <w:r>
        <w:t xml:space="preserve"> </w:t>
      </w:r>
      <w:r>
        <w:rPr>
          <w:i/>
          <w:iCs/>
          <w:lang w:val="en-US"/>
        </w:rPr>
        <w:t xml:space="preserve">TN obo BN v MEC for Health, Eastern Cape </w:t>
      </w:r>
      <w:r>
        <w:rPr>
          <w:lang w:val="en-US"/>
        </w:rPr>
        <w:t>2023 (3) SA 270 (ECB).</w:t>
      </w:r>
    </w:p>
  </w:footnote>
  <w:footnote w:id="5">
    <w:p w14:paraId="3089D979" w14:textId="50472237" w:rsidR="00225135" w:rsidRPr="00225135" w:rsidRDefault="00225135">
      <w:pPr>
        <w:pStyle w:val="FootnoteText"/>
        <w:rPr>
          <w:lang w:val="en-US"/>
        </w:rPr>
      </w:pPr>
      <w:r>
        <w:rPr>
          <w:rStyle w:val="FootnoteReference"/>
        </w:rPr>
        <w:footnoteRef/>
      </w:r>
      <w:r>
        <w:t xml:space="preserve"> </w:t>
      </w:r>
      <w:r>
        <w:rPr>
          <w:i/>
          <w:iCs/>
          <w:lang w:val="en-US"/>
        </w:rPr>
        <w:t>MSM obo KBM v MEC for Health, Gauteng</w:t>
      </w:r>
      <w:r>
        <w:rPr>
          <w:lang w:val="en-US"/>
        </w:rPr>
        <w:t xml:space="preserve"> 2020 (2) SA 567 (GJ)</w:t>
      </w:r>
    </w:p>
  </w:footnote>
  <w:footnote w:id="6">
    <w:p w14:paraId="7A87EA95" w14:textId="0DBFCBF4" w:rsidR="00225135" w:rsidRPr="00225135" w:rsidRDefault="00225135">
      <w:pPr>
        <w:pStyle w:val="FootnoteText"/>
        <w:rPr>
          <w:lang w:val="en-US"/>
        </w:rPr>
      </w:pPr>
      <w:r>
        <w:rPr>
          <w:rStyle w:val="FootnoteReference"/>
        </w:rPr>
        <w:footnoteRef/>
      </w:r>
      <w:r>
        <w:t xml:space="preserve"> </w:t>
      </w:r>
      <w:r>
        <w:rPr>
          <w:i/>
          <w:iCs/>
          <w:lang w:val="en-US"/>
        </w:rPr>
        <w:t>Mashinini v MEC for Health, Gauteng</w:t>
      </w:r>
      <w:r>
        <w:rPr>
          <w:lang w:val="en-US"/>
        </w:rPr>
        <w:t xml:space="preserve"> 2023 (5) SA 137 (SCA)</w:t>
      </w:r>
      <w:r w:rsidR="0062261D">
        <w:rPr>
          <w:lang w:val="en-US"/>
        </w:rPr>
        <w:t xml:space="preserve"> para 25.</w:t>
      </w:r>
    </w:p>
  </w:footnote>
  <w:footnote w:id="7">
    <w:p w14:paraId="5F1C80E8" w14:textId="17B1D3DE" w:rsidR="00EC6685" w:rsidRPr="00EC6685" w:rsidRDefault="00EC6685">
      <w:pPr>
        <w:pStyle w:val="FootnoteText"/>
        <w:rPr>
          <w:lang w:val="en-US"/>
        </w:rPr>
      </w:pPr>
      <w:r>
        <w:rPr>
          <w:rStyle w:val="FootnoteReference"/>
        </w:rPr>
        <w:footnoteRef/>
      </w:r>
      <w:r>
        <w:t xml:space="preserve"> </w:t>
      </w:r>
      <w:r>
        <w:rPr>
          <w:i/>
          <w:iCs/>
          <w:lang w:val="en-US"/>
        </w:rPr>
        <w:t>Government of the Republic of South Africa and Others v Grootboom</w:t>
      </w:r>
      <w:r>
        <w:rPr>
          <w:lang w:val="en-US"/>
        </w:rPr>
        <w:t xml:space="preserve"> </w:t>
      </w:r>
      <w:r>
        <w:rPr>
          <w:i/>
          <w:iCs/>
          <w:lang w:val="en-US"/>
        </w:rPr>
        <w:t>and Others</w:t>
      </w:r>
      <w:r>
        <w:rPr>
          <w:lang w:val="en-US"/>
        </w:rPr>
        <w:t xml:space="preserve"> 2001 (1) SA 46 (CC) para 42.</w:t>
      </w:r>
    </w:p>
  </w:footnote>
  <w:footnote w:id="8">
    <w:p w14:paraId="634D3158" w14:textId="7E9A35F7" w:rsidR="00074BD2" w:rsidRPr="00074BD2" w:rsidRDefault="00074BD2">
      <w:pPr>
        <w:pStyle w:val="FootnoteText"/>
        <w:rPr>
          <w:lang w:val="en-US"/>
        </w:rPr>
      </w:pPr>
      <w:r>
        <w:rPr>
          <w:rStyle w:val="FootnoteReference"/>
        </w:rPr>
        <w:footnoteRef/>
      </w:r>
      <w:r>
        <w:t xml:space="preserve"> </w:t>
      </w:r>
      <w:r>
        <w:rPr>
          <w:i/>
          <w:iCs/>
          <w:lang w:val="en-US"/>
        </w:rPr>
        <w:t>MEC for Health and Social Development, Gauteng Province v Zulu</w:t>
      </w:r>
      <w:r>
        <w:rPr>
          <w:lang w:val="en-US"/>
        </w:rPr>
        <w:t xml:space="preserve"> [2016] ZASCA 185.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343A1920"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2023">
          <w:rPr>
            <w:rStyle w:val="PageNumber"/>
            <w:noProof/>
          </w:rPr>
          <w:t>12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F1397"/>
    <w:multiLevelType w:val="hybridMultilevel"/>
    <w:tmpl w:val="0F70BCAA"/>
    <w:lvl w:ilvl="0" w:tplc="228222E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242B8"/>
    <w:multiLevelType w:val="hybridMultilevel"/>
    <w:tmpl w:val="393C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261E73"/>
    <w:multiLevelType w:val="multilevel"/>
    <w:tmpl w:val="D1704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C26CBB"/>
    <w:multiLevelType w:val="hybridMultilevel"/>
    <w:tmpl w:val="DB0841E6"/>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2"/>
  </w:num>
  <w:num w:numId="6">
    <w:abstractNumId w:val="6"/>
  </w:num>
  <w:num w:numId="7">
    <w:abstractNumId w:val="14"/>
  </w:num>
  <w:num w:numId="8">
    <w:abstractNumId w:val="1"/>
  </w:num>
  <w:num w:numId="9">
    <w:abstractNumId w:val="5"/>
  </w:num>
  <w:num w:numId="10">
    <w:abstractNumId w:val="8"/>
  </w:num>
  <w:num w:numId="11">
    <w:abstractNumId w:val="13"/>
  </w:num>
  <w:num w:numId="12">
    <w:abstractNumId w:val="7"/>
  </w:num>
  <w:num w:numId="13">
    <w:abstractNumId w:val="10"/>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37E0"/>
    <w:rsid w:val="00003C0F"/>
    <w:rsid w:val="0000475E"/>
    <w:rsid w:val="00004E1E"/>
    <w:rsid w:val="00005691"/>
    <w:rsid w:val="00005ABB"/>
    <w:rsid w:val="00005BC2"/>
    <w:rsid w:val="0000642E"/>
    <w:rsid w:val="00006A5F"/>
    <w:rsid w:val="00006D19"/>
    <w:rsid w:val="00006EF3"/>
    <w:rsid w:val="00007087"/>
    <w:rsid w:val="000077AD"/>
    <w:rsid w:val="000078A8"/>
    <w:rsid w:val="00007904"/>
    <w:rsid w:val="00007F3A"/>
    <w:rsid w:val="000109B4"/>
    <w:rsid w:val="0001197A"/>
    <w:rsid w:val="00011A92"/>
    <w:rsid w:val="00012A2F"/>
    <w:rsid w:val="00013C4F"/>
    <w:rsid w:val="00014437"/>
    <w:rsid w:val="00014770"/>
    <w:rsid w:val="000161E8"/>
    <w:rsid w:val="00016FDA"/>
    <w:rsid w:val="000172B5"/>
    <w:rsid w:val="000220C3"/>
    <w:rsid w:val="0002248A"/>
    <w:rsid w:val="00022804"/>
    <w:rsid w:val="0002365D"/>
    <w:rsid w:val="000243CC"/>
    <w:rsid w:val="00027DA3"/>
    <w:rsid w:val="00030A25"/>
    <w:rsid w:val="000323B0"/>
    <w:rsid w:val="00033C59"/>
    <w:rsid w:val="000341AF"/>
    <w:rsid w:val="00034B32"/>
    <w:rsid w:val="0003553E"/>
    <w:rsid w:val="000375B4"/>
    <w:rsid w:val="0004040E"/>
    <w:rsid w:val="00040F79"/>
    <w:rsid w:val="00041538"/>
    <w:rsid w:val="000422CD"/>
    <w:rsid w:val="0004347D"/>
    <w:rsid w:val="0004373B"/>
    <w:rsid w:val="00044B50"/>
    <w:rsid w:val="0004501B"/>
    <w:rsid w:val="000451D0"/>
    <w:rsid w:val="00046312"/>
    <w:rsid w:val="00046706"/>
    <w:rsid w:val="00047035"/>
    <w:rsid w:val="0004779D"/>
    <w:rsid w:val="000478E8"/>
    <w:rsid w:val="0005061D"/>
    <w:rsid w:val="00051AF2"/>
    <w:rsid w:val="00051F6C"/>
    <w:rsid w:val="000536DD"/>
    <w:rsid w:val="00053D81"/>
    <w:rsid w:val="00054DEC"/>
    <w:rsid w:val="00055C33"/>
    <w:rsid w:val="00056042"/>
    <w:rsid w:val="00056FBA"/>
    <w:rsid w:val="000574BF"/>
    <w:rsid w:val="00063188"/>
    <w:rsid w:val="00063C6E"/>
    <w:rsid w:val="00063D5A"/>
    <w:rsid w:val="00066960"/>
    <w:rsid w:val="00066A9A"/>
    <w:rsid w:val="0006762A"/>
    <w:rsid w:val="0007050F"/>
    <w:rsid w:val="0007234C"/>
    <w:rsid w:val="000723E8"/>
    <w:rsid w:val="0007399B"/>
    <w:rsid w:val="00073EFC"/>
    <w:rsid w:val="00074BD2"/>
    <w:rsid w:val="00075260"/>
    <w:rsid w:val="000778A4"/>
    <w:rsid w:val="00080D4E"/>
    <w:rsid w:val="000815F5"/>
    <w:rsid w:val="00081E7D"/>
    <w:rsid w:val="00083322"/>
    <w:rsid w:val="00083386"/>
    <w:rsid w:val="000833DB"/>
    <w:rsid w:val="00084C6F"/>
    <w:rsid w:val="00085D53"/>
    <w:rsid w:val="00086278"/>
    <w:rsid w:val="00086A06"/>
    <w:rsid w:val="0008715C"/>
    <w:rsid w:val="0009015D"/>
    <w:rsid w:val="000910CD"/>
    <w:rsid w:val="00091F8C"/>
    <w:rsid w:val="00093584"/>
    <w:rsid w:val="0009497C"/>
    <w:rsid w:val="00096BC1"/>
    <w:rsid w:val="000976CA"/>
    <w:rsid w:val="000A1576"/>
    <w:rsid w:val="000A39A5"/>
    <w:rsid w:val="000A59DC"/>
    <w:rsid w:val="000A6E30"/>
    <w:rsid w:val="000B0946"/>
    <w:rsid w:val="000B0DC8"/>
    <w:rsid w:val="000B26AE"/>
    <w:rsid w:val="000B26CF"/>
    <w:rsid w:val="000B274D"/>
    <w:rsid w:val="000B4346"/>
    <w:rsid w:val="000B538B"/>
    <w:rsid w:val="000B5790"/>
    <w:rsid w:val="000B5FBC"/>
    <w:rsid w:val="000B6309"/>
    <w:rsid w:val="000B643B"/>
    <w:rsid w:val="000B690B"/>
    <w:rsid w:val="000B70BD"/>
    <w:rsid w:val="000B78EC"/>
    <w:rsid w:val="000C0413"/>
    <w:rsid w:val="000C2D21"/>
    <w:rsid w:val="000C3531"/>
    <w:rsid w:val="000C3620"/>
    <w:rsid w:val="000C39A5"/>
    <w:rsid w:val="000C3A6D"/>
    <w:rsid w:val="000C450C"/>
    <w:rsid w:val="000C599B"/>
    <w:rsid w:val="000C67E0"/>
    <w:rsid w:val="000C6FB4"/>
    <w:rsid w:val="000C72C7"/>
    <w:rsid w:val="000C7746"/>
    <w:rsid w:val="000C7A27"/>
    <w:rsid w:val="000D085B"/>
    <w:rsid w:val="000D0D78"/>
    <w:rsid w:val="000D17EF"/>
    <w:rsid w:val="000D22FB"/>
    <w:rsid w:val="000D487F"/>
    <w:rsid w:val="000D4BFA"/>
    <w:rsid w:val="000D4C7F"/>
    <w:rsid w:val="000D667A"/>
    <w:rsid w:val="000E1C45"/>
    <w:rsid w:val="000E2444"/>
    <w:rsid w:val="000E3A93"/>
    <w:rsid w:val="000E3E15"/>
    <w:rsid w:val="000E4F0D"/>
    <w:rsid w:val="000E5100"/>
    <w:rsid w:val="000E5D12"/>
    <w:rsid w:val="000E60EC"/>
    <w:rsid w:val="000E7ECD"/>
    <w:rsid w:val="000F05E0"/>
    <w:rsid w:val="000F16BA"/>
    <w:rsid w:val="000F1A95"/>
    <w:rsid w:val="000F32D8"/>
    <w:rsid w:val="000F34E7"/>
    <w:rsid w:val="000F6BFE"/>
    <w:rsid w:val="000F7DF4"/>
    <w:rsid w:val="001003EA"/>
    <w:rsid w:val="0010068E"/>
    <w:rsid w:val="00100F9A"/>
    <w:rsid w:val="0010218C"/>
    <w:rsid w:val="00102D5B"/>
    <w:rsid w:val="00103143"/>
    <w:rsid w:val="001044DB"/>
    <w:rsid w:val="00105EB6"/>
    <w:rsid w:val="0010622C"/>
    <w:rsid w:val="001078B5"/>
    <w:rsid w:val="00107A5F"/>
    <w:rsid w:val="0011026A"/>
    <w:rsid w:val="00110EF0"/>
    <w:rsid w:val="001124A5"/>
    <w:rsid w:val="001148E0"/>
    <w:rsid w:val="00115E6B"/>
    <w:rsid w:val="00116EB9"/>
    <w:rsid w:val="00120E93"/>
    <w:rsid w:val="001226DE"/>
    <w:rsid w:val="00123296"/>
    <w:rsid w:val="0012621C"/>
    <w:rsid w:val="00130228"/>
    <w:rsid w:val="00131984"/>
    <w:rsid w:val="00131A28"/>
    <w:rsid w:val="001337CC"/>
    <w:rsid w:val="00134276"/>
    <w:rsid w:val="00134C11"/>
    <w:rsid w:val="00134DA6"/>
    <w:rsid w:val="00135C81"/>
    <w:rsid w:val="00137E08"/>
    <w:rsid w:val="00141CC4"/>
    <w:rsid w:val="00142F79"/>
    <w:rsid w:val="001435EB"/>
    <w:rsid w:val="00144974"/>
    <w:rsid w:val="001464A2"/>
    <w:rsid w:val="00146BA3"/>
    <w:rsid w:val="00147510"/>
    <w:rsid w:val="001517E0"/>
    <w:rsid w:val="001527A3"/>
    <w:rsid w:val="00153496"/>
    <w:rsid w:val="00157785"/>
    <w:rsid w:val="00157898"/>
    <w:rsid w:val="00157C19"/>
    <w:rsid w:val="00160EBC"/>
    <w:rsid w:val="00160F58"/>
    <w:rsid w:val="00162F7D"/>
    <w:rsid w:val="00163A58"/>
    <w:rsid w:val="0016477F"/>
    <w:rsid w:val="00164B7B"/>
    <w:rsid w:val="00164FAD"/>
    <w:rsid w:val="00172B5C"/>
    <w:rsid w:val="00173547"/>
    <w:rsid w:val="00174B6D"/>
    <w:rsid w:val="0017614D"/>
    <w:rsid w:val="0017696F"/>
    <w:rsid w:val="0018006A"/>
    <w:rsid w:val="00180F4E"/>
    <w:rsid w:val="00181923"/>
    <w:rsid w:val="00181B01"/>
    <w:rsid w:val="00181E7E"/>
    <w:rsid w:val="00182175"/>
    <w:rsid w:val="00184625"/>
    <w:rsid w:val="00184664"/>
    <w:rsid w:val="00186769"/>
    <w:rsid w:val="001870AF"/>
    <w:rsid w:val="001873AF"/>
    <w:rsid w:val="00191768"/>
    <w:rsid w:val="00192869"/>
    <w:rsid w:val="001943D2"/>
    <w:rsid w:val="001954F0"/>
    <w:rsid w:val="00195571"/>
    <w:rsid w:val="001955AB"/>
    <w:rsid w:val="00195D65"/>
    <w:rsid w:val="00196536"/>
    <w:rsid w:val="00196742"/>
    <w:rsid w:val="001A4BE7"/>
    <w:rsid w:val="001A4F33"/>
    <w:rsid w:val="001A7D91"/>
    <w:rsid w:val="001B0D01"/>
    <w:rsid w:val="001B0FAF"/>
    <w:rsid w:val="001B2578"/>
    <w:rsid w:val="001B2FE4"/>
    <w:rsid w:val="001B505F"/>
    <w:rsid w:val="001B55CF"/>
    <w:rsid w:val="001B69E3"/>
    <w:rsid w:val="001B7729"/>
    <w:rsid w:val="001C04BC"/>
    <w:rsid w:val="001C1478"/>
    <w:rsid w:val="001C232A"/>
    <w:rsid w:val="001C24AF"/>
    <w:rsid w:val="001C2DD7"/>
    <w:rsid w:val="001C48A5"/>
    <w:rsid w:val="001C4AF6"/>
    <w:rsid w:val="001C4D08"/>
    <w:rsid w:val="001C7061"/>
    <w:rsid w:val="001D0962"/>
    <w:rsid w:val="001D0A1B"/>
    <w:rsid w:val="001D214B"/>
    <w:rsid w:val="001D3264"/>
    <w:rsid w:val="001D4C5E"/>
    <w:rsid w:val="001D57CD"/>
    <w:rsid w:val="001D5A9D"/>
    <w:rsid w:val="001D5F83"/>
    <w:rsid w:val="001D61C8"/>
    <w:rsid w:val="001D65C0"/>
    <w:rsid w:val="001E0F36"/>
    <w:rsid w:val="001E1834"/>
    <w:rsid w:val="001E1B07"/>
    <w:rsid w:val="001E1E07"/>
    <w:rsid w:val="001E24E0"/>
    <w:rsid w:val="001E4824"/>
    <w:rsid w:val="001E6351"/>
    <w:rsid w:val="001E640A"/>
    <w:rsid w:val="001E6A6E"/>
    <w:rsid w:val="001E701F"/>
    <w:rsid w:val="001E7844"/>
    <w:rsid w:val="001E78D5"/>
    <w:rsid w:val="001E7C8F"/>
    <w:rsid w:val="001F2201"/>
    <w:rsid w:val="001F2276"/>
    <w:rsid w:val="001F335C"/>
    <w:rsid w:val="001F3A41"/>
    <w:rsid w:val="001F59AB"/>
    <w:rsid w:val="001F71B3"/>
    <w:rsid w:val="001F7EF5"/>
    <w:rsid w:val="0020191D"/>
    <w:rsid w:val="00201DC6"/>
    <w:rsid w:val="00201F12"/>
    <w:rsid w:val="0020299C"/>
    <w:rsid w:val="00203370"/>
    <w:rsid w:val="00206D6C"/>
    <w:rsid w:val="00207573"/>
    <w:rsid w:val="002115FE"/>
    <w:rsid w:val="002129C2"/>
    <w:rsid w:val="00213565"/>
    <w:rsid w:val="0021430F"/>
    <w:rsid w:val="002154D2"/>
    <w:rsid w:val="00215EBC"/>
    <w:rsid w:val="002166D6"/>
    <w:rsid w:val="0021730A"/>
    <w:rsid w:val="00217399"/>
    <w:rsid w:val="002203EC"/>
    <w:rsid w:val="00220833"/>
    <w:rsid w:val="00222854"/>
    <w:rsid w:val="00224363"/>
    <w:rsid w:val="00225135"/>
    <w:rsid w:val="0022594E"/>
    <w:rsid w:val="00226444"/>
    <w:rsid w:val="00226ADA"/>
    <w:rsid w:val="00227379"/>
    <w:rsid w:val="00227580"/>
    <w:rsid w:val="00227A2B"/>
    <w:rsid w:val="00230B10"/>
    <w:rsid w:val="00231325"/>
    <w:rsid w:val="00231B8B"/>
    <w:rsid w:val="002327AF"/>
    <w:rsid w:val="0023410F"/>
    <w:rsid w:val="00234A6A"/>
    <w:rsid w:val="0023677B"/>
    <w:rsid w:val="00236B9D"/>
    <w:rsid w:val="00237273"/>
    <w:rsid w:val="0023768E"/>
    <w:rsid w:val="002402F6"/>
    <w:rsid w:val="00240EDB"/>
    <w:rsid w:val="00245504"/>
    <w:rsid w:val="00245BEB"/>
    <w:rsid w:val="00246150"/>
    <w:rsid w:val="00247551"/>
    <w:rsid w:val="00247B3C"/>
    <w:rsid w:val="00250530"/>
    <w:rsid w:val="0025056A"/>
    <w:rsid w:val="00251ACD"/>
    <w:rsid w:val="0025292B"/>
    <w:rsid w:val="00252FC1"/>
    <w:rsid w:val="00253273"/>
    <w:rsid w:val="00254763"/>
    <w:rsid w:val="00256208"/>
    <w:rsid w:val="00256FCC"/>
    <w:rsid w:val="00257156"/>
    <w:rsid w:val="00257A15"/>
    <w:rsid w:val="002606D8"/>
    <w:rsid w:val="00260A94"/>
    <w:rsid w:val="00260B67"/>
    <w:rsid w:val="002612A5"/>
    <w:rsid w:val="00261583"/>
    <w:rsid w:val="0026158F"/>
    <w:rsid w:val="002617D8"/>
    <w:rsid w:val="00262C99"/>
    <w:rsid w:val="00262D2A"/>
    <w:rsid w:val="002635B7"/>
    <w:rsid w:val="00263B8D"/>
    <w:rsid w:val="0026495C"/>
    <w:rsid w:val="00265010"/>
    <w:rsid w:val="00265180"/>
    <w:rsid w:val="00265AEB"/>
    <w:rsid w:val="00265C6D"/>
    <w:rsid w:val="0026634E"/>
    <w:rsid w:val="0026645C"/>
    <w:rsid w:val="002705E9"/>
    <w:rsid w:val="00273903"/>
    <w:rsid w:val="00274C64"/>
    <w:rsid w:val="00275410"/>
    <w:rsid w:val="00275BC5"/>
    <w:rsid w:val="00276100"/>
    <w:rsid w:val="00277EB6"/>
    <w:rsid w:val="0028182D"/>
    <w:rsid w:val="002818E1"/>
    <w:rsid w:val="002852C4"/>
    <w:rsid w:val="00285664"/>
    <w:rsid w:val="002871CB"/>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46C2"/>
    <w:rsid w:val="002A5305"/>
    <w:rsid w:val="002A61D9"/>
    <w:rsid w:val="002A6332"/>
    <w:rsid w:val="002A6593"/>
    <w:rsid w:val="002A6B82"/>
    <w:rsid w:val="002A73A7"/>
    <w:rsid w:val="002B0DEA"/>
    <w:rsid w:val="002B1390"/>
    <w:rsid w:val="002B2268"/>
    <w:rsid w:val="002B31B7"/>
    <w:rsid w:val="002B3FE3"/>
    <w:rsid w:val="002B54B7"/>
    <w:rsid w:val="002B57C1"/>
    <w:rsid w:val="002B6730"/>
    <w:rsid w:val="002B7155"/>
    <w:rsid w:val="002B7874"/>
    <w:rsid w:val="002C1ECF"/>
    <w:rsid w:val="002C1ED3"/>
    <w:rsid w:val="002C3A0D"/>
    <w:rsid w:val="002C4082"/>
    <w:rsid w:val="002C45D8"/>
    <w:rsid w:val="002C5462"/>
    <w:rsid w:val="002C7128"/>
    <w:rsid w:val="002D20C4"/>
    <w:rsid w:val="002D2D96"/>
    <w:rsid w:val="002D4422"/>
    <w:rsid w:val="002D4CBC"/>
    <w:rsid w:val="002D5184"/>
    <w:rsid w:val="002D6D70"/>
    <w:rsid w:val="002D7292"/>
    <w:rsid w:val="002E01F9"/>
    <w:rsid w:val="002E0CCA"/>
    <w:rsid w:val="002E0F57"/>
    <w:rsid w:val="002E141A"/>
    <w:rsid w:val="002E1B95"/>
    <w:rsid w:val="002E3EC7"/>
    <w:rsid w:val="002E4808"/>
    <w:rsid w:val="002E483E"/>
    <w:rsid w:val="002E6855"/>
    <w:rsid w:val="002E6D7C"/>
    <w:rsid w:val="002E7045"/>
    <w:rsid w:val="002E7199"/>
    <w:rsid w:val="002E7ADD"/>
    <w:rsid w:val="002F0070"/>
    <w:rsid w:val="002F012F"/>
    <w:rsid w:val="002F0513"/>
    <w:rsid w:val="002F0990"/>
    <w:rsid w:val="002F0C58"/>
    <w:rsid w:val="002F13D1"/>
    <w:rsid w:val="002F2D15"/>
    <w:rsid w:val="002F37F8"/>
    <w:rsid w:val="002F42E2"/>
    <w:rsid w:val="002F4EDB"/>
    <w:rsid w:val="002F60D3"/>
    <w:rsid w:val="002F7574"/>
    <w:rsid w:val="003007A7"/>
    <w:rsid w:val="00300A59"/>
    <w:rsid w:val="00300E3D"/>
    <w:rsid w:val="0030214A"/>
    <w:rsid w:val="00302E78"/>
    <w:rsid w:val="00303335"/>
    <w:rsid w:val="003035F7"/>
    <w:rsid w:val="00305B9E"/>
    <w:rsid w:val="00306288"/>
    <w:rsid w:val="00310F40"/>
    <w:rsid w:val="0031225F"/>
    <w:rsid w:val="003140F9"/>
    <w:rsid w:val="003142B4"/>
    <w:rsid w:val="003148EA"/>
    <w:rsid w:val="003150CA"/>
    <w:rsid w:val="00315CB8"/>
    <w:rsid w:val="00315D8D"/>
    <w:rsid w:val="003168ED"/>
    <w:rsid w:val="003172EB"/>
    <w:rsid w:val="00317AB4"/>
    <w:rsid w:val="00320522"/>
    <w:rsid w:val="00320E8A"/>
    <w:rsid w:val="00321663"/>
    <w:rsid w:val="00321E11"/>
    <w:rsid w:val="0032238F"/>
    <w:rsid w:val="003228A7"/>
    <w:rsid w:val="00322E38"/>
    <w:rsid w:val="00324CE8"/>
    <w:rsid w:val="0032577B"/>
    <w:rsid w:val="00325BD4"/>
    <w:rsid w:val="00326A33"/>
    <w:rsid w:val="0032785C"/>
    <w:rsid w:val="00327E36"/>
    <w:rsid w:val="00327E53"/>
    <w:rsid w:val="00330795"/>
    <w:rsid w:val="00330E85"/>
    <w:rsid w:val="0033219D"/>
    <w:rsid w:val="00333BEA"/>
    <w:rsid w:val="00333F69"/>
    <w:rsid w:val="00334624"/>
    <w:rsid w:val="00335693"/>
    <w:rsid w:val="00335897"/>
    <w:rsid w:val="0033634C"/>
    <w:rsid w:val="0033669D"/>
    <w:rsid w:val="003367DD"/>
    <w:rsid w:val="00336F34"/>
    <w:rsid w:val="00337DFE"/>
    <w:rsid w:val="00341497"/>
    <w:rsid w:val="0034206E"/>
    <w:rsid w:val="00343E5D"/>
    <w:rsid w:val="00343E84"/>
    <w:rsid w:val="0034439B"/>
    <w:rsid w:val="003455A7"/>
    <w:rsid w:val="003469BB"/>
    <w:rsid w:val="00350743"/>
    <w:rsid w:val="00350A47"/>
    <w:rsid w:val="003513CA"/>
    <w:rsid w:val="00351FAC"/>
    <w:rsid w:val="003529AF"/>
    <w:rsid w:val="00353652"/>
    <w:rsid w:val="0035432E"/>
    <w:rsid w:val="003564CA"/>
    <w:rsid w:val="0035756C"/>
    <w:rsid w:val="00357751"/>
    <w:rsid w:val="003601F1"/>
    <w:rsid w:val="00360B74"/>
    <w:rsid w:val="00360BFC"/>
    <w:rsid w:val="00362A40"/>
    <w:rsid w:val="00363BF3"/>
    <w:rsid w:val="003649E8"/>
    <w:rsid w:val="00365FAA"/>
    <w:rsid w:val="00366631"/>
    <w:rsid w:val="003679D5"/>
    <w:rsid w:val="00367B79"/>
    <w:rsid w:val="003700BB"/>
    <w:rsid w:val="0037015D"/>
    <w:rsid w:val="00371E49"/>
    <w:rsid w:val="0037217E"/>
    <w:rsid w:val="00372585"/>
    <w:rsid w:val="003730C8"/>
    <w:rsid w:val="003738E5"/>
    <w:rsid w:val="00373BB6"/>
    <w:rsid w:val="00374A90"/>
    <w:rsid w:val="00374F02"/>
    <w:rsid w:val="00375614"/>
    <w:rsid w:val="00380E60"/>
    <w:rsid w:val="00381278"/>
    <w:rsid w:val="00381483"/>
    <w:rsid w:val="00381C36"/>
    <w:rsid w:val="00381D62"/>
    <w:rsid w:val="00382162"/>
    <w:rsid w:val="00382ADF"/>
    <w:rsid w:val="00384C87"/>
    <w:rsid w:val="003869D5"/>
    <w:rsid w:val="003905B9"/>
    <w:rsid w:val="00390AE2"/>
    <w:rsid w:val="003914E2"/>
    <w:rsid w:val="003916FD"/>
    <w:rsid w:val="00391FFC"/>
    <w:rsid w:val="0039206E"/>
    <w:rsid w:val="00392A4B"/>
    <w:rsid w:val="00392AA2"/>
    <w:rsid w:val="00393BA3"/>
    <w:rsid w:val="0039527F"/>
    <w:rsid w:val="00395A71"/>
    <w:rsid w:val="0039682A"/>
    <w:rsid w:val="003A37F4"/>
    <w:rsid w:val="003A4DF2"/>
    <w:rsid w:val="003A4F1D"/>
    <w:rsid w:val="003A4F95"/>
    <w:rsid w:val="003A567D"/>
    <w:rsid w:val="003A6F71"/>
    <w:rsid w:val="003A745C"/>
    <w:rsid w:val="003A7AA6"/>
    <w:rsid w:val="003A7BAA"/>
    <w:rsid w:val="003B01D4"/>
    <w:rsid w:val="003B036C"/>
    <w:rsid w:val="003B10EC"/>
    <w:rsid w:val="003B1570"/>
    <w:rsid w:val="003B15C9"/>
    <w:rsid w:val="003B1A9E"/>
    <w:rsid w:val="003B21BF"/>
    <w:rsid w:val="003B33FA"/>
    <w:rsid w:val="003B3C31"/>
    <w:rsid w:val="003B43B8"/>
    <w:rsid w:val="003B5522"/>
    <w:rsid w:val="003B5FEE"/>
    <w:rsid w:val="003B76D9"/>
    <w:rsid w:val="003C0CEB"/>
    <w:rsid w:val="003C1215"/>
    <w:rsid w:val="003C20B7"/>
    <w:rsid w:val="003C351A"/>
    <w:rsid w:val="003C3580"/>
    <w:rsid w:val="003C3BC6"/>
    <w:rsid w:val="003C54AA"/>
    <w:rsid w:val="003C5934"/>
    <w:rsid w:val="003C7080"/>
    <w:rsid w:val="003D11D0"/>
    <w:rsid w:val="003D146E"/>
    <w:rsid w:val="003D1525"/>
    <w:rsid w:val="003D239A"/>
    <w:rsid w:val="003D26F2"/>
    <w:rsid w:val="003D2C74"/>
    <w:rsid w:val="003D3549"/>
    <w:rsid w:val="003D5245"/>
    <w:rsid w:val="003D5507"/>
    <w:rsid w:val="003D5A10"/>
    <w:rsid w:val="003D5E6D"/>
    <w:rsid w:val="003D7CB9"/>
    <w:rsid w:val="003E0F7C"/>
    <w:rsid w:val="003E1A50"/>
    <w:rsid w:val="003E2B73"/>
    <w:rsid w:val="003E2F03"/>
    <w:rsid w:val="003E3BBF"/>
    <w:rsid w:val="003E424A"/>
    <w:rsid w:val="003E4702"/>
    <w:rsid w:val="003E75F3"/>
    <w:rsid w:val="003F0D9E"/>
    <w:rsid w:val="003F12A3"/>
    <w:rsid w:val="003F1974"/>
    <w:rsid w:val="003F2109"/>
    <w:rsid w:val="003F2790"/>
    <w:rsid w:val="003F3C4F"/>
    <w:rsid w:val="003F41EF"/>
    <w:rsid w:val="003F434A"/>
    <w:rsid w:val="003F50FF"/>
    <w:rsid w:val="003F5900"/>
    <w:rsid w:val="003F6355"/>
    <w:rsid w:val="00400266"/>
    <w:rsid w:val="00401A9A"/>
    <w:rsid w:val="00402EEA"/>
    <w:rsid w:val="00404201"/>
    <w:rsid w:val="00405CEF"/>
    <w:rsid w:val="00406282"/>
    <w:rsid w:val="00406337"/>
    <w:rsid w:val="00406A00"/>
    <w:rsid w:val="004074B3"/>
    <w:rsid w:val="004075EA"/>
    <w:rsid w:val="004077DC"/>
    <w:rsid w:val="00410665"/>
    <w:rsid w:val="00410C82"/>
    <w:rsid w:val="0041108E"/>
    <w:rsid w:val="00412658"/>
    <w:rsid w:val="00412DF2"/>
    <w:rsid w:val="004138F5"/>
    <w:rsid w:val="00413D22"/>
    <w:rsid w:val="00414C90"/>
    <w:rsid w:val="004165B0"/>
    <w:rsid w:val="004165D6"/>
    <w:rsid w:val="00417973"/>
    <w:rsid w:val="0042163E"/>
    <w:rsid w:val="00421F6E"/>
    <w:rsid w:val="00422122"/>
    <w:rsid w:val="00423163"/>
    <w:rsid w:val="004244A5"/>
    <w:rsid w:val="00427318"/>
    <w:rsid w:val="004276CD"/>
    <w:rsid w:val="0042778E"/>
    <w:rsid w:val="00427843"/>
    <w:rsid w:val="00427A35"/>
    <w:rsid w:val="004302B6"/>
    <w:rsid w:val="0043230A"/>
    <w:rsid w:val="0043511C"/>
    <w:rsid w:val="00435538"/>
    <w:rsid w:val="00437E88"/>
    <w:rsid w:val="00440672"/>
    <w:rsid w:val="00440EDE"/>
    <w:rsid w:val="00441E70"/>
    <w:rsid w:val="00443779"/>
    <w:rsid w:val="00443CCC"/>
    <w:rsid w:val="004441E4"/>
    <w:rsid w:val="004448E8"/>
    <w:rsid w:val="00446C55"/>
    <w:rsid w:val="004474FB"/>
    <w:rsid w:val="00447553"/>
    <w:rsid w:val="00447ED2"/>
    <w:rsid w:val="004528CC"/>
    <w:rsid w:val="004529C3"/>
    <w:rsid w:val="00453339"/>
    <w:rsid w:val="00454149"/>
    <w:rsid w:val="0045608B"/>
    <w:rsid w:val="0045783B"/>
    <w:rsid w:val="00461504"/>
    <w:rsid w:val="00461701"/>
    <w:rsid w:val="00463429"/>
    <w:rsid w:val="004652FD"/>
    <w:rsid w:val="004657F4"/>
    <w:rsid w:val="00466979"/>
    <w:rsid w:val="00466D17"/>
    <w:rsid w:val="00467E20"/>
    <w:rsid w:val="00472A4C"/>
    <w:rsid w:val="00472B05"/>
    <w:rsid w:val="00472E85"/>
    <w:rsid w:val="00473068"/>
    <w:rsid w:val="004735D5"/>
    <w:rsid w:val="004741DE"/>
    <w:rsid w:val="0047556B"/>
    <w:rsid w:val="00475C2D"/>
    <w:rsid w:val="00477226"/>
    <w:rsid w:val="00480EB1"/>
    <w:rsid w:val="004813E8"/>
    <w:rsid w:val="004827F3"/>
    <w:rsid w:val="004829F2"/>
    <w:rsid w:val="00486114"/>
    <w:rsid w:val="004863E4"/>
    <w:rsid w:val="00486CF8"/>
    <w:rsid w:val="00487264"/>
    <w:rsid w:val="00490D2A"/>
    <w:rsid w:val="0049105D"/>
    <w:rsid w:val="004918C4"/>
    <w:rsid w:val="004932A2"/>
    <w:rsid w:val="0049353E"/>
    <w:rsid w:val="00496E8C"/>
    <w:rsid w:val="00496EAA"/>
    <w:rsid w:val="004A00B9"/>
    <w:rsid w:val="004A02BC"/>
    <w:rsid w:val="004A08D7"/>
    <w:rsid w:val="004A0E54"/>
    <w:rsid w:val="004A1260"/>
    <w:rsid w:val="004A5151"/>
    <w:rsid w:val="004A5DB1"/>
    <w:rsid w:val="004A6745"/>
    <w:rsid w:val="004A687F"/>
    <w:rsid w:val="004A7359"/>
    <w:rsid w:val="004B09B0"/>
    <w:rsid w:val="004B124D"/>
    <w:rsid w:val="004B3161"/>
    <w:rsid w:val="004B4E6F"/>
    <w:rsid w:val="004B5BAF"/>
    <w:rsid w:val="004B5CB4"/>
    <w:rsid w:val="004B632A"/>
    <w:rsid w:val="004B7E82"/>
    <w:rsid w:val="004C06AD"/>
    <w:rsid w:val="004C0946"/>
    <w:rsid w:val="004C0C08"/>
    <w:rsid w:val="004C13CF"/>
    <w:rsid w:val="004C47DA"/>
    <w:rsid w:val="004C76B9"/>
    <w:rsid w:val="004C7C7E"/>
    <w:rsid w:val="004C7EB2"/>
    <w:rsid w:val="004D0163"/>
    <w:rsid w:val="004D0AC5"/>
    <w:rsid w:val="004D19EB"/>
    <w:rsid w:val="004D1AAF"/>
    <w:rsid w:val="004D1E6D"/>
    <w:rsid w:val="004D3210"/>
    <w:rsid w:val="004D35C6"/>
    <w:rsid w:val="004E06B4"/>
    <w:rsid w:val="004E189A"/>
    <w:rsid w:val="004E1A28"/>
    <w:rsid w:val="004E2076"/>
    <w:rsid w:val="004E2F8E"/>
    <w:rsid w:val="004E318F"/>
    <w:rsid w:val="004E5A0A"/>
    <w:rsid w:val="004E6694"/>
    <w:rsid w:val="004E6764"/>
    <w:rsid w:val="004E76BC"/>
    <w:rsid w:val="004E773F"/>
    <w:rsid w:val="004E791F"/>
    <w:rsid w:val="004F021C"/>
    <w:rsid w:val="004F0C8D"/>
    <w:rsid w:val="004F1757"/>
    <w:rsid w:val="004F1D20"/>
    <w:rsid w:val="004F326C"/>
    <w:rsid w:val="004F38A6"/>
    <w:rsid w:val="004F3F3E"/>
    <w:rsid w:val="004F444A"/>
    <w:rsid w:val="004F5575"/>
    <w:rsid w:val="004F79D9"/>
    <w:rsid w:val="00500FC1"/>
    <w:rsid w:val="005014BC"/>
    <w:rsid w:val="00501617"/>
    <w:rsid w:val="00502229"/>
    <w:rsid w:val="005030DE"/>
    <w:rsid w:val="00504BCF"/>
    <w:rsid w:val="005056C1"/>
    <w:rsid w:val="0050634D"/>
    <w:rsid w:val="0050675A"/>
    <w:rsid w:val="005078B2"/>
    <w:rsid w:val="005079C1"/>
    <w:rsid w:val="00507BBF"/>
    <w:rsid w:val="00511260"/>
    <w:rsid w:val="00511280"/>
    <w:rsid w:val="00511565"/>
    <w:rsid w:val="005116AB"/>
    <w:rsid w:val="0051172C"/>
    <w:rsid w:val="00511D5A"/>
    <w:rsid w:val="0051380C"/>
    <w:rsid w:val="00514878"/>
    <w:rsid w:val="00516DE8"/>
    <w:rsid w:val="0051706E"/>
    <w:rsid w:val="00517CF3"/>
    <w:rsid w:val="00520E7F"/>
    <w:rsid w:val="00521389"/>
    <w:rsid w:val="00523DBC"/>
    <w:rsid w:val="005244E9"/>
    <w:rsid w:val="00525DF3"/>
    <w:rsid w:val="00530003"/>
    <w:rsid w:val="00530509"/>
    <w:rsid w:val="00532080"/>
    <w:rsid w:val="00532409"/>
    <w:rsid w:val="0053617F"/>
    <w:rsid w:val="00545009"/>
    <w:rsid w:val="00545140"/>
    <w:rsid w:val="00545668"/>
    <w:rsid w:val="0055098F"/>
    <w:rsid w:val="005517B9"/>
    <w:rsid w:val="0055282D"/>
    <w:rsid w:val="00553090"/>
    <w:rsid w:val="00553E7D"/>
    <w:rsid w:val="005542BD"/>
    <w:rsid w:val="00556489"/>
    <w:rsid w:val="00556EDA"/>
    <w:rsid w:val="00556FC7"/>
    <w:rsid w:val="005573D6"/>
    <w:rsid w:val="0056029F"/>
    <w:rsid w:val="00560779"/>
    <w:rsid w:val="00563CE1"/>
    <w:rsid w:val="0056509F"/>
    <w:rsid w:val="00565326"/>
    <w:rsid w:val="00566186"/>
    <w:rsid w:val="00566E85"/>
    <w:rsid w:val="005703D6"/>
    <w:rsid w:val="00570A0D"/>
    <w:rsid w:val="00570FE3"/>
    <w:rsid w:val="005741BF"/>
    <w:rsid w:val="005754FC"/>
    <w:rsid w:val="005758A0"/>
    <w:rsid w:val="00575EA5"/>
    <w:rsid w:val="00575F9C"/>
    <w:rsid w:val="00576979"/>
    <w:rsid w:val="00577D50"/>
    <w:rsid w:val="00580D85"/>
    <w:rsid w:val="005813AC"/>
    <w:rsid w:val="00582985"/>
    <w:rsid w:val="0058354A"/>
    <w:rsid w:val="00584117"/>
    <w:rsid w:val="0058491A"/>
    <w:rsid w:val="00584BA7"/>
    <w:rsid w:val="0058542B"/>
    <w:rsid w:val="00586CFB"/>
    <w:rsid w:val="00587D29"/>
    <w:rsid w:val="00591072"/>
    <w:rsid w:val="00592B87"/>
    <w:rsid w:val="005934B8"/>
    <w:rsid w:val="00593EF8"/>
    <w:rsid w:val="00594C9D"/>
    <w:rsid w:val="00595931"/>
    <w:rsid w:val="00595C65"/>
    <w:rsid w:val="0059646E"/>
    <w:rsid w:val="005964E5"/>
    <w:rsid w:val="00596992"/>
    <w:rsid w:val="005969E2"/>
    <w:rsid w:val="00597705"/>
    <w:rsid w:val="005A2205"/>
    <w:rsid w:val="005A2449"/>
    <w:rsid w:val="005A2C73"/>
    <w:rsid w:val="005A3E4D"/>
    <w:rsid w:val="005A4FC0"/>
    <w:rsid w:val="005A65B7"/>
    <w:rsid w:val="005A71F7"/>
    <w:rsid w:val="005B0623"/>
    <w:rsid w:val="005B1333"/>
    <w:rsid w:val="005B14E5"/>
    <w:rsid w:val="005B1872"/>
    <w:rsid w:val="005B649F"/>
    <w:rsid w:val="005B7922"/>
    <w:rsid w:val="005B7CEE"/>
    <w:rsid w:val="005C1439"/>
    <w:rsid w:val="005C15DC"/>
    <w:rsid w:val="005C1DEC"/>
    <w:rsid w:val="005C28AE"/>
    <w:rsid w:val="005C36E4"/>
    <w:rsid w:val="005C4FDA"/>
    <w:rsid w:val="005C5C47"/>
    <w:rsid w:val="005C6A41"/>
    <w:rsid w:val="005C7E20"/>
    <w:rsid w:val="005D0320"/>
    <w:rsid w:val="005D0B78"/>
    <w:rsid w:val="005D25D6"/>
    <w:rsid w:val="005D3407"/>
    <w:rsid w:val="005D3941"/>
    <w:rsid w:val="005D411A"/>
    <w:rsid w:val="005D47C3"/>
    <w:rsid w:val="005D4FB3"/>
    <w:rsid w:val="005D5E9D"/>
    <w:rsid w:val="005D5FF7"/>
    <w:rsid w:val="005D6BF3"/>
    <w:rsid w:val="005D6D77"/>
    <w:rsid w:val="005D71F1"/>
    <w:rsid w:val="005E22F9"/>
    <w:rsid w:val="005E2529"/>
    <w:rsid w:val="005E256E"/>
    <w:rsid w:val="005E2F30"/>
    <w:rsid w:val="005E3541"/>
    <w:rsid w:val="005E411E"/>
    <w:rsid w:val="005E560B"/>
    <w:rsid w:val="005E601A"/>
    <w:rsid w:val="005F03D5"/>
    <w:rsid w:val="005F04A5"/>
    <w:rsid w:val="005F158C"/>
    <w:rsid w:val="005F236B"/>
    <w:rsid w:val="005F5D90"/>
    <w:rsid w:val="005F6D85"/>
    <w:rsid w:val="005F77BC"/>
    <w:rsid w:val="00600269"/>
    <w:rsid w:val="0060045E"/>
    <w:rsid w:val="0060138F"/>
    <w:rsid w:val="0060391E"/>
    <w:rsid w:val="0060443D"/>
    <w:rsid w:val="0060486E"/>
    <w:rsid w:val="006062FB"/>
    <w:rsid w:val="00606867"/>
    <w:rsid w:val="006069A5"/>
    <w:rsid w:val="00607419"/>
    <w:rsid w:val="006101AF"/>
    <w:rsid w:val="00612393"/>
    <w:rsid w:val="00612ACF"/>
    <w:rsid w:val="00613E36"/>
    <w:rsid w:val="00614A7A"/>
    <w:rsid w:val="00616B35"/>
    <w:rsid w:val="00616E36"/>
    <w:rsid w:val="00617A30"/>
    <w:rsid w:val="00617F99"/>
    <w:rsid w:val="006215E6"/>
    <w:rsid w:val="0062175A"/>
    <w:rsid w:val="00621B4B"/>
    <w:rsid w:val="0062261D"/>
    <w:rsid w:val="006232F1"/>
    <w:rsid w:val="006233F2"/>
    <w:rsid w:val="00623DDE"/>
    <w:rsid w:val="00624695"/>
    <w:rsid w:val="006249C3"/>
    <w:rsid w:val="00624C27"/>
    <w:rsid w:val="00625D2D"/>
    <w:rsid w:val="006271A4"/>
    <w:rsid w:val="00630138"/>
    <w:rsid w:val="006313FC"/>
    <w:rsid w:val="006314CF"/>
    <w:rsid w:val="00632122"/>
    <w:rsid w:val="006332F2"/>
    <w:rsid w:val="00634AA2"/>
    <w:rsid w:val="00634B17"/>
    <w:rsid w:val="00635F99"/>
    <w:rsid w:val="00637A17"/>
    <w:rsid w:val="00641035"/>
    <w:rsid w:val="00641661"/>
    <w:rsid w:val="00641A2E"/>
    <w:rsid w:val="00644B6F"/>
    <w:rsid w:val="00644FB0"/>
    <w:rsid w:val="006476E6"/>
    <w:rsid w:val="00650EE2"/>
    <w:rsid w:val="006511A4"/>
    <w:rsid w:val="006513E2"/>
    <w:rsid w:val="00651916"/>
    <w:rsid w:val="00651DE7"/>
    <w:rsid w:val="006531C9"/>
    <w:rsid w:val="006535E1"/>
    <w:rsid w:val="00654EFA"/>
    <w:rsid w:val="0065507F"/>
    <w:rsid w:val="0066025E"/>
    <w:rsid w:val="00661D64"/>
    <w:rsid w:val="00662682"/>
    <w:rsid w:val="006639A0"/>
    <w:rsid w:val="00663D7F"/>
    <w:rsid w:val="00664CD0"/>
    <w:rsid w:val="00665D94"/>
    <w:rsid w:val="006668FE"/>
    <w:rsid w:val="00667591"/>
    <w:rsid w:val="0066769F"/>
    <w:rsid w:val="006678AE"/>
    <w:rsid w:val="00667F9F"/>
    <w:rsid w:val="006710E7"/>
    <w:rsid w:val="00671A0B"/>
    <w:rsid w:val="0067210D"/>
    <w:rsid w:val="006725FC"/>
    <w:rsid w:val="00675C81"/>
    <w:rsid w:val="0068034D"/>
    <w:rsid w:val="00681152"/>
    <w:rsid w:val="00682799"/>
    <w:rsid w:val="00682987"/>
    <w:rsid w:val="00682CE5"/>
    <w:rsid w:val="00683D2C"/>
    <w:rsid w:val="006841DC"/>
    <w:rsid w:val="0068468E"/>
    <w:rsid w:val="00685DAD"/>
    <w:rsid w:val="0068615D"/>
    <w:rsid w:val="0068675A"/>
    <w:rsid w:val="006901C1"/>
    <w:rsid w:val="00690810"/>
    <w:rsid w:val="0069106B"/>
    <w:rsid w:val="00691AF2"/>
    <w:rsid w:val="00691CB2"/>
    <w:rsid w:val="00691FE8"/>
    <w:rsid w:val="00694527"/>
    <w:rsid w:val="0069550C"/>
    <w:rsid w:val="00695E44"/>
    <w:rsid w:val="00696D2F"/>
    <w:rsid w:val="00697465"/>
    <w:rsid w:val="00697EB1"/>
    <w:rsid w:val="006A2310"/>
    <w:rsid w:val="006A2706"/>
    <w:rsid w:val="006A498B"/>
    <w:rsid w:val="006A7DA6"/>
    <w:rsid w:val="006B0486"/>
    <w:rsid w:val="006B150C"/>
    <w:rsid w:val="006B1DCE"/>
    <w:rsid w:val="006B2A93"/>
    <w:rsid w:val="006B2EFE"/>
    <w:rsid w:val="006B42B2"/>
    <w:rsid w:val="006B4A0C"/>
    <w:rsid w:val="006B6180"/>
    <w:rsid w:val="006B692B"/>
    <w:rsid w:val="006C1045"/>
    <w:rsid w:val="006C1733"/>
    <w:rsid w:val="006C177A"/>
    <w:rsid w:val="006C1B13"/>
    <w:rsid w:val="006C32C4"/>
    <w:rsid w:val="006C45CE"/>
    <w:rsid w:val="006C6546"/>
    <w:rsid w:val="006C6625"/>
    <w:rsid w:val="006D067F"/>
    <w:rsid w:val="006D07FB"/>
    <w:rsid w:val="006D0E67"/>
    <w:rsid w:val="006D5A67"/>
    <w:rsid w:val="006D762E"/>
    <w:rsid w:val="006D7DFD"/>
    <w:rsid w:val="006E0983"/>
    <w:rsid w:val="006E16D1"/>
    <w:rsid w:val="006E2B6D"/>
    <w:rsid w:val="006E3014"/>
    <w:rsid w:val="006E3C88"/>
    <w:rsid w:val="006E4C1C"/>
    <w:rsid w:val="006E5C79"/>
    <w:rsid w:val="006F027C"/>
    <w:rsid w:val="006F09D8"/>
    <w:rsid w:val="006F1624"/>
    <w:rsid w:val="006F1E28"/>
    <w:rsid w:val="006F3052"/>
    <w:rsid w:val="006F31BD"/>
    <w:rsid w:val="006F3259"/>
    <w:rsid w:val="006F36CB"/>
    <w:rsid w:val="006F3C00"/>
    <w:rsid w:val="006F3F69"/>
    <w:rsid w:val="006F42AC"/>
    <w:rsid w:val="006F5D4A"/>
    <w:rsid w:val="006F78DB"/>
    <w:rsid w:val="00702C42"/>
    <w:rsid w:val="007032D5"/>
    <w:rsid w:val="00704A2E"/>
    <w:rsid w:val="007057AB"/>
    <w:rsid w:val="00705F57"/>
    <w:rsid w:val="00707343"/>
    <w:rsid w:val="007073FB"/>
    <w:rsid w:val="007076CE"/>
    <w:rsid w:val="00710C28"/>
    <w:rsid w:val="00711778"/>
    <w:rsid w:val="00711C08"/>
    <w:rsid w:val="00711CC1"/>
    <w:rsid w:val="00712ED3"/>
    <w:rsid w:val="00714697"/>
    <w:rsid w:val="00714C9E"/>
    <w:rsid w:val="00715651"/>
    <w:rsid w:val="00715A14"/>
    <w:rsid w:val="00717903"/>
    <w:rsid w:val="00717B10"/>
    <w:rsid w:val="00721ACF"/>
    <w:rsid w:val="00724B29"/>
    <w:rsid w:val="00727A78"/>
    <w:rsid w:val="00730A5A"/>
    <w:rsid w:val="00730EDB"/>
    <w:rsid w:val="00731207"/>
    <w:rsid w:val="0073191F"/>
    <w:rsid w:val="0073250B"/>
    <w:rsid w:val="0073404D"/>
    <w:rsid w:val="00734430"/>
    <w:rsid w:val="00734C55"/>
    <w:rsid w:val="00734DBB"/>
    <w:rsid w:val="0073587E"/>
    <w:rsid w:val="00735F4A"/>
    <w:rsid w:val="00736346"/>
    <w:rsid w:val="0074053C"/>
    <w:rsid w:val="007413AE"/>
    <w:rsid w:val="00741589"/>
    <w:rsid w:val="00743544"/>
    <w:rsid w:val="00743D4D"/>
    <w:rsid w:val="00743EB1"/>
    <w:rsid w:val="007443BD"/>
    <w:rsid w:val="0074485F"/>
    <w:rsid w:val="007451A8"/>
    <w:rsid w:val="0074527C"/>
    <w:rsid w:val="00745BF2"/>
    <w:rsid w:val="00745E2B"/>
    <w:rsid w:val="00746757"/>
    <w:rsid w:val="00751ADD"/>
    <w:rsid w:val="007520F6"/>
    <w:rsid w:val="007532C0"/>
    <w:rsid w:val="0075434E"/>
    <w:rsid w:val="00756020"/>
    <w:rsid w:val="00756098"/>
    <w:rsid w:val="00757F3C"/>
    <w:rsid w:val="00761FC6"/>
    <w:rsid w:val="007631E0"/>
    <w:rsid w:val="00763628"/>
    <w:rsid w:val="00763BF3"/>
    <w:rsid w:val="00764F87"/>
    <w:rsid w:val="00766E11"/>
    <w:rsid w:val="00767A6B"/>
    <w:rsid w:val="00767DDB"/>
    <w:rsid w:val="00771094"/>
    <w:rsid w:val="00771421"/>
    <w:rsid w:val="00772E4B"/>
    <w:rsid w:val="007744D5"/>
    <w:rsid w:val="0077459E"/>
    <w:rsid w:val="00775448"/>
    <w:rsid w:val="0077676B"/>
    <w:rsid w:val="0078014A"/>
    <w:rsid w:val="00782539"/>
    <w:rsid w:val="00782782"/>
    <w:rsid w:val="007841E0"/>
    <w:rsid w:val="007863FC"/>
    <w:rsid w:val="007866DC"/>
    <w:rsid w:val="00790EE4"/>
    <w:rsid w:val="00791465"/>
    <w:rsid w:val="00792381"/>
    <w:rsid w:val="0079276A"/>
    <w:rsid w:val="00794AA8"/>
    <w:rsid w:val="007952C4"/>
    <w:rsid w:val="00796986"/>
    <w:rsid w:val="00796F39"/>
    <w:rsid w:val="00796F7A"/>
    <w:rsid w:val="00797A49"/>
    <w:rsid w:val="00797E4E"/>
    <w:rsid w:val="007A1488"/>
    <w:rsid w:val="007A1A81"/>
    <w:rsid w:val="007A2884"/>
    <w:rsid w:val="007A3705"/>
    <w:rsid w:val="007A39B0"/>
    <w:rsid w:val="007A4C61"/>
    <w:rsid w:val="007A692F"/>
    <w:rsid w:val="007A769F"/>
    <w:rsid w:val="007A7AD5"/>
    <w:rsid w:val="007A7BBE"/>
    <w:rsid w:val="007B196E"/>
    <w:rsid w:val="007B1F09"/>
    <w:rsid w:val="007B361F"/>
    <w:rsid w:val="007B566C"/>
    <w:rsid w:val="007B686F"/>
    <w:rsid w:val="007B6BC3"/>
    <w:rsid w:val="007B6CEF"/>
    <w:rsid w:val="007C17AD"/>
    <w:rsid w:val="007C247A"/>
    <w:rsid w:val="007C4731"/>
    <w:rsid w:val="007C546A"/>
    <w:rsid w:val="007D0644"/>
    <w:rsid w:val="007D0A2D"/>
    <w:rsid w:val="007D33A1"/>
    <w:rsid w:val="007D3ACE"/>
    <w:rsid w:val="007D64EC"/>
    <w:rsid w:val="007D7A96"/>
    <w:rsid w:val="007E0040"/>
    <w:rsid w:val="007E040A"/>
    <w:rsid w:val="007E05A2"/>
    <w:rsid w:val="007E1089"/>
    <w:rsid w:val="007E11A7"/>
    <w:rsid w:val="007E1B26"/>
    <w:rsid w:val="007E1F8D"/>
    <w:rsid w:val="007E58D1"/>
    <w:rsid w:val="007E5E24"/>
    <w:rsid w:val="007F0F84"/>
    <w:rsid w:val="007F1E72"/>
    <w:rsid w:val="007F28C0"/>
    <w:rsid w:val="007F2C37"/>
    <w:rsid w:val="007F4798"/>
    <w:rsid w:val="007F597F"/>
    <w:rsid w:val="007F5DE4"/>
    <w:rsid w:val="00800438"/>
    <w:rsid w:val="008019A5"/>
    <w:rsid w:val="008020C2"/>
    <w:rsid w:val="008020CD"/>
    <w:rsid w:val="00803543"/>
    <w:rsid w:val="00805212"/>
    <w:rsid w:val="00806AFC"/>
    <w:rsid w:val="0080750A"/>
    <w:rsid w:val="00810336"/>
    <w:rsid w:val="0081156D"/>
    <w:rsid w:val="00811B30"/>
    <w:rsid w:val="00812D95"/>
    <w:rsid w:val="00813448"/>
    <w:rsid w:val="00814EDE"/>
    <w:rsid w:val="0081612B"/>
    <w:rsid w:val="00816ED1"/>
    <w:rsid w:val="00821D82"/>
    <w:rsid w:val="008230F2"/>
    <w:rsid w:val="00823442"/>
    <w:rsid w:val="00823CFE"/>
    <w:rsid w:val="0082402A"/>
    <w:rsid w:val="008242ED"/>
    <w:rsid w:val="00824334"/>
    <w:rsid w:val="00824FF2"/>
    <w:rsid w:val="008276BB"/>
    <w:rsid w:val="00830F6A"/>
    <w:rsid w:val="00832AD6"/>
    <w:rsid w:val="00832EA6"/>
    <w:rsid w:val="00832FD6"/>
    <w:rsid w:val="0083336E"/>
    <w:rsid w:val="00834066"/>
    <w:rsid w:val="008342B7"/>
    <w:rsid w:val="008343B4"/>
    <w:rsid w:val="008344D0"/>
    <w:rsid w:val="0083602D"/>
    <w:rsid w:val="00836A52"/>
    <w:rsid w:val="00837310"/>
    <w:rsid w:val="00837B9A"/>
    <w:rsid w:val="00837E1F"/>
    <w:rsid w:val="008405CE"/>
    <w:rsid w:val="008405CF"/>
    <w:rsid w:val="0084081B"/>
    <w:rsid w:val="00841726"/>
    <w:rsid w:val="008417D1"/>
    <w:rsid w:val="008426AA"/>
    <w:rsid w:val="0084295A"/>
    <w:rsid w:val="0084393F"/>
    <w:rsid w:val="00846269"/>
    <w:rsid w:val="00851511"/>
    <w:rsid w:val="008536CA"/>
    <w:rsid w:val="008547C2"/>
    <w:rsid w:val="00854A89"/>
    <w:rsid w:val="00854DAC"/>
    <w:rsid w:val="00855355"/>
    <w:rsid w:val="008557C2"/>
    <w:rsid w:val="00855F97"/>
    <w:rsid w:val="00856417"/>
    <w:rsid w:val="008566EC"/>
    <w:rsid w:val="008579B6"/>
    <w:rsid w:val="0086080D"/>
    <w:rsid w:val="0086178D"/>
    <w:rsid w:val="00861853"/>
    <w:rsid w:val="0086273D"/>
    <w:rsid w:val="00862DA3"/>
    <w:rsid w:val="008634DE"/>
    <w:rsid w:val="008647BD"/>
    <w:rsid w:val="00864943"/>
    <w:rsid w:val="008665C4"/>
    <w:rsid w:val="0086751C"/>
    <w:rsid w:val="008677E3"/>
    <w:rsid w:val="00870B41"/>
    <w:rsid w:val="0087195C"/>
    <w:rsid w:val="00872023"/>
    <w:rsid w:val="00873896"/>
    <w:rsid w:val="00873C6E"/>
    <w:rsid w:val="00873EB9"/>
    <w:rsid w:val="00875D5A"/>
    <w:rsid w:val="00875F1E"/>
    <w:rsid w:val="00880351"/>
    <w:rsid w:val="0088070D"/>
    <w:rsid w:val="0088086C"/>
    <w:rsid w:val="0088182F"/>
    <w:rsid w:val="008825BB"/>
    <w:rsid w:val="00882735"/>
    <w:rsid w:val="0088275A"/>
    <w:rsid w:val="00882EFE"/>
    <w:rsid w:val="00885C05"/>
    <w:rsid w:val="00885F6F"/>
    <w:rsid w:val="00886FED"/>
    <w:rsid w:val="00887065"/>
    <w:rsid w:val="00890F28"/>
    <w:rsid w:val="00891C7D"/>
    <w:rsid w:val="00892541"/>
    <w:rsid w:val="0089372D"/>
    <w:rsid w:val="00893E14"/>
    <w:rsid w:val="00894E7B"/>
    <w:rsid w:val="0089533C"/>
    <w:rsid w:val="00895554"/>
    <w:rsid w:val="008957A8"/>
    <w:rsid w:val="00895A54"/>
    <w:rsid w:val="00896B6A"/>
    <w:rsid w:val="008A0454"/>
    <w:rsid w:val="008A1381"/>
    <w:rsid w:val="008A1A60"/>
    <w:rsid w:val="008A3B56"/>
    <w:rsid w:val="008A4281"/>
    <w:rsid w:val="008A537D"/>
    <w:rsid w:val="008A7240"/>
    <w:rsid w:val="008A75F3"/>
    <w:rsid w:val="008A7BFC"/>
    <w:rsid w:val="008A7CF7"/>
    <w:rsid w:val="008A7FAD"/>
    <w:rsid w:val="008B0A53"/>
    <w:rsid w:val="008B100F"/>
    <w:rsid w:val="008B12B1"/>
    <w:rsid w:val="008B1DA6"/>
    <w:rsid w:val="008B3660"/>
    <w:rsid w:val="008B6397"/>
    <w:rsid w:val="008C210D"/>
    <w:rsid w:val="008C3E59"/>
    <w:rsid w:val="008C480D"/>
    <w:rsid w:val="008C48D4"/>
    <w:rsid w:val="008C4C45"/>
    <w:rsid w:val="008C651B"/>
    <w:rsid w:val="008C7138"/>
    <w:rsid w:val="008D0105"/>
    <w:rsid w:val="008D136B"/>
    <w:rsid w:val="008D1F83"/>
    <w:rsid w:val="008D2564"/>
    <w:rsid w:val="008D3C26"/>
    <w:rsid w:val="008D3CE7"/>
    <w:rsid w:val="008D6E8B"/>
    <w:rsid w:val="008E1626"/>
    <w:rsid w:val="008E18D0"/>
    <w:rsid w:val="008E270C"/>
    <w:rsid w:val="008E51D4"/>
    <w:rsid w:val="008E66F8"/>
    <w:rsid w:val="008E74EF"/>
    <w:rsid w:val="008E7904"/>
    <w:rsid w:val="008E7EFA"/>
    <w:rsid w:val="008F051D"/>
    <w:rsid w:val="008F0DD8"/>
    <w:rsid w:val="008F0FC5"/>
    <w:rsid w:val="008F0FD2"/>
    <w:rsid w:val="008F17A3"/>
    <w:rsid w:val="008F4376"/>
    <w:rsid w:val="008F59AF"/>
    <w:rsid w:val="008F5B07"/>
    <w:rsid w:val="008F5E59"/>
    <w:rsid w:val="008F61FC"/>
    <w:rsid w:val="008F74A5"/>
    <w:rsid w:val="00901474"/>
    <w:rsid w:val="009014FD"/>
    <w:rsid w:val="00902AA7"/>
    <w:rsid w:val="00902C55"/>
    <w:rsid w:val="00903496"/>
    <w:rsid w:val="00903A37"/>
    <w:rsid w:val="00903CF4"/>
    <w:rsid w:val="009041F8"/>
    <w:rsid w:val="00904D53"/>
    <w:rsid w:val="00905C49"/>
    <w:rsid w:val="00906C53"/>
    <w:rsid w:val="00906F12"/>
    <w:rsid w:val="0090737A"/>
    <w:rsid w:val="00907E2C"/>
    <w:rsid w:val="00907FBE"/>
    <w:rsid w:val="00910329"/>
    <w:rsid w:val="009118D6"/>
    <w:rsid w:val="0091491D"/>
    <w:rsid w:val="0091517B"/>
    <w:rsid w:val="00917061"/>
    <w:rsid w:val="00920BA8"/>
    <w:rsid w:val="00920FD5"/>
    <w:rsid w:val="00921597"/>
    <w:rsid w:val="00921696"/>
    <w:rsid w:val="009233DF"/>
    <w:rsid w:val="00923659"/>
    <w:rsid w:val="0092525C"/>
    <w:rsid w:val="009257EE"/>
    <w:rsid w:val="009262E3"/>
    <w:rsid w:val="00927E7F"/>
    <w:rsid w:val="009300E6"/>
    <w:rsid w:val="00931856"/>
    <w:rsid w:val="00931957"/>
    <w:rsid w:val="00932259"/>
    <w:rsid w:val="0093250B"/>
    <w:rsid w:val="0093440F"/>
    <w:rsid w:val="00935CD6"/>
    <w:rsid w:val="00937B2D"/>
    <w:rsid w:val="00937F6E"/>
    <w:rsid w:val="00940225"/>
    <w:rsid w:val="009405D3"/>
    <w:rsid w:val="00941EB2"/>
    <w:rsid w:val="009429D4"/>
    <w:rsid w:val="0094300A"/>
    <w:rsid w:val="009433F4"/>
    <w:rsid w:val="00943D4D"/>
    <w:rsid w:val="00944464"/>
    <w:rsid w:val="00944E53"/>
    <w:rsid w:val="00945BC4"/>
    <w:rsid w:val="00946D1A"/>
    <w:rsid w:val="00947D47"/>
    <w:rsid w:val="009503FE"/>
    <w:rsid w:val="009519B5"/>
    <w:rsid w:val="00952753"/>
    <w:rsid w:val="009527F0"/>
    <w:rsid w:val="0095291D"/>
    <w:rsid w:val="00954455"/>
    <w:rsid w:val="00954778"/>
    <w:rsid w:val="0095687B"/>
    <w:rsid w:val="00957730"/>
    <w:rsid w:val="00960CDB"/>
    <w:rsid w:val="00962E0E"/>
    <w:rsid w:val="00964882"/>
    <w:rsid w:val="009648F1"/>
    <w:rsid w:val="00964C44"/>
    <w:rsid w:val="00964DFA"/>
    <w:rsid w:val="0096634B"/>
    <w:rsid w:val="00966B45"/>
    <w:rsid w:val="00970692"/>
    <w:rsid w:val="00971166"/>
    <w:rsid w:val="0097136D"/>
    <w:rsid w:val="00971D2F"/>
    <w:rsid w:val="009722AD"/>
    <w:rsid w:val="009737E6"/>
    <w:rsid w:val="00973801"/>
    <w:rsid w:val="0097492C"/>
    <w:rsid w:val="00974C17"/>
    <w:rsid w:val="00974E2D"/>
    <w:rsid w:val="00975DB5"/>
    <w:rsid w:val="00976DCD"/>
    <w:rsid w:val="00976F0D"/>
    <w:rsid w:val="0097797A"/>
    <w:rsid w:val="0098066C"/>
    <w:rsid w:val="00981292"/>
    <w:rsid w:val="009812F2"/>
    <w:rsid w:val="009814B0"/>
    <w:rsid w:val="00981871"/>
    <w:rsid w:val="00984181"/>
    <w:rsid w:val="0098571F"/>
    <w:rsid w:val="00987780"/>
    <w:rsid w:val="0099005D"/>
    <w:rsid w:val="00991355"/>
    <w:rsid w:val="00991A9F"/>
    <w:rsid w:val="00992504"/>
    <w:rsid w:val="00992B0D"/>
    <w:rsid w:val="009946AA"/>
    <w:rsid w:val="009949C6"/>
    <w:rsid w:val="009965F7"/>
    <w:rsid w:val="009969E0"/>
    <w:rsid w:val="00996B5C"/>
    <w:rsid w:val="00996F3E"/>
    <w:rsid w:val="009A0545"/>
    <w:rsid w:val="009A0B4E"/>
    <w:rsid w:val="009A1EC2"/>
    <w:rsid w:val="009A2220"/>
    <w:rsid w:val="009A2D20"/>
    <w:rsid w:val="009A336F"/>
    <w:rsid w:val="009A3503"/>
    <w:rsid w:val="009A36AF"/>
    <w:rsid w:val="009A3E97"/>
    <w:rsid w:val="009A591E"/>
    <w:rsid w:val="009A77E7"/>
    <w:rsid w:val="009B06B1"/>
    <w:rsid w:val="009B1B5C"/>
    <w:rsid w:val="009B306D"/>
    <w:rsid w:val="009B5983"/>
    <w:rsid w:val="009B76D5"/>
    <w:rsid w:val="009B7B65"/>
    <w:rsid w:val="009C052D"/>
    <w:rsid w:val="009C09A0"/>
    <w:rsid w:val="009C1358"/>
    <w:rsid w:val="009C2135"/>
    <w:rsid w:val="009C323D"/>
    <w:rsid w:val="009C36F1"/>
    <w:rsid w:val="009C3B51"/>
    <w:rsid w:val="009C3E3C"/>
    <w:rsid w:val="009C4E0E"/>
    <w:rsid w:val="009C4F54"/>
    <w:rsid w:val="009C5271"/>
    <w:rsid w:val="009C63A4"/>
    <w:rsid w:val="009C63D5"/>
    <w:rsid w:val="009C6B5F"/>
    <w:rsid w:val="009C787C"/>
    <w:rsid w:val="009C7FC6"/>
    <w:rsid w:val="009D00D9"/>
    <w:rsid w:val="009D161A"/>
    <w:rsid w:val="009D1693"/>
    <w:rsid w:val="009D1BCC"/>
    <w:rsid w:val="009D3D26"/>
    <w:rsid w:val="009D46C5"/>
    <w:rsid w:val="009D4AB7"/>
    <w:rsid w:val="009D5302"/>
    <w:rsid w:val="009D62F3"/>
    <w:rsid w:val="009D754F"/>
    <w:rsid w:val="009D7597"/>
    <w:rsid w:val="009E1896"/>
    <w:rsid w:val="009E1980"/>
    <w:rsid w:val="009E1ACC"/>
    <w:rsid w:val="009E20B0"/>
    <w:rsid w:val="009E2833"/>
    <w:rsid w:val="009E2BB3"/>
    <w:rsid w:val="009E325E"/>
    <w:rsid w:val="009E3484"/>
    <w:rsid w:val="009E569F"/>
    <w:rsid w:val="009E5FDA"/>
    <w:rsid w:val="009E646F"/>
    <w:rsid w:val="009E6EA9"/>
    <w:rsid w:val="009E747B"/>
    <w:rsid w:val="009E776E"/>
    <w:rsid w:val="009F02E8"/>
    <w:rsid w:val="009F11E8"/>
    <w:rsid w:val="009F1760"/>
    <w:rsid w:val="009F4396"/>
    <w:rsid w:val="009F5BAA"/>
    <w:rsid w:val="009F5D93"/>
    <w:rsid w:val="009F6F14"/>
    <w:rsid w:val="009F7433"/>
    <w:rsid w:val="00A00F3C"/>
    <w:rsid w:val="00A0144A"/>
    <w:rsid w:val="00A01C19"/>
    <w:rsid w:val="00A02844"/>
    <w:rsid w:val="00A034F2"/>
    <w:rsid w:val="00A03E67"/>
    <w:rsid w:val="00A042CC"/>
    <w:rsid w:val="00A05071"/>
    <w:rsid w:val="00A06BF5"/>
    <w:rsid w:val="00A07157"/>
    <w:rsid w:val="00A076B8"/>
    <w:rsid w:val="00A07E9C"/>
    <w:rsid w:val="00A11066"/>
    <w:rsid w:val="00A1196D"/>
    <w:rsid w:val="00A11A36"/>
    <w:rsid w:val="00A11B5F"/>
    <w:rsid w:val="00A122F8"/>
    <w:rsid w:val="00A1243E"/>
    <w:rsid w:val="00A12914"/>
    <w:rsid w:val="00A12EEB"/>
    <w:rsid w:val="00A14173"/>
    <w:rsid w:val="00A167B8"/>
    <w:rsid w:val="00A17060"/>
    <w:rsid w:val="00A17ED7"/>
    <w:rsid w:val="00A20492"/>
    <w:rsid w:val="00A2185E"/>
    <w:rsid w:val="00A21919"/>
    <w:rsid w:val="00A26381"/>
    <w:rsid w:val="00A2657F"/>
    <w:rsid w:val="00A31C08"/>
    <w:rsid w:val="00A32889"/>
    <w:rsid w:val="00A331C2"/>
    <w:rsid w:val="00A34948"/>
    <w:rsid w:val="00A363B2"/>
    <w:rsid w:val="00A36A40"/>
    <w:rsid w:val="00A36D42"/>
    <w:rsid w:val="00A414A1"/>
    <w:rsid w:val="00A41BC0"/>
    <w:rsid w:val="00A42893"/>
    <w:rsid w:val="00A42906"/>
    <w:rsid w:val="00A43E5D"/>
    <w:rsid w:val="00A45490"/>
    <w:rsid w:val="00A46E6A"/>
    <w:rsid w:val="00A4723D"/>
    <w:rsid w:val="00A47250"/>
    <w:rsid w:val="00A47F27"/>
    <w:rsid w:val="00A50CA3"/>
    <w:rsid w:val="00A5180C"/>
    <w:rsid w:val="00A521EE"/>
    <w:rsid w:val="00A53BED"/>
    <w:rsid w:val="00A5427C"/>
    <w:rsid w:val="00A57BBF"/>
    <w:rsid w:val="00A603C3"/>
    <w:rsid w:val="00A61267"/>
    <w:rsid w:val="00A63829"/>
    <w:rsid w:val="00A64250"/>
    <w:rsid w:val="00A64CAF"/>
    <w:rsid w:val="00A64FD8"/>
    <w:rsid w:val="00A6550F"/>
    <w:rsid w:val="00A6688F"/>
    <w:rsid w:val="00A66B2E"/>
    <w:rsid w:val="00A67C97"/>
    <w:rsid w:val="00A711F9"/>
    <w:rsid w:val="00A71783"/>
    <w:rsid w:val="00A719FE"/>
    <w:rsid w:val="00A748BC"/>
    <w:rsid w:val="00A74937"/>
    <w:rsid w:val="00A75812"/>
    <w:rsid w:val="00A75B8E"/>
    <w:rsid w:val="00A80111"/>
    <w:rsid w:val="00A81DF8"/>
    <w:rsid w:val="00A82B55"/>
    <w:rsid w:val="00A82BF6"/>
    <w:rsid w:val="00A83F39"/>
    <w:rsid w:val="00A84210"/>
    <w:rsid w:val="00A853CC"/>
    <w:rsid w:val="00A85465"/>
    <w:rsid w:val="00A866AE"/>
    <w:rsid w:val="00A86933"/>
    <w:rsid w:val="00A878A5"/>
    <w:rsid w:val="00A87D38"/>
    <w:rsid w:val="00A92225"/>
    <w:rsid w:val="00A92705"/>
    <w:rsid w:val="00A9381F"/>
    <w:rsid w:val="00A9417A"/>
    <w:rsid w:val="00A958D5"/>
    <w:rsid w:val="00A95B9A"/>
    <w:rsid w:val="00A95C76"/>
    <w:rsid w:val="00A95CB4"/>
    <w:rsid w:val="00A976E6"/>
    <w:rsid w:val="00AA00D8"/>
    <w:rsid w:val="00AA02DF"/>
    <w:rsid w:val="00AA0337"/>
    <w:rsid w:val="00AA20EC"/>
    <w:rsid w:val="00AA32DA"/>
    <w:rsid w:val="00AA3C62"/>
    <w:rsid w:val="00AA45A4"/>
    <w:rsid w:val="00AA4712"/>
    <w:rsid w:val="00AA4FAB"/>
    <w:rsid w:val="00AA65F4"/>
    <w:rsid w:val="00AA7808"/>
    <w:rsid w:val="00AA7A71"/>
    <w:rsid w:val="00AB01B3"/>
    <w:rsid w:val="00AB1B2B"/>
    <w:rsid w:val="00AB3E84"/>
    <w:rsid w:val="00AB43EE"/>
    <w:rsid w:val="00AB4F07"/>
    <w:rsid w:val="00AB5121"/>
    <w:rsid w:val="00AB51EA"/>
    <w:rsid w:val="00AB6822"/>
    <w:rsid w:val="00AB6F0C"/>
    <w:rsid w:val="00AB73F3"/>
    <w:rsid w:val="00AC0FC1"/>
    <w:rsid w:val="00AC1A8D"/>
    <w:rsid w:val="00AC1EC5"/>
    <w:rsid w:val="00AC2076"/>
    <w:rsid w:val="00AC4658"/>
    <w:rsid w:val="00AC4AC4"/>
    <w:rsid w:val="00AC4B01"/>
    <w:rsid w:val="00AC7F40"/>
    <w:rsid w:val="00AC7FDF"/>
    <w:rsid w:val="00AD0544"/>
    <w:rsid w:val="00AD061A"/>
    <w:rsid w:val="00AD1C15"/>
    <w:rsid w:val="00AD35F0"/>
    <w:rsid w:val="00AD5D92"/>
    <w:rsid w:val="00AD6B3C"/>
    <w:rsid w:val="00AE099A"/>
    <w:rsid w:val="00AE0D35"/>
    <w:rsid w:val="00AE0E91"/>
    <w:rsid w:val="00AE151F"/>
    <w:rsid w:val="00AE154F"/>
    <w:rsid w:val="00AE18E1"/>
    <w:rsid w:val="00AE1EE1"/>
    <w:rsid w:val="00AE207E"/>
    <w:rsid w:val="00AE2782"/>
    <w:rsid w:val="00AE2C20"/>
    <w:rsid w:val="00AE3DAE"/>
    <w:rsid w:val="00AE412E"/>
    <w:rsid w:val="00AE4248"/>
    <w:rsid w:val="00AE5E46"/>
    <w:rsid w:val="00AF05EC"/>
    <w:rsid w:val="00AF252E"/>
    <w:rsid w:val="00AF2AE0"/>
    <w:rsid w:val="00AF399D"/>
    <w:rsid w:val="00AF3D6B"/>
    <w:rsid w:val="00AF4917"/>
    <w:rsid w:val="00AF4DC9"/>
    <w:rsid w:val="00AF6292"/>
    <w:rsid w:val="00AF680F"/>
    <w:rsid w:val="00AF6DF0"/>
    <w:rsid w:val="00B00514"/>
    <w:rsid w:val="00B00575"/>
    <w:rsid w:val="00B00C04"/>
    <w:rsid w:val="00B01C2D"/>
    <w:rsid w:val="00B01FAF"/>
    <w:rsid w:val="00B03017"/>
    <w:rsid w:val="00B04260"/>
    <w:rsid w:val="00B04A4E"/>
    <w:rsid w:val="00B0511A"/>
    <w:rsid w:val="00B05982"/>
    <w:rsid w:val="00B05D39"/>
    <w:rsid w:val="00B100BE"/>
    <w:rsid w:val="00B11284"/>
    <w:rsid w:val="00B11F80"/>
    <w:rsid w:val="00B13A6B"/>
    <w:rsid w:val="00B14FF9"/>
    <w:rsid w:val="00B15D9A"/>
    <w:rsid w:val="00B160F4"/>
    <w:rsid w:val="00B1673B"/>
    <w:rsid w:val="00B1684F"/>
    <w:rsid w:val="00B1722F"/>
    <w:rsid w:val="00B17CCB"/>
    <w:rsid w:val="00B207AC"/>
    <w:rsid w:val="00B20D36"/>
    <w:rsid w:val="00B21512"/>
    <w:rsid w:val="00B21FA2"/>
    <w:rsid w:val="00B235FF"/>
    <w:rsid w:val="00B24486"/>
    <w:rsid w:val="00B24846"/>
    <w:rsid w:val="00B26963"/>
    <w:rsid w:val="00B26AA4"/>
    <w:rsid w:val="00B30BDA"/>
    <w:rsid w:val="00B30C98"/>
    <w:rsid w:val="00B32AE8"/>
    <w:rsid w:val="00B3323A"/>
    <w:rsid w:val="00B34ECD"/>
    <w:rsid w:val="00B35DC5"/>
    <w:rsid w:val="00B36696"/>
    <w:rsid w:val="00B418D6"/>
    <w:rsid w:val="00B420D2"/>
    <w:rsid w:val="00B446F9"/>
    <w:rsid w:val="00B46ADF"/>
    <w:rsid w:val="00B500CB"/>
    <w:rsid w:val="00B5020A"/>
    <w:rsid w:val="00B50382"/>
    <w:rsid w:val="00B512A3"/>
    <w:rsid w:val="00B51F04"/>
    <w:rsid w:val="00B53331"/>
    <w:rsid w:val="00B53DB6"/>
    <w:rsid w:val="00B54405"/>
    <w:rsid w:val="00B54958"/>
    <w:rsid w:val="00B559B2"/>
    <w:rsid w:val="00B56321"/>
    <w:rsid w:val="00B565D4"/>
    <w:rsid w:val="00B56BAF"/>
    <w:rsid w:val="00B56D13"/>
    <w:rsid w:val="00B56D2F"/>
    <w:rsid w:val="00B56DA8"/>
    <w:rsid w:val="00B57BF8"/>
    <w:rsid w:val="00B60E51"/>
    <w:rsid w:val="00B61677"/>
    <w:rsid w:val="00B63F7F"/>
    <w:rsid w:val="00B6537F"/>
    <w:rsid w:val="00B65433"/>
    <w:rsid w:val="00B655D8"/>
    <w:rsid w:val="00B65A2F"/>
    <w:rsid w:val="00B65D0C"/>
    <w:rsid w:val="00B65DEE"/>
    <w:rsid w:val="00B673D7"/>
    <w:rsid w:val="00B67EAF"/>
    <w:rsid w:val="00B71571"/>
    <w:rsid w:val="00B715B1"/>
    <w:rsid w:val="00B748E5"/>
    <w:rsid w:val="00B75C4F"/>
    <w:rsid w:val="00B7619E"/>
    <w:rsid w:val="00B77677"/>
    <w:rsid w:val="00B77BF3"/>
    <w:rsid w:val="00B81698"/>
    <w:rsid w:val="00B83257"/>
    <w:rsid w:val="00B8381D"/>
    <w:rsid w:val="00B84964"/>
    <w:rsid w:val="00B849F3"/>
    <w:rsid w:val="00B85F87"/>
    <w:rsid w:val="00B86B4C"/>
    <w:rsid w:val="00B9092D"/>
    <w:rsid w:val="00B91527"/>
    <w:rsid w:val="00B92470"/>
    <w:rsid w:val="00B92584"/>
    <w:rsid w:val="00B929D1"/>
    <w:rsid w:val="00B935F3"/>
    <w:rsid w:val="00B93AC6"/>
    <w:rsid w:val="00B93E44"/>
    <w:rsid w:val="00B94527"/>
    <w:rsid w:val="00B95349"/>
    <w:rsid w:val="00B955C0"/>
    <w:rsid w:val="00B95B9C"/>
    <w:rsid w:val="00B961E2"/>
    <w:rsid w:val="00B96D1A"/>
    <w:rsid w:val="00B97608"/>
    <w:rsid w:val="00BA0067"/>
    <w:rsid w:val="00BA0F9A"/>
    <w:rsid w:val="00BA2179"/>
    <w:rsid w:val="00BA3220"/>
    <w:rsid w:val="00BA3492"/>
    <w:rsid w:val="00BA65AC"/>
    <w:rsid w:val="00BB1FBF"/>
    <w:rsid w:val="00BB2985"/>
    <w:rsid w:val="00BB4314"/>
    <w:rsid w:val="00BC0A20"/>
    <w:rsid w:val="00BC21A0"/>
    <w:rsid w:val="00BC4EF3"/>
    <w:rsid w:val="00BC76F8"/>
    <w:rsid w:val="00BC77C0"/>
    <w:rsid w:val="00BD0B25"/>
    <w:rsid w:val="00BD0D0E"/>
    <w:rsid w:val="00BD234D"/>
    <w:rsid w:val="00BD2561"/>
    <w:rsid w:val="00BD5DCD"/>
    <w:rsid w:val="00BD616D"/>
    <w:rsid w:val="00BD6331"/>
    <w:rsid w:val="00BD6C4D"/>
    <w:rsid w:val="00BD7F9E"/>
    <w:rsid w:val="00BE0997"/>
    <w:rsid w:val="00BE0E84"/>
    <w:rsid w:val="00BE1907"/>
    <w:rsid w:val="00BE1A97"/>
    <w:rsid w:val="00BE22CC"/>
    <w:rsid w:val="00BE3AF3"/>
    <w:rsid w:val="00BE485B"/>
    <w:rsid w:val="00BE6A74"/>
    <w:rsid w:val="00BE7D08"/>
    <w:rsid w:val="00BF01E2"/>
    <w:rsid w:val="00BF0840"/>
    <w:rsid w:val="00BF0DFF"/>
    <w:rsid w:val="00BF22B8"/>
    <w:rsid w:val="00BF2603"/>
    <w:rsid w:val="00BF377F"/>
    <w:rsid w:val="00BF51CE"/>
    <w:rsid w:val="00BF5568"/>
    <w:rsid w:val="00BF5E37"/>
    <w:rsid w:val="00BF6541"/>
    <w:rsid w:val="00BF736D"/>
    <w:rsid w:val="00C01A0D"/>
    <w:rsid w:val="00C028D9"/>
    <w:rsid w:val="00C036E4"/>
    <w:rsid w:val="00C038B8"/>
    <w:rsid w:val="00C03B35"/>
    <w:rsid w:val="00C04802"/>
    <w:rsid w:val="00C06574"/>
    <w:rsid w:val="00C06F31"/>
    <w:rsid w:val="00C11EE9"/>
    <w:rsid w:val="00C12B8C"/>
    <w:rsid w:val="00C155D9"/>
    <w:rsid w:val="00C155E2"/>
    <w:rsid w:val="00C15958"/>
    <w:rsid w:val="00C17F63"/>
    <w:rsid w:val="00C2211D"/>
    <w:rsid w:val="00C22C9E"/>
    <w:rsid w:val="00C23216"/>
    <w:rsid w:val="00C2344F"/>
    <w:rsid w:val="00C2403B"/>
    <w:rsid w:val="00C245F9"/>
    <w:rsid w:val="00C246F2"/>
    <w:rsid w:val="00C26707"/>
    <w:rsid w:val="00C26CF9"/>
    <w:rsid w:val="00C27719"/>
    <w:rsid w:val="00C27877"/>
    <w:rsid w:val="00C30E81"/>
    <w:rsid w:val="00C31BCD"/>
    <w:rsid w:val="00C320EB"/>
    <w:rsid w:val="00C32799"/>
    <w:rsid w:val="00C329ED"/>
    <w:rsid w:val="00C32F7B"/>
    <w:rsid w:val="00C333B3"/>
    <w:rsid w:val="00C33845"/>
    <w:rsid w:val="00C34E6D"/>
    <w:rsid w:val="00C3513F"/>
    <w:rsid w:val="00C355AA"/>
    <w:rsid w:val="00C36223"/>
    <w:rsid w:val="00C36901"/>
    <w:rsid w:val="00C40725"/>
    <w:rsid w:val="00C40A15"/>
    <w:rsid w:val="00C4207E"/>
    <w:rsid w:val="00C451A3"/>
    <w:rsid w:val="00C4577E"/>
    <w:rsid w:val="00C50C8F"/>
    <w:rsid w:val="00C50D41"/>
    <w:rsid w:val="00C51156"/>
    <w:rsid w:val="00C53FD7"/>
    <w:rsid w:val="00C55C61"/>
    <w:rsid w:val="00C57047"/>
    <w:rsid w:val="00C63E22"/>
    <w:rsid w:val="00C64F44"/>
    <w:rsid w:val="00C650ED"/>
    <w:rsid w:val="00C65132"/>
    <w:rsid w:val="00C65F6A"/>
    <w:rsid w:val="00C67F3E"/>
    <w:rsid w:val="00C70BE8"/>
    <w:rsid w:val="00C70CD5"/>
    <w:rsid w:val="00C7194E"/>
    <w:rsid w:val="00C7216F"/>
    <w:rsid w:val="00C72EBD"/>
    <w:rsid w:val="00C730E4"/>
    <w:rsid w:val="00C73BB8"/>
    <w:rsid w:val="00C74CC5"/>
    <w:rsid w:val="00C755E9"/>
    <w:rsid w:val="00C76B48"/>
    <w:rsid w:val="00C76CC4"/>
    <w:rsid w:val="00C77815"/>
    <w:rsid w:val="00C81100"/>
    <w:rsid w:val="00C8111D"/>
    <w:rsid w:val="00C823C5"/>
    <w:rsid w:val="00C82CD1"/>
    <w:rsid w:val="00C82D42"/>
    <w:rsid w:val="00C8322A"/>
    <w:rsid w:val="00C83583"/>
    <w:rsid w:val="00C83ECC"/>
    <w:rsid w:val="00C84B12"/>
    <w:rsid w:val="00C85239"/>
    <w:rsid w:val="00C869BC"/>
    <w:rsid w:val="00C8737E"/>
    <w:rsid w:val="00C87455"/>
    <w:rsid w:val="00C90444"/>
    <w:rsid w:val="00C9243B"/>
    <w:rsid w:val="00C95011"/>
    <w:rsid w:val="00C953C0"/>
    <w:rsid w:val="00C96E5A"/>
    <w:rsid w:val="00C97ACC"/>
    <w:rsid w:val="00CA056D"/>
    <w:rsid w:val="00CA181F"/>
    <w:rsid w:val="00CA22C7"/>
    <w:rsid w:val="00CA26CB"/>
    <w:rsid w:val="00CA2A54"/>
    <w:rsid w:val="00CA3219"/>
    <w:rsid w:val="00CA4855"/>
    <w:rsid w:val="00CA519C"/>
    <w:rsid w:val="00CA6DB4"/>
    <w:rsid w:val="00CB01EB"/>
    <w:rsid w:val="00CB0DFA"/>
    <w:rsid w:val="00CB13D1"/>
    <w:rsid w:val="00CB250C"/>
    <w:rsid w:val="00CB34D5"/>
    <w:rsid w:val="00CB352B"/>
    <w:rsid w:val="00CB37E5"/>
    <w:rsid w:val="00CB4285"/>
    <w:rsid w:val="00CB6CB0"/>
    <w:rsid w:val="00CB73CA"/>
    <w:rsid w:val="00CB7DD9"/>
    <w:rsid w:val="00CC06B8"/>
    <w:rsid w:val="00CC1252"/>
    <w:rsid w:val="00CC134C"/>
    <w:rsid w:val="00CC36F9"/>
    <w:rsid w:val="00CC3E8F"/>
    <w:rsid w:val="00CC77E4"/>
    <w:rsid w:val="00CC7D84"/>
    <w:rsid w:val="00CD0A41"/>
    <w:rsid w:val="00CD0BA2"/>
    <w:rsid w:val="00CD18DE"/>
    <w:rsid w:val="00CD27CC"/>
    <w:rsid w:val="00CD2E30"/>
    <w:rsid w:val="00CD515A"/>
    <w:rsid w:val="00CD55A2"/>
    <w:rsid w:val="00CD5B58"/>
    <w:rsid w:val="00CD6256"/>
    <w:rsid w:val="00CD643B"/>
    <w:rsid w:val="00CD7B7F"/>
    <w:rsid w:val="00CD7EA0"/>
    <w:rsid w:val="00CE0D42"/>
    <w:rsid w:val="00CE19D1"/>
    <w:rsid w:val="00CE23EF"/>
    <w:rsid w:val="00CE6197"/>
    <w:rsid w:val="00CE6490"/>
    <w:rsid w:val="00CE6BEE"/>
    <w:rsid w:val="00CE702E"/>
    <w:rsid w:val="00CE7723"/>
    <w:rsid w:val="00CF088A"/>
    <w:rsid w:val="00CF1AEC"/>
    <w:rsid w:val="00CF2756"/>
    <w:rsid w:val="00CF38F2"/>
    <w:rsid w:val="00CF43ED"/>
    <w:rsid w:val="00CF52E4"/>
    <w:rsid w:val="00CF5CD7"/>
    <w:rsid w:val="00CF6CDD"/>
    <w:rsid w:val="00CF79DF"/>
    <w:rsid w:val="00D00702"/>
    <w:rsid w:val="00D0191E"/>
    <w:rsid w:val="00D01E61"/>
    <w:rsid w:val="00D02296"/>
    <w:rsid w:val="00D02B99"/>
    <w:rsid w:val="00D0306C"/>
    <w:rsid w:val="00D034FA"/>
    <w:rsid w:val="00D03AA9"/>
    <w:rsid w:val="00D04FFC"/>
    <w:rsid w:val="00D05957"/>
    <w:rsid w:val="00D06027"/>
    <w:rsid w:val="00D0751A"/>
    <w:rsid w:val="00D078F8"/>
    <w:rsid w:val="00D07D25"/>
    <w:rsid w:val="00D110F0"/>
    <w:rsid w:val="00D116BA"/>
    <w:rsid w:val="00D12852"/>
    <w:rsid w:val="00D13010"/>
    <w:rsid w:val="00D133F0"/>
    <w:rsid w:val="00D143ED"/>
    <w:rsid w:val="00D14C65"/>
    <w:rsid w:val="00D16C5A"/>
    <w:rsid w:val="00D16DAA"/>
    <w:rsid w:val="00D17E12"/>
    <w:rsid w:val="00D20F59"/>
    <w:rsid w:val="00D21B84"/>
    <w:rsid w:val="00D22983"/>
    <w:rsid w:val="00D25359"/>
    <w:rsid w:val="00D25E7D"/>
    <w:rsid w:val="00D261EA"/>
    <w:rsid w:val="00D26D6A"/>
    <w:rsid w:val="00D27732"/>
    <w:rsid w:val="00D27842"/>
    <w:rsid w:val="00D30628"/>
    <w:rsid w:val="00D30CEE"/>
    <w:rsid w:val="00D31D6C"/>
    <w:rsid w:val="00D32299"/>
    <w:rsid w:val="00D32B3D"/>
    <w:rsid w:val="00D33C8D"/>
    <w:rsid w:val="00D34D49"/>
    <w:rsid w:val="00D3574B"/>
    <w:rsid w:val="00D37148"/>
    <w:rsid w:val="00D37A00"/>
    <w:rsid w:val="00D40860"/>
    <w:rsid w:val="00D4280D"/>
    <w:rsid w:val="00D42B76"/>
    <w:rsid w:val="00D43787"/>
    <w:rsid w:val="00D447D8"/>
    <w:rsid w:val="00D447FF"/>
    <w:rsid w:val="00D45006"/>
    <w:rsid w:val="00D45082"/>
    <w:rsid w:val="00D450B5"/>
    <w:rsid w:val="00D45623"/>
    <w:rsid w:val="00D45651"/>
    <w:rsid w:val="00D45942"/>
    <w:rsid w:val="00D45968"/>
    <w:rsid w:val="00D468AF"/>
    <w:rsid w:val="00D470FA"/>
    <w:rsid w:val="00D472B2"/>
    <w:rsid w:val="00D47F57"/>
    <w:rsid w:val="00D50983"/>
    <w:rsid w:val="00D50AE5"/>
    <w:rsid w:val="00D5192A"/>
    <w:rsid w:val="00D52347"/>
    <w:rsid w:val="00D53B35"/>
    <w:rsid w:val="00D5648F"/>
    <w:rsid w:val="00D56D45"/>
    <w:rsid w:val="00D56E3B"/>
    <w:rsid w:val="00D57CC2"/>
    <w:rsid w:val="00D616EC"/>
    <w:rsid w:val="00D625B8"/>
    <w:rsid w:val="00D648BA"/>
    <w:rsid w:val="00D66709"/>
    <w:rsid w:val="00D66A4D"/>
    <w:rsid w:val="00D67324"/>
    <w:rsid w:val="00D70C9F"/>
    <w:rsid w:val="00D724E1"/>
    <w:rsid w:val="00D73156"/>
    <w:rsid w:val="00D762E6"/>
    <w:rsid w:val="00D76A95"/>
    <w:rsid w:val="00D801E1"/>
    <w:rsid w:val="00D809C1"/>
    <w:rsid w:val="00D80B56"/>
    <w:rsid w:val="00D80BFA"/>
    <w:rsid w:val="00D82515"/>
    <w:rsid w:val="00D82682"/>
    <w:rsid w:val="00D82E21"/>
    <w:rsid w:val="00D840E2"/>
    <w:rsid w:val="00D8414F"/>
    <w:rsid w:val="00D846FE"/>
    <w:rsid w:val="00D860CB"/>
    <w:rsid w:val="00D87C68"/>
    <w:rsid w:val="00D92783"/>
    <w:rsid w:val="00D92B70"/>
    <w:rsid w:val="00D92D3B"/>
    <w:rsid w:val="00D9456A"/>
    <w:rsid w:val="00D94B4E"/>
    <w:rsid w:val="00D94DBD"/>
    <w:rsid w:val="00D95FAD"/>
    <w:rsid w:val="00D964CD"/>
    <w:rsid w:val="00D976D9"/>
    <w:rsid w:val="00DA00BB"/>
    <w:rsid w:val="00DA089B"/>
    <w:rsid w:val="00DA38F9"/>
    <w:rsid w:val="00DA3BAE"/>
    <w:rsid w:val="00DA776D"/>
    <w:rsid w:val="00DA7AAB"/>
    <w:rsid w:val="00DA7F99"/>
    <w:rsid w:val="00DB0209"/>
    <w:rsid w:val="00DB0815"/>
    <w:rsid w:val="00DB0C6F"/>
    <w:rsid w:val="00DB1859"/>
    <w:rsid w:val="00DB34DF"/>
    <w:rsid w:val="00DB3ABE"/>
    <w:rsid w:val="00DB6676"/>
    <w:rsid w:val="00DB7910"/>
    <w:rsid w:val="00DC0F66"/>
    <w:rsid w:val="00DC2ABE"/>
    <w:rsid w:val="00DC313D"/>
    <w:rsid w:val="00DC4F24"/>
    <w:rsid w:val="00DC59DE"/>
    <w:rsid w:val="00DC7217"/>
    <w:rsid w:val="00DC79BB"/>
    <w:rsid w:val="00DD11EB"/>
    <w:rsid w:val="00DD1B8B"/>
    <w:rsid w:val="00DD1F32"/>
    <w:rsid w:val="00DD23D6"/>
    <w:rsid w:val="00DD2D5F"/>
    <w:rsid w:val="00DD4855"/>
    <w:rsid w:val="00DD5378"/>
    <w:rsid w:val="00DD75C4"/>
    <w:rsid w:val="00DE10B9"/>
    <w:rsid w:val="00DE1449"/>
    <w:rsid w:val="00DE1FBA"/>
    <w:rsid w:val="00DE4550"/>
    <w:rsid w:val="00DE55DE"/>
    <w:rsid w:val="00DE5968"/>
    <w:rsid w:val="00DE5A73"/>
    <w:rsid w:val="00DE618E"/>
    <w:rsid w:val="00DE6A2A"/>
    <w:rsid w:val="00DF1227"/>
    <w:rsid w:val="00DF131F"/>
    <w:rsid w:val="00DF2C98"/>
    <w:rsid w:val="00DF73A5"/>
    <w:rsid w:val="00DF77FD"/>
    <w:rsid w:val="00DF7AB6"/>
    <w:rsid w:val="00E00DCA"/>
    <w:rsid w:val="00E01C4F"/>
    <w:rsid w:val="00E033B7"/>
    <w:rsid w:val="00E038DB"/>
    <w:rsid w:val="00E03BB5"/>
    <w:rsid w:val="00E04FFB"/>
    <w:rsid w:val="00E05EEE"/>
    <w:rsid w:val="00E065DD"/>
    <w:rsid w:val="00E075A8"/>
    <w:rsid w:val="00E077A4"/>
    <w:rsid w:val="00E07D5A"/>
    <w:rsid w:val="00E105EE"/>
    <w:rsid w:val="00E10D91"/>
    <w:rsid w:val="00E11FCA"/>
    <w:rsid w:val="00E1211A"/>
    <w:rsid w:val="00E134FC"/>
    <w:rsid w:val="00E1436B"/>
    <w:rsid w:val="00E14F22"/>
    <w:rsid w:val="00E151BD"/>
    <w:rsid w:val="00E1522F"/>
    <w:rsid w:val="00E166F8"/>
    <w:rsid w:val="00E170FA"/>
    <w:rsid w:val="00E2020E"/>
    <w:rsid w:val="00E20D15"/>
    <w:rsid w:val="00E214FE"/>
    <w:rsid w:val="00E24453"/>
    <w:rsid w:val="00E25A13"/>
    <w:rsid w:val="00E26664"/>
    <w:rsid w:val="00E26F4C"/>
    <w:rsid w:val="00E26F75"/>
    <w:rsid w:val="00E3064C"/>
    <w:rsid w:val="00E32CBA"/>
    <w:rsid w:val="00E33007"/>
    <w:rsid w:val="00E330A9"/>
    <w:rsid w:val="00E34483"/>
    <w:rsid w:val="00E3456D"/>
    <w:rsid w:val="00E35FB8"/>
    <w:rsid w:val="00E406B2"/>
    <w:rsid w:val="00E4190D"/>
    <w:rsid w:val="00E44987"/>
    <w:rsid w:val="00E44EB9"/>
    <w:rsid w:val="00E44F34"/>
    <w:rsid w:val="00E45859"/>
    <w:rsid w:val="00E47666"/>
    <w:rsid w:val="00E47A2E"/>
    <w:rsid w:val="00E47B16"/>
    <w:rsid w:val="00E47C2B"/>
    <w:rsid w:val="00E504E9"/>
    <w:rsid w:val="00E507A9"/>
    <w:rsid w:val="00E5253D"/>
    <w:rsid w:val="00E52A30"/>
    <w:rsid w:val="00E53860"/>
    <w:rsid w:val="00E54E23"/>
    <w:rsid w:val="00E554E7"/>
    <w:rsid w:val="00E5688C"/>
    <w:rsid w:val="00E57C72"/>
    <w:rsid w:val="00E60AAF"/>
    <w:rsid w:val="00E60AEE"/>
    <w:rsid w:val="00E6547E"/>
    <w:rsid w:val="00E65AAE"/>
    <w:rsid w:val="00E65E36"/>
    <w:rsid w:val="00E669A1"/>
    <w:rsid w:val="00E67625"/>
    <w:rsid w:val="00E700D9"/>
    <w:rsid w:val="00E70567"/>
    <w:rsid w:val="00E726D6"/>
    <w:rsid w:val="00E75FF6"/>
    <w:rsid w:val="00E763A4"/>
    <w:rsid w:val="00E76C0D"/>
    <w:rsid w:val="00E76CF1"/>
    <w:rsid w:val="00E77A6F"/>
    <w:rsid w:val="00E8390A"/>
    <w:rsid w:val="00E83A3B"/>
    <w:rsid w:val="00E83CBC"/>
    <w:rsid w:val="00E8425C"/>
    <w:rsid w:val="00E90014"/>
    <w:rsid w:val="00E901D7"/>
    <w:rsid w:val="00E914E7"/>
    <w:rsid w:val="00E9172D"/>
    <w:rsid w:val="00E91BD8"/>
    <w:rsid w:val="00E922BE"/>
    <w:rsid w:val="00E9258D"/>
    <w:rsid w:val="00E9268E"/>
    <w:rsid w:val="00E92B00"/>
    <w:rsid w:val="00E9368B"/>
    <w:rsid w:val="00E94D9A"/>
    <w:rsid w:val="00E951CA"/>
    <w:rsid w:val="00E9538A"/>
    <w:rsid w:val="00E953FA"/>
    <w:rsid w:val="00E97913"/>
    <w:rsid w:val="00E97D0F"/>
    <w:rsid w:val="00E97E28"/>
    <w:rsid w:val="00EA484D"/>
    <w:rsid w:val="00EA4A96"/>
    <w:rsid w:val="00EB1A14"/>
    <w:rsid w:val="00EB1C95"/>
    <w:rsid w:val="00EB3B0A"/>
    <w:rsid w:val="00EB3DAC"/>
    <w:rsid w:val="00EB4081"/>
    <w:rsid w:val="00EB4093"/>
    <w:rsid w:val="00EB46F3"/>
    <w:rsid w:val="00EB4958"/>
    <w:rsid w:val="00EB784C"/>
    <w:rsid w:val="00EC1371"/>
    <w:rsid w:val="00EC2445"/>
    <w:rsid w:val="00EC33B2"/>
    <w:rsid w:val="00EC3796"/>
    <w:rsid w:val="00EC41A4"/>
    <w:rsid w:val="00EC45E1"/>
    <w:rsid w:val="00EC5D78"/>
    <w:rsid w:val="00EC6563"/>
    <w:rsid w:val="00EC6685"/>
    <w:rsid w:val="00EC7294"/>
    <w:rsid w:val="00EC7555"/>
    <w:rsid w:val="00EC7728"/>
    <w:rsid w:val="00ED0109"/>
    <w:rsid w:val="00ED0680"/>
    <w:rsid w:val="00ED0D31"/>
    <w:rsid w:val="00ED10A6"/>
    <w:rsid w:val="00ED27B9"/>
    <w:rsid w:val="00ED2905"/>
    <w:rsid w:val="00ED328C"/>
    <w:rsid w:val="00ED3D65"/>
    <w:rsid w:val="00ED4017"/>
    <w:rsid w:val="00ED6C66"/>
    <w:rsid w:val="00ED7083"/>
    <w:rsid w:val="00ED75A1"/>
    <w:rsid w:val="00ED7E7A"/>
    <w:rsid w:val="00ED7E9F"/>
    <w:rsid w:val="00EE0D8C"/>
    <w:rsid w:val="00EE149D"/>
    <w:rsid w:val="00EE172B"/>
    <w:rsid w:val="00EE3EDC"/>
    <w:rsid w:val="00EE3F56"/>
    <w:rsid w:val="00EE4BB2"/>
    <w:rsid w:val="00EE560A"/>
    <w:rsid w:val="00EE6084"/>
    <w:rsid w:val="00EE6B47"/>
    <w:rsid w:val="00EE733B"/>
    <w:rsid w:val="00EE7B6D"/>
    <w:rsid w:val="00EF13A5"/>
    <w:rsid w:val="00EF1724"/>
    <w:rsid w:val="00EF1AA9"/>
    <w:rsid w:val="00EF1B4E"/>
    <w:rsid w:val="00EF1C12"/>
    <w:rsid w:val="00EF1CC2"/>
    <w:rsid w:val="00EF3963"/>
    <w:rsid w:val="00EF4D12"/>
    <w:rsid w:val="00EF5079"/>
    <w:rsid w:val="00EF6A8F"/>
    <w:rsid w:val="00EF6C71"/>
    <w:rsid w:val="00EF6D54"/>
    <w:rsid w:val="00EF6E78"/>
    <w:rsid w:val="00EF7A77"/>
    <w:rsid w:val="00EF7DE3"/>
    <w:rsid w:val="00F006C9"/>
    <w:rsid w:val="00F010AC"/>
    <w:rsid w:val="00F01483"/>
    <w:rsid w:val="00F02537"/>
    <w:rsid w:val="00F02F54"/>
    <w:rsid w:val="00F03638"/>
    <w:rsid w:val="00F039ED"/>
    <w:rsid w:val="00F03F16"/>
    <w:rsid w:val="00F04FE9"/>
    <w:rsid w:val="00F054C9"/>
    <w:rsid w:val="00F0620D"/>
    <w:rsid w:val="00F07ECC"/>
    <w:rsid w:val="00F10116"/>
    <w:rsid w:val="00F11B23"/>
    <w:rsid w:val="00F123CE"/>
    <w:rsid w:val="00F1344F"/>
    <w:rsid w:val="00F13850"/>
    <w:rsid w:val="00F13A34"/>
    <w:rsid w:val="00F146CB"/>
    <w:rsid w:val="00F149E9"/>
    <w:rsid w:val="00F14B1E"/>
    <w:rsid w:val="00F1574B"/>
    <w:rsid w:val="00F15D92"/>
    <w:rsid w:val="00F164A3"/>
    <w:rsid w:val="00F20BE6"/>
    <w:rsid w:val="00F220EF"/>
    <w:rsid w:val="00F2298C"/>
    <w:rsid w:val="00F24CF2"/>
    <w:rsid w:val="00F25235"/>
    <w:rsid w:val="00F254F6"/>
    <w:rsid w:val="00F3022D"/>
    <w:rsid w:val="00F30708"/>
    <w:rsid w:val="00F31B3B"/>
    <w:rsid w:val="00F31E35"/>
    <w:rsid w:val="00F3228A"/>
    <w:rsid w:val="00F332B0"/>
    <w:rsid w:val="00F3395E"/>
    <w:rsid w:val="00F33A72"/>
    <w:rsid w:val="00F3415D"/>
    <w:rsid w:val="00F363F1"/>
    <w:rsid w:val="00F37256"/>
    <w:rsid w:val="00F42A54"/>
    <w:rsid w:val="00F43345"/>
    <w:rsid w:val="00F43DFC"/>
    <w:rsid w:val="00F45E5A"/>
    <w:rsid w:val="00F4695D"/>
    <w:rsid w:val="00F50172"/>
    <w:rsid w:val="00F54740"/>
    <w:rsid w:val="00F565D0"/>
    <w:rsid w:val="00F57A3E"/>
    <w:rsid w:val="00F60373"/>
    <w:rsid w:val="00F62899"/>
    <w:rsid w:val="00F62B03"/>
    <w:rsid w:val="00F637A9"/>
    <w:rsid w:val="00F63A4A"/>
    <w:rsid w:val="00F63D97"/>
    <w:rsid w:val="00F63E31"/>
    <w:rsid w:val="00F645AE"/>
    <w:rsid w:val="00F654A6"/>
    <w:rsid w:val="00F65E4F"/>
    <w:rsid w:val="00F67065"/>
    <w:rsid w:val="00F67D00"/>
    <w:rsid w:val="00F67D2C"/>
    <w:rsid w:val="00F70011"/>
    <w:rsid w:val="00F70F3C"/>
    <w:rsid w:val="00F71892"/>
    <w:rsid w:val="00F720FA"/>
    <w:rsid w:val="00F733B2"/>
    <w:rsid w:val="00F744F3"/>
    <w:rsid w:val="00F75DF6"/>
    <w:rsid w:val="00F772EA"/>
    <w:rsid w:val="00F77698"/>
    <w:rsid w:val="00F805A6"/>
    <w:rsid w:val="00F822E2"/>
    <w:rsid w:val="00F83BC2"/>
    <w:rsid w:val="00F83CBF"/>
    <w:rsid w:val="00F84ED2"/>
    <w:rsid w:val="00F87223"/>
    <w:rsid w:val="00F87AC1"/>
    <w:rsid w:val="00F90290"/>
    <w:rsid w:val="00F906C9"/>
    <w:rsid w:val="00F909FE"/>
    <w:rsid w:val="00F915B8"/>
    <w:rsid w:val="00F91B3B"/>
    <w:rsid w:val="00F94EC0"/>
    <w:rsid w:val="00F95610"/>
    <w:rsid w:val="00F96012"/>
    <w:rsid w:val="00F976C6"/>
    <w:rsid w:val="00F97C62"/>
    <w:rsid w:val="00FA0C52"/>
    <w:rsid w:val="00FA1022"/>
    <w:rsid w:val="00FA1CFB"/>
    <w:rsid w:val="00FA215D"/>
    <w:rsid w:val="00FA2451"/>
    <w:rsid w:val="00FA2726"/>
    <w:rsid w:val="00FA3FB9"/>
    <w:rsid w:val="00FA457D"/>
    <w:rsid w:val="00FA4AAB"/>
    <w:rsid w:val="00FA6E33"/>
    <w:rsid w:val="00FA72B1"/>
    <w:rsid w:val="00FB4DF7"/>
    <w:rsid w:val="00FB7585"/>
    <w:rsid w:val="00FC3FD5"/>
    <w:rsid w:val="00FC479C"/>
    <w:rsid w:val="00FC6E57"/>
    <w:rsid w:val="00FC7151"/>
    <w:rsid w:val="00FD0560"/>
    <w:rsid w:val="00FD0A26"/>
    <w:rsid w:val="00FD0C02"/>
    <w:rsid w:val="00FD1FCF"/>
    <w:rsid w:val="00FD282F"/>
    <w:rsid w:val="00FD2992"/>
    <w:rsid w:val="00FD29BB"/>
    <w:rsid w:val="00FD2E88"/>
    <w:rsid w:val="00FD4CB3"/>
    <w:rsid w:val="00FD6EAA"/>
    <w:rsid w:val="00FD79D2"/>
    <w:rsid w:val="00FE0ABB"/>
    <w:rsid w:val="00FE141F"/>
    <w:rsid w:val="00FE20F0"/>
    <w:rsid w:val="00FE33CE"/>
    <w:rsid w:val="00FE4C7C"/>
    <w:rsid w:val="00FE7911"/>
    <w:rsid w:val="00FE7C1C"/>
    <w:rsid w:val="00FF0A90"/>
    <w:rsid w:val="00FF1735"/>
    <w:rsid w:val="00FF31C9"/>
    <w:rsid w:val="00FF3D51"/>
    <w:rsid w:val="00FF5A48"/>
    <w:rsid w:val="00FF5DB9"/>
    <w:rsid w:val="00FF663F"/>
    <w:rsid w:val="00FF6FD8"/>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docId w15:val="{EB63F7D5-A960-455F-9C24-05CD639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styleId="Hyperlink">
    <w:name w:val="Hyperlink"/>
    <w:basedOn w:val="DefaultParagraphFont"/>
    <w:uiPriority w:val="99"/>
    <w:unhideWhenUsed/>
    <w:rsid w:val="000B538B"/>
    <w:rPr>
      <w:color w:val="0563C1"/>
      <w:u w:val="single"/>
    </w:rPr>
  </w:style>
  <w:style w:type="character" w:customStyle="1" w:styleId="UnresolvedMention">
    <w:name w:val="Unresolved Mention"/>
    <w:basedOn w:val="DefaultParagraphFont"/>
    <w:uiPriority w:val="99"/>
    <w:semiHidden/>
    <w:unhideWhenUsed/>
    <w:rsid w:val="00322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53191">
      <w:bodyDiv w:val="1"/>
      <w:marLeft w:val="0"/>
      <w:marRight w:val="0"/>
      <w:marTop w:val="0"/>
      <w:marBottom w:val="0"/>
      <w:divBdr>
        <w:top w:val="none" w:sz="0" w:space="0" w:color="auto"/>
        <w:left w:val="none" w:sz="0" w:space="0" w:color="auto"/>
        <w:bottom w:val="none" w:sz="0" w:space="0" w:color="auto"/>
        <w:right w:val="none" w:sz="0" w:space="0" w:color="auto"/>
      </w:divBdr>
    </w:div>
    <w:div w:id="172105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qiwamncedisi@gmail.com" TargetMode="External"/><Relationship Id="rId4" Type="http://schemas.openxmlformats.org/officeDocument/2006/relationships/settings" Target="settings.xml"/><Relationship Id="rId9" Type="http://schemas.openxmlformats.org/officeDocument/2006/relationships/hyperlink" Target="mailto:mpambanisoattorney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4A3C-B47B-4989-A851-CFA2683E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3677</Words>
  <Characters>20963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Mary Bruce</cp:lastModifiedBy>
  <cp:revision>9</cp:revision>
  <cp:lastPrinted>2024-03-18T10:35:00Z</cp:lastPrinted>
  <dcterms:created xsi:type="dcterms:W3CDTF">2024-04-22T08:17:00Z</dcterms:created>
  <dcterms:modified xsi:type="dcterms:W3CDTF">2024-04-24T09:52:00Z</dcterms:modified>
</cp:coreProperties>
</file>