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91F0" w14:textId="77777777" w:rsidR="00D450B5" w:rsidRPr="00044B50" w:rsidRDefault="00D450B5" w:rsidP="00772E4B">
      <w:pPr>
        <w:autoSpaceDE w:val="0"/>
        <w:autoSpaceDN w:val="0"/>
        <w:adjustRightInd w:val="0"/>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4705D8" w:rsidRDefault="00D450B5" w:rsidP="00772E4B">
      <w:pPr>
        <w:jc w:val="center"/>
        <w:rPr>
          <w:b/>
          <w:bCs/>
          <w:lang w:val="en-GB"/>
        </w:rPr>
      </w:pPr>
      <w:r w:rsidRPr="004705D8">
        <w:rPr>
          <w:b/>
          <w:bCs/>
          <w:lang w:val="en-GB"/>
        </w:rPr>
        <w:t>IN THE HIGH COURT OF SOUTH AFRICA</w:t>
      </w:r>
    </w:p>
    <w:p w14:paraId="130E4897" w14:textId="5C2822F1" w:rsidR="00D450B5" w:rsidRPr="004705D8" w:rsidRDefault="00D450B5" w:rsidP="00772E4B">
      <w:pPr>
        <w:jc w:val="center"/>
        <w:rPr>
          <w:b/>
          <w:bCs/>
          <w:lang w:val="en-GB"/>
        </w:rPr>
      </w:pPr>
      <w:r w:rsidRPr="004705D8">
        <w:rPr>
          <w:b/>
          <w:bCs/>
          <w:lang w:val="en-GB"/>
        </w:rPr>
        <w:t>EASTERN CAPE DIVISION,</w:t>
      </w:r>
      <w:r w:rsidR="00CA22C7" w:rsidRPr="004705D8">
        <w:rPr>
          <w:b/>
          <w:bCs/>
          <w:lang w:val="en-GB"/>
        </w:rPr>
        <w:t xml:space="preserve"> </w:t>
      </w:r>
      <w:r w:rsidR="007E1DF5" w:rsidRPr="004705D8">
        <w:rPr>
          <w:b/>
          <w:bCs/>
          <w:lang w:val="en-GB"/>
        </w:rPr>
        <w:t>MTHATH</w:t>
      </w:r>
      <w:r w:rsidR="002C7414" w:rsidRPr="004705D8">
        <w:rPr>
          <w:b/>
          <w:bCs/>
          <w:lang w:val="en-GB"/>
        </w:rPr>
        <w:t>A</w:t>
      </w:r>
    </w:p>
    <w:p w14:paraId="101AD6EF" w14:textId="77777777" w:rsidR="008A75F3" w:rsidRPr="004705D8" w:rsidRDefault="00E44987" w:rsidP="008A75F3">
      <w:pPr>
        <w:jc w:val="center"/>
        <w:rPr>
          <w:lang w:val="en-GB"/>
        </w:rPr>
      </w:pPr>
      <w:r w:rsidRPr="004705D8">
        <w:rPr>
          <w:lang w:val="en-GB"/>
        </w:rPr>
        <w:t xml:space="preserve">                                                                                                  </w:t>
      </w:r>
    </w:p>
    <w:p w14:paraId="4934DB4B" w14:textId="7BF6AB2F" w:rsidR="00E44987" w:rsidRPr="004705D8" w:rsidRDefault="002C7414" w:rsidP="008A75F3">
      <w:pPr>
        <w:ind w:left="5760" w:firstLine="720"/>
        <w:rPr>
          <w:lang w:val="en-GB"/>
        </w:rPr>
      </w:pPr>
      <w:r w:rsidRPr="004705D8">
        <w:rPr>
          <w:lang w:val="en-GB"/>
        </w:rPr>
        <w:t xml:space="preserve">     </w:t>
      </w:r>
      <w:r w:rsidR="00E44987" w:rsidRPr="004705D8">
        <w:rPr>
          <w:lang w:val="en-GB"/>
        </w:rPr>
        <w:t xml:space="preserve">Case no: </w:t>
      </w:r>
      <w:r w:rsidRPr="004705D8">
        <w:rPr>
          <w:lang w:val="en-GB"/>
        </w:rPr>
        <w:t>1</w:t>
      </w:r>
      <w:r w:rsidR="007E1DF5" w:rsidRPr="004705D8">
        <w:rPr>
          <w:lang w:val="en-GB"/>
        </w:rPr>
        <w:t>022</w:t>
      </w:r>
      <w:r w:rsidRPr="004705D8">
        <w:rPr>
          <w:lang w:val="en-GB"/>
        </w:rPr>
        <w:t>/20</w:t>
      </w:r>
      <w:r w:rsidR="007E1DF5" w:rsidRPr="004705D8">
        <w:rPr>
          <w:lang w:val="en-GB"/>
        </w:rPr>
        <w:t>24</w:t>
      </w:r>
    </w:p>
    <w:p w14:paraId="13EEBE4B" w14:textId="77777777" w:rsidR="00D450B5" w:rsidRPr="004705D8" w:rsidRDefault="00D450B5" w:rsidP="00772E4B">
      <w:pPr>
        <w:widowControl w:val="0"/>
        <w:jc w:val="right"/>
        <w:rPr>
          <w:spacing w:val="14"/>
          <w:kern w:val="2"/>
          <w:lang w:val="en-GB"/>
        </w:rPr>
      </w:pPr>
    </w:p>
    <w:p w14:paraId="49070A0E" w14:textId="0BCDA14B" w:rsidR="00D450B5" w:rsidRPr="004705D8" w:rsidRDefault="00D450B5" w:rsidP="00772E4B">
      <w:pPr>
        <w:widowControl w:val="0"/>
        <w:jc w:val="both"/>
        <w:rPr>
          <w:spacing w:val="14"/>
          <w:kern w:val="2"/>
          <w:lang w:val="en-GB"/>
        </w:rPr>
      </w:pPr>
      <w:r w:rsidRPr="004705D8">
        <w:rPr>
          <w:spacing w:val="14"/>
          <w:kern w:val="2"/>
          <w:lang w:val="en-GB"/>
        </w:rPr>
        <w:t>In the matter between</w:t>
      </w:r>
      <w:r w:rsidR="00E44987" w:rsidRPr="004705D8">
        <w:rPr>
          <w:spacing w:val="14"/>
          <w:kern w:val="2"/>
          <w:lang w:val="en-GB"/>
        </w:rPr>
        <w:t>:</w:t>
      </w:r>
    </w:p>
    <w:p w14:paraId="2E198784" w14:textId="2CE4C2C0" w:rsidR="00D450B5" w:rsidRPr="004705D8" w:rsidRDefault="00D450B5" w:rsidP="00772E4B">
      <w:pPr>
        <w:widowControl w:val="0"/>
        <w:tabs>
          <w:tab w:val="right" w:pos="8198"/>
        </w:tabs>
        <w:jc w:val="both"/>
        <w:rPr>
          <w:spacing w:val="14"/>
          <w:kern w:val="2"/>
          <w:lang w:val="en-GB"/>
        </w:rPr>
      </w:pPr>
    </w:p>
    <w:p w14:paraId="0D746988" w14:textId="16C93052" w:rsidR="00D450B5" w:rsidRPr="004705D8" w:rsidRDefault="007E1DF5" w:rsidP="00772E4B">
      <w:pPr>
        <w:tabs>
          <w:tab w:val="right" w:pos="9072"/>
        </w:tabs>
        <w:suppressAutoHyphens/>
        <w:jc w:val="both"/>
        <w:rPr>
          <w:lang w:val="en-GB"/>
        </w:rPr>
      </w:pPr>
      <w:r w:rsidRPr="004705D8">
        <w:rPr>
          <w:b/>
          <w:bCs/>
          <w:lang w:val="en-GB"/>
        </w:rPr>
        <w:t>NALEDI MNTONGA</w:t>
      </w:r>
      <w:r w:rsidR="00786FFF" w:rsidRPr="004705D8">
        <w:rPr>
          <w:b/>
          <w:bCs/>
          <w:lang w:val="en-GB"/>
        </w:rPr>
        <w:tab/>
      </w:r>
      <w:r w:rsidR="00786FFF" w:rsidRPr="004705D8">
        <w:rPr>
          <w:lang w:val="en-GB"/>
        </w:rPr>
        <w:t>Applicant</w:t>
      </w:r>
    </w:p>
    <w:p w14:paraId="50A760EA" w14:textId="77777777" w:rsidR="00F565D0" w:rsidRPr="004705D8" w:rsidRDefault="00F565D0" w:rsidP="00772E4B">
      <w:pPr>
        <w:tabs>
          <w:tab w:val="right" w:pos="9072"/>
        </w:tabs>
        <w:suppressAutoHyphens/>
        <w:jc w:val="both"/>
        <w:rPr>
          <w:lang w:val="en-GB"/>
        </w:rPr>
      </w:pPr>
    </w:p>
    <w:p w14:paraId="460137EF" w14:textId="77777777" w:rsidR="00D450B5" w:rsidRPr="004705D8" w:rsidRDefault="00D450B5" w:rsidP="00772E4B">
      <w:pPr>
        <w:jc w:val="both"/>
        <w:rPr>
          <w:lang w:val="en-GB"/>
        </w:rPr>
      </w:pPr>
      <w:r w:rsidRPr="004705D8">
        <w:rPr>
          <w:lang w:val="en-GB"/>
        </w:rPr>
        <w:t>and</w:t>
      </w:r>
    </w:p>
    <w:p w14:paraId="37CBA823" w14:textId="4B4FCA3C" w:rsidR="00D450B5" w:rsidRPr="004705D8" w:rsidRDefault="00D450B5" w:rsidP="00772E4B">
      <w:pPr>
        <w:jc w:val="both"/>
        <w:rPr>
          <w:lang w:val="en-GB"/>
        </w:rPr>
      </w:pPr>
    </w:p>
    <w:p w14:paraId="5C282B44" w14:textId="77777777" w:rsidR="007E1DF5" w:rsidRPr="004705D8" w:rsidRDefault="007E1DF5" w:rsidP="00772E4B">
      <w:pPr>
        <w:jc w:val="both"/>
        <w:rPr>
          <w:b/>
          <w:bCs/>
          <w:lang w:val="en-GB"/>
        </w:rPr>
      </w:pPr>
      <w:r w:rsidRPr="004705D8">
        <w:rPr>
          <w:b/>
          <w:bCs/>
          <w:lang w:val="en-GB"/>
        </w:rPr>
        <w:t xml:space="preserve">SILMA HAMDULAY obo EXECUTOR OF THE </w:t>
      </w:r>
    </w:p>
    <w:p w14:paraId="5A223442" w14:textId="77777777" w:rsidR="007E1DF5" w:rsidRPr="004705D8" w:rsidRDefault="007E1DF5" w:rsidP="00772E4B">
      <w:pPr>
        <w:jc w:val="both"/>
        <w:rPr>
          <w:lang w:val="en-GB"/>
        </w:rPr>
      </w:pPr>
      <w:r w:rsidRPr="004705D8">
        <w:rPr>
          <w:b/>
          <w:bCs/>
          <w:lang w:val="en-GB"/>
        </w:rPr>
        <w:t>DECEASED ESTATE OF SICELO VICTOR MNTONGA</w:t>
      </w:r>
      <w:r w:rsidRPr="004705D8">
        <w:rPr>
          <w:b/>
          <w:bCs/>
          <w:lang w:val="en-GB"/>
        </w:rPr>
        <w:tab/>
      </w:r>
      <w:r w:rsidR="00786FFF" w:rsidRPr="004705D8">
        <w:rPr>
          <w:b/>
          <w:bCs/>
          <w:lang w:val="en-GB"/>
        </w:rPr>
        <w:tab/>
      </w:r>
      <w:r w:rsidRPr="004705D8">
        <w:rPr>
          <w:lang w:val="en-GB"/>
        </w:rPr>
        <w:t xml:space="preserve">First </w:t>
      </w:r>
      <w:r w:rsidR="00786FFF" w:rsidRPr="004705D8">
        <w:rPr>
          <w:lang w:val="en-GB"/>
        </w:rPr>
        <w:t>Respondent</w:t>
      </w:r>
    </w:p>
    <w:p w14:paraId="275C16D4" w14:textId="77777777" w:rsidR="007E1DF5" w:rsidRPr="004705D8" w:rsidRDefault="007E1DF5" w:rsidP="00772E4B">
      <w:pPr>
        <w:jc w:val="both"/>
        <w:rPr>
          <w:lang w:val="en-GB"/>
        </w:rPr>
      </w:pPr>
    </w:p>
    <w:p w14:paraId="27EB146F" w14:textId="77777777" w:rsidR="007E1DF5" w:rsidRPr="004705D8" w:rsidRDefault="007E1DF5" w:rsidP="00772E4B">
      <w:pPr>
        <w:jc w:val="both"/>
        <w:rPr>
          <w:b/>
          <w:bCs/>
          <w:lang w:val="en-GB"/>
        </w:rPr>
      </w:pPr>
      <w:r w:rsidRPr="004705D8">
        <w:rPr>
          <w:b/>
          <w:bCs/>
          <w:lang w:val="en-GB"/>
        </w:rPr>
        <w:t>PENROSE RESTAURANTS (PTY) LTD</w:t>
      </w:r>
    </w:p>
    <w:p w14:paraId="4F0E2CE6" w14:textId="6239D933" w:rsidR="00C246F2" w:rsidRPr="004705D8" w:rsidRDefault="007E1DF5" w:rsidP="00772E4B">
      <w:pPr>
        <w:jc w:val="both"/>
        <w:rPr>
          <w:b/>
          <w:bCs/>
          <w:lang w:val="en-GB"/>
        </w:rPr>
      </w:pPr>
      <w:r w:rsidRPr="004705D8">
        <w:rPr>
          <w:lang w:val="en-GB"/>
        </w:rPr>
        <w:t>(Registration No. 2022/759561/07)</w:t>
      </w:r>
      <w:r w:rsidRPr="004705D8">
        <w:rPr>
          <w:lang w:val="en-GB"/>
        </w:rPr>
        <w:tab/>
      </w:r>
      <w:r w:rsidRPr="004705D8">
        <w:rPr>
          <w:lang w:val="en-GB"/>
        </w:rPr>
        <w:tab/>
      </w:r>
      <w:r w:rsidRPr="004705D8">
        <w:rPr>
          <w:lang w:val="en-GB"/>
        </w:rPr>
        <w:tab/>
      </w:r>
      <w:r w:rsidRPr="004705D8">
        <w:rPr>
          <w:lang w:val="en-GB"/>
        </w:rPr>
        <w:tab/>
        <w:t xml:space="preserve">     Second Respondent</w:t>
      </w:r>
      <w:r w:rsidR="00C246F2" w:rsidRPr="004705D8">
        <w:rPr>
          <w:b/>
          <w:bCs/>
          <w:lang w:val="en-GB"/>
        </w:rPr>
        <w:tab/>
      </w:r>
      <w:r w:rsidR="00C246F2" w:rsidRPr="004705D8">
        <w:rPr>
          <w:b/>
          <w:bCs/>
          <w:lang w:val="en-GB"/>
        </w:rPr>
        <w:tab/>
      </w:r>
      <w:r w:rsidR="00C246F2" w:rsidRPr="004705D8">
        <w:rPr>
          <w:b/>
          <w:bCs/>
          <w:lang w:val="en-GB"/>
        </w:rPr>
        <w:tab/>
      </w:r>
    </w:p>
    <w:p w14:paraId="76889E9C" w14:textId="24974D08" w:rsidR="00D450B5" w:rsidRPr="004705D8" w:rsidRDefault="00D450B5" w:rsidP="00772E4B">
      <w:pPr>
        <w:jc w:val="both"/>
        <w:rPr>
          <w:lang w:val="en-GB"/>
        </w:rPr>
      </w:pPr>
      <w:r w:rsidRPr="004705D8">
        <w:rPr>
          <w:lang w:val="en-GB"/>
        </w:rPr>
        <w:t>__________________________________________________________________</w:t>
      </w:r>
      <w:r w:rsidR="006B1DCE" w:rsidRPr="004705D8">
        <w:rPr>
          <w:lang w:val="en-GB"/>
        </w:rPr>
        <w:t>_</w:t>
      </w:r>
    </w:p>
    <w:p w14:paraId="37FFD90E" w14:textId="77777777" w:rsidR="0009497C" w:rsidRPr="004705D8" w:rsidRDefault="0009497C" w:rsidP="00772E4B">
      <w:pPr>
        <w:jc w:val="center"/>
        <w:rPr>
          <w:lang w:val="en-GB"/>
        </w:rPr>
      </w:pPr>
    </w:p>
    <w:p w14:paraId="7239B7A9" w14:textId="2F2414CF" w:rsidR="00D450B5" w:rsidRPr="004705D8" w:rsidRDefault="00786FFF" w:rsidP="00772E4B">
      <w:pPr>
        <w:jc w:val="center"/>
        <w:rPr>
          <w:b/>
          <w:bCs/>
          <w:lang w:val="en-GB"/>
        </w:rPr>
      </w:pPr>
      <w:r w:rsidRPr="004705D8">
        <w:rPr>
          <w:b/>
          <w:bCs/>
          <w:lang w:val="en-GB"/>
        </w:rPr>
        <w:t>REASONS FOR JUDGMENT</w:t>
      </w:r>
      <w:r w:rsidR="00D450B5" w:rsidRPr="004705D8">
        <w:rPr>
          <w:b/>
          <w:bCs/>
          <w:lang w:val="en-GB"/>
        </w:rPr>
        <w:t xml:space="preserve"> </w:t>
      </w:r>
    </w:p>
    <w:p w14:paraId="2B47CB4D" w14:textId="77777777" w:rsidR="00D450B5" w:rsidRPr="004705D8" w:rsidRDefault="00D450B5" w:rsidP="00772E4B">
      <w:pPr>
        <w:jc w:val="both"/>
        <w:rPr>
          <w:lang w:val="en-GB"/>
        </w:rPr>
      </w:pPr>
      <w:r w:rsidRPr="004705D8">
        <w:rPr>
          <w:lang w:val="en-GB"/>
        </w:rPr>
        <w:t>___________________________________________________________________</w:t>
      </w:r>
    </w:p>
    <w:p w14:paraId="7C4F1B04" w14:textId="095A7271" w:rsidR="00D450B5" w:rsidRPr="004705D8" w:rsidRDefault="002B7F0C" w:rsidP="00772E4B">
      <w:pPr>
        <w:jc w:val="both"/>
        <w:rPr>
          <w:b/>
          <w:bCs/>
          <w:lang w:val="en-GB"/>
        </w:rPr>
      </w:pPr>
      <w:r w:rsidRPr="004705D8">
        <w:rPr>
          <w:b/>
          <w:bCs/>
          <w:lang w:val="en-GB"/>
        </w:rPr>
        <w:t>Zilwa AJ</w:t>
      </w:r>
    </w:p>
    <w:p w14:paraId="34F7781B" w14:textId="77777777" w:rsidR="00D468AF" w:rsidRPr="004705D8" w:rsidRDefault="00D468AF" w:rsidP="002B7F0C">
      <w:pPr>
        <w:autoSpaceDE w:val="0"/>
        <w:autoSpaceDN w:val="0"/>
        <w:adjustRightInd w:val="0"/>
        <w:spacing w:line="480" w:lineRule="auto"/>
        <w:jc w:val="both"/>
        <w:rPr>
          <w:lang w:val="en-GB"/>
        </w:rPr>
      </w:pPr>
    </w:p>
    <w:p w14:paraId="365A4899" w14:textId="18812DA7" w:rsidR="00587FB7" w:rsidRPr="00282F77" w:rsidRDefault="00282F77" w:rsidP="00282F77">
      <w:pPr>
        <w:autoSpaceDE w:val="0"/>
        <w:autoSpaceDN w:val="0"/>
        <w:adjustRightInd w:val="0"/>
        <w:spacing w:line="480" w:lineRule="auto"/>
        <w:jc w:val="both"/>
        <w:rPr>
          <w:lang w:val="en-GB"/>
        </w:rPr>
      </w:pPr>
      <w:r w:rsidRPr="004705D8">
        <w:rPr>
          <w:lang w:val="en-GB"/>
        </w:rPr>
        <w:t>[1]</w:t>
      </w:r>
      <w:r w:rsidRPr="004705D8">
        <w:rPr>
          <w:lang w:val="en-GB"/>
        </w:rPr>
        <w:tab/>
      </w:r>
      <w:r w:rsidR="00786FFF" w:rsidRPr="00282F77">
        <w:rPr>
          <w:shd w:val="clear" w:color="auto" w:fill="FFFFFF"/>
        </w:rPr>
        <w:t>This matter came before me as an urgent application in which the Applicant sought the following orders:</w:t>
      </w:r>
    </w:p>
    <w:p w14:paraId="32DA6CBA" w14:textId="77777777" w:rsidR="002B7F0C" w:rsidRPr="004705D8" w:rsidRDefault="002B7F0C" w:rsidP="00F514FC">
      <w:pPr>
        <w:pStyle w:val="ListParagraph"/>
        <w:autoSpaceDE w:val="0"/>
        <w:autoSpaceDN w:val="0"/>
        <w:adjustRightInd w:val="0"/>
        <w:spacing w:line="480" w:lineRule="auto"/>
        <w:ind w:left="0"/>
        <w:jc w:val="both"/>
        <w:rPr>
          <w:lang w:val="en-GB"/>
        </w:rPr>
      </w:pPr>
    </w:p>
    <w:p w14:paraId="3497CCE0" w14:textId="1F160361" w:rsidR="008D42B2" w:rsidRPr="00282F77" w:rsidRDefault="00282F77" w:rsidP="00282F77">
      <w:pPr>
        <w:autoSpaceDE w:val="0"/>
        <w:autoSpaceDN w:val="0"/>
        <w:adjustRightInd w:val="0"/>
        <w:spacing w:line="480" w:lineRule="auto"/>
        <w:ind w:left="1418" w:hanging="709"/>
        <w:jc w:val="both"/>
        <w:rPr>
          <w:sz w:val="22"/>
          <w:szCs w:val="22"/>
          <w:shd w:val="clear" w:color="auto" w:fill="FFFFFF"/>
        </w:rPr>
      </w:pPr>
      <w:r w:rsidRPr="004705D8">
        <w:rPr>
          <w:sz w:val="22"/>
          <w:szCs w:val="22"/>
        </w:rPr>
        <w:lastRenderedPageBreak/>
        <w:t>1.1</w:t>
      </w:r>
      <w:r w:rsidRPr="004705D8">
        <w:rPr>
          <w:sz w:val="22"/>
          <w:szCs w:val="22"/>
        </w:rPr>
        <w:tab/>
      </w:r>
      <w:r w:rsidR="008D42B2" w:rsidRPr="00282F77">
        <w:rPr>
          <w:sz w:val="22"/>
          <w:szCs w:val="22"/>
          <w:shd w:val="clear" w:color="auto" w:fill="FFFFFF"/>
          <w:lang w:val="en-US"/>
        </w:rPr>
        <w:t>That the Respondents be and are hereby ordered to restore possession of premises known as Wimpy and Debonairs Pizza situated at BT Ngebs and Circus Triangle Malls in Mthatha forthwith.</w:t>
      </w:r>
    </w:p>
    <w:p w14:paraId="6801672A" w14:textId="3D3BA78E" w:rsidR="008D42B2" w:rsidRPr="004705D8" w:rsidRDefault="008D42B2" w:rsidP="008D42B2">
      <w:pPr>
        <w:pStyle w:val="ListParagraph"/>
        <w:autoSpaceDE w:val="0"/>
        <w:autoSpaceDN w:val="0"/>
        <w:adjustRightInd w:val="0"/>
        <w:spacing w:line="480" w:lineRule="auto"/>
        <w:ind w:left="1418"/>
        <w:jc w:val="both"/>
        <w:rPr>
          <w:sz w:val="22"/>
          <w:szCs w:val="22"/>
          <w:shd w:val="clear" w:color="auto" w:fill="FFFFFF"/>
        </w:rPr>
      </w:pPr>
      <w:r w:rsidRPr="004705D8">
        <w:rPr>
          <w:sz w:val="22"/>
          <w:szCs w:val="22"/>
          <w:shd w:val="clear" w:color="auto" w:fill="FFFFFF"/>
          <w:lang w:val="en-US"/>
        </w:rPr>
        <w:t xml:space="preserve"> </w:t>
      </w:r>
    </w:p>
    <w:p w14:paraId="01D014D6" w14:textId="7B2F39AE" w:rsidR="008D42B2" w:rsidRPr="00282F77" w:rsidRDefault="00282F77" w:rsidP="00282F77">
      <w:pPr>
        <w:autoSpaceDE w:val="0"/>
        <w:autoSpaceDN w:val="0"/>
        <w:adjustRightInd w:val="0"/>
        <w:spacing w:line="480" w:lineRule="auto"/>
        <w:ind w:left="1418" w:hanging="709"/>
        <w:jc w:val="both"/>
        <w:rPr>
          <w:sz w:val="22"/>
          <w:szCs w:val="22"/>
          <w:shd w:val="clear" w:color="auto" w:fill="FFFFFF"/>
        </w:rPr>
      </w:pPr>
      <w:r w:rsidRPr="004705D8">
        <w:rPr>
          <w:sz w:val="22"/>
          <w:szCs w:val="22"/>
        </w:rPr>
        <w:t>1.2</w:t>
      </w:r>
      <w:r w:rsidRPr="004705D8">
        <w:rPr>
          <w:sz w:val="22"/>
          <w:szCs w:val="22"/>
        </w:rPr>
        <w:tab/>
      </w:r>
      <w:r w:rsidR="008D42B2" w:rsidRPr="00282F77">
        <w:rPr>
          <w:sz w:val="22"/>
          <w:szCs w:val="22"/>
          <w:shd w:val="clear" w:color="auto" w:fill="FFFFFF"/>
          <w:lang w:val="en-US"/>
        </w:rPr>
        <w:t xml:space="preserve">That the Respondents and any person acting at the instance of the Respondents are interdicted from entering and/or causing anyone to enter premises referred to in 16.2 pending finalisation of the application in Makhanda High Court under case number 430/ 2024. </w:t>
      </w:r>
    </w:p>
    <w:p w14:paraId="26BC0B2B" w14:textId="77777777" w:rsidR="008D42B2" w:rsidRPr="004705D8" w:rsidRDefault="008D42B2" w:rsidP="008D42B2">
      <w:pPr>
        <w:pStyle w:val="ListParagraph"/>
        <w:rPr>
          <w:sz w:val="22"/>
          <w:szCs w:val="22"/>
          <w:shd w:val="clear" w:color="auto" w:fill="FFFFFF"/>
          <w:lang w:val="en-US"/>
        </w:rPr>
      </w:pPr>
    </w:p>
    <w:p w14:paraId="0E8F7F8C" w14:textId="127C883C" w:rsidR="008D42B2" w:rsidRPr="00282F77" w:rsidRDefault="00282F77" w:rsidP="00282F77">
      <w:pPr>
        <w:autoSpaceDE w:val="0"/>
        <w:autoSpaceDN w:val="0"/>
        <w:adjustRightInd w:val="0"/>
        <w:spacing w:line="480" w:lineRule="auto"/>
        <w:ind w:left="1418" w:hanging="709"/>
        <w:jc w:val="both"/>
        <w:rPr>
          <w:sz w:val="22"/>
          <w:szCs w:val="22"/>
          <w:shd w:val="clear" w:color="auto" w:fill="FFFFFF"/>
        </w:rPr>
      </w:pPr>
      <w:r w:rsidRPr="004705D8">
        <w:rPr>
          <w:sz w:val="22"/>
          <w:szCs w:val="22"/>
        </w:rPr>
        <w:t>1.3</w:t>
      </w:r>
      <w:r w:rsidRPr="004705D8">
        <w:rPr>
          <w:sz w:val="22"/>
          <w:szCs w:val="22"/>
        </w:rPr>
        <w:tab/>
      </w:r>
      <w:r w:rsidR="008D42B2" w:rsidRPr="00282F77">
        <w:rPr>
          <w:sz w:val="22"/>
          <w:szCs w:val="22"/>
          <w:shd w:val="clear" w:color="auto" w:fill="FFFFFF"/>
          <w:lang w:val="en-US"/>
        </w:rPr>
        <w:t xml:space="preserve">That the Applicant is authorized to take control of Wimpy and Debonairs Pizza premises situated at BT Ngebs and Circus Triangle Malls forthwith with assistance of Sheriff of the High Court and/or police officers if Respondent is refusing to comply with this court order. </w:t>
      </w:r>
    </w:p>
    <w:p w14:paraId="321CE86A" w14:textId="77777777" w:rsidR="008D42B2" w:rsidRPr="004705D8" w:rsidRDefault="008D42B2" w:rsidP="008D42B2">
      <w:pPr>
        <w:pStyle w:val="ListParagraph"/>
        <w:rPr>
          <w:sz w:val="22"/>
          <w:szCs w:val="22"/>
          <w:shd w:val="clear" w:color="auto" w:fill="FFFFFF"/>
          <w:lang w:val="en-US"/>
        </w:rPr>
      </w:pPr>
    </w:p>
    <w:p w14:paraId="75371F61" w14:textId="6D1C0643" w:rsidR="00DB15ED" w:rsidRPr="00282F77" w:rsidRDefault="00282F77" w:rsidP="00282F77">
      <w:pPr>
        <w:autoSpaceDE w:val="0"/>
        <w:autoSpaceDN w:val="0"/>
        <w:adjustRightInd w:val="0"/>
        <w:spacing w:line="480" w:lineRule="auto"/>
        <w:ind w:left="1418" w:hanging="709"/>
        <w:jc w:val="both"/>
        <w:rPr>
          <w:sz w:val="22"/>
          <w:szCs w:val="22"/>
          <w:shd w:val="clear" w:color="auto" w:fill="FFFFFF"/>
        </w:rPr>
      </w:pPr>
      <w:r w:rsidRPr="004705D8">
        <w:rPr>
          <w:sz w:val="22"/>
          <w:szCs w:val="22"/>
        </w:rPr>
        <w:t>1.4</w:t>
      </w:r>
      <w:r w:rsidRPr="004705D8">
        <w:rPr>
          <w:sz w:val="22"/>
          <w:szCs w:val="22"/>
        </w:rPr>
        <w:tab/>
      </w:r>
      <w:r w:rsidR="008D42B2" w:rsidRPr="00282F77">
        <w:rPr>
          <w:sz w:val="22"/>
          <w:szCs w:val="22"/>
          <w:shd w:val="clear" w:color="auto" w:fill="FFFFFF"/>
          <w:lang w:val="en-US"/>
        </w:rPr>
        <w:t>That the Sheriff and/or police are authorized to do all that is necessary to enforce this court order, and to ensure that pos</w:t>
      </w:r>
      <w:r w:rsidR="00DB15ED" w:rsidRPr="00282F77">
        <w:rPr>
          <w:sz w:val="22"/>
          <w:szCs w:val="22"/>
          <w:shd w:val="clear" w:color="auto" w:fill="FFFFFF"/>
          <w:lang w:val="en-US"/>
        </w:rPr>
        <w:t>sessi</w:t>
      </w:r>
      <w:r w:rsidR="008D42B2" w:rsidRPr="00282F77">
        <w:rPr>
          <w:sz w:val="22"/>
          <w:szCs w:val="22"/>
          <w:shd w:val="clear" w:color="auto" w:fill="FFFFFF"/>
          <w:lang w:val="en-US"/>
        </w:rPr>
        <w:t xml:space="preserve">on of the premises referred to in 16.2 is restored to </w:t>
      </w:r>
      <w:r w:rsidR="00DB15ED" w:rsidRPr="00282F77">
        <w:rPr>
          <w:sz w:val="22"/>
          <w:szCs w:val="22"/>
          <w:shd w:val="clear" w:color="auto" w:fill="FFFFFF"/>
          <w:lang w:val="en-US"/>
        </w:rPr>
        <w:t>A</w:t>
      </w:r>
      <w:r w:rsidR="008D42B2" w:rsidRPr="00282F77">
        <w:rPr>
          <w:sz w:val="22"/>
          <w:szCs w:val="22"/>
          <w:shd w:val="clear" w:color="auto" w:fill="FFFFFF"/>
          <w:lang w:val="en-US"/>
        </w:rPr>
        <w:t xml:space="preserve">pplicant. </w:t>
      </w:r>
    </w:p>
    <w:p w14:paraId="5EBBBD3B" w14:textId="77777777" w:rsidR="00DB15ED" w:rsidRPr="004705D8" w:rsidRDefault="00DB15ED" w:rsidP="00DB15ED">
      <w:pPr>
        <w:pStyle w:val="ListParagraph"/>
        <w:rPr>
          <w:sz w:val="22"/>
          <w:szCs w:val="22"/>
          <w:shd w:val="clear" w:color="auto" w:fill="FFFFFF"/>
          <w:lang w:val="en-US"/>
        </w:rPr>
      </w:pPr>
    </w:p>
    <w:p w14:paraId="5E727F42" w14:textId="58D6E336" w:rsidR="00DB15ED" w:rsidRPr="00282F77" w:rsidRDefault="00282F77" w:rsidP="00282F77">
      <w:pPr>
        <w:autoSpaceDE w:val="0"/>
        <w:autoSpaceDN w:val="0"/>
        <w:adjustRightInd w:val="0"/>
        <w:spacing w:line="480" w:lineRule="auto"/>
        <w:ind w:left="1418" w:hanging="709"/>
        <w:jc w:val="both"/>
        <w:rPr>
          <w:sz w:val="22"/>
          <w:szCs w:val="22"/>
          <w:shd w:val="clear" w:color="auto" w:fill="FFFFFF"/>
        </w:rPr>
      </w:pPr>
      <w:r w:rsidRPr="004705D8">
        <w:rPr>
          <w:sz w:val="22"/>
          <w:szCs w:val="22"/>
        </w:rPr>
        <w:t>1.5</w:t>
      </w:r>
      <w:r w:rsidRPr="004705D8">
        <w:rPr>
          <w:sz w:val="22"/>
          <w:szCs w:val="22"/>
        </w:rPr>
        <w:tab/>
      </w:r>
      <w:r w:rsidR="00DB15ED" w:rsidRPr="00282F77">
        <w:rPr>
          <w:sz w:val="22"/>
          <w:szCs w:val="22"/>
          <w:shd w:val="clear" w:color="auto" w:fill="FFFFFF"/>
          <w:lang w:val="en-US"/>
        </w:rPr>
        <w:t>A</w:t>
      </w:r>
      <w:r w:rsidR="008D42B2" w:rsidRPr="00282F77">
        <w:rPr>
          <w:sz w:val="22"/>
          <w:szCs w:val="22"/>
          <w:shd w:val="clear" w:color="auto" w:fill="FFFFFF"/>
          <w:lang w:val="en-US"/>
        </w:rPr>
        <w:t xml:space="preserve">pplicant to serve papers in terms of rule </w:t>
      </w:r>
      <w:r w:rsidR="00DB15ED" w:rsidRPr="00282F77">
        <w:rPr>
          <w:sz w:val="22"/>
          <w:szCs w:val="22"/>
          <w:shd w:val="clear" w:color="auto" w:fill="FFFFFF"/>
          <w:lang w:val="en-US"/>
        </w:rPr>
        <w:t>4</w:t>
      </w:r>
      <w:r w:rsidR="008D42B2" w:rsidRPr="00282F77">
        <w:rPr>
          <w:sz w:val="22"/>
          <w:szCs w:val="22"/>
          <w:shd w:val="clear" w:color="auto" w:fill="FFFFFF"/>
          <w:lang w:val="en-US"/>
        </w:rPr>
        <w:t xml:space="preserve"> of the uniform </w:t>
      </w:r>
      <w:r w:rsidR="00DB15ED" w:rsidRPr="00282F77">
        <w:rPr>
          <w:sz w:val="22"/>
          <w:szCs w:val="22"/>
          <w:shd w:val="clear" w:color="auto" w:fill="FFFFFF"/>
          <w:lang w:val="en-US"/>
        </w:rPr>
        <w:t>R</w:t>
      </w:r>
      <w:r w:rsidR="008D42B2" w:rsidRPr="00282F77">
        <w:rPr>
          <w:sz w:val="22"/>
          <w:szCs w:val="22"/>
          <w:shd w:val="clear" w:color="auto" w:fill="FFFFFF"/>
          <w:lang w:val="en-US"/>
        </w:rPr>
        <w:t>ule 4 as well as by e-mail provided in the certificate of urgency by 13</w:t>
      </w:r>
      <w:r w:rsidR="00DB15ED" w:rsidRPr="00282F77">
        <w:rPr>
          <w:sz w:val="22"/>
          <w:szCs w:val="22"/>
          <w:shd w:val="clear" w:color="auto" w:fill="FFFFFF"/>
          <w:lang w:val="en-US"/>
        </w:rPr>
        <w:t>H00</w:t>
      </w:r>
      <w:r w:rsidR="008D42B2" w:rsidRPr="00282F77">
        <w:rPr>
          <w:sz w:val="22"/>
          <w:szCs w:val="22"/>
          <w:shd w:val="clear" w:color="auto" w:fill="FFFFFF"/>
          <w:lang w:val="en-US"/>
        </w:rPr>
        <w:t xml:space="preserve"> on Friday, </w:t>
      </w:r>
      <w:r w:rsidR="00DB15ED" w:rsidRPr="00282F77">
        <w:rPr>
          <w:sz w:val="22"/>
          <w:szCs w:val="22"/>
          <w:shd w:val="clear" w:color="auto" w:fill="FFFFFF"/>
          <w:lang w:val="en-US"/>
        </w:rPr>
        <w:t>01</w:t>
      </w:r>
      <w:r w:rsidR="00DB15ED" w:rsidRPr="00282F77">
        <w:rPr>
          <w:sz w:val="22"/>
          <w:szCs w:val="22"/>
          <w:shd w:val="clear" w:color="auto" w:fill="FFFFFF"/>
          <w:vertAlign w:val="superscript"/>
          <w:lang w:val="en-US"/>
        </w:rPr>
        <w:t>st</w:t>
      </w:r>
      <w:r w:rsidR="008D42B2" w:rsidRPr="00282F77">
        <w:rPr>
          <w:sz w:val="22"/>
          <w:szCs w:val="22"/>
          <w:shd w:val="clear" w:color="auto" w:fill="FFFFFF"/>
          <w:lang w:val="en-US"/>
        </w:rPr>
        <w:t xml:space="preserve"> day of March 2024. </w:t>
      </w:r>
    </w:p>
    <w:p w14:paraId="698901EF" w14:textId="77777777" w:rsidR="00DB15ED" w:rsidRPr="004705D8" w:rsidRDefault="00DB15ED" w:rsidP="00DB15ED">
      <w:pPr>
        <w:pStyle w:val="ListParagraph"/>
        <w:rPr>
          <w:sz w:val="22"/>
          <w:szCs w:val="22"/>
          <w:shd w:val="clear" w:color="auto" w:fill="FFFFFF"/>
          <w:lang w:val="en-US"/>
        </w:rPr>
      </w:pPr>
    </w:p>
    <w:p w14:paraId="2C2C2AA7" w14:textId="6BB74F7B" w:rsidR="00DB15ED" w:rsidRPr="00282F77" w:rsidRDefault="00282F77" w:rsidP="00282F77">
      <w:pPr>
        <w:autoSpaceDE w:val="0"/>
        <w:autoSpaceDN w:val="0"/>
        <w:adjustRightInd w:val="0"/>
        <w:spacing w:line="480" w:lineRule="auto"/>
        <w:ind w:left="1418" w:hanging="709"/>
        <w:jc w:val="both"/>
        <w:rPr>
          <w:sz w:val="22"/>
          <w:szCs w:val="22"/>
          <w:shd w:val="clear" w:color="auto" w:fill="FFFFFF"/>
        </w:rPr>
      </w:pPr>
      <w:r w:rsidRPr="004705D8">
        <w:rPr>
          <w:sz w:val="22"/>
          <w:szCs w:val="22"/>
        </w:rPr>
        <w:t>1.6</w:t>
      </w:r>
      <w:r w:rsidRPr="004705D8">
        <w:rPr>
          <w:sz w:val="22"/>
          <w:szCs w:val="22"/>
        </w:rPr>
        <w:tab/>
      </w:r>
      <w:r w:rsidR="00DB15ED" w:rsidRPr="00282F77">
        <w:rPr>
          <w:sz w:val="22"/>
          <w:szCs w:val="22"/>
          <w:shd w:val="clear" w:color="auto" w:fill="FFFFFF"/>
          <w:lang w:val="en-US"/>
        </w:rPr>
        <w:t>T</w:t>
      </w:r>
      <w:r w:rsidR="008D42B2" w:rsidRPr="00282F77">
        <w:rPr>
          <w:sz w:val="22"/>
          <w:szCs w:val="22"/>
          <w:shd w:val="clear" w:color="auto" w:fill="FFFFFF"/>
          <w:lang w:val="en-US"/>
        </w:rPr>
        <w:t xml:space="preserve">he </w:t>
      </w:r>
      <w:r w:rsidR="00DB15ED" w:rsidRPr="00282F77">
        <w:rPr>
          <w:sz w:val="22"/>
          <w:szCs w:val="22"/>
          <w:shd w:val="clear" w:color="auto" w:fill="FFFFFF"/>
          <w:lang w:val="en-US"/>
        </w:rPr>
        <w:t>R</w:t>
      </w:r>
      <w:r w:rsidR="008D42B2" w:rsidRPr="00282F77">
        <w:rPr>
          <w:sz w:val="22"/>
          <w:szCs w:val="22"/>
          <w:shd w:val="clear" w:color="auto" w:fill="FFFFFF"/>
          <w:lang w:val="en-US"/>
        </w:rPr>
        <w:t>espondents file their opposing papers, if any, on or before 16</w:t>
      </w:r>
      <w:r w:rsidR="00DB15ED" w:rsidRPr="00282F77">
        <w:rPr>
          <w:sz w:val="22"/>
          <w:szCs w:val="22"/>
          <w:shd w:val="clear" w:color="auto" w:fill="FFFFFF"/>
          <w:lang w:val="en-US"/>
        </w:rPr>
        <w:t>H00</w:t>
      </w:r>
      <w:r w:rsidR="008D42B2" w:rsidRPr="00282F77">
        <w:rPr>
          <w:sz w:val="22"/>
          <w:szCs w:val="22"/>
          <w:shd w:val="clear" w:color="auto" w:fill="FFFFFF"/>
          <w:lang w:val="en-US"/>
        </w:rPr>
        <w:t xml:space="preserve"> on </w:t>
      </w:r>
      <w:r w:rsidR="00DB15ED" w:rsidRPr="00282F77">
        <w:rPr>
          <w:sz w:val="22"/>
          <w:szCs w:val="22"/>
          <w:shd w:val="clear" w:color="auto" w:fill="FFFFFF"/>
          <w:lang w:val="en-US"/>
        </w:rPr>
        <w:t>F</w:t>
      </w:r>
      <w:r w:rsidR="008D42B2" w:rsidRPr="00282F77">
        <w:rPr>
          <w:sz w:val="22"/>
          <w:szCs w:val="22"/>
          <w:shd w:val="clear" w:color="auto" w:fill="FFFFFF"/>
          <w:lang w:val="en-US"/>
        </w:rPr>
        <w:t xml:space="preserve">riday, </w:t>
      </w:r>
      <w:r w:rsidR="00DB15ED" w:rsidRPr="00282F77">
        <w:rPr>
          <w:sz w:val="22"/>
          <w:szCs w:val="22"/>
          <w:shd w:val="clear" w:color="auto" w:fill="FFFFFF"/>
          <w:lang w:val="en-US"/>
        </w:rPr>
        <w:t>01</w:t>
      </w:r>
      <w:r w:rsidR="00DB15ED" w:rsidRPr="00282F77">
        <w:rPr>
          <w:sz w:val="22"/>
          <w:szCs w:val="22"/>
          <w:shd w:val="clear" w:color="auto" w:fill="FFFFFF"/>
          <w:vertAlign w:val="superscript"/>
          <w:lang w:val="en-US"/>
        </w:rPr>
        <w:t>st</w:t>
      </w:r>
      <w:r w:rsidR="00DB15ED" w:rsidRPr="00282F77">
        <w:rPr>
          <w:sz w:val="22"/>
          <w:szCs w:val="22"/>
          <w:shd w:val="clear" w:color="auto" w:fill="FFFFFF"/>
          <w:lang w:val="en-US"/>
        </w:rPr>
        <w:t xml:space="preserve"> d</w:t>
      </w:r>
      <w:r w:rsidR="008D42B2" w:rsidRPr="00282F77">
        <w:rPr>
          <w:sz w:val="22"/>
          <w:szCs w:val="22"/>
          <w:shd w:val="clear" w:color="auto" w:fill="FFFFFF"/>
          <w:lang w:val="en-US"/>
        </w:rPr>
        <w:t xml:space="preserve">ay of </w:t>
      </w:r>
      <w:r w:rsidR="00DB15ED" w:rsidRPr="00282F77">
        <w:rPr>
          <w:sz w:val="22"/>
          <w:szCs w:val="22"/>
          <w:shd w:val="clear" w:color="auto" w:fill="FFFFFF"/>
          <w:lang w:val="en-US"/>
        </w:rPr>
        <w:t>M</w:t>
      </w:r>
      <w:r w:rsidR="008D42B2" w:rsidRPr="00282F77">
        <w:rPr>
          <w:sz w:val="22"/>
          <w:szCs w:val="22"/>
          <w:shd w:val="clear" w:color="auto" w:fill="FFFFFF"/>
          <w:lang w:val="en-US"/>
        </w:rPr>
        <w:t xml:space="preserve">arch 2024. </w:t>
      </w:r>
    </w:p>
    <w:p w14:paraId="356D1A6A" w14:textId="77777777" w:rsidR="00DB15ED" w:rsidRPr="004705D8" w:rsidRDefault="00DB15ED" w:rsidP="00DB15ED">
      <w:pPr>
        <w:pStyle w:val="ListParagraph"/>
        <w:rPr>
          <w:sz w:val="22"/>
          <w:szCs w:val="22"/>
          <w:shd w:val="clear" w:color="auto" w:fill="FFFFFF"/>
          <w:lang w:val="en-US"/>
        </w:rPr>
      </w:pPr>
    </w:p>
    <w:p w14:paraId="2D5AFE9B" w14:textId="70C77BE6" w:rsidR="00DB15ED" w:rsidRPr="00282F77" w:rsidRDefault="00282F77" w:rsidP="00282F77">
      <w:pPr>
        <w:autoSpaceDE w:val="0"/>
        <w:autoSpaceDN w:val="0"/>
        <w:adjustRightInd w:val="0"/>
        <w:spacing w:line="480" w:lineRule="auto"/>
        <w:ind w:left="1418" w:hanging="709"/>
        <w:jc w:val="both"/>
        <w:rPr>
          <w:sz w:val="22"/>
          <w:szCs w:val="22"/>
          <w:shd w:val="clear" w:color="auto" w:fill="FFFFFF"/>
        </w:rPr>
      </w:pPr>
      <w:r w:rsidRPr="004705D8">
        <w:rPr>
          <w:sz w:val="22"/>
          <w:szCs w:val="22"/>
        </w:rPr>
        <w:t>1.7</w:t>
      </w:r>
      <w:r w:rsidRPr="004705D8">
        <w:rPr>
          <w:sz w:val="22"/>
          <w:szCs w:val="22"/>
        </w:rPr>
        <w:tab/>
      </w:r>
      <w:r w:rsidR="00DB15ED" w:rsidRPr="00282F77">
        <w:rPr>
          <w:sz w:val="22"/>
          <w:szCs w:val="22"/>
          <w:shd w:val="clear" w:color="auto" w:fill="FFFFFF"/>
          <w:lang w:val="en-US"/>
        </w:rPr>
        <w:t>T</w:t>
      </w:r>
      <w:r w:rsidR="008D42B2" w:rsidRPr="00282F77">
        <w:rPr>
          <w:sz w:val="22"/>
          <w:szCs w:val="22"/>
          <w:shd w:val="clear" w:color="auto" w:fill="FFFFFF"/>
          <w:lang w:val="en-US"/>
        </w:rPr>
        <w:t xml:space="preserve">hat the </w:t>
      </w:r>
      <w:r w:rsidR="00DB15ED" w:rsidRPr="00282F77">
        <w:rPr>
          <w:sz w:val="22"/>
          <w:szCs w:val="22"/>
          <w:shd w:val="clear" w:color="auto" w:fill="FFFFFF"/>
          <w:lang w:val="en-US"/>
        </w:rPr>
        <w:t>A</w:t>
      </w:r>
      <w:r w:rsidR="008D42B2" w:rsidRPr="00282F77">
        <w:rPr>
          <w:sz w:val="22"/>
          <w:szCs w:val="22"/>
          <w:shd w:val="clear" w:color="auto" w:fill="FFFFFF"/>
          <w:lang w:val="en-US"/>
        </w:rPr>
        <w:t xml:space="preserve">pplicant files her </w:t>
      </w:r>
      <w:r w:rsidR="00DB15ED" w:rsidRPr="00282F77">
        <w:rPr>
          <w:sz w:val="22"/>
          <w:szCs w:val="22"/>
          <w:shd w:val="clear" w:color="auto" w:fill="FFFFFF"/>
          <w:lang w:val="en-US"/>
        </w:rPr>
        <w:t>re</w:t>
      </w:r>
      <w:r w:rsidR="008D42B2" w:rsidRPr="00282F77">
        <w:rPr>
          <w:sz w:val="22"/>
          <w:szCs w:val="22"/>
          <w:shd w:val="clear" w:color="auto" w:fill="FFFFFF"/>
          <w:lang w:val="en-US"/>
        </w:rPr>
        <w:t xml:space="preserve">plying affidavit, if any, on or before </w:t>
      </w:r>
      <w:r w:rsidR="00DB15ED" w:rsidRPr="00282F77">
        <w:rPr>
          <w:sz w:val="22"/>
          <w:szCs w:val="22"/>
          <w:shd w:val="clear" w:color="auto" w:fill="FFFFFF"/>
          <w:lang w:val="en-US"/>
        </w:rPr>
        <w:t>0</w:t>
      </w:r>
      <w:r w:rsidR="008D42B2" w:rsidRPr="00282F77">
        <w:rPr>
          <w:sz w:val="22"/>
          <w:szCs w:val="22"/>
          <w:shd w:val="clear" w:color="auto" w:fill="FFFFFF"/>
          <w:lang w:val="en-US"/>
        </w:rPr>
        <w:t>9</w:t>
      </w:r>
      <w:r w:rsidR="00DB15ED" w:rsidRPr="00282F77">
        <w:rPr>
          <w:sz w:val="22"/>
          <w:szCs w:val="22"/>
          <w:shd w:val="clear" w:color="auto" w:fill="FFFFFF"/>
          <w:lang w:val="en-US"/>
        </w:rPr>
        <w:t>H00</w:t>
      </w:r>
      <w:r w:rsidR="008D42B2" w:rsidRPr="00282F77">
        <w:rPr>
          <w:sz w:val="22"/>
          <w:szCs w:val="22"/>
          <w:shd w:val="clear" w:color="auto" w:fill="FFFFFF"/>
          <w:lang w:val="en-US"/>
        </w:rPr>
        <w:t xml:space="preserve"> on Saturday, the </w:t>
      </w:r>
      <w:r w:rsidR="00DB15ED" w:rsidRPr="00282F77">
        <w:rPr>
          <w:sz w:val="22"/>
          <w:szCs w:val="22"/>
          <w:shd w:val="clear" w:color="auto" w:fill="FFFFFF"/>
          <w:lang w:val="en-US"/>
        </w:rPr>
        <w:t>02</w:t>
      </w:r>
      <w:r w:rsidR="00DB15ED" w:rsidRPr="00282F77">
        <w:rPr>
          <w:sz w:val="22"/>
          <w:szCs w:val="22"/>
          <w:shd w:val="clear" w:color="auto" w:fill="FFFFFF"/>
          <w:vertAlign w:val="superscript"/>
          <w:lang w:val="en-US"/>
        </w:rPr>
        <w:t>nd</w:t>
      </w:r>
      <w:r w:rsidR="00DB15ED" w:rsidRPr="00282F77">
        <w:rPr>
          <w:sz w:val="22"/>
          <w:szCs w:val="22"/>
          <w:shd w:val="clear" w:color="auto" w:fill="FFFFFF"/>
          <w:lang w:val="en-US"/>
        </w:rPr>
        <w:t xml:space="preserve"> </w:t>
      </w:r>
      <w:r w:rsidR="008D42B2" w:rsidRPr="00282F77">
        <w:rPr>
          <w:sz w:val="22"/>
          <w:szCs w:val="22"/>
          <w:shd w:val="clear" w:color="auto" w:fill="FFFFFF"/>
          <w:lang w:val="en-US"/>
        </w:rPr>
        <w:t xml:space="preserve">day of </w:t>
      </w:r>
      <w:r w:rsidR="00DB15ED" w:rsidRPr="00282F77">
        <w:rPr>
          <w:sz w:val="22"/>
          <w:szCs w:val="22"/>
          <w:shd w:val="clear" w:color="auto" w:fill="FFFFFF"/>
          <w:lang w:val="en-US"/>
        </w:rPr>
        <w:t>M</w:t>
      </w:r>
      <w:r w:rsidR="008D42B2" w:rsidRPr="00282F77">
        <w:rPr>
          <w:sz w:val="22"/>
          <w:szCs w:val="22"/>
          <w:shd w:val="clear" w:color="auto" w:fill="FFFFFF"/>
          <w:lang w:val="en-US"/>
        </w:rPr>
        <w:t xml:space="preserve">arch 2024. </w:t>
      </w:r>
    </w:p>
    <w:p w14:paraId="16E65881" w14:textId="77777777" w:rsidR="00DB15ED" w:rsidRPr="004705D8" w:rsidRDefault="00DB15ED" w:rsidP="00DB15ED">
      <w:pPr>
        <w:pStyle w:val="ListParagraph"/>
        <w:rPr>
          <w:sz w:val="22"/>
          <w:szCs w:val="22"/>
          <w:shd w:val="clear" w:color="auto" w:fill="FFFFFF"/>
          <w:lang w:val="en-US"/>
        </w:rPr>
      </w:pPr>
    </w:p>
    <w:p w14:paraId="5CD1665C" w14:textId="4739178B" w:rsidR="00587FB7" w:rsidRPr="00282F77" w:rsidRDefault="00282F77" w:rsidP="00282F77">
      <w:pPr>
        <w:autoSpaceDE w:val="0"/>
        <w:autoSpaceDN w:val="0"/>
        <w:adjustRightInd w:val="0"/>
        <w:spacing w:line="480" w:lineRule="auto"/>
        <w:ind w:left="1418" w:hanging="709"/>
        <w:jc w:val="both"/>
        <w:rPr>
          <w:sz w:val="22"/>
          <w:szCs w:val="22"/>
          <w:lang w:val="en-GB"/>
        </w:rPr>
      </w:pPr>
      <w:r w:rsidRPr="004705D8">
        <w:rPr>
          <w:sz w:val="22"/>
          <w:szCs w:val="22"/>
          <w:lang w:val="en-GB"/>
        </w:rPr>
        <w:lastRenderedPageBreak/>
        <w:t>1.8</w:t>
      </w:r>
      <w:r w:rsidRPr="004705D8">
        <w:rPr>
          <w:sz w:val="22"/>
          <w:szCs w:val="22"/>
          <w:lang w:val="en-GB"/>
        </w:rPr>
        <w:tab/>
      </w:r>
      <w:r w:rsidR="00DB15ED" w:rsidRPr="00282F77">
        <w:rPr>
          <w:sz w:val="22"/>
          <w:szCs w:val="22"/>
          <w:shd w:val="clear" w:color="auto" w:fill="FFFFFF"/>
          <w:lang w:val="en-US"/>
        </w:rPr>
        <w:t>T</w:t>
      </w:r>
      <w:r w:rsidR="008D42B2" w:rsidRPr="00282F77">
        <w:rPr>
          <w:sz w:val="22"/>
          <w:szCs w:val="22"/>
          <w:shd w:val="clear" w:color="auto" w:fill="FFFFFF"/>
          <w:lang w:val="en-US"/>
        </w:rPr>
        <w:t xml:space="preserve">hat that </w:t>
      </w:r>
      <w:r w:rsidR="00DB15ED" w:rsidRPr="00282F77">
        <w:rPr>
          <w:sz w:val="22"/>
          <w:szCs w:val="22"/>
          <w:shd w:val="clear" w:color="auto" w:fill="FFFFFF"/>
          <w:lang w:val="en-US"/>
        </w:rPr>
        <w:t>Respondents</w:t>
      </w:r>
      <w:r w:rsidR="008D42B2" w:rsidRPr="00282F77">
        <w:rPr>
          <w:sz w:val="22"/>
          <w:szCs w:val="22"/>
          <w:shd w:val="clear" w:color="auto" w:fill="FFFFFF"/>
          <w:lang w:val="en-US"/>
        </w:rPr>
        <w:t xml:space="preserve"> be and are hereby ordered to pay the costs of this application, on an att</w:t>
      </w:r>
      <w:r w:rsidR="00DB15ED" w:rsidRPr="00282F77">
        <w:rPr>
          <w:sz w:val="22"/>
          <w:szCs w:val="22"/>
          <w:shd w:val="clear" w:color="auto" w:fill="FFFFFF"/>
          <w:lang w:val="en-US"/>
        </w:rPr>
        <w:t>orney and</w:t>
      </w:r>
      <w:r w:rsidR="008D42B2" w:rsidRPr="00282F77">
        <w:rPr>
          <w:sz w:val="22"/>
          <w:szCs w:val="22"/>
          <w:shd w:val="clear" w:color="auto" w:fill="FFFFFF"/>
          <w:lang w:val="en-US"/>
        </w:rPr>
        <w:t xml:space="preserve"> client scale.</w:t>
      </w:r>
    </w:p>
    <w:p w14:paraId="55CB26CD" w14:textId="7A3D0B1A" w:rsidR="002B7F0C" w:rsidRPr="004705D8" w:rsidRDefault="00587FB7" w:rsidP="00DE53C4">
      <w:pPr>
        <w:pStyle w:val="ListParagraph"/>
        <w:autoSpaceDE w:val="0"/>
        <w:autoSpaceDN w:val="0"/>
        <w:adjustRightInd w:val="0"/>
        <w:spacing w:line="480" w:lineRule="auto"/>
        <w:jc w:val="both"/>
        <w:rPr>
          <w:sz w:val="22"/>
          <w:szCs w:val="22"/>
          <w:lang w:val="en-GB"/>
        </w:rPr>
      </w:pPr>
      <w:r w:rsidRPr="004705D8">
        <w:rPr>
          <w:sz w:val="22"/>
          <w:szCs w:val="22"/>
          <w:shd w:val="clear" w:color="auto" w:fill="FFFFFF"/>
        </w:rPr>
        <w:t xml:space="preserve">   </w:t>
      </w:r>
    </w:p>
    <w:p w14:paraId="483AF28D" w14:textId="5F059676" w:rsidR="00035CFA" w:rsidRPr="00282F77" w:rsidRDefault="00282F77" w:rsidP="00282F77">
      <w:pPr>
        <w:autoSpaceDE w:val="0"/>
        <w:autoSpaceDN w:val="0"/>
        <w:adjustRightInd w:val="0"/>
        <w:spacing w:line="480" w:lineRule="auto"/>
        <w:jc w:val="both"/>
        <w:rPr>
          <w:i/>
          <w:iCs/>
          <w:lang w:val="en-GB"/>
        </w:rPr>
      </w:pPr>
      <w:r w:rsidRPr="004705D8">
        <w:rPr>
          <w:lang w:val="en-GB"/>
        </w:rPr>
        <w:t>[2]</w:t>
      </w:r>
      <w:r w:rsidRPr="004705D8">
        <w:rPr>
          <w:lang w:val="en-GB"/>
        </w:rPr>
        <w:tab/>
      </w:r>
      <w:r w:rsidR="002B2F23" w:rsidRPr="00282F77">
        <w:rPr>
          <w:lang w:val="en-GB"/>
        </w:rPr>
        <w:t>Sequel to the granting of the order, the Respondent</w:t>
      </w:r>
      <w:r w:rsidR="00DE53C4" w:rsidRPr="00282F77">
        <w:rPr>
          <w:lang w:val="en-GB"/>
        </w:rPr>
        <w:t>s</w:t>
      </w:r>
      <w:r w:rsidR="002B2F23" w:rsidRPr="00282F77">
        <w:rPr>
          <w:lang w:val="en-GB"/>
        </w:rPr>
        <w:t xml:space="preserve"> </w:t>
      </w:r>
      <w:r w:rsidR="00DE53C4" w:rsidRPr="00282F77">
        <w:rPr>
          <w:lang w:val="en-GB"/>
        </w:rPr>
        <w:t xml:space="preserve">delivered an application for leave to appeal on 6 March 2024 and in the same notice, request for reasons for the order was also incorporated. </w:t>
      </w:r>
    </w:p>
    <w:p w14:paraId="34339F4D" w14:textId="77777777" w:rsidR="00035CFA" w:rsidRPr="004705D8" w:rsidRDefault="00035CFA" w:rsidP="00F514FC">
      <w:pPr>
        <w:pStyle w:val="ListParagraph"/>
        <w:autoSpaceDE w:val="0"/>
        <w:autoSpaceDN w:val="0"/>
        <w:adjustRightInd w:val="0"/>
        <w:spacing w:line="480" w:lineRule="auto"/>
        <w:ind w:left="0"/>
        <w:jc w:val="both"/>
        <w:rPr>
          <w:i/>
          <w:iCs/>
          <w:lang w:val="en-GB"/>
        </w:rPr>
      </w:pPr>
    </w:p>
    <w:p w14:paraId="7029B4A7" w14:textId="55CC7EA5" w:rsidR="00F14391" w:rsidRPr="00282F77" w:rsidRDefault="00282F77" w:rsidP="00282F77">
      <w:pPr>
        <w:autoSpaceDE w:val="0"/>
        <w:autoSpaceDN w:val="0"/>
        <w:adjustRightInd w:val="0"/>
        <w:spacing w:line="480" w:lineRule="auto"/>
        <w:jc w:val="both"/>
        <w:rPr>
          <w:lang w:val="en-GB"/>
        </w:rPr>
      </w:pPr>
      <w:r w:rsidRPr="004705D8">
        <w:rPr>
          <w:lang w:val="en-GB"/>
        </w:rPr>
        <w:t>[3]</w:t>
      </w:r>
      <w:r w:rsidRPr="004705D8">
        <w:rPr>
          <w:lang w:val="en-GB"/>
        </w:rPr>
        <w:tab/>
      </w:r>
      <w:r w:rsidR="00C5437D" w:rsidRPr="00282F77">
        <w:rPr>
          <w:lang w:val="en-GB"/>
        </w:rPr>
        <w:t>From the reading of the papers it appears that o</w:t>
      </w:r>
      <w:r w:rsidR="00F14391" w:rsidRPr="00282F77">
        <w:rPr>
          <w:lang w:val="en-GB"/>
        </w:rPr>
        <w:t xml:space="preserve">n 5 March 2024 an application for </w:t>
      </w:r>
      <w:r w:rsidR="00C5437D" w:rsidRPr="00282F77">
        <w:rPr>
          <w:lang w:val="en-GB"/>
        </w:rPr>
        <w:t>interdict</w:t>
      </w:r>
      <w:r w:rsidR="00F14391" w:rsidRPr="00282F77">
        <w:rPr>
          <w:lang w:val="en-GB"/>
        </w:rPr>
        <w:t xml:space="preserve"> was brought against the Applicant </w:t>
      </w:r>
      <w:r w:rsidR="009B0338" w:rsidRPr="00282F77">
        <w:rPr>
          <w:lang w:val="en-GB"/>
        </w:rPr>
        <w:t xml:space="preserve">and other Respondents </w:t>
      </w:r>
      <w:r w:rsidR="00F14391" w:rsidRPr="00282F77">
        <w:rPr>
          <w:lang w:val="en-GB"/>
        </w:rPr>
        <w:t>before the Makhanda High Court. The Applicant was cited as the First Respondent in that application whereas the Respondents were the Applicants. The Makhanda application was still pending when this application served before me.</w:t>
      </w:r>
    </w:p>
    <w:p w14:paraId="410C5B36" w14:textId="77777777" w:rsidR="00F14391" w:rsidRPr="004705D8" w:rsidRDefault="00F14391" w:rsidP="00F14391">
      <w:pPr>
        <w:pStyle w:val="ListParagraph"/>
        <w:autoSpaceDE w:val="0"/>
        <w:autoSpaceDN w:val="0"/>
        <w:adjustRightInd w:val="0"/>
        <w:spacing w:line="480" w:lineRule="auto"/>
        <w:ind w:left="0"/>
        <w:jc w:val="both"/>
        <w:rPr>
          <w:lang w:val="en-GB"/>
        </w:rPr>
      </w:pPr>
    </w:p>
    <w:p w14:paraId="04A39701" w14:textId="642A1D43" w:rsidR="002B2F23" w:rsidRPr="00282F77" w:rsidRDefault="00282F77" w:rsidP="00282F77">
      <w:pPr>
        <w:autoSpaceDE w:val="0"/>
        <w:autoSpaceDN w:val="0"/>
        <w:adjustRightInd w:val="0"/>
        <w:spacing w:line="480" w:lineRule="auto"/>
        <w:jc w:val="both"/>
        <w:rPr>
          <w:lang w:val="en-GB"/>
        </w:rPr>
      </w:pPr>
      <w:r w:rsidRPr="004705D8">
        <w:rPr>
          <w:lang w:val="en-GB"/>
        </w:rPr>
        <w:t>[4]</w:t>
      </w:r>
      <w:r w:rsidRPr="004705D8">
        <w:rPr>
          <w:lang w:val="en-GB"/>
        </w:rPr>
        <w:tab/>
      </w:r>
      <w:r w:rsidR="00E92EC8" w:rsidRPr="00282F77">
        <w:rPr>
          <w:lang w:val="en-GB"/>
        </w:rPr>
        <w:t xml:space="preserve">I may mention at this stage that there are two confirmatory affidavits that the Respondents rely on, namely, the one deposed to by Mr Williams and the other one by Mr Tarr. The one deposed to by Mr Williams records that it is confirming the contents of the replying affidavit deposed to by Mr Pumelele Balfour. Unfortunately, I did not have before </w:t>
      </w:r>
      <w:r w:rsidR="005E555E" w:rsidRPr="00282F77">
        <w:rPr>
          <w:lang w:val="en-GB"/>
        </w:rPr>
        <w:t xml:space="preserve">me </w:t>
      </w:r>
      <w:r w:rsidR="00E92EC8" w:rsidRPr="00282F77">
        <w:rPr>
          <w:lang w:val="en-GB"/>
        </w:rPr>
        <w:t>any replying affidavit deposed to by this deponent. On the other hand, the one allegedly deposed to by Mr Tarr was not before me at the time of hearing of this application. During the hearing I sought to establish from both the Registrar and the Applicant’s legal representatives whether they were in possession of this affidavit and their response was in the negative. In a nutshell the matter was argued to finality without the affidavit by Mr Tarr.</w:t>
      </w:r>
    </w:p>
    <w:p w14:paraId="20D57C74" w14:textId="77777777" w:rsidR="00E92EC8" w:rsidRPr="004705D8" w:rsidRDefault="00E92EC8" w:rsidP="00E92EC8">
      <w:pPr>
        <w:pStyle w:val="ListParagraph"/>
        <w:rPr>
          <w:lang w:val="en-GB"/>
        </w:rPr>
      </w:pPr>
    </w:p>
    <w:p w14:paraId="289CC244" w14:textId="69C16694" w:rsidR="00E92EC8" w:rsidRPr="00282F77" w:rsidRDefault="00282F77" w:rsidP="00282F77">
      <w:pPr>
        <w:autoSpaceDE w:val="0"/>
        <w:autoSpaceDN w:val="0"/>
        <w:adjustRightInd w:val="0"/>
        <w:spacing w:line="480" w:lineRule="auto"/>
        <w:jc w:val="both"/>
        <w:rPr>
          <w:lang w:val="en-GB"/>
        </w:rPr>
      </w:pPr>
      <w:r w:rsidRPr="004705D8">
        <w:rPr>
          <w:lang w:val="en-GB"/>
        </w:rPr>
        <w:lastRenderedPageBreak/>
        <w:t>[5]</w:t>
      </w:r>
      <w:r w:rsidRPr="004705D8">
        <w:rPr>
          <w:lang w:val="en-GB"/>
        </w:rPr>
        <w:tab/>
      </w:r>
      <w:r w:rsidR="00E92EC8" w:rsidRPr="00282F77">
        <w:rPr>
          <w:lang w:val="en-GB"/>
        </w:rPr>
        <w:t>This being an application for spoliation, it</w:t>
      </w:r>
      <w:r w:rsidR="005E555E" w:rsidRPr="00282F77">
        <w:rPr>
          <w:lang w:val="en-GB"/>
        </w:rPr>
        <w:t xml:space="preserve"> is </w:t>
      </w:r>
      <w:r w:rsidR="002D3E92" w:rsidRPr="00282F77">
        <w:rPr>
          <w:lang w:val="en-GB"/>
        </w:rPr>
        <w:t xml:space="preserve">trite that it is </w:t>
      </w:r>
      <w:r w:rsidR="005E555E" w:rsidRPr="00282F77">
        <w:rPr>
          <w:lang w:val="en-GB"/>
        </w:rPr>
        <w:t xml:space="preserve">in </w:t>
      </w:r>
      <w:r w:rsidR="002D3E92" w:rsidRPr="00282F77">
        <w:rPr>
          <w:lang w:val="en-GB"/>
        </w:rPr>
        <w:t xml:space="preserve">its </w:t>
      </w:r>
      <w:r w:rsidR="005E555E" w:rsidRPr="00282F77">
        <w:rPr>
          <w:lang w:val="en-GB"/>
        </w:rPr>
        <w:t>very nature urgent.</w:t>
      </w:r>
      <w:r w:rsidR="00E92EC8" w:rsidRPr="00282F77">
        <w:rPr>
          <w:lang w:val="en-GB"/>
        </w:rPr>
        <w:t xml:space="preserve"> </w:t>
      </w:r>
      <w:r w:rsidR="002D3E92" w:rsidRPr="00282F77">
        <w:rPr>
          <w:lang w:val="en-GB"/>
        </w:rPr>
        <w:t xml:space="preserve">In any event I am also satisfied that the Applicant’s listed grounds of urgency sufficiently render the matter urgent.   </w:t>
      </w:r>
    </w:p>
    <w:p w14:paraId="3F89AF45" w14:textId="77777777" w:rsidR="00BD19CC" w:rsidRPr="004705D8" w:rsidRDefault="00BD19CC" w:rsidP="00BD19CC">
      <w:pPr>
        <w:pStyle w:val="ListParagraph"/>
        <w:rPr>
          <w:lang w:val="en-GB"/>
        </w:rPr>
      </w:pPr>
    </w:p>
    <w:p w14:paraId="3311166B" w14:textId="60B12E9A" w:rsidR="00BD19CC" w:rsidRPr="00282F77" w:rsidRDefault="00282F77" w:rsidP="00282F77">
      <w:pPr>
        <w:spacing w:before="120" w:line="480" w:lineRule="auto"/>
        <w:jc w:val="both"/>
        <w:rPr>
          <w:rFonts w:eastAsia="Times New Roman"/>
          <w:lang w:eastAsia="en-GB"/>
        </w:rPr>
      </w:pPr>
      <w:r w:rsidRPr="004705D8">
        <w:rPr>
          <w:rFonts w:eastAsia="Times New Roman"/>
          <w:lang w:eastAsia="en-GB"/>
        </w:rPr>
        <w:t>[6]</w:t>
      </w:r>
      <w:r w:rsidRPr="004705D8">
        <w:rPr>
          <w:rFonts w:eastAsia="Times New Roman"/>
          <w:lang w:eastAsia="en-GB"/>
        </w:rPr>
        <w:tab/>
      </w:r>
      <w:r w:rsidR="00BD19CC" w:rsidRPr="00282F77">
        <w:rPr>
          <w:rFonts w:eastAsia="Times New Roman"/>
          <w:lang w:eastAsia="en-GB"/>
        </w:rPr>
        <w:t>The Supreme Court of Appeal held in </w:t>
      </w:r>
      <w:r w:rsidR="00BD19CC" w:rsidRPr="00282F77">
        <w:rPr>
          <w:rFonts w:eastAsia="Times New Roman"/>
          <w:i/>
          <w:iCs/>
          <w:lang w:eastAsia="en-GB"/>
        </w:rPr>
        <w:t>Ivanov v North West Gambling</w:t>
      </w:r>
      <w:r w:rsidR="002D3E92" w:rsidRPr="00282F77">
        <w:rPr>
          <w:rFonts w:eastAsia="Times New Roman"/>
          <w:i/>
          <w:iCs/>
          <w:lang w:eastAsia="en-GB"/>
        </w:rPr>
        <w:t xml:space="preserve"> </w:t>
      </w:r>
      <w:r w:rsidR="00BD19CC" w:rsidRPr="00282F77">
        <w:rPr>
          <w:rFonts w:eastAsia="Times New Roman"/>
          <w:i/>
          <w:iCs/>
          <w:lang w:eastAsia="en-GB"/>
        </w:rPr>
        <w:t>Board</w:t>
      </w:r>
      <w:r w:rsidR="00BD19CC" w:rsidRPr="004705D8">
        <w:rPr>
          <w:rStyle w:val="FootnoteReference"/>
          <w:rFonts w:eastAsia="Times New Roman"/>
          <w:i/>
          <w:iCs/>
          <w:lang w:eastAsia="en-GB"/>
        </w:rPr>
        <w:footnoteReference w:id="1"/>
      </w:r>
      <w:r w:rsidR="00BD19CC" w:rsidRPr="00282F77">
        <w:rPr>
          <w:rFonts w:eastAsia="Times New Roman"/>
          <w:lang w:eastAsia="en-GB"/>
        </w:rPr>
        <w:t>  that an Applicant is entitled to a </w:t>
      </w:r>
      <w:r w:rsidR="00BD19CC" w:rsidRPr="00282F77">
        <w:rPr>
          <w:rFonts w:eastAsia="Times New Roman"/>
          <w:i/>
          <w:iCs/>
          <w:lang w:eastAsia="en-GB"/>
        </w:rPr>
        <w:t>mandament van spolie</w:t>
      </w:r>
      <w:r w:rsidR="00BD19CC" w:rsidRPr="00282F77">
        <w:rPr>
          <w:rFonts w:eastAsia="Times New Roman"/>
          <w:lang w:eastAsia="en-GB"/>
        </w:rPr>
        <w:t xml:space="preserve"> restoring the </w:t>
      </w:r>
      <w:r w:rsidR="00BD19CC" w:rsidRPr="00282F77">
        <w:rPr>
          <w:rFonts w:eastAsia="Times New Roman"/>
          <w:i/>
          <w:iCs/>
          <w:lang w:eastAsia="en-GB"/>
        </w:rPr>
        <w:t>status quo</w:t>
      </w:r>
      <w:r w:rsidR="00BD19CC" w:rsidRPr="00282F77">
        <w:rPr>
          <w:rFonts w:eastAsia="Times New Roman"/>
          <w:lang w:eastAsia="en-GB"/>
        </w:rPr>
        <w:t xml:space="preserve"> upon proof </w:t>
      </w:r>
      <w:r w:rsidR="002D550E" w:rsidRPr="00282F77">
        <w:rPr>
          <w:rFonts w:eastAsia="Times New Roman"/>
          <w:lang w:eastAsia="en-GB"/>
        </w:rPr>
        <w:t>t</w:t>
      </w:r>
      <w:r w:rsidR="00BD19CC" w:rsidRPr="00282F77">
        <w:rPr>
          <w:rFonts w:eastAsia="Times New Roman"/>
          <w:lang w:eastAsia="en-GB"/>
        </w:rPr>
        <w:t>hat he was in peaceful and undisturbed possession of the spoliated thing</w:t>
      </w:r>
      <w:r w:rsidR="002D550E" w:rsidRPr="00282F77">
        <w:rPr>
          <w:rFonts w:eastAsia="Times New Roman"/>
          <w:lang w:eastAsia="en-GB"/>
        </w:rPr>
        <w:t xml:space="preserve"> </w:t>
      </w:r>
      <w:r w:rsidR="00BD19CC" w:rsidRPr="00282F77">
        <w:rPr>
          <w:rFonts w:eastAsia="Times New Roman"/>
          <w:lang w:eastAsia="en-GB"/>
        </w:rPr>
        <w:t>and </w:t>
      </w:r>
      <w:r w:rsidR="002D550E" w:rsidRPr="00282F77">
        <w:rPr>
          <w:rFonts w:eastAsia="Times New Roman"/>
          <w:lang w:eastAsia="en-GB"/>
        </w:rPr>
        <w:t>t</w:t>
      </w:r>
      <w:r w:rsidR="00BD19CC" w:rsidRPr="00282F77">
        <w:rPr>
          <w:rFonts w:eastAsia="Times New Roman"/>
          <w:lang w:eastAsia="en-GB"/>
        </w:rPr>
        <w:t>hat he was wrongfully deprived of possession.</w:t>
      </w:r>
    </w:p>
    <w:p w14:paraId="0926E7D9" w14:textId="77777777" w:rsidR="00BD19CC" w:rsidRPr="004705D8" w:rsidRDefault="00BD19CC" w:rsidP="00BD19CC">
      <w:pPr>
        <w:pStyle w:val="ListParagraph"/>
        <w:spacing w:after="180" w:line="480" w:lineRule="auto"/>
        <w:ind w:left="714"/>
        <w:jc w:val="both"/>
        <w:rPr>
          <w:rFonts w:eastAsia="Times New Roman"/>
          <w:lang w:eastAsia="en-GB"/>
        </w:rPr>
      </w:pPr>
    </w:p>
    <w:p w14:paraId="1C09E9F5" w14:textId="684CF044" w:rsidR="00BD19CC" w:rsidRPr="00282F77" w:rsidRDefault="00282F77" w:rsidP="00282F77">
      <w:pPr>
        <w:spacing w:before="120" w:line="480" w:lineRule="auto"/>
        <w:jc w:val="both"/>
        <w:rPr>
          <w:rFonts w:eastAsia="Times New Roman"/>
          <w:lang w:eastAsia="en-GB"/>
        </w:rPr>
      </w:pPr>
      <w:r w:rsidRPr="004705D8">
        <w:rPr>
          <w:rFonts w:eastAsia="Times New Roman"/>
          <w:lang w:eastAsia="en-GB"/>
        </w:rPr>
        <w:t>[7]</w:t>
      </w:r>
      <w:r w:rsidRPr="004705D8">
        <w:rPr>
          <w:rFonts w:eastAsia="Times New Roman"/>
          <w:lang w:eastAsia="en-GB"/>
        </w:rPr>
        <w:tab/>
      </w:r>
      <w:r w:rsidR="00BD19CC" w:rsidRPr="00282F77">
        <w:rPr>
          <w:rFonts w:eastAsia="Times New Roman"/>
          <w:lang w:eastAsia="en-GB"/>
        </w:rPr>
        <w:t>Spoliation is correctly described as a wrongful deprivation of another person's right. In spoliation applications the lawfulness of the possession of the</w:t>
      </w:r>
      <w:r w:rsidR="002D550E" w:rsidRPr="00282F77">
        <w:rPr>
          <w:rFonts w:eastAsia="Times New Roman"/>
          <w:lang w:eastAsia="en-GB"/>
        </w:rPr>
        <w:t xml:space="preserve"> A</w:t>
      </w:r>
      <w:r w:rsidR="00BD19CC" w:rsidRPr="00282F77">
        <w:rPr>
          <w:rFonts w:eastAsia="Times New Roman"/>
          <w:lang w:eastAsia="en-GB"/>
        </w:rPr>
        <w:t xml:space="preserve">pplicant for the spoliation order is irrelevant. Therefore, spoliation remedy protects peaceful and undisturbed possession against unlawful </w:t>
      </w:r>
      <w:r w:rsidR="005E555E" w:rsidRPr="00282F77">
        <w:rPr>
          <w:rFonts w:eastAsia="Times New Roman"/>
          <w:lang w:eastAsia="en-GB"/>
        </w:rPr>
        <w:t>action</w:t>
      </w:r>
      <w:r w:rsidR="00BD19CC" w:rsidRPr="00282F77">
        <w:rPr>
          <w:rFonts w:eastAsia="Times New Roman"/>
          <w:lang w:eastAsia="en-GB"/>
        </w:rPr>
        <w:t>s.</w:t>
      </w:r>
    </w:p>
    <w:p w14:paraId="4B8A06A5" w14:textId="77777777" w:rsidR="00BD19CC" w:rsidRPr="004705D8" w:rsidRDefault="00BD19CC" w:rsidP="00BD19CC">
      <w:pPr>
        <w:pStyle w:val="ListParagraph"/>
        <w:spacing w:before="120" w:line="480" w:lineRule="auto"/>
        <w:ind w:left="714"/>
        <w:jc w:val="both"/>
        <w:rPr>
          <w:rFonts w:eastAsia="Times New Roman"/>
          <w:lang w:eastAsia="en-GB"/>
        </w:rPr>
      </w:pPr>
    </w:p>
    <w:p w14:paraId="4BD90A6C" w14:textId="146E1C2B" w:rsidR="002D550E" w:rsidRPr="00282F77" w:rsidRDefault="00282F77" w:rsidP="00282F77">
      <w:pPr>
        <w:spacing w:before="120" w:line="480" w:lineRule="auto"/>
        <w:jc w:val="both"/>
        <w:rPr>
          <w:rFonts w:eastAsia="Times New Roman"/>
          <w:lang w:eastAsia="en-GB"/>
        </w:rPr>
      </w:pPr>
      <w:r w:rsidRPr="004705D8">
        <w:rPr>
          <w:rFonts w:eastAsia="Times New Roman"/>
          <w:lang w:eastAsia="en-GB"/>
        </w:rPr>
        <w:t>[8]</w:t>
      </w:r>
      <w:r w:rsidRPr="004705D8">
        <w:rPr>
          <w:rFonts w:eastAsia="Times New Roman"/>
          <w:lang w:eastAsia="en-GB"/>
        </w:rPr>
        <w:tab/>
      </w:r>
      <w:r w:rsidR="00BD19CC" w:rsidRPr="00282F77">
        <w:rPr>
          <w:rFonts w:eastAsia="Times New Roman"/>
          <w:lang w:eastAsia="en-GB"/>
        </w:rPr>
        <w:t>In </w:t>
      </w:r>
      <w:r w:rsidR="00BD19CC" w:rsidRPr="00282F77">
        <w:rPr>
          <w:rFonts w:eastAsia="Times New Roman"/>
          <w:i/>
          <w:iCs/>
          <w:lang w:eastAsia="en-GB"/>
        </w:rPr>
        <w:t>Ngqukumba v Minister of Safety and Security</w:t>
      </w:r>
      <w:bookmarkStart w:id="1" w:name="0-0-0-276593"/>
      <w:bookmarkEnd w:id="1"/>
      <w:r w:rsidR="002D550E" w:rsidRPr="004705D8">
        <w:rPr>
          <w:rStyle w:val="FootnoteReference"/>
          <w:rFonts w:eastAsia="Times New Roman"/>
          <w:i/>
          <w:iCs/>
          <w:lang w:eastAsia="en-GB"/>
        </w:rPr>
        <w:footnoteReference w:id="2"/>
      </w:r>
      <w:r w:rsidR="00BD19CC" w:rsidRPr="00282F77">
        <w:rPr>
          <w:rFonts w:eastAsia="Times New Roman"/>
          <w:lang w:eastAsia="en-GB"/>
        </w:rPr>
        <w:t>, the Constitutional Court held as follows:</w:t>
      </w:r>
    </w:p>
    <w:p w14:paraId="1BB803B5" w14:textId="77777777" w:rsidR="002D550E" w:rsidRPr="004705D8" w:rsidRDefault="002D550E" w:rsidP="002D550E">
      <w:pPr>
        <w:spacing w:before="120" w:line="480" w:lineRule="auto"/>
        <w:jc w:val="both"/>
        <w:rPr>
          <w:rFonts w:eastAsia="Times New Roman"/>
          <w:lang w:eastAsia="en-GB"/>
        </w:rPr>
      </w:pPr>
    </w:p>
    <w:p w14:paraId="7D17794D" w14:textId="2907F8CB" w:rsidR="00BD19CC" w:rsidRPr="004705D8" w:rsidRDefault="00BD19CC" w:rsidP="002D550E">
      <w:pPr>
        <w:pStyle w:val="ListParagraph"/>
        <w:spacing w:after="180" w:line="480" w:lineRule="auto"/>
        <w:ind w:left="914"/>
        <w:jc w:val="both"/>
        <w:rPr>
          <w:rFonts w:eastAsia="Times New Roman"/>
          <w:i/>
          <w:iCs/>
          <w:sz w:val="22"/>
          <w:szCs w:val="22"/>
          <w:lang w:eastAsia="en-GB"/>
        </w:rPr>
      </w:pPr>
      <w:r w:rsidRPr="004705D8">
        <w:rPr>
          <w:rFonts w:eastAsia="Times New Roman"/>
          <w:i/>
          <w:iCs/>
          <w:sz w:val="22"/>
          <w:szCs w:val="22"/>
          <w:lang w:eastAsia="en-GB"/>
        </w:rPr>
        <w:t xml:space="preserve">"Self-help is so repugnant to our constitutional values that where it has been resorted to in despoiling someone, it must be </w:t>
      </w:r>
      <w:r w:rsidR="002D550E" w:rsidRPr="004705D8">
        <w:rPr>
          <w:rFonts w:eastAsia="Times New Roman"/>
          <w:i/>
          <w:iCs/>
          <w:sz w:val="22"/>
          <w:szCs w:val="22"/>
          <w:lang w:eastAsia="en-GB"/>
        </w:rPr>
        <w:t>p</w:t>
      </w:r>
      <w:r w:rsidRPr="004705D8">
        <w:rPr>
          <w:rFonts w:eastAsia="Times New Roman"/>
          <w:i/>
          <w:iCs/>
          <w:sz w:val="22"/>
          <w:szCs w:val="22"/>
          <w:lang w:eastAsia="en-GB"/>
        </w:rPr>
        <w:t>urged before any inquiry into the lawfulness of the possession of the pe</w:t>
      </w:r>
      <w:r w:rsidR="002D550E" w:rsidRPr="004705D8">
        <w:rPr>
          <w:rFonts w:eastAsia="Times New Roman"/>
          <w:i/>
          <w:iCs/>
          <w:sz w:val="22"/>
          <w:szCs w:val="22"/>
          <w:lang w:eastAsia="en-GB"/>
        </w:rPr>
        <w:t>r</w:t>
      </w:r>
      <w:r w:rsidRPr="004705D8">
        <w:rPr>
          <w:rFonts w:eastAsia="Times New Roman"/>
          <w:i/>
          <w:iCs/>
          <w:sz w:val="22"/>
          <w:szCs w:val="22"/>
          <w:lang w:eastAsia="en-GB"/>
        </w:rPr>
        <w:t>son despoiled."</w:t>
      </w:r>
    </w:p>
    <w:p w14:paraId="6542FEF5" w14:textId="77777777" w:rsidR="005E555E" w:rsidRPr="004705D8" w:rsidRDefault="005E555E" w:rsidP="002D550E">
      <w:pPr>
        <w:pStyle w:val="ListParagraph"/>
        <w:spacing w:after="180" w:line="480" w:lineRule="auto"/>
        <w:ind w:left="914"/>
        <w:jc w:val="both"/>
        <w:rPr>
          <w:rFonts w:eastAsia="Times New Roman"/>
          <w:i/>
          <w:iCs/>
          <w:sz w:val="22"/>
          <w:szCs w:val="22"/>
          <w:lang w:eastAsia="en-GB"/>
        </w:rPr>
      </w:pPr>
    </w:p>
    <w:p w14:paraId="385BDB90" w14:textId="4D05B821" w:rsidR="00A63CCF" w:rsidRPr="004705D8" w:rsidRDefault="00A63CCF" w:rsidP="00A63CCF">
      <w:pPr>
        <w:spacing w:after="180" w:line="480" w:lineRule="auto"/>
        <w:jc w:val="both"/>
        <w:rPr>
          <w:rFonts w:eastAsia="Times New Roman"/>
          <w:i/>
          <w:iCs/>
          <w:sz w:val="22"/>
          <w:szCs w:val="22"/>
          <w:lang w:eastAsia="en-GB"/>
        </w:rPr>
      </w:pPr>
      <w:r w:rsidRPr="004705D8">
        <w:rPr>
          <w:rFonts w:eastAsia="Times New Roman"/>
          <w:i/>
          <w:iCs/>
          <w:sz w:val="22"/>
          <w:szCs w:val="22"/>
          <w:lang w:eastAsia="en-GB"/>
        </w:rPr>
        <w:t>Common cause facts</w:t>
      </w:r>
    </w:p>
    <w:p w14:paraId="09F9644E" w14:textId="31CF98A2" w:rsidR="00BD19CC" w:rsidRPr="00282F77" w:rsidRDefault="00282F77" w:rsidP="00282F77">
      <w:pPr>
        <w:autoSpaceDE w:val="0"/>
        <w:autoSpaceDN w:val="0"/>
        <w:adjustRightInd w:val="0"/>
        <w:spacing w:line="480" w:lineRule="auto"/>
        <w:jc w:val="both"/>
        <w:rPr>
          <w:lang w:val="en-GB"/>
        </w:rPr>
      </w:pPr>
      <w:r w:rsidRPr="004705D8">
        <w:rPr>
          <w:lang w:val="en-GB"/>
        </w:rPr>
        <w:lastRenderedPageBreak/>
        <w:t>[9]</w:t>
      </w:r>
      <w:r w:rsidRPr="004705D8">
        <w:rPr>
          <w:lang w:val="en-GB"/>
        </w:rPr>
        <w:tab/>
      </w:r>
      <w:r w:rsidR="00A63CCF" w:rsidRPr="00282F77">
        <w:rPr>
          <w:lang w:val="en-GB"/>
        </w:rPr>
        <w:t>The following facts are common cause:</w:t>
      </w:r>
    </w:p>
    <w:p w14:paraId="3BB8A2A8" w14:textId="77777777" w:rsidR="00A63CCF" w:rsidRPr="004705D8" w:rsidRDefault="00A63CCF" w:rsidP="00A63CCF">
      <w:pPr>
        <w:pStyle w:val="ListParagraph"/>
        <w:autoSpaceDE w:val="0"/>
        <w:autoSpaceDN w:val="0"/>
        <w:adjustRightInd w:val="0"/>
        <w:spacing w:line="480" w:lineRule="auto"/>
        <w:ind w:left="0"/>
        <w:jc w:val="both"/>
        <w:rPr>
          <w:lang w:val="en-GB"/>
        </w:rPr>
      </w:pPr>
    </w:p>
    <w:p w14:paraId="03B0A97E" w14:textId="16F99AE3" w:rsidR="00706AF2" w:rsidRPr="004705D8" w:rsidRDefault="00A63CCF" w:rsidP="003D7E24">
      <w:pPr>
        <w:pStyle w:val="ListParagraph"/>
        <w:autoSpaceDE w:val="0"/>
        <w:autoSpaceDN w:val="0"/>
        <w:adjustRightInd w:val="0"/>
        <w:spacing w:line="480" w:lineRule="auto"/>
        <w:ind w:left="1440" w:hanging="720"/>
        <w:jc w:val="both"/>
        <w:rPr>
          <w:lang w:val="en-GB"/>
        </w:rPr>
      </w:pPr>
      <w:r w:rsidRPr="004705D8">
        <w:rPr>
          <w:lang w:val="en-GB"/>
        </w:rPr>
        <w:t>9.1</w:t>
      </w:r>
      <w:r w:rsidRPr="004705D8">
        <w:rPr>
          <w:lang w:val="en-GB"/>
        </w:rPr>
        <w:tab/>
        <w:t xml:space="preserve">The Applicant is one of the parties </w:t>
      </w:r>
      <w:r w:rsidR="005E555E" w:rsidRPr="004705D8">
        <w:rPr>
          <w:lang w:val="en-GB"/>
        </w:rPr>
        <w:t>in the pending application before the Makhanda High Court where</w:t>
      </w:r>
      <w:r w:rsidRPr="004705D8">
        <w:rPr>
          <w:lang w:val="en-GB"/>
        </w:rPr>
        <w:t xml:space="preserve"> the Respondents are seeking to </w:t>
      </w:r>
      <w:r w:rsidR="00706AF2" w:rsidRPr="004705D8">
        <w:rPr>
          <w:lang w:val="en-GB"/>
        </w:rPr>
        <w:t>interdict</w:t>
      </w:r>
      <w:r w:rsidR="005E555E" w:rsidRPr="004705D8">
        <w:rPr>
          <w:lang w:val="en-GB"/>
        </w:rPr>
        <w:t xml:space="preserve"> her</w:t>
      </w:r>
      <w:r w:rsidR="00706AF2" w:rsidRPr="004705D8">
        <w:rPr>
          <w:lang w:val="en-GB"/>
        </w:rPr>
        <w:t xml:space="preserve"> from trading and conducting business at the premises in question</w:t>
      </w:r>
      <w:r w:rsidR="006D4E92" w:rsidRPr="004705D8">
        <w:rPr>
          <w:lang w:val="en-GB"/>
        </w:rPr>
        <w:t>.</w:t>
      </w:r>
    </w:p>
    <w:p w14:paraId="10B9A8D2" w14:textId="77777777" w:rsidR="00706AF2" w:rsidRPr="004705D8" w:rsidRDefault="00706AF2" w:rsidP="00A63CCF">
      <w:pPr>
        <w:pStyle w:val="ListParagraph"/>
        <w:autoSpaceDE w:val="0"/>
        <w:autoSpaceDN w:val="0"/>
        <w:adjustRightInd w:val="0"/>
        <w:spacing w:line="480" w:lineRule="auto"/>
        <w:jc w:val="both"/>
        <w:rPr>
          <w:lang w:val="en-GB"/>
        </w:rPr>
      </w:pPr>
    </w:p>
    <w:p w14:paraId="702E15AD" w14:textId="77777777" w:rsidR="006D4E92" w:rsidRPr="004705D8" w:rsidRDefault="00706AF2" w:rsidP="003D7E24">
      <w:pPr>
        <w:pStyle w:val="ListParagraph"/>
        <w:autoSpaceDE w:val="0"/>
        <w:autoSpaceDN w:val="0"/>
        <w:adjustRightInd w:val="0"/>
        <w:spacing w:line="480" w:lineRule="auto"/>
        <w:ind w:left="1440" w:hanging="720"/>
        <w:jc w:val="both"/>
        <w:rPr>
          <w:lang w:val="en-GB"/>
        </w:rPr>
      </w:pPr>
      <w:r w:rsidRPr="004705D8">
        <w:rPr>
          <w:lang w:val="en-GB"/>
        </w:rPr>
        <w:t>9.2</w:t>
      </w:r>
      <w:r w:rsidRPr="004705D8">
        <w:rPr>
          <w:lang w:val="en-GB"/>
        </w:rPr>
        <w:tab/>
        <w:t xml:space="preserve"> </w:t>
      </w:r>
      <w:r w:rsidR="006D4E92" w:rsidRPr="004705D8">
        <w:rPr>
          <w:lang w:val="en-GB"/>
        </w:rPr>
        <w:t>On 21 February 2024 the Applicant was given the keys to the premises and at the same time received and signed for the notices to vacate the premises in question.</w:t>
      </w:r>
    </w:p>
    <w:p w14:paraId="1FC60252" w14:textId="77777777" w:rsidR="005E555E" w:rsidRPr="004705D8" w:rsidRDefault="005E555E" w:rsidP="003D7E24">
      <w:pPr>
        <w:pStyle w:val="ListParagraph"/>
        <w:autoSpaceDE w:val="0"/>
        <w:autoSpaceDN w:val="0"/>
        <w:adjustRightInd w:val="0"/>
        <w:spacing w:line="480" w:lineRule="auto"/>
        <w:ind w:left="1440" w:hanging="720"/>
        <w:jc w:val="both"/>
        <w:rPr>
          <w:lang w:val="en-GB"/>
        </w:rPr>
      </w:pPr>
    </w:p>
    <w:p w14:paraId="2BCD3B35" w14:textId="0A53D205" w:rsidR="00A63CCF" w:rsidRPr="004705D8" w:rsidRDefault="006D4E92" w:rsidP="003D7E24">
      <w:pPr>
        <w:autoSpaceDE w:val="0"/>
        <w:autoSpaceDN w:val="0"/>
        <w:adjustRightInd w:val="0"/>
        <w:spacing w:line="480" w:lineRule="auto"/>
        <w:ind w:left="1440" w:hanging="720"/>
        <w:jc w:val="both"/>
        <w:rPr>
          <w:lang w:val="en-GB"/>
        </w:rPr>
      </w:pPr>
      <w:r w:rsidRPr="004705D8">
        <w:rPr>
          <w:lang w:val="en-GB"/>
        </w:rPr>
        <w:t>9.3</w:t>
      </w:r>
      <w:r w:rsidRPr="004705D8">
        <w:rPr>
          <w:lang w:val="en-GB"/>
        </w:rPr>
        <w:tab/>
        <w:t xml:space="preserve">The Applicant, together </w:t>
      </w:r>
      <w:r w:rsidR="003D7E24" w:rsidRPr="004705D8">
        <w:rPr>
          <w:lang w:val="en-GB"/>
        </w:rPr>
        <w:t>with so called ‘other unlawful occupants’</w:t>
      </w:r>
      <w:r w:rsidR="005E555E" w:rsidRPr="004705D8">
        <w:rPr>
          <w:lang w:val="en-GB"/>
        </w:rPr>
        <w:t>,</w:t>
      </w:r>
      <w:r w:rsidR="003D7E24" w:rsidRPr="004705D8">
        <w:rPr>
          <w:lang w:val="en-GB"/>
        </w:rPr>
        <w:t xml:space="preserve"> left the stock, which include</w:t>
      </w:r>
      <w:r w:rsidR="00E23C03" w:rsidRPr="004705D8">
        <w:rPr>
          <w:lang w:val="en-GB"/>
        </w:rPr>
        <w:t>d</w:t>
      </w:r>
      <w:r w:rsidR="003D7E24" w:rsidRPr="004705D8">
        <w:rPr>
          <w:lang w:val="en-GB"/>
        </w:rPr>
        <w:t xml:space="preserve"> perishables </w:t>
      </w:r>
      <w:r w:rsidR="00E23C03" w:rsidRPr="004705D8">
        <w:rPr>
          <w:lang w:val="en-GB"/>
        </w:rPr>
        <w:t>at</w:t>
      </w:r>
      <w:r w:rsidR="003D7E24" w:rsidRPr="004705D8">
        <w:rPr>
          <w:lang w:val="en-GB"/>
        </w:rPr>
        <w:t xml:space="preserve"> the premises in question.</w:t>
      </w:r>
      <w:r w:rsidRPr="004705D8">
        <w:rPr>
          <w:lang w:val="en-GB"/>
        </w:rPr>
        <w:t xml:space="preserve">  </w:t>
      </w:r>
    </w:p>
    <w:p w14:paraId="1F1F235C" w14:textId="77777777" w:rsidR="003D7E24" w:rsidRPr="004705D8" w:rsidRDefault="003D7E24" w:rsidP="003D7E24">
      <w:pPr>
        <w:autoSpaceDE w:val="0"/>
        <w:autoSpaceDN w:val="0"/>
        <w:adjustRightInd w:val="0"/>
        <w:spacing w:line="480" w:lineRule="auto"/>
        <w:ind w:left="1440" w:hanging="720"/>
        <w:jc w:val="both"/>
        <w:rPr>
          <w:lang w:val="en-GB"/>
        </w:rPr>
      </w:pPr>
    </w:p>
    <w:p w14:paraId="16FEA126" w14:textId="53CD7676" w:rsidR="00791A4E" w:rsidRPr="00282F77" w:rsidRDefault="00282F77" w:rsidP="00282F77">
      <w:pPr>
        <w:autoSpaceDE w:val="0"/>
        <w:autoSpaceDN w:val="0"/>
        <w:adjustRightInd w:val="0"/>
        <w:spacing w:line="480" w:lineRule="auto"/>
        <w:jc w:val="both"/>
        <w:rPr>
          <w:lang w:val="en-GB"/>
        </w:rPr>
      </w:pPr>
      <w:r w:rsidRPr="004705D8">
        <w:rPr>
          <w:lang w:val="en-GB"/>
        </w:rPr>
        <w:t>[10]</w:t>
      </w:r>
      <w:r w:rsidRPr="004705D8">
        <w:rPr>
          <w:lang w:val="en-GB"/>
        </w:rPr>
        <w:tab/>
      </w:r>
      <w:r w:rsidR="00E23C03" w:rsidRPr="00282F77">
        <w:rPr>
          <w:lang w:val="en-GB"/>
        </w:rPr>
        <w:t xml:space="preserve">In opposition of the reliefs sought, the Respondents have challenged the Applicant’s </w:t>
      </w:r>
      <w:r w:rsidR="00E23C03" w:rsidRPr="00282F77">
        <w:rPr>
          <w:i/>
          <w:iCs/>
          <w:lang w:val="en-GB"/>
        </w:rPr>
        <w:t xml:space="preserve">locus standi </w:t>
      </w:r>
      <w:r w:rsidR="00E23C03" w:rsidRPr="00282F77">
        <w:rPr>
          <w:lang w:val="en-GB"/>
        </w:rPr>
        <w:t>to bring this application. The Applicant, so the argument goes, is not in possession of the premises in question on the basis that she has abandoned the premises. The</w:t>
      </w:r>
      <w:r w:rsidR="005E555E" w:rsidRPr="00282F77">
        <w:rPr>
          <w:lang w:val="en-GB"/>
        </w:rPr>
        <w:t>y further argue that the</w:t>
      </w:r>
      <w:r w:rsidR="00E23C03" w:rsidRPr="00282F77">
        <w:rPr>
          <w:lang w:val="en-GB"/>
        </w:rPr>
        <w:t xml:space="preserve"> correct person to bring the application should have been </w:t>
      </w:r>
      <w:r w:rsidR="00791A4E" w:rsidRPr="00282F77">
        <w:rPr>
          <w:lang w:val="en-GB"/>
        </w:rPr>
        <w:t>an entity called Rhweba Phumalanga Trading (Pty) Ltd</w:t>
      </w:r>
      <w:r w:rsidR="005E555E" w:rsidRPr="00282F77">
        <w:rPr>
          <w:lang w:val="en-GB"/>
        </w:rPr>
        <w:t xml:space="preserve"> (‘</w:t>
      </w:r>
      <w:r w:rsidR="005E555E" w:rsidRPr="00282F77">
        <w:rPr>
          <w:i/>
          <w:iCs/>
          <w:lang w:val="en-GB"/>
        </w:rPr>
        <w:t>Rhweba’)</w:t>
      </w:r>
      <w:r w:rsidR="00791A4E" w:rsidRPr="00282F77">
        <w:rPr>
          <w:lang w:val="en-GB"/>
        </w:rPr>
        <w:t xml:space="preserve">. Paragraph 10 of the answering affidavit referred me to paragraphs 82, 84 and 87 of the affidavit deposed to by one Naledi but such affidavit has not been placed before me and does not form part of the </w:t>
      </w:r>
      <w:r w:rsidR="005E555E" w:rsidRPr="00282F77">
        <w:rPr>
          <w:lang w:val="en-GB"/>
        </w:rPr>
        <w:t xml:space="preserve">indexed </w:t>
      </w:r>
      <w:r w:rsidR="00791A4E" w:rsidRPr="00282F77">
        <w:rPr>
          <w:lang w:val="en-GB"/>
        </w:rPr>
        <w:t>bundle serving before me.</w:t>
      </w:r>
    </w:p>
    <w:p w14:paraId="71987D9A" w14:textId="77777777" w:rsidR="00791A4E" w:rsidRPr="004705D8" w:rsidRDefault="00791A4E" w:rsidP="00507B7D">
      <w:pPr>
        <w:pStyle w:val="ListParagraph"/>
        <w:autoSpaceDE w:val="0"/>
        <w:autoSpaceDN w:val="0"/>
        <w:adjustRightInd w:val="0"/>
        <w:spacing w:line="480" w:lineRule="auto"/>
        <w:ind w:left="0"/>
        <w:jc w:val="both"/>
        <w:rPr>
          <w:lang w:val="en-GB"/>
        </w:rPr>
      </w:pPr>
    </w:p>
    <w:p w14:paraId="0510B5F8" w14:textId="13179F4D" w:rsidR="00851654" w:rsidRPr="004705D8" w:rsidRDefault="00282F77" w:rsidP="00282F77">
      <w:pPr>
        <w:spacing w:before="120" w:line="480" w:lineRule="auto"/>
        <w:ind w:left="720" w:hanging="720"/>
      </w:pPr>
      <w:r w:rsidRPr="004705D8">
        <w:t>[11]</w:t>
      </w:r>
      <w:r w:rsidRPr="004705D8">
        <w:tab/>
      </w:r>
      <w:r w:rsidR="00851654" w:rsidRPr="004705D8">
        <w:t>In</w:t>
      </w:r>
      <w:r w:rsidR="00851654" w:rsidRPr="004705D8">
        <w:rPr>
          <w:rStyle w:val="apple-converted-space"/>
        </w:rPr>
        <w:t xml:space="preserve"> an old case of </w:t>
      </w:r>
      <w:r w:rsidR="00851654" w:rsidRPr="00282F77">
        <w:rPr>
          <w:i/>
          <w:iCs/>
        </w:rPr>
        <w:t>Scholtz v Faifer</w:t>
      </w:r>
      <w:r w:rsidR="00851654" w:rsidRPr="004705D8">
        <w:rPr>
          <w:rStyle w:val="FootnoteReference"/>
          <w:i/>
          <w:iCs/>
        </w:rPr>
        <w:footnoteReference w:id="3"/>
      </w:r>
      <w:r w:rsidR="00851654" w:rsidRPr="004705D8">
        <w:t>, Innes CJ had the following to say:</w:t>
      </w:r>
    </w:p>
    <w:p w14:paraId="6D21A3AA" w14:textId="77777777" w:rsidR="00851654" w:rsidRPr="004705D8" w:rsidRDefault="00851654" w:rsidP="00507B7D">
      <w:pPr>
        <w:pStyle w:val="ListParagraph"/>
        <w:spacing w:before="120" w:line="480" w:lineRule="auto"/>
      </w:pPr>
    </w:p>
    <w:p w14:paraId="3E908FEB" w14:textId="29C85745" w:rsidR="00851654" w:rsidRPr="004705D8" w:rsidRDefault="00851654" w:rsidP="00507B7D">
      <w:pPr>
        <w:pStyle w:val="ListParagraph"/>
        <w:spacing w:before="120" w:after="20" w:line="480" w:lineRule="auto"/>
      </w:pPr>
      <w:r w:rsidRPr="004705D8">
        <w:t> "</w:t>
      </w:r>
      <w:r w:rsidRPr="004705D8">
        <w:rPr>
          <w:i/>
          <w:iCs/>
        </w:rPr>
        <w:t xml:space="preserve">Here the possession which must be proved is not possession in the ordinary sense of the term – that is, possession by a man who holds pro domino, and to assert his rights as owner. </w:t>
      </w:r>
      <w:r w:rsidRPr="004705D8">
        <w:rPr>
          <w:i/>
          <w:iCs/>
          <w:u w:val="single"/>
        </w:rPr>
        <w:t>It is enough if the holding is with the intention of securing some benefit for himself as against the owner</w:t>
      </w:r>
      <w:r w:rsidRPr="004705D8">
        <w:rPr>
          <w:i/>
          <w:iCs/>
        </w:rPr>
        <w:t>"</w:t>
      </w:r>
      <w:r w:rsidR="005E555E" w:rsidRPr="004705D8">
        <w:rPr>
          <w:i/>
          <w:iCs/>
        </w:rPr>
        <w:t xml:space="preserve"> (underlined for emphasis)</w:t>
      </w:r>
    </w:p>
    <w:p w14:paraId="4AEDF812" w14:textId="77777777" w:rsidR="00851654" w:rsidRPr="004705D8" w:rsidRDefault="00851654" w:rsidP="00507B7D">
      <w:pPr>
        <w:spacing w:before="240" w:after="60" w:line="480" w:lineRule="auto"/>
        <w:rPr>
          <w:b/>
          <w:bCs/>
        </w:rPr>
      </w:pPr>
    </w:p>
    <w:p w14:paraId="7BD3932D" w14:textId="199C48F4" w:rsidR="00851654" w:rsidRPr="004705D8" w:rsidRDefault="00282F77" w:rsidP="00282F77">
      <w:pPr>
        <w:spacing w:before="120" w:line="480" w:lineRule="auto"/>
        <w:jc w:val="both"/>
      </w:pPr>
      <w:r w:rsidRPr="004705D8">
        <w:t>[12]</w:t>
      </w:r>
      <w:r w:rsidRPr="004705D8">
        <w:tab/>
      </w:r>
      <w:r w:rsidR="00851654" w:rsidRPr="004705D8">
        <w:t>I am satisfied that the Applicant, in being an employee of Rhweba and also</w:t>
      </w:r>
      <w:r w:rsidR="00507B7D" w:rsidRPr="004705D8">
        <w:t xml:space="preserve"> </w:t>
      </w:r>
      <w:r w:rsidR="00851654" w:rsidRPr="004705D8">
        <w:t xml:space="preserve">performing work with the intention of securing some benefit for herself, she has a legal standing to bring this application. By being involved in a day to day running of the business, she has accrued </w:t>
      </w:r>
      <w:r w:rsidR="00507B7D" w:rsidRPr="004705D8">
        <w:t xml:space="preserve">some </w:t>
      </w:r>
      <w:r w:rsidR="00851654" w:rsidRPr="004705D8">
        <w:t>rights</w:t>
      </w:r>
      <w:r w:rsidR="00507B7D" w:rsidRPr="004705D8">
        <w:t xml:space="preserve"> that are protected in law. </w:t>
      </w:r>
      <w:r w:rsidR="00851654" w:rsidRPr="004705D8">
        <w:t xml:space="preserve">The </w:t>
      </w:r>
      <w:r w:rsidR="00507B7D" w:rsidRPr="004705D8">
        <w:t>conduct of the R</w:t>
      </w:r>
      <w:r w:rsidR="00851654" w:rsidRPr="004705D8">
        <w:t>espondent</w:t>
      </w:r>
      <w:r w:rsidR="00507B7D" w:rsidRPr="004705D8">
        <w:t>s</w:t>
      </w:r>
      <w:r w:rsidR="00851654" w:rsidRPr="004705D8">
        <w:t xml:space="preserve"> </w:t>
      </w:r>
      <w:r w:rsidR="00507B7D" w:rsidRPr="004705D8">
        <w:t xml:space="preserve">appears </w:t>
      </w:r>
      <w:r w:rsidR="005E555E" w:rsidRPr="004705D8">
        <w:t xml:space="preserve">to me </w:t>
      </w:r>
      <w:r w:rsidR="00507B7D" w:rsidRPr="004705D8">
        <w:t>to be a</w:t>
      </w:r>
      <w:r w:rsidR="00851654" w:rsidRPr="004705D8">
        <w:t xml:space="preserve"> set up stratagem </w:t>
      </w:r>
      <w:r w:rsidR="00507B7D" w:rsidRPr="004705D8">
        <w:t xml:space="preserve">seeking </w:t>
      </w:r>
      <w:r w:rsidR="00851654" w:rsidRPr="004705D8">
        <w:t xml:space="preserve">to prevent the </w:t>
      </w:r>
      <w:r w:rsidR="00507B7D" w:rsidRPr="004705D8">
        <w:t>A</w:t>
      </w:r>
      <w:r w:rsidR="00851654" w:rsidRPr="004705D8">
        <w:t xml:space="preserve">pplicant from entering the premises and participating in the company business as before. It was </w:t>
      </w:r>
      <w:r w:rsidR="00507B7D" w:rsidRPr="004705D8">
        <w:t xml:space="preserve">therefore </w:t>
      </w:r>
      <w:r w:rsidR="00851654" w:rsidRPr="004705D8">
        <w:t>incumbent of h</w:t>
      </w:r>
      <w:r w:rsidR="00507B7D" w:rsidRPr="004705D8">
        <w:t>er</w:t>
      </w:r>
      <w:r w:rsidR="00851654" w:rsidRPr="004705D8">
        <w:t xml:space="preserve"> to approach court for the necessary relief to prevent her further access to the premises and participation in the business.</w:t>
      </w:r>
    </w:p>
    <w:p w14:paraId="7EC21FDA" w14:textId="77777777" w:rsidR="00851654" w:rsidRPr="004705D8" w:rsidRDefault="00851654" w:rsidP="00851654">
      <w:pPr>
        <w:pStyle w:val="ListParagraph"/>
        <w:rPr>
          <w:lang w:val="en-GB"/>
        </w:rPr>
      </w:pPr>
    </w:p>
    <w:p w14:paraId="4B127D36" w14:textId="4C2070DF" w:rsidR="00CD1874" w:rsidRPr="00282F77" w:rsidRDefault="00282F77" w:rsidP="00282F77">
      <w:pPr>
        <w:autoSpaceDE w:val="0"/>
        <w:autoSpaceDN w:val="0"/>
        <w:adjustRightInd w:val="0"/>
        <w:spacing w:line="480" w:lineRule="auto"/>
        <w:jc w:val="both"/>
        <w:rPr>
          <w:lang w:val="en-GB"/>
        </w:rPr>
      </w:pPr>
      <w:r w:rsidRPr="004705D8">
        <w:rPr>
          <w:lang w:val="en-GB"/>
        </w:rPr>
        <w:t>[13]</w:t>
      </w:r>
      <w:r w:rsidRPr="004705D8">
        <w:rPr>
          <w:lang w:val="en-GB"/>
        </w:rPr>
        <w:tab/>
      </w:r>
      <w:r w:rsidR="00791A4E" w:rsidRPr="00282F77">
        <w:rPr>
          <w:lang w:val="en-GB"/>
        </w:rPr>
        <w:t xml:space="preserve">It does not make sense to me as to how the Respondents, in their own version, contend that the Applicant lacks the necessary </w:t>
      </w:r>
      <w:r w:rsidR="00791A4E" w:rsidRPr="00282F77">
        <w:rPr>
          <w:i/>
          <w:iCs/>
          <w:lang w:val="en-GB"/>
        </w:rPr>
        <w:t xml:space="preserve">locus standi </w:t>
      </w:r>
      <w:r w:rsidR="00791A4E" w:rsidRPr="00282F77">
        <w:rPr>
          <w:lang w:val="en-GB"/>
        </w:rPr>
        <w:t xml:space="preserve">on the basis that she is not in possession but on the same breath cite her as one of the Respondents in the Makhanda application who is being interdicted from trading and conducting business at the premises in question. This is the same person, as per the Respondents’ version, who was given keys to the premises and signed notices to vacate. There is further no distinction drawn, insofar as the Applicant </w:t>
      </w:r>
      <w:r w:rsidR="00D006F0" w:rsidRPr="00282F77">
        <w:rPr>
          <w:lang w:val="en-GB"/>
        </w:rPr>
        <w:t xml:space="preserve">and other co-Respondents </w:t>
      </w:r>
      <w:r w:rsidR="00791A4E" w:rsidRPr="00282F77">
        <w:rPr>
          <w:lang w:val="en-GB"/>
        </w:rPr>
        <w:t xml:space="preserve">is concerned, regarding the leaving of stock and perishables at the premises in question. For this </w:t>
      </w:r>
      <w:r w:rsidR="00791A4E" w:rsidRPr="00282F77">
        <w:rPr>
          <w:lang w:val="en-GB"/>
        </w:rPr>
        <w:lastRenderedPageBreak/>
        <w:t xml:space="preserve">reason alone, it is reasonable to conclude that the Applicant has been recognized by the Respondents </w:t>
      </w:r>
      <w:r w:rsidR="00D006F0" w:rsidRPr="00282F77">
        <w:rPr>
          <w:lang w:val="en-GB"/>
        </w:rPr>
        <w:t xml:space="preserve">themselves </w:t>
      </w:r>
      <w:r w:rsidR="00791A4E" w:rsidRPr="00282F77">
        <w:rPr>
          <w:lang w:val="en-GB"/>
        </w:rPr>
        <w:t>to be in possession of the premises.</w:t>
      </w:r>
    </w:p>
    <w:p w14:paraId="4D9A77CC" w14:textId="461C69C5" w:rsidR="00E23C03" w:rsidRPr="004705D8" w:rsidRDefault="00791A4E" w:rsidP="00CD1874">
      <w:pPr>
        <w:pStyle w:val="ListParagraph"/>
        <w:autoSpaceDE w:val="0"/>
        <w:autoSpaceDN w:val="0"/>
        <w:adjustRightInd w:val="0"/>
        <w:spacing w:line="480" w:lineRule="auto"/>
        <w:ind w:left="0"/>
        <w:jc w:val="both"/>
        <w:rPr>
          <w:lang w:val="en-GB"/>
        </w:rPr>
      </w:pPr>
      <w:r w:rsidRPr="004705D8">
        <w:rPr>
          <w:lang w:val="en-GB"/>
        </w:rPr>
        <w:t xml:space="preserve">    </w:t>
      </w:r>
      <w:r w:rsidR="00E23C03" w:rsidRPr="004705D8">
        <w:rPr>
          <w:lang w:val="en-GB"/>
        </w:rPr>
        <w:t xml:space="preserve"> </w:t>
      </w:r>
    </w:p>
    <w:p w14:paraId="41B99D3D" w14:textId="5D776C96" w:rsidR="00CD1874" w:rsidRPr="00282F77" w:rsidRDefault="00282F77" w:rsidP="00282F77">
      <w:pPr>
        <w:autoSpaceDE w:val="0"/>
        <w:autoSpaceDN w:val="0"/>
        <w:adjustRightInd w:val="0"/>
        <w:spacing w:line="480" w:lineRule="auto"/>
        <w:jc w:val="both"/>
        <w:rPr>
          <w:lang w:val="en-GB"/>
        </w:rPr>
      </w:pPr>
      <w:r w:rsidRPr="004705D8">
        <w:rPr>
          <w:lang w:val="en-GB"/>
        </w:rPr>
        <w:t>[14]</w:t>
      </w:r>
      <w:r w:rsidRPr="004705D8">
        <w:rPr>
          <w:lang w:val="en-GB"/>
        </w:rPr>
        <w:tab/>
      </w:r>
      <w:r w:rsidR="00CD1874" w:rsidRPr="00282F77">
        <w:rPr>
          <w:lang w:val="en-GB"/>
        </w:rPr>
        <w:t>It is my view that this ground of opposition cannot be sustained, and I accordingly find that the Applicant had the necessary legal standing to bring this application.</w:t>
      </w:r>
    </w:p>
    <w:p w14:paraId="08D20DE5" w14:textId="77777777" w:rsidR="00CD1874" w:rsidRPr="004705D8" w:rsidRDefault="00CD1874" w:rsidP="00CD1874">
      <w:pPr>
        <w:pStyle w:val="ListParagraph"/>
        <w:rPr>
          <w:lang w:val="en-GB"/>
        </w:rPr>
      </w:pPr>
    </w:p>
    <w:p w14:paraId="20C27D38" w14:textId="4E527A57" w:rsidR="00CD1874" w:rsidRPr="00282F77" w:rsidRDefault="00282F77" w:rsidP="00282F77">
      <w:pPr>
        <w:autoSpaceDE w:val="0"/>
        <w:autoSpaceDN w:val="0"/>
        <w:adjustRightInd w:val="0"/>
        <w:spacing w:line="480" w:lineRule="auto"/>
        <w:jc w:val="both"/>
        <w:rPr>
          <w:lang w:val="en-GB"/>
        </w:rPr>
      </w:pPr>
      <w:r w:rsidRPr="004705D8">
        <w:rPr>
          <w:lang w:val="en-GB"/>
        </w:rPr>
        <w:t>[15]</w:t>
      </w:r>
      <w:r w:rsidRPr="004705D8">
        <w:rPr>
          <w:lang w:val="en-GB"/>
        </w:rPr>
        <w:tab/>
      </w:r>
      <w:r w:rsidR="00CD1874" w:rsidRPr="00282F77">
        <w:rPr>
          <w:lang w:val="en-GB"/>
        </w:rPr>
        <w:t>Another issue that the Respondents raised is that the action of locking of the premises was not performed by them but by one Mr Tarr. I have al</w:t>
      </w:r>
      <w:r w:rsidR="00D006F0" w:rsidRPr="00282F77">
        <w:rPr>
          <w:lang w:val="en-GB"/>
        </w:rPr>
        <w:t>ready</w:t>
      </w:r>
      <w:r w:rsidR="00CD1874" w:rsidRPr="00282F77">
        <w:rPr>
          <w:lang w:val="en-GB"/>
        </w:rPr>
        <w:t xml:space="preserve"> indicated that I was not </w:t>
      </w:r>
      <w:r w:rsidR="00D006F0" w:rsidRPr="00282F77">
        <w:rPr>
          <w:lang w:val="en-GB"/>
        </w:rPr>
        <w:t xml:space="preserve">placed </w:t>
      </w:r>
      <w:r w:rsidR="00CD1874" w:rsidRPr="00282F77">
        <w:rPr>
          <w:lang w:val="en-GB"/>
        </w:rPr>
        <w:t xml:space="preserve">in possession of his confirmatory affidavit at the time of argument and even as at the date of these reasons, no such affidavit has been placed before me. The allegations made by the Respondents therefore remain unsubstantiated hearsay which no reliance can be placed. </w:t>
      </w:r>
    </w:p>
    <w:p w14:paraId="604A938D" w14:textId="77777777" w:rsidR="00CD1874" w:rsidRPr="004705D8" w:rsidRDefault="00CD1874" w:rsidP="00CD1874">
      <w:pPr>
        <w:pStyle w:val="ListParagraph"/>
        <w:rPr>
          <w:lang w:val="en-GB"/>
        </w:rPr>
      </w:pPr>
    </w:p>
    <w:p w14:paraId="63B2E91E" w14:textId="554FAB04" w:rsidR="00A63CCF" w:rsidRPr="00282F77" w:rsidRDefault="00282F77" w:rsidP="00282F77">
      <w:pPr>
        <w:autoSpaceDE w:val="0"/>
        <w:autoSpaceDN w:val="0"/>
        <w:adjustRightInd w:val="0"/>
        <w:spacing w:line="480" w:lineRule="auto"/>
        <w:jc w:val="both"/>
        <w:rPr>
          <w:lang w:val="en-GB"/>
        </w:rPr>
      </w:pPr>
      <w:r w:rsidRPr="004705D8">
        <w:rPr>
          <w:lang w:val="en-GB"/>
        </w:rPr>
        <w:t>[16]</w:t>
      </w:r>
      <w:r w:rsidRPr="004705D8">
        <w:rPr>
          <w:lang w:val="en-GB"/>
        </w:rPr>
        <w:tab/>
      </w:r>
      <w:r w:rsidR="00CD1874" w:rsidRPr="00282F77">
        <w:rPr>
          <w:lang w:val="en-GB"/>
        </w:rPr>
        <w:t xml:space="preserve">Accepting for a moment </w:t>
      </w:r>
      <w:r w:rsidR="00A81D34" w:rsidRPr="00282F77">
        <w:rPr>
          <w:lang w:val="en-GB"/>
        </w:rPr>
        <w:t xml:space="preserve">that </w:t>
      </w:r>
      <w:r w:rsidR="00CD1874" w:rsidRPr="00282F77">
        <w:rPr>
          <w:lang w:val="en-GB"/>
        </w:rPr>
        <w:t>there was such affidavit, the next question that one would need to answer is</w:t>
      </w:r>
      <w:r w:rsidR="000B5982" w:rsidRPr="00282F77">
        <w:rPr>
          <w:lang w:val="en-GB"/>
        </w:rPr>
        <w:t xml:space="preserve"> </w:t>
      </w:r>
      <w:r w:rsidR="00CD1874" w:rsidRPr="00282F77">
        <w:rPr>
          <w:lang w:val="en-GB"/>
        </w:rPr>
        <w:t xml:space="preserve">why </w:t>
      </w:r>
      <w:r w:rsidR="00D006F0" w:rsidRPr="00282F77">
        <w:rPr>
          <w:lang w:val="en-GB"/>
        </w:rPr>
        <w:t>did</w:t>
      </w:r>
      <w:r w:rsidR="00CD1874" w:rsidRPr="00282F77">
        <w:rPr>
          <w:lang w:val="en-GB"/>
        </w:rPr>
        <w:t xml:space="preserve"> the Respondents </w:t>
      </w:r>
      <w:r w:rsidR="00D006F0" w:rsidRPr="00282F77">
        <w:rPr>
          <w:lang w:val="en-GB"/>
        </w:rPr>
        <w:t xml:space="preserve">have to </w:t>
      </w:r>
      <w:r w:rsidR="00CD1874" w:rsidRPr="00282F77">
        <w:rPr>
          <w:lang w:val="en-GB"/>
        </w:rPr>
        <w:t xml:space="preserve">oppose this application if no order </w:t>
      </w:r>
      <w:r w:rsidR="000B5982" w:rsidRPr="00282F77">
        <w:rPr>
          <w:lang w:val="en-GB"/>
        </w:rPr>
        <w:t>w</w:t>
      </w:r>
      <w:r w:rsidR="00CD1874" w:rsidRPr="00282F77">
        <w:rPr>
          <w:lang w:val="en-GB"/>
        </w:rPr>
        <w:t>as sought against them</w:t>
      </w:r>
      <w:r w:rsidR="00D006F0" w:rsidRPr="00282F77">
        <w:rPr>
          <w:lang w:val="en-GB"/>
        </w:rPr>
        <w:t>, save for the order of costs</w:t>
      </w:r>
      <w:r w:rsidR="00CD1874" w:rsidRPr="00282F77">
        <w:rPr>
          <w:lang w:val="en-GB"/>
        </w:rPr>
        <w:t xml:space="preserve">. It could have been better if Mr Tarr had brought an application to intervene </w:t>
      </w:r>
      <w:r w:rsidR="00A81D34" w:rsidRPr="00282F77">
        <w:rPr>
          <w:lang w:val="en-GB"/>
        </w:rPr>
        <w:t xml:space="preserve">for purposes of placing on record that he is the one who performed the action of locking the premises. Absent such version I </w:t>
      </w:r>
      <w:r w:rsidR="00D006F0" w:rsidRPr="00282F77">
        <w:rPr>
          <w:lang w:val="en-GB"/>
        </w:rPr>
        <w:t>w</w:t>
      </w:r>
      <w:r w:rsidR="00A81D34" w:rsidRPr="00282F77">
        <w:rPr>
          <w:lang w:val="en-GB"/>
        </w:rPr>
        <w:t>a</w:t>
      </w:r>
      <w:r w:rsidR="00D006F0" w:rsidRPr="00282F77">
        <w:rPr>
          <w:lang w:val="en-GB"/>
        </w:rPr>
        <w:t>s</w:t>
      </w:r>
      <w:r w:rsidR="00A81D34" w:rsidRPr="00282F77">
        <w:rPr>
          <w:lang w:val="en-GB"/>
        </w:rPr>
        <w:t xml:space="preserve"> unable to find in favour of the Respondents.</w:t>
      </w:r>
      <w:r w:rsidR="00CD1874" w:rsidRPr="00282F77">
        <w:rPr>
          <w:lang w:val="en-GB"/>
        </w:rPr>
        <w:t xml:space="preserve">   </w:t>
      </w:r>
    </w:p>
    <w:p w14:paraId="459AFADD" w14:textId="77777777" w:rsidR="00A81D34" w:rsidRPr="004705D8" w:rsidRDefault="00A81D34" w:rsidP="00941099">
      <w:pPr>
        <w:rPr>
          <w:lang w:val="en-GB"/>
        </w:rPr>
      </w:pPr>
    </w:p>
    <w:p w14:paraId="1DC34935" w14:textId="5FEFEC16" w:rsidR="00941099" w:rsidRPr="004705D8" w:rsidRDefault="00941099" w:rsidP="00941099">
      <w:pPr>
        <w:rPr>
          <w:i/>
          <w:iCs/>
          <w:lang w:val="en-GB"/>
        </w:rPr>
      </w:pPr>
      <w:r w:rsidRPr="004705D8">
        <w:rPr>
          <w:i/>
          <w:iCs/>
          <w:lang w:val="en-GB"/>
        </w:rPr>
        <w:t>Circus Triangle business outlets</w:t>
      </w:r>
    </w:p>
    <w:p w14:paraId="5E669713" w14:textId="77777777" w:rsidR="00941099" w:rsidRPr="004705D8" w:rsidRDefault="00941099" w:rsidP="00941099">
      <w:pPr>
        <w:rPr>
          <w:i/>
          <w:iCs/>
          <w:lang w:val="en-GB"/>
        </w:rPr>
      </w:pPr>
    </w:p>
    <w:p w14:paraId="3668DE1E" w14:textId="445205A4" w:rsidR="00F81ABA" w:rsidRPr="00282F77" w:rsidRDefault="00282F77" w:rsidP="00282F77">
      <w:pPr>
        <w:autoSpaceDE w:val="0"/>
        <w:autoSpaceDN w:val="0"/>
        <w:adjustRightInd w:val="0"/>
        <w:spacing w:line="480" w:lineRule="auto"/>
        <w:jc w:val="both"/>
        <w:rPr>
          <w:lang w:val="en-GB"/>
        </w:rPr>
      </w:pPr>
      <w:r w:rsidRPr="004705D8">
        <w:rPr>
          <w:lang w:val="en-GB"/>
        </w:rPr>
        <w:t>[17]</w:t>
      </w:r>
      <w:r w:rsidRPr="004705D8">
        <w:rPr>
          <w:lang w:val="en-GB"/>
        </w:rPr>
        <w:tab/>
      </w:r>
      <w:r w:rsidR="00941099" w:rsidRPr="00282F77">
        <w:rPr>
          <w:lang w:val="en-GB"/>
        </w:rPr>
        <w:t>The Respondents contend</w:t>
      </w:r>
      <w:r w:rsidR="00D006F0" w:rsidRPr="00282F77">
        <w:rPr>
          <w:lang w:val="en-GB"/>
        </w:rPr>
        <w:t>ed</w:t>
      </w:r>
      <w:r w:rsidR="00941099" w:rsidRPr="00282F77">
        <w:rPr>
          <w:lang w:val="en-GB"/>
        </w:rPr>
        <w:t xml:space="preserve"> that these premises did not have any locks changed but the electricity was switched off. They further ma</w:t>
      </w:r>
      <w:r w:rsidR="00D006F0" w:rsidRPr="00282F77">
        <w:rPr>
          <w:lang w:val="en-GB"/>
        </w:rPr>
        <w:t>d</w:t>
      </w:r>
      <w:r w:rsidR="00941099" w:rsidRPr="00282F77">
        <w:rPr>
          <w:lang w:val="en-GB"/>
        </w:rPr>
        <w:t xml:space="preserve">e reference to the events of 1 February 2024 as narrated in the Makhanda proceedings but, as I have already indicated, no affidavit(s) serving before Makhanda High Court have been placed </w:t>
      </w:r>
      <w:r w:rsidR="00941099" w:rsidRPr="00282F77">
        <w:rPr>
          <w:lang w:val="en-GB"/>
        </w:rPr>
        <w:lastRenderedPageBreak/>
        <w:t>before me</w:t>
      </w:r>
      <w:r w:rsidR="004B2254" w:rsidRPr="00282F77">
        <w:rPr>
          <w:lang w:val="en-GB"/>
        </w:rPr>
        <w:t xml:space="preserve"> notwithstanding the fact that the Respondents have contended that that application is inextricably linked to this matter</w:t>
      </w:r>
      <w:r w:rsidR="002E1AED" w:rsidRPr="00282F77">
        <w:rPr>
          <w:lang w:val="en-GB"/>
        </w:rPr>
        <w:t xml:space="preserve"> and that it should be read together with their affidavit. It was made clear during argument that the papers that were before court were not as bulky as the Respondents made them to be</w:t>
      </w:r>
      <w:r w:rsidR="00D006F0" w:rsidRPr="00282F77">
        <w:rPr>
          <w:lang w:val="en-GB"/>
        </w:rPr>
        <w:t xml:space="preserve"> so as to incorporate the Makhanda High Court proceedings</w:t>
      </w:r>
      <w:r w:rsidR="002E1AED" w:rsidRPr="00282F77">
        <w:rPr>
          <w:lang w:val="en-GB"/>
        </w:rPr>
        <w:t>. That notwithstanding no action was taken by them to ensure that all the necessary papers and annexures were placed in the court file.</w:t>
      </w:r>
    </w:p>
    <w:p w14:paraId="77AF1852" w14:textId="77777777" w:rsidR="00F81ABA" w:rsidRPr="004705D8" w:rsidRDefault="00F81ABA" w:rsidP="00F81ABA">
      <w:pPr>
        <w:pStyle w:val="ListParagraph"/>
        <w:autoSpaceDE w:val="0"/>
        <w:autoSpaceDN w:val="0"/>
        <w:adjustRightInd w:val="0"/>
        <w:spacing w:line="480" w:lineRule="auto"/>
        <w:ind w:left="0"/>
        <w:jc w:val="both"/>
        <w:rPr>
          <w:lang w:val="en-GB"/>
        </w:rPr>
      </w:pPr>
    </w:p>
    <w:p w14:paraId="571607D4" w14:textId="0B3E9B60" w:rsidR="00F81ABA" w:rsidRPr="00282F77" w:rsidRDefault="00282F77" w:rsidP="00282F77">
      <w:pPr>
        <w:autoSpaceDE w:val="0"/>
        <w:autoSpaceDN w:val="0"/>
        <w:adjustRightInd w:val="0"/>
        <w:spacing w:line="480" w:lineRule="auto"/>
        <w:jc w:val="both"/>
        <w:rPr>
          <w:lang w:val="en-GB"/>
        </w:rPr>
      </w:pPr>
      <w:r w:rsidRPr="004705D8">
        <w:rPr>
          <w:lang w:val="en-GB"/>
        </w:rPr>
        <w:t>[18]</w:t>
      </w:r>
      <w:r w:rsidRPr="004705D8">
        <w:rPr>
          <w:lang w:val="en-GB"/>
        </w:rPr>
        <w:tab/>
      </w:r>
      <w:r w:rsidR="00D006F0" w:rsidRPr="00282F77">
        <w:rPr>
          <w:lang w:val="en-GB"/>
        </w:rPr>
        <w:t>In any event t</w:t>
      </w:r>
      <w:r w:rsidR="00F81ABA" w:rsidRPr="00282F77">
        <w:rPr>
          <w:lang w:val="en-GB"/>
        </w:rPr>
        <w:t>he act of switching off electricity from the shops is another form of spoliation and the Applicant was entitled to the relief he sought for</w:t>
      </w:r>
      <w:r w:rsidR="004B2254" w:rsidRPr="00282F77">
        <w:rPr>
          <w:lang w:val="en-GB"/>
        </w:rPr>
        <w:t xml:space="preserve"> a</w:t>
      </w:r>
      <w:r w:rsidR="00F81ABA" w:rsidRPr="00282F77">
        <w:rPr>
          <w:lang w:val="en-GB"/>
        </w:rPr>
        <w:t xml:space="preserve"> </w:t>
      </w:r>
      <w:r w:rsidR="00F81ABA" w:rsidRPr="00282F77">
        <w:rPr>
          <w:i/>
          <w:iCs/>
          <w:lang w:val="en-GB"/>
        </w:rPr>
        <w:t>status quo ante</w:t>
      </w:r>
      <w:r w:rsidR="00F81ABA" w:rsidRPr="00282F77">
        <w:rPr>
          <w:lang w:val="en-GB"/>
        </w:rPr>
        <w:t>. The Respondents have no</w:t>
      </w:r>
      <w:r w:rsidR="00336130" w:rsidRPr="00282F77">
        <w:rPr>
          <w:lang w:val="en-GB"/>
        </w:rPr>
        <w:t>t</w:t>
      </w:r>
      <w:r w:rsidR="00F81ABA" w:rsidRPr="00282F77">
        <w:rPr>
          <w:lang w:val="en-GB"/>
        </w:rPr>
        <w:t xml:space="preserve"> contended that they </w:t>
      </w:r>
      <w:r w:rsidR="004B2254" w:rsidRPr="00282F77">
        <w:rPr>
          <w:lang w:val="en-GB"/>
        </w:rPr>
        <w:t>we</w:t>
      </w:r>
      <w:r w:rsidR="00F81ABA" w:rsidRPr="00282F77">
        <w:rPr>
          <w:lang w:val="en-GB"/>
        </w:rPr>
        <w:t>re not the ones responsible for this disconnection. Nothing has been said about that.</w:t>
      </w:r>
    </w:p>
    <w:p w14:paraId="55CBAA4D" w14:textId="77777777" w:rsidR="00F81ABA" w:rsidRPr="004705D8" w:rsidRDefault="00F81ABA" w:rsidP="00F81ABA">
      <w:pPr>
        <w:pStyle w:val="ListParagraph"/>
        <w:rPr>
          <w:lang w:val="en-GB"/>
        </w:rPr>
      </w:pPr>
    </w:p>
    <w:p w14:paraId="577F959D" w14:textId="2C501D7D" w:rsidR="002D4A95" w:rsidRPr="004705D8" w:rsidRDefault="002D4A95" w:rsidP="002D4A95">
      <w:pPr>
        <w:rPr>
          <w:i/>
          <w:iCs/>
        </w:rPr>
      </w:pPr>
      <w:r w:rsidRPr="004705D8">
        <w:rPr>
          <w:i/>
          <w:iCs/>
        </w:rPr>
        <w:t>Non-joinder of Resilient (Pty) Limited, Mthatha Malls (Pty) Limited and Rhweba Phumalanga (Pty) Limited</w:t>
      </w:r>
    </w:p>
    <w:p w14:paraId="7BEB52CD" w14:textId="77777777" w:rsidR="002D4A95" w:rsidRPr="004705D8" w:rsidRDefault="002D4A95" w:rsidP="002D4A95">
      <w:pPr>
        <w:rPr>
          <w:rFonts w:ascii="Verdana" w:hAnsi="Verdana"/>
          <w:sz w:val="20"/>
          <w:szCs w:val="20"/>
        </w:rPr>
      </w:pPr>
    </w:p>
    <w:p w14:paraId="549B83F9" w14:textId="7373B8A1" w:rsidR="002D4A95" w:rsidRPr="004705D8" w:rsidRDefault="00282F77" w:rsidP="00282F77">
      <w:pPr>
        <w:spacing w:before="120" w:line="480" w:lineRule="auto"/>
        <w:jc w:val="both"/>
      </w:pPr>
      <w:r w:rsidRPr="004705D8">
        <w:t>[19]</w:t>
      </w:r>
      <w:r w:rsidRPr="004705D8">
        <w:tab/>
      </w:r>
      <w:r w:rsidR="002D4A95" w:rsidRPr="004705D8">
        <w:t>A point</w:t>
      </w:r>
      <w:r w:rsidR="002D4A95" w:rsidRPr="004705D8">
        <w:rPr>
          <w:rStyle w:val="apple-converted-space"/>
        </w:rPr>
        <w:t> </w:t>
      </w:r>
      <w:r w:rsidR="002D4A95" w:rsidRPr="00282F77">
        <w:rPr>
          <w:i/>
          <w:iCs/>
        </w:rPr>
        <w:t>in limine</w:t>
      </w:r>
      <w:r w:rsidR="002D4A95" w:rsidRPr="004705D8">
        <w:rPr>
          <w:rStyle w:val="apple-converted-space"/>
        </w:rPr>
        <w:t> </w:t>
      </w:r>
      <w:r w:rsidR="002D4A95" w:rsidRPr="004705D8">
        <w:t>was raised on the basis that the above entities had not been cited, even though they have a direct and substantial interest in the outcome of this application. This was said to be a material non-joinder.</w:t>
      </w:r>
    </w:p>
    <w:p w14:paraId="4D1B231B" w14:textId="77777777" w:rsidR="002D4A95" w:rsidRPr="004705D8" w:rsidRDefault="002D4A95" w:rsidP="002D4A95">
      <w:pPr>
        <w:pStyle w:val="ListParagraph"/>
        <w:spacing w:before="120" w:line="480" w:lineRule="auto"/>
        <w:jc w:val="both"/>
      </w:pPr>
    </w:p>
    <w:p w14:paraId="2A24E4C7" w14:textId="2E8889DE" w:rsidR="002D4A95" w:rsidRPr="004705D8" w:rsidRDefault="00282F77" w:rsidP="00282F77">
      <w:pPr>
        <w:spacing w:before="120" w:line="480" w:lineRule="auto"/>
        <w:jc w:val="both"/>
        <w:rPr>
          <w:rStyle w:val="g1"/>
        </w:rPr>
      </w:pPr>
      <w:r w:rsidRPr="004705D8">
        <w:rPr>
          <w:rStyle w:val="g1"/>
        </w:rPr>
        <w:t>[20]</w:t>
      </w:r>
      <w:r w:rsidRPr="004705D8">
        <w:rPr>
          <w:rStyle w:val="g1"/>
        </w:rPr>
        <w:tab/>
      </w:r>
      <w:r w:rsidR="002D4A95" w:rsidRPr="004705D8">
        <w:t>The question as to whether all necessary parties had been joined does not depend upon the nature of the subject matter of the suit, but upon the manner in which, and the extent to which, the court's order may affect the interests of third parties.</w:t>
      </w:r>
      <w:r w:rsidR="002D4A95" w:rsidRPr="004705D8">
        <w:rPr>
          <w:rStyle w:val="FootnoteReference"/>
        </w:rPr>
        <w:footnoteReference w:id="4"/>
      </w:r>
      <w:bookmarkStart w:id="2" w:name="0-0-0-560717"/>
      <w:bookmarkEnd w:id="2"/>
      <w:r w:rsidR="002C7C10" w:rsidRPr="004705D8">
        <w:t xml:space="preserve"> </w:t>
      </w:r>
      <w:r w:rsidR="002D4A95" w:rsidRPr="004705D8">
        <w:t>The test is whether or not a party has a "</w:t>
      </w:r>
      <w:r w:rsidR="002D4A95" w:rsidRPr="00282F77">
        <w:rPr>
          <w:i/>
          <w:iCs/>
        </w:rPr>
        <w:t>direct and substantial interest</w:t>
      </w:r>
      <w:r w:rsidR="002D4A95" w:rsidRPr="004705D8">
        <w:t xml:space="preserve">" in the subject matter </w:t>
      </w:r>
      <w:r w:rsidR="002D4A95" w:rsidRPr="004705D8">
        <w:lastRenderedPageBreak/>
        <w:t>of the action, that is, a legal interest in the subject matter of the litigation which may be affected prejudicially by the judgment of the court.</w:t>
      </w:r>
      <w:r w:rsidR="002C7C10" w:rsidRPr="004705D8">
        <w:rPr>
          <w:rStyle w:val="FootnoteReference"/>
        </w:rPr>
        <w:footnoteReference w:id="5"/>
      </w:r>
      <w:r w:rsidR="002D4A95" w:rsidRPr="004705D8">
        <w:rPr>
          <w:rStyle w:val="apple-converted-space"/>
        </w:rPr>
        <w:t> </w:t>
      </w:r>
      <w:bookmarkStart w:id="3" w:name="0-0-0-560721"/>
      <w:bookmarkEnd w:id="3"/>
      <w:r w:rsidR="002D4A95" w:rsidRPr="004705D8">
        <w:t xml:space="preserve"> </w:t>
      </w:r>
      <w:r w:rsidR="002C7C10" w:rsidRPr="004705D8">
        <w:t xml:space="preserve">The </w:t>
      </w:r>
      <w:r w:rsidR="002D4A95" w:rsidRPr="004705D8">
        <w:t>mere fact that a party may have an interest in the outcome of the litigation does not warrant a non-joinder plea.</w:t>
      </w:r>
      <w:r w:rsidR="002C7C10" w:rsidRPr="004705D8">
        <w:rPr>
          <w:rStyle w:val="FootnoteReference"/>
        </w:rPr>
        <w:footnoteReference w:id="6"/>
      </w:r>
      <w:r w:rsidR="002D4A95" w:rsidRPr="004705D8">
        <w:rPr>
          <w:rStyle w:val="apple-converted-space"/>
        </w:rPr>
        <w:t> </w:t>
      </w:r>
      <w:bookmarkStart w:id="4" w:name="0-0-0-560725"/>
      <w:bookmarkEnd w:id="4"/>
      <w:r w:rsidR="002D4A95" w:rsidRPr="004705D8">
        <w:rPr>
          <w:rStyle w:val="apple-converted-space"/>
        </w:rPr>
        <w:t> </w:t>
      </w:r>
      <w:r w:rsidR="002D4A95" w:rsidRPr="004705D8">
        <w:t>The rule is that any person is a necessary party and should be joined if such person has a direct and substantial interest in any order the court might make, or if such an order cannot be sustained or carried into effect without prejudicing that party.</w:t>
      </w:r>
      <w:r w:rsidR="002C7C10" w:rsidRPr="004705D8">
        <w:rPr>
          <w:rStyle w:val="FootnoteReference"/>
        </w:rPr>
        <w:footnoteReference w:id="7"/>
      </w:r>
      <w:r w:rsidR="002D4A95" w:rsidRPr="004705D8">
        <w:rPr>
          <w:rStyle w:val="apple-converted-space"/>
        </w:rPr>
        <w:t> </w:t>
      </w:r>
      <w:bookmarkStart w:id="5" w:name="0-0-0-560729"/>
      <w:bookmarkEnd w:id="5"/>
      <w:r w:rsidR="002C7C10" w:rsidRPr="004705D8">
        <w:rPr>
          <w:rStyle w:val="g1"/>
        </w:rPr>
        <w:t xml:space="preserve"> </w:t>
      </w:r>
    </w:p>
    <w:p w14:paraId="24CDC290" w14:textId="77777777" w:rsidR="002D4A95" w:rsidRPr="004705D8" w:rsidRDefault="002D4A95" w:rsidP="002D4A95">
      <w:pPr>
        <w:pStyle w:val="ListParagraph"/>
        <w:spacing w:before="120" w:line="480" w:lineRule="auto"/>
        <w:jc w:val="both"/>
      </w:pPr>
    </w:p>
    <w:p w14:paraId="64696CA6" w14:textId="69A53296" w:rsidR="002D4A95" w:rsidRPr="004705D8" w:rsidRDefault="00282F77" w:rsidP="00282F77">
      <w:pPr>
        <w:spacing w:before="120" w:line="480" w:lineRule="auto"/>
        <w:jc w:val="both"/>
      </w:pPr>
      <w:r w:rsidRPr="004705D8">
        <w:t>[21]</w:t>
      </w:r>
      <w:r w:rsidRPr="004705D8">
        <w:tab/>
      </w:r>
      <w:r w:rsidR="002D4A95" w:rsidRPr="004705D8">
        <w:t xml:space="preserve">The present application concerned restoration of the </w:t>
      </w:r>
      <w:r w:rsidR="002C7C10" w:rsidRPr="004705D8">
        <w:t>A</w:t>
      </w:r>
      <w:r w:rsidR="002D4A95" w:rsidRPr="004705D8">
        <w:t xml:space="preserve">pplicant's </w:t>
      </w:r>
      <w:r w:rsidR="002C7C10" w:rsidRPr="004705D8">
        <w:t>possess</w:t>
      </w:r>
      <w:r w:rsidR="002D4A95" w:rsidRPr="004705D8">
        <w:t>ion of</w:t>
      </w:r>
      <w:r w:rsidR="002C7C10" w:rsidRPr="004705D8">
        <w:t xml:space="preserve"> the premises</w:t>
      </w:r>
      <w:r w:rsidR="002D4A95" w:rsidRPr="004705D8">
        <w:t xml:space="preserve"> and prevention of further efforts by the cited </w:t>
      </w:r>
      <w:r w:rsidR="000B5982" w:rsidRPr="004705D8">
        <w:t>R</w:t>
      </w:r>
      <w:r w:rsidR="002D4A95" w:rsidRPr="004705D8">
        <w:t xml:space="preserve">espondents </w:t>
      </w:r>
      <w:r w:rsidR="000B5982" w:rsidRPr="004705D8">
        <w:t xml:space="preserve">and anyone acting at their instance </w:t>
      </w:r>
      <w:r w:rsidR="002D4A95" w:rsidRPr="004705D8">
        <w:t xml:space="preserve">to interfere with the </w:t>
      </w:r>
      <w:r w:rsidR="000B5982" w:rsidRPr="004705D8">
        <w:t>A</w:t>
      </w:r>
      <w:r w:rsidR="002D4A95" w:rsidRPr="004705D8">
        <w:t xml:space="preserve">pplicant's occupation of the </w:t>
      </w:r>
      <w:r w:rsidR="000B5982" w:rsidRPr="004705D8">
        <w:t>premises in question</w:t>
      </w:r>
      <w:r w:rsidR="002D4A95" w:rsidRPr="004705D8">
        <w:t>.</w:t>
      </w:r>
    </w:p>
    <w:p w14:paraId="39EBCD81" w14:textId="77777777" w:rsidR="000B5982" w:rsidRPr="004705D8" w:rsidRDefault="000B5982" w:rsidP="000B5982">
      <w:pPr>
        <w:pStyle w:val="ListParagraph"/>
      </w:pPr>
    </w:p>
    <w:p w14:paraId="718CE786" w14:textId="4F1BA936" w:rsidR="00A81D34" w:rsidRPr="004705D8" w:rsidRDefault="00282F77" w:rsidP="00282F77">
      <w:pPr>
        <w:spacing w:before="120" w:line="480" w:lineRule="auto"/>
        <w:jc w:val="both"/>
      </w:pPr>
      <w:r w:rsidRPr="004705D8">
        <w:t>[22]</w:t>
      </w:r>
      <w:r w:rsidRPr="004705D8">
        <w:tab/>
      </w:r>
      <w:r w:rsidR="000B5982" w:rsidRPr="00282F77">
        <w:rPr>
          <w:lang w:val="en-GB"/>
        </w:rPr>
        <w:t xml:space="preserve">Accordingly, the above narrated disposition of the law suggests that the </w:t>
      </w:r>
      <w:r w:rsidR="000B5982" w:rsidRPr="004705D8">
        <w:t>point</w:t>
      </w:r>
      <w:r w:rsidR="000B5982" w:rsidRPr="004705D8">
        <w:rPr>
          <w:rStyle w:val="apple-converted-space"/>
        </w:rPr>
        <w:t> </w:t>
      </w:r>
      <w:r w:rsidR="000B5982" w:rsidRPr="00282F77">
        <w:rPr>
          <w:i/>
          <w:iCs/>
        </w:rPr>
        <w:t>in limine</w:t>
      </w:r>
      <w:r w:rsidR="000B5982" w:rsidRPr="00282F77">
        <w:rPr>
          <w:rStyle w:val="apple-converted-space"/>
          <w:i/>
          <w:iCs/>
        </w:rPr>
        <w:t> </w:t>
      </w:r>
      <w:r w:rsidR="000B5982" w:rsidRPr="004705D8">
        <w:t>based on the alleged material non-joinder of the listed entities falls to be dismissed.</w:t>
      </w:r>
    </w:p>
    <w:p w14:paraId="78846C49" w14:textId="77777777" w:rsidR="00626227" w:rsidRPr="004705D8" w:rsidRDefault="00626227" w:rsidP="005B7772">
      <w:pPr>
        <w:autoSpaceDE w:val="0"/>
        <w:autoSpaceDN w:val="0"/>
        <w:adjustRightInd w:val="0"/>
        <w:spacing w:line="480" w:lineRule="auto"/>
        <w:jc w:val="both"/>
        <w:rPr>
          <w:lang w:val="en-GB"/>
        </w:rPr>
      </w:pPr>
    </w:p>
    <w:p w14:paraId="6DB1A156" w14:textId="4334B295" w:rsidR="005B7772" w:rsidRPr="004705D8" w:rsidRDefault="005B7772" w:rsidP="005B7772">
      <w:pPr>
        <w:autoSpaceDE w:val="0"/>
        <w:autoSpaceDN w:val="0"/>
        <w:adjustRightInd w:val="0"/>
        <w:spacing w:line="480" w:lineRule="auto"/>
        <w:jc w:val="both"/>
        <w:rPr>
          <w:i/>
          <w:iCs/>
          <w:lang w:val="en-GB"/>
        </w:rPr>
      </w:pPr>
      <w:r w:rsidRPr="004705D8">
        <w:rPr>
          <w:i/>
          <w:iCs/>
          <w:lang w:val="en-GB"/>
        </w:rPr>
        <w:t>Conclusion</w:t>
      </w:r>
    </w:p>
    <w:p w14:paraId="21957DAA" w14:textId="66F95C65" w:rsidR="00D86916" w:rsidRPr="004705D8" w:rsidRDefault="00D86916" w:rsidP="002D3E92">
      <w:pPr>
        <w:pStyle w:val="ListParagraph"/>
        <w:autoSpaceDE w:val="0"/>
        <w:autoSpaceDN w:val="0"/>
        <w:adjustRightInd w:val="0"/>
        <w:spacing w:line="480" w:lineRule="auto"/>
        <w:ind w:left="0"/>
        <w:jc w:val="both"/>
        <w:rPr>
          <w:lang w:val="en-GB"/>
        </w:rPr>
      </w:pPr>
    </w:p>
    <w:p w14:paraId="7948E224" w14:textId="4844A5C9" w:rsidR="00BB0B7C" w:rsidRPr="00282F77" w:rsidRDefault="00282F77" w:rsidP="00282F77">
      <w:pPr>
        <w:autoSpaceDE w:val="0"/>
        <w:autoSpaceDN w:val="0"/>
        <w:adjustRightInd w:val="0"/>
        <w:spacing w:line="480" w:lineRule="auto"/>
        <w:jc w:val="both"/>
        <w:rPr>
          <w:lang w:val="en-GB"/>
        </w:rPr>
      </w:pPr>
      <w:r w:rsidRPr="004705D8">
        <w:rPr>
          <w:lang w:val="en-GB"/>
        </w:rPr>
        <w:t>[23]</w:t>
      </w:r>
      <w:r w:rsidRPr="004705D8">
        <w:rPr>
          <w:lang w:val="en-GB"/>
        </w:rPr>
        <w:tab/>
      </w:r>
      <w:r w:rsidR="00BB0B7C" w:rsidRPr="00282F77">
        <w:rPr>
          <w:lang w:val="en-GB"/>
        </w:rPr>
        <w:t xml:space="preserve">Resultantly, </w:t>
      </w:r>
      <w:r w:rsidR="002D3E92" w:rsidRPr="00282F77">
        <w:rPr>
          <w:lang w:val="en-GB"/>
        </w:rPr>
        <w:t xml:space="preserve">I was satisfied that the Applicant has made out a proper case for the reliefs sought and therefore </w:t>
      </w:r>
      <w:r w:rsidR="00BB0B7C" w:rsidRPr="00282F77">
        <w:rPr>
          <w:lang w:val="en-GB"/>
        </w:rPr>
        <w:t xml:space="preserve">I </w:t>
      </w:r>
      <w:r w:rsidR="002D3E92" w:rsidRPr="00282F77">
        <w:rPr>
          <w:lang w:val="en-GB"/>
        </w:rPr>
        <w:t>stand by the</w:t>
      </w:r>
      <w:r w:rsidR="00BB0B7C" w:rsidRPr="00282F77">
        <w:rPr>
          <w:lang w:val="en-GB"/>
        </w:rPr>
        <w:t xml:space="preserve"> order </w:t>
      </w:r>
      <w:r w:rsidR="002D3E92" w:rsidRPr="00282F77">
        <w:rPr>
          <w:lang w:val="en-GB"/>
        </w:rPr>
        <w:t xml:space="preserve">I </w:t>
      </w:r>
      <w:r w:rsidR="00BB0B7C" w:rsidRPr="00282F77">
        <w:rPr>
          <w:lang w:val="en-GB"/>
        </w:rPr>
        <w:t>granted</w:t>
      </w:r>
      <w:r w:rsidR="002D3E92" w:rsidRPr="00282F77">
        <w:rPr>
          <w:lang w:val="en-GB"/>
        </w:rPr>
        <w:t xml:space="preserve"> in terms of the notice of motion.</w:t>
      </w:r>
    </w:p>
    <w:p w14:paraId="38FC7F46" w14:textId="77777777" w:rsidR="003C3BC6" w:rsidRPr="004705D8" w:rsidRDefault="003C3BC6" w:rsidP="00682CE5">
      <w:pPr>
        <w:autoSpaceDE w:val="0"/>
        <w:autoSpaceDN w:val="0"/>
        <w:adjustRightInd w:val="0"/>
        <w:jc w:val="both"/>
        <w:rPr>
          <w:lang w:val="en-GB"/>
        </w:rPr>
      </w:pPr>
    </w:p>
    <w:p w14:paraId="0C21A5FE" w14:textId="77777777" w:rsidR="00BB0B7C" w:rsidRPr="004705D8" w:rsidRDefault="00BB0B7C" w:rsidP="00682CE5">
      <w:pPr>
        <w:autoSpaceDE w:val="0"/>
        <w:autoSpaceDN w:val="0"/>
        <w:adjustRightInd w:val="0"/>
        <w:jc w:val="both"/>
        <w:rPr>
          <w:lang w:val="en-GB"/>
        </w:rPr>
      </w:pPr>
    </w:p>
    <w:p w14:paraId="62A36C1D" w14:textId="77777777" w:rsidR="002D3E92" w:rsidRPr="004705D8" w:rsidRDefault="002D3E92" w:rsidP="00682CE5">
      <w:pPr>
        <w:autoSpaceDE w:val="0"/>
        <w:autoSpaceDN w:val="0"/>
        <w:adjustRightInd w:val="0"/>
        <w:jc w:val="both"/>
        <w:rPr>
          <w:lang w:val="en-GB"/>
        </w:rPr>
      </w:pPr>
    </w:p>
    <w:p w14:paraId="2D4A8E19" w14:textId="77777777" w:rsidR="002D3E92" w:rsidRPr="004705D8" w:rsidRDefault="002D3E92" w:rsidP="00682CE5">
      <w:pPr>
        <w:autoSpaceDE w:val="0"/>
        <w:autoSpaceDN w:val="0"/>
        <w:adjustRightInd w:val="0"/>
        <w:jc w:val="both"/>
        <w:rPr>
          <w:lang w:val="en-GB"/>
        </w:rPr>
      </w:pPr>
    </w:p>
    <w:p w14:paraId="7F7CE7C3" w14:textId="77777777" w:rsidR="00BB0B7C" w:rsidRPr="004705D8" w:rsidRDefault="00BB0B7C" w:rsidP="00682CE5">
      <w:pPr>
        <w:autoSpaceDE w:val="0"/>
        <w:autoSpaceDN w:val="0"/>
        <w:adjustRightInd w:val="0"/>
        <w:jc w:val="both"/>
        <w:rPr>
          <w:lang w:val="en-GB"/>
        </w:rPr>
      </w:pPr>
    </w:p>
    <w:p w14:paraId="363DCE68" w14:textId="3C4454A8" w:rsidR="00D450B5" w:rsidRPr="004705D8" w:rsidRDefault="00D450B5" w:rsidP="00CA056D">
      <w:pPr>
        <w:jc w:val="both"/>
        <w:rPr>
          <w:lang w:val="en-GB"/>
        </w:rPr>
      </w:pPr>
      <w:r w:rsidRPr="004705D8">
        <w:rPr>
          <w:lang w:val="en-GB"/>
        </w:rPr>
        <w:t>_______________</w:t>
      </w:r>
      <w:r w:rsidR="00276100" w:rsidRPr="004705D8">
        <w:rPr>
          <w:lang w:val="en-GB"/>
        </w:rPr>
        <w:t>__________</w:t>
      </w:r>
      <w:r w:rsidRPr="004705D8">
        <w:rPr>
          <w:lang w:val="en-GB"/>
        </w:rPr>
        <w:t xml:space="preserve"> </w:t>
      </w:r>
    </w:p>
    <w:p w14:paraId="7C243A9A" w14:textId="43C023E9" w:rsidR="00D450B5" w:rsidRPr="004705D8" w:rsidRDefault="00BB0B7C" w:rsidP="00CA056D">
      <w:pPr>
        <w:jc w:val="both"/>
        <w:rPr>
          <w:b/>
          <w:bCs/>
          <w:lang w:val="en-GB"/>
        </w:rPr>
      </w:pPr>
      <w:r w:rsidRPr="004705D8">
        <w:rPr>
          <w:b/>
          <w:bCs/>
          <w:lang w:val="en-GB"/>
        </w:rPr>
        <w:t>H ZILWA</w:t>
      </w:r>
      <w:r w:rsidR="00D450B5" w:rsidRPr="004705D8">
        <w:rPr>
          <w:b/>
          <w:bCs/>
          <w:lang w:val="en-GB"/>
        </w:rPr>
        <w:t xml:space="preserve">                                                                                                                                                       </w:t>
      </w:r>
    </w:p>
    <w:p w14:paraId="14E92973" w14:textId="4052D588" w:rsidR="00D450B5" w:rsidRPr="004705D8" w:rsidRDefault="00BB0B7C" w:rsidP="00CA056D">
      <w:pPr>
        <w:jc w:val="both"/>
        <w:rPr>
          <w:b/>
          <w:bCs/>
          <w:lang w:val="en-GB"/>
        </w:rPr>
      </w:pPr>
      <w:r w:rsidRPr="004705D8">
        <w:rPr>
          <w:b/>
          <w:bCs/>
          <w:lang w:val="en-GB"/>
        </w:rPr>
        <w:t xml:space="preserve">ACTING </w:t>
      </w:r>
      <w:r w:rsidR="00D450B5" w:rsidRPr="004705D8">
        <w:rPr>
          <w:b/>
          <w:bCs/>
          <w:lang w:val="en-GB"/>
        </w:rPr>
        <w:t>JUDGE OF THE HIGH COURT</w:t>
      </w:r>
    </w:p>
    <w:p w14:paraId="56442A86" w14:textId="4A1F9AD4" w:rsidR="00AA32DA" w:rsidRPr="004705D8" w:rsidRDefault="00AA32DA" w:rsidP="004A5151">
      <w:pPr>
        <w:autoSpaceDE w:val="0"/>
        <w:autoSpaceDN w:val="0"/>
        <w:adjustRightInd w:val="0"/>
        <w:jc w:val="both"/>
        <w:rPr>
          <w:lang w:val="en-GB"/>
        </w:rPr>
      </w:pPr>
    </w:p>
    <w:p w14:paraId="4E913372" w14:textId="77777777" w:rsidR="008A75F3" w:rsidRPr="004705D8" w:rsidRDefault="008A75F3" w:rsidP="008A75F3">
      <w:pPr>
        <w:widowControl w:val="0"/>
        <w:jc w:val="center"/>
        <w:rPr>
          <w:spacing w:val="14"/>
          <w:kern w:val="2"/>
          <w:lang w:val="en-GB"/>
        </w:rPr>
      </w:pPr>
    </w:p>
    <w:p w14:paraId="04EEEF0A" w14:textId="22097E88" w:rsidR="007A7BBE" w:rsidRPr="004705D8" w:rsidRDefault="00BB0B7C" w:rsidP="00CA056D">
      <w:pPr>
        <w:widowControl w:val="0"/>
        <w:ind w:right="656"/>
        <w:rPr>
          <w:spacing w:val="14"/>
          <w:kern w:val="2"/>
          <w:lang w:val="en-GB"/>
        </w:rPr>
      </w:pPr>
      <w:r w:rsidRPr="004705D8">
        <w:rPr>
          <w:spacing w:val="14"/>
          <w:kern w:val="2"/>
          <w:lang w:val="en-GB"/>
        </w:rPr>
        <w:t>Date of hearing</w:t>
      </w:r>
      <w:r w:rsidRPr="004705D8">
        <w:rPr>
          <w:spacing w:val="14"/>
          <w:kern w:val="2"/>
          <w:lang w:val="en-GB"/>
        </w:rPr>
        <w:tab/>
      </w:r>
      <w:r w:rsidRPr="004705D8">
        <w:rPr>
          <w:spacing w:val="14"/>
          <w:kern w:val="2"/>
          <w:lang w:val="en-GB"/>
        </w:rPr>
        <w:tab/>
      </w:r>
      <w:r w:rsidRPr="004705D8">
        <w:rPr>
          <w:spacing w:val="14"/>
          <w:kern w:val="2"/>
          <w:lang w:val="en-GB"/>
        </w:rPr>
        <w:tab/>
      </w:r>
      <w:r w:rsidR="007A7BBE" w:rsidRPr="004705D8">
        <w:rPr>
          <w:spacing w:val="14"/>
          <w:kern w:val="2"/>
          <w:lang w:val="en-GB"/>
        </w:rPr>
        <w:t>:</w:t>
      </w:r>
      <w:r w:rsidRPr="004705D8">
        <w:rPr>
          <w:spacing w:val="14"/>
          <w:kern w:val="2"/>
          <w:lang w:val="en-GB"/>
        </w:rPr>
        <w:tab/>
      </w:r>
      <w:r w:rsidR="00F4089B" w:rsidRPr="004705D8">
        <w:rPr>
          <w:spacing w:val="14"/>
          <w:kern w:val="2"/>
          <w:lang w:val="en-GB"/>
        </w:rPr>
        <w:t xml:space="preserve"> </w:t>
      </w:r>
      <w:r w:rsidR="002D3E92" w:rsidRPr="004705D8">
        <w:rPr>
          <w:spacing w:val="14"/>
          <w:kern w:val="2"/>
          <w:lang w:val="en-GB"/>
        </w:rPr>
        <w:t>02</w:t>
      </w:r>
      <w:r w:rsidRPr="004705D8">
        <w:rPr>
          <w:spacing w:val="14"/>
          <w:kern w:val="2"/>
          <w:lang w:val="en-GB"/>
        </w:rPr>
        <w:t xml:space="preserve"> </w:t>
      </w:r>
      <w:r w:rsidR="002D3E92" w:rsidRPr="004705D8">
        <w:rPr>
          <w:spacing w:val="14"/>
          <w:kern w:val="2"/>
          <w:lang w:val="en-GB"/>
        </w:rPr>
        <w:t>March</w:t>
      </w:r>
      <w:r w:rsidRPr="004705D8">
        <w:rPr>
          <w:spacing w:val="14"/>
          <w:kern w:val="2"/>
          <w:lang w:val="en-GB"/>
        </w:rPr>
        <w:t xml:space="preserve"> 202</w:t>
      </w:r>
      <w:r w:rsidR="002D3E92" w:rsidRPr="004705D8">
        <w:rPr>
          <w:spacing w:val="14"/>
          <w:kern w:val="2"/>
          <w:lang w:val="en-GB"/>
        </w:rPr>
        <w:t>4</w:t>
      </w:r>
    </w:p>
    <w:p w14:paraId="299C01BC" w14:textId="77777777" w:rsidR="00CA056D" w:rsidRPr="004705D8" w:rsidRDefault="00CA056D" w:rsidP="000D4C7F">
      <w:pPr>
        <w:widowControl w:val="0"/>
        <w:ind w:left="4320" w:right="656" w:firstLine="720"/>
        <w:jc w:val="right"/>
        <w:rPr>
          <w:spacing w:val="14"/>
          <w:kern w:val="2"/>
          <w:lang w:val="en-GB"/>
        </w:rPr>
      </w:pPr>
    </w:p>
    <w:p w14:paraId="5D550954" w14:textId="3A00BD89" w:rsidR="007A7BBE" w:rsidRPr="004705D8" w:rsidRDefault="007A7BBE" w:rsidP="00CA056D">
      <w:pPr>
        <w:widowControl w:val="0"/>
        <w:ind w:right="656"/>
        <w:rPr>
          <w:spacing w:val="14"/>
          <w:kern w:val="2"/>
          <w:lang w:val="en-GB"/>
        </w:rPr>
      </w:pPr>
      <w:r w:rsidRPr="004705D8">
        <w:rPr>
          <w:spacing w:val="14"/>
          <w:kern w:val="2"/>
          <w:lang w:val="en-GB"/>
        </w:rPr>
        <w:t>D</w:t>
      </w:r>
      <w:r w:rsidR="00BB0B7C" w:rsidRPr="004705D8">
        <w:rPr>
          <w:spacing w:val="14"/>
          <w:kern w:val="2"/>
          <w:lang w:val="en-GB"/>
        </w:rPr>
        <w:t>ate of reasons of judgment</w:t>
      </w:r>
      <w:r w:rsidR="00BB0B7C" w:rsidRPr="004705D8">
        <w:rPr>
          <w:spacing w:val="14"/>
          <w:kern w:val="2"/>
          <w:lang w:val="en-GB"/>
        </w:rPr>
        <w:tab/>
      </w:r>
      <w:r w:rsidRPr="004705D8">
        <w:rPr>
          <w:spacing w:val="14"/>
          <w:kern w:val="2"/>
          <w:lang w:val="en-GB"/>
        </w:rPr>
        <w:t>:</w:t>
      </w:r>
      <w:r w:rsidR="00BB0B7C" w:rsidRPr="004705D8">
        <w:rPr>
          <w:spacing w:val="14"/>
          <w:kern w:val="2"/>
          <w:lang w:val="en-GB"/>
        </w:rPr>
        <w:tab/>
      </w:r>
      <w:r w:rsidR="00F4089B" w:rsidRPr="004705D8">
        <w:rPr>
          <w:spacing w:val="14"/>
          <w:kern w:val="2"/>
          <w:lang w:val="en-GB"/>
        </w:rPr>
        <w:t xml:space="preserve"> </w:t>
      </w:r>
      <w:r w:rsidR="009A7D14" w:rsidRPr="004705D8">
        <w:rPr>
          <w:spacing w:val="14"/>
          <w:kern w:val="2"/>
          <w:lang w:val="en-GB"/>
        </w:rPr>
        <w:t>2</w:t>
      </w:r>
      <w:r w:rsidR="002D3E92" w:rsidRPr="004705D8">
        <w:rPr>
          <w:spacing w:val="14"/>
          <w:kern w:val="2"/>
          <w:lang w:val="en-GB"/>
        </w:rPr>
        <w:t>6</w:t>
      </w:r>
      <w:r w:rsidR="009A7D14" w:rsidRPr="004705D8">
        <w:rPr>
          <w:spacing w:val="14"/>
          <w:kern w:val="2"/>
          <w:lang w:val="en-GB"/>
        </w:rPr>
        <w:t xml:space="preserve"> </w:t>
      </w:r>
      <w:r w:rsidR="002D3E92" w:rsidRPr="004705D8">
        <w:rPr>
          <w:spacing w:val="14"/>
          <w:kern w:val="2"/>
          <w:lang w:val="en-GB"/>
        </w:rPr>
        <w:t>March</w:t>
      </w:r>
      <w:r w:rsidR="00FE4E6B" w:rsidRPr="004705D8">
        <w:rPr>
          <w:spacing w:val="14"/>
          <w:kern w:val="2"/>
          <w:lang w:val="en-GB"/>
        </w:rPr>
        <w:t xml:space="preserve"> 2024</w:t>
      </w:r>
    </w:p>
    <w:p w14:paraId="398380BF" w14:textId="77777777" w:rsidR="007A7BBE" w:rsidRPr="004705D8" w:rsidRDefault="007A7BBE" w:rsidP="004A5151">
      <w:pPr>
        <w:autoSpaceDE w:val="0"/>
        <w:autoSpaceDN w:val="0"/>
        <w:adjustRightInd w:val="0"/>
        <w:jc w:val="both"/>
        <w:rPr>
          <w:lang w:val="en-GB"/>
        </w:rPr>
      </w:pPr>
    </w:p>
    <w:p w14:paraId="49F45A37" w14:textId="77777777" w:rsidR="00FE4E6B" w:rsidRPr="004705D8" w:rsidRDefault="00AA32DA" w:rsidP="00772E4B">
      <w:pPr>
        <w:tabs>
          <w:tab w:val="left" w:pos="3119"/>
          <w:tab w:val="center" w:pos="3989"/>
        </w:tabs>
        <w:rPr>
          <w:lang w:val="en-GB"/>
        </w:rPr>
      </w:pPr>
      <w:r w:rsidRPr="004705D8">
        <w:rPr>
          <w:lang w:val="en-GB"/>
        </w:rPr>
        <w:t xml:space="preserve">      </w:t>
      </w:r>
    </w:p>
    <w:tbl>
      <w:tblPr>
        <w:tblStyle w:val="TableGrid"/>
        <w:tblW w:w="9597" w:type="dxa"/>
        <w:tblInd w:w="-426" w:type="dxa"/>
        <w:tblLook w:val="04A0" w:firstRow="1" w:lastRow="0" w:firstColumn="1" w:lastColumn="0" w:noHBand="0" w:noVBand="1"/>
      </w:tblPr>
      <w:tblGrid>
        <w:gridCol w:w="2728"/>
        <w:gridCol w:w="6869"/>
      </w:tblGrid>
      <w:tr w:rsidR="004705D8" w:rsidRPr="004705D8" w14:paraId="54453E49" w14:textId="77777777" w:rsidTr="0045332B">
        <w:trPr>
          <w:trHeight w:val="758"/>
        </w:trPr>
        <w:tc>
          <w:tcPr>
            <w:tcW w:w="2728" w:type="dxa"/>
            <w:tcBorders>
              <w:top w:val="nil"/>
              <w:left w:val="nil"/>
              <w:bottom w:val="nil"/>
              <w:right w:val="nil"/>
            </w:tcBorders>
          </w:tcPr>
          <w:p w14:paraId="3E35BE95" w14:textId="77777777" w:rsidR="00FE4E6B" w:rsidRPr="004705D8" w:rsidRDefault="00FE4E6B" w:rsidP="00FE4E6B">
            <w:pPr>
              <w:spacing w:after="120"/>
              <w:ind w:firstLine="420"/>
              <w:rPr>
                <w:rFonts w:ascii="Arial" w:hAnsi="Arial" w:cs="Arial"/>
                <w:color w:val="000000" w:themeColor="text1"/>
              </w:rPr>
            </w:pPr>
            <w:r w:rsidRPr="004705D8">
              <w:rPr>
                <w:rFonts w:ascii="Arial" w:eastAsia="Arial" w:hAnsi="Arial" w:cs="Arial"/>
                <w:color w:val="000000" w:themeColor="text1"/>
              </w:rPr>
              <w:t xml:space="preserve">Appearances: </w:t>
            </w:r>
          </w:p>
          <w:p w14:paraId="2EDD225C" w14:textId="77777777" w:rsidR="00FE4E6B" w:rsidRPr="004705D8" w:rsidRDefault="00FE4E6B" w:rsidP="0045332B">
            <w:pPr>
              <w:rPr>
                <w:rFonts w:ascii="Arial" w:hAnsi="Arial" w:cs="Arial"/>
                <w:color w:val="000000" w:themeColor="text1"/>
              </w:rPr>
            </w:pPr>
            <w:r w:rsidRPr="004705D8">
              <w:rPr>
                <w:rFonts w:ascii="Arial" w:eastAsia="Arial" w:hAnsi="Arial" w:cs="Arial"/>
                <w:color w:val="000000" w:themeColor="text1"/>
              </w:rPr>
              <w:t xml:space="preserve"> </w:t>
            </w:r>
          </w:p>
        </w:tc>
        <w:tc>
          <w:tcPr>
            <w:tcW w:w="6869" w:type="dxa"/>
            <w:tcBorders>
              <w:top w:val="nil"/>
              <w:left w:val="nil"/>
              <w:bottom w:val="nil"/>
              <w:right w:val="nil"/>
            </w:tcBorders>
          </w:tcPr>
          <w:p w14:paraId="747C0127" w14:textId="77777777" w:rsidR="00FE4E6B" w:rsidRPr="004705D8" w:rsidRDefault="00FE4E6B" w:rsidP="0045332B">
            <w:pPr>
              <w:rPr>
                <w:rFonts w:ascii="Arial" w:hAnsi="Arial" w:cs="Arial"/>
                <w:color w:val="000000" w:themeColor="text1"/>
              </w:rPr>
            </w:pPr>
          </w:p>
        </w:tc>
      </w:tr>
      <w:tr w:rsidR="004705D8" w:rsidRPr="004705D8" w14:paraId="06FFC697" w14:textId="77777777" w:rsidTr="0045332B">
        <w:trPr>
          <w:trHeight w:val="413"/>
        </w:trPr>
        <w:tc>
          <w:tcPr>
            <w:tcW w:w="2728" w:type="dxa"/>
            <w:tcBorders>
              <w:top w:val="nil"/>
              <w:left w:val="nil"/>
              <w:bottom w:val="nil"/>
              <w:right w:val="nil"/>
            </w:tcBorders>
          </w:tcPr>
          <w:p w14:paraId="7F735FCA" w14:textId="6136FCAD" w:rsidR="00FE4E6B" w:rsidRPr="004705D8" w:rsidRDefault="00FE4E6B" w:rsidP="00FE4E6B">
            <w:pPr>
              <w:ind w:left="-6" w:firstLine="426"/>
              <w:rPr>
                <w:color w:val="000000" w:themeColor="text1"/>
              </w:rPr>
            </w:pPr>
            <w:r w:rsidRPr="004705D8">
              <w:rPr>
                <w:rFonts w:ascii="Arial" w:eastAsia="Arial" w:hAnsi="Arial" w:cs="Arial"/>
                <w:color w:val="000000" w:themeColor="text1"/>
              </w:rPr>
              <w:t xml:space="preserve">For Applicant: </w:t>
            </w:r>
          </w:p>
        </w:tc>
        <w:tc>
          <w:tcPr>
            <w:tcW w:w="6869" w:type="dxa"/>
            <w:tcBorders>
              <w:top w:val="nil"/>
              <w:left w:val="nil"/>
              <w:bottom w:val="nil"/>
              <w:right w:val="nil"/>
            </w:tcBorders>
          </w:tcPr>
          <w:p w14:paraId="082ED075" w14:textId="48688FFB" w:rsidR="00FE4E6B" w:rsidRPr="004705D8" w:rsidRDefault="00FE4E6B" w:rsidP="0045332B">
            <w:pPr>
              <w:rPr>
                <w:color w:val="000000" w:themeColor="text1"/>
              </w:rPr>
            </w:pPr>
            <w:r w:rsidRPr="004705D8">
              <w:rPr>
                <w:rFonts w:ascii="Arial" w:eastAsia="Arial" w:hAnsi="Arial" w:cs="Arial"/>
                <w:color w:val="000000" w:themeColor="text1"/>
              </w:rPr>
              <w:t xml:space="preserve">Mr </w:t>
            </w:r>
            <w:r w:rsidR="002D3E92" w:rsidRPr="004705D8">
              <w:rPr>
                <w:rFonts w:ascii="Arial" w:eastAsia="Arial" w:hAnsi="Arial" w:cs="Arial"/>
                <w:color w:val="000000" w:themeColor="text1"/>
              </w:rPr>
              <w:t>W. Quluba</w:t>
            </w:r>
            <w:r w:rsidRPr="004705D8">
              <w:rPr>
                <w:rFonts w:ascii="Arial" w:eastAsia="Arial" w:hAnsi="Arial" w:cs="Arial"/>
                <w:color w:val="000000" w:themeColor="text1"/>
              </w:rPr>
              <w:t xml:space="preserve">  </w:t>
            </w:r>
          </w:p>
        </w:tc>
      </w:tr>
      <w:tr w:rsidR="004705D8" w:rsidRPr="004705D8" w14:paraId="34CF4F1D" w14:textId="77777777" w:rsidTr="0045332B">
        <w:trPr>
          <w:trHeight w:val="1243"/>
        </w:trPr>
        <w:tc>
          <w:tcPr>
            <w:tcW w:w="2728" w:type="dxa"/>
            <w:tcBorders>
              <w:top w:val="nil"/>
              <w:left w:val="nil"/>
              <w:bottom w:val="nil"/>
              <w:right w:val="nil"/>
            </w:tcBorders>
          </w:tcPr>
          <w:p w14:paraId="1D72372B" w14:textId="77777777" w:rsidR="00FE4E6B" w:rsidRPr="004705D8" w:rsidRDefault="00FE4E6B" w:rsidP="00FE4E6B">
            <w:pPr>
              <w:spacing w:after="532"/>
              <w:ind w:firstLine="420"/>
              <w:rPr>
                <w:color w:val="000000" w:themeColor="text1"/>
              </w:rPr>
            </w:pPr>
            <w:r w:rsidRPr="004705D8">
              <w:rPr>
                <w:rFonts w:ascii="Arial" w:eastAsia="Arial" w:hAnsi="Arial" w:cs="Arial"/>
                <w:color w:val="000000" w:themeColor="text1"/>
              </w:rPr>
              <w:t xml:space="preserve">Instructed by: </w:t>
            </w:r>
          </w:p>
          <w:p w14:paraId="41BB3BD2" w14:textId="77777777" w:rsidR="00FE4E6B" w:rsidRPr="004705D8" w:rsidRDefault="00FE4E6B" w:rsidP="0045332B">
            <w:pPr>
              <w:rPr>
                <w:color w:val="000000" w:themeColor="text1"/>
              </w:rPr>
            </w:pPr>
            <w:r w:rsidRPr="004705D8">
              <w:rPr>
                <w:rFonts w:ascii="Arial" w:eastAsia="Arial" w:hAnsi="Arial" w:cs="Arial"/>
                <w:color w:val="000000" w:themeColor="text1"/>
              </w:rPr>
              <w:t xml:space="preserve"> </w:t>
            </w:r>
          </w:p>
        </w:tc>
        <w:tc>
          <w:tcPr>
            <w:tcW w:w="6869" w:type="dxa"/>
            <w:tcBorders>
              <w:top w:val="nil"/>
              <w:left w:val="nil"/>
              <w:bottom w:val="nil"/>
              <w:right w:val="nil"/>
            </w:tcBorders>
          </w:tcPr>
          <w:p w14:paraId="46F2C0E7" w14:textId="21EED953" w:rsidR="00FE4E6B" w:rsidRPr="004705D8" w:rsidRDefault="002D3E92" w:rsidP="00FE4E6B">
            <w:pPr>
              <w:spacing w:after="115"/>
              <w:jc w:val="both"/>
              <w:rPr>
                <w:color w:val="000000" w:themeColor="text1"/>
              </w:rPr>
            </w:pPr>
            <w:r w:rsidRPr="004705D8">
              <w:rPr>
                <w:rFonts w:ascii="Arial" w:eastAsia="Arial" w:hAnsi="Arial" w:cs="Arial"/>
                <w:color w:val="000000" w:themeColor="text1"/>
              </w:rPr>
              <w:t>W. Quluba</w:t>
            </w:r>
            <w:r w:rsidR="00FE4E6B" w:rsidRPr="004705D8">
              <w:rPr>
                <w:rFonts w:ascii="Arial" w:eastAsia="Arial" w:hAnsi="Arial" w:cs="Arial"/>
                <w:color w:val="000000" w:themeColor="text1"/>
              </w:rPr>
              <w:t xml:space="preserve"> Inc., </w:t>
            </w:r>
            <w:r w:rsidRPr="004705D8">
              <w:rPr>
                <w:rFonts w:ascii="Arial" w:eastAsia="Arial" w:hAnsi="Arial" w:cs="Arial"/>
                <w:color w:val="000000" w:themeColor="text1"/>
              </w:rPr>
              <w:t>28 Sprigg Street</w:t>
            </w:r>
            <w:r w:rsidR="00FE4E6B" w:rsidRPr="004705D8">
              <w:rPr>
                <w:rFonts w:ascii="Arial" w:eastAsia="Arial" w:hAnsi="Arial" w:cs="Arial"/>
                <w:color w:val="000000" w:themeColor="text1"/>
              </w:rPr>
              <w:t xml:space="preserve">, </w:t>
            </w:r>
            <w:r w:rsidRPr="004705D8">
              <w:rPr>
                <w:rFonts w:ascii="Arial" w:eastAsia="Arial" w:hAnsi="Arial" w:cs="Arial"/>
                <w:color w:val="000000" w:themeColor="text1"/>
              </w:rPr>
              <w:t>Mthat</w:t>
            </w:r>
            <w:r w:rsidR="00FE4E6B" w:rsidRPr="004705D8">
              <w:rPr>
                <w:rFonts w:ascii="Arial" w:eastAsia="Arial" w:hAnsi="Arial" w:cs="Arial"/>
                <w:color w:val="000000" w:themeColor="text1"/>
              </w:rPr>
              <w:t xml:space="preserve">ha </w:t>
            </w:r>
          </w:p>
          <w:p w14:paraId="69DF410C" w14:textId="1D8D31B3" w:rsidR="00FE4E6B" w:rsidRPr="004705D8" w:rsidRDefault="00FE4E6B" w:rsidP="0045332B">
            <w:pPr>
              <w:rPr>
                <w:color w:val="000000" w:themeColor="text1"/>
              </w:rPr>
            </w:pPr>
          </w:p>
        </w:tc>
      </w:tr>
      <w:tr w:rsidR="004705D8" w:rsidRPr="004705D8" w14:paraId="1E2833D7" w14:textId="77777777" w:rsidTr="0045332B">
        <w:trPr>
          <w:trHeight w:val="413"/>
        </w:trPr>
        <w:tc>
          <w:tcPr>
            <w:tcW w:w="2728" w:type="dxa"/>
            <w:tcBorders>
              <w:top w:val="nil"/>
              <w:left w:val="nil"/>
              <w:bottom w:val="nil"/>
              <w:right w:val="nil"/>
            </w:tcBorders>
          </w:tcPr>
          <w:p w14:paraId="101AD8A4" w14:textId="77777777" w:rsidR="00FE4E6B" w:rsidRPr="004705D8" w:rsidRDefault="00FE4E6B" w:rsidP="00FE4E6B">
            <w:pPr>
              <w:ind w:firstLine="420"/>
              <w:rPr>
                <w:color w:val="000000" w:themeColor="text1"/>
              </w:rPr>
            </w:pPr>
            <w:r w:rsidRPr="004705D8">
              <w:rPr>
                <w:rFonts w:ascii="Arial" w:eastAsia="Arial" w:hAnsi="Arial" w:cs="Arial"/>
                <w:color w:val="000000" w:themeColor="text1"/>
              </w:rPr>
              <w:t xml:space="preserve">For Respondents: </w:t>
            </w:r>
          </w:p>
        </w:tc>
        <w:tc>
          <w:tcPr>
            <w:tcW w:w="6869" w:type="dxa"/>
            <w:tcBorders>
              <w:top w:val="nil"/>
              <w:left w:val="nil"/>
              <w:bottom w:val="nil"/>
              <w:right w:val="nil"/>
            </w:tcBorders>
          </w:tcPr>
          <w:p w14:paraId="70F5BB88" w14:textId="06D08539" w:rsidR="00FE4E6B" w:rsidRPr="004705D8" w:rsidRDefault="00FE4E6B" w:rsidP="0045332B">
            <w:pPr>
              <w:rPr>
                <w:color w:val="000000" w:themeColor="text1"/>
              </w:rPr>
            </w:pPr>
            <w:r w:rsidRPr="004705D8">
              <w:rPr>
                <w:rFonts w:ascii="Arial" w:eastAsia="Arial" w:hAnsi="Arial" w:cs="Arial"/>
                <w:color w:val="000000" w:themeColor="text1"/>
              </w:rPr>
              <w:t>M</w:t>
            </w:r>
            <w:r w:rsidR="004705D8" w:rsidRPr="004705D8">
              <w:rPr>
                <w:rFonts w:ascii="Arial" w:eastAsia="Arial" w:hAnsi="Arial" w:cs="Arial"/>
                <w:color w:val="000000" w:themeColor="text1"/>
              </w:rPr>
              <w:t>r Kroon</w:t>
            </w:r>
            <w:r w:rsidRPr="004705D8">
              <w:rPr>
                <w:rFonts w:ascii="Arial" w:eastAsia="Arial" w:hAnsi="Arial" w:cs="Arial"/>
                <w:color w:val="000000" w:themeColor="text1"/>
              </w:rPr>
              <w:t xml:space="preserve">  </w:t>
            </w:r>
          </w:p>
        </w:tc>
      </w:tr>
      <w:tr w:rsidR="004705D8" w:rsidRPr="004705D8" w14:paraId="3725A0B9" w14:textId="77777777" w:rsidTr="0045332B">
        <w:trPr>
          <w:trHeight w:val="1243"/>
        </w:trPr>
        <w:tc>
          <w:tcPr>
            <w:tcW w:w="2728" w:type="dxa"/>
            <w:tcBorders>
              <w:top w:val="nil"/>
              <w:left w:val="nil"/>
              <w:bottom w:val="nil"/>
              <w:right w:val="nil"/>
            </w:tcBorders>
          </w:tcPr>
          <w:p w14:paraId="07597415" w14:textId="77777777" w:rsidR="00FE4E6B" w:rsidRPr="004705D8" w:rsidRDefault="00FE4E6B" w:rsidP="00FE4E6B">
            <w:pPr>
              <w:spacing w:after="532"/>
              <w:ind w:firstLine="420"/>
              <w:rPr>
                <w:color w:val="000000" w:themeColor="text1"/>
              </w:rPr>
            </w:pPr>
            <w:r w:rsidRPr="004705D8">
              <w:rPr>
                <w:rFonts w:ascii="Arial" w:eastAsia="Arial" w:hAnsi="Arial" w:cs="Arial"/>
                <w:color w:val="000000" w:themeColor="text1"/>
              </w:rPr>
              <w:t xml:space="preserve">Instructed by: </w:t>
            </w:r>
          </w:p>
          <w:p w14:paraId="0DC70D38" w14:textId="77777777" w:rsidR="00FE4E6B" w:rsidRPr="004705D8" w:rsidRDefault="00FE4E6B" w:rsidP="0045332B">
            <w:pPr>
              <w:rPr>
                <w:color w:val="000000" w:themeColor="text1"/>
              </w:rPr>
            </w:pPr>
            <w:r w:rsidRPr="004705D8">
              <w:rPr>
                <w:rFonts w:ascii="Arial" w:eastAsia="Arial" w:hAnsi="Arial" w:cs="Arial"/>
                <w:color w:val="000000" w:themeColor="text1"/>
              </w:rPr>
              <w:t xml:space="preserve"> </w:t>
            </w:r>
          </w:p>
        </w:tc>
        <w:tc>
          <w:tcPr>
            <w:tcW w:w="6869" w:type="dxa"/>
            <w:tcBorders>
              <w:top w:val="nil"/>
              <w:left w:val="nil"/>
              <w:bottom w:val="nil"/>
              <w:right w:val="nil"/>
            </w:tcBorders>
          </w:tcPr>
          <w:p w14:paraId="2852CAAD" w14:textId="4362D607" w:rsidR="00FE4E6B" w:rsidRPr="004705D8" w:rsidRDefault="004705D8" w:rsidP="00FE4E6B">
            <w:pPr>
              <w:spacing w:after="115"/>
              <w:rPr>
                <w:color w:val="000000" w:themeColor="text1"/>
              </w:rPr>
            </w:pPr>
            <w:r w:rsidRPr="004705D8">
              <w:rPr>
                <w:rFonts w:ascii="Arial" w:eastAsia="Arial" w:hAnsi="Arial" w:cs="Arial"/>
                <w:color w:val="000000" w:themeColor="text1"/>
              </w:rPr>
              <w:t>Van Wyk Matabane Inc., Edenburg, Sandton c/o JA Le Roux Attorneys, 56 Leeds Road,</w:t>
            </w:r>
            <w:r w:rsidR="00FE4E6B" w:rsidRPr="004705D8">
              <w:rPr>
                <w:rFonts w:ascii="Arial" w:eastAsia="Arial" w:hAnsi="Arial" w:cs="Arial"/>
                <w:color w:val="000000" w:themeColor="text1"/>
              </w:rPr>
              <w:t xml:space="preserve"> </w:t>
            </w:r>
            <w:r w:rsidRPr="004705D8">
              <w:rPr>
                <w:rFonts w:ascii="Arial" w:eastAsia="Arial" w:hAnsi="Arial" w:cs="Arial"/>
                <w:color w:val="000000" w:themeColor="text1"/>
              </w:rPr>
              <w:t>Mthat</w:t>
            </w:r>
            <w:r w:rsidR="00FE4E6B" w:rsidRPr="004705D8">
              <w:rPr>
                <w:rFonts w:ascii="Arial" w:eastAsia="Arial" w:hAnsi="Arial" w:cs="Arial"/>
                <w:color w:val="000000" w:themeColor="text1"/>
              </w:rPr>
              <w:t xml:space="preserve">ha  </w:t>
            </w:r>
          </w:p>
          <w:p w14:paraId="0B362492" w14:textId="149B39B6" w:rsidR="00FE4E6B" w:rsidRPr="004705D8" w:rsidRDefault="00FE4E6B" w:rsidP="0045332B">
            <w:pPr>
              <w:rPr>
                <w:color w:val="000000" w:themeColor="text1"/>
              </w:rPr>
            </w:pPr>
          </w:p>
        </w:tc>
      </w:tr>
    </w:tbl>
    <w:p w14:paraId="2C48F6E2" w14:textId="39DEBAFD" w:rsidR="00AA32DA" w:rsidRPr="004705D8" w:rsidRDefault="00AA32DA" w:rsidP="00772E4B">
      <w:pPr>
        <w:tabs>
          <w:tab w:val="left" w:pos="3119"/>
          <w:tab w:val="center" w:pos="3989"/>
        </w:tabs>
        <w:rPr>
          <w:lang w:val="en-GB"/>
        </w:rPr>
      </w:pPr>
      <w:r w:rsidRPr="004705D8">
        <w:rPr>
          <w:lang w:val="en-GB"/>
        </w:rPr>
        <w:t xml:space="preserve">                </w:t>
      </w:r>
    </w:p>
    <w:p w14:paraId="631AD31F" w14:textId="151F412D" w:rsidR="008677E3" w:rsidRPr="004705D8" w:rsidRDefault="008677E3" w:rsidP="00772E4B">
      <w:pPr>
        <w:autoSpaceDE w:val="0"/>
        <w:autoSpaceDN w:val="0"/>
        <w:adjustRightInd w:val="0"/>
        <w:jc w:val="both"/>
        <w:rPr>
          <w:lang w:val="en-GB"/>
        </w:rPr>
      </w:pPr>
    </w:p>
    <w:sectPr w:rsidR="008677E3" w:rsidRPr="004705D8" w:rsidSect="000F4259">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C46AA" w14:textId="77777777" w:rsidR="001A0574" w:rsidRDefault="001A0574" w:rsidP="00005691">
      <w:r>
        <w:separator/>
      </w:r>
    </w:p>
  </w:endnote>
  <w:endnote w:type="continuationSeparator" w:id="0">
    <w:p w14:paraId="57B9E15F" w14:textId="77777777" w:rsidR="001A0574" w:rsidRDefault="001A0574"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CF419" w14:textId="77777777" w:rsidR="001A0574" w:rsidRDefault="001A0574" w:rsidP="00005691">
      <w:r>
        <w:separator/>
      </w:r>
    </w:p>
  </w:footnote>
  <w:footnote w:type="continuationSeparator" w:id="0">
    <w:p w14:paraId="200C1783" w14:textId="77777777" w:rsidR="001A0574" w:rsidRDefault="001A0574" w:rsidP="00005691">
      <w:r>
        <w:continuationSeparator/>
      </w:r>
    </w:p>
  </w:footnote>
  <w:footnote w:id="1">
    <w:p w14:paraId="2906F155" w14:textId="2F21C63E" w:rsidR="00BD19CC" w:rsidRPr="00BD19CC" w:rsidRDefault="00BD19CC">
      <w:pPr>
        <w:pStyle w:val="FootnoteText"/>
        <w:rPr>
          <w:lang w:val="en-US"/>
        </w:rPr>
      </w:pPr>
      <w:r>
        <w:rPr>
          <w:rStyle w:val="FootnoteReference"/>
        </w:rPr>
        <w:footnoteRef/>
      </w:r>
      <w:r>
        <w:t xml:space="preserve"> </w:t>
      </w:r>
      <w:r w:rsidRPr="000B5982">
        <w:rPr>
          <w:rFonts w:ascii="Verdana" w:eastAsia="Times New Roman" w:hAnsi="Verdana"/>
          <w:color w:val="000000"/>
          <w:sz w:val="16"/>
          <w:szCs w:val="16"/>
          <w:lang w:eastAsia="en-GB"/>
        </w:rPr>
        <w:t>2012 (6) SA 67 (SCA)</w:t>
      </w:r>
      <w:r w:rsidR="002D550E" w:rsidRPr="000B5982">
        <w:rPr>
          <w:rFonts w:ascii="Verdana" w:eastAsia="Times New Roman" w:hAnsi="Verdana"/>
          <w:color w:val="000000"/>
          <w:sz w:val="16"/>
          <w:szCs w:val="16"/>
          <w:lang w:eastAsia="en-GB"/>
        </w:rPr>
        <w:t xml:space="preserve"> at para 21</w:t>
      </w:r>
    </w:p>
  </w:footnote>
  <w:footnote w:id="2">
    <w:p w14:paraId="6FE4B59C" w14:textId="42EA80A6" w:rsidR="002D550E" w:rsidRPr="002D550E" w:rsidRDefault="002D550E">
      <w:pPr>
        <w:pStyle w:val="FootnoteText"/>
        <w:rPr>
          <w:lang w:val="en-US"/>
        </w:rPr>
      </w:pPr>
      <w:r>
        <w:rPr>
          <w:rStyle w:val="FootnoteReference"/>
        </w:rPr>
        <w:footnoteRef/>
      </w:r>
      <w:r>
        <w:t xml:space="preserve"> </w:t>
      </w:r>
      <w:r>
        <w:rPr>
          <w:rFonts w:ascii="Verdana" w:hAnsi="Verdana"/>
          <w:color w:val="000000"/>
          <w:sz w:val="16"/>
          <w:szCs w:val="16"/>
        </w:rPr>
        <w:t>2014 (5) SA 112 (CC)</w:t>
      </w:r>
    </w:p>
  </w:footnote>
  <w:footnote w:id="3">
    <w:p w14:paraId="2A54BFCF" w14:textId="77777777" w:rsidR="00851654" w:rsidRPr="00D86916" w:rsidRDefault="00851654" w:rsidP="00851654">
      <w:pPr>
        <w:pStyle w:val="FootnoteText"/>
        <w:rPr>
          <w:lang w:val="en-US"/>
        </w:rPr>
      </w:pPr>
      <w:r>
        <w:rPr>
          <w:rStyle w:val="FootnoteReference"/>
        </w:rPr>
        <w:footnoteRef/>
      </w:r>
      <w:r>
        <w:t xml:space="preserve"> </w:t>
      </w:r>
      <w:r>
        <w:rPr>
          <w:rFonts w:ascii="Verdana" w:hAnsi="Verdana"/>
          <w:color w:val="000000"/>
          <w:sz w:val="16"/>
          <w:szCs w:val="16"/>
        </w:rPr>
        <w:t>1910 TPD 243 at 246.</w:t>
      </w:r>
    </w:p>
  </w:footnote>
  <w:footnote w:id="4">
    <w:p w14:paraId="3588C79C" w14:textId="6C763E38" w:rsidR="002D4A95" w:rsidRPr="002D4A95" w:rsidRDefault="002D4A95" w:rsidP="002C7C10">
      <w:pPr>
        <w:pStyle w:val="FootnoteText"/>
        <w:jc w:val="both"/>
        <w:rPr>
          <w:lang w:val="en-US"/>
        </w:rPr>
      </w:pPr>
      <w:r>
        <w:rPr>
          <w:rStyle w:val="FootnoteReference"/>
        </w:rPr>
        <w:footnoteRef/>
      </w:r>
      <w:r>
        <w:rPr>
          <w:rStyle w:val="apple-converted-space"/>
          <w:rFonts w:ascii="Verdana" w:hAnsi="Verdana"/>
          <w:color w:val="000000"/>
          <w:sz w:val="16"/>
          <w:szCs w:val="16"/>
        </w:rPr>
        <w:t> </w:t>
      </w:r>
      <w:r>
        <w:rPr>
          <w:rFonts w:ascii="Verdana" w:hAnsi="Verdana"/>
          <w:i/>
          <w:iCs/>
          <w:color w:val="000000"/>
          <w:sz w:val="16"/>
          <w:szCs w:val="16"/>
        </w:rPr>
        <w:t>Transvaal Agricultural Union v Minister of Agriculture and Land Affairs</w:t>
      </w:r>
      <w:r>
        <w:rPr>
          <w:rStyle w:val="apple-converted-space"/>
          <w:rFonts w:ascii="Verdana" w:hAnsi="Verdana"/>
          <w:i/>
          <w:iCs/>
          <w:color w:val="000000"/>
          <w:sz w:val="16"/>
          <w:szCs w:val="16"/>
        </w:rPr>
        <w:t> </w:t>
      </w:r>
      <w:r>
        <w:rPr>
          <w:rFonts w:ascii="Verdana" w:hAnsi="Verdana"/>
          <w:color w:val="000000"/>
          <w:sz w:val="16"/>
          <w:szCs w:val="16"/>
        </w:rPr>
        <w:t>2005 (4) SA 212 (SCA) at 226F–227F;</w:t>
      </w:r>
      <w:r>
        <w:rPr>
          <w:rStyle w:val="apple-converted-space"/>
          <w:rFonts w:ascii="Verdana" w:hAnsi="Verdana"/>
          <w:color w:val="000000"/>
          <w:sz w:val="16"/>
          <w:szCs w:val="16"/>
        </w:rPr>
        <w:t>  </w:t>
      </w:r>
      <w:r>
        <w:rPr>
          <w:rFonts w:ascii="Verdana" w:hAnsi="Verdana"/>
          <w:i/>
          <w:iCs/>
          <w:color w:val="000000"/>
          <w:sz w:val="16"/>
          <w:szCs w:val="16"/>
        </w:rPr>
        <w:t>Sikutshwa v MEC for Social Development, Eastern Cape</w:t>
      </w:r>
      <w:r>
        <w:rPr>
          <w:rStyle w:val="apple-converted-space"/>
          <w:rFonts w:ascii="Verdana" w:hAnsi="Verdana"/>
          <w:i/>
          <w:iCs/>
          <w:color w:val="000000"/>
          <w:sz w:val="16"/>
          <w:szCs w:val="16"/>
        </w:rPr>
        <w:t> </w:t>
      </w:r>
      <w:r>
        <w:rPr>
          <w:rFonts w:ascii="Verdana" w:hAnsi="Verdana"/>
          <w:color w:val="000000"/>
          <w:sz w:val="16"/>
          <w:szCs w:val="16"/>
        </w:rPr>
        <w:t>2009 (3) SA 47 (TkHC) at 56I–57A.</w:t>
      </w:r>
    </w:p>
  </w:footnote>
  <w:footnote w:id="5">
    <w:p w14:paraId="159BC341" w14:textId="2DEFFA2F" w:rsidR="002C7C10" w:rsidRPr="002C7C10" w:rsidRDefault="002C7C10">
      <w:pPr>
        <w:pStyle w:val="FootnoteText"/>
        <w:rPr>
          <w:lang w:val="en-US"/>
        </w:rPr>
      </w:pPr>
      <w:r>
        <w:rPr>
          <w:rStyle w:val="FootnoteReference"/>
        </w:rPr>
        <w:footnoteRef/>
      </w:r>
      <w:r>
        <w:t xml:space="preserve"> </w:t>
      </w:r>
      <w:r>
        <w:rPr>
          <w:rFonts w:ascii="Verdana" w:hAnsi="Verdana"/>
          <w:i/>
          <w:iCs/>
          <w:color w:val="000000"/>
          <w:sz w:val="16"/>
          <w:szCs w:val="16"/>
        </w:rPr>
        <w:t>Henri Viljoen (Pty) Ltd v Awerbuch Bros</w:t>
      </w:r>
      <w:r>
        <w:rPr>
          <w:rStyle w:val="apple-converted-space"/>
          <w:rFonts w:ascii="Verdana" w:hAnsi="Verdana"/>
          <w:i/>
          <w:iCs/>
          <w:color w:val="000000"/>
          <w:sz w:val="16"/>
          <w:szCs w:val="16"/>
        </w:rPr>
        <w:t> </w:t>
      </w:r>
      <w:r>
        <w:rPr>
          <w:rFonts w:ascii="Verdana" w:hAnsi="Verdana"/>
          <w:color w:val="000000"/>
          <w:sz w:val="16"/>
          <w:szCs w:val="16"/>
        </w:rPr>
        <w:t>1953 (2) SA 151 (O) at 168–70.</w:t>
      </w:r>
    </w:p>
  </w:footnote>
  <w:footnote w:id="6">
    <w:p w14:paraId="022C222D" w14:textId="37EDC16F" w:rsidR="002C7C10" w:rsidRPr="002C7C10" w:rsidRDefault="002C7C10">
      <w:pPr>
        <w:pStyle w:val="FootnoteText"/>
        <w:rPr>
          <w:lang w:val="en-US"/>
        </w:rPr>
      </w:pPr>
      <w:r>
        <w:rPr>
          <w:rStyle w:val="FootnoteReference"/>
        </w:rPr>
        <w:footnoteRef/>
      </w:r>
      <w:r>
        <w:t xml:space="preserve"> </w:t>
      </w:r>
      <w:r>
        <w:rPr>
          <w:rFonts w:ascii="Verdana" w:hAnsi="Verdana"/>
          <w:i/>
          <w:iCs/>
          <w:color w:val="000000"/>
          <w:sz w:val="16"/>
          <w:szCs w:val="16"/>
        </w:rPr>
        <w:t>Judicial Service Commission v Cape Bar Council</w:t>
      </w:r>
      <w:r>
        <w:rPr>
          <w:rStyle w:val="apple-converted-space"/>
          <w:rFonts w:ascii="Verdana" w:hAnsi="Verdana"/>
          <w:i/>
          <w:iCs/>
          <w:color w:val="000000"/>
          <w:sz w:val="16"/>
          <w:szCs w:val="16"/>
        </w:rPr>
        <w:t> </w:t>
      </w:r>
      <w:r>
        <w:rPr>
          <w:rFonts w:ascii="Verdana" w:hAnsi="Verdana"/>
          <w:color w:val="000000"/>
          <w:sz w:val="16"/>
          <w:szCs w:val="16"/>
        </w:rPr>
        <w:t>2013 (1) SA 170 (SCA) at 176I–177A;</w:t>
      </w:r>
      <w:r>
        <w:rPr>
          <w:rStyle w:val="apple-converted-space"/>
          <w:rFonts w:ascii="Verdana" w:hAnsi="Verdana"/>
          <w:color w:val="000000"/>
          <w:sz w:val="16"/>
          <w:szCs w:val="16"/>
        </w:rPr>
        <w:t> </w:t>
      </w:r>
      <w:r>
        <w:rPr>
          <w:rFonts w:ascii="Verdana" w:hAnsi="Verdana"/>
          <w:i/>
          <w:iCs/>
          <w:color w:val="000000"/>
          <w:sz w:val="16"/>
          <w:szCs w:val="16"/>
        </w:rPr>
        <w:t>Lawrence v Magistrates Commission</w:t>
      </w:r>
      <w:r>
        <w:rPr>
          <w:rStyle w:val="apple-converted-space"/>
          <w:rFonts w:ascii="Verdana" w:hAnsi="Verdana"/>
          <w:i/>
          <w:iCs/>
          <w:color w:val="000000"/>
          <w:sz w:val="16"/>
          <w:szCs w:val="16"/>
        </w:rPr>
        <w:t> </w:t>
      </w:r>
      <w:r>
        <w:rPr>
          <w:rFonts w:ascii="Verdana" w:hAnsi="Verdana"/>
          <w:color w:val="000000"/>
          <w:sz w:val="16"/>
          <w:szCs w:val="16"/>
        </w:rPr>
        <w:t>2020 (2) SA 526 (FB) at para 27</w:t>
      </w:r>
    </w:p>
  </w:footnote>
  <w:footnote w:id="7">
    <w:p w14:paraId="04AB04F8" w14:textId="50C4F877" w:rsidR="002C7C10" w:rsidRPr="002C7C10" w:rsidRDefault="002C7C10">
      <w:pPr>
        <w:pStyle w:val="FootnoteText"/>
        <w:rPr>
          <w:lang w:val="en-US"/>
        </w:rPr>
      </w:pPr>
      <w:r>
        <w:rPr>
          <w:rStyle w:val="FootnoteReference"/>
        </w:rPr>
        <w:footnoteRef/>
      </w:r>
      <w:r>
        <w:t xml:space="preserve"> </w:t>
      </w:r>
      <w:r>
        <w:rPr>
          <w:rFonts w:ascii="Verdana" w:hAnsi="Verdana"/>
          <w:i/>
          <w:iCs/>
          <w:color w:val="000000"/>
          <w:sz w:val="16"/>
          <w:szCs w:val="16"/>
        </w:rPr>
        <w:t>One South Africa Movement v President of the RSA</w:t>
      </w:r>
      <w:r>
        <w:rPr>
          <w:rStyle w:val="apple-converted-space"/>
          <w:rFonts w:ascii="Verdana" w:hAnsi="Verdana"/>
          <w:i/>
          <w:iCs/>
          <w:color w:val="000000"/>
          <w:sz w:val="16"/>
          <w:szCs w:val="16"/>
        </w:rPr>
        <w:t> </w:t>
      </w:r>
      <w:r>
        <w:rPr>
          <w:rFonts w:ascii="Verdana" w:hAnsi="Verdana"/>
          <w:color w:val="000000"/>
          <w:sz w:val="16"/>
          <w:szCs w:val="16"/>
        </w:rPr>
        <w:t>2020 (5) SA 576 (GP) at para 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3B52D250"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82F77">
          <w:rPr>
            <w:rStyle w:val="PageNumber"/>
            <w:noProof/>
          </w:rPr>
          <w:t>10</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802F0"/>
    <w:multiLevelType w:val="multilevel"/>
    <w:tmpl w:val="E43ED9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965FD9"/>
    <w:multiLevelType w:val="multilevel"/>
    <w:tmpl w:val="806EA0F4"/>
    <w:lvl w:ilvl="0">
      <w:start w:val="1"/>
      <w:numFmt w:val="decimal"/>
      <w:lvlText w:val="%1."/>
      <w:lvlJc w:val="left"/>
      <w:pPr>
        <w:ind w:left="720" w:hanging="360"/>
      </w:pPr>
      <w:rPr>
        <w:rFonts w:hint="default"/>
      </w:rPr>
    </w:lvl>
    <w:lvl w:ilvl="1">
      <w:start w:val="1"/>
      <w:numFmt w:val="lowerLetter"/>
      <w:isLgl/>
      <w:lvlText w:val="%2)"/>
      <w:lvlJc w:val="left"/>
      <w:pPr>
        <w:ind w:left="1440" w:hanging="720"/>
      </w:pPr>
      <w:rPr>
        <w:rFonts w:ascii="Arial" w:eastAsia="Times New Roman" w:hAnsi="Arial" w:cs="Arial"/>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9" w15:restartNumberingAfterBreak="0">
    <w:nsid w:val="3F4E4C9B"/>
    <w:multiLevelType w:val="hybridMultilevel"/>
    <w:tmpl w:val="911E9478"/>
    <w:lvl w:ilvl="0" w:tplc="3DA0B482">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E5182"/>
    <w:multiLevelType w:val="multilevel"/>
    <w:tmpl w:val="7ACECDB4"/>
    <w:lvl w:ilvl="0">
      <w:start w:val="14"/>
      <w:numFmt w:val="decimal"/>
      <w:lvlText w:val="%1"/>
      <w:lvlJc w:val="left"/>
      <w:pPr>
        <w:ind w:left="460" w:hanging="46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2" w15:restartNumberingAfterBreak="0">
    <w:nsid w:val="74FF365B"/>
    <w:multiLevelType w:val="multilevel"/>
    <w:tmpl w:val="F9A6DB18"/>
    <w:lvl w:ilvl="0">
      <w:start w:val="3"/>
      <w:numFmt w:val="decimal"/>
      <w:lvlText w:val="%1"/>
      <w:lvlJc w:val="left"/>
      <w:pPr>
        <w:ind w:left="360" w:hanging="360"/>
      </w:pPr>
      <w:rPr>
        <w:rFonts w:hint="default"/>
        <w:sz w:val="24"/>
      </w:rPr>
    </w:lvl>
    <w:lvl w:ilvl="1">
      <w:start w:val="2"/>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3"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0"/>
  </w:num>
  <w:num w:numId="6">
    <w:abstractNumId w:val="7"/>
  </w:num>
  <w:num w:numId="7">
    <w:abstractNumId w:val="14"/>
  </w:num>
  <w:num w:numId="8">
    <w:abstractNumId w:val="1"/>
  </w:num>
  <w:num w:numId="9">
    <w:abstractNumId w:val="6"/>
  </w:num>
  <w:num w:numId="10">
    <w:abstractNumId w:val="9"/>
  </w:num>
  <w:num w:numId="11">
    <w:abstractNumId w:val="13"/>
  </w:num>
  <w:num w:numId="12">
    <w:abstractNumId w:val="5"/>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4E1E"/>
    <w:rsid w:val="00005691"/>
    <w:rsid w:val="00005ABB"/>
    <w:rsid w:val="00005BC2"/>
    <w:rsid w:val="0000642E"/>
    <w:rsid w:val="00006EF3"/>
    <w:rsid w:val="00007087"/>
    <w:rsid w:val="00007904"/>
    <w:rsid w:val="000109B4"/>
    <w:rsid w:val="00012A2F"/>
    <w:rsid w:val="00014437"/>
    <w:rsid w:val="00014770"/>
    <w:rsid w:val="00016FDA"/>
    <w:rsid w:val="000220C3"/>
    <w:rsid w:val="00022804"/>
    <w:rsid w:val="00027DA3"/>
    <w:rsid w:val="00030A25"/>
    <w:rsid w:val="000323B0"/>
    <w:rsid w:val="000341AF"/>
    <w:rsid w:val="00034B32"/>
    <w:rsid w:val="0003553E"/>
    <w:rsid w:val="00035CFA"/>
    <w:rsid w:val="0004040E"/>
    <w:rsid w:val="00040F79"/>
    <w:rsid w:val="000422CD"/>
    <w:rsid w:val="0004347D"/>
    <w:rsid w:val="0004373B"/>
    <w:rsid w:val="00044B50"/>
    <w:rsid w:val="000451D0"/>
    <w:rsid w:val="00047035"/>
    <w:rsid w:val="000478E8"/>
    <w:rsid w:val="0005061D"/>
    <w:rsid w:val="00051F6C"/>
    <w:rsid w:val="000536DD"/>
    <w:rsid w:val="00053D81"/>
    <w:rsid w:val="00054DEC"/>
    <w:rsid w:val="00055C33"/>
    <w:rsid w:val="00056042"/>
    <w:rsid w:val="00056FBA"/>
    <w:rsid w:val="000574BF"/>
    <w:rsid w:val="00063188"/>
    <w:rsid w:val="00063C6E"/>
    <w:rsid w:val="00063D5A"/>
    <w:rsid w:val="0007050F"/>
    <w:rsid w:val="0007234C"/>
    <w:rsid w:val="00073EFC"/>
    <w:rsid w:val="000778A4"/>
    <w:rsid w:val="00080D4E"/>
    <w:rsid w:val="000815F5"/>
    <w:rsid w:val="00083322"/>
    <w:rsid w:val="00083386"/>
    <w:rsid w:val="000833DB"/>
    <w:rsid w:val="00084C6F"/>
    <w:rsid w:val="00086278"/>
    <w:rsid w:val="00086A06"/>
    <w:rsid w:val="0009015D"/>
    <w:rsid w:val="000910CD"/>
    <w:rsid w:val="00091F8C"/>
    <w:rsid w:val="0009497C"/>
    <w:rsid w:val="00096BC1"/>
    <w:rsid w:val="000976CA"/>
    <w:rsid w:val="000A59DC"/>
    <w:rsid w:val="000B0946"/>
    <w:rsid w:val="000B0DC8"/>
    <w:rsid w:val="000B26AE"/>
    <w:rsid w:val="000B26CF"/>
    <w:rsid w:val="000B5790"/>
    <w:rsid w:val="000B5982"/>
    <w:rsid w:val="000B5FBC"/>
    <w:rsid w:val="000B6309"/>
    <w:rsid w:val="000B643B"/>
    <w:rsid w:val="000B78EC"/>
    <w:rsid w:val="000C2D21"/>
    <w:rsid w:val="000C3531"/>
    <w:rsid w:val="000C3620"/>
    <w:rsid w:val="000C39A5"/>
    <w:rsid w:val="000C450C"/>
    <w:rsid w:val="000C7746"/>
    <w:rsid w:val="000C7A27"/>
    <w:rsid w:val="000D085B"/>
    <w:rsid w:val="000D0D78"/>
    <w:rsid w:val="000D22FB"/>
    <w:rsid w:val="000D487F"/>
    <w:rsid w:val="000D4BFA"/>
    <w:rsid w:val="000D4C7F"/>
    <w:rsid w:val="000D667A"/>
    <w:rsid w:val="000E1C45"/>
    <w:rsid w:val="000E2444"/>
    <w:rsid w:val="000E3E15"/>
    <w:rsid w:val="000E4F0D"/>
    <w:rsid w:val="000E5100"/>
    <w:rsid w:val="000E7ECD"/>
    <w:rsid w:val="000F05E0"/>
    <w:rsid w:val="000F1A95"/>
    <w:rsid w:val="000F4259"/>
    <w:rsid w:val="000F6BFE"/>
    <w:rsid w:val="000F7DF4"/>
    <w:rsid w:val="0010068E"/>
    <w:rsid w:val="00100F9A"/>
    <w:rsid w:val="0010218C"/>
    <w:rsid w:val="00102D5B"/>
    <w:rsid w:val="001044DB"/>
    <w:rsid w:val="00105EB6"/>
    <w:rsid w:val="0010622C"/>
    <w:rsid w:val="001078B5"/>
    <w:rsid w:val="00107A5F"/>
    <w:rsid w:val="0011026A"/>
    <w:rsid w:val="00110EF0"/>
    <w:rsid w:val="001124A5"/>
    <w:rsid w:val="00116EB9"/>
    <w:rsid w:val="00120E93"/>
    <w:rsid w:val="001226DE"/>
    <w:rsid w:val="00123296"/>
    <w:rsid w:val="001243C0"/>
    <w:rsid w:val="0012621C"/>
    <w:rsid w:val="00130228"/>
    <w:rsid w:val="00131984"/>
    <w:rsid w:val="00131A28"/>
    <w:rsid w:val="001337CC"/>
    <w:rsid w:val="00134C11"/>
    <w:rsid w:val="00135C81"/>
    <w:rsid w:val="00137E08"/>
    <w:rsid w:val="00142F79"/>
    <w:rsid w:val="001435EB"/>
    <w:rsid w:val="00144974"/>
    <w:rsid w:val="00146BA3"/>
    <w:rsid w:val="001517E0"/>
    <w:rsid w:val="00157785"/>
    <w:rsid w:val="00157898"/>
    <w:rsid w:val="00157C19"/>
    <w:rsid w:val="00160EBC"/>
    <w:rsid w:val="00160F58"/>
    <w:rsid w:val="00163A58"/>
    <w:rsid w:val="00164B7B"/>
    <w:rsid w:val="00172B5C"/>
    <w:rsid w:val="00173547"/>
    <w:rsid w:val="00174B6D"/>
    <w:rsid w:val="0017614D"/>
    <w:rsid w:val="0018006A"/>
    <w:rsid w:val="00180F4E"/>
    <w:rsid w:val="00181923"/>
    <w:rsid w:val="00181E7E"/>
    <w:rsid w:val="00182175"/>
    <w:rsid w:val="00184625"/>
    <w:rsid w:val="00186769"/>
    <w:rsid w:val="001870AF"/>
    <w:rsid w:val="00191768"/>
    <w:rsid w:val="00192869"/>
    <w:rsid w:val="001943D2"/>
    <w:rsid w:val="001954F0"/>
    <w:rsid w:val="00195571"/>
    <w:rsid w:val="001955AB"/>
    <w:rsid w:val="00196742"/>
    <w:rsid w:val="001A0574"/>
    <w:rsid w:val="001A4F33"/>
    <w:rsid w:val="001B0D01"/>
    <w:rsid w:val="001B2578"/>
    <w:rsid w:val="001B2FE4"/>
    <w:rsid w:val="001B505F"/>
    <w:rsid w:val="001B69E3"/>
    <w:rsid w:val="001C04BC"/>
    <w:rsid w:val="001C2DD7"/>
    <w:rsid w:val="001C48A5"/>
    <w:rsid w:val="001C7061"/>
    <w:rsid w:val="001D0962"/>
    <w:rsid w:val="001D214B"/>
    <w:rsid w:val="001D4C5E"/>
    <w:rsid w:val="001D5A9D"/>
    <w:rsid w:val="001D5F83"/>
    <w:rsid w:val="001D61C8"/>
    <w:rsid w:val="001E0F36"/>
    <w:rsid w:val="001E1834"/>
    <w:rsid w:val="001E1B07"/>
    <w:rsid w:val="001E24E0"/>
    <w:rsid w:val="001E4824"/>
    <w:rsid w:val="001E640A"/>
    <w:rsid w:val="001E6A6E"/>
    <w:rsid w:val="001E701F"/>
    <w:rsid w:val="001E7844"/>
    <w:rsid w:val="001E78D5"/>
    <w:rsid w:val="001E7C8F"/>
    <w:rsid w:val="001F2276"/>
    <w:rsid w:val="001F335C"/>
    <w:rsid w:val="001F3A41"/>
    <w:rsid w:val="001F59AB"/>
    <w:rsid w:val="00201DC6"/>
    <w:rsid w:val="00201F12"/>
    <w:rsid w:val="00203A06"/>
    <w:rsid w:val="00206D6C"/>
    <w:rsid w:val="00207573"/>
    <w:rsid w:val="002115FE"/>
    <w:rsid w:val="00213565"/>
    <w:rsid w:val="0021430F"/>
    <w:rsid w:val="00215EBC"/>
    <w:rsid w:val="0021730A"/>
    <w:rsid w:val="00217399"/>
    <w:rsid w:val="002203EC"/>
    <w:rsid w:val="00222854"/>
    <w:rsid w:val="00224363"/>
    <w:rsid w:val="0022594E"/>
    <w:rsid w:val="00226444"/>
    <w:rsid w:val="00226ADA"/>
    <w:rsid w:val="00227379"/>
    <w:rsid w:val="00230B10"/>
    <w:rsid w:val="00231325"/>
    <w:rsid w:val="002327AF"/>
    <w:rsid w:val="0023410F"/>
    <w:rsid w:val="0023677B"/>
    <w:rsid w:val="00236B9D"/>
    <w:rsid w:val="0023768E"/>
    <w:rsid w:val="002402F6"/>
    <w:rsid w:val="00245504"/>
    <w:rsid w:val="00245BEB"/>
    <w:rsid w:val="00247551"/>
    <w:rsid w:val="00250530"/>
    <w:rsid w:val="0025056A"/>
    <w:rsid w:val="00252FC1"/>
    <w:rsid w:val="00253273"/>
    <w:rsid w:val="00256208"/>
    <w:rsid w:val="00256FCC"/>
    <w:rsid w:val="00257258"/>
    <w:rsid w:val="00257A15"/>
    <w:rsid w:val="002606D8"/>
    <w:rsid w:val="00260A94"/>
    <w:rsid w:val="00260B67"/>
    <w:rsid w:val="002612A5"/>
    <w:rsid w:val="00261583"/>
    <w:rsid w:val="0026158F"/>
    <w:rsid w:val="002617D8"/>
    <w:rsid w:val="00262D2A"/>
    <w:rsid w:val="002635B7"/>
    <w:rsid w:val="00263B8D"/>
    <w:rsid w:val="0026495C"/>
    <w:rsid w:val="00265010"/>
    <w:rsid w:val="00265180"/>
    <w:rsid w:val="00265AEB"/>
    <w:rsid w:val="0026634E"/>
    <w:rsid w:val="0026645C"/>
    <w:rsid w:val="002705E9"/>
    <w:rsid w:val="00273903"/>
    <w:rsid w:val="00274C64"/>
    <w:rsid w:val="00275410"/>
    <w:rsid w:val="00276100"/>
    <w:rsid w:val="00277EB6"/>
    <w:rsid w:val="0028182D"/>
    <w:rsid w:val="00282F77"/>
    <w:rsid w:val="002852C4"/>
    <w:rsid w:val="00285664"/>
    <w:rsid w:val="00287A18"/>
    <w:rsid w:val="00287A26"/>
    <w:rsid w:val="00290DC6"/>
    <w:rsid w:val="00290E92"/>
    <w:rsid w:val="00292661"/>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61D9"/>
    <w:rsid w:val="002A6332"/>
    <w:rsid w:val="002A6593"/>
    <w:rsid w:val="002A6B82"/>
    <w:rsid w:val="002A73A7"/>
    <w:rsid w:val="002B0DEA"/>
    <w:rsid w:val="002B18C2"/>
    <w:rsid w:val="002B2F23"/>
    <w:rsid w:val="002B31B7"/>
    <w:rsid w:val="002B3FE3"/>
    <w:rsid w:val="002B54B7"/>
    <w:rsid w:val="002B6730"/>
    <w:rsid w:val="002B7874"/>
    <w:rsid w:val="002B7F0C"/>
    <w:rsid w:val="002C1ECF"/>
    <w:rsid w:val="002C1ED3"/>
    <w:rsid w:val="002C3A0D"/>
    <w:rsid w:val="002C45D8"/>
    <w:rsid w:val="002C7128"/>
    <w:rsid w:val="002C7414"/>
    <w:rsid w:val="002C7C10"/>
    <w:rsid w:val="002D3E92"/>
    <w:rsid w:val="002D4A95"/>
    <w:rsid w:val="002D4CBC"/>
    <w:rsid w:val="002D550E"/>
    <w:rsid w:val="002D6D70"/>
    <w:rsid w:val="002D7292"/>
    <w:rsid w:val="002E0CCA"/>
    <w:rsid w:val="002E141A"/>
    <w:rsid w:val="002E1AED"/>
    <w:rsid w:val="002E1B95"/>
    <w:rsid w:val="002E3EC7"/>
    <w:rsid w:val="002E4808"/>
    <w:rsid w:val="002E483E"/>
    <w:rsid w:val="002E58ED"/>
    <w:rsid w:val="002E6D7C"/>
    <w:rsid w:val="002E7045"/>
    <w:rsid w:val="002E7199"/>
    <w:rsid w:val="002F012F"/>
    <w:rsid w:val="002F0513"/>
    <w:rsid w:val="002F0990"/>
    <w:rsid w:val="002F0C58"/>
    <w:rsid w:val="002F13D1"/>
    <w:rsid w:val="002F37F8"/>
    <w:rsid w:val="002F4EDB"/>
    <w:rsid w:val="002F60D3"/>
    <w:rsid w:val="002F7574"/>
    <w:rsid w:val="00300A59"/>
    <w:rsid w:val="0030214A"/>
    <w:rsid w:val="00302E78"/>
    <w:rsid w:val="003035F7"/>
    <w:rsid w:val="00306288"/>
    <w:rsid w:val="003140F9"/>
    <w:rsid w:val="003148EA"/>
    <w:rsid w:val="003150CA"/>
    <w:rsid w:val="00315CB8"/>
    <w:rsid w:val="00315D8D"/>
    <w:rsid w:val="003168ED"/>
    <w:rsid w:val="003172EB"/>
    <w:rsid w:val="00317AB4"/>
    <w:rsid w:val="00321E11"/>
    <w:rsid w:val="003228A7"/>
    <w:rsid w:val="00324CE8"/>
    <w:rsid w:val="00325BD4"/>
    <w:rsid w:val="00326A33"/>
    <w:rsid w:val="0032785C"/>
    <w:rsid w:val="00327E36"/>
    <w:rsid w:val="00327E53"/>
    <w:rsid w:val="00330795"/>
    <w:rsid w:val="00330E85"/>
    <w:rsid w:val="0033219D"/>
    <w:rsid w:val="00334624"/>
    <w:rsid w:val="00335693"/>
    <w:rsid w:val="00335897"/>
    <w:rsid w:val="00336130"/>
    <w:rsid w:val="0033634C"/>
    <w:rsid w:val="0033669D"/>
    <w:rsid w:val="003367DD"/>
    <w:rsid w:val="00341E43"/>
    <w:rsid w:val="0034206E"/>
    <w:rsid w:val="00343E5D"/>
    <w:rsid w:val="0034439B"/>
    <w:rsid w:val="003455A7"/>
    <w:rsid w:val="003469BB"/>
    <w:rsid w:val="00350743"/>
    <w:rsid w:val="00350A47"/>
    <w:rsid w:val="003513CA"/>
    <w:rsid w:val="00351FAC"/>
    <w:rsid w:val="003529AF"/>
    <w:rsid w:val="00353652"/>
    <w:rsid w:val="003564CA"/>
    <w:rsid w:val="0035756C"/>
    <w:rsid w:val="00357751"/>
    <w:rsid w:val="003601F1"/>
    <w:rsid w:val="00360BFC"/>
    <w:rsid w:val="00362A40"/>
    <w:rsid w:val="00363BF3"/>
    <w:rsid w:val="003649E8"/>
    <w:rsid w:val="00366631"/>
    <w:rsid w:val="003679D5"/>
    <w:rsid w:val="00367B79"/>
    <w:rsid w:val="003700BB"/>
    <w:rsid w:val="0037015D"/>
    <w:rsid w:val="0037217E"/>
    <w:rsid w:val="00373BB6"/>
    <w:rsid w:val="00374F02"/>
    <w:rsid w:val="00375614"/>
    <w:rsid w:val="00380E60"/>
    <w:rsid w:val="00381483"/>
    <w:rsid w:val="00381C36"/>
    <w:rsid w:val="00381D62"/>
    <w:rsid w:val="00382ADF"/>
    <w:rsid w:val="003869D5"/>
    <w:rsid w:val="003905B9"/>
    <w:rsid w:val="0039206E"/>
    <w:rsid w:val="00392A4B"/>
    <w:rsid w:val="00392AA2"/>
    <w:rsid w:val="00393BA3"/>
    <w:rsid w:val="0039527F"/>
    <w:rsid w:val="0039560D"/>
    <w:rsid w:val="00395A71"/>
    <w:rsid w:val="0039682A"/>
    <w:rsid w:val="003A37F4"/>
    <w:rsid w:val="003A4F1D"/>
    <w:rsid w:val="003A4F95"/>
    <w:rsid w:val="003A6F71"/>
    <w:rsid w:val="003A745C"/>
    <w:rsid w:val="003A7AA6"/>
    <w:rsid w:val="003A7BAA"/>
    <w:rsid w:val="003B01D4"/>
    <w:rsid w:val="003B10EC"/>
    <w:rsid w:val="003B1570"/>
    <w:rsid w:val="003B15C9"/>
    <w:rsid w:val="003B21BF"/>
    <w:rsid w:val="003B3C31"/>
    <w:rsid w:val="003B43B8"/>
    <w:rsid w:val="003B5FEE"/>
    <w:rsid w:val="003B76D9"/>
    <w:rsid w:val="003C0CEB"/>
    <w:rsid w:val="003C351A"/>
    <w:rsid w:val="003C3BC6"/>
    <w:rsid w:val="003C5934"/>
    <w:rsid w:val="003C7080"/>
    <w:rsid w:val="003D11D0"/>
    <w:rsid w:val="003D239A"/>
    <w:rsid w:val="003D2C74"/>
    <w:rsid w:val="003D5245"/>
    <w:rsid w:val="003D5507"/>
    <w:rsid w:val="003D5A10"/>
    <w:rsid w:val="003D5E6D"/>
    <w:rsid w:val="003D7CB9"/>
    <w:rsid w:val="003D7E24"/>
    <w:rsid w:val="003E0F7C"/>
    <w:rsid w:val="003E2B73"/>
    <w:rsid w:val="003E2F03"/>
    <w:rsid w:val="003E3BBF"/>
    <w:rsid w:val="003E424A"/>
    <w:rsid w:val="003E75F3"/>
    <w:rsid w:val="003F0D9E"/>
    <w:rsid w:val="003F1974"/>
    <w:rsid w:val="003F2109"/>
    <w:rsid w:val="003F2790"/>
    <w:rsid w:val="003F50FF"/>
    <w:rsid w:val="003F5900"/>
    <w:rsid w:val="003F6355"/>
    <w:rsid w:val="00400266"/>
    <w:rsid w:val="00401A9A"/>
    <w:rsid w:val="00402EEA"/>
    <w:rsid w:val="00404201"/>
    <w:rsid w:val="00404F7A"/>
    <w:rsid w:val="00405CEF"/>
    <w:rsid w:val="00406337"/>
    <w:rsid w:val="00406A00"/>
    <w:rsid w:val="004074B3"/>
    <w:rsid w:val="004075EA"/>
    <w:rsid w:val="00410C82"/>
    <w:rsid w:val="0041108E"/>
    <w:rsid w:val="00412DF2"/>
    <w:rsid w:val="004138F5"/>
    <w:rsid w:val="00413D22"/>
    <w:rsid w:val="00414C90"/>
    <w:rsid w:val="004165B0"/>
    <w:rsid w:val="004165D6"/>
    <w:rsid w:val="0042163E"/>
    <w:rsid w:val="00423163"/>
    <w:rsid w:val="004244A5"/>
    <w:rsid w:val="00427318"/>
    <w:rsid w:val="004276CD"/>
    <w:rsid w:val="0042778E"/>
    <w:rsid w:val="00427843"/>
    <w:rsid w:val="004302B6"/>
    <w:rsid w:val="0043230A"/>
    <w:rsid w:val="0043511C"/>
    <w:rsid w:val="00435538"/>
    <w:rsid w:val="00437E88"/>
    <w:rsid w:val="00440672"/>
    <w:rsid w:val="00441E70"/>
    <w:rsid w:val="00443779"/>
    <w:rsid w:val="00443CCC"/>
    <w:rsid w:val="004441E4"/>
    <w:rsid w:val="004448E8"/>
    <w:rsid w:val="004474FB"/>
    <w:rsid w:val="004528CC"/>
    <w:rsid w:val="004529C3"/>
    <w:rsid w:val="0045608B"/>
    <w:rsid w:val="00464188"/>
    <w:rsid w:val="004652FD"/>
    <w:rsid w:val="004657F4"/>
    <w:rsid w:val="00466979"/>
    <w:rsid w:val="00466D17"/>
    <w:rsid w:val="00467E20"/>
    <w:rsid w:val="004705D8"/>
    <w:rsid w:val="00472A4C"/>
    <w:rsid w:val="00472B05"/>
    <w:rsid w:val="00472E85"/>
    <w:rsid w:val="00473068"/>
    <w:rsid w:val="004735D5"/>
    <w:rsid w:val="0047556B"/>
    <w:rsid w:val="00475C2D"/>
    <w:rsid w:val="00477226"/>
    <w:rsid w:val="004813E8"/>
    <w:rsid w:val="004827F3"/>
    <w:rsid w:val="004829F2"/>
    <w:rsid w:val="00486114"/>
    <w:rsid w:val="004863E4"/>
    <w:rsid w:val="00487264"/>
    <w:rsid w:val="00490D2A"/>
    <w:rsid w:val="0049105D"/>
    <w:rsid w:val="004918C4"/>
    <w:rsid w:val="004932A2"/>
    <w:rsid w:val="00496E8C"/>
    <w:rsid w:val="00496EAA"/>
    <w:rsid w:val="004A00B9"/>
    <w:rsid w:val="004A08D7"/>
    <w:rsid w:val="004A5151"/>
    <w:rsid w:val="004A5DB1"/>
    <w:rsid w:val="004A687F"/>
    <w:rsid w:val="004A7359"/>
    <w:rsid w:val="004B2254"/>
    <w:rsid w:val="004B27EF"/>
    <w:rsid w:val="004B3161"/>
    <w:rsid w:val="004B5BAF"/>
    <w:rsid w:val="004B5CB4"/>
    <w:rsid w:val="004B632A"/>
    <w:rsid w:val="004B7E82"/>
    <w:rsid w:val="004C06AD"/>
    <w:rsid w:val="004C0946"/>
    <w:rsid w:val="004C0C08"/>
    <w:rsid w:val="004C13CF"/>
    <w:rsid w:val="004C7EB2"/>
    <w:rsid w:val="004D0163"/>
    <w:rsid w:val="004D0AC5"/>
    <w:rsid w:val="004D19EB"/>
    <w:rsid w:val="004D1AAF"/>
    <w:rsid w:val="004D3210"/>
    <w:rsid w:val="004D35C6"/>
    <w:rsid w:val="004E06B4"/>
    <w:rsid w:val="004E189A"/>
    <w:rsid w:val="004E1A28"/>
    <w:rsid w:val="004E2076"/>
    <w:rsid w:val="004E2F8E"/>
    <w:rsid w:val="004E318F"/>
    <w:rsid w:val="004E5A0A"/>
    <w:rsid w:val="004E6694"/>
    <w:rsid w:val="004E6764"/>
    <w:rsid w:val="004E791F"/>
    <w:rsid w:val="004F021C"/>
    <w:rsid w:val="004F1757"/>
    <w:rsid w:val="004F1D20"/>
    <w:rsid w:val="004F326C"/>
    <w:rsid w:val="004F38A6"/>
    <w:rsid w:val="004F444A"/>
    <w:rsid w:val="004F5575"/>
    <w:rsid w:val="004F79D9"/>
    <w:rsid w:val="005014BC"/>
    <w:rsid w:val="00501617"/>
    <w:rsid w:val="00502229"/>
    <w:rsid w:val="005030DE"/>
    <w:rsid w:val="00504BCF"/>
    <w:rsid w:val="0050634D"/>
    <w:rsid w:val="005078B2"/>
    <w:rsid w:val="005079C1"/>
    <w:rsid w:val="00507B7D"/>
    <w:rsid w:val="00507BBF"/>
    <w:rsid w:val="00511260"/>
    <w:rsid w:val="00511565"/>
    <w:rsid w:val="0051172C"/>
    <w:rsid w:val="0051380C"/>
    <w:rsid w:val="00514878"/>
    <w:rsid w:val="0051706E"/>
    <w:rsid w:val="00520E7F"/>
    <w:rsid w:val="00523DBC"/>
    <w:rsid w:val="005244E9"/>
    <w:rsid w:val="00525DF3"/>
    <w:rsid w:val="00530509"/>
    <w:rsid w:val="00532080"/>
    <w:rsid w:val="00545009"/>
    <w:rsid w:val="00545140"/>
    <w:rsid w:val="00545668"/>
    <w:rsid w:val="0055098F"/>
    <w:rsid w:val="005517B9"/>
    <w:rsid w:val="00553E7D"/>
    <w:rsid w:val="005542BD"/>
    <w:rsid w:val="00556489"/>
    <w:rsid w:val="00556EDA"/>
    <w:rsid w:val="00556FC7"/>
    <w:rsid w:val="005573D6"/>
    <w:rsid w:val="0056029F"/>
    <w:rsid w:val="0056509F"/>
    <w:rsid w:val="00565326"/>
    <w:rsid w:val="005703D6"/>
    <w:rsid w:val="00570A0D"/>
    <w:rsid w:val="005754FC"/>
    <w:rsid w:val="00575F9C"/>
    <w:rsid w:val="00576979"/>
    <w:rsid w:val="00577D50"/>
    <w:rsid w:val="00580D85"/>
    <w:rsid w:val="005811F7"/>
    <w:rsid w:val="005813AC"/>
    <w:rsid w:val="0058354A"/>
    <w:rsid w:val="00584BA7"/>
    <w:rsid w:val="00586CFB"/>
    <w:rsid w:val="00587D29"/>
    <w:rsid w:val="00587FB7"/>
    <w:rsid w:val="00591072"/>
    <w:rsid w:val="005934B8"/>
    <w:rsid w:val="00594C9D"/>
    <w:rsid w:val="00595C65"/>
    <w:rsid w:val="005964E5"/>
    <w:rsid w:val="005969E2"/>
    <w:rsid w:val="00597705"/>
    <w:rsid w:val="005A2449"/>
    <w:rsid w:val="005A2C73"/>
    <w:rsid w:val="005A3E4D"/>
    <w:rsid w:val="005A4FC0"/>
    <w:rsid w:val="005A71F7"/>
    <w:rsid w:val="005B1333"/>
    <w:rsid w:val="005B1872"/>
    <w:rsid w:val="005B649F"/>
    <w:rsid w:val="005B7772"/>
    <w:rsid w:val="005B7922"/>
    <w:rsid w:val="005B7CEE"/>
    <w:rsid w:val="005C1439"/>
    <w:rsid w:val="005C15DC"/>
    <w:rsid w:val="005C1DEC"/>
    <w:rsid w:val="005C28AE"/>
    <w:rsid w:val="005C36E4"/>
    <w:rsid w:val="005C4FDA"/>
    <w:rsid w:val="005C5C47"/>
    <w:rsid w:val="005C6A41"/>
    <w:rsid w:val="005D0320"/>
    <w:rsid w:val="005D0B78"/>
    <w:rsid w:val="005D25D6"/>
    <w:rsid w:val="005D3407"/>
    <w:rsid w:val="005D3941"/>
    <w:rsid w:val="005D411A"/>
    <w:rsid w:val="005D47C3"/>
    <w:rsid w:val="005D5E9D"/>
    <w:rsid w:val="005D6BF3"/>
    <w:rsid w:val="005D6D77"/>
    <w:rsid w:val="005E2F30"/>
    <w:rsid w:val="005E3541"/>
    <w:rsid w:val="005E411E"/>
    <w:rsid w:val="005E555E"/>
    <w:rsid w:val="005E560B"/>
    <w:rsid w:val="005E601A"/>
    <w:rsid w:val="005E7190"/>
    <w:rsid w:val="005F03D5"/>
    <w:rsid w:val="005F04A5"/>
    <w:rsid w:val="005F158C"/>
    <w:rsid w:val="005F236B"/>
    <w:rsid w:val="005F6D85"/>
    <w:rsid w:val="005F77BC"/>
    <w:rsid w:val="00600269"/>
    <w:rsid w:val="0060138F"/>
    <w:rsid w:val="0060391E"/>
    <w:rsid w:val="0060443D"/>
    <w:rsid w:val="0060486E"/>
    <w:rsid w:val="006062FB"/>
    <w:rsid w:val="00606867"/>
    <w:rsid w:val="00607419"/>
    <w:rsid w:val="006101AF"/>
    <w:rsid w:val="00612393"/>
    <w:rsid w:val="00612ACF"/>
    <w:rsid w:val="00613E36"/>
    <w:rsid w:val="00614A7A"/>
    <w:rsid w:val="00616B35"/>
    <w:rsid w:val="00617A30"/>
    <w:rsid w:val="00617F99"/>
    <w:rsid w:val="006215E6"/>
    <w:rsid w:val="00621B4B"/>
    <w:rsid w:val="006232F1"/>
    <w:rsid w:val="00623DDE"/>
    <w:rsid w:val="00624695"/>
    <w:rsid w:val="006249C3"/>
    <w:rsid w:val="00625D2D"/>
    <w:rsid w:val="00626227"/>
    <w:rsid w:val="006271A4"/>
    <w:rsid w:val="00630138"/>
    <w:rsid w:val="006313FC"/>
    <w:rsid w:val="006332F2"/>
    <w:rsid w:val="00634B17"/>
    <w:rsid w:val="00637A17"/>
    <w:rsid w:val="00641035"/>
    <w:rsid w:val="00641661"/>
    <w:rsid w:val="00644FB0"/>
    <w:rsid w:val="006476E6"/>
    <w:rsid w:val="00650EE2"/>
    <w:rsid w:val="006511A4"/>
    <w:rsid w:val="006513E2"/>
    <w:rsid w:val="00651916"/>
    <w:rsid w:val="00651DE7"/>
    <w:rsid w:val="006531C9"/>
    <w:rsid w:val="006535E1"/>
    <w:rsid w:val="0066025E"/>
    <w:rsid w:val="00661D64"/>
    <w:rsid w:val="00662682"/>
    <w:rsid w:val="006639A0"/>
    <w:rsid w:val="00663D7F"/>
    <w:rsid w:val="00664CD0"/>
    <w:rsid w:val="00665D94"/>
    <w:rsid w:val="006668FE"/>
    <w:rsid w:val="00667591"/>
    <w:rsid w:val="00667F9F"/>
    <w:rsid w:val="006710E7"/>
    <w:rsid w:val="00671A0B"/>
    <w:rsid w:val="0067210D"/>
    <w:rsid w:val="00675C81"/>
    <w:rsid w:val="0068034D"/>
    <w:rsid w:val="00681152"/>
    <w:rsid w:val="00682987"/>
    <w:rsid w:val="00682CE5"/>
    <w:rsid w:val="006841DC"/>
    <w:rsid w:val="0068468E"/>
    <w:rsid w:val="00685DAD"/>
    <w:rsid w:val="0068615D"/>
    <w:rsid w:val="0068675A"/>
    <w:rsid w:val="0069106B"/>
    <w:rsid w:val="00691AF2"/>
    <w:rsid w:val="00691CB2"/>
    <w:rsid w:val="00694527"/>
    <w:rsid w:val="0069550C"/>
    <w:rsid w:val="00697465"/>
    <w:rsid w:val="00697EB1"/>
    <w:rsid w:val="006A2310"/>
    <w:rsid w:val="006A2706"/>
    <w:rsid w:val="006A498B"/>
    <w:rsid w:val="006A4E20"/>
    <w:rsid w:val="006A7DA6"/>
    <w:rsid w:val="006B150C"/>
    <w:rsid w:val="006B1DCE"/>
    <w:rsid w:val="006B42B2"/>
    <w:rsid w:val="006B6180"/>
    <w:rsid w:val="006B692B"/>
    <w:rsid w:val="006C177A"/>
    <w:rsid w:val="006C1B13"/>
    <w:rsid w:val="006C32C4"/>
    <w:rsid w:val="006D067F"/>
    <w:rsid w:val="006D07FB"/>
    <w:rsid w:val="006D4E92"/>
    <w:rsid w:val="006D5A67"/>
    <w:rsid w:val="006D762E"/>
    <w:rsid w:val="006D7DFD"/>
    <w:rsid w:val="006E16D1"/>
    <w:rsid w:val="006E2B6D"/>
    <w:rsid w:val="006E3C88"/>
    <w:rsid w:val="006E4C1C"/>
    <w:rsid w:val="006F09D8"/>
    <w:rsid w:val="006F1624"/>
    <w:rsid w:val="006F3052"/>
    <w:rsid w:val="006F31BD"/>
    <w:rsid w:val="006F3259"/>
    <w:rsid w:val="006F3C00"/>
    <w:rsid w:val="006F78DB"/>
    <w:rsid w:val="00702C42"/>
    <w:rsid w:val="00703EA2"/>
    <w:rsid w:val="00704A2E"/>
    <w:rsid w:val="007057AB"/>
    <w:rsid w:val="00705F57"/>
    <w:rsid w:val="00706AF2"/>
    <w:rsid w:val="00707343"/>
    <w:rsid w:val="007073FB"/>
    <w:rsid w:val="00710C28"/>
    <w:rsid w:val="00711C08"/>
    <w:rsid w:val="00711CC1"/>
    <w:rsid w:val="00712ED3"/>
    <w:rsid w:val="00714697"/>
    <w:rsid w:val="00714C9E"/>
    <w:rsid w:val="00715651"/>
    <w:rsid w:val="00717903"/>
    <w:rsid w:val="00717B10"/>
    <w:rsid w:val="00724B29"/>
    <w:rsid w:val="00727A78"/>
    <w:rsid w:val="00730A5A"/>
    <w:rsid w:val="00731207"/>
    <w:rsid w:val="00734430"/>
    <w:rsid w:val="0074053C"/>
    <w:rsid w:val="00743D4D"/>
    <w:rsid w:val="00743EB1"/>
    <w:rsid w:val="0074485F"/>
    <w:rsid w:val="007451A8"/>
    <w:rsid w:val="0074527C"/>
    <w:rsid w:val="00745BF2"/>
    <w:rsid w:val="00745E2B"/>
    <w:rsid w:val="00746757"/>
    <w:rsid w:val="00751ADD"/>
    <w:rsid w:val="007520F6"/>
    <w:rsid w:val="007532C0"/>
    <w:rsid w:val="00756020"/>
    <w:rsid w:val="00756098"/>
    <w:rsid w:val="00757F3C"/>
    <w:rsid w:val="007631E0"/>
    <w:rsid w:val="00763628"/>
    <w:rsid w:val="00763BF3"/>
    <w:rsid w:val="00764F87"/>
    <w:rsid w:val="00767A6B"/>
    <w:rsid w:val="00771094"/>
    <w:rsid w:val="00771421"/>
    <w:rsid w:val="00772E4B"/>
    <w:rsid w:val="007744D5"/>
    <w:rsid w:val="0077459E"/>
    <w:rsid w:val="00775448"/>
    <w:rsid w:val="0077676B"/>
    <w:rsid w:val="00782782"/>
    <w:rsid w:val="007841E0"/>
    <w:rsid w:val="007863FC"/>
    <w:rsid w:val="007866DC"/>
    <w:rsid w:val="00786FFF"/>
    <w:rsid w:val="00791465"/>
    <w:rsid w:val="00791A4E"/>
    <w:rsid w:val="00791D5E"/>
    <w:rsid w:val="0079276A"/>
    <w:rsid w:val="00794AA8"/>
    <w:rsid w:val="00796986"/>
    <w:rsid w:val="00796F39"/>
    <w:rsid w:val="00796F7A"/>
    <w:rsid w:val="00797A49"/>
    <w:rsid w:val="007A1488"/>
    <w:rsid w:val="007A1A81"/>
    <w:rsid w:val="007A2884"/>
    <w:rsid w:val="007A3705"/>
    <w:rsid w:val="007A39B0"/>
    <w:rsid w:val="007A7BBE"/>
    <w:rsid w:val="007B196E"/>
    <w:rsid w:val="007B1F09"/>
    <w:rsid w:val="007B566C"/>
    <w:rsid w:val="007B686F"/>
    <w:rsid w:val="007B6CEF"/>
    <w:rsid w:val="007C17AD"/>
    <w:rsid w:val="007C247A"/>
    <w:rsid w:val="007C4731"/>
    <w:rsid w:val="007C546A"/>
    <w:rsid w:val="007D0644"/>
    <w:rsid w:val="007D0A2D"/>
    <w:rsid w:val="007D3ACE"/>
    <w:rsid w:val="007D64EC"/>
    <w:rsid w:val="007E05A2"/>
    <w:rsid w:val="007E1089"/>
    <w:rsid w:val="007E1B26"/>
    <w:rsid w:val="007E1DF5"/>
    <w:rsid w:val="007E1F8D"/>
    <w:rsid w:val="007E5E24"/>
    <w:rsid w:val="007F1E72"/>
    <w:rsid w:val="007F2C37"/>
    <w:rsid w:val="007F4798"/>
    <w:rsid w:val="00800438"/>
    <w:rsid w:val="008019A5"/>
    <w:rsid w:val="008020C2"/>
    <w:rsid w:val="008020CD"/>
    <w:rsid w:val="00803543"/>
    <w:rsid w:val="00806AFC"/>
    <w:rsid w:val="00810336"/>
    <w:rsid w:val="0081156D"/>
    <w:rsid w:val="00811B30"/>
    <w:rsid w:val="00812D95"/>
    <w:rsid w:val="00813448"/>
    <w:rsid w:val="00814EDE"/>
    <w:rsid w:val="0081612B"/>
    <w:rsid w:val="00816ED1"/>
    <w:rsid w:val="00821D82"/>
    <w:rsid w:val="008230F2"/>
    <w:rsid w:val="00823442"/>
    <w:rsid w:val="00823CFE"/>
    <w:rsid w:val="008242ED"/>
    <w:rsid w:val="008276BB"/>
    <w:rsid w:val="00830F6A"/>
    <w:rsid w:val="00832EA6"/>
    <w:rsid w:val="00832FD6"/>
    <w:rsid w:val="0083336E"/>
    <w:rsid w:val="00834066"/>
    <w:rsid w:val="008343B4"/>
    <w:rsid w:val="00837B9A"/>
    <w:rsid w:val="00837E1F"/>
    <w:rsid w:val="008405CE"/>
    <w:rsid w:val="008405CF"/>
    <w:rsid w:val="00841726"/>
    <w:rsid w:val="008417D1"/>
    <w:rsid w:val="008426AA"/>
    <w:rsid w:val="0084295A"/>
    <w:rsid w:val="0084393F"/>
    <w:rsid w:val="00846269"/>
    <w:rsid w:val="00851511"/>
    <w:rsid w:val="00851654"/>
    <w:rsid w:val="008536CA"/>
    <w:rsid w:val="008547C2"/>
    <w:rsid w:val="00854A89"/>
    <w:rsid w:val="00855355"/>
    <w:rsid w:val="008557C2"/>
    <w:rsid w:val="00855F97"/>
    <w:rsid w:val="0086080D"/>
    <w:rsid w:val="008634DE"/>
    <w:rsid w:val="008647BD"/>
    <w:rsid w:val="008665C4"/>
    <w:rsid w:val="0086751C"/>
    <w:rsid w:val="008677E3"/>
    <w:rsid w:val="00870B41"/>
    <w:rsid w:val="0087195C"/>
    <w:rsid w:val="00873C6E"/>
    <w:rsid w:val="00873EB9"/>
    <w:rsid w:val="00875D5A"/>
    <w:rsid w:val="00875F1E"/>
    <w:rsid w:val="00880351"/>
    <w:rsid w:val="0088086C"/>
    <w:rsid w:val="008825BB"/>
    <w:rsid w:val="00882735"/>
    <w:rsid w:val="0088275A"/>
    <w:rsid w:val="00882EFE"/>
    <w:rsid w:val="00885C05"/>
    <w:rsid w:val="00885F6F"/>
    <w:rsid w:val="00890F28"/>
    <w:rsid w:val="00892541"/>
    <w:rsid w:val="0089372D"/>
    <w:rsid w:val="00893E14"/>
    <w:rsid w:val="0089533C"/>
    <w:rsid w:val="00895554"/>
    <w:rsid w:val="008957A8"/>
    <w:rsid w:val="00895A54"/>
    <w:rsid w:val="00896B6A"/>
    <w:rsid w:val="008A0454"/>
    <w:rsid w:val="008A1381"/>
    <w:rsid w:val="008A1A60"/>
    <w:rsid w:val="008A3B56"/>
    <w:rsid w:val="008A4281"/>
    <w:rsid w:val="008A537D"/>
    <w:rsid w:val="008A7240"/>
    <w:rsid w:val="008A75F3"/>
    <w:rsid w:val="008A7BFC"/>
    <w:rsid w:val="008A7CF7"/>
    <w:rsid w:val="008A7FAD"/>
    <w:rsid w:val="008B100F"/>
    <w:rsid w:val="008B1DA6"/>
    <w:rsid w:val="008B3660"/>
    <w:rsid w:val="008C210D"/>
    <w:rsid w:val="008C3E59"/>
    <w:rsid w:val="008C480D"/>
    <w:rsid w:val="008C4C45"/>
    <w:rsid w:val="008C651B"/>
    <w:rsid w:val="008C7138"/>
    <w:rsid w:val="008D136B"/>
    <w:rsid w:val="008D2564"/>
    <w:rsid w:val="008D3C26"/>
    <w:rsid w:val="008D42B2"/>
    <w:rsid w:val="008E1626"/>
    <w:rsid w:val="008E270C"/>
    <w:rsid w:val="008E51D4"/>
    <w:rsid w:val="008E66F8"/>
    <w:rsid w:val="008E74EF"/>
    <w:rsid w:val="008E7904"/>
    <w:rsid w:val="008E7EFA"/>
    <w:rsid w:val="008F051D"/>
    <w:rsid w:val="008F0FC5"/>
    <w:rsid w:val="008F0FD2"/>
    <w:rsid w:val="008F17A3"/>
    <w:rsid w:val="008F4376"/>
    <w:rsid w:val="008F59AF"/>
    <w:rsid w:val="008F5B07"/>
    <w:rsid w:val="008F5E59"/>
    <w:rsid w:val="008F61FC"/>
    <w:rsid w:val="008F74A5"/>
    <w:rsid w:val="00901474"/>
    <w:rsid w:val="009014FD"/>
    <w:rsid w:val="00902AA7"/>
    <w:rsid w:val="00902C55"/>
    <w:rsid w:val="00903496"/>
    <w:rsid w:val="00903A37"/>
    <w:rsid w:val="009041F8"/>
    <w:rsid w:val="00904D53"/>
    <w:rsid w:val="00905C49"/>
    <w:rsid w:val="00906C53"/>
    <w:rsid w:val="0090737A"/>
    <w:rsid w:val="0091491D"/>
    <w:rsid w:val="0091517B"/>
    <w:rsid w:val="00921597"/>
    <w:rsid w:val="00921696"/>
    <w:rsid w:val="0092525C"/>
    <w:rsid w:val="009257EE"/>
    <w:rsid w:val="009262E3"/>
    <w:rsid w:val="00927E7F"/>
    <w:rsid w:val="009300E6"/>
    <w:rsid w:val="00931856"/>
    <w:rsid w:val="00931957"/>
    <w:rsid w:val="00932259"/>
    <w:rsid w:val="00937B2D"/>
    <w:rsid w:val="00937F6E"/>
    <w:rsid w:val="00940225"/>
    <w:rsid w:val="00941099"/>
    <w:rsid w:val="009429D4"/>
    <w:rsid w:val="00943D4D"/>
    <w:rsid w:val="00944464"/>
    <w:rsid w:val="00945BC4"/>
    <w:rsid w:val="009503FE"/>
    <w:rsid w:val="0095291D"/>
    <w:rsid w:val="00954778"/>
    <w:rsid w:val="0095687B"/>
    <w:rsid w:val="00957730"/>
    <w:rsid w:val="00960CDB"/>
    <w:rsid w:val="00962E0E"/>
    <w:rsid w:val="00964882"/>
    <w:rsid w:val="009648F1"/>
    <w:rsid w:val="00964C44"/>
    <w:rsid w:val="00964DFA"/>
    <w:rsid w:val="0096634B"/>
    <w:rsid w:val="0097136D"/>
    <w:rsid w:val="00971D2F"/>
    <w:rsid w:val="009737E6"/>
    <w:rsid w:val="0097492C"/>
    <w:rsid w:val="00974E2D"/>
    <w:rsid w:val="00975DB5"/>
    <w:rsid w:val="00976DCD"/>
    <w:rsid w:val="00976F0D"/>
    <w:rsid w:val="0098066C"/>
    <w:rsid w:val="009812F2"/>
    <w:rsid w:val="009814B0"/>
    <w:rsid w:val="00981871"/>
    <w:rsid w:val="00984181"/>
    <w:rsid w:val="0098571F"/>
    <w:rsid w:val="00987780"/>
    <w:rsid w:val="0099005D"/>
    <w:rsid w:val="00992B0D"/>
    <w:rsid w:val="009949C6"/>
    <w:rsid w:val="009969E0"/>
    <w:rsid w:val="00996B5C"/>
    <w:rsid w:val="009A0545"/>
    <w:rsid w:val="009A0B4E"/>
    <w:rsid w:val="009A1EC2"/>
    <w:rsid w:val="009A36AF"/>
    <w:rsid w:val="009A3E97"/>
    <w:rsid w:val="009A591E"/>
    <w:rsid w:val="009A77E7"/>
    <w:rsid w:val="009A7D14"/>
    <w:rsid w:val="009B0338"/>
    <w:rsid w:val="009B1B5C"/>
    <w:rsid w:val="009B306D"/>
    <w:rsid w:val="009B5983"/>
    <w:rsid w:val="009B7B65"/>
    <w:rsid w:val="009C052D"/>
    <w:rsid w:val="009C09A0"/>
    <w:rsid w:val="009C2135"/>
    <w:rsid w:val="009C323D"/>
    <w:rsid w:val="009C36F1"/>
    <w:rsid w:val="009C3B51"/>
    <w:rsid w:val="009C3E3C"/>
    <w:rsid w:val="009C4F54"/>
    <w:rsid w:val="009C5271"/>
    <w:rsid w:val="009C63A4"/>
    <w:rsid w:val="009C63D5"/>
    <w:rsid w:val="009C6B5F"/>
    <w:rsid w:val="009C787C"/>
    <w:rsid w:val="009C7FC6"/>
    <w:rsid w:val="009D161A"/>
    <w:rsid w:val="009D1693"/>
    <w:rsid w:val="009D1BCC"/>
    <w:rsid w:val="009D3D26"/>
    <w:rsid w:val="009D4AB7"/>
    <w:rsid w:val="009D5302"/>
    <w:rsid w:val="009D62F3"/>
    <w:rsid w:val="009D754F"/>
    <w:rsid w:val="009E1896"/>
    <w:rsid w:val="009E1980"/>
    <w:rsid w:val="009E1ACC"/>
    <w:rsid w:val="009E20B0"/>
    <w:rsid w:val="009E2833"/>
    <w:rsid w:val="009E2BB3"/>
    <w:rsid w:val="009E325E"/>
    <w:rsid w:val="009E3484"/>
    <w:rsid w:val="009E569F"/>
    <w:rsid w:val="009E5B04"/>
    <w:rsid w:val="009E5FDA"/>
    <w:rsid w:val="009E646F"/>
    <w:rsid w:val="009E776E"/>
    <w:rsid w:val="009F1760"/>
    <w:rsid w:val="009F4396"/>
    <w:rsid w:val="009F5BAA"/>
    <w:rsid w:val="009F5D93"/>
    <w:rsid w:val="009F6F14"/>
    <w:rsid w:val="009F7433"/>
    <w:rsid w:val="00A00F3C"/>
    <w:rsid w:val="00A0144A"/>
    <w:rsid w:val="00A02844"/>
    <w:rsid w:val="00A034F2"/>
    <w:rsid w:val="00A042CC"/>
    <w:rsid w:val="00A06BF5"/>
    <w:rsid w:val="00A076B8"/>
    <w:rsid w:val="00A07E9C"/>
    <w:rsid w:val="00A11066"/>
    <w:rsid w:val="00A1196D"/>
    <w:rsid w:val="00A11A36"/>
    <w:rsid w:val="00A122F8"/>
    <w:rsid w:val="00A1243E"/>
    <w:rsid w:val="00A12914"/>
    <w:rsid w:val="00A12EEB"/>
    <w:rsid w:val="00A14173"/>
    <w:rsid w:val="00A167B8"/>
    <w:rsid w:val="00A17060"/>
    <w:rsid w:val="00A17377"/>
    <w:rsid w:val="00A17ED7"/>
    <w:rsid w:val="00A20492"/>
    <w:rsid w:val="00A2185E"/>
    <w:rsid w:val="00A21919"/>
    <w:rsid w:val="00A26381"/>
    <w:rsid w:val="00A31C08"/>
    <w:rsid w:val="00A32889"/>
    <w:rsid w:val="00A331C2"/>
    <w:rsid w:val="00A36A40"/>
    <w:rsid w:val="00A36D42"/>
    <w:rsid w:val="00A414A1"/>
    <w:rsid w:val="00A41BC0"/>
    <w:rsid w:val="00A42893"/>
    <w:rsid w:val="00A42906"/>
    <w:rsid w:val="00A43E5D"/>
    <w:rsid w:val="00A45490"/>
    <w:rsid w:val="00A4723D"/>
    <w:rsid w:val="00A47250"/>
    <w:rsid w:val="00A5180C"/>
    <w:rsid w:val="00A521EE"/>
    <w:rsid w:val="00A5427C"/>
    <w:rsid w:val="00A57635"/>
    <w:rsid w:val="00A603C3"/>
    <w:rsid w:val="00A61267"/>
    <w:rsid w:val="00A63829"/>
    <w:rsid w:val="00A63CCF"/>
    <w:rsid w:val="00A64250"/>
    <w:rsid w:val="00A64FD8"/>
    <w:rsid w:val="00A6550F"/>
    <w:rsid w:val="00A67C97"/>
    <w:rsid w:val="00A711F9"/>
    <w:rsid w:val="00A71783"/>
    <w:rsid w:val="00A719FE"/>
    <w:rsid w:val="00A74937"/>
    <w:rsid w:val="00A75B8E"/>
    <w:rsid w:val="00A80111"/>
    <w:rsid w:val="00A81D34"/>
    <w:rsid w:val="00A81DF8"/>
    <w:rsid w:val="00A82B55"/>
    <w:rsid w:val="00A83F39"/>
    <w:rsid w:val="00A84210"/>
    <w:rsid w:val="00A85465"/>
    <w:rsid w:val="00A866AE"/>
    <w:rsid w:val="00A878A5"/>
    <w:rsid w:val="00A87D38"/>
    <w:rsid w:val="00A92225"/>
    <w:rsid w:val="00A9381F"/>
    <w:rsid w:val="00A958D5"/>
    <w:rsid w:val="00A95B9A"/>
    <w:rsid w:val="00A95CB4"/>
    <w:rsid w:val="00A976E6"/>
    <w:rsid w:val="00AA00D8"/>
    <w:rsid w:val="00AA32DA"/>
    <w:rsid w:val="00AA45A4"/>
    <w:rsid w:val="00AA4712"/>
    <w:rsid w:val="00AA4FAB"/>
    <w:rsid w:val="00AA65F4"/>
    <w:rsid w:val="00AA7A71"/>
    <w:rsid w:val="00AB01B3"/>
    <w:rsid w:val="00AB1B2B"/>
    <w:rsid w:val="00AB43EE"/>
    <w:rsid w:val="00AB4F07"/>
    <w:rsid w:val="00AB5121"/>
    <w:rsid w:val="00AB51EA"/>
    <w:rsid w:val="00AB6F0C"/>
    <w:rsid w:val="00AC1EC5"/>
    <w:rsid w:val="00AC4AC4"/>
    <w:rsid w:val="00AC7F40"/>
    <w:rsid w:val="00AC7FDF"/>
    <w:rsid w:val="00AD0544"/>
    <w:rsid w:val="00AD061A"/>
    <w:rsid w:val="00AD1C15"/>
    <w:rsid w:val="00AD35F0"/>
    <w:rsid w:val="00AD6B3C"/>
    <w:rsid w:val="00AE099A"/>
    <w:rsid w:val="00AE154F"/>
    <w:rsid w:val="00AE18E1"/>
    <w:rsid w:val="00AE1EE1"/>
    <w:rsid w:val="00AE207E"/>
    <w:rsid w:val="00AE2782"/>
    <w:rsid w:val="00AE2C20"/>
    <w:rsid w:val="00AE3DAE"/>
    <w:rsid w:val="00AE412E"/>
    <w:rsid w:val="00AE5E46"/>
    <w:rsid w:val="00AF05EC"/>
    <w:rsid w:val="00AF252E"/>
    <w:rsid w:val="00AF2AE0"/>
    <w:rsid w:val="00AF399D"/>
    <w:rsid w:val="00AF3D6B"/>
    <w:rsid w:val="00AF4917"/>
    <w:rsid w:val="00AF4DC9"/>
    <w:rsid w:val="00AF6292"/>
    <w:rsid w:val="00AF680F"/>
    <w:rsid w:val="00AF6DF0"/>
    <w:rsid w:val="00B00514"/>
    <w:rsid w:val="00B00C04"/>
    <w:rsid w:val="00B01C2D"/>
    <w:rsid w:val="00B01FAF"/>
    <w:rsid w:val="00B04260"/>
    <w:rsid w:val="00B04A4E"/>
    <w:rsid w:val="00B0511A"/>
    <w:rsid w:val="00B05D39"/>
    <w:rsid w:val="00B100BE"/>
    <w:rsid w:val="00B11284"/>
    <w:rsid w:val="00B11F80"/>
    <w:rsid w:val="00B13A6B"/>
    <w:rsid w:val="00B14FF9"/>
    <w:rsid w:val="00B15D9A"/>
    <w:rsid w:val="00B160F4"/>
    <w:rsid w:val="00B1684F"/>
    <w:rsid w:val="00B1722F"/>
    <w:rsid w:val="00B17CCB"/>
    <w:rsid w:val="00B207AC"/>
    <w:rsid w:val="00B20D36"/>
    <w:rsid w:val="00B21512"/>
    <w:rsid w:val="00B21FA2"/>
    <w:rsid w:val="00B235FF"/>
    <w:rsid w:val="00B24486"/>
    <w:rsid w:val="00B24846"/>
    <w:rsid w:val="00B26963"/>
    <w:rsid w:val="00B26AA4"/>
    <w:rsid w:val="00B30BDA"/>
    <w:rsid w:val="00B30C98"/>
    <w:rsid w:val="00B32AE8"/>
    <w:rsid w:val="00B3323A"/>
    <w:rsid w:val="00B34ECD"/>
    <w:rsid w:val="00B36696"/>
    <w:rsid w:val="00B37004"/>
    <w:rsid w:val="00B418D6"/>
    <w:rsid w:val="00B43A80"/>
    <w:rsid w:val="00B446F9"/>
    <w:rsid w:val="00B46ADF"/>
    <w:rsid w:val="00B50382"/>
    <w:rsid w:val="00B512A3"/>
    <w:rsid w:val="00B51F04"/>
    <w:rsid w:val="00B53331"/>
    <w:rsid w:val="00B559B2"/>
    <w:rsid w:val="00B565D4"/>
    <w:rsid w:val="00B56BAF"/>
    <w:rsid w:val="00B56D2F"/>
    <w:rsid w:val="00B56DA8"/>
    <w:rsid w:val="00B57BF8"/>
    <w:rsid w:val="00B60E51"/>
    <w:rsid w:val="00B632AA"/>
    <w:rsid w:val="00B63F7F"/>
    <w:rsid w:val="00B6537F"/>
    <w:rsid w:val="00B65433"/>
    <w:rsid w:val="00B65D0C"/>
    <w:rsid w:val="00B65DEE"/>
    <w:rsid w:val="00B673D7"/>
    <w:rsid w:val="00B7062F"/>
    <w:rsid w:val="00B71571"/>
    <w:rsid w:val="00B715B1"/>
    <w:rsid w:val="00B7619E"/>
    <w:rsid w:val="00B77677"/>
    <w:rsid w:val="00B77BF3"/>
    <w:rsid w:val="00B83257"/>
    <w:rsid w:val="00B8381D"/>
    <w:rsid w:val="00B84964"/>
    <w:rsid w:val="00B849F3"/>
    <w:rsid w:val="00B85F87"/>
    <w:rsid w:val="00B9092D"/>
    <w:rsid w:val="00B91527"/>
    <w:rsid w:val="00B92470"/>
    <w:rsid w:val="00B929D1"/>
    <w:rsid w:val="00B93AC6"/>
    <w:rsid w:val="00B95349"/>
    <w:rsid w:val="00B955C0"/>
    <w:rsid w:val="00B95B9C"/>
    <w:rsid w:val="00B961E2"/>
    <w:rsid w:val="00BA0067"/>
    <w:rsid w:val="00BA0F9A"/>
    <w:rsid w:val="00BA2179"/>
    <w:rsid w:val="00BA65AC"/>
    <w:rsid w:val="00BB0B7C"/>
    <w:rsid w:val="00BB14FF"/>
    <w:rsid w:val="00BB2985"/>
    <w:rsid w:val="00BC0A20"/>
    <w:rsid w:val="00BC21A0"/>
    <w:rsid w:val="00BC4EF3"/>
    <w:rsid w:val="00BC77C0"/>
    <w:rsid w:val="00BD0B25"/>
    <w:rsid w:val="00BD19CC"/>
    <w:rsid w:val="00BD234D"/>
    <w:rsid w:val="00BD2561"/>
    <w:rsid w:val="00BD5DCD"/>
    <w:rsid w:val="00BD616D"/>
    <w:rsid w:val="00BD6C4D"/>
    <w:rsid w:val="00BE0997"/>
    <w:rsid w:val="00BE1907"/>
    <w:rsid w:val="00BE1A97"/>
    <w:rsid w:val="00BE3AF3"/>
    <w:rsid w:val="00BE485B"/>
    <w:rsid w:val="00BE6A74"/>
    <w:rsid w:val="00BE7D08"/>
    <w:rsid w:val="00BF0840"/>
    <w:rsid w:val="00BF0DFF"/>
    <w:rsid w:val="00BF22B8"/>
    <w:rsid w:val="00BF2603"/>
    <w:rsid w:val="00BF51CE"/>
    <w:rsid w:val="00BF6541"/>
    <w:rsid w:val="00C01A0D"/>
    <w:rsid w:val="00C028D9"/>
    <w:rsid w:val="00C036E4"/>
    <w:rsid w:val="00C038B8"/>
    <w:rsid w:val="00C03B35"/>
    <w:rsid w:val="00C06574"/>
    <w:rsid w:val="00C06F31"/>
    <w:rsid w:val="00C11EE9"/>
    <w:rsid w:val="00C12B8C"/>
    <w:rsid w:val="00C155D9"/>
    <w:rsid w:val="00C2211D"/>
    <w:rsid w:val="00C2344F"/>
    <w:rsid w:val="00C246F2"/>
    <w:rsid w:val="00C26707"/>
    <w:rsid w:val="00C27719"/>
    <w:rsid w:val="00C31BCD"/>
    <w:rsid w:val="00C320EB"/>
    <w:rsid w:val="00C32F7B"/>
    <w:rsid w:val="00C33845"/>
    <w:rsid w:val="00C3513F"/>
    <w:rsid w:val="00C355AA"/>
    <w:rsid w:val="00C36223"/>
    <w:rsid w:val="00C40725"/>
    <w:rsid w:val="00C4207E"/>
    <w:rsid w:val="00C451A3"/>
    <w:rsid w:val="00C4577E"/>
    <w:rsid w:val="00C50C8F"/>
    <w:rsid w:val="00C50D41"/>
    <w:rsid w:val="00C51156"/>
    <w:rsid w:val="00C53FD7"/>
    <w:rsid w:val="00C5437D"/>
    <w:rsid w:val="00C55C61"/>
    <w:rsid w:val="00C57047"/>
    <w:rsid w:val="00C64F44"/>
    <w:rsid w:val="00C650ED"/>
    <w:rsid w:val="00C65132"/>
    <w:rsid w:val="00C65F6A"/>
    <w:rsid w:val="00C67F3E"/>
    <w:rsid w:val="00C70CD5"/>
    <w:rsid w:val="00C7194E"/>
    <w:rsid w:val="00C7216F"/>
    <w:rsid w:val="00C730E4"/>
    <w:rsid w:val="00C73BB8"/>
    <w:rsid w:val="00C74CC5"/>
    <w:rsid w:val="00C76B48"/>
    <w:rsid w:val="00C76CC4"/>
    <w:rsid w:val="00C77815"/>
    <w:rsid w:val="00C823C5"/>
    <w:rsid w:val="00C82D42"/>
    <w:rsid w:val="00C8322A"/>
    <w:rsid w:val="00C83583"/>
    <w:rsid w:val="00C84B12"/>
    <w:rsid w:val="00C869BC"/>
    <w:rsid w:val="00C8737E"/>
    <w:rsid w:val="00C90444"/>
    <w:rsid w:val="00C9243B"/>
    <w:rsid w:val="00C953C0"/>
    <w:rsid w:val="00C96E5A"/>
    <w:rsid w:val="00C97ACC"/>
    <w:rsid w:val="00CA056D"/>
    <w:rsid w:val="00CA181F"/>
    <w:rsid w:val="00CA22C7"/>
    <w:rsid w:val="00CA2A54"/>
    <w:rsid w:val="00CA3219"/>
    <w:rsid w:val="00CB01EB"/>
    <w:rsid w:val="00CB0DFA"/>
    <w:rsid w:val="00CB250C"/>
    <w:rsid w:val="00CB34D5"/>
    <w:rsid w:val="00CB6CB0"/>
    <w:rsid w:val="00CC134C"/>
    <w:rsid w:val="00CC36F9"/>
    <w:rsid w:val="00CC3E8F"/>
    <w:rsid w:val="00CD0BA2"/>
    <w:rsid w:val="00CD1874"/>
    <w:rsid w:val="00CD18DE"/>
    <w:rsid w:val="00CD2E30"/>
    <w:rsid w:val="00CD643B"/>
    <w:rsid w:val="00CD7B7F"/>
    <w:rsid w:val="00CE0D42"/>
    <w:rsid w:val="00CE19D1"/>
    <w:rsid w:val="00CE23EF"/>
    <w:rsid w:val="00CE6197"/>
    <w:rsid w:val="00CE6490"/>
    <w:rsid w:val="00CE6BEE"/>
    <w:rsid w:val="00CE702E"/>
    <w:rsid w:val="00CE7723"/>
    <w:rsid w:val="00CF088A"/>
    <w:rsid w:val="00CF1AEC"/>
    <w:rsid w:val="00CF38F2"/>
    <w:rsid w:val="00CF5CD7"/>
    <w:rsid w:val="00CF79DF"/>
    <w:rsid w:val="00D006F0"/>
    <w:rsid w:val="00D00702"/>
    <w:rsid w:val="00D01E61"/>
    <w:rsid w:val="00D02296"/>
    <w:rsid w:val="00D02B99"/>
    <w:rsid w:val="00D0306C"/>
    <w:rsid w:val="00D034FA"/>
    <w:rsid w:val="00D06027"/>
    <w:rsid w:val="00D0751A"/>
    <w:rsid w:val="00D078F8"/>
    <w:rsid w:val="00D07D25"/>
    <w:rsid w:val="00D110F0"/>
    <w:rsid w:val="00D116BA"/>
    <w:rsid w:val="00D12852"/>
    <w:rsid w:val="00D13010"/>
    <w:rsid w:val="00D133F0"/>
    <w:rsid w:val="00D143ED"/>
    <w:rsid w:val="00D16C5A"/>
    <w:rsid w:val="00D16DAA"/>
    <w:rsid w:val="00D17E12"/>
    <w:rsid w:val="00D20F59"/>
    <w:rsid w:val="00D21B84"/>
    <w:rsid w:val="00D22983"/>
    <w:rsid w:val="00D25359"/>
    <w:rsid w:val="00D25E7D"/>
    <w:rsid w:val="00D261EA"/>
    <w:rsid w:val="00D26D6A"/>
    <w:rsid w:val="00D27732"/>
    <w:rsid w:val="00D27842"/>
    <w:rsid w:val="00D30628"/>
    <w:rsid w:val="00D30CEE"/>
    <w:rsid w:val="00D31D6C"/>
    <w:rsid w:val="00D32B3D"/>
    <w:rsid w:val="00D33C8D"/>
    <w:rsid w:val="00D37148"/>
    <w:rsid w:val="00D37A00"/>
    <w:rsid w:val="00D40860"/>
    <w:rsid w:val="00D4280D"/>
    <w:rsid w:val="00D42B76"/>
    <w:rsid w:val="00D43787"/>
    <w:rsid w:val="00D447D8"/>
    <w:rsid w:val="00D447FF"/>
    <w:rsid w:val="00D450B5"/>
    <w:rsid w:val="00D45623"/>
    <w:rsid w:val="00D45942"/>
    <w:rsid w:val="00D45968"/>
    <w:rsid w:val="00D468AF"/>
    <w:rsid w:val="00D470FA"/>
    <w:rsid w:val="00D47F57"/>
    <w:rsid w:val="00D50983"/>
    <w:rsid w:val="00D53B35"/>
    <w:rsid w:val="00D5648F"/>
    <w:rsid w:val="00D56E3B"/>
    <w:rsid w:val="00D57CC2"/>
    <w:rsid w:val="00D616EC"/>
    <w:rsid w:val="00D625B8"/>
    <w:rsid w:val="00D648BA"/>
    <w:rsid w:val="00D66709"/>
    <w:rsid w:val="00D66A4D"/>
    <w:rsid w:val="00D724E1"/>
    <w:rsid w:val="00D76A95"/>
    <w:rsid w:val="00D801E1"/>
    <w:rsid w:val="00D82515"/>
    <w:rsid w:val="00D82682"/>
    <w:rsid w:val="00D82E21"/>
    <w:rsid w:val="00D840E2"/>
    <w:rsid w:val="00D846FE"/>
    <w:rsid w:val="00D860CB"/>
    <w:rsid w:val="00D86916"/>
    <w:rsid w:val="00D87C68"/>
    <w:rsid w:val="00D92783"/>
    <w:rsid w:val="00D92B70"/>
    <w:rsid w:val="00D92D3B"/>
    <w:rsid w:val="00D9456A"/>
    <w:rsid w:val="00D94B4E"/>
    <w:rsid w:val="00D94DBD"/>
    <w:rsid w:val="00DA00BB"/>
    <w:rsid w:val="00DA38F9"/>
    <w:rsid w:val="00DA776D"/>
    <w:rsid w:val="00DA7AAB"/>
    <w:rsid w:val="00DB0815"/>
    <w:rsid w:val="00DB15ED"/>
    <w:rsid w:val="00DB1859"/>
    <w:rsid w:val="00DB29D6"/>
    <w:rsid w:val="00DB3ABE"/>
    <w:rsid w:val="00DB6676"/>
    <w:rsid w:val="00DC2ABE"/>
    <w:rsid w:val="00DC59DE"/>
    <w:rsid w:val="00DC7217"/>
    <w:rsid w:val="00DC79BB"/>
    <w:rsid w:val="00DD11EB"/>
    <w:rsid w:val="00DD1B8B"/>
    <w:rsid w:val="00DD1F32"/>
    <w:rsid w:val="00DD23D6"/>
    <w:rsid w:val="00DD4855"/>
    <w:rsid w:val="00DD75C4"/>
    <w:rsid w:val="00DE1FBA"/>
    <w:rsid w:val="00DE4550"/>
    <w:rsid w:val="00DE53C4"/>
    <w:rsid w:val="00DE55DE"/>
    <w:rsid w:val="00DE58C7"/>
    <w:rsid w:val="00DE5968"/>
    <w:rsid w:val="00DE6A2A"/>
    <w:rsid w:val="00DF1227"/>
    <w:rsid w:val="00DF131F"/>
    <w:rsid w:val="00DF2C98"/>
    <w:rsid w:val="00DF77FD"/>
    <w:rsid w:val="00DF7AB6"/>
    <w:rsid w:val="00E00DCA"/>
    <w:rsid w:val="00E033B7"/>
    <w:rsid w:val="00E038DB"/>
    <w:rsid w:val="00E04FFB"/>
    <w:rsid w:val="00E05EEE"/>
    <w:rsid w:val="00E065DD"/>
    <w:rsid w:val="00E075A8"/>
    <w:rsid w:val="00E07D5A"/>
    <w:rsid w:val="00E105EE"/>
    <w:rsid w:val="00E10D91"/>
    <w:rsid w:val="00E134FC"/>
    <w:rsid w:val="00E1436B"/>
    <w:rsid w:val="00E14F22"/>
    <w:rsid w:val="00E151BD"/>
    <w:rsid w:val="00E170FA"/>
    <w:rsid w:val="00E2020E"/>
    <w:rsid w:val="00E20D15"/>
    <w:rsid w:val="00E23C03"/>
    <w:rsid w:val="00E25A13"/>
    <w:rsid w:val="00E26F75"/>
    <w:rsid w:val="00E3064C"/>
    <w:rsid w:val="00E33007"/>
    <w:rsid w:val="00E34483"/>
    <w:rsid w:val="00E3456D"/>
    <w:rsid w:val="00E406B2"/>
    <w:rsid w:val="00E4190D"/>
    <w:rsid w:val="00E44987"/>
    <w:rsid w:val="00E44EB9"/>
    <w:rsid w:val="00E44F34"/>
    <w:rsid w:val="00E45859"/>
    <w:rsid w:val="00E47666"/>
    <w:rsid w:val="00E47C2B"/>
    <w:rsid w:val="00E504E9"/>
    <w:rsid w:val="00E507A9"/>
    <w:rsid w:val="00E5253D"/>
    <w:rsid w:val="00E53860"/>
    <w:rsid w:val="00E554E7"/>
    <w:rsid w:val="00E5688C"/>
    <w:rsid w:val="00E57C72"/>
    <w:rsid w:val="00E60AEE"/>
    <w:rsid w:val="00E6547E"/>
    <w:rsid w:val="00E65E36"/>
    <w:rsid w:val="00E669A1"/>
    <w:rsid w:val="00E67625"/>
    <w:rsid w:val="00E700D9"/>
    <w:rsid w:val="00E75FF6"/>
    <w:rsid w:val="00E77A6F"/>
    <w:rsid w:val="00E8390A"/>
    <w:rsid w:val="00E83A3B"/>
    <w:rsid w:val="00E901D7"/>
    <w:rsid w:val="00E9172D"/>
    <w:rsid w:val="00E91BD8"/>
    <w:rsid w:val="00E922BE"/>
    <w:rsid w:val="00E9258D"/>
    <w:rsid w:val="00E9268E"/>
    <w:rsid w:val="00E92B00"/>
    <w:rsid w:val="00E92EC8"/>
    <w:rsid w:val="00E9368B"/>
    <w:rsid w:val="00E94D9A"/>
    <w:rsid w:val="00E951CA"/>
    <w:rsid w:val="00E953FA"/>
    <w:rsid w:val="00E97D0F"/>
    <w:rsid w:val="00E97E28"/>
    <w:rsid w:val="00EA484D"/>
    <w:rsid w:val="00EA4A96"/>
    <w:rsid w:val="00EB1A14"/>
    <w:rsid w:val="00EB1C95"/>
    <w:rsid w:val="00EB3B0A"/>
    <w:rsid w:val="00EB3DAC"/>
    <w:rsid w:val="00EB4093"/>
    <w:rsid w:val="00EB46F3"/>
    <w:rsid w:val="00EB4958"/>
    <w:rsid w:val="00EC1371"/>
    <w:rsid w:val="00EC2445"/>
    <w:rsid w:val="00EC33B2"/>
    <w:rsid w:val="00EC3796"/>
    <w:rsid w:val="00EC41A4"/>
    <w:rsid w:val="00EC5D78"/>
    <w:rsid w:val="00EC6563"/>
    <w:rsid w:val="00EC7294"/>
    <w:rsid w:val="00EC7555"/>
    <w:rsid w:val="00EC7728"/>
    <w:rsid w:val="00ED0109"/>
    <w:rsid w:val="00ED0680"/>
    <w:rsid w:val="00ED10A6"/>
    <w:rsid w:val="00ED27B9"/>
    <w:rsid w:val="00ED2905"/>
    <w:rsid w:val="00ED3D65"/>
    <w:rsid w:val="00ED7E7A"/>
    <w:rsid w:val="00EE0D8C"/>
    <w:rsid w:val="00EE149D"/>
    <w:rsid w:val="00EE172B"/>
    <w:rsid w:val="00EE3F56"/>
    <w:rsid w:val="00EE4BB2"/>
    <w:rsid w:val="00EE560A"/>
    <w:rsid w:val="00EE6B47"/>
    <w:rsid w:val="00EE733B"/>
    <w:rsid w:val="00EE7B6D"/>
    <w:rsid w:val="00EF13A5"/>
    <w:rsid w:val="00EF1724"/>
    <w:rsid w:val="00EF1AA9"/>
    <w:rsid w:val="00EF1B4E"/>
    <w:rsid w:val="00EF1CC2"/>
    <w:rsid w:val="00EF3963"/>
    <w:rsid w:val="00EF5079"/>
    <w:rsid w:val="00EF7A77"/>
    <w:rsid w:val="00EF7DE3"/>
    <w:rsid w:val="00F006C9"/>
    <w:rsid w:val="00F02F54"/>
    <w:rsid w:val="00F03638"/>
    <w:rsid w:val="00F039ED"/>
    <w:rsid w:val="00F03F16"/>
    <w:rsid w:val="00F0620D"/>
    <w:rsid w:val="00F07ECC"/>
    <w:rsid w:val="00F10116"/>
    <w:rsid w:val="00F11B23"/>
    <w:rsid w:val="00F1344F"/>
    <w:rsid w:val="00F13850"/>
    <w:rsid w:val="00F13A34"/>
    <w:rsid w:val="00F14391"/>
    <w:rsid w:val="00F146CB"/>
    <w:rsid w:val="00F14B1E"/>
    <w:rsid w:val="00F15D92"/>
    <w:rsid w:val="00F220EF"/>
    <w:rsid w:val="00F2298C"/>
    <w:rsid w:val="00F24CF2"/>
    <w:rsid w:val="00F25235"/>
    <w:rsid w:val="00F254F6"/>
    <w:rsid w:val="00F27D1E"/>
    <w:rsid w:val="00F3022D"/>
    <w:rsid w:val="00F30708"/>
    <w:rsid w:val="00F31B3B"/>
    <w:rsid w:val="00F31E35"/>
    <w:rsid w:val="00F3228A"/>
    <w:rsid w:val="00F3395E"/>
    <w:rsid w:val="00F33A72"/>
    <w:rsid w:val="00F3415D"/>
    <w:rsid w:val="00F363F1"/>
    <w:rsid w:val="00F37256"/>
    <w:rsid w:val="00F4089B"/>
    <w:rsid w:val="00F43DFC"/>
    <w:rsid w:val="00F45E5A"/>
    <w:rsid w:val="00F50172"/>
    <w:rsid w:val="00F514FC"/>
    <w:rsid w:val="00F53681"/>
    <w:rsid w:val="00F54740"/>
    <w:rsid w:val="00F565D0"/>
    <w:rsid w:val="00F57A3E"/>
    <w:rsid w:val="00F62899"/>
    <w:rsid w:val="00F637A9"/>
    <w:rsid w:val="00F63A4A"/>
    <w:rsid w:val="00F63E31"/>
    <w:rsid w:val="00F645AE"/>
    <w:rsid w:val="00F67D00"/>
    <w:rsid w:val="00F67D2C"/>
    <w:rsid w:val="00F70011"/>
    <w:rsid w:val="00F720FA"/>
    <w:rsid w:val="00F733B2"/>
    <w:rsid w:val="00F75DF6"/>
    <w:rsid w:val="00F772EA"/>
    <w:rsid w:val="00F77698"/>
    <w:rsid w:val="00F81ABA"/>
    <w:rsid w:val="00F83BC2"/>
    <w:rsid w:val="00F84ED2"/>
    <w:rsid w:val="00F87AC1"/>
    <w:rsid w:val="00F90290"/>
    <w:rsid w:val="00F915B8"/>
    <w:rsid w:val="00F91B3B"/>
    <w:rsid w:val="00F94EC0"/>
    <w:rsid w:val="00F976C6"/>
    <w:rsid w:val="00FA0C52"/>
    <w:rsid w:val="00FA1CFB"/>
    <w:rsid w:val="00FA215D"/>
    <w:rsid w:val="00FA2451"/>
    <w:rsid w:val="00FA2726"/>
    <w:rsid w:val="00FA3FB9"/>
    <w:rsid w:val="00FA457D"/>
    <w:rsid w:val="00FA6E33"/>
    <w:rsid w:val="00FA72B1"/>
    <w:rsid w:val="00FC479C"/>
    <w:rsid w:val="00FC6E57"/>
    <w:rsid w:val="00FC7151"/>
    <w:rsid w:val="00FD0560"/>
    <w:rsid w:val="00FD0C02"/>
    <w:rsid w:val="00FD1FCF"/>
    <w:rsid w:val="00FD282F"/>
    <w:rsid w:val="00FD6454"/>
    <w:rsid w:val="00FD6EAA"/>
    <w:rsid w:val="00FE0ABB"/>
    <w:rsid w:val="00FE141F"/>
    <w:rsid w:val="00FE20F0"/>
    <w:rsid w:val="00FE4E6B"/>
    <w:rsid w:val="00FE7911"/>
    <w:rsid w:val="00FF1735"/>
    <w:rsid w:val="00FF31C9"/>
    <w:rsid w:val="00FF3D51"/>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7377"/>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customStyle="1" w:styleId="italic">
    <w:name w:val="italic"/>
    <w:basedOn w:val="DefaultParagraphFont"/>
    <w:rsid w:val="00786FFF"/>
  </w:style>
  <w:style w:type="character" w:customStyle="1" w:styleId="Heading1Char">
    <w:name w:val="Heading 1 Char"/>
    <w:basedOn w:val="DefaultParagraphFont"/>
    <w:link w:val="Heading1"/>
    <w:uiPriority w:val="9"/>
    <w:rsid w:val="00A17377"/>
    <w:rPr>
      <w:rFonts w:ascii="Times New Roman" w:eastAsia="Times New Roman" w:hAnsi="Times New Roman" w:cs="Times New Roman"/>
      <w:b/>
      <w:bCs/>
      <w:color w:val="auto"/>
      <w:kern w:val="36"/>
      <w:sz w:val="48"/>
      <w:szCs w:val="48"/>
      <w:lang w:eastAsia="en-GB"/>
    </w:rPr>
  </w:style>
  <w:style w:type="paragraph" w:styleId="NormalWeb">
    <w:name w:val="Normal (Web)"/>
    <w:basedOn w:val="Normal"/>
    <w:uiPriority w:val="99"/>
    <w:semiHidden/>
    <w:unhideWhenUsed/>
    <w:rsid w:val="00A17377"/>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Hyperlink">
    <w:name w:val="Hyperlink"/>
    <w:basedOn w:val="DefaultParagraphFont"/>
    <w:uiPriority w:val="99"/>
    <w:semiHidden/>
    <w:unhideWhenUsed/>
    <w:rsid w:val="00A17377"/>
    <w:rPr>
      <w:color w:val="0000FF"/>
      <w:u w:val="single"/>
    </w:rPr>
  </w:style>
  <w:style w:type="paragraph" w:customStyle="1" w:styleId="pageno">
    <w:name w:val="pageno"/>
    <w:basedOn w:val="Normal"/>
    <w:rsid w:val="00A17377"/>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lrjudgecont">
    <w:name w:val="lrjudgecont"/>
    <w:basedOn w:val="Normal"/>
    <w:rsid w:val="00A17377"/>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lrquoteindt2hang">
    <w:name w:val="lrquoteindt2hang"/>
    <w:basedOn w:val="Normal"/>
    <w:rsid w:val="00A17377"/>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bolditalic">
    <w:name w:val="bolditalic"/>
    <w:basedOn w:val="DefaultParagraphFont"/>
    <w:rsid w:val="00A17377"/>
  </w:style>
  <w:style w:type="table" w:customStyle="1" w:styleId="TableGrid">
    <w:name w:val="TableGrid"/>
    <w:rsid w:val="00FE4E6B"/>
    <w:pPr>
      <w:spacing w:line="240" w:lineRule="auto"/>
    </w:pPr>
    <w:rPr>
      <w:rFonts w:asciiTheme="minorHAnsi" w:eastAsiaTheme="minorEastAsia" w:hAnsiTheme="minorHAnsi" w:cstheme="minorBidi"/>
      <w:color w:val="auto"/>
      <w:kern w:val="2"/>
      <w:lang w:eastAsia="en-GB"/>
      <w14:ligatures w14:val="standardContextual"/>
    </w:rPr>
    <w:tblPr>
      <w:tblCellMar>
        <w:top w:w="0" w:type="dxa"/>
        <w:left w:w="0" w:type="dxa"/>
        <w:bottom w:w="0" w:type="dxa"/>
        <w:right w:w="0" w:type="dxa"/>
      </w:tblCellMar>
    </w:tblPr>
  </w:style>
  <w:style w:type="character" w:customStyle="1" w:styleId="apple-converted-space">
    <w:name w:val="apple-converted-space"/>
    <w:basedOn w:val="DefaultParagraphFont"/>
    <w:rsid w:val="00BD19CC"/>
  </w:style>
  <w:style w:type="character" w:customStyle="1" w:styleId="g1">
    <w:name w:val="g1"/>
    <w:basedOn w:val="DefaultParagraphFont"/>
    <w:rsid w:val="00D8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1197">
      <w:bodyDiv w:val="1"/>
      <w:marLeft w:val="0"/>
      <w:marRight w:val="0"/>
      <w:marTop w:val="0"/>
      <w:marBottom w:val="0"/>
      <w:divBdr>
        <w:top w:val="none" w:sz="0" w:space="0" w:color="auto"/>
        <w:left w:val="none" w:sz="0" w:space="0" w:color="auto"/>
        <w:bottom w:val="none" w:sz="0" w:space="0" w:color="auto"/>
        <w:right w:val="none" w:sz="0" w:space="0" w:color="auto"/>
      </w:divBdr>
      <w:divsChild>
        <w:div w:id="1198855787">
          <w:marLeft w:val="0"/>
          <w:marRight w:val="0"/>
          <w:marTop w:val="0"/>
          <w:marBottom w:val="0"/>
          <w:divBdr>
            <w:top w:val="none" w:sz="0" w:space="0" w:color="auto"/>
            <w:left w:val="none" w:sz="0" w:space="0" w:color="auto"/>
            <w:bottom w:val="none" w:sz="0" w:space="0" w:color="auto"/>
            <w:right w:val="none" w:sz="0" w:space="0" w:color="auto"/>
          </w:divBdr>
        </w:div>
      </w:divsChild>
    </w:div>
    <w:div w:id="233858442">
      <w:bodyDiv w:val="1"/>
      <w:marLeft w:val="0"/>
      <w:marRight w:val="0"/>
      <w:marTop w:val="0"/>
      <w:marBottom w:val="0"/>
      <w:divBdr>
        <w:top w:val="none" w:sz="0" w:space="0" w:color="auto"/>
        <w:left w:val="none" w:sz="0" w:space="0" w:color="auto"/>
        <w:bottom w:val="none" w:sz="0" w:space="0" w:color="auto"/>
        <w:right w:val="none" w:sz="0" w:space="0" w:color="auto"/>
      </w:divBdr>
    </w:div>
    <w:div w:id="307590843">
      <w:bodyDiv w:val="1"/>
      <w:marLeft w:val="0"/>
      <w:marRight w:val="0"/>
      <w:marTop w:val="0"/>
      <w:marBottom w:val="0"/>
      <w:divBdr>
        <w:top w:val="none" w:sz="0" w:space="0" w:color="auto"/>
        <w:left w:val="none" w:sz="0" w:space="0" w:color="auto"/>
        <w:bottom w:val="none" w:sz="0" w:space="0" w:color="auto"/>
        <w:right w:val="none" w:sz="0" w:space="0" w:color="auto"/>
      </w:divBdr>
      <w:divsChild>
        <w:div w:id="1598248353">
          <w:marLeft w:val="567"/>
          <w:marRight w:val="0"/>
          <w:marTop w:val="120"/>
          <w:marBottom w:val="0"/>
          <w:divBdr>
            <w:top w:val="none" w:sz="0" w:space="0" w:color="auto"/>
            <w:left w:val="none" w:sz="0" w:space="0" w:color="auto"/>
            <w:bottom w:val="none" w:sz="0" w:space="0" w:color="auto"/>
            <w:right w:val="none" w:sz="0" w:space="0" w:color="auto"/>
          </w:divBdr>
        </w:div>
        <w:div w:id="793720150">
          <w:marLeft w:val="567"/>
          <w:marRight w:val="0"/>
          <w:marTop w:val="120"/>
          <w:marBottom w:val="0"/>
          <w:divBdr>
            <w:top w:val="none" w:sz="0" w:space="0" w:color="auto"/>
            <w:left w:val="none" w:sz="0" w:space="0" w:color="auto"/>
            <w:bottom w:val="none" w:sz="0" w:space="0" w:color="auto"/>
            <w:right w:val="none" w:sz="0" w:space="0" w:color="auto"/>
          </w:divBdr>
        </w:div>
        <w:div w:id="993949124">
          <w:marLeft w:val="1293"/>
          <w:marRight w:val="0"/>
          <w:marTop w:val="0"/>
          <w:marBottom w:val="180"/>
          <w:divBdr>
            <w:top w:val="none" w:sz="0" w:space="0" w:color="auto"/>
            <w:left w:val="none" w:sz="0" w:space="0" w:color="auto"/>
            <w:bottom w:val="none" w:sz="0" w:space="0" w:color="auto"/>
            <w:right w:val="none" w:sz="0" w:space="0" w:color="auto"/>
          </w:divBdr>
        </w:div>
      </w:divsChild>
    </w:div>
    <w:div w:id="1064066807">
      <w:bodyDiv w:val="1"/>
      <w:marLeft w:val="0"/>
      <w:marRight w:val="0"/>
      <w:marTop w:val="0"/>
      <w:marBottom w:val="0"/>
      <w:divBdr>
        <w:top w:val="none" w:sz="0" w:space="0" w:color="auto"/>
        <w:left w:val="none" w:sz="0" w:space="0" w:color="auto"/>
        <w:bottom w:val="none" w:sz="0" w:space="0" w:color="auto"/>
        <w:right w:val="none" w:sz="0" w:space="0" w:color="auto"/>
      </w:divBdr>
      <w:divsChild>
        <w:div w:id="697245793">
          <w:marLeft w:val="0"/>
          <w:marRight w:val="0"/>
          <w:marTop w:val="0"/>
          <w:marBottom w:val="0"/>
          <w:divBdr>
            <w:top w:val="none" w:sz="0" w:space="0" w:color="auto"/>
            <w:left w:val="none" w:sz="0" w:space="0" w:color="auto"/>
            <w:bottom w:val="none" w:sz="0" w:space="0" w:color="auto"/>
            <w:right w:val="none" w:sz="0" w:space="0" w:color="auto"/>
          </w:divBdr>
        </w:div>
      </w:divsChild>
    </w:div>
    <w:div w:id="1161458839">
      <w:bodyDiv w:val="1"/>
      <w:marLeft w:val="0"/>
      <w:marRight w:val="0"/>
      <w:marTop w:val="0"/>
      <w:marBottom w:val="0"/>
      <w:divBdr>
        <w:top w:val="none" w:sz="0" w:space="0" w:color="auto"/>
        <w:left w:val="none" w:sz="0" w:space="0" w:color="auto"/>
        <w:bottom w:val="none" w:sz="0" w:space="0" w:color="auto"/>
        <w:right w:val="none" w:sz="0" w:space="0" w:color="auto"/>
      </w:divBdr>
      <w:divsChild>
        <w:div w:id="318775168">
          <w:marLeft w:val="0"/>
          <w:marRight w:val="0"/>
          <w:marTop w:val="0"/>
          <w:marBottom w:val="0"/>
          <w:divBdr>
            <w:top w:val="none" w:sz="0" w:space="0" w:color="auto"/>
            <w:left w:val="none" w:sz="0" w:space="0" w:color="auto"/>
            <w:bottom w:val="none" w:sz="0" w:space="0" w:color="auto"/>
            <w:right w:val="none" w:sz="0" w:space="0" w:color="auto"/>
          </w:divBdr>
        </w:div>
        <w:div w:id="200289664">
          <w:marLeft w:val="567"/>
          <w:marRight w:val="0"/>
          <w:marTop w:val="120"/>
          <w:marBottom w:val="0"/>
          <w:divBdr>
            <w:top w:val="none" w:sz="0" w:space="0" w:color="auto"/>
            <w:left w:val="none" w:sz="0" w:space="0" w:color="auto"/>
            <w:bottom w:val="none" w:sz="0" w:space="0" w:color="auto"/>
            <w:right w:val="none" w:sz="0" w:space="0" w:color="auto"/>
          </w:divBdr>
        </w:div>
        <w:div w:id="465509219">
          <w:marLeft w:val="567"/>
          <w:marRight w:val="0"/>
          <w:marTop w:val="120"/>
          <w:marBottom w:val="0"/>
          <w:divBdr>
            <w:top w:val="none" w:sz="0" w:space="0" w:color="auto"/>
            <w:left w:val="none" w:sz="0" w:space="0" w:color="auto"/>
            <w:bottom w:val="none" w:sz="0" w:space="0" w:color="auto"/>
            <w:right w:val="none" w:sz="0" w:space="0" w:color="auto"/>
          </w:divBdr>
        </w:div>
        <w:div w:id="906111933">
          <w:marLeft w:val="0"/>
          <w:marRight w:val="0"/>
          <w:marTop w:val="240"/>
          <w:marBottom w:val="60"/>
          <w:divBdr>
            <w:top w:val="single" w:sz="8" w:space="2" w:color="808080"/>
            <w:left w:val="none" w:sz="0" w:space="0" w:color="auto"/>
            <w:bottom w:val="none" w:sz="0" w:space="0" w:color="auto"/>
            <w:right w:val="none" w:sz="0" w:space="0" w:color="auto"/>
          </w:divBdr>
        </w:div>
        <w:div w:id="152138523">
          <w:marLeft w:val="567"/>
          <w:marRight w:val="0"/>
          <w:marTop w:val="120"/>
          <w:marBottom w:val="0"/>
          <w:divBdr>
            <w:top w:val="none" w:sz="0" w:space="0" w:color="auto"/>
            <w:left w:val="none" w:sz="0" w:space="0" w:color="auto"/>
            <w:bottom w:val="none" w:sz="0" w:space="0" w:color="auto"/>
            <w:right w:val="none" w:sz="0" w:space="0" w:color="auto"/>
          </w:divBdr>
        </w:div>
        <w:div w:id="2104958626">
          <w:marLeft w:val="567"/>
          <w:marRight w:val="0"/>
          <w:marTop w:val="120"/>
          <w:marBottom w:val="0"/>
          <w:divBdr>
            <w:top w:val="none" w:sz="0" w:space="0" w:color="auto"/>
            <w:left w:val="none" w:sz="0" w:space="0" w:color="auto"/>
            <w:bottom w:val="none" w:sz="0" w:space="0" w:color="auto"/>
            <w:right w:val="none" w:sz="0" w:space="0" w:color="auto"/>
          </w:divBdr>
        </w:div>
        <w:div w:id="975720068">
          <w:marLeft w:val="567"/>
          <w:marRight w:val="0"/>
          <w:marTop w:val="120"/>
          <w:marBottom w:val="0"/>
          <w:divBdr>
            <w:top w:val="none" w:sz="0" w:space="0" w:color="auto"/>
            <w:left w:val="none" w:sz="0" w:space="0" w:color="auto"/>
            <w:bottom w:val="none" w:sz="0" w:space="0" w:color="auto"/>
            <w:right w:val="none" w:sz="0" w:space="0" w:color="auto"/>
          </w:divBdr>
        </w:div>
      </w:divsChild>
    </w:div>
    <w:div w:id="1233127230">
      <w:bodyDiv w:val="1"/>
      <w:marLeft w:val="0"/>
      <w:marRight w:val="0"/>
      <w:marTop w:val="0"/>
      <w:marBottom w:val="0"/>
      <w:divBdr>
        <w:top w:val="none" w:sz="0" w:space="0" w:color="auto"/>
        <w:left w:val="none" w:sz="0" w:space="0" w:color="auto"/>
        <w:bottom w:val="none" w:sz="0" w:space="0" w:color="auto"/>
        <w:right w:val="none" w:sz="0" w:space="0" w:color="auto"/>
      </w:divBdr>
      <w:divsChild>
        <w:div w:id="2086221248">
          <w:marLeft w:val="567"/>
          <w:marRight w:val="0"/>
          <w:marTop w:val="120"/>
          <w:marBottom w:val="0"/>
          <w:divBdr>
            <w:top w:val="none" w:sz="0" w:space="0" w:color="auto"/>
            <w:left w:val="none" w:sz="0" w:space="0" w:color="auto"/>
            <w:bottom w:val="none" w:sz="0" w:space="0" w:color="auto"/>
            <w:right w:val="none" w:sz="0" w:space="0" w:color="auto"/>
          </w:divBdr>
        </w:div>
        <w:div w:id="365060951">
          <w:marLeft w:val="567"/>
          <w:marRight w:val="0"/>
          <w:marTop w:val="120"/>
          <w:marBottom w:val="20"/>
          <w:divBdr>
            <w:top w:val="none" w:sz="0" w:space="0" w:color="auto"/>
            <w:left w:val="none" w:sz="0" w:space="0" w:color="auto"/>
            <w:bottom w:val="none" w:sz="0" w:space="0" w:color="auto"/>
            <w:right w:val="none" w:sz="0" w:space="0" w:color="auto"/>
          </w:divBdr>
        </w:div>
        <w:div w:id="412581470">
          <w:marLeft w:val="0"/>
          <w:marRight w:val="0"/>
          <w:marTop w:val="240"/>
          <w:marBottom w:val="60"/>
          <w:divBdr>
            <w:top w:val="single" w:sz="8" w:space="2" w:color="808080"/>
            <w:left w:val="none" w:sz="0" w:space="0" w:color="auto"/>
            <w:bottom w:val="none" w:sz="0" w:space="0" w:color="auto"/>
            <w:right w:val="none" w:sz="0" w:space="0" w:color="auto"/>
          </w:divBdr>
        </w:div>
        <w:div w:id="366219314">
          <w:marLeft w:val="567"/>
          <w:marRight w:val="0"/>
          <w:marTop w:val="120"/>
          <w:marBottom w:val="0"/>
          <w:divBdr>
            <w:top w:val="none" w:sz="0" w:space="0" w:color="auto"/>
            <w:left w:val="none" w:sz="0" w:space="0" w:color="auto"/>
            <w:bottom w:val="none" w:sz="0" w:space="0" w:color="auto"/>
            <w:right w:val="none" w:sz="0" w:space="0" w:color="auto"/>
          </w:divBdr>
        </w:div>
        <w:div w:id="1702895850">
          <w:marLeft w:val="567"/>
          <w:marRight w:val="0"/>
          <w:marTop w:val="120"/>
          <w:marBottom w:val="0"/>
          <w:divBdr>
            <w:top w:val="none" w:sz="0" w:space="0" w:color="auto"/>
            <w:left w:val="none" w:sz="0" w:space="0" w:color="auto"/>
            <w:bottom w:val="none" w:sz="0" w:space="0" w:color="auto"/>
            <w:right w:val="none" w:sz="0" w:space="0" w:color="auto"/>
          </w:divBdr>
        </w:div>
      </w:divsChild>
    </w:div>
    <w:div w:id="1567105784">
      <w:bodyDiv w:val="1"/>
      <w:marLeft w:val="0"/>
      <w:marRight w:val="0"/>
      <w:marTop w:val="0"/>
      <w:marBottom w:val="0"/>
      <w:divBdr>
        <w:top w:val="none" w:sz="0" w:space="0" w:color="auto"/>
        <w:left w:val="none" w:sz="0" w:space="0" w:color="auto"/>
        <w:bottom w:val="none" w:sz="0" w:space="0" w:color="auto"/>
        <w:right w:val="none" w:sz="0" w:space="0" w:color="auto"/>
      </w:divBdr>
      <w:divsChild>
        <w:div w:id="1508013720">
          <w:marLeft w:val="0"/>
          <w:marRight w:val="0"/>
          <w:marTop w:val="0"/>
          <w:marBottom w:val="0"/>
          <w:divBdr>
            <w:top w:val="none" w:sz="0" w:space="0" w:color="auto"/>
            <w:left w:val="none" w:sz="0" w:space="0" w:color="auto"/>
            <w:bottom w:val="none" w:sz="0" w:space="0" w:color="auto"/>
            <w:right w:val="none" w:sz="0" w:space="0" w:color="auto"/>
          </w:divBdr>
        </w:div>
      </w:divsChild>
    </w:div>
    <w:div w:id="2097440528">
      <w:bodyDiv w:val="1"/>
      <w:marLeft w:val="0"/>
      <w:marRight w:val="0"/>
      <w:marTop w:val="0"/>
      <w:marBottom w:val="0"/>
      <w:divBdr>
        <w:top w:val="none" w:sz="0" w:space="0" w:color="auto"/>
        <w:left w:val="none" w:sz="0" w:space="0" w:color="auto"/>
        <w:bottom w:val="none" w:sz="0" w:space="0" w:color="auto"/>
        <w:right w:val="none" w:sz="0" w:space="0" w:color="auto"/>
      </w:divBdr>
      <w:divsChild>
        <w:div w:id="1476139569">
          <w:marLeft w:val="567"/>
          <w:marRight w:val="0"/>
          <w:marTop w:val="120"/>
          <w:marBottom w:val="0"/>
          <w:divBdr>
            <w:top w:val="none" w:sz="0" w:space="0" w:color="auto"/>
            <w:left w:val="none" w:sz="0" w:space="0" w:color="auto"/>
            <w:bottom w:val="none" w:sz="0" w:space="0" w:color="auto"/>
            <w:right w:val="none" w:sz="0" w:space="0" w:color="auto"/>
          </w:divBdr>
        </w:div>
        <w:div w:id="1285692052">
          <w:marLeft w:val="1293"/>
          <w:marRight w:val="0"/>
          <w:marTop w:val="0"/>
          <w:marBottom w:val="180"/>
          <w:divBdr>
            <w:top w:val="none" w:sz="0" w:space="0" w:color="auto"/>
            <w:left w:val="none" w:sz="0" w:space="0" w:color="auto"/>
            <w:bottom w:val="none" w:sz="0" w:space="0" w:color="auto"/>
            <w:right w:val="none" w:sz="0" w:space="0" w:color="auto"/>
          </w:divBdr>
        </w:div>
        <w:div w:id="902253910">
          <w:marLeft w:val="0"/>
          <w:marRight w:val="0"/>
          <w:marTop w:val="240"/>
          <w:marBottom w:val="60"/>
          <w:divBdr>
            <w:top w:val="single" w:sz="8" w:space="2" w:color="808080"/>
            <w:left w:val="none" w:sz="0" w:space="0" w:color="auto"/>
            <w:bottom w:val="none" w:sz="0" w:space="0" w:color="auto"/>
            <w:right w:val="none" w:sz="0" w:space="0" w:color="auto"/>
          </w:divBdr>
        </w:div>
        <w:div w:id="1922518355">
          <w:marLeft w:val="1293"/>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6BC9-69DD-4061-9D03-E26DD15B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3</cp:revision>
  <cp:lastPrinted>2024-03-26T08:10:00Z</cp:lastPrinted>
  <dcterms:created xsi:type="dcterms:W3CDTF">2024-05-04T11:32:00Z</dcterms:created>
  <dcterms:modified xsi:type="dcterms:W3CDTF">2024-05-07T16:32:00Z</dcterms:modified>
</cp:coreProperties>
</file>