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45DDB" w14:textId="77777777" w:rsidR="00BE469B" w:rsidRDefault="00BE469B" w:rsidP="00BE469B">
      <w:pPr>
        <w:tabs>
          <w:tab w:val="left" w:pos="6048"/>
          <w:tab w:val="left" w:pos="8208"/>
        </w:tabs>
        <w:ind w:hanging="630"/>
        <w:jc w:val="right"/>
        <w:rPr>
          <w:rFonts w:ascii="Mangal" w:hAnsi="Mangal" w:cs="Mangal"/>
          <w:b/>
          <w:u w:val="single"/>
          <w:lang w:val="en-GB"/>
        </w:rPr>
      </w:pPr>
    </w:p>
    <w:p w14:paraId="18A15588" w14:textId="77777777" w:rsidR="00BE469B" w:rsidRDefault="00BE469B" w:rsidP="00BE469B">
      <w:pPr>
        <w:spacing w:line="360" w:lineRule="auto"/>
        <w:ind w:left="2880" w:firstLine="720"/>
        <w:jc w:val="both"/>
        <w:rPr>
          <w:lang w:val="en-ZA"/>
        </w:rPr>
      </w:pPr>
      <w:r>
        <w:rPr>
          <w:noProof/>
          <w:lang w:val="en-ZA" w:eastAsia="en-ZA"/>
        </w:rPr>
        <w:drawing>
          <wp:inline distT="0" distB="0" distL="0" distR="0" wp14:anchorId="325B20A0" wp14:editId="6CFF7888">
            <wp:extent cx="1485900" cy="1130300"/>
            <wp:effectExtent l="0" t="0" r="0" b="12700"/>
            <wp:docPr id="1629910908" name="Picture 1" descr="page1image6167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167998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5900" cy="1130300"/>
                    </a:xfrm>
                    <a:prstGeom prst="rect">
                      <a:avLst/>
                    </a:prstGeom>
                    <a:noFill/>
                    <a:ln>
                      <a:noFill/>
                    </a:ln>
                  </pic:spPr>
                </pic:pic>
              </a:graphicData>
            </a:graphic>
          </wp:inline>
        </w:drawing>
      </w:r>
    </w:p>
    <w:p w14:paraId="005AF403" w14:textId="77777777" w:rsidR="00BE469B" w:rsidRDefault="00BE469B" w:rsidP="00BE469B">
      <w:pPr>
        <w:spacing w:line="360" w:lineRule="auto"/>
        <w:jc w:val="center"/>
        <w:rPr>
          <w:b/>
          <w:bCs/>
          <w:sz w:val="28"/>
          <w:szCs w:val="28"/>
        </w:rPr>
      </w:pPr>
      <w:r>
        <w:rPr>
          <w:b/>
          <w:bCs/>
          <w:sz w:val="28"/>
          <w:szCs w:val="28"/>
        </w:rPr>
        <w:t>IN THE HIGH COURT OF SOUTH AFRICA</w:t>
      </w:r>
    </w:p>
    <w:p w14:paraId="3C4FD402" w14:textId="77777777" w:rsidR="00BE469B" w:rsidRDefault="00BE469B" w:rsidP="00BE469B">
      <w:pPr>
        <w:pStyle w:val="Heading3"/>
        <w:ind w:left="720" w:firstLine="720"/>
        <w:rPr>
          <w:rFonts w:ascii="Mangal" w:hAnsi="Mangal" w:cs="Mangal"/>
          <w:bCs/>
          <w:lang w:val="en-GB"/>
        </w:rPr>
      </w:pPr>
      <w:r>
        <w:rPr>
          <w:rFonts w:cs="Times New Roman"/>
          <w:b/>
          <w:iCs/>
          <w:color w:val="auto"/>
        </w:rPr>
        <w:t xml:space="preserve">   </w:t>
      </w:r>
      <w:r w:rsidRPr="00AB118B">
        <w:rPr>
          <w:rFonts w:cs="Times New Roman"/>
          <w:b/>
          <w:iCs/>
          <w:color w:val="auto"/>
        </w:rPr>
        <w:t>[EASTERN CAPE DIVISION, M</w:t>
      </w:r>
      <w:r>
        <w:rPr>
          <w:rFonts w:cs="Times New Roman"/>
          <w:b/>
          <w:iCs/>
          <w:color w:val="auto"/>
        </w:rPr>
        <w:t>THATHA</w:t>
      </w:r>
      <w:r w:rsidRPr="00AB118B">
        <w:rPr>
          <w:rFonts w:cs="Times New Roman"/>
          <w:b/>
          <w:iCs/>
          <w:color w:val="auto"/>
        </w:rPr>
        <w:t>]</w:t>
      </w:r>
    </w:p>
    <w:p w14:paraId="5D851E0D" w14:textId="1D319018" w:rsidR="00BE469B" w:rsidRPr="00F24DFE" w:rsidRDefault="00BE469B" w:rsidP="00BE469B">
      <w:pPr>
        <w:tabs>
          <w:tab w:val="right" w:pos="7371"/>
          <w:tab w:val="right" w:pos="9000"/>
        </w:tabs>
        <w:spacing w:line="360" w:lineRule="auto"/>
        <w:jc w:val="both"/>
        <w:rPr>
          <w:bCs/>
          <w:szCs w:val="24"/>
          <w:lang w:val="en-GB"/>
        </w:rPr>
      </w:pPr>
      <w:r>
        <w:rPr>
          <w:rFonts w:ascii="Arial" w:hAnsi="Arial" w:cs="Arial"/>
          <w:bCs/>
          <w:szCs w:val="24"/>
          <w:lang w:val="en-GB"/>
        </w:rPr>
        <w:t xml:space="preserve">                                                                                                </w:t>
      </w:r>
      <w:r w:rsidR="00DE79C8">
        <w:rPr>
          <w:rFonts w:ascii="Arial" w:hAnsi="Arial" w:cs="Arial"/>
          <w:bCs/>
          <w:szCs w:val="24"/>
          <w:lang w:val="en-GB"/>
        </w:rPr>
        <w:t xml:space="preserve">          </w:t>
      </w:r>
      <w:r w:rsidRPr="00F24DFE">
        <w:rPr>
          <w:bCs/>
          <w:szCs w:val="24"/>
          <w:lang w:val="en-GB"/>
        </w:rPr>
        <w:t>Case No:</w:t>
      </w:r>
      <w:r>
        <w:rPr>
          <w:bCs/>
          <w:szCs w:val="24"/>
          <w:lang w:val="en-GB"/>
        </w:rPr>
        <w:t xml:space="preserve"> 2082/2024</w:t>
      </w:r>
    </w:p>
    <w:p w14:paraId="56DED255" w14:textId="55A3ECB0" w:rsidR="00BE469B" w:rsidRPr="00F24DFE" w:rsidRDefault="00BE469B" w:rsidP="00BE469B">
      <w:pPr>
        <w:tabs>
          <w:tab w:val="right" w:pos="7938"/>
          <w:tab w:val="left" w:pos="8931"/>
          <w:tab w:val="right" w:pos="9000"/>
        </w:tabs>
        <w:spacing w:line="360" w:lineRule="auto"/>
        <w:jc w:val="both"/>
        <w:rPr>
          <w:bCs/>
          <w:szCs w:val="24"/>
          <w:lang w:val="en-GB"/>
        </w:rPr>
      </w:pPr>
      <w:r w:rsidRPr="00F24DFE">
        <w:rPr>
          <w:bCs/>
          <w:szCs w:val="24"/>
          <w:lang w:val="en-GB"/>
        </w:rPr>
        <w:t xml:space="preserve">                                                                             </w:t>
      </w:r>
      <w:r>
        <w:rPr>
          <w:bCs/>
          <w:szCs w:val="24"/>
          <w:lang w:val="en-GB"/>
        </w:rPr>
        <w:t xml:space="preserve">                              </w:t>
      </w:r>
      <w:r w:rsidR="00DE79C8">
        <w:rPr>
          <w:bCs/>
          <w:szCs w:val="24"/>
          <w:lang w:val="en-GB"/>
        </w:rPr>
        <w:t xml:space="preserve">        </w:t>
      </w:r>
      <w:r w:rsidRPr="00F24DFE">
        <w:rPr>
          <w:bCs/>
          <w:szCs w:val="24"/>
          <w:lang w:val="en-GB"/>
        </w:rPr>
        <w:t xml:space="preserve">Date heard: </w:t>
      </w:r>
      <w:r>
        <w:rPr>
          <w:bCs/>
          <w:szCs w:val="24"/>
          <w:lang w:val="en-GB"/>
        </w:rPr>
        <w:t>17</w:t>
      </w:r>
      <w:r w:rsidRPr="00F24DFE">
        <w:rPr>
          <w:bCs/>
          <w:szCs w:val="24"/>
          <w:lang w:val="en-GB"/>
        </w:rPr>
        <w:t>/</w:t>
      </w:r>
      <w:r>
        <w:rPr>
          <w:bCs/>
          <w:szCs w:val="24"/>
          <w:lang w:val="en-GB"/>
        </w:rPr>
        <w:t>5</w:t>
      </w:r>
      <w:r w:rsidRPr="00F24DFE">
        <w:rPr>
          <w:bCs/>
          <w:szCs w:val="24"/>
          <w:lang w:val="en-GB"/>
        </w:rPr>
        <w:t>/20</w:t>
      </w:r>
      <w:r w:rsidR="00DE79C8">
        <w:rPr>
          <w:bCs/>
          <w:szCs w:val="24"/>
          <w:lang w:val="en-GB"/>
        </w:rPr>
        <w:t>24</w:t>
      </w:r>
    </w:p>
    <w:p w14:paraId="3D37D927" w14:textId="09D4AF61" w:rsidR="00BE469B" w:rsidRPr="00F24DFE" w:rsidRDefault="00BE469B" w:rsidP="00BE469B">
      <w:pPr>
        <w:tabs>
          <w:tab w:val="right" w:pos="7938"/>
          <w:tab w:val="right" w:pos="9000"/>
        </w:tabs>
        <w:spacing w:line="360" w:lineRule="auto"/>
        <w:jc w:val="both"/>
        <w:rPr>
          <w:bCs/>
          <w:szCs w:val="24"/>
          <w:lang w:val="en-GB"/>
        </w:rPr>
      </w:pPr>
      <w:r>
        <w:rPr>
          <w:bCs/>
          <w:szCs w:val="24"/>
          <w:lang w:val="en-GB"/>
        </w:rPr>
        <w:t xml:space="preserve">                                                                                                          </w:t>
      </w:r>
      <w:r w:rsidR="00DE79C8">
        <w:rPr>
          <w:bCs/>
          <w:szCs w:val="24"/>
          <w:lang w:val="en-GB"/>
        </w:rPr>
        <w:t xml:space="preserve">  </w:t>
      </w:r>
      <w:r>
        <w:rPr>
          <w:bCs/>
          <w:szCs w:val="24"/>
          <w:lang w:val="en-GB"/>
        </w:rPr>
        <w:t xml:space="preserve"> </w:t>
      </w:r>
      <w:r w:rsidRPr="00F24DFE">
        <w:rPr>
          <w:bCs/>
          <w:szCs w:val="24"/>
          <w:lang w:val="en-GB"/>
        </w:rPr>
        <w:t>Date</w:t>
      </w:r>
      <w:r>
        <w:rPr>
          <w:bCs/>
          <w:szCs w:val="24"/>
          <w:lang w:val="en-GB"/>
        </w:rPr>
        <w:t xml:space="preserve"> </w:t>
      </w:r>
      <w:r w:rsidRPr="00F24DFE">
        <w:rPr>
          <w:bCs/>
          <w:szCs w:val="24"/>
          <w:lang w:val="en-GB"/>
        </w:rPr>
        <w:t>delivered:</w:t>
      </w:r>
      <w:r>
        <w:rPr>
          <w:bCs/>
          <w:szCs w:val="24"/>
          <w:lang w:val="en-GB"/>
        </w:rPr>
        <w:t>31</w:t>
      </w:r>
      <w:r w:rsidRPr="00F24DFE">
        <w:rPr>
          <w:bCs/>
          <w:szCs w:val="24"/>
          <w:lang w:val="en-GB"/>
        </w:rPr>
        <w:t xml:space="preserve"> /</w:t>
      </w:r>
      <w:r>
        <w:rPr>
          <w:bCs/>
          <w:szCs w:val="24"/>
          <w:lang w:val="en-GB"/>
        </w:rPr>
        <w:t>5</w:t>
      </w:r>
      <w:r w:rsidRPr="00F24DFE">
        <w:rPr>
          <w:bCs/>
          <w:szCs w:val="24"/>
          <w:lang w:val="en-GB"/>
        </w:rPr>
        <w:t>/20</w:t>
      </w:r>
      <w:r w:rsidR="00DE79C8">
        <w:rPr>
          <w:bCs/>
          <w:szCs w:val="24"/>
          <w:lang w:val="en-GB"/>
        </w:rPr>
        <w:t>24</w:t>
      </w:r>
    </w:p>
    <w:p w14:paraId="22927194" w14:textId="77777777" w:rsidR="00BE469B" w:rsidRPr="00F24DFE" w:rsidRDefault="00BE469B" w:rsidP="00BE469B">
      <w:pPr>
        <w:tabs>
          <w:tab w:val="right" w:pos="8910"/>
        </w:tabs>
        <w:spacing w:line="360" w:lineRule="auto"/>
        <w:jc w:val="both"/>
        <w:rPr>
          <w:bCs/>
          <w:sz w:val="28"/>
          <w:lang w:val="en-GB"/>
        </w:rPr>
      </w:pPr>
      <w:r w:rsidRPr="00F24DFE">
        <w:rPr>
          <w:bCs/>
          <w:sz w:val="28"/>
          <w:lang w:val="en-GB"/>
        </w:rPr>
        <w:t>In the matter of:</w:t>
      </w:r>
    </w:p>
    <w:p w14:paraId="671C0E62" w14:textId="4ED8E656" w:rsidR="00BE469B" w:rsidRDefault="00BE469B" w:rsidP="00BE469B">
      <w:pPr>
        <w:tabs>
          <w:tab w:val="right" w:pos="9000"/>
        </w:tabs>
        <w:spacing w:line="360" w:lineRule="auto"/>
        <w:jc w:val="both"/>
        <w:rPr>
          <w:b/>
          <w:sz w:val="28"/>
          <w:szCs w:val="32"/>
          <w:lang w:val="en-GB"/>
        </w:rPr>
      </w:pPr>
      <w:r>
        <w:rPr>
          <w:b/>
          <w:sz w:val="28"/>
          <w:szCs w:val="32"/>
          <w:lang w:val="en-GB"/>
        </w:rPr>
        <w:t xml:space="preserve">ZAMILE HERBERT ZIKHUNDLA                               </w:t>
      </w:r>
      <w:r w:rsidRPr="00F24DFE">
        <w:rPr>
          <w:b/>
          <w:sz w:val="28"/>
          <w:szCs w:val="32"/>
          <w:lang w:val="en-GB"/>
        </w:rPr>
        <w:t xml:space="preserve">    </w:t>
      </w:r>
      <w:r w:rsidR="00DE79C8">
        <w:rPr>
          <w:b/>
          <w:sz w:val="28"/>
          <w:szCs w:val="32"/>
          <w:lang w:val="en-GB"/>
        </w:rPr>
        <w:t xml:space="preserve">        </w:t>
      </w:r>
      <w:r>
        <w:rPr>
          <w:b/>
          <w:sz w:val="28"/>
          <w:szCs w:val="32"/>
          <w:lang w:val="en-GB"/>
        </w:rPr>
        <w:t>A</w:t>
      </w:r>
      <w:r w:rsidRPr="00F24DFE">
        <w:rPr>
          <w:b/>
          <w:sz w:val="28"/>
          <w:szCs w:val="32"/>
          <w:lang w:val="en-GB"/>
        </w:rPr>
        <w:t>PPLICANT</w:t>
      </w:r>
    </w:p>
    <w:p w14:paraId="3A60BAB7" w14:textId="77777777" w:rsidR="00BE469B" w:rsidRDefault="00BE469B" w:rsidP="00BE469B">
      <w:pPr>
        <w:tabs>
          <w:tab w:val="right" w:pos="9000"/>
        </w:tabs>
        <w:spacing w:line="360" w:lineRule="auto"/>
        <w:jc w:val="both"/>
        <w:rPr>
          <w:bCs/>
          <w:iCs/>
          <w:lang w:val="en-GB"/>
        </w:rPr>
      </w:pPr>
    </w:p>
    <w:p w14:paraId="2BE7D4A6" w14:textId="77777777" w:rsidR="00BE469B" w:rsidRPr="00F24DFE" w:rsidRDefault="00BE469B" w:rsidP="00BE469B">
      <w:pPr>
        <w:tabs>
          <w:tab w:val="right" w:pos="9000"/>
        </w:tabs>
        <w:spacing w:line="360" w:lineRule="auto"/>
        <w:jc w:val="both"/>
        <w:rPr>
          <w:bCs/>
          <w:iCs/>
          <w:lang w:val="en-GB"/>
        </w:rPr>
      </w:pPr>
      <w:r w:rsidRPr="00F24DFE">
        <w:rPr>
          <w:bCs/>
          <w:iCs/>
          <w:lang w:val="en-GB"/>
        </w:rPr>
        <w:t>And</w:t>
      </w:r>
    </w:p>
    <w:p w14:paraId="77D5B9CB" w14:textId="77777777" w:rsidR="00BE469B" w:rsidRDefault="00BE469B" w:rsidP="00BE469B">
      <w:pPr>
        <w:tabs>
          <w:tab w:val="right" w:pos="6660"/>
          <w:tab w:val="right" w:pos="9000"/>
        </w:tabs>
        <w:spacing w:line="360" w:lineRule="auto"/>
        <w:jc w:val="both"/>
        <w:rPr>
          <w:b/>
          <w:sz w:val="28"/>
          <w:szCs w:val="32"/>
          <w:lang w:val="en-GB"/>
        </w:rPr>
      </w:pPr>
    </w:p>
    <w:p w14:paraId="5D45AA9D" w14:textId="77777777" w:rsidR="00BE469B" w:rsidRDefault="00BE469B" w:rsidP="00BE469B">
      <w:pPr>
        <w:tabs>
          <w:tab w:val="right" w:pos="6660"/>
          <w:tab w:val="right" w:pos="9000"/>
        </w:tabs>
        <w:spacing w:line="360" w:lineRule="auto"/>
        <w:jc w:val="both"/>
        <w:rPr>
          <w:b/>
          <w:sz w:val="28"/>
          <w:szCs w:val="32"/>
          <w:lang w:val="en-GB"/>
        </w:rPr>
      </w:pPr>
      <w:r>
        <w:rPr>
          <w:b/>
          <w:sz w:val="28"/>
          <w:szCs w:val="32"/>
          <w:lang w:val="en-GB"/>
        </w:rPr>
        <w:t>LINDELANI MALALA                                                          1</w:t>
      </w:r>
      <w:r w:rsidRPr="0088668E">
        <w:rPr>
          <w:b/>
          <w:sz w:val="28"/>
          <w:szCs w:val="32"/>
          <w:vertAlign w:val="superscript"/>
          <w:lang w:val="en-GB"/>
        </w:rPr>
        <w:t>ST</w:t>
      </w:r>
      <w:r>
        <w:rPr>
          <w:b/>
          <w:sz w:val="28"/>
          <w:szCs w:val="32"/>
          <w:lang w:val="en-GB"/>
        </w:rPr>
        <w:t xml:space="preserve"> </w:t>
      </w:r>
      <w:r w:rsidRPr="00F24DFE">
        <w:rPr>
          <w:b/>
          <w:sz w:val="28"/>
          <w:szCs w:val="32"/>
          <w:lang w:val="en-GB"/>
        </w:rPr>
        <w:t>RESPOND</w:t>
      </w:r>
      <w:r>
        <w:rPr>
          <w:b/>
          <w:sz w:val="28"/>
          <w:szCs w:val="32"/>
          <w:lang w:val="en-GB"/>
        </w:rPr>
        <w:t>E</w:t>
      </w:r>
      <w:r w:rsidRPr="00F24DFE">
        <w:rPr>
          <w:b/>
          <w:sz w:val="28"/>
          <w:szCs w:val="32"/>
          <w:lang w:val="en-GB"/>
        </w:rPr>
        <w:t>NT</w:t>
      </w:r>
    </w:p>
    <w:p w14:paraId="54AF2B44" w14:textId="77777777" w:rsidR="00BE469B" w:rsidRDefault="00BE469B" w:rsidP="00BE469B">
      <w:pPr>
        <w:tabs>
          <w:tab w:val="right" w:pos="6660"/>
          <w:tab w:val="right" w:pos="9000"/>
        </w:tabs>
        <w:spacing w:line="360" w:lineRule="auto"/>
        <w:jc w:val="both"/>
        <w:rPr>
          <w:b/>
          <w:sz w:val="28"/>
          <w:szCs w:val="32"/>
          <w:lang w:val="en-GB"/>
        </w:rPr>
      </w:pPr>
      <w:r>
        <w:rPr>
          <w:b/>
          <w:sz w:val="28"/>
          <w:szCs w:val="32"/>
          <w:lang w:val="en-GB"/>
        </w:rPr>
        <w:t>ALFRED NZO DISTRICT MUNICIPALITY                  2</w:t>
      </w:r>
      <w:r w:rsidRPr="0088668E">
        <w:rPr>
          <w:b/>
          <w:sz w:val="28"/>
          <w:szCs w:val="32"/>
          <w:vertAlign w:val="superscript"/>
          <w:lang w:val="en-GB"/>
        </w:rPr>
        <w:t>ND</w:t>
      </w:r>
      <w:r>
        <w:rPr>
          <w:b/>
          <w:sz w:val="28"/>
          <w:szCs w:val="32"/>
          <w:lang w:val="en-GB"/>
        </w:rPr>
        <w:t xml:space="preserve"> RESPONDENT</w:t>
      </w:r>
    </w:p>
    <w:p w14:paraId="5F1BAE90" w14:textId="77777777" w:rsidR="00BE469B" w:rsidRDefault="00BE469B" w:rsidP="00BE469B">
      <w:pPr>
        <w:tabs>
          <w:tab w:val="right" w:pos="6660"/>
          <w:tab w:val="right" w:pos="9000"/>
        </w:tabs>
        <w:spacing w:line="360" w:lineRule="auto"/>
        <w:jc w:val="both"/>
        <w:rPr>
          <w:b/>
          <w:sz w:val="28"/>
          <w:szCs w:val="32"/>
          <w:lang w:val="en-GB"/>
        </w:rPr>
      </w:pPr>
    </w:p>
    <w:p w14:paraId="4404A281" w14:textId="77777777" w:rsidR="00BE469B" w:rsidRPr="00FC609C" w:rsidRDefault="00BE469B" w:rsidP="00BE469B">
      <w:pPr>
        <w:tabs>
          <w:tab w:val="right" w:pos="6660"/>
          <w:tab w:val="right" w:pos="9000"/>
        </w:tabs>
        <w:spacing w:line="360" w:lineRule="auto"/>
        <w:jc w:val="both"/>
        <w:rPr>
          <w:b/>
          <w:sz w:val="28"/>
          <w:szCs w:val="32"/>
          <w:lang w:val="en-GB"/>
        </w:rPr>
      </w:pPr>
      <w:r w:rsidRPr="00277E80">
        <w:rPr>
          <w:b/>
          <w:sz w:val="28"/>
          <w:szCs w:val="28"/>
        </w:rPr>
        <w:t>This judgment was handed down electronically by circulation to the parties’ legal representatives via e-mail</w:t>
      </w:r>
      <w:r>
        <w:rPr>
          <w:b/>
          <w:sz w:val="28"/>
          <w:szCs w:val="28"/>
        </w:rPr>
        <w:t xml:space="preserve"> and publication to SAFLII</w:t>
      </w:r>
      <w:r w:rsidRPr="00277E80">
        <w:rPr>
          <w:b/>
          <w:sz w:val="28"/>
          <w:szCs w:val="28"/>
        </w:rPr>
        <w:t>. The date and time for hand-down is deemed to be </w:t>
      </w:r>
      <w:r w:rsidRPr="00277E80">
        <w:rPr>
          <w:b/>
          <w:sz w:val="28"/>
          <w:szCs w:val="28"/>
          <w:lang w:val="en-ZA"/>
        </w:rPr>
        <w:t>09</w:t>
      </w:r>
      <w:r w:rsidRPr="00277E80">
        <w:rPr>
          <w:b/>
          <w:sz w:val="28"/>
          <w:szCs w:val="28"/>
        </w:rPr>
        <w:t>H</w:t>
      </w:r>
      <w:r>
        <w:rPr>
          <w:b/>
          <w:sz w:val="28"/>
          <w:szCs w:val="28"/>
          <w:lang w:val="en-ZA"/>
        </w:rPr>
        <w:t>30</w:t>
      </w:r>
      <w:r w:rsidRPr="00277E80">
        <w:rPr>
          <w:b/>
          <w:sz w:val="28"/>
          <w:szCs w:val="28"/>
          <w:lang w:val="en-ZA"/>
        </w:rPr>
        <w:t> </w:t>
      </w:r>
      <w:r w:rsidRPr="00277E80">
        <w:rPr>
          <w:b/>
          <w:sz w:val="28"/>
          <w:szCs w:val="28"/>
        </w:rPr>
        <w:t>on</w:t>
      </w:r>
      <w:r>
        <w:rPr>
          <w:b/>
          <w:sz w:val="28"/>
          <w:szCs w:val="28"/>
        </w:rPr>
        <w:t xml:space="preserve"> 31</w:t>
      </w:r>
      <w:r>
        <w:rPr>
          <w:b/>
          <w:sz w:val="28"/>
          <w:szCs w:val="28"/>
          <w:lang w:val="en-ZA"/>
        </w:rPr>
        <w:t xml:space="preserve"> May </w:t>
      </w:r>
      <w:r w:rsidRPr="00277E80">
        <w:rPr>
          <w:b/>
          <w:sz w:val="28"/>
          <w:szCs w:val="28"/>
        </w:rPr>
        <w:t>202</w:t>
      </w:r>
      <w:r>
        <w:rPr>
          <w:b/>
          <w:sz w:val="28"/>
          <w:szCs w:val="28"/>
        </w:rPr>
        <w:t>4</w:t>
      </w:r>
      <w:r w:rsidRPr="00277E80">
        <w:rPr>
          <w:b/>
          <w:sz w:val="28"/>
          <w:szCs w:val="28"/>
        </w:rPr>
        <w:t>.</w:t>
      </w:r>
    </w:p>
    <w:p w14:paraId="00DB00B0" w14:textId="77777777" w:rsidR="00BE469B" w:rsidRPr="00F24DFE" w:rsidRDefault="00BE469B" w:rsidP="00BE469B">
      <w:pPr>
        <w:pBdr>
          <w:bottom w:val="single" w:sz="4" w:space="1" w:color="auto"/>
        </w:pBdr>
        <w:tabs>
          <w:tab w:val="right" w:pos="6660"/>
          <w:tab w:val="right" w:pos="9000"/>
        </w:tabs>
        <w:spacing w:line="360" w:lineRule="auto"/>
        <w:jc w:val="both"/>
        <w:rPr>
          <w:b/>
          <w:sz w:val="28"/>
          <w:szCs w:val="32"/>
          <w:lang w:val="en-GB"/>
        </w:rPr>
      </w:pPr>
    </w:p>
    <w:p w14:paraId="6CB620E6" w14:textId="77777777" w:rsidR="00BE469B" w:rsidRPr="00F24DFE" w:rsidRDefault="00BE469B" w:rsidP="00BE469B">
      <w:pPr>
        <w:spacing w:line="360" w:lineRule="auto"/>
        <w:jc w:val="both"/>
        <w:rPr>
          <w:b/>
          <w:sz w:val="40"/>
          <w:szCs w:val="40"/>
          <w:lang w:val="en-GB"/>
        </w:rPr>
      </w:pPr>
    </w:p>
    <w:p w14:paraId="221903E8" w14:textId="77777777" w:rsidR="00BE469B" w:rsidRPr="00F24DFE" w:rsidRDefault="00BE469B" w:rsidP="00BE469B">
      <w:pPr>
        <w:spacing w:line="360" w:lineRule="auto"/>
        <w:jc w:val="both"/>
        <w:rPr>
          <w:b/>
          <w:sz w:val="40"/>
          <w:szCs w:val="40"/>
          <w:lang w:val="en-GB"/>
        </w:rPr>
      </w:pPr>
      <w:r>
        <w:rPr>
          <w:b/>
          <w:sz w:val="40"/>
          <w:szCs w:val="40"/>
          <w:lang w:val="en-GB"/>
        </w:rPr>
        <w:t xml:space="preserve">                                    </w:t>
      </w:r>
      <w:r w:rsidRPr="00F24DFE">
        <w:rPr>
          <w:b/>
          <w:sz w:val="40"/>
          <w:szCs w:val="40"/>
          <w:lang w:val="en-GB"/>
        </w:rPr>
        <w:t xml:space="preserve">JUDGMENT </w:t>
      </w:r>
    </w:p>
    <w:p w14:paraId="34B78CF6" w14:textId="77777777" w:rsidR="00BE469B" w:rsidRPr="00F24DFE" w:rsidRDefault="00BE469B" w:rsidP="00BE469B">
      <w:pPr>
        <w:pBdr>
          <w:top w:val="single" w:sz="4" w:space="1" w:color="auto"/>
        </w:pBdr>
        <w:spacing w:line="360" w:lineRule="auto"/>
        <w:jc w:val="both"/>
        <w:rPr>
          <w:b/>
          <w:sz w:val="40"/>
          <w:szCs w:val="40"/>
          <w:lang w:val="en-GB"/>
        </w:rPr>
      </w:pPr>
    </w:p>
    <w:p w14:paraId="00A77D42" w14:textId="77777777" w:rsidR="00BE469B" w:rsidRPr="00F24DFE" w:rsidRDefault="00BE469B" w:rsidP="00BE469B">
      <w:pPr>
        <w:spacing w:line="360" w:lineRule="auto"/>
        <w:jc w:val="both"/>
        <w:rPr>
          <w:bCs/>
          <w:sz w:val="28"/>
          <w:lang w:val="en-GB"/>
        </w:rPr>
      </w:pPr>
      <w:r w:rsidRPr="00F24DFE">
        <w:rPr>
          <w:b/>
          <w:sz w:val="28"/>
          <w:lang w:val="en-GB"/>
        </w:rPr>
        <w:t>MJALI J:</w:t>
      </w:r>
    </w:p>
    <w:p w14:paraId="347CEFD2" w14:textId="7F62CAFC" w:rsidR="00BE469B" w:rsidRPr="00B72E7E" w:rsidRDefault="006272B1" w:rsidP="006272B1">
      <w:pPr>
        <w:spacing w:after="400" w:line="360" w:lineRule="auto"/>
        <w:ind w:hanging="720"/>
        <w:jc w:val="both"/>
        <w:rPr>
          <w:b/>
          <w:bCs/>
          <w:sz w:val="28"/>
          <w:lang w:val="en-GB"/>
        </w:rPr>
      </w:pPr>
      <w:r w:rsidRPr="00B72E7E">
        <w:rPr>
          <w:rFonts w:ascii="Arial" w:hAnsi="Arial"/>
          <w:bCs/>
          <w:sz w:val="28"/>
          <w:szCs w:val="28"/>
          <w:lang w:val="en-GB"/>
        </w:rPr>
        <w:t>[1]</w:t>
      </w:r>
      <w:r w:rsidRPr="00B72E7E">
        <w:rPr>
          <w:rFonts w:ascii="Arial" w:hAnsi="Arial"/>
          <w:bCs/>
          <w:sz w:val="28"/>
          <w:szCs w:val="28"/>
          <w:lang w:val="en-GB"/>
        </w:rPr>
        <w:tab/>
      </w:r>
      <w:r w:rsidR="00BE469B" w:rsidRPr="00F24DFE">
        <w:rPr>
          <w:bCs/>
          <w:sz w:val="28"/>
          <w:lang w:val="en-GB"/>
        </w:rPr>
        <w:t>Th</w:t>
      </w:r>
      <w:r w:rsidR="00BE469B">
        <w:rPr>
          <w:bCs/>
          <w:sz w:val="28"/>
          <w:lang w:val="en-GB"/>
        </w:rPr>
        <w:t xml:space="preserve">e applicant is employed by the second respondent as a Municipal Manager and Accounting Officer. Following certain allegations, the applicant is on suspension </w:t>
      </w:r>
      <w:r w:rsidR="00BE469B">
        <w:rPr>
          <w:bCs/>
          <w:sz w:val="28"/>
          <w:lang w:val="en-GB"/>
        </w:rPr>
        <w:lastRenderedPageBreak/>
        <w:t xml:space="preserve">pending the finalisation of the disciplinary hearing instituted by the second respondent. The disciplinary proceedings commenced and have not been finalised. The first respondent is an attorney hired by the second respondent as the chairperson of that disciplinary process.  The applicant is represented in the hearing by advocate A M </w:t>
      </w:r>
      <w:proofErr w:type="spellStart"/>
      <w:r w:rsidR="00BE469B">
        <w:rPr>
          <w:bCs/>
          <w:sz w:val="28"/>
          <w:lang w:val="en-GB"/>
        </w:rPr>
        <w:t>Bodlani</w:t>
      </w:r>
      <w:proofErr w:type="spellEnd"/>
      <w:r w:rsidR="00BE469B">
        <w:rPr>
          <w:bCs/>
          <w:sz w:val="28"/>
          <w:lang w:val="en-GB"/>
        </w:rPr>
        <w:t xml:space="preserve"> SC on the instruction of </w:t>
      </w:r>
      <w:proofErr w:type="spellStart"/>
      <w:r w:rsidR="00BE469B">
        <w:rPr>
          <w:bCs/>
          <w:sz w:val="28"/>
          <w:lang w:val="en-GB"/>
        </w:rPr>
        <w:t>Messers</w:t>
      </w:r>
      <w:proofErr w:type="spellEnd"/>
      <w:r w:rsidR="00BE469B">
        <w:rPr>
          <w:bCs/>
          <w:sz w:val="28"/>
          <w:lang w:val="en-GB"/>
        </w:rPr>
        <w:t xml:space="preserve"> AW </w:t>
      </w:r>
      <w:proofErr w:type="spellStart"/>
      <w:r w:rsidR="00BE469B">
        <w:rPr>
          <w:bCs/>
          <w:sz w:val="28"/>
          <w:lang w:val="en-GB"/>
        </w:rPr>
        <w:t>Chopha</w:t>
      </w:r>
      <w:proofErr w:type="spellEnd"/>
      <w:r w:rsidR="00BE469B">
        <w:rPr>
          <w:bCs/>
          <w:sz w:val="28"/>
          <w:lang w:val="en-GB"/>
        </w:rPr>
        <w:t xml:space="preserve"> Attorneys. </w:t>
      </w:r>
    </w:p>
    <w:p w14:paraId="38091086" w14:textId="7C024D77" w:rsidR="00BE469B" w:rsidRPr="00D461E6" w:rsidRDefault="006272B1" w:rsidP="006272B1">
      <w:pPr>
        <w:spacing w:after="400" w:line="360" w:lineRule="auto"/>
        <w:ind w:hanging="720"/>
        <w:jc w:val="both"/>
        <w:rPr>
          <w:b/>
          <w:bCs/>
          <w:sz w:val="28"/>
          <w:lang w:val="en-GB"/>
        </w:rPr>
      </w:pPr>
      <w:r w:rsidRPr="00D461E6">
        <w:rPr>
          <w:rFonts w:ascii="Arial" w:hAnsi="Arial"/>
          <w:bCs/>
          <w:sz w:val="28"/>
          <w:szCs w:val="28"/>
          <w:lang w:val="en-GB"/>
        </w:rPr>
        <w:t>[2]</w:t>
      </w:r>
      <w:r w:rsidRPr="00D461E6">
        <w:rPr>
          <w:rFonts w:ascii="Arial" w:hAnsi="Arial"/>
          <w:bCs/>
          <w:sz w:val="28"/>
          <w:szCs w:val="28"/>
          <w:lang w:val="en-GB"/>
        </w:rPr>
        <w:tab/>
      </w:r>
      <w:r w:rsidR="00BE469B">
        <w:rPr>
          <w:bCs/>
          <w:sz w:val="28"/>
          <w:lang w:val="en-GB"/>
        </w:rPr>
        <w:t>On 13 May 2024 the first respondent gave a ruling that the disciplinary hearing was to proceed again on 20 to 22 May 2024 and on 27 to 31 May 2024 excluding 29 May 2024. The ruling was according to the applicant given without consultation with its legal representatives and as such the dates were not suitable for them as they would both be engaged in a medical negligence trial that was set down for those dates. When their request to have the dates changed did not yield the desired results, the applicant approached this court on an urgent basis seeking an order couched in the following terms.</w:t>
      </w:r>
    </w:p>
    <w:p w14:paraId="4ECBC3BA" w14:textId="2A8CF0E5" w:rsidR="00BE469B" w:rsidRPr="006272B1" w:rsidRDefault="006272B1" w:rsidP="006272B1">
      <w:pPr>
        <w:spacing w:after="400" w:line="360" w:lineRule="auto"/>
        <w:ind w:left="360" w:hanging="360"/>
        <w:jc w:val="both"/>
        <w:rPr>
          <w:b/>
          <w:bCs/>
          <w:sz w:val="28"/>
          <w:lang w:val="en-GB"/>
        </w:rPr>
      </w:pPr>
      <w:r w:rsidRPr="00D461E6">
        <w:rPr>
          <w:bCs/>
          <w:sz w:val="28"/>
          <w:lang w:val="en-GB"/>
        </w:rPr>
        <w:t>2.1</w:t>
      </w:r>
      <w:r w:rsidRPr="00D461E6">
        <w:rPr>
          <w:bCs/>
          <w:sz w:val="28"/>
          <w:lang w:val="en-GB"/>
        </w:rPr>
        <w:tab/>
      </w:r>
      <w:r w:rsidR="00BE469B" w:rsidRPr="006272B1">
        <w:rPr>
          <w:bCs/>
          <w:sz w:val="28"/>
          <w:lang w:val="en-GB"/>
        </w:rPr>
        <w:t xml:space="preserve"> Granting the applicant leave to bring this application by way of urgency in accordance with the provisions of the Uniform Rule 6(12) and that the usual forms of service have been dispensed with.</w:t>
      </w:r>
    </w:p>
    <w:p w14:paraId="7A208D09" w14:textId="234B8C40" w:rsidR="00BE469B" w:rsidRPr="006272B1" w:rsidRDefault="006272B1" w:rsidP="006272B1">
      <w:pPr>
        <w:spacing w:after="400" w:line="360" w:lineRule="auto"/>
        <w:ind w:left="360" w:hanging="360"/>
        <w:jc w:val="both"/>
        <w:rPr>
          <w:b/>
          <w:bCs/>
          <w:sz w:val="28"/>
          <w:lang w:val="en-GB"/>
        </w:rPr>
      </w:pPr>
      <w:r w:rsidRPr="00850031">
        <w:rPr>
          <w:bCs/>
          <w:sz w:val="28"/>
          <w:lang w:val="en-GB"/>
        </w:rPr>
        <w:t>2.2</w:t>
      </w:r>
      <w:r w:rsidRPr="00850031">
        <w:rPr>
          <w:bCs/>
          <w:sz w:val="28"/>
          <w:lang w:val="en-GB"/>
        </w:rPr>
        <w:tab/>
      </w:r>
      <w:r w:rsidR="00BE469B" w:rsidRPr="006272B1">
        <w:rPr>
          <w:bCs/>
          <w:sz w:val="28"/>
          <w:lang w:val="en-GB"/>
        </w:rPr>
        <w:t>That pending the launch within a period of 30 (thirty) days from the date of this order, and finalisation of an application for the review and setting aside of the first respondent’s ruling of 13 May 2024 postponing the internal disciplinary hearing of the second respondent, instituted against the applicant (the disciplinary hearing), for hearing from 20 to 22 May and 27 to 31 May 2024 excluding 29 May 2024:</w:t>
      </w:r>
    </w:p>
    <w:p w14:paraId="4DCF83A3" w14:textId="77777777" w:rsidR="00BE469B" w:rsidRDefault="00BE469B" w:rsidP="00BE469B">
      <w:pPr>
        <w:pStyle w:val="ListParagraph"/>
        <w:spacing w:after="400" w:line="360" w:lineRule="auto"/>
        <w:ind w:left="360"/>
        <w:jc w:val="both"/>
        <w:rPr>
          <w:sz w:val="28"/>
          <w:lang w:val="en-GB"/>
        </w:rPr>
      </w:pPr>
      <w:r w:rsidRPr="00850031">
        <w:rPr>
          <w:sz w:val="28"/>
          <w:lang w:val="en-GB"/>
        </w:rPr>
        <w:t>2.2.1</w:t>
      </w:r>
      <w:r>
        <w:rPr>
          <w:sz w:val="28"/>
          <w:lang w:val="en-GB"/>
        </w:rPr>
        <w:t xml:space="preserve"> The second respondent’s disciplinary hearing be and is hereby stayed; and </w:t>
      </w:r>
    </w:p>
    <w:p w14:paraId="2CF9D750" w14:textId="77777777" w:rsidR="00BE469B" w:rsidRPr="00850031" w:rsidRDefault="00BE469B" w:rsidP="00BE469B">
      <w:pPr>
        <w:pStyle w:val="ListParagraph"/>
        <w:spacing w:after="400" w:line="360" w:lineRule="auto"/>
        <w:ind w:left="360"/>
        <w:jc w:val="both"/>
        <w:rPr>
          <w:sz w:val="28"/>
          <w:lang w:val="en-GB"/>
        </w:rPr>
      </w:pPr>
      <w:r>
        <w:rPr>
          <w:sz w:val="28"/>
          <w:lang w:val="en-GB"/>
        </w:rPr>
        <w:t xml:space="preserve">2.2.2 the first respondent and /or any official, employee and/or agent of the </w:t>
      </w:r>
      <w:r>
        <w:rPr>
          <w:sz w:val="28"/>
          <w:lang w:val="en-GB"/>
        </w:rPr>
        <w:lastRenderedPageBreak/>
        <w:t xml:space="preserve">second respondent and /or anyone acting at the instance of the first and second respondents in connection with the disciplinary hearing or otherwise, be and is hereby interdicted and restrained from continuing with the second respondent’s disciplinary hearing.     </w:t>
      </w:r>
    </w:p>
    <w:p w14:paraId="47DA1EBB" w14:textId="1CDFC4C7" w:rsidR="00DE79C8" w:rsidRPr="006272B1" w:rsidRDefault="006272B1" w:rsidP="006272B1">
      <w:pPr>
        <w:spacing w:after="400" w:line="360" w:lineRule="auto"/>
        <w:ind w:left="360" w:hanging="360"/>
        <w:jc w:val="both"/>
        <w:rPr>
          <w:sz w:val="28"/>
          <w:lang w:val="en-GB"/>
        </w:rPr>
      </w:pPr>
      <w:r>
        <w:rPr>
          <w:sz w:val="28"/>
          <w:lang w:val="en-GB"/>
        </w:rPr>
        <w:t>2.3</w:t>
      </w:r>
      <w:r>
        <w:rPr>
          <w:sz w:val="28"/>
          <w:lang w:val="en-GB"/>
        </w:rPr>
        <w:tab/>
      </w:r>
      <w:r w:rsidR="00BE469B" w:rsidRPr="006272B1">
        <w:rPr>
          <w:sz w:val="28"/>
          <w:lang w:val="en-GB"/>
        </w:rPr>
        <w:t>Directing the first respondent to pay the costs of this application, provided that should the applicant not launch the review application otherwise than because the dispute has become settled, the applicant shall pay the costs of this application.</w:t>
      </w:r>
    </w:p>
    <w:p w14:paraId="07C5DC67" w14:textId="4149D0C0" w:rsidR="00BE469B" w:rsidRPr="00850031" w:rsidRDefault="00BE469B" w:rsidP="00DE79C8">
      <w:pPr>
        <w:pStyle w:val="ListParagraph"/>
        <w:spacing w:after="400" w:line="360" w:lineRule="auto"/>
        <w:ind w:left="360"/>
        <w:jc w:val="both"/>
        <w:rPr>
          <w:sz w:val="28"/>
          <w:lang w:val="en-GB"/>
        </w:rPr>
      </w:pPr>
      <w:r>
        <w:rPr>
          <w:sz w:val="28"/>
          <w:lang w:val="en-GB"/>
        </w:rPr>
        <w:t xml:space="preserve">  </w:t>
      </w:r>
    </w:p>
    <w:p w14:paraId="285C4AC8" w14:textId="3F53BCE1" w:rsidR="00DE79C8" w:rsidRPr="006272B1" w:rsidRDefault="006272B1" w:rsidP="006272B1">
      <w:pPr>
        <w:spacing w:after="400" w:line="360" w:lineRule="auto"/>
        <w:ind w:hanging="720"/>
        <w:jc w:val="both"/>
        <w:rPr>
          <w:b/>
          <w:bCs/>
          <w:sz w:val="28"/>
          <w:lang w:val="en-GB"/>
        </w:rPr>
      </w:pPr>
      <w:r w:rsidRPr="00DE79C8">
        <w:rPr>
          <w:rFonts w:ascii="Arial" w:hAnsi="Arial"/>
          <w:bCs/>
          <w:sz w:val="28"/>
          <w:szCs w:val="28"/>
          <w:lang w:val="en-GB"/>
        </w:rPr>
        <w:t>[3]</w:t>
      </w:r>
      <w:r w:rsidRPr="00DE79C8">
        <w:rPr>
          <w:rFonts w:ascii="Arial" w:hAnsi="Arial"/>
          <w:bCs/>
          <w:sz w:val="28"/>
          <w:szCs w:val="28"/>
          <w:lang w:val="en-GB"/>
        </w:rPr>
        <w:tab/>
      </w:r>
      <w:r w:rsidR="00BE469B" w:rsidRPr="006272B1">
        <w:rPr>
          <w:bCs/>
          <w:sz w:val="28"/>
          <w:lang w:val="en-GB"/>
        </w:rPr>
        <w:t xml:space="preserve"> Consequent upon the certificate of urgency that was filed with the registrar on Tuesday,14 May 2024, I issued an order on the same day that papers be served on the respondents and that the matter will be heard on Friday, 17 May 2024 at 10h00. The setting down of the hearing on Friday, 17 May 2024 was to afford sufficient time to the parties to file their answering and replying papers if they so wished before the day of the hearing. The first respondent did not oppose the application but simply filed a notice to abide the decision of this court. The application was only opposed by the second respondent. The second respondent’s lengthy answering affidavit coupled with the application for condonation for its late filing was only filed with the registrar on the day of the hearing. The replying affidavit was also filed just before the hearing of the matter, necessitating some time for the court to read the papers before the hearing. Apart from its opposition on the grounds that the applicant has failed to meet the requirements for interdictory relief, the second respondent also raised points in </w:t>
      </w:r>
      <w:proofErr w:type="spellStart"/>
      <w:r w:rsidR="00BE469B" w:rsidRPr="006272B1">
        <w:rPr>
          <w:bCs/>
          <w:sz w:val="28"/>
          <w:lang w:val="en-GB"/>
        </w:rPr>
        <w:t>limine</w:t>
      </w:r>
      <w:proofErr w:type="spellEnd"/>
      <w:r w:rsidR="00BE469B" w:rsidRPr="006272B1">
        <w:rPr>
          <w:bCs/>
          <w:sz w:val="28"/>
          <w:lang w:val="en-GB"/>
        </w:rPr>
        <w:t xml:space="preserve">, namely, firstly, whether urgency has been made out, secondly, whether it is appropriate to have launched the present application in medias res when such is clearly premature; and thirdly, whether the court’s jurisdiction has been properly engaged – the applicant has not delineated whether the pending review is being </w:t>
      </w:r>
      <w:r w:rsidR="00BE469B" w:rsidRPr="006272B1">
        <w:rPr>
          <w:bCs/>
          <w:sz w:val="28"/>
          <w:lang w:val="en-GB"/>
        </w:rPr>
        <w:lastRenderedPageBreak/>
        <w:t xml:space="preserve">brought in terms of PAJA or review in terms of the Labour Relations Act.  </w:t>
      </w:r>
    </w:p>
    <w:p w14:paraId="4CA501B5" w14:textId="40D78D80" w:rsidR="00BE469B" w:rsidRPr="007B4A9F" w:rsidRDefault="00BE469B" w:rsidP="00DE79C8">
      <w:pPr>
        <w:pStyle w:val="ListParagraph"/>
        <w:spacing w:after="400" w:line="360" w:lineRule="auto"/>
        <w:ind w:left="0"/>
        <w:jc w:val="both"/>
        <w:rPr>
          <w:b/>
          <w:bCs/>
          <w:sz w:val="28"/>
          <w:lang w:val="en-GB"/>
        </w:rPr>
      </w:pPr>
      <w:r>
        <w:rPr>
          <w:bCs/>
          <w:sz w:val="28"/>
          <w:lang w:val="en-GB"/>
        </w:rPr>
        <w:t xml:space="preserve"> </w:t>
      </w:r>
    </w:p>
    <w:p w14:paraId="713F4F9F" w14:textId="18AD7F8E" w:rsidR="00BE469B" w:rsidRPr="006272B1" w:rsidRDefault="006272B1" w:rsidP="006272B1">
      <w:pPr>
        <w:spacing w:after="400" w:line="360" w:lineRule="auto"/>
        <w:ind w:hanging="720"/>
        <w:jc w:val="both"/>
        <w:rPr>
          <w:b/>
          <w:bCs/>
          <w:sz w:val="28"/>
          <w:lang w:val="en-GB"/>
        </w:rPr>
      </w:pPr>
      <w:r w:rsidRPr="00DE79C8">
        <w:rPr>
          <w:rFonts w:ascii="Arial" w:hAnsi="Arial"/>
          <w:bCs/>
          <w:sz w:val="28"/>
          <w:szCs w:val="28"/>
          <w:lang w:val="en-GB"/>
        </w:rPr>
        <w:t>[4]</w:t>
      </w:r>
      <w:r w:rsidRPr="00DE79C8">
        <w:rPr>
          <w:rFonts w:ascii="Arial" w:hAnsi="Arial"/>
          <w:bCs/>
          <w:sz w:val="28"/>
          <w:szCs w:val="28"/>
          <w:lang w:val="en-GB"/>
        </w:rPr>
        <w:tab/>
      </w:r>
      <w:r w:rsidR="00BE469B" w:rsidRPr="006272B1">
        <w:rPr>
          <w:bCs/>
          <w:sz w:val="28"/>
          <w:lang w:val="en-GB"/>
        </w:rPr>
        <w:t xml:space="preserve">That coupled with the unavailability of the court room, resulted in the hearing commencing only after 12h00 and continued until after 16h00. The application papers excluding the substantive heads of argument filed by both parties ran </w:t>
      </w:r>
      <w:proofErr w:type="gramStart"/>
      <w:r w:rsidR="00BE469B" w:rsidRPr="006272B1">
        <w:rPr>
          <w:bCs/>
          <w:sz w:val="28"/>
          <w:lang w:val="en-GB"/>
        </w:rPr>
        <w:t>in excess of</w:t>
      </w:r>
      <w:proofErr w:type="gramEnd"/>
      <w:r w:rsidR="00BE469B" w:rsidRPr="006272B1">
        <w:rPr>
          <w:bCs/>
          <w:sz w:val="28"/>
          <w:lang w:val="en-GB"/>
        </w:rPr>
        <w:t xml:space="preserve"> two hundred and twenty pages. During the much-contested hearing both </w:t>
      </w:r>
      <w:proofErr w:type="gramStart"/>
      <w:r w:rsidR="00BE469B" w:rsidRPr="006272B1">
        <w:rPr>
          <w:bCs/>
          <w:sz w:val="28"/>
          <w:lang w:val="en-GB"/>
        </w:rPr>
        <w:t>counsel</w:t>
      </w:r>
      <w:proofErr w:type="gramEnd"/>
      <w:r w:rsidR="00BE469B" w:rsidRPr="006272B1">
        <w:rPr>
          <w:bCs/>
          <w:sz w:val="28"/>
          <w:lang w:val="en-GB"/>
        </w:rPr>
        <w:t xml:space="preserve"> referred to a number of authorities to bolster their arguments for and against the relief sought. When it became clear that the decision on this application would not be taken on the day of the hearing bearing in mind the aforesaid as well as the fact that the disciplinary hearing sought to be stayed was scheduled for Monday 20 May, practically two days after the hearing of this matter, counsel agreed to an order effectively staying the envisaged disciplinary hearing scheduled to take place on the dates stipulated in the notice of motion. Further to hold a pre-hearing on 31 May 2024 and reserved costs of this application.</w:t>
      </w:r>
      <w:r w:rsidR="0082261C" w:rsidRPr="006272B1">
        <w:rPr>
          <w:bCs/>
          <w:sz w:val="28"/>
          <w:lang w:val="en-GB"/>
        </w:rPr>
        <w:t xml:space="preserve"> </w:t>
      </w:r>
    </w:p>
    <w:p w14:paraId="624244E4" w14:textId="77777777" w:rsidR="00DE79C8" w:rsidRPr="00DE79C8" w:rsidRDefault="00DE79C8" w:rsidP="00DE79C8">
      <w:pPr>
        <w:pStyle w:val="ListParagraph"/>
        <w:rPr>
          <w:b/>
          <w:bCs/>
          <w:sz w:val="28"/>
          <w:lang w:val="en-GB"/>
        </w:rPr>
      </w:pPr>
    </w:p>
    <w:p w14:paraId="0BA78B3A" w14:textId="657ABF48" w:rsidR="00255C7E" w:rsidRPr="006272B1" w:rsidRDefault="006272B1" w:rsidP="006272B1">
      <w:pPr>
        <w:spacing w:after="400" w:line="360" w:lineRule="auto"/>
        <w:ind w:hanging="720"/>
        <w:jc w:val="both"/>
        <w:rPr>
          <w:b/>
          <w:bCs/>
          <w:sz w:val="28"/>
          <w:lang w:val="en-GB"/>
        </w:rPr>
      </w:pPr>
      <w:r w:rsidRPr="00DE79C8">
        <w:rPr>
          <w:rFonts w:ascii="Arial" w:hAnsi="Arial"/>
          <w:bCs/>
          <w:sz w:val="28"/>
          <w:szCs w:val="28"/>
          <w:lang w:val="en-GB"/>
        </w:rPr>
        <w:t>[5]</w:t>
      </w:r>
      <w:r w:rsidRPr="00DE79C8">
        <w:rPr>
          <w:rFonts w:ascii="Arial" w:hAnsi="Arial"/>
          <w:bCs/>
          <w:sz w:val="28"/>
          <w:szCs w:val="28"/>
          <w:lang w:val="en-GB"/>
        </w:rPr>
        <w:tab/>
      </w:r>
      <w:r w:rsidR="00BE469B" w:rsidRPr="006272B1">
        <w:rPr>
          <w:bCs/>
          <w:sz w:val="28"/>
          <w:lang w:val="en-GB"/>
        </w:rPr>
        <w:t>The order agreed upon by the parties is practically the very relief that the applicant sought in this urgent application and as such there is no longer a live issue between the parties in so far as the resumption of the hearing on the stipulated dates.</w:t>
      </w:r>
      <w:r w:rsidR="00CA5826" w:rsidRPr="006272B1">
        <w:rPr>
          <w:bCs/>
          <w:sz w:val="28"/>
          <w:lang w:val="en-GB"/>
        </w:rPr>
        <w:t xml:space="preserve"> In addition to that, at the time of this judgment, the dates stated in the order sought to be stayed have now come and gone. Apart from staying the proceedings, the order effectively rendered </w:t>
      </w:r>
      <w:r w:rsidR="0082261C" w:rsidRPr="006272B1">
        <w:rPr>
          <w:bCs/>
          <w:sz w:val="28"/>
          <w:lang w:val="en-GB"/>
        </w:rPr>
        <w:t xml:space="preserve">all the other issues raised in </w:t>
      </w:r>
      <w:proofErr w:type="spellStart"/>
      <w:r w:rsidR="0082261C" w:rsidRPr="006272B1">
        <w:rPr>
          <w:bCs/>
          <w:sz w:val="28"/>
          <w:lang w:val="en-GB"/>
        </w:rPr>
        <w:t>limine</w:t>
      </w:r>
      <w:proofErr w:type="spellEnd"/>
      <w:r w:rsidR="0082261C" w:rsidRPr="006272B1">
        <w:rPr>
          <w:bCs/>
          <w:sz w:val="28"/>
          <w:lang w:val="en-GB"/>
        </w:rPr>
        <w:t xml:space="preserve"> </w:t>
      </w:r>
      <w:r w:rsidR="00CA5826" w:rsidRPr="006272B1">
        <w:rPr>
          <w:bCs/>
          <w:sz w:val="28"/>
          <w:lang w:val="en-GB"/>
        </w:rPr>
        <w:t>moot</w:t>
      </w:r>
      <w:r w:rsidR="0082261C" w:rsidRPr="006272B1">
        <w:rPr>
          <w:bCs/>
          <w:sz w:val="28"/>
          <w:lang w:val="en-GB"/>
        </w:rPr>
        <w:t>. What remained for determination was the issue of costs.</w:t>
      </w:r>
      <w:r w:rsidR="00CA5826" w:rsidRPr="006272B1">
        <w:rPr>
          <w:bCs/>
          <w:sz w:val="28"/>
          <w:lang w:val="en-GB"/>
        </w:rPr>
        <w:t xml:space="preserve"> </w:t>
      </w:r>
      <w:r w:rsidR="00CA5826" w:rsidRPr="006272B1">
        <w:rPr>
          <w:color w:val="242121"/>
          <w:sz w:val="28"/>
          <w:szCs w:val="28"/>
        </w:rPr>
        <w:t xml:space="preserve">Section 16(2)(a) of the Superior Courts Act provides that the question whether the decision would have no practical effect or result is to be determined without reference to any consideration of costs. </w:t>
      </w:r>
      <w:r w:rsidR="00BE469B" w:rsidRPr="006272B1">
        <w:rPr>
          <w:bCs/>
          <w:sz w:val="28"/>
          <w:lang w:val="en-GB"/>
        </w:rPr>
        <w:t xml:space="preserve">Ordinarily, under the circumstances, the application would be regarded as mute and thus there would be no need for this court to pronounce </w:t>
      </w:r>
      <w:r w:rsidR="00BE469B" w:rsidRPr="006272B1">
        <w:rPr>
          <w:bCs/>
          <w:sz w:val="28"/>
          <w:lang w:val="en-GB"/>
        </w:rPr>
        <w:lastRenderedPageBreak/>
        <w:t>thereon.</w:t>
      </w:r>
    </w:p>
    <w:p w14:paraId="62F0E0A5" w14:textId="77777777" w:rsidR="00DE79C8" w:rsidRPr="00DE79C8" w:rsidRDefault="00DE79C8" w:rsidP="00DE79C8">
      <w:pPr>
        <w:pStyle w:val="ListParagraph"/>
        <w:rPr>
          <w:b/>
          <w:bCs/>
          <w:sz w:val="28"/>
          <w:lang w:val="en-GB"/>
        </w:rPr>
      </w:pPr>
    </w:p>
    <w:p w14:paraId="60AB52E3" w14:textId="54C5ECBC" w:rsidR="00BE469B" w:rsidRPr="006272B1" w:rsidRDefault="006272B1" w:rsidP="006272B1">
      <w:pPr>
        <w:spacing w:after="400" w:line="360" w:lineRule="auto"/>
        <w:ind w:hanging="720"/>
        <w:jc w:val="both"/>
        <w:rPr>
          <w:b/>
          <w:bCs/>
          <w:sz w:val="28"/>
          <w:lang w:val="en-GB"/>
        </w:rPr>
      </w:pPr>
      <w:r w:rsidRPr="00255C7E">
        <w:rPr>
          <w:rFonts w:ascii="Arial" w:hAnsi="Arial"/>
          <w:bCs/>
          <w:sz w:val="28"/>
          <w:szCs w:val="28"/>
          <w:lang w:val="en-GB"/>
        </w:rPr>
        <w:t>[6]</w:t>
      </w:r>
      <w:r w:rsidRPr="00255C7E">
        <w:rPr>
          <w:rFonts w:ascii="Arial" w:hAnsi="Arial"/>
          <w:bCs/>
          <w:sz w:val="28"/>
          <w:szCs w:val="28"/>
          <w:lang w:val="en-GB"/>
        </w:rPr>
        <w:tab/>
      </w:r>
      <w:r w:rsidR="00BE469B" w:rsidRPr="006272B1">
        <w:rPr>
          <w:sz w:val="28"/>
          <w:lang w:val="en-GB"/>
        </w:rPr>
        <w:t xml:space="preserve">It is a well-established principle in our law that </w:t>
      </w:r>
      <w:r w:rsidR="00BE469B" w:rsidRPr="006272B1">
        <w:rPr>
          <w:bCs/>
          <w:sz w:val="28"/>
          <w:lang w:val="en-GB"/>
        </w:rPr>
        <w:t xml:space="preserve">courts should refrain from making rulings on such matters, as the courts’ decision will merely amount to an advisory opinion on the identified legal questions, which are abstract, academic, or hypothetical and have no direct effect. </w:t>
      </w:r>
      <w:r w:rsidR="00BE469B" w:rsidRPr="006272B1">
        <w:rPr>
          <w:sz w:val="28"/>
          <w:szCs w:val="28"/>
        </w:rPr>
        <w:t xml:space="preserve">The reasoning behind this principle is that </w:t>
      </w:r>
      <w:r w:rsidR="00BE469B" w:rsidRPr="006272B1">
        <w:rPr>
          <w:color w:val="242121"/>
          <w:sz w:val="28"/>
          <w:szCs w:val="28"/>
        </w:rPr>
        <w:t>courts’ scarce resources must be used to determine live legal disputes rather than abstract propositions of law.  Courts should refrain from giving advisory opinions on legal questions that are merely abstract, academic or hypothetical and have no immediate practical effect or result.</w:t>
      </w:r>
      <w:r w:rsidR="00BE469B">
        <w:rPr>
          <w:rStyle w:val="FootnoteReference"/>
          <w:color w:val="242121"/>
          <w:sz w:val="28"/>
          <w:szCs w:val="28"/>
        </w:rPr>
        <w:footnoteReference w:id="1"/>
      </w:r>
      <w:r w:rsidR="00BE469B" w:rsidRPr="006272B1">
        <w:rPr>
          <w:color w:val="242121"/>
          <w:sz w:val="28"/>
          <w:szCs w:val="28"/>
        </w:rPr>
        <w:t xml:space="preserve"> In President of the Republic of South Africa v Democratic Alliance, the Constitutional Court cautioned that ‘courts should be loath to fulfil an advisory role, particularly for the benefit of those who have dependable advice abundantly available to them and in circumstances where no actual purpose would be served by that decision, now’</w:t>
      </w:r>
      <w:r w:rsidR="00BE469B">
        <w:rPr>
          <w:rStyle w:val="FootnoteReference"/>
          <w:color w:val="242121"/>
          <w:sz w:val="28"/>
          <w:szCs w:val="28"/>
        </w:rPr>
        <w:footnoteReference w:id="2"/>
      </w:r>
      <w:r w:rsidR="00BE469B" w:rsidRPr="006272B1">
        <w:rPr>
          <w:color w:val="242121"/>
          <w:sz w:val="28"/>
          <w:szCs w:val="28"/>
        </w:rPr>
        <w:t>.</w:t>
      </w:r>
    </w:p>
    <w:p w14:paraId="293037F0" w14:textId="471FFF48" w:rsidR="00BE469B" w:rsidRPr="00255C7E" w:rsidRDefault="006272B1" w:rsidP="006272B1">
      <w:pPr>
        <w:spacing w:after="400" w:line="360" w:lineRule="auto"/>
        <w:ind w:hanging="567"/>
        <w:jc w:val="both"/>
        <w:rPr>
          <w:sz w:val="28"/>
          <w:lang w:val="en-GB"/>
        </w:rPr>
      </w:pPr>
      <w:r w:rsidRPr="00255C7E">
        <w:rPr>
          <w:rFonts w:ascii="Arial" w:hAnsi="Arial"/>
          <w:sz w:val="28"/>
          <w:szCs w:val="28"/>
          <w:lang w:val="en-GB"/>
        </w:rPr>
        <w:t>[7]</w:t>
      </w:r>
      <w:r w:rsidRPr="00255C7E">
        <w:rPr>
          <w:rFonts w:ascii="Arial" w:hAnsi="Arial"/>
          <w:sz w:val="28"/>
          <w:szCs w:val="28"/>
          <w:lang w:val="en-GB"/>
        </w:rPr>
        <w:tab/>
      </w:r>
      <w:r w:rsidR="00BE469B">
        <w:rPr>
          <w:bCs/>
          <w:sz w:val="28"/>
          <w:lang w:val="en-GB"/>
        </w:rPr>
        <w:t xml:space="preserve">On the issue of costs. </w:t>
      </w:r>
      <w:r w:rsidR="00255C7E">
        <w:rPr>
          <w:bCs/>
          <w:sz w:val="28"/>
          <w:lang w:val="en-GB"/>
        </w:rPr>
        <w:t>Properly construed, the order obtained by consent was what the applicant sought. It was under the circumstances the successful party in this application. T</w:t>
      </w:r>
      <w:r w:rsidR="00BE469B">
        <w:rPr>
          <w:bCs/>
          <w:sz w:val="28"/>
          <w:lang w:val="en-GB"/>
        </w:rPr>
        <w:t>he</w:t>
      </w:r>
      <w:r w:rsidR="00255C7E">
        <w:rPr>
          <w:bCs/>
          <w:sz w:val="28"/>
          <w:lang w:val="en-GB"/>
        </w:rPr>
        <w:t xml:space="preserve"> </w:t>
      </w:r>
      <w:r w:rsidR="00BE469B">
        <w:rPr>
          <w:bCs/>
          <w:sz w:val="28"/>
          <w:lang w:val="en-GB"/>
        </w:rPr>
        <w:t xml:space="preserve">general rule is that costs must follow the event. There is no reason to deviate therefrom. </w:t>
      </w:r>
      <w:r w:rsidR="00BE469B" w:rsidRPr="0062767D">
        <w:rPr>
          <w:sz w:val="28"/>
          <w:lang w:val="en-GB"/>
        </w:rPr>
        <w:t>In the result</w:t>
      </w:r>
      <w:r w:rsidR="00255C7E">
        <w:rPr>
          <w:b/>
          <w:bCs/>
          <w:sz w:val="28"/>
          <w:lang w:val="en-GB"/>
        </w:rPr>
        <w:t xml:space="preserve"> </w:t>
      </w:r>
      <w:r w:rsidR="00255C7E" w:rsidRPr="00255C7E">
        <w:rPr>
          <w:sz w:val="28"/>
          <w:lang w:val="en-GB"/>
        </w:rPr>
        <w:t>t</w:t>
      </w:r>
      <w:r w:rsidR="00255C7E">
        <w:rPr>
          <w:sz w:val="28"/>
          <w:lang w:val="en-GB"/>
        </w:rPr>
        <w:t>he following order shall issue.</w:t>
      </w:r>
    </w:p>
    <w:p w14:paraId="13387A9E" w14:textId="77777777" w:rsidR="00DE79C8" w:rsidRDefault="00BE469B" w:rsidP="004F5765">
      <w:pPr>
        <w:pStyle w:val="ListParagraph"/>
        <w:spacing w:after="400" w:line="360" w:lineRule="auto"/>
        <w:ind w:left="490"/>
        <w:jc w:val="both"/>
        <w:rPr>
          <w:b/>
          <w:bCs/>
          <w:sz w:val="28"/>
          <w:lang w:val="en-GB"/>
        </w:rPr>
      </w:pPr>
      <w:r>
        <w:rPr>
          <w:b/>
          <w:bCs/>
          <w:sz w:val="28"/>
          <w:lang w:val="en-GB"/>
        </w:rPr>
        <w:t xml:space="preserve"> </w:t>
      </w:r>
      <w:r w:rsidR="006525D0">
        <w:rPr>
          <w:b/>
          <w:bCs/>
          <w:sz w:val="28"/>
          <w:lang w:val="en-GB"/>
        </w:rPr>
        <w:t xml:space="preserve">The second respondent shall pay costs of this application.  </w:t>
      </w:r>
    </w:p>
    <w:p w14:paraId="5F3CA13D" w14:textId="77777777" w:rsidR="00DE79C8" w:rsidRDefault="00DE79C8" w:rsidP="004F5765">
      <w:pPr>
        <w:pStyle w:val="ListParagraph"/>
        <w:spacing w:after="400" w:line="360" w:lineRule="auto"/>
        <w:ind w:left="490"/>
        <w:jc w:val="both"/>
        <w:rPr>
          <w:b/>
          <w:bCs/>
          <w:sz w:val="28"/>
          <w:lang w:val="en-GB"/>
        </w:rPr>
      </w:pPr>
    </w:p>
    <w:p w14:paraId="33711847" w14:textId="59063C1A" w:rsidR="00BE469B" w:rsidRPr="0062767D" w:rsidRDefault="00BE469B" w:rsidP="004F5765">
      <w:pPr>
        <w:pStyle w:val="ListParagraph"/>
        <w:spacing w:after="400" w:line="360" w:lineRule="auto"/>
        <w:ind w:left="490"/>
        <w:jc w:val="both"/>
        <w:rPr>
          <w:bCs/>
          <w:sz w:val="28"/>
          <w:lang w:val="en-GB"/>
        </w:rPr>
      </w:pPr>
      <w:r>
        <w:rPr>
          <w:b/>
          <w:bCs/>
          <w:sz w:val="28"/>
          <w:lang w:val="en-GB"/>
        </w:rPr>
        <w:t xml:space="preserve">  </w:t>
      </w:r>
      <w:r w:rsidRPr="0062767D">
        <w:rPr>
          <w:b/>
          <w:bCs/>
          <w:sz w:val="28"/>
          <w:lang w:val="en-GB"/>
        </w:rPr>
        <w:t xml:space="preserve"> </w:t>
      </w:r>
    </w:p>
    <w:p w14:paraId="362A62C7" w14:textId="77777777" w:rsidR="00BE469B" w:rsidRPr="00F24DFE" w:rsidRDefault="00BE469B" w:rsidP="00BE469B">
      <w:pPr>
        <w:spacing w:line="360" w:lineRule="auto"/>
        <w:jc w:val="both"/>
        <w:rPr>
          <w:bCs/>
          <w:sz w:val="28"/>
          <w:szCs w:val="28"/>
          <w:lang w:val="en-GB"/>
        </w:rPr>
      </w:pPr>
      <w:r w:rsidRPr="00F24DFE">
        <w:rPr>
          <w:bCs/>
          <w:sz w:val="28"/>
          <w:szCs w:val="28"/>
          <w:lang w:val="en-GB"/>
        </w:rPr>
        <w:t>_____________</w:t>
      </w:r>
    </w:p>
    <w:p w14:paraId="131C4FF3" w14:textId="77777777" w:rsidR="00BE469B" w:rsidRPr="00F24DFE" w:rsidRDefault="00BE469B" w:rsidP="00BE469B">
      <w:pPr>
        <w:spacing w:line="360" w:lineRule="auto"/>
        <w:jc w:val="both"/>
        <w:rPr>
          <w:b/>
          <w:sz w:val="28"/>
          <w:szCs w:val="28"/>
          <w:lang w:val="en-GB"/>
        </w:rPr>
      </w:pPr>
      <w:r w:rsidRPr="00F24DFE">
        <w:rPr>
          <w:b/>
          <w:sz w:val="28"/>
          <w:szCs w:val="28"/>
          <w:lang w:val="en-GB"/>
        </w:rPr>
        <w:lastRenderedPageBreak/>
        <w:t xml:space="preserve">GNZ MJALI </w:t>
      </w:r>
    </w:p>
    <w:p w14:paraId="4033E715" w14:textId="77777777" w:rsidR="00BE469B" w:rsidRPr="00F24DFE" w:rsidRDefault="00BE469B" w:rsidP="00BE469B">
      <w:pPr>
        <w:spacing w:line="360" w:lineRule="auto"/>
        <w:jc w:val="both"/>
        <w:rPr>
          <w:b/>
          <w:sz w:val="28"/>
          <w:szCs w:val="28"/>
          <w:lang w:val="en-GB"/>
        </w:rPr>
      </w:pPr>
      <w:r w:rsidRPr="00F24DFE">
        <w:rPr>
          <w:b/>
          <w:sz w:val="28"/>
          <w:szCs w:val="28"/>
          <w:lang w:val="en-GB"/>
        </w:rPr>
        <w:t>JUDGE OF THE HIGH COURT</w:t>
      </w:r>
    </w:p>
    <w:p w14:paraId="2234E740" w14:textId="7427FA09" w:rsidR="00BE469B" w:rsidRDefault="00BE469B" w:rsidP="00BE469B">
      <w:pPr>
        <w:spacing w:line="360" w:lineRule="auto"/>
        <w:jc w:val="both"/>
        <w:rPr>
          <w:b/>
          <w:sz w:val="28"/>
          <w:szCs w:val="28"/>
          <w:lang w:val="en-GB"/>
        </w:rPr>
      </w:pPr>
    </w:p>
    <w:p w14:paraId="3CB013F2" w14:textId="623D395E" w:rsidR="00DE79C8" w:rsidRDefault="00DE79C8" w:rsidP="00BE469B">
      <w:pPr>
        <w:spacing w:line="360" w:lineRule="auto"/>
        <w:jc w:val="both"/>
        <w:rPr>
          <w:b/>
          <w:sz w:val="28"/>
          <w:szCs w:val="28"/>
          <w:lang w:val="en-GB"/>
        </w:rPr>
      </w:pPr>
    </w:p>
    <w:p w14:paraId="61CEC295" w14:textId="74A5BC83" w:rsidR="00DE79C8" w:rsidRDefault="00DE79C8" w:rsidP="00BE469B">
      <w:pPr>
        <w:spacing w:line="360" w:lineRule="auto"/>
        <w:jc w:val="both"/>
        <w:rPr>
          <w:b/>
          <w:sz w:val="28"/>
          <w:szCs w:val="28"/>
          <w:lang w:val="en-GB"/>
        </w:rPr>
      </w:pPr>
    </w:p>
    <w:p w14:paraId="153DDA50" w14:textId="28A6E572" w:rsidR="00DE79C8" w:rsidRDefault="00DE79C8" w:rsidP="00BE469B">
      <w:pPr>
        <w:spacing w:line="360" w:lineRule="auto"/>
        <w:jc w:val="both"/>
        <w:rPr>
          <w:b/>
          <w:sz w:val="28"/>
          <w:szCs w:val="28"/>
          <w:lang w:val="en-GB"/>
        </w:rPr>
      </w:pPr>
    </w:p>
    <w:p w14:paraId="25BD013C" w14:textId="75B3FFAB" w:rsidR="00DE79C8" w:rsidRDefault="00DE79C8" w:rsidP="00BE469B">
      <w:pPr>
        <w:spacing w:line="360" w:lineRule="auto"/>
        <w:jc w:val="both"/>
        <w:rPr>
          <w:b/>
          <w:sz w:val="28"/>
          <w:szCs w:val="28"/>
          <w:lang w:val="en-GB"/>
        </w:rPr>
      </w:pPr>
    </w:p>
    <w:p w14:paraId="156427E7" w14:textId="59FC0C00" w:rsidR="00DE79C8" w:rsidRDefault="00DE79C8" w:rsidP="00BE469B">
      <w:pPr>
        <w:spacing w:line="360" w:lineRule="auto"/>
        <w:jc w:val="both"/>
        <w:rPr>
          <w:b/>
          <w:sz w:val="28"/>
          <w:szCs w:val="28"/>
          <w:lang w:val="en-GB"/>
        </w:rPr>
      </w:pPr>
    </w:p>
    <w:p w14:paraId="35653D1C" w14:textId="7AA71AF0" w:rsidR="00DE79C8" w:rsidRDefault="00DE79C8" w:rsidP="00BE469B">
      <w:pPr>
        <w:spacing w:line="360" w:lineRule="auto"/>
        <w:jc w:val="both"/>
        <w:rPr>
          <w:b/>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38"/>
      </w:tblGrid>
      <w:tr w:rsidR="00BE469B" w:rsidRPr="00F24DFE" w14:paraId="2B7A173A" w14:textId="77777777" w:rsidTr="006E1CF5">
        <w:trPr>
          <w:trHeight w:val="373"/>
        </w:trPr>
        <w:tc>
          <w:tcPr>
            <w:tcW w:w="3600" w:type="dxa"/>
          </w:tcPr>
          <w:p w14:paraId="629834D3" w14:textId="77777777" w:rsidR="00BE469B" w:rsidRPr="00F24DFE" w:rsidRDefault="00BE469B" w:rsidP="006E1CF5">
            <w:pPr>
              <w:spacing w:before="100" w:after="100" w:line="360" w:lineRule="auto"/>
              <w:ind w:left="455"/>
              <w:jc w:val="both"/>
              <w:rPr>
                <w:sz w:val="20"/>
              </w:rPr>
            </w:pPr>
            <w:r w:rsidRPr="00F24DFE">
              <w:rPr>
                <w:sz w:val="20"/>
              </w:rPr>
              <w:t>On behalf of the Applicant</w:t>
            </w:r>
          </w:p>
        </w:tc>
        <w:tc>
          <w:tcPr>
            <w:tcW w:w="3738" w:type="dxa"/>
          </w:tcPr>
          <w:p w14:paraId="042F73CC" w14:textId="5382A53D" w:rsidR="00BE469B" w:rsidRPr="00F24DFE" w:rsidRDefault="004F5765" w:rsidP="006E1CF5">
            <w:pPr>
              <w:spacing w:before="100" w:after="100" w:line="360" w:lineRule="auto"/>
              <w:jc w:val="both"/>
              <w:rPr>
                <w:sz w:val="20"/>
              </w:rPr>
            </w:pPr>
            <w:r>
              <w:rPr>
                <w:sz w:val="20"/>
              </w:rPr>
              <w:t xml:space="preserve">Adv. </w:t>
            </w:r>
            <w:proofErr w:type="spellStart"/>
            <w:r>
              <w:rPr>
                <w:sz w:val="20"/>
              </w:rPr>
              <w:t>Genukile</w:t>
            </w:r>
            <w:proofErr w:type="spellEnd"/>
          </w:p>
        </w:tc>
      </w:tr>
      <w:tr w:rsidR="00BE469B" w:rsidRPr="00F24DFE" w14:paraId="5500658E" w14:textId="77777777" w:rsidTr="006E1CF5">
        <w:trPr>
          <w:trHeight w:val="257"/>
        </w:trPr>
        <w:tc>
          <w:tcPr>
            <w:tcW w:w="3600" w:type="dxa"/>
          </w:tcPr>
          <w:p w14:paraId="05D9D5CE" w14:textId="77777777" w:rsidR="00BE469B" w:rsidRPr="00F24DFE" w:rsidRDefault="00BE469B" w:rsidP="006E1CF5">
            <w:pPr>
              <w:spacing w:before="100" w:after="100" w:line="360" w:lineRule="auto"/>
              <w:ind w:left="455"/>
              <w:jc w:val="both"/>
              <w:rPr>
                <w:sz w:val="20"/>
              </w:rPr>
            </w:pPr>
            <w:r w:rsidRPr="00F24DFE">
              <w:rPr>
                <w:sz w:val="20"/>
              </w:rPr>
              <w:t>Instructed by</w:t>
            </w:r>
          </w:p>
        </w:tc>
        <w:tc>
          <w:tcPr>
            <w:tcW w:w="3738" w:type="dxa"/>
          </w:tcPr>
          <w:p w14:paraId="7CC578E1" w14:textId="277D56C8" w:rsidR="00BE469B" w:rsidRDefault="004F5765" w:rsidP="006E1CF5">
            <w:pPr>
              <w:spacing w:before="100" w:after="100" w:line="360" w:lineRule="auto"/>
              <w:jc w:val="both"/>
              <w:rPr>
                <w:sz w:val="20"/>
              </w:rPr>
            </w:pPr>
            <w:r>
              <w:rPr>
                <w:sz w:val="20"/>
              </w:rPr>
              <w:t xml:space="preserve">AW </w:t>
            </w:r>
            <w:proofErr w:type="spellStart"/>
            <w:r>
              <w:rPr>
                <w:sz w:val="20"/>
              </w:rPr>
              <w:t>Chop</w:t>
            </w:r>
            <w:r w:rsidR="002045CD">
              <w:rPr>
                <w:sz w:val="20"/>
              </w:rPr>
              <w:t>h</w:t>
            </w:r>
            <w:r>
              <w:rPr>
                <w:sz w:val="20"/>
              </w:rPr>
              <w:t>a</w:t>
            </w:r>
            <w:proofErr w:type="spellEnd"/>
            <w:r>
              <w:rPr>
                <w:sz w:val="20"/>
              </w:rPr>
              <w:t xml:space="preserve"> Attorneys</w:t>
            </w:r>
          </w:p>
          <w:p w14:paraId="078EDDAA" w14:textId="0DC9A017" w:rsidR="004F5765" w:rsidRDefault="00000000" w:rsidP="006E1CF5">
            <w:pPr>
              <w:spacing w:before="100" w:after="100" w:line="360" w:lineRule="auto"/>
              <w:jc w:val="both"/>
              <w:rPr>
                <w:sz w:val="20"/>
              </w:rPr>
            </w:pPr>
            <w:hyperlink r:id="rId9" w:history="1">
              <w:r w:rsidR="004F5765" w:rsidRPr="00EA6116">
                <w:rPr>
                  <w:rStyle w:val="Hyperlink"/>
                  <w:sz w:val="20"/>
                </w:rPr>
                <w:t>reception@achophainc.co.za</w:t>
              </w:r>
            </w:hyperlink>
          </w:p>
          <w:p w14:paraId="455B2753" w14:textId="1E8FED8B" w:rsidR="004F5765" w:rsidRPr="00F24DFE" w:rsidRDefault="004F5765" w:rsidP="006E1CF5">
            <w:pPr>
              <w:spacing w:before="100" w:after="100" w:line="360" w:lineRule="auto"/>
              <w:jc w:val="both"/>
              <w:rPr>
                <w:sz w:val="20"/>
              </w:rPr>
            </w:pPr>
          </w:p>
        </w:tc>
      </w:tr>
      <w:tr w:rsidR="00BE469B" w:rsidRPr="00F24DFE" w14:paraId="4E18B634" w14:textId="77777777" w:rsidTr="006E1CF5">
        <w:tc>
          <w:tcPr>
            <w:tcW w:w="3600" w:type="dxa"/>
          </w:tcPr>
          <w:p w14:paraId="0B44E097" w14:textId="77777777" w:rsidR="00BE469B" w:rsidRPr="00F24DFE" w:rsidRDefault="00BE469B" w:rsidP="006E1CF5">
            <w:pPr>
              <w:spacing w:before="100" w:after="100" w:line="360" w:lineRule="auto"/>
              <w:ind w:left="455"/>
              <w:jc w:val="both"/>
              <w:rPr>
                <w:sz w:val="20"/>
              </w:rPr>
            </w:pPr>
            <w:r w:rsidRPr="00F24DFE">
              <w:rPr>
                <w:sz w:val="20"/>
              </w:rPr>
              <w:t>On behalf of the Respondent</w:t>
            </w:r>
          </w:p>
        </w:tc>
        <w:tc>
          <w:tcPr>
            <w:tcW w:w="3738" w:type="dxa"/>
          </w:tcPr>
          <w:p w14:paraId="6C68B8D3" w14:textId="07D4CB58" w:rsidR="00BE469B" w:rsidRDefault="00BE469B" w:rsidP="006E1CF5">
            <w:pPr>
              <w:spacing w:before="100" w:after="100" w:line="360" w:lineRule="auto"/>
              <w:jc w:val="both"/>
              <w:rPr>
                <w:sz w:val="20"/>
              </w:rPr>
            </w:pPr>
            <w:r w:rsidRPr="00F24DFE">
              <w:rPr>
                <w:sz w:val="20"/>
              </w:rPr>
              <w:t>Adv.</w:t>
            </w:r>
            <w:r>
              <w:rPr>
                <w:sz w:val="20"/>
              </w:rPr>
              <w:t xml:space="preserve"> </w:t>
            </w:r>
            <w:r w:rsidR="004F5765">
              <w:rPr>
                <w:sz w:val="20"/>
              </w:rPr>
              <w:t xml:space="preserve">R.A Solomon SC with Adv, L. </w:t>
            </w:r>
            <w:proofErr w:type="spellStart"/>
            <w:r w:rsidR="004F5765">
              <w:rPr>
                <w:sz w:val="20"/>
              </w:rPr>
              <w:t>Mnqandi</w:t>
            </w:r>
            <w:proofErr w:type="spellEnd"/>
          </w:p>
          <w:p w14:paraId="1E166B84" w14:textId="732F2C8A" w:rsidR="004F5765" w:rsidRDefault="00000000" w:rsidP="006E1CF5">
            <w:pPr>
              <w:spacing w:before="100" w:after="100" w:line="360" w:lineRule="auto"/>
              <w:jc w:val="both"/>
            </w:pPr>
            <w:hyperlink r:id="rId10" w:history="1">
              <w:r w:rsidR="004F5765" w:rsidRPr="00EA6116">
                <w:rPr>
                  <w:rStyle w:val="Hyperlink"/>
                </w:rPr>
                <w:t>richardsol@maisels.co.za</w:t>
              </w:r>
            </w:hyperlink>
          </w:p>
          <w:p w14:paraId="5D00293E" w14:textId="77777777" w:rsidR="004F5765" w:rsidRDefault="00000000" w:rsidP="006E1CF5">
            <w:pPr>
              <w:spacing w:before="100" w:after="100" w:line="360" w:lineRule="auto"/>
              <w:jc w:val="both"/>
            </w:pPr>
            <w:hyperlink r:id="rId11" w:history="1">
              <w:r w:rsidR="004F5765" w:rsidRPr="00EA6116">
                <w:rPr>
                  <w:rStyle w:val="Hyperlink"/>
                </w:rPr>
                <w:t>rasolomon@maisels.co.za</w:t>
              </w:r>
            </w:hyperlink>
            <w:r w:rsidR="004F5765">
              <w:t xml:space="preserve"> </w:t>
            </w:r>
          </w:p>
          <w:p w14:paraId="08876ACB" w14:textId="6ECEA37A" w:rsidR="00BE469B" w:rsidRPr="00F24DFE" w:rsidRDefault="00000000" w:rsidP="006E1CF5">
            <w:pPr>
              <w:spacing w:before="100" w:after="100" w:line="360" w:lineRule="auto"/>
              <w:jc w:val="both"/>
              <w:rPr>
                <w:sz w:val="20"/>
              </w:rPr>
            </w:pPr>
            <w:hyperlink r:id="rId12" w:history="1">
              <w:r w:rsidR="004F5765" w:rsidRPr="00EA6116">
                <w:rPr>
                  <w:rStyle w:val="Hyperlink"/>
                </w:rPr>
                <w:t>loyisomnqandi@advocatesa.co.za</w:t>
              </w:r>
            </w:hyperlink>
            <w:r w:rsidR="004F5765">
              <w:t xml:space="preserve"> </w:t>
            </w:r>
            <w:hyperlink r:id="rId13" w:history="1"/>
          </w:p>
        </w:tc>
      </w:tr>
      <w:tr w:rsidR="00BE469B" w:rsidRPr="00F24DFE" w14:paraId="26D96C8E" w14:textId="77777777" w:rsidTr="006E1CF5">
        <w:trPr>
          <w:trHeight w:val="343"/>
        </w:trPr>
        <w:tc>
          <w:tcPr>
            <w:tcW w:w="3600" w:type="dxa"/>
          </w:tcPr>
          <w:p w14:paraId="2512B52B" w14:textId="77777777" w:rsidR="00BE469B" w:rsidRPr="00F24DFE" w:rsidRDefault="00BE469B" w:rsidP="006E1CF5">
            <w:pPr>
              <w:spacing w:before="100" w:after="100" w:line="360" w:lineRule="auto"/>
              <w:ind w:left="455"/>
              <w:jc w:val="both"/>
              <w:rPr>
                <w:sz w:val="20"/>
              </w:rPr>
            </w:pPr>
            <w:r w:rsidRPr="00F24DFE">
              <w:rPr>
                <w:sz w:val="20"/>
              </w:rPr>
              <w:t>Instructed by</w:t>
            </w:r>
          </w:p>
        </w:tc>
        <w:tc>
          <w:tcPr>
            <w:tcW w:w="3738" w:type="dxa"/>
          </w:tcPr>
          <w:p w14:paraId="01071FDD" w14:textId="77777777" w:rsidR="00BE469B" w:rsidRDefault="004F5765" w:rsidP="006E1CF5">
            <w:pPr>
              <w:spacing w:before="100" w:after="100" w:line="360" w:lineRule="auto"/>
              <w:jc w:val="both"/>
            </w:pPr>
            <w:proofErr w:type="spellStart"/>
            <w:r>
              <w:rPr>
                <w:sz w:val="20"/>
              </w:rPr>
              <w:t>M</w:t>
            </w:r>
            <w:r>
              <w:t>adlanga</w:t>
            </w:r>
            <w:proofErr w:type="spellEnd"/>
            <w:r>
              <w:t xml:space="preserve"> &amp;Partners Inc. Attorneys</w:t>
            </w:r>
          </w:p>
          <w:p w14:paraId="440FA27D" w14:textId="7BC2ECB0" w:rsidR="004F5765" w:rsidRPr="00F24DFE" w:rsidRDefault="00000000" w:rsidP="006E1CF5">
            <w:pPr>
              <w:spacing w:before="100" w:after="100" w:line="360" w:lineRule="auto"/>
              <w:jc w:val="both"/>
              <w:rPr>
                <w:sz w:val="20"/>
              </w:rPr>
            </w:pPr>
            <w:hyperlink r:id="rId14" w:history="1">
              <w:r w:rsidR="002045CD" w:rsidRPr="00EA6116">
                <w:rPr>
                  <w:rStyle w:val="Hyperlink"/>
                </w:rPr>
                <w:t>admin@mpiattorneys.co.za</w:t>
              </w:r>
            </w:hyperlink>
            <w:r w:rsidR="002045CD">
              <w:t xml:space="preserve"> </w:t>
            </w:r>
          </w:p>
        </w:tc>
      </w:tr>
    </w:tbl>
    <w:p w14:paraId="7E264093" w14:textId="77777777" w:rsidR="00BE469B" w:rsidRPr="00F24DFE" w:rsidRDefault="00BE469B" w:rsidP="00BE469B">
      <w:pPr>
        <w:spacing w:line="360" w:lineRule="auto"/>
        <w:jc w:val="both"/>
      </w:pPr>
    </w:p>
    <w:p w14:paraId="1C884210" w14:textId="77777777" w:rsidR="00BE469B" w:rsidRDefault="00BE469B" w:rsidP="00BE469B"/>
    <w:p w14:paraId="7593CF58" w14:textId="77777777" w:rsidR="009E6128" w:rsidRDefault="009E6128"/>
    <w:sectPr w:rsidR="009E6128" w:rsidSect="00DE79C8">
      <w:footerReference w:type="defaul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28219" w14:textId="77777777" w:rsidR="009A283F" w:rsidRDefault="009A283F" w:rsidP="00BE469B">
      <w:r>
        <w:separator/>
      </w:r>
    </w:p>
  </w:endnote>
  <w:endnote w:type="continuationSeparator" w:id="0">
    <w:p w14:paraId="319E50F2" w14:textId="77777777" w:rsidR="009A283F" w:rsidRDefault="009A283F" w:rsidP="00BE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68C07" w14:textId="0E542905" w:rsidR="003C58FF" w:rsidRDefault="00DF43B9">
    <w:pPr>
      <w:pStyle w:val="Footer"/>
      <w:jc w:val="right"/>
    </w:pPr>
    <w:r>
      <w:fldChar w:fldCharType="begin"/>
    </w:r>
    <w:r>
      <w:instrText xml:space="preserve"> PAGE   \* MERGEFORMAT </w:instrText>
    </w:r>
    <w:r>
      <w:fldChar w:fldCharType="separate"/>
    </w:r>
    <w:r w:rsidR="00EB3D09">
      <w:rPr>
        <w:noProof/>
      </w:rPr>
      <w:t>6</w:t>
    </w:r>
    <w:r>
      <w:rPr>
        <w:noProof/>
      </w:rPr>
      <w:fldChar w:fldCharType="end"/>
    </w:r>
  </w:p>
  <w:p w14:paraId="4396CAC6" w14:textId="77777777" w:rsidR="003C58FF" w:rsidRDefault="003C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B1409" w14:textId="77777777" w:rsidR="009A283F" w:rsidRDefault="009A283F" w:rsidP="00BE469B">
      <w:r>
        <w:separator/>
      </w:r>
    </w:p>
  </w:footnote>
  <w:footnote w:type="continuationSeparator" w:id="0">
    <w:p w14:paraId="62038878" w14:textId="77777777" w:rsidR="009A283F" w:rsidRDefault="009A283F" w:rsidP="00BE469B">
      <w:r>
        <w:continuationSeparator/>
      </w:r>
    </w:p>
  </w:footnote>
  <w:footnote w:id="1">
    <w:p w14:paraId="7B8A73A9" w14:textId="77777777" w:rsidR="00BE469B" w:rsidRPr="00BF799B" w:rsidRDefault="00BE469B" w:rsidP="00BE469B">
      <w:pPr>
        <w:pStyle w:val="FootnoteText"/>
        <w:jc w:val="both"/>
      </w:pPr>
      <w:r>
        <w:rPr>
          <w:rStyle w:val="FootnoteReference"/>
        </w:rPr>
        <w:footnoteRef/>
      </w:r>
      <w:r>
        <w:t xml:space="preserve"> </w:t>
      </w:r>
      <w:r w:rsidRPr="00BF799B">
        <w:rPr>
          <w:i/>
          <w:iCs/>
        </w:rPr>
        <w:t>National Coalition for Gay and Lesbian Equality v Minister of Home Affairs </w:t>
      </w:r>
      <w:hyperlink r:id="rId1" w:tooltip="View LawCiteRecord" w:history="1">
        <w:r w:rsidRPr="00BF799B">
          <w:rPr>
            <w:rStyle w:val="Hyperlink"/>
            <w:bCs/>
            <w:color w:val="000000" w:themeColor="text1"/>
          </w:rPr>
          <w:t>2000 (2) SA 1</w:t>
        </w:r>
      </w:hyperlink>
      <w:r w:rsidRPr="00BF799B">
        <w:rPr>
          <w:color w:val="000000" w:themeColor="text1"/>
        </w:rPr>
        <w:t> </w:t>
      </w:r>
      <w:r w:rsidRPr="00BF799B">
        <w:t>(CC);  </w:t>
      </w:r>
      <w:hyperlink r:id="rId2" w:tooltip="View LawCiteRecord" w:history="1">
        <w:r w:rsidRPr="00BF799B">
          <w:rPr>
            <w:rStyle w:val="Hyperlink"/>
            <w:bCs/>
            <w:color w:val="000000" w:themeColor="text1"/>
          </w:rPr>
          <w:t>2000 (1) BCLR 39</w:t>
        </w:r>
      </w:hyperlink>
      <w:r>
        <w:t> (CC)</w:t>
      </w:r>
      <w:r w:rsidRPr="00BF799B">
        <w:t xml:space="preserve"> para 21;  </w:t>
      </w:r>
      <w:r w:rsidRPr="00BF799B">
        <w:rPr>
          <w:i/>
          <w:iCs/>
        </w:rPr>
        <w:t>JT Publishing (Pty) Ltd and Another v Minister of Safety and Security</w:t>
      </w:r>
      <w:r w:rsidRPr="00BF799B">
        <w:t> </w:t>
      </w:r>
      <w:hyperlink r:id="rId3" w:tooltip="View LawCiteRecord" w:history="1">
        <w:r w:rsidRPr="00BF799B">
          <w:rPr>
            <w:rStyle w:val="Hyperlink"/>
            <w:bCs/>
            <w:color w:val="000000" w:themeColor="text1"/>
          </w:rPr>
          <w:t>1997 (3) SA 514</w:t>
        </w:r>
      </w:hyperlink>
      <w:r w:rsidRPr="00BF799B">
        <w:rPr>
          <w:color w:val="000000" w:themeColor="text1"/>
        </w:rPr>
        <w:t> (</w:t>
      </w:r>
      <w:r w:rsidRPr="00BF799B">
        <w:t>CC</w:t>
      </w:r>
      <w:r w:rsidRPr="00BF799B">
        <w:rPr>
          <w:color w:val="000000" w:themeColor="text1"/>
        </w:rPr>
        <w:t>); </w:t>
      </w:r>
      <w:hyperlink r:id="rId4" w:tooltip="View LawCiteRecord" w:history="1">
        <w:r w:rsidRPr="00BF799B">
          <w:t>1996 (12) BCLR 1599</w:t>
        </w:r>
      </w:hyperlink>
      <w:r w:rsidRPr="00BF799B">
        <w:rPr>
          <w:color w:val="0E2841" w:themeColor="text2"/>
        </w:rPr>
        <w:t> </w:t>
      </w:r>
      <w:r>
        <w:t>(CC)</w:t>
      </w:r>
      <w:r w:rsidRPr="00BF799B">
        <w:t xml:space="preserve"> para 15.</w:t>
      </w:r>
    </w:p>
    <w:p w14:paraId="098417C1" w14:textId="77777777" w:rsidR="00BE469B" w:rsidRDefault="00BE469B" w:rsidP="00BE469B">
      <w:pPr>
        <w:pStyle w:val="FootnoteText"/>
      </w:pPr>
    </w:p>
  </w:footnote>
  <w:footnote w:id="2">
    <w:p w14:paraId="2B8FF63F" w14:textId="77777777" w:rsidR="00BE469B" w:rsidRDefault="00BE469B" w:rsidP="00BE469B">
      <w:pPr>
        <w:pStyle w:val="FootnoteText"/>
      </w:pPr>
      <w:r>
        <w:rPr>
          <w:rStyle w:val="FootnoteReference"/>
        </w:rPr>
        <w:footnoteRef/>
      </w:r>
      <w:r>
        <w:t xml:space="preserve"> </w:t>
      </w:r>
      <w:r w:rsidRPr="00C922A5">
        <w:t>President of the Republic of South Africa v Democratic Alliance and Others [2019] ZACC 35; 2019 (11) BCLR 1403 (CC); 2020 (1) SA 428 (CC) para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802746"/>
    <w:multiLevelType w:val="multilevel"/>
    <w:tmpl w:val="B010F4A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62883548"/>
    <w:multiLevelType w:val="multilevel"/>
    <w:tmpl w:val="AE487FB0"/>
    <w:lvl w:ilvl="0">
      <w:start w:val="11"/>
      <w:numFmt w:val="decimal"/>
      <w:lvlText w:val="%1"/>
      <w:lvlJc w:val="left"/>
      <w:pPr>
        <w:ind w:left="490" w:hanging="490"/>
      </w:pPr>
      <w:rPr>
        <w:rFonts w:hint="default"/>
        <w:b/>
      </w:rPr>
    </w:lvl>
    <w:lvl w:ilvl="1">
      <w:start w:val="1"/>
      <w:numFmt w:val="decimal"/>
      <w:lvlText w:val="%1.%2"/>
      <w:lvlJc w:val="left"/>
      <w:pPr>
        <w:ind w:left="490" w:hanging="4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76B96074"/>
    <w:multiLevelType w:val="multilevel"/>
    <w:tmpl w:val="075EE380"/>
    <w:lvl w:ilvl="0">
      <w:start w:val="1"/>
      <w:numFmt w:val="decimal"/>
      <w:lvlText w:val="[%1]"/>
      <w:lvlJc w:val="left"/>
      <w:pPr>
        <w:ind w:left="720" w:hanging="720"/>
      </w:pPr>
      <w:rPr>
        <w:rFonts w:ascii="Arial" w:hAnsi="Arial" w:cs="Times New Roman" w:hint="default"/>
        <w:b w:val="0"/>
        <w:i w:val="0"/>
        <w:color w:val="auto"/>
        <w:spacing w:val="0"/>
        <w:position w:val="0"/>
        <w:sz w:val="28"/>
        <w:szCs w:val="28"/>
      </w:rPr>
    </w:lvl>
    <w:lvl w:ilvl="1">
      <w:start w:val="1"/>
      <w:numFmt w:val="none"/>
      <w:lvlText w:val="1.1"/>
      <w:lvlJc w:val="left"/>
      <w:pPr>
        <w:ind w:left="1440" w:hanging="720"/>
      </w:pPr>
    </w:lvl>
    <w:lvl w:ilvl="2">
      <w:start w:val="1"/>
      <w:numFmt w:val="none"/>
      <w:lvlText w:val="1.1.1"/>
      <w:lvlJc w:val="left"/>
      <w:pPr>
        <w:ind w:left="2160" w:hanging="720"/>
      </w:pPr>
    </w:lvl>
    <w:lvl w:ilvl="3">
      <w:start w:val="1"/>
      <w:numFmt w:val="none"/>
      <w:lvlText w:val="a)"/>
      <w:lvlJc w:val="left"/>
      <w:pPr>
        <w:ind w:left="2880" w:hanging="720"/>
      </w:pPr>
    </w:lvl>
    <w:lvl w:ilvl="4">
      <w:start w:val="1"/>
      <w:numFmt w:val="none"/>
      <w:lvlText w:val="b)"/>
      <w:lvlJc w:val="left"/>
      <w:pPr>
        <w:ind w:left="3600" w:hanging="720"/>
      </w:pPr>
    </w:lvl>
    <w:lvl w:ilvl="5">
      <w:start w:val="1"/>
      <w:numFmt w:val="none"/>
      <w:lvlText w:val="c)"/>
      <w:lvlJc w:val="left"/>
      <w:pPr>
        <w:ind w:left="4320" w:hanging="720"/>
      </w:pPr>
    </w:lvl>
    <w:lvl w:ilvl="6">
      <w:start w:val="1"/>
      <w:numFmt w:val="none"/>
      <w:lvlText w:val="d)"/>
      <w:lvlJc w:val="left"/>
      <w:pPr>
        <w:ind w:left="5040" w:hanging="720"/>
      </w:pPr>
    </w:lvl>
    <w:lvl w:ilvl="7">
      <w:start w:val="1"/>
      <w:numFmt w:val="none"/>
      <w:lvlText w:val="e)"/>
      <w:lvlJc w:val="left"/>
      <w:pPr>
        <w:ind w:left="5760" w:hanging="720"/>
      </w:pPr>
    </w:lvl>
    <w:lvl w:ilvl="8">
      <w:start w:val="1"/>
      <w:numFmt w:val="none"/>
      <w:lvlText w:val="f)"/>
      <w:lvlJc w:val="left"/>
      <w:pPr>
        <w:ind w:left="6480" w:hanging="720"/>
      </w:pPr>
    </w:lvl>
  </w:abstractNum>
  <w:num w:numId="1" w16cid:durableId="1173883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295132">
    <w:abstractNumId w:val="1"/>
  </w:num>
  <w:num w:numId="3" w16cid:durableId="79895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9B"/>
    <w:rsid w:val="001D025A"/>
    <w:rsid w:val="002045CD"/>
    <w:rsid w:val="00213339"/>
    <w:rsid w:val="00255C7E"/>
    <w:rsid w:val="003A7F30"/>
    <w:rsid w:val="003C58FF"/>
    <w:rsid w:val="004F5765"/>
    <w:rsid w:val="005374BC"/>
    <w:rsid w:val="006272B1"/>
    <w:rsid w:val="006525D0"/>
    <w:rsid w:val="00741EAA"/>
    <w:rsid w:val="0082261C"/>
    <w:rsid w:val="0086395B"/>
    <w:rsid w:val="009A283F"/>
    <w:rsid w:val="009E6128"/>
    <w:rsid w:val="00BE469B"/>
    <w:rsid w:val="00C373F4"/>
    <w:rsid w:val="00CA5826"/>
    <w:rsid w:val="00DE2848"/>
    <w:rsid w:val="00DE79C8"/>
    <w:rsid w:val="00DF43B9"/>
    <w:rsid w:val="00E0464B"/>
    <w:rsid w:val="00E35586"/>
    <w:rsid w:val="00EB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9ADC"/>
  <w15:chartTrackingRefBased/>
  <w15:docId w15:val="{6D45173D-6BCD-4F14-8296-60F920A2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69B"/>
    <w:pPr>
      <w:widowControl w:val="0"/>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BE46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46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E46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46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46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46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46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46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46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6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46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E46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46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46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46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46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46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469B"/>
    <w:rPr>
      <w:rFonts w:eastAsiaTheme="majorEastAsia" w:cstheme="majorBidi"/>
      <w:color w:val="272727" w:themeColor="text1" w:themeTint="D8"/>
    </w:rPr>
  </w:style>
  <w:style w:type="paragraph" w:styleId="Title">
    <w:name w:val="Title"/>
    <w:basedOn w:val="Normal"/>
    <w:next w:val="Normal"/>
    <w:link w:val="TitleChar"/>
    <w:uiPriority w:val="10"/>
    <w:qFormat/>
    <w:rsid w:val="00BE46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46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46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469B"/>
    <w:pPr>
      <w:spacing w:before="160"/>
      <w:jc w:val="center"/>
    </w:pPr>
    <w:rPr>
      <w:i/>
      <w:iCs/>
      <w:color w:val="404040" w:themeColor="text1" w:themeTint="BF"/>
    </w:rPr>
  </w:style>
  <w:style w:type="character" w:customStyle="1" w:styleId="QuoteChar">
    <w:name w:val="Quote Char"/>
    <w:basedOn w:val="DefaultParagraphFont"/>
    <w:link w:val="Quote"/>
    <w:uiPriority w:val="29"/>
    <w:rsid w:val="00BE469B"/>
    <w:rPr>
      <w:i/>
      <w:iCs/>
      <w:color w:val="404040" w:themeColor="text1" w:themeTint="BF"/>
    </w:rPr>
  </w:style>
  <w:style w:type="paragraph" w:styleId="ListParagraph">
    <w:name w:val="List Paragraph"/>
    <w:basedOn w:val="Normal"/>
    <w:uiPriority w:val="34"/>
    <w:qFormat/>
    <w:rsid w:val="00BE469B"/>
    <w:pPr>
      <w:ind w:left="720"/>
      <w:contextualSpacing/>
    </w:pPr>
  </w:style>
  <w:style w:type="character" w:styleId="IntenseEmphasis">
    <w:name w:val="Intense Emphasis"/>
    <w:basedOn w:val="DefaultParagraphFont"/>
    <w:uiPriority w:val="21"/>
    <w:qFormat/>
    <w:rsid w:val="00BE469B"/>
    <w:rPr>
      <w:i/>
      <w:iCs/>
      <w:color w:val="0F4761" w:themeColor="accent1" w:themeShade="BF"/>
    </w:rPr>
  </w:style>
  <w:style w:type="paragraph" w:styleId="IntenseQuote">
    <w:name w:val="Intense Quote"/>
    <w:basedOn w:val="Normal"/>
    <w:next w:val="Normal"/>
    <w:link w:val="IntenseQuoteChar"/>
    <w:uiPriority w:val="30"/>
    <w:qFormat/>
    <w:rsid w:val="00BE46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469B"/>
    <w:rPr>
      <w:i/>
      <w:iCs/>
      <w:color w:val="0F4761" w:themeColor="accent1" w:themeShade="BF"/>
    </w:rPr>
  </w:style>
  <w:style w:type="character" w:styleId="IntenseReference">
    <w:name w:val="Intense Reference"/>
    <w:basedOn w:val="DefaultParagraphFont"/>
    <w:uiPriority w:val="32"/>
    <w:qFormat/>
    <w:rsid w:val="00BE469B"/>
    <w:rPr>
      <w:b/>
      <w:bCs/>
      <w:smallCaps/>
      <w:color w:val="0F4761" w:themeColor="accent1" w:themeShade="BF"/>
      <w:spacing w:val="5"/>
    </w:rPr>
  </w:style>
  <w:style w:type="paragraph" w:styleId="Footer">
    <w:name w:val="footer"/>
    <w:basedOn w:val="Normal"/>
    <w:link w:val="FooterChar"/>
    <w:uiPriority w:val="99"/>
    <w:unhideWhenUsed/>
    <w:rsid w:val="00BE469B"/>
    <w:pPr>
      <w:tabs>
        <w:tab w:val="center" w:pos="4513"/>
        <w:tab w:val="right" w:pos="9026"/>
      </w:tabs>
    </w:pPr>
  </w:style>
  <w:style w:type="character" w:customStyle="1" w:styleId="FooterChar">
    <w:name w:val="Footer Char"/>
    <w:basedOn w:val="DefaultParagraphFont"/>
    <w:link w:val="Footer"/>
    <w:uiPriority w:val="99"/>
    <w:rsid w:val="00BE469B"/>
    <w:rPr>
      <w:rFonts w:ascii="Times New Roman" w:eastAsia="Times New Roman" w:hAnsi="Times New Roman" w:cs="Times New Roman"/>
      <w:kern w:val="0"/>
      <w:sz w:val="24"/>
      <w:szCs w:val="20"/>
      <w14:ligatures w14:val="none"/>
    </w:rPr>
  </w:style>
  <w:style w:type="paragraph" w:styleId="FootnoteText">
    <w:name w:val="footnote text"/>
    <w:basedOn w:val="Normal"/>
    <w:link w:val="FootnoteTextChar"/>
    <w:uiPriority w:val="99"/>
    <w:semiHidden/>
    <w:unhideWhenUsed/>
    <w:rsid w:val="00BE469B"/>
    <w:rPr>
      <w:sz w:val="20"/>
    </w:rPr>
  </w:style>
  <w:style w:type="character" w:customStyle="1" w:styleId="FootnoteTextChar">
    <w:name w:val="Footnote Text Char"/>
    <w:basedOn w:val="DefaultParagraphFont"/>
    <w:link w:val="FootnoteText"/>
    <w:uiPriority w:val="99"/>
    <w:semiHidden/>
    <w:rsid w:val="00BE469B"/>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BE469B"/>
    <w:rPr>
      <w:vertAlign w:val="superscript"/>
    </w:rPr>
  </w:style>
  <w:style w:type="character" w:styleId="Hyperlink">
    <w:name w:val="Hyperlink"/>
    <w:basedOn w:val="DefaultParagraphFont"/>
    <w:uiPriority w:val="99"/>
    <w:unhideWhenUsed/>
    <w:rsid w:val="00BE469B"/>
    <w:rPr>
      <w:color w:val="467886" w:themeColor="hyperlink"/>
      <w:u w:val="single"/>
    </w:rPr>
  </w:style>
  <w:style w:type="character" w:customStyle="1" w:styleId="UnresolvedMention1">
    <w:name w:val="Unresolved Mention1"/>
    <w:basedOn w:val="DefaultParagraphFont"/>
    <w:uiPriority w:val="99"/>
    <w:semiHidden/>
    <w:unhideWhenUsed/>
    <w:rsid w:val="004F5765"/>
    <w:rPr>
      <w:color w:val="605E5C"/>
      <w:shd w:val="clear" w:color="auto" w:fill="E1DFDD"/>
    </w:rPr>
  </w:style>
  <w:style w:type="paragraph" w:styleId="BalloonText">
    <w:name w:val="Balloon Text"/>
    <w:basedOn w:val="Normal"/>
    <w:link w:val="BalloonTextChar"/>
    <w:uiPriority w:val="99"/>
    <w:semiHidden/>
    <w:unhideWhenUsed/>
    <w:rsid w:val="00DE7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C8"/>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mac\Library\Group%20Containers\UBF8T346G9.ms\WebArchiveCopyPasteTempFiles\com.microsoft.Word\page1image61679984" TargetMode="External"/><Relationship Id="rId13" Type="http://schemas.openxmlformats.org/officeDocument/2006/relationships/hyperlink" Target="mailto:janmoller@lawcircle.co.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yisomnqandi@advocatesa.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solomon@maisels.co.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ichardsol@maisels.co.za" TargetMode="External"/><Relationship Id="rId4" Type="http://schemas.openxmlformats.org/officeDocument/2006/relationships/webSettings" Target="webSettings.xml"/><Relationship Id="rId9" Type="http://schemas.openxmlformats.org/officeDocument/2006/relationships/hyperlink" Target="mailto:reception@achophainc.co.za" TargetMode="External"/><Relationship Id="rId14" Type="http://schemas.openxmlformats.org/officeDocument/2006/relationships/hyperlink" Target="mailto:admin@mpiattorneys.co.z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97%20%283%29%20SA%20514" TargetMode="External"/><Relationship Id="rId2" Type="http://schemas.openxmlformats.org/officeDocument/2006/relationships/hyperlink" Target="http://www.saflii.org/cgi-bin/LawCite?cit=2000%20%281%29%20BCLR%2039" TargetMode="External"/><Relationship Id="rId1" Type="http://schemas.openxmlformats.org/officeDocument/2006/relationships/hyperlink" Target="http://www.saflii.org/cgi-bin/LawCite?cit=2000%20%282%29%20SA%201" TargetMode="External"/><Relationship Id="rId4" Type="http://schemas.openxmlformats.org/officeDocument/2006/relationships/hyperlink" Target="http://www.saflii.org/cgi-bin/LawCite?cit=1996%20%2812%29%20BCLR%201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Mjali</dc:creator>
  <cp:keywords/>
  <dc:description/>
  <cp:lastModifiedBy>sathish sarshan  mohan</cp:lastModifiedBy>
  <cp:revision>3</cp:revision>
  <cp:lastPrinted>2024-06-03T06:52:00Z</cp:lastPrinted>
  <dcterms:created xsi:type="dcterms:W3CDTF">2024-06-04T13:08:00Z</dcterms:created>
  <dcterms:modified xsi:type="dcterms:W3CDTF">2024-06-06T13:49:00Z</dcterms:modified>
</cp:coreProperties>
</file>