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0CFB8BF0"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w:t>
      </w:r>
      <w:r w:rsidR="00F054C9">
        <w:rPr>
          <w:b/>
          <w:bCs/>
          <w:lang w:val="en-GB"/>
        </w:rPr>
        <w:t>THATHA</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101AD6EF" w14:textId="18C4B4CC" w:rsidR="008A75F3" w:rsidRDefault="00D450B5" w:rsidP="002336E5">
      <w:pPr>
        <w:tabs>
          <w:tab w:val="left" w:pos="8931"/>
        </w:tabs>
        <w:ind w:right="89"/>
        <w:jc w:val="center"/>
        <w:rPr>
          <w:lang w:val="en-GB"/>
        </w:rPr>
      </w:pPr>
      <w:r w:rsidRPr="00044B50">
        <w:rPr>
          <w:lang w:val="en-GB"/>
        </w:rPr>
        <w:t xml:space="preserve">                                                                                           </w:t>
      </w:r>
      <w:r w:rsidR="0094300A">
        <w:rPr>
          <w:lang w:val="en-GB"/>
        </w:rPr>
        <w:t xml:space="preserve">        </w:t>
      </w:r>
      <w:r w:rsidR="00E44987" w:rsidRPr="00044B50">
        <w:rPr>
          <w:lang w:val="en-GB"/>
        </w:rPr>
        <w:t xml:space="preserve">                                                                                                  </w:t>
      </w:r>
    </w:p>
    <w:p w14:paraId="4934DB4B" w14:textId="5CC7F12B" w:rsidR="00E44987" w:rsidRPr="00044B50" w:rsidRDefault="0094300A" w:rsidP="0094300A">
      <w:pPr>
        <w:ind w:left="5760" w:right="89" w:firstLine="720"/>
        <w:rPr>
          <w:lang w:val="en-GB"/>
        </w:rPr>
      </w:pPr>
      <w:r>
        <w:rPr>
          <w:lang w:val="en-GB"/>
        </w:rPr>
        <w:t xml:space="preserve">  </w:t>
      </w:r>
      <w:r w:rsidR="002336E5">
        <w:rPr>
          <w:lang w:val="en-GB"/>
        </w:rPr>
        <w:t xml:space="preserve">  </w:t>
      </w:r>
      <w:r w:rsidR="00E44987" w:rsidRPr="00044B50">
        <w:rPr>
          <w:lang w:val="en-GB"/>
        </w:rPr>
        <w:t xml:space="preserve">Case no: </w:t>
      </w:r>
      <w:r w:rsidR="002336E5">
        <w:rPr>
          <w:lang w:val="en-GB"/>
        </w:rPr>
        <w:t>5345/2022</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261B4C07" w14:textId="46CE240D" w:rsidR="0079051D" w:rsidRDefault="0079051D" w:rsidP="0079051D">
      <w:pPr>
        <w:tabs>
          <w:tab w:val="left" w:pos="6237"/>
          <w:tab w:val="left" w:pos="6663"/>
          <w:tab w:val="left" w:pos="7513"/>
        </w:tabs>
        <w:ind w:right="-194"/>
        <w:rPr>
          <w:b/>
          <w:bCs/>
          <w:lang w:val="en-GB"/>
        </w:rPr>
      </w:pPr>
      <w:r>
        <w:rPr>
          <w:b/>
          <w:bCs/>
          <w:lang w:val="en-GB"/>
        </w:rPr>
        <w:t xml:space="preserve">DR MARCUS BONGANI BARA                                         </w:t>
      </w:r>
      <w:r>
        <w:rPr>
          <w:b/>
          <w:bCs/>
          <w:lang w:val="en-GB"/>
        </w:rPr>
        <w:tab/>
      </w:r>
      <w:r>
        <w:rPr>
          <w:b/>
          <w:bCs/>
          <w:lang w:val="en-GB"/>
        </w:rPr>
        <w:tab/>
        <w:t xml:space="preserve">        First Applicant</w:t>
      </w:r>
    </w:p>
    <w:p w14:paraId="0040732D" w14:textId="77777777" w:rsidR="0079051D" w:rsidRDefault="0079051D" w:rsidP="0079051D">
      <w:pPr>
        <w:tabs>
          <w:tab w:val="left" w:pos="6237"/>
          <w:tab w:val="left" w:pos="6663"/>
          <w:tab w:val="left" w:pos="7513"/>
        </w:tabs>
        <w:ind w:right="20"/>
        <w:rPr>
          <w:b/>
          <w:bCs/>
          <w:lang w:val="en-GB"/>
        </w:rPr>
      </w:pPr>
    </w:p>
    <w:p w14:paraId="438F3587" w14:textId="3C346F3D" w:rsidR="0079051D" w:rsidRDefault="0079051D" w:rsidP="0079051D">
      <w:pPr>
        <w:tabs>
          <w:tab w:val="left" w:pos="5812"/>
          <w:tab w:val="left" w:pos="6237"/>
          <w:tab w:val="left" w:pos="6663"/>
          <w:tab w:val="left" w:pos="7513"/>
        </w:tabs>
        <w:ind w:right="-194"/>
        <w:rPr>
          <w:b/>
          <w:bCs/>
          <w:lang w:val="en-GB"/>
        </w:rPr>
      </w:pPr>
      <w:r>
        <w:rPr>
          <w:b/>
          <w:bCs/>
          <w:lang w:val="en-GB"/>
        </w:rPr>
        <w:t xml:space="preserve">KOSTANTINOS APOSTOLOU </w:t>
      </w:r>
      <w:r>
        <w:rPr>
          <w:b/>
          <w:bCs/>
          <w:lang w:val="en-GB"/>
        </w:rPr>
        <w:tab/>
      </w:r>
      <w:r>
        <w:rPr>
          <w:b/>
          <w:bCs/>
          <w:lang w:val="en-GB"/>
        </w:rPr>
        <w:tab/>
      </w:r>
      <w:r>
        <w:rPr>
          <w:b/>
          <w:bCs/>
          <w:lang w:val="en-GB"/>
        </w:rPr>
        <w:tab/>
        <w:t xml:space="preserve">       Second Applicant</w:t>
      </w:r>
    </w:p>
    <w:p w14:paraId="63403045" w14:textId="77777777" w:rsidR="0079051D" w:rsidRDefault="0079051D" w:rsidP="0079051D">
      <w:pPr>
        <w:tabs>
          <w:tab w:val="left" w:pos="5812"/>
          <w:tab w:val="left" w:pos="6237"/>
          <w:tab w:val="left" w:pos="6663"/>
          <w:tab w:val="left" w:pos="7513"/>
        </w:tabs>
        <w:ind w:right="-194"/>
        <w:rPr>
          <w:b/>
          <w:bCs/>
          <w:lang w:val="en-GB"/>
        </w:rPr>
      </w:pPr>
    </w:p>
    <w:p w14:paraId="25511196" w14:textId="5C3D9327" w:rsidR="0079051D" w:rsidRDefault="0079051D" w:rsidP="002336E5">
      <w:pPr>
        <w:tabs>
          <w:tab w:val="left" w:pos="5103"/>
          <w:tab w:val="left" w:pos="6804"/>
        </w:tabs>
        <w:suppressAutoHyphens/>
        <w:ind w:right="-194"/>
        <w:jc w:val="both"/>
        <w:rPr>
          <w:bCs/>
          <w:lang w:val="en-GB"/>
        </w:rPr>
      </w:pPr>
      <w:r w:rsidRPr="0079051D">
        <w:rPr>
          <w:bCs/>
          <w:lang w:val="en-GB"/>
        </w:rPr>
        <w:t xml:space="preserve">And </w:t>
      </w:r>
    </w:p>
    <w:p w14:paraId="41432A17" w14:textId="77777777" w:rsidR="0079051D" w:rsidRPr="0079051D" w:rsidRDefault="0079051D" w:rsidP="002336E5">
      <w:pPr>
        <w:tabs>
          <w:tab w:val="left" w:pos="5103"/>
          <w:tab w:val="left" w:pos="6804"/>
        </w:tabs>
        <w:suppressAutoHyphens/>
        <w:ind w:right="-194"/>
        <w:jc w:val="both"/>
        <w:rPr>
          <w:bCs/>
          <w:lang w:val="en-GB"/>
        </w:rPr>
      </w:pPr>
    </w:p>
    <w:p w14:paraId="72A8BF9B" w14:textId="2A0A9CE9" w:rsidR="002166D6" w:rsidRDefault="002336E5" w:rsidP="002336E5">
      <w:pPr>
        <w:tabs>
          <w:tab w:val="left" w:pos="5103"/>
          <w:tab w:val="left" w:pos="6804"/>
        </w:tabs>
        <w:suppressAutoHyphens/>
        <w:ind w:right="-194"/>
        <w:jc w:val="both"/>
        <w:rPr>
          <w:b/>
          <w:bCs/>
          <w:lang w:val="en-GB"/>
        </w:rPr>
      </w:pPr>
      <w:r>
        <w:rPr>
          <w:b/>
          <w:bCs/>
          <w:lang w:val="en-GB"/>
        </w:rPr>
        <w:t>NEDBANK LIMITED</w:t>
      </w:r>
      <w:r>
        <w:rPr>
          <w:b/>
          <w:bCs/>
          <w:lang w:val="en-GB"/>
        </w:rPr>
        <w:tab/>
      </w:r>
      <w:r w:rsidR="00BB2344">
        <w:rPr>
          <w:b/>
          <w:bCs/>
          <w:lang w:val="en-GB"/>
        </w:rPr>
        <w:t xml:space="preserve">             </w:t>
      </w:r>
      <w:r w:rsidR="002166D6">
        <w:rPr>
          <w:b/>
          <w:bCs/>
          <w:lang w:val="en-GB"/>
        </w:rPr>
        <w:t xml:space="preserve">         </w:t>
      </w:r>
      <w:r w:rsidR="0079051D">
        <w:rPr>
          <w:b/>
          <w:bCs/>
          <w:lang w:val="en-GB"/>
        </w:rPr>
        <w:tab/>
      </w:r>
      <w:r w:rsidR="0079051D">
        <w:rPr>
          <w:b/>
          <w:bCs/>
          <w:lang w:val="en-GB"/>
        </w:rPr>
        <w:tab/>
      </w:r>
      <w:r>
        <w:rPr>
          <w:b/>
          <w:bCs/>
          <w:lang w:val="en-GB"/>
        </w:rPr>
        <w:t>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4E78E5D" w:rsidR="00D450B5" w:rsidRPr="00044B50" w:rsidRDefault="002336E5" w:rsidP="00772E4B">
      <w:pPr>
        <w:jc w:val="center"/>
        <w:rPr>
          <w:b/>
          <w:bCs/>
          <w:lang w:val="en-GB"/>
        </w:rPr>
      </w:pPr>
      <w:r>
        <w:rPr>
          <w:b/>
          <w:bCs/>
          <w:lang w:val="en-GB"/>
        </w:rPr>
        <w:t>JUDGMENT ON</w:t>
      </w:r>
      <w:r w:rsidR="00E763A4">
        <w:rPr>
          <w:b/>
          <w:bCs/>
          <w:lang w:val="en-GB"/>
        </w:rPr>
        <w:t xml:space="preserve"> </w:t>
      </w:r>
      <w:r w:rsidR="00EB6983">
        <w:rPr>
          <w:b/>
          <w:bCs/>
          <w:lang w:val="en-GB"/>
        </w:rPr>
        <w:t xml:space="preserve">APPLICATION FOR LEAVE TO APPEAL </w:t>
      </w:r>
      <w:r w:rsidR="00D450B5" w:rsidRPr="00044B50">
        <w:rPr>
          <w:b/>
          <w:bCs/>
          <w:lang w:val="en-GB"/>
        </w:rPr>
        <w:t xml:space="preserve">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DC19B2" w14:textId="77777777" w:rsidR="0079051D" w:rsidRDefault="0079051D" w:rsidP="00772E4B">
      <w:pPr>
        <w:jc w:val="both"/>
        <w:rPr>
          <w:b/>
          <w:bCs/>
          <w:lang w:val="en-GB"/>
        </w:rPr>
      </w:pPr>
    </w:p>
    <w:p w14:paraId="7C4F1B04" w14:textId="7F871922" w:rsidR="00D450B5" w:rsidRDefault="002336E5" w:rsidP="00A80F2A">
      <w:pPr>
        <w:jc w:val="both"/>
        <w:rPr>
          <w:b/>
          <w:bCs/>
          <w:lang w:val="en-GB"/>
        </w:rPr>
      </w:pPr>
      <w:r>
        <w:rPr>
          <w:b/>
          <w:bCs/>
          <w:lang w:val="en-GB"/>
        </w:rPr>
        <w:t xml:space="preserve">KUNJU </w:t>
      </w:r>
      <w:proofErr w:type="gramStart"/>
      <w:r>
        <w:rPr>
          <w:b/>
          <w:bCs/>
          <w:lang w:val="en-GB"/>
        </w:rPr>
        <w:t>A</w:t>
      </w:r>
      <w:r w:rsidR="00D450B5" w:rsidRPr="00044B50">
        <w:rPr>
          <w:b/>
          <w:bCs/>
          <w:lang w:val="en-GB"/>
        </w:rPr>
        <w:t>J</w:t>
      </w:r>
      <w:r w:rsidR="0079051D">
        <w:rPr>
          <w:b/>
          <w:bCs/>
          <w:lang w:val="en-GB"/>
        </w:rPr>
        <w:t xml:space="preserve"> :</w:t>
      </w:r>
      <w:proofErr w:type="gramEnd"/>
      <w:r w:rsidR="0079051D">
        <w:rPr>
          <w:b/>
          <w:bCs/>
          <w:lang w:val="en-GB"/>
        </w:rPr>
        <w:t xml:space="preserve"> </w:t>
      </w:r>
    </w:p>
    <w:p w14:paraId="1E14F87E" w14:textId="77777777" w:rsidR="002336E5" w:rsidRDefault="002336E5" w:rsidP="00A80F2A">
      <w:pPr>
        <w:jc w:val="both"/>
        <w:rPr>
          <w:b/>
          <w:bCs/>
          <w:lang w:val="en-GB"/>
        </w:rPr>
      </w:pPr>
    </w:p>
    <w:p w14:paraId="495009FF" w14:textId="6569F081" w:rsidR="002336E5" w:rsidRPr="0052762F" w:rsidRDefault="002336E5" w:rsidP="00A80F2A">
      <w:pPr>
        <w:pStyle w:val="ListParagraph"/>
        <w:numPr>
          <w:ilvl w:val="0"/>
          <w:numId w:val="20"/>
        </w:numPr>
        <w:ind w:hanging="720"/>
        <w:jc w:val="both"/>
        <w:rPr>
          <w:b/>
          <w:bCs/>
          <w:lang w:val="en-GB"/>
        </w:rPr>
      </w:pPr>
      <w:r w:rsidRPr="0052762F">
        <w:rPr>
          <w:b/>
          <w:bCs/>
          <w:u w:val="single"/>
          <w:lang w:val="en-GB"/>
        </w:rPr>
        <w:t>Introduction</w:t>
      </w:r>
      <w:r w:rsidR="00207C38" w:rsidRPr="0052762F">
        <w:rPr>
          <w:b/>
          <w:bCs/>
          <w:lang w:val="en-GB"/>
        </w:rPr>
        <w:t>:</w:t>
      </w:r>
    </w:p>
    <w:p w14:paraId="34F7781B" w14:textId="17C1CC63" w:rsidR="00D468AF" w:rsidRDefault="00D468AF" w:rsidP="00A80F2A">
      <w:pPr>
        <w:autoSpaceDE w:val="0"/>
        <w:autoSpaceDN w:val="0"/>
        <w:adjustRightInd w:val="0"/>
        <w:jc w:val="both"/>
        <w:rPr>
          <w:lang w:val="en-GB"/>
        </w:rPr>
      </w:pPr>
    </w:p>
    <w:p w14:paraId="00885E44" w14:textId="662633B9" w:rsidR="00EB6983" w:rsidRDefault="00207C38" w:rsidP="00A80F2A">
      <w:pPr>
        <w:pStyle w:val="ListParagraph"/>
        <w:numPr>
          <w:ilvl w:val="0"/>
          <w:numId w:val="18"/>
        </w:numPr>
        <w:ind w:left="720" w:hanging="720"/>
        <w:jc w:val="both"/>
        <w:rPr>
          <w:rFonts w:eastAsia="Times New Roman"/>
          <w:lang w:val="en-US"/>
        </w:rPr>
      </w:pPr>
      <w:r>
        <w:rPr>
          <w:rFonts w:eastAsia="Times New Roman"/>
          <w:lang w:val="en-US"/>
        </w:rPr>
        <w:t>This is application for leave to appeal an order and a Judgment handed down on 26 March 2024.</w:t>
      </w:r>
    </w:p>
    <w:p w14:paraId="0DBCDEC3" w14:textId="77777777" w:rsidR="00207C38" w:rsidRPr="00207C38" w:rsidRDefault="00207C38" w:rsidP="00A80F2A">
      <w:pPr>
        <w:jc w:val="both"/>
        <w:rPr>
          <w:rFonts w:eastAsia="Times New Roman"/>
          <w:lang w:val="en-US"/>
        </w:rPr>
      </w:pPr>
    </w:p>
    <w:p w14:paraId="7514BB14" w14:textId="6D3040ED" w:rsidR="00207C38" w:rsidRDefault="00207C38" w:rsidP="00A80F2A">
      <w:pPr>
        <w:pStyle w:val="ListParagraph"/>
        <w:numPr>
          <w:ilvl w:val="0"/>
          <w:numId w:val="18"/>
        </w:numPr>
        <w:tabs>
          <w:tab w:val="left" w:pos="720"/>
        </w:tabs>
        <w:ind w:left="720" w:hanging="720"/>
        <w:jc w:val="both"/>
        <w:rPr>
          <w:rFonts w:eastAsia="Times New Roman"/>
          <w:lang w:val="en-US"/>
        </w:rPr>
      </w:pPr>
      <w:r>
        <w:rPr>
          <w:rFonts w:eastAsia="Times New Roman"/>
          <w:lang w:val="en-US"/>
        </w:rPr>
        <w:t>What I decided in the judgment was a question of costs. In other words</w:t>
      </w:r>
      <w:r w:rsidR="0079051D">
        <w:rPr>
          <w:rFonts w:eastAsia="Times New Roman"/>
          <w:lang w:val="en-US"/>
        </w:rPr>
        <w:t>,</w:t>
      </w:r>
      <w:r>
        <w:rPr>
          <w:rFonts w:eastAsia="Times New Roman"/>
          <w:lang w:val="en-US"/>
        </w:rPr>
        <w:t xml:space="preserve"> I was called upon to decide who between the </w:t>
      </w:r>
      <w:r w:rsidR="0079051D">
        <w:rPr>
          <w:rFonts w:eastAsia="Times New Roman"/>
          <w:lang w:val="en-US"/>
        </w:rPr>
        <w:t>a</w:t>
      </w:r>
      <w:r>
        <w:rPr>
          <w:rFonts w:eastAsia="Times New Roman"/>
          <w:lang w:val="en-US"/>
        </w:rPr>
        <w:t xml:space="preserve">pplicants and the </w:t>
      </w:r>
      <w:r w:rsidR="00B25571">
        <w:rPr>
          <w:rFonts w:eastAsia="Times New Roman"/>
          <w:lang w:val="en-US"/>
        </w:rPr>
        <w:t>r</w:t>
      </w:r>
      <w:r>
        <w:rPr>
          <w:rFonts w:eastAsia="Times New Roman"/>
          <w:lang w:val="en-US"/>
        </w:rPr>
        <w:t>espondent was entitled to costs of the application.</w:t>
      </w:r>
    </w:p>
    <w:p w14:paraId="6727BF62" w14:textId="665E5E25" w:rsidR="00207C38" w:rsidRDefault="00207C38" w:rsidP="00A80F2A">
      <w:pPr>
        <w:pStyle w:val="ListParagraph"/>
        <w:numPr>
          <w:ilvl w:val="0"/>
          <w:numId w:val="18"/>
        </w:numPr>
        <w:ind w:left="720" w:hanging="720"/>
        <w:jc w:val="both"/>
        <w:rPr>
          <w:rFonts w:eastAsia="Times New Roman"/>
          <w:lang w:val="en-US"/>
        </w:rPr>
      </w:pPr>
      <w:r>
        <w:rPr>
          <w:rFonts w:eastAsia="Times New Roman"/>
          <w:lang w:val="en-US"/>
        </w:rPr>
        <w:lastRenderedPageBreak/>
        <w:t xml:space="preserve">I found that each party was liable for its </w:t>
      </w:r>
      <w:r w:rsidR="0079051D">
        <w:rPr>
          <w:rFonts w:eastAsia="Times New Roman"/>
          <w:lang w:val="en-US"/>
        </w:rPr>
        <w:t xml:space="preserve">own </w:t>
      </w:r>
      <w:r>
        <w:rPr>
          <w:rFonts w:eastAsia="Times New Roman"/>
          <w:lang w:val="en-US"/>
        </w:rPr>
        <w:t xml:space="preserve">costs. It is that finding that is the subject of this application for leave to appeal. Looked at </w:t>
      </w:r>
      <w:r w:rsidR="0079051D">
        <w:rPr>
          <w:rFonts w:eastAsia="Times New Roman"/>
          <w:lang w:val="en-US"/>
        </w:rPr>
        <w:t xml:space="preserve">it </w:t>
      </w:r>
      <w:r>
        <w:rPr>
          <w:rFonts w:eastAsia="Times New Roman"/>
          <w:lang w:val="en-US"/>
        </w:rPr>
        <w:t>on another angle, this is an attempt to upset the said finding.</w:t>
      </w:r>
      <w:r w:rsidR="00F00AF1">
        <w:rPr>
          <w:rFonts w:eastAsia="Times New Roman"/>
          <w:lang w:val="en-US"/>
        </w:rPr>
        <w:t xml:space="preserve"> Ineluctably</w:t>
      </w:r>
      <w:r w:rsidR="00AE0269">
        <w:rPr>
          <w:rFonts w:eastAsia="Times New Roman"/>
          <w:lang w:val="en-US"/>
        </w:rPr>
        <w:t>, the appeal</w:t>
      </w:r>
      <w:r w:rsidR="0079051D">
        <w:rPr>
          <w:rFonts w:eastAsia="Times New Roman"/>
          <w:lang w:val="en-US"/>
        </w:rPr>
        <w:t>ability of such an order forms an integral part of the</w:t>
      </w:r>
      <w:r w:rsidR="00F00AF1">
        <w:rPr>
          <w:rFonts w:eastAsia="Times New Roman"/>
          <w:lang w:val="en-US"/>
        </w:rPr>
        <w:t xml:space="preserve"> present application. Invariably</w:t>
      </w:r>
      <w:r w:rsidR="0079051D">
        <w:rPr>
          <w:rFonts w:eastAsia="Times New Roman"/>
          <w:lang w:val="en-US"/>
        </w:rPr>
        <w:t xml:space="preserve">, the provisions of section </w:t>
      </w:r>
      <w:r w:rsidR="00AE0269">
        <w:rPr>
          <w:rFonts w:eastAsia="Times New Roman"/>
          <w:lang w:val="en-US"/>
        </w:rPr>
        <w:t>1</w:t>
      </w:r>
      <w:r w:rsidR="0079051D">
        <w:rPr>
          <w:rFonts w:eastAsia="Times New Roman"/>
          <w:lang w:val="en-US"/>
        </w:rPr>
        <w:t xml:space="preserve">7 of Act no. 10 of 2013 will be considered. So is the nature of the discretion exercised. </w:t>
      </w:r>
    </w:p>
    <w:p w14:paraId="60EE2ED1" w14:textId="77777777" w:rsidR="00207C38" w:rsidRPr="00207C38" w:rsidRDefault="00207C38" w:rsidP="00A80F2A">
      <w:pPr>
        <w:pStyle w:val="ListParagraph"/>
        <w:rPr>
          <w:rFonts w:eastAsia="Times New Roman"/>
          <w:lang w:val="en-US"/>
        </w:rPr>
      </w:pPr>
    </w:p>
    <w:p w14:paraId="4CF4A86D" w14:textId="716E7B3F" w:rsidR="00207C38" w:rsidRDefault="00207C38" w:rsidP="00A80F2A">
      <w:pPr>
        <w:pStyle w:val="ListParagraph"/>
        <w:numPr>
          <w:ilvl w:val="0"/>
          <w:numId w:val="18"/>
        </w:numPr>
        <w:tabs>
          <w:tab w:val="left" w:pos="720"/>
        </w:tabs>
        <w:ind w:left="142" w:hanging="142"/>
        <w:jc w:val="both"/>
        <w:rPr>
          <w:rFonts w:eastAsia="Times New Roman"/>
          <w:lang w:val="en-US"/>
        </w:rPr>
      </w:pPr>
      <w:r>
        <w:rPr>
          <w:rFonts w:eastAsia="Times New Roman"/>
          <w:lang w:val="en-US"/>
        </w:rPr>
        <w:t xml:space="preserve">In this judgment I deal with this matter under the following </w:t>
      </w:r>
      <w:r w:rsidR="00036391">
        <w:rPr>
          <w:rFonts w:eastAsia="Times New Roman"/>
          <w:lang w:val="en-US"/>
        </w:rPr>
        <w:t>headings:</w:t>
      </w:r>
    </w:p>
    <w:p w14:paraId="6077053E" w14:textId="77777777" w:rsidR="00207C38" w:rsidRPr="00207C38" w:rsidRDefault="00207C38" w:rsidP="00A80F2A">
      <w:pPr>
        <w:pStyle w:val="ListParagraph"/>
        <w:tabs>
          <w:tab w:val="left" w:pos="1440"/>
        </w:tabs>
        <w:ind w:left="1440"/>
        <w:rPr>
          <w:rFonts w:eastAsia="Times New Roman"/>
          <w:lang w:val="en-US"/>
        </w:rPr>
      </w:pPr>
    </w:p>
    <w:p w14:paraId="2A2ECCE4" w14:textId="35BE0C5F" w:rsidR="00207C38" w:rsidRPr="00E80E1E" w:rsidRDefault="00E80E1E" w:rsidP="00E80E1E">
      <w:pPr>
        <w:tabs>
          <w:tab w:val="left" w:pos="1350"/>
        </w:tabs>
        <w:ind w:left="360"/>
        <w:jc w:val="both"/>
        <w:rPr>
          <w:rFonts w:eastAsia="Times New Roman"/>
          <w:lang w:val="en-US"/>
        </w:rPr>
      </w:pPr>
      <w:r>
        <w:rPr>
          <w:rFonts w:eastAsia="Times New Roman"/>
          <w:lang w:val="en-US"/>
        </w:rPr>
        <w:t xml:space="preserve">     [4.1]   </w:t>
      </w:r>
      <w:r w:rsidR="0079051D" w:rsidRPr="00E80E1E">
        <w:rPr>
          <w:rFonts w:eastAsia="Times New Roman"/>
          <w:lang w:val="en-US"/>
        </w:rPr>
        <w:t>t</w:t>
      </w:r>
      <w:r w:rsidR="00AE0269" w:rsidRPr="00E80E1E">
        <w:rPr>
          <w:rFonts w:eastAsia="Times New Roman"/>
          <w:lang w:val="en-US"/>
        </w:rPr>
        <w:t>he issue</w:t>
      </w:r>
      <w:r w:rsidR="00207C38" w:rsidRPr="00E80E1E">
        <w:rPr>
          <w:rFonts w:eastAsia="Times New Roman"/>
          <w:lang w:val="en-US"/>
        </w:rPr>
        <w:t xml:space="preserve"> in the main application</w:t>
      </w:r>
      <w:r w:rsidR="0079051D" w:rsidRPr="00E80E1E">
        <w:rPr>
          <w:rFonts w:eastAsia="Times New Roman"/>
          <w:lang w:val="en-US"/>
        </w:rPr>
        <w:t>;</w:t>
      </w:r>
      <w:r w:rsidR="00207C38" w:rsidRPr="00E80E1E">
        <w:rPr>
          <w:rFonts w:eastAsia="Times New Roman"/>
          <w:lang w:val="en-US"/>
        </w:rPr>
        <w:t xml:space="preserve"> </w:t>
      </w:r>
    </w:p>
    <w:p w14:paraId="17540B5A" w14:textId="3CBA05CF" w:rsidR="00E80E1E" w:rsidRPr="00E80E1E" w:rsidRDefault="00E80E1E" w:rsidP="00130EAB">
      <w:pPr>
        <w:ind w:left="1350" w:hanging="810"/>
        <w:jc w:val="both"/>
        <w:rPr>
          <w:rFonts w:eastAsia="Times New Roman"/>
          <w:lang w:val="en-US"/>
        </w:rPr>
      </w:pPr>
      <w:r>
        <w:rPr>
          <w:rFonts w:eastAsia="Times New Roman"/>
          <w:lang w:val="en-US"/>
        </w:rPr>
        <w:t xml:space="preserve">  [4.2]   </w:t>
      </w:r>
      <w:r w:rsidR="0079051D" w:rsidRPr="00E80E1E">
        <w:rPr>
          <w:rFonts w:eastAsia="Times New Roman"/>
          <w:lang w:val="en-US"/>
        </w:rPr>
        <w:t>t</w:t>
      </w:r>
      <w:r w:rsidR="00207C38" w:rsidRPr="00E80E1E">
        <w:rPr>
          <w:rFonts w:eastAsia="Times New Roman"/>
          <w:lang w:val="en-US"/>
        </w:rPr>
        <w:t>he applicants’</w:t>
      </w:r>
      <w:r w:rsidR="0052762F" w:rsidRPr="00E80E1E">
        <w:rPr>
          <w:rFonts w:eastAsia="Times New Roman"/>
          <w:lang w:val="en-US"/>
        </w:rPr>
        <w:t xml:space="preserve"> compliance with the provisions of rule 35(4)</w:t>
      </w:r>
      <w:r w:rsidR="00130EAB">
        <w:rPr>
          <w:rFonts w:eastAsia="Times New Roman"/>
          <w:lang w:val="en-US"/>
        </w:rPr>
        <w:t xml:space="preserve"> of the </w:t>
      </w:r>
      <w:r w:rsidR="00F75429">
        <w:rPr>
          <w:rFonts w:eastAsia="Times New Roman"/>
          <w:lang w:val="en-US"/>
        </w:rPr>
        <w:t>uniform rules</w:t>
      </w:r>
      <w:r w:rsidR="00130EAB">
        <w:rPr>
          <w:rFonts w:eastAsia="Times New Roman"/>
          <w:lang w:val="en-US"/>
        </w:rPr>
        <w:t xml:space="preserve"> of court</w:t>
      </w:r>
      <w:r w:rsidR="0079051D" w:rsidRPr="00E80E1E">
        <w:rPr>
          <w:rFonts w:eastAsia="Times New Roman"/>
          <w:lang w:val="en-US"/>
        </w:rPr>
        <w:t>;</w:t>
      </w:r>
    </w:p>
    <w:p w14:paraId="428E566B" w14:textId="705B625C" w:rsidR="0052762F" w:rsidRPr="00E80E1E" w:rsidRDefault="00E80E1E" w:rsidP="00E80E1E">
      <w:pPr>
        <w:tabs>
          <w:tab w:val="left" w:pos="1350"/>
        </w:tabs>
        <w:ind w:left="1350" w:hanging="630"/>
        <w:jc w:val="both"/>
        <w:rPr>
          <w:rFonts w:eastAsia="Times New Roman"/>
          <w:lang w:val="en-US"/>
        </w:rPr>
      </w:pPr>
      <w:r>
        <w:rPr>
          <w:rFonts w:eastAsia="Times New Roman"/>
          <w:lang w:val="en-US"/>
        </w:rPr>
        <w:t xml:space="preserve">[4.3]   </w:t>
      </w:r>
      <w:r w:rsidR="0079051D" w:rsidRPr="00E80E1E">
        <w:rPr>
          <w:rFonts w:eastAsia="Times New Roman"/>
          <w:lang w:val="en-US"/>
        </w:rPr>
        <w:t>t</w:t>
      </w:r>
      <w:r w:rsidR="00AE0269" w:rsidRPr="00E80E1E">
        <w:rPr>
          <w:rFonts w:eastAsia="Times New Roman"/>
          <w:lang w:val="en-US"/>
        </w:rPr>
        <w:t>he legal requirements for an</w:t>
      </w:r>
      <w:r w:rsidR="0052762F" w:rsidRPr="00E80E1E">
        <w:rPr>
          <w:rFonts w:eastAsia="Times New Roman"/>
          <w:lang w:val="en-US"/>
        </w:rPr>
        <w:t xml:space="preserve"> appeal </w:t>
      </w:r>
      <w:r w:rsidR="00AE0269" w:rsidRPr="00E80E1E">
        <w:rPr>
          <w:rFonts w:eastAsia="Times New Roman"/>
          <w:lang w:val="en-US"/>
        </w:rPr>
        <w:t xml:space="preserve">against </w:t>
      </w:r>
      <w:r w:rsidR="008004A2">
        <w:rPr>
          <w:rFonts w:eastAsia="Times New Roman"/>
          <w:lang w:val="en-US"/>
        </w:rPr>
        <w:t>a cost order</w:t>
      </w:r>
      <w:r w:rsidR="0052762F" w:rsidRPr="00E80E1E">
        <w:rPr>
          <w:rFonts w:eastAsia="Times New Roman"/>
          <w:lang w:val="en-US"/>
        </w:rPr>
        <w:t xml:space="preserve"> and the legal </w:t>
      </w:r>
      <w:r w:rsidR="009D69D0" w:rsidRPr="00E80E1E">
        <w:rPr>
          <w:rFonts w:eastAsia="Times New Roman"/>
          <w:lang w:val="en-US"/>
        </w:rPr>
        <w:t>test on</w:t>
      </w:r>
      <w:r w:rsidR="0052762F" w:rsidRPr="00E80E1E">
        <w:rPr>
          <w:rFonts w:eastAsia="Times New Roman"/>
          <w:lang w:val="en-US"/>
        </w:rPr>
        <w:t xml:space="preserve"> leave to appeal</w:t>
      </w:r>
      <w:r w:rsidR="0079051D" w:rsidRPr="00E80E1E">
        <w:rPr>
          <w:rFonts w:eastAsia="Times New Roman"/>
          <w:lang w:val="en-US"/>
        </w:rPr>
        <w:t>;</w:t>
      </w:r>
    </w:p>
    <w:p w14:paraId="379D771A" w14:textId="14EDAA56" w:rsidR="0052762F" w:rsidRPr="00E80E1E" w:rsidRDefault="00E80E1E" w:rsidP="008004A2">
      <w:pPr>
        <w:tabs>
          <w:tab w:val="left" w:pos="1350"/>
        </w:tabs>
        <w:ind w:left="1350" w:hanging="630"/>
        <w:jc w:val="both"/>
        <w:rPr>
          <w:rFonts w:eastAsia="Times New Roman"/>
          <w:lang w:val="en-US"/>
        </w:rPr>
      </w:pPr>
      <w:r>
        <w:rPr>
          <w:rFonts w:eastAsia="Times New Roman"/>
          <w:lang w:val="en-US"/>
        </w:rPr>
        <w:t>[4.4</w:t>
      </w:r>
      <w:proofErr w:type="gramStart"/>
      <w:r>
        <w:rPr>
          <w:rFonts w:eastAsia="Times New Roman"/>
          <w:lang w:val="en-US"/>
        </w:rPr>
        <w:t xml:space="preserve">]  </w:t>
      </w:r>
      <w:r w:rsidR="0079051D" w:rsidRPr="00E80E1E">
        <w:rPr>
          <w:rFonts w:eastAsia="Times New Roman"/>
          <w:lang w:val="en-US"/>
        </w:rPr>
        <w:t>t</w:t>
      </w:r>
      <w:r w:rsidR="0052762F" w:rsidRPr="00E80E1E">
        <w:rPr>
          <w:rFonts w:eastAsia="Times New Roman"/>
          <w:lang w:val="en-US"/>
        </w:rPr>
        <w:t>he</w:t>
      </w:r>
      <w:proofErr w:type="gramEnd"/>
      <w:r w:rsidR="0052762F" w:rsidRPr="00E80E1E">
        <w:rPr>
          <w:rFonts w:eastAsia="Times New Roman"/>
          <w:lang w:val="en-US"/>
        </w:rPr>
        <w:t xml:space="preserve"> </w:t>
      </w:r>
      <w:r w:rsidR="0079051D" w:rsidRPr="00E80E1E">
        <w:rPr>
          <w:rFonts w:eastAsia="Times New Roman"/>
          <w:lang w:val="en-US"/>
        </w:rPr>
        <w:t>n</w:t>
      </w:r>
      <w:r w:rsidR="0052762F" w:rsidRPr="00E80E1E">
        <w:rPr>
          <w:rFonts w:eastAsia="Times New Roman"/>
          <w:lang w:val="en-US"/>
        </w:rPr>
        <w:t>otice</w:t>
      </w:r>
      <w:r w:rsidR="0079051D" w:rsidRPr="00E80E1E">
        <w:rPr>
          <w:rFonts w:eastAsia="Times New Roman"/>
          <w:lang w:val="en-US"/>
        </w:rPr>
        <w:t xml:space="preserve"> of application for leave to appeal </w:t>
      </w:r>
      <w:r w:rsidR="0052762F" w:rsidRPr="00E80E1E">
        <w:rPr>
          <w:rFonts w:eastAsia="Times New Roman"/>
          <w:lang w:val="en-US"/>
        </w:rPr>
        <w:t>and the ground</w:t>
      </w:r>
      <w:r w:rsidR="008004A2">
        <w:rPr>
          <w:rFonts w:eastAsia="Times New Roman"/>
          <w:lang w:val="en-US"/>
        </w:rPr>
        <w:t>s</w:t>
      </w:r>
      <w:r w:rsidR="0052762F" w:rsidRPr="00E80E1E">
        <w:rPr>
          <w:rFonts w:eastAsia="Times New Roman"/>
          <w:lang w:val="en-US"/>
        </w:rPr>
        <w:t xml:space="preserve"> of appeal</w:t>
      </w:r>
      <w:r w:rsidR="0079051D" w:rsidRPr="00E80E1E">
        <w:rPr>
          <w:rFonts w:eastAsia="Times New Roman"/>
          <w:lang w:val="en-US"/>
        </w:rPr>
        <w:t>;</w:t>
      </w:r>
      <w:r w:rsidR="00AE0269" w:rsidRPr="00E80E1E">
        <w:rPr>
          <w:rFonts w:eastAsia="Times New Roman"/>
          <w:lang w:val="en-US"/>
        </w:rPr>
        <w:t xml:space="preserve"> </w:t>
      </w:r>
      <w:r w:rsidR="008004A2">
        <w:rPr>
          <w:rFonts w:eastAsia="Times New Roman"/>
          <w:lang w:val="en-US"/>
        </w:rPr>
        <w:t xml:space="preserve"> </w:t>
      </w:r>
      <w:r w:rsidR="00AE0269" w:rsidRPr="00E80E1E">
        <w:rPr>
          <w:rFonts w:eastAsia="Times New Roman"/>
          <w:lang w:val="en-US"/>
        </w:rPr>
        <w:t xml:space="preserve">and </w:t>
      </w:r>
    </w:p>
    <w:p w14:paraId="35E35ABD" w14:textId="6FCC7833" w:rsidR="0052762F" w:rsidRPr="00E80E1E" w:rsidRDefault="00E80E1E" w:rsidP="00E80E1E">
      <w:pPr>
        <w:tabs>
          <w:tab w:val="left" w:pos="1350"/>
        </w:tabs>
        <w:ind w:left="360" w:firstLine="360"/>
        <w:jc w:val="both"/>
        <w:rPr>
          <w:rFonts w:eastAsia="Times New Roman"/>
          <w:lang w:val="en-US"/>
        </w:rPr>
      </w:pPr>
      <w:r>
        <w:rPr>
          <w:rFonts w:eastAsia="Times New Roman"/>
          <w:lang w:val="en-US"/>
        </w:rPr>
        <w:t>[4.5</w:t>
      </w:r>
      <w:proofErr w:type="gramStart"/>
      <w:r>
        <w:rPr>
          <w:rFonts w:eastAsia="Times New Roman"/>
          <w:lang w:val="en-US"/>
        </w:rPr>
        <w:t xml:space="preserve">]  </w:t>
      </w:r>
      <w:r w:rsidR="003F7E77" w:rsidRPr="00E80E1E">
        <w:rPr>
          <w:rFonts w:eastAsia="Times New Roman"/>
          <w:lang w:val="en-US"/>
        </w:rPr>
        <w:t>c</w:t>
      </w:r>
      <w:r w:rsidR="0052762F" w:rsidRPr="00E80E1E">
        <w:rPr>
          <w:rFonts w:eastAsia="Times New Roman"/>
          <w:lang w:val="en-US"/>
        </w:rPr>
        <w:t>onclusion</w:t>
      </w:r>
      <w:proofErr w:type="gramEnd"/>
      <w:r w:rsidR="0052762F" w:rsidRPr="00E80E1E">
        <w:rPr>
          <w:rFonts w:eastAsia="Times New Roman"/>
          <w:lang w:val="en-US"/>
        </w:rPr>
        <w:t>.</w:t>
      </w:r>
    </w:p>
    <w:p w14:paraId="23CD840D" w14:textId="77777777" w:rsidR="00207C38" w:rsidRPr="00207C38" w:rsidRDefault="00207C38" w:rsidP="00A80F2A">
      <w:pPr>
        <w:pStyle w:val="ListParagraph"/>
        <w:rPr>
          <w:rFonts w:eastAsia="Times New Roman"/>
          <w:lang w:val="en-US"/>
        </w:rPr>
      </w:pPr>
    </w:p>
    <w:p w14:paraId="5FDFB271" w14:textId="04DC9A99" w:rsidR="00207C38" w:rsidRDefault="0052762F" w:rsidP="00A80F2A">
      <w:pPr>
        <w:pStyle w:val="ListParagraph"/>
        <w:numPr>
          <w:ilvl w:val="0"/>
          <w:numId w:val="18"/>
        </w:numPr>
        <w:ind w:left="142" w:hanging="142"/>
        <w:jc w:val="both"/>
        <w:rPr>
          <w:rFonts w:eastAsia="Times New Roman"/>
          <w:lang w:val="en-US"/>
        </w:rPr>
      </w:pPr>
      <w:r>
        <w:rPr>
          <w:rFonts w:eastAsia="Times New Roman"/>
          <w:lang w:val="en-US"/>
        </w:rPr>
        <w:t>I</w:t>
      </w:r>
      <w:r w:rsidR="003F7E77">
        <w:rPr>
          <w:rFonts w:eastAsia="Times New Roman"/>
          <w:lang w:val="en-US"/>
        </w:rPr>
        <w:t xml:space="preserve">t is to these headings stated above </w:t>
      </w:r>
      <w:r w:rsidR="00AE0269">
        <w:rPr>
          <w:rFonts w:eastAsia="Times New Roman"/>
          <w:lang w:val="en-US"/>
        </w:rPr>
        <w:t xml:space="preserve">that </w:t>
      </w:r>
      <w:r w:rsidR="003F7E77">
        <w:rPr>
          <w:rFonts w:eastAsia="Times New Roman"/>
          <w:lang w:val="en-US"/>
        </w:rPr>
        <w:t>I now turn</w:t>
      </w:r>
      <w:r>
        <w:rPr>
          <w:rFonts w:eastAsia="Times New Roman"/>
          <w:lang w:val="en-US"/>
        </w:rPr>
        <w:t>.</w:t>
      </w:r>
    </w:p>
    <w:p w14:paraId="6E5F5B09" w14:textId="77777777" w:rsidR="0052762F" w:rsidRDefault="0052762F" w:rsidP="00A80F2A">
      <w:pPr>
        <w:pStyle w:val="ListParagraph"/>
        <w:ind w:left="142"/>
        <w:jc w:val="both"/>
        <w:rPr>
          <w:rFonts w:eastAsia="Times New Roman"/>
          <w:lang w:val="en-US"/>
        </w:rPr>
      </w:pPr>
    </w:p>
    <w:p w14:paraId="7516D1F6" w14:textId="4265A8DF" w:rsidR="0052762F" w:rsidRDefault="0052762F" w:rsidP="00A80F2A">
      <w:pPr>
        <w:pStyle w:val="ListParagraph"/>
        <w:numPr>
          <w:ilvl w:val="0"/>
          <w:numId w:val="20"/>
        </w:numPr>
        <w:ind w:hanging="720"/>
        <w:jc w:val="both"/>
        <w:rPr>
          <w:rFonts w:eastAsia="Times New Roman"/>
          <w:b/>
          <w:bCs/>
          <w:u w:val="single"/>
          <w:lang w:val="en-US"/>
        </w:rPr>
      </w:pPr>
      <w:r w:rsidRPr="0052762F">
        <w:rPr>
          <w:rFonts w:eastAsia="Times New Roman"/>
          <w:b/>
          <w:bCs/>
          <w:u w:val="single"/>
          <w:lang w:val="en-US"/>
        </w:rPr>
        <w:t xml:space="preserve">The issue in the main </w:t>
      </w:r>
      <w:r w:rsidR="003F7E77">
        <w:rPr>
          <w:rFonts w:eastAsia="Times New Roman"/>
          <w:b/>
          <w:bCs/>
          <w:u w:val="single"/>
          <w:lang w:val="en-US"/>
        </w:rPr>
        <w:t>a</w:t>
      </w:r>
      <w:r w:rsidRPr="0052762F">
        <w:rPr>
          <w:rFonts w:eastAsia="Times New Roman"/>
          <w:b/>
          <w:bCs/>
          <w:u w:val="single"/>
          <w:lang w:val="en-US"/>
        </w:rPr>
        <w:t>pplication</w:t>
      </w:r>
    </w:p>
    <w:p w14:paraId="038A87DD" w14:textId="77777777" w:rsidR="0052762F" w:rsidRPr="0052762F" w:rsidRDefault="0052762F" w:rsidP="00A80F2A">
      <w:pPr>
        <w:pStyle w:val="ListParagraph"/>
        <w:jc w:val="both"/>
        <w:rPr>
          <w:rFonts w:eastAsia="Times New Roman"/>
          <w:b/>
          <w:bCs/>
          <w:u w:val="single"/>
          <w:lang w:val="en-US"/>
        </w:rPr>
      </w:pPr>
    </w:p>
    <w:p w14:paraId="4816DBD5" w14:textId="282E2C89" w:rsidR="000936E4" w:rsidRDefault="0052762F" w:rsidP="00A80F2A">
      <w:pPr>
        <w:pStyle w:val="ListParagraph"/>
        <w:numPr>
          <w:ilvl w:val="0"/>
          <w:numId w:val="18"/>
        </w:numPr>
        <w:ind w:left="720" w:hanging="720"/>
        <w:jc w:val="both"/>
        <w:rPr>
          <w:rFonts w:eastAsia="Times New Roman"/>
          <w:lang w:val="en-US"/>
        </w:rPr>
      </w:pPr>
      <w:r w:rsidRPr="000936E4">
        <w:rPr>
          <w:rFonts w:eastAsia="Times New Roman"/>
          <w:lang w:val="en-US"/>
        </w:rPr>
        <w:t xml:space="preserve">It was common cause between the parties that they needed a decision on costs. The reason for that position was that the </w:t>
      </w:r>
      <w:r w:rsidR="003F7E77">
        <w:rPr>
          <w:rFonts w:eastAsia="Times New Roman"/>
          <w:lang w:val="en-US"/>
        </w:rPr>
        <w:t>r</w:t>
      </w:r>
      <w:r w:rsidRPr="000936E4">
        <w:rPr>
          <w:rFonts w:eastAsia="Times New Roman"/>
          <w:lang w:val="en-US"/>
        </w:rPr>
        <w:t>espondent had provided the documents required to the applicant</w:t>
      </w:r>
      <w:r w:rsidR="00676DC8">
        <w:rPr>
          <w:rFonts w:eastAsia="Times New Roman"/>
          <w:lang w:val="en-US"/>
        </w:rPr>
        <w:t>s</w:t>
      </w:r>
      <w:r w:rsidRPr="000936E4">
        <w:rPr>
          <w:rFonts w:eastAsia="Times New Roman"/>
          <w:lang w:val="en-US"/>
        </w:rPr>
        <w:t xml:space="preserve"> and</w:t>
      </w:r>
      <w:r w:rsidR="003F7E77">
        <w:rPr>
          <w:rFonts w:eastAsia="Times New Roman"/>
          <w:lang w:val="en-US"/>
        </w:rPr>
        <w:t xml:space="preserve"> in</w:t>
      </w:r>
      <w:r w:rsidR="00076851">
        <w:rPr>
          <w:rFonts w:eastAsia="Times New Roman"/>
          <w:lang w:val="en-US"/>
        </w:rPr>
        <w:t xml:space="preserve"> doing so</w:t>
      </w:r>
      <w:r w:rsidRPr="000936E4">
        <w:rPr>
          <w:rFonts w:eastAsia="Times New Roman"/>
          <w:lang w:val="en-US"/>
        </w:rPr>
        <w:t xml:space="preserve"> </w:t>
      </w:r>
      <w:r w:rsidR="00676DC8">
        <w:rPr>
          <w:rFonts w:eastAsia="Times New Roman"/>
          <w:lang w:val="en-US"/>
        </w:rPr>
        <w:t>it</w:t>
      </w:r>
      <w:r w:rsidR="00076851">
        <w:rPr>
          <w:rFonts w:eastAsia="Times New Roman"/>
          <w:lang w:val="en-US"/>
        </w:rPr>
        <w:t xml:space="preserve"> did</w:t>
      </w:r>
      <w:r w:rsidRPr="000936E4">
        <w:rPr>
          <w:rFonts w:eastAsia="Times New Roman"/>
          <w:lang w:val="en-US"/>
        </w:rPr>
        <w:t xml:space="preserve"> not concede that the applicant</w:t>
      </w:r>
      <w:r w:rsidR="00676DC8">
        <w:rPr>
          <w:rFonts w:eastAsia="Times New Roman"/>
          <w:lang w:val="en-US"/>
        </w:rPr>
        <w:t>s</w:t>
      </w:r>
      <w:r w:rsidRPr="000936E4">
        <w:rPr>
          <w:rFonts w:eastAsia="Times New Roman"/>
          <w:lang w:val="en-US"/>
        </w:rPr>
        <w:t xml:space="preserve"> had made out a case in terms of the rule 35(14)</w:t>
      </w:r>
      <w:r w:rsidR="000936E4">
        <w:rPr>
          <w:rFonts w:eastAsia="Times New Roman"/>
          <w:lang w:val="en-US"/>
        </w:rPr>
        <w:t>.</w:t>
      </w:r>
      <w:r w:rsidR="003F7E77">
        <w:rPr>
          <w:rFonts w:eastAsia="Times New Roman"/>
          <w:lang w:val="en-US"/>
        </w:rPr>
        <w:t xml:space="preserve"> As a consequence, what remained unresolved was the issue of costs. It </w:t>
      </w:r>
      <w:r w:rsidR="00AE0269">
        <w:rPr>
          <w:rFonts w:eastAsia="Times New Roman"/>
          <w:lang w:val="en-US"/>
        </w:rPr>
        <w:t>is</w:t>
      </w:r>
      <w:r w:rsidR="003F7E77">
        <w:rPr>
          <w:rFonts w:eastAsia="Times New Roman"/>
          <w:lang w:val="en-US"/>
        </w:rPr>
        <w:t xml:space="preserve"> th</w:t>
      </w:r>
      <w:r w:rsidR="00AE0269">
        <w:rPr>
          <w:rFonts w:eastAsia="Times New Roman"/>
          <w:lang w:val="en-US"/>
        </w:rPr>
        <w:t>at</w:t>
      </w:r>
      <w:r w:rsidR="003F7E77">
        <w:rPr>
          <w:rFonts w:eastAsia="Times New Roman"/>
          <w:lang w:val="en-US"/>
        </w:rPr>
        <w:t xml:space="preserve"> aspect I was called upon to decide. </w:t>
      </w:r>
    </w:p>
    <w:p w14:paraId="4A96DC05" w14:textId="33B7AD61" w:rsidR="001B3CD7" w:rsidRDefault="001B3CD7" w:rsidP="00722446">
      <w:pPr>
        <w:spacing w:line="240" w:lineRule="auto"/>
        <w:jc w:val="both"/>
        <w:rPr>
          <w:rFonts w:eastAsia="Times New Roman"/>
          <w:lang w:val="en-US"/>
        </w:rPr>
      </w:pPr>
    </w:p>
    <w:p w14:paraId="288321C8" w14:textId="77777777" w:rsidR="00722446" w:rsidRPr="00722446" w:rsidRDefault="00722446" w:rsidP="00722446">
      <w:pPr>
        <w:spacing w:line="240" w:lineRule="auto"/>
        <w:jc w:val="both"/>
        <w:rPr>
          <w:rFonts w:eastAsia="Times New Roman"/>
          <w:lang w:val="en-US"/>
        </w:rPr>
      </w:pPr>
    </w:p>
    <w:p w14:paraId="1936AC34" w14:textId="13ED1874" w:rsidR="0052762F" w:rsidRDefault="0052762F" w:rsidP="00A80F2A">
      <w:pPr>
        <w:pStyle w:val="ListParagraph"/>
        <w:numPr>
          <w:ilvl w:val="0"/>
          <w:numId w:val="18"/>
        </w:numPr>
        <w:ind w:left="720" w:hanging="720"/>
        <w:jc w:val="both"/>
        <w:rPr>
          <w:rFonts w:eastAsia="Times New Roman"/>
          <w:lang w:val="en-US"/>
        </w:rPr>
      </w:pPr>
      <w:r w:rsidRPr="000936E4">
        <w:rPr>
          <w:rFonts w:eastAsia="Times New Roman"/>
          <w:lang w:val="en-US"/>
        </w:rPr>
        <w:t>In other words, the</w:t>
      </w:r>
      <w:r w:rsidR="00AE0269">
        <w:rPr>
          <w:rFonts w:eastAsia="Times New Roman"/>
          <w:lang w:val="en-US"/>
        </w:rPr>
        <w:t xml:space="preserve"> main</w:t>
      </w:r>
      <w:r w:rsidRPr="000936E4">
        <w:rPr>
          <w:rFonts w:eastAsia="Times New Roman"/>
          <w:lang w:val="en-US"/>
        </w:rPr>
        <w:t xml:space="preserve"> issue between the parties was settled but outstanding was the determination of </w:t>
      </w:r>
      <w:r w:rsidR="003F7E77">
        <w:rPr>
          <w:rFonts w:eastAsia="Times New Roman"/>
          <w:lang w:val="en-US"/>
        </w:rPr>
        <w:t xml:space="preserve">who between the parties was liable for </w:t>
      </w:r>
      <w:r w:rsidR="000936E4" w:rsidRPr="000936E4">
        <w:rPr>
          <w:rFonts w:eastAsia="Times New Roman"/>
          <w:lang w:val="en-US"/>
        </w:rPr>
        <w:t>costs.</w:t>
      </w:r>
    </w:p>
    <w:p w14:paraId="39D913BE" w14:textId="77777777" w:rsidR="001B3CD7" w:rsidRPr="001B3CD7" w:rsidRDefault="001B3CD7" w:rsidP="001B3CD7">
      <w:pPr>
        <w:pStyle w:val="ListParagraph"/>
        <w:rPr>
          <w:rFonts w:eastAsia="Times New Roman"/>
          <w:lang w:val="en-US"/>
        </w:rPr>
      </w:pPr>
    </w:p>
    <w:p w14:paraId="09CFC5DD" w14:textId="77777777" w:rsidR="001B3CD7" w:rsidRDefault="001B3CD7" w:rsidP="001B3CD7">
      <w:pPr>
        <w:pStyle w:val="ListParagraph"/>
        <w:jc w:val="both"/>
        <w:rPr>
          <w:rFonts w:eastAsia="Times New Roman"/>
          <w:lang w:val="en-US"/>
        </w:rPr>
      </w:pPr>
    </w:p>
    <w:p w14:paraId="33DAC98C" w14:textId="62DA2AF5" w:rsidR="000936E4" w:rsidRDefault="000936E4" w:rsidP="00A80F2A">
      <w:pPr>
        <w:pStyle w:val="ListParagraph"/>
        <w:numPr>
          <w:ilvl w:val="0"/>
          <w:numId w:val="18"/>
        </w:numPr>
        <w:ind w:left="720" w:hanging="720"/>
        <w:jc w:val="both"/>
        <w:rPr>
          <w:rFonts w:eastAsia="Times New Roman"/>
          <w:lang w:val="en-US"/>
        </w:rPr>
      </w:pPr>
      <w:r>
        <w:rPr>
          <w:rFonts w:eastAsia="Times New Roman"/>
          <w:lang w:val="en-US"/>
        </w:rPr>
        <w:lastRenderedPageBreak/>
        <w:t xml:space="preserve">For proper allocation of costs in such </w:t>
      </w:r>
      <w:r w:rsidR="003F7E77">
        <w:rPr>
          <w:rFonts w:eastAsia="Times New Roman"/>
          <w:lang w:val="en-US"/>
        </w:rPr>
        <w:t>circumstances</w:t>
      </w:r>
      <w:r>
        <w:rPr>
          <w:rFonts w:eastAsia="Times New Roman"/>
          <w:lang w:val="en-US"/>
        </w:rPr>
        <w:t xml:space="preserve">, I was bound to assess the merits or </w:t>
      </w:r>
      <w:r w:rsidR="003F7E77">
        <w:rPr>
          <w:rFonts w:eastAsia="Times New Roman"/>
          <w:lang w:val="en-US"/>
        </w:rPr>
        <w:t xml:space="preserve">demerits </w:t>
      </w:r>
      <w:r>
        <w:rPr>
          <w:rFonts w:eastAsia="Times New Roman"/>
          <w:lang w:val="en-US"/>
        </w:rPr>
        <w:t xml:space="preserve">of the application. </w:t>
      </w:r>
      <w:r w:rsidR="006A5199">
        <w:rPr>
          <w:rFonts w:eastAsia="Times New Roman"/>
          <w:lang w:val="en-US"/>
        </w:rPr>
        <w:t>I state</w:t>
      </w:r>
      <w:r w:rsidR="00AE0269">
        <w:rPr>
          <w:rFonts w:eastAsia="Times New Roman"/>
          <w:lang w:val="en-US"/>
        </w:rPr>
        <w:t>d</w:t>
      </w:r>
      <w:r w:rsidR="006A5199">
        <w:rPr>
          <w:rFonts w:eastAsia="Times New Roman"/>
          <w:lang w:val="en-US"/>
        </w:rPr>
        <w:t xml:space="preserve"> </w:t>
      </w:r>
      <w:r>
        <w:rPr>
          <w:rFonts w:eastAsia="Times New Roman"/>
          <w:lang w:val="en-US"/>
        </w:rPr>
        <w:t xml:space="preserve">in paragraph 13 of my </w:t>
      </w:r>
      <w:r w:rsidR="00AE0269">
        <w:rPr>
          <w:rFonts w:eastAsia="Times New Roman"/>
          <w:lang w:val="en-US"/>
        </w:rPr>
        <w:t>j</w:t>
      </w:r>
      <w:r>
        <w:rPr>
          <w:rFonts w:eastAsia="Times New Roman"/>
          <w:lang w:val="en-US"/>
        </w:rPr>
        <w:t>udgment</w:t>
      </w:r>
      <w:r w:rsidR="006A5199">
        <w:rPr>
          <w:rFonts w:eastAsia="Times New Roman"/>
          <w:lang w:val="en-US"/>
        </w:rPr>
        <w:t xml:space="preserve"> the </w:t>
      </w:r>
      <w:proofErr w:type="gramStart"/>
      <w:r w:rsidR="006A5199">
        <w:rPr>
          <w:rFonts w:eastAsia="Times New Roman"/>
          <w:lang w:val="en-US"/>
        </w:rPr>
        <w:t>following :</w:t>
      </w:r>
      <w:proofErr w:type="gramEnd"/>
    </w:p>
    <w:p w14:paraId="72576094" w14:textId="77777777" w:rsidR="00157886" w:rsidRPr="00157886" w:rsidRDefault="00157886" w:rsidP="00A80F2A">
      <w:pPr>
        <w:pStyle w:val="ListParagraph"/>
        <w:rPr>
          <w:rFonts w:eastAsia="Times New Roman"/>
          <w:lang w:val="en-US"/>
        </w:rPr>
      </w:pPr>
    </w:p>
    <w:p w14:paraId="5B2C990D" w14:textId="3241C100" w:rsidR="000936E4" w:rsidRPr="000936E4" w:rsidRDefault="000936E4" w:rsidP="00A80F2A">
      <w:pPr>
        <w:ind w:left="720"/>
        <w:jc w:val="both"/>
        <w:rPr>
          <w:rFonts w:eastAsia="Times New Roman"/>
          <w:lang w:val="en-US"/>
        </w:rPr>
      </w:pPr>
      <w:r>
        <w:rPr>
          <w:rFonts w:eastAsia="Times New Roman"/>
          <w:lang w:val="en-US"/>
        </w:rPr>
        <w:t>“Of course, in this situation the appropriate approach is to have regard to the merits of the matter and if the applicant would have succeeded the costs of the application would ordinarily be granted in his favor. If not, applying rule of costs, the respond</w:t>
      </w:r>
      <w:r w:rsidR="003E391B">
        <w:rPr>
          <w:rFonts w:eastAsia="Times New Roman"/>
          <w:lang w:val="en-US"/>
        </w:rPr>
        <w:t xml:space="preserve">ent would be entitled to </w:t>
      </w:r>
      <w:r w:rsidR="00D95D8B">
        <w:rPr>
          <w:rFonts w:eastAsia="Times New Roman"/>
          <w:lang w:val="en-US"/>
        </w:rPr>
        <w:t>costs. The</w:t>
      </w:r>
      <w:r>
        <w:rPr>
          <w:rFonts w:eastAsia="Times New Roman"/>
          <w:lang w:val="en-US"/>
        </w:rPr>
        <w:t xml:space="preserve"> Court makes the proper allocation of costs with the material at its disposal.”</w:t>
      </w:r>
    </w:p>
    <w:p w14:paraId="1378F58E" w14:textId="6791C126" w:rsidR="00157886" w:rsidRDefault="00157886" w:rsidP="005C7087">
      <w:pPr>
        <w:pStyle w:val="ListParagraph"/>
        <w:spacing w:line="240" w:lineRule="auto"/>
        <w:rPr>
          <w:rFonts w:eastAsia="Times New Roman"/>
          <w:lang w:val="en-US"/>
        </w:rPr>
      </w:pPr>
    </w:p>
    <w:p w14:paraId="5DABBBD4" w14:textId="77777777" w:rsidR="00722446" w:rsidRPr="000936E4" w:rsidRDefault="00722446" w:rsidP="005C7087">
      <w:pPr>
        <w:pStyle w:val="ListParagraph"/>
        <w:spacing w:line="240" w:lineRule="auto"/>
        <w:rPr>
          <w:rFonts w:eastAsia="Times New Roman"/>
          <w:lang w:val="en-US"/>
        </w:rPr>
      </w:pPr>
    </w:p>
    <w:p w14:paraId="3ECA681F" w14:textId="003BE481" w:rsidR="000936E4" w:rsidRDefault="000936E4" w:rsidP="00A80F2A">
      <w:pPr>
        <w:pStyle w:val="ListParagraph"/>
        <w:numPr>
          <w:ilvl w:val="0"/>
          <w:numId w:val="18"/>
        </w:numPr>
        <w:ind w:left="720" w:hanging="720"/>
        <w:jc w:val="both"/>
        <w:rPr>
          <w:rFonts w:eastAsia="Times New Roman"/>
          <w:lang w:val="en-US"/>
        </w:rPr>
      </w:pPr>
      <w:r>
        <w:rPr>
          <w:rFonts w:eastAsia="Times New Roman"/>
          <w:lang w:val="en-US"/>
        </w:rPr>
        <w:t>If the applicant</w:t>
      </w:r>
      <w:r w:rsidR="00AE0269">
        <w:rPr>
          <w:rFonts w:eastAsia="Times New Roman"/>
          <w:lang w:val="en-US"/>
        </w:rPr>
        <w:t>s</w:t>
      </w:r>
      <w:r>
        <w:rPr>
          <w:rFonts w:eastAsia="Times New Roman"/>
          <w:lang w:val="en-US"/>
        </w:rPr>
        <w:t xml:space="preserve"> had made out a case in terms of rule 35(14) provisions,</w:t>
      </w:r>
      <w:r w:rsidR="00017B2C">
        <w:rPr>
          <w:rFonts w:eastAsia="Times New Roman"/>
          <w:lang w:val="en-US"/>
        </w:rPr>
        <w:t xml:space="preserve"> potentially </w:t>
      </w:r>
      <w:r w:rsidR="00AE0269">
        <w:rPr>
          <w:rFonts w:eastAsia="Times New Roman"/>
          <w:lang w:val="en-US"/>
        </w:rPr>
        <w:t>t</w:t>
      </w:r>
      <w:r w:rsidR="00A4594C">
        <w:rPr>
          <w:rFonts w:eastAsia="Times New Roman"/>
          <w:lang w:val="en-US"/>
        </w:rPr>
        <w:t>he</w:t>
      </w:r>
      <w:r w:rsidR="00AE0269">
        <w:rPr>
          <w:rFonts w:eastAsia="Times New Roman"/>
          <w:lang w:val="en-US"/>
        </w:rPr>
        <w:t>y</w:t>
      </w:r>
      <w:r w:rsidR="00A4594C">
        <w:rPr>
          <w:rFonts w:eastAsia="Times New Roman"/>
          <w:lang w:val="en-US"/>
        </w:rPr>
        <w:t xml:space="preserve"> </w:t>
      </w:r>
      <w:r w:rsidR="00F71952">
        <w:rPr>
          <w:rFonts w:eastAsia="Times New Roman"/>
          <w:lang w:val="en-US"/>
        </w:rPr>
        <w:t>could</w:t>
      </w:r>
      <w:r w:rsidR="00A4594C">
        <w:rPr>
          <w:rFonts w:eastAsia="Times New Roman"/>
          <w:lang w:val="en-US"/>
        </w:rPr>
        <w:t xml:space="preserve"> have gotten </w:t>
      </w:r>
      <w:r w:rsidR="00017B2C">
        <w:rPr>
          <w:rFonts w:eastAsia="Times New Roman"/>
          <w:lang w:val="en-US"/>
        </w:rPr>
        <w:t xml:space="preserve">an order of costs in </w:t>
      </w:r>
      <w:r w:rsidR="00AE0269">
        <w:rPr>
          <w:rFonts w:eastAsia="Times New Roman"/>
          <w:lang w:val="en-US"/>
        </w:rPr>
        <w:t>their</w:t>
      </w:r>
      <w:r w:rsidR="00017B2C">
        <w:rPr>
          <w:rFonts w:eastAsia="Times New Roman"/>
          <w:lang w:val="en-US"/>
        </w:rPr>
        <w:t xml:space="preserve"> </w:t>
      </w:r>
      <w:proofErr w:type="spellStart"/>
      <w:r w:rsidR="00017B2C">
        <w:rPr>
          <w:rFonts w:eastAsia="Times New Roman"/>
          <w:lang w:val="en-US"/>
        </w:rPr>
        <w:t>favour</w:t>
      </w:r>
      <w:proofErr w:type="spellEnd"/>
      <w:r w:rsidR="007E7FA2">
        <w:rPr>
          <w:rFonts w:eastAsia="Times New Roman"/>
          <w:lang w:val="en-US"/>
        </w:rPr>
        <w:t>. T</w:t>
      </w:r>
      <w:r w:rsidR="00AE0269">
        <w:rPr>
          <w:rFonts w:eastAsia="Times New Roman"/>
          <w:lang w:val="en-US"/>
        </w:rPr>
        <w:t>hey</w:t>
      </w:r>
      <w:r w:rsidR="00A4594C">
        <w:rPr>
          <w:rFonts w:eastAsia="Times New Roman"/>
          <w:lang w:val="en-US"/>
        </w:rPr>
        <w:t xml:space="preserve"> </w:t>
      </w:r>
      <w:r w:rsidR="00017B2C">
        <w:rPr>
          <w:rFonts w:eastAsia="Times New Roman"/>
          <w:lang w:val="en-US"/>
        </w:rPr>
        <w:t>achieved minimal success. The majority of documents which were demanded by the applicant</w:t>
      </w:r>
      <w:r w:rsidR="007E7FA2">
        <w:rPr>
          <w:rFonts w:eastAsia="Times New Roman"/>
          <w:lang w:val="en-US"/>
        </w:rPr>
        <w:t>s</w:t>
      </w:r>
      <w:r w:rsidR="00017B2C">
        <w:rPr>
          <w:rFonts w:eastAsia="Times New Roman"/>
          <w:lang w:val="en-US"/>
        </w:rPr>
        <w:t xml:space="preserve"> were successfully resisted by the respondents. </w:t>
      </w:r>
    </w:p>
    <w:p w14:paraId="6778AD7D" w14:textId="77777777" w:rsidR="00A4594C" w:rsidRDefault="00A4594C" w:rsidP="00A80F2A">
      <w:pPr>
        <w:pStyle w:val="ListParagraph"/>
        <w:ind w:left="142"/>
        <w:jc w:val="both"/>
        <w:rPr>
          <w:rFonts w:eastAsia="Times New Roman"/>
          <w:lang w:val="en-US"/>
        </w:rPr>
      </w:pPr>
    </w:p>
    <w:p w14:paraId="2DA31A6C" w14:textId="7B047612" w:rsidR="00A4594C" w:rsidRDefault="00A4594C" w:rsidP="00A80F2A">
      <w:pPr>
        <w:pStyle w:val="ListParagraph"/>
        <w:numPr>
          <w:ilvl w:val="0"/>
          <w:numId w:val="18"/>
        </w:numPr>
        <w:ind w:left="720" w:hanging="720"/>
        <w:jc w:val="both"/>
        <w:rPr>
          <w:rFonts w:eastAsia="Times New Roman"/>
          <w:lang w:val="en-US"/>
        </w:rPr>
      </w:pPr>
      <w:r>
        <w:rPr>
          <w:rFonts w:eastAsia="Times New Roman"/>
          <w:lang w:val="en-US"/>
        </w:rPr>
        <w:t>The above was not the only issue that persuaded me to issue the order I did.</w:t>
      </w:r>
      <w:r w:rsidR="00017B2C">
        <w:rPr>
          <w:rFonts w:eastAsia="Times New Roman"/>
          <w:lang w:val="en-US"/>
        </w:rPr>
        <w:t xml:space="preserve"> I</w:t>
      </w:r>
      <w:r>
        <w:rPr>
          <w:rFonts w:eastAsia="Times New Roman"/>
          <w:lang w:val="en-US"/>
        </w:rPr>
        <w:t>n paragraphs 37-38 of the judgment I stated the following:</w:t>
      </w:r>
    </w:p>
    <w:p w14:paraId="21B74C3D" w14:textId="77777777" w:rsidR="00157886" w:rsidRPr="00157886" w:rsidRDefault="00157886" w:rsidP="00A80F2A">
      <w:pPr>
        <w:pStyle w:val="ListParagraph"/>
        <w:rPr>
          <w:rFonts w:eastAsia="Times New Roman"/>
          <w:lang w:val="en-US"/>
        </w:rPr>
      </w:pPr>
    </w:p>
    <w:p w14:paraId="537F2E9D" w14:textId="0D05A682" w:rsidR="00A4594C" w:rsidRPr="006E2611" w:rsidRDefault="00A4594C" w:rsidP="00A80F2A">
      <w:pPr>
        <w:ind w:left="1260" w:hanging="540"/>
        <w:jc w:val="both"/>
        <w:rPr>
          <w:rFonts w:eastAsia="Times New Roman"/>
          <w:sz w:val="22"/>
          <w:szCs w:val="22"/>
          <w:lang w:val="en-US"/>
        </w:rPr>
      </w:pPr>
      <w:r>
        <w:rPr>
          <w:rFonts w:eastAsia="Times New Roman"/>
          <w:lang w:val="en-US"/>
        </w:rPr>
        <w:t>“</w:t>
      </w:r>
      <w:r w:rsidRPr="006E2611">
        <w:rPr>
          <w:rFonts w:eastAsia="Times New Roman"/>
          <w:sz w:val="22"/>
          <w:szCs w:val="22"/>
          <w:lang w:val="en-US"/>
        </w:rPr>
        <w:t xml:space="preserve">37.  </w:t>
      </w:r>
      <w:r w:rsidR="00157886">
        <w:rPr>
          <w:rFonts w:eastAsia="Times New Roman"/>
          <w:sz w:val="22"/>
          <w:szCs w:val="22"/>
          <w:lang w:val="en-US"/>
        </w:rPr>
        <w:t xml:space="preserve"> </w:t>
      </w:r>
      <w:r w:rsidRPr="006E2611">
        <w:rPr>
          <w:rFonts w:eastAsia="Times New Roman"/>
          <w:sz w:val="22"/>
          <w:szCs w:val="22"/>
          <w:lang w:val="en-US"/>
        </w:rPr>
        <w:t>On costs</w:t>
      </w:r>
      <w:r w:rsidR="00017B2C">
        <w:rPr>
          <w:rFonts w:eastAsia="Times New Roman"/>
          <w:sz w:val="22"/>
          <w:szCs w:val="22"/>
          <w:lang w:val="en-US"/>
        </w:rPr>
        <w:t>,</w:t>
      </w:r>
      <w:r w:rsidRPr="006E2611">
        <w:rPr>
          <w:rFonts w:eastAsia="Times New Roman"/>
          <w:sz w:val="22"/>
          <w:szCs w:val="22"/>
          <w:lang w:val="en-US"/>
        </w:rPr>
        <w:t xml:space="preserve"> I have taken into account the nature of the proceedings and the effect a costs order will have on either of the parties and the prevailing circumstances.</w:t>
      </w:r>
    </w:p>
    <w:p w14:paraId="2AFD27F6" w14:textId="77777777" w:rsidR="006E2611" w:rsidRPr="006E2611" w:rsidRDefault="006E2611" w:rsidP="00A80F2A">
      <w:pPr>
        <w:ind w:left="720"/>
        <w:jc w:val="both"/>
        <w:rPr>
          <w:rFonts w:eastAsia="Times New Roman"/>
          <w:sz w:val="22"/>
          <w:szCs w:val="22"/>
          <w:lang w:val="en-US"/>
        </w:rPr>
      </w:pPr>
    </w:p>
    <w:p w14:paraId="06DC1CDE" w14:textId="27E47FC9" w:rsidR="00A4594C" w:rsidRDefault="00A4594C" w:rsidP="00A80F2A">
      <w:pPr>
        <w:ind w:left="1260" w:hanging="540"/>
        <w:jc w:val="both"/>
        <w:rPr>
          <w:rFonts w:eastAsia="Times New Roman"/>
          <w:sz w:val="22"/>
          <w:szCs w:val="22"/>
          <w:lang w:val="en-US"/>
        </w:rPr>
      </w:pPr>
      <w:r w:rsidRPr="006E2611">
        <w:rPr>
          <w:rFonts w:eastAsia="Times New Roman"/>
          <w:sz w:val="22"/>
          <w:szCs w:val="22"/>
          <w:lang w:val="en-US"/>
        </w:rPr>
        <w:t>38</w:t>
      </w:r>
      <w:r w:rsidR="006E2611" w:rsidRPr="006E2611">
        <w:rPr>
          <w:rFonts w:eastAsia="Times New Roman"/>
          <w:sz w:val="22"/>
          <w:szCs w:val="22"/>
          <w:lang w:val="en-US"/>
        </w:rPr>
        <w:t xml:space="preserve">.   </w:t>
      </w:r>
      <w:r w:rsidR="004B725D">
        <w:rPr>
          <w:rFonts w:eastAsia="Times New Roman"/>
          <w:sz w:val="22"/>
          <w:szCs w:val="22"/>
          <w:lang w:val="en-US"/>
        </w:rPr>
        <w:t xml:space="preserve"> </w:t>
      </w:r>
      <w:r w:rsidR="006E2611" w:rsidRPr="006E2611">
        <w:rPr>
          <w:rFonts w:eastAsia="Times New Roman"/>
          <w:sz w:val="22"/>
          <w:szCs w:val="22"/>
          <w:lang w:val="en-US"/>
        </w:rPr>
        <w:t xml:space="preserve">I must mention that is it difficult to understand why </w:t>
      </w:r>
      <w:r w:rsidR="00017B2C">
        <w:rPr>
          <w:rFonts w:eastAsia="Times New Roman"/>
          <w:sz w:val="22"/>
          <w:szCs w:val="22"/>
          <w:lang w:val="en-US"/>
        </w:rPr>
        <w:t>a found</w:t>
      </w:r>
      <w:r w:rsidR="008D6DA7">
        <w:rPr>
          <w:rFonts w:eastAsia="Times New Roman"/>
          <w:sz w:val="22"/>
          <w:szCs w:val="22"/>
          <w:lang w:val="en-US"/>
        </w:rPr>
        <w:t>ing</w:t>
      </w:r>
      <w:r w:rsidR="00017B2C">
        <w:rPr>
          <w:rFonts w:eastAsia="Times New Roman"/>
          <w:sz w:val="22"/>
          <w:szCs w:val="22"/>
          <w:lang w:val="en-US"/>
        </w:rPr>
        <w:t xml:space="preserve"> </w:t>
      </w:r>
      <w:r w:rsidR="006E2611" w:rsidRPr="006E2611">
        <w:rPr>
          <w:rFonts w:eastAsia="Times New Roman"/>
          <w:sz w:val="22"/>
          <w:szCs w:val="22"/>
          <w:lang w:val="en-US"/>
        </w:rPr>
        <w:t>affidavit consisted of 15 paragraphs and on the other hand have a replying affidavit with up to 30 paragraphs (Bara matter)</w:t>
      </w:r>
      <w:r w:rsidR="00CA7834">
        <w:rPr>
          <w:rFonts w:eastAsia="Times New Roman"/>
          <w:sz w:val="22"/>
          <w:szCs w:val="22"/>
          <w:lang w:val="en-US"/>
        </w:rPr>
        <w:t xml:space="preserve"> </w:t>
      </w:r>
      <w:r w:rsidR="006E2611" w:rsidRPr="006E2611">
        <w:rPr>
          <w:rFonts w:eastAsia="Times New Roman"/>
          <w:sz w:val="22"/>
          <w:szCs w:val="22"/>
          <w:lang w:val="en-US"/>
        </w:rPr>
        <w:t>and 24 paragraphs in the Apostolou matter”.</w:t>
      </w:r>
    </w:p>
    <w:p w14:paraId="7B7D3F9F" w14:textId="77777777" w:rsidR="006E2611" w:rsidRDefault="006E2611" w:rsidP="00A80F2A">
      <w:pPr>
        <w:ind w:left="720"/>
        <w:jc w:val="both"/>
        <w:rPr>
          <w:rFonts w:eastAsia="Times New Roman"/>
          <w:sz w:val="22"/>
          <w:szCs w:val="22"/>
          <w:lang w:val="en-US"/>
        </w:rPr>
      </w:pPr>
    </w:p>
    <w:p w14:paraId="5CE071ED" w14:textId="52D4B3B5" w:rsidR="006E2611" w:rsidRPr="006E2611" w:rsidRDefault="006E2611" w:rsidP="008D19DA">
      <w:pPr>
        <w:pStyle w:val="ListParagraph"/>
        <w:numPr>
          <w:ilvl w:val="0"/>
          <w:numId w:val="20"/>
        </w:numPr>
        <w:ind w:hanging="720"/>
        <w:jc w:val="both"/>
        <w:rPr>
          <w:rFonts w:eastAsia="Times New Roman"/>
          <w:b/>
          <w:bCs/>
          <w:sz w:val="22"/>
          <w:szCs w:val="22"/>
          <w:u w:val="single"/>
          <w:lang w:val="en-US"/>
        </w:rPr>
      </w:pPr>
      <w:r w:rsidRPr="006E2611">
        <w:rPr>
          <w:rFonts w:eastAsia="Times New Roman"/>
          <w:b/>
          <w:bCs/>
          <w:sz w:val="22"/>
          <w:szCs w:val="22"/>
          <w:u w:val="single"/>
          <w:lang w:val="en-US"/>
        </w:rPr>
        <w:t>Applicants’ compliance with the provisions of rule 35 (14)</w:t>
      </w:r>
    </w:p>
    <w:p w14:paraId="6E5A2940" w14:textId="77777777" w:rsidR="00A4594C" w:rsidRPr="00A4594C" w:rsidRDefault="00A4594C" w:rsidP="00A80F2A">
      <w:pPr>
        <w:pStyle w:val="ListParagraph"/>
        <w:rPr>
          <w:rFonts w:eastAsia="Times New Roman"/>
          <w:lang w:val="en-US"/>
        </w:rPr>
      </w:pPr>
    </w:p>
    <w:p w14:paraId="06C4DB0C" w14:textId="049CCAFB" w:rsidR="008A40F2" w:rsidRPr="00A27B32" w:rsidRDefault="006E2611" w:rsidP="00A80F2A">
      <w:pPr>
        <w:pStyle w:val="ListParagraph"/>
        <w:numPr>
          <w:ilvl w:val="0"/>
          <w:numId w:val="18"/>
        </w:numPr>
        <w:ind w:left="720" w:hanging="720"/>
        <w:jc w:val="both"/>
        <w:rPr>
          <w:rFonts w:eastAsia="Times New Roman"/>
          <w:lang w:val="en-US"/>
        </w:rPr>
      </w:pPr>
      <w:r w:rsidRPr="00A27B32">
        <w:rPr>
          <w:rFonts w:eastAsia="Times New Roman"/>
          <w:lang w:val="en-US"/>
        </w:rPr>
        <w:t xml:space="preserve">In respect of the </w:t>
      </w:r>
      <w:r w:rsidR="00017B2C" w:rsidRPr="00A27B32">
        <w:rPr>
          <w:rFonts w:eastAsia="Times New Roman"/>
          <w:lang w:val="en-US"/>
        </w:rPr>
        <w:t xml:space="preserve">reconciliation document demanded under rule 35(14) </w:t>
      </w:r>
      <w:r w:rsidRPr="00A27B32">
        <w:rPr>
          <w:rFonts w:eastAsia="Times New Roman"/>
          <w:lang w:val="en-US"/>
        </w:rPr>
        <w:t xml:space="preserve">I found in </w:t>
      </w:r>
      <w:proofErr w:type="spellStart"/>
      <w:r w:rsidRPr="00A27B32">
        <w:rPr>
          <w:rFonts w:eastAsia="Times New Roman"/>
          <w:lang w:val="en-US"/>
        </w:rPr>
        <w:t>favour</w:t>
      </w:r>
      <w:proofErr w:type="spellEnd"/>
      <w:r w:rsidRPr="00A27B32">
        <w:rPr>
          <w:rFonts w:eastAsia="Times New Roman"/>
          <w:lang w:val="en-US"/>
        </w:rPr>
        <w:t xml:space="preserve"> of the applicant</w:t>
      </w:r>
      <w:r w:rsidR="00AE0269">
        <w:rPr>
          <w:rFonts w:eastAsia="Times New Roman"/>
          <w:lang w:val="en-US"/>
        </w:rPr>
        <w:t>s</w:t>
      </w:r>
      <w:r w:rsidRPr="00A27B32">
        <w:rPr>
          <w:rFonts w:eastAsia="Times New Roman"/>
          <w:lang w:val="en-US"/>
        </w:rPr>
        <w:t>.</w:t>
      </w:r>
      <w:r w:rsidR="00A27B32" w:rsidRPr="00A27B32">
        <w:rPr>
          <w:rFonts w:eastAsia="Times New Roman"/>
          <w:lang w:val="en-US"/>
        </w:rPr>
        <w:t xml:space="preserve"> </w:t>
      </w:r>
      <w:r w:rsidRPr="00A27B32">
        <w:rPr>
          <w:rFonts w:eastAsia="Times New Roman"/>
          <w:lang w:val="en-US"/>
        </w:rPr>
        <w:t xml:space="preserve">Equally, the </w:t>
      </w:r>
      <w:r w:rsidR="003C2F5E" w:rsidRPr="00A27B32">
        <w:rPr>
          <w:rFonts w:eastAsia="Times New Roman"/>
          <w:lang w:val="en-US"/>
        </w:rPr>
        <w:t>dishonored or</w:t>
      </w:r>
      <w:r w:rsidRPr="00A27B32">
        <w:rPr>
          <w:rFonts w:eastAsia="Times New Roman"/>
          <w:lang w:val="en-US"/>
        </w:rPr>
        <w:t xml:space="preserve"> </w:t>
      </w:r>
      <w:r w:rsidR="00742EDE" w:rsidRPr="00A27B32">
        <w:rPr>
          <w:rFonts w:eastAsia="Times New Roman"/>
          <w:lang w:val="en-US"/>
        </w:rPr>
        <w:t>honored</w:t>
      </w:r>
      <w:r w:rsidRPr="00A27B32">
        <w:rPr>
          <w:rFonts w:eastAsia="Times New Roman"/>
          <w:lang w:val="en-US"/>
        </w:rPr>
        <w:t xml:space="preserve"> payments set-out in paragraph 11 of the </w:t>
      </w:r>
      <w:r w:rsidR="00AE0269">
        <w:rPr>
          <w:rFonts w:eastAsia="Times New Roman"/>
          <w:lang w:val="en-US"/>
        </w:rPr>
        <w:t>j</w:t>
      </w:r>
      <w:r w:rsidRPr="00A27B32">
        <w:rPr>
          <w:rFonts w:eastAsia="Times New Roman"/>
          <w:lang w:val="en-US"/>
        </w:rPr>
        <w:t>udgment</w:t>
      </w:r>
      <w:r w:rsidR="00742EDE" w:rsidRPr="00A27B32">
        <w:rPr>
          <w:rFonts w:eastAsia="Times New Roman"/>
          <w:lang w:val="en-US"/>
        </w:rPr>
        <w:t xml:space="preserve"> were found necessary to be furnished to the applicant.</w:t>
      </w:r>
      <w:r w:rsidR="00A27B32">
        <w:rPr>
          <w:rFonts w:eastAsia="Times New Roman"/>
          <w:lang w:val="en-US"/>
        </w:rPr>
        <w:t xml:space="preserve"> In this respect</w:t>
      </w:r>
      <w:r w:rsidR="00CA7834">
        <w:rPr>
          <w:rFonts w:eastAsia="Times New Roman"/>
          <w:lang w:val="en-US"/>
        </w:rPr>
        <w:t>,</w:t>
      </w:r>
      <w:r w:rsidR="00A27B32">
        <w:rPr>
          <w:rFonts w:eastAsia="Times New Roman"/>
          <w:lang w:val="en-US"/>
        </w:rPr>
        <w:t xml:space="preserve"> I</w:t>
      </w:r>
      <w:r w:rsidR="00AD7F25">
        <w:rPr>
          <w:rFonts w:eastAsia="Times New Roman"/>
          <w:lang w:val="en-US"/>
        </w:rPr>
        <w:t xml:space="preserve"> stated that</w:t>
      </w:r>
      <w:r w:rsidR="00CA7834">
        <w:rPr>
          <w:rFonts w:eastAsia="Times New Roman"/>
          <w:lang w:val="en-US"/>
        </w:rPr>
        <w:t xml:space="preserve"> one can reasonably</w:t>
      </w:r>
      <w:r w:rsidR="00A27B32">
        <w:rPr>
          <w:rFonts w:eastAsia="Times New Roman"/>
          <w:lang w:val="en-US"/>
        </w:rPr>
        <w:t xml:space="preserve"> believe that the reconciliation statement would exhibit these documents. </w:t>
      </w:r>
      <w:r w:rsidR="00AE0269">
        <w:rPr>
          <w:rFonts w:eastAsia="Times New Roman"/>
          <w:lang w:val="en-US"/>
        </w:rPr>
        <w:t>In respect of dishonored payments</w:t>
      </w:r>
      <w:r w:rsidR="00A27B32">
        <w:rPr>
          <w:rFonts w:eastAsia="Times New Roman"/>
          <w:lang w:val="en-US"/>
        </w:rPr>
        <w:t xml:space="preserve"> I issued the order in </w:t>
      </w:r>
      <w:proofErr w:type="spellStart"/>
      <w:r w:rsidR="00A27B32">
        <w:rPr>
          <w:rFonts w:eastAsia="Times New Roman"/>
          <w:lang w:val="en-US"/>
        </w:rPr>
        <w:t>favour</w:t>
      </w:r>
      <w:proofErr w:type="spellEnd"/>
      <w:r w:rsidR="00A27B32">
        <w:rPr>
          <w:rFonts w:eastAsia="Times New Roman"/>
          <w:lang w:val="en-US"/>
        </w:rPr>
        <w:t xml:space="preserve"> of the applicant</w:t>
      </w:r>
      <w:r w:rsidR="00AE0269">
        <w:rPr>
          <w:rFonts w:eastAsia="Times New Roman"/>
          <w:lang w:val="en-US"/>
        </w:rPr>
        <w:t xml:space="preserve"> and</w:t>
      </w:r>
      <w:r w:rsidR="00A27B32">
        <w:rPr>
          <w:rFonts w:eastAsia="Times New Roman"/>
          <w:lang w:val="en-US"/>
        </w:rPr>
        <w:t xml:space="preserve"> </w:t>
      </w:r>
      <w:r w:rsidR="00A27B32" w:rsidRPr="00AE0269">
        <w:rPr>
          <w:rFonts w:eastAsia="Times New Roman"/>
          <w:i/>
          <w:lang w:val="en-US"/>
        </w:rPr>
        <w:t xml:space="preserve">ex </w:t>
      </w:r>
      <w:proofErr w:type="spellStart"/>
      <w:r w:rsidR="00A27B32" w:rsidRPr="00AE0269">
        <w:rPr>
          <w:rFonts w:eastAsia="Times New Roman"/>
          <w:i/>
          <w:lang w:val="en-US"/>
        </w:rPr>
        <w:t>abundanti</w:t>
      </w:r>
      <w:proofErr w:type="spellEnd"/>
      <w:r w:rsidR="00A27B32" w:rsidRPr="00AE0269">
        <w:rPr>
          <w:rFonts w:eastAsia="Times New Roman"/>
          <w:i/>
          <w:lang w:val="en-US"/>
        </w:rPr>
        <w:t xml:space="preserve"> </w:t>
      </w:r>
      <w:proofErr w:type="spellStart"/>
      <w:r w:rsidR="00A27B32" w:rsidRPr="00AE0269">
        <w:rPr>
          <w:rFonts w:eastAsia="Times New Roman"/>
          <w:i/>
          <w:lang w:val="en-US"/>
        </w:rPr>
        <w:t>cautela</w:t>
      </w:r>
      <w:proofErr w:type="spellEnd"/>
      <w:r w:rsidR="00CA7834">
        <w:rPr>
          <w:rFonts w:eastAsia="Times New Roman"/>
          <w:lang w:val="en-US"/>
        </w:rPr>
        <w:t>. T</w:t>
      </w:r>
      <w:r w:rsidR="00A27B32">
        <w:rPr>
          <w:rFonts w:eastAsia="Times New Roman"/>
          <w:lang w:val="en-US"/>
        </w:rPr>
        <w:t xml:space="preserve">hat I did not consider it </w:t>
      </w:r>
      <w:r w:rsidR="00CA7834">
        <w:rPr>
          <w:rFonts w:eastAsia="Times New Roman"/>
          <w:lang w:val="en-US"/>
        </w:rPr>
        <w:t>to be</w:t>
      </w:r>
      <w:r w:rsidR="003A0295">
        <w:rPr>
          <w:rFonts w:eastAsia="Times New Roman"/>
          <w:lang w:val="en-US"/>
        </w:rPr>
        <w:t xml:space="preserve"> a</w:t>
      </w:r>
      <w:r w:rsidR="00A27B32">
        <w:rPr>
          <w:rFonts w:eastAsia="Times New Roman"/>
          <w:lang w:val="en-US"/>
        </w:rPr>
        <w:t xml:space="preserve"> success</w:t>
      </w:r>
      <w:r w:rsidR="00AE0269">
        <w:rPr>
          <w:rFonts w:eastAsia="Times New Roman"/>
          <w:lang w:val="en-US"/>
        </w:rPr>
        <w:t xml:space="preserve"> </w:t>
      </w:r>
      <w:r w:rsidR="00CA7834">
        <w:rPr>
          <w:rFonts w:eastAsia="Times New Roman"/>
          <w:lang w:val="en-US"/>
        </w:rPr>
        <w:t xml:space="preserve">in </w:t>
      </w:r>
      <w:proofErr w:type="spellStart"/>
      <w:r w:rsidR="00CA7834">
        <w:rPr>
          <w:rFonts w:eastAsia="Times New Roman"/>
          <w:lang w:val="en-US"/>
        </w:rPr>
        <w:t>favour</w:t>
      </w:r>
      <w:proofErr w:type="spellEnd"/>
      <w:r w:rsidR="00CA7834">
        <w:rPr>
          <w:rFonts w:eastAsia="Times New Roman"/>
          <w:lang w:val="en-US"/>
        </w:rPr>
        <w:t xml:space="preserve"> of the</w:t>
      </w:r>
      <w:r w:rsidR="00AE0269">
        <w:rPr>
          <w:rFonts w:eastAsia="Times New Roman"/>
          <w:lang w:val="en-US"/>
        </w:rPr>
        <w:t xml:space="preserve"> applicant</w:t>
      </w:r>
      <w:r w:rsidR="00A27B32">
        <w:rPr>
          <w:rFonts w:eastAsia="Times New Roman"/>
          <w:lang w:val="en-US"/>
        </w:rPr>
        <w:t>.</w:t>
      </w:r>
    </w:p>
    <w:p w14:paraId="36B94DC8" w14:textId="77777777" w:rsidR="008A40F2" w:rsidRPr="008A40F2" w:rsidRDefault="008A40F2" w:rsidP="00A80F2A">
      <w:pPr>
        <w:pStyle w:val="ListParagraph"/>
        <w:rPr>
          <w:rFonts w:eastAsia="Times New Roman"/>
          <w:lang w:val="en-US"/>
        </w:rPr>
      </w:pPr>
    </w:p>
    <w:p w14:paraId="381F4645" w14:textId="0684523D" w:rsidR="006E2611" w:rsidRDefault="00742EDE" w:rsidP="00A80F2A">
      <w:pPr>
        <w:pStyle w:val="ListParagraph"/>
        <w:numPr>
          <w:ilvl w:val="0"/>
          <w:numId w:val="18"/>
        </w:numPr>
        <w:ind w:left="720" w:hanging="720"/>
        <w:jc w:val="both"/>
        <w:rPr>
          <w:rFonts w:eastAsia="Times New Roman"/>
          <w:lang w:val="en-US"/>
        </w:rPr>
      </w:pPr>
      <w:r w:rsidRPr="008A40F2">
        <w:rPr>
          <w:rFonts w:eastAsia="Times New Roman"/>
          <w:lang w:val="en-US"/>
        </w:rPr>
        <w:t>The relevant jurisdict</w:t>
      </w:r>
      <w:r w:rsidR="00AE0269">
        <w:rPr>
          <w:rFonts w:eastAsia="Times New Roman"/>
          <w:lang w:val="en-US"/>
        </w:rPr>
        <w:t>ional</w:t>
      </w:r>
      <w:r w:rsidRPr="008A40F2">
        <w:rPr>
          <w:rFonts w:eastAsia="Times New Roman"/>
          <w:lang w:val="en-US"/>
        </w:rPr>
        <w:t xml:space="preserve"> requirements under rule 35(14)</w:t>
      </w:r>
      <w:r w:rsidR="00CA7834">
        <w:rPr>
          <w:rFonts w:eastAsia="Times New Roman"/>
          <w:lang w:val="en-US"/>
        </w:rPr>
        <w:t xml:space="preserve"> which</w:t>
      </w:r>
      <w:r w:rsidRPr="008A40F2">
        <w:rPr>
          <w:rFonts w:eastAsia="Times New Roman"/>
          <w:lang w:val="en-US"/>
        </w:rPr>
        <w:t xml:space="preserve"> </w:t>
      </w:r>
      <w:r w:rsidR="00AE0269">
        <w:rPr>
          <w:rFonts w:eastAsia="Times New Roman"/>
          <w:lang w:val="en-US"/>
        </w:rPr>
        <w:t xml:space="preserve">the applicants were expected to articulate and address </w:t>
      </w:r>
      <w:r w:rsidRPr="008A40F2">
        <w:rPr>
          <w:rFonts w:eastAsia="Times New Roman"/>
          <w:lang w:val="en-US"/>
        </w:rPr>
        <w:t>are:</w:t>
      </w:r>
    </w:p>
    <w:p w14:paraId="7C475D7C" w14:textId="77777777" w:rsidR="008A40F2" w:rsidRPr="008A40F2" w:rsidRDefault="008A40F2" w:rsidP="00A80F2A">
      <w:pPr>
        <w:pStyle w:val="ListParagraph"/>
        <w:rPr>
          <w:rFonts w:eastAsia="Times New Roman"/>
          <w:lang w:val="en-US"/>
        </w:rPr>
      </w:pPr>
    </w:p>
    <w:p w14:paraId="282DB361" w14:textId="36E06794" w:rsidR="008A40F2" w:rsidRDefault="008A40F2" w:rsidP="00A80F2A">
      <w:pPr>
        <w:pStyle w:val="ListParagraph"/>
        <w:ind w:left="810"/>
        <w:jc w:val="both"/>
        <w:rPr>
          <w:rFonts w:eastAsia="Times New Roman"/>
          <w:lang w:val="en-US"/>
        </w:rPr>
      </w:pPr>
      <w:r>
        <w:rPr>
          <w:rFonts w:eastAsia="Times New Roman"/>
          <w:lang w:val="en-US"/>
        </w:rPr>
        <w:t>1</w:t>
      </w:r>
      <w:r w:rsidR="00B25571">
        <w:rPr>
          <w:rFonts w:eastAsia="Times New Roman"/>
          <w:lang w:val="en-US"/>
        </w:rPr>
        <w:t>2</w:t>
      </w:r>
      <w:r>
        <w:rPr>
          <w:rFonts w:eastAsia="Times New Roman"/>
          <w:lang w:val="en-US"/>
        </w:rPr>
        <w:t>.1</w:t>
      </w:r>
      <w:r>
        <w:rPr>
          <w:rFonts w:eastAsia="Times New Roman"/>
          <w:lang w:val="en-US"/>
        </w:rPr>
        <w:tab/>
        <w:t>a clearly specified document for purposes of pleading</w:t>
      </w:r>
      <w:r w:rsidR="00A44191">
        <w:rPr>
          <w:rFonts w:eastAsia="Times New Roman"/>
          <w:lang w:val="en-US"/>
        </w:rPr>
        <w:t>; and</w:t>
      </w:r>
    </w:p>
    <w:p w14:paraId="59F25FCC" w14:textId="77777777" w:rsidR="005C7087" w:rsidRDefault="005C7087" w:rsidP="00A80F2A">
      <w:pPr>
        <w:pStyle w:val="ListParagraph"/>
        <w:ind w:left="810"/>
        <w:jc w:val="both"/>
        <w:rPr>
          <w:rFonts w:eastAsia="Times New Roman"/>
          <w:lang w:val="en-US"/>
        </w:rPr>
      </w:pPr>
    </w:p>
    <w:p w14:paraId="0D3A5A7A" w14:textId="4B7D4532" w:rsidR="008A40F2" w:rsidRDefault="008A40F2" w:rsidP="00A80F2A">
      <w:pPr>
        <w:pStyle w:val="ListParagraph"/>
        <w:ind w:left="810"/>
        <w:jc w:val="both"/>
        <w:rPr>
          <w:rFonts w:eastAsia="Times New Roman"/>
          <w:lang w:val="en-US"/>
        </w:rPr>
      </w:pPr>
      <w:r>
        <w:rPr>
          <w:rFonts w:eastAsia="Times New Roman"/>
          <w:lang w:val="en-US"/>
        </w:rPr>
        <w:t>1</w:t>
      </w:r>
      <w:r w:rsidR="00B25571">
        <w:rPr>
          <w:rFonts w:eastAsia="Times New Roman"/>
          <w:lang w:val="en-US"/>
        </w:rPr>
        <w:t>2</w:t>
      </w:r>
      <w:r>
        <w:rPr>
          <w:rFonts w:eastAsia="Times New Roman"/>
          <w:lang w:val="en-US"/>
        </w:rPr>
        <w:t>.2</w:t>
      </w:r>
      <w:r>
        <w:rPr>
          <w:rFonts w:eastAsia="Times New Roman"/>
          <w:lang w:val="en-US"/>
        </w:rPr>
        <w:tab/>
        <w:t>be relevant to a reasonably anticipated issue in the action.</w:t>
      </w:r>
    </w:p>
    <w:p w14:paraId="1FD47FB5" w14:textId="77777777" w:rsidR="00AE0269" w:rsidRPr="00AE0269" w:rsidRDefault="00AE0269" w:rsidP="00A80F2A">
      <w:pPr>
        <w:jc w:val="both"/>
        <w:rPr>
          <w:rFonts w:eastAsia="Times New Roman"/>
          <w:lang w:val="en-US"/>
        </w:rPr>
      </w:pPr>
    </w:p>
    <w:p w14:paraId="63912BB4" w14:textId="07DC679E" w:rsidR="006E2611" w:rsidRDefault="008A40F2" w:rsidP="00A80F2A">
      <w:pPr>
        <w:pStyle w:val="ListParagraph"/>
        <w:numPr>
          <w:ilvl w:val="0"/>
          <w:numId w:val="18"/>
        </w:numPr>
        <w:ind w:left="142" w:hanging="142"/>
        <w:jc w:val="both"/>
        <w:rPr>
          <w:rFonts w:eastAsia="Times New Roman"/>
          <w:lang w:val="en-US"/>
        </w:rPr>
      </w:pPr>
      <w:r>
        <w:rPr>
          <w:rFonts w:eastAsia="Times New Roman"/>
          <w:lang w:val="en-US"/>
        </w:rPr>
        <w:t>Nowhere in the founding affidavit</w:t>
      </w:r>
      <w:r w:rsidR="00AE0269">
        <w:rPr>
          <w:rFonts w:eastAsia="Times New Roman"/>
          <w:lang w:val="en-US"/>
        </w:rPr>
        <w:t>s</w:t>
      </w:r>
      <w:r>
        <w:rPr>
          <w:rFonts w:eastAsia="Times New Roman"/>
          <w:lang w:val="en-US"/>
        </w:rPr>
        <w:t xml:space="preserve"> do the applicants indicate how and why are:</w:t>
      </w:r>
    </w:p>
    <w:p w14:paraId="7BC927FC" w14:textId="77777777" w:rsidR="008A40F2" w:rsidRDefault="008A40F2" w:rsidP="00A80F2A">
      <w:pPr>
        <w:pStyle w:val="ListParagraph"/>
        <w:ind w:left="142"/>
        <w:jc w:val="both"/>
        <w:rPr>
          <w:rFonts w:eastAsia="Times New Roman"/>
          <w:lang w:val="en-US"/>
        </w:rPr>
      </w:pPr>
    </w:p>
    <w:p w14:paraId="2D1509F5" w14:textId="77777777" w:rsidR="003E391B" w:rsidRDefault="008A40F2" w:rsidP="00A80F2A">
      <w:pPr>
        <w:pStyle w:val="ListParagraph"/>
        <w:ind w:left="810" w:hanging="90"/>
        <w:jc w:val="both"/>
        <w:rPr>
          <w:rFonts w:eastAsia="Times New Roman"/>
          <w:lang w:val="en-US"/>
        </w:rPr>
      </w:pPr>
      <w:r>
        <w:rPr>
          <w:rFonts w:eastAsia="Times New Roman"/>
          <w:lang w:val="en-US"/>
        </w:rPr>
        <w:t>1</w:t>
      </w:r>
      <w:r w:rsidR="00B25571">
        <w:rPr>
          <w:rFonts w:eastAsia="Times New Roman"/>
          <w:lang w:val="en-US"/>
        </w:rPr>
        <w:t>3</w:t>
      </w:r>
      <w:r>
        <w:rPr>
          <w:rFonts w:eastAsia="Times New Roman"/>
          <w:lang w:val="en-US"/>
        </w:rPr>
        <w:t>.1</w:t>
      </w:r>
      <w:r>
        <w:rPr>
          <w:rFonts w:eastAsia="Times New Roman"/>
          <w:lang w:val="en-US"/>
        </w:rPr>
        <w:tab/>
        <w:t>the required documents necessary for pleadings; and</w:t>
      </w:r>
    </w:p>
    <w:p w14:paraId="4E7E2D92" w14:textId="1D6454C7" w:rsidR="008A40F2" w:rsidRDefault="008A40F2" w:rsidP="00A80F2A">
      <w:pPr>
        <w:pStyle w:val="ListParagraph"/>
        <w:ind w:left="810" w:hanging="90"/>
        <w:jc w:val="both"/>
        <w:rPr>
          <w:rFonts w:eastAsia="Times New Roman"/>
          <w:lang w:val="en-US"/>
        </w:rPr>
      </w:pPr>
      <w:r>
        <w:rPr>
          <w:rFonts w:eastAsia="Times New Roman"/>
          <w:lang w:val="en-US"/>
        </w:rPr>
        <w:t xml:space="preserve"> </w:t>
      </w:r>
    </w:p>
    <w:p w14:paraId="37FB34B1" w14:textId="58EB8B5C" w:rsidR="008A40F2" w:rsidRDefault="008A40F2" w:rsidP="00A80F2A">
      <w:pPr>
        <w:pStyle w:val="ListParagraph"/>
        <w:ind w:left="810" w:hanging="90"/>
        <w:jc w:val="both"/>
        <w:rPr>
          <w:rFonts w:eastAsia="Times New Roman"/>
          <w:lang w:val="en-US"/>
        </w:rPr>
      </w:pPr>
      <w:r>
        <w:rPr>
          <w:rFonts w:eastAsia="Times New Roman"/>
          <w:lang w:val="en-US"/>
        </w:rPr>
        <w:t>1</w:t>
      </w:r>
      <w:r w:rsidR="00B25571">
        <w:rPr>
          <w:rFonts w:eastAsia="Times New Roman"/>
          <w:lang w:val="en-US"/>
        </w:rPr>
        <w:t>3</w:t>
      </w:r>
      <w:r>
        <w:rPr>
          <w:rFonts w:eastAsia="Times New Roman"/>
          <w:lang w:val="en-US"/>
        </w:rPr>
        <w:t xml:space="preserve">.2  </w:t>
      </w:r>
      <w:r w:rsidR="00B25571">
        <w:rPr>
          <w:rFonts w:eastAsia="Times New Roman"/>
          <w:lang w:val="en-US"/>
        </w:rPr>
        <w:t xml:space="preserve">  </w:t>
      </w:r>
      <w:r w:rsidR="00A44191">
        <w:rPr>
          <w:rFonts w:eastAsia="Times New Roman"/>
          <w:lang w:val="en-US"/>
        </w:rPr>
        <w:t xml:space="preserve">are relevant to a </w:t>
      </w:r>
      <w:r>
        <w:rPr>
          <w:rFonts w:eastAsia="Times New Roman"/>
          <w:lang w:val="en-US"/>
        </w:rPr>
        <w:t>reasonably anticipated issue in the action.</w:t>
      </w:r>
    </w:p>
    <w:p w14:paraId="7D7AB9CF" w14:textId="77777777" w:rsidR="008A40F2" w:rsidRDefault="008A40F2" w:rsidP="00A80F2A">
      <w:pPr>
        <w:pStyle w:val="ListParagraph"/>
        <w:ind w:left="142"/>
        <w:jc w:val="both"/>
        <w:rPr>
          <w:rFonts w:eastAsia="Times New Roman"/>
          <w:lang w:val="en-US"/>
        </w:rPr>
      </w:pPr>
    </w:p>
    <w:p w14:paraId="7699CAFF" w14:textId="5269FD60" w:rsidR="003926B7" w:rsidRPr="003926B7" w:rsidRDefault="008A40F2" w:rsidP="00A80F2A">
      <w:pPr>
        <w:pStyle w:val="ListParagraph"/>
        <w:numPr>
          <w:ilvl w:val="0"/>
          <w:numId w:val="18"/>
        </w:numPr>
        <w:ind w:left="720" w:hanging="720"/>
        <w:jc w:val="both"/>
        <w:rPr>
          <w:rFonts w:eastAsia="Times New Roman"/>
          <w:sz w:val="22"/>
          <w:szCs w:val="22"/>
          <w:lang w:val="en-US"/>
        </w:rPr>
      </w:pPr>
      <w:r>
        <w:rPr>
          <w:rFonts w:eastAsia="Times New Roman"/>
          <w:lang w:val="en-US"/>
        </w:rPr>
        <w:t xml:space="preserve">It is why in paragraph 25 of the </w:t>
      </w:r>
      <w:r w:rsidR="00AE0269">
        <w:rPr>
          <w:rFonts w:eastAsia="Times New Roman"/>
          <w:lang w:val="en-US"/>
        </w:rPr>
        <w:t>j</w:t>
      </w:r>
      <w:r>
        <w:rPr>
          <w:rFonts w:eastAsia="Times New Roman"/>
          <w:lang w:val="en-US"/>
        </w:rPr>
        <w:t>udgment</w:t>
      </w:r>
      <w:r w:rsidR="003926B7">
        <w:rPr>
          <w:rFonts w:eastAsia="Times New Roman"/>
          <w:lang w:val="en-US"/>
        </w:rPr>
        <w:t xml:space="preserve"> and in context of items (d) to (g) I found as follows:</w:t>
      </w:r>
      <w:r>
        <w:rPr>
          <w:rFonts w:eastAsia="Times New Roman"/>
          <w:lang w:val="en-US"/>
        </w:rPr>
        <w:t xml:space="preserve"> </w:t>
      </w:r>
    </w:p>
    <w:p w14:paraId="76B59A67" w14:textId="77777777" w:rsidR="003926B7" w:rsidRPr="003926B7" w:rsidRDefault="003926B7" w:rsidP="00A80F2A">
      <w:pPr>
        <w:pStyle w:val="ListParagraph"/>
        <w:ind w:left="284"/>
        <w:jc w:val="both"/>
        <w:rPr>
          <w:rFonts w:eastAsia="Times New Roman"/>
          <w:sz w:val="22"/>
          <w:szCs w:val="22"/>
          <w:lang w:val="en-US"/>
        </w:rPr>
      </w:pPr>
    </w:p>
    <w:p w14:paraId="270DD285" w14:textId="4B793C56" w:rsidR="008A40F2" w:rsidRDefault="008A40F2" w:rsidP="00A80F2A">
      <w:pPr>
        <w:pStyle w:val="ListParagraph"/>
        <w:ind w:left="990"/>
        <w:jc w:val="both"/>
        <w:rPr>
          <w:rFonts w:eastAsia="Times New Roman"/>
          <w:sz w:val="22"/>
          <w:szCs w:val="22"/>
          <w:lang w:val="en-US"/>
        </w:rPr>
      </w:pPr>
      <w:r>
        <w:rPr>
          <w:rFonts w:eastAsia="Times New Roman"/>
          <w:lang w:val="en-US"/>
        </w:rPr>
        <w:t>“</w:t>
      </w:r>
      <w:r w:rsidRPr="003926B7">
        <w:rPr>
          <w:rFonts w:eastAsia="Times New Roman"/>
          <w:sz w:val="22"/>
          <w:szCs w:val="22"/>
          <w:lang w:val="en-US"/>
        </w:rPr>
        <w:t>it is not stated in the founding affidavit why are these documents</w:t>
      </w:r>
      <w:r w:rsidR="003926B7" w:rsidRPr="003926B7">
        <w:rPr>
          <w:rFonts w:eastAsia="Times New Roman"/>
          <w:sz w:val="22"/>
          <w:szCs w:val="22"/>
          <w:lang w:val="en-US"/>
        </w:rPr>
        <w:t xml:space="preserve"> relevant for pleading purposes and why are likely to form an issue in the action, it is equally not discernible from the pleading why they should be necessary or relevant.”</w:t>
      </w:r>
    </w:p>
    <w:p w14:paraId="18CEAB44" w14:textId="77777777" w:rsidR="00A44191" w:rsidRDefault="00A44191" w:rsidP="00A80F2A">
      <w:pPr>
        <w:pStyle w:val="ListParagraph"/>
        <w:ind w:left="1440"/>
        <w:jc w:val="both"/>
        <w:rPr>
          <w:rFonts w:eastAsia="Times New Roman"/>
          <w:sz w:val="22"/>
          <w:szCs w:val="22"/>
          <w:lang w:val="en-US"/>
        </w:rPr>
      </w:pPr>
    </w:p>
    <w:p w14:paraId="666426AA" w14:textId="16C645DD" w:rsidR="003926B7" w:rsidRDefault="003926B7" w:rsidP="00A80F2A">
      <w:pPr>
        <w:pStyle w:val="ListParagraph"/>
        <w:numPr>
          <w:ilvl w:val="0"/>
          <w:numId w:val="18"/>
        </w:numPr>
        <w:ind w:left="720" w:hanging="720"/>
        <w:jc w:val="both"/>
        <w:rPr>
          <w:rFonts w:eastAsia="Times New Roman"/>
          <w:sz w:val="22"/>
          <w:szCs w:val="22"/>
          <w:lang w:val="en-US"/>
        </w:rPr>
      </w:pPr>
      <w:r>
        <w:rPr>
          <w:rFonts w:eastAsia="Times New Roman"/>
          <w:sz w:val="22"/>
          <w:szCs w:val="22"/>
          <w:lang w:val="en-US"/>
        </w:rPr>
        <w:t xml:space="preserve">In short, the applicants’ application did not meet the requirements set out under rule 35(14) and it is why it failed in those instances where such allegations were strictly necessary or it was difficult </w:t>
      </w:r>
      <w:r w:rsidR="00A44191">
        <w:rPr>
          <w:rFonts w:eastAsia="Times New Roman"/>
          <w:sz w:val="22"/>
          <w:szCs w:val="22"/>
          <w:lang w:val="en-US"/>
        </w:rPr>
        <w:t xml:space="preserve">and impossible </w:t>
      </w:r>
      <w:r>
        <w:rPr>
          <w:rFonts w:eastAsia="Times New Roman"/>
          <w:sz w:val="22"/>
          <w:szCs w:val="22"/>
          <w:lang w:val="en-US"/>
        </w:rPr>
        <w:t>for me to infer from the founding affidavit that indeed the documents concerned would have been dis</w:t>
      </w:r>
      <w:r w:rsidR="00A44191">
        <w:rPr>
          <w:rFonts w:eastAsia="Times New Roman"/>
          <w:sz w:val="22"/>
          <w:szCs w:val="22"/>
          <w:lang w:val="en-US"/>
        </w:rPr>
        <w:t>coverable u</w:t>
      </w:r>
      <w:r>
        <w:rPr>
          <w:rFonts w:eastAsia="Times New Roman"/>
          <w:sz w:val="22"/>
          <w:szCs w:val="22"/>
          <w:lang w:val="en-US"/>
        </w:rPr>
        <w:t>nder the provisions of rule 35(14).</w:t>
      </w:r>
    </w:p>
    <w:p w14:paraId="4AE623C0" w14:textId="77777777" w:rsidR="003926B7" w:rsidRDefault="003926B7" w:rsidP="00A80F2A">
      <w:pPr>
        <w:pStyle w:val="ListParagraph"/>
        <w:ind w:left="284"/>
        <w:jc w:val="both"/>
        <w:rPr>
          <w:rFonts w:eastAsia="Times New Roman"/>
          <w:sz w:val="22"/>
          <w:szCs w:val="22"/>
          <w:lang w:val="en-US"/>
        </w:rPr>
      </w:pPr>
    </w:p>
    <w:p w14:paraId="7CD19497" w14:textId="756FED26" w:rsidR="003926B7" w:rsidRPr="003926B7" w:rsidRDefault="003926B7" w:rsidP="008D19DA">
      <w:pPr>
        <w:pStyle w:val="ListParagraph"/>
        <w:numPr>
          <w:ilvl w:val="0"/>
          <w:numId w:val="20"/>
        </w:numPr>
        <w:ind w:hanging="720"/>
        <w:jc w:val="both"/>
        <w:rPr>
          <w:rFonts w:eastAsia="Times New Roman"/>
          <w:b/>
          <w:bCs/>
          <w:sz w:val="22"/>
          <w:szCs w:val="22"/>
          <w:u w:val="single"/>
          <w:lang w:val="en-US"/>
        </w:rPr>
      </w:pPr>
      <w:r w:rsidRPr="003926B7">
        <w:rPr>
          <w:rFonts w:eastAsia="Times New Roman"/>
          <w:b/>
          <w:bCs/>
          <w:sz w:val="22"/>
          <w:szCs w:val="22"/>
          <w:u w:val="single"/>
          <w:lang w:val="en-US"/>
        </w:rPr>
        <w:t>The Legal requirements for an appeal on costs and on leave to appeal</w:t>
      </w:r>
    </w:p>
    <w:p w14:paraId="66815029" w14:textId="628BA576" w:rsidR="003926B7" w:rsidRDefault="003926B7" w:rsidP="00A80F2A">
      <w:pPr>
        <w:pStyle w:val="ListParagraph"/>
        <w:ind w:left="284"/>
        <w:jc w:val="both"/>
        <w:rPr>
          <w:rFonts w:eastAsia="Times New Roman"/>
          <w:sz w:val="22"/>
          <w:szCs w:val="22"/>
          <w:lang w:val="en-US"/>
        </w:rPr>
      </w:pPr>
    </w:p>
    <w:p w14:paraId="22578386" w14:textId="77777777" w:rsidR="00AE0269" w:rsidRDefault="00AE0269" w:rsidP="00A80F2A">
      <w:pPr>
        <w:pStyle w:val="ListParagraph"/>
        <w:spacing w:line="240" w:lineRule="auto"/>
        <w:ind w:left="284"/>
        <w:jc w:val="both"/>
        <w:rPr>
          <w:rFonts w:eastAsia="Times New Roman"/>
          <w:sz w:val="22"/>
          <w:szCs w:val="22"/>
          <w:lang w:val="en-US"/>
        </w:rPr>
      </w:pPr>
    </w:p>
    <w:p w14:paraId="576CD239" w14:textId="1B653EC9" w:rsidR="003926B7" w:rsidRDefault="003926B7" w:rsidP="00A80F2A">
      <w:pPr>
        <w:pStyle w:val="ListParagraph"/>
        <w:numPr>
          <w:ilvl w:val="0"/>
          <w:numId w:val="18"/>
        </w:numPr>
        <w:ind w:left="720" w:hanging="720"/>
        <w:jc w:val="both"/>
        <w:rPr>
          <w:rFonts w:eastAsia="Times New Roman"/>
          <w:sz w:val="22"/>
          <w:szCs w:val="22"/>
          <w:lang w:val="en-US"/>
        </w:rPr>
      </w:pPr>
      <w:r>
        <w:rPr>
          <w:rFonts w:eastAsia="Times New Roman"/>
          <w:sz w:val="22"/>
          <w:szCs w:val="22"/>
          <w:lang w:val="en-US"/>
        </w:rPr>
        <w:t xml:space="preserve">The general principle on costs is enunciated in </w:t>
      </w:r>
      <w:r w:rsidRPr="00A44191">
        <w:rPr>
          <w:rFonts w:eastAsia="Times New Roman"/>
          <w:b/>
          <w:sz w:val="22"/>
          <w:szCs w:val="22"/>
          <w:lang w:val="en-US"/>
        </w:rPr>
        <w:t>Ferreira vs Levin N.O and others</w:t>
      </w:r>
      <w:r w:rsidR="00D24E5B" w:rsidRPr="00A44191">
        <w:rPr>
          <w:rFonts w:eastAsia="Times New Roman"/>
          <w:b/>
          <w:sz w:val="22"/>
          <w:szCs w:val="22"/>
          <w:lang w:val="en-US"/>
        </w:rPr>
        <w:t xml:space="preserve">; </w:t>
      </w:r>
      <w:proofErr w:type="spellStart"/>
      <w:r w:rsidR="00D24E5B" w:rsidRPr="00A44191">
        <w:rPr>
          <w:rFonts w:eastAsia="Times New Roman"/>
          <w:b/>
          <w:sz w:val="22"/>
          <w:szCs w:val="22"/>
          <w:lang w:val="en-US"/>
        </w:rPr>
        <w:t>Vryenhoek</w:t>
      </w:r>
      <w:proofErr w:type="spellEnd"/>
      <w:r w:rsidR="00D24E5B" w:rsidRPr="00A44191">
        <w:rPr>
          <w:rFonts w:eastAsia="Times New Roman"/>
          <w:b/>
          <w:sz w:val="22"/>
          <w:szCs w:val="22"/>
          <w:lang w:val="en-US"/>
        </w:rPr>
        <w:t xml:space="preserve"> and others v Powell NO and others 1996 (2) SA 621 CC para 3</w:t>
      </w:r>
      <w:r w:rsidR="00D24E5B">
        <w:rPr>
          <w:rFonts w:eastAsia="Times New Roman"/>
          <w:sz w:val="22"/>
          <w:szCs w:val="22"/>
          <w:lang w:val="en-US"/>
        </w:rPr>
        <w:t xml:space="preserve"> as follows:</w:t>
      </w:r>
    </w:p>
    <w:p w14:paraId="43892942" w14:textId="77777777" w:rsidR="00CB5F89" w:rsidRDefault="00CB5F89" w:rsidP="00A80F2A">
      <w:pPr>
        <w:pStyle w:val="ListParagraph"/>
        <w:ind w:left="284"/>
        <w:jc w:val="both"/>
        <w:rPr>
          <w:rFonts w:eastAsia="Times New Roman"/>
          <w:sz w:val="22"/>
          <w:szCs w:val="22"/>
          <w:lang w:val="en-US"/>
        </w:rPr>
      </w:pPr>
    </w:p>
    <w:p w14:paraId="3378BD57" w14:textId="3BE7E3B4" w:rsidR="00CB5F89" w:rsidRDefault="009D69D0" w:rsidP="00A80F2A">
      <w:pPr>
        <w:pStyle w:val="ListParagraph"/>
        <w:ind w:left="1170"/>
        <w:jc w:val="both"/>
        <w:rPr>
          <w:rFonts w:eastAsia="Times New Roman"/>
          <w:sz w:val="22"/>
          <w:szCs w:val="22"/>
          <w:lang w:val="en-US"/>
        </w:rPr>
      </w:pPr>
      <w:r>
        <w:rPr>
          <w:rFonts w:eastAsia="Times New Roman"/>
          <w:sz w:val="22"/>
          <w:szCs w:val="22"/>
          <w:lang w:val="en-US"/>
        </w:rPr>
        <w:t>“The</w:t>
      </w:r>
      <w:r w:rsidR="00CB5F89">
        <w:rPr>
          <w:rFonts w:eastAsia="Times New Roman"/>
          <w:sz w:val="22"/>
          <w:szCs w:val="22"/>
          <w:lang w:val="en-US"/>
        </w:rPr>
        <w:t xml:space="preserve"> Supreme Court has, over the years, developed a flexible approach to costs which proceeds from two basic principles, the first being that the award of costs, unless expressly otherwise enacted, is in the discretion of the presiding judicial </w:t>
      </w:r>
      <w:r w:rsidR="00CB5F89">
        <w:rPr>
          <w:rFonts w:eastAsia="Times New Roman"/>
          <w:sz w:val="22"/>
          <w:szCs w:val="22"/>
          <w:lang w:val="en-US"/>
        </w:rPr>
        <w:lastRenderedPageBreak/>
        <w:t xml:space="preserve">officer, and the second that the successful party should, as a general rule, have his or her costs. Even this second principle is subject to the first. </w:t>
      </w:r>
      <w:r w:rsidR="00CB5F89" w:rsidRPr="00A44191">
        <w:rPr>
          <w:rFonts w:eastAsia="Times New Roman"/>
          <w:b/>
          <w:sz w:val="22"/>
          <w:szCs w:val="22"/>
          <w:u w:val="single"/>
          <w:lang w:val="en-US"/>
        </w:rPr>
        <w:t>The second principle is subject to a large number of exceptions where the successful party is deprived of his or her costs</w:t>
      </w:r>
      <w:r w:rsidR="00CB5F89">
        <w:rPr>
          <w:rFonts w:eastAsia="Times New Roman"/>
          <w:sz w:val="22"/>
          <w:szCs w:val="22"/>
          <w:lang w:val="en-US"/>
        </w:rPr>
        <w:t xml:space="preserve">. Without attempting either comprehensiveness or complete analytical accuracy, depriving successful parties </w:t>
      </w:r>
      <w:r>
        <w:rPr>
          <w:rFonts w:eastAsia="Times New Roman"/>
          <w:sz w:val="22"/>
          <w:szCs w:val="22"/>
          <w:lang w:val="en-US"/>
        </w:rPr>
        <w:t>of</w:t>
      </w:r>
      <w:r w:rsidR="00CB5F89">
        <w:rPr>
          <w:rFonts w:eastAsia="Times New Roman"/>
          <w:sz w:val="22"/>
          <w:szCs w:val="22"/>
          <w:lang w:val="en-US"/>
        </w:rPr>
        <w:t xml:space="preserve"> their costs can depend on </w:t>
      </w:r>
      <w:r w:rsidR="00E722CD">
        <w:rPr>
          <w:rFonts w:eastAsia="Times New Roman"/>
          <w:sz w:val="22"/>
          <w:szCs w:val="22"/>
          <w:lang w:val="en-US"/>
        </w:rPr>
        <w:t>circumstances</w:t>
      </w:r>
      <w:r w:rsidR="00CB5F89">
        <w:rPr>
          <w:rFonts w:eastAsia="Times New Roman"/>
          <w:sz w:val="22"/>
          <w:szCs w:val="22"/>
          <w:lang w:val="en-US"/>
        </w:rPr>
        <w:t xml:space="preserve"> such as, for example, the conduct of parties, the conduc</w:t>
      </w:r>
      <w:r w:rsidR="00E722CD">
        <w:rPr>
          <w:rFonts w:eastAsia="Times New Roman"/>
          <w:sz w:val="22"/>
          <w:szCs w:val="22"/>
          <w:lang w:val="en-US"/>
        </w:rPr>
        <w:t>t of their legal representatives, whether a party achieves technical success only, the nature of the litigants and the nature of the proceeding. I mention these examples to indicate that the principles which have been developed in relation to the award of costs are by their nature sufficiently flexible and adaptable to meet new needs</w:t>
      </w:r>
      <w:r w:rsidR="008315F6">
        <w:rPr>
          <w:rFonts w:eastAsia="Times New Roman"/>
          <w:sz w:val="22"/>
          <w:szCs w:val="22"/>
          <w:lang w:val="en-US"/>
        </w:rPr>
        <w:t xml:space="preserve"> which may arise in regard to litigation…”</w:t>
      </w:r>
      <w:r w:rsidR="00A44191">
        <w:rPr>
          <w:rFonts w:eastAsia="Times New Roman"/>
          <w:sz w:val="22"/>
          <w:szCs w:val="22"/>
          <w:lang w:val="en-US"/>
        </w:rPr>
        <w:t xml:space="preserve"> (my underlining)</w:t>
      </w:r>
    </w:p>
    <w:p w14:paraId="7ABB4F76" w14:textId="77777777" w:rsidR="008315F6" w:rsidRDefault="008315F6" w:rsidP="00A80F2A">
      <w:pPr>
        <w:pStyle w:val="ListParagraph"/>
        <w:jc w:val="both"/>
        <w:rPr>
          <w:rFonts w:eastAsia="Times New Roman"/>
          <w:sz w:val="22"/>
          <w:szCs w:val="22"/>
          <w:lang w:val="en-US"/>
        </w:rPr>
      </w:pPr>
    </w:p>
    <w:p w14:paraId="179F203A" w14:textId="25BB9C1A" w:rsidR="008315F6" w:rsidRDefault="008315F6" w:rsidP="00A80F2A">
      <w:pPr>
        <w:pStyle w:val="ListParagraph"/>
        <w:numPr>
          <w:ilvl w:val="0"/>
          <w:numId w:val="18"/>
        </w:numPr>
        <w:ind w:left="720" w:hanging="720"/>
        <w:jc w:val="both"/>
        <w:rPr>
          <w:rFonts w:eastAsia="Times New Roman"/>
          <w:lang w:val="en-US"/>
        </w:rPr>
      </w:pPr>
      <w:r w:rsidRPr="008315F6">
        <w:rPr>
          <w:rFonts w:eastAsia="Times New Roman"/>
          <w:lang w:val="en-US"/>
        </w:rPr>
        <w:t xml:space="preserve">A </w:t>
      </w:r>
      <w:r w:rsidR="009D69D0" w:rsidRPr="008315F6">
        <w:rPr>
          <w:rFonts w:eastAsia="Times New Roman"/>
          <w:lang w:val="en-US"/>
        </w:rPr>
        <w:t>Court of</w:t>
      </w:r>
      <w:r w:rsidRPr="008315F6">
        <w:rPr>
          <w:rFonts w:eastAsia="Times New Roman"/>
          <w:lang w:val="en-US"/>
        </w:rPr>
        <w:t xml:space="preserve"> appeal will generally be very </w:t>
      </w:r>
      <w:r w:rsidR="00A44191">
        <w:rPr>
          <w:rFonts w:eastAsia="Times New Roman"/>
          <w:lang w:val="en-US"/>
        </w:rPr>
        <w:t>loath</w:t>
      </w:r>
      <w:r w:rsidRPr="008315F6">
        <w:rPr>
          <w:rFonts w:eastAsia="Times New Roman"/>
          <w:lang w:val="en-US"/>
        </w:rPr>
        <w:t xml:space="preserve"> to interfere with an order as to the award of costs. In </w:t>
      </w:r>
      <w:r w:rsidRPr="00A44191">
        <w:rPr>
          <w:rFonts w:eastAsia="Times New Roman"/>
          <w:b/>
          <w:lang w:val="en-US"/>
        </w:rPr>
        <w:t>Hotz and others vs University of Cape Town 2018 (1) SA 369 CC in paragraphs 25 and 28</w:t>
      </w:r>
      <w:r w:rsidRPr="008315F6">
        <w:rPr>
          <w:rFonts w:eastAsia="Times New Roman"/>
          <w:lang w:val="en-US"/>
        </w:rPr>
        <w:t>, the Constitutional Court said:</w:t>
      </w:r>
    </w:p>
    <w:p w14:paraId="29604F0A" w14:textId="77777777" w:rsidR="004B725D" w:rsidRDefault="004B725D" w:rsidP="00A80F2A">
      <w:pPr>
        <w:pStyle w:val="ListParagraph"/>
        <w:jc w:val="both"/>
        <w:rPr>
          <w:rFonts w:eastAsia="Times New Roman"/>
          <w:lang w:val="en-US"/>
        </w:rPr>
      </w:pPr>
    </w:p>
    <w:p w14:paraId="05589AF6" w14:textId="252E1969" w:rsidR="008315F6" w:rsidRPr="005C0A4F" w:rsidRDefault="008315F6" w:rsidP="00A80F2A">
      <w:pPr>
        <w:pStyle w:val="ListParagraph"/>
        <w:ind w:left="1350" w:hanging="630"/>
        <w:jc w:val="both"/>
        <w:rPr>
          <w:rFonts w:eastAsia="Times New Roman"/>
          <w:b/>
          <w:sz w:val="22"/>
          <w:szCs w:val="22"/>
          <w:u w:val="single"/>
          <w:lang w:val="en-US"/>
        </w:rPr>
      </w:pPr>
      <w:r>
        <w:rPr>
          <w:rFonts w:eastAsia="Times New Roman"/>
          <w:lang w:val="en-US"/>
        </w:rPr>
        <w:t>“[</w:t>
      </w:r>
      <w:r w:rsidRPr="00346BBD">
        <w:rPr>
          <w:rFonts w:eastAsia="Times New Roman"/>
          <w:sz w:val="22"/>
          <w:szCs w:val="22"/>
          <w:lang w:val="en-US"/>
        </w:rPr>
        <w:t xml:space="preserve">25]   In </w:t>
      </w:r>
      <w:proofErr w:type="spellStart"/>
      <w:r w:rsidRPr="004B725D">
        <w:rPr>
          <w:rFonts w:eastAsia="Times New Roman"/>
          <w:b/>
          <w:sz w:val="22"/>
          <w:szCs w:val="22"/>
          <w:lang w:val="en-US"/>
        </w:rPr>
        <w:t>Trencon</w:t>
      </w:r>
      <w:proofErr w:type="spellEnd"/>
      <w:r w:rsidRPr="004B725D">
        <w:rPr>
          <w:rFonts w:eastAsia="Times New Roman"/>
          <w:b/>
          <w:sz w:val="22"/>
          <w:szCs w:val="22"/>
          <w:lang w:val="en-US"/>
        </w:rPr>
        <w:t xml:space="preserve"> Construction (Pty) Ltd vs Industrial Development Corporation of South Africa [2015] ZACC 22;2015 (5) SA 245 (CC);2015 (10) BCLR 1199 (CC)</w:t>
      </w:r>
      <w:r w:rsidRPr="00346BBD">
        <w:rPr>
          <w:rFonts w:eastAsia="Times New Roman"/>
          <w:sz w:val="22"/>
          <w:szCs w:val="22"/>
          <w:lang w:val="en-US"/>
        </w:rPr>
        <w:t xml:space="preserve"> this court dealt with the power of an appellate court to interfere with the High Court’s order. It held that the proper approach on appeal is for an appellate court to ascertain whether the discretion exercised by the lower court was discretion in the true sense or whether it was </w:t>
      </w:r>
      <w:r w:rsidR="00A01BE1" w:rsidRPr="00346BBD">
        <w:rPr>
          <w:rFonts w:eastAsia="Times New Roman"/>
          <w:sz w:val="22"/>
          <w:szCs w:val="22"/>
          <w:lang w:val="en-US"/>
        </w:rPr>
        <w:t xml:space="preserve">a discretion to loose sense. The distinction in either type of </w:t>
      </w:r>
      <w:r w:rsidR="009D69D0" w:rsidRPr="00346BBD">
        <w:rPr>
          <w:rFonts w:eastAsia="Times New Roman"/>
          <w:sz w:val="22"/>
          <w:szCs w:val="22"/>
          <w:lang w:val="en-US"/>
        </w:rPr>
        <w:t>discretion,</w:t>
      </w:r>
      <w:r w:rsidR="00A01BE1" w:rsidRPr="00346BBD">
        <w:rPr>
          <w:rFonts w:eastAsia="Times New Roman"/>
          <w:sz w:val="22"/>
          <w:szCs w:val="22"/>
          <w:lang w:val="en-US"/>
        </w:rPr>
        <w:t xml:space="preserve"> the Court held, “will create the standard of the interference that an appellate court must apply”. </w:t>
      </w:r>
      <w:r w:rsidR="00A01BE1" w:rsidRPr="00316B09">
        <w:rPr>
          <w:rFonts w:eastAsia="Times New Roman"/>
          <w:b/>
          <w:sz w:val="22"/>
          <w:szCs w:val="22"/>
          <w:u w:val="single"/>
          <w:lang w:val="en-US"/>
        </w:rPr>
        <w:t xml:space="preserve">This Court remarked, per </w:t>
      </w:r>
      <w:proofErr w:type="spellStart"/>
      <w:r w:rsidR="00A01BE1" w:rsidRPr="00316B09">
        <w:rPr>
          <w:rFonts w:eastAsia="Times New Roman"/>
          <w:b/>
          <w:sz w:val="22"/>
          <w:szCs w:val="22"/>
          <w:u w:val="single"/>
          <w:lang w:val="en-US"/>
        </w:rPr>
        <w:t>Khampepe</w:t>
      </w:r>
      <w:proofErr w:type="spellEnd"/>
      <w:r w:rsidR="00A01BE1" w:rsidRPr="00316B09">
        <w:rPr>
          <w:rFonts w:eastAsia="Times New Roman"/>
          <w:b/>
          <w:sz w:val="22"/>
          <w:szCs w:val="22"/>
          <w:u w:val="single"/>
          <w:lang w:val="en-US"/>
        </w:rPr>
        <w:t xml:space="preserve"> J, that “[a] discretion in the true sense is found where the lower court has a wide range of equally permissible options available to it</w:t>
      </w:r>
      <w:r w:rsidR="00A01BE1" w:rsidRPr="00316B09">
        <w:rPr>
          <w:rFonts w:eastAsia="Times New Roman"/>
          <w:b/>
          <w:sz w:val="22"/>
          <w:szCs w:val="22"/>
          <w:lang w:val="en-US"/>
        </w:rPr>
        <w:t xml:space="preserve">”. </w:t>
      </w:r>
      <w:r w:rsidR="00A01BE1" w:rsidRPr="00316B09">
        <w:rPr>
          <w:rFonts w:eastAsia="Times New Roman"/>
          <w:b/>
          <w:sz w:val="22"/>
          <w:szCs w:val="22"/>
          <w:u w:val="single"/>
          <w:lang w:val="en-US"/>
        </w:rPr>
        <w:t xml:space="preserve">In such instances, the ordinary approach on appeal is that the “the appellate court will not consider whether the decision reached by the court at first instance was correct, but will only interfere in limited circumstances; for example, it is shown </w:t>
      </w:r>
      <w:r w:rsidR="009D69D0" w:rsidRPr="00316B09">
        <w:rPr>
          <w:rFonts w:eastAsia="Times New Roman"/>
          <w:b/>
          <w:sz w:val="22"/>
          <w:szCs w:val="22"/>
          <w:u w:val="single"/>
          <w:lang w:val="en-US"/>
        </w:rPr>
        <w:t>that</w:t>
      </w:r>
      <w:r w:rsidR="00A01BE1" w:rsidRPr="00316B09">
        <w:rPr>
          <w:rFonts w:eastAsia="Times New Roman"/>
          <w:b/>
          <w:sz w:val="22"/>
          <w:szCs w:val="22"/>
          <w:u w:val="single"/>
          <w:lang w:val="en-US"/>
        </w:rPr>
        <w:t xml:space="preserve"> the discretion has not been exercised judicially…</w:t>
      </w:r>
      <w:r w:rsidR="009D69D0" w:rsidRPr="00316B09">
        <w:rPr>
          <w:rFonts w:eastAsia="Times New Roman"/>
          <w:b/>
          <w:sz w:val="22"/>
          <w:szCs w:val="22"/>
          <w:u w:val="single"/>
          <w:lang w:val="en-US"/>
        </w:rPr>
        <w:t>”</w:t>
      </w:r>
      <w:r w:rsidR="009D69D0" w:rsidRPr="00346BBD">
        <w:rPr>
          <w:rFonts w:eastAsia="Times New Roman"/>
          <w:sz w:val="22"/>
          <w:szCs w:val="22"/>
          <w:lang w:val="en-US"/>
        </w:rPr>
        <w:t>.</w:t>
      </w:r>
      <w:r w:rsidR="00A01BE1" w:rsidRPr="00346BBD">
        <w:rPr>
          <w:rFonts w:eastAsia="Times New Roman"/>
          <w:sz w:val="22"/>
          <w:szCs w:val="22"/>
          <w:lang w:val="en-US"/>
        </w:rPr>
        <w:t xml:space="preserve"> This type of discretion has been found by this Court in many instances, including matters of costs…</w:t>
      </w:r>
      <w:r w:rsidR="009D69D0" w:rsidRPr="00346BBD">
        <w:rPr>
          <w:rFonts w:eastAsia="Times New Roman"/>
          <w:sz w:val="22"/>
          <w:szCs w:val="22"/>
          <w:lang w:val="en-US"/>
        </w:rPr>
        <w:t>”.</w:t>
      </w:r>
      <w:r w:rsidR="00A01BE1" w:rsidRPr="00346BBD">
        <w:rPr>
          <w:rFonts w:eastAsia="Times New Roman"/>
          <w:sz w:val="22"/>
          <w:szCs w:val="22"/>
          <w:lang w:val="en-US"/>
        </w:rPr>
        <w:t xml:space="preserve"> The question remains whether the High Court, in considering the relevant circumstances and available options</w:t>
      </w:r>
      <w:r w:rsidR="00A01BE1" w:rsidRPr="005C0A4F">
        <w:rPr>
          <w:rFonts w:eastAsia="Times New Roman"/>
          <w:b/>
          <w:sz w:val="22"/>
          <w:szCs w:val="22"/>
          <w:lang w:val="en-US"/>
        </w:rPr>
        <w:t xml:space="preserve">, </w:t>
      </w:r>
      <w:r w:rsidR="00A01BE1" w:rsidRPr="005C0A4F">
        <w:rPr>
          <w:rFonts w:eastAsia="Times New Roman"/>
          <w:b/>
          <w:sz w:val="22"/>
          <w:szCs w:val="22"/>
          <w:u w:val="single"/>
          <w:lang w:val="en-US"/>
        </w:rPr>
        <w:t>judicially exercised its discretion in mulcting the applicants with costs.</w:t>
      </w:r>
    </w:p>
    <w:p w14:paraId="3B526069" w14:textId="17A7E62F" w:rsidR="00346BBD" w:rsidRDefault="00A44191" w:rsidP="00A80F2A">
      <w:pPr>
        <w:pStyle w:val="ListParagraph"/>
        <w:jc w:val="both"/>
        <w:rPr>
          <w:rFonts w:eastAsia="Times New Roman"/>
          <w:sz w:val="22"/>
          <w:szCs w:val="22"/>
          <w:lang w:val="en-US"/>
        </w:rPr>
      </w:pPr>
      <w:r>
        <w:rPr>
          <w:rFonts w:eastAsia="Times New Roman"/>
          <w:sz w:val="22"/>
          <w:szCs w:val="22"/>
          <w:lang w:val="en-US"/>
        </w:rPr>
        <w:t>…</w:t>
      </w:r>
    </w:p>
    <w:p w14:paraId="1F365B63" w14:textId="77777777" w:rsidR="00A44191" w:rsidRPr="00346BBD" w:rsidRDefault="00A44191" w:rsidP="00A80F2A">
      <w:pPr>
        <w:pStyle w:val="ListParagraph"/>
        <w:spacing w:line="240" w:lineRule="auto"/>
        <w:jc w:val="both"/>
        <w:rPr>
          <w:rFonts w:eastAsia="Times New Roman"/>
          <w:sz w:val="22"/>
          <w:szCs w:val="22"/>
          <w:lang w:val="en-US"/>
        </w:rPr>
      </w:pPr>
    </w:p>
    <w:p w14:paraId="3CD47606" w14:textId="59EF310B" w:rsidR="00A01BE1" w:rsidRDefault="00A01BE1" w:rsidP="00A80F2A">
      <w:pPr>
        <w:pStyle w:val="ListParagraph"/>
        <w:ind w:left="1350" w:hanging="630"/>
        <w:jc w:val="both"/>
        <w:rPr>
          <w:rFonts w:eastAsia="Times New Roman"/>
          <w:sz w:val="22"/>
          <w:szCs w:val="22"/>
          <w:lang w:val="en-US"/>
        </w:rPr>
      </w:pPr>
      <w:r w:rsidRPr="00346BBD">
        <w:rPr>
          <w:rFonts w:eastAsia="Times New Roman"/>
          <w:sz w:val="22"/>
          <w:szCs w:val="22"/>
          <w:lang w:val="en-US"/>
        </w:rPr>
        <w:lastRenderedPageBreak/>
        <w:t>[</w:t>
      </w:r>
      <w:r w:rsidR="009D69D0" w:rsidRPr="00346BBD">
        <w:rPr>
          <w:rFonts w:eastAsia="Times New Roman"/>
          <w:sz w:val="22"/>
          <w:szCs w:val="22"/>
          <w:lang w:val="en-US"/>
        </w:rPr>
        <w:t xml:space="preserve">28] </w:t>
      </w:r>
      <w:r w:rsidR="004B725D">
        <w:rPr>
          <w:rFonts w:eastAsia="Times New Roman"/>
          <w:sz w:val="22"/>
          <w:szCs w:val="22"/>
          <w:lang w:val="en-US"/>
        </w:rPr>
        <w:t xml:space="preserve">   </w:t>
      </w:r>
      <w:r w:rsidR="009D69D0" w:rsidRPr="00346BBD">
        <w:rPr>
          <w:rFonts w:eastAsia="Times New Roman"/>
          <w:sz w:val="22"/>
          <w:szCs w:val="22"/>
          <w:lang w:val="en-US"/>
        </w:rPr>
        <w:t>It</w:t>
      </w:r>
      <w:r w:rsidRPr="00346BBD">
        <w:rPr>
          <w:rFonts w:eastAsia="Times New Roman"/>
          <w:sz w:val="22"/>
          <w:szCs w:val="22"/>
          <w:lang w:val="en-US"/>
        </w:rPr>
        <w:t xml:space="preserve"> is established that a court of first instance has discretion to determine the costs to be awarded in light of the particular circumstances of the case. Indeed, where the discretion is one in the true sense, contemplating that a court chooses from</w:t>
      </w:r>
      <w:r w:rsidR="00346BBD">
        <w:rPr>
          <w:rFonts w:eastAsia="Times New Roman"/>
          <w:sz w:val="22"/>
          <w:szCs w:val="22"/>
          <w:lang w:val="en-US"/>
        </w:rPr>
        <w:t xml:space="preserve"> </w:t>
      </w:r>
      <w:r w:rsidRPr="00346BBD">
        <w:rPr>
          <w:rFonts w:eastAsia="Times New Roman"/>
          <w:sz w:val="22"/>
          <w:szCs w:val="22"/>
          <w:lang w:val="en-US"/>
        </w:rPr>
        <w:t>a range of options, a court of appeal will require a good reason to interfere with the exercise of that discretion. A cautious approach is, therefore required. A Court of appeal may have a different view on whether the costs award was just</w:t>
      </w:r>
      <w:r w:rsidR="00346BBD" w:rsidRPr="00346BBD">
        <w:rPr>
          <w:rFonts w:eastAsia="Times New Roman"/>
          <w:sz w:val="22"/>
          <w:szCs w:val="22"/>
          <w:lang w:val="en-US"/>
        </w:rPr>
        <w:t xml:space="preserve"> and equitable. However, it should be careful not to substitute its own view for </w:t>
      </w:r>
      <w:r w:rsidR="00AE0269">
        <w:rPr>
          <w:rFonts w:eastAsia="Times New Roman"/>
          <w:sz w:val="22"/>
          <w:szCs w:val="22"/>
          <w:lang w:val="en-US"/>
        </w:rPr>
        <w:t>t</w:t>
      </w:r>
      <w:r w:rsidR="00346BBD" w:rsidRPr="00346BBD">
        <w:rPr>
          <w:rFonts w:eastAsia="Times New Roman"/>
          <w:sz w:val="22"/>
          <w:szCs w:val="22"/>
          <w:lang w:val="en-US"/>
        </w:rPr>
        <w:t>hat of the High Court because it may, in certain circumstances be inappropriate to interfere with the High Court’s exercise of discretion”.</w:t>
      </w:r>
    </w:p>
    <w:p w14:paraId="1935C91F" w14:textId="7BED0B0E" w:rsidR="00346BBD" w:rsidRPr="00346BBD" w:rsidRDefault="00346BBD" w:rsidP="00A80F2A">
      <w:pPr>
        <w:pStyle w:val="ListParagraph"/>
        <w:jc w:val="both"/>
        <w:rPr>
          <w:rFonts w:eastAsia="Times New Roman"/>
          <w:sz w:val="22"/>
          <w:szCs w:val="22"/>
          <w:lang w:val="en-US"/>
        </w:rPr>
      </w:pPr>
    </w:p>
    <w:p w14:paraId="4E32F796" w14:textId="00CB4E22" w:rsidR="008315F6" w:rsidRDefault="00346BBD" w:rsidP="00A80F2A">
      <w:pPr>
        <w:pStyle w:val="ListParagraph"/>
        <w:numPr>
          <w:ilvl w:val="0"/>
          <w:numId w:val="18"/>
        </w:numPr>
        <w:ind w:left="720" w:hanging="720"/>
        <w:jc w:val="both"/>
        <w:rPr>
          <w:rFonts w:eastAsia="Times New Roman"/>
          <w:lang w:val="en-US"/>
        </w:rPr>
      </w:pPr>
      <w:r>
        <w:rPr>
          <w:rFonts w:eastAsia="Times New Roman"/>
          <w:lang w:val="en-US"/>
        </w:rPr>
        <w:t xml:space="preserve">In </w:t>
      </w:r>
      <w:r w:rsidRPr="009D69D0">
        <w:rPr>
          <w:rFonts w:eastAsia="Times New Roman"/>
          <w:b/>
          <w:lang w:val="en-US"/>
        </w:rPr>
        <w:t>R vs Zackey 1945 AD 505</w:t>
      </w:r>
      <w:r w:rsidRPr="009D69D0">
        <w:rPr>
          <w:rFonts w:eastAsia="Times New Roman"/>
          <w:lang w:val="en-US"/>
        </w:rPr>
        <w:t xml:space="preserve"> with reference to </w:t>
      </w:r>
      <w:r w:rsidRPr="009D69D0">
        <w:rPr>
          <w:rFonts w:eastAsia="Times New Roman"/>
          <w:b/>
          <w:lang w:val="en-US"/>
        </w:rPr>
        <w:t>Fripp vs Gibbon &amp; Co 1913 AD 354 at 363</w:t>
      </w:r>
      <w:r w:rsidRPr="009D69D0">
        <w:rPr>
          <w:rFonts w:eastAsia="Times New Roman"/>
          <w:lang w:val="en-US"/>
        </w:rPr>
        <w:t xml:space="preserve">, the Court </w:t>
      </w:r>
      <w:r w:rsidR="005E5719" w:rsidRPr="009D69D0">
        <w:rPr>
          <w:rFonts w:eastAsia="Times New Roman"/>
          <w:lang w:val="en-US"/>
        </w:rPr>
        <w:t>said:</w:t>
      </w:r>
    </w:p>
    <w:p w14:paraId="56F52106" w14:textId="77777777" w:rsidR="004B725D" w:rsidRPr="009D69D0" w:rsidRDefault="004B725D" w:rsidP="00A80F2A">
      <w:pPr>
        <w:pStyle w:val="ListParagraph"/>
        <w:ind w:left="284"/>
        <w:jc w:val="both"/>
        <w:rPr>
          <w:rFonts w:eastAsia="Times New Roman"/>
          <w:lang w:val="en-US"/>
        </w:rPr>
      </w:pPr>
    </w:p>
    <w:p w14:paraId="5BD13B47" w14:textId="4FCE3FED" w:rsidR="00346BBD" w:rsidRPr="00840CF2" w:rsidRDefault="00346BBD" w:rsidP="00A80F2A">
      <w:pPr>
        <w:pStyle w:val="ListParagraph"/>
        <w:jc w:val="both"/>
        <w:rPr>
          <w:rFonts w:eastAsia="Times New Roman"/>
          <w:sz w:val="22"/>
          <w:szCs w:val="22"/>
          <w:lang w:val="en-US"/>
        </w:rPr>
      </w:pPr>
      <w:r>
        <w:rPr>
          <w:rFonts w:eastAsia="Times New Roman"/>
          <w:lang w:val="en-US"/>
        </w:rPr>
        <w:t>“</w:t>
      </w:r>
      <w:r w:rsidRPr="009A2BCB">
        <w:rPr>
          <w:rFonts w:eastAsia="Times New Roman"/>
          <w:sz w:val="22"/>
          <w:szCs w:val="22"/>
          <w:lang w:val="en-US"/>
        </w:rPr>
        <w:t xml:space="preserve">Questions of costs are always important and sometimes difficult and complex to determine, </w:t>
      </w:r>
      <w:r w:rsidRPr="00840CF2">
        <w:rPr>
          <w:rFonts w:eastAsia="Times New Roman"/>
          <w:b/>
          <w:sz w:val="22"/>
          <w:szCs w:val="22"/>
          <w:u w:val="single"/>
          <w:lang w:val="en-US"/>
        </w:rPr>
        <w:t xml:space="preserve">and in leaving the magistrate a discretion the law contemplates that he should take into </w:t>
      </w:r>
      <w:r w:rsidR="009A2BCB" w:rsidRPr="00840CF2">
        <w:rPr>
          <w:rFonts w:eastAsia="Times New Roman"/>
          <w:b/>
          <w:sz w:val="22"/>
          <w:szCs w:val="22"/>
          <w:u w:val="single"/>
          <w:lang w:val="en-US"/>
        </w:rPr>
        <w:t>considerations the circumstances of each case, carefully weighing the various issues in the case</w:t>
      </w:r>
      <w:r w:rsidR="009A2BCB" w:rsidRPr="009A2BCB">
        <w:rPr>
          <w:rFonts w:eastAsia="Times New Roman"/>
          <w:sz w:val="22"/>
          <w:szCs w:val="22"/>
          <w:lang w:val="en-US"/>
        </w:rPr>
        <w:t xml:space="preserve">, the conduct of the parties and any other circumstances which may have a bearing upon the question of costs, and then make such order as to costs as would be fair and just between the parties. </w:t>
      </w:r>
      <w:r w:rsidR="009A2BCB" w:rsidRPr="00840CF2">
        <w:rPr>
          <w:rFonts w:eastAsia="Times New Roman"/>
          <w:b/>
          <w:sz w:val="22"/>
          <w:szCs w:val="22"/>
          <w:u w:val="single"/>
          <w:lang w:val="en-US"/>
        </w:rPr>
        <w:t>And if he does not act capriciously or upon any wrong principle, I know of no right on the part of a Court of appeal to interfere with the honest exercise of his discretion”</w:t>
      </w:r>
      <w:r w:rsidR="009A2BCB" w:rsidRPr="00840CF2">
        <w:rPr>
          <w:rFonts w:eastAsia="Times New Roman"/>
          <w:b/>
          <w:sz w:val="22"/>
          <w:szCs w:val="22"/>
          <w:lang w:val="en-US"/>
        </w:rPr>
        <w:t>.</w:t>
      </w:r>
      <w:r w:rsidR="00A44191" w:rsidRPr="00840CF2">
        <w:rPr>
          <w:rFonts w:eastAsia="Times New Roman"/>
          <w:b/>
          <w:sz w:val="22"/>
          <w:szCs w:val="22"/>
          <w:lang w:val="en-US"/>
        </w:rPr>
        <w:t xml:space="preserve"> (my </w:t>
      </w:r>
      <w:r w:rsidR="002E70E8" w:rsidRPr="00840CF2">
        <w:rPr>
          <w:rFonts w:eastAsia="Times New Roman"/>
          <w:b/>
          <w:sz w:val="22"/>
          <w:szCs w:val="22"/>
          <w:lang w:val="en-US"/>
        </w:rPr>
        <w:t>underlining</w:t>
      </w:r>
      <w:r w:rsidR="00A44191" w:rsidRPr="00840CF2">
        <w:rPr>
          <w:rFonts w:eastAsia="Times New Roman"/>
          <w:b/>
          <w:sz w:val="22"/>
          <w:szCs w:val="22"/>
          <w:lang w:val="en-US"/>
        </w:rPr>
        <w:t>)</w:t>
      </w:r>
      <w:r w:rsidR="00582827" w:rsidRPr="00840CF2">
        <w:rPr>
          <w:rFonts w:eastAsia="Times New Roman"/>
          <w:b/>
          <w:sz w:val="22"/>
          <w:szCs w:val="22"/>
          <w:lang w:val="en-US"/>
        </w:rPr>
        <w:t>.</w:t>
      </w:r>
    </w:p>
    <w:p w14:paraId="367744FC" w14:textId="77777777" w:rsidR="00582827" w:rsidRDefault="00582827" w:rsidP="00A80F2A">
      <w:pPr>
        <w:pStyle w:val="ListParagraph"/>
        <w:jc w:val="both"/>
        <w:rPr>
          <w:rFonts w:eastAsia="Times New Roman"/>
          <w:sz w:val="22"/>
          <w:szCs w:val="22"/>
          <w:lang w:val="en-US"/>
        </w:rPr>
      </w:pPr>
    </w:p>
    <w:p w14:paraId="39B5D249" w14:textId="61A5959A" w:rsidR="000748A5" w:rsidRPr="00520EED" w:rsidRDefault="009A2BCB" w:rsidP="000242EE">
      <w:pPr>
        <w:pStyle w:val="ListParagraph"/>
        <w:numPr>
          <w:ilvl w:val="0"/>
          <w:numId w:val="18"/>
        </w:numPr>
        <w:ind w:left="720" w:hanging="720"/>
        <w:jc w:val="both"/>
        <w:rPr>
          <w:rFonts w:eastAsia="Times New Roman"/>
          <w:lang w:val="en-US"/>
        </w:rPr>
      </w:pPr>
      <w:r w:rsidRPr="00B44AB2">
        <w:rPr>
          <w:rFonts w:eastAsia="Times New Roman"/>
          <w:lang w:val="en-US"/>
        </w:rPr>
        <w:t>A Court of appeal will be bound to first consider if there are grounds to interfere with the exercise of my discretion as set out in my judgment. It is only af</w:t>
      </w:r>
      <w:r w:rsidR="00840CF2" w:rsidRPr="00B44AB2">
        <w:rPr>
          <w:rFonts w:eastAsia="Times New Roman"/>
          <w:lang w:val="en-US"/>
        </w:rPr>
        <w:t>ter that finding is made that the</w:t>
      </w:r>
      <w:r w:rsidRPr="00B44AB2">
        <w:rPr>
          <w:rFonts w:eastAsia="Times New Roman"/>
          <w:lang w:val="en-US"/>
        </w:rPr>
        <w:t xml:space="preserve"> judgment could be altered.</w:t>
      </w:r>
      <w:r w:rsidR="00582827" w:rsidRPr="00B44AB2">
        <w:rPr>
          <w:rFonts w:eastAsia="Times New Roman"/>
          <w:lang w:val="en-US"/>
        </w:rPr>
        <w:t xml:space="preserve"> </w:t>
      </w:r>
      <w:r w:rsidRPr="00520EED">
        <w:rPr>
          <w:rFonts w:eastAsia="Times New Roman"/>
          <w:lang w:val="en-US"/>
        </w:rPr>
        <w:t xml:space="preserve">The grounds for interfering with the </w:t>
      </w:r>
      <w:r w:rsidR="007C60FD" w:rsidRPr="00520EED">
        <w:rPr>
          <w:rFonts w:eastAsia="Times New Roman"/>
          <w:lang w:val="en-US"/>
        </w:rPr>
        <w:t>discretion</w:t>
      </w:r>
      <w:r w:rsidR="00840CF2" w:rsidRPr="00520EED">
        <w:rPr>
          <w:rFonts w:eastAsia="Times New Roman"/>
          <w:lang w:val="en-US"/>
        </w:rPr>
        <w:t xml:space="preserve"> I exercised</w:t>
      </w:r>
      <w:r w:rsidR="007C60FD" w:rsidRPr="00520EED">
        <w:rPr>
          <w:rFonts w:eastAsia="Times New Roman"/>
          <w:lang w:val="en-US"/>
        </w:rPr>
        <w:t xml:space="preserve"> are usually only where</w:t>
      </w:r>
      <w:r w:rsidR="00B44AB2" w:rsidRPr="00520EED">
        <w:rPr>
          <w:rFonts w:eastAsia="Times New Roman"/>
          <w:lang w:val="en-US"/>
        </w:rPr>
        <w:t xml:space="preserve"> it</w:t>
      </w:r>
      <w:r w:rsidR="007C60FD" w:rsidRPr="00520EED">
        <w:rPr>
          <w:rFonts w:eastAsia="Times New Roman"/>
          <w:lang w:val="en-US"/>
        </w:rPr>
        <w:t xml:space="preserve"> was not exercised judicially, or where </w:t>
      </w:r>
      <w:r w:rsidR="00B44AB2" w:rsidRPr="00520EED">
        <w:rPr>
          <w:rFonts w:eastAsia="Times New Roman"/>
          <w:lang w:val="en-US"/>
        </w:rPr>
        <w:t>the</w:t>
      </w:r>
      <w:r w:rsidR="007C60FD" w:rsidRPr="00520EED">
        <w:rPr>
          <w:rFonts w:eastAsia="Times New Roman"/>
          <w:lang w:val="en-US"/>
        </w:rPr>
        <w:t xml:space="preserve"> decision was influenced by wrong principles, or where </w:t>
      </w:r>
      <w:r w:rsidR="00B44AB2" w:rsidRPr="00520EED">
        <w:rPr>
          <w:rFonts w:eastAsia="Times New Roman"/>
          <w:lang w:val="en-US"/>
        </w:rPr>
        <w:t>the</w:t>
      </w:r>
      <w:r w:rsidR="007C60FD" w:rsidRPr="00520EED">
        <w:rPr>
          <w:rFonts w:eastAsia="Times New Roman"/>
          <w:lang w:val="en-US"/>
        </w:rPr>
        <w:t xml:space="preserve"> decision was affected by a misdirection on the facts, or where </w:t>
      </w:r>
      <w:r w:rsidR="00B44AB2" w:rsidRPr="00520EED">
        <w:rPr>
          <w:rFonts w:eastAsia="Times New Roman"/>
          <w:lang w:val="en-US"/>
        </w:rPr>
        <w:t>the</w:t>
      </w:r>
      <w:r w:rsidR="007C60FD" w:rsidRPr="00520EED">
        <w:rPr>
          <w:rFonts w:eastAsia="Times New Roman"/>
          <w:lang w:val="en-US"/>
        </w:rPr>
        <w:t xml:space="preserve"> decision could not reasonably have been reached by a court properly directing itself to the relevant facts and principles. </w:t>
      </w:r>
    </w:p>
    <w:p w14:paraId="13E8AFA5" w14:textId="77777777" w:rsidR="00B44AB2" w:rsidRPr="00B44AB2" w:rsidRDefault="00B44AB2" w:rsidP="00B44AB2">
      <w:pPr>
        <w:pStyle w:val="ListParagraph"/>
        <w:jc w:val="both"/>
        <w:rPr>
          <w:rFonts w:eastAsia="Times New Roman"/>
          <w:sz w:val="22"/>
          <w:szCs w:val="22"/>
          <w:lang w:val="en-US"/>
        </w:rPr>
      </w:pPr>
    </w:p>
    <w:p w14:paraId="334D8D31" w14:textId="7394CB56" w:rsidR="000748A5" w:rsidRDefault="000748A5" w:rsidP="00A80F2A">
      <w:pPr>
        <w:pStyle w:val="ListParagraph"/>
        <w:numPr>
          <w:ilvl w:val="0"/>
          <w:numId w:val="18"/>
        </w:numPr>
        <w:ind w:left="720" w:hanging="720"/>
        <w:jc w:val="both"/>
        <w:rPr>
          <w:rFonts w:eastAsia="Times New Roman"/>
          <w:lang w:val="en-US"/>
        </w:rPr>
      </w:pPr>
      <w:proofErr w:type="spellStart"/>
      <w:r w:rsidRPr="009D69D0">
        <w:rPr>
          <w:rFonts w:eastAsia="Times New Roman"/>
          <w:b/>
          <w:lang w:val="en-US"/>
        </w:rPr>
        <w:t>Tebeila</w:t>
      </w:r>
      <w:proofErr w:type="spellEnd"/>
      <w:r w:rsidRPr="009D69D0">
        <w:rPr>
          <w:rFonts w:eastAsia="Times New Roman"/>
          <w:b/>
          <w:lang w:val="en-US"/>
        </w:rPr>
        <w:t xml:space="preserve"> Institute of Leadership, Education, Governance and Training vs </w:t>
      </w:r>
      <w:proofErr w:type="spellStart"/>
      <w:r w:rsidRPr="009D69D0">
        <w:rPr>
          <w:rFonts w:eastAsia="Times New Roman"/>
          <w:b/>
          <w:lang w:val="en-US"/>
        </w:rPr>
        <w:t>Limpompo</w:t>
      </w:r>
      <w:proofErr w:type="spellEnd"/>
      <w:r w:rsidRPr="009D69D0">
        <w:rPr>
          <w:rFonts w:eastAsia="Times New Roman"/>
          <w:b/>
          <w:lang w:val="en-US"/>
        </w:rPr>
        <w:t xml:space="preserve"> college of Nursing and Another 2015 (4) BCLR 396 (CC)</w:t>
      </w:r>
      <w:r w:rsidRPr="00CC6F76">
        <w:rPr>
          <w:rFonts w:eastAsia="Times New Roman"/>
          <w:lang w:val="en-US"/>
        </w:rPr>
        <w:t xml:space="preserve"> tells us in paragraphs 13 and 14</w:t>
      </w:r>
      <w:r w:rsidR="007101EC">
        <w:rPr>
          <w:rFonts w:eastAsia="Times New Roman"/>
          <w:lang w:val="en-US"/>
        </w:rPr>
        <w:t xml:space="preserve"> </w:t>
      </w:r>
      <w:proofErr w:type="gramStart"/>
      <w:r w:rsidR="007101EC">
        <w:rPr>
          <w:rFonts w:eastAsia="Times New Roman"/>
          <w:lang w:val="en-US"/>
        </w:rPr>
        <w:t>thus :</w:t>
      </w:r>
      <w:proofErr w:type="gramEnd"/>
    </w:p>
    <w:p w14:paraId="2E499735" w14:textId="11E57789" w:rsidR="004B725D" w:rsidRDefault="004B725D" w:rsidP="00A80F2A">
      <w:pPr>
        <w:pStyle w:val="ListParagraph"/>
        <w:jc w:val="both"/>
        <w:rPr>
          <w:rFonts w:eastAsia="Times New Roman"/>
          <w:lang w:val="en-US"/>
        </w:rPr>
      </w:pPr>
    </w:p>
    <w:p w14:paraId="645C518D" w14:textId="79CAD21A" w:rsidR="00CC6F76" w:rsidRPr="00653250" w:rsidRDefault="00CC6F76" w:rsidP="00A80F2A">
      <w:pPr>
        <w:pStyle w:val="ListParagraph"/>
        <w:ind w:left="1710" w:hanging="450"/>
        <w:jc w:val="both"/>
        <w:rPr>
          <w:rFonts w:eastAsia="Times New Roman"/>
          <w:b/>
          <w:sz w:val="22"/>
          <w:szCs w:val="22"/>
          <w:lang w:val="en-US"/>
        </w:rPr>
      </w:pPr>
      <w:r w:rsidRPr="00CC6F76">
        <w:rPr>
          <w:rFonts w:eastAsia="Times New Roman"/>
          <w:sz w:val="22"/>
          <w:szCs w:val="22"/>
          <w:lang w:val="en-US"/>
        </w:rPr>
        <w:lastRenderedPageBreak/>
        <w:t>“</w:t>
      </w:r>
      <w:r w:rsidR="00B62C9B">
        <w:rPr>
          <w:rFonts w:eastAsia="Times New Roman"/>
          <w:sz w:val="22"/>
          <w:szCs w:val="22"/>
          <w:lang w:val="en-US"/>
        </w:rPr>
        <w:t>13.</w:t>
      </w:r>
      <w:r w:rsidRPr="00CC6F76">
        <w:rPr>
          <w:rFonts w:eastAsia="Times New Roman"/>
          <w:sz w:val="22"/>
          <w:szCs w:val="22"/>
          <w:lang w:val="en-US"/>
        </w:rPr>
        <w:t xml:space="preserve"> Few appellate Courts countenance appeals on costs alone, and indeed the statute regulating appeals fro</w:t>
      </w:r>
      <w:r w:rsidR="00B62C9B">
        <w:rPr>
          <w:rFonts w:eastAsia="Times New Roman"/>
          <w:sz w:val="22"/>
          <w:szCs w:val="22"/>
          <w:lang w:val="en-US"/>
        </w:rPr>
        <w:t>m</w:t>
      </w:r>
      <w:r w:rsidRPr="00CC6F76">
        <w:rPr>
          <w:rFonts w:eastAsia="Times New Roman"/>
          <w:sz w:val="22"/>
          <w:szCs w:val="22"/>
          <w:lang w:val="en-US"/>
        </w:rPr>
        <w:t xml:space="preserve"> a High Court to a Full Court or the Supreme Court of Appeal has long provided that an appeal may be dismissed on the sole ground that the decision sought ‘will have no practical effect or result” and that, </w:t>
      </w:r>
      <w:r w:rsidRPr="00653250">
        <w:rPr>
          <w:rFonts w:eastAsia="Times New Roman"/>
          <w:b/>
          <w:sz w:val="22"/>
          <w:szCs w:val="22"/>
          <w:u w:val="single"/>
          <w:lang w:val="en-US"/>
        </w:rPr>
        <w:t>save under exception</w:t>
      </w:r>
      <w:r w:rsidR="00B62C9B" w:rsidRPr="00653250">
        <w:rPr>
          <w:rFonts w:eastAsia="Times New Roman"/>
          <w:b/>
          <w:sz w:val="22"/>
          <w:szCs w:val="22"/>
          <w:u w:val="single"/>
          <w:lang w:val="en-US"/>
        </w:rPr>
        <w:t>a</w:t>
      </w:r>
      <w:r w:rsidRPr="00653250">
        <w:rPr>
          <w:rFonts w:eastAsia="Times New Roman"/>
          <w:b/>
          <w:sz w:val="22"/>
          <w:szCs w:val="22"/>
          <w:u w:val="single"/>
          <w:lang w:val="en-US"/>
        </w:rPr>
        <w:t>l circumstances</w:t>
      </w:r>
      <w:r w:rsidRPr="00CC6F76">
        <w:rPr>
          <w:rFonts w:eastAsia="Times New Roman"/>
          <w:sz w:val="22"/>
          <w:szCs w:val="22"/>
          <w:lang w:val="en-US"/>
        </w:rPr>
        <w:t xml:space="preserve">, the question whether there would be any practical effect or result must be determined “without reference to any consideration of costs”. </w:t>
      </w:r>
      <w:r w:rsidRPr="00653250">
        <w:rPr>
          <w:rFonts w:eastAsia="Times New Roman"/>
          <w:b/>
          <w:sz w:val="22"/>
          <w:szCs w:val="22"/>
          <w:u w:val="single"/>
          <w:lang w:val="en-US"/>
        </w:rPr>
        <w:t>The practical impact of this provision is that appeals on costs alone are allowed very rarely indeed</w:t>
      </w:r>
      <w:r w:rsidR="00B62C9B" w:rsidRPr="00653250">
        <w:rPr>
          <w:rFonts w:eastAsia="Times New Roman"/>
          <w:b/>
          <w:sz w:val="22"/>
          <w:szCs w:val="22"/>
          <w:lang w:val="en-US"/>
        </w:rPr>
        <w:t>.</w:t>
      </w:r>
    </w:p>
    <w:p w14:paraId="7A5F69C7" w14:textId="6219D76D" w:rsidR="00B62C9B" w:rsidRDefault="00B62C9B" w:rsidP="00A80F2A">
      <w:pPr>
        <w:pStyle w:val="ListParagraph"/>
        <w:jc w:val="both"/>
        <w:rPr>
          <w:rFonts w:eastAsia="Times New Roman"/>
          <w:sz w:val="22"/>
          <w:szCs w:val="22"/>
          <w:lang w:val="en-US"/>
        </w:rPr>
      </w:pPr>
    </w:p>
    <w:p w14:paraId="146A67E3" w14:textId="77777777" w:rsidR="00873CE7" w:rsidRDefault="00873CE7" w:rsidP="00A80F2A">
      <w:pPr>
        <w:pStyle w:val="ListParagraph"/>
        <w:jc w:val="both"/>
        <w:rPr>
          <w:rFonts w:eastAsia="Times New Roman"/>
          <w:sz w:val="22"/>
          <w:szCs w:val="22"/>
          <w:lang w:val="en-US"/>
        </w:rPr>
      </w:pPr>
    </w:p>
    <w:p w14:paraId="2F712A18" w14:textId="0A3362DF" w:rsidR="00B62C9B" w:rsidRPr="00653250" w:rsidRDefault="00B62C9B" w:rsidP="00A80F2A">
      <w:pPr>
        <w:pStyle w:val="ListParagraph"/>
        <w:ind w:left="1710" w:hanging="450"/>
        <w:jc w:val="both"/>
        <w:rPr>
          <w:rFonts w:eastAsia="Times New Roman"/>
          <w:b/>
          <w:sz w:val="22"/>
          <w:szCs w:val="22"/>
          <w:lang w:val="en-US"/>
        </w:rPr>
      </w:pPr>
      <w:r>
        <w:rPr>
          <w:rFonts w:eastAsia="Times New Roman"/>
          <w:sz w:val="22"/>
          <w:szCs w:val="22"/>
          <w:lang w:val="en-US"/>
        </w:rPr>
        <w:t xml:space="preserve">14. </w:t>
      </w:r>
      <w:r w:rsidR="004B725D">
        <w:rPr>
          <w:rFonts w:eastAsia="Times New Roman"/>
          <w:sz w:val="22"/>
          <w:szCs w:val="22"/>
          <w:lang w:val="en-US"/>
        </w:rPr>
        <w:t xml:space="preserve"> </w:t>
      </w:r>
      <w:r>
        <w:rPr>
          <w:rFonts w:eastAsia="Times New Roman"/>
          <w:sz w:val="22"/>
          <w:szCs w:val="22"/>
          <w:lang w:val="en-US"/>
        </w:rPr>
        <w:t xml:space="preserve">All this makes this Court reluctant to correct the mistake here. And we have given careful consideration to the alternative. This is to dismiss the application and send the applicant back to the High Court, in order to seek its leave to appeal against the costs order to the Full Court. </w:t>
      </w:r>
      <w:r w:rsidRPr="00653250">
        <w:rPr>
          <w:rFonts w:eastAsia="Times New Roman"/>
          <w:b/>
          <w:sz w:val="22"/>
          <w:szCs w:val="22"/>
          <w:u w:val="single"/>
          <w:lang w:val="en-US"/>
        </w:rPr>
        <w:t>But, as shown above, that course may fail on the very point that appeals against costs orders alone are not countenanced</w:t>
      </w:r>
      <w:r w:rsidRPr="00653250">
        <w:rPr>
          <w:rFonts w:eastAsia="Times New Roman"/>
          <w:b/>
          <w:sz w:val="22"/>
          <w:szCs w:val="22"/>
          <w:lang w:val="en-US"/>
        </w:rPr>
        <w:t>”.</w:t>
      </w:r>
    </w:p>
    <w:p w14:paraId="10944FEE" w14:textId="0032A9CD" w:rsidR="00B62C9B" w:rsidRDefault="00B62C9B" w:rsidP="00A80F2A">
      <w:pPr>
        <w:pStyle w:val="ListParagraph"/>
        <w:jc w:val="both"/>
        <w:rPr>
          <w:rFonts w:eastAsia="Times New Roman"/>
          <w:sz w:val="22"/>
          <w:szCs w:val="22"/>
          <w:lang w:val="en-US"/>
        </w:rPr>
      </w:pPr>
    </w:p>
    <w:p w14:paraId="32A8DA17" w14:textId="77777777" w:rsidR="00D561E3" w:rsidRPr="00CC6F76" w:rsidRDefault="00D561E3" w:rsidP="00A80F2A">
      <w:pPr>
        <w:pStyle w:val="ListParagraph"/>
        <w:spacing w:line="240" w:lineRule="auto"/>
        <w:jc w:val="both"/>
        <w:rPr>
          <w:rFonts w:eastAsia="Times New Roman"/>
          <w:sz w:val="22"/>
          <w:szCs w:val="22"/>
          <w:lang w:val="en-US"/>
        </w:rPr>
      </w:pPr>
    </w:p>
    <w:p w14:paraId="78C23AB5" w14:textId="5622D1A2" w:rsidR="00CC6F76" w:rsidRDefault="00B62C9B" w:rsidP="00A80F2A">
      <w:pPr>
        <w:pStyle w:val="ListParagraph"/>
        <w:numPr>
          <w:ilvl w:val="0"/>
          <w:numId w:val="18"/>
        </w:numPr>
        <w:ind w:left="720" w:hanging="720"/>
        <w:jc w:val="both"/>
        <w:rPr>
          <w:rFonts w:eastAsia="Times New Roman"/>
          <w:lang w:val="en-US"/>
        </w:rPr>
      </w:pPr>
      <w:r>
        <w:rPr>
          <w:rFonts w:eastAsia="Times New Roman"/>
          <w:lang w:val="en-US"/>
        </w:rPr>
        <w:t xml:space="preserve">As set out in the above judgments, section 16(2)(a) of the Superior Courts Act, 10 of 2013(the Act), </w:t>
      </w:r>
      <w:r w:rsidR="00305029">
        <w:rPr>
          <w:rFonts w:eastAsia="Times New Roman"/>
          <w:lang w:val="en-US"/>
        </w:rPr>
        <w:t xml:space="preserve">contemplates that </w:t>
      </w:r>
      <w:r>
        <w:rPr>
          <w:rFonts w:eastAsia="Times New Roman"/>
          <w:lang w:val="en-US"/>
        </w:rPr>
        <w:t>exceptional circumstances must be established for the application to succeed in an application for leave to app</w:t>
      </w:r>
      <w:r w:rsidR="00172127">
        <w:rPr>
          <w:rFonts w:eastAsia="Times New Roman"/>
          <w:lang w:val="en-US"/>
        </w:rPr>
        <w:t>eal on costs. Very substantial</w:t>
      </w:r>
      <w:r>
        <w:rPr>
          <w:rFonts w:eastAsia="Times New Roman"/>
          <w:lang w:val="en-US"/>
        </w:rPr>
        <w:t xml:space="preserve"> costs could </w:t>
      </w:r>
      <w:r w:rsidR="004D09B5">
        <w:rPr>
          <w:rFonts w:eastAsia="Times New Roman"/>
          <w:lang w:val="en-US"/>
        </w:rPr>
        <w:t xml:space="preserve">constitute </w:t>
      </w:r>
      <w:r>
        <w:rPr>
          <w:rFonts w:eastAsia="Times New Roman"/>
          <w:lang w:val="en-US"/>
        </w:rPr>
        <w:t xml:space="preserve">exceptional </w:t>
      </w:r>
      <w:r w:rsidR="004D09B5">
        <w:rPr>
          <w:rFonts w:eastAsia="Times New Roman"/>
          <w:lang w:val="en-US"/>
        </w:rPr>
        <w:t>circumstances</w:t>
      </w:r>
      <w:r>
        <w:rPr>
          <w:rFonts w:eastAsia="Times New Roman"/>
          <w:lang w:val="en-US"/>
        </w:rPr>
        <w:t>.</w:t>
      </w:r>
      <w:r w:rsidR="00171529">
        <w:rPr>
          <w:rFonts w:eastAsia="Times New Roman"/>
          <w:lang w:val="en-US"/>
        </w:rPr>
        <w:t xml:space="preserve"> That is not the case here.</w:t>
      </w:r>
    </w:p>
    <w:p w14:paraId="074C9B40" w14:textId="5653078C" w:rsidR="00AE4BC0" w:rsidRDefault="00AE4BC0" w:rsidP="00A80F2A">
      <w:pPr>
        <w:pStyle w:val="ListParagraph"/>
        <w:ind w:left="284"/>
        <w:jc w:val="both"/>
        <w:rPr>
          <w:rFonts w:eastAsia="Times New Roman"/>
          <w:sz w:val="16"/>
          <w:szCs w:val="16"/>
          <w:lang w:val="en-US"/>
        </w:rPr>
      </w:pPr>
    </w:p>
    <w:p w14:paraId="4A55574E" w14:textId="77777777" w:rsidR="008C4D4F" w:rsidRPr="00157886" w:rsidRDefault="008C4D4F" w:rsidP="00A80F2A">
      <w:pPr>
        <w:pStyle w:val="ListParagraph"/>
        <w:ind w:left="284"/>
        <w:jc w:val="both"/>
        <w:rPr>
          <w:rFonts w:eastAsia="Times New Roman"/>
          <w:sz w:val="16"/>
          <w:szCs w:val="16"/>
          <w:lang w:val="en-US"/>
        </w:rPr>
      </w:pPr>
    </w:p>
    <w:p w14:paraId="3A8F5E3F" w14:textId="06B548A3" w:rsidR="004D09B5" w:rsidRPr="00157886" w:rsidRDefault="00171529" w:rsidP="00A80F2A">
      <w:pPr>
        <w:pStyle w:val="ListParagraph"/>
        <w:numPr>
          <w:ilvl w:val="0"/>
          <w:numId w:val="18"/>
        </w:numPr>
        <w:ind w:left="720" w:hanging="720"/>
        <w:jc w:val="both"/>
        <w:rPr>
          <w:rFonts w:eastAsia="Times New Roman"/>
          <w:sz w:val="16"/>
          <w:szCs w:val="16"/>
          <w:lang w:val="en-US"/>
        </w:rPr>
      </w:pPr>
      <w:r>
        <w:rPr>
          <w:rFonts w:eastAsia="Times New Roman"/>
          <w:lang w:val="en-US"/>
        </w:rPr>
        <w:t>The main application</w:t>
      </w:r>
      <w:r w:rsidR="00B62C9B" w:rsidRPr="004D09B5">
        <w:rPr>
          <w:rFonts w:eastAsia="Times New Roman"/>
          <w:lang w:val="en-US"/>
        </w:rPr>
        <w:t xml:space="preserve"> being an in</w:t>
      </w:r>
      <w:r w:rsidR="004D09B5" w:rsidRPr="004D09B5">
        <w:rPr>
          <w:rFonts w:eastAsia="Times New Roman"/>
          <w:lang w:val="en-US"/>
        </w:rPr>
        <w:t>ter</w:t>
      </w:r>
      <w:r w:rsidR="00B62C9B" w:rsidRPr="004D09B5">
        <w:rPr>
          <w:rFonts w:eastAsia="Times New Roman"/>
          <w:lang w:val="en-US"/>
        </w:rPr>
        <w:t>l</w:t>
      </w:r>
      <w:r w:rsidR="004D09B5" w:rsidRPr="004D09B5">
        <w:rPr>
          <w:rFonts w:eastAsia="Times New Roman"/>
          <w:lang w:val="en-US"/>
        </w:rPr>
        <w:t xml:space="preserve">ocutory </w:t>
      </w:r>
      <w:r w:rsidR="00B62C9B" w:rsidRPr="004D09B5">
        <w:rPr>
          <w:rFonts w:eastAsia="Times New Roman"/>
          <w:lang w:val="en-US"/>
        </w:rPr>
        <w:t>opposed matter, it can</w:t>
      </w:r>
      <w:r w:rsidR="004D09B5" w:rsidRPr="004D09B5">
        <w:rPr>
          <w:rFonts w:eastAsia="Times New Roman"/>
          <w:lang w:val="en-US"/>
        </w:rPr>
        <w:t xml:space="preserve"> never</w:t>
      </w:r>
      <w:r w:rsidR="00B62C9B" w:rsidRPr="004D09B5">
        <w:rPr>
          <w:rFonts w:eastAsia="Times New Roman"/>
          <w:lang w:val="en-US"/>
        </w:rPr>
        <w:t xml:space="preserve"> be characterized as exceptional on the basis of costs incurred. That is not what is contemplated under th</w:t>
      </w:r>
      <w:r w:rsidR="004D09B5" w:rsidRPr="004D09B5">
        <w:rPr>
          <w:rFonts w:eastAsia="Times New Roman"/>
          <w:lang w:val="en-US"/>
        </w:rPr>
        <w:t>e</w:t>
      </w:r>
      <w:r w:rsidR="00B62C9B" w:rsidRPr="004D09B5">
        <w:rPr>
          <w:rFonts w:eastAsia="Times New Roman"/>
          <w:lang w:val="en-US"/>
        </w:rPr>
        <w:t xml:space="preserve"> requirement. Otherwise</w:t>
      </w:r>
      <w:r w:rsidR="004D09B5" w:rsidRPr="004D09B5">
        <w:rPr>
          <w:rFonts w:eastAsia="Times New Roman"/>
          <w:lang w:val="en-US"/>
        </w:rPr>
        <w:t>,</w:t>
      </w:r>
      <w:r w:rsidR="00B62C9B" w:rsidRPr="004D09B5">
        <w:rPr>
          <w:rFonts w:eastAsia="Times New Roman"/>
          <w:lang w:val="en-US"/>
        </w:rPr>
        <w:t xml:space="preserve"> all simply and straightforward matters that are heard in the opposed court will be </w:t>
      </w:r>
      <w:r w:rsidR="00B727EA" w:rsidRPr="004D09B5">
        <w:rPr>
          <w:rFonts w:eastAsia="Times New Roman"/>
          <w:lang w:val="en-US"/>
        </w:rPr>
        <w:t xml:space="preserve">regarded as </w:t>
      </w:r>
      <w:r w:rsidR="006C7A91" w:rsidRPr="004D09B5">
        <w:rPr>
          <w:rFonts w:eastAsia="Times New Roman"/>
          <w:lang w:val="en-US"/>
        </w:rPr>
        <w:t>such.</w:t>
      </w:r>
      <w:r w:rsidR="006C7A91">
        <w:rPr>
          <w:rFonts w:eastAsia="Times New Roman"/>
          <w:lang w:val="en-US"/>
        </w:rPr>
        <w:t xml:space="preserve"> Put otherwise</w:t>
      </w:r>
      <w:r w:rsidR="001F7DD3">
        <w:rPr>
          <w:rFonts w:eastAsia="Times New Roman"/>
          <w:lang w:val="en-US"/>
        </w:rPr>
        <w:t>,</w:t>
      </w:r>
      <w:r w:rsidR="006C7A91">
        <w:rPr>
          <w:rFonts w:eastAsia="Times New Roman"/>
          <w:lang w:val="en-US"/>
        </w:rPr>
        <w:t xml:space="preserve"> all costs orders granted in motion under rule 35 (</w:t>
      </w:r>
      <w:r w:rsidR="00A854BE">
        <w:rPr>
          <w:rFonts w:eastAsia="Times New Roman"/>
          <w:lang w:val="en-US"/>
        </w:rPr>
        <w:t>1</w:t>
      </w:r>
      <w:r w:rsidR="006C7A91">
        <w:rPr>
          <w:rFonts w:eastAsia="Times New Roman"/>
          <w:lang w:val="en-US"/>
        </w:rPr>
        <w:t xml:space="preserve">4) proceedings will be regarded as appealable. </w:t>
      </w:r>
    </w:p>
    <w:p w14:paraId="5B7601F7" w14:textId="7DA5446F" w:rsidR="00157886" w:rsidRDefault="00157886" w:rsidP="00A80F2A">
      <w:pPr>
        <w:pStyle w:val="ListParagraph"/>
        <w:rPr>
          <w:rFonts w:eastAsia="Times New Roman"/>
          <w:sz w:val="16"/>
          <w:szCs w:val="16"/>
          <w:lang w:val="en-US"/>
        </w:rPr>
      </w:pPr>
    </w:p>
    <w:p w14:paraId="483F510E" w14:textId="77777777" w:rsidR="00A854BE" w:rsidRPr="00157886" w:rsidRDefault="00A854BE" w:rsidP="00A80F2A">
      <w:pPr>
        <w:pStyle w:val="ListParagraph"/>
        <w:rPr>
          <w:rFonts w:eastAsia="Times New Roman"/>
          <w:sz w:val="16"/>
          <w:szCs w:val="16"/>
          <w:lang w:val="en-US"/>
        </w:rPr>
      </w:pPr>
    </w:p>
    <w:p w14:paraId="187F832E" w14:textId="016E62F8" w:rsidR="00B727EA" w:rsidRDefault="00B727EA" w:rsidP="00A80F2A">
      <w:pPr>
        <w:pStyle w:val="ListParagraph"/>
        <w:numPr>
          <w:ilvl w:val="0"/>
          <w:numId w:val="18"/>
        </w:numPr>
        <w:ind w:left="284" w:hanging="284"/>
        <w:jc w:val="both"/>
        <w:rPr>
          <w:rFonts w:eastAsia="Times New Roman"/>
          <w:lang w:val="en-US"/>
        </w:rPr>
      </w:pPr>
      <w:r>
        <w:rPr>
          <w:rFonts w:eastAsia="Times New Roman"/>
          <w:lang w:val="en-US"/>
        </w:rPr>
        <w:t xml:space="preserve">In </w:t>
      </w:r>
      <w:proofErr w:type="spellStart"/>
      <w:r w:rsidRPr="009D69D0">
        <w:rPr>
          <w:rFonts w:eastAsia="Times New Roman"/>
          <w:b/>
          <w:lang w:val="en-US"/>
        </w:rPr>
        <w:t>Barense</w:t>
      </w:r>
      <w:proofErr w:type="spellEnd"/>
      <w:r w:rsidRPr="009D69D0">
        <w:rPr>
          <w:rFonts w:eastAsia="Times New Roman"/>
          <w:b/>
          <w:lang w:val="en-US"/>
        </w:rPr>
        <w:t xml:space="preserve"> and Another vs [2023] 3 ALL SA 381(WCC) para11 </w:t>
      </w:r>
      <w:r>
        <w:rPr>
          <w:rFonts w:eastAsia="Times New Roman"/>
          <w:lang w:val="en-US"/>
        </w:rPr>
        <w:t>said:</w:t>
      </w:r>
    </w:p>
    <w:p w14:paraId="209C90EE" w14:textId="77777777" w:rsidR="00157886" w:rsidRPr="00157886" w:rsidRDefault="00157886" w:rsidP="00A80F2A">
      <w:pPr>
        <w:pStyle w:val="ListParagraph"/>
        <w:rPr>
          <w:rFonts w:eastAsia="Times New Roman"/>
          <w:sz w:val="16"/>
          <w:szCs w:val="16"/>
          <w:lang w:val="en-US"/>
        </w:rPr>
      </w:pPr>
    </w:p>
    <w:p w14:paraId="56C9356F" w14:textId="77777777" w:rsidR="00D561E3" w:rsidRDefault="00B727EA" w:rsidP="00A80F2A">
      <w:pPr>
        <w:ind w:left="1170" w:hanging="810"/>
        <w:jc w:val="both"/>
        <w:rPr>
          <w:rFonts w:eastAsia="Times New Roman"/>
          <w:sz w:val="22"/>
          <w:szCs w:val="22"/>
          <w:lang w:val="en-US"/>
        </w:rPr>
      </w:pPr>
      <w:r>
        <w:rPr>
          <w:rFonts w:eastAsia="Times New Roman"/>
          <w:lang w:val="en-US"/>
        </w:rPr>
        <w:t xml:space="preserve">           “</w:t>
      </w:r>
      <w:r w:rsidRPr="005B1A98">
        <w:rPr>
          <w:rFonts w:eastAsia="Times New Roman"/>
          <w:sz w:val="22"/>
          <w:szCs w:val="22"/>
          <w:lang w:val="en-US"/>
        </w:rPr>
        <w:t>What are exceptional ci</w:t>
      </w:r>
      <w:r w:rsidR="005B1A98" w:rsidRPr="005B1A98">
        <w:rPr>
          <w:rFonts w:eastAsia="Times New Roman"/>
          <w:sz w:val="22"/>
          <w:szCs w:val="22"/>
          <w:lang w:val="en-US"/>
        </w:rPr>
        <w:t>rcu</w:t>
      </w:r>
      <w:r w:rsidRPr="005B1A98">
        <w:rPr>
          <w:rFonts w:eastAsia="Times New Roman"/>
          <w:sz w:val="22"/>
          <w:szCs w:val="22"/>
          <w:lang w:val="en-US"/>
        </w:rPr>
        <w:t>mstances? In S vs Petersen it was held as follows</w:t>
      </w:r>
      <w:r w:rsidR="005B1A98" w:rsidRPr="005B1A98">
        <w:rPr>
          <w:rFonts w:eastAsia="Times New Roman"/>
          <w:sz w:val="22"/>
          <w:szCs w:val="22"/>
          <w:lang w:val="en-US"/>
        </w:rPr>
        <w:t>:</w:t>
      </w:r>
    </w:p>
    <w:p w14:paraId="4224E475" w14:textId="77777777" w:rsidR="00D561E3" w:rsidRDefault="00D561E3" w:rsidP="00A80F2A">
      <w:pPr>
        <w:ind w:left="1170" w:hanging="810"/>
        <w:jc w:val="both"/>
        <w:rPr>
          <w:rFonts w:eastAsia="Times New Roman"/>
          <w:sz w:val="22"/>
          <w:szCs w:val="22"/>
          <w:lang w:val="en-US"/>
        </w:rPr>
      </w:pPr>
    </w:p>
    <w:p w14:paraId="57E4275C" w14:textId="695940E3" w:rsidR="00B727EA" w:rsidRDefault="00D561E3" w:rsidP="00A80F2A">
      <w:pPr>
        <w:ind w:left="1170" w:hanging="810"/>
        <w:jc w:val="both"/>
        <w:rPr>
          <w:rFonts w:eastAsia="Times New Roman"/>
          <w:lang w:val="en-US"/>
        </w:rPr>
      </w:pPr>
      <w:r>
        <w:rPr>
          <w:rFonts w:eastAsia="Times New Roman"/>
          <w:sz w:val="22"/>
          <w:szCs w:val="22"/>
          <w:lang w:val="en-US"/>
        </w:rPr>
        <w:lastRenderedPageBreak/>
        <w:t xml:space="preserve">              </w:t>
      </w:r>
      <w:r w:rsidR="005B1A98" w:rsidRPr="005B1A98">
        <w:rPr>
          <w:rFonts w:eastAsia="Times New Roman"/>
          <w:sz w:val="22"/>
          <w:szCs w:val="22"/>
          <w:lang w:val="en-US"/>
        </w:rPr>
        <w:t>“Generally speaking “exceptional” is indicative of something unusual, extraordinary, remarkable, peculiar or simply different. There are, of course, varying degrees of exceptionality, unusualness, extraordinariness, remarkableness, peculiarity or difference</w:t>
      </w:r>
      <w:r w:rsidR="005B1A98">
        <w:rPr>
          <w:rFonts w:eastAsia="Times New Roman"/>
          <w:lang w:val="en-US"/>
        </w:rPr>
        <w:t>.”</w:t>
      </w:r>
    </w:p>
    <w:p w14:paraId="201B3CF4" w14:textId="77777777" w:rsidR="00A80F2A" w:rsidRDefault="00A80F2A" w:rsidP="00A80F2A">
      <w:pPr>
        <w:ind w:left="1170" w:hanging="810"/>
        <w:jc w:val="both"/>
        <w:rPr>
          <w:rFonts w:eastAsia="Times New Roman"/>
          <w:lang w:val="en-US"/>
        </w:rPr>
      </w:pPr>
    </w:p>
    <w:p w14:paraId="36F515BF" w14:textId="13E088A7" w:rsidR="00B727EA" w:rsidRDefault="004D09B5" w:rsidP="00A80F2A">
      <w:pPr>
        <w:ind w:left="720" w:hanging="720"/>
        <w:jc w:val="both"/>
        <w:rPr>
          <w:b/>
          <w:shd w:val="clear" w:color="auto" w:fill="FFFFFF"/>
        </w:rPr>
      </w:pPr>
      <w:r>
        <w:rPr>
          <w:rFonts w:eastAsia="Times New Roman"/>
          <w:lang w:val="en-US"/>
        </w:rPr>
        <w:t xml:space="preserve">[24]  </w:t>
      </w:r>
      <w:r w:rsidR="00D561E3">
        <w:rPr>
          <w:rFonts w:eastAsia="Times New Roman"/>
          <w:lang w:val="en-US"/>
        </w:rPr>
        <w:t xml:space="preserve">  </w:t>
      </w:r>
      <w:r>
        <w:rPr>
          <w:rFonts w:eastAsia="Times New Roman"/>
          <w:lang w:val="en-US"/>
        </w:rPr>
        <w:t>There is thus nothing exceptional about this matter.</w:t>
      </w:r>
      <w:r w:rsidR="00873CE7">
        <w:rPr>
          <w:rFonts w:eastAsia="Times New Roman"/>
          <w:lang w:val="en-US"/>
        </w:rPr>
        <w:t xml:space="preserve"> In arguing that there are no exception</w:t>
      </w:r>
      <w:r w:rsidR="008A3973">
        <w:rPr>
          <w:rFonts w:eastAsia="Times New Roman"/>
          <w:lang w:val="en-US"/>
        </w:rPr>
        <w:t>al circumstances in this matter, d</w:t>
      </w:r>
      <w:r w:rsidR="00873CE7">
        <w:rPr>
          <w:rFonts w:eastAsia="Times New Roman"/>
          <w:lang w:val="en-US"/>
        </w:rPr>
        <w:t>u</w:t>
      </w:r>
      <w:r w:rsidR="006E5A91">
        <w:rPr>
          <w:rFonts w:eastAsia="Times New Roman"/>
          <w:lang w:val="en-US"/>
        </w:rPr>
        <w:t xml:space="preserve">ring </w:t>
      </w:r>
      <w:r w:rsidR="001C10FA">
        <w:rPr>
          <w:rFonts w:eastAsia="Times New Roman"/>
          <w:lang w:val="en-US"/>
        </w:rPr>
        <w:t>oral submissions</w:t>
      </w:r>
      <w:r w:rsidR="005070A7">
        <w:rPr>
          <w:rFonts w:eastAsia="Times New Roman"/>
          <w:lang w:val="en-US"/>
        </w:rPr>
        <w:t xml:space="preserve"> </w:t>
      </w:r>
      <w:proofErr w:type="spellStart"/>
      <w:r w:rsidR="005070A7">
        <w:rPr>
          <w:rFonts w:eastAsia="Times New Roman"/>
          <w:lang w:val="en-US"/>
        </w:rPr>
        <w:t>Mr</w:t>
      </w:r>
      <w:proofErr w:type="spellEnd"/>
      <w:r w:rsidR="005070A7">
        <w:rPr>
          <w:rFonts w:eastAsia="Times New Roman"/>
          <w:lang w:val="en-US"/>
        </w:rPr>
        <w:t xml:space="preserve"> </w:t>
      </w:r>
      <w:proofErr w:type="spellStart"/>
      <w:r w:rsidR="005070A7">
        <w:rPr>
          <w:rFonts w:eastAsia="Times New Roman"/>
          <w:lang w:val="en-US"/>
        </w:rPr>
        <w:t>Bot</w:t>
      </w:r>
      <w:r w:rsidR="00873CE7">
        <w:rPr>
          <w:rFonts w:eastAsia="Times New Roman"/>
          <w:lang w:val="en-US"/>
        </w:rPr>
        <w:t>ma</w:t>
      </w:r>
      <w:proofErr w:type="spellEnd"/>
      <w:r w:rsidR="00873CE7">
        <w:rPr>
          <w:rFonts w:eastAsia="Times New Roman"/>
          <w:lang w:val="en-US"/>
        </w:rPr>
        <w:t xml:space="preserve"> </w:t>
      </w:r>
      <w:r w:rsidR="006E5A91">
        <w:rPr>
          <w:rFonts w:eastAsia="Times New Roman"/>
          <w:lang w:val="en-US"/>
        </w:rPr>
        <w:t xml:space="preserve">referred the Court to a case of </w:t>
      </w:r>
      <w:proofErr w:type="spellStart"/>
      <w:r w:rsidR="006E5A91" w:rsidRPr="006E5A91">
        <w:rPr>
          <w:rFonts w:eastAsia="Times New Roman"/>
          <w:b/>
          <w:lang w:val="en-US"/>
        </w:rPr>
        <w:t>SeaTrans</w:t>
      </w:r>
      <w:proofErr w:type="spellEnd"/>
      <w:r w:rsidR="006E5A91" w:rsidRPr="006E5A91">
        <w:rPr>
          <w:rFonts w:eastAsia="Times New Roman"/>
          <w:b/>
          <w:lang w:val="en-US"/>
        </w:rPr>
        <w:t xml:space="preserve"> Maritime </w:t>
      </w:r>
      <w:r w:rsidR="006E5A91" w:rsidRPr="006E5A91">
        <w:rPr>
          <w:rStyle w:val="Emphasis"/>
          <w:b/>
          <w:bCs/>
          <w:i w:val="0"/>
          <w:iCs w:val="0"/>
          <w:shd w:val="clear" w:color="auto" w:fill="FFFFFF"/>
        </w:rPr>
        <w:t>v</w:t>
      </w:r>
      <w:r w:rsidR="006E5A91" w:rsidRPr="006E5A91">
        <w:rPr>
          <w:b/>
          <w:shd w:val="clear" w:color="auto" w:fill="FFFFFF"/>
        </w:rPr>
        <w:t>. </w:t>
      </w:r>
      <w:r w:rsidR="006E5A91" w:rsidRPr="006E5A91">
        <w:rPr>
          <w:rStyle w:val="Emphasis"/>
          <w:b/>
          <w:bCs/>
          <w:i w:val="0"/>
          <w:iCs w:val="0"/>
          <w:shd w:val="clear" w:color="auto" w:fill="FFFFFF"/>
        </w:rPr>
        <w:t>Owners</w:t>
      </w:r>
      <w:r w:rsidR="006E5A91" w:rsidRPr="006E5A91">
        <w:rPr>
          <w:b/>
          <w:shd w:val="clear" w:color="auto" w:fill="FFFFFF"/>
        </w:rPr>
        <w:t>, </w:t>
      </w:r>
      <w:r w:rsidR="006E5A91" w:rsidRPr="006E5A91">
        <w:rPr>
          <w:rStyle w:val="Emphasis"/>
          <w:b/>
          <w:bCs/>
          <w:i w:val="0"/>
          <w:iCs w:val="0"/>
          <w:shd w:val="clear" w:color="auto" w:fill="FFFFFF"/>
        </w:rPr>
        <w:t>MV Ais Mamas</w:t>
      </w:r>
      <w:r w:rsidR="006E5A91" w:rsidRPr="006E5A91">
        <w:rPr>
          <w:b/>
          <w:shd w:val="clear" w:color="auto" w:fill="FFFFFF"/>
        </w:rPr>
        <w:t> &amp; </w:t>
      </w:r>
      <w:r w:rsidR="006E5A91" w:rsidRPr="006E5A91">
        <w:rPr>
          <w:rStyle w:val="Emphasis"/>
          <w:b/>
          <w:bCs/>
          <w:i w:val="0"/>
          <w:iCs w:val="0"/>
          <w:shd w:val="clear" w:color="auto" w:fill="FFFFFF"/>
        </w:rPr>
        <w:t>another</w:t>
      </w:r>
      <w:r w:rsidR="006E5A91" w:rsidRPr="006E5A91">
        <w:rPr>
          <w:b/>
          <w:shd w:val="clear" w:color="auto" w:fill="FFFFFF"/>
        </w:rPr>
        <w:t> 2002 (6) SA 150 (C)</w:t>
      </w:r>
      <w:r w:rsidR="006E5A91">
        <w:rPr>
          <w:b/>
          <w:shd w:val="clear" w:color="auto" w:fill="FFFFFF"/>
        </w:rPr>
        <w:t xml:space="preserve">. </w:t>
      </w:r>
      <w:r w:rsidR="006E5A91" w:rsidRPr="00F61494">
        <w:rPr>
          <w:shd w:val="clear" w:color="auto" w:fill="FFFFFF"/>
        </w:rPr>
        <w:t>He further</w:t>
      </w:r>
      <w:r w:rsidR="006E5A91">
        <w:rPr>
          <w:b/>
          <w:shd w:val="clear" w:color="auto" w:fill="FFFFFF"/>
        </w:rPr>
        <w:t xml:space="preserve"> </w:t>
      </w:r>
      <w:r w:rsidR="00F61494">
        <w:rPr>
          <w:shd w:val="clear" w:color="auto" w:fill="FFFFFF"/>
        </w:rPr>
        <w:t>argued that an appeal</w:t>
      </w:r>
      <w:r w:rsidR="00F61494" w:rsidRPr="00F61494">
        <w:rPr>
          <w:shd w:val="clear" w:color="auto" w:fill="FFFFFF"/>
        </w:rPr>
        <w:t xml:space="preserve"> on costs will have </w:t>
      </w:r>
      <w:r w:rsidR="00F61494">
        <w:rPr>
          <w:shd w:val="clear" w:color="auto" w:fill="FFFFFF"/>
        </w:rPr>
        <w:t xml:space="preserve">no practical effect. He referred the Court </w:t>
      </w:r>
      <w:r w:rsidR="00F61494" w:rsidRPr="00F61494">
        <w:rPr>
          <w:shd w:val="clear" w:color="auto" w:fill="FFFFFF"/>
        </w:rPr>
        <w:t xml:space="preserve">to </w:t>
      </w:r>
      <w:proofErr w:type="spellStart"/>
      <w:r w:rsidR="00F61494" w:rsidRPr="00F61494">
        <w:rPr>
          <w:rStyle w:val="Emphasis"/>
          <w:b/>
          <w:bCs/>
          <w:i w:val="0"/>
          <w:iCs w:val="0"/>
          <w:shd w:val="clear" w:color="auto" w:fill="FFFFFF"/>
        </w:rPr>
        <w:t>Oudebaaskraal</w:t>
      </w:r>
      <w:proofErr w:type="spellEnd"/>
      <w:r w:rsidR="00F61494" w:rsidRPr="00F61494">
        <w:rPr>
          <w:b/>
          <w:shd w:val="clear" w:color="auto" w:fill="FFFFFF"/>
        </w:rPr>
        <w:t> (</w:t>
      </w:r>
      <w:proofErr w:type="spellStart"/>
      <w:r w:rsidR="00F61494" w:rsidRPr="00F61494">
        <w:rPr>
          <w:rStyle w:val="Emphasis"/>
          <w:b/>
          <w:bCs/>
          <w:i w:val="0"/>
          <w:iCs w:val="0"/>
          <w:shd w:val="clear" w:color="auto" w:fill="FFFFFF"/>
        </w:rPr>
        <w:t>Edms</w:t>
      </w:r>
      <w:proofErr w:type="spellEnd"/>
      <w:r w:rsidR="00F61494" w:rsidRPr="00F61494">
        <w:rPr>
          <w:b/>
          <w:shd w:val="clear" w:color="auto" w:fill="FFFFFF"/>
        </w:rPr>
        <w:t>) </w:t>
      </w:r>
      <w:proofErr w:type="spellStart"/>
      <w:r w:rsidR="00F61494" w:rsidRPr="00F61494">
        <w:rPr>
          <w:rStyle w:val="Emphasis"/>
          <w:b/>
          <w:bCs/>
          <w:i w:val="0"/>
          <w:iCs w:val="0"/>
          <w:shd w:val="clear" w:color="auto" w:fill="FFFFFF"/>
        </w:rPr>
        <w:t>Bpk</w:t>
      </w:r>
      <w:proofErr w:type="spellEnd"/>
      <w:r w:rsidR="00F61494" w:rsidRPr="00F61494">
        <w:rPr>
          <w:rStyle w:val="Emphasis"/>
          <w:b/>
          <w:bCs/>
          <w:i w:val="0"/>
          <w:iCs w:val="0"/>
          <w:shd w:val="clear" w:color="auto" w:fill="FFFFFF"/>
        </w:rPr>
        <w:t xml:space="preserve"> </w:t>
      </w:r>
      <w:proofErr w:type="spellStart"/>
      <w:r w:rsidR="00F61494" w:rsidRPr="00F61494">
        <w:rPr>
          <w:rStyle w:val="Emphasis"/>
          <w:b/>
          <w:bCs/>
          <w:i w:val="0"/>
          <w:iCs w:val="0"/>
          <w:shd w:val="clear" w:color="auto" w:fill="FFFFFF"/>
        </w:rPr>
        <w:t>en</w:t>
      </w:r>
      <w:proofErr w:type="spellEnd"/>
      <w:r w:rsidR="00F61494" w:rsidRPr="00F61494">
        <w:rPr>
          <w:rStyle w:val="Emphasis"/>
          <w:b/>
          <w:bCs/>
          <w:i w:val="0"/>
          <w:iCs w:val="0"/>
          <w:shd w:val="clear" w:color="auto" w:fill="FFFFFF"/>
        </w:rPr>
        <w:t xml:space="preserve"> </w:t>
      </w:r>
      <w:proofErr w:type="spellStart"/>
      <w:r w:rsidR="00F61494" w:rsidRPr="00F61494">
        <w:rPr>
          <w:rStyle w:val="Emphasis"/>
          <w:b/>
          <w:bCs/>
          <w:i w:val="0"/>
          <w:iCs w:val="0"/>
          <w:shd w:val="clear" w:color="auto" w:fill="FFFFFF"/>
        </w:rPr>
        <w:t>Andere</w:t>
      </w:r>
      <w:proofErr w:type="spellEnd"/>
      <w:r w:rsidR="00F61494" w:rsidRPr="00F61494">
        <w:rPr>
          <w:rStyle w:val="Emphasis"/>
          <w:b/>
          <w:bCs/>
          <w:i w:val="0"/>
          <w:iCs w:val="0"/>
          <w:shd w:val="clear" w:color="auto" w:fill="FFFFFF"/>
        </w:rPr>
        <w:t xml:space="preserve"> v</w:t>
      </w:r>
      <w:r w:rsidR="00F61494" w:rsidRPr="00F61494">
        <w:rPr>
          <w:b/>
          <w:shd w:val="clear" w:color="auto" w:fill="FFFFFF"/>
        </w:rPr>
        <w:t xml:space="preserve"> Jansen van </w:t>
      </w:r>
      <w:proofErr w:type="spellStart"/>
      <w:r w:rsidR="00F61494" w:rsidRPr="00F61494">
        <w:rPr>
          <w:b/>
          <w:shd w:val="clear" w:color="auto" w:fill="FFFFFF"/>
        </w:rPr>
        <w:t>Vuuren</w:t>
      </w:r>
      <w:proofErr w:type="spellEnd"/>
      <w:r w:rsidR="00F61494" w:rsidRPr="00F61494">
        <w:rPr>
          <w:b/>
          <w:shd w:val="clear" w:color="auto" w:fill="FFFFFF"/>
        </w:rPr>
        <w:t xml:space="preserve"> </w:t>
      </w:r>
      <w:proofErr w:type="spellStart"/>
      <w:r w:rsidR="00F61494" w:rsidRPr="00F61494">
        <w:rPr>
          <w:b/>
          <w:shd w:val="clear" w:color="auto" w:fill="FFFFFF"/>
        </w:rPr>
        <w:t>en</w:t>
      </w:r>
      <w:proofErr w:type="spellEnd"/>
      <w:r w:rsidR="00F61494" w:rsidRPr="00F61494">
        <w:rPr>
          <w:b/>
          <w:shd w:val="clear" w:color="auto" w:fill="FFFFFF"/>
        </w:rPr>
        <w:t>. </w:t>
      </w:r>
      <w:r w:rsidR="00F61494" w:rsidRPr="00F61494">
        <w:rPr>
          <w:rStyle w:val="Emphasis"/>
          <w:b/>
          <w:bCs/>
          <w:i w:val="0"/>
          <w:iCs w:val="0"/>
          <w:shd w:val="clear" w:color="auto" w:fill="FFFFFF"/>
        </w:rPr>
        <w:t>Andere 2001</w:t>
      </w:r>
      <w:r w:rsidR="00F61494" w:rsidRPr="00F61494">
        <w:rPr>
          <w:b/>
          <w:shd w:val="clear" w:color="auto" w:fill="FFFFFF"/>
        </w:rPr>
        <w:t> (2) SA 806 (SCA</w:t>
      </w:r>
      <w:r w:rsidR="00FF019A" w:rsidRPr="00A81B02">
        <w:rPr>
          <w:b/>
          <w:shd w:val="clear" w:color="auto" w:fill="FFFFFF"/>
        </w:rPr>
        <w:t>)</w:t>
      </w:r>
      <w:r w:rsidR="00FF019A" w:rsidRPr="00A81B02">
        <w:rPr>
          <w:shd w:val="clear" w:color="auto" w:fill="FFFFFF"/>
        </w:rPr>
        <w:t xml:space="preserve">. He </w:t>
      </w:r>
      <w:r w:rsidR="00067F17">
        <w:rPr>
          <w:shd w:val="clear" w:color="auto" w:fill="FFFFFF"/>
        </w:rPr>
        <w:t>made reference</w:t>
      </w:r>
      <w:r w:rsidR="00A81B02" w:rsidRPr="00A81B02">
        <w:rPr>
          <w:shd w:val="clear" w:color="auto" w:fill="FFFFFF"/>
        </w:rPr>
        <w:t xml:space="preserve"> to </w:t>
      </w:r>
      <w:r w:rsidR="00A81B02">
        <w:rPr>
          <w:b/>
          <w:shd w:val="clear" w:color="auto" w:fill="FFFFFF"/>
        </w:rPr>
        <w:t>M</w:t>
      </w:r>
      <w:r w:rsidR="00A81B02" w:rsidRPr="00A81B02">
        <w:rPr>
          <w:b/>
          <w:shd w:val="clear" w:color="auto" w:fill="FFFFFF"/>
        </w:rPr>
        <w:t>gwenya N</w:t>
      </w:r>
      <w:r w:rsidR="00A81B02">
        <w:rPr>
          <w:b/>
          <w:shd w:val="clear" w:color="auto" w:fill="FFFFFF"/>
        </w:rPr>
        <w:t>O</w:t>
      </w:r>
      <w:r w:rsidR="00A81B02" w:rsidRPr="00A81B02">
        <w:rPr>
          <w:b/>
          <w:shd w:val="clear" w:color="auto" w:fill="FFFFFF"/>
        </w:rPr>
        <w:t xml:space="preserve">. v Kruger </w:t>
      </w:r>
      <w:proofErr w:type="gramStart"/>
      <w:r w:rsidR="00A81B02" w:rsidRPr="00A81B02">
        <w:rPr>
          <w:b/>
          <w:shd w:val="clear" w:color="auto" w:fill="FFFFFF"/>
        </w:rPr>
        <w:t xml:space="preserve">2017 </w:t>
      </w:r>
      <w:r w:rsidR="00A81B02">
        <w:rPr>
          <w:b/>
          <w:shd w:val="clear" w:color="auto" w:fill="FFFFFF"/>
        </w:rPr>
        <w:t xml:space="preserve"> JDR</w:t>
      </w:r>
      <w:proofErr w:type="gramEnd"/>
      <w:r w:rsidR="00A81B02">
        <w:rPr>
          <w:b/>
          <w:shd w:val="clear" w:color="auto" w:fill="FFFFFF"/>
        </w:rPr>
        <w:t xml:space="preserve"> 1488 (SCA)</w:t>
      </w:r>
      <w:r w:rsidR="006F1FD8">
        <w:rPr>
          <w:b/>
          <w:shd w:val="clear" w:color="auto" w:fill="FFFFFF"/>
        </w:rPr>
        <w:t xml:space="preserve"> </w:t>
      </w:r>
      <w:r w:rsidR="006F1FD8" w:rsidRPr="006F1FD8">
        <w:rPr>
          <w:shd w:val="clear" w:color="auto" w:fill="FFFFFF"/>
        </w:rPr>
        <w:t>as well</w:t>
      </w:r>
      <w:r w:rsidR="00A81B02" w:rsidRPr="006F1FD8">
        <w:rPr>
          <w:shd w:val="clear" w:color="auto" w:fill="FFFFFF"/>
        </w:rPr>
        <w:t>.</w:t>
      </w:r>
    </w:p>
    <w:p w14:paraId="0BDC59D9" w14:textId="77777777" w:rsidR="00A81B02" w:rsidRPr="00A81B02" w:rsidRDefault="00A81B02" w:rsidP="00A80F2A">
      <w:pPr>
        <w:jc w:val="both"/>
        <w:rPr>
          <w:rFonts w:eastAsia="Times New Roman"/>
          <w:b/>
          <w:lang w:val="en-US"/>
        </w:rPr>
      </w:pPr>
    </w:p>
    <w:p w14:paraId="4FDE2E84" w14:textId="266735F9" w:rsidR="005B1A98" w:rsidRDefault="004D09B5" w:rsidP="00A80F2A">
      <w:pPr>
        <w:ind w:left="720" w:hanging="720"/>
        <w:jc w:val="both"/>
        <w:rPr>
          <w:rFonts w:eastAsia="Times New Roman"/>
          <w:lang w:val="en-US"/>
        </w:rPr>
      </w:pPr>
      <w:r>
        <w:rPr>
          <w:rFonts w:eastAsia="Times New Roman"/>
          <w:lang w:val="en-US"/>
        </w:rPr>
        <w:t xml:space="preserve">[25]   </w:t>
      </w:r>
      <w:r w:rsidR="00720798">
        <w:rPr>
          <w:rFonts w:eastAsia="Times New Roman"/>
          <w:lang w:val="en-US"/>
        </w:rPr>
        <w:t>T</w:t>
      </w:r>
      <w:r w:rsidR="001234B2">
        <w:rPr>
          <w:rFonts w:eastAsia="Times New Roman"/>
          <w:lang w:val="en-US"/>
        </w:rPr>
        <w:t xml:space="preserve">he notice of application for leave to appeal </w:t>
      </w:r>
      <w:r w:rsidR="00720798">
        <w:rPr>
          <w:rFonts w:eastAsia="Times New Roman"/>
          <w:lang w:val="en-US"/>
        </w:rPr>
        <w:t xml:space="preserve">does not state the </w:t>
      </w:r>
      <w:r w:rsidR="009D69D0">
        <w:rPr>
          <w:rFonts w:eastAsia="Times New Roman"/>
          <w:lang w:val="en-US"/>
        </w:rPr>
        <w:t>exact</w:t>
      </w:r>
      <w:r w:rsidR="001234B2">
        <w:rPr>
          <w:rFonts w:eastAsia="Times New Roman"/>
          <w:lang w:val="en-US"/>
        </w:rPr>
        <w:t xml:space="preserve"> ground under section17 of the Act</w:t>
      </w:r>
      <w:r w:rsidR="00720798">
        <w:rPr>
          <w:rFonts w:eastAsia="Times New Roman"/>
          <w:lang w:val="en-US"/>
        </w:rPr>
        <w:t xml:space="preserve"> on which this application is based. </w:t>
      </w:r>
      <w:r w:rsidR="001234B2">
        <w:rPr>
          <w:rFonts w:eastAsia="Times New Roman"/>
          <w:lang w:val="en-US"/>
        </w:rPr>
        <w:t>It is safe to assume that it is the following:</w:t>
      </w:r>
    </w:p>
    <w:p w14:paraId="608E6034" w14:textId="77777777" w:rsidR="00157886" w:rsidRDefault="00157886" w:rsidP="00A80F2A">
      <w:pPr>
        <w:jc w:val="both"/>
        <w:rPr>
          <w:rFonts w:eastAsia="Times New Roman"/>
          <w:lang w:val="en-US"/>
        </w:rPr>
      </w:pPr>
    </w:p>
    <w:p w14:paraId="528B4CBF" w14:textId="608E1FBD" w:rsidR="00B74544" w:rsidRPr="00E47117" w:rsidRDefault="001234B2" w:rsidP="00E47117">
      <w:pPr>
        <w:pStyle w:val="ListParagraph"/>
        <w:ind w:left="810" w:hanging="526"/>
        <w:jc w:val="both"/>
        <w:rPr>
          <w:rFonts w:eastAsia="Times New Roman"/>
          <w:sz w:val="22"/>
          <w:szCs w:val="22"/>
          <w:u w:val="single"/>
          <w:lang w:val="en-US"/>
        </w:rPr>
      </w:pPr>
      <w:r w:rsidRPr="001234B2">
        <w:rPr>
          <w:rFonts w:eastAsia="Times New Roman"/>
          <w:sz w:val="22"/>
          <w:szCs w:val="22"/>
          <w:lang w:val="en-US"/>
        </w:rPr>
        <w:t xml:space="preserve">“17(1) Leave to appeal may only be given </w:t>
      </w:r>
      <w:r w:rsidRPr="001234B2">
        <w:rPr>
          <w:rFonts w:eastAsia="Times New Roman"/>
          <w:sz w:val="22"/>
          <w:szCs w:val="22"/>
          <w:u w:val="single"/>
          <w:lang w:val="en-US"/>
        </w:rPr>
        <w:t>where the Judge</w:t>
      </w:r>
      <w:r w:rsidRPr="001234B2">
        <w:rPr>
          <w:rFonts w:eastAsia="Times New Roman"/>
          <w:sz w:val="22"/>
          <w:szCs w:val="22"/>
          <w:lang w:val="en-US"/>
        </w:rPr>
        <w:t xml:space="preserve"> or Judges concerned </w:t>
      </w:r>
      <w:r w:rsidRPr="001234B2">
        <w:rPr>
          <w:rFonts w:eastAsia="Times New Roman"/>
          <w:sz w:val="22"/>
          <w:szCs w:val="22"/>
          <w:u w:val="single"/>
          <w:lang w:val="en-US"/>
        </w:rPr>
        <w:t>are of the opinion that:</w:t>
      </w:r>
      <w:r w:rsidR="00E47117">
        <w:rPr>
          <w:rFonts w:eastAsia="Times New Roman"/>
          <w:sz w:val="22"/>
          <w:szCs w:val="22"/>
          <w:u w:val="single"/>
          <w:lang w:val="en-US"/>
        </w:rPr>
        <w:t xml:space="preserve"> (a) </w:t>
      </w:r>
      <w:r w:rsidR="00E47117">
        <w:rPr>
          <w:rFonts w:eastAsia="Times New Roman"/>
          <w:sz w:val="22"/>
          <w:szCs w:val="22"/>
          <w:lang w:val="en-US"/>
        </w:rPr>
        <w:t>(</w:t>
      </w:r>
      <w:proofErr w:type="spellStart"/>
      <w:r w:rsidR="00E47117">
        <w:rPr>
          <w:rFonts w:eastAsia="Times New Roman"/>
          <w:sz w:val="22"/>
          <w:szCs w:val="22"/>
          <w:lang w:val="en-US"/>
        </w:rPr>
        <w:t>i</w:t>
      </w:r>
      <w:proofErr w:type="spellEnd"/>
      <w:r w:rsidR="00E47117">
        <w:rPr>
          <w:rFonts w:eastAsia="Times New Roman"/>
          <w:sz w:val="22"/>
          <w:szCs w:val="22"/>
          <w:lang w:val="en-US"/>
        </w:rPr>
        <w:t>)</w:t>
      </w:r>
      <w:r w:rsidRPr="00E47117">
        <w:rPr>
          <w:rFonts w:eastAsia="Times New Roman"/>
          <w:sz w:val="22"/>
          <w:szCs w:val="22"/>
          <w:lang w:val="en-US"/>
        </w:rPr>
        <w:t xml:space="preserve"> the appeal would have a reasonable prospects of success</w:t>
      </w:r>
      <w:r w:rsidR="00B74544" w:rsidRPr="00E47117">
        <w:rPr>
          <w:rFonts w:eastAsia="Times New Roman"/>
          <w:sz w:val="22"/>
          <w:szCs w:val="22"/>
          <w:lang w:val="en-US"/>
        </w:rPr>
        <w:t>”</w:t>
      </w:r>
      <w:r w:rsidR="00720798" w:rsidRPr="00E47117">
        <w:rPr>
          <w:rFonts w:eastAsia="Times New Roman"/>
          <w:sz w:val="22"/>
          <w:szCs w:val="22"/>
          <w:lang w:val="en-US"/>
        </w:rPr>
        <w:t xml:space="preserve"> (my underlining)</w:t>
      </w:r>
      <w:r w:rsidR="007132FB">
        <w:rPr>
          <w:rFonts w:eastAsia="Times New Roman"/>
          <w:sz w:val="22"/>
          <w:szCs w:val="22"/>
          <w:lang w:val="en-US"/>
        </w:rPr>
        <w:t>.</w:t>
      </w:r>
    </w:p>
    <w:p w14:paraId="08817713" w14:textId="43CAB4EA" w:rsidR="001234B2" w:rsidRPr="001234B2" w:rsidRDefault="001234B2" w:rsidP="00A80F2A">
      <w:pPr>
        <w:pStyle w:val="ListParagraph"/>
        <w:ind w:left="426"/>
        <w:jc w:val="both"/>
        <w:rPr>
          <w:rFonts w:eastAsia="Times New Roman"/>
          <w:sz w:val="22"/>
          <w:szCs w:val="22"/>
          <w:lang w:val="en-US"/>
        </w:rPr>
      </w:pPr>
      <w:r>
        <w:rPr>
          <w:rFonts w:eastAsia="Times New Roman"/>
          <w:sz w:val="22"/>
          <w:szCs w:val="22"/>
          <w:lang w:val="en-US"/>
        </w:rPr>
        <w:t xml:space="preserve"> </w:t>
      </w:r>
    </w:p>
    <w:p w14:paraId="144D31E4" w14:textId="1DFA3116" w:rsidR="001234B2" w:rsidRDefault="00BA760F" w:rsidP="00BA760F">
      <w:pPr>
        <w:pStyle w:val="ListParagraph"/>
        <w:ind w:hanging="720"/>
        <w:jc w:val="both"/>
        <w:rPr>
          <w:rFonts w:eastAsia="Times New Roman"/>
          <w:lang w:val="en-US"/>
        </w:rPr>
      </w:pPr>
      <w:r>
        <w:rPr>
          <w:rFonts w:eastAsia="Times New Roman"/>
          <w:lang w:val="en-US"/>
        </w:rPr>
        <w:t xml:space="preserve">[26]    </w:t>
      </w:r>
      <w:r w:rsidR="00B74544">
        <w:rPr>
          <w:rFonts w:eastAsia="Times New Roman"/>
          <w:lang w:val="en-US"/>
        </w:rPr>
        <w:t xml:space="preserve">It is </w:t>
      </w:r>
      <w:r w:rsidR="00720798">
        <w:rPr>
          <w:rFonts w:eastAsia="Times New Roman"/>
          <w:lang w:val="en-US"/>
        </w:rPr>
        <w:t>a</w:t>
      </w:r>
      <w:r w:rsidR="00B74544">
        <w:rPr>
          <w:rFonts w:eastAsia="Times New Roman"/>
          <w:lang w:val="en-US"/>
        </w:rPr>
        <w:t xml:space="preserve">pposite to </w:t>
      </w:r>
      <w:r w:rsidR="00720798">
        <w:rPr>
          <w:rFonts w:eastAsia="Times New Roman"/>
          <w:lang w:val="en-US"/>
        </w:rPr>
        <w:t>refer to</w:t>
      </w:r>
      <w:r w:rsidR="00B74544">
        <w:rPr>
          <w:rFonts w:eastAsia="Times New Roman"/>
          <w:lang w:val="en-US"/>
        </w:rPr>
        <w:t xml:space="preserve"> what was said in </w:t>
      </w:r>
      <w:r w:rsidR="00B74544" w:rsidRPr="009D69D0">
        <w:rPr>
          <w:rFonts w:eastAsia="Times New Roman"/>
          <w:b/>
          <w:lang w:val="en-US"/>
        </w:rPr>
        <w:t xml:space="preserve">MEC for Health, Eastern Cape vs </w:t>
      </w:r>
      <w:proofErr w:type="spellStart"/>
      <w:r w:rsidR="00B74544" w:rsidRPr="009D69D0">
        <w:rPr>
          <w:rFonts w:eastAsia="Times New Roman"/>
          <w:b/>
          <w:lang w:val="en-US"/>
        </w:rPr>
        <w:t>Mkhitha</w:t>
      </w:r>
      <w:proofErr w:type="spellEnd"/>
      <w:r w:rsidR="00B74544" w:rsidRPr="009D69D0">
        <w:rPr>
          <w:rFonts w:eastAsia="Times New Roman"/>
          <w:b/>
          <w:lang w:val="en-US"/>
        </w:rPr>
        <w:t xml:space="preserve"> and Another [2026] ZASCA 176. At paragraphs16-</w:t>
      </w:r>
      <w:proofErr w:type="gramStart"/>
      <w:r w:rsidR="00B74544" w:rsidRPr="009D69D0">
        <w:rPr>
          <w:rFonts w:eastAsia="Times New Roman"/>
          <w:b/>
          <w:lang w:val="en-US"/>
        </w:rPr>
        <w:t>1</w:t>
      </w:r>
      <w:r w:rsidR="00720798">
        <w:rPr>
          <w:rFonts w:eastAsia="Times New Roman"/>
          <w:b/>
          <w:lang w:val="en-US"/>
        </w:rPr>
        <w:t>7</w:t>
      </w:r>
      <w:r w:rsidR="00E47117">
        <w:rPr>
          <w:rFonts w:eastAsia="Times New Roman"/>
          <w:b/>
          <w:lang w:val="en-US"/>
        </w:rPr>
        <w:t xml:space="preserve"> :</w:t>
      </w:r>
      <w:proofErr w:type="gramEnd"/>
      <w:r w:rsidR="00B74544">
        <w:rPr>
          <w:rFonts w:eastAsia="Times New Roman"/>
          <w:lang w:val="en-US"/>
        </w:rPr>
        <w:t xml:space="preserve"> the</w:t>
      </w:r>
      <w:r w:rsidR="00720798">
        <w:rPr>
          <w:rFonts w:eastAsia="Times New Roman"/>
          <w:lang w:val="en-US"/>
        </w:rPr>
        <w:t>re</w:t>
      </w:r>
      <w:r w:rsidR="00F019A5">
        <w:rPr>
          <w:rFonts w:eastAsia="Times New Roman"/>
          <w:lang w:val="en-US"/>
        </w:rPr>
        <w:t xml:space="preserve"> the</w:t>
      </w:r>
      <w:r w:rsidR="00B74544">
        <w:rPr>
          <w:rFonts w:eastAsia="Times New Roman"/>
          <w:lang w:val="en-US"/>
        </w:rPr>
        <w:t xml:space="preserve"> Court said</w:t>
      </w:r>
      <w:r w:rsidR="00330E88">
        <w:rPr>
          <w:rFonts w:eastAsia="Times New Roman"/>
          <w:lang w:val="en-US"/>
        </w:rPr>
        <w:t>:</w:t>
      </w:r>
    </w:p>
    <w:p w14:paraId="2943538A" w14:textId="77777777" w:rsidR="00D561E3" w:rsidRDefault="00D561E3" w:rsidP="00A80F2A">
      <w:pPr>
        <w:pStyle w:val="ListParagraph"/>
        <w:jc w:val="both"/>
        <w:rPr>
          <w:rFonts w:eastAsia="Times New Roman"/>
          <w:lang w:val="en-US"/>
        </w:rPr>
      </w:pPr>
    </w:p>
    <w:p w14:paraId="31E91ADB" w14:textId="3C503D7B" w:rsidR="00330E88" w:rsidRPr="00F019A5" w:rsidRDefault="00330E88" w:rsidP="00A80F2A">
      <w:pPr>
        <w:pStyle w:val="ListParagraph"/>
        <w:ind w:left="1170" w:hanging="450"/>
        <w:jc w:val="both"/>
        <w:rPr>
          <w:b/>
          <w:sz w:val="22"/>
          <w:szCs w:val="22"/>
        </w:rPr>
      </w:pPr>
      <w:r w:rsidRPr="00330E88">
        <w:rPr>
          <w:rFonts w:eastAsia="Times New Roman"/>
          <w:sz w:val="22"/>
          <w:szCs w:val="22"/>
          <w:lang w:val="en-US"/>
        </w:rPr>
        <w:t>“</w:t>
      </w:r>
      <w:r>
        <w:rPr>
          <w:rFonts w:eastAsia="Times New Roman"/>
          <w:sz w:val="22"/>
          <w:szCs w:val="22"/>
          <w:lang w:val="en-US"/>
        </w:rPr>
        <w:t xml:space="preserve">[16] </w:t>
      </w:r>
      <w:r w:rsidRPr="00330E88">
        <w:rPr>
          <w:sz w:val="22"/>
          <w:szCs w:val="22"/>
        </w:rPr>
        <w:t xml:space="preserve">Once again it is necessary to say that leave to appeal, especially to this court, must not be granted unless </w:t>
      </w:r>
      <w:r w:rsidRPr="00F019A5">
        <w:rPr>
          <w:b/>
          <w:sz w:val="22"/>
          <w:szCs w:val="22"/>
          <w:u w:val="single"/>
        </w:rPr>
        <w:t>there truly is a reasonable prospect of success</w:t>
      </w:r>
      <w:r w:rsidRPr="00330E88">
        <w:rPr>
          <w:sz w:val="22"/>
          <w:szCs w:val="22"/>
        </w:rPr>
        <w:t xml:space="preserve">. Section 17(1)(a) of the Superior Courts Act 10 of 2013 makes it clear that leave </w:t>
      </w:r>
      <w:r w:rsidRPr="00F019A5">
        <w:rPr>
          <w:b/>
          <w:sz w:val="22"/>
          <w:szCs w:val="22"/>
          <w:u w:val="single"/>
        </w:rPr>
        <w:t>to appeal may only be given where the judge concerned is of the opinion that the appeal would have a reasonable prospect of success; or there is some other compelling reason why it should be heard</w:t>
      </w:r>
      <w:r w:rsidRPr="00F019A5">
        <w:rPr>
          <w:b/>
          <w:sz w:val="22"/>
          <w:szCs w:val="22"/>
        </w:rPr>
        <w:t xml:space="preserve">. </w:t>
      </w:r>
    </w:p>
    <w:p w14:paraId="6C531181" w14:textId="77777777" w:rsidR="00330E88" w:rsidRDefault="00330E88" w:rsidP="00A80F2A">
      <w:pPr>
        <w:pStyle w:val="ListParagraph"/>
        <w:jc w:val="both"/>
        <w:rPr>
          <w:sz w:val="22"/>
          <w:szCs w:val="22"/>
        </w:rPr>
      </w:pPr>
    </w:p>
    <w:p w14:paraId="0D97F973" w14:textId="77777777" w:rsidR="00330E88" w:rsidRPr="007D3F35" w:rsidRDefault="00330E88" w:rsidP="00A80F2A">
      <w:pPr>
        <w:pStyle w:val="ListParagraph"/>
        <w:ind w:left="1260" w:hanging="450"/>
        <w:jc w:val="both"/>
        <w:rPr>
          <w:b/>
          <w:sz w:val="22"/>
          <w:szCs w:val="22"/>
        </w:rPr>
      </w:pPr>
      <w:r w:rsidRPr="00330E88">
        <w:rPr>
          <w:sz w:val="22"/>
          <w:szCs w:val="22"/>
        </w:rPr>
        <w:t xml:space="preserve">[17] An applicant for leave to appeal must convince the court on proper grounds that there is a reasonable prospect or realistic chance of success on appeal. </w:t>
      </w:r>
      <w:r w:rsidRPr="007D3F35">
        <w:rPr>
          <w:b/>
          <w:sz w:val="22"/>
          <w:szCs w:val="22"/>
          <w:u w:val="single"/>
        </w:rPr>
        <w:t xml:space="preserve">A mere possibility of success, an arguable case or one that is not hopeless, is not </w:t>
      </w:r>
      <w:r w:rsidRPr="007D3F35">
        <w:rPr>
          <w:b/>
          <w:sz w:val="22"/>
          <w:szCs w:val="22"/>
          <w:u w:val="single"/>
        </w:rPr>
        <w:lastRenderedPageBreak/>
        <w:t>enough. There must be a sound, rational basis to conclude that there is a reasonable prospect of success on appeal</w:t>
      </w:r>
      <w:r w:rsidRPr="007D3F35">
        <w:rPr>
          <w:b/>
          <w:sz w:val="22"/>
          <w:szCs w:val="22"/>
        </w:rPr>
        <w:t>.</w:t>
      </w:r>
    </w:p>
    <w:p w14:paraId="0C10C95E" w14:textId="77777777" w:rsidR="00330E88" w:rsidRDefault="00330E88" w:rsidP="00A80F2A">
      <w:pPr>
        <w:pStyle w:val="ListParagraph"/>
        <w:jc w:val="both"/>
        <w:rPr>
          <w:sz w:val="22"/>
          <w:szCs w:val="22"/>
        </w:rPr>
      </w:pPr>
    </w:p>
    <w:p w14:paraId="0081EC31" w14:textId="42E01B22" w:rsidR="00330E88" w:rsidRPr="00BA760F" w:rsidRDefault="00BA760F" w:rsidP="00BA760F">
      <w:pPr>
        <w:pStyle w:val="ListParagraph"/>
        <w:ind w:hanging="720"/>
        <w:jc w:val="both"/>
        <w:rPr>
          <w:rFonts w:eastAsia="Times New Roman"/>
          <w:lang w:val="en-US"/>
        </w:rPr>
      </w:pPr>
      <w:r>
        <w:rPr>
          <w:rFonts w:eastAsia="Times New Roman"/>
          <w:lang w:val="en-US"/>
        </w:rPr>
        <w:t xml:space="preserve">[27]     </w:t>
      </w:r>
      <w:r w:rsidR="00330E88" w:rsidRPr="00BA760F">
        <w:rPr>
          <w:rFonts w:eastAsia="Times New Roman"/>
          <w:lang w:val="en-US"/>
        </w:rPr>
        <w:t xml:space="preserve">In </w:t>
      </w:r>
      <w:r w:rsidR="00330E88" w:rsidRPr="00BA760F">
        <w:rPr>
          <w:rFonts w:eastAsia="Times New Roman"/>
          <w:b/>
          <w:lang w:val="en-US"/>
        </w:rPr>
        <w:t xml:space="preserve">Zuma vs Office of the Public Protector and others (2020) ZASCA 138 in </w:t>
      </w:r>
      <w:r w:rsidR="00D561E3" w:rsidRPr="00BA760F">
        <w:rPr>
          <w:rFonts w:eastAsia="Times New Roman"/>
          <w:b/>
          <w:lang w:val="en-US"/>
        </w:rPr>
        <w:t xml:space="preserve">   </w:t>
      </w:r>
      <w:r w:rsidR="00330E88" w:rsidRPr="00BA760F">
        <w:rPr>
          <w:rFonts w:eastAsia="Times New Roman"/>
          <w:b/>
          <w:lang w:val="en-US"/>
        </w:rPr>
        <w:t>paragraph 19</w:t>
      </w:r>
      <w:r w:rsidR="00330E88" w:rsidRPr="00BA760F">
        <w:rPr>
          <w:rFonts w:eastAsia="Times New Roman"/>
          <w:lang w:val="en-US"/>
        </w:rPr>
        <w:t xml:space="preserve"> the Court said:</w:t>
      </w:r>
    </w:p>
    <w:p w14:paraId="344861D0" w14:textId="77777777" w:rsidR="00D561E3" w:rsidRDefault="00D561E3" w:rsidP="00A80F2A">
      <w:pPr>
        <w:pStyle w:val="ListParagraph"/>
        <w:jc w:val="both"/>
        <w:rPr>
          <w:rFonts w:eastAsia="Times New Roman"/>
          <w:lang w:val="en-US"/>
        </w:rPr>
      </w:pPr>
    </w:p>
    <w:p w14:paraId="46F5A16C" w14:textId="3FE7B73A" w:rsidR="00330E88" w:rsidRPr="00083DFD" w:rsidRDefault="00330E88" w:rsidP="00A80F2A">
      <w:pPr>
        <w:pStyle w:val="ListParagraph"/>
        <w:ind w:left="1890" w:hanging="630"/>
        <w:jc w:val="both"/>
        <w:rPr>
          <w:b/>
          <w:sz w:val="22"/>
          <w:szCs w:val="22"/>
        </w:rPr>
      </w:pPr>
      <w:r w:rsidRPr="00330E88">
        <w:rPr>
          <w:rFonts w:eastAsia="Times New Roman"/>
          <w:sz w:val="22"/>
          <w:szCs w:val="22"/>
          <w:lang w:val="en-US"/>
        </w:rPr>
        <w:t>“[19</w:t>
      </w:r>
      <w:proofErr w:type="gramStart"/>
      <w:r w:rsidRPr="00330E88">
        <w:rPr>
          <w:rFonts w:eastAsia="Times New Roman"/>
          <w:sz w:val="22"/>
          <w:szCs w:val="22"/>
          <w:lang w:val="en-US"/>
        </w:rPr>
        <w:t xml:space="preserve">] </w:t>
      </w:r>
      <w:r w:rsidR="00D561E3">
        <w:rPr>
          <w:rFonts w:eastAsia="Times New Roman"/>
          <w:sz w:val="22"/>
          <w:szCs w:val="22"/>
          <w:lang w:val="en-US"/>
        </w:rPr>
        <w:t xml:space="preserve"> </w:t>
      </w:r>
      <w:r w:rsidRPr="00330E88">
        <w:rPr>
          <w:sz w:val="22"/>
          <w:szCs w:val="22"/>
        </w:rPr>
        <w:t>Since</w:t>
      </w:r>
      <w:proofErr w:type="gramEnd"/>
      <w:r w:rsidRPr="00330E88">
        <w:rPr>
          <w:sz w:val="22"/>
          <w:szCs w:val="22"/>
        </w:rPr>
        <w:t xml:space="preserve"> there is no appeal against the order dismissing the review, the only question is whether the appeal against the costs order has a reasonable prospect of success. In this regard Mr Zuma faces a formidable hurdle: </w:t>
      </w:r>
      <w:r w:rsidRPr="00083DFD">
        <w:rPr>
          <w:b/>
          <w:sz w:val="22"/>
          <w:szCs w:val="22"/>
          <w:u w:val="single"/>
        </w:rPr>
        <w:t>in granting a costs order, a lower court exercises a true discretion. An appellate court will not interfere with the exercise of that discretion, unless there was a material misdirection by the lower court</w:t>
      </w:r>
      <w:r w:rsidRPr="00083DFD">
        <w:rPr>
          <w:b/>
          <w:sz w:val="22"/>
          <w:szCs w:val="22"/>
        </w:rPr>
        <w:t>”.</w:t>
      </w:r>
    </w:p>
    <w:p w14:paraId="405BCE96" w14:textId="77777777" w:rsidR="00D561E3" w:rsidRPr="00330E88" w:rsidRDefault="00D561E3" w:rsidP="00A80F2A">
      <w:pPr>
        <w:pStyle w:val="ListParagraph"/>
        <w:ind w:left="1890" w:hanging="630"/>
        <w:jc w:val="both"/>
        <w:rPr>
          <w:rFonts w:eastAsia="Times New Roman"/>
          <w:sz w:val="22"/>
          <w:szCs w:val="22"/>
          <w:lang w:val="en-US"/>
        </w:rPr>
      </w:pPr>
    </w:p>
    <w:p w14:paraId="27095540" w14:textId="66C3E775" w:rsidR="00B60064" w:rsidRDefault="00BA760F" w:rsidP="00A80F2A">
      <w:pPr>
        <w:pStyle w:val="Heading2"/>
        <w:shd w:val="clear" w:color="auto" w:fill="FFFFFF"/>
        <w:spacing w:before="0" w:beforeAutospacing="0" w:after="0" w:afterAutospacing="0" w:line="360" w:lineRule="auto"/>
        <w:ind w:left="720" w:hanging="630"/>
        <w:jc w:val="both"/>
        <w:rPr>
          <w:rFonts w:ascii="Arial" w:hAnsi="Arial" w:cs="Arial"/>
          <w:b w:val="0"/>
          <w:bCs w:val="0"/>
          <w:color w:val="000000" w:themeColor="text1"/>
          <w:sz w:val="24"/>
          <w:szCs w:val="24"/>
        </w:rPr>
      </w:pPr>
      <w:r>
        <w:rPr>
          <w:rFonts w:ascii="Arial" w:hAnsi="Arial" w:cs="Arial"/>
          <w:b w:val="0"/>
          <w:sz w:val="24"/>
          <w:szCs w:val="24"/>
        </w:rPr>
        <w:t>[28</w:t>
      </w:r>
      <w:r w:rsidR="00720798" w:rsidRPr="00157886">
        <w:rPr>
          <w:rFonts w:ascii="Arial" w:hAnsi="Arial" w:cs="Arial"/>
          <w:b w:val="0"/>
          <w:sz w:val="24"/>
          <w:szCs w:val="24"/>
        </w:rPr>
        <w:t>]</w:t>
      </w:r>
      <w:r w:rsidR="00157886">
        <w:rPr>
          <w:rFonts w:ascii="Arial" w:hAnsi="Arial" w:cs="Arial"/>
          <w:b w:val="0"/>
          <w:sz w:val="24"/>
          <w:szCs w:val="24"/>
        </w:rPr>
        <w:t xml:space="preserve">    </w:t>
      </w:r>
      <w:r w:rsidR="00720798" w:rsidRPr="00B60064">
        <w:rPr>
          <w:rFonts w:ascii="Arial" w:hAnsi="Arial" w:cs="Arial"/>
          <w:b w:val="0"/>
          <w:sz w:val="24"/>
          <w:szCs w:val="24"/>
        </w:rPr>
        <w:t>In the case of</w:t>
      </w:r>
      <w:r w:rsidR="00720798" w:rsidRPr="00B60064">
        <w:rPr>
          <w:rFonts w:ascii="Arial" w:hAnsi="Arial" w:cs="Arial"/>
          <w:sz w:val="24"/>
          <w:szCs w:val="24"/>
        </w:rPr>
        <w:t xml:space="preserve"> </w:t>
      </w:r>
      <w:r w:rsidR="00B60064" w:rsidRPr="00B60064">
        <w:rPr>
          <w:rFonts w:ascii="Arial" w:hAnsi="Arial" w:cs="Arial"/>
          <w:bCs w:val="0"/>
          <w:color w:val="000000" w:themeColor="text1"/>
          <w:sz w:val="24"/>
          <w:szCs w:val="24"/>
        </w:rPr>
        <w:t xml:space="preserve">Commissioner for the South African Revenue Service v </w:t>
      </w:r>
      <w:proofErr w:type="spellStart"/>
      <w:r w:rsidR="00B60064" w:rsidRPr="00B60064">
        <w:rPr>
          <w:rFonts w:ascii="Arial" w:hAnsi="Arial" w:cs="Arial"/>
          <w:bCs w:val="0"/>
          <w:color w:val="000000" w:themeColor="text1"/>
          <w:sz w:val="24"/>
          <w:szCs w:val="24"/>
        </w:rPr>
        <w:t>Nyhonyha</w:t>
      </w:r>
      <w:proofErr w:type="spellEnd"/>
      <w:r w:rsidR="00B60064" w:rsidRPr="00B60064">
        <w:rPr>
          <w:rFonts w:ascii="Arial" w:hAnsi="Arial" w:cs="Arial"/>
          <w:bCs w:val="0"/>
          <w:color w:val="000000" w:themeColor="text1"/>
          <w:sz w:val="24"/>
          <w:szCs w:val="24"/>
        </w:rPr>
        <w:t xml:space="preserve"> and Others (1150/2021) 2023 (6) SA 145 (SCA) (18 May 2023</w:t>
      </w:r>
      <w:proofErr w:type="gramStart"/>
      <w:r w:rsidR="00B60064" w:rsidRPr="00B60064">
        <w:rPr>
          <w:rFonts w:ascii="Arial" w:hAnsi="Arial" w:cs="Arial"/>
          <w:b w:val="0"/>
          <w:bCs w:val="0"/>
          <w:color w:val="000000" w:themeColor="text1"/>
          <w:sz w:val="24"/>
          <w:szCs w:val="24"/>
        </w:rPr>
        <w:t>)</w:t>
      </w:r>
      <w:r w:rsidR="00D561E3">
        <w:rPr>
          <w:rFonts w:ascii="Arial" w:hAnsi="Arial" w:cs="Arial"/>
          <w:b w:val="0"/>
          <w:bCs w:val="0"/>
          <w:color w:val="000000" w:themeColor="text1"/>
          <w:sz w:val="24"/>
          <w:szCs w:val="24"/>
        </w:rPr>
        <w:t xml:space="preserve"> :</w:t>
      </w:r>
      <w:proofErr w:type="gramEnd"/>
    </w:p>
    <w:p w14:paraId="6EEB55C6" w14:textId="77777777" w:rsidR="00D561E3" w:rsidRDefault="00D561E3" w:rsidP="00A80F2A">
      <w:pPr>
        <w:pStyle w:val="Heading2"/>
        <w:shd w:val="clear" w:color="auto" w:fill="FFFFFF"/>
        <w:spacing w:before="0" w:beforeAutospacing="0" w:after="0" w:afterAutospacing="0" w:line="360" w:lineRule="auto"/>
        <w:ind w:left="720" w:hanging="630"/>
        <w:rPr>
          <w:rFonts w:ascii="Arial" w:hAnsi="Arial" w:cs="Arial"/>
          <w:b w:val="0"/>
          <w:bCs w:val="0"/>
          <w:color w:val="000000" w:themeColor="text1"/>
          <w:sz w:val="24"/>
          <w:szCs w:val="24"/>
        </w:rPr>
      </w:pPr>
    </w:p>
    <w:p w14:paraId="22A70671" w14:textId="1D94A789" w:rsidR="00B60064" w:rsidRPr="00D561E3" w:rsidRDefault="00D561E3" w:rsidP="00A80F2A">
      <w:pPr>
        <w:ind w:left="1980" w:hanging="720"/>
        <w:jc w:val="both"/>
        <w:rPr>
          <w:i/>
          <w:sz w:val="22"/>
          <w:szCs w:val="22"/>
          <w:lang w:val="en-US"/>
        </w:rPr>
      </w:pPr>
      <w:r w:rsidRPr="00D561E3">
        <w:rPr>
          <w:i/>
          <w:sz w:val="22"/>
          <w:szCs w:val="22"/>
          <w:lang w:val="en-US"/>
        </w:rPr>
        <w:t>“</w:t>
      </w:r>
      <w:r w:rsidR="00B60064" w:rsidRPr="00D561E3">
        <w:rPr>
          <w:i/>
          <w:sz w:val="22"/>
          <w:szCs w:val="22"/>
          <w:lang w:val="en-US"/>
        </w:rPr>
        <w:t>[17]</w:t>
      </w:r>
      <w:r w:rsidR="00B60064" w:rsidRPr="00D561E3">
        <w:rPr>
          <w:i/>
          <w:sz w:val="22"/>
          <w:szCs w:val="22"/>
          <w:lang w:val="en-US"/>
        </w:rPr>
        <w:tab/>
        <w:t xml:space="preserve">It is trite that the scope for interference on appeal with the exercise of a true discretion is limited. The question is not whether the appeal court would have reached the same conclusion, but whether the discretion was exercised properly. For present purposes it suffices to say that interference would be called for if the exercise of the discretion was based on a misdirection of fact or a wrong principle of law. See Ex parte </w:t>
      </w:r>
      <w:proofErr w:type="spellStart"/>
      <w:r w:rsidR="00B60064" w:rsidRPr="00D561E3">
        <w:rPr>
          <w:i/>
          <w:sz w:val="22"/>
          <w:szCs w:val="22"/>
          <w:lang w:val="en-US"/>
        </w:rPr>
        <w:t>Neethling</w:t>
      </w:r>
      <w:proofErr w:type="spellEnd"/>
      <w:r w:rsidR="00B60064" w:rsidRPr="00D561E3">
        <w:rPr>
          <w:i/>
          <w:sz w:val="22"/>
          <w:szCs w:val="22"/>
          <w:lang w:val="en-US"/>
        </w:rPr>
        <w:t xml:space="preserve"> and Others 1951 (4) SA 331 AD at 335E and </w:t>
      </w:r>
      <w:proofErr w:type="spellStart"/>
      <w:r w:rsidR="00B60064" w:rsidRPr="00D561E3">
        <w:rPr>
          <w:i/>
          <w:sz w:val="22"/>
          <w:szCs w:val="22"/>
          <w:lang w:val="en-US"/>
        </w:rPr>
        <w:t>Trencon</w:t>
      </w:r>
      <w:proofErr w:type="spellEnd"/>
      <w:r w:rsidR="00B60064" w:rsidRPr="00D561E3">
        <w:rPr>
          <w:i/>
          <w:sz w:val="22"/>
          <w:szCs w:val="22"/>
          <w:lang w:val="en-US"/>
        </w:rPr>
        <w:t xml:space="preserve"> Construction (Pty) Ltd v Industrial Development Corporation of South Africa Ltd and Another 2015 (5) SA 245 (CC) (</w:t>
      </w:r>
      <w:proofErr w:type="spellStart"/>
      <w:r w:rsidR="00B60064" w:rsidRPr="00D561E3">
        <w:rPr>
          <w:i/>
          <w:sz w:val="22"/>
          <w:szCs w:val="22"/>
          <w:lang w:val="en-US"/>
        </w:rPr>
        <w:t>Trencon</w:t>
      </w:r>
      <w:proofErr w:type="spellEnd"/>
      <w:r w:rsidR="00B60064" w:rsidRPr="00D561E3">
        <w:rPr>
          <w:i/>
          <w:sz w:val="22"/>
          <w:szCs w:val="22"/>
          <w:lang w:val="en-US"/>
        </w:rPr>
        <w:t xml:space="preserve">) para 88. </w:t>
      </w:r>
    </w:p>
    <w:p w14:paraId="7CAEF3E4" w14:textId="77777777" w:rsidR="00B60064" w:rsidRPr="00D561E3" w:rsidRDefault="00B60064" w:rsidP="00A80F2A">
      <w:pPr>
        <w:jc w:val="both"/>
        <w:rPr>
          <w:i/>
          <w:sz w:val="22"/>
          <w:szCs w:val="22"/>
          <w:lang w:val="en-US"/>
        </w:rPr>
      </w:pPr>
    </w:p>
    <w:p w14:paraId="5ECF5FAC" w14:textId="77777777" w:rsidR="00B60064" w:rsidRPr="00D561E3" w:rsidRDefault="00B60064" w:rsidP="00A80F2A">
      <w:pPr>
        <w:ind w:left="1980" w:hanging="720"/>
        <w:jc w:val="both"/>
        <w:rPr>
          <w:i/>
          <w:sz w:val="22"/>
          <w:szCs w:val="22"/>
          <w:lang w:val="en-US"/>
        </w:rPr>
      </w:pPr>
      <w:r w:rsidRPr="00D561E3">
        <w:rPr>
          <w:i/>
          <w:sz w:val="22"/>
          <w:szCs w:val="22"/>
          <w:lang w:val="en-US"/>
        </w:rPr>
        <w:t>[18]</w:t>
      </w:r>
      <w:r w:rsidRPr="00D561E3">
        <w:rPr>
          <w:i/>
          <w:sz w:val="22"/>
          <w:szCs w:val="22"/>
          <w:lang w:val="en-US"/>
        </w:rPr>
        <w:tab/>
      </w:r>
      <w:r w:rsidRPr="00083DFD">
        <w:rPr>
          <w:b/>
          <w:i/>
          <w:sz w:val="22"/>
          <w:szCs w:val="22"/>
          <w:u w:val="single"/>
          <w:lang w:val="en-US"/>
        </w:rPr>
        <w:t>A true discretion is one which provides a court with a range of permissible options. Well-known examples are costs orders and awards of damages.</w:t>
      </w:r>
      <w:r w:rsidRPr="00D561E3">
        <w:rPr>
          <w:i/>
          <w:sz w:val="22"/>
          <w:szCs w:val="22"/>
          <w:lang w:val="en-US"/>
        </w:rPr>
        <w:t xml:space="preserve"> See Media Workers Association of South Africa and Others v Press Corporation of South Africa Ltd 1992 (4) SA 791 (A) (</w:t>
      </w:r>
      <w:proofErr w:type="spellStart"/>
      <w:r w:rsidRPr="00D561E3">
        <w:rPr>
          <w:i/>
          <w:sz w:val="22"/>
          <w:szCs w:val="22"/>
          <w:lang w:val="en-US"/>
        </w:rPr>
        <w:t>Perskor</w:t>
      </w:r>
      <w:proofErr w:type="spellEnd"/>
      <w:r w:rsidRPr="00D561E3">
        <w:rPr>
          <w:i/>
          <w:sz w:val="22"/>
          <w:szCs w:val="22"/>
          <w:lang w:val="en-US"/>
        </w:rPr>
        <w:t xml:space="preserve">) at 800E and </w:t>
      </w:r>
      <w:proofErr w:type="spellStart"/>
      <w:r w:rsidRPr="00D561E3">
        <w:rPr>
          <w:i/>
          <w:sz w:val="22"/>
          <w:szCs w:val="22"/>
          <w:lang w:val="en-US"/>
        </w:rPr>
        <w:t>Trencon</w:t>
      </w:r>
      <w:proofErr w:type="spellEnd"/>
      <w:r w:rsidRPr="00D561E3">
        <w:rPr>
          <w:i/>
          <w:sz w:val="22"/>
          <w:szCs w:val="22"/>
          <w:lang w:val="en-US"/>
        </w:rPr>
        <w:t xml:space="preserve"> paras 84-85. This was articulated as follows in Florence v Government of the Republic of South Africa 2014 (6) SA 456 (CC) para 113: </w:t>
      </w:r>
    </w:p>
    <w:p w14:paraId="54962E69" w14:textId="77777777" w:rsidR="00B60064" w:rsidRPr="00D561E3" w:rsidRDefault="00B60064" w:rsidP="00A80F2A">
      <w:pPr>
        <w:jc w:val="both"/>
        <w:rPr>
          <w:i/>
          <w:sz w:val="22"/>
          <w:szCs w:val="22"/>
          <w:lang w:val="en-US"/>
        </w:rPr>
      </w:pPr>
    </w:p>
    <w:p w14:paraId="207F65B0" w14:textId="77777777" w:rsidR="00B60064" w:rsidRPr="00083DFD" w:rsidRDefault="00B60064" w:rsidP="00A80F2A">
      <w:pPr>
        <w:ind w:left="2340"/>
        <w:jc w:val="both"/>
        <w:rPr>
          <w:b/>
          <w:i/>
          <w:sz w:val="22"/>
          <w:szCs w:val="22"/>
          <w:u w:val="single"/>
          <w:lang w:val="en-US"/>
        </w:rPr>
      </w:pPr>
      <w:r w:rsidRPr="00083DFD">
        <w:rPr>
          <w:b/>
          <w:i/>
          <w:sz w:val="22"/>
          <w:szCs w:val="22"/>
          <w:u w:val="single"/>
          <w:lang w:val="en-US"/>
        </w:rPr>
        <w:t xml:space="preserve">‘Where a court is granted wide decision-making powers with a number of options or variables, an appellate court may not interfere unless it is clear that the choice the court has preferred </w:t>
      </w:r>
      <w:r w:rsidRPr="00083DFD">
        <w:rPr>
          <w:b/>
          <w:i/>
          <w:sz w:val="22"/>
          <w:szCs w:val="22"/>
          <w:u w:val="single"/>
          <w:lang w:val="en-US"/>
        </w:rPr>
        <w:lastRenderedPageBreak/>
        <w:t xml:space="preserve">is at odds with the law. If the impugned decision lies within a range of permissible decisions, an appeal court may not interfere only because it </w:t>
      </w:r>
      <w:proofErr w:type="spellStart"/>
      <w:r w:rsidRPr="00083DFD">
        <w:rPr>
          <w:b/>
          <w:i/>
          <w:sz w:val="22"/>
          <w:szCs w:val="22"/>
          <w:u w:val="single"/>
          <w:lang w:val="en-US"/>
        </w:rPr>
        <w:t>favours</w:t>
      </w:r>
      <w:proofErr w:type="spellEnd"/>
      <w:r w:rsidRPr="00083DFD">
        <w:rPr>
          <w:b/>
          <w:i/>
          <w:sz w:val="22"/>
          <w:szCs w:val="22"/>
          <w:u w:val="single"/>
          <w:lang w:val="en-US"/>
        </w:rPr>
        <w:t xml:space="preserve"> a different option within the range.’</w:t>
      </w:r>
    </w:p>
    <w:p w14:paraId="526CC7DC" w14:textId="77777777" w:rsidR="00B60064" w:rsidRPr="00D561E3" w:rsidRDefault="00B60064" w:rsidP="00A80F2A">
      <w:pPr>
        <w:jc w:val="both"/>
        <w:rPr>
          <w:i/>
          <w:sz w:val="22"/>
          <w:szCs w:val="22"/>
          <w:lang w:val="en-US"/>
        </w:rPr>
      </w:pPr>
    </w:p>
    <w:p w14:paraId="323C223B" w14:textId="61CE580C" w:rsidR="00B60064" w:rsidRPr="00D561E3" w:rsidRDefault="00B60064" w:rsidP="00A80F2A">
      <w:pPr>
        <w:tabs>
          <w:tab w:val="left" w:pos="1980"/>
        </w:tabs>
        <w:ind w:left="1980" w:hanging="720"/>
        <w:jc w:val="both"/>
        <w:rPr>
          <w:i/>
          <w:sz w:val="22"/>
          <w:szCs w:val="22"/>
          <w:lang w:val="en-US"/>
        </w:rPr>
      </w:pPr>
      <w:r w:rsidRPr="00D561E3">
        <w:rPr>
          <w:i/>
          <w:sz w:val="22"/>
          <w:szCs w:val="22"/>
          <w:lang w:val="en-US"/>
        </w:rPr>
        <w:t>[19]</w:t>
      </w:r>
      <w:r w:rsidRPr="00D561E3">
        <w:rPr>
          <w:i/>
          <w:sz w:val="22"/>
          <w:szCs w:val="22"/>
          <w:lang w:val="en-US"/>
        </w:rPr>
        <w:tab/>
        <w:t xml:space="preserve">It is clear that the expression ‘wide decision-making powers’ in this passage refers to the multitude of permissible options that </w:t>
      </w:r>
      <w:proofErr w:type="spellStart"/>
      <w:r w:rsidRPr="00D561E3">
        <w:rPr>
          <w:i/>
          <w:sz w:val="22"/>
          <w:szCs w:val="22"/>
          <w:lang w:val="en-US"/>
        </w:rPr>
        <w:t>characterise</w:t>
      </w:r>
      <w:proofErr w:type="spellEnd"/>
      <w:r w:rsidRPr="00D561E3">
        <w:rPr>
          <w:i/>
          <w:sz w:val="22"/>
          <w:szCs w:val="22"/>
          <w:lang w:val="en-US"/>
        </w:rPr>
        <w:t xml:space="preserve"> a true discretion. This must not be confused with a wide or loose discretion which means ‘no more than that the Court is entitled to have regard to a number of disparate and incommensurable features in coming to a decision’. See Knox D’Arcy Ltd and Others v Jamieson and Others 1996 (4) SA 348 AD at 361I, quoted with approval in </w:t>
      </w:r>
      <w:proofErr w:type="spellStart"/>
      <w:r w:rsidRPr="00D561E3">
        <w:rPr>
          <w:i/>
          <w:sz w:val="22"/>
          <w:szCs w:val="22"/>
          <w:lang w:val="en-US"/>
        </w:rPr>
        <w:t>Trencon</w:t>
      </w:r>
      <w:proofErr w:type="spellEnd"/>
      <w:r w:rsidRPr="00D561E3">
        <w:rPr>
          <w:i/>
          <w:sz w:val="22"/>
          <w:szCs w:val="22"/>
          <w:lang w:val="en-US"/>
        </w:rPr>
        <w:t xml:space="preserve"> para 86. </w:t>
      </w:r>
    </w:p>
    <w:p w14:paraId="44149C7A" w14:textId="77777777" w:rsidR="00E45A0D" w:rsidRPr="00D561E3" w:rsidRDefault="00E45A0D" w:rsidP="00A80F2A">
      <w:pPr>
        <w:ind w:left="810"/>
        <w:jc w:val="both"/>
        <w:rPr>
          <w:i/>
          <w:sz w:val="22"/>
          <w:szCs w:val="22"/>
        </w:rPr>
      </w:pPr>
    </w:p>
    <w:p w14:paraId="4044C6A5" w14:textId="44325F23" w:rsidR="00330E88" w:rsidRPr="00330E88" w:rsidRDefault="00330E88" w:rsidP="005C7087">
      <w:pPr>
        <w:spacing w:line="240" w:lineRule="auto"/>
        <w:jc w:val="both"/>
        <w:rPr>
          <w:rFonts w:eastAsia="Times New Roman"/>
          <w:sz w:val="22"/>
          <w:szCs w:val="22"/>
          <w:lang w:val="en-US"/>
        </w:rPr>
      </w:pPr>
    </w:p>
    <w:p w14:paraId="7FCECD6C" w14:textId="67CD7828" w:rsidR="00330E88" w:rsidRPr="00BA760F" w:rsidRDefault="00BA760F" w:rsidP="00BA760F">
      <w:pPr>
        <w:ind w:left="720" w:hanging="720"/>
        <w:jc w:val="both"/>
        <w:rPr>
          <w:rFonts w:eastAsia="Times New Roman"/>
          <w:lang w:val="en-US"/>
        </w:rPr>
      </w:pPr>
      <w:r>
        <w:rPr>
          <w:rFonts w:eastAsia="Times New Roman"/>
          <w:lang w:val="en-US"/>
        </w:rPr>
        <w:t>[29</w:t>
      </w:r>
      <w:proofErr w:type="gramStart"/>
      <w:r>
        <w:rPr>
          <w:rFonts w:eastAsia="Times New Roman"/>
          <w:lang w:val="en-US"/>
        </w:rPr>
        <w:t xml:space="preserve">]  </w:t>
      </w:r>
      <w:r>
        <w:rPr>
          <w:rFonts w:eastAsia="Times New Roman"/>
          <w:lang w:val="en-US"/>
        </w:rPr>
        <w:tab/>
      </w:r>
      <w:proofErr w:type="gramEnd"/>
      <w:r w:rsidR="00C41C1E" w:rsidRPr="00BA760F">
        <w:rPr>
          <w:rFonts w:eastAsia="Times New Roman"/>
          <w:lang w:val="en-US"/>
        </w:rPr>
        <w:t xml:space="preserve">In </w:t>
      </w:r>
      <w:r w:rsidR="00C41C1E" w:rsidRPr="00BA760F">
        <w:rPr>
          <w:rFonts w:eastAsia="Times New Roman"/>
          <w:b/>
          <w:lang w:val="en-US"/>
        </w:rPr>
        <w:t>Fusion properties 233 CC vs Stellenbosch Municipality [2021]</w:t>
      </w:r>
      <w:r w:rsidR="009D69D0" w:rsidRPr="00BA760F">
        <w:rPr>
          <w:rFonts w:eastAsia="Times New Roman"/>
          <w:b/>
          <w:lang w:val="en-US"/>
        </w:rPr>
        <w:t xml:space="preserve"> </w:t>
      </w:r>
      <w:r w:rsidR="00C41C1E" w:rsidRPr="00BA760F">
        <w:rPr>
          <w:rFonts w:eastAsia="Times New Roman"/>
          <w:b/>
          <w:lang w:val="en-US"/>
        </w:rPr>
        <w:t>ZASCA 10</w:t>
      </w:r>
      <w:r w:rsidR="00776C10" w:rsidRPr="00BA760F">
        <w:rPr>
          <w:rFonts w:eastAsia="Times New Roman"/>
          <w:b/>
          <w:lang w:val="en-US"/>
        </w:rPr>
        <w:t>-in paragraph 18</w:t>
      </w:r>
      <w:r w:rsidR="00776C10" w:rsidRPr="00BA760F">
        <w:rPr>
          <w:rFonts w:eastAsia="Times New Roman"/>
          <w:lang w:val="en-US"/>
        </w:rPr>
        <w:t xml:space="preserve"> the Court said:</w:t>
      </w:r>
    </w:p>
    <w:p w14:paraId="0201FFDB" w14:textId="77777777" w:rsidR="00D561E3" w:rsidRDefault="00D561E3" w:rsidP="00A80F2A">
      <w:pPr>
        <w:pStyle w:val="ListParagraph"/>
        <w:ind w:left="284"/>
        <w:jc w:val="both"/>
        <w:rPr>
          <w:rFonts w:eastAsia="Times New Roman"/>
          <w:lang w:val="en-US"/>
        </w:rPr>
      </w:pPr>
    </w:p>
    <w:p w14:paraId="6BA0F5F7" w14:textId="3ED6BBCC" w:rsidR="00776C10" w:rsidRDefault="00776C10" w:rsidP="00A80F2A">
      <w:pPr>
        <w:ind w:left="1980" w:hanging="720"/>
        <w:jc w:val="both"/>
        <w:rPr>
          <w:sz w:val="22"/>
          <w:szCs w:val="22"/>
        </w:rPr>
      </w:pPr>
      <w:r>
        <w:rPr>
          <w:rFonts w:eastAsia="Times New Roman"/>
          <w:lang w:val="en-US"/>
        </w:rPr>
        <w:t xml:space="preserve">“[18] </w:t>
      </w:r>
      <w:r w:rsidR="00F60528">
        <w:rPr>
          <w:rFonts w:eastAsia="Times New Roman"/>
          <w:lang w:val="en-US"/>
        </w:rPr>
        <w:t xml:space="preserve">  </w:t>
      </w:r>
      <w:r w:rsidRPr="00776C10">
        <w:rPr>
          <w:sz w:val="22"/>
          <w:szCs w:val="22"/>
        </w:rPr>
        <w:t xml:space="preserve">Since the coming into operation of the Superior Courts Act, there have been a number of decisions of our courts which dealt with the requirements that an applicant for leave to appeal in terms of </w:t>
      </w:r>
      <w:proofErr w:type="spellStart"/>
      <w:r w:rsidRPr="00776C10">
        <w:rPr>
          <w:sz w:val="22"/>
          <w:szCs w:val="22"/>
        </w:rPr>
        <w:t>ss</w:t>
      </w:r>
      <w:proofErr w:type="spellEnd"/>
      <w:r w:rsidRPr="00776C10">
        <w:rPr>
          <w:sz w:val="22"/>
          <w:szCs w:val="22"/>
        </w:rPr>
        <w:t xml:space="preserve"> 17(1)(a)(</w:t>
      </w:r>
      <w:proofErr w:type="spellStart"/>
      <w:r w:rsidRPr="00776C10">
        <w:rPr>
          <w:sz w:val="22"/>
          <w:szCs w:val="22"/>
        </w:rPr>
        <w:t>i</w:t>
      </w:r>
      <w:proofErr w:type="spellEnd"/>
      <w:r w:rsidRPr="00776C10">
        <w:rPr>
          <w:sz w:val="22"/>
          <w:szCs w:val="22"/>
        </w:rPr>
        <w:t>) and 17(1)(a)(ii) must satisfy in order for leave to be granted. The applicable principles have over time crystallised and are now well established. Section 17(1) provides, in material part, that leave to appeal may only be granted 'where the judge or judges concerned are of the opinion that- '(a) (</w:t>
      </w:r>
      <w:proofErr w:type="spellStart"/>
      <w:r w:rsidRPr="00776C10">
        <w:rPr>
          <w:sz w:val="22"/>
          <w:szCs w:val="22"/>
        </w:rPr>
        <w:t>i</w:t>
      </w:r>
      <w:proofErr w:type="spellEnd"/>
      <w:r w:rsidRPr="00776C10">
        <w:rPr>
          <w:sz w:val="22"/>
          <w:szCs w:val="22"/>
        </w:rPr>
        <w:t>) the appeal would have a reasonable prospect of success; or (ii) there is some other compelling reason why the appeal should be heard</w:t>
      </w:r>
      <w:r w:rsidR="00AE67E5" w:rsidRPr="00776C10">
        <w:rPr>
          <w:sz w:val="22"/>
          <w:szCs w:val="22"/>
        </w:rPr>
        <w:t>. . ..</w:t>
      </w:r>
      <w:r w:rsidRPr="00776C10">
        <w:rPr>
          <w:sz w:val="22"/>
          <w:szCs w:val="22"/>
        </w:rPr>
        <w:t xml:space="preserve">' It is manifest from the text of s 17(1)(a) that an applicant seeking leave to appeal must demonstrate that the envisaged appeal would either have a reasonable prospect of success, or, alternatively, that 'there is some compelling reason why an appeal should be heard'. </w:t>
      </w:r>
      <w:r w:rsidRPr="00CF20E1">
        <w:rPr>
          <w:b/>
          <w:sz w:val="22"/>
          <w:szCs w:val="22"/>
          <w:u w:val="single"/>
        </w:rPr>
        <w:t>Accordingly, if neither of these discrete requirements is met, there would be no basis to grant leave.”</w:t>
      </w:r>
    </w:p>
    <w:p w14:paraId="237E0651" w14:textId="77777777" w:rsidR="00776C10" w:rsidRDefault="00776C10" w:rsidP="00A80F2A">
      <w:pPr>
        <w:ind w:left="284"/>
        <w:jc w:val="both"/>
        <w:rPr>
          <w:sz w:val="22"/>
          <w:szCs w:val="22"/>
        </w:rPr>
      </w:pPr>
    </w:p>
    <w:p w14:paraId="07650C0E" w14:textId="77777777" w:rsidR="00776C10" w:rsidRPr="00776C10" w:rsidRDefault="00776C10" w:rsidP="00A80F2A">
      <w:pPr>
        <w:ind w:left="284"/>
        <w:jc w:val="both"/>
        <w:rPr>
          <w:rFonts w:eastAsia="Times New Roman"/>
          <w:sz w:val="22"/>
          <w:szCs w:val="22"/>
          <w:lang w:val="en-US"/>
        </w:rPr>
      </w:pPr>
    </w:p>
    <w:p w14:paraId="4D37D69D" w14:textId="09BA33CD" w:rsidR="00880D31" w:rsidRPr="00135EF2" w:rsidRDefault="00135EF2" w:rsidP="00135EF2">
      <w:pPr>
        <w:ind w:left="720" w:hanging="720"/>
        <w:jc w:val="both"/>
        <w:rPr>
          <w:rFonts w:eastAsia="Times New Roman"/>
          <w:lang w:val="en-US"/>
        </w:rPr>
      </w:pPr>
      <w:r w:rsidRPr="00135EF2">
        <w:rPr>
          <w:rFonts w:eastAsia="Times New Roman"/>
          <w:lang w:val="en-US"/>
        </w:rPr>
        <w:t>[30]</w:t>
      </w:r>
      <w:r>
        <w:rPr>
          <w:rFonts w:eastAsia="Times New Roman"/>
          <w:lang w:val="en-US"/>
        </w:rPr>
        <w:tab/>
      </w:r>
      <w:r w:rsidR="00880D31" w:rsidRPr="00135EF2">
        <w:rPr>
          <w:rFonts w:eastAsia="Times New Roman"/>
          <w:sz w:val="22"/>
          <w:szCs w:val="22"/>
          <w:lang w:val="en-US"/>
        </w:rPr>
        <w:t xml:space="preserve"> </w:t>
      </w:r>
      <w:r w:rsidR="00776C10" w:rsidRPr="00135EF2">
        <w:rPr>
          <w:rFonts w:eastAsia="Times New Roman"/>
          <w:b/>
          <w:lang w:val="en-US"/>
        </w:rPr>
        <w:t>Nwaf</w:t>
      </w:r>
      <w:r w:rsidR="00880D31" w:rsidRPr="00135EF2">
        <w:rPr>
          <w:rFonts w:eastAsia="Times New Roman"/>
          <w:b/>
          <w:lang w:val="en-US"/>
        </w:rPr>
        <w:t>o</w:t>
      </w:r>
      <w:r w:rsidR="00776C10" w:rsidRPr="00135EF2">
        <w:rPr>
          <w:rFonts w:eastAsia="Times New Roman"/>
          <w:b/>
          <w:lang w:val="en-US"/>
        </w:rPr>
        <w:t>r vs The Minister of Home Affairs and others (2021) ZASCA58 in paragraph 25</w:t>
      </w:r>
      <w:r w:rsidR="00776C10" w:rsidRPr="00135EF2">
        <w:rPr>
          <w:rFonts w:eastAsia="Times New Roman"/>
          <w:lang w:val="en-US"/>
        </w:rPr>
        <w:t xml:space="preserve">- the Court </w:t>
      </w:r>
      <w:r w:rsidR="00880D31" w:rsidRPr="00135EF2">
        <w:rPr>
          <w:rFonts w:eastAsia="Times New Roman"/>
          <w:lang w:val="en-US"/>
        </w:rPr>
        <w:t>had this to say</w:t>
      </w:r>
      <w:r w:rsidR="00776C10" w:rsidRPr="00135EF2">
        <w:rPr>
          <w:rFonts w:eastAsia="Times New Roman"/>
          <w:lang w:val="en-US"/>
        </w:rPr>
        <w:t xml:space="preserve">: </w:t>
      </w:r>
    </w:p>
    <w:p w14:paraId="4EAD180A" w14:textId="6D73DCC7" w:rsidR="00F60528" w:rsidRDefault="00F60528" w:rsidP="00A80F2A">
      <w:pPr>
        <w:pStyle w:val="ListParagraph"/>
        <w:ind w:hanging="720"/>
        <w:jc w:val="both"/>
        <w:rPr>
          <w:rFonts w:eastAsia="Times New Roman"/>
          <w:lang w:val="en-US"/>
        </w:rPr>
      </w:pPr>
    </w:p>
    <w:p w14:paraId="10E9ADF0" w14:textId="77777777" w:rsidR="00A80F2A" w:rsidRPr="00880D31" w:rsidRDefault="00A80F2A" w:rsidP="00A80F2A">
      <w:pPr>
        <w:pStyle w:val="ListParagraph"/>
        <w:spacing w:line="240" w:lineRule="auto"/>
        <w:ind w:hanging="720"/>
        <w:jc w:val="both"/>
        <w:rPr>
          <w:rFonts w:eastAsia="Times New Roman"/>
          <w:lang w:val="en-US"/>
        </w:rPr>
      </w:pPr>
    </w:p>
    <w:p w14:paraId="55E19D56" w14:textId="68A3328F" w:rsidR="00776C10" w:rsidRDefault="00880D31" w:rsidP="00A80F2A">
      <w:pPr>
        <w:pStyle w:val="ListParagraph"/>
        <w:ind w:left="1980" w:hanging="810"/>
        <w:jc w:val="both"/>
        <w:rPr>
          <w:sz w:val="22"/>
          <w:szCs w:val="22"/>
        </w:rPr>
      </w:pPr>
      <w:r>
        <w:rPr>
          <w:sz w:val="22"/>
          <w:szCs w:val="22"/>
        </w:rPr>
        <w:lastRenderedPageBreak/>
        <w:t xml:space="preserve">“[25] </w:t>
      </w:r>
      <w:r w:rsidR="00F60528">
        <w:rPr>
          <w:sz w:val="22"/>
          <w:szCs w:val="22"/>
        </w:rPr>
        <w:t xml:space="preserve">    </w:t>
      </w:r>
      <w:r w:rsidRPr="00880D31">
        <w:rPr>
          <w:sz w:val="22"/>
          <w:szCs w:val="22"/>
        </w:rPr>
        <w:t>Section 17(1) of the Act sets out the statutory matrix as well as the test governing applications for leave to appeal. The section states in relevant parts, and in peremptory language, that leave to appeal may only be given where the judge or judges concerned are of the opinion that: ‘. . . (a) (</w:t>
      </w:r>
      <w:proofErr w:type="spellStart"/>
      <w:r w:rsidRPr="00880D31">
        <w:rPr>
          <w:sz w:val="22"/>
          <w:szCs w:val="22"/>
        </w:rPr>
        <w:t>i</w:t>
      </w:r>
      <w:proofErr w:type="spellEnd"/>
      <w:r w:rsidRPr="00880D31">
        <w:rPr>
          <w:sz w:val="22"/>
          <w:szCs w:val="22"/>
        </w:rPr>
        <w:t>) the appeal would have a reasonable prospect of success; (ii) there is some other compelling reason why the appeal should be heard including, conflicting judgments on the matter under consideration; . . . (c) where the decision sought to be appealed does not dispose of all the issues in the case, the appeal would lead to a just and prompt resolution of the real issues between the parties.'</w:t>
      </w:r>
    </w:p>
    <w:p w14:paraId="57D7911B" w14:textId="77777777" w:rsidR="005C7087" w:rsidRPr="00880D31" w:rsidRDefault="005C7087" w:rsidP="00A80F2A">
      <w:pPr>
        <w:pStyle w:val="ListParagraph"/>
        <w:ind w:left="1980" w:hanging="810"/>
        <w:jc w:val="both"/>
        <w:rPr>
          <w:rFonts w:eastAsia="Times New Roman"/>
          <w:sz w:val="22"/>
          <w:szCs w:val="22"/>
          <w:lang w:val="en-US"/>
        </w:rPr>
      </w:pPr>
    </w:p>
    <w:p w14:paraId="14F7FF1F" w14:textId="3ACFE9B6" w:rsidR="00B436B2" w:rsidRPr="0097196E" w:rsidRDefault="0097196E" w:rsidP="0097196E">
      <w:pPr>
        <w:ind w:left="720" w:hanging="720"/>
        <w:jc w:val="both"/>
        <w:rPr>
          <w:rFonts w:eastAsia="Times New Roman"/>
          <w:lang w:val="en-US"/>
        </w:rPr>
      </w:pPr>
      <w:r>
        <w:rPr>
          <w:rFonts w:eastAsia="Times New Roman"/>
          <w:lang w:val="en-US"/>
        </w:rPr>
        <w:t xml:space="preserve">[31]  </w:t>
      </w:r>
      <w:r>
        <w:rPr>
          <w:rFonts w:eastAsia="Times New Roman"/>
          <w:lang w:val="en-US"/>
        </w:rPr>
        <w:tab/>
      </w:r>
      <w:r w:rsidR="00B436B2" w:rsidRPr="0097196E">
        <w:rPr>
          <w:rFonts w:eastAsia="Times New Roman"/>
          <w:lang w:val="en-US"/>
        </w:rPr>
        <w:t>It is thus important for any litigant prior to bringing an application for leave to appeal to closely consider the above legal principles</w:t>
      </w:r>
      <w:r w:rsidR="00A81B02" w:rsidRPr="0097196E">
        <w:rPr>
          <w:rFonts w:eastAsia="Times New Roman"/>
          <w:lang w:val="en-US"/>
        </w:rPr>
        <w:t>. An appli</w:t>
      </w:r>
      <w:r w:rsidR="005055AD" w:rsidRPr="0097196E">
        <w:rPr>
          <w:rFonts w:eastAsia="Times New Roman"/>
          <w:lang w:val="en-US"/>
        </w:rPr>
        <w:t>cation as this will be avoided – no doubt.</w:t>
      </w:r>
    </w:p>
    <w:p w14:paraId="42BAB57B" w14:textId="77777777" w:rsidR="00B436B2" w:rsidRDefault="00B436B2" w:rsidP="00A80F2A">
      <w:pPr>
        <w:pStyle w:val="ListParagraph"/>
        <w:ind w:left="284"/>
        <w:jc w:val="both"/>
        <w:rPr>
          <w:rFonts w:eastAsia="Times New Roman"/>
          <w:lang w:val="en-US"/>
        </w:rPr>
      </w:pPr>
    </w:p>
    <w:p w14:paraId="7F477AC9" w14:textId="0BD0C1C3" w:rsidR="00B436B2" w:rsidRPr="00D6791C" w:rsidRDefault="00B436B2" w:rsidP="00D6791C">
      <w:pPr>
        <w:pStyle w:val="ListParagraph"/>
        <w:numPr>
          <w:ilvl w:val="0"/>
          <w:numId w:val="20"/>
        </w:numPr>
        <w:ind w:hanging="720"/>
        <w:jc w:val="both"/>
        <w:rPr>
          <w:rFonts w:eastAsia="Times New Roman"/>
          <w:b/>
          <w:bCs/>
          <w:u w:val="single"/>
          <w:lang w:val="en-US"/>
        </w:rPr>
      </w:pPr>
      <w:r w:rsidRPr="00D6791C">
        <w:rPr>
          <w:rFonts w:eastAsia="Times New Roman"/>
          <w:b/>
          <w:bCs/>
          <w:u w:val="single"/>
          <w:lang w:val="en-US"/>
        </w:rPr>
        <w:t>The notice</w:t>
      </w:r>
      <w:r w:rsidR="00A81B02" w:rsidRPr="00D6791C">
        <w:rPr>
          <w:rFonts w:eastAsia="Times New Roman"/>
          <w:b/>
          <w:bCs/>
          <w:u w:val="single"/>
          <w:lang w:val="en-US"/>
        </w:rPr>
        <w:t xml:space="preserve"> of application for leave to appeal</w:t>
      </w:r>
      <w:r w:rsidRPr="00D6791C">
        <w:rPr>
          <w:rFonts w:eastAsia="Times New Roman"/>
          <w:b/>
          <w:bCs/>
          <w:u w:val="single"/>
          <w:lang w:val="en-US"/>
        </w:rPr>
        <w:t xml:space="preserve"> and</w:t>
      </w:r>
      <w:r w:rsidR="00A81B02" w:rsidRPr="00D6791C">
        <w:rPr>
          <w:rFonts w:eastAsia="Times New Roman"/>
          <w:b/>
          <w:bCs/>
          <w:u w:val="single"/>
          <w:lang w:val="en-US"/>
        </w:rPr>
        <w:t xml:space="preserve"> the</w:t>
      </w:r>
      <w:r w:rsidRPr="00D6791C">
        <w:rPr>
          <w:rFonts w:eastAsia="Times New Roman"/>
          <w:b/>
          <w:bCs/>
          <w:u w:val="single"/>
          <w:lang w:val="en-US"/>
        </w:rPr>
        <w:t xml:space="preserve"> grounds of appeal</w:t>
      </w:r>
    </w:p>
    <w:p w14:paraId="31184FAB" w14:textId="77777777" w:rsidR="00F60528" w:rsidRDefault="00F60528" w:rsidP="00A80F2A">
      <w:pPr>
        <w:pStyle w:val="ListParagraph"/>
        <w:jc w:val="both"/>
        <w:rPr>
          <w:rFonts w:eastAsia="Times New Roman"/>
          <w:b/>
          <w:bCs/>
          <w:u w:val="single"/>
          <w:lang w:val="en-US"/>
        </w:rPr>
      </w:pPr>
    </w:p>
    <w:p w14:paraId="52673952" w14:textId="0AC358C0" w:rsidR="00811B48" w:rsidRPr="00D6791C" w:rsidRDefault="00D6791C" w:rsidP="00D6791C">
      <w:pPr>
        <w:ind w:left="720" w:hanging="720"/>
        <w:jc w:val="both"/>
        <w:rPr>
          <w:rFonts w:eastAsia="Times New Roman"/>
          <w:lang w:val="en-US"/>
        </w:rPr>
      </w:pPr>
      <w:r>
        <w:rPr>
          <w:rFonts w:eastAsia="Times New Roman"/>
          <w:lang w:val="en-US"/>
        </w:rPr>
        <w:t>[32</w:t>
      </w:r>
      <w:proofErr w:type="gramStart"/>
      <w:r>
        <w:rPr>
          <w:rFonts w:eastAsia="Times New Roman"/>
          <w:lang w:val="en-US"/>
        </w:rPr>
        <w:t xml:space="preserve">] </w:t>
      </w:r>
      <w:bookmarkStart w:id="0" w:name="_GoBack"/>
      <w:bookmarkEnd w:id="0"/>
      <w:r>
        <w:rPr>
          <w:rFonts w:eastAsia="Times New Roman"/>
          <w:lang w:val="en-US"/>
        </w:rPr>
        <w:t xml:space="preserve"> </w:t>
      </w:r>
      <w:r>
        <w:rPr>
          <w:rFonts w:eastAsia="Times New Roman"/>
          <w:lang w:val="en-US"/>
        </w:rPr>
        <w:tab/>
      </w:r>
      <w:proofErr w:type="gramEnd"/>
      <w:r w:rsidR="00B436B2" w:rsidRPr="00D6791C">
        <w:rPr>
          <w:rFonts w:eastAsia="Times New Roman"/>
          <w:lang w:val="en-US"/>
        </w:rPr>
        <w:t>The notice of appeal has a st</w:t>
      </w:r>
      <w:r w:rsidR="00E45A0D" w:rsidRPr="00D6791C">
        <w:rPr>
          <w:rFonts w:eastAsia="Times New Roman"/>
          <w:lang w:val="en-US"/>
        </w:rPr>
        <w:t>r</w:t>
      </w:r>
      <w:r w:rsidR="00B436B2" w:rsidRPr="00D6791C">
        <w:rPr>
          <w:rFonts w:eastAsia="Times New Roman"/>
          <w:lang w:val="en-US"/>
        </w:rPr>
        <w:t>a</w:t>
      </w:r>
      <w:r w:rsidR="00E45A0D" w:rsidRPr="00D6791C">
        <w:rPr>
          <w:rFonts w:eastAsia="Times New Roman"/>
          <w:lang w:val="en-US"/>
        </w:rPr>
        <w:t>n</w:t>
      </w:r>
      <w:r w:rsidR="00B436B2" w:rsidRPr="00D6791C">
        <w:rPr>
          <w:rFonts w:eastAsia="Times New Roman"/>
          <w:lang w:val="en-US"/>
        </w:rPr>
        <w:t>ge</w:t>
      </w:r>
      <w:r w:rsidR="00E45A0D" w:rsidRPr="00D6791C">
        <w:rPr>
          <w:rFonts w:eastAsia="Times New Roman"/>
          <w:lang w:val="en-US"/>
        </w:rPr>
        <w:t xml:space="preserve"> features</w:t>
      </w:r>
      <w:r w:rsidR="00B436B2" w:rsidRPr="00D6791C">
        <w:rPr>
          <w:rFonts w:eastAsia="Times New Roman"/>
          <w:lang w:val="en-US"/>
        </w:rPr>
        <w:t xml:space="preserve"> in that it is signed by an advocate. </w:t>
      </w:r>
      <w:r w:rsidR="00AE67E5" w:rsidRPr="00D6791C">
        <w:rPr>
          <w:rFonts w:eastAsia="Times New Roman"/>
          <w:lang w:val="en-US"/>
        </w:rPr>
        <w:t>It purports</w:t>
      </w:r>
      <w:r w:rsidR="00811B48" w:rsidRPr="00D6791C">
        <w:rPr>
          <w:rFonts w:eastAsia="Times New Roman"/>
          <w:lang w:val="en-US"/>
        </w:rPr>
        <w:t xml:space="preserve"> in certain instances to be </w:t>
      </w:r>
      <w:r w:rsidR="00AE67E5" w:rsidRPr="00D6791C">
        <w:rPr>
          <w:rFonts w:eastAsia="Times New Roman"/>
          <w:lang w:val="en-US"/>
        </w:rPr>
        <w:t>directed against the</w:t>
      </w:r>
      <w:r w:rsidR="00811B48" w:rsidRPr="00D6791C">
        <w:rPr>
          <w:rFonts w:eastAsia="Times New Roman"/>
          <w:lang w:val="en-US"/>
        </w:rPr>
        <w:t xml:space="preserve"> reasons </w:t>
      </w:r>
      <w:r w:rsidR="00A81B02" w:rsidRPr="00D6791C">
        <w:rPr>
          <w:rFonts w:eastAsia="Times New Roman"/>
          <w:lang w:val="en-US"/>
        </w:rPr>
        <w:t xml:space="preserve">for the order </w:t>
      </w:r>
      <w:r w:rsidR="00811B48" w:rsidRPr="00D6791C">
        <w:rPr>
          <w:rFonts w:eastAsia="Times New Roman"/>
          <w:lang w:val="en-US"/>
        </w:rPr>
        <w:t xml:space="preserve">as opposed to the substantive order granted (see: </w:t>
      </w:r>
      <w:r w:rsidR="00811B48" w:rsidRPr="00D6791C">
        <w:rPr>
          <w:rFonts w:eastAsia="Times New Roman"/>
          <w:b/>
          <w:lang w:val="en-US"/>
        </w:rPr>
        <w:t xml:space="preserve">Elan Boulevard (Pty) Ltd vs </w:t>
      </w:r>
      <w:proofErr w:type="spellStart"/>
      <w:r w:rsidR="00811B48" w:rsidRPr="00D6791C">
        <w:rPr>
          <w:rFonts w:eastAsia="Times New Roman"/>
          <w:b/>
          <w:lang w:val="en-US"/>
        </w:rPr>
        <w:t>Fny</w:t>
      </w:r>
      <w:r w:rsidR="00EE7A84" w:rsidRPr="00D6791C">
        <w:rPr>
          <w:rFonts w:eastAsia="Times New Roman"/>
          <w:b/>
          <w:lang w:val="en-US"/>
        </w:rPr>
        <w:t>n</w:t>
      </w:r>
      <w:proofErr w:type="spellEnd"/>
      <w:r w:rsidR="00EE7A84" w:rsidRPr="00D6791C">
        <w:rPr>
          <w:rFonts w:eastAsia="Times New Roman"/>
          <w:b/>
          <w:lang w:val="en-US"/>
        </w:rPr>
        <w:t xml:space="preserve"> Investments (Pty) Ltd 2019(</w:t>
      </w:r>
      <w:r w:rsidR="00AE67E5" w:rsidRPr="00D6791C">
        <w:rPr>
          <w:rFonts w:eastAsia="Times New Roman"/>
          <w:b/>
          <w:lang w:val="en-US"/>
        </w:rPr>
        <w:t>3) SA</w:t>
      </w:r>
      <w:r w:rsidR="00811B48" w:rsidRPr="00D6791C">
        <w:rPr>
          <w:rFonts w:eastAsia="Times New Roman"/>
          <w:b/>
          <w:lang w:val="en-US"/>
        </w:rPr>
        <w:t xml:space="preserve"> 441 SCA at 448A</w:t>
      </w:r>
      <w:r w:rsidR="00811B48" w:rsidRPr="00D6791C">
        <w:rPr>
          <w:rFonts w:eastAsia="Times New Roman"/>
          <w:lang w:val="en-US"/>
        </w:rPr>
        <w:t>)</w:t>
      </w:r>
      <w:r w:rsidR="00A81B02" w:rsidRPr="00D6791C">
        <w:rPr>
          <w:rFonts w:eastAsia="Times New Roman"/>
          <w:lang w:val="en-US"/>
        </w:rPr>
        <w:t xml:space="preserve"> and </w:t>
      </w:r>
      <w:r w:rsidR="00A81B02" w:rsidRPr="00D6791C">
        <w:rPr>
          <w:rFonts w:eastAsia="Times New Roman"/>
          <w:b/>
          <w:lang w:val="en-US"/>
        </w:rPr>
        <w:t>ABSA Bank v Mkhize 2014 (5) SA 16 para 64</w:t>
      </w:r>
      <w:r w:rsidR="00EE7A84" w:rsidRPr="00D6791C">
        <w:rPr>
          <w:rFonts w:eastAsia="Times New Roman"/>
          <w:b/>
          <w:lang w:val="en-US"/>
        </w:rPr>
        <w:t>)</w:t>
      </w:r>
      <w:r w:rsidR="00811B48" w:rsidRPr="00D6791C">
        <w:rPr>
          <w:rFonts w:eastAsia="Times New Roman"/>
          <w:lang w:val="en-US"/>
        </w:rPr>
        <w:t>. That</w:t>
      </w:r>
      <w:r w:rsidR="002F3294" w:rsidRPr="00D6791C">
        <w:rPr>
          <w:rFonts w:eastAsia="Times New Roman"/>
          <w:lang w:val="en-US"/>
        </w:rPr>
        <w:t xml:space="preserve"> approach</w:t>
      </w:r>
      <w:r w:rsidR="00811B48" w:rsidRPr="00D6791C">
        <w:rPr>
          <w:rFonts w:eastAsia="Times New Roman"/>
          <w:lang w:val="en-US"/>
        </w:rPr>
        <w:t xml:space="preserve"> is not apt.</w:t>
      </w:r>
    </w:p>
    <w:p w14:paraId="65E75341" w14:textId="77777777" w:rsidR="00F60528" w:rsidRDefault="00F60528" w:rsidP="00A80F2A">
      <w:pPr>
        <w:pStyle w:val="ListParagraph"/>
        <w:jc w:val="both"/>
        <w:rPr>
          <w:rFonts w:eastAsia="Times New Roman"/>
          <w:lang w:val="en-US"/>
        </w:rPr>
      </w:pPr>
    </w:p>
    <w:p w14:paraId="323F30A0" w14:textId="40CAC3E4" w:rsidR="00811B48" w:rsidRDefault="00D6791C" w:rsidP="00A80F2A">
      <w:pPr>
        <w:ind w:left="720" w:hanging="720"/>
        <w:jc w:val="both"/>
        <w:rPr>
          <w:rFonts w:eastAsia="Times New Roman"/>
          <w:lang w:val="en-US"/>
        </w:rPr>
      </w:pPr>
      <w:r>
        <w:rPr>
          <w:rFonts w:eastAsia="Times New Roman"/>
          <w:lang w:val="en-US"/>
        </w:rPr>
        <w:t>[33</w:t>
      </w:r>
      <w:r w:rsidR="002F3294">
        <w:rPr>
          <w:rFonts w:eastAsia="Times New Roman"/>
          <w:lang w:val="en-US"/>
        </w:rPr>
        <w:t>]</w:t>
      </w:r>
      <w:r w:rsidR="005770CA">
        <w:rPr>
          <w:rFonts w:eastAsia="Times New Roman"/>
          <w:lang w:val="en-US"/>
        </w:rPr>
        <w:t xml:space="preserve"> </w:t>
      </w:r>
      <w:r w:rsidR="005E6927">
        <w:rPr>
          <w:rFonts w:eastAsia="Times New Roman"/>
          <w:lang w:val="en-US"/>
        </w:rPr>
        <w:t xml:space="preserve">   </w:t>
      </w:r>
      <w:r w:rsidR="005770CA">
        <w:rPr>
          <w:rFonts w:eastAsia="Times New Roman"/>
          <w:lang w:val="en-US"/>
        </w:rPr>
        <w:t>Although I deal</w:t>
      </w:r>
      <w:r w:rsidR="007540A1">
        <w:rPr>
          <w:rFonts w:eastAsia="Times New Roman"/>
          <w:lang w:val="en-US"/>
        </w:rPr>
        <w:t>t</w:t>
      </w:r>
      <w:r w:rsidR="005770CA">
        <w:rPr>
          <w:rFonts w:eastAsia="Times New Roman"/>
          <w:lang w:val="en-US"/>
        </w:rPr>
        <w:t xml:space="preserve"> with two matters in one judgment</w:t>
      </w:r>
      <w:r w:rsidR="007540A1">
        <w:rPr>
          <w:rFonts w:eastAsia="Times New Roman"/>
          <w:lang w:val="en-US"/>
        </w:rPr>
        <w:t xml:space="preserve"> the notice of appeal has </w:t>
      </w:r>
      <w:r w:rsidR="00310E41">
        <w:rPr>
          <w:rFonts w:eastAsia="Times New Roman"/>
          <w:lang w:val="en-US"/>
        </w:rPr>
        <w:t>made it</w:t>
      </w:r>
      <w:r w:rsidR="005770CA">
        <w:rPr>
          <w:rFonts w:eastAsia="Times New Roman"/>
          <w:lang w:val="en-US"/>
        </w:rPr>
        <w:t xml:space="preserve"> difficult and impossible</w:t>
      </w:r>
      <w:r w:rsidR="007540A1">
        <w:rPr>
          <w:rFonts w:eastAsia="Times New Roman"/>
          <w:lang w:val="en-US"/>
        </w:rPr>
        <w:t xml:space="preserve"> for me</w:t>
      </w:r>
      <w:r w:rsidR="005770CA">
        <w:rPr>
          <w:rFonts w:eastAsia="Times New Roman"/>
          <w:lang w:val="en-US"/>
        </w:rPr>
        <w:t xml:space="preserve"> to know </w:t>
      </w:r>
      <w:r w:rsidR="0069118D">
        <w:rPr>
          <w:rFonts w:eastAsia="Times New Roman"/>
          <w:lang w:val="en-US"/>
        </w:rPr>
        <w:t>if</w:t>
      </w:r>
      <w:r w:rsidR="005770CA">
        <w:rPr>
          <w:rFonts w:eastAsia="Times New Roman"/>
          <w:lang w:val="en-US"/>
        </w:rPr>
        <w:t xml:space="preserve"> the ground</w:t>
      </w:r>
      <w:r w:rsidR="007540A1">
        <w:rPr>
          <w:rFonts w:eastAsia="Times New Roman"/>
          <w:lang w:val="en-US"/>
        </w:rPr>
        <w:t>s</w:t>
      </w:r>
      <w:r w:rsidR="005770CA">
        <w:rPr>
          <w:rFonts w:eastAsia="Times New Roman"/>
          <w:lang w:val="en-US"/>
        </w:rPr>
        <w:t xml:space="preserve"> of appeal raised </w:t>
      </w:r>
      <w:r w:rsidR="007540A1">
        <w:rPr>
          <w:rFonts w:eastAsia="Times New Roman"/>
          <w:lang w:val="en-US"/>
        </w:rPr>
        <w:t>apply</w:t>
      </w:r>
      <w:r w:rsidR="005770CA">
        <w:rPr>
          <w:rFonts w:eastAsia="Times New Roman"/>
          <w:lang w:val="en-US"/>
        </w:rPr>
        <w:t xml:space="preserve"> to either Bara </w:t>
      </w:r>
      <w:r w:rsidR="0069118D">
        <w:rPr>
          <w:rFonts w:eastAsia="Times New Roman"/>
          <w:lang w:val="en-US"/>
        </w:rPr>
        <w:t xml:space="preserve">or </w:t>
      </w:r>
      <w:r w:rsidR="007540A1">
        <w:rPr>
          <w:rFonts w:eastAsia="Times New Roman"/>
          <w:lang w:val="en-US"/>
        </w:rPr>
        <w:t>Apostolou matter. For that</w:t>
      </w:r>
      <w:r w:rsidR="008C64A8">
        <w:rPr>
          <w:rFonts w:eastAsia="Times New Roman"/>
          <w:lang w:val="en-US"/>
        </w:rPr>
        <w:t xml:space="preserve"> </w:t>
      </w:r>
      <w:r w:rsidR="00AE67E5">
        <w:rPr>
          <w:rFonts w:eastAsia="Times New Roman"/>
          <w:lang w:val="en-US"/>
        </w:rPr>
        <w:t>reason,</w:t>
      </w:r>
      <w:r w:rsidR="005770CA">
        <w:rPr>
          <w:rFonts w:eastAsia="Times New Roman"/>
          <w:lang w:val="en-US"/>
        </w:rPr>
        <w:t xml:space="preserve"> the application is not a model of clarity.</w:t>
      </w:r>
      <w:r w:rsidR="002F3294">
        <w:rPr>
          <w:rFonts w:eastAsia="Times New Roman"/>
          <w:lang w:val="en-US"/>
        </w:rPr>
        <w:tab/>
      </w:r>
    </w:p>
    <w:p w14:paraId="0ED407CE" w14:textId="77777777" w:rsidR="00F60528" w:rsidRPr="002F3294" w:rsidRDefault="00F60528" w:rsidP="00A80F2A">
      <w:pPr>
        <w:ind w:left="720" w:hanging="720"/>
        <w:jc w:val="both"/>
        <w:rPr>
          <w:rFonts w:eastAsia="Times New Roman"/>
          <w:lang w:val="en-US"/>
        </w:rPr>
      </w:pPr>
    </w:p>
    <w:p w14:paraId="4751E8DB" w14:textId="54210381" w:rsidR="00811B48" w:rsidRDefault="00D6791C" w:rsidP="00A80F2A">
      <w:pPr>
        <w:ind w:left="720" w:hanging="720"/>
        <w:jc w:val="both"/>
        <w:rPr>
          <w:rFonts w:eastAsia="Times New Roman"/>
          <w:lang w:val="en-US"/>
        </w:rPr>
      </w:pPr>
      <w:r>
        <w:rPr>
          <w:rFonts w:eastAsia="Times New Roman"/>
          <w:lang w:val="en-US"/>
        </w:rPr>
        <w:t>[34</w:t>
      </w:r>
      <w:r w:rsidR="00F60528">
        <w:rPr>
          <w:rFonts w:eastAsia="Times New Roman"/>
          <w:lang w:val="en-US"/>
        </w:rPr>
        <w:t xml:space="preserve">]    </w:t>
      </w:r>
      <w:r w:rsidR="008B2F65">
        <w:rPr>
          <w:rFonts w:eastAsia="Times New Roman"/>
          <w:lang w:val="en-US"/>
        </w:rPr>
        <w:t>Notwithstanding the above I</w:t>
      </w:r>
      <w:r w:rsidR="00811B48" w:rsidRPr="00F60528">
        <w:rPr>
          <w:rFonts w:eastAsia="Times New Roman"/>
          <w:lang w:val="en-US"/>
        </w:rPr>
        <w:t xml:space="preserve"> deal with each ground set-out in the notice of appeal below:</w:t>
      </w:r>
    </w:p>
    <w:p w14:paraId="60B3CC08" w14:textId="77777777" w:rsidR="0069118D" w:rsidRPr="00F60528" w:rsidRDefault="0069118D" w:rsidP="00A80F2A">
      <w:pPr>
        <w:ind w:left="720" w:hanging="720"/>
        <w:jc w:val="both"/>
        <w:rPr>
          <w:rFonts w:eastAsia="Times New Roman"/>
          <w:lang w:val="en-US"/>
        </w:rPr>
      </w:pPr>
    </w:p>
    <w:p w14:paraId="49DF06A5" w14:textId="280FD75B" w:rsidR="00700062" w:rsidRDefault="00700062" w:rsidP="00A80F2A">
      <w:pPr>
        <w:pStyle w:val="ListParagraph"/>
        <w:jc w:val="both"/>
        <w:rPr>
          <w:rFonts w:eastAsia="Times New Roman"/>
          <w:b/>
          <w:bCs/>
          <w:u w:val="single"/>
          <w:lang w:val="en-US"/>
        </w:rPr>
      </w:pPr>
      <w:r w:rsidRPr="00700062">
        <w:rPr>
          <w:rFonts w:eastAsia="Times New Roman"/>
          <w:b/>
          <w:bCs/>
          <w:u w:val="single"/>
          <w:lang w:val="en-US"/>
        </w:rPr>
        <w:t>Ground no 1</w:t>
      </w:r>
    </w:p>
    <w:p w14:paraId="02C58326" w14:textId="77777777" w:rsidR="00F60528" w:rsidRDefault="00F60528" w:rsidP="00A80F2A">
      <w:pPr>
        <w:pStyle w:val="ListParagraph"/>
        <w:ind w:left="284"/>
        <w:jc w:val="both"/>
        <w:rPr>
          <w:rFonts w:eastAsia="Times New Roman"/>
          <w:b/>
          <w:bCs/>
          <w:u w:val="single"/>
          <w:lang w:val="en-US"/>
        </w:rPr>
      </w:pPr>
    </w:p>
    <w:p w14:paraId="220E175C" w14:textId="7DEDE0FD" w:rsidR="00700062" w:rsidRPr="00A80F2A" w:rsidRDefault="00F002A3" w:rsidP="00A80F2A">
      <w:pPr>
        <w:pStyle w:val="ListParagraph"/>
        <w:jc w:val="both"/>
        <w:rPr>
          <w:rFonts w:eastAsia="Times New Roman"/>
          <w:bCs/>
          <w:i/>
          <w:sz w:val="20"/>
          <w:szCs w:val="20"/>
          <w:lang w:val="en-US"/>
        </w:rPr>
      </w:pPr>
      <w:r w:rsidRPr="00A80F2A">
        <w:rPr>
          <w:rFonts w:eastAsia="Times New Roman"/>
          <w:bCs/>
          <w:i/>
          <w:sz w:val="20"/>
          <w:szCs w:val="20"/>
          <w:lang w:val="en-US"/>
        </w:rPr>
        <w:t>(</w:t>
      </w:r>
      <w:r w:rsidR="00614E55" w:rsidRPr="00A80F2A">
        <w:rPr>
          <w:rFonts w:eastAsia="Times New Roman"/>
          <w:bCs/>
          <w:i/>
          <w:sz w:val="20"/>
          <w:szCs w:val="20"/>
          <w:lang w:val="en-US"/>
        </w:rPr>
        <w:t xml:space="preserve">The learned judge erred in finding that the requested documents were provided to the applicants after receipt of the Rule 35 (14) Notice because they were actually provided </w:t>
      </w:r>
      <w:r w:rsidR="00D36FCD" w:rsidRPr="00A80F2A">
        <w:rPr>
          <w:rFonts w:eastAsia="Times New Roman"/>
          <w:bCs/>
          <w:i/>
          <w:sz w:val="20"/>
          <w:szCs w:val="20"/>
          <w:lang w:val="en-US"/>
        </w:rPr>
        <w:t xml:space="preserve">post timeously and after the respective applications were launched and set down. In amplification, </w:t>
      </w:r>
      <w:r w:rsidR="00D36FCD" w:rsidRPr="00A80F2A">
        <w:rPr>
          <w:rFonts w:eastAsia="Times New Roman"/>
          <w:bCs/>
          <w:i/>
          <w:sz w:val="20"/>
          <w:szCs w:val="20"/>
          <w:lang w:val="en-US"/>
        </w:rPr>
        <w:lastRenderedPageBreak/>
        <w:t xml:space="preserve">the requested documents were furnished on the eve of the hearing </w:t>
      </w:r>
      <w:proofErr w:type="spellStart"/>
      <w:r w:rsidR="00D36FCD" w:rsidRPr="00A80F2A">
        <w:rPr>
          <w:rFonts w:eastAsia="Times New Roman"/>
          <w:bCs/>
          <w:i/>
          <w:sz w:val="20"/>
          <w:szCs w:val="20"/>
          <w:lang w:val="en-US"/>
        </w:rPr>
        <w:t>i.e</w:t>
      </w:r>
      <w:proofErr w:type="spellEnd"/>
      <w:r w:rsidR="00D36FCD" w:rsidRPr="00A80F2A">
        <w:rPr>
          <w:rFonts w:eastAsia="Times New Roman"/>
          <w:bCs/>
          <w:i/>
          <w:sz w:val="20"/>
          <w:szCs w:val="20"/>
          <w:lang w:val="en-US"/>
        </w:rPr>
        <w:t xml:space="preserve"> post – timeous compliance to an application to compel</w:t>
      </w:r>
      <w:r w:rsidR="00AA68CC" w:rsidRPr="00A80F2A">
        <w:rPr>
          <w:rFonts w:eastAsia="Times New Roman"/>
          <w:bCs/>
          <w:i/>
          <w:sz w:val="20"/>
          <w:szCs w:val="20"/>
          <w:lang w:val="en-US"/>
        </w:rPr>
        <w:t>)</w:t>
      </w:r>
      <w:r w:rsidR="00D36FCD" w:rsidRPr="00A80F2A">
        <w:rPr>
          <w:rFonts w:eastAsia="Times New Roman"/>
          <w:bCs/>
          <w:i/>
          <w:sz w:val="20"/>
          <w:szCs w:val="20"/>
          <w:lang w:val="en-US"/>
        </w:rPr>
        <w:t>.</w:t>
      </w:r>
      <w:r w:rsidR="00AA68CC" w:rsidRPr="00A80F2A">
        <w:rPr>
          <w:rFonts w:eastAsia="Times New Roman"/>
          <w:bCs/>
          <w:i/>
          <w:sz w:val="20"/>
          <w:szCs w:val="20"/>
          <w:lang w:val="en-US"/>
        </w:rPr>
        <w:t xml:space="preserve"> </w:t>
      </w:r>
    </w:p>
    <w:p w14:paraId="3929CE74" w14:textId="77777777" w:rsidR="00F60528" w:rsidRPr="00AA68CC" w:rsidRDefault="00F60528" w:rsidP="00A80F2A">
      <w:pPr>
        <w:pStyle w:val="ListParagraph"/>
        <w:ind w:left="284"/>
        <w:jc w:val="both"/>
        <w:rPr>
          <w:rFonts w:eastAsia="Times New Roman"/>
          <w:b/>
          <w:bCs/>
          <w:color w:val="FF0000"/>
          <w:u w:val="single"/>
          <w:lang w:val="en-US"/>
        </w:rPr>
      </w:pPr>
    </w:p>
    <w:p w14:paraId="64C49370" w14:textId="1F76B14F" w:rsidR="00811B48" w:rsidRDefault="00811B48" w:rsidP="00A80F2A">
      <w:pPr>
        <w:pStyle w:val="ListParagraph"/>
        <w:ind w:left="1620" w:hanging="990"/>
        <w:jc w:val="both"/>
        <w:rPr>
          <w:rFonts w:eastAsia="Times New Roman"/>
          <w:lang w:val="en-US"/>
        </w:rPr>
      </w:pPr>
      <w:r>
        <w:rPr>
          <w:rFonts w:eastAsia="Times New Roman"/>
          <w:lang w:val="en-US"/>
        </w:rPr>
        <w:t>[3</w:t>
      </w:r>
      <w:r w:rsidR="00D6791C">
        <w:rPr>
          <w:rFonts w:eastAsia="Times New Roman"/>
          <w:lang w:val="en-US"/>
        </w:rPr>
        <w:t>4</w:t>
      </w:r>
      <w:r>
        <w:rPr>
          <w:rFonts w:eastAsia="Times New Roman"/>
          <w:lang w:val="en-US"/>
        </w:rPr>
        <w:t>.1]</w:t>
      </w:r>
      <w:r>
        <w:rPr>
          <w:rFonts w:eastAsia="Times New Roman"/>
          <w:lang w:val="en-US"/>
        </w:rPr>
        <w:tab/>
      </w:r>
      <w:r w:rsidR="008232F6">
        <w:rPr>
          <w:rFonts w:eastAsia="Times New Roman"/>
          <w:lang w:val="en-US"/>
        </w:rPr>
        <w:t xml:space="preserve"> t</w:t>
      </w:r>
      <w:r w:rsidR="00700062">
        <w:rPr>
          <w:rFonts w:eastAsia="Times New Roman"/>
          <w:lang w:val="en-US"/>
        </w:rPr>
        <w:t xml:space="preserve">his ground complains that I said the documents were provided after </w:t>
      </w:r>
      <w:r w:rsidR="00AA68CC">
        <w:rPr>
          <w:rFonts w:eastAsia="Times New Roman"/>
          <w:lang w:val="en-US"/>
        </w:rPr>
        <w:t>receipt</w:t>
      </w:r>
      <w:r w:rsidR="00700062">
        <w:rPr>
          <w:rFonts w:eastAsia="Times New Roman"/>
          <w:lang w:val="en-US"/>
        </w:rPr>
        <w:t xml:space="preserve"> of rule35(14) notice.</w:t>
      </w:r>
    </w:p>
    <w:p w14:paraId="4C4975FF" w14:textId="77777777" w:rsidR="00CE5D1F" w:rsidRDefault="00CE5D1F" w:rsidP="00A80F2A">
      <w:pPr>
        <w:pStyle w:val="ListParagraph"/>
        <w:ind w:left="284" w:hanging="450"/>
        <w:jc w:val="both"/>
        <w:rPr>
          <w:rFonts w:eastAsia="Times New Roman"/>
          <w:lang w:val="en-US"/>
        </w:rPr>
      </w:pPr>
    </w:p>
    <w:p w14:paraId="6D007CB5" w14:textId="341A9C14" w:rsidR="00700062" w:rsidRDefault="00700062" w:rsidP="00A80F2A">
      <w:pPr>
        <w:pStyle w:val="ListParagraph"/>
        <w:tabs>
          <w:tab w:val="left" w:pos="1620"/>
        </w:tabs>
        <w:ind w:left="1620" w:hanging="990"/>
        <w:jc w:val="both"/>
        <w:rPr>
          <w:rFonts w:eastAsia="Times New Roman"/>
          <w:lang w:val="en-US"/>
        </w:rPr>
      </w:pPr>
      <w:r>
        <w:rPr>
          <w:rFonts w:eastAsia="Times New Roman"/>
          <w:lang w:val="en-US"/>
        </w:rPr>
        <w:t>[3</w:t>
      </w:r>
      <w:r w:rsidR="00D6791C">
        <w:rPr>
          <w:rFonts w:eastAsia="Times New Roman"/>
          <w:lang w:val="en-US"/>
        </w:rPr>
        <w:t>4</w:t>
      </w:r>
      <w:r>
        <w:rPr>
          <w:rFonts w:eastAsia="Times New Roman"/>
          <w:lang w:val="en-US"/>
        </w:rPr>
        <w:t>.2]</w:t>
      </w:r>
      <w:r>
        <w:rPr>
          <w:rFonts w:eastAsia="Times New Roman"/>
          <w:lang w:val="en-US"/>
        </w:rPr>
        <w:tab/>
      </w:r>
      <w:r w:rsidR="008232F6">
        <w:rPr>
          <w:rFonts w:eastAsia="Times New Roman"/>
          <w:lang w:val="en-US"/>
        </w:rPr>
        <w:t>m</w:t>
      </w:r>
      <w:r>
        <w:rPr>
          <w:rFonts w:eastAsia="Times New Roman"/>
          <w:lang w:val="en-US"/>
        </w:rPr>
        <w:t>y con</w:t>
      </w:r>
      <w:r w:rsidR="00AA68CC">
        <w:rPr>
          <w:rFonts w:eastAsia="Times New Roman"/>
          <w:lang w:val="en-US"/>
        </w:rPr>
        <w:t>sideration</w:t>
      </w:r>
      <w:r>
        <w:rPr>
          <w:rFonts w:eastAsia="Times New Roman"/>
          <w:lang w:val="en-US"/>
        </w:rPr>
        <w:t xml:space="preserve"> of the application was </w:t>
      </w:r>
      <w:r w:rsidR="00AA68CC">
        <w:rPr>
          <w:rFonts w:eastAsia="Times New Roman"/>
          <w:lang w:val="en-US"/>
        </w:rPr>
        <w:t xml:space="preserve">less </w:t>
      </w:r>
      <w:r>
        <w:rPr>
          <w:rFonts w:eastAsia="Times New Roman"/>
          <w:lang w:val="en-US"/>
        </w:rPr>
        <w:t xml:space="preserve">about when were the documents received. I </w:t>
      </w:r>
      <w:r w:rsidR="003D52AB">
        <w:rPr>
          <w:rFonts w:eastAsia="Times New Roman"/>
          <w:lang w:val="en-US"/>
        </w:rPr>
        <w:t xml:space="preserve">concentrated more on </w:t>
      </w:r>
      <w:r>
        <w:rPr>
          <w:rFonts w:eastAsia="Times New Roman"/>
          <w:lang w:val="en-US"/>
        </w:rPr>
        <w:t>whether the application passed</w:t>
      </w:r>
      <w:r w:rsidR="00AA68CC">
        <w:rPr>
          <w:rFonts w:eastAsia="Times New Roman"/>
          <w:lang w:val="en-US"/>
        </w:rPr>
        <w:t xml:space="preserve"> muster </w:t>
      </w:r>
      <w:r>
        <w:rPr>
          <w:rFonts w:eastAsia="Times New Roman"/>
          <w:lang w:val="en-US"/>
        </w:rPr>
        <w:t xml:space="preserve">or not. That I did by taking into account the requirements that are necessary for the application to succeed against what was </w:t>
      </w:r>
      <w:r w:rsidR="00AA68CC">
        <w:rPr>
          <w:rFonts w:eastAsia="Times New Roman"/>
          <w:lang w:val="en-US"/>
        </w:rPr>
        <w:t xml:space="preserve">alleged or contained </w:t>
      </w:r>
      <w:r>
        <w:rPr>
          <w:rFonts w:eastAsia="Times New Roman"/>
          <w:lang w:val="en-US"/>
        </w:rPr>
        <w:t>in the court papers.</w:t>
      </w:r>
      <w:r w:rsidR="00AA68CC">
        <w:rPr>
          <w:rFonts w:eastAsia="Times New Roman"/>
          <w:lang w:val="en-US"/>
        </w:rPr>
        <w:t xml:space="preserve"> There was no dispute about the stage of receipt of </w:t>
      </w:r>
      <w:r w:rsidR="003D52AB">
        <w:rPr>
          <w:rFonts w:eastAsia="Times New Roman"/>
          <w:lang w:val="en-US"/>
        </w:rPr>
        <w:t xml:space="preserve">the </w:t>
      </w:r>
      <w:r w:rsidR="00AA68CC">
        <w:rPr>
          <w:rFonts w:eastAsia="Times New Roman"/>
          <w:lang w:val="en-US"/>
        </w:rPr>
        <w:t>documents</w:t>
      </w:r>
      <w:r w:rsidR="003D52AB">
        <w:rPr>
          <w:rFonts w:eastAsia="Times New Roman"/>
          <w:lang w:val="en-US"/>
        </w:rPr>
        <w:t xml:space="preserve"> between the parties</w:t>
      </w:r>
      <w:r w:rsidR="00AA68CC">
        <w:rPr>
          <w:rFonts w:eastAsia="Times New Roman"/>
          <w:lang w:val="en-US"/>
        </w:rPr>
        <w:t xml:space="preserve">. </w:t>
      </w:r>
    </w:p>
    <w:p w14:paraId="46EA2D67" w14:textId="77777777" w:rsidR="003E391B" w:rsidRDefault="003E391B" w:rsidP="00A80F2A">
      <w:pPr>
        <w:pStyle w:val="ListParagraph"/>
        <w:tabs>
          <w:tab w:val="left" w:pos="1620"/>
        </w:tabs>
        <w:ind w:left="1620" w:hanging="990"/>
        <w:jc w:val="both"/>
        <w:rPr>
          <w:rFonts w:eastAsia="Times New Roman"/>
          <w:lang w:val="en-US"/>
        </w:rPr>
      </w:pPr>
    </w:p>
    <w:p w14:paraId="6DE8A125" w14:textId="761C84A9" w:rsidR="00700062" w:rsidRDefault="00700062" w:rsidP="00A80F2A">
      <w:pPr>
        <w:pStyle w:val="ListParagraph"/>
        <w:ind w:left="1710" w:hanging="976"/>
        <w:jc w:val="both"/>
        <w:rPr>
          <w:rFonts w:eastAsia="Times New Roman"/>
          <w:lang w:val="en-US"/>
        </w:rPr>
      </w:pPr>
      <w:r>
        <w:rPr>
          <w:rFonts w:eastAsia="Times New Roman"/>
          <w:lang w:val="en-US"/>
        </w:rPr>
        <w:t>[3</w:t>
      </w:r>
      <w:r w:rsidR="00D6791C">
        <w:rPr>
          <w:rFonts w:eastAsia="Times New Roman"/>
          <w:lang w:val="en-US"/>
        </w:rPr>
        <w:t>4</w:t>
      </w:r>
      <w:r>
        <w:rPr>
          <w:rFonts w:eastAsia="Times New Roman"/>
          <w:lang w:val="en-US"/>
        </w:rPr>
        <w:t>.3]</w:t>
      </w:r>
      <w:r>
        <w:rPr>
          <w:rFonts w:eastAsia="Times New Roman"/>
          <w:lang w:val="en-US"/>
        </w:rPr>
        <w:tab/>
        <w:t>Above all, the parties had agreed that the substantive order was no longer necessary given that the documents</w:t>
      </w:r>
      <w:r w:rsidR="00CE5D1F">
        <w:rPr>
          <w:rFonts w:eastAsia="Times New Roman"/>
          <w:lang w:val="en-US"/>
        </w:rPr>
        <w:t xml:space="preserve"> were handed over to the applicant</w:t>
      </w:r>
      <w:r w:rsidR="00AA68CC">
        <w:rPr>
          <w:rFonts w:eastAsia="Times New Roman"/>
          <w:lang w:val="en-US"/>
        </w:rPr>
        <w:t xml:space="preserve"> already</w:t>
      </w:r>
      <w:r w:rsidR="00CE5D1F">
        <w:rPr>
          <w:rFonts w:eastAsia="Times New Roman"/>
          <w:lang w:val="en-US"/>
        </w:rPr>
        <w:t>.</w:t>
      </w:r>
    </w:p>
    <w:p w14:paraId="3D8B7DC4" w14:textId="77777777" w:rsidR="00CE5D1F" w:rsidRDefault="00CE5D1F" w:rsidP="00A80F2A">
      <w:pPr>
        <w:pStyle w:val="ListParagraph"/>
        <w:ind w:left="1710" w:hanging="976"/>
        <w:jc w:val="both"/>
        <w:rPr>
          <w:rFonts w:eastAsia="Times New Roman"/>
          <w:lang w:val="en-US"/>
        </w:rPr>
      </w:pPr>
    </w:p>
    <w:p w14:paraId="504738E1" w14:textId="62DBFE75" w:rsidR="00CE5D1F" w:rsidRDefault="00CE5D1F" w:rsidP="00A80F2A">
      <w:pPr>
        <w:pStyle w:val="ListParagraph"/>
        <w:ind w:left="1710" w:hanging="976"/>
        <w:jc w:val="both"/>
        <w:rPr>
          <w:rFonts w:eastAsia="Times New Roman"/>
          <w:lang w:val="en-US"/>
        </w:rPr>
      </w:pPr>
      <w:r>
        <w:rPr>
          <w:rFonts w:eastAsia="Times New Roman"/>
          <w:lang w:val="en-US"/>
        </w:rPr>
        <w:t>[3</w:t>
      </w:r>
      <w:r w:rsidR="00D6791C">
        <w:rPr>
          <w:rFonts w:eastAsia="Times New Roman"/>
          <w:lang w:val="en-US"/>
        </w:rPr>
        <w:t>4</w:t>
      </w:r>
      <w:r>
        <w:rPr>
          <w:rFonts w:eastAsia="Times New Roman"/>
          <w:lang w:val="en-US"/>
        </w:rPr>
        <w:t>.4]</w:t>
      </w:r>
      <w:r>
        <w:rPr>
          <w:rFonts w:eastAsia="Times New Roman"/>
          <w:lang w:val="en-US"/>
        </w:rPr>
        <w:tab/>
        <w:t>My f</w:t>
      </w:r>
      <w:r w:rsidR="00AA68CC">
        <w:rPr>
          <w:rFonts w:eastAsia="Times New Roman"/>
          <w:lang w:val="en-US"/>
        </w:rPr>
        <w:t xml:space="preserve">ocal </w:t>
      </w:r>
      <w:r>
        <w:rPr>
          <w:rFonts w:eastAsia="Times New Roman"/>
          <w:lang w:val="en-US"/>
        </w:rPr>
        <w:t xml:space="preserve">point </w:t>
      </w:r>
      <w:r w:rsidR="00AA68CC">
        <w:rPr>
          <w:rFonts w:eastAsia="Times New Roman"/>
          <w:lang w:val="en-US"/>
        </w:rPr>
        <w:t xml:space="preserve">therefore in the main </w:t>
      </w:r>
      <w:r>
        <w:rPr>
          <w:rFonts w:eastAsia="Times New Roman"/>
          <w:lang w:val="en-US"/>
        </w:rPr>
        <w:t xml:space="preserve">application was not when the applicants were given </w:t>
      </w:r>
      <w:r w:rsidR="00AA68CC">
        <w:rPr>
          <w:rFonts w:eastAsia="Times New Roman"/>
          <w:lang w:val="en-US"/>
        </w:rPr>
        <w:t>the documents</w:t>
      </w:r>
      <w:r>
        <w:rPr>
          <w:rFonts w:eastAsia="Times New Roman"/>
          <w:lang w:val="en-US"/>
        </w:rPr>
        <w:t xml:space="preserve"> but rather whether rule 35(14) was</w:t>
      </w:r>
      <w:r w:rsidR="00AA68CC">
        <w:rPr>
          <w:rFonts w:eastAsia="Times New Roman"/>
          <w:lang w:val="en-US"/>
        </w:rPr>
        <w:t xml:space="preserve"> properly</w:t>
      </w:r>
      <w:r>
        <w:rPr>
          <w:rFonts w:eastAsia="Times New Roman"/>
          <w:lang w:val="en-US"/>
        </w:rPr>
        <w:t xml:space="preserve"> invoked or not.</w:t>
      </w:r>
      <w:r w:rsidR="00AA68CC">
        <w:rPr>
          <w:rFonts w:eastAsia="Times New Roman"/>
          <w:lang w:val="en-US"/>
        </w:rPr>
        <w:t xml:space="preserve"> In any event, </w:t>
      </w:r>
      <w:r w:rsidR="003D52AB">
        <w:rPr>
          <w:rFonts w:eastAsia="Times New Roman"/>
          <w:lang w:val="en-US"/>
        </w:rPr>
        <w:t xml:space="preserve">I should say </w:t>
      </w:r>
      <w:r w:rsidR="00AA68CC">
        <w:rPr>
          <w:rFonts w:eastAsia="Times New Roman"/>
          <w:lang w:val="en-US"/>
        </w:rPr>
        <w:t>the notice was filed timeously.</w:t>
      </w:r>
      <w:r w:rsidR="003E391B">
        <w:rPr>
          <w:rFonts w:eastAsia="Times New Roman"/>
          <w:lang w:val="en-US"/>
        </w:rPr>
        <w:t xml:space="preserve"> As a fact</w:t>
      </w:r>
      <w:r w:rsidR="002E1AE3">
        <w:rPr>
          <w:rFonts w:eastAsia="Times New Roman"/>
          <w:lang w:val="en-US"/>
        </w:rPr>
        <w:t>,</w:t>
      </w:r>
      <w:r w:rsidR="003E391B">
        <w:rPr>
          <w:rFonts w:eastAsia="Times New Roman"/>
          <w:lang w:val="en-US"/>
        </w:rPr>
        <w:t xml:space="preserve"> the required documents were received after rule 35 (14) notice was issued.</w:t>
      </w:r>
    </w:p>
    <w:p w14:paraId="5925FE5F" w14:textId="77777777" w:rsidR="00CE5D1F" w:rsidRDefault="00CE5D1F" w:rsidP="00A80F2A">
      <w:pPr>
        <w:pStyle w:val="ListParagraph"/>
        <w:ind w:left="284"/>
        <w:jc w:val="both"/>
        <w:rPr>
          <w:rFonts w:eastAsia="Times New Roman"/>
          <w:lang w:val="en-US"/>
        </w:rPr>
      </w:pPr>
    </w:p>
    <w:p w14:paraId="0EFFFD6F" w14:textId="0855F56B" w:rsidR="00CE5D1F" w:rsidRDefault="00CE5D1F" w:rsidP="00A80F2A">
      <w:pPr>
        <w:pStyle w:val="ListParagraph"/>
        <w:tabs>
          <w:tab w:val="left" w:pos="1710"/>
        </w:tabs>
        <w:ind w:left="1710" w:hanging="990"/>
        <w:jc w:val="both"/>
        <w:rPr>
          <w:rFonts w:eastAsia="Times New Roman"/>
          <w:lang w:val="en-US"/>
        </w:rPr>
      </w:pPr>
      <w:r>
        <w:rPr>
          <w:rFonts w:eastAsia="Times New Roman"/>
          <w:lang w:val="en-US"/>
        </w:rPr>
        <w:t>[3</w:t>
      </w:r>
      <w:r w:rsidR="00D6791C">
        <w:rPr>
          <w:rFonts w:eastAsia="Times New Roman"/>
          <w:lang w:val="en-US"/>
        </w:rPr>
        <w:t>4</w:t>
      </w:r>
      <w:r>
        <w:rPr>
          <w:rFonts w:eastAsia="Times New Roman"/>
          <w:lang w:val="en-US"/>
        </w:rPr>
        <w:t>.5]</w:t>
      </w:r>
      <w:r>
        <w:rPr>
          <w:rFonts w:eastAsia="Times New Roman"/>
          <w:lang w:val="en-US"/>
        </w:rPr>
        <w:tab/>
        <w:t xml:space="preserve">In these </w:t>
      </w:r>
      <w:r w:rsidR="00AA68CC">
        <w:rPr>
          <w:rFonts w:eastAsia="Times New Roman"/>
          <w:lang w:val="en-US"/>
        </w:rPr>
        <w:t xml:space="preserve">circumstances the first </w:t>
      </w:r>
      <w:r>
        <w:rPr>
          <w:rFonts w:eastAsia="Times New Roman"/>
          <w:lang w:val="en-US"/>
        </w:rPr>
        <w:t xml:space="preserve">ground is </w:t>
      </w:r>
      <w:r w:rsidR="00F60528">
        <w:rPr>
          <w:rFonts w:eastAsia="Times New Roman"/>
          <w:lang w:val="en-US"/>
        </w:rPr>
        <w:t>destitute</w:t>
      </w:r>
      <w:r>
        <w:rPr>
          <w:rFonts w:eastAsia="Times New Roman"/>
          <w:lang w:val="en-US"/>
        </w:rPr>
        <w:t xml:space="preserve"> of merit and stands to fail.</w:t>
      </w:r>
    </w:p>
    <w:p w14:paraId="3DADEDDD" w14:textId="77777777" w:rsidR="00CE5D1F" w:rsidRDefault="00CE5D1F" w:rsidP="00A80F2A">
      <w:pPr>
        <w:pStyle w:val="ListParagraph"/>
        <w:ind w:left="284"/>
        <w:jc w:val="both"/>
        <w:rPr>
          <w:rFonts w:eastAsia="Times New Roman"/>
          <w:lang w:val="en-US"/>
        </w:rPr>
      </w:pPr>
    </w:p>
    <w:p w14:paraId="768165C4" w14:textId="00AE6B4A" w:rsidR="00CE5D1F" w:rsidRDefault="00CE5D1F" w:rsidP="00A80F2A">
      <w:pPr>
        <w:pStyle w:val="ListParagraph"/>
        <w:ind w:left="1980" w:hanging="1260"/>
        <w:jc w:val="both"/>
        <w:rPr>
          <w:rFonts w:eastAsia="Times New Roman"/>
          <w:b/>
          <w:bCs/>
          <w:u w:val="single"/>
          <w:lang w:val="en-US"/>
        </w:rPr>
      </w:pPr>
      <w:r w:rsidRPr="00CE5D1F">
        <w:rPr>
          <w:rFonts w:eastAsia="Times New Roman"/>
          <w:b/>
          <w:bCs/>
          <w:u w:val="single"/>
          <w:lang w:val="en-US"/>
        </w:rPr>
        <w:t>Ground no 2</w:t>
      </w:r>
    </w:p>
    <w:p w14:paraId="7E6DBE55" w14:textId="59E7DA48" w:rsidR="00CE5D1F" w:rsidRDefault="00CE5D1F" w:rsidP="00A80F2A">
      <w:pPr>
        <w:pStyle w:val="ListParagraph"/>
        <w:ind w:left="284"/>
        <w:jc w:val="both"/>
        <w:rPr>
          <w:rFonts w:eastAsia="Times New Roman"/>
          <w:b/>
          <w:bCs/>
          <w:u w:val="single"/>
          <w:lang w:val="en-US"/>
        </w:rPr>
      </w:pPr>
    </w:p>
    <w:p w14:paraId="2EADDD0A" w14:textId="57E78251" w:rsidR="00AA68CC" w:rsidRPr="00A80F2A" w:rsidRDefault="00AA68CC" w:rsidP="00A80F2A">
      <w:pPr>
        <w:pStyle w:val="ListParagraph"/>
        <w:jc w:val="both"/>
        <w:rPr>
          <w:rFonts w:eastAsia="Times New Roman"/>
          <w:bCs/>
          <w:i/>
          <w:sz w:val="20"/>
          <w:szCs w:val="20"/>
          <w:lang w:val="en-US"/>
        </w:rPr>
      </w:pPr>
      <w:r w:rsidRPr="00A80F2A">
        <w:rPr>
          <w:rFonts w:eastAsia="Times New Roman"/>
          <w:bCs/>
          <w:i/>
          <w:sz w:val="20"/>
          <w:szCs w:val="20"/>
          <w:lang w:val="en-US"/>
        </w:rPr>
        <w:t>(</w:t>
      </w:r>
      <w:r w:rsidR="00D36FCD" w:rsidRPr="00A80F2A">
        <w:rPr>
          <w:rFonts w:eastAsia="Times New Roman"/>
          <w:bCs/>
          <w:i/>
          <w:sz w:val="20"/>
          <w:szCs w:val="20"/>
          <w:lang w:val="en-US"/>
        </w:rPr>
        <w:t>The learned judge erred in finding that the applicants were in possession of the reconciliation account. There is no basis for this factual finding. In fact, the applicants were not in possession of the reconciliation account and it was not attached to the summons hence the applicants sought them in terms of Rule 35 (14). Furthermore, a balance of statement and a reconciliation account are different things which must necessarily be distinguished</w:t>
      </w:r>
      <w:r w:rsidRPr="00A80F2A">
        <w:rPr>
          <w:rFonts w:eastAsia="Times New Roman"/>
          <w:bCs/>
          <w:i/>
          <w:sz w:val="20"/>
          <w:szCs w:val="20"/>
          <w:lang w:val="en-US"/>
        </w:rPr>
        <w:t>)</w:t>
      </w:r>
      <w:r w:rsidR="00D36FCD" w:rsidRPr="00A80F2A">
        <w:rPr>
          <w:rFonts w:eastAsia="Times New Roman"/>
          <w:bCs/>
          <w:i/>
          <w:sz w:val="20"/>
          <w:szCs w:val="20"/>
          <w:lang w:val="en-US"/>
        </w:rPr>
        <w:t>.</w:t>
      </w:r>
    </w:p>
    <w:p w14:paraId="272B3298" w14:textId="77777777" w:rsidR="00281933" w:rsidRDefault="00281933" w:rsidP="00A80F2A">
      <w:pPr>
        <w:pStyle w:val="ListParagraph"/>
        <w:jc w:val="both"/>
        <w:rPr>
          <w:rFonts w:eastAsia="Times New Roman"/>
          <w:b/>
          <w:bCs/>
          <w:u w:val="single"/>
          <w:lang w:val="en-US"/>
        </w:rPr>
      </w:pPr>
    </w:p>
    <w:p w14:paraId="0477CFD9" w14:textId="06710D15" w:rsidR="00811B48" w:rsidRDefault="00B95DBF" w:rsidP="00A80F2A">
      <w:pPr>
        <w:pStyle w:val="ListParagraph"/>
        <w:ind w:left="1710" w:hanging="990"/>
        <w:jc w:val="both"/>
        <w:rPr>
          <w:rFonts w:eastAsia="Times New Roman"/>
          <w:lang w:val="en-US"/>
        </w:rPr>
      </w:pPr>
      <w:r>
        <w:rPr>
          <w:rFonts w:eastAsia="Times New Roman"/>
          <w:lang w:val="en-US"/>
        </w:rPr>
        <w:lastRenderedPageBreak/>
        <w:t>[3</w:t>
      </w:r>
      <w:r w:rsidR="00D6791C">
        <w:rPr>
          <w:rFonts w:eastAsia="Times New Roman"/>
          <w:lang w:val="en-US"/>
        </w:rPr>
        <w:t>4</w:t>
      </w:r>
      <w:r w:rsidR="00F67458">
        <w:rPr>
          <w:rFonts w:eastAsia="Times New Roman"/>
          <w:lang w:val="en-US"/>
        </w:rPr>
        <w:t>.6]</w:t>
      </w:r>
      <w:r w:rsidR="00F67458">
        <w:rPr>
          <w:rFonts w:eastAsia="Times New Roman"/>
          <w:lang w:val="en-US"/>
        </w:rPr>
        <w:tab/>
        <w:t>The</w:t>
      </w:r>
      <w:r>
        <w:rPr>
          <w:rFonts w:eastAsia="Times New Roman"/>
          <w:lang w:val="en-US"/>
        </w:rPr>
        <w:t xml:space="preserve"> </w:t>
      </w:r>
      <w:r w:rsidR="00CE5D1F">
        <w:rPr>
          <w:rFonts w:eastAsia="Times New Roman"/>
          <w:lang w:val="en-US"/>
        </w:rPr>
        <w:t xml:space="preserve">above ground suggests that the applicant is not in possession of the </w:t>
      </w:r>
      <w:r>
        <w:rPr>
          <w:rFonts w:eastAsia="Times New Roman"/>
          <w:lang w:val="en-US"/>
        </w:rPr>
        <w:t xml:space="preserve">reconciliation </w:t>
      </w:r>
      <w:r w:rsidR="00CE5D1F">
        <w:rPr>
          <w:rFonts w:eastAsia="Times New Roman"/>
          <w:lang w:val="en-US"/>
        </w:rPr>
        <w:t xml:space="preserve">account. I was told from the bar, that the issue </w:t>
      </w:r>
      <w:r>
        <w:rPr>
          <w:rFonts w:eastAsia="Times New Roman"/>
          <w:lang w:val="en-US"/>
        </w:rPr>
        <w:t xml:space="preserve">that was </w:t>
      </w:r>
      <w:r w:rsidR="00CE5D1F">
        <w:rPr>
          <w:rFonts w:eastAsia="Times New Roman"/>
          <w:lang w:val="en-US"/>
        </w:rPr>
        <w:t>outstanding relate</w:t>
      </w:r>
      <w:r>
        <w:rPr>
          <w:rFonts w:eastAsia="Times New Roman"/>
          <w:lang w:val="en-US"/>
        </w:rPr>
        <w:t>d</w:t>
      </w:r>
      <w:r w:rsidR="00CE5D1F">
        <w:rPr>
          <w:rFonts w:eastAsia="Times New Roman"/>
          <w:lang w:val="en-US"/>
        </w:rPr>
        <w:t xml:space="preserve"> to costs and all other issues </w:t>
      </w:r>
      <w:r>
        <w:rPr>
          <w:rFonts w:eastAsia="Times New Roman"/>
          <w:lang w:val="en-US"/>
        </w:rPr>
        <w:t>we</w:t>
      </w:r>
      <w:r w:rsidR="00CE5D1F">
        <w:rPr>
          <w:rFonts w:eastAsia="Times New Roman"/>
          <w:lang w:val="en-US"/>
        </w:rPr>
        <w:t>re settled between the parties.</w:t>
      </w:r>
    </w:p>
    <w:p w14:paraId="45E8E68B" w14:textId="77777777" w:rsidR="00281933" w:rsidRDefault="00281933" w:rsidP="00A80F2A">
      <w:pPr>
        <w:pStyle w:val="ListParagraph"/>
        <w:ind w:left="1710" w:hanging="990"/>
        <w:jc w:val="both"/>
        <w:rPr>
          <w:rFonts w:eastAsia="Times New Roman"/>
          <w:lang w:val="en-US"/>
        </w:rPr>
      </w:pPr>
    </w:p>
    <w:p w14:paraId="190C6A1F" w14:textId="5CA3F643" w:rsidR="00CE5D1F" w:rsidRDefault="00CE5D1F" w:rsidP="00A80F2A">
      <w:pPr>
        <w:pStyle w:val="ListParagraph"/>
        <w:ind w:left="1710" w:hanging="990"/>
        <w:jc w:val="both"/>
        <w:rPr>
          <w:rFonts w:eastAsia="Times New Roman"/>
          <w:lang w:val="en-US"/>
        </w:rPr>
      </w:pPr>
      <w:r>
        <w:rPr>
          <w:rFonts w:eastAsia="Times New Roman"/>
          <w:lang w:val="en-US"/>
        </w:rPr>
        <w:t>[3</w:t>
      </w:r>
      <w:r w:rsidR="00D6791C">
        <w:rPr>
          <w:rFonts w:eastAsia="Times New Roman"/>
          <w:lang w:val="en-US"/>
        </w:rPr>
        <w:t>4</w:t>
      </w:r>
      <w:r>
        <w:rPr>
          <w:rFonts w:eastAsia="Times New Roman"/>
          <w:lang w:val="en-US"/>
        </w:rPr>
        <w:t>.7]</w:t>
      </w:r>
      <w:r>
        <w:rPr>
          <w:rFonts w:eastAsia="Times New Roman"/>
          <w:lang w:val="en-US"/>
        </w:rPr>
        <w:tab/>
      </w:r>
      <w:r w:rsidR="00F60528">
        <w:rPr>
          <w:rFonts w:eastAsia="Times New Roman"/>
          <w:lang w:val="en-US"/>
        </w:rPr>
        <w:t>F</w:t>
      </w:r>
      <w:r w:rsidR="00B95DBF">
        <w:rPr>
          <w:rFonts w:eastAsia="Times New Roman"/>
          <w:lang w:val="en-US"/>
        </w:rPr>
        <w:t>or</w:t>
      </w:r>
      <w:r w:rsidR="00F60528">
        <w:rPr>
          <w:rFonts w:eastAsia="Times New Roman"/>
          <w:lang w:val="en-US"/>
        </w:rPr>
        <w:t xml:space="preserve"> </w:t>
      </w:r>
      <w:r w:rsidR="00B95DBF">
        <w:rPr>
          <w:rFonts w:eastAsia="Times New Roman"/>
          <w:lang w:val="en-US"/>
        </w:rPr>
        <w:t xml:space="preserve">that matter, </w:t>
      </w:r>
      <w:r>
        <w:rPr>
          <w:rFonts w:eastAsia="Times New Roman"/>
          <w:lang w:val="en-US"/>
        </w:rPr>
        <w:t xml:space="preserve">it is irrelevant whether the applicant was in possession </w:t>
      </w:r>
      <w:r w:rsidR="00714D1F">
        <w:rPr>
          <w:rFonts w:eastAsia="Times New Roman"/>
          <w:lang w:val="en-US"/>
        </w:rPr>
        <w:t xml:space="preserve">of this </w:t>
      </w:r>
      <w:r w:rsidR="00B95DBF">
        <w:rPr>
          <w:rFonts w:eastAsia="Times New Roman"/>
          <w:lang w:val="en-US"/>
        </w:rPr>
        <w:t xml:space="preserve">account or not </w:t>
      </w:r>
      <w:r w:rsidR="00714D1F">
        <w:rPr>
          <w:rFonts w:eastAsia="Times New Roman"/>
          <w:lang w:val="en-US"/>
        </w:rPr>
        <w:t xml:space="preserve">because in relation to this part of demand, I found in </w:t>
      </w:r>
      <w:proofErr w:type="spellStart"/>
      <w:r w:rsidR="00714D1F">
        <w:rPr>
          <w:rFonts w:eastAsia="Times New Roman"/>
          <w:lang w:val="en-US"/>
        </w:rPr>
        <w:t>favour</w:t>
      </w:r>
      <w:proofErr w:type="spellEnd"/>
      <w:r w:rsidR="00714D1F">
        <w:rPr>
          <w:rFonts w:eastAsia="Times New Roman"/>
          <w:lang w:val="en-US"/>
        </w:rPr>
        <w:t xml:space="preserve"> of the applicant. In paragraphs 18-20 of my judgment I explain</w:t>
      </w:r>
      <w:r w:rsidR="00B95DBF">
        <w:rPr>
          <w:rFonts w:eastAsia="Times New Roman"/>
          <w:lang w:val="en-US"/>
        </w:rPr>
        <w:t>ed</w:t>
      </w:r>
      <w:r w:rsidR="00714D1F">
        <w:rPr>
          <w:rFonts w:eastAsia="Times New Roman"/>
          <w:lang w:val="en-US"/>
        </w:rPr>
        <w:t xml:space="preserve"> why I believe</w:t>
      </w:r>
      <w:r w:rsidR="00B95DBF">
        <w:rPr>
          <w:rFonts w:eastAsia="Times New Roman"/>
          <w:lang w:val="en-US"/>
        </w:rPr>
        <w:t>d</w:t>
      </w:r>
      <w:r w:rsidR="00714D1F">
        <w:rPr>
          <w:rFonts w:eastAsia="Times New Roman"/>
          <w:lang w:val="en-US"/>
        </w:rPr>
        <w:t xml:space="preserve"> the applicant was entitled to the </w:t>
      </w:r>
      <w:r w:rsidR="009D69D0">
        <w:rPr>
          <w:rFonts w:eastAsia="Times New Roman"/>
          <w:lang w:val="en-US"/>
        </w:rPr>
        <w:t>reconciliation</w:t>
      </w:r>
      <w:r w:rsidR="00B95DBF">
        <w:rPr>
          <w:rFonts w:eastAsia="Times New Roman"/>
          <w:lang w:val="en-US"/>
        </w:rPr>
        <w:t xml:space="preserve"> account</w:t>
      </w:r>
      <w:r w:rsidR="00F64F3A">
        <w:rPr>
          <w:rFonts w:eastAsia="Times New Roman"/>
          <w:lang w:val="en-US"/>
        </w:rPr>
        <w:t>. It is not clear why the applicant</w:t>
      </w:r>
      <w:r w:rsidR="00916B7A">
        <w:rPr>
          <w:rFonts w:eastAsia="Times New Roman"/>
          <w:lang w:val="en-US"/>
        </w:rPr>
        <w:t>s seek</w:t>
      </w:r>
      <w:r w:rsidR="00F64F3A">
        <w:rPr>
          <w:rFonts w:eastAsia="Times New Roman"/>
          <w:lang w:val="en-US"/>
        </w:rPr>
        <w:t xml:space="preserve"> to challenge this area of the judgment. This finding is </w:t>
      </w:r>
      <w:proofErr w:type="spellStart"/>
      <w:r w:rsidR="00F64F3A">
        <w:rPr>
          <w:rFonts w:eastAsia="Times New Roman"/>
          <w:lang w:val="en-US"/>
        </w:rPr>
        <w:t>favourable</w:t>
      </w:r>
      <w:proofErr w:type="spellEnd"/>
      <w:r w:rsidR="00F64F3A">
        <w:rPr>
          <w:rFonts w:eastAsia="Times New Roman"/>
          <w:lang w:val="en-US"/>
        </w:rPr>
        <w:t xml:space="preserve"> to the applicant</w:t>
      </w:r>
      <w:r w:rsidR="00916B7A">
        <w:rPr>
          <w:rFonts w:eastAsia="Times New Roman"/>
          <w:lang w:val="en-US"/>
        </w:rPr>
        <w:t>s</w:t>
      </w:r>
      <w:r w:rsidR="00F64F3A">
        <w:rPr>
          <w:rFonts w:eastAsia="Times New Roman"/>
          <w:lang w:val="en-US"/>
        </w:rPr>
        <w:t xml:space="preserve">, hence I do not </w:t>
      </w:r>
      <w:r w:rsidR="009D69D0">
        <w:rPr>
          <w:rFonts w:eastAsia="Times New Roman"/>
          <w:lang w:val="en-US"/>
        </w:rPr>
        <w:t>understand</w:t>
      </w:r>
      <w:r w:rsidR="00F64F3A">
        <w:rPr>
          <w:rFonts w:eastAsia="Times New Roman"/>
          <w:lang w:val="en-US"/>
        </w:rPr>
        <w:t xml:space="preserve"> the challenge</w:t>
      </w:r>
      <w:r w:rsidR="00281933">
        <w:rPr>
          <w:rFonts w:eastAsia="Times New Roman"/>
          <w:lang w:val="en-US"/>
        </w:rPr>
        <w:t>.</w:t>
      </w:r>
      <w:r w:rsidR="00B95DBF">
        <w:rPr>
          <w:rFonts w:eastAsia="Times New Roman"/>
          <w:lang w:val="en-US"/>
        </w:rPr>
        <w:t xml:space="preserve"> </w:t>
      </w:r>
      <w:r w:rsidR="00281933">
        <w:rPr>
          <w:rFonts w:eastAsia="Times New Roman"/>
          <w:lang w:val="en-US"/>
        </w:rPr>
        <w:t>A</w:t>
      </w:r>
      <w:r w:rsidR="00B95DBF">
        <w:rPr>
          <w:rFonts w:eastAsia="Times New Roman"/>
          <w:lang w:val="en-US"/>
        </w:rPr>
        <w:t xml:space="preserve">s to why one would appeal a point </w:t>
      </w:r>
      <w:proofErr w:type="spellStart"/>
      <w:r w:rsidR="00B95DBF">
        <w:rPr>
          <w:rFonts w:eastAsia="Times New Roman"/>
          <w:lang w:val="en-US"/>
        </w:rPr>
        <w:t>favourable</w:t>
      </w:r>
      <w:proofErr w:type="spellEnd"/>
      <w:r w:rsidR="00B95DBF">
        <w:rPr>
          <w:rFonts w:eastAsia="Times New Roman"/>
          <w:lang w:val="en-US"/>
        </w:rPr>
        <w:t xml:space="preserve"> to him, is </w:t>
      </w:r>
      <w:r w:rsidR="00281933">
        <w:rPr>
          <w:rFonts w:eastAsia="Times New Roman"/>
          <w:lang w:val="en-US"/>
        </w:rPr>
        <w:t xml:space="preserve">indeed </w:t>
      </w:r>
      <w:r w:rsidR="00B95DBF">
        <w:rPr>
          <w:rFonts w:eastAsia="Times New Roman"/>
          <w:lang w:val="en-US"/>
        </w:rPr>
        <w:t>difficult to comprehend. It actually is impermissible in law.</w:t>
      </w:r>
    </w:p>
    <w:p w14:paraId="6141A541" w14:textId="32DC0EDB" w:rsidR="00F64F3A" w:rsidRDefault="00F64F3A" w:rsidP="00A80F2A">
      <w:pPr>
        <w:pStyle w:val="ListParagraph"/>
        <w:ind w:left="284"/>
        <w:jc w:val="both"/>
        <w:rPr>
          <w:rFonts w:eastAsia="Times New Roman"/>
          <w:lang w:val="en-US"/>
        </w:rPr>
      </w:pPr>
    </w:p>
    <w:p w14:paraId="3F32BA6E" w14:textId="77777777" w:rsidR="003C7D2C" w:rsidRDefault="003C7D2C" w:rsidP="00A80F2A">
      <w:pPr>
        <w:pStyle w:val="ListParagraph"/>
        <w:ind w:left="284"/>
        <w:jc w:val="both"/>
        <w:rPr>
          <w:rFonts w:eastAsia="Times New Roman"/>
          <w:lang w:val="en-US"/>
        </w:rPr>
      </w:pPr>
    </w:p>
    <w:p w14:paraId="3BB99492" w14:textId="08D20ADE" w:rsidR="00F64F3A" w:rsidRDefault="00F64F3A" w:rsidP="00A80F2A">
      <w:pPr>
        <w:pStyle w:val="ListParagraph"/>
        <w:jc w:val="both"/>
        <w:rPr>
          <w:rFonts w:eastAsia="Times New Roman"/>
          <w:b/>
          <w:bCs/>
          <w:u w:val="single"/>
          <w:lang w:val="en-US"/>
        </w:rPr>
      </w:pPr>
      <w:r w:rsidRPr="00F64F3A">
        <w:rPr>
          <w:rFonts w:eastAsia="Times New Roman"/>
          <w:b/>
          <w:bCs/>
          <w:u w:val="single"/>
          <w:lang w:val="en-US"/>
        </w:rPr>
        <w:t xml:space="preserve">Ground no 3 </w:t>
      </w:r>
    </w:p>
    <w:p w14:paraId="7CF78F2E" w14:textId="77777777" w:rsidR="0035047F" w:rsidRPr="00F64F3A" w:rsidRDefault="0035047F" w:rsidP="00A80F2A">
      <w:pPr>
        <w:pStyle w:val="ListParagraph"/>
        <w:ind w:left="284"/>
        <w:jc w:val="both"/>
        <w:rPr>
          <w:rFonts w:eastAsia="Times New Roman"/>
          <w:b/>
          <w:bCs/>
          <w:u w:val="single"/>
          <w:lang w:val="en-US"/>
        </w:rPr>
      </w:pPr>
    </w:p>
    <w:p w14:paraId="17CBC699" w14:textId="61C79033" w:rsidR="00811B48" w:rsidRPr="00A80F2A" w:rsidRDefault="00B95DBF" w:rsidP="00A80F2A">
      <w:pPr>
        <w:pStyle w:val="ListParagraph"/>
        <w:jc w:val="both"/>
        <w:rPr>
          <w:rFonts w:eastAsia="Times New Roman"/>
          <w:i/>
          <w:sz w:val="20"/>
          <w:szCs w:val="20"/>
          <w:lang w:val="en-US"/>
        </w:rPr>
      </w:pPr>
      <w:r w:rsidRPr="00A80F2A">
        <w:rPr>
          <w:rFonts w:eastAsia="Times New Roman"/>
          <w:i/>
          <w:sz w:val="20"/>
          <w:szCs w:val="20"/>
          <w:lang w:val="en-US"/>
        </w:rPr>
        <w:t>(</w:t>
      </w:r>
      <w:r w:rsidR="00AF749F" w:rsidRPr="00A80F2A">
        <w:rPr>
          <w:rFonts w:eastAsia="Times New Roman"/>
          <w:i/>
          <w:sz w:val="20"/>
          <w:szCs w:val="20"/>
          <w:lang w:val="en-US"/>
        </w:rPr>
        <w:t>The learned judge erred in finding that there was no need for the respondent to furnish the applicant with the S129 Notice</w:t>
      </w:r>
      <w:r w:rsidR="008C2203" w:rsidRPr="00A80F2A">
        <w:rPr>
          <w:rFonts w:eastAsia="Times New Roman"/>
          <w:i/>
          <w:sz w:val="20"/>
          <w:szCs w:val="20"/>
          <w:lang w:val="en-US"/>
        </w:rPr>
        <w:t>. In amplification, S129 (1)(b) of the National Credit Act 34 o</w:t>
      </w:r>
      <w:r w:rsidR="003C1655">
        <w:rPr>
          <w:rFonts w:eastAsia="Times New Roman"/>
          <w:i/>
          <w:sz w:val="20"/>
          <w:szCs w:val="20"/>
          <w:lang w:val="en-US"/>
        </w:rPr>
        <w:t>f 2005 requires a credit provider</w:t>
      </w:r>
      <w:r w:rsidR="008C2203" w:rsidRPr="00A80F2A">
        <w:rPr>
          <w:rFonts w:eastAsia="Times New Roman"/>
          <w:i/>
          <w:sz w:val="20"/>
          <w:szCs w:val="20"/>
          <w:lang w:val="en-US"/>
        </w:rPr>
        <w:t xml:space="preserve"> to provide a defaulter with notice prior to instituting any legal proceedings. In further amplification, the respondent specifically pleads (in its answer) that the S129 Notice is the only document that the applicants are entitled to</w:t>
      </w:r>
      <w:r w:rsidRPr="00A80F2A">
        <w:rPr>
          <w:rFonts w:eastAsia="Times New Roman"/>
          <w:i/>
          <w:sz w:val="20"/>
          <w:szCs w:val="20"/>
          <w:lang w:val="en-US"/>
        </w:rPr>
        <w:t>)</w:t>
      </w:r>
      <w:r w:rsidR="008C2203" w:rsidRPr="00A80F2A">
        <w:rPr>
          <w:rFonts w:eastAsia="Times New Roman"/>
          <w:i/>
          <w:sz w:val="20"/>
          <w:szCs w:val="20"/>
          <w:lang w:val="en-US"/>
        </w:rPr>
        <w:t>.</w:t>
      </w:r>
      <w:r w:rsidRPr="00A80F2A">
        <w:rPr>
          <w:rFonts w:eastAsia="Times New Roman"/>
          <w:i/>
          <w:sz w:val="20"/>
          <w:szCs w:val="20"/>
          <w:lang w:val="en-US"/>
        </w:rPr>
        <w:t xml:space="preserve"> </w:t>
      </w:r>
    </w:p>
    <w:p w14:paraId="0771DA8A" w14:textId="77777777" w:rsidR="00B95DBF" w:rsidRDefault="00B95DBF" w:rsidP="00A80F2A">
      <w:pPr>
        <w:pStyle w:val="ListParagraph"/>
        <w:ind w:left="284"/>
        <w:jc w:val="both"/>
        <w:rPr>
          <w:rFonts w:eastAsia="Times New Roman"/>
          <w:lang w:val="en-US"/>
        </w:rPr>
      </w:pPr>
    </w:p>
    <w:p w14:paraId="5545F006" w14:textId="1AEC90E8" w:rsidR="00F64F3A" w:rsidRDefault="00F64F3A" w:rsidP="00A80F2A">
      <w:pPr>
        <w:pStyle w:val="ListParagraph"/>
        <w:ind w:left="1710" w:hanging="990"/>
        <w:jc w:val="both"/>
        <w:rPr>
          <w:rFonts w:eastAsia="Times New Roman"/>
          <w:lang w:val="en-US"/>
        </w:rPr>
      </w:pPr>
      <w:r>
        <w:rPr>
          <w:rFonts w:eastAsia="Times New Roman"/>
          <w:lang w:val="en-US"/>
        </w:rPr>
        <w:t>[3</w:t>
      </w:r>
      <w:r w:rsidR="00D6791C">
        <w:rPr>
          <w:rFonts w:eastAsia="Times New Roman"/>
          <w:lang w:val="en-US"/>
        </w:rPr>
        <w:t>4</w:t>
      </w:r>
      <w:r>
        <w:rPr>
          <w:rFonts w:eastAsia="Times New Roman"/>
          <w:lang w:val="en-US"/>
        </w:rPr>
        <w:t>.</w:t>
      </w:r>
      <w:r w:rsidR="00F60528">
        <w:rPr>
          <w:rFonts w:eastAsia="Times New Roman"/>
          <w:lang w:val="en-US"/>
        </w:rPr>
        <w:t>8</w:t>
      </w:r>
      <w:r>
        <w:rPr>
          <w:rFonts w:eastAsia="Times New Roman"/>
          <w:lang w:val="en-US"/>
        </w:rPr>
        <w:t>]</w:t>
      </w:r>
      <w:r>
        <w:rPr>
          <w:rFonts w:eastAsia="Times New Roman"/>
          <w:lang w:val="en-US"/>
        </w:rPr>
        <w:tab/>
        <w:t>The applicant does not appreciate the finding I made in this regard. The finding is made in the context of rule 35(14). After a careful consideration of the p</w:t>
      </w:r>
      <w:r w:rsidR="00F60387">
        <w:rPr>
          <w:rFonts w:eastAsia="Times New Roman"/>
          <w:lang w:val="en-US"/>
        </w:rPr>
        <w:t xml:space="preserve">rovisions of the rule, I found that for purposes of pleading, it was not strictly necessary for the applicant to get </w:t>
      </w:r>
      <w:r w:rsidR="0035047F">
        <w:rPr>
          <w:rFonts w:eastAsia="Times New Roman"/>
          <w:lang w:val="en-US"/>
        </w:rPr>
        <w:t>such</w:t>
      </w:r>
      <w:r w:rsidR="00F60387">
        <w:rPr>
          <w:rFonts w:eastAsia="Times New Roman"/>
          <w:lang w:val="en-US"/>
        </w:rPr>
        <w:t xml:space="preserve"> document before he could plead. I also found that the applicants could have de</w:t>
      </w:r>
      <w:r w:rsidR="0035047F">
        <w:rPr>
          <w:rFonts w:eastAsia="Times New Roman"/>
          <w:lang w:val="en-US"/>
        </w:rPr>
        <w:t xml:space="preserve">nied receipt of </w:t>
      </w:r>
      <w:r w:rsidR="00F60387">
        <w:rPr>
          <w:rFonts w:eastAsia="Times New Roman"/>
          <w:lang w:val="en-US"/>
        </w:rPr>
        <w:t>the documents in its plea</w:t>
      </w:r>
      <w:r w:rsidR="0035047F">
        <w:rPr>
          <w:rFonts w:eastAsia="Times New Roman"/>
          <w:lang w:val="en-US"/>
        </w:rPr>
        <w:t xml:space="preserve"> – if that was</w:t>
      </w:r>
      <w:r w:rsidR="00A14B14">
        <w:rPr>
          <w:rFonts w:eastAsia="Times New Roman"/>
          <w:lang w:val="en-US"/>
        </w:rPr>
        <w:t xml:space="preserve"> the position</w:t>
      </w:r>
      <w:r w:rsidR="00F60387">
        <w:rPr>
          <w:rFonts w:eastAsia="Times New Roman"/>
          <w:lang w:val="en-US"/>
        </w:rPr>
        <w:t>. There is equally no merit on this ground.</w:t>
      </w:r>
    </w:p>
    <w:p w14:paraId="49761A8A" w14:textId="77777777" w:rsidR="00F60387" w:rsidRDefault="00F60387" w:rsidP="00A80F2A">
      <w:pPr>
        <w:pStyle w:val="ListParagraph"/>
        <w:ind w:left="284"/>
        <w:jc w:val="both"/>
        <w:rPr>
          <w:rFonts w:eastAsia="Times New Roman"/>
          <w:lang w:val="en-US"/>
        </w:rPr>
      </w:pPr>
    </w:p>
    <w:p w14:paraId="0AC3824C" w14:textId="0DCA0F38" w:rsidR="00836437" w:rsidRPr="0014754B" w:rsidRDefault="00F60387" w:rsidP="0014754B">
      <w:pPr>
        <w:pStyle w:val="ListParagraph"/>
        <w:ind w:left="1710" w:hanging="990"/>
        <w:jc w:val="both"/>
        <w:rPr>
          <w:rFonts w:eastAsia="Times New Roman"/>
          <w:lang w:val="en-US"/>
        </w:rPr>
      </w:pPr>
      <w:r>
        <w:rPr>
          <w:rFonts w:eastAsia="Times New Roman"/>
          <w:lang w:val="en-US"/>
        </w:rPr>
        <w:t>[3</w:t>
      </w:r>
      <w:r w:rsidR="00D6791C">
        <w:rPr>
          <w:rFonts w:eastAsia="Times New Roman"/>
          <w:lang w:val="en-US"/>
        </w:rPr>
        <w:t>4</w:t>
      </w:r>
      <w:r>
        <w:rPr>
          <w:rFonts w:eastAsia="Times New Roman"/>
          <w:lang w:val="en-US"/>
        </w:rPr>
        <w:t>.</w:t>
      </w:r>
      <w:r w:rsidR="00F60528">
        <w:rPr>
          <w:rFonts w:eastAsia="Times New Roman"/>
          <w:lang w:val="en-US"/>
        </w:rPr>
        <w:t>9</w:t>
      </w:r>
      <w:r>
        <w:rPr>
          <w:rFonts w:eastAsia="Times New Roman"/>
          <w:lang w:val="en-US"/>
        </w:rPr>
        <w:t>]</w:t>
      </w:r>
      <w:r>
        <w:rPr>
          <w:rFonts w:eastAsia="Times New Roman"/>
          <w:lang w:val="en-US"/>
        </w:rPr>
        <w:tab/>
        <w:t>My con</w:t>
      </w:r>
      <w:r w:rsidR="0035047F">
        <w:rPr>
          <w:rFonts w:eastAsia="Times New Roman"/>
          <w:lang w:val="en-US"/>
        </w:rPr>
        <w:t xml:space="preserve">sideration </w:t>
      </w:r>
      <w:r>
        <w:rPr>
          <w:rFonts w:eastAsia="Times New Roman"/>
          <w:lang w:val="en-US"/>
        </w:rPr>
        <w:t xml:space="preserve">of the requirements for the application was based on the applicable rule not on what the </w:t>
      </w:r>
      <w:r w:rsidR="00A14B14">
        <w:rPr>
          <w:rFonts w:eastAsia="Times New Roman"/>
          <w:lang w:val="en-US"/>
        </w:rPr>
        <w:t>r</w:t>
      </w:r>
      <w:r>
        <w:rPr>
          <w:rFonts w:eastAsia="Times New Roman"/>
          <w:lang w:val="en-US"/>
        </w:rPr>
        <w:t xml:space="preserve">espondents had said to the </w:t>
      </w:r>
      <w:r w:rsidR="009269C8">
        <w:rPr>
          <w:rFonts w:eastAsia="Times New Roman"/>
          <w:lang w:val="en-US"/>
        </w:rPr>
        <w:t xml:space="preserve">applicant. More so that the documents were given to the applicant </w:t>
      </w:r>
      <w:r w:rsidR="0035047F">
        <w:rPr>
          <w:rFonts w:eastAsia="Times New Roman"/>
          <w:lang w:val="en-US"/>
        </w:rPr>
        <w:t xml:space="preserve">already and </w:t>
      </w:r>
      <w:r w:rsidR="009269C8">
        <w:rPr>
          <w:rFonts w:eastAsia="Times New Roman"/>
          <w:lang w:val="en-US"/>
        </w:rPr>
        <w:t xml:space="preserve">the issue that </w:t>
      </w:r>
      <w:r w:rsidR="00836437">
        <w:rPr>
          <w:rFonts w:eastAsia="Times New Roman"/>
          <w:lang w:val="en-US"/>
        </w:rPr>
        <w:t>remained for a</w:t>
      </w:r>
      <w:r w:rsidR="009269C8">
        <w:rPr>
          <w:rFonts w:eastAsia="Times New Roman"/>
          <w:lang w:val="en-US"/>
        </w:rPr>
        <w:t xml:space="preserve"> </w:t>
      </w:r>
      <w:r w:rsidR="0035047F">
        <w:rPr>
          <w:rFonts w:eastAsia="Times New Roman"/>
          <w:lang w:val="en-US"/>
        </w:rPr>
        <w:t>decis</w:t>
      </w:r>
      <w:r w:rsidR="009269C8">
        <w:rPr>
          <w:rFonts w:eastAsia="Times New Roman"/>
          <w:lang w:val="en-US"/>
        </w:rPr>
        <w:t>ion was that of costs.</w:t>
      </w:r>
    </w:p>
    <w:p w14:paraId="21841E3F" w14:textId="77777777" w:rsidR="00E93A0C" w:rsidRDefault="00E93A0C" w:rsidP="003C7D2C">
      <w:pPr>
        <w:pStyle w:val="ListParagraph"/>
        <w:spacing w:line="240" w:lineRule="auto"/>
        <w:ind w:left="1710" w:hanging="990"/>
        <w:jc w:val="both"/>
        <w:rPr>
          <w:rFonts w:eastAsia="Times New Roman"/>
          <w:lang w:val="en-US"/>
        </w:rPr>
      </w:pPr>
    </w:p>
    <w:p w14:paraId="49DA8B70" w14:textId="235C7102" w:rsidR="009C5C84" w:rsidRDefault="009C5C84" w:rsidP="00A80F2A">
      <w:pPr>
        <w:pStyle w:val="ListParagraph"/>
        <w:jc w:val="both"/>
        <w:rPr>
          <w:rFonts w:eastAsia="Times New Roman"/>
          <w:b/>
          <w:bCs/>
          <w:sz w:val="22"/>
          <w:szCs w:val="22"/>
          <w:u w:val="single"/>
          <w:lang w:val="en-US"/>
        </w:rPr>
      </w:pPr>
      <w:r w:rsidRPr="009C5C84">
        <w:rPr>
          <w:rFonts w:eastAsia="Times New Roman"/>
          <w:b/>
          <w:bCs/>
          <w:sz w:val="22"/>
          <w:szCs w:val="22"/>
          <w:u w:val="single"/>
          <w:lang w:val="en-US"/>
        </w:rPr>
        <w:t xml:space="preserve">Ground no 4 </w:t>
      </w:r>
    </w:p>
    <w:p w14:paraId="2C682B2D" w14:textId="77777777" w:rsidR="0035047F" w:rsidRDefault="0035047F" w:rsidP="00A80F2A">
      <w:pPr>
        <w:pStyle w:val="ListParagraph"/>
        <w:ind w:left="284"/>
        <w:jc w:val="both"/>
        <w:rPr>
          <w:rFonts w:eastAsia="Times New Roman"/>
          <w:b/>
          <w:bCs/>
          <w:sz w:val="22"/>
          <w:szCs w:val="22"/>
          <w:u w:val="single"/>
          <w:lang w:val="en-US"/>
        </w:rPr>
      </w:pPr>
    </w:p>
    <w:p w14:paraId="52BE2F03" w14:textId="3A18B129" w:rsidR="009C5C84" w:rsidRPr="005F1231" w:rsidRDefault="0035047F" w:rsidP="00A80F2A">
      <w:pPr>
        <w:pStyle w:val="ListParagraph"/>
        <w:jc w:val="both"/>
        <w:rPr>
          <w:rFonts w:eastAsia="Times New Roman"/>
          <w:bCs/>
          <w:i/>
          <w:sz w:val="22"/>
          <w:szCs w:val="22"/>
          <w:lang w:val="en-US"/>
        </w:rPr>
      </w:pPr>
      <w:r w:rsidRPr="005F1231">
        <w:rPr>
          <w:rFonts w:eastAsia="Times New Roman"/>
          <w:bCs/>
          <w:i/>
          <w:sz w:val="22"/>
          <w:szCs w:val="22"/>
          <w:lang w:val="en-US"/>
        </w:rPr>
        <w:t>(</w:t>
      </w:r>
      <w:r w:rsidR="006F544C" w:rsidRPr="005F1231">
        <w:rPr>
          <w:rFonts w:eastAsia="Times New Roman"/>
          <w:bCs/>
          <w:i/>
          <w:sz w:val="22"/>
          <w:szCs w:val="22"/>
          <w:lang w:val="en-US"/>
        </w:rPr>
        <w:t>The learned judge erred in finding that the applicants’ case is not made out in the founding affidavit, proceeding on the erroneous premise that the applicants were in possession of the requested documents as attached to the summons. In amplification, material facts to sustain the cause of action are pleaded in the founding affidavit in no uncertain terms).</w:t>
      </w:r>
    </w:p>
    <w:p w14:paraId="14FDAEA6" w14:textId="77777777" w:rsidR="006F544C" w:rsidRDefault="006F544C" w:rsidP="00A80F2A">
      <w:pPr>
        <w:pStyle w:val="ListParagraph"/>
        <w:ind w:left="284"/>
        <w:jc w:val="both"/>
        <w:rPr>
          <w:rFonts w:eastAsia="Times New Roman"/>
          <w:bCs/>
          <w:color w:val="FF0000"/>
          <w:sz w:val="22"/>
          <w:szCs w:val="22"/>
          <w:lang w:val="en-US"/>
        </w:rPr>
      </w:pPr>
    </w:p>
    <w:p w14:paraId="5B69A714" w14:textId="2EBDDCF0" w:rsidR="009C5C84" w:rsidRDefault="00D6791C" w:rsidP="00A80F2A">
      <w:pPr>
        <w:pStyle w:val="ListParagraph"/>
        <w:ind w:left="1710" w:hanging="990"/>
        <w:jc w:val="both"/>
        <w:rPr>
          <w:rFonts w:eastAsia="Times New Roman"/>
          <w:sz w:val="22"/>
          <w:szCs w:val="22"/>
          <w:lang w:val="en-US"/>
        </w:rPr>
      </w:pPr>
      <w:r w:rsidRPr="00D6791C">
        <w:rPr>
          <w:rFonts w:eastAsia="Times New Roman"/>
          <w:lang w:val="en-US"/>
        </w:rPr>
        <w:t>[34</w:t>
      </w:r>
      <w:r w:rsidR="009C5C84" w:rsidRPr="00D6791C">
        <w:rPr>
          <w:rFonts w:eastAsia="Times New Roman"/>
          <w:lang w:val="en-US"/>
        </w:rPr>
        <w:t>.</w:t>
      </w:r>
      <w:r w:rsidR="00F60528" w:rsidRPr="00D6791C">
        <w:rPr>
          <w:rFonts w:eastAsia="Times New Roman"/>
          <w:lang w:val="en-US"/>
        </w:rPr>
        <w:t>10</w:t>
      </w:r>
      <w:r w:rsidR="009C5C84">
        <w:rPr>
          <w:rFonts w:eastAsia="Times New Roman"/>
          <w:sz w:val="22"/>
          <w:szCs w:val="22"/>
          <w:lang w:val="en-US"/>
        </w:rPr>
        <w:t>]</w:t>
      </w:r>
      <w:r w:rsidR="009C5C84">
        <w:rPr>
          <w:rFonts w:eastAsia="Times New Roman"/>
          <w:sz w:val="22"/>
          <w:szCs w:val="22"/>
          <w:lang w:val="en-US"/>
        </w:rPr>
        <w:tab/>
      </w:r>
      <w:r w:rsidR="009C5C84" w:rsidRPr="00156376">
        <w:rPr>
          <w:rFonts w:eastAsia="Times New Roman"/>
          <w:lang w:val="en-US"/>
        </w:rPr>
        <w:t>The criticism under this heading is incorrect. What was attac</w:t>
      </w:r>
      <w:r w:rsidR="00A14B14" w:rsidRPr="00156376">
        <w:rPr>
          <w:rFonts w:eastAsia="Times New Roman"/>
          <w:lang w:val="en-US"/>
        </w:rPr>
        <w:t>h</w:t>
      </w:r>
      <w:r w:rsidR="009C5C84" w:rsidRPr="00156376">
        <w:rPr>
          <w:rFonts w:eastAsia="Times New Roman"/>
          <w:lang w:val="en-US"/>
        </w:rPr>
        <w:t xml:space="preserve">ed to the summons had nothing to do with what was alleged or not in the founding affidavit. </w:t>
      </w:r>
      <w:r w:rsidR="00573D1F" w:rsidRPr="00156376">
        <w:rPr>
          <w:rFonts w:eastAsia="Times New Roman"/>
          <w:lang w:val="en-US"/>
        </w:rPr>
        <w:t>Indeed,</w:t>
      </w:r>
      <w:r w:rsidR="009C5C84" w:rsidRPr="00156376">
        <w:rPr>
          <w:rFonts w:eastAsia="Times New Roman"/>
          <w:lang w:val="en-US"/>
        </w:rPr>
        <w:t xml:space="preserve"> the founding affidavit does not </w:t>
      </w:r>
      <w:r w:rsidR="0035047F" w:rsidRPr="00156376">
        <w:rPr>
          <w:rFonts w:eastAsia="Times New Roman"/>
          <w:lang w:val="en-US"/>
        </w:rPr>
        <w:t xml:space="preserve">address </w:t>
      </w:r>
      <w:r w:rsidR="009C5C84" w:rsidRPr="00156376">
        <w:rPr>
          <w:rFonts w:eastAsia="Times New Roman"/>
          <w:lang w:val="en-US"/>
        </w:rPr>
        <w:t>the jurisdictional requirements set-out under rule 35(14).</w:t>
      </w:r>
    </w:p>
    <w:p w14:paraId="25BA54DA" w14:textId="5D426594" w:rsidR="005C7087" w:rsidRDefault="005C7087" w:rsidP="003C7D2C">
      <w:pPr>
        <w:pStyle w:val="ListParagraph"/>
        <w:spacing w:line="240" w:lineRule="auto"/>
        <w:ind w:left="1710" w:hanging="990"/>
        <w:jc w:val="both"/>
        <w:rPr>
          <w:rFonts w:eastAsia="Times New Roman"/>
          <w:sz w:val="22"/>
          <w:szCs w:val="22"/>
          <w:lang w:val="en-US"/>
        </w:rPr>
      </w:pPr>
    </w:p>
    <w:p w14:paraId="384B84ED" w14:textId="7D23DD66" w:rsidR="009C5C84" w:rsidRDefault="009C5C84" w:rsidP="00A80F2A">
      <w:pPr>
        <w:pStyle w:val="ListParagraph"/>
        <w:jc w:val="both"/>
        <w:rPr>
          <w:rFonts w:eastAsia="Times New Roman"/>
          <w:b/>
          <w:bCs/>
          <w:u w:val="single"/>
          <w:lang w:val="en-US"/>
        </w:rPr>
      </w:pPr>
      <w:r w:rsidRPr="009C5C84">
        <w:rPr>
          <w:rFonts w:eastAsia="Times New Roman"/>
          <w:b/>
          <w:bCs/>
          <w:u w:val="single"/>
          <w:lang w:val="en-US"/>
        </w:rPr>
        <w:t xml:space="preserve">Ground no 5 </w:t>
      </w:r>
    </w:p>
    <w:p w14:paraId="63F19E65" w14:textId="77777777" w:rsidR="0035047F" w:rsidRDefault="0035047F" w:rsidP="003C7D2C">
      <w:pPr>
        <w:pStyle w:val="ListParagraph"/>
        <w:spacing w:line="240" w:lineRule="auto"/>
        <w:ind w:left="284"/>
        <w:jc w:val="both"/>
        <w:rPr>
          <w:rFonts w:eastAsia="Times New Roman"/>
          <w:b/>
          <w:bCs/>
          <w:u w:val="single"/>
          <w:lang w:val="en-US"/>
        </w:rPr>
      </w:pPr>
    </w:p>
    <w:p w14:paraId="537CF755" w14:textId="72259202" w:rsidR="0035047F" w:rsidRPr="005F1231" w:rsidRDefault="0035047F" w:rsidP="00A80F2A">
      <w:pPr>
        <w:pStyle w:val="ListParagraph"/>
        <w:jc w:val="both"/>
        <w:rPr>
          <w:rFonts w:eastAsia="Times New Roman"/>
          <w:bCs/>
          <w:i/>
          <w:sz w:val="22"/>
          <w:szCs w:val="22"/>
          <w:lang w:val="en-US"/>
        </w:rPr>
      </w:pPr>
      <w:r w:rsidRPr="005F1231">
        <w:rPr>
          <w:rFonts w:eastAsia="Times New Roman"/>
          <w:bCs/>
          <w:i/>
          <w:sz w:val="22"/>
          <w:szCs w:val="22"/>
          <w:lang w:val="en-US"/>
        </w:rPr>
        <w:t>(</w:t>
      </w:r>
      <w:r w:rsidR="006F544C" w:rsidRPr="005F1231">
        <w:rPr>
          <w:rFonts w:eastAsia="Times New Roman"/>
          <w:bCs/>
          <w:i/>
          <w:sz w:val="22"/>
          <w:szCs w:val="22"/>
          <w:lang w:val="en-US"/>
        </w:rPr>
        <w:t xml:space="preserve">The learned judge erred in finding that the applicant acted opportunistically in seeking production of documents that were attached to the summons.  There was </w:t>
      </w:r>
      <w:r w:rsidR="00DB2767" w:rsidRPr="005F1231">
        <w:rPr>
          <w:rFonts w:eastAsia="Times New Roman"/>
          <w:bCs/>
          <w:i/>
          <w:sz w:val="22"/>
          <w:szCs w:val="22"/>
          <w:lang w:val="en-US"/>
        </w:rPr>
        <w:t>n</w:t>
      </w:r>
      <w:r w:rsidR="006F544C" w:rsidRPr="005F1231">
        <w:rPr>
          <w:rFonts w:eastAsia="Times New Roman"/>
          <w:bCs/>
          <w:i/>
          <w:sz w:val="22"/>
          <w:szCs w:val="22"/>
          <w:lang w:val="en-US"/>
        </w:rPr>
        <w:t xml:space="preserve">o factual basis for the adverse finding made by the learned judge. In amplification, the reconciliation account was not attached to the summons and this supported by the respondents own version as pleaded in answer. All that is attached is a balance of statement which must necessarily be </w:t>
      </w:r>
      <w:r w:rsidR="00DB2767" w:rsidRPr="005F1231">
        <w:rPr>
          <w:rFonts w:eastAsia="Times New Roman"/>
          <w:bCs/>
          <w:i/>
          <w:sz w:val="22"/>
          <w:szCs w:val="22"/>
          <w:lang w:val="en-US"/>
        </w:rPr>
        <w:t>distinguished</w:t>
      </w:r>
      <w:r w:rsidR="006F544C" w:rsidRPr="005F1231">
        <w:rPr>
          <w:rFonts w:eastAsia="Times New Roman"/>
          <w:bCs/>
          <w:i/>
          <w:sz w:val="22"/>
          <w:szCs w:val="22"/>
          <w:lang w:val="en-US"/>
        </w:rPr>
        <w:t xml:space="preserve"> from a </w:t>
      </w:r>
      <w:r w:rsidR="00DB2767" w:rsidRPr="005F1231">
        <w:rPr>
          <w:rFonts w:eastAsia="Times New Roman"/>
          <w:bCs/>
          <w:i/>
          <w:sz w:val="22"/>
          <w:szCs w:val="22"/>
          <w:lang w:val="en-US"/>
        </w:rPr>
        <w:t>reconciliation account (emphasis).</w:t>
      </w:r>
    </w:p>
    <w:p w14:paraId="3DBD19C4" w14:textId="77777777" w:rsidR="009C5C84" w:rsidRDefault="009C5C84" w:rsidP="00A80F2A">
      <w:pPr>
        <w:pStyle w:val="ListParagraph"/>
        <w:ind w:left="284"/>
        <w:jc w:val="both"/>
        <w:rPr>
          <w:rFonts w:eastAsia="Times New Roman"/>
          <w:b/>
          <w:bCs/>
          <w:u w:val="single"/>
          <w:lang w:val="en-US"/>
        </w:rPr>
      </w:pPr>
    </w:p>
    <w:p w14:paraId="7775C86F" w14:textId="0CB100D8" w:rsidR="009C5C84" w:rsidRDefault="009C5C84" w:rsidP="00A80F2A">
      <w:pPr>
        <w:pStyle w:val="ListParagraph"/>
        <w:ind w:left="1710" w:hanging="990"/>
        <w:jc w:val="both"/>
        <w:rPr>
          <w:rFonts w:eastAsia="Times New Roman"/>
          <w:lang w:val="en-US"/>
        </w:rPr>
      </w:pPr>
      <w:r w:rsidRPr="009C5C84">
        <w:rPr>
          <w:rFonts w:eastAsia="Times New Roman"/>
          <w:lang w:val="en-US"/>
        </w:rPr>
        <w:t>[3</w:t>
      </w:r>
      <w:r w:rsidR="004643CA">
        <w:rPr>
          <w:rFonts w:eastAsia="Times New Roman"/>
          <w:lang w:val="en-US"/>
        </w:rPr>
        <w:t>4</w:t>
      </w:r>
      <w:r w:rsidRPr="009C5C84">
        <w:rPr>
          <w:rFonts w:eastAsia="Times New Roman"/>
          <w:lang w:val="en-US"/>
        </w:rPr>
        <w:t>.1</w:t>
      </w:r>
      <w:r w:rsidR="008232F6">
        <w:rPr>
          <w:rFonts w:eastAsia="Times New Roman"/>
          <w:lang w:val="en-US"/>
        </w:rPr>
        <w:t>1</w:t>
      </w:r>
      <w:r w:rsidRPr="009C5C84">
        <w:rPr>
          <w:rFonts w:eastAsia="Times New Roman"/>
          <w:lang w:val="en-US"/>
        </w:rPr>
        <w:t>]</w:t>
      </w:r>
      <w:r>
        <w:rPr>
          <w:rFonts w:eastAsia="Times New Roman"/>
          <w:lang w:val="en-US"/>
        </w:rPr>
        <w:tab/>
        <w:t xml:space="preserve">It is difficult if not </w:t>
      </w:r>
      <w:r w:rsidR="00DB2767">
        <w:rPr>
          <w:rFonts w:eastAsia="Times New Roman"/>
          <w:lang w:val="en-US"/>
        </w:rPr>
        <w:t>im</w:t>
      </w:r>
      <w:r>
        <w:rPr>
          <w:rFonts w:eastAsia="Times New Roman"/>
          <w:lang w:val="en-US"/>
        </w:rPr>
        <w:t>possible to know whether the attack made herein relates to the Bara matter or Apostolou matter. This is</w:t>
      </w:r>
      <w:r w:rsidR="0035047F">
        <w:rPr>
          <w:rFonts w:eastAsia="Times New Roman"/>
          <w:lang w:val="en-US"/>
        </w:rPr>
        <w:t xml:space="preserve"> the</w:t>
      </w:r>
      <w:r>
        <w:rPr>
          <w:rFonts w:eastAsia="Times New Roman"/>
          <w:lang w:val="en-US"/>
        </w:rPr>
        <w:t xml:space="preserve"> thread running through th</w:t>
      </w:r>
      <w:r w:rsidR="0035047F">
        <w:rPr>
          <w:rFonts w:eastAsia="Times New Roman"/>
          <w:lang w:val="en-US"/>
        </w:rPr>
        <w:t xml:space="preserve">is </w:t>
      </w:r>
      <w:r>
        <w:rPr>
          <w:rFonts w:eastAsia="Times New Roman"/>
          <w:lang w:val="en-US"/>
        </w:rPr>
        <w:t>application for leave</w:t>
      </w:r>
      <w:r w:rsidR="0035047F">
        <w:rPr>
          <w:rFonts w:eastAsia="Times New Roman"/>
          <w:lang w:val="en-US"/>
        </w:rPr>
        <w:t xml:space="preserve"> to appeal</w:t>
      </w:r>
      <w:r>
        <w:rPr>
          <w:rFonts w:eastAsia="Times New Roman"/>
          <w:lang w:val="en-US"/>
        </w:rPr>
        <w:t xml:space="preserve">. It leaves the court unable to know the </w:t>
      </w:r>
      <w:r w:rsidR="00D44151">
        <w:rPr>
          <w:rFonts w:eastAsia="Times New Roman"/>
          <w:lang w:val="en-US"/>
        </w:rPr>
        <w:t>e</w:t>
      </w:r>
      <w:r>
        <w:rPr>
          <w:rFonts w:eastAsia="Times New Roman"/>
          <w:lang w:val="en-US"/>
        </w:rPr>
        <w:t xml:space="preserve">xact </w:t>
      </w:r>
      <w:r w:rsidR="00263B7C">
        <w:rPr>
          <w:rFonts w:eastAsia="Times New Roman"/>
          <w:lang w:val="en-US"/>
        </w:rPr>
        <w:t xml:space="preserve">judgment </w:t>
      </w:r>
      <w:r w:rsidR="00DB2767">
        <w:rPr>
          <w:rFonts w:eastAsia="Times New Roman"/>
          <w:lang w:val="en-US"/>
        </w:rPr>
        <w:t xml:space="preserve">to </w:t>
      </w:r>
      <w:r w:rsidR="00263B7C">
        <w:rPr>
          <w:rFonts w:eastAsia="Times New Roman"/>
          <w:lang w:val="en-US"/>
        </w:rPr>
        <w:t xml:space="preserve">which </w:t>
      </w:r>
      <w:r>
        <w:rPr>
          <w:rFonts w:eastAsia="Times New Roman"/>
          <w:lang w:val="en-US"/>
        </w:rPr>
        <w:t>the attack is directed.</w:t>
      </w:r>
    </w:p>
    <w:p w14:paraId="6C1BC0C4" w14:textId="77777777" w:rsidR="009C5C84" w:rsidRDefault="009C5C84" w:rsidP="00A80F2A">
      <w:pPr>
        <w:pStyle w:val="ListParagraph"/>
        <w:ind w:left="284"/>
        <w:jc w:val="both"/>
        <w:rPr>
          <w:rFonts w:eastAsia="Times New Roman"/>
          <w:lang w:val="en-US"/>
        </w:rPr>
      </w:pPr>
    </w:p>
    <w:p w14:paraId="1CB76187" w14:textId="63AFADB3" w:rsidR="00D44151" w:rsidRDefault="009C5C84" w:rsidP="00A80F2A">
      <w:pPr>
        <w:pStyle w:val="ListParagraph"/>
        <w:tabs>
          <w:tab w:val="left" w:pos="810"/>
        </w:tabs>
        <w:ind w:left="1710" w:hanging="990"/>
        <w:jc w:val="both"/>
        <w:rPr>
          <w:rFonts w:eastAsia="Times New Roman"/>
          <w:lang w:val="en-US"/>
        </w:rPr>
      </w:pPr>
      <w:r>
        <w:rPr>
          <w:rFonts w:eastAsia="Times New Roman"/>
          <w:lang w:val="en-US"/>
        </w:rPr>
        <w:t>[3</w:t>
      </w:r>
      <w:r w:rsidR="004643CA">
        <w:rPr>
          <w:rFonts w:eastAsia="Times New Roman"/>
          <w:lang w:val="en-US"/>
        </w:rPr>
        <w:t>4</w:t>
      </w:r>
      <w:r w:rsidR="008232F6">
        <w:rPr>
          <w:rFonts w:eastAsia="Times New Roman"/>
          <w:lang w:val="en-US"/>
        </w:rPr>
        <w:t>.</w:t>
      </w:r>
      <w:r>
        <w:rPr>
          <w:rFonts w:eastAsia="Times New Roman"/>
          <w:lang w:val="en-US"/>
        </w:rPr>
        <w:t>1</w:t>
      </w:r>
      <w:r w:rsidR="008232F6">
        <w:rPr>
          <w:rFonts w:eastAsia="Times New Roman"/>
          <w:lang w:val="en-US"/>
        </w:rPr>
        <w:t>2</w:t>
      </w:r>
      <w:proofErr w:type="gramStart"/>
      <w:r w:rsidR="00DB2767">
        <w:rPr>
          <w:rFonts w:eastAsia="Times New Roman"/>
          <w:lang w:val="en-US"/>
        </w:rPr>
        <w:t xml:space="preserve">] </w:t>
      </w:r>
      <w:r w:rsidR="004643CA">
        <w:rPr>
          <w:rFonts w:eastAsia="Times New Roman"/>
          <w:lang w:val="en-US"/>
        </w:rPr>
        <w:t xml:space="preserve"> </w:t>
      </w:r>
      <w:r w:rsidR="00DB2767">
        <w:rPr>
          <w:rFonts w:eastAsia="Times New Roman"/>
          <w:lang w:val="en-US"/>
        </w:rPr>
        <w:t>Under</w:t>
      </w:r>
      <w:proofErr w:type="gramEnd"/>
      <w:r>
        <w:rPr>
          <w:rFonts w:eastAsia="Times New Roman"/>
          <w:lang w:val="en-US"/>
        </w:rPr>
        <w:t xml:space="preserve"> this ground of appeal I suspect that reference </w:t>
      </w:r>
      <w:r w:rsidR="00263B7C">
        <w:rPr>
          <w:rFonts w:eastAsia="Times New Roman"/>
          <w:lang w:val="en-US"/>
        </w:rPr>
        <w:t xml:space="preserve">is made to paragraphs 16 and 25 – 28 </w:t>
      </w:r>
      <w:r>
        <w:rPr>
          <w:rFonts w:eastAsia="Times New Roman"/>
          <w:lang w:val="en-US"/>
        </w:rPr>
        <w:t>of my judgment, wh</w:t>
      </w:r>
      <w:r w:rsidR="00263B7C">
        <w:rPr>
          <w:rFonts w:eastAsia="Times New Roman"/>
          <w:lang w:val="en-US"/>
        </w:rPr>
        <w:t>ere</w:t>
      </w:r>
      <w:r>
        <w:rPr>
          <w:rFonts w:eastAsia="Times New Roman"/>
          <w:lang w:val="en-US"/>
        </w:rPr>
        <w:t xml:space="preserve"> I dealt with the Bara judgment</w:t>
      </w:r>
      <w:r w:rsidR="00D44151">
        <w:rPr>
          <w:rFonts w:eastAsia="Times New Roman"/>
          <w:lang w:val="en-US"/>
        </w:rPr>
        <w:t>. There I mention</w:t>
      </w:r>
      <w:r w:rsidR="001E2C40">
        <w:rPr>
          <w:rFonts w:eastAsia="Times New Roman"/>
          <w:lang w:val="en-US"/>
        </w:rPr>
        <w:t>ed the</w:t>
      </w:r>
      <w:r w:rsidR="00D44151">
        <w:rPr>
          <w:rFonts w:eastAsia="Times New Roman"/>
          <w:lang w:val="en-US"/>
        </w:rPr>
        <w:t xml:space="preserve"> documents which I found attached to the summons.</w:t>
      </w:r>
      <w:r w:rsidR="00263B7C">
        <w:rPr>
          <w:rFonts w:eastAsia="Times New Roman"/>
          <w:lang w:val="en-US"/>
        </w:rPr>
        <w:t xml:space="preserve"> I made a finding </w:t>
      </w:r>
      <w:r w:rsidR="00D44151">
        <w:rPr>
          <w:rFonts w:eastAsia="Times New Roman"/>
          <w:lang w:val="en-US"/>
        </w:rPr>
        <w:t xml:space="preserve">that sections 129 notice and a copy of the sale agreement were </w:t>
      </w:r>
      <w:r w:rsidR="009D69D0">
        <w:rPr>
          <w:rFonts w:eastAsia="Times New Roman"/>
          <w:lang w:val="en-US"/>
        </w:rPr>
        <w:t>attached to</w:t>
      </w:r>
      <w:r w:rsidR="00D44151">
        <w:rPr>
          <w:rFonts w:eastAsia="Times New Roman"/>
          <w:lang w:val="en-US"/>
        </w:rPr>
        <w:t xml:space="preserve"> the summons. </w:t>
      </w:r>
      <w:r w:rsidR="00DB2767">
        <w:rPr>
          <w:rFonts w:eastAsia="Times New Roman"/>
          <w:lang w:val="en-US"/>
        </w:rPr>
        <w:t xml:space="preserve">A </w:t>
      </w:r>
      <w:r w:rsidR="00D44151">
        <w:rPr>
          <w:rFonts w:eastAsia="Times New Roman"/>
          <w:lang w:val="en-US"/>
        </w:rPr>
        <w:t>request for “</w:t>
      </w:r>
      <w:r w:rsidR="00D44151" w:rsidRPr="00263B7C">
        <w:rPr>
          <w:rFonts w:eastAsia="Times New Roman"/>
          <w:b/>
          <w:lang w:val="en-US"/>
        </w:rPr>
        <w:t>ancillary documents</w:t>
      </w:r>
      <w:r w:rsidR="00D44151">
        <w:rPr>
          <w:rFonts w:eastAsia="Times New Roman"/>
          <w:lang w:val="en-US"/>
        </w:rPr>
        <w:t>”</w:t>
      </w:r>
      <w:r w:rsidR="00DB2767">
        <w:rPr>
          <w:rFonts w:eastAsia="Times New Roman"/>
          <w:lang w:val="en-US"/>
        </w:rPr>
        <w:t xml:space="preserve">, </w:t>
      </w:r>
      <w:r w:rsidR="00745108">
        <w:rPr>
          <w:rFonts w:eastAsia="Times New Roman"/>
          <w:lang w:val="en-US"/>
        </w:rPr>
        <w:t>I</w:t>
      </w:r>
      <w:r w:rsidR="00D44151">
        <w:rPr>
          <w:rFonts w:eastAsia="Times New Roman"/>
          <w:lang w:val="en-US"/>
        </w:rPr>
        <w:t xml:space="preserve"> found such demand non-compliant with rule 35(14). </w:t>
      </w:r>
      <w:r w:rsidR="009D69D0">
        <w:rPr>
          <w:rFonts w:eastAsia="Times New Roman"/>
          <w:lang w:val="en-US"/>
        </w:rPr>
        <w:t>I also</w:t>
      </w:r>
      <w:r w:rsidR="00D44151">
        <w:rPr>
          <w:rFonts w:eastAsia="Times New Roman"/>
          <w:lang w:val="en-US"/>
        </w:rPr>
        <w:t xml:space="preserve"> found a demand for correspondence sought as unnecessary </w:t>
      </w:r>
      <w:r w:rsidR="009D69D0">
        <w:rPr>
          <w:rFonts w:eastAsia="Times New Roman"/>
          <w:lang w:val="en-US"/>
        </w:rPr>
        <w:t>because,</w:t>
      </w:r>
      <w:r w:rsidR="00D44151">
        <w:rPr>
          <w:rFonts w:eastAsia="Times New Roman"/>
          <w:lang w:val="en-US"/>
        </w:rPr>
        <w:t xml:space="preserve"> the applicant </w:t>
      </w:r>
      <w:r w:rsidR="00263B7C">
        <w:rPr>
          <w:rFonts w:eastAsia="Times New Roman"/>
          <w:lang w:val="en-US"/>
        </w:rPr>
        <w:t>characterized such</w:t>
      </w:r>
      <w:r w:rsidR="00D44151">
        <w:rPr>
          <w:rFonts w:eastAsia="Times New Roman"/>
          <w:lang w:val="en-US"/>
        </w:rPr>
        <w:t xml:space="preserve"> </w:t>
      </w:r>
      <w:r w:rsidR="00D44151">
        <w:rPr>
          <w:rFonts w:eastAsia="Times New Roman"/>
          <w:lang w:val="en-US"/>
        </w:rPr>
        <w:lastRenderedPageBreak/>
        <w:t>co</w:t>
      </w:r>
      <w:r w:rsidR="00263B7C">
        <w:rPr>
          <w:rFonts w:eastAsia="Times New Roman"/>
          <w:lang w:val="en-US"/>
        </w:rPr>
        <w:t xml:space="preserve">rrespondence </w:t>
      </w:r>
      <w:r w:rsidR="00263B7C" w:rsidRPr="00130B8E">
        <w:rPr>
          <w:rFonts w:eastAsia="Times New Roman"/>
          <w:b/>
          <w:lang w:val="en-US"/>
        </w:rPr>
        <w:t>as correspondence that was e</w:t>
      </w:r>
      <w:r w:rsidR="00D44151" w:rsidRPr="00130B8E">
        <w:rPr>
          <w:rFonts w:eastAsia="Times New Roman"/>
          <w:b/>
          <w:lang w:val="en-US"/>
        </w:rPr>
        <w:t>xchanged between the parties.</w:t>
      </w:r>
      <w:r w:rsidR="00D44151">
        <w:rPr>
          <w:rFonts w:eastAsia="Times New Roman"/>
          <w:lang w:val="en-US"/>
        </w:rPr>
        <w:t xml:space="preserve"> </w:t>
      </w:r>
      <w:r w:rsidR="00DB2767">
        <w:rPr>
          <w:rFonts w:eastAsia="Times New Roman"/>
          <w:lang w:val="en-US"/>
        </w:rPr>
        <w:t>M</w:t>
      </w:r>
      <w:r w:rsidR="00206A19">
        <w:rPr>
          <w:rFonts w:eastAsia="Times New Roman"/>
          <w:lang w:val="en-US"/>
        </w:rPr>
        <w:t>y</w:t>
      </w:r>
      <w:r w:rsidR="00DB2767">
        <w:rPr>
          <w:rFonts w:eastAsia="Times New Roman"/>
          <w:lang w:val="en-US"/>
        </w:rPr>
        <w:t xml:space="preserve"> </w:t>
      </w:r>
      <w:r w:rsidR="00206A19">
        <w:rPr>
          <w:rFonts w:eastAsia="Times New Roman"/>
          <w:lang w:val="en-US"/>
        </w:rPr>
        <w:t>finding</w:t>
      </w:r>
      <w:r w:rsidR="00D44151">
        <w:rPr>
          <w:rFonts w:eastAsia="Times New Roman"/>
          <w:lang w:val="en-US"/>
        </w:rPr>
        <w:t xml:space="preserve"> </w:t>
      </w:r>
      <w:r w:rsidR="00DB2767">
        <w:rPr>
          <w:rFonts w:eastAsia="Times New Roman"/>
          <w:lang w:val="en-US"/>
        </w:rPr>
        <w:t xml:space="preserve">was that </w:t>
      </w:r>
      <w:r w:rsidR="00D44151">
        <w:rPr>
          <w:rFonts w:eastAsia="Times New Roman"/>
          <w:lang w:val="en-US"/>
        </w:rPr>
        <w:t xml:space="preserve">the applicant </w:t>
      </w:r>
      <w:r w:rsidR="00206A19">
        <w:rPr>
          <w:rFonts w:eastAsia="Times New Roman"/>
          <w:lang w:val="en-US"/>
        </w:rPr>
        <w:t>wa</w:t>
      </w:r>
      <w:r w:rsidR="00D44151">
        <w:rPr>
          <w:rFonts w:eastAsia="Times New Roman"/>
          <w:lang w:val="en-US"/>
        </w:rPr>
        <w:t xml:space="preserve">s in possession of </w:t>
      </w:r>
      <w:r w:rsidR="00206A19">
        <w:rPr>
          <w:rFonts w:eastAsia="Times New Roman"/>
          <w:lang w:val="en-US"/>
        </w:rPr>
        <w:t>such</w:t>
      </w:r>
      <w:r w:rsidR="00D44151">
        <w:rPr>
          <w:rFonts w:eastAsia="Times New Roman"/>
          <w:lang w:val="en-US"/>
        </w:rPr>
        <w:t xml:space="preserve"> information</w:t>
      </w:r>
      <w:r w:rsidR="00DB2767">
        <w:rPr>
          <w:rFonts w:eastAsia="Times New Roman"/>
          <w:lang w:val="en-US"/>
        </w:rPr>
        <w:t>.</w:t>
      </w:r>
      <w:r w:rsidR="00D44151">
        <w:rPr>
          <w:rFonts w:eastAsia="Times New Roman"/>
          <w:lang w:val="en-US"/>
        </w:rPr>
        <w:t xml:space="preserve"> I </w:t>
      </w:r>
      <w:r w:rsidR="00206A19">
        <w:rPr>
          <w:rFonts w:eastAsia="Times New Roman"/>
          <w:lang w:val="en-US"/>
        </w:rPr>
        <w:t xml:space="preserve">also </w:t>
      </w:r>
      <w:r w:rsidR="00D44151">
        <w:rPr>
          <w:rFonts w:eastAsia="Times New Roman"/>
          <w:lang w:val="en-US"/>
        </w:rPr>
        <w:t xml:space="preserve">found that </w:t>
      </w:r>
      <w:r w:rsidR="00206A19">
        <w:rPr>
          <w:rFonts w:eastAsia="Times New Roman"/>
          <w:lang w:val="en-US"/>
        </w:rPr>
        <w:t>not enough was pleaded to enable the</w:t>
      </w:r>
      <w:r w:rsidR="00D44151">
        <w:rPr>
          <w:rFonts w:eastAsia="Times New Roman"/>
          <w:lang w:val="en-US"/>
        </w:rPr>
        <w:t xml:space="preserve"> court to gauge whether </w:t>
      </w:r>
      <w:r w:rsidR="00206A19">
        <w:rPr>
          <w:rFonts w:eastAsia="Times New Roman"/>
          <w:lang w:val="en-US"/>
        </w:rPr>
        <w:t>the demand</w:t>
      </w:r>
      <w:r w:rsidR="00D44151">
        <w:rPr>
          <w:rFonts w:eastAsia="Times New Roman"/>
          <w:lang w:val="en-US"/>
        </w:rPr>
        <w:t xml:space="preserve"> meets the requirement</w:t>
      </w:r>
      <w:r w:rsidR="00206A19">
        <w:rPr>
          <w:rFonts w:eastAsia="Times New Roman"/>
          <w:lang w:val="en-US"/>
        </w:rPr>
        <w:t>s</w:t>
      </w:r>
      <w:r w:rsidR="00D44151">
        <w:rPr>
          <w:rFonts w:eastAsia="Times New Roman"/>
          <w:lang w:val="en-US"/>
        </w:rPr>
        <w:t xml:space="preserve"> under rule 35(14).</w:t>
      </w:r>
      <w:r w:rsidR="00206A19">
        <w:rPr>
          <w:rFonts w:eastAsia="Times New Roman"/>
          <w:lang w:val="en-US"/>
        </w:rPr>
        <w:t xml:space="preserve"> Absent necessary allegations and motivation, the application lacked merit.</w:t>
      </w:r>
      <w:r w:rsidR="00DB2767">
        <w:rPr>
          <w:rFonts w:eastAsia="Times New Roman"/>
          <w:lang w:val="en-US"/>
        </w:rPr>
        <w:t xml:space="preserve"> I do not understand </w:t>
      </w:r>
      <w:r w:rsidR="00172298">
        <w:rPr>
          <w:rFonts w:eastAsia="Times New Roman"/>
          <w:lang w:val="en-US"/>
        </w:rPr>
        <w:t>what motivated the applicants to seek documents or</w:t>
      </w:r>
      <w:r w:rsidR="00DD73B2">
        <w:rPr>
          <w:rFonts w:eastAsia="Times New Roman"/>
          <w:lang w:val="en-US"/>
        </w:rPr>
        <w:t xml:space="preserve"> correspondence</w:t>
      </w:r>
      <w:r w:rsidR="00172298">
        <w:rPr>
          <w:rFonts w:eastAsia="Times New Roman"/>
          <w:lang w:val="en-US"/>
        </w:rPr>
        <w:t xml:space="preserve"> that was in their possession.</w:t>
      </w:r>
    </w:p>
    <w:p w14:paraId="04780A91" w14:textId="77777777" w:rsidR="00D44151" w:rsidRDefault="00D44151" w:rsidP="00A80F2A">
      <w:pPr>
        <w:pStyle w:val="ListParagraph"/>
        <w:ind w:left="284"/>
        <w:jc w:val="both"/>
        <w:rPr>
          <w:rFonts w:eastAsia="Times New Roman"/>
          <w:lang w:val="en-US"/>
        </w:rPr>
      </w:pPr>
    </w:p>
    <w:p w14:paraId="2C0BA883" w14:textId="716B58D1" w:rsidR="00D44151" w:rsidRDefault="00D44151" w:rsidP="00A80F2A">
      <w:pPr>
        <w:pStyle w:val="ListParagraph"/>
        <w:ind w:left="1710" w:hanging="990"/>
        <w:jc w:val="both"/>
        <w:rPr>
          <w:rFonts w:eastAsia="Times New Roman"/>
          <w:lang w:val="en-US"/>
        </w:rPr>
      </w:pPr>
      <w:r>
        <w:rPr>
          <w:rFonts w:eastAsia="Times New Roman"/>
          <w:lang w:val="en-US"/>
        </w:rPr>
        <w:t>[3</w:t>
      </w:r>
      <w:r w:rsidR="00B21AAA">
        <w:rPr>
          <w:rFonts w:eastAsia="Times New Roman"/>
          <w:lang w:val="en-US"/>
        </w:rPr>
        <w:t>4</w:t>
      </w:r>
      <w:r w:rsidR="00B21620">
        <w:rPr>
          <w:rFonts w:eastAsia="Times New Roman"/>
          <w:lang w:val="en-US"/>
        </w:rPr>
        <w:t>.13</w:t>
      </w:r>
      <w:r>
        <w:rPr>
          <w:rFonts w:eastAsia="Times New Roman"/>
          <w:lang w:val="en-US"/>
        </w:rPr>
        <w:t>]</w:t>
      </w:r>
      <w:r w:rsidR="008232F6">
        <w:rPr>
          <w:rFonts w:eastAsia="Times New Roman"/>
          <w:lang w:val="en-US"/>
        </w:rPr>
        <w:t xml:space="preserve">   </w:t>
      </w:r>
      <w:r>
        <w:rPr>
          <w:rFonts w:eastAsia="Times New Roman"/>
          <w:lang w:val="en-US"/>
        </w:rPr>
        <w:t xml:space="preserve">For the reasons set-out in my judgment, I found that </w:t>
      </w:r>
      <w:r w:rsidR="00206A19">
        <w:rPr>
          <w:rFonts w:eastAsia="Times New Roman"/>
          <w:lang w:val="en-US"/>
        </w:rPr>
        <w:t xml:space="preserve">a proper </w:t>
      </w:r>
      <w:r>
        <w:rPr>
          <w:rFonts w:eastAsia="Times New Roman"/>
          <w:lang w:val="en-US"/>
        </w:rPr>
        <w:t>case was not made out for the production of items (d) to (g) of rule 35(14) notice.</w:t>
      </w:r>
      <w:r w:rsidR="00206A19">
        <w:rPr>
          <w:rFonts w:eastAsia="Times New Roman"/>
          <w:lang w:val="en-US"/>
        </w:rPr>
        <w:t xml:space="preserve"> </w:t>
      </w:r>
      <w:r w:rsidR="00845BC6">
        <w:rPr>
          <w:rFonts w:eastAsia="Times New Roman"/>
          <w:lang w:val="en-US"/>
        </w:rPr>
        <w:t>Applicants would have succeeded in respect of demands (a) to (c). apart from anything else</w:t>
      </w:r>
      <w:r w:rsidR="00DB20ED">
        <w:rPr>
          <w:rFonts w:eastAsia="Times New Roman"/>
          <w:lang w:val="en-US"/>
        </w:rPr>
        <w:t>,</w:t>
      </w:r>
      <w:r w:rsidR="00845BC6">
        <w:rPr>
          <w:rFonts w:eastAsia="Times New Roman"/>
          <w:lang w:val="en-US"/>
        </w:rPr>
        <w:t xml:space="preserve"> that </w:t>
      </w:r>
      <w:r w:rsidR="00172298">
        <w:rPr>
          <w:rFonts w:eastAsia="Times New Roman"/>
          <w:lang w:val="en-US"/>
        </w:rPr>
        <w:t>wa</w:t>
      </w:r>
      <w:r w:rsidR="00845BC6">
        <w:rPr>
          <w:rFonts w:eastAsia="Times New Roman"/>
          <w:lang w:val="en-US"/>
        </w:rPr>
        <w:t xml:space="preserve">s not a </w:t>
      </w:r>
      <w:r w:rsidR="00172298">
        <w:rPr>
          <w:rFonts w:eastAsia="Times New Roman"/>
          <w:lang w:val="en-US"/>
        </w:rPr>
        <w:t xml:space="preserve">significant </w:t>
      </w:r>
      <w:r w:rsidR="00845BC6">
        <w:rPr>
          <w:rFonts w:eastAsia="Times New Roman"/>
          <w:lang w:val="en-US"/>
        </w:rPr>
        <w:t>success. The tiny success did not entitle the applicants</w:t>
      </w:r>
      <w:r w:rsidR="00172298">
        <w:rPr>
          <w:rFonts w:eastAsia="Times New Roman"/>
          <w:lang w:val="en-US"/>
        </w:rPr>
        <w:t xml:space="preserve"> to</w:t>
      </w:r>
      <w:r w:rsidR="00845BC6">
        <w:rPr>
          <w:rFonts w:eastAsia="Times New Roman"/>
          <w:lang w:val="en-US"/>
        </w:rPr>
        <w:t xml:space="preserve"> a cost order.  </w:t>
      </w:r>
    </w:p>
    <w:p w14:paraId="0C466180" w14:textId="13FC382F" w:rsidR="003C7D2C" w:rsidRPr="00A36441" w:rsidRDefault="003C7D2C" w:rsidP="00A36441">
      <w:pPr>
        <w:jc w:val="both"/>
        <w:rPr>
          <w:rFonts w:eastAsia="Times New Roman"/>
          <w:lang w:val="en-US"/>
        </w:rPr>
      </w:pPr>
    </w:p>
    <w:p w14:paraId="14CBB558" w14:textId="39E34762" w:rsidR="00D44151" w:rsidRDefault="00D44151" w:rsidP="00A80F2A">
      <w:pPr>
        <w:pStyle w:val="ListParagraph"/>
        <w:jc w:val="both"/>
        <w:rPr>
          <w:rFonts w:eastAsia="Times New Roman"/>
          <w:b/>
          <w:bCs/>
          <w:u w:val="single"/>
          <w:lang w:val="en-US"/>
        </w:rPr>
      </w:pPr>
      <w:r w:rsidRPr="00D44151">
        <w:rPr>
          <w:rFonts w:eastAsia="Times New Roman"/>
          <w:b/>
          <w:bCs/>
          <w:u w:val="single"/>
          <w:lang w:val="en-US"/>
        </w:rPr>
        <w:t>Grounds no 6 and 7</w:t>
      </w:r>
    </w:p>
    <w:p w14:paraId="5F36400F" w14:textId="11363761" w:rsidR="00845BC6" w:rsidRDefault="00845BC6" w:rsidP="00A80F2A">
      <w:pPr>
        <w:ind w:left="720"/>
        <w:jc w:val="both"/>
        <w:rPr>
          <w:rFonts w:eastAsia="Times New Roman"/>
          <w:b/>
          <w:bCs/>
          <w:u w:val="single"/>
          <w:lang w:val="en-US"/>
        </w:rPr>
      </w:pPr>
    </w:p>
    <w:p w14:paraId="67F74054" w14:textId="6FC70A73" w:rsidR="008232F6" w:rsidRPr="005F1231" w:rsidRDefault="00121FC2" w:rsidP="00A80F2A">
      <w:pPr>
        <w:ind w:left="720"/>
        <w:jc w:val="both"/>
        <w:rPr>
          <w:rFonts w:eastAsia="Times New Roman"/>
          <w:bCs/>
          <w:i/>
          <w:sz w:val="20"/>
          <w:szCs w:val="20"/>
          <w:lang w:val="en-US"/>
        </w:rPr>
      </w:pPr>
      <w:r w:rsidRPr="005F1231">
        <w:rPr>
          <w:rFonts w:eastAsia="Times New Roman"/>
          <w:bCs/>
          <w:i/>
          <w:sz w:val="20"/>
          <w:szCs w:val="20"/>
          <w:lang w:val="en-US"/>
        </w:rPr>
        <w:t xml:space="preserve">(The learned judge did not exercise his discretion judicially in the adjudication of the issue of costs and </w:t>
      </w:r>
      <w:r w:rsidR="007A225A" w:rsidRPr="005F1231">
        <w:rPr>
          <w:rFonts w:eastAsia="Times New Roman"/>
          <w:bCs/>
          <w:i/>
          <w:sz w:val="20"/>
          <w:szCs w:val="20"/>
          <w:lang w:val="en-US"/>
        </w:rPr>
        <w:t xml:space="preserve">in </w:t>
      </w:r>
      <w:r w:rsidRPr="005F1231">
        <w:rPr>
          <w:rFonts w:eastAsia="Times New Roman"/>
          <w:bCs/>
          <w:i/>
          <w:sz w:val="20"/>
          <w:szCs w:val="20"/>
          <w:lang w:val="en-US"/>
        </w:rPr>
        <w:t>impugning fault against the applicant premised on the criticism of the length of the applicants replying affidavit failing to take into account the following</w:t>
      </w:r>
      <w:r w:rsidR="007A225A" w:rsidRPr="005F1231">
        <w:rPr>
          <w:rFonts w:eastAsia="Times New Roman"/>
          <w:bCs/>
          <w:i/>
          <w:sz w:val="20"/>
          <w:szCs w:val="20"/>
          <w:lang w:val="en-US"/>
        </w:rPr>
        <w:t>:</w:t>
      </w:r>
      <w:r w:rsidRPr="005F1231">
        <w:rPr>
          <w:rFonts w:eastAsia="Times New Roman"/>
          <w:bCs/>
          <w:i/>
          <w:sz w:val="20"/>
          <w:szCs w:val="20"/>
          <w:lang w:val="en-US"/>
        </w:rPr>
        <w:t xml:space="preserve"> the seventeen paragraph long and verbose background narrated by the respondent, issue</w:t>
      </w:r>
      <w:r w:rsidR="00F60DB3" w:rsidRPr="005F1231">
        <w:rPr>
          <w:rFonts w:eastAsia="Times New Roman"/>
          <w:bCs/>
          <w:i/>
          <w:sz w:val="20"/>
          <w:szCs w:val="20"/>
          <w:lang w:val="en-US"/>
        </w:rPr>
        <w:t>s</w:t>
      </w:r>
      <w:r w:rsidRPr="005F1231">
        <w:rPr>
          <w:rFonts w:eastAsia="Times New Roman"/>
          <w:bCs/>
          <w:i/>
          <w:sz w:val="20"/>
          <w:szCs w:val="20"/>
          <w:lang w:val="en-US"/>
        </w:rPr>
        <w:t xml:space="preserve"> of law raised in the answering affidavit and the various factual allegations that require proper reply, which could not have been left to chance. In amplification, there is no factual basis to sustain an adverse finding of opportunism against the applicants who merely ensured that they reply thoro</w:t>
      </w:r>
      <w:r w:rsidR="007A225A" w:rsidRPr="005F1231">
        <w:rPr>
          <w:rFonts w:eastAsia="Times New Roman"/>
          <w:bCs/>
          <w:i/>
          <w:sz w:val="20"/>
          <w:szCs w:val="20"/>
          <w:lang w:val="en-US"/>
        </w:rPr>
        <w:t>ughly.</w:t>
      </w:r>
    </w:p>
    <w:p w14:paraId="23310722" w14:textId="1E39EF70" w:rsidR="007A225A" w:rsidRPr="005F1231" w:rsidRDefault="007A225A" w:rsidP="00A80F2A">
      <w:pPr>
        <w:ind w:left="720"/>
        <w:jc w:val="both"/>
        <w:rPr>
          <w:rFonts w:eastAsia="Times New Roman"/>
          <w:bCs/>
          <w:i/>
          <w:sz w:val="20"/>
          <w:szCs w:val="20"/>
          <w:lang w:val="en-US"/>
        </w:rPr>
      </w:pPr>
    </w:p>
    <w:p w14:paraId="2FA36678" w14:textId="6BEC3EA1" w:rsidR="007A225A" w:rsidRPr="005F1231" w:rsidRDefault="007A225A" w:rsidP="00A80F2A">
      <w:pPr>
        <w:ind w:left="720"/>
        <w:jc w:val="both"/>
        <w:rPr>
          <w:rFonts w:eastAsia="Times New Roman"/>
          <w:bCs/>
          <w:i/>
          <w:sz w:val="20"/>
          <w:szCs w:val="20"/>
          <w:lang w:val="en-US"/>
        </w:rPr>
      </w:pPr>
      <w:r w:rsidRPr="005F1231">
        <w:rPr>
          <w:rFonts w:eastAsia="Times New Roman"/>
          <w:bCs/>
          <w:i/>
          <w:sz w:val="20"/>
          <w:szCs w:val="20"/>
          <w:lang w:val="en-US"/>
        </w:rPr>
        <w:t>(</w:t>
      </w:r>
      <w:r w:rsidR="005F1231" w:rsidRPr="005F1231">
        <w:rPr>
          <w:rFonts w:eastAsia="Times New Roman"/>
          <w:bCs/>
          <w:i/>
          <w:sz w:val="20"/>
          <w:szCs w:val="20"/>
          <w:lang w:val="en-US"/>
        </w:rPr>
        <w:t>T</w:t>
      </w:r>
      <w:r w:rsidRPr="005F1231">
        <w:rPr>
          <w:rFonts w:eastAsia="Times New Roman"/>
          <w:bCs/>
          <w:i/>
          <w:sz w:val="20"/>
          <w:szCs w:val="20"/>
          <w:lang w:val="en-US"/>
        </w:rPr>
        <w:t xml:space="preserve">he learned judge erred in not ruling that costs should follow the result in </w:t>
      </w:r>
      <w:proofErr w:type="spellStart"/>
      <w:r w:rsidRPr="005F1231">
        <w:rPr>
          <w:rFonts w:eastAsia="Times New Roman"/>
          <w:bCs/>
          <w:i/>
          <w:sz w:val="20"/>
          <w:szCs w:val="20"/>
          <w:lang w:val="en-US"/>
        </w:rPr>
        <w:t>favour</w:t>
      </w:r>
      <w:proofErr w:type="spellEnd"/>
      <w:r w:rsidRPr="005F1231">
        <w:rPr>
          <w:rFonts w:eastAsia="Times New Roman"/>
          <w:bCs/>
          <w:i/>
          <w:sz w:val="20"/>
          <w:szCs w:val="20"/>
          <w:lang w:val="en-US"/>
        </w:rPr>
        <w:t xml:space="preserve"> of the applicant </w:t>
      </w:r>
      <w:r w:rsidR="007B1D13" w:rsidRPr="005F1231">
        <w:rPr>
          <w:rFonts w:eastAsia="Times New Roman"/>
          <w:bCs/>
          <w:i/>
          <w:sz w:val="20"/>
          <w:szCs w:val="20"/>
          <w:lang w:val="en-US"/>
        </w:rPr>
        <w:t>having erroneous regard to : (a) the finding that the applicant sought documents that were attached to the summons; (b) criticism levelled against the applicants replying affidavit</w:t>
      </w:r>
      <w:r w:rsidR="00F60DB3" w:rsidRPr="005F1231">
        <w:rPr>
          <w:rFonts w:eastAsia="Times New Roman"/>
          <w:bCs/>
          <w:i/>
          <w:sz w:val="20"/>
          <w:szCs w:val="20"/>
          <w:lang w:val="en-US"/>
        </w:rPr>
        <w:t>,</w:t>
      </w:r>
      <w:r w:rsidR="007B1D13" w:rsidRPr="005F1231">
        <w:rPr>
          <w:rFonts w:eastAsia="Times New Roman"/>
          <w:bCs/>
          <w:i/>
          <w:sz w:val="20"/>
          <w:szCs w:val="20"/>
          <w:lang w:val="en-US"/>
        </w:rPr>
        <w:t xml:space="preserve"> failing to take into account the factors mentioned in paragraph 6 above; and whereas the costs of these opposed applications are not insubstantial). </w:t>
      </w:r>
    </w:p>
    <w:p w14:paraId="32BC0B81" w14:textId="77777777" w:rsidR="007B1D13" w:rsidRPr="007A225A" w:rsidRDefault="007B1D13" w:rsidP="00A80F2A">
      <w:pPr>
        <w:ind w:left="1440"/>
        <w:jc w:val="both"/>
        <w:rPr>
          <w:rFonts w:eastAsia="Times New Roman"/>
          <w:bCs/>
          <w:lang w:val="en-US"/>
        </w:rPr>
      </w:pPr>
    </w:p>
    <w:p w14:paraId="4C967728" w14:textId="266BF4BD" w:rsidR="00D44151" w:rsidRDefault="00D44151" w:rsidP="00A80F2A">
      <w:pPr>
        <w:pStyle w:val="ListParagraph"/>
        <w:ind w:left="1800" w:hanging="1080"/>
        <w:jc w:val="both"/>
        <w:rPr>
          <w:rFonts w:eastAsia="Times New Roman"/>
          <w:lang w:val="en-US"/>
        </w:rPr>
      </w:pPr>
      <w:r w:rsidRPr="00D44151">
        <w:rPr>
          <w:rFonts w:eastAsia="Times New Roman"/>
          <w:lang w:val="en-US"/>
        </w:rPr>
        <w:t>[3</w:t>
      </w:r>
      <w:r w:rsidR="007657B6">
        <w:rPr>
          <w:rFonts w:eastAsia="Times New Roman"/>
          <w:lang w:val="en-US"/>
        </w:rPr>
        <w:t>4</w:t>
      </w:r>
      <w:r w:rsidR="00B21620">
        <w:rPr>
          <w:rFonts w:eastAsia="Times New Roman"/>
          <w:lang w:val="en-US"/>
        </w:rPr>
        <w:t>.14</w:t>
      </w:r>
      <w:r w:rsidRPr="00D44151">
        <w:rPr>
          <w:rFonts w:eastAsia="Times New Roman"/>
          <w:lang w:val="en-US"/>
        </w:rPr>
        <w:t>]</w:t>
      </w:r>
      <w:r w:rsidR="005F1231">
        <w:rPr>
          <w:rFonts w:eastAsia="Times New Roman"/>
          <w:lang w:val="en-US"/>
        </w:rPr>
        <w:t xml:space="preserve">  </w:t>
      </w:r>
      <w:r w:rsidR="00F01D53">
        <w:rPr>
          <w:rFonts w:eastAsia="Times New Roman"/>
          <w:lang w:val="en-US"/>
        </w:rPr>
        <w:t xml:space="preserve"> </w:t>
      </w:r>
      <w:r w:rsidR="006514D0">
        <w:rPr>
          <w:rFonts w:eastAsia="Times New Roman"/>
          <w:lang w:val="en-US"/>
        </w:rPr>
        <w:t>In e</w:t>
      </w:r>
      <w:r>
        <w:rPr>
          <w:rFonts w:eastAsia="Times New Roman"/>
          <w:lang w:val="en-US"/>
        </w:rPr>
        <w:t xml:space="preserve">xercise of my </w:t>
      </w:r>
      <w:r w:rsidR="00983F3F">
        <w:rPr>
          <w:rFonts w:eastAsia="Times New Roman"/>
          <w:lang w:val="en-US"/>
        </w:rPr>
        <w:t>discretion and as set out in paragraph 36 of my</w:t>
      </w:r>
      <w:r w:rsidR="00172298">
        <w:rPr>
          <w:rFonts w:eastAsia="Times New Roman"/>
          <w:lang w:val="en-US"/>
        </w:rPr>
        <w:t xml:space="preserve"> judgment</w:t>
      </w:r>
      <w:r w:rsidR="00F60DB3">
        <w:rPr>
          <w:rFonts w:eastAsia="Times New Roman"/>
          <w:lang w:val="en-US"/>
        </w:rPr>
        <w:t>,</w:t>
      </w:r>
      <w:r w:rsidR="00172298">
        <w:rPr>
          <w:rFonts w:eastAsia="Times New Roman"/>
          <w:lang w:val="en-US"/>
        </w:rPr>
        <w:t xml:space="preserve"> I took </w:t>
      </w:r>
      <w:r w:rsidR="00F60DB3">
        <w:rPr>
          <w:rFonts w:eastAsia="Times New Roman"/>
          <w:lang w:val="en-US"/>
        </w:rPr>
        <w:t>in</w:t>
      </w:r>
      <w:r w:rsidR="00172298">
        <w:rPr>
          <w:rFonts w:eastAsia="Times New Roman"/>
          <w:lang w:val="en-US"/>
        </w:rPr>
        <w:t xml:space="preserve">to </w:t>
      </w:r>
      <w:r w:rsidR="006514D0">
        <w:rPr>
          <w:rFonts w:eastAsia="Times New Roman"/>
          <w:lang w:val="en-US"/>
        </w:rPr>
        <w:t>consideration t</w:t>
      </w:r>
      <w:r w:rsidR="00983F3F">
        <w:rPr>
          <w:rFonts w:eastAsia="Times New Roman"/>
          <w:lang w:val="en-US"/>
        </w:rPr>
        <w:t>he</w:t>
      </w:r>
      <w:r w:rsidR="006514D0">
        <w:rPr>
          <w:rFonts w:eastAsia="Times New Roman"/>
          <w:lang w:val="en-US"/>
        </w:rPr>
        <w:t xml:space="preserve"> following</w:t>
      </w:r>
      <w:r w:rsidR="00983F3F">
        <w:rPr>
          <w:rFonts w:eastAsia="Times New Roman"/>
          <w:lang w:val="en-US"/>
        </w:rPr>
        <w:t xml:space="preserve"> factors:</w:t>
      </w:r>
    </w:p>
    <w:p w14:paraId="294BAFF5" w14:textId="77777777" w:rsidR="008232F6" w:rsidRDefault="008232F6" w:rsidP="00A80F2A">
      <w:pPr>
        <w:pStyle w:val="ListParagraph"/>
        <w:ind w:left="284"/>
        <w:jc w:val="both"/>
        <w:rPr>
          <w:rFonts w:eastAsia="Times New Roman"/>
          <w:lang w:val="en-US"/>
        </w:rPr>
      </w:pPr>
    </w:p>
    <w:p w14:paraId="55C15F5C" w14:textId="0FCA6D32" w:rsidR="00983F3F" w:rsidRDefault="00983F3F" w:rsidP="00A80F2A">
      <w:pPr>
        <w:pStyle w:val="ListParagraph"/>
        <w:numPr>
          <w:ilvl w:val="0"/>
          <w:numId w:val="25"/>
        </w:numPr>
        <w:ind w:left="1440" w:firstLine="0"/>
        <w:jc w:val="both"/>
        <w:rPr>
          <w:rFonts w:eastAsia="Times New Roman"/>
          <w:lang w:val="en-US"/>
        </w:rPr>
      </w:pPr>
      <w:r>
        <w:rPr>
          <w:rFonts w:eastAsia="Times New Roman"/>
          <w:lang w:val="en-US"/>
        </w:rPr>
        <w:t>the nature of the proceedings;</w:t>
      </w:r>
    </w:p>
    <w:p w14:paraId="1BD0AB43" w14:textId="32DCF967" w:rsidR="00983F3F" w:rsidRDefault="00983F3F" w:rsidP="00A80F2A">
      <w:pPr>
        <w:pStyle w:val="ListParagraph"/>
        <w:numPr>
          <w:ilvl w:val="0"/>
          <w:numId w:val="25"/>
        </w:numPr>
        <w:ind w:left="1440" w:firstLine="0"/>
        <w:jc w:val="both"/>
        <w:rPr>
          <w:rFonts w:eastAsia="Times New Roman"/>
          <w:lang w:val="en-US"/>
        </w:rPr>
      </w:pPr>
      <w:r>
        <w:rPr>
          <w:rFonts w:eastAsia="Times New Roman"/>
          <w:lang w:val="en-US"/>
        </w:rPr>
        <w:t xml:space="preserve">the effect </w:t>
      </w:r>
      <w:r w:rsidR="006514D0">
        <w:rPr>
          <w:rFonts w:eastAsia="Times New Roman"/>
          <w:lang w:val="en-US"/>
        </w:rPr>
        <w:t xml:space="preserve">the </w:t>
      </w:r>
      <w:r>
        <w:rPr>
          <w:rFonts w:eastAsia="Times New Roman"/>
          <w:lang w:val="en-US"/>
        </w:rPr>
        <w:t>costs order will have to both parties</w:t>
      </w:r>
      <w:r w:rsidR="006514D0">
        <w:rPr>
          <w:rFonts w:eastAsia="Times New Roman"/>
          <w:lang w:val="en-US"/>
        </w:rPr>
        <w:t>;</w:t>
      </w:r>
    </w:p>
    <w:p w14:paraId="73F5874A" w14:textId="59F0BC27" w:rsidR="00983F3F" w:rsidRDefault="00983F3F" w:rsidP="00A80F2A">
      <w:pPr>
        <w:pStyle w:val="ListParagraph"/>
        <w:numPr>
          <w:ilvl w:val="0"/>
          <w:numId w:val="25"/>
        </w:numPr>
        <w:ind w:left="2160" w:hanging="720"/>
        <w:jc w:val="both"/>
        <w:rPr>
          <w:rFonts w:eastAsia="Times New Roman"/>
          <w:lang w:val="en-US"/>
        </w:rPr>
      </w:pPr>
      <w:r>
        <w:rPr>
          <w:rFonts w:eastAsia="Times New Roman"/>
          <w:lang w:val="en-US"/>
        </w:rPr>
        <w:lastRenderedPageBreak/>
        <w:t xml:space="preserve">the failure by the applicant to make out </w:t>
      </w:r>
      <w:r w:rsidR="00172298">
        <w:rPr>
          <w:rFonts w:eastAsia="Times New Roman"/>
          <w:lang w:val="en-US"/>
        </w:rPr>
        <w:t xml:space="preserve">a case </w:t>
      </w:r>
      <w:r>
        <w:rPr>
          <w:rFonts w:eastAsia="Times New Roman"/>
          <w:lang w:val="en-US"/>
        </w:rPr>
        <w:t xml:space="preserve">in respect of demands (d) to (g) as set out in rule 35(14) notice; and </w:t>
      </w:r>
    </w:p>
    <w:p w14:paraId="181CA53B" w14:textId="3E8DECC2" w:rsidR="00983F3F" w:rsidRDefault="00983F3F" w:rsidP="00A80F2A">
      <w:pPr>
        <w:pStyle w:val="ListParagraph"/>
        <w:numPr>
          <w:ilvl w:val="0"/>
          <w:numId w:val="25"/>
        </w:numPr>
        <w:ind w:left="1440" w:firstLine="0"/>
        <w:jc w:val="both"/>
        <w:rPr>
          <w:rFonts w:eastAsia="Times New Roman"/>
          <w:lang w:val="en-US"/>
        </w:rPr>
      </w:pPr>
      <w:r>
        <w:rPr>
          <w:rFonts w:eastAsia="Times New Roman"/>
          <w:lang w:val="en-US"/>
        </w:rPr>
        <w:t>the unnecessar</w:t>
      </w:r>
      <w:r w:rsidR="006514D0">
        <w:rPr>
          <w:rFonts w:eastAsia="Times New Roman"/>
          <w:lang w:val="en-US"/>
        </w:rPr>
        <w:t xml:space="preserve">ily </w:t>
      </w:r>
      <w:r>
        <w:rPr>
          <w:rFonts w:eastAsia="Times New Roman"/>
          <w:lang w:val="en-US"/>
        </w:rPr>
        <w:t xml:space="preserve">copious </w:t>
      </w:r>
      <w:r w:rsidR="006514D0">
        <w:rPr>
          <w:rFonts w:eastAsia="Times New Roman"/>
          <w:lang w:val="en-US"/>
        </w:rPr>
        <w:t>replying affidavit.</w:t>
      </w:r>
    </w:p>
    <w:p w14:paraId="65C09B20" w14:textId="77777777" w:rsidR="00A27B99" w:rsidRDefault="00A27B99" w:rsidP="00A80F2A">
      <w:pPr>
        <w:pStyle w:val="ListParagraph"/>
        <w:ind w:left="1440"/>
        <w:jc w:val="both"/>
        <w:rPr>
          <w:rFonts w:eastAsia="Times New Roman"/>
          <w:lang w:val="en-US"/>
        </w:rPr>
      </w:pPr>
    </w:p>
    <w:p w14:paraId="3EC7D784" w14:textId="61C9699A" w:rsidR="00A27B99" w:rsidRDefault="00673B57" w:rsidP="00A80F2A">
      <w:pPr>
        <w:ind w:left="1440" w:hanging="1170"/>
        <w:jc w:val="both"/>
        <w:rPr>
          <w:rFonts w:eastAsia="Times New Roman"/>
          <w:lang w:val="en-US"/>
        </w:rPr>
      </w:pPr>
      <w:r>
        <w:rPr>
          <w:rFonts w:eastAsia="Times New Roman"/>
          <w:lang w:val="en-US"/>
        </w:rPr>
        <w:t>[34</w:t>
      </w:r>
      <w:r w:rsidR="00B21620">
        <w:rPr>
          <w:rFonts w:eastAsia="Times New Roman"/>
          <w:lang w:val="en-US"/>
        </w:rPr>
        <w:t>.15</w:t>
      </w:r>
      <w:r w:rsidR="00E33B41">
        <w:rPr>
          <w:rFonts w:eastAsia="Times New Roman"/>
          <w:lang w:val="en-US"/>
        </w:rPr>
        <w:t>]</w:t>
      </w:r>
      <w:r w:rsidR="00E33B41">
        <w:rPr>
          <w:rFonts w:eastAsia="Times New Roman"/>
          <w:lang w:val="en-US"/>
        </w:rPr>
        <w:tab/>
        <w:t>Both</w:t>
      </w:r>
      <w:r w:rsidR="00F60DB3">
        <w:rPr>
          <w:rFonts w:eastAsia="Times New Roman"/>
          <w:lang w:val="en-US"/>
        </w:rPr>
        <w:t xml:space="preserve"> application</w:t>
      </w:r>
      <w:r w:rsidR="00E33B41">
        <w:rPr>
          <w:rFonts w:eastAsia="Times New Roman"/>
          <w:lang w:val="en-US"/>
        </w:rPr>
        <w:t>s</w:t>
      </w:r>
      <w:r w:rsidR="00F60DB3">
        <w:rPr>
          <w:rFonts w:eastAsia="Times New Roman"/>
          <w:lang w:val="en-US"/>
        </w:rPr>
        <w:t xml:space="preserve"> </w:t>
      </w:r>
      <w:r w:rsidR="00A27B99">
        <w:rPr>
          <w:rFonts w:eastAsia="Times New Roman"/>
          <w:lang w:val="en-US"/>
        </w:rPr>
        <w:t xml:space="preserve">did not involve a large amount of work or costs. </w:t>
      </w:r>
      <w:r w:rsidR="00045E28">
        <w:rPr>
          <w:rFonts w:eastAsia="Times New Roman"/>
          <w:lang w:val="en-US"/>
        </w:rPr>
        <w:t>Both parties</w:t>
      </w:r>
      <w:r w:rsidR="00A27B99">
        <w:rPr>
          <w:rFonts w:eastAsia="Times New Roman"/>
          <w:lang w:val="en-US"/>
        </w:rPr>
        <w:t xml:space="preserve"> were represented by Junior Counsel.</w:t>
      </w:r>
      <w:r w:rsidR="00E33B41">
        <w:rPr>
          <w:rFonts w:eastAsia="Times New Roman"/>
          <w:lang w:val="en-US"/>
        </w:rPr>
        <w:t xml:space="preserve"> The hearing was completed inside two hours.</w:t>
      </w:r>
    </w:p>
    <w:p w14:paraId="5C98BE4C" w14:textId="7BB29AD8" w:rsidR="00A27B99" w:rsidRDefault="00A27B99" w:rsidP="00A80F2A">
      <w:pPr>
        <w:ind w:left="1440" w:hanging="1170"/>
        <w:jc w:val="both"/>
        <w:rPr>
          <w:rFonts w:eastAsia="Times New Roman"/>
          <w:lang w:val="en-US"/>
        </w:rPr>
      </w:pPr>
    </w:p>
    <w:p w14:paraId="2B02944E" w14:textId="78258241" w:rsidR="00172298" w:rsidRPr="008D19DA" w:rsidRDefault="00172298" w:rsidP="00D6791C">
      <w:pPr>
        <w:pStyle w:val="ListParagraph"/>
        <w:numPr>
          <w:ilvl w:val="0"/>
          <w:numId w:val="20"/>
        </w:numPr>
        <w:ind w:hanging="720"/>
        <w:jc w:val="both"/>
        <w:rPr>
          <w:rFonts w:eastAsia="Times New Roman"/>
          <w:b/>
          <w:bCs/>
          <w:u w:val="single"/>
          <w:lang w:val="en-US"/>
        </w:rPr>
      </w:pPr>
      <w:proofErr w:type="gramStart"/>
      <w:r w:rsidRPr="008D19DA">
        <w:rPr>
          <w:rFonts w:eastAsia="Times New Roman"/>
          <w:b/>
          <w:bCs/>
          <w:u w:val="single"/>
          <w:lang w:val="en-US"/>
        </w:rPr>
        <w:t>Conclusion :</w:t>
      </w:r>
      <w:proofErr w:type="gramEnd"/>
      <w:r w:rsidRPr="008D19DA">
        <w:rPr>
          <w:rFonts w:eastAsia="Times New Roman"/>
          <w:b/>
          <w:bCs/>
          <w:u w:val="single"/>
          <w:lang w:val="en-US"/>
        </w:rPr>
        <w:t xml:space="preserve"> </w:t>
      </w:r>
    </w:p>
    <w:p w14:paraId="1340B6D5" w14:textId="07BAA0B0" w:rsidR="005C7087" w:rsidRDefault="005C7087" w:rsidP="00265A2D">
      <w:pPr>
        <w:spacing w:line="240" w:lineRule="auto"/>
        <w:jc w:val="both"/>
        <w:rPr>
          <w:rFonts w:eastAsia="Times New Roman"/>
          <w:lang w:val="en-US"/>
        </w:rPr>
      </w:pPr>
    </w:p>
    <w:p w14:paraId="1DB33D88" w14:textId="77777777" w:rsidR="00A36441" w:rsidRDefault="00A36441" w:rsidP="00265A2D">
      <w:pPr>
        <w:spacing w:line="240" w:lineRule="auto"/>
        <w:jc w:val="both"/>
        <w:rPr>
          <w:rFonts w:eastAsia="Times New Roman"/>
          <w:lang w:val="en-US"/>
        </w:rPr>
      </w:pPr>
    </w:p>
    <w:p w14:paraId="4B97C8E1" w14:textId="01962EDE" w:rsidR="00983F3F" w:rsidRPr="00F63B23" w:rsidRDefault="00983F3F" w:rsidP="004126A0">
      <w:pPr>
        <w:ind w:left="810" w:hanging="810"/>
        <w:jc w:val="both"/>
        <w:rPr>
          <w:rFonts w:eastAsia="Times New Roman"/>
          <w:b/>
          <w:lang w:val="en-US"/>
        </w:rPr>
      </w:pPr>
      <w:r>
        <w:rPr>
          <w:rFonts w:eastAsia="Times New Roman"/>
          <w:lang w:val="en-US"/>
        </w:rPr>
        <w:t xml:space="preserve"> [3</w:t>
      </w:r>
      <w:r w:rsidR="00673B57">
        <w:rPr>
          <w:rFonts w:eastAsia="Times New Roman"/>
          <w:lang w:val="en-US"/>
        </w:rPr>
        <w:t>5</w:t>
      </w:r>
      <w:r>
        <w:rPr>
          <w:rFonts w:eastAsia="Times New Roman"/>
          <w:lang w:val="en-US"/>
        </w:rPr>
        <w:t>]</w:t>
      </w:r>
      <w:r>
        <w:rPr>
          <w:rFonts w:eastAsia="Times New Roman"/>
          <w:lang w:val="en-US"/>
        </w:rPr>
        <w:tab/>
        <w:t>In my view, I applied my discretion properly and there is nothing exceptional that exist</w:t>
      </w:r>
      <w:r w:rsidR="00A27B99">
        <w:rPr>
          <w:rFonts w:eastAsia="Times New Roman"/>
          <w:lang w:val="en-US"/>
        </w:rPr>
        <w:t>s</w:t>
      </w:r>
      <w:r>
        <w:rPr>
          <w:rFonts w:eastAsia="Times New Roman"/>
          <w:lang w:val="en-US"/>
        </w:rPr>
        <w:t xml:space="preserve"> in this matter</w:t>
      </w:r>
      <w:r w:rsidR="006514D0">
        <w:rPr>
          <w:rFonts w:eastAsia="Times New Roman"/>
          <w:lang w:val="en-US"/>
        </w:rPr>
        <w:t>,</w:t>
      </w:r>
      <w:r>
        <w:rPr>
          <w:rFonts w:eastAsia="Times New Roman"/>
          <w:lang w:val="en-US"/>
        </w:rPr>
        <w:t xml:space="preserve"> neither is it in the</w:t>
      </w:r>
      <w:r w:rsidR="00F63B23">
        <w:rPr>
          <w:rFonts w:eastAsia="Times New Roman"/>
          <w:lang w:val="en-US"/>
        </w:rPr>
        <w:t xml:space="preserve"> interest of justice to grant a leave to</w:t>
      </w:r>
      <w:r>
        <w:rPr>
          <w:rFonts w:eastAsia="Times New Roman"/>
          <w:lang w:val="en-US"/>
        </w:rPr>
        <w:t xml:space="preserve"> appeal.</w:t>
      </w:r>
      <w:r w:rsidR="006514D0">
        <w:rPr>
          <w:rFonts w:eastAsia="Times New Roman"/>
          <w:lang w:val="en-US"/>
        </w:rPr>
        <w:t xml:space="preserve"> Rule 35 proceedings occupy our motion Court </w:t>
      </w:r>
      <w:r w:rsidR="00A27B99">
        <w:rPr>
          <w:rFonts w:eastAsia="Times New Roman"/>
          <w:lang w:val="en-US"/>
        </w:rPr>
        <w:t>roll</w:t>
      </w:r>
      <w:r w:rsidR="006514D0">
        <w:rPr>
          <w:rFonts w:eastAsia="Times New Roman"/>
          <w:lang w:val="en-US"/>
        </w:rPr>
        <w:t>s every week. I</w:t>
      </w:r>
      <w:r w:rsidR="00045E28">
        <w:rPr>
          <w:rFonts w:eastAsia="Times New Roman"/>
          <w:lang w:val="en-US"/>
        </w:rPr>
        <w:t xml:space="preserve"> </w:t>
      </w:r>
      <w:r w:rsidR="006514D0">
        <w:rPr>
          <w:rFonts w:eastAsia="Times New Roman"/>
          <w:lang w:val="en-US"/>
        </w:rPr>
        <w:t>hav</w:t>
      </w:r>
      <w:r w:rsidR="00F63B23">
        <w:rPr>
          <w:rFonts w:eastAsia="Times New Roman"/>
          <w:lang w:val="en-US"/>
        </w:rPr>
        <w:t xml:space="preserve">e no hesitation to </w:t>
      </w:r>
      <w:proofErr w:type="spellStart"/>
      <w:r w:rsidR="00F63B23">
        <w:rPr>
          <w:rFonts w:eastAsia="Times New Roman"/>
          <w:lang w:val="en-US"/>
        </w:rPr>
        <w:t>characterise</w:t>
      </w:r>
      <w:proofErr w:type="spellEnd"/>
      <w:r w:rsidR="006514D0">
        <w:rPr>
          <w:rFonts w:eastAsia="Times New Roman"/>
          <w:lang w:val="en-US"/>
        </w:rPr>
        <w:t xml:space="preserve"> these applications (rule 35 </w:t>
      </w:r>
      <w:r w:rsidR="006514D0" w:rsidRPr="00673B57">
        <w:rPr>
          <w:rFonts w:eastAsia="Times New Roman"/>
          <w:b/>
          <w:lang w:val="en-US"/>
        </w:rPr>
        <w:t>(</w:t>
      </w:r>
      <w:r w:rsidR="006514D0">
        <w:rPr>
          <w:rFonts w:eastAsia="Times New Roman"/>
          <w:lang w:val="en-US"/>
        </w:rPr>
        <w:t>14</w:t>
      </w:r>
      <w:r w:rsidR="006514D0" w:rsidRPr="00673B57">
        <w:rPr>
          <w:rFonts w:eastAsia="Times New Roman"/>
          <w:b/>
          <w:lang w:val="en-US"/>
        </w:rPr>
        <w:t>)</w:t>
      </w:r>
      <w:r w:rsidR="00673B57">
        <w:rPr>
          <w:rFonts w:eastAsia="Times New Roman"/>
          <w:lang w:val="en-US"/>
        </w:rPr>
        <w:t>)</w:t>
      </w:r>
      <w:r w:rsidR="006514D0">
        <w:rPr>
          <w:rFonts w:eastAsia="Times New Roman"/>
          <w:lang w:val="en-US"/>
        </w:rPr>
        <w:t xml:space="preserve"> as “run – of – the – mill cases”</w:t>
      </w:r>
      <w:r w:rsidR="00C5002E">
        <w:rPr>
          <w:rFonts w:eastAsia="Times New Roman"/>
          <w:lang w:val="en-US"/>
        </w:rPr>
        <w:t>.</w:t>
      </w:r>
    </w:p>
    <w:p w14:paraId="10B16007" w14:textId="1D7469ED" w:rsidR="00C5002E" w:rsidRDefault="00C5002E" w:rsidP="00A80F2A">
      <w:pPr>
        <w:jc w:val="both"/>
        <w:rPr>
          <w:rFonts w:eastAsia="Times New Roman"/>
          <w:lang w:val="en-US"/>
        </w:rPr>
      </w:pPr>
    </w:p>
    <w:p w14:paraId="16105EF9" w14:textId="2B095AE6" w:rsidR="00C5002E" w:rsidRPr="00983F3F" w:rsidRDefault="00C5002E" w:rsidP="004126A0">
      <w:pPr>
        <w:ind w:left="900" w:hanging="900"/>
        <w:jc w:val="both"/>
        <w:rPr>
          <w:rFonts w:eastAsia="Times New Roman"/>
          <w:lang w:val="en-US"/>
        </w:rPr>
      </w:pPr>
      <w:r>
        <w:rPr>
          <w:rFonts w:eastAsia="Times New Roman"/>
          <w:lang w:val="en-US"/>
        </w:rPr>
        <w:t>[3</w:t>
      </w:r>
      <w:r w:rsidR="00673B57">
        <w:rPr>
          <w:rFonts w:eastAsia="Times New Roman"/>
          <w:lang w:val="en-US"/>
        </w:rPr>
        <w:t>6</w:t>
      </w:r>
      <w:r>
        <w:rPr>
          <w:rFonts w:eastAsia="Times New Roman"/>
          <w:lang w:val="en-US"/>
        </w:rPr>
        <w:t xml:space="preserve">]   </w:t>
      </w:r>
      <w:r w:rsidR="008232F6">
        <w:rPr>
          <w:rFonts w:eastAsia="Times New Roman"/>
          <w:lang w:val="en-US"/>
        </w:rPr>
        <w:t xml:space="preserve">  </w:t>
      </w:r>
      <w:r w:rsidR="00A27B99">
        <w:rPr>
          <w:rFonts w:eastAsia="Times New Roman"/>
          <w:lang w:val="en-US"/>
        </w:rPr>
        <w:t>The costs of</w:t>
      </w:r>
      <w:r w:rsidR="00045E28">
        <w:rPr>
          <w:rFonts w:eastAsia="Times New Roman"/>
          <w:lang w:val="en-US"/>
        </w:rPr>
        <w:t xml:space="preserve"> </w:t>
      </w:r>
      <w:r w:rsidR="00A27B99">
        <w:rPr>
          <w:rFonts w:eastAsia="Times New Roman"/>
          <w:lang w:val="en-US"/>
        </w:rPr>
        <w:t>this</w:t>
      </w:r>
      <w:r w:rsidR="00045E28">
        <w:rPr>
          <w:rFonts w:eastAsia="Times New Roman"/>
          <w:lang w:val="en-US"/>
        </w:rPr>
        <w:t xml:space="preserve"> </w:t>
      </w:r>
      <w:r w:rsidR="00F63B23">
        <w:rPr>
          <w:rFonts w:eastAsia="Times New Roman"/>
          <w:lang w:val="en-US"/>
        </w:rPr>
        <w:t>application must be decided. For</w:t>
      </w:r>
      <w:r>
        <w:rPr>
          <w:rFonts w:eastAsia="Times New Roman"/>
          <w:lang w:val="en-US"/>
        </w:rPr>
        <w:t xml:space="preserve"> reasons stated above, I believe that scale “</w:t>
      </w:r>
      <w:r w:rsidRPr="007D727F">
        <w:rPr>
          <w:rFonts w:eastAsia="Times New Roman"/>
          <w:b/>
          <w:lang w:val="en-US"/>
        </w:rPr>
        <w:t>A</w:t>
      </w:r>
      <w:r>
        <w:rPr>
          <w:rFonts w:eastAsia="Times New Roman"/>
          <w:lang w:val="en-US"/>
        </w:rPr>
        <w:t>” is appropriate. I see no reason why I should not direct the applicant</w:t>
      </w:r>
      <w:r w:rsidR="00F63B23">
        <w:rPr>
          <w:rFonts w:eastAsia="Times New Roman"/>
          <w:lang w:val="en-US"/>
        </w:rPr>
        <w:t>s</w:t>
      </w:r>
      <w:r>
        <w:rPr>
          <w:rFonts w:eastAsia="Times New Roman"/>
          <w:lang w:val="en-US"/>
        </w:rPr>
        <w:t xml:space="preserve"> to pay costs of this application.  Litigants need to be reminded that they are required to pay for their legal costs. Their opponents are not there to finance their litigation. Party and party costs are designed to compensate a </w:t>
      </w:r>
      <w:r w:rsidR="006364A5">
        <w:rPr>
          <w:rFonts w:eastAsia="Times New Roman"/>
          <w:lang w:val="en-US"/>
        </w:rPr>
        <w:t>losing party for fees reasonably</w:t>
      </w:r>
      <w:r>
        <w:rPr>
          <w:rFonts w:eastAsia="Times New Roman"/>
          <w:lang w:val="en-US"/>
        </w:rPr>
        <w:t xml:space="preserve"> incurred. Not all fees are recoverable under that scale. It is for th</w:t>
      </w:r>
      <w:r w:rsidR="006364A5">
        <w:rPr>
          <w:rFonts w:eastAsia="Times New Roman"/>
          <w:lang w:val="en-US"/>
        </w:rPr>
        <w:t>is</w:t>
      </w:r>
      <w:r>
        <w:rPr>
          <w:rFonts w:eastAsia="Times New Roman"/>
          <w:lang w:val="en-US"/>
        </w:rPr>
        <w:t xml:space="preserve"> reason that I remind the litigants of their obligation.</w:t>
      </w:r>
    </w:p>
    <w:p w14:paraId="1593A253" w14:textId="77777777" w:rsidR="00811B48" w:rsidRPr="009C5C84" w:rsidRDefault="00811B48" w:rsidP="00A80F2A">
      <w:pPr>
        <w:pStyle w:val="ListParagraph"/>
        <w:ind w:left="284"/>
        <w:jc w:val="both"/>
        <w:rPr>
          <w:rFonts w:eastAsia="Times New Roman"/>
          <w:lang w:val="en-US"/>
        </w:rPr>
      </w:pPr>
    </w:p>
    <w:p w14:paraId="604FB11D" w14:textId="4AFCF24D" w:rsidR="00811B48" w:rsidRPr="00E46034" w:rsidRDefault="006364A5" w:rsidP="00A80F2A">
      <w:pPr>
        <w:ind w:left="720" w:hanging="720"/>
        <w:jc w:val="both"/>
        <w:rPr>
          <w:rFonts w:eastAsia="Times New Roman"/>
          <w:lang w:val="en-US"/>
        </w:rPr>
      </w:pPr>
      <w:r>
        <w:rPr>
          <w:rFonts w:eastAsia="Times New Roman"/>
          <w:lang w:val="en-US"/>
        </w:rPr>
        <w:t>[3</w:t>
      </w:r>
      <w:r w:rsidR="00673B57">
        <w:rPr>
          <w:rFonts w:eastAsia="Times New Roman"/>
          <w:lang w:val="en-US"/>
        </w:rPr>
        <w:t>7</w:t>
      </w:r>
      <w:r w:rsidR="00E46034">
        <w:rPr>
          <w:rFonts w:eastAsia="Times New Roman"/>
          <w:lang w:val="en-US"/>
        </w:rPr>
        <w:t>]</w:t>
      </w:r>
      <w:r w:rsidR="00E46034">
        <w:rPr>
          <w:rFonts w:eastAsia="Times New Roman"/>
          <w:lang w:val="en-US"/>
        </w:rPr>
        <w:tab/>
      </w:r>
      <w:r w:rsidR="00983F3F" w:rsidRPr="00E46034">
        <w:rPr>
          <w:rFonts w:eastAsia="Times New Roman"/>
          <w:lang w:val="en-US"/>
        </w:rPr>
        <w:t>For all the above reasons, an order in the following terms shall issue:</w:t>
      </w:r>
    </w:p>
    <w:p w14:paraId="735A8E52" w14:textId="77777777" w:rsidR="00F470A0" w:rsidRDefault="00F470A0" w:rsidP="00A80F2A">
      <w:pPr>
        <w:pStyle w:val="ListParagraph"/>
        <w:ind w:left="284"/>
        <w:jc w:val="both"/>
        <w:rPr>
          <w:rFonts w:eastAsia="Times New Roman"/>
          <w:lang w:val="en-US"/>
        </w:rPr>
      </w:pPr>
    </w:p>
    <w:p w14:paraId="3CBA4CD1" w14:textId="54FCF56F" w:rsidR="00F470A0" w:rsidRDefault="00F470A0" w:rsidP="00A80F2A">
      <w:pPr>
        <w:pStyle w:val="ListParagraph"/>
        <w:ind w:left="1440" w:hanging="720"/>
        <w:jc w:val="both"/>
        <w:rPr>
          <w:rFonts w:eastAsia="Times New Roman"/>
          <w:lang w:val="en-US"/>
        </w:rPr>
      </w:pPr>
      <w:r>
        <w:rPr>
          <w:rFonts w:eastAsia="Times New Roman"/>
          <w:lang w:val="en-US"/>
        </w:rPr>
        <w:t>[3</w:t>
      </w:r>
      <w:r w:rsidR="00673B57">
        <w:rPr>
          <w:rFonts w:eastAsia="Times New Roman"/>
          <w:lang w:val="en-US"/>
        </w:rPr>
        <w:t>7</w:t>
      </w:r>
      <w:r>
        <w:rPr>
          <w:rFonts w:eastAsia="Times New Roman"/>
          <w:lang w:val="en-US"/>
        </w:rPr>
        <w:t>.1]</w:t>
      </w:r>
      <w:r>
        <w:rPr>
          <w:rFonts w:eastAsia="Times New Roman"/>
          <w:lang w:val="en-US"/>
        </w:rPr>
        <w:tab/>
        <w:t>The application</w:t>
      </w:r>
      <w:r w:rsidR="006364A5">
        <w:rPr>
          <w:rFonts w:eastAsia="Times New Roman"/>
          <w:lang w:val="en-US"/>
        </w:rPr>
        <w:t>s</w:t>
      </w:r>
      <w:r>
        <w:rPr>
          <w:rFonts w:eastAsia="Times New Roman"/>
          <w:lang w:val="en-US"/>
        </w:rPr>
        <w:t xml:space="preserve"> for leave to appeal under cases no 5345/2023 and 5858/2023 are hereby dismissed with costs on Scale “</w:t>
      </w:r>
      <w:r w:rsidRPr="00A32440">
        <w:rPr>
          <w:rFonts w:eastAsia="Times New Roman"/>
          <w:b/>
          <w:lang w:val="en-US"/>
        </w:rPr>
        <w:t>A</w:t>
      </w:r>
      <w:r>
        <w:rPr>
          <w:rFonts w:eastAsia="Times New Roman"/>
          <w:lang w:val="en-US"/>
        </w:rPr>
        <w:t>”</w:t>
      </w:r>
    </w:p>
    <w:p w14:paraId="7F0AC4D8" w14:textId="09F5E771" w:rsidR="0047429F" w:rsidRDefault="0047429F" w:rsidP="00A80F2A">
      <w:pPr>
        <w:pStyle w:val="ListParagraph"/>
        <w:ind w:left="1440" w:hanging="720"/>
        <w:jc w:val="both"/>
        <w:rPr>
          <w:rFonts w:eastAsia="Times New Roman"/>
          <w:lang w:val="en-US"/>
        </w:rPr>
      </w:pPr>
    </w:p>
    <w:p w14:paraId="39BC9565" w14:textId="7CECD6AB" w:rsidR="0047429F" w:rsidRDefault="0047429F" w:rsidP="00A80F2A">
      <w:pPr>
        <w:pStyle w:val="ListParagraph"/>
        <w:spacing w:line="240" w:lineRule="auto"/>
        <w:ind w:left="1440" w:hanging="720"/>
        <w:jc w:val="both"/>
        <w:rPr>
          <w:rFonts w:eastAsia="Times New Roman"/>
          <w:lang w:val="en-US"/>
        </w:rPr>
      </w:pPr>
    </w:p>
    <w:p w14:paraId="748D5C42" w14:textId="3E2630C8" w:rsidR="00EB5008" w:rsidRPr="001222D6" w:rsidRDefault="00EB5008" w:rsidP="001222D6">
      <w:pPr>
        <w:spacing w:line="240" w:lineRule="auto"/>
        <w:jc w:val="both"/>
        <w:rPr>
          <w:rFonts w:eastAsia="Times New Roman"/>
          <w:lang w:val="en-US"/>
        </w:rPr>
      </w:pPr>
    </w:p>
    <w:p w14:paraId="363DCE68" w14:textId="132E2887" w:rsidR="00D450B5" w:rsidRPr="00044B50" w:rsidRDefault="00D450B5" w:rsidP="00265A2D">
      <w:pPr>
        <w:tabs>
          <w:tab w:val="left" w:pos="3060"/>
        </w:tabs>
        <w:rPr>
          <w:lang w:val="en-GB"/>
        </w:rPr>
      </w:pPr>
      <w:r w:rsidRPr="00044B50">
        <w:rPr>
          <w:lang w:val="en-GB"/>
        </w:rPr>
        <w:t>_______________</w:t>
      </w:r>
      <w:r w:rsidR="00276100" w:rsidRPr="00044B50">
        <w:rPr>
          <w:lang w:val="en-GB"/>
        </w:rPr>
        <w:t>________</w:t>
      </w:r>
      <w:r w:rsidR="00265A2D">
        <w:rPr>
          <w:lang w:val="en-GB"/>
        </w:rPr>
        <w:t>________</w:t>
      </w:r>
      <w:r w:rsidR="00276100" w:rsidRPr="00044B50">
        <w:rPr>
          <w:lang w:val="en-GB"/>
        </w:rPr>
        <w:t>__</w:t>
      </w:r>
      <w:r w:rsidRPr="00044B50">
        <w:rPr>
          <w:lang w:val="en-GB"/>
        </w:rPr>
        <w:t xml:space="preserve"> </w:t>
      </w:r>
    </w:p>
    <w:p w14:paraId="7C243A9A" w14:textId="78B6A5CA" w:rsidR="00D450B5" w:rsidRPr="00044B50" w:rsidRDefault="002336E5" w:rsidP="00A80F2A">
      <w:pPr>
        <w:jc w:val="both"/>
        <w:rPr>
          <w:b/>
          <w:bCs/>
          <w:lang w:val="en-GB"/>
        </w:rPr>
      </w:pPr>
      <w:r>
        <w:rPr>
          <w:b/>
          <w:bCs/>
          <w:lang w:val="en-GB"/>
        </w:rPr>
        <w:t>V</w:t>
      </w:r>
      <w:r w:rsidR="00A32440">
        <w:rPr>
          <w:b/>
          <w:bCs/>
          <w:lang w:val="en-GB"/>
        </w:rPr>
        <w:t>.</w:t>
      </w:r>
      <w:r>
        <w:rPr>
          <w:b/>
          <w:bCs/>
          <w:lang w:val="en-GB"/>
        </w:rPr>
        <w:t xml:space="preserve"> KUNJU</w:t>
      </w:r>
    </w:p>
    <w:p w14:paraId="14E92973" w14:textId="1C3AA2EC" w:rsidR="00D450B5" w:rsidRDefault="002336E5" w:rsidP="00A80F2A">
      <w:pPr>
        <w:jc w:val="both"/>
        <w:rPr>
          <w:b/>
          <w:bCs/>
          <w:lang w:val="en-GB"/>
        </w:rPr>
      </w:pPr>
      <w:r>
        <w:rPr>
          <w:b/>
          <w:bCs/>
          <w:lang w:val="en-GB"/>
        </w:rPr>
        <w:t xml:space="preserve">ACTING </w:t>
      </w:r>
      <w:r w:rsidR="00D450B5" w:rsidRPr="00044B50">
        <w:rPr>
          <w:b/>
          <w:bCs/>
          <w:lang w:val="en-GB"/>
        </w:rPr>
        <w:t>JUDGE OF THE HIGH COURT</w:t>
      </w:r>
    </w:p>
    <w:p w14:paraId="545330A6" w14:textId="77777777" w:rsidR="00846AD7" w:rsidRPr="009568BF" w:rsidRDefault="00846AD7" w:rsidP="00A80F2A">
      <w:pPr>
        <w:jc w:val="both"/>
        <w:rPr>
          <w:lang w:val="en-GB"/>
        </w:rPr>
      </w:pPr>
    </w:p>
    <w:p w14:paraId="7E7ED5B0" w14:textId="31C6AE4C" w:rsidR="009C2116" w:rsidRPr="009568BF" w:rsidRDefault="009C2116" w:rsidP="00A80F2A">
      <w:pPr>
        <w:rPr>
          <w:rFonts w:eastAsia="Times New Roman"/>
        </w:rPr>
      </w:pPr>
      <w:r w:rsidRPr="009568BF">
        <w:rPr>
          <w:lang w:val="en-GB"/>
        </w:rPr>
        <w:t>For the Ap</w:t>
      </w:r>
      <w:r>
        <w:rPr>
          <w:lang w:val="en-GB"/>
        </w:rPr>
        <w:t>plicant</w:t>
      </w:r>
      <w:r w:rsidR="001222D6">
        <w:rPr>
          <w:lang w:val="en-GB"/>
        </w:rPr>
        <w:t>s</w:t>
      </w:r>
      <w:r>
        <w:rPr>
          <w:lang w:val="en-GB"/>
        </w:rPr>
        <w:tab/>
        <w:t xml:space="preserve">:   </w:t>
      </w:r>
      <w:r w:rsidR="005F1231">
        <w:rPr>
          <w:lang w:val="en-GB"/>
        </w:rPr>
        <w:t xml:space="preserve">  </w:t>
      </w:r>
      <w:r w:rsidRPr="00A80F2A">
        <w:rPr>
          <w:rFonts w:eastAsia="Times New Roman"/>
          <w:b/>
        </w:rPr>
        <w:t>Mr Ndabeni</w:t>
      </w:r>
      <w:r>
        <w:rPr>
          <w:rFonts w:eastAsia="Times New Roman"/>
        </w:rPr>
        <w:t xml:space="preserve"> </w:t>
      </w:r>
    </w:p>
    <w:p w14:paraId="62D8CBC7" w14:textId="73EA3B05" w:rsidR="009C2116" w:rsidRDefault="009C2116" w:rsidP="00A80F2A">
      <w:pPr>
        <w:ind w:left="720" w:hanging="720"/>
        <w:jc w:val="both"/>
      </w:pPr>
      <w:r>
        <w:t>Instructed by</w:t>
      </w:r>
      <w:r>
        <w:tab/>
      </w:r>
      <w:r>
        <w:tab/>
        <w:t xml:space="preserve">:   </w:t>
      </w:r>
      <w:r w:rsidR="005F1231">
        <w:t xml:space="preserve">  </w:t>
      </w:r>
      <w:r>
        <w:t xml:space="preserve">T. Ndabeni Incorporated Attorneys </w:t>
      </w:r>
    </w:p>
    <w:p w14:paraId="320E8176" w14:textId="361DD664" w:rsidR="009C2116" w:rsidRDefault="009C2116" w:rsidP="00A80F2A">
      <w:pPr>
        <w:jc w:val="both"/>
      </w:pPr>
      <w:r>
        <w:t xml:space="preserve">                                     </w:t>
      </w:r>
      <w:r w:rsidR="005F1231">
        <w:t xml:space="preserve">  </w:t>
      </w:r>
      <w:r>
        <w:t>No 28 Sprigg Street</w:t>
      </w:r>
    </w:p>
    <w:p w14:paraId="7189627B" w14:textId="1478D025" w:rsidR="009C2116" w:rsidRDefault="009C2116" w:rsidP="00A80F2A">
      <w:pPr>
        <w:jc w:val="both"/>
        <w:rPr>
          <w:lang w:val="en-GB"/>
        </w:rPr>
      </w:pPr>
      <w:r>
        <w:t xml:space="preserve">                                     </w:t>
      </w:r>
      <w:r w:rsidR="005F1231">
        <w:t xml:space="preserve">  </w:t>
      </w:r>
      <w:r>
        <w:t xml:space="preserve">Mthatha </w:t>
      </w:r>
      <w:r w:rsidRPr="009568BF">
        <w:rPr>
          <w:lang w:val="en-GB"/>
        </w:rPr>
        <w:tab/>
      </w:r>
    </w:p>
    <w:p w14:paraId="79D5D270" w14:textId="77777777" w:rsidR="00846AD7" w:rsidRDefault="00846AD7" w:rsidP="00A80F2A">
      <w:pPr>
        <w:jc w:val="both"/>
        <w:rPr>
          <w:lang w:val="en-GB"/>
        </w:rPr>
      </w:pPr>
    </w:p>
    <w:p w14:paraId="50033FC3" w14:textId="0C2ACCE7" w:rsidR="009C2116" w:rsidRPr="000B6046" w:rsidRDefault="009C2116" w:rsidP="00A80F2A">
      <w:pPr>
        <w:spacing w:line="240" w:lineRule="auto"/>
        <w:ind w:left="3600" w:firstLine="720"/>
        <w:jc w:val="both"/>
      </w:pPr>
      <w:r w:rsidRPr="009568BF">
        <w:rPr>
          <w:lang w:val="en-GB"/>
        </w:rPr>
        <w:tab/>
      </w:r>
    </w:p>
    <w:p w14:paraId="27B2074A" w14:textId="01AB47AF" w:rsidR="009C2116" w:rsidRPr="00A80F2A" w:rsidRDefault="009C2116" w:rsidP="00A80F2A">
      <w:pPr>
        <w:tabs>
          <w:tab w:val="left" w:pos="3261"/>
          <w:tab w:val="center" w:pos="4003"/>
        </w:tabs>
        <w:jc w:val="both"/>
        <w:rPr>
          <w:b/>
        </w:rPr>
      </w:pPr>
      <w:r w:rsidRPr="009568BF">
        <w:rPr>
          <w:lang w:val="en-GB"/>
        </w:rPr>
        <w:t>For the Respondent</w:t>
      </w:r>
      <w:r>
        <w:rPr>
          <w:lang w:val="en-GB"/>
        </w:rPr>
        <w:t xml:space="preserve"> </w:t>
      </w:r>
      <w:proofErr w:type="gramStart"/>
      <w:r>
        <w:rPr>
          <w:lang w:val="en-GB"/>
        </w:rPr>
        <w:t xml:space="preserve">  </w:t>
      </w:r>
      <w:r w:rsidRPr="009568BF">
        <w:rPr>
          <w:lang w:val="en-GB"/>
        </w:rPr>
        <w:t>:</w:t>
      </w:r>
      <w:proofErr w:type="gramEnd"/>
      <w:r>
        <w:rPr>
          <w:lang w:val="en-GB"/>
        </w:rPr>
        <w:t xml:space="preserve">   </w:t>
      </w:r>
      <w:r w:rsidRPr="00A80F2A">
        <w:rPr>
          <w:b/>
        </w:rPr>
        <w:t xml:space="preserve">Mr </w:t>
      </w:r>
      <w:proofErr w:type="spellStart"/>
      <w:r w:rsidRPr="00A80F2A">
        <w:rPr>
          <w:b/>
        </w:rPr>
        <w:t>Botma</w:t>
      </w:r>
      <w:proofErr w:type="spellEnd"/>
    </w:p>
    <w:p w14:paraId="73CE677D" w14:textId="79787CB6" w:rsidR="009C2116" w:rsidRDefault="009C2116" w:rsidP="00A80F2A">
      <w:pPr>
        <w:ind w:left="720" w:hanging="720"/>
        <w:jc w:val="both"/>
      </w:pPr>
      <w:r>
        <w:t>Instructed by</w:t>
      </w:r>
      <w:r>
        <w:tab/>
      </w:r>
      <w:r>
        <w:tab/>
        <w:t xml:space="preserve">      </w:t>
      </w:r>
      <w:r w:rsidRPr="00470478">
        <w:t>Straus Daly Incorporated</w:t>
      </w:r>
      <w:r>
        <w:t xml:space="preserve"> </w:t>
      </w:r>
    </w:p>
    <w:p w14:paraId="50651CCC" w14:textId="214DCFD5" w:rsidR="009C2116" w:rsidRDefault="009C2116" w:rsidP="00A80F2A">
      <w:pPr>
        <w:ind w:left="720" w:hanging="720"/>
        <w:jc w:val="both"/>
      </w:pPr>
      <w:r>
        <w:tab/>
      </w:r>
      <w:r>
        <w:tab/>
      </w:r>
      <w:r>
        <w:tab/>
        <w:t xml:space="preserve">      C/O K. B. Mabanga Incorporated </w:t>
      </w:r>
    </w:p>
    <w:p w14:paraId="520E97A6" w14:textId="67B4BB6D" w:rsidR="009C2116" w:rsidRDefault="009C2116" w:rsidP="00A80F2A">
      <w:pPr>
        <w:ind w:left="720" w:hanging="720"/>
        <w:jc w:val="both"/>
      </w:pPr>
      <w:r>
        <w:tab/>
      </w:r>
      <w:r>
        <w:tab/>
      </w:r>
      <w:r>
        <w:tab/>
        <w:t xml:space="preserve">      137 York Road </w:t>
      </w:r>
    </w:p>
    <w:p w14:paraId="14DC9778" w14:textId="1CAD67DC" w:rsidR="009C2116" w:rsidRDefault="009C2116" w:rsidP="00A80F2A">
      <w:pPr>
        <w:ind w:left="720" w:hanging="720"/>
        <w:jc w:val="both"/>
      </w:pPr>
      <w:r>
        <w:tab/>
      </w:r>
      <w:r>
        <w:tab/>
      </w:r>
      <w:r>
        <w:tab/>
        <w:t xml:space="preserve">      </w:t>
      </w:r>
      <w:proofErr w:type="spellStart"/>
      <w:r>
        <w:t>Meeg</w:t>
      </w:r>
      <w:proofErr w:type="spellEnd"/>
      <w:r>
        <w:t xml:space="preserve"> Bank Limited </w:t>
      </w:r>
    </w:p>
    <w:p w14:paraId="6DAB9A1A" w14:textId="0735CBD1" w:rsidR="009C2116" w:rsidRPr="00DB62A0" w:rsidRDefault="009C2116" w:rsidP="00A80F2A">
      <w:pPr>
        <w:ind w:left="720" w:hanging="720"/>
        <w:jc w:val="both"/>
        <w:rPr>
          <w:b/>
        </w:rPr>
      </w:pPr>
      <w:r>
        <w:tab/>
      </w:r>
      <w:r>
        <w:tab/>
      </w:r>
      <w:r>
        <w:tab/>
        <w:t xml:space="preserve">      Mthatha</w:t>
      </w:r>
    </w:p>
    <w:p w14:paraId="6B43CA88" w14:textId="77777777" w:rsidR="009C2116" w:rsidRDefault="009C2116" w:rsidP="00A80F2A">
      <w:pPr>
        <w:tabs>
          <w:tab w:val="left" w:pos="3261"/>
          <w:tab w:val="center" w:pos="4003"/>
        </w:tabs>
        <w:jc w:val="both"/>
      </w:pPr>
    </w:p>
    <w:p w14:paraId="54235202" w14:textId="508348E6" w:rsidR="009C2116" w:rsidRPr="00F01483" w:rsidRDefault="009C2116" w:rsidP="00A80F2A">
      <w:pPr>
        <w:widowControl w:val="0"/>
        <w:ind w:right="656"/>
        <w:rPr>
          <w:spacing w:val="14"/>
          <w:kern w:val="2"/>
          <w:lang w:val="en-GB"/>
        </w:rPr>
      </w:pPr>
      <w:r w:rsidRPr="000B6046">
        <w:rPr>
          <w:b/>
          <w:bCs/>
          <w:spacing w:val="14"/>
          <w:kern w:val="2"/>
          <w:lang w:val="en-GB"/>
        </w:rPr>
        <w:t>Heard</w:t>
      </w:r>
      <w:r>
        <w:rPr>
          <w:b/>
          <w:bCs/>
          <w:spacing w:val="14"/>
          <w:kern w:val="2"/>
          <w:lang w:val="en-GB"/>
        </w:rPr>
        <w:tab/>
      </w:r>
      <w:r>
        <w:rPr>
          <w:b/>
          <w:bCs/>
          <w:spacing w:val="14"/>
          <w:kern w:val="2"/>
          <w:lang w:val="en-GB"/>
        </w:rPr>
        <w:tab/>
      </w:r>
      <w:r w:rsidRPr="000B6046">
        <w:rPr>
          <w:b/>
          <w:bCs/>
          <w:spacing w:val="14"/>
          <w:kern w:val="2"/>
          <w:lang w:val="en-GB"/>
        </w:rPr>
        <w:t xml:space="preserve">: </w:t>
      </w:r>
      <w:r>
        <w:rPr>
          <w:b/>
          <w:bCs/>
          <w:spacing w:val="14"/>
          <w:kern w:val="2"/>
          <w:lang w:val="en-GB"/>
        </w:rPr>
        <w:t xml:space="preserve">   07 June 2024</w:t>
      </w:r>
    </w:p>
    <w:p w14:paraId="72202A91" w14:textId="3FD90A83" w:rsidR="009E0D87" w:rsidRDefault="009C2116" w:rsidP="003C7D2C">
      <w:pPr>
        <w:widowControl w:val="0"/>
        <w:ind w:right="656"/>
        <w:rPr>
          <w:lang w:val="en-GB"/>
        </w:rPr>
      </w:pPr>
      <w:r w:rsidRPr="000B6046">
        <w:rPr>
          <w:b/>
          <w:bCs/>
          <w:spacing w:val="14"/>
          <w:kern w:val="2"/>
          <w:lang w:val="en-GB"/>
        </w:rPr>
        <w:t>Delivered</w:t>
      </w:r>
      <w:r>
        <w:rPr>
          <w:b/>
          <w:bCs/>
          <w:spacing w:val="14"/>
          <w:kern w:val="2"/>
          <w:lang w:val="en-GB"/>
        </w:rPr>
        <w:tab/>
      </w:r>
      <w:r>
        <w:rPr>
          <w:b/>
          <w:bCs/>
          <w:spacing w:val="14"/>
          <w:kern w:val="2"/>
          <w:lang w:val="en-GB"/>
        </w:rPr>
        <w:tab/>
      </w:r>
      <w:r w:rsidRPr="000B6046">
        <w:rPr>
          <w:b/>
          <w:bCs/>
          <w:spacing w:val="14"/>
          <w:kern w:val="2"/>
          <w:lang w:val="en-GB"/>
        </w:rPr>
        <w:t xml:space="preserve">: </w:t>
      </w:r>
      <w:r>
        <w:rPr>
          <w:b/>
          <w:bCs/>
          <w:spacing w:val="14"/>
          <w:kern w:val="2"/>
          <w:lang w:val="en-GB"/>
        </w:rPr>
        <w:t xml:space="preserve">   13 June 2024</w:t>
      </w:r>
    </w:p>
    <w:sectPr w:rsidR="009E0D87" w:rsidSect="003C7D2C">
      <w:headerReference w:type="even" r:id="rId9"/>
      <w:headerReference w:type="default" r:id="rId10"/>
      <w:pgSz w:w="11900" w:h="16840"/>
      <w:pgMar w:top="630" w:right="1440" w:bottom="12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AF39C" w14:textId="77777777" w:rsidR="00CD3294" w:rsidRDefault="00CD3294" w:rsidP="00005691">
      <w:r>
        <w:separator/>
      </w:r>
    </w:p>
  </w:endnote>
  <w:endnote w:type="continuationSeparator" w:id="0">
    <w:p w14:paraId="2A41C881" w14:textId="77777777" w:rsidR="00CD3294" w:rsidRDefault="00CD3294"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5CF2C" w14:textId="77777777" w:rsidR="00CD3294" w:rsidRDefault="00CD3294" w:rsidP="00005691">
      <w:r>
        <w:separator/>
      </w:r>
    </w:p>
  </w:footnote>
  <w:footnote w:type="continuationSeparator" w:id="0">
    <w:p w14:paraId="5008923C" w14:textId="77777777" w:rsidR="00CD3294" w:rsidRDefault="00CD3294" w:rsidP="0000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7888967"/>
      <w:docPartObj>
        <w:docPartGallery w:val="Page Numbers (Top of Page)"/>
        <w:docPartUnique/>
      </w:docPartObj>
    </w:sdtPr>
    <w:sdtEndPr>
      <w:rPr>
        <w:rStyle w:val="PageNumber"/>
      </w:rPr>
    </w:sdtEndPr>
    <w:sdtContent>
      <w:p w14:paraId="70C87348" w14:textId="4DCB78CB" w:rsidR="007B1D13" w:rsidRDefault="007B1D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7B1D13" w:rsidRDefault="007B1D1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4234649"/>
      <w:docPartObj>
        <w:docPartGallery w:val="Page Numbers (Top of Page)"/>
        <w:docPartUnique/>
      </w:docPartObj>
    </w:sdtPr>
    <w:sdtEndPr>
      <w:rPr>
        <w:rStyle w:val="PageNumber"/>
      </w:rPr>
    </w:sdtEndPr>
    <w:sdtContent>
      <w:p w14:paraId="35370323" w14:textId="0A345D1A" w:rsidR="007B1D13" w:rsidRDefault="007B1D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67E5">
          <w:rPr>
            <w:rStyle w:val="PageNumber"/>
            <w:noProof/>
          </w:rPr>
          <w:t>17</w:t>
        </w:r>
        <w:r>
          <w:rPr>
            <w:rStyle w:val="PageNumber"/>
          </w:rPr>
          <w:fldChar w:fldCharType="end"/>
        </w:r>
      </w:p>
    </w:sdtContent>
  </w:sdt>
  <w:p w14:paraId="21F7A9BA" w14:textId="77777777" w:rsidR="007B1D13" w:rsidRDefault="007B1D1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7A6F96"/>
    <w:multiLevelType w:val="hybridMultilevel"/>
    <w:tmpl w:val="417C9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947840"/>
    <w:multiLevelType w:val="hybridMultilevel"/>
    <w:tmpl w:val="9AA8A112"/>
    <w:lvl w:ilvl="0" w:tplc="AB2423A8">
      <w:start w:val="1"/>
      <w:numFmt w:val="decimal"/>
      <w:lvlText w:val="[%1]"/>
      <w:lvlJc w:val="left"/>
      <w:pPr>
        <w:ind w:left="36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13916"/>
    <w:multiLevelType w:val="hybridMultilevel"/>
    <w:tmpl w:val="415CE412"/>
    <w:lvl w:ilvl="0" w:tplc="F2041A3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336A4"/>
    <w:multiLevelType w:val="hybridMultilevel"/>
    <w:tmpl w:val="EB16554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2517B"/>
    <w:multiLevelType w:val="hybridMultilevel"/>
    <w:tmpl w:val="5768B1F2"/>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2C97599D"/>
    <w:multiLevelType w:val="hybridMultilevel"/>
    <w:tmpl w:val="6BE24D0E"/>
    <w:lvl w:ilvl="0" w:tplc="5F1E8560">
      <w:start w:val="1"/>
      <w:numFmt w:val="decimal"/>
      <w:lvlText w:val="4.%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42359"/>
    <w:multiLevelType w:val="hybridMultilevel"/>
    <w:tmpl w:val="489ABCA8"/>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84F69"/>
    <w:multiLevelType w:val="hybridMultilevel"/>
    <w:tmpl w:val="489ABCA8"/>
    <w:lvl w:ilvl="0" w:tplc="2116C51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7520E5"/>
    <w:multiLevelType w:val="hybridMultilevel"/>
    <w:tmpl w:val="756E9DB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F6E1C"/>
    <w:multiLevelType w:val="hybridMultilevel"/>
    <w:tmpl w:val="904C300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1"/>
  </w:num>
  <w:num w:numId="6">
    <w:abstractNumId w:val="12"/>
  </w:num>
  <w:num w:numId="7">
    <w:abstractNumId w:val="24"/>
  </w:num>
  <w:num w:numId="8">
    <w:abstractNumId w:val="1"/>
  </w:num>
  <w:num w:numId="9">
    <w:abstractNumId w:val="9"/>
  </w:num>
  <w:num w:numId="10">
    <w:abstractNumId w:val="15"/>
  </w:num>
  <w:num w:numId="11">
    <w:abstractNumId w:val="23"/>
  </w:num>
  <w:num w:numId="12">
    <w:abstractNumId w:val="14"/>
  </w:num>
  <w:num w:numId="13">
    <w:abstractNumId w:val="18"/>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1"/>
  </w:num>
  <w:num w:numId="20">
    <w:abstractNumId w:val="22"/>
  </w:num>
  <w:num w:numId="21">
    <w:abstractNumId w:val="17"/>
  </w:num>
  <w:num w:numId="22">
    <w:abstractNumId w:val="8"/>
  </w:num>
  <w:num w:numId="23">
    <w:abstractNumId w:val="10"/>
  </w:num>
  <w:num w:numId="24">
    <w:abstractNumId w:val="19"/>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7E0"/>
    <w:rsid w:val="00003C0F"/>
    <w:rsid w:val="0000475E"/>
    <w:rsid w:val="00004E1E"/>
    <w:rsid w:val="00005691"/>
    <w:rsid w:val="00005ABB"/>
    <w:rsid w:val="00005BC2"/>
    <w:rsid w:val="0000617B"/>
    <w:rsid w:val="0000642E"/>
    <w:rsid w:val="00006A5F"/>
    <w:rsid w:val="00006D19"/>
    <w:rsid w:val="00006EF3"/>
    <w:rsid w:val="00007087"/>
    <w:rsid w:val="000077AD"/>
    <w:rsid w:val="000078A8"/>
    <w:rsid w:val="00007904"/>
    <w:rsid w:val="00007F3A"/>
    <w:rsid w:val="000109B4"/>
    <w:rsid w:val="0001197A"/>
    <w:rsid w:val="00011A92"/>
    <w:rsid w:val="00012991"/>
    <w:rsid w:val="00012A2F"/>
    <w:rsid w:val="00013C4F"/>
    <w:rsid w:val="00014437"/>
    <w:rsid w:val="00014770"/>
    <w:rsid w:val="000161E8"/>
    <w:rsid w:val="00016FDA"/>
    <w:rsid w:val="000172B5"/>
    <w:rsid w:val="00017B2C"/>
    <w:rsid w:val="000220C3"/>
    <w:rsid w:val="0002248A"/>
    <w:rsid w:val="00022804"/>
    <w:rsid w:val="0002365D"/>
    <w:rsid w:val="000243CC"/>
    <w:rsid w:val="00027DA3"/>
    <w:rsid w:val="00030A25"/>
    <w:rsid w:val="000323B0"/>
    <w:rsid w:val="00033C59"/>
    <w:rsid w:val="000341AF"/>
    <w:rsid w:val="00034B32"/>
    <w:rsid w:val="0003553E"/>
    <w:rsid w:val="00036391"/>
    <w:rsid w:val="000375B4"/>
    <w:rsid w:val="0004040E"/>
    <w:rsid w:val="00040F79"/>
    <w:rsid w:val="00041538"/>
    <w:rsid w:val="000415BC"/>
    <w:rsid w:val="000422CD"/>
    <w:rsid w:val="0004347D"/>
    <w:rsid w:val="0004373B"/>
    <w:rsid w:val="00044B50"/>
    <w:rsid w:val="0004501B"/>
    <w:rsid w:val="000451D0"/>
    <w:rsid w:val="00045E28"/>
    <w:rsid w:val="00046312"/>
    <w:rsid w:val="00046706"/>
    <w:rsid w:val="00047035"/>
    <w:rsid w:val="0004779D"/>
    <w:rsid w:val="000478E8"/>
    <w:rsid w:val="0005061D"/>
    <w:rsid w:val="00050DD7"/>
    <w:rsid w:val="00051AF2"/>
    <w:rsid w:val="00051F6C"/>
    <w:rsid w:val="000536DD"/>
    <w:rsid w:val="00053D81"/>
    <w:rsid w:val="00054DEC"/>
    <w:rsid w:val="00055C33"/>
    <w:rsid w:val="00056042"/>
    <w:rsid w:val="00056FBA"/>
    <w:rsid w:val="000574BF"/>
    <w:rsid w:val="00063188"/>
    <w:rsid w:val="00063C6E"/>
    <w:rsid w:val="00063D5A"/>
    <w:rsid w:val="00066960"/>
    <w:rsid w:val="00066A9A"/>
    <w:rsid w:val="0006762A"/>
    <w:rsid w:val="00067F17"/>
    <w:rsid w:val="0007050F"/>
    <w:rsid w:val="0007234C"/>
    <w:rsid w:val="000723E8"/>
    <w:rsid w:val="0007399B"/>
    <w:rsid w:val="00073EFC"/>
    <w:rsid w:val="000748A5"/>
    <w:rsid w:val="00074BD2"/>
    <w:rsid w:val="00075260"/>
    <w:rsid w:val="00076851"/>
    <w:rsid w:val="000778A4"/>
    <w:rsid w:val="00080D4E"/>
    <w:rsid w:val="000815F5"/>
    <w:rsid w:val="00081E7D"/>
    <w:rsid w:val="00083322"/>
    <w:rsid w:val="00083386"/>
    <w:rsid w:val="000833DB"/>
    <w:rsid w:val="00083DFD"/>
    <w:rsid w:val="00084C6F"/>
    <w:rsid w:val="00085D53"/>
    <w:rsid w:val="00086278"/>
    <w:rsid w:val="00086A06"/>
    <w:rsid w:val="0008715C"/>
    <w:rsid w:val="0009015D"/>
    <w:rsid w:val="000910CD"/>
    <w:rsid w:val="00091F8C"/>
    <w:rsid w:val="00092ADE"/>
    <w:rsid w:val="00093584"/>
    <w:rsid w:val="000936E4"/>
    <w:rsid w:val="0009497C"/>
    <w:rsid w:val="00096BC1"/>
    <w:rsid w:val="000976CA"/>
    <w:rsid w:val="000A1576"/>
    <w:rsid w:val="000A39A5"/>
    <w:rsid w:val="000A59DC"/>
    <w:rsid w:val="000A6E30"/>
    <w:rsid w:val="000B0946"/>
    <w:rsid w:val="000B0DC8"/>
    <w:rsid w:val="000B26AE"/>
    <w:rsid w:val="000B26CF"/>
    <w:rsid w:val="000B274D"/>
    <w:rsid w:val="000B4346"/>
    <w:rsid w:val="000B538B"/>
    <w:rsid w:val="000B5790"/>
    <w:rsid w:val="000B5FBC"/>
    <w:rsid w:val="000B6309"/>
    <w:rsid w:val="000B643B"/>
    <w:rsid w:val="000B690B"/>
    <w:rsid w:val="000B70BD"/>
    <w:rsid w:val="000B78EC"/>
    <w:rsid w:val="000C0413"/>
    <w:rsid w:val="000C2D21"/>
    <w:rsid w:val="000C3531"/>
    <w:rsid w:val="000C3620"/>
    <w:rsid w:val="000C39A5"/>
    <w:rsid w:val="000C3A6D"/>
    <w:rsid w:val="000C450C"/>
    <w:rsid w:val="000C599B"/>
    <w:rsid w:val="000C67E0"/>
    <w:rsid w:val="000C6FB4"/>
    <w:rsid w:val="000C72C7"/>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5D12"/>
    <w:rsid w:val="000E60EC"/>
    <w:rsid w:val="000E7ECD"/>
    <w:rsid w:val="000F05E0"/>
    <w:rsid w:val="000F16BA"/>
    <w:rsid w:val="000F1A95"/>
    <w:rsid w:val="000F32D8"/>
    <w:rsid w:val="000F34E7"/>
    <w:rsid w:val="000F6BFE"/>
    <w:rsid w:val="000F7DF4"/>
    <w:rsid w:val="001003EA"/>
    <w:rsid w:val="0010068E"/>
    <w:rsid w:val="00100F9A"/>
    <w:rsid w:val="0010218C"/>
    <w:rsid w:val="00102D5B"/>
    <w:rsid w:val="00103143"/>
    <w:rsid w:val="00103AF8"/>
    <w:rsid w:val="001044DB"/>
    <w:rsid w:val="00105EB6"/>
    <w:rsid w:val="0010622C"/>
    <w:rsid w:val="001078B5"/>
    <w:rsid w:val="00107A5F"/>
    <w:rsid w:val="0011026A"/>
    <w:rsid w:val="00110EF0"/>
    <w:rsid w:val="001124A5"/>
    <w:rsid w:val="001148E0"/>
    <w:rsid w:val="00115E6B"/>
    <w:rsid w:val="00116EB9"/>
    <w:rsid w:val="00120E93"/>
    <w:rsid w:val="00121FC2"/>
    <w:rsid w:val="001222D6"/>
    <w:rsid w:val="001226DE"/>
    <w:rsid w:val="00123296"/>
    <w:rsid w:val="001234B2"/>
    <w:rsid w:val="0012621C"/>
    <w:rsid w:val="0012723D"/>
    <w:rsid w:val="00130228"/>
    <w:rsid w:val="00130B8E"/>
    <w:rsid w:val="00130EAB"/>
    <w:rsid w:val="00131984"/>
    <w:rsid w:val="00131A28"/>
    <w:rsid w:val="001337CC"/>
    <w:rsid w:val="00134276"/>
    <w:rsid w:val="00134C11"/>
    <w:rsid w:val="00134DA6"/>
    <w:rsid w:val="00135C81"/>
    <w:rsid w:val="00135EF2"/>
    <w:rsid w:val="00137E08"/>
    <w:rsid w:val="00141CC4"/>
    <w:rsid w:val="00142F79"/>
    <w:rsid w:val="001435EB"/>
    <w:rsid w:val="00144974"/>
    <w:rsid w:val="001464A2"/>
    <w:rsid w:val="00146BA3"/>
    <w:rsid w:val="00147510"/>
    <w:rsid w:val="0014754B"/>
    <w:rsid w:val="001517E0"/>
    <w:rsid w:val="001527A3"/>
    <w:rsid w:val="00153496"/>
    <w:rsid w:val="00156376"/>
    <w:rsid w:val="00157785"/>
    <w:rsid w:val="00157886"/>
    <w:rsid w:val="00157898"/>
    <w:rsid w:val="00157C19"/>
    <w:rsid w:val="00160EBC"/>
    <w:rsid w:val="00160F58"/>
    <w:rsid w:val="00162F7D"/>
    <w:rsid w:val="00163A58"/>
    <w:rsid w:val="0016477F"/>
    <w:rsid w:val="00164B7B"/>
    <w:rsid w:val="00164FAD"/>
    <w:rsid w:val="00171529"/>
    <w:rsid w:val="00172127"/>
    <w:rsid w:val="00172298"/>
    <w:rsid w:val="00172B5C"/>
    <w:rsid w:val="00173547"/>
    <w:rsid w:val="00174B6D"/>
    <w:rsid w:val="00175E0F"/>
    <w:rsid w:val="0017614D"/>
    <w:rsid w:val="0017696F"/>
    <w:rsid w:val="0018006A"/>
    <w:rsid w:val="00180F4E"/>
    <w:rsid w:val="00181923"/>
    <w:rsid w:val="00181B01"/>
    <w:rsid w:val="00181E7E"/>
    <w:rsid w:val="00182175"/>
    <w:rsid w:val="00182437"/>
    <w:rsid w:val="00182579"/>
    <w:rsid w:val="00184625"/>
    <w:rsid w:val="00184664"/>
    <w:rsid w:val="00186769"/>
    <w:rsid w:val="001870AF"/>
    <w:rsid w:val="001873AF"/>
    <w:rsid w:val="00191768"/>
    <w:rsid w:val="00192869"/>
    <w:rsid w:val="001943D2"/>
    <w:rsid w:val="001954F0"/>
    <w:rsid w:val="00195571"/>
    <w:rsid w:val="001955AB"/>
    <w:rsid w:val="00195D65"/>
    <w:rsid w:val="00196536"/>
    <w:rsid w:val="00196742"/>
    <w:rsid w:val="001A4BE7"/>
    <w:rsid w:val="001A4F33"/>
    <w:rsid w:val="001A7D91"/>
    <w:rsid w:val="001B0D01"/>
    <w:rsid w:val="001B0FAF"/>
    <w:rsid w:val="001B2578"/>
    <w:rsid w:val="001B2FE4"/>
    <w:rsid w:val="001B3CD7"/>
    <w:rsid w:val="001B505F"/>
    <w:rsid w:val="001B55CF"/>
    <w:rsid w:val="001B69E3"/>
    <w:rsid w:val="001B7729"/>
    <w:rsid w:val="001C04BC"/>
    <w:rsid w:val="001C10FA"/>
    <w:rsid w:val="001C1478"/>
    <w:rsid w:val="001C232A"/>
    <w:rsid w:val="001C24AF"/>
    <w:rsid w:val="001C2DD7"/>
    <w:rsid w:val="001C48A5"/>
    <w:rsid w:val="001C4AF6"/>
    <w:rsid w:val="001C4D08"/>
    <w:rsid w:val="001C55E8"/>
    <w:rsid w:val="001C7061"/>
    <w:rsid w:val="001D0962"/>
    <w:rsid w:val="001D0A1B"/>
    <w:rsid w:val="001D214B"/>
    <w:rsid w:val="001D3264"/>
    <w:rsid w:val="001D3FC7"/>
    <w:rsid w:val="001D4C5E"/>
    <w:rsid w:val="001D57CD"/>
    <w:rsid w:val="001D5A9D"/>
    <w:rsid w:val="001D5F83"/>
    <w:rsid w:val="001D61C8"/>
    <w:rsid w:val="001D65C0"/>
    <w:rsid w:val="001E0F36"/>
    <w:rsid w:val="001E1834"/>
    <w:rsid w:val="001E1B07"/>
    <w:rsid w:val="001E1E07"/>
    <w:rsid w:val="001E24E0"/>
    <w:rsid w:val="001E2C40"/>
    <w:rsid w:val="001E4824"/>
    <w:rsid w:val="001E6351"/>
    <w:rsid w:val="001E640A"/>
    <w:rsid w:val="001E6A6E"/>
    <w:rsid w:val="001E701F"/>
    <w:rsid w:val="001E7844"/>
    <w:rsid w:val="001E78D5"/>
    <w:rsid w:val="001E7C8F"/>
    <w:rsid w:val="001F2276"/>
    <w:rsid w:val="001F335C"/>
    <w:rsid w:val="001F3A41"/>
    <w:rsid w:val="001F59AB"/>
    <w:rsid w:val="001F71B3"/>
    <w:rsid w:val="001F7DD3"/>
    <w:rsid w:val="001F7EF5"/>
    <w:rsid w:val="0020191D"/>
    <w:rsid w:val="00201DC6"/>
    <w:rsid w:val="00201F12"/>
    <w:rsid w:val="0020299C"/>
    <w:rsid w:val="00203370"/>
    <w:rsid w:val="00206A19"/>
    <w:rsid w:val="00206D6C"/>
    <w:rsid w:val="00207573"/>
    <w:rsid w:val="00207C38"/>
    <w:rsid w:val="002115FE"/>
    <w:rsid w:val="002129C2"/>
    <w:rsid w:val="00213565"/>
    <w:rsid w:val="0021430F"/>
    <w:rsid w:val="002154D2"/>
    <w:rsid w:val="00215EBC"/>
    <w:rsid w:val="002166D6"/>
    <w:rsid w:val="0021730A"/>
    <w:rsid w:val="00217399"/>
    <w:rsid w:val="002203EC"/>
    <w:rsid w:val="00220833"/>
    <w:rsid w:val="00222854"/>
    <w:rsid w:val="00224363"/>
    <w:rsid w:val="00225135"/>
    <w:rsid w:val="0022594E"/>
    <w:rsid w:val="00226444"/>
    <w:rsid w:val="00226ADA"/>
    <w:rsid w:val="00227379"/>
    <w:rsid w:val="00227580"/>
    <w:rsid w:val="00227A2B"/>
    <w:rsid w:val="00230B10"/>
    <w:rsid w:val="00231325"/>
    <w:rsid w:val="00231B8B"/>
    <w:rsid w:val="002327AF"/>
    <w:rsid w:val="002336E5"/>
    <w:rsid w:val="0023410F"/>
    <w:rsid w:val="00234A6A"/>
    <w:rsid w:val="0023677B"/>
    <w:rsid w:val="00236B9D"/>
    <w:rsid w:val="00237273"/>
    <w:rsid w:val="0023768E"/>
    <w:rsid w:val="002402F6"/>
    <w:rsid w:val="00240EDB"/>
    <w:rsid w:val="00245504"/>
    <w:rsid w:val="00245BEB"/>
    <w:rsid w:val="00246150"/>
    <w:rsid w:val="00247551"/>
    <w:rsid w:val="00247B3C"/>
    <w:rsid w:val="00250530"/>
    <w:rsid w:val="0025056A"/>
    <w:rsid w:val="00251ACD"/>
    <w:rsid w:val="0025292B"/>
    <w:rsid w:val="00252FC1"/>
    <w:rsid w:val="00253273"/>
    <w:rsid w:val="00254763"/>
    <w:rsid w:val="00256208"/>
    <w:rsid w:val="00256FCC"/>
    <w:rsid w:val="00257156"/>
    <w:rsid w:val="00257A15"/>
    <w:rsid w:val="002606D8"/>
    <w:rsid w:val="00260A94"/>
    <w:rsid w:val="00260B67"/>
    <w:rsid w:val="002612A5"/>
    <w:rsid w:val="00261583"/>
    <w:rsid w:val="0026158F"/>
    <w:rsid w:val="002617D8"/>
    <w:rsid w:val="00262C99"/>
    <w:rsid w:val="00262D2A"/>
    <w:rsid w:val="002635B7"/>
    <w:rsid w:val="00263B7C"/>
    <w:rsid w:val="00263B8D"/>
    <w:rsid w:val="0026495C"/>
    <w:rsid w:val="00265010"/>
    <w:rsid w:val="00265180"/>
    <w:rsid w:val="00265A2D"/>
    <w:rsid w:val="00265AEB"/>
    <w:rsid w:val="00265C6D"/>
    <w:rsid w:val="0026634E"/>
    <w:rsid w:val="0026645C"/>
    <w:rsid w:val="002705E9"/>
    <w:rsid w:val="00273903"/>
    <w:rsid w:val="00274C64"/>
    <w:rsid w:val="00275410"/>
    <w:rsid w:val="00275BC5"/>
    <w:rsid w:val="00276100"/>
    <w:rsid w:val="00277EB6"/>
    <w:rsid w:val="0028182D"/>
    <w:rsid w:val="002818E1"/>
    <w:rsid w:val="00281933"/>
    <w:rsid w:val="002852C4"/>
    <w:rsid w:val="00285664"/>
    <w:rsid w:val="002871CB"/>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5A28"/>
    <w:rsid w:val="002B6730"/>
    <w:rsid w:val="002B7155"/>
    <w:rsid w:val="002B7874"/>
    <w:rsid w:val="002C1ECF"/>
    <w:rsid w:val="002C1ED3"/>
    <w:rsid w:val="002C3A0D"/>
    <w:rsid w:val="002C4082"/>
    <w:rsid w:val="002C4205"/>
    <w:rsid w:val="002C45D8"/>
    <w:rsid w:val="002C5462"/>
    <w:rsid w:val="002C7128"/>
    <w:rsid w:val="002D20C4"/>
    <w:rsid w:val="002D2D96"/>
    <w:rsid w:val="002D4422"/>
    <w:rsid w:val="002D4CBC"/>
    <w:rsid w:val="002D5184"/>
    <w:rsid w:val="002D6D70"/>
    <w:rsid w:val="002D7292"/>
    <w:rsid w:val="002E01F9"/>
    <w:rsid w:val="002E0CCA"/>
    <w:rsid w:val="002E0F57"/>
    <w:rsid w:val="002E141A"/>
    <w:rsid w:val="002E1AE3"/>
    <w:rsid w:val="002E1B95"/>
    <w:rsid w:val="002E3EC7"/>
    <w:rsid w:val="002E4808"/>
    <w:rsid w:val="002E483E"/>
    <w:rsid w:val="002E6855"/>
    <w:rsid w:val="002E6D7C"/>
    <w:rsid w:val="002E7045"/>
    <w:rsid w:val="002E70E8"/>
    <w:rsid w:val="002E7199"/>
    <w:rsid w:val="002E7ADD"/>
    <w:rsid w:val="002F0070"/>
    <w:rsid w:val="002F012F"/>
    <w:rsid w:val="002F0513"/>
    <w:rsid w:val="002F0990"/>
    <w:rsid w:val="002F0C58"/>
    <w:rsid w:val="002F13D1"/>
    <w:rsid w:val="002F2D15"/>
    <w:rsid w:val="002F3294"/>
    <w:rsid w:val="002F37F8"/>
    <w:rsid w:val="002F42E2"/>
    <w:rsid w:val="002F4EDB"/>
    <w:rsid w:val="002F60D3"/>
    <w:rsid w:val="002F7574"/>
    <w:rsid w:val="003007A7"/>
    <w:rsid w:val="00300A59"/>
    <w:rsid w:val="00300E3D"/>
    <w:rsid w:val="0030214A"/>
    <w:rsid w:val="00302E78"/>
    <w:rsid w:val="00303335"/>
    <w:rsid w:val="003035F7"/>
    <w:rsid w:val="00305029"/>
    <w:rsid w:val="00305136"/>
    <w:rsid w:val="00305B9E"/>
    <w:rsid w:val="00306288"/>
    <w:rsid w:val="00310E41"/>
    <w:rsid w:val="00310F40"/>
    <w:rsid w:val="0031225F"/>
    <w:rsid w:val="003140F9"/>
    <w:rsid w:val="003142B4"/>
    <w:rsid w:val="003148EA"/>
    <w:rsid w:val="003150CA"/>
    <w:rsid w:val="00315CB8"/>
    <w:rsid w:val="00315D8D"/>
    <w:rsid w:val="003168ED"/>
    <w:rsid w:val="00316B09"/>
    <w:rsid w:val="003172EB"/>
    <w:rsid w:val="00317AB4"/>
    <w:rsid w:val="00320522"/>
    <w:rsid w:val="00320E8A"/>
    <w:rsid w:val="00321663"/>
    <w:rsid w:val="00321E11"/>
    <w:rsid w:val="00322359"/>
    <w:rsid w:val="0032238F"/>
    <w:rsid w:val="003228A7"/>
    <w:rsid w:val="00322E38"/>
    <w:rsid w:val="00324CE8"/>
    <w:rsid w:val="0032577B"/>
    <w:rsid w:val="00325BD4"/>
    <w:rsid w:val="00326A33"/>
    <w:rsid w:val="0032785C"/>
    <w:rsid w:val="00327E36"/>
    <w:rsid w:val="00327E53"/>
    <w:rsid w:val="00330795"/>
    <w:rsid w:val="00330E85"/>
    <w:rsid w:val="00330E88"/>
    <w:rsid w:val="0033219D"/>
    <w:rsid w:val="00333BEA"/>
    <w:rsid w:val="00333F69"/>
    <w:rsid w:val="00334624"/>
    <w:rsid w:val="00335693"/>
    <w:rsid w:val="00335897"/>
    <w:rsid w:val="0033634C"/>
    <w:rsid w:val="0033669D"/>
    <w:rsid w:val="003367DD"/>
    <w:rsid w:val="00336F34"/>
    <w:rsid w:val="00337DFE"/>
    <w:rsid w:val="00341497"/>
    <w:rsid w:val="0034206E"/>
    <w:rsid w:val="00343E5D"/>
    <w:rsid w:val="00343E84"/>
    <w:rsid w:val="0034439B"/>
    <w:rsid w:val="003455A7"/>
    <w:rsid w:val="003469BB"/>
    <w:rsid w:val="00346BBD"/>
    <w:rsid w:val="0035047F"/>
    <w:rsid w:val="00350743"/>
    <w:rsid w:val="00350A47"/>
    <w:rsid w:val="003513CA"/>
    <w:rsid w:val="00351FAC"/>
    <w:rsid w:val="003529AF"/>
    <w:rsid w:val="00353652"/>
    <w:rsid w:val="0035432E"/>
    <w:rsid w:val="003564CA"/>
    <w:rsid w:val="0035756C"/>
    <w:rsid w:val="00357751"/>
    <w:rsid w:val="003601F1"/>
    <w:rsid w:val="00360B74"/>
    <w:rsid w:val="00360BFC"/>
    <w:rsid w:val="00362A40"/>
    <w:rsid w:val="00363BF3"/>
    <w:rsid w:val="003649E8"/>
    <w:rsid w:val="00365FAA"/>
    <w:rsid w:val="00366631"/>
    <w:rsid w:val="003679D5"/>
    <w:rsid w:val="00367B79"/>
    <w:rsid w:val="003700BB"/>
    <w:rsid w:val="0037015D"/>
    <w:rsid w:val="00371E49"/>
    <w:rsid w:val="0037217E"/>
    <w:rsid w:val="00372585"/>
    <w:rsid w:val="003730C8"/>
    <w:rsid w:val="003738E5"/>
    <w:rsid w:val="00373BB6"/>
    <w:rsid w:val="00374A90"/>
    <w:rsid w:val="00374F02"/>
    <w:rsid w:val="00375614"/>
    <w:rsid w:val="00380E60"/>
    <w:rsid w:val="00381278"/>
    <w:rsid w:val="00381483"/>
    <w:rsid w:val="00381C36"/>
    <w:rsid w:val="00381D62"/>
    <w:rsid w:val="00382162"/>
    <w:rsid w:val="00382ADF"/>
    <w:rsid w:val="00384C87"/>
    <w:rsid w:val="003869D5"/>
    <w:rsid w:val="003905B9"/>
    <w:rsid w:val="00390AE2"/>
    <w:rsid w:val="003914E2"/>
    <w:rsid w:val="003916FD"/>
    <w:rsid w:val="00391FFC"/>
    <w:rsid w:val="0039206E"/>
    <w:rsid w:val="003926B7"/>
    <w:rsid w:val="00392A4B"/>
    <w:rsid w:val="00392AA2"/>
    <w:rsid w:val="00393BA3"/>
    <w:rsid w:val="0039527F"/>
    <w:rsid w:val="00395A71"/>
    <w:rsid w:val="0039682A"/>
    <w:rsid w:val="003A0295"/>
    <w:rsid w:val="003A37F4"/>
    <w:rsid w:val="003A4DF2"/>
    <w:rsid w:val="003A4F1D"/>
    <w:rsid w:val="003A4F95"/>
    <w:rsid w:val="003A567D"/>
    <w:rsid w:val="003A6F71"/>
    <w:rsid w:val="003A745C"/>
    <w:rsid w:val="003A7AA6"/>
    <w:rsid w:val="003A7BAA"/>
    <w:rsid w:val="003B01D4"/>
    <w:rsid w:val="003B036C"/>
    <w:rsid w:val="003B10EC"/>
    <w:rsid w:val="003B1570"/>
    <w:rsid w:val="003B15C9"/>
    <w:rsid w:val="003B1A9E"/>
    <w:rsid w:val="003B21BF"/>
    <w:rsid w:val="003B33FA"/>
    <w:rsid w:val="003B3C31"/>
    <w:rsid w:val="003B43B8"/>
    <w:rsid w:val="003B5522"/>
    <w:rsid w:val="003B5FEE"/>
    <w:rsid w:val="003B76D9"/>
    <w:rsid w:val="003C0CEB"/>
    <w:rsid w:val="003C1215"/>
    <w:rsid w:val="003C1655"/>
    <w:rsid w:val="003C20B7"/>
    <w:rsid w:val="003C2F5E"/>
    <w:rsid w:val="003C351A"/>
    <w:rsid w:val="003C3580"/>
    <w:rsid w:val="003C3BC6"/>
    <w:rsid w:val="003C54AA"/>
    <w:rsid w:val="003C5934"/>
    <w:rsid w:val="003C7080"/>
    <w:rsid w:val="003C7D2C"/>
    <w:rsid w:val="003D11D0"/>
    <w:rsid w:val="003D146E"/>
    <w:rsid w:val="003D1525"/>
    <w:rsid w:val="003D239A"/>
    <w:rsid w:val="003D26F2"/>
    <w:rsid w:val="003D2C74"/>
    <w:rsid w:val="003D3549"/>
    <w:rsid w:val="003D5245"/>
    <w:rsid w:val="003D52AB"/>
    <w:rsid w:val="003D5507"/>
    <w:rsid w:val="003D5A10"/>
    <w:rsid w:val="003D5E6D"/>
    <w:rsid w:val="003D7CB9"/>
    <w:rsid w:val="003E0F7C"/>
    <w:rsid w:val="003E1A50"/>
    <w:rsid w:val="003E2B73"/>
    <w:rsid w:val="003E2F03"/>
    <w:rsid w:val="003E391B"/>
    <w:rsid w:val="003E3BBF"/>
    <w:rsid w:val="003E424A"/>
    <w:rsid w:val="003E4702"/>
    <w:rsid w:val="003E61D0"/>
    <w:rsid w:val="003E75F3"/>
    <w:rsid w:val="003F0D9E"/>
    <w:rsid w:val="003F12A3"/>
    <w:rsid w:val="003F1974"/>
    <w:rsid w:val="003F2109"/>
    <w:rsid w:val="003F2790"/>
    <w:rsid w:val="003F3C4F"/>
    <w:rsid w:val="003F41EF"/>
    <w:rsid w:val="003F434A"/>
    <w:rsid w:val="003F50FF"/>
    <w:rsid w:val="003F5900"/>
    <w:rsid w:val="003F6355"/>
    <w:rsid w:val="003F7E77"/>
    <w:rsid w:val="00400266"/>
    <w:rsid w:val="00401A9A"/>
    <w:rsid w:val="00402EEA"/>
    <w:rsid w:val="00404201"/>
    <w:rsid w:val="00405CEF"/>
    <w:rsid w:val="00406282"/>
    <w:rsid w:val="00406337"/>
    <w:rsid w:val="00406A00"/>
    <w:rsid w:val="004074B3"/>
    <w:rsid w:val="004075EA"/>
    <w:rsid w:val="004077DC"/>
    <w:rsid w:val="00410665"/>
    <w:rsid w:val="00410C82"/>
    <w:rsid w:val="0041108E"/>
    <w:rsid w:val="00412658"/>
    <w:rsid w:val="004126A0"/>
    <w:rsid w:val="00412DF2"/>
    <w:rsid w:val="004138F5"/>
    <w:rsid w:val="00413D22"/>
    <w:rsid w:val="00414C90"/>
    <w:rsid w:val="004165B0"/>
    <w:rsid w:val="004165D6"/>
    <w:rsid w:val="00417973"/>
    <w:rsid w:val="0042163E"/>
    <w:rsid w:val="00421F6E"/>
    <w:rsid w:val="00422122"/>
    <w:rsid w:val="00423163"/>
    <w:rsid w:val="0042431B"/>
    <w:rsid w:val="004244A5"/>
    <w:rsid w:val="00427318"/>
    <w:rsid w:val="004276CD"/>
    <w:rsid w:val="0042778E"/>
    <w:rsid w:val="00427843"/>
    <w:rsid w:val="00427A35"/>
    <w:rsid w:val="004302B6"/>
    <w:rsid w:val="0043230A"/>
    <w:rsid w:val="0043511C"/>
    <w:rsid w:val="00435538"/>
    <w:rsid w:val="00437E88"/>
    <w:rsid w:val="00440672"/>
    <w:rsid w:val="00440EDE"/>
    <w:rsid w:val="00441E70"/>
    <w:rsid w:val="00443779"/>
    <w:rsid w:val="00443CCC"/>
    <w:rsid w:val="004441E4"/>
    <w:rsid w:val="004448E8"/>
    <w:rsid w:val="00446C55"/>
    <w:rsid w:val="004474FB"/>
    <w:rsid w:val="00447553"/>
    <w:rsid w:val="00447ED2"/>
    <w:rsid w:val="004528CC"/>
    <w:rsid w:val="004529C3"/>
    <w:rsid w:val="00453339"/>
    <w:rsid w:val="00454149"/>
    <w:rsid w:val="0045608B"/>
    <w:rsid w:val="0045783B"/>
    <w:rsid w:val="004611EA"/>
    <w:rsid w:val="00461504"/>
    <w:rsid w:val="00461701"/>
    <w:rsid w:val="00463429"/>
    <w:rsid w:val="004643CA"/>
    <w:rsid w:val="0046519E"/>
    <w:rsid w:val="004652FD"/>
    <w:rsid w:val="004657F4"/>
    <w:rsid w:val="00466979"/>
    <w:rsid w:val="00466D17"/>
    <w:rsid w:val="00467E20"/>
    <w:rsid w:val="004716FC"/>
    <w:rsid w:val="00472A4C"/>
    <w:rsid w:val="00472B05"/>
    <w:rsid w:val="00472E85"/>
    <w:rsid w:val="00473068"/>
    <w:rsid w:val="004735D5"/>
    <w:rsid w:val="004741DE"/>
    <w:rsid w:val="0047429F"/>
    <w:rsid w:val="0047556B"/>
    <w:rsid w:val="00475C2D"/>
    <w:rsid w:val="00477226"/>
    <w:rsid w:val="00480EB1"/>
    <w:rsid w:val="004813E8"/>
    <w:rsid w:val="004827F3"/>
    <w:rsid w:val="004829F2"/>
    <w:rsid w:val="00486114"/>
    <w:rsid w:val="004863E4"/>
    <w:rsid w:val="00486CF8"/>
    <w:rsid w:val="00487264"/>
    <w:rsid w:val="004908B1"/>
    <w:rsid w:val="00490D2A"/>
    <w:rsid w:val="0049105D"/>
    <w:rsid w:val="004918C4"/>
    <w:rsid w:val="004932A2"/>
    <w:rsid w:val="0049353E"/>
    <w:rsid w:val="00496E8C"/>
    <w:rsid w:val="00496EAA"/>
    <w:rsid w:val="004A00B9"/>
    <w:rsid w:val="004A02BC"/>
    <w:rsid w:val="004A08D7"/>
    <w:rsid w:val="004A0E54"/>
    <w:rsid w:val="004A1260"/>
    <w:rsid w:val="004A3215"/>
    <w:rsid w:val="004A5151"/>
    <w:rsid w:val="004A5DB1"/>
    <w:rsid w:val="004A6745"/>
    <w:rsid w:val="004A687F"/>
    <w:rsid w:val="004A7359"/>
    <w:rsid w:val="004B09B0"/>
    <w:rsid w:val="004B124D"/>
    <w:rsid w:val="004B30FA"/>
    <w:rsid w:val="004B3161"/>
    <w:rsid w:val="004B4E6F"/>
    <w:rsid w:val="004B5BAF"/>
    <w:rsid w:val="004B5CB4"/>
    <w:rsid w:val="004B632A"/>
    <w:rsid w:val="004B725D"/>
    <w:rsid w:val="004B7E82"/>
    <w:rsid w:val="004C06AD"/>
    <w:rsid w:val="004C0946"/>
    <w:rsid w:val="004C0C08"/>
    <w:rsid w:val="004C13CF"/>
    <w:rsid w:val="004C47DA"/>
    <w:rsid w:val="004C76B9"/>
    <w:rsid w:val="004C7C7E"/>
    <w:rsid w:val="004C7EB2"/>
    <w:rsid w:val="004D0163"/>
    <w:rsid w:val="004D09B5"/>
    <w:rsid w:val="004D0AC5"/>
    <w:rsid w:val="004D19EB"/>
    <w:rsid w:val="004D1AAF"/>
    <w:rsid w:val="004D1E6D"/>
    <w:rsid w:val="004D3210"/>
    <w:rsid w:val="004D35C6"/>
    <w:rsid w:val="004E06B4"/>
    <w:rsid w:val="004E189A"/>
    <w:rsid w:val="004E1A28"/>
    <w:rsid w:val="004E2076"/>
    <w:rsid w:val="004E2F8E"/>
    <w:rsid w:val="004E318F"/>
    <w:rsid w:val="004E5A0A"/>
    <w:rsid w:val="004E6694"/>
    <w:rsid w:val="004E6764"/>
    <w:rsid w:val="004E76BC"/>
    <w:rsid w:val="004E773F"/>
    <w:rsid w:val="004E791F"/>
    <w:rsid w:val="004F021C"/>
    <w:rsid w:val="004F0C8D"/>
    <w:rsid w:val="004F1757"/>
    <w:rsid w:val="004F1D20"/>
    <w:rsid w:val="004F326C"/>
    <w:rsid w:val="004F38A6"/>
    <w:rsid w:val="004F3F3E"/>
    <w:rsid w:val="004F444A"/>
    <w:rsid w:val="004F5575"/>
    <w:rsid w:val="004F79D9"/>
    <w:rsid w:val="00500FC1"/>
    <w:rsid w:val="005014BC"/>
    <w:rsid w:val="00501617"/>
    <w:rsid w:val="00502229"/>
    <w:rsid w:val="005030DE"/>
    <w:rsid w:val="00504BCF"/>
    <w:rsid w:val="005055AD"/>
    <w:rsid w:val="005056C1"/>
    <w:rsid w:val="0050634D"/>
    <w:rsid w:val="0050675A"/>
    <w:rsid w:val="005070A7"/>
    <w:rsid w:val="005078B2"/>
    <w:rsid w:val="005079C1"/>
    <w:rsid w:val="00507BBF"/>
    <w:rsid w:val="00511260"/>
    <w:rsid w:val="00511280"/>
    <w:rsid w:val="00511565"/>
    <w:rsid w:val="005116AB"/>
    <w:rsid w:val="0051172C"/>
    <w:rsid w:val="00511D5A"/>
    <w:rsid w:val="0051380C"/>
    <w:rsid w:val="00514878"/>
    <w:rsid w:val="00515010"/>
    <w:rsid w:val="00516DE8"/>
    <w:rsid w:val="0051706E"/>
    <w:rsid w:val="00517CF3"/>
    <w:rsid w:val="00520E7F"/>
    <w:rsid w:val="00520EED"/>
    <w:rsid w:val="00521389"/>
    <w:rsid w:val="00523DBC"/>
    <w:rsid w:val="005244E9"/>
    <w:rsid w:val="00525DF3"/>
    <w:rsid w:val="0052762F"/>
    <w:rsid w:val="00530003"/>
    <w:rsid w:val="00530509"/>
    <w:rsid w:val="00532080"/>
    <w:rsid w:val="00532409"/>
    <w:rsid w:val="0053617F"/>
    <w:rsid w:val="0053777B"/>
    <w:rsid w:val="00545009"/>
    <w:rsid w:val="00545140"/>
    <w:rsid w:val="00545668"/>
    <w:rsid w:val="0055098F"/>
    <w:rsid w:val="005517B9"/>
    <w:rsid w:val="0055282D"/>
    <w:rsid w:val="00553090"/>
    <w:rsid w:val="00553E7D"/>
    <w:rsid w:val="005542BD"/>
    <w:rsid w:val="00556489"/>
    <w:rsid w:val="00556EDA"/>
    <w:rsid w:val="00556FC7"/>
    <w:rsid w:val="005573D6"/>
    <w:rsid w:val="0056029F"/>
    <w:rsid w:val="00560779"/>
    <w:rsid w:val="00563CE1"/>
    <w:rsid w:val="0056509F"/>
    <w:rsid w:val="00565326"/>
    <w:rsid w:val="00566186"/>
    <w:rsid w:val="00566E85"/>
    <w:rsid w:val="00567A1F"/>
    <w:rsid w:val="005703D6"/>
    <w:rsid w:val="00570A0D"/>
    <w:rsid w:val="00570FE3"/>
    <w:rsid w:val="00573D1F"/>
    <w:rsid w:val="005741BF"/>
    <w:rsid w:val="005754FC"/>
    <w:rsid w:val="005758A0"/>
    <w:rsid w:val="00575EA5"/>
    <w:rsid w:val="00575F9C"/>
    <w:rsid w:val="00576979"/>
    <w:rsid w:val="005770CA"/>
    <w:rsid w:val="00577D50"/>
    <w:rsid w:val="00580D85"/>
    <w:rsid w:val="005813AC"/>
    <w:rsid w:val="00582827"/>
    <w:rsid w:val="00582985"/>
    <w:rsid w:val="0058354A"/>
    <w:rsid w:val="005841AB"/>
    <w:rsid w:val="0058491A"/>
    <w:rsid w:val="00584BA7"/>
    <w:rsid w:val="0058542B"/>
    <w:rsid w:val="00586CFB"/>
    <w:rsid w:val="00587D29"/>
    <w:rsid w:val="00591072"/>
    <w:rsid w:val="00591C65"/>
    <w:rsid w:val="00592B87"/>
    <w:rsid w:val="005934B8"/>
    <w:rsid w:val="00593EF8"/>
    <w:rsid w:val="00594C9D"/>
    <w:rsid w:val="00595C65"/>
    <w:rsid w:val="0059646E"/>
    <w:rsid w:val="005964E5"/>
    <w:rsid w:val="00596992"/>
    <w:rsid w:val="005969E2"/>
    <w:rsid w:val="00597705"/>
    <w:rsid w:val="005A2205"/>
    <w:rsid w:val="005A2449"/>
    <w:rsid w:val="005A2C73"/>
    <w:rsid w:val="005A3E4D"/>
    <w:rsid w:val="005A4FC0"/>
    <w:rsid w:val="005A65B7"/>
    <w:rsid w:val="005A71F7"/>
    <w:rsid w:val="005B0623"/>
    <w:rsid w:val="005B1333"/>
    <w:rsid w:val="005B14E5"/>
    <w:rsid w:val="005B1872"/>
    <w:rsid w:val="005B1A98"/>
    <w:rsid w:val="005B649F"/>
    <w:rsid w:val="005B7922"/>
    <w:rsid w:val="005B7CEE"/>
    <w:rsid w:val="005C0A4F"/>
    <w:rsid w:val="005C1439"/>
    <w:rsid w:val="005C15DC"/>
    <w:rsid w:val="005C1DEC"/>
    <w:rsid w:val="005C28AE"/>
    <w:rsid w:val="005C2D54"/>
    <w:rsid w:val="005C36E4"/>
    <w:rsid w:val="005C4FDA"/>
    <w:rsid w:val="005C5C47"/>
    <w:rsid w:val="005C6A41"/>
    <w:rsid w:val="005C7087"/>
    <w:rsid w:val="005C7E20"/>
    <w:rsid w:val="005D0320"/>
    <w:rsid w:val="005D0B78"/>
    <w:rsid w:val="005D25D6"/>
    <w:rsid w:val="005D3407"/>
    <w:rsid w:val="005D3941"/>
    <w:rsid w:val="005D411A"/>
    <w:rsid w:val="005D47C3"/>
    <w:rsid w:val="005D4FB3"/>
    <w:rsid w:val="005D5E9D"/>
    <w:rsid w:val="005D5FF7"/>
    <w:rsid w:val="005D6BF3"/>
    <w:rsid w:val="005D6D77"/>
    <w:rsid w:val="005D71F1"/>
    <w:rsid w:val="005E1998"/>
    <w:rsid w:val="005E22F9"/>
    <w:rsid w:val="005E2529"/>
    <w:rsid w:val="005E256E"/>
    <w:rsid w:val="005E2F30"/>
    <w:rsid w:val="005E3541"/>
    <w:rsid w:val="005E411E"/>
    <w:rsid w:val="005E560B"/>
    <w:rsid w:val="005E5719"/>
    <w:rsid w:val="005E601A"/>
    <w:rsid w:val="005E6927"/>
    <w:rsid w:val="005F03D5"/>
    <w:rsid w:val="005F04A5"/>
    <w:rsid w:val="005F1231"/>
    <w:rsid w:val="005F158C"/>
    <w:rsid w:val="005F236B"/>
    <w:rsid w:val="005F5D90"/>
    <w:rsid w:val="005F6D85"/>
    <w:rsid w:val="005F77BC"/>
    <w:rsid w:val="00600269"/>
    <w:rsid w:val="0060045E"/>
    <w:rsid w:val="0060138F"/>
    <w:rsid w:val="0060391E"/>
    <w:rsid w:val="0060443D"/>
    <w:rsid w:val="0060486E"/>
    <w:rsid w:val="006062FB"/>
    <w:rsid w:val="00606867"/>
    <w:rsid w:val="006069A5"/>
    <w:rsid w:val="00607419"/>
    <w:rsid w:val="006101AF"/>
    <w:rsid w:val="00612393"/>
    <w:rsid w:val="00612ACF"/>
    <w:rsid w:val="00613E36"/>
    <w:rsid w:val="00614A7A"/>
    <w:rsid w:val="00614E55"/>
    <w:rsid w:val="00616B35"/>
    <w:rsid w:val="00616E36"/>
    <w:rsid w:val="00617A30"/>
    <w:rsid w:val="00617F99"/>
    <w:rsid w:val="006215E6"/>
    <w:rsid w:val="0062175A"/>
    <w:rsid w:val="00621B4B"/>
    <w:rsid w:val="0062261D"/>
    <w:rsid w:val="006232F1"/>
    <w:rsid w:val="006233F2"/>
    <w:rsid w:val="00623DDE"/>
    <w:rsid w:val="00624695"/>
    <w:rsid w:val="006249C3"/>
    <w:rsid w:val="00624C27"/>
    <w:rsid w:val="00625D2D"/>
    <w:rsid w:val="006271A4"/>
    <w:rsid w:val="00630138"/>
    <w:rsid w:val="006313FC"/>
    <w:rsid w:val="006314CF"/>
    <w:rsid w:val="00632122"/>
    <w:rsid w:val="006332F2"/>
    <w:rsid w:val="00634AA2"/>
    <w:rsid w:val="00634B17"/>
    <w:rsid w:val="00635F99"/>
    <w:rsid w:val="006364A5"/>
    <w:rsid w:val="00637A17"/>
    <w:rsid w:val="00641035"/>
    <w:rsid w:val="00641661"/>
    <w:rsid w:val="00641A2E"/>
    <w:rsid w:val="00644B6F"/>
    <w:rsid w:val="00644FB0"/>
    <w:rsid w:val="006476E6"/>
    <w:rsid w:val="00650EE2"/>
    <w:rsid w:val="006511A4"/>
    <w:rsid w:val="006513E2"/>
    <w:rsid w:val="006514D0"/>
    <w:rsid w:val="00651916"/>
    <w:rsid w:val="00651DE7"/>
    <w:rsid w:val="006531C9"/>
    <w:rsid w:val="00653250"/>
    <w:rsid w:val="006535E1"/>
    <w:rsid w:val="00654EFA"/>
    <w:rsid w:val="0065507F"/>
    <w:rsid w:val="0066025E"/>
    <w:rsid w:val="00661D64"/>
    <w:rsid w:val="00662682"/>
    <w:rsid w:val="006639A0"/>
    <w:rsid w:val="00663D7F"/>
    <w:rsid w:val="00664CD0"/>
    <w:rsid w:val="00665D94"/>
    <w:rsid w:val="006668FE"/>
    <w:rsid w:val="00667591"/>
    <w:rsid w:val="0066769F"/>
    <w:rsid w:val="006678AE"/>
    <w:rsid w:val="00667F9F"/>
    <w:rsid w:val="006710E7"/>
    <w:rsid w:val="00671A0B"/>
    <w:rsid w:val="0067210D"/>
    <w:rsid w:val="006725FC"/>
    <w:rsid w:val="00673B57"/>
    <w:rsid w:val="00675C81"/>
    <w:rsid w:val="00676DC8"/>
    <w:rsid w:val="0068034D"/>
    <w:rsid w:val="00681152"/>
    <w:rsid w:val="00682799"/>
    <w:rsid w:val="00682987"/>
    <w:rsid w:val="00682CE5"/>
    <w:rsid w:val="00683D2C"/>
    <w:rsid w:val="006841DC"/>
    <w:rsid w:val="0068468E"/>
    <w:rsid w:val="00685DAD"/>
    <w:rsid w:val="0068615D"/>
    <w:rsid w:val="0068675A"/>
    <w:rsid w:val="006901C1"/>
    <w:rsid w:val="00690810"/>
    <w:rsid w:val="00690B02"/>
    <w:rsid w:val="0069106B"/>
    <w:rsid w:val="0069118D"/>
    <w:rsid w:val="00691AF2"/>
    <w:rsid w:val="00691CB2"/>
    <w:rsid w:val="00691FE8"/>
    <w:rsid w:val="00694527"/>
    <w:rsid w:val="0069550C"/>
    <w:rsid w:val="00695E44"/>
    <w:rsid w:val="00696D2F"/>
    <w:rsid w:val="00697465"/>
    <w:rsid w:val="00697EB1"/>
    <w:rsid w:val="006A2310"/>
    <w:rsid w:val="006A2706"/>
    <w:rsid w:val="006A498B"/>
    <w:rsid w:val="006A5199"/>
    <w:rsid w:val="006A7DA6"/>
    <w:rsid w:val="006B0486"/>
    <w:rsid w:val="006B150C"/>
    <w:rsid w:val="006B1DCE"/>
    <w:rsid w:val="006B2A93"/>
    <w:rsid w:val="006B2EFE"/>
    <w:rsid w:val="006B42B2"/>
    <w:rsid w:val="006B4A0C"/>
    <w:rsid w:val="006B6180"/>
    <w:rsid w:val="006B692B"/>
    <w:rsid w:val="006C1045"/>
    <w:rsid w:val="006C1733"/>
    <w:rsid w:val="006C177A"/>
    <w:rsid w:val="006C1B13"/>
    <w:rsid w:val="006C32C4"/>
    <w:rsid w:val="006C45CE"/>
    <w:rsid w:val="006C6546"/>
    <w:rsid w:val="006C6625"/>
    <w:rsid w:val="006C7A91"/>
    <w:rsid w:val="006D067F"/>
    <w:rsid w:val="006D07FB"/>
    <w:rsid w:val="006D0E67"/>
    <w:rsid w:val="006D24FD"/>
    <w:rsid w:val="006D5A67"/>
    <w:rsid w:val="006D762E"/>
    <w:rsid w:val="006D7DFD"/>
    <w:rsid w:val="006E0983"/>
    <w:rsid w:val="006E16D1"/>
    <w:rsid w:val="006E2611"/>
    <w:rsid w:val="006E2B6D"/>
    <w:rsid w:val="006E3014"/>
    <w:rsid w:val="006E3C88"/>
    <w:rsid w:val="006E4C1C"/>
    <w:rsid w:val="006E5A91"/>
    <w:rsid w:val="006E5C79"/>
    <w:rsid w:val="006F027C"/>
    <w:rsid w:val="006F09D8"/>
    <w:rsid w:val="006F0D21"/>
    <w:rsid w:val="006F1624"/>
    <w:rsid w:val="006F1E28"/>
    <w:rsid w:val="006F1FD8"/>
    <w:rsid w:val="006F3052"/>
    <w:rsid w:val="006F31BD"/>
    <w:rsid w:val="006F3259"/>
    <w:rsid w:val="006F36CB"/>
    <w:rsid w:val="006F3C00"/>
    <w:rsid w:val="006F3F69"/>
    <w:rsid w:val="006F42AC"/>
    <w:rsid w:val="006F544C"/>
    <w:rsid w:val="006F5D4A"/>
    <w:rsid w:val="006F78DB"/>
    <w:rsid w:val="00700062"/>
    <w:rsid w:val="00702C42"/>
    <w:rsid w:val="007032D5"/>
    <w:rsid w:val="00704A2E"/>
    <w:rsid w:val="007057AB"/>
    <w:rsid w:val="00705F57"/>
    <w:rsid w:val="00707343"/>
    <w:rsid w:val="007073FB"/>
    <w:rsid w:val="007076CE"/>
    <w:rsid w:val="007101EC"/>
    <w:rsid w:val="00710880"/>
    <w:rsid w:val="00710C28"/>
    <w:rsid w:val="00711778"/>
    <w:rsid w:val="00711C08"/>
    <w:rsid w:val="00711CC1"/>
    <w:rsid w:val="00712ED3"/>
    <w:rsid w:val="007132FB"/>
    <w:rsid w:val="00714697"/>
    <w:rsid w:val="00714C9E"/>
    <w:rsid w:val="00714D1F"/>
    <w:rsid w:val="00715651"/>
    <w:rsid w:val="00715A14"/>
    <w:rsid w:val="00717903"/>
    <w:rsid w:val="00717B10"/>
    <w:rsid w:val="00720798"/>
    <w:rsid w:val="00721ACF"/>
    <w:rsid w:val="00722446"/>
    <w:rsid w:val="00724B29"/>
    <w:rsid w:val="00727A78"/>
    <w:rsid w:val="00730A5A"/>
    <w:rsid w:val="00730EDB"/>
    <w:rsid w:val="00731207"/>
    <w:rsid w:val="0073191F"/>
    <w:rsid w:val="0073250B"/>
    <w:rsid w:val="0073404D"/>
    <w:rsid w:val="00734430"/>
    <w:rsid w:val="00734C55"/>
    <w:rsid w:val="00734DBB"/>
    <w:rsid w:val="0073587E"/>
    <w:rsid w:val="00735F4A"/>
    <w:rsid w:val="00736346"/>
    <w:rsid w:val="0074053C"/>
    <w:rsid w:val="007413AE"/>
    <w:rsid w:val="00741589"/>
    <w:rsid w:val="00742EDE"/>
    <w:rsid w:val="00743544"/>
    <w:rsid w:val="00743941"/>
    <w:rsid w:val="00743D4D"/>
    <w:rsid w:val="00743EB1"/>
    <w:rsid w:val="007443BD"/>
    <w:rsid w:val="0074485F"/>
    <w:rsid w:val="00745108"/>
    <w:rsid w:val="007451A8"/>
    <w:rsid w:val="0074527C"/>
    <w:rsid w:val="00745BF2"/>
    <w:rsid w:val="00745E2B"/>
    <w:rsid w:val="00746757"/>
    <w:rsid w:val="00751ADD"/>
    <w:rsid w:val="007520F6"/>
    <w:rsid w:val="007532C0"/>
    <w:rsid w:val="007540A1"/>
    <w:rsid w:val="0075434E"/>
    <w:rsid w:val="00756020"/>
    <w:rsid w:val="00756098"/>
    <w:rsid w:val="00757F3C"/>
    <w:rsid w:val="00761FC6"/>
    <w:rsid w:val="007631E0"/>
    <w:rsid w:val="00763628"/>
    <w:rsid w:val="00763BF3"/>
    <w:rsid w:val="00764F87"/>
    <w:rsid w:val="007657B6"/>
    <w:rsid w:val="00766E11"/>
    <w:rsid w:val="00767A6B"/>
    <w:rsid w:val="00767DDB"/>
    <w:rsid w:val="00771094"/>
    <w:rsid w:val="00771421"/>
    <w:rsid w:val="00772E4B"/>
    <w:rsid w:val="007744D5"/>
    <w:rsid w:val="0077459E"/>
    <w:rsid w:val="00775448"/>
    <w:rsid w:val="0077676B"/>
    <w:rsid w:val="00776C10"/>
    <w:rsid w:val="0078014A"/>
    <w:rsid w:val="00782539"/>
    <w:rsid w:val="00782782"/>
    <w:rsid w:val="007841E0"/>
    <w:rsid w:val="007863FC"/>
    <w:rsid w:val="007866DC"/>
    <w:rsid w:val="0079051D"/>
    <w:rsid w:val="00790EE4"/>
    <w:rsid w:val="00791465"/>
    <w:rsid w:val="00792381"/>
    <w:rsid w:val="0079276A"/>
    <w:rsid w:val="00794AA8"/>
    <w:rsid w:val="007952C4"/>
    <w:rsid w:val="00796986"/>
    <w:rsid w:val="00796F39"/>
    <w:rsid w:val="00796F7A"/>
    <w:rsid w:val="00797A49"/>
    <w:rsid w:val="00797E4E"/>
    <w:rsid w:val="007A0211"/>
    <w:rsid w:val="007A1488"/>
    <w:rsid w:val="007A1A81"/>
    <w:rsid w:val="007A225A"/>
    <w:rsid w:val="007A2884"/>
    <w:rsid w:val="007A3705"/>
    <w:rsid w:val="007A39B0"/>
    <w:rsid w:val="007A4C61"/>
    <w:rsid w:val="007A66BD"/>
    <w:rsid w:val="007A692F"/>
    <w:rsid w:val="007A769F"/>
    <w:rsid w:val="007A7AD5"/>
    <w:rsid w:val="007A7BBE"/>
    <w:rsid w:val="007B196E"/>
    <w:rsid w:val="007B1D13"/>
    <w:rsid w:val="007B1F09"/>
    <w:rsid w:val="007B566C"/>
    <w:rsid w:val="007B686F"/>
    <w:rsid w:val="007B6BC3"/>
    <w:rsid w:val="007B6CEF"/>
    <w:rsid w:val="007B7978"/>
    <w:rsid w:val="007C17AD"/>
    <w:rsid w:val="007C247A"/>
    <w:rsid w:val="007C4731"/>
    <w:rsid w:val="007C546A"/>
    <w:rsid w:val="007C60FD"/>
    <w:rsid w:val="007D0644"/>
    <w:rsid w:val="007D0A2D"/>
    <w:rsid w:val="007D33A1"/>
    <w:rsid w:val="007D3ACE"/>
    <w:rsid w:val="007D3F35"/>
    <w:rsid w:val="007D64EC"/>
    <w:rsid w:val="007D6D21"/>
    <w:rsid w:val="007D727F"/>
    <w:rsid w:val="007D7A96"/>
    <w:rsid w:val="007E0040"/>
    <w:rsid w:val="007E040A"/>
    <w:rsid w:val="007E05A2"/>
    <w:rsid w:val="007E1089"/>
    <w:rsid w:val="007E11A7"/>
    <w:rsid w:val="007E1B26"/>
    <w:rsid w:val="007E1F8D"/>
    <w:rsid w:val="007E58D1"/>
    <w:rsid w:val="007E5E24"/>
    <w:rsid w:val="007E7F13"/>
    <w:rsid w:val="007E7FA2"/>
    <w:rsid w:val="007F0F84"/>
    <w:rsid w:val="007F1E72"/>
    <w:rsid w:val="007F28C0"/>
    <w:rsid w:val="007F2C37"/>
    <w:rsid w:val="007F4798"/>
    <w:rsid w:val="007F597F"/>
    <w:rsid w:val="007F5DE4"/>
    <w:rsid w:val="00800438"/>
    <w:rsid w:val="008004A2"/>
    <w:rsid w:val="008019A5"/>
    <w:rsid w:val="008020C2"/>
    <w:rsid w:val="008020CD"/>
    <w:rsid w:val="00803543"/>
    <w:rsid w:val="00805212"/>
    <w:rsid w:val="00806AFC"/>
    <w:rsid w:val="0080750A"/>
    <w:rsid w:val="00810336"/>
    <w:rsid w:val="0081156D"/>
    <w:rsid w:val="00811B30"/>
    <w:rsid w:val="00811B48"/>
    <w:rsid w:val="00812D95"/>
    <w:rsid w:val="00813448"/>
    <w:rsid w:val="00814EDE"/>
    <w:rsid w:val="0081612B"/>
    <w:rsid w:val="00816ED1"/>
    <w:rsid w:val="00821D82"/>
    <w:rsid w:val="008230F2"/>
    <w:rsid w:val="00823102"/>
    <w:rsid w:val="008232F6"/>
    <w:rsid w:val="00823442"/>
    <w:rsid w:val="00823CFE"/>
    <w:rsid w:val="0082402A"/>
    <w:rsid w:val="008242ED"/>
    <w:rsid w:val="00824334"/>
    <w:rsid w:val="00824FF2"/>
    <w:rsid w:val="008276BB"/>
    <w:rsid w:val="00830F6A"/>
    <w:rsid w:val="008315F6"/>
    <w:rsid w:val="00832AD6"/>
    <w:rsid w:val="00832EA6"/>
    <w:rsid w:val="00832FD6"/>
    <w:rsid w:val="0083336E"/>
    <w:rsid w:val="00834066"/>
    <w:rsid w:val="008342B7"/>
    <w:rsid w:val="008343B4"/>
    <w:rsid w:val="008344D0"/>
    <w:rsid w:val="0083602D"/>
    <w:rsid w:val="00836437"/>
    <w:rsid w:val="00836A52"/>
    <w:rsid w:val="00837310"/>
    <w:rsid w:val="00837B9A"/>
    <w:rsid w:val="00837E1F"/>
    <w:rsid w:val="008405CE"/>
    <w:rsid w:val="008405CF"/>
    <w:rsid w:val="0084081B"/>
    <w:rsid w:val="00840CF2"/>
    <w:rsid w:val="00841726"/>
    <w:rsid w:val="008417D1"/>
    <w:rsid w:val="008426AA"/>
    <w:rsid w:val="0084295A"/>
    <w:rsid w:val="0084393F"/>
    <w:rsid w:val="00845BC6"/>
    <w:rsid w:val="00846269"/>
    <w:rsid w:val="00846AD7"/>
    <w:rsid w:val="00851511"/>
    <w:rsid w:val="0085358C"/>
    <w:rsid w:val="008536CA"/>
    <w:rsid w:val="008547C2"/>
    <w:rsid w:val="00854A89"/>
    <w:rsid w:val="00854DAC"/>
    <w:rsid w:val="00855355"/>
    <w:rsid w:val="008557C2"/>
    <w:rsid w:val="00855F97"/>
    <w:rsid w:val="00856417"/>
    <w:rsid w:val="008566EC"/>
    <w:rsid w:val="008579B6"/>
    <w:rsid w:val="0086080D"/>
    <w:rsid w:val="0086178D"/>
    <w:rsid w:val="00861853"/>
    <w:rsid w:val="0086273D"/>
    <w:rsid w:val="00862DA3"/>
    <w:rsid w:val="008634DE"/>
    <w:rsid w:val="008647BD"/>
    <w:rsid w:val="00864943"/>
    <w:rsid w:val="008665C4"/>
    <w:rsid w:val="0086751C"/>
    <w:rsid w:val="008677E3"/>
    <w:rsid w:val="00870B41"/>
    <w:rsid w:val="0087195C"/>
    <w:rsid w:val="00873896"/>
    <w:rsid w:val="00873C6E"/>
    <w:rsid w:val="00873CE7"/>
    <w:rsid w:val="00873EB9"/>
    <w:rsid w:val="00875D5A"/>
    <w:rsid w:val="00875F1E"/>
    <w:rsid w:val="00880351"/>
    <w:rsid w:val="0088070D"/>
    <w:rsid w:val="0088086C"/>
    <w:rsid w:val="00880D31"/>
    <w:rsid w:val="0088182F"/>
    <w:rsid w:val="008825BB"/>
    <w:rsid w:val="00882735"/>
    <w:rsid w:val="0088275A"/>
    <w:rsid w:val="00882EFE"/>
    <w:rsid w:val="00885C05"/>
    <w:rsid w:val="00885F6F"/>
    <w:rsid w:val="008862A5"/>
    <w:rsid w:val="00886FED"/>
    <w:rsid w:val="00887065"/>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973"/>
    <w:rsid w:val="008A3B56"/>
    <w:rsid w:val="008A40F2"/>
    <w:rsid w:val="008A4281"/>
    <w:rsid w:val="008A537D"/>
    <w:rsid w:val="008A7240"/>
    <w:rsid w:val="008A75F3"/>
    <w:rsid w:val="008A7BFC"/>
    <w:rsid w:val="008A7CF7"/>
    <w:rsid w:val="008A7FAD"/>
    <w:rsid w:val="008B0A53"/>
    <w:rsid w:val="008B100F"/>
    <w:rsid w:val="008B12B1"/>
    <w:rsid w:val="008B1DA6"/>
    <w:rsid w:val="008B2F65"/>
    <w:rsid w:val="008B3660"/>
    <w:rsid w:val="008B3C8F"/>
    <w:rsid w:val="008B6397"/>
    <w:rsid w:val="008C0069"/>
    <w:rsid w:val="008C210D"/>
    <w:rsid w:val="008C2203"/>
    <w:rsid w:val="008C3E59"/>
    <w:rsid w:val="008C480D"/>
    <w:rsid w:val="008C48D4"/>
    <w:rsid w:val="008C4C45"/>
    <w:rsid w:val="008C4D4F"/>
    <w:rsid w:val="008C64A8"/>
    <w:rsid w:val="008C651B"/>
    <w:rsid w:val="008C7138"/>
    <w:rsid w:val="008D0105"/>
    <w:rsid w:val="008D136B"/>
    <w:rsid w:val="008D19DA"/>
    <w:rsid w:val="008D1F83"/>
    <w:rsid w:val="008D2564"/>
    <w:rsid w:val="008D3C26"/>
    <w:rsid w:val="008D3CE7"/>
    <w:rsid w:val="008D6DA7"/>
    <w:rsid w:val="008D6E8B"/>
    <w:rsid w:val="008E1626"/>
    <w:rsid w:val="008E18D0"/>
    <w:rsid w:val="008E270C"/>
    <w:rsid w:val="008E39EF"/>
    <w:rsid w:val="008E51D4"/>
    <w:rsid w:val="008E66F8"/>
    <w:rsid w:val="008E74EF"/>
    <w:rsid w:val="008E7904"/>
    <w:rsid w:val="008E7EFA"/>
    <w:rsid w:val="008F051D"/>
    <w:rsid w:val="008F0DD8"/>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3CF4"/>
    <w:rsid w:val="009041F8"/>
    <w:rsid w:val="00904D53"/>
    <w:rsid w:val="00905C49"/>
    <w:rsid w:val="00906C53"/>
    <w:rsid w:val="00906F12"/>
    <w:rsid w:val="0090737A"/>
    <w:rsid w:val="00907E2C"/>
    <w:rsid w:val="00907FBE"/>
    <w:rsid w:val="00910329"/>
    <w:rsid w:val="009118D6"/>
    <w:rsid w:val="0091491D"/>
    <w:rsid w:val="0091517B"/>
    <w:rsid w:val="00916B7A"/>
    <w:rsid w:val="00917061"/>
    <w:rsid w:val="00920BA8"/>
    <w:rsid w:val="00920FD5"/>
    <w:rsid w:val="00921597"/>
    <w:rsid w:val="00921696"/>
    <w:rsid w:val="009221CE"/>
    <w:rsid w:val="009233DF"/>
    <w:rsid w:val="00923659"/>
    <w:rsid w:val="0092525C"/>
    <w:rsid w:val="009257EE"/>
    <w:rsid w:val="009262E3"/>
    <w:rsid w:val="009269C8"/>
    <w:rsid w:val="00927E7F"/>
    <w:rsid w:val="009300E6"/>
    <w:rsid w:val="00931856"/>
    <w:rsid w:val="00931957"/>
    <w:rsid w:val="00932259"/>
    <w:rsid w:val="0093250B"/>
    <w:rsid w:val="0093440F"/>
    <w:rsid w:val="00935CD6"/>
    <w:rsid w:val="00937B2D"/>
    <w:rsid w:val="00937F6E"/>
    <w:rsid w:val="00940225"/>
    <w:rsid w:val="009405D3"/>
    <w:rsid w:val="00941EB2"/>
    <w:rsid w:val="009429D4"/>
    <w:rsid w:val="0094300A"/>
    <w:rsid w:val="009430DE"/>
    <w:rsid w:val="009433F4"/>
    <w:rsid w:val="00943D4D"/>
    <w:rsid w:val="00944464"/>
    <w:rsid w:val="00944E53"/>
    <w:rsid w:val="00945BC4"/>
    <w:rsid w:val="00946D1A"/>
    <w:rsid w:val="00947D47"/>
    <w:rsid w:val="009503FE"/>
    <w:rsid w:val="009519B5"/>
    <w:rsid w:val="00952753"/>
    <w:rsid w:val="009527F0"/>
    <w:rsid w:val="0095291D"/>
    <w:rsid w:val="00954455"/>
    <w:rsid w:val="00954778"/>
    <w:rsid w:val="0095687B"/>
    <w:rsid w:val="00957730"/>
    <w:rsid w:val="00960CDB"/>
    <w:rsid w:val="00962E0E"/>
    <w:rsid w:val="00964882"/>
    <w:rsid w:val="009648F1"/>
    <w:rsid w:val="00964C44"/>
    <w:rsid w:val="00964DFA"/>
    <w:rsid w:val="0096634B"/>
    <w:rsid w:val="00966B45"/>
    <w:rsid w:val="00970692"/>
    <w:rsid w:val="00971166"/>
    <w:rsid w:val="0097136D"/>
    <w:rsid w:val="0097196E"/>
    <w:rsid w:val="00971D2F"/>
    <w:rsid w:val="009722AD"/>
    <w:rsid w:val="009737E6"/>
    <w:rsid w:val="00973801"/>
    <w:rsid w:val="0097492C"/>
    <w:rsid w:val="00974C17"/>
    <w:rsid w:val="00974E2D"/>
    <w:rsid w:val="00975DB5"/>
    <w:rsid w:val="00976DCD"/>
    <w:rsid w:val="00976F0D"/>
    <w:rsid w:val="0097797A"/>
    <w:rsid w:val="0098066C"/>
    <w:rsid w:val="00981292"/>
    <w:rsid w:val="009812F2"/>
    <w:rsid w:val="009814B0"/>
    <w:rsid w:val="00981871"/>
    <w:rsid w:val="00983F3F"/>
    <w:rsid w:val="00984181"/>
    <w:rsid w:val="0098571F"/>
    <w:rsid w:val="00987780"/>
    <w:rsid w:val="0099005D"/>
    <w:rsid w:val="00991355"/>
    <w:rsid w:val="00991A9F"/>
    <w:rsid w:val="00992504"/>
    <w:rsid w:val="00992B0D"/>
    <w:rsid w:val="009946AA"/>
    <w:rsid w:val="009949C6"/>
    <w:rsid w:val="009965F7"/>
    <w:rsid w:val="009969E0"/>
    <w:rsid w:val="00996B5C"/>
    <w:rsid w:val="00996F3E"/>
    <w:rsid w:val="009A0545"/>
    <w:rsid w:val="009A0B4E"/>
    <w:rsid w:val="009A1EC2"/>
    <w:rsid w:val="009A2220"/>
    <w:rsid w:val="009A2BCB"/>
    <w:rsid w:val="009A2D20"/>
    <w:rsid w:val="009A336F"/>
    <w:rsid w:val="009A3503"/>
    <w:rsid w:val="009A36AF"/>
    <w:rsid w:val="009A3E97"/>
    <w:rsid w:val="009A591E"/>
    <w:rsid w:val="009A77E7"/>
    <w:rsid w:val="009B06B1"/>
    <w:rsid w:val="009B1B5C"/>
    <w:rsid w:val="009B306D"/>
    <w:rsid w:val="009B5983"/>
    <w:rsid w:val="009B76D5"/>
    <w:rsid w:val="009B7B65"/>
    <w:rsid w:val="009C052D"/>
    <w:rsid w:val="009C09A0"/>
    <w:rsid w:val="009C1358"/>
    <w:rsid w:val="009C2116"/>
    <w:rsid w:val="009C2135"/>
    <w:rsid w:val="009C323D"/>
    <w:rsid w:val="009C36F1"/>
    <w:rsid w:val="009C3B51"/>
    <w:rsid w:val="009C3E3C"/>
    <w:rsid w:val="009C4E0E"/>
    <w:rsid w:val="009C4F54"/>
    <w:rsid w:val="009C5271"/>
    <w:rsid w:val="009C5C84"/>
    <w:rsid w:val="009C63A4"/>
    <w:rsid w:val="009C63D5"/>
    <w:rsid w:val="009C6B5F"/>
    <w:rsid w:val="009C787C"/>
    <w:rsid w:val="009C7FC6"/>
    <w:rsid w:val="009D00D9"/>
    <w:rsid w:val="009D161A"/>
    <w:rsid w:val="009D1693"/>
    <w:rsid w:val="009D1BCC"/>
    <w:rsid w:val="009D3D26"/>
    <w:rsid w:val="009D46C5"/>
    <w:rsid w:val="009D4AB7"/>
    <w:rsid w:val="009D5302"/>
    <w:rsid w:val="009D62F3"/>
    <w:rsid w:val="009D69D0"/>
    <w:rsid w:val="009D754F"/>
    <w:rsid w:val="009D7597"/>
    <w:rsid w:val="009E0D87"/>
    <w:rsid w:val="009E1896"/>
    <w:rsid w:val="009E1980"/>
    <w:rsid w:val="009E1ACC"/>
    <w:rsid w:val="009E20B0"/>
    <w:rsid w:val="009E2833"/>
    <w:rsid w:val="009E2BB3"/>
    <w:rsid w:val="009E325E"/>
    <w:rsid w:val="009E3484"/>
    <w:rsid w:val="009E569F"/>
    <w:rsid w:val="009E5E5A"/>
    <w:rsid w:val="009E5FDA"/>
    <w:rsid w:val="009E646F"/>
    <w:rsid w:val="009E6EA9"/>
    <w:rsid w:val="009E747B"/>
    <w:rsid w:val="009E776E"/>
    <w:rsid w:val="009F02E8"/>
    <w:rsid w:val="009F11E8"/>
    <w:rsid w:val="009F1760"/>
    <w:rsid w:val="009F4396"/>
    <w:rsid w:val="009F5BAA"/>
    <w:rsid w:val="009F5D93"/>
    <w:rsid w:val="009F6F14"/>
    <w:rsid w:val="009F7433"/>
    <w:rsid w:val="00A00F3C"/>
    <w:rsid w:val="00A0144A"/>
    <w:rsid w:val="00A01BE1"/>
    <w:rsid w:val="00A01C19"/>
    <w:rsid w:val="00A01DCF"/>
    <w:rsid w:val="00A02844"/>
    <w:rsid w:val="00A034F2"/>
    <w:rsid w:val="00A03E67"/>
    <w:rsid w:val="00A042CC"/>
    <w:rsid w:val="00A05071"/>
    <w:rsid w:val="00A06BF5"/>
    <w:rsid w:val="00A06D3F"/>
    <w:rsid w:val="00A07157"/>
    <w:rsid w:val="00A076B8"/>
    <w:rsid w:val="00A07E9C"/>
    <w:rsid w:val="00A11066"/>
    <w:rsid w:val="00A1196D"/>
    <w:rsid w:val="00A11A36"/>
    <w:rsid w:val="00A11B5F"/>
    <w:rsid w:val="00A122F8"/>
    <w:rsid w:val="00A1243E"/>
    <w:rsid w:val="00A12914"/>
    <w:rsid w:val="00A12EEB"/>
    <w:rsid w:val="00A14173"/>
    <w:rsid w:val="00A14B14"/>
    <w:rsid w:val="00A167B8"/>
    <w:rsid w:val="00A17060"/>
    <w:rsid w:val="00A17ED7"/>
    <w:rsid w:val="00A20492"/>
    <w:rsid w:val="00A2185E"/>
    <w:rsid w:val="00A21919"/>
    <w:rsid w:val="00A26381"/>
    <w:rsid w:val="00A2657F"/>
    <w:rsid w:val="00A27B32"/>
    <w:rsid w:val="00A27B99"/>
    <w:rsid w:val="00A31C08"/>
    <w:rsid w:val="00A32440"/>
    <w:rsid w:val="00A32889"/>
    <w:rsid w:val="00A331C2"/>
    <w:rsid w:val="00A33B2D"/>
    <w:rsid w:val="00A34948"/>
    <w:rsid w:val="00A363B2"/>
    <w:rsid w:val="00A36441"/>
    <w:rsid w:val="00A36A40"/>
    <w:rsid w:val="00A36D42"/>
    <w:rsid w:val="00A414A1"/>
    <w:rsid w:val="00A41BC0"/>
    <w:rsid w:val="00A42893"/>
    <w:rsid w:val="00A42906"/>
    <w:rsid w:val="00A43E5D"/>
    <w:rsid w:val="00A44191"/>
    <w:rsid w:val="00A45490"/>
    <w:rsid w:val="00A4594C"/>
    <w:rsid w:val="00A46E6A"/>
    <w:rsid w:val="00A4723D"/>
    <w:rsid w:val="00A47250"/>
    <w:rsid w:val="00A47F27"/>
    <w:rsid w:val="00A50CA3"/>
    <w:rsid w:val="00A5180C"/>
    <w:rsid w:val="00A521EE"/>
    <w:rsid w:val="00A53BED"/>
    <w:rsid w:val="00A5427C"/>
    <w:rsid w:val="00A57BBF"/>
    <w:rsid w:val="00A603C3"/>
    <w:rsid w:val="00A61267"/>
    <w:rsid w:val="00A63829"/>
    <w:rsid w:val="00A64250"/>
    <w:rsid w:val="00A64CAF"/>
    <w:rsid w:val="00A64FD8"/>
    <w:rsid w:val="00A6550F"/>
    <w:rsid w:val="00A6688F"/>
    <w:rsid w:val="00A66B2E"/>
    <w:rsid w:val="00A67C97"/>
    <w:rsid w:val="00A711F9"/>
    <w:rsid w:val="00A71783"/>
    <w:rsid w:val="00A719FE"/>
    <w:rsid w:val="00A748BC"/>
    <w:rsid w:val="00A74937"/>
    <w:rsid w:val="00A75812"/>
    <w:rsid w:val="00A75B8E"/>
    <w:rsid w:val="00A80111"/>
    <w:rsid w:val="00A80F2A"/>
    <w:rsid w:val="00A81B02"/>
    <w:rsid w:val="00A81DF8"/>
    <w:rsid w:val="00A82B55"/>
    <w:rsid w:val="00A82BF6"/>
    <w:rsid w:val="00A83F39"/>
    <w:rsid w:val="00A84210"/>
    <w:rsid w:val="00A853CC"/>
    <w:rsid w:val="00A85465"/>
    <w:rsid w:val="00A854BE"/>
    <w:rsid w:val="00A866AE"/>
    <w:rsid w:val="00A86933"/>
    <w:rsid w:val="00A878A5"/>
    <w:rsid w:val="00A87D38"/>
    <w:rsid w:val="00A92225"/>
    <w:rsid w:val="00A92705"/>
    <w:rsid w:val="00A9381F"/>
    <w:rsid w:val="00A9417A"/>
    <w:rsid w:val="00A958D5"/>
    <w:rsid w:val="00A95B9A"/>
    <w:rsid w:val="00A95C76"/>
    <w:rsid w:val="00A95CB4"/>
    <w:rsid w:val="00A976E6"/>
    <w:rsid w:val="00AA00D8"/>
    <w:rsid w:val="00AA02DF"/>
    <w:rsid w:val="00AA0337"/>
    <w:rsid w:val="00AA20EC"/>
    <w:rsid w:val="00AA32DA"/>
    <w:rsid w:val="00AA3C62"/>
    <w:rsid w:val="00AA45A4"/>
    <w:rsid w:val="00AA4712"/>
    <w:rsid w:val="00AA4FAB"/>
    <w:rsid w:val="00AA65F4"/>
    <w:rsid w:val="00AA68CC"/>
    <w:rsid w:val="00AA7808"/>
    <w:rsid w:val="00AA7A71"/>
    <w:rsid w:val="00AB01B3"/>
    <w:rsid w:val="00AB1B2B"/>
    <w:rsid w:val="00AB3E84"/>
    <w:rsid w:val="00AB43EE"/>
    <w:rsid w:val="00AB4F07"/>
    <w:rsid w:val="00AB5121"/>
    <w:rsid w:val="00AB51EA"/>
    <w:rsid w:val="00AB6822"/>
    <w:rsid w:val="00AB6F0C"/>
    <w:rsid w:val="00AB73F3"/>
    <w:rsid w:val="00AB7827"/>
    <w:rsid w:val="00AC0FC1"/>
    <w:rsid w:val="00AC1A8D"/>
    <w:rsid w:val="00AC1EC5"/>
    <w:rsid w:val="00AC2076"/>
    <w:rsid w:val="00AC4658"/>
    <w:rsid w:val="00AC4AC4"/>
    <w:rsid w:val="00AC4B01"/>
    <w:rsid w:val="00AC7F40"/>
    <w:rsid w:val="00AC7FDF"/>
    <w:rsid w:val="00AD0544"/>
    <w:rsid w:val="00AD061A"/>
    <w:rsid w:val="00AD1C15"/>
    <w:rsid w:val="00AD35F0"/>
    <w:rsid w:val="00AD5D92"/>
    <w:rsid w:val="00AD6B3C"/>
    <w:rsid w:val="00AD7F25"/>
    <w:rsid w:val="00AE0269"/>
    <w:rsid w:val="00AE099A"/>
    <w:rsid w:val="00AE0D35"/>
    <w:rsid w:val="00AE0E91"/>
    <w:rsid w:val="00AE154F"/>
    <w:rsid w:val="00AE18E1"/>
    <w:rsid w:val="00AE1EE1"/>
    <w:rsid w:val="00AE207E"/>
    <w:rsid w:val="00AE2782"/>
    <w:rsid w:val="00AE2C20"/>
    <w:rsid w:val="00AE3DAE"/>
    <w:rsid w:val="00AE412E"/>
    <w:rsid w:val="00AE4248"/>
    <w:rsid w:val="00AE4BC0"/>
    <w:rsid w:val="00AE5E46"/>
    <w:rsid w:val="00AE67E5"/>
    <w:rsid w:val="00AF05EC"/>
    <w:rsid w:val="00AF252E"/>
    <w:rsid w:val="00AF2AE0"/>
    <w:rsid w:val="00AF399D"/>
    <w:rsid w:val="00AF3D6B"/>
    <w:rsid w:val="00AF4917"/>
    <w:rsid w:val="00AF4DC9"/>
    <w:rsid w:val="00AF6292"/>
    <w:rsid w:val="00AF680F"/>
    <w:rsid w:val="00AF6DF0"/>
    <w:rsid w:val="00AF749F"/>
    <w:rsid w:val="00B00514"/>
    <w:rsid w:val="00B00575"/>
    <w:rsid w:val="00B00C04"/>
    <w:rsid w:val="00B01C2D"/>
    <w:rsid w:val="00B01FAF"/>
    <w:rsid w:val="00B03017"/>
    <w:rsid w:val="00B03236"/>
    <w:rsid w:val="00B04260"/>
    <w:rsid w:val="00B04A4E"/>
    <w:rsid w:val="00B0511A"/>
    <w:rsid w:val="00B05982"/>
    <w:rsid w:val="00B05D39"/>
    <w:rsid w:val="00B100BE"/>
    <w:rsid w:val="00B11284"/>
    <w:rsid w:val="00B11F80"/>
    <w:rsid w:val="00B123E5"/>
    <w:rsid w:val="00B13A6B"/>
    <w:rsid w:val="00B14FF9"/>
    <w:rsid w:val="00B15D9A"/>
    <w:rsid w:val="00B160F4"/>
    <w:rsid w:val="00B1673B"/>
    <w:rsid w:val="00B1684F"/>
    <w:rsid w:val="00B1722F"/>
    <w:rsid w:val="00B17CCB"/>
    <w:rsid w:val="00B207AC"/>
    <w:rsid w:val="00B20D36"/>
    <w:rsid w:val="00B21512"/>
    <w:rsid w:val="00B21620"/>
    <w:rsid w:val="00B21AAA"/>
    <w:rsid w:val="00B21FA2"/>
    <w:rsid w:val="00B235FF"/>
    <w:rsid w:val="00B24486"/>
    <w:rsid w:val="00B24846"/>
    <w:rsid w:val="00B25571"/>
    <w:rsid w:val="00B26963"/>
    <w:rsid w:val="00B26AA4"/>
    <w:rsid w:val="00B30BDA"/>
    <w:rsid w:val="00B30C98"/>
    <w:rsid w:val="00B32AE8"/>
    <w:rsid w:val="00B3323A"/>
    <w:rsid w:val="00B34ECD"/>
    <w:rsid w:val="00B35DC5"/>
    <w:rsid w:val="00B36696"/>
    <w:rsid w:val="00B418D6"/>
    <w:rsid w:val="00B4285E"/>
    <w:rsid w:val="00B436B2"/>
    <w:rsid w:val="00B446F9"/>
    <w:rsid w:val="00B44AB2"/>
    <w:rsid w:val="00B46ADF"/>
    <w:rsid w:val="00B500CB"/>
    <w:rsid w:val="00B5020A"/>
    <w:rsid w:val="00B50382"/>
    <w:rsid w:val="00B512A3"/>
    <w:rsid w:val="00B51F04"/>
    <w:rsid w:val="00B53331"/>
    <w:rsid w:val="00B53DB6"/>
    <w:rsid w:val="00B54405"/>
    <w:rsid w:val="00B54958"/>
    <w:rsid w:val="00B559B2"/>
    <w:rsid w:val="00B56321"/>
    <w:rsid w:val="00B565D4"/>
    <w:rsid w:val="00B56BAF"/>
    <w:rsid w:val="00B56D13"/>
    <w:rsid w:val="00B56D2F"/>
    <w:rsid w:val="00B56DA8"/>
    <w:rsid w:val="00B57BF8"/>
    <w:rsid w:val="00B60064"/>
    <w:rsid w:val="00B60E51"/>
    <w:rsid w:val="00B61677"/>
    <w:rsid w:val="00B62C9B"/>
    <w:rsid w:val="00B63F7F"/>
    <w:rsid w:val="00B6537F"/>
    <w:rsid w:val="00B65433"/>
    <w:rsid w:val="00B655D8"/>
    <w:rsid w:val="00B65A2F"/>
    <w:rsid w:val="00B65D0C"/>
    <w:rsid w:val="00B65DEE"/>
    <w:rsid w:val="00B673D7"/>
    <w:rsid w:val="00B67EAF"/>
    <w:rsid w:val="00B71571"/>
    <w:rsid w:val="00B715B1"/>
    <w:rsid w:val="00B727EA"/>
    <w:rsid w:val="00B74544"/>
    <w:rsid w:val="00B748E5"/>
    <w:rsid w:val="00B75C4F"/>
    <w:rsid w:val="00B7619E"/>
    <w:rsid w:val="00B77677"/>
    <w:rsid w:val="00B77BF3"/>
    <w:rsid w:val="00B81698"/>
    <w:rsid w:val="00B83257"/>
    <w:rsid w:val="00B8381D"/>
    <w:rsid w:val="00B84964"/>
    <w:rsid w:val="00B849F3"/>
    <w:rsid w:val="00B85F87"/>
    <w:rsid w:val="00B86A5A"/>
    <w:rsid w:val="00B86B4C"/>
    <w:rsid w:val="00B9092D"/>
    <w:rsid w:val="00B91527"/>
    <w:rsid w:val="00B92470"/>
    <w:rsid w:val="00B92584"/>
    <w:rsid w:val="00B929D1"/>
    <w:rsid w:val="00B935F3"/>
    <w:rsid w:val="00B93AC6"/>
    <w:rsid w:val="00B93E44"/>
    <w:rsid w:val="00B94527"/>
    <w:rsid w:val="00B95349"/>
    <w:rsid w:val="00B955C0"/>
    <w:rsid w:val="00B95B9C"/>
    <w:rsid w:val="00B95DBF"/>
    <w:rsid w:val="00B961E2"/>
    <w:rsid w:val="00B96D1A"/>
    <w:rsid w:val="00B97608"/>
    <w:rsid w:val="00BA0067"/>
    <w:rsid w:val="00BA0F9A"/>
    <w:rsid w:val="00BA2179"/>
    <w:rsid w:val="00BA3220"/>
    <w:rsid w:val="00BA3492"/>
    <w:rsid w:val="00BA65AC"/>
    <w:rsid w:val="00BA760F"/>
    <w:rsid w:val="00BB0BBB"/>
    <w:rsid w:val="00BB1FBF"/>
    <w:rsid w:val="00BB2344"/>
    <w:rsid w:val="00BB2985"/>
    <w:rsid w:val="00BB4314"/>
    <w:rsid w:val="00BC0A20"/>
    <w:rsid w:val="00BC21A0"/>
    <w:rsid w:val="00BC4EF3"/>
    <w:rsid w:val="00BC76F8"/>
    <w:rsid w:val="00BC77C0"/>
    <w:rsid w:val="00BD0B25"/>
    <w:rsid w:val="00BD0D0E"/>
    <w:rsid w:val="00BD234D"/>
    <w:rsid w:val="00BD2561"/>
    <w:rsid w:val="00BD5DCD"/>
    <w:rsid w:val="00BD616D"/>
    <w:rsid w:val="00BD6331"/>
    <w:rsid w:val="00BD6C4D"/>
    <w:rsid w:val="00BD7F9E"/>
    <w:rsid w:val="00BE0997"/>
    <w:rsid w:val="00BE0E84"/>
    <w:rsid w:val="00BE1907"/>
    <w:rsid w:val="00BE1A97"/>
    <w:rsid w:val="00BE22CC"/>
    <w:rsid w:val="00BE3AF3"/>
    <w:rsid w:val="00BE485B"/>
    <w:rsid w:val="00BE6A74"/>
    <w:rsid w:val="00BE7D08"/>
    <w:rsid w:val="00BF01E2"/>
    <w:rsid w:val="00BF0840"/>
    <w:rsid w:val="00BF0DFF"/>
    <w:rsid w:val="00BF22B8"/>
    <w:rsid w:val="00BF2603"/>
    <w:rsid w:val="00BF377F"/>
    <w:rsid w:val="00BF51CE"/>
    <w:rsid w:val="00BF5E37"/>
    <w:rsid w:val="00BF6541"/>
    <w:rsid w:val="00BF736D"/>
    <w:rsid w:val="00C01A0D"/>
    <w:rsid w:val="00C028D9"/>
    <w:rsid w:val="00C036E4"/>
    <w:rsid w:val="00C038B8"/>
    <w:rsid w:val="00C03B35"/>
    <w:rsid w:val="00C04802"/>
    <w:rsid w:val="00C06574"/>
    <w:rsid w:val="00C06F31"/>
    <w:rsid w:val="00C11EE9"/>
    <w:rsid w:val="00C12B8C"/>
    <w:rsid w:val="00C155D9"/>
    <w:rsid w:val="00C155E2"/>
    <w:rsid w:val="00C15958"/>
    <w:rsid w:val="00C17F63"/>
    <w:rsid w:val="00C2211D"/>
    <w:rsid w:val="00C22C9E"/>
    <w:rsid w:val="00C23216"/>
    <w:rsid w:val="00C2344F"/>
    <w:rsid w:val="00C2403B"/>
    <w:rsid w:val="00C245F9"/>
    <w:rsid w:val="00C246F2"/>
    <w:rsid w:val="00C26707"/>
    <w:rsid w:val="00C268CF"/>
    <w:rsid w:val="00C26CF9"/>
    <w:rsid w:val="00C27719"/>
    <w:rsid w:val="00C27877"/>
    <w:rsid w:val="00C27FB9"/>
    <w:rsid w:val="00C30E81"/>
    <w:rsid w:val="00C31BCD"/>
    <w:rsid w:val="00C320EB"/>
    <w:rsid w:val="00C32799"/>
    <w:rsid w:val="00C329ED"/>
    <w:rsid w:val="00C32F7B"/>
    <w:rsid w:val="00C333B3"/>
    <w:rsid w:val="00C33845"/>
    <w:rsid w:val="00C34E6D"/>
    <w:rsid w:val="00C3513F"/>
    <w:rsid w:val="00C355AA"/>
    <w:rsid w:val="00C36223"/>
    <w:rsid w:val="00C36901"/>
    <w:rsid w:val="00C40725"/>
    <w:rsid w:val="00C40A15"/>
    <w:rsid w:val="00C41C1E"/>
    <w:rsid w:val="00C4207E"/>
    <w:rsid w:val="00C451A3"/>
    <w:rsid w:val="00C4577E"/>
    <w:rsid w:val="00C5002E"/>
    <w:rsid w:val="00C50C8F"/>
    <w:rsid w:val="00C50D41"/>
    <w:rsid w:val="00C51156"/>
    <w:rsid w:val="00C53FD7"/>
    <w:rsid w:val="00C55C61"/>
    <w:rsid w:val="00C57047"/>
    <w:rsid w:val="00C63E22"/>
    <w:rsid w:val="00C64F44"/>
    <w:rsid w:val="00C650ED"/>
    <w:rsid w:val="00C65132"/>
    <w:rsid w:val="00C65F6A"/>
    <w:rsid w:val="00C67F3E"/>
    <w:rsid w:val="00C70BE8"/>
    <w:rsid w:val="00C70CD5"/>
    <w:rsid w:val="00C7194E"/>
    <w:rsid w:val="00C7216F"/>
    <w:rsid w:val="00C730E4"/>
    <w:rsid w:val="00C73BB8"/>
    <w:rsid w:val="00C74CC5"/>
    <w:rsid w:val="00C755E9"/>
    <w:rsid w:val="00C76B48"/>
    <w:rsid w:val="00C76CC4"/>
    <w:rsid w:val="00C76D02"/>
    <w:rsid w:val="00C77815"/>
    <w:rsid w:val="00C81100"/>
    <w:rsid w:val="00C8111D"/>
    <w:rsid w:val="00C823C5"/>
    <w:rsid w:val="00C82CD1"/>
    <w:rsid w:val="00C82D42"/>
    <w:rsid w:val="00C8322A"/>
    <w:rsid w:val="00C83583"/>
    <w:rsid w:val="00C83ECC"/>
    <w:rsid w:val="00C84B12"/>
    <w:rsid w:val="00C85239"/>
    <w:rsid w:val="00C869BC"/>
    <w:rsid w:val="00C8737E"/>
    <w:rsid w:val="00C87455"/>
    <w:rsid w:val="00C90444"/>
    <w:rsid w:val="00C9243B"/>
    <w:rsid w:val="00C95011"/>
    <w:rsid w:val="00C953C0"/>
    <w:rsid w:val="00C96E5A"/>
    <w:rsid w:val="00C97ACC"/>
    <w:rsid w:val="00CA056D"/>
    <w:rsid w:val="00CA181F"/>
    <w:rsid w:val="00CA22C7"/>
    <w:rsid w:val="00CA26CB"/>
    <w:rsid w:val="00CA2A54"/>
    <w:rsid w:val="00CA3219"/>
    <w:rsid w:val="00CA4855"/>
    <w:rsid w:val="00CA519C"/>
    <w:rsid w:val="00CA6DB4"/>
    <w:rsid w:val="00CA7834"/>
    <w:rsid w:val="00CB01EB"/>
    <w:rsid w:val="00CB0DFA"/>
    <w:rsid w:val="00CB13D1"/>
    <w:rsid w:val="00CB250C"/>
    <w:rsid w:val="00CB34D5"/>
    <w:rsid w:val="00CB352B"/>
    <w:rsid w:val="00CB37E5"/>
    <w:rsid w:val="00CB4285"/>
    <w:rsid w:val="00CB5F89"/>
    <w:rsid w:val="00CB6CB0"/>
    <w:rsid w:val="00CB73CA"/>
    <w:rsid w:val="00CB7DD9"/>
    <w:rsid w:val="00CC06B8"/>
    <w:rsid w:val="00CC1252"/>
    <w:rsid w:val="00CC134C"/>
    <w:rsid w:val="00CC36F9"/>
    <w:rsid w:val="00CC3E8F"/>
    <w:rsid w:val="00CC6F76"/>
    <w:rsid w:val="00CC77E4"/>
    <w:rsid w:val="00CC7D84"/>
    <w:rsid w:val="00CD0A41"/>
    <w:rsid w:val="00CD0BA2"/>
    <w:rsid w:val="00CD18DE"/>
    <w:rsid w:val="00CD27CC"/>
    <w:rsid w:val="00CD2E30"/>
    <w:rsid w:val="00CD3294"/>
    <w:rsid w:val="00CD515A"/>
    <w:rsid w:val="00CD55A2"/>
    <w:rsid w:val="00CD5B58"/>
    <w:rsid w:val="00CD6256"/>
    <w:rsid w:val="00CD643B"/>
    <w:rsid w:val="00CD7B7F"/>
    <w:rsid w:val="00CD7EA0"/>
    <w:rsid w:val="00CE0D42"/>
    <w:rsid w:val="00CE19D1"/>
    <w:rsid w:val="00CE23EF"/>
    <w:rsid w:val="00CE5D1F"/>
    <w:rsid w:val="00CE6197"/>
    <w:rsid w:val="00CE6490"/>
    <w:rsid w:val="00CE6BEE"/>
    <w:rsid w:val="00CE702E"/>
    <w:rsid w:val="00CE7723"/>
    <w:rsid w:val="00CF088A"/>
    <w:rsid w:val="00CF1AEC"/>
    <w:rsid w:val="00CF20E1"/>
    <w:rsid w:val="00CF2756"/>
    <w:rsid w:val="00CF38F2"/>
    <w:rsid w:val="00CF43ED"/>
    <w:rsid w:val="00CF52E4"/>
    <w:rsid w:val="00CF5CD7"/>
    <w:rsid w:val="00CF6CDD"/>
    <w:rsid w:val="00CF79DF"/>
    <w:rsid w:val="00D00702"/>
    <w:rsid w:val="00D0191E"/>
    <w:rsid w:val="00D01E61"/>
    <w:rsid w:val="00D02296"/>
    <w:rsid w:val="00D02B99"/>
    <w:rsid w:val="00D0306C"/>
    <w:rsid w:val="00D034FA"/>
    <w:rsid w:val="00D03AA9"/>
    <w:rsid w:val="00D04FFC"/>
    <w:rsid w:val="00D05957"/>
    <w:rsid w:val="00D06027"/>
    <w:rsid w:val="00D0751A"/>
    <w:rsid w:val="00D078F8"/>
    <w:rsid w:val="00D07D25"/>
    <w:rsid w:val="00D110F0"/>
    <w:rsid w:val="00D116BA"/>
    <w:rsid w:val="00D12852"/>
    <w:rsid w:val="00D13010"/>
    <w:rsid w:val="00D133F0"/>
    <w:rsid w:val="00D143ED"/>
    <w:rsid w:val="00D14C65"/>
    <w:rsid w:val="00D16C5A"/>
    <w:rsid w:val="00D16DAA"/>
    <w:rsid w:val="00D17E12"/>
    <w:rsid w:val="00D20F59"/>
    <w:rsid w:val="00D21B84"/>
    <w:rsid w:val="00D22983"/>
    <w:rsid w:val="00D24E5B"/>
    <w:rsid w:val="00D25359"/>
    <w:rsid w:val="00D25E7D"/>
    <w:rsid w:val="00D261EA"/>
    <w:rsid w:val="00D26D6A"/>
    <w:rsid w:val="00D27732"/>
    <w:rsid w:val="00D27842"/>
    <w:rsid w:val="00D30628"/>
    <w:rsid w:val="00D30CEE"/>
    <w:rsid w:val="00D31D6C"/>
    <w:rsid w:val="00D32299"/>
    <w:rsid w:val="00D32B3D"/>
    <w:rsid w:val="00D33C8D"/>
    <w:rsid w:val="00D34D49"/>
    <w:rsid w:val="00D36FCD"/>
    <w:rsid w:val="00D37148"/>
    <w:rsid w:val="00D37A00"/>
    <w:rsid w:val="00D40860"/>
    <w:rsid w:val="00D4280D"/>
    <w:rsid w:val="00D42B76"/>
    <w:rsid w:val="00D43787"/>
    <w:rsid w:val="00D44151"/>
    <w:rsid w:val="00D447D8"/>
    <w:rsid w:val="00D447FF"/>
    <w:rsid w:val="00D45006"/>
    <w:rsid w:val="00D45082"/>
    <w:rsid w:val="00D450B5"/>
    <w:rsid w:val="00D45623"/>
    <w:rsid w:val="00D45651"/>
    <w:rsid w:val="00D45942"/>
    <w:rsid w:val="00D45968"/>
    <w:rsid w:val="00D468AF"/>
    <w:rsid w:val="00D470FA"/>
    <w:rsid w:val="00D472B2"/>
    <w:rsid w:val="00D47F57"/>
    <w:rsid w:val="00D50983"/>
    <w:rsid w:val="00D50AE5"/>
    <w:rsid w:val="00D5192A"/>
    <w:rsid w:val="00D52347"/>
    <w:rsid w:val="00D53B35"/>
    <w:rsid w:val="00D561E3"/>
    <w:rsid w:val="00D5648F"/>
    <w:rsid w:val="00D56D45"/>
    <w:rsid w:val="00D56E3B"/>
    <w:rsid w:val="00D57CC2"/>
    <w:rsid w:val="00D616EC"/>
    <w:rsid w:val="00D625B8"/>
    <w:rsid w:val="00D648BA"/>
    <w:rsid w:val="00D66709"/>
    <w:rsid w:val="00D66A4D"/>
    <w:rsid w:val="00D67324"/>
    <w:rsid w:val="00D6791C"/>
    <w:rsid w:val="00D70C9F"/>
    <w:rsid w:val="00D724E1"/>
    <w:rsid w:val="00D726D3"/>
    <w:rsid w:val="00D73156"/>
    <w:rsid w:val="00D762E6"/>
    <w:rsid w:val="00D76A95"/>
    <w:rsid w:val="00D801E1"/>
    <w:rsid w:val="00D809C1"/>
    <w:rsid w:val="00D80B56"/>
    <w:rsid w:val="00D80BFA"/>
    <w:rsid w:val="00D82515"/>
    <w:rsid w:val="00D82682"/>
    <w:rsid w:val="00D82E21"/>
    <w:rsid w:val="00D840E2"/>
    <w:rsid w:val="00D846FE"/>
    <w:rsid w:val="00D860CB"/>
    <w:rsid w:val="00D87C68"/>
    <w:rsid w:val="00D92783"/>
    <w:rsid w:val="00D92B70"/>
    <w:rsid w:val="00D92D3B"/>
    <w:rsid w:val="00D9456A"/>
    <w:rsid w:val="00D94B4E"/>
    <w:rsid w:val="00D94DBD"/>
    <w:rsid w:val="00D95D8B"/>
    <w:rsid w:val="00D95FAD"/>
    <w:rsid w:val="00D964CD"/>
    <w:rsid w:val="00D976D9"/>
    <w:rsid w:val="00DA00BB"/>
    <w:rsid w:val="00DA089B"/>
    <w:rsid w:val="00DA38F9"/>
    <w:rsid w:val="00DA3BAE"/>
    <w:rsid w:val="00DA776D"/>
    <w:rsid w:val="00DA7AAB"/>
    <w:rsid w:val="00DA7F99"/>
    <w:rsid w:val="00DB0209"/>
    <w:rsid w:val="00DB0815"/>
    <w:rsid w:val="00DB0C6F"/>
    <w:rsid w:val="00DB1859"/>
    <w:rsid w:val="00DB20ED"/>
    <w:rsid w:val="00DB2767"/>
    <w:rsid w:val="00DB34DF"/>
    <w:rsid w:val="00DB3ABE"/>
    <w:rsid w:val="00DB6676"/>
    <w:rsid w:val="00DB7910"/>
    <w:rsid w:val="00DC0F66"/>
    <w:rsid w:val="00DC2ABE"/>
    <w:rsid w:val="00DC313D"/>
    <w:rsid w:val="00DC4F24"/>
    <w:rsid w:val="00DC59DE"/>
    <w:rsid w:val="00DC7217"/>
    <w:rsid w:val="00DC79BB"/>
    <w:rsid w:val="00DD11EB"/>
    <w:rsid w:val="00DD1B8B"/>
    <w:rsid w:val="00DD1F32"/>
    <w:rsid w:val="00DD23D6"/>
    <w:rsid w:val="00DD2D5F"/>
    <w:rsid w:val="00DD4855"/>
    <w:rsid w:val="00DD5378"/>
    <w:rsid w:val="00DD73B2"/>
    <w:rsid w:val="00DD75C4"/>
    <w:rsid w:val="00DE10B9"/>
    <w:rsid w:val="00DE1449"/>
    <w:rsid w:val="00DE1FBA"/>
    <w:rsid w:val="00DE4550"/>
    <w:rsid w:val="00DE55DE"/>
    <w:rsid w:val="00DE5968"/>
    <w:rsid w:val="00DE5A73"/>
    <w:rsid w:val="00DE618E"/>
    <w:rsid w:val="00DE6A2A"/>
    <w:rsid w:val="00DF1227"/>
    <w:rsid w:val="00DF131F"/>
    <w:rsid w:val="00DF2C98"/>
    <w:rsid w:val="00DF73A5"/>
    <w:rsid w:val="00DF77FD"/>
    <w:rsid w:val="00DF7AB6"/>
    <w:rsid w:val="00E00DCA"/>
    <w:rsid w:val="00E01C4F"/>
    <w:rsid w:val="00E033B7"/>
    <w:rsid w:val="00E038DB"/>
    <w:rsid w:val="00E03BB5"/>
    <w:rsid w:val="00E04FFB"/>
    <w:rsid w:val="00E05EEE"/>
    <w:rsid w:val="00E065DD"/>
    <w:rsid w:val="00E075A8"/>
    <w:rsid w:val="00E077A4"/>
    <w:rsid w:val="00E07D5A"/>
    <w:rsid w:val="00E105EE"/>
    <w:rsid w:val="00E10D91"/>
    <w:rsid w:val="00E11FCA"/>
    <w:rsid w:val="00E1211A"/>
    <w:rsid w:val="00E134FC"/>
    <w:rsid w:val="00E1436B"/>
    <w:rsid w:val="00E14F22"/>
    <w:rsid w:val="00E151BD"/>
    <w:rsid w:val="00E1522F"/>
    <w:rsid w:val="00E1645D"/>
    <w:rsid w:val="00E166F8"/>
    <w:rsid w:val="00E170FA"/>
    <w:rsid w:val="00E2020E"/>
    <w:rsid w:val="00E20D15"/>
    <w:rsid w:val="00E214FE"/>
    <w:rsid w:val="00E238B1"/>
    <w:rsid w:val="00E24453"/>
    <w:rsid w:val="00E25A13"/>
    <w:rsid w:val="00E26664"/>
    <w:rsid w:val="00E26F4C"/>
    <w:rsid w:val="00E26F75"/>
    <w:rsid w:val="00E3064C"/>
    <w:rsid w:val="00E32CBA"/>
    <w:rsid w:val="00E33007"/>
    <w:rsid w:val="00E330A9"/>
    <w:rsid w:val="00E33B41"/>
    <w:rsid w:val="00E34483"/>
    <w:rsid w:val="00E3456D"/>
    <w:rsid w:val="00E35FB8"/>
    <w:rsid w:val="00E406B2"/>
    <w:rsid w:val="00E4190D"/>
    <w:rsid w:val="00E44987"/>
    <w:rsid w:val="00E44AA3"/>
    <w:rsid w:val="00E44EB9"/>
    <w:rsid w:val="00E44F34"/>
    <w:rsid w:val="00E45859"/>
    <w:rsid w:val="00E45A0D"/>
    <w:rsid w:val="00E46034"/>
    <w:rsid w:val="00E47117"/>
    <w:rsid w:val="00E47666"/>
    <w:rsid w:val="00E47A2E"/>
    <w:rsid w:val="00E47B16"/>
    <w:rsid w:val="00E47C2B"/>
    <w:rsid w:val="00E504E9"/>
    <w:rsid w:val="00E507A9"/>
    <w:rsid w:val="00E5253D"/>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0567"/>
    <w:rsid w:val="00E722CD"/>
    <w:rsid w:val="00E726D6"/>
    <w:rsid w:val="00E7436D"/>
    <w:rsid w:val="00E75FF6"/>
    <w:rsid w:val="00E763A4"/>
    <w:rsid w:val="00E76C0D"/>
    <w:rsid w:val="00E76CF1"/>
    <w:rsid w:val="00E77A6F"/>
    <w:rsid w:val="00E80E1E"/>
    <w:rsid w:val="00E8390A"/>
    <w:rsid w:val="00E83A3B"/>
    <w:rsid w:val="00E83CBC"/>
    <w:rsid w:val="00E8425C"/>
    <w:rsid w:val="00E90014"/>
    <w:rsid w:val="00E901D7"/>
    <w:rsid w:val="00E914E7"/>
    <w:rsid w:val="00E9172D"/>
    <w:rsid w:val="00E91BD8"/>
    <w:rsid w:val="00E922BE"/>
    <w:rsid w:val="00E9258D"/>
    <w:rsid w:val="00E9268E"/>
    <w:rsid w:val="00E92B00"/>
    <w:rsid w:val="00E9368B"/>
    <w:rsid w:val="00E93A0C"/>
    <w:rsid w:val="00E94D9A"/>
    <w:rsid w:val="00E951CA"/>
    <w:rsid w:val="00E9538A"/>
    <w:rsid w:val="00E953FA"/>
    <w:rsid w:val="00E97913"/>
    <w:rsid w:val="00E97D0F"/>
    <w:rsid w:val="00E97E28"/>
    <w:rsid w:val="00EA484D"/>
    <w:rsid w:val="00EA4A96"/>
    <w:rsid w:val="00EB1A14"/>
    <w:rsid w:val="00EB1C95"/>
    <w:rsid w:val="00EB3B0A"/>
    <w:rsid w:val="00EB3DAC"/>
    <w:rsid w:val="00EB4081"/>
    <w:rsid w:val="00EB4093"/>
    <w:rsid w:val="00EB46F3"/>
    <w:rsid w:val="00EB4958"/>
    <w:rsid w:val="00EB5008"/>
    <w:rsid w:val="00EB6983"/>
    <w:rsid w:val="00EB784C"/>
    <w:rsid w:val="00EC1371"/>
    <w:rsid w:val="00EC2445"/>
    <w:rsid w:val="00EC33B2"/>
    <w:rsid w:val="00EC3796"/>
    <w:rsid w:val="00EC41A4"/>
    <w:rsid w:val="00EC45E1"/>
    <w:rsid w:val="00EC5D78"/>
    <w:rsid w:val="00EC6563"/>
    <w:rsid w:val="00EC6685"/>
    <w:rsid w:val="00EC7294"/>
    <w:rsid w:val="00EC7555"/>
    <w:rsid w:val="00EC7728"/>
    <w:rsid w:val="00ED0109"/>
    <w:rsid w:val="00ED0680"/>
    <w:rsid w:val="00ED0D31"/>
    <w:rsid w:val="00ED10A6"/>
    <w:rsid w:val="00ED27B9"/>
    <w:rsid w:val="00ED2905"/>
    <w:rsid w:val="00ED328C"/>
    <w:rsid w:val="00ED3D65"/>
    <w:rsid w:val="00ED4017"/>
    <w:rsid w:val="00ED6C66"/>
    <w:rsid w:val="00ED7083"/>
    <w:rsid w:val="00ED75A1"/>
    <w:rsid w:val="00ED7E7A"/>
    <w:rsid w:val="00ED7E9F"/>
    <w:rsid w:val="00EE0D8C"/>
    <w:rsid w:val="00EE149D"/>
    <w:rsid w:val="00EE172B"/>
    <w:rsid w:val="00EE3EDC"/>
    <w:rsid w:val="00EE3F56"/>
    <w:rsid w:val="00EE4BB2"/>
    <w:rsid w:val="00EE560A"/>
    <w:rsid w:val="00EE6084"/>
    <w:rsid w:val="00EE6B47"/>
    <w:rsid w:val="00EE733B"/>
    <w:rsid w:val="00EE7A84"/>
    <w:rsid w:val="00EE7B6D"/>
    <w:rsid w:val="00EF13A5"/>
    <w:rsid w:val="00EF1724"/>
    <w:rsid w:val="00EF1AA9"/>
    <w:rsid w:val="00EF1B4E"/>
    <w:rsid w:val="00EF1C12"/>
    <w:rsid w:val="00EF1CC2"/>
    <w:rsid w:val="00EF3963"/>
    <w:rsid w:val="00EF4D12"/>
    <w:rsid w:val="00EF5079"/>
    <w:rsid w:val="00EF6A8F"/>
    <w:rsid w:val="00EF6C71"/>
    <w:rsid w:val="00EF6C9C"/>
    <w:rsid w:val="00EF6D54"/>
    <w:rsid w:val="00EF6E78"/>
    <w:rsid w:val="00EF7A77"/>
    <w:rsid w:val="00EF7DE3"/>
    <w:rsid w:val="00F002A3"/>
    <w:rsid w:val="00F006C9"/>
    <w:rsid w:val="00F00AF1"/>
    <w:rsid w:val="00F010AC"/>
    <w:rsid w:val="00F01483"/>
    <w:rsid w:val="00F019A5"/>
    <w:rsid w:val="00F01D53"/>
    <w:rsid w:val="00F02537"/>
    <w:rsid w:val="00F02F54"/>
    <w:rsid w:val="00F0324D"/>
    <w:rsid w:val="00F03638"/>
    <w:rsid w:val="00F039ED"/>
    <w:rsid w:val="00F03F16"/>
    <w:rsid w:val="00F04FE9"/>
    <w:rsid w:val="00F054C9"/>
    <w:rsid w:val="00F0620D"/>
    <w:rsid w:val="00F07ECC"/>
    <w:rsid w:val="00F10116"/>
    <w:rsid w:val="00F11B23"/>
    <w:rsid w:val="00F123CE"/>
    <w:rsid w:val="00F1344F"/>
    <w:rsid w:val="00F13850"/>
    <w:rsid w:val="00F13A34"/>
    <w:rsid w:val="00F146CB"/>
    <w:rsid w:val="00F149E9"/>
    <w:rsid w:val="00F14B1E"/>
    <w:rsid w:val="00F1574B"/>
    <w:rsid w:val="00F15A9C"/>
    <w:rsid w:val="00F15D92"/>
    <w:rsid w:val="00F164A3"/>
    <w:rsid w:val="00F20BE6"/>
    <w:rsid w:val="00F220EF"/>
    <w:rsid w:val="00F2298C"/>
    <w:rsid w:val="00F24CF2"/>
    <w:rsid w:val="00F25235"/>
    <w:rsid w:val="00F254F6"/>
    <w:rsid w:val="00F25C8F"/>
    <w:rsid w:val="00F3022D"/>
    <w:rsid w:val="00F30708"/>
    <w:rsid w:val="00F31B3B"/>
    <w:rsid w:val="00F31E35"/>
    <w:rsid w:val="00F3228A"/>
    <w:rsid w:val="00F332B0"/>
    <w:rsid w:val="00F3395E"/>
    <w:rsid w:val="00F33A72"/>
    <w:rsid w:val="00F3415D"/>
    <w:rsid w:val="00F363F1"/>
    <w:rsid w:val="00F366BD"/>
    <w:rsid w:val="00F37256"/>
    <w:rsid w:val="00F42A54"/>
    <w:rsid w:val="00F43345"/>
    <w:rsid w:val="00F43DFC"/>
    <w:rsid w:val="00F45E5A"/>
    <w:rsid w:val="00F4695D"/>
    <w:rsid w:val="00F470A0"/>
    <w:rsid w:val="00F50172"/>
    <w:rsid w:val="00F5140F"/>
    <w:rsid w:val="00F54740"/>
    <w:rsid w:val="00F565D0"/>
    <w:rsid w:val="00F57A3E"/>
    <w:rsid w:val="00F60373"/>
    <w:rsid w:val="00F60387"/>
    <w:rsid w:val="00F60528"/>
    <w:rsid w:val="00F60DB3"/>
    <w:rsid w:val="00F61494"/>
    <w:rsid w:val="00F62899"/>
    <w:rsid w:val="00F62B03"/>
    <w:rsid w:val="00F637A9"/>
    <w:rsid w:val="00F63A4A"/>
    <w:rsid w:val="00F63B23"/>
    <w:rsid w:val="00F63D97"/>
    <w:rsid w:val="00F63E31"/>
    <w:rsid w:val="00F645AE"/>
    <w:rsid w:val="00F64F3A"/>
    <w:rsid w:val="00F654A6"/>
    <w:rsid w:val="00F65E4F"/>
    <w:rsid w:val="00F67065"/>
    <w:rsid w:val="00F67458"/>
    <w:rsid w:val="00F67D00"/>
    <w:rsid w:val="00F67D2C"/>
    <w:rsid w:val="00F70011"/>
    <w:rsid w:val="00F70F3C"/>
    <w:rsid w:val="00F71892"/>
    <w:rsid w:val="00F71952"/>
    <w:rsid w:val="00F720FA"/>
    <w:rsid w:val="00F733B2"/>
    <w:rsid w:val="00F744F3"/>
    <w:rsid w:val="00F75429"/>
    <w:rsid w:val="00F75DF6"/>
    <w:rsid w:val="00F772EA"/>
    <w:rsid w:val="00F77698"/>
    <w:rsid w:val="00F776B5"/>
    <w:rsid w:val="00F805A6"/>
    <w:rsid w:val="00F822E2"/>
    <w:rsid w:val="00F83BC2"/>
    <w:rsid w:val="00F83CBF"/>
    <w:rsid w:val="00F84ED2"/>
    <w:rsid w:val="00F87223"/>
    <w:rsid w:val="00F87AC1"/>
    <w:rsid w:val="00F90290"/>
    <w:rsid w:val="00F906C9"/>
    <w:rsid w:val="00F909FE"/>
    <w:rsid w:val="00F915B8"/>
    <w:rsid w:val="00F91B3B"/>
    <w:rsid w:val="00F94EC0"/>
    <w:rsid w:val="00F95610"/>
    <w:rsid w:val="00F96012"/>
    <w:rsid w:val="00F976C6"/>
    <w:rsid w:val="00F97C62"/>
    <w:rsid w:val="00FA0C52"/>
    <w:rsid w:val="00FA1022"/>
    <w:rsid w:val="00FA1CFB"/>
    <w:rsid w:val="00FA215D"/>
    <w:rsid w:val="00FA2451"/>
    <w:rsid w:val="00FA2726"/>
    <w:rsid w:val="00FA3FB9"/>
    <w:rsid w:val="00FA457D"/>
    <w:rsid w:val="00FA4AAB"/>
    <w:rsid w:val="00FA6E33"/>
    <w:rsid w:val="00FA72B1"/>
    <w:rsid w:val="00FB4DF7"/>
    <w:rsid w:val="00FB7585"/>
    <w:rsid w:val="00FC130D"/>
    <w:rsid w:val="00FC3FD5"/>
    <w:rsid w:val="00FC479C"/>
    <w:rsid w:val="00FC6E57"/>
    <w:rsid w:val="00FC7151"/>
    <w:rsid w:val="00FC7F6C"/>
    <w:rsid w:val="00FD0560"/>
    <w:rsid w:val="00FD0A26"/>
    <w:rsid w:val="00FD0C02"/>
    <w:rsid w:val="00FD1FCF"/>
    <w:rsid w:val="00FD282F"/>
    <w:rsid w:val="00FD2992"/>
    <w:rsid w:val="00FD29BB"/>
    <w:rsid w:val="00FD2E88"/>
    <w:rsid w:val="00FD315B"/>
    <w:rsid w:val="00FD4CB3"/>
    <w:rsid w:val="00FD6EAA"/>
    <w:rsid w:val="00FD79D2"/>
    <w:rsid w:val="00FE0ABB"/>
    <w:rsid w:val="00FE141F"/>
    <w:rsid w:val="00FE20F0"/>
    <w:rsid w:val="00FE33CE"/>
    <w:rsid w:val="00FE4C7C"/>
    <w:rsid w:val="00FE7911"/>
    <w:rsid w:val="00FE7C1C"/>
    <w:rsid w:val="00FF019A"/>
    <w:rsid w:val="00FF0A90"/>
    <w:rsid w:val="00FF1735"/>
    <w:rsid w:val="00FF31C9"/>
    <w:rsid w:val="00FF3D51"/>
    <w:rsid w:val="00FF5A48"/>
    <w:rsid w:val="00FF5DB9"/>
    <w:rsid w:val="00FF663F"/>
    <w:rsid w:val="00FF6FD8"/>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0064"/>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styleId="Hyperlink">
    <w:name w:val="Hyperlink"/>
    <w:basedOn w:val="DefaultParagraphFont"/>
    <w:uiPriority w:val="99"/>
    <w:unhideWhenUsed/>
    <w:rsid w:val="000B538B"/>
    <w:rPr>
      <w:color w:val="0563C1"/>
      <w:u w:val="single"/>
    </w:rPr>
  </w:style>
  <w:style w:type="character" w:customStyle="1" w:styleId="UnresolvedMention1">
    <w:name w:val="Unresolved Mention1"/>
    <w:basedOn w:val="DefaultParagraphFont"/>
    <w:uiPriority w:val="99"/>
    <w:semiHidden/>
    <w:unhideWhenUsed/>
    <w:rsid w:val="00322E38"/>
    <w:rPr>
      <w:color w:val="605E5C"/>
      <w:shd w:val="clear" w:color="auto" w:fill="E1DFDD"/>
    </w:rPr>
  </w:style>
  <w:style w:type="character" w:customStyle="1" w:styleId="Heading2Char">
    <w:name w:val="Heading 2 Char"/>
    <w:basedOn w:val="DefaultParagraphFont"/>
    <w:link w:val="Heading2"/>
    <w:uiPriority w:val="9"/>
    <w:rsid w:val="00B60064"/>
    <w:rPr>
      <w:rFonts w:ascii="Times New Roman" w:eastAsia="Times New Roman" w:hAnsi="Times New Roman" w:cs="Times New Roman"/>
      <w:b/>
      <w:bCs/>
      <w:color w:val="auto"/>
      <w:sz w:val="36"/>
      <w:szCs w:val="36"/>
      <w:lang w:val="en-US"/>
    </w:rPr>
  </w:style>
  <w:style w:type="character" w:styleId="Emphasis">
    <w:name w:val="Emphasis"/>
    <w:basedOn w:val="DefaultParagraphFont"/>
    <w:uiPriority w:val="20"/>
    <w:qFormat/>
    <w:rsid w:val="006E5A91"/>
    <w:rPr>
      <w:i/>
      <w:iCs/>
    </w:rPr>
  </w:style>
  <w:style w:type="paragraph" w:styleId="BalloonText">
    <w:name w:val="Balloon Text"/>
    <w:basedOn w:val="Normal"/>
    <w:link w:val="BalloonTextChar"/>
    <w:uiPriority w:val="99"/>
    <w:semiHidden/>
    <w:unhideWhenUsed/>
    <w:rsid w:val="00045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5049">
      <w:bodyDiv w:val="1"/>
      <w:marLeft w:val="0"/>
      <w:marRight w:val="0"/>
      <w:marTop w:val="0"/>
      <w:marBottom w:val="0"/>
      <w:divBdr>
        <w:top w:val="none" w:sz="0" w:space="0" w:color="auto"/>
        <w:left w:val="none" w:sz="0" w:space="0" w:color="auto"/>
        <w:bottom w:val="none" w:sz="0" w:space="0" w:color="auto"/>
        <w:right w:val="none" w:sz="0" w:space="0" w:color="auto"/>
      </w:divBdr>
    </w:div>
    <w:div w:id="1114905999">
      <w:bodyDiv w:val="1"/>
      <w:marLeft w:val="0"/>
      <w:marRight w:val="0"/>
      <w:marTop w:val="0"/>
      <w:marBottom w:val="0"/>
      <w:divBdr>
        <w:top w:val="none" w:sz="0" w:space="0" w:color="auto"/>
        <w:left w:val="none" w:sz="0" w:space="0" w:color="auto"/>
        <w:bottom w:val="none" w:sz="0" w:space="0" w:color="auto"/>
        <w:right w:val="none" w:sz="0" w:space="0" w:color="auto"/>
      </w:divBdr>
    </w:div>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C2F1-AB84-4247-A430-73472C7A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Nomakorinte Ntliziywana</cp:lastModifiedBy>
  <cp:revision>2</cp:revision>
  <cp:lastPrinted>2024-06-12T12:15:00Z</cp:lastPrinted>
  <dcterms:created xsi:type="dcterms:W3CDTF">2024-06-18T20:19:00Z</dcterms:created>
  <dcterms:modified xsi:type="dcterms:W3CDTF">2024-06-18T20:19:00Z</dcterms:modified>
</cp:coreProperties>
</file>