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15C8" w14:textId="77777777" w:rsidR="00E77E1D" w:rsidRPr="00E2374C" w:rsidRDefault="00E77E1D" w:rsidP="00E77E1D">
      <w:pPr>
        <w:spacing w:line="360" w:lineRule="auto"/>
        <w:jc w:val="both"/>
        <w:rPr>
          <w:sz w:val="28"/>
          <w:szCs w:val="28"/>
        </w:rPr>
      </w:pPr>
      <w:bookmarkStart w:id="0" w:name="_GoBack"/>
      <w:bookmarkEnd w:id="0"/>
    </w:p>
    <w:p w14:paraId="008C70A7" w14:textId="77777777" w:rsidR="007B3B86" w:rsidRPr="00E2374C" w:rsidRDefault="00E77E1D" w:rsidP="007B3B86">
      <w:pPr>
        <w:rPr>
          <w:b/>
          <w:bCs/>
          <w:sz w:val="28"/>
          <w:szCs w:val="28"/>
        </w:rPr>
      </w:pPr>
      <w:r w:rsidRPr="00E2374C">
        <w:rPr>
          <w:sz w:val="28"/>
          <w:szCs w:val="28"/>
        </w:rPr>
        <w:tab/>
      </w:r>
      <w:r w:rsidRPr="00E2374C">
        <w:rPr>
          <w:sz w:val="28"/>
          <w:szCs w:val="28"/>
        </w:rPr>
        <w:tab/>
      </w:r>
      <w:r w:rsidRPr="00E2374C">
        <w:rPr>
          <w:sz w:val="28"/>
          <w:szCs w:val="28"/>
        </w:rPr>
        <w:tab/>
      </w:r>
      <w:r w:rsidR="007B3B86">
        <w:rPr>
          <w:b/>
          <w:noProof/>
          <w:sz w:val="28"/>
          <w:szCs w:val="28"/>
          <w:lang w:eastAsia="en-ZA"/>
        </w:rPr>
        <w:tab/>
      </w:r>
      <w:r w:rsidR="007B3B86">
        <w:rPr>
          <w:b/>
          <w:noProof/>
          <w:sz w:val="28"/>
          <w:szCs w:val="28"/>
          <w:lang w:eastAsia="en-ZA"/>
        </w:rPr>
        <w:tab/>
      </w:r>
      <w:r w:rsidR="007B3B86" w:rsidRPr="00A46230">
        <w:rPr>
          <w:b/>
          <w:noProof/>
          <w:sz w:val="28"/>
          <w:szCs w:val="28"/>
          <w:lang w:val="en-ZA" w:eastAsia="en-ZA"/>
        </w:rPr>
        <w:drawing>
          <wp:inline distT="0" distB="0" distL="0" distR="0" wp14:anchorId="7AB47A2A" wp14:editId="78BF8CE6">
            <wp:extent cx="1047115" cy="1002323"/>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107928" cy="1060535"/>
                    </a:xfrm>
                    <a:prstGeom prst="rect">
                      <a:avLst/>
                    </a:prstGeom>
                    <a:noFill/>
                    <a:ln>
                      <a:noFill/>
                    </a:ln>
                  </pic:spPr>
                </pic:pic>
              </a:graphicData>
            </a:graphic>
          </wp:inline>
        </w:drawing>
      </w:r>
    </w:p>
    <w:p w14:paraId="26CA65BA" w14:textId="77777777" w:rsidR="007B3B86" w:rsidRDefault="007B3B86" w:rsidP="007B3B86">
      <w:pPr>
        <w:spacing w:line="360" w:lineRule="auto"/>
        <w:jc w:val="center"/>
        <w:rPr>
          <w:b/>
          <w:bCs/>
          <w:sz w:val="28"/>
          <w:szCs w:val="28"/>
        </w:rPr>
      </w:pPr>
    </w:p>
    <w:p w14:paraId="3DAD46BF" w14:textId="77777777" w:rsidR="007B3B86" w:rsidRDefault="007B3B86" w:rsidP="007B3B86">
      <w:pPr>
        <w:spacing w:line="360" w:lineRule="auto"/>
        <w:jc w:val="center"/>
        <w:rPr>
          <w:b/>
          <w:bCs/>
          <w:sz w:val="28"/>
          <w:szCs w:val="28"/>
        </w:rPr>
      </w:pPr>
      <w:r>
        <w:rPr>
          <w:b/>
          <w:bCs/>
          <w:sz w:val="28"/>
          <w:szCs w:val="28"/>
        </w:rPr>
        <w:t xml:space="preserve">IN THE HIGH COURT OF </w:t>
      </w:r>
      <w:r w:rsidRPr="00E2374C">
        <w:rPr>
          <w:b/>
          <w:bCs/>
          <w:sz w:val="28"/>
          <w:szCs w:val="28"/>
        </w:rPr>
        <w:t>SOUTH AFRICA</w:t>
      </w:r>
    </w:p>
    <w:p w14:paraId="3B7FD8E1" w14:textId="77777777" w:rsidR="007B3B86" w:rsidRPr="00E2374C" w:rsidRDefault="007B3B86" w:rsidP="007B3B86">
      <w:pPr>
        <w:spacing w:line="360" w:lineRule="auto"/>
        <w:jc w:val="center"/>
        <w:rPr>
          <w:b/>
          <w:bCs/>
          <w:sz w:val="28"/>
          <w:szCs w:val="28"/>
        </w:rPr>
      </w:pPr>
      <w:r>
        <w:rPr>
          <w:b/>
          <w:bCs/>
          <w:sz w:val="28"/>
          <w:szCs w:val="28"/>
        </w:rPr>
        <w:t>(EASTERN CAPE DIVISION, MTHATHA)</w:t>
      </w:r>
    </w:p>
    <w:p w14:paraId="32AFF68C" w14:textId="77777777" w:rsidR="00E77E1D" w:rsidRPr="00E2374C" w:rsidRDefault="00E77E1D" w:rsidP="00E77E1D">
      <w:pPr>
        <w:spacing w:line="360" w:lineRule="auto"/>
        <w:jc w:val="center"/>
        <w:rPr>
          <w:b/>
          <w:bCs/>
          <w:sz w:val="28"/>
          <w:szCs w:val="28"/>
        </w:rPr>
      </w:pPr>
    </w:p>
    <w:p w14:paraId="2392254A" w14:textId="1AD156B8" w:rsidR="00E77E1D" w:rsidRPr="00E2374C" w:rsidRDefault="00E77E1D" w:rsidP="00E77E1D">
      <w:pPr>
        <w:spacing w:line="360" w:lineRule="auto"/>
        <w:jc w:val="right"/>
        <w:rPr>
          <w:b/>
          <w:sz w:val="28"/>
          <w:szCs w:val="28"/>
        </w:rPr>
      </w:pPr>
      <w:r w:rsidRPr="00E2374C">
        <w:rPr>
          <w:b/>
          <w:sz w:val="28"/>
          <w:szCs w:val="28"/>
        </w:rPr>
        <w:t>Not</w:t>
      </w:r>
      <w:r w:rsidR="00AB1C33">
        <w:rPr>
          <w:b/>
          <w:sz w:val="28"/>
          <w:szCs w:val="28"/>
        </w:rPr>
        <w:t xml:space="preserve"> </w:t>
      </w:r>
      <w:r w:rsidRPr="00E2374C">
        <w:rPr>
          <w:b/>
          <w:sz w:val="28"/>
          <w:szCs w:val="28"/>
        </w:rPr>
        <w:t>Reportable</w:t>
      </w:r>
    </w:p>
    <w:p w14:paraId="38AD45D9" w14:textId="77777777" w:rsidR="00E77E1D" w:rsidRPr="00E2374C" w:rsidRDefault="00E77E1D" w:rsidP="00E77E1D">
      <w:pPr>
        <w:spacing w:line="360" w:lineRule="auto"/>
        <w:jc w:val="right"/>
        <w:rPr>
          <w:sz w:val="28"/>
          <w:szCs w:val="28"/>
        </w:rPr>
      </w:pPr>
      <w:r w:rsidRPr="00E2374C">
        <w:rPr>
          <w:sz w:val="28"/>
          <w:szCs w:val="28"/>
        </w:rPr>
        <w:t>C</w:t>
      </w:r>
      <w:r>
        <w:rPr>
          <w:sz w:val="28"/>
          <w:szCs w:val="28"/>
        </w:rPr>
        <w:t>A</w:t>
      </w:r>
      <w:r w:rsidRPr="00E2374C">
        <w:rPr>
          <w:sz w:val="28"/>
          <w:szCs w:val="28"/>
        </w:rPr>
        <w:t xml:space="preserve">: </w:t>
      </w:r>
      <w:r>
        <w:rPr>
          <w:sz w:val="28"/>
          <w:szCs w:val="28"/>
        </w:rPr>
        <w:t>28/2023</w:t>
      </w:r>
    </w:p>
    <w:p w14:paraId="1ED0FCCE" w14:textId="77777777" w:rsidR="00E77E1D" w:rsidRPr="00E2374C" w:rsidRDefault="00E77E1D" w:rsidP="00E77E1D">
      <w:pPr>
        <w:spacing w:line="360" w:lineRule="auto"/>
        <w:rPr>
          <w:sz w:val="28"/>
          <w:szCs w:val="28"/>
        </w:rPr>
      </w:pPr>
      <w:r w:rsidRPr="00E2374C">
        <w:rPr>
          <w:sz w:val="28"/>
          <w:szCs w:val="28"/>
        </w:rPr>
        <w:t>In the matter between:</w:t>
      </w:r>
    </w:p>
    <w:p w14:paraId="527F20C9" w14:textId="77777777" w:rsidR="00AB56B1" w:rsidRDefault="00AB56B1" w:rsidP="00E77E1D">
      <w:pPr>
        <w:spacing w:line="360" w:lineRule="auto"/>
        <w:rPr>
          <w:b/>
          <w:bCs/>
          <w:sz w:val="28"/>
          <w:szCs w:val="28"/>
        </w:rPr>
      </w:pPr>
    </w:p>
    <w:p w14:paraId="72199077" w14:textId="53CD4F73" w:rsidR="00E77E1D" w:rsidRPr="00E2374C" w:rsidRDefault="00E77E1D" w:rsidP="00E77E1D">
      <w:pPr>
        <w:spacing w:line="360" w:lineRule="auto"/>
        <w:rPr>
          <w:b/>
          <w:sz w:val="28"/>
          <w:szCs w:val="28"/>
        </w:rPr>
      </w:pPr>
      <w:r>
        <w:rPr>
          <w:b/>
          <w:bCs/>
          <w:sz w:val="28"/>
          <w:szCs w:val="28"/>
        </w:rPr>
        <w:t>NORMAN NDONGENI</w:t>
      </w:r>
      <w:r w:rsidRPr="00E2374C">
        <w:rPr>
          <w:b/>
          <w:bCs/>
          <w:sz w:val="28"/>
          <w:szCs w:val="28"/>
        </w:rPr>
        <w:tab/>
      </w:r>
      <w:r w:rsidRPr="00E2374C">
        <w:rPr>
          <w:b/>
          <w:bCs/>
          <w:sz w:val="28"/>
          <w:szCs w:val="28"/>
        </w:rPr>
        <w:tab/>
      </w:r>
      <w:r w:rsidRPr="00E2374C">
        <w:rPr>
          <w:b/>
          <w:bCs/>
          <w:sz w:val="28"/>
          <w:szCs w:val="28"/>
        </w:rPr>
        <w:tab/>
      </w:r>
      <w:r w:rsidRPr="00E2374C">
        <w:rPr>
          <w:b/>
          <w:bCs/>
          <w:sz w:val="28"/>
          <w:szCs w:val="28"/>
        </w:rPr>
        <w:tab/>
      </w:r>
      <w:r w:rsidR="0050144B">
        <w:rPr>
          <w:b/>
          <w:bCs/>
          <w:sz w:val="28"/>
          <w:szCs w:val="28"/>
        </w:rPr>
        <w:t xml:space="preserve">       </w:t>
      </w:r>
      <w:r w:rsidRPr="00E2374C">
        <w:rPr>
          <w:b/>
          <w:sz w:val="28"/>
          <w:szCs w:val="28"/>
        </w:rPr>
        <w:t>A</w:t>
      </w:r>
      <w:r w:rsidR="00A72940">
        <w:rPr>
          <w:b/>
          <w:sz w:val="28"/>
          <w:szCs w:val="28"/>
        </w:rPr>
        <w:t xml:space="preserve">PPELLANT </w:t>
      </w:r>
    </w:p>
    <w:p w14:paraId="59C81014" w14:textId="77777777" w:rsidR="007B3B86" w:rsidRDefault="007B3B86" w:rsidP="00E77E1D">
      <w:pPr>
        <w:spacing w:line="360" w:lineRule="auto"/>
        <w:rPr>
          <w:sz w:val="28"/>
          <w:szCs w:val="28"/>
        </w:rPr>
      </w:pPr>
    </w:p>
    <w:p w14:paraId="6B1DA9DA" w14:textId="77777777" w:rsidR="00E77E1D" w:rsidRPr="00E2374C" w:rsidRDefault="00E77E1D" w:rsidP="00E77E1D">
      <w:pPr>
        <w:spacing w:line="360" w:lineRule="auto"/>
        <w:rPr>
          <w:sz w:val="28"/>
          <w:szCs w:val="28"/>
        </w:rPr>
      </w:pPr>
      <w:r w:rsidRPr="00E2374C">
        <w:rPr>
          <w:sz w:val="28"/>
          <w:szCs w:val="28"/>
        </w:rPr>
        <w:t>and</w:t>
      </w:r>
    </w:p>
    <w:p w14:paraId="6C0A012F" w14:textId="77777777" w:rsidR="007B3B86" w:rsidRDefault="007B3B86" w:rsidP="00E77E1D">
      <w:pPr>
        <w:spacing w:line="360" w:lineRule="auto"/>
        <w:rPr>
          <w:b/>
          <w:bCs/>
          <w:sz w:val="28"/>
          <w:szCs w:val="28"/>
        </w:rPr>
      </w:pPr>
    </w:p>
    <w:p w14:paraId="56DC64FB" w14:textId="5798AE36" w:rsidR="00E77E1D" w:rsidRPr="00E2374C" w:rsidRDefault="00E77E1D" w:rsidP="00E77E1D">
      <w:pPr>
        <w:spacing w:line="360" w:lineRule="auto"/>
        <w:rPr>
          <w:b/>
          <w:sz w:val="28"/>
          <w:szCs w:val="28"/>
        </w:rPr>
      </w:pPr>
      <w:r>
        <w:rPr>
          <w:b/>
          <w:bCs/>
          <w:sz w:val="28"/>
          <w:szCs w:val="28"/>
        </w:rPr>
        <w:t>T</w:t>
      </w:r>
      <w:r w:rsidR="00C65C91">
        <w:rPr>
          <w:b/>
          <w:bCs/>
          <w:sz w:val="28"/>
          <w:szCs w:val="28"/>
        </w:rPr>
        <w:t>HEMBISA</w:t>
      </w:r>
      <w:r w:rsidR="007B3B86">
        <w:rPr>
          <w:b/>
          <w:bCs/>
          <w:sz w:val="28"/>
          <w:szCs w:val="28"/>
        </w:rPr>
        <w:t xml:space="preserve"> </w:t>
      </w:r>
      <w:r>
        <w:rPr>
          <w:b/>
          <w:bCs/>
          <w:sz w:val="28"/>
          <w:szCs w:val="28"/>
        </w:rPr>
        <w:t>NDONGENI</w:t>
      </w:r>
      <w:r w:rsidRPr="00E2374C">
        <w:rPr>
          <w:b/>
          <w:bCs/>
          <w:sz w:val="28"/>
          <w:szCs w:val="28"/>
        </w:rPr>
        <w:tab/>
      </w:r>
      <w:r w:rsidRPr="00E2374C">
        <w:rPr>
          <w:b/>
          <w:bCs/>
          <w:sz w:val="28"/>
          <w:szCs w:val="28"/>
        </w:rPr>
        <w:tab/>
      </w:r>
      <w:r w:rsidRPr="00E2374C">
        <w:rPr>
          <w:b/>
          <w:bCs/>
          <w:sz w:val="28"/>
          <w:szCs w:val="28"/>
        </w:rPr>
        <w:tab/>
      </w:r>
      <w:r w:rsidRPr="00E2374C">
        <w:rPr>
          <w:b/>
          <w:bCs/>
          <w:sz w:val="28"/>
          <w:szCs w:val="28"/>
        </w:rPr>
        <w:tab/>
        <w:t xml:space="preserve"> </w:t>
      </w:r>
      <w:r w:rsidR="0050144B">
        <w:rPr>
          <w:b/>
          <w:bCs/>
          <w:sz w:val="28"/>
          <w:szCs w:val="28"/>
        </w:rPr>
        <w:t xml:space="preserve">      </w:t>
      </w:r>
      <w:r w:rsidR="008030C3">
        <w:rPr>
          <w:b/>
          <w:bCs/>
          <w:sz w:val="28"/>
          <w:szCs w:val="28"/>
        </w:rPr>
        <w:t>1</w:t>
      </w:r>
      <w:r w:rsidR="00A72940" w:rsidRPr="00A72940">
        <w:rPr>
          <w:b/>
          <w:bCs/>
          <w:sz w:val="28"/>
          <w:szCs w:val="28"/>
          <w:vertAlign w:val="superscript"/>
        </w:rPr>
        <w:t>st</w:t>
      </w:r>
      <w:r w:rsidR="00A72940">
        <w:rPr>
          <w:b/>
          <w:bCs/>
          <w:sz w:val="28"/>
          <w:szCs w:val="28"/>
        </w:rPr>
        <w:t xml:space="preserve"> </w:t>
      </w:r>
      <w:r w:rsidRPr="00E2374C">
        <w:rPr>
          <w:b/>
          <w:sz w:val="28"/>
          <w:szCs w:val="28"/>
        </w:rPr>
        <w:t>RESPONDENT</w:t>
      </w:r>
    </w:p>
    <w:p w14:paraId="601AC33A" w14:textId="77777777" w:rsidR="007B3B86" w:rsidRDefault="007B3B86" w:rsidP="00E77E1D">
      <w:pPr>
        <w:spacing w:line="360" w:lineRule="auto"/>
        <w:rPr>
          <w:b/>
          <w:sz w:val="28"/>
          <w:szCs w:val="28"/>
        </w:rPr>
      </w:pPr>
    </w:p>
    <w:p w14:paraId="7024B424" w14:textId="77777777" w:rsidR="00342DFB" w:rsidRDefault="00CE6C64" w:rsidP="00E77E1D">
      <w:pPr>
        <w:spacing w:line="360" w:lineRule="auto"/>
        <w:rPr>
          <w:b/>
          <w:sz w:val="28"/>
          <w:szCs w:val="28"/>
          <w:lang w:val="en-US"/>
        </w:rPr>
      </w:pPr>
      <w:r w:rsidRPr="00CE6C64">
        <w:rPr>
          <w:b/>
          <w:sz w:val="28"/>
          <w:szCs w:val="28"/>
          <w:lang w:val="en-US"/>
        </w:rPr>
        <w:t xml:space="preserve">ALL UNLAWFUL OCCUPIERS OF RESIDENTIAL </w:t>
      </w:r>
    </w:p>
    <w:p w14:paraId="1C4EAE5B" w14:textId="50C4C8F6" w:rsidR="00342DFB" w:rsidRDefault="00CE6C64" w:rsidP="00E77E1D">
      <w:pPr>
        <w:spacing w:line="360" w:lineRule="auto"/>
        <w:rPr>
          <w:b/>
          <w:sz w:val="28"/>
          <w:szCs w:val="28"/>
          <w:lang w:val="en-US"/>
        </w:rPr>
      </w:pPr>
      <w:r w:rsidRPr="00CE6C64">
        <w:rPr>
          <w:b/>
          <w:sz w:val="28"/>
          <w:szCs w:val="28"/>
          <w:lang w:val="en-US"/>
        </w:rPr>
        <w:t xml:space="preserve">ALLOTMENT </w:t>
      </w:r>
      <w:r w:rsidR="00EC1FE3">
        <w:rPr>
          <w:b/>
          <w:sz w:val="28"/>
          <w:szCs w:val="28"/>
          <w:lang w:val="en-US"/>
        </w:rPr>
        <w:t>NO.</w:t>
      </w:r>
      <w:r w:rsidRPr="00CE6C64">
        <w:rPr>
          <w:b/>
          <w:sz w:val="28"/>
          <w:szCs w:val="28"/>
          <w:lang w:val="en-US"/>
        </w:rPr>
        <w:t>16</w:t>
      </w:r>
      <w:r w:rsidR="00EC1FE3">
        <w:rPr>
          <w:b/>
          <w:sz w:val="28"/>
          <w:szCs w:val="28"/>
          <w:lang w:val="en-US"/>
        </w:rPr>
        <w:t>0</w:t>
      </w:r>
      <w:r w:rsidRPr="00CE6C64">
        <w:rPr>
          <w:b/>
          <w:sz w:val="28"/>
          <w:szCs w:val="28"/>
          <w:lang w:val="en-US"/>
        </w:rPr>
        <w:t>A</w:t>
      </w:r>
      <w:r w:rsidR="005242A0">
        <w:rPr>
          <w:b/>
          <w:sz w:val="28"/>
          <w:szCs w:val="28"/>
          <w:lang w:val="en-US"/>
        </w:rPr>
        <w:t>,</w:t>
      </w:r>
      <w:r w:rsidRPr="00CE6C64">
        <w:rPr>
          <w:b/>
          <w:sz w:val="28"/>
          <w:szCs w:val="28"/>
          <w:lang w:val="en-US"/>
        </w:rPr>
        <w:t xml:space="preserve"> </w:t>
      </w:r>
      <w:r w:rsidR="00A9585B">
        <w:rPr>
          <w:b/>
          <w:sz w:val="28"/>
          <w:szCs w:val="28"/>
          <w:lang w:val="en-US"/>
        </w:rPr>
        <w:t>N</w:t>
      </w:r>
      <w:r w:rsidRPr="00CE6C64">
        <w:rPr>
          <w:b/>
          <w:sz w:val="28"/>
          <w:szCs w:val="28"/>
          <w:lang w:val="en-US"/>
        </w:rPr>
        <w:t>DONG</w:t>
      </w:r>
      <w:r w:rsidR="00A9585B">
        <w:rPr>
          <w:b/>
          <w:sz w:val="28"/>
          <w:szCs w:val="28"/>
          <w:lang w:val="en-US"/>
        </w:rPr>
        <w:t>ENI</w:t>
      </w:r>
      <w:r w:rsidRPr="00CE6C64">
        <w:rPr>
          <w:b/>
          <w:sz w:val="28"/>
          <w:szCs w:val="28"/>
          <w:lang w:val="en-US"/>
        </w:rPr>
        <w:t xml:space="preserve"> RESIDENCE</w:t>
      </w:r>
      <w:r w:rsidR="00A9585B">
        <w:rPr>
          <w:b/>
          <w:sz w:val="28"/>
          <w:szCs w:val="28"/>
          <w:lang w:val="en-US"/>
        </w:rPr>
        <w:t>,</w:t>
      </w:r>
      <w:r w:rsidRPr="00CE6C64">
        <w:rPr>
          <w:b/>
          <w:sz w:val="28"/>
          <w:szCs w:val="28"/>
          <w:lang w:val="en-US"/>
        </w:rPr>
        <w:t xml:space="preserve"> </w:t>
      </w:r>
    </w:p>
    <w:p w14:paraId="7E409F87" w14:textId="77777777" w:rsidR="00147EC7" w:rsidRDefault="00CE6C64" w:rsidP="00E77E1D">
      <w:pPr>
        <w:spacing w:line="360" w:lineRule="auto"/>
        <w:rPr>
          <w:b/>
          <w:sz w:val="28"/>
          <w:szCs w:val="28"/>
          <w:lang w:val="en-US"/>
        </w:rPr>
      </w:pPr>
      <w:r w:rsidRPr="00CE6C64">
        <w:rPr>
          <w:b/>
          <w:sz w:val="28"/>
          <w:szCs w:val="28"/>
          <w:lang w:val="en-US"/>
        </w:rPr>
        <w:t>L</w:t>
      </w:r>
      <w:r w:rsidR="00D25DEC">
        <w:rPr>
          <w:b/>
          <w:sz w:val="28"/>
          <w:szCs w:val="28"/>
          <w:lang w:val="en-US"/>
        </w:rPr>
        <w:t>UBHACWENI</w:t>
      </w:r>
      <w:r w:rsidRPr="00CE6C64">
        <w:rPr>
          <w:b/>
          <w:sz w:val="28"/>
          <w:szCs w:val="28"/>
          <w:lang w:val="en-US"/>
        </w:rPr>
        <w:t xml:space="preserve"> LOCATION, </w:t>
      </w:r>
    </w:p>
    <w:p w14:paraId="7DC0844C" w14:textId="5BA8036F" w:rsidR="00E77E1D" w:rsidRPr="00E2374C" w:rsidRDefault="00CE6C64" w:rsidP="00E77E1D">
      <w:pPr>
        <w:spacing w:line="360" w:lineRule="auto"/>
        <w:rPr>
          <w:b/>
          <w:sz w:val="28"/>
          <w:szCs w:val="28"/>
        </w:rPr>
      </w:pPr>
      <w:r w:rsidRPr="00CE6C64">
        <w:rPr>
          <w:b/>
          <w:sz w:val="28"/>
          <w:szCs w:val="28"/>
          <w:lang w:val="en-US"/>
        </w:rPr>
        <w:t>MOUNT FRE</w:t>
      </w:r>
      <w:r w:rsidR="0081000F">
        <w:rPr>
          <w:b/>
          <w:sz w:val="28"/>
          <w:szCs w:val="28"/>
          <w:lang w:val="en-US"/>
        </w:rPr>
        <w:t>R</w:t>
      </w:r>
      <w:r w:rsidRPr="00CE6C64">
        <w:rPr>
          <w:b/>
          <w:sz w:val="28"/>
          <w:szCs w:val="28"/>
          <w:lang w:val="en-US"/>
        </w:rPr>
        <w:t>E</w:t>
      </w:r>
      <w:r w:rsidRPr="00CE6C64">
        <w:rPr>
          <w:b/>
          <w:sz w:val="28"/>
          <w:szCs w:val="28"/>
        </w:rPr>
        <w:tab/>
      </w:r>
      <w:r w:rsidR="00147EC7">
        <w:rPr>
          <w:b/>
          <w:sz w:val="28"/>
          <w:szCs w:val="28"/>
        </w:rPr>
        <w:tab/>
      </w:r>
      <w:r w:rsidR="00147EC7">
        <w:rPr>
          <w:b/>
          <w:sz w:val="28"/>
          <w:szCs w:val="28"/>
        </w:rPr>
        <w:tab/>
      </w:r>
      <w:r w:rsidR="00147EC7">
        <w:rPr>
          <w:b/>
          <w:sz w:val="28"/>
          <w:szCs w:val="28"/>
        </w:rPr>
        <w:tab/>
      </w:r>
      <w:r w:rsidR="00147EC7">
        <w:rPr>
          <w:b/>
          <w:sz w:val="28"/>
          <w:szCs w:val="28"/>
        </w:rPr>
        <w:tab/>
      </w:r>
      <w:r w:rsidR="00147EC7">
        <w:rPr>
          <w:b/>
          <w:sz w:val="28"/>
          <w:szCs w:val="28"/>
        </w:rPr>
        <w:tab/>
      </w:r>
      <w:r w:rsidR="00DC565A">
        <w:rPr>
          <w:b/>
          <w:sz w:val="28"/>
          <w:szCs w:val="28"/>
        </w:rPr>
        <w:t xml:space="preserve">      </w:t>
      </w:r>
      <w:r w:rsidR="00D25DEC">
        <w:rPr>
          <w:b/>
          <w:sz w:val="28"/>
          <w:szCs w:val="28"/>
        </w:rPr>
        <w:t>2</w:t>
      </w:r>
      <w:r w:rsidR="00A72940" w:rsidRPr="00A72940">
        <w:rPr>
          <w:b/>
          <w:sz w:val="28"/>
          <w:szCs w:val="28"/>
          <w:vertAlign w:val="superscript"/>
        </w:rPr>
        <w:t>nd</w:t>
      </w:r>
      <w:r w:rsidR="00A72940">
        <w:rPr>
          <w:b/>
          <w:sz w:val="28"/>
          <w:szCs w:val="28"/>
        </w:rPr>
        <w:t xml:space="preserve"> </w:t>
      </w:r>
      <w:r w:rsidR="00E77E1D" w:rsidRPr="00E2374C">
        <w:rPr>
          <w:b/>
          <w:sz w:val="28"/>
          <w:szCs w:val="28"/>
        </w:rPr>
        <w:t>RESPONDENT</w:t>
      </w:r>
    </w:p>
    <w:p w14:paraId="5DA05DF4" w14:textId="77777777" w:rsidR="007B3B86" w:rsidRDefault="007B3B86" w:rsidP="00E77E1D">
      <w:pPr>
        <w:pStyle w:val="NormalIndent"/>
        <w:spacing w:line="360" w:lineRule="auto"/>
        <w:ind w:left="0"/>
        <w:rPr>
          <w:b/>
        </w:rPr>
      </w:pPr>
    </w:p>
    <w:p w14:paraId="703734E7" w14:textId="77777777" w:rsidR="008030C3" w:rsidRDefault="00147EC7" w:rsidP="00E77E1D">
      <w:pPr>
        <w:pStyle w:val="NormalIndent"/>
        <w:spacing w:line="360" w:lineRule="auto"/>
        <w:ind w:left="0"/>
        <w:rPr>
          <w:b/>
          <w:lang w:val="en-US"/>
        </w:rPr>
      </w:pPr>
      <w:r w:rsidRPr="00147EC7">
        <w:rPr>
          <w:b/>
          <w:lang w:val="en-US"/>
        </w:rPr>
        <w:t xml:space="preserve">DEPARTMENT OF RURAL DEVELOPMENT </w:t>
      </w:r>
    </w:p>
    <w:p w14:paraId="6C414DB4" w14:textId="2BE98DE1" w:rsidR="00E77E1D" w:rsidRPr="00CF4022" w:rsidRDefault="00147EC7" w:rsidP="00E77E1D">
      <w:pPr>
        <w:pStyle w:val="NormalIndent"/>
        <w:spacing w:line="360" w:lineRule="auto"/>
        <w:ind w:left="0"/>
        <w:rPr>
          <w:b/>
        </w:rPr>
      </w:pPr>
      <w:r w:rsidRPr="00147EC7">
        <w:rPr>
          <w:b/>
          <w:lang w:val="en-US"/>
        </w:rPr>
        <w:t>AND AGRARIAN REFORM</w:t>
      </w:r>
      <w:r w:rsidR="005478BD" w:rsidRPr="005478BD">
        <w:rPr>
          <w:b/>
        </w:rPr>
        <w:t xml:space="preserve"> </w:t>
      </w:r>
      <w:r w:rsidR="005478BD">
        <w:rPr>
          <w:b/>
        </w:rPr>
        <w:t xml:space="preserve">  </w:t>
      </w:r>
      <w:r w:rsidR="008E47EF">
        <w:rPr>
          <w:b/>
        </w:rPr>
        <w:tab/>
      </w:r>
      <w:r w:rsidR="008E47EF">
        <w:rPr>
          <w:b/>
        </w:rPr>
        <w:tab/>
      </w:r>
      <w:r w:rsidR="00CF4022">
        <w:rPr>
          <w:b/>
        </w:rPr>
        <w:t xml:space="preserve">                </w:t>
      </w:r>
      <w:r w:rsidR="008E47EF">
        <w:rPr>
          <w:b/>
        </w:rPr>
        <w:t>3</w:t>
      </w:r>
      <w:r w:rsidR="008E47EF" w:rsidRPr="008E47EF">
        <w:rPr>
          <w:b/>
          <w:vertAlign w:val="superscript"/>
        </w:rPr>
        <w:t>rd</w:t>
      </w:r>
      <w:r w:rsidR="008E47EF">
        <w:rPr>
          <w:b/>
        </w:rPr>
        <w:t xml:space="preserve"> </w:t>
      </w:r>
      <w:r w:rsidR="005478BD" w:rsidRPr="00E2374C">
        <w:rPr>
          <w:b/>
        </w:rPr>
        <w:t>RESPONDENT</w:t>
      </w:r>
    </w:p>
    <w:p w14:paraId="204EDA18" w14:textId="2164DFB4" w:rsidR="00E77E1D" w:rsidRPr="00E2374C" w:rsidRDefault="00557441" w:rsidP="00DC565A">
      <w:pPr>
        <w:pStyle w:val="NormalIndent"/>
        <w:spacing w:line="360" w:lineRule="auto"/>
        <w:ind w:left="0"/>
        <w:rPr>
          <w:b/>
        </w:rPr>
      </w:pPr>
      <w:r w:rsidRPr="007C314A">
        <w:rPr>
          <w:b/>
          <w:lang w:val="en-US"/>
        </w:rPr>
        <w:t>UMZIMVUBU LOCAL MUNICIPALIT</w:t>
      </w:r>
      <w:r w:rsidR="00DC565A" w:rsidRPr="007C314A">
        <w:rPr>
          <w:b/>
          <w:lang w:val="en-US"/>
        </w:rPr>
        <w:t>Y</w:t>
      </w:r>
      <w:r w:rsidR="00DC565A">
        <w:rPr>
          <w:b/>
          <w:lang w:val="en-US"/>
        </w:rPr>
        <w:tab/>
        <w:t xml:space="preserve">       </w:t>
      </w:r>
      <w:r w:rsidR="00DC565A">
        <w:rPr>
          <w:b/>
        </w:rPr>
        <w:t>4</w:t>
      </w:r>
      <w:r w:rsidR="00DC565A" w:rsidRPr="00DC565A">
        <w:rPr>
          <w:b/>
          <w:vertAlign w:val="superscript"/>
        </w:rPr>
        <w:t>th</w:t>
      </w:r>
      <w:r w:rsidR="00DC565A">
        <w:rPr>
          <w:b/>
        </w:rPr>
        <w:t xml:space="preserve"> </w:t>
      </w:r>
      <w:r w:rsidR="00DC565A" w:rsidRPr="00E2374C">
        <w:rPr>
          <w:b/>
        </w:rPr>
        <w:t>RESPONDENT</w:t>
      </w:r>
      <w:r w:rsidR="00E77E1D" w:rsidRPr="00E2374C">
        <w:rPr>
          <w:b/>
        </w:rPr>
        <w:tab/>
      </w:r>
      <w:r w:rsidR="00E77E1D" w:rsidRPr="00E2374C">
        <w:rPr>
          <w:b/>
        </w:rPr>
        <w:tab/>
        <w:t xml:space="preserve">     </w:t>
      </w:r>
    </w:p>
    <w:p w14:paraId="0C118D2F" w14:textId="77777777" w:rsidR="00AB56B1" w:rsidRDefault="00AB56B1" w:rsidP="00E77E1D">
      <w:pPr>
        <w:spacing w:line="360" w:lineRule="auto"/>
        <w:ind w:left="2160" w:hanging="2160"/>
        <w:rPr>
          <w:b/>
          <w:bCs/>
          <w:sz w:val="28"/>
          <w:szCs w:val="28"/>
        </w:rPr>
      </w:pPr>
    </w:p>
    <w:p w14:paraId="313F38AF" w14:textId="77777777" w:rsidR="008950C4" w:rsidRDefault="008950C4" w:rsidP="00E77E1D">
      <w:pPr>
        <w:spacing w:line="360" w:lineRule="auto"/>
        <w:ind w:left="2160" w:hanging="2160"/>
        <w:rPr>
          <w:b/>
          <w:bCs/>
          <w:sz w:val="28"/>
          <w:szCs w:val="28"/>
        </w:rPr>
      </w:pPr>
    </w:p>
    <w:p w14:paraId="1861FBF9" w14:textId="3CC01DAD" w:rsidR="00E77E1D" w:rsidRPr="00E2374C" w:rsidRDefault="00E77E1D" w:rsidP="00E77E1D">
      <w:pPr>
        <w:spacing w:line="360" w:lineRule="auto"/>
        <w:ind w:left="2160" w:hanging="2160"/>
        <w:rPr>
          <w:sz w:val="28"/>
          <w:szCs w:val="28"/>
        </w:rPr>
      </w:pPr>
      <w:r w:rsidRPr="00E2374C">
        <w:rPr>
          <w:b/>
          <w:bCs/>
          <w:sz w:val="28"/>
          <w:szCs w:val="28"/>
        </w:rPr>
        <w:lastRenderedPageBreak/>
        <w:t>Neutral citation:</w:t>
      </w:r>
      <w:r w:rsidRPr="00E2374C">
        <w:rPr>
          <w:b/>
          <w:bCs/>
          <w:sz w:val="28"/>
          <w:szCs w:val="28"/>
        </w:rPr>
        <w:tab/>
      </w:r>
      <w:r w:rsidR="006003A3">
        <w:rPr>
          <w:bCs/>
          <w:i/>
          <w:sz w:val="28"/>
          <w:szCs w:val="28"/>
        </w:rPr>
        <w:t>Norman</w:t>
      </w:r>
      <w:r w:rsidRPr="00E2374C">
        <w:rPr>
          <w:bCs/>
          <w:i/>
          <w:sz w:val="28"/>
          <w:szCs w:val="28"/>
        </w:rPr>
        <w:t xml:space="preserve"> </w:t>
      </w:r>
      <w:r w:rsidR="00401264">
        <w:rPr>
          <w:bCs/>
          <w:i/>
          <w:sz w:val="28"/>
          <w:szCs w:val="28"/>
        </w:rPr>
        <w:t>Ndongeni</w:t>
      </w:r>
      <w:r w:rsidRPr="00E2374C">
        <w:rPr>
          <w:bCs/>
          <w:i/>
          <w:sz w:val="28"/>
          <w:szCs w:val="28"/>
        </w:rPr>
        <w:t xml:space="preserve"> v </w:t>
      </w:r>
      <w:r w:rsidR="00C65C91">
        <w:rPr>
          <w:bCs/>
          <w:i/>
          <w:sz w:val="28"/>
          <w:szCs w:val="28"/>
        </w:rPr>
        <w:t xml:space="preserve">Thembisa </w:t>
      </w:r>
      <w:r w:rsidR="00401264">
        <w:rPr>
          <w:bCs/>
          <w:i/>
          <w:sz w:val="28"/>
          <w:szCs w:val="28"/>
        </w:rPr>
        <w:t xml:space="preserve">Ndongeni </w:t>
      </w:r>
      <w:r w:rsidRPr="00E2374C">
        <w:rPr>
          <w:bCs/>
          <w:i/>
          <w:sz w:val="28"/>
          <w:szCs w:val="28"/>
        </w:rPr>
        <w:t xml:space="preserve">and </w:t>
      </w:r>
      <w:r w:rsidR="006A53B6">
        <w:rPr>
          <w:bCs/>
          <w:i/>
          <w:sz w:val="28"/>
          <w:szCs w:val="28"/>
        </w:rPr>
        <w:t xml:space="preserve">3 </w:t>
      </w:r>
      <w:r w:rsidRPr="00E2374C">
        <w:rPr>
          <w:bCs/>
          <w:i/>
          <w:sz w:val="28"/>
          <w:szCs w:val="28"/>
        </w:rPr>
        <w:t xml:space="preserve">Others </w:t>
      </w:r>
      <w:r w:rsidRPr="00E2374C">
        <w:rPr>
          <w:bCs/>
          <w:sz w:val="28"/>
          <w:szCs w:val="28"/>
        </w:rPr>
        <w:t xml:space="preserve">(Case no </w:t>
      </w:r>
      <w:r w:rsidR="00FC2BC8">
        <w:rPr>
          <w:bCs/>
          <w:sz w:val="28"/>
          <w:szCs w:val="28"/>
        </w:rPr>
        <w:t>CA</w:t>
      </w:r>
      <w:r w:rsidR="00220B41">
        <w:rPr>
          <w:bCs/>
          <w:sz w:val="28"/>
          <w:szCs w:val="28"/>
        </w:rPr>
        <w:t>28</w:t>
      </w:r>
      <w:r w:rsidRPr="00E2374C">
        <w:rPr>
          <w:bCs/>
          <w:sz w:val="28"/>
          <w:szCs w:val="28"/>
        </w:rPr>
        <w:t>/</w:t>
      </w:r>
      <w:r w:rsidR="00220B41">
        <w:rPr>
          <w:bCs/>
          <w:sz w:val="28"/>
          <w:szCs w:val="28"/>
        </w:rPr>
        <w:t>23</w:t>
      </w:r>
      <w:r w:rsidRPr="00E2374C">
        <w:rPr>
          <w:bCs/>
          <w:sz w:val="28"/>
          <w:szCs w:val="28"/>
        </w:rPr>
        <w:t xml:space="preserve">) </w:t>
      </w:r>
    </w:p>
    <w:p w14:paraId="020C4645" w14:textId="77777777" w:rsidR="00E77E1D" w:rsidRPr="00E2374C" w:rsidRDefault="00E77E1D" w:rsidP="00E77E1D">
      <w:pPr>
        <w:spacing w:line="360" w:lineRule="auto"/>
        <w:ind w:left="1440" w:hanging="1440"/>
        <w:jc w:val="both"/>
        <w:rPr>
          <w:b/>
          <w:bCs/>
          <w:i/>
          <w:iCs/>
          <w:sz w:val="28"/>
          <w:szCs w:val="28"/>
        </w:rPr>
      </w:pPr>
      <w:r w:rsidRPr="00E2374C">
        <w:rPr>
          <w:b/>
          <w:bCs/>
          <w:sz w:val="28"/>
          <w:szCs w:val="28"/>
        </w:rPr>
        <w:t>Coram:</w:t>
      </w:r>
      <w:r w:rsidRPr="00E2374C">
        <w:rPr>
          <w:sz w:val="28"/>
          <w:szCs w:val="28"/>
        </w:rPr>
        <w:tab/>
      </w:r>
      <w:r>
        <w:rPr>
          <w:sz w:val="28"/>
          <w:szCs w:val="28"/>
        </w:rPr>
        <w:t>NHLANGULELA AJP, MAJIKI J and TILANA-MABECE AJ</w:t>
      </w:r>
      <w:r w:rsidRPr="00E2374C">
        <w:rPr>
          <w:sz w:val="28"/>
          <w:szCs w:val="28"/>
        </w:rPr>
        <w:t xml:space="preserve"> </w:t>
      </w:r>
    </w:p>
    <w:p w14:paraId="2BF06B22" w14:textId="77777777" w:rsidR="00E77E1D" w:rsidRPr="00E2374C" w:rsidRDefault="00E77E1D" w:rsidP="00E77E1D">
      <w:pPr>
        <w:spacing w:line="360" w:lineRule="auto"/>
        <w:rPr>
          <w:b/>
          <w:bCs/>
          <w:sz w:val="28"/>
          <w:szCs w:val="28"/>
        </w:rPr>
      </w:pPr>
      <w:r w:rsidRPr="00E2374C">
        <w:rPr>
          <w:b/>
          <w:bCs/>
          <w:sz w:val="28"/>
          <w:szCs w:val="28"/>
        </w:rPr>
        <w:t>Heard</w:t>
      </w:r>
      <w:r w:rsidRPr="00E2374C">
        <w:rPr>
          <w:sz w:val="28"/>
          <w:szCs w:val="28"/>
        </w:rPr>
        <w:t>:</w:t>
      </w:r>
      <w:r w:rsidRPr="00E2374C">
        <w:rPr>
          <w:sz w:val="28"/>
          <w:szCs w:val="28"/>
        </w:rPr>
        <w:tab/>
      </w:r>
      <w:r>
        <w:rPr>
          <w:sz w:val="28"/>
          <w:szCs w:val="28"/>
        </w:rPr>
        <w:t>16 October</w:t>
      </w:r>
      <w:r w:rsidRPr="00E2374C">
        <w:rPr>
          <w:sz w:val="28"/>
          <w:szCs w:val="28"/>
        </w:rPr>
        <w:t xml:space="preserve"> 202</w:t>
      </w:r>
      <w:r>
        <w:rPr>
          <w:sz w:val="28"/>
          <w:szCs w:val="28"/>
        </w:rPr>
        <w:t>3</w:t>
      </w:r>
      <w:r w:rsidRPr="00E2374C">
        <w:rPr>
          <w:sz w:val="28"/>
          <w:szCs w:val="28"/>
        </w:rPr>
        <w:t xml:space="preserve"> </w:t>
      </w:r>
    </w:p>
    <w:p w14:paraId="414AB552" w14:textId="018B4838" w:rsidR="00E77E1D" w:rsidRPr="00E2374C" w:rsidRDefault="00E77E1D" w:rsidP="00E77E1D">
      <w:pPr>
        <w:spacing w:line="360" w:lineRule="auto"/>
        <w:rPr>
          <w:b/>
          <w:bCs/>
          <w:sz w:val="28"/>
          <w:szCs w:val="28"/>
        </w:rPr>
      </w:pPr>
      <w:r w:rsidRPr="00E2374C">
        <w:rPr>
          <w:b/>
          <w:bCs/>
          <w:sz w:val="28"/>
          <w:szCs w:val="28"/>
        </w:rPr>
        <w:t>Delivered</w:t>
      </w:r>
      <w:r w:rsidRPr="00E2374C">
        <w:rPr>
          <w:sz w:val="28"/>
          <w:szCs w:val="28"/>
        </w:rPr>
        <w:t>:</w:t>
      </w:r>
      <w:r w:rsidRPr="00E2374C">
        <w:rPr>
          <w:sz w:val="28"/>
          <w:szCs w:val="28"/>
        </w:rPr>
        <w:tab/>
      </w:r>
      <w:r w:rsidR="009E6C4E">
        <w:rPr>
          <w:sz w:val="28"/>
          <w:szCs w:val="28"/>
        </w:rPr>
        <w:t>30 January</w:t>
      </w:r>
      <w:r w:rsidRPr="00E2374C">
        <w:rPr>
          <w:sz w:val="28"/>
          <w:szCs w:val="28"/>
        </w:rPr>
        <w:t xml:space="preserve"> 202</w:t>
      </w:r>
      <w:r w:rsidR="00EB1381">
        <w:rPr>
          <w:sz w:val="28"/>
          <w:szCs w:val="28"/>
        </w:rPr>
        <w:t>4</w:t>
      </w:r>
    </w:p>
    <w:p w14:paraId="6A1ADD95" w14:textId="77777777" w:rsidR="007B3B86" w:rsidRDefault="007B3B86" w:rsidP="00E77E1D">
      <w:pPr>
        <w:spacing w:line="360" w:lineRule="auto"/>
        <w:rPr>
          <w:b/>
          <w:bCs/>
          <w:sz w:val="28"/>
          <w:szCs w:val="28"/>
        </w:rPr>
      </w:pPr>
    </w:p>
    <w:p w14:paraId="23B39252" w14:textId="1A68D3DD" w:rsidR="00E77E1D" w:rsidRDefault="00E77E1D" w:rsidP="00E77E1D">
      <w:pPr>
        <w:spacing w:line="360" w:lineRule="auto"/>
        <w:rPr>
          <w:sz w:val="28"/>
          <w:szCs w:val="28"/>
        </w:rPr>
      </w:pPr>
      <w:r w:rsidRPr="00E2374C">
        <w:rPr>
          <w:b/>
          <w:bCs/>
          <w:sz w:val="28"/>
          <w:szCs w:val="28"/>
        </w:rPr>
        <w:t>Summary:</w:t>
      </w:r>
      <w:r w:rsidR="00302076">
        <w:rPr>
          <w:b/>
          <w:bCs/>
          <w:sz w:val="28"/>
          <w:szCs w:val="28"/>
        </w:rPr>
        <w:t xml:space="preserve">  </w:t>
      </w:r>
      <w:r w:rsidRPr="00E2374C">
        <w:rPr>
          <w:b/>
          <w:bCs/>
          <w:sz w:val="28"/>
          <w:szCs w:val="28"/>
        </w:rPr>
        <w:t xml:space="preserve"> </w:t>
      </w:r>
      <w:r w:rsidR="00302076" w:rsidRPr="00302076">
        <w:rPr>
          <w:sz w:val="28"/>
          <w:szCs w:val="28"/>
        </w:rPr>
        <w:t>Appeal against order</w:t>
      </w:r>
      <w:r w:rsidR="00AB56B1">
        <w:rPr>
          <w:sz w:val="28"/>
          <w:szCs w:val="28"/>
        </w:rPr>
        <w:t>s</w:t>
      </w:r>
      <w:r w:rsidR="00302076" w:rsidRPr="00302076">
        <w:rPr>
          <w:sz w:val="28"/>
          <w:szCs w:val="28"/>
        </w:rPr>
        <w:t xml:space="preserve"> dismissing </w:t>
      </w:r>
      <w:r w:rsidR="00302076">
        <w:rPr>
          <w:sz w:val="28"/>
          <w:szCs w:val="28"/>
        </w:rPr>
        <w:t>the a</w:t>
      </w:r>
      <w:r w:rsidR="0054197F" w:rsidRPr="0054197F">
        <w:rPr>
          <w:sz w:val="28"/>
          <w:szCs w:val="28"/>
        </w:rPr>
        <w:t xml:space="preserve">pplication for </w:t>
      </w:r>
      <w:r w:rsidR="0054197F">
        <w:rPr>
          <w:sz w:val="28"/>
          <w:szCs w:val="28"/>
        </w:rPr>
        <w:t>eviction</w:t>
      </w:r>
      <w:r w:rsidR="00AB56B1" w:rsidRPr="00AB56B1">
        <w:rPr>
          <w:sz w:val="28"/>
          <w:szCs w:val="28"/>
        </w:rPr>
        <w:t xml:space="preserve"> and</w:t>
      </w:r>
      <w:r w:rsidR="00AB56B1">
        <w:rPr>
          <w:sz w:val="28"/>
          <w:szCs w:val="28"/>
        </w:rPr>
        <w:t xml:space="preserve"> granting a counter-application against eviction</w:t>
      </w:r>
      <w:r w:rsidR="005644C9">
        <w:rPr>
          <w:sz w:val="28"/>
          <w:szCs w:val="28"/>
        </w:rPr>
        <w:t xml:space="preserve"> </w:t>
      </w:r>
      <w:r>
        <w:rPr>
          <w:sz w:val="28"/>
          <w:szCs w:val="28"/>
        </w:rPr>
        <w:t>–</w:t>
      </w:r>
      <w:r w:rsidR="0054197F">
        <w:rPr>
          <w:sz w:val="28"/>
          <w:szCs w:val="28"/>
        </w:rPr>
        <w:t xml:space="preserve"> </w:t>
      </w:r>
      <w:r w:rsidR="005644C9">
        <w:rPr>
          <w:sz w:val="28"/>
          <w:szCs w:val="28"/>
        </w:rPr>
        <w:t>appellant's</w:t>
      </w:r>
      <w:r w:rsidR="0054197F">
        <w:rPr>
          <w:sz w:val="28"/>
          <w:szCs w:val="28"/>
        </w:rPr>
        <w:t xml:space="preserve"> title derived from </w:t>
      </w:r>
      <w:r w:rsidR="005644C9">
        <w:rPr>
          <w:sz w:val="28"/>
          <w:szCs w:val="28"/>
        </w:rPr>
        <w:t>a</w:t>
      </w:r>
      <w:r w:rsidR="0054197F">
        <w:rPr>
          <w:sz w:val="28"/>
          <w:szCs w:val="28"/>
        </w:rPr>
        <w:t xml:space="preserve"> </w:t>
      </w:r>
      <w:r w:rsidR="005644C9">
        <w:rPr>
          <w:sz w:val="28"/>
          <w:szCs w:val="28"/>
        </w:rPr>
        <w:t>p</w:t>
      </w:r>
      <w:r>
        <w:rPr>
          <w:sz w:val="28"/>
          <w:szCs w:val="28"/>
        </w:rPr>
        <w:t xml:space="preserve">ermission to </w:t>
      </w:r>
      <w:r w:rsidR="005644C9">
        <w:rPr>
          <w:sz w:val="28"/>
          <w:szCs w:val="28"/>
        </w:rPr>
        <w:t>o</w:t>
      </w:r>
      <w:r>
        <w:rPr>
          <w:sz w:val="28"/>
          <w:szCs w:val="28"/>
        </w:rPr>
        <w:t xml:space="preserve">ccupy </w:t>
      </w:r>
      <w:r w:rsidR="00A65CEC">
        <w:rPr>
          <w:sz w:val="28"/>
          <w:szCs w:val="28"/>
        </w:rPr>
        <w:t>–</w:t>
      </w:r>
      <w:r w:rsidR="00401264">
        <w:rPr>
          <w:sz w:val="28"/>
          <w:szCs w:val="28"/>
        </w:rPr>
        <w:t>–</w:t>
      </w:r>
      <w:r w:rsidR="005644C9">
        <w:rPr>
          <w:sz w:val="28"/>
          <w:szCs w:val="28"/>
        </w:rPr>
        <w:t xml:space="preserve"> </w:t>
      </w:r>
      <w:r w:rsidR="00401264">
        <w:rPr>
          <w:sz w:val="28"/>
          <w:szCs w:val="28"/>
        </w:rPr>
        <w:t xml:space="preserve">non-joinder of the maker of the permission to occupy strengthening appellant’s right to evict </w:t>
      </w:r>
      <w:r w:rsidR="00760E28">
        <w:rPr>
          <w:sz w:val="28"/>
          <w:szCs w:val="28"/>
        </w:rPr>
        <w:t xml:space="preserve">first respondent </w:t>
      </w:r>
      <w:r w:rsidR="00401264">
        <w:rPr>
          <w:sz w:val="28"/>
          <w:szCs w:val="28"/>
        </w:rPr>
        <w:t xml:space="preserve">- appeal </w:t>
      </w:r>
      <w:r w:rsidR="00302076">
        <w:rPr>
          <w:sz w:val="28"/>
          <w:szCs w:val="28"/>
        </w:rPr>
        <w:t>succeeds -</w:t>
      </w:r>
      <w:r w:rsidR="00401264">
        <w:rPr>
          <w:sz w:val="28"/>
          <w:szCs w:val="28"/>
        </w:rPr>
        <w:t xml:space="preserve"> </w:t>
      </w:r>
      <w:r w:rsidR="00760E28">
        <w:rPr>
          <w:sz w:val="28"/>
          <w:szCs w:val="28"/>
        </w:rPr>
        <w:t>first respondent to vacate the</w:t>
      </w:r>
      <w:r w:rsidR="00302076">
        <w:rPr>
          <w:sz w:val="28"/>
          <w:szCs w:val="28"/>
        </w:rPr>
        <w:t xml:space="preserve"> property</w:t>
      </w:r>
      <w:r w:rsidR="00760E28">
        <w:rPr>
          <w:sz w:val="28"/>
          <w:szCs w:val="28"/>
        </w:rPr>
        <w:t xml:space="preserve"> within </w:t>
      </w:r>
      <w:r w:rsidR="00302076">
        <w:rPr>
          <w:sz w:val="28"/>
          <w:szCs w:val="28"/>
        </w:rPr>
        <w:t>90</w:t>
      </w:r>
      <w:r w:rsidR="00760E28">
        <w:rPr>
          <w:sz w:val="28"/>
          <w:szCs w:val="28"/>
        </w:rPr>
        <w:t xml:space="preserve"> day</w:t>
      </w:r>
      <w:r w:rsidR="00AB56B1">
        <w:rPr>
          <w:sz w:val="28"/>
          <w:szCs w:val="28"/>
        </w:rPr>
        <w:t>s.</w:t>
      </w:r>
    </w:p>
    <w:p w14:paraId="31FF07B0" w14:textId="77777777" w:rsidR="00E77E1D" w:rsidRPr="00E2374C" w:rsidRDefault="00E77E1D" w:rsidP="00E77E1D">
      <w:pPr>
        <w:spacing w:line="360" w:lineRule="auto"/>
        <w:rPr>
          <w:sz w:val="28"/>
          <w:szCs w:val="28"/>
        </w:rPr>
      </w:pPr>
      <w:r>
        <w:rPr>
          <w:rFonts w:ascii="Arial" w:hAnsi="Arial" w:cs="Arial"/>
          <w:noProof/>
          <w:lang w:val="en-ZA" w:eastAsia="en-ZA"/>
        </w:rPr>
        <mc:AlternateContent>
          <mc:Choice Requires="wps">
            <w:drawing>
              <wp:anchor distT="0" distB="0" distL="114300" distR="114300" simplePos="0" relativeHeight="251660288" behindDoc="0" locked="0" layoutInCell="1" allowOverlap="1" wp14:anchorId="678D461E" wp14:editId="31C7E2C3">
                <wp:simplePos x="0" y="0"/>
                <wp:positionH relativeFrom="column">
                  <wp:posOffset>0</wp:posOffset>
                </wp:positionH>
                <wp:positionV relativeFrom="paragraph">
                  <wp:posOffset>114300</wp:posOffset>
                </wp:positionV>
                <wp:extent cx="0" cy="0"/>
                <wp:effectExtent l="0" t="0" r="0" b="0"/>
                <wp:wrapNone/>
                <wp:docPr id="17787705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3293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r>
        <w:rPr>
          <w:rFonts w:ascii="Arial" w:hAnsi="Arial" w:cs="Arial"/>
          <w:noProof/>
          <w:lang w:val="en-ZA" w:eastAsia="en-ZA"/>
        </w:rPr>
        <mc:AlternateContent>
          <mc:Choice Requires="wps">
            <w:drawing>
              <wp:anchor distT="0" distB="0" distL="114300" distR="114300" simplePos="0" relativeHeight="251662336" behindDoc="0" locked="0" layoutInCell="1" allowOverlap="1" wp14:anchorId="5C5321F6" wp14:editId="7C4AD35F">
                <wp:simplePos x="0" y="0"/>
                <wp:positionH relativeFrom="column">
                  <wp:posOffset>0</wp:posOffset>
                </wp:positionH>
                <wp:positionV relativeFrom="paragraph">
                  <wp:posOffset>40005</wp:posOffset>
                </wp:positionV>
                <wp:extent cx="5257800" cy="0"/>
                <wp:effectExtent l="0" t="0" r="12700" b="12700"/>
                <wp:wrapNone/>
                <wp:docPr id="16537648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430F6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">
                <o:lock v:ext="edit" shapetype="f"/>
              </v:line>
            </w:pict>
          </mc:Fallback>
        </mc:AlternateContent>
      </w:r>
    </w:p>
    <w:p w14:paraId="1FD6A875" w14:textId="77777777" w:rsidR="00E77E1D" w:rsidRPr="00E2374C" w:rsidRDefault="00E77E1D" w:rsidP="00E77E1D">
      <w:pPr>
        <w:pStyle w:val="Heading3"/>
        <w:jc w:val="center"/>
        <w:rPr>
          <w:rFonts w:ascii="Times New Roman" w:hAnsi="Times New Roman" w:cs="Times New Roman"/>
          <w:b/>
          <w:i w:val="0"/>
          <w:szCs w:val="28"/>
        </w:rPr>
      </w:pPr>
      <w:r w:rsidRPr="00E2374C">
        <w:rPr>
          <w:rFonts w:ascii="Times New Roman" w:hAnsi="Times New Roman" w:cs="Times New Roman"/>
          <w:b/>
          <w:i w:val="0"/>
          <w:szCs w:val="28"/>
        </w:rPr>
        <w:t>ORDER</w:t>
      </w:r>
    </w:p>
    <w:p w14:paraId="090948DB" w14:textId="77777777" w:rsidR="00E77E1D" w:rsidRPr="00E2374C" w:rsidRDefault="00E77E1D" w:rsidP="00E77E1D">
      <w:pPr>
        <w:spacing w:line="360" w:lineRule="auto"/>
        <w:rPr>
          <w:b/>
          <w:bCs/>
          <w:sz w:val="28"/>
          <w:szCs w:val="28"/>
        </w:rPr>
      </w:pPr>
      <w:r>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5D9BF120" wp14:editId="427E3E01">
                <wp:simplePos x="0" y="0"/>
                <wp:positionH relativeFrom="column">
                  <wp:posOffset>0</wp:posOffset>
                </wp:positionH>
                <wp:positionV relativeFrom="paragraph">
                  <wp:posOffset>96520</wp:posOffset>
                </wp:positionV>
                <wp:extent cx="5257800" cy="0"/>
                <wp:effectExtent l="0" t="0" r="12700" b="12700"/>
                <wp:wrapNone/>
                <wp:docPr id="11409418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1D3D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">
                <o:lock v:ext="edit" shapetype="f"/>
              </v:line>
            </w:pict>
          </mc:Fallback>
        </mc:AlternateContent>
      </w:r>
    </w:p>
    <w:p w14:paraId="443C9D73" w14:textId="6418054A" w:rsidR="00A01C45" w:rsidRDefault="00E77E1D" w:rsidP="00760E28">
      <w:pPr>
        <w:spacing w:line="360" w:lineRule="auto"/>
        <w:jc w:val="both"/>
        <w:rPr>
          <w:bCs/>
          <w:sz w:val="28"/>
          <w:szCs w:val="28"/>
        </w:rPr>
      </w:pPr>
      <w:r w:rsidRPr="00E2374C">
        <w:rPr>
          <w:b/>
          <w:bCs/>
          <w:sz w:val="28"/>
          <w:szCs w:val="28"/>
        </w:rPr>
        <w:t xml:space="preserve">On appeal from: </w:t>
      </w:r>
      <w:r w:rsidR="00760E28" w:rsidRPr="00760E28">
        <w:rPr>
          <w:sz w:val="28"/>
          <w:szCs w:val="28"/>
        </w:rPr>
        <w:t xml:space="preserve">the judgment of Pakati J </w:t>
      </w:r>
      <w:r w:rsidR="00760E28">
        <w:rPr>
          <w:sz w:val="28"/>
          <w:szCs w:val="28"/>
        </w:rPr>
        <w:t xml:space="preserve">sitting as a court of first instance. </w:t>
      </w:r>
      <w:r w:rsidR="00A01C45">
        <w:rPr>
          <w:sz w:val="28"/>
          <w:szCs w:val="28"/>
        </w:rPr>
        <w:t>1.</w:t>
      </w:r>
      <w:r w:rsidR="003E4D6F">
        <w:rPr>
          <w:sz w:val="28"/>
          <w:szCs w:val="28"/>
        </w:rPr>
        <w:tab/>
      </w:r>
      <w:r w:rsidRPr="00E2374C">
        <w:rPr>
          <w:bCs/>
          <w:sz w:val="28"/>
          <w:szCs w:val="28"/>
        </w:rPr>
        <w:t>The appeal is upheld with costs</w:t>
      </w:r>
      <w:r w:rsidR="00760E28">
        <w:rPr>
          <w:bCs/>
          <w:sz w:val="28"/>
          <w:szCs w:val="28"/>
        </w:rPr>
        <w:t xml:space="preserve">. </w:t>
      </w:r>
    </w:p>
    <w:p w14:paraId="10702E0A" w14:textId="77777777" w:rsidR="00491312" w:rsidRDefault="00A01C45" w:rsidP="00461468">
      <w:pPr>
        <w:spacing w:line="360" w:lineRule="auto"/>
        <w:ind w:left="851" w:hanging="851"/>
        <w:jc w:val="both"/>
        <w:rPr>
          <w:sz w:val="28"/>
          <w:szCs w:val="28"/>
        </w:rPr>
      </w:pPr>
      <w:r>
        <w:rPr>
          <w:bCs/>
          <w:sz w:val="28"/>
          <w:szCs w:val="28"/>
        </w:rPr>
        <w:t>2.</w:t>
      </w:r>
      <w:r w:rsidR="003E4D6F">
        <w:rPr>
          <w:bCs/>
          <w:sz w:val="28"/>
          <w:szCs w:val="28"/>
        </w:rPr>
        <w:t xml:space="preserve">      </w:t>
      </w:r>
      <w:r w:rsidR="00E77E1D" w:rsidRPr="00760E28">
        <w:rPr>
          <w:sz w:val="28"/>
          <w:szCs w:val="28"/>
        </w:rPr>
        <w:t>The order of the high court is set aside and replaced by the following order:</w:t>
      </w:r>
      <w:r w:rsidR="00491312">
        <w:rPr>
          <w:sz w:val="28"/>
          <w:szCs w:val="28"/>
        </w:rPr>
        <w:t xml:space="preserve"> </w:t>
      </w:r>
    </w:p>
    <w:p w14:paraId="2553FA6E" w14:textId="541FDC36" w:rsidR="00491312" w:rsidRDefault="00491312" w:rsidP="00491312">
      <w:pPr>
        <w:spacing w:line="360" w:lineRule="auto"/>
        <w:ind w:left="851" w:hanging="142"/>
        <w:jc w:val="both"/>
        <w:rPr>
          <w:sz w:val="28"/>
          <w:szCs w:val="28"/>
        </w:rPr>
      </w:pPr>
      <w:r>
        <w:rPr>
          <w:sz w:val="28"/>
          <w:szCs w:val="28"/>
        </w:rPr>
        <w:t xml:space="preserve">2.1  The main application is granted. </w:t>
      </w:r>
    </w:p>
    <w:p w14:paraId="64711ED7" w14:textId="666537F0" w:rsidR="00760E28" w:rsidRDefault="00491312" w:rsidP="00491312">
      <w:pPr>
        <w:spacing w:line="360" w:lineRule="auto"/>
        <w:ind w:left="851" w:hanging="142"/>
        <w:jc w:val="both"/>
        <w:rPr>
          <w:sz w:val="28"/>
          <w:szCs w:val="28"/>
        </w:rPr>
      </w:pPr>
      <w:r>
        <w:rPr>
          <w:sz w:val="28"/>
          <w:szCs w:val="28"/>
        </w:rPr>
        <w:t>2.2  The counter application is dismissed</w:t>
      </w:r>
    </w:p>
    <w:p w14:paraId="62B904AE" w14:textId="65E416A7" w:rsidR="00A01C45" w:rsidRPr="003E4D6F" w:rsidRDefault="003E4D6F" w:rsidP="003E4D6F">
      <w:pPr>
        <w:spacing w:line="360" w:lineRule="auto"/>
        <w:ind w:left="1440" w:hanging="731"/>
        <w:jc w:val="both"/>
        <w:rPr>
          <w:bCs/>
          <w:sz w:val="28"/>
          <w:szCs w:val="28"/>
        </w:rPr>
      </w:pPr>
      <w:r>
        <w:rPr>
          <w:bCs/>
          <w:sz w:val="28"/>
          <w:szCs w:val="28"/>
        </w:rPr>
        <w:t>2.</w:t>
      </w:r>
      <w:r w:rsidR="00491312">
        <w:rPr>
          <w:bCs/>
          <w:sz w:val="28"/>
          <w:szCs w:val="28"/>
        </w:rPr>
        <w:t xml:space="preserve">3 </w:t>
      </w:r>
      <w:r w:rsidR="00E27A0B" w:rsidRPr="003E4D6F">
        <w:rPr>
          <w:bCs/>
          <w:sz w:val="28"/>
          <w:szCs w:val="28"/>
        </w:rPr>
        <w:t>The</w:t>
      </w:r>
      <w:r w:rsidR="005233CA" w:rsidRPr="003E4D6F">
        <w:rPr>
          <w:bCs/>
          <w:sz w:val="28"/>
          <w:szCs w:val="28"/>
        </w:rPr>
        <w:t xml:space="preserve"> </w:t>
      </w:r>
      <w:r w:rsidR="005233CA" w:rsidRPr="003E4D6F">
        <w:rPr>
          <w:bCs/>
          <w:sz w:val="28"/>
          <w:szCs w:val="28"/>
          <w:lang w:val="en-US"/>
        </w:rPr>
        <w:t xml:space="preserve">first and second respondents </w:t>
      </w:r>
      <w:r w:rsidR="007D69C5" w:rsidRPr="003E4D6F">
        <w:rPr>
          <w:bCs/>
          <w:sz w:val="28"/>
          <w:szCs w:val="28"/>
          <w:lang w:val="en-US"/>
        </w:rPr>
        <w:t>are</w:t>
      </w:r>
      <w:r w:rsidR="005233CA" w:rsidRPr="003E4D6F">
        <w:rPr>
          <w:bCs/>
          <w:sz w:val="28"/>
          <w:szCs w:val="28"/>
          <w:lang w:val="en-US"/>
        </w:rPr>
        <w:t xml:space="preserve"> evicted from the property known</w:t>
      </w:r>
      <w:r w:rsidR="00A01C45" w:rsidRPr="003E4D6F">
        <w:rPr>
          <w:bCs/>
          <w:sz w:val="28"/>
          <w:szCs w:val="28"/>
          <w:lang w:val="en-US"/>
        </w:rPr>
        <w:t xml:space="preserve"> as </w:t>
      </w:r>
      <w:r w:rsidR="006A53B6" w:rsidRPr="00FF0640">
        <w:rPr>
          <w:bCs/>
          <w:sz w:val="28"/>
          <w:szCs w:val="28"/>
          <w:lang w:val="en-US"/>
        </w:rPr>
        <w:t>Allotment No.</w:t>
      </w:r>
      <w:r w:rsidR="005233CA" w:rsidRPr="00FF0640">
        <w:rPr>
          <w:bCs/>
          <w:sz w:val="28"/>
          <w:szCs w:val="28"/>
          <w:lang w:val="en-US"/>
        </w:rPr>
        <w:t>16</w:t>
      </w:r>
      <w:r w:rsidR="00E90DE5" w:rsidRPr="00FF0640">
        <w:rPr>
          <w:bCs/>
          <w:sz w:val="28"/>
          <w:szCs w:val="28"/>
          <w:lang w:val="en-US"/>
        </w:rPr>
        <w:t>0A</w:t>
      </w:r>
      <w:r w:rsidR="007D4AFB">
        <w:rPr>
          <w:bCs/>
          <w:sz w:val="28"/>
          <w:szCs w:val="28"/>
          <w:lang w:val="en-US"/>
        </w:rPr>
        <w:t xml:space="preserve"> </w:t>
      </w:r>
      <w:r w:rsidR="002F6458">
        <w:rPr>
          <w:bCs/>
          <w:sz w:val="28"/>
          <w:szCs w:val="28"/>
          <w:lang w:val="en-US"/>
        </w:rPr>
        <w:t xml:space="preserve">Ndongeni </w:t>
      </w:r>
      <w:r w:rsidR="007D4AFB">
        <w:rPr>
          <w:bCs/>
          <w:sz w:val="28"/>
          <w:szCs w:val="28"/>
          <w:lang w:val="en-US"/>
        </w:rPr>
        <w:t>R</w:t>
      </w:r>
      <w:r w:rsidR="00E90DE5" w:rsidRPr="003E4D6F">
        <w:rPr>
          <w:bCs/>
          <w:sz w:val="28"/>
          <w:szCs w:val="28"/>
          <w:lang w:val="en-US"/>
        </w:rPr>
        <w:t>esidents, El</w:t>
      </w:r>
      <w:r w:rsidR="0042331E">
        <w:rPr>
          <w:bCs/>
          <w:sz w:val="28"/>
          <w:szCs w:val="28"/>
          <w:lang w:val="en-US"/>
        </w:rPr>
        <w:t>ubhacweni</w:t>
      </w:r>
      <w:r w:rsidR="00E90DE5" w:rsidRPr="003E4D6F">
        <w:rPr>
          <w:bCs/>
          <w:sz w:val="28"/>
          <w:szCs w:val="28"/>
          <w:lang w:val="en-US"/>
        </w:rPr>
        <w:t xml:space="preserve"> </w:t>
      </w:r>
      <w:r w:rsidR="0042331E">
        <w:rPr>
          <w:bCs/>
          <w:sz w:val="28"/>
          <w:szCs w:val="28"/>
          <w:lang w:val="en-US"/>
        </w:rPr>
        <w:t>L</w:t>
      </w:r>
      <w:r w:rsidR="00E90DE5" w:rsidRPr="003E4D6F">
        <w:rPr>
          <w:bCs/>
          <w:sz w:val="28"/>
          <w:szCs w:val="28"/>
          <w:lang w:val="en-US"/>
        </w:rPr>
        <w:t>ocation, M</w:t>
      </w:r>
      <w:r w:rsidR="005233CA" w:rsidRPr="003E4D6F">
        <w:rPr>
          <w:bCs/>
          <w:sz w:val="28"/>
          <w:szCs w:val="28"/>
          <w:lang w:val="en-US"/>
        </w:rPr>
        <w:t xml:space="preserve">ount </w:t>
      </w:r>
      <w:r w:rsidR="00273F00" w:rsidRPr="003E4D6F">
        <w:rPr>
          <w:bCs/>
          <w:sz w:val="28"/>
          <w:szCs w:val="28"/>
          <w:lang w:val="en-US"/>
        </w:rPr>
        <w:t>F</w:t>
      </w:r>
      <w:r w:rsidR="005233CA" w:rsidRPr="003E4D6F">
        <w:rPr>
          <w:bCs/>
          <w:sz w:val="28"/>
          <w:szCs w:val="28"/>
          <w:lang w:val="en-US"/>
        </w:rPr>
        <w:t>rere, Eastern Cape</w:t>
      </w:r>
      <w:r w:rsidR="00DC64D1">
        <w:rPr>
          <w:bCs/>
          <w:sz w:val="28"/>
          <w:szCs w:val="28"/>
          <w:lang w:val="en-US"/>
        </w:rPr>
        <w:t xml:space="preserve"> </w:t>
      </w:r>
      <w:r w:rsidR="00491312">
        <w:rPr>
          <w:bCs/>
          <w:sz w:val="28"/>
          <w:szCs w:val="28"/>
          <w:lang w:val="en-US"/>
        </w:rPr>
        <w:t>(the property)</w:t>
      </w:r>
      <w:r w:rsidR="00A01C45" w:rsidRPr="003E4D6F">
        <w:rPr>
          <w:bCs/>
          <w:sz w:val="28"/>
          <w:szCs w:val="28"/>
          <w:lang w:val="en-US"/>
        </w:rPr>
        <w:t xml:space="preserve">. </w:t>
      </w:r>
    </w:p>
    <w:p w14:paraId="6EF57A99" w14:textId="09BA3CFE" w:rsidR="00E27A0B" w:rsidRPr="00A01C45" w:rsidRDefault="00A01C45" w:rsidP="003E4D6F">
      <w:pPr>
        <w:spacing w:line="360" w:lineRule="auto"/>
        <w:ind w:left="1440" w:hanging="731"/>
        <w:jc w:val="both"/>
        <w:rPr>
          <w:bCs/>
          <w:sz w:val="28"/>
          <w:szCs w:val="28"/>
        </w:rPr>
      </w:pPr>
      <w:r>
        <w:rPr>
          <w:bCs/>
          <w:sz w:val="28"/>
          <w:szCs w:val="28"/>
        </w:rPr>
        <w:t xml:space="preserve">2.2 </w:t>
      </w:r>
      <w:r w:rsidR="003E4D6F">
        <w:rPr>
          <w:bCs/>
          <w:sz w:val="28"/>
          <w:szCs w:val="28"/>
        </w:rPr>
        <w:tab/>
      </w:r>
      <w:r w:rsidR="00E27A0B" w:rsidRPr="00A01C45">
        <w:rPr>
          <w:bCs/>
          <w:sz w:val="28"/>
          <w:szCs w:val="28"/>
        </w:rPr>
        <w:t xml:space="preserve">The </w:t>
      </w:r>
      <w:r w:rsidR="009A0F8D">
        <w:rPr>
          <w:bCs/>
          <w:sz w:val="28"/>
          <w:szCs w:val="28"/>
          <w:lang w:val="en-US"/>
        </w:rPr>
        <w:t>first</w:t>
      </w:r>
      <w:r w:rsidR="005233CA" w:rsidRPr="00A01C45">
        <w:rPr>
          <w:bCs/>
          <w:sz w:val="28"/>
          <w:szCs w:val="28"/>
          <w:lang w:val="en-US"/>
        </w:rPr>
        <w:t xml:space="preserve"> and </w:t>
      </w:r>
      <w:r w:rsidR="009A0F8D">
        <w:rPr>
          <w:bCs/>
          <w:sz w:val="28"/>
          <w:szCs w:val="28"/>
          <w:lang w:val="en-US"/>
        </w:rPr>
        <w:t>seco</w:t>
      </w:r>
      <w:r w:rsidR="005233CA" w:rsidRPr="00A01C45">
        <w:rPr>
          <w:bCs/>
          <w:sz w:val="28"/>
          <w:szCs w:val="28"/>
          <w:lang w:val="en-US"/>
        </w:rPr>
        <w:t>nd respondents are ordered to vacate the property within 90 days fro</w:t>
      </w:r>
      <w:r w:rsidR="009A0F8D">
        <w:rPr>
          <w:bCs/>
          <w:sz w:val="28"/>
          <w:szCs w:val="28"/>
          <w:lang w:val="en-US"/>
        </w:rPr>
        <w:t xml:space="preserve">m </w:t>
      </w:r>
      <w:r w:rsidR="005233CA" w:rsidRPr="00A01C45">
        <w:rPr>
          <w:bCs/>
          <w:sz w:val="28"/>
          <w:szCs w:val="28"/>
          <w:lang w:val="en-US"/>
        </w:rPr>
        <w:t>the</w:t>
      </w:r>
      <w:r w:rsidR="009A0F8D">
        <w:rPr>
          <w:bCs/>
          <w:sz w:val="28"/>
          <w:szCs w:val="28"/>
          <w:lang w:val="en-US"/>
        </w:rPr>
        <w:t xml:space="preserve"> date of</w:t>
      </w:r>
      <w:r w:rsidR="005233CA" w:rsidRPr="00A01C45">
        <w:rPr>
          <w:bCs/>
          <w:sz w:val="28"/>
          <w:szCs w:val="28"/>
          <w:lang w:val="en-US"/>
        </w:rPr>
        <w:t xml:space="preserve"> </w:t>
      </w:r>
      <w:r w:rsidR="009A0F8D">
        <w:rPr>
          <w:bCs/>
          <w:sz w:val="28"/>
          <w:szCs w:val="28"/>
          <w:lang w:val="en-US"/>
        </w:rPr>
        <w:t xml:space="preserve">service of this </w:t>
      </w:r>
      <w:r w:rsidR="005233CA" w:rsidRPr="00A01C45">
        <w:rPr>
          <w:bCs/>
          <w:sz w:val="28"/>
          <w:szCs w:val="28"/>
          <w:lang w:val="en-US"/>
        </w:rPr>
        <w:t>order</w:t>
      </w:r>
      <w:r w:rsidR="009A0F8D">
        <w:rPr>
          <w:bCs/>
          <w:sz w:val="28"/>
          <w:szCs w:val="28"/>
          <w:lang w:val="en-US"/>
        </w:rPr>
        <w:t xml:space="preserve"> upon them</w:t>
      </w:r>
      <w:r w:rsidR="005233CA" w:rsidRPr="00A01C45">
        <w:rPr>
          <w:bCs/>
          <w:sz w:val="28"/>
          <w:szCs w:val="28"/>
          <w:lang w:val="en-US"/>
        </w:rPr>
        <w:t>.</w:t>
      </w:r>
    </w:p>
    <w:p w14:paraId="2AA265E0" w14:textId="17EFF1F5" w:rsidR="005233CA" w:rsidRPr="00A01C45" w:rsidRDefault="00A01C45" w:rsidP="00491312">
      <w:pPr>
        <w:spacing w:line="360" w:lineRule="auto"/>
        <w:ind w:left="1440" w:hanging="731"/>
        <w:jc w:val="both"/>
        <w:rPr>
          <w:bCs/>
          <w:sz w:val="28"/>
          <w:szCs w:val="28"/>
          <w:lang w:val="en-US"/>
        </w:rPr>
      </w:pPr>
      <w:r>
        <w:rPr>
          <w:bCs/>
          <w:sz w:val="28"/>
          <w:szCs w:val="28"/>
          <w:lang w:val="en-US"/>
        </w:rPr>
        <w:lastRenderedPageBreak/>
        <w:t xml:space="preserve">2.3 </w:t>
      </w:r>
      <w:r w:rsidR="003E4D6F">
        <w:rPr>
          <w:bCs/>
          <w:sz w:val="28"/>
          <w:szCs w:val="28"/>
          <w:lang w:val="en-US"/>
        </w:rPr>
        <w:tab/>
      </w:r>
      <w:r w:rsidR="00491312">
        <w:rPr>
          <w:bCs/>
          <w:sz w:val="28"/>
          <w:szCs w:val="28"/>
          <w:lang w:val="en-US"/>
        </w:rPr>
        <w:t>If the first and s</w:t>
      </w:r>
      <w:r w:rsidR="005233CA" w:rsidRPr="00A01C45">
        <w:rPr>
          <w:bCs/>
          <w:sz w:val="28"/>
          <w:szCs w:val="28"/>
          <w:lang w:val="en-US"/>
        </w:rPr>
        <w:t xml:space="preserve">econd respondents have not vacated the property </w:t>
      </w:r>
      <w:r w:rsidR="00491312">
        <w:rPr>
          <w:bCs/>
          <w:sz w:val="28"/>
          <w:szCs w:val="28"/>
          <w:lang w:val="en-US"/>
        </w:rPr>
        <w:t xml:space="preserve"> </w:t>
      </w:r>
      <w:r w:rsidR="005233CA" w:rsidRPr="00A01C45">
        <w:rPr>
          <w:bCs/>
          <w:sz w:val="28"/>
          <w:szCs w:val="28"/>
          <w:lang w:val="en-US"/>
        </w:rPr>
        <w:t xml:space="preserve">by the eviction date, the </w:t>
      </w:r>
      <w:r w:rsidR="00491312">
        <w:rPr>
          <w:bCs/>
          <w:sz w:val="28"/>
          <w:szCs w:val="28"/>
          <w:lang w:val="en-US"/>
        </w:rPr>
        <w:t>S</w:t>
      </w:r>
      <w:r w:rsidR="005233CA" w:rsidRPr="00A01C45">
        <w:rPr>
          <w:bCs/>
          <w:sz w:val="28"/>
          <w:szCs w:val="28"/>
          <w:lang w:val="en-US"/>
        </w:rPr>
        <w:t xml:space="preserve">heriff </w:t>
      </w:r>
      <w:r w:rsidR="00491312">
        <w:rPr>
          <w:bCs/>
          <w:sz w:val="28"/>
          <w:szCs w:val="28"/>
          <w:lang w:val="en-US"/>
        </w:rPr>
        <w:t xml:space="preserve">, </w:t>
      </w:r>
      <w:r w:rsidR="005233CA" w:rsidRPr="00A01C45">
        <w:rPr>
          <w:bCs/>
          <w:sz w:val="28"/>
          <w:szCs w:val="28"/>
          <w:lang w:val="en-US"/>
        </w:rPr>
        <w:t>or his</w:t>
      </w:r>
      <w:r w:rsidR="00491312">
        <w:rPr>
          <w:bCs/>
          <w:sz w:val="28"/>
          <w:szCs w:val="28"/>
          <w:lang w:val="en-US"/>
        </w:rPr>
        <w:t xml:space="preserve">/her Agent, </w:t>
      </w:r>
      <w:r w:rsidR="005233CA" w:rsidRPr="00A01C45">
        <w:rPr>
          <w:bCs/>
          <w:sz w:val="28"/>
          <w:szCs w:val="28"/>
          <w:lang w:val="en-US"/>
        </w:rPr>
        <w:t>is hereby authorized to</w:t>
      </w:r>
      <w:r w:rsidR="009A0F8D">
        <w:rPr>
          <w:bCs/>
          <w:sz w:val="28"/>
          <w:szCs w:val="28"/>
          <w:lang w:val="en-US"/>
        </w:rPr>
        <w:t xml:space="preserve"> evict</w:t>
      </w:r>
      <w:r w:rsidR="005233CA" w:rsidRPr="00A01C45">
        <w:rPr>
          <w:bCs/>
          <w:sz w:val="28"/>
          <w:szCs w:val="28"/>
          <w:lang w:val="en-US"/>
        </w:rPr>
        <w:t xml:space="preserve"> the first and second respondents</w:t>
      </w:r>
      <w:r w:rsidR="00491312">
        <w:rPr>
          <w:bCs/>
          <w:sz w:val="28"/>
          <w:szCs w:val="28"/>
          <w:lang w:val="en-US"/>
        </w:rPr>
        <w:t>, including</w:t>
      </w:r>
      <w:r w:rsidR="005233CA" w:rsidRPr="00A01C45">
        <w:rPr>
          <w:bCs/>
          <w:sz w:val="28"/>
          <w:szCs w:val="28"/>
          <w:lang w:val="en-US"/>
        </w:rPr>
        <w:t xml:space="preserve"> all  persons occup</w:t>
      </w:r>
      <w:r w:rsidR="00491312">
        <w:rPr>
          <w:bCs/>
          <w:sz w:val="28"/>
          <w:szCs w:val="28"/>
          <w:lang w:val="en-US"/>
        </w:rPr>
        <w:t>ying</w:t>
      </w:r>
      <w:r w:rsidR="005233CA" w:rsidRPr="00A01C45">
        <w:rPr>
          <w:bCs/>
          <w:sz w:val="28"/>
          <w:szCs w:val="28"/>
          <w:lang w:val="en-US"/>
        </w:rPr>
        <w:t xml:space="preserve"> the property through </w:t>
      </w:r>
      <w:r w:rsidR="00491312">
        <w:rPr>
          <w:bCs/>
          <w:sz w:val="28"/>
          <w:szCs w:val="28"/>
          <w:lang w:val="en-US"/>
        </w:rPr>
        <w:t>them</w:t>
      </w:r>
      <w:r w:rsidR="009A0F8D">
        <w:rPr>
          <w:bCs/>
          <w:sz w:val="28"/>
          <w:szCs w:val="28"/>
          <w:lang w:val="en-US"/>
        </w:rPr>
        <w:t>.</w:t>
      </w:r>
    </w:p>
    <w:p w14:paraId="39D8EE65" w14:textId="3D257B12" w:rsidR="009A0F8D" w:rsidRPr="00EE4AC2" w:rsidRDefault="00EE4AC2" w:rsidP="00EE4AC2">
      <w:pPr>
        <w:spacing w:line="360" w:lineRule="auto"/>
        <w:ind w:left="1418" w:hanging="709"/>
        <w:jc w:val="both"/>
        <w:rPr>
          <w:bCs/>
          <w:sz w:val="28"/>
          <w:szCs w:val="28"/>
        </w:rPr>
      </w:pPr>
      <w:r>
        <w:rPr>
          <w:bCs/>
          <w:sz w:val="28"/>
          <w:szCs w:val="28"/>
        </w:rPr>
        <w:t>2.4</w:t>
      </w:r>
      <w:r>
        <w:rPr>
          <w:bCs/>
          <w:sz w:val="28"/>
          <w:szCs w:val="28"/>
        </w:rPr>
        <w:tab/>
      </w:r>
      <w:r w:rsidR="00A01C45" w:rsidRPr="00EE4AC2">
        <w:rPr>
          <w:bCs/>
          <w:sz w:val="28"/>
          <w:szCs w:val="28"/>
          <w:lang w:val="en-US"/>
        </w:rPr>
        <w:t>The</w:t>
      </w:r>
      <w:r w:rsidR="005233CA" w:rsidRPr="00EE4AC2">
        <w:rPr>
          <w:bCs/>
          <w:sz w:val="28"/>
          <w:szCs w:val="28"/>
          <w:lang w:val="en-US"/>
        </w:rPr>
        <w:t xml:space="preserve"> first and second respondents are interdicted and restrained fro</w:t>
      </w:r>
      <w:r w:rsidR="00A01C45" w:rsidRPr="00EE4AC2">
        <w:rPr>
          <w:bCs/>
          <w:sz w:val="28"/>
          <w:szCs w:val="28"/>
          <w:lang w:val="en-US"/>
        </w:rPr>
        <w:t xml:space="preserve">m </w:t>
      </w:r>
      <w:r w:rsidR="005233CA" w:rsidRPr="00EE4AC2">
        <w:rPr>
          <w:bCs/>
          <w:sz w:val="28"/>
          <w:szCs w:val="28"/>
          <w:lang w:val="en-US"/>
        </w:rPr>
        <w:t xml:space="preserve">entering the property at any time after they have vacated </w:t>
      </w:r>
      <w:r w:rsidR="007D69C5" w:rsidRPr="00EE4AC2">
        <w:rPr>
          <w:bCs/>
          <w:sz w:val="28"/>
          <w:szCs w:val="28"/>
          <w:lang w:val="en-US"/>
        </w:rPr>
        <w:t>or been evicted</w:t>
      </w:r>
      <w:r w:rsidR="005233CA" w:rsidRPr="00EE4AC2">
        <w:rPr>
          <w:bCs/>
          <w:sz w:val="28"/>
          <w:szCs w:val="28"/>
          <w:lang w:val="en-US"/>
        </w:rPr>
        <w:t xml:space="preserve"> </w:t>
      </w:r>
      <w:r w:rsidR="009A0F8D" w:rsidRPr="00EE4AC2">
        <w:rPr>
          <w:bCs/>
          <w:sz w:val="28"/>
          <w:szCs w:val="28"/>
          <w:lang w:val="en-US"/>
        </w:rPr>
        <w:t>from the property.</w:t>
      </w:r>
      <w:r w:rsidR="001734AF" w:rsidRPr="00EE4AC2">
        <w:rPr>
          <w:bCs/>
          <w:sz w:val="28"/>
          <w:szCs w:val="28"/>
        </w:rPr>
        <w:t xml:space="preserve">    </w:t>
      </w:r>
    </w:p>
    <w:p w14:paraId="2A886DE0" w14:textId="52B0746E" w:rsidR="009A0F8D" w:rsidRPr="00EE4AC2" w:rsidRDefault="00EE4AC2" w:rsidP="00EE4AC2">
      <w:pPr>
        <w:spacing w:line="360" w:lineRule="auto"/>
        <w:ind w:left="1095" w:hanging="375"/>
        <w:jc w:val="both"/>
        <w:rPr>
          <w:sz w:val="28"/>
          <w:szCs w:val="28"/>
          <w:lang w:val="en-US"/>
        </w:rPr>
      </w:pPr>
      <w:r w:rsidRPr="009A0F8D">
        <w:rPr>
          <w:sz w:val="28"/>
          <w:szCs w:val="28"/>
          <w:lang w:val="en-US"/>
        </w:rPr>
        <w:t>2.5</w:t>
      </w:r>
      <w:r w:rsidRPr="009A0F8D">
        <w:rPr>
          <w:sz w:val="28"/>
          <w:szCs w:val="28"/>
          <w:lang w:val="en-US"/>
        </w:rPr>
        <w:tab/>
      </w:r>
      <w:r w:rsidR="009A0F8D" w:rsidRPr="00EE4AC2">
        <w:rPr>
          <w:sz w:val="28"/>
          <w:szCs w:val="28"/>
        </w:rPr>
        <w:t xml:space="preserve">   </w:t>
      </w:r>
      <w:r w:rsidR="00E77E1D" w:rsidRPr="00EE4AC2">
        <w:rPr>
          <w:sz w:val="28"/>
          <w:szCs w:val="28"/>
        </w:rPr>
        <w:t>The</w:t>
      </w:r>
      <w:r w:rsidR="00A01C45" w:rsidRPr="00EE4AC2">
        <w:rPr>
          <w:sz w:val="28"/>
          <w:szCs w:val="28"/>
        </w:rPr>
        <w:t xml:space="preserve"> </w:t>
      </w:r>
      <w:r w:rsidR="00A01C45" w:rsidRPr="00EE4AC2">
        <w:rPr>
          <w:sz w:val="28"/>
          <w:szCs w:val="28"/>
          <w:lang w:val="en-US"/>
        </w:rPr>
        <w:t>first respondent to pay the costs of the</w:t>
      </w:r>
      <w:r w:rsidR="00AF0D0F" w:rsidRPr="00EE4AC2">
        <w:rPr>
          <w:sz w:val="28"/>
          <w:szCs w:val="28"/>
          <w:lang w:val="en-US"/>
        </w:rPr>
        <w:t xml:space="preserve"> main and counter</w:t>
      </w:r>
      <w:r w:rsidR="004D5736" w:rsidRPr="00EE4AC2">
        <w:rPr>
          <w:sz w:val="28"/>
          <w:szCs w:val="28"/>
          <w:lang w:val="en-US"/>
        </w:rPr>
        <w:t>-</w:t>
      </w:r>
      <w:r w:rsidR="00A01C45" w:rsidRPr="00EE4AC2">
        <w:rPr>
          <w:sz w:val="28"/>
          <w:szCs w:val="28"/>
          <w:lang w:val="en-US"/>
        </w:rPr>
        <w:t xml:space="preserve"> </w:t>
      </w:r>
      <w:r w:rsidR="009A0F8D" w:rsidRPr="00EE4AC2">
        <w:rPr>
          <w:sz w:val="28"/>
          <w:szCs w:val="28"/>
          <w:lang w:val="en-US"/>
        </w:rPr>
        <w:t xml:space="preserve">     </w:t>
      </w:r>
    </w:p>
    <w:p w14:paraId="0125C958" w14:textId="706A5C49" w:rsidR="00E77E1D" w:rsidRPr="009A0F8D" w:rsidRDefault="009A0F8D" w:rsidP="009A0F8D">
      <w:pPr>
        <w:pStyle w:val="ListParagraph"/>
        <w:spacing w:line="360" w:lineRule="auto"/>
        <w:ind w:left="1095"/>
        <w:jc w:val="both"/>
        <w:rPr>
          <w:bCs/>
          <w:sz w:val="28"/>
          <w:szCs w:val="28"/>
        </w:rPr>
      </w:pPr>
      <w:r>
        <w:rPr>
          <w:sz w:val="28"/>
          <w:szCs w:val="28"/>
          <w:lang w:val="en-US"/>
        </w:rPr>
        <w:t xml:space="preserve">  </w:t>
      </w:r>
      <w:r w:rsidR="00A01C45" w:rsidRPr="009A0F8D">
        <w:rPr>
          <w:sz w:val="28"/>
          <w:szCs w:val="28"/>
          <w:lang w:val="en-US"/>
        </w:rPr>
        <w:t>application</w:t>
      </w:r>
      <w:r w:rsidR="004D5736" w:rsidRPr="009A0F8D">
        <w:rPr>
          <w:sz w:val="28"/>
          <w:szCs w:val="28"/>
          <w:lang w:val="en-US"/>
        </w:rPr>
        <w:t>s</w:t>
      </w:r>
      <w:r w:rsidR="00A01C45" w:rsidRPr="009A0F8D">
        <w:rPr>
          <w:sz w:val="28"/>
          <w:szCs w:val="28"/>
          <w:lang w:val="en-US"/>
        </w:rPr>
        <w:t>.</w:t>
      </w:r>
      <w:r w:rsidR="00E77E1D" w:rsidRPr="009A0F8D">
        <w:rPr>
          <w:sz w:val="28"/>
          <w:szCs w:val="28"/>
        </w:rPr>
        <w:t xml:space="preserve"> </w:t>
      </w:r>
    </w:p>
    <w:p w14:paraId="0CCBC029" w14:textId="77777777" w:rsidR="00E77E1D" w:rsidRPr="00E2374C" w:rsidRDefault="00E77E1D" w:rsidP="00E77E1D">
      <w:pPr>
        <w:spacing w:line="360" w:lineRule="auto"/>
        <w:rPr>
          <w:b/>
          <w:bCs/>
          <w:sz w:val="28"/>
          <w:szCs w:val="28"/>
        </w:rPr>
      </w:pPr>
      <w:r>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01D7CFE" wp14:editId="0650BA79">
                <wp:simplePos x="0" y="0"/>
                <wp:positionH relativeFrom="column">
                  <wp:posOffset>0</wp:posOffset>
                </wp:positionH>
                <wp:positionV relativeFrom="paragraph">
                  <wp:posOffset>59055</wp:posOffset>
                </wp:positionV>
                <wp:extent cx="5257800" cy="0"/>
                <wp:effectExtent l="0" t="0" r="12700" b="12700"/>
                <wp:wrapNone/>
                <wp:docPr id="16284856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7ECD3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">
                <o:lock v:ext="edit" shapetype="f"/>
              </v:line>
            </w:pict>
          </mc:Fallback>
        </mc:AlternateContent>
      </w:r>
    </w:p>
    <w:p w14:paraId="7F97AA50" w14:textId="77777777" w:rsidR="00E77E1D" w:rsidRPr="00E2374C" w:rsidRDefault="00E77E1D" w:rsidP="00B67C01">
      <w:pPr>
        <w:pStyle w:val="Heading1"/>
        <w:ind w:left="2160" w:firstLine="720"/>
        <w:rPr>
          <w:rFonts w:ascii="Times New Roman" w:hAnsi="Times New Roman" w:cs="Times New Roman"/>
          <w:szCs w:val="28"/>
        </w:rPr>
      </w:pPr>
      <w:r w:rsidRPr="00E2374C">
        <w:rPr>
          <w:rFonts w:ascii="Times New Roman" w:hAnsi="Times New Roman" w:cs="Times New Roman"/>
          <w:szCs w:val="28"/>
        </w:rPr>
        <w:t>JUDGMENT</w:t>
      </w:r>
    </w:p>
    <w:p w14:paraId="786DB735" w14:textId="77777777" w:rsidR="00E77E1D" w:rsidRPr="00E2374C" w:rsidRDefault="00E77E1D" w:rsidP="00E77E1D">
      <w:pPr>
        <w:spacing w:line="360" w:lineRule="auto"/>
        <w:rPr>
          <w:sz w:val="28"/>
          <w:szCs w:val="28"/>
        </w:rPr>
      </w:pPr>
      <w:r>
        <w:rPr>
          <w:rFonts w:ascii="Arial" w:hAnsi="Arial" w:cs="Arial"/>
          <w:noProof/>
          <w:lang w:val="en-ZA" w:eastAsia="en-ZA"/>
        </w:rPr>
        <mc:AlternateContent>
          <mc:Choice Requires="wps">
            <w:drawing>
              <wp:anchor distT="0" distB="0" distL="114300" distR="114300" simplePos="0" relativeHeight="251664384" behindDoc="0" locked="0" layoutInCell="1" allowOverlap="1" wp14:anchorId="620E6F26" wp14:editId="5ECB000C">
                <wp:simplePos x="0" y="0"/>
                <wp:positionH relativeFrom="column">
                  <wp:posOffset>0</wp:posOffset>
                </wp:positionH>
                <wp:positionV relativeFrom="paragraph">
                  <wp:posOffset>140970</wp:posOffset>
                </wp:positionV>
                <wp:extent cx="5257800" cy="0"/>
                <wp:effectExtent l="0" t="0" r="12700" b="12700"/>
                <wp:wrapNone/>
                <wp:docPr id="11240697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07321C"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">
                <o:lock v:ext="edit" shapetype="f"/>
              </v:line>
            </w:pict>
          </mc:Fallback>
        </mc:AlternateContent>
      </w:r>
    </w:p>
    <w:p w14:paraId="241A6351" w14:textId="43347662" w:rsidR="00302076" w:rsidRPr="00302076" w:rsidRDefault="00E27A0B" w:rsidP="00302076">
      <w:pPr>
        <w:spacing w:line="360" w:lineRule="auto"/>
        <w:rPr>
          <w:b/>
          <w:sz w:val="28"/>
          <w:szCs w:val="28"/>
        </w:rPr>
      </w:pPr>
      <w:r>
        <w:rPr>
          <w:b/>
          <w:sz w:val="28"/>
          <w:szCs w:val="28"/>
        </w:rPr>
        <w:t>Nhlangulela AJP</w:t>
      </w:r>
      <w:r w:rsidR="00E77E1D" w:rsidRPr="00E2374C">
        <w:rPr>
          <w:b/>
          <w:sz w:val="28"/>
          <w:szCs w:val="28"/>
        </w:rPr>
        <w:t xml:space="preserve"> (</w:t>
      </w:r>
      <w:r>
        <w:rPr>
          <w:b/>
          <w:sz w:val="28"/>
          <w:szCs w:val="28"/>
        </w:rPr>
        <w:t xml:space="preserve">Majiki J </w:t>
      </w:r>
      <w:r>
        <w:rPr>
          <w:b/>
          <w:bCs/>
          <w:sz w:val="28"/>
          <w:szCs w:val="28"/>
        </w:rPr>
        <w:t>concurring</w:t>
      </w:r>
      <w:r w:rsidR="00C65C91">
        <w:rPr>
          <w:b/>
          <w:bCs/>
          <w:sz w:val="28"/>
          <w:szCs w:val="28"/>
        </w:rPr>
        <w:t>)</w:t>
      </w:r>
    </w:p>
    <w:p w14:paraId="2360E608" w14:textId="77777777" w:rsidR="007B3B86" w:rsidRDefault="007B3B86" w:rsidP="00302076">
      <w:pPr>
        <w:spacing w:line="360" w:lineRule="auto"/>
        <w:jc w:val="both"/>
        <w:rPr>
          <w:b/>
          <w:sz w:val="28"/>
          <w:szCs w:val="28"/>
        </w:rPr>
      </w:pPr>
    </w:p>
    <w:p w14:paraId="57657EF2" w14:textId="77777777" w:rsidR="00302076" w:rsidRPr="00E26DFC" w:rsidRDefault="00302076" w:rsidP="00302076">
      <w:pPr>
        <w:spacing w:line="360" w:lineRule="auto"/>
        <w:jc w:val="both"/>
        <w:rPr>
          <w:b/>
          <w:sz w:val="28"/>
          <w:szCs w:val="28"/>
        </w:rPr>
      </w:pPr>
      <w:r w:rsidRPr="00E26DFC">
        <w:rPr>
          <w:b/>
          <w:sz w:val="28"/>
          <w:szCs w:val="28"/>
        </w:rPr>
        <w:t>Introduction:</w:t>
      </w:r>
    </w:p>
    <w:p w14:paraId="6BC3F309" w14:textId="5FE164FA" w:rsidR="00302076" w:rsidRDefault="00302076" w:rsidP="00302076">
      <w:pPr>
        <w:spacing w:line="360" w:lineRule="auto"/>
        <w:jc w:val="both"/>
        <w:rPr>
          <w:sz w:val="28"/>
          <w:szCs w:val="28"/>
        </w:rPr>
      </w:pPr>
      <w:r>
        <w:rPr>
          <w:sz w:val="28"/>
          <w:szCs w:val="28"/>
        </w:rPr>
        <w:t>[1]</w:t>
      </w:r>
      <w:r>
        <w:rPr>
          <w:sz w:val="28"/>
          <w:szCs w:val="28"/>
        </w:rPr>
        <w:tab/>
        <w:t xml:space="preserve">The appellant is Norman Ndongeni, an adult male.  The first respondent is Thembisa Ndongeni, an adult female. They are siblings.  Both reside at </w:t>
      </w:r>
      <w:r w:rsidR="000C265A">
        <w:rPr>
          <w:sz w:val="28"/>
          <w:szCs w:val="28"/>
        </w:rPr>
        <w:t xml:space="preserve">Ndongeni </w:t>
      </w:r>
      <w:r>
        <w:rPr>
          <w:sz w:val="28"/>
          <w:szCs w:val="28"/>
        </w:rPr>
        <w:t xml:space="preserve">Residential Allotment No. 160A, Lubhacweni Location, Mount Frere (the property).  The second respondents are unlawful occupiers of the homestead whose personal particulars are to the appellant unknown.  The third respondent is the Department of Rural Development and Agrarian Reform, an organ of state </w:t>
      </w:r>
      <w:r w:rsidR="00D00134">
        <w:rPr>
          <w:sz w:val="28"/>
          <w:szCs w:val="28"/>
        </w:rPr>
        <w:t xml:space="preserve">established </w:t>
      </w:r>
      <w:r>
        <w:rPr>
          <w:sz w:val="28"/>
          <w:szCs w:val="28"/>
        </w:rPr>
        <w:t xml:space="preserve">in terms of s 239 of the Constitution.  It has an office at Main Street, Mt Frere.  The fourth respondent is Umzimvubu Local Municipality in whose jurisdiction the property is situated.  </w:t>
      </w:r>
    </w:p>
    <w:p w14:paraId="574F9A67" w14:textId="77777777" w:rsidR="00302076" w:rsidRDefault="00302076" w:rsidP="00302076">
      <w:pPr>
        <w:spacing w:line="360" w:lineRule="auto"/>
        <w:jc w:val="both"/>
        <w:rPr>
          <w:sz w:val="28"/>
          <w:szCs w:val="28"/>
        </w:rPr>
      </w:pPr>
    </w:p>
    <w:p w14:paraId="7FC437ED" w14:textId="77777777" w:rsidR="008950C4" w:rsidRDefault="00302076" w:rsidP="00302076">
      <w:pPr>
        <w:spacing w:line="360" w:lineRule="auto"/>
        <w:jc w:val="both"/>
        <w:rPr>
          <w:color w:val="000000" w:themeColor="text1"/>
          <w:sz w:val="28"/>
          <w:szCs w:val="28"/>
        </w:rPr>
      </w:pPr>
      <w:r>
        <w:rPr>
          <w:sz w:val="28"/>
          <w:szCs w:val="28"/>
        </w:rPr>
        <w:t>[2]</w:t>
      </w:r>
      <w:r>
        <w:rPr>
          <w:sz w:val="28"/>
          <w:szCs w:val="28"/>
        </w:rPr>
        <w:tab/>
        <w:t>The appellant brought eviction proceedings against the first respondent.  He relied on the</w:t>
      </w:r>
      <w:r w:rsidR="00C65C91">
        <w:rPr>
          <w:sz w:val="28"/>
          <w:szCs w:val="28"/>
        </w:rPr>
        <w:t xml:space="preserve"> right to occupy the property</w:t>
      </w:r>
      <w:r>
        <w:rPr>
          <w:i/>
          <w:sz w:val="28"/>
          <w:szCs w:val="28"/>
        </w:rPr>
        <w:t xml:space="preserve">, </w:t>
      </w:r>
      <w:r w:rsidRPr="00FC2BC8">
        <w:rPr>
          <w:sz w:val="28"/>
          <w:szCs w:val="28"/>
        </w:rPr>
        <w:t xml:space="preserve">contending that the first and second respondents were in unlawful occupation of the property, and that </w:t>
      </w:r>
      <w:r w:rsidRPr="00FC2BC8">
        <w:rPr>
          <w:color w:val="000000" w:themeColor="text1"/>
          <w:sz w:val="28"/>
          <w:szCs w:val="28"/>
        </w:rPr>
        <w:t xml:space="preserve">as </w:t>
      </w:r>
    </w:p>
    <w:p w14:paraId="63C43845" w14:textId="77777777" w:rsidR="008950C4" w:rsidRDefault="008950C4" w:rsidP="00302076">
      <w:pPr>
        <w:spacing w:line="360" w:lineRule="auto"/>
        <w:jc w:val="both"/>
        <w:rPr>
          <w:color w:val="000000" w:themeColor="text1"/>
          <w:sz w:val="28"/>
          <w:szCs w:val="28"/>
        </w:rPr>
      </w:pPr>
    </w:p>
    <w:p w14:paraId="178D2F49" w14:textId="25A2708B" w:rsidR="00C84AEB" w:rsidRDefault="00302076" w:rsidP="00302076">
      <w:pPr>
        <w:spacing w:line="360" w:lineRule="auto"/>
        <w:jc w:val="both"/>
        <w:rPr>
          <w:sz w:val="28"/>
          <w:szCs w:val="28"/>
        </w:rPr>
      </w:pPr>
      <w:r w:rsidRPr="00FC2BC8">
        <w:rPr>
          <w:color w:val="000000" w:themeColor="text1"/>
          <w:sz w:val="28"/>
          <w:szCs w:val="28"/>
        </w:rPr>
        <w:t>the holder of permission to occupy</w:t>
      </w:r>
      <w:r w:rsidR="00C65C91" w:rsidRPr="00FC2BC8">
        <w:rPr>
          <w:color w:val="000000" w:themeColor="text1"/>
          <w:sz w:val="28"/>
          <w:szCs w:val="28"/>
        </w:rPr>
        <w:t xml:space="preserve"> (the PTO)</w:t>
      </w:r>
      <w:r w:rsidRPr="00FC2BC8">
        <w:rPr>
          <w:color w:val="000000" w:themeColor="text1"/>
          <w:sz w:val="28"/>
          <w:szCs w:val="28"/>
        </w:rPr>
        <w:t xml:space="preserve"> </w:t>
      </w:r>
      <w:r w:rsidR="00C65C91" w:rsidRPr="00FC2BC8">
        <w:rPr>
          <w:color w:val="000000" w:themeColor="text1"/>
          <w:sz w:val="28"/>
          <w:szCs w:val="28"/>
        </w:rPr>
        <w:t>that was</w:t>
      </w:r>
      <w:r w:rsidRPr="00FC2BC8">
        <w:rPr>
          <w:color w:val="000000" w:themeColor="text1"/>
          <w:sz w:val="28"/>
          <w:szCs w:val="28"/>
        </w:rPr>
        <w:t xml:space="preserve"> issued to h</w:t>
      </w:r>
      <w:r w:rsidR="00C65C91" w:rsidRPr="00FC2BC8">
        <w:rPr>
          <w:color w:val="000000" w:themeColor="text1"/>
          <w:sz w:val="28"/>
          <w:szCs w:val="28"/>
        </w:rPr>
        <w:t>im</w:t>
      </w:r>
      <w:r w:rsidRPr="00FC2BC8">
        <w:rPr>
          <w:color w:val="000000" w:themeColor="text1"/>
          <w:sz w:val="28"/>
          <w:szCs w:val="28"/>
        </w:rPr>
        <w:t xml:space="preserve"> on 5 August 2009 he was entitled </w:t>
      </w:r>
      <w:r w:rsidRPr="00FC2BC8">
        <w:rPr>
          <w:sz w:val="28"/>
          <w:szCs w:val="28"/>
        </w:rPr>
        <w:t>to evict the respondents from it.</w:t>
      </w:r>
      <w:r>
        <w:rPr>
          <w:sz w:val="28"/>
          <w:szCs w:val="28"/>
        </w:rPr>
        <w:t xml:space="preserve">  In resisting the eviction, the first respondent brought a counter application seeking a declarator that the PTO was unlawful and fell to be set aside by the court.  </w:t>
      </w:r>
    </w:p>
    <w:p w14:paraId="132FFB2C" w14:textId="77777777" w:rsidR="00C84AEB" w:rsidRDefault="00C84AEB" w:rsidP="00302076">
      <w:pPr>
        <w:spacing w:line="360" w:lineRule="auto"/>
        <w:jc w:val="both"/>
        <w:rPr>
          <w:sz w:val="28"/>
          <w:szCs w:val="28"/>
        </w:rPr>
      </w:pPr>
    </w:p>
    <w:p w14:paraId="3E62F380" w14:textId="3F241B9B" w:rsidR="00C84AEB" w:rsidRDefault="00C84AEB" w:rsidP="00302076">
      <w:pPr>
        <w:spacing w:line="360" w:lineRule="auto"/>
        <w:jc w:val="both"/>
        <w:rPr>
          <w:sz w:val="28"/>
          <w:szCs w:val="28"/>
        </w:rPr>
      </w:pPr>
      <w:r>
        <w:rPr>
          <w:sz w:val="28"/>
          <w:szCs w:val="28"/>
        </w:rPr>
        <w:t xml:space="preserve">[3]  The gravamen of the first respondent’s counter-application was that the appellant had no right to an order of eviction because, firstly, the property is the common home which </w:t>
      </w:r>
      <w:r w:rsidRPr="00FC2BC8">
        <w:rPr>
          <w:sz w:val="28"/>
          <w:szCs w:val="28"/>
        </w:rPr>
        <w:t>both of them are entitled to occupy.</w:t>
      </w:r>
      <w:r>
        <w:rPr>
          <w:sz w:val="28"/>
          <w:szCs w:val="28"/>
        </w:rPr>
        <w:t xml:space="preserve">  Secondly, the first respondent contended that </w:t>
      </w:r>
      <w:r w:rsidRPr="00FC2BC8">
        <w:rPr>
          <w:sz w:val="28"/>
          <w:szCs w:val="28"/>
        </w:rPr>
        <w:t>the PTO was invalid to the extent that it was obtained without her knowledge and consent.</w:t>
      </w:r>
    </w:p>
    <w:p w14:paraId="4CE75CD8" w14:textId="77777777" w:rsidR="00C84AEB" w:rsidRDefault="00C84AEB" w:rsidP="00302076">
      <w:pPr>
        <w:spacing w:line="360" w:lineRule="auto"/>
        <w:jc w:val="both"/>
        <w:rPr>
          <w:sz w:val="28"/>
          <w:szCs w:val="28"/>
        </w:rPr>
      </w:pPr>
    </w:p>
    <w:p w14:paraId="23E33E1B" w14:textId="3537F7A4" w:rsidR="00302076" w:rsidRDefault="00C84AEB" w:rsidP="00302076">
      <w:pPr>
        <w:spacing w:line="360" w:lineRule="auto"/>
        <w:jc w:val="both"/>
        <w:rPr>
          <w:sz w:val="28"/>
          <w:szCs w:val="28"/>
        </w:rPr>
      </w:pPr>
      <w:r>
        <w:rPr>
          <w:sz w:val="28"/>
          <w:szCs w:val="28"/>
        </w:rPr>
        <w:t xml:space="preserve">[4]  </w:t>
      </w:r>
      <w:r w:rsidR="00302076">
        <w:rPr>
          <w:sz w:val="28"/>
          <w:szCs w:val="28"/>
        </w:rPr>
        <w:t xml:space="preserve">The court </w:t>
      </w:r>
      <w:r w:rsidR="00302076">
        <w:rPr>
          <w:i/>
          <w:sz w:val="28"/>
          <w:szCs w:val="28"/>
        </w:rPr>
        <w:t>a quo</w:t>
      </w:r>
      <w:r w:rsidR="00302076">
        <w:rPr>
          <w:sz w:val="28"/>
          <w:szCs w:val="28"/>
        </w:rPr>
        <w:t xml:space="preserve"> dismissed the application for eviction, granted the counter</w:t>
      </w:r>
      <w:r w:rsidR="00986A2D">
        <w:rPr>
          <w:sz w:val="28"/>
          <w:szCs w:val="28"/>
        </w:rPr>
        <w:t>-</w:t>
      </w:r>
      <w:r w:rsidR="00302076">
        <w:rPr>
          <w:sz w:val="28"/>
          <w:szCs w:val="28"/>
        </w:rPr>
        <w:t xml:space="preserve"> application</w:t>
      </w:r>
      <w:r w:rsidR="00986A2D">
        <w:rPr>
          <w:sz w:val="28"/>
          <w:szCs w:val="28"/>
        </w:rPr>
        <w:t xml:space="preserve"> </w:t>
      </w:r>
      <w:r w:rsidR="00302076">
        <w:rPr>
          <w:sz w:val="28"/>
          <w:szCs w:val="28"/>
        </w:rPr>
        <w:t xml:space="preserve">and ordered the appellant to pay costs incurred in both applications.  The appellant appeals the judgment and the orders.  The appeal </w:t>
      </w:r>
      <w:r w:rsidR="00C65C91">
        <w:rPr>
          <w:sz w:val="28"/>
          <w:szCs w:val="28"/>
        </w:rPr>
        <w:t xml:space="preserve">to this Court </w:t>
      </w:r>
      <w:r w:rsidR="00302076">
        <w:rPr>
          <w:sz w:val="28"/>
          <w:szCs w:val="28"/>
        </w:rPr>
        <w:t xml:space="preserve">is with the leave of the court </w:t>
      </w:r>
      <w:r w:rsidR="00302076">
        <w:rPr>
          <w:i/>
          <w:sz w:val="28"/>
          <w:szCs w:val="28"/>
        </w:rPr>
        <w:t xml:space="preserve">a quo.  </w:t>
      </w:r>
    </w:p>
    <w:p w14:paraId="5FD25FBB" w14:textId="77777777" w:rsidR="00302076" w:rsidRDefault="00302076" w:rsidP="00302076">
      <w:pPr>
        <w:spacing w:line="360" w:lineRule="auto"/>
        <w:jc w:val="both"/>
        <w:rPr>
          <w:b/>
          <w:sz w:val="28"/>
          <w:szCs w:val="28"/>
        </w:rPr>
      </w:pPr>
    </w:p>
    <w:p w14:paraId="24AF858B" w14:textId="77777777" w:rsidR="00302076" w:rsidRPr="00E26DFC" w:rsidRDefault="00302076" w:rsidP="00302076">
      <w:pPr>
        <w:spacing w:line="360" w:lineRule="auto"/>
        <w:jc w:val="both"/>
        <w:rPr>
          <w:b/>
          <w:sz w:val="28"/>
          <w:szCs w:val="28"/>
        </w:rPr>
      </w:pPr>
      <w:r w:rsidRPr="00E26DFC">
        <w:rPr>
          <w:b/>
          <w:sz w:val="28"/>
          <w:szCs w:val="28"/>
        </w:rPr>
        <w:t>The background facts:</w:t>
      </w:r>
    </w:p>
    <w:p w14:paraId="15EC8A43" w14:textId="08E62D14" w:rsidR="00986A2D" w:rsidRDefault="00302076" w:rsidP="00986A2D">
      <w:pPr>
        <w:spacing w:line="360" w:lineRule="auto"/>
        <w:jc w:val="both"/>
        <w:rPr>
          <w:sz w:val="28"/>
          <w:szCs w:val="28"/>
        </w:rPr>
      </w:pPr>
      <w:r>
        <w:rPr>
          <w:sz w:val="28"/>
          <w:szCs w:val="28"/>
        </w:rPr>
        <w:t>[</w:t>
      </w:r>
      <w:r w:rsidR="00A72940">
        <w:rPr>
          <w:sz w:val="28"/>
          <w:szCs w:val="28"/>
        </w:rPr>
        <w:t>5</w:t>
      </w:r>
      <w:r>
        <w:rPr>
          <w:sz w:val="28"/>
          <w:szCs w:val="28"/>
        </w:rPr>
        <w:t>]</w:t>
      </w:r>
      <w:r>
        <w:rPr>
          <w:sz w:val="28"/>
          <w:szCs w:val="28"/>
        </w:rPr>
        <w:tab/>
        <w:t xml:space="preserve">The facts </w:t>
      </w:r>
      <w:r w:rsidR="00986A2D">
        <w:rPr>
          <w:sz w:val="28"/>
          <w:szCs w:val="28"/>
        </w:rPr>
        <w:t>that</w:t>
      </w:r>
      <w:r>
        <w:rPr>
          <w:sz w:val="28"/>
          <w:szCs w:val="28"/>
        </w:rPr>
        <w:t xml:space="preserve"> gave rise to this appeal are the following:  The property had previously been registered under the name of the father of the appellant and first respondent.  Both of their parents are deceased.  The mother was the latest to die in 2015.  The appellant was appointed as an Executor of the Estate of their mother on 5 August 202</w:t>
      </w:r>
      <w:r w:rsidR="009A0F8D">
        <w:rPr>
          <w:sz w:val="28"/>
          <w:szCs w:val="28"/>
        </w:rPr>
        <w:t xml:space="preserve">1. </w:t>
      </w:r>
      <w:r>
        <w:rPr>
          <w:sz w:val="28"/>
          <w:szCs w:val="28"/>
        </w:rPr>
        <w:t xml:space="preserve">  </w:t>
      </w:r>
      <w:r w:rsidR="00986A2D">
        <w:rPr>
          <w:sz w:val="28"/>
          <w:szCs w:val="28"/>
        </w:rPr>
        <w:t xml:space="preserve">The property was never registered into the name of the mother. </w:t>
      </w:r>
      <w:r>
        <w:rPr>
          <w:sz w:val="28"/>
          <w:szCs w:val="28"/>
        </w:rPr>
        <w:t>The property had already been registered into the name of the appellant at the time of death of his mother.</w:t>
      </w:r>
      <w:r w:rsidR="00986A2D">
        <w:rPr>
          <w:sz w:val="28"/>
          <w:szCs w:val="28"/>
        </w:rPr>
        <w:t xml:space="preserve"> </w:t>
      </w:r>
      <w:r w:rsidR="00986A2D" w:rsidRPr="00986A2D">
        <w:rPr>
          <w:sz w:val="28"/>
          <w:szCs w:val="28"/>
          <w:lang w:val="en-US"/>
        </w:rPr>
        <w:t xml:space="preserve">It was </w:t>
      </w:r>
      <w:r w:rsidR="00986A2D">
        <w:rPr>
          <w:sz w:val="28"/>
          <w:szCs w:val="28"/>
          <w:lang w:val="en-US"/>
        </w:rPr>
        <w:t xml:space="preserve">so </w:t>
      </w:r>
      <w:r w:rsidR="00986A2D" w:rsidRPr="00986A2D">
        <w:rPr>
          <w:sz w:val="28"/>
          <w:szCs w:val="28"/>
          <w:lang w:val="en-US"/>
        </w:rPr>
        <w:t xml:space="preserve">registered by the </w:t>
      </w:r>
      <w:r w:rsidR="00986A2D">
        <w:rPr>
          <w:sz w:val="28"/>
          <w:szCs w:val="28"/>
          <w:lang w:val="en-US"/>
        </w:rPr>
        <w:t>N</w:t>
      </w:r>
      <w:r w:rsidR="00986A2D" w:rsidRPr="00986A2D">
        <w:rPr>
          <w:sz w:val="28"/>
          <w:szCs w:val="28"/>
          <w:lang w:val="en-US"/>
        </w:rPr>
        <w:t xml:space="preserve">ational </w:t>
      </w:r>
      <w:r w:rsidR="00986A2D">
        <w:rPr>
          <w:sz w:val="28"/>
          <w:szCs w:val="28"/>
          <w:lang w:val="en-US"/>
        </w:rPr>
        <w:t>C</w:t>
      </w:r>
      <w:r w:rsidR="00986A2D" w:rsidRPr="00986A2D">
        <w:rPr>
          <w:sz w:val="28"/>
          <w:szCs w:val="28"/>
          <w:lang w:val="en-US"/>
        </w:rPr>
        <w:t xml:space="preserve">ommissioner in terms of </w:t>
      </w:r>
      <w:r w:rsidR="00986A2D">
        <w:rPr>
          <w:sz w:val="28"/>
          <w:szCs w:val="28"/>
        </w:rPr>
        <w:t>s 4(1)</w:t>
      </w:r>
      <w:r w:rsidR="00986A2D">
        <w:rPr>
          <w:i/>
          <w:sz w:val="28"/>
          <w:szCs w:val="28"/>
        </w:rPr>
        <w:t>(ii)</w:t>
      </w:r>
      <w:r w:rsidR="00986A2D">
        <w:rPr>
          <w:sz w:val="28"/>
          <w:szCs w:val="28"/>
        </w:rPr>
        <w:t xml:space="preserve"> of the Location Regulations: </w:t>
      </w:r>
      <w:r w:rsidR="00986A2D" w:rsidRPr="00BE0B8E">
        <w:rPr>
          <w:i/>
          <w:sz w:val="28"/>
          <w:szCs w:val="28"/>
        </w:rPr>
        <w:t>Unsurveyed Districts: Transkei Territories Proclamation No. 26 of 1936</w:t>
      </w:r>
      <w:r w:rsidR="00986A2D">
        <w:rPr>
          <w:sz w:val="28"/>
          <w:szCs w:val="28"/>
        </w:rPr>
        <w:t xml:space="preserve"> (the Proclamation), which reads:</w:t>
      </w:r>
    </w:p>
    <w:p w14:paraId="6117FBF0" w14:textId="77777777" w:rsidR="008950C4" w:rsidRDefault="008950C4" w:rsidP="00986A2D">
      <w:pPr>
        <w:spacing w:line="360" w:lineRule="auto"/>
        <w:jc w:val="both"/>
        <w:rPr>
          <w:sz w:val="28"/>
          <w:szCs w:val="28"/>
        </w:rPr>
      </w:pPr>
    </w:p>
    <w:p w14:paraId="4F51AA98" w14:textId="77777777" w:rsidR="009B67F5" w:rsidRDefault="00986A2D" w:rsidP="00986A2D">
      <w:pPr>
        <w:ind w:left="851"/>
        <w:jc w:val="both"/>
        <w:rPr>
          <w:bCs/>
          <w:lang w:val="en-US"/>
        </w:rPr>
      </w:pPr>
      <w:r>
        <w:rPr>
          <w:bCs/>
        </w:rPr>
        <w:t>‘</w:t>
      </w:r>
      <w:r w:rsidR="009B67F5" w:rsidRPr="009B67F5">
        <w:rPr>
          <w:bCs/>
          <w:i/>
          <w:iCs/>
          <w:lang w:val="en-US"/>
        </w:rPr>
        <w:t>Permission to Occupy Homesteads and Arable Allotments</w:t>
      </w:r>
      <w:r w:rsidR="009B67F5" w:rsidRPr="009B67F5">
        <w:rPr>
          <w:bCs/>
          <w:lang w:val="en-US"/>
        </w:rPr>
        <w:t xml:space="preserve"> </w:t>
      </w:r>
    </w:p>
    <w:p w14:paraId="2E80FC4A" w14:textId="60A6D81B" w:rsidR="00986A2D" w:rsidRDefault="009B67F5" w:rsidP="00986A2D">
      <w:pPr>
        <w:ind w:left="851"/>
        <w:jc w:val="both"/>
        <w:rPr>
          <w:bCs/>
        </w:rPr>
      </w:pPr>
      <w:r>
        <w:rPr>
          <w:bCs/>
          <w:lang w:val="en-US"/>
        </w:rPr>
        <w:t>4 (1) The</w:t>
      </w:r>
      <w:r>
        <w:rPr>
          <w:bCs/>
        </w:rPr>
        <w:t xml:space="preserve"> </w:t>
      </w:r>
      <w:r>
        <w:rPr>
          <w:bCs/>
          <w:lang w:val="en-US"/>
        </w:rPr>
        <w:t>N</w:t>
      </w:r>
      <w:r w:rsidRPr="009B67F5">
        <w:rPr>
          <w:bCs/>
          <w:lang w:val="en-US"/>
        </w:rPr>
        <w:t xml:space="preserve">ative </w:t>
      </w:r>
      <w:r>
        <w:rPr>
          <w:bCs/>
          <w:lang w:val="en-US"/>
        </w:rPr>
        <w:t>C</w:t>
      </w:r>
      <w:r w:rsidRPr="009B67F5">
        <w:rPr>
          <w:bCs/>
          <w:lang w:val="en-US"/>
        </w:rPr>
        <w:t>ommissioner</w:t>
      </w:r>
      <w:r w:rsidR="00986A2D">
        <w:rPr>
          <w:bCs/>
        </w:rPr>
        <w:t xml:space="preserve"> may grant permission –</w:t>
      </w:r>
    </w:p>
    <w:p w14:paraId="255B7575" w14:textId="77777777" w:rsidR="00986A2D" w:rsidRDefault="00986A2D" w:rsidP="00986A2D">
      <w:pPr>
        <w:ind w:left="851"/>
        <w:jc w:val="both"/>
        <w:rPr>
          <w:bCs/>
        </w:rPr>
      </w:pPr>
    </w:p>
    <w:p w14:paraId="40B5C36C" w14:textId="77777777" w:rsidR="00986A2D" w:rsidRDefault="00986A2D" w:rsidP="00986A2D">
      <w:pPr>
        <w:ind w:left="851"/>
        <w:jc w:val="both"/>
        <w:rPr>
          <w:bCs/>
        </w:rPr>
      </w:pPr>
      <w:r>
        <w:rPr>
          <w:bCs/>
        </w:rPr>
        <w:t>…</w:t>
      </w:r>
    </w:p>
    <w:p w14:paraId="1816EFBC" w14:textId="77777777" w:rsidR="00986A2D" w:rsidRDefault="00986A2D" w:rsidP="00986A2D">
      <w:pPr>
        <w:ind w:left="851"/>
        <w:jc w:val="both"/>
        <w:rPr>
          <w:bCs/>
        </w:rPr>
      </w:pPr>
    </w:p>
    <w:p w14:paraId="42F7CF8C" w14:textId="3992D35C" w:rsidR="00986A2D" w:rsidRDefault="00986A2D" w:rsidP="00986A2D">
      <w:pPr>
        <w:ind w:left="851"/>
        <w:jc w:val="both"/>
        <w:rPr>
          <w:bCs/>
        </w:rPr>
      </w:pPr>
      <w:r>
        <w:rPr>
          <w:bCs/>
        </w:rPr>
        <w:t>(ii)</w:t>
      </w:r>
      <w:r>
        <w:rPr>
          <w:bCs/>
        </w:rPr>
        <w:tab/>
        <w:t xml:space="preserve">to any </w:t>
      </w:r>
      <w:r w:rsidR="009B67F5">
        <w:rPr>
          <w:bCs/>
        </w:rPr>
        <w:t>Native</w:t>
      </w:r>
      <w:r>
        <w:rPr>
          <w:bCs/>
        </w:rPr>
        <w:t xml:space="preserve"> domiciled in the district to occupy a</w:t>
      </w:r>
      <w:r w:rsidR="009B67F5">
        <w:rPr>
          <w:bCs/>
        </w:rPr>
        <w:t xml:space="preserve"> homestead or arable allotment</w:t>
      </w:r>
      <w:r>
        <w:rPr>
          <w:bCs/>
        </w:rPr>
        <w:t xml:space="preserve"> for domestic purposes</w:t>
      </w:r>
      <w:r w:rsidR="0043108C">
        <w:rPr>
          <w:bCs/>
        </w:rPr>
        <w:t xml:space="preserve"> and</w:t>
      </w:r>
      <w:r>
        <w:rPr>
          <w:bCs/>
        </w:rPr>
        <w:t xml:space="preserve"> agricultural purposes</w:t>
      </w:r>
      <w:r w:rsidR="0043108C">
        <w:rPr>
          <w:bCs/>
        </w:rPr>
        <w:t xml:space="preserve"> respectively.</w:t>
      </w:r>
      <w:r>
        <w:rPr>
          <w:bCs/>
        </w:rPr>
        <w:t>’</w:t>
      </w:r>
    </w:p>
    <w:p w14:paraId="6FB6F5FE" w14:textId="197258A2" w:rsidR="0043108C" w:rsidRDefault="0043108C" w:rsidP="0043108C">
      <w:pPr>
        <w:jc w:val="both"/>
        <w:rPr>
          <w:bCs/>
        </w:rPr>
      </w:pPr>
    </w:p>
    <w:p w14:paraId="4945E516" w14:textId="77777777" w:rsidR="0043108C" w:rsidRDefault="0043108C" w:rsidP="00986A2D">
      <w:pPr>
        <w:ind w:left="851"/>
        <w:jc w:val="both"/>
        <w:rPr>
          <w:bCs/>
        </w:rPr>
      </w:pPr>
    </w:p>
    <w:p w14:paraId="3E4837A0" w14:textId="17B432F8" w:rsidR="00302076" w:rsidRDefault="00302076" w:rsidP="00302076">
      <w:pPr>
        <w:spacing w:line="360" w:lineRule="auto"/>
        <w:jc w:val="both"/>
        <w:rPr>
          <w:sz w:val="28"/>
          <w:szCs w:val="28"/>
        </w:rPr>
      </w:pPr>
      <w:r>
        <w:rPr>
          <w:sz w:val="28"/>
          <w:szCs w:val="28"/>
        </w:rPr>
        <w:t>[</w:t>
      </w:r>
      <w:r w:rsidR="00A72940">
        <w:rPr>
          <w:sz w:val="28"/>
          <w:szCs w:val="28"/>
        </w:rPr>
        <w:t>6</w:t>
      </w:r>
      <w:r>
        <w:rPr>
          <w:sz w:val="28"/>
          <w:szCs w:val="28"/>
        </w:rPr>
        <w:t>]</w:t>
      </w:r>
      <w:r w:rsidR="00C84AEB">
        <w:rPr>
          <w:sz w:val="28"/>
          <w:szCs w:val="28"/>
        </w:rPr>
        <w:t xml:space="preserve">  T</w:t>
      </w:r>
      <w:r>
        <w:rPr>
          <w:sz w:val="28"/>
          <w:szCs w:val="28"/>
        </w:rPr>
        <w:t>he appellant served a notice of eviction upon the first respondent in terms of s 4(2) of the Prevention of Illegal Evictions and the Unlawful Occupation of Land Act 19 of 1998 (PIE).  A court order that eviction proceedings may be brought was obtained on 23 November 2021.  The papers on the application for eviction were also served.  Only the first respondent opposed the application by filing an answering affidavit and a counter-application.  However, the first respondent did not serve the counter-application upon the third respondent. This omission was not explained by the first respondent.  The appellant filed a replying affidavit in which he addressed both the main application and counter-application.  The second respondent did not oppose the main application.</w:t>
      </w:r>
    </w:p>
    <w:p w14:paraId="15BD2AA3" w14:textId="77777777" w:rsidR="00A72940" w:rsidRDefault="00A72940" w:rsidP="00302076">
      <w:pPr>
        <w:spacing w:line="360" w:lineRule="auto"/>
        <w:jc w:val="both"/>
        <w:rPr>
          <w:b/>
          <w:sz w:val="28"/>
          <w:szCs w:val="28"/>
        </w:rPr>
      </w:pPr>
    </w:p>
    <w:p w14:paraId="30777CCA" w14:textId="7217CA6A" w:rsidR="00302076" w:rsidRPr="00E26DFC" w:rsidRDefault="00302076" w:rsidP="00302076">
      <w:pPr>
        <w:spacing w:line="360" w:lineRule="auto"/>
        <w:jc w:val="both"/>
        <w:rPr>
          <w:b/>
          <w:sz w:val="28"/>
          <w:szCs w:val="28"/>
        </w:rPr>
      </w:pPr>
      <w:r w:rsidRPr="00E26DFC">
        <w:rPr>
          <w:b/>
          <w:sz w:val="28"/>
          <w:szCs w:val="28"/>
        </w:rPr>
        <w:t xml:space="preserve">In the court </w:t>
      </w:r>
      <w:r w:rsidRPr="00E26DFC">
        <w:rPr>
          <w:b/>
          <w:i/>
          <w:sz w:val="28"/>
          <w:szCs w:val="28"/>
        </w:rPr>
        <w:t>a quo</w:t>
      </w:r>
      <w:r w:rsidRPr="00E26DFC">
        <w:rPr>
          <w:b/>
          <w:sz w:val="28"/>
          <w:szCs w:val="28"/>
        </w:rPr>
        <w:t>:</w:t>
      </w:r>
    </w:p>
    <w:p w14:paraId="74316D54" w14:textId="77777777" w:rsidR="008950C4" w:rsidRDefault="00302076" w:rsidP="00302076">
      <w:pPr>
        <w:spacing w:line="360" w:lineRule="auto"/>
        <w:jc w:val="both"/>
        <w:rPr>
          <w:sz w:val="28"/>
          <w:szCs w:val="28"/>
        </w:rPr>
      </w:pPr>
      <w:r>
        <w:rPr>
          <w:sz w:val="28"/>
          <w:szCs w:val="28"/>
        </w:rPr>
        <w:t>[</w:t>
      </w:r>
      <w:r w:rsidR="00A72940">
        <w:rPr>
          <w:sz w:val="28"/>
          <w:szCs w:val="28"/>
        </w:rPr>
        <w:t>7</w:t>
      </w:r>
      <w:r>
        <w:rPr>
          <w:sz w:val="28"/>
          <w:szCs w:val="28"/>
        </w:rPr>
        <w:t>]</w:t>
      </w:r>
      <w:r>
        <w:rPr>
          <w:sz w:val="28"/>
          <w:szCs w:val="28"/>
        </w:rPr>
        <w:tab/>
        <w:t xml:space="preserve">In determining the two applications the Court </w:t>
      </w:r>
      <w:r>
        <w:rPr>
          <w:i/>
          <w:sz w:val="28"/>
          <w:szCs w:val="28"/>
        </w:rPr>
        <w:t>a quo</w:t>
      </w:r>
      <w:r>
        <w:rPr>
          <w:sz w:val="28"/>
          <w:szCs w:val="28"/>
        </w:rPr>
        <w:t xml:space="preserve"> found that the declaratory relief </w:t>
      </w:r>
      <w:r w:rsidR="00C84AEB">
        <w:rPr>
          <w:sz w:val="28"/>
          <w:szCs w:val="28"/>
        </w:rPr>
        <w:t xml:space="preserve">sought by the first respondent </w:t>
      </w:r>
      <w:r w:rsidRPr="009914D4">
        <w:rPr>
          <w:sz w:val="28"/>
          <w:szCs w:val="28"/>
        </w:rPr>
        <w:t>did not affect the interest of the third respondent because the property was a common home</w:t>
      </w:r>
      <w:r>
        <w:rPr>
          <w:sz w:val="28"/>
          <w:szCs w:val="28"/>
        </w:rPr>
        <w:t xml:space="preserve"> that the parents had, upon death, left as </w:t>
      </w:r>
      <w:r w:rsidRPr="009914D4">
        <w:rPr>
          <w:sz w:val="28"/>
          <w:szCs w:val="28"/>
        </w:rPr>
        <w:t>an intestate asset</w:t>
      </w:r>
      <w:r w:rsidR="00354BDC">
        <w:rPr>
          <w:sz w:val="28"/>
          <w:szCs w:val="28"/>
        </w:rPr>
        <w:t xml:space="preserve"> which</w:t>
      </w:r>
      <w:r>
        <w:rPr>
          <w:sz w:val="28"/>
          <w:szCs w:val="28"/>
        </w:rPr>
        <w:t xml:space="preserve"> could only be validly transferred to the appellant upon the winding-up of the deceased’s estate.  On the issue of </w:t>
      </w:r>
      <w:r w:rsidRPr="001734AF">
        <w:rPr>
          <w:sz w:val="28"/>
          <w:szCs w:val="28"/>
        </w:rPr>
        <w:t>service</w:t>
      </w:r>
      <w:r>
        <w:rPr>
          <w:sz w:val="28"/>
          <w:szCs w:val="28"/>
        </w:rPr>
        <w:t xml:space="preserve"> of the papers</w:t>
      </w:r>
      <w:r w:rsidR="00E7488F">
        <w:rPr>
          <w:sz w:val="28"/>
          <w:szCs w:val="28"/>
        </w:rPr>
        <w:t>,</w:t>
      </w:r>
      <w:r>
        <w:rPr>
          <w:sz w:val="28"/>
          <w:szCs w:val="28"/>
        </w:rPr>
        <w:t xml:space="preserve"> the court </w:t>
      </w:r>
      <w:r>
        <w:rPr>
          <w:i/>
          <w:sz w:val="28"/>
          <w:szCs w:val="28"/>
        </w:rPr>
        <w:t>a quo</w:t>
      </w:r>
      <w:r>
        <w:rPr>
          <w:sz w:val="28"/>
          <w:szCs w:val="28"/>
        </w:rPr>
        <w:t xml:space="preserve"> found that </w:t>
      </w:r>
      <w:r w:rsidRPr="009914D4">
        <w:rPr>
          <w:sz w:val="28"/>
          <w:szCs w:val="28"/>
        </w:rPr>
        <w:t>the issue of non-service of the papers was irrelevant</w:t>
      </w:r>
      <w:r>
        <w:rPr>
          <w:sz w:val="28"/>
          <w:szCs w:val="28"/>
        </w:rPr>
        <w:t xml:space="preserve"> as the declaratory relief sought did not affect the interest of the third respondent.  It held a view that in the absence </w:t>
      </w:r>
    </w:p>
    <w:p w14:paraId="47732075" w14:textId="77777777" w:rsidR="008950C4" w:rsidRDefault="008950C4" w:rsidP="00302076">
      <w:pPr>
        <w:spacing w:line="360" w:lineRule="auto"/>
        <w:jc w:val="both"/>
        <w:rPr>
          <w:sz w:val="28"/>
          <w:szCs w:val="28"/>
        </w:rPr>
      </w:pPr>
    </w:p>
    <w:p w14:paraId="72FB2586" w14:textId="273C180B" w:rsidR="00302076" w:rsidRDefault="00302076" w:rsidP="00302076">
      <w:pPr>
        <w:spacing w:line="360" w:lineRule="auto"/>
        <w:jc w:val="both"/>
        <w:rPr>
          <w:sz w:val="28"/>
          <w:szCs w:val="28"/>
        </w:rPr>
      </w:pPr>
      <w:r>
        <w:rPr>
          <w:sz w:val="28"/>
          <w:szCs w:val="28"/>
        </w:rPr>
        <w:lastRenderedPageBreak/>
        <w:t xml:space="preserve">of an explanation as to </w:t>
      </w:r>
      <w:r w:rsidRPr="001734AF">
        <w:rPr>
          <w:sz w:val="28"/>
          <w:szCs w:val="28"/>
        </w:rPr>
        <w:t>how the applicant became the owner or exercises control</w:t>
      </w:r>
      <w:r>
        <w:rPr>
          <w:sz w:val="28"/>
          <w:szCs w:val="28"/>
        </w:rPr>
        <w:t xml:space="preserve"> over the property</w:t>
      </w:r>
      <w:r w:rsidR="00E7488F">
        <w:rPr>
          <w:sz w:val="28"/>
          <w:szCs w:val="28"/>
        </w:rPr>
        <w:t>, his</w:t>
      </w:r>
      <w:r>
        <w:rPr>
          <w:sz w:val="28"/>
          <w:szCs w:val="28"/>
        </w:rPr>
        <w:t xml:space="preserve"> contention that </w:t>
      </w:r>
      <w:r w:rsidR="00E7488F">
        <w:rPr>
          <w:sz w:val="28"/>
          <w:szCs w:val="28"/>
        </w:rPr>
        <w:t>he</w:t>
      </w:r>
      <w:r>
        <w:rPr>
          <w:sz w:val="28"/>
          <w:szCs w:val="28"/>
        </w:rPr>
        <w:t xml:space="preserve"> had a valid title to the property in terms of </w:t>
      </w:r>
      <w:r w:rsidRPr="009914D4">
        <w:rPr>
          <w:sz w:val="28"/>
          <w:szCs w:val="28"/>
        </w:rPr>
        <w:t>the PTO was untenable</w:t>
      </w:r>
      <w:r>
        <w:rPr>
          <w:sz w:val="28"/>
          <w:szCs w:val="28"/>
        </w:rPr>
        <w:t xml:space="preserve"> and, consequently, the eviction of the first respondent was not competent.</w:t>
      </w:r>
    </w:p>
    <w:p w14:paraId="27DB8536" w14:textId="77777777" w:rsidR="00302076" w:rsidRDefault="00302076" w:rsidP="00302076">
      <w:pPr>
        <w:spacing w:line="360" w:lineRule="auto"/>
        <w:jc w:val="both"/>
        <w:rPr>
          <w:sz w:val="28"/>
          <w:szCs w:val="28"/>
        </w:rPr>
      </w:pPr>
    </w:p>
    <w:p w14:paraId="2B9221F0" w14:textId="77777777" w:rsidR="00302076" w:rsidRPr="00E26DFC" w:rsidRDefault="00302076" w:rsidP="00302076">
      <w:pPr>
        <w:spacing w:line="360" w:lineRule="auto"/>
        <w:jc w:val="both"/>
        <w:rPr>
          <w:b/>
          <w:sz w:val="28"/>
          <w:szCs w:val="28"/>
        </w:rPr>
      </w:pPr>
      <w:r w:rsidRPr="00E26DFC">
        <w:rPr>
          <w:b/>
          <w:sz w:val="28"/>
          <w:szCs w:val="28"/>
        </w:rPr>
        <w:t>In this Court:</w:t>
      </w:r>
    </w:p>
    <w:p w14:paraId="5FBAEEE8" w14:textId="03263AEE" w:rsidR="00C74262" w:rsidRDefault="00302076" w:rsidP="00302076">
      <w:pPr>
        <w:spacing w:line="360" w:lineRule="auto"/>
        <w:jc w:val="both"/>
        <w:rPr>
          <w:sz w:val="28"/>
          <w:szCs w:val="28"/>
        </w:rPr>
      </w:pPr>
      <w:r>
        <w:rPr>
          <w:sz w:val="28"/>
          <w:szCs w:val="28"/>
        </w:rPr>
        <w:t>[</w:t>
      </w:r>
      <w:r w:rsidR="00A72940">
        <w:rPr>
          <w:sz w:val="28"/>
          <w:szCs w:val="28"/>
        </w:rPr>
        <w:t>8</w:t>
      </w:r>
      <w:r>
        <w:rPr>
          <w:sz w:val="28"/>
          <w:szCs w:val="28"/>
        </w:rPr>
        <w:t>]</w:t>
      </w:r>
      <w:r w:rsidR="00C74262">
        <w:rPr>
          <w:sz w:val="28"/>
          <w:szCs w:val="28"/>
        </w:rPr>
        <w:t xml:space="preserve"> </w:t>
      </w:r>
      <w:r w:rsidR="006B78AC">
        <w:rPr>
          <w:sz w:val="28"/>
          <w:szCs w:val="28"/>
        </w:rPr>
        <w:t xml:space="preserve"> Three</w:t>
      </w:r>
      <w:r w:rsidR="00C74262">
        <w:rPr>
          <w:sz w:val="28"/>
          <w:szCs w:val="28"/>
        </w:rPr>
        <w:t xml:space="preserve"> issues</w:t>
      </w:r>
      <w:r w:rsidR="006B78AC">
        <w:rPr>
          <w:sz w:val="28"/>
          <w:szCs w:val="28"/>
        </w:rPr>
        <w:t xml:space="preserve"> must</w:t>
      </w:r>
      <w:r w:rsidR="00C74262">
        <w:rPr>
          <w:sz w:val="28"/>
          <w:szCs w:val="28"/>
        </w:rPr>
        <w:t xml:space="preserve"> be decided</w:t>
      </w:r>
      <w:r w:rsidR="006B78AC">
        <w:rPr>
          <w:sz w:val="28"/>
          <w:szCs w:val="28"/>
        </w:rPr>
        <w:t>.</w:t>
      </w:r>
      <w:r w:rsidR="00C74262">
        <w:rPr>
          <w:sz w:val="28"/>
          <w:szCs w:val="28"/>
        </w:rPr>
        <w:t xml:space="preserve">  </w:t>
      </w:r>
      <w:r w:rsidR="006B78AC">
        <w:rPr>
          <w:sz w:val="28"/>
          <w:szCs w:val="28"/>
        </w:rPr>
        <w:t>The f</w:t>
      </w:r>
      <w:r w:rsidR="00C74262">
        <w:rPr>
          <w:sz w:val="28"/>
          <w:szCs w:val="28"/>
        </w:rPr>
        <w:t>irst</w:t>
      </w:r>
      <w:r w:rsidR="006B78AC">
        <w:rPr>
          <w:sz w:val="28"/>
          <w:szCs w:val="28"/>
        </w:rPr>
        <w:t xml:space="preserve"> is</w:t>
      </w:r>
      <w:r w:rsidR="00C74262">
        <w:rPr>
          <w:sz w:val="28"/>
          <w:szCs w:val="28"/>
        </w:rPr>
        <w:t xml:space="preserve"> whether the court </w:t>
      </w:r>
      <w:r w:rsidR="00C74262">
        <w:rPr>
          <w:i/>
          <w:sz w:val="28"/>
          <w:szCs w:val="28"/>
        </w:rPr>
        <w:t>a quo</w:t>
      </w:r>
      <w:r w:rsidR="00C74262">
        <w:rPr>
          <w:sz w:val="28"/>
          <w:szCs w:val="28"/>
        </w:rPr>
        <w:t xml:space="preserve"> </w:t>
      </w:r>
      <w:r w:rsidR="00003DBA" w:rsidRPr="00003DBA">
        <w:rPr>
          <w:iCs/>
          <w:sz w:val="28"/>
          <w:szCs w:val="28"/>
        </w:rPr>
        <w:t>erred</w:t>
      </w:r>
      <w:r w:rsidR="00C74262">
        <w:rPr>
          <w:sz w:val="28"/>
          <w:szCs w:val="28"/>
        </w:rPr>
        <w:t xml:space="preserve"> in finding that the registration of the PTO in the name of the appellant is irrelevant to the relief sought by the first respondent in her counter application. The second issue is whether it was correct for the court a quo to find that the service of the papers of the counter-application upon the third respondent was not necessary.</w:t>
      </w:r>
      <w:r w:rsidR="006B78AC">
        <w:rPr>
          <w:sz w:val="28"/>
          <w:szCs w:val="28"/>
        </w:rPr>
        <w:t xml:space="preserve"> The third issue is whether the main application should have been dismissed</w:t>
      </w:r>
      <w:r w:rsidR="00945C25">
        <w:rPr>
          <w:sz w:val="28"/>
          <w:szCs w:val="28"/>
        </w:rPr>
        <w:t xml:space="preserve"> and the </w:t>
      </w:r>
      <w:r w:rsidR="002222C8">
        <w:rPr>
          <w:sz w:val="28"/>
          <w:szCs w:val="28"/>
        </w:rPr>
        <w:t>counter-application granted.</w:t>
      </w:r>
    </w:p>
    <w:p w14:paraId="4F2C42CE" w14:textId="77777777" w:rsidR="00C74262" w:rsidRDefault="00C74262" w:rsidP="00302076">
      <w:pPr>
        <w:spacing w:line="360" w:lineRule="auto"/>
        <w:jc w:val="both"/>
        <w:rPr>
          <w:sz w:val="28"/>
          <w:szCs w:val="28"/>
        </w:rPr>
      </w:pPr>
    </w:p>
    <w:p w14:paraId="202CCC4E" w14:textId="21775B17" w:rsidR="00302076" w:rsidRDefault="00C74262" w:rsidP="00302076">
      <w:pPr>
        <w:spacing w:line="360" w:lineRule="auto"/>
        <w:jc w:val="both"/>
        <w:rPr>
          <w:sz w:val="28"/>
          <w:szCs w:val="28"/>
        </w:rPr>
      </w:pPr>
      <w:r>
        <w:rPr>
          <w:sz w:val="28"/>
          <w:szCs w:val="28"/>
        </w:rPr>
        <w:t>[</w:t>
      </w:r>
      <w:r w:rsidR="00A72940">
        <w:rPr>
          <w:sz w:val="28"/>
          <w:szCs w:val="28"/>
        </w:rPr>
        <w:t>9</w:t>
      </w:r>
      <w:r>
        <w:rPr>
          <w:sz w:val="28"/>
          <w:szCs w:val="28"/>
        </w:rPr>
        <w:t xml:space="preserve">]  </w:t>
      </w:r>
      <w:r w:rsidR="00302076">
        <w:rPr>
          <w:sz w:val="28"/>
          <w:szCs w:val="28"/>
        </w:rPr>
        <w:t>It was submitted on behalf of the appellant that the third respondent has a direct and substantial interest on the issue of validity, or otherwise, of the PTO</w:t>
      </w:r>
      <w:r w:rsidR="00302076">
        <w:rPr>
          <w:rStyle w:val="FootnoteReference"/>
          <w:sz w:val="28"/>
          <w:szCs w:val="28"/>
        </w:rPr>
        <w:footnoteReference w:id="1"/>
      </w:r>
      <w:r w:rsidR="00302076">
        <w:rPr>
          <w:sz w:val="28"/>
          <w:szCs w:val="28"/>
        </w:rPr>
        <w:t xml:space="preserve">.   </w:t>
      </w:r>
      <w:r w:rsidR="00F60D12">
        <w:rPr>
          <w:sz w:val="28"/>
          <w:szCs w:val="28"/>
        </w:rPr>
        <w:t>In terms of s 2 of the Proclamation, the National Commissioner is mandated to keep a register of all permissions to occupy land granted by him under s 4 (1</w:t>
      </w:r>
      <w:r w:rsidR="00D11A56">
        <w:rPr>
          <w:sz w:val="28"/>
          <w:szCs w:val="28"/>
        </w:rPr>
        <w:t>)</w:t>
      </w:r>
      <w:r w:rsidR="00F60D12">
        <w:rPr>
          <w:sz w:val="28"/>
          <w:szCs w:val="28"/>
        </w:rPr>
        <w:t xml:space="preserve"> (ii).</w:t>
      </w:r>
      <w:r w:rsidR="00D11A56">
        <w:rPr>
          <w:sz w:val="28"/>
          <w:szCs w:val="28"/>
        </w:rPr>
        <w:t xml:space="preserve"> Further, the property did not revert to the commonage after the death of the father</w:t>
      </w:r>
      <w:r w:rsidR="00F60D12">
        <w:rPr>
          <w:sz w:val="28"/>
          <w:szCs w:val="28"/>
        </w:rPr>
        <w:t xml:space="preserve"> </w:t>
      </w:r>
      <w:r w:rsidR="00D11A56">
        <w:rPr>
          <w:sz w:val="28"/>
          <w:szCs w:val="28"/>
        </w:rPr>
        <w:t>as envisaged in s</w:t>
      </w:r>
      <w:r w:rsidR="00122F69">
        <w:rPr>
          <w:sz w:val="28"/>
          <w:szCs w:val="28"/>
        </w:rPr>
        <w:t xml:space="preserve"> 9</w:t>
      </w:r>
      <w:r w:rsidR="00D11A56">
        <w:rPr>
          <w:sz w:val="28"/>
          <w:szCs w:val="28"/>
        </w:rPr>
        <w:t xml:space="preserve"> of the Proclamation.</w:t>
      </w:r>
      <w:r w:rsidR="00D11A56">
        <w:rPr>
          <w:rStyle w:val="FootnoteReference"/>
          <w:sz w:val="28"/>
          <w:szCs w:val="28"/>
        </w:rPr>
        <w:footnoteReference w:id="2"/>
      </w:r>
      <w:r w:rsidR="00F60D12">
        <w:rPr>
          <w:sz w:val="28"/>
          <w:szCs w:val="28"/>
        </w:rPr>
        <w:t xml:space="preserve"> </w:t>
      </w:r>
      <w:r w:rsidR="00122F69">
        <w:rPr>
          <w:sz w:val="28"/>
          <w:szCs w:val="28"/>
        </w:rPr>
        <w:t xml:space="preserve">Neither </w:t>
      </w:r>
      <w:r w:rsidR="005867C4">
        <w:rPr>
          <w:sz w:val="28"/>
          <w:szCs w:val="28"/>
        </w:rPr>
        <w:t>was it registered into the name of the mother during her life</w:t>
      </w:r>
      <w:r>
        <w:rPr>
          <w:sz w:val="28"/>
          <w:szCs w:val="28"/>
        </w:rPr>
        <w:t>time</w:t>
      </w:r>
      <w:r w:rsidR="005867C4">
        <w:rPr>
          <w:sz w:val="28"/>
          <w:szCs w:val="28"/>
        </w:rPr>
        <w:t xml:space="preserve">. </w:t>
      </w:r>
      <w:r w:rsidR="00122F69">
        <w:rPr>
          <w:sz w:val="28"/>
          <w:szCs w:val="28"/>
        </w:rPr>
        <w:t xml:space="preserve">Instead, the appellant is the lawful holder of the allotment of the property, and the </w:t>
      </w:r>
      <w:r w:rsidR="0029691C">
        <w:rPr>
          <w:sz w:val="28"/>
          <w:szCs w:val="28"/>
        </w:rPr>
        <w:lastRenderedPageBreak/>
        <w:t>allotment</w:t>
      </w:r>
      <w:r w:rsidR="00122F69">
        <w:rPr>
          <w:sz w:val="28"/>
          <w:szCs w:val="28"/>
        </w:rPr>
        <w:t xml:space="preserve"> of the property </w:t>
      </w:r>
      <w:r w:rsidR="0029691C">
        <w:rPr>
          <w:sz w:val="28"/>
          <w:szCs w:val="28"/>
        </w:rPr>
        <w:t>to him</w:t>
      </w:r>
      <w:r w:rsidR="00122F69">
        <w:rPr>
          <w:sz w:val="28"/>
          <w:szCs w:val="28"/>
        </w:rPr>
        <w:t xml:space="preserve"> </w:t>
      </w:r>
      <w:r w:rsidR="00BD6C6F">
        <w:rPr>
          <w:sz w:val="28"/>
          <w:szCs w:val="28"/>
        </w:rPr>
        <w:t>is valid in law because it has</w:t>
      </w:r>
      <w:r w:rsidR="00122F69">
        <w:rPr>
          <w:sz w:val="28"/>
          <w:szCs w:val="28"/>
        </w:rPr>
        <w:t xml:space="preserve"> not been </w:t>
      </w:r>
      <w:r w:rsidR="005867C4">
        <w:rPr>
          <w:sz w:val="28"/>
          <w:szCs w:val="28"/>
        </w:rPr>
        <w:t>canceled by the National Commissioner</w:t>
      </w:r>
      <w:r w:rsidR="00122F69">
        <w:rPr>
          <w:sz w:val="28"/>
          <w:szCs w:val="28"/>
        </w:rPr>
        <w:t xml:space="preserve">. </w:t>
      </w:r>
      <w:r w:rsidR="00302076">
        <w:rPr>
          <w:sz w:val="28"/>
          <w:szCs w:val="28"/>
        </w:rPr>
        <w:t>For th</w:t>
      </w:r>
      <w:r w:rsidR="00122F69">
        <w:rPr>
          <w:sz w:val="28"/>
          <w:szCs w:val="28"/>
        </w:rPr>
        <w:t>ose</w:t>
      </w:r>
      <w:r w:rsidR="00302076">
        <w:rPr>
          <w:sz w:val="28"/>
          <w:szCs w:val="28"/>
        </w:rPr>
        <w:t xml:space="preserve"> reason</w:t>
      </w:r>
      <w:r w:rsidR="00122F69">
        <w:rPr>
          <w:sz w:val="28"/>
          <w:szCs w:val="28"/>
        </w:rPr>
        <w:t>s</w:t>
      </w:r>
      <w:r w:rsidR="00302076">
        <w:rPr>
          <w:sz w:val="28"/>
          <w:szCs w:val="28"/>
        </w:rPr>
        <w:t xml:space="preserve">, </w:t>
      </w:r>
      <w:r w:rsidR="005867C4">
        <w:rPr>
          <w:sz w:val="28"/>
          <w:szCs w:val="28"/>
        </w:rPr>
        <w:t xml:space="preserve">it was argued on behalf of the appellant that </w:t>
      </w:r>
      <w:r w:rsidR="00302076">
        <w:rPr>
          <w:sz w:val="28"/>
          <w:szCs w:val="28"/>
        </w:rPr>
        <w:t xml:space="preserve">the </w:t>
      </w:r>
      <w:r w:rsidR="005867C4">
        <w:rPr>
          <w:sz w:val="28"/>
          <w:szCs w:val="28"/>
        </w:rPr>
        <w:t>court a quo ought to have</w:t>
      </w:r>
      <w:r w:rsidR="00BD6C6F">
        <w:rPr>
          <w:sz w:val="28"/>
          <w:szCs w:val="28"/>
        </w:rPr>
        <w:t xml:space="preserve"> found</w:t>
      </w:r>
      <w:r w:rsidR="005867C4">
        <w:rPr>
          <w:sz w:val="28"/>
          <w:szCs w:val="28"/>
        </w:rPr>
        <w:t xml:space="preserve"> that the </w:t>
      </w:r>
      <w:r w:rsidR="00302076">
        <w:rPr>
          <w:sz w:val="28"/>
          <w:szCs w:val="28"/>
        </w:rPr>
        <w:t xml:space="preserve">determination of validity of the PTO without affording a hearing to the third respondent </w:t>
      </w:r>
      <w:r w:rsidR="005867C4">
        <w:rPr>
          <w:sz w:val="28"/>
          <w:szCs w:val="28"/>
        </w:rPr>
        <w:t>was fatal to the counter- application</w:t>
      </w:r>
      <w:r w:rsidR="00302076">
        <w:rPr>
          <w:sz w:val="28"/>
          <w:szCs w:val="28"/>
        </w:rPr>
        <w:t>. It was submitted further that the PTO gave the appellant an unassailable right to remove an unlawful occupier from the property.</w:t>
      </w:r>
      <w:r w:rsidR="005867C4">
        <w:rPr>
          <w:sz w:val="28"/>
          <w:szCs w:val="28"/>
        </w:rPr>
        <w:t xml:space="preserve"> On the other hand,</w:t>
      </w:r>
      <w:r w:rsidR="008D59AC">
        <w:rPr>
          <w:sz w:val="28"/>
          <w:szCs w:val="28"/>
        </w:rPr>
        <w:t xml:space="preserve"> the thrust of</w:t>
      </w:r>
      <w:r w:rsidR="005867C4">
        <w:rPr>
          <w:sz w:val="28"/>
          <w:szCs w:val="28"/>
        </w:rPr>
        <w:t xml:space="preserve"> the submissions advanced on behalf of the first respondent is that the order</w:t>
      </w:r>
      <w:r w:rsidR="008D59AC">
        <w:rPr>
          <w:sz w:val="28"/>
          <w:szCs w:val="28"/>
        </w:rPr>
        <w:t>s</w:t>
      </w:r>
      <w:r w:rsidR="005867C4">
        <w:rPr>
          <w:sz w:val="28"/>
          <w:szCs w:val="28"/>
        </w:rPr>
        <w:t xml:space="preserve"> granted </w:t>
      </w:r>
      <w:r w:rsidR="008D59AC">
        <w:rPr>
          <w:sz w:val="28"/>
          <w:szCs w:val="28"/>
        </w:rPr>
        <w:t xml:space="preserve">by the court </w:t>
      </w:r>
      <w:r w:rsidR="008D59AC" w:rsidRPr="008D59AC">
        <w:rPr>
          <w:i/>
          <w:iCs/>
          <w:sz w:val="28"/>
          <w:szCs w:val="28"/>
        </w:rPr>
        <w:t>a quo</w:t>
      </w:r>
      <w:r w:rsidR="00BD6C6F">
        <w:rPr>
          <w:i/>
          <w:iCs/>
          <w:sz w:val="28"/>
          <w:szCs w:val="28"/>
        </w:rPr>
        <w:t>,</w:t>
      </w:r>
      <w:r w:rsidR="008D59AC">
        <w:rPr>
          <w:sz w:val="28"/>
          <w:szCs w:val="28"/>
        </w:rPr>
        <w:t xml:space="preserve"> and the</w:t>
      </w:r>
      <w:r w:rsidR="005867C4">
        <w:rPr>
          <w:sz w:val="28"/>
          <w:szCs w:val="28"/>
        </w:rPr>
        <w:t xml:space="preserve"> reasons </w:t>
      </w:r>
      <w:r w:rsidR="008D59AC">
        <w:rPr>
          <w:sz w:val="28"/>
          <w:szCs w:val="28"/>
        </w:rPr>
        <w:t>given for them</w:t>
      </w:r>
      <w:r w:rsidR="00BD6C6F">
        <w:rPr>
          <w:sz w:val="28"/>
          <w:szCs w:val="28"/>
        </w:rPr>
        <w:t>,</w:t>
      </w:r>
      <w:r w:rsidR="008D59AC">
        <w:rPr>
          <w:sz w:val="28"/>
          <w:szCs w:val="28"/>
        </w:rPr>
        <w:t xml:space="preserve"> are good enough for the appeal to be dismissed. </w:t>
      </w:r>
      <w:r w:rsidR="0029691C">
        <w:rPr>
          <w:sz w:val="28"/>
          <w:szCs w:val="28"/>
        </w:rPr>
        <w:t>I</w:t>
      </w:r>
      <w:r w:rsidR="008D59AC">
        <w:rPr>
          <w:sz w:val="28"/>
          <w:szCs w:val="28"/>
        </w:rPr>
        <w:t>n the main, counsel for the first respondent</w:t>
      </w:r>
      <w:r w:rsidR="002318D5">
        <w:rPr>
          <w:sz w:val="28"/>
          <w:szCs w:val="28"/>
        </w:rPr>
        <w:t xml:space="preserve"> pins his faith on the submission </w:t>
      </w:r>
      <w:r w:rsidR="008D59AC">
        <w:rPr>
          <w:sz w:val="28"/>
          <w:szCs w:val="28"/>
        </w:rPr>
        <w:t xml:space="preserve">that </w:t>
      </w:r>
      <w:r w:rsidR="005842CC">
        <w:rPr>
          <w:sz w:val="28"/>
          <w:szCs w:val="28"/>
        </w:rPr>
        <w:t>the appellant, as the Executor in the interstate estate of his mother</w:t>
      </w:r>
      <w:r w:rsidR="002318D5">
        <w:rPr>
          <w:sz w:val="28"/>
          <w:szCs w:val="28"/>
        </w:rPr>
        <w:t>,</w:t>
      </w:r>
      <w:r w:rsidR="005842CC">
        <w:rPr>
          <w:sz w:val="28"/>
          <w:szCs w:val="28"/>
        </w:rPr>
        <w:t xml:space="preserve"> had a legal duty to first include the property in the winding-up process</w:t>
      </w:r>
      <w:r w:rsidR="00BD6C6F">
        <w:rPr>
          <w:sz w:val="28"/>
          <w:szCs w:val="28"/>
        </w:rPr>
        <w:t xml:space="preserve"> for it to be allocated to the beneficiaries, including the first respondent,</w:t>
      </w:r>
      <w:r w:rsidR="005842CC">
        <w:rPr>
          <w:sz w:val="28"/>
          <w:szCs w:val="28"/>
        </w:rPr>
        <w:t xml:space="preserve"> before arrogating</w:t>
      </w:r>
      <w:r w:rsidR="00BD6C6F">
        <w:rPr>
          <w:sz w:val="28"/>
          <w:szCs w:val="28"/>
        </w:rPr>
        <w:t xml:space="preserve"> rights </w:t>
      </w:r>
      <w:r w:rsidR="0055383E">
        <w:rPr>
          <w:sz w:val="28"/>
          <w:szCs w:val="28"/>
        </w:rPr>
        <w:t>of exclusive possession of</w:t>
      </w:r>
      <w:r w:rsidR="00BD6C6F">
        <w:rPr>
          <w:sz w:val="28"/>
          <w:szCs w:val="28"/>
        </w:rPr>
        <w:t xml:space="preserve"> the property to himself</w:t>
      </w:r>
      <w:r w:rsidR="005842CC">
        <w:rPr>
          <w:sz w:val="28"/>
          <w:szCs w:val="28"/>
        </w:rPr>
        <w:t xml:space="preserve">. </w:t>
      </w:r>
      <w:r w:rsidR="008D59AC">
        <w:rPr>
          <w:sz w:val="28"/>
          <w:szCs w:val="28"/>
        </w:rPr>
        <w:t xml:space="preserve"> </w:t>
      </w:r>
      <w:r w:rsidR="00302076">
        <w:rPr>
          <w:sz w:val="28"/>
          <w:szCs w:val="28"/>
        </w:rPr>
        <w:t xml:space="preserve">  </w:t>
      </w:r>
    </w:p>
    <w:p w14:paraId="71A69730" w14:textId="77777777" w:rsidR="00302076" w:rsidRDefault="00302076" w:rsidP="00302076">
      <w:pPr>
        <w:spacing w:line="360" w:lineRule="auto"/>
        <w:jc w:val="both"/>
        <w:rPr>
          <w:sz w:val="28"/>
          <w:szCs w:val="28"/>
        </w:rPr>
      </w:pPr>
    </w:p>
    <w:p w14:paraId="3548B3C0" w14:textId="69D2C372" w:rsidR="00302076" w:rsidRPr="004A7CB7" w:rsidRDefault="00302076" w:rsidP="005A2D19">
      <w:pPr>
        <w:spacing w:line="360" w:lineRule="auto"/>
        <w:jc w:val="both"/>
        <w:rPr>
          <w:bCs/>
        </w:rPr>
      </w:pPr>
      <w:r>
        <w:rPr>
          <w:sz w:val="28"/>
          <w:szCs w:val="28"/>
        </w:rPr>
        <w:t>[</w:t>
      </w:r>
      <w:r w:rsidR="00A72940">
        <w:rPr>
          <w:sz w:val="28"/>
          <w:szCs w:val="28"/>
        </w:rPr>
        <w:t>10</w:t>
      </w:r>
      <w:r>
        <w:rPr>
          <w:sz w:val="28"/>
          <w:szCs w:val="28"/>
        </w:rPr>
        <w:t>]</w:t>
      </w:r>
      <w:r w:rsidR="00A72940">
        <w:rPr>
          <w:sz w:val="28"/>
          <w:szCs w:val="28"/>
        </w:rPr>
        <w:tab/>
      </w:r>
      <w:r w:rsidR="00BD6C6F">
        <w:rPr>
          <w:sz w:val="28"/>
          <w:szCs w:val="28"/>
        </w:rPr>
        <w:t xml:space="preserve">It is trite law that </w:t>
      </w:r>
      <w:r>
        <w:rPr>
          <w:sz w:val="28"/>
          <w:szCs w:val="28"/>
        </w:rPr>
        <w:t>in terms of s 4</w:t>
      </w:r>
      <w:r w:rsidR="009C4E3B">
        <w:rPr>
          <w:sz w:val="28"/>
          <w:szCs w:val="28"/>
        </w:rPr>
        <w:t xml:space="preserve"> </w:t>
      </w:r>
      <w:r>
        <w:rPr>
          <w:sz w:val="28"/>
          <w:szCs w:val="28"/>
        </w:rPr>
        <w:t>(1)</w:t>
      </w:r>
      <w:r w:rsidR="009C4E3B">
        <w:rPr>
          <w:sz w:val="28"/>
          <w:szCs w:val="28"/>
        </w:rPr>
        <w:t xml:space="preserve"> </w:t>
      </w:r>
      <w:r w:rsidR="009C4E3B" w:rsidRPr="009C4E3B">
        <w:rPr>
          <w:iCs/>
          <w:sz w:val="28"/>
          <w:szCs w:val="28"/>
        </w:rPr>
        <w:t xml:space="preserve">(ii) </w:t>
      </w:r>
      <w:r>
        <w:rPr>
          <w:sz w:val="28"/>
          <w:szCs w:val="28"/>
        </w:rPr>
        <w:t xml:space="preserve">of the </w:t>
      </w:r>
      <w:r w:rsidR="005A2D19">
        <w:rPr>
          <w:sz w:val="28"/>
          <w:szCs w:val="28"/>
        </w:rPr>
        <w:t>Proclamation the National the power to decide whether, or not,</w:t>
      </w:r>
      <w:r w:rsidR="00794841">
        <w:rPr>
          <w:sz w:val="28"/>
          <w:szCs w:val="28"/>
        </w:rPr>
        <w:t xml:space="preserve"> </w:t>
      </w:r>
      <w:r w:rsidR="005A2D19">
        <w:rPr>
          <w:sz w:val="28"/>
          <w:szCs w:val="28"/>
        </w:rPr>
        <w:t xml:space="preserve">to grant the PTO to the appellant vested in the National Commissioner. </w:t>
      </w:r>
      <w:r w:rsidR="00794841">
        <w:rPr>
          <w:sz w:val="28"/>
          <w:szCs w:val="28"/>
        </w:rPr>
        <w:t>This statement accords with the</w:t>
      </w:r>
      <w:r w:rsidR="009C4E3B">
        <w:rPr>
          <w:sz w:val="28"/>
          <w:szCs w:val="28"/>
        </w:rPr>
        <w:t xml:space="preserve"> </w:t>
      </w:r>
      <w:r w:rsidR="00794841">
        <w:rPr>
          <w:sz w:val="28"/>
          <w:szCs w:val="28"/>
        </w:rPr>
        <w:t>literal and grammatical meaning of the words used in s 4 (1)</w:t>
      </w:r>
      <w:r w:rsidR="009C4E3B">
        <w:rPr>
          <w:sz w:val="28"/>
          <w:szCs w:val="28"/>
        </w:rPr>
        <w:t xml:space="preserve"> (ii)</w:t>
      </w:r>
      <w:r w:rsidR="009C4E3B">
        <w:rPr>
          <w:rStyle w:val="FootnoteReference"/>
          <w:sz w:val="28"/>
          <w:szCs w:val="28"/>
        </w:rPr>
        <w:footnoteReference w:id="3"/>
      </w:r>
      <w:r w:rsidR="00794841">
        <w:rPr>
          <w:sz w:val="28"/>
          <w:szCs w:val="28"/>
        </w:rPr>
        <w:t xml:space="preserve">. </w:t>
      </w:r>
      <w:r w:rsidR="005A2D19">
        <w:rPr>
          <w:sz w:val="28"/>
          <w:szCs w:val="28"/>
        </w:rPr>
        <w:t>On the evidence,</w:t>
      </w:r>
      <w:r w:rsidR="00794841">
        <w:rPr>
          <w:sz w:val="28"/>
          <w:szCs w:val="28"/>
        </w:rPr>
        <w:t xml:space="preserve"> </w:t>
      </w:r>
      <w:r w:rsidR="005A2D19">
        <w:rPr>
          <w:sz w:val="28"/>
          <w:szCs w:val="28"/>
        </w:rPr>
        <w:t xml:space="preserve">the PTO </w:t>
      </w:r>
      <w:r w:rsidR="00794841">
        <w:rPr>
          <w:sz w:val="28"/>
          <w:szCs w:val="28"/>
        </w:rPr>
        <w:t xml:space="preserve">in respect of the property </w:t>
      </w:r>
      <w:r w:rsidR="005A2D19">
        <w:rPr>
          <w:sz w:val="28"/>
          <w:szCs w:val="28"/>
        </w:rPr>
        <w:t xml:space="preserve">was granted </w:t>
      </w:r>
      <w:r w:rsidR="00794841">
        <w:rPr>
          <w:sz w:val="28"/>
          <w:szCs w:val="28"/>
        </w:rPr>
        <w:t xml:space="preserve">by the Commissioner in the exercise of his discretionary power </w:t>
      </w:r>
      <w:r w:rsidR="005A2D19">
        <w:rPr>
          <w:sz w:val="28"/>
          <w:szCs w:val="28"/>
        </w:rPr>
        <w:t>in favour of the appellant.</w:t>
      </w:r>
      <w:r w:rsidR="009C4E3B">
        <w:rPr>
          <w:sz w:val="28"/>
          <w:szCs w:val="28"/>
        </w:rPr>
        <w:t xml:space="preserve"> That PTO has not been canceled.</w:t>
      </w:r>
    </w:p>
    <w:p w14:paraId="4124997A" w14:textId="77777777" w:rsidR="00302076" w:rsidRDefault="00302076" w:rsidP="00302076">
      <w:pPr>
        <w:spacing w:line="480" w:lineRule="auto"/>
        <w:jc w:val="both"/>
        <w:rPr>
          <w:bCs/>
          <w:sz w:val="28"/>
          <w:szCs w:val="28"/>
        </w:rPr>
      </w:pPr>
    </w:p>
    <w:p w14:paraId="7D875BFE" w14:textId="33DE9939" w:rsidR="0050107D" w:rsidRPr="00003DBA" w:rsidRDefault="00302076" w:rsidP="00003DBA">
      <w:pPr>
        <w:spacing w:line="360" w:lineRule="auto"/>
        <w:jc w:val="both"/>
        <w:rPr>
          <w:color w:val="FF0000"/>
          <w:sz w:val="28"/>
          <w:szCs w:val="28"/>
        </w:rPr>
      </w:pPr>
      <w:r>
        <w:rPr>
          <w:sz w:val="28"/>
          <w:szCs w:val="28"/>
        </w:rPr>
        <w:t>[</w:t>
      </w:r>
      <w:r w:rsidR="00A72940">
        <w:rPr>
          <w:sz w:val="28"/>
          <w:szCs w:val="28"/>
        </w:rPr>
        <w:t>11</w:t>
      </w:r>
      <w:r>
        <w:rPr>
          <w:sz w:val="28"/>
          <w:szCs w:val="28"/>
        </w:rPr>
        <w:t>]</w:t>
      </w:r>
      <w:r>
        <w:rPr>
          <w:sz w:val="28"/>
          <w:szCs w:val="28"/>
        </w:rPr>
        <w:tab/>
      </w:r>
      <w:r w:rsidR="009C4E3B">
        <w:rPr>
          <w:sz w:val="28"/>
          <w:szCs w:val="28"/>
        </w:rPr>
        <w:t>It was submitted on behalf of the appellant, correctly so, that</w:t>
      </w:r>
      <w:r w:rsidR="00003DBA">
        <w:rPr>
          <w:sz w:val="28"/>
          <w:szCs w:val="28"/>
        </w:rPr>
        <w:t xml:space="preserve"> with effect from 1994 t</w:t>
      </w:r>
      <w:r>
        <w:rPr>
          <w:sz w:val="28"/>
          <w:szCs w:val="28"/>
        </w:rPr>
        <w:t xml:space="preserve">he third respondent subsumed the </w:t>
      </w:r>
      <w:r w:rsidR="00003DBA">
        <w:rPr>
          <w:sz w:val="28"/>
          <w:szCs w:val="28"/>
        </w:rPr>
        <w:t xml:space="preserve">statutory </w:t>
      </w:r>
      <w:r>
        <w:rPr>
          <w:sz w:val="28"/>
          <w:szCs w:val="28"/>
        </w:rPr>
        <w:t xml:space="preserve">power and control of </w:t>
      </w:r>
      <w:r>
        <w:rPr>
          <w:sz w:val="28"/>
          <w:szCs w:val="28"/>
        </w:rPr>
        <w:lastRenderedPageBreak/>
        <w:t>allotments by the National Commissioner as a national department</w:t>
      </w:r>
      <w:r w:rsidR="00003DBA">
        <w:rPr>
          <w:sz w:val="28"/>
          <w:szCs w:val="28"/>
        </w:rPr>
        <w:t>,</w:t>
      </w:r>
      <w:r>
        <w:rPr>
          <w:sz w:val="28"/>
          <w:szCs w:val="28"/>
        </w:rPr>
        <w:t xml:space="preserve"> as </w:t>
      </w:r>
      <w:r w:rsidR="00003DBA">
        <w:rPr>
          <w:sz w:val="28"/>
          <w:szCs w:val="28"/>
        </w:rPr>
        <w:t xml:space="preserve">is </w:t>
      </w:r>
      <w:r>
        <w:rPr>
          <w:sz w:val="28"/>
          <w:szCs w:val="28"/>
        </w:rPr>
        <w:t>defined in s 1 of the Public Service Act 10 of 1994, read with Column 1 of Schedule 2 of th</w:t>
      </w:r>
      <w:r w:rsidR="00B434C5">
        <w:rPr>
          <w:sz w:val="28"/>
          <w:szCs w:val="28"/>
        </w:rPr>
        <w:t>at</w:t>
      </w:r>
      <w:r>
        <w:rPr>
          <w:sz w:val="28"/>
          <w:szCs w:val="28"/>
        </w:rPr>
        <w:t xml:space="preserve"> Act.</w:t>
      </w:r>
      <w:r w:rsidR="00003DBA">
        <w:rPr>
          <w:sz w:val="28"/>
          <w:szCs w:val="28"/>
        </w:rPr>
        <w:t xml:space="preserve"> </w:t>
      </w:r>
      <w:r w:rsidRPr="00003DBA">
        <w:rPr>
          <w:sz w:val="28"/>
          <w:szCs w:val="28"/>
        </w:rPr>
        <w:t xml:space="preserve">As a national department of the government, the third respondent is an organ of </w:t>
      </w:r>
      <w:r w:rsidR="00A759B2" w:rsidRPr="00003DBA">
        <w:rPr>
          <w:sz w:val="28"/>
          <w:szCs w:val="28"/>
        </w:rPr>
        <w:t xml:space="preserve">the </w:t>
      </w:r>
      <w:r w:rsidRPr="00003DBA">
        <w:rPr>
          <w:sz w:val="28"/>
          <w:szCs w:val="28"/>
        </w:rPr>
        <w:t>State</w:t>
      </w:r>
      <w:r w:rsidR="00C21FD4">
        <w:rPr>
          <w:sz w:val="28"/>
          <w:szCs w:val="28"/>
        </w:rPr>
        <w:t xml:space="preserve"> established</w:t>
      </w:r>
      <w:r w:rsidRPr="00003DBA">
        <w:rPr>
          <w:sz w:val="28"/>
          <w:szCs w:val="28"/>
        </w:rPr>
        <w:t xml:space="preserve"> in terms of s 239 of the Constitution that is charged with </w:t>
      </w:r>
      <w:r w:rsidR="00003DBA">
        <w:rPr>
          <w:sz w:val="28"/>
          <w:szCs w:val="28"/>
        </w:rPr>
        <w:t xml:space="preserve">the </w:t>
      </w:r>
      <w:r w:rsidRPr="00003DBA">
        <w:rPr>
          <w:sz w:val="28"/>
          <w:szCs w:val="28"/>
        </w:rPr>
        <w:t xml:space="preserve">administrative function to grant, refuse </w:t>
      </w:r>
      <w:r w:rsidR="0075414C">
        <w:rPr>
          <w:sz w:val="28"/>
          <w:szCs w:val="28"/>
        </w:rPr>
        <w:t xml:space="preserve">and cancel </w:t>
      </w:r>
      <w:r w:rsidRPr="00003DBA">
        <w:rPr>
          <w:sz w:val="28"/>
          <w:szCs w:val="28"/>
        </w:rPr>
        <w:t xml:space="preserve">permits to occupy unregistered state land lying in the commonage areas.  Since it alone can issue and cancel a PTO, the first respondent had an obligation to seek a relief </w:t>
      </w:r>
      <w:r w:rsidR="00A60DFE">
        <w:rPr>
          <w:sz w:val="28"/>
          <w:szCs w:val="28"/>
        </w:rPr>
        <w:t>for</w:t>
      </w:r>
      <w:r w:rsidR="003D2054">
        <w:rPr>
          <w:sz w:val="28"/>
          <w:szCs w:val="28"/>
        </w:rPr>
        <w:t xml:space="preserve"> a</w:t>
      </w:r>
      <w:r w:rsidRPr="00003DBA">
        <w:rPr>
          <w:sz w:val="28"/>
          <w:szCs w:val="28"/>
        </w:rPr>
        <w:t xml:space="preserve"> review </w:t>
      </w:r>
      <w:r w:rsidR="003D2054">
        <w:rPr>
          <w:sz w:val="28"/>
          <w:szCs w:val="28"/>
        </w:rPr>
        <w:t xml:space="preserve">of </w:t>
      </w:r>
      <w:r w:rsidRPr="00003DBA">
        <w:rPr>
          <w:sz w:val="28"/>
          <w:szCs w:val="28"/>
        </w:rPr>
        <w:t>the decision of the third respondent and set</w:t>
      </w:r>
      <w:r w:rsidR="000D27F8">
        <w:rPr>
          <w:sz w:val="28"/>
          <w:szCs w:val="28"/>
        </w:rPr>
        <w:t>ting</w:t>
      </w:r>
      <w:r w:rsidRPr="00003DBA">
        <w:rPr>
          <w:sz w:val="28"/>
          <w:szCs w:val="28"/>
        </w:rPr>
        <w:t xml:space="preserve"> aside </w:t>
      </w:r>
      <w:r w:rsidR="000D27F8">
        <w:rPr>
          <w:sz w:val="28"/>
          <w:szCs w:val="28"/>
        </w:rPr>
        <w:t xml:space="preserve">of </w:t>
      </w:r>
      <w:r w:rsidRPr="00003DBA">
        <w:rPr>
          <w:sz w:val="28"/>
          <w:szCs w:val="28"/>
        </w:rPr>
        <w:t>the PTO, utili</w:t>
      </w:r>
      <w:r w:rsidR="00E635D6">
        <w:rPr>
          <w:sz w:val="28"/>
          <w:szCs w:val="28"/>
        </w:rPr>
        <w:t>s</w:t>
      </w:r>
      <w:r w:rsidRPr="00003DBA">
        <w:rPr>
          <w:sz w:val="28"/>
          <w:szCs w:val="28"/>
        </w:rPr>
        <w:t xml:space="preserve">ing the provisions of s 6 of Promotion of Administrative </w:t>
      </w:r>
      <w:r w:rsidRPr="00003DBA">
        <w:rPr>
          <w:color w:val="000000" w:themeColor="text1"/>
          <w:sz w:val="28"/>
          <w:szCs w:val="28"/>
        </w:rPr>
        <w:t>Justice Act 3 of 2000 (PAJA).</w:t>
      </w:r>
      <w:r w:rsidR="00A759B2" w:rsidRPr="00003DBA">
        <w:rPr>
          <w:color w:val="000000" w:themeColor="text1"/>
          <w:sz w:val="28"/>
          <w:szCs w:val="28"/>
        </w:rPr>
        <w:t xml:space="preserve"> </w:t>
      </w:r>
      <w:r w:rsidR="00A759B2" w:rsidRPr="009914D4">
        <w:rPr>
          <w:color w:val="000000" w:themeColor="text1"/>
          <w:sz w:val="28"/>
          <w:szCs w:val="28"/>
        </w:rPr>
        <w:t>She did not invoke the provisions of s 6 of PAJA.</w:t>
      </w:r>
      <w:r w:rsidR="0090554B" w:rsidRPr="00003DBA">
        <w:rPr>
          <w:color w:val="000000" w:themeColor="text1"/>
          <w:sz w:val="28"/>
          <w:szCs w:val="28"/>
        </w:rPr>
        <w:t xml:space="preserve"> </w:t>
      </w:r>
      <w:r w:rsidRPr="00003DBA">
        <w:rPr>
          <w:color w:val="000000" w:themeColor="text1"/>
          <w:sz w:val="28"/>
          <w:szCs w:val="28"/>
        </w:rPr>
        <w:t>Consequently,</w:t>
      </w:r>
      <w:r w:rsidR="0090554B" w:rsidRPr="00003DBA">
        <w:rPr>
          <w:color w:val="000000" w:themeColor="text1"/>
          <w:sz w:val="28"/>
          <w:szCs w:val="28"/>
        </w:rPr>
        <w:t xml:space="preserve"> </w:t>
      </w:r>
      <w:r w:rsidR="008F7DF7" w:rsidRPr="00003DBA">
        <w:rPr>
          <w:color w:val="000000" w:themeColor="text1"/>
          <w:sz w:val="28"/>
          <w:szCs w:val="28"/>
        </w:rPr>
        <w:t>in</w:t>
      </w:r>
      <w:r w:rsidR="0090554B" w:rsidRPr="00003DBA">
        <w:rPr>
          <w:color w:val="000000" w:themeColor="text1"/>
          <w:sz w:val="28"/>
          <w:szCs w:val="28"/>
        </w:rPr>
        <w:t xml:space="preserve"> </w:t>
      </w:r>
      <w:r w:rsidR="00F46510" w:rsidRPr="00003DBA">
        <w:rPr>
          <w:color w:val="000000" w:themeColor="text1"/>
          <w:sz w:val="28"/>
          <w:szCs w:val="28"/>
        </w:rPr>
        <w:t>terms</w:t>
      </w:r>
      <w:r w:rsidR="008F7DF7" w:rsidRPr="00003DBA">
        <w:rPr>
          <w:color w:val="000000" w:themeColor="text1"/>
          <w:sz w:val="28"/>
          <w:szCs w:val="28"/>
        </w:rPr>
        <w:t xml:space="preserve"> of</w:t>
      </w:r>
      <w:r w:rsidR="009F58A4" w:rsidRPr="00003DBA">
        <w:rPr>
          <w:color w:val="000000" w:themeColor="text1"/>
          <w:sz w:val="28"/>
          <w:szCs w:val="28"/>
        </w:rPr>
        <w:t xml:space="preserve"> the administrative law pri</w:t>
      </w:r>
      <w:r w:rsidR="00B23B5D" w:rsidRPr="00003DBA">
        <w:rPr>
          <w:color w:val="000000" w:themeColor="text1"/>
          <w:sz w:val="28"/>
          <w:szCs w:val="28"/>
        </w:rPr>
        <w:t>nciples as set out in</w:t>
      </w:r>
      <w:r w:rsidRPr="00003DBA">
        <w:rPr>
          <w:color w:val="000000" w:themeColor="text1"/>
          <w:sz w:val="28"/>
          <w:szCs w:val="28"/>
        </w:rPr>
        <w:t xml:space="preserve"> the judgment in </w:t>
      </w:r>
      <w:r w:rsidRPr="00003DBA">
        <w:rPr>
          <w:i/>
          <w:color w:val="000000" w:themeColor="text1"/>
          <w:sz w:val="28"/>
          <w:szCs w:val="28"/>
        </w:rPr>
        <w:t xml:space="preserve">Oudekraal </w:t>
      </w:r>
      <w:r w:rsidRPr="00003DBA">
        <w:rPr>
          <w:i/>
          <w:sz w:val="28"/>
          <w:szCs w:val="28"/>
        </w:rPr>
        <w:t>Estates (Pty) Ltd v City of Cape Town and Others</w:t>
      </w:r>
      <w:r>
        <w:rPr>
          <w:rStyle w:val="FootnoteReference"/>
          <w:sz w:val="28"/>
          <w:szCs w:val="28"/>
        </w:rPr>
        <w:footnoteReference w:id="4"/>
      </w:r>
      <w:r w:rsidRPr="00003DBA">
        <w:rPr>
          <w:sz w:val="28"/>
          <w:szCs w:val="28"/>
        </w:rPr>
        <w:t xml:space="preserve"> </w:t>
      </w:r>
      <w:r w:rsidR="00AB21E9" w:rsidRPr="00003DBA">
        <w:rPr>
          <w:sz w:val="28"/>
          <w:szCs w:val="28"/>
        </w:rPr>
        <w:t>an administrative decision</w:t>
      </w:r>
      <w:r w:rsidR="00932967" w:rsidRPr="00003DBA">
        <w:rPr>
          <w:sz w:val="28"/>
          <w:szCs w:val="28"/>
        </w:rPr>
        <w:t xml:space="preserve"> </w:t>
      </w:r>
      <w:r w:rsidR="00D82625" w:rsidRPr="00003DBA">
        <w:rPr>
          <w:sz w:val="28"/>
          <w:szCs w:val="28"/>
        </w:rPr>
        <w:t>made</w:t>
      </w:r>
      <w:r w:rsidR="00932967" w:rsidRPr="00003DBA">
        <w:rPr>
          <w:sz w:val="28"/>
          <w:szCs w:val="28"/>
        </w:rPr>
        <w:t xml:space="preserve"> by the third </w:t>
      </w:r>
      <w:r w:rsidR="00F55066" w:rsidRPr="00003DBA">
        <w:rPr>
          <w:sz w:val="28"/>
          <w:szCs w:val="28"/>
        </w:rPr>
        <w:t xml:space="preserve">respondent </w:t>
      </w:r>
      <w:r w:rsidR="00D82625" w:rsidRPr="00003DBA">
        <w:rPr>
          <w:sz w:val="28"/>
          <w:szCs w:val="28"/>
        </w:rPr>
        <w:t xml:space="preserve">to issue </w:t>
      </w:r>
      <w:r w:rsidR="0053209A" w:rsidRPr="00003DBA">
        <w:rPr>
          <w:sz w:val="28"/>
          <w:szCs w:val="28"/>
        </w:rPr>
        <w:t xml:space="preserve">the PTO </w:t>
      </w:r>
      <w:r w:rsidRPr="00003DBA">
        <w:rPr>
          <w:sz w:val="28"/>
          <w:szCs w:val="28"/>
        </w:rPr>
        <w:t>remains</w:t>
      </w:r>
      <w:r w:rsidR="00D82625" w:rsidRPr="00003DBA">
        <w:rPr>
          <w:sz w:val="28"/>
          <w:szCs w:val="28"/>
        </w:rPr>
        <w:t xml:space="preserve"> extant</w:t>
      </w:r>
      <w:r w:rsidR="008A5B89" w:rsidRPr="00003DBA">
        <w:rPr>
          <w:sz w:val="28"/>
          <w:szCs w:val="28"/>
        </w:rPr>
        <w:t xml:space="preserve"> </w:t>
      </w:r>
      <w:r w:rsidRPr="00003DBA">
        <w:rPr>
          <w:sz w:val="28"/>
          <w:szCs w:val="28"/>
        </w:rPr>
        <w:t xml:space="preserve">until </w:t>
      </w:r>
      <w:r w:rsidR="005638B2" w:rsidRPr="00003DBA">
        <w:rPr>
          <w:sz w:val="28"/>
          <w:szCs w:val="28"/>
        </w:rPr>
        <w:t>it has</w:t>
      </w:r>
      <w:r w:rsidRPr="00003DBA">
        <w:rPr>
          <w:sz w:val="28"/>
          <w:szCs w:val="28"/>
        </w:rPr>
        <w:t xml:space="preserve"> been set aside by a court of law.  </w:t>
      </w:r>
    </w:p>
    <w:p w14:paraId="70F4DA59" w14:textId="77777777" w:rsidR="0050107D" w:rsidRDefault="0050107D" w:rsidP="00302076">
      <w:pPr>
        <w:spacing w:line="360" w:lineRule="auto"/>
        <w:jc w:val="both"/>
        <w:rPr>
          <w:sz w:val="28"/>
          <w:szCs w:val="28"/>
        </w:rPr>
      </w:pPr>
    </w:p>
    <w:p w14:paraId="2C233B40" w14:textId="190FA1AB" w:rsidR="00302076" w:rsidRPr="0050107D" w:rsidRDefault="0050107D" w:rsidP="00302076">
      <w:pPr>
        <w:spacing w:line="360" w:lineRule="auto"/>
        <w:jc w:val="both"/>
        <w:rPr>
          <w:color w:val="000000" w:themeColor="text1"/>
          <w:sz w:val="28"/>
          <w:szCs w:val="28"/>
        </w:rPr>
      </w:pPr>
      <w:r>
        <w:rPr>
          <w:sz w:val="28"/>
          <w:szCs w:val="28"/>
        </w:rPr>
        <w:t>[1</w:t>
      </w:r>
      <w:r w:rsidR="00A72940">
        <w:rPr>
          <w:sz w:val="28"/>
          <w:szCs w:val="28"/>
        </w:rPr>
        <w:t>2</w:t>
      </w:r>
      <w:r>
        <w:rPr>
          <w:sz w:val="28"/>
          <w:szCs w:val="28"/>
        </w:rPr>
        <w:t xml:space="preserve">]  </w:t>
      </w:r>
      <w:r w:rsidR="00434D7C">
        <w:rPr>
          <w:sz w:val="28"/>
          <w:szCs w:val="28"/>
        </w:rPr>
        <w:t xml:space="preserve">It seems to me that the third respondent has a legal interest in the relief sought by the first respondent that the PTO must be declared unlawful and set aside. </w:t>
      </w:r>
      <w:r w:rsidR="000B79C9">
        <w:rPr>
          <w:sz w:val="28"/>
          <w:szCs w:val="28"/>
        </w:rPr>
        <w:t xml:space="preserve">It matters not that the basis of the challenge is that the property </w:t>
      </w:r>
      <w:r w:rsidR="000536EC">
        <w:rPr>
          <w:sz w:val="28"/>
          <w:szCs w:val="28"/>
        </w:rPr>
        <w:t>wa</w:t>
      </w:r>
      <w:r w:rsidR="00B73ACB">
        <w:rPr>
          <w:sz w:val="28"/>
          <w:szCs w:val="28"/>
        </w:rPr>
        <w:t>s</w:t>
      </w:r>
      <w:r w:rsidR="000B79C9">
        <w:rPr>
          <w:sz w:val="28"/>
          <w:szCs w:val="28"/>
        </w:rPr>
        <w:t xml:space="preserve"> a common home</w:t>
      </w:r>
      <w:r w:rsidR="00CF2A86">
        <w:rPr>
          <w:sz w:val="28"/>
          <w:szCs w:val="28"/>
        </w:rPr>
        <w:t>.</w:t>
      </w:r>
      <w:r w:rsidR="000B79C9">
        <w:rPr>
          <w:sz w:val="28"/>
          <w:szCs w:val="28"/>
        </w:rPr>
        <w:t xml:space="preserve"> What matters is the fact that the </w:t>
      </w:r>
      <w:r w:rsidR="00F44B08">
        <w:rPr>
          <w:sz w:val="28"/>
          <w:szCs w:val="28"/>
        </w:rPr>
        <w:t xml:space="preserve">administrative </w:t>
      </w:r>
      <w:r w:rsidR="000B79C9">
        <w:rPr>
          <w:sz w:val="28"/>
          <w:szCs w:val="28"/>
        </w:rPr>
        <w:t xml:space="preserve">decision of the third respondent </w:t>
      </w:r>
      <w:r w:rsidR="00555472">
        <w:rPr>
          <w:sz w:val="28"/>
          <w:szCs w:val="28"/>
        </w:rPr>
        <w:t>is</w:t>
      </w:r>
      <w:r w:rsidR="000B79C9">
        <w:rPr>
          <w:sz w:val="28"/>
          <w:szCs w:val="28"/>
        </w:rPr>
        <w:t xml:space="preserve"> sought to be impugned. </w:t>
      </w:r>
      <w:r w:rsidR="007D4D52">
        <w:rPr>
          <w:sz w:val="28"/>
          <w:szCs w:val="28"/>
        </w:rPr>
        <w:t>To th</w:t>
      </w:r>
      <w:r w:rsidR="009B01B6">
        <w:rPr>
          <w:sz w:val="28"/>
          <w:szCs w:val="28"/>
        </w:rPr>
        <w:t>at</w:t>
      </w:r>
      <w:r w:rsidR="007D4D52">
        <w:rPr>
          <w:sz w:val="28"/>
          <w:szCs w:val="28"/>
        </w:rPr>
        <w:t xml:space="preserve"> extent</w:t>
      </w:r>
      <w:r w:rsidR="009B01B6">
        <w:rPr>
          <w:sz w:val="28"/>
          <w:szCs w:val="28"/>
        </w:rPr>
        <w:t xml:space="preserve">, </w:t>
      </w:r>
      <w:r w:rsidR="004945AB">
        <w:rPr>
          <w:sz w:val="28"/>
          <w:szCs w:val="28"/>
        </w:rPr>
        <w:t>the first respondent needed to serve</w:t>
      </w:r>
      <w:r w:rsidR="00C41224">
        <w:rPr>
          <w:sz w:val="28"/>
          <w:szCs w:val="28"/>
        </w:rPr>
        <w:t xml:space="preserve"> </w:t>
      </w:r>
      <w:r w:rsidR="007D4D52">
        <w:rPr>
          <w:sz w:val="28"/>
          <w:szCs w:val="28"/>
        </w:rPr>
        <w:t>the</w:t>
      </w:r>
      <w:r w:rsidR="00744A8C">
        <w:rPr>
          <w:sz w:val="28"/>
          <w:szCs w:val="28"/>
        </w:rPr>
        <w:t xml:space="preserve"> counter-claim upon the</w:t>
      </w:r>
      <w:r w:rsidR="007D4D52">
        <w:rPr>
          <w:sz w:val="28"/>
          <w:szCs w:val="28"/>
        </w:rPr>
        <w:t xml:space="preserve"> third respondent</w:t>
      </w:r>
      <w:r w:rsidR="00ED1221">
        <w:rPr>
          <w:sz w:val="28"/>
          <w:szCs w:val="28"/>
        </w:rPr>
        <w:t>.</w:t>
      </w:r>
      <w:r w:rsidR="007D4D52">
        <w:rPr>
          <w:sz w:val="28"/>
          <w:szCs w:val="28"/>
        </w:rPr>
        <w:t xml:space="preserve"> Further, </w:t>
      </w:r>
      <w:r w:rsidR="00302076">
        <w:rPr>
          <w:sz w:val="28"/>
          <w:szCs w:val="28"/>
        </w:rPr>
        <w:t>the first respondent</w:t>
      </w:r>
      <w:r w:rsidR="007D4D52">
        <w:rPr>
          <w:sz w:val="28"/>
          <w:szCs w:val="28"/>
        </w:rPr>
        <w:t>’s</w:t>
      </w:r>
      <w:r w:rsidR="00302076">
        <w:rPr>
          <w:sz w:val="28"/>
          <w:szCs w:val="28"/>
        </w:rPr>
        <w:t xml:space="preserve"> fail</w:t>
      </w:r>
      <w:r w:rsidR="007D4D52">
        <w:rPr>
          <w:sz w:val="28"/>
          <w:szCs w:val="28"/>
        </w:rPr>
        <w:t>ure</w:t>
      </w:r>
      <w:r w:rsidR="00302076">
        <w:rPr>
          <w:sz w:val="28"/>
          <w:szCs w:val="28"/>
        </w:rPr>
        <w:t xml:space="preserve"> to invoke PAJA review to challenge the </w:t>
      </w:r>
      <w:r w:rsidR="000B79C9">
        <w:rPr>
          <w:sz w:val="28"/>
          <w:szCs w:val="28"/>
        </w:rPr>
        <w:t xml:space="preserve">administrative </w:t>
      </w:r>
      <w:r w:rsidR="00302076">
        <w:rPr>
          <w:sz w:val="28"/>
          <w:szCs w:val="28"/>
        </w:rPr>
        <w:t>decision of the third respondent for issuing the PTO in favour of the appellant</w:t>
      </w:r>
      <w:r w:rsidR="00CF2A86">
        <w:rPr>
          <w:sz w:val="28"/>
          <w:szCs w:val="28"/>
        </w:rPr>
        <w:t xml:space="preserve"> is fatal to the counter-application.</w:t>
      </w:r>
      <w:r w:rsidR="00302076">
        <w:rPr>
          <w:sz w:val="28"/>
          <w:szCs w:val="28"/>
        </w:rPr>
        <w:t xml:space="preserve"> </w:t>
      </w:r>
      <w:r w:rsidR="00CF2A86">
        <w:rPr>
          <w:sz w:val="28"/>
          <w:szCs w:val="28"/>
        </w:rPr>
        <w:t>For as long as the decision to grant him the PTO has not been set aside by a court of law, it shall remain extant</w:t>
      </w:r>
      <w:r w:rsidR="00302076">
        <w:rPr>
          <w:sz w:val="28"/>
          <w:szCs w:val="28"/>
        </w:rPr>
        <w:t>.</w:t>
      </w:r>
      <w:r w:rsidR="00CF2A86">
        <w:rPr>
          <w:sz w:val="28"/>
          <w:szCs w:val="28"/>
        </w:rPr>
        <w:t xml:space="preserve"> </w:t>
      </w:r>
      <w:r w:rsidR="00CB2E5C">
        <w:rPr>
          <w:sz w:val="28"/>
          <w:szCs w:val="28"/>
        </w:rPr>
        <w:t xml:space="preserve">It is palpably clear that the first respondent’s </w:t>
      </w:r>
      <w:r w:rsidR="00753A84">
        <w:rPr>
          <w:sz w:val="28"/>
          <w:szCs w:val="28"/>
        </w:rPr>
        <w:t>counter-</w:t>
      </w:r>
      <w:r w:rsidR="00CB2E5C">
        <w:rPr>
          <w:sz w:val="28"/>
          <w:szCs w:val="28"/>
        </w:rPr>
        <w:t xml:space="preserve">application was flawed, both </w:t>
      </w:r>
      <w:r w:rsidR="00CB2E5C">
        <w:rPr>
          <w:sz w:val="28"/>
          <w:szCs w:val="28"/>
        </w:rPr>
        <w:lastRenderedPageBreak/>
        <w:t xml:space="preserve">procedurally and in substance. The court a </w:t>
      </w:r>
      <w:r w:rsidR="00CB2E5C" w:rsidRPr="00CB2E5C">
        <w:rPr>
          <w:i/>
          <w:iCs/>
          <w:sz w:val="28"/>
          <w:szCs w:val="28"/>
        </w:rPr>
        <w:t>quo</w:t>
      </w:r>
      <w:r w:rsidR="00CB2E5C">
        <w:rPr>
          <w:sz w:val="28"/>
          <w:szCs w:val="28"/>
        </w:rPr>
        <w:t xml:space="preserve"> ought to have found its way clear to dismiss the counter-application</w:t>
      </w:r>
      <w:r w:rsidR="00DC64D1">
        <w:rPr>
          <w:sz w:val="28"/>
          <w:szCs w:val="28"/>
        </w:rPr>
        <w:t xml:space="preserve"> with costs</w:t>
      </w:r>
      <w:r w:rsidR="00CB2E5C">
        <w:rPr>
          <w:sz w:val="28"/>
          <w:szCs w:val="28"/>
        </w:rPr>
        <w:t>.</w:t>
      </w:r>
      <w:r w:rsidR="00302076">
        <w:rPr>
          <w:sz w:val="28"/>
          <w:szCs w:val="28"/>
        </w:rPr>
        <w:t xml:space="preserve"> </w:t>
      </w:r>
    </w:p>
    <w:p w14:paraId="5EA4DAC4" w14:textId="77777777" w:rsidR="00302076" w:rsidRDefault="00302076" w:rsidP="00302076">
      <w:pPr>
        <w:spacing w:line="360" w:lineRule="auto"/>
        <w:jc w:val="both"/>
        <w:rPr>
          <w:sz w:val="28"/>
          <w:szCs w:val="28"/>
        </w:rPr>
      </w:pPr>
    </w:p>
    <w:p w14:paraId="43A30D7E" w14:textId="01335059" w:rsidR="00753A84" w:rsidRPr="00F153A3" w:rsidRDefault="00302076" w:rsidP="00753A84">
      <w:pPr>
        <w:spacing w:line="360" w:lineRule="auto"/>
        <w:jc w:val="both"/>
        <w:rPr>
          <w:sz w:val="28"/>
          <w:szCs w:val="28"/>
          <w:highlight w:val="yellow"/>
        </w:rPr>
      </w:pPr>
      <w:r w:rsidRPr="00F153A3">
        <w:rPr>
          <w:sz w:val="28"/>
          <w:szCs w:val="28"/>
        </w:rPr>
        <w:t>[1</w:t>
      </w:r>
      <w:r w:rsidR="00A72940">
        <w:rPr>
          <w:sz w:val="28"/>
          <w:szCs w:val="28"/>
        </w:rPr>
        <w:t>3</w:t>
      </w:r>
      <w:r w:rsidRPr="00F153A3">
        <w:rPr>
          <w:sz w:val="28"/>
          <w:szCs w:val="28"/>
        </w:rPr>
        <w:t>]</w:t>
      </w:r>
      <w:r w:rsidRPr="00F153A3">
        <w:rPr>
          <w:sz w:val="28"/>
          <w:szCs w:val="28"/>
        </w:rPr>
        <w:tab/>
      </w:r>
      <w:r w:rsidR="00CB2E5C" w:rsidRPr="00F153A3">
        <w:rPr>
          <w:sz w:val="28"/>
          <w:szCs w:val="28"/>
        </w:rPr>
        <w:t>The main application should not have been dismissed.</w:t>
      </w:r>
      <w:r w:rsidR="00B474C0" w:rsidRPr="00F153A3">
        <w:rPr>
          <w:sz w:val="28"/>
          <w:szCs w:val="28"/>
        </w:rPr>
        <w:t xml:space="preserve"> </w:t>
      </w:r>
      <w:r w:rsidR="00753A84" w:rsidRPr="00F153A3">
        <w:rPr>
          <w:sz w:val="28"/>
          <w:szCs w:val="28"/>
        </w:rPr>
        <w:t xml:space="preserve">There is no evidence that the property was allotted to the mother of the appellant and first respondent at any stage. </w:t>
      </w:r>
      <w:r w:rsidR="00CB2E5C" w:rsidRPr="00F153A3">
        <w:rPr>
          <w:sz w:val="28"/>
          <w:szCs w:val="28"/>
        </w:rPr>
        <w:t>T</w:t>
      </w:r>
      <w:r w:rsidR="00B474C0" w:rsidRPr="00F153A3">
        <w:rPr>
          <w:sz w:val="28"/>
          <w:szCs w:val="28"/>
        </w:rPr>
        <w:t xml:space="preserve">he appellant is </w:t>
      </w:r>
      <w:r w:rsidR="009C3450" w:rsidRPr="00F153A3">
        <w:rPr>
          <w:sz w:val="28"/>
          <w:szCs w:val="28"/>
        </w:rPr>
        <w:t xml:space="preserve">the </w:t>
      </w:r>
      <w:r w:rsidR="000D5F0A" w:rsidRPr="00F153A3">
        <w:rPr>
          <w:sz w:val="28"/>
          <w:szCs w:val="28"/>
        </w:rPr>
        <w:t xml:space="preserve">sole </w:t>
      </w:r>
      <w:r w:rsidR="009C3450" w:rsidRPr="00F153A3">
        <w:rPr>
          <w:sz w:val="28"/>
          <w:szCs w:val="28"/>
        </w:rPr>
        <w:t>bearer of occupational rights in terms of the PTO</w:t>
      </w:r>
      <w:r w:rsidR="00B474C0" w:rsidRPr="00F153A3">
        <w:rPr>
          <w:sz w:val="28"/>
          <w:szCs w:val="28"/>
        </w:rPr>
        <w:t>.</w:t>
      </w:r>
      <w:r w:rsidR="000D5F0A" w:rsidRPr="00F153A3">
        <w:rPr>
          <w:sz w:val="28"/>
          <w:szCs w:val="28"/>
        </w:rPr>
        <w:t xml:space="preserve"> The PTO was not issued under </w:t>
      </w:r>
      <w:r w:rsidR="00434F40" w:rsidRPr="00F153A3">
        <w:rPr>
          <w:sz w:val="28"/>
          <w:szCs w:val="28"/>
        </w:rPr>
        <w:t>the</w:t>
      </w:r>
      <w:r w:rsidR="000D5F0A" w:rsidRPr="00F153A3">
        <w:rPr>
          <w:sz w:val="28"/>
          <w:szCs w:val="28"/>
        </w:rPr>
        <w:t xml:space="preserve"> condition that the occupational right</w:t>
      </w:r>
      <w:r w:rsidR="006B78AC" w:rsidRPr="00F153A3">
        <w:rPr>
          <w:sz w:val="28"/>
          <w:szCs w:val="28"/>
        </w:rPr>
        <w:t xml:space="preserve">s </w:t>
      </w:r>
      <w:r w:rsidR="000D5F0A" w:rsidRPr="00F153A3">
        <w:rPr>
          <w:sz w:val="28"/>
          <w:szCs w:val="28"/>
        </w:rPr>
        <w:t xml:space="preserve">of the property </w:t>
      </w:r>
      <w:r w:rsidR="006B78AC" w:rsidRPr="00F153A3">
        <w:rPr>
          <w:sz w:val="28"/>
          <w:szCs w:val="28"/>
        </w:rPr>
        <w:t>be</w:t>
      </w:r>
      <w:r w:rsidR="000D5F0A" w:rsidRPr="00F153A3">
        <w:rPr>
          <w:sz w:val="28"/>
          <w:szCs w:val="28"/>
        </w:rPr>
        <w:t xml:space="preserve"> extended to the siblings of the appellant.</w:t>
      </w:r>
      <w:r w:rsidR="00753A84" w:rsidRPr="00F153A3">
        <w:rPr>
          <w:sz w:val="28"/>
          <w:szCs w:val="28"/>
        </w:rPr>
        <w:t xml:space="preserve">  </w:t>
      </w:r>
      <w:r w:rsidR="000D5F0A" w:rsidRPr="00F153A3">
        <w:rPr>
          <w:sz w:val="28"/>
          <w:szCs w:val="28"/>
        </w:rPr>
        <w:t xml:space="preserve"> </w:t>
      </w:r>
    </w:p>
    <w:p w14:paraId="382553A6" w14:textId="26382A2F" w:rsidR="0054247B" w:rsidRPr="00F153A3" w:rsidRDefault="0054247B" w:rsidP="0054247B">
      <w:pPr>
        <w:spacing w:line="360" w:lineRule="auto"/>
        <w:jc w:val="both"/>
        <w:rPr>
          <w:sz w:val="28"/>
          <w:szCs w:val="28"/>
          <w:highlight w:val="yellow"/>
        </w:rPr>
      </w:pPr>
    </w:p>
    <w:p w14:paraId="6B77B96A" w14:textId="19BE474D" w:rsidR="00302076" w:rsidRPr="00F153A3" w:rsidRDefault="00302076" w:rsidP="00A72940">
      <w:pPr>
        <w:spacing w:line="360" w:lineRule="auto"/>
      </w:pPr>
      <w:r w:rsidRPr="00F153A3">
        <w:rPr>
          <w:bCs/>
          <w:sz w:val="28"/>
          <w:szCs w:val="28"/>
        </w:rPr>
        <w:t>[1</w:t>
      </w:r>
      <w:r w:rsidR="00A72940">
        <w:rPr>
          <w:bCs/>
          <w:sz w:val="28"/>
          <w:szCs w:val="28"/>
        </w:rPr>
        <w:t>4</w:t>
      </w:r>
      <w:r w:rsidRPr="00F153A3">
        <w:rPr>
          <w:bCs/>
          <w:sz w:val="28"/>
          <w:szCs w:val="28"/>
        </w:rPr>
        <w:t xml:space="preserve">]  </w:t>
      </w:r>
      <w:r w:rsidR="006D4A6E" w:rsidRPr="00F153A3">
        <w:rPr>
          <w:bCs/>
          <w:sz w:val="28"/>
          <w:szCs w:val="28"/>
        </w:rPr>
        <w:t xml:space="preserve"> </w:t>
      </w:r>
      <w:r w:rsidR="00AF40DC" w:rsidRPr="00F153A3">
        <w:rPr>
          <w:bCs/>
          <w:sz w:val="28"/>
          <w:szCs w:val="28"/>
        </w:rPr>
        <w:t>On the foregoing</w:t>
      </w:r>
      <w:r w:rsidRPr="00F153A3">
        <w:rPr>
          <w:bCs/>
          <w:sz w:val="28"/>
          <w:szCs w:val="28"/>
        </w:rPr>
        <w:t xml:space="preserve">, the first respondent’s claim that the property is the common home and, by extension, the PTO is invalid as the appellant obtained it without her consent does not trump the appellant’s rights to occupy the property exclusively from her. That being the case, the court </w:t>
      </w:r>
      <w:r w:rsidRPr="00F153A3">
        <w:rPr>
          <w:bCs/>
          <w:i/>
          <w:iCs/>
          <w:sz w:val="28"/>
          <w:szCs w:val="28"/>
        </w:rPr>
        <w:t>a quo</w:t>
      </w:r>
      <w:r w:rsidRPr="00F153A3">
        <w:rPr>
          <w:bCs/>
          <w:sz w:val="28"/>
          <w:szCs w:val="28"/>
        </w:rPr>
        <w:t xml:space="preserve"> erred in finding that the appellant did not have a right to evict the first respondent even if he did so within the terms of the law. </w:t>
      </w:r>
    </w:p>
    <w:p w14:paraId="6B1102F4" w14:textId="77777777" w:rsidR="004E2830" w:rsidRPr="00F153A3" w:rsidRDefault="004E2830" w:rsidP="00A72940">
      <w:pPr>
        <w:spacing w:line="360" w:lineRule="auto"/>
        <w:jc w:val="both"/>
        <w:rPr>
          <w:bCs/>
          <w:sz w:val="28"/>
          <w:szCs w:val="28"/>
          <w:highlight w:val="yellow"/>
        </w:rPr>
      </w:pPr>
    </w:p>
    <w:p w14:paraId="06AB369E" w14:textId="77777777" w:rsidR="00AF0650" w:rsidRPr="00F153A3" w:rsidRDefault="00302076" w:rsidP="00A72940">
      <w:pPr>
        <w:spacing w:line="360" w:lineRule="auto"/>
        <w:jc w:val="both"/>
        <w:rPr>
          <w:b/>
          <w:sz w:val="28"/>
          <w:szCs w:val="28"/>
        </w:rPr>
      </w:pPr>
      <w:r w:rsidRPr="00F153A3">
        <w:rPr>
          <w:b/>
          <w:sz w:val="28"/>
          <w:szCs w:val="28"/>
        </w:rPr>
        <w:t>Eviction:</w:t>
      </w:r>
    </w:p>
    <w:p w14:paraId="7DE1847E" w14:textId="251B3054" w:rsidR="007D223F" w:rsidRPr="003621AE" w:rsidRDefault="00302076" w:rsidP="00A72940">
      <w:pPr>
        <w:spacing w:line="360" w:lineRule="auto"/>
        <w:outlineLvl w:val="1"/>
        <w:rPr>
          <w:color w:val="64473A"/>
          <w:sz w:val="28"/>
          <w:szCs w:val="28"/>
          <w:lang w:eastAsia="en-GB"/>
        </w:rPr>
      </w:pPr>
      <w:r w:rsidRPr="003621AE">
        <w:rPr>
          <w:sz w:val="28"/>
          <w:szCs w:val="28"/>
        </w:rPr>
        <w:t>[1</w:t>
      </w:r>
      <w:r w:rsidR="00A72940">
        <w:rPr>
          <w:sz w:val="28"/>
          <w:szCs w:val="28"/>
        </w:rPr>
        <w:t>5</w:t>
      </w:r>
      <w:r w:rsidRPr="003621AE">
        <w:rPr>
          <w:sz w:val="28"/>
          <w:szCs w:val="28"/>
        </w:rPr>
        <w:t>]</w:t>
      </w:r>
      <w:r w:rsidRPr="003621AE">
        <w:rPr>
          <w:sz w:val="28"/>
          <w:szCs w:val="28"/>
        </w:rPr>
        <w:tab/>
      </w:r>
      <w:r w:rsidR="007D223F" w:rsidRPr="003621AE">
        <w:rPr>
          <w:color w:val="242121"/>
          <w:sz w:val="28"/>
          <w:szCs w:val="28"/>
          <w:lang w:eastAsia="en-GB"/>
        </w:rPr>
        <w:t xml:space="preserve">The statements made by Lowe J (with Mlomzale AJ concurring) in </w:t>
      </w:r>
      <w:r w:rsidR="00FD49B4" w:rsidRPr="000C33CD">
        <w:rPr>
          <w:i/>
          <w:iCs/>
          <w:color w:val="000000" w:themeColor="text1"/>
          <w:sz w:val="28"/>
          <w:szCs w:val="28"/>
          <w:lang w:eastAsia="en-GB"/>
        </w:rPr>
        <w:t>Ndabankulu v Ndabankulu</w:t>
      </w:r>
      <w:r w:rsidR="004B6DBC" w:rsidRPr="003621AE">
        <w:rPr>
          <w:rStyle w:val="FootnoteReference"/>
          <w:color w:val="000000" w:themeColor="text1"/>
          <w:sz w:val="28"/>
          <w:szCs w:val="28"/>
          <w:lang w:eastAsia="en-GB"/>
        </w:rPr>
        <w:footnoteReference w:id="5"/>
      </w:r>
      <w:r w:rsidR="00FD49B4" w:rsidRPr="003621AE">
        <w:rPr>
          <w:color w:val="000000" w:themeColor="text1"/>
          <w:sz w:val="28"/>
          <w:szCs w:val="28"/>
          <w:lang w:eastAsia="en-GB"/>
        </w:rPr>
        <w:t xml:space="preserve"> </w:t>
      </w:r>
      <w:r w:rsidR="007D223F" w:rsidRPr="003621AE">
        <w:rPr>
          <w:color w:val="242121"/>
          <w:sz w:val="28"/>
          <w:szCs w:val="28"/>
          <w:lang w:eastAsia="en-GB"/>
        </w:rPr>
        <w:t xml:space="preserve">para [13] depict the current state of the law. The following was said: </w:t>
      </w:r>
    </w:p>
    <w:p w14:paraId="2102F614" w14:textId="25AA85A4" w:rsidR="007D223F" w:rsidRPr="003621AE" w:rsidRDefault="007D223F" w:rsidP="007D223F">
      <w:pPr>
        <w:spacing w:before="144" w:line="360" w:lineRule="atLeast"/>
        <w:rPr>
          <w:color w:val="242121"/>
          <w:lang w:eastAsia="en-GB"/>
        </w:rPr>
      </w:pPr>
      <w:r w:rsidRPr="003621AE">
        <w:rPr>
          <w:color w:val="242121"/>
          <w:lang w:eastAsia="en-GB"/>
        </w:rPr>
        <w:t>‘ Erasmus </w:t>
      </w:r>
      <w:r w:rsidRPr="003621AE">
        <w:rPr>
          <w:i/>
          <w:iCs/>
          <w:color w:val="242121"/>
          <w:lang w:eastAsia="en-GB"/>
        </w:rPr>
        <w:t>Superior Court Practice, </w:t>
      </w:r>
      <w:r w:rsidRPr="003621AE">
        <w:rPr>
          <w:color w:val="242121"/>
          <w:lang w:eastAsia="en-GB"/>
        </w:rPr>
        <w:t>Eviction under PIE</w:t>
      </w:r>
      <w:r w:rsidR="009C04F5" w:rsidRPr="003621AE">
        <w:rPr>
          <w:color w:val="242121"/>
          <w:lang w:eastAsia="en-GB"/>
        </w:rPr>
        <w:t xml:space="preserve"> </w:t>
      </w:r>
      <w:r w:rsidRPr="003621AE">
        <w:rPr>
          <w:color w:val="242121"/>
          <w:lang w:eastAsia="en-GB"/>
        </w:rPr>
        <w:t>sets out the purpose and effect of PIE relevant to this matter as follows:</w:t>
      </w:r>
    </w:p>
    <w:p w14:paraId="09A731B7" w14:textId="65AA9393" w:rsidR="007D223F" w:rsidRPr="00F153A3" w:rsidRDefault="007D223F" w:rsidP="007D223F">
      <w:pPr>
        <w:spacing w:before="144" w:line="360" w:lineRule="atLeast"/>
        <w:ind w:left="709"/>
        <w:rPr>
          <w:color w:val="242121"/>
          <w:sz w:val="22"/>
          <w:szCs w:val="22"/>
          <w:lang w:eastAsia="en-GB"/>
        </w:rPr>
      </w:pPr>
      <w:r w:rsidRPr="00F153A3">
        <w:rPr>
          <w:color w:val="242121"/>
          <w:sz w:val="22"/>
          <w:szCs w:val="22"/>
          <w:lang w:eastAsia="en-GB"/>
        </w:rPr>
        <w:t>“The Prevention of Illegal Eviction from and Unlawful Occupation of Land Act 19 of 1998 (‘PIE’), which came into operation on 5 June 1998, provides for procedures for the eviction of unlawful occupiers of land. In </w:t>
      </w:r>
      <w:r w:rsidRPr="00F153A3">
        <w:rPr>
          <w:i/>
          <w:iCs/>
          <w:color w:val="242121"/>
          <w:sz w:val="22"/>
          <w:szCs w:val="22"/>
          <w:lang w:eastAsia="en-GB"/>
        </w:rPr>
        <w:t>Ndlovu v Ngcobo;  Bekker and Bosch v Jika</w:t>
      </w:r>
      <w:r w:rsidR="009C04F5" w:rsidRPr="00F153A3">
        <w:rPr>
          <w:color w:val="242121"/>
          <w:sz w:val="22"/>
          <w:szCs w:val="22"/>
          <w:lang w:eastAsia="en-GB"/>
        </w:rPr>
        <w:t xml:space="preserve"> </w:t>
      </w:r>
      <w:r w:rsidR="009C04F5" w:rsidRPr="00F153A3">
        <w:rPr>
          <w:b/>
          <w:bCs/>
          <w:color w:val="242121"/>
          <w:sz w:val="22"/>
          <w:szCs w:val="22"/>
          <w:lang w:eastAsia="en-GB"/>
        </w:rPr>
        <w:t>[.  ]</w:t>
      </w:r>
      <w:r w:rsidRPr="00F153A3">
        <w:rPr>
          <w:color w:val="242121"/>
          <w:sz w:val="22"/>
          <w:szCs w:val="22"/>
          <w:lang w:eastAsia="en-GB"/>
        </w:rPr>
        <w:t xml:space="preserve"> the Supreme Court of Appeal, in a majority judgment, held that PIE disposed of certain </w:t>
      </w:r>
      <w:r w:rsidRPr="00F153A3">
        <w:rPr>
          <w:color w:val="242121"/>
          <w:sz w:val="22"/>
          <w:szCs w:val="22"/>
          <w:lang w:eastAsia="en-GB"/>
        </w:rPr>
        <w:lastRenderedPageBreak/>
        <w:t>common-law rights relating to eviction.  The majority judgment can be summarized as follows:</w:t>
      </w:r>
    </w:p>
    <w:p w14:paraId="6E2AE1CA" w14:textId="77777777" w:rsidR="007D223F" w:rsidRPr="00F153A3" w:rsidRDefault="007D223F" w:rsidP="007D223F">
      <w:pPr>
        <w:spacing w:before="144" w:line="360" w:lineRule="atLeast"/>
        <w:ind w:left="1418"/>
        <w:rPr>
          <w:color w:val="242121"/>
          <w:sz w:val="22"/>
          <w:szCs w:val="22"/>
          <w:lang w:eastAsia="en-GB"/>
        </w:rPr>
      </w:pPr>
      <w:r w:rsidRPr="00F153A3">
        <w:rPr>
          <w:i/>
          <w:iCs/>
          <w:color w:val="242121"/>
          <w:sz w:val="22"/>
          <w:szCs w:val="22"/>
          <w:lang w:eastAsia="en-GB"/>
        </w:rPr>
        <w:t>(a) </w:t>
      </w:r>
      <w:r w:rsidRPr="00F153A3">
        <w:rPr>
          <w:color w:val="242121"/>
          <w:sz w:val="22"/>
          <w:szCs w:val="22"/>
          <w:lang w:eastAsia="en-GB"/>
        </w:rPr>
        <w:t>PIE has its roots, </w:t>
      </w:r>
      <w:r w:rsidRPr="00F153A3">
        <w:rPr>
          <w:i/>
          <w:iCs/>
          <w:color w:val="242121"/>
          <w:sz w:val="22"/>
          <w:szCs w:val="22"/>
          <w:lang w:eastAsia="en-GB"/>
        </w:rPr>
        <w:t>inter alia</w:t>
      </w:r>
      <w:r w:rsidRPr="00F153A3">
        <w:rPr>
          <w:color w:val="242121"/>
          <w:sz w:val="22"/>
          <w:szCs w:val="22"/>
          <w:lang w:eastAsia="en-GB"/>
        </w:rPr>
        <w:t>, in s 26(3) of the Constitution of the Republic of South Africa, 1996.</w:t>
      </w:r>
    </w:p>
    <w:p w14:paraId="7E24F7F1" w14:textId="600E0A14" w:rsidR="007D223F" w:rsidRPr="009C04F5" w:rsidRDefault="007D223F" w:rsidP="007D223F">
      <w:pPr>
        <w:spacing w:before="144" w:line="360" w:lineRule="atLeast"/>
        <w:ind w:left="1418"/>
        <w:rPr>
          <w:color w:val="242121"/>
          <w:sz w:val="22"/>
          <w:szCs w:val="22"/>
          <w:lang w:eastAsia="en-GB"/>
        </w:rPr>
      </w:pPr>
      <w:r w:rsidRPr="00F153A3">
        <w:rPr>
          <w:i/>
          <w:iCs/>
          <w:color w:val="242121"/>
          <w:sz w:val="22"/>
          <w:szCs w:val="22"/>
          <w:lang w:eastAsia="en-GB"/>
        </w:rPr>
        <w:t>(b) </w:t>
      </w:r>
      <w:r w:rsidRPr="00F153A3">
        <w:rPr>
          <w:color w:val="242121"/>
          <w:sz w:val="22"/>
          <w:szCs w:val="22"/>
          <w:lang w:eastAsia="en-GB"/>
        </w:rPr>
        <w:t>The definition of an unlawful occupier in s 1 of PIE relates to a person who </w:t>
      </w:r>
      <w:r w:rsidRPr="00F153A3">
        <w:rPr>
          <w:i/>
          <w:iCs/>
          <w:color w:val="242121"/>
          <w:sz w:val="22"/>
          <w:szCs w:val="22"/>
          <w:lang w:eastAsia="en-GB"/>
        </w:rPr>
        <w:t>occupies</w:t>
      </w:r>
      <w:r w:rsidRPr="00F153A3">
        <w:rPr>
          <w:color w:val="242121"/>
          <w:sz w:val="22"/>
          <w:szCs w:val="22"/>
          <w:lang w:eastAsia="en-GB"/>
        </w:rPr>
        <w:t> land without the express or tacit consent of the owner or person in charge of such land.  In its ordinary meaning the definition of an unlawful occupier means that PIE applies to all unlawful occupiers, irrespective of whether their occupation of such land was previously lawful…’</w:t>
      </w:r>
    </w:p>
    <w:p w14:paraId="250ACE42" w14:textId="77777777" w:rsidR="007D223F" w:rsidRPr="009C04F5" w:rsidRDefault="007D223F" w:rsidP="00302076">
      <w:pPr>
        <w:spacing w:line="360" w:lineRule="auto"/>
        <w:jc w:val="both"/>
        <w:rPr>
          <w:sz w:val="22"/>
          <w:szCs w:val="22"/>
        </w:rPr>
      </w:pPr>
    </w:p>
    <w:p w14:paraId="715AF521" w14:textId="3C652FE4" w:rsidR="00302076" w:rsidRDefault="009C04F5" w:rsidP="00302076">
      <w:pPr>
        <w:spacing w:line="360" w:lineRule="auto"/>
        <w:jc w:val="both"/>
        <w:rPr>
          <w:sz w:val="28"/>
          <w:szCs w:val="28"/>
        </w:rPr>
      </w:pPr>
      <w:r>
        <w:rPr>
          <w:sz w:val="28"/>
          <w:szCs w:val="28"/>
        </w:rPr>
        <w:t>[1</w:t>
      </w:r>
      <w:r w:rsidR="00A72940">
        <w:rPr>
          <w:sz w:val="28"/>
          <w:szCs w:val="28"/>
        </w:rPr>
        <w:t>6</w:t>
      </w:r>
      <w:r>
        <w:rPr>
          <w:sz w:val="28"/>
          <w:szCs w:val="28"/>
        </w:rPr>
        <w:t xml:space="preserve">]  </w:t>
      </w:r>
      <w:r w:rsidR="00302076">
        <w:rPr>
          <w:sz w:val="28"/>
          <w:szCs w:val="28"/>
        </w:rPr>
        <w:t>Although the first respondent is an unlawful occupier</w:t>
      </w:r>
      <w:r w:rsidR="00302076">
        <w:rPr>
          <w:rStyle w:val="FootnoteReference"/>
          <w:sz w:val="28"/>
          <w:szCs w:val="28"/>
        </w:rPr>
        <w:footnoteReference w:id="6"/>
      </w:r>
      <w:r w:rsidR="00302076">
        <w:rPr>
          <w:sz w:val="28"/>
          <w:szCs w:val="28"/>
        </w:rPr>
        <w:t xml:space="preserve"> of the property, her eviction remains a constitutional issue that is regulated in terms of s 26(3) of the Constitution Act, 1996, which provides as follows:</w:t>
      </w:r>
    </w:p>
    <w:p w14:paraId="497AF9DC" w14:textId="77777777" w:rsidR="00302076" w:rsidRDefault="00302076" w:rsidP="00302076">
      <w:pPr>
        <w:ind w:left="709"/>
        <w:jc w:val="both"/>
        <w:rPr>
          <w:bCs/>
        </w:rPr>
      </w:pPr>
      <w:r w:rsidRPr="004A7CB7">
        <w:rPr>
          <w:bCs/>
        </w:rPr>
        <w:t>“</w:t>
      </w:r>
      <w:r>
        <w:rPr>
          <w:bCs/>
        </w:rPr>
        <w:t>No one may be evicted from their home, or have their home demolished, without an order of court made after considering all the relevant circumstances.  No legislation may permit arbitrary evictions.”</w:t>
      </w:r>
    </w:p>
    <w:p w14:paraId="0DD044F7" w14:textId="77777777" w:rsidR="00302076" w:rsidRDefault="00302076" w:rsidP="00302076">
      <w:pPr>
        <w:spacing w:line="360" w:lineRule="auto"/>
        <w:jc w:val="both"/>
        <w:rPr>
          <w:sz w:val="28"/>
          <w:szCs w:val="28"/>
        </w:rPr>
      </w:pPr>
    </w:p>
    <w:p w14:paraId="09F27B9E" w14:textId="77777777" w:rsidR="00302076" w:rsidRDefault="00302076" w:rsidP="00302076">
      <w:pPr>
        <w:spacing w:line="360" w:lineRule="auto"/>
        <w:jc w:val="both"/>
        <w:rPr>
          <w:sz w:val="28"/>
          <w:szCs w:val="28"/>
        </w:rPr>
      </w:pPr>
      <w:r>
        <w:rPr>
          <w:sz w:val="28"/>
          <w:szCs w:val="28"/>
        </w:rPr>
        <w:t>Section 4(7) of PIE</w:t>
      </w:r>
      <w:r>
        <w:rPr>
          <w:rStyle w:val="FootnoteReference"/>
          <w:sz w:val="28"/>
          <w:szCs w:val="28"/>
        </w:rPr>
        <w:footnoteReference w:id="7"/>
      </w:r>
      <w:r>
        <w:rPr>
          <w:sz w:val="28"/>
          <w:szCs w:val="28"/>
        </w:rPr>
        <w:t xml:space="preserve"> gives effect to the provisions of s 26(3) as it was stated in </w:t>
      </w:r>
      <w:r>
        <w:rPr>
          <w:i/>
          <w:sz w:val="28"/>
          <w:szCs w:val="28"/>
        </w:rPr>
        <w:t>Malan v City of Cape Town</w:t>
      </w:r>
      <w:r>
        <w:rPr>
          <w:rStyle w:val="FootnoteReference"/>
          <w:i/>
          <w:sz w:val="28"/>
          <w:szCs w:val="28"/>
        </w:rPr>
        <w:footnoteReference w:id="8"/>
      </w:r>
      <w:r>
        <w:rPr>
          <w:sz w:val="28"/>
          <w:szCs w:val="28"/>
        </w:rPr>
        <w:t xml:space="preserve"> para 83 in the following terms:</w:t>
      </w:r>
    </w:p>
    <w:p w14:paraId="367D259B" w14:textId="77777777" w:rsidR="00302076" w:rsidRDefault="00302076" w:rsidP="00302076">
      <w:pPr>
        <w:ind w:left="709"/>
        <w:jc w:val="both"/>
        <w:rPr>
          <w:bCs/>
        </w:rPr>
      </w:pPr>
      <w:r w:rsidRPr="004A7CB7">
        <w:rPr>
          <w:bCs/>
        </w:rPr>
        <w:t>“</w:t>
      </w:r>
      <w:r>
        <w:rPr>
          <w:bCs/>
        </w:rPr>
        <w:t>PIE in accordance with section 26(3) of the Constitution, requires a court to balance the opposing interests of landowners and occupiers.  What is just and equitable therefore bears consideration in respect of both parties.  Factors including fairness, social values and the implications of the eviction have to be considered.”</w:t>
      </w:r>
    </w:p>
    <w:p w14:paraId="7A18708A" w14:textId="77777777" w:rsidR="00302076" w:rsidRDefault="00302076" w:rsidP="00302076">
      <w:pPr>
        <w:spacing w:line="360" w:lineRule="auto"/>
        <w:jc w:val="both"/>
        <w:rPr>
          <w:color w:val="FF0000"/>
          <w:sz w:val="28"/>
          <w:szCs w:val="28"/>
        </w:rPr>
      </w:pPr>
    </w:p>
    <w:p w14:paraId="16A2580B" w14:textId="235CEACC" w:rsidR="00302076" w:rsidRPr="00DB69BF" w:rsidRDefault="00302076" w:rsidP="00302076">
      <w:pPr>
        <w:spacing w:line="360" w:lineRule="auto"/>
        <w:jc w:val="both"/>
        <w:rPr>
          <w:i/>
          <w:color w:val="000000" w:themeColor="text1"/>
          <w:sz w:val="28"/>
          <w:szCs w:val="28"/>
        </w:rPr>
      </w:pPr>
      <w:r>
        <w:rPr>
          <w:color w:val="000000" w:themeColor="text1"/>
          <w:sz w:val="28"/>
          <w:szCs w:val="28"/>
        </w:rPr>
        <w:t>[1</w:t>
      </w:r>
      <w:r w:rsidR="00A72940">
        <w:rPr>
          <w:color w:val="000000" w:themeColor="text1"/>
          <w:sz w:val="28"/>
          <w:szCs w:val="28"/>
        </w:rPr>
        <w:t>7</w:t>
      </w:r>
      <w:r>
        <w:rPr>
          <w:color w:val="000000" w:themeColor="text1"/>
          <w:sz w:val="28"/>
          <w:szCs w:val="28"/>
        </w:rPr>
        <w:t>]</w:t>
      </w:r>
      <w:r>
        <w:rPr>
          <w:color w:val="000000" w:themeColor="text1"/>
          <w:sz w:val="28"/>
          <w:szCs w:val="28"/>
        </w:rPr>
        <w:tab/>
        <w:t xml:space="preserve">In this case, the common cause facts are that the fourth respondent does not have an alternative accommodation to offer. In any event, the first </w:t>
      </w:r>
      <w:r>
        <w:rPr>
          <w:color w:val="000000" w:themeColor="text1"/>
          <w:sz w:val="28"/>
          <w:szCs w:val="28"/>
        </w:rPr>
        <w:lastRenderedPageBreak/>
        <w:t xml:space="preserve">respondent is not a poor citizen, and she is not in dire need of housing.  She has her residential property for which she holds a PTO that was issued to her by the third respondent on 05 August 2009.  </w:t>
      </w:r>
      <w:r>
        <w:rPr>
          <w:sz w:val="28"/>
          <w:szCs w:val="28"/>
        </w:rPr>
        <w:t xml:space="preserve">In addition, an alternative accommodation ready for her to occupy was offered by the appellant.  She flatly refused that offer.  </w:t>
      </w:r>
      <w:r w:rsidRPr="00DB69BF">
        <w:rPr>
          <w:color w:val="000000" w:themeColor="text1"/>
          <w:sz w:val="28"/>
          <w:szCs w:val="28"/>
        </w:rPr>
        <w:t xml:space="preserve">In </w:t>
      </w:r>
      <w:r w:rsidRPr="00DB69BF">
        <w:rPr>
          <w:i/>
          <w:color w:val="000000" w:themeColor="text1"/>
          <w:sz w:val="28"/>
          <w:szCs w:val="28"/>
        </w:rPr>
        <w:t>Grobler v Phillips and Others</w:t>
      </w:r>
      <w:r>
        <w:rPr>
          <w:rStyle w:val="FootnoteReference"/>
          <w:i/>
          <w:color w:val="000000" w:themeColor="text1"/>
          <w:sz w:val="28"/>
          <w:szCs w:val="28"/>
        </w:rPr>
        <w:footnoteReference w:id="9"/>
      </w:r>
      <w:r w:rsidRPr="00DB69BF">
        <w:rPr>
          <w:color w:val="000000" w:themeColor="text1"/>
          <w:sz w:val="28"/>
          <w:szCs w:val="28"/>
        </w:rPr>
        <w:t xml:space="preserve"> factor</w:t>
      </w:r>
      <w:r>
        <w:rPr>
          <w:color w:val="000000" w:themeColor="text1"/>
          <w:sz w:val="28"/>
          <w:szCs w:val="28"/>
        </w:rPr>
        <w:t>s</w:t>
      </w:r>
      <w:r w:rsidRPr="00DB69BF">
        <w:rPr>
          <w:color w:val="000000" w:themeColor="text1"/>
          <w:sz w:val="28"/>
          <w:szCs w:val="28"/>
        </w:rPr>
        <w:t xml:space="preserve"> taken into account towards the decision to evict an elderly Mrs Phillips (aged 85 years) and her physically disabled son from Mr Grobler’s residential property were, </w:t>
      </w:r>
      <w:r w:rsidRPr="00DB69BF">
        <w:rPr>
          <w:i/>
          <w:color w:val="000000" w:themeColor="text1"/>
          <w:sz w:val="28"/>
          <w:szCs w:val="28"/>
        </w:rPr>
        <w:t>inter alia</w:t>
      </w:r>
      <w:r w:rsidRPr="00DB69BF">
        <w:rPr>
          <w:color w:val="000000" w:themeColor="text1"/>
          <w:sz w:val="28"/>
          <w:szCs w:val="28"/>
        </w:rPr>
        <w:t>, that since an alternative accommodation would be provided by Mr Grobler at his cost, the personal preference expressed by Mrs Phillips to remain into the property from which she was sought to be evicted was not a relevant consideration under s</w:t>
      </w:r>
      <w:r>
        <w:rPr>
          <w:color w:val="000000" w:themeColor="text1"/>
          <w:sz w:val="28"/>
          <w:szCs w:val="28"/>
        </w:rPr>
        <w:t xml:space="preserve"> </w:t>
      </w:r>
      <w:r w:rsidRPr="00DB69BF">
        <w:rPr>
          <w:color w:val="000000" w:themeColor="text1"/>
          <w:sz w:val="28"/>
          <w:szCs w:val="28"/>
        </w:rPr>
        <w:t xml:space="preserve">4(7) of </w:t>
      </w:r>
      <w:r>
        <w:rPr>
          <w:color w:val="000000" w:themeColor="text1"/>
          <w:sz w:val="28"/>
          <w:szCs w:val="28"/>
        </w:rPr>
        <w:t xml:space="preserve">PIE.  The Constitutional Court </w:t>
      </w:r>
      <w:r w:rsidR="004678AD">
        <w:rPr>
          <w:color w:val="000000" w:themeColor="text1"/>
          <w:sz w:val="28"/>
          <w:szCs w:val="28"/>
        </w:rPr>
        <w:t>stated</w:t>
      </w:r>
      <w:r>
        <w:rPr>
          <w:color w:val="000000" w:themeColor="text1"/>
          <w:sz w:val="28"/>
          <w:szCs w:val="28"/>
        </w:rPr>
        <w:t xml:space="preserve"> at para 36 as follows:</w:t>
      </w:r>
    </w:p>
    <w:p w14:paraId="6D1865DA" w14:textId="77777777" w:rsidR="00302076" w:rsidRPr="00803661" w:rsidRDefault="00302076" w:rsidP="00302076">
      <w:pPr>
        <w:ind w:left="709"/>
        <w:jc w:val="both"/>
        <w:rPr>
          <w:color w:val="242121"/>
          <w:lang w:eastAsia="en-GB"/>
        </w:rPr>
      </w:pPr>
      <w:r w:rsidRPr="00DB69BF">
        <w:rPr>
          <w:bCs/>
          <w:color w:val="000000" w:themeColor="text1"/>
        </w:rPr>
        <w:t>“</w:t>
      </w:r>
      <w:r w:rsidRPr="00803661">
        <w:rPr>
          <w:color w:val="242121"/>
          <w:lang w:eastAsia="en-GB"/>
        </w:rPr>
        <w:t>The question whether the constitutional rights of the unlawful occupier are affected by the eviction is one of the relevant considerations, but the wishes or personal preferences of the unlawful occupier are not relevant. An unlawful occupier such as Mrs Phillips does not have a right to refuse to be evicted on the basis that she prefers or wishes to remain in the property that she is occupying unlawfully. In terms of section 26 of the Constitution, everyone has the right to have access to adequate housing. The Constitution does not give Mrs Phillips the right to choose exactly where in Somerset West she wants to live.</w:t>
      </w:r>
      <w:r>
        <w:rPr>
          <w:color w:val="242121"/>
          <w:lang w:eastAsia="en-GB"/>
        </w:rPr>
        <w:t>”</w:t>
      </w:r>
    </w:p>
    <w:p w14:paraId="5C083D73" w14:textId="77777777" w:rsidR="00302076" w:rsidRDefault="00302076" w:rsidP="00302076">
      <w:pPr>
        <w:spacing w:line="360" w:lineRule="auto"/>
        <w:jc w:val="both"/>
        <w:rPr>
          <w:sz w:val="28"/>
          <w:szCs w:val="28"/>
        </w:rPr>
      </w:pPr>
    </w:p>
    <w:p w14:paraId="432A5C23" w14:textId="5E0A9AE6" w:rsidR="00302076" w:rsidRDefault="00302076" w:rsidP="00302076">
      <w:pPr>
        <w:spacing w:line="360" w:lineRule="auto"/>
        <w:jc w:val="both"/>
        <w:rPr>
          <w:sz w:val="28"/>
          <w:szCs w:val="28"/>
        </w:rPr>
      </w:pPr>
      <w:r>
        <w:rPr>
          <w:sz w:val="28"/>
          <w:szCs w:val="28"/>
        </w:rPr>
        <w:t>[1</w:t>
      </w:r>
      <w:r w:rsidR="00A72940">
        <w:rPr>
          <w:sz w:val="28"/>
          <w:szCs w:val="28"/>
        </w:rPr>
        <w:t>8</w:t>
      </w:r>
      <w:r>
        <w:rPr>
          <w:sz w:val="28"/>
          <w:szCs w:val="28"/>
        </w:rPr>
        <w:t>]</w:t>
      </w:r>
      <w:r>
        <w:rPr>
          <w:sz w:val="28"/>
          <w:szCs w:val="28"/>
        </w:rPr>
        <w:tab/>
        <w:t xml:space="preserve">As in </w:t>
      </w:r>
      <w:r>
        <w:rPr>
          <w:i/>
          <w:sz w:val="28"/>
          <w:szCs w:val="28"/>
        </w:rPr>
        <w:t>Grobler,</w:t>
      </w:r>
      <w:r>
        <w:rPr>
          <w:sz w:val="28"/>
          <w:szCs w:val="28"/>
        </w:rPr>
        <w:t xml:space="preserve"> it seems to me that the first respondent’s reason for rejecting the offer of an alternative accommodation had to do with her preference to remain in the appellant’s property </w:t>
      </w:r>
      <w:r w:rsidR="00D81242">
        <w:rPr>
          <w:sz w:val="28"/>
          <w:szCs w:val="28"/>
        </w:rPr>
        <w:t>which</w:t>
      </w:r>
      <w:r>
        <w:rPr>
          <w:sz w:val="28"/>
          <w:szCs w:val="28"/>
        </w:rPr>
        <w:t xml:space="preserve"> she regards as a common home.   In the absence of prejudice to her, it will be just and equitable to evict the first respondent from the appellant’s property.  This Court was advised that a 90 days’ notice of eviction will be adequate in the event of the appeal being dismissed.</w:t>
      </w:r>
    </w:p>
    <w:p w14:paraId="73FE374E" w14:textId="77777777" w:rsidR="00FC26F1" w:rsidRDefault="00FC26F1" w:rsidP="00302076">
      <w:pPr>
        <w:spacing w:line="360" w:lineRule="auto"/>
        <w:jc w:val="both"/>
        <w:rPr>
          <w:sz w:val="28"/>
          <w:szCs w:val="28"/>
        </w:rPr>
      </w:pPr>
    </w:p>
    <w:p w14:paraId="094E840A" w14:textId="6CF410D9" w:rsidR="008328BE" w:rsidRDefault="00FC26F1" w:rsidP="00302076">
      <w:pPr>
        <w:spacing w:line="360" w:lineRule="auto"/>
        <w:jc w:val="both"/>
        <w:rPr>
          <w:sz w:val="28"/>
          <w:szCs w:val="28"/>
          <w:lang w:val="en-US"/>
        </w:rPr>
      </w:pPr>
      <w:r w:rsidRPr="00BB6CB0">
        <w:rPr>
          <w:sz w:val="28"/>
          <w:szCs w:val="28"/>
        </w:rPr>
        <w:lastRenderedPageBreak/>
        <w:t>[1</w:t>
      </w:r>
      <w:r w:rsidR="00A72940">
        <w:rPr>
          <w:sz w:val="28"/>
          <w:szCs w:val="28"/>
        </w:rPr>
        <w:t>9</w:t>
      </w:r>
      <w:r w:rsidRPr="00BB6CB0">
        <w:rPr>
          <w:sz w:val="28"/>
          <w:szCs w:val="28"/>
        </w:rPr>
        <w:t>]</w:t>
      </w:r>
      <w:r w:rsidR="00A72940">
        <w:rPr>
          <w:sz w:val="28"/>
          <w:szCs w:val="28"/>
        </w:rPr>
        <w:tab/>
      </w:r>
      <w:r w:rsidRPr="00BB6CB0">
        <w:rPr>
          <w:sz w:val="28"/>
          <w:szCs w:val="28"/>
          <w:lang w:val="en-US"/>
        </w:rPr>
        <w:t xml:space="preserve">I have read the dissenting </w:t>
      </w:r>
      <w:r w:rsidR="0076076E" w:rsidRPr="00BB6CB0">
        <w:rPr>
          <w:sz w:val="28"/>
          <w:szCs w:val="28"/>
          <w:lang w:val="en-US"/>
        </w:rPr>
        <w:t>judgment</w:t>
      </w:r>
      <w:r w:rsidRPr="00BB6CB0">
        <w:rPr>
          <w:sz w:val="28"/>
          <w:szCs w:val="28"/>
          <w:lang w:val="en-US"/>
        </w:rPr>
        <w:t xml:space="preserve"> penned by Tilana-Mabece AJ. I have noted that the central issue for the dissent is that the majority judgment overlooked the fact that the PTO trenches on “</w:t>
      </w:r>
      <w:r w:rsidR="0033503C">
        <w:rPr>
          <w:sz w:val="28"/>
          <w:szCs w:val="28"/>
          <w:lang w:val="en-US"/>
        </w:rPr>
        <w:t>old</w:t>
      </w:r>
      <w:r w:rsidRPr="00BB6CB0">
        <w:rPr>
          <w:sz w:val="28"/>
          <w:szCs w:val="28"/>
          <w:lang w:val="en-US"/>
        </w:rPr>
        <w:t xml:space="preserve"> order legislation” (the Black Administration Act</w:t>
      </w:r>
      <w:r w:rsidR="0076076E" w:rsidRPr="00BB6CB0">
        <w:rPr>
          <w:sz w:val="28"/>
          <w:szCs w:val="28"/>
          <w:lang w:val="en-US"/>
        </w:rPr>
        <w:t xml:space="preserve"> and the regulations made thereunder</w:t>
      </w:r>
      <w:r w:rsidRPr="00BB6CB0">
        <w:rPr>
          <w:sz w:val="28"/>
          <w:szCs w:val="28"/>
          <w:lang w:val="en-US"/>
        </w:rPr>
        <w:t>)</w:t>
      </w:r>
      <w:r w:rsidR="0076076E" w:rsidRPr="00BB6CB0">
        <w:rPr>
          <w:sz w:val="28"/>
          <w:szCs w:val="28"/>
          <w:lang w:val="en-US"/>
        </w:rPr>
        <w:t>,</w:t>
      </w:r>
      <w:r w:rsidRPr="00BB6CB0">
        <w:rPr>
          <w:sz w:val="28"/>
          <w:szCs w:val="28"/>
          <w:lang w:val="en-US"/>
        </w:rPr>
        <w:t xml:space="preserve"> and that its continued operation is inconsistent with the Constitution. However, this constitutional issue does not arise in this appeal. It also did not arise in the </w:t>
      </w:r>
      <w:r w:rsidRPr="00BB6CB0">
        <w:rPr>
          <w:i/>
          <w:iCs/>
          <w:sz w:val="28"/>
          <w:szCs w:val="28"/>
          <w:lang w:val="en-US"/>
        </w:rPr>
        <w:t>court a quo</w:t>
      </w:r>
      <w:r w:rsidRPr="00BB6CB0">
        <w:rPr>
          <w:sz w:val="28"/>
          <w:szCs w:val="28"/>
          <w:lang w:val="en-US"/>
        </w:rPr>
        <w:t xml:space="preserve">. The central issue is compliance with s 6 of PAJA, which the </w:t>
      </w:r>
      <w:r w:rsidR="008328BE" w:rsidRPr="00BB6CB0">
        <w:rPr>
          <w:sz w:val="28"/>
          <w:szCs w:val="28"/>
          <w:lang w:val="en-US"/>
        </w:rPr>
        <w:t>dissent</w:t>
      </w:r>
      <w:r w:rsidRPr="00BB6CB0">
        <w:rPr>
          <w:sz w:val="28"/>
          <w:szCs w:val="28"/>
          <w:lang w:val="en-US"/>
        </w:rPr>
        <w:t xml:space="preserve"> acknowledges in para</w:t>
      </w:r>
      <w:r w:rsidR="008328BE" w:rsidRPr="00BB6CB0">
        <w:rPr>
          <w:sz w:val="28"/>
          <w:szCs w:val="28"/>
          <w:lang w:val="en-US"/>
        </w:rPr>
        <w:t>.</w:t>
      </w:r>
      <w:r w:rsidRPr="00BB6CB0">
        <w:rPr>
          <w:sz w:val="28"/>
          <w:szCs w:val="28"/>
          <w:lang w:val="en-US"/>
        </w:rPr>
        <w:t xml:space="preserve"> </w:t>
      </w:r>
      <w:r w:rsidR="00507594">
        <w:rPr>
          <w:sz w:val="28"/>
          <w:szCs w:val="28"/>
          <w:lang w:val="en-US"/>
        </w:rPr>
        <w:t>4</w:t>
      </w:r>
      <w:r w:rsidR="006E6914">
        <w:rPr>
          <w:sz w:val="28"/>
          <w:szCs w:val="28"/>
          <w:lang w:val="en-US"/>
        </w:rPr>
        <w:t>4</w:t>
      </w:r>
      <w:r w:rsidRPr="00BB6CB0">
        <w:rPr>
          <w:sz w:val="28"/>
          <w:szCs w:val="28"/>
          <w:lang w:val="en-US"/>
        </w:rPr>
        <w:t xml:space="preserve"> as the applicable law to all reviews. It states further that not only did the </w:t>
      </w:r>
      <w:r w:rsidR="0076076E" w:rsidRPr="00BB6CB0">
        <w:rPr>
          <w:sz w:val="28"/>
          <w:szCs w:val="28"/>
          <w:lang w:val="en-US"/>
        </w:rPr>
        <w:t xml:space="preserve">first </w:t>
      </w:r>
      <w:r w:rsidRPr="00BB6CB0">
        <w:rPr>
          <w:sz w:val="28"/>
          <w:szCs w:val="28"/>
          <w:lang w:val="en-US"/>
        </w:rPr>
        <w:t>respondent</w:t>
      </w:r>
      <w:r w:rsidR="008328BE" w:rsidRPr="00BB6CB0">
        <w:rPr>
          <w:sz w:val="28"/>
          <w:szCs w:val="28"/>
          <w:lang w:val="en-US"/>
        </w:rPr>
        <w:t>’</w:t>
      </w:r>
      <w:r w:rsidRPr="00BB6CB0">
        <w:rPr>
          <w:sz w:val="28"/>
          <w:szCs w:val="28"/>
          <w:lang w:val="en-US"/>
        </w:rPr>
        <w:t xml:space="preserve">s counterclaim not </w:t>
      </w:r>
      <w:r w:rsidR="008328BE" w:rsidRPr="00BB6CB0">
        <w:rPr>
          <w:sz w:val="28"/>
          <w:szCs w:val="28"/>
          <w:lang w:val="en-US"/>
        </w:rPr>
        <w:t>plead</w:t>
      </w:r>
      <w:r w:rsidRPr="00BB6CB0">
        <w:rPr>
          <w:sz w:val="28"/>
          <w:szCs w:val="28"/>
          <w:lang w:val="en-US"/>
        </w:rPr>
        <w:t xml:space="preserve"> any of the grounds of review that are listed in s 6 of </w:t>
      </w:r>
      <w:r w:rsidR="008328BE" w:rsidRPr="00BB6CB0">
        <w:rPr>
          <w:sz w:val="28"/>
          <w:szCs w:val="28"/>
          <w:lang w:val="en-US"/>
        </w:rPr>
        <w:t>PAJA</w:t>
      </w:r>
      <w:r w:rsidRPr="00BB6CB0">
        <w:rPr>
          <w:sz w:val="28"/>
          <w:szCs w:val="28"/>
          <w:lang w:val="en-US"/>
        </w:rPr>
        <w:t xml:space="preserve">, but the first respondent failed to serve papers </w:t>
      </w:r>
      <w:r w:rsidR="0076076E" w:rsidRPr="00BB6CB0">
        <w:rPr>
          <w:sz w:val="28"/>
          <w:szCs w:val="28"/>
          <w:lang w:val="en-US"/>
        </w:rPr>
        <w:t>of</w:t>
      </w:r>
      <w:r w:rsidRPr="00BB6CB0">
        <w:rPr>
          <w:sz w:val="28"/>
          <w:szCs w:val="28"/>
          <w:lang w:val="en-US"/>
        </w:rPr>
        <w:t xml:space="preserve"> her counterclaim upon the third respondent.</w:t>
      </w:r>
      <w:r w:rsidRPr="00FC26F1">
        <w:rPr>
          <w:sz w:val="28"/>
          <w:szCs w:val="28"/>
          <w:highlight w:val="yellow"/>
          <w:lang w:val="en-US"/>
        </w:rPr>
        <w:t xml:space="preserve"> </w:t>
      </w:r>
    </w:p>
    <w:p w14:paraId="4D104CE7" w14:textId="77777777" w:rsidR="008328BE" w:rsidRDefault="008328BE" w:rsidP="00302076">
      <w:pPr>
        <w:spacing w:line="360" w:lineRule="auto"/>
        <w:jc w:val="both"/>
        <w:rPr>
          <w:sz w:val="28"/>
          <w:szCs w:val="28"/>
          <w:lang w:val="en-US"/>
        </w:rPr>
      </w:pPr>
    </w:p>
    <w:p w14:paraId="6406A5FD" w14:textId="6FA5E530" w:rsidR="00FC26F1" w:rsidRDefault="008328BE" w:rsidP="00302076">
      <w:pPr>
        <w:spacing w:line="360" w:lineRule="auto"/>
        <w:jc w:val="both"/>
        <w:rPr>
          <w:sz w:val="28"/>
          <w:szCs w:val="28"/>
        </w:rPr>
      </w:pPr>
      <w:r w:rsidRPr="00BB6CB0">
        <w:rPr>
          <w:sz w:val="28"/>
          <w:szCs w:val="28"/>
          <w:lang w:val="en-US"/>
        </w:rPr>
        <w:t>[</w:t>
      </w:r>
      <w:r w:rsidR="00A72940">
        <w:rPr>
          <w:sz w:val="28"/>
          <w:szCs w:val="28"/>
          <w:lang w:val="en-US"/>
        </w:rPr>
        <w:t>20</w:t>
      </w:r>
      <w:r w:rsidRPr="00BB6CB0">
        <w:rPr>
          <w:sz w:val="28"/>
          <w:szCs w:val="28"/>
          <w:lang w:val="en-US"/>
        </w:rPr>
        <w:t xml:space="preserve">] </w:t>
      </w:r>
      <w:r w:rsidR="00307DDA" w:rsidRPr="00BB6CB0">
        <w:rPr>
          <w:sz w:val="28"/>
          <w:szCs w:val="28"/>
          <w:lang w:val="en-US"/>
        </w:rPr>
        <w:t xml:space="preserve">Significantly, </w:t>
      </w:r>
      <w:r w:rsidR="001B5BC0" w:rsidRPr="00BB6CB0">
        <w:rPr>
          <w:sz w:val="28"/>
          <w:szCs w:val="28"/>
          <w:lang w:val="en-US"/>
        </w:rPr>
        <w:t>at paras. 3</w:t>
      </w:r>
      <w:r w:rsidR="006E6914">
        <w:rPr>
          <w:sz w:val="28"/>
          <w:szCs w:val="28"/>
          <w:lang w:val="en-US"/>
        </w:rPr>
        <w:t>8</w:t>
      </w:r>
      <w:r w:rsidR="001B5BC0" w:rsidRPr="00BB6CB0">
        <w:rPr>
          <w:sz w:val="28"/>
          <w:szCs w:val="28"/>
          <w:lang w:val="en-US"/>
        </w:rPr>
        <w:t xml:space="preserve"> and 3</w:t>
      </w:r>
      <w:r w:rsidR="006E6914">
        <w:rPr>
          <w:sz w:val="28"/>
          <w:szCs w:val="28"/>
          <w:lang w:val="en-US"/>
        </w:rPr>
        <w:t>9</w:t>
      </w:r>
      <w:r w:rsidR="001B5BC0" w:rsidRPr="00BB6CB0">
        <w:rPr>
          <w:sz w:val="28"/>
          <w:szCs w:val="28"/>
          <w:lang w:val="en-US"/>
        </w:rPr>
        <w:t xml:space="preserve"> of </w:t>
      </w:r>
      <w:r w:rsidR="00307DDA" w:rsidRPr="00BB6CB0">
        <w:rPr>
          <w:sz w:val="28"/>
          <w:szCs w:val="28"/>
          <w:lang w:val="en-US"/>
        </w:rPr>
        <w:t>the minority judgment</w:t>
      </w:r>
      <w:r w:rsidRPr="00BB6CB0">
        <w:rPr>
          <w:sz w:val="28"/>
          <w:szCs w:val="28"/>
          <w:lang w:val="en-US"/>
        </w:rPr>
        <w:t xml:space="preserve"> the legal principle</w:t>
      </w:r>
      <w:r w:rsidR="001B5BC0" w:rsidRPr="00BB6CB0">
        <w:rPr>
          <w:sz w:val="28"/>
          <w:szCs w:val="28"/>
          <w:lang w:val="en-US"/>
        </w:rPr>
        <w:t>s</w:t>
      </w:r>
      <w:r w:rsidRPr="00BB6CB0">
        <w:rPr>
          <w:sz w:val="28"/>
          <w:szCs w:val="28"/>
          <w:lang w:val="en-US"/>
        </w:rPr>
        <w:t xml:space="preserve"> </w:t>
      </w:r>
      <w:r w:rsidR="001B5BC0" w:rsidRPr="00BB6CB0">
        <w:rPr>
          <w:sz w:val="28"/>
          <w:szCs w:val="28"/>
          <w:lang w:val="en-US"/>
        </w:rPr>
        <w:t xml:space="preserve">are accepted </w:t>
      </w:r>
      <w:r w:rsidRPr="00BB6CB0">
        <w:rPr>
          <w:sz w:val="28"/>
          <w:szCs w:val="28"/>
          <w:lang w:val="en-US"/>
        </w:rPr>
        <w:t xml:space="preserve">that a PTO is </w:t>
      </w:r>
      <w:r w:rsidR="00BF7A2C" w:rsidRPr="00BB6CB0">
        <w:rPr>
          <w:sz w:val="28"/>
          <w:szCs w:val="28"/>
          <w:lang w:val="en-US"/>
        </w:rPr>
        <w:t>‘</w:t>
      </w:r>
      <w:r w:rsidRPr="00BB6CB0">
        <w:rPr>
          <w:sz w:val="28"/>
          <w:szCs w:val="28"/>
          <w:lang w:val="en-US"/>
        </w:rPr>
        <w:t>only a perpetual right to occupy</w:t>
      </w:r>
      <w:r w:rsidR="00BF7A2C" w:rsidRPr="00BB6CB0">
        <w:rPr>
          <w:sz w:val="28"/>
          <w:szCs w:val="28"/>
          <w:lang w:val="en-US"/>
        </w:rPr>
        <w:t>’</w:t>
      </w:r>
      <w:r w:rsidR="00307DDA" w:rsidRPr="00BB6CB0">
        <w:rPr>
          <w:sz w:val="28"/>
          <w:szCs w:val="28"/>
          <w:lang w:val="en-US"/>
        </w:rPr>
        <w:t xml:space="preserve"> that terminates upon the death of the holder thereof, at which point the land reverts to the tribal authority for a new PTO to be issued to another applicant.</w:t>
      </w:r>
      <w:r w:rsidR="001B5BC0" w:rsidRPr="00BB6CB0">
        <w:rPr>
          <w:sz w:val="28"/>
          <w:szCs w:val="28"/>
          <w:lang w:val="en-US"/>
        </w:rPr>
        <w:t xml:space="preserve"> In light of these principles, it escapes me how it can be said that the appellant </w:t>
      </w:r>
      <w:r w:rsidR="00BF7A2C" w:rsidRPr="00BB6CB0">
        <w:rPr>
          <w:sz w:val="28"/>
          <w:szCs w:val="28"/>
          <w:lang w:val="en-US"/>
        </w:rPr>
        <w:t>‘</w:t>
      </w:r>
      <w:r w:rsidR="001B5BC0" w:rsidRPr="00BB6CB0">
        <w:rPr>
          <w:sz w:val="28"/>
          <w:szCs w:val="28"/>
          <w:lang w:val="en-US"/>
        </w:rPr>
        <w:t xml:space="preserve">lacks </w:t>
      </w:r>
      <w:r w:rsidR="001B5BC0" w:rsidRPr="00BB6CB0">
        <w:rPr>
          <w:i/>
          <w:iCs/>
          <w:sz w:val="28"/>
          <w:szCs w:val="28"/>
          <w:lang w:val="en-US"/>
        </w:rPr>
        <w:t>locus standi</w:t>
      </w:r>
      <w:r w:rsidR="00BF7A2C" w:rsidRPr="00BB6CB0">
        <w:rPr>
          <w:i/>
          <w:iCs/>
          <w:sz w:val="28"/>
          <w:szCs w:val="28"/>
          <w:lang w:val="en-US"/>
        </w:rPr>
        <w:t>’</w:t>
      </w:r>
      <w:r w:rsidR="001B5BC0" w:rsidRPr="00BB6CB0">
        <w:rPr>
          <w:sz w:val="28"/>
          <w:szCs w:val="28"/>
          <w:lang w:val="en-US"/>
        </w:rPr>
        <w:t xml:space="preserve"> to exercise his possessory rights to evict the first respondent from the property. To that extent, I remain convinced that the majority judgment is correct.</w:t>
      </w:r>
    </w:p>
    <w:p w14:paraId="4B1D921E" w14:textId="77777777" w:rsidR="007B3B86" w:rsidRDefault="007B3B86" w:rsidP="00302076">
      <w:pPr>
        <w:spacing w:line="360" w:lineRule="auto"/>
        <w:jc w:val="both"/>
        <w:rPr>
          <w:sz w:val="28"/>
          <w:szCs w:val="28"/>
        </w:rPr>
      </w:pPr>
    </w:p>
    <w:p w14:paraId="487B55D9" w14:textId="22E34B40" w:rsidR="00302076" w:rsidRDefault="00302076" w:rsidP="00302076">
      <w:pPr>
        <w:spacing w:line="360" w:lineRule="auto"/>
        <w:jc w:val="both"/>
        <w:rPr>
          <w:sz w:val="28"/>
          <w:szCs w:val="28"/>
        </w:rPr>
      </w:pPr>
      <w:r>
        <w:rPr>
          <w:sz w:val="28"/>
          <w:szCs w:val="28"/>
        </w:rPr>
        <w:t>[</w:t>
      </w:r>
      <w:r w:rsidR="00A72940">
        <w:rPr>
          <w:sz w:val="28"/>
          <w:szCs w:val="28"/>
        </w:rPr>
        <w:t>2</w:t>
      </w:r>
      <w:r>
        <w:rPr>
          <w:sz w:val="28"/>
          <w:szCs w:val="28"/>
        </w:rPr>
        <w:t>1]</w:t>
      </w:r>
      <w:r>
        <w:rPr>
          <w:sz w:val="28"/>
          <w:szCs w:val="28"/>
        </w:rPr>
        <w:tab/>
        <w:t>Consequently, the appeal must succeed in respect of the main and counter-applications with costs.</w:t>
      </w:r>
    </w:p>
    <w:p w14:paraId="73DAB4F3" w14:textId="77777777" w:rsidR="00A72940" w:rsidRDefault="00A72940" w:rsidP="00302076">
      <w:pPr>
        <w:spacing w:line="360" w:lineRule="auto"/>
        <w:jc w:val="both"/>
        <w:rPr>
          <w:sz w:val="28"/>
          <w:szCs w:val="28"/>
        </w:rPr>
      </w:pPr>
    </w:p>
    <w:p w14:paraId="1B4E7714" w14:textId="698E10AE" w:rsidR="00302076" w:rsidRDefault="00302076" w:rsidP="00302076">
      <w:pPr>
        <w:spacing w:line="360" w:lineRule="auto"/>
        <w:jc w:val="both"/>
        <w:rPr>
          <w:sz w:val="28"/>
          <w:szCs w:val="28"/>
        </w:rPr>
      </w:pPr>
      <w:r>
        <w:rPr>
          <w:sz w:val="28"/>
          <w:szCs w:val="28"/>
        </w:rPr>
        <w:t>[</w:t>
      </w:r>
      <w:r w:rsidR="0076076E">
        <w:rPr>
          <w:sz w:val="28"/>
          <w:szCs w:val="28"/>
        </w:rPr>
        <w:t>2</w:t>
      </w:r>
      <w:r w:rsidR="00A72940">
        <w:rPr>
          <w:sz w:val="28"/>
          <w:szCs w:val="28"/>
        </w:rPr>
        <w:t>2</w:t>
      </w:r>
      <w:r>
        <w:rPr>
          <w:sz w:val="28"/>
          <w:szCs w:val="28"/>
        </w:rPr>
        <w:t>]</w:t>
      </w:r>
      <w:r>
        <w:rPr>
          <w:sz w:val="28"/>
          <w:szCs w:val="28"/>
        </w:rPr>
        <w:tab/>
        <w:t>The following order shall issue:</w:t>
      </w:r>
    </w:p>
    <w:p w14:paraId="31978E52" w14:textId="77777777" w:rsidR="00DC64D1" w:rsidRDefault="00DC64D1" w:rsidP="00DC64D1">
      <w:pPr>
        <w:spacing w:line="360" w:lineRule="auto"/>
        <w:jc w:val="both"/>
        <w:rPr>
          <w:bCs/>
          <w:sz w:val="28"/>
          <w:szCs w:val="28"/>
        </w:rPr>
      </w:pPr>
      <w:r>
        <w:rPr>
          <w:sz w:val="28"/>
          <w:szCs w:val="28"/>
        </w:rPr>
        <w:t>1.</w:t>
      </w:r>
      <w:r>
        <w:rPr>
          <w:sz w:val="28"/>
          <w:szCs w:val="28"/>
        </w:rPr>
        <w:tab/>
      </w:r>
      <w:r w:rsidRPr="00E2374C">
        <w:rPr>
          <w:bCs/>
          <w:sz w:val="28"/>
          <w:szCs w:val="28"/>
        </w:rPr>
        <w:t>The appeal is upheld with costs</w:t>
      </w:r>
      <w:r>
        <w:rPr>
          <w:bCs/>
          <w:sz w:val="28"/>
          <w:szCs w:val="28"/>
        </w:rPr>
        <w:t xml:space="preserve">. </w:t>
      </w:r>
    </w:p>
    <w:p w14:paraId="1E3B9F2E" w14:textId="77777777" w:rsidR="00DC64D1" w:rsidRDefault="00DC64D1" w:rsidP="00DC64D1">
      <w:pPr>
        <w:spacing w:line="360" w:lineRule="auto"/>
        <w:ind w:left="851" w:hanging="851"/>
        <w:jc w:val="both"/>
        <w:rPr>
          <w:sz w:val="28"/>
          <w:szCs w:val="28"/>
        </w:rPr>
      </w:pPr>
      <w:r>
        <w:rPr>
          <w:bCs/>
          <w:sz w:val="28"/>
          <w:szCs w:val="28"/>
        </w:rPr>
        <w:t xml:space="preserve">2.      </w:t>
      </w:r>
      <w:r w:rsidRPr="00760E28">
        <w:rPr>
          <w:sz w:val="28"/>
          <w:szCs w:val="28"/>
        </w:rPr>
        <w:t>The order of the high court is set aside and replaced by the following order:</w:t>
      </w:r>
      <w:r>
        <w:rPr>
          <w:sz w:val="28"/>
          <w:szCs w:val="28"/>
        </w:rPr>
        <w:t xml:space="preserve"> </w:t>
      </w:r>
    </w:p>
    <w:p w14:paraId="705674CF" w14:textId="77777777" w:rsidR="00DC64D1" w:rsidRDefault="00DC64D1" w:rsidP="00DC64D1">
      <w:pPr>
        <w:spacing w:line="360" w:lineRule="auto"/>
        <w:ind w:left="851" w:hanging="142"/>
        <w:jc w:val="both"/>
        <w:rPr>
          <w:sz w:val="28"/>
          <w:szCs w:val="28"/>
        </w:rPr>
      </w:pPr>
      <w:r>
        <w:rPr>
          <w:sz w:val="28"/>
          <w:szCs w:val="28"/>
        </w:rPr>
        <w:lastRenderedPageBreak/>
        <w:t xml:space="preserve">2.1  The main application is granted. </w:t>
      </w:r>
    </w:p>
    <w:p w14:paraId="3FCC25E1" w14:textId="77777777" w:rsidR="00DC64D1" w:rsidRDefault="00DC64D1" w:rsidP="00DC64D1">
      <w:pPr>
        <w:spacing w:line="360" w:lineRule="auto"/>
        <w:ind w:left="851" w:hanging="142"/>
        <w:jc w:val="both"/>
        <w:rPr>
          <w:sz w:val="28"/>
          <w:szCs w:val="28"/>
        </w:rPr>
      </w:pPr>
      <w:r>
        <w:rPr>
          <w:sz w:val="28"/>
          <w:szCs w:val="28"/>
        </w:rPr>
        <w:t>2.2  The counter application is dismissed</w:t>
      </w:r>
    </w:p>
    <w:p w14:paraId="15D60C2C" w14:textId="1C6B929B" w:rsidR="00DC64D1" w:rsidRPr="003E4D6F" w:rsidRDefault="00DC64D1" w:rsidP="00DC64D1">
      <w:pPr>
        <w:spacing w:line="360" w:lineRule="auto"/>
        <w:ind w:left="1440" w:hanging="731"/>
        <w:jc w:val="both"/>
        <w:rPr>
          <w:bCs/>
          <w:sz w:val="28"/>
          <w:szCs w:val="28"/>
        </w:rPr>
      </w:pPr>
      <w:r>
        <w:rPr>
          <w:bCs/>
          <w:sz w:val="28"/>
          <w:szCs w:val="28"/>
        </w:rPr>
        <w:t xml:space="preserve">2.3 </w:t>
      </w:r>
      <w:r w:rsidRPr="003E4D6F">
        <w:rPr>
          <w:bCs/>
          <w:sz w:val="28"/>
          <w:szCs w:val="28"/>
        </w:rPr>
        <w:t xml:space="preserve">The </w:t>
      </w:r>
      <w:r w:rsidRPr="003E4D6F">
        <w:rPr>
          <w:bCs/>
          <w:sz w:val="28"/>
          <w:szCs w:val="28"/>
          <w:lang w:val="en-US"/>
        </w:rPr>
        <w:t xml:space="preserve">first and second respondents are evicted from the property known as </w:t>
      </w:r>
      <w:r w:rsidRPr="007E6EF7">
        <w:rPr>
          <w:bCs/>
          <w:sz w:val="28"/>
          <w:szCs w:val="28"/>
          <w:lang w:val="en-US"/>
        </w:rPr>
        <w:t>Allotment No.160A</w:t>
      </w:r>
      <w:r>
        <w:rPr>
          <w:bCs/>
          <w:sz w:val="28"/>
          <w:szCs w:val="28"/>
          <w:lang w:val="en-US"/>
        </w:rPr>
        <w:t xml:space="preserve"> Ndongeni R</w:t>
      </w:r>
      <w:r w:rsidRPr="003E4D6F">
        <w:rPr>
          <w:bCs/>
          <w:sz w:val="28"/>
          <w:szCs w:val="28"/>
          <w:lang w:val="en-US"/>
        </w:rPr>
        <w:t>esidents, El</w:t>
      </w:r>
      <w:r>
        <w:rPr>
          <w:bCs/>
          <w:sz w:val="28"/>
          <w:szCs w:val="28"/>
          <w:lang w:val="en-US"/>
        </w:rPr>
        <w:t>ubhacweni</w:t>
      </w:r>
      <w:r w:rsidRPr="003E4D6F">
        <w:rPr>
          <w:bCs/>
          <w:sz w:val="28"/>
          <w:szCs w:val="28"/>
          <w:lang w:val="en-US"/>
        </w:rPr>
        <w:t xml:space="preserve"> </w:t>
      </w:r>
      <w:r>
        <w:rPr>
          <w:bCs/>
          <w:sz w:val="28"/>
          <w:szCs w:val="28"/>
          <w:lang w:val="en-US"/>
        </w:rPr>
        <w:t>L</w:t>
      </w:r>
      <w:r w:rsidRPr="003E4D6F">
        <w:rPr>
          <w:bCs/>
          <w:sz w:val="28"/>
          <w:szCs w:val="28"/>
          <w:lang w:val="en-US"/>
        </w:rPr>
        <w:t>ocation, Mount Frere, Eastern Cape</w:t>
      </w:r>
      <w:r>
        <w:rPr>
          <w:bCs/>
          <w:sz w:val="28"/>
          <w:szCs w:val="28"/>
          <w:lang w:val="en-US"/>
        </w:rPr>
        <w:t xml:space="preserve"> (the property)</w:t>
      </w:r>
      <w:r w:rsidRPr="003E4D6F">
        <w:rPr>
          <w:bCs/>
          <w:sz w:val="28"/>
          <w:szCs w:val="28"/>
          <w:lang w:val="en-US"/>
        </w:rPr>
        <w:t xml:space="preserve">. </w:t>
      </w:r>
    </w:p>
    <w:p w14:paraId="4F9DA8E2" w14:textId="77777777" w:rsidR="00DC64D1" w:rsidRPr="00A01C45" w:rsidRDefault="00DC64D1" w:rsidP="00DC64D1">
      <w:pPr>
        <w:spacing w:line="360" w:lineRule="auto"/>
        <w:ind w:left="1440" w:hanging="731"/>
        <w:jc w:val="both"/>
        <w:rPr>
          <w:bCs/>
          <w:sz w:val="28"/>
          <w:szCs w:val="28"/>
        </w:rPr>
      </w:pPr>
      <w:r>
        <w:rPr>
          <w:bCs/>
          <w:sz w:val="28"/>
          <w:szCs w:val="28"/>
        </w:rPr>
        <w:t xml:space="preserve">2.2 </w:t>
      </w:r>
      <w:r>
        <w:rPr>
          <w:bCs/>
          <w:sz w:val="28"/>
          <w:szCs w:val="28"/>
        </w:rPr>
        <w:tab/>
      </w:r>
      <w:r w:rsidRPr="00A01C45">
        <w:rPr>
          <w:bCs/>
          <w:sz w:val="28"/>
          <w:szCs w:val="28"/>
        </w:rPr>
        <w:t xml:space="preserve">The </w:t>
      </w:r>
      <w:r>
        <w:rPr>
          <w:bCs/>
          <w:sz w:val="28"/>
          <w:szCs w:val="28"/>
          <w:lang w:val="en-US"/>
        </w:rPr>
        <w:t>first</w:t>
      </w:r>
      <w:r w:rsidRPr="00A01C45">
        <w:rPr>
          <w:bCs/>
          <w:sz w:val="28"/>
          <w:szCs w:val="28"/>
          <w:lang w:val="en-US"/>
        </w:rPr>
        <w:t xml:space="preserve"> and </w:t>
      </w:r>
      <w:r>
        <w:rPr>
          <w:bCs/>
          <w:sz w:val="28"/>
          <w:szCs w:val="28"/>
          <w:lang w:val="en-US"/>
        </w:rPr>
        <w:t>seco</w:t>
      </w:r>
      <w:r w:rsidRPr="00A01C45">
        <w:rPr>
          <w:bCs/>
          <w:sz w:val="28"/>
          <w:szCs w:val="28"/>
          <w:lang w:val="en-US"/>
        </w:rPr>
        <w:t>nd respondents are ordered to vacate the property within 90 days fro</w:t>
      </w:r>
      <w:r>
        <w:rPr>
          <w:bCs/>
          <w:sz w:val="28"/>
          <w:szCs w:val="28"/>
          <w:lang w:val="en-US"/>
        </w:rPr>
        <w:t xml:space="preserve">m </w:t>
      </w:r>
      <w:r w:rsidRPr="00A01C45">
        <w:rPr>
          <w:bCs/>
          <w:sz w:val="28"/>
          <w:szCs w:val="28"/>
          <w:lang w:val="en-US"/>
        </w:rPr>
        <w:t>the</w:t>
      </w:r>
      <w:r>
        <w:rPr>
          <w:bCs/>
          <w:sz w:val="28"/>
          <w:szCs w:val="28"/>
          <w:lang w:val="en-US"/>
        </w:rPr>
        <w:t xml:space="preserve"> date of</w:t>
      </w:r>
      <w:r w:rsidRPr="00A01C45">
        <w:rPr>
          <w:bCs/>
          <w:sz w:val="28"/>
          <w:szCs w:val="28"/>
          <w:lang w:val="en-US"/>
        </w:rPr>
        <w:t xml:space="preserve"> </w:t>
      </w:r>
      <w:r>
        <w:rPr>
          <w:bCs/>
          <w:sz w:val="28"/>
          <w:szCs w:val="28"/>
          <w:lang w:val="en-US"/>
        </w:rPr>
        <w:t xml:space="preserve">service of this </w:t>
      </w:r>
      <w:r w:rsidRPr="00A01C45">
        <w:rPr>
          <w:bCs/>
          <w:sz w:val="28"/>
          <w:szCs w:val="28"/>
          <w:lang w:val="en-US"/>
        </w:rPr>
        <w:t>order</w:t>
      </w:r>
      <w:r>
        <w:rPr>
          <w:bCs/>
          <w:sz w:val="28"/>
          <w:szCs w:val="28"/>
          <w:lang w:val="en-US"/>
        </w:rPr>
        <w:t xml:space="preserve"> upon them</w:t>
      </w:r>
      <w:r w:rsidRPr="00A01C45">
        <w:rPr>
          <w:bCs/>
          <w:sz w:val="28"/>
          <w:szCs w:val="28"/>
          <w:lang w:val="en-US"/>
        </w:rPr>
        <w:t>.</w:t>
      </w:r>
    </w:p>
    <w:p w14:paraId="6E64C914" w14:textId="77777777" w:rsidR="00DC64D1" w:rsidRPr="00A01C45" w:rsidRDefault="00DC64D1" w:rsidP="00DC64D1">
      <w:pPr>
        <w:spacing w:line="360" w:lineRule="auto"/>
        <w:ind w:left="1440" w:hanging="731"/>
        <w:jc w:val="both"/>
        <w:rPr>
          <w:bCs/>
          <w:sz w:val="28"/>
          <w:szCs w:val="28"/>
          <w:lang w:val="en-US"/>
        </w:rPr>
      </w:pPr>
      <w:r>
        <w:rPr>
          <w:bCs/>
          <w:sz w:val="28"/>
          <w:szCs w:val="28"/>
          <w:lang w:val="en-US"/>
        </w:rPr>
        <w:t xml:space="preserve">2.3 </w:t>
      </w:r>
      <w:r>
        <w:rPr>
          <w:bCs/>
          <w:sz w:val="28"/>
          <w:szCs w:val="28"/>
          <w:lang w:val="en-US"/>
        </w:rPr>
        <w:tab/>
        <w:t>If the first and s</w:t>
      </w:r>
      <w:r w:rsidRPr="00A01C45">
        <w:rPr>
          <w:bCs/>
          <w:sz w:val="28"/>
          <w:szCs w:val="28"/>
          <w:lang w:val="en-US"/>
        </w:rPr>
        <w:t xml:space="preserve">econd respondents have not vacated the property </w:t>
      </w:r>
      <w:r>
        <w:rPr>
          <w:bCs/>
          <w:sz w:val="28"/>
          <w:szCs w:val="28"/>
          <w:lang w:val="en-US"/>
        </w:rPr>
        <w:t xml:space="preserve"> </w:t>
      </w:r>
      <w:r w:rsidRPr="00A01C45">
        <w:rPr>
          <w:bCs/>
          <w:sz w:val="28"/>
          <w:szCs w:val="28"/>
          <w:lang w:val="en-US"/>
        </w:rPr>
        <w:t xml:space="preserve">by the eviction date, the </w:t>
      </w:r>
      <w:r>
        <w:rPr>
          <w:bCs/>
          <w:sz w:val="28"/>
          <w:szCs w:val="28"/>
          <w:lang w:val="en-US"/>
        </w:rPr>
        <w:t>S</w:t>
      </w:r>
      <w:r w:rsidRPr="00A01C45">
        <w:rPr>
          <w:bCs/>
          <w:sz w:val="28"/>
          <w:szCs w:val="28"/>
          <w:lang w:val="en-US"/>
        </w:rPr>
        <w:t xml:space="preserve">heriff </w:t>
      </w:r>
      <w:r>
        <w:rPr>
          <w:bCs/>
          <w:sz w:val="28"/>
          <w:szCs w:val="28"/>
          <w:lang w:val="en-US"/>
        </w:rPr>
        <w:t xml:space="preserve">, </w:t>
      </w:r>
      <w:r w:rsidRPr="00A01C45">
        <w:rPr>
          <w:bCs/>
          <w:sz w:val="28"/>
          <w:szCs w:val="28"/>
          <w:lang w:val="en-US"/>
        </w:rPr>
        <w:t>or his</w:t>
      </w:r>
      <w:r>
        <w:rPr>
          <w:bCs/>
          <w:sz w:val="28"/>
          <w:szCs w:val="28"/>
          <w:lang w:val="en-US"/>
        </w:rPr>
        <w:t xml:space="preserve">/her Agent, </w:t>
      </w:r>
      <w:r w:rsidRPr="00A01C45">
        <w:rPr>
          <w:bCs/>
          <w:sz w:val="28"/>
          <w:szCs w:val="28"/>
          <w:lang w:val="en-US"/>
        </w:rPr>
        <w:t>is hereby authorized to</w:t>
      </w:r>
      <w:r>
        <w:rPr>
          <w:bCs/>
          <w:sz w:val="28"/>
          <w:szCs w:val="28"/>
          <w:lang w:val="en-US"/>
        </w:rPr>
        <w:t xml:space="preserve"> evict</w:t>
      </w:r>
      <w:r w:rsidRPr="00A01C45">
        <w:rPr>
          <w:bCs/>
          <w:sz w:val="28"/>
          <w:szCs w:val="28"/>
          <w:lang w:val="en-US"/>
        </w:rPr>
        <w:t xml:space="preserve"> the first and second respondents</w:t>
      </w:r>
      <w:r>
        <w:rPr>
          <w:bCs/>
          <w:sz w:val="28"/>
          <w:szCs w:val="28"/>
          <w:lang w:val="en-US"/>
        </w:rPr>
        <w:t>, including</w:t>
      </w:r>
      <w:r w:rsidRPr="00A01C45">
        <w:rPr>
          <w:bCs/>
          <w:sz w:val="28"/>
          <w:szCs w:val="28"/>
          <w:lang w:val="en-US"/>
        </w:rPr>
        <w:t xml:space="preserve"> all  persons occup</w:t>
      </w:r>
      <w:r>
        <w:rPr>
          <w:bCs/>
          <w:sz w:val="28"/>
          <w:szCs w:val="28"/>
          <w:lang w:val="en-US"/>
        </w:rPr>
        <w:t>ying</w:t>
      </w:r>
      <w:r w:rsidRPr="00A01C45">
        <w:rPr>
          <w:bCs/>
          <w:sz w:val="28"/>
          <w:szCs w:val="28"/>
          <w:lang w:val="en-US"/>
        </w:rPr>
        <w:t xml:space="preserve"> the property through </w:t>
      </w:r>
      <w:r>
        <w:rPr>
          <w:bCs/>
          <w:sz w:val="28"/>
          <w:szCs w:val="28"/>
          <w:lang w:val="en-US"/>
        </w:rPr>
        <w:t>them.</w:t>
      </w:r>
    </w:p>
    <w:p w14:paraId="2B830272" w14:textId="29D8F906" w:rsidR="00DC64D1" w:rsidRPr="00EE4AC2" w:rsidRDefault="00EE4AC2" w:rsidP="00EE4AC2">
      <w:pPr>
        <w:spacing w:line="360" w:lineRule="auto"/>
        <w:ind w:left="1418" w:hanging="709"/>
        <w:jc w:val="both"/>
        <w:rPr>
          <w:bCs/>
          <w:sz w:val="28"/>
          <w:szCs w:val="28"/>
        </w:rPr>
      </w:pPr>
      <w:r>
        <w:rPr>
          <w:bCs/>
          <w:sz w:val="28"/>
          <w:szCs w:val="28"/>
        </w:rPr>
        <w:t>2.6</w:t>
      </w:r>
      <w:r>
        <w:rPr>
          <w:bCs/>
          <w:sz w:val="28"/>
          <w:szCs w:val="28"/>
        </w:rPr>
        <w:tab/>
      </w:r>
      <w:r w:rsidR="00DC64D1" w:rsidRPr="00EE4AC2">
        <w:rPr>
          <w:bCs/>
          <w:sz w:val="28"/>
          <w:szCs w:val="28"/>
          <w:lang w:val="en-US"/>
        </w:rPr>
        <w:t>The first and second respondents are interdicted and restrained from entering the property at any time after they have vacated or been evicted from the property.</w:t>
      </w:r>
      <w:r w:rsidR="00DC64D1" w:rsidRPr="00EE4AC2">
        <w:rPr>
          <w:bCs/>
          <w:sz w:val="28"/>
          <w:szCs w:val="28"/>
        </w:rPr>
        <w:t xml:space="preserve">    </w:t>
      </w:r>
    </w:p>
    <w:p w14:paraId="5C01A4C2" w14:textId="7ED57C32" w:rsidR="00DC64D1" w:rsidRPr="00EE4AC2" w:rsidRDefault="00EE4AC2" w:rsidP="00EE4AC2">
      <w:pPr>
        <w:spacing w:line="360" w:lineRule="auto"/>
        <w:ind w:left="1095" w:hanging="375"/>
        <w:jc w:val="both"/>
        <w:rPr>
          <w:sz w:val="28"/>
          <w:szCs w:val="28"/>
          <w:lang w:val="en-US"/>
        </w:rPr>
      </w:pPr>
      <w:r w:rsidRPr="009A0F8D">
        <w:rPr>
          <w:sz w:val="28"/>
          <w:szCs w:val="28"/>
          <w:lang w:val="en-US"/>
        </w:rPr>
        <w:t>2.7</w:t>
      </w:r>
      <w:r w:rsidRPr="009A0F8D">
        <w:rPr>
          <w:sz w:val="28"/>
          <w:szCs w:val="28"/>
          <w:lang w:val="en-US"/>
        </w:rPr>
        <w:tab/>
      </w:r>
      <w:r w:rsidR="00DC64D1" w:rsidRPr="00EE4AC2">
        <w:rPr>
          <w:sz w:val="28"/>
          <w:szCs w:val="28"/>
        </w:rPr>
        <w:t xml:space="preserve">   The </w:t>
      </w:r>
      <w:r w:rsidR="00DC64D1" w:rsidRPr="00EE4AC2">
        <w:rPr>
          <w:sz w:val="28"/>
          <w:szCs w:val="28"/>
          <w:lang w:val="en-US"/>
        </w:rPr>
        <w:t xml:space="preserve">first respondent to pay the costs of the main and counter-      </w:t>
      </w:r>
    </w:p>
    <w:p w14:paraId="461A7C0B" w14:textId="77777777" w:rsidR="00DC64D1" w:rsidRPr="009A0F8D" w:rsidRDefault="00DC64D1" w:rsidP="00DC64D1">
      <w:pPr>
        <w:pStyle w:val="ListParagraph"/>
        <w:spacing w:line="360" w:lineRule="auto"/>
        <w:ind w:left="1095"/>
        <w:jc w:val="both"/>
        <w:rPr>
          <w:bCs/>
          <w:sz w:val="28"/>
          <w:szCs w:val="28"/>
        </w:rPr>
      </w:pPr>
      <w:r>
        <w:rPr>
          <w:sz w:val="28"/>
          <w:szCs w:val="28"/>
          <w:lang w:val="en-US"/>
        </w:rPr>
        <w:t xml:space="preserve">  </w:t>
      </w:r>
      <w:r w:rsidRPr="009A0F8D">
        <w:rPr>
          <w:sz w:val="28"/>
          <w:szCs w:val="28"/>
          <w:lang w:val="en-US"/>
        </w:rPr>
        <w:t>applications.</w:t>
      </w:r>
      <w:r w:rsidRPr="009A0F8D">
        <w:rPr>
          <w:sz w:val="28"/>
          <w:szCs w:val="28"/>
        </w:rPr>
        <w:t xml:space="preserve"> </w:t>
      </w:r>
    </w:p>
    <w:p w14:paraId="774DCF33" w14:textId="77777777" w:rsidR="00A72940" w:rsidRDefault="00A72940" w:rsidP="0006206E">
      <w:pPr>
        <w:spacing w:line="360" w:lineRule="auto"/>
        <w:jc w:val="both"/>
        <w:rPr>
          <w:sz w:val="28"/>
          <w:szCs w:val="28"/>
        </w:rPr>
      </w:pPr>
    </w:p>
    <w:p w14:paraId="20024537" w14:textId="7A750BAC" w:rsidR="00CE4444" w:rsidRDefault="00302076" w:rsidP="0006206E">
      <w:pPr>
        <w:spacing w:line="360" w:lineRule="auto"/>
        <w:jc w:val="both"/>
        <w:rPr>
          <w:sz w:val="28"/>
          <w:szCs w:val="28"/>
        </w:rPr>
      </w:pPr>
      <w:r>
        <w:rPr>
          <w:sz w:val="28"/>
          <w:szCs w:val="28"/>
        </w:rPr>
        <w:t>__________________</w:t>
      </w:r>
    </w:p>
    <w:p w14:paraId="5A716ABA" w14:textId="77CA1E88" w:rsidR="00302076" w:rsidRDefault="00302076" w:rsidP="0006206E">
      <w:pPr>
        <w:spacing w:line="360" w:lineRule="auto"/>
        <w:jc w:val="both"/>
        <w:rPr>
          <w:sz w:val="28"/>
          <w:szCs w:val="28"/>
        </w:rPr>
      </w:pPr>
      <w:r>
        <w:rPr>
          <w:sz w:val="28"/>
          <w:szCs w:val="28"/>
        </w:rPr>
        <w:t xml:space="preserve">Z. M. NHLANGULELA </w:t>
      </w:r>
    </w:p>
    <w:p w14:paraId="4C1848E5" w14:textId="77777777" w:rsidR="00302076" w:rsidRPr="00A46230" w:rsidRDefault="00302076" w:rsidP="0006206E">
      <w:pPr>
        <w:spacing w:line="360" w:lineRule="auto"/>
        <w:jc w:val="both"/>
        <w:rPr>
          <w:b/>
          <w:sz w:val="28"/>
          <w:szCs w:val="28"/>
        </w:rPr>
      </w:pPr>
      <w:r>
        <w:rPr>
          <w:sz w:val="28"/>
          <w:szCs w:val="28"/>
        </w:rPr>
        <w:t>ACTING JUD</w:t>
      </w:r>
      <w:r w:rsidRPr="00A46230">
        <w:rPr>
          <w:sz w:val="28"/>
          <w:szCs w:val="28"/>
        </w:rPr>
        <w:t>GE PRESIDENT OF THE HIGH COURT</w:t>
      </w:r>
    </w:p>
    <w:p w14:paraId="1EADC9A9" w14:textId="77777777" w:rsidR="0006206E" w:rsidRDefault="0006206E" w:rsidP="0006206E">
      <w:pPr>
        <w:spacing w:line="360" w:lineRule="auto"/>
        <w:jc w:val="both"/>
        <w:rPr>
          <w:sz w:val="28"/>
          <w:szCs w:val="28"/>
        </w:rPr>
      </w:pPr>
    </w:p>
    <w:p w14:paraId="5AB16589" w14:textId="25A5A1CB" w:rsidR="00302076" w:rsidRDefault="004338F2" w:rsidP="0006206E">
      <w:pPr>
        <w:spacing w:line="360" w:lineRule="auto"/>
        <w:jc w:val="both"/>
        <w:rPr>
          <w:sz w:val="28"/>
          <w:szCs w:val="28"/>
        </w:rPr>
      </w:pPr>
      <w:r>
        <w:rPr>
          <w:sz w:val="28"/>
          <w:szCs w:val="28"/>
        </w:rPr>
        <w:t>I</w:t>
      </w:r>
      <w:r w:rsidR="00302076">
        <w:rPr>
          <w:sz w:val="28"/>
          <w:szCs w:val="28"/>
        </w:rPr>
        <w:t xml:space="preserve"> concur:</w:t>
      </w:r>
    </w:p>
    <w:p w14:paraId="099B4B55" w14:textId="77777777" w:rsidR="00A72940" w:rsidRDefault="00A72940" w:rsidP="00302076">
      <w:pPr>
        <w:spacing w:line="360" w:lineRule="auto"/>
        <w:jc w:val="both"/>
        <w:rPr>
          <w:sz w:val="28"/>
          <w:szCs w:val="28"/>
        </w:rPr>
      </w:pPr>
    </w:p>
    <w:p w14:paraId="7643D125" w14:textId="285CC26B" w:rsidR="00302076" w:rsidRDefault="00302076" w:rsidP="00302076">
      <w:pPr>
        <w:spacing w:line="360" w:lineRule="auto"/>
        <w:jc w:val="both"/>
        <w:rPr>
          <w:sz w:val="28"/>
          <w:szCs w:val="28"/>
        </w:rPr>
      </w:pPr>
      <w:r>
        <w:rPr>
          <w:sz w:val="28"/>
          <w:szCs w:val="28"/>
        </w:rPr>
        <w:t>__________</w:t>
      </w:r>
    </w:p>
    <w:p w14:paraId="22BB7CD8" w14:textId="77777777" w:rsidR="00302076" w:rsidRDefault="00302076" w:rsidP="00302076">
      <w:pPr>
        <w:spacing w:line="360" w:lineRule="auto"/>
        <w:jc w:val="both"/>
        <w:rPr>
          <w:sz w:val="28"/>
          <w:szCs w:val="28"/>
        </w:rPr>
      </w:pPr>
      <w:r>
        <w:rPr>
          <w:sz w:val="28"/>
          <w:szCs w:val="28"/>
        </w:rPr>
        <w:t>B. MAJIKI</w:t>
      </w:r>
    </w:p>
    <w:p w14:paraId="0DB11C73" w14:textId="77777777" w:rsidR="00302076" w:rsidRDefault="00302076" w:rsidP="00302076">
      <w:pPr>
        <w:spacing w:line="360" w:lineRule="auto"/>
        <w:jc w:val="both"/>
        <w:rPr>
          <w:sz w:val="28"/>
          <w:szCs w:val="28"/>
        </w:rPr>
      </w:pPr>
      <w:r>
        <w:rPr>
          <w:sz w:val="28"/>
          <w:szCs w:val="28"/>
        </w:rPr>
        <w:t>JUDGE OF THE HIGH COURT</w:t>
      </w:r>
    </w:p>
    <w:p w14:paraId="398E7A1A" w14:textId="77777777" w:rsidR="00656E89" w:rsidRDefault="00656E89" w:rsidP="00656E89">
      <w:pPr>
        <w:spacing w:line="360" w:lineRule="auto"/>
        <w:jc w:val="both"/>
        <w:rPr>
          <w:b/>
          <w:sz w:val="28"/>
          <w:szCs w:val="28"/>
        </w:rPr>
      </w:pPr>
      <w:r>
        <w:rPr>
          <w:b/>
          <w:sz w:val="28"/>
          <w:szCs w:val="28"/>
        </w:rPr>
        <w:lastRenderedPageBreak/>
        <w:t>Tilana-Mabece AJ (Dissenting)</w:t>
      </w:r>
    </w:p>
    <w:p w14:paraId="29EF1B1A" w14:textId="77777777" w:rsidR="00656E89" w:rsidRDefault="00656E89" w:rsidP="00656E89">
      <w:pPr>
        <w:spacing w:line="360" w:lineRule="auto"/>
        <w:jc w:val="both"/>
        <w:rPr>
          <w:b/>
          <w:sz w:val="28"/>
          <w:szCs w:val="28"/>
        </w:rPr>
      </w:pPr>
    </w:p>
    <w:p w14:paraId="54EF7E40" w14:textId="1C9F1585" w:rsidR="00656E89" w:rsidRDefault="00656E89" w:rsidP="00656E89">
      <w:pPr>
        <w:spacing w:line="360" w:lineRule="auto"/>
        <w:jc w:val="both"/>
        <w:rPr>
          <w:sz w:val="28"/>
          <w:szCs w:val="28"/>
          <w:lang w:val="en-US"/>
        </w:rPr>
      </w:pPr>
      <w:r w:rsidRPr="001F640E">
        <w:rPr>
          <w:sz w:val="28"/>
          <w:szCs w:val="28"/>
        </w:rPr>
        <w:t>[2</w:t>
      </w:r>
      <w:r w:rsidR="00A72940">
        <w:rPr>
          <w:sz w:val="28"/>
          <w:szCs w:val="28"/>
        </w:rPr>
        <w:t>3</w:t>
      </w:r>
      <w:r w:rsidRPr="001F640E">
        <w:rPr>
          <w:sz w:val="28"/>
          <w:szCs w:val="28"/>
        </w:rPr>
        <w:t>]</w:t>
      </w:r>
      <w:r>
        <w:rPr>
          <w:sz w:val="28"/>
          <w:szCs w:val="28"/>
        </w:rPr>
        <w:tab/>
        <w:t xml:space="preserve">I have had the benefit of reading the majority judgment penned by Nhlangulela AJP.  </w:t>
      </w:r>
      <w:r>
        <w:rPr>
          <w:sz w:val="28"/>
          <w:szCs w:val="28"/>
          <w:lang w:val="en-US"/>
        </w:rPr>
        <w:t>R</w:t>
      </w:r>
      <w:r w:rsidRPr="00587E6D">
        <w:rPr>
          <w:sz w:val="28"/>
          <w:szCs w:val="28"/>
          <w:lang w:val="en-US"/>
        </w:rPr>
        <w:t>egrett</w:t>
      </w:r>
      <w:r>
        <w:rPr>
          <w:sz w:val="28"/>
          <w:szCs w:val="28"/>
          <w:lang w:val="en-US"/>
        </w:rPr>
        <w:t xml:space="preserve">ably, I do not agree with the findings and the order therein for the reasons that follow. </w:t>
      </w:r>
    </w:p>
    <w:p w14:paraId="02CB33DF" w14:textId="77777777" w:rsidR="00656E89" w:rsidRDefault="00656E89" w:rsidP="00656E89">
      <w:pPr>
        <w:spacing w:line="360" w:lineRule="auto"/>
        <w:jc w:val="both"/>
        <w:rPr>
          <w:sz w:val="28"/>
          <w:szCs w:val="28"/>
          <w:lang w:val="en-US"/>
        </w:rPr>
      </w:pPr>
    </w:p>
    <w:p w14:paraId="4891A497" w14:textId="64B8D2E4" w:rsidR="00656E89"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4</w:t>
      </w:r>
      <w:r>
        <w:rPr>
          <w:sz w:val="28"/>
          <w:szCs w:val="28"/>
          <w:lang w:val="en-US"/>
        </w:rPr>
        <w:t xml:space="preserve">] </w:t>
      </w:r>
      <w:r>
        <w:rPr>
          <w:sz w:val="28"/>
          <w:szCs w:val="28"/>
          <w:lang w:val="en-US"/>
        </w:rPr>
        <w:tab/>
        <w:t>Central to this case is legislation which, in terms of Schedule 6 of the Constitution is referred to as the “old order legislation”. Such legislation is defined as legislation enacted before the Constitution of the Republic of South Africa Act 200 of 1993. It is an undeniable fact that under the apartheid regime a range of legal instruments were introduced relating to insecure forms of land tenure for the black communities. One such instrument was a Permission To Occupy (PTO).</w:t>
      </w:r>
    </w:p>
    <w:p w14:paraId="1663FFA4" w14:textId="2D4A18AA" w:rsidR="00656E89"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5</w:t>
      </w:r>
      <w:r>
        <w:rPr>
          <w:sz w:val="28"/>
          <w:szCs w:val="28"/>
          <w:lang w:val="en-US"/>
        </w:rPr>
        <w:t>]</w:t>
      </w:r>
      <w:r>
        <w:rPr>
          <w:sz w:val="28"/>
          <w:szCs w:val="28"/>
          <w:lang w:val="en-US"/>
        </w:rPr>
        <w:tab/>
        <w:t xml:space="preserve">It is manifest in the main judgment that the applicant’s “right” to evict the first respondent is pivoted on the PTO issued to him during 2009. It is elaborately set out in the main judgment that the authority to issue the PTO is derived from the </w:t>
      </w:r>
      <w:r>
        <w:rPr>
          <w:sz w:val="28"/>
          <w:szCs w:val="28"/>
        </w:rPr>
        <w:t xml:space="preserve">Location Regulations: </w:t>
      </w:r>
      <w:r w:rsidRPr="00BE0B8E">
        <w:rPr>
          <w:i/>
          <w:sz w:val="28"/>
          <w:szCs w:val="28"/>
        </w:rPr>
        <w:t>Unsurveyed Districts: Transkei Territories Proclamation No. 26 of 1936</w:t>
      </w:r>
      <w:r>
        <w:rPr>
          <w:sz w:val="28"/>
          <w:szCs w:val="28"/>
          <w:lang w:val="en-US"/>
        </w:rPr>
        <w:t xml:space="preserve">(the Proclamation). This proclamation forms part of the old order legislation and is at odds with the values, ethos and the spirit of the Constitution. To this end, the description accorded by the Constitutional court to the </w:t>
      </w:r>
      <w:r w:rsidRPr="007A73EC">
        <w:rPr>
          <w:sz w:val="28"/>
          <w:szCs w:val="28"/>
          <w:lang w:val="en-US"/>
        </w:rPr>
        <w:t>Black Administration Act 38 of 1927</w:t>
      </w:r>
      <w:r>
        <w:rPr>
          <w:sz w:val="28"/>
          <w:szCs w:val="28"/>
          <w:lang w:val="en-US"/>
        </w:rPr>
        <w:t xml:space="preserve"> is of equal application to the proclamation.  Sachs J referred to this act as:</w:t>
      </w:r>
    </w:p>
    <w:p w14:paraId="1552E556" w14:textId="77777777" w:rsidR="00656E89" w:rsidRPr="00E454B0" w:rsidRDefault="00656E89" w:rsidP="00656E89">
      <w:pPr>
        <w:spacing w:after="360" w:line="360" w:lineRule="auto"/>
        <w:jc w:val="both"/>
        <w:rPr>
          <w:lang w:val="en-US"/>
        </w:rPr>
      </w:pPr>
      <w:r w:rsidRPr="00E454B0">
        <w:rPr>
          <w:lang w:val="en-US"/>
        </w:rPr>
        <w:t xml:space="preserve">“an egregious apartheid law which anachronistically has survived our transition to a non-racial democracy”. </w:t>
      </w:r>
    </w:p>
    <w:p w14:paraId="2834D4E8" w14:textId="4FF104AA" w:rsidR="00656E89"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6</w:t>
      </w:r>
      <w:r>
        <w:rPr>
          <w:sz w:val="28"/>
          <w:szCs w:val="28"/>
          <w:lang w:val="en-US"/>
        </w:rPr>
        <w:t xml:space="preserve">] </w:t>
      </w:r>
      <w:r>
        <w:rPr>
          <w:sz w:val="28"/>
          <w:szCs w:val="28"/>
          <w:lang w:val="en-US"/>
        </w:rPr>
        <w:tab/>
      </w:r>
      <w:r w:rsidRPr="007A73EC">
        <w:rPr>
          <w:sz w:val="28"/>
          <w:szCs w:val="28"/>
          <w:lang w:val="en-US"/>
        </w:rPr>
        <w:t>He went on to say that it was</w:t>
      </w:r>
      <w:r>
        <w:rPr>
          <w:sz w:val="28"/>
          <w:szCs w:val="28"/>
          <w:lang w:val="en-US"/>
        </w:rPr>
        <w:t>:</w:t>
      </w:r>
      <w:r w:rsidRPr="007A73EC">
        <w:rPr>
          <w:sz w:val="28"/>
          <w:szCs w:val="28"/>
          <w:lang w:val="en-US"/>
        </w:rPr>
        <w:t xml:space="preserve"> </w:t>
      </w:r>
    </w:p>
    <w:p w14:paraId="0DD898C2" w14:textId="77777777" w:rsidR="00656E89" w:rsidRPr="00E454B0" w:rsidRDefault="00656E89" w:rsidP="00656E89">
      <w:pPr>
        <w:spacing w:after="360" w:line="360" w:lineRule="auto"/>
        <w:jc w:val="both"/>
        <w:rPr>
          <w:lang w:val="en-US"/>
        </w:rPr>
      </w:pPr>
      <w:r w:rsidRPr="00E454B0">
        <w:rPr>
          <w:lang w:val="en-US"/>
        </w:rPr>
        <w:lastRenderedPageBreak/>
        <w:t>“part of a demeaning and racist system, as obnoxious and as not befitting a democratic society based on human dignity, equality and freedom.”</w:t>
      </w:r>
      <w:r w:rsidRPr="00E454B0">
        <w:rPr>
          <w:rStyle w:val="FootnoteReference"/>
          <w:lang w:val="en-US"/>
        </w:rPr>
        <w:footnoteReference w:id="10"/>
      </w:r>
    </w:p>
    <w:p w14:paraId="49690119" w14:textId="57F3F15E" w:rsidR="00656E89" w:rsidRPr="00552CB7"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7</w:t>
      </w:r>
      <w:r>
        <w:rPr>
          <w:sz w:val="28"/>
          <w:szCs w:val="28"/>
          <w:lang w:val="en-US"/>
        </w:rPr>
        <w:t>]</w:t>
      </w:r>
      <w:r>
        <w:rPr>
          <w:sz w:val="28"/>
          <w:szCs w:val="28"/>
          <w:lang w:val="en-US"/>
        </w:rPr>
        <w:tab/>
        <w:t xml:space="preserve">Seemingly, the “old order legislation” refuses to die and it keeps rearing its ugly head when we least expect. One of the judgments where this is evident is the judgment of the Constitutional Court </w:t>
      </w:r>
      <w:r>
        <w:rPr>
          <w:sz w:val="28"/>
          <w:szCs w:val="28"/>
        </w:rPr>
        <w:t>relating to a challenge</w:t>
      </w:r>
      <w:r w:rsidRPr="00552CB7">
        <w:rPr>
          <w:sz w:val="28"/>
          <w:szCs w:val="28"/>
        </w:rPr>
        <w:t xml:space="preserve"> to a provision that excluded certain sections of the </w:t>
      </w:r>
      <w:r w:rsidRPr="00E5236B">
        <w:rPr>
          <w:sz w:val="28"/>
          <w:szCs w:val="28"/>
        </w:rPr>
        <w:t>Upgrading of Land Tenure Rights Act</w:t>
      </w:r>
      <w:r>
        <w:rPr>
          <w:rStyle w:val="FootnoteReference"/>
          <w:sz w:val="28"/>
          <w:szCs w:val="28"/>
        </w:rPr>
        <w:footnoteReference w:id="11"/>
      </w:r>
      <w:r w:rsidRPr="00552CB7">
        <w:rPr>
          <w:sz w:val="28"/>
          <w:szCs w:val="28"/>
        </w:rPr>
        <w:t xml:space="preserve"> from the rest of the Act </w:t>
      </w:r>
      <w:r>
        <w:rPr>
          <w:sz w:val="28"/>
          <w:szCs w:val="28"/>
        </w:rPr>
        <w:t>even though its</w:t>
      </w:r>
      <w:r w:rsidRPr="00552CB7">
        <w:rPr>
          <w:sz w:val="28"/>
          <w:szCs w:val="28"/>
        </w:rPr>
        <w:t xml:space="preserve"> operation was</w:t>
      </w:r>
      <w:r>
        <w:rPr>
          <w:sz w:val="28"/>
          <w:szCs w:val="28"/>
        </w:rPr>
        <w:t xml:space="preserve"> extended to the entire country where </w:t>
      </w:r>
      <w:r w:rsidRPr="00552CB7">
        <w:rPr>
          <w:sz w:val="28"/>
          <w:szCs w:val="28"/>
          <w:lang w:val="en-US"/>
        </w:rPr>
        <w:t xml:space="preserve">Jafta </w:t>
      </w:r>
      <w:r>
        <w:rPr>
          <w:sz w:val="28"/>
          <w:szCs w:val="28"/>
          <w:lang w:val="en-US"/>
        </w:rPr>
        <w:t xml:space="preserve">J </w:t>
      </w:r>
      <w:r w:rsidRPr="00552CB7">
        <w:rPr>
          <w:sz w:val="28"/>
          <w:szCs w:val="28"/>
          <w:lang w:val="en-US"/>
        </w:rPr>
        <w:t>echoed the following:</w:t>
      </w:r>
    </w:p>
    <w:p w14:paraId="5C5C05E1" w14:textId="77777777" w:rsidR="00656E89" w:rsidRPr="008A0910" w:rsidRDefault="00656E89" w:rsidP="00656E89">
      <w:pPr>
        <w:spacing w:after="360" w:line="360" w:lineRule="auto"/>
        <w:jc w:val="both"/>
        <w:rPr>
          <w:lang w:val="en-US"/>
        </w:rPr>
      </w:pPr>
      <w:r w:rsidRPr="008A0910">
        <w:rPr>
          <w:lang w:val="en-US"/>
        </w:rPr>
        <w:t xml:space="preserve"> “In the former homelands access to land and occupation of land are still regulated by legislation that was passed by Parliament and other legislative bodies of the apartheid era. Many people continue to be denied secure land tenure rights. They are not afforded rights better than occupational rights in land which may be terminated in terms of the old older laws. As noted here the continuing operation of laws that deny black people secure rights in land is inconsistent with the Constitution, our supreme law. The dignity of the affected people is persistently impaired by the enforcement of those laws. The victims of the unfair differentiation brought about by these laws have become second class citizens to whom the fruits of the Constitution remain a dream, deliberately kept out of their reach.”</w:t>
      </w:r>
      <w:r w:rsidRPr="008A0910">
        <w:rPr>
          <w:rStyle w:val="FootnoteReference"/>
          <w:lang w:val="en-US"/>
        </w:rPr>
        <w:footnoteReference w:id="12"/>
      </w:r>
    </w:p>
    <w:p w14:paraId="515A74DC" w14:textId="69554E4E" w:rsidR="00656E89"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8</w:t>
      </w:r>
      <w:r>
        <w:rPr>
          <w:sz w:val="28"/>
          <w:szCs w:val="28"/>
          <w:lang w:val="en-US"/>
        </w:rPr>
        <w:t>]</w:t>
      </w:r>
      <w:r>
        <w:rPr>
          <w:sz w:val="28"/>
          <w:szCs w:val="28"/>
          <w:lang w:val="en-US"/>
        </w:rPr>
        <w:tab/>
        <w:t>The fact that a court requested to enforce a “right” from the old order legislation, especially the package of land legislation, needs to exercise caution, cannot be over emphasised. Even when the constitutionality of the old order legislation is not at issue, the court still needs to be vigilant in its approach.</w:t>
      </w:r>
    </w:p>
    <w:p w14:paraId="1641F9E3" w14:textId="7B5709FF" w:rsidR="00656E89" w:rsidRDefault="00656E89" w:rsidP="00656E89">
      <w:pPr>
        <w:spacing w:after="360" w:line="360" w:lineRule="auto"/>
        <w:jc w:val="both"/>
        <w:rPr>
          <w:sz w:val="28"/>
          <w:szCs w:val="28"/>
          <w:lang w:val="en-US"/>
        </w:rPr>
      </w:pPr>
      <w:r>
        <w:rPr>
          <w:sz w:val="28"/>
          <w:szCs w:val="28"/>
          <w:lang w:val="en-US"/>
        </w:rPr>
        <w:t>[2</w:t>
      </w:r>
      <w:r w:rsidR="00A72940">
        <w:rPr>
          <w:sz w:val="28"/>
          <w:szCs w:val="28"/>
          <w:lang w:val="en-US"/>
        </w:rPr>
        <w:t>9</w:t>
      </w:r>
      <w:r>
        <w:rPr>
          <w:sz w:val="28"/>
          <w:szCs w:val="28"/>
          <w:lang w:val="en-US"/>
        </w:rPr>
        <w:t>]</w:t>
      </w:r>
      <w:r>
        <w:rPr>
          <w:sz w:val="28"/>
          <w:szCs w:val="28"/>
          <w:lang w:val="en-US"/>
        </w:rPr>
        <w:tab/>
        <w:t xml:space="preserve">With that background, I now turn to consider the merits of the case. </w:t>
      </w:r>
    </w:p>
    <w:p w14:paraId="7C1C2465" w14:textId="028ECB0E" w:rsidR="00656E89" w:rsidRPr="007922F4" w:rsidRDefault="00656E89" w:rsidP="00656E89">
      <w:pPr>
        <w:spacing w:after="360" w:line="360" w:lineRule="auto"/>
        <w:jc w:val="both"/>
        <w:rPr>
          <w:sz w:val="28"/>
          <w:szCs w:val="28"/>
          <w:lang w:val="en-US"/>
        </w:rPr>
      </w:pPr>
      <w:r>
        <w:rPr>
          <w:sz w:val="28"/>
          <w:szCs w:val="28"/>
          <w:lang w:val="en-US"/>
        </w:rPr>
        <w:lastRenderedPageBreak/>
        <w:t>[</w:t>
      </w:r>
      <w:r w:rsidR="00A72940">
        <w:rPr>
          <w:sz w:val="28"/>
          <w:szCs w:val="28"/>
          <w:lang w:val="en-US"/>
        </w:rPr>
        <w:t>30</w:t>
      </w:r>
      <w:r>
        <w:rPr>
          <w:sz w:val="28"/>
          <w:szCs w:val="28"/>
          <w:lang w:val="en-US"/>
        </w:rPr>
        <w:t xml:space="preserve">] </w:t>
      </w:r>
      <w:r>
        <w:rPr>
          <w:sz w:val="28"/>
          <w:szCs w:val="28"/>
          <w:lang w:val="en-US"/>
        </w:rPr>
        <w:tab/>
      </w:r>
      <w:r>
        <w:rPr>
          <w:sz w:val="28"/>
          <w:szCs w:val="28"/>
        </w:rPr>
        <w:t>The appellant alleges that he is the rightful owner of the property.  He asserts that his right as the registered owner of the property entitles him to evict the first respondent. These assertions are based on the P</w:t>
      </w:r>
      <w:r w:rsidRPr="00E346D2">
        <w:rPr>
          <w:color w:val="000000"/>
          <w:sz w:val="28"/>
          <w:szCs w:val="28"/>
          <w:lang w:eastAsia="en-ZA"/>
        </w:rPr>
        <w:t>ermission to Occupy</w:t>
      </w:r>
      <w:r>
        <w:rPr>
          <w:color w:val="000000"/>
          <w:sz w:val="28"/>
          <w:szCs w:val="28"/>
          <w:lang w:eastAsia="en-ZA"/>
        </w:rPr>
        <w:t xml:space="preserve"> (“PTO”)</w:t>
      </w:r>
      <w:r>
        <w:rPr>
          <w:sz w:val="28"/>
          <w:szCs w:val="28"/>
        </w:rPr>
        <w:t xml:space="preserve">. </w:t>
      </w:r>
    </w:p>
    <w:p w14:paraId="5EAD39F7" w14:textId="3F1ADF13" w:rsidR="00656E89" w:rsidRPr="0052286B" w:rsidRDefault="00656E89" w:rsidP="00656E89">
      <w:pPr>
        <w:spacing w:after="360" w:line="360" w:lineRule="auto"/>
        <w:jc w:val="both"/>
        <w:rPr>
          <w:sz w:val="28"/>
          <w:szCs w:val="28"/>
        </w:rPr>
      </w:pPr>
      <w:r>
        <w:rPr>
          <w:sz w:val="28"/>
          <w:szCs w:val="28"/>
        </w:rPr>
        <w:t>[</w:t>
      </w:r>
      <w:r w:rsidR="00A72940">
        <w:rPr>
          <w:sz w:val="28"/>
          <w:szCs w:val="28"/>
        </w:rPr>
        <w:t>31</w:t>
      </w:r>
      <w:r>
        <w:rPr>
          <w:sz w:val="28"/>
          <w:szCs w:val="28"/>
        </w:rPr>
        <w:t xml:space="preserve">] </w:t>
      </w:r>
      <w:r>
        <w:rPr>
          <w:sz w:val="28"/>
          <w:szCs w:val="28"/>
        </w:rPr>
        <w:tab/>
        <w:t>It is settled in our law that p</w:t>
      </w:r>
      <w:r>
        <w:rPr>
          <w:color w:val="242121"/>
          <w:sz w:val="28"/>
          <w:szCs w:val="28"/>
          <w:lang w:eastAsia="en-ZA"/>
        </w:rPr>
        <w:t xml:space="preserve">roof of </w:t>
      </w:r>
      <w:r w:rsidRPr="00E346D2">
        <w:rPr>
          <w:color w:val="242121"/>
          <w:sz w:val="28"/>
          <w:szCs w:val="28"/>
          <w:lang w:eastAsia="en-ZA"/>
        </w:rPr>
        <w:t xml:space="preserve">ownership of </w:t>
      </w:r>
      <w:r>
        <w:rPr>
          <w:color w:val="242121"/>
          <w:sz w:val="28"/>
          <w:szCs w:val="28"/>
          <w:lang w:eastAsia="en-ZA"/>
        </w:rPr>
        <w:t xml:space="preserve">an </w:t>
      </w:r>
      <w:r w:rsidRPr="00E346D2">
        <w:rPr>
          <w:color w:val="242121"/>
          <w:sz w:val="28"/>
          <w:szCs w:val="28"/>
          <w:lang w:eastAsia="en-ZA"/>
        </w:rPr>
        <w:t xml:space="preserve">immovable property is </w:t>
      </w:r>
      <w:r>
        <w:rPr>
          <w:color w:val="242121"/>
          <w:sz w:val="28"/>
          <w:szCs w:val="28"/>
          <w:lang w:eastAsia="en-ZA"/>
        </w:rPr>
        <w:t>a</w:t>
      </w:r>
      <w:r w:rsidRPr="00E346D2">
        <w:rPr>
          <w:color w:val="242121"/>
          <w:sz w:val="28"/>
          <w:szCs w:val="28"/>
          <w:lang w:eastAsia="en-ZA"/>
        </w:rPr>
        <w:t xml:space="preserve"> Title Deed</w:t>
      </w:r>
      <w:r>
        <w:rPr>
          <w:color w:val="242121"/>
          <w:sz w:val="28"/>
          <w:szCs w:val="28"/>
          <w:lang w:eastAsia="en-ZA"/>
        </w:rPr>
        <w:t xml:space="preserve">. In </w:t>
      </w:r>
      <w:r w:rsidRPr="00E346D2">
        <w:rPr>
          <w:i/>
          <w:iCs/>
          <w:color w:val="242121"/>
          <w:sz w:val="28"/>
          <w:szCs w:val="28"/>
          <w:lang w:eastAsia="en-ZA"/>
        </w:rPr>
        <w:t>Goudini Chrome (Pty) Ltd v MCC Contracts (Pty) Ltd</w:t>
      </w:r>
      <w:r>
        <w:rPr>
          <w:rStyle w:val="FootnoteReference"/>
          <w:i/>
          <w:iCs/>
          <w:color w:val="242121"/>
          <w:sz w:val="28"/>
          <w:szCs w:val="28"/>
          <w:lang w:eastAsia="en-ZA"/>
        </w:rPr>
        <w:footnoteReference w:id="13"/>
      </w:r>
      <w:r w:rsidRPr="00E346D2">
        <w:rPr>
          <w:color w:val="000000"/>
          <w:sz w:val="28"/>
          <w:szCs w:val="28"/>
          <w:lang w:val="en-ZA" w:eastAsia="en-ZA"/>
        </w:rPr>
        <w:t> </w:t>
      </w:r>
      <w:r>
        <w:rPr>
          <w:color w:val="000000"/>
          <w:sz w:val="28"/>
          <w:szCs w:val="28"/>
          <w:lang w:val="en-ZA" w:eastAsia="en-ZA"/>
        </w:rPr>
        <w:t>the court held as follows:</w:t>
      </w:r>
    </w:p>
    <w:p w14:paraId="36959B90" w14:textId="77777777" w:rsidR="00656E89" w:rsidRDefault="00656E89" w:rsidP="00656E89">
      <w:pPr>
        <w:spacing w:after="360" w:line="360" w:lineRule="auto"/>
        <w:ind w:left="720"/>
        <w:jc w:val="both"/>
        <w:rPr>
          <w:color w:val="000000"/>
          <w:lang w:val="en-US"/>
        </w:rPr>
      </w:pPr>
      <w:r>
        <w:rPr>
          <w:color w:val="000000"/>
          <w:lang w:val="en-US"/>
        </w:rPr>
        <w:t>“To summarize: The appellant, having bolstered its case on appeal by the introduction of the original title deed, has at last succeeded in establishing its ownership of the property concerned.”</w:t>
      </w:r>
    </w:p>
    <w:p w14:paraId="247DAD32" w14:textId="0A217363" w:rsidR="00656E89" w:rsidRDefault="00656E89" w:rsidP="00656E89">
      <w:pPr>
        <w:spacing w:after="360" w:line="360" w:lineRule="auto"/>
        <w:jc w:val="both"/>
        <w:rPr>
          <w:sz w:val="28"/>
          <w:szCs w:val="28"/>
        </w:rPr>
      </w:pPr>
      <w:r>
        <w:rPr>
          <w:color w:val="242121"/>
          <w:sz w:val="28"/>
          <w:szCs w:val="28"/>
          <w:lang w:eastAsia="en-ZA"/>
        </w:rPr>
        <w:t>[3</w:t>
      </w:r>
      <w:r w:rsidR="00A72940">
        <w:rPr>
          <w:color w:val="242121"/>
          <w:sz w:val="28"/>
          <w:szCs w:val="28"/>
          <w:lang w:eastAsia="en-ZA"/>
        </w:rPr>
        <w:t>2</w:t>
      </w:r>
      <w:r>
        <w:rPr>
          <w:color w:val="242121"/>
          <w:sz w:val="28"/>
          <w:szCs w:val="28"/>
          <w:lang w:eastAsia="en-ZA"/>
        </w:rPr>
        <w:t xml:space="preserve">] </w:t>
      </w:r>
      <w:r>
        <w:rPr>
          <w:color w:val="242121"/>
          <w:sz w:val="28"/>
          <w:szCs w:val="28"/>
          <w:lang w:eastAsia="en-ZA"/>
        </w:rPr>
        <w:tab/>
        <w:t xml:space="preserve">Importantly, in </w:t>
      </w:r>
      <w:r w:rsidRPr="00E346D2">
        <w:rPr>
          <w:i/>
          <w:iCs/>
          <w:color w:val="000000"/>
          <w:sz w:val="28"/>
          <w:szCs w:val="28"/>
          <w:lang w:eastAsia="en-ZA"/>
        </w:rPr>
        <w:t>Herbert N.O. and Others v Senqu Municipality and Others</w:t>
      </w:r>
      <w:r>
        <w:rPr>
          <w:rStyle w:val="FootnoteReference"/>
          <w:i/>
          <w:iCs/>
          <w:color w:val="000000"/>
          <w:sz w:val="28"/>
          <w:szCs w:val="28"/>
          <w:lang w:eastAsia="en-ZA"/>
        </w:rPr>
        <w:footnoteReference w:id="14"/>
      </w:r>
      <w:r>
        <w:rPr>
          <w:i/>
          <w:iCs/>
          <w:color w:val="000000"/>
          <w:sz w:val="28"/>
          <w:szCs w:val="28"/>
          <w:lang w:eastAsia="en-ZA"/>
        </w:rPr>
        <w:t xml:space="preserve"> </w:t>
      </w:r>
      <w:r w:rsidRPr="009F3CDC">
        <w:rPr>
          <w:iCs/>
          <w:color w:val="000000"/>
          <w:sz w:val="28"/>
          <w:szCs w:val="28"/>
          <w:lang w:eastAsia="en-ZA"/>
        </w:rPr>
        <w:t>the court held that</w:t>
      </w:r>
      <w:r>
        <w:rPr>
          <w:i/>
          <w:iCs/>
          <w:color w:val="000000"/>
          <w:sz w:val="28"/>
          <w:szCs w:val="28"/>
          <w:lang w:eastAsia="en-ZA"/>
        </w:rPr>
        <w:t xml:space="preserve"> </w:t>
      </w:r>
      <w:r>
        <w:rPr>
          <w:color w:val="242121"/>
          <w:sz w:val="28"/>
          <w:szCs w:val="28"/>
          <w:lang w:eastAsia="en-ZA"/>
        </w:rPr>
        <w:t>a</w:t>
      </w:r>
      <w:r w:rsidRPr="00E346D2">
        <w:rPr>
          <w:color w:val="000000"/>
          <w:sz w:val="28"/>
          <w:szCs w:val="28"/>
          <w:lang w:val="en-ZA" w:eastAsia="en-ZA"/>
        </w:rPr>
        <w:t> </w:t>
      </w:r>
      <w:r w:rsidRPr="00E346D2">
        <w:rPr>
          <w:color w:val="000000"/>
          <w:sz w:val="28"/>
          <w:szCs w:val="28"/>
          <w:lang w:eastAsia="en-ZA"/>
        </w:rPr>
        <w:t>P</w:t>
      </w:r>
      <w:r>
        <w:rPr>
          <w:color w:val="000000"/>
          <w:sz w:val="28"/>
          <w:szCs w:val="28"/>
          <w:lang w:eastAsia="en-ZA"/>
        </w:rPr>
        <w:t>TO</w:t>
      </w:r>
      <w:r w:rsidRPr="00E346D2">
        <w:rPr>
          <w:color w:val="000000"/>
          <w:sz w:val="28"/>
          <w:szCs w:val="28"/>
          <w:lang w:eastAsia="en-ZA"/>
        </w:rPr>
        <w:t xml:space="preserve"> does not confer ownership </w:t>
      </w:r>
      <w:r>
        <w:rPr>
          <w:color w:val="000000"/>
          <w:sz w:val="28"/>
          <w:szCs w:val="28"/>
          <w:lang w:eastAsia="en-ZA"/>
        </w:rPr>
        <w:t>of immovable property.  Notwithstanding, t</w:t>
      </w:r>
      <w:r>
        <w:rPr>
          <w:sz w:val="28"/>
          <w:szCs w:val="28"/>
        </w:rPr>
        <w:t>he main judgment heavily relies on the PTO as establishing the appellant’s right to evict the first respondent. Regrettably, I share a different view.</w:t>
      </w:r>
    </w:p>
    <w:p w14:paraId="046A0E64" w14:textId="7C6E1E6E" w:rsidR="00656E89" w:rsidRPr="00964D31" w:rsidRDefault="00656E89" w:rsidP="00656E89">
      <w:pPr>
        <w:spacing w:after="360" w:line="360" w:lineRule="auto"/>
        <w:jc w:val="both"/>
        <w:rPr>
          <w:i/>
          <w:iCs/>
          <w:sz w:val="28"/>
          <w:szCs w:val="28"/>
          <w:lang w:eastAsia="en-ZA"/>
        </w:rPr>
      </w:pPr>
      <w:r>
        <w:rPr>
          <w:sz w:val="28"/>
          <w:szCs w:val="28"/>
        </w:rPr>
        <w:t>[3</w:t>
      </w:r>
      <w:r w:rsidR="00A72940">
        <w:rPr>
          <w:sz w:val="28"/>
          <w:szCs w:val="28"/>
        </w:rPr>
        <w:t>3</w:t>
      </w:r>
      <w:r>
        <w:rPr>
          <w:sz w:val="28"/>
          <w:szCs w:val="28"/>
        </w:rPr>
        <w:t>]</w:t>
      </w:r>
      <w:r>
        <w:rPr>
          <w:sz w:val="28"/>
          <w:szCs w:val="28"/>
        </w:rPr>
        <w:tab/>
        <w:t xml:space="preserve">Section 4(1) of the PIE Act confers the right to apply for eviction only to the owner or the person in charge of the property. A reading of the record in this appeal clearly establishes that the appellant has based his application on the allegation that he is the registered owner of the property. On the binding authority of the Constitutional Court this is manifestly wrong as the PTO does not confer ownership to the holder. It is trite in our law that a litigant stands or falls by his or her papers. In this view I am fortified by the judgment of the </w:t>
      </w:r>
      <w:r>
        <w:rPr>
          <w:sz w:val="28"/>
          <w:szCs w:val="28"/>
        </w:rPr>
        <w:lastRenderedPageBreak/>
        <w:t xml:space="preserve">Constitutional Court in </w:t>
      </w:r>
      <w:r w:rsidRPr="001510C7">
        <w:rPr>
          <w:i/>
          <w:iCs/>
          <w:sz w:val="28"/>
          <w:szCs w:val="28"/>
        </w:rPr>
        <w:t>South African Transport and Allied Workers Union and Another</w:t>
      </w:r>
      <w:r w:rsidRPr="001510C7">
        <w:rPr>
          <w:sz w:val="28"/>
          <w:szCs w:val="28"/>
        </w:rPr>
        <w:t xml:space="preserve"> v </w:t>
      </w:r>
      <w:r w:rsidRPr="001510C7">
        <w:rPr>
          <w:i/>
          <w:iCs/>
          <w:sz w:val="28"/>
          <w:szCs w:val="28"/>
        </w:rPr>
        <w:t>Garvas and Others</w:t>
      </w:r>
      <w:r>
        <w:rPr>
          <w:rStyle w:val="FootnoteReference"/>
          <w:i/>
          <w:iCs/>
          <w:sz w:val="28"/>
          <w:szCs w:val="28"/>
        </w:rPr>
        <w:footnoteReference w:id="15"/>
      </w:r>
      <w:r w:rsidRPr="001510C7">
        <w:rPr>
          <w:i/>
          <w:iCs/>
          <w:sz w:val="28"/>
          <w:szCs w:val="28"/>
        </w:rPr>
        <w:t xml:space="preserve">, </w:t>
      </w:r>
      <w:r w:rsidRPr="001510C7">
        <w:rPr>
          <w:sz w:val="28"/>
          <w:szCs w:val="28"/>
        </w:rPr>
        <w:t>where the court said:</w:t>
      </w:r>
    </w:p>
    <w:p w14:paraId="73B6C0C8" w14:textId="77777777" w:rsidR="00656E89" w:rsidRDefault="00656E89" w:rsidP="00656E89">
      <w:pPr>
        <w:pStyle w:val="BodyA"/>
        <w:pBdr>
          <w:top w:val="none" w:sz="0" w:space="0" w:color="auto"/>
          <w:left w:val="none" w:sz="0" w:space="0" w:color="auto"/>
          <w:bottom w:val="none" w:sz="0" w:space="0" w:color="auto"/>
          <w:right w:val="none" w:sz="0" w:space="0" w:color="auto"/>
        </w:pBdr>
        <w:suppressAutoHyphens/>
        <w:spacing w:line="360" w:lineRule="auto"/>
        <w:ind w:left="567"/>
        <w:jc w:val="both"/>
        <w:rPr>
          <w:rFonts w:cs="Times New Roman"/>
        </w:rPr>
      </w:pPr>
      <w:r w:rsidRPr="007D3699">
        <w:rPr>
          <w:rFonts w:cs="Times New Roman"/>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 Moreover, past decisions of this Court have adopted this approach and in terms of the doctrine of judicial precedent we are bound to follow them unless we say they are clearly wrong. Judicial precedent serves the object of legal certainty. Following previous decisions constitutes not only compliance with the doctrine of judicial precedent but also accords with the principles of judicial discipline and accountability.’</w:t>
      </w:r>
      <w:r w:rsidRPr="007D3699">
        <w:rPr>
          <w:rFonts w:eastAsia="Times New Roman" w:cs="Times New Roman"/>
          <w:vertAlign w:val="superscript"/>
        </w:rPr>
        <w:footnoteReference w:id="16"/>
      </w:r>
      <w:r w:rsidRPr="007D3699">
        <w:rPr>
          <w:rFonts w:cs="Times New Roman"/>
        </w:rPr>
        <w:t xml:space="preserve"> [See also </w:t>
      </w:r>
      <w:r w:rsidRPr="007D3699">
        <w:rPr>
          <w:rFonts w:cs="Times New Roman"/>
          <w:i/>
          <w:iCs/>
        </w:rPr>
        <w:t>My Vote Counts NPC</w:t>
      </w:r>
      <w:r w:rsidRPr="007D3699">
        <w:rPr>
          <w:rFonts w:cs="Times New Roman"/>
        </w:rPr>
        <w:t xml:space="preserve"> v </w:t>
      </w:r>
      <w:r w:rsidRPr="007D3699">
        <w:rPr>
          <w:rFonts w:cs="Times New Roman"/>
          <w:i/>
          <w:iCs/>
        </w:rPr>
        <w:t>Speaker of the National Assembly and Others</w:t>
      </w:r>
      <w:r w:rsidRPr="007D3699">
        <w:rPr>
          <w:rFonts w:cs="Times New Roman"/>
        </w:rPr>
        <w:t xml:space="preserve">, </w:t>
      </w:r>
      <w:r w:rsidRPr="007D3699">
        <w:rPr>
          <w:rFonts w:cs="Times New Roman"/>
          <w:lang w:val="pt-PT"/>
        </w:rPr>
        <w:t>[2015] ZACC 31, paragraph 177</w:t>
      </w:r>
      <w:r w:rsidRPr="007D3699">
        <w:rPr>
          <w:rFonts w:cs="Times New Roman"/>
        </w:rPr>
        <w:t>].</w:t>
      </w:r>
    </w:p>
    <w:p w14:paraId="450EAA2C" w14:textId="77777777" w:rsidR="00656E89" w:rsidRPr="007D3699" w:rsidRDefault="00656E89" w:rsidP="00656E89">
      <w:pPr>
        <w:pStyle w:val="BodyA"/>
        <w:pBdr>
          <w:top w:val="none" w:sz="0" w:space="0" w:color="auto"/>
          <w:left w:val="none" w:sz="0" w:space="0" w:color="auto"/>
          <w:bottom w:val="none" w:sz="0" w:space="0" w:color="auto"/>
          <w:right w:val="none" w:sz="0" w:space="0" w:color="auto"/>
        </w:pBdr>
        <w:suppressAutoHyphens/>
        <w:spacing w:line="360" w:lineRule="auto"/>
        <w:ind w:left="567"/>
        <w:jc w:val="both"/>
        <w:rPr>
          <w:rFonts w:eastAsia="Times New Roman" w:cs="Times New Roman"/>
        </w:rPr>
      </w:pPr>
    </w:p>
    <w:p w14:paraId="5EA33B04" w14:textId="3234E064" w:rsidR="00656E89" w:rsidRPr="009F3CDC" w:rsidRDefault="00656E89" w:rsidP="00656E89">
      <w:pPr>
        <w:spacing w:after="360" w:line="360" w:lineRule="auto"/>
        <w:jc w:val="both"/>
        <w:rPr>
          <w:i/>
          <w:iCs/>
          <w:sz w:val="28"/>
          <w:szCs w:val="28"/>
          <w:lang w:eastAsia="en-ZA"/>
        </w:rPr>
      </w:pPr>
      <w:r>
        <w:rPr>
          <w:sz w:val="28"/>
          <w:szCs w:val="28"/>
        </w:rPr>
        <w:t>[3</w:t>
      </w:r>
      <w:r w:rsidR="00A72940">
        <w:rPr>
          <w:sz w:val="28"/>
          <w:szCs w:val="28"/>
        </w:rPr>
        <w:t>4</w:t>
      </w:r>
      <w:r>
        <w:rPr>
          <w:sz w:val="28"/>
          <w:szCs w:val="28"/>
        </w:rPr>
        <w:t xml:space="preserve">] </w:t>
      </w:r>
      <w:r>
        <w:rPr>
          <w:sz w:val="28"/>
          <w:szCs w:val="28"/>
        </w:rPr>
        <w:tab/>
        <w:t>The court is not at liberty to infer that the appellant was the person in charge contrary to his assertions of ownership in the papers.</w:t>
      </w:r>
      <w:r w:rsidRPr="00066B73">
        <w:rPr>
          <w:sz w:val="28"/>
          <w:szCs w:val="28"/>
        </w:rPr>
        <w:t xml:space="preserve"> </w:t>
      </w:r>
      <w:r>
        <w:rPr>
          <w:sz w:val="28"/>
          <w:szCs w:val="28"/>
        </w:rPr>
        <w:t xml:space="preserve">Consequently, a finding that the appellant is a person in charge of the property by virtue of the PTO, cannot be sustained. Unfortunately, the main </w:t>
      </w:r>
      <w:r w:rsidRPr="00A507A1">
        <w:rPr>
          <w:color w:val="000000" w:themeColor="text1"/>
          <w:sz w:val="28"/>
          <w:szCs w:val="28"/>
        </w:rPr>
        <w:t>judgment does</w:t>
      </w:r>
      <w:r>
        <w:rPr>
          <w:color w:val="000000" w:themeColor="text1"/>
          <w:sz w:val="28"/>
          <w:szCs w:val="28"/>
        </w:rPr>
        <w:t xml:space="preserve"> not</w:t>
      </w:r>
      <w:r w:rsidRPr="00A507A1">
        <w:rPr>
          <w:color w:val="000000" w:themeColor="text1"/>
          <w:sz w:val="28"/>
          <w:szCs w:val="28"/>
        </w:rPr>
        <w:t xml:space="preserve"> deal with this issue. </w:t>
      </w:r>
      <w:r>
        <w:rPr>
          <w:color w:val="000000" w:themeColor="text1"/>
          <w:sz w:val="28"/>
          <w:szCs w:val="28"/>
        </w:rPr>
        <w:t xml:space="preserve">In my view the appellant is neither an owner nor a person in charge and therefore lacks the necessary </w:t>
      </w:r>
      <w:r w:rsidRPr="008448FC">
        <w:rPr>
          <w:i/>
          <w:color w:val="000000" w:themeColor="text1"/>
          <w:sz w:val="28"/>
          <w:szCs w:val="28"/>
        </w:rPr>
        <w:t xml:space="preserve">locus standi </w:t>
      </w:r>
      <w:r>
        <w:rPr>
          <w:color w:val="000000" w:themeColor="text1"/>
          <w:sz w:val="28"/>
          <w:szCs w:val="28"/>
        </w:rPr>
        <w:t>to bring the proceedings in terms of the PIE Act.</w:t>
      </w:r>
    </w:p>
    <w:p w14:paraId="371BEAE9" w14:textId="283A1F6D" w:rsidR="00656E89" w:rsidRDefault="00656E89" w:rsidP="00656E89">
      <w:pPr>
        <w:spacing w:after="360" w:line="360" w:lineRule="auto"/>
        <w:jc w:val="both"/>
        <w:rPr>
          <w:sz w:val="28"/>
          <w:szCs w:val="28"/>
        </w:rPr>
      </w:pPr>
      <w:r>
        <w:rPr>
          <w:sz w:val="28"/>
          <w:szCs w:val="28"/>
        </w:rPr>
        <w:lastRenderedPageBreak/>
        <w:t>[3</w:t>
      </w:r>
      <w:r w:rsidR="00A72940">
        <w:rPr>
          <w:sz w:val="28"/>
          <w:szCs w:val="28"/>
        </w:rPr>
        <w:t>5</w:t>
      </w:r>
      <w:r>
        <w:rPr>
          <w:sz w:val="28"/>
          <w:szCs w:val="28"/>
        </w:rPr>
        <w:t>] Even though this finding is dispositive of the appeal on the eviction application, for the sake of completeness, it is necessary to deal with all the other aspects of the main judgment in which there is divergence.</w:t>
      </w:r>
    </w:p>
    <w:p w14:paraId="450FBA0C" w14:textId="6950E331" w:rsidR="00656E89" w:rsidRPr="00E53501" w:rsidRDefault="00656E89" w:rsidP="00656E89">
      <w:pPr>
        <w:spacing w:line="360" w:lineRule="auto"/>
        <w:jc w:val="both"/>
        <w:rPr>
          <w:sz w:val="28"/>
          <w:szCs w:val="28"/>
          <w:lang w:val="en-US"/>
        </w:rPr>
      </w:pPr>
      <w:r>
        <w:rPr>
          <w:sz w:val="28"/>
          <w:szCs w:val="28"/>
          <w:lang w:val="en-US"/>
        </w:rPr>
        <w:t>[3</w:t>
      </w:r>
      <w:r w:rsidR="00A72940">
        <w:rPr>
          <w:sz w:val="28"/>
          <w:szCs w:val="28"/>
          <w:lang w:val="en-US"/>
        </w:rPr>
        <w:t>6</w:t>
      </w:r>
      <w:r>
        <w:rPr>
          <w:sz w:val="28"/>
          <w:szCs w:val="28"/>
          <w:lang w:val="en-US"/>
        </w:rPr>
        <w:t>] In its determination, the majority judgement reached a finding that the property’s status as a common home is irrelevant to the proceedings. Respectfully,</w:t>
      </w:r>
      <w:r w:rsidRPr="007A5364">
        <w:rPr>
          <w:sz w:val="28"/>
          <w:szCs w:val="28"/>
          <w:lang w:val="en-US"/>
        </w:rPr>
        <w:t xml:space="preserve"> </w:t>
      </w:r>
      <w:r>
        <w:rPr>
          <w:sz w:val="28"/>
          <w:szCs w:val="28"/>
          <w:lang w:val="en-US"/>
        </w:rPr>
        <w:t xml:space="preserve">I </w:t>
      </w:r>
      <w:r w:rsidRPr="007A5364">
        <w:rPr>
          <w:sz w:val="28"/>
          <w:szCs w:val="28"/>
          <w:lang w:val="en-US"/>
        </w:rPr>
        <w:t xml:space="preserve">hold a different view. In opposing the eviction application, the </w:t>
      </w:r>
      <w:r>
        <w:rPr>
          <w:sz w:val="28"/>
          <w:szCs w:val="28"/>
          <w:lang w:val="en-US"/>
        </w:rPr>
        <w:t xml:space="preserve">first </w:t>
      </w:r>
      <w:r w:rsidRPr="007A5364">
        <w:rPr>
          <w:sz w:val="28"/>
          <w:szCs w:val="28"/>
          <w:lang w:val="en-US"/>
        </w:rPr>
        <w:t xml:space="preserve">respondent raised two grounds of </w:t>
      </w:r>
      <w:r>
        <w:rPr>
          <w:sz w:val="28"/>
          <w:szCs w:val="28"/>
          <w:lang w:val="en-US"/>
        </w:rPr>
        <w:t>opposition</w:t>
      </w:r>
      <w:r w:rsidRPr="007A5364">
        <w:rPr>
          <w:sz w:val="28"/>
          <w:szCs w:val="28"/>
          <w:lang w:val="en-US"/>
        </w:rPr>
        <w:t>, namely, that the property is a common home and the validity of the PTO.</w:t>
      </w:r>
      <w:r>
        <w:rPr>
          <w:sz w:val="28"/>
          <w:szCs w:val="28"/>
          <w:lang w:val="en-US"/>
        </w:rPr>
        <w:t xml:space="preserve"> For the purposes of these proceedings t</w:t>
      </w:r>
      <w:r>
        <w:rPr>
          <w:sz w:val="28"/>
          <w:szCs w:val="28"/>
        </w:rPr>
        <w:t xml:space="preserve">he PTO and the concept of a common home also known as a family home are intertwined. The words family home and common home will be used interchangeably. </w:t>
      </w:r>
    </w:p>
    <w:p w14:paraId="07612A31" w14:textId="77777777" w:rsidR="00656E89" w:rsidRDefault="00656E89" w:rsidP="00656E89">
      <w:pPr>
        <w:spacing w:line="360" w:lineRule="auto"/>
        <w:jc w:val="both"/>
        <w:rPr>
          <w:sz w:val="28"/>
          <w:szCs w:val="28"/>
        </w:rPr>
      </w:pPr>
    </w:p>
    <w:p w14:paraId="359C4662" w14:textId="3BB9C99D" w:rsidR="00656E89" w:rsidRDefault="00656E89" w:rsidP="00656E89">
      <w:pPr>
        <w:spacing w:line="360" w:lineRule="auto"/>
        <w:jc w:val="both"/>
        <w:rPr>
          <w:sz w:val="28"/>
          <w:szCs w:val="28"/>
          <w:lang w:val="en-US"/>
        </w:rPr>
      </w:pPr>
      <w:r>
        <w:rPr>
          <w:sz w:val="28"/>
          <w:szCs w:val="28"/>
        </w:rPr>
        <w:t>[3</w:t>
      </w:r>
      <w:r w:rsidR="00A72940">
        <w:rPr>
          <w:sz w:val="28"/>
          <w:szCs w:val="28"/>
        </w:rPr>
        <w:t>7</w:t>
      </w:r>
      <w:r>
        <w:rPr>
          <w:sz w:val="28"/>
          <w:szCs w:val="28"/>
        </w:rPr>
        <w:t xml:space="preserve">] </w:t>
      </w:r>
      <w:r>
        <w:rPr>
          <w:sz w:val="28"/>
          <w:szCs w:val="28"/>
        </w:rPr>
        <w:tab/>
        <w:t>The appellant, faced with the defence of the property being a common home, maintained his stance as a registered owner of the property. Curiously, he does not explicitly dispute the respondent’s version. To properly assess</w:t>
      </w:r>
      <w:r>
        <w:rPr>
          <w:sz w:val="28"/>
          <w:szCs w:val="28"/>
          <w:lang w:val="en-US"/>
        </w:rPr>
        <w:t xml:space="preserve"> and evaluate the facts of this case, consideration ought to be given to the history of insecure land tenure, the allocation of communal land under the previous regime and the traditions and practices within the black communities.  The term, common home or family house, </w:t>
      </w:r>
      <w:r w:rsidRPr="00B973B8">
        <w:rPr>
          <w:sz w:val="28"/>
          <w:szCs w:val="28"/>
          <w:lang w:val="en-US"/>
        </w:rPr>
        <w:t xml:space="preserve">was and </w:t>
      </w:r>
      <w:r>
        <w:rPr>
          <w:sz w:val="28"/>
          <w:szCs w:val="28"/>
          <w:lang w:val="en-US"/>
        </w:rPr>
        <w:t xml:space="preserve">is </w:t>
      </w:r>
      <w:r w:rsidRPr="00B973B8">
        <w:rPr>
          <w:sz w:val="28"/>
          <w:szCs w:val="28"/>
          <w:lang w:val="en-US"/>
        </w:rPr>
        <w:t xml:space="preserve">still a term denoting a widely practised right to property in </w:t>
      </w:r>
      <w:r>
        <w:rPr>
          <w:sz w:val="28"/>
          <w:szCs w:val="28"/>
          <w:lang w:val="en-US"/>
        </w:rPr>
        <w:t>the</w:t>
      </w:r>
      <w:r w:rsidRPr="00B973B8">
        <w:rPr>
          <w:sz w:val="28"/>
          <w:szCs w:val="28"/>
          <w:lang w:val="en-US"/>
        </w:rPr>
        <w:t xml:space="preserve"> </w:t>
      </w:r>
      <w:r>
        <w:rPr>
          <w:sz w:val="28"/>
          <w:szCs w:val="28"/>
          <w:lang w:val="en-US"/>
        </w:rPr>
        <w:t>urban and rural context amongst the black communities</w:t>
      </w:r>
      <w:r w:rsidRPr="00B973B8">
        <w:rPr>
          <w:sz w:val="28"/>
          <w:szCs w:val="28"/>
          <w:lang w:val="en-US"/>
        </w:rPr>
        <w:t xml:space="preserve">. It has long historical roots in apartheid urban tenure predating the extension of leasehold and ownership rights for black people, but continues to have strong traction with </w:t>
      </w:r>
      <w:r>
        <w:rPr>
          <w:sz w:val="28"/>
          <w:szCs w:val="28"/>
          <w:lang w:val="en-US"/>
        </w:rPr>
        <w:t>ownership and title in the modern era</w:t>
      </w:r>
      <w:r w:rsidRPr="00B973B8">
        <w:rPr>
          <w:sz w:val="28"/>
          <w:szCs w:val="28"/>
          <w:lang w:val="en-US"/>
        </w:rPr>
        <w:t xml:space="preserve">. </w:t>
      </w:r>
    </w:p>
    <w:p w14:paraId="4744FA5D" w14:textId="77777777" w:rsidR="00656E89" w:rsidRDefault="00656E89" w:rsidP="00656E89">
      <w:pPr>
        <w:spacing w:line="360" w:lineRule="auto"/>
        <w:jc w:val="both"/>
        <w:rPr>
          <w:sz w:val="28"/>
          <w:szCs w:val="28"/>
          <w:lang w:val="en-US"/>
        </w:rPr>
      </w:pPr>
    </w:p>
    <w:p w14:paraId="3C4596AE" w14:textId="61CC80D9" w:rsidR="00656E89" w:rsidRDefault="00656E89" w:rsidP="00656E89">
      <w:pPr>
        <w:spacing w:line="360" w:lineRule="auto"/>
        <w:jc w:val="both"/>
        <w:rPr>
          <w:sz w:val="28"/>
          <w:szCs w:val="28"/>
          <w:lang w:val="en-US"/>
        </w:rPr>
      </w:pPr>
      <w:r>
        <w:rPr>
          <w:sz w:val="28"/>
          <w:szCs w:val="28"/>
          <w:lang w:val="en-US"/>
        </w:rPr>
        <w:lastRenderedPageBreak/>
        <w:t>[3</w:t>
      </w:r>
      <w:r w:rsidR="00A72940">
        <w:rPr>
          <w:sz w:val="28"/>
          <w:szCs w:val="28"/>
          <w:lang w:val="en-US"/>
        </w:rPr>
        <w:t>8</w:t>
      </w:r>
      <w:r>
        <w:rPr>
          <w:sz w:val="28"/>
          <w:szCs w:val="28"/>
          <w:lang w:val="en-US"/>
        </w:rPr>
        <w:t xml:space="preserve">] </w:t>
      </w:r>
      <w:r>
        <w:rPr>
          <w:sz w:val="28"/>
          <w:szCs w:val="28"/>
          <w:lang w:val="en-US"/>
        </w:rPr>
        <w:tab/>
        <w:t>As a starting point, it is important to understand and apply customary law in its own framework and not through the lens of common law</w:t>
      </w:r>
      <w:r>
        <w:rPr>
          <w:rStyle w:val="FootnoteReference"/>
          <w:sz w:val="28"/>
          <w:szCs w:val="28"/>
          <w:lang w:val="en-US"/>
        </w:rPr>
        <w:footnoteReference w:id="17"/>
      </w:r>
      <w:r>
        <w:rPr>
          <w:sz w:val="28"/>
          <w:szCs w:val="28"/>
          <w:lang w:val="en-US"/>
        </w:rPr>
        <w:t xml:space="preserve">. I understand a PTO to be a form of tenure that is issued in communal land and does not give the full ownership but only a perpetual right to occupy. In the traditional context, the appellant as the holder of the PTO is regarded as a custodian or a caretaker of the property with a collective kin-based obligation to preserve the property for the family, the ancestors and for future generations. </w:t>
      </w:r>
    </w:p>
    <w:p w14:paraId="54B26355" w14:textId="77777777" w:rsidR="00656E89" w:rsidRDefault="00656E89" w:rsidP="00656E89">
      <w:pPr>
        <w:spacing w:line="360" w:lineRule="auto"/>
        <w:jc w:val="both"/>
        <w:rPr>
          <w:sz w:val="28"/>
          <w:szCs w:val="28"/>
          <w:lang w:val="en-US"/>
        </w:rPr>
      </w:pPr>
    </w:p>
    <w:p w14:paraId="5A9990B7" w14:textId="7E3B34E6" w:rsidR="00656E89" w:rsidRDefault="00656E89" w:rsidP="00656E89">
      <w:pPr>
        <w:pStyle w:val="Default"/>
        <w:spacing w:line="360" w:lineRule="auto"/>
        <w:jc w:val="both"/>
        <w:rPr>
          <w:sz w:val="28"/>
          <w:szCs w:val="28"/>
        </w:rPr>
      </w:pPr>
      <w:r>
        <w:rPr>
          <w:sz w:val="28"/>
          <w:szCs w:val="28"/>
        </w:rPr>
        <w:t>[3</w:t>
      </w:r>
      <w:r w:rsidR="00A72940">
        <w:rPr>
          <w:sz w:val="28"/>
          <w:szCs w:val="28"/>
        </w:rPr>
        <w:t>9</w:t>
      </w:r>
      <w:r>
        <w:rPr>
          <w:sz w:val="28"/>
          <w:szCs w:val="28"/>
        </w:rPr>
        <w:t xml:space="preserve">] </w:t>
      </w:r>
      <w:r>
        <w:rPr>
          <w:sz w:val="28"/>
          <w:szCs w:val="28"/>
        </w:rPr>
        <w:tab/>
        <w:t>One can discern from the scanty information provided in the pleadings that both the appellant and the respondent occupied the property as their family home before the demise of their parents. The appellant does not deny that the PTO was in the name of their father before it was issued in his name. The circumstances upon which the PTO was issued in the name of the appellant whilst their mother was still alive, are not clear.</w:t>
      </w:r>
      <w:r>
        <w:rPr>
          <w:rStyle w:val="FootnoteReference"/>
          <w:sz w:val="28"/>
          <w:szCs w:val="28"/>
        </w:rPr>
        <w:footnoteReference w:id="18"/>
      </w:r>
      <w:r>
        <w:rPr>
          <w:sz w:val="28"/>
          <w:szCs w:val="28"/>
        </w:rPr>
        <w:t xml:space="preserve">  In terms of the proclamation, when a holder of a PTO passes on, the land reverts to the tribal authority and a new PTO will be issued. In practise the name of the person to take over as the holder of a PTO is normally identified and agreed to by family members. </w:t>
      </w:r>
    </w:p>
    <w:p w14:paraId="50519858" w14:textId="77777777" w:rsidR="00656E89" w:rsidRDefault="00656E89" w:rsidP="00656E89">
      <w:pPr>
        <w:pStyle w:val="Default"/>
        <w:spacing w:line="360" w:lineRule="auto"/>
        <w:jc w:val="both"/>
        <w:rPr>
          <w:sz w:val="28"/>
          <w:szCs w:val="28"/>
        </w:rPr>
      </w:pPr>
    </w:p>
    <w:p w14:paraId="654E35F8" w14:textId="3AC3837D" w:rsidR="00656E89" w:rsidRDefault="00656E89" w:rsidP="00656E89">
      <w:pPr>
        <w:pStyle w:val="Default"/>
        <w:spacing w:line="360" w:lineRule="auto"/>
        <w:jc w:val="both"/>
        <w:rPr>
          <w:sz w:val="28"/>
          <w:szCs w:val="28"/>
          <w:lang w:val="en-US"/>
        </w:rPr>
      </w:pPr>
      <w:r>
        <w:rPr>
          <w:sz w:val="28"/>
          <w:szCs w:val="28"/>
          <w:lang w:val="en-US"/>
        </w:rPr>
        <w:lastRenderedPageBreak/>
        <w:t>[</w:t>
      </w:r>
      <w:r w:rsidR="00A72940">
        <w:rPr>
          <w:sz w:val="28"/>
          <w:szCs w:val="28"/>
          <w:lang w:val="en-US"/>
        </w:rPr>
        <w:t>40</w:t>
      </w:r>
      <w:r>
        <w:rPr>
          <w:sz w:val="28"/>
          <w:szCs w:val="28"/>
          <w:lang w:val="en-US"/>
        </w:rPr>
        <w:t xml:space="preserve">] </w:t>
      </w:r>
      <w:r>
        <w:rPr>
          <w:sz w:val="28"/>
          <w:szCs w:val="28"/>
          <w:lang w:val="en-US"/>
        </w:rPr>
        <w:tab/>
        <w:t xml:space="preserve">In her opposing papers, the first respondent made it clear that she did not give consent for the PTO to be issued in the name of the appellant. According to her, she got to know about the PTO being in the name of the appellant during the court proceedings. This contention is supported by their sister who filed an affidavit in support of the first respondent. These averments are not disputed by the appellant. </w:t>
      </w:r>
    </w:p>
    <w:p w14:paraId="0479484F" w14:textId="77777777" w:rsidR="00656E89" w:rsidRDefault="00656E89" w:rsidP="00656E89">
      <w:pPr>
        <w:pStyle w:val="Default"/>
        <w:spacing w:line="360" w:lineRule="auto"/>
        <w:jc w:val="both"/>
        <w:rPr>
          <w:sz w:val="28"/>
          <w:szCs w:val="28"/>
          <w:lang w:val="en-US"/>
        </w:rPr>
      </w:pPr>
    </w:p>
    <w:p w14:paraId="3BD7B0AD" w14:textId="714B4743" w:rsidR="00656E89" w:rsidRDefault="00656E89" w:rsidP="00656E89">
      <w:pPr>
        <w:pStyle w:val="Default"/>
        <w:spacing w:line="360" w:lineRule="auto"/>
        <w:jc w:val="both"/>
        <w:rPr>
          <w:sz w:val="28"/>
          <w:szCs w:val="28"/>
        </w:rPr>
      </w:pPr>
      <w:r>
        <w:rPr>
          <w:sz w:val="28"/>
          <w:szCs w:val="28"/>
          <w:lang w:val="en-US"/>
        </w:rPr>
        <w:t>[</w:t>
      </w:r>
      <w:r w:rsidR="00A72940">
        <w:rPr>
          <w:sz w:val="28"/>
          <w:szCs w:val="28"/>
          <w:lang w:val="en-US"/>
        </w:rPr>
        <w:t>41</w:t>
      </w:r>
      <w:r>
        <w:rPr>
          <w:sz w:val="28"/>
          <w:szCs w:val="28"/>
          <w:lang w:val="en-US"/>
        </w:rPr>
        <w:t xml:space="preserve">] </w:t>
      </w:r>
      <w:r>
        <w:rPr>
          <w:sz w:val="28"/>
          <w:szCs w:val="28"/>
          <w:lang w:val="en-US"/>
        </w:rPr>
        <w:tab/>
        <w:t xml:space="preserve">The high court in Gauteng recently had an opportunity to deal with a similar dispute over a family house initially allocated in terms of the insecure land tenure in </w:t>
      </w:r>
      <w:r w:rsidRPr="00FB3EA6">
        <w:rPr>
          <w:i/>
          <w:iCs/>
          <w:sz w:val="28"/>
          <w:szCs w:val="28"/>
        </w:rPr>
        <w:t>Shomang v Motsose N.O. and Others</w:t>
      </w:r>
      <w:r>
        <w:rPr>
          <w:rStyle w:val="FootnoteReference"/>
          <w:sz w:val="28"/>
          <w:szCs w:val="28"/>
        </w:rPr>
        <w:footnoteReference w:id="19"/>
      </w:r>
      <w:r>
        <w:rPr>
          <w:sz w:val="28"/>
          <w:szCs w:val="28"/>
        </w:rPr>
        <w:t>. As a background, t</w:t>
      </w:r>
      <w:r w:rsidRPr="00940B81">
        <w:rPr>
          <w:color w:val="auto"/>
          <w:sz w:val="28"/>
          <w:szCs w:val="28"/>
          <w:lang w:val="en-US"/>
        </w:rPr>
        <w:t>he property in question was designated for occupation by "Black People" in terms of the Apartheid Black (Urban Areas) Consolidation Act</w:t>
      </w:r>
      <w:r>
        <w:rPr>
          <w:color w:val="auto"/>
          <w:sz w:val="28"/>
          <w:szCs w:val="28"/>
          <w:lang w:val="en-US"/>
        </w:rPr>
        <w:t xml:space="preserve">. </w:t>
      </w:r>
      <w:r w:rsidRPr="00940B81">
        <w:rPr>
          <w:color w:val="auto"/>
          <w:sz w:val="28"/>
          <w:szCs w:val="28"/>
          <w:lang w:val="en-US"/>
        </w:rPr>
        <w:t xml:space="preserve">Because black people were not allowed to own property in urban township areas, the State issued permits, residential permits and certificates of occupation, granted in terms of the Regulations Governing the Control and supervision of an Urban Black Residential Area. </w:t>
      </w:r>
      <w:r>
        <w:rPr>
          <w:color w:val="auto"/>
          <w:sz w:val="28"/>
          <w:szCs w:val="28"/>
          <w:lang w:val="en-US"/>
        </w:rPr>
        <w:t>T</w:t>
      </w:r>
      <w:r w:rsidRPr="00B973B8">
        <w:rPr>
          <w:color w:val="auto"/>
          <w:sz w:val="28"/>
          <w:szCs w:val="28"/>
          <w:lang w:val="en-US"/>
        </w:rPr>
        <w:t xml:space="preserve">he property </w:t>
      </w:r>
      <w:r>
        <w:rPr>
          <w:color w:val="auto"/>
          <w:sz w:val="28"/>
          <w:szCs w:val="28"/>
          <w:lang w:val="en-US"/>
        </w:rPr>
        <w:t xml:space="preserve">was labelled as a family house </w:t>
      </w:r>
      <w:r w:rsidRPr="00B973B8">
        <w:rPr>
          <w:color w:val="auto"/>
          <w:sz w:val="28"/>
          <w:szCs w:val="28"/>
          <w:lang w:val="en-US"/>
        </w:rPr>
        <w:t xml:space="preserve">according to the practices of the </w:t>
      </w:r>
      <w:r>
        <w:rPr>
          <w:color w:val="auto"/>
          <w:sz w:val="28"/>
          <w:szCs w:val="28"/>
          <w:lang w:val="en-US"/>
        </w:rPr>
        <w:t xml:space="preserve">time. </w:t>
      </w:r>
      <w:r>
        <w:rPr>
          <w:sz w:val="28"/>
          <w:szCs w:val="28"/>
          <w:lang w:val="en-US"/>
        </w:rPr>
        <w:t>With the promulgation of t</w:t>
      </w:r>
      <w:r w:rsidRPr="008465B2">
        <w:rPr>
          <w:sz w:val="28"/>
          <w:szCs w:val="28"/>
        </w:rPr>
        <w:t>he Upgrading of Land Tenure Rights Act</w:t>
      </w:r>
      <w:r w:rsidRPr="008465B2">
        <w:rPr>
          <w:sz w:val="28"/>
          <w:szCs w:val="28"/>
          <w:vertAlign w:val="superscript"/>
        </w:rPr>
        <w:footnoteReference w:id="20"/>
      </w:r>
      <w:r w:rsidRPr="008465B2">
        <w:rPr>
          <w:sz w:val="28"/>
          <w:szCs w:val="28"/>
        </w:rPr>
        <w:t xml:space="preserve"> (ULTRA)</w:t>
      </w:r>
      <w:r>
        <w:rPr>
          <w:sz w:val="28"/>
          <w:szCs w:val="28"/>
        </w:rPr>
        <w:t xml:space="preserve"> and t</w:t>
      </w:r>
      <w:r w:rsidRPr="007A18A3">
        <w:rPr>
          <w:sz w:val="28"/>
          <w:szCs w:val="28"/>
        </w:rPr>
        <w:t>he Conversion Act</w:t>
      </w:r>
      <w:r>
        <w:rPr>
          <w:rStyle w:val="FootnoteReference"/>
          <w:sz w:val="28"/>
          <w:szCs w:val="28"/>
        </w:rPr>
        <w:footnoteReference w:id="21"/>
      </w:r>
      <w:r w:rsidRPr="008465B2">
        <w:rPr>
          <w:sz w:val="28"/>
          <w:szCs w:val="28"/>
        </w:rPr>
        <w:t xml:space="preserve"> </w:t>
      </w:r>
      <w:r>
        <w:rPr>
          <w:sz w:val="28"/>
          <w:szCs w:val="28"/>
        </w:rPr>
        <w:t xml:space="preserve">the property qualified to be transferred and registered in the name of a qualifying beneficiary. The family members wanted the property to be registered as a family title. Since that was not possible, they were forced to nominate a member of the family to be registered as a custodian of the title of the property on behalf of the family. The agreement between the family members was recorded in </w:t>
      </w:r>
      <w:r w:rsidRPr="00E96AAF">
        <w:rPr>
          <w:sz w:val="28"/>
          <w:szCs w:val="28"/>
        </w:rPr>
        <w:t>a Family House Rights Agreement</w:t>
      </w:r>
      <w:r>
        <w:rPr>
          <w:sz w:val="28"/>
          <w:szCs w:val="28"/>
        </w:rPr>
        <w:t xml:space="preserve"> outlining the supervisory role of the custodian. </w:t>
      </w:r>
    </w:p>
    <w:p w14:paraId="43CD6565" w14:textId="5C9F1CF8" w:rsidR="00656E89" w:rsidRDefault="00656E89" w:rsidP="00656E89">
      <w:pPr>
        <w:pStyle w:val="Default"/>
        <w:spacing w:line="360" w:lineRule="auto"/>
        <w:jc w:val="both"/>
        <w:rPr>
          <w:color w:val="auto"/>
          <w:sz w:val="28"/>
          <w:szCs w:val="28"/>
          <w:lang w:val="en-US"/>
        </w:rPr>
      </w:pPr>
      <w:r>
        <w:rPr>
          <w:sz w:val="28"/>
          <w:szCs w:val="28"/>
        </w:rPr>
        <w:lastRenderedPageBreak/>
        <w:t>[4</w:t>
      </w:r>
      <w:r w:rsidR="00A72940">
        <w:rPr>
          <w:sz w:val="28"/>
          <w:szCs w:val="28"/>
        </w:rPr>
        <w:t>2</w:t>
      </w:r>
      <w:r>
        <w:rPr>
          <w:sz w:val="28"/>
          <w:szCs w:val="28"/>
        </w:rPr>
        <w:t xml:space="preserve">] </w:t>
      </w:r>
      <w:r>
        <w:rPr>
          <w:sz w:val="28"/>
          <w:szCs w:val="28"/>
        </w:rPr>
        <w:tab/>
        <w:t>It appears that t</w:t>
      </w:r>
      <w:r>
        <w:rPr>
          <w:color w:val="auto"/>
          <w:sz w:val="28"/>
          <w:szCs w:val="28"/>
          <w:lang w:val="en-US"/>
        </w:rPr>
        <w:t>he problem started when the nominated custodian and caretaker of the property passed on, resulting in the appointment of his son as an executor of his estate. Subsequent to his appointment, the executor threatened to evict the other members from the property including the applicant. In an effort t</w:t>
      </w:r>
      <w:r>
        <w:rPr>
          <w:sz w:val="28"/>
          <w:szCs w:val="28"/>
        </w:rPr>
        <w:t xml:space="preserve">o protect and preserve the family home, the applicant approached the court. </w:t>
      </w:r>
      <w:r>
        <w:rPr>
          <w:color w:val="auto"/>
          <w:sz w:val="28"/>
          <w:szCs w:val="28"/>
          <w:lang w:val="en-US"/>
        </w:rPr>
        <w:t xml:space="preserve">The court made findings favourable to the applicant and ordered the property to be declared as subject to </w:t>
      </w:r>
      <w:r w:rsidRPr="004C3E0D">
        <w:rPr>
          <w:sz w:val="28"/>
          <w:szCs w:val="28"/>
        </w:rPr>
        <w:t>a family rights agreement</w:t>
      </w:r>
      <w:r>
        <w:rPr>
          <w:color w:val="auto"/>
          <w:sz w:val="28"/>
          <w:szCs w:val="28"/>
          <w:lang w:val="en-US"/>
        </w:rPr>
        <w:t xml:space="preserve">t, and the registration of the property in the name of the applicant as a custodian. </w:t>
      </w:r>
    </w:p>
    <w:p w14:paraId="39B79A6D" w14:textId="77777777" w:rsidR="00656E89" w:rsidRDefault="00656E89" w:rsidP="00656E89">
      <w:pPr>
        <w:pStyle w:val="Default"/>
        <w:spacing w:line="360" w:lineRule="auto"/>
        <w:jc w:val="both"/>
        <w:rPr>
          <w:color w:val="auto"/>
          <w:sz w:val="28"/>
          <w:szCs w:val="28"/>
          <w:lang w:val="en-US"/>
        </w:rPr>
      </w:pPr>
    </w:p>
    <w:p w14:paraId="53AC0D0E" w14:textId="7EA8A702" w:rsidR="00656E89" w:rsidRPr="00E610D3" w:rsidRDefault="00656E89" w:rsidP="00656E89">
      <w:pPr>
        <w:pStyle w:val="Default"/>
        <w:spacing w:line="360" w:lineRule="auto"/>
        <w:jc w:val="both"/>
        <w:rPr>
          <w:color w:val="auto"/>
          <w:sz w:val="28"/>
          <w:szCs w:val="28"/>
          <w:lang w:val="en-US"/>
        </w:rPr>
      </w:pPr>
      <w:r>
        <w:rPr>
          <w:color w:val="auto"/>
          <w:sz w:val="28"/>
          <w:szCs w:val="28"/>
          <w:lang w:val="en-US"/>
        </w:rPr>
        <w:t>[4</w:t>
      </w:r>
      <w:r w:rsidR="00A72940">
        <w:rPr>
          <w:color w:val="auto"/>
          <w:sz w:val="28"/>
          <w:szCs w:val="28"/>
          <w:lang w:val="en-US"/>
        </w:rPr>
        <w:t>3</w:t>
      </w:r>
      <w:r>
        <w:rPr>
          <w:color w:val="auto"/>
          <w:sz w:val="28"/>
          <w:szCs w:val="28"/>
          <w:lang w:val="en-US"/>
        </w:rPr>
        <w:t xml:space="preserve">] </w:t>
      </w:r>
      <w:r>
        <w:rPr>
          <w:color w:val="auto"/>
          <w:sz w:val="28"/>
          <w:szCs w:val="28"/>
          <w:lang w:val="en-US"/>
        </w:rPr>
        <w:tab/>
        <w:t>This judgment</w:t>
      </w:r>
      <w:r>
        <w:rPr>
          <w:sz w:val="28"/>
          <w:szCs w:val="28"/>
          <w:lang w:val="en-US"/>
        </w:rPr>
        <w:t xml:space="preserve"> </w:t>
      </w:r>
      <w:r>
        <w:rPr>
          <w:sz w:val="28"/>
          <w:szCs w:val="28"/>
        </w:rPr>
        <w:t xml:space="preserve">is a clear indication </w:t>
      </w:r>
      <w:r w:rsidRPr="00B973B8">
        <w:rPr>
          <w:color w:val="auto"/>
          <w:sz w:val="28"/>
          <w:szCs w:val="28"/>
        </w:rPr>
        <w:t>that t</w:t>
      </w:r>
      <w:r w:rsidRPr="00B973B8">
        <w:rPr>
          <w:color w:val="auto"/>
          <w:sz w:val="28"/>
          <w:szCs w:val="28"/>
          <w:lang w:val="en-US"/>
        </w:rPr>
        <w:t>he need to recognize family ownership</w:t>
      </w:r>
      <w:r>
        <w:rPr>
          <w:color w:val="auto"/>
          <w:sz w:val="28"/>
          <w:szCs w:val="28"/>
          <w:lang w:val="en-US"/>
        </w:rPr>
        <w:t>,</w:t>
      </w:r>
      <w:r w:rsidRPr="00B973B8">
        <w:rPr>
          <w:color w:val="auto"/>
          <w:sz w:val="28"/>
          <w:szCs w:val="28"/>
          <w:lang w:val="en-US"/>
        </w:rPr>
        <w:t xml:space="preserve"> as a distinctive form of holding immovable proper</w:t>
      </w:r>
      <w:r>
        <w:rPr>
          <w:color w:val="auto"/>
          <w:sz w:val="28"/>
          <w:szCs w:val="28"/>
          <w:lang w:val="en-US"/>
        </w:rPr>
        <w:t>ty, is not only a reality but a constitutional imperative. T</w:t>
      </w:r>
      <w:r w:rsidRPr="00B973B8">
        <w:rPr>
          <w:color w:val="auto"/>
          <w:sz w:val="28"/>
          <w:szCs w:val="28"/>
          <w:lang w:val="en-US"/>
        </w:rPr>
        <w:t xml:space="preserve">he court made a case for a new kind of property right. </w:t>
      </w:r>
      <w:r>
        <w:rPr>
          <w:color w:val="auto"/>
          <w:sz w:val="28"/>
          <w:szCs w:val="28"/>
          <w:lang w:val="en-US"/>
        </w:rPr>
        <w:t>Furthermore, i</w:t>
      </w:r>
      <w:r w:rsidRPr="00B973B8">
        <w:rPr>
          <w:color w:val="auto"/>
          <w:sz w:val="28"/>
          <w:szCs w:val="28"/>
          <w:lang w:val="en-US"/>
        </w:rPr>
        <w:t>t alluded to the absence in law of a family property or a family right as a lacuna with serious constitutional implications.</w:t>
      </w:r>
      <w:r>
        <w:rPr>
          <w:color w:val="auto"/>
          <w:sz w:val="28"/>
          <w:szCs w:val="28"/>
          <w:lang w:val="en-US"/>
        </w:rPr>
        <w:t xml:space="preserve"> </w:t>
      </w:r>
      <w:r w:rsidRPr="008465B2">
        <w:rPr>
          <w:color w:val="auto"/>
          <w:sz w:val="28"/>
          <w:szCs w:val="28"/>
          <w:lang w:val="en-US"/>
        </w:rPr>
        <w:t xml:space="preserve">Although this case relates to land tenure in an urban set up there is no reason </w:t>
      </w:r>
      <w:r>
        <w:rPr>
          <w:color w:val="auto"/>
          <w:sz w:val="28"/>
          <w:szCs w:val="28"/>
          <w:lang w:val="en-US"/>
        </w:rPr>
        <w:t>why</w:t>
      </w:r>
      <w:r w:rsidRPr="008465B2">
        <w:rPr>
          <w:color w:val="auto"/>
          <w:sz w:val="28"/>
          <w:szCs w:val="28"/>
          <w:lang w:val="en-US"/>
        </w:rPr>
        <w:t xml:space="preserve"> the same principle </w:t>
      </w:r>
      <w:r>
        <w:rPr>
          <w:color w:val="auto"/>
          <w:sz w:val="28"/>
          <w:szCs w:val="28"/>
          <w:lang w:val="en-US"/>
        </w:rPr>
        <w:t xml:space="preserve">is </w:t>
      </w:r>
      <w:r w:rsidRPr="008465B2">
        <w:rPr>
          <w:color w:val="auto"/>
          <w:sz w:val="28"/>
          <w:szCs w:val="28"/>
          <w:lang w:val="en-US"/>
        </w:rPr>
        <w:t xml:space="preserve">not to be </w:t>
      </w:r>
      <w:r>
        <w:rPr>
          <w:color w:val="auto"/>
          <w:sz w:val="28"/>
          <w:szCs w:val="28"/>
          <w:lang w:val="en-US"/>
        </w:rPr>
        <w:t>adopted</w:t>
      </w:r>
      <w:r w:rsidRPr="008465B2">
        <w:rPr>
          <w:color w:val="auto"/>
          <w:sz w:val="28"/>
          <w:szCs w:val="28"/>
          <w:lang w:val="en-US"/>
        </w:rPr>
        <w:t xml:space="preserve"> in the rural set up. </w:t>
      </w:r>
      <w:r>
        <w:rPr>
          <w:color w:val="auto"/>
          <w:sz w:val="28"/>
          <w:szCs w:val="28"/>
          <w:lang w:val="en-US"/>
        </w:rPr>
        <w:t>In any event</w:t>
      </w:r>
      <w:r w:rsidRPr="008465B2">
        <w:rPr>
          <w:color w:val="auto"/>
          <w:sz w:val="28"/>
          <w:szCs w:val="28"/>
          <w:lang w:val="en-US"/>
        </w:rPr>
        <w:t xml:space="preserve">, the practice </w:t>
      </w:r>
      <w:r>
        <w:rPr>
          <w:color w:val="auto"/>
          <w:sz w:val="28"/>
          <w:szCs w:val="28"/>
          <w:lang w:val="en-US"/>
        </w:rPr>
        <w:t xml:space="preserve">of a family home </w:t>
      </w:r>
      <w:r w:rsidRPr="008465B2">
        <w:rPr>
          <w:color w:val="auto"/>
          <w:sz w:val="28"/>
          <w:szCs w:val="28"/>
          <w:lang w:val="en-US"/>
        </w:rPr>
        <w:t>has its origins from the rural areas.</w:t>
      </w:r>
    </w:p>
    <w:p w14:paraId="0A7DBA8A" w14:textId="77777777" w:rsidR="00656E89" w:rsidRDefault="00656E89" w:rsidP="00656E89">
      <w:pPr>
        <w:pStyle w:val="Default"/>
        <w:spacing w:line="360" w:lineRule="auto"/>
        <w:jc w:val="both"/>
        <w:rPr>
          <w:sz w:val="28"/>
          <w:szCs w:val="28"/>
          <w:lang w:val="en-US"/>
        </w:rPr>
      </w:pPr>
    </w:p>
    <w:p w14:paraId="40E42BA3" w14:textId="258539F0" w:rsidR="00656E89" w:rsidRDefault="00656E89" w:rsidP="00656E89">
      <w:pPr>
        <w:spacing w:line="360" w:lineRule="auto"/>
        <w:jc w:val="both"/>
        <w:rPr>
          <w:sz w:val="28"/>
          <w:szCs w:val="28"/>
        </w:rPr>
      </w:pPr>
      <w:r>
        <w:rPr>
          <w:rFonts w:eastAsiaTheme="minorHAnsi"/>
          <w:color w:val="000000"/>
          <w:sz w:val="28"/>
          <w:szCs w:val="28"/>
          <w:lang w:val="en-ZA"/>
          <w14:ligatures w14:val="standardContextual"/>
        </w:rPr>
        <w:t>[4</w:t>
      </w:r>
      <w:r w:rsidR="00A72940">
        <w:rPr>
          <w:rFonts w:eastAsiaTheme="minorHAnsi"/>
          <w:color w:val="000000"/>
          <w:sz w:val="28"/>
          <w:szCs w:val="28"/>
          <w:lang w:val="en-ZA"/>
          <w14:ligatures w14:val="standardContextual"/>
        </w:rPr>
        <w:t>4</w:t>
      </w:r>
      <w:r>
        <w:rPr>
          <w:rFonts w:eastAsiaTheme="minorHAnsi"/>
          <w:color w:val="000000"/>
          <w:sz w:val="28"/>
          <w:szCs w:val="28"/>
          <w:lang w:val="en-ZA"/>
          <w14:ligatures w14:val="standardContextual"/>
        </w:rPr>
        <w:t xml:space="preserve">] </w:t>
      </w:r>
      <w:r>
        <w:rPr>
          <w:rFonts w:eastAsiaTheme="minorHAnsi"/>
          <w:color w:val="000000"/>
          <w:sz w:val="28"/>
          <w:szCs w:val="28"/>
          <w:lang w:val="en-ZA"/>
          <w14:ligatures w14:val="standardContextual"/>
        </w:rPr>
        <w:tab/>
        <w:t xml:space="preserve">I now turn to the second ground of opposition raised by the first respondent was the validity of the PTO. </w:t>
      </w:r>
      <w:r>
        <w:rPr>
          <w:sz w:val="28"/>
          <w:szCs w:val="28"/>
        </w:rPr>
        <w:t xml:space="preserve">In entrenching this ground, the first respondent filed a counter application for the </w:t>
      </w:r>
      <w:r>
        <w:rPr>
          <w:rFonts w:eastAsiaTheme="minorHAnsi"/>
          <w:color w:val="000000"/>
          <w:sz w:val="28"/>
          <w:szCs w:val="28"/>
          <w:lang w:val="en-ZA"/>
          <w14:ligatures w14:val="standardContextual"/>
        </w:rPr>
        <w:t xml:space="preserve">PTO to be declared invalid and set aside. </w:t>
      </w:r>
      <w:r>
        <w:rPr>
          <w:sz w:val="28"/>
          <w:szCs w:val="28"/>
        </w:rPr>
        <w:t xml:space="preserve">The main judgment elaborates at length on the application of the </w:t>
      </w:r>
      <w:r w:rsidRPr="00003DBA">
        <w:rPr>
          <w:sz w:val="28"/>
          <w:szCs w:val="28"/>
        </w:rPr>
        <w:t xml:space="preserve">Promotion of Administrative </w:t>
      </w:r>
      <w:r w:rsidRPr="00003DBA">
        <w:rPr>
          <w:color w:val="000000" w:themeColor="text1"/>
          <w:sz w:val="28"/>
          <w:szCs w:val="28"/>
        </w:rPr>
        <w:t>Justice Act 3 of 2000 (PAJA)</w:t>
      </w:r>
      <w:r>
        <w:rPr>
          <w:sz w:val="28"/>
          <w:szCs w:val="28"/>
        </w:rPr>
        <w:t xml:space="preserve"> in connection with the failure of the first respondent to serve the counterapplication on the third respondent.  PAJA is applicable only to reviews. From the language used in the pleadings, the counter application was not brought as a review, instead, the respondent sought a declarator for the PTO to be declared unlawful and </w:t>
      </w:r>
      <w:r>
        <w:rPr>
          <w:sz w:val="28"/>
          <w:szCs w:val="28"/>
        </w:rPr>
        <w:lastRenderedPageBreak/>
        <w:t xml:space="preserve">for the immovable property to be declared a common home. In </w:t>
      </w:r>
      <w:r w:rsidRPr="00141749">
        <w:rPr>
          <w:i/>
          <w:iCs/>
          <w:sz w:val="28"/>
          <w:szCs w:val="28"/>
        </w:rPr>
        <w:t>Makhaya</w:t>
      </w:r>
      <w:r>
        <w:rPr>
          <w:rStyle w:val="FootnoteReference"/>
          <w:sz w:val="28"/>
          <w:szCs w:val="28"/>
        </w:rPr>
        <w:footnoteReference w:id="22"/>
      </w:r>
      <w:r>
        <w:rPr>
          <w:sz w:val="28"/>
          <w:szCs w:val="28"/>
        </w:rPr>
        <w:t xml:space="preserve"> the SCA made the point that:</w:t>
      </w:r>
    </w:p>
    <w:p w14:paraId="0C6AD6C6" w14:textId="77777777" w:rsidR="00656E89" w:rsidRPr="00ED2BF6" w:rsidRDefault="00656E89" w:rsidP="00656E89">
      <w:pPr>
        <w:spacing w:line="360" w:lineRule="auto"/>
        <w:ind w:left="720"/>
        <w:jc w:val="both"/>
      </w:pPr>
      <w:r w:rsidRPr="00ED2BF6">
        <w:t>“[71] …the claim that is before court is a matter of fact. When a claimant says that the claim arises from the infringement of the common law right to enforce a contract, then that is the claim, as a fact, and the court must deal with it accordingly… that the claim might be a bad claim is beside the point”.</w:t>
      </w:r>
    </w:p>
    <w:p w14:paraId="79BE1323" w14:textId="77777777" w:rsidR="00656E89" w:rsidRPr="00ED2BF6" w:rsidRDefault="00656E89" w:rsidP="00656E89">
      <w:pPr>
        <w:spacing w:line="360" w:lineRule="auto"/>
        <w:ind w:left="720"/>
        <w:jc w:val="both"/>
      </w:pPr>
      <w:r w:rsidRPr="00ED2BF6">
        <w:t>“[72] …a claim which exists as a fact, is not capable of being converted into a claim of a different kind by the mere use of language…”</w:t>
      </w:r>
    </w:p>
    <w:p w14:paraId="0BF1222D" w14:textId="77777777" w:rsidR="00656E89" w:rsidRDefault="00656E89" w:rsidP="00656E89">
      <w:pPr>
        <w:spacing w:line="360" w:lineRule="auto"/>
        <w:jc w:val="both"/>
        <w:rPr>
          <w:sz w:val="28"/>
          <w:szCs w:val="28"/>
        </w:rPr>
      </w:pPr>
    </w:p>
    <w:p w14:paraId="3CB8C096" w14:textId="1A4C88AE" w:rsidR="00656E89" w:rsidRDefault="00656E89" w:rsidP="00656E89">
      <w:pPr>
        <w:spacing w:line="360" w:lineRule="auto"/>
        <w:jc w:val="both"/>
        <w:rPr>
          <w:sz w:val="28"/>
          <w:szCs w:val="28"/>
        </w:rPr>
      </w:pPr>
      <w:r>
        <w:rPr>
          <w:sz w:val="28"/>
          <w:szCs w:val="28"/>
        </w:rPr>
        <w:t>[4</w:t>
      </w:r>
      <w:r w:rsidR="00A72940">
        <w:rPr>
          <w:sz w:val="28"/>
          <w:szCs w:val="28"/>
        </w:rPr>
        <w:t>5</w:t>
      </w:r>
      <w:r>
        <w:rPr>
          <w:sz w:val="28"/>
          <w:szCs w:val="28"/>
        </w:rPr>
        <w:t xml:space="preserve">] </w:t>
      </w:r>
      <w:r>
        <w:rPr>
          <w:sz w:val="28"/>
          <w:szCs w:val="28"/>
        </w:rPr>
        <w:tab/>
        <w:t xml:space="preserve">In my view, the failure to serve on the third respondent is of no consequence. The third respondent, even though cited in the application for eviction, did not participate in the proceedings. Moreover, the third respondent is not affected by the declaratory order sought by the first respondent. Clearly, the dispute had crystallised between the appellant and the respondent.  Therefore, to uphold non-service will be to promote form over substance. </w:t>
      </w:r>
    </w:p>
    <w:p w14:paraId="16C102BA" w14:textId="77777777" w:rsidR="00656E89" w:rsidRDefault="00656E89" w:rsidP="00656E89">
      <w:pPr>
        <w:spacing w:line="360" w:lineRule="auto"/>
        <w:jc w:val="both"/>
        <w:rPr>
          <w:sz w:val="28"/>
          <w:szCs w:val="28"/>
        </w:rPr>
      </w:pPr>
    </w:p>
    <w:p w14:paraId="059250F2" w14:textId="5BEE5BC4" w:rsidR="00656E89" w:rsidRDefault="00656E89" w:rsidP="00656E89">
      <w:pPr>
        <w:spacing w:line="360" w:lineRule="auto"/>
        <w:jc w:val="both"/>
        <w:rPr>
          <w:sz w:val="28"/>
          <w:szCs w:val="28"/>
        </w:rPr>
      </w:pPr>
      <w:r>
        <w:rPr>
          <w:sz w:val="28"/>
          <w:szCs w:val="28"/>
        </w:rPr>
        <w:t>[4</w:t>
      </w:r>
      <w:r w:rsidR="00A72940">
        <w:rPr>
          <w:sz w:val="28"/>
          <w:szCs w:val="28"/>
        </w:rPr>
        <w:t>6</w:t>
      </w:r>
      <w:r>
        <w:rPr>
          <w:sz w:val="28"/>
          <w:szCs w:val="28"/>
        </w:rPr>
        <w:t xml:space="preserve">] </w:t>
      </w:r>
      <w:r>
        <w:rPr>
          <w:sz w:val="28"/>
          <w:szCs w:val="28"/>
        </w:rPr>
        <w:tab/>
        <w:t xml:space="preserve">In the event it is found that I am wrong and that PAJA is applicable, </w:t>
      </w:r>
      <w:r w:rsidRPr="00F1634D">
        <w:rPr>
          <w:sz w:val="28"/>
          <w:szCs w:val="28"/>
        </w:rPr>
        <w:t xml:space="preserve">the weight accorded in the majority judgment </w:t>
      </w:r>
      <w:r>
        <w:rPr>
          <w:sz w:val="28"/>
          <w:szCs w:val="28"/>
        </w:rPr>
        <w:t>to</w:t>
      </w:r>
      <w:r w:rsidRPr="00F1634D">
        <w:rPr>
          <w:sz w:val="28"/>
          <w:szCs w:val="28"/>
        </w:rPr>
        <w:t xml:space="preserve"> the failure of the respondent to serve the counter</w:t>
      </w:r>
      <w:r>
        <w:rPr>
          <w:sz w:val="28"/>
          <w:szCs w:val="28"/>
        </w:rPr>
        <w:t>-</w:t>
      </w:r>
      <w:r w:rsidRPr="00F1634D">
        <w:rPr>
          <w:sz w:val="28"/>
          <w:szCs w:val="28"/>
        </w:rPr>
        <w:t>application on the third respondent, does not warrant the dismissal of the counter application.</w:t>
      </w:r>
      <w:r>
        <w:rPr>
          <w:sz w:val="28"/>
          <w:szCs w:val="28"/>
        </w:rPr>
        <w:t xml:space="preserve"> </w:t>
      </w:r>
      <w:r w:rsidRPr="00F1634D">
        <w:rPr>
          <w:sz w:val="28"/>
          <w:szCs w:val="28"/>
        </w:rPr>
        <w:t xml:space="preserve">To deprive the respondent of the right to have her case determined in the ordinary course of events is tantamount to trampling on her constitutional right entrenched in </w:t>
      </w:r>
      <w:r>
        <w:rPr>
          <w:sz w:val="28"/>
          <w:szCs w:val="28"/>
        </w:rPr>
        <w:t>S</w:t>
      </w:r>
      <w:r w:rsidRPr="00F1634D">
        <w:rPr>
          <w:sz w:val="28"/>
          <w:szCs w:val="28"/>
        </w:rPr>
        <w:t>ection 34 of our Constitution.</w:t>
      </w:r>
      <w:r>
        <w:rPr>
          <w:sz w:val="28"/>
          <w:szCs w:val="28"/>
        </w:rPr>
        <w:t xml:space="preserve"> The s</w:t>
      </w:r>
      <w:r w:rsidRPr="00F1634D">
        <w:rPr>
          <w:sz w:val="28"/>
          <w:szCs w:val="28"/>
        </w:rPr>
        <w:t>ection provides that everyone has a right to have any dispute that can be resolved by the application of law decided in a fair public hearing before a Court or, where appropriate, another independent and impartial tribunal or forum.</w:t>
      </w:r>
      <w:r w:rsidRPr="009A22A7">
        <w:rPr>
          <w:sz w:val="28"/>
          <w:szCs w:val="28"/>
        </w:rPr>
        <w:t xml:space="preserve"> </w:t>
      </w:r>
      <w:r>
        <w:rPr>
          <w:sz w:val="28"/>
          <w:szCs w:val="28"/>
        </w:rPr>
        <w:t>It is my considered opinion that t</w:t>
      </w:r>
      <w:r w:rsidRPr="00F1634D">
        <w:rPr>
          <w:sz w:val="28"/>
          <w:szCs w:val="28"/>
        </w:rPr>
        <w:t xml:space="preserve">he issues raised </w:t>
      </w:r>
      <w:r w:rsidRPr="00F1634D">
        <w:rPr>
          <w:sz w:val="28"/>
          <w:szCs w:val="28"/>
        </w:rPr>
        <w:lastRenderedPageBreak/>
        <w:t>by the respondent are pertinent and require a fair determination, as they not only</w:t>
      </w:r>
      <w:r>
        <w:rPr>
          <w:sz w:val="28"/>
          <w:szCs w:val="28"/>
        </w:rPr>
        <w:t xml:space="preserve"> affect the first respondent. These issues</w:t>
      </w:r>
      <w:r w:rsidRPr="00F1634D">
        <w:rPr>
          <w:sz w:val="28"/>
          <w:szCs w:val="28"/>
        </w:rPr>
        <w:t xml:space="preserve"> </w:t>
      </w:r>
      <w:r>
        <w:rPr>
          <w:sz w:val="28"/>
          <w:szCs w:val="28"/>
        </w:rPr>
        <w:t xml:space="preserve">are of public interest as they </w:t>
      </w:r>
      <w:r w:rsidRPr="00F1634D">
        <w:rPr>
          <w:sz w:val="28"/>
          <w:szCs w:val="28"/>
        </w:rPr>
        <w:t>affect a number of families</w:t>
      </w:r>
      <w:r>
        <w:rPr>
          <w:sz w:val="28"/>
          <w:szCs w:val="28"/>
        </w:rPr>
        <w:t xml:space="preserve"> in the rural areas</w:t>
      </w:r>
      <w:r w:rsidRPr="00F1634D">
        <w:rPr>
          <w:sz w:val="28"/>
          <w:szCs w:val="28"/>
        </w:rPr>
        <w:t xml:space="preserve"> where the same legal framework is </w:t>
      </w:r>
      <w:r>
        <w:rPr>
          <w:sz w:val="28"/>
          <w:szCs w:val="28"/>
        </w:rPr>
        <w:t xml:space="preserve">still applicable and </w:t>
      </w:r>
      <w:r w:rsidRPr="00F1634D">
        <w:rPr>
          <w:sz w:val="28"/>
          <w:szCs w:val="28"/>
        </w:rPr>
        <w:t>h</w:t>
      </w:r>
      <w:r>
        <w:rPr>
          <w:sz w:val="28"/>
          <w:szCs w:val="28"/>
        </w:rPr>
        <w:t>ave constitutional implication.</w:t>
      </w:r>
    </w:p>
    <w:p w14:paraId="5938104E" w14:textId="77777777" w:rsidR="00656E89" w:rsidRDefault="00656E89" w:rsidP="00656E89">
      <w:pPr>
        <w:spacing w:line="360" w:lineRule="auto"/>
        <w:jc w:val="both"/>
        <w:rPr>
          <w:sz w:val="28"/>
          <w:szCs w:val="28"/>
        </w:rPr>
      </w:pPr>
    </w:p>
    <w:p w14:paraId="56D6699C" w14:textId="4D79D9C6" w:rsidR="00656E89" w:rsidRPr="00F1634D" w:rsidRDefault="00656E89" w:rsidP="00656E89">
      <w:pPr>
        <w:spacing w:line="360" w:lineRule="auto"/>
        <w:jc w:val="both"/>
        <w:rPr>
          <w:sz w:val="28"/>
          <w:szCs w:val="28"/>
        </w:rPr>
      </w:pPr>
      <w:r>
        <w:rPr>
          <w:sz w:val="28"/>
          <w:szCs w:val="28"/>
        </w:rPr>
        <w:t>[4</w:t>
      </w:r>
      <w:r w:rsidR="00A72940">
        <w:rPr>
          <w:sz w:val="28"/>
          <w:szCs w:val="28"/>
        </w:rPr>
        <w:t>7</w:t>
      </w:r>
      <w:r>
        <w:rPr>
          <w:sz w:val="28"/>
          <w:szCs w:val="28"/>
        </w:rPr>
        <w:t xml:space="preserve">] </w:t>
      </w:r>
      <w:r>
        <w:rPr>
          <w:sz w:val="28"/>
          <w:szCs w:val="28"/>
        </w:rPr>
        <w:tab/>
        <w:t xml:space="preserve">It seems to me that the court can adopt </w:t>
      </w:r>
      <w:r w:rsidRPr="00F1634D">
        <w:rPr>
          <w:sz w:val="28"/>
          <w:szCs w:val="28"/>
        </w:rPr>
        <w:t>various measures in the exercise of its discretion</w:t>
      </w:r>
      <w:r>
        <w:rPr>
          <w:sz w:val="28"/>
          <w:szCs w:val="28"/>
        </w:rPr>
        <w:t xml:space="preserve"> when dealing with a case of this nature</w:t>
      </w:r>
      <w:r w:rsidRPr="00F1634D">
        <w:rPr>
          <w:sz w:val="28"/>
          <w:szCs w:val="28"/>
        </w:rPr>
        <w:t xml:space="preserve">. </w:t>
      </w:r>
      <w:r>
        <w:rPr>
          <w:sz w:val="28"/>
          <w:szCs w:val="28"/>
        </w:rPr>
        <w:t>A</w:t>
      </w:r>
      <w:r w:rsidRPr="00F1634D">
        <w:rPr>
          <w:sz w:val="28"/>
          <w:szCs w:val="28"/>
        </w:rPr>
        <w:t xml:space="preserve"> court c</w:t>
      </w:r>
      <w:r>
        <w:rPr>
          <w:sz w:val="28"/>
          <w:szCs w:val="28"/>
        </w:rPr>
        <w:t>an</w:t>
      </w:r>
      <w:r w:rsidRPr="00F1634D">
        <w:rPr>
          <w:sz w:val="28"/>
          <w:szCs w:val="28"/>
        </w:rPr>
        <w:t xml:space="preserve"> </w:t>
      </w:r>
      <w:r>
        <w:rPr>
          <w:sz w:val="28"/>
          <w:szCs w:val="28"/>
        </w:rPr>
        <w:t>adjourn</w:t>
      </w:r>
      <w:r w:rsidRPr="00F1634D">
        <w:rPr>
          <w:sz w:val="28"/>
          <w:szCs w:val="28"/>
        </w:rPr>
        <w:t xml:space="preserve"> </w:t>
      </w:r>
      <w:r>
        <w:rPr>
          <w:sz w:val="28"/>
          <w:szCs w:val="28"/>
        </w:rPr>
        <w:t>proceedings</w:t>
      </w:r>
      <w:r w:rsidRPr="00F1634D">
        <w:rPr>
          <w:sz w:val="28"/>
          <w:szCs w:val="28"/>
        </w:rPr>
        <w:t xml:space="preserve"> and ma</w:t>
      </w:r>
      <w:r>
        <w:rPr>
          <w:sz w:val="28"/>
          <w:szCs w:val="28"/>
        </w:rPr>
        <w:t>ke</w:t>
      </w:r>
      <w:r w:rsidRPr="00F1634D">
        <w:rPr>
          <w:sz w:val="28"/>
          <w:szCs w:val="28"/>
        </w:rPr>
        <w:t xml:space="preserve"> a</w:t>
      </w:r>
      <w:r>
        <w:rPr>
          <w:sz w:val="28"/>
          <w:szCs w:val="28"/>
        </w:rPr>
        <w:t xml:space="preserve"> suitable </w:t>
      </w:r>
      <w:r w:rsidRPr="00F1634D">
        <w:rPr>
          <w:sz w:val="28"/>
          <w:szCs w:val="28"/>
        </w:rPr>
        <w:t xml:space="preserve">order setting out the steps that </w:t>
      </w:r>
      <w:r>
        <w:rPr>
          <w:sz w:val="28"/>
          <w:szCs w:val="28"/>
        </w:rPr>
        <w:t>a</w:t>
      </w:r>
      <w:r w:rsidRPr="00F1634D">
        <w:rPr>
          <w:sz w:val="28"/>
          <w:szCs w:val="28"/>
        </w:rPr>
        <w:t xml:space="preserve"> respondent has to take before </w:t>
      </w:r>
      <w:r>
        <w:rPr>
          <w:sz w:val="28"/>
          <w:szCs w:val="28"/>
        </w:rPr>
        <w:t>a</w:t>
      </w:r>
      <w:r w:rsidRPr="00F1634D">
        <w:rPr>
          <w:sz w:val="28"/>
          <w:szCs w:val="28"/>
        </w:rPr>
        <w:t xml:space="preserve"> matter c</w:t>
      </w:r>
      <w:r>
        <w:rPr>
          <w:sz w:val="28"/>
          <w:szCs w:val="28"/>
        </w:rPr>
        <w:t>an</w:t>
      </w:r>
      <w:r w:rsidRPr="00F1634D">
        <w:rPr>
          <w:sz w:val="28"/>
          <w:szCs w:val="28"/>
        </w:rPr>
        <w:t xml:space="preserve"> continue, alternatively, </w:t>
      </w:r>
      <w:r>
        <w:rPr>
          <w:sz w:val="28"/>
          <w:szCs w:val="28"/>
        </w:rPr>
        <w:t>a</w:t>
      </w:r>
      <w:r w:rsidRPr="00F1634D">
        <w:rPr>
          <w:sz w:val="28"/>
          <w:szCs w:val="28"/>
        </w:rPr>
        <w:t xml:space="preserve"> matter </w:t>
      </w:r>
      <w:r>
        <w:rPr>
          <w:sz w:val="28"/>
          <w:szCs w:val="28"/>
        </w:rPr>
        <w:t xml:space="preserve">can be </w:t>
      </w:r>
      <w:r w:rsidRPr="00F1634D">
        <w:rPr>
          <w:sz w:val="28"/>
          <w:szCs w:val="28"/>
        </w:rPr>
        <w:t xml:space="preserve">struck off the roll. </w:t>
      </w:r>
      <w:r>
        <w:rPr>
          <w:sz w:val="28"/>
          <w:szCs w:val="28"/>
        </w:rPr>
        <w:t>In both instances,</w:t>
      </w:r>
      <w:r w:rsidRPr="00F1634D">
        <w:rPr>
          <w:sz w:val="28"/>
          <w:szCs w:val="28"/>
        </w:rPr>
        <w:t xml:space="preserve"> a window of reprieve </w:t>
      </w:r>
      <w:r>
        <w:rPr>
          <w:sz w:val="28"/>
          <w:szCs w:val="28"/>
        </w:rPr>
        <w:t xml:space="preserve">will be afforded </w:t>
      </w:r>
      <w:r w:rsidRPr="00F1634D">
        <w:rPr>
          <w:sz w:val="28"/>
          <w:szCs w:val="28"/>
        </w:rPr>
        <w:t xml:space="preserve">to the respondent to properly follow the processes in bringing </w:t>
      </w:r>
      <w:r>
        <w:rPr>
          <w:sz w:val="28"/>
          <w:szCs w:val="28"/>
        </w:rPr>
        <w:t>an</w:t>
      </w:r>
      <w:r w:rsidRPr="00F1634D">
        <w:rPr>
          <w:sz w:val="28"/>
          <w:szCs w:val="28"/>
        </w:rPr>
        <w:t xml:space="preserve"> application before the court for proper determination. Therefore, </w:t>
      </w:r>
      <w:r>
        <w:rPr>
          <w:sz w:val="28"/>
          <w:szCs w:val="28"/>
        </w:rPr>
        <w:t xml:space="preserve">the </w:t>
      </w:r>
      <w:r w:rsidRPr="00F1634D">
        <w:rPr>
          <w:sz w:val="28"/>
          <w:szCs w:val="28"/>
        </w:rPr>
        <w:t xml:space="preserve">dismissal of the counter application </w:t>
      </w:r>
      <w:r>
        <w:rPr>
          <w:sz w:val="28"/>
          <w:szCs w:val="28"/>
        </w:rPr>
        <w:t xml:space="preserve">is not an appropriate order under the circumstances. </w:t>
      </w:r>
    </w:p>
    <w:p w14:paraId="7A9E6760" w14:textId="77777777" w:rsidR="00656E89" w:rsidRDefault="00656E89" w:rsidP="00656E89">
      <w:pPr>
        <w:spacing w:line="360" w:lineRule="auto"/>
        <w:jc w:val="both"/>
        <w:rPr>
          <w:sz w:val="28"/>
          <w:szCs w:val="28"/>
        </w:rPr>
      </w:pPr>
    </w:p>
    <w:p w14:paraId="29F0C8AF" w14:textId="7D2F0739" w:rsidR="00656E89" w:rsidRDefault="00656E89" w:rsidP="00656E89">
      <w:pPr>
        <w:spacing w:line="360" w:lineRule="auto"/>
        <w:jc w:val="both"/>
        <w:rPr>
          <w:sz w:val="28"/>
          <w:szCs w:val="28"/>
        </w:rPr>
      </w:pPr>
      <w:r>
        <w:rPr>
          <w:sz w:val="28"/>
          <w:szCs w:val="28"/>
        </w:rPr>
        <w:t>[4</w:t>
      </w:r>
      <w:r w:rsidR="00A72940">
        <w:rPr>
          <w:sz w:val="28"/>
          <w:szCs w:val="28"/>
        </w:rPr>
        <w:t>8</w:t>
      </w:r>
      <w:r>
        <w:rPr>
          <w:sz w:val="28"/>
          <w:szCs w:val="28"/>
        </w:rPr>
        <w:t>]</w:t>
      </w:r>
      <w:r>
        <w:rPr>
          <w:sz w:val="28"/>
          <w:szCs w:val="28"/>
        </w:rPr>
        <w:tab/>
        <w:t xml:space="preserve">On the finding by the majority judgment that the application for eviction ought to have been dismissed, unfortunately I do not agree. </w:t>
      </w:r>
      <w:r w:rsidRPr="00DB10D3">
        <w:rPr>
          <w:color w:val="000000" w:themeColor="text1"/>
          <w:sz w:val="28"/>
          <w:szCs w:val="28"/>
          <w:lang w:eastAsia="en-GB"/>
        </w:rPr>
        <w:t>The PIE Act provides a procedure for the lawful eviction of unlawful occupiers</w:t>
      </w:r>
      <w:r>
        <w:rPr>
          <w:color w:val="000000" w:themeColor="text1"/>
          <w:sz w:val="28"/>
          <w:szCs w:val="28"/>
          <w:lang w:eastAsia="en-GB"/>
        </w:rPr>
        <w:t>.</w:t>
      </w:r>
      <w:r w:rsidRPr="00A3785A">
        <w:rPr>
          <w:color w:val="000000" w:themeColor="text1"/>
          <w:sz w:val="28"/>
          <w:szCs w:val="28"/>
          <w:lang w:eastAsia="en-GB"/>
        </w:rPr>
        <w:t xml:space="preserve"> </w:t>
      </w:r>
      <w:r>
        <w:rPr>
          <w:color w:val="000000" w:themeColor="text1"/>
          <w:sz w:val="28"/>
          <w:szCs w:val="28"/>
          <w:lang w:eastAsia="en-GB"/>
        </w:rPr>
        <w:t>One of t</w:t>
      </w:r>
      <w:r w:rsidRPr="00DB10D3">
        <w:rPr>
          <w:color w:val="000000" w:themeColor="text1"/>
          <w:sz w:val="28"/>
          <w:szCs w:val="28"/>
          <w:lang w:eastAsia="en-GB"/>
        </w:rPr>
        <w:t>he relevant sections</w:t>
      </w:r>
      <w:r>
        <w:rPr>
          <w:color w:val="000000" w:themeColor="text1"/>
          <w:sz w:val="28"/>
          <w:szCs w:val="28"/>
          <w:lang w:eastAsia="en-GB"/>
        </w:rPr>
        <w:t xml:space="preserve"> is</w:t>
      </w:r>
      <w:r w:rsidRPr="00DB10D3">
        <w:rPr>
          <w:color w:val="000000" w:themeColor="text1"/>
          <w:sz w:val="28"/>
          <w:szCs w:val="28"/>
          <w:lang w:eastAsia="en-GB"/>
        </w:rPr>
        <w:t xml:space="preserve"> </w:t>
      </w:r>
      <w:r w:rsidRPr="00BB420E">
        <w:rPr>
          <w:color w:val="000000" w:themeColor="text1"/>
          <w:sz w:val="28"/>
          <w:szCs w:val="28"/>
          <w:lang w:eastAsia="en-GB"/>
        </w:rPr>
        <w:t>Section 4 (1)</w:t>
      </w:r>
      <w:r>
        <w:rPr>
          <w:color w:val="000000" w:themeColor="text1"/>
          <w:sz w:val="28"/>
          <w:szCs w:val="28"/>
          <w:lang w:eastAsia="en-GB"/>
        </w:rPr>
        <w:t>.</w:t>
      </w:r>
      <w:r w:rsidRPr="00BB420E">
        <w:rPr>
          <w:color w:val="000000" w:themeColor="text1"/>
          <w:sz w:val="28"/>
          <w:szCs w:val="28"/>
          <w:lang w:eastAsia="en-GB"/>
        </w:rPr>
        <w:t xml:space="preserve"> </w:t>
      </w:r>
      <w:r>
        <w:rPr>
          <w:color w:val="000000" w:themeColor="text1"/>
          <w:sz w:val="28"/>
          <w:szCs w:val="28"/>
          <w:lang w:eastAsia="en-GB"/>
        </w:rPr>
        <w:t xml:space="preserve">I have already made a finding with regards to the issue of ownership. At this point it is important that I also deal with the finding at paragraph 14 of the majority judgment that the respondent is “an unlawful occupier”. From the pleadings the motive for the eviction of the first respondent by the appellant is their personal differences. The appellant contends that they cannot co-exist. </w:t>
      </w:r>
      <w:r w:rsidRPr="000344F9">
        <w:rPr>
          <w:sz w:val="28"/>
          <w:szCs w:val="28"/>
        </w:rPr>
        <w:t xml:space="preserve">It is well-established that </w:t>
      </w:r>
      <w:r>
        <w:rPr>
          <w:sz w:val="28"/>
          <w:szCs w:val="28"/>
        </w:rPr>
        <w:t xml:space="preserve">occupation is rendered unlawful by the termination of the right of occupation. Nowhere in the sparse founding papers the appellant signalled, clearly and unequivocally, his intention to terminate the first respondent’s right to occupy the property. As such, there are no averments in the appellants founding </w:t>
      </w:r>
      <w:r>
        <w:rPr>
          <w:sz w:val="28"/>
          <w:szCs w:val="28"/>
        </w:rPr>
        <w:lastRenderedPageBreak/>
        <w:t>papers that the first respondent is occupying the property without his consent. Sadly, the majority judgment also does not deal with this aspect.</w:t>
      </w:r>
    </w:p>
    <w:p w14:paraId="154FB054" w14:textId="77777777" w:rsidR="00656E89" w:rsidRDefault="00656E89" w:rsidP="00656E89">
      <w:pPr>
        <w:spacing w:line="360" w:lineRule="auto"/>
        <w:jc w:val="both"/>
        <w:rPr>
          <w:sz w:val="28"/>
          <w:szCs w:val="28"/>
        </w:rPr>
      </w:pPr>
    </w:p>
    <w:p w14:paraId="2D2C3652" w14:textId="20A44B83" w:rsidR="00656E89" w:rsidRDefault="00656E89" w:rsidP="00656E89">
      <w:pPr>
        <w:shd w:val="clear" w:color="auto" w:fill="FFFFFF"/>
        <w:spacing w:line="360" w:lineRule="auto"/>
        <w:jc w:val="both"/>
        <w:rPr>
          <w:color w:val="727474"/>
          <w:sz w:val="28"/>
          <w:szCs w:val="28"/>
          <w:lang w:val="en-US" w:eastAsia="en-ZA"/>
        </w:rPr>
      </w:pPr>
      <w:r>
        <w:rPr>
          <w:sz w:val="28"/>
          <w:szCs w:val="28"/>
        </w:rPr>
        <w:t>[4</w:t>
      </w:r>
      <w:r w:rsidR="00A72940">
        <w:rPr>
          <w:sz w:val="28"/>
          <w:szCs w:val="28"/>
        </w:rPr>
        <w:t>9</w:t>
      </w:r>
      <w:r>
        <w:rPr>
          <w:sz w:val="28"/>
          <w:szCs w:val="28"/>
        </w:rPr>
        <w:t xml:space="preserve">] </w:t>
      </w:r>
      <w:r>
        <w:rPr>
          <w:sz w:val="28"/>
          <w:szCs w:val="28"/>
        </w:rPr>
        <w:tab/>
        <w:t xml:space="preserve">In my view, the first respondent is not an unlawful occupier as envisaged in the </w:t>
      </w:r>
      <w:r w:rsidR="00255191">
        <w:rPr>
          <w:sz w:val="28"/>
          <w:szCs w:val="28"/>
        </w:rPr>
        <w:t>A</w:t>
      </w:r>
      <w:r>
        <w:rPr>
          <w:sz w:val="28"/>
          <w:szCs w:val="28"/>
        </w:rPr>
        <w:t>ct. Even if it were to be found that the respondent is an unlawful occupier, eviction in terms of PIE requires a two pronged approach. The finding is not the end of the enquiry, t</w:t>
      </w:r>
      <w:r w:rsidRPr="00114689">
        <w:rPr>
          <w:color w:val="313336"/>
          <w:sz w:val="28"/>
          <w:szCs w:val="28"/>
          <w:lang w:val="en-US" w:eastAsia="en-ZA"/>
        </w:rPr>
        <w:t>he Constitution and PIE require that</w:t>
      </w:r>
      <w:r w:rsidRPr="00114689">
        <w:rPr>
          <w:color w:val="606060"/>
          <w:sz w:val="28"/>
          <w:szCs w:val="28"/>
          <w:lang w:val="en-US" w:eastAsia="en-ZA"/>
        </w:rPr>
        <w:t>, </w:t>
      </w:r>
      <w:r w:rsidRPr="00114689">
        <w:rPr>
          <w:color w:val="313336"/>
          <w:sz w:val="28"/>
          <w:szCs w:val="28"/>
          <w:lang w:val="en-US" w:eastAsia="en-ZA"/>
        </w:rPr>
        <w:t>in add</w:t>
      </w:r>
      <w:r w:rsidRPr="00114689">
        <w:rPr>
          <w:color w:val="4D4D4F"/>
          <w:sz w:val="28"/>
          <w:szCs w:val="28"/>
          <w:lang w:val="en-US" w:eastAsia="en-ZA"/>
        </w:rPr>
        <w:t>i</w:t>
      </w:r>
      <w:r w:rsidRPr="00114689">
        <w:rPr>
          <w:color w:val="313336"/>
          <w:sz w:val="28"/>
          <w:szCs w:val="28"/>
          <w:lang w:val="en-US" w:eastAsia="en-ZA"/>
        </w:rPr>
        <w:t>tion to consider</w:t>
      </w:r>
      <w:r w:rsidRPr="00114689">
        <w:rPr>
          <w:color w:val="4D4D4F"/>
          <w:sz w:val="28"/>
          <w:szCs w:val="28"/>
          <w:lang w:val="en-US" w:eastAsia="en-ZA"/>
        </w:rPr>
        <w:t>i</w:t>
      </w:r>
      <w:r w:rsidRPr="00114689">
        <w:rPr>
          <w:color w:val="313336"/>
          <w:sz w:val="28"/>
          <w:szCs w:val="28"/>
          <w:lang w:val="en-US" w:eastAsia="en-ZA"/>
        </w:rPr>
        <w:t>ng the lawfulness of the occupation</w:t>
      </w:r>
      <w:r w:rsidRPr="00114689">
        <w:rPr>
          <w:color w:val="606060"/>
          <w:sz w:val="28"/>
          <w:szCs w:val="28"/>
          <w:lang w:val="en-US" w:eastAsia="en-ZA"/>
        </w:rPr>
        <w:t>, </w:t>
      </w:r>
      <w:r w:rsidRPr="00114689">
        <w:rPr>
          <w:color w:val="313336"/>
          <w:sz w:val="28"/>
          <w:szCs w:val="28"/>
          <w:lang w:val="en-US" w:eastAsia="en-ZA"/>
        </w:rPr>
        <w:t>the court must have regard to the inte</w:t>
      </w:r>
      <w:r w:rsidRPr="00114689">
        <w:rPr>
          <w:color w:val="4D4D4F"/>
          <w:sz w:val="28"/>
          <w:szCs w:val="28"/>
          <w:lang w:val="en-US" w:eastAsia="en-ZA"/>
        </w:rPr>
        <w:t>r</w:t>
      </w:r>
      <w:r w:rsidRPr="00114689">
        <w:rPr>
          <w:color w:val="313336"/>
          <w:sz w:val="28"/>
          <w:szCs w:val="28"/>
          <w:lang w:val="en-US" w:eastAsia="en-ZA"/>
        </w:rPr>
        <w:t>ests and circumstances of the occupier and pay due regard to broader considerations of fairness and other constitutional values</w:t>
      </w:r>
      <w:r w:rsidRPr="00114689">
        <w:rPr>
          <w:color w:val="606060"/>
          <w:sz w:val="28"/>
          <w:szCs w:val="28"/>
          <w:lang w:val="en-US" w:eastAsia="en-ZA"/>
        </w:rPr>
        <w:t>, </w:t>
      </w:r>
      <w:r w:rsidRPr="00114689">
        <w:rPr>
          <w:color w:val="313336"/>
          <w:sz w:val="28"/>
          <w:szCs w:val="28"/>
          <w:lang w:val="en-US" w:eastAsia="en-ZA"/>
        </w:rPr>
        <w:t>so as to produce a </w:t>
      </w:r>
      <w:r w:rsidRPr="00114689">
        <w:rPr>
          <w:color w:val="4D4D4F"/>
          <w:sz w:val="28"/>
          <w:szCs w:val="28"/>
          <w:lang w:val="en-US" w:eastAsia="en-ZA"/>
        </w:rPr>
        <w:t>j</w:t>
      </w:r>
      <w:r w:rsidRPr="00114689">
        <w:rPr>
          <w:color w:val="313336"/>
          <w:sz w:val="28"/>
          <w:szCs w:val="28"/>
          <w:lang w:val="en-US" w:eastAsia="en-ZA"/>
        </w:rPr>
        <w:t>ust and equitable result.</w:t>
      </w:r>
      <w:r w:rsidRPr="00114689">
        <w:rPr>
          <w:color w:val="727474"/>
          <w:sz w:val="28"/>
          <w:szCs w:val="28"/>
          <w:lang w:val="en-US" w:eastAsia="en-ZA"/>
        </w:rPr>
        <w:t> </w:t>
      </w:r>
      <w:r w:rsidRPr="0099737C">
        <w:rPr>
          <w:sz w:val="28"/>
          <w:szCs w:val="28"/>
          <w:lang w:val="en-US" w:eastAsia="en-ZA"/>
        </w:rPr>
        <w:t>In a nutshell</w:t>
      </w:r>
      <w:r>
        <w:rPr>
          <w:color w:val="727474"/>
          <w:sz w:val="28"/>
          <w:szCs w:val="28"/>
          <w:lang w:val="en-US" w:eastAsia="en-ZA"/>
        </w:rPr>
        <w:t xml:space="preserve"> t</w:t>
      </w:r>
      <w:r w:rsidRPr="00114689">
        <w:rPr>
          <w:color w:val="313336"/>
          <w:sz w:val="28"/>
          <w:szCs w:val="28"/>
          <w:lang w:val="en-US" w:eastAsia="en-ZA"/>
        </w:rPr>
        <w:t xml:space="preserve">he </w:t>
      </w:r>
      <w:r>
        <w:rPr>
          <w:color w:val="313336"/>
          <w:sz w:val="28"/>
          <w:szCs w:val="28"/>
          <w:lang w:val="en-US" w:eastAsia="en-ZA"/>
        </w:rPr>
        <w:t xml:space="preserve">court is required </w:t>
      </w:r>
      <w:r w:rsidRPr="00114689">
        <w:rPr>
          <w:color w:val="313336"/>
          <w:sz w:val="28"/>
          <w:szCs w:val="28"/>
          <w:lang w:val="en-US" w:eastAsia="en-ZA"/>
        </w:rPr>
        <w:t>to infuse just</w:t>
      </w:r>
      <w:r w:rsidRPr="00114689">
        <w:rPr>
          <w:color w:val="4D4D4F"/>
          <w:sz w:val="28"/>
          <w:szCs w:val="28"/>
          <w:lang w:val="en-US" w:eastAsia="en-ZA"/>
        </w:rPr>
        <w:t>i</w:t>
      </w:r>
      <w:r w:rsidRPr="00114689">
        <w:rPr>
          <w:color w:val="313336"/>
          <w:sz w:val="28"/>
          <w:szCs w:val="28"/>
          <w:lang w:val="en-US" w:eastAsia="en-ZA"/>
        </w:rPr>
        <w:t>ce and equity into the inquiry</w:t>
      </w:r>
      <w:r w:rsidRPr="00114689">
        <w:rPr>
          <w:color w:val="727474"/>
          <w:sz w:val="28"/>
          <w:szCs w:val="28"/>
          <w:lang w:val="en-US" w:eastAsia="en-ZA"/>
        </w:rPr>
        <w:t>.</w:t>
      </w:r>
    </w:p>
    <w:p w14:paraId="142CBD49" w14:textId="77777777" w:rsidR="00656E89" w:rsidRPr="00114689" w:rsidRDefault="00656E89" w:rsidP="00656E89">
      <w:pPr>
        <w:shd w:val="clear" w:color="auto" w:fill="FFFFFF"/>
        <w:spacing w:line="360" w:lineRule="auto"/>
        <w:jc w:val="both"/>
        <w:rPr>
          <w:color w:val="242121"/>
          <w:sz w:val="28"/>
          <w:szCs w:val="28"/>
          <w:lang w:val="en-ZA" w:eastAsia="en-ZA"/>
        </w:rPr>
      </w:pPr>
    </w:p>
    <w:p w14:paraId="136656AA" w14:textId="3A0BF137" w:rsidR="00656E89" w:rsidRPr="00E23773" w:rsidRDefault="00656E89" w:rsidP="00656E89">
      <w:pPr>
        <w:spacing w:line="360" w:lineRule="auto"/>
        <w:jc w:val="both"/>
        <w:rPr>
          <w:color w:val="242121"/>
          <w:sz w:val="28"/>
          <w:szCs w:val="28"/>
          <w:lang w:val="en-ZA" w:eastAsia="en-ZA"/>
        </w:rPr>
      </w:pPr>
      <w:r>
        <w:rPr>
          <w:color w:val="242121"/>
          <w:sz w:val="28"/>
          <w:szCs w:val="28"/>
          <w:lang w:val="en-ZA" w:eastAsia="en-ZA"/>
        </w:rPr>
        <w:t>[</w:t>
      </w:r>
      <w:r w:rsidR="00A72940">
        <w:rPr>
          <w:color w:val="242121"/>
          <w:sz w:val="28"/>
          <w:szCs w:val="28"/>
          <w:lang w:val="en-ZA" w:eastAsia="en-ZA"/>
        </w:rPr>
        <w:t>50</w:t>
      </w:r>
      <w:r>
        <w:rPr>
          <w:color w:val="242121"/>
          <w:sz w:val="28"/>
          <w:szCs w:val="28"/>
          <w:lang w:val="en-ZA" w:eastAsia="en-ZA"/>
        </w:rPr>
        <w:t xml:space="preserve">] </w:t>
      </w:r>
      <w:r>
        <w:rPr>
          <w:color w:val="242121"/>
          <w:sz w:val="28"/>
          <w:szCs w:val="28"/>
          <w:lang w:val="en-ZA" w:eastAsia="en-ZA"/>
        </w:rPr>
        <w:tab/>
        <w:t>Furthermore, S</w:t>
      </w:r>
      <w:r>
        <w:rPr>
          <w:sz w:val="28"/>
          <w:szCs w:val="28"/>
        </w:rPr>
        <w:t xml:space="preserve">ection 4(8) of the PIE Act, provides that a court is obliged to order eviction when the requirements of the act are met and no valid defence has been made. It is clear that the requirements in section 4(1) of the PIE Act have not been met. Notably, the majority judgment also touches on the issue of alternative accommodation with emphasise on the appellant’s version, particularly his bold statement regarding his rejected offer of alternative accommodation. According to the first respondent, this is misleading as the alternative accommodation referred to by the appellant is her own two roomed flat. It is the respondent’s case that as an unemployed person, her only source of income comes from the rent of R300 she collects from renting out the 2 roomed flat. Considering all the circumstances in this case, the shortcomings of the previous and current land tenure prescripts and the two grounds of opposition raised by the first respondent, I am not convinced that it is just and equitable to evict the first respondent from her family home. </w:t>
      </w:r>
      <w:r>
        <w:rPr>
          <w:color w:val="313336"/>
          <w:sz w:val="28"/>
          <w:szCs w:val="28"/>
          <w:lang w:val="en-US" w:eastAsia="en-ZA"/>
        </w:rPr>
        <w:t xml:space="preserve"> </w:t>
      </w:r>
    </w:p>
    <w:p w14:paraId="16BB9FFD" w14:textId="3D528DEA" w:rsidR="00656E89" w:rsidRDefault="00656E89" w:rsidP="00656E89">
      <w:pPr>
        <w:spacing w:line="360" w:lineRule="auto"/>
        <w:jc w:val="both"/>
        <w:rPr>
          <w:sz w:val="28"/>
          <w:szCs w:val="28"/>
        </w:rPr>
      </w:pPr>
      <w:r>
        <w:rPr>
          <w:sz w:val="28"/>
          <w:szCs w:val="28"/>
          <w:lang w:val="en-US"/>
        </w:rPr>
        <w:lastRenderedPageBreak/>
        <w:t>[</w:t>
      </w:r>
      <w:r w:rsidR="00A72940">
        <w:rPr>
          <w:sz w:val="28"/>
          <w:szCs w:val="28"/>
          <w:lang w:val="en-US"/>
        </w:rPr>
        <w:t>51</w:t>
      </w:r>
      <w:r>
        <w:rPr>
          <w:sz w:val="28"/>
          <w:szCs w:val="28"/>
          <w:lang w:val="en-US"/>
        </w:rPr>
        <w:t xml:space="preserve">]  </w:t>
      </w:r>
      <w:r>
        <w:rPr>
          <w:sz w:val="28"/>
          <w:szCs w:val="28"/>
          <w:lang w:val="en-US"/>
        </w:rPr>
        <w:tab/>
        <w:t xml:space="preserve"> The last element of the main judgment that I differ with, is the order that the first respondent be </w:t>
      </w:r>
      <w:r w:rsidRPr="003E4D6F">
        <w:rPr>
          <w:bCs/>
          <w:sz w:val="28"/>
          <w:szCs w:val="28"/>
          <w:lang w:val="en-US"/>
        </w:rPr>
        <w:t xml:space="preserve">interdicted and restrained from entering the property at any time after </w:t>
      </w:r>
      <w:r>
        <w:rPr>
          <w:bCs/>
          <w:sz w:val="28"/>
          <w:szCs w:val="28"/>
          <w:lang w:val="en-US"/>
        </w:rPr>
        <w:t>she has</w:t>
      </w:r>
      <w:r w:rsidRPr="003E4D6F">
        <w:rPr>
          <w:bCs/>
          <w:sz w:val="28"/>
          <w:szCs w:val="28"/>
          <w:lang w:val="en-US"/>
        </w:rPr>
        <w:t xml:space="preserve"> vacated or been evicted </w:t>
      </w:r>
      <w:r>
        <w:rPr>
          <w:bCs/>
          <w:sz w:val="28"/>
          <w:szCs w:val="28"/>
          <w:lang w:val="en-US"/>
        </w:rPr>
        <w:t xml:space="preserve">from the property. In my view, there is no justification for this order. Needless to say that no case has been made by the appellant for such relief. A court cannot grant an order in circumstances where the relief sought </w:t>
      </w:r>
      <w:r>
        <w:rPr>
          <w:sz w:val="28"/>
          <w:szCs w:val="28"/>
        </w:rPr>
        <w:t xml:space="preserve">is not supported by the facts. </w:t>
      </w:r>
    </w:p>
    <w:p w14:paraId="36F55EBD" w14:textId="77777777" w:rsidR="00656E89" w:rsidRDefault="00656E89" w:rsidP="00656E89">
      <w:pPr>
        <w:spacing w:line="360" w:lineRule="auto"/>
        <w:jc w:val="both"/>
        <w:rPr>
          <w:sz w:val="28"/>
          <w:szCs w:val="28"/>
        </w:rPr>
      </w:pPr>
    </w:p>
    <w:p w14:paraId="7E404A7A" w14:textId="2D1A5327" w:rsidR="00656E89" w:rsidRDefault="00656E89" w:rsidP="00656E89">
      <w:pPr>
        <w:spacing w:line="360" w:lineRule="auto"/>
        <w:jc w:val="both"/>
        <w:rPr>
          <w:sz w:val="28"/>
          <w:szCs w:val="28"/>
        </w:rPr>
      </w:pPr>
      <w:r>
        <w:rPr>
          <w:color w:val="242121"/>
          <w:sz w:val="28"/>
          <w:szCs w:val="28"/>
          <w:lang w:val="en-ZA" w:eastAsia="en-ZA"/>
        </w:rPr>
        <w:t>[</w:t>
      </w:r>
      <w:r w:rsidR="00A72940">
        <w:rPr>
          <w:color w:val="242121"/>
          <w:sz w:val="28"/>
          <w:szCs w:val="28"/>
          <w:lang w:val="en-ZA" w:eastAsia="en-ZA"/>
        </w:rPr>
        <w:t>52</w:t>
      </w:r>
      <w:r>
        <w:rPr>
          <w:color w:val="242121"/>
          <w:sz w:val="28"/>
          <w:szCs w:val="28"/>
          <w:lang w:val="en-ZA" w:eastAsia="en-ZA"/>
        </w:rPr>
        <w:t xml:space="preserve">] </w:t>
      </w:r>
      <w:r>
        <w:rPr>
          <w:color w:val="242121"/>
          <w:sz w:val="28"/>
          <w:szCs w:val="28"/>
          <w:lang w:val="en-ZA" w:eastAsia="en-ZA"/>
        </w:rPr>
        <w:tab/>
        <w:t xml:space="preserve">In my view, </w:t>
      </w:r>
      <w:r w:rsidRPr="00114689">
        <w:rPr>
          <w:sz w:val="28"/>
          <w:szCs w:val="28"/>
        </w:rPr>
        <w:t xml:space="preserve">the order of the high court </w:t>
      </w:r>
      <w:r>
        <w:rPr>
          <w:sz w:val="28"/>
          <w:szCs w:val="28"/>
        </w:rPr>
        <w:t xml:space="preserve">to refuse the application for the eviction of the respondent </w:t>
      </w:r>
      <w:r w:rsidRPr="00114689">
        <w:rPr>
          <w:sz w:val="28"/>
          <w:szCs w:val="28"/>
        </w:rPr>
        <w:t xml:space="preserve">was correctly made. </w:t>
      </w:r>
    </w:p>
    <w:p w14:paraId="03763804" w14:textId="77777777" w:rsidR="00656E89" w:rsidRDefault="00656E89" w:rsidP="00656E89">
      <w:pPr>
        <w:spacing w:line="360" w:lineRule="auto"/>
        <w:jc w:val="both"/>
        <w:rPr>
          <w:sz w:val="28"/>
          <w:szCs w:val="28"/>
        </w:rPr>
      </w:pPr>
    </w:p>
    <w:p w14:paraId="4D158E9B" w14:textId="77777777" w:rsidR="00656E89" w:rsidRDefault="00656E89" w:rsidP="00656E89">
      <w:pPr>
        <w:spacing w:line="360" w:lineRule="auto"/>
        <w:jc w:val="both"/>
        <w:rPr>
          <w:sz w:val="28"/>
          <w:szCs w:val="28"/>
        </w:rPr>
      </w:pPr>
      <w:r>
        <w:rPr>
          <w:sz w:val="28"/>
          <w:szCs w:val="28"/>
        </w:rPr>
        <w:t>___________________</w:t>
      </w:r>
    </w:p>
    <w:p w14:paraId="4F0CAEB8" w14:textId="77777777" w:rsidR="00656E89" w:rsidRDefault="00656E89" w:rsidP="00656E89">
      <w:pPr>
        <w:spacing w:line="360" w:lineRule="auto"/>
        <w:jc w:val="both"/>
        <w:rPr>
          <w:sz w:val="28"/>
          <w:szCs w:val="28"/>
        </w:rPr>
      </w:pPr>
      <w:r>
        <w:rPr>
          <w:sz w:val="28"/>
          <w:szCs w:val="28"/>
        </w:rPr>
        <w:t>S.T. TILANA-MABECE</w:t>
      </w:r>
    </w:p>
    <w:p w14:paraId="34979D97" w14:textId="77777777" w:rsidR="00656E89" w:rsidRDefault="00656E89" w:rsidP="00656E89">
      <w:pPr>
        <w:spacing w:line="360" w:lineRule="auto"/>
        <w:jc w:val="both"/>
        <w:rPr>
          <w:sz w:val="28"/>
          <w:szCs w:val="28"/>
        </w:rPr>
      </w:pPr>
      <w:r>
        <w:rPr>
          <w:sz w:val="28"/>
          <w:szCs w:val="28"/>
        </w:rPr>
        <w:t>ACTING JUDGE OF THE HIGH COURT</w:t>
      </w:r>
    </w:p>
    <w:p w14:paraId="37856E0B" w14:textId="77777777" w:rsidR="00656E89" w:rsidRDefault="00656E89" w:rsidP="00656E89">
      <w:pPr>
        <w:spacing w:line="360" w:lineRule="auto"/>
        <w:jc w:val="both"/>
        <w:rPr>
          <w:sz w:val="28"/>
          <w:szCs w:val="28"/>
        </w:rPr>
      </w:pPr>
    </w:p>
    <w:p w14:paraId="4A3810D5" w14:textId="77777777" w:rsidR="00656E89" w:rsidRDefault="00656E89" w:rsidP="00656E89">
      <w:pPr>
        <w:spacing w:line="360" w:lineRule="auto"/>
        <w:jc w:val="both"/>
        <w:rPr>
          <w:b/>
          <w:sz w:val="28"/>
          <w:szCs w:val="28"/>
        </w:rPr>
      </w:pPr>
      <w:r>
        <w:rPr>
          <w:b/>
          <w:sz w:val="28"/>
          <w:szCs w:val="28"/>
        </w:rPr>
        <w:t>APPEARANCES</w:t>
      </w:r>
    </w:p>
    <w:p w14:paraId="39D5B23B" w14:textId="77777777" w:rsidR="00656E89" w:rsidRPr="00A46230" w:rsidRDefault="00656E89" w:rsidP="00656E89">
      <w:pPr>
        <w:spacing w:line="360" w:lineRule="auto"/>
        <w:jc w:val="both"/>
        <w:rPr>
          <w:bCs/>
          <w:sz w:val="28"/>
          <w:szCs w:val="28"/>
        </w:rPr>
      </w:pPr>
      <w:r w:rsidRPr="00A46230">
        <w:rPr>
          <w:bCs/>
          <w:sz w:val="28"/>
          <w:szCs w:val="28"/>
        </w:rPr>
        <w:t>Appeari</w:t>
      </w:r>
      <w:r>
        <w:rPr>
          <w:bCs/>
          <w:sz w:val="28"/>
          <w:szCs w:val="28"/>
        </w:rPr>
        <w:t>ng for the appellant:</w:t>
      </w:r>
      <w:r>
        <w:rPr>
          <w:bCs/>
          <w:sz w:val="28"/>
          <w:szCs w:val="28"/>
        </w:rPr>
        <w:tab/>
      </w:r>
      <w:r>
        <w:rPr>
          <w:bCs/>
          <w:sz w:val="28"/>
          <w:szCs w:val="28"/>
        </w:rPr>
        <w:tab/>
        <w:t xml:space="preserve">Adv. S.J. Mushet </w:t>
      </w:r>
    </w:p>
    <w:p w14:paraId="56235BCC" w14:textId="77777777" w:rsidR="00656E89" w:rsidRDefault="00656E89" w:rsidP="00656E89">
      <w:pPr>
        <w:spacing w:line="360" w:lineRule="auto"/>
        <w:jc w:val="both"/>
        <w:rPr>
          <w:bCs/>
          <w:sz w:val="28"/>
          <w:szCs w:val="28"/>
        </w:rPr>
      </w:pPr>
      <w:r w:rsidRPr="00A46230">
        <w:rPr>
          <w:bCs/>
          <w:sz w:val="28"/>
          <w:szCs w:val="28"/>
        </w:rPr>
        <w:t xml:space="preserve">Instructed by:  </w:t>
      </w:r>
      <w:r w:rsidRPr="00A46230">
        <w:rPr>
          <w:bCs/>
          <w:sz w:val="28"/>
          <w:szCs w:val="28"/>
        </w:rPr>
        <w:tab/>
      </w:r>
      <w:r w:rsidRPr="00A46230">
        <w:rPr>
          <w:bCs/>
          <w:sz w:val="28"/>
          <w:szCs w:val="28"/>
        </w:rPr>
        <w:tab/>
      </w:r>
      <w:r w:rsidRPr="00A46230">
        <w:rPr>
          <w:bCs/>
          <w:sz w:val="28"/>
          <w:szCs w:val="28"/>
        </w:rPr>
        <w:tab/>
      </w:r>
      <w:r>
        <w:rPr>
          <w:bCs/>
          <w:sz w:val="28"/>
          <w:szCs w:val="28"/>
        </w:rPr>
        <w:tab/>
        <w:t>Dube Wesley Attorneys</w:t>
      </w:r>
    </w:p>
    <w:p w14:paraId="25857D33"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JOHANNESBURG.</w:t>
      </w:r>
    </w:p>
    <w:p w14:paraId="0D20CA13"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c/o Nceba Giwu Inc</w:t>
      </w:r>
    </w:p>
    <w:p w14:paraId="3DF4E563"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MTHATHA.</w:t>
      </w:r>
    </w:p>
    <w:p w14:paraId="7BFF815D" w14:textId="77777777" w:rsidR="00A72940" w:rsidRDefault="00A72940" w:rsidP="00656E89">
      <w:pPr>
        <w:spacing w:line="360" w:lineRule="auto"/>
        <w:jc w:val="both"/>
        <w:rPr>
          <w:bCs/>
          <w:sz w:val="28"/>
          <w:szCs w:val="28"/>
        </w:rPr>
      </w:pPr>
    </w:p>
    <w:p w14:paraId="5D7EB127" w14:textId="65F4D0EA" w:rsidR="00656E89" w:rsidRDefault="00656E89" w:rsidP="00656E89">
      <w:pPr>
        <w:spacing w:line="360" w:lineRule="auto"/>
        <w:jc w:val="both"/>
        <w:rPr>
          <w:bCs/>
          <w:sz w:val="28"/>
          <w:szCs w:val="28"/>
        </w:rPr>
      </w:pPr>
      <w:r>
        <w:rPr>
          <w:bCs/>
          <w:sz w:val="28"/>
          <w:szCs w:val="28"/>
        </w:rPr>
        <w:t>Appearing for the 1</w:t>
      </w:r>
      <w:r>
        <w:rPr>
          <w:bCs/>
          <w:sz w:val="28"/>
          <w:szCs w:val="28"/>
          <w:vertAlign w:val="superscript"/>
        </w:rPr>
        <w:t>st</w:t>
      </w:r>
      <w:r>
        <w:rPr>
          <w:bCs/>
          <w:sz w:val="28"/>
          <w:szCs w:val="28"/>
        </w:rPr>
        <w:t xml:space="preserve"> respondent:</w:t>
      </w:r>
      <w:r>
        <w:rPr>
          <w:bCs/>
          <w:sz w:val="28"/>
          <w:szCs w:val="28"/>
        </w:rPr>
        <w:tab/>
        <w:t>Adv. M. Mhambi</w:t>
      </w:r>
    </w:p>
    <w:p w14:paraId="605F133C" w14:textId="77777777" w:rsidR="00656E89" w:rsidRPr="00A46230" w:rsidRDefault="00656E89" w:rsidP="00656E89">
      <w:pPr>
        <w:spacing w:line="360" w:lineRule="auto"/>
        <w:jc w:val="both"/>
        <w:rPr>
          <w:bCs/>
          <w:sz w:val="28"/>
          <w:szCs w:val="28"/>
        </w:rPr>
      </w:pPr>
      <w:r>
        <w:rPr>
          <w:bCs/>
          <w:sz w:val="28"/>
          <w:szCs w:val="28"/>
        </w:rPr>
        <w:t>Instructed by:</w:t>
      </w:r>
      <w:r>
        <w:rPr>
          <w:bCs/>
          <w:sz w:val="28"/>
          <w:szCs w:val="28"/>
        </w:rPr>
        <w:tab/>
      </w:r>
      <w:r>
        <w:rPr>
          <w:bCs/>
          <w:sz w:val="28"/>
          <w:szCs w:val="28"/>
        </w:rPr>
        <w:tab/>
      </w:r>
      <w:r>
        <w:rPr>
          <w:bCs/>
          <w:sz w:val="28"/>
          <w:szCs w:val="28"/>
        </w:rPr>
        <w:tab/>
      </w:r>
      <w:r>
        <w:rPr>
          <w:bCs/>
          <w:sz w:val="28"/>
          <w:szCs w:val="28"/>
        </w:rPr>
        <w:tab/>
        <w:t xml:space="preserve">S. Mhambi Attorneys </w:t>
      </w:r>
    </w:p>
    <w:p w14:paraId="3A71DE7B"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MTHATHA.</w:t>
      </w:r>
    </w:p>
    <w:p w14:paraId="3D70EDEC" w14:textId="77777777" w:rsidR="00656E89" w:rsidRDefault="00656E89" w:rsidP="00656E89">
      <w:pPr>
        <w:spacing w:line="360" w:lineRule="auto"/>
        <w:jc w:val="both"/>
        <w:rPr>
          <w:bCs/>
          <w:sz w:val="28"/>
          <w:szCs w:val="28"/>
        </w:rPr>
      </w:pPr>
    </w:p>
    <w:p w14:paraId="30645D63" w14:textId="77777777" w:rsidR="00656E89" w:rsidRDefault="00656E89" w:rsidP="00656E89">
      <w:pPr>
        <w:spacing w:line="360" w:lineRule="auto"/>
        <w:jc w:val="both"/>
        <w:rPr>
          <w:bCs/>
          <w:sz w:val="28"/>
          <w:szCs w:val="28"/>
        </w:rPr>
      </w:pPr>
      <w:r>
        <w:rPr>
          <w:bCs/>
          <w:sz w:val="28"/>
          <w:szCs w:val="28"/>
        </w:rPr>
        <w:t>Appearing for the 4</w:t>
      </w:r>
      <w:r w:rsidRPr="002A2C5E">
        <w:rPr>
          <w:bCs/>
          <w:sz w:val="28"/>
          <w:szCs w:val="28"/>
          <w:vertAlign w:val="superscript"/>
        </w:rPr>
        <w:t>th</w:t>
      </w:r>
      <w:r>
        <w:rPr>
          <w:bCs/>
          <w:sz w:val="28"/>
          <w:szCs w:val="28"/>
        </w:rPr>
        <w:t xml:space="preserve"> respondent:</w:t>
      </w:r>
      <w:r>
        <w:rPr>
          <w:bCs/>
          <w:sz w:val="28"/>
          <w:szCs w:val="28"/>
        </w:rPr>
        <w:tab/>
        <w:t>Mr F. Ntayiya</w:t>
      </w:r>
    </w:p>
    <w:p w14:paraId="155F72F6"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c/o Fikile Ntayiya &amp; Associates</w:t>
      </w:r>
    </w:p>
    <w:p w14:paraId="09CA1299" w14:textId="77777777" w:rsidR="00656E89" w:rsidRDefault="00656E89" w:rsidP="00656E89">
      <w:pPr>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MTHATHA.</w:t>
      </w:r>
    </w:p>
    <w:p w14:paraId="28383925" w14:textId="77777777" w:rsidR="00656E89" w:rsidRDefault="00656E89" w:rsidP="00656E89">
      <w:pPr>
        <w:spacing w:line="360" w:lineRule="auto"/>
        <w:jc w:val="both"/>
        <w:rPr>
          <w:bCs/>
          <w:sz w:val="28"/>
          <w:szCs w:val="28"/>
        </w:rPr>
      </w:pPr>
    </w:p>
    <w:p w14:paraId="0FF517D0" w14:textId="77777777" w:rsidR="00656E89" w:rsidRPr="00BF79AE" w:rsidRDefault="00656E89" w:rsidP="00656E89">
      <w:pPr>
        <w:spacing w:line="360" w:lineRule="auto"/>
        <w:jc w:val="both"/>
        <w:rPr>
          <w:bCs/>
          <w:color w:val="FF0000"/>
          <w:sz w:val="28"/>
          <w:szCs w:val="28"/>
        </w:rPr>
      </w:pPr>
    </w:p>
    <w:p w14:paraId="489F3218" w14:textId="77777777" w:rsidR="00656E89" w:rsidRPr="009C04F5" w:rsidRDefault="00656E89" w:rsidP="00656E89">
      <w:pPr>
        <w:spacing w:line="360" w:lineRule="auto"/>
        <w:jc w:val="both"/>
        <w:rPr>
          <w:bCs/>
          <w:sz w:val="28"/>
          <w:szCs w:val="28"/>
        </w:rPr>
      </w:pPr>
    </w:p>
    <w:p w14:paraId="1DE17E9D" w14:textId="77777777" w:rsidR="00485019" w:rsidRDefault="00485019" w:rsidP="00485019">
      <w:pPr>
        <w:spacing w:line="360" w:lineRule="auto"/>
        <w:jc w:val="both"/>
        <w:rPr>
          <w:sz w:val="28"/>
          <w:szCs w:val="28"/>
        </w:rPr>
      </w:pPr>
    </w:p>
    <w:p w14:paraId="6EC31530" w14:textId="77777777" w:rsidR="00485019" w:rsidRDefault="00485019" w:rsidP="00485019">
      <w:pPr>
        <w:spacing w:line="360" w:lineRule="auto"/>
        <w:jc w:val="both"/>
        <w:rPr>
          <w:sz w:val="28"/>
          <w:szCs w:val="28"/>
        </w:rPr>
      </w:pPr>
    </w:p>
    <w:p w14:paraId="044F8BD7" w14:textId="10AC7C44" w:rsidR="00B9647D" w:rsidRPr="009C04F5" w:rsidRDefault="00B9647D" w:rsidP="00485019">
      <w:pPr>
        <w:spacing w:line="360" w:lineRule="auto"/>
        <w:jc w:val="both"/>
        <w:rPr>
          <w:bCs/>
          <w:sz w:val="28"/>
          <w:szCs w:val="28"/>
        </w:rPr>
      </w:pPr>
    </w:p>
    <w:sectPr w:rsidR="00B9647D" w:rsidRPr="009C04F5" w:rsidSect="00620016">
      <w:headerReference w:type="even" r:id="rId9"/>
      <w:headerReference w:type="default" r:id="rId10"/>
      <w:pgSz w:w="12240" w:h="15840"/>
      <w:pgMar w:top="567" w:right="1800" w:bottom="1276"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9F02" w14:textId="77777777" w:rsidR="00CC59FF" w:rsidRDefault="00CC59FF">
      <w:r>
        <w:separator/>
      </w:r>
    </w:p>
  </w:endnote>
  <w:endnote w:type="continuationSeparator" w:id="0">
    <w:p w14:paraId="104A8544" w14:textId="77777777" w:rsidR="00CC59FF" w:rsidRDefault="00CC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1189" w14:textId="77777777" w:rsidR="00CC59FF" w:rsidRDefault="00CC59FF">
      <w:r>
        <w:separator/>
      </w:r>
    </w:p>
  </w:footnote>
  <w:footnote w:type="continuationSeparator" w:id="0">
    <w:p w14:paraId="3A7B7788" w14:textId="77777777" w:rsidR="00CC59FF" w:rsidRDefault="00CC59FF">
      <w:r>
        <w:continuationSeparator/>
      </w:r>
    </w:p>
  </w:footnote>
  <w:footnote w:id="1">
    <w:p w14:paraId="251ACD11" w14:textId="349A8CC7" w:rsidR="00302076" w:rsidRPr="003621AE" w:rsidRDefault="00302076" w:rsidP="00302076">
      <w:pPr>
        <w:pStyle w:val="FootnoteText"/>
        <w:rPr>
          <w:sz w:val="19"/>
          <w:szCs w:val="19"/>
          <w:lang w:val="en-US"/>
        </w:rPr>
      </w:pPr>
      <w:r>
        <w:rPr>
          <w:rStyle w:val="FootnoteReference"/>
        </w:rPr>
        <w:footnoteRef/>
      </w:r>
      <w:r>
        <w:t xml:space="preserve"> </w:t>
      </w:r>
      <w:r w:rsidRPr="003621AE">
        <w:rPr>
          <w:sz w:val="19"/>
          <w:szCs w:val="19"/>
        </w:rPr>
        <w:t>See:</w:t>
      </w:r>
      <w:r w:rsidRPr="003621AE">
        <w:rPr>
          <w:i/>
          <w:iCs/>
          <w:sz w:val="19"/>
          <w:szCs w:val="19"/>
        </w:rPr>
        <w:t xml:space="preserve"> Lebea v Menye &amp; Another</w:t>
      </w:r>
      <w:r w:rsidRPr="003621AE">
        <w:rPr>
          <w:sz w:val="19"/>
          <w:szCs w:val="19"/>
        </w:rPr>
        <w:t xml:space="preserve"> 2023 (BCLR 257 (CC) where it was stated that </w:t>
      </w:r>
      <w:r w:rsidRPr="003621AE">
        <w:rPr>
          <w:sz w:val="19"/>
          <w:szCs w:val="19"/>
          <w:lang w:val="en-US"/>
        </w:rPr>
        <w:t xml:space="preserve">the term </w:t>
      </w:r>
      <w:r w:rsidR="00D4522E" w:rsidRPr="003621AE">
        <w:rPr>
          <w:sz w:val="19"/>
          <w:szCs w:val="19"/>
          <w:lang w:val="en-US"/>
        </w:rPr>
        <w:t>‘</w:t>
      </w:r>
      <w:r w:rsidRPr="003621AE">
        <w:rPr>
          <w:sz w:val="19"/>
          <w:szCs w:val="19"/>
          <w:lang w:val="en-US"/>
        </w:rPr>
        <w:t>direct and substantial interest</w:t>
      </w:r>
      <w:r w:rsidR="00D4522E" w:rsidRPr="003621AE">
        <w:rPr>
          <w:sz w:val="19"/>
          <w:szCs w:val="19"/>
          <w:lang w:val="en-US"/>
        </w:rPr>
        <w:t>’</w:t>
      </w:r>
      <w:r w:rsidRPr="003621AE">
        <w:rPr>
          <w:sz w:val="19"/>
          <w:szCs w:val="19"/>
          <w:lang w:val="en-US"/>
        </w:rPr>
        <w:t xml:space="preserve"> means an interest in the right, which is the subject matter of the litigation, and not merely an indirect financial interest in the litigation.</w:t>
      </w:r>
    </w:p>
  </w:footnote>
  <w:footnote w:id="2">
    <w:p w14:paraId="0FA2E166" w14:textId="3760CA30" w:rsidR="00122F69" w:rsidRPr="003621AE" w:rsidRDefault="00D11A56" w:rsidP="00122F69">
      <w:pPr>
        <w:spacing w:after="5" w:line="268" w:lineRule="auto"/>
        <w:ind w:right="55"/>
        <w:jc w:val="both"/>
        <w:rPr>
          <w:sz w:val="19"/>
          <w:szCs w:val="19"/>
        </w:rPr>
      </w:pPr>
      <w:r w:rsidRPr="003621AE">
        <w:rPr>
          <w:rStyle w:val="FootnoteReference"/>
          <w:sz w:val="19"/>
          <w:szCs w:val="19"/>
        </w:rPr>
        <w:footnoteRef/>
      </w:r>
      <w:r w:rsidRPr="003621AE">
        <w:rPr>
          <w:sz w:val="19"/>
          <w:szCs w:val="19"/>
        </w:rPr>
        <w:t xml:space="preserve"> </w:t>
      </w:r>
      <w:r w:rsidR="00122F69" w:rsidRPr="003621AE">
        <w:rPr>
          <w:sz w:val="19"/>
          <w:szCs w:val="19"/>
        </w:rPr>
        <w:t xml:space="preserve">Subsections 9 (2) (a) and (b) of the Proclamation provide </w:t>
      </w:r>
      <w:r w:rsidR="00122F69" w:rsidRPr="003621AE">
        <w:rPr>
          <w:rFonts w:ascii="Arial" w:eastAsia="Arial" w:hAnsi="Arial" w:cs="Arial"/>
          <w:sz w:val="19"/>
          <w:szCs w:val="19"/>
        </w:rPr>
        <w:t>–</w:t>
      </w:r>
      <w:r w:rsidR="00122F69" w:rsidRPr="003621AE">
        <w:rPr>
          <w:sz w:val="19"/>
          <w:szCs w:val="19"/>
        </w:rPr>
        <w:t xml:space="preserve">  </w:t>
      </w:r>
      <w:r w:rsidR="00122F69" w:rsidRPr="003621AE">
        <w:rPr>
          <w:rFonts w:ascii="Arial" w:eastAsia="Arial" w:hAnsi="Arial" w:cs="Arial"/>
          <w:sz w:val="19"/>
          <w:szCs w:val="19"/>
        </w:rPr>
        <w:t>“</w:t>
      </w:r>
      <w:r w:rsidR="00122F69" w:rsidRPr="003621AE">
        <w:rPr>
          <w:sz w:val="19"/>
          <w:szCs w:val="19"/>
        </w:rPr>
        <w:t xml:space="preserve">9 (2)(a) Upon the death of an allotment holder his rights to occupy such allotment shall ipso facto be cancelled, subject  to provisions of the Transkei Agricultural Development Act, 1966 and of any soil conservations scheme in force under that Act, such allotment shall become available for re </w:t>
      </w:r>
      <w:r w:rsidR="00122F69" w:rsidRPr="003621AE">
        <w:rPr>
          <w:rFonts w:ascii="Arial" w:eastAsia="Arial" w:hAnsi="Arial" w:cs="Arial"/>
          <w:sz w:val="19"/>
          <w:szCs w:val="19"/>
        </w:rPr>
        <w:t>–</w:t>
      </w:r>
      <w:r w:rsidR="00122F69" w:rsidRPr="003621AE">
        <w:rPr>
          <w:sz w:val="19"/>
          <w:szCs w:val="19"/>
        </w:rPr>
        <w:t xml:space="preserve"> allotment to a widow or other member, including any other female member, of the previous holders family selected for the purpose by the tribal authority.  (b) In the absence of any such re </w:t>
      </w:r>
      <w:r w:rsidR="00122F69" w:rsidRPr="003621AE">
        <w:rPr>
          <w:rFonts w:ascii="Arial" w:eastAsia="Arial" w:hAnsi="Arial" w:cs="Arial"/>
          <w:sz w:val="19"/>
          <w:szCs w:val="19"/>
        </w:rPr>
        <w:t>–</w:t>
      </w:r>
      <w:r w:rsidR="00122F69" w:rsidRPr="003621AE">
        <w:rPr>
          <w:sz w:val="19"/>
          <w:szCs w:val="19"/>
        </w:rPr>
        <w:t xml:space="preserve"> allotment, the allotment shall revert to commonage</w:t>
      </w:r>
      <w:r w:rsidR="00122F69" w:rsidRPr="003621AE">
        <w:rPr>
          <w:rFonts w:ascii="Arial" w:eastAsia="Arial" w:hAnsi="Arial" w:cs="Arial"/>
          <w:sz w:val="19"/>
          <w:szCs w:val="19"/>
        </w:rPr>
        <w:t>”</w:t>
      </w:r>
      <w:r w:rsidR="00122F69" w:rsidRPr="003621AE">
        <w:rPr>
          <w:sz w:val="19"/>
          <w:szCs w:val="19"/>
        </w:rPr>
        <w:t xml:space="preserve">. </w:t>
      </w:r>
    </w:p>
    <w:p w14:paraId="4BB3FE14" w14:textId="76ADB9D4" w:rsidR="00D11A56" w:rsidRPr="00D11A56" w:rsidRDefault="00D11A56">
      <w:pPr>
        <w:pStyle w:val="FootnoteText"/>
        <w:rPr>
          <w:lang w:val="en-US"/>
        </w:rPr>
      </w:pPr>
    </w:p>
  </w:footnote>
  <w:footnote w:id="3">
    <w:p w14:paraId="55694534" w14:textId="517C549C" w:rsidR="009C4E3B" w:rsidRPr="003621AE" w:rsidRDefault="009C4E3B">
      <w:pPr>
        <w:pStyle w:val="FootnoteText"/>
        <w:rPr>
          <w:sz w:val="19"/>
          <w:szCs w:val="19"/>
          <w:lang w:val="en-US"/>
        </w:rPr>
      </w:pPr>
      <w:r>
        <w:rPr>
          <w:rStyle w:val="FootnoteReference"/>
        </w:rPr>
        <w:footnoteRef/>
      </w:r>
      <w:r w:rsidRPr="003621AE">
        <w:rPr>
          <w:sz w:val="19"/>
          <w:szCs w:val="19"/>
        </w:rPr>
        <w:t xml:space="preserve">Such is the cannon of construction </w:t>
      </w:r>
      <w:r w:rsidR="00F83428" w:rsidRPr="003621AE">
        <w:rPr>
          <w:sz w:val="19"/>
          <w:szCs w:val="19"/>
        </w:rPr>
        <w:t>applicable</w:t>
      </w:r>
      <w:r w:rsidRPr="003621AE">
        <w:rPr>
          <w:sz w:val="19"/>
          <w:szCs w:val="19"/>
        </w:rPr>
        <w:t xml:space="preserve"> in interpreting statutes and other documents as stated in </w:t>
      </w:r>
      <w:r w:rsidR="00CE0F14" w:rsidRPr="003621AE">
        <w:rPr>
          <w:i/>
          <w:iCs/>
          <w:sz w:val="19"/>
          <w:szCs w:val="19"/>
          <w:lang w:val="en-US"/>
        </w:rPr>
        <w:t xml:space="preserve">Natal Joint Municipal Pension Fund v Endumeni Municipality </w:t>
      </w:r>
      <w:r w:rsidR="00CE0F14" w:rsidRPr="003621AE">
        <w:rPr>
          <w:iCs/>
          <w:sz w:val="19"/>
          <w:szCs w:val="19"/>
          <w:lang w:val="en-US"/>
        </w:rPr>
        <w:t>[2012] ZASCA 13; [2012] 2 All SA 262 (SCA);</w:t>
      </w:r>
      <w:r w:rsidR="00CE0F14" w:rsidRPr="003621AE">
        <w:rPr>
          <w:i/>
          <w:iCs/>
          <w:sz w:val="19"/>
          <w:szCs w:val="19"/>
          <w:lang w:val="en-US"/>
        </w:rPr>
        <w:t xml:space="preserve"> </w:t>
      </w:r>
      <w:r w:rsidR="00CE0F14" w:rsidRPr="003621AE">
        <w:rPr>
          <w:sz w:val="19"/>
          <w:szCs w:val="19"/>
          <w:lang w:val="en-US"/>
        </w:rPr>
        <w:t>2012 (4) SA 593 (SCA) (</w:t>
      </w:r>
      <w:r w:rsidR="00CE0F14" w:rsidRPr="003621AE">
        <w:rPr>
          <w:i/>
          <w:sz w:val="19"/>
          <w:szCs w:val="19"/>
          <w:lang w:val="en-US"/>
        </w:rPr>
        <w:t>Endumeni</w:t>
      </w:r>
      <w:r w:rsidR="00CE0F14" w:rsidRPr="003621AE">
        <w:rPr>
          <w:sz w:val="19"/>
          <w:szCs w:val="19"/>
          <w:lang w:val="en-US"/>
        </w:rPr>
        <w:t>)</w:t>
      </w:r>
      <w:r w:rsidR="009259E5" w:rsidRPr="003621AE">
        <w:rPr>
          <w:sz w:val="19"/>
          <w:szCs w:val="19"/>
          <w:lang w:val="en-US"/>
        </w:rPr>
        <w:t xml:space="preserve"> at para 12</w:t>
      </w:r>
      <w:r w:rsidR="00011F06" w:rsidRPr="003621AE">
        <w:rPr>
          <w:sz w:val="19"/>
          <w:szCs w:val="19"/>
        </w:rPr>
        <w:t>.</w:t>
      </w:r>
      <w:r w:rsidRPr="003621AE">
        <w:rPr>
          <w:sz w:val="19"/>
          <w:szCs w:val="19"/>
        </w:rPr>
        <w:t xml:space="preserve"> </w:t>
      </w:r>
    </w:p>
  </w:footnote>
  <w:footnote w:id="4">
    <w:p w14:paraId="1039CB29" w14:textId="2C3FBA7F" w:rsidR="00302076" w:rsidRPr="0083365E" w:rsidRDefault="00302076" w:rsidP="00302076">
      <w:pPr>
        <w:pStyle w:val="FootnoteText"/>
        <w:rPr>
          <w:lang w:val="en-US"/>
        </w:rPr>
      </w:pPr>
      <w:r w:rsidRPr="003621AE">
        <w:rPr>
          <w:rStyle w:val="FootnoteReference"/>
          <w:sz w:val="19"/>
          <w:szCs w:val="19"/>
        </w:rPr>
        <w:footnoteRef/>
      </w:r>
      <w:r w:rsidRPr="003621AE">
        <w:rPr>
          <w:i/>
          <w:color w:val="000000" w:themeColor="text1"/>
          <w:sz w:val="19"/>
          <w:szCs w:val="19"/>
        </w:rPr>
        <w:t xml:space="preserve">Oudekraal </w:t>
      </w:r>
      <w:r w:rsidRPr="003621AE">
        <w:rPr>
          <w:i/>
          <w:sz w:val="19"/>
          <w:szCs w:val="19"/>
        </w:rPr>
        <w:t xml:space="preserve">Estates (Pty) Ltd v City of Cape Town and Others </w:t>
      </w:r>
      <w:r w:rsidRPr="003621AE">
        <w:rPr>
          <w:sz w:val="19"/>
          <w:szCs w:val="19"/>
        </w:rPr>
        <w:t>2004 (6) SA 222 (SCA)</w:t>
      </w:r>
      <w:r w:rsidR="00B474C0" w:rsidRPr="003621AE">
        <w:rPr>
          <w:sz w:val="19"/>
          <w:szCs w:val="19"/>
        </w:rPr>
        <w:t xml:space="preserve"> at 242</w:t>
      </w:r>
      <w:r w:rsidRPr="003621AE">
        <w:rPr>
          <w:sz w:val="19"/>
          <w:szCs w:val="19"/>
        </w:rPr>
        <w:t>.</w:t>
      </w:r>
      <w:r w:rsidRPr="0083365E">
        <w:t xml:space="preserve"> </w:t>
      </w:r>
    </w:p>
  </w:footnote>
  <w:footnote w:id="5">
    <w:p w14:paraId="37D5F7E5" w14:textId="74C50DF2" w:rsidR="00FD4E7D" w:rsidRPr="000C33CD" w:rsidRDefault="004B6DBC" w:rsidP="00FD4E7D">
      <w:pPr>
        <w:spacing w:before="240" w:after="180" w:line="288" w:lineRule="atLeast"/>
        <w:outlineLvl w:val="1"/>
        <w:rPr>
          <w:color w:val="64473A"/>
          <w:sz w:val="19"/>
          <w:szCs w:val="19"/>
          <w:lang w:eastAsia="en-GB"/>
        </w:rPr>
      </w:pPr>
      <w:r w:rsidRPr="000C33CD">
        <w:rPr>
          <w:rStyle w:val="FootnoteReference"/>
          <w:sz w:val="19"/>
          <w:szCs w:val="19"/>
        </w:rPr>
        <w:footnoteRef/>
      </w:r>
      <w:r w:rsidRPr="000C33CD">
        <w:rPr>
          <w:sz w:val="19"/>
          <w:szCs w:val="19"/>
        </w:rPr>
        <w:t xml:space="preserve"> </w:t>
      </w:r>
      <w:r w:rsidR="00FD4E7D" w:rsidRPr="000C33CD">
        <w:rPr>
          <w:i/>
          <w:iCs/>
          <w:color w:val="000000" w:themeColor="text1"/>
          <w:sz w:val="19"/>
          <w:szCs w:val="19"/>
          <w:lang w:eastAsia="en-GB"/>
        </w:rPr>
        <w:t>Ndabankulu v Ndabankulu and Another</w:t>
      </w:r>
      <w:r w:rsidR="00FD4E7D" w:rsidRPr="000C33CD">
        <w:rPr>
          <w:color w:val="000000" w:themeColor="text1"/>
          <w:sz w:val="19"/>
          <w:szCs w:val="19"/>
          <w:lang w:eastAsia="en-GB"/>
        </w:rPr>
        <w:t xml:space="preserve"> (CA&amp;R33/2018) [2018] ZAECMHC 45 (17 August 2018)</w:t>
      </w:r>
      <w:r w:rsidR="00182DD1">
        <w:rPr>
          <w:color w:val="000000" w:themeColor="text1"/>
          <w:sz w:val="19"/>
          <w:szCs w:val="19"/>
          <w:lang w:eastAsia="en-GB"/>
        </w:rPr>
        <w:t>.</w:t>
      </w:r>
    </w:p>
    <w:p w14:paraId="407D37EB" w14:textId="2693DCBE" w:rsidR="004B6DBC" w:rsidRPr="000C33CD" w:rsidRDefault="004B6DBC">
      <w:pPr>
        <w:pStyle w:val="FootnoteText"/>
        <w:rPr>
          <w:sz w:val="19"/>
          <w:szCs w:val="19"/>
          <w:lang w:val="en-US"/>
        </w:rPr>
      </w:pPr>
    </w:p>
  </w:footnote>
  <w:footnote w:id="6">
    <w:p w14:paraId="1E02FDFE" w14:textId="77777777" w:rsidR="00302076" w:rsidRPr="00182DD1" w:rsidRDefault="00302076" w:rsidP="00302076">
      <w:pPr>
        <w:pStyle w:val="FootnoteText"/>
        <w:rPr>
          <w:sz w:val="19"/>
          <w:szCs w:val="19"/>
          <w:lang w:val="en-US"/>
        </w:rPr>
      </w:pPr>
      <w:r w:rsidRPr="000C33CD">
        <w:rPr>
          <w:rStyle w:val="FootnoteReference"/>
          <w:sz w:val="19"/>
          <w:szCs w:val="19"/>
        </w:rPr>
        <w:footnoteRef/>
      </w:r>
      <w:r w:rsidRPr="000C33CD">
        <w:rPr>
          <w:sz w:val="19"/>
          <w:szCs w:val="19"/>
        </w:rPr>
        <w:t xml:space="preserve"> </w:t>
      </w:r>
      <w:r w:rsidRPr="000C33CD">
        <w:rPr>
          <w:sz w:val="19"/>
          <w:szCs w:val="19"/>
          <w:lang w:val="en-US"/>
        </w:rPr>
        <w:t>In terms of s 1 of PIE an ‘unlawful occupier’ is defined as:  ‘a person who occupies land without the express or tacit consent of the owner all person in charge, or without any other right in law to occupy such</w:t>
      </w:r>
      <w:r w:rsidRPr="00F97904">
        <w:rPr>
          <w:lang w:val="en-US"/>
        </w:rPr>
        <w:t xml:space="preserve"> land, excluding </w:t>
      </w:r>
      <w:r w:rsidRPr="00182DD1">
        <w:rPr>
          <w:sz w:val="19"/>
          <w:szCs w:val="19"/>
          <w:lang w:val="en-US"/>
        </w:rPr>
        <w:t>a person who is the occupier in terms of extension of security of tenure act, 1997, and excluding a person whose informal right to land, but for the provisions of this act, would be protected by the provisions of the interim protection of informal land rights act, 1996 (Act No.31 of 1996)’.</w:t>
      </w:r>
    </w:p>
  </w:footnote>
  <w:footnote w:id="7">
    <w:p w14:paraId="73D6B0F1" w14:textId="77777777" w:rsidR="00302076" w:rsidRPr="00182DD1" w:rsidRDefault="00302076" w:rsidP="00302076">
      <w:pPr>
        <w:pStyle w:val="FootnoteText"/>
        <w:rPr>
          <w:sz w:val="19"/>
          <w:szCs w:val="19"/>
          <w:lang w:val="en-US"/>
        </w:rPr>
      </w:pPr>
      <w:r w:rsidRPr="00182DD1">
        <w:rPr>
          <w:rStyle w:val="FootnoteReference"/>
          <w:sz w:val="19"/>
          <w:szCs w:val="19"/>
        </w:rPr>
        <w:footnoteRef/>
      </w:r>
      <w:r w:rsidRPr="00182DD1">
        <w:rPr>
          <w:sz w:val="19"/>
          <w:szCs w:val="19"/>
        </w:rPr>
        <w:t>Section 4(7) reads:’</w:t>
      </w:r>
      <w:r w:rsidRPr="00182DD1">
        <w:rPr>
          <w:sz w:val="19"/>
          <w:szCs w:val="19"/>
          <w:lang w:val="en-US"/>
        </w:rPr>
        <w:t xml:space="preserve"> If an unlawful occupier has occupied the land in question for more than six months at the time when the proceedings are initiated, a court may grant an order for eviction if it is of the opinion that it is just an equitable to do so, after considering all the relevant circumstances, including... where the land has been made available or can reasonably be made available by the municipality or other organ of state or another land owner for the relocation of the unlawful occupier, and including the rights and needs of the elderly, children, disabled persons and households headed by women”.</w:t>
      </w:r>
      <w:r w:rsidRPr="00182DD1">
        <w:rPr>
          <w:sz w:val="19"/>
          <w:szCs w:val="19"/>
        </w:rPr>
        <w:t xml:space="preserve"> </w:t>
      </w:r>
    </w:p>
  </w:footnote>
  <w:footnote w:id="8">
    <w:p w14:paraId="0E4F0C2F" w14:textId="77777777" w:rsidR="00302076" w:rsidRPr="00182DD1" w:rsidRDefault="00302076" w:rsidP="00302076">
      <w:pPr>
        <w:pStyle w:val="FootnoteText"/>
        <w:rPr>
          <w:sz w:val="19"/>
          <w:szCs w:val="19"/>
          <w:lang w:val="en-US"/>
        </w:rPr>
      </w:pPr>
      <w:r w:rsidRPr="00182DD1">
        <w:rPr>
          <w:rStyle w:val="FootnoteReference"/>
          <w:sz w:val="19"/>
          <w:szCs w:val="19"/>
        </w:rPr>
        <w:footnoteRef/>
      </w:r>
      <w:r w:rsidRPr="00182DD1">
        <w:rPr>
          <w:sz w:val="19"/>
          <w:szCs w:val="19"/>
        </w:rPr>
        <w:t xml:space="preserve"> </w:t>
      </w:r>
      <w:r w:rsidRPr="00182DD1">
        <w:rPr>
          <w:i/>
          <w:sz w:val="19"/>
          <w:szCs w:val="19"/>
        </w:rPr>
        <w:t>Malan v City of Cape Tow</w:t>
      </w:r>
      <w:r w:rsidRPr="00182DD1">
        <w:rPr>
          <w:iCs/>
          <w:sz w:val="19"/>
          <w:szCs w:val="19"/>
        </w:rPr>
        <w:t>n 2014 (6) SA 315 (CC).</w:t>
      </w:r>
    </w:p>
  </w:footnote>
  <w:footnote w:id="9">
    <w:p w14:paraId="09931981" w14:textId="77777777" w:rsidR="00302076" w:rsidRPr="00984E90" w:rsidRDefault="00302076" w:rsidP="00302076">
      <w:pPr>
        <w:pStyle w:val="FootnoteText"/>
        <w:rPr>
          <w:lang w:val="en-US"/>
        </w:rPr>
      </w:pPr>
      <w:r w:rsidRPr="00182DD1">
        <w:rPr>
          <w:rStyle w:val="FootnoteReference"/>
          <w:sz w:val="19"/>
          <w:szCs w:val="19"/>
        </w:rPr>
        <w:footnoteRef/>
      </w:r>
      <w:r w:rsidRPr="00182DD1">
        <w:rPr>
          <w:sz w:val="19"/>
          <w:szCs w:val="19"/>
        </w:rPr>
        <w:t xml:space="preserve"> </w:t>
      </w:r>
      <w:r w:rsidRPr="00182DD1">
        <w:rPr>
          <w:i/>
          <w:color w:val="000000" w:themeColor="text1"/>
          <w:sz w:val="19"/>
          <w:szCs w:val="19"/>
        </w:rPr>
        <w:t>Grobler v Phillips and Others</w:t>
      </w:r>
      <w:r w:rsidRPr="00182DD1">
        <w:rPr>
          <w:color w:val="000000" w:themeColor="text1"/>
          <w:sz w:val="19"/>
          <w:szCs w:val="19"/>
        </w:rPr>
        <w:t xml:space="preserve"> 2023 (1) SA 321 (CC).</w:t>
      </w:r>
    </w:p>
  </w:footnote>
  <w:footnote w:id="10">
    <w:p w14:paraId="1E51B104" w14:textId="77777777" w:rsidR="00656E89" w:rsidRPr="00DF6EC3" w:rsidRDefault="00656E89" w:rsidP="00656E89">
      <w:pPr>
        <w:pStyle w:val="FootnoteText"/>
        <w:rPr>
          <w:lang w:val="en-US"/>
        </w:rPr>
      </w:pPr>
      <w:r>
        <w:rPr>
          <w:rStyle w:val="FootnoteReference"/>
        </w:rPr>
        <w:footnoteRef/>
      </w:r>
      <w:r>
        <w:t xml:space="preserve"> </w:t>
      </w:r>
      <w:r w:rsidRPr="00D007F7">
        <w:rPr>
          <w:i/>
          <w:iCs/>
          <w:sz w:val="19"/>
          <w:szCs w:val="19"/>
          <w:lang w:val="en-US"/>
        </w:rPr>
        <w:t>Moseneke and Others v Master of the High Court</w:t>
      </w:r>
      <w:r w:rsidRPr="00D007F7">
        <w:rPr>
          <w:sz w:val="19"/>
          <w:szCs w:val="19"/>
          <w:lang w:val="en-US"/>
        </w:rPr>
        <w:t xml:space="preserve"> [2000] ZACC 27; 2001 (20 BCLR 103; 2001 (2) SA 18 at para 20</w:t>
      </w:r>
    </w:p>
  </w:footnote>
  <w:footnote w:id="11">
    <w:p w14:paraId="3F00A851" w14:textId="77777777" w:rsidR="00656E89" w:rsidRPr="00FB6EB9" w:rsidRDefault="00656E89" w:rsidP="00656E89">
      <w:pPr>
        <w:pStyle w:val="FootnoteText"/>
        <w:rPr>
          <w:sz w:val="19"/>
          <w:szCs w:val="19"/>
          <w:lang w:val="en-US"/>
        </w:rPr>
      </w:pPr>
      <w:r w:rsidRPr="00FB6EB9">
        <w:rPr>
          <w:rStyle w:val="FootnoteReference"/>
          <w:sz w:val="19"/>
          <w:szCs w:val="19"/>
        </w:rPr>
        <w:footnoteRef/>
      </w:r>
      <w:r w:rsidRPr="00FB6EB9">
        <w:rPr>
          <w:sz w:val="19"/>
          <w:szCs w:val="19"/>
        </w:rPr>
        <w:t xml:space="preserve"> 112 of 1991.</w:t>
      </w:r>
    </w:p>
  </w:footnote>
  <w:footnote w:id="12">
    <w:p w14:paraId="1745F84E" w14:textId="77777777" w:rsidR="00656E89" w:rsidRPr="007871A3" w:rsidRDefault="00656E89" w:rsidP="00656E89">
      <w:pPr>
        <w:pStyle w:val="FootnoteText"/>
        <w:rPr>
          <w:lang w:val="en-US"/>
        </w:rPr>
      </w:pPr>
      <w:r w:rsidRPr="00FB6EB9">
        <w:rPr>
          <w:rStyle w:val="FootnoteReference"/>
          <w:sz w:val="19"/>
          <w:szCs w:val="19"/>
        </w:rPr>
        <w:footnoteRef/>
      </w:r>
      <w:r w:rsidRPr="00130A9F">
        <w:rPr>
          <w:i/>
          <w:iCs/>
          <w:sz w:val="19"/>
          <w:szCs w:val="19"/>
        </w:rPr>
        <w:t xml:space="preserve"> </w:t>
      </w:r>
      <w:r w:rsidRPr="00130A9F">
        <w:rPr>
          <w:i/>
          <w:iCs/>
          <w:sz w:val="19"/>
          <w:szCs w:val="19"/>
          <w:lang w:val="en-US"/>
        </w:rPr>
        <w:t xml:space="preserve">Herbert N.O and Others v Senqu Municipality and Others </w:t>
      </w:r>
      <w:r w:rsidRPr="00FB6EB9">
        <w:rPr>
          <w:sz w:val="19"/>
          <w:szCs w:val="19"/>
          <w:lang w:val="en-US"/>
        </w:rPr>
        <w:t>[2019] ZACC 31; 2019 (11) BCLR 1343 (CC); 2019 (6) SA 231 (CC) at para 37.</w:t>
      </w:r>
    </w:p>
  </w:footnote>
  <w:footnote w:id="13">
    <w:p w14:paraId="725389BF" w14:textId="77777777" w:rsidR="00656E89" w:rsidRPr="003A4A8E" w:rsidRDefault="00656E89" w:rsidP="00656E89">
      <w:pPr>
        <w:pStyle w:val="FootnoteText"/>
        <w:rPr>
          <w:i/>
          <w:sz w:val="19"/>
          <w:szCs w:val="19"/>
          <w:lang w:val="en-US"/>
        </w:rPr>
      </w:pPr>
      <w:r>
        <w:rPr>
          <w:rStyle w:val="FootnoteReference"/>
        </w:rPr>
        <w:footnoteRef/>
      </w:r>
      <w:r>
        <w:t xml:space="preserve"> </w:t>
      </w:r>
      <w:hyperlink r:id="rId1" w:tooltip="View Case" w:history="1">
        <w:r w:rsidRPr="003A4A8E">
          <w:rPr>
            <w:bCs/>
            <w:i/>
            <w:sz w:val="19"/>
            <w:szCs w:val="19"/>
            <w:lang w:eastAsia="en-ZA"/>
          </w:rPr>
          <w:t>[1992] ZASCA 208</w:t>
        </w:r>
      </w:hyperlink>
      <w:r w:rsidRPr="003A4A8E">
        <w:rPr>
          <w:i/>
          <w:iCs/>
          <w:sz w:val="19"/>
          <w:szCs w:val="19"/>
          <w:lang w:eastAsia="en-ZA"/>
        </w:rPr>
        <w:t>;  </w:t>
      </w:r>
      <w:hyperlink r:id="rId2" w:tooltip="View LawCiteRecord" w:history="1">
        <w:r w:rsidRPr="003A4A8E">
          <w:rPr>
            <w:bCs/>
            <w:i/>
            <w:sz w:val="19"/>
            <w:szCs w:val="19"/>
            <w:lang w:eastAsia="en-ZA"/>
          </w:rPr>
          <w:t>1993 (1) SA 77</w:t>
        </w:r>
      </w:hyperlink>
      <w:r w:rsidRPr="003A4A8E">
        <w:rPr>
          <w:i/>
          <w:sz w:val="19"/>
          <w:szCs w:val="19"/>
          <w:lang w:val="en-ZA" w:eastAsia="en-ZA"/>
        </w:rPr>
        <w:t> </w:t>
      </w:r>
      <w:r w:rsidRPr="003A4A8E">
        <w:rPr>
          <w:i/>
          <w:iCs/>
          <w:sz w:val="19"/>
          <w:szCs w:val="19"/>
          <w:lang w:eastAsia="en-ZA"/>
        </w:rPr>
        <w:t>(A) </w:t>
      </w:r>
      <w:r w:rsidRPr="003A4A8E">
        <w:rPr>
          <w:i/>
          <w:sz w:val="19"/>
          <w:szCs w:val="19"/>
          <w:lang w:eastAsia="en-ZA"/>
        </w:rPr>
        <w:t>at 82.</w:t>
      </w:r>
    </w:p>
  </w:footnote>
  <w:footnote w:id="14">
    <w:p w14:paraId="09D8542F" w14:textId="77777777" w:rsidR="00656E89" w:rsidRPr="003A4A8E" w:rsidRDefault="00656E89" w:rsidP="00656E89">
      <w:pPr>
        <w:spacing w:after="120"/>
        <w:jc w:val="both"/>
        <w:rPr>
          <w:bCs/>
          <w:sz w:val="19"/>
          <w:szCs w:val="19"/>
          <w:lang w:eastAsia="en-ZA"/>
        </w:rPr>
      </w:pPr>
      <w:r w:rsidRPr="003A4A8E">
        <w:rPr>
          <w:rStyle w:val="FootnoteReference"/>
          <w:sz w:val="19"/>
          <w:szCs w:val="19"/>
        </w:rPr>
        <w:footnoteRef/>
      </w:r>
      <w:r w:rsidRPr="003A4A8E">
        <w:rPr>
          <w:sz w:val="19"/>
          <w:szCs w:val="19"/>
        </w:rPr>
        <w:t xml:space="preserve"> </w:t>
      </w:r>
      <w:r w:rsidRPr="003A4A8E">
        <w:rPr>
          <w:i/>
          <w:sz w:val="19"/>
          <w:szCs w:val="19"/>
        </w:rPr>
        <w:t>Footnote 2.</w:t>
      </w:r>
      <w:r w:rsidRPr="003A4A8E">
        <w:rPr>
          <w:sz w:val="19"/>
          <w:szCs w:val="19"/>
        </w:rPr>
        <w:t xml:space="preserve"> </w:t>
      </w:r>
      <w:r w:rsidRPr="003A4A8E">
        <w:rPr>
          <w:bCs/>
          <w:i/>
          <w:sz w:val="19"/>
          <w:szCs w:val="19"/>
          <w:lang w:eastAsia="en-ZA"/>
        </w:rPr>
        <w:t xml:space="preserve"> </w:t>
      </w:r>
    </w:p>
  </w:footnote>
  <w:footnote w:id="15">
    <w:p w14:paraId="4B2242D9" w14:textId="77777777" w:rsidR="00656E89" w:rsidRPr="000924D1" w:rsidRDefault="00656E89" w:rsidP="00656E89">
      <w:pPr>
        <w:pStyle w:val="Heading2"/>
        <w:shd w:val="clear" w:color="auto" w:fill="FFFFFF"/>
        <w:spacing w:before="240" w:after="180" w:line="288" w:lineRule="atLeast"/>
        <w:rPr>
          <w:color w:val="auto"/>
          <w:sz w:val="19"/>
          <w:szCs w:val="19"/>
          <w:lang w:val="en-US"/>
        </w:rPr>
      </w:pPr>
      <w:r w:rsidRPr="000924D1">
        <w:rPr>
          <w:rStyle w:val="FootnoteReference"/>
          <w:rFonts w:ascii="Times New Roman" w:hAnsi="Times New Roman" w:cs="Times New Roman"/>
          <w:color w:val="auto"/>
          <w:sz w:val="19"/>
          <w:szCs w:val="19"/>
        </w:rPr>
        <w:footnoteRef/>
      </w:r>
      <w:r w:rsidRPr="000924D1">
        <w:rPr>
          <w:rFonts w:ascii="Times New Roman" w:hAnsi="Times New Roman" w:cs="Times New Roman"/>
          <w:color w:val="auto"/>
          <w:sz w:val="19"/>
          <w:szCs w:val="19"/>
        </w:rPr>
        <w:t xml:space="preserve"> </w:t>
      </w:r>
      <w:r w:rsidRPr="000924D1">
        <w:rPr>
          <w:rFonts w:ascii="Times New Roman" w:eastAsia="Times New Roman" w:hAnsi="Times New Roman" w:cs="Times New Roman"/>
          <w:color w:val="auto"/>
          <w:sz w:val="19"/>
          <w:szCs w:val="19"/>
          <w:lang w:val="en-ZA" w:eastAsia="en-ZA"/>
        </w:rPr>
        <w:t>(CCT 112/11) [2012] ZACC 13; 2012 (8) BCLR 840 (CC); [2012] 10 BLLR 959 (CC); (2012) 33 ILJ 1593 (CC); 2013 (1) SA 83 (CC) (13 June 2012) para 114.</w:t>
      </w:r>
    </w:p>
  </w:footnote>
  <w:footnote w:id="16">
    <w:p w14:paraId="7C6B6C60" w14:textId="77777777" w:rsidR="00656E89" w:rsidRPr="00C57B86" w:rsidRDefault="00656E89" w:rsidP="00656E89">
      <w:pPr>
        <w:pStyle w:val="Footnote"/>
        <w:pBdr>
          <w:top w:val="none" w:sz="0" w:space="0" w:color="auto"/>
          <w:left w:val="none" w:sz="0" w:space="0" w:color="auto"/>
          <w:bottom w:val="none" w:sz="0" w:space="0" w:color="auto"/>
          <w:right w:val="none" w:sz="0" w:space="0" w:color="auto"/>
        </w:pBdr>
        <w:rPr>
          <w:rFonts w:ascii="Times New Roman" w:hAnsi="Times New Roman" w:cs="Times New Roman"/>
          <w:color w:val="auto"/>
          <w:sz w:val="20"/>
          <w:szCs w:val="20"/>
        </w:rPr>
      </w:pPr>
      <w:r w:rsidRPr="000924D1">
        <w:rPr>
          <w:rFonts w:ascii="Times New Roman" w:hAnsi="Times New Roman" w:cs="Times New Roman"/>
          <w:color w:val="auto"/>
          <w:sz w:val="19"/>
          <w:szCs w:val="19"/>
          <w:vertAlign w:val="superscript"/>
        </w:rPr>
        <w:footnoteRef/>
      </w:r>
      <w:r w:rsidRPr="000924D1">
        <w:rPr>
          <w:rFonts w:ascii="Times New Roman" w:hAnsi="Times New Roman" w:cs="Times New Roman"/>
          <w:color w:val="auto"/>
          <w:sz w:val="19"/>
          <w:szCs w:val="19"/>
        </w:rPr>
        <w:t xml:space="preserve"> (CCT 112/11) [2012] ZACC 13; 2012 (8) BCLR 840 (CC); [2012] 10 BLLR 959 (CC); (2012) 33 ILJ 1593 (CC); 2013 (1) SA 83 (CC) (13 June 2012), paragraph 114.</w:t>
      </w:r>
    </w:p>
  </w:footnote>
  <w:footnote w:id="17">
    <w:p w14:paraId="40298E25" w14:textId="77777777" w:rsidR="00656E89" w:rsidRPr="00C527DD" w:rsidRDefault="00656E89" w:rsidP="00656E89">
      <w:pPr>
        <w:pStyle w:val="Heading2"/>
        <w:shd w:val="clear" w:color="auto" w:fill="FFFFFF"/>
        <w:spacing w:before="240" w:after="180" w:line="288" w:lineRule="atLeast"/>
        <w:rPr>
          <w:sz w:val="19"/>
          <w:szCs w:val="19"/>
          <w:lang w:val="en-US"/>
        </w:rPr>
      </w:pPr>
      <w:r w:rsidRPr="00C527DD">
        <w:rPr>
          <w:rStyle w:val="FootnoteReference"/>
          <w:rFonts w:ascii="Times New Roman" w:hAnsi="Times New Roman" w:cs="Times New Roman"/>
          <w:color w:val="auto"/>
          <w:sz w:val="19"/>
          <w:szCs w:val="19"/>
        </w:rPr>
        <w:footnoteRef/>
      </w:r>
      <w:r w:rsidRPr="00C527DD">
        <w:rPr>
          <w:rFonts w:ascii="Times New Roman" w:hAnsi="Times New Roman" w:cs="Times New Roman"/>
          <w:color w:val="auto"/>
          <w:sz w:val="19"/>
          <w:szCs w:val="19"/>
        </w:rPr>
        <w:t xml:space="preserve"> </w:t>
      </w:r>
      <w:r w:rsidRPr="005515F8">
        <w:rPr>
          <w:rFonts w:ascii="Times New Roman" w:eastAsia="Times New Roman" w:hAnsi="Times New Roman" w:cs="Times New Roman"/>
          <w:i/>
          <w:iCs/>
          <w:color w:val="auto"/>
          <w:sz w:val="19"/>
          <w:szCs w:val="19"/>
          <w:lang w:val="en-ZA" w:eastAsia="en-ZA"/>
        </w:rPr>
        <w:t xml:space="preserve">Alexkor Ltd and Another v Richtersveld Community and Others </w:t>
      </w:r>
      <w:r w:rsidRPr="00C527DD">
        <w:rPr>
          <w:rFonts w:ascii="Times New Roman" w:eastAsia="Times New Roman" w:hAnsi="Times New Roman" w:cs="Times New Roman"/>
          <w:color w:val="auto"/>
          <w:sz w:val="19"/>
          <w:szCs w:val="19"/>
          <w:lang w:val="en-ZA" w:eastAsia="en-ZA"/>
        </w:rPr>
        <w:t>(CCT19/03) [2003] ZACC 18; 2004 (5) SA 460 (CC); 2003 (12) BCLR 1301 (CC) (14 October 2003) at para 51:</w:t>
      </w:r>
      <w:r w:rsidRPr="00C527DD">
        <w:rPr>
          <w:rFonts w:ascii="Times New Roman" w:eastAsia="Times New Roman" w:hAnsi="Times New Roman" w:cs="Times New Roman"/>
          <w:color w:val="auto"/>
          <w:sz w:val="19"/>
          <w:szCs w:val="19"/>
        </w:rPr>
        <w:br/>
      </w:r>
      <w:r w:rsidRPr="00C527DD">
        <w:rPr>
          <w:rFonts w:ascii="Times New Roman" w:eastAsia="Times New Roman" w:hAnsi="Times New Roman" w:cs="Times New Roman"/>
          <w:color w:val="auto"/>
          <w:sz w:val="19"/>
          <w:szCs w:val="19"/>
          <w:lang w:val="en-ZA" w:eastAsia="en-ZA"/>
        </w:rPr>
        <w:t>“While in the past indigenous law was seen through the common law lens, it must now be seen as an integral part of our law. Like all law it depends for its ultimate force and validity on the Constitution.</w:t>
      </w:r>
      <w:hyperlink r:id="rId3" w:anchor="sdfootnote44sym" w:history="1">
        <w:r w:rsidRPr="00C527DD">
          <w:rPr>
            <w:rFonts w:ascii="Times New Roman" w:eastAsia="Times New Roman" w:hAnsi="Times New Roman" w:cs="Times New Roman"/>
            <w:color w:val="auto"/>
            <w:sz w:val="19"/>
            <w:szCs w:val="19"/>
            <w:lang w:val="en-ZA" w:eastAsia="en-ZA"/>
          </w:rPr>
          <w:t>44</w:t>
        </w:r>
      </w:hyperlink>
      <w:r w:rsidRPr="00C527DD">
        <w:rPr>
          <w:rFonts w:ascii="Times New Roman" w:eastAsia="Times New Roman" w:hAnsi="Times New Roman" w:cs="Times New Roman"/>
          <w:color w:val="auto"/>
          <w:sz w:val="19"/>
          <w:szCs w:val="19"/>
          <w:lang w:val="en-ZA" w:eastAsia="en-ZA"/>
        </w:rPr>
        <w:t> Its validity must now be determined by reference not to common law, but to the Constitution.</w:t>
      </w:r>
      <w:hyperlink r:id="rId4" w:anchor="sdfootnote45sym" w:history="1">
        <w:r w:rsidRPr="00C527DD">
          <w:rPr>
            <w:rFonts w:ascii="Times New Roman" w:eastAsia="Times New Roman" w:hAnsi="Times New Roman" w:cs="Times New Roman"/>
            <w:color w:val="auto"/>
            <w:sz w:val="19"/>
            <w:szCs w:val="19"/>
            <w:lang w:val="en-ZA" w:eastAsia="en-ZA"/>
          </w:rPr>
          <w:t>45</w:t>
        </w:r>
      </w:hyperlink>
      <w:r w:rsidRPr="00C527DD">
        <w:rPr>
          <w:rFonts w:ascii="Times New Roman" w:eastAsia="Times New Roman" w:hAnsi="Times New Roman" w:cs="Times New Roman"/>
          <w:color w:val="auto"/>
          <w:sz w:val="19"/>
          <w:szCs w:val="19"/>
          <w:lang w:val="en-ZA" w:eastAsia="en-ZA"/>
        </w:rPr>
        <w:t> The courts are obliged by section 211(3) of the Constitution to apply customary law when it is applicable, subject to the Constitution and any legislation that deals with customary law. In doing so the courts must have regard to the spirit, purport and objects of the Bill of Rights.”</w:t>
      </w:r>
    </w:p>
  </w:footnote>
  <w:footnote w:id="18">
    <w:p w14:paraId="153EF13E" w14:textId="77777777" w:rsidR="00656E89" w:rsidRPr="00C527DD" w:rsidRDefault="00656E89" w:rsidP="00656E89">
      <w:pPr>
        <w:pStyle w:val="FootnoteText"/>
        <w:rPr>
          <w:sz w:val="19"/>
          <w:szCs w:val="19"/>
          <w:lang w:val="en-US"/>
        </w:rPr>
      </w:pPr>
      <w:r w:rsidRPr="00C527DD">
        <w:rPr>
          <w:rStyle w:val="FootnoteReference"/>
          <w:sz w:val="19"/>
          <w:szCs w:val="19"/>
        </w:rPr>
        <w:footnoteRef/>
      </w:r>
      <w:r w:rsidRPr="00C527DD">
        <w:rPr>
          <w:sz w:val="19"/>
          <w:szCs w:val="19"/>
        </w:rPr>
        <w:t xml:space="preserve"> Location Regulations: </w:t>
      </w:r>
      <w:r w:rsidRPr="00C527DD">
        <w:rPr>
          <w:i/>
          <w:sz w:val="19"/>
          <w:szCs w:val="19"/>
        </w:rPr>
        <w:t>Unsurveyed Districts: Transkei Territories Proclamation No. 26 of 1936.</w:t>
      </w:r>
    </w:p>
  </w:footnote>
  <w:footnote w:id="19">
    <w:p w14:paraId="2AB99C29" w14:textId="77777777" w:rsidR="00656E89" w:rsidRPr="005515F8" w:rsidRDefault="00656E89" w:rsidP="00656E89">
      <w:pPr>
        <w:pStyle w:val="FootnoteText"/>
        <w:rPr>
          <w:sz w:val="19"/>
          <w:szCs w:val="19"/>
          <w:lang w:val="en-US"/>
        </w:rPr>
      </w:pPr>
      <w:r>
        <w:rPr>
          <w:rStyle w:val="FootnoteReference"/>
        </w:rPr>
        <w:footnoteRef/>
      </w:r>
      <w:r>
        <w:t xml:space="preserve"> </w:t>
      </w:r>
      <w:r w:rsidRPr="005515F8">
        <w:rPr>
          <w:sz w:val="19"/>
          <w:szCs w:val="19"/>
        </w:rPr>
        <w:t>(6990/2022) [2022] ZAGPPHC 441; 2022 (5) SA 602 (GP) (24 May 2022).</w:t>
      </w:r>
    </w:p>
  </w:footnote>
  <w:footnote w:id="20">
    <w:p w14:paraId="2DA8930F" w14:textId="77777777" w:rsidR="00656E89" w:rsidRPr="005515F8" w:rsidRDefault="00656E89" w:rsidP="00656E89">
      <w:pPr>
        <w:pStyle w:val="FootnoteText"/>
        <w:rPr>
          <w:sz w:val="19"/>
          <w:szCs w:val="19"/>
        </w:rPr>
      </w:pPr>
      <w:r w:rsidRPr="005515F8">
        <w:rPr>
          <w:rStyle w:val="FootnoteReference"/>
          <w:sz w:val="19"/>
          <w:szCs w:val="19"/>
        </w:rPr>
        <w:footnoteRef/>
      </w:r>
      <w:r w:rsidRPr="005515F8">
        <w:rPr>
          <w:sz w:val="19"/>
          <w:szCs w:val="19"/>
        </w:rPr>
        <w:t xml:space="preserve"> Footnote 2.</w:t>
      </w:r>
    </w:p>
  </w:footnote>
  <w:footnote w:id="21">
    <w:p w14:paraId="371E68D6" w14:textId="77777777" w:rsidR="00656E89" w:rsidRPr="007A18A3" w:rsidRDefault="00656E89" w:rsidP="00656E89">
      <w:pPr>
        <w:pStyle w:val="FootnoteText"/>
        <w:rPr>
          <w:lang w:val="en-US"/>
        </w:rPr>
      </w:pPr>
      <w:r w:rsidRPr="005515F8">
        <w:rPr>
          <w:rStyle w:val="FootnoteReference"/>
          <w:sz w:val="19"/>
          <w:szCs w:val="19"/>
        </w:rPr>
        <w:footnoteRef/>
      </w:r>
      <w:r w:rsidRPr="005515F8">
        <w:rPr>
          <w:sz w:val="19"/>
          <w:szCs w:val="19"/>
        </w:rPr>
        <w:t xml:space="preserve"> 81 of 1988.</w:t>
      </w:r>
    </w:p>
  </w:footnote>
  <w:footnote w:id="22">
    <w:p w14:paraId="24A8B109" w14:textId="19C0F0BB" w:rsidR="00656E89" w:rsidRPr="00C3108C" w:rsidRDefault="00656E89" w:rsidP="00656E89">
      <w:pPr>
        <w:pStyle w:val="FootnoteText"/>
        <w:rPr>
          <w:lang w:val="en-US"/>
        </w:rPr>
      </w:pPr>
      <w:r>
        <w:rPr>
          <w:rStyle w:val="FootnoteReference"/>
        </w:rPr>
        <w:footnoteRef/>
      </w:r>
      <w:r>
        <w:t xml:space="preserve"> </w:t>
      </w:r>
      <w:r w:rsidRPr="00E954C7">
        <w:rPr>
          <w:i/>
          <w:iCs/>
          <w:sz w:val="19"/>
          <w:szCs w:val="19"/>
          <w:lang w:val="en-US"/>
        </w:rPr>
        <w:t>Makhanya v University of Zululand</w:t>
      </w:r>
      <w:r w:rsidRPr="00E954C7">
        <w:rPr>
          <w:sz w:val="19"/>
          <w:szCs w:val="19"/>
          <w:lang w:val="en-US"/>
        </w:rPr>
        <w:t xml:space="preserve"> 2010 (1) SA 62 (SCA) at para 71 and 72</w:t>
      </w:r>
      <w:r w:rsidR="00E954C7">
        <w:rPr>
          <w:sz w:val="19"/>
          <w:szCs w:val="19"/>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AD78" w14:textId="15E557DF" w:rsidR="00F6730B" w:rsidRDefault="009724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940">
      <w:rPr>
        <w:rStyle w:val="PageNumber"/>
        <w:noProof/>
      </w:rPr>
      <w:t>2</w:t>
    </w:r>
    <w:r>
      <w:rPr>
        <w:rStyle w:val="PageNumber"/>
      </w:rPr>
      <w:fldChar w:fldCharType="end"/>
    </w:r>
  </w:p>
  <w:p w14:paraId="5FF2D505" w14:textId="77777777" w:rsidR="00F6730B" w:rsidRDefault="00F673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7AB7" w14:textId="49110F5B" w:rsidR="00F6730B" w:rsidRDefault="009724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AC2">
      <w:rPr>
        <w:rStyle w:val="PageNumber"/>
        <w:noProof/>
      </w:rPr>
      <w:t>21</w:t>
    </w:r>
    <w:r>
      <w:rPr>
        <w:rStyle w:val="PageNumber"/>
      </w:rPr>
      <w:fldChar w:fldCharType="end"/>
    </w:r>
  </w:p>
  <w:p w14:paraId="6A33B431" w14:textId="77777777" w:rsidR="00F6730B" w:rsidRDefault="00F673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94F"/>
    <w:multiLevelType w:val="multilevel"/>
    <w:tmpl w:val="1F08BF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354D"/>
    <w:multiLevelType w:val="multilevel"/>
    <w:tmpl w:val="F88225A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2EC78AD"/>
    <w:multiLevelType w:val="hybridMultilevel"/>
    <w:tmpl w:val="C77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2A2F"/>
    <w:multiLevelType w:val="hybridMultilevel"/>
    <w:tmpl w:val="09707678"/>
    <w:lvl w:ilvl="0" w:tplc="612A1E24">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2C37F8">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264DDE2">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282D8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A2CF6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828A54">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A46E90C">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908A9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80AD27E">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49182B"/>
    <w:multiLevelType w:val="hybridMultilevel"/>
    <w:tmpl w:val="E580F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212CD"/>
    <w:multiLevelType w:val="hybridMultilevel"/>
    <w:tmpl w:val="FEF4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50877"/>
    <w:multiLevelType w:val="multilevel"/>
    <w:tmpl w:val="EF867D46"/>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1870F1D"/>
    <w:multiLevelType w:val="multilevel"/>
    <w:tmpl w:val="DA5A4E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63C2587"/>
    <w:multiLevelType w:val="multilevel"/>
    <w:tmpl w:val="B06A688C"/>
    <w:lvl w:ilvl="0">
      <w:start w:val="2"/>
      <w:numFmt w:val="decimal"/>
      <w:lvlText w:val="%1"/>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468A5E26"/>
    <w:multiLevelType w:val="hybridMultilevel"/>
    <w:tmpl w:val="4F5873D8"/>
    <w:lvl w:ilvl="0" w:tplc="961C5600">
      <w:start w:val="36"/>
      <w:numFmt w:val="decimal"/>
      <w:lvlText w:val="[%1]"/>
      <w:lvlJc w:val="left"/>
      <w:pPr>
        <w:ind w:left="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4EBAE8">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525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E7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045A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9C11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68F0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645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E824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F617EA"/>
    <w:multiLevelType w:val="hybridMultilevel"/>
    <w:tmpl w:val="D654E8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C2186"/>
    <w:multiLevelType w:val="hybridMultilevel"/>
    <w:tmpl w:val="90BE57D0"/>
    <w:lvl w:ilvl="0" w:tplc="510A6C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E2DB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8E67D6">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E62D3E">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B60138">
      <w:start w:val="27"/>
      <w:numFmt w:val="lowerLetter"/>
      <w:lvlRestart w:val="0"/>
      <w:lvlText w:val="(%5)"/>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DA4842">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10DCB0">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43DB8">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BC2B4C">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3E3228"/>
    <w:multiLevelType w:val="multilevel"/>
    <w:tmpl w:val="D3A278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6C4D43"/>
    <w:multiLevelType w:val="multilevel"/>
    <w:tmpl w:val="A1105904"/>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A6EBF"/>
    <w:multiLevelType w:val="multilevel"/>
    <w:tmpl w:val="A4F0288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E055322"/>
    <w:multiLevelType w:val="multilevel"/>
    <w:tmpl w:val="EDB00D1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5"/>
  </w:num>
  <w:num w:numId="3">
    <w:abstractNumId w:val="6"/>
  </w:num>
  <w:num w:numId="4">
    <w:abstractNumId w:val="5"/>
  </w:num>
  <w:num w:numId="5">
    <w:abstractNumId w:val="13"/>
  </w:num>
  <w:num w:numId="6">
    <w:abstractNumId w:val="0"/>
  </w:num>
  <w:num w:numId="7">
    <w:abstractNumId w:val="11"/>
  </w:num>
  <w:num w:numId="8">
    <w:abstractNumId w:val="16"/>
  </w:num>
  <w:num w:numId="9">
    <w:abstractNumId w:val="8"/>
  </w:num>
  <w:num w:numId="10">
    <w:abstractNumId w:val="17"/>
  </w:num>
  <w:num w:numId="11">
    <w:abstractNumId w:val="7"/>
  </w:num>
  <w:num w:numId="12">
    <w:abstractNumId w:val="9"/>
  </w:num>
  <w:num w:numId="13">
    <w:abstractNumId w:val="2"/>
  </w:num>
  <w:num w:numId="14">
    <w:abstractNumId w:val="14"/>
  </w:num>
  <w:num w:numId="15">
    <w:abstractNumId w:val="4"/>
  </w:num>
  <w:num w:numId="16">
    <w:abstractNumId w:val="1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1D"/>
    <w:rsid w:val="00003DBA"/>
    <w:rsid w:val="000108AC"/>
    <w:rsid w:val="00011F06"/>
    <w:rsid w:val="0003310B"/>
    <w:rsid w:val="00041398"/>
    <w:rsid w:val="000536EC"/>
    <w:rsid w:val="0006206E"/>
    <w:rsid w:val="00081648"/>
    <w:rsid w:val="000909FC"/>
    <w:rsid w:val="000924D1"/>
    <w:rsid w:val="000B79C9"/>
    <w:rsid w:val="000C0176"/>
    <w:rsid w:val="000C265A"/>
    <w:rsid w:val="000C33CD"/>
    <w:rsid w:val="000D025F"/>
    <w:rsid w:val="000D27F8"/>
    <w:rsid w:val="000D5F0A"/>
    <w:rsid w:val="0011376D"/>
    <w:rsid w:val="0011790F"/>
    <w:rsid w:val="00122F69"/>
    <w:rsid w:val="00130A9F"/>
    <w:rsid w:val="00141749"/>
    <w:rsid w:val="0014629A"/>
    <w:rsid w:val="00147EC7"/>
    <w:rsid w:val="001734AF"/>
    <w:rsid w:val="00182DD1"/>
    <w:rsid w:val="001B5BC0"/>
    <w:rsid w:val="001C6B62"/>
    <w:rsid w:val="001E26D5"/>
    <w:rsid w:val="001E4CDA"/>
    <w:rsid w:val="00220B41"/>
    <w:rsid w:val="002222C8"/>
    <w:rsid w:val="0023063F"/>
    <w:rsid w:val="002318D5"/>
    <w:rsid w:val="002465ED"/>
    <w:rsid w:val="00250A10"/>
    <w:rsid w:val="00255191"/>
    <w:rsid w:val="00273F00"/>
    <w:rsid w:val="00277CA3"/>
    <w:rsid w:val="0029691C"/>
    <w:rsid w:val="002B3363"/>
    <w:rsid w:val="002C571E"/>
    <w:rsid w:val="002E7022"/>
    <w:rsid w:val="002F6458"/>
    <w:rsid w:val="00302076"/>
    <w:rsid w:val="00307DDA"/>
    <w:rsid w:val="00314A38"/>
    <w:rsid w:val="00323A7A"/>
    <w:rsid w:val="0033503C"/>
    <w:rsid w:val="0034023B"/>
    <w:rsid w:val="00342DFB"/>
    <w:rsid w:val="00354BDC"/>
    <w:rsid w:val="003621AE"/>
    <w:rsid w:val="0038690E"/>
    <w:rsid w:val="003A4A8E"/>
    <w:rsid w:val="003B56E5"/>
    <w:rsid w:val="003C71C4"/>
    <w:rsid w:val="003D2054"/>
    <w:rsid w:val="003E4D6F"/>
    <w:rsid w:val="003F5D80"/>
    <w:rsid w:val="00401264"/>
    <w:rsid w:val="00404624"/>
    <w:rsid w:val="0042331E"/>
    <w:rsid w:val="0042678D"/>
    <w:rsid w:val="0043108C"/>
    <w:rsid w:val="00432992"/>
    <w:rsid w:val="004338F2"/>
    <w:rsid w:val="00434D7C"/>
    <w:rsid w:val="00434F40"/>
    <w:rsid w:val="004411CF"/>
    <w:rsid w:val="00461468"/>
    <w:rsid w:val="00464A0C"/>
    <w:rsid w:val="004678AD"/>
    <w:rsid w:val="004741F1"/>
    <w:rsid w:val="00485019"/>
    <w:rsid w:val="00491312"/>
    <w:rsid w:val="004945AB"/>
    <w:rsid w:val="004B1020"/>
    <w:rsid w:val="004B6DBC"/>
    <w:rsid w:val="004C497A"/>
    <w:rsid w:val="004D4BF3"/>
    <w:rsid w:val="004D5736"/>
    <w:rsid w:val="004E2830"/>
    <w:rsid w:val="004F164C"/>
    <w:rsid w:val="0050107D"/>
    <w:rsid w:val="0050144B"/>
    <w:rsid w:val="00507594"/>
    <w:rsid w:val="005233CA"/>
    <w:rsid w:val="005242A0"/>
    <w:rsid w:val="00526BAC"/>
    <w:rsid w:val="0053209A"/>
    <w:rsid w:val="0054197F"/>
    <w:rsid w:val="00542018"/>
    <w:rsid w:val="0054247B"/>
    <w:rsid w:val="00543459"/>
    <w:rsid w:val="005478BD"/>
    <w:rsid w:val="005515F8"/>
    <w:rsid w:val="0055383E"/>
    <w:rsid w:val="00555472"/>
    <w:rsid w:val="00557441"/>
    <w:rsid w:val="005638B2"/>
    <w:rsid w:val="005644C9"/>
    <w:rsid w:val="005842CC"/>
    <w:rsid w:val="005867C4"/>
    <w:rsid w:val="005A14E2"/>
    <w:rsid w:val="005A2D19"/>
    <w:rsid w:val="005A4ADE"/>
    <w:rsid w:val="005A5A47"/>
    <w:rsid w:val="005E453A"/>
    <w:rsid w:val="005E4806"/>
    <w:rsid w:val="006003A3"/>
    <w:rsid w:val="00620016"/>
    <w:rsid w:val="006538CA"/>
    <w:rsid w:val="00656E89"/>
    <w:rsid w:val="00662E97"/>
    <w:rsid w:val="00685BC5"/>
    <w:rsid w:val="006A53B6"/>
    <w:rsid w:val="006B78AC"/>
    <w:rsid w:val="006C0C13"/>
    <w:rsid w:val="006C539A"/>
    <w:rsid w:val="006D4A6E"/>
    <w:rsid w:val="006D6F0F"/>
    <w:rsid w:val="006E6914"/>
    <w:rsid w:val="006F7815"/>
    <w:rsid w:val="0070118D"/>
    <w:rsid w:val="007040F0"/>
    <w:rsid w:val="0071027D"/>
    <w:rsid w:val="00744A8C"/>
    <w:rsid w:val="00753A84"/>
    <w:rsid w:val="0075414C"/>
    <w:rsid w:val="0076076E"/>
    <w:rsid w:val="00760E28"/>
    <w:rsid w:val="00762A30"/>
    <w:rsid w:val="00794841"/>
    <w:rsid w:val="007A0712"/>
    <w:rsid w:val="007B02DD"/>
    <w:rsid w:val="007B3B86"/>
    <w:rsid w:val="007B78BE"/>
    <w:rsid w:val="007C314A"/>
    <w:rsid w:val="007D223F"/>
    <w:rsid w:val="007D4AFB"/>
    <w:rsid w:val="007D4D52"/>
    <w:rsid w:val="007D69C5"/>
    <w:rsid w:val="007E6EF7"/>
    <w:rsid w:val="007E7C17"/>
    <w:rsid w:val="008030C3"/>
    <w:rsid w:val="0081000F"/>
    <w:rsid w:val="008105F8"/>
    <w:rsid w:val="00815162"/>
    <w:rsid w:val="00817DA0"/>
    <w:rsid w:val="00825235"/>
    <w:rsid w:val="00827ECA"/>
    <w:rsid w:val="008328BE"/>
    <w:rsid w:val="008400EE"/>
    <w:rsid w:val="00847EC8"/>
    <w:rsid w:val="00857937"/>
    <w:rsid w:val="008607F8"/>
    <w:rsid w:val="00863DE8"/>
    <w:rsid w:val="008739DE"/>
    <w:rsid w:val="008950C4"/>
    <w:rsid w:val="008A5B89"/>
    <w:rsid w:val="008B276A"/>
    <w:rsid w:val="008D2655"/>
    <w:rsid w:val="008D59AC"/>
    <w:rsid w:val="008E47EF"/>
    <w:rsid w:val="008F2C3F"/>
    <w:rsid w:val="008F7DF7"/>
    <w:rsid w:val="00900DD3"/>
    <w:rsid w:val="0090554B"/>
    <w:rsid w:val="009259E5"/>
    <w:rsid w:val="00932967"/>
    <w:rsid w:val="00932EDA"/>
    <w:rsid w:val="0093494A"/>
    <w:rsid w:val="00940F2F"/>
    <w:rsid w:val="00945C25"/>
    <w:rsid w:val="00954EDF"/>
    <w:rsid w:val="0095589A"/>
    <w:rsid w:val="009724F9"/>
    <w:rsid w:val="00975DF4"/>
    <w:rsid w:val="00977D7B"/>
    <w:rsid w:val="009826BE"/>
    <w:rsid w:val="0098368B"/>
    <w:rsid w:val="00986A2D"/>
    <w:rsid w:val="00987AA6"/>
    <w:rsid w:val="009914D4"/>
    <w:rsid w:val="009A0F8D"/>
    <w:rsid w:val="009B01B6"/>
    <w:rsid w:val="009B67F5"/>
    <w:rsid w:val="009C04F5"/>
    <w:rsid w:val="009C3450"/>
    <w:rsid w:val="009C4E3B"/>
    <w:rsid w:val="009E26FF"/>
    <w:rsid w:val="009E6C4E"/>
    <w:rsid w:val="009F58A4"/>
    <w:rsid w:val="009F7D7D"/>
    <w:rsid w:val="00A01C45"/>
    <w:rsid w:val="00A14918"/>
    <w:rsid w:val="00A24BB3"/>
    <w:rsid w:val="00A53C81"/>
    <w:rsid w:val="00A55498"/>
    <w:rsid w:val="00A56058"/>
    <w:rsid w:val="00A60DFE"/>
    <w:rsid w:val="00A61CDA"/>
    <w:rsid w:val="00A65CEC"/>
    <w:rsid w:val="00A72940"/>
    <w:rsid w:val="00A759B2"/>
    <w:rsid w:val="00A9585B"/>
    <w:rsid w:val="00AB1C33"/>
    <w:rsid w:val="00AB21E9"/>
    <w:rsid w:val="00AB56B1"/>
    <w:rsid w:val="00AC0174"/>
    <w:rsid w:val="00AC2058"/>
    <w:rsid w:val="00AD034A"/>
    <w:rsid w:val="00AD768D"/>
    <w:rsid w:val="00AF0650"/>
    <w:rsid w:val="00AF0D0F"/>
    <w:rsid w:val="00AF40DC"/>
    <w:rsid w:val="00AF55A6"/>
    <w:rsid w:val="00B10758"/>
    <w:rsid w:val="00B23B5D"/>
    <w:rsid w:val="00B434C5"/>
    <w:rsid w:val="00B45A61"/>
    <w:rsid w:val="00B474C0"/>
    <w:rsid w:val="00B6276E"/>
    <w:rsid w:val="00B67C01"/>
    <w:rsid w:val="00B7157F"/>
    <w:rsid w:val="00B73ACB"/>
    <w:rsid w:val="00B9647D"/>
    <w:rsid w:val="00BA00FD"/>
    <w:rsid w:val="00BB3BBC"/>
    <w:rsid w:val="00BB6CB0"/>
    <w:rsid w:val="00BD6C6F"/>
    <w:rsid w:val="00BF242B"/>
    <w:rsid w:val="00BF2942"/>
    <w:rsid w:val="00BF7A2C"/>
    <w:rsid w:val="00C12572"/>
    <w:rsid w:val="00C21FD4"/>
    <w:rsid w:val="00C41224"/>
    <w:rsid w:val="00C42BAE"/>
    <w:rsid w:val="00C46A59"/>
    <w:rsid w:val="00C527DD"/>
    <w:rsid w:val="00C56FBD"/>
    <w:rsid w:val="00C65C91"/>
    <w:rsid w:val="00C74262"/>
    <w:rsid w:val="00C84AEB"/>
    <w:rsid w:val="00CB2E5C"/>
    <w:rsid w:val="00CC59FF"/>
    <w:rsid w:val="00CE0F14"/>
    <w:rsid w:val="00CE1903"/>
    <w:rsid w:val="00CE4444"/>
    <w:rsid w:val="00CE6C64"/>
    <w:rsid w:val="00CF2A86"/>
    <w:rsid w:val="00CF4022"/>
    <w:rsid w:val="00D00134"/>
    <w:rsid w:val="00D007F7"/>
    <w:rsid w:val="00D11A56"/>
    <w:rsid w:val="00D17475"/>
    <w:rsid w:val="00D25DEC"/>
    <w:rsid w:val="00D3275F"/>
    <w:rsid w:val="00D35D22"/>
    <w:rsid w:val="00D4522E"/>
    <w:rsid w:val="00D76FF6"/>
    <w:rsid w:val="00D81242"/>
    <w:rsid w:val="00D82625"/>
    <w:rsid w:val="00D9082F"/>
    <w:rsid w:val="00DA10D5"/>
    <w:rsid w:val="00DA6A96"/>
    <w:rsid w:val="00DB5460"/>
    <w:rsid w:val="00DC4FC7"/>
    <w:rsid w:val="00DC565A"/>
    <w:rsid w:val="00DC64D1"/>
    <w:rsid w:val="00DE5AC6"/>
    <w:rsid w:val="00DF4A55"/>
    <w:rsid w:val="00DF62CC"/>
    <w:rsid w:val="00E252F9"/>
    <w:rsid w:val="00E27A0B"/>
    <w:rsid w:val="00E37492"/>
    <w:rsid w:val="00E53657"/>
    <w:rsid w:val="00E635D6"/>
    <w:rsid w:val="00E7488F"/>
    <w:rsid w:val="00E77E1D"/>
    <w:rsid w:val="00E90DE5"/>
    <w:rsid w:val="00E954C7"/>
    <w:rsid w:val="00E977BA"/>
    <w:rsid w:val="00EA0BEE"/>
    <w:rsid w:val="00EB1381"/>
    <w:rsid w:val="00EB4894"/>
    <w:rsid w:val="00EC1FE3"/>
    <w:rsid w:val="00ED1221"/>
    <w:rsid w:val="00EE009A"/>
    <w:rsid w:val="00EE108E"/>
    <w:rsid w:val="00EE4AC2"/>
    <w:rsid w:val="00EF319E"/>
    <w:rsid w:val="00F153A3"/>
    <w:rsid w:val="00F36510"/>
    <w:rsid w:val="00F44B08"/>
    <w:rsid w:val="00F45D33"/>
    <w:rsid w:val="00F46510"/>
    <w:rsid w:val="00F55066"/>
    <w:rsid w:val="00F60D12"/>
    <w:rsid w:val="00F6730B"/>
    <w:rsid w:val="00F76798"/>
    <w:rsid w:val="00F83428"/>
    <w:rsid w:val="00F908C9"/>
    <w:rsid w:val="00F965DD"/>
    <w:rsid w:val="00F97910"/>
    <w:rsid w:val="00FB3EA6"/>
    <w:rsid w:val="00FB6EB9"/>
    <w:rsid w:val="00FC1F47"/>
    <w:rsid w:val="00FC26F1"/>
    <w:rsid w:val="00FC2BC8"/>
    <w:rsid w:val="00FD49B4"/>
    <w:rsid w:val="00FD4E7D"/>
    <w:rsid w:val="00FE119D"/>
    <w:rsid w:val="00FF06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597"/>
  <w15:chartTrackingRefBased/>
  <w15:docId w15:val="{21BA93E5-5A67-314B-B415-4047A52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1D"/>
    <w:pPr>
      <w:jc w:val="left"/>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qFormat/>
    <w:rsid w:val="00E77E1D"/>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4850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77E1D"/>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E1D"/>
    <w:rPr>
      <w:rFonts w:ascii="Arial" w:eastAsia="Times New Roman" w:hAnsi="Arial" w:cs="Arial"/>
      <w:b/>
      <w:bCs/>
      <w:kern w:val="0"/>
      <w:sz w:val="28"/>
      <w:lang w:val="en-GB"/>
      <w14:ligatures w14:val="none"/>
    </w:rPr>
  </w:style>
  <w:style w:type="character" w:customStyle="1" w:styleId="Heading3Char">
    <w:name w:val="Heading 3 Char"/>
    <w:basedOn w:val="DefaultParagraphFont"/>
    <w:link w:val="Heading3"/>
    <w:rsid w:val="00E77E1D"/>
    <w:rPr>
      <w:rFonts w:ascii="Arial" w:eastAsia="Times New Roman" w:hAnsi="Arial" w:cs="Arial"/>
      <w:i/>
      <w:iCs/>
      <w:kern w:val="0"/>
      <w:sz w:val="28"/>
      <w:lang w:val="en-GB"/>
      <w14:ligatures w14:val="none"/>
    </w:rPr>
  </w:style>
  <w:style w:type="paragraph" w:styleId="Header">
    <w:name w:val="header"/>
    <w:basedOn w:val="Normal"/>
    <w:link w:val="HeaderChar"/>
    <w:rsid w:val="00E77E1D"/>
    <w:pPr>
      <w:tabs>
        <w:tab w:val="center" w:pos="4153"/>
        <w:tab w:val="right" w:pos="8306"/>
      </w:tabs>
    </w:pPr>
  </w:style>
  <w:style w:type="character" w:customStyle="1" w:styleId="HeaderChar">
    <w:name w:val="Header Char"/>
    <w:basedOn w:val="DefaultParagraphFont"/>
    <w:link w:val="Header"/>
    <w:rsid w:val="00E77E1D"/>
    <w:rPr>
      <w:rFonts w:ascii="Times New Roman" w:eastAsia="Times New Roman" w:hAnsi="Times New Roman" w:cs="Times New Roman"/>
      <w:kern w:val="0"/>
      <w:lang w:val="en-GB"/>
      <w14:ligatures w14:val="none"/>
    </w:rPr>
  </w:style>
  <w:style w:type="character" w:styleId="PageNumber">
    <w:name w:val="page number"/>
    <w:basedOn w:val="DefaultParagraphFont"/>
    <w:rsid w:val="00E77E1D"/>
    <w:rPr>
      <w:rFonts w:cs="Times New Roman"/>
    </w:rPr>
  </w:style>
  <w:style w:type="paragraph" w:styleId="FootnoteText">
    <w:name w:val="footnote text"/>
    <w:basedOn w:val="Normal"/>
    <w:link w:val="FootnoteTextChar"/>
    <w:uiPriority w:val="99"/>
    <w:rsid w:val="00E77E1D"/>
    <w:rPr>
      <w:sz w:val="20"/>
      <w:szCs w:val="20"/>
    </w:rPr>
  </w:style>
  <w:style w:type="character" w:customStyle="1" w:styleId="FootnoteTextChar">
    <w:name w:val="Footnote Text Char"/>
    <w:basedOn w:val="DefaultParagraphFont"/>
    <w:link w:val="FootnoteText"/>
    <w:uiPriority w:val="99"/>
    <w:rsid w:val="00E77E1D"/>
    <w:rPr>
      <w:rFonts w:ascii="Times New Roman" w:eastAsia="Times New Roman" w:hAnsi="Times New Roman" w:cs="Times New Roman"/>
      <w:kern w:val="0"/>
      <w:sz w:val="20"/>
      <w:szCs w:val="20"/>
      <w:lang w:val="en-GB"/>
      <w14:ligatures w14:val="none"/>
    </w:rPr>
  </w:style>
  <w:style w:type="paragraph" w:customStyle="1" w:styleId="Pa3">
    <w:name w:val="Pa3"/>
    <w:basedOn w:val="Normal"/>
    <w:next w:val="Normal"/>
    <w:uiPriority w:val="99"/>
    <w:rsid w:val="00E77E1D"/>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E77E1D"/>
    <w:pPr>
      <w:spacing w:line="480" w:lineRule="auto"/>
      <w:ind w:left="720"/>
      <w:jc w:val="both"/>
    </w:pPr>
    <w:rPr>
      <w:sz w:val="28"/>
      <w:szCs w:val="28"/>
    </w:rPr>
  </w:style>
  <w:style w:type="paragraph" w:styleId="ListParagraph">
    <w:name w:val="List Paragraph"/>
    <w:basedOn w:val="Normal"/>
    <w:uiPriority w:val="34"/>
    <w:qFormat/>
    <w:rsid w:val="00E77E1D"/>
    <w:pPr>
      <w:ind w:left="720"/>
      <w:contextualSpacing/>
    </w:pPr>
  </w:style>
  <w:style w:type="character" w:styleId="FootnoteReference">
    <w:name w:val="footnote reference"/>
    <w:basedOn w:val="DefaultParagraphFont"/>
    <w:uiPriority w:val="99"/>
    <w:unhideWhenUsed/>
    <w:rsid w:val="00302076"/>
    <w:rPr>
      <w:vertAlign w:val="superscript"/>
    </w:rPr>
  </w:style>
  <w:style w:type="character" w:styleId="Hyperlink">
    <w:name w:val="Hyperlink"/>
    <w:basedOn w:val="DefaultParagraphFont"/>
    <w:uiPriority w:val="99"/>
    <w:semiHidden/>
    <w:unhideWhenUsed/>
    <w:rsid w:val="00302076"/>
    <w:rPr>
      <w:color w:val="0000FF"/>
      <w:u w:val="single"/>
    </w:rPr>
  </w:style>
  <w:style w:type="character" w:customStyle="1" w:styleId="Heading2Char">
    <w:name w:val="Heading 2 Char"/>
    <w:basedOn w:val="DefaultParagraphFont"/>
    <w:link w:val="Heading2"/>
    <w:uiPriority w:val="9"/>
    <w:rsid w:val="00485019"/>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Default">
    <w:name w:val="Default"/>
    <w:rsid w:val="00485019"/>
    <w:pPr>
      <w:autoSpaceDE w:val="0"/>
      <w:autoSpaceDN w:val="0"/>
      <w:adjustRightInd w:val="0"/>
      <w:jc w:val="left"/>
    </w:pPr>
    <w:rPr>
      <w:rFonts w:ascii="Times New Roman" w:hAnsi="Times New Roman" w:cs="Times New Roman"/>
      <w:color w:val="000000"/>
      <w:kern w:val="0"/>
    </w:rPr>
  </w:style>
  <w:style w:type="paragraph" w:customStyle="1" w:styleId="BodyA">
    <w:name w:val="Body A"/>
    <w:rsid w:val="00485019"/>
    <w:pPr>
      <w:pBdr>
        <w:top w:val="none" w:sz="96" w:space="31" w:color="FFFFFF" w:shadow="1" w:frame="1"/>
        <w:left w:val="none" w:sz="96" w:space="31" w:color="FFFFFF" w:shadow="1" w:frame="1"/>
        <w:bottom w:val="none" w:sz="96" w:space="31" w:color="FFFFFF" w:shadow="1" w:frame="1"/>
        <w:right w:val="none" w:sz="96" w:space="31" w:color="FFFFFF" w:shadow="1" w:frame="1"/>
      </w:pBdr>
      <w:jc w:val="left"/>
    </w:pPr>
    <w:rPr>
      <w:rFonts w:ascii="Times New Roman" w:eastAsia="Arial Unicode MS" w:hAnsi="Times New Roman" w:cs="Arial Unicode MS"/>
      <w:color w:val="000000"/>
      <w:kern w:val="0"/>
      <w:u w:color="000000"/>
      <w:lang w:val="en-US" w:eastAsia="en-ZA"/>
      <w14:ligatures w14:val="none"/>
    </w:rPr>
  </w:style>
  <w:style w:type="paragraph" w:customStyle="1" w:styleId="Footnote">
    <w:name w:val="Footnote"/>
    <w:rsid w:val="00485019"/>
    <w:pPr>
      <w:pBdr>
        <w:top w:val="none" w:sz="96" w:space="31" w:color="FFFFFF" w:shadow="1" w:frame="1"/>
        <w:left w:val="none" w:sz="96" w:space="31" w:color="FFFFFF" w:shadow="1" w:frame="1"/>
        <w:bottom w:val="none" w:sz="96" w:space="31" w:color="FFFFFF" w:shadow="1" w:frame="1"/>
        <w:right w:val="none" w:sz="96" w:space="31" w:color="FFFFFF" w:shadow="1" w:frame="1"/>
      </w:pBdr>
      <w:jc w:val="left"/>
    </w:pPr>
    <w:rPr>
      <w:rFonts w:ascii="Helvetica Neue" w:eastAsia="Times New Roman" w:hAnsi="Helvetica Neue" w:cs="Helvetica Neue"/>
      <w:color w:val="000000"/>
      <w:kern w:val="0"/>
      <w:sz w:val="22"/>
      <w:szCs w:val="22"/>
      <w:u w:color="000000"/>
      <w:lang w:val="en-US"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za/cases/ZACC/2003/18.html" TargetMode="External"/><Relationship Id="rId2" Type="http://schemas.openxmlformats.org/officeDocument/2006/relationships/hyperlink" Target="https://www.saflii.org/cgi-bin/LawCite?cit=1993%20%281%29%20SA%2077" TargetMode="External"/><Relationship Id="rId1" Type="http://schemas.openxmlformats.org/officeDocument/2006/relationships/hyperlink" Target="http://www.saflii.org/za/cases/ZASCA/1992/208.html" TargetMode="External"/><Relationship Id="rId4" Type="http://schemas.openxmlformats.org/officeDocument/2006/relationships/hyperlink" Target="https://www.saflii.org/za/cases/ZACC/2003/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733B-9DF3-44A2-A79B-CEF42E30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Mary Bruce</cp:lastModifiedBy>
  <cp:revision>3</cp:revision>
  <cp:lastPrinted>2024-01-30T08:21:00Z</cp:lastPrinted>
  <dcterms:created xsi:type="dcterms:W3CDTF">2024-01-30T14:15:00Z</dcterms:created>
  <dcterms:modified xsi:type="dcterms:W3CDTF">2024-01-31T19:00:00Z</dcterms:modified>
</cp:coreProperties>
</file>