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12" w:rsidRDefault="00BC3B5B" w:rsidP="00BC3B5B">
      <w:pPr>
        <w:spacing w:line="360" w:lineRule="auto"/>
        <w:jc w:val="center"/>
        <w:rPr>
          <w:sz w:val="25"/>
          <w:szCs w:val="25"/>
        </w:rPr>
      </w:pPr>
      <w:bookmarkStart w:id="0" w:name="_GoBack"/>
      <w:bookmarkEnd w:id="0"/>
      <w:r>
        <w:rPr>
          <w:noProof/>
          <w:lang w:eastAsia="en-ZA"/>
        </w:rPr>
        <w:drawing>
          <wp:inline distT="0" distB="0" distL="0" distR="0" wp14:anchorId="45AAB3C7" wp14:editId="40BFA0B3">
            <wp:extent cx="1225550" cy="1209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rsidR="00DC5623" w:rsidRPr="00B13E3E" w:rsidRDefault="00DC5623" w:rsidP="00DC5623">
      <w:pPr>
        <w:spacing w:line="360" w:lineRule="auto"/>
        <w:jc w:val="center"/>
        <w:rPr>
          <w:rFonts w:ascii="Times New Roman" w:hAnsi="Times New Roman" w:cs="Times New Roman"/>
          <w:b/>
          <w:sz w:val="28"/>
          <w:szCs w:val="28"/>
        </w:rPr>
      </w:pPr>
      <w:r w:rsidRPr="00B13E3E">
        <w:rPr>
          <w:rFonts w:ascii="Times New Roman" w:hAnsi="Times New Roman" w:cs="Times New Roman"/>
          <w:b/>
          <w:sz w:val="28"/>
          <w:szCs w:val="28"/>
        </w:rPr>
        <w:t>IN THE HIGH COURT OF SOUTH AFRICA</w:t>
      </w:r>
    </w:p>
    <w:p w:rsidR="00DC5623" w:rsidRPr="00B13E3E" w:rsidRDefault="00DC5623" w:rsidP="00DC5623">
      <w:pPr>
        <w:spacing w:line="360" w:lineRule="auto"/>
        <w:jc w:val="center"/>
        <w:rPr>
          <w:rFonts w:ascii="Times New Roman" w:hAnsi="Times New Roman" w:cs="Times New Roman"/>
          <w:b/>
          <w:sz w:val="28"/>
          <w:szCs w:val="28"/>
        </w:rPr>
      </w:pPr>
      <w:r w:rsidRPr="00B13E3E">
        <w:rPr>
          <w:rFonts w:ascii="Times New Roman" w:hAnsi="Times New Roman" w:cs="Times New Roman"/>
          <w:b/>
          <w:sz w:val="28"/>
          <w:szCs w:val="28"/>
        </w:rPr>
        <w:t>EASTERN CAPE DIVISION, GQEBERHA</w:t>
      </w:r>
    </w:p>
    <w:p w:rsidR="00DC5623" w:rsidRPr="00B13E3E" w:rsidRDefault="00DC5623" w:rsidP="00DC5623">
      <w:pPr>
        <w:spacing w:line="360" w:lineRule="auto"/>
        <w:ind w:left="5760"/>
        <w:rPr>
          <w:rFonts w:ascii="Times New Roman" w:hAnsi="Times New Roman" w:cs="Times New Roman"/>
          <w:b/>
          <w:sz w:val="28"/>
          <w:szCs w:val="28"/>
        </w:rPr>
      </w:pPr>
      <w:r w:rsidRPr="00B13E3E">
        <w:rPr>
          <w:rFonts w:ascii="Times New Roman" w:hAnsi="Times New Roman" w:cs="Times New Roman"/>
          <w:b/>
          <w:sz w:val="28"/>
          <w:szCs w:val="28"/>
        </w:rPr>
        <w:t xml:space="preserve">    </w:t>
      </w:r>
      <w:r w:rsidR="00B13E3E">
        <w:rPr>
          <w:rFonts w:ascii="Times New Roman" w:hAnsi="Times New Roman" w:cs="Times New Roman"/>
          <w:b/>
          <w:sz w:val="28"/>
          <w:szCs w:val="28"/>
        </w:rPr>
        <w:tab/>
        <w:t xml:space="preserve"> </w:t>
      </w:r>
      <w:r w:rsidRPr="00B13E3E">
        <w:rPr>
          <w:rFonts w:ascii="Times New Roman" w:hAnsi="Times New Roman" w:cs="Times New Roman"/>
          <w:b/>
          <w:sz w:val="28"/>
          <w:szCs w:val="28"/>
        </w:rPr>
        <w:t>CASE NO: 398/2016</w:t>
      </w:r>
    </w:p>
    <w:p w:rsidR="00DC5623" w:rsidRPr="00B13E3E" w:rsidRDefault="00DC5623" w:rsidP="00DC5623">
      <w:pPr>
        <w:spacing w:line="360" w:lineRule="auto"/>
        <w:jc w:val="both"/>
        <w:rPr>
          <w:rFonts w:ascii="Times New Roman" w:hAnsi="Times New Roman" w:cs="Times New Roman"/>
          <w:sz w:val="28"/>
          <w:szCs w:val="28"/>
        </w:rPr>
      </w:pPr>
      <w:r w:rsidRPr="00B13E3E">
        <w:rPr>
          <w:rFonts w:ascii="Times New Roman" w:hAnsi="Times New Roman" w:cs="Times New Roman"/>
          <w:sz w:val="28"/>
          <w:szCs w:val="28"/>
        </w:rPr>
        <w:t>In the matter between:</w:t>
      </w:r>
    </w:p>
    <w:p w:rsidR="00DC5623" w:rsidRPr="00B13E3E" w:rsidRDefault="00DC5623" w:rsidP="00DC5623">
      <w:pPr>
        <w:spacing w:line="360" w:lineRule="auto"/>
        <w:jc w:val="both"/>
        <w:rPr>
          <w:rFonts w:ascii="Times New Roman" w:hAnsi="Times New Roman" w:cs="Times New Roman"/>
          <w:sz w:val="28"/>
          <w:szCs w:val="28"/>
        </w:rPr>
      </w:pPr>
    </w:p>
    <w:p w:rsidR="00A260EE" w:rsidRPr="00B13E3E" w:rsidRDefault="00A260EE" w:rsidP="00DC5623">
      <w:pPr>
        <w:spacing w:line="360" w:lineRule="auto"/>
        <w:jc w:val="both"/>
        <w:rPr>
          <w:rFonts w:ascii="Times New Roman" w:hAnsi="Times New Roman" w:cs="Times New Roman"/>
          <w:b/>
          <w:sz w:val="28"/>
          <w:szCs w:val="28"/>
        </w:rPr>
      </w:pPr>
      <w:r w:rsidRPr="00B13E3E">
        <w:rPr>
          <w:rFonts w:ascii="Times New Roman" w:hAnsi="Times New Roman" w:cs="Times New Roman"/>
          <w:b/>
          <w:sz w:val="28"/>
          <w:szCs w:val="28"/>
        </w:rPr>
        <w:t>NELSON MANDELA BAY METROPOLITAN</w:t>
      </w:r>
    </w:p>
    <w:p w:rsidR="00DC5623" w:rsidRPr="00B13E3E" w:rsidRDefault="00A260EE" w:rsidP="00DC5623">
      <w:pPr>
        <w:spacing w:line="360" w:lineRule="auto"/>
        <w:jc w:val="both"/>
        <w:rPr>
          <w:rFonts w:ascii="Times New Roman" w:hAnsi="Times New Roman" w:cs="Times New Roman"/>
          <w:sz w:val="28"/>
          <w:szCs w:val="28"/>
        </w:rPr>
      </w:pPr>
      <w:r w:rsidRPr="00B13E3E">
        <w:rPr>
          <w:rFonts w:ascii="Times New Roman" w:hAnsi="Times New Roman" w:cs="Times New Roman"/>
          <w:b/>
          <w:sz w:val="28"/>
          <w:szCs w:val="28"/>
        </w:rPr>
        <w:t>MUNICIPALITY</w:t>
      </w:r>
      <w:r w:rsidR="00DC5623" w:rsidRPr="00B13E3E">
        <w:rPr>
          <w:rFonts w:ascii="Times New Roman" w:hAnsi="Times New Roman" w:cs="Times New Roman"/>
          <w:sz w:val="28"/>
          <w:szCs w:val="28"/>
        </w:rPr>
        <w:t xml:space="preserve"> </w:t>
      </w:r>
      <w:r w:rsidR="00B0178D" w:rsidRPr="00B13E3E">
        <w:rPr>
          <w:rFonts w:ascii="Times New Roman" w:hAnsi="Times New Roman" w:cs="Times New Roman"/>
          <w:sz w:val="28"/>
          <w:szCs w:val="28"/>
        </w:rPr>
        <w:tab/>
      </w:r>
      <w:r w:rsidR="00B0178D" w:rsidRPr="00B13E3E">
        <w:rPr>
          <w:rFonts w:ascii="Times New Roman" w:hAnsi="Times New Roman" w:cs="Times New Roman"/>
          <w:sz w:val="28"/>
          <w:szCs w:val="28"/>
        </w:rPr>
        <w:tab/>
      </w:r>
      <w:r w:rsidR="00B0178D" w:rsidRPr="00B13E3E">
        <w:rPr>
          <w:rFonts w:ascii="Times New Roman" w:hAnsi="Times New Roman" w:cs="Times New Roman"/>
          <w:sz w:val="28"/>
          <w:szCs w:val="28"/>
        </w:rPr>
        <w:tab/>
      </w:r>
      <w:r w:rsidR="00B0178D" w:rsidRPr="00B13E3E">
        <w:rPr>
          <w:rFonts w:ascii="Times New Roman" w:hAnsi="Times New Roman" w:cs="Times New Roman"/>
          <w:sz w:val="28"/>
          <w:szCs w:val="28"/>
        </w:rPr>
        <w:tab/>
      </w:r>
      <w:r w:rsidR="00B0178D" w:rsidRPr="00B13E3E">
        <w:rPr>
          <w:rFonts w:ascii="Times New Roman" w:hAnsi="Times New Roman" w:cs="Times New Roman"/>
          <w:sz w:val="28"/>
          <w:szCs w:val="28"/>
        </w:rPr>
        <w:tab/>
      </w:r>
      <w:r w:rsidR="00B0178D" w:rsidRPr="00B13E3E">
        <w:rPr>
          <w:rFonts w:ascii="Times New Roman" w:hAnsi="Times New Roman" w:cs="Times New Roman"/>
          <w:sz w:val="28"/>
          <w:szCs w:val="28"/>
        </w:rPr>
        <w:tab/>
      </w:r>
      <w:r w:rsidR="00B0178D" w:rsidRPr="00B13E3E">
        <w:rPr>
          <w:rFonts w:ascii="Times New Roman" w:hAnsi="Times New Roman" w:cs="Times New Roman"/>
          <w:sz w:val="28"/>
          <w:szCs w:val="28"/>
        </w:rPr>
        <w:tab/>
        <w:t xml:space="preserve">   </w:t>
      </w:r>
      <w:r w:rsidR="001C57DF">
        <w:rPr>
          <w:rFonts w:ascii="Times New Roman" w:hAnsi="Times New Roman" w:cs="Times New Roman"/>
          <w:sz w:val="28"/>
          <w:szCs w:val="28"/>
        </w:rPr>
        <w:tab/>
        <w:t xml:space="preserve"> </w:t>
      </w:r>
      <w:r w:rsidR="001C57DF" w:rsidRPr="00B13E3E">
        <w:rPr>
          <w:rFonts w:ascii="Times New Roman" w:hAnsi="Times New Roman" w:cs="Times New Roman"/>
          <w:sz w:val="28"/>
          <w:szCs w:val="28"/>
        </w:rPr>
        <w:t>Plaintiff</w:t>
      </w:r>
    </w:p>
    <w:p w:rsidR="00A260EE" w:rsidRPr="00B13E3E" w:rsidRDefault="00A260EE" w:rsidP="00DC5623">
      <w:pPr>
        <w:spacing w:line="360" w:lineRule="auto"/>
        <w:jc w:val="both"/>
        <w:rPr>
          <w:rFonts w:ascii="Times New Roman" w:hAnsi="Times New Roman" w:cs="Times New Roman"/>
          <w:sz w:val="28"/>
          <w:szCs w:val="28"/>
        </w:rPr>
      </w:pPr>
    </w:p>
    <w:p w:rsidR="00DC5623" w:rsidRPr="00B13E3E" w:rsidRDefault="00DC5623" w:rsidP="00DC5623">
      <w:pPr>
        <w:spacing w:line="360" w:lineRule="auto"/>
        <w:jc w:val="both"/>
        <w:rPr>
          <w:rFonts w:ascii="Times New Roman" w:hAnsi="Times New Roman" w:cs="Times New Roman"/>
          <w:sz w:val="28"/>
          <w:szCs w:val="28"/>
        </w:rPr>
      </w:pPr>
      <w:r w:rsidRPr="00B13E3E">
        <w:rPr>
          <w:rFonts w:ascii="Times New Roman" w:hAnsi="Times New Roman" w:cs="Times New Roman"/>
          <w:sz w:val="28"/>
          <w:szCs w:val="28"/>
        </w:rPr>
        <w:t>and</w:t>
      </w:r>
    </w:p>
    <w:p w:rsidR="00DC5623" w:rsidRPr="00B13E3E" w:rsidRDefault="00DC5623" w:rsidP="00DC5623">
      <w:pPr>
        <w:spacing w:line="360" w:lineRule="auto"/>
        <w:jc w:val="both"/>
        <w:rPr>
          <w:rFonts w:ascii="Times New Roman" w:hAnsi="Times New Roman" w:cs="Times New Roman"/>
          <w:sz w:val="28"/>
          <w:szCs w:val="28"/>
        </w:rPr>
      </w:pPr>
    </w:p>
    <w:p w:rsidR="00832F57" w:rsidRPr="00B13E3E" w:rsidRDefault="00832F57" w:rsidP="00DC5623">
      <w:pPr>
        <w:spacing w:line="360" w:lineRule="auto"/>
        <w:rPr>
          <w:rFonts w:ascii="Times New Roman" w:hAnsi="Times New Roman" w:cs="Times New Roman"/>
          <w:b/>
          <w:sz w:val="28"/>
          <w:szCs w:val="28"/>
        </w:rPr>
      </w:pPr>
      <w:r w:rsidRPr="00B13E3E">
        <w:rPr>
          <w:rFonts w:ascii="Times New Roman" w:hAnsi="Times New Roman" w:cs="Times New Roman"/>
          <w:b/>
          <w:sz w:val="28"/>
          <w:szCs w:val="28"/>
        </w:rPr>
        <w:t>ERASTYLE (PTY) LTD</w:t>
      </w:r>
    </w:p>
    <w:p w:rsidR="00832F57" w:rsidRPr="00B13E3E" w:rsidRDefault="00832F57" w:rsidP="00DC5623">
      <w:pPr>
        <w:spacing w:line="360" w:lineRule="auto"/>
        <w:rPr>
          <w:rFonts w:ascii="Times New Roman" w:hAnsi="Times New Roman" w:cs="Times New Roman"/>
          <w:sz w:val="28"/>
          <w:szCs w:val="28"/>
        </w:rPr>
      </w:pPr>
      <w:r w:rsidRPr="00B13E3E">
        <w:rPr>
          <w:rFonts w:ascii="Times New Roman" w:hAnsi="Times New Roman" w:cs="Times New Roman"/>
          <w:sz w:val="28"/>
          <w:szCs w:val="28"/>
        </w:rPr>
        <w:t xml:space="preserve">(Registration No. 2012/038907/07) </w:t>
      </w:r>
      <w:r w:rsidR="00B0178D" w:rsidRPr="00B13E3E">
        <w:rPr>
          <w:rFonts w:ascii="Times New Roman" w:hAnsi="Times New Roman" w:cs="Times New Roman"/>
          <w:sz w:val="28"/>
          <w:szCs w:val="28"/>
        </w:rPr>
        <w:tab/>
      </w:r>
      <w:r w:rsidR="00B0178D" w:rsidRPr="00B13E3E">
        <w:rPr>
          <w:rFonts w:ascii="Times New Roman" w:hAnsi="Times New Roman" w:cs="Times New Roman"/>
          <w:sz w:val="28"/>
          <w:szCs w:val="28"/>
        </w:rPr>
        <w:tab/>
      </w:r>
      <w:r w:rsidR="00B0178D" w:rsidRPr="00B13E3E">
        <w:rPr>
          <w:rFonts w:ascii="Times New Roman" w:hAnsi="Times New Roman" w:cs="Times New Roman"/>
          <w:sz w:val="28"/>
          <w:szCs w:val="28"/>
        </w:rPr>
        <w:tab/>
      </w:r>
      <w:r w:rsidR="00B0178D" w:rsidRPr="00B13E3E">
        <w:rPr>
          <w:rFonts w:ascii="Times New Roman" w:hAnsi="Times New Roman" w:cs="Times New Roman"/>
          <w:sz w:val="28"/>
          <w:szCs w:val="28"/>
        </w:rPr>
        <w:tab/>
      </w:r>
      <w:r w:rsidR="00B0178D" w:rsidRPr="00B13E3E">
        <w:rPr>
          <w:rFonts w:ascii="Times New Roman" w:hAnsi="Times New Roman" w:cs="Times New Roman"/>
          <w:sz w:val="28"/>
          <w:szCs w:val="28"/>
        </w:rPr>
        <w:tab/>
        <w:t xml:space="preserve"> </w:t>
      </w:r>
      <w:r w:rsidRPr="00B13E3E">
        <w:rPr>
          <w:rFonts w:ascii="Times New Roman" w:hAnsi="Times New Roman" w:cs="Times New Roman"/>
          <w:sz w:val="28"/>
          <w:szCs w:val="28"/>
        </w:rPr>
        <w:t>First Defendant</w:t>
      </w:r>
    </w:p>
    <w:p w:rsidR="009C5E56" w:rsidRPr="00B13E3E" w:rsidRDefault="009C5E56" w:rsidP="00FC4D0A"/>
    <w:p w:rsidR="009C5E56" w:rsidRPr="00B13E3E" w:rsidRDefault="009C5E56" w:rsidP="00DC5623">
      <w:pPr>
        <w:spacing w:line="360" w:lineRule="auto"/>
        <w:rPr>
          <w:rFonts w:ascii="Times New Roman" w:hAnsi="Times New Roman" w:cs="Times New Roman"/>
          <w:b/>
          <w:sz w:val="28"/>
          <w:szCs w:val="28"/>
        </w:rPr>
      </w:pPr>
      <w:r w:rsidRPr="00B13E3E">
        <w:rPr>
          <w:rFonts w:ascii="Times New Roman" w:hAnsi="Times New Roman" w:cs="Times New Roman"/>
          <w:b/>
          <w:sz w:val="28"/>
          <w:szCs w:val="28"/>
        </w:rPr>
        <w:t xml:space="preserve">MPILO SAKILE MBAMBISA </w:t>
      </w:r>
      <w:r w:rsidR="00B0178D" w:rsidRPr="00B13E3E">
        <w:rPr>
          <w:rFonts w:ascii="Times New Roman" w:hAnsi="Times New Roman" w:cs="Times New Roman"/>
          <w:b/>
          <w:sz w:val="28"/>
          <w:szCs w:val="28"/>
        </w:rPr>
        <w:tab/>
      </w:r>
      <w:r w:rsidR="00B0178D" w:rsidRPr="00B13E3E">
        <w:rPr>
          <w:rFonts w:ascii="Times New Roman" w:hAnsi="Times New Roman" w:cs="Times New Roman"/>
          <w:b/>
          <w:sz w:val="28"/>
          <w:szCs w:val="28"/>
        </w:rPr>
        <w:tab/>
      </w:r>
      <w:r w:rsidR="00B0178D" w:rsidRPr="00B13E3E">
        <w:rPr>
          <w:rFonts w:ascii="Times New Roman" w:hAnsi="Times New Roman" w:cs="Times New Roman"/>
          <w:b/>
          <w:sz w:val="28"/>
          <w:szCs w:val="28"/>
        </w:rPr>
        <w:tab/>
      </w:r>
      <w:r w:rsidR="00B0178D" w:rsidRPr="00B13E3E">
        <w:rPr>
          <w:rFonts w:ascii="Times New Roman" w:hAnsi="Times New Roman" w:cs="Times New Roman"/>
          <w:b/>
          <w:sz w:val="28"/>
          <w:szCs w:val="28"/>
        </w:rPr>
        <w:tab/>
      </w:r>
      <w:r w:rsidR="00B13E3E">
        <w:rPr>
          <w:rFonts w:ascii="Times New Roman" w:hAnsi="Times New Roman" w:cs="Times New Roman"/>
          <w:b/>
          <w:sz w:val="28"/>
          <w:szCs w:val="28"/>
        </w:rPr>
        <w:t xml:space="preserve">      </w:t>
      </w:r>
      <w:r w:rsidRPr="00B13E3E">
        <w:rPr>
          <w:rFonts w:ascii="Times New Roman" w:hAnsi="Times New Roman" w:cs="Times New Roman"/>
          <w:sz w:val="28"/>
          <w:szCs w:val="28"/>
        </w:rPr>
        <w:t>Second Defendant</w:t>
      </w:r>
    </w:p>
    <w:p w:rsidR="009C5E56" w:rsidRPr="00B13E3E" w:rsidRDefault="009C5E56" w:rsidP="001A147C"/>
    <w:p w:rsidR="009C5E56" w:rsidRPr="00B13E3E" w:rsidRDefault="009C5E56" w:rsidP="00DC5623">
      <w:pPr>
        <w:spacing w:line="360" w:lineRule="auto"/>
        <w:rPr>
          <w:rFonts w:ascii="Times New Roman" w:hAnsi="Times New Roman" w:cs="Times New Roman"/>
          <w:b/>
          <w:sz w:val="28"/>
          <w:szCs w:val="28"/>
        </w:rPr>
      </w:pPr>
      <w:r w:rsidRPr="00B13E3E">
        <w:rPr>
          <w:rFonts w:ascii="Times New Roman" w:hAnsi="Times New Roman" w:cs="Times New Roman"/>
          <w:b/>
          <w:sz w:val="28"/>
          <w:szCs w:val="28"/>
        </w:rPr>
        <w:t xml:space="preserve">MAMISA CHABULA-NXIWENI </w:t>
      </w:r>
      <w:r w:rsidR="00B0178D" w:rsidRPr="00B13E3E">
        <w:rPr>
          <w:rFonts w:ascii="Times New Roman" w:hAnsi="Times New Roman" w:cs="Times New Roman"/>
          <w:b/>
          <w:sz w:val="28"/>
          <w:szCs w:val="28"/>
        </w:rPr>
        <w:tab/>
      </w:r>
      <w:r w:rsidR="00B0178D" w:rsidRPr="00B13E3E">
        <w:rPr>
          <w:rFonts w:ascii="Times New Roman" w:hAnsi="Times New Roman" w:cs="Times New Roman"/>
          <w:b/>
          <w:sz w:val="28"/>
          <w:szCs w:val="28"/>
        </w:rPr>
        <w:tab/>
      </w:r>
      <w:r w:rsidR="00B0178D" w:rsidRPr="00B13E3E">
        <w:rPr>
          <w:rFonts w:ascii="Times New Roman" w:hAnsi="Times New Roman" w:cs="Times New Roman"/>
          <w:b/>
          <w:sz w:val="28"/>
          <w:szCs w:val="28"/>
        </w:rPr>
        <w:tab/>
      </w:r>
      <w:r w:rsidR="00B0178D" w:rsidRPr="00B13E3E">
        <w:rPr>
          <w:rFonts w:ascii="Times New Roman" w:hAnsi="Times New Roman" w:cs="Times New Roman"/>
          <w:b/>
          <w:sz w:val="28"/>
          <w:szCs w:val="28"/>
        </w:rPr>
        <w:tab/>
      </w:r>
      <w:r w:rsidR="00B13E3E">
        <w:rPr>
          <w:rFonts w:ascii="Times New Roman" w:hAnsi="Times New Roman" w:cs="Times New Roman"/>
          <w:b/>
          <w:sz w:val="28"/>
          <w:szCs w:val="28"/>
        </w:rPr>
        <w:t xml:space="preserve">         </w:t>
      </w:r>
      <w:r w:rsidRPr="00B13E3E">
        <w:rPr>
          <w:rFonts w:ascii="Times New Roman" w:hAnsi="Times New Roman" w:cs="Times New Roman"/>
          <w:sz w:val="28"/>
          <w:szCs w:val="28"/>
        </w:rPr>
        <w:t>Third Defendant</w:t>
      </w:r>
    </w:p>
    <w:p w:rsidR="009C5E56" w:rsidRPr="00B13E3E" w:rsidRDefault="009C5E56" w:rsidP="001A147C"/>
    <w:p w:rsidR="009C5E56" w:rsidRPr="00B13E3E" w:rsidRDefault="009C5E56" w:rsidP="00DC5623">
      <w:pPr>
        <w:spacing w:line="360" w:lineRule="auto"/>
        <w:rPr>
          <w:rFonts w:ascii="Times New Roman" w:hAnsi="Times New Roman" w:cs="Times New Roman"/>
          <w:sz w:val="28"/>
          <w:szCs w:val="28"/>
        </w:rPr>
      </w:pPr>
      <w:r w:rsidRPr="00B13E3E">
        <w:rPr>
          <w:rFonts w:ascii="Times New Roman" w:hAnsi="Times New Roman" w:cs="Times New Roman"/>
          <w:b/>
          <w:sz w:val="28"/>
          <w:szCs w:val="28"/>
        </w:rPr>
        <w:t xml:space="preserve">MHLELI MLUNGISI TSHAMASE </w:t>
      </w:r>
      <w:r w:rsidR="00B0178D" w:rsidRPr="00B13E3E">
        <w:rPr>
          <w:rFonts w:ascii="Times New Roman" w:hAnsi="Times New Roman" w:cs="Times New Roman"/>
          <w:b/>
          <w:sz w:val="28"/>
          <w:szCs w:val="28"/>
        </w:rPr>
        <w:tab/>
      </w:r>
      <w:r w:rsidR="00B0178D" w:rsidRPr="00B13E3E">
        <w:rPr>
          <w:rFonts w:ascii="Times New Roman" w:hAnsi="Times New Roman" w:cs="Times New Roman"/>
          <w:b/>
          <w:sz w:val="28"/>
          <w:szCs w:val="28"/>
        </w:rPr>
        <w:tab/>
      </w:r>
      <w:r w:rsidR="00B0178D" w:rsidRPr="00B13E3E">
        <w:rPr>
          <w:rFonts w:ascii="Times New Roman" w:hAnsi="Times New Roman" w:cs="Times New Roman"/>
          <w:b/>
          <w:sz w:val="28"/>
          <w:szCs w:val="28"/>
        </w:rPr>
        <w:tab/>
        <w:t xml:space="preserve">        </w:t>
      </w:r>
      <w:r w:rsidRPr="00B13E3E">
        <w:rPr>
          <w:rFonts w:ascii="Times New Roman" w:hAnsi="Times New Roman" w:cs="Times New Roman"/>
          <w:sz w:val="28"/>
          <w:szCs w:val="28"/>
        </w:rPr>
        <w:t>Fourth Defendant</w:t>
      </w:r>
    </w:p>
    <w:p w:rsidR="009C5E56" w:rsidRPr="00B13E3E" w:rsidRDefault="009C5E56" w:rsidP="001A147C"/>
    <w:p w:rsidR="009C5E56" w:rsidRPr="00B13E3E" w:rsidRDefault="009C5E56" w:rsidP="00DC5623">
      <w:pPr>
        <w:spacing w:line="360" w:lineRule="auto"/>
        <w:rPr>
          <w:rFonts w:ascii="Times New Roman" w:hAnsi="Times New Roman" w:cs="Times New Roman"/>
          <w:b/>
          <w:sz w:val="28"/>
          <w:szCs w:val="28"/>
        </w:rPr>
      </w:pPr>
      <w:r w:rsidRPr="00B13E3E">
        <w:rPr>
          <w:rFonts w:ascii="Times New Roman" w:hAnsi="Times New Roman" w:cs="Times New Roman"/>
          <w:b/>
          <w:sz w:val="28"/>
          <w:szCs w:val="28"/>
        </w:rPr>
        <w:t xml:space="preserve">TREVOR HARPER </w:t>
      </w:r>
      <w:r w:rsidR="00DE050F" w:rsidRPr="00B13E3E">
        <w:rPr>
          <w:rFonts w:ascii="Times New Roman" w:hAnsi="Times New Roman" w:cs="Times New Roman"/>
          <w:b/>
          <w:sz w:val="28"/>
          <w:szCs w:val="28"/>
        </w:rPr>
        <w:tab/>
      </w:r>
      <w:r w:rsidR="00DE050F" w:rsidRPr="00B13E3E">
        <w:rPr>
          <w:rFonts w:ascii="Times New Roman" w:hAnsi="Times New Roman" w:cs="Times New Roman"/>
          <w:b/>
          <w:sz w:val="28"/>
          <w:szCs w:val="28"/>
        </w:rPr>
        <w:tab/>
      </w:r>
      <w:r w:rsidR="00DE050F" w:rsidRPr="00B13E3E">
        <w:rPr>
          <w:rFonts w:ascii="Times New Roman" w:hAnsi="Times New Roman" w:cs="Times New Roman"/>
          <w:b/>
          <w:sz w:val="28"/>
          <w:szCs w:val="28"/>
        </w:rPr>
        <w:tab/>
      </w:r>
      <w:r w:rsidR="00DE050F" w:rsidRPr="00B13E3E">
        <w:rPr>
          <w:rFonts w:ascii="Times New Roman" w:hAnsi="Times New Roman" w:cs="Times New Roman"/>
          <w:b/>
          <w:sz w:val="28"/>
          <w:szCs w:val="28"/>
        </w:rPr>
        <w:tab/>
      </w:r>
      <w:r w:rsidR="00DE050F" w:rsidRPr="00B13E3E">
        <w:rPr>
          <w:rFonts w:ascii="Times New Roman" w:hAnsi="Times New Roman" w:cs="Times New Roman"/>
          <w:b/>
          <w:sz w:val="28"/>
          <w:szCs w:val="28"/>
        </w:rPr>
        <w:tab/>
      </w:r>
      <w:r w:rsidR="00DE050F" w:rsidRPr="00B13E3E">
        <w:rPr>
          <w:rFonts w:ascii="Times New Roman" w:hAnsi="Times New Roman" w:cs="Times New Roman"/>
          <w:b/>
          <w:sz w:val="28"/>
          <w:szCs w:val="28"/>
        </w:rPr>
        <w:tab/>
      </w:r>
      <w:r w:rsidR="00B13E3E">
        <w:rPr>
          <w:rFonts w:ascii="Times New Roman" w:hAnsi="Times New Roman" w:cs="Times New Roman"/>
          <w:b/>
          <w:sz w:val="28"/>
          <w:szCs w:val="28"/>
        </w:rPr>
        <w:t xml:space="preserve">         </w:t>
      </w:r>
      <w:r w:rsidR="00DE050F" w:rsidRPr="00B13E3E">
        <w:rPr>
          <w:rFonts w:ascii="Times New Roman" w:hAnsi="Times New Roman" w:cs="Times New Roman"/>
          <w:b/>
          <w:sz w:val="28"/>
          <w:szCs w:val="28"/>
        </w:rPr>
        <w:t xml:space="preserve"> </w:t>
      </w:r>
      <w:r w:rsidRPr="00B13E3E">
        <w:rPr>
          <w:rFonts w:ascii="Times New Roman" w:hAnsi="Times New Roman" w:cs="Times New Roman"/>
          <w:sz w:val="28"/>
          <w:szCs w:val="28"/>
        </w:rPr>
        <w:t>Fifth Defendant</w:t>
      </w:r>
    </w:p>
    <w:p w:rsidR="009C5E56" w:rsidRPr="00B13E3E" w:rsidRDefault="009C5E56" w:rsidP="001A147C"/>
    <w:p w:rsidR="00B0178D" w:rsidRPr="00B13E3E" w:rsidRDefault="00B0178D" w:rsidP="00DC5623">
      <w:pPr>
        <w:spacing w:line="360" w:lineRule="auto"/>
        <w:rPr>
          <w:rFonts w:ascii="Times New Roman" w:hAnsi="Times New Roman" w:cs="Times New Roman"/>
          <w:b/>
          <w:sz w:val="28"/>
          <w:szCs w:val="28"/>
        </w:rPr>
      </w:pPr>
      <w:r w:rsidRPr="00B13E3E">
        <w:rPr>
          <w:rFonts w:ascii="Times New Roman" w:hAnsi="Times New Roman" w:cs="Times New Roman"/>
          <w:b/>
          <w:sz w:val="28"/>
          <w:szCs w:val="28"/>
        </w:rPr>
        <w:t xml:space="preserve">MZWAKE CLAY </w:t>
      </w:r>
      <w:r w:rsidR="00DE050F" w:rsidRPr="00B13E3E">
        <w:rPr>
          <w:rFonts w:ascii="Times New Roman" w:hAnsi="Times New Roman" w:cs="Times New Roman"/>
          <w:b/>
          <w:sz w:val="28"/>
          <w:szCs w:val="28"/>
        </w:rPr>
        <w:tab/>
      </w:r>
      <w:r w:rsidR="00DE050F" w:rsidRPr="00B13E3E">
        <w:rPr>
          <w:rFonts w:ascii="Times New Roman" w:hAnsi="Times New Roman" w:cs="Times New Roman"/>
          <w:b/>
          <w:sz w:val="28"/>
          <w:szCs w:val="28"/>
        </w:rPr>
        <w:tab/>
      </w:r>
      <w:r w:rsidR="00DE050F" w:rsidRPr="00B13E3E">
        <w:rPr>
          <w:rFonts w:ascii="Times New Roman" w:hAnsi="Times New Roman" w:cs="Times New Roman"/>
          <w:b/>
          <w:sz w:val="28"/>
          <w:szCs w:val="28"/>
        </w:rPr>
        <w:tab/>
      </w:r>
      <w:r w:rsidR="00DE050F" w:rsidRPr="00B13E3E">
        <w:rPr>
          <w:rFonts w:ascii="Times New Roman" w:hAnsi="Times New Roman" w:cs="Times New Roman"/>
          <w:b/>
          <w:sz w:val="28"/>
          <w:szCs w:val="28"/>
        </w:rPr>
        <w:tab/>
      </w:r>
      <w:r w:rsidR="00DE050F" w:rsidRPr="00B13E3E">
        <w:rPr>
          <w:rFonts w:ascii="Times New Roman" w:hAnsi="Times New Roman" w:cs="Times New Roman"/>
          <w:b/>
          <w:sz w:val="28"/>
          <w:szCs w:val="28"/>
        </w:rPr>
        <w:tab/>
      </w:r>
      <w:r w:rsidR="00DE050F" w:rsidRPr="00B13E3E">
        <w:rPr>
          <w:rFonts w:ascii="Times New Roman" w:hAnsi="Times New Roman" w:cs="Times New Roman"/>
          <w:b/>
          <w:sz w:val="28"/>
          <w:szCs w:val="28"/>
        </w:rPr>
        <w:tab/>
      </w:r>
      <w:r w:rsidR="00B13E3E">
        <w:rPr>
          <w:rFonts w:ascii="Times New Roman" w:hAnsi="Times New Roman" w:cs="Times New Roman"/>
          <w:b/>
          <w:sz w:val="28"/>
          <w:szCs w:val="28"/>
        </w:rPr>
        <w:t xml:space="preserve">         </w:t>
      </w:r>
      <w:r w:rsidRPr="00B13E3E">
        <w:rPr>
          <w:rFonts w:ascii="Times New Roman" w:hAnsi="Times New Roman" w:cs="Times New Roman"/>
          <w:sz w:val="28"/>
          <w:szCs w:val="28"/>
        </w:rPr>
        <w:t>Sixth Defendant</w:t>
      </w:r>
    </w:p>
    <w:p w:rsidR="00B0178D" w:rsidRPr="00B13E3E" w:rsidRDefault="00B0178D" w:rsidP="001A147C"/>
    <w:p w:rsidR="00B0178D" w:rsidRPr="00B13E3E" w:rsidRDefault="00B0178D" w:rsidP="00DC5623">
      <w:pPr>
        <w:spacing w:line="360" w:lineRule="auto"/>
        <w:rPr>
          <w:rFonts w:ascii="Times New Roman" w:hAnsi="Times New Roman" w:cs="Times New Roman"/>
          <w:b/>
          <w:sz w:val="28"/>
          <w:szCs w:val="28"/>
        </w:rPr>
      </w:pPr>
      <w:r w:rsidRPr="00B13E3E">
        <w:rPr>
          <w:rFonts w:ascii="Times New Roman" w:hAnsi="Times New Roman" w:cs="Times New Roman"/>
          <w:b/>
          <w:sz w:val="28"/>
          <w:szCs w:val="28"/>
        </w:rPr>
        <w:t xml:space="preserve">ROLAND WILLIAMS </w:t>
      </w:r>
      <w:r w:rsidR="00DE050F" w:rsidRPr="00B13E3E">
        <w:rPr>
          <w:rFonts w:ascii="Times New Roman" w:hAnsi="Times New Roman" w:cs="Times New Roman"/>
          <w:b/>
          <w:sz w:val="28"/>
          <w:szCs w:val="28"/>
        </w:rPr>
        <w:tab/>
      </w:r>
      <w:r w:rsidR="00DE050F" w:rsidRPr="00B13E3E">
        <w:rPr>
          <w:rFonts w:ascii="Times New Roman" w:hAnsi="Times New Roman" w:cs="Times New Roman"/>
          <w:b/>
          <w:sz w:val="28"/>
          <w:szCs w:val="28"/>
        </w:rPr>
        <w:tab/>
      </w:r>
      <w:r w:rsidR="00DE050F" w:rsidRPr="00B13E3E">
        <w:rPr>
          <w:rFonts w:ascii="Times New Roman" w:hAnsi="Times New Roman" w:cs="Times New Roman"/>
          <w:b/>
          <w:sz w:val="28"/>
          <w:szCs w:val="28"/>
        </w:rPr>
        <w:tab/>
      </w:r>
      <w:r w:rsidR="00DE050F" w:rsidRPr="00B13E3E">
        <w:rPr>
          <w:rFonts w:ascii="Times New Roman" w:hAnsi="Times New Roman" w:cs="Times New Roman"/>
          <w:b/>
          <w:sz w:val="28"/>
          <w:szCs w:val="28"/>
        </w:rPr>
        <w:tab/>
      </w:r>
      <w:r w:rsidR="00DE050F" w:rsidRPr="00B13E3E">
        <w:rPr>
          <w:rFonts w:ascii="Times New Roman" w:hAnsi="Times New Roman" w:cs="Times New Roman"/>
          <w:b/>
          <w:sz w:val="28"/>
          <w:szCs w:val="28"/>
        </w:rPr>
        <w:tab/>
      </w:r>
      <w:r w:rsidR="00DE050F" w:rsidRPr="00B13E3E">
        <w:rPr>
          <w:rFonts w:ascii="Times New Roman" w:hAnsi="Times New Roman" w:cs="Times New Roman"/>
          <w:b/>
          <w:sz w:val="28"/>
          <w:szCs w:val="28"/>
        </w:rPr>
        <w:tab/>
        <w:t xml:space="preserve">     </w:t>
      </w:r>
      <w:r w:rsidRPr="00B13E3E">
        <w:rPr>
          <w:rFonts w:ascii="Times New Roman" w:hAnsi="Times New Roman" w:cs="Times New Roman"/>
          <w:sz w:val="28"/>
          <w:szCs w:val="28"/>
        </w:rPr>
        <w:t>Seventh Defendant</w:t>
      </w:r>
    </w:p>
    <w:p w:rsidR="00B0178D" w:rsidRPr="00B13E3E" w:rsidRDefault="00B0178D" w:rsidP="001A147C"/>
    <w:p w:rsidR="00BC3B5B" w:rsidRPr="00B13E3E" w:rsidRDefault="00B0178D" w:rsidP="00DC5623">
      <w:pPr>
        <w:spacing w:line="360" w:lineRule="auto"/>
        <w:rPr>
          <w:rFonts w:ascii="Times New Roman" w:hAnsi="Times New Roman" w:cs="Times New Roman"/>
          <w:sz w:val="28"/>
          <w:szCs w:val="28"/>
        </w:rPr>
      </w:pPr>
      <w:r w:rsidRPr="00B13E3E">
        <w:rPr>
          <w:rFonts w:ascii="Times New Roman" w:hAnsi="Times New Roman" w:cs="Times New Roman"/>
          <w:b/>
          <w:sz w:val="28"/>
          <w:szCs w:val="28"/>
        </w:rPr>
        <w:t xml:space="preserve">WALTER SHAIDI </w:t>
      </w:r>
      <w:r w:rsidR="00DE050F" w:rsidRPr="00B13E3E">
        <w:rPr>
          <w:rFonts w:ascii="Times New Roman" w:hAnsi="Times New Roman" w:cs="Times New Roman"/>
          <w:b/>
          <w:sz w:val="28"/>
          <w:szCs w:val="28"/>
        </w:rPr>
        <w:tab/>
      </w:r>
      <w:r w:rsidR="00DE050F" w:rsidRPr="00B13E3E">
        <w:rPr>
          <w:rFonts w:ascii="Times New Roman" w:hAnsi="Times New Roman" w:cs="Times New Roman"/>
          <w:b/>
          <w:sz w:val="28"/>
          <w:szCs w:val="28"/>
        </w:rPr>
        <w:tab/>
      </w:r>
      <w:r w:rsidR="00DE050F" w:rsidRPr="00B13E3E">
        <w:rPr>
          <w:rFonts w:ascii="Times New Roman" w:hAnsi="Times New Roman" w:cs="Times New Roman"/>
          <w:b/>
          <w:sz w:val="28"/>
          <w:szCs w:val="28"/>
        </w:rPr>
        <w:tab/>
      </w:r>
      <w:r w:rsidR="00DE050F" w:rsidRPr="00B13E3E">
        <w:rPr>
          <w:rFonts w:ascii="Times New Roman" w:hAnsi="Times New Roman" w:cs="Times New Roman"/>
          <w:b/>
          <w:sz w:val="28"/>
          <w:szCs w:val="28"/>
        </w:rPr>
        <w:tab/>
      </w:r>
      <w:r w:rsidR="00DE050F" w:rsidRPr="00B13E3E">
        <w:rPr>
          <w:rFonts w:ascii="Times New Roman" w:hAnsi="Times New Roman" w:cs="Times New Roman"/>
          <w:b/>
          <w:sz w:val="28"/>
          <w:szCs w:val="28"/>
        </w:rPr>
        <w:tab/>
      </w:r>
      <w:r w:rsidR="00DE050F" w:rsidRPr="00B13E3E">
        <w:rPr>
          <w:rFonts w:ascii="Times New Roman" w:hAnsi="Times New Roman" w:cs="Times New Roman"/>
          <w:b/>
          <w:sz w:val="28"/>
          <w:szCs w:val="28"/>
        </w:rPr>
        <w:tab/>
        <w:t xml:space="preserve">        </w:t>
      </w:r>
      <w:r w:rsidRPr="00B13E3E">
        <w:rPr>
          <w:rFonts w:ascii="Times New Roman" w:hAnsi="Times New Roman" w:cs="Times New Roman"/>
          <w:sz w:val="28"/>
          <w:szCs w:val="28"/>
        </w:rPr>
        <w:t>Eighth Defendant</w:t>
      </w:r>
      <w:r w:rsidR="00DC5623" w:rsidRPr="00B13E3E">
        <w:rPr>
          <w:rFonts w:ascii="Times New Roman" w:hAnsi="Times New Roman" w:cs="Times New Roman"/>
          <w:b/>
          <w:sz w:val="28"/>
          <w:szCs w:val="28"/>
        </w:rPr>
        <w:tab/>
      </w:r>
      <w:r w:rsidR="00DC5623" w:rsidRPr="00B13E3E">
        <w:rPr>
          <w:rFonts w:ascii="Times New Roman" w:hAnsi="Times New Roman" w:cs="Times New Roman"/>
          <w:b/>
          <w:sz w:val="28"/>
          <w:szCs w:val="28"/>
        </w:rPr>
        <w:tab/>
      </w:r>
    </w:p>
    <w:p w:rsidR="00354A12" w:rsidRPr="00B13E3E"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B13E3E" w:rsidRDefault="00354A12" w:rsidP="00354A12">
      <w:pPr>
        <w:spacing w:line="240" w:lineRule="auto"/>
        <w:jc w:val="both"/>
        <w:rPr>
          <w:rFonts w:ascii="Times New Roman" w:hAnsi="Times New Roman" w:cs="Times New Roman"/>
          <w:sz w:val="28"/>
          <w:szCs w:val="28"/>
        </w:rPr>
      </w:pPr>
    </w:p>
    <w:p w:rsidR="00354A12" w:rsidRPr="00B13E3E" w:rsidRDefault="00354A12" w:rsidP="00354A12">
      <w:pPr>
        <w:pBdr>
          <w:bottom w:val="single" w:sz="12" w:space="1" w:color="auto"/>
        </w:pBdr>
        <w:spacing w:line="240" w:lineRule="auto"/>
        <w:jc w:val="center"/>
        <w:rPr>
          <w:rFonts w:ascii="Times New Roman" w:hAnsi="Times New Roman" w:cs="Times New Roman"/>
          <w:b/>
          <w:sz w:val="28"/>
          <w:szCs w:val="28"/>
        </w:rPr>
      </w:pPr>
      <w:r w:rsidRPr="00B13E3E">
        <w:rPr>
          <w:rFonts w:ascii="Times New Roman" w:hAnsi="Times New Roman" w:cs="Times New Roman"/>
          <w:b/>
          <w:sz w:val="28"/>
          <w:szCs w:val="28"/>
        </w:rPr>
        <w:t>JUDGMENT</w:t>
      </w:r>
    </w:p>
    <w:p w:rsidR="00354A12" w:rsidRPr="00B13E3E"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B13E3E" w:rsidRDefault="00354A12" w:rsidP="00354A12">
      <w:pPr>
        <w:spacing w:line="240" w:lineRule="auto"/>
        <w:jc w:val="both"/>
        <w:rPr>
          <w:rFonts w:ascii="Times New Roman" w:hAnsi="Times New Roman" w:cs="Times New Roman"/>
          <w:sz w:val="28"/>
          <w:szCs w:val="28"/>
        </w:rPr>
      </w:pPr>
    </w:p>
    <w:p w:rsidR="00354A12" w:rsidRPr="00B13E3E" w:rsidRDefault="00354A12" w:rsidP="00354A12">
      <w:pPr>
        <w:spacing w:line="360" w:lineRule="auto"/>
        <w:jc w:val="both"/>
        <w:rPr>
          <w:rFonts w:ascii="Times New Roman" w:hAnsi="Times New Roman" w:cs="Times New Roman"/>
          <w:b/>
          <w:sz w:val="28"/>
          <w:szCs w:val="28"/>
        </w:rPr>
      </w:pPr>
    </w:p>
    <w:p w:rsidR="00354A12" w:rsidRPr="00B13E3E" w:rsidRDefault="00354A12" w:rsidP="00354A12">
      <w:pPr>
        <w:spacing w:line="360" w:lineRule="auto"/>
        <w:jc w:val="both"/>
        <w:rPr>
          <w:rFonts w:ascii="Times New Roman" w:hAnsi="Times New Roman" w:cs="Times New Roman"/>
          <w:b/>
          <w:sz w:val="28"/>
          <w:szCs w:val="28"/>
        </w:rPr>
      </w:pPr>
      <w:r w:rsidRPr="00B13E3E">
        <w:rPr>
          <w:rFonts w:ascii="Times New Roman" w:hAnsi="Times New Roman" w:cs="Times New Roman"/>
          <w:b/>
          <w:sz w:val="28"/>
          <w:szCs w:val="28"/>
        </w:rPr>
        <w:t>RUGUNANAN</w:t>
      </w:r>
      <w:r w:rsidR="001B2FE7" w:rsidRPr="00B13E3E">
        <w:rPr>
          <w:rFonts w:ascii="Times New Roman" w:hAnsi="Times New Roman" w:cs="Times New Roman"/>
          <w:b/>
          <w:sz w:val="28"/>
          <w:szCs w:val="28"/>
        </w:rPr>
        <w:t xml:space="preserve">, </w:t>
      </w:r>
      <w:r w:rsidR="00D45647" w:rsidRPr="00B13E3E">
        <w:rPr>
          <w:rFonts w:ascii="Times New Roman" w:hAnsi="Times New Roman" w:cs="Times New Roman"/>
          <w:b/>
          <w:sz w:val="28"/>
          <w:szCs w:val="28"/>
        </w:rPr>
        <w:t>J</w:t>
      </w:r>
    </w:p>
    <w:p w:rsidR="00354A12" w:rsidRPr="00B13E3E" w:rsidRDefault="00354A12" w:rsidP="00354A12">
      <w:pPr>
        <w:spacing w:line="360" w:lineRule="auto"/>
        <w:jc w:val="both"/>
        <w:rPr>
          <w:rFonts w:ascii="Times New Roman" w:hAnsi="Times New Roman" w:cs="Times New Roman"/>
          <w:b/>
          <w:sz w:val="28"/>
          <w:szCs w:val="28"/>
        </w:rPr>
      </w:pPr>
    </w:p>
    <w:p w:rsidR="006B7E1D" w:rsidRPr="00B13E3E" w:rsidRDefault="006466CC" w:rsidP="006B7E1D">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The plaintiff is a C</w:t>
      </w:r>
      <w:r w:rsidR="006B7E1D" w:rsidRPr="00B13E3E">
        <w:rPr>
          <w:rFonts w:ascii="Times New Roman" w:hAnsi="Times New Roman"/>
          <w:color w:val="000000"/>
          <w:sz w:val="28"/>
          <w:szCs w:val="28"/>
        </w:rPr>
        <w:t>ategory A municipality established in terms of section 12 of the Local Government: Municipal Structures Act 117 of 1998 read with section 155(1) of the Constitution</w:t>
      </w:r>
      <w:r w:rsidR="006B7E1D" w:rsidRPr="00B13E3E">
        <w:rPr>
          <w:rStyle w:val="FootnoteReference"/>
          <w:rFonts w:ascii="Times New Roman" w:hAnsi="Times New Roman"/>
          <w:color w:val="000000"/>
          <w:sz w:val="28"/>
          <w:szCs w:val="28"/>
        </w:rPr>
        <w:footnoteReference w:id="1"/>
      </w:r>
      <w:r w:rsidR="006B7E1D" w:rsidRPr="00B13E3E">
        <w:rPr>
          <w:rFonts w:ascii="Times New Roman" w:hAnsi="Times New Roman"/>
          <w:color w:val="000000"/>
          <w:sz w:val="28"/>
          <w:szCs w:val="28"/>
        </w:rPr>
        <w:t>. The first defendant</w:t>
      </w:r>
      <w:r w:rsidR="00FC4D0A" w:rsidRPr="00B13E3E">
        <w:rPr>
          <w:rStyle w:val="FootnoteReference"/>
          <w:rFonts w:ascii="Times New Roman" w:hAnsi="Times New Roman"/>
          <w:color w:val="000000"/>
          <w:sz w:val="28"/>
          <w:szCs w:val="28"/>
        </w:rPr>
        <w:footnoteReference w:id="2"/>
      </w:r>
      <w:r w:rsidR="006B7E1D" w:rsidRPr="00B13E3E">
        <w:rPr>
          <w:rFonts w:ascii="Times New Roman" w:hAnsi="Times New Roman"/>
          <w:color w:val="000000"/>
          <w:sz w:val="28"/>
          <w:szCs w:val="28"/>
        </w:rPr>
        <w:t xml:space="preserve"> is a juristic entity registered in accordance with the laws of the Republic of South Africa. The second to eighth defendants (collectively “the employee defendants”) are uniformly former senior employees of the municipality and were incumbents of various positions namely: The second defendant as municipal manager and accounting officer</w:t>
      </w:r>
      <w:r w:rsidR="006B7E1D" w:rsidRPr="00B13E3E">
        <w:rPr>
          <w:rStyle w:val="FootnoteReference"/>
          <w:rFonts w:ascii="Times New Roman" w:hAnsi="Times New Roman"/>
          <w:color w:val="000000"/>
          <w:sz w:val="28"/>
          <w:szCs w:val="28"/>
        </w:rPr>
        <w:footnoteReference w:id="3"/>
      </w:r>
      <w:r w:rsidR="006B7E1D" w:rsidRPr="00B13E3E">
        <w:rPr>
          <w:rFonts w:ascii="Times New Roman" w:hAnsi="Times New Roman"/>
          <w:color w:val="000000"/>
          <w:sz w:val="28"/>
          <w:szCs w:val="28"/>
        </w:rPr>
        <w:t>; the third defendant  as Executive Director: Public Health, and who from time to time had acted as municipal manager; the fourth defendant as Project Manager: Integrated Public Transport System; the fifth defendant as Chief Financial Officer (“CFO”); the sixth defendant as Chief Operating Officer (“COO”); the seventh defendant as Director: Communications; and the eighth defendant as Executive Director: Infrastructure and Engineering.</w:t>
      </w:r>
    </w:p>
    <w:p w:rsidR="00DA39FD" w:rsidRPr="00B13E3E" w:rsidRDefault="002E7C21" w:rsidP="00AD7016">
      <w:pPr>
        <w:pStyle w:val="LegalList1"/>
        <w:numPr>
          <w:ilvl w:val="0"/>
          <w:numId w:val="2"/>
        </w:numPr>
        <w:tabs>
          <w:tab w:val="clear" w:pos="567"/>
        </w:tabs>
        <w:spacing w:line="360" w:lineRule="auto"/>
        <w:ind w:left="851" w:hanging="851"/>
        <w:rPr>
          <w:rFonts w:ascii="Times New Roman" w:hAnsi="Times New Roman"/>
          <w:sz w:val="28"/>
          <w:szCs w:val="28"/>
        </w:rPr>
      </w:pPr>
      <w:r w:rsidRPr="00B13E3E">
        <w:rPr>
          <w:rFonts w:ascii="Times New Roman" w:hAnsi="Times New Roman"/>
          <w:sz w:val="28"/>
          <w:szCs w:val="28"/>
        </w:rPr>
        <w:t xml:space="preserve">The plaintiff’s claims arise from its appointment of the first defendant as a lead consultant for the development of a comprehensive communication and marketing strategy in respect of the </w:t>
      </w:r>
      <w:r w:rsidR="00CD4899" w:rsidRPr="00B13E3E">
        <w:rPr>
          <w:rFonts w:ascii="Times New Roman" w:hAnsi="Times New Roman"/>
          <w:sz w:val="28"/>
          <w:szCs w:val="28"/>
        </w:rPr>
        <w:t xml:space="preserve">project for the </w:t>
      </w:r>
      <w:r w:rsidRPr="00B13E3E">
        <w:rPr>
          <w:rFonts w:ascii="Times New Roman" w:hAnsi="Times New Roman"/>
          <w:sz w:val="28"/>
          <w:szCs w:val="28"/>
        </w:rPr>
        <w:t xml:space="preserve">plaintiff’s </w:t>
      </w:r>
      <w:r w:rsidRPr="00B13E3E">
        <w:rPr>
          <w:rFonts w:ascii="Times New Roman" w:hAnsi="Times New Roman"/>
          <w:color w:val="000000"/>
          <w:sz w:val="28"/>
          <w:szCs w:val="28"/>
        </w:rPr>
        <w:t>Integrated Public Transport System (“IPTS”)</w:t>
      </w:r>
      <w:r w:rsidR="006A3697" w:rsidRPr="00B13E3E">
        <w:rPr>
          <w:rFonts w:ascii="Times New Roman" w:hAnsi="Times New Roman"/>
          <w:color w:val="000000"/>
          <w:sz w:val="28"/>
          <w:szCs w:val="28"/>
        </w:rPr>
        <w:t xml:space="preserve">. The appointment was made during or about February 2014 pursuant to which </w:t>
      </w:r>
      <w:r w:rsidR="00607698">
        <w:rPr>
          <w:rFonts w:ascii="Times New Roman" w:hAnsi="Times New Roman"/>
          <w:color w:val="000000"/>
          <w:sz w:val="28"/>
          <w:szCs w:val="28"/>
        </w:rPr>
        <w:t xml:space="preserve">the following </w:t>
      </w:r>
      <w:r w:rsidR="00C8285A">
        <w:rPr>
          <w:rFonts w:ascii="Times New Roman" w:hAnsi="Times New Roman"/>
          <w:color w:val="000000"/>
          <w:sz w:val="28"/>
          <w:szCs w:val="28"/>
        </w:rPr>
        <w:t xml:space="preserve">sums </w:t>
      </w:r>
      <w:r w:rsidR="00607698">
        <w:rPr>
          <w:rFonts w:ascii="Times New Roman" w:hAnsi="Times New Roman"/>
          <w:color w:val="000000"/>
          <w:sz w:val="28"/>
          <w:szCs w:val="28"/>
        </w:rPr>
        <w:t>of money were paid to the first defendant, namely; R5 26</w:t>
      </w:r>
      <w:r w:rsidR="0038764F">
        <w:rPr>
          <w:rFonts w:ascii="Times New Roman" w:hAnsi="Times New Roman"/>
          <w:color w:val="000000"/>
          <w:sz w:val="28"/>
          <w:szCs w:val="28"/>
        </w:rPr>
        <w:t>3</w:t>
      </w:r>
      <w:r w:rsidR="0070249B">
        <w:rPr>
          <w:rFonts w:ascii="Times New Roman" w:hAnsi="Times New Roman"/>
          <w:color w:val="000000"/>
          <w:sz w:val="28"/>
          <w:szCs w:val="28"/>
        </w:rPr>
        <w:t> </w:t>
      </w:r>
      <w:r w:rsidR="00607698">
        <w:rPr>
          <w:rFonts w:ascii="Times New Roman" w:hAnsi="Times New Roman"/>
          <w:color w:val="000000"/>
          <w:sz w:val="28"/>
          <w:szCs w:val="28"/>
        </w:rPr>
        <w:t>179</w:t>
      </w:r>
      <w:r w:rsidR="0070249B">
        <w:rPr>
          <w:rFonts w:ascii="Times New Roman" w:hAnsi="Times New Roman"/>
          <w:color w:val="000000"/>
          <w:sz w:val="28"/>
          <w:szCs w:val="28"/>
        </w:rPr>
        <w:t>.</w:t>
      </w:r>
      <w:r w:rsidR="00607698">
        <w:rPr>
          <w:rFonts w:ascii="Times New Roman" w:hAnsi="Times New Roman"/>
          <w:color w:val="000000"/>
          <w:sz w:val="28"/>
          <w:szCs w:val="28"/>
        </w:rPr>
        <w:t xml:space="preserve">89; </w:t>
      </w:r>
      <w:r w:rsidR="00607698" w:rsidRPr="00B13E3E">
        <w:rPr>
          <w:rFonts w:ascii="Times New Roman" w:hAnsi="Times New Roman"/>
          <w:color w:val="000000"/>
          <w:sz w:val="28"/>
          <w:szCs w:val="28"/>
        </w:rPr>
        <w:t>R1 390</w:t>
      </w:r>
      <w:r w:rsidR="0070249B">
        <w:rPr>
          <w:rFonts w:ascii="Times New Roman" w:hAnsi="Times New Roman"/>
          <w:color w:val="000000"/>
          <w:sz w:val="28"/>
          <w:szCs w:val="28"/>
        </w:rPr>
        <w:t> </w:t>
      </w:r>
      <w:r w:rsidR="00607698" w:rsidRPr="00B13E3E">
        <w:rPr>
          <w:rFonts w:ascii="Times New Roman" w:hAnsi="Times New Roman"/>
          <w:color w:val="000000"/>
          <w:sz w:val="28"/>
          <w:szCs w:val="28"/>
        </w:rPr>
        <w:t>800</w:t>
      </w:r>
      <w:r w:rsidR="0070249B">
        <w:rPr>
          <w:rFonts w:ascii="Times New Roman" w:hAnsi="Times New Roman"/>
          <w:color w:val="000000"/>
          <w:sz w:val="28"/>
          <w:szCs w:val="28"/>
        </w:rPr>
        <w:t>.</w:t>
      </w:r>
      <w:r w:rsidR="00607698" w:rsidRPr="00B13E3E">
        <w:rPr>
          <w:rFonts w:ascii="Times New Roman" w:hAnsi="Times New Roman"/>
          <w:color w:val="000000"/>
          <w:sz w:val="28"/>
          <w:szCs w:val="28"/>
        </w:rPr>
        <w:t>00; and R984</w:t>
      </w:r>
      <w:r w:rsidR="0070249B">
        <w:rPr>
          <w:rFonts w:ascii="Times New Roman" w:hAnsi="Times New Roman"/>
          <w:color w:val="000000"/>
          <w:sz w:val="28"/>
          <w:szCs w:val="28"/>
        </w:rPr>
        <w:t> </w:t>
      </w:r>
      <w:r w:rsidR="00607698" w:rsidRPr="00B13E3E">
        <w:rPr>
          <w:rFonts w:ascii="Times New Roman" w:hAnsi="Times New Roman"/>
          <w:color w:val="000000"/>
          <w:sz w:val="28"/>
          <w:szCs w:val="28"/>
        </w:rPr>
        <w:t>197</w:t>
      </w:r>
      <w:r w:rsidR="0070249B">
        <w:rPr>
          <w:rFonts w:ascii="Times New Roman" w:hAnsi="Times New Roman"/>
          <w:color w:val="000000"/>
          <w:sz w:val="28"/>
          <w:szCs w:val="28"/>
        </w:rPr>
        <w:t>.</w:t>
      </w:r>
      <w:r w:rsidR="00607698" w:rsidRPr="00B13E3E">
        <w:rPr>
          <w:rFonts w:ascii="Times New Roman" w:hAnsi="Times New Roman"/>
          <w:color w:val="000000"/>
          <w:sz w:val="28"/>
          <w:szCs w:val="28"/>
        </w:rPr>
        <w:t>21</w:t>
      </w:r>
      <w:r w:rsidR="00607698">
        <w:rPr>
          <w:rFonts w:ascii="Times New Roman" w:hAnsi="Times New Roman"/>
          <w:color w:val="000000"/>
          <w:sz w:val="28"/>
          <w:szCs w:val="28"/>
        </w:rPr>
        <w:t>.</w:t>
      </w:r>
    </w:p>
    <w:p w:rsidR="00864845" w:rsidRPr="00B13E3E" w:rsidRDefault="00864845" w:rsidP="00864845">
      <w:pPr>
        <w:pStyle w:val="LegalList1"/>
        <w:numPr>
          <w:ilvl w:val="0"/>
          <w:numId w:val="2"/>
        </w:numPr>
        <w:tabs>
          <w:tab w:val="clear" w:pos="567"/>
        </w:tabs>
        <w:spacing w:line="360" w:lineRule="auto"/>
        <w:ind w:left="851" w:hanging="851"/>
        <w:rPr>
          <w:rFonts w:ascii="Times New Roman" w:hAnsi="Times New Roman"/>
          <w:sz w:val="28"/>
          <w:szCs w:val="28"/>
        </w:rPr>
      </w:pPr>
      <w:r w:rsidRPr="00B13E3E">
        <w:rPr>
          <w:rFonts w:ascii="Times New Roman" w:hAnsi="Times New Roman"/>
          <w:color w:val="000000"/>
          <w:sz w:val="28"/>
          <w:szCs w:val="28"/>
        </w:rPr>
        <w:t>The cause of action against the first defendant essentially is that the appointment of the first defendant occurred in breach</w:t>
      </w:r>
      <w:r w:rsidR="008C7AD5" w:rsidRPr="00B13E3E">
        <w:rPr>
          <w:rFonts w:ascii="Times New Roman" w:hAnsi="Times New Roman"/>
          <w:color w:val="000000"/>
          <w:sz w:val="28"/>
          <w:szCs w:val="28"/>
        </w:rPr>
        <w:t xml:space="preserve"> of the </w:t>
      </w:r>
      <w:r w:rsidR="00F63FA0">
        <w:rPr>
          <w:rFonts w:ascii="Times New Roman" w:hAnsi="Times New Roman"/>
          <w:color w:val="000000"/>
          <w:sz w:val="28"/>
          <w:szCs w:val="28"/>
        </w:rPr>
        <w:t xml:space="preserve">Constitution and the </w:t>
      </w:r>
      <w:r w:rsidR="008C7AD5" w:rsidRPr="00B13E3E">
        <w:rPr>
          <w:rFonts w:ascii="Times New Roman" w:hAnsi="Times New Roman"/>
          <w:color w:val="000000"/>
          <w:sz w:val="28"/>
          <w:szCs w:val="28"/>
        </w:rPr>
        <w:t>plaintiff’s Supply Chain</w:t>
      </w:r>
      <w:r w:rsidRPr="00B13E3E">
        <w:rPr>
          <w:rFonts w:ascii="Times New Roman" w:hAnsi="Times New Roman"/>
          <w:color w:val="000000"/>
          <w:sz w:val="28"/>
          <w:szCs w:val="28"/>
        </w:rPr>
        <w:t xml:space="preserve"> Management Policy (“the SCM policy” or “</w:t>
      </w:r>
      <w:r w:rsidR="00741C5D" w:rsidRPr="00B13E3E">
        <w:rPr>
          <w:rFonts w:ascii="Times New Roman" w:hAnsi="Times New Roman"/>
          <w:color w:val="000000"/>
          <w:sz w:val="28"/>
          <w:szCs w:val="28"/>
        </w:rPr>
        <w:t xml:space="preserve">the </w:t>
      </w:r>
      <w:r w:rsidRPr="00B13E3E">
        <w:rPr>
          <w:rFonts w:ascii="Times New Roman" w:hAnsi="Times New Roman"/>
          <w:color w:val="000000"/>
          <w:sz w:val="28"/>
          <w:szCs w:val="28"/>
        </w:rPr>
        <w:t>policy”) and is for paymen</w:t>
      </w:r>
      <w:r w:rsidR="00163283">
        <w:rPr>
          <w:rFonts w:ascii="Times New Roman" w:hAnsi="Times New Roman"/>
          <w:color w:val="000000"/>
          <w:sz w:val="28"/>
          <w:szCs w:val="28"/>
        </w:rPr>
        <w:t xml:space="preserve">t of the </w:t>
      </w:r>
      <w:r w:rsidR="00607698">
        <w:rPr>
          <w:rFonts w:ascii="Times New Roman" w:hAnsi="Times New Roman"/>
          <w:color w:val="000000"/>
          <w:sz w:val="28"/>
          <w:szCs w:val="28"/>
        </w:rPr>
        <w:t xml:space="preserve">abovementioned </w:t>
      </w:r>
      <w:r w:rsidR="00163283">
        <w:rPr>
          <w:rFonts w:ascii="Times New Roman" w:hAnsi="Times New Roman"/>
          <w:color w:val="000000"/>
          <w:sz w:val="28"/>
          <w:szCs w:val="28"/>
        </w:rPr>
        <w:t>amounts</w:t>
      </w:r>
      <w:r w:rsidR="00607698">
        <w:rPr>
          <w:rFonts w:ascii="Times New Roman" w:hAnsi="Times New Roman"/>
          <w:color w:val="000000"/>
          <w:sz w:val="28"/>
          <w:szCs w:val="28"/>
        </w:rPr>
        <w:t>.</w:t>
      </w:r>
    </w:p>
    <w:p w:rsidR="00864845" w:rsidRPr="00B13E3E" w:rsidRDefault="00864845" w:rsidP="00864845">
      <w:pPr>
        <w:pStyle w:val="LegalList1"/>
        <w:numPr>
          <w:ilvl w:val="0"/>
          <w:numId w:val="2"/>
        </w:numPr>
        <w:tabs>
          <w:tab w:val="clear" w:pos="567"/>
        </w:tabs>
        <w:spacing w:line="360" w:lineRule="auto"/>
        <w:ind w:left="851" w:hanging="851"/>
        <w:rPr>
          <w:rFonts w:ascii="Times New Roman" w:hAnsi="Times New Roman"/>
          <w:sz w:val="28"/>
          <w:szCs w:val="28"/>
        </w:rPr>
      </w:pPr>
      <w:r w:rsidRPr="00B13E3E">
        <w:rPr>
          <w:rFonts w:ascii="Times New Roman" w:hAnsi="Times New Roman"/>
          <w:color w:val="000000"/>
          <w:sz w:val="28"/>
          <w:szCs w:val="28"/>
        </w:rPr>
        <w:t xml:space="preserve">The cause of action against the second, third, fourth, fifth, sixth, seventh and eighth defendants arose from their conduct in their employment relationship with the plaintiff, and is </w:t>
      </w:r>
      <w:r w:rsidR="0046317E">
        <w:rPr>
          <w:rFonts w:ascii="Times New Roman" w:hAnsi="Times New Roman"/>
          <w:color w:val="000000"/>
          <w:sz w:val="28"/>
          <w:szCs w:val="28"/>
        </w:rPr>
        <w:t xml:space="preserve">posited on a wrongful and intentional, </w:t>
      </w:r>
      <w:r w:rsidR="00914D17" w:rsidRPr="00B13E3E">
        <w:rPr>
          <w:rFonts w:ascii="Times New Roman" w:hAnsi="Times New Roman"/>
          <w:color w:val="000000"/>
          <w:sz w:val="28"/>
          <w:szCs w:val="28"/>
        </w:rPr>
        <w:t xml:space="preserve">alternatively negligent </w:t>
      </w:r>
      <w:r w:rsidRPr="00B13E3E">
        <w:rPr>
          <w:rFonts w:ascii="Times New Roman" w:hAnsi="Times New Roman"/>
          <w:color w:val="000000"/>
          <w:sz w:val="28"/>
          <w:szCs w:val="28"/>
        </w:rPr>
        <w:t>breach of their obligations to discharge their duties diligently, transparently, with the utmost good faith, and without prejudice to the plaintiff.</w:t>
      </w:r>
    </w:p>
    <w:p w:rsidR="00864845" w:rsidRPr="00B13E3E" w:rsidRDefault="00864845" w:rsidP="00864845">
      <w:pPr>
        <w:pStyle w:val="LegalList1"/>
        <w:numPr>
          <w:ilvl w:val="0"/>
          <w:numId w:val="2"/>
        </w:numPr>
        <w:tabs>
          <w:tab w:val="clear" w:pos="567"/>
        </w:tabs>
        <w:spacing w:line="360" w:lineRule="auto"/>
        <w:ind w:left="851" w:hanging="851"/>
        <w:rPr>
          <w:rFonts w:ascii="Times New Roman" w:hAnsi="Times New Roman"/>
          <w:sz w:val="28"/>
          <w:szCs w:val="28"/>
        </w:rPr>
      </w:pPr>
      <w:r w:rsidRPr="00B13E3E">
        <w:rPr>
          <w:rFonts w:ascii="Times New Roman" w:hAnsi="Times New Roman"/>
          <w:color w:val="000000"/>
          <w:sz w:val="28"/>
          <w:szCs w:val="28"/>
        </w:rPr>
        <w:t>Arising therefrom:</w:t>
      </w:r>
    </w:p>
    <w:p w:rsidR="00864845" w:rsidRPr="00B13E3E" w:rsidRDefault="00864845" w:rsidP="00864845">
      <w:pPr>
        <w:pStyle w:val="LegalList1"/>
        <w:numPr>
          <w:ilvl w:val="0"/>
          <w:numId w:val="3"/>
        </w:numPr>
        <w:spacing w:line="360" w:lineRule="auto"/>
        <w:rPr>
          <w:rFonts w:ascii="Times New Roman" w:hAnsi="Times New Roman"/>
          <w:sz w:val="28"/>
          <w:szCs w:val="28"/>
        </w:rPr>
      </w:pPr>
      <w:r w:rsidRPr="00B13E3E">
        <w:rPr>
          <w:rFonts w:ascii="Times New Roman" w:hAnsi="Times New Roman"/>
          <w:color w:val="000000"/>
          <w:sz w:val="28"/>
          <w:szCs w:val="28"/>
        </w:rPr>
        <w:t>the claim against the second and fifth defendants, alternatively against the third defendant, is for the amounts of R 5 263 179.89; R1 390 800.00; and R984 197.21;</w:t>
      </w:r>
      <w:r w:rsidRPr="00B13E3E">
        <w:rPr>
          <w:rStyle w:val="FootnoteReference"/>
          <w:rFonts w:ascii="Times New Roman" w:hAnsi="Times New Roman"/>
          <w:color w:val="000000"/>
          <w:sz w:val="28"/>
          <w:szCs w:val="28"/>
        </w:rPr>
        <w:footnoteReference w:id="4"/>
      </w:r>
    </w:p>
    <w:p w:rsidR="00864845" w:rsidRPr="00B13E3E" w:rsidRDefault="00864845" w:rsidP="00864845">
      <w:pPr>
        <w:pStyle w:val="LegalList1"/>
        <w:numPr>
          <w:ilvl w:val="0"/>
          <w:numId w:val="3"/>
        </w:numPr>
        <w:spacing w:line="360" w:lineRule="auto"/>
        <w:rPr>
          <w:rFonts w:ascii="Times New Roman" w:hAnsi="Times New Roman"/>
          <w:sz w:val="28"/>
          <w:szCs w:val="28"/>
        </w:rPr>
      </w:pPr>
      <w:r w:rsidRPr="00B13E3E">
        <w:rPr>
          <w:rFonts w:ascii="Times New Roman" w:hAnsi="Times New Roman"/>
          <w:color w:val="000000"/>
          <w:sz w:val="28"/>
          <w:szCs w:val="28"/>
        </w:rPr>
        <w:t>the claim against the fourth defendant is for the amounts of R5 262 179.89 and R1 390 800.00; and the amount of R984 197.21 for which the fourth and eighth defendants</w:t>
      </w:r>
      <w:r w:rsidR="006466CC">
        <w:rPr>
          <w:rFonts w:ascii="Times New Roman" w:hAnsi="Times New Roman"/>
          <w:color w:val="000000"/>
          <w:sz w:val="28"/>
          <w:szCs w:val="28"/>
        </w:rPr>
        <w:t>, the plaintiff contends,</w:t>
      </w:r>
      <w:r w:rsidRPr="00B13E3E">
        <w:rPr>
          <w:rFonts w:ascii="Times New Roman" w:hAnsi="Times New Roman"/>
          <w:color w:val="000000"/>
          <w:sz w:val="28"/>
          <w:szCs w:val="28"/>
        </w:rPr>
        <w:t xml:space="preserve"> are jointly and severally liable;</w:t>
      </w:r>
      <w:r w:rsidRPr="00B13E3E">
        <w:rPr>
          <w:rStyle w:val="FootnoteReference"/>
          <w:rFonts w:ascii="Times New Roman" w:hAnsi="Times New Roman"/>
          <w:color w:val="000000"/>
          <w:sz w:val="28"/>
          <w:szCs w:val="28"/>
        </w:rPr>
        <w:footnoteReference w:id="5"/>
      </w:r>
    </w:p>
    <w:p w:rsidR="00864845" w:rsidRPr="00B13E3E" w:rsidRDefault="00864845" w:rsidP="00864845">
      <w:pPr>
        <w:pStyle w:val="LegalList1"/>
        <w:numPr>
          <w:ilvl w:val="0"/>
          <w:numId w:val="3"/>
        </w:numPr>
        <w:spacing w:line="360" w:lineRule="auto"/>
        <w:rPr>
          <w:rFonts w:ascii="Times New Roman" w:hAnsi="Times New Roman"/>
          <w:sz w:val="28"/>
          <w:szCs w:val="28"/>
        </w:rPr>
      </w:pPr>
      <w:r w:rsidRPr="00B13E3E">
        <w:rPr>
          <w:rFonts w:ascii="Times New Roman" w:hAnsi="Times New Roman"/>
          <w:color w:val="000000"/>
          <w:sz w:val="28"/>
          <w:szCs w:val="28"/>
        </w:rPr>
        <w:t xml:space="preserve">the claim against the sixth and seventh defendants is for the amount of R1 390 800.00 for which </w:t>
      </w:r>
      <w:r w:rsidR="006466CC">
        <w:rPr>
          <w:rFonts w:ascii="Times New Roman" w:hAnsi="Times New Roman"/>
          <w:color w:val="000000"/>
          <w:sz w:val="28"/>
          <w:szCs w:val="28"/>
        </w:rPr>
        <w:t xml:space="preserve">it is contended </w:t>
      </w:r>
      <w:r w:rsidRPr="00B13E3E">
        <w:rPr>
          <w:rFonts w:ascii="Times New Roman" w:hAnsi="Times New Roman"/>
          <w:color w:val="000000"/>
          <w:sz w:val="28"/>
          <w:szCs w:val="28"/>
        </w:rPr>
        <w:t>they are jointly and severally liable.</w:t>
      </w:r>
    </w:p>
    <w:p w:rsidR="00864845" w:rsidRPr="00B13E3E" w:rsidRDefault="00864845" w:rsidP="00BB7A6B">
      <w:pPr>
        <w:pStyle w:val="LegalList1"/>
        <w:numPr>
          <w:ilvl w:val="0"/>
          <w:numId w:val="2"/>
        </w:numPr>
        <w:tabs>
          <w:tab w:val="clear" w:pos="567"/>
        </w:tabs>
        <w:spacing w:line="360" w:lineRule="auto"/>
        <w:ind w:left="851" w:hanging="851"/>
        <w:rPr>
          <w:rFonts w:ascii="Times New Roman" w:hAnsi="Times New Roman"/>
          <w:sz w:val="28"/>
          <w:szCs w:val="28"/>
        </w:rPr>
      </w:pPr>
      <w:r w:rsidRPr="00B13E3E">
        <w:rPr>
          <w:rFonts w:ascii="Times New Roman" w:hAnsi="Times New Roman"/>
          <w:color w:val="000000"/>
          <w:sz w:val="28"/>
          <w:szCs w:val="28"/>
        </w:rPr>
        <w:t>It is alleged that the payments to the first defendant pursuant to its appointment were effected in breach of the provisions of the Local Government: Municipal Finance Management Act</w:t>
      </w:r>
      <w:r w:rsidRPr="00B13E3E">
        <w:rPr>
          <w:rStyle w:val="FootnoteReference"/>
          <w:rFonts w:ascii="Times New Roman" w:hAnsi="Times New Roman"/>
          <w:color w:val="000000"/>
          <w:sz w:val="28"/>
          <w:szCs w:val="28"/>
        </w:rPr>
        <w:footnoteReference w:id="6"/>
      </w:r>
      <w:r w:rsidRPr="00B13E3E">
        <w:rPr>
          <w:rFonts w:ascii="Times New Roman" w:hAnsi="Times New Roman"/>
          <w:color w:val="000000"/>
          <w:sz w:val="28"/>
          <w:szCs w:val="28"/>
        </w:rPr>
        <w:t xml:space="preserve"> (“the MFMA”), such conduct causing irregular expenditure to be incurred by the plaintiff and falls to be recovered </w:t>
      </w:r>
      <w:r w:rsidR="00350E10">
        <w:rPr>
          <w:rFonts w:ascii="Times New Roman" w:hAnsi="Times New Roman"/>
          <w:color w:val="000000"/>
          <w:sz w:val="28"/>
          <w:szCs w:val="28"/>
        </w:rPr>
        <w:t xml:space="preserve">from the second, third, </w:t>
      </w:r>
      <w:r w:rsidR="007C5D68">
        <w:rPr>
          <w:rFonts w:ascii="Times New Roman" w:hAnsi="Times New Roman"/>
          <w:color w:val="000000"/>
          <w:sz w:val="28"/>
          <w:szCs w:val="28"/>
        </w:rPr>
        <w:t xml:space="preserve">and </w:t>
      </w:r>
      <w:r w:rsidR="00350E10">
        <w:rPr>
          <w:rFonts w:ascii="Times New Roman" w:hAnsi="Times New Roman"/>
          <w:color w:val="000000"/>
          <w:sz w:val="28"/>
          <w:szCs w:val="28"/>
        </w:rPr>
        <w:t>fifth</w:t>
      </w:r>
      <w:r w:rsidR="007C5D68">
        <w:rPr>
          <w:rFonts w:ascii="Times New Roman" w:hAnsi="Times New Roman"/>
          <w:color w:val="000000"/>
          <w:sz w:val="28"/>
          <w:szCs w:val="28"/>
        </w:rPr>
        <w:t xml:space="preserve"> </w:t>
      </w:r>
      <w:r w:rsidR="00350E10">
        <w:rPr>
          <w:rFonts w:ascii="Times New Roman" w:hAnsi="Times New Roman"/>
          <w:color w:val="000000"/>
          <w:sz w:val="28"/>
          <w:szCs w:val="28"/>
        </w:rPr>
        <w:t xml:space="preserve">defendants </w:t>
      </w:r>
      <w:r w:rsidRPr="00B13E3E">
        <w:rPr>
          <w:rFonts w:ascii="Times New Roman" w:hAnsi="Times New Roman"/>
          <w:color w:val="000000"/>
          <w:sz w:val="28"/>
          <w:szCs w:val="28"/>
        </w:rPr>
        <w:t>under the peremptory provisions of section 32(2) of the MFMA.</w:t>
      </w:r>
    </w:p>
    <w:p w:rsidR="00F015A3" w:rsidRPr="00B13E3E" w:rsidRDefault="00514B8F" w:rsidP="00BB7A6B">
      <w:pPr>
        <w:pStyle w:val="LegalList1"/>
        <w:numPr>
          <w:ilvl w:val="0"/>
          <w:numId w:val="2"/>
        </w:numPr>
        <w:tabs>
          <w:tab w:val="clear" w:pos="567"/>
        </w:tabs>
        <w:spacing w:line="360" w:lineRule="auto"/>
        <w:ind w:left="851" w:hanging="851"/>
        <w:rPr>
          <w:rFonts w:ascii="Times New Roman" w:hAnsi="Times New Roman"/>
          <w:sz w:val="28"/>
          <w:szCs w:val="28"/>
        </w:rPr>
      </w:pPr>
      <w:r w:rsidRPr="00B13E3E">
        <w:rPr>
          <w:rFonts w:ascii="Times New Roman" w:hAnsi="Times New Roman"/>
          <w:sz w:val="28"/>
          <w:szCs w:val="28"/>
        </w:rPr>
        <w:t>The plaintiff accordingly seeks orders: (i) declaring certain decisions of the second and third defendants to be unlawful and invalid</w:t>
      </w:r>
      <w:r w:rsidR="00186140" w:rsidRPr="00B13E3E">
        <w:rPr>
          <w:rFonts w:ascii="Times New Roman" w:hAnsi="Times New Roman"/>
          <w:sz w:val="28"/>
          <w:szCs w:val="28"/>
        </w:rPr>
        <w:t xml:space="preserve">; (ii) declaring the appointment of the first defendant to be unlawful and void </w:t>
      </w:r>
      <w:r w:rsidR="00186140" w:rsidRPr="00B13E3E">
        <w:rPr>
          <w:rFonts w:ascii="Times New Roman" w:hAnsi="Times New Roman"/>
          <w:i/>
          <w:sz w:val="28"/>
          <w:szCs w:val="28"/>
        </w:rPr>
        <w:t>ab initio</w:t>
      </w:r>
      <w:r w:rsidR="00186140" w:rsidRPr="00B13E3E">
        <w:rPr>
          <w:rFonts w:ascii="Times New Roman" w:hAnsi="Times New Roman"/>
          <w:sz w:val="28"/>
          <w:szCs w:val="28"/>
        </w:rPr>
        <w:t xml:space="preserve">; </w:t>
      </w:r>
      <w:r w:rsidR="006C6CC4" w:rsidRPr="00B13E3E">
        <w:rPr>
          <w:rFonts w:ascii="Times New Roman" w:hAnsi="Times New Roman"/>
          <w:sz w:val="28"/>
          <w:szCs w:val="28"/>
        </w:rPr>
        <w:t>and (iii) reclaiming the aforementioned amounts from the first defendant and</w:t>
      </w:r>
      <w:r w:rsidR="00916022" w:rsidRPr="00B13E3E">
        <w:rPr>
          <w:rFonts w:ascii="Times New Roman" w:hAnsi="Times New Roman"/>
          <w:sz w:val="28"/>
          <w:szCs w:val="28"/>
        </w:rPr>
        <w:t xml:space="preserve"> / or</w:t>
      </w:r>
      <w:r w:rsidR="006C6CC4" w:rsidRPr="00B13E3E">
        <w:rPr>
          <w:rFonts w:ascii="Times New Roman" w:hAnsi="Times New Roman"/>
          <w:sz w:val="28"/>
          <w:szCs w:val="28"/>
        </w:rPr>
        <w:t xml:space="preserve"> the remaining defendants.</w:t>
      </w:r>
      <w:r w:rsidR="0098178C" w:rsidRPr="00B13E3E">
        <w:rPr>
          <w:rFonts w:ascii="Times New Roman" w:hAnsi="Times New Roman"/>
          <w:sz w:val="28"/>
          <w:szCs w:val="28"/>
        </w:rPr>
        <w:t xml:space="preserve"> </w:t>
      </w:r>
    </w:p>
    <w:p w:rsidR="003763FD" w:rsidRDefault="00210C21" w:rsidP="00210C21">
      <w:pPr>
        <w:pStyle w:val="LegalList1"/>
        <w:numPr>
          <w:ilvl w:val="0"/>
          <w:numId w:val="2"/>
        </w:numPr>
        <w:tabs>
          <w:tab w:val="clear" w:pos="567"/>
        </w:tabs>
        <w:spacing w:line="360" w:lineRule="auto"/>
        <w:ind w:left="851" w:hanging="851"/>
        <w:rPr>
          <w:rFonts w:ascii="Times New Roman" w:hAnsi="Times New Roman"/>
          <w:sz w:val="28"/>
          <w:szCs w:val="28"/>
        </w:rPr>
      </w:pPr>
      <w:r w:rsidRPr="00B13E3E">
        <w:rPr>
          <w:rFonts w:ascii="Times New Roman" w:hAnsi="Times New Roman"/>
          <w:sz w:val="28"/>
          <w:szCs w:val="28"/>
        </w:rPr>
        <w:t xml:space="preserve">Each of the defendants filed special pleas and pleaded over on the merits of the plaintiff’s claims. The first defendant raised two special pleas. The first was to the effect that the proceedings instituted by the plaintiff constituted an abuse of </w:t>
      </w:r>
      <w:r w:rsidR="004509FF">
        <w:rPr>
          <w:rFonts w:ascii="Times New Roman" w:hAnsi="Times New Roman"/>
          <w:sz w:val="28"/>
          <w:szCs w:val="28"/>
        </w:rPr>
        <w:t xml:space="preserve">process </w:t>
      </w:r>
      <w:r w:rsidR="003763FD">
        <w:rPr>
          <w:rFonts w:ascii="Times New Roman" w:hAnsi="Times New Roman"/>
          <w:sz w:val="28"/>
          <w:szCs w:val="28"/>
        </w:rPr>
        <w:t>–</w:t>
      </w:r>
      <w:r w:rsidRPr="00B13E3E">
        <w:rPr>
          <w:rFonts w:ascii="Times New Roman" w:hAnsi="Times New Roman"/>
          <w:sz w:val="28"/>
          <w:szCs w:val="28"/>
        </w:rPr>
        <w:t xml:space="preserve"> </w:t>
      </w:r>
      <w:r w:rsidR="003763FD">
        <w:rPr>
          <w:rFonts w:ascii="Times New Roman" w:hAnsi="Times New Roman"/>
          <w:sz w:val="28"/>
          <w:szCs w:val="28"/>
        </w:rPr>
        <w:t xml:space="preserve">the plaintiff </w:t>
      </w:r>
      <w:r w:rsidRPr="00B13E3E">
        <w:rPr>
          <w:rFonts w:ascii="Times New Roman" w:hAnsi="Times New Roman"/>
          <w:sz w:val="28"/>
          <w:szCs w:val="28"/>
        </w:rPr>
        <w:t xml:space="preserve">was obliged to institute proceedings under rule 53 (and to file a record) since </w:t>
      </w:r>
      <w:r w:rsidR="00B0068A" w:rsidRPr="00B13E3E">
        <w:rPr>
          <w:rFonts w:ascii="Times New Roman" w:hAnsi="Times New Roman"/>
          <w:sz w:val="28"/>
          <w:szCs w:val="28"/>
        </w:rPr>
        <w:t xml:space="preserve">the plaintiff </w:t>
      </w:r>
      <w:r w:rsidRPr="00B13E3E">
        <w:rPr>
          <w:rFonts w:ascii="Times New Roman" w:hAnsi="Times New Roman"/>
          <w:sz w:val="28"/>
          <w:szCs w:val="28"/>
        </w:rPr>
        <w:t>sought a legality review of its own decisions. The second special plea raised the issue of delay, it being contended that a review must be brought within a reasonable time and absent condonation the court is precluded from entertaining the action.</w:t>
      </w:r>
    </w:p>
    <w:p w:rsidR="00210C21" w:rsidRPr="00B13E3E" w:rsidRDefault="00210C21" w:rsidP="00210C21">
      <w:pPr>
        <w:pStyle w:val="LegalList1"/>
        <w:numPr>
          <w:ilvl w:val="0"/>
          <w:numId w:val="2"/>
        </w:numPr>
        <w:tabs>
          <w:tab w:val="clear" w:pos="567"/>
        </w:tabs>
        <w:spacing w:line="360" w:lineRule="auto"/>
        <w:ind w:left="851" w:hanging="851"/>
        <w:rPr>
          <w:rFonts w:ascii="Times New Roman" w:hAnsi="Times New Roman"/>
          <w:sz w:val="28"/>
          <w:szCs w:val="28"/>
        </w:rPr>
      </w:pPr>
      <w:r w:rsidRPr="00B13E3E">
        <w:rPr>
          <w:rFonts w:ascii="Times New Roman" w:hAnsi="Times New Roman"/>
          <w:sz w:val="28"/>
          <w:szCs w:val="28"/>
        </w:rPr>
        <w:t xml:space="preserve">The special pleas of the second defendant were identical. </w:t>
      </w:r>
      <w:r w:rsidR="00DD5900" w:rsidRPr="00B13E3E">
        <w:rPr>
          <w:rFonts w:ascii="Times New Roman" w:hAnsi="Times New Roman"/>
          <w:sz w:val="28"/>
          <w:szCs w:val="28"/>
        </w:rPr>
        <w:t xml:space="preserve">In addition, he pleaded </w:t>
      </w:r>
      <w:r w:rsidRPr="00B13E3E">
        <w:rPr>
          <w:rFonts w:ascii="Times New Roman" w:hAnsi="Times New Roman"/>
          <w:sz w:val="28"/>
          <w:szCs w:val="28"/>
        </w:rPr>
        <w:t>that insofar as the plaintiff relied on section 32(1)(c) of the MFMA for recovering irregular expenditure, it is obliged to prove that its claims are not precluded by the exception contained in section 32(2)(b) thereof. The third, fourth, fifth, sixth, seventh and eighth defendants have taken the same point in their special pleas. In a judgment handed down on 6 November 2018,</w:t>
      </w:r>
      <w:r w:rsidR="007C4940" w:rsidRPr="00B13E3E">
        <w:rPr>
          <w:rFonts w:ascii="Times New Roman" w:hAnsi="Times New Roman"/>
          <w:sz w:val="28"/>
          <w:szCs w:val="28"/>
        </w:rPr>
        <w:t xml:space="preserve"> reported as </w:t>
      </w:r>
      <w:r w:rsidR="007C4940" w:rsidRPr="006A0749">
        <w:rPr>
          <w:rFonts w:ascii="Times New Roman" w:hAnsi="Times New Roman"/>
          <w:i/>
          <w:sz w:val="28"/>
          <w:szCs w:val="28"/>
        </w:rPr>
        <w:t>Nelson Mandela Bay Metropolitan Municipality v Erastyle and Others</w:t>
      </w:r>
      <w:r w:rsidR="007C4940" w:rsidRPr="00B13E3E">
        <w:rPr>
          <w:rFonts w:ascii="Times New Roman" w:hAnsi="Times New Roman"/>
          <w:sz w:val="28"/>
          <w:szCs w:val="28"/>
        </w:rPr>
        <w:t xml:space="preserve"> 2019 (3) SA 559 (ECP),</w:t>
      </w:r>
      <w:r w:rsidRPr="00B13E3E">
        <w:rPr>
          <w:rFonts w:ascii="Times New Roman" w:hAnsi="Times New Roman"/>
          <w:sz w:val="28"/>
          <w:szCs w:val="28"/>
        </w:rPr>
        <w:t xml:space="preserve"> Goosen J dismissed the special pleas on these issues.</w:t>
      </w:r>
      <w:r w:rsidRPr="00B13E3E">
        <w:rPr>
          <w:rStyle w:val="FootnoteReference"/>
          <w:rFonts w:ascii="Times New Roman" w:hAnsi="Times New Roman"/>
          <w:sz w:val="28"/>
          <w:szCs w:val="28"/>
        </w:rPr>
        <w:footnoteReference w:id="7"/>
      </w:r>
      <w:r w:rsidRPr="00B13E3E">
        <w:rPr>
          <w:rFonts w:ascii="Times New Roman" w:hAnsi="Times New Roman"/>
          <w:sz w:val="28"/>
          <w:szCs w:val="28"/>
        </w:rPr>
        <w:t xml:space="preserve"> The issue of delay (which the learned judge referred to as “the delay special plea”) was, by agreement between the parties, reserved for determination by the trial court.</w:t>
      </w:r>
    </w:p>
    <w:p w:rsidR="009A46BD" w:rsidRDefault="00407038" w:rsidP="00AD7016">
      <w:pPr>
        <w:pStyle w:val="LegalList1"/>
        <w:numPr>
          <w:ilvl w:val="0"/>
          <w:numId w:val="2"/>
        </w:numPr>
        <w:tabs>
          <w:tab w:val="clear" w:pos="567"/>
        </w:tabs>
        <w:spacing w:line="360" w:lineRule="auto"/>
        <w:ind w:left="851" w:hanging="851"/>
        <w:rPr>
          <w:rFonts w:ascii="Times New Roman" w:hAnsi="Times New Roman"/>
          <w:sz w:val="28"/>
          <w:szCs w:val="28"/>
        </w:rPr>
      </w:pPr>
      <w:r w:rsidRPr="00B13E3E">
        <w:rPr>
          <w:rFonts w:ascii="Times New Roman" w:hAnsi="Times New Roman"/>
          <w:sz w:val="28"/>
          <w:szCs w:val="28"/>
        </w:rPr>
        <w:t>Accordingly</w:t>
      </w:r>
      <w:r w:rsidR="00C657FF" w:rsidRPr="00B13E3E">
        <w:rPr>
          <w:rFonts w:ascii="Times New Roman" w:hAnsi="Times New Roman"/>
          <w:sz w:val="28"/>
          <w:szCs w:val="28"/>
        </w:rPr>
        <w:t>, in addition to the orders sought by the plaintiff,</w:t>
      </w:r>
      <w:r w:rsidRPr="00B13E3E">
        <w:rPr>
          <w:rFonts w:ascii="Times New Roman" w:hAnsi="Times New Roman"/>
          <w:sz w:val="28"/>
          <w:szCs w:val="28"/>
        </w:rPr>
        <w:t xml:space="preserve"> what remained for determination </w:t>
      </w:r>
      <w:r w:rsidR="00C657FF" w:rsidRPr="00B13E3E">
        <w:rPr>
          <w:rFonts w:ascii="Times New Roman" w:hAnsi="Times New Roman"/>
          <w:sz w:val="28"/>
          <w:szCs w:val="28"/>
        </w:rPr>
        <w:t xml:space="preserve">at the trial </w:t>
      </w:r>
      <w:r w:rsidRPr="00B13E3E">
        <w:rPr>
          <w:rFonts w:ascii="Times New Roman" w:hAnsi="Times New Roman"/>
          <w:sz w:val="28"/>
          <w:szCs w:val="28"/>
        </w:rPr>
        <w:t>was</w:t>
      </w:r>
      <w:r w:rsidR="00C657FF" w:rsidRPr="00B13E3E">
        <w:rPr>
          <w:rFonts w:ascii="Times New Roman" w:hAnsi="Times New Roman"/>
          <w:sz w:val="28"/>
          <w:szCs w:val="28"/>
        </w:rPr>
        <w:t xml:space="preserve"> the first defendant’s delay special plea</w:t>
      </w:r>
      <w:r w:rsidR="006903B4" w:rsidRPr="00B13E3E">
        <w:rPr>
          <w:rFonts w:ascii="Times New Roman" w:hAnsi="Times New Roman"/>
          <w:sz w:val="28"/>
          <w:szCs w:val="28"/>
        </w:rPr>
        <w:t xml:space="preserve"> and the </w:t>
      </w:r>
      <w:r w:rsidR="00F169D3" w:rsidRPr="00B13E3E">
        <w:rPr>
          <w:rFonts w:ascii="Times New Roman" w:hAnsi="Times New Roman"/>
          <w:sz w:val="28"/>
          <w:szCs w:val="28"/>
        </w:rPr>
        <w:t>self-same</w:t>
      </w:r>
      <w:r w:rsidR="006903B4" w:rsidRPr="00B13E3E">
        <w:rPr>
          <w:rFonts w:ascii="Times New Roman" w:hAnsi="Times New Roman"/>
          <w:sz w:val="28"/>
          <w:szCs w:val="28"/>
        </w:rPr>
        <w:t xml:space="preserve"> issue raised by the second defendant</w:t>
      </w:r>
      <w:r w:rsidR="009A46BD">
        <w:rPr>
          <w:rFonts w:ascii="Times New Roman" w:hAnsi="Times New Roman"/>
          <w:sz w:val="28"/>
          <w:szCs w:val="28"/>
        </w:rPr>
        <w:t xml:space="preserve"> -</w:t>
      </w:r>
      <w:r w:rsidR="006903B4" w:rsidRPr="00B13E3E">
        <w:rPr>
          <w:rFonts w:ascii="Times New Roman" w:hAnsi="Times New Roman"/>
          <w:sz w:val="28"/>
          <w:szCs w:val="28"/>
        </w:rPr>
        <w:t xml:space="preserve"> </w:t>
      </w:r>
      <w:r w:rsidR="00F154F2" w:rsidRPr="00B13E3E">
        <w:rPr>
          <w:rFonts w:ascii="Times New Roman" w:hAnsi="Times New Roman"/>
          <w:sz w:val="28"/>
          <w:szCs w:val="28"/>
        </w:rPr>
        <w:t>a</w:t>
      </w:r>
      <w:r w:rsidR="006A0749">
        <w:rPr>
          <w:rFonts w:ascii="Times New Roman" w:hAnsi="Times New Roman"/>
          <w:sz w:val="28"/>
          <w:szCs w:val="28"/>
        </w:rPr>
        <w:t xml:space="preserve">s also </w:t>
      </w:r>
      <w:r w:rsidR="006903B4" w:rsidRPr="00B13E3E">
        <w:rPr>
          <w:rFonts w:ascii="Times New Roman" w:hAnsi="Times New Roman"/>
          <w:sz w:val="28"/>
          <w:szCs w:val="28"/>
        </w:rPr>
        <w:t>the fifth and eighth defendants</w:t>
      </w:r>
      <w:r w:rsidR="004C0ED7" w:rsidRPr="00B13E3E">
        <w:rPr>
          <w:rFonts w:ascii="Times New Roman" w:hAnsi="Times New Roman"/>
          <w:sz w:val="28"/>
          <w:szCs w:val="28"/>
        </w:rPr>
        <w:t>,</w:t>
      </w:r>
      <w:r w:rsidR="006903B4" w:rsidRPr="00B13E3E">
        <w:rPr>
          <w:rFonts w:ascii="Times New Roman" w:hAnsi="Times New Roman"/>
          <w:sz w:val="28"/>
          <w:szCs w:val="28"/>
        </w:rPr>
        <w:t xml:space="preserve"> in their special pleas.</w:t>
      </w:r>
      <w:r w:rsidR="006903B4" w:rsidRPr="00B13E3E">
        <w:rPr>
          <w:rStyle w:val="FootnoteReference"/>
          <w:rFonts w:ascii="Times New Roman" w:hAnsi="Times New Roman"/>
          <w:sz w:val="28"/>
          <w:szCs w:val="28"/>
        </w:rPr>
        <w:footnoteReference w:id="8"/>
      </w:r>
    </w:p>
    <w:p w:rsidR="002C755E" w:rsidRPr="00591B54" w:rsidRDefault="002C755E" w:rsidP="00591B54">
      <w:pPr>
        <w:pStyle w:val="LegalList1"/>
        <w:spacing w:line="360" w:lineRule="auto"/>
        <w:ind w:left="131" w:firstLine="720"/>
        <w:rPr>
          <w:rFonts w:ascii="Times New Roman" w:hAnsi="Times New Roman"/>
          <w:sz w:val="28"/>
          <w:szCs w:val="28"/>
        </w:rPr>
      </w:pPr>
      <w:r w:rsidRPr="00591B54">
        <w:rPr>
          <w:rFonts w:ascii="Times New Roman" w:hAnsi="Times New Roman"/>
          <w:color w:val="000000"/>
          <w:sz w:val="28"/>
          <w:szCs w:val="28"/>
        </w:rPr>
        <w:t xml:space="preserve">THE CONDUCT OF THE TRIAL </w:t>
      </w:r>
    </w:p>
    <w:p w:rsidR="002C755E" w:rsidRPr="00AA1E03" w:rsidRDefault="002C755E" w:rsidP="002C755E">
      <w:pPr>
        <w:pStyle w:val="LegalList1"/>
        <w:numPr>
          <w:ilvl w:val="0"/>
          <w:numId w:val="2"/>
        </w:numPr>
        <w:tabs>
          <w:tab w:val="clear" w:pos="567"/>
        </w:tabs>
        <w:spacing w:line="360" w:lineRule="auto"/>
        <w:ind w:left="851" w:hanging="851"/>
        <w:rPr>
          <w:rFonts w:ascii="Times New Roman" w:hAnsi="Times New Roman"/>
          <w:sz w:val="28"/>
          <w:szCs w:val="28"/>
        </w:rPr>
      </w:pPr>
      <w:r w:rsidRPr="00AA1E03">
        <w:rPr>
          <w:rFonts w:ascii="Times New Roman" w:hAnsi="Times New Roman"/>
          <w:color w:val="000000"/>
          <w:sz w:val="28"/>
          <w:szCs w:val="28"/>
        </w:rPr>
        <w:t>Consequent to the striking out of the first defendant’s defence on 29 September 2020 the plaintiff pursues its claim against the first defendant by default. At the commencement of the trial I was informed from the bar that the third defendant is deceased and that the plaintiff sought a separation of its claim against the third defendant in anticipation of the claim being pursued against her deceased estate.</w:t>
      </w:r>
    </w:p>
    <w:p w:rsidR="002C755E" w:rsidRPr="00AA1E03" w:rsidRDefault="002C755E" w:rsidP="002C755E">
      <w:pPr>
        <w:pStyle w:val="LegalList1"/>
        <w:numPr>
          <w:ilvl w:val="0"/>
          <w:numId w:val="2"/>
        </w:numPr>
        <w:tabs>
          <w:tab w:val="clear" w:pos="567"/>
        </w:tabs>
        <w:spacing w:line="360" w:lineRule="auto"/>
        <w:ind w:left="851" w:hanging="851"/>
        <w:rPr>
          <w:rFonts w:ascii="Times New Roman" w:hAnsi="Times New Roman"/>
          <w:sz w:val="28"/>
          <w:szCs w:val="28"/>
        </w:rPr>
      </w:pPr>
      <w:r w:rsidRPr="00AA1E03">
        <w:rPr>
          <w:rFonts w:ascii="Times New Roman" w:hAnsi="Times New Roman"/>
          <w:color w:val="000000"/>
          <w:sz w:val="28"/>
          <w:szCs w:val="28"/>
        </w:rPr>
        <w:t xml:space="preserve">Except for mentioning that no executor has been appointed for the estate, no proof was placed before court, by way of a death certificate or an affidavit from a member of the third defendant’s family or perhaps an affidavit from the plaintiff’s attorney whom counsel mentioned has been in contact with a close relative of the third defendant. </w:t>
      </w:r>
      <w:r w:rsidR="00801D0C">
        <w:rPr>
          <w:rFonts w:ascii="Times New Roman" w:hAnsi="Times New Roman"/>
          <w:color w:val="000000"/>
          <w:sz w:val="28"/>
          <w:szCs w:val="28"/>
        </w:rPr>
        <w:t>Nor was any internal record or document of the plaintiff</w:t>
      </w:r>
      <w:r w:rsidR="00835BD5">
        <w:rPr>
          <w:rFonts w:ascii="Times New Roman" w:hAnsi="Times New Roman"/>
          <w:color w:val="000000"/>
          <w:sz w:val="28"/>
          <w:szCs w:val="28"/>
        </w:rPr>
        <w:t>,</w:t>
      </w:r>
      <w:r w:rsidR="00801D0C">
        <w:rPr>
          <w:rFonts w:ascii="Times New Roman" w:hAnsi="Times New Roman"/>
          <w:color w:val="000000"/>
          <w:sz w:val="28"/>
          <w:szCs w:val="28"/>
        </w:rPr>
        <w:t xml:space="preserve"> offering indication of being notified of the third defendant’s death</w:t>
      </w:r>
      <w:r w:rsidR="00835BD5">
        <w:rPr>
          <w:rFonts w:ascii="Times New Roman" w:hAnsi="Times New Roman"/>
          <w:color w:val="000000"/>
          <w:sz w:val="28"/>
          <w:szCs w:val="28"/>
        </w:rPr>
        <w:t>,</w:t>
      </w:r>
      <w:r w:rsidR="00801D0C">
        <w:rPr>
          <w:rFonts w:ascii="Times New Roman" w:hAnsi="Times New Roman"/>
          <w:color w:val="000000"/>
          <w:sz w:val="28"/>
          <w:szCs w:val="28"/>
        </w:rPr>
        <w:t xml:space="preserve"> tendered. </w:t>
      </w:r>
      <w:r w:rsidRPr="00AA1E03">
        <w:rPr>
          <w:rFonts w:ascii="Times New Roman" w:hAnsi="Times New Roman"/>
          <w:color w:val="000000"/>
          <w:sz w:val="28"/>
          <w:szCs w:val="28"/>
        </w:rPr>
        <w:t xml:space="preserve">In the circumstances </w:t>
      </w:r>
      <w:r w:rsidR="006466CC">
        <w:rPr>
          <w:rFonts w:ascii="Times New Roman" w:hAnsi="Times New Roman"/>
          <w:color w:val="000000"/>
          <w:sz w:val="28"/>
          <w:szCs w:val="28"/>
        </w:rPr>
        <w:t xml:space="preserve">in the absence of either </w:t>
      </w:r>
      <w:r w:rsidRPr="00AA1E03">
        <w:rPr>
          <w:rFonts w:ascii="Times New Roman" w:hAnsi="Times New Roman"/>
          <w:color w:val="000000"/>
          <w:sz w:val="28"/>
          <w:szCs w:val="28"/>
        </w:rPr>
        <w:t>documentary or factual proof of the death of the third defendant the logical course to adopt is that the separation order sought be refused and that the third defendant be deemed to be in default of appearance.</w:t>
      </w:r>
    </w:p>
    <w:p w:rsidR="002C755E" w:rsidRPr="00AA1E03" w:rsidRDefault="002C755E" w:rsidP="002C755E">
      <w:pPr>
        <w:pStyle w:val="LegalList1"/>
        <w:numPr>
          <w:ilvl w:val="0"/>
          <w:numId w:val="2"/>
        </w:numPr>
        <w:tabs>
          <w:tab w:val="clear" w:pos="567"/>
        </w:tabs>
        <w:spacing w:line="360" w:lineRule="auto"/>
        <w:ind w:left="851" w:hanging="851"/>
        <w:rPr>
          <w:rFonts w:ascii="Times New Roman" w:hAnsi="Times New Roman"/>
          <w:sz w:val="28"/>
          <w:szCs w:val="28"/>
        </w:rPr>
      </w:pPr>
      <w:r w:rsidRPr="00AA1E03">
        <w:rPr>
          <w:rFonts w:ascii="Times New Roman" w:hAnsi="Times New Roman"/>
          <w:color w:val="000000"/>
          <w:sz w:val="28"/>
          <w:szCs w:val="28"/>
        </w:rPr>
        <w:t>The default status also applies to the seventh defendant. Although having defended the claim/s against him and having delivered a plea, he made no appearance at the trial notwithstanding service of the notice of set down by registered mail and by email.</w:t>
      </w:r>
      <w:r w:rsidRPr="00AA1E03">
        <w:rPr>
          <w:rStyle w:val="FootnoteReference"/>
          <w:rFonts w:ascii="Times New Roman" w:hAnsi="Times New Roman"/>
          <w:color w:val="000000"/>
          <w:sz w:val="28"/>
          <w:szCs w:val="28"/>
        </w:rPr>
        <w:footnoteReference w:id="9"/>
      </w:r>
      <w:r w:rsidRPr="00AA1E03">
        <w:rPr>
          <w:rFonts w:ascii="Times New Roman" w:hAnsi="Times New Roman"/>
          <w:color w:val="000000"/>
          <w:sz w:val="28"/>
          <w:szCs w:val="28"/>
        </w:rPr>
        <w:t xml:space="preserve"> The fourth defendant appeared in person while the remaining defendants (i.e. the second, fifth, sixth and eighth defendants) were represented by counsel.</w:t>
      </w:r>
    </w:p>
    <w:p w:rsidR="002C755E" w:rsidRPr="00AA1E03" w:rsidRDefault="002C755E" w:rsidP="002C755E">
      <w:pPr>
        <w:pStyle w:val="LegalList1"/>
        <w:numPr>
          <w:ilvl w:val="0"/>
          <w:numId w:val="2"/>
        </w:numPr>
        <w:tabs>
          <w:tab w:val="clear" w:pos="567"/>
        </w:tabs>
        <w:spacing w:line="360" w:lineRule="auto"/>
        <w:ind w:left="851" w:hanging="851"/>
        <w:rPr>
          <w:rFonts w:ascii="Times New Roman" w:hAnsi="Times New Roman"/>
          <w:sz w:val="28"/>
          <w:szCs w:val="28"/>
        </w:rPr>
      </w:pPr>
      <w:r w:rsidRPr="00AA1E03">
        <w:rPr>
          <w:rFonts w:ascii="Times New Roman" w:hAnsi="Times New Roman"/>
          <w:color w:val="000000"/>
          <w:sz w:val="28"/>
          <w:szCs w:val="28"/>
        </w:rPr>
        <w:t>At the commencement of the trial the plaintiff placed before court an indexed and paginated bundle of documents (“the bundle”). Pursuant to the provisions of uniform rule 37 the parties agreed that the documents in the bundle are what they purport to be.</w:t>
      </w:r>
    </w:p>
    <w:p w:rsidR="002C755E" w:rsidRPr="00AA1E03" w:rsidRDefault="002C755E" w:rsidP="002C755E">
      <w:pPr>
        <w:pStyle w:val="LegalList1"/>
        <w:numPr>
          <w:ilvl w:val="0"/>
          <w:numId w:val="2"/>
        </w:numPr>
        <w:tabs>
          <w:tab w:val="clear" w:pos="567"/>
        </w:tabs>
        <w:spacing w:line="360" w:lineRule="auto"/>
        <w:ind w:left="851" w:hanging="851"/>
        <w:rPr>
          <w:rFonts w:ascii="Times New Roman" w:hAnsi="Times New Roman"/>
          <w:sz w:val="28"/>
          <w:szCs w:val="28"/>
        </w:rPr>
      </w:pPr>
      <w:r w:rsidRPr="00AA1E03">
        <w:rPr>
          <w:rFonts w:ascii="Times New Roman" w:hAnsi="Times New Roman"/>
          <w:color w:val="000000"/>
          <w:sz w:val="28"/>
          <w:szCs w:val="28"/>
        </w:rPr>
        <w:t>In the conduct of its case the plaintiff led oral evidence of Mr. Burt Botha, a forensic investigator; Ms Barbara De Scande, at present the plaintiff’s Director of Expenditure Management; and Mr Johann Mettler, a former municipal manager of the plaintiff. The plaintiff thereafter closed its case. The defendants in turn uniformly did so without leading oral evidence in rebuttal of the plaintiff’s case.</w:t>
      </w:r>
    </w:p>
    <w:p w:rsidR="002C755E" w:rsidRPr="002772BF" w:rsidRDefault="002C755E" w:rsidP="002772BF">
      <w:pPr>
        <w:pStyle w:val="LegalList1"/>
        <w:spacing w:line="360" w:lineRule="auto"/>
        <w:ind w:left="131" w:firstLine="720"/>
        <w:rPr>
          <w:rFonts w:ascii="Times New Roman" w:hAnsi="Times New Roman"/>
          <w:sz w:val="28"/>
          <w:szCs w:val="28"/>
        </w:rPr>
      </w:pPr>
      <w:r w:rsidRPr="002772BF">
        <w:rPr>
          <w:rFonts w:ascii="Times New Roman" w:hAnsi="Times New Roman"/>
          <w:sz w:val="28"/>
          <w:szCs w:val="28"/>
        </w:rPr>
        <w:t>APPLICABLE STATUTORY AND REGULATORY PROVISIONS</w:t>
      </w:r>
    </w:p>
    <w:p w:rsidR="002C755E" w:rsidRDefault="002C755E" w:rsidP="002C755E">
      <w:pPr>
        <w:pStyle w:val="LegalList1"/>
        <w:numPr>
          <w:ilvl w:val="0"/>
          <w:numId w:val="2"/>
        </w:numPr>
        <w:tabs>
          <w:tab w:val="clear" w:pos="567"/>
        </w:tabs>
        <w:spacing w:line="360" w:lineRule="auto"/>
        <w:ind w:left="851" w:hanging="851"/>
        <w:rPr>
          <w:rFonts w:ascii="Times New Roman" w:hAnsi="Times New Roman"/>
          <w:sz w:val="28"/>
          <w:szCs w:val="28"/>
        </w:rPr>
      </w:pPr>
      <w:r w:rsidRPr="00AA1E03">
        <w:rPr>
          <w:rFonts w:ascii="Times New Roman" w:hAnsi="Times New Roman"/>
          <w:sz w:val="28"/>
          <w:szCs w:val="28"/>
        </w:rPr>
        <w:t>The matter essentially concerns the procurement of goods and services by the plaintiff and the liability of its employees for incurring unlawful expenditure in breach of their duties</w:t>
      </w:r>
      <w:r w:rsidR="006607F4">
        <w:rPr>
          <w:rFonts w:ascii="Times New Roman" w:hAnsi="Times New Roman"/>
          <w:sz w:val="28"/>
          <w:szCs w:val="28"/>
        </w:rPr>
        <w:t xml:space="preserve"> of good faith and diligence towards the plaintiff</w:t>
      </w:r>
      <w:r w:rsidRPr="00AA1E03">
        <w:rPr>
          <w:rFonts w:ascii="Times New Roman" w:hAnsi="Times New Roman"/>
          <w:sz w:val="28"/>
          <w:szCs w:val="28"/>
        </w:rPr>
        <w:t xml:space="preserve">. </w:t>
      </w:r>
      <w:r>
        <w:rPr>
          <w:rFonts w:ascii="Times New Roman" w:hAnsi="Times New Roman"/>
          <w:sz w:val="28"/>
          <w:szCs w:val="28"/>
        </w:rPr>
        <w:t>Before proceeding to deal with the factual background to the matter it is desirable to describe in broad outline the legal framework pertaining to procurement of goods and services.</w:t>
      </w:r>
    </w:p>
    <w:p w:rsidR="002C755E" w:rsidRPr="00AA1E03" w:rsidRDefault="002C755E" w:rsidP="002C755E">
      <w:pPr>
        <w:pStyle w:val="LegalList1"/>
        <w:numPr>
          <w:ilvl w:val="0"/>
          <w:numId w:val="2"/>
        </w:numPr>
        <w:tabs>
          <w:tab w:val="clear" w:pos="567"/>
        </w:tabs>
        <w:spacing w:line="360" w:lineRule="auto"/>
        <w:ind w:left="851" w:hanging="851"/>
        <w:rPr>
          <w:rFonts w:ascii="Times New Roman" w:hAnsi="Times New Roman"/>
          <w:sz w:val="28"/>
          <w:szCs w:val="28"/>
        </w:rPr>
      </w:pPr>
      <w:r w:rsidRPr="00AA1E03">
        <w:rPr>
          <w:rFonts w:ascii="Times New Roman" w:hAnsi="Times New Roman"/>
          <w:sz w:val="28"/>
          <w:szCs w:val="28"/>
        </w:rPr>
        <w:t>The plaintiff is an organ of state in the local government sphere. The framework in which it procures goods and services is strictly regulated by legislation.</w:t>
      </w:r>
      <w:r w:rsidRPr="00AA1E03">
        <w:rPr>
          <w:rStyle w:val="FootnoteReference"/>
          <w:rFonts w:ascii="Times New Roman" w:hAnsi="Times New Roman"/>
          <w:sz w:val="28"/>
          <w:szCs w:val="28"/>
        </w:rPr>
        <w:footnoteReference w:id="10"/>
      </w:r>
      <w:r w:rsidRPr="00AA1E03">
        <w:rPr>
          <w:rFonts w:ascii="Times New Roman" w:hAnsi="Times New Roman"/>
          <w:sz w:val="28"/>
          <w:szCs w:val="28"/>
        </w:rPr>
        <w:t xml:space="preserve"> The procurement process commences with section 217 of the Constitution. The section lays down the minimum requirements for a valid procurement process and requires that the procurement process preceding the conclusion of contracts for the supply of goods and services must be “fair, equitable, transparent, competitive and cost-effective” (</w:t>
      </w:r>
      <w:r w:rsidR="00613109">
        <w:rPr>
          <w:rFonts w:ascii="Times New Roman" w:hAnsi="Times New Roman"/>
          <w:sz w:val="28"/>
          <w:szCs w:val="28"/>
        </w:rPr>
        <w:t xml:space="preserve">see </w:t>
      </w:r>
      <w:r w:rsidRPr="00AA1E03">
        <w:rPr>
          <w:rFonts w:ascii="Times New Roman" w:hAnsi="Times New Roman"/>
          <w:i/>
          <w:sz w:val="28"/>
          <w:szCs w:val="28"/>
        </w:rPr>
        <w:t>Allpay Consolidated Investment Holdings (Pty) Ltd and Others v Chief Executive Officer, South African Social Security Agency and Others</w:t>
      </w:r>
      <w:r w:rsidRPr="00AA1E03">
        <w:rPr>
          <w:rFonts w:ascii="Times New Roman" w:hAnsi="Times New Roman"/>
          <w:sz w:val="28"/>
          <w:szCs w:val="28"/>
        </w:rPr>
        <w:t xml:space="preserve"> 2014 (1) SA 604 (CC) at 617B).</w:t>
      </w:r>
    </w:p>
    <w:p w:rsidR="00C53C92" w:rsidRDefault="002C755E" w:rsidP="002C755E">
      <w:pPr>
        <w:pStyle w:val="LegalList1"/>
        <w:numPr>
          <w:ilvl w:val="0"/>
          <w:numId w:val="2"/>
        </w:numPr>
        <w:tabs>
          <w:tab w:val="clear" w:pos="567"/>
        </w:tabs>
        <w:spacing w:line="360" w:lineRule="auto"/>
        <w:ind w:left="851" w:hanging="851"/>
        <w:rPr>
          <w:rFonts w:ascii="Times New Roman" w:hAnsi="Times New Roman"/>
          <w:sz w:val="28"/>
          <w:szCs w:val="28"/>
        </w:rPr>
      </w:pPr>
      <w:r w:rsidRPr="00AA1E03">
        <w:rPr>
          <w:rFonts w:ascii="Times New Roman" w:hAnsi="Times New Roman"/>
          <w:sz w:val="28"/>
          <w:szCs w:val="28"/>
        </w:rPr>
        <w:t>The plaintiff has developed and maintains a SCM policy</w:t>
      </w:r>
      <w:r w:rsidR="001602D8" w:rsidRPr="00AA1E03">
        <w:rPr>
          <w:rStyle w:val="FootnoteReference"/>
          <w:rFonts w:ascii="Times New Roman" w:hAnsi="Times New Roman"/>
          <w:sz w:val="28"/>
          <w:szCs w:val="28"/>
        </w:rPr>
        <w:footnoteReference w:id="11"/>
      </w:r>
      <w:r w:rsidRPr="00AA1E03">
        <w:rPr>
          <w:rFonts w:ascii="Times New Roman" w:hAnsi="Times New Roman"/>
          <w:sz w:val="28"/>
          <w:szCs w:val="28"/>
        </w:rPr>
        <w:t xml:space="preserve">. The policy was adopted by the plaintiff’s council under section 217(1) of the Constitution and section 111 of the </w:t>
      </w:r>
      <w:r w:rsidR="001602D8">
        <w:rPr>
          <w:rFonts w:ascii="Times New Roman" w:hAnsi="Times New Roman"/>
          <w:sz w:val="28"/>
          <w:szCs w:val="28"/>
        </w:rPr>
        <w:t>MFMA.</w:t>
      </w:r>
      <w:r w:rsidRPr="00AA1E03">
        <w:rPr>
          <w:rFonts w:ascii="Times New Roman" w:hAnsi="Times New Roman"/>
          <w:sz w:val="28"/>
          <w:szCs w:val="28"/>
        </w:rPr>
        <w:t xml:space="preserve"> The policy complies with the regulatory framework contained in the Supply Chain Management Regulations</w:t>
      </w:r>
      <w:r w:rsidRPr="00AA1E03">
        <w:rPr>
          <w:rStyle w:val="FootnoteReference"/>
          <w:rFonts w:ascii="Times New Roman" w:hAnsi="Times New Roman"/>
          <w:sz w:val="28"/>
          <w:szCs w:val="28"/>
        </w:rPr>
        <w:footnoteReference w:id="12"/>
      </w:r>
      <w:r w:rsidRPr="00AA1E03">
        <w:rPr>
          <w:rFonts w:ascii="Times New Roman" w:hAnsi="Times New Roman"/>
          <w:sz w:val="28"/>
          <w:szCs w:val="28"/>
        </w:rPr>
        <w:t xml:space="preserve"> (“the Regulations”).</w:t>
      </w:r>
    </w:p>
    <w:p w:rsidR="002C755E" w:rsidRPr="00AA1E03" w:rsidRDefault="00C53C92" w:rsidP="002C755E">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Where d</w:t>
      </w:r>
      <w:r w:rsidR="002C755E" w:rsidRPr="00AA1E03">
        <w:rPr>
          <w:rFonts w:ascii="Times New Roman" w:hAnsi="Times New Roman"/>
          <w:sz w:val="28"/>
          <w:szCs w:val="28"/>
        </w:rPr>
        <w:t>eviations from the fa</w:t>
      </w:r>
      <w:r w:rsidR="002C755E">
        <w:rPr>
          <w:rFonts w:ascii="Times New Roman" w:hAnsi="Times New Roman"/>
          <w:sz w:val="28"/>
          <w:szCs w:val="28"/>
        </w:rPr>
        <w:t>ir processes envisaged by the legislation</w:t>
      </w:r>
      <w:r w:rsidR="002C755E" w:rsidRPr="00AA1E03">
        <w:rPr>
          <w:rFonts w:ascii="Times New Roman" w:hAnsi="Times New Roman"/>
          <w:sz w:val="28"/>
          <w:szCs w:val="28"/>
        </w:rPr>
        <w:t xml:space="preserve"> </w:t>
      </w:r>
      <w:r>
        <w:rPr>
          <w:rFonts w:ascii="Times New Roman" w:hAnsi="Times New Roman"/>
          <w:sz w:val="28"/>
          <w:szCs w:val="28"/>
        </w:rPr>
        <w:t xml:space="preserve">occur, they </w:t>
      </w:r>
      <w:r w:rsidR="002C755E" w:rsidRPr="00AA1E03">
        <w:rPr>
          <w:rFonts w:ascii="Times New Roman" w:hAnsi="Times New Roman"/>
          <w:sz w:val="28"/>
          <w:szCs w:val="28"/>
        </w:rPr>
        <w:t>may all too often be symptoms of corruption or malfeasance in the process. Stated otherwise, a procurement process not properly undertaken may signify a deliberately skewed process, and as was evident from the testimony of Mr Botha the procurement of the services of the first defendant through irregular procurement practices was part of a pattern of conduct endemic to the IPTS project.</w:t>
      </w:r>
      <w:r w:rsidR="002C755E" w:rsidRPr="00AA1E03">
        <w:rPr>
          <w:rStyle w:val="FootnoteReference"/>
          <w:rFonts w:ascii="Times New Roman" w:hAnsi="Times New Roman"/>
          <w:sz w:val="28"/>
          <w:szCs w:val="28"/>
        </w:rPr>
        <w:footnoteReference w:id="13"/>
      </w:r>
      <w:r w:rsidR="00613109">
        <w:rPr>
          <w:rFonts w:ascii="Times New Roman" w:hAnsi="Times New Roman"/>
          <w:sz w:val="28"/>
          <w:szCs w:val="28"/>
        </w:rPr>
        <w:t xml:space="preserve"> </w:t>
      </w:r>
      <w:r w:rsidR="00E54220">
        <w:rPr>
          <w:rFonts w:ascii="Times New Roman" w:hAnsi="Times New Roman"/>
          <w:sz w:val="28"/>
          <w:szCs w:val="28"/>
        </w:rPr>
        <w:t>The rationale for i</w:t>
      </w:r>
      <w:r w:rsidR="002C755E" w:rsidRPr="00AA1E03">
        <w:rPr>
          <w:rFonts w:ascii="Times New Roman" w:hAnsi="Times New Roman"/>
          <w:sz w:val="28"/>
          <w:szCs w:val="28"/>
        </w:rPr>
        <w:t>nsistence</w:t>
      </w:r>
      <w:r w:rsidR="00E54220">
        <w:rPr>
          <w:rFonts w:ascii="Times New Roman" w:hAnsi="Times New Roman"/>
          <w:sz w:val="28"/>
          <w:szCs w:val="28"/>
        </w:rPr>
        <w:t xml:space="preserve"> </w:t>
      </w:r>
      <w:r w:rsidR="002C755E" w:rsidRPr="00AA1E03">
        <w:rPr>
          <w:rFonts w:ascii="Times New Roman" w:hAnsi="Times New Roman"/>
          <w:sz w:val="28"/>
          <w:szCs w:val="28"/>
        </w:rPr>
        <w:t xml:space="preserve">on faithful compliance with procedural formalities in the procurement process serves a threefold purpose: (a) it ensures fairness to participants in the bid process; (b) it enhances the likelihood of efficiency and optimality in the outcome; and (c) it serves as a guardian against a process skewed by corrupt influences (see generally </w:t>
      </w:r>
      <w:r w:rsidR="002C755E" w:rsidRPr="00AA1E03">
        <w:rPr>
          <w:rFonts w:ascii="Times New Roman" w:hAnsi="Times New Roman"/>
          <w:i/>
          <w:sz w:val="28"/>
          <w:szCs w:val="28"/>
        </w:rPr>
        <w:t>Allpay</w:t>
      </w:r>
      <w:r w:rsidR="002C755E" w:rsidRPr="00AA1E03">
        <w:rPr>
          <w:rFonts w:ascii="Times New Roman" w:hAnsi="Times New Roman"/>
          <w:sz w:val="28"/>
          <w:szCs w:val="28"/>
        </w:rPr>
        <w:t xml:space="preserve"> </w:t>
      </w:r>
      <w:r w:rsidR="002C755E" w:rsidRPr="00AA1E03">
        <w:rPr>
          <w:rFonts w:ascii="Times New Roman" w:hAnsi="Times New Roman"/>
          <w:i/>
          <w:sz w:val="28"/>
          <w:szCs w:val="28"/>
        </w:rPr>
        <w:t>supra</w:t>
      </w:r>
      <w:r w:rsidR="002C755E" w:rsidRPr="00AA1E03">
        <w:rPr>
          <w:rFonts w:ascii="Times New Roman" w:hAnsi="Times New Roman"/>
          <w:sz w:val="28"/>
          <w:szCs w:val="28"/>
        </w:rPr>
        <w:t xml:space="preserve"> at paragraph [27]).</w:t>
      </w:r>
    </w:p>
    <w:p w:rsidR="002C755E" w:rsidRPr="00AA1E03" w:rsidRDefault="002C755E" w:rsidP="002C755E">
      <w:pPr>
        <w:pStyle w:val="LegalList1"/>
        <w:numPr>
          <w:ilvl w:val="0"/>
          <w:numId w:val="2"/>
        </w:numPr>
        <w:tabs>
          <w:tab w:val="clear" w:pos="567"/>
        </w:tabs>
        <w:spacing w:line="360" w:lineRule="auto"/>
        <w:ind w:left="851" w:hanging="851"/>
        <w:rPr>
          <w:rFonts w:ascii="Times New Roman" w:hAnsi="Times New Roman"/>
          <w:sz w:val="28"/>
          <w:szCs w:val="28"/>
        </w:rPr>
      </w:pPr>
      <w:r w:rsidRPr="00AA1E03">
        <w:rPr>
          <w:rFonts w:ascii="Times New Roman" w:hAnsi="Times New Roman"/>
          <w:sz w:val="28"/>
          <w:szCs w:val="28"/>
        </w:rPr>
        <w:t xml:space="preserve">In summary the </w:t>
      </w:r>
      <w:r w:rsidR="00F2195A">
        <w:rPr>
          <w:rFonts w:ascii="Times New Roman" w:hAnsi="Times New Roman"/>
          <w:sz w:val="28"/>
          <w:szCs w:val="28"/>
        </w:rPr>
        <w:t>plaintiff’s SCM p</w:t>
      </w:r>
      <w:r w:rsidRPr="00AA1E03">
        <w:rPr>
          <w:rFonts w:ascii="Times New Roman" w:hAnsi="Times New Roman"/>
          <w:sz w:val="28"/>
          <w:szCs w:val="28"/>
        </w:rPr>
        <w:t>olicy, (the applicable paragraph numbers are indicated in brackets):</w:t>
      </w:r>
    </w:p>
    <w:p w:rsidR="002C755E" w:rsidRPr="00AA1E03" w:rsidRDefault="002C755E" w:rsidP="002C755E">
      <w:pPr>
        <w:pStyle w:val="LegalList1"/>
        <w:spacing w:line="360" w:lineRule="auto"/>
        <w:ind w:left="1571" w:hanging="720"/>
        <w:rPr>
          <w:rFonts w:ascii="Times New Roman" w:hAnsi="Times New Roman"/>
          <w:sz w:val="28"/>
          <w:szCs w:val="28"/>
        </w:rPr>
      </w:pPr>
      <w:r w:rsidRPr="00AA1E03">
        <w:rPr>
          <w:rFonts w:ascii="Times New Roman" w:hAnsi="Times New Roman"/>
          <w:sz w:val="28"/>
          <w:szCs w:val="28"/>
        </w:rPr>
        <w:t>(a)</w:t>
      </w:r>
      <w:r w:rsidRPr="00AA1E03">
        <w:rPr>
          <w:rFonts w:ascii="Times New Roman" w:hAnsi="Times New Roman"/>
          <w:sz w:val="28"/>
          <w:szCs w:val="28"/>
        </w:rPr>
        <w:tab/>
        <w:t>Delegated to the accounting officer all powers and duties necessary to discharge the supply chain management responsibilities conferred on accounting officers in accordance with chapter 8 of the MFMA and the Policy (paragraph 4);</w:t>
      </w:r>
    </w:p>
    <w:p w:rsidR="002C755E" w:rsidRPr="00AA1E03" w:rsidRDefault="002C755E" w:rsidP="002C755E">
      <w:pPr>
        <w:pStyle w:val="LegalList1"/>
        <w:spacing w:line="360" w:lineRule="auto"/>
        <w:ind w:left="1571" w:hanging="720"/>
        <w:rPr>
          <w:rFonts w:ascii="Times New Roman" w:hAnsi="Times New Roman"/>
          <w:sz w:val="28"/>
          <w:szCs w:val="28"/>
        </w:rPr>
      </w:pPr>
      <w:r w:rsidRPr="00AA1E03">
        <w:rPr>
          <w:rFonts w:ascii="Times New Roman" w:hAnsi="Times New Roman"/>
          <w:sz w:val="28"/>
          <w:szCs w:val="28"/>
        </w:rPr>
        <w:t>(b)</w:t>
      </w:r>
      <w:r w:rsidRPr="00AA1E03">
        <w:rPr>
          <w:rFonts w:ascii="Times New Roman" w:hAnsi="Times New Roman"/>
          <w:sz w:val="28"/>
          <w:szCs w:val="28"/>
        </w:rPr>
        <w:tab/>
        <w:t>stipulates that goods and services above a transaction value of R200 000 (inclusive of VAT) may only be procured by way of a competitive bidding process (paragraphs 12, and 20 to 27);</w:t>
      </w:r>
    </w:p>
    <w:p w:rsidR="002C755E" w:rsidRPr="00AA1E03" w:rsidRDefault="002C755E" w:rsidP="002C755E">
      <w:pPr>
        <w:pStyle w:val="LegalList1"/>
        <w:spacing w:line="360" w:lineRule="auto"/>
        <w:ind w:left="1571" w:hanging="720"/>
        <w:rPr>
          <w:rFonts w:ascii="Times New Roman" w:hAnsi="Times New Roman"/>
          <w:sz w:val="28"/>
          <w:szCs w:val="28"/>
        </w:rPr>
      </w:pPr>
      <w:r w:rsidRPr="00AA1E03">
        <w:rPr>
          <w:rFonts w:ascii="Times New Roman" w:hAnsi="Times New Roman"/>
          <w:sz w:val="28"/>
          <w:szCs w:val="28"/>
        </w:rPr>
        <w:t>(c)</w:t>
      </w:r>
      <w:r w:rsidRPr="00AA1E03">
        <w:rPr>
          <w:rFonts w:ascii="Times New Roman" w:hAnsi="Times New Roman"/>
          <w:sz w:val="28"/>
          <w:szCs w:val="28"/>
        </w:rPr>
        <w:tab/>
        <w:t>cloaks the accounting officer with the authority to dispense with the official procurement processes established by the policy and procure any required goods or services through any convenient process which may include direct negotiations, but only-</w:t>
      </w:r>
    </w:p>
    <w:p w:rsidR="002C755E" w:rsidRPr="00AA1E03" w:rsidRDefault="002C755E" w:rsidP="002C755E">
      <w:pPr>
        <w:pStyle w:val="LegalList1"/>
        <w:tabs>
          <w:tab w:val="left" w:pos="2268"/>
        </w:tabs>
        <w:spacing w:line="360" w:lineRule="auto"/>
        <w:ind w:left="851" w:firstLine="720"/>
        <w:rPr>
          <w:rFonts w:ascii="Times New Roman" w:hAnsi="Times New Roman"/>
          <w:sz w:val="28"/>
          <w:szCs w:val="28"/>
        </w:rPr>
      </w:pPr>
      <w:r w:rsidRPr="00AA1E03">
        <w:rPr>
          <w:rFonts w:ascii="Times New Roman" w:hAnsi="Times New Roman"/>
          <w:sz w:val="28"/>
          <w:szCs w:val="28"/>
        </w:rPr>
        <w:t>(i)</w:t>
      </w:r>
      <w:r w:rsidRPr="00AA1E03">
        <w:rPr>
          <w:rFonts w:ascii="Times New Roman" w:hAnsi="Times New Roman"/>
          <w:sz w:val="28"/>
          <w:szCs w:val="28"/>
        </w:rPr>
        <w:tab/>
        <w:t xml:space="preserve"> in an emergency;</w:t>
      </w:r>
    </w:p>
    <w:p w:rsidR="002C755E" w:rsidRPr="00AA1E03" w:rsidRDefault="002C755E" w:rsidP="002C755E">
      <w:pPr>
        <w:pStyle w:val="LegalList1"/>
        <w:spacing w:line="360" w:lineRule="auto"/>
        <w:ind w:left="2291" w:hanging="720"/>
        <w:rPr>
          <w:rFonts w:ascii="Times New Roman" w:hAnsi="Times New Roman"/>
          <w:sz w:val="28"/>
          <w:szCs w:val="28"/>
        </w:rPr>
      </w:pPr>
      <w:r w:rsidRPr="00AA1E03">
        <w:rPr>
          <w:rFonts w:ascii="Times New Roman" w:hAnsi="Times New Roman"/>
          <w:sz w:val="28"/>
          <w:szCs w:val="28"/>
        </w:rPr>
        <w:t>(ii)</w:t>
      </w:r>
      <w:r w:rsidRPr="00AA1E03">
        <w:rPr>
          <w:rFonts w:ascii="Times New Roman" w:hAnsi="Times New Roman"/>
          <w:sz w:val="28"/>
          <w:szCs w:val="28"/>
        </w:rPr>
        <w:tab/>
        <w:t>if such goods or services are produced or available from a single provider only;</w:t>
      </w:r>
    </w:p>
    <w:p w:rsidR="002C755E" w:rsidRPr="00AA1E03" w:rsidRDefault="002C755E" w:rsidP="002C755E">
      <w:pPr>
        <w:pStyle w:val="LegalList1"/>
        <w:spacing w:line="360" w:lineRule="auto"/>
        <w:ind w:left="2291" w:hanging="720"/>
        <w:rPr>
          <w:rFonts w:ascii="Times New Roman" w:hAnsi="Times New Roman"/>
          <w:sz w:val="28"/>
          <w:szCs w:val="28"/>
        </w:rPr>
      </w:pPr>
      <w:r w:rsidRPr="00AA1E03">
        <w:rPr>
          <w:rFonts w:ascii="Times New Roman" w:hAnsi="Times New Roman"/>
          <w:sz w:val="28"/>
          <w:szCs w:val="28"/>
        </w:rPr>
        <w:t>(iii)</w:t>
      </w:r>
      <w:r w:rsidRPr="00AA1E03">
        <w:rPr>
          <w:rFonts w:ascii="Times New Roman" w:hAnsi="Times New Roman"/>
          <w:sz w:val="28"/>
          <w:szCs w:val="28"/>
        </w:rPr>
        <w:tab/>
        <w:t>for the acquisition of special works of art or historical objects where specifications are difficult to compile;</w:t>
      </w:r>
    </w:p>
    <w:p w:rsidR="002C755E" w:rsidRPr="00AA1E03" w:rsidRDefault="002C755E" w:rsidP="002C755E">
      <w:pPr>
        <w:pStyle w:val="LegalList1"/>
        <w:spacing w:line="360" w:lineRule="auto"/>
        <w:ind w:left="2291" w:hanging="720"/>
        <w:rPr>
          <w:rFonts w:ascii="Times New Roman" w:hAnsi="Times New Roman"/>
          <w:sz w:val="28"/>
          <w:szCs w:val="28"/>
        </w:rPr>
      </w:pPr>
      <w:r w:rsidRPr="00AA1E03">
        <w:rPr>
          <w:rFonts w:ascii="Times New Roman" w:hAnsi="Times New Roman"/>
          <w:sz w:val="28"/>
          <w:szCs w:val="28"/>
        </w:rPr>
        <w:t>(iv)</w:t>
      </w:r>
      <w:r w:rsidRPr="00AA1E03">
        <w:rPr>
          <w:rFonts w:ascii="Times New Roman" w:hAnsi="Times New Roman"/>
          <w:sz w:val="28"/>
          <w:szCs w:val="28"/>
        </w:rPr>
        <w:tab/>
        <w:t>for the acquisition of animals for zoos and / or nature and game reserves; or</w:t>
      </w:r>
    </w:p>
    <w:p w:rsidR="002C755E" w:rsidRPr="00AA1E03" w:rsidRDefault="002C755E" w:rsidP="002C755E">
      <w:pPr>
        <w:pStyle w:val="LegalList1"/>
        <w:spacing w:line="360" w:lineRule="auto"/>
        <w:ind w:left="2291" w:hanging="720"/>
        <w:rPr>
          <w:rFonts w:ascii="Times New Roman" w:hAnsi="Times New Roman"/>
          <w:sz w:val="28"/>
          <w:szCs w:val="28"/>
        </w:rPr>
      </w:pPr>
      <w:r w:rsidRPr="00AA1E03">
        <w:rPr>
          <w:rFonts w:ascii="Times New Roman" w:hAnsi="Times New Roman"/>
          <w:sz w:val="28"/>
          <w:szCs w:val="28"/>
        </w:rPr>
        <w:t>(v)</w:t>
      </w:r>
      <w:r w:rsidRPr="00AA1E03">
        <w:rPr>
          <w:rFonts w:ascii="Times New Roman" w:hAnsi="Times New Roman"/>
          <w:sz w:val="28"/>
          <w:szCs w:val="28"/>
        </w:rPr>
        <w:tab/>
        <w:t>in any other exceptional case where it is impractical or impossible to follow the official procurement processes (paragraph 39).</w:t>
      </w:r>
    </w:p>
    <w:p w:rsidR="002C755E" w:rsidRPr="00AA1E03" w:rsidRDefault="002C755E" w:rsidP="002C755E">
      <w:pPr>
        <w:pStyle w:val="LegalList1"/>
        <w:numPr>
          <w:ilvl w:val="0"/>
          <w:numId w:val="2"/>
        </w:numPr>
        <w:tabs>
          <w:tab w:val="clear" w:pos="567"/>
        </w:tabs>
        <w:spacing w:line="360" w:lineRule="auto"/>
        <w:ind w:left="851" w:hanging="851"/>
        <w:rPr>
          <w:rFonts w:ascii="Times New Roman" w:hAnsi="Times New Roman"/>
          <w:sz w:val="28"/>
          <w:szCs w:val="28"/>
        </w:rPr>
      </w:pPr>
      <w:r w:rsidRPr="00AA1E03">
        <w:rPr>
          <w:rFonts w:ascii="Times New Roman" w:hAnsi="Times New Roman"/>
          <w:sz w:val="28"/>
          <w:szCs w:val="28"/>
        </w:rPr>
        <w:t>The liability of employees for unlawful expenditure is regulated by section 32 of the MFMA. In relevant part the section reads as follows:</w:t>
      </w:r>
    </w:p>
    <w:p w:rsidR="002C755E" w:rsidRPr="00AA1E03" w:rsidRDefault="002C755E" w:rsidP="002C755E">
      <w:pPr>
        <w:pStyle w:val="LegalList1"/>
        <w:spacing w:line="360" w:lineRule="auto"/>
        <w:ind w:left="131" w:firstLine="720"/>
        <w:rPr>
          <w:rFonts w:cs="Arial"/>
          <w:i/>
          <w:sz w:val="22"/>
          <w:szCs w:val="22"/>
        </w:rPr>
      </w:pPr>
      <w:r w:rsidRPr="00AA1E03">
        <w:rPr>
          <w:rFonts w:cs="Arial"/>
          <w:i/>
          <w:sz w:val="22"/>
          <w:szCs w:val="22"/>
        </w:rPr>
        <w:t>“32</w:t>
      </w:r>
      <w:r w:rsidRPr="00AA1E03">
        <w:rPr>
          <w:rFonts w:cs="Arial"/>
          <w:i/>
          <w:sz w:val="22"/>
          <w:szCs w:val="22"/>
        </w:rPr>
        <w:tab/>
        <w:t>Unauthorised, irregular or fruitless and wasteful expenditure</w:t>
      </w:r>
    </w:p>
    <w:p w:rsidR="002C755E" w:rsidRPr="00AA1E03" w:rsidRDefault="002C755E" w:rsidP="002C755E">
      <w:pPr>
        <w:pStyle w:val="LegalList1"/>
        <w:spacing w:line="360" w:lineRule="auto"/>
        <w:ind w:left="1440" w:hanging="589"/>
        <w:rPr>
          <w:rFonts w:cs="Arial"/>
          <w:i/>
          <w:sz w:val="22"/>
          <w:szCs w:val="22"/>
        </w:rPr>
      </w:pPr>
      <w:r w:rsidRPr="00AA1E03">
        <w:rPr>
          <w:rFonts w:cs="Arial"/>
          <w:i/>
          <w:sz w:val="22"/>
          <w:szCs w:val="22"/>
        </w:rPr>
        <w:t>(1)</w:t>
      </w:r>
      <w:r w:rsidRPr="00AA1E03">
        <w:rPr>
          <w:rFonts w:cs="Arial"/>
          <w:i/>
          <w:sz w:val="22"/>
          <w:szCs w:val="22"/>
        </w:rPr>
        <w:tab/>
        <w:t>Without limiting liability in terms of the common law or other legislation-</w:t>
      </w:r>
    </w:p>
    <w:p w:rsidR="002C755E" w:rsidRPr="00AA1E03" w:rsidRDefault="002C755E" w:rsidP="002C755E">
      <w:pPr>
        <w:pStyle w:val="LegalList1"/>
        <w:spacing w:line="360" w:lineRule="auto"/>
        <w:ind w:left="2160" w:hanging="720"/>
        <w:rPr>
          <w:rFonts w:cs="Arial"/>
          <w:i/>
          <w:sz w:val="22"/>
          <w:szCs w:val="22"/>
        </w:rPr>
      </w:pPr>
      <w:r w:rsidRPr="00AA1E03">
        <w:rPr>
          <w:rFonts w:cs="Arial"/>
          <w:i/>
          <w:sz w:val="22"/>
          <w:szCs w:val="22"/>
        </w:rPr>
        <w:t>(a)</w:t>
      </w:r>
      <w:r w:rsidRPr="00AA1E03">
        <w:rPr>
          <w:rFonts w:cs="Arial"/>
          <w:i/>
          <w:sz w:val="22"/>
          <w:szCs w:val="22"/>
        </w:rPr>
        <w:tab/>
        <w:t>a political office-bearer of a municipality is liable for unauthorised expenditure if that office-bearer knowingly or after having been advised by the accounting officer of the municipality that the expenditure is likely to result in unauthorised expenditure, instructed an official of the municipality to incur the expenditure;</w:t>
      </w:r>
    </w:p>
    <w:p w:rsidR="002C755E" w:rsidRPr="00AA1E03" w:rsidRDefault="002C755E" w:rsidP="002C755E">
      <w:pPr>
        <w:pStyle w:val="LegalList1"/>
        <w:spacing w:line="360" w:lineRule="auto"/>
        <w:ind w:left="2160" w:hanging="720"/>
        <w:rPr>
          <w:rFonts w:cs="Arial"/>
          <w:i/>
          <w:sz w:val="22"/>
          <w:szCs w:val="22"/>
        </w:rPr>
      </w:pPr>
      <w:r w:rsidRPr="00AA1E03">
        <w:rPr>
          <w:rFonts w:cs="Arial"/>
          <w:i/>
          <w:sz w:val="22"/>
          <w:szCs w:val="22"/>
        </w:rPr>
        <w:t>(b)</w:t>
      </w:r>
      <w:r w:rsidRPr="00AA1E03">
        <w:rPr>
          <w:rFonts w:cs="Arial"/>
          <w:i/>
          <w:sz w:val="22"/>
          <w:szCs w:val="22"/>
        </w:rPr>
        <w:tab/>
        <w:t>the accounting officer is liable for unauthorised expenditure deliberately or negligently incurred by the accounting officer, subject to subsection (3);</w:t>
      </w:r>
    </w:p>
    <w:p w:rsidR="002C755E" w:rsidRPr="00AA1E03" w:rsidRDefault="002C755E" w:rsidP="002C755E">
      <w:pPr>
        <w:pStyle w:val="LegalList1"/>
        <w:spacing w:line="360" w:lineRule="auto"/>
        <w:ind w:left="2160" w:hanging="720"/>
        <w:rPr>
          <w:rFonts w:cs="Arial"/>
          <w:i/>
          <w:sz w:val="22"/>
          <w:szCs w:val="22"/>
        </w:rPr>
      </w:pPr>
      <w:r w:rsidRPr="00AA1E03">
        <w:rPr>
          <w:rFonts w:cs="Arial"/>
          <w:i/>
          <w:sz w:val="22"/>
          <w:szCs w:val="22"/>
        </w:rPr>
        <w:t>(c)</w:t>
      </w:r>
      <w:r w:rsidRPr="00AA1E03">
        <w:rPr>
          <w:rFonts w:cs="Arial"/>
          <w:i/>
          <w:sz w:val="22"/>
          <w:szCs w:val="22"/>
        </w:rPr>
        <w:tab/>
        <w:t>any political office-bearer or official of a municipality who deliberately or negligently committed, made or authorised an irregular expenditure, is liable for that expenditure; or</w:t>
      </w:r>
    </w:p>
    <w:p w:rsidR="002C755E" w:rsidRPr="00AA1E03" w:rsidRDefault="002C755E" w:rsidP="002C755E">
      <w:pPr>
        <w:pStyle w:val="LegalList1"/>
        <w:spacing w:line="360" w:lineRule="auto"/>
        <w:ind w:left="2160" w:hanging="720"/>
        <w:rPr>
          <w:rFonts w:cs="Arial"/>
          <w:i/>
          <w:sz w:val="22"/>
          <w:szCs w:val="22"/>
        </w:rPr>
      </w:pPr>
      <w:r w:rsidRPr="00AA1E03">
        <w:rPr>
          <w:rFonts w:cs="Arial"/>
          <w:i/>
          <w:sz w:val="22"/>
          <w:szCs w:val="22"/>
        </w:rPr>
        <w:t>(d)</w:t>
      </w:r>
      <w:r w:rsidRPr="00AA1E03">
        <w:rPr>
          <w:rFonts w:cs="Arial"/>
          <w:i/>
          <w:sz w:val="22"/>
          <w:szCs w:val="22"/>
        </w:rPr>
        <w:tab/>
        <w:t>any political office-bearer or official of a municipality who deliberately or negligently made or authorised a fruitless and wasteful expenditure is liable for that expenditure.</w:t>
      </w:r>
    </w:p>
    <w:p w:rsidR="002C755E" w:rsidRPr="00AA1E03" w:rsidRDefault="002C755E" w:rsidP="002C755E">
      <w:pPr>
        <w:pStyle w:val="LegalList1"/>
        <w:spacing w:line="360" w:lineRule="auto"/>
        <w:ind w:left="1440" w:hanging="720"/>
        <w:rPr>
          <w:rFonts w:cs="Arial"/>
          <w:i/>
          <w:sz w:val="22"/>
          <w:szCs w:val="22"/>
        </w:rPr>
      </w:pPr>
      <w:r w:rsidRPr="00AA1E03">
        <w:rPr>
          <w:rFonts w:cs="Arial"/>
          <w:i/>
          <w:sz w:val="22"/>
          <w:szCs w:val="22"/>
        </w:rPr>
        <w:t>(2)</w:t>
      </w:r>
      <w:r w:rsidRPr="00AA1E03">
        <w:rPr>
          <w:rFonts w:cs="Arial"/>
          <w:i/>
          <w:sz w:val="22"/>
          <w:szCs w:val="22"/>
        </w:rPr>
        <w:tab/>
        <w:t>A municipality must recover unauthorised, irregular or fruitless and wasteful expenditure from the person liable for that expenditure unless the expenditure-</w:t>
      </w:r>
    </w:p>
    <w:p w:rsidR="002C755E" w:rsidRPr="00AA1E03" w:rsidRDefault="002C755E" w:rsidP="002C755E">
      <w:pPr>
        <w:pStyle w:val="LegalList1"/>
        <w:spacing w:line="360" w:lineRule="auto"/>
        <w:ind w:left="720" w:firstLine="720"/>
        <w:rPr>
          <w:rFonts w:cs="Arial"/>
          <w:i/>
          <w:sz w:val="22"/>
          <w:szCs w:val="22"/>
        </w:rPr>
      </w:pPr>
      <w:r w:rsidRPr="00AA1E03">
        <w:rPr>
          <w:rFonts w:cs="Arial"/>
          <w:i/>
          <w:sz w:val="22"/>
          <w:szCs w:val="22"/>
        </w:rPr>
        <w:t>(a)</w:t>
      </w:r>
      <w:r w:rsidRPr="00AA1E03">
        <w:rPr>
          <w:rFonts w:cs="Arial"/>
          <w:i/>
          <w:sz w:val="22"/>
          <w:szCs w:val="22"/>
        </w:rPr>
        <w:tab/>
        <w:t>in the case of unauthorised expenditure, is-</w:t>
      </w:r>
    </w:p>
    <w:p w:rsidR="002C755E" w:rsidRPr="00AA1E03" w:rsidRDefault="002C755E" w:rsidP="002C755E">
      <w:pPr>
        <w:pStyle w:val="LegalList1"/>
        <w:spacing w:line="360" w:lineRule="auto"/>
        <w:ind w:left="1440" w:firstLine="720"/>
        <w:rPr>
          <w:rFonts w:cs="Arial"/>
          <w:i/>
          <w:sz w:val="22"/>
          <w:szCs w:val="22"/>
        </w:rPr>
      </w:pPr>
      <w:r w:rsidRPr="00AA1E03">
        <w:rPr>
          <w:rFonts w:cs="Arial"/>
          <w:i/>
          <w:sz w:val="22"/>
          <w:szCs w:val="22"/>
        </w:rPr>
        <w:t>(i)</w:t>
      </w:r>
      <w:r w:rsidRPr="00AA1E03">
        <w:rPr>
          <w:rFonts w:cs="Arial"/>
          <w:i/>
          <w:sz w:val="22"/>
          <w:szCs w:val="22"/>
        </w:rPr>
        <w:tab/>
        <w:t>authorised in an adjustment’s budget; or</w:t>
      </w:r>
    </w:p>
    <w:p w:rsidR="002C755E" w:rsidRPr="00AA1E03" w:rsidRDefault="002C755E" w:rsidP="002C755E">
      <w:pPr>
        <w:pStyle w:val="LegalList1"/>
        <w:spacing w:line="360" w:lineRule="auto"/>
        <w:ind w:left="2880" w:hanging="720"/>
        <w:rPr>
          <w:rFonts w:cs="Arial"/>
          <w:i/>
          <w:sz w:val="22"/>
          <w:szCs w:val="22"/>
        </w:rPr>
      </w:pPr>
      <w:r w:rsidRPr="00AA1E03">
        <w:rPr>
          <w:rFonts w:cs="Arial"/>
          <w:i/>
          <w:sz w:val="22"/>
          <w:szCs w:val="22"/>
        </w:rPr>
        <w:t>(ii)</w:t>
      </w:r>
      <w:r w:rsidRPr="00AA1E03">
        <w:rPr>
          <w:rFonts w:cs="Arial"/>
          <w:i/>
          <w:sz w:val="22"/>
          <w:szCs w:val="22"/>
        </w:rPr>
        <w:tab/>
        <w:t>certified by the municipal council, after investigation by a council committee, is irrecoverable and written off by the council; and</w:t>
      </w:r>
    </w:p>
    <w:p w:rsidR="002C755E" w:rsidRPr="00AA1E03" w:rsidRDefault="002C755E" w:rsidP="002C755E">
      <w:pPr>
        <w:pStyle w:val="LegalList1"/>
        <w:spacing w:line="360" w:lineRule="auto"/>
        <w:ind w:left="2160" w:hanging="720"/>
        <w:rPr>
          <w:rFonts w:cs="Arial"/>
          <w:i/>
          <w:sz w:val="22"/>
          <w:szCs w:val="22"/>
        </w:rPr>
      </w:pPr>
      <w:r w:rsidRPr="00AA1E03">
        <w:rPr>
          <w:rFonts w:cs="Arial"/>
          <w:i/>
          <w:sz w:val="22"/>
          <w:szCs w:val="22"/>
        </w:rPr>
        <w:t>(b)</w:t>
      </w:r>
      <w:r w:rsidRPr="00AA1E03">
        <w:rPr>
          <w:rFonts w:cs="Arial"/>
          <w:i/>
          <w:sz w:val="22"/>
          <w:szCs w:val="22"/>
        </w:rPr>
        <w:tab/>
        <w:t>in the case of irregular or fruitless and wasteful expenditure, is, after investigation by a council committee, certified by the council as irrecoverable and written off by the council.”</w:t>
      </w:r>
    </w:p>
    <w:p w:rsidR="002C755E" w:rsidRDefault="008D3CFE" w:rsidP="002C755E">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It is apparent from the section that a</w:t>
      </w:r>
      <w:r w:rsidR="0079026F">
        <w:rPr>
          <w:rFonts w:ascii="Times New Roman" w:hAnsi="Times New Roman"/>
          <w:sz w:val="28"/>
          <w:szCs w:val="28"/>
        </w:rPr>
        <w:t xml:space="preserve"> municipality is statutorily obliged to recover unauthorised, irregular or fruitless or wasteful expenditure</w:t>
      </w:r>
      <w:r w:rsidR="005F669A">
        <w:rPr>
          <w:rFonts w:ascii="Times New Roman" w:hAnsi="Times New Roman"/>
          <w:sz w:val="28"/>
          <w:szCs w:val="28"/>
        </w:rPr>
        <w:t xml:space="preserve"> from the incumbents identified </w:t>
      </w:r>
      <w:r>
        <w:rPr>
          <w:rFonts w:ascii="Times New Roman" w:hAnsi="Times New Roman"/>
          <w:sz w:val="28"/>
          <w:szCs w:val="28"/>
        </w:rPr>
        <w:t>therein.</w:t>
      </w:r>
      <w:r w:rsidR="00072C2C">
        <w:rPr>
          <w:rFonts w:ascii="Times New Roman" w:hAnsi="Times New Roman"/>
          <w:sz w:val="28"/>
          <w:szCs w:val="28"/>
        </w:rPr>
        <w:t xml:space="preserve"> Whether or not a municipality received value therefor is not a </w:t>
      </w:r>
      <w:r w:rsidR="00FD5026">
        <w:rPr>
          <w:rFonts w:ascii="Times New Roman" w:hAnsi="Times New Roman"/>
          <w:sz w:val="28"/>
          <w:szCs w:val="28"/>
        </w:rPr>
        <w:t xml:space="preserve">factor </w:t>
      </w:r>
      <w:r w:rsidR="00072C2C">
        <w:rPr>
          <w:rFonts w:ascii="Times New Roman" w:hAnsi="Times New Roman"/>
          <w:sz w:val="28"/>
          <w:szCs w:val="28"/>
        </w:rPr>
        <w:t>that poses a limitation t</w:t>
      </w:r>
      <w:r w:rsidR="00FD5026">
        <w:rPr>
          <w:rFonts w:ascii="Times New Roman" w:hAnsi="Times New Roman"/>
          <w:sz w:val="28"/>
          <w:szCs w:val="28"/>
        </w:rPr>
        <w:t xml:space="preserve">o </w:t>
      </w:r>
      <w:r w:rsidR="00233495">
        <w:rPr>
          <w:rFonts w:ascii="Times New Roman" w:hAnsi="Times New Roman"/>
          <w:sz w:val="28"/>
          <w:szCs w:val="28"/>
        </w:rPr>
        <w:t xml:space="preserve">the exercise of </w:t>
      </w:r>
      <w:r w:rsidR="00FD5026">
        <w:rPr>
          <w:rFonts w:ascii="Times New Roman" w:hAnsi="Times New Roman"/>
          <w:sz w:val="28"/>
          <w:szCs w:val="28"/>
        </w:rPr>
        <w:t>such obligation.</w:t>
      </w:r>
    </w:p>
    <w:p w:rsidR="002C755E" w:rsidRPr="00AA1E03" w:rsidRDefault="002C755E" w:rsidP="002C755E">
      <w:pPr>
        <w:pStyle w:val="LegalList1"/>
        <w:numPr>
          <w:ilvl w:val="0"/>
          <w:numId w:val="2"/>
        </w:numPr>
        <w:tabs>
          <w:tab w:val="clear" w:pos="567"/>
        </w:tabs>
        <w:spacing w:line="360" w:lineRule="auto"/>
        <w:ind w:left="851" w:hanging="851"/>
        <w:rPr>
          <w:rFonts w:ascii="Times New Roman" w:hAnsi="Times New Roman"/>
          <w:sz w:val="28"/>
          <w:szCs w:val="28"/>
        </w:rPr>
      </w:pPr>
      <w:r w:rsidRPr="00AA1E03">
        <w:rPr>
          <w:rFonts w:ascii="Times New Roman" w:hAnsi="Times New Roman"/>
          <w:sz w:val="28"/>
          <w:szCs w:val="28"/>
        </w:rPr>
        <w:t xml:space="preserve">In </w:t>
      </w:r>
      <w:r w:rsidRPr="00AA1E03">
        <w:rPr>
          <w:rFonts w:ascii="Times New Roman" w:hAnsi="Times New Roman"/>
          <w:i/>
          <w:sz w:val="28"/>
          <w:szCs w:val="28"/>
        </w:rPr>
        <w:t>Nelson Mandela Bay Metropolitan Municipality v Petuna</w:t>
      </w:r>
      <w:r w:rsidRPr="00AA1E03">
        <w:rPr>
          <w:rFonts w:ascii="Times New Roman" w:hAnsi="Times New Roman"/>
          <w:sz w:val="28"/>
          <w:szCs w:val="28"/>
        </w:rPr>
        <w:t>, and in circumstances in which the plaintiff in this matter pursued a claim against a former employee, Chetty J said the following about section 32:</w:t>
      </w:r>
      <w:r w:rsidRPr="00AA1E03">
        <w:rPr>
          <w:rStyle w:val="FootnoteReference"/>
          <w:rFonts w:ascii="Times New Roman" w:hAnsi="Times New Roman"/>
          <w:sz w:val="28"/>
          <w:szCs w:val="28"/>
        </w:rPr>
        <w:t xml:space="preserve"> </w:t>
      </w:r>
      <w:r w:rsidRPr="00AA1E03">
        <w:rPr>
          <w:rStyle w:val="FootnoteReference"/>
          <w:rFonts w:ascii="Times New Roman" w:hAnsi="Times New Roman"/>
          <w:sz w:val="28"/>
          <w:szCs w:val="28"/>
        </w:rPr>
        <w:footnoteReference w:id="14"/>
      </w:r>
    </w:p>
    <w:p w:rsidR="002C755E" w:rsidRPr="00AA1E03" w:rsidRDefault="002C755E" w:rsidP="002C755E">
      <w:pPr>
        <w:pStyle w:val="LegalList1"/>
        <w:spacing w:line="276" w:lineRule="auto"/>
        <w:ind w:left="1440"/>
        <w:rPr>
          <w:rFonts w:cs="Arial"/>
          <w:i/>
          <w:sz w:val="22"/>
          <w:szCs w:val="22"/>
        </w:rPr>
      </w:pPr>
      <w:r w:rsidRPr="00AA1E03">
        <w:rPr>
          <w:rFonts w:cs="Arial"/>
          <w:i/>
          <w:sz w:val="22"/>
          <w:szCs w:val="22"/>
        </w:rPr>
        <w:t>“Civil proceedings to recover unauthorised, irregular or fruitless and wasteful expenditure is an obligation which a municipality is statutorily enjoined to Institute. The plaintiff’s cause of action is clearly posited upon the provisions of section 32(1)(c) of the Act which provides that any political office bearer or official of a municipality who deliberately or negligently committed, made authorised and irregular expenditure is liable for that expenditure.</w:t>
      </w:r>
    </w:p>
    <w:p w:rsidR="002C755E" w:rsidRPr="00AA1E03" w:rsidRDefault="002C755E" w:rsidP="002C755E">
      <w:pPr>
        <w:pStyle w:val="LegalList1"/>
        <w:numPr>
          <w:ilvl w:val="0"/>
          <w:numId w:val="2"/>
        </w:numPr>
        <w:tabs>
          <w:tab w:val="clear" w:pos="567"/>
        </w:tabs>
        <w:spacing w:line="360" w:lineRule="auto"/>
        <w:ind w:left="851" w:hanging="851"/>
        <w:rPr>
          <w:rFonts w:ascii="Times New Roman" w:hAnsi="Times New Roman"/>
          <w:sz w:val="28"/>
          <w:szCs w:val="28"/>
        </w:rPr>
      </w:pPr>
      <w:r w:rsidRPr="00AA1E03">
        <w:rPr>
          <w:rFonts w:ascii="Times New Roman" w:hAnsi="Times New Roman"/>
          <w:sz w:val="28"/>
          <w:szCs w:val="28"/>
        </w:rPr>
        <w:t>The learned judge stated further:</w:t>
      </w:r>
    </w:p>
    <w:p w:rsidR="002C755E" w:rsidRPr="00AA1E03" w:rsidRDefault="002C755E" w:rsidP="002C755E">
      <w:pPr>
        <w:pStyle w:val="LegalList1"/>
        <w:spacing w:line="276" w:lineRule="auto"/>
        <w:ind w:left="1440"/>
        <w:rPr>
          <w:rFonts w:cs="Arial"/>
          <w:i/>
          <w:sz w:val="22"/>
          <w:szCs w:val="22"/>
        </w:rPr>
      </w:pPr>
      <w:r w:rsidRPr="00AA1E03">
        <w:rPr>
          <w:rFonts w:cs="Arial"/>
          <w:i/>
          <w:sz w:val="22"/>
          <w:szCs w:val="22"/>
        </w:rPr>
        <w:t>“the language of the section is clear and unambiguous and has only one meaning…”</w:t>
      </w:r>
    </w:p>
    <w:p w:rsidR="002C755E" w:rsidRPr="00AA1E03" w:rsidRDefault="002C755E" w:rsidP="002C755E">
      <w:pPr>
        <w:pStyle w:val="LegalList1"/>
        <w:numPr>
          <w:ilvl w:val="0"/>
          <w:numId w:val="2"/>
        </w:numPr>
        <w:tabs>
          <w:tab w:val="clear" w:pos="567"/>
        </w:tabs>
        <w:spacing w:line="360" w:lineRule="auto"/>
        <w:ind w:left="851" w:hanging="851"/>
        <w:rPr>
          <w:rFonts w:ascii="Times New Roman" w:hAnsi="Times New Roman"/>
          <w:sz w:val="28"/>
          <w:szCs w:val="28"/>
        </w:rPr>
      </w:pPr>
      <w:r w:rsidRPr="00AA1E03">
        <w:rPr>
          <w:rFonts w:ascii="Times New Roman" w:hAnsi="Times New Roman"/>
          <w:sz w:val="28"/>
          <w:szCs w:val="28"/>
        </w:rPr>
        <w:t xml:space="preserve">In his judgment </w:t>
      </w:r>
      <w:r w:rsidRPr="00AA1E03">
        <w:rPr>
          <w:rFonts w:ascii="Times New Roman" w:hAnsi="Times New Roman"/>
          <w:i/>
          <w:sz w:val="28"/>
          <w:szCs w:val="28"/>
        </w:rPr>
        <w:t xml:space="preserve">supra </w:t>
      </w:r>
      <w:r w:rsidRPr="00AA1E03">
        <w:rPr>
          <w:rFonts w:ascii="Times New Roman" w:hAnsi="Times New Roman"/>
          <w:sz w:val="28"/>
          <w:szCs w:val="28"/>
        </w:rPr>
        <w:t>Goosen J concluded that:</w:t>
      </w:r>
    </w:p>
    <w:p w:rsidR="002C755E" w:rsidRPr="00AA1E03" w:rsidRDefault="002C755E" w:rsidP="002C755E">
      <w:pPr>
        <w:pStyle w:val="LegalList1"/>
        <w:spacing w:line="276" w:lineRule="auto"/>
        <w:ind w:left="1440"/>
        <w:rPr>
          <w:rFonts w:cs="Arial"/>
          <w:i/>
          <w:sz w:val="22"/>
          <w:szCs w:val="22"/>
        </w:rPr>
      </w:pPr>
      <w:r w:rsidRPr="00AA1E03">
        <w:rPr>
          <w:rFonts w:cs="Arial"/>
          <w:i/>
          <w:sz w:val="22"/>
          <w:szCs w:val="22"/>
        </w:rPr>
        <w:t>“A reading of</w:t>
      </w:r>
      <w:r w:rsidRPr="008D3CFE">
        <w:rPr>
          <w:rFonts w:cs="Arial"/>
          <w:sz w:val="22"/>
          <w:szCs w:val="22"/>
        </w:rPr>
        <w:t xml:space="preserve"> </w:t>
      </w:r>
      <w:r w:rsidR="006B0006">
        <w:rPr>
          <w:rFonts w:cs="Arial"/>
          <w:sz w:val="22"/>
          <w:szCs w:val="22"/>
        </w:rPr>
        <w:t xml:space="preserve"> </w:t>
      </w:r>
      <w:r w:rsidRPr="008D3CFE">
        <w:rPr>
          <w:rFonts w:cs="Arial"/>
          <w:sz w:val="22"/>
          <w:szCs w:val="22"/>
        </w:rPr>
        <w:t>[the section]</w:t>
      </w:r>
      <w:r w:rsidRPr="00AA1E03">
        <w:rPr>
          <w:rFonts w:cs="Arial"/>
          <w:i/>
          <w:sz w:val="22"/>
          <w:szCs w:val="22"/>
        </w:rPr>
        <w:t xml:space="preserve"> makes it plain that a municipality is obliged to recover unauthorised, irregular or fruitless expenditure unless the expenditure has been authorised or has subsequently been certified to be irrecoverable and written off. No preconditions are set for recovery in terms of </w:t>
      </w:r>
      <w:r w:rsidRPr="008D3CFE">
        <w:rPr>
          <w:rFonts w:cs="Arial"/>
          <w:sz w:val="22"/>
          <w:szCs w:val="22"/>
        </w:rPr>
        <w:t>[the section]</w:t>
      </w:r>
      <w:r w:rsidRPr="00AA1E03">
        <w:rPr>
          <w:rFonts w:cs="Arial"/>
          <w:i/>
          <w:sz w:val="22"/>
          <w:szCs w:val="22"/>
        </w:rPr>
        <w:t>.”</w:t>
      </w:r>
    </w:p>
    <w:p w:rsidR="002C755E" w:rsidRPr="00AA1E03" w:rsidRDefault="002C755E" w:rsidP="002C755E">
      <w:pPr>
        <w:pStyle w:val="LegalList1"/>
        <w:numPr>
          <w:ilvl w:val="0"/>
          <w:numId w:val="2"/>
        </w:numPr>
        <w:tabs>
          <w:tab w:val="clear" w:pos="567"/>
        </w:tabs>
        <w:spacing w:line="360" w:lineRule="auto"/>
        <w:ind w:left="851" w:hanging="851"/>
        <w:rPr>
          <w:rFonts w:ascii="Times New Roman" w:hAnsi="Times New Roman"/>
          <w:sz w:val="28"/>
          <w:szCs w:val="28"/>
        </w:rPr>
      </w:pPr>
      <w:r w:rsidRPr="00AA1E03">
        <w:rPr>
          <w:rFonts w:ascii="Times New Roman" w:hAnsi="Times New Roman"/>
          <w:sz w:val="28"/>
          <w:szCs w:val="28"/>
        </w:rPr>
        <w:t xml:space="preserve">The categories of unlawful expenditure mentioned in the section are defined in section 1 of the MFMA. </w:t>
      </w:r>
      <w:r w:rsidRPr="00AA1E03">
        <w:rPr>
          <w:rFonts w:ascii="Times New Roman" w:hAnsi="Times New Roman"/>
          <w:i/>
          <w:sz w:val="28"/>
          <w:szCs w:val="28"/>
        </w:rPr>
        <w:t>Irregular expenditure</w:t>
      </w:r>
      <w:r w:rsidRPr="00AA1E03">
        <w:rPr>
          <w:rFonts w:ascii="Times New Roman" w:hAnsi="Times New Roman"/>
          <w:sz w:val="28"/>
          <w:szCs w:val="28"/>
        </w:rPr>
        <w:t xml:space="preserve"> is the category under which the plaintiff contends the employee defendants assume liability. In broad summary it is expenditure incurred in contravention of, or which </w:t>
      </w:r>
      <w:r w:rsidR="001602D8">
        <w:rPr>
          <w:rFonts w:ascii="Times New Roman" w:hAnsi="Times New Roman"/>
          <w:sz w:val="28"/>
          <w:szCs w:val="28"/>
        </w:rPr>
        <w:t xml:space="preserve">is </w:t>
      </w:r>
      <w:r w:rsidRPr="00AA1E03">
        <w:rPr>
          <w:rFonts w:ascii="Times New Roman" w:hAnsi="Times New Roman"/>
          <w:sz w:val="28"/>
          <w:szCs w:val="28"/>
        </w:rPr>
        <w:t xml:space="preserve">discordant with a requirement of the MFMA including various other statutory provisions and in particular: </w:t>
      </w:r>
      <w:r w:rsidRPr="00AA1E03">
        <w:rPr>
          <w:rFonts w:ascii="Times New Roman" w:hAnsi="Times New Roman"/>
          <w:i/>
          <w:sz w:val="28"/>
          <w:szCs w:val="28"/>
        </w:rPr>
        <w:t>“expenditure incurred by a municipality… in contravention of, or that is not in accordance with the requirement of the supply chain management policy of the municipality… or any of the municipality’s by-laws giving effect to such policy and which has not been condoned in terms of such policy or by-law.”</w:t>
      </w:r>
      <w:r w:rsidRPr="00AA1E03">
        <w:rPr>
          <w:rStyle w:val="FootnoteReference"/>
          <w:rFonts w:ascii="Times New Roman" w:hAnsi="Times New Roman"/>
          <w:i/>
          <w:sz w:val="28"/>
          <w:szCs w:val="28"/>
        </w:rPr>
        <w:footnoteReference w:id="15"/>
      </w:r>
    </w:p>
    <w:p w:rsidR="002C755E" w:rsidRPr="00AA1E03" w:rsidRDefault="002C755E" w:rsidP="002C755E">
      <w:pPr>
        <w:pStyle w:val="LegalList1"/>
        <w:numPr>
          <w:ilvl w:val="0"/>
          <w:numId w:val="2"/>
        </w:numPr>
        <w:tabs>
          <w:tab w:val="clear" w:pos="567"/>
        </w:tabs>
        <w:spacing w:line="360" w:lineRule="auto"/>
        <w:ind w:left="851" w:hanging="851"/>
        <w:rPr>
          <w:rFonts w:ascii="Times New Roman" w:hAnsi="Times New Roman"/>
          <w:sz w:val="28"/>
          <w:szCs w:val="28"/>
        </w:rPr>
      </w:pPr>
      <w:r w:rsidRPr="00AA1E03">
        <w:rPr>
          <w:rFonts w:ascii="Times New Roman" w:hAnsi="Times New Roman"/>
          <w:sz w:val="28"/>
          <w:szCs w:val="28"/>
        </w:rPr>
        <w:t>I am in full agreement with the submission in the plaintiff’s heads of argument that a claim in terms of the section is a claim created by statute providing for the recovery of the amount of the category of expenditure in question from the office bearer or official liable therefor as a penalty (and not as damages). It is a self-standing claim based on the jurisdictional facts provided for in section 32(1). If these are present, the claim will lie without any other requirement (such as for example, to set aside any unlawful action that gave rise to the expenditure in question).</w:t>
      </w:r>
    </w:p>
    <w:p w:rsidR="001C2085" w:rsidRDefault="001C2085" w:rsidP="000D5AE6">
      <w:pPr>
        <w:pStyle w:val="LegalList1"/>
        <w:spacing w:line="360" w:lineRule="auto"/>
        <w:ind w:left="851"/>
        <w:rPr>
          <w:rFonts w:ascii="Times New Roman" w:hAnsi="Times New Roman"/>
          <w:sz w:val="28"/>
          <w:szCs w:val="28"/>
        </w:rPr>
      </w:pPr>
      <w:r>
        <w:rPr>
          <w:rFonts w:ascii="Times New Roman" w:hAnsi="Times New Roman"/>
          <w:sz w:val="28"/>
          <w:szCs w:val="28"/>
        </w:rPr>
        <w:t>BACKGROUND</w:t>
      </w:r>
      <w:r w:rsidR="000D5AE6">
        <w:rPr>
          <w:rFonts w:ascii="Times New Roman" w:hAnsi="Times New Roman"/>
          <w:sz w:val="28"/>
          <w:szCs w:val="28"/>
        </w:rPr>
        <w:t xml:space="preserve"> – A SUMMARY OF THE PLEADINGS AND EVIDENCE</w:t>
      </w:r>
    </w:p>
    <w:p w:rsidR="001C2085" w:rsidRDefault="001C2085" w:rsidP="001C2085">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In the circumstances that follow, the plaintiff’s pleaded case (and the evidence adduced during trial) essentially tracks </w:t>
      </w:r>
      <w:r w:rsidR="000D5AE6">
        <w:rPr>
          <w:rFonts w:ascii="Times New Roman" w:hAnsi="Times New Roman"/>
          <w:sz w:val="28"/>
          <w:szCs w:val="28"/>
        </w:rPr>
        <w:t xml:space="preserve">the </w:t>
      </w:r>
      <w:r w:rsidR="00573E86">
        <w:rPr>
          <w:rFonts w:ascii="Times New Roman" w:hAnsi="Times New Roman"/>
          <w:sz w:val="28"/>
          <w:szCs w:val="28"/>
        </w:rPr>
        <w:t>sequence</w:t>
      </w:r>
      <w:r>
        <w:rPr>
          <w:rFonts w:ascii="Times New Roman" w:hAnsi="Times New Roman"/>
          <w:sz w:val="28"/>
          <w:szCs w:val="28"/>
        </w:rPr>
        <w:t xml:space="preserve"> of three payments made by the plaintiff to the first defendant for services ostensibly related to the IPTS project consequent to the first defendant’s irregular and unlawful appointment unrelated to any competitive procedure. The plaintiff alleges that the payments were made by the fifth defendant through officials of the plaintiff to whom the necessary authority to do so had been sub-delegated by the fifth defendant.</w:t>
      </w:r>
      <w:r>
        <w:rPr>
          <w:rStyle w:val="FootnoteReference"/>
          <w:rFonts w:ascii="Times New Roman" w:hAnsi="Times New Roman"/>
          <w:sz w:val="28"/>
          <w:szCs w:val="28"/>
        </w:rPr>
        <w:footnoteReference w:id="16"/>
      </w:r>
    </w:p>
    <w:p w:rsidR="001C2085" w:rsidRPr="007013A5" w:rsidRDefault="001C2085" w:rsidP="001C2085">
      <w:pPr>
        <w:pStyle w:val="LegalList1"/>
        <w:numPr>
          <w:ilvl w:val="0"/>
          <w:numId w:val="2"/>
        </w:numPr>
        <w:tabs>
          <w:tab w:val="clear" w:pos="567"/>
        </w:tabs>
        <w:spacing w:line="360" w:lineRule="auto"/>
        <w:ind w:left="851" w:hanging="851"/>
        <w:rPr>
          <w:rFonts w:ascii="Times New Roman" w:hAnsi="Times New Roman"/>
          <w:sz w:val="28"/>
          <w:szCs w:val="28"/>
        </w:rPr>
      </w:pPr>
      <w:r w:rsidRPr="00BD47EB">
        <w:rPr>
          <w:rFonts w:ascii="Times New Roman" w:hAnsi="Times New Roman"/>
          <w:color w:val="000000"/>
          <w:sz w:val="28"/>
          <w:szCs w:val="28"/>
        </w:rPr>
        <w:t>To begin with, the funding for the IPTS project was allocated to the plaintiff by the National Treasury as conditional grant funding.</w:t>
      </w:r>
      <w:r w:rsidRPr="00BD47EB">
        <w:rPr>
          <w:rStyle w:val="FootnoteReference"/>
          <w:rFonts w:ascii="Times New Roman" w:hAnsi="Times New Roman"/>
          <w:color w:val="000000"/>
          <w:sz w:val="28"/>
          <w:szCs w:val="28"/>
        </w:rPr>
        <w:footnoteReference w:id="17"/>
      </w:r>
      <w:r w:rsidRPr="00BD47EB">
        <w:rPr>
          <w:rFonts w:ascii="Times New Roman" w:hAnsi="Times New Roman"/>
          <w:color w:val="000000"/>
          <w:sz w:val="28"/>
          <w:szCs w:val="28"/>
        </w:rPr>
        <w:t xml:space="preserve"> </w:t>
      </w:r>
      <w:r>
        <w:rPr>
          <w:rFonts w:ascii="Times New Roman" w:hAnsi="Times New Roman"/>
          <w:color w:val="000000"/>
          <w:sz w:val="28"/>
          <w:szCs w:val="28"/>
        </w:rPr>
        <w:t xml:space="preserve">Mr Mettler, the municipal manager of the plaintiff for the period December 2015 to January 2020, </w:t>
      </w:r>
      <w:r w:rsidR="006069F3">
        <w:rPr>
          <w:rFonts w:ascii="Times New Roman" w:hAnsi="Times New Roman"/>
          <w:color w:val="000000"/>
          <w:sz w:val="28"/>
          <w:szCs w:val="28"/>
        </w:rPr>
        <w:t xml:space="preserve">testified that </w:t>
      </w:r>
      <w:r>
        <w:rPr>
          <w:rFonts w:ascii="Times New Roman" w:hAnsi="Times New Roman"/>
          <w:color w:val="000000"/>
          <w:sz w:val="28"/>
          <w:szCs w:val="28"/>
        </w:rPr>
        <w:t xml:space="preserve">such funding was </w:t>
      </w:r>
      <w:r w:rsidR="002233E0">
        <w:rPr>
          <w:rFonts w:ascii="Times New Roman" w:hAnsi="Times New Roman"/>
          <w:color w:val="000000"/>
          <w:sz w:val="28"/>
          <w:szCs w:val="28"/>
        </w:rPr>
        <w:t>ring-fenced</w:t>
      </w:r>
      <w:r>
        <w:rPr>
          <w:rFonts w:ascii="Times New Roman" w:hAnsi="Times New Roman"/>
          <w:color w:val="000000"/>
          <w:sz w:val="28"/>
          <w:szCs w:val="28"/>
        </w:rPr>
        <w:t xml:space="preserve"> by the national fiscus </w:t>
      </w:r>
      <w:r w:rsidRPr="00CB2ED7">
        <w:rPr>
          <w:rFonts w:ascii="Times New Roman" w:hAnsi="Times New Roman"/>
          <w:i/>
          <w:color w:val="000000"/>
          <w:sz w:val="28"/>
          <w:szCs w:val="28"/>
        </w:rPr>
        <w:t>“for a specific purpose, namely getting the bus service up and running”.</w:t>
      </w:r>
      <w:r w:rsidRPr="00CB2ED7">
        <w:rPr>
          <w:rStyle w:val="FootnoteReference"/>
          <w:rFonts w:ascii="Times New Roman" w:hAnsi="Times New Roman"/>
          <w:i/>
          <w:color w:val="000000"/>
          <w:sz w:val="28"/>
          <w:szCs w:val="28"/>
        </w:rPr>
        <w:footnoteReference w:id="18"/>
      </w:r>
      <w:r w:rsidRPr="00CB2ED7">
        <w:rPr>
          <w:rFonts w:ascii="Times New Roman" w:hAnsi="Times New Roman"/>
          <w:i/>
          <w:color w:val="000000"/>
          <w:sz w:val="28"/>
          <w:szCs w:val="28"/>
        </w:rPr>
        <w:t xml:space="preserve"> </w:t>
      </w:r>
      <w:r>
        <w:rPr>
          <w:rFonts w:ascii="Times New Roman" w:hAnsi="Times New Roman"/>
          <w:color w:val="000000"/>
          <w:sz w:val="28"/>
          <w:szCs w:val="28"/>
        </w:rPr>
        <w:t>The funding could only be utilised for that specific purpose and all expenditure incurred on the project had to accord with the budget approved by the National Treasury. Such funding did not fall outside the ambit of the usual constitutional and statutory prescripts for the procurement of goods and services and was, of necessity, subject to the procurement rules in terms of the MFMA and the plaintiff’s SCM policy. Hence, expenditure incurred outside the budgeted framework would be inconsistent with the conditions of the grant and had to be restored to the treasury.</w:t>
      </w:r>
      <w:r>
        <w:rPr>
          <w:rStyle w:val="FootnoteReference"/>
          <w:rFonts w:ascii="Times New Roman" w:hAnsi="Times New Roman"/>
          <w:color w:val="000000"/>
          <w:sz w:val="28"/>
          <w:szCs w:val="28"/>
        </w:rPr>
        <w:footnoteReference w:id="19"/>
      </w:r>
    </w:p>
    <w:p w:rsidR="001C2085" w:rsidRPr="00BD47EB" w:rsidRDefault="001C2085" w:rsidP="001C2085">
      <w:pPr>
        <w:pStyle w:val="LegalList1"/>
        <w:numPr>
          <w:ilvl w:val="0"/>
          <w:numId w:val="2"/>
        </w:numPr>
        <w:tabs>
          <w:tab w:val="clear" w:pos="567"/>
        </w:tabs>
        <w:spacing w:line="360" w:lineRule="auto"/>
        <w:ind w:left="851" w:hanging="851"/>
        <w:rPr>
          <w:rFonts w:ascii="Times New Roman" w:hAnsi="Times New Roman"/>
          <w:sz w:val="28"/>
          <w:szCs w:val="28"/>
        </w:rPr>
      </w:pPr>
      <w:r w:rsidRPr="00BD47EB">
        <w:rPr>
          <w:rFonts w:ascii="Times New Roman" w:hAnsi="Times New Roman"/>
          <w:color w:val="000000"/>
          <w:sz w:val="28"/>
          <w:szCs w:val="28"/>
        </w:rPr>
        <w:t>The fourth defendant was formerly and at all times relevant hereto employed by the plaintiff as its manager for the IPTS project</w:t>
      </w:r>
      <w:r>
        <w:rPr>
          <w:rFonts w:ascii="Times New Roman" w:hAnsi="Times New Roman"/>
          <w:color w:val="000000"/>
          <w:sz w:val="28"/>
          <w:szCs w:val="28"/>
        </w:rPr>
        <w:t>.</w:t>
      </w:r>
      <w:r w:rsidRPr="00BD47EB">
        <w:rPr>
          <w:rFonts w:ascii="Times New Roman" w:hAnsi="Times New Roman"/>
          <w:color w:val="000000"/>
          <w:sz w:val="28"/>
          <w:szCs w:val="28"/>
        </w:rPr>
        <w:t xml:space="preserve"> </w:t>
      </w:r>
      <w:r>
        <w:rPr>
          <w:rFonts w:ascii="Times New Roman" w:hAnsi="Times New Roman"/>
          <w:color w:val="000000"/>
          <w:sz w:val="28"/>
          <w:szCs w:val="28"/>
        </w:rPr>
        <w:t xml:space="preserve">Through the compilation of a </w:t>
      </w:r>
      <w:r w:rsidR="00AA2A56">
        <w:rPr>
          <w:rFonts w:ascii="Times New Roman" w:hAnsi="Times New Roman"/>
          <w:color w:val="000000"/>
          <w:sz w:val="28"/>
          <w:szCs w:val="28"/>
        </w:rPr>
        <w:t xml:space="preserve">string </w:t>
      </w:r>
      <w:r>
        <w:rPr>
          <w:rFonts w:ascii="Times New Roman" w:hAnsi="Times New Roman"/>
          <w:color w:val="000000"/>
          <w:sz w:val="28"/>
          <w:szCs w:val="28"/>
        </w:rPr>
        <w:t>of memoranda</w:t>
      </w:r>
      <w:r w:rsidR="0061579C">
        <w:rPr>
          <w:rFonts w:ascii="Times New Roman" w:hAnsi="Times New Roman"/>
          <w:color w:val="000000"/>
          <w:sz w:val="28"/>
          <w:szCs w:val="28"/>
        </w:rPr>
        <w:t>,</w:t>
      </w:r>
      <w:r>
        <w:rPr>
          <w:rFonts w:ascii="Times New Roman" w:hAnsi="Times New Roman"/>
          <w:color w:val="000000"/>
          <w:sz w:val="28"/>
          <w:szCs w:val="28"/>
        </w:rPr>
        <w:t xml:space="preserve"> t</w:t>
      </w:r>
      <w:r w:rsidRPr="00BD47EB">
        <w:rPr>
          <w:rFonts w:ascii="Times New Roman" w:hAnsi="Times New Roman"/>
          <w:color w:val="000000"/>
          <w:sz w:val="28"/>
          <w:szCs w:val="28"/>
        </w:rPr>
        <w:t xml:space="preserve">he evidence indicates that he procured (with the conscious or unconscious co-operation of other senior employee officials of the plaintiff) the appointment of the first defendant for the supply of services on a contract amount above the transaction value of R200 000 </w:t>
      </w:r>
      <w:r w:rsidR="00A00CFE">
        <w:rPr>
          <w:rFonts w:ascii="Times New Roman" w:hAnsi="Times New Roman"/>
          <w:color w:val="000000"/>
          <w:sz w:val="28"/>
          <w:szCs w:val="28"/>
        </w:rPr>
        <w:t xml:space="preserve">by deviating from the </w:t>
      </w:r>
      <w:r w:rsidRPr="00BD47EB">
        <w:rPr>
          <w:rFonts w:ascii="Times New Roman" w:hAnsi="Times New Roman"/>
          <w:color w:val="000000"/>
          <w:sz w:val="28"/>
          <w:szCs w:val="28"/>
        </w:rPr>
        <w:t>obligatory competitive bidding process stipulated in the SCM policy</w:t>
      </w:r>
      <w:r w:rsidR="00A00CFE">
        <w:rPr>
          <w:rFonts w:ascii="Times New Roman" w:hAnsi="Times New Roman"/>
          <w:color w:val="000000"/>
          <w:sz w:val="28"/>
          <w:szCs w:val="28"/>
        </w:rPr>
        <w:t xml:space="preserve">. </w:t>
      </w:r>
      <w:r w:rsidRPr="00BD47EB">
        <w:rPr>
          <w:rFonts w:ascii="Times New Roman" w:hAnsi="Times New Roman"/>
          <w:color w:val="000000"/>
          <w:sz w:val="28"/>
          <w:szCs w:val="28"/>
        </w:rPr>
        <w:t xml:space="preserve">Further indications are that he was instrumental in procuring funds for an additional payment </w:t>
      </w:r>
      <w:r>
        <w:rPr>
          <w:rFonts w:ascii="Times New Roman" w:hAnsi="Times New Roman"/>
          <w:color w:val="000000"/>
          <w:sz w:val="28"/>
          <w:szCs w:val="28"/>
        </w:rPr>
        <w:t>(</w:t>
      </w:r>
      <w:r w:rsidRPr="00BD47EB">
        <w:rPr>
          <w:rFonts w:ascii="Times New Roman" w:hAnsi="Times New Roman"/>
          <w:color w:val="000000"/>
          <w:sz w:val="28"/>
          <w:szCs w:val="28"/>
        </w:rPr>
        <w:t>for purposes unrelated to the IPTS project</w:t>
      </w:r>
      <w:r>
        <w:rPr>
          <w:rFonts w:ascii="Times New Roman" w:hAnsi="Times New Roman"/>
          <w:color w:val="000000"/>
          <w:sz w:val="28"/>
          <w:szCs w:val="28"/>
        </w:rPr>
        <w:t xml:space="preserve">) </w:t>
      </w:r>
      <w:r w:rsidRPr="00BD47EB">
        <w:rPr>
          <w:rFonts w:ascii="Times New Roman" w:hAnsi="Times New Roman"/>
          <w:color w:val="000000"/>
          <w:sz w:val="28"/>
          <w:szCs w:val="28"/>
        </w:rPr>
        <w:t>to the first defendant</w:t>
      </w:r>
      <w:r>
        <w:rPr>
          <w:rFonts w:ascii="Times New Roman" w:hAnsi="Times New Roman"/>
          <w:color w:val="000000"/>
          <w:sz w:val="28"/>
          <w:szCs w:val="28"/>
        </w:rPr>
        <w:t xml:space="preserve"> once the cap</w:t>
      </w:r>
      <w:r w:rsidRPr="00BD47EB">
        <w:rPr>
          <w:rFonts w:ascii="Times New Roman" w:hAnsi="Times New Roman"/>
          <w:color w:val="000000"/>
          <w:sz w:val="28"/>
          <w:szCs w:val="28"/>
        </w:rPr>
        <w:t xml:space="preserve"> </w:t>
      </w:r>
      <w:r>
        <w:rPr>
          <w:rFonts w:ascii="Times New Roman" w:hAnsi="Times New Roman"/>
          <w:color w:val="000000"/>
          <w:sz w:val="28"/>
          <w:szCs w:val="28"/>
        </w:rPr>
        <w:t xml:space="preserve">or limit </w:t>
      </w:r>
      <w:r w:rsidRPr="00BD47EB">
        <w:rPr>
          <w:rFonts w:ascii="Times New Roman" w:hAnsi="Times New Roman"/>
          <w:color w:val="000000"/>
          <w:sz w:val="28"/>
          <w:szCs w:val="28"/>
        </w:rPr>
        <w:t>on the contract amount was uplifted under the already unlawful contract awarded to the first defendant.</w:t>
      </w:r>
      <w:r w:rsidR="003B65AF">
        <w:rPr>
          <w:rFonts w:ascii="Times New Roman" w:hAnsi="Times New Roman"/>
          <w:color w:val="000000"/>
          <w:sz w:val="28"/>
          <w:szCs w:val="28"/>
        </w:rPr>
        <w:t xml:space="preserve"> </w:t>
      </w:r>
      <w:r w:rsidR="00DF73E1">
        <w:rPr>
          <w:rFonts w:ascii="Times New Roman" w:hAnsi="Times New Roman"/>
          <w:color w:val="000000"/>
          <w:sz w:val="28"/>
          <w:szCs w:val="28"/>
        </w:rPr>
        <w:t xml:space="preserve">It is the plaintiff’s case that in the </w:t>
      </w:r>
      <w:r w:rsidR="003B65AF">
        <w:rPr>
          <w:rFonts w:ascii="Times New Roman" w:hAnsi="Times New Roman"/>
          <w:color w:val="000000"/>
          <w:sz w:val="28"/>
          <w:szCs w:val="28"/>
        </w:rPr>
        <w:t xml:space="preserve">instances in which the memoranda were compiled the fourth defendant </w:t>
      </w:r>
      <w:r w:rsidR="00DF73E1">
        <w:rPr>
          <w:rFonts w:ascii="Times New Roman" w:hAnsi="Times New Roman"/>
          <w:color w:val="000000"/>
          <w:sz w:val="28"/>
          <w:szCs w:val="28"/>
        </w:rPr>
        <w:t>misrepresented the facts contained therein</w:t>
      </w:r>
      <w:r w:rsidR="00607011">
        <w:rPr>
          <w:rFonts w:ascii="Times New Roman" w:hAnsi="Times New Roman"/>
          <w:color w:val="000000"/>
          <w:sz w:val="28"/>
          <w:szCs w:val="28"/>
        </w:rPr>
        <w:t xml:space="preserve"> – that he did so unlawfully and intentionally, alternatively negligently and in breach of his dut</w:t>
      </w:r>
      <w:r w:rsidR="005B6491">
        <w:rPr>
          <w:rFonts w:ascii="Times New Roman" w:hAnsi="Times New Roman"/>
          <w:color w:val="000000"/>
          <w:sz w:val="28"/>
          <w:szCs w:val="28"/>
        </w:rPr>
        <w:t>y of good faith and diligence</w:t>
      </w:r>
      <w:r w:rsidR="0089402B">
        <w:rPr>
          <w:rFonts w:ascii="Times New Roman" w:hAnsi="Times New Roman"/>
          <w:color w:val="000000"/>
          <w:sz w:val="28"/>
          <w:szCs w:val="28"/>
        </w:rPr>
        <w:t>,</w:t>
      </w:r>
      <w:r w:rsidR="005B6491">
        <w:rPr>
          <w:rFonts w:ascii="Times New Roman" w:hAnsi="Times New Roman"/>
          <w:color w:val="000000"/>
          <w:sz w:val="28"/>
          <w:szCs w:val="28"/>
        </w:rPr>
        <w:t xml:space="preserve"> lies at the crux of its claim for damages against him (</w:t>
      </w:r>
      <w:r w:rsidR="00202F45">
        <w:rPr>
          <w:rFonts w:ascii="Times New Roman" w:hAnsi="Times New Roman"/>
          <w:color w:val="000000"/>
          <w:sz w:val="28"/>
          <w:szCs w:val="28"/>
        </w:rPr>
        <w:t>see</w:t>
      </w:r>
      <w:r w:rsidR="005B6491">
        <w:rPr>
          <w:rFonts w:ascii="Times New Roman" w:hAnsi="Times New Roman"/>
          <w:color w:val="000000"/>
          <w:sz w:val="28"/>
          <w:szCs w:val="28"/>
        </w:rPr>
        <w:t xml:space="preserve"> </w:t>
      </w:r>
      <w:r w:rsidR="00202F45">
        <w:rPr>
          <w:rFonts w:ascii="Times New Roman" w:hAnsi="Times New Roman"/>
          <w:color w:val="000000"/>
          <w:sz w:val="28"/>
          <w:szCs w:val="28"/>
        </w:rPr>
        <w:t xml:space="preserve">further </w:t>
      </w:r>
      <w:r w:rsidR="005B6491">
        <w:rPr>
          <w:rFonts w:ascii="Times New Roman" w:hAnsi="Times New Roman"/>
          <w:color w:val="000000"/>
          <w:sz w:val="28"/>
          <w:szCs w:val="28"/>
        </w:rPr>
        <w:t>below).</w:t>
      </w:r>
    </w:p>
    <w:p w:rsidR="001C2085" w:rsidRPr="00BD47EB" w:rsidRDefault="001C2085" w:rsidP="001C2085">
      <w:pPr>
        <w:pStyle w:val="LegalList1"/>
        <w:numPr>
          <w:ilvl w:val="0"/>
          <w:numId w:val="2"/>
        </w:numPr>
        <w:tabs>
          <w:tab w:val="clear" w:pos="567"/>
        </w:tabs>
        <w:spacing w:line="360" w:lineRule="auto"/>
        <w:ind w:left="851" w:hanging="851"/>
        <w:rPr>
          <w:rFonts w:ascii="Times New Roman" w:hAnsi="Times New Roman"/>
          <w:sz w:val="28"/>
          <w:szCs w:val="28"/>
        </w:rPr>
      </w:pPr>
      <w:r w:rsidRPr="00BD47EB">
        <w:rPr>
          <w:rFonts w:ascii="Times New Roman" w:hAnsi="Times New Roman"/>
          <w:color w:val="000000"/>
          <w:sz w:val="28"/>
          <w:szCs w:val="28"/>
        </w:rPr>
        <w:t xml:space="preserve">In </w:t>
      </w:r>
      <w:r w:rsidRPr="009445F3">
        <w:rPr>
          <w:rFonts w:ascii="Times New Roman" w:hAnsi="Times New Roman"/>
          <w:i/>
          <w:color w:val="000000"/>
          <w:sz w:val="28"/>
          <w:szCs w:val="28"/>
        </w:rPr>
        <w:t>Pietersen v The State</w:t>
      </w:r>
      <w:r>
        <w:rPr>
          <w:rStyle w:val="FootnoteReference"/>
          <w:rFonts w:ascii="Times New Roman" w:hAnsi="Times New Roman"/>
          <w:color w:val="000000"/>
          <w:sz w:val="28"/>
          <w:szCs w:val="28"/>
        </w:rPr>
        <w:footnoteReference w:id="20"/>
      </w:r>
      <w:r>
        <w:rPr>
          <w:rFonts w:ascii="Times New Roman" w:hAnsi="Times New Roman"/>
          <w:color w:val="000000"/>
          <w:sz w:val="28"/>
          <w:szCs w:val="28"/>
        </w:rPr>
        <w:t xml:space="preserve"> </w:t>
      </w:r>
      <w:r w:rsidRPr="00BD47EB">
        <w:rPr>
          <w:rFonts w:ascii="Times New Roman" w:hAnsi="Times New Roman"/>
          <w:color w:val="000000"/>
          <w:sz w:val="28"/>
          <w:szCs w:val="28"/>
        </w:rPr>
        <w:t xml:space="preserve">an appeal court considered the conviction of </w:t>
      </w:r>
      <w:r>
        <w:rPr>
          <w:rFonts w:ascii="Times New Roman" w:hAnsi="Times New Roman"/>
          <w:color w:val="000000"/>
          <w:sz w:val="28"/>
          <w:szCs w:val="28"/>
        </w:rPr>
        <w:t>the appellant (</w:t>
      </w:r>
      <w:r w:rsidRPr="00BD47EB">
        <w:rPr>
          <w:rFonts w:ascii="Times New Roman" w:hAnsi="Times New Roman"/>
          <w:color w:val="000000"/>
          <w:sz w:val="28"/>
          <w:szCs w:val="28"/>
        </w:rPr>
        <w:t xml:space="preserve">a former accounting officer) on criminal charges under the MFMA </w:t>
      </w:r>
      <w:r w:rsidRPr="00BD47EB">
        <w:rPr>
          <w:rFonts w:ascii="Times New Roman" w:hAnsi="Times New Roman"/>
          <w:i/>
          <w:color w:val="000000"/>
          <w:sz w:val="28"/>
          <w:szCs w:val="28"/>
        </w:rPr>
        <w:t>inter alia</w:t>
      </w:r>
      <w:r w:rsidRPr="00BD47EB">
        <w:rPr>
          <w:rFonts w:ascii="Times New Roman" w:hAnsi="Times New Roman"/>
          <w:color w:val="000000"/>
          <w:sz w:val="28"/>
          <w:szCs w:val="28"/>
        </w:rPr>
        <w:t xml:space="preserve"> relating to irregular expenditure negligently caused by his approval of a “deviation” in terms of policy provisions precisely similar to those contained in the SCM policy of the plaintiff. The court concluded that:</w:t>
      </w:r>
    </w:p>
    <w:p w:rsidR="001C2085" w:rsidRPr="00C417A8" w:rsidRDefault="001C2085" w:rsidP="001C2085">
      <w:pPr>
        <w:pStyle w:val="LegalList1"/>
        <w:spacing w:line="360" w:lineRule="auto"/>
        <w:ind w:left="1440"/>
        <w:rPr>
          <w:rFonts w:cs="Arial"/>
          <w:i/>
          <w:sz w:val="22"/>
          <w:szCs w:val="22"/>
        </w:rPr>
      </w:pPr>
      <w:r w:rsidRPr="00C417A8">
        <w:rPr>
          <w:rFonts w:cs="Arial"/>
          <w:i/>
          <w:color w:val="000000"/>
          <w:sz w:val="22"/>
          <w:szCs w:val="22"/>
        </w:rPr>
        <w:t xml:space="preserve">“The deviation was a stratagem designed to justify the appointment of </w:t>
      </w:r>
      <w:r w:rsidRPr="008B21B7">
        <w:rPr>
          <w:rFonts w:cs="Arial"/>
          <w:color w:val="000000"/>
          <w:sz w:val="22"/>
          <w:szCs w:val="22"/>
        </w:rPr>
        <w:t xml:space="preserve">[the service provider] </w:t>
      </w:r>
      <w:r w:rsidRPr="00C417A8">
        <w:rPr>
          <w:rFonts w:cs="Arial"/>
          <w:i/>
          <w:color w:val="000000"/>
          <w:sz w:val="22"/>
          <w:szCs w:val="22"/>
        </w:rPr>
        <w:t>the politically preselected consultant, for an open ended range of purposes over an extended period without a competitive tender process</w:t>
      </w:r>
      <w:r>
        <w:rPr>
          <w:rFonts w:cs="Arial"/>
          <w:i/>
          <w:color w:val="000000"/>
          <w:sz w:val="22"/>
          <w:szCs w:val="22"/>
        </w:rPr>
        <w:t>. I</w:t>
      </w:r>
      <w:r w:rsidRPr="00C417A8">
        <w:rPr>
          <w:rFonts w:cs="Arial"/>
          <w:i/>
          <w:color w:val="000000"/>
          <w:sz w:val="22"/>
          <w:szCs w:val="22"/>
        </w:rPr>
        <w:t xml:space="preserve">t did not meet the requirement of Regulation 36 and was therefore invalid. As a result, all </w:t>
      </w:r>
      <w:r>
        <w:rPr>
          <w:rFonts w:cs="Arial"/>
          <w:i/>
          <w:color w:val="000000"/>
          <w:sz w:val="22"/>
          <w:szCs w:val="22"/>
        </w:rPr>
        <w:t xml:space="preserve">the </w:t>
      </w:r>
      <w:r w:rsidRPr="00C417A8">
        <w:rPr>
          <w:rFonts w:cs="Arial"/>
          <w:i/>
          <w:color w:val="000000"/>
          <w:sz w:val="22"/>
          <w:szCs w:val="22"/>
        </w:rPr>
        <w:t xml:space="preserve">expenditure incurred on </w:t>
      </w:r>
      <w:r w:rsidRPr="00E97D40">
        <w:rPr>
          <w:rFonts w:cs="Arial"/>
          <w:color w:val="000000"/>
          <w:sz w:val="22"/>
          <w:szCs w:val="22"/>
        </w:rPr>
        <w:t xml:space="preserve">[the service provider] </w:t>
      </w:r>
      <w:r w:rsidRPr="00C417A8">
        <w:rPr>
          <w:rFonts w:cs="Arial"/>
          <w:i/>
          <w:color w:val="000000"/>
          <w:sz w:val="22"/>
          <w:szCs w:val="22"/>
        </w:rPr>
        <w:t xml:space="preserve">was incurred in contravention of the SCM policy. That had the consequence that the payments to </w:t>
      </w:r>
      <w:r w:rsidRPr="00314AB3">
        <w:rPr>
          <w:rFonts w:cs="Arial"/>
          <w:color w:val="000000"/>
          <w:sz w:val="22"/>
          <w:szCs w:val="22"/>
        </w:rPr>
        <w:t>[the service provider]</w:t>
      </w:r>
      <w:r w:rsidRPr="00C417A8">
        <w:rPr>
          <w:rFonts w:cs="Arial"/>
          <w:i/>
          <w:color w:val="000000"/>
          <w:sz w:val="22"/>
          <w:szCs w:val="22"/>
        </w:rPr>
        <w:t xml:space="preserve"> constituted irregular expenditure as defined in the MFMA, since all expenditure incurred in contravention of a municipality’s SCM policy … amounts to irregular expenditure.”</w:t>
      </w:r>
    </w:p>
    <w:p w:rsidR="001C2085" w:rsidRPr="00BD47EB" w:rsidRDefault="001C2085" w:rsidP="001C2085">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This statement, as correctly submitted by plaintiff’s counsel, unmistakably resonates with what occurred in this matter.</w:t>
      </w:r>
    </w:p>
    <w:p w:rsidR="001C2085" w:rsidRPr="00D96E71" w:rsidRDefault="001C2085" w:rsidP="001C2085">
      <w:pPr>
        <w:pStyle w:val="LegalList1"/>
        <w:numPr>
          <w:ilvl w:val="0"/>
          <w:numId w:val="2"/>
        </w:numPr>
        <w:tabs>
          <w:tab w:val="clear" w:pos="567"/>
        </w:tabs>
        <w:spacing w:line="360" w:lineRule="auto"/>
        <w:ind w:left="851" w:hanging="851"/>
        <w:rPr>
          <w:rFonts w:ascii="Times New Roman" w:hAnsi="Times New Roman"/>
          <w:b/>
          <w:i/>
          <w:sz w:val="28"/>
          <w:szCs w:val="28"/>
        </w:rPr>
      </w:pPr>
      <w:r>
        <w:rPr>
          <w:rFonts w:ascii="Times New Roman" w:hAnsi="Times New Roman"/>
          <w:color w:val="000000"/>
          <w:sz w:val="28"/>
          <w:szCs w:val="28"/>
        </w:rPr>
        <w:t>In a memorandum dated 28 January 2014 (“the first memorandum”) the fourth defendant sought the authority of the third defendant as municipal manager (a.k.a the city manager) to appoint the first defendant directly as a lead consultant to the plaintiff “</w:t>
      </w:r>
      <w:r w:rsidRPr="00D96E71">
        <w:rPr>
          <w:rFonts w:ascii="Times New Roman" w:hAnsi="Times New Roman"/>
          <w:i/>
          <w:color w:val="000000"/>
          <w:sz w:val="28"/>
          <w:szCs w:val="28"/>
        </w:rPr>
        <w:t xml:space="preserve">for the development and implementation of </w:t>
      </w:r>
      <w:r>
        <w:rPr>
          <w:rFonts w:ascii="Times New Roman" w:hAnsi="Times New Roman"/>
          <w:i/>
          <w:color w:val="000000"/>
          <w:sz w:val="28"/>
          <w:szCs w:val="28"/>
        </w:rPr>
        <w:t>a c</w:t>
      </w:r>
      <w:r w:rsidRPr="00D96E71">
        <w:rPr>
          <w:rFonts w:ascii="Times New Roman" w:hAnsi="Times New Roman"/>
          <w:i/>
          <w:color w:val="000000"/>
          <w:sz w:val="28"/>
          <w:szCs w:val="28"/>
        </w:rPr>
        <w:t xml:space="preserve">omprehensive </w:t>
      </w:r>
      <w:r>
        <w:rPr>
          <w:rFonts w:ascii="Times New Roman" w:hAnsi="Times New Roman"/>
          <w:i/>
          <w:color w:val="000000"/>
          <w:sz w:val="28"/>
          <w:szCs w:val="28"/>
        </w:rPr>
        <w:t>c</w:t>
      </w:r>
      <w:r w:rsidRPr="00D96E71">
        <w:rPr>
          <w:rFonts w:ascii="Times New Roman" w:hAnsi="Times New Roman"/>
          <w:i/>
          <w:color w:val="000000"/>
          <w:sz w:val="28"/>
          <w:szCs w:val="28"/>
        </w:rPr>
        <w:t>ommunication</w:t>
      </w:r>
      <w:r>
        <w:rPr>
          <w:rFonts w:ascii="Times New Roman" w:hAnsi="Times New Roman"/>
          <w:i/>
          <w:color w:val="000000"/>
          <w:sz w:val="28"/>
          <w:szCs w:val="28"/>
        </w:rPr>
        <w:t>s</w:t>
      </w:r>
      <w:r w:rsidRPr="00D96E71">
        <w:rPr>
          <w:rFonts w:ascii="Times New Roman" w:hAnsi="Times New Roman"/>
          <w:i/>
          <w:color w:val="000000"/>
          <w:sz w:val="28"/>
          <w:szCs w:val="28"/>
        </w:rPr>
        <w:t xml:space="preserve"> and </w:t>
      </w:r>
      <w:r>
        <w:rPr>
          <w:rFonts w:ascii="Times New Roman" w:hAnsi="Times New Roman"/>
          <w:i/>
          <w:color w:val="000000"/>
          <w:sz w:val="28"/>
          <w:szCs w:val="28"/>
        </w:rPr>
        <w:t>marketing s</w:t>
      </w:r>
      <w:r w:rsidRPr="00D96E71">
        <w:rPr>
          <w:rFonts w:ascii="Times New Roman" w:hAnsi="Times New Roman"/>
          <w:i/>
          <w:color w:val="000000"/>
          <w:sz w:val="28"/>
          <w:szCs w:val="28"/>
        </w:rPr>
        <w:t xml:space="preserve">trategy </w:t>
      </w:r>
      <w:r w:rsidRPr="00797634">
        <w:rPr>
          <w:rFonts w:ascii="Times New Roman" w:hAnsi="Times New Roman"/>
          <w:color w:val="000000"/>
          <w:sz w:val="28"/>
          <w:szCs w:val="28"/>
        </w:rPr>
        <w:t>[for the IPTS project]</w:t>
      </w:r>
      <w:r>
        <w:rPr>
          <w:rFonts w:ascii="Times New Roman" w:hAnsi="Times New Roman"/>
          <w:color w:val="000000"/>
          <w:sz w:val="28"/>
          <w:szCs w:val="28"/>
        </w:rPr>
        <w:t>.”</w:t>
      </w:r>
      <w:r>
        <w:rPr>
          <w:rStyle w:val="FootnoteReference"/>
          <w:rFonts w:ascii="Times New Roman" w:hAnsi="Times New Roman"/>
          <w:color w:val="000000"/>
          <w:sz w:val="28"/>
          <w:szCs w:val="28"/>
        </w:rPr>
        <w:footnoteReference w:id="21"/>
      </w:r>
      <w:r>
        <w:rPr>
          <w:rFonts w:ascii="Times New Roman" w:hAnsi="Times New Roman"/>
          <w:color w:val="000000"/>
          <w:sz w:val="28"/>
          <w:szCs w:val="28"/>
        </w:rPr>
        <w:t xml:space="preserve"> At the time the third defendant was an incumbent in an acting capacity in place of the second defendant. It was motivated that the appointment will be for the duration of 12 months at R300 000 per month for the specified period with the contract amount capped at approximately R6 million (excluding contingencies and inclusive of VAT).</w:t>
      </w:r>
      <w:r>
        <w:rPr>
          <w:rStyle w:val="FootnoteReference"/>
          <w:rFonts w:ascii="Times New Roman" w:hAnsi="Times New Roman"/>
          <w:color w:val="000000"/>
          <w:sz w:val="28"/>
          <w:szCs w:val="28"/>
        </w:rPr>
        <w:footnoteReference w:id="22"/>
      </w:r>
      <w:r>
        <w:rPr>
          <w:rFonts w:ascii="Times New Roman" w:hAnsi="Times New Roman"/>
          <w:color w:val="000000"/>
          <w:sz w:val="28"/>
          <w:szCs w:val="28"/>
        </w:rPr>
        <w:t xml:space="preserve"> In its heading the memorandum indicates that the fourth defendant purported to rely on paragraph 39 of the SCM policy where provision is made for an </w:t>
      </w:r>
      <w:r w:rsidRPr="00ED4861">
        <w:rPr>
          <w:rFonts w:ascii="Times New Roman" w:hAnsi="Times New Roman"/>
          <w:i/>
          <w:color w:val="000000"/>
          <w:sz w:val="28"/>
          <w:szCs w:val="28"/>
        </w:rPr>
        <w:t>“exceptional case where it is impractical or impossible to follow the official procurement processes”</w:t>
      </w:r>
      <w:r>
        <w:rPr>
          <w:rFonts w:ascii="Times New Roman" w:hAnsi="Times New Roman"/>
          <w:color w:val="000000"/>
          <w:sz w:val="28"/>
          <w:szCs w:val="28"/>
        </w:rPr>
        <w:t>.</w:t>
      </w:r>
      <w:r>
        <w:rPr>
          <w:rStyle w:val="FootnoteReference"/>
          <w:rFonts w:ascii="Times New Roman" w:hAnsi="Times New Roman"/>
          <w:color w:val="000000"/>
          <w:sz w:val="28"/>
          <w:szCs w:val="28"/>
        </w:rPr>
        <w:footnoteReference w:id="23"/>
      </w:r>
      <w:r>
        <w:rPr>
          <w:rFonts w:ascii="Times New Roman" w:hAnsi="Times New Roman"/>
          <w:color w:val="000000"/>
          <w:sz w:val="28"/>
          <w:szCs w:val="28"/>
        </w:rPr>
        <w:t xml:space="preserve"> </w:t>
      </w:r>
    </w:p>
    <w:p w:rsidR="001C2085" w:rsidRPr="006B4732" w:rsidRDefault="001C2085" w:rsidP="001C2085">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 xml:space="preserve">Except for pointing out that there is a current service provider but that </w:t>
      </w:r>
      <w:r w:rsidRPr="00DB07A4">
        <w:rPr>
          <w:rFonts w:ascii="Times New Roman" w:hAnsi="Times New Roman"/>
          <w:i/>
          <w:color w:val="000000"/>
          <w:sz w:val="28"/>
          <w:szCs w:val="28"/>
        </w:rPr>
        <w:t xml:space="preserve">“an evaluation” </w:t>
      </w:r>
      <w:r>
        <w:rPr>
          <w:rFonts w:ascii="Times New Roman" w:hAnsi="Times New Roman"/>
          <w:color w:val="000000"/>
          <w:sz w:val="28"/>
          <w:szCs w:val="28"/>
        </w:rPr>
        <w:t xml:space="preserve">had indicated that </w:t>
      </w:r>
      <w:r w:rsidRPr="00DB07A4">
        <w:rPr>
          <w:rFonts w:ascii="Times New Roman" w:hAnsi="Times New Roman"/>
          <w:i/>
          <w:color w:val="000000"/>
          <w:sz w:val="28"/>
          <w:szCs w:val="28"/>
        </w:rPr>
        <w:t>“it is unable to continue with the marketing component of the project”</w:t>
      </w:r>
      <w:r>
        <w:rPr>
          <w:rStyle w:val="FootnoteReference"/>
          <w:rFonts w:ascii="Times New Roman" w:hAnsi="Times New Roman"/>
          <w:i/>
          <w:color w:val="000000"/>
          <w:sz w:val="28"/>
          <w:szCs w:val="28"/>
        </w:rPr>
        <w:footnoteReference w:id="24"/>
      </w:r>
      <w:r>
        <w:rPr>
          <w:rFonts w:ascii="Times New Roman" w:hAnsi="Times New Roman"/>
          <w:color w:val="000000"/>
          <w:sz w:val="28"/>
          <w:szCs w:val="28"/>
        </w:rPr>
        <w:t>, the memorandum offers no indication as to how the first defendant was identified, much less does it offer indication</w:t>
      </w:r>
      <w:r w:rsidR="00A57054">
        <w:rPr>
          <w:rFonts w:ascii="Times New Roman" w:hAnsi="Times New Roman"/>
          <w:color w:val="000000"/>
          <w:sz w:val="28"/>
          <w:szCs w:val="28"/>
        </w:rPr>
        <w:t>s</w:t>
      </w:r>
      <w:r>
        <w:rPr>
          <w:rFonts w:ascii="Times New Roman" w:hAnsi="Times New Roman"/>
          <w:color w:val="000000"/>
          <w:sz w:val="28"/>
          <w:szCs w:val="28"/>
        </w:rPr>
        <w:t xml:space="preserve"> of the detailed scope of work to be undertaken or the first defendant’s suitability to give effect to the mandate.</w:t>
      </w:r>
    </w:p>
    <w:p w:rsidR="001C2085" w:rsidRPr="002D024C" w:rsidRDefault="001C2085" w:rsidP="001C2085">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As required by the plaintiff’s internal procedures, prior to the memorandum being submitted to the third defendant, it was circulated to the eighth defendant (the executive director to whom the fourth defendant was accountable) who</w:t>
      </w:r>
      <w:r w:rsidR="00A57054">
        <w:rPr>
          <w:rFonts w:ascii="Times New Roman" w:hAnsi="Times New Roman"/>
          <w:color w:val="000000"/>
          <w:sz w:val="28"/>
          <w:szCs w:val="28"/>
        </w:rPr>
        <w:t>,</w:t>
      </w:r>
      <w:r>
        <w:rPr>
          <w:rFonts w:ascii="Times New Roman" w:hAnsi="Times New Roman"/>
          <w:color w:val="000000"/>
          <w:sz w:val="28"/>
          <w:szCs w:val="28"/>
        </w:rPr>
        <w:t xml:space="preserve"> by his signature</w:t>
      </w:r>
      <w:r w:rsidR="00A57054">
        <w:rPr>
          <w:rFonts w:ascii="Times New Roman" w:hAnsi="Times New Roman"/>
          <w:color w:val="000000"/>
          <w:sz w:val="28"/>
          <w:szCs w:val="28"/>
        </w:rPr>
        <w:t>,</w:t>
      </w:r>
      <w:r>
        <w:rPr>
          <w:rFonts w:ascii="Times New Roman" w:hAnsi="Times New Roman"/>
          <w:color w:val="000000"/>
          <w:sz w:val="28"/>
          <w:szCs w:val="28"/>
        </w:rPr>
        <w:t xml:space="preserve"> recommended the fourth defendant’s proposal to the accounting officer. It was further signed by the then Director: Supply Chain Management who endorsed it as compliant </w:t>
      </w:r>
      <w:r w:rsidRPr="001B46CD">
        <w:rPr>
          <w:rFonts w:ascii="Times New Roman" w:hAnsi="Times New Roman"/>
          <w:i/>
          <w:color w:val="000000"/>
          <w:sz w:val="28"/>
          <w:szCs w:val="28"/>
        </w:rPr>
        <w:t>“with the MFMA supply chain policies, procedures and relevant financial processes”</w:t>
      </w:r>
      <w:r>
        <w:rPr>
          <w:rFonts w:ascii="Times New Roman" w:hAnsi="Times New Roman"/>
          <w:color w:val="000000"/>
          <w:sz w:val="28"/>
          <w:szCs w:val="28"/>
        </w:rPr>
        <w:t>, and by the responsible accountant who confirmed the availability of funding.</w:t>
      </w:r>
      <w:r>
        <w:rPr>
          <w:rStyle w:val="FootnoteReference"/>
          <w:rFonts w:ascii="Times New Roman" w:hAnsi="Times New Roman"/>
          <w:color w:val="000000"/>
          <w:sz w:val="28"/>
          <w:szCs w:val="28"/>
        </w:rPr>
        <w:footnoteReference w:id="25"/>
      </w:r>
    </w:p>
    <w:p w:rsidR="001C2085" w:rsidRPr="00BD47EB" w:rsidRDefault="001C2085" w:rsidP="001C2085">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 xml:space="preserve">When the memorandum served before the then acting chief financial officer, Ms Barbara </w:t>
      </w:r>
      <w:r w:rsidR="00AD4A40">
        <w:rPr>
          <w:rFonts w:ascii="Times New Roman" w:hAnsi="Times New Roman"/>
          <w:color w:val="000000"/>
          <w:sz w:val="28"/>
          <w:szCs w:val="28"/>
        </w:rPr>
        <w:t xml:space="preserve">De </w:t>
      </w:r>
      <w:r w:rsidR="002B4B1C">
        <w:rPr>
          <w:rFonts w:ascii="Times New Roman" w:hAnsi="Times New Roman"/>
          <w:color w:val="000000"/>
          <w:sz w:val="28"/>
          <w:szCs w:val="28"/>
        </w:rPr>
        <w:t>Scande</w:t>
      </w:r>
      <w:r>
        <w:rPr>
          <w:rFonts w:ascii="Times New Roman" w:hAnsi="Times New Roman"/>
          <w:color w:val="000000"/>
          <w:sz w:val="28"/>
          <w:szCs w:val="28"/>
        </w:rPr>
        <w:t xml:space="preserve"> (“the acting CFO”), as testified by her, she commented that the SCM policy could not be bypassed. She declined to support the proposal and counter-proposed that an expedited bidding process or </w:t>
      </w:r>
      <w:r w:rsidRPr="000058E3">
        <w:rPr>
          <w:rFonts w:ascii="Times New Roman" w:hAnsi="Times New Roman"/>
          <w:i/>
          <w:color w:val="000000"/>
          <w:sz w:val="28"/>
          <w:szCs w:val="28"/>
        </w:rPr>
        <w:t xml:space="preserve">“a </w:t>
      </w:r>
      <w:r>
        <w:rPr>
          <w:rFonts w:ascii="Times New Roman" w:hAnsi="Times New Roman"/>
          <w:i/>
          <w:color w:val="000000"/>
          <w:sz w:val="28"/>
          <w:szCs w:val="28"/>
        </w:rPr>
        <w:t>14-</w:t>
      </w:r>
      <w:r w:rsidRPr="000058E3">
        <w:rPr>
          <w:rFonts w:ascii="Times New Roman" w:hAnsi="Times New Roman"/>
          <w:i/>
          <w:color w:val="000000"/>
          <w:sz w:val="28"/>
          <w:szCs w:val="28"/>
        </w:rPr>
        <w:t>day tender process”</w:t>
      </w:r>
      <w:r>
        <w:rPr>
          <w:rFonts w:ascii="Times New Roman" w:hAnsi="Times New Roman"/>
          <w:color w:val="000000"/>
          <w:sz w:val="28"/>
          <w:szCs w:val="28"/>
        </w:rPr>
        <w:t xml:space="preserve"> be followed.</w:t>
      </w:r>
      <w:r>
        <w:rPr>
          <w:rStyle w:val="FootnoteReference"/>
          <w:rFonts w:ascii="Times New Roman" w:hAnsi="Times New Roman"/>
          <w:color w:val="000000"/>
          <w:sz w:val="28"/>
          <w:szCs w:val="28"/>
        </w:rPr>
        <w:footnoteReference w:id="26"/>
      </w:r>
      <w:r>
        <w:rPr>
          <w:rFonts w:ascii="Times New Roman" w:hAnsi="Times New Roman"/>
          <w:color w:val="000000"/>
          <w:sz w:val="28"/>
          <w:szCs w:val="28"/>
        </w:rPr>
        <w:t xml:space="preserve"> On 6 February 2014 the third defendant declined to approve the fourth defendant’s recommendation and favoured the counter-proposal by Ms </w:t>
      </w:r>
      <w:r w:rsidR="00AD4A40">
        <w:rPr>
          <w:rFonts w:ascii="Times New Roman" w:hAnsi="Times New Roman"/>
          <w:color w:val="000000"/>
          <w:sz w:val="28"/>
          <w:szCs w:val="28"/>
        </w:rPr>
        <w:t xml:space="preserve">De </w:t>
      </w:r>
      <w:r w:rsidR="002B4B1C">
        <w:rPr>
          <w:rFonts w:ascii="Times New Roman" w:hAnsi="Times New Roman"/>
          <w:color w:val="000000"/>
          <w:sz w:val="28"/>
          <w:szCs w:val="28"/>
        </w:rPr>
        <w:t>Scande</w:t>
      </w:r>
      <w:r>
        <w:rPr>
          <w:rFonts w:ascii="Times New Roman" w:hAnsi="Times New Roman"/>
          <w:color w:val="000000"/>
          <w:sz w:val="28"/>
          <w:szCs w:val="28"/>
        </w:rPr>
        <w:t xml:space="preserve"> for the implementation of a competitive bidding process.</w:t>
      </w:r>
    </w:p>
    <w:p w:rsidR="001C2085" w:rsidRDefault="001C2085" w:rsidP="001C2085">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In a second memorandum dated 12 February 2014 the fourth defendant sought the reconsideration by the third defendant of her decision not to authorise the appointment of the first defendant.</w:t>
      </w:r>
      <w:r>
        <w:rPr>
          <w:rStyle w:val="FootnoteReference"/>
          <w:rFonts w:ascii="Times New Roman" w:hAnsi="Times New Roman"/>
          <w:sz w:val="28"/>
          <w:szCs w:val="28"/>
        </w:rPr>
        <w:footnoteReference w:id="27"/>
      </w:r>
      <w:r>
        <w:rPr>
          <w:rFonts w:ascii="Times New Roman" w:hAnsi="Times New Roman"/>
          <w:sz w:val="28"/>
          <w:szCs w:val="28"/>
        </w:rPr>
        <w:t xml:space="preserve"> He bypassed Ms </w:t>
      </w:r>
      <w:r w:rsidR="00AD4A40">
        <w:rPr>
          <w:rFonts w:ascii="Times New Roman" w:hAnsi="Times New Roman"/>
          <w:sz w:val="28"/>
          <w:szCs w:val="28"/>
        </w:rPr>
        <w:t xml:space="preserve">De </w:t>
      </w:r>
      <w:r w:rsidR="002B4B1C">
        <w:rPr>
          <w:rFonts w:ascii="Times New Roman" w:hAnsi="Times New Roman"/>
          <w:sz w:val="28"/>
          <w:szCs w:val="28"/>
        </w:rPr>
        <w:t>Scande</w:t>
      </w:r>
      <w:r>
        <w:rPr>
          <w:rFonts w:ascii="Times New Roman" w:hAnsi="Times New Roman"/>
          <w:sz w:val="28"/>
          <w:szCs w:val="28"/>
        </w:rPr>
        <w:t xml:space="preserve"> and motivated the proposal for reconsideration on the basis that:</w:t>
      </w:r>
    </w:p>
    <w:p w:rsidR="001C2085" w:rsidRDefault="001C2085" w:rsidP="001C2085">
      <w:pPr>
        <w:pStyle w:val="LegalList1"/>
        <w:spacing w:line="360" w:lineRule="auto"/>
        <w:ind w:left="1440" w:hanging="589"/>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ab/>
        <w:t>the existing service provider had indicated that it was unable to continue with the marketing component of the IPTS project and that an additional service provider was needed to</w:t>
      </w:r>
      <w:r w:rsidRPr="005A0DBD">
        <w:rPr>
          <w:rFonts w:ascii="Times New Roman" w:hAnsi="Times New Roman"/>
          <w:i/>
          <w:sz w:val="28"/>
          <w:szCs w:val="28"/>
        </w:rPr>
        <w:t xml:space="preserve"> “market the service much better”</w:t>
      </w:r>
      <w:r>
        <w:rPr>
          <w:rFonts w:ascii="Times New Roman" w:hAnsi="Times New Roman"/>
          <w:sz w:val="28"/>
          <w:szCs w:val="28"/>
        </w:rPr>
        <w:t>;</w:t>
      </w:r>
    </w:p>
    <w:p w:rsidR="001C2085" w:rsidRDefault="001C2085" w:rsidP="001C2085">
      <w:pPr>
        <w:pStyle w:val="LegalList1"/>
        <w:spacing w:line="360" w:lineRule="auto"/>
        <w:ind w:left="1440" w:hanging="589"/>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t>whereas the process proposed by him for the appointment of the first defendant was compliant with the SCM policy,</w:t>
      </w:r>
      <w:r w:rsidRPr="00A30109">
        <w:rPr>
          <w:rFonts w:ascii="Times New Roman" w:hAnsi="Times New Roman"/>
          <w:i/>
          <w:sz w:val="28"/>
          <w:szCs w:val="28"/>
        </w:rPr>
        <w:t xml:space="preserve"> “the acting CFO did not consider the said supply chain and legal implications”</w:t>
      </w:r>
      <w:r>
        <w:rPr>
          <w:rStyle w:val="FootnoteReference"/>
          <w:rFonts w:ascii="Times New Roman" w:hAnsi="Times New Roman"/>
          <w:sz w:val="28"/>
          <w:szCs w:val="28"/>
        </w:rPr>
        <w:footnoteReference w:id="28"/>
      </w:r>
      <w:r>
        <w:rPr>
          <w:rFonts w:ascii="Times New Roman" w:hAnsi="Times New Roman"/>
          <w:sz w:val="28"/>
          <w:szCs w:val="28"/>
        </w:rPr>
        <w:t>;</w:t>
      </w:r>
    </w:p>
    <w:p w:rsidR="001C2085" w:rsidRDefault="001C2085" w:rsidP="001C2085">
      <w:pPr>
        <w:pStyle w:val="LegalList1"/>
        <w:spacing w:line="360" w:lineRule="auto"/>
        <w:ind w:left="1440" w:hanging="589"/>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ab/>
        <w:t xml:space="preserve">as the lead consultant had already been appointed </w:t>
      </w:r>
      <w:r w:rsidRPr="005A0DBD">
        <w:rPr>
          <w:rFonts w:ascii="Times New Roman" w:hAnsi="Times New Roman"/>
          <w:i/>
          <w:sz w:val="28"/>
          <w:szCs w:val="28"/>
        </w:rPr>
        <w:t>“it would neither the practical nor lawful to advertise the tender as suggested by the acting CFO”</w:t>
      </w:r>
      <w:r>
        <w:rPr>
          <w:rFonts w:ascii="Times New Roman" w:hAnsi="Times New Roman"/>
          <w:sz w:val="28"/>
          <w:szCs w:val="28"/>
        </w:rPr>
        <w:t xml:space="preserve">; </w:t>
      </w:r>
      <w:r w:rsidRPr="00A91F70">
        <w:rPr>
          <w:rFonts w:ascii="Times New Roman" w:hAnsi="Times New Roman"/>
          <w:i/>
          <w:sz w:val="28"/>
          <w:szCs w:val="28"/>
        </w:rPr>
        <w:t>this would have severe legal implications and challenges for the municipality to advertise the tender;</w:t>
      </w:r>
      <w:r>
        <w:rPr>
          <w:rStyle w:val="FootnoteReference"/>
          <w:rFonts w:ascii="Times New Roman" w:hAnsi="Times New Roman"/>
          <w:i/>
          <w:sz w:val="28"/>
          <w:szCs w:val="28"/>
        </w:rPr>
        <w:footnoteReference w:id="29"/>
      </w:r>
      <w:r>
        <w:rPr>
          <w:rFonts w:ascii="Times New Roman" w:hAnsi="Times New Roman"/>
          <w:sz w:val="28"/>
          <w:szCs w:val="28"/>
        </w:rPr>
        <w:t xml:space="preserve"> and</w:t>
      </w:r>
    </w:p>
    <w:p w:rsidR="001C2085" w:rsidRPr="00BD47EB" w:rsidRDefault="001C2085" w:rsidP="001C2085">
      <w:pPr>
        <w:pStyle w:val="LegalList1"/>
        <w:spacing w:line="360" w:lineRule="auto"/>
        <w:ind w:left="1440" w:hanging="589"/>
        <w:rPr>
          <w:rFonts w:ascii="Times New Roman" w:hAnsi="Times New Roman"/>
          <w:sz w:val="28"/>
          <w:szCs w:val="28"/>
        </w:rPr>
      </w:pPr>
      <w:r>
        <w:rPr>
          <w:rFonts w:ascii="Times New Roman" w:hAnsi="Times New Roman"/>
          <w:sz w:val="28"/>
          <w:szCs w:val="28"/>
        </w:rPr>
        <w:t>(d)</w:t>
      </w:r>
      <w:r>
        <w:rPr>
          <w:rFonts w:ascii="Times New Roman" w:hAnsi="Times New Roman"/>
          <w:sz w:val="28"/>
          <w:szCs w:val="28"/>
        </w:rPr>
        <w:tab/>
      </w:r>
      <w:r w:rsidRPr="005A0DBD">
        <w:rPr>
          <w:rFonts w:ascii="Times New Roman" w:hAnsi="Times New Roman"/>
          <w:i/>
          <w:sz w:val="28"/>
          <w:szCs w:val="28"/>
        </w:rPr>
        <w:t>“the appointment will be for the duration of 12 months with the amount of approximately R3</w:t>
      </w:r>
      <w:r w:rsidR="00F90633">
        <w:rPr>
          <w:rFonts w:ascii="Times New Roman" w:hAnsi="Times New Roman"/>
          <w:i/>
          <w:sz w:val="28"/>
          <w:szCs w:val="28"/>
        </w:rPr>
        <w:t>.</w:t>
      </w:r>
      <w:r w:rsidRPr="005A0DBD">
        <w:rPr>
          <w:rFonts w:ascii="Times New Roman" w:hAnsi="Times New Roman"/>
          <w:i/>
          <w:sz w:val="28"/>
          <w:szCs w:val="28"/>
        </w:rPr>
        <w:t>6 million (excluding contingencies and inclusive of VAT) which will amount to R300 000 a month for the 12 months period”</w:t>
      </w:r>
      <w:r>
        <w:rPr>
          <w:rFonts w:ascii="Times New Roman" w:hAnsi="Times New Roman"/>
          <w:sz w:val="28"/>
          <w:szCs w:val="28"/>
        </w:rPr>
        <w:t>.</w:t>
      </w:r>
      <w:r>
        <w:rPr>
          <w:rStyle w:val="FootnoteReference"/>
          <w:rFonts w:ascii="Times New Roman" w:hAnsi="Times New Roman"/>
          <w:sz w:val="28"/>
          <w:szCs w:val="28"/>
        </w:rPr>
        <w:footnoteReference w:id="30"/>
      </w:r>
    </w:p>
    <w:p w:rsidR="001C2085" w:rsidRDefault="001C2085" w:rsidP="001C2085">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In making the submissions that he did, the fourth defendant suggested that the advertisement of a competitive tender would cause the existing service provider to raise a legal challenge and by inference that it was accordingly necessary to make the appointment out of the public eye.</w:t>
      </w:r>
      <w:r>
        <w:rPr>
          <w:rStyle w:val="FootnoteReference"/>
          <w:rFonts w:ascii="Times New Roman" w:hAnsi="Times New Roman"/>
          <w:sz w:val="28"/>
          <w:szCs w:val="28"/>
        </w:rPr>
        <w:footnoteReference w:id="31"/>
      </w:r>
      <w:r>
        <w:rPr>
          <w:rFonts w:ascii="Times New Roman" w:hAnsi="Times New Roman"/>
          <w:sz w:val="28"/>
          <w:szCs w:val="28"/>
        </w:rPr>
        <w:t xml:space="preserve"> By means of an endorsement on the second memorandum effected on 13 February 2014 the third defendant approved the appointment of the first defendant for the stipulated period, adding that such approval was given </w:t>
      </w:r>
      <w:r w:rsidRPr="00B2777F">
        <w:rPr>
          <w:rFonts w:ascii="Times New Roman" w:hAnsi="Times New Roman"/>
          <w:i/>
          <w:sz w:val="28"/>
          <w:szCs w:val="28"/>
        </w:rPr>
        <w:t>“on the strength of the legal advice from the project manager”</w:t>
      </w:r>
      <w:r>
        <w:rPr>
          <w:rFonts w:ascii="Times New Roman" w:hAnsi="Times New Roman"/>
          <w:sz w:val="28"/>
          <w:szCs w:val="28"/>
        </w:rPr>
        <w:t xml:space="preserve"> (i.e. the fourth defendant);</w:t>
      </w:r>
      <w:r>
        <w:rPr>
          <w:rStyle w:val="FootnoteReference"/>
          <w:rFonts w:ascii="Times New Roman" w:hAnsi="Times New Roman"/>
          <w:sz w:val="28"/>
          <w:szCs w:val="28"/>
        </w:rPr>
        <w:t xml:space="preserve"> </w:t>
      </w:r>
    </w:p>
    <w:p w:rsidR="001C2085" w:rsidRDefault="001C2085" w:rsidP="001C2085">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In a memorandum directed to the third defendant on 20 February 2014</w:t>
      </w:r>
      <w:r>
        <w:rPr>
          <w:rStyle w:val="FootnoteReference"/>
          <w:rFonts w:ascii="Times New Roman" w:hAnsi="Times New Roman"/>
          <w:sz w:val="28"/>
          <w:szCs w:val="28"/>
        </w:rPr>
        <w:footnoteReference w:id="32"/>
      </w:r>
      <w:r>
        <w:rPr>
          <w:rFonts w:ascii="Times New Roman" w:hAnsi="Times New Roman"/>
          <w:sz w:val="28"/>
          <w:szCs w:val="28"/>
        </w:rPr>
        <w:t xml:space="preserve">, Ms </w:t>
      </w:r>
      <w:r w:rsidR="00AD4A40">
        <w:rPr>
          <w:rFonts w:ascii="Times New Roman" w:hAnsi="Times New Roman"/>
          <w:sz w:val="28"/>
          <w:szCs w:val="28"/>
        </w:rPr>
        <w:t xml:space="preserve">De </w:t>
      </w:r>
      <w:r w:rsidR="002B4B1C">
        <w:rPr>
          <w:rFonts w:ascii="Times New Roman" w:hAnsi="Times New Roman"/>
          <w:sz w:val="28"/>
          <w:szCs w:val="28"/>
        </w:rPr>
        <w:t>Scande</w:t>
      </w:r>
      <w:r>
        <w:rPr>
          <w:rFonts w:ascii="Times New Roman" w:hAnsi="Times New Roman"/>
          <w:sz w:val="28"/>
          <w:szCs w:val="28"/>
        </w:rPr>
        <w:t xml:space="preserve"> proffered detail as to why she did not support the appointment of the first the defendant without following SCM processes. The purport and contents of her memorandum was confirmed by her when she testified </w:t>
      </w:r>
      <w:r w:rsidRPr="00F5726C">
        <w:rPr>
          <w:rFonts w:ascii="Times New Roman" w:hAnsi="Times New Roman"/>
          <w:i/>
          <w:sz w:val="28"/>
          <w:szCs w:val="28"/>
        </w:rPr>
        <w:t>viva voce</w:t>
      </w:r>
      <w:r>
        <w:rPr>
          <w:rFonts w:ascii="Times New Roman" w:hAnsi="Times New Roman"/>
          <w:sz w:val="28"/>
          <w:szCs w:val="28"/>
        </w:rPr>
        <w:t>.</w:t>
      </w:r>
    </w:p>
    <w:p w:rsidR="001C2085" w:rsidRDefault="001C2085" w:rsidP="001C2085">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Notwithstanding the contents of the aforementioned memorandum by the acting CFO, the third defendant proceeded on 21 February 2014 to sign a formal resolution.</w:t>
      </w:r>
      <w:r>
        <w:rPr>
          <w:rStyle w:val="FootnoteReference"/>
          <w:rFonts w:ascii="Times New Roman" w:hAnsi="Times New Roman"/>
          <w:sz w:val="28"/>
          <w:szCs w:val="28"/>
        </w:rPr>
        <w:footnoteReference w:id="33"/>
      </w:r>
      <w:r>
        <w:rPr>
          <w:rFonts w:ascii="Times New Roman" w:hAnsi="Times New Roman"/>
          <w:sz w:val="28"/>
          <w:szCs w:val="28"/>
        </w:rPr>
        <w:t xml:space="preserve"> It confirmed the decision of 13 February 2014 favouring the appointment of the first defendant. She did so in her capacity as “acting city manager” and also purportedly as “acting chief financial officer”; the latter, according to Ms </w:t>
      </w:r>
      <w:r w:rsidR="00AD4A40">
        <w:rPr>
          <w:rFonts w:ascii="Times New Roman" w:hAnsi="Times New Roman"/>
          <w:sz w:val="28"/>
          <w:szCs w:val="28"/>
        </w:rPr>
        <w:t xml:space="preserve">De </w:t>
      </w:r>
      <w:r w:rsidR="002B4B1C">
        <w:rPr>
          <w:rFonts w:ascii="Times New Roman" w:hAnsi="Times New Roman"/>
          <w:sz w:val="28"/>
          <w:szCs w:val="28"/>
        </w:rPr>
        <w:t>Scande</w:t>
      </w:r>
      <w:r>
        <w:rPr>
          <w:rFonts w:ascii="Times New Roman" w:hAnsi="Times New Roman"/>
          <w:sz w:val="28"/>
          <w:szCs w:val="28"/>
        </w:rPr>
        <w:t>, being a self-standing post and by implication a post which the third defendant did not and could not have held in a dual capacity.</w:t>
      </w:r>
      <w:r>
        <w:rPr>
          <w:rStyle w:val="FootnoteReference"/>
          <w:rFonts w:ascii="Times New Roman" w:hAnsi="Times New Roman"/>
          <w:sz w:val="28"/>
          <w:szCs w:val="28"/>
        </w:rPr>
        <w:footnoteReference w:id="34"/>
      </w:r>
    </w:p>
    <w:p w:rsidR="001C2085" w:rsidRDefault="001C2085" w:rsidP="001C2085">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On 18 March 2014, some three weeks after having been so appointed, the first defendant submitted an invoice (No. 001) for payment of R5 263</w:t>
      </w:r>
      <w:r w:rsidR="00F90633">
        <w:rPr>
          <w:rFonts w:ascii="Times New Roman" w:hAnsi="Times New Roman"/>
          <w:sz w:val="28"/>
          <w:szCs w:val="28"/>
        </w:rPr>
        <w:t> </w:t>
      </w:r>
      <w:r>
        <w:rPr>
          <w:rFonts w:ascii="Times New Roman" w:hAnsi="Times New Roman"/>
          <w:sz w:val="28"/>
          <w:szCs w:val="28"/>
        </w:rPr>
        <w:t>157</w:t>
      </w:r>
      <w:r w:rsidR="00F90633">
        <w:rPr>
          <w:rFonts w:ascii="Times New Roman" w:hAnsi="Times New Roman"/>
          <w:sz w:val="28"/>
          <w:szCs w:val="28"/>
        </w:rPr>
        <w:t>.</w:t>
      </w:r>
      <w:r>
        <w:rPr>
          <w:rFonts w:ascii="Times New Roman" w:hAnsi="Times New Roman"/>
          <w:sz w:val="28"/>
          <w:szCs w:val="28"/>
        </w:rPr>
        <w:t>89 (exclusive of VAT), notwithstanding its appointment being restricted to anticipated monthly payments of R300 000 in total amounting to R3,6 million</w:t>
      </w:r>
      <w:r w:rsidRPr="00F53A03">
        <w:rPr>
          <w:rFonts w:ascii="Times New Roman" w:hAnsi="Times New Roman"/>
          <w:sz w:val="28"/>
          <w:szCs w:val="28"/>
        </w:rPr>
        <w:t xml:space="preserve"> </w:t>
      </w:r>
      <w:r>
        <w:rPr>
          <w:rFonts w:ascii="Times New Roman" w:hAnsi="Times New Roman"/>
          <w:sz w:val="28"/>
          <w:szCs w:val="28"/>
        </w:rPr>
        <w:t>over a year.</w:t>
      </w:r>
      <w:r>
        <w:rPr>
          <w:rStyle w:val="FootnoteReference"/>
          <w:rFonts w:ascii="Times New Roman" w:hAnsi="Times New Roman"/>
          <w:sz w:val="28"/>
          <w:szCs w:val="28"/>
        </w:rPr>
        <w:footnoteReference w:id="35"/>
      </w:r>
      <w:r>
        <w:rPr>
          <w:rFonts w:ascii="Times New Roman" w:hAnsi="Times New Roman"/>
          <w:sz w:val="28"/>
          <w:szCs w:val="28"/>
        </w:rPr>
        <w:t xml:space="preserve"> A contract payment certificate electronically certified by the fourth defendant and generated on 15 April 2014 by Mr Skade, an incumbent seconded to the plaintiff’s IPTS division as its financial manager, authorised payment of R5 263</w:t>
      </w:r>
      <w:r w:rsidR="00F90633">
        <w:rPr>
          <w:rFonts w:ascii="Times New Roman" w:hAnsi="Times New Roman"/>
          <w:sz w:val="28"/>
          <w:szCs w:val="28"/>
        </w:rPr>
        <w:t> </w:t>
      </w:r>
      <w:r>
        <w:rPr>
          <w:rFonts w:ascii="Times New Roman" w:hAnsi="Times New Roman"/>
          <w:sz w:val="28"/>
          <w:szCs w:val="28"/>
        </w:rPr>
        <w:t>157</w:t>
      </w:r>
      <w:r w:rsidR="00F90633">
        <w:rPr>
          <w:rFonts w:ascii="Times New Roman" w:hAnsi="Times New Roman"/>
          <w:sz w:val="28"/>
          <w:szCs w:val="28"/>
        </w:rPr>
        <w:t>.</w:t>
      </w:r>
      <w:r>
        <w:rPr>
          <w:rFonts w:ascii="Times New Roman" w:hAnsi="Times New Roman"/>
          <w:sz w:val="28"/>
          <w:szCs w:val="28"/>
        </w:rPr>
        <w:t xml:space="preserve">89 in favour of the first defendant to be effected on 21 May 2014. </w:t>
      </w:r>
      <w:r w:rsidR="003D67D1">
        <w:rPr>
          <w:rFonts w:ascii="Times New Roman" w:hAnsi="Times New Roman"/>
          <w:sz w:val="28"/>
          <w:szCs w:val="28"/>
        </w:rPr>
        <w:t xml:space="preserve">In spite of this </w:t>
      </w:r>
      <w:r>
        <w:rPr>
          <w:rFonts w:ascii="Times New Roman" w:hAnsi="Times New Roman"/>
          <w:sz w:val="28"/>
          <w:szCs w:val="28"/>
        </w:rPr>
        <w:t xml:space="preserve">the aforementioned memorandum by Ms </w:t>
      </w:r>
      <w:r w:rsidR="00AD4A40">
        <w:rPr>
          <w:rFonts w:ascii="Times New Roman" w:hAnsi="Times New Roman"/>
          <w:sz w:val="28"/>
          <w:szCs w:val="28"/>
        </w:rPr>
        <w:t xml:space="preserve">De </w:t>
      </w:r>
      <w:r w:rsidR="002B4B1C">
        <w:rPr>
          <w:rFonts w:ascii="Times New Roman" w:hAnsi="Times New Roman"/>
          <w:sz w:val="28"/>
          <w:szCs w:val="28"/>
        </w:rPr>
        <w:t>Scande</w:t>
      </w:r>
      <w:r>
        <w:rPr>
          <w:rFonts w:ascii="Times New Roman" w:hAnsi="Times New Roman"/>
          <w:sz w:val="28"/>
          <w:szCs w:val="28"/>
        </w:rPr>
        <w:t xml:space="preserve"> presented an impediment to the processing of the payment sought. This is apparent from an email dated 23 April 2014</w:t>
      </w:r>
      <w:r>
        <w:rPr>
          <w:rStyle w:val="FootnoteReference"/>
          <w:rFonts w:ascii="Times New Roman" w:hAnsi="Times New Roman"/>
          <w:sz w:val="28"/>
          <w:szCs w:val="28"/>
        </w:rPr>
        <w:footnoteReference w:id="36"/>
      </w:r>
      <w:r>
        <w:rPr>
          <w:rFonts w:ascii="Times New Roman" w:hAnsi="Times New Roman"/>
          <w:sz w:val="28"/>
          <w:szCs w:val="28"/>
        </w:rPr>
        <w:t xml:space="preserve"> in which she had </w:t>
      </w:r>
      <w:r w:rsidR="00892D98">
        <w:rPr>
          <w:rFonts w:ascii="Times New Roman" w:hAnsi="Times New Roman"/>
          <w:sz w:val="28"/>
          <w:szCs w:val="28"/>
        </w:rPr>
        <w:t>advised</w:t>
      </w:r>
      <w:r>
        <w:rPr>
          <w:rFonts w:ascii="Times New Roman" w:hAnsi="Times New Roman"/>
          <w:sz w:val="28"/>
          <w:szCs w:val="28"/>
        </w:rPr>
        <w:t xml:space="preserve"> the fifth defendant (who had by then been appointed as CFO) that </w:t>
      </w:r>
      <w:r w:rsidR="001A6681">
        <w:rPr>
          <w:rFonts w:ascii="Times New Roman" w:hAnsi="Times New Roman"/>
          <w:sz w:val="28"/>
          <w:szCs w:val="28"/>
        </w:rPr>
        <w:t xml:space="preserve">SCM processes were not followed in the appointment of the first defendant and that </w:t>
      </w:r>
      <w:r>
        <w:rPr>
          <w:rFonts w:ascii="Times New Roman" w:hAnsi="Times New Roman"/>
          <w:sz w:val="28"/>
          <w:szCs w:val="28"/>
        </w:rPr>
        <w:t xml:space="preserve">payment not be approved </w:t>
      </w:r>
      <w:r w:rsidR="001A6681">
        <w:rPr>
          <w:rFonts w:ascii="Times New Roman" w:hAnsi="Times New Roman"/>
          <w:sz w:val="28"/>
          <w:szCs w:val="28"/>
        </w:rPr>
        <w:t>consequent to an illegal appointment</w:t>
      </w:r>
      <w:r>
        <w:rPr>
          <w:rStyle w:val="FootnoteReference"/>
          <w:rFonts w:ascii="Times New Roman" w:hAnsi="Times New Roman"/>
          <w:sz w:val="28"/>
          <w:szCs w:val="28"/>
        </w:rPr>
        <w:footnoteReference w:id="37"/>
      </w:r>
      <w:r w:rsidR="00202F45">
        <w:rPr>
          <w:rFonts w:ascii="Times New Roman" w:hAnsi="Times New Roman"/>
          <w:sz w:val="28"/>
          <w:szCs w:val="28"/>
        </w:rPr>
        <w:t>.</w:t>
      </w:r>
    </w:p>
    <w:p w:rsidR="001C2085" w:rsidRDefault="001C2085" w:rsidP="001C2085">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In these circumstances a report dated 29 April 2014 (“the third memorandum”) ensued from the fourth defendant.</w:t>
      </w:r>
      <w:r>
        <w:rPr>
          <w:rStyle w:val="FootnoteReference"/>
          <w:rFonts w:ascii="Times New Roman" w:hAnsi="Times New Roman"/>
          <w:sz w:val="28"/>
          <w:szCs w:val="28"/>
        </w:rPr>
        <w:footnoteReference w:id="38"/>
      </w:r>
      <w:r>
        <w:rPr>
          <w:rFonts w:ascii="Times New Roman" w:hAnsi="Times New Roman"/>
          <w:sz w:val="28"/>
          <w:szCs w:val="28"/>
        </w:rPr>
        <w:t xml:space="preserve"> It was directed to the fifth defendant and to the second defendant (who had by then been occupying the position of municipal manager). The fourth defendant sought approval for the payment by the plaintiff to the first defendant of the amount of R6 million inclusive of VAT. In that memorandum the fourth defendant:</w:t>
      </w:r>
    </w:p>
    <w:p w:rsidR="001C2085" w:rsidRDefault="001C2085" w:rsidP="001C2085">
      <w:pPr>
        <w:pStyle w:val="LegalList1"/>
        <w:spacing w:line="360" w:lineRule="auto"/>
        <w:ind w:left="1440" w:hanging="589"/>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ab/>
        <w:t>referred to the resolution of the third defendant (as acting municipal manager) of 21 February 2014 approving the appointment of the first defendant and stated that the latter had been appointed on 6 March 2014;</w:t>
      </w:r>
    </w:p>
    <w:p w:rsidR="001C2085" w:rsidRDefault="001C2085" w:rsidP="001C2085">
      <w:pPr>
        <w:pStyle w:val="LegalList1"/>
        <w:spacing w:line="360" w:lineRule="auto"/>
        <w:ind w:left="1440" w:hanging="589"/>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t xml:space="preserve">stated that the acting CFO (i.e. Ms </w:t>
      </w:r>
      <w:r w:rsidR="00AD4A40">
        <w:rPr>
          <w:rFonts w:ascii="Times New Roman" w:hAnsi="Times New Roman"/>
          <w:sz w:val="28"/>
          <w:szCs w:val="28"/>
        </w:rPr>
        <w:t xml:space="preserve">De </w:t>
      </w:r>
      <w:r w:rsidR="002B4B1C">
        <w:rPr>
          <w:rFonts w:ascii="Times New Roman" w:hAnsi="Times New Roman"/>
          <w:sz w:val="28"/>
          <w:szCs w:val="28"/>
        </w:rPr>
        <w:t>Scande</w:t>
      </w:r>
      <w:r>
        <w:rPr>
          <w:rFonts w:ascii="Times New Roman" w:hAnsi="Times New Roman"/>
          <w:sz w:val="28"/>
          <w:szCs w:val="28"/>
        </w:rPr>
        <w:t>) was not supportive of the item as she was of the view that an open tender process ought to have been followed;</w:t>
      </w:r>
    </w:p>
    <w:p w:rsidR="001C2085" w:rsidRDefault="001C2085" w:rsidP="001C2085">
      <w:pPr>
        <w:pStyle w:val="LegalList1"/>
        <w:spacing w:line="360" w:lineRule="auto"/>
        <w:ind w:left="1440" w:hanging="589"/>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ab/>
        <w:t>contended that an open tender process would have exposed the plaintiff to the risk of a legal challenge by the appointed service provider Distinctive Trading (appointed on 18 September 2013) and sought to motivate this further by stating that the only means of avoiding such a challenge would have been to seek the review and setting aside of that prior appointment which would result in delay and additional costs;</w:t>
      </w:r>
    </w:p>
    <w:p w:rsidR="001C2085" w:rsidRDefault="001C2085" w:rsidP="001C2085">
      <w:pPr>
        <w:pStyle w:val="LegalList1"/>
        <w:spacing w:line="360" w:lineRule="auto"/>
        <w:ind w:left="1440" w:hanging="589"/>
        <w:rPr>
          <w:rFonts w:ascii="Times New Roman" w:hAnsi="Times New Roman"/>
          <w:sz w:val="28"/>
          <w:szCs w:val="28"/>
        </w:rPr>
      </w:pPr>
      <w:r>
        <w:rPr>
          <w:rFonts w:ascii="Times New Roman" w:hAnsi="Times New Roman"/>
          <w:sz w:val="28"/>
          <w:szCs w:val="28"/>
        </w:rPr>
        <w:t>(e)</w:t>
      </w:r>
      <w:r>
        <w:rPr>
          <w:rFonts w:ascii="Times New Roman" w:hAnsi="Times New Roman"/>
          <w:sz w:val="28"/>
          <w:szCs w:val="28"/>
        </w:rPr>
        <w:tab/>
        <w:t xml:space="preserve">contended that consequently there were </w:t>
      </w:r>
      <w:r w:rsidRPr="006A0C42">
        <w:rPr>
          <w:rFonts w:ascii="Times New Roman" w:hAnsi="Times New Roman"/>
          <w:i/>
          <w:sz w:val="28"/>
          <w:szCs w:val="28"/>
        </w:rPr>
        <w:t>“exceptional circumstances which rendered it impractical to procure… services through an open tender method”</w:t>
      </w:r>
      <w:r>
        <w:rPr>
          <w:rFonts w:ascii="Times New Roman" w:hAnsi="Times New Roman"/>
          <w:sz w:val="28"/>
          <w:szCs w:val="28"/>
        </w:rPr>
        <w:t>; and</w:t>
      </w:r>
    </w:p>
    <w:p w:rsidR="001C2085" w:rsidRDefault="001C2085" w:rsidP="001C2085">
      <w:pPr>
        <w:pStyle w:val="LegalList1"/>
        <w:spacing w:line="360" w:lineRule="auto"/>
        <w:ind w:left="1440" w:hanging="589"/>
        <w:rPr>
          <w:rFonts w:ascii="Times New Roman" w:hAnsi="Times New Roman"/>
          <w:sz w:val="28"/>
          <w:szCs w:val="28"/>
        </w:rPr>
      </w:pPr>
      <w:r>
        <w:rPr>
          <w:rFonts w:ascii="Times New Roman" w:hAnsi="Times New Roman"/>
          <w:sz w:val="28"/>
          <w:szCs w:val="28"/>
        </w:rPr>
        <w:t>(f)</w:t>
      </w:r>
      <w:r>
        <w:rPr>
          <w:rFonts w:ascii="Times New Roman" w:hAnsi="Times New Roman"/>
          <w:sz w:val="28"/>
          <w:szCs w:val="28"/>
        </w:rPr>
        <w:tab/>
        <w:t>stated that the award amount was capped at R6 million inclusive of VAT.</w:t>
      </w:r>
      <w:r>
        <w:rPr>
          <w:rStyle w:val="FootnoteReference"/>
          <w:rFonts w:ascii="Times New Roman" w:hAnsi="Times New Roman"/>
          <w:sz w:val="28"/>
          <w:szCs w:val="28"/>
        </w:rPr>
        <w:footnoteReference w:id="39"/>
      </w:r>
    </w:p>
    <w:p w:rsidR="001C2085" w:rsidRDefault="001C2085" w:rsidP="001C2085">
      <w:pPr>
        <w:pStyle w:val="LegalList1"/>
        <w:numPr>
          <w:ilvl w:val="0"/>
          <w:numId w:val="2"/>
        </w:numPr>
        <w:tabs>
          <w:tab w:val="clear" w:pos="567"/>
        </w:tabs>
        <w:spacing w:line="360" w:lineRule="auto"/>
        <w:ind w:left="851" w:hanging="851"/>
        <w:rPr>
          <w:rFonts w:ascii="Times New Roman" w:hAnsi="Times New Roman"/>
          <w:sz w:val="28"/>
          <w:szCs w:val="28"/>
        </w:rPr>
      </w:pPr>
      <w:r w:rsidRPr="00926C4E">
        <w:rPr>
          <w:rFonts w:ascii="Times New Roman" w:hAnsi="Times New Roman"/>
          <w:sz w:val="28"/>
          <w:szCs w:val="28"/>
        </w:rPr>
        <w:t xml:space="preserve">Despite the advice given to him by Ms </w:t>
      </w:r>
      <w:r w:rsidR="00AD4A40">
        <w:rPr>
          <w:rFonts w:ascii="Times New Roman" w:hAnsi="Times New Roman"/>
          <w:sz w:val="28"/>
          <w:szCs w:val="28"/>
        </w:rPr>
        <w:t xml:space="preserve">De </w:t>
      </w:r>
      <w:r w:rsidR="002B4B1C">
        <w:rPr>
          <w:rFonts w:ascii="Times New Roman" w:hAnsi="Times New Roman"/>
          <w:sz w:val="28"/>
          <w:szCs w:val="28"/>
        </w:rPr>
        <w:t>Scande</w:t>
      </w:r>
      <w:r w:rsidRPr="00926C4E">
        <w:rPr>
          <w:rFonts w:ascii="Times New Roman" w:hAnsi="Times New Roman"/>
          <w:sz w:val="28"/>
          <w:szCs w:val="28"/>
        </w:rPr>
        <w:t>, the fifth defendant on 20 May 2014 recommended that the payment be approved since the approval of the appointment of the first defendant had already been granted on 21 February 2014. The second defendant also signed the third memorandum on 20 May 2014 and approved the fourth defendant’s recommendation. On the same date, both the second and the fifth defendants signed a formal resolution.</w:t>
      </w:r>
      <w:r>
        <w:rPr>
          <w:rStyle w:val="FootnoteReference"/>
          <w:rFonts w:ascii="Times New Roman" w:hAnsi="Times New Roman"/>
          <w:sz w:val="28"/>
          <w:szCs w:val="28"/>
        </w:rPr>
        <w:footnoteReference w:id="40"/>
      </w:r>
      <w:r w:rsidRPr="00926C4E">
        <w:rPr>
          <w:rFonts w:ascii="Times New Roman" w:hAnsi="Times New Roman"/>
          <w:sz w:val="28"/>
          <w:szCs w:val="28"/>
        </w:rPr>
        <w:t xml:space="preserve"> By his signature thereof the fifth defendant certified that he supported the fourth defendant’s submission and confirmed that it complied with MFMA supply chain policies, procedures and relevant financial processes. The second defendant, by his signature to the resolution, effectively approved payment of the capped amount to the first defendant</w:t>
      </w:r>
      <w:r>
        <w:rPr>
          <w:rFonts w:ascii="Times New Roman" w:hAnsi="Times New Roman"/>
          <w:sz w:val="28"/>
          <w:szCs w:val="28"/>
        </w:rPr>
        <w:t>.</w:t>
      </w:r>
    </w:p>
    <w:p w:rsidR="001C2085" w:rsidRPr="00926C4E" w:rsidRDefault="001C2085" w:rsidP="001C2085">
      <w:pPr>
        <w:pStyle w:val="LegalList1"/>
        <w:numPr>
          <w:ilvl w:val="0"/>
          <w:numId w:val="2"/>
        </w:numPr>
        <w:tabs>
          <w:tab w:val="clear" w:pos="567"/>
        </w:tabs>
        <w:spacing w:line="360" w:lineRule="auto"/>
        <w:ind w:left="851" w:hanging="851"/>
        <w:rPr>
          <w:rFonts w:ascii="Times New Roman" w:hAnsi="Times New Roman"/>
          <w:sz w:val="28"/>
          <w:szCs w:val="28"/>
        </w:rPr>
      </w:pPr>
      <w:r w:rsidRPr="00926C4E">
        <w:rPr>
          <w:rFonts w:ascii="Times New Roman" w:hAnsi="Times New Roman"/>
          <w:sz w:val="28"/>
          <w:szCs w:val="28"/>
        </w:rPr>
        <w:t>On 21 May 2014 the plaintiff paid to the first defendant the amount of R5 263</w:t>
      </w:r>
      <w:r w:rsidR="00F90633">
        <w:rPr>
          <w:rFonts w:ascii="Times New Roman" w:hAnsi="Times New Roman"/>
          <w:sz w:val="28"/>
          <w:szCs w:val="28"/>
        </w:rPr>
        <w:t> </w:t>
      </w:r>
      <w:r w:rsidRPr="00926C4E">
        <w:rPr>
          <w:rFonts w:ascii="Times New Roman" w:hAnsi="Times New Roman"/>
          <w:sz w:val="28"/>
          <w:szCs w:val="28"/>
        </w:rPr>
        <w:t>157</w:t>
      </w:r>
      <w:r w:rsidR="00F90633">
        <w:rPr>
          <w:rFonts w:ascii="Times New Roman" w:hAnsi="Times New Roman"/>
          <w:sz w:val="28"/>
          <w:szCs w:val="28"/>
        </w:rPr>
        <w:t>.</w:t>
      </w:r>
      <w:r w:rsidRPr="00926C4E">
        <w:rPr>
          <w:rFonts w:ascii="Times New Roman" w:hAnsi="Times New Roman"/>
          <w:sz w:val="28"/>
          <w:szCs w:val="28"/>
        </w:rPr>
        <w:t>89 (“the first payment”). The payment is reflected in an extract from the plaintiff’s general ledger attached to the particulars of claim.</w:t>
      </w:r>
      <w:r>
        <w:rPr>
          <w:rStyle w:val="FootnoteReference"/>
          <w:rFonts w:ascii="Times New Roman" w:hAnsi="Times New Roman"/>
          <w:sz w:val="28"/>
          <w:szCs w:val="28"/>
        </w:rPr>
        <w:footnoteReference w:id="41"/>
      </w:r>
      <w:r>
        <w:rPr>
          <w:rFonts w:ascii="Times New Roman" w:hAnsi="Times New Roman"/>
          <w:sz w:val="28"/>
          <w:szCs w:val="28"/>
        </w:rPr>
        <w:t xml:space="preserve"> T</w:t>
      </w:r>
      <w:r w:rsidRPr="00926C4E">
        <w:rPr>
          <w:rFonts w:ascii="Times New Roman" w:hAnsi="Times New Roman"/>
          <w:sz w:val="28"/>
          <w:szCs w:val="28"/>
        </w:rPr>
        <w:t>he first payment was followed by two sequential payments of R1 390</w:t>
      </w:r>
      <w:r w:rsidR="00F90633">
        <w:rPr>
          <w:rFonts w:ascii="Times New Roman" w:hAnsi="Times New Roman"/>
          <w:sz w:val="28"/>
          <w:szCs w:val="28"/>
        </w:rPr>
        <w:t> </w:t>
      </w:r>
      <w:r w:rsidRPr="00926C4E">
        <w:rPr>
          <w:rFonts w:ascii="Times New Roman" w:hAnsi="Times New Roman"/>
          <w:sz w:val="28"/>
          <w:szCs w:val="28"/>
        </w:rPr>
        <w:t>800</w:t>
      </w:r>
      <w:r w:rsidR="00F90633">
        <w:rPr>
          <w:rFonts w:ascii="Times New Roman" w:hAnsi="Times New Roman"/>
          <w:sz w:val="28"/>
          <w:szCs w:val="28"/>
        </w:rPr>
        <w:t>.</w:t>
      </w:r>
      <w:r>
        <w:rPr>
          <w:rFonts w:ascii="Times New Roman" w:hAnsi="Times New Roman"/>
          <w:sz w:val="28"/>
          <w:szCs w:val="28"/>
        </w:rPr>
        <w:t>00</w:t>
      </w:r>
      <w:r w:rsidRPr="00926C4E">
        <w:rPr>
          <w:rFonts w:ascii="Times New Roman" w:hAnsi="Times New Roman"/>
          <w:sz w:val="28"/>
          <w:szCs w:val="28"/>
        </w:rPr>
        <w:t xml:space="preserve"> and R984</w:t>
      </w:r>
      <w:r w:rsidR="00F90633">
        <w:rPr>
          <w:rFonts w:ascii="Times New Roman" w:hAnsi="Times New Roman"/>
          <w:sz w:val="28"/>
          <w:szCs w:val="28"/>
        </w:rPr>
        <w:t> </w:t>
      </w:r>
      <w:r w:rsidRPr="00926C4E">
        <w:rPr>
          <w:rFonts w:ascii="Times New Roman" w:hAnsi="Times New Roman"/>
          <w:sz w:val="28"/>
          <w:szCs w:val="28"/>
        </w:rPr>
        <w:t>197</w:t>
      </w:r>
      <w:r w:rsidR="00F90633">
        <w:rPr>
          <w:rFonts w:ascii="Times New Roman" w:hAnsi="Times New Roman"/>
          <w:sz w:val="28"/>
          <w:szCs w:val="28"/>
        </w:rPr>
        <w:t>.</w:t>
      </w:r>
      <w:r w:rsidRPr="00926C4E">
        <w:rPr>
          <w:rFonts w:ascii="Times New Roman" w:hAnsi="Times New Roman"/>
          <w:sz w:val="28"/>
          <w:szCs w:val="28"/>
        </w:rPr>
        <w:t>22 to the first defendant.</w:t>
      </w:r>
      <w:r>
        <w:rPr>
          <w:rFonts w:ascii="Times New Roman" w:hAnsi="Times New Roman"/>
          <w:sz w:val="28"/>
          <w:szCs w:val="28"/>
        </w:rPr>
        <w:t xml:space="preserve"> The circumstances in which this occurred are comprehensively pleaded in the plaintiff’s particulars of claim. In narrating them, I rely heavily on the proficiency exemplified in </w:t>
      </w:r>
      <w:r w:rsidR="005B7192">
        <w:rPr>
          <w:rFonts w:ascii="Times New Roman" w:hAnsi="Times New Roman"/>
          <w:sz w:val="28"/>
          <w:szCs w:val="28"/>
        </w:rPr>
        <w:t xml:space="preserve">the main </w:t>
      </w:r>
      <w:r>
        <w:rPr>
          <w:rFonts w:ascii="Times New Roman" w:hAnsi="Times New Roman"/>
          <w:sz w:val="28"/>
          <w:szCs w:val="28"/>
        </w:rPr>
        <w:t>heads of argument submitted by plaintiff’s counsel.</w:t>
      </w:r>
    </w:p>
    <w:p w:rsidR="001C2085" w:rsidRDefault="001C2085" w:rsidP="001C2085">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The budget allocation by the plaintiff’s municipal council for the year 1 July 2013 to 30 June 2014 included a vote description entitled </w:t>
      </w:r>
      <w:r w:rsidRPr="00F5727B">
        <w:rPr>
          <w:rFonts w:ascii="Times New Roman" w:hAnsi="Times New Roman"/>
          <w:i/>
          <w:sz w:val="28"/>
          <w:szCs w:val="28"/>
        </w:rPr>
        <w:t>“Special Projects and National Pride”</w:t>
      </w:r>
      <w:r>
        <w:rPr>
          <w:rFonts w:ascii="Times New Roman" w:hAnsi="Times New Roman"/>
          <w:sz w:val="28"/>
          <w:szCs w:val="28"/>
        </w:rPr>
        <w:t xml:space="preserve"> which made provision for the funding of the event described as the </w:t>
      </w:r>
      <w:r w:rsidRPr="00F5727B">
        <w:rPr>
          <w:rFonts w:ascii="Times New Roman" w:hAnsi="Times New Roman"/>
          <w:i/>
          <w:sz w:val="28"/>
          <w:szCs w:val="28"/>
        </w:rPr>
        <w:t>“20 Years of Freedom Celebrations”</w:t>
      </w:r>
      <w:r>
        <w:rPr>
          <w:rFonts w:ascii="Times New Roman" w:hAnsi="Times New Roman"/>
          <w:sz w:val="28"/>
          <w:szCs w:val="28"/>
        </w:rPr>
        <w:t xml:space="preserve"> in the amount of R1 474</w:t>
      </w:r>
      <w:r w:rsidR="00F90633">
        <w:rPr>
          <w:rFonts w:ascii="Times New Roman" w:hAnsi="Times New Roman"/>
          <w:sz w:val="28"/>
          <w:szCs w:val="28"/>
        </w:rPr>
        <w:t> </w:t>
      </w:r>
      <w:r>
        <w:rPr>
          <w:rFonts w:ascii="Times New Roman" w:hAnsi="Times New Roman"/>
          <w:sz w:val="28"/>
          <w:szCs w:val="28"/>
        </w:rPr>
        <w:t>160</w:t>
      </w:r>
      <w:r w:rsidR="00F90633">
        <w:rPr>
          <w:rFonts w:ascii="Times New Roman" w:hAnsi="Times New Roman"/>
          <w:sz w:val="28"/>
          <w:szCs w:val="28"/>
        </w:rPr>
        <w:t>.</w:t>
      </w:r>
      <w:r>
        <w:rPr>
          <w:rFonts w:ascii="Times New Roman" w:hAnsi="Times New Roman"/>
          <w:sz w:val="28"/>
          <w:szCs w:val="28"/>
        </w:rPr>
        <w:t>00. Following rejection by the plaintiff’s municipal council of a proposal that this amount be increased, it was resolved on 11 March 2014 that all service providers for the celebration events be appointed in terms of the SCM policy.</w:t>
      </w:r>
      <w:r>
        <w:rPr>
          <w:rStyle w:val="FootnoteReference"/>
          <w:rFonts w:ascii="Times New Roman" w:hAnsi="Times New Roman"/>
          <w:sz w:val="28"/>
          <w:szCs w:val="28"/>
        </w:rPr>
        <w:footnoteReference w:id="42"/>
      </w:r>
    </w:p>
    <w:p w:rsidR="001C2085" w:rsidRDefault="001C2085" w:rsidP="001C2085">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On 27 May 2014 the seventh defendant directed a written enquiry</w:t>
      </w:r>
      <w:r>
        <w:rPr>
          <w:rStyle w:val="FootnoteReference"/>
          <w:rFonts w:ascii="Times New Roman" w:hAnsi="Times New Roman"/>
          <w:sz w:val="28"/>
          <w:szCs w:val="28"/>
        </w:rPr>
        <w:footnoteReference w:id="43"/>
      </w:r>
      <w:r>
        <w:rPr>
          <w:rFonts w:ascii="Times New Roman" w:hAnsi="Times New Roman"/>
          <w:sz w:val="28"/>
          <w:szCs w:val="28"/>
        </w:rPr>
        <w:t xml:space="preserve"> to the aforementioned Mr Skade as to the availability of funds in the IPTS budget to pay for the freedom celebrations but was unable to obtain a commitment from the IPTS division. Following an order (understood to have been generated at the instance of the seventh defendant</w:t>
      </w:r>
      <w:r>
        <w:rPr>
          <w:rStyle w:val="FootnoteReference"/>
          <w:rFonts w:ascii="Times New Roman" w:hAnsi="Times New Roman"/>
          <w:sz w:val="28"/>
          <w:szCs w:val="28"/>
        </w:rPr>
        <w:footnoteReference w:id="44"/>
      </w:r>
      <w:r>
        <w:rPr>
          <w:rFonts w:ascii="Times New Roman" w:hAnsi="Times New Roman"/>
          <w:sz w:val="28"/>
          <w:szCs w:val="28"/>
        </w:rPr>
        <w:t>) to the first defendant for goods and / or services, the first defendant submitted an invoice on 12 June 2014 to the plaintiff’s communications division (headed by the seventh defendant) for the sum of R1 390</w:t>
      </w:r>
      <w:r w:rsidR="00F90633">
        <w:rPr>
          <w:rFonts w:ascii="Times New Roman" w:hAnsi="Times New Roman"/>
          <w:sz w:val="28"/>
          <w:szCs w:val="28"/>
        </w:rPr>
        <w:t> </w:t>
      </w:r>
      <w:r>
        <w:rPr>
          <w:rFonts w:ascii="Times New Roman" w:hAnsi="Times New Roman"/>
          <w:sz w:val="28"/>
          <w:szCs w:val="28"/>
        </w:rPr>
        <w:t>800</w:t>
      </w:r>
      <w:r w:rsidR="00F90633">
        <w:rPr>
          <w:rFonts w:ascii="Times New Roman" w:hAnsi="Times New Roman"/>
          <w:sz w:val="28"/>
          <w:szCs w:val="28"/>
        </w:rPr>
        <w:t>.</w:t>
      </w:r>
      <w:r>
        <w:rPr>
          <w:rFonts w:ascii="Times New Roman" w:hAnsi="Times New Roman"/>
          <w:sz w:val="28"/>
          <w:szCs w:val="28"/>
        </w:rPr>
        <w:t>00. The seventh defendant then sought to persuade</w:t>
      </w:r>
      <w:r>
        <w:rPr>
          <w:rStyle w:val="FootnoteReference"/>
          <w:rFonts w:ascii="Times New Roman" w:hAnsi="Times New Roman"/>
          <w:sz w:val="28"/>
          <w:szCs w:val="28"/>
        </w:rPr>
        <w:footnoteReference w:id="45"/>
      </w:r>
      <w:r>
        <w:rPr>
          <w:rFonts w:ascii="Times New Roman" w:hAnsi="Times New Roman"/>
          <w:sz w:val="28"/>
          <w:szCs w:val="28"/>
        </w:rPr>
        <w:t xml:space="preserve"> the plaintiff’s Acting Director: Supply Chain Management, Mr Mantyontya to lift the contract limit or cap on the first defendant’s existing contract (i.e. the contract for which the first defendant had been illegally appointed by the third defendant and paid pursuant to the resolution signed by the second defendant on 20 May 2014). By means of an email dated 15 July 2014</w:t>
      </w:r>
      <w:r>
        <w:rPr>
          <w:rStyle w:val="FootnoteReference"/>
          <w:rFonts w:ascii="Times New Roman" w:hAnsi="Times New Roman"/>
          <w:sz w:val="28"/>
          <w:szCs w:val="28"/>
        </w:rPr>
        <w:footnoteReference w:id="46"/>
      </w:r>
      <w:r>
        <w:rPr>
          <w:rFonts w:ascii="Times New Roman" w:hAnsi="Times New Roman"/>
          <w:sz w:val="28"/>
          <w:szCs w:val="28"/>
        </w:rPr>
        <w:t xml:space="preserve"> Mr Mantyontya informed the seventh defendant that his attempt at removing the cap was unsuccessful for want of a new resolution signed by the municipal manager.</w:t>
      </w:r>
    </w:p>
    <w:p w:rsidR="00C028A0" w:rsidRDefault="001C2085" w:rsidP="001C2085">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What followed on 5 August 2014 was a letter</w:t>
      </w:r>
      <w:r>
        <w:rPr>
          <w:rStyle w:val="FootnoteReference"/>
          <w:rFonts w:ascii="Times New Roman" w:hAnsi="Times New Roman"/>
          <w:sz w:val="28"/>
          <w:szCs w:val="28"/>
        </w:rPr>
        <w:footnoteReference w:id="47"/>
      </w:r>
      <w:r>
        <w:rPr>
          <w:rFonts w:ascii="Times New Roman" w:hAnsi="Times New Roman"/>
          <w:sz w:val="28"/>
          <w:szCs w:val="28"/>
        </w:rPr>
        <w:t xml:space="preserve"> from the seventh defendant to the sixth defendant, which in the opinion of the seventh defendant indicate</w:t>
      </w:r>
      <w:r w:rsidR="008F5FDB">
        <w:rPr>
          <w:rFonts w:ascii="Times New Roman" w:hAnsi="Times New Roman"/>
          <w:sz w:val="28"/>
          <w:szCs w:val="28"/>
        </w:rPr>
        <w:t>d</w:t>
      </w:r>
      <w:r>
        <w:rPr>
          <w:rFonts w:ascii="Times New Roman" w:hAnsi="Times New Roman"/>
          <w:sz w:val="28"/>
          <w:szCs w:val="28"/>
        </w:rPr>
        <w:t xml:space="preserve"> the prudence of making use of the existing contract (i.e. the existing IPTS Communications and Marketing contract</w:t>
      </w:r>
      <w:r w:rsidR="00571E6B">
        <w:rPr>
          <w:rFonts w:ascii="Times New Roman" w:hAnsi="Times New Roman"/>
          <w:sz w:val="28"/>
          <w:szCs w:val="28"/>
        </w:rPr>
        <w:t xml:space="preserve"> held by the first defendant</w:t>
      </w:r>
      <w:r>
        <w:rPr>
          <w:rFonts w:ascii="Times New Roman" w:hAnsi="Times New Roman"/>
          <w:sz w:val="28"/>
          <w:szCs w:val="28"/>
        </w:rPr>
        <w:t xml:space="preserve">) to pay for the 20 Years of Freedom Celebrations for the reason </w:t>
      </w:r>
      <w:r w:rsidRPr="00C161A9">
        <w:rPr>
          <w:rFonts w:ascii="Times New Roman" w:hAnsi="Times New Roman"/>
          <w:i/>
          <w:sz w:val="28"/>
          <w:szCs w:val="28"/>
        </w:rPr>
        <w:t>inter alia</w:t>
      </w:r>
      <w:r>
        <w:rPr>
          <w:rFonts w:ascii="Times New Roman" w:hAnsi="Times New Roman"/>
          <w:sz w:val="28"/>
          <w:szCs w:val="28"/>
        </w:rPr>
        <w:t xml:space="preserve"> that the programmes had the same functionality. The letter disclosed that an order had been generated but as the existing contract was capped the payment process could not be concluded. I</w:t>
      </w:r>
      <w:r w:rsidR="00571E6B">
        <w:rPr>
          <w:rFonts w:ascii="Times New Roman" w:hAnsi="Times New Roman"/>
          <w:sz w:val="28"/>
          <w:szCs w:val="28"/>
        </w:rPr>
        <w:t>t was in</w:t>
      </w:r>
      <w:r>
        <w:rPr>
          <w:rFonts w:ascii="Times New Roman" w:hAnsi="Times New Roman"/>
          <w:sz w:val="28"/>
          <w:szCs w:val="28"/>
        </w:rPr>
        <w:t xml:space="preserve"> th</w:t>
      </w:r>
      <w:r w:rsidR="00571E6B">
        <w:rPr>
          <w:rFonts w:ascii="Times New Roman" w:hAnsi="Times New Roman"/>
          <w:sz w:val="28"/>
          <w:szCs w:val="28"/>
        </w:rPr>
        <w:t xml:space="preserve">is context that </w:t>
      </w:r>
      <w:r>
        <w:rPr>
          <w:rFonts w:ascii="Times New Roman" w:hAnsi="Times New Roman"/>
          <w:sz w:val="28"/>
          <w:szCs w:val="28"/>
        </w:rPr>
        <w:t>the seventh defendant requested the sixth defendant to escalate the matter to the city manager (the second defendant) to seek approval for the lifting of the cap.</w:t>
      </w:r>
      <w:r>
        <w:rPr>
          <w:rStyle w:val="FootnoteReference"/>
          <w:rFonts w:ascii="Times New Roman" w:hAnsi="Times New Roman"/>
          <w:sz w:val="28"/>
          <w:szCs w:val="28"/>
        </w:rPr>
        <w:footnoteReference w:id="48"/>
      </w:r>
      <w:r>
        <w:rPr>
          <w:rFonts w:ascii="Times New Roman" w:hAnsi="Times New Roman"/>
          <w:sz w:val="28"/>
          <w:szCs w:val="28"/>
        </w:rPr>
        <w:t xml:space="preserve"> On 7 August 2014 the sixth defendant signed the letter from the seventh defendant thereby signifying his approval of the payment request and the recommendation to the second defendant that the cap be lifted. On the same day the second defendant resolved that the cap be lifted but in doing so did not specify a new limit on the amount to be paid to the first defendant.</w:t>
      </w:r>
      <w:r>
        <w:rPr>
          <w:rStyle w:val="FootnoteReference"/>
          <w:rFonts w:ascii="Times New Roman" w:hAnsi="Times New Roman"/>
          <w:sz w:val="28"/>
          <w:szCs w:val="28"/>
        </w:rPr>
        <w:footnoteReference w:id="49"/>
      </w:r>
      <w:r>
        <w:rPr>
          <w:rFonts w:ascii="Times New Roman" w:hAnsi="Times New Roman"/>
          <w:sz w:val="28"/>
          <w:szCs w:val="28"/>
        </w:rPr>
        <w:t xml:space="preserve"> Consequent thereto and on 18 September 2014 payment in the amount of R1 390</w:t>
      </w:r>
      <w:r w:rsidR="00F169D3">
        <w:rPr>
          <w:rFonts w:ascii="Times New Roman" w:hAnsi="Times New Roman"/>
          <w:sz w:val="28"/>
          <w:szCs w:val="28"/>
        </w:rPr>
        <w:t> </w:t>
      </w:r>
      <w:r>
        <w:rPr>
          <w:rFonts w:ascii="Times New Roman" w:hAnsi="Times New Roman"/>
          <w:sz w:val="28"/>
          <w:szCs w:val="28"/>
        </w:rPr>
        <w:t>800</w:t>
      </w:r>
      <w:r w:rsidR="00F169D3">
        <w:rPr>
          <w:rFonts w:ascii="Times New Roman" w:hAnsi="Times New Roman"/>
          <w:sz w:val="28"/>
          <w:szCs w:val="28"/>
        </w:rPr>
        <w:t>.</w:t>
      </w:r>
      <w:r>
        <w:rPr>
          <w:rFonts w:ascii="Times New Roman" w:hAnsi="Times New Roman"/>
          <w:sz w:val="28"/>
          <w:szCs w:val="28"/>
        </w:rPr>
        <w:t>00 (“the second payment”) was made to the first defendant.</w:t>
      </w:r>
      <w:r>
        <w:rPr>
          <w:rStyle w:val="FootnoteReference"/>
          <w:rFonts w:ascii="Times New Roman" w:hAnsi="Times New Roman"/>
          <w:sz w:val="28"/>
          <w:szCs w:val="28"/>
        </w:rPr>
        <w:footnoteReference w:id="50"/>
      </w:r>
    </w:p>
    <w:p w:rsidR="003E12F3" w:rsidRPr="00104BBC" w:rsidRDefault="003469EF" w:rsidP="003E12F3">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Arising from the abovementioned facts relating to </w:t>
      </w:r>
      <w:r w:rsidR="00E209A6">
        <w:rPr>
          <w:rFonts w:ascii="Times New Roman" w:hAnsi="Times New Roman"/>
          <w:sz w:val="28"/>
          <w:szCs w:val="28"/>
        </w:rPr>
        <w:t xml:space="preserve">the actions of the sixth and seventh defendants consequent to which the </w:t>
      </w:r>
      <w:r w:rsidR="00765BB8">
        <w:rPr>
          <w:rFonts w:ascii="Times New Roman" w:hAnsi="Times New Roman"/>
          <w:sz w:val="28"/>
          <w:szCs w:val="28"/>
        </w:rPr>
        <w:t>second payment</w:t>
      </w:r>
      <w:r w:rsidR="00E209A6">
        <w:rPr>
          <w:rFonts w:ascii="Times New Roman" w:hAnsi="Times New Roman"/>
          <w:sz w:val="28"/>
          <w:szCs w:val="28"/>
        </w:rPr>
        <w:t xml:space="preserve"> was made</w:t>
      </w:r>
      <w:r>
        <w:rPr>
          <w:rFonts w:ascii="Times New Roman" w:hAnsi="Times New Roman"/>
          <w:sz w:val="28"/>
          <w:szCs w:val="28"/>
        </w:rPr>
        <w:t>, the plaintiff’s c</w:t>
      </w:r>
      <w:r w:rsidR="0076217C">
        <w:rPr>
          <w:rFonts w:ascii="Times New Roman" w:hAnsi="Times New Roman"/>
          <w:sz w:val="28"/>
          <w:szCs w:val="28"/>
        </w:rPr>
        <w:t xml:space="preserve">ase is that it suffered damages due to an </w:t>
      </w:r>
      <w:r w:rsidR="0076217C">
        <w:rPr>
          <w:rFonts w:ascii="Times New Roman" w:hAnsi="Times New Roman"/>
          <w:color w:val="000000"/>
          <w:sz w:val="28"/>
          <w:szCs w:val="28"/>
        </w:rPr>
        <w:t>unlawful and intentional, alternatively negligent</w:t>
      </w:r>
      <w:r w:rsidR="0076217C">
        <w:rPr>
          <w:rFonts w:ascii="Times New Roman" w:hAnsi="Times New Roman"/>
          <w:sz w:val="28"/>
          <w:szCs w:val="28"/>
        </w:rPr>
        <w:t xml:space="preserve"> breach by each of them of their duty </w:t>
      </w:r>
      <w:r w:rsidR="0076217C">
        <w:rPr>
          <w:rFonts w:ascii="Times New Roman" w:hAnsi="Times New Roman"/>
          <w:color w:val="000000"/>
          <w:sz w:val="28"/>
          <w:szCs w:val="28"/>
        </w:rPr>
        <w:t>of good faith and diligence</w:t>
      </w:r>
      <w:r w:rsidR="000838DA">
        <w:rPr>
          <w:rStyle w:val="FootnoteReference"/>
          <w:rFonts w:ascii="Times New Roman" w:hAnsi="Times New Roman"/>
          <w:color w:val="000000"/>
          <w:sz w:val="28"/>
          <w:szCs w:val="28"/>
        </w:rPr>
        <w:footnoteReference w:id="51"/>
      </w:r>
      <w:r w:rsidR="00C028A0">
        <w:rPr>
          <w:rFonts w:ascii="Times New Roman" w:hAnsi="Times New Roman"/>
          <w:color w:val="000000"/>
          <w:sz w:val="28"/>
          <w:szCs w:val="28"/>
        </w:rPr>
        <w:t xml:space="preserve"> (dealt with </w:t>
      </w:r>
      <w:r w:rsidR="000838DA">
        <w:rPr>
          <w:rFonts w:ascii="Times New Roman" w:hAnsi="Times New Roman"/>
          <w:color w:val="000000"/>
          <w:sz w:val="28"/>
          <w:szCs w:val="28"/>
        </w:rPr>
        <w:t>further below).</w:t>
      </w:r>
    </w:p>
    <w:p w:rsidR="001C2085" w:rsidRDefault="001C2085" w:rsidP="001C2085">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On 10 September 2014 and notwithstanding that it had been effectively paid the full contract amount in advance, the first defendant submitted a further invoice (No. 002) in the amount of R984</w:t>
      </w:r>
      <w:r w:rsidR="00F169D3">
        <w:rPr>
          <w:rFonts w:ascii="Times New Roman" w:hAnsi="Times New Roman"/>
          <w:sz w:val="28"/>
          <w:szCs w:val="28"/>
        </w:rPr>
        <w:t> </w:t>
      </w:r>
      <w:r>
        <w:rPr>
          <w:rFonts w:ascii="Times New Roman" w:hAnsi="Times New Roman"/>
          <w:sz w:val="28"/>
          <w:szCs w:val="28"/>
        </w:rPr>
        <w:t>197</w:t>
      </w:r>
      <w:r w:rsidR="00F169D3">
        <w:rPr>
          <w:rFonts w:ascii="Times New Roman" w:hAnsi="Times New Roman"/>
          <w:sz w:val="28"/>
          <w:szCs w:val="28"/>
        </w:rPr>
        <w:t>.</w:t>
      </w:r>
      <w:r>
        <w:rPr>
          <w:rFonts w:ascii="Times New Roman" w:hAnsi="Times New Roman"/>
          <w:sz w:val="28"/>
          <w:szCs w:val="28"/>
        </w:rPr>
        <w:t>22 (including VAT).</w:t>
      </w:r>
      <w:r>
        <w:rPr>
          <w:rStyle w:val="FootnoteReference"/>
          <w:rFonts w:ascii="Times New Roman" w:hAnsi="Times New Roman"/>
          <w:sz w:val="28"/>
          <w:szCs w:val="28"/>
        </w:rPr>
        <w:footnoteReference w:id="52"/>
      </w:r>
      <w:r>
        <w:rPr>
          <w:rFonts w:ascii="Times New Roman" w:hAnsi="Times New Roman"/>
          <w:sz w:val="28"/>
          <w:szCs w:val="28"/>
        </w:rPr>
        <w:t xml:space="preserve"> The fourth defendant consequently directed a further memorandum (“the fourth memorandum”)</w:t>
      </w:r>
      <w:r>
        <w:rPr>
          <w:rStyle w:val="FootnoteReference"/>
          <w:rFonts w:ascii="Times New Roman" w:hAnsi="Times New Roman"/>
          <w:sz w:val="28"/>
          <w:szCs w:val="28"/>
        </w:rPr>
        <w:footnoteReference w:id="53"/>
      </w:r>
      <w:r>
        <w:rPr>
          <w:rFonts w:ascii="Times New Roman" w:hAnsi="Times New Roman"/>
          <w:sz w:val="28"/>
          <w:szCs w:val="28"/>
        </w:rPr>
        <w:t xml:space="preserve"> to the second defendant seeking an increase in the contract value and approval for payment of the said amount to the first defendant.</w:t>
      </w:r>
      <w:r>
        <w:rPr>
          <w:rStyle w:val="FootnoteReference"/>
          <w:rFonts w:ascii="Times New Roman" w:hAnsi="Times New Roman"/>
          <w:sz w:val="28"/>
          <w:szCs w:val="28"/>
        </w:rPr>
        <w:footnoteReference w:id="54"/>
      </w:r>
      <w:r>
        <w:rPr>
          <w:rFonts w:ascii="Times New Roman" w:hAnsi="Times New Roman"/>
          <w:sz w:val="28"/>
          <w:szCs w:val="28"/>
        </w:rPr>
        <w:t xml:space="preserve"> He appeared to contend that the expenditure incurred by the first defendant was in relation to the 2014 Splash Festival and that the plaintiff was liable to make payment for which the authorisation of the second defendant was required. In addition he recommended that the second defendant approves the increase of the contract value from R6 million to R6 984</w:t>
      </w:r>
      <w:r w:rsidR="00F169D3">
        <w:rPr>
          <w:rFonts w:ascii="Times New Roman" w:hAnsi="Times New Roman"/>
          <w:sz w:val="28"/>
          <w:szCs w:val="28"/>
        </w:rPr>
        <w:t> </w:t>
      </w:r>
      <w:r>
        <w:rPr>
          <w:rFonts w:ascii="Times New Roman" w:hAnsi="Times New Roman"/>
          <w:sz w:val="28"/>
          <w:szCs w:val="28"/>
        </w:rPr>
        <w:t>197</w:t>
      </w:r>
      <w:r w:rsidR="00F169D3">
        <w:rPr>
          <w:rFonts w:ascii="Times New Roman" w:hAnsi="Times New Roman"/>
          <w:sz w:val="28"/>
          <w:szCs w:val="28"/>
        </w:rPr>
        <w:t>.</w:t>
      </w:r>
      <w:r>
        <w:rPr>
          <w:rFonts w:ascii="Times New Roman" w:hAnsi="Times New Roman"/>
          <w:sz w:val="28"/>
          <w:szCs w:val="28"/>
        </w:rPr>
        <w:t>22</w:t>
      </w:r>
      <w:r w:rsidR="00F169D3">
        <w:rPr>
          <w:rFonts w:ascii="Times New Roman" w:hAnsi="Times New Roman"/>
          <w:sz w:val="28"/>
          <w:szCs w:val="28"/>
        </w:rPr>
        <w:t xml:space="preserve"> </w:t>
      </w:r>
      <w:r>
        <w:rPr>
          <w:rFonts w:ascii="Times New Roman" w:hAnsi="Times New Roman"/>
          <w:sz w:val="28"/>
          <w:szCs w:val="28"/>
        </w:rPr>
        <w:t>.</w:t>
      </w:r>
      <w:r>
        <w:rPr>
          <w:rStyle w:val="FootnoteReference"/>
          <w:rFonts w:ascii="Times New Roman" w:hAnsi="Times New Roman"/>
          <w:sz w:val="28"/>
          <w:szCs w:val="28"/>
        </w:rPr>
        <w:footnoteReference w:id="55"/>
      </w:r>
    </w:p>
    <w:p w:rsidR="001C2085" w:rsidRDefault="001C2085" w:rsidP="001C2085">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The recommendation and authority to make payment was endorsed by the eighth defendant (on 24 February 2015); by the fifth defendant, as CFO (on 25 February 2015) who, in doin</w:t>
      </w:r>
      <w:r w:rsidR="008F5FDB">
        <w:rPr>
          <w:rFonts w:ascii="Times New Roman" w:hAnsi="Times New Roman"/>
          <w:sz w:val="28"/>
          <w:szCs w:val="28"/>
        </w:rPr>
        <w:t>g so, certified that it complied</w:t>
      </w:r>
      <w:r w:rsidRPr="00DC0F18">
        <w:rPr>
          <w:rFonts w:ascii="Times New Roman" w:hAnsi="Times New Roman"/>
          <w:sz w:val="28"/>
          <w:szCs w:val="28"/>
        </w:rPr>
        <w:t xml:space="preserve"> </w:t>
      </w:r>
      <w:r>
        <w:rPr>
          <w:rFonts w:ascii="Times New Roman" w:hAnsi="Times New Roman"/>
          <w:sz w:val="28"/>
          <w:szCs w:val="28"/>
        </w:rPr>
        <w:t>with the MFMA supply chain procedures, policies and relevant financial processes; and by the second defendant (on 26 February 2015).</w:t>
      </w:r>
      <w:r>
        <w:rPr>
          <w:rStyle w:val="FootnoteReference"/>
          <w:rFonts w:ascii="Times New Roman" w:hAnsi="Times New Roman"/>
          <w:sz w:val="28"/>
          <w:szCs w:val="28"/>
        </w:rPr>
        <w:footnoteReference w:id="56"/>
      </w:r>
    </w:p>
    <w:p w:rsidR="001C2085" w:rsidRDefault="001C2085" w:rsidP="001C2085">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Consequent to the above and on 4 March 2015 the plaintiff paid the amount of R984 197,21 (“the third payment”) to the first defendant.</w:t>
      </w:r>
      <w:r>
        <w:rPr>
          <w:rStyle w:val="FootnoteReference"/>
          <w:rFonts w:ascii="Times New Roman" w:hAnsi="Times New Roman"/>
          <w:sz w:val="28"/>
          <w:szCs w:val="28"/>
        </w:rPr>
        <w:footnoteReference w:id="57"/>
      </w:r>
    </w:p>
    <w:p w:rsidR="001C2085" w:rsidRPr="00BD47EB" w:rsidRDefault="001C2085" w:rsidP="001C2085">
      <w:pPr>
        <w:pStyle w:val="LegalList1"/>
        <w:numPr>
          <w:ilvl w:val="0"/>
          <w:numId w:val="2"/>
        </w:numPr>
        <w:tabs>
          <w:tab w:val="clear" w:pos="567"/>
        </w:tabs>
        <w:spacing w:line="360" w:lineRule="auto"/>
        <w:ind w:left="851" w:hanging="851"/>
        <w:rPr>
          <w:rFonts w:ascii="Times New Roman" w:hAnsi="Times New Roman"/>
          <w:sz w:val="28"/>
          <w:szCs w:val="28"/>
        </w:rPr>
      </w:pPr>
      <w:r w:rsidRPr="00BD47EB">
        <w:rPr>
          <w:rFonts w:ascii="Times New Roman" w:hAnsi="Times New Roman"/>
          <w:color w:val="000000"/>
          <w:sz w:val="28"/>
          <w:szCs w:val="28"/>
        </w:rPr>
        <w:t xml:space="preserve">In accordance with what has been set out above what follows is a determination as to whether the </w:t>
      </w:r>
      <w:r>
        <w:rPr>
          <w:rFonts w:ascii="Times New Roman" w:hAnsi="Times New Roman"/>
          <w:color w:val="000000"/>
          <w:sz w:val="28"/>
          <w:szCs w:val="28"/>
        </w:rPr>
        <w:t>evidence</w:t>
      </w:r>
      <w:r w:rsidRPr="00BD47EB">
        <w:rPr>
          <w:rFonts w:ascii="Times New Roman" w:hAnsi="Times New Roman"/>
          <w:color w:val="000000"/>
          <w:sz w:val="28"/>
          <w:szCs w:val="28"/>
        </w:rPr>
        <w:t xml:space="preserve"> </w:t>
      </w:r>
      <w:r>
        <w:rPr>
          <w:rFonts w:ascii="Times New Roman" w:hAnsi="Times New Roman"/>
          <w:color w:val="000000"/>
          <w:sz w:val="28"/>
          <w:szCs w:val="28"/>
        </w:rPr>
        <w:t>is supportive of the plaintiff’s specific claims.</w:t>
      </w:r>
    </w:p>
    <w:p w:rsidR="00A15E23" w:rsidRPr="00104BBC" w:rsidRDefault="00A15E23" w:rsidP="00A15E23">
      <w:pPr>
        <w:pStyle w:val="LegalList1"/>
        <w:spacing w:line="360" w:lineRule="auto"/>
        <w:ind w:left="131" w:firstLine="720"/>
        <w:rPr>
          <w:rFonts w:ascii="Times New Roman" w:hAnsi="Times New Roman"/>
          <w:sz w:val="28"/>
          <w:szCs w:val="28"/>
        </w:rPr>
      </w:pPr>
      <w:r>
        <w:rPr>
          <w:rFonts w:ascii="Times New Roman" w:hAnsi="Times New Roman"/>
          <w:sz w:val="28"/>
          <w:szCs w:val="28"/>
        </w:rPr>
        <w:t>THE FIRST CLAIM</w:t>
      </w:r>
    </w:p>
    <w:p w:rsidR="00A15E23" w:rsidRPr="005761A1" w:rsidRDefault="00A15E23" w:rsidP="00A15E23">
      <w:pPr>
        <w:pStyle w:val="LegalList1"/>
        <w:numPr>
          <w:ilvl w:val="0"/>
          <w:numId w:val="2"/>
        </w:numPr>
        <w:tabs>
          <w:tab w:val="clear" w:pos="567"/>
        </w:tabs>
        <w:spacing w:line="360" w:lineRule="auto"/>
        <w:ind w:left="851" w:hanging="851"/>
        <w:rPr>
          <w:rFonts w:ascii="Times New Roman" w:hAnsi="Times New Roman"/>
          <w:sz w:val="28"/>
          <w:szCs w:val="28"/>
        </w:rPr>
      </w:pPr>
      <w:r w:rsidRPr="005761A1">
        <w:rPr>
          <w:rFonts w:ascii="Times New Roman" w:hAnsi="Times New Roman"/>
          <w:color w:val="000000"/>
          <w:sz w:val="28"/>
          <w:szCs w:val="28"/>
        </w:rPr>
        <w:t>The plaintiff seeks declaratory relief to the effect that the actions and decisions of the second and third defendants</w:t>
      </w:r>
      <w:r>
        <w:rPr>
          <w:rStyle w:val="FootnoteReference"/>
          <w:rFonts w:ascii="Times New Roman" w:hAnsi="Times New Roman"/>
          <w:color w:val="000000"/>
          <w:sz w:val="28"/>
          <w:szCs w:val="28"/>
        </w:rPr>
        <w:footnoteReference w:id="58"/>
      </w:r>
      <w:r w:rsidRPr="005761A1">
        <w:rPr>
          <w:rFonts w:ascii="Times New Roman" w:hAnsi="Times New Roman"/>
          <w:color w:val="000000"/>
          <w:sz w:val="28"/>
          <w:szCs w:val="28"/>
        </w:rPr>
        <w:t xml:space="preserve"> occasioning the appointment of the first defendant and the consequent payment to it of the above-mentioned sums amounts to conduct inconsistent with the Constitution  and falls </w:t>
      </w:r>
      <w:r w:rsidR="00D676C3">
        <w:rPr>
          <w:rFonts w:ascii="Times New Roman" w:hAnsi="Times New Roman"/>
          <w:color w:val="000000"/>
          <w:sz w:val="28"/>
          <w:szCs w:val="28"/>
        </w:rPr>
        <w:t xml:space="preserve">to </w:t>
      </w:r>
      <w:r w:rsidRPr="005761A1">
        <w:rPr>
          <w:rFonts w:ascii="Times New Roman" w:hAnsi="Times New Roman"/>
          <w:color w:val="000000"/>
          <w:sz w:val="28"/>
          <w:szCs w:val="28"/>
        </w:rPr>
        <w:t xml:space="preserve">be declared unlawful, void </w:t>
      </w:r>
      <w:r w:rsidRPr="005761A1">
        <w:rPr>
          <w:rFonts w:ascii="Times New Roman" w:hAnsi="Times New Roman"/>
          <w:i/>
          <w:color w:val="000000"/>
          <w:sz w:val="28"/>
          <w:szCs w:val="28"/>
        </w:rPr>
        <w:t>ab initio</w:t>
      </w:r>
      <w:r w:rsidRPr="005761A1">
        <w:rPr>
          <w:rFonts w:ascii="Times New Roman" w:hAnsi="Times New Roman"/>
          <w:color w:val="000000"/>
          <w:sz w:val="28"/>
          <w:szCs w:val="28"/>
        </w:rPr>
        <w:t xml:space="preserve">, and invalid under section 172 (1) of the Constitution, in particular: </w:t>
      </w:r>
    </w:p>
    <w:p w:rsidR="00A15E23" w:rsidRPr="005761A1" w:rsidRDefault="00A15E23" w:rsidP="00A15E23">
      <w:pPr>
        <w:pStyle w:val="LegalList1"/>
        <w:spacing w:line="360" w:lineRule="auto"/>
        <w:ind w:left="1440" w:hanging="589"/>
        <w:rPr>
          <w:rFonts w:ascii="Times New Roman" w:hAnsi="Times New Roman"/>
          <w:sz w:val="28"/>
          <w:szCs w:val="28"/>
        </w:rPr>
      </w:pPr>
      <w:r>
        <w:rPr>
          <w:rFonts w:ascii="Times New Roman" w:hAnsi="Times New Roman"/>
          <w:color w:val="000000"/>
          <w:sz w:val="28"/>
          <w:szCs w:val="28"/>
        </w:rPr>
        <w:t>(a)</w:t>
      </w:r>
      <w:r>
        <w:rPr>
          <w:rFonts w:ascii="Times New Roman" w:hAnsi="Times New Roman"/>
          <w:color w:val="000000"/>
          <w:sz w:val="28"/>
          <w:szCs w:val="28"/>
        </w:rPr>
        <w:tab/>
        <w:t>T</w:t>
      </w:r>
      <w:r w:rsidRPr="005761A1">
        <w:rPr>
          <w:rFonts w:ascii="Times New Roman" w:hAnsi="Times New Roman"/>
          <w:color w:val="000000"/>
          <w:sz w:val="28"/>
          <w:szCs w:val="28"/>
        </w:rPr>
        <w:t>he decision of the third defendant on 13 February 2014 and its confirmation by means of a formal resolution dated 21 February 2014 which culminated in the appointment of the first defendant without initiating a competitive bidding process and where none of the grounds specified in paragraph 39 of the SCM policy were present (</w:t>
      </w:r>
      <w:r>
        <w:rPr>
          <w:rFonts w:ascii="Times New Roman" w:hAnsi="Times New Roman"/>
          <w:color w:val="000000"/>
          <w:sz w:val="28"/>
          <w:szCs w:val="28"/>
        </w:rPr>
        <w:t>S</w:t>
      </w:r>
      <w:r w:rsidRPr="005761A1">
        <w:rPr>
          <w:rFonts w:ascii="Times New Roman" w:hAnsi="Times New Roman"/>
          <w:color w:val="000000"/>
          <w:sz w:val="28"/>
          <w:szCs w:val="28"/>
        </w:rPr>
        <w:t xml:space="preserve">uch decision and resolution </w:t>
      </w:r>
      <w:r>
        <w:rPr>
          <w:rFonts w:ascii="Times New Roman" w:hAnsi="Times New Roman"/>
          <w:color w:val="000000"/>
          <w:sz w:val="28"/>
          <w:szCs w:val="28"/>
        </w:rPr>
        <w:t xml:space="preserve">the plaintiff contends, including those that follow in the sub-paragraphs below, </w:t>
      </w:r>
      <w:r w:rsidRPr="005761A1">
        <w:rPr>
          <w:rFonts w:ascii="Times New Roman" w:hAnsi="Times New Roman"/>
          <w:color w:val="000000"/>
          <w:sz w:val="28"/>
          <w:szCs w:val="28"/>
        </w:rPr>
        <w:t>are invalid and fall to be declared as such under the provisions of section 172(1) of the Constitution for the reason that the procurement process followed by the third defendant was not fair, equitable, transparent, competitive and cost effective);</w:t>
      </w:r>
    </w:p>
    <w:p w:rsidR="00A15E23" w:rsidRDefault="00A15E23" w:rsidP="00A15E23">
      <w:pPr>
        <w:pStyle w:val="LegalList1"/>
        <w:spacing w:line="360" w:lineRule="auto"/>
        <w:ind w:left="1440" w:hanging="589"/>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t>The decision and resolution of the second defendant on 20 May 2014 in support of the fourth defendant’s recommendation for approving the first payment, which decision and resolution were illegal consequent to the third defendant’s illegal appointment of the first defendant;</w:t>
      </w:r>
    </w:p>
    <w:p w:rsidR="00A15E23" w:rsidRDefault="00A15E23" w:rsidP="00A15E23">
      <w:pPr>
        <w:pStyle w:val="LegalList1"/>
        <w:spacing w:line="360" w:lineRule="auto"/>
        <w:ind w:left="1440" w:hanging="589"/>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ab/>
        <w:t>The decision of the second defendant on 7 August 2014 for the lifting of the cap on the first defendant’s contract in circumstances that culminated in the second payment being made - such decision being tainted by the illegality of the initial decision and resolution of the third defendant and amounted to irregular expenditure under the MFMA incurred in contravention of the SCM policy and constituted an improper increase in the contract value without compliance with competitive bidding requirements and</w:t>
      </w:r>
      <w:r w:rsidRPr="006D5754">
        <w:rPr>
          <w:rFonts w:ascii="Times New Roman" w:hAnsi="Times New Roman"/>
          <w:color w:val="000000"/>
          <w:sz w:val="28"/>
          <w:szCs w:val="28"/>
        </w:rPr>
        <w:t xml:space="preserve"> </w:t>
      </w:r>
      <w:r w:rsidRPr="005761A1">
        <w:rPr>
          <w:rFonts w:ascii="Times New Roman" w:hAnsi="Times New Roman"/>
          <w:color w:val="000000"/>
          <w:sz w:val="28"/>
          <w:szCs w:val="28"/>
        </w:rPr>
        <w:t>where none of the grounds specified in paragraph 39 of the SCM policy were present</w:t>
      </w:r>
      <w:r>
        <w:rPr>
          <w:rFonts w:ascii="Times New Roman" w:hAnsi="Times New Roman"/>
          <w:sz w:val="28"/>
          <w:szCs w:val="28"/>
        </w:rPr>
        <w:t>; moreover in circumstances in which the second defendant was obliged to ensure that no payment was made to the first defendant pursuant to the latter’s irregular appointment by the third defendant; and</w:t>
      </w:r>
    </w:p>
    <w:p w:rsidR="00A15E23" w:rsidRPr="00104BBC" w:rsidRDefault="00A15E23" w:rsidP="00A15E23">
      <w:pPr>
        <w:pStyle w:val="LegalList1"/>
        <w:spacing w:line="360" w:lineRule="auto"/>
        <w:ind w:left="1440" w:hanging="589"/>
        <w:rPr>
          <w:rFonts w:ascii="Times New Roman" w:hAnsi="Times New Roman"/>
          <w:sz w:val="28"/>
          <w:szCs w:val="28"/>
        </w:rPr>
      </w:pPr>
      <w:r>
        <w:rPr>
          <w:rFonts w:ascii="Times New Roman" w:hAnsi="Times New Roman"/>
          <w:sz w:val="28"/>
          <w:szCs w:val="28"/>
        </w:rPr>
        <w:t>(d)</w:t>
      </w:r>
      <w:r>
        <w:rPr>
          <w:rFonts w:ascii="Times New Roman" w:hAnsi="Times New Roman"/>
          <w:sz w:val="28"/>
          <w:szCs w:val="28"/>
        </w:rPr>
        <w:tab/>
        <w:t>The decision of the second defendant on 26 February 2015 which culminated in the third payment to the first defendant, such decision being illegal in the light of the invalidity of the decision and resolution of the third defendant, and that the payment authorised by the second defendant constituted irregular expenditure (for which he was obliged to avoid) incurred in contravention of competitive bidding requirements.</w:t>
      </w:r>
    </w:p>
    <w:p w:rsidR="00A15E23" w:rsidRDefault="00A15E23" w:rsidP="00A15E23">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The declaratory relief sought by the plaintiff is characterised </w:t>
      </w:r>
      <w:r w:rsidRPr="001D7034">
        <w:rPr>
          <w:rFonts w:ascii="Times New Roman" w:hAnsi="Times New Roman"/>
          <w:sz w:val="28"/>
          <w:szCs w:val="28"/>
        </w:rPr>
        <w:t>as a legality review</w:t>
      </w:r>
      <w:r>
        <w:rPr>
          <w:rFonts w:ascii="Times New Roman" w:hAnsi="Times New Roman"/>
          <w:sz w:val="28"/>
          <w:szCs w:val="28"/>
        </w:rPr>
        <w:t xml:space="preserve"> by</w:t>
      </w:r>
      <w:r w:rsidRPr="00A9260D">
        <w:rPr>
          <w:rFonts w:ascii="Times New Roman" w:hAnsi="Times New Roman"/>
          <w:sz w:val="28"/>
          <w:szCs w:val="28"/>
        </w:rPr>
        <w:t xml:space="preserve"> </w:t>
      </w:r>
      <w:r w:rsidRPr="001D7034">
        <w:rPr>
          <w:rFonts w:ascii="Times New Roman" w:hAnsi="Times New Roman"/>
          <w:sz w:val="28"/>
          <w:szCs w:val="28"/>
        </w:rPr>
        <w:t xml:space="preserve">the second, fifth and eighth </w:t>
      </w:r>
      <w:r>
        <w:rPr>
          <w:rFonts w:ascii="Times New Roman" w:hAnsi="Times New Roman"/>
          <w:sz w:val="28"/>
          <w:szCs w:val="28"/>
        </w:rPr>
        <w:t>defendants in their remaining special pleas.</w:t>
      </w:r>
      <w:r>
        <w:rPr>
          <w:rStyle w:val="FootnoteReference"/>
          <w:rFonts w:ascii="Times New Roman" w:hAnsi="Times New Roman"/>
          <w:sz w:val="28"/>
          <w:szCs w:val="28"/>
        </w:rPr>
        <w:footnoteReference w:id="59"/>
      </w:r>
      <w:r>
        <w:rPr>
          <w:rFonts w:ascii="Times New Roman" w:hAnsi="Times New Roman"/>
          <w:sz w:val="28"/>
          <w:szCs w:val="28"/>
        </w:rPr>
        <w:t xml:space="preserve"> These defendants</w:t>
      </w:r>
      <w:r w:rsidRPr="00DC6394">
        <w:rPr>
          <w:rFonts w:ascii="Times New Roman" w:hAnsi="Times New Roman"/>
          <w:sz w:val="28"/>
          <w:szCs w:val="28"/>
        </w:rPr>
        <w:t xml:space="preserve"> </w:t>
      </w:r>
      <w:r>
        <w:rPr>
          <w:rFonts w:ascii="Times New Roman" w:hAnsi="Times New Roman"/>
          <w:sz w:val="28"/>
          <w:szCs w:val="28"/>
        </w:rPr>
        <w:t xml:space="preserve">raise </w:t>
      </w:r>
      <w:r w:rsidRPr="001D7034">
        <w:rPr>
          <w:rFonts w:ascii="Times New Roman" w:hAnsi="Times New Roman"/>
          <w:sz w:val="28"/>
          <w:szCs w:val="28"/>
        </w:rPr>
        <w:t xml:space="preserve">the </w:t>
      </w:r>
      <w:r>
        <w:rPr>
          <w:rFonts w:ascii="Times New Roman" w:hAnsi="Times New Roman"/>
          <w:sz w:val="28"/>
          <w:szCs w:val="28"/>
        </w:rPr>
        <w:t xml:space="preserve">issue of undue delay by contending that </w:t>
      </w:r>
      <w:r w:rsidRPr="001D7034">
        <w:rPr>
          <w:rFonts w:ascii="Times New Roman" w:hAnsi="Times New Roman"/>
          <w:sz w:val="28"/>
          <w:szCs w:val="28"/>
        </w:rPr>
        <w:t>such relief ought to have been claimed within</w:t>
      </w:r>
      <w:r>
        <w:rPr>
          <w:rFonts w:ascii="Times New Roman" w:hAnsi="Times New Roman"/>
          <w:sz w:val="28"/>
          <w:szCs w:val="28"/>
        </w:rPr>
        <w:t xml:space="preserve"> a reasonable time a</w:t>
      </w:r>
      <w:r w:rsidRPr="001D7034">
        <w:rPr>
          <w:rFonts w:ascii="Times New Roman" w:hAnsi="Times New Roman"/>
          <w:sz w:val="28"/>
          <w:szCs w:val="28"/>
        </w:rPr>
        <w:t xml:space="preserve">s a jurisdictional fact necessary to establish the </w:t>
      </w:r>
      <w:r>
        <w:rPr>
          <w:rFonts w:ascii="Times New Roman" w:hAnsi="Times New Roman"/>
          <w:sz w:val="28"/>
          <w:szCs w:val="28"/>
        </w:rPr>
        <w:t xml:space="preserve">plaintiff’s </w:t>
      </w:r>
      <w:r w:rsidRPr="001D7034">
        <w:rPr>
          <w:rFonts w:ascii="Times New Roman" w:hAnsi="Times New Roman"/>
          <w:sz w:val="28"/>
          <w:szCs w:val="28"/>
        </w:rPr>
        <w:t>claims against them.</w:t>
      </w:r>
      <w:r>
        <w:rPr>
          <w:rStyle w:val="FootnoteReference"/>
          <w:rFonts w:ascii="Times New Roman" w:hAnsi="Times New Roman"/>
          <w:sz w:val="28"/>
          <w:szCs w:val="28"/>
        </w:rPr>
        <w:footnoteReference w:id="60"/>
      </w:r>
      <w:r w:rsidR="00DB4ED1">
        <w:rPr>
          <w:rFonts w:ascii="Times New Roman" w:hAnsi="Times New Roman"/>
          <w:sz w:val="28"/>
          <w:szCs w:val="28"/>
        </w:rPr>
        <w:t xml:space="preserve"> The fourth defendant’s belated reliance on the </w:t>
      </w:r>
      <w:r w:rsidR="0050091C">
        <w:rPr>
          <w:rFonts w:ascii="Times New Roman" w:hAnsi="Times New Roman"/>
          <w:sz w:val="28"/>
          <w:szCs w:val="28"/>
        </w:rPr>
        <w:t xml:space="preserve">delay </w:t>
      </w:r>
      <w:r w:rsidR="00DB4ED1">
        <w:rPr>
          <w:rFonts w:ascii="Times New Roman" w:hAnsi="Times New Roman"/>
          <w:sz w:val="28"/>
          <w:szCs w:val="28"/>
        </w:rPr>
        <w:t xml:space="preserve">issue was not pleaded but </w:t>
      </w:r>
      <w:r w:rsidR="0050091C">
        <w:rPr>
          <w:rFonts w:ascii="Times New Roman" w:hAnsi="Times New Roman"/>
          <w:sz w:val="28"/>
          <w:szCs w:val="28"/>
        </w:rPr>
        <w:t xml:space="preserve">impermissibly </w:t>
      </w:r>
      <w:r w:rsidR="00DB4ED1">
        <w:rPr>
          <w:rFonts w:ascii="Times New Roman" w:hAnsi="Times New Roman"/>
          <w:sz w:val="28"/>
          <w:szCs w:val="28"/>
        </w:rPr>
        <w:t>raised in his heads of argument</w:t>
      </w:r>
      <w:r w:rsidR="0050091C">
        <w:rPr>
          <w:rFonts w:ascii="Times New Roman" w:hAnsi="Times New Roman"/>
          <w:sz w:val="28"/>
          <w:szCs w:val="28"/>
        </w:rPr>
        <w:t>.</w:t>
      </w:r>
    </w:p>
    <w:p w:rsidR="00A15E23" w:rsidRPr="00A33B23" w:rsidRDefault="00A15E23" w:rsidP="00A15E23">
      <w:pPr>
        <w:pStyle w:val="LegalList1"/>
        <w:numPr>
          <w:ilvl w:val="0"/>
          <w:numId w:val="2"/>
        </w:numPr>
        <w:tabs>
          <w:tab w:val="clear" w:pos="567"/>
        </w:tabs>
        <w:spacing w:line="360" w:lineRule="auto"/>
        <w:ind w:left="851" w:hanging="851"/>
        <w:rPr>
          <w:rFonts w:ascii="Times New Roman" w:hAnsi="Times New Roman"/>
          <w:sz w:val="28"/>
          <w:szCs w:val="28"/>
        </w:rPr>
      </w:pPr>
      <w:r w:rsidRPr="00A33B23">
        <w:rPr>
          <w:rFonts w:ascii="Times New Roman" w:hAnsi="Times New Roman"/>
          <w:sz w:val="28"/>
          <w:szCs w:val="28"/>
        </w:rPr>
        <w:t>The material facts pleaded by the plaintiff in support of its contention that the action was brought without undue delay</w:t>
      </w:r>
      <w:r>
        <w:rPr>
          <w:rStyle w:val="FootnoteReference"/>
          <w:rFonts w:ascii="Times New Roman" w:hAnsi="Times New Roman"/>
          <w:sz w:val="28"/>
          <w:szCs w:val="28"/>
        </w:rPr>
        <w:footnoteReference w:id="61"/>
      </w:r>
      <w:r w:rsidRPr="00A33B23">
        <w:rPr>
          <w:rFonts w:ascii="Times New Roman" w:hAnsi="Times New Roman"/>
          <w:sz w:val="28"/>
          <w:szCs w:val="28"/>
        </w:rPr>
        <w:t xml:space="preserve"> are adequately borne from the evidence by Mr Botha and Mr Mettler.</w:t>
      </w:r>
      <w:r>
        <w:rPr>
          <w:rFonts w:ascii="Times New Roman" w:hAnsi="Times New Roman"/>
          <w:sz w:val="28"/>
          <w:szCs w:val="28"/>
        </w:rPr>
        <w:t xml:space="preserve"> </w:t>
      </w:r>
      <w:r w:rsidRPr="00A33B23">
        <w:rPr>
          <w:rFonts w:ascii="Times New Roman" w:hAnsi="Times New Roman"/>
          <w:sz w:val="28"/>
          <w:szCs w:val="28"/>
        </w:rPr>
        <w:t>In essence their evidence indicates that the plaintiff sought the assistance of the National Treasury to investigate irregularities in the expenditure of IPTS funds as soon as it became aware that such investigation was warranted, and that the investigation was pursued and completed as soon as possible with the plaintiff taking the necessary steps to institute this action within a reasonable period after receiving, in August 2015, a draft forensic investigative report from the National Treasury.</w:t>
      </w:r>
    </w:p>
    <w:p w:rsidR="00A15E23" w:rsidRPr="001D7034" w:rsidRDefault="00A15E23" w:rsidP="00A15E23">
      <w:pPr>
        <w:pStyle w:val="LegalList1"/>
        <w:numPr>
          <w:ilvl w:val="0"/>
          <w:numId w:val="2"/>
        </w:numPr>
        <w:tabs>
          <w:tab w:val="clear" w:pos="567"/>
        </w:tabs>
        <w:spacing w:line="360" w:lineRule="auto"/>
        <w:ind w:left="851" w:hanging="851"/>
        <w:rPr>
          <w:rFonts w:ascii="Times New Roman" w:hAnsi="Times New Roman"/>
          <w:sz w:val="28"/>
          <w:szCs w:val="28"/>
        </w:rPr>
      </w:pPr>
      <w:r w:rsidRPr="001D7034">
        <w:rPr>
          <w:rFonts w:ascii="Times New Roman" w:hAnsi="Times New Roman"/>
          <w:sz w:val="28"/>
          <w:szCs w:val="28"/>
        </w:rPr>
        <w:t xml:space="preserve">The action was instituted on 11 February 2016 and progressively graduated through case management processes until it proceeded to trial. In the greater scheme of things and regard being had to the </w:t>
      </w:r>
      <w:r>
        <w:rPr>
          <w:rFonts w:ascii="Times New Roman" w:hAnsi="Times New Roman"/>
          <w:sz w:val="28"/>
          <w:szCs w:val="28"/>
        </w:rPr>
        <w:t xml:space="preserve">scope and </w:t>
      </w:r>
      <w:r w:rsidRPr="001D7034">
        <w:rPr>
          <w:rFonts w:ascii="Times New Roman" w:hAnsi="Times New Roman"/>
          <w:sz w:val="28"/>
          <w:szCs w:val="28"/>
        </w:rPr>
        <w:t>complexity of the plaintiff’s operations as an organ of state, my sense is that the plaintiff acted swiftly and with a sense of purpose in instituting these proceedings. The</w:t>
      </w:r>
      <w:r>
        <w:rPr>
          <w:rFonts w:ascii="Times New Roman" w:hAnsi="Times New Roman"/>
          <w:sz w:val="28"/>
          <w:szCs w:val="28"/>
        </w:rPr>
        <w:t xml:space="preserve"> evidence tendered by the aforementioned witnesses </w:t>
      </w:r>
      <w:r w:rsidR="00B914D1">
        <w:rPr>
          <w:rFonts w:ascii="Times New Roman" w:hAnsi="Times New Roman"/>
          <w:sz w:val="28"/>
          <w:szCs w:val="28"/>
        </w:rPr>
        <w:t xml:space="preserve">(including Ms De </w:t>
      </w:r>
      <w:r w:rsidR="002B4B1C">
        <w:rPr>
          <w:rFonts w:ascii="Times New Roman" w:hAnsi="Times New Roman"/>
          <w:sz w:val="28"/>
          <w:szCs w:val="28"/>
        </w:rPr>
        <w:t>Scande</w:t>
      </w:r>
      <w:r w:rsidR="00B914D1">
        <w:rPr>
          <w:rFonts w:ascii="Times New Roman" w:hAnsi="Times New Roman"/>
          <w:sz w:val="28"/>
          <w:szCs w:val="28"/>
        </w:rPr>
        <w:t xml:space="preserve">) </w:t>
      </w:r>
      <w:r>
        <w:rPr>
          <w:rFonts w:ascii="Times New Roman" w:hAnsi="Times New Roman"/>
          <w:sz w:val="28"/>
          <w:szCs w:val="28"/>
        </w:rPr>
        <w:t>was not</w:t>
      </w:r>
      <w:r w:rsidRPr="000A324E">
        <w:rPr>
          <w:rFonts w:ascii="Times New Roman" w:hAnsi="Times New Roman"/>
          <w:sz w:val="28"/>
          <w:szCs w:val="28"/>
        </w:rPr>
        <w:t xml:space="preserve"> </w:t>
      </w:r>
      <w:r>
        <w:rPr>
          <w:rFonts w:ascii="Times New Roman" w:hAnsi="Times New Roman"/>
          <w:sz w:val="28"/>
          <w:szCs w:val="28"/>
        </w:rPr>
        <w:t xml:space="preserve">speculative - it was </w:t>
      </w:r>
      <w:r w:rsidRPr="00CB3C7D">
        <w:rPr>
          <w:rFonts w:ascii="Times New Roman" w:hAnsi="Times New Roman"/>
          <w:i/>
          <w:sz w:val="28"/>
          <w:szCs w:val="28"/>
        </w:rPr>
        <w:t>bona fide</w:t>
      </w:r>
      <w:r w:rsidR="00165F9D">
        <w:rPr>
          <w:rFonts w:ascii="Times New Roman" w:hAnsi="Times New Roman"/>
          <w:i/>
          <w:sz w:val="28"/>
          <w:szCs w:val="28"/>
        </w:rPr>
        <w:t xml:space="preserve"> </w:t>
      </w:r>
      <w:r w:rsidR="00165F9D">
        <w:rPr>
          <w:rFonts w:ascii="Times New Roman" w:hAnsi="Times New Roman"/>
          <w:sz w:val="28"/>
          <w:szCs w:val="28"/>
        </w:rPr>
        <w:t>and reliable</w:t>
      </w:r>
      <w:r>
        <w:rPr>
          <w:rFonts w:ascii="Times New Roman" w:hAnsi="Times New Roman"/>
          <w:i/>
          <w:sz w:val="28"/>
          <w:szCs w:val="28"/>
        </w:rPr>
        <w:t>,</w:t>
      </w:r>
      <w:r>
        <w:rPr>
          <w:rFonts w:ascii="Times New Roman" w:hAnsi="Times New Roman"/>
          <w:sz w:val="28"/>
          <w:szCs w:val="28"/>
        </w:rPr>
        <w:t xml:space="preserve"> and absent evidence to the contrary</w:t>
      </w:r>
      <w:r w:rsidRPr="001D7034">
        <w:rPr>
          <w:rFonts w:ascii="Times New Roman" w:hAnsi="Times New Roman"/>
          <w:sz w:val="28"/>
          <w:szCs w:val="28"/>
        </w:rPr>
        <w:t xml:space="preserve"> this court should be slow to allow a perceived procedural obstacle that prevents it from looking into a challenge to the lawfulness of the exercise of public power.</w:t>
      </w:r>
      <w:r>
        <w:rPr>
          <w:rFonts w:ascii="Times New Roman" w:hAnsi="Times New Roman"/>
          <w:sz w:val="28"/>
          <w:szCs w:val="28"/>
        </w:rPr>
        <w:t xml:space="preserve"> In any event, the issue of undue delay is entirely irrelevant for the purpose of pursuing a claim against the defendants in terms of section 32 of the MFMA.</w:t>
      </w:r>
    </w:p>
    <w:p w:rsidR="00A15E23" w:rsidRPr="00104BBC" w:rsidRDefault="00A15E23" w:rsidP="005C0386">
      <w:pPr>
        <w:pStyle w:val="LegalList1"/>
        <w:spacing w:line="360" w:lineRule="auto"/>
        <w:ind w:left="131" w:firstLine="720"/>
        <w:rPr>
          <w:rFonts w:ascii="Times New Roman" w:hAnsi="Times New Roman"/>
          <w:sz w:val="28"/>
          <w:szCs w:val="28"/>
        </w:rPr>
      </w:pPr>
      <w:r>
        <w:rPr>
          <w:rFonts w:ascii="Times New Roman" w:hAnsi="Times New Roman"/>
          <w:sz w:val="28"/>
          <w:szCs w:val="28"/>
        </w:rPr>
        <w:t>THE SECOND CLAIM</w:t>
      </w:r>
    </w:p>
    <w:p w:rsidR="00A15E23" w:rsidRPr="007E1D0D" w:rsidRDefault="00A15E23" w:rsidP="005C0386">
      <w:pPr>
        <w:pStyle w:val="LegalList1"/>
        <w:spacing w:line="360" w:lineRule="auto"/>
        <w:ind w:left="131" w:firstLine="720"/>
        <w:rPr>
          <w:rFonts w:ascii="Times New Roman" w:hAnsi="Times New Roman"/>
          <w:sz w:val="28"/>
          <w:szCs w:val="28"/>
        </w:rPr>
      </w:pPr>
      <w:r w:rsidRPr="00B914D1">
        <w:rPr>
          <w:rFonts w:ascii="Times New Roman" w:hAnsi="Times New Roman"/>
          <w:sz w:val="28"/>
          <w:szCs w:val="28"/>
          <w:u w:val="single"/>
        </w:rPr>
        <w:t>As against the first defendant</w:t>
      </w:r>
      <w:r>
        <w:rPr>
          <w:rFonts w:ascii="Times New Roman" w:hAnsi="Times New Roman"/>
          <w:sz w:val="28"/>
          <w:szCs w:val="28"/>
        </w:rPr>
        <w:t>:</w:t>
      </w:r>
    </w:p>
    <w:p w:rsidR="00A15E23" w:rsidRPr="007E1D0D" w:rsidRDefault="00A15E23" w:rsidP="00A15E23">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The plaintiff has fully pleaded the pertinent facts in support of this claim</w:t>
      </w:r>
      <w:r>
        <w:rPr>
          <w:rStyle w:val="FootnoteReference"/>
          <w:rFonts w:ascii="Times New Roman" w:hAnsi="Times New Roman"/>
          <w:color w:val="000000"/>
          <w:sz w:val="28"/>
          <w:szCs w:val="28"/>
        </w:rPr>
        <w:footnoteReference w:id="62"/>
      </w:r>
      <w:r>
        <w:rPr>
          <w:rFonts w:ascii="Times New Roman" w:hAnsi="Times New Roman"/>
          <w:color w:val="000000"/>
          <w:sz w:val="28"/>
          <w:szCs w:val="28"/>
        </w:rPr>
        <w:t xml:space="preserve"> and for reasons elsewhere stated, it proceeds against the first defendant by default. Incontrovertibly, the procurement of the services of the first defendant as set out in this judgment was unlawful, nor was there a lawful basis for effecting the series of specified payments.</w:t>
      </w:r>
    </w:p>
    <w:p w:rsidR="00A15E23" w:rsidRPr="003A2B72" w:rsidRDefault="00A15E23" w:rsidP="005C0386">
      <w:pPr>
        <w:pStyle w:val="LegalList1"/>
        <w:spacing w:line="360" w:lineRule="auto"/>
        <w:ind w:left="131" w:firstLine="720"/>
        <w:rPr>
          <w:rFonts w:ascii="Times New Roman" w:hAnsi="Times New Roman"/>
          <w:sz w:val="28"/>
          <w:szCs w:val="28"/>
        </w:rPr>
      </w:pPr>
      <w:r w:rsidRPr="00B914D1">
        <w:rPr>
          <w:rFonts w:ascii="Times New Roman" w:hAnsi="Times New Roman"/>
          <w:color w:val="000000"/>
          <w:sz w:val="28"/>
          <w:szCs w:val="28"/>
          <w:u w:val="single"/>
        </w:rPr>
        <w:t>As against the second defendant</w:t>
      </w:r>
      <w:r>
        <w:rPr>
          <w:rFonts w:ascii="Times New Roman" w:hAnsi="Times New Roman"/>
          <w:color w:val="000000"/>
          <w:sz w:val="28"/>
          <w:szCs w:val="28"/>
        </w:rPr>
        <w:t>:</w:t>
      </w:r>
    </w:p>
    <w:p w:rsidR="00A15E23" w:rsidRDefault="00A15E23" w:rsidP="00A15E23">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Implicated are the first, second and third payments authorised by the second defendant in favour to the first defendant. The payments amounted to irregular expenditure.</w:t>
      </w:r>
      <w:r>
        <w:rPr>
          <w:rStyle w:val="FootnoteReference"/>
          <w:rFonts w:ascii="Times New Roman" w:hAnsi="Times New Roman"/>
          <w:sz w:val="28"/>
          <w:szCs w:val="28"/>
        </w:rPr>
        <w:footnoteReference w:id="63"/>
      </w:r>
      <w:r>
        <w:rPr>
          <w:rFonts w:ascii="Times New Roman" w:hAnsi="Times New Roman"/>
          <w:sz w:val="28"/>
          <w:szCs w:val="28"/>
        </w:rPr>
        <w:t xml:space="preserve"> The first payment was made consequent upon the authorisation given by the second defendant on 20 May 2014. The second payment was made consequent upon the authorisation given by the second defendant on 7 August 2014. The third payment was made consequent upon the authorisation given by the second defendant on 26 February 2015.</w:t>
      </w:r>
    </w:p>
    <w:p w:rsidR="00A15E23" w:rsidRPr="00300D68" w:rsidRDefault="00A15E23" w:rsidP="00A15E23">
      <w:pPr>
        <w:pStyle w:val="LegalList1"/>
        <w:numPr>
          <w:ilvl w:val="0"/>
          <w:numId w:val="2"/>
        </w:numPr>
        <w:tabs>
          <w:tab w:val="clear" w:pos="567"/>
        </w:tabs>
        <w:spacing w:line="360" w:lineRule="auto"/>
        <w:ind w:left="851" w:hanging="851"/>
        <w:rPr>
          <w:rFonts w:ascii="Times New Roman" w:hAnsi="Times New Roman"/>
          <w:sz w:val="28"/>
          <w:szCs w:val="28"/>
        </w:rPr>
      </w:pPr>
      <w:r w:rsidRPr="00300D68">
        <w:rPr>
          <w:rFonts w:ascii="Times New Roman" w:hAnsi="Times New Roman"/>
          <w:sz w:val="28"/>
          <w:szCs w:val="28"/>
        </w:rPr>
        <w:t>In his capacity as accounting officer of the plaintiff</w:t>
      </w:r>
      <w:r>
        <w:rPr>
          <w:rFonts w:ascii="Times New Roman" w:hAnsi="Times New Roman"/>
          <w:sz w:val="28"/>
          <w:szCs w:val="28"/>
        </w:rPr>
        <w:t xml:space="preserve"> </w:t>
      </w:r>
      <w:r w:rsidRPr="00300D68">
        <w:rPr>
          <w:rFonts w:ascii="Times New Roman" w:hAnsi="Times New Roman"/>
          <w:sz w:val="28"/>
          <w:szCs w:val="28"/>
        </w:rPr>
        <w:t xml:space="preserve">the second defendant was at all material times relating to this claim bound to the provisions of the Code of Conduct for Municipal Staff Members as contained in the Local Government: Municipal Systems Act 32 of 2000 (“the Systems Act”). He was </w:t>
      </w:r>
      <w:r w:rsidRPr="00300D68">
        <w:rPr>
          <w:rFonts w:ascii="Times New Roman" w:hAnsi="Times New Roman"/>
          <w:i/>
          <w:sz w:val="28"/>
          <w:szCs w:val="28"/>
        </w:rPr>
        <w:t>inter alia</w:t>
      </w:r>
      <w:r w:rsidRPr="00300D68">
        <w:rPr>
          <w:rFonts w:ascii="Times New Roman" w:hAnsi="Times New Roman"/>
          <w:sz w:val="28"/>
          <w:szCs w:val="28"/>
        </w:rPr>
        <w:t xml:space="preserve"> bound to </w:t>
      </w:r>
      <w:r>
        <w:rPr>
          <w:rFonts w:ascii="Times New Roman" w:hAnsi="Times New Roman"/>
          <w:sz w:val="28"/>
          <w:szCs w:val="28"/>
        </w:rPr>
        <w:t xml:space="preserve">loyally </w:t>
      </w:r>
      <w:r w:rsidRPr="00300D68">
        <w:rPr>
          <w:rFonts w:ascii="Times New Roman" w:hAnsi="Times New Roman"/>
          <w:sz w:val="28"/>
          <w:szCs w:val="28"/>
        </w:rPr>
        <w:t>execute the lawful policies of the plaintiff’s council, to perform the functions of his office in good faith, diligently, honestly and in a transparent manner, and was required to uphold the values underpinning public administration</w:t>
      </w:r>
      <w:r>
        <w:rPr>
          <w:rStyle w:val="FootnoteReference"/>
          <w:rFonts w:ascii="Times New Roman" w:hAnsi="Times New Roman"/>
          <w:sz w:val="28"/>
          <w:szCs w:val="28"/>
        </w:rPr>
        <w:footnoteReference w:id="64"/>
      </w:r>
      <w:r w:rsidRPr="00300D68">
        <w:rPr>
          <w:rFonts w:ascii="Times New Roman" w:hAnsi="Times New Roman"/>
          <w:sz w:val="28"/>
          <w:szCs w:val="28"/>
        </w:rPr>
        <w:t xml:space="preserve"> and to act </w:t>
      </w:r>
      <w:r>
        <w:rPr>
          <w:rFonts w:ascii="Times New Roman" w:hAnsi="Times New Roman"/>
          <w:sz w:val="28"/>
          <w:szCs w:val="28"/>
        </w:rPr>
        <w:t xml:space="preserve">with integrity and </w:t>
      </w:r>
      <w:r w:rsidRPr="00300D68">
        <w:rPr>
          <w:rFonts w:ascii="Times New Roman" w:hAnsi="Times New Roman"/>
          <w:sz w:val="28"/>
          <w:szCs w:val="28"/>
        </w:rPr>
        <w:t>in the best interests of the plaintiff</w:t>
      </w:r>
      <w:r>
        <w:rPr>
          <w:rFonts w:ascii="Times New Roman" w:hAnsi="Times New Roman"/>
          <w:sz w:val="28"/>
          <w:szCs w:val="28"/>
        </w:rPr>
        <w:t xml:space="preserve"> without compromising its</w:t>
      </w:r>
      <w:r w:rsidR="000838DA">
        <w:rPr>
          <w:rFonts w:ascii="Times New Roman" w:hAnsi="Times New Roman"/>
          <w:sz w:val="28"/>
          <w:szCs w:val="28"/>
        </w:rPr>
        <w:t xml:space="preserve"> integrity and credibility.</w:t>
      </w:r>
    </w:p>
    <w:p w:rsidR="00A15E23" w:rsidRDefault="00A15E23" w:rsidP="00A15E23">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Moreover, the second defendant was cloaked with the responsibility for implementing the plaintiff’s SCM policy, and for managing the financial administration of the plaintiff and for that purpose was obliged to take all reasonable steps for ensuring that its resources are used effectively, efficiently and economically and that unauthorised, irregular or fruitless and wasteful expenditure and other losses are prevented as is stipulated in section 62 of the MFMA.</w:t>
      </w:r>
    </w:p>
    <w:p w:rsidR="00A15E23" w:rsidRPr="00E3678F" w:rsidRDefault="00A15E23" w:rsidP="00A15E23">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In his plea the second defendant does not dispute having signed the following documents and what is recorded in each of them:</w:t>
      </w:r>
    </w:p>
    <w:p w:rsidR="00A15E23" w:rsidRPr="00E3678F" w:rsidRDefault="00A15E23" w:rsidP="00A15E23">
      <w:pPr>
        <w:pStyle w:val="LegalList1"/>
        <w:spacing w:line="360" w:lineRule="auto"/>
        <w:ind w:left="1440" w:hanging="589"/>
        <w:rPr>
          <w:rFonts w:ascii="Times New Roman" w:hAnsi="Times New Roman"/>
          <w:sz w:val="28"/>
          <w:szCs w:val="28"/>
        </w:rPr>
      </w:pPr>
      <w:r>
        <w:rPr>
          <w:rFonts w:ascii="Times New Roman" w:hAnsi="Times New Roman"/>
          <w:color w:val="000000"/>
          <w:sz w:val="28"/>
          <w:szCs w:val="28"/>
        </w:rPr>
        <w:t>(a)</w:t>
      </w:r>
      <w:r>
        <w:rPr>
          <w:rFonts w:ascii="Times New Roman" w:hAnsi="Times New Roman"/>
          <w:color w:val="000000"/>
          <w:sz w:val="28"/>
          <w:szCs w:val="28"/>
        </w:rPr>
        <w:tab/>
        <w:t>The third memorandum and the consequent formal resolution of 20 May 2014</w:t>
      </w:r>
      <w:r>
        <w:rPr>
          <w:rStyle w:val="FootnoteReference"/>
          <w:rFonts w:ascii="Times New Roman" w:hAnsi="Times New Roman"/>
          <w:color w:val="000000"/>
          <w:sz w:val="28"/>
          <w:szCs w:val="28"/>
        </w:rPr>
        <w:footnoteReference w:id="65"/>
      </w:r>
      <w:r>
        <w:rPr>
          <w:rFonts w:ascii="Times New Roman" w:hAnsi="Times New Roman"/>
          <w:color w:val="000000"/>
          <w:sz w:val="28"/>
          <w:szCs w:val="28"/>
        </w:rPr>
        <w:t>;</w:t>
      </w:r>
    </w:p>
    <w:p w:rsidR="00A15E23" w:rsidRPr="00E3678F" w:rsidRDefault="00A15E23" w:rsidP="00A15E23">
      <w:pPr>
        <w:pStyle w:val="LegalList1"/>
        <w:spacing w:line="360" w:lineRule="auto"/>
        <w:ind w:left="851"/>
        <w:rPr>
          <w:rFonts w:ascii="Times New Roman" w:hAnsi="Times New Roman"/>
          <w:sz w:val="28"/>
          <w:szCs w:val="28"/>
        </w:rPr>
      </w:pPr>
      <w:r>
        <w:rPr>
          <w:rFonts w:ascii="Times New Roman" w:hAnsi="Times New Roman"/>
          <w:color w:val="000000"/>
          <w:sz w:val="28"/>
          <w:szCs w:val="28"/>
        </w:rPr>
        <w:t>(b)</w:t>
      </w:r>
      <w:r>
        <w:rPr>
          <w:rFonts w:ascii="Times New Roman" w:hAnsi="Times New Roman"/>
          <w:color w:val="000000"/>
          <w:sz w:val="28"/>
          <w:szCs w:val="28"/>
        </w:rPr>
        <w:tab/>
        <w:t>Annexure POC 15 on 7 August 2014</w:t>
      </w:r>
      <w:r>
        <w:rPr>
          <w:rStyle w:val="FootnoteReference"/>
          <w:rFonts w:ascii="Times New Roman" w:hAnsi="Times New Roman"/>
          <w:color w:val="000000"/>
          <w:sz w:val="28"/>
          <w:szCs w:val="28"/>
        </w:rPr>
        <w:footnoteReference w:id="66"/>
      </w:r>
      <w:r>
        <w:rPr>
          <w:rFonts w:ascii="Times New Roman" w:hAnsi="Times New Roman"/>
          <w:color w:val="000000"/>
          <w:sz w:val="28"/>
          <w:szCs w:val="28"/>
        </w:rPr>
        <w:t>; and</w:t>
      </w:r>
    </w:p>
    <w:p w:rsidR="00A15E23" w:rsidRPr="00104BBC" w:rsidRDefault="00A15E23" w:rsidP="00A15E23">
      <w:pPr>
        <w:pStyle w:val="LegalList1"/>
        <w:spacing w:line="360" w:lineRule="auto"/>
        <w:ind w:left="851"/>
        <w:rPr>
          <w:rFonts w:ascii="Times New Roman" w:hAnsi="Times New Roman"/>
          <w:sz w:val="28"/>
          <w:szCs w:val="28"/>
        </w:rPr>
      </w:pPr>
      <w:r>
        <w:rPr>
          <w:rFonts w:ascii="Times New Roman" w:hAnsi="Times New Roman"/>
          <w:color w:val="000000"/>
          <w:sz w:val="28"/>
          <w:szCs w:val="28"/>
        </w:rPr>
        <w:t>(c)</w:t>
      </w:r>
      <w:r>
        <w:rPr>
          <w:rFonts w:ascii="Times New Roman" w:hAnsi="Times New Roman"/>
          <w:color w:val="000000"/>
          <w:sz w:val="28"/>
          <w:szCs w:val="28"/>
        </w:rPr>
        <w:tab/>
        <w:t>The fourth memorandum on 26 February 2015</w:t>
      </w:r>
      <w:r>
        <w:rPr>
          <w:rStyle w:val="FootnoteReference"/>
          <w:rFonts w:ascii="Times New Roman" w:hAnsi="Times New Roman"/>
          <w:color w:val="000000"/>
          <w:sz w:val="28"/>
          <w:szCs w:val="28"/>
        </w:rPr>
        <w:footnoteReference w:id="67"/>
      </w:r>
      <w:r>
        <w:rPr>
          <w:rFonts w:ascii="Times New Roman" w:hAnsi="Times New Roman"/>
          <w:color w:val="000000"/>
          <w:sz w:val="28"/>
          <w:szCs w:val="28"/>
        </w:rPr>
        <w:t>.</w:t>
      </w:r>
    </w:p>
    <w:p w:rsidR="00A15E23" w:rsidRPr="00104BBC" w:rsidRDefault="00A15E23" w:rsidP="00A15E23">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These documents themselves are not disputed – they are what they purport to be and in terms authorised the first</w:t>
      </w:r>
      <w:r>
        <w:rPr>
          <w:rStyle w:val="FootnoteReference"/>
          <w:rFonts w:ascii="Times New Roman" w:hAnsi="Times New Roman"/>
          <w:color w:val="000000"/>
          <w:sz w:val="28"/>
          <w:szCs w:val="28"/>
        </w:rPr>
        <w:footnoteReference w:id="68"/>
      </w:r>
      <w:r>
        <w:rPr>
          <w:rFonts w:ascii="Times New Roman" w:hAnsi="Times New Roman"/>
          <w:color w:val="000000"/>
          <w:sz w:val="28"/>
          <w:szCs w:val="28"/>
        </w:rPr>
        <w:t>, second</w:t>
      </w:r>
      <w:r>
        <w:rPr>
          <w:rStyle w:val="FootnoteReference"/>
          <w:rFonts w:ascii="Times New Roman" w:hAnsi="Times New Roman"/>
          <w:color w:val="000000"/>
          <w:sz w:val="28"/>
          <w:szCs w:val="28"/>
        </w:rPr>
        <w:footnoteReference w:id="69"/>
      </w:r>
      <w:r>
        <w:rPr>
          <w:rFonts w:ascii="Times New Roman" w:hAnsi="Times New Roman"/>
          <w:color w:val="000000"/>
          <w:sz w:val="28"/>
          <w:szCs w:val="28"/>
        </w:rPr>
        <w:t xml:space="preserve"> and third</w:t>
      </w:r>
      <w:r>
        <w:rPr>
          <w:rStyle w:val="FootnoteReference"/>
          <w:rFonts w:ascii="Times New Roman" w:hAnsi="Times New Roman"/>
          <w:color w:val="000000"/>
          <w:sz w:val="28"/>
          <w:szCs w:val="28"/>
        </w:rPr>
        <w:footnoteReference w:id="70"/>
      </w:r>
      <w:r>
        <w:rPr>
          <w:rFonts w:ascii="Times New Roman" w:hAnsi="Times New Roman"/>
          <w:color w:val="000000"/>
          <w:sz w:val="28"/>
          <w:szCs w:val="28"/>
        </w:rPr>
        <w:t xml:space="preserve"> payments to the first defendant. By virtue of the evidence of Mr Botha and Ms </w:t>
      </w:r>
      <w:r w:rsidR="00AD4A40">
        <w:rPr>
          <w:rFonts w:ascii="Times New Roman" w:hAnsi="Times New Roman"/>
          <w:color w:val="000000"/>
          <w:sz w:val="28"/>
          <w:szCs w:val="28"/>
        </w:rPr>
        <w:t xml:space="preserve">De </w:t>
      </w:r>
      <w:r w:rsidR="002B4B1C">
        <w:rPr>
          <w:rFonts w:ascii="Times New Roman" w:hAnsi="Times New Roman"/>
          <w:color w:val="000000"/>
          <w:sz w:val="28"/>
          <w:szCs w:val="28"/>
        </w:rPr>
        <w:t>Scande</w:t>
      </w:r>
      <w:r>
        <w:rPr>
          <w:rFonts w:ascii="Times New Roman" w:hAnsi="Times New Roman"/>
          <w:color w:val="000000"/>
          <w:sz w:val="28"/>
          <w:szCs w:val="28"/>
        </w:rPr>
        <w:t xml:space="preserve"> the documentation relating to these payments</w:t>
      </w:r>
      <w:r>
        <w:rPr>
          <w:rStyle w:val="FootnoteReference"/>
          <w:rFonts w:ascii="Times New Roman" w:hAnsi="Times New Roman"/>
          <w:color w:val="000000"/>
          <w:sz w:val="28"/>
          <w:szCs w:val="28"/>
        </w:rPr>
        <w:footnoteReference w:id="71"/>
      </w:r>
      <w:r>
        <w:rPr>
          <w:rFonts w:ascii="Times New Roman" w:hAnsi="Times New Roman"/>
          <w:color w:val="000000"/>
          <w:sz w:val="28"/>
          <w:szCs w:val="28"/>
        </w:rPr>
        <w:t xml:space="preserve"> constitute confirmation of the payments made to the first defendant. The second defendant has not disputed such documentation and the plaintiff need not have gone any further than the evidence of the abovenamed witnesses to prove the payments were made to the first defendant.</w:t>
      </w:r>
    </w:p>
    <w:p w:rsidR="00A15E23" w:rsidRPr="007C45ED" w:rsidRDefault="00A15E23" w:rsidP="00A15E23">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 xml:space="preserve">The resolutions of the third defendant appointing the first defendant were before the second defendant at the time when he signed the above-mentioned documents for approving the payments and were known to him. It ought to have been apparent to the second defendant that the motivations submitted by the fourth defendant did not support any of the requisites for a deviation in terms of paragraph 39 of the plaintiff’s SCM policy. (The resolutions appointing the first defendant were, in any event, irregular for the reasons stated by Ms </w:t>
      </w:r>
      <w:r w:rsidR="00AD4A40">
        <w:rPr>
          <w:rFonts w:ascii="Times New Roman" w:hAnsi="Times New Roman"/>
          <w:color w:val="000000"/>
          <w:sz w:val="28"/>
          <w:szCs w:val="28"/>
        </w:rPr>
        <w:t xml:space="preserve">De </w:t>
      </w:r>
      <w:r w:rsidR="002B4B1C">
        <w:rPr>
          <w:rFonts w:ascii="Times New Roman" w:hAnsi="Times New Roman"/>
          <w:color w:val="000000"/>
          <w:sz w:val="28"/>
          <w:szCs w:val="28"/>
        </w:rPr>
        <w:t>Scande</w:t>
      </w:r>
      <w:r>
        <w:rPr>
          <w:rFonts w:ascii="Times New Roman" w:hAnsi="Times New Roman"/>
          <w:color w:val="000000"/>
          <w:sz w:val="28"/>
          <w:szCs w:val="28"/>
        </w:rPr>
        <w:t xml:space="preserve">. In this regard I </w:t>
      </w:r>
      <w:r w:rsidR="000838DA">
        <w:rPr>
          <w:rFonts w:ascii="Times New Roman" w:hAnsi="Times New Roman"/>
          <w:color w:val="000000"/>
          <w:sz w:val="28"/>
          <w:szCs w:val="28"/>
        </w:rPr>
        <w:t xml:space="preserve">allude </w:t>
      </w:r>
      <w:r>
        <w:rPr>
          <w:rFonts w:ascii="Times New Roman" w:hAnsi="Times New Roman"/>
          <w:color w:val="000000"/>
          <w:sz w:val="28"/>
          <w:szCs w:val="28"/>
        </w:rPr>
        <w:t>to her counter-proposal to the first memorandum</w:t>
      </w:r>
      <w:r>
        <w:rPr>
          <w:rStyle w:val="FootnoteReference"/>
          <w:rFonts w:ascii="Times New Roman" w:hAnsi="Times New Roman"/>
          <w:color w:val="000000"/>
          <w:sz w:val="28"/>
          <w:szCs w:val="28"/>
        </w:rPr>
        <w:footnoteReference w:id="72"/>
      </w:r>
      <w:r>
        <w:rPr>
          <w:rFonts w:ascii="Times New Roman" w:hAnsi="Times New Roman"/>
          <w:color w:val="000000"/>
          <w:sz w:val="28"/>
          <w:szCs w:val="28"/>
        </w:rPr>
        <w:t xml:space="preserve"> and her subsequent memorandum directed to the third defendant</w:t>
      </w:r>
      <w:r>
        <w:rPr>
          <w:rStyle w:val="FootnoteReference"/>
          <w:rFonts w:ascii="Times New Roman" w:hAnsi="Times New Roman"/>
          <w:color w:val="000000"/>
          <w:sz w:val="28"/>
          <w:szCs w:val="28"/>
        </w:rPr>
        <w:footnoteReference w:id="73"/>
      </w:r>
      <w:r>
        <w:rPr>
          <w:rFonts w:ascii="Times New Roman" w:hAnsi="Times New Roman"/>
          <w:color w:val="000000"/>
          <w:sz w:val="28"/>
          <w:szCs w:val="28"/>
        </w:rPr>
        <w:t>).</w:t>
      </w:r>
    </w:p>
    <w:p w:rsidR="00A15E23" w:rsidRPr="00104BBC" w:rsidRDefault="00A15E23" w:rsidP="00A15E23">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On the above facts there is merit in the plaintiff’s submission that the second defendant deliberately authorised the irregular expenditure and falls to be held liable therefore in accordance with section 32(1)(c) of the MFMA. Objectively considered, and regard being had to his position and statutory responsibilities the second defendant should have foreseen that the payments he was requested to authorise would be irregular. In these circumstances it was incumbent on him to have taken reasonable steps</w:t>
      </w:r>
      <w:r>
        <w:rPr>
          <w:rStyle w:val="FootnoteReference"/>
          <w:rFonts w:ascii="Times New Roman" w:hAnsi="Times New Roman"/>
          <w:color w:val="000000"/>
          <w:sz w:val="28"/>
          <w:szCs w:val="28"/>
        </w:rPr>
        <w:footnoteReference w:id="74"/>
      </w:r>
      <w:r>
        <w:rPr>
          <w:rFonts w:ascii="Times New Roman" w:hAnsi="Times New Roman"/>
          <w:color w:val="000000"/>
          <w:sz w:val="28"/>
          <w:szCs w:val="28"/>
        </w:rPr>
        <w:t xml:space="preserve"> to avoid the incurring of such expenditure by refusing to authorise it. In failing to do so he was negligent.</w:t>
      </w:r>
      <w:r>
        <w:rPr>
          <w:rStyle w:val="FootnoteReference"/>
          <w:rFonts w:ascii="Times New Roman" w:hAnsi="Times New Roman"/>
          <w:color w:val="000000"/>
          <w:sz w:val="28"/>
          <w:szCs w:val="28"/>
        </w:rPr>
        <w:footnoteReference w:id="75"/>
      </w:r>
      <w:r>
        <w:rPr>
          <w:rFonts w:ascii="Times New Roman" w:hAnsi="Times New Roman"/>
          <w:color w:val="000000"/>
          <w:sz w:val="28"/>
          <w:szCs w:val="28"/>
        </w:rPr>
        <w:t xml:space="preserve"> The evidence establishes the case pleaded by the plaintiff</w:t>
      </w:r>
      <w:r>
        <w:rPr>
          <w:rStyle w:val="FootnoteReference"/>
          <w:rFonts w:ascii="Times New Roman" w:hAnsi="Times New Roman"/>
          <w:color w:val="000000"/>
          <w:sz w:val="28"/>
          <w:szCs w:val="28"/>
        </w:rPr>
        <w:footnoteReference w:id="76"/>
      </w:r>
      <w:r>
        <w:rPr>
          <w:rFonts w:ascii="Times New Roman" w:hAnsi="Times New Roman"/>
          <w:color w:val="000000"/>
          <w:sz w:val="28"/>
          <w:szCs w:val="28"/>
        </w:rPr>
        <w:t xml:space="preserve"> whereas no evidence to the contrary was tendered by the second defendant.</w:t>
      </w:r>
    </w:p>
    <w:p w:rsidR="00A15E23" w:rsidRPr="00104BBC" w:rsidRDefault="00A15E23" w:rsidP="005C0386">
      <w:pPr>
        <w:pStyle w:val="LegalList1"/>
        <w:spacing w:line="360" w:lineRule="auto"/>
        <w:ind w:left="131" w:firstLine="720"/>
        <w:rPr>
          <w:rFonts w:ascii="Times New Roman" w:hAnsi="Times New Roman"/>
          <w:sz w:val="28"/>
          <w:szCs w:val="28"/>
        </w:rPr>
      </w:pPr>
      <w:r w:rsidRPr="00B914D1">
        <w:rPr>
          <w:rFonts w:ascii="Times New Roman" w:hAnsi="Times New Roman"/>
          <w:color w:val="000000"/>
          <w:sz w:val="28"/>
          <w:szCs w:val="28"/>
          <w:u w:val="single"/>
        </w:rPr>
        <w:t>As against the fifth defendant</w:t>
      </w:r>
      <w:r>
        <w:rPr>
          <w:rFonts w:ascii="Times New Roman" w:hAnsi="Times New Roman"/>
          <w:color w:val="000000"/>
          <w:sz w:val="28"/>
          <w:szCs w:val="28"/>
        </w:rPr>
        <w:t>:</w:t>
      </w:r>
    </w:p>
    <w:p w:rsidR="00A15E23" w:rsidRPr="00D030C0" w:rsidRDefault="00A15E23" w:rsidP="00A15E23">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Liability for the first, second and third payments by the plaintiff to the first defendant is similarly attributed to the fifth defendant under section 32(1)(c) of the MFMA. He was similarly bound to the Code of Conduct (</w:t>
      </w:r>
      <w:r w:rsidRPr="00747C5D">
        <w:rPr>
          <w:rFonts w:ascii="Times New Roman" w:hAnsi="Times New Roman"/>
          <w:i/>
          <w:color w:val="000000"/>
          <w:sz w:val="28"/>
          <w:szCs w:val="28"/>
        </w:rPr>
        <w:t>supra</w:t>
      </w:r>
      <w:r>
        <w:rPr>
          <w:rFonts w:ascii="Times New Roman" w:hAnsi="Times New Roman"/>
          <w:color w:val="000000"/>
          <w:sz w:val="28"/>
          <w:szCs w:val="28"/>
        </w:rPr>
        <w:t xml:space="preserve">) and plainly aware of the background and circumstances relating to the unlawful and irregular appointment of the first defendant as lead consultant for the IPTS project. This is apparent from the evidence by Ms </w:t>
      </w:r>
      <w:r w:rsidR="00AD4A40">
        <w:rPr>
          <w:rFonts w:ascii="Times New Roman" w:hAnsi="Times New Roman"/>
          <w:color w:val="000000"/>
          <w:sz w:val="28"/>
          <w:szCs w:val="28"/>
        </w:rPr>
        <w:t xml:space="preserve">De </w:t>
      </w:r>
      <w:r w:rsidR="002B4B1C">
        <w:rPr>
          <w:rFonts w:ascii="Times New Roman" w:hAnsi="Times New Roman"/>
          <w:color w:val="000000"/>
          <w:sz w:val="28"/>
          <w:szCs w:val="28"/>
        </w:rPr>
        <w:t>Scande</w:t>
      </w:r>
      <w:r>
        <w:rPr>
          <w:rFonts w:ascii="Times New Roman" w:hAnsi="Times New Roman"/>
          <w:color w:val="000000"/>
          <w:sz w:val="28"/>
          <w:szCs w:val="28"/>
        </w:rPr>
        <w:t xml:space="preserve"> in relation to her email of 23 April 2014 in which the attention of the fifth defendant is pertinently drawn to her memorandum of 20 February 2014 (which was directed to the third defendant). The evidence by Ms De </w:t>
      </w:r>
      <w:r w:rsidR="002B4B1C">
        <w:rPr>
          <w:rFonts w:ascii="Times New Roman" w:hAnsi="Times New Roman"/>
          <w:color w:val="000000"/>
          <w:sz w:val="28"/>
          <w:szCs w:val="28"/>
        </w:rPr>
        <w:t>Scande</w:t>
      </w:r>
      <w:r>
        <w:rPr>
          <w:rFonts w:ascii="Times New Roman" w:hAnsi="Times New Roman"/>
          <w:color w:val="000000"/>
          <w:sz w:val="28"/>
          <w:szCs w:val="28"/>
        </w:rPr>
        <w:t xml:space="preserve"> stands uncontradicted and despite a comprehensive defence having been pleaded by the fifth (and eighth) defendant, no evidence was led in support thereof. The evidence indicates that the fifth defendant indubitably ought to have known that the decision of the third defendant on 21 February 2014 contravened the provisions of the SCM policy and did not establish a lawful basis for any payment to the first defendant and consequently any payment to the first defendant would be irregular expenditure. In approving the payments it is the plaintiff’s case that he acted negligently</w:t>
      </w:r>
      <w:r>
        <w:rPr>
          <w:rStyle w:val="FootnoteReference"/>
          <w:rFonts w:ascii="Times New Roman" w:hAnsi="Times New Roman"/>
          <w:sz w:val="28"/>
          <w:szCs w:val="28"/>
        </w:rPr>
        <w:footnoteReference w:id="77"/>
      </w:r>
      <w:r>
        <w:rPr>
          <w:rFonts w:ascii="Times New Roman" w:hAnsi="Times New Roman"/>
          <w:color w:val="000000"/>
          <w:sz w:val="28"/>
          <w:szCs w:val="28"/>
        </w:rPr>
        <w:t>.</w:t>
      </w:r>
    </w:p>
    <w:p w:rsidR="00A15E23" w:rsidRPr="00D04141" w:rsidRDefault="00A15E23" w:rsidP="005C0386">
      <w:pPr>
        <w:pStyle w:val="LegalList1"/>
        <w:spacing w:line="360" w:lineRule="auto"/>
        <w:ind w:left="131" w:firstLine="720"/>
        <w:rPr>
          <w:rFonts w:ascii="Times New Roman" w:hAnsi="Times New Roman"/>
          <w:sz w:val="28"/>
          <w:szCs w:val="28"/>
        </w:rPr>
      </w:pPr>
      <w:r w:rsidRPr="00B914D1">
        <w:rPr>
          <w:rFonts w:ascii="Times New Roman" w:hAnsi="Times New Roman"/>
          <w:color w:val="000000"/>
          <w:sz w:val="28"/>
          <w:szCs w:val="28"/>
          <w:u w:val="single"/>
        </w:rPr>
        <w:t>As against the third defendant</w:t>
      </w:r>
      <w:r>
        <w:rPr>
          <w:rFonts w:ascii="Times New Roman" w:hAnsi="Times New Roman"/>
          <w:color w:val="000000"/>
          <w:sz w:val="28"/>
          <w:szCs w:val="28"/>
        </w:rPr>
        <w:t>:</w:t>
      </w:r>
    </w:p>
    <w:p w:rsidR="00A15E23" w:rsidRPr="00C95E23" w:rsidRDefault="00A15E23" w:rsidP="00A15E23">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This claim is pleaded as an alternative to the claims against the second and fifth defendants, in the event of those claims failing. In as much as the third defendant has pleaded a positive defence no evidence was led to substantiate it. For reasons stated elsewhere in this judgment the third defendant is deemed to have been in default of appearance at trial.</w:t>
      </w:r>
      <w:r>
        <w:rPr>
          <w:rStyle w:val="FootnoteReference"/>
          <w:rFonts w:ascii="Times New Roman" w:hAnsi="Times New Roman"/>
          <w:color w:val="000000"/>
          <w:sz w:val="28"/>
          <w:szCs w:val="28"/>
        </w:rPr>
        <w:footnoteReference w:id="78"/>
      </w:r>
      <w:r>
        <w:rPr>
          <w:rFonts w:ascii="Times New Roman" w:hAnsi="Times New Roman"/>
          <w:color w:val="000000"/>
          <w:sz w:val="28"/>
          <w:szCs w:val="28"/>
        </w:rPr>
        <w:t xml:space="preserve"> The background and evidence referred to in the preceding paragraphs assumes relevance and has not been disputed. Indications are that upon making her decision of 13 February 2014 and her resolution of 21 February 2014 the third defendant ought to have known that her appointment of the first defendant would result in irregular expenditure, more particularly because such expenditure would be expenditure incurred by the plaintiff in contravention of, or that was not in accordance with the competitive bidding requirement in the plaintiff’s SCM policy.</w:t>
      </w:r>
      <w:r>
        <w:rPr>
          <w:rStyle w:val="FootnoteReference"/>
          <w:rFonts w:ascii="Times New Roman" w:hAnsi="Times New Roman"/>
          <w:color w:val="000000"/>
          <w:sz w:val="28"/>
          <w:szCs w:val="28"/>
        </w:rPr>
        <w:footnoteReference w:id="79"/>
      </w:r>
    </w:p>
    <w:p w:rsidR="00A15E23" w:rsidRPr="002A4729" w:rsidRDefault="00A15E23" w:rsidP="00EE12F1">
      <w:pPr>
        <w:pStyle w:val="LegalList1"/>
        <w:spacing w:line="360" w:lineRule="auto"/>
        <w:ind w:left="851"/>
        <w:rPr>
          <w:rFonts w:ascii="Times New Roman" w:hAnsi="Times New Roman"/>
          <w:sz w:val="28"/>
          <w:szCs w:val="28"/>
        </w:rPr>
      </w:pPr>
      <w:r>
        <w:rPr>
          <w:rFonts w:ascii="Times New Roman" w:hAnsi="Times New Roman"/>
          <w:color w:val="000000"/>
          <w:sz w:val="28"/>
          <w:szCs w:val="28"/>
        </w:rPr>
        <w:t>THE THIRD CLAIM – AS AGAINST THE FOURTH AND EIGHTH DEFENDANTS</w:t>
      </w:r>
    </w:p>
    <w:p w:rsidR="00A15E23" w:rsidRDefault="00A15E23" w:rsidP="00A15E23">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This </w:t>
      </w:r>
      <w:r w:rsidR="001705E1">
        <w:rPr>
          <w:rFonts w:ascii="Times New Roman" w:hAnsi="Times New Roman"/>
          <w:sz w:val="28"/>
          <w:szCs w:val="28"/>
        </w:rPr>
        <w:t xml:space="preserve">is a common law </w:t>
      </w:r>
      <w:r>
        <w:rPr>
          <w:rFonts w:ascii="Times New Roman" w:hAnsi="Times New Roman"/>
          <w:sz w:val="28"/>
          <w:szCs w:val="28"/>
        </w:rPr>
        <w:t>claim for damages suffered by the plaintiff and is posited on an unlawful and intentional, alternatively a negligent breach by the fourth and eighth defendants of their duties to deal with the plaintiff with the utmost good faith, diligently and in a transparent manner and to refrain from doing anything that might prejudice or detract from the rights, assets or interests of the plaintiff.</w:t>
      </w:r>
      <w:r>
        <w:rPr>
          <w:rStyle w:val="FootnoteReference"/>
          <w:rFonts w:ascii="Times New Roman" w:hAnsi="Times New Roman"/>
          <w:sz w:val="28"/>
          <w:szCs w:val="28"/>
        </w:rPr>
        <w:footnoteReference w:id="80"/>
      </w:r>
      <w:r>
        <w:rPr>
          <w:rFonts w:ascii="Times New Roman" w:hAnsi="Times New Roman"/>
          <w:sz w:val="28"/>
          <w:szCs w:val="28"/>
        </w:rPr>
        <w:t xml:space="preserve"> The scope of these duties, as pleaded, are not disputed by either of the defendants, except for the plaintiff’s allegations of a breach of duty occasioned by unlawfulness and intent, and in the alternative, negligence. It is also not disputed by the fourth defendant that he drafted the first, second, third and fourth memoranda, and that these are what they purport to be.</w:t>
      </w:r>
    </w:p>
    <w:p w:rsidR="00A15E23" w:rsidRDefault="00A15E23" w:rsidP="00A15E23">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The eighth defendant admits having signed the fourth memorandum after having considered the recommendations of the fourth defendant. The eighth defendant has pleaded a positive defence (framed in the same terms as the fifth defendant) but chose not to testify in support thereof. To the extent that it can be gleaned that the fourth defendant has pleaded a defence, he similarly has chosen not to give evidence in support thereof. There is accordingly no evidence of an effective rebuttal against the plaintiff’s allegations of unlawfulness and/or negligence attributed to the fourth and eighth defendants. In effect, the plaintiff’s pleaded version having regard to the memoranda and being supported by the evidence of Ms </w:t>
      </w:r>
      <w:r w:rsidR="002D142C">
        <w:rPr>
          <w:rFonts w:ascii="Times New Roman" w:hAnsi="Times New Roman"/>
          <w:sz w:val="28"/>
          <w:szCs w:val="28"/>
        </w:rPr>
        <w:t>D</w:t>
      </w:r>
      <w:r>
        <w:rPr>
          <w:rFonts w:ascii="Times New Roman" w:hAnsi="Times New Roman"/>
          <w:sz w:val="28"/>
          <w:szCs w:val="28"/>
        </w:rPr>
        <w:t xml:space="preserve">e </w:t>
      </w:r>
      <w:r w:rsidR="002B4B1C">
        <w:rPr>
          <w:rFonts w:ascii="Times New Roman" w:hAnsi="Times New Roman"/>
          <w:sz w:val="28"/>
          <w:szCs w:val="28"/>
        </w:rPr>
        <w:t>Scande</w:t>
      </w:r>
      <w:r>
        <w:rPr>
          <w:rFonts w:ascii="Times New Roman" w:hAnsi="Times New Roman"/>
          <w:sz w:val="28"/>
          <w:szCs w:val="28"/>
        </w:rPr>
        <w:t>, is unchallenged. It only bears mentioning that the unlawfulness of the actions of the second, third and fifth defendants, where it has been shown to intersect with the unlawfulness of the actions of the fourth and eighth defendants, has been established.</w:t>
      </w:r>
    </w:p>
    <w:p w:rsidR="00A15E23" w:rsidRPr="00104BBC" w:rsidRDefault="00A15E23" w:rsidP="00EE12F1">
      <w:pPr>
        <w:pStyle w:val="LegalList1"/>
        <w:spacing w:line="360" w:lineRule="auto"/>
        <w:ind w:left="851"/>
        <w:rPr>
          <w:rFonts w:ascii="Times New Roman" w:hAnsi="Times New Roman"/>
          <w:sz w:val="28"/>
          <w:szCs w:val="28"/>
        </w:rPr>
      </w:pPr>
      <w:r>
        <w:rPr>
          <w:rFonts w:ascii="Times New Roman" w:hAnsi="Times New Roman"/>
          <w:sz w:val="28"/>
          <w:szCs w:val="28"/>
        </w:rPr>
        <w:t>THE FOURTH CLAIM – AS AGAINST THE SIXTH AND SEVENTH DEFENDANTS</w:t>
      </w:r>
    </w:p>
    <w:p w:rsidR="00A15E23" w:rsidRPr="00104BBC" w:rsidRDefault="00A15E23" w:rsidP="00A15E23">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This is similarly a</w:t>
      </w:r>
      <w:r w:rsidR="001705E1">
        <w:rPr>
          <w:rFonts w:ascii="Times New Roman" w:hAnsi="Times New Roman"/>
          <w:color w:val="000000"/>
          <w:sz w:val="28"/>
          <w:szCs w:val="28"/>
        </w:rPr>
        <w:t xml:space="preserve"> </w:t>
      </w:r>
      <w:r>
        <w:rPr>
          <w:rFonts w:ascii="Times New Roman" w:hAnsi="Times New Roman"/>
          <w:color w:val="000000"/>
          <w:sz w:val="28"/>
          <w:szCs w:val="28"/>
        </w:rPr>
        <w:t xml:space="preserve">claim </w:t>
      </w:r>
      <w:r w:rsidR="001705E1">
        <w:rPr>
          <w:rFonts w:ascii="Times New Roman" w:hAnsi="Times New Roman"/>
          <w:color w:val="000000"/>
          <w:sz w:val="28"/>
          <w:szCs w:val="28"/>
        </w:rPr>
        <w:t xml:space="preserve">under the common law </w:t>
      </w:r>
      <w:r>
        <w:rPr>
          <w:rFonts w:ascii="Times New Roman" w:hAnsi="Times New Roman"/>
          <w:color w:val="000000"/>
          <w:sz w:val="28"/>
          <w:szCs w:val="28"/>
        </w:rPr>
        <w:t>for damages</w:t>
      </w:r>
      <w:r w:rsidR="00BF7360">
        <w:rPr>
          <w:rFonts w:ascii="Times New Roman" w:hAnsi="Times New Roman"/>
          <w:color w:val="000000"/>
          <w:sz w:val="28"/>
          <w:szCs w:val="28"/>
        </w:rPr>
        <w:t xml:space="preserve"> </w:t>
      </w:r>
      <w:r>
        <w:rPr>
          <w:rFonts w:ascii="Times New Roman" w:hAnsi="Times New Roman"/>
          <w:color w:val="000000"/>
          <w:sz w:val="28"/>
          <w:szCs w:val="28"/>
        </w:rPr>
        <w:t xml:space="preserve">following a breach by the sixth and seventh defendants of their obligations of good faith and diligence which are pleaded in terms substantially similar to those under the third claim. Both defendants occupied senior positions while they were employed by the plaintiff. The sixth defendant was the “COO”, an executive incumbent directly accountable to the city manager and located at the second highest level of seniority in the administration. The seventh defendant was the director of communications, who reported to and was accountable to the sixth defendant, and was an official at the third highest level of seniority. </w:t>
      </w:r>
    </w:p>
    <w:p w:rsidR="00A15E23" w:rsidRPr="00A04A99" w:rsidRDefault="00A15E23" w:rsidP="00A15E23">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 xml:space="preserve">Of relevance to the fourth claim is the request by the seventh defendant in his letter of 5 August 2014 for the city manager to lift the cap on the first defendant’s existing contract and the sixth defendant’s endorsement of the letter. On the plaintiff’s case this occurred in circumstances in which the sixth and seventh defendants unlawfully and intentionally, alternatively negligently misrepresented to the plaintiff that, </w:t>
      </w:r>
      <w:r w:rsidRPr="000C41F8">
        <w:rPr>
          <w:rFonts w:ascii="Times New Roman" w:hAnsi="Times New Roman"/>
          <w:i/>
          <w:color w:val="000000"/>
          <w:sz w:val="28"/>
          <w:szCs w:val="28"/>
        </w:rPr>
        <w:t>inter alia</w:t>
      </w:r>
      <w:r>
        <w:rPr>
          <w:rFonts w:ascii="Times New Roman" w:hAnsi="Times New Roman"/>
          <w:color w:val="000000"/>
          <w:sz w:val="28"/>
          <w:szCs w:val="28"/>
        </w:rPr>
        <w:t>, the limit on the existing contract could lawfully be lifted without following prescribed procurement procedures</w:t>
      </w:r>
      <w:r>
        <w:rPr>
          <w:rStyle w:val="FootnoteReference"/>
          <w:rFonts w:ascii="Times New Roman" w:hAnsi="Times New Roman"/>
          <w:color w:val="000000"/>
          <w:sz w:val="28"/>
          <w:szCs w:val="28"/>
        </w:rPr>
        <w:footnoteReference w:id="81"/>
      </w:r>
      <w:r>
        <w:rPr>
          <w:rFonts w:ascii="Times New Roman" w:hAnsi="Times New Roman"/>
          <w:color w:val="000000"/>
          <w:sz w:val="28"/>
          <w:szCs w:val="28"/>
        </w:rPr>
        <w:t>, and that the second defendant could approve payment of the amount of R1 390 800.00 to the first defendant.</w:t>
      </w:r>
      <w:r>
        <w:rPr>
          <w:rStyle w:val="FootnoteReference"/>
          <w:rFonts w:ascii="Times New Roman" w:hAnsi="Times New Roman"/>
          <w:color w:val="000000"/>
          <w:sz w:val="28"/>
          <w:szCs w:val="28"/>
        </w:rPr>
        <w:footnoteReference w:id="82"/>
      </w:r>
    </w:p>
    <w:p w:rsidR="00A15E23" w:rsidRPr="00463C69" w:rsidRDefault="00A15E23" w:rsidP="00A15E23">
      <w:pPr>
        <w:pStyle w:val="LegalList1"/>
        <w:numPr>
          <w:ilvl w:val="0"/>
          <w:numId w:val="2"/>
        </w:numPr>
        <w:tabs>
          <w:tab w:val="clear" w:pos="567"/>
        </w:tabs>
        <w:spacing w:line="360" w:lineRule="auto"/>
        <w:ind w:left="851" w:hanging="851"/>
        <w:rPr>
          <w:rFonts w:ascii="Times New Roman" w:hAnsi="Times New Roman"/>
          <w:sz w:val="28"/>
          <w:szCs w:val="28"/>
        </w:rPr>
      </w:pPr>
      <w:r w:rsidRPr="002E21C0">
        <w:rPr>
          <w:rFonts w:ascii="Times New Roman" w:hAnsi="Times New Roman"/>
          <w:color w:val="000000"/>
          <w:sz w:val="28"/>
          <w:szCs w:val="28"/>
        </w:rPr>
        <w:t>The seventh defendant formulated the submissions in the letter and incorporated the pleaded misrepresentations</w:t>
      </w:r>
      <w:r>
        <w:rPr>
          <w:rStyle w:val="FootnoteReference"/>
          <w:rFonts w:ascii="Times New Roman" w:hAnsi="Times New Roman"/>
          <w:color w:val="000000"/>
          <w:sz w:val="28"/>
          <w:szCs w:val="28"/>
        </w:rPr>
        <w:footnoteReference w:id="83"/>
      </w:r>
      <w:r w:rsidRPr="002E21C0">
        <w:rPr>
          <w:rFonts w:ascii="Times New Roman" w:hAnsi="Times New Roman"/>
          <w:color w:val="000000"/>
          <w:sz w:val="28"/>
          <w:szCs w:val="28"/>
        </w:rPr>
        <w:t>. The sixth defendant signed the letter incorporating the misrepresentations and effectively endorsed the request made therein. As a direct consequence of the misrepresentations, the second defendant approved the request, removed the limitation on the contract amount and authorised the second payment.</w:t>
      </w:r>
    </w:p>
    <w:p w:rsidR="00A15E23" w:rsidRPr="002E21C0" w:rsidRDefault="00A15E23" w:rsidP="00A15E23">
      <w:pPr>
        <w:pStyle w:val="LegalList1"/>
        <w:numPr>
          <w:ilvl w:val="0"/>
          <w:numId w:val="2"/>
        </w:numPr>
        <w:tabs>
          <w:tab w:val="clear" w:pos="567"/>
        </w:tabs>
        <w:spacing w:line="360" w:lineRule="auto"/>
        <w:ind w:left="851" w:hanging="851"/>
        <w:rPr>
          <w:rFonts w:ascii="Times New Roman" w:hAnsi="Times New Roman"/>
          <w:sz w:val="28"/>
          <w:szCs w:val="28"/>
        </w:rPr>
      </w:pPr>
      <w:r w:rsidRPr="002E21C0">
        <w:rPr>
          <w:rFonts w:ascii="Times New Roman" w:hAnsi="Times New Roman"/>
          <w:color w:val="000000"/>
          <w:sz w:val="28"/>
          <w:szCs w:val="28"/>
        </w:rPr>
        <w:t xml:space="preserve">In his plea the seventh defendant admits having written the letter but denies that he owed the obligations pleaded by the plaintiff and denies having acted unlawfully and intentionally, or negligently. Absent evidence to the contrary, the denials are plainly at odds with the prescripts in the Code of Conduct for Municipal Staff Members and the common law obligations of an employee to their employer. </w:t>
      </w:r>
    </w:p>
    <w:p w:rsidR="00A15E23" w:rsidRPr="00104BBC" w:rsidRDefault="00A15E23" w:rsidP="00A15E23">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As for the sixth defendant, save for admitting the obligations pleaded by the plaintiff, he denies that he breached them unlawfully and intentionally, or negligently.</w:t>
      </w:r>
    </w:p>
    <w:p w:rsidR="00A15E23" w:rsidRPr="004A3117" w:rsidRDefault="00A15E23" w:rsidP="00A15E23">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The breaches complained of by the plaintiff are apparent from the content of the letter read in the context of the regulatory provisions relating to procurement and the SCM policy. Both defendants have purported to raise positive defences – the seventh defendant made no appearance at the trial and the sixth defendant did not testify.</w:t>
      </w:r>
      <w:r w:rsidRPr="002E21C0">
        <w:rPr>
          <w:rFonts w:ascii="Times New Roman" w:hAnsi="Times New Roman"/>
          <w:color w:val="000000"/>
          <w:sz w:val="28"/>
          <w:szCs w:val="28"/>
        </w:rPr>
        <w:t xml:space="preserve"> </w:t>
      </w:r>
      <w:r>
        <w:rPr>
          <w:rFonts w:ascii="Times New Roman" w:hAnsi="Times New Roman"/>
          <w:color w:val="000000"/>
          <w:sz w:val="28"/>
          <w:szCs w:val="28"/>
        </w:rPr>
        <w:t>What stands incontrovertibly is that the first defendant was appointed in contravention of the SCM policy, and that had the consequence that payment to it was unlawful (</w:t>
      </w:r>
      <w:r w:rsidRPr="00801FBB">
        <w:rPr>
          <w:rFonts w:ascii="Times New Roman" w:hAnsi="Times New Roman"/>
          <w:i/>
          <w:color w:val="000000"/>
          <w:sz w:val="28"/>
          <w:szCs w:val="28"/>
        </w:rPr>
        <w:t>Pietersen supra</w:t>
      </w:r>
      <w:r>
        <w:rPr>
          <w:rFonts w:ascii="Times New Roman" w:hAnsi="Times New Roman"/>
          <w:color w:val="000000"/>
          <w:sz w:val="28"/>
          <w:szCs w:val="28"/>
        </w:rPr>
        <w:t>) and that the plaintiff incurred damage.</w:t>
      </w:r>
    </w:p>
    <w:p w:rsidR="00DD5A72" w:rsidRPr="00DD5A72" w:rsidRDefault="00DD5A72" w:rsidP="00DD5A72">
      <w:pPr>
        <w:pStyle w:val="LegalList1"/>
        <w:spacing w:line="360" w:lineRule="auto"/>
        <w:ind w:left="131" w:firstLine="720"/>
        <w:rPr>
          <w:rFonts w:ascii="Times New Roman" w:hAnsi="Times New Roman"/>
          <w:sz w:val="28"/>
          <w:szCs w:val="28"/>
        </w:rPr>
      </w:pPr>
      <w:r w:rsidRPr="00DD5A72">
        <w:rPr>
          <w:rFonts w:ascii="Times New Roman" w:hAnsi="Times New Roman"/>
          <w:sz w:val="28"/>
          <w:szCs w:val="28"/>
        </w:rPr>
        <w:t>THE ARGUMENTS</w:t>
      </w:r>
    </w:p>
    <w:p w:rsidR="00DD5A72" w:rsidRPr="00F23AA4"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sidRPr="00BD3EE9">
        <w:rPr>
          <w:rFonts w:ascii="Times New Roman" w:hAnsi="Times New Roman"/>
          <w:color w:val="000000"/>
          <w:sz w:val="28"/>
          <w:szCs w:val="28"/>
        </w:rPr>
        <w:t>A note of gratitude is extended to the parties for preparing heads of argument</w:t>
      </w:r>
      <w:r>
        <w:rPr>
          <w:rFonts w:ascii="Times New Roman" w:hAnsi="Times New Roman"/>
          <w:color w:val="000000"/>
          <w:sz w:val="28"/>
          <w:szCs w:val="28"/>
        </w:rPr>
        <w:t xml:space="preserve">. </w:t>
      </w:r>
      <w:r w:rsidRPr="00BD3EE9">
        <w:rPr>
          <w:rFonts w:ascii="Times New Roman" w:hAnsi="Times New Roman"/>
          <w:color w:val="000000"/>
          <w:sz w:val="28"/>
          <w:szCs w:val="28"/>
        </w:rPr>
        <w:t xml:space="preserve">A composite set has been submitted </w:t>
      </w:r>
      <w:r>
        <w:rPr>
          <w:rFonts w:ascii="Times New Roman" w:hAnsi="Times New Roman"/>
          <w:color w:val="000000"/>
          <w:sz w:val="28"/>
          <w:szCs w:val="28"/>
        </w:rPr>
        <w:t>by</w:t>
      </w:r>
      <w:r w:rsidRPr="00BD3EE9">
        <w:rPr>
          <w:rFonts w:ascii="Times New Roman" w:hAnsi="Times New Roman"/>
          <w:color w:val="000000"/>
          <w:sz w:val="28"/>
          <w:szCs w:val="28"/>
        </w:rPr>
        <w:t xml:space="preserve"> the second, fifth and eighth defendants. In all material respects that submitted by the fourth defendant raises similar issues to that submitted by the second, fifth and eighth defendants. The sixth defendant submitted heads with discrete issues.</w:t>
      </w:r>
    </w:p>
    <w:p w:rsidR="00DD5A72" w:rsidRPr="00BD3EE9"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sidRPr="00BD3EE9">
        <w:rPr>
          <w:rFonts w:ascii="Times New Roman" w:hAnsi="Times New Roman"/>
          <w:color w:val="000000"/>
          <w:sz w:val="28"/>
          <w:szCs w:val="28"/>
        </w:rPr>
        <w:t>In dealing with the arguments of the</w:t>
      </w:r>
      <w:r>
        <w:rPr>
          <w:rFonts w:ascii="Times New Roman" w:hAnsi="Times New Roman"/>
          <w:color w:val="000000"/>
          <w:sz w:val="28"/>
          <w:szCs w:val="28"/>
        </w:rPr>
        <w:t xml:space="preserve"> fourth, </w:t>
      </w:r>
      <w:r w:rsidRPr="00BD3EE9">
        <w:rPr>
          <w:rFonts w:ascii="Times New Roman" w:hAnsi="Times New Roman"/>
          <w:color w:val="000000"/>
          <w:sz w:val="28"/>
          <w:szCs w:val="28"/>
        </w:rPr>
        <w:t>second, fifth and eighth defendants the plaintiff has referred to the heads submitted by them collectively as “the first heads”</w:t>
      </w:r>
      <w:r>
        <w:rPr>
          <w:rFonts w:ascii="Times New Roman" w:hAnsi="Times New Roman"/>
          <w:color w:val="000000"/>
          <w:sz w:val="28"/>
          <w:szCs w:val="28"/>
        </w:rPr>
        <w:t xml:space="preserve"> and the heads submitted by the sixth defendant as “the second heads”. It is considered sensible and expedient to adopt the same nomenclature.</w:t>
      </w:r>
      <w:r w:rsidR="00CC2823">
        <w:rPr>
          <w:rFonts w:ascii="Times New Roman" w:hAnsi="Times New Roman"/>
          <w:color w:val="000000"/>
          <w:sz w:val="28"/>
          <w:szCs w:val="28"/>
        </w:rPr>
        <w:t xml:space="preserve"> In response to the first and second heads, the plaintiff filed heads of argument</w:t>
      </w:r>
      <w:r w:rsidR="0037725B">
        <w:rPr>
          <w:rFonts w:ascii="Times New Roman" w:hAnsi="Times New Roman"/>
          <w:color w:val="000000"/>
          <w:sz w:val="28"/>
          <w:szCs w:val="28"/>
        </w:rPr>
        <w:t xml:space="preserve"> in reply.</w:t>
      </w:r>
    </w:p>
    <w:p w:rsidR="00DD5A72" w:rsidRPr="00321A85" w:rsidRDefault="00DD5A72" w:rsidP="00DD5A72">
      <w:pPr>
        <w:pStyle w:val="LegalList1"/>
        <w:spacing w:line="360" w:lineRule="auto"/>
        <w:ind w:left="131" w:firstLine="720"/>
        <w:rPr>
          <w:rFonts w:ascii="Times New Roman" w:hAnsi="Times New Roman"/>
          <w:sz w:val="28"/>
          <w:szCs w:val="28"/>
        </w:rPr>
      </w:pPr>
      <w:r>
        <w:rPr>
          <w:rFonts w:ascii="Times New Roman" w:hAnsi="Times New Roman"/>
          <w:color w:val="000000"/>
          <w:sz w:val="28"/>
          <w:szCs w:val="28"/>
        </w:rPr>
        <w:t>THE FIRST HEADS</w:t>
      </w:r>
    </w:p>
    <w:p w:rsidR="00DD5A72" w:rsidRPr="004A442B"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The principal contentions raised by the defendants are:</w:t>
      </w:r>
    </w:p>
    <w:p w:rsidR="00DD5A72" w:rsidRPr="00A61943" w:rsidRDefault="00DD5A72" w:rsidP="00DD5A72">
      <w:pPr>
        <w:pStyle w:val="LegalList1"/>
        <w:spacing w:line="360" w:lineRule="auto"/>
        <w:ind w:left="1440" w:hanging="589"/>
        <w:rPr>
          <w:rFonts w:ascii="Times New Roman" w:hAnsi="Times New Roman"/>
          <w:sz w:val="28"/>
          <w:szCs w:val="28"/>
        </w:rPr>
      </w:pPr>
      <w:r>
        <w:rPr>
          <w:rFonts w:ascii="Times New Roman" w:hAnsi="Times New Roman"/>
          <w:color w:val="000000"/>
          <w:sz w:val="28"/>
          <w:szCs w:val="28"/>
        </w:rPr>
        <w:t>(a)</w:t>
      </w:r>
      <w:r>
        <w:rPr>
          <w:rFonts w:ascii="Times New Roman" w:hAnsi="Times New Roman"/>
          <w:color w:val="000000"/>
          <w:sz w:val="28"/>
          <w:szCs w:val="28"/>
        </w:rPr>
        <w:tab/>
        <w:t>that section 32 of the MFMA must not be read in “isolation”</w:t>
      </w:r>
      <w:r>
        <w:rPr>
          <w:rStyle w:val="FootnoteReference"/>
          <w:rFonts w:ascii="Times New Roman" w:hAnsi="Times New Roman"/>
          <w:color w:val="000000"/>
          <w:sz w:val="28"/>
          <w:szCs w:val="28"/>
        </w:rPr>
        <w:footnoteReference w:id="84"/>
      </w:r>
      <w:r>
        <w:rPr>
          <w:rFonts w:ascii="Times New Roman" w:hAnsi="Times New Roman"/>
          <w:color w:val="000000"/>
          <w:sz w:val="28"/>
          <w:szCs w:val="28"/>
        </w:rPr>
        <w:t xml:space="preserve"> but “holistically”</w:t>
      </w:r>
      <w:r>
        <w:rPr>
          <w:rStyle w:val="FootnoteReference"/>
          <w:rFonts w:ascii="Times New Roman" w:hAnsi="Times New Roman"/>
          <w:color w:val="000000"/>
          <w:sz w:val="28"/>
          <w:szCs w:val="28"/>
        </w:rPr>
        <w:footnoteReference w:id="85"/>
      </w:r>
      <w:r>
        <w:rPr>
          <w:rFonts w:ascii="Times New Roman" w:hAnsi="Times New Roman"/>
          <w:color w:val="000000"/>
          <w:sz w:val="28"/>
          <w:szCs w:val="28"/>
        </w:rPr>
        <w:t xml:space="preserve"> and falls to be interpreted in context</w:t>
      </w:r>
      <w:r>
        <w:rPr>
          <w:rStyle w:val="FootnoteReference"/>
          <w:rFonts w:ascii="Times New Roman" w:hAnsi="Times New Roman"/>
          <w:color w:val="000000"/>
          <w:sz w:val="28"/>
          <w:szCs w:val="28"/>
        </w:rPr>
        <w:footnoteReference w:id="86"/>
      </w:r>
      <w:r>
        <w:rPr>
          <w:rFonts w:ascii="Times New Roman" w:hAnsi="Times New Roman"/>
          <w:color w:val="000000"/>
          <w:sz w:val="28"/>
          <w:szCs w:val="28"/>
        </w:rPr>
        <w:t>;</w:t>
      </w:r>
    </w:p>
    <w:p w:rsidR="00DD5A72" w:rsidRPr="00321A85" w:rsidRDefault="00DD5A72" w:rsidP="00DD5A72">
      <w:pPr>
        <w:pStyle w:val="LegalList1"/>
        <w:spacing w:line="360" w:lineRule="auto"/>
        <w:ind w:left="1440" w:hanging="589"/>
        <w:rPr>
          <w:rFonts w:ascii="Times New Roman" w:hAnsi="Times New Roman"/>
          <w:sz w:val="28"/>
          <w:szCs w:val="28"/>
        </w:rPr>
      </w:pPr>
      <w:r>
        <w:rPr>
          <w:rFonts w:ascii="Times New Roman" w:hAnsi="Times New Roman"/>
          <w:color w:val="000000"/>
          <w:sz w:val="28"/>
          <w:szCs w:val="28"/>
        </w:rPr>
        <w:t>(b)</w:t>
      </w:r>
      <w:r>
        <w:rPr>
          <w:rFonts w:ascii="Times New Roman" w:hAnsi="Times New Roman"/>
          <w:color w:val="000000"/>
          <w:sz w:val="28"/>
          <w:szCs w:val="28"/>
        </w:rPr>
        <w:tab/>
        <w:t>that section 32 is inconsistent with the Constitution - it gives rise to an “irrationality”</w:t>
      </w:r>
      <w:r>
        <w:rPr>
          <w:rStyle w:val="FootnoteReference"/>
          <w:rFonts w:ascii="Times New Roman" w:hAnsi="Times New Roman"/>
          <w:color w:val="000000"/>
          <w:sz w:val="28"/>
          <w:szCs w:val="28"/>
        </w:rPr>
        <w:footnoteReference w:id="87"/>
      </w:r>
      <w:r>
        <w:rPr>
          <w:rFonts w:ascii="Times New Roman" w:hAnsi="Times New Roman"/>
          <w:color w:val="000000"/>
          <w:sz w:val="28"/>
          <w:szCs w:val="28"/>
        </w:rPr>
        <w:t>; and is “anomalous”; “patently unfair”</w:t>
      </w:r>
      <w:r>
        <w:rPr>
          <w:rStyle w:val="FootnoteReference"/>
          <w:rFonts w:ascii="Times New Roman" w:hAnsi="Times New Roman"/>
          <w:color w:val="000000"/>
          <w:sz w:val="28"/>
          <w:szCs w:val="28"/>
        </w:rPr>
        <w:footnoteReference w:id="88"/>
      </w:r>
      <w:r>
        <w:rPr>
          <w:rFonts w:ascii="Times New Roman" w:hAnsi="Times New Roman"/>
          <w:color w:val="000000"/>
          <w:sz w:val="28"/>
          <w:szCs w:val="28"/>
        </w:rPr>
        <w:t>; and “not just and equitable”</w:t>
      </w:r>
      <w:r>
        <w:rPr>
          <w:rStyle w:val="FootnoteReference"/>
          <w:rFonts w:ascii="Times New Roman" w:hAnsi="Times New Roman"/>
          <w:color w:val="000000"/>
          <w:sz w:val="28"/>
          <w:szCs w:val="28"/>
        </w:rPr>
        <w:footnoteReference w:id="89"/>
      </w:r>
      <w:r>
        <w:rPr>
          <w:rFonts w:ascii="Times New Roman" w:hAnsi="Times New Roman"/>
          <w:color w:val="000000"/>
          <w:sz w:val="28"/>
          <w:szCs w:val="28"/>
        </w:rPr>
        <w:t>; and</w:t>
      </w:r>
    </w:p>
    <w:p w:rsidR="00DD5A72" w:rsidRPr="00321A85" w:rsidRDefault="00DD5A72" w:rsidP="00DD5A72">
      <w:pPr>
        <w:pStyle w:val="LegalList1"/>
        <w:spacing w:line="360" w:lineRule="auto"/>
        <w:ind w:left="851"/>
        <w:rPr>
          <w:rFonts w:ascii="Times New Roman" w:hAnsi="Times New Roman"/>
          <w:sz w:val="28"/>
          <w:szCs w:val="28"/>
        </w:rPr>
      </w:pPr>
      <w:r>
        <w:rPr>
          <w:rFonts w:ascii="Times New Roman" w:hAnsi="Times New Roman"/>
          <w:color w:val="000000"/>
          <w:sz w:val="28"/>
          <w:szCs w:val="28"/>
        </w:rPr>
        <w:t>(c)</w:t>
      </w:r>
      <w:r>
        <w:rPr>
          <w:rFonts w:ascii="Times New Roman" w:hAnsi="Times New Roman"/>
          <w:color w:val="000000"/>
          <w:sz w:val="28"/>
          <w:szCs w:val="28"/>
        </w:rPr>
        <w:tab/>
        <w:t>that the plaintiff unduly delayed in seeking the relief in claim 1</w:t>
      </w:r>
      <w:r>
        <w:rPr>
          <w:rStyle w:val="FootnoteReference"/>
          <w:rFonts w:ascii="Times New Roman" w:hAnsi="Times New Roman"/>
          <w:color w:val="000000"/>
          <w:sz w:val="28"/>
          <w:szCs w:val="28"/>
        </w:rPr>
        <w:footnoteReference w:id="90"/>
      </w:r>
      <w:r>
        <w:rPr>
          <w:rFonts w:ascii="Times New Roman" w:hAnsi="Times New Roman"/>
          <w:color w:val="000000"/>
          <w:sz w:val="28"/>
          <w:szCs w:val="28"/>
        </w:rPr>
        <w:t>.</w:t>
      </w:r>
    </w:p>
    <w:p w:rsidR="00DD5A72" w:rsidRPr="00DD5A72" w:rsidRDefault="00DD5A72" w:rsidP="00DD5A72">
      <w:pPr>
        <w:pStyle w:val="LegalList1"/>
        <w:spacing w:line="360" w:lineRule="auto"/>
        <w:ind w:firstLine="720"/>
        <w:rPr>
          <w:rFonts w:ascii="Times New Roman" w:hAnsi="Times New Roman"/>
          <w:sz w:val="28"/>
          <w:szCs w:val="28"/>
          <w:u w:val="single"/>
        </w:rPr>
      </w:pPr>
      <w:r w:rsidRPr="00DD5A72">
        <w:rPr>
          <w:rFonts w:ascii="Times New Roman" w:hAnsi="Times New Roman"/>
          <w:color w:val="000000"/>
          <w:sz w:val="28"/>
          <w:szCs w:val="28"/>
          <w:u w:val="single"/>
        </w:rPr>
        <w:t>The interpretation of section 32:</w:t>
      </w:r>
    </w:p>
    <w:p w:rsidR="00DD5A72" w:rsidRPr="00EE0160"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 xml:space="preserve">The defendants seem to contend that section 176 of the MFMA modifies the meaning of section 32. While referring to the prescript of statutory interpretation stated in </w:t>
      </w:r>
      <w:r w:rsidRPr="002972E5">
        <w:rPr>
          <w:rFonts w:ascii="Times New Roman" w:hAnsi="Times New Roman"/>
          <w:i/>
          <w:color w:val="000000"/>
          <w:sz w:val="28"/>
          <w:szCs w:val="28"/>
        </w:rPr>
        <w:t>Cool Ideas 1186 CC v Hubbard</w:t>
      </w:r>
      <w:r>
        <w:rPr>
          <w:rStyle w:val="FootnoteReference"/>
          <w:rFonts w:ascii="Times New Roman" w:hAnsi="Times New Roman"/>
          <w:color w:val="000000"/>
          <w:sz w:val="28"/>
          <w:szCs w:val="28"/>
        </w:rPr>
        <w:footnoteReference w:id="91"/>
      </w:r>
      <w:r>
        <w:rPr>
          <w:rFonts w:ascii="Times New Roman" w:hAnsi="Times New Roman"/>
          <w:color w:val="000000"/>
          <w:sz w:val="28"/>
          <w:szCs w:val="28"/>
        </w:rPr>
        <w:t xml:space="preserve">, the difficulty with their stance is that they do not make submissions as to what they contend the modified interpretation of the section may be. In </w:t>
      </w:r>
      <w:r w:rsidRPr="00F36088">
        <w:rPr>
          <w:rFonts w:ascii="Times New Roman" w:hAnsi="Times New Roman"/>
          <w:i/>
          <w:color w:val="000000"/>
          <w:sz w:val="28"/>
          <w:szCs w:val="28"/>
        </w:rPr>
        <w:t>Petuna</w:t>
      </w:r>
      <w:r>
        <w:rPr>
          <w:rFonts w:ascii="Times New Roman" w:hAnsi="Times New Roman"/>
          <w:color w:val="000000"/>
          <w:sz w:val="28"/>
          <w:szCs w:val="28"/>
        </w:rPr>
        <w:t xml:space="preserve">, Chetty J made an unmistakable pronouncement as to its </w:t>
      </w:r>
      <w:r w:rsidRPr="00F36088">
        <w:rPr>
          <w:rFonts w:ascii="Times New Roman" w:hAnsi="Times New Roman"/>
          <w:i/>
          <w:color w:val="000000"/>
          <w:sz w:val="28"/>
          <w:szCs w:val="28"/>
        </w:rPr>
        <w:t>“clear and unambiguous and … only meaning”</w:t>
      </w:r>
      <w:r>
        <w:rPr>
          <w:rFonts w:ascii="Times New Roman" w:hAnsi="Times New Roman"/>
          <w:color w:val="000000"/>
          <w:sz w:val="28"/>
          <w:szCs w:val="28"/>
        </w:rPr>
        <w:t>.</w:t>
      </w:r>
    </w:p>
    <w:p w:rsidR="00DD5A72" w:rsidRPr="00321A85"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Section 176 of the MFMA reads as follows:</w:t>
      </w:r>
    </w:p>
    <w:p w:rsidR="00DD5A72" w:rsidRDefault="00DD5A72" w:rsidP="00DD5A72">
      <w:pPr>
        <w:pStyle w:val="LegalList1"/>
        <w:spacing w:line="360" w:lineRule="auto"/>
        <w:ind w:left="851"/>
        <w:rPr>
          <w:noProof/>
          <w:lang w:eastAsia="en-ZA"/>
        </w:rPr>
      </w:pPr>
      <w:r>
        <w:rPr>
          <w:noProof/>
          <w:lang w:val="en-ZA" w:eastAsia="en-ZA"/>
        </w:rPr>
        <w:drawing>
          <wp:inline distT="0" distB="0" distL="0" distR="0" wp14:anchorId="6B0F684A" wp14:editId="4920C5C2">
            <wp:extent cx="5306060" cy="239964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85104" cy="2435387"/>
                    </a:xfrm>
                    <a:prstGeom prst="rect">
                      <a:avLst/>
                    </a:prstGeom>
                  </pic:spPr>
                </pic:pic>
              </a:graphicData>
            </a:graphic>
          </wp:inline>
        </w:drawing>
      </w:r>
    </w:p>
    <w:p w:rsidR="00DD5A72" w:rsidRPr="002C398F"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sidRPr="002C398F">
        <w:rPr>
          <w:rFonts w:ascii="Times New Roman" w:hAnsi="Times New Roman"/>
          <w:color w:val="000000"/>
          <w:sz w:val="28"/>
          <w:szCs w:val="28"/>
        </w:rPr>
        <w:t xml:space="preserve">A reading of section 176(1) indicates that it precludes a claim against a municipality or any of its functionaries pursuant to the exercise </w:t>
      </w:r>
      <w:r w:rsidRPr="002C398F">
        <w:rPr>
          <w:rFonts w:ascii="Times New Roman" w:hAnsi="Times New Roman"/>
          <w:i/>
          <w:color w:val="000000"/>
          <w:sz w:val="28"/>
          <w:szCs w:val="28"/>
        </w:rPr>
        <w:t xml:space="preserve">“in good faith” </w:t>
      </w:r>
      <w:r w:rsidRPr="002C398F">
        <w:rPr>
          <w:rFonts w:ascii="Times New Roman" w:hAnsi="Times New Roman"/>
          <w:color w:val="000000"/>
          <w:sz w:val="28"/>
          <w:szCs w:val="28"/>
        </w:rPr>
        <w:t xml:space="preserve">of a power or function in terms of the MFMA, for </w:t>
      </w:r>
      <w:r w:rsidRPr="002C398F">
        <w:rPr>
          <w:rFonts w:ascii="Times New Roman" w:hAnsi="Times New Roman"/>
          <w:i/>
          <w:color w:val="000000"/>
          <w:sz w:val="28"/>
          <w:szCs w:val="28"/>
        </w:rPr>
        <w:t>“loss or damage”</w:t>
      </w:r>
      <w:r w:rsidRPr="002C398F">
        <w:rPr>
          <w:rFonts w:ascii="Times New Roman" w:hAnsi="Times New Roman"/>
          <w:color w:val="000000"/>
          <w:sz w:val="28"/>
          <w:szCs w:val="28"/>
        </w:rPr>
        <w:t xml:space="preserve"> resulting therefrom. The primary purpose of the provision is that it precludes the liability of a municipality and its functionaries from claims by third parties for loss or damage incurred by them where the actions of a municipality or its functionaries w</w:t>
      </w:r>
      <w:r w:rsidR="003C6886">
        <w:rPr>
          <w:rFonts w:ascii="Times New Roman" w:hAnsi="Times New Roman"/>
          <w:color w:val="000000"/>
          <w:sz w:val="28"/>
          <w:szCs w:val="28"/>
        </w:rPr>
        <w:t>ere</w:t>
      </w:r>
      <w:r w:rsidRPr="002C398F">
        <w:rPr>
          <w:rFonts w:ascii="Times New Roman" w:hAnsi="Times New Roman"/>
          <w:color w:val="000000"/>
          <w:sz w:val="28"/>
          <w:szCs w:val="28"/>
        </w:rPr>
        <w:t xml:space="preserve"> undertaken in good faith. </w:t>
      </w:r>
    </w:p>
    <w:p w:rsidR="00DD5A72" w:rsidRPr="002C398F"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sidRPr="002C398F">
        <w:rPr>
          <w:rFonts w:ascii="Times New Roman" w:hAnsi="Times New Roman"/>
          <w:color w:val="000000"/>
          <w:sz w:val="28"/>
          <w:szCs w:val="28"/>
        </w:rPr>
        <w:t xml:space="preserve">The section notably refers to </w:t>
      </w:r>
      <w:r w:rsidRPr="002C398F">
        <w:rPr>
          <w:rFonts w:ascii="Times New Roman" w:hAnsi="Times New Roman"/>
          <w:i/>
          <w:color w:val="000000"/>
          <w:sz w:val="28"/>
          <w:szCs w:val="28"/>
        </w:rPr>
        <w:t>“loss or damage”</w:t>
      </w:r>
      <w:r w:rsidRPr="002C398F">
        <w:rPr>
          <w:rFonts w:ascii="Times New Roman" w:hAnsi="Times New Roman"/>
          <w:color w:val="000000"/>
          <w:sz w:val="28"/>
          <w:szCs w:val="28"/>
        </w:rPr>
        <w:t xml:space="preserve">. Section 32(2) by contrast does not relate to the recovery of loss or damage by a municipality, but rather for expenditure which is </w:t>
      </w:r>
      <w:r w:rsidRPr="002C398F">
        <w:rPr>
          <w:rFonts w:ascii="Times New Roman" w:hAnsi="Times New Roman"/>
          <w:i/>
          <w:color w:val="000000"/>
          <w:sz w:val="28"/>
          <w:szCs w:val="28"/>
        </w:rPr>
        <w:t>“unauthorised, irregular or fruitless and</w:t>
      </w:r>
      <w:r w:rsidRPr="002C398F">
        <w:rPr>
          <w:rFonts w:ascii="Times New Roman" w:hAnsi="Times New Roman"/>
          <w:color w:val="000000"/>
          <w:sz w:val="28"/>
          <w:szCs w:val="28"/>
        </w:rPr>
        <w:t xml:space="preserve"> </w:t>
      </w:r>
      <w:r w:rsidRPr="002C398F">
        <w:rPr>
          <w:rFonts w:ascii="Times New Roman" w:hAnsi="Times New Roman"/>
          <w:i/>
          <w:color w:val="000000"/>
          <w:sz w:val="28"/>
          <w:szCs w:val="28"/>
        </w:rPr>
        <w:t>wasteful”</w:t>
      </w:r>
      <w:r w:rsidRPr="002C398F">
        <w:rPr>
          <w:rFonts w:ascii="Times New Roman" w:hAnsi="Times New Roman"/>
          <w:color w:val="000000"/>
          <w:sz w:val="28"/>
          <w:szCs w:val="28"/>
        </w:rPr>
        <w:t xml:space="preserve"> as defined in section 1. The peremptory requirement to recover such expenditure is not limited by a provision that precludes such recovery where a municipality has suffered no loss or damage.</w:t>
      </w:r>
    </w:p>
    <w:p w:rsidR="00DD5A72" w:rsidRPr="00830F76"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 xml:space="preserve">In its heads of argument plaintiff points out that it is significant that the defendants appear not to have had regard to section 176(2). The section provides for a statutory right of recovery by a municipality from a political office bearer or official of any loss or damage suffered by it because of the deliberate or negligent unlawful actions of that person. This remedy exists independently of any common law or other statutory remedy (see </w:t>
      </w:r>
      <w:r w:rsidRPr="007557DE">
        <w:rPr>
          <w:rFonts w:ascii="Times New Roman" w:hAnsi="Times New Roman"/>
          <w:i/>
          <w:color w:val="000000"/>
          <w:sz w:val="28"/>
          <w:szCs w:val="28"/>
        </w:rPr>
        <w:t>Pikitup Johannesburg SOC Limited v Nair (Maharaj and Others as Third Parties)</w:t>
      </w:r>
      <w:r>
        <w:rPr>
          <w:rFonts w:ascii="Times New Roman" w:hAnsi="Times New Roman"/>
          <w:color w:val="000000"/>
          <w:sz w:val="28"/>
          <w:szCs w:val="28"/>
        </w:rPr>
        <w:t xml:space="preserve"> [2019] 3 All SA 899 (GJ) at 904i). The legislature has plainly felt strongly enough about the consequences of deliberate or negligent conduct on the part of municipal functionaries to provide for a claim for loss or damage in addition to the common law Aquilian claim (which is the basis of the claim against the</w:t>
      </w:r>
      <w:r w:rsidR="002972E5">
        <w:rPr>
          <w:rFonts w:ascii="Times New Roman" w:hAnsi="Times New Roman"/>
          <w:color w:val="000000"/>
          <w:sz w:val="28"/>
          <w:szCs w:val="28"/>
        </w:rPr>
        <w:t xml:space="preserve"> fourth and eighth, and the</w:t>
      </w:r>
      <w:r>
        <w:rPr>
          <w:rFonts w:ascii="Times New Roman" w:hAnsi="Times New Roman"/>
          <w:color w:val="000000"/>
          <w:sz w:val="28"/>
          <w:szCs w:val="28"/>
        </w:rPr>
        <w:t xml:space="preserve"> sixth and seventh defendants).</w:t>
      </w:r>
    </w:p>
    <w:p w:rsidR="00DD5A72" w:rsidRPr="00321A85"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 xml:space="preserve">If the defendants are correct in their apparent contention as to the meaning of section 32(2) (which though not stated would seem to be that a claim in terms thereof would only lie where the municipality in question has suffered loss or damage), then the provision in section 176(2) would seem to be entirely unnecessary. The contention, would, in any event, constitute a special defence which has not been pleaded. It is therefore not open to the defendants to raise it in argument particularly where they have made no assertions that the conclusions by Chetty and Goosen JJ forming part of the </w:t>
      </w:r>
      <w:r w:rsidRPr="009964E6">
        <w:rPr>
          <w:rFonts w:ascii="Times New Roman" w:hAnsi="Times New Roman"/>
          <w:i/>
          <w:color w:val="000000"/>
          <w:sz w:val="28"/>
          <w:szCs w:val="28"/>
        </w:rPr>
        <w:t>rationes decidendi</w:t>
      </w:r>
      <w:r>
        <w:rPr>
          <w:rFonts w:ascii="Times New Roman" w:hAnsi="Times New Roman"/>
          <w:color w:val="000000"/>
          <w:sz w:val="28"/>
          <w:szCs w:val="28"/>
        </w:rPr>
        <w:t xml:space="preserve"> of those judgments, which are binding on this court, are wrong.</w:t>
      </w:r>
    </w:p>
    <w:p w:rsidR="00DD5A72" w:rsidRPr="00C7079B" w:rsidRDefault="00DD5A72" w:rsidP="00C7079B">
      <w:pPr>
        <w:pStyle w:val="LegalList1"/>
        <w:spacing w:line="360" w:lineRule="auto"/>
        <w:ind w:left="131" w:firstLine="720"/>
        <w:rPr>
          <w:rFonts w:ascii="Times New Roman" w:hAnsi="Times New Roman"/>
          <w:sz w:val="28"/>
          <w:szCs w:val="28"/>
          <w:u w:val="single"/>
        </w:rPr>
      </w:pPr>
      <w:r w:rsidRPr="00C7079B">
        <w:rPr>
          <w:rFonts w:ascii="Times New Roman" w:hAnsi="Times New Roman"/>
          <w:sz w:val="28"/>
          <w:szCs w:val="28"/>
          <w:u w:val="single"/>
        </w:rPr>
        <w:t>Section 32 inconsistent with the Constitution:</w:t>
      </w:r>
    </w:p>
    <w:p w:rsidR="00DD5A72" w:rsidRPr="000915D6"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The defendants’ ostensible reliance on section 172(1) by contending that the issue to be resolved is a constitutional matter, that the constitution must apply and accordingly there must be a just and equitable remedy overlooks the logical sequence of the section. The conclusion contended for is insupportable.</w:t>
      </w:r>
    </w:p>
    <w:p w:rsidR="00DD5A72" w:rsidRPr="000C65C8"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The making by a court of any order that is just and equitable must be preceded by:</w:t>
      </w:r>
    </w:p>
    <w:p w:rsidR="00DD5A72" w:rsidRPr="000C65C8" w:rsidRDefault="00DD5A72" w:rsidP="00DD5A72">
      <w:pPr>
        <w:pStyle w:val="LegalList1"/>
        <w:spacing w:line="360" w:lineRule="auto"/>
        <w:ind w:left="1440" w:hanging="589"/>
        <w:rPr>
          <w:rFonts w:ascii="Times New Roman" w:hAnsi="Times New Roman"/>
          <w:sz w:val="28"/>
          <w:szCs w:val="28"/>
        </w:rPr>
      </w:pPr>
      <w:r>
        <w:rPr>
          <w:rFonts w:ascii="Times New Roman" w:hAnsi="Times New Roman"/>
          <w:color w:val="000000"/>
          <w:sz w:val="28"/>
          <w:szCs w:val="28"/>
        </w:rPr>
        <w:t>(a)</w:t>
      </w:r>
      <w:r>
        <w:rPr>
          <w:rFonts w:ascii="Times New Roman" w:hAnsi="Times New Roman"/>
          <w:color w:val="000000"/>
          <w:sz w:val="28"/>
          <w:szCs w:val="28"/>
        </w:rPr>
        <w:tab/>
        <w:t>a conclusion that the court has before it “a constitutional matter within its power”;</w:t>
      </w:r>
    </w:p>
    <w:p w:rsidR="00DD5A72" w:rsidRPr="000C65C8" w:rsidRDefault="00DD5A72" w:rsidP="00DD5A72">
      <w:pPr>
        <w:pStyle w:val="LegalList1"/>
        <w:spacing w:line="360" w:lineRule="auto"/>
        <w:ind w:left="851"/>
        <w:rPr>
          <w:rFonts w:ascii="Times New Roman" w:hAnsi="Times New Roman"/>
          <w:sz w:val="28"/>
          <w:szCs w:val="28"/>
        </w:rPr>
      </w:pPr>
      <w:r>
        <w:rPr>
          <w:rFonts w:ascii="Times New Roman" w:hAnsi="Times New Roman"/>
          <w:color w:val="000000"/>
          <w:sz w:val="28"/>
          <w:szCs w:val="28"/>
        </w:rPr>
        <w:t>(b)</w:t>
      </w:r>
      <w:r>
        <w:rPr>
          <w:rFonts w:ascii="Times New Roman" w:hAnsi="Times New Roman"/>
          <w:color w:val="000000"/>
          <w:sz w:val="28"/>
          <w:szCs w:val="28"/>
        </w:rPr>
        <w:tab/>
        <w:t>that such matter falls to be decided;</w:t>
      </w:r>
    </w:p>
    <w:p w:rsidR="00DD5A72" w:rsidRPr="00F908F5" w:rsidRDefault="00DD5A72" w:rsidP="00DD5A72">
      <w:pPr>
        <w:pStyle w:val="LegalList1"/>
        <w:spacing w:line="360" w:lineRule="auto"/>
        <w:ind w:left="1440" w:hanging="589"/>
        <w:rPr>
          <w:rFonts w:ascii="Times New Roman" w:hAnsi="Times New Roman"/>
          <w:sz w:val="28"/>
          <w:szCs w:val="28"/>
        </w:rPr>
      </w:pPr>
      <w:r>
        <w:rPr>
          <w:rFonts w:ascii="Times New Roman" w:hAnsi="Times New Roman"/>
          <w:color w:val="000000"/>
          <w:sz w:val="28"/>
          <w:szCs w:val="28"/>
        </w:rPr>
        <w:t>(c)</w:t>
      </w:r>
      <w:r>
        <w:rPr>
          <w:rFonts w:ascii="Times New Roman" w:hAnsi="Times New Roman"/>
          <w:color w:val="000000"/>
          <w:sz w:val="28"/>
          <w:szCs w:val="28"/>
        </w:rPr>
        <w:tab/>
        <w:t xml:space="preserve"> a declaration that any law or conduct inconsistent with the Constitution is invalid;</w:t>
      </w:r>
    </w:p>
    <w:p w:rsidR="00DD5A72" w:rsidRPr="00F908F5" w:rsidRDefault="00DD5A72" w:rsidP="00DD5A72">
      <w:pPr>
        <w:pStyle w:val="LegalList1"/>
        <w:spacing w:line="360" w:lineRule="auto"/>
        <w:ind w:left="1440" w:hanging="589"/>
        <w:rPr>
          <w:rFonts w:ascii="Times New Roman" w:hAnsi="Times New Roman"/>
          <w:sz w:val="28"/>
          <w:szCs w:val="28"/>
        </w:rPr>
      </w:pPr>
      <w:r>
        <w:rPr>
          <w:rFonts w:ascii="Times New Roman" w:hAnsi="Times New Roman"/>
          <w:color w:val="000000"/>
          <w:sz w:val="28"/>
          <w:szCs w:val="28"/>
        </w:rPr>
        <w:t>(d)</w:t>
      </w:r>
      <w:r>
        <w:rPr>
          <w:rFonts w:ascii="Times New Roman" w:hAnsi="Times New Roman"/>
          <w:color w:val="000000"/>
          <w:sz w:val="28"/>
          <w:szCs w:val="28"/>
        </w:rPr>
        <w:tab/>
        <w:t>That such declaration is made only to the extent of the inconsistency in question.</w:t>
      </w:r>
    </w:p>
    <w:p w:rsidR="00DD5A72" w:rsidRPr="00F01DAB"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 xml:space="preserve">Only then may a court make an order that is just and equitable.  </w:t>
      </w:r>
    </w:p>
    <w:p w:rsidR="00DD5A72" w:rsidRPr="007A078E"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The defendants’ contention that the statutory provision upon which the plaintiff relies is inconsistent with the Constitution stems from their denial of the case made out by the plaintiff. It was correctly submitted for the plaintiff that the contention as to unconstitutionality would constitute a positive defence and would require that facts be pleaded upon which the contention is based as also the legal conclusion flowing therefrom.</w:t>
      </w:r>
    </w:p>
    <w:p w:rsidR="00DD5A72" w:rsidRPr="00321A85"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 xml:space="preserve">The defendants have not done so in their pleadings and have fallen short of making any such case in argument. </w:t>
      </w:r>
    </w:p>
    <w:p w:rsidR="00DD5A72" w:rsidRPr="00423773"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 xml:space="preserve">Beginning with the obligations of a litigant when pleading, it has authoritatively been stated that </w:t>
      </w:r>
      <w:r w:rsidRPr="00EB6A8D">
        <w:rPr>
          <w:rFonts w:ascii="Times New Roman" w:hAnsi="Times New Roman"/>
          <w:i/>
          <w:color w:val="000000"/>
          <w:sz w:val="28"/>
          <w:szCs w:val="28"/>
        </w:rPr>
        <w:t xml:space="preserve">“it is for the parties either in the pleadings or affidavits (which serve the function of both pleadings and evidence), to set out and define the nature of the dispute, and it is for the court to adjudicate upon those issues … even where the dispute involves an issue pertaining to the basic human rights guaranteed by our Constitution, for it is impermissible for a party to rely on a constitutional complaint that was not pleaded” </w:t>
      </w:r>
      <w:r>
        <w:rPr>
          <w:rFonts w:ascii="Times New Roman" w:hAnsi="Times New Roman"/>
          <w:color w:val="000000"/>
          <w:sz w:val="28"/>
          <w:szCs w:val="28"/>
        </w:rPr>
        <w:t xml:space="preserve">(see </w:t>
      </w:r>
      <w:r w:rsidRPr="00EB6A8D">
        <w:rPr>
          <w:rFonts w:ascii="Times New Roman" w:hAnsi="Times New Roman"/>
          <w:i/>
          <w:color w:val="000000"/>
          <w:sz w:val="28"/>
          <w:szCs w:val="28"/>
        </w:rPr>
        <w:t>Fischer and Another v Ramahlele and Others</w:t>
      </w:r>
      <w:r>
        <w:rPr>
          <w:rFonts w:ascii="Times New Roman" w:hAnsi="Times New Roman"/>
          <w:color w:val="000000"/>
          <w:sz w:val="28"/>
          <w:szCs w:val="28"/>
        </w:rPr>
        <w:t xml:space="preserve"> 2014 (4) SA 614 (SCA) at paragraph [13]). A party has a duty to set out in its pleading a clear and concise statement of the material facts upon which it seeks to rely for its claim with sufficient particularity to enable the opposite party to reply thereto. The rationale therefor is that an opponent must be properly informed of the case it has to meet and not be ambushed at trial</w:t>
      </w:r>
      <w:r>
        <w:rPr>
          <w:rStyle w:val="FootnoteReference"/>
          <w:rFonts w:ascii="Times New Roman" w:hAnsi="Times New Roman"/>
          <w:color w:val="000000"/>
          <w:sz w:val="28"/>
          <w:szCs w:val="28"/>
        </w:rPr>
        <w:footnoteReference w:id="92"/>
      </w:r>
      <w:r>
        <w:rPr>
          <w:rFonts w:ascii="Times New Roman" w:hAnsi="Times New Roman"/>
          <w:color w:val="000000"/>
          <w:sz w:val="28"/>
          <w:szCs w:val="28"/>
        </w:rPr>
        <w:t>.</w:t>
      </w:r>
    </w:p>
    <w:p w:rsidR="00DD5A72" w:rsidRPr="00D305C8"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It bears noting that none of the defendants has made the allegation in their plea that a notice in terms of rule 16A was filed with the registrar and that it was placed on a notice board designated for that purpose. The need for such a notice is premised on the constitutional issue of which notice must be given, and the particularity of the issue being properly raised in the pleadings.</w:t>
      </w:r>
    </w:p>
    <w:p w:rsidR="00DD5A72" w:rsidRPr="00353885"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It does not avail the defendants to obliquely raise the constitutionality of section 32 in heads of argument without laying a proper foundation for such challenge in the papers or the pleadings.</w:t>
      </w:r>
      <w:r>
        <w:rPr>
          <w:rStyle w:val="FootnoteReference"/>
          <w:rFonts w:ascii="Times New Roman" w:hAnsi="Times New Roman"/>
          <w:color w:val="000000"/>
          <w:sz w:val="28"/>
          <w:szCs w:val="28"/>
        </w:rPr>
        <w:footnoteReference w:id="93"/>
      </w:r>
      <w:r>
        <w:rPr>
          <w:rFonts w:ascii="Times New Roman" w:hAnsi="Times New Roman"/>
          <w:color w:val="000000"/>
          <w:sz w:val="28"/>
          <w:szCs w:val="28"/>
        </w:rPr>
        <w:t xml:space="preserve"> Tellingly, it has not in argument or otherwise been suggested which portions of the section are inconsistent with the Constitution; or on what basis is it irrational; what basis the court should dismiss the plaintiff’s claims; or what order the defendants seek on the basis that it would be just and equitable.</w:t>
      </w:r>
    </w:p>
    <w:p w:rsidR="00DD5A72" w:rsidRPr="00C7079B" w:rsidRDefault="00DD5A72" w:rsidP="00C7079B">
      <w:pPr>
        <w:pStyle w:val="LegalList1"/>
        <w:spacing w:line="360" w:lineRule="auto"/>
        <w:ind w:left="131" w:firstLine="720"/>
        <w:rPr>
          <w:rFonts w:ascii="Times New Roman" w:hAnsi="Times New Roman"/>
          <w:sz w:val="28"/>
          <w:szCs w:val="28"/>
          <w:u w:val="single"/>
        </w:rPr>
      </w:pPr>
      <w:r w:rsidRPr="00C7079B">
        <w:rPr>
          <w:rFonts w:ascii="Times New Roman" w:hAnsi="Times New Roman"/>
          <w:sz w:val="28"/>
          <w:szCs w:val="28"/>
          <w:u w:val="single"/>
        </w:rPr>
        <w:t>Undue delay:</w:t>
      </w:r>
    </w:p>
    <w:p w:rsidR="00DD5A72"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Although the issue is addressed elsewhere in this judgment it suffices to make a few additional comments. The review and setting aside of the decisions to appoint the first defendant is not a prerequisite for a claim under section 32(2) of the MFMA. It is only necessary to establish that one of the unlawful forms of expenditure has been incurred in the manner anticipated in section 32(1). Expenditure is of course irregular once it has been incurred in contravention of, or if it is not in accordance with a requirement of the supply chain management policy of a municipality. For the irregularity to arise there is no pre-requisite for the unlawful conduct to be reviewed and set aside, and the determination of the special pleas in question is thus entirely irrelevant to the question of the </w:t>
      </w:r>
      <w:r w:rsidR="00E27251">
        <w:rPr>
          <w:rFonts w:ascii="Times New Roman" w:hAnsi="Times New Roman"/>
          <w:sz w:val="28"/>
          <w:szCs w:val="28"/>
        </w:rPr>
        <w:t xml:space="preserve">relevant employee </w:t>
      </w:r>
      <w:r>
        <w:rPr>
          <w:rFonts w:ascii="Times New Roman" w:hAnsi="Times New Roman"/>
          <w:sz w:val="28"/>
          <w:szCs w:val="28"/>
        </w:rPr>
        <w:t>defendants’ liability.</w:t>
      </w:r>
    </w:p>
    <w:p w:rsidR="00DD5A72" w:rsidRDefault="00DD5A72" w:rsidP="00C7079B">
      <w:pPr>
        <w:pStyle w:val="LegalList1"/>
        <w:spacing w:line="360" w:lineRule="auto"/>
        <w:ind w:left="131" w:firstLine="720"/>
        <w:rPr>
          <w:rFonts w:ascii="Times New Roman" w:hAnsi="Times New Roman"/>
          <w:sz w:val="28"/>
          <w:szCs w:val="28"/>
        </w:rPr>
      </w:pPr>
      <w:r>
        <w:rPr>
          <w:rFonts w:ascii="Times New Roman" w:hAnsi="Times New Roman"/>
          <w:sz w:val="28"/>
          <w:szCs w:val="28"/>
        </w:rPr>
        <w:t>THE SECOND HEADS</w:t>
      </w:r>
    </w:p>
    <w:p w:rsidR="00DD5A72"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It is pointed out in </w:t>
      </w:r>
      <w:r w:rsidR="006705C6">
        <w:rPr>
          <w:rFonts w:ascii="Times New Roman" w:hAnsi="Times New Roman"/>
          <w:sz w:val="28"/>
          <w:szCs w:val="28"/>
        </w:rPr>
        <w:t>plaintiff’s heads of argument that its</w:t>
      </w:r>
      <w:r>
        <w:rPr>
          <w:rFonts w:ascii="Times New Roman" w:hAnsi="Times New Roman"/>
          <w:sz w:val="28"/>
          <w:szCs w:val="28"/>
        </w:rPr>
        <w:t xml:space="preserve"> claim against the sixth defendant lies neither in terms of section 32 nor in terms of section 172(2) of the MFMA (as is speculated by the sixth defendant). The claim against the sixth defendant is pursued in terms of the common law and has been comprehensively pleaded</w:t>
      </w:r>
      <w:r>
        <w:rPr>
          <w:rStyle w:val="FootnoteReference"/>
          <w:rFonts w:ascii="Times New Roman" w:hAnsi="Times New Roman"/>
          <w:sz w:val="28"/>
          <w:szCs w:val="28"/>
        </w:rPr>
        <w:footnoteReference w:id="94"/>
      </w:r>
      <w:r>
        <w:rPr>
          <w:rFonts w:ascii="Times New Roman" w:hAnsi="Times New Roman"/>
          <w:sz w:val="28"/>
          <w:szCs w:val="28"/>
        </w:rPr>
        <w:t>.</w:t>
      </w:r>
    </w:p>
    <w:p w:rsidR="00DD5A72"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The case pleaded for the sixth defendant is that he was appointed as “COO” of the plaintiff with effect from 1 April 2014, that he was requested to escalate the lifting of the cap to the second defendant and that such request cannot be construed as an authorisation by him which attracts liability.</w:t>
      </w:r>
      <w:r w:rsidRPr="00E36258">
        <w:rPr>
          <w:rFonts w:ascii="Times New Roman" w:hAnsi="Times New Roman"/>
          <w:sz w:val="28"/>
          <w:szCs w:val="28"/>
        </w:rPr>
        <w:t xml:space="preserve"> </w:t>
      </w:r>
      <w:r>
        <w:rPr>
          <w:rFonts w:ascii="Times New Roman" w:hAnsi="Times New Roman"/>
          <w:sz w:val="28"/>
          <w:szCs w:val="28"/>
        </w:rPr>
        <w:t>He contends that the plaintiff failed to prove its damages.</w:t>
      </w:r>
    </w:p>
    <w:p w:rsidR="00BE6BB3"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The evidence before court is that a payment was made to the first defendant of the amount claimed against the sixth and seventh defendants for which there was no lawful basis. By virtue of such evidence the plaintiff has established </w:t>
      </w:r>
      <w:r w:rsidRPr="00EB3BF9">
        <w:rPr>
          <w:rFonts w:ascii="Times New Roman" w:hAnsi="Times New Roman"/>
          <w:i/>
          <w:sz w:val="28"/>
          <w:szCs w:val="28"/>
        </w:rPr>
        <w:t>prima facie</w:t>
      </w:r>
      <w:r>
        <w:rPr>
          <w:rFonts w:ascii="Times New Roman" w:hAnsi="Times New Roman"/>
          <w:sz w:val="28"/>
          <w:szCs w:val="28"/>
        </w:rPr>
        <w:t xml:space="preserve"> that </w:t>
      </w:r>
      <w:r w:rsidR="00C52B51">
        <w:rPr>
          <w:rFonts w:ascii="Times New Roman" w:hAnsi="Times New Roman"/>
          <w:sz w:val="28"/>
          <w:szCs w:val="28"/>
        </w:rPr>
        <w:t>as a consequence of the second payment</w:t>
      </w:r>
      <w:r w:rsidR="007021A0">
        <w:rPr>
          <w:rFonts w:ascii="Times New Roman" w:hAnsi="Times New Roman"/>
          <w:sz w:val="28"/>
          <w:szCs w:val="28"/>
        </w:rPr>
        <w:t>,</w:t>
      </w:r>
      <w:r w:rsidR="001234D7">
        <w:rPr>
          <w:rFonts w:ascii="Times New Roman" w:hAnsi="Times New Roman"/>
          <w:sz w:val="28"/>
          <w:szCs w:val="28"/>
        </w:rPr>
        <w:t xml:space="preserve"> </w:t>
      </w:r>
      <w:r w:rsidR="007021A0">
        <w:rPr>
          <w:rFonts w:ascii="Times New Roman" w:hAnsi="Times New Roman"/>
          <w:sz w:val="28"/>
          <w:szCs w:val="28"/>
        </w:rPr>
        <w:t xml:space="preserve">absent any legal basis for it to have done so, </w:t>
      </w:r>
      <w:r>
        <w:rPr>
          <w:rFonts w:ascii="Times New Roman" w:hAnsi="Times New Roman"/>
          <w:sz w:val="28"/>
          <w:szCs w:val="28"/>
        </w:rPr>
        <w:t>it suffered damages.</w:t>
      </w:r>
    </w:p>
    <w:p w:rsidR="00DD5A72"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It was therefore not necessary for the plaintiff to prove that it did not receive value for such payment (if that is what the sixth defendant seeks to convey by contending that plaintiff failed to prove its damages) but rather</w:t>
      </w:r>
      <w:r w:rsidR="00BA1D80">
        <w:rPr>
          <w:rFonts w:ascii="Times New Roman" w:hAnsi="Times New Roman"/>
          <w:sz w:val="28"/>
          <w:szCs w:val="28"/>
        </w:rPr>
        <w:t>,</w:t>
      </w:r>
      <w:r>
        <w:rPr>
          <w:rFonts w:ascii="Times New Roman" w:hAnsi="Times New Roman"/>
          <w:sz w:val="28"/>
          <w:szCs w:val="28"/>
        </w:rPr>
        <w:t xml:space="preserve"> for any defendant who contended that value was indeed received, to allege and prove this. This is not the case made out for the sixth defendan</w:t>
      </w:r>
      <w:r w:rsidR="00DF329C">
        <w:rPr>
          <w:rFonts w:ascii="Times New Roman" w:hAnsi="Times New Roman"/>
          <w:sz w:val="28"/>
          <w:szCs w:val="28"/>
        </w:rPr>
        <w:t>t; n</w:t>
      </w:r>
      <w:r w:rsidR="009B4792">
        <w:rPr>
          <w:rFonts w:ascii="Times New Roman" w:hAnsi="Times New Roman"/>
          <w:sz w:val="28"/>
          <w:szCs w:val="28"/>
        </w:rPr>
        <w:t xml:space="preserve">or is it the case for any of the other defendants despite </w:t>
      </w:r>
      <w:r w:rsidR="00C42A50">
        <w:rPr>
          <w:rFonts w:ascii="Times New Roman" w:hAnsi="Times New Roman"/>
          <w:sz w:val="28"/>
          <w:szCs w:val="28"/>
        </w:rPr>
        <w:t xml:space="preserve">their </w:t>
      </w:r>
      <w:r w:rsidR="00C95245">
        <w:rPr>
          <w:rFonts w:ascii="Times New Roman" w:hAnsi="Times New Roman"/>
          <w:sz w:val="28"/>
          <w:szCs w:val="28"/>
        </w:rPr>
        <w:t>contending</w:t>
      </w:r>
      <w:r w:rsidR="005440F4">
        <w:rPr>
          <w:rFonts w:ascii="Times New Roman" w:hAnsi="Times New Roman"/>
          <w:sz w:val="28"/>
          <w:szCs w:val="28"/>
        </w:rPr>
        <w:t xml:space="preserve"> </w:t>
      </w:r>
      <w:r w:rsidR="009B4792">
        <w:rPr>
          <w:rFonts w:ascii="Times New Roman" w:hAnsi="Times New Roman"/>
          <w:sz w:val="28"/>
          <w:szCs w:val="28"/>
        </w:rPr>
        <w:t xml:space="preserve">that Mr Botha had knowledge of the </w:t>
      </w:r>
      <w:r w:rsidR="005440F4">
        <w:rPr>
          <w:rFonts w:ascii="Times New Roman" w:hAnsi="Times New Roman"/>
          <w:sz w:val="28"/>
          <w:szCs w:val="28"/>
        </w:rPr>
        <w:t xml:space="preserve">plaintiff’s </w:t>
      </w:r>
      <w:r w:rsidR="009B4792">
        <w:rPr>
          <w:rFonts w:ascii="Times New Roman" w:hAnsi="Times New Roman"/>
          <w:sz w:val="28"/>
          <w:szCs w:val="28"/>
        </w:rPr>
        <w:t xml:space="preserve">acquisition </w:t>
      </w:r>
      <w:r w:rsidR="005440F4">
        <w:rPr>
          <w:rFonts w:ascii="Times New Roman" w:hAnsi="Times New Roman"/>
          <w:sz w:val="28"/>
          <w:szCs w:val="28"/>
        </w:rPr>
        <w:t>of the services of the first defendant and that he admitted that the plaintiff received value for the payments made.</w:t>
      </w:r>
      <w:r w:rsidR="005440F4">
        <w:rPr>
          <w:rStyle w:val="FootnoteReference"/>
          <w:rFonts w:ascii="Times New Roman" w:hAnsi="Times New Roman"/>
          <w:sz w:val="28"/>
          <w:szCs w:val="28"/>
        </w:rPr>
        <w:footnoteReference w:id="95"/>
      </w:r>
      <w:r w:rsidR="00BE6BB3">
        <w:rPr>
          <w:rFonts w:ascii="Times New Roman" w:hAnsi="Times New Roman"/>
          <w:sz w:val="28"/>
          <w:szCs w:val="28"/>
        </w:rPr>
        <w:t xml:space="preserve"> These contentions are not borne from the evidence. Mr Botha stated</w:t>
      </w:r>
      <w:r w:rsidR="00BE6BB3">
        <w:rPr>
          <w:rStyle w:val="FootnoteReference"/>
          <w:rFonts w:ascii="Times New Roman" w:hAnsi="Times New Roman"/>
          <w:sz w:val="28"/>
          <w:szCs w:val="28"/>
        </w:rPr>
        <w:footnoteReference w:id="96"/>
      </w:r>
      <w:r w:rsidR="00BE6BB3">
        <w:rPr>
          <w:rFonts w:ascii="Times New Roman" w:hAnsi="Times New Roman"/>
          <w:sz w:val="28"/>
          <w:szCs w:val="28"/>
        </w:rPr>
        <w:t xml:space="preserve"> </w:t>
      </w:r>
      <w:r w:rsidR="00C93FBB">
        <w:rPr>
          <w:rFonts w:ascii="Times New Roman" w:hAnsi="Times New Roman"/>
          <w:sz w:val="28"/>
          <w:szCs w:val="28"/>
        </w:rPr>
        <w:t xml:space="preserve">that he </w:t>
      </w:r>
      <w:r w:rsidR="0053310D">
        <w:rPr>
          <w:rFonts w:ascii="Times New Roman" w:hAnsi="Times New Roman"/>
          <w:sz w:val="28"/>
          <w:szCs w:val="28"/>
        </w:rPr>
        <w:t xml:space="preserve">interviewed witnesses who indicated that invoices submitted to the plaintiff for payment were over-inflated. </w:t>
      </w:r>
      <w:r w:rsidR="00A15B01">
        <w:rPr>
          <w:rFonts w:ascii="Times New Roman" w:hAnsi="Times New Roman"/>
          <w:sz w:val="28"/>
          <w:szCs w:val="28"/>
        </w:rPr>
        <w:t xml:space="preserve">He stated however that to the extent that </w:t>
      </w:r>
      <w:r w:rsidR="00A15B01" w:rsidRPr="006705C6">
        <w:rPr>
          <w:rFonts w:ascii="Times New Roman" w:hAnsi="Times New Roman"/>
          <w:i/>
          <w:sz w:val="28"/>
          <w:szCs w:val="28"/>
        </w:rPr>
        <w:t>“some work may have been done by the first defendant</w:t>
      </w:r>
      <w:r w:rsidR="00ED1F0D" w:rsidRPr="006705C6">
        <w:rPr>
          <w:rFonts w:ascii="Times New Roman" w:hAnsi="Times New Roman"/>
          <w:i/>
          <w:sz w:val="28"/>
          <w:szCs w:val="28"/>
        </w:rPr>
        <w:t xml:space="preserve"> … no value for money audit </w:t>
      </w:r>
      <w:r w:rsidR="00ED1F0D">
        <w:rPr>
          <w:rFonts w:ascii="Times New Roman" w:hAnsi="Times New Roman"/>
          <w:sz w:val="28"/>
          <w:szCs w:val="28"/>
        </w:rPr>
        <w:t>[was]</w:t>
      </w:r>
      <w:r w:rsidR="00ED1F0D" w:rsidRPr="006705C6">
        <w:rPr>
          <w:rFonts w:ascii="Times New Roman" w:hAnsi="Times New Roman"/>
          <w:i/>
          <w:sz w:val="28"/>
          <w:szCs w:val="28"/>
        </w:rPr>
        <w:t xml:space="preserve"> done”</w:t>
      </w:r>
      <w:r w:rsidR="00ED1F0D">
        <w:rPr>
          <w:rFonts w:ascii="Times New Roman" w:hAnsi="Times New Roman"/>
          <w:sz w:val="28"/>
          <w:szCs w:val="28"/>
        </w:rPr>
        <w:t>.</w:t>
      </w:r>
    </w:p>
    <w:p w:rsidR="00295EDA" w:rsidRDefault="00295EDA" w:rsidP="00DD5A7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In the second heads </w:t>
      </w:r>
      <w:r w:rsidR="00C95245">
        <w:rPr>
          <w:rFonts w:ascii="Times New Roman" w:hAnsi="Times New Roman"/>
          <w:sz w:val="28"/>
          <w:szCs w:val="28"/>
        </w:rPr>
        <w:t xml:space="preserve">a similar </w:t>
      </w:r>
      <w:r>
        <w:rPr>
          <w:rFonts w:ascii="Times New Roman" w:hAnsi="Times New Roman"/>
          <w:sz w:val="28"/>
          <w:szCs w:val="28"/>
        </w:rPr>
        <w:t xml:space="preserve">admission is sought to be attributed to Ms De </w:t>
      </w:r>
      <w:r w:rsidR="002B4B1C">
        <w:rPr>
          <w:rFonts w:ascii="Times New Roman" w:hAnsi="Times New Roman"/>
          <w:sz w:val="28"/>
          <w:szCs w:val="28"/>
        </w:rPr>
        <w:t>Scande</w:t>
      </w:r>
      <w:r w:rsidR="00F42AF3">
        <w:rPr>
          <w:rFonts w:ascii="Times New Roman" w:hAnsi="Times New Roman"/>
          <w:sz w:val="28"/>
          <w:szCs w:val="28"/>
        </w:rPr>
        <w:t>,</w:t>
      </w:r>
      <w:r w:rsidR="005B02E5">
        <w:rPr>
          <w:rFonts w:ascii="Times New Roman" w:hAnsi="Times New Roman"/>
          <w:sz w:val="28"/>
          <w:szCs w:val="28"/>
        </w:rPr>
        <w:t xml:space="preserve"> </w:t>
      </w:r>
      <w:r w:rsidR="00C315FA">
        <w:rPr>
          <w:rFonts w:ascii="Times New Roman" w:hAnsi="Times New Roman"/>
          <w:sz w:val="28"/>
          <w:szCs w:val="28"/>
        </w:rPr>
        <w:t>with the fourth defendant making common cause therewith.</w:t>
      </w:r>
      <w:r w:rsidR="00EF0675">
        <w:rPr>
          <w:rFonts w:ascii="Times New Roman" w:hAnsi="Times New Roman"/>
          <w:sz w:val="28"/>
          <w:szCs w:val="28"/>
        </w:rPr>
        <w:t xml:space="preserve"> The evidence indicates the contrary – not only did she have concerns about the procedure for the appointment of the first defendant but advise</w:t>
      </w:r>
      <w:r w:rsidR="00E10912">
        <w:rPr>
          <w:rFonts w:ascii="Times New Roman" w:hAnsi="Times New Roman"/>
          <w:sz w:val="28"/>
          <w:szCs w:val="28"/>
        </w:rPr>
        <w:t>d, that payment not be made to the first defendant.</w:t>
      </w:r>
      <w:r w:rsidR="00E10912">
        <w:rPr>
          <w:rStyle w:val="FootnoteReference"/>
          <w:rFonts w:ascii="Times New Roman" w:hAnsi="Times New Roman"/>
          <w:sz w:val="28"/>
          <w:szCs w:val="28"/>
        </w:rPr>
        <w:footnoteReference w:id="97"/>
      </w:r>
      <w:r w:rsidR="00C315FA">
        <w:rPr>
          <w:rFonts w:ascii="Times New Roman" w:hAnsi="Times New Roman"/>
          <w:sz w:val="28"/>
          <w:szCs w:val="28"/>
        </w:rPr>
        <w:t xml:space="preserve"> Against the backdrop of this evidence, the fourth defendant’s criticism that she had no legal background or supply chain expertise assumes no relevance.</w:t>
      </w:r>
    </w:p>
    <w:p w:rsidR="00DD5A72"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A further aspect raised by the sixth defendant concerns the reserved costs of his application for a postponement of the trial on 9 November 2020. Quoting directly from the plaintiff’s heads of argument, the following is apparent:</w:t>
      </w:r>
      <w:r>
        <w:rPr>
          <w:rStyle w:val="FootnoteReference"/>
          <w:rFonts w:ascii="Times New Roman" w:hAnsi="Times New Roman"/>
          <w:sz w:val="28"/>
          <w:szCs w:val="28"/>
        </w:rPr>
        <w:footnoteReference w:id="98"/>
      </w:r>
    </w:p>
    <w:p w:rsidR="00DD5A72" w:rsidRPr="003E3943" w:rsidRDefault="00DD5A72" w:rsidP="00DD5A72">
      <w:pPr>
        <w:pStyle w:val="LegalList1"/>
        <w:spacing w:line="360" w:lineRule="auto"/>
        <w:ind w:left="1440"/>
        <w:rPr>
          <w:rFonts w:ascii="Times New Roman" w:hAnsi="Times New Roman"/>
          <w:i/>
          <w:sz w:val="28"/>
          <w:szCs w:val="28"/>
        </w:rPr>
      </w:pPr>
      <w:r w:rsidRPr="003E3943">
        <w:rPr>
          <w:rFonts w:ascii="Times New Roman" w:hAnsi="Times New Roman"/>
          <w:i/>
          <w:sz w:val="28"/>
          <w:szCs w:val="28"/>
        </w:rPr>
        <w:t xml:space="preserve">“That application was not argued, but in bringing it, </w:t>
      </w:r>
      <w:r>
        <w:rPr>
          <w:rFonts w:ascii="Times New Roman" w:hAnsi="Times New Roman"/>
          <w:i/>
          <w:sz w:val="28"/>
          <w:szCs w:val="28"/>
        </w:rPr>
        <w:t>the sixth</w:t>
      </w:r>
      <w:r w:rsidRPr="003E3943">
        <w:rPr>
          <w:rFonts w:ascii="Times New Roman" w:hAnsi="Times New Roman"/>
          <w:i/>
          <w:sz w:val="28"/>
          <w:szCs w:val="28"/>
        </w:rPr>
        <w:t xml:space="preserve"> defendant sought an indulgence to enable him to properly ready himself at trial. The lack of readiness was plainly not justified </w:t>
      </w:r>
      <w:r>
        <w:rPr>
          <w:rFonts w:ascii="Times New Roman" w:hAnsi="Times New Roman"/>
          <w:i/>
          <w:sz w:val="28"/>
          <w:szCs w:val="28"/>
        </w:rPr>
        <w:t xml:space="preserve">and </w:t>
      </w:r>
      <w:r w:rsidRPr="003E3943">
        <w:rPr>
          <w:rFonts w:ascii="Times New Roman" w:hAnsi="Times New Roman"/>
          <w:i/>
          <w:sz w:val="28"/>
          <w:szCs w:val="28"/>
        </w:rPr>
        <w:t xml:space="preserve">the sixth defendant should in the ordinary course be liable for such costs. In any event however the </w:t>
      </w:r>
      <w:r>
        <w:rPr>
          <w:rFonts w:ascii="Times New Roman" w:hAnsi="Times New Roman"/>
          <w:i/>
          <w:sz w:val="28"/>
          <w:szCs w:val="28"/>
        </w:rPr>
        <w:t>C</w:t>
      </w:r>
      <w:r w:rsidRPr="003E3943">
        <w:rPr>
          <w:rFonts w:ascii="Times New Roman" w:hAnsi="Times New Roman"/>
          <w:i/>
          <w:sz w:val="28"/>
          <w:szCs w:val="28"/>
        </w:rPr>
        <w:t xml:space="preserve">ourt need not enter into the merits of that application. The plaintiff informed the allocated trial judge in chambers that the seventh defendant had exhibited symptoms consequent upon which he had submitted himself to a test for Covid-19 </w:t>
      </w:r>
      <w:r>
        <w:rPr>
          <w:rFonts w:ascii="Times New Roman" w:hAnsi="Times New Roman"/>
          <w:i/>
          <w:sz w:val="28"/>
          <w:szCs w:val="28"/>
        </w:rPr>
        <w:t xml:space="preserve">and </w:t>
      </w:r>
      <w:r w:rsidRPr="003E3943">
        <w:rPr>
          <w:rFonts w:ascii="Times New Roman" w:hAnsi="Times New Roman"/>
          <w:i/>
          <w:sz w:val="28"/>
          <w:szCs w:val="28"/>
        </w:rPr>
        <w:t xml:space="preserve">that on the morning of the trial he remained ill and had not received </w:t>
      </w:r>
      <w:r>
        <w:rPr>
          <w:rFonts w:ascii="Times New Roman" w:hAnsi="Times New Roman"/>
          <w:i/>
          <w:sz w:val="28"/>
          <w:szCs w:val="28"/>
        </w:rPr>
        <w:t>h</w:t>
      </w:r>
      <w:r w:rsidRPr="003E3943">
        <w:rPr>
          <w:rFonts w:ascii="Times New Roman" w:hAnsi="Times New Roman"/>
          <w:i/>
          <w:sz w:val="28"/>
          <w:szCs w:val="28"/>
        </w:rPr>
        <w:t>is</w:t>
      </w:r>
      <w:r>
        <w:rPr>
          <w:rFonts w:ascii="Times New Roman" w:hAnsi="Times New Roman"/>
          <w:i/>
          <w:sz w:val="28"/>
          <w:szCs w:val="28"/>
        </w:rPr>
        <w:t xml:space="preserve"> </w:t>
      </w:r>
      <w:r w:rsidRPr="003E3943">
        <w:rPr>
          <w:rFonts w:ascii="Times New Roman" w:hAnsi="Times New Roman"/>
          <w:i/>
          <w:sz w:val="28"/>
          <w:szCs w:val="28"/>
        </w:rPr>
        <w:t xml:space="preserve">test result. In addition, </w:t>
      </w:r>
      <w:r w:rsidRPr="004450F5">
        <w:rPr>
          <w:rFonts w:ascii="Times New Roman" w:hAnsi="Times New Roman"/>
          <w:sz w:val="28"/>
          <w:szCs w:val="28"/>
        </w:rPr>
        <w:t>[the trial judge]</w:t>
      </w:r>
      <w:r w:rsidRPr="003E3943">
        <w:rPr>
          <w:rFonts w:ascii="Times New Roman" w:hAnsi="Times New Roman"/>
          <w:i/>
          <w:sz w:val="28"/>
          <w:szCs w:val="28"/>
        </w:rPr>
        <w:t xml:space="preserve"> at the same time indicated that she had concluded that she was precluded from hearing the matter as she had </w:t>
      </w:r>
      <w:r>
        <w:rPr>
          <w:rFonts w:ascii="Times New Roman" w:hAnsi="Times New Roman"/>
          <w:i/>
          <w:sz w:val="28"/>
          <w:szCs w:val="28"/>
        </w:rPr>
        <w:t>p</w:t>
      </w:r>
      <w:r w:rsidRPr="003E3943">
        <w:rPr>
          <w:rFonts w:ascii="Times New Roman" w:hAnsi="Times New Roman"/>
          <w:i/>
          <w:sz w:val="28"/>
          <w:szCs w:val="28"/>
        </w:rPr>
        <w:t>resided in disciplinary hearings relating to IPTS and had been required to reach conclusions regarding the credibility of witnesses to be called by the plaintiff. At best such costs should be costs in the cause.”</w:t>
      </w:r>
    </w:p>
    <w:p w:rsidR="00DD5A72" w:rsidRDefault="00DD5A72" w:rsidP="00DD5A7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The costs issue was not raised by any of the other defendants and as I have not had the benefit of their submissions, I readily accede to the view expressed by the plaintiff.</w:t>
      </w:r>
    </w:p>
    <w:p w:rsidR="00DD5A72" w:rsidRDefault="00033241" w:rsidP="0037725B">
      <w:pPr>
        <w:pStyle w:val="LegalList1"/>
        <w:spacing w:line="360" w:lineRule="auto"/>
        <w:ind w:left="131" w:firstLine="720"/>
        <w:rPr>
          <w:rFonts w:ascii="Times New Roman" w:hAnsi="Times New Roman"/>
          <w:sz w:val="28"/>
          <w:szCs w:val="28"/>
        </w:rPr>
      </w:pPr>
      <w:r>
        <w:rPr>
          <w:rFonts w:ascii="Times New Roman" w:hAnsi="Times New Roman"/>
          <w:sz w:val="28"/>
          <w:szCs w:val="28"/>
        </w:rPr>
        <w:t>CONCLUSION</w:t>
      </w:r>
    </w:p>
    <w:p w:rsidR="0037725B" w:rsidRPr="00D21F60" w:rsidRDefault="0037725B" w:rsidP="0037725B">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 xml:space="preserve">The plaintiff bears the overall </w:t>
      </w:r>
      <w:r w:rsidRPr="0037725B">
        <w:rPr>
          <w:rFonts w:ascii="Times New Roman" w:hAnsi="Times New Roman"/>
          <w:i/>
          <w:color w:val="000000"/>
          <w:sz w:val="28"/>
          <w:szCs w:val="28"/>
        </w:rPr>
        <w:t>onus</w:t>
      </w:r>
      <w:r>
        <w:rPr>
          <w:rFonts w:ascii="Times New Roman" w:hAnsi="Times New Roman"/>
          <w:color w:val="000000"/>
          <w:sz w:val="28"/>
          <w:szCs w:val="28"/>
        </w:rPr>
        <w:t xml:space="preserve"> of establishing its entitlement to the relief it claims (see </w:t>
      </w:r>
      <w:r w:rsidRPr="0034108D">
        <w:rPr>
          <w:rFonts w:ascii="Times New Roman" w:hAnsi="Times New Roman"/>
          <w:i/>
          <w:color w:val="000000"/>
          <w:sz w:val="28"/>
          <w:szCs w:val="28"/>
        </w:rPr>
        <w:t>Pillay v Krishna and Another</w:t>
      </w:r>
      <w:r>
        <w:rPr>
          <w:rFonts w:ascii="Times New Roman" w:hAnsi="Times New Roman"/>
          <w:color w:val="000000"/>
          <w:sz w:val="28"/>
          <w:szCs w:val="28"/>
        </w:rPr>
        <w:t xml:space="preserve"> 1946 AD 946 at 952-953). Its case is uncontradicted. The defendants led no evidence in rebuttal to substantiate their exculpatory versions or pleaded defences, when, indubitably, there was an obligation upon them to have done so (see </w:t>
      </w:r>
      <w:r w:rsidRPr="0034108D">
        <w:rPr>
          <w:rFonts w:ascii="Times New Roman" w:hAnsi="Times New Roman"/>
          <w:i/>
          <w:color w:val="000000"/>
          <w:sz w:val="28"/>
          <w:szCs w:val="28"/>
        </w:rPr>
        <w:t>Pillay v Krishna and Another</w:t>
      </w:r>
      <w:r>
        <w:rPr>
          <w:rFonts w:ascii="Times New Roman" w:hAnsi="Times New Roman"/>
          <w:color w:val="000000"/>
          <w:sz w:val="28"/>
          <w:szCs w:val="28"/>
        </w:rPr>
        <w:t xml:space="preserve"> at 952). In these circumstances there can be no weighing of probabilities and the matter cannot be determined by weighing exculpatory assertions put to any of the plaintiff’s witnesses in cross-examination, where the defendants themselves have not opened their versions to scrutiny under cross-examination.</w:t>
      </w:r>
      <w:r w:rsidR="00D073F5">
        <w:rPr>
          <w:rFonts w:ascii="Times New Roman" w:hAnsi="Times New Roman"/>
          <w:color w:val="000000"/>
          <w:sz w:val="28"/>
          <w:szCs w:val="28"/>
        </w:rPr>
        <w:t xml:space="preserve"> </w:t>
      </w:r>
      <w:r w:rsidR="001D6994">
        <w:rPr>
          <w:rFonts w:ascii="Times New Roman" w:hAnsi="Times New Roman"/>
          <w:color w:val="000000"/>
          <w:sz w:val="28"/>
          <w:szCs w:val="28"/>
        </w:rPr>
        <w:t>Quite simply the plaintiff has established facts which give rise to an evidential burden on each of the employee defendants to proffer an answer</w:t>
      </w:r>
      <w:r w:rsidR="00A32F37">
        <w:rPr>
          <w:rFonts w:ascii="Times New Roman" w:hAnsi="Times New Roman"/>
          <w:color w:val="000000"/>
          <w:sz w:val="28"/>
          <w:szCs w:val="28"/>
        </w:rPr>
        <w:t xml:space="preserve"> - the absence of which serves as a cogent factor</w:t>
      </w:r>
      <w:r w:rsidR="00C600BF">
        <w:rPr>
          <w:rFonts w:ascii="Times New Roman" w:hAnsi="Times New Roman"/>
          <w:color w:val="000000"/>
          <w:sz w:val="28"/>
          <w:szCs w:val="28"/>
        </w:rPr>
        <w:t xml:space="preserve"> </w:t>
      </w:r>
      <w:r w:rsidR="00AA2CE0">
        <w:rPr>
          <w:rFonts w:ascii="Times New Roman" w:hAnsi="Times New Roman"/>
          <w:color w:val="000000"/>
          <w:sz w:val="28"/>
          <w:szCs w:val="28"/>
        </w:rPr>
        <w:t xml:space="preserve">in support of the natural inference that their evidence will expose facts unfavourable to them. </w:t>
      </w:r>
      <w:r>
        <w:rPr>
          <w:rFonts w:ascii="Times New Roman" w:hAnsi="Times New Roman"/>
          <w:color w:val="000000"/>
          <w:sz w:val="28"/>
          <w:szCs w:val="28"/>
        </w:rPr>
        <w:t>In addition, it is significant that none of the defendants contest what is said in the plaintiff’s main heads regarding the facts established by the evidence and the status of the documentation before court.</w:t>
      </w:r>
    </w:p>
    <w:p w:rsidR="0037725B" w:rsidRPr="006D13B7" w:rsidRDefault="0037725B" w:rsidP="0037725B">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rPr>
        <w:t>In the circumstances the following order issues:</w:t>
      </w:r>
    </w:p>
    <w:p w:rsidR="002C0FFC" w:rsidRDefault="00B1367D" w:rsidP="00B1367D">
      <w:pPr>
        <w:pStyle w:val="LegalList1"/>
        <w:spacing w:line="360" w:lineRule="auto"/>
        <w:ind w:left="131" w:firstLine="720"/>
        <w:rPr>
          <w:rFonts w:ascii="Times New Roman" w:hAnsi="Times New Roman"/>
          <w:sz w:val="28"/>
          <w:szCs w:val="28"/>
        </w:rPr>
      </w:pPr>
      <w:r w:rsidRPr="00B1367D">
        <w:rPr>
          <w:rFonts w:ascii="Times New Roman" w:hAnsi="Times New Roman"/>
          <w:sz w:val="28"/>
          <w:szCs w:val="28"/>
        </w:rPr>
        <w:t>101.1</w:t>
      </w:r>
      <w:r>
        <w:rPr>
          <w:rFonts w:ascii="Times New Roman" w:hAnsi="Times New Roman"/>
          <w:sz w:val="28"/>
          <w:szCs w:val="28"/>
        </w:rPr>
        <w:tab/>
      </w:r>
      <w:r w:rsidR="002C0FFC" w:rsidRPr="007F7E21">
        <w:rPr>
          <w:rFonts w:ascii="Times New Roman" w:hAnsi="Times New Roman"/>
          <w:sz w:val="28"/>
          <w:szCs w:val="28"/>
          <w:u w:val="single"/>
        </w:rPr>
        <w:t>In relation to the plaintiff’s first claim</w:t>
      </w:r>
      <w:r w:rsidR="002C0FFC">
        <w:rPr>
          <w:rFonts w:ascii="Times New Roman" w:hAnsi="Times New Roman"/>
          <w:sz w:val="28"/>
          <w:szCs w:val="28"/>
        </w:rPr>
        <w:t>:</w:t>
      </w:r>
    </w:p>
    <w:p w:rsidR="002C755E" w:rsidRDefault="00A11A9E" w:rsidP="00B1367D">
      <w:pPr>
        <w:pStyle w:val="LegalList1"/>
        <w:numPr>
          <w:ilvl w:val="0"/>
          <w:numId w:val="5"/>
        </w:numPr>
        <w:spacing w:line="360" w:lineRule="auto"/>
        <w:rPr>
          <w:rFonts w:ascii="Times New Roman" w:hAnsi="Times New Roman"/>
          <w:sz w:val="28"/>
          <w:szCs w:val="28"/>
        </w:rPr>
      </w:pPr>
      <w:r>
        <w:rPr>
          <w:rFonts w:ascii="Times New Roman" w:hAnsi="Times New Roman"/>
          <w:sz w:val="28"/>
          <w:szCs w:val="28"/>
        </w:rPr>
        <w:t xml:space="preserve">The decision by the third defendant dated </w:t>
      </w:r>
      <w:r w:rsidR="00D676C3">
        <w:rPr>
          <w:rFonts w:ascii="Times New Roman" w:hAnsi="Times New Roman"/>
          <w:sz w:val="28"/>
          <w:szCs w:val="28"/>
        </w:rPr>
        <w:t>1</w:t>
      </w:r>
      <w:r>
        <w:rPr>
          <w:rFonts w:ascii="Times New Roman" w:hAnsi="Times New Roman"/>
          <w:sz w:val="28"/>
          <w:szCs w:val="28"/>
        </w:rPr>
        <w:t>3 February 2014 as reflected in annexure POC3 to the particulars of claim and the resolution of the third defendant of 21</w:t>
      </w:r>
      <w:r w:rsidR="00B93D41">
        <w:rPr>
          <w:rFonts w:ascii="Times New Roman" w:hAnsi="Times New Roman"/>
          <w:sz w:val="28"/>
          <w:szCs w:val="28"/>
        </w:rPr>
        <w:t> </w:t>
      </w:r>
      <w:r>
        <w:rPr>
          <w:rFonts w:ascii="Times New Roman" w:hAnsi="Times New Roman"/>
          <w:sz w:val="28"/>
          <w:szCs w:val="28"/>
        </w:rPr>
        <w:t>February 2014</w:t>
      </w:r>
      <w:r w:rsidRPr="00A11A9E">
        <w:rPr>
          <w:rFonts w:ascii="Times New Roman" w:hAnsi="Times New Roman"/>
          <w:sz w:val="28"/>
          <w:szCs w:val="28"/>
        </w:rPr>
        <w:t xml:space="preserve"> </w:t>
      </w:r>
      <w:r>
        <w:rPr>
          <w:rFonts w:ascii="Times New Roman" w:hAnsi="Times New Roman"/>
          <w:sz w:val="28"/>
          <w:szCs w:val="28"/>
        </w:rPr>
        <w:t>as reflected in annexure POC5 to the particulars of claim</w:t>
      </w:r>
      <w:r w:rsidR="00C536AA">
        <w:rPr>
          <w:rFonts w:ascii="Times New Roman" w:hAnsi="Times New Roman"/>
          <w:sz w:val="28"/>
          <w:szCs w:val="28"/>
        </w:rPr>
        <w:t xml:space="preserve"> are declared unlawful, invalid and void </w:t>
      </w:r>
      <w:r w:rsidR="00C536AA" w:rsidRPr="00C536AA">
        <w:rPr>
          <w:rFonts w:ascii="Times New Roman" w:hAnsi="Times New Roman"/>
          <w:i/>
          <w:sz w:val="28"/>
          <w:szCs w:val="28"/>
        </w:rPr>
        <w:t>ab initio</w:t>
      </w:r>
      <w:r w:rsidR="00C536AA">
        <w:rPr>
          <w:rFonts w:ascii="Times New Roman" w:hAnsi="Times New Roman"/>
          <w:sz w:val="28"/>
          <w:szCs w:val="28"/>
        </w:rPr>
        <w:t>;</w:t>
      </w:r>
    </w:p>
    <w:p w:rsidR="00C536AA" w:rsidRDefault="00C536AA" w:rsidP="00B1367D">
      <w:pPr>
        <w:pStyle w:val="LegalList1"/>
        <w:numPr>
          <w:ilvl w:val="0"/>
          <w:numId w:val="5"/>
        </w:numPr>
        <w:spacing w:line="360" w:lineRule="auto"/>
        <w:rPr>
          <w:rFonts w:ascii="Times New Roman" w:hAnsi="Times New Roman"/>
          <w:sz w:val="28"/>
          <w:szCs w:val="28"/>
        </w:rPr>
      </w:pPr>
      <w:r w:rsidRPr="00B1367D">
        <w:rPr>
          <w:rFonts w:ascii="Times New Roman" w:hAnsi="Times New Roman"/>
          <w:sz w:val="28"/>
          <w:szCs w:val="28"/>
        </w:rPr>
        <w:t xml:space="preserve">The decision and resolution of the second defendant dated 20 May 2014 in annexures POC8 and POC9 </w:t>
      </w:r>
      <w:r w:rsidR="00E32B46" w:rsidRPr="00B1367D">
        <w:rPr>
          <w:rFonts w:ascii="Times New Roman" w:hAnsi="Times New Roman"/>
          <w:sz w:val="28"/>
          <w:szCs w:val="28"/>
        </w:rPr>
        <w:t xml:space="preserve">are declared unlawful, invalid and void </w:t>
      </w:r>
      <w:r w:rsidR="00E32B46" w:rsidRPr="00B1367D">
        <w:rPr>
          <w:rFonts w:ascii="Times New Roman" w:hAnsi="Times New Roman"/>
          <w:i/>
          <w:sz w:val="28"/>
          <w:szCs w:val="28"/>
        </w:rPr>
        <w:t>ab initio</w:t>
      </w:r>
      <w:r w:rsidR="00E32B46" w:rsidRPr="00B1367D">
        <w:rPr>
          <w:rFonts w:ascii="Times New Roman" w:hAnsi="Times New Roman"/>
          <w:sz w:val="28"/>
          <w:szCs w:val="28"/>
        </w:rPr>
        <w:t>;</w:t>
      </w:r>
    </w:p>
    <w:p w:rsidR="00E32B46" w:rsidRDefault="00E32B46" w:rsidP="00B1367D">
      <w:pPr>
        <w:pStyle w:val="LegalList1"/>
        <w:numPr>
          <w:ilvl w:val="0"/>
          <w:numId w:val="5"/>
        </w:numPr>
        <w:spacing w:line="360" w:lineRule="auto"/>
        <w:rPr>
          <w:rFonts w:ascii="Times New Roman" w:hAnsi="Times New Roman"/>
          <w:sz w:val="28"/>
          <w:szCs w:val="28"/>
        </w:rPr>
      </w:pPr>
      <w:r w:rsidRPr="00B1367D">
        <w:rPr>
          <w:rFonts w:ascii="Times New Roman" w:hAnsi="Times New Roman"/>
          <w:sz w:val="28"/>
          <w:szCs w:val="28"/>
        </w:rPr>
        <w:t xml:space="preserve">The decision of the second defendant dated 7 August 2014 in annexure POC15 is declared unlawful, invalid and void </w:t>
      </w:r>
      <w:r w:rsidRPr="00B1367D">
        <w:rPr>
          <w:rFonts w:ascii="Times New Roman" w:hAnsi="Times New Roman"/>
          <w:i/>
          <w:sz w:val="28"/>
          <w:szCs w:val="28"/>
        </w:rPr>
        <w:t>ab initio</w:t>
      </w:r>
      <w:r w:rsidRPr="00B1367D">
        <w:rPr>
          <w:rFonts w:ascii="Times New Roman" w:hAnsi="Times New Roman"/>
          <w:sz w:val="28"/>
          <w:szCs w:val="28"/>
        </w:rPr>
        <w:t>;</w:t>
      </w:r>
    </w:p>
    <w:p w:rsidR="00E32B46" w:rsidRDefault="00E32B46" w:rsidP="00B1367D">
      <w:pPr>
        <w:pStyle w:val="LegalList1"/>
        <w:numPr>
          <w:ilvl w:val="0"/>
          <w:numId w:val="5"/>
        </w:numPr>
        <w:spacing w:line="360" w:lineRule="auto"/>
        <w:rPr>
          <w:rFonts w:ascii="Times New Roman" w:hAnsi="Times New Roman"/>
          <w:sz w:val="28"/>
          <w:szCs w:val="28"/>
        </w:rPr>
      </w:pPr>
      <w:r w:rsidRPr="00B1367D">
        <w:rPr>
          <w:rFonts w:ascii="Times New Roman" w:hAnsi="Times New Roman"/>
          <w:sz w:val="28"/>
          <w:szCs w:val="28"/>
        </w:rPr>
        <w:t>The decision of the second defendant dated 26 February 2015 in annexure POC</w:t>
      </w:r>
      <w:r w:rsidR="00DB5CBF" w:rsidRPr="00B1367D">
        <w:rPr>
          <w:rFonts w:ascii="Times New Roman" w:hAnsi="Times New Roman"/>
          <w:sz w:val="28"/>
          <w:szCs w:val="28"/>
        </w:rPr>
        <w:t xml:space="preserve">19 is declared unlawful, invalid and void </w:t>
      </w:r>
      <w:r w:rsidR="00DB5CBF" w:rsidRPr="00B1367D">
        <w:rPr>
          <w:rFonts w:ascii="Times New Roman" w:hAnsi="Times New Roman"/>
          <w:i/>
          <w:sz w:val="28"/>
          <w:szCs w:val="28"/>
        </w:rPr>
        <w:t>ab initio</w:t>
      </w:r>
      <w:r w:rsidR="00DB5CBF" w:rsidRPr="00B1367D">
        <w:rPr>
          <w:rFonts w:ascii="Times New Roman" w:hAnsi="Times New Roman"/>
          <w:sz w:val="28"/>
          <w:szCs w:val="28"/>
        </w:rPr>
        <w:t>;</w:t>
      </w:r>
    </w:p>
    <w:p w:rsidR="00DB5CBF" w:rsidRDefault="00DB5CBF" w:rsidP="00B1367D">
      <w:pPr>
        <w:pStyle w:val="LegalList1"/>
        <w:numPr>
          <w:ilvl w:val="0"/>
          <w:numId w:val="5"/>
        </w:numPr>
        <w:spacing w:line="360" w:lineRule="auto"/>
        <w:rPr>
          <w:rFonts w:ascii="Times New Roman" w:hAnsi="Times New Roman"/>
          <w:sz w:val="28"/>
          <w:szCs w:val="28"/>
        </w:rPr>
      </w:pPr>
      <w:r w:rsidRPr="00B1367D">
        <w:rPr>
          <w:rFonts w:ascii="Times New Roman" w:hAnsi="Times New Roman"/>
          <w:sz w:val="28"/>
          <w:szCs w:val="28"/>
        </w:rPr>
        <w:t>The appointment by the plaintiff of the first defendant as lead consultant for the development of a comprehensive communication and marketing strategy for the</w:t>
      </w:r>
      <w:r w:rsidR="00AC0863" w:rsidRPr="00B1367D">
        <w:rPr>
          <w:rFonts w:ascii="Times New Roman" w:hAnsi="Times New Roman"/>
          <w:sz w:val="28"/>
          <w:szCs w:val="28"/>
        </w:rPr>
        <w:t xml:space="preserve"> </w:t>
      </w:r>
      <w:r w:rsidR="00AC0863" w:rsidRPr="00B1367D">
        <w:rPr>
          <w:rFonts w:ascii="Times New Roman" w:hAnsi="Times New Roman"/>
          <w:color w:val="000000"/>
          <w:sz w:val="28"/>
          <w:szCs w:val="28"/>
        </w:rPr>
        <w:t xml:space="preserve">Integrated Public Transport System (“IPTS”) project is </w:t>
      </w:r>
      <w:r w:rsidR="00AC0863" w:rsidRPr="00B1367D">
        <w:rPr>
          <w:rFonts w:ascii="Times New Roman" w:hAnsi="Times New Roman"/>
          <w:sz w:val="28"/>
          <w:szCs w:val="28"/>
        </w:rPr>
        <w:t xml:space="preserve">declared unlawful, invalid and void </w:t>
      </w:r>
      <w:r w:rsidR="00AC0863" w:rsidRPr="00B1367D">
        <w:rPr>
          <w:rFonts w:ascii="Times New Roman" w:hAnsi="Times New Roman"/>
          <w:i/>
          <w:sz w:val="28"/>
          <w:szCs w:val="28"/>
        </w:rPr>
        <w:t>ab initio</w:t>
      </w:r>
      <w:r w:rsidR="00AC0863" w:rsidRPr="00B1367D">
        <w:rPr>
          <w:rFonts w:ascii="Times New Roman" w:hAnsi="Times New Roman"/>
          <w:sz w:val="28"/>
          <w:szCs w:val="28"/>
        </w:rPr>
        <w:t>;</w:t>
      </w:r>
    </w:p>
    <w:p w:rsidR="00B800F5" w:rsidRPr="007C44BB" w:rsidRDefault="002C0FFC" w:rsidP="00B1367D">
      <w:pPr>
        <w:pStyle w:val="LegalList1"/>
        <w:numPr>
          <w:ilvl w:val="0"/>
          <w:numId w:val="5"/>
        </w:numPr>
        <w:spacing w:line="360" w:lineRule="auto"/>
        <w:rPr>
          <w:rFonts w:ascii="Times New Roman" w:hAnsi="Times New Roman"/>
          <w:sz w:val="28"/>
          <w:szCs w:val="28"/>
        </w:rPr>
      </w:pPr>
      <w:r w:rsidRPr="00B1367D">
        <w:rPr>
          <w:rFonts w:ascii="Times New Roman" w:hAnsi="Times New Roman"/>
          <w:color w:val="000000"/>
          <w:sz w:val="28"/>
          <w:szCs w:val="28"/>
        </w:rPr>
        <w:t xml:space="preserve">The costs of this claim including the costs of two counsel shall be paid jointly and severally by </w:t>
      </w:r>
      <w:r w:rsidR="007F7E21" w:rsidRPr="00B1367D">
        <w:rPr>
          <w:rFonts w:ascii="Times New Roman" w:hAnsi="Times New Roman"/>
          <w:color w:val="000000"/>
          <w:sz w:val="28"/>
          <w:szCs w:val="28"/>
        </w:rPr>
        <w:t>the defendants, the one paying the other(s)</w:t>
      </w:r>
      <w:r w:rsidR="00220338">
        <w:rPr>
          <w:rFonts w:ascii="Times New Roman" w:hAnsi="Times New Roman"/>
          <w:color w:val="000000"/>
          <w:sz w:val="28"/>
          <w:szCs w:val="28"/>
        </w:rPr>
        <w:t xml:space="preserve"> to be absolved; such costs are to include those occasioned by the postponement of the trial on 9 November 2020;</w:t>
      </w:r>
    </w:p>
    <w:p w:rsidR="007C44BB" w:rsidRPr="00B1367D" w:rsidRDefault="007C44BB" w:rsidP="007C44BB">
      <w:pPr>
        <w:pStyle w:val="LegalList1"/>
        <w:spacing w:line="360" w:lineRule="auto"/>
        <w:ind w:left="2160"/>
        <w:rPr>
          <w:rFonts w:ascii="Times New Roman" w:hAnsi="Times New Roman"/>
          <w:sz w:val="28"/>
          <w:szCs w:val="28"/>
        </w:rPr>
      </w:pPr>
    </w:p>
    <w:p w:rsidR="007F7E21" w:rsidRPr="00B13E3E" w:rsidRDefault="00E02221" w:rsidP="00E02221">
      <w:pPr>
        <w:pStyle w:val="LegalList1"/>
        <w:spacing w:line="360" w:lineRule="auto"/>
        <w:ind w:firstLine="720"/>
        <w:rPr>
          <w:rFonts w:ascii="Times New Roman" w:hAnsi="Times New Roman"/>
          <w:sz w:val="28"/>
          <w:szCs w:val="28"/>
        </w:rPr>
      </w:pPr>
      <w:r w:rsidRPr="003D5F9E">
        <w:rPr>
          <w:rFonts w:ascii="Times New Roman" w:hAnsi="Times New Roman"/>
          <w:color w:val="000000"/>
          <w:sz w:val="28"/>
          <w:szCs w:val="28"/>
        </w:rPr>
        <w:t>101.2</w:t>
      </w:r>
      <w:r w:rsidRPr="003D5F9E">
        <w:rPr>
          <w:rFonts w:ascii="Times New Roman" w:hAnsi="Times New Roman"/>
          <w:color w:val="000000"/>
          <w:sz w:val="28"/>
          <w:szCs w:val="28"/>
        </w:rPr>
        <w:tab/>
      </w:r>
      <w:r w:rsidR="00984D01">
        <w:rPr>
          <w:rFonts w:ascii="Times New Roman" w:hAnsi="Times New Roman"/>
          <w:color w:val="000000"/>
          <w:sz w:val="28"/>
          <w:szCs w:val="28"/>
        </w:rPr>
        <w:tab/>
      </w:r>
      <w:r w:rsidR="007F7E21" w:rsidRPr="007F7E21">
        <w:rPr>
          <w:rFonts w:ascii="Times New Roman" w:hAnsi="Times New Roman"/>
          <w:color w:val="000000"/>
          <w:sz w:val="28"/>
          <w:szCs w:val="28"/>
          <w:u w:val="single"/>
        </w:rPr>
        <w:t>In relation to the plaintiff’s second claim</w:t>
      </w:r>
      <w:r w:rsidR="007F7E21">
        <w:rPr>
          <w:rFonts w:ascii="Times New Roman" w:hAnsi="Times New Roman"/>
          <w:color w:val="000000"/>
          <w:sz w:val="28"/>
          <w:szCs w:val="28"/>
        </w:rPr>
        <w:t>:</w:t>
      </w:r>
    </w:p>
    <w:p w:rsidR="00B800F5" w:rsidRPr="00FD4DEC" w:rsidRDefault="00FD4DEC" w:rsidP="00984D01">
      <w:pPr>
        <w:pStyle w:val="LegalList1"/>
        <w:spacing w:line="360" w:lineRule="auto"/>
        <w:ind w:left="2160"/>
        <w:rPr>
          <w:rFonts w:ascii="Times New Roman" w:hAnsi="Times New Roman"/>
          <w:sz w:val="28"/>
          <w:szCs w:val="28"/>
        </w:rPr>
      </w:pPr>
      <w:r>
        <w:rPr>
          <w:rFonts w:ascii="Times New Roman" w:hAnsi="Times New Roman"/>
          <w:color w:val="000000"/>
          <w:sz w:val="28"/>
          <w:szCs w:val="28"/>
        </w:rPr>
        <w:t>The plaintiff is granted judgment against the first, second and fifth defendants jointly and severally for:</w:t>
      </w:r>
    </w:p>
    <w:p w:rsidR="00FD4DEC" w:rsidRPr="003D5F9E" w:rsidRDefault="00F31512" w:rsidP="003D5F9E">
      <w:pPr>
        <w:pStyle w:val="LegalList1"/>
        <w:numPr>
          <w:ilvl w:val="0"/>
          <w:numId w:val="6"/>
        </w:numPr>
        <w:spacing w:line="360" w:lineRule="auto"/>
        <w:rPr>
          <w:rFonts w:ascii="Times New Roman" w:hAnsi="Times New Roman"/>
          <w:sz w:val="28"/>
          <w:szCs w:val="28"/>
        </w:rPr>
      </w:pPr>
      <w:r>
        <w:rPr>
          <w:rFonts w:ascii="Times New Roman" w:hAnsi="Times New Roman"/>
          <w:color w:val="000000"/>
          <w:sz w:val="28"/>
          <w:szCs w:val="28"/>
        </w:rPr>
        <w:t>Payment of the sum of R5 263</w:t>
      </w:r>
      <w:r w:rsidR="00FD4DEC">
        <w:rPr>
          <w:rFonts w:ascii="Times New Roman" w:hAnsi="Times New Roman"/>
          <w:color w:val="000000"/>
          <w:sz w:val="28"/>
          <w:szCs w:val="28"/>
        </w:rPr>
        <w:t> 179.89;</w:t>
      </w:r>
    </w:p>
    <w:p w:rsidR="00FD4DEC" w:rsidRPr="003D5F9E" w:rsidRDefault="00FD4DEC" w:rsidP="003D5F9E">
      <w:pPr>
        <w:pStyle w:val="LegalList1"/>
        <w:numPr>
          <w:ilvl w:val="0"/>
          <w:numId w:val="6"/>
        </w:numPr>
        <w:spacing w:line="360" w:lineRule="auto"/>
        <w:rPr>
          <w:rFonts w:ascii="Times New Roman" w:hAnsi="Times New Roman"/>
          <w:sz w:val="28"/>
          <w:szCs w:val="28"/>
        </w:rPr>
      </w:pPr>
      <w:r w:rsidRPr="003D5F9E">
        <w:rPr>
          <w:rFonts w:ascii="Times New Roman" w:hAnsi="Times New Roman"/>
          <w:color w:val="000000"/>
          <w:sz w:val="28"/>
          <w:szCs w:val="28"/>
        </w:rPr>
        <w:t>Payment of the sum of R1 390 800.00;</w:t>
      </w:r>
    </w:p>
    <w:p w:rsidR="00FD4DEC" w:rsidRPr="003D5F9E" w:rsidRDefault="00FD4DEC" w:rsidP="003D5F9E">
      <w:pPr>
        <w:pStyle w:val="LegalList1"/>
        <w:numPr>
          <w:ilvl w:val="0"/>
          <w:numId w:val="6"/>
        </w:numPr>
        <w:spacing w:line="360" w:lineRule="auto"/>
        <w:rPr>
          <w:rFonts w:ascii="Times New Roman" w:hAnsi="Times New Roman"/>
          <w:sz w:val="28"/>
          <w:szCs w:val="28"/>
        </w:rPr>
      </w:pPr>
      <w:r w:rsidRPr="003D5F9E">
        <w:rPr>
          <w:rFonts w:ascii="Times New Roman" w:hAnsi="Times New Roman"/>
          <w:color w:val="000000"/>
          <w:sz w:val="28"/>
          <w:szCs w:val="28"/>
        </w:rPr>
        <w:t>Payment of the sum of R984 197.21</w:t>
      </w:r>
      <w:r w:rsidR="00361876" w:rsidRPr="003D5F9E">
        <w:rPr>
          <w:rFonts w:ascii="Times New Roman" w:hAnsi="Times New Roman"/>
          <w:color w:val="000000"/>
          <w:sz w:val="28"/>
          <w:szCs w:val="28"/>
        </w:rPr>
        <w:t>;</w:t>
      </w:r>
    </w:p>
    <w:p w:rsidR="00361876" w:rsidRPr="003D5F9E" w:rsidRDefault="00361876" w:rsidP="003D5F9E">
      <w:pPr>
        <w:pStyle w:val="LegalList1"/>
        <w:numPr>
          <w:ilvl w:val="0"/>
          <w:numId w:val="6"/>
        </w:numPr>
        <w:spacing w:line="360" w:lineRule="auto"/>
        <w:rPr>
          <w:rFonts w:ascii="Times New Roman" w:hAnsi="Times New Roman"/>
          <w:sz w:val="28"/>
          <w:szCs w:val="28"/>
        </w:rPr>
      </w:pPr>
      <w:r w:rsidRPr="003D5F9E">
        <w:rPr>
          <w:rFonts w:ascii="Times New Roman" w:hAnsi="Times New Roman"/>
          <w:color w:val="000000"/>
          <w:sz w:val="28"/>
          <w:szCs w:val="28"/>
        </w:rPr>
        <w:t>Interest on the aforesaid sums at the prescribed legal rate from date of summons to date of payment;</w:t>
      </w:r>
    </w:p>
    <w:p w:rsidR="00361876" w:rsidRPr="003D5F9E" w:rsidRDefault="00361876" w:rsidP="003D5F9E">
      <w:pPr>
        <w:pStyle w:val="LegalList1"/>
        <w:numPr>
          <w:ilvl w:val="0"/>
          <w:numId w:val="6"/>
        </w:numPr>
        <w:spacing w:line="360" w:lineRule="auto"/>
        <w:rPr>
          <w:rFonts w:ascii="Times New Roman" w:hAnsi="Times New Roman"/>
          <w:sz w:val="28"/>
          <w:szCs w:val="28"/>
        </w:rPr>
      </w:pPr>
      <w:r w:rsidRPr="003D5F9E">
        <w:rPr>
          <w:rFonts w:ascii="Times New Roman" w:hAnsi="Times New Roman"/>
          <w:color w:val="000000"/>
          <w:sz w:val="28"/>
          <w:szCs w:val="28"/>
        </w:rPr>
        <w:t>The costs of this claim including the costs of two counsel shall be paid jointly and severally by the defendants, the one paying the other(s)</w:t>
      </w:r>
      <w:r w:rsidR="007B6907" w:rsidRPr="003D5F9E">
        <w:rPr>
          <w:rFonts w:ascii="Times New Roman" w:hAnsi="Times New Roman"/>
          <w:color w:val="000000"/>
          <w:sz w:val="28"/>
          <w:szCs w:val="28"/>
        </w:rPr>
        <w:t xml:space="preserve"> to be absolved</w:t>
      </w:r>
      <w:r w:rsidR="00F31512">
        <w:rPr>
          <w:rFonts w:ascii="Times New Roman" w:hAnsi="Times New Roman"/>
          <w:color w:val="000000"/>
          <w:sz w:val="28"/>
          <w:szCs w:val="28"/>
        </w:rPr>
        <w:t>;</w:t>
      </w:r>
      <w:r w:rsidR="00F31512" w:rsidRPr="00F31512">
        <w:rPr>
          <w:rFonts w:ascii="Times New Roman" w:hAnsi="Times New Roman"/>
          <w:color w:val="000000"/>
          <w:sz w:val="28"/>
          <w:szCs w:val="28"/>
        </w:rPr>
        <w:t xml:space="preserve"> </w:t>
      </w:r>
      <w:r w:rsidR="00F31512">
        <w:rPr>
          <w:rFonts w:ascii="Times New Roman" w:hAnsi="Times New Roman"/>
          <w:color w:val="000000"/>
          <w:sz w:val="28"/>
          <w:szCs w:val="28"/>
        </w:rPr>
        <w:t>such costs are to include those occasioned by the postponement of the trial on 9 November 2020;</w:t>
      </w:r>
    </w:p>
    <w:p w:rsidR="00361876" w:rsidRPr="00B13E3E" w:rsidRDefault="00361876" w:rsidP="00320541">
      <w:pPr>
        <w:pStyle w:val="LegalList1"/>
        <w:spacing w:line="360" w:lineRule="auto"/>
        <w:ind w:left="1440"/>
        <w:rPr>
          <w:rFonts w:ascii="Times New Roman" w:hAnsi="Times New Roman"/>
          <w:sz w:val="28"/>
          <w:szCs w:val="28"/>
        </w:rPr>
      </w:pPr>
      <w:r>
        <w:rPr>
          <w:rFonts w:ascii="Times New Roman" w:hAnsi="Times New Roman"/>
          <w:sz w:val="28"/>
          <w:szCs w:val="28"/>
        </w:rPr>
        <w:t>Alternatively</w:t>
      </w:r>
      <w:r w:rsidR="00320541">
        <w:rPr>
          <w:rFonts w:ascii="Times New Roman" w:hAnsi="Times New Roman"/>
          <w:sz w:val="28"/>
          <w:szCs w:val="28"/>
        </w:rPr>
        <w:t xml:space="preserve">, </w:t>
      </w:r>
      <w:r w:rsidR="007B6907">
        <w:rPr>
          <w:rFonts w:ascii="Times New Roman" w:hAnsi="Times New Roman"/>
          <w:sz w:val="28"/>
          <w:szCs w:val="28"/>
        </w:rPr>
        <w:t>the plaintiff is granted judgment against the third defendant for:</w:t>
      </w:r>
    </w:p>
    <w:p w:rsidR="007B6907" w:rsidRPr="00FD4DEC" w:rsidRDefault="00034D34" w:rsidP="00696836">
      <w:pPr>
        <w:pStyle w:val="LegalList1"/>
        <w:spacing w:line="360" w:lineRule="auto"/>
        <w:ind w:left="1440" w:firstLine="720"/>
        <w:rPr>
          <w:rFonts w:ascii="Times New Roman" w:hAnsi="Times New Roman"/>
          <w:sz w:val="28"/>
          <w:szCs w:val="28"/>
        </w:rPr>
      </w:pPr>
      <w:r>
        <w:rPr>
          <w:rFonts w:ascii="Times New Roman" w:hAnsi="Times New Roman"/>
          <w:color w:val="000000"/>
          <w:sz w:val="28"/>
          <w:szCs w:val="28"/>
        </w:rPr>
        <w:t>(i)</w:t>
      </w:r>
      <w:r>
        <w:rPr>
          <w:rFonts w:ascii="Times New Roman" w:hAnsi="Times New Roman"/>
          <w:color w:val="000000"/>
          <w:sz w:val="28"/>
          <w:szCs w:val="28"/>
        </w:rPr>
        <w:tab/>
      </w:r>
      <w:r w:rsidR="007B6907">
        <w:rPr>
          <w:rFonts w:ascii="Times New Roman" w:hAnsi="Times New Roman"/>
          <w:color w:val="000000"/>
          <w:sz w:val="28"/>
          <w:szCs w:val="28"/>
        </w:rPr>
        <w:t>Payment of the sum of R5 26</w:t>
      </w:r>
      <w:r w:rsidR="00F31512">
        <w:rPr>
          <w:rFonts w:ascii="Times New Roman" w:hAnsi="Times New Roman"/>
          <w:color w:val="000000"/>
          <w:sz w:val="28"/>
          <w:szCs w:val="28"/>
        </w:rPr>
        <w:t>3</w:t>
      </w:r>
      <w:r w:rsidR="007B6907">
        <w:rPr>
          <w:rFonts w:ascii="Times New Roman" w:hAnsi="Times New Roman"/>
          <w:color w:val="000000"/>
          <w:sz w:val="28"/>
          <w:szCs w:val="28"/>
        </w:rPr>
        <w:t> 179.89;</w:t>
      </w:r>
    </w:p>
    <w:p w:rsidR="007B6907" w:rsidRPr="00FD4DEC" w:rsidRDefault="00034D34" w:rsidP="00696836">
      <w:pPr>
        <w:pStyle w:val="LegalList1"/>
        <w:spacing w:line="360" w:lineRule="auto"/>
        <w:ind w:left="1440" w:firstLine="720"/>
        <w:rPr>
          <w:rFonts w:ascii="Times New Roman" w:hAnsi="Times New Roman"/>
          <w:sz w:val="28"/>
          <w:szCs w:val="28"/>
        </w:rPr>
      </w:pPr>
      <w:r>
        <w:rPr>
          <w:rFonts w:ascii="Times New Roman" w:hAnsi="Times New Roman"/>
          <w:color w:val="000000"/>
          <w:sz w:val="28"/>
          <w:szCs w:val="28"/>
        </w:rPr>
        <w:t>(ii)</w:t>
      </w:r>
      <w:r>
        <w:rPr>
          <w:rFonts w:ascii="Times New Roman" w:hAnsi="Times New Roman"/>
          <w:color w:val="000000"/>
          <w:sz w:val="28"/>
          <w:szCs w:val="28"/>
        </w:rPr>
        <w:tab/>
      </w:r>
      <w:r w:rsidR="007B6907">
        <w:rPr>
          <w:rFonts w:ascii="Times New Roman" w:hAnsi="Times New Roman"/>
          <w:color w:val="000000"/>
          <w:sz w:val="28"/>
          <w:szCs w:val="28"/>
        </w:rPr>
        <w:t>Payment of the sum of R1 390 800.00;</w:t>
      </w:r>
    </w:p>
    <w:p w:rsidR="007B6907" w:rsidRPr="00361876" w:rsidRDefault="00034D34" w:rsidP="00696836">
      <w:pPr>
        <w:pStyle w:val="LegalList1"/>
        <w:spacing w:line="360" w:lineRule="auto"/>
        <w:ind w:left="1440" w:firstLine="720"/>
        <w:rPr>
          <w:rFonts w:ascii="Times New Roman" w:hAnsi="Times New Roman"/>
          <w:sz w:val="28"/>
          <w:szCs w:val="28"/>
        </w:rPr>
      </w:pPr>
      <w:r>
        <w:rPr>
          <w:rFonts w:ascii="Times New Roman" w:hAnsi="Times New Roman"/>
          <w:color w:val="000000"/>
          <w:sz w:val="28"/>
          <w:szCs w:val="28"/>
        </w:rPr>
        <w:t>(iii)</w:t>
      </w:r>
      <w:r>
        <w:rPr>
          <w:rFonts w:ascii="Times New Roman" w:hAnsi="Times New Roman"/>
          <w:color w:val="000000"/>
          <w:sz w:val="28"/>
          <w:szCs w:val="28"/>
        </w:rPr>
        <w:tab/>
      </w:r>
      <w:r w:rsidR="007B6907">
        <w:rPr>
          <w:rFonts w:ascii="Times New Roman" w:hAnsi="Times New Roman"/>
          <w:color w:val="000000"/>
          <w:sz w:val="28"/>
          <w:szCs w:val="28"/>
        </w:rPr>
        <w:t>Payment of the sum of R984 197.21;</w:t>
      </w:r>
    </w:p>
    <w:p w:rsidR="007B6907" w:rsidRDefault="007B6907" w:rsidP="00696836">
      <w:pPr>
        <w:pStyle w:val="LegalList1"/>
        <w:numPr>
          <w:ilvl w:val="0"/>
          <w:numId w:val="3"/>
        </w:numPr>
        <w:spacing w:line="360" w:lineRule="auto"/>
        <w:ind w:left="2880"/>
        <w:rPr>
          <w:rFonts w:ascii="Times New Roman" w:hAnsi="Times New Roman"/>
          <w:color w:val="000000"/>
          <w:sz w:val="28"/>
          <w:szCs w:val="28"/>
        </w:rPr>
      </w:pPr>
      <w:r>
        <w:rPr>
          <w:rFonts w:ascii="Times New Roman" w:hAnsi="Times New Roman"/>
          <w:color w:val="000000"/>
          <w:sz w:val="28"/>
          <w:szCs w:val="28"/>
        </w:rPr>
        <w:t>Interest on the aforesaid sums at the prescribed legal rate from date of summons to date of payment;</w:t>
      </w:r>
    </w:p>
    <w:p w:rsidR="00B800F5" w:rsidRPr="007A29DA" w:rsidRDefault="007B6907" w:rsidP="00696836">
      <w:pPr>
        <w:pStyle w:val="LegalList1"/>
        <w:numPr>
          <w:ilvl w:val="0"/>
          <w:numId w:val="3"/>
        </w:numPr>
        <w:spacing w:line="360" w:lineRule="auto"/>
        <w:ind w:left="2880"/>
        <w:rPr>
          <w:rFonts w:ascii="Times New Roman" w:hAnsi="Times New Roman"/>
          <w:color w:val="000000"/>
          <w:sz w:val="28"/>
          <w:szCs w:val="28"/>
        </w:rPr>
      </w:pPr>
      <w:r w:rsidRPr="007A29DA">
        <w:rPr>
          <w:rFonts w:ascii="Times New Roman" w:hAnsi="Times New Roman"/>
          <w:color w:val="000000"/>
          <w:sz w:val="28"/>
          <w:szCs w:val="28"/>
        </w:rPr>
        <w:t>The costs of this claim inc</w:t>
      </w:r>
      <w:r w:rsidR="005E6899">
        <w:rPr>
          <w:rFonts w:ascii="Times New Roman" w:hAnsi="Times New Roman"/>
          <w:color w:val="000000"/>
          <w:sz w:val="28"/>
          <w:szCs w:val="28"/>
        </w:rPr>
        <w:t>luding the costs of two counsel;</w:t>
      </w:r>
      <w:r w:rsidR="005E6899" w:rsidRPr="005E6899">
        <w:rPr>
          <w:rFonts w:ascii="Times New Roman" w:hAnsi="Times New Roman"/>
          <w:color w:val="000000"/>
          <w:sz w:val="28"/>
          <w:szCs w:val="28"/>
        </w:rPr>
        <w:t xml:space="preserve"> </w:t>
      </w:r>
      <w:r w:rsidR="005E6899">
        <w:rPr>
          <w:rFonts w:ascii="Times New Roman" w:hAnsi="Times New Roman"/>
          <w:color w:val="000000"/>
          <w:sz w:val="28"/>
          <w:szCs w:val="28"/>
        </w:rPr>
        <w:t>such costs are to include those occasioned by the postponement of the trial on 9 November 2020;</w:t>
      </w:r>
    </w:p>
    <w:p w:rsidR="00B800F5" w:rsidRPr="007B6907" w:rsidRDefault="00320541" w:rsidP="00320541">
      <w:pPr>
        <w:pStyle w:val="LegalList1"/>
        <w:spacing w:line="360" w:lineRule="auto"/>
        <w:ind w:firstLine="720"/>
        <w:rPr>
          <w:rFonts w:ascii="Times New Roman" w:hAnsi="Times New Roman"/>
          <w:sz w:val="28"/>
          <w:szCs w:val="28"/>
        </w:rPr>
      </w:pPr>
      <w:r w:rsidRPr="00320541">
        <w:rPr>
          <w:rFonts w:ascii="Times New Roman" w:hAnsi="Times New Roman"/>
          <w:color w:val="000000"/>
          <w:sz w:val="28"/>
          <w:szCs w:val="28"/>
        </w:rPr>
        <w:t>101.3</w:t>
      </w:r>
      <w:r w:rsidRPr="00320541">
        <w:rPr>
          <w:rFonts w:ascii="Times New Roman" w:hAnsi="Times New Roman"/>
          <w:color w:val="000000"/>
          <w:sz w:val="28"/>
          <w:szCs w:val="28"/>
        </w:rPr>
        <w:tab/>
      </w:r>
      <w:r w:rsidRPr="00320541">
        <w:rPr>
          <w:rFonts w:ascii="Times New Roman" w:hAnsi="Times New Roman"/>
          <w:color w:val="000000"/>
          <w:sz w:val="28"/>
          <w:szCs w:val="28"/>
        </w:rPr>
        <w:tab/>
      </w:r>
      <w:r w:rsidR="007B6907" w:rsidRPr="00BF1E96">
        <w:rPr>
          <w:rFonts w:ascii="Times New Roman" w:hAnsi="Times New Roman"/>
          <w:color w:val="000000"/>
          <w:sz w:val="28"/>
          <w:szCs w:val="28"/>
          <w:u w:val="single"/>
        </w:rPr>
        <w:t>In relation to the plaintiff’s third claim</w:t>
      </w:r>
      <w:r w:rsidR="007B6907">
        <w:rPr>
          <w:rFonts w:ascii="Times New Roman" w:hAnsi="Times New Roman"/>
          <w:color w:val="000000"/>
          <w:sz w:val="28"/>
          <w:szCs w:val="28"/>
        </w:rPr>
        <w:t>:</w:t>
      </w:r>
    </w:p>
    <w:p w:rsidR="007B6907" w:rsidRPr="00B13E3E" w:rsidRDefault="002D0556" w:rsidP="00984D01">
      <w:pPr>
        <w:pStyle w:val="LegalList1"/>
        <w:spacing w:line="360" w:lineRule="auto"/>
        <w:ind w:left="2160"/>
        <w:rPr>
          <w:rFonts w:ascii="Times New Roman" w:hAnsi="Times New Roman"/>
          <w:sz w:val="28"/>
          <w:szCs w:val="28"/>
        </w:rPr>
      </w:pPr>
      <w:r>
        <w:rPr>
          <w:rFonts w:ascii="Times New Roman" w:hAnsi="Times New Roman"/>
          <w:color w:val="000000"/>
          <w:sz w:val="28"/>
          <w:szCs w:val="28"/>
        </w:rPr>
        <w:t>The plaintiff is granted judgment against the fourth defendant for:</w:t>
      </w:r>
    </w:p>
    <w:p w:rsidR="002D0556" w:rsidRPr="00320541" w:rsidRDefault="002D0556" w:rsidP="00320541">
      <w:pPr>
        <w:pStyle w:val="LegalList1"/>
        <w:numPr>
          <w:ilvl w:val="0"/>
          <w:numId w:val="7"/>
        </w:numPr>
        <w:spacing w:line="360" w:lineRule="auto"/>
        <w:rPr>
          <w:rFonts w:ascii="Times New Roman" w:hAnsi="Times New Roman"/>
          <w:sz w:val="28"/>
          <w:szCs w:val="28"/>
        </w:rPr>
      </w:pPr>
      <w:r>
        <w:rPr>
          <w:rFonts w:ascii="Times New Roman" w:hAnsi="Times New Roman"/>
          <w:color w:val="000000"/>
          <w:sz w:val="28"/>
          <w:szCs w:val="28"/>
        </w:rPr>
        <w:t>Payment of the sum of R5 26</w:t>
      </w:r>
      <w:r w:rsidR="005E6899">
        <w:rPr>
          <w:rFonts w:ascii="Times New Roman" w:hAnsi="Times New Roman"/>
          <w:color w:val="000000"/>
          <w:sz w:val="28"/>
          <w:szCs w:val="28"/>
        </w:rPr>
        <w:t>3</w:t>
      </w:r>
      <w:r>
        <w:rPr>
          <w:rFonts w:ascii="Times New Roman" w:hAnsi="Times New Roman"/>
          <w:color w:val="000000"/>
          <w:sz w:val="28"/>
          <w:szCs w:val="28"/>
        </w:rPr>
        <w:t> 179.89;</w:t>
      </w:r>
    </w:p>
    <w:p w:rsidR="002D0556" w:rsidRPr="00320541" w:rsidRDefault="002D0556" w:rsidP="00320541">
      <w:pPr>
        <w:pStyle w:val="LegalList1"/>
        <w:numPr>
          <w:ilvl w:val="0"/>
          <w:numId w:val="7"/>
        </w:numPr>
        <w:spacing w:line="360" w:lineRule="auto"/>
        <w:rPr>
          <w:rFonts w:ascii="Times New Roman" w:hAnsi="Times New Roman"/>
          <w:sz w:val="28"/>
          <w:szCs w:val="28"/>
        </w:rPr>
      </w:pPr>
      <w:r w:rsidRPr="00320541">
        <w:rPr>
          <w:rFonts w:ascii="Times New Roman" w:hAnsi="Times New Roman"/>
          <w:color w:val="000000"/>
          <w:sz w:val="28"/>
          <w:szCs w:val="28"/>
        </w:rPr>
        <w:t>Payment of the sum of R1 390 800.00;</w:t>
      </w:r>
    </w:p>
    <w:p w:rsidR="002D0556" w:rsidRPr="00320541" w:rsidRDefault="002D0556" w:rsidP="00320541">
      <w:pPr>
        <w:pStyle w:val="LegalList1"/>
        <w:numPr>
          <w:ilvl w:val="0"/>
          <w:numId w:val="7"/>
        </w:numPr>
        <w:spacing w:line="360" w:lineRule="auto"/>
        <w:rPr>
          <w:rFonts w:ascii="Times New Roman" w:hAnsi="Times New Roman"/>
          <w:sz w:val="28"/>
          <w:szCs w:val="28"/>
        </w:rPr>
      </w:pPr>
      <w:r w:rsidRPr="00320541">
        <w:rPr>
          <w:rFonts w:ascii="Times New Roman" w:hAnsi="Times New Roman"/>
          <w:color w:val="000000"/>
          <w:sz w:val="28"/>
          <w:szCs w:val="28"/>
        </w:rPr>
        <w:t>Interest on the aforesaid sums at the prescribed legal rate from date of summons to date of payment;</w:t>
      </w:r>
    </w:p>
    <w:p w:rsidR="00EF58A5" w:rsidRPr="00AC60D4" w:rsidRDefault="00EF58A5" w:rsidP="00AC60D4">
      <w:pPr>
        <w:pStyle w:val="LegalList1"/>
        <w:numPr>
          <w:ilvl w:val="0"/>
          <w:numId w:val="7"/>
        </w:numPr>
        <w:spacing w:line="360" w:lineRule="auto"/>
        <w:rPr>
          <w:rFonts w:ascii="Times New Roman" w:hAnsi="Times New Roman"/>
          <w:sz w:val="28"/>
          <w:szCs w:val="28"/>
        </w:rPr>
      </w:pPr>
      <w:r w:rsidRPr="00AC60D4">
        <w:rPr>
          <w:rFonts w:ascii="Times New Roman" w:hAnsi="Times New Roman"/>
          <w:color w:val="000000"/>
          <w:sz w:val="28"/>
          <w:szCs w:val="28"/>
        </w:rPr>
        <w:t>The costs of this claim including the costs of two counsel</w:t>
      </w:r>
      <w:r w:rsidR="005E6899">
        <w:rPr>
          <w:rFonts w:ascii="Times New Roman" w:hAnsi="Times New Roman"/>
          <w:color w:val="000000"/>
          <w:sz w:val="28"/>
          <w:szCs w:val="28"/>
        </w:rPr>
        <w:t>;</w:t>
      </w:r>
      <w:r w:rsidR="005E6899" w:rsidRPr="005E6899">
        <w:rPr>
          <w:rFonts w:ascii="Times New Roman" w:hAnsi="Times New Roman"/>
          <w:color w:val="000000"/>
          <w:sz w:val="28"/>
          <w:szCs w:val="28"/>
        </w:rPr>
        <w:t xml:space="preserve"> </w:t>
      </w:r>
      <w:r w:rsidR="005E6899">
        <w:rPr>
          <w:rFonts w:ascii="Times New Roman" w:hAnsi="Times New Roman"/>
          <w:color w:val="000000"/>
          <w:sz w:val="28"/>
          <w:szCs w:val="28"/>
        </w:rPr>
        <w:t>such costs are to include those occasioned by the postponement of the trial on 9 November 2020;</w:t>
      </w:r>
    </w:p>
    <w:p w:rsidR="00B800F5" w:rsidRPr="00AC60D4" w:rsidRDefault="00EF58A5" w:rsidP="00B026DC">
      <w:pPr>
        <w:pStyle w:val="LegalList1"/>
        <w:spacing w:line="360" w:lineRule="auto"/>
        <w:ind w:left="2160"/>
        <w:rPr>
          <w:rFonts w:ascii="Times New Roman" w:hAnsi="Times New Roman"/>
          <w:sz w:val="28"/>
          <w:szCs w:val="28"/>
        </w:rPr>
      </w:pPr>
      <w:r w:rsidRPr="00AC60D4">
        <w:rPr>
          <w:rFonts w:ascii="Times New Roman" w:hAnsi="Times New Roman"/>
          <w:sz w:val="28"/>
          <w:szCs w:val="28"/>
        </w:rPr>
        <w:t>As against the fourth and eighth defendants jointly and severally, the one paying the other to be absolved, the plaintiff is granted judgment for:</w:t>
      </w:r>
    </w:p>
    <w:p w:rsidR="00EF58A5" w:rsidRPr="00AC60D4" w:rsidRDefault="00EF58A5" w:rsidP="00AC60D4">
      <w:pPr>
        <w:pStyle w:val="LegalList1"/>
        <w:numPr>
          <w:ilvl w:val="0"/>
          <w:numId w:val="8"/>
        </w:numPr>
        <w:spacing w:line="360" w:lineRule="auto"/>
        <w:rPr>
          <w:rFonts w:ascii="Times New Roman" w:hAnsi="Times New Roman"/>
          <w:sz w:val="28"/>
          <w:szCs w:val="28"/>
        </w:rPr>
      </w:pPr>
      <w:r>
        <w:rPr>
          <w:rFonts w:ascii="Times New Roman" w:hAnsi="Times New Roman"/>
          <w:color w:val="000000"/>
          <w:sz w:val="28"/>
          <w:szCs w:val="28"/>
        </w:rPr>
        <w:t>Payment of the sum of R984 197.21;</w:t>
      </w:r>
    </w:p>
    <w:p w:rsidR="005B6BAD" w:rsidRPr="00AC60D4" w:rsidRDefault="005B6BAD" w:rsidP="00AC60D4">
      <w:pPr>
        <w:pStyle w:val="LegalList1"/>
        <w:numPr>
          <w:ilvl w:val="0"/>
          <w:numId w:val="8"/>
        </w:numPr>
        <w:spacing w:line="360" w:lineRule="auto"/>
        <w:rPr>
          <w:rFonts w:ascii="Times New Roman" w:hAnsi="Times New Roman"/>
          <w:sz w:val="28"/>
          <w:szCs w:val="28"/>
        </w:rPr>
      </w:pPr>
      <w:r w:rsidRPr="00AC60D4">
        <w:rPr>
          <w:rFonts w:ascii="Times New Roman" w:hAnsi="Times New Roman"/>
          <w:color w:val="000000"/>
          <w:sz w:val="28"/>
          <w:szCs w:val="28"/>
        </w:rPr>
        <w:t>Interest on the aforesaid sum at the prescribed legal rate from date of summons to date of payment;</w:t>
      </w:r>
    </w:p>
    <w:p w:rsidR="005B6BAD" w:rsidRPr="00AC60D4" w:rsidRDefault="005B6BAD" w:rsidP="00AC60D4">
      <w:pPr>
        <w:pStyle w:val="LegalList1"/>
        <w:numPr>
          <w:ilvl w:val="0"/>
          <w:numId w:val="8"/>
        </w:numPr>
        <w:spacing w:line="360" w:lineRule="auto"/>
        <w:rPr>
          <w:rFonts w:ascii="Times New Roman" w:hAnsi="Times New Roman"/>
          <w:sz w:val="28"/>
          <w:szCs w:val="28"/>
        </w:rPr>
      </w:pPr>
      <w:r w:rsidRPr="00AC60D4">
        <w:rPr>
          <w:rFonts w:ascii="Times New Roman" w:hAnsi="Times New Roman"/>
          <w:color w:val="000000"/>
          <w:sz w:val="28"/>
          <w:szCs w:val="28"/>
        </w:rPr>
        <w:t>The costs of this claim including the costs of two counsel shall be paid jointly and severally by the defendants, the one paying the other to be absolved</w:t>
      </w:r>
      <w:r w:rsidR="005E6899">
        <w:rPr>
          <w:rFonts w:ascii="Times New Roman" w:hAnsi="Times New Roman"/>
          <w:color w:val="000000"/>
          <w:sz w:val="28"/>
          <w:szCs w:val="28"/>
        </w:rPr>
        <w:t>;</w:t>
      </w:r>
      <w:r w:rsidR="005E6899" w:rsidRPr="005E6899">
        <w:rPr>
          <w:rFonts w:ascii="Times New Roman" w:hAnsi="Times New Roman"/>
          <w:color w:val="000000"/>
          <w:sz w:val="28"/>
          <w:szCs w:val="28"/>
        </w:rPr>
        <w:t xml:space="preserve"> </w:t>
      </w:r>
      <w:r w:rsidR="005E6899">
        <w:rPr>
          <w:rFonts w:ascii="Times New Roman" w:hAnsi="Times New Roman"/>
          <w:color w:val="000000"/>
          <w:sz w:val="28"/>
          <w:szCs w:val="28"/>
        </w:rPr>
        <w:t>such costs are to include those occasioned by the postponement of the trial on 9 November 2020;</w:t>
      </w:r>
    </w:p>
    <w:p w:rsidR="00EF58A5" w:rsidRPr="00B13E3E" w:rsidRDefault="00C16830" w:rsidP="00C16830">
      <w:pPr>
        <w:pStyle w:val="LegalList1"/>
        <w:spacing w:line="360" w:lineRule="auto"/>
        <w:ind w:firstLine="720"/>
        <w:rPr>
          <w:rFonts w:ascii="Times New Roman" w:hAnsi="Times New Roman"/>
          <w:sz w:val="28"/>
          <w:szCs w:val="28"/>
        </w:rPr>
      </w:pPr>
      <w:r w:rsidRPr="00C16830">
        <w:rPr>
          <w:rFonts w:ascii="Times New Roman" w:hAnsi="Times New Roman"/>
          <w:sz w:val="28"/>
          <w:szCs w:val="28"/>
        </w:rPr>
        <w:t>101.4</w:t>
      </w:r>
      <w:r w:rsidRPr="00C16830">
        <w:rPr>
          <w:rFonts w:ascii="Times New Roman" w:hAnsi="Times New Roman"/>
          <w:sz w:val="28"/>
          <w:szCs w:val="28"/>
        </w:rPr>
        <w:tab/>
      </w:r>
      <w:r w:rsidRPr="00C16830">
        <w:rPr>
          <w:rFonts w:ascii="Times New Roman" w:hAnsi="Times New Roman"/>
          <w:sz w:val="28"/>
          <w:szCs w:val="28"/>
        </w:rPr>
        <w:tab/>
      </w:r>
      <w:r w:rsidR="005B6BAD" w:rsidRPr="00BF1E96">
        <w:rPr>
          <w:rFonts w:ascii="Times New Roman" w:hAnsi="Times New Roman"/>
          <w:sz w:val="28"/>
          <w:szCs w:val="28"/>
          <w:u w:val="single"/>
        </w:rPr>
        <w:t>In relation to the plaintiff’s fourth claim</w:t>
      </w:r>
      <w:r w:rsidR="005B6BAD">
        <w:rPr>
          <w:rFonts w:ascii="Times New Roman" w:hAnsi="Times New Roman"/>
          <w:sz w:val="28"/>
          <w:szCs w:val="28"/>
        </w:rPr>
        <w:t>:</w:t>
      </w:r>
    </w:p>
    <w:p w:rsidR="00A36FD8" w:rsidRDefault="00A36FD8" w:rsidP="00B026DC">
      <w:pPr>
        <w:pStyle w:val="LegalList1"/>
        <w:spacing w:line="360" w:lineRule="auto"/>
        <w:ind w:left="2160"/>
        <w:rPr>
          <w:rFonts w:ascii="Times New Roman" w:hAnsi="Times New Roman"/>
          <w:sz w:val="28"/>
          <w:szCs w:val="28"/>
        </w:rPr>
      </w:pPr>
      <w:r>
        <w:rPr>
          <w:rFonts w:ascii="Times New Roman" w:hAnsi="Times New Roman"/>
          <w:sz w:val="28"/>
          <w:szCs w:val="28"/>
        </w:rPr>
        <w:t>As against the sixth and seventh defendants jointly and severally, the one paying the other to be absolved, the plaintiff is granted judgment for:</w:t>
      </w:r>
    </w:p>
    <w:p w:rsidR="00A36FD8" w:rsidRPr="00C16830" w:rsidRDefault="00A36FD8" w:rsidP="00C16830">
      <w:pPr>
        <w:pStyle w:val="LegalList1"/>
        <w:numPr>
          <w:ilvl w:val="0"/>
          <w:numId w:val="9"/>
        </w:numPr>
        <w:spacing w:line="360" w:lineRule="auto"/>
        <w:rPr>
          <w:rFonts w:ascii="Times New Roman" w:hAnsi="Times New Roman"/>
          <w:sz w:val="28"/>
          <w:szCs w:val="28"/>
        </w:rPr>
      </w:pPr>
      <w:r>
        <w:rPr>
          <w:rFonts w:ascii="Times New Roman" w:hAnsi="Times New Roman"/>
          <w:color w:val="000000"/>
          <w:sz w:val="28"/>
          <w:szCs w:val="28"/>
        </w:rPr>
        <w:t>Payment of the sum of R1 390 800.00;</w:t>
      </w:r>
    </w:p>
    <w:p w:rsidR="00BF1E96" w:rsidRPr="00C16830" w:rsidRDefault="00BF1E96" w:rsidP="00C16830">
      <w:pPr>
        <w:pStyle w:val="LegalList1"/>
        <w:numPr>
          <w:ilvl w:val="0"/>
          <w:numId w:val="9"/>
        </w:numPr>
        <w:spacing w:line="360" w:lineRule="auto"/>
        <w:rPr>
          <w:rFonts w:ascii="Times New Roman" w:hAnsi="Times New Roman"/>
          <w:sz w:val="28"/>
          <w:szCs w:val="28"/>
        </w:rPr>
      </w:pPr>
      <w:r w:rsidRPr="00C16830">
        <w:rPr>
          <w:rFonts w:ascii="Times New Roman" w:hAnsi="Times New Roman"/>
          <w:color w:val="000000"/>
          <w:sz w:val="28"/>
          <w:szCs w:val="28"/>
        </w:rPr>
        <w:t>Interest on the aforesaid sum at the prescribed legal rate from date of summons to date of payment;</w:t>
      </w:r>
    </w:p>
    <w:p w:rsidR="00BF1E96" w:rsidRPr="00C16830" w:rsidRDefault="00BF1E96" w:rsidP="00C16830">
      <w:pPr>
        <w:pStyle w:val="LegalList1"/>
        <w:numPr>
          <w:ilvl w:val="0"/>
          <w:numId w:val="9"/>
        </w:numPr>
        <w:spacing w:line="360" w:lineRule="auto"/>
        <w:rPr>
          <w:rFonts w:ascii="Times New Roman" w:hAnsi="Times New Roman"/>
          <w:sz w:val="28"/>
          <w:szCs w:val="28"/>
        </w:rPr>
      </w:pPr>
      <w:r w:rsidRPr="00C16830">
        <w:rPr>
          <w:rFonts w:ascii="Times New Roman" w:hAnsi="Times New Roman"/>
          <w:color w:val="000000"/>
          <w:sz w:val="28"/>
          <w:szCs w:val="28"/>
        </w:rPr>
        <w:t>The costs of this claim including the costs of two counsel shall be paid jointly and severally by the defendants, the one paying the other to be absolved</w:t>
      </w:r>
      <w:r w:rsidR="005E6899">
        <w:rPr>
          <w:rFonts w:ascii="Times New Roman" w:hAnsi="Times New Roman"/>
          <w:color w:val="000000"/>
          <w:sz w:val="28"/>
          <w:szCs w:val="28"/>
        </w:rPr>
        <w:t>;</w:t>
      </w:r>
      <w:r w:rsidR="005E6899" w:rsidRPr="005E6899">
        <w:rPr>
          <w:rFonts w:ascii="Times New Roman" w:hAnsi="Times New Roman"/>
          <w:color w:val="000000"/>
          <w:sz w:val="28"/>
          <w:szCs w:val="28"/>
        </w:rPr>
        <w:t xml:space="preserve"> </w:t>
      </w:r>
      <w:r w:rsidR="005E6899">
        <w:rPr>
          <w:rFonts w:ascii="Times New Roman" w:hAnsi="Times New Roman"/>
          <w:color w:val="000000"/>
          <w:sz w:val="28"/>
          <w:szCs w:val="28"/>
        </w:rPr>
        <w:t>such costs are to include those occasioned by the postponement of the trial on 9 November 2020</w:t>
      </w:r>
      <w:r w:rsidRPr="00C16830">
        <w:rPr>
          <w:rFonts w:ascii="Times New Roman" w:hAnsi="Times New Roman"/>
          <w:color w:val="000000"/>
          <w:sz w:val="28"/>
          <w:szCs w:val="28"/>
        </w:rPr>
        <w:t>.</w:t>
      </w:r>
    </w:p>
    <w:p w:rsidR="00B800F5" w:rsidRPr="003E1D33" w:rsidRDefault="00B800F5" w:rsidP="00E375E4">
      <w:pPr>
        <w:pStyle w:val="LegalList1"/>
        <w:spacing w:line="360" w:lineRule="auto"/>
        <w:ind w:left="851"/>
        <w:rPr>
          <w:rFonts w:ascii="Times New Roman" w:hAnsi="Times New Roman"/>
          <w:sz w:val="28"/>
          <w:szCs w:val="28"/>
        </w:rPr>
      </w:pPr>
    </w:p>
    <w:p w:rsidR="00E375E4" w:rsidRPr="003E1D33" w:rsidRDefault="00E375E4" w:rsidP="003E1D33">
      <w:pPr>
        <w:spacing w:line="360" w:lineRule="auto"/>
        <w:ind w:left="851"/>
        <w:jc w:val="both"/>
        <w:rPr>
          <w:rFonts w:ascii="Times New Roman" w:hAnsi="Times New Roman" w:cs="Times New Roman"/>
          <w:sz w:val="28"/>
          <w:szCs w:val="28"/>
        </w:rPr>
      </w:pPr>
    </w:p>
    <w:p w:rsidR="003E1D33" w:rsidRPr="003E1D33" w:rsidRDefault="003E1D33" w:rsidP="003E1D33">
      <w:pPr>
        <w:spacing w:line="360" w:lineRule="auto"/>
        <w:ind w:left="851"/>
        <w:jc w:val="both"/>
        <w:rPr>
          <w:rFonts w:ascii="Times New Roman" w:hAnsi="Times New Roman" w:cs="Times New Roman"/>
          <w:sz w:val="28"/>
          <w:szCs w:val="28"/>
        </w:rPr>
      </w:pPr>
    </w:p>
    <w:p w:rsidR="003E1D33" w:rsidRPr="003E1D33" w:rsidRDefault="003E1D33" w:rsidP="003E1D33">
      <w:pPr>
        <w:spacing w:line="360" w:lineRule="auto"/>
        <w:ind w:left="851"/>
        <w:jc w:val="both"/>
        <w:rPr>
          <w:rFonts w:ascii="Times New Roman" w:hAnsi="Times New Roman" w:cs="Times New Roman"/>
          <w:sz w:val="28"/>
          <w:szCs w:val="28"/>
        </w:rPr>
      </w:pPr>
      <w:r w:rsidRPr="003E1D33">
        <w:rPr>
          <w:rFonts w:ascii="Times New Roman" w:hAnsi="Times New Roman" w:cs="Times New Roman"/>
          <w:sz w:val="28"/>
          <w:szCs w:val="28"/>
        </w:rPr>
        <w:t>_________________________</w:t>
      </w:r>
    </w:p>
    <w:p w:rsidR="003E1D33" w:rsidRPr="003E1D33" w:rsidRDefault="003E1D33" w:rsidP="003E1D33">
      <w:pPr>
        <w:spacing w:line="360" w:lineRule="auto"/>
        <w:ind w:left="851"/>
        <w:jc w:val="both"/>
        <w:rPr>
          <w:rFonts w:ascii="Times New Roman" w:hAnsi="Times New Roman" w:cs="Times New Roman"/>
          <w:b/>
          <w:sz w:val="28"/>
          <w:szCs w:val="28"/>
        </w:rPr>
      </w:pPr>
      <w:r w:rsidRPr="003E1D33">
        <w:rPr>
          <w:rFonts w:ascii="Times New Roman" w:hAnsi="Times New Roman" w:cs="Times New Roman"/>
          <w:b/>
          <w:sz w:val="28"/>
          <w:szCs w:val="28"/>
        </w:rPr>
        <w:t>S. RUGUNANAN</w:t>
      </w:r>
    </w:p>
    <w:p w:rsidR="003E1D33" w:rsidRPr="003E1D33" w:rsidRDefault="003E1D33" w:rsidP="003E1D33">
      <w:pPr>
        <w:spacing w:line="360" w:lineRule="auto"/>
        <w:ind w:left="851"/>
        <w:jc w:val="both"/>
        <w:rPr>
          <w:rFonts w:ascii="Times New Roman" w:hAnsi="Times New Roman" w:cs="Times New Roman"/>
          <w:b/>
          <w:sz w:val="28"/>
          <w:szCs w:val="28"/>
        </w:rPr>
      </w:pPr>
      <w:r w:rsidRPr="003E1D33">
        <w:rPr>
          <w:rFonts w:ascii="Times New Roman" w:hAnsi="Times New Roman" w:cs="Times New Roman"/>
          <w:b/>
          <w:sz w:val="28"/>
          <w:szCs w:val="28"/>
        </w:rPr>
        <w:t>JUDGE OF THE HIGH COURT</w:t>
      </w:r>
    </w:p>
    <w:p w:rsidR="003E1D33" w:rsidRDefault="003E1D33" w:rsidP="003E1D33">
      <w:pPr>
        <w:spacing w:line="360" w:lineRule="auto"/>
        <w:ind w:left="851"/>
        <w:jc w:val="both"/>
        <w:rPr>
          <w:rFonts w:ascii="Times New Roman" w:hAnsi="Times New Roman" w:cs="Times New Roman"/>
          <w:sz w:val="28"/>
          <w:szCs w:val="28"/>
        </w:rPr>
      </w:pPr>
    </w:p>
    <w:p w:rsidR="00344490" w:rsidRDefault="00344490" w:rsidP="003E1D33">
      <w:pPr>
        <w:spacing w:line="360" w:lineRule="auto"/>
        <w:ind w:left="851"/>
        <w:jc w:val="both"/>
        <w:rPr>
          <w:rFonts w:ascii="Times New Roman" w:hAnsi="Times New Roman" w:cs="Times New Roman"/>
          <w:sz w:val="28"/>
          <w:szCs w:val="28"/>
        </w:rPr>
      </w:pPr>
    </w:p>
    <w:p w:rsidR="005E6899" w:rsidRDefault="005E6899" w:rsidP="003E1D33">
      <w:pPr>
        <w:spacing w:line="360" w:lineRule="auto"/>
        <w:ind w:left="851"/>
        <w:jc w:val="both"/>
        <w:rPr>
          <w:rFonts w:ascii="Times New Roman" w:hAnsi="Times New Roman" w:cs="Times New Roman"/>
          <w:sz w:val="28"/>
          <w:szCs w:val="28"/>
        </w:rPr>
      </w:pPr>
    </w:p>
    <w:p w:rsidR="005E6899" w:rsidRPr="003E1D33" w:rsidRDefault="005E6899" w:rsidP="003E1D33">
      <w:pPr>
        <w:spacing w:line="360" w:lineRule="auto"/>
        <w:ind w:left="851"/>
        <w:jc w:val="both"/>
        <w:rPr>
          <w:rFonts w:ascii="Times New Roman" w:hAnsi="Times New Roman" w:cs="Times New Roman"/>
          <w:sz w:val="28"/>
          <w:szCs w:val="28"/>
        </w:rPr>
      </w:pPr>
    </w:p>
    <w:p w:rsidR="003E1D33" w:rsidRPr="003E1D33" w:rsidRDefault="003E1D33" w:rsidP="003E1D33">
      <w:pPr>
        <w:spacing w:line="240" w:lineRule="auto"/>
        <w:ind w:left="851"/>
        <w:jc w:val="both"/>
        <w:rPr>
          <w:rFonts w:ascii="Times New Roman" w:hAnsi="Times New Roman" w:cs="Times New Roman"/>
          <w:sz w:val="28"/>
          <w:szCs w:val="28"/>
        </w:rPr>
      </w:pPr>
      <w:r w:rsidRPr="003E1D33">
        <w:rPr>
          <w:rFonts w:ascii="Times New Roman" w:hAnsi="Times New Roman" w:cs="Times New Roman"/>
          <w:sz w:val="28"/>
          <w:szCs w:val="28"/>
        </w:rPr>
        <w:t>Appearances:</w:t>
      </w:r>
    </w:p>
    <w:p w:rsidR="003E1D33" w:rsidRDefault="003E1D33" w:rsidP="003E1D33">
      <w:pPr>
        <w:spacing w:line="240" w:lineRule="auto"/>
        <w:ind w:left="851"/>
        <w:jc w:val="both"/>
        <w:rPr>
          <w:rFonts w:ascii="Times New Roman" w:hAnsi="Times New Roman" w:cs="Times New Roman"/>
          <w:sz w:val="28"/>
          <w:szCs w:val="28"/>
        </w:rPr>
      </w:pPr>
    </w:p>
    <w:p w:rsidR="00344490" w:rsidRDefault="00344490" w:rsidP="003E1D33">
      <w:pPr>
        <w:spacing w:line="240" w:lineRule="auto"/>
        <w:ind w:left="851"/>
        <w:jc w:val="both"/>
        <w:rPr>
          <w:rFonts w:ascii="Times New Roman" w:hAnsi="Times New Roman" w:cs="Times New Roman"/>
          <w:sz w:val="28"/>
          <w:szCs w:val="28"/>
        </w:rPr>
      </w:pPr>
    </w:p>
    <w:p w:rsidR="00694CE5" w:rsidRPr="003E1D33" w:rsidRDefault="00694CE5" w:rsidP="003E1D33">
      <w:pPr>
        <w:spacing w:line="240" w:lineRule="auto"/>
        <w:ind w:left="851"/>
        <w:jc w:val="both"/>
        <w:rPr>
          <w:rFonts w:ascii="Times New Roman" w:hAnsi="Times New Roman" w:cs="Times New Roman"/>
          <w:sz w:val="28"/>
          <w:szCs w:val="28"/>
        </w:rPr>
      </w:pPr>
    </w:p>
    <w:p w:rsidR="003E1D33" w:rsidRPr="003E1D33" w:rsidRDefault="003E1D33" w:rsidP="003E1D33">
      <w:pPr>
        <w:spacing w:line="240" w:lineRule="auto"/>
        <w:ind w:left="851"/>
        <w:jc w:val="both"/>
        <w:rPr>
          <w:rFonts w:ascii="Times New Roman" w:hAnsi="Times New Roman" w:cs="Times New Roman"/>
          <w:sz w:val="28"/>
          <w:szCs w:val="28"/>
        </w:rPr>
      </w:pPr>
      <w:r w:rsidRPr="003E1D33">
        <w:rPr>
          <w:rFonts w:ascii="Times New Roman" w:hAnsi="Times New Roman" w:cs="Times New Roman"/>
          <w:sz w:val="28"/>
          <w:szCs w:val="28"/>
        </w:rPr>
        <w:t xml:space="preserve">For the </w:t>
      </w:r>
      <w:r>
        <w:rPr>
          <w:rFonts w:ascii="Times New Roman" w:hAnsi="Times New Roman" w:cs="Times New Roman"/>
          <w:sz w:val="28"/>
          <w:szCs w:val="28"/>
        </w:rPr>
        <w:t>Plaintiff</w:t>
      </w:r>
      <w:r w:rsidRPr="003E1D33">
        <w:rPr>
          <w:rFonts w:ascii="Times New Roman" w:hAnsi="Times New Roman" w:cs="Times New Roman"/>
          <w:sz w:val="28"/>
          <w:szCs w:val="28"/>
        </w:rPr>
        <w:t>:</w:t>
      </w:r>
      <w:r w:rsidRPr="003E1D33">
        <w:rPr>
          <w:rFonts w:ascii="Times New Roman" w:hAnsi="Times New Roman" w:cs="Times New Roman"/>
          <w:sz w:val="28"/>
          <w:szCs w:val="28"/>
        </w:rPr>
        <w:tab/>
      </w:r>
      <w:r w:rsidRPr="003E1D33">
        <w:rPr>
          <w:rFonts w:ascii="Times New Roman" w:hAnsi="Times New Roman" w:cs="Times New Roman"/>
          <w:sz w:val="28"/>
          <w:szCs w:val="28"/>
        </w:rPr>
        <w:tab/>
      </w:r>
      <w:r>
        <w:rPr>
          <w:rFonts w:ascii="Times New Roman" w:hAnsi="Times New Roman" w:cs="Times New Roman"/>
          <w:sz w:val="28"/>
          <w:szCs w:val="28"/>
        </w:rPr>
        <w:tab/>
        <w:t>R.G. Buchanan SC and J.G</w:t>
      </w:r>
      <w:r w:rsidR="008E35F9">
        <w:rPr>
          <w:rFonts w:ascii="Times New Roman" w:hAnsi="Times New Roman" w:cs="Times New Roman"/>
          <w:sz w:val="28"/>
          <w:szCs w:val="28"/>
        </w:rPr>
        <w:t>. Richards</w:t>
      </w:r>
    </w:p>
    <w:p w:rsidR="003E1D33" w:rsidRPr="003E1D33" w:rsidRDefault="003E1D33" w:rsidP="003E1D33">
      <w:pPr>
        <w:spacing w:line="240" w:lineRule="auto"/>
        <w:ind w:left="3731" w:firstLine="589"/>
        <w:jc w:val="both"/>
        <w:rPr>
          <w:rFonts w:ascii="Times New Roman" w:hAnsi="Times New Roman" w:cs="Times New Roman"/>
          <w:sz w:val="28"/>
          <w:szCs w:val="28"/>
        </w:rPr>
      </w:pPr>
      <w:r w:rsidRPr="003E1D33">
        <w:rPr>
          <w:rFonts w:ascii="Times New Roman" w:hAnsi="Times New Roman" w:cs="Times New Roman"/>
          <w:sz w:val="28"/>
          <w:szCs w:val="28"/>
        </w:rPr>
        <w:t>Instructed by</w:t>
      </w:r>
    </w:p>
    <w:p w:rsidR="003E1D33" w:rsidRPr="003E1D33" w:rsidRDefault="008E35F9" w:rsidP="003E1D33">
      <w:pPr>
        <w:spacing w:line="240" w:lineRule="auto"/>
        <w:ind w:left="3731" w:firstLine="589"/>
        <w:jc w:val="both"/>
        <w:rPr>
          <w:rFonts w:ascii="Times New Roman" w:hAnsi="Times New Roman" w:cs="Times New Roman"/>
          <w:sz w:val="28"/>
          <w:szCs w:val="28"/>
        </w:rPr>
      </w:pPr>
      <w:r>
        <w:rPr>
          <w:rFonts w:ascii="Times New Roman" w:hAnsi="Times New Roman" w:cs="Times New Roman"/>
          <w:sz w:val="28"/>
          <w:szCs w:val="28"/>
        </w:rPr>
        <w:t>GRAY MOODLIAR INC.</w:t>
      </w:r>
    </w:p>
    <w:p w:rsidR="003E1D33" w:rsidRPr="003E1D33" w:rsidRDefault="008E35F9" w:rsidP="003E1D33">
      <w:pPr>
        <w:spacing w:line="240" w:lineRule="auto"/>
        <w:ind w:left="4320"/>
        <w:jc w:val="both"/>
        <w:rPr>
          <w:rFonts w:ascii="Times New Roman" w:hAnsi="Times New Roman" w:cs="Times New Roman"/>
          <w:sz w:val="28"/>
          <w:szCs w:val="28"/>
        </w:rPr>
      </w:pPr>
      <w:r>
        <w:rPr>
          <w:rFonts w:ascii="Times New Roman" w:hAnsi="Times New Roman" w:cs="Times New Roman"/>
          <w:sz w:val="28"/>
          <w:szCs w:val="28"/>
        </w:rPr>
        <w:t>19 Raleigh Street</w:t>
      </w:r>
    </w:p>
    <w:p w:rsidR="003E1D33" w:rsidRDefault="008E35F9" w:rsidP="003E1D33">
      <w:pPr>
        <w:spacing w:line="240" w:lineRule="auto"/>
        <w:ind w:left="4320"/>
        <w:jc w:val="both"/>
        <w:rPr>
          <w:rFonts w:ascii="Times New Roman" w:hAnsi="Times New Roman" w:cs="Times New Roman"/>
          <w:sz w:val="28"/>
          <w:szCs w:val="28"/>
        </w:rPr>
      </w:pPr>
      <w:r>
        <w:rPr>
          <w:rFonts w:ascii="Times New Roman" w:hAnsi="Times New Roman" w:cs="Times New Roman"/>
          <w:sz w:val="28"/>
          <w:szCs w:val="28"/>
        </w:rPr>
        <w:t>Central</w:t>
      </w:r>
    </w:p>
    <w:p w:rsidR="008E35F9" w:rsidRDefault="008E35F9" w:rsidP="003E1D33">
      <w:pPr>
        <w:spacing w:line="240" w:lineRule="auto"/>
        <w:ind w:left="4320"/>
        <w:jc w:val="both"/>
        <w:rPr>
          <w:rFonts w:ascii="Times New Roman" w:hAnsi="Times New Roman" w:cs="Times New Roman"/>
          <w:sz w:val="28"/>
          <w:szCs w:val="28"/>
        </w:rPr>
      </w:pPr>
      <w:r>
        <w:rPr>
          <w:rFonts w:ascii="Times New Roman" w:hAnsi="Times New Roman" w:cs="Times New Roman"/>
          <w:sz w:val="28"/>
          <w:szCs w:val="28"/>
        </w:rPr>
        <w:t>Gqeberha</w:t>
      </w:r>
    </w:p>
    <w:p w:rsidR="003E1D33" w:rsidRDefault="003E1D33" w:rsidP="003E1D33">
      <w:pPr>
        <w:spacing w:line="240" w:lineRule="auto"/>
        <w:ind w:left="4320"/>
        <w:jc w:val="both"/>
        <w:rPr>
          <w:rFonts w:ascii="Times New Roman" w:hAnsi="Times New Roman" w:cs="Times New Roman"/>
          <w:sz w:val="28"/>
          <w:szCs w:val="28"/>
        </w:rPr>
      </w:pPr>
      <w:r w:rsidRPr="003E1D33">
        <w:rPr>
          <w:rFonts w:ascii="Times New Roman" w:hAnsi="Times New Roman" w:cs="Times New Roman"/>
          <w:sz w:val="28"/>
          <w:szCs w:val="28"/>
        </w:rPr>
        <w:t>Tel: 04</w:t>
      </w:r>
      <w:r w:rsidR="008E35F9">
        <w:rPr>
          <w:rFonts w:ascii="Times New Roman" w:hAnsi="Times New Roman" w:cs="Times New Roman"/>
          <w:sz w:val="28"/>
          <w:szCs w:val="28"/>
        </w:rPr>
        <w:t>1-586 3920</w:t>
      </w:r>
    </w:p>
    <w:p w:rsidR="009E160C" w:rsidRDefault="009E160C" w:rsidP="003E1D33">
      <w:pPr>
        <w:spacing w:line="240" w:lineRule="auto"/>
        <w:ind w:left="4320"/>
        <w:jc w:val="both"/>
        <w:rPr>
          <w:rFonts w:ascii="Times New Roman" w:hAnsi="Times New Roman" w:cs="Times New Roman"/>
          <w:sz w:val="28"/>
          <w:szCs w:val="28"/>
        </w:rPr>
      </w:pPr>
      <w:r>
        <w:rPr>
          <w:rFonts w:ascii="Times New Roman" w:hAnsi="Times New Roman" w:cs="Times New Roman"/>
          <w:sz w:val="28"/>
          <w:szCs w:val="28"/>
        </w:rPr>
        <w:t>Email:</w:t>
      </w:r>
      <w:r w:rsidR="00BF799A">
        <w:rPr>
          <w:rFonts w:ascii="Times New Roman" w:hAnsi="Times New Roman" w:cs="Times New Roman"/>
          <w:sz w:val="28"/>
          <w:szCs w:val="28"/>
        </w:rPr>
        <w:t xml:space="preserve"> </w:t>
      </w:r>
      <w:hyperlink r:id="rId10" w:history="1">
        <w:r w:rsidR="00A66B63" w:rsidRPr="0024060C">
          <w:rPr>
            <w:rStyle w:val="Hyperlink"/>
            <w:rFonts w:ascii="Times New Roman" w:hAnsi="Times New Roman" w:cs="Times New Roman"/>
            <w:sz w:val="28"/>
            <w:szCs w:val="28"/>
          </w:rPr>
          <w:t>sarah@gmlaw.co.za</w:t>
        </w:r>
      </w:hyperlink>
    </w:p>
    <w:p w:rsidR="00411B66" w:rsidRDefault="00411B66" w:rsidP="003E1D33">
      <w:pPr>
        <w:spacing w:line="240" w:lineRule="auto"/>
        <w:ind w:left="4320"/>
        <w:jc w:val="both"/>
        <w:rPr>
          <w:rFonts w:ascii="Times New Roman" w:hAnsi="Times New Roman" w:cs="Times New Roman"/>
          <w:sz w:val="28"/>
          <w:szCs w:val="28"/>
        </w:rPr>
      </w:pPr>
      <w:r>
        <w:rPr>
          <w:rFonts w:ascii="Times New Roman" w:hAnsi="Times New Roman" w:cs="Times New Roman"/>
          <w:sz w:val="28"/>
          <w:szCs w:val="28"/>
        </w:rPr>
        <w:t>(Ref: W Gray/S Roberts/N10873)</w:t>
      </w:r>
    </w:p>
    <w:p w:rsidR="003E1D33" w:rsidRPr="003E1D33" w:rsidRDefault="003E1D33" w:rsidP="003E1D33">
      <w:pPr>
        <w:spacing w:line="240" w:lineRule="auto"/>
        <w:ind w:left="851"/>
        <w:jc w:val="both"/>
        <w:rPr>
          <w:rFonts w:ascii="Times New Roman" w:hAnsi="Times New Roman" w:cs="Times New Roman"/>
          <w:sz w:val="28"/>
          <w:szCs w:val="28"/>
        </w:rPr>
      </w:pPr>
    </w:p>
    <w:p w:rsidR="003E1D33" w:rsidRDefault="003E1D33" w:rsidP="003E1D33">
      <w:pPr>
        <w:spacing w:line="240" w:lineRule="auto"/>
        <w:ind w:left="851"/>
        <w:jc w:val="both"/>
        <w:rPr>
          <w:rFonts w:ascii="Times New Roman" w:hAnsi="Times New Roman" w:cs="Times New Roman"/>
          <w:sz w:val="28"/>
          <w:szCs w:val="28"/>
        </w:rPr>
      </w:pPr>
    </w:p>
    <w:p w:rsidR="002872D3" w:rsidRDefault="002872D3" w:rsidP="003E1D33">
      <w:pPr>
        <w:spacing w:line="240" w:lineRule="auto"/>
        <w:ind w:left="851"/>
        <w:jc w:val="both"/>
        <w:rPr>
          <w:rFonts w:ascii="Times New Roman" w:hAnsi="Times New Roman" w:cs="Times New Roman"/>
          <w:sz w:val="28"/>
          <w:szCs w:val="28"/>
        </w:rPr>
      </w:pPr>
    </w:p>
    <w:p w:rsidR="00694CE5" w:rsidRPr="003E1D33" w:rsidRDefault="00694CE5" w:rsidP="003E1D33">
      <w:pPr>
        <w:spacing w:line="240" w:lineRule="auto"/>
        <w:ind w:left="851"/>
        <w:jc w:val="both"/>
        <w:rPr>
          <w:rFonts w:ascii="Times New Roman" w:hAnsi="Times New Roman" w:cs="Times New Roman"/>
          <w:sz w:val="28"/>
          <w:szCs w:val="28"/>
        </w:rPr>
      </w:pPr>
    </w:p>
    <w:p w:rsidR="00411B66" w:rsidRDefault="003E1D33" w:rsidP="003E1D33">
      <w:pPr>
        <w:spacing w:line="240" w:lineRule="auto"/>
        <w:ind w:left="851"/>
        <w:jc w:val="both"/>
        <w:rPr>
          <w:rFonts w:ascii="Times New Roman" w:hAnsi="Times New Roman" w:cs="Times New Roman"/>
          <w:sz w:val="28"/>
          <w:szCs w:val="28"/>
        </w:rPr>
      </w:pPr>
      <w:r w:rsidRPr="003E1D33">
        <w:rPr>
          <w:rFonts w:ascii="Times New Roman" w:hAnsi="Times New Roman" w:cs="Times New Roman"/>
          <w:sz w:val="28"/>
          <w:szCs w:val="28"/>
        </w:rPr>
        <w:t xml:space="preserve">For the </w:t>
      </w:r>
      <w:r w:rsidR="00411B66">
        <w:rPr>
          <w:rFonts w:ascii="Times New Roman" w:hAnsi="Times New Roman" w:cs="Times New Roman"/>
          <w:sz w:val="28"/>
          <w:szCs w:val="28"/>
        </w:rPr>
        <w:t>First Defendant:</w:t>
      </w:r>
      <w:r w:rsidR="00411B66">
        <w:rPr>
          <w:rFonts w:ascii="Times New Roman" w:hAnsi="Times New Roman" w:cs="Times New Roman"/>
          <w:sz w:val="28"/>
          <w:szCs w:val="28"/>
        </w:rPr>
        <w:tab/>
      </w:r>
      <w:r w:rsidR="00411B66">
        <w:rPr>
          <w:rFonts w:ascii="Times New Roman" w:hAnsi="Times New Roman" w:cs="Times New Roman"/>
          <w:sz w:val="28"/>
          <w:szCs w:val="28"/>
        </w:rPr>
        <w:tab/>
        <w:t>No appearance</w:t>
      </w:r>
    </w:p>
    <w:p w:rsidR="00411B66" w:rsidRDefault="00411B66" w:rsidP="003E1D33">
      <w:pPr>
        <w:spacing w:line="240" w:lineRule="auto"/>
        <w:ind w:left="851"/>
        <w:jc w:val="both"/>
        <w:rPr>
          <w:rFonts w:ascii="Times New Roman" w:hAnsi="Times New Roman" w:cs="Times New Roman"/>
          <w:sz w:val="28"/>
          <w:szCs w:val="28"/>
        </w:rPr>
      </w:pPr>
    </w:p>
    <w:p w:rsidR="00751A9C" w:rsidRDefault="00751A9C" w:rsidP="003E1D33">
      <w:pPr>
        <w:spacing w:line="240" w:lineRule="auto"/>
        <w:ind w:left="851"/>
        <w:jc w:val="both"/>
        <w:rPr>
          <w:rFonts w:ascii="Times New Roman" w:hAnsi="Times New Roman" w:cs="Times New Roman"/>
          <w:sz w:val="28"/>
          <w:szCs w:val="28"/>
        </w:rPr>
      </w:pPr>
    </w:p>
    <w:p w:rsidR="00694CE5" w:rsidRDefault="00694CE5" w:rsidP="003E1D33">
      <w:pPr>
        <w:spacing w:line="240" w:lineRule="auto"/>
        <w:ind w:left="851"/>
        <w:jc w:val="both"/>
        <w:rPr>
          <w:rFonts w:ascii="Times New Roman" w:hAnsi="Times New Roman" w:cs="Times New Roman"/>
          <w:sz w:val="28"/>
          <w:szCs w:val="28"/>
        </w:rPr>
      </w:pPr>
    </w:p>
    <w:p w:rsidR="002872D3" w:rsidRDefault="002872D3" w:rsidP="003E1D33">
      <w:pPr>
        <w:spacing w:line="240" w:lineRule="auto"/>
        <w:ind w:left="851"/>
        <w:jc w:val="both"/>
        <w:rPr>
          <w:rFonts w:ascii="Times New Roman" w:hAnsi="Times New Roman" w:cs="Times New Roman"/>
          <w:sz w:val="28"/>
          <w:szCs w:val="28"/>
        </w:rPr>
      </w:pPr>
    </w:p>
    <w:p w:rsidR="00352E68" w:rsidRDefault="00411B66" w:rsidP="003E1D33">
      <w:pPr>
        <w:spacing w:line="240" w:lineRule="auto"/>
        <w:ind w:left="851"/>
        <w:jc w:val="both"/>
        <w:rPr>
          <w:rFonts w:ascii="Times New Roman" w:hAnsi="Times New Roman" w:cs="Times New Roman"/>
          <w:sz w:val="28"/>
          <w:szCs w:val="28"/>
        </w:rPr>
      </w:pPr>
      <w:r>
        <w:rPr>
          <w:rFonts w:ascii="Times New Roman" w:hAnsi="Times New Roman" w:cs="Times New Roman"/>
          <w:sz w:val="28"/>
          <w:szCs w:val="28"/>
        </w:rPr>
        <w:t>For the Second</w:t>
      </w:r>
      <w:r w:rsidR="00A2578E">
        <w:rPr>
          <w:rFonts w:ascii="Times New Roman" w:hAnsi="Times New Roman" w:cs="Times New Roman"/>
          <w:sz w:val="28"/>
          <w:szCs w:val="28"/>
        </w:rPr>
        <w:t xml:space="preserve"> Defendant:</w:t>
      </w:r>
      <w:r w:rsidR="00A2578E">
        <w:rPr>
          <w:rFonts w:ascii="Times New Roman" w:hAnsi="Times New Roman" w:cs="Times New Roman"/>
          <w:sz w:val="28"/>
          <w:szCs w:val="28"/>
        </w:rPr>
        <w:tab/>
      </w:r>
      <w:r w:rsidR="00352E68">
        <w:rPr>
          <w:rFonts w:ascii="Times New Roman" w:hAnsi="Times New Roman" w:cs="Times New Roman"/>
          <w:sz w:val="28"/>
          <w:szCs w:val="28"/>
        </w:rPr>
        <w:t>P.E. Jooste</w:t>
      </w:r>
    </w:p>
    <w:p w:rsidR="00352E68" w:rsidRDefault="00352E68" w:rsidP="00352E68">
      <w:pPr>
        <w:spacing w:line="240" w:lineRule="auto"/>
        <w:ind w:left="3731" w:firstLine="589"/>
        <w:jc w:val="both"/>
        <w:rPr>
          <w:rFonts w:ascii="Times New Roman" w:hAnsi="Times New Roman" w:cs="Times New Roman"/>
          <w:sz w:val="28"/>
          <w:szCs w:val="28"/>
        </w:rPr>
      </w:pPr>
      <w:r>
        <w:rPr>
          <w:rFonts w:ascii="Times New Roman" w:hAnsi="Times New Roman" w:cs="Times New Roman"/>
          <w:sz w:val="28"/>
          <w:szCs w:val="28"/>
        </w:rPr>
        <w:t>Instructed by</w:t>
      </w:r>
    </w:p>
    <w:p w:rsidR="00411B66" w:rsidRDefault="00A2578E" w:rsidP="00352E68">
      <w:pPr>
        <w:spacing w:line="240" w:lineRule="auto"/>
        <w:ind w:left="3731" w:firstLine="589"/>
        <w:jc w:val="both"/>
        <w:rPr>
          <w:rFonts w:ascii="Times New Roman" w:hAnsi="Times New Roman" w:cs="Times New Roman"/>
          <w:sz w:val="28"/>
          <w:szCs w:val="28"/>
        </w:rPr>
      </w:pPr>
      <w:r>
        <w:rPr>
          <w:rFonts w:ascii="Times New Roman" w:hAnsi="Times New Roman" w:cs="Times New Roman"/>
          <w:sz w:val="28"/>
          <w:szCs w:val="28"/>
        </w:rPr>
        <w:t>T</w:t>
      </w:r>
      <w:r w:rsidR="005B225C">
        <w:rPr>
          <w:rFonts w:ascii="Times New Roman" w:hAnsi="Times New Roman" w:cs="Times New Roman"/>
          <w:sz w:val="28"/>
          <w:szCs w:val="28"/>
        </w:rPr>
        <w:t>ANIA KOEN</w:t>
      </w:r>
      <w:r>
        <w:rPr>
          <w:rFonts w:ascii="Times New Roman" w:hAnsi="Times New Roman" w:cs="Times New Roman"/>
          <w:sz w:val="28"/>
          <w:szCs w:val="28"/>
        </w:rPr>
        <w:t xml:space="preserve"> A</w:t>
      </w:r>
      <w:r w:rsidR="005B225C">
        <w:rPr>
          <w:rFonts w:ascii="Times New Roman" w:hAnsi="Times New Roman" w:cs="Times New Roman"/>
          <w:sz w:val="28"/>
          <w:szCs w:val="28"/>
        </w:rPr>
        <w:t>TTORNEYS</w:t>
      </w:r>
    </w:p>
    <w:p w:rsidR="00352E68" w:rsidRDefault="00352E68" w:rsidP="00352E68">
      <w:pPr>
        <w:spacing w:line="240" w:lineRule="auto"/>
        <w:ind w:left="3731" w:firstLine="589"/>
        <w:jc w:val="both"/>
        <w:rPr>
          <w:rFonts w:ascii="Times New Roman" w:hAnsi="Times New Roman" w:cs="Times New Roman"/>
          <w:sz w:val="28"/>
          <w:szCs w:val="28"/>
        </w:rPr>
      </w:pPr>
      <w:r>
        <w:rPr>
          <w:rFonts w:ascii="Times New Roman" w:hAnsi="Times New Roman" w:cs="Times New Roman"/>
          <w:sz w:val="28"/>
          <w:szCs w:val="28"/>
        </w:rPr>
        <w:t>60 2</w:t>
      </w:r>
      <w:r w:rsidRPr="00352E68">
        <w:rPr>
          <w:rFonts w:ascii="Times New Roman" w:hAnsi="Times New Roman" w:cs="Times New Roman"/>
          <w:sz w:val="28"/>
          <w:szCs w:val="28"/>
          <w:vertAlign w:val="superscript"/>
        </w:rPr>
        <w:t>nd</w:t>
      </w:r>
      <w:r>
        <w:rPr>
          <w:rFonts w:ascii="Times New Roman" w:hAnsi="Times New Roman" w:cs="Times New Roman"/>
          <w:sz w:val="28"/>
          <w:szCs w:val="28"/>
        </w:rPr>
        <w:t xml:space="preserve"> Avenue Newton Park</w:t>
      </w:r>
    </w:p>
    <w:p w:rsidR="00352E68" w:rsidRDefault="00352E68" w:rsidP="00352E68">
      <w:pPr>
        <w:spacing w:line="240" w:lineRule="auto"/>
        <w:ind w:left="3731" w:firstLine="589"/>
        <w:jc w:val="both"/>
        <w:rPr>
          <w:rFonts w:ascii="Times New Roman" w:hAnsi="Times New Roman" w:cs="Times New Roman"/>
          <w:sz w:val="28"/>
          <w:szCs w:val="28"/>
        </w:rPr>
      </w:pPr>
      <w:r>
        <w:rPr>
          <w:rFonts w:ascii="Times New Roman" w:hAnsi="Times New Roman" w:cs="Times New Roman"/>
          <w:sz w:val="28"/>
          <w:szCs w:val="28"/>
        </w:rPr>
        <w:t>Gqeberha</w:t>
      </w:r>
    </w:p>
    <w:p w:rsidR="00352E68" w:rsidRDefault="00352E68" w:rsidP="00352E68">
      <w:pPr>
        <w:spacing w:line="240" w:lineRule="auto"/>
        <w:ind w:left="3731" w:firstLine="589"/>
        <w:jc w:val="both"/>
        <w:rPr>
          <w:rFonts w:ascii="Times New Roman" w:hAnsi="Times New Roman" w:cs="Times New Roman"/>
          <w:sz w:val="28"/>
          <w:szCs w:val="28"/>
        </w:rPr>
      </w:pPr>
      <w:r>
        <w:rPr>
          <w:rFonts w:ascii="Times New Roman" w:hAnsi="Times New Roman" w:cs="Times New Roman"/>
          <w:sz w:val="28"/>
          <w:szCs w:val="28"/>
        </w:rPr>
        <w:t>Tel: 041-373 9690</w:t>
      </w:r>
    </w:p>
    <w:p w:rsidR="00751A9C" w:rsidRDefault="00751A9C" w:rsidP="00352E68">
      <w:pPr>
        <w:spacing w:line="240" w:lineRule="auto"/>
        <w:ind w:left="3731" w:firstLine="589"/>
        <w:jc w:val="both"/>
        <w:rPr>
          <w:rFonts w:ascii="Times New Roman" w:hAnsi="Times New Roman" w:cs="Times New Roman"/>
          <w:sz w:val="28"/>
          <w:szCs w:val="28"/>
        </w:rPr>
      </w:pPr>
      <w:r>
        <w:rPr>
          <w:rFonts w:ascii="Times New Roman" w:hAnsi="Times New Roman" w:cs="Times New Roman"/>
          <w:sz w:val="28"/>
          <w:szCs w:val="28"/>
        </w:rPr>
        <w:t>(Ref: MAZ/bg/CIV 4668/16)</w:t>
      </w:r>
    </w:p>
    <w:p w:rsidR="00751A9C" w:rsidRDefault="00751A9C" w:rsidP="00751A9C">
      <w:pPr>
        <w:spacing w:line="240" w:lineRule="auto"/>
        <w:jc w:val="both"/>
        <w:rPr>
          <w:rFonts w:ascii="Times New Roman" w:hAnsi="Times New Roman" w:cs="Times New Roman"/>
          <w:sz w:val="28"/>
          <w:szCs w:val="28"/>
        </w:rPr>
      </w:pPr>
    </w:p>
    <w:p w:rsidR="00694CE5" w:rsidRDefault="00694CE5" w:rsidP="00751A9C">
      <w:pPr>
        <w:spacing w:line="240" w:lineRule="auto"/>
        <w:jc w:val="both"/>
        <w:rPr>
          <w:rFonts w:ascii="Times New Roman" w:hAnsi="Times New Roman" w:cs="Times New Roman"/>
          <w:sz w:val="28"/>
          <w:szCs w:val="28"/>
        </w:rPr>
      </w:pPr>
    </w:p>
    <w:p w:rsidR="00694CE5" w:rsidRDefault="00694CE5" w:rsidP="00751A9C">
      <w:pPr>
        <w:spacing w:line="240" w:lineRule="auto"/>
        <w:jc w:val="both"/>
        <w:rPr>
          <w:rFonts w:ascii="Times New Roman" w:hAnsi="Times New Roman" w:cs="Times New Roman"/>
          <w:sz w:val="28"/>
          <w:szCs w:val="28"/>
        </w:rPr>
      </w:pPr>
    </w:p>
    <w:p w:rsidR="00751A9C" w:rsidRDefault="00751A9C" w:rsidP="00751A9C">
      <w:pPr>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751A9C" w:rsidRDefault="00751A9C"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For the Third Defendant:</w:t>
      </w:r>
      <w:r>
        <w:rPr>
          <w:rFonts w:ascii="Times New Roman" w:hAnsi="Times New Roman" w:cs="Times New Roman"/>
          <w:sz w:val="28"/>
          <w:szCs w:val="28"/>
        </w:rPr>
        <w:tab/>
      </w:r>
      <w:r>
        <w:rPr>
          <w:rFonts w:ascii="Times New Roman" w:hAnsi="Times New Roman" w:cs="Times New Roman"/>
          <w:sz w:val="28"/>
          <w:szCs w:val="28"/>
        </w:rPr>
        <w:tab/>
        <w:t>No Appearance</w:t>
      </w:r>
    </w:p>
    <w:p w:rsidR="00751A9C" w:rsidRDefault="00751A9C" w:rsidP="00751A9C">
      <w:pPr>
        <w:spacing w:line="240" w:lineRule="auto"/>
        <w:ind w:firstLine="720"/>
        <w:jc w:val="both"/>
        <w:rPr>
          <w:rFonts w:ascii="Times New Roman" w:hAnsi="Times New Roman" w:cs="Times New Roman"/>
          <w:sz w:val="28"/>
          <w:szCs w:val="28"/>
        </w:rPr>
      </w:pPr>
    </w:p>
    <w:p w:rsidR="00751A9C" w:rsidRDefault="00751A9C" w:rsidP="00751A9C">
      <w:pPr>
        <w:spacing w:line="240" w:lineRule="auto"/>
        <w:ind w:firstLine="720"/>
        <w:jc w:val="both"/>
        <w:rPr>
          <w:rFonts w:ascii="Times New Roman" w:hAnsi="Times New Roman" w:cs="Times New Roman"/>
          <w:sz w:val="28"/>
          <w:szCs w:val="28"/>
        </w:rPr>
      </w:pPr>
    </w:p>
    <w:p w:rsidR="00694CE5" w:rsidRDefault="00694CE5" w:rsidP="00751A9C">
      <w:pPr>
        <w:spacing w:line="240" w:lineRule="auto"/>
        <w:ind w:firstLine="720"/>
        <w:jc w:val="both"/>
        <w:rPr>
          <w:rFonts w:ascii="Times New Roman" w:hAnsi="Times New Roman" w:cs="Times New Roman"/>
          <w:sz w:val="28"/>
          <w:szCs w:val="28"/>
        </w:rPr>
      </w:pPr>
    </w:p>
    <w:p w:rsidR="00694CE5" w:rsidRDefault="00694CE5" w:rsidP="00751A9C">
      <w:pPr>
        <w:spacing w:line="240" w:lineRule="auto"/>
        <w:ind w:firstLine="720"/>
        <w:jc w:val="both"/>
        <w:rPr>
          <w:rFonts w:ascii="Times New Roman" w:hAnsi="Times New Roman" w:cs="Times New Roman"/>
          <w:sz w:val="28"/>
          <w:szCs w:val="28"/>
        </w:rPr>
      </w:pPr>
    </w:p>
    <w:p w:rsidR="00694CE5" w:rsidRDefault="00694CE5" w:rsidP="00751A9C">
      <w:pPr>
        <w:spacing w:line="240" w:lineRule="auto"/>
        <w:ind w:firstLine="720"/>
        <w:jc w:val="both"/>
        <w:rPr>
          <w:rFonts w:ascii="Times New Roman" w:hAnsi="Times New Roman" w:cs="Times New Roman"/>
          <w:sz w:val="28"/>
          <w:szCs w:val="28"/>
        </w:rPr>
      </w:pPr>
    </w:p>
    <w:p w:rsidR="00694CE5" w:rsidRDefault="00694CE5" w:rsidP="00751A9C">
      <w:pPr>
        <w:spacing w:line="240" w:lineRule="auto"/>
        <w:ind w:firstLine="720"/>
        <w:jc w:val="both"/>
        <w:rPr>
          <w:rFonts w:ascii="Times New Roman" w:hAnsi="Times New Roman" w:cs="Times New Roman"/>
          <w:sz w:val="28"/>
          <w:szCs w:val="28"/>
        </w:rPr>
      </w:pPr>
    </w:p>
    <w:p w:rsidR="00694CE5" w:rsidRDefault="00694CE5" w:rsidP="00751A9C">
      <w:pPr>
        <w:spacing w:line="240" w:lineRule="auto"/>
        <w:ind w:firstLine="720"/>
        <w:jc w:val="both"/>
        <w:rPr>
          <w:rFonts w:ascii="Times New Roman" w:hAnsi="Times New Roman" w:cs="Times New Roman"/>
          <w:sz w:val="28"/>
          <w:szCs w:val="28"/>
        </w:rPr>
      </w:pPr>
    </w:p>
    <w:p w:rsidR="00694CE5" w:rsidRDefault="00694CE5" w:rsidP="00751A9C">
      <w:pPr>
        <w:spacing w:line="240" w:lineRule="auto"/>
        <w:ind w:firstLine="720"/>
        <w:jc w:val="both"/>
        <w:rPr>
          <w:rFonts w:ascii="Times New Roman" w:hAnsi="Times New Roman" w:cs="Times New Roman"/>
          <w:sz w:val="28"/>
          <w:szCs w:val="28"/>
        </w:rPr>
      </w:pPr>
    </w:p>
    <w:p w:rsidR="00751A9C" w:rsidRDefault="00751A9C"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For the Fourth Defendant:</w:t>
      </w:r>
      <w:r>
        <w:rPr>
          <w:rFonts w:ascii="Times New Roman" w:hAnsi="Times New Roman" w:cs="Times New Roman"/>
          <w:sz w:val="28"/>
          <w:szCs w:val="28"/>
        </w:rPr>
        <w:tab/>
        <w:t>In Person</w:t>
      </w:r>
    </w:p>
    <w:p w:rsidR="00292463" w:rsidRDefault="00292463"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Email: </w:t>
      </w:r>
      <w:hyperlink r:id="rId11" w:history="1">
        <w:r w:rsidRPr="0072436F">
          <w:rPr>
            <w:rStyle w:val="Hyperlink"/>
            <w:rFonts w:ascii="Times New Roman" w:hAnsi="Times New Roman" w:cs="Times New Roman"/>
            <w:sz w:val="28"/>
            <w:szCs w:val="28"/>
          </w:rPr>
          <w:t>mohleli786@gmail.com</w:t>
        </w:r>
      </w:hyperlink>
    </w:p>
    <w:p w:rsidR="00292463" w:rsidRDefault="00292463" w:rsidP="00751A9C">
      <w:pPr>
        <w:spacing w:line="240" w:lineRule="auto"/>
        <w:ind w:firstLine="720"/>
        <w:jc w:val="both"/>
        <w:rPr>
          <w:rFonts w:ascii="Times New Roman" w:hAnsi="Times New Roman" w:cs="Times New Roman"/>
          <w:sz w:val="28"/>
          <w:szCs w:val="28"/>
        </w:rPr>
      </w:pPr>
    </w:p>
    <w:p w:rsidR="00292463" w:rsidRDefault="00292463" w:rsidP="00751A9C">
      <w:pPr>
        <w:spacing w:line="240" w:lineRule="auto"/>
        <w:ind w:firstLine="720"/>
        <w:jc w:val="both"/>
        <w:rPr>
          <w:rFonts w:ascii="Times New Roman" w:hAnsi="Times New Roman" w:cs="Times New Roman"/>
          <w:sz w:val="28"/>
          <w:szCs w:val="28"/>
        </w:rPr>
      </w:pPr>
    </w:p>
    <w:p w:rsidR="005B225C" w:rsidRDefault="00292463"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For the Fifth </w:t>
      </w:r>
      <w:r w:rsidR="005B225C">
        <w:rPr>
          <w:rFonts w:ascii="Times New Roman" w:hAnsi="Times New Roman" w:cs="Times New Roman"/>
          <w:sz w:val="28"/>
          <w:szCs w:val="28"/>
        </w:rPr>
        <w:t>and Eighth</w:t>
      </w:r>
    </w:p>
    <w:p w:rsidR="00292463" w:rsidRDefault="00292463"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Defendant</w:t>
      </w:r>
      <w:r w:rsidR="005B225C">
        <w:rPr>
          <w:rFonts w:ascii="Times New Roman" w:hAnsi="Times New Roman" w:cs="Times New Roman"/>
          <w:sz w:val="28"/>
          <w:szCs w:val="28"/>
        </w:rPr>
        <w:t>s</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5B225C">
        <w:rPr>
          <w:rFonts w:ascii="Times New Roman" w:hAnsi="Times New Roman" w:cs="Times New Roman"/>
          <w:sz w:val="28"/>
          <w:szCs w:val="28"/>
        </w:rPr>
        <w:tab/>
      </w:r>
      <w:r w:rsidR="005B225C">
        <w:rPr>
          <w:rFonts w:ascii="Times New Roman" w:hAnsi="Times New Roman" w:cs="Times New Roman"/>
          <w:sz w:val="28"/>
          <w:szCs w:val="28"/>
        </w:rPr>
        <w:tab/>
      </w:r>
      <w:r>
        <w:rPr>
          <w:rFonts w:ascii="Times New Roman" w:hAnsi="Times New Roman" w:cs="Times New Roman"/>
          <w:sz w:val="28"/>
          <w:szCs w:val="28"/>
        </w:rPr>
        <w:t>P.E. Jooste</w:t>
      </w:r>
    </w:p>
    <w:p w:rsidR="00292463" w:rsidRDefault="00292463"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Instructed by</w:t>
      </w:r>
    </w:p>
    <w:p w:rsidR="005B225C" w:rsidRDefault="005B225C"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KAPLAN BLUMBER</w:t>
      </w:r>
      <w:r w:rsidR="00B20E00">
        <w:rPr>
          <w:rFonts w:ascii="Times New Roman" w:hAnsi="Times New Roman" w:cs="Times New Roman"/>
          <w:sz w:val="28"/>
          <w:szCs w:val="28"/>
        </w:rPr>
        <w:t>G</w:t>
      </w:r>
      <w:r>
        <w:rPr>
          <w:rFonts w:ascii="Times New Roman" w:hAnsi="Times New Roman" w:cs="Times New Roman"/>
          <w:sz w:val="28"/>
          <w:szCs w:val="28"/>
        </w:rPr>
        <w:t xml:space="preserve"> ATTORNEYS</w:t>
      </w:r>
    </w:p>
    <w:p w:rsidR="00292463" w:rsidRDefault="00292463"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B225C">
        <w:rPr>
          <w:rFonts w:ascii="Times New Roman" w:hAnsi="Times New Roman" w:cs="Times New Roman"/>
          <w:sz w:val="28"/>
          <w:szCs w:val="28"/>
        </w:rPr>
        <w:t>Southern Life Gardens</w:t>
      </w:r>
    </w:p>
    <w:p w:rsidR="005B225C" w:rsidRDefault="005B225C"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70 2</w:t>
      </w:r>
      <w:r w:rsidRPr="005B225C">
        <w:rPr>
          <w:rFonts w:ascii="Times New Roman" w:hAnsi="Times New Roman" w:cs="Times New Roman"/>
          <w:sz w:val="28"/>
          <w:szCs w:val="28"/>
          <w:vertAlign w:val="superscript"/>
        </w:rPr>
        <w:t>nd</w:t>
      </w:r>
      <w:r>
        <w:rPr>
          <w:rFonts w:ascii="Times New Roman" w:hAnsi="Times New Roman" w:cs="Times New Roman"/>
          <w:sz w:val="28"/>
          <w:szCs w:val="28"/>
        </w:rPr>
        <w:t xml:space="preserve"> Avenue</w:t>
      </w:r>
    </w:p>
    <w:p w:rsidR="005B225C" w:rsidRDefault="005B225C"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Gqeberha</w:t>
      </w:r>
    </w:p>
    <w:p w:rsidR="005B225C" w:rsidRDefault="005B225C"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Tel: 041-363 6044</w:t>
      </w:r>
    </w:p>
    <w:p w:rsidR="005B225C" w:rsidRDefault="005B225C"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Email: </w:t>
      </w:r>
      <w:hyperlink r:id="rId12" w:history="1">
        <w:r w:rsidRPr="0072436F">
          <w:rPr>
            <w:rStyle w:val="Hyperlink"/>
            <w:rFonts w:ascii="Times New Roman" w:hAnsi="Times New Roman" w:cs="Times New Roman"/>
            <w:sz w:val="28"/>
            <w:szCs w:val="28"/>
          </w:rPr>
          <w:t>Terri-Ann@kaplans.co.za</w:t>
        </w:r>
      </w:hyperlink>
    </w:p>
    <w:p w:rsidR="005B225C" w:rsidRDefault="009E160C"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Email: </w:t>
      </w:r>
      <w:hyperlink r:id="rId13" w:history="1">
        <w:r w:rsidRPr="0072436F">
          <w:rPr>
            <w:rStyle w:val="Hyperlink"/>
            <w:rFonts w:ascii="Times New Roman" w:hAnsi="Times New Roman" w:cs="Times New Roman"/>
            <w:sz w:val="28"/>
            <w:szCs w:val="28"/>
          </w:rPr>
          <w:t>Bronwynne@kaplans.co.za</w:t>
        </w:r>
      </w:hyperlink>
    </w:p>
    <w:p w:rsidR="009E160C" w:rsidRDefault="009E160C"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(Ref: MAT 14864/T Radloff</w:t>
      </w:r>
      <w:r w:rsidR="00540F21">
        <w:rPr>
          <w:rFonts w:ascii="Times New Roman" w:hAnsi="Times New Roman" w:cs="Times New Roman"/>
          <w:sz w:val="28"/>
          <w:szCs w:val="28"/>
        </w:rPr>
        <w:t xml:space="preserve"> </w:t>
      </w:r>
      <w:r>
        <w:rPr>
          <w:rFonts w:ascii="Times New Roman" w:hAnsi="Times New Roman" w:cs="Times New Roman"/>
          <w:sz w:val="28"/>
          <w:szCs w:val="28"/>
        </w:rPr>
        <w:t>/Bronwynne)</w:t>
      </w:r>
    </w:p>
    <w:p w:rsidR="009E160C" w:rsidRDefault="009E160C" w:rsidP="00751A9C">
      <w:pPr>
        <w:spacing w:line="240" w:lineRule="auto"/>
        <w:ind w:firstLine="720"/>
        <w:jc w:val="both"/>
        <w:rPr>
          <w:rFonts w:ascii="Times New Roman" w:hAnsi="Times New Roman" w:cs="Times New Roman"/>
          <w:sz w:val="28"/>
          <w:szCs w:val="28"/>
        </w:rPr>
      </w:pPr>
    </w:p>
    <w:p w:rsidR="009E160C" w:rsidRDefault="009E160C" w:rsidP="00751A9C">
      <w:pPr>
        <w:spacing w:line="240" w:lineRule="auto"/>
        <w:ind w:firstLine="720"/>
        <w:jc w:val="both"/>
        <w:rPr>
          <w:rFonts w:ascii="Times New Roman" w:hAnsi="Times New Roman" w:cs="Times New Roman"/>
          <w:sz w:val="28"/>
          <w:szCs w:val="28"/>
        </w:rPr>
      </w:pPr>
    </w:p>
    <w:p w:rsidR="009E160C" w:rsidRDefault="009E160C"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For t</w:t>
      </w:r>
      <w:r w:rsidR="00727B77">
        <w:rPr>
          <w:rFonts w:ascii="Times New Roman" w:hAnsi="Times New Roman" w:cs="Times New Roman"/>
          <w:sz w:val="28"/>
          <w:szCs w:val="28"/>
        </w:rPr>
        <w:t>he Sixth Defendant:</w:t>
      </w:r>
      <w:r w:rsidR="00727B77">
        <w:rPr>
          <w:rFonts w:ascii="Times New Roman" w:hAnsi="Times New Roman" w:cs="Times New Roman"/>
          <w:sz w:val="28"/>
          <w:szCs w:val="28"/>
        </w:rPr>
        <w:tab/>
      </w:r>
      <w:r w:rsidR="00727B77">
        <w:rPr>
          <w:rFonts w:ascii="Times New Roman" w:hAnsi="Times New Roman" w:cs="Times New Roman"/>
          <w:sz w:val="28"/>
          <w:szCs w:val="28"/>
        </w:rPr>
        <w:tab/>
        <w:t>T. Zietsman</w:t>
      </w:r>
    </w:p>
    <w:p w:rsidR="009E160C" w:rsidRDefault="009E160C"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Instructed by</w:t>
      </w:r>
    </w:p>
    <w:p w:rsidR="009E160C" w:rsidRDefault="009E160C"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C035C">
        <w:rPr>
          <w:rFonts w:ascii="Times New Roman" w:hAnsi="Times New Roman" w:cs="Times New Roman"/>
          <w:sz w:val="28"/>
          <w:szCs w:val="28"/>
        </w:rPr>
        <w:t>GOLDBERG &amp; VICTOR INC.</w:t>
      </w:r>
    </w:p>
    <w:p w:rsidR="003C035C" w:rsidRDefault="003C035C"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 Graham Street</w:t>
      </w:r>
    </w:p>
    <w:p w:rsidR="003C035C" w:rsidRDefault="003C035C"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Gqeberha</w:t>
      </w:r>
    </w:p>
    <w:p w:rsidR="003C035C" w:rsidRDefault="003C035C"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Tel: 041-484 3346</w:t>
      </w:r>
    </w:p>
    <w:p w:rsidR="003C035C" w:rsidRDefault="003C035C"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Email: </w:t>
      </w:r>
      <w:hyperlink r:id="rId14" w:history="1">
        <w:r w:rsidRPr="0072436F">
          <w:rPr>
            <w:rStyle w:val="Hyperlink"/>
            <w:rFonts w:ascii="Times New Roman" w:hAnsi="Times New Roman" w:cs="Times New Roman"/>
            <w:sz w:val="28"/>
            <w:szCs w:val="28"/>
          </w:rPr>
          <w:t>goldvic@mweb.co.za</w:t>
        </w:r>
      </w:hyperlink>
    </w:p>
    <w:p w:rsidR="003C035C" w:rsidRDefault="003C035C"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(Ref: M. Bumenthal/C143)</w:t>
      </w:r>
    </w:p>
    <w:p w:rsidR="003C035C" w:rsidRDefault="003C035C" w:rsidP="00751A9C">
      <w:pPr>
        <w:spacing w:line="240" w:lineRule="auto"/>
        <w:ind w:firstLine="720"/>
        <w:jc w:val="both"/>
        <w:rPr>
          <w:rFonts w:ascii="Times New Roman" w:hAnsi="Times New Roman" w:cs="Times New Roman"/>
          <w:sz w:val="28"/>
          <w:szCs w:val="28"/>
        </w:rPr>
      </w:pPr>
    </w:p>
    <w:p w:rsidR="003C035C" w:rsidRDefault="003C035C" w:rsidP="00751A9C">
      <w:pPr>
        <w:spacing w:line="240" w:lineRule="auto"/>
        <w:ind w:firstLine="720"/>
        <w:jc w:val="both"/>
        <w:rPr>
          <w:rFonts w:ascii="Times New Roman" w:hAnsi="Times New Roman" w:cs="Times New Roman"/>
          <w:sz w:val="28"/>
          <w:szCs w:val="28"/>
        </w:rPr>
      </w:pPr>
    </w:p>
    <w:p w:rsidR="003C035C" w:rsidRDefault="003C035C"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For the Seventh Defendant:</w:t>
      </w:r>
      <w:r>
        <w:rPr>
          <w:rFonts w:ascii="Times New Roman" w:hAnsi="Times New Roman" w:cs="Times New Roman"/>
          <w:sz w:val="28"/>
          <w:szCs w:val="28"/>
        </w:rPr>
        <w:tab/>
      </w:r>
      <w:r w:rsidR="0052438E">
        <w:rPr>
          <w:rFonts w:ascii="Times New Roman" w:hAnsi="Times New Roman" w:cs="Times New Roman"/>
          <w:sz w:val="28"/>
          <w:szCs w:val="28"/>
        </w:rPr>
        <w:t>No Appearance</w:t>
      </w:r>
    </w:p>
    <w:p w:rsidR="0052438E" w:rsidRDefault="0052438E"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Tel: 063 691 5966</w:t>
      </w:r>
    </w:p>
    <w:p w:rsidR="0052438E" w:rsidRDefault="0052438E"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Email: </w:t>
      </w:r>
      <w:hyperlink r:id="rId15" w:history="1">
        <w:r w:rsidRPr="0072436F">
          <w:rPr>
            <w:rStyle w:val="Hyperlink"/>
            <w:rFonts w:ascii="Times New Roman" w:hAnsi="Times New Roman" w:cs="Times New Roman"/>
            <w:sz w:val="28"/>
            <w:szCs w:val="28"/>
          </w:rPr>
          <w:t>rolandwilliams777@icloud.com</w:t>
        </w:r>
      </w:hyperlink>
    </w:p>
    <w:p w:rsidR="0052438E" w:rsidRDefault="0052438E" w:rsidP="00751A9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Email: </w:t>
      </w:r>
      <w:hyperlink r:id="rId16" w:history="1">
        <w:r w:rsidRPr="0072436F">
          <w:rPr>
            <w:rStyle w:val="Hyperlink"/>
            <w:rFonts w:ascii="Times New Roman" w:hAnsi="Times New Roman" w:cs="Times New Roman"/>
            <w:sz w:val="28"/>
            <w:szCs w:val="28"/>
          </w:rPr>
          <w:t>ceo@williamsconsulting.co.za</w:t>
        </w:r>
      </w:hyperlink>
    </w:p>
    <w:p w:rsidR="0052438E" w:rsidRDefault="0052438E" w:rsidP="00751A9C">
      <w:pPr>
        <w:spacing w:line="240" w:lineRule="auto"/>
        <w:ind w:firstLine="720"/>
        <w:jc w:val="both"/>
        <w:rPr>
          <w:rFonts w:ascii="Times New Roman" w:hAnsi="Times New Roman" w:cs="Times New Roman"/>
          <w:sz w:val="28"/>
          <w:szCs w:val="28"/>
        </w:rPr>
      </w:pPr>
    </w:p>
    <w:p w:rsidR="002872D3" w:rsidRDefault="002872D3" w:rsidP="003E1D33">
      <w:pPr>
        <w:spacing w:line="240" w:lineRule="auto"/>
        <w:ind w:left="851"/>
        <w:jc w:val="both"/>
        <w:rPr>
          <w:rFonts w:ascii="Times New Roman" w:hAnsi="Times New Roman" w:cs="Times New Roman"/>
          <w:sz w:val="28"/>
          <w:szCs w:val="28"/>
        </w:rPr>
      </w:pPr>
    </w:p>
    <w:p w:rsidR="00D57652" w:rsidRDefault="00D57652" w:rsidP="003E1D33">
      <w:pPr>
        <w:spacing w:line="240" w:lineRule="auto"/>
        <w:ind w:left="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E1D33" w:rsidRPr="003E1D33" w:rsidRDefault="003E1D33" w:rsidP="006A6D28">
      <w:pPr>
        <w:spacing w:line="240" w:lineRule="auto"/>
        <w:ind w:firstLine="720"/>
        <w:jc w:val="both"/>
        <w:rPr>
          <w:rFonts w:ascii="Times New Roman" w:hAnsi="Times New Roman" w:cs="Times New Roman"/>
          <w:sz w:val="28"/>
          <w:szCs w:val="28"/>
        </w:rPr>
      </w:pPr>
      <w:r w:rsidRPr="003E1D33">
        <w:rPr>
          <w:rFonts w:ascii="Times New Roman" w:hAnsi="Times New Roman" w:cs="Times New Roman"/>
          <w:sz w:val="28"/>
          <w:szCs w:val="28"/>
        </w:rPr>
        <w:t>Date</w:t>
      </w:r>
      <w:r w:rsidR="00344490">
        <w:rPr>
          <w:rFonts w:ascii="Times New Roman" w:hAnsi="Times New Roman" w:cs="Times New Roman"/>
          <w:sz w:val="28"/>
          <w:szCs w:val="28"/>
        </w:rPr>
        <w:t>s</w:t>
      </w:r>
      <w:r w:rsidRPr="003E1D33">
        <w:rPr>
          <w:rFonts w:ascii="Times New Roman" w:hAnsi="Times New Roman" w:cs="Times New Roman"/>
          <w:sz w:val="28"/>
          <w:szCs w:val="28"/>
        </w:rPr>
        <w:t xml:space="preserve"> heard: </w:t>
      </w:r>
      <w:r w:rsidRPr="003E1D33">
        <w:rPr>
          <w:rFonts w:ascii="Times New Roman" w:hAnsi="Times New Roman" w:cs="Times New Roman"/>
          <w:sz w:val="28"/>
          <w:szCs w:val="28"/>
        </w:rPr>
        <w:tab/>
      </w:r>
      <w:r w:rsidRPr="003E1D33">
        <w:rPr>
          <w:rFonts w:ascii="Times New Roman" w:hAnsi="Times New Roman" w:cs="Times New Roman"/>
          <w:sz w:val="28"/>
          <w:szCs w:val="28"/>
        </w:rPr>
        <w:tab/>
      </w:r>
      <w:r w:rsidRPr="003E1D33">
        <w:rPr>
          <w:rFonts w:ascii="Times New Roman" w:hAnsi="Times New Roman" w:cs="Times New Roman"/>
          <w:sz w:val="28"/>
          <w:szCs w:val="28"/>
        </w:rPr>
        <w:tab/>
      </w:r>
      <w:r w:rsidR="00992EFB">
        <w:rPr>
          <w:rFonts w:ascii="Times New Roman" w:hAnsi="Times New Roman" w:cs="Times New Roman"/>
          <w:sz w:val="28"/>
          <w:szCs w:val="28"/>
        </w:rPr>
        <w:t>19, 20, 21 A</w:t>
      </w:r>
      <w:r w:rsidR="00B3243A">
        <w:rPr>
          <w:rFonts w:ascii="Times New Roman" w:hAnsi="Times New Roman" w:cs="Times New Roman"/>
          <w:sz w:val="28"/>
          <w:szCs w:val="28"/>
        </w:rPr>
        <w:t>pril</w:t>
      </w:r>
      <w:r w:rsidR="00A43398">
        <w:rPr>
          <w:rFonts w:ascii="Times New Roman" w:hAnsi="Times New Roman" w:cs="Times New Roman"/>
          <w:sz w:val="28"/>
          <w:szCs w:val="28"/>
        </w:rPr>
        <w:t>;</w:t>
      </w:r>
      <w:r w:rsidR="00B3243A">
        <w:rPr>
          <w:rFonts w:ascii="Times New Roman" w:hAnsi="Times New Roman" w:cs="Times New Roman"/>
          <w:sz w:val="28"/>
          <w:szCs w:val="28"/>
        </w:rPr>
        <w:t xml:space="preserve"> 21 June</w:t>
      </w:r>
      <w:r w:rsidR="00A43398">
        <w:rPr>
          <w:rFonts w:ascii="Times New Roman" w:hAnsi="Times New Roman" w:cs="Times New Roman"/>
          <w:sz w:val="28"/>
          <w:szCs w:val="28"/>
        </w:rPr>
        <w:t>;</w:t>
      </w:r>
      <w:r w:rsidR="00B3243A">
        <w:rPr>
          <w:rFonts w:ascii="Times New Roman" w:hAnsi="Times New Roman" w:cs="Times New Roman"/>
          <w:sz w:val="28"/>
          <w:szCs w:val="28"/>
        </w:rPr>
        <w:t xml:space="preserve"> and 19 July 2021</w:t>
      </w:r>
    </w:p>
    <w:p w:rsidR="003E1D33" w:rsidRPr="003E1D33" w:rsidRDefault="003E1D33" w:rsidP="003E1D33">
      <w:pPr>
        <w:spacing w:line="240" w:lineRule="auto"/>
        <w:ind w:left="851"/>
        <w:jc w:val="both"/>
        <w:rPr>
          <w:rFonts w:ascii="Times New Roman" w:hAnsi="Times New Roman" w:cs="Times New Roman"/>
          <w:sz w:val="28"/>
          <w:szCs w:val="28"/>
        </w:rPr>
      </w:pPr>
    </w:p>
    <w:p w:rsidR="003E1D33" w:rsidRDefault="003E1D33" w:rsidP="006A6D28">
      <w:pPr>
        <w:spacing w:line="240" w:lineRule="auto"/>
        <w:ind w:firstLine="720"/>
        <w:jc w:val="both"/>
        <w:rPr>
          <w:rFonts w:ascii="Times New Roman" w:hAnsi="Times New Roman" w:cs="Times New Roman"/>
          <w:sz w:val="28"/>
          <w:szCs w:val="28"/>
        </w:rPr>
      </w:pPr>
      <w:r w:rsidRPr="003E1D33">
        <w:rPr>
          <w:rFonts w:ascii="Times New Roman" w:hAnsi="Times New Roman" w:cs="Times New Roman"/>
          <w:sz w:val="28"/>
          <w:szCs w:val="28"/>
        </w:rPr>
        <w:t xml:space="preserve">Date delivered: </w:t>
      </w:r>
      <w:r w:rsidRPr="003E1D33">
        <w:rPr>
          <w:rFonts w:ascii="Times New Roman" w:hAnsi="Times New Roman" w:cs="Times New Roman"/>
          <w:sz w:val="28"/>
          <w:szCs w:val="28"/>
        </w:rPr>
        <w:tab/>
      </w:r>
      <w:r w:rsidRPr="003E1D33">
        <w:rPr>
          <w:rFonts w:ascii="Times New Roman" w:hAnsi="Times New Roman" w:cs="Times New Roman"/>
          <w:sz w:val="28"/>
          <w:szCs w:val="28"/>
        </w:rPr>
        <w:tab/>
      </w:r>
      <w:r w:rsidRPr="003E1D33">
        <w:rPr>
          <w:rFonts w:ascii="Times New Roman" w:hAnsi="Times New Roman" w:cs="Times New Roman"/>
          <w:sz w:val="28"/>
          <w:szCs w:val="28"/>
        </w:rPr>
        <w:tab/>
      </w:r>
      <w:r w:rsidR="00A43398">
        <w:rPr>
          <w:rFonts w:ascii="Times New Roman" w:hAnsi="Times New Roman" w:cs="Times New Roman"/>
          <w:sz w:val="28"/>
          <w:szCs w:val="28"/>
        </w:rPr>
        <w:t>26 April 2022</w:t>
      </w:r>
      <w:r w:rsidR="006A6D28">
        <w:rPr>
          <w:rFonts w:ascii="Times New Roman" w:hAnsi="Times New Roman" w:cs="Times New Roman"/>
          <w:sz w:val="28"/>
          <w:szCs w:val="28"/>
        </w:rPr>
        <w:t>.</w:t>
      </w:r>
    </w:p>
    <w:p w:rsidR="00433F60" w:rsidRDefault="00433F60" w:rsidP="006A6D28">
      <w:pPr>
        <w:spacing w:line="240" w:lineRule="auto"/>
        <w:ind w:firstLine="720"/>
        <w:jc w:val="both"/>
        <w:rPr>
          <w:rFonts w:ascii="Times New Roman" w:hAnsi="Times New Roman" w:cs="Times New Roman"/>
          <w:sz w:val="28"/>
          <w:szCs w:val="28"/>
        </w:rPr>
      </w:pPr>
    </w:p>
    <w:p w:rsidR="00433F60" w:rsidRDefault="00433F60" w:rsidP="006A6D28">
      <w:pPr>
        <w:spacing w:line="240" w:lineRule="auto"/>
        <w:ind w:firstLine="720"/>
        <w:jc w:val="both"/>
        <w:rPr>
          <w:rFonts w:ascii="Times New Roman" w:hAnsi="Times New Roman" w:cs="Times New Roman"/>
          <w:sz w:val="28"/>
          <w:szCs w:val="28"/>
        </w:rPr>
      </w:pPr>
    </w:p>
    <w:p w:rsidR="00433F60" w:rsidRPr="006A6D28" w:rsidRDefault="00433F60" w:rsidP="00433F60">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This judgment was handed down in open court and circulated to the parties by email.</w:t>
      </w:r>
    </w:p>
    <w:sectPr w:rsidR="00433F60" w:rsidRPr="006A6D28" w:rsidSect="00A572D4">
      <w:head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999" w:rsidRDefault="00D82999" w:rsidP="00354A12">
      <w:pPr>
        <w:spacing w:line="240" w:lineRule="auto"/>
      </w:pPr>
      <w:r>
        <w:separator/>
      </w:r>
    </w:p>
  </w:endnote>
  <w:endnote w:type="continuationSeparator" w:id="0">
    <w:p w:rsidR="00D82999" w:rsidRDefault="00D82999"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999" w:rsidRDefault="00D82999" w:rsidP="00354A12">
      <w:pPr>
        <w:spacing w:line="240" w:lineRule="auto"/>
      </w:pPr>
      <w:r>
        <w:separator/>
      </w:r>
    </w:p>
  </w:footnote>
  <w:footnote w:type="continuationSeparator" w:id="0">
    <w:p w:rsidR="00D82999" w:rsidRDefault="00D82999" w:rsidP="00354A12">
      <w:pPr>
        <w:spacing w:line="240" w:lineRule="auto"/>
      </w:pPr>
      <w:r>
        <w:continuationSeparator/>
      </w:r>
    </w:p>
  </w:footnote>
  <w:footnote w:id="1">
    <w:p w:rsidR="00DB5CBF" w:rsidRDefault="00DB5CBF" w:rsidP="00CA7C06">
      <w:pPr>
        <w:pStyle w:val="FootnoteText"/>
        <w:jc w:val="both"/>
      </w:pPr>
      <w:r>
        <w:rPr>
          <w:rStyle w:val="FootnoteReference"/>
        </w:rPr>
        <w:footnoteRef/>
      </w:r>
      <w:r>
        <w:t xml:space="preserve"> Constitution of the Republic of South Africa, Act 108 of 1996, as amended</w:t>
      </w:r>
    </w:p>
  </w:footnote>
  <w:footnote w:id="2">
    <w:p w:rsidR="00DB5CBF" w:rsidRDefault="00DB5CBF" w:rsidP="00CA7C06">
      <w:pPr>
        <w:pStyle w:val="FootnoteText"/>
        <w:jc w:val="both"/>
      </w:pPr>
      <w:r>
        <w:rPr>
          <w:rStyle w:val="FootnoteReference"/>
        </w:rPr>
        <w:footnoteRef/>
      </w:r>
      <w:r>
        <w:t xml:space="preserve"> Also known as “Stratcom”</w:t>
      </w:r>
    </w:p>
  </w:footnote>
  <w:footnote w:id="3">
    <w:p w:rsidR="00DB5CBF" w:rsidRDefault="00DB5CBF" w:rsidP="00CA7C06">
      <w:pPr>
        <w:pStyle w:val="FootnoteText"/>
        <w:jc w:val="both"/>
      </w:pPr>
      <w:r>
        <w:rPr>
          <w:rStyle w:val="FootnoteReference"/>
        </w:rPr>
        <w:footnoteRef/>
      </w:r>
      <w:r>
        <w:t xml:space="preserve"> Appointed as such under section 54A of the Local Government: Municipal Systems Act 32 of 2000 read with section 60 of the Local Government: Municipal Finance Management Act 56 of 2003</w:t>
      </w:r>
    </w:p>
  </w:footnote>
  <w:footnote w:id="4">
    <w:p w:rsidR="00DB5CBF" w:rsidRDefault="00DB5CBF" w:rsidP="00CA7C06">
      <w:pPr>
        <w:pStyle w:val="FootnoteText"/>
        <w:jc w:val="both"/>
      </w:pPr>
      <w:r>
        <w:rPr>
          <w:rStyle w:val="FootnoteReference"/>
        </w:rPr>
        <w:footnoteRef/>
      </w:r>
      <w:r>
        <w:t xml:space="preserve"> POC paragraphs 73-74</w:t>
      </w:r>
    </w:p>
  </w:footnote>
  <w:footnote w:id="5">
    <w:p w:rsidR="00DB5CBF" w:rsidRDefault="00DB5CBF" w:rsidP="00CA7C06">
      <w:pPr>
        <w:pStyle w:val="FootnoteText"/>
        <w:jc w:val="both"/>
      </w:pPr>
      <w:r>
        <w:rPr>
          <w:rStyle w:val="FootnoteReference"/>
        </w:rPr>
        <w:footnoteRef/>
      </w:r>
      <w:r>
        <w:t xml:space="preserve"> POC paragraph 81</w:t>
      </w:r>
    </w:p>
  </w:footnote>
  <w:footnote w:id="6">
    <w:p w:rsidR="00DB5CBF" w:rsidRDefault="00DB5CBF" w:rsidP="00CA7C06">
      <w:pPr>
        <w:pStyle w:val="FootnoteText"/>
        <w:jc w:val="both"/>
      </w:pPr>
      <w:r>
        <w:rPr>
          <w:rStyle w:val="FootnoteReference"/>
        </w:rPr>
        <w:footnoteRef/>
      </w:r>
      <w:r>
        <w:t xml:space="preserve"> Act 56 of 2003, as amended</w:t>
      </w:r>
    </w:p>
  </w:footnote>
  <w:footnote w:id="7">
    <w:p w:rsidR="00DB5CBF" w:rsidRDefault="00DB5CBF" w:rsidP="00CA7C06">
      <w:pPr>
        <w:pStyle w:val="FootnoteText"/>
        <w:jc w:val="both"/>
      </w:pPr>
      <w:r>
        <w:rPr>
          <w:rStyle w:val="FootnoteReference"/>
        </w:rPr>
        <w:footnoteRef/>
      </w:r>
      <w:r>
        <w:t xml:space="preserve"> All with attendant costs orders that included the costs of two counsel.</w:t>
      </w:r>
    </w:p>
  </w:footnote>
  <w:footnote w:id="8">
    <w:p w:rsidR="00DB5CBF" w:rsidRDefault="00DB5CBF" w:rsidP="00CA7C06">
      <w:pPr>
        <w:pStyle w:val="FootnoteText"/>
        <w:jc w:val="both"/>
      </w:pPr>
      <w:r>
        <w:rPr>
          <w:rStyle w:val="FootnoteReference"/>
        </w:rPr>
        <w:footnoteRef/>
      </w:r>
      <w:r>
        <w:t xml:space="preserve"> Roll call preparation checklist 23 October 2020 paragraph 1.5.2; Plaintiff’s heads of argument paragraph [11]</w:t>
      </w:r>
    </w:p>
  </w:footnote>
  <w:footnote w:id="9">
    <w:p w:rsidR="00DB5CBF" w:rsidRDefault="00DB5CBF" w:rsidP="00C53C92">
      <w:pPr>
        <w:pStyle w:val="FootnoteText"/>
        <w:jc w:val="both"/>
      </w:pPr>
      <w:r>
        <w:rPr>
          <w:rStyle w:val="FootnoteReference"/>
        </w:rPr>
        <w:footnoteRef/>
      </w:r>
      <w:r>
        <w:t xml:space="preserve"> Transcript 19 April 2021 at 2:3-8</w:t>
      </w:r>
    </w:p>
  </w:footnote>
  <w:footnote w:id="10">
    <w:p w:rsidR="00DB5CBF" w:rsidRDefault="00DB5CBF" w:rsidP="00C53C92">
      <w:pPr>
        <w:pStyle w:val="FootnoteText"/>
        <w:jc w:val="both"/>
      </w:pPr>
      <w:r>
        <w:rPr>
          <w:rStyle w:val="FootnoteReference"/>
        </w:rPr>
        <w:footnoteRef/>
      </w:r>
      <w:r>
        <w:t xml:space="preserve"> The applicable regulatory instruments being, inter alia, the Constitution (s217); the Preferential Procurement Policy Framework Act 5 of 2000; Chapter 11 of the Local Government: Municipal Finance Management Act 56 of 2003 (including sections 110 to 119); the Municipal Supply Chain Management Regulations published in Government Gazette No. 27636 on 30 May 2005, Government Notice 868 of 2005 (“the Regulations”); and the plaintiff’s Supply Chain Management Policy (“the Policy”) applicable at the time</w:t>
      </w:r>
    </w:p>
  </w:footnote>
  <w:footnote w:id="11">
    <w:p w:rsidR="00DB5CBF" w:rsidRDefault="00DB5CBF" w:rsidP="001602D8">
      <w:pPr>
        <w:pStyle w:val="FootnoteText"/>
        <w:jc w:val="both"/>
      </w:pPr>
      <w:r>
        <w:rPr>
          <w:rStyle w:val="FootnoteReference"/>
        </w:rPr>
        <w:footnoteRef/>
      </w:r>
      <w:r>
        <w:t xml:space="preserve"> The policy is included in the plaintiff’s bundle</w:t>
      </w:r>
    </w:p>
  </w:footnote>
  <w:footnote w:id="12">
    <w:p w:rsidR="00DB5CBF" w:rsidRDefault="00DB5CBF" w:rsidP="00C53C92">
      <w:pPr>
        <w:pStyle w:val="FootnoteText"/>
        <w:jc w:val="both"/>
      </w:pPr>
      <w:r>
        <w:rPr>
          <w:rStyle w:val="FootnoteReference"/>
        </w:rPr>
        <w:footnoteRef/>
      </w:r>
      <w:r>
        <w:t xml:space="preserve"> as published in Government Gazette No. 27636 on 30 May 2005, Government Notice 868 of 2005</w:t>
      </w:r>
    </w:p>
  </w:footnote>
  <w:footnote w:id="13">
    <w:p w:rsidR="00DB5CBF" w:rsidRDefault="00DB5CBF" w:rsidP="00C53C92">
      <w:pPr>
        <w:pStyle w:val="FootnoteText"/>
        <w:jc w:val="both"/>
      </w:pPr>
      <w:r>
        <w:rPr>
          <w:rStyle w:val="FootnoteReference"/>
        </w:rPr>
        <w:footnoteRef/>
      </w:r>
      <w:r>
        <w:t xml:space="preserve"> Heads of argument plaintiff paragraph 9</w:t>
      </w:r>
    </w:p>
  </w:footnote>
  <w:footnote w:id="14">
    <w:p w:rsidR="00DB5CBF" w:rsidRDefault="00DB5CBF" w:rsidP="00C53C92">
      <w:pPr>
        <w:pStyle w:val="FootnoteText"/>
        <w:jc w:val="both"/>
      </w:pPr>
      <w:r>
        <w:rPr>
          <w:rStyle w:val="FootnoteReference"/>
        </w:rPr>
        <w:footnoteRef/>
      </w:r>
      <w:r>
        <w:t xml:space="preserve"> Unreported ECPEHC Case No. 3786/2017, delivered 29 May 2018, at paragraph [4]</w:t>
      </w:r>
    </w:p>
  </w:footnote>
  <w:footnote w:id="15">
    <w:p w:rsidR="00DB5CBF" w:rsidRDefault="00DB5CBF" w:rsidP="00C53C92">
      <w:pPr>
        <w:pStyle w:val="FootnoteText"/>
        <w:jc w:val="both"/>
      </w:pPr>
      <w:r>
        <w:rPr>
          <w:rStyle w:val="FootnoteReference"/>
        </w:rPr>
        <w:footnoteRef/>
      </w:r>
      <w:r>
        <w:t xml:space="preserve"> </w:t>
      </w:r>
      <w:r w:rsidRPr="00A472F6">
        <w:rPr>
          <w:i/>
        </w:rPr>
        <w:t>"fruitless and wasteful expenditure"</w:t>
      </w:r>
      <w:r>
        <w:t xml:space="preserve">, by contrast, is expenditure incurred in vain and would have been avoided had a reasonable care been exercised, and </w:t>
      </w:r>
      <w:r w:rsidRPr="00A472F6">
        <w:rPr>
          <w:i/>
        </w:rPr>
        <w:t>"unauthorised expenditure"</w:t>
      </w:r>
      <w:r>
        <w:t xml:space="preserve"> is expenditure incurred otherwise than in accordance with the specified provisions of the MFMA which require expenditure to be incurred in terms of an approved budget.</w:t>
      </w:r>
    </w:p>
  </w:footnote>
  <w:footnote w:id="16">
    <w:p w:rsidR="00DB5CBF" w:rsidRDefault="00DB5CBF" w:rsidP="00AA2A56">
      <w:pPr>
        <w:pStyle w:val="FootnoteText"/>
        <w:jc w:val="both"/>
      </w:pPr>
      <w:r>
        <w:rPr>
          <w:rStyle w:val="FootnoteReference"/>
        </w:rPr>
        <w:footnoteRef/>
      </w:r>
      <w:r>
        <w:t xml:space="preserve"> POC paragraph 50</w:t>
      </w:r>
    </w:p>
  </w:footnote>
  <w:footnote w:id="17">
    <w:p w:rsidR="00DB5CBF" w:rsidRDefault="00DB5CBF" w:rsidP="00AA2A56">
      <w:pPr>
        <w:pStyle w:val="FootnoteText"/>
        <w:jc w:val="both"/>
      </w:pPr>
      <w:r>
        <w:rPr>
          <w:rStyle w:val="FootnoteReference"/>
        </w:rPr>
        <w:footnoteRef/>
      </w:r>
      <w:r>
        <w:t xml:space="preserve"> Evidence Mettler, transcript 19 April 2021, 50:11-13</w:t>
      </w:r>
    </w:p>
  </w:footnote>
  <w:footnote w:id="18">
    <w:p w:rsidR="00DB5CBF" w:rsidRDefault="00DB5CBF" w:rsidP="00AA2A56">
      <w:pPr>
        <w:pStyle w:val="FootnoteText"/>
        <w:jc w:val="both"/>
      </w:pPr>
      <w:r>
        <w:rPr>
          <w:rStyle w:val="FootnoteReference"/>
        </w:rPr>
        <w:footnoteRef/>
      </w:r>
      <w:r>
        <w:t xml:space="preserve"> Transcript 19 April 2021 50:14</w:t>
      </w:r>
    </w:p>
  </w:footnote>
  <w:footnote w:id="19">
    <w:p w:rsidR="00DB5CBF" w:rsidRDefault="00DB5CBF" w:rsidP="00AA2A56">
      <w:pPr>
        <w:pStyle w:val="FootnoteText"/>
        <w:jc w:val="both"/>
      </w:pPr>
      <w:r>
        <w:rPr>
          <w:rStyle w:val="FootnoteReference"/>
        </w:rPr>
        <w:footnoteRef/>
      </w:r>
      <w:r>
        <w:t xml:space="preserve"> Transcript 19 April 2021 50:15-51:9</w:t>
      </w:r>
    </w:p>
  </w:footnote>
  <w:footnote w:id="20">
    <w:p w:rsidR="00DB5CBF" w:rsidRDefault="00DB5CBF" w:rsidP="00AA2A56">
      <w:pPr>
        <w:pStyle w:val="FootnoteText"/>
        <w:jc w:val="both"/>
      </w:pPr>
      <w:r>
        <w:rPr>
          <w:rStyle w:val="FootnoteReference"/>
        </w:rPr>
        <w:footnoteRef/>
      </w:r>
      <w:r>
        <w:t xml:space="preserve"> Unreported, A309/2017 (ZAWCHC) (6 February 2019) at paragraph [53]</w:t>
      </w:r>
    </w:p>
  </w:footnote>
  <w:footnote w:id="21">
    <w:p w:rsidR="00DB5CBF" w:rsidRDefault="00DB5CBF" w:rsidP="00AA2A56">
      <w:pPr>
        <w:pStyle w:val="FootnoteText"/>
        <w:jc w:val="both"/>
      </w:pPr>
      <w:r>
        <w:rPr>
          <w:rStyle w:val="FootnoteReference"/>
        </w:rPr>
        <w:footnoteRef/>
      </w:r>
      <w:r>
        <w:t xml:space="preserve"> Particulars of Claim (POC), annexure POC2</w:t>
      </w:r>
    </w:p>
  </w:footnote>
  <w:footnote w:id="22">
    <w:p w:rsidR="00DB5CBF" w:rsidRDefault="00DB5CBF" w:rsidP="00AA2A56">
      <w:pPr>
        <w:pStyle w:val="FootnoteText"/>
        <w:jc w:val="both"/>
      </w:pPr>
      <w:r>
        <w:rPr>
          <w:rStyle w:val="FootnoteReference"/>
        </w:rPr>
        <w:footnoteRef/>
      </w:r>
      <w:r>
        <w:t xml:space="preserve"> annexure POC2 paragraph 2.17</w:t>
      </w:r>
    </w:p>
  </w:footnote>
  <w:footnote w:id="23">
    <w:p w:rsidR="00DB5CBF" w:rsidRDefault="00DB5CBF" w:rsidP="00AA2A56">
      <w:pPr>
        <w:pStyle w:val="FootnoteText"/>
        <w:jc w:val="both"/>
      </w:pPr>
      <w:r>
        <w:rPr>
          <w:rStyle w:val="FootnoteReference"/>
        </w:rPr>
        <w:footnoteRef/>
      </w:r>
      <w:r>
        <w:t xml:space="preserve"> See also annexure POC2 paragraph 6</w:t>
      </w:r>
    </w:p>
  </w:footnote>
  <w:footnote w:id="24">
    <w:p w:rsidR="00DB5CBF" w:rsidRDefault="00DB5CBF" w:rsidP="00AA2A56">
      <w:pPr>
        <w:pStyle w:val="FootnoteText"/>
        <w:jc w:val="both"/>
      </w:pPr>
      <w:r>
        <w:rPr>
          <w:rStyle w:val="FootnoteReference"/>
        </w:rPr>
        <w:footnoteRef/>
      </w:r>
      <w:r>
        <w:t xml:space="preserve"> annexure POC2 paragraph 2.14</w:t>
      </w:r>
    </w:p>
  </w:footnote>
  <w:footnote w:id="25">
    <w:p w:rsidR="00DB5CBF" w:rsidRDefault="00DB5CBF" w:rsidP="00AA2A56">
      <w:pPr>
        <w:pStyle w:val="FootnoteText"/>
        <w:jc w:val="both"/>
      </w:pPr>
      <w:r>
        <w:rPr>
          <w:rStyle w:val="FootnoteReference"/>
        </w:rPr>
        <w:footnoteRef/>
      </w:r>
      <w:r>
        <w:t xml:space="preserve"> Heads of argument, plaintiff paragraph31.6-31.7, also annexure POC2 paragraphs 9.1; 10; and 10.1</w:t>
      </w:r>
    </w:p>
  </w:footnote>
  <w:footnote w:id="26">
    <w:p w:rsidR="00DB5CBF" w:rsidRDefault="00DB5CBF" w:rsidP="00AA2A56">
      <w:pPr>
        <w:pStyle w:val="FootnoteText"/>
        <w:jc w:val="both"/>
      </w:pPr>
      <w:r>
        <w:rPr>
          <w:rStyle w:val="FootnoteReference"/>
        </w:rPr>
        <w:footnoteRef/>
      </w:r>
      <w:r>
        <w:t xml:space="preserve"> POC paragraph 14; annexure POC 2 paragraph 10.2</w:t>
      </w:r>
    </w:p>
  </w:footnote>
  <w:footnote w:id="27">
    <w:p w:rsidR="00DB5CBF" w:rsidRDefault="00DB5CBF" w:rsidP="00AA2A56">
      <w:pPr>
        <w:pStyle w:val="FootnoteText"/>
        <w:jc w:val="both"/>
      </w:pPr>
      <w:r>
        <w:rPr>
          <w:rStyle w:val="FootnoteReference"/>
        </w:rPr>
        <w:footnoteRef/>
      </w:r>
      <w:r>
        <w:t xml:space="preserve"> annexure POC3</w:t>
      </w:r>
    </w:p>
  </w:footnote>
  <w:footnote w:id="28">
    <w:p w:rsidR="00DB5CBF" w:rsidRDefault="00DB5CBF" w:rsidP="00AA2A56">
      <w:pPr>
        <w:pStyle w:val="FootnoteText"/>
        <w:jc w:val="both"/>
      </w:pPr>
      <w:r>
        <w:rPr>
          <w:rStyle w:val="FootnoteReference"/>
        </w:rPr>
        <w:footnoteRef/>
      </w:r>
      <w:r>
        <w:t xml:space="preserve"> annexure POC3 paragraph 4</w:t>
      </w:r>
    </w:p>
  </w:footnote>
  <w:footnote w:id="29">
    <w:p w:rsidR="00DB5CBF" w:rsidRDefault="00DB5CBF" w:rsidP="00AA2A56">
      <w:pPr>
        <w:pStyle w:val="FootnoteText"/>
        <w:jc w:val="both"/>
      </w:pPr>
      <w:r>
        <w:rPr>
          <w:rStyle w:val="FootnoteReference"/>
        </w:rPr>
        <w:footnoteRef/>
      </w:r>
      <w:r>
        <w:t xml:space="preserve"> annexure POC3 paragraph 3</w:t>
      </w:r>
    </w:p>
  </w:footnote>
  <w:footnote w:id="30">
    <w:p w:rsidR="00DB5CBF" w:rsidRDefault="00DB5CBF" w:rsidP="00AA2A56">
      <w:pPr>
        <w:pStyle w:val="FootnoteText"/>
        <w:jc w:val="both"/>
      </w:pPr>
      <w:r>
        <w:rPr>
          <w:rStyle w:val="FootnoteReference"/>
        </w:rPr>
        <w:footnoteRef/>
      </w:r>
      <w:r>
        <w:t xml:space="preserve"> annexure POC paragraphs17-17.4</w:t>
      </w:r>
    </w:p>
  </w:footnote>
  <w:footnote w:id="31">
    <w:p w:rsidR="00DB5CBF" w:rsidRDefault="00DB5CBF" w:rsidP="00AA2A56">
      <w:pPr>
        <w:pStyle w:val="FootnoteText"/>
        <w:jc w:val="both"/>
      </w:pPr>
      <w:r>
        <w:rPr>
          <w:rStyle w:val="FootnoteReference"/>
        </w:rPr>
        <w:footnoteRef/>
      </w:r>
      <w:r>
        <w:t xml:space="preserve"> Heads of argument plaintiff paragraph 32.6</w:t>
      </w:r>
    </w:p>
  </w:footnote>
  <w:footnote w:id="32">
    <w:p w:rsidR="00DB5CBF" w:rsidRDefault="00DB5CBF" w:rsidP="00AA2A56">
      <w:pPr>
        <w:pStyle w:val="FootnoteText"/>
        <w:jc w:val="both"/>
      </w:pPr>
      <w:r>
        <w:rPr>
          <w:rStyle w:val="FootnoteReference"/>
        </w:rPr>
        <w:footnoteRef/>
      </w:r>
      <w:r>
        <w:t xml:space="preserve"> annexure POC4</w:t>
      </w:r>
    </w:p>
  </w:footnote>
  <w:footnote w:id="33">
    <w:p w:rsidR="00DB5CBF" w:rsidRDefault="00DB5CBF" w:rsidP="00AA2A56">
      <w:pPr>
        <w:pStyle w:val="FootnoteText"/>
        <w:jc w:val="both"/>
      </w:pPr>
      <w:r>
        <w:rPr>
          <w:rStyle w:val="FootnoteReference"/>
        </w:rPr>
        <w:footnoteRef/>
      </w:r>
      <w:r>
        <w:t xml:space="preserve"> annexure POC5</w:t>
      </w:r>
    </w:p>
  </w:footnote>
  <w:footnote w:id="34">
    <w:p w:rsidR="00DB5CBF" w:rsidRDefault="00DB5CBF" w:rsidP="00AA2A56">
      <w:pPr>
        <w:pStyle w:val="FootnoteText"/>
        <w:jc w:val="both"/>
      </w:pPr>
      <w:r>
        <w:rPr>
          <w:rStyle w:val="FootnoteReference"/>
        </w:rPr>
        <w:footnoteRef/>
      </w:r>
      <w:r>
        <w:t xml:space="preserve"> Transcript 20 April 2021 41:11</w:t>
      </w:r>
    </w:p>
  </w:footnote>
  <w:footnote w:id="35">
    <w:p w:rsidR="00DB5CBF" w:rsidRDefault="00DB5CBF" w:rsidP="00AA2A56">
      <w:pPr>
        <w:pStyle w:val="FootnoteText"/>
        <w:jc w:val="both"/>
      </w:pPr>
      <w:r>
        <w:rPr>
          <w:rStyle w:val="FootnoteReference"/>
        </w:rPr>
        <w:footnoteRef/>
      </w:r>
      <w:r>
        <w:t xml:space="preserve"> Two invoices were initially rendered under the same invoice number 001, the first for an amount of R5 263 157,89 excluding VAT and the second for the amount of R6 million inclusive of VAT; vide annexures POC6.1 and POC6.2</w:t>
      </w:r>
    </w:p>
  </w:footnote>
  <w:footnote w:id="36">
    <w:p w:rsidR="00DB5CBF" w:rsidRDefault="00DB5CBF" w:rsidP="00AA2A56">
      <w:pPr>
        <w:pStyle w:val="FootnoteText"/>
        <w:jc w:val="both"/>
      </w:pPr>
      <w:r>
        <w:rPr>
          <w:rStyle w:val="FootnoteReference"/>
        </w:rPr>
        <w:footnoteRef/>
      </w:r>
      <w:r>
        <w:t xml:space="preserve"> Plaintiff’s bundle page 114-115</w:t>
      </w:r>
    </w:p>
  </w:footnote>
  <w:footnote w:id="37">
    <w:p w:rsidR="00DB5CBF" w:rsidRDefault="00DB5CBF" w:rsidP="00AA2A56">
      <w:pPr>
        <w:pStyle w:val="FootnoteText"/>
        <w:jc w:val="both"/>
      </w:pPr>
      <w:r>
        <w:rPr>
          <w:rStyle w:val="FootnoteReference"/>
        </w:rPr>
        <w:footnoteRef/>
      </w:r>
      <w:r>
        <w:t xml:space="preserve"> Cross-examination De </w:t>
      </w:r>
      <w:r w:rsidR="002B4B1C">
        <w:t>Scande</w:t>
      </w:r>
      <w:r>
        <w:t>, Transcript 20 April 2021,pp 27-30</w:t>
      </w:r>
    </w:p>
  </w:footnote>
  <w:footnote w:id="38">
    <w:p w:rsidR="00DB5CBF" w:rsidRDefault="00DB5CBF" w:rsidP="00AA2A56">
      <w:pPr>
        <w:pStyle w:val="FootnoteText"/>
        <w:jc w:val="both"/>
      </w:pPr>
      <w:r>
        <w:rPr>
          <w:rStyle w:val="FootnoteReference"/>
        </w:rPr>
        <w:footnoteRef/>
      </w:r>
      <w:r>
        <w:t xml:space="preserve"> annexure POC8</w:t>
      </w:r>
    </w:p>
  </w:footnote>
  <w:footnote w:id="39">
    <w:p w:rsidR="00DB5CBF" w:rsidRDefault="00DB5CBF" w:rsidP="00AA2A56">
      <w:pPr>
        <w:pStyle w:val="FootnoteText"/>
        <w:jc w:val="both"/>
      </w:pPr>
      <w:r>
        <w:rPr>
          <w:rStyle w:val="FootnoteReference"/>
        </w:rPr>
        <w:footnoteRef/>
      </w:r>
      <w:r>
        <w:t xml:space="preserve"> annexure POC paragraphs 24.1-24.6</w:t>
      </w:r>
    </w:p>
  </w:footnote>
  <w:footnote w:id="40">
    <w:p w:rsidR="00DB5CBF" w:rsidRDefault="00DB5CBF" w:rsidP="00AA2A56">
      <w:pPr>
        <w:pStyle w:val="FootnoteText"/>
        <w:jc w:val="both"/>
      </w:pPr>
      <w:r>
        <w:rPr>
          <w:rStyle w:val="FootnoteReference"/>
        </w:rPr>
        <w:footnoteRef/>
      </w:r>
      <w:r>
        <w:t xml:space="preserve"> annexure POC9</w:t>
      </w:r>
    </w:p>
  </w:footnote>
  <w:footnote w:id="41">
    <w:p w:rsidR="00DB5CBF" w:rsidRDefault="00DB5CBF" w:rsidP="00AA2A56">
      <w:pPr>
        <w:pStyle w:val="FootnoteText"/>
        <w:jc w:val="both"/>
      </w:pPr>
      <w:r>
        <w:rPr>
          <w:rStyle w:val="FootnoteReference"/>
        </w:rPr>
        <w:footnoteRef/>
      </w:r>
      <w:r>
        <w:t xml:space="preserve"> annexure POC10</w:t>
      </w:r>
    </w:p>
  </w:footnote>
  <w:footnote w:id="42">
    <w:p w:rsidR="00DB5CBF" w:rsidRDefault="00DB5CBF" w:rsidP="00AA2A56">
      <w:pPr>
        <w:pStyle w:val="FootnoteText"/>
        <w:jc w:val="both"/>
      </w:pPr>
      <w:r>
        <w:rPr>
          <w:rStyle w:val="FootnoteReference"/>
        </w:rPr>
        <w:footnoteRef/>
      </w:r>
      <w:r>
        <w:t xml:space="preserve"> annexure POC paragraph 31</w:t>
      </w:r>
    </w:p>
  </w:footnote>
  <w:footnote w:id="43">
    <w:p w:rsidR="00DB5CBF" w:rsidRDefault="00DB5CBF" w:rsidP="00AA2A56">
      <w:pPr>
        <w:pStyle w:val="FootnoteText"/>
        <w:jc w:val="both"/>
      </w:pPr>
      <w:r>
        <w:rPr>
          <w:rStyle w:val="FootnoteReference"/>
        </w:rPr>
        <w:footnoteRef/>
      </w:r>
      <w:r>
        <w:t xml:space="preserve"> annexure POC11</w:t>
      </w:r>
    </w:p>
  </w:footnote>
  <w:footnote w:id="44">
    <w:p w:rsidR="00DB5CBF" w:rsidRDefault="00DB5CBF" w:rsidP="00AA2A56">
      <w:pPr>
        <w:pStyle w:val="FootnoteText"/>
        <w:jc w:val="both"/>
      </w:pPr>
      <w:r>
        <w:rPr>
          <w:rStyle w:val="FootnoteReference"/>
        </w:rPr>
        <w:footnoteRef/>
      </w:r>
      <w:r>
        <w:t xml:space="preserve"> Heads of argument plaintiff paragraph 34.3</w:t>
      </w:r>
    </w:p>
  </w:footnote>
  <w:footnote w:id="45">
    <w:p w:rsidR="00DB5CBF" w:rsidRDefault="00DB5CBF" w:rsidP="00AA2A56">
      <w:pPr>
        <w:pStyle w:val="FootnoteText"/>
        <w:jc w:val="both"/>
      </w:pPr>
      <w:r>
        <w:rPr>
          <w:rStyle w:val="FootnoteReference"/>
        </w:rPr>
        <w:footnoteRef/>
      </w:r>
      <w:r>
        <w:t xml:space="preserve"> annexure POC13</w:t>
      </w:r>
    </w:p>
  </w:footnote>
  <w:footnote w:id="46">
    <w:p w:rsidR="00DB5CBF" w:rsidRDefault="00DB5CBF" w:rsidP="00AA2A56">
      <w:pPr>
        <w:pStyle w:val="FootnoteText"/>
        <w:jc w:val="both"/>
      </w:pPr>
      <w:r>
        <w:rPr>
          <w:rStyle w:val="FootnoteReference"/>
        </w:rPr>
        <w:footnoteRef/>
      </w:r>
      <w:r>
        <w:t xml:space="preserve"> annexure POC14</w:t>
      </w:r>
    </w:p>
  </w:footnote>
  <w:footnote w:id="47">
    <w:p w:rsidR="00DB5CBF" w:rsidRDefault="00DB5CBF" w:rsidP="00AA2A56">
      <w:pPr>
        <w:pStyle w:val="FootnoteText"/>
        <w:jc w:val="both"/>
      </w:pPr>
      <w:r>
        <w:rPr>
          <w:rStyle w:val="FootnoteReference"/>
        </w:rPr>
        <w:footnoteRef/>
      </w:r>
      <w:r>
        <w:t xml:space="preserve"> annexure POC15</w:t>
      </w:r>
    </w:p>
  </w:footnote>
  <w:footnote w:id="48">
    <w:p w:rsidR="00DB5CBF" w:rsidRDefault="00DB5CBF" w:rsidP="00AA2A56">
      <w:pPr>
        <w:pStyle w:val="FootnoteText"/>
        <w:jc w:val="both"/>
      </w:pPr>
      <w:r>
        <w:rPr>
          <w:rStyle w:val="FootnoteReference"/>
        </w:rPr>
        <w:footnoteRef/>
      </w:r>
      <w:r>
        <w:t xml:space="preserve"> annexure POC paragraph 36</w:t>
      </w:r>
    </w:p>
  </w:footnote>
  <w:footnote w:id="49">
    <w:p w:rsidR="00DB5CBF" w:rsidRDefault="00DB5CBF" w:rsidP="00AA2A56">
      <w:pPr>
        <w:pStyle w:val="FootnoteText"/>
        <w:jc w:val="both"/>
      </w:pPr>
      <w:r>
        <w:rPr>
          <w:rStyle w:val="FootnoteReference"/>
        </w:rPr>
        <w:footnoteRef/>
      </w:r>
      <w:r>
        <w:t xml:space="preserve"> annexure POC paragraphs 37-38 and 41</w:t>
      </w:r>
    </w:p>
  </w:footnote>
  <w:footnote w:id="50">
    <w:p w:rsidR="00DB5CBF" w:rsidRDefault="00DB5CBF" w:rsidP="00AA2A56">
      <w:pPr>
        <w:pStyle w:val="FootnoteText"/>
        <w:jc w:val="both"/>
      </w:pPr>
      <w:r>
        <w:rPr>
          <w:rStyle w:val="FootnoteReference"/>
        </w:rPr>
        <w:footnoteRef/>
      </w:r>
      <w:r>
        <w:t xml:space="preserve"> annexure POC16 and POC17</w:t>
      </w:r>
    </w:p>
  </w:footnote>
  <w:footnote w:id="51">
    <w:p w:rsidR="00DB5CBF" w:rsidRDefault="00DB5CBF">
      <w:pPr>
        <w:pStyle w:val="FootnoteText"/>
      </w:pPr>
      <w:r>
        <w:rPr>
          <w:rStyle w:val="FootnoteReference"/>
        </w:rPr>
        <w:footnoteRef/>
      </w:r>
      <w:r>
        <w:t xml:space="preserve"> POC paragraphs 85-87</w:t>
      </w:r>
    </w:p>
  </w:footnote>
  <w:footnote w:id="52">
    <w:p w:rsidR="00DB5CBF" w:rsidRDefault="00DB5CBF" w:rsidP="00AA2A56">
      <w:pPr>
        <w:pStyle w:val="FootnoteText"/>
        <w:jc w:val="both"/>
      </w:pPr>
      <w:r>
        <w:rPr>
          <w:rStyle w:val="FootnoteReference"/>
        </w:rPr>
        <w:footnoteRef/>
      </w:r>
      <w:r>
        <w:t xml:space="preserve"> annexure POC18</w:t>
      </w:r>
    </w:p>
  </w:footnote>
  <w:footnote w:id="53">
    <w:p w:rsidR="00DB5CBF" w:rsidRDefault="00DB5CBF" w:rsidP="00AA2A56">
      <w:pPr>
        <w:pStyle w:val="FootnoteText"/>
        <w:jc w:val="both"/>
      </w:pPr>
      <w:r>
        <w:rPr>
          <w:rStyle w:val="FootnoteReference"/>
        </w:rPr>
        <w:footnoteRef/>
      </w:r>
      <w:r>
        <w:t xml:space="preserve"> annexure POC19</w:t>
      </w:r>
    </w:p>
  </w:footnote>
  <w:footnote w:id="54">
    <w:p w:rsidR="00DB5CBF" w:rsidRDefault="00DB5CBF" w:rsidP="00AA2A56">
      <w:pPr>
        <w:pStyle w:val="FootnoteText"/>
        <w:jc w:val="both"/>
      </w:pPr>
      <w:r>
        <w:rPr>
          <w:rStyle w:val="FootnoteReference"/>
        </w:rPr>
        <w:footnoteRef/>
      </w:r>
      <w:r>
        <w:t xml:space="preserve"> POC paragraphs 42-44</w:t>
      </w:r>
    </w:p>
  </w:footnote>
  <w:footnote w:id="55">
    <w:p w:rsidR="00DB5CBF" w:rsidRDefault="00DB5CBF" w:rsidP="00AA2A56">
      <w:pPr>
        <w:pStyle w:val="FootnoteText"/>
        <w:jc w:val="both"/>
      </w:pPr>
      <w:r>
        <w:rPr>
          <w:rStyle w:val="FootnoteReference"/>
        </w:rPr>
        <w:footnoteRef/>
      </w:r>
      <w:r>
        <w:t xml:space="preserve"> POC paragraphs 45-46</w:t>
      </w:r>
      <w:r w:rsidR="007F66C2">
        <w:t xml:space="preserve"> and POC19</w:t>
      </w:r>
    </w:p>
  </w:footnote>
  <w:footnote w:id="56">
    <w:p w:rsidR="00DB5CBF" w:rsidRDefault="00DB5CBF" w:rsidP="00AA2A56">
      <w:pPr>
        <w:pStyle w:val="FootnoteText"/>
        <w:jc w:val="both"/>
      </w:pPr>
      <w:r>
        <w:rPr>
          <w:rStyle w:val="FootnoteReference"/>
        </w:rPr>
        <w:footnoteRef/>
      </w:r>
      <w:r>
        <w:t xml:space="preserve"> POC paragraph 47</w:t>
      </w:r>
    </w:p>
  </w:footnote>
  <w:footnote w:id="57">
    <w:p w:rsidR="00DB5CBF" w:rsidRDefault="00DB5CBF" w:rsidP="00AA2A56">
      <w:pPr>
        <w:pStyle w:val="FootnoteText"/>
        <w:jc w:val="both"/>
      </w:pPr>
      <w:r>
        <w:rPr>
          <w:rStyle w:val="FootnoteReference"/>
        </w:rPr>
        <w:footnoteRef/>
      </w:r>
      <w:r>
        <w:t xml:space="preserve"> annexures POC20 and POC21</w:t>
      </w:r>
    </w:p>
  </w:footnote>
  <w:footnote w:id="58">
    <w:p w:rsidR="00DB5CBF" w:rsidRDefault="00DB5CBF" w:rsidP="00A15E23">
      <w:pPr>
        <w:pStyle w:val="FootnoteText"/>
      </w:pPr>
      <w:r>
        <w:rPr>
          <w:rStyle w:val="FootnoteReference"/>
        </w:rPr>
        <w:footnoteRef/>
      </w:r>
      <w:r>
        <w:t xml:space="preserve"> As pleaded in paragraphs 51 to 55 and in paragraph 58 of the POC</w:t>
      </w:r>
    </w:p>
  </w:footnote>
  <w:footnote w:id="59">
    <w:p w:rsidR="00DB5CBF" w:rsidRDefault="00DB5CBF" w:rsidP="00A15E23">
      <w:pPr>
        <w:pStyle w:val="FootnoteText"/>
      </w:pPr>
      <w:r>
        <w:rPr>
          <w:rStyle w:val="FootnoteReference"/>
        </w:rPr>
        <w:footnoteRef/>
      </w:r>
      <w:r>
        <w:t xml:space="preserve"> Heads of argument plaintiff paragraph 11</w:t>
      </w:r>
    </w:p>
  </w:footnote>
  <w:footnote w:id="60">
    <w:p w:rsidR="00DB5CBF" w:rsidRDefault="00DB5CBF" w:rsidP="00A15E23">
      <w:pPr>
        <w:pStyle w:val="FootnoteText"/>
      </w:pPr>
      <w:r>
        <w:rPr>
          <w:rStyle w:val="FootnoteReference"/>
        </w:rPr>
        <w:footnoteRef/>
      </w:r>
      <w:r>
        <w:t xml:space="preserve"> See </w:t>
      </w:r>
      <w:r w:rsidRPr="00447084">
        <w:rPr>
          <w:i/>
        </w:rPr>
        <w:t>Buffalo City Metropolitan Municipality v Asla Construction (Pty) Ltd</w:t>
      </w:r>
      <w:r>
        <w:t xml:space="preserve"> 2019 (4) SA 331 (CC)</w:t>
      </w:r>
    </w:p>
  </w:footnote>
  <w:footnote w:id="61">
    <w:p w:rsidR="00DB5CBF" w:rsidRDefault="00DB5CBF" w:rsidP="00A15E23">
      <w:pPr>
        <w:pStyle w:val="FootnoteText"/>
      </w:pPr>
      <w:r>
        <w:rPr>
          <w:rStyle w:val="FootnoteReference"/>
        </w:rPr>
        <w:footnoteRef/>
      </w:r>
      <w:r>
        <w:t xml:space="preserve"> POC paragraph 56.</w:t>
      </w:r>
    </w:p>
  </w:footnote>
  <w:footnote w:id="62">
    <w:p w:rsidR="00DB5CBF" w:rsidRDefault="00DB5CBF" w:rsidP="00A15E23">
      <w:pPr>
        <w:pStyle w:val="FootnoteText"/>
      </w:pPr>
      <w:r>
        <w:rPr>
          <w:rStyle w:val="FootnoteReference"/>
        </w:rPr>
        <w:footnoteRef/>
      </w:r>
      <w:r>
        <w:t xml:space="preserve"> POC paragraph 59</w:t>
      </w:r>
    </w:p>
  </w:footnote>
  <w:footnote w:id="63">
    <w:p w:rsidR="00DB5CBF" w:rsidRDefault="00DB5CBF" w:rsidP="00A15E23">
      <w:pPr>
        <w:pStyle w:val="FootnoteText"/>
      </w:pPr>
      <w:r>
        <w:rPr>
          <w:rStyle w:val="FootnoteReference"/>
        </w:rPr>
        <w:footnoteRef/>
      </w:r>
      <w:r>
        <w:t xml:space="preserve"> POC paragraphs 63-65</w:t>
      </w:r>
    </w:p>
  </w:footnote>
  <w:footnote w:id="64">
    <w:p w:rsidR="00DB5CBF" w:rsidRDefault="00DB5CBF" w:rsidP="00A15E23">
      <w:pPr>
        <w:pStyle w:val="FootnoteText"/>
      </w:pPr>
      <w:r>
        <w:rPr>
          <w:rStyle w:val="FootnoteReference"/>
        </w:rPr>
        <w:footnoteRef/>
      </w:r>
      <w:r>
        <w:t xml:space="preserve"> Section 195 of the Constitution</w:t>
      </w:r>
    </w:p>
  </w:footnote>
  <w:footnote w:id="65">
    <w:p w:rsidR="00DB5CBF" w:rsidRDefault="00DB5CBF" w:rsidP="00A15E23">
      <w:pPr>
        <w:pStyle w:val="FootnoteText"/>
      </w:pPr>
      <w:r>
        <w:rPr>
          <w:rStyle w:val="FootnoteReference"/>
        </w:rPr>
        <w:footnoteRef/>
      </w:r>
      <w:r>
        <w:t xml:space="preserve"> POC paragraphs 26 and 27, annexures POC8 and POC9, and paragraphs 22 and 23 of second defendant's plea</w:t>
      </w:r>
    </w:p>
  </w:footnote>
  <w:footnote w:id="66">
    <w:p w:rsidR="00DB5CBF" w:rsidRDefault="00DB5CBF" w:rsidP="00A15E23">
      <w:pPr>
        <w:pStyle w:val="FootnoteText"/>
      </w:pPr>
      <w:r>
        <w:rPr>
          <w:rStyle w:val="FootnoteReference"/>
        </w:rPr>
        <w:footnoteRef/>
      </w:r>
      <w:r>
        <w:t xml:space="preserve"> POC paragraph 38 and paragraph 25 of second defendant's plea</w:t>
      </w:r>
    </w:p>
  </w:footnote>
  <w:footnote w:id="67">
    <w:p w:rsidR="00DB5CBF" w:rsidRDefault="00DB5CBF" w:rsidP="00A15E23">
      <w:pPr>
        <w:pStyle w:val="FootnoteText"/>
      </w:pPr>
      <w:r>
        <w:rPr>
          <w:rStyle w:val="FootnoteReference"/>
        </w:rPr>
        <w:footnoteRef/>
      </w:r>
      <w:r>
        <w:t xml:space="preserve"> POC paragraph 47.3, annexure POC19 and paragraph 27 of second defendant's plea</w:t>
      </w:r>
    </w:p>
  </w:footnote>
  <w:footnote w:id="68">
    <w:p w:rsidR="00DB5CBF" w:rsidRDefault="00DB5CBF" w:rsidP="00A15E23">
      <w:pPr>
        <w:pStyle w:val="FootnoteText"/>
      </w:pPr>
      <w:r>
        <w:rPr>
          <w:rStyle w:val="FootnoteReference"/>
        </w:rPr>
        <w:footnoteRef/>
      </w:r>
      <w:r>
        <w:t xml:space="preserve"> POC paragraph 30 and annexure POC10</w:t>
      </w:r>
    </w:p>
  </w:footnote>
  <w:footnote w:id="69">
    <w:p w:rsidR="00DB5CBF" w:rsidRDefault="00DB5CBF" w:rsidP="00A15E23">
      <w:pPr>
        <w:pStyle w:val="FootnoteText"/>
      </w:pPr>
      <w:r>
        <w:rPr>
          <w:rStyle w:val="FootnoteReference"/>
        </w:rPr>
        <w:footnoteRef/>
      </w:r>
      <w:r>
        <w:t xml:space="preserve"> POC paragraph 41 and annexure POC17</w:t>
      </w:r>
    </w:p>
  </w:footnote>
  <w:footnote w:id="70">
    <w:p w:rsidR="00DB5CBF" w:rsidRDefault="00DB5CBF" w:rsidP="00A15E23">
      <w:pPr>
        <w:pStyle w:val="FootnoteText"/>
      </w:pPr>
      <w:r>
        <w:rPr>
          <w:rStyle w:val="FootnoteReference"/>
        </w:rPr>
        <w:footnoteRef/>
      </w:r>
      <w:r>
        <w:t xml:space="preserve"> POC paragraph 49 and annexure POC21</w:t>
      </w:r>
    </w:p>
  </w:footnote>
  <w:footnote w:id="71">
    <w:p w:rsidR="00DB5CBF" w:rsidRDefault="00DB5CBF" w:rsidP="00A15E23">
      <w:pPr>
        <w:pStyle w:val="FootnoteText"/>
      </w:pPr>
      <w:r>
        <w:rPr>
          <w:rStyle w:val="FootnoteReference"/>
        </w:rPr>
        <w:footnoteRef/>
      </w:r>
      <w:r>
        <w:t xml:space="preserve"> annexures POC 10, POC 17 and POC 21</w:t>
      </w:r>
    </w:p>
  </w:footnote>
  <w:footnote w:id="72">
    <w:p w:rsidR="00DB5CBF" w:rsidRDefault="00DB5CBF" w:rsidP="00A15E23">
      <w:pPr>
        <w:pStyle w:val="FootnoteText"/>
      </w:pPr>
      <w:r>
        <w:rPr>
          <w:rStyle w:val="FootnoteReference"/>
        </w:rPr>
        <w:footnoteRef/>
      </w:r>
      <w:r>
        <w:t xml:space="preserve"> POC2</w:t>
      </w:r>
    </w:p>
  </w:footnote>
  <w:footnote w:id="73">
    <w:p w:rsidR="00DB5CBF" w:rsidRDefault="00DB5CBF" w:rsidP="00A15E23">
      <w:pPr>
        <w:pStyle w:val="FootnoteText"/>
      </w:pPr>
      <w:r>
        <w:rPr>
          <w:rStyle w:val="FootnoteReference"/>
        </w:rPr>
        <w:footnoteRef/>
      </w:r>
      <w:r>
        <w:t xml:space="preserve"> POC4</w:t>
      </w:r>
    </w:p>
  </w:footnote>
  <w:footnote w:id="74">
    <w:p w:rsidR="00DB5CBF" w:rsidRDefault="00DB5CBF" w:rsidP="00A15E23">
      <w:pPr>
        <w:pStyle w:val="FootnoteText"/>
      </w:pPr>
      <w:r>
        <w:rPr>
          <w:rStyle w:val="FootnoteReference"/>
        </w:rPr>
        <w:footnoteRef/>
      </w:r>
      <w:r>
        <w:t xml:space="preserve"> MFMA, section 173(1)(a)(iii)</w:t>
      </w:r>
    </w:p>
  </w:footnote>
  <w:footnote w:id="75">
    <w:p w:rsidR="00DB5CBF" w:rsidRDefault="00DB5CBF" w:rsidP="00A15E23">
      <w:pPr>
        <w:pStyle w:val="FootnoteText"/>
      </w:pPr>
      <w:r>
        <w:rPr>
          <w:rStyle w:val="FootnoteReference"/>
        </w:rPr>
        <w:footnoteRef/>
      </w:r>
      <w:r>
        <w:t xml:space="preserve"> cf.</w:t>
      </w:r>
      <w:r w:rsidRPr="00FE02B1">
        <w:rPr>
          <w:i/>
        </w:rPr>
        <w:t xml:space="preserve"> Pietersen supra</w:t>
      </w:r>
      <w:r>
        <w:t xml:space="preserve"> at paragraphs [54]-[56]</w:t>
      </w:r>
    </w:p>
  </w:footnote>
  <w:footnote w:id="76">
    <w:p w:rsidR="00DB5CBF" w:rsidRDefault="00DB5CBF" w:rsidP="00A15E23">
      <w:pPr>
        <w:pStyle w:val="FootnoteText"/>
      </w:pPr>
      <w:r>
        <w:rPr>
          <w:rStyle w:val="FootnoteReference"/>
        </w:rPr>
        <w:footnoteRef/>
      </w:r>
      <w:r>
        <w:t xml:space="preserve"> POC paragraphs 61-66</w:t>
      </w:r>
    </w:p>
  </w:footnote>
  <w:footnote w:id="77">
    <w:p w:rsidR="00DB5CBF" w:rsidRDefault="00DB5CBF" w:rsidP="00A15E23">
      <w:pPr>
        <w:pStyle w:val="FootnoteText"/>
      </w:pPr>
      <w:r>
        <w:rPr>
          <w:rStyle w:val="FootnoteReference"/>
        </w:rPr>
        <w:footnoteRef/>
      </w:r>
      <w:r>
        <w:t xml:space="preserve"> POC paragraphs 67, 68 and 69</w:t>
      </w:r>
    </w:p>
  </w:footnote>
  <w:footnote w:id="78">
    <w:p w:rsidR="00DB5CBF" w:rsidRDefault="00DB5CBF" w:rsidP="00A15E23">
      <w:pPr>
        <w:pStyle w:val="FootnoteText"/>
      </w:pPr>
      <w:r>
        <w:rPr>
          <w:rStyle w:val="FootnoteReference"/>
        </w:rPr>
        <w:footnoteRef/>
      </w:r>
      <w:r>
        <w:t xml:space="preserve"> The position therefore is regulated by uniform rule 39(1) of the rules of court</w:t>
      </w:r>
    </w:p>
  </w:footnote>
  <w:footnote w:id="79">
    <w:p w:rsidR="00DB5CBF" w:rsidRDefault="00DB5CBF" w:rsidP="00A15E23">
      <w:pPr>
        <w:pStyle w:val="FootnoteText"/>
      </w:pPr>
      <w:r>
        <w:rPr>
          <w:rStyle w:val="FootnoteReference"/>
        </w:rPr>
        <w:footnoteRef/>
      </w:r>
      <w:r>
        <w:t xml:space="preserve"> POC paragraphs 70, 71 and 72</w:t>
      </w:r>
    </w:p>
  </w:footnote>
  <w:footnote w:id="80">
    <w:p w:rsidR="00DB5CBF" w:rsidRDefault="00DB5CBF" w:rsidP="00A15E23">
      <w:pPr>
        <w:pStyle w:val="FootnoteText"/>
      </w:pPr>
      <w:r>
        <w:rPr>
          <w:rStyle w:val="FootnoteReference"/>
        </w:rPr>
        <w:footnoteRef/>
      </w:r>
      <w:r>
        <w:t xml:space="preserve"> POC paragraphs 75 – 79 comprehensively</w:t>
      </w:r>
    </w:p>
  </w:footnote>
  <w:footnote w:id="81">
    <w:p w:rsidR="00DB5CBF" w:rsidRDefault="00DB5CBF" w:rsidP="00A15E23">
      <w:pPr>
        <w:pStyle w:val="FootnoteText"/>
      </w:pPr>
      <w:r>
        <w:rPr>
          <w:rStyle w:val="FootnoteReference"/>
        </w:rPr>
        <w:footnoteRef/>
      </w:r>
      <w:r>
        <w:t xml:space="preserve"> POC paragraph 86.3.4</w:t>
      </w:r>
    </w:p>
  </w:footnote>
  <w:footnote w:id="82">
    <w:p w:rsidR="00DB5CBF" w:rsidRDefault="00DB5CBF" w:rsidP="00A15E23">
      <w:pPr>
        <w:pStyle w:val="FootnoteText"/>
      </w:pPr>
      <w:r>
        <w:rPr>
          <w:rStyle w:val="FootnoteReference"/>
        </w:rPr>
        <w:footnoteRef/>
      </w:r>
      <w:r>
        <w:t xml:space="preserve"> POC paragraph 86.3.5</w:t>
      </w:r>
    </w:p>
  </w:footnote>
  <w:footnote w:id="83">
    <w:p w:rsidR="00DB5CBF" w:rsidRDefault="00DB5CBF" w:rsidP="00A15E23">
      <w:pPr>
        <w:pStyle w:val="FootnoteText"/>
      </w:pPr>
      <w:r>
        <w:rPr>
          <w:rStyle w:val="FootnoteReference"/>
        </w:rPr>
        <w:footnoteRef/>
      </w:r>
      <w:r>
        <w:t xml:space="preserve"> POC paragraph 83</w:t>
      </w:r>
    </w:p>
  </w:footnote>
  <w:footnote w:id="84">
    <w:p w:rsidR="00DB5CBF" w:rsidRDefault="00DB5CBF" w:rsidP="00DD5A72">
      <w:pPr>
        <w:pStyle w:val="FootnoteText"/>
      </w:pPr>
      <w:r>
        <w:rPr>
          <w:rStyle w:val="FootnoteReference"/>
        </w:rPr>
        <w:footnoteRef/>
      </w:r>
      <w:r>
        <w:t xml:space="preserve"> First heads paragraph 17</w:t>
      </w:r>
    </w:p>
  </w:footnote>
  <w:footnote w:id="85">
    <w:p w:rsidR="00DB5CBF" w:rsidRDefault="00DB5CBF" w:rsidP="00DD5A72">
      <w:pPr>
        <w:pStyle w:val="FootnoteText"/>
      </w:pPr>
      <w:r>
        <w:rPr>
          <w:rStyle w:val="FootnoteReference"/>
        </w:rPr>
        <w:footnoteRef/>
      </w:r>
      <w:r>
        <w:t xml:space="preserve"> First heads paragraph 7</w:t>
      </w:r>
    </w:p>
  </w:footnote>
  <w:footnote w:id="86">
    <w:p w:rsidR="00DB5CBF" w:rsidRDefault="00DB5CBF" w:rsidP="00DD5A72">
      <w:pPr>
        <w:pStyle w:val="FootnoteText"/>
      </w:pPr>
      <w:r>
        <w:rPr>
          <w:rStyle w:val="FootnoteReference"/>
        </w:rPr>
        <w:footnoteRef/>
      </w:r>
      <w:r>
        <w:t xml:space="preserve"> First heads paragraph 17</w:t>
      </w:r>
    </w:p>
  </w:footnote>
  <w:footnote w:id="87">
    <w:p w:rsidR="00DB5CBF" w:rsidRDefault="00DB5CBF" w:rsidP="00DD5A72">
      <w:pPr>
        <w:pStyle w:val="FootnoteText"/>
      </w:pPr>
      <w:r>
        <w:rPr>
          <w:rStyle w:val="FootnoteReference"/>
        </w:rPr>
        <w:footnoteRef/>
      </w:r>
      <w:r>
        <w:t xml:space="preserve"> First heads paragraph 15</w:t>
      </w:r>
    </w:p>
  </w:footnote>
  <w:footnote w:id="88">
    <w:p w:rsidR="00DB5CBF" w:rsidRDefault="00DB5CBF" w:rsidP="00DD5A72">
      <w:pPr>
        <w:pStyle w:val="FootnoteText"/>
      </w:pPr>
      <w:r>
        <w:rPr>
          <w:rStyle w:val="FootnoteReference"/>
        </w:rPr>
        <w:footnoteRef/>
      </w:r>
      <w:r>
        <w:t xml:space="preserve"> First heads paragraph 43</w:t>
      </w:r>
    </w:p>
  </w:footnote>
  <w:footnote w:id="89">
    <w:p w:rsidR="00DB5CBF" w:rsidRDefault="00DB5CBF" w:rsidP="00DD5A72">
      <w:pPr>
        <w:pStyle w:val="FootnoteText"/>
      </w:pPr>
      <w:r>
        <w:rPr>
          <w:rStyle w:val="FootnoteReference"/>
        </w:rPr>
        <w:footnoteRef/>
      </w:r>
      <w:r>
        <w:t xml:space="preserve"> First heads paragraph 45 and 52</w:t>
      </w:r>
    </w:p>
  </w:footnote>
  <w:footnote w:id="90">
    <w:p w:rsidR="00DB5CBF" w:rsidRDefault="00DB5CBF" w:rsidP="00DD5A72">
      <w:pPr>
        <w:pStyle w:val="FootnoteText"/>
      </w:pPr>
      <w:r>
        <w:rPr>
          <w:rStyle w:val="FootnoteReference"/>
        </w:rPr>
        <w:footnoteRef/>
      </w:r>
      <w:r>
        <w:t xml:space="preserve"> First heads paragraphs 31, 39-42</w:t>
      </w:r>
    </w:p>
  </w:footnote>
  <w:footnote w:id="91">
    <w:p w:rsidR="00DB5CBF" w:rsidRDefault="00DB5CBF" w:rsidP="00DD5A72">
      <w:pPr>
        <w:pStyle w:val="FootnoteText"/>
      </w:pPr>
      <w:r>
        <w:rPr>
          <w:rStyle w:val="FootnoteReference"/>
        </w:rPr>
        <w:footnoteRef/>
      </w:r>
      <w:r>
        <w:t xml:space="preserve"> [2014] ZACC16 at paragraph [28]</w:t>
      </w:r>
    </w:p>
  </w:footnote>
  <w:footnote w:id="92">
    <w:p w:rsidR="00DB5CBF" w:rsidRDefault="00DB5CBF" w:rsidP="00DD5A72">
      <w:pPr>
        <w:pStyle w:val="FootnoteText"/>
      </w:pPr>
      <w:r>
        <w:rPr>
          <w:rStyle w:val="FootnoteReference"/>
        </w:rPr>
        <w:footnoteRef/>
      </w:r>
      <w:r>
        <w:t xml:space="preserve"> </w:t>
      </w:r>
      <w:r w:rsidRPr="00C7079B">
        <w:rPr>
          <w:i/>
        </w:rPr>
        <w:t>Minister of Safety and Security v Slabbert</w:t>
      </w:r>
      <w:r>
        <w:t xml:space="preserve"> [2010] All SA 474 (SCA) at 478c and 480d; </w:t>
      </w:r>
      <w:r w:rsidRPr="00C7079B">
        <w:rPr>
          <w:i/>
        </w:rPr>
        <w:t>Hillman Brothers Ltd v Kelly &amp; Hingle</w:t>
      </w:r>
      <w:r>
        <w:t xml:space="preserve"> 1926 WLD 153 at 154</w:t>
      </w:r>
    </w:p>
  </w:footnote>
  <w:footnote w:id="93">
    <w:p w:rsidR="00DB5CBF" w:rsidRDefault="00DB5CBF" w:rsidP="00DD5A72">
      <w:pPr>
        <w:pStyle w:val="FootnoteText"/>
      </w:pPr>
      <w:r>
        <w:rPr>
          <w:rStyle w:val="FootnoteReference"/>
        </w:rPr>
        <w:footnoteRef/>
      </w:r>
      <w:r>
        <w:t xml:space="preserve"> Prince v President of the Law Society of the Cape of Good Hope and Others 2001 (2) SA 388 (CC) at paragraph [22]</w:t>
      </w:r>
    </w:p>
  </w:footnote>
  <w:footnote w:id="94">
    <w:p w:rsidR="00DB5CBF" w:rsidRDefault="00DB5CBF" w:rsidP="00DD5A72">
      <w:pPr>
        <w:pStyle w:val="FootnoteText"/>
      </w:pPr>
      <w:r>
        <w:rPr>
          <w:rStyle w:val="FootnoteReference"/>
        </w:rPr>
        <w:footnoteRef/>
      </w:r>
      <w:r>
        <w:t xml:space="preserve"> POC paragraphs 75 to 84</w:t>
      </w:r>
    </w:p>
  </w:footnote>
  <w:footnote w:id="95">
    <w:p w:rsidR="00DB5CBF" w:rsidRDefault="00DB5CBF">
      <w:pPr>
        <w:pStyle w:val="FootnoteText"/>
      </w:pPr>
      <w:r>
        <w:rPr>
          <w:rStyle w:val="FootnoteReference"/>
        </w:rPr>
        <w:footnoteRef/>
      </w:r>
      <w:r>
        <w:t xml:space="preserve"> First heads paragraphs 22 and 25</w:t>
      </w:r>
    </w:p>
  </w:footnote>
  <w:footnote w:id="96">
    <w:p w:rsidR="00DB5CBF" w:rsidRDefault="00DB5CBF">
      <w:pPr>
        <w:pStyle w:val="FootnoteText"/>
      </w:pPr>
      <w:r>
        <w:rPr>
          <w:rStyle w:val="FootnoteReference"/>
        </w:rPr>
        <w:footnoteRef/>
      </w:r>
      <w:r>
        <w:t xml:space="preserve"> In cross-examination by the fourth defendant, Transcript 19 April 2021 31:23-32:10</w:t>
      </w:r>
    </w:p>
  </w:footnote>
  <w:footnote w:id="97">
    <w:p w:rsidR="00DB5CBF" w:rsidRDefault="00DB5CBF">
      <w:pPr>
        <w:pStyle w:val="FootnoteText"/>
      </w:pPr>
      <w:r>
        <w:rPr>
          <w:rStyle w:val="FootnoteReference"/>
        </w:rPr>
        <w:footnoteRef/>
      </w:r>
      <w:r>
        <w:t xml:space="preserve"> Transcript 20 April 2021, 28:1-23, and pp 29-30</w:t>
      </w:r>
    </w:p>
  </w:footnote>
  <w:footnote w:id="98">
    <w:p w:rsidR="00DB5CBF" w:rsidRDefault="00DB5CBF" w:rsidP="00DD5A72">
      <w:pPr>
        <w:pStyle w:val="FootnoteText"/>
      </w:pPr>
      <w:r>
        <w:rPr>
          <w:rStyle w:val="FootnoteReference"/>
        </w:rPr>
        <w:footnoteRef/>
      </w:r>
      <w:r>
        <w:t xml:space="preserve"> Heads of argument in reply paragraphs 38 and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365982"/>
      <w:docPartObj>
        <w:docPartGallery w:val="Page Numbers (Top of Page)"/>
        <w:docPartUnique/>
      </w:docPartObj>
    </w:sdtPr>
    <w:sdtEndPr>
      <w:rPr>
        <w:noProof/>
      </w:rPr>
    </w:sdtEndPr>
    <w:sdtContent>
      <w:p w:rsidR="00DB5CBF" w:rsidRDefault="00DB5CBF">
        <w:pPr>
          <w:pStyle w:val="Header"/>
          <w:jc w:val="center"/>
        </w:pPr>
        <w:r>
          <w:fldChar w:fldCharType="begin"/>
        </w:r>
        <w:r>
          <w:instrText xml:space="preserve"> PAGE   \* MERGEFORMAT </w:instrText>
        </w:r>
        <w:r>
          <w:fldChar w:fldCharType="separate"/>
        </w:r>
        <w:r w:rsidR="001C57DF">
          <w:rPr>
            <w:noProof/>
          </w:rPr>
          <w:t>5</w:t>
        </w:r>
        <w:r>
          <w:rPr>
            <w:noProof/>
          </w:rPr>
          <w:fldChar w:fldCharType="end"/>
        </w:r>
      </w:p>
    </w:sdtContent>
  </w:sdt>
  <w:p w:rsidR="00DB5CBF" w:rsidRDefault="00DB5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604C"/>
    <w:multiLevelType w:val="hybridMultilevel"/>
    <w:tmpl w:val="A714180A"/>
    <w:lvl w:ilvl="0" w:tplc="1332B2CA">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15:restartNumberingAfterBreak="0">
    <w:nsid w:val="379F0332"/>
    <w:multiLevelType w:val="hybridMultilevel"/>
    <w:tmpl w:val="1004AB56"/>
    <w:lvl w:ilvl="0" w:tplc="985A54D0">
      <w:start w:val="1"/>
      <w:numFmt w:val="lowerRoman"/>
      <w:lvlText w:val="(%1)"/>
      <w:lvlJc w:val="left"/>
      <w:pPr>
        <w:ind w:left="2880" w:hanging="720"/>
      </w:pPr>
      <w:rPr>
        <w:rFonts w:hint="default"/>
        <w:color w:val="000000"/>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3EDF2171"/>
    <w:multiLevelType w:val="hybridMultilevel"/>
    <w:tmpl w:val="C032D1B2"/>
    <w:lvl w:ilvl="0" w:tplc="22380316">
      <w:start w:val="1"/>
      <w:numFmt w:val="lowerRoman"/>
      <w:lvlText w:val="(%1)"/>
      <w:lvlJc w:val="left"/>
      <w:pPr>
        <w:ind w:left="1440" w:hanging="720"/>
      </w:pPr>
      <w:rPr>
        <w:rFonts w:hint="default"/>
        <w:color w:val="00000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5" w15:restartNumberingAfterBreak="0">
    <w:nsid w:val="48680BCE"/>
    <w:multiLevelType w:val="hybridMultilevel"/>
    <w:tmpl w:val="BB38F402"/>
    <w:lvl w:ilvl="0" w:tplc="12080BE6">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15:restartNumberingAfterBreak="0">
    <w:nsid w:val="50910592"/>
    <w:multiLevelType w:val="hybridMultilevel"/>
    <w:tmpl w:val="1C2E8956"/>
    <w:lvl w:ilvl="0" w:tplc="1FA07DA2">
      <w:start w:val="1"/>
      <w:numFmt w:val="lowerRoman"/>
      <w:lvlText w:val="(%1)"/>
      <w:lvlJc w:val="left"/>
      <w:pPr>
        <w:ind w:left="2880" w:hanging="720"/>
      </w:pPr>
      <w:rPr>
        <w:rFonts w:hint="default"/>
        <w:color w:val="000000"/>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15:restartNumberingAfterBreak="0">
    <w:nsid w:val="57B513D8"/>
    <w:multiLevelType w:val="hybridMultilevel"/>
    <w:tmpl w:val="8EFE4890"/>
    <w:lvl w:ilvl="0" w:tplc="B0D8D3EC">
      <w:start w:val="1"/>
      <w:numFmt w:val="lowerRoman"/>
      <w:lvlText w:val="(%1)"/>
      <w:lvlJc w:val="left"/>
      <w:pPr>
        <w:ind w:left="2880" w:hanging="720"/>
      </w:pPr>
      <w:rPr>
        <w:rFonts w:hint="default"/>
        <w:color w:val="000000"/>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8" w15:restartNumberingAfterBreak="0">
    <w:nsid w:val="71A17679"/>
    <w:multiLevelType w:val="hybridMultilevel"/>
    <w:tmpl w:val="4AB69584"/>
    <w:lvl w:ilvl="0" w:tplc="EA4053E8">
      <w:start w:val="1"/>
      <w:numFmt w:val="lowerRoman"/>
      <w:lvlText w:val="(%1)"/>
      <w:lvlJc w:val="left"/>
      <w:pPr>
        <w:ind w:left="2880" w:hanging="720"/>
      </w:pPr>
      <w:rPr>
        <w:rFonts w:hint="default"/>
        <w:color w:val="000000"/>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0"/>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8ACF1DB-7FF1-4FAE-9954-9C0696734941}"/>
    <w:docVar w:name="dgnword-eventsink" w:val="481674040"/>
  </w:docVars>
  <w:rsids>
    <w:rsidRoot w:val="00354A12"/>
    <w:rsid w:val="0000234F"/>
    <w:rsid w:val="00016385"/>
    <w:rsid w:val="000259AB"/>
    <w:rsid w:val="00025A74"/>
    <w:rsid w:val="00033241"/>
    <w:rsid w:val="00034D34"/>
    <w:rsid w:val="00037E36"/>
    <w:rsid w:val="00040E29"/>
    <w:rsid w:val="00050132"/>
    <w:rsid w:val="0006555F"/>
    <w:rsid w:val="00072C2C"/>
    <w:rsid w:val="00081194"/>
    <w:rsid w:val="000838DA"/>
    <w:rsid w:val="000B2323"/>
    <w:rsid w:val="000B539F"/>
    <w:rsid w:val="000B5AE2"/>
    <w:rsid w:val="000C168B"/>
    <w:rsid w:val="000C7079"/>
    <w:rsid w:val="000D1DCE"/>
    <w:rsid w:val="000D5AE6"/>
    <w:rsid w:val="000E057D"/>
    <w:rsid w:val="000E17A5"/>
    <w:rsid w:val="000E1A5B"/>
    <w:rsid w:val="000F3CF2"/>
    <w:rsid w:val="00100BE2"/>
    <w:rsid w:val="00103C5F"/>
    <w:rsid w:val="00110D54"/>
    <w:rsid w:val="001234D7"/>
    <w:rsid w:val="001411CF"/>
    <w:rsid w:val="00143C0A"/>
    <w:rsid w:val="00144071"/>
    <w:rsid w:val="0014504E"/>
    <w:rsid w:val="00155359"/>
    <w:rsid w:val="001602D8"/>
    <w:rsid w:val="00163283"/>
    <w:rsid w:val="00165F9D"/>
    <w:rsid w:val="001705E1"/>
    <w:rsid w:val="00186140"/>
    <w:rsid w:val="001A147C"/>
    <w:rsid w:val="001A2EAC"/>
    <w:rsid w:val="001A6681"/>
    <w:rsid w:val="001B1506"/>
    <w:rsid w:val="001B2FE7"/>
    <w:rsid w:val="001C0BAD"/>
    <w:rsid w:val="001C2085"/>
    <w:rsid w:val="001C57DF"/>
    <w:rsid w:val="001D055A"/>
    <w:rsid w:val="001D6994"/>
    <w:rsid w:val="001E128D"/>
    <w:rsid w:val="001E351A"/>
    <w:rsid w:val="001E486A"/>
    <w:rsid w:val="00202F45"/>
    <w:rsid w:val="00210C21"/>
    <w:rsid w:val="00210F9A"/>
    <w:rsid w:val="00220338"/>
    <w:rsid w:val="002233E0"/>
    <w:rsid w:val="00225B68"/>
    <w:rsid w:val="00230E07"/>
    <w:rsid w:val="00232DCD"/>
    <w:rsid w:val="00233495"/>
    <w:rsid w:val="002361DF"/>
    <w:rsid w:val="00240477"/>
    <w:rsid w:val="002404C9"/>
    <w:rsid w:val="00247ACF"/>
    <w:rsid w:val="002504B0"/>
    <w:rsid w:val="0025393D"/>
    <w:rsid w:val="00261461"/>
    <w:rsid w:val="002614E1"/>
    <w:rsid w:val="00276DEA"/>
    <w:rsid w:val="002772BF"/>
    <w:rsid w:val="00281492"/>
    <w:rsid w:val="00281882"/>
    <w:rsid w:val="002872D3"/>
    <w:rsid w:val="00292463"/>
    <w:rsid w:val="00293C26"/>
    <w:rsid w:val="00295EDA"/>
    <w:rsid w:val="002972E5"/>
    <w:rsid w:val="002A51A6"/>
    <w:rsid w:val="002B4B1C"/>
    <w:rsid w:val="002B7A11"/>
    <w:rsid w:val="002C0FFC"/>
    <w:rsid w:val="002C755E"/>
    <w:rsid w:val="002D0556"/>
    <w:rsid w:val="002D142C"/>
    <w:rsid w:val="002D35E5"/>
    <w:rsid w:val="002D5027"/>
    <w:rsid w:val="002D52A5"/>
    <w:rsid w:val="002E0DF6"/>
    <w:rsid w:val="002E146D"/>
    <w:rsid w:val="002E303F"/>
    <w:rsid w:val="002E7C21"/>
    <w:rsid w:val="0032036E"/>
    <w:rsid w:val="00320541"/>
    <w:rsid w:val="00324991"/>
    <w:rsid w:val="00331824"/>
    <w:rsid w:val="0033236B"/>
    <w:rsid w:val="00344490"/>
    <w:rsid w:val="003469EF"/>
    <w:rsid w:val="00350E10"/>
    <w:rsid w:val="00351B77"/>
    <w:rsid w:val="00352E68"/>
    <w:rsid w:val="00354598"/>
    <w:rsid w:val="00354A12"/>
    <w:rsid w:val="00361876"/>
    <w:rsid w:val="0036360F"/>
    <w:rsid w:val="003763FD"/>
    <w:rsid w:val="0037725B"/>
    <w:rsid w:val="003812CE"/>
    <w:rsid w:val="0038764F"/>
    <w:rsid w:val="003947DE"/>
    <w:rsid w:val="00395392"/>
    <w:rsid w:val="00396ED3"/>
    <w:rsid w:val="003A5A38"/>
    <w:rsid w:val="003A6E3D"/>
    <w:rsid w:val="003B65AF"/>
    <w:rsid w:val="003C035C"/>
    <w:rsid w:val="003C6886"/>
    <w:rsid w:val="003D0E0B"/>
    <w:rsid w:val="003D128D"/>
    <w:rsid w:val="003D57F4"/>
    <w:rsid w:val="003D5F9E"/>
    <w:rsid w:val="003D67D1"/>
    <w:rsid w:val="003E12F3"/>
    <w:rsid w:val="003E1D33"/>
    <w:rsid w:val="003F5933"/>
    <w:rsid w:val="00407038"/>
    <w:rsid w:val="00411B66"/>
    <w:rsid w:val="00432B86"/>
    <w:rsid w:val="00433F60"/>
    <w:rsid w:val="004509E1"/>
    <w:rsid w:val="004509FF"/>
    <w:rsid w:val="00454CEF"/>
    <w:rsid w:val="0046317E"/>
    <w:rsid w:val="00467CDC"/>
    <w:rsid w:val="00470514"/>
    <w:rsid w:val="004739DB"/>
    <w:rsid w:val="00490FDC"/>
    <w:rsid w:val="004923A0"/>
    <w:rsid w:val="004B3414"/>
    <w:rsid w:val="004B5A23"/>
    <w:rsid w:val="004C0ED7"/>
    <w:rsid w:val="004C30D9"/>
    <w:rsid w:val="004C5036"/>
    <w:rsid w:val="004C6D7F"/>
    <w:rsid w:val="004D49B9"/>
    <w:rsid w:val="004E169B"/>
    <w:rsid w:val="004E5548"/>
    <w:rsid w:val="0050091C"/>
    <w:rsid w:val="00501621"/>
    <w:rsid w:val="00510A86"/>
    <w:rsid w:val="00514B8F"/>
    <w:rsid w:val="0052438E"/>
    <w:rsid w:val="005253B9"/>
    <w:rsid w:val="0053310D"/>
    <w:rsid w:val="00540F21"/>
    <w:rsid w:val="00541F31"/>
    <w:rsid w:val="00542A91"/>
    <w:rsid w:val="005440F4"/>
    <w:rsid w:val="00544F3A"/>
    <w:rsid w:val="00550503"/>
    <w:rsid w:val="00551F83"/>
    <w:rsid w:val="005635D2"/>
    <w:rsid w:val="005702AD"/>
    <w:rsid w:val="00570D75"/>
    <w:rsid w:val="00571E6B"/>
    <w:rsid w:val="00573E86"/>
    <w:rsid w:val="005818CD"/>
    <w:rsid w:val="00591B54"/>
    <w:rsid w:val="005A3BAD"/>
    <w:rsid w:val="005A42C6"/>
    <w:rsid w:val="005B02E5"/>
    <w:rsid w:val="005B225C"/>
    <w:rsid w:val="005B48B7"/>
    <w:rsid w:val="005B6491"/>
    <w:rsid w:val="005B6BAD"/>
    <w:rsid w:val="005B7192"/>
    <w:rsid w:val="005C0386"/>
    <w:rsid w:val="005C28E2"/>
    <w:rsid w:val="005C3737"/>
    <w:rsid w:val="005D1CF2"/>
    <w:rsid w:val="005E1BEF"/>
    <w:rsid w:val="005E6899"/>
    <w:rsid w:val="005F1547"/>
    <w:rsid w:val="005F669A"/>
    <w:rsid w:val="006069F3"/>
    <w:rsid w:val="00607011"/>
    <w:rsid w:val="00607698"/>
    <w:rsid w:val="00613109"/>
    <w:rsid w:val="0061579C"/>
    <w:rsid w:val="00616610"/>
    <w:rsid w:val="00623C5B"/>
    <w:rsid w:val="00624EF4"/>
    <w:rsid w:val="00633710"/>
    <w:rsid w:val="006466CC"/>
    <w:rsid w:val="00646849"/>
    <w:rsid w:val="00650E89"/>
    <w:rsid w:val="006607F4"/>
    <w:rsid w:val="00663A0D"/>
    <w:rsid w:val="006705C6"/>
    <w:rsid w:val="00676F46"/>
    <w:rsid w:val="006903B4"/>
    <w:rsid w:val="00694CE5"/>
    <w:rsid w:val="00696836"/>
    <w:rsid w:val="006A0749"/>
    <w:rsid w:val="006A1EF7"/>
    <w:rsid w:val="006A3697"/>
    <w:rsid w:val="006A6D28"/>
    <w:rsid w:val="006A7F06"/>
    <w:rsid w:val="006B0006"/>
    <w:rsid w:val="006B7E1D"/>
    <w:rsid w:val="006C6CC4"/>
    <w:rsid w:val="006D66AE"/>
    <w:rsid w:val="006E37EE"/>
    <w:rsid w:val="006F5872"/>
    <w:rsid w:val="007021A0"/>
    <w:rsid w:val="0070249B"/>
    <w:rsid w:val="0072497C"/>
    <w:rsid w:val="00727B77"/>
    <w:rsid w:val="007341EE"/>
    <w:rsid w:val="00734538"/>
    <w:rsid w:val="00741927"/>
    <w:rsid w:val="00741C5D"/>
    <w:rsid w:val="00742D13"/>
    <w:rsid w:val="00745D52"/>
    <w:rsid w:val="00750A74"/>
    <w:rsid w:val="00751A9C"/>
    <w:rsid w:val="00755335"/>
    <w:rsid w:val="0076217C"/>
    <w:rsid w:val="007649AA"/>
    <w:rsid w:val="00765BB8"/>
    <w:rsid w:val="007708D1"/>
    <w:rsid w:val="00774CB1"/>
    <w:rsid w:val="007760B2"/>
    <w:rsid w:val="0078107C"/>
    <w:rsid w:val="0079026F"/>
    <w:rsid w:val="00797595"/>
    <w:rsid w:val="007A29DA"/>
    <w:rsid w:val="007B23AA"/>
    <w:rsid w:val="007B54E7"/>
    <w:rsid w:val="007B6907"/>
    <w:rsid w:val="007C44BB"/>
    <w:rsid w:val="007C4940"/>
    <w:rsid w:val="007C5D68"/>
    <w:rsid w:val="007C7D76"/>
    <w:rsid w:val="007D5F18"/>
    <w:rsid w:val="007E2C17"/>
    <w:rsid w:val="007E5EB5"/>
    <w:rsid w:val="007F66C2"/>
    <w:rsid w:val="007F6F29"/>
    <w:rsid w:val="007F7E21"/>
    <w:rsid w:val="00801D0C"/>
    <w:rsid w:val="008064E2"/>
    <w:rsid w:val="00815186"/>
    <w:rsid w:val="0082021F"/>
    <w:rsid w:val="008210AF"/>
    <w:rsid w:val="00832F57"/>
    <w:rsid w:val="00835BD5"/>
    <w:rsid w:val="008409F0"/>
    <w:rsid w:val="0084529F"/>
    <w:rsid w:val="008510E8"/>
    <w:rsid w:val="00863322"/>
    <w:rsid w:val="00864845"/>
    <w:rsid w:val="00864F04"/>
    <w:rsid w:val="008700AE"/>
    <w:rsid w:val="00875031"/>
    <w:rsid w:val="008757ED"/>
    <w:rsid w:val="00892D98"/>
    <w:rsid w:val="0089402B"/>
    <w:rsid w:val="0089692A"/>
    <w:rsid w:val="008A14E3"/>
    <w:rsid w:val="008A751D"/>
    <w:rsid w:val="008B271F"/>
    <w:rsid w:val="008B2999"/>
    <w:rsid w:val="008C7AD5"/>
    <w:rsid w:val="008D19BC"/>
    <w:rsid w:val="008D2CF6"/>
    <w:rsid w:val="008D3CFE"/>
    <w:rsid w:val="008D5ADE"/>
    <w:rsid w:val="008E2ECD"/>
    <w:rsid w:val="008E35F9"/>
    <w:rsid w:val="008F5FDB"/>
    <w:rsid w:val="009048D6"/>
    <w:rsid w:val="00904942"/>
    <w:rsid w:val="00906DD1"/>
    <w:rsid w:val="00914D17"/>
    <w:rsid w:val="00916022"/>
    <w:rsid w:val="0095175C"/>
    <w:rsid w:val="0095567E"/>
    <w:rsid w:val="00955E5B"/>
    <w:rsid w:val="00960740"/>
    <w:rsid w:val="00964495"/>
    <w:rsid w:val="00966ACE"/>
    <w:rsid w:val="009702FA"/>
    <w:rsid w:val="00972BDD"/>
    <w:rsid w:val="0098178C"/>
    <w:rsid w:val="00984D01"/>
    <w:rsid w:val="00992EFB"/>
    <w:rsid w:val="009A2322"/>
    <w:rsid w:val="009A46BD"/>
    <w:rsid w:val="009B03C8"/>
    <w:rsid w:val="009B4792"/>
    <w:rsid w:val="009C0B2B"/>
    <w:rsid w:val="009C5E56"/>
    <w:rsid w:val="009D6F31"/>
    <w:rsid w:val="009E160C"/>
    <w:rsid w:val="009E284B"/>
    <w:rsid w:val="009F278E"/>
    <w:rsid w:val="00A00CFE"/>
    <w:rsid w:val="00A01228"/>
    <w:rsid w:val="00A0127F"/>
    <w:rsid w:val="00A11A9E"/>
    <w:rsid w:val="00A1553F"/>
    <w:rsid w:val="00A15B01"/>
    <w:rsid w:val="00A15E23"/>
    <w:rsid w:val="00A2578E"/>
    <w:rsid w:val="00A260EE"/>
    <w:rsid w:val="00A27D5A"/>
    <w:rsid w:val="00A32F37"/>
    <w:rsid w:val="00A36FD8"/>
    <w:rsid w:val="00A40E21"/>
    <w:rsid w:val="00A43398"/>
    <w:rsid w:val="00A47E28"/>
    <w:rsid w:val="00A57054"/>
    <w:rsid w:val="00A572D4"/>
    <w:rsid w:val="00A6489F"/>
    <w:rsid w:val="00A66B63"/>
    <w:rsid w:val="00A7021F"/>
    <w:rsid w:val="00A71336"/>
    <w:rsid w:val="00A86854"/>
    <w:rsid w:val="00A87FD4"/>
    <w:rsid w:val="00AA2A56"/>
    <w:rsid w:val="00AA2CE0"/>
    <w:rsid w:val="00AB0D0F"/>
    <w:rsid w:val="00AB6A18"/>
    <w:rsid w:val="00AC0863"/>
    <w:rsid w:val="00AC60D4"/>
    <w:rsid w:val="00AD0858"/>
    <w:rsid w:val="00AD498A"/>
    <w:rsid w:val="00AD4A40"/>
    <w:rsid w:val="00AD7016"/>
    <w:rsid w:val="00AE4824"/>
    <w:rsid w:val="00AF0404"/>
    <w:rsid w:val="00AF0480"/>
    <w:rsid w:val="00B0068A"/>
    <w:rsid w:val="00B0178D"/>
    <w:rsid w:val="00B026DC"/>
    <w:rsid w:val="00B06202"/>
    <w:rsid w:val="00B11BCA"/>
    <w:rsid w:val="00B1367D"/>
    <w:rsid w:val="00B13E3E"/>
    <w:rsid w:val="00B20AB3"/>
    <w:rsid w:val="00B20E00"/>
    <w:rsid w:val="00B20E9C"/>
    <w:rsid w:val="00B3243A"/>
    <w:rsid w:val="00B324AB"/>
    <w:rsid w:val="00B34ED2"/>
    <w:rsid w:val="00B5011D"/>
    <w:rsid w:val="00B704B0"/>
    <w:rsid w:val="00B800F5"/>
    <w:rsid w:val="00B914D1"/>
    <w:rsid w:val="00B9351A"/>
    <w:rsid w:val="00B93D41"/>
    <w:rsid w:val="00BA0490"/>
    <w:rsid w:val="00BA179C"/>
    <w:rsid w:val="00BA1D80"/>
    <w:rsid w:val="00BA6AF5"/>
    <w:rsid w:val="00BB36CE"/>
    <w:rsid w:val="00BB7A6B"/>
    <w:rsid w:val="00BC20EF"/>
    <w:rsid w:val="00BC3B5B"/>
    <w:rsid w:val="00BD0636"/>
    <w:rsid w:val="00BD529F"/>
    <w:rsid w:val="00BE5F49"/>
    <w:rsid w:val="00BE6BB3"/>
    <w:rsid w:val="00BF1E96"/>
    <w:rsid w:val="00BF2AFD"/>
    <w:rsid w:val="00BF7360"/>
    <w:rsid w:val="00BF799A"/>
    <w:rsid w:val="00C028A0"/>
    <w:rsid w:val="00C10077"/>
    <w:rsid w:val="00C16830"/>
    <w:rsid w:val="00C24E18"/>
    <w:rsid w:val="00C31555"/>
    <w:rsid w:val="00C315FA"/>
    <w:rsid w:val="00C31D78"/>
    <w:rsid w:val="00C41CBB"/>
    <w:rsid w:val="00C42A50"/>
    <w:rsid w:val="00C52B51"/>
    <w:rsid w:val="00C53361"/>
    <w:rsid w:val="00C536AA"/>
    <w:rsid w:val="00C539EE"/>
    <w:rsid w:val="00C53C92"/>
    <w:rsid w:val="00C5668B"/>
    <w:rsid w:val="00C600BF"/>
    <w:rsid w:val="00C657FF"/>
    <w:rsid w:val="00C7079B"/>
    <w:rsid w:val="00C72A86"/>
    <w:rsid w:val="00C74C81"/>
    <w:rsid w:val="00C77526"/>
    <w:rsid w:val="00C81AD6"/>
    <w:rsid w:val="00C8285A"/>
    <w:rsid w:val="00C84A4D"/>
    <w:rsid w:val="00C85A4E"/>
    <w:rsid w:val="00C93FBB"/>
    <w:rsid w:val="00C94AC5"/>
    <w:rsid w:val="00C95245"/>
    <w:rsid w:val="00CA736E"/>
    <w:rsid w:val="00CA7C06"/>
    <w:rsid w:val="00CB6E84"/>
    <w:rsid w:val="00CC2823"/>
    <w:rsid w:val="00CC4052"/>
    <w:rsid w:val="00CC6A27"/>
    <w:rsid w:val="00CD22BB"/>
    <w:rsid w:val="00CD4899"/>
    <w:rsid w:val="00CE7B28"/>
    <w:rsid w:val="00D073F5"/>
    <w:rsid w:val="00D16C4A"/>
    <w:rsid w:val="00D172B8"/>
    <w:rsid w:val="00D20710"/>
    <w:rsid w:val="00D348AD"/>
    <w:rsid w:val="00D45647"/>
    <w:rsid w:val="00D560ED"/>
    <w:rsid w:val="00D57652"/>
    <w:rsid w:val="00D57A1D"/>
    <w:rsid w:val="00D6697D"/>
    <w:rsid w:val="00D676C3"/>
    <w:rsid w:val="00D74318"/>
    <w:rsid w:val="00D82999"/>
    <w:rsid w:val="00D85080"/>
    <w:rsid w:val="00D96D5A"/>
    <w:rsid w:val="00DA1933"/>
    <w:rsid w:val="00DA39FD"/>
    <w:rsid w:val="00DB1F5A"/>
    <w:rsid w:val="00DB2D0C"/>
    <w:rsid w:val="00DB3EB2"/>
    <w:rsid w:val="00DB4ED1"/>
    <w:rsid w:val="00DB5CBF"/>
    <w:rsid w:val="00DC25CD"/>
    <w:rsid w:val="00DC5623"/>
    <w:rsid w:val="00DC6430"/>
    <w:rsid w:val="00DD5900"/>
    <w:rsid w:val="00DD5A72"/>
    <w:rsid w:val="00DE050F"/>
    <w:rsid w:val="00DF0B0C"/>
    <w:rsid w:val="00DF329C"/>
    <w:rsid w:val="00DF73E1"/>
    <w:rsid w:val="00E02221"/>
    <w:rsid w:val="00E0346E"/>
    <w:rsid w:val="00E10912"/>
    <w:rsid w:val="00E112EE"/>
    <w:rsid w:val="00E12CF4"/>
    <w:rsid w:val="00E14B83"/>
    <w:rsid w:val="00E209A6"/>
    <w:rsid w:val="00E26B1D"/>
    <w:rsid w:val="00E27251"/>
    <w:rsid w:val="00E32B46"/>
    <w:rsid w:val="00E375E4"/>
    <w:rsid w:val="00E467A4"/>
    <w:rsid w:val="00E54220"/>
    <w:rsid w:val="00E667E3"/>
    <w:rsid w:val="00E72FD1"/>
    <w:rsid w:val="00E82201"/>
    <w:rsid w:val="00E86132"/>
    <w:rsid w:val="00E866A1"/>
    <w:rsid w:val="00E93F95"/>
    <w:rsid w:val="00E95C8A"/>
    <w:rsid w:val="00EB2E51"/>
    <w:rsid w:val="00EB3F15"/>
    <w:rsid w:val="00ED1F0D"/>
    <w:rsid w:val="00ED6FDF"/>
    <w:rsid w:val="00EE12F1"/>
    <w:rsid w:val="00EE5557"/>
    <w:rsid w:val="00EE6983"/>
    <w:rsid w:val="00EF0675"/>
    <w:rsid w:val="00EF3D8A"/>
    <w:rsid w:val="00EF58A5"/>
    <w:rsid w:val="00F015A3"/>
    <w:rsid w:val="00F13B1D"/>
    <w:rsid w:val="00F144C0"/>
    <w:rsid w:val="00F154F2"/>
    <w:rsid w:val="00F169D3"/>
    <w:rsid w:val="00F2195A"/>
    <w:rsid w:val="00F2572B"/>
    <w:rsid w:val="00F31512"/>
    <w:rsid w:val="00F344F3"/>
    <w:rsid w:val="00F42AF3"/>
    <w:rsid w:val="00F544A1"/>
    <w:rsid w:val="00F63FA0"/>
    <w:rsid w:val="00F70E80"/>
    <w:rsid w:val="00F82331"/>
    <w:rsid w:val="00F90633"/>
    <w:rsid w:val="00F91896"/>
    <w:rsid w:val="00F95E59"/>
    <w:rsid w:val="00F9626F"/>
    <w:rsid w:val="00FA23F8"/>
    <w:rsid w:val="00FB0FF0"/>
    <w:rsid w:val="00FC280A"/>
    <w:rsid w:val="00FC4D0A"/>
    <w:rsid w:val="00FD4DEC"/>
    <w:rsid w:val="00FD5026"/>
    <w:rsid w:val="00FF03B3"/>
    <w:rsid w:val="00FF301D"/>
    <w:rsid w:val="00FF75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1,Footnotes refss"/>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aliases w:val="Footnote Reference1 Char,Footnotes refss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BalloonText">
    <w:name w:val="Balloon Text"/>
    <w:basedOn w:val="Normal"/>
    <w:link w:val="BalloonTextChar"/>
    <w:uiPriority w:val="99"/>
    <w:semiHidden/>
    <w:unhideWhenUsed/>
    <w:rsid w:val="00A00C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CFE"/>
    <w:rPr>
      <w:rFonts w:ascii="Segoe UI" w:hAnsi="Segoe UI" w:cs="Segoe UI"/>
      <w:sz w:val="18"/>
      <w:szCs w:val="18"/>
    </w:rPr>
  </w:style>
  <w:style w:type="character" w:styleId="Hyperlink">
    <w:name w:val="Hyperlink"/>
    <w:basedOn w:val="DefaultParagraphFont"/>
    <w:uiPriority w:val="99"/>
    <w:unhideWhenUsed/>
    <w:rsid w:val="003E1D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1147">
      <w:bodyDiv w:val="1"/>
      <w:marLeft w:val="0"/>
      <w:marRight w:val="0"/>
      <w:marTop w:val="0"/>
      <w:marBottom w:val="0"/>
      <w:divBdr>
        <w:top w:val="none" w:sz="0" w:space="0" w:color="auto"/>
        <w:left w:val="none" w:sz="0" w:space="0" w:color="auto"/>
        <w:bottom w:val="none" w:sz="0" w:space="0" w:color="auto"/>
        <w:right w:val="none" w:sz="0" w:space="0" w:color="auto"/>
      </w:divBdr>
    </w:div>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1328826693">
      <w:bodyDiv w:val="1"/>
      <w:marLeft w:val="0"/>
      <w:marRight w:val="0"/>
      <w:marTop w:val="0"/>
      <w:marBottom w:val="0"/>
      <w:divBdr>
        <w:top w:val="none" w:sz="0" w:space="0" w:color="auto"/>
        <w:left w:val="none" w:sz="0" w:space="0" w:color="auto"/>
        <w:bottom w:val="none" w:sz="0" w:space="0" w:color="auto"/>
        <w:right w:val="none" w:sz="0" w:space="0" w:color="auto"/>
      </w:divBdr>
    </w:div>
    <w:div w:id="201648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ronwynne@kaplans.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rri-Ann@kaplans.co.z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eo@williamsconsulting.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leli786@gmail.com" TargetMode="External"/><Relationship Id="rId5" Type="http://schemas.openxmlformats.org/officeDocument/2006/relationships/webSettings" Target="webSettings.xml"/><Relationship Id="rId15" Type="http://schemas.openxmlformats.org/officeDocument/2006/relationships/hyperlink" Target="mailto:rolandwilliams777@icloud.com" TargetMode="External"/><Relationship Id="rId10" Type="http://schemas.openxmlformats.org/officeDocument/2006/relationships/hyperlink" Target="mailto:sarah@gmlaw.co.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oldvic@mwe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6CBB9-8152-4887-8BAA-2BDC4E9B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10272</Words>
  <Characters>58551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HOME</cp:lastModifiedBy>
  <cp:revision>2</cp:revision>
  <cp:lastPrinted>2022-04-15T23:10:00Z</cp:lastPrinted>
  <dcterms:created xsi:type="dcterms:W3CDTF">2022-04-29T17:09:00Z</dcterms:created>
  <dcterms:modified xsi:type="dcterms:W3CDTF">2022-04-29T17:09:00Z</dcterms:modified>
  <cp:contentStatus/>
</cp:coreProperties>
</file>