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5C901" w14:textId="77777777" w:rsidR="005C7D79" w:rsidRPr="00495C60" w:rsidRDefault="005C7D79" w:rsidP="005C7D79">
      <w:pPr>
        <w:spacing w:line="480" w:lineRule="auto"/>
        <w:ind w:right="85"/>
        <w:rPr>
          <w:rFonts w:cs="Tahoma"/>
          <w:b/>
          <w:bCs/>
          <w:snapToGrid w:val="0"/>
          <w:szCs w:val="24"/>
        </w:rPr>
      </w:pPr>
      <w:bookmarkStart w:id="0" w:name="_GoBack"/>
      <w:bookmarkEnd w:id="0"/>
      <w:r w:rsidRPr="00495C60">
        <w:rPr>
          <w:rFonts w:cs="Tahoma"/>
          <w:b/>
          <w:bCs/>
          <w:snapToGrid w:val="0"/>
          <w:szCs w:val="24"/>
        </w:rPr>
        <w:t>IN THE HIGH COURT OF SOUTH AFRICA</w:t>
      </w:r>
    </w:p>
    <w:p w14:paraId="047CDE18" w14:textId="1275EC15" w:rsidR="005C7D79" w:rsidRPr="00495C60" w:rsidRDefault="005C7D79" w:rsidP="005C7D79">
      <w:pPr>
        <w:spacing w:line="480" w:lineRule="auto"/>
        <w:ind w:right="85"/>
        <w:rPr>
          <w:rFonts w:cs="Tahoma"/>
          <w:b/>
          <w:bCs/>
          <w:snapToGrid w:val="0"/>
          <w:szCs w:val="24"/>
        </w:rPr>
      </w:pPr>
      <w:r w:rsidRPr="00495C60">
        <w:rPr>
          <w:rFonts w:cs="Tahoma"/>
          <w:b/>
          <w:bCs/>
          <w:snapToGrid w:val="0"/>
          <w:szCs w:val="24"/>
        </w:rPr>
        <w:t>EASTERN CAPE</w:t>
      </w:r>
      <w:r w:rsidR="002E6207" w:rsidRPr="00495C60">
        <w:rPr>
          <w:rFonts w:cs="Tahoma"/>
          <w:b/>
          <w:bCs/>
          <w:snapToGrid w:val="0"/>
          <w:szCs w:val="24"/>
        </w:rPr>
        <w:t xml:space="preserve"> LOCAL</w:t>
      </w:r>
      <w:r w:rsidRPr="00495C60">
        <w:rPr>
          <w:rFonts w:cs="Tahoma"/>
          <w:b/>
          <w:bCs/>
          <w:snapToGrid w:val="0"/>
          <w:szCs w:val="24"/>
        </w:rPr>
        <w:t xml:space="preserve"> DIVISION, </w:t>
      </w:r>
      <w:r w:rsidR="002E6207" w:rsidRPr="00495C60">
        <w:rPr>
          <w:rFonts w:cs="Tahoma"/>
          <w:b/>
          <w:bCs/>
          <w:snapToGrid w:val="0"/>
          <w:szCs w:val="24"/>
        </w:rPr>
        <w:t>GQEBERHA</w:t>
      </w:r>
    </w:p>
    <w:p w14:paraId="4560F112" w14:textId="6AB78514" w:rsidR="005C7D79" w:rsidRPr="000160FF" w:rsidRDefault="005C7D79" w:rsidP="005C7D79">
      <w:pPr>
        <w:spacing w:line="480" w:lineRule="auto"/>
        <w:ind w:left="4320"/>
        <w:rPr>
          <w:rFonts w:eastAsia="Times New Roman" w:cs="Tahoma"/>
          <w:bCs/>
          <w:noProof/>
          <w:szCs w:val="24"/>
        </w:rPr>
      </w:pPr>
      <w:r w:rsidRPr="000160FF">
        <w:rPr>
          <w:rFonts w:eastAsia="Times New Roman" w:cs="Tahoma"/>
          <w:bCs/>
          <w:noProof/>
          <w:szCs w:val="24"/>
        </w:rPr>
        <w:tab/>
      </w:r>
      <w:r w:rsidRPr="000160FF">
        <w:rPr>
          <w:rFonts w:eastAsia="Times New Roman" w:cs="Tahoma"/>
          <w:bCs/>
          <w:noProof/>
          <w:szCs w:val="24"/>
        </w:rPr>
        <w:tab/>
        <w:t>Case No.:</w:t>
      </w:r>
      <w:r w:rsidR="002E6207">
        <w:rPr>
          <w:rFonts w:eastAsia="Times New Roman" w:cs="Tahoma"/>
          <w:bCs/>
          <w:noProof/>
          <w:szCs w:val="24"/>
        </w:rPr>
        <w:t xml:space="preserve"> 2188/2021</w:t>
      </w:r>
      <w:r w:rsidRPr="000160FF">
        <w:rPr>
          <w:rFonts w:eastAsia="Times New Roman" w:cs="Tahoma"/>
          <w:bCs/>
          <w:noProof/>
          <w:szCs w:val="24"/>
        </w:rPr>
        <w:t xml:space="preserve"> </w:t>
      </w:r>
    </w:p>
    <w:p w14:paraId="2DAA2DC1" w14:textId="36698D35" w:rsidR="005C7D79" w:rsidRPr="000160FF" w:rsidRDefault="005C7D79" w:rsidP="005C7D79">
      <w:pPr>
        <w:spacing w:line="480" w:lineRule="auto"/>
        <w:ind w:left="4320"/>
        <w:rPr>
          <w:rFonts w:eastAsia="Times New Roman" w:cs="Tahoma"/>
          <w:noProof/>
          <w:szCs w:val="24"/>
        </w:rPr>
      </w:pPr>
      <w:r w:rsidRPr="000160FF">
        <w:rPr>
          <w:rFonts w:eastAsia="Times New Roman" w:cs="Tahoma"/>
          <w:bCs/>
          <w:noProof/>
          <w:szCs w:val="24"/>
        </w:rPr>
        <w:tab/>
      </w:r>
      <w:r w:rsidRPr="000160FF">
        <w:rPr>
          <w:rFonts w:eastAsia="Times New Roman" w:cs="Tahoma"/>
          <w:bCs/>
          <w:noProof/>
          <w:szCs w:val="24"/>
        </w:rPr>
        <w:tab/>
        <w:t>Date Heard:</w:t>
      </w:r>
      <w:r w:rsidR="002E6207">
        <w:rPr>
          <w:rFonts w:eastAsia="Times New Roman" w:cs="Tahoma"/>
          <w:bCs/>
          <w:noProof/>
          <w:szCs w:val="24"/>
        </w:rPr>
        <w:t xml:space="preserve"> 14 April 2022</w:t>
      </w:r>
      <w:r w:rsidRPr="000160FF">
        <w:rPr>
          <w:rFonts w:eastAsia="Times New Roman" w:cs="Tahoma"/>
          <w:bCs/>
          <w:noProof/>
          <w:szCs w:val="24"/>
        </w:rPr>
        <w:t xml:space="preserve">  </w:t>
      </w:r>
    </w:p>
    <w:p w14:paraId="39B7F340" w14:textId="7A2EA124" w:rsidR="005C7D79" w:rsidRPr="000160FF" w:rsidRDefault="005C7D79" w:rsidP="005C7D79">
      <w:pPr>
        <w:spacing w:line="480" w:lineRule="auto"/>
        <w:ind w:left="4320"/>
        <w:rPr>
          <w:rFonts w:eastAsia="Times New Roman" w:cs="Tahoma"/>
          <w:noProof/>
          <w:szCs w:val="24"/>
        </w:rPr>
      </w:pPr>
      <w:r w:rsidRPr="000160FF">
        <w:rPr>
          <w:rFonts w:eastAsia="Times New Roman" w:cs="Tahoma"/>
          <w:noProof/>
          <w:szCs w:val="24"/>
        </w:rPr>
        <w:tab/>
      </w:r>
      <w:r w:rsidRPr="000160FF">
        <w:rPr>
          <w:rFonts w:eastAsia="Times New Roman" w:cs="Tahoma"/>
          <w:noProof/>
          <w:szCs w:val="24"/>
        </w:rPr>
        <w:tab/>
        <w:t>Date Delivered:</w:t>
      </w:r>
      <w:r w:rsidR="001E42E9">
        <w:rPr>
          <w:rFonts w:eastAsia="Times New Roman" w:cs="Tahoma"/>
          <w:noProof/>
          <w:szCs w:val="24"/>
        </w:rPr>
        <w:t xml:space="preserve"> 26 May 2022</w:t>
      </w:r>
      <w:r w:rsidRPr="000160FF">
        <w:rPr>
          <w:rFonts w:eastAsia="Times New Roman" w:cs="Tahoma"/>
          <w:noProof/>
          <w:szCs w:val="24"/>
        </w:rPr>
        <w:t xml:space="preserve">  </w:t>
      </w:r>
    </w:p>
    <w:p w14:paraId="330D2746" w14:textId="77777777" w:rsidR="005C7D79" w:rsidRPr="000160FF" w:rsidRDefault="005C7D79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  <w:r w:rsidRPr="000160FF">
        <w:rPr>
          <w:rFonts w:eastAsia="Times New Roman" w:cs="Tahoma"/>
          <w:noProof/>
          <w:szCs w:val="24"/>
        </w:rPr>
        <w:t>In the matter between:</w:t>
      </w:r>
    </w:p>
    <w:p w14:paraId="1AA879F4" w14:textId="77777777" w:rsidR="005C7D79" w:rsidRPr="000160FF" w:rsidRDefault="005C7D79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</w:p>
    <w:p w14:paraId="4C5B5118" w14:textId="2FED679D" w:rsidR="005C7D79" w:rsidRDefault="00A05769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  <w:r>
        <w:rPr>
          <w:rFonts w:eastAsia="Times New Roman" w:cs="Tahoma"/>
          <w:b/>
          <w:bCs/>
          <w:noProof/>
          <w:szCs w:val="24"/>
        </w:rPr>
        <w:t>DR</w:t>
      </w:r>
      <w:r w:rsidR="006F71CA" w:rsidRPr="00495C60">
        <w:rPr>
          <w:rFonts w:eastAsia="Times New Roman" w:cs="Tahoma"/>
          <w:b/>
          <w:bCs/>
          <w:noProof/>
          <w:szCs w:val="24"/>
        </w:rPr>
        <w:t xml:space="preserve"> TAJ HARGEY</w:t>
      </w:r>
      <w:r w:rsidR="00330EB0" w:rsidRPr="000160FF">
        <w:rPr>
          <w:rFonts w:eastAsia="Times New Roman" w:cs="Tahoma"/>
          <w:b/>
          <w:bCs/>
          <w:noProof/>
          <w:szCs w:val="24"/>
        </w:rPr>
        <w:tab/>
      </w:r>
      <w:r w:rsidR="00330EB0" w:rsidRPr="000160FF">
        <w:rPr>
          <w:rFonts w:eastAsia="Times New Roman" w:cs="Tahoma"/>
          <w:b/>
          <w:bCs/>
          <w:noProof/>
          <w:szCs w:val="24"/>
        </w:rPr>
        <w:tab/>
      </w:r>
      <w:r w:rsidR="00330EB0" w:rsidRPr="000160FF">
        <w:rPr>
          <w:rFonts w:eastAsia="Times New Roman" w:cs="Tahoma"/>
          <w:b/>
          <w:bCs/>
          <w:noProof/>
          <w:szCs w:val="24"/>
        </w:rPr>
        <w:tab/>
      </w:r>
      <w:r w:rsidR="00330EB0" w:rsidRPr="000160FF">
        <w:rPr>
          <w:rFonts w:eastAsia="Times New Roman" w:cs="Tahoma"/>
          <w:b/>
          <w:bCs/>
          <w:noProof/>
          <w:szCs w:val="24"/>
        </w:rPr>
        <w:tab/>
      </w:r>
      <w:r w:rsidR="00330EB0" w:rsidRPr="000160FF">
        <w:rPr>
          <w:rFonts w:eastAsia="Times New Roman" w:cs="Tahoma"/>
          <w:b/>
          <w:bCs/>
          <w:noProof/>
          <w:szCs w:val="24"/>
        </w:rPr>
        <w:tab/>
      </w:r>
      <w:r w:rsidR="00330EB0" w:rsidRPr="000160FF">
        <w:rPr>
          <w:rFonts w:eastAsia="Times New Roman" w:cs="Tahoma"/>
          <w:b/>
          <w:bCs/>
          <w:noProof/>
          <w:szCs w:val="24"/>
        </w:rPr>
        <w:tab/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 w:rsidR="006F71CA">
        <w:rPr>
          <w:rFonts w:eastAsia="Times New Roman" w:cs="Tahoma"/>
          <w:b/>
          <w:bCs/>
          <w:noProof/>
          <w:szCs w:val="24"/>
        </w:rPr>
        <w:t xml:space="preserve">       </w:t>
      </w:r>
      <w:r w:rsidR="006F71CA">
        <w:rPr>
          <w:rFonts w:eastAsia="Times New Roman" w:cs="Tahoma"/>
          <w:noProof/>
          <w:szCs w:val="24"/>
        </w:rPr>
        <w:t>First Plaintiff</w:t>
      </w:r>
      <w:r w:rsidR="005C7D79" w:rsidRPr="000160FF">
        <w:rPr>
          <w:rFonts w:eastAsia="Times New Roman" w:cs="Tahoma"/>
          <w:noProof/>
          <w:szCs w:val="24"/>
        </w:rPr>
        <w:t xml:space="preserve"> </w:t>
      </w:r>
    </w:p>
    <w:p w14:paraId="77931834" w14:textId="6114899C" w:rsidR="006F71CA" w:rsidRDefault="006F71CA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</w:p>
    <w:p w14:paraId="6BF01649" w14:textId="75939279" w:rsidR="006F71CA" w:rsidRPr="000160FF" w:rsidRDefault="006F71CA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  <w:r w:rsidRPr="00204363">
        <w:rPr>
          <w:rFonts w:eastAsia="Times New Roman" w:cs="Tahoma"/>
          <w:b/>
          <w:bCs/>
          <w:noProof/>
          <w:szCs w:val="24"/>
        </w:rPr>
        <w:t>THE OPEN MOSQUE</w:t>
      </w:r>
      <w:r>
        <w:rPr>
          <w:rFonts w:eastAsia="Times New Roman" w:cs="Tahoma"/>
          <w:noProof/>
          <w:szCs w:val="24"/>
        </w:rPr>
        <w:t xml:space="preserve">                                                                       Second Plaintiff</w:t>
      </w:r>
    </w:p>
    <w:p w14:paraId="24D218DD" w14:textId="77777777" w:rsidR="007A000E" w:rsidRDefault="007A000E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</w:p>
    <w:p w14:paraId="2E05E871" w14:textId="2E80F8B6" w:rsidR="005C7D79" w:rsidRPr="000160FF" w:rsidRDefault="005C7D79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  <w:r w:rsidRPr="000160FF">
        <w:rPr>
          <w:rFonts w:eastAsia="Times New Roman" w:cs="Tahoma"/>
          <w:noProof/>
          <w:szCs w:val="24"/>
        </w:rPr>
        <w:t>and</w:t>
      </w:r>
    </w:p>
    <w:p w14:paraId="61751E45" w14:textId="77777777" w:rsidR="006F71CA" w:rsidRDefault="00330EB0" w:rsidP="005C7D79">
      <w:pPr>
        <w:tabs>
          <w:tab w:val="left" w:pos="638"/>
          <w:tab w:val="center" w:pos="4513"/>
        </w:tabs>
        <w:spacing w:line="360" w:lineRule="auto"/>
        <w:rPr>
          <w:rFonts w:eastAsia="Times New Roman" w:cs="Tahoma"/>
          <w:b/>
          <w:bCs/>
          <w:noProof/>
          <w:szCs w:val="24"/>
        </w:rPr>
      </w:pPr>
      <w:r w:rsidRPr="000160FF">
        <w:rPr>
          <w:rFonts w:eastAsia="Times New Roman" w:cs="Tahoma"/>
          <w:b/>
          <w:bCs/>
          <w:noProof/>
          <w:szCs w:val="24"/>
        </w:rPr>
        <w:t xml:space="preserve"> </w:t>
      </w:r>
    </w:p>
    <w:p w14:paraId="76963844" w14:textId="43A510C4" w:rsidR="005C7D79" w:rsidRPr="000160FF" w:rsidRDefault="007A000E" w:rsidP="005C7D79">
      <w:pPr>
        <w:tabs>
          <w:tab w:val="left" w:pos="638"/>
          <w:tab w:val="center" w:pos="4513"/>
        </w:tabs>
        <w:spacing w:line="360" w:lineRule="auto"/>
        <w:rPr>
          <w:rFonts w:cs="Tahoma"/>
          <w:b/>
          <w:szCs w:val="24"/>
        </w:rPr>
      </w:pPr>
      <w:r w:rsidRPr="00204363">
        <w:rPr>
          <w:rFonts w:eastAsia="Times New Roman" w:cs="Tahoma"/>
          <w:b/>
          <w:bCs/>
          <w:noProof/>
          <w:szCs w:val="24"/>
        </w:rPr>
        <w:t>MOHAMMED AADIEL MOOSAGIE</w:t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>
        <w:rPr>
          <w:rFonts w:eastAsia="Times New Roman" w:cs="Tahoma"/>
          <w:b/>
          <w:bCs/>
          <w:noProof/>
          <w:szCs w:val="24"/>
        </w:rPr>
        <w:t xml:space="preserve">          </w:t>
      </w:r>
      <w:r>
        <w:rPr>
          <w:rFonts w:eastAsia="Times New Roman" w:cs="Tahoma"/>
          <w:noProof/>
          <w:szCs w:val="24"/>
        </w:rPr>
        <w:t>Defe</w:t>
      </w:r>
      <w:r w:rsidR="005C7D79" w:rsidRPr="000160FF">
        <w:rPr>
          <w:rFonts w:eastAsia="Times New Roman" w:cs="Tahoma"/>
          <w:bCs/>
          <w:noProof/>
          <w:szCs w:val="24"/>
        </w:rPr>
        <w:t>n</w:t>
      </w:r>
      <w:r>
        <w:rPr>
          <w:rFonts w:eastAsia="Times New Roman" w:cs="Tahoma"/>
          <w:bCs/>
          <w:noProof/>
          <w:szCs w:val="24"/>
        </w:rPr>
        <w:t>dant</w:t>
      </w:r>
    </w:p>
    <w:p w14:paraId="3E597A04" w14:textId="77777777" w:rsidR="00C157B7" w:rsidRPr="000160FF" w:rsidRDefault="00C157B7" w:rsidP="005C7D79">
      <w:pPr>
        <w:jc w:val="both"/>
        <w:rPr>
          <w:rFonts w:cs="Tahoma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81B48" w:rsidRPr="000160FF" w14:paraId="794B29CD" w14:textId="77777777" w:rsidTr="009C5CB3">
        <w:trPr>
          <w:cantSplit/>
          <w:trHeight w:val="1134"/>
        </w:trPr>
        <w:tc>
          <w:tcPr>
            <w:tcW w:w="9026" w:type="dxa"/>
            <w:shd w:val="clear" w:color="auto" w:fill="auto"/>
            <w:vAlign w:val="center"/>
          </w:tcPr>
          <w:p w14:paraId="09AAD21C" w14:textId="1C24DDAE" w:rsidR="00B3408B" w:rsidRPr="000160FF" w:rsidRDefault="00C6369A" w:rsidP="005C7D79">
            <w:pPr>
              <w:pStyle w:val="Names"/>
              <w:spacing w:before="240" w:line="240" w:lineRule="auto"/>
              <w:jc w:val="center"/>
              <w:rPr>
                <w:rFonts w:cs="Tahoma"/>
                <w:szCs w:val="24"/>
              </w:rPr>
            </w:pPr>
            <w:r w:rsidRPr="000160FF">
              <w:rPr>
                <w:rFonts w:cs="Tahoma"/>
                <w:szCs w:val="24"/>
              </w:rPr>
              <w:t>judgment</w:t>
            </w:r>
          </w:p>
        </w:tc>
      </w:tr>
    </w:tbl>
    <w:p w14:paraId="165EB78E" w14:textId="77777777" w:rsidR="005C7D79" w:rsidRPr="000160FF" w:rsidRDefault="005C7D79" w:rsidP="005C7D79">
      <w:pPr>
        <w:pStyle w:val="H1"/>
        <w:numPr>
          <w:ilvl w:val="0"/>
          <w:numId w:val="0"/>
        </w:numPr>
        <w:spacing w:line="240" w:lineRule="auto"/>
        <w:ind w:left="567" w:hanging="567"/>
        <w:rPr>
          <w:rFonts w:cs="Tahoma"/>
          <w:b/>
          <w:szCs w:val="24"/>
          <w:u w:val="single"/>
        </w:rPr>
      </w:pPr>
    </w:p>
    <w:p w14:paraId="74CC353B" w14:textId="5B2B392D" w:rsidR="00DD655F" w:rsidRPr="000160FF" w:rsidRDefault="005C7D79" w:rsidP="005C7D79">
      <w:pPr>
        <w:pStyle w:val="H1"/>
        <w:numPr>
          <w:ilvl w:val="0"/>
          <w:numId w:val="0"/>
        </w:numPr>
        <w:spacing w:line="240" w:lineRule="auto"/>
        <w:ind w:left="567" w:hanging="567"/>
        <w:rPr>
          <w:rFonts w:cs="Tahoma"/>
          <w:b/>
          <w:szCs w:val="24"/>
          <w:u w:val="single"/>
        </w:rPr>
      </w:pPr>
      <w:r w:rsidRPr="000160FF">
        <w:rPr>
          <w:rFonts w:cs="Tahoma"/>
          <w:b/>
          <w:szCs w:val="24"/>
          <w:u w:val="single"/>
        </w:rPr>
        <w:t>RONAASEN AJ</w:t>
      </w:r>
    </w:p>
    <w:p w14:paraId="4AB488DE" w14:textId="77777777" w:rsidR="005C7D79" w:rsidRPr="000160FF" w:rsidRDefault="005C7D79" w:rsidP="005C7D79">
      <w:pPr>
        <w:pStyle w:val="H1"/>
        <w:numPr>
          <w:ilvl w:val="0"/>
          <w:numId w:val="0"/>
        </w:numPr>
        <w:spacing w:line="240" w:lineRule="auto"/>
        <w:ind w:left="567" w:hanging="567"/>
        <w:rPr>
          <w:rFonts w:cs="Tahoma"/>
          <w:b/>
          <w:szCs w:val="24"/>
          <w:u w:val="single"/>
        </w:rPr>
      </w:pPr>
    </w:p>
    <w:p w14:paraId="75849662" w14:textId="43CF431F" w:rsidR="00565437" w:rsidRPr="000160FF" w:rsidRDefault="00565437" w:rsidP="00C41D47">
      <w:pPr>
        <w:pStyle w:val="H1"/>
        <w:numPr>
          <w:ilvl w:val="0"/>
          <w:numId w:val="0"/>
        </w:numPr>
        <w:ind w:left="567" w:hanging="567"/>
        <w:rPr>
          <w:rFonts w:cs="Tahoma"/>
          <w:b/>
          <w:bCs/>
          <w:szCs w:val="24"/>
          <w:u w:val="single"/>
        </w:rPr>
      </w:pPr>
      <w:r w:rsidRPr="000160FF">
        <w:rPr>
          <w:rFonts w:cs="Tahoma"/>
          <w:b/>
          <w:bCs/>
          <w:szCs w:val="24"/>
          <w:u w:val="single"/>
        </w:rPr>
        <w:t>Introduction</w:t>
      </w:r>
    </w:p>
    <w:p w14:paraId="014EE5FD" w14:textId="2F63CD6E" w:rsidR="00330EB0" w:rsidRDefault="00936637" w:rsidP="00330EB0">
      <w:pPr>
        <w:pStyle w:val="H1"/>
        <w:rPr>
          <w:rFonts w:cs="Tahoma"/>
          <w:szCs w:val="24"/>
        </w:rPr>
      </w:pPr>
      <w:r>
        <w:rPr>
          <w:rFonts w:cs="Tahoma"/>
          <w:szCs w:val="24"/>
        </w:rPr>
        <w:t>In</w:t>
      </w:r>
      <w:r w:rsidR="009C20F4">
        <w:rPr>
          <w:rFonts w:cs="Tahoma"/>
          <w:szCs w:val="24"/>
        </w:rPr>
        <w:t xml:space="preserve"> July 2021 the plaintiffs instituted action against the defendant claiming damages from him on the strength of</w:t>
      </w:r>
      <w:r w:rsidR="00F07031">
        <w:rPr>
          <w:rFonts w:cs="Tahoma"/>
          <w:szCs w:val="24"/>
        </w:rPr>
        <w:t xml:space="preserve"> allegations that he had defamed them.</w:t>
      </w:r>
    </w:p>
    <w:p w14:paraId="7C92E14D" w14:textId="12249F1E" w:rsidR="00F07031" w:rsidRDefault="00F07031" w:rsidP="00330EB0">
      <w:pPr>
        <w:pStyle w:val="H1"/>
        <w:rPr>
          <w:rFonts w:cs="Tahoma"/>
          <w:szCs w:val="24"/>
        </w:rPr>
      </w:pPr>
      <w:r>
        <w:rPr>
          <w:rFonts w:cs="Tahoma"/>
          <w:szCs w:val="24"/>
        </w:rPr>
        <w:lastRenderedPageBreak/>
        <w:t>The particulars of claim, as originally formulated,</w:t>
      </w:r>
      <w:r w:rsidR="005560B6">
        <w:rPr>
          <w:rFonts w:cs="Tahoma"/>
          <w:szCs w:val="24"/>
        </w:rPr>
        <w:t xml:space="preserve"> attracted a notice in terms of rule</w:t>
      </w:r>
      <w:r w:rsidR="00463BF2">
        <w:rPr>
          <w:rFonts w:cs="Tahoma"/>
          <w:szCs w:val="24"/>
        </w:rPr>
        <w:t xml:space="preserve"> 23(1) of the Uniform Rules</w:t>
      </w:r>
      <w:r w:rsidR="0040764B">
        <w:rPr>
          <w:rFonts w:cs="Tahoma"/>
          <w:szCs w:val="24"/>
        </w:rPr>
        <w:t xml:space="preserve"> in terms of which the defendant </w:t>
      </w:r>
      <w:r w:rsidR="00A74639">
        <w:rPr>
          <w:rFonts w:cs="Tahoma"/>
          <w:szCs w:val="24"/>
        </w:rPr>
        <w:t>identified various causes of complaint which he contended rendered the particulars of claim</w:t>
      </w:r>
      <w:r w:rsidR="009A57B5">
        <w:rPr>
          <w:rFonts w:cs="Tahoma"/>
          <w:szCs w:val="24"/>
        </w:rPr>
        <w:t xml:space="preserve">  vague and embarrassing, alternatively, that the particulars </w:t>
      </w:r>
      <w:r w:rsidR="008B45C2">
        <w:rPr>
          <w:rFonts w:cs="Tahoma"/>
          <w:szCs w:val="24"/>
        </w:rPr>
        <w:t>lack</w:t>
      </w:r>
      <w:r w:rsidR="007C19C7">
        <w:rPr>
          <w:rFonts w:cs="Tahoma"/>
          <w:szCs w:val="24"/>
        </w:rPr>
        <w:t>ed</w:t>
      </w:r>
      <w:r w:rsidR="00400078">
        <w:rPr>
          <w:rFonts w:cs="Tahoma"/>
          <w:szCs w:val="24"/>
        </w:rPr>
        <w:t xml:space="preserve"> the averments necessary to disclose a cause of action.</w:t>
      </w:r>
    </w:p>
    <w:p w14:paraId="56F7BDE1" w14:textId="78A6A7C1" w:rsidR="0040480C" w:rsidRDefault="00DA55D4" w:rsidP="005047E0">
      <w:pPr>
        <w:pStyle w:val="H1"/>
        <w:rPr>
          <w:rFonts w:cs="Tahoma"/>
          <w:szCs w:val="24"/>
        </w:rPr>
      </w:pPr>
      <w:r>
        <w:rPr>
          <w:rFonts w:cs="Tahoma"/>
          <w:szCs w:val="24"/>
        </w:rPr>
        <w:t>The plaintiffs, in response, amended</w:t>
      </w:r>
      <w:r w:rsidR="00550FE9">
        <w:rPr>
          <w:rFonts w:cs="Tahoma"/>
          <w:szCs w:val="24"/>
        </w:rPr>
        <w:t xml:space="preserve"> the particulars of claim.  The particulars of claim, as amended, again resulted in</w:t>
      </w:r>
      <w:r w:rsidR="008C51D0">
        <w:rPr>
          <w:rFonts w:cs="Tahoma"/>
          <w:szCs w:val="24"/>
        </w:rPr>
        <w:t xml:space="preserve"> the delivery of a notice</w:t>
      </w:r>
      <w:r w:rsidR="00785B5B">
        <w:rPr>
          <w:rFonts w:cs="Tahoma"/>
          <w:szCs w:val="24"/>
        </w:rPr>
        <w:t xml:space="preserve"> in terms of rule 23</w:t>
      </w:r>
      <w:r w:rsidR="00BC3E17">
        <w:rPr>
          <w:rFonts w:cs="Tahoma"/>
          <w:szCs w:val="24"/>
        </w:rPr>
        <w:t>(1)</w:t>
      </w:r>
      <w:r w:rsidR="00C7763A">
        <w:rPr>
          <w:rFonts w:cs="Tahoma"/>
          <w:szCs w:val="24"/>
        </w:rPr>
        <w:t xml:space="preserve"> </w:t>
      </w:r>
      <w:r w:rsidR="006637EE">
        <w:rPr>
          <w:rFonts w:cs="Tahoma"/>
          <w:szCs w:val="24"/>
        </w:rPr>
        <w:t xml:space="preserve">by </w:t>
      </w:r>
      <w:r w:rsidR="00C7763A">
        <w:rPr>
          <w:rFonts w:cs="Tahoma"/>
          <w:szCs w:val="24"/>
        </w:rPr>
        <w:t xml:space="preserve">the defendant, </w:t>
      </w:r>
      <w:r w:rsidR="00C44161">
        <w:rPr>
          <w:rFonts w:cs="Tahoma"/>
          <w:szCs w:val="24"/>
        </w:rPr>
        <w:t xml:space="preserve">raising a number of </w:t>
      </w:r>
      <w:r w:rsidR="00BC3E17">
        <w:rPr>
          <w:rFonts w:cs="Tahoma"/>
          <w:szCs w:val="24"/>
        </w:rPr>
        <w:t xml:space="preserve">similar </w:t>
      </w:r>
      <w:r w:rsidR="00C44161">
        <w:rPr>
          <w:rFonts w:cs="Tahoma"/>
          <w:szCs w:val="24"/>
        </w:rPr>
        <w:t>causes of complaint</w:t>
      </w:r>
      <w:r w:rsidR="00BB46DA">
        <w:rPr>
          <w:rFonts w:cs="Tahoma"/>
          <w:szCs w:val="24"/>
        </w:rPr>
        <w:t xml:space="preserve"> pointing</w:t>
      </w:r>
      <w:r w:rsidR="00D07F2A">
        <w:rPr>
          <w:rFonts w:cs="Tahoma"/>
          <w:szCs w:val="24"/>
        </w:rPr>
        <w:t xml:space="preserve"> to the particulars</w:t>
      </w:r>
      <w:r w:rsidR="0089026A">
        <w:rPr>
          <w:rFonts w:cs="Tahoma"/>
          <w:szCs w:val="24"/>
        </w:rPr>
        <w:t xml:space="preserve"> </w:t>
      </w:r>
      <w:r w:rsidR="00A06C2D">
        <w:rPr>
          <w:rFonts w:cs="Tahoma"/>
          <w:szCs w:val="24"/>
        </w:rPr>
        <w:t>remaining excipiable</w:t>
      </w:r>
      <w:r w:rsidR="0040480C">
        <w:rPr>
          <w:rFonts w:cs="Tahoma"/>
          <w:szCs w:val="24"/>
        </w:rPr>
        <w:t xml:space="preserve"> as suggested in the first notice</w:t>
      </w:r>
      <w:r w:rsidR="0079381C">
        <w:rPr>
          <w:rFonts w:cs="Tahoma"/>
          <w:szCs w:val="24"/>
        </w:rPr>
        <w:t>.</w:t>
      </w:r>
      <w:r w:rsidR="00DB13D8">
        <w:rPr>
          <w:rFonts w:cs="Tahoma"/>
          <w:szCs w:val="24"/>
        </w:rPr>
        <w:t xml:space="preserve">  </w:t>
      </w:r>
    </w:p>
    <w:p w14:paraId="0E8E4477" w14:textId="4635E14F" w:rsidR="00A51234" w:rsidRDefault="00DB13D8" w:rsidP="005047E0">
      <w:pPr>
        <w:pStyle w:val="H1"/>
        <w:rPr>
          <w:rFonts w:cs="Tahoma"/>
          <w:szCs w:val="24"/>
        </w:rPr>
      </w:pPr>
      <w:r>
        <w:rPr>
          <w:rFonts w:cs="Tahoma"/>
          <w:szCs w:val="24"/>
        </w:rPr>
        <w:t xml:space="preserve">The </w:t>
      </w:r>
      <w:r w:rsidR="00E56EA9">
        <w:rPr>
          <w:rFonts w:cs="Tahoma"/>
          <w:szCs w:val="24"/>
        </w:rPr>
        <w:t xml:space="preserve">second </w:t>
      </w:r>
      <w:r>
        <w:rPr>
          <w:rFonts w:cs="Tahoma"/>
          <w:szCs w:val="24"/>
        </w:rPr>
        <w:t>notice did not prompt the plaintiffs to address the causes of complaint</w:t>
      </w:r>
      <w:r w:rsidR="003F4EC4">
        <w:rPr>
          <w:rFonts w:cs="Tahoma"/>
          <w:szCs w:val="24"/>
        </w:rPr>
        <w:t>, resulting in the defendant delivering a</w:t>
      </w:r>
      <w:r w:rsidR="000B572C">
        <w:rPr>
          <w:rFonts w:cs="Tahoma"/>
          <w:szCs w:val="24"/>
        </w:rPr>
        <w:t>n</w:t>
      </w:r>
      <w:r w:rsidR="003F4EC4">
        <w:rPr>
          <w:rFonts w:cs="Tahoma"/>
          <w:szCs w:val="24"/>
        </w:rPr>
        <w:t xml:space="preserve"> exception</w:t>
      </w:r>
      <w:r w:rsidR="00883A02">
        <w:rPr>
          <w:rFonts w:cs="Tahoma"/>
          <w:szCs w:val="24"/>
        </w:rPr>
        <w:t xml:space="preserve"> to the particulars of claim</w:t>
      </w:r>
      <w:r w:rsidR="003F4EC4">
        <w:rPr>
          <w:rFonts w:cs="Tahoma"/>
          <w:szCs w:val="24"/>
        </w:rPr>
        <w:t xml:space="preserve"> in terms of which it</w:t>
      </w:r>
      <w:r w:rsidR="00883A02">
        <w:rPr>
          <w:rFonts w:cs="Tahoma"/>
          <w:szCs w:val="24"/>
        </w:rPr>
        <w:t xml:space="preserve"> </w:t>
      </w:r>
      <w:r w:rsidR="00E16233">
        <w:rPr>
          <w:rFonts w:cs="Tahoma"/>
          <w:szCs w:val="24"/>
        </w:rPr>
        <w:t>was</w:t>
      </w:r>
      <w:r w:rsidR="00883A02">
        <w:rPr>
          <w:rFonts w:cs="Tahoma"/>
          <w:szCs w:val="24"/>
        </w:rPr>
        <w:t xml:space="preserve"> contended, again, that the</w:t>
      </w:r>
      <w:r w:rsidR="007E6EB1">
        <w:rPr>
          <w:rFonts w:cs="Tahoma"/>
          <w:szCs w:val="24"/>
        </w:rPr>
        <w:t xml:space="preserve"> particulars were vague and embarrassing, alternatively did not contain the requisite averments to sustain a cause of action</w:t>
      </w:r>
      <w:r w:rsidR="005C1743">
        <w:rPr>
          <w:rFonts w:cs="Tahoma"/>
          <w:szCs w:val="24"/>
        </w:rPr>
        <w:t>, namely a claim for</w:t>
      </w:r>
      <w:r w:rsidR="00E66AAB">
        <w:rPr>
          <w:rFonts w:cs="Tahoma"/>
          <w:szCs w:val="24"/>
        </w:rPr>
        <w:t xml:space="preserve"> damages</w:t>
      </w:r>
      <w:r w:rsidR="007600F6">
        <w:rPr>
          <w:rFonts w:cs="Tahoma"/>
          <w:szCs w:val="24"/>
        </w:rPr>
        <w:t xml:space="preserve"> arising from</w:t>
      </w:r>
      <w:r w:rsidR="005C1743">
        <w:rPr>
          <w:rFonts w:cs="Tahoma"/>
          <w:szCs w:val="24"/>
        </w:rPr>
        <w:t xml:space="preserve"> defamation.  During argument counsel for</w:t>
      </w:r>
      <w:r w:rsidR="00B12310">
        <w:rPr>
          <w:rFonts w:cs="Tahoma"/>
          <w:szCs w:val="24"/>
        </w:rPr>
        <w:t xml:space="preserve"> the defendant abandoned the l</w:t>
      </w:r>
      <w:r w:rsidR="00A03659">
        <w:rPr>
          <w:rFonts w:cs="Tahoma"/>
          <w:szCs w:val="24"/>
        </w:rPr>
        <w:t>a</w:t>
      </w:r>
      <w:r w:rsidR="00B12310">
        <w:rPr>
          <w:rFonts w:cs="Tahoma"/>
          <w:szCs w:val="24"/>
        </w:rPr>
        <w:t>tter contention</w:t>
      </w:r>
      <w:r w:rsidR="002C1753">
        <w:rPr>
          <w:rFonts w:cs="Tahoma"/>
          <w:szCs w:val="24"/>
        </w:rPr>
        <w:t xml:space="preserve"> and relied only on the ground of exception in terms of which it was argued that the particulars of claim</w:t>
      </w:r>
      <w:r w:rsidR="009F217B">
        <w:rPr>
          <w:rFonts w:cs="Tahoma"/>
          <w:szCs w:val="24"/>
        </w:rPr>
        <w:t xml:space="preserve"> </w:t>
      </w:r>
      <w:r w:rsidR="00991747">
        <w:rPr>
          <w:rFonts w:cs="Tahoma"/>
          <w:szCs w:val="24"/>
        </w:rPr>
        <w:t>we</w:t>
      </w:r>
      <w:r w:rsidR="009F217B">
        <w:rPr>
          <w:rFonts w:cs="Tahoma"/>
          <w:szCs w:val="24"/>
        </w:rPr>
        <w:t>re vague and embarrassing to the extent that the defendant was unable to plead thereto</w:t>
      </w:r>
      <w:r w:rsidR="000875C3">
        <w:rPr>
          <w:rFonts w:cs="Tahoma"/>
          <w:szCs w:val="24"/>
        </w:rPr>
        <w:t>.</w:t>
      </w:r>
    </w:p>
    <w:p w14:paraId="4181F13E" w14:textId="77777777" w:rsidR="0080653E" w:rsidRDefault="0080653E" w:rsidP="005047E0">
      <w:pPr>
        <w:pStyle w:val="H1"/>
        <w:numPr>
          <w:ilvl w:val="0"/>
          <w:numId w:val="0"/>
        </w:numPr>
        <w:rPr>
          <w:rFonts w:cs="Tahoma"/>
          <w:b/>
          <w:bCs/>
          <w:szCs w:val="24"/>
          <w:u w:val="single"/>
        </w:rPr>
      </w:pPr>
    </w:p>
    <w:p w14:paraId="6A84D688" w14:textId="77777777" w:rsidR="0080653E" w:rsidRDefault="0080653E" w:rsidP="005047E0">
      <w:pPr>
        <w:pStyle w:val="H1"/>
        <w:numPr>
          <w:ilvl w:val="0"/>
          <w:numId w:val="0"/>
        </w:numPr>
        <w:rPr>
          <w:rFonts w:cs="Tahoma"/>
          <w:b/>
          <w:bCs/>
          <w:szCs w:val="24"/>
          <w:u w:val="single"/>
        </w:rPr>
      </w:pPr>
    </w:p>
    <w:p w14:paraId="43DE4FEE" w14:textId="77777777" w:rsidR="0080653E" w:rsidRDefault="0080653E" w:rsidP="005047E0">
      <w:pPr>
        <w:pStyle w:val="H1"/>
        <w:numPr>
          <w:ilvl w:val="0"/>
          <w:numId w:val="0"/>
        </w:numPr>
        <w:rPr>
          <w:rFonts w:cs="Tahoma"/>
          <w:b/>
          <w:bCs/>
          <w:szCs w:val="24"/>
          <w:u w:val="single"/>
        </w:rPr>
      </w:pPr>
    </w:p>
    <w:p w14:paraId="31116837" w14:textId="0526FDAC" w:rsidR="005047E0" w:rsidRDefault="005047E0" w:rsidP="005047E0">
      <w:pPr>
        <w:pStyle w:val="H1"/>
        <w:numPr>
          <w:ilvl w:val="0"/>
          <w:numId w:val="0"/>
        </w:num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lastRenderedPageBreak/>
        <w:t xml:space="preserve">The </w:t>
      </w:r>
      <w:r w:rsidR="00AA177F">
        <w:rPr>
          <w:rFonts w:cs="Tahoma"/>
          <w:b/>
          <w:bCs/>
          <w:szCs w:val="24"/>
          <w:u w:val="single"/>
        </w:rPr>
        <w:t xml:space="preserve"> ground</w:t>
      </w:r>
      <w:r w:rsidR="00D626F4">
        <w:rPr>
          <w:rFonts w:cs="Tahoma"/>
          <w:b/>
          <w:bCs/>
          <w:szCs w:val="24"/>
          <w:u w:val="single"/>
        </w:rPr>
        <w:t>s</w:t>
      </w:r>
      <w:r w:rsidR="00AA177F">
        <w:rPr>
          <w:rFonts w:cs="Tahoma"/>
          <w:b/>
          <w:bCs/>
          <w:szCs w:val="24"/>
          <w:u w:val="single"/>
        </w:rPr>
        <w:t xml:space="preserve"> of </w:t>
      </w:r>
      <w:r>
        <w:rPr>
          <w:rFonts w:cs="Tahoma"/>
          <w:b/>
          <w:bCs/>
          <w:szCs w:val="24"/>
          <w:u w:val="single"/>
        </w:rPr>
        <w:t>exception</w:t>
      </w:r>
    </w:p>
    <w:p w14:paraId="2DD30828" w14:textId="5A4A85C0" w:rsidR="005047E0" w:rsidRDefault="00070447" w:rsidP="00264876">
      <w:pPr>
        <w:pStyle w:val="H1"/>
        <w:numPr>
          <w:ilvl w:val="0"/>
          <w:numId w:val="0"/>
        </w:numPr>
        <w:ind w:left="567" w:hanging="567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</w:t>
      </w:r>
      <w:r w:rsidR="00C25641" w:rsidRPr="00070447">
        <w:rPr>
          <w:b/>
          <w:bCs/>
          <w:i/>
          <w:iCs/>
          <w:u w:val="single"/>
        </w:rPr>
        <w:t xml:space="preserve">he first </w:t>
      </w:r>
      <w:r w:rsidR="00AA177F">
        <w:rPr>
          <w:b/>
          <w:bCs/>
          <w:i/>
          <w:iCs/>
          <w:u w:val="single"/>
        </w:rPr>
        <w:t>exceotion</w:t>
      </w:r>
    </w:p>
    <w:p w14:paraId="1EFA9FCF" w14:textId="57CC1B18" w:rsidR="00070447" w:rsidRDefault="00DA5377" w:rsidP="00070447">
      <w:pPr>
        <w:pStyle w:val="H1"/>
      </w:pPr>
      <w:r>
        <w:t>In paragraph 9 of the particulars of claim the plaintiff avers that</w:t>
      </w:r>
      <w:r w:rsidR="00774AF1">
        <w:t>, during March-May 2021, the defendant authored and broadcast several WhatsApp</w:t>
      </w:r>
      <w:r w:rsidR="00536A7A">
        <w:t xml:space="preserve"> (a social media messaging platform)</w:t>
      </w:r>
      <w:r w:rsidR="006907C8">
        <w:t xml:space="preserve"> messages (“the messages”)</w:t>
      </w:r>
      <w:r w:rsidR="0056383C">
        <w:t xml:space="preserve"> concerning the plaintiffs to various other persons in a WhatsApp</w:t>
      </w:r>
      <w:r w:rsidR="00694FD3">
        <w:t xml:space="preserve"> messaging group.  The messages, so it is contended, </w:t>
      </w:r>
      <w:r w:rsidR="001B2BBF">
        <w:t>were widely distributed</w:t>
      </w:r>
      <w:r w:rsidR="001164D1">
        <w:t xml:space="preserve"> </w:t>
      </w:r>
      <w:r w:rsidR="002F062B">
        <w:t xml:space="preserve">not only to members of the messaging group </w:t>
      </w:r>
      <w:r w:rsidR="00F72726">
        <w:t xml:space="preserve">but also to third parties who would receive the messages from members of the messaging group </w:t>
      </w:r>
      <w:r w:rsidR="001164D1">
        <w:t xml:space="preserve">and the defendant would have known, </w:t>
      </w:r>
      <w:r w:rsidR="00D8090E">
        <w:t>or</w:t>
      </w:r>
      <w:r w:rsidR="00D2259A">
        <w:t xml:space="preserve"> ought reasonably to have known</w:t>
      </w:r>
      <w:r w:rsidR="00A80C93">
        <w:t>,</w:t>
      </w:r>
      <w:r w:rsidR="002F062B">
        <w:t xml:space="preserve"> that this would</w:t>
      </w:r>
      <w:r w:rsidR="00586253">
        <w:t xml:space="preserve"> occur</w:t>
      </w:r>
      <w:r w:rsidR="002F062B">
        <w:t>.</w:t>
      </w:r>
    </w:p>
    <w:p w14:paraId="7505967B" w14:textId="4C384993" w:rsidR="00D544E0" w:rsidRDefault="00387C01" w:rsidP="00070447">
      <w:pPr>
        <w:pStyle w:val="H1"/>
      </w:pPr>
      <w:r>
        <w:t>P</w:t>
      </w:r>
      <w:r w:rsidR="00D544E0">
        <w:t>aragr</w:t>
      </w:r>
      <w:r>
        <w:t>aph 10 of the particulars claim contains the allegation that the recipients of the messages would know that they referred to the plaintiffs</w:t>
      </w:r>
      <w:r w:rsidR="00BB14B0">
        <w:t>.</w:t>
      </w:r>
    </w:p>
    <w:p w14:paraId="4428A744" w14:textId="66E483B1" w:rsidR="009F597A" w:rsidRDefault="00511E2A" w:rsidP="00093BF0">
      <w:pPr>
        <w:pStyle w:val="H1"/>
      </w:pPr>
      <w:r>
        <w:t>The plaintiffs go</w:t>
      </w:r>
      <w:r w:rsidR="00A23D35">
        <w:t xml:space="preserve"> on</w:t>
      </w:r>
      <w:r>
        <w:t xml:space="preserve"> to contend in paragraph 12 of the particulars of claim that the messages were def</w:t>
      </w:r>
      <w:r w:rsidR="002C0134">
        <w:t>amatory</w:t>
      </w:r>
      <w:r>
        <w:t xml:space="preserve"> and were calculated </w:t>
      </w:r>
      <w:r w:rsidR="00C8751F">
        <w:t xml:space="preserve">to </w:t>
      </w:r>
      <w:r>
        <w:t>cause the esteem in which the plaintiffs were held by</w:t>
      </w:r>
      <w:r w:rsidR="005B2EED">
        <w:t xml:space="preserve"> progressive-thinking persons in the global society, and more especially in the Muslim community, to be diminished.</w:t>
      </w:r>
    </w:p>
    <w:p w14:paraId="2DD1D377" w14:textId="523D6466" w:rsidR="008A1335" w:rsidRDefault="008A1335" w:rsidP="00070447">
      <w:pPr>
        <w:pStyle w:val="H1"/>
      </w:pPr>
      <w:r>
        <w:t xml:space="preserve">The defendant’s complaint is then formulated to the </w:t>
      </w:r>
      <w:r w:rsidR="00E97CDD">
        <w:t>effect that the abovementioned paragraphs of the particulars of claim are vague and embarrassing as they do not identify</w:t>
      </w:r>
      <w:r>
        <w:t>:</w:t>
      </w:r>
    </w:p>
    <w:p w14:paraId="2EDD5F1B" w14:textId="2E7E18D3" w:rsidR="008A1335" w:rsidRDefault="00660BCA" w:rsidP="008A1335">
      <w:pPr>
        <w:pStyle w:val="H2"/>
      </w:pPr>
      <w:r>
        <w:t>who the wider audience to whom the messages were disseminated</w:t>
      </w:r>
      <w:r w:rsidR="00D153FF">
        <w:t xml:space="preserve"> is;</w:t>
      </w:r>
    </w:p>
    <w:p w14:paraId="41E3D85B" w14:textId="729AF1B4" w:rsidR="00D153FF" w:rsidRDefault="00D153FF" w:rsidP="008A1335">
      <w:pPr>
        <w:pStyle w:val="H2"/>
      </w:pPr>
      <w:r>
        <w:lastRenderedPageBreak/>
        <w:t>who read the messages;</w:t>
      </w:r>
    </w:p>
    <w:p w14:paraId="5DC40A95" w14:textId="558038FB" w:rsidR="00D153FF" w:rsidRDefault="00367B33" w:rsidP="008A1335">
      <w:pPr>
        <w:pStyle w:val="H2"/>
      </w:pPr>
      <w:r>
        <w:t xml:space="preserve">who the </w:t>
      </w:r>
      <w:r w:rsidR="00321B72">
        <w:t>“</w:t>
      </w:r>
      <w:r>
        <w:t>right-thinking</w:t>
      </w:r>
      <w:r w:rsidR="00321B72">
        <w:t>”</w:t>
      </w:r>
      <w:r>
        <w:t xml:space="preserve"> persons are</w:t>
      </w:r>
      <w:r w:rsidR="00321B72">
        <w:t>;</w:t>
      </w:r>
    </w:p>
    <w:p w14:paraId="7B587ECF" w14:textId="62A4D4E7" w:rsidR="00321B72" w:rsidRDefault="00714C5E" w:rsidP="008A1335">
      <w:pPr>
        <w:pStyle w:val="H2"/>
      </w:pPr>
      <w:r>
        <w:t xml:space="preserve">who is intended to fall within the </w:t>
      </w:r>
      <w:r w:rsidR="002566B3">
        <w:t>wider Muslim community in South Africa and beyond.</w:t>
      </w:r>
    </w:p>
    <w:p w14:paraId="28C50DE7" w14:textId="3A102C20" w:rsidR="00A44662" w:rsidRDefault="00A44662" w:rsidP="00A44662">
      <w:pPr>
        <w:pStyle w:val="H1"/>
      </w:pPr>
      <w:r>
        <w:t>In summary</w:t>
      </w:r>
      <w:r w:rsidR="004E2C60">
        <w:t>, the defendant’s complaint is that the abovementioned paragraphs in the particulars of claim</w:t>
      </w:r>
      <w:r w:rsidR="00160C13">
        <w:t xml:space="preserve"> are vague and embarrassing</w:t>
      </w:r>
      <w:r w:rsidR="00BD7AB1">
        <w:t xml:space="preserve"> as they</w:t>
      </w:r>
      <w:r w:rsidR="00E36ED8">
        <w:t xml:space="preserve"> suffer from</w:t>
      </w:r>
      <w:r w:rsidR="004E2C60">
        <w:t xml:space="preserve"> </w:t>
      </w:r>
      <w:r w:rsidR="00A13B04">
        <w:t xml:space="preserve">a lack of </w:t>
      </w:r>
      <w:r w:rsidR="004E2C60">
        <w:t>particularity, which</w:t>
      </w:r>
      <w:r w:rsidR="00155B55">
        <w:t xml:space="preserve"> it is stated</w:t>
      </w:r>
      <w:r w:rsidR="004E2C60">
        <w:t xml:space="preserve"> render</w:t>
      </w:r>
      <w:r w:rsidR="00E651FC">
        <w:t>s</w:t>
      </w:r>
      <w:r w:rsidR="004E2C60">
        <w:t xml:space="preserve"> the particulars excipiable</w:t>
      </w:r>
      <w:r w:rsidR="009922BB">
        <w:t>.</w:t>
      </w:r>
    </w:p>
    <w:p w14:paraId="1CF3E07B" w14:textId="5B0D1687" w:rsidR="009922BB" w:rsidRDefault="009922BB" w:rsidP="009922BB">
      <w:pPr>
        <w:pStyle w:val="H1"/>
        <w:numPr>
          <w:ilvl w:val="0"/>
          <w:numId w:val="0"/>
        </w:numPr>
        <w:rPr>
          <w:b/>
          <w:bCs/>
          <w:i/>
          <w:iCs/>
          <w:u w:val="single"/>
        </w:rPr>
      </w:pPr>
      <w:r w:rsidRPr="009922BB">
        <w:rPr>
          <w:b/>
          <w:bCs/>
          <w:i/>
          <w:iCs/>
          <w:u w:val="single"/>
        </w:rPr>
        <w:t xml:space="preserve">The second </w:t>
      </w:r>
      <w:r w:rsidR="00E36ED8">
        <w:rPr>
          <w:b/>
          <w:bCs/>
          <w:i/>
          <w:iCs/>
          <w:u w:val="single"/>
        </w:rPr>
        <w:t>excep</w:t>
      </w:r>
      <w:r w:rsidR="00C821BF">
        <w:rPr>
          <w:b/>
          <w:bCs/>
          <w:i/>
          <w:iCs/>
          <w:u w:val="single"/>
        </w:rPr>
        <w:t>tion</w:t>
      </w:r>
    </w:p>
    <w:p w14:paraId="337CDA47" w14:textId="2B255317" w:rsidR="009922BB" w:rsidRDefault="00FF53D9" w:rsidP="009922BB">
      <w:pPr>
        <w:pStyle w:val="H1"/>
      </w:pPr>
      <w:r>
        <w:t>Paragraph 15 of the particulars of claim</w:t>
      </w:r>
      <w:r w:rsidR="00006CF1">
        <w:t xml:space="preserve"> is to the effect that the defendant, having broadcast the messages to several recipients in a WhatsApp</w:t>
      </w:r>
      <w:r w:rsidR="00082A0A">
        <w:t xml:space="preserve"> group,</w:t>
      </w:r>
      <w:r w:rsidR="00F60876">
        <w:t xml:space="preserve"> which is social media platform which allows a the dissemination of information such as the messages to other persons</w:t>
      </w:r>
      <w:r w:rsidR="00136BDC">
        <w:t xml:space="preserve">, the defendant intended, alternatively, </w:t>
      </w:r>
      <w:r w:rsidR="005B0B12">
        <w:t xml:space="preserve">should </w:t>
      </w:r>
      <w:r w:rsidR="00136BDC">
        <w:t>reasonably have foreseen</w:t>
      </w:r>
      <w:r w:rsidR="005B0B12">
        <w:t xml:space="preserve"> that the messages would be widely published, thus enhancing</w:t>
      </w:r>
      <w:r w:rsidR="00C2193D">
        <w:t xml:space="preserve"> the damage to the plaintiffs’ reputation.</w:t>
      </w:r>
    </w:p>
    <w:p w14:paraId="21F318B0" w14:textId="4BEA3D1D" w:rsidR="00C2193D" w:rsidRDefault="00C2193D" w:rsidP="009922BB">
      <w:pPr>
        <w:pStyle w:val="H1"/>
      </w:pPr>
      <w:r>
        <w:t>This paragraph</w:t>
      </w:r>
      <w:r w:rsidR="0076447F">
        <w:t>, according to the defendant, is vague and embarrassing</w:t>
      </w:r>
      <w:r w:rsidR="007854B9">
        <w:t xml:space="preserve"> as it contains insufficient fact</w:t>
      </w:r>
      <w:r w:rsidR="002570F3">
        <w:t>u</w:t>
      </w:r>
      <w:r w:rsidR="0067630F">
        <w:t>al averments</w:t>
      </w:r>
      <w:r w:rsidR="007854B9">
        <w:t xml:space="preserve"> to support the conclusion</w:t>
      </w:r>
      <w:r w:rsidR="002570F3">
        <w:t>s it seeks to make</w:t>
      </w:r>
      <w:r w:rsidR="0067630F">
        <w:t>.</w:t>
      </w:r>
    </w:p>
    <w:p w14:paraId="01140D31" w14:textId="63690172" w:rsidR="003F64A1" w:rsidRDefault="001D1736" w:rsidP="001D1736">
      <w:pPr>
        <w:pStyle w:val="H1"/>
        <w:numPr>
          <w:ilvl w:val="0"/>
          <w:numId w:val="0"/>
        </w:numPr>
        <w:rPr>
          <w:b/>
          <w:bCs/>
          <w:i/>
          <w:iCs/>
          <w:u w:val="single"/>
        </w:rPr>
      </w:pPr>
      <w:r w:rsidRPr="001D1736">
        <w:rPr>
          <w:b/>
          <w:bCs/>
          <w:i/>
          <w:iCs/>
          <w:u w:val="single"/>
        </w:rPr>
        <w:t xml:space="preserve">The third </w:t>
      </w:r>
      <w:r w:rsidR="0067630F">
        <w:rPr>
          <w:b/>
          <w:bCs/>
          <w:i/>
          <w:iCs/>
          <w:u w:val="single"/>
        </w:rPr>
        <w:t>exception</w:t>
      </w:r>
    </w:p>
    <w:p w14:paraId="3E62B54C" w14:textId="21EF03FF" w:rsidR="000875C3" w:rsidRDefault="007A4E60" w:rsidP="001D1736">
      <w:pPr>
        <w:pStyle w:val="H1"/>
      </w:pPr>
      <w:r>
        <w:t xml:space="preserve">This complaint is addressed </w:t>
      </w:r>
      <w:r w:rsidR="00920600">
        <w:t>a</w:t>
      </w:r>
      <w:r>
        <w:t>t paragraph 16 of the particulars of claim</w:t>
      </w:r>
      <w:r w:rsidR="00011E56">
        <w:t xml:space="preserve"> in terms of which the plaintiffs allege that persons outside</w:t>
      </w:r>
      <w:r w:rsidR="00601E30">
        <w:t xml:space="preserve"> the social media group</w:t>
      </w:r>
      <w:r w:rsidR="00D9471E">
        <w:t xml:space="preserve"> to</w:t>
      </w:r>
      <w:r w:rsidR="00601E30">
        <w:t xml:space="preserve"> whom </w:t>
      </w:r>
      <w:r w:rsidR="00601E30">
        <w:lastRenderedPageBreak/>
        <w:t>the messages were published indeed picked up on the messages</w:t>
      </w:r>
      <w:r w:rsidR="0093517C">
        <w:t xml:space="preserve"> and that these persons, in turn</w:t>
      </w:r>
      <w:r w:rsidR="00F71369">
        <w:t xml:space="preserve"> would continue the dissemination of the messages to the detriment of the plaintiffs.</w:t>
      </w:r>
    </w:p>
    <w:p w14:paraId="77FBD174" w14:textId="66981AB4" w:rsidR="00F71369" w:rsidRDefault="00953188" w:rsidP="001D1736">
      <w:pPr>
        <w:pStyle w:val="H1"/>
      </w:pPr>
      <w:r>
        <w:t>Again</w:t>
      </w:r>
      <w:r w:rsidR="00474EF9">
        <w:t xml:space="preserve"> </w:t>
      </w:r>
      <w:r w:rsidR="00A26978">
        <w:t>the</w:t>
      </w:r>
      <w:r w:rsidR="00474EF9">
        <w:t xml:space="preserve"> complaint is that the paragraph is vague and embarrassing because of its lack of particularity as to the identity of the persons</w:t>
      </w:r>
      <w:r w:rsidR="00A26978">
        <w:t xml:space="preserve"> who</w:t>
      </w:r>
      <w:r w:rsidR="00474EF9">
        <w:t xml:space="preserve"> alleged</w:t>
      </w:r>
      <w:r w:rsidR="00152D77">
        <w:t>ly repeated the messages, the failure to identify more precisely the social media platform from which the messages were disseminated</w:t>
      </w:r>
      <w:r w:rsidR="00761C7B">
        <w:t xml:space="preserve"> or the other social media platforms</w:t>
      </w:r>
      <w:r w:rsidR="00530061">
        <w:t xml:space="preserve"> which received the messages and further disseminated them.</w:t>
      </w:r>
    </w:p>
    <w:p w14:paraId="11E5D6CF" w14:textId="22672DCE" w:rsidR="007D7EA9" w:rsidRDefault="007D7EA9" w:rsidP="007D7EA9">
      <w:pPr>
        <w:pStyle w:val="H1"/>
        <w:numPr>
          <w:ilvl w:val="0"/>
          <w:numId w:val="0"/>
        </w:numPr>
        <w:rPr>
          <w:b/>
          <w:bCs/>
          <w:i/>
          <w:iCs/>
          <w:u w:val="single"/>
        </w:rPr>
      </w:pPr>
      <w:r w:rsidRPr="007D7EA9">
        <w:rPr>
          <w:b/>
          <w:bCs/>
          <w:i/>
          <w:iCs/>
          <w:u w:val="single"/>
        </w:rPr>
        <w:t xml:space="preserve">The fourth </w:t>
      </w:r>
      <w:r w:rsidR="00585CBB">
        <w:rPr>
          <w:b/>
          <w:bCs/>
          <w:i/>
          <w:iCs/>
          <w:u w:val="single"/>
        </w:rPr>
        <w:t>exception</w:t>
      </w:r>
    </w:p>
    <w:p w14:paraId="75D0EE61" w14:textId="1629A8CD" w:rsidR="007D7EA9" w:rsidRDefault="0064758A" w:rsidP="007D7EA9">
      <w:pPr>
        <w:pStyle w:val="H1"/>
      </w:pPr>
      <w:r>
        <w:t>This complaint</w:t>
      </w:r>
      <w:r w:rsidR="00C10321">
        <w:t xml:space="preserve"> states that the plaintiffs, in paragraph 18.2 of the particulars of claim, </w:t>
      </w:r>
      <w:r w:rsidR="005D7EC9">
        <w:t xml:space="preserve">aver that </w:t>
      </w:r>
      <w:r w:rsidR="00C10321">
        <w:t>the</w:t>
      </w:r>
      <w:r w:rsidR="00433528">
        <w:t xml:space="preserve"> second</w:t>
      </w:r>
      <w:r w:rsidR="00C10321">
        <w:t xml:space="preserve"> plaintiff had a “prominent” standing the Muslim</w:t>
      </w:r>
      <w:r w:rsidR="00D86C12">
        <w:t xml:space="preserve"> community.  The word “prominent” is</w:t>
      </w:r>
      <w:r w:rsidR="00E02463">
        <w:t>, however,</w:t>
      </w:r>
      <w:r w:rsidR="00D86C12">
        <w:t xml:space="preserve"> not used in the paragraph.</w:t>
      </w:r>
    </w:p>
    <w:p w14:paraId="4B65E02B" w14:textId="6AF37A04" w:rsidR="00D86C12" w:rsidRDefault="00AC3229" w:rsidP="007D7EA9">
      <w:pPr>
        <w:pStyle w:val="H1"/>
      </w:pPr>
      <w:r>
        <w:t>Here too it is the argument of the defendant that</w:t>
      </w:r>
      <w:r w:rsidR="00B74A0A">
        <w:t xml:space="preserve"> the paragraph </w:t>
      </w:r>
      <w:r w:rsidR="008B0A7F">
        <w:t>i</w:t>
      </w:r>
      <w:r w:rsidR="00B74A0A">
        <w:t>s</w:t>
      </w:r>
      <w:r w:rsidR="009A6370">
        <w:t xml:space="preserve"> v</w:t>
      </w:r>
      <w:r w:rsidR="007967CA">
        <w:t xml:space="preserve">ague and </w:t>
      </w:r>
      <w:r w:rsidR="00A60579">
        <w:t>embarrassing as</w:t>
      </w:r>
      <w:r w:rsidR="00CF18A1">
        <w:t xml:space="preserve"> in</w:t>
      </w:r>
      <w:r w:rsidR="00E450EB">
        <w:t>sufficient particularity</w:t>
      </w:r>
      <w:r>
        <w:t xml:space="preserve"> ha</w:t>
      </w:r>
      <w:r w:rsidR="00CF18A1">
        <w:t>d</w:t>
      </w:r>
      <w:r>
        <w:t xml:space="preserve"> been furnished to establish the alleged prominence of the plaintiffs</w:t>
      </w:r>
      <w:r w:rsidR="00C30271">
        <w:t xml:space="preserve">. </w:t>
      </w:r>
    </w:p>
    <w:p w14:paraId="7C89F20B" w14:textId="36DE3E98" w:rsidR="00F02E7A" w:rsidRDefault="00F02E7A" w:rsidP="00F02E7A">
      <w:pPr>
        <w:pStyle w:val="H1"/>
        <w:numPr>
          <w:ilvl w:val="0"/>
          <w:numId w:val="0"/>
        </w:numPr>
        <w:rPr>
          <w:b/>
          <w:bCs/>
          <w:i/>
          <w:iCs/>
          <w:u w:val="single"/>
        </w:rPr>
      </w:pPr>
      <w:r w:rsidRPr="00F02E7A">
        <w:rPr>
          <w:b/>
          <w:bCs/>
          <w:i/>
          <w:iCs/>
          <w:u w:val="single"/>
        </w:rPr>
        <w:t xml:space="preserve">The fifth </w:t>
      </w:r>
      <w:r w:rsidR="00093A4B">
        <w:rPr>
          <w:b/>
          <w:bCs/>
          <w:i/>
          <w:iCs/>
          <w:u w:val="single"/>
        </w:rPr>
        <w:t>exception</w:t>
      </w:r>
    </w:p>
    <w:p w14:paraId="3BAC0226" w14:textId="3153E4A5" w:rsidR="00F02E7A" w:rsidRDefault="004F3C1B" w:rsidP="00F02E7A">
      <w:pPr>
        <w:pStyle w:val="H1"/>
      </w:pPr>
      <w:r>
        <w:t>In respect of this complaint the defendant says that</w:t>
      </w:r>
      <w:r w:rsidR="007967CA">
        <w:t xml:space="preserve"> paragraph 19 of the particulars of claim</w:t>
      </w:r>
      <w:r w:rsidR="00CF18A1">
        <w:t xml:space="preserve"> is vague and embarrassing</w:t>
      </w:r>
      <w:r w:rsidR="006E63B5">
        <w:t xml:space="preserve"> as</w:t>
      </w:r>
      <w:r w:rsidR="00B42D3A">
        <w:t xml:space="preserve"> the</w:t>
      </w:r>
      <w:r w:rsidR="006E63B5">
        <w:t xml:space="preserve"> plaintiffs had failed</w:t>
      </w:r>
      <w:r w:rsidR="00970000">
        <w:t xml:space="preserve"> to identify the persons who had </w:t>
      </w:r>
      <w:r w:rsidR="00DB596A">
        <w:t xml:space="preserve">read the messages and </w:t>
      </w:r>
      <w:r w:rsidR="00970000">
        <w:t>understood the messages to refer to the plaintiff</w:t>
      </w:r>
      <w:r w:rsidR="00517AB5">
        <w:t>s</w:t>
      </w:r>
      <w:r w:rsidR="008C7BE6">
        <w:t xml:space="preserve"> and that these persons, in turn, had had the opportunity </w:t>
      </w:r>
      <w:r w:rsidR="008C7BE6">
        <w:lastRenderedPageBreak/>
        <w:t xml:space="preserve">to further disseminated the messages.  Again </w:t>
      </w:r>
      <w:r w:rsidR="009B3B34">
        <w:t>the vague and embarrassing epithet is attributed to the paragraph because of an alleged lack of particularity.</w:t>
      </w:r>
    </w:p>
    <w:p w14:paraId="1BAE5331" w14:textId="23240D68" w:rsidR="006D1E5E" w:rsidRDefault="00242E67" w:rsidP="006D1E5E">
      <w:pPr>
        <w:pStyle w:val="H1"/>
        <w:numPr>
          <w:ilvl w:val="0"/>
          <w:numId w:val="0"/>
        </w:numPr>
        <w:rPr>
          <w:b/>
          <w:bCs/>
          <w:i/>
          <w:iCs/>
          <w:u w:val="single"/>
        </w:rPr>
      </w:pPr>
      <w:r w:rsidRPr="00242E67">
        <w:rPr>
          <w:b/>
          <w:bCs/>
          <w:i/>
          <w:iCs/>
          <w:u w:val="single"/>
        </w:rPr>
        <w:t xml:space="preserve">The sixth </w:t>
      </w:r>
      <w:r w:rsidR="002946CF">
        <w:rPr>
          <w:b/>
          <w:bCs/>
          <w:i/>
          <w:iCs/>
          <w:u w:val="single"/>
        </w:rPr>
        <w:t>exception</w:t>
      </w:r>
    </w:p>
    <w:p w14:paraId="443AEE58" w14:textId="22FB799C" w:rsidR="00242E67" w:rsidRPr="00242E67" w:rsidRDefault="009B1D41" w:rsidP="00242E67">
      <w:pPr>
        <w:pStyle w:val="H1"/>
      </w:pPr>
      <w:r>
        <w:t>The six complaint, insequentially</w:t>
      </w:r>
      <w:r w:rsidR="0021654F">
        <w:t>, refer</w:t>
      </w:r>
      <w:r w:rsidR="0081736E">
        <w:t>s</w:t>
      </w:r>
      <w:r w:rsidR="0021654F">
        <w:t xml:space="preserve"> to paragraph 18.5 of the particulars of claim.</w:t>
      </w:r>
      <w:r w:rsidR="00732C1C">
        <w:t xml:space="preserve">  In this paragraph the plaintiffs allege that the words attributed to the defendant and referred to in </w:t>
      </w:r>
      <w:r w:rsidR="008B08CD">
        <w:t>the paragraph 16</w:t>
      </w:r>
      <w:r w:rsidR="00305646">
        <w:t xml:space="preserve"> were intended to</w:t>
      </w:r>
      <w:r w:rsidR="008B08CD">
        <w:t xml:space="preserve"> draw false conclusions regarding the conduct of the plaintiffs referred to in the words.</w:t>
      </w:r>
    </w:p>
    <w:p w14:paraId="63970C2F" w14:textId="2EBB4616" w:rsidR="00114BB8" w:rsidRDefault="0041191E" w:rsidP="00F02E7A">
      <w:pPr>
        <w:pStyle w:val="H1"/>
      </w:pPr>
      <w:r>
        <w:t>The defendant says that</w:t>
      </w:r>
      <w:r w:rsidR="00F73CDE">
        <w:t xml:space="preserve"> in the paragraph concerned the plaintiffs have not stated</w:t>
      </w:r>
      <w:r w:rsidR="00CF0DF9">
        <w:t xml:space="preserve"> what was false</w:t>
      </w:r>
      <w:r w:rsidR="007A737F">
        <w:t xml:space="preserve"> about the conclusions</w:t>
      </w:r>
      <w:r w:rsidR="007C05F0">
        <w:t xml:space="preserve"> drawn by the defendant</w:t>
      </w:r>
      <w:r w:rsidR="0001286A">
        <w:t>.  This complaint is therefore also a</w:t>
      </w:r>
      <w:r w:rsidR="00D06E55">
        <w:t>ddressed</w:t>
      </w:r>
      <w:r w:rsidR="00D61022">
        <w:t xml:space="preserve"> to</w:t>
      </w:r>
      <w:r w:rsidR="0001286A">
        <w:t xml:space="preserve"> an alleged lack of particularity</w:t>
      </w:r>
      <w:r w:rsidR="00FE090F">
        <w:t>.</w:t>
      </w:r>
    </w:p>
    <w:p w14:paraId="7651B513" w14:textId="040F512E" w:rsidR="009A76FF" w:rsidRDefault="009A76FF" w:rsidP="009A76FF">
      <w:pPr>
        <w:pStyle w:val="H1"/>
        <w:numPr>
          <w:ilvl w:val="0"/>
          <w:numId w:val="0"/>
        </w:numPr>
        <w:rPr>
          <w:b/>
          <w:bCs/>
          <w:i/>
          <w:iCs/>
          <w:u w:val="single"/>
        </w:rPr>
      </w:pPr>
      <w:r w:rsidRPr="009A76FF">
        <w:rPr>
          <w:b/>
          <w:bCs/>
          <w:i/>
          <w:iCs/>
          <w:u w:val="single"/>
        </w:rPr>
        <w:t xml:space="preserve">The seventh </w:t>
      </w:r>
      <w:r w:rsidR="00D004DB">
        <w:rPr>
          <w:b/>
          <w:bCs/>
          <w:i/>
          <w:iCs/>
          <w:u w:val="single"/>
        </w:rPr>
        <w:t>exception</w:t>
      </w:r>
    </w:p>
    <w:p w14:paraId="181F8AD4" w14:textId="2BA6767A" w:rsidR="009A76FF" w:rsidRDefault="00CA130D" w:rsidP="00871C72">
      <w:pPr>
        <w:pStyle w:val="H1"/>
      </w:pPr>
      <w:r>
        <w:t>In paragraph 21 of the particulars of claim the plaintiffs</w:t>
      </w:r>
      <w:r w:rsidR="004C4862">
        <w:t xml:space="preserve"> aver</w:t>
      </w:r>
      <w:r>
        <w:t xml:space="preserve"> that the defendant published the messages to further his own agenda</w:t>
      </w:r>
      <w:r w:rsidR="00E66536">
        <w:t xml:space="preserve">.  The defendant’s complaint is that the plaintiffs, in the paragraph, have not particularised </w:t>
      </w:r>
      <w:r w:rsidR="00F97C43">
        <w:t>what</w:t>
      </w:r>
      <w:r w:rsidR="00E66536">
        <w:t xml:space="preserve"> the defendant’s agenda</w:t>
      </w:r>
      <w:r w:rsidR="00DE7560">
        <w:t xml:space="preserve"> is</w:t>
      </w:r>
      <w:r w:rsidR="004B1B7A">
        <w:t>.</w:t>
      </w:r>
    </w:p>
    <w:p w14:paraId="7328B070" w14:textId="2027765B" w:rsidR="00B4290F" w:rsidRDefault="001252D8" w:rsidP="00B4290F">
      <w:pPr>
        <w:pStyle w:val="H1"/>
        <w:numPr>
          <w:ilvl w:val="0"/>
          <w:numId w:val="0"/>
        </w:numPr>
        <w:rPr>
          <w:b/>
          <w:bCs/>
          <w:u w:val="single"/>
        </w:rPr>
      </w:pPr>
      <w:r>
        <w:rPr>
          <w:b/>
          <w:bCs/>
          <w:u w:val="single"/>
        </w:rPr>
        <w:t>Legal principles</w:t>
      </w:r>
    </w:p>
    <w:p w14:paraId="35CDB4E1" w14:textId="70355A06" w:rsidR="00571B3A" w:rsidRPr="009306A4" w:rsidRDefault="008E5AFA" w:rsidP="008E5AFA">
      <w:pPr>
        <w:pStyle w:val="H1"/>
      </w:pPr>
      <w:r>
        <w:t xml:space="preserve">In </w:t>
      </w:r>
      <w:r>
        <w:rPr>
          <w:i/>
          <w:iCs/>
        </w:rPr>
        <w:t xml:space="preserve">Trope v </w:t>
      </w:r>
      <w:r w:rsidR="00631C0E">
        <w:rPr>
          <w:i/>
          <w:iCs/>
        </w:rPr>
        <w:t>South African Reserve Bank</w:t>
      </w:r>
      <w:r w:rsidR="00631C0E">
        <w:rPr>
          <w:iCs/>
        </w:rPr>
        <w:t xml:space="preserve"> 1992 (3) SA 208 (D)</w:t>
      </w:r>
      <w:r w:rsidR="00861AEC">
        <w:rPr>
          <w:iCs/>
        </w:rPr>
        <w:t xml:space="preserve"> at 210-211 it was held that an exception to a</w:t>
      </w:r>
      <w:r w:rsidR="00DE7560">
        <w:rPr>
          <w:iCs/>
        </w:rPr>
        <w:t xml:space="preserve"> </w:t>
      </w:r>
      <w:r w:rsidR="00861AEC">
        <w:rPr>
          <w:iCs/>
        </w:rPr>
        <w:t>p</w:t>
      </w:r>
      <w:r w:rsidR="00DE7560">
        <w:rPr>
          <w:iCs/>
        </w:rPr>
        <w:t>l</w:t>
      </w:r>
      <w:r w:rsidR="00861AEC">
        <w:rPr>
          <w:iCs/>
        </w:rPr>
        <w:t>ea</w:t>
      </w:r>
      <w:r w:rsidR="00DE7560">
        <w:rPr>
          <w:iCs/>
        </w:rPr>
        <w:t>d</w:t>
      </w:r>
      <w:r w:rsidR="00861AEC">
        <w:rPr>
          <w:iCs/>
        </w:rPr>
        <w:t>ing on the ground that it is vague and embarrassing involves a two-fold consideration</w:t>
      </w:r>
      <w:r w:rsidR="009306A4">
        <w:rPr>
          <w:iCs/>
        </w:rPr>
        <w:t>, namely</w:t>
      </w:r>
      <w:r w:rsidR="00175C32">
        <w:rPr>
          <w:iCs/>
        </w:rPr>
        <w:t xml:space="preserve"> whether</w:t>
      </w:r>
      <w:r w:rsidR="009306A4">
        <w:rPr>
          <w:iCs/>
        </w:rPr>
        <w:t>:</w:t>
      </w:r>
    </w:p>
    <w:p w14:paraId="0751A7EC" w14:textId="7302EB8F" w:rsidR="009306A4" w:rsidRDefault="005D7C47" w:rsidP="009306A4">
      <w:pPr>
        <w:pStyle w:val="H2"/>
      </w:pPr>
      <w:r>
        <w:t>the pleading lacks particularity</w:t>
      </w:r>
      <w:r w:rsidR="00DE7D5E">
        <w:t xml:space="preserve"> </w:t>
      </w:r>
      <w:r w:rsidR="00DE7D5E">
        <w:rPr>
          <w:u w:val="single"/>
        </w:rPr>
        <w:t>to the extent that it is vague</w:t>
      </w:r>
      <w:r w:rsidR="00DE7D5E">
        <w:t>;</w:t>
      </w:r>
    </w:p>
    <w:p w14:paraId="4C202257" w14:textId="6411E608" w:rsidR="00DE7D5E" w:rsidRDefault="003312B1" w:rsidP="009306A4">
      <w:pPr>
        <w:pStyle w:val="H2"/>
      </w:pPr>
      <w:r>
        <w:lastRenderedPageBreak/>
        <w:t>the vagueness causes embarrassment of such a nature that the excipient is prejudiced</w:t>
      </w:r>
      <w:r w:rsidR="005211F9">
        <w:t>.</w:t>
      </w:r>
    </w:p>
    <w:p w14:paraId="209CF6E1" w14:textId="5058081F" w:rsidR="005211F9" w:rsidRDefault="001F097B" w:rsidP="005211F9">
      <w:pPr>
        <w:pStyle w:val="H1"/>
      </w:pPr>
      <w:r>
        <w:t>An exception that a pleading</w:t>
      </w:r>
      <w:r w:rsidR="007870BE">
        <w:t xml:space="preserve"> is vague and embarrassing cannot be directed at a particular paragraph within a cause of action.  The exception must go to the whole cause of action</w:t>
      </w:r>
      <w:r w:rsidR="00AE3939">
        <w:t xml:space="preserve">, which must be demonstrated to be vague and embarrassing. </w:t>
      </w:r>
      <w:r w:rsidR="00AE3939">
        <w:rPr>
          <w:i/>
          <w:iCs/>
        </w:rPr>
        <w:t>Jowell</w:t>
      </w:r>
      <w:r w:rsidR="00877DD7">
        <w:rPr>
          <w:i/>
          <w:iCs/>
        </w:rPr>
        <w:t xml:space="preserve"> v Bramwell-Jones and Others</w:t>
      </w:r>
      <w:r w:rsidR="006E5A84">
        <w:t xml:space="preserve"> 1998 (1) SA 836 (WLD)</w:t>
      </w:r>
      <w:r w:rsidR="00772C83">
        <w:t xml:space="preserve"> at 899 G</w:t>
      </w:r>
      <w:r w:rsidR="00243238">
        <w:t>.</w:t>
      </w:r>
    </w:p>
    <w:p w14:paraId="3EA598B7" w14:textId="222A029C" w:rsidR="00EE326E" w:rsidRPr="00954B2E" w:rsidRDefault="00095337" w:rsidP="005211F9">
      <w:pPr>
        <w:pStyle w:val="H1"/>
      </w:pPr>
      <w:r>
        <w:t xml:space="preserve">In </w:t>
      </w:r>
      <w:r>
        <w:rPr>
          <w:i/>
          <w:iCs/>
        </w:rPr>
        <w:t>Jowell</w:t>
      </w:r>
      <w:r w:rsidR="0074299E">
        <w:rPr>
          <w:iCs/>
        </w:rPr>
        <w:t xml:space="preserve"> it was stated that where a lack of particularity in a pleading relate</w:t>
      </w:r>
      <w:r w:rsidR="00771083">
        <w:rPr>
          <w:iCs/>
        </w:rPr>
        <w:t>s</w:t>
      </w:r>
      <w:r w:rsidR="0074299E">
        <w:rPr>
          <w:iCs/>
        </w:rPr>
        <w:t xml:space="preserve"> to mere detail</w:t>
      </w:r>
      <w:r w:rsidR="00954B2E">
        <w:rPr>
          <w:iCs/>
        </w:rPr>
        <w:t>, the remedy of the defendant is to plead to the averments made and to obtain the particulars he requires:</w:t>
      </w:r>
    </w:p>
    <w:p w14:paraId="62434BE6" w14:textId="7904E8B5" w:rsidR="00954B2E" w:rsidRDefault="00954B2E" w:rsidP="00954B2E">
      <w:pPr>
        <w:pStyle w:val="H2"/>
      </w:pPr>
      <w:r>
        <w:t>either by means of the discovery/inspection of documents in terms of the Uniform Rules</w:t>
      </w:r>
      <w:r w:rsidR="007F7E1D">
        <w:t>; or</w:t>
      </w:r>
    </w:p>
    <w:p w14:paraId="4A61E792" w14:textId="0FEDE63A" w:rsidR="007F7E1D" w:rsidRDefault="007F7E1D" w:rsidP="00954B2E">
      <w:pPr>
        <w:pStyle w:val="H2"/>
      </w:pPr>
      <w:r>
        <w:t xml:space="preserve">by means of a request for particulars </w:t>
      </w:r>
      <w:r w:rsidR="009B367C">
        <w:t>for</w:t>
      </w:r>
      <w:r>
        <w:t xml:space="preserve"> trial of those particulars which are strictly necessary to enable the defendant to prepare for trial.</w:t>
      </w:r>
    </w:p>
    <w:p w14:paraId="60D1CE70" w14:textId="2032EB63" w:rsidR="009B367C" w:rsidRDefault="0049184F" w:rsidP="0049184F">
      <w:pPr>
        <w:pStyle w:val="H1"/>
      </w:pPr>
      <w:r>
        <w:t>The Uniform Rules provide different remedies in rules 18</w:t>
      </w:r>
      <w:r w:rsidR="00F30F82">
        <w:t xml:space="preserve"> (read with rule 30)</w:t>
      </w:r>
      <w:r>
        <w:t xml:space="preserve"> and 23.</w:t>
      </w:r>
      <w:r w:rsidR="008443FA">
        <w:t xml:space="preserve">  The presumption is that they are not co-extensive</w:t>
      </w:r>
      <w:r w:rsidR="00113986">
        <w:t>, but designed to deal with different situations.  Rule 18</w:t>
      </w:r>
      <w:r w:rsidR="00860950">
        <w:t>(4)</w:t>
      </w:r>
      <w:r w:rsidR="00113986">
        <w:t xml:space="preserve"> is restrictive and sets out the b</w:t>
      </w:r>
      <w:r w:rsidR="00DC246F">
        <w:t>are</w:t>
      </w:r>
      <w:r w:rsidR="00113986">
        <w:t xml:space="preserve"> minimum required of a factual averment</w:t>
      </w:r>
      <w:r w:rsidR="005812B1">
        <w:t xml:space="preserve">.  </w:t>
      </w:r>
      <w:r w:rsidR="00DC246F">
        <w:t xml:space="preserve">Rule </w:t>
      </w:r>
      <w:r w:rsidR="005812B1">
        <w:t>23, however, goes to a vagueness and embarrassment</w:t>
      </w:r>
      <w:r w:rsidR="00617431">
        <w:t xml:space="preserve"> which strikes at the whole of the cause of action pleaded</w:t>
      </w:r>
      <w:r w:rsidR="007F7C61">
        <w:t xml:space="preserve">. </w:t>
      </w:r>
      <w:r w:rsidR="000D7594">
        <w:rPr>
          <w:i/>
          <w:iCs/>
        </w:rPr>
        <w:t>Jowell</w:t>
      </w:r>
      <w:r w:rsidR="000D7594">
        <w:t xml:space="preserve"> at 902 D-E</w:t>
      </w:r>
      <w:r w:rsidR="00FE2162">
        <w:t>.</w:t>
      </w:r>
    </w:p>
    <w:p w14:paraId="7AA2550C" w14:textId="68C1B950" w:rsidR="00FE2162" w:rsidRPr="00464B12" w:rsidRDefault="00FB5070" w:rsidP="0049184F">
      <w:pPr>
        <w:pStyle w:val="H1"/>
      </w:pPr>
      <w:r>
        <w:rPr>
          <w:i/>
        </w:rPr>
        <w:lastRenderedPageBreak/>
        <w:t>Jowell</w:t>
      </w:r>
      <w:r>
        <w:rPr>
          <w:iCs/>
        </w:rPr>
        <w:t xml:space="preserve"> at </w:t>
      </w:r>
      <w:r w:rsidR="00464B12">
        <w:rPr>
          <w:iCs/>
        </w:rPr>
        <w:t>902 F-G summarises the crucial distinction between rules 23 and 30</w:t>
      </w:r>
      <w:r w:rsidR="00907425">
        <w:rPr>
          <w:iCs/>
        </w:rPr>
        <w:t xml:space="preserve"> (</w:t>
      </w:r>
      <w:r w:rsidR="00CA21A9">
        <w:rPr>
          <w:iCs/>
        </w:rPr>
        <w:t>the rule used to enforce compliance with rule 18)</w:t>
      </w:r>
      <w:r w:rsidR="00464B12">
        <w:rPr>
          <w:iCs/>
        </w:rPr>
        <w:t>, as follows:</w:t>
      </w:r>
    </w:p>
    <w:p w14:paraId="7CDEDDF9" w14:textId="75A7E824" w:rsidR="00464B12" w:rsidRDefault="001818F9" w:rsidP="001818F9">
      <w:pPr>
        <w:pStyle w:val="H2"/>
      </w:pPr>
      <w:r>
        <w:t xml:space="preserve">an exception that a pleading is vague and embarrassing may only be taken when the vagueness and embarrassment strikes at the root of the cause of action </w:t>
      </w:r>
      <w:r w:rsidR="00B86343">
        <w:t>a</w:t>
      </w:r>
      <w:r>
        <w:t>s pleaded</w:t>
      </w:r>
      <w:r w:rsidR="00121575">
        <w:t>; whereas</w:t>
      </w:r>
    </w:p>
    <w:p w14:paraId="79153E62" w14:textId="1070D613" w:rsidR="00121575" w:rsidRDefault="00121575" w:rsidP="001818F9">
      <w:pPr>
        <w:pStyle w:val="H2"/>
      </w:pPr>
      <w:r>
        <w:t xml:space="preserve">rule 30 may be invoked to strike out the claim pleaded when individual </w:t>
      </w:r>
      <w:r w:rsidR="00A476EC">
        <w:t xml:space="preserve">paragraphs </w:t>
      </w:r>
      <w:r w:rsidR="0014071F">
        <w:t>do not contain sufficient particularity</w:t>
      </w:r>
      <w:r w:rsidR="00820B1F">
        <w:t xml:space="preserve"> - it is not necessary </w:t>
      </w:r>
      <w:r w:rsidR="00B32DB0">
        <w:t>th</w:t>
      </w:r>
      <w:r w:rsidR="00820B1F">
        <w:t>at the failure to plead material facts goes to the root of the cause of action.</w:t>
      </w:r>
    </w:p>
    <w:p w14:paraId="130DF9CA" w14:textId="3C40BE3A" w:rsidR="00577FB4" w:rsidRDefault="00577FB4" w:rsidP="00577FB4">
      <w:pPr>
        <w:pStyle w:val="H1"/>
      </w:pPr>
      <w:r>
        <w:t>An att</w:t>
      </w:r>
      <w:r w:rsidR="00710B67">
        <w:t>ack on a pleading that it is vague and embarrassing cannot be</w:t>
      </w:r>
      <w:r w:rsidR="00432B13">
        <w:t xml:space="preserve"> based on</w:t>
      </w:r>
      <w:r w:rsidR="002F346D">
        <w:t xml:space="preserve"> the mere averment that it is lacking in particularity</w:t>
      </w:r>
      <w:r w:rsidR="00716BBE">
        <w:t>.</w:t>
      </w:r>
      <w:r w:rsidR="002F346D">
        <w:t xml:space="preserve"> </w:t>
      </w:r>
      <w:r w:rsidR="002F346D">
        <w:rPr>
          <w:i/>
          <w:iCs/>
        </w:rPr>
        <w:t>Jowell</w:t>
      </w:r>
      <w:r w:rsidR="00716BBE">
        <w:t xml:space="preserve"> at 902 H</w:t>
      </w:r>
      <w:r w:rsidR="002F346D">
        <w:t>.</w:t>
      </w:r>
    </w:p>
    <w:p w14:paraId="5D51717C" w14:textId="068E2CC9" w:rsidR="00DA0CA4" w:rsidRPr="000F0EE7" w:rsidRDefault="00DA0248" w:rsidP="00DA0248">
      <w:pPr>
        <w:pStyle w:val="H1"/>
      </w:pPr>
      <w:r>
        <w:t>Again</w:t>
      </w:r>
      <w:r w:rsidR="001C4471">
        <w:t xml:space="preserve"> </w:t>
      </w:r>
      <w:r>
        <w:t xml:space="preserve">with reference to </w:t>
      </w:r>
      <w:r>
        <w:rPr>
          <w:i/>
          <w:iCs/>
        </w:rPr>
        <w:t>Jowell</w:t>
      </w:r>
      <w:r w:rsidR="00443384">
        <w:rPr>
          <w:iCs/>
        </w:rPr>
        <w:t xml:space="preserve"> at 902 I-903 </w:t>
      </w:r>
      <w:r w:rsidR="00A36AC6">
        <w:rPr>
          <w:iCs/>
        </w:rPr>
        <w:t>B</w:t>
      </w:r>
      <w:r w:rsidR="00B32DB0">
        <w:rPr>
          <w:iCs/>
        </w:rPr>
        <w:t>,</w:t>
      </w:r>
      <w:r w:rsidR="00A36AC6">
        <w:rPr>
          <w:iCs/>
        </w:rPr>
        <w:t xml:space="preserve"> exceptions that pleadings are vague and embarrassing must be approached</w:t>
      </w:r>
      <w:r w:rsidR="000F0EE7">
        <w:rPr>
          <w:iCs/>
        </w:rPr>
        <w:t>, bearing in mind the following general principles:</w:t>
      </w:r>
    </w:p>
    <w:p w14:paraId="18543FE9" w14:textId="768F79DB" w:rsidR="000F0EE7" w:rsidRDefault="000F0EE7" w:rsidP="000F0EE7">
      <w:pPr>
        <w:pStyle w:val="H2"/>
      </w:pPr>
      <w:r>
        <w:t>minor blemishes are irrelevant;</w:t>
      </w:r>
    </w:p>
    <w:p w14:paraId="4165B992" w14:textId="4FAEF622" w:rsidR="000F0EE7" w:rsidRDefault="000F0EE7" w:rsidP="000F0EE7">
      <w:pPr>
        <w:pStyle w:val="H2"/>
      </w:pPr>
      <w:r>
        <w:t>pleadings must be read as a whole</w:t>
      </w:r>
      <w:r w:rsidR="00012CAB">
        <w:t>; no paragraph can be read in isolation</w:t>
      </w:r>
      <w:r w:rsidR="007C0391">
        <w:t>;</w:t>
      </w:r>
    </w:p>
    <w:p w14:paraId="75EB46AE" w14:textId="2D852874" w:rsidR="007C0391" w:rsidRDefault="00B81C34" w:rsidP="000F0EE7">
      <w:pPr>
        <w:pStyle w:val="H2"/>
      </w:pPr>
      <w:r>
        <w:t>a distinction must be drawn between the primary factual allegations which every plaintiff must make (</w:t>
      </w:r>
      <w:r w:rsidR="00D01BF6">
        <w:t xml:space="preserve">the </w:t>
      </w:r>
      <w:r w:rsidR="00D01BF6">
        <w:rPr>
          <w:i/>
          <w:iCs/>
        </w:rPr>
        <w:t>facta probanda</w:t>
      </w:r>
      <w:r w:rsidR="00C73E48">
        <w:t xml:space="preserve">) and the secondary </w:t>
      </w:r>
      <w:r w:rsidR="00C73E48">
        <w:lastRenderedPageBreak/>
        <w:t xml:space="preserve">allegations upon which the plaintiff will rely in support of his primary factual allegations (the </w:t>
      </w:r>
      <w:r w:rsidR="00C818FC">
        <w:rPr>
          <w:i/>
          <w:iCs/>
        </w:rPr>
        <w:t>facta probantia</w:t>
      </w:r>
      <w:r w:rsidR="00C818FC">
        <w:t>)</w:t>
      </w:r>
      <w:r w:rsidR="006B7563">
        <w:t>;</w:t>
      </w:r>
    </w:p>
    <w:p w14:paraId="216316C7" w14:textId="3F19A21D" w:rsidR="0089702C" w:rsidRDefault="006B7563" w:rsidP="0089702C">
      <w:pPr>
        <w:pStyle w:val="H2"/>
      </w:pPr>
      <w:r>
        <w:t>only facts are required to be pleaded.  It is unnecessary to plead conclusions of law</w:t>
      </w:r>
      <w:r w:rsidR="0058609D">
        <w:t>.</w:t>
      </w:r>
    </w:p>
    <w:p w14:paraId="529D7AC3" w14:textId="274DCEBA" w:rsidR="0058609D" w:rsidRDefault="009A2021" w:rsidP="009A2021">
      <w:pPr>
        <w:pStyle w:val="H2"/>
        <w:numPr>
          <w:ilvl w:val="0"/>
          <w:numId w:val="0"/>
        </w:numPr>
        <w:rPr>
          <w:b/>
          <w:bCs/>
          <w:u w:val="single"/>
        </w:rPr>
      </w:pPr>
      <w:r w:rsidRPr="009A2021">
        <w:rPr>
          <w:b/>
          <w:bCs/>
          <w:u w:val="single"/>
        </w:rPr>
        <w:t>Application of principles</w:t>
      </w:r>
    </w:p>
    <w:p w14:paraId="760EE52F" w14:textId="7FC4478D" w:rsidR="009A2021" w:rsidRDefault="008F28AC" w:rsidP="009A2021">
      <w:pPr>
        <w:pStyle w:val="H1"/>
      </w:pPr>
      <w:r>
        <w:t>In genera</w:t>
      </w:r>
      <w:r w:rsidR="00197F9C">
        <w:t>l, applying the abovementioned principles</w:t>
      </w:r>
      <w:r w:rsidR="00D37AE7">
        <w:t xml:space="preserve">, it is clear that the exception </w:t>
      </w:r>
      <w:r w:rsidR="005D05F9">
        <w:t>was poorly for</w:t>
      </w:r>
      <w:r w:rsidR="0085429B">
        <w:t xml:space="preserve">mulated and </w:t>
      </w:r>
      <w:r w:rsidR="00467013">
        <w:t>is</w:t>
      </w:r>
      <w:r w:rsidR="00D37AE7">
        <w:t xml:space="preserve"> ill-founded</w:t>
      </w:r>
      <w:r w:rsidR="007B1674">
        <w:t>, as:</w:t>
      </w:r>
    </w:p>
    <w:p w14:paraId="2641229D" w14:textId="05C1ED28" w:rsidR="007B1674" w:rsidRDefault="007B1674" w:rsidP="007B1674">
      <w:pPr>
        <w:pStyle w:val="H2"/>
      </w:pPr>
      <w:r>
        <w:t>it is directed at individual paragraphs in the particulars of claim</w:t>
      </w:r>
      <w:r w:rsidR="005F15E9">
        <w:t xml:space="preserve"> and does not address the whole of the cause of action, namely a claim for</w:t>
      </w:r>
      <w:r w:rsidR="0031041D">
        <w:t xml:space="preserve"> damages</w:t>
      </w:r>
      <w:r w:rsidR="005F15E9">
        <w:t xml:space="preserve"> </w:t>
      </w:r>
      <w:r w:rsidR="00725A15">
        <w:t>arising from defamation;</w:t>
      </w:r>
    </w:p>
    <w:p w14:paraId="5286175D" w14:textId="3943CCC1" w:rsidR="0011359B" w:rsidRDefault="0011359B" w:rsidP="007B1674">
      <w:pPr>
        <w:pStyle w:val="H2"/>
      </w:pPr>
      <w:r>
        <w:t xml:space="preserve">it is founded soley on the averment that the impugned paragraphs </w:t>
      </w:r>
      <w:r w:rsidR="007A778B">
        <w:t>lack particularity;</w:t>
      </w:r>
    </w:p>
    <w:p w14:paraId="3979438F" w14:textId="7E15DCD7" w:rsidR="00725A15" w:rsidRDefault="0093736B" w:rsidP="007B1674">
      <w:pPr>
        <w:pStyle w:val="H2"/>
      </w:pPr>
      <w:r>
        <w:t>the complaints relate to a lack of particularity, which lack of particularity</w:t>
      </w:r>
      <w:r w:rsidR="008D643C">
        <w:t xml:space="preserve"> if, indeed, it exists does not render the particulars of claim vague</w:t>
      </w:r>
      <w:r w:rsidR="008C20B8">
        <w:t xml:space="preserve"> to the extent that the dedefendant will not be able</w:t>
      </w:r>
      <w:r w:rsidR="00E538CD">
        <w:t xml:space="preserve"> to plead thereto</w:t>
      </w:r>
      <w:r w:rsidR="008D643C">
        <w:t>;</w:t>
      </w:r>
    </w:p>
    <w:p w14:paraId="75A3F4D3" w14:textId="09A7838C" w:rsidR="008142CE" w:rsidRDefault="008142CE" w:rsidP="007B1674">
      <w:pPr>
        <w:pStyle w:val="H2"/>
      </w:pPr>
      <w:r>
        <w:t xml:space="preserve">the defendant’s remedy, if any, </w:t>
      </w:r>
      <w:r w:rsidR="00393677">
        <w:t xml:space="preserve">thus </w:t>
      </w:r>
      <w:r>
        <w:t>lies rather in rule 18, read with rule 30</w:t>
      </w:r>
      <w:r w:rsidR="00393677">
        <w:t>.</w:t>
      </w:r>
    </w:p>
    <w:p w14:paraId="432BEFA8" w14:textId="0E882306" w:rsidR="00DD616B" w:rsidRDefault="0024798E" w:rsidP="00F06801">
      <w:pPr>
        <w:pStyle w:val="H1"/>
      </w:pPr>
      <w:r>
        <w:t>In the paragraphs</w:t>
      </w:r>
      <w:r w:rsidR="00BA50EF">
        <w:t xml:space="preserve"> in the particulars of claim</w:t>
      </w:r>
      <w:r>
        <w:t xml:space="preserve"> underlying the </w:t>
      </w:r>
      <w:r w:rsidR="00111EAE">
        <w:t>exceptions</w:t>
      </w:r>
      <w:r w:rsidR="00FE6575">
        <w:t>:</w:t>
      </w:r>
    </w:p>
    <w:p w14:paraId="7D3C7965" w14:textId="4F8A7090" w:rsidR="00FE6575" w:rsidRDefault="00FE6575" w:rsidP="00FE6575">
      <w:pPr>
        <w:pStyle w:val="H2"/>
      </w:pPr>
      <w:r>
        <w:t>the elements of a claim for defamation are clearly pleaded;</w:t>
      </w:r>
    </w:p>
    <w:p w14:paraId="447236C6" w14:textId="39A0BF46" w:rsidR="00FE6575" w:rsidRDefault="005E2AB8" w:rsidP="00FE6575">
      <w:pPr>
        <w:pStyle w:val="H2"/>
      </w:pPr>
      <w:r>
        <w:lastRenderedPageBreak/>
        <w:t>the extent of the publication of the alleged statements (the messages) are pleaded</w:t>
      </w:r>
      <w:r w:rsidR="008B0987">
        <w:t xml:space="preserve"> with sufficient particularity.  The lack of particularity complained of by the defendant does not in any</w:t>
      </w:r>
      <w:r w:rsidR="00B3564F">
        <w:t xml:space="preserve"> way render the particulars of claim vague</w:t>
      </w:r>
      <w:r w:rsidR="007C41F1">
        <w:t xml:space="preserve"> and the defendant is in a position to plead to the averments concerned</w:t>
      </w:r>
      <w:r w:rsidR="00300A38">
        <w:t>;</w:t>
      </w:r>
    </w:p>
    <w:p w14:paraId="56951C29" w14:textId="17D9B5B2" w:rsidR="00300A38" w:rsidRDefault="00300A38" w:rsidP="00FE6575">
      <w:pPr>
        <w:pStyle w:val="H2"/>
      </w:pPr>
      <w:r>
        <w:t>the</w:t>
      </w:r>
      <w:r w:rsidR="009D208E">
        <w:t xml:space="preserve"> furthe</w:t>
      </w:r>
      <w:r w:rsidR="00D61A0A">
        <w:t>r</w:t>
      </w:r>
      <w:r>
        <w:t xml:space="preserve"> dissemination of the alleged defamatory material is clearly</w:t>
      </w:r>
      <w:r w:rsidR="009D208E">
        <w:t xml:space="preserve"> pleaded.</w:t>
      </w:r>
    </w:p>
    <w:p w14:paraId="11010E3B" w14:textId="08729CF2" w:rsidR="0089643F" w:rsidRDefault="00E036B4" w:rsidP="0089643F">
      <w:pPr>
        <w:pStyle w:val="H1"/>
      </w:pPr>
      <w:r>
        <w:t>The facts as pleaded in the impugned paragraphs</w:t>
      </w:r>
      <w:r w:rsidR="00430A5A">
        <w:t xml:space="preserve"> do not </w:t>
      </w:r>
      <w:r w:rsidR="00BC0CE5">
        <w:t>establish a vagueness and embarrassment whic</w:t>
      </w:r>
      <w:r w:rsidR="00177739">
        <w:t>h strikes at the whole cause of action pleaded.</w:t>
      </w:r>
    </w:p>
    <w:p w14:paraId="6BF44D28" w14:textId="645F4F65" w:rsidR="00985AD8" w:rsidRDefault="00596015" w:rsidP="00E3165D">
      <w:pPr>
        <w:pStyle w:val="H1"/>
        <w:numPr>
          <w:ilvl w:val="0"/>
          <w:numId w:val="0"/>
        </w:numPr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Order</w:t>
      </w:r>
    </w:p>
    <w:p w14:paraId="06DC7178" w14:textId="2F779CFE" w:rsidR="00596015" w:rsidRDefault="008A6544" w:rsidP="00596015">
      <w:pPr>
        <w:pStyle w:val="H1"/>
      </w:pPr>
      <w:r>
        <w:t>Thus, I make the following order:</w:t>
      </w:r>
    </w:p>
    <w:p w14:paraId="6BF5426E" w14:textId="059894F5" w:rsidR="008A6544" w:rsidRPr="008A6544" w:rsidRDefault="008A6544" w:rsidP="008A6544">
      <w:pPr>
        <w:pStyle w:val="H1"/>
        <w:numPr>
          <w:ilvl w:val="0"/>
          <w:numId w:val="0"/>
        </w:numPr>
        <w:ind w:left="567"/>
        <w:rPr>
          <w:i/>
          <w:iCs/>
        </w:rPr>
      </w:pPr>
      <w:r>
        <w:rPr>
          <w:i/>
          <w:iCs/>
        </w:rPr>
        <w:t>The exception is dismissed with costs.</w:t>
      </w:r>
    </w:p>
    <w:p w14:paraId="6807AF2C" w14:textId="77777777" w:rsidR="00E82DCD" w:rsidRPr="000160FF" w:rsidRDefault="00E82DCD" w:rsidP="005C7D79">
      <w:pPr>
        <w:spacing w:line="480" w:lineRule="auto"/>
        <w:ind w:left="567" w:right="567"/>
        <w:jc w:val="both"/>
        <w:rPr>
          <w:rFonts w:cs="Tahoma"/>
          <w:szCs w:val="24"/>
        </w:rPr>
      </w:pPr>
    </w:p>
    <w:p w14:paraId="1D1DC6BA" w14:textId="13207906" w:rsidR="005C7D79" w:rsidRPr="000160FF" w:rsidRDefault="005C7D79" w:rsidP="00E82DCD">
      <w:pPr>
        <w:spacing w:line="360" w:lineRule="auto"/>
        <w:ind w:right="567"/>
        <w:rPr>
          <w:rFonts w:cs="Tahoma"/>
          <w:b/>
          <w:szCs w:val="24"/>
        </w:rPr>
      </w:pPr>
      <w:r w:rsidRPr="000160FF">
        <w:rPr>
          <w:rFonts w:cs="Tahoma"/>
          <w:b/>
          <w:szCs w:val="24"/>
        </w:rPr>
        <w:t>O H RONAASEN</w:t>
      </w:r>
    </w:p>
    <w:p w14:paraId="6761CD1D" w14:textId="6E5981DC" w:rsidR="005C7D79" w:rsidRDefault="005C7D79" w:rsidP="00330EB0">
      <w:pPr>
        <w:spacing w:line="360" w:lineRule="auto"/>
        <w:ind w:right="567"/>
        <w:rPr>
          <w:rFonts w:cs="Tahoma"/>
          <w:b/>
          <w:szCs w:val="24"/>
        </w:rPr>
      </w:pPr>
      <w:r w:rsidRPr="000160FF">
        <w:rPr>
          <w:rFonts w:cs="Tahoma"/>
          <w:b/>
          <w:szCs w:val="24"/>
        </w:rPr>
        <w:t>ACTING JUDGE OF THE HIGH COURT</w:t>
      </w:r>
    </w:p>
    <w:p w14:paraId="7AD7CAB5" w14:textId="25E2DD28" w:rsidR="00191930" w:rsidRDefault="00191930" w:rsidP="00330EB0">
      <w:pPr>
        <w:spacing w:line="360" w:lineRule="auto"/>
        <w:ind w:right="567"/>
        <w:rPr>
          <w:rFonts w:cs="Tahoma"/>
          <w:b/>
          <w:szCs w:val="24"/>
        </w:rPr>
      </w:pPr>
    </w:p>
    <w:p w14:paraId="0B4AFC6F" w14:textId="5C0DA67E" w:rsidR="00191930" w:rsidRDefault="00191930" w:rsidP="00330EB0">
      <w:pPr>
        <w:spacing w:line="360" w:lineRule="auto"/>
        <w:ind w:right="567"/>
        <w:rPr>
          <w:rFonts w:cs="Tahoma"/>
          <w:b/>
          <w:szCs w:val="24"/>
        </w:rPr>
      </w:pPr>
    </w:p>
    <w:p w14:paraId="4B28ED52" w14:textId="77777777" w:rsidR="00191930" w:rsidRDefault="00191930" w:rsidP="00330EB0">
      <w:pPr>
        <w:spacing w:line="360" w:lineRule="auto"/>
        <w:ind w:right="567"/>
        <w:rPr>
          <w:rFonts w:cs="Tahoma"/>
          <w:szCs w:val="24"/>
          <w:u w:val="single"/>
        </w:rPr>
      </w:pPr>
    </w:p>
    <w:p w14:paraId="6A5DA5FB" w14:textId="77777777" w:rsidR="00191930" w:rsidRDefault="00191930" w:rsidP="00330EB0">
      <w:pPr>
        <w:spacing w:line="360" w:lineRule="auto"/>
        <w:ind w:right="567"/>
        <w:rPr>
          <w:rFonts w:cs="Tahoma"/>
          <w:szCs w:val="24"/>
          <w:u w:val="single"/>
        </w:rPr>
      </w:pPr>
    </w:p>
    <w:p w14:paraId="12B90558" w14:textId="7558CA81" w:rsidR="00191930" w:rsidRDefault="00191930" w:rsidP="00330EB0">
      <w:pPr>
        <w:spacing w:line="360" w:lineRule="auto"/>
        <w:ind w:right="567"/>
        <w:rPr>
          <w:rFonts w:cs="Tahoma"/>
          <w:szCs w:val="24"/>
        </w:rPr>
      </w:pPr>
      <w:r w:rsidRPr="00191930">
        <w:rPr>
          <w:rFonts w:cs="Tahoma"/>
          <w:szCs w:val="24"/>
          <w:u w:val="single"/>
        </w:rPr>
        <w:t>Appearances</w:t>
      </w:r>
      <w:r>
        <w:rPr>
          <w:rFonts w:cs="Tahoma"/>
          <w:szCs w:val="24"/>
        </w:rPr>
        <w:t>:</w:t>
      </w:r>
    </w:p>
    <w:p w14:paraId="138C5AA4" w14:textId="5CCDEE7B" w:rsidR="00191930" w:rsidRDefault="00191930" w:rsidP="00330EB0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Counsel for the plaintiff’s: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Adv I Lambrechts</w:t>
      </w:r>
    </w:p>
    <w:p w14:paraId="213CA885" w14:textId="2A5EDCF8" w:rsidR="00191930" w:rsidRDefault="00191930" w:rsidP="00330EB0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Instructed by: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Herold Gie Attorneys</w:t>
      </w:r>
    </w:p>
    <w:p w14:paraId="79C24084" w14:textId="30AD5C9A" w:rsidR="00191930" w:rsidRDefault="00191930" w:rsidP="00330EB0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c/o Pagdens</w:t>
      </w:r>
    </w:p>
    <w:p w14:paraId="5428AB77" w14:textId="77777777" w:rsidR="00191930" w:rsidRDefault="00191930" w:rsidP="00330EB0">
      <w:pPr>
        <w:spacing w:line="360" w:lineRule="auto"/>
        <w:ind w:right="567"/>
        <w:rPr>
          <w:rFonts w:cs="Tahoma"/>
          <w:szCs w:val="24"/>
        </w:rPr>
      </w:pPr>
    </w:p>
    <w:p w14:paraId="0B531611" w14:textId="58948113" w:rsidR="00191930" w:rsidRDefault="00191930" w:rsidP="00330EB0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Counsel for the defendant: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Adv L Ntsepe</w:t>
      </w:r>
    </w:p>
    <w:p w14:paraId="304D2CB8" w14:textId="631E8533" w:rsidR="00191930" w:rsidRDefault="00191930" w:rsidP="00330EB0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Instructed by: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Yousha Tayob Attorneys</w:t>
      </w:r>
    </w:p>
    <w:p w14:paraId="24E8F20F" w14:textId="1F832465" w:rsidR="00191930" w:rsidRDefault="00191930" w:rsidP="00330EB0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c/o Kuban Chetty Inc</w:t>
      </w:r>
    </w:p>
    <w:p w14:paraId="0517F483" w14:textId="613D33DB" w:rsidR="00191930" w:rsidRDefault="00191930" w:rsidP="00330EB0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Date heard: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14 April 2022</w:t>
      </w:r>
    </w:p>
    <w:p w14:paraId="03FB4788" w14:textId="32C287BB" w:rsidR="00191930" w:rsidRDefault="00191930" w:rsidP="00330EB0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Date delivered: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26 May 2022</w:t>
      </w:r>
    </w:p>
    <w:p w14:paraId="46B1B738" w14:textId="77777777" w:rsidR="00191930" w:rsidRPr="00191930" w:rsidRDefault="00191930" w:rsidP="00330EB0">
      <w:pPr>
        <w:spacing w:line="360" w:lineRule="auto"/>
        <w:ind w:right="567"/>
        <w:rPr>
          <w:rFonts w:cs="Tahoma"/>
          <w:szCs w:val="24"/>
        </w:rPr>
      </w:pPr>
    </w:p>
    <w:p w14:paraId="67CF819B" w14:textId="3CCA780B" w:rsidR="00E36A73" w:rsidRPr="000160FF" w:rsidRDefault="00E36A73" w:rsidP="00E82DCD">
      <w:pPr>
        <w:spacing w:line="360" w:lineRule="auto"/>
        <w:ind w:right="567"/>
        <w:rPr>
          <w:rFonts w:cs="Tahoma"/>
          <w:szCs w:val="24"/>
        </w:rPr>
      </w:pPr>
    </w:p>
    <w:sectPr w:rsidR="00E36A73" w:rsidRPr="000160FF" w:rsidSect="000B191D">
      <w:headerReference w:type="default" r:id="rId7"/>
      <w:pgSz w:w="11906" w:h="16838" w:code="9"/>
      <w:pgMar w:top="1701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A58A" w14:textId="77777777" w:rsidR="00D75CEE" w:rsidRDefault="00D75CEE" w:rsidP="000B191D">
      <w:r>
        <w:separator/>
      </w:r>
    </w:p>
  </w:endnote>
  <w:endnote w:type="continuationSeparator" w:id="0">
    <w:p w14:paraId="43ABF45E" w14:textId="77777777" w:rsidR="00D75CEE" w:rsidRDefault="00D75CEE" w:rsidP="000B191D">
      <w:r>
        <w:continuationSeparator/>
      </w:r>
    </w:p>
  </w:endnote>
  <w:endnote w:type="continuationNotice" w:id="1">
    <w:p w14:paraId="158AB7DA" w14:textId="77777777" w:rsidR="00D75CEE" w:rsidRDefault="00D75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4309D" w14:textId="77777777" w:rsidR="00D75CEE" w:rsidRDefault="00D75CEE" w:rsidP="000B191D">
      <w:r>
        <w:separator/>
      </w:r>
    </w:p>
  </w:footnote>
  <w:footnote w:type="continuationSeparator" w:id="0">
    <w:p w14:paraId="493E4B28" w14:textId="77777777" w:rsidR="00D75CEE" w:rsidRDefault="00D75CEE" w:rsidP="000B191D">
      <w:r>
        <w:continuationSeparator/>
      </w:r>
    </w:p>
  </w:footnote>
  <w:footnote w:type="continuationNotice" w:id="1">
    <w:p w14:paraId="33CC6C58" w14:textId="77777777" w:rsidR="00D75CEE" w:rsidRDefault="00D75C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046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0D38B9" w14:textId="19166273" w:rsidR="005C7D79" w:rsidRDefault="005C7D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3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17B444A" w14:textId="77777777" w:rsidR="003C2BF4" w:rsidRDefault="003C2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3D3C"/>
    <w:multiLevelType w:val="multilevel"/>
    <w:tmpl w:val="5BB827CA"/>
    <w:lvl w:ilvl="0">
      <w:start w:val="1"/>
      <w:numFmt w:val="decimal"/>
      <w:pStyle w:val="H1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3"/>
      <w:lvlText w:val="%1.%2.%3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2268"/>
        </w:tabs>
        <w:ind w:left="311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D5"/>
    <w:rsid w:val="000010DD"/>
    <w:rsid w:val="000051E9"/>
    <w:rsid w:val="00005F9F"/>
    <w:rsid w:val="00006738"/>
    <w:rsid w:val="00006CF1"/>
    <w:rsid w:val="00010DA1"/>
    <w:rsid w:val="00011E56"/>
    <w:rsid w:val="0001286A"/>
    <w:rsid w:val="00012CAB"/>
    <w:rsid w:val="00013518"/>
    <w:rsid w:val="0001597A"/>
    <w:rsid w:val="000160FF"/>
    <w:rsid w:val="000170ED"/>
    <w:rsid w:val="000233EB"/>
    <w:rsid w:val="000315FC"/>
    <w:rsid w:val="00034E5D"/>
    <w:rsid w:val="0003513F"/>
    <w:rsid w:val="00047517"/>
    <w:rsid w:val="00047BFB"/>
    <w:rsid w:val="00050FE8"/>
    <w:rsid w:val="00054C34"/>
    <w:rsid w:val="0005512D"/>
    <w:rsid w:val="00070447"/>
    <w:rsid w:val="00071845"/>
    <w:rsid w:val="00074663"/>
    <w:rsid w:val="00077E8E"/>
    <w:rsid w:val="000820B4"/>
    <w:rsid w:val="00082A0A"/>
    <w:rsid w:val="00084A86"/>
    <w:rsid w:val="00085872"/>
    <w:rsid w:val="000875C3"/>
    <w:rsid w:val="000918AC"/>
    <w:rsid w:val="000930EE"/>
    <w:rsid w:val="00093A4B"/>
    <w:rsid w:val="00093BF0"/>
    <w:rsid w:val="00095337"/>
    <w:rsid w:val="000A04BB"/>
    <w:rsid w:val="000A0DD8"/>
    <w:rsid w:val="000A1432"/>
    <w:rsid w:val="000A3833"/>
    <w:rsid w:val="000B191D"/>
    <w:rsid w:val="000B2AD7"/>
    <w:rsid w:val="000B572C"/>
    <w:rsid w:val="000C00CD"/>
    <w:rsid w:val="000C1F0C"/>
    <w:rsid w:val="000C2800"/>
    <w:rsid w:val="000D028F"/>
    <w:rsid w:val="000D282E"/>
    <w:rsid w:val="000D5349"/>
    <w:rsid w:val="000D6188"/>
    <w:rsid w:val="000D7594"/>
    <w:rsid w:val="000D779A"/>
    <w:rsid w:val="000E2204"/>
    <w:rsid w:val="000E3381"/>
    <w:rsid w:val="000E385D"/>
    <w:rsid w:val="000E7485"/>
    <w:rsid w:val="000F0EE7"/>
    <w:rsid w:val="000F36E9"/>
    <w:rsid w:val="000F7848"/>
    <w:rsid w:val="00105594"/>
    <w:rsid w:val="00105F1D"/>
    <w:rsid w:val="00111EAE"/>
    <w:rsid w:val="0011359B"/>
    <w:rsid w:val="00113986"/>
    <w:rsid w:val="00114BB8"/>
    <w:rsid w:val="001164D1"/>
    <w:rsid w:val="00121575"/>
    <w:rsid w:val="001252D8"/>
    <w:rsid w:val="00125982"/>
    <w:rsid w:val="00135E5E"/>
    <w:rsid w:val="00136BDC"/>
    <w:rsid w:val="0014071F"/>
    <w:rsid w:val="00140B21"/>
    <w:rsid w:val="0014667E"/>
    <w:rsid w:val="00146C47"/>
    <w:rsid w:val="00151030"/>
    <w:rsid w:val="00152D77"/>
    <w:rsid w:val="00154C19"/>
    <w:rsid w:val="00155B55"/>
    <w:rsid w:val="00157553"/>
    <w:rsid w:val="00160C13"/>
    <w:rsid w:val="00162EE4"/>
    <w:rsid w:val="001658A3"/>
    <w:rsid w:val="0017002C"/>
    <w:rsid w:val="00171F48"/>
    <w:rsid w:val="00175C32"/>
    <w:rsid w:val="00176E75"/>
    <w:rsid w:val="00177739"/>
    <w:rsid w:val="001802B3"/>
    <w:rsid w:val="001810D2"/>
    <w:rsid w:val="001818F9"/>
    <w:rsid w:val="00181A20"/>
    <w:rsid w:val="00181B48"/>
    <w:rsid w:val="001867FC"/>
    <w:rsid w:val="00191930"/>
    <w:rsid w:val="00195C2B"/>
    <w:rsid w:val="00197E1C"/>
    <w:rsid w:val="00197F9C"/>
    <w:rsid w:val="001A1FE9"/>
    <w:rsid w:val="001A51ED"/>
    <w:rsid w:val="001A6054"/>
    <w:rsid w:val="001A7364"/>
    <w:rsid w:val="001B0777"/>
    <w:rsid w:val="001B2BBF"/>
    <w:rsid w:val="001B625B"/>
    <w:rsid w:val="001B6D53"/>
    <w:rsid w:val="001C4471"/>
    <w:rsid w:val="001C5866"/>
    <w:rsid w:val="001C74C6"/>
    <w:rsid w:val="001D1736"/>
    <w:rsid w:val="001D1909"/>
    <w:rsid w:val="001D21E3"/>
    <w:rsid w:val="001D2DC1"/>
    <w:rsid w:val="001D56FC"/>
    <w:rsid w:val="001E42E9"/>
    <w:rsid w:val="001F097B"/>
    <w:rsid w:val="001F0B09"/>
    <w:rsid w:val="001F1EC8"/>
    <w:rsid w:val="001F5B6F"/>
    <w:rsid w:val="00200441"/>
    <w:rsid w:val="002004B0"/>
    <w:rsid w:val="00200840"/>
    <w:rsid w:val="002018BB"/>
    <w:rsid w:val="00204363"/>
    <w:rsid w:val="00207C93"/>
    <w:rsid w:val="00213D19"/>
    <w:rsid w:val="00215195"/>
    <w:rsid w:val="0021654F"/>
    <w:rsid w:val="0022013A"/>
    <w:rsid w:val="00223735"/>
    <w:rsid w:val="00224771"/>
    <w:rsid w:val="00231F74"/>
    <w:rsid w:val="00236A95"/>
    <w:rsid w:val="00242E67"/>
    <w:rsid w:val="00243238"/>
    <w:rsid w:val="00243371"/>
    <w:rsid w:val="0024798E"/>
    <w:rsid w:val="00252206"/>
    <w:rsid w:val="0025577A"/>
    <w:rsid w:val="0025604B"/>
    <w:rsid w:val="002566B3"/>
    <w:rsid w:val="002570F3"/>
    <w:rsid w:val="00260A10"/>
    <w:rsid w:val="00263273"/>
    <w:rsid w:val="0026454A"/>
    <w:rsid w:val="00264876"/>
    <w:rsid w:val="00266CDB"/>
    <w:rsid w:val="002711A6"/>
    <w:rsid w:val="00273090"/>
    <w:rsid w:val="002758BE"/>
    <w:rsid w:val="00277E48"/>
    <w:rsid w:val="00284C23"/>
    <w:rsid w:val="0028776F"/>
    <w:rsid w:val="002946CF"/>
    <w:rsid w:val="00296C34"/>
    <w:rsid w:val="002A27FD"/>
    <w:rsid w:val="002A3B17"/>
    <w:rsid w:val="002A4CD0"/>
    <w:rsid w:val="002A6BF7"/>
    <w:rsid w:val="002A78A4"/>
    <w:rsid w:val="002B2488"/>
    <w:rsid w:val="002B3080"/>
    <w:rsid w:val="002C0134"/>
    <w:rsid w:val="002C0832"/>
    <w:rsid w:val="002C10B1"/>
    <w:rsid w:val="002C135B"/>
    <w:rsid w:val="002C1753"/>
    <w:rsid w:val="002D0571"/>
    <w:rsid w:val="002D3DB3"/>
    <w:rsid w:val="002E0B93"/>
    <w:rsid w:val="002E381B"/>
    <w:rsid w:val="002E5648"/>
    <w:rsid w:val="002E5F58"/>
    <w:rsid w:val="002E6207"/>
    <w:rsid w:val="002E69EB"/>
    <w:rsid w:val="002F062B"/>
    <w:rsid w:val="002F1004"/>
    <w:rsid w:val="002F294F"/>
    <w:rsid w:val="002F346D"/>
    <w:rsid w:val="002F66A1"/>
    <w:rsid w:val="002F70AF"/>
    <w:rsid w:val="00300A38"/>
    <w:rsid w:val="003014A2"/>
    <w:rsid w:val="0030460F"/>
    <w:rsid w:val="003054F7"/>
    <w:rsid w:val="00305646"/>
    <w:rsid w:val="00306FC9"/>
    <w:rsid w:val="00307A50"/>
    <w:rsid w:val="0031041D"/>
    <w:rsid w:val="00310993"/>
    <w:rsid w:val="00314D6F"/>
    <w:rsid w:val="003151EE"/>
    <w:rsid w:val="0031650B"/>
    <w:rsid w:val="003214F5"/>
    <w:rsid w:val="00321B72"/>
    <w:rsid w:val="00321E72"/>
    <w:rsid w:val="00322FA3"/>
    <w:rsid w:val="00323F77"/>
    <w:rsid w:val="00324CF7"/>
    <w:rsid w:val="00325C16"/>
    <w:rsid w:val="00326CBA"/>
    <w:rsid w:val="00330EB0"/>
    <w:rsid w:val="003312B1"/>
    <w:rsid w:val="00333417"/>
    <w:rsid w:val="0033357E"/>
    <w:rsid w:val="003372CD"/>
    <w:rsid w:val="00342D37"/>
    <w:rsid w:val="00351F8E"/>
    <w:rsid w:val="00353C06"/>
    <w:rsid w:val="00361CA4"/>
    <w:rsid w:val="00363A3F"/>
    <w:rsid w:val="003652C1"/>
    <w:rsid w:val="00366887"/>
    <w:rsid w:val="00367B33"/>
    <w:rsid w:val="003728E6"/>
    <w:rsid w:val="003846B9"/>
    <w:rsid w:val="003868AC"/>
    <w:rsid w:val="00387C01"/>
    <w:rsid w:val="00390D52"/>
    <w:rsid w:val="00391739"/>
    <w:rsid w:val="00393677"/>
    <w:rsid w:val="003A3D4F"/>
    <w:rsid w:val="003A6482"/>
    <w:rsid w:val="003B6A2C"/>
    <w:rsid w:val="003C206D"/>
    <w:rsid w:val="003C2BF4"/>
    <w:rsid w:val="003D40AB"/>
    <w:rsid w:val="003D61F0"/>
    <w:rsid w:val="003E090C"/>
    <w:rsid w:val="003E2458"/>
    <w:rsid w:val="003E68C6"/>
    <w:rsid w:val="003F0B6E"/>
    <w:rsid w:val="003F4EC4"/>
    <w:rsid w:val="003F64A1"/>
    <w:rsid w:val="00400078"/>
    <w:rsid w:val="00401B1A"/>
    <w:rsid w:val="00401CB6"/>
    <w:rsid w:val="00402E7B"/>
    <w:rsid w:val="0040480C"/>
    <w:rsid w:val="0040688A"/>
    <w:rsid w:val="0040764B"/>
    <w:rsid w:val="0041179C"/>
    <w:rsid w:val="0041191E"/>
    <w:rsid w:val="00412902"/>
    <w:rsid w:val="004148FB"/>
    <w:rsid w:val="00414D41"/>
    <w:rsid w:val="00415DA1"/>
    <w:rsid w:val="0042251D"/>
    <w:rsid w:val="004277AE"/>
    <w:rsid w:val="00430775"/>
    <w:rsid w:val="004309D0"/>
    <w:rsid w:val="00430A5A"/>
    <w:rsid w:val="00432B13"/>
    <w:rsid w:val="00433528"/>
    <w:rsid w:val="00435378"/>
    <w:rsid w:val="00435BE3"/>
    <w:rsid w:val="0044106D"/>
    <w:rsid w:val="0044271B"/>
    <w:rsid w:val="00443384"/>
    <w:rsid w:val="004457FF"/>
    <w:rsid w:val="004470C4"/>
    <w:rsid w:val="0045223B"/>
    <w:rsid w:val="00452869"/>
    <w:rsid w:val="004534E2"/>
    <w:rsid w:val="00456507"/>
    <w:rsid w:val="004627F5"/>
    <w:rsid w:val="00463BF2"/>
    <w:rsid w:val="00464B12"/>
    <w:rsid w:val="00464CC6"/>
    <w:rsid w:val="00467013"/>
    <w:rsid w:val="00471604"/>
    <w:rsid w:val="004725B9"/>
    <w:rsid w:val="00474EF9"/>
    <w:rsid w:val="00481D95"/>
    <w:rsid w:val="00486CDA"/>
    <w:rsid w:val="004910FE"/>
    <w:rsid w:val="0049184F"/>
    <w:rsid w:val="00495C60"/>
    <w:rsid w:val="004A0339"/>
    <w:rsid w:val="004A0761"/>
    <w:rsid w:val="004A1298"/>
    <w:rsid w:val="004A3A8E"/>
    <w:rsid w:val="004A4205"/>
    <w:rsid w:val="004A426B"/>
    <w:rsid w:val="004B10BE"/>
    <w:rsid w:val="004B1110"/>
    <w:rsid w:val="004B16DF"/>
    <w:rsid w:val="004B1B7A"/>
    <w:rsid w:val="004B691C"/>
    <w:rsid w:val="004C3D91"/>
    <w:rsid w:val="004C4862"/>
    <w:rsid w:val="004C651D"/>
    <w:rsid w:val="004E2C60"/>
    <w:rsid w:val="004E2EEE"/>
    <w:rsid w:val="004E508B"/>
    <w:rsid w:val="004F3C1B"/>
    <w:rsid w:val="004F5561"/>
    <w:rsid w:val="004F6F08"/>
    <w:rsid w:val="004F6F2D"/>
    <w:rsid w:val="005034A4"/>
    <w:rsid w:val="005047E0"/>
    <w:rsid w:val="00505B04"/>
    <w:rsid w:val="00511E2A"/>
    <w:rsid w:val="00517AA4"/>
    <w:rsid w:val="00517AB5"/>
    <w:rsid w:val="005211F9"/>
    <w:rsid w:val="0052282D"/>
    <w:rsid w:val="00530061"/>
    <w:rsid w:val="00534388"/>
    <w:rsid w:val="00536A7A"/>
    <w:rsid w:val="0053721A"/>
    <w:rsid w:val="00537E15"/>
    <w:rsid w:val="005429FF"/>
    <w:rsid w:val="00544706"/>
    <w:rsid w:val="00547CBE"/>
    <w:rsid w:val="005502A7"/>
    <w:rsid w:val="005509F4"/>
    <w:rsid w:val="00550FE9"/>
    <w:rsid w:val="005560B6"/>
    <w:rsid w:val="0055669D"/>
    <w:rsid w:val="0056217A"/>
    <w:rsid w:val="0056383C"/>
    <w:rsid w:val="00563D6C"/>
    <w:rsid w:val="005645DD"/>
    <w:rsid w:val="00565437"/>
    <w:rsid w:val="005671CE"/>
    <w:rsid w:val="00571B3A"/>
    <w:rsid w:val="00573E7C"/>
    <w:rsid w:val="00577FB4"/>
    <w:rsid w:val="005812B1"/>
    <w:rsid w:val="005824AE"/>
    <w:rsid w:val="00585CBB"/>
    <w:rsid w:val="0058609D"/>
    <w:rsid w:val="00586253"/>
    <w:rsid w:val="00586DC5"/>
    <w:rsid w:val="00592BAB"/>
    <w:rsid w:val="00593FDB"/>
    <w:rsid w:val="00596015"/>
    <w:rsid w:val="005A17A7"/>
    <w:rsid w:val="005A19AD"/>
    <w:rsid w:val="005A5788"/>
    <w:rsid w:val="005A633B"/>
    <w:rsid w:val="005B0B12"/>
    <w:rsid w:val="005B2EED"/>
    <w:rsid w:val="005B3017"/>
    <w:rsid w:val="005B748A"/>
    <w:rsid w:val="005C06CE"/>
    <w:rsid w:val="005C1743"/>
    <w:rsid w:val="005C175E"/>
    <w:rsid w:val="005C1BF6"/>
    <w:rsid w:val="005C34CC"/>
    <w:rsid w:val="005C45A4"/>
    <w:rsid w:val="005C49E6"/>
    <w:rsid w:val="005C5871"/>
    <w:rsid w:val="005C7D79"/>
    <w:rsid w:val="005D04A1"/>
    <w:rsid w:val="005D05F9"/>
    <w:rsid w:val="005D47DA"/>
    <w:rsid w:val="005D5179"/>
    <w:rsid w:val="005D5650"/>
    <w:rsid w:val="005D7C47"/>
    <w:rsid w:val="005D7EC9"/>
    <w:rsid w:val="005E226F"/>
    <w:rsid w:val="005E2AB8"/>
    <w:rsid w:val="005E5479"/>
    <w:rsid w:val="005E5C98"/>
    <w:rsid w:val="005E6B58"/>
    <w:rsid w:val="005F0609"/>
    <w:rsid w:val="005F1080"/>
    <w:rsid w:val="005F15E9"/>
    <w:rsid w:val="00601E30"/>
    <w:rsid w:val="00605101"/>
    <w:rsid w:val="00617431"/>
    <w:rsid w:val="006201E3"/>
    <w:rsid w:val="006256DD"/>
    <w:rsid w:val="00631C0E"/>
    <w:rsid w:val="00632DAC"/>
    <w:rsid w:val="006410C0"/>
    <w:rsid w:val="00641958"/>
    <w:rsid w:val="0064295F"/>
    <w:rsid w:val="00643983"/>
    <w:rsid w:val="00643C05"/>
    <w:rsid w:val="006465C2"/>
    <w:rsid w:val="0064758A"/>
    <w:rsid w:val="006567EB"/>
    <w:rsid w:val="00660BCA"/>
    <w:rsid w:val="006614B8"/>
    <w:rsid w:val="006637EE"/>
    <w:rsid w:val="00663D11"/>
    <w:rsid w:val="00665E32"/>
    <w:rsid w:val="00666844"/>
    <w:rsid w:val="006704ED"/>
    <w:rsid w:val="0067266C"/>
    <w:rsid w:val="0067630F"/>
    <w:rsid w:val="0067754D"/>
    <w:rsid w:val="006834EB"/>
    <w:rsid w:val="00683D00"/>
    <w:rsid w:val="006853F6"/>
    <w:rsid w:val="00686A27"/>
    <w:rsid w:val="00687CED"/>
    <w:rsid w:val="006907C8"/>
    <w:rsid w:val="00693C94"/>
    <w:rsid w:val="00694FD3"/>
    <w:rsid w:val="006952C3"/>
    <w:rsid w:val="006977C6"/>
    <w:rsid w:val="00697EB6"/>
    <w:rsid w:val="006A14C4"/>
    <w:rsid w:val="006A282A"/>
    <w:rsid w:val="006A73F1"/>
    <w:rsid w:val="006B0556"/>
    <w:rsid w:val="006B19E2"/>
    <w:rsid w:val="006B3437"/>
    <w:rsid w:val="006B3C10"/>
    <w:rsid w:val="006B7563"/>
    <w:rsid w:val="006C13AC"/>
    <w:rsid w:val="006C4FE0"/>
    <w:rsid w:val="006C605E"/>
    <w:rsid w:val="006D1E5E"/>
    <w:rsid w:val="006D345A"/>
    <w:rsid w:val="006D367E"/>
    <w:rsid w:val="006D4D9F"/>
    <w:rsid w:val="006D7037"/>
    <w:rsid w:val="006E1B7E"/>
    <w:rsid w:val="006E347D"/>
    <w:rsid w:val="006E5A84"/>
    <w:rsid w:val="006E63B5"/>
    <w:rsid w:val="006E70E6"/>
    <w:rsid w:val="006F61BF"/>
    <w:rsid w:val="006F71CA"/>
    <w:rsid w:val="00702D49"/>
    <w:rsid w:val="007032A6"/>
    <w:rsid w:val="0070351E"/>
    <w:rsid w:val="00704B33"/>
    <w:rsid w:val="00704BC7"/>
    <w:rsid w:val="0070776B"/>
    <w:rsid w:val="00707D61"/>
    <w:rsid w:val="00710B67"/>
    <w:rsid w:val="00714C5E"/>
    <w:rsid w:val="0071613A"/>
    <w:rsid w:val="007162DB"/>
    <w:rsid w:val="00716BBE"/>
    <w:rsid w:val="00716EAB"/>
    <w:rsid w:val="0072105A"/>
    <w:rsid w:val="0072170E"/>
    <w:rsid w:val="0072393D"/>
    <w:rsid w:val="00725A15"/>
    <w:rsid w:val="007319F5"/>
    <w:rsid w:val="00732C1C"/>
    <w:rsid w:val="00732EFE"/>
    <w:rsid w:val="00734DD1"/>
    <w:rsid w:val="0074195D"/>
    <w:rsid w:val="0074299E"/>
    <w:rsid w:val="0074377F"/>
    <w:rsid w:val="00745C1E"/>
    <w:rsid w:val="00745D77"/>
    <w:rsid w:val="00745F8F"/>
    <w:rsid w:val="0075318D"/>
    <w:rsid w:val="00753996"/>
    <w:rsid w:val="00753B56"/>
    <w:rsid w:val="00754CD6"/>
    <w:rsid w:val="007552A7"/>
    <w:rsid w:val="007600F6"/>
    <w:rsid w:val="00761C7B"/>
    <w:rsid w:val="00763CF1"/>
    <w:rsid w:val="0076447F"/>
    <w:rsid w:val="00765734"/>
    <w:rsid w:val="00771083"/>
    <w:rsid w:val="00772C83"/>
    <w:rsid w:val="00774AF1"/>
    <w:rsid w:val="0077742D"/>
    <w:rsid w:val="00780551"/>
    <w:rsid w:val="00784E80"/>
    <w:rsid w:val="007854B9"/>
    <w:rsid w:val="00785B5B"/>
    <w:rsid w:val="007870BE"/>
    <w:rsid w:val="00787374"/>
    <w:rsid w:val="0079381C"/>
    <w:rsid w:val="0079506A"/>
    <w:rsid w:val="00796103"/>
    <w:rsid w:val="007967CA"/>
    <w:rsid w:val="007A000E"/>
    <w:rsid w:val="007A4E60"/>
    <w:rsid w:val="007A737F"/>
    <w:rsid w:val="007A74FF"/>
    <w:rsid w:val="007A778B"/>
    <w:rsid w:val="007B0559"/>
    <w:rsid w:val="007B1674"/>
    <w:rsid w:val="007C0391"/>
    <w:rsid w:val="007C05F0"/>
    <w:rsid w:val="007C19C7"/>
    <w:rsid w:val="007C41F1"/>
    <w:rsid w:val="007C65F1"/>
    <w:rsid w:val="007C7DF0"/>
    <w:rsid w:val="007D7EA9"/>
    <w:rsid w:val="007E148C"/>
    <w:rsid w:val="007E2BF2"/>
    <w:rsid w:val="007E6EB1"/>
    <w:rsid w:val="007E7F08"/>
    <w:rsid w:val="007F5F05"/>
    <w:rsid w:val="007F7C61"/>
    <w:rsid w:val="007F7E1D"/>
    <w:rsid w:val="00801345"/>
    <w:rsid w:val="00803D5D"/>
    <w:rsid w:val="00805C91"/>
    <w:rsid w:val="0080653E"/>
    <w:rsid w:val="0080705F"/>
    <w:rsid w:val="00813288"/>
    <w:rsid w:val="008134F2"/>
    <w:rsid w:val="008142CE"/>
    <w:rsid w:val="0081736E"/>
    <w:rsid w:val="00817AC8"/>
    <w:rsid w:val="00817EC0"/>
    <w:rsid w:val="00820B1F"/>
    <w:rsid w:val="0082423C"/>
    <w:rsid w:val="00824A8D"/>
    <w:rsid w:val="008443FA"/>
    <w:rsid w:val="0084482B"/>
    <w:rsid w:val="0084601A"/>
    <w:rsid w:val="00847513"/>
    <w:rsid w:val="00847D7F"/>
    <w:rsid w:val="00850929"/>
    <w:rsid w:val="008526D5"/>
    <w:rsid w:val="0085429B"/>
    <w:rsid w:val="00860950"/>
    <w:rsid w:val="008617B9"/>
    <w:rsid w:val="00861AEC"/>
    <w:rsid w:val="00871C72"/>
    <w:rsid w:val="00874688"/>
    <w:rsid w:val="00875768"/>
    <w:rsid w:val="00876712"/>
    <w:rsid w:val="008769D6"/>
    <w:rsid w:val="00877DD7"/>
    <w:rsid w:val="0088376C"/>
    <w:rsid w:val="00883A02"/>
    <w:rsid w:val="00884224"/>
    <w:rsid w:val="0089026A"/>
    <w:rsid w:val="0089235C"/>
    <w:rsid w:val="008934C3"/>
    <w:rsid w:val="0089599E"/>
    <w:rsid w:val="0089643F"/>
    <w:rsid w:val="0089702C"/>
    <w:rsid w:val="00897BF6"/>
    <w:rsid w:val="008A1335"/>
    <w:rsid w:val="008A6544"/>
    <w:rsid w:val="008B074D"/>
    <w:rsid w:val="008B08CD"/>
    <w:rsid w:val="008B0987"/>
    <w:rsid w:val="008B0A7F"/>
    <w:rsid w:val="008B1010"/>
    <w:rsid w:val="008B3FDC"/>
    <w:rsid w:val="008B45C2"/>
    <w:rsid w:val="008C02A2"/>
    <w:rsid w:val="008C0992"/>
    <w:rsid w:val="008C180A"/>
    <w:rsid w:val="008C1CD6"/>
    <w:rsid w:val="008C20B8"/>
    <w:rsid w:val="008C2A51"/>
    <w:rsid w:val="008C51D0"/>
    <w:rsid w:val="008C6B4F"/>
    <w:rsid w:val="008C7BE6"/>
    <w:rsid w:val="008C7F84"/>
    <w:rsid w:val="008D0743"/>
    <w:rsid w:val="008D4C4B"/>
    <w:rsid w:val="008D5B7B"/>
    <w:rsid w:val="008D643C"/>
    <w:rsid w:val="008E3007"/>
    <w:rsid w:val="008E3180"/>
    <w:rsid w:val="008E5AFA"/>
    <w:rsid w:val="008F1A02"/>
    <w:rsid w:val="008F23C5"/>
    <w:rsid w:val="008F28AC"/>
    <w:rsid w:val="008F7714"/>
    <w:rsid w:val="009001AF"/>
    <w:rsid w:val="00901E0D"/>
    <w:rsid w:val="00902C82"/>
    <w:rsid w:val="00902CAC"/>
    <w:rsid w:val="00903C1A"/>
    <w:rsid w:val="00904DC1"/>
    <w:rsid w:val="00907425"/>
    <w:rsid w:val="009102A4"/>
    <w:rsid w:val="00915D7E"/>
    <w:rsid w:val="00920600"/>
    <w:rsid w:val="009244C1"/>
    <w:rsid w:val="0092624F"/>
    <w:rsid w:val="00926A7B"/>
    <w:rsid w:val="009306A4"/>
    <w:rsid w:val="009323D5"/>
    <w:rsid w:val="0093358B"/>
    <w:rsid w:val="00934CF5"/>
    <w:rsid w:val="0093517C"/>
    <w:rsid w:val="00936637"/>
    <w:rsid w:val="0093736B"/>
    <w:rsid w:val="009418E7"/>
    <w:rsid w:val="00941F1E"/>
    <w:rsid w:val="00944F8E"/>
    <w:rsid w:val="00947663"/>
    <w:rsid w:val="00947CAB"/>
    <w:rsid w:val="009502E5"/>
    <w:rsid w:val="0095044D"/>
    <w:rsid w:val="00952ABC"/>
    <w:rsid w:val="00953188"/>
    <w:rsid w:val="00954B2E"/>
    <w:rsid w:val="009562FE"/>
    <w:rsid w:val="00964F56"/>
    <w:rsid w:val="00965186"/>
    <w:rsid w:val="00966662"/>
    <w:rsid w:val="00970000"/>
    <w:rsid w:val="00972EEA"/>
    <w:rsid w:val="00976CCB"/>
    <w:rsid w:val="009859EB"/>
    <w:rsid w:val="00985AD8"/>
    <w:rsid w:val="00991747"/>
    <w:rsid w:val="009918AD"/>
    <w:rsid w:val="009922BB"/>
    <w:rsid w:val="00993420"/>
    <w:rsid w:val="00993B03"/>
    <w:rsid w:val="009A069C"/>
    <w:rsid w:val="009A2021"/>
    <w:rsid w:val="009A57B5"/>
    <w:rsid w:val="009A6370"/>
    <w:rsid w:val="009A692A"/>
    <w:rsid w:val="009A7386"/>
    <w:rsid w:val="009A76FF"/>
    <w:rsid w:val="009B11B4"/>
    <w:rsid w:val="009B1D41"/>
    <w:rsid w:val="009B208B"/>
    <w:rsid w:val="009B367C"/>
    <w:rsid w:val="009B3B34"/>
    <w:rsid w:val="009B3C0E"/>
    <w:rsid w:val="009B4370"/>
    <w:rsid w:val="009B7BDB"/>
    <w:rsid w:val="009C06F8"/>
    <w:rsid w:val="009C14BA"/>
    <w:rsid w:val="009C20F4"/>
    <w:rsid w:val="009C3A65"/>
    <w:rsid w:val="009C5CB3"/>
    <w:rsid w:val="009D208E"/>
    <w:rsid w:val="009D3565"/>
    <w:rsid w:val="009D582B"/>
    <w:rsid w:val="009E5C6A"/>
    <w:rsid w:val="009F024B"/>
    <w:rsid w:val="009F1A62"/>
    <w:rsid w:val="009F217B"/>
    <w:rsid w:val="009F4BF7"/>
    <w:rsid w:val="009F597A"/>
    <w:rsid w:val="00A00A5F"/>
    <w:rsid w:val="00A01CCC"/>
    <w:rsid w:val="00A0348A"/>
    <w:rsid w:val="00A03659"/>
    <w:rsid w:val="00A050C9"/>
    <w:rsid w:val="00A05769"/>
    <w:rsid w:val="00A06C2D"/>
    <w:rsid w:val="00A12574"/>
    <w:rsid w:val="00A13B04"/>
    <w:rsid w:val="00A21AEE"/>
    <w:rsid w:val="00A23D35"/>
    <w:rsid w:val="00A25218"/>
    <w:rsid w:val="00A26978"/>
    <w:rsid w:val="00A3163F"/>
    <w:rsid w:val="00A348FD"/>
    <w:rsid w:val="00A36AC6"/>
    <w:rsid w:val="00A40638"/>
    <w:rsid w:val="00A44662"/>
    <w:rsid w:val="00A44C0C"/>
    <w:rsid w:val="00A476EC"/>
    <w:rsid w:val="00A51234"/>
    <w:rsid w:val="00A52520"/>
    <w:rsid w:val="00A569F9"/>
    <w:rsid w:val="00A60579"/>
    <w:rsid w:val="00A73D9D"/>
    <w:rsid w:val="00A74639"/>
    <w:rsid w:val="00A77C4B"/>
    <w:rsid w:val="00A80C93"/>
    <w:rsid w:val="00A8637C"/>
    <w:rsid w:val="00A93AC5"/>
    <w:rsid w:val="00A95988"/>
    <w:rsid w:val="00AA04C5"/>
    <w:rsid w:val="00AA177F"/>
    <w:rsid w:val="00AA7172"/>
    <w:rsid w:val="00AB1369"/>
    <w:rsid w:val="00AB5B0B"/>
    <w:rsid w:val="00AC3229"/>
    <w:rsid w:val="00AC5704"/>
    <w:rsid w:val="00AC67EE"/>
    <w:rsid w:val="00AD2BE7"/>
    <w:rsid w:val="00AD411B"/>
    <w:rsid w:val="00AD6CCF"/>
    <w:rsid w:val="00AE3939"/>
    <w:rsid w:val="00AF750D"/>
    <w:rsid w:val="00AF7A10"/>
    <w:rsid w:val="00B03318"/>
    <w:rsid w:val="00B036E5"/>
    <w:rsid w:val="00B049E1"/>
    <w:rsid w:val="00B079D8"/>
    <w:rsid w:val="00B10A5A"/>
    <w:rsid w:val="00B12310"/>
    <w:rsid w:val="00B13621"/>
    <w:rsid w:val="00B17A10"/>
    <w:rsid w:val="00B202B1"/>
    <w:rsid w:val="00B21C64"/>
    <w:rsid w:val="00B23DBC"/>
    <w:rsid w:val="00B26343"/>
    <w:rsid w:val="00B31E53"/>
    <w:rsid w:val="00B328B3"/>
    <w:rsid w:val="00B32DB0"/>
    <w:rsid w:val="00B3408B"/>
    <w:rsid w:val="00B3443B"/>
    <w:rsid w:val="00B3496B"/>
    <w:rsid w:val="00B34A49"/>
    <w:rsid w:val="00B34A93"/>
    <w:rsid w:val="00B3564F"/>
    <w:rsid w:val="00B35EF5"/>
    <w:rsid w:val="00B374A0"/>
    <w:rsid w:val="00B4290F"/>
    <w:rsid w:val="00B42D3A"/>
    <w:rsid w:val="00B43EF0"/>
    <w:rsid w:val="00B502C1"/>
    <w:rsid w:val="00B52173"/>
    <w:rsid w:val="00B529FD"/>
    <w:rsid w:val="00B541A4"/>
    <w:rsid w:val="00B67624"/>
    <w:rsid w:val="00B71BC6"/>
    <w:rsid w:val="00B73A8B"/>
    <w:rsid w:val="00B74596"/>
    <w:rsid w:val="00B74A0A"/>
    <w:rsid w:val="00B77B72"/>
    <w:rsid w:val="00B81C34"/>
    <w:rsid w:val="00B82AED"/>
    <w:rsid w:val="00B86343"/>
    <w:rsid w:val="00B92F3C"/>
    <w:rsid w:val="00B95BFC"/>
    <w:rsid w:val="00B963EF"/>
    <w:rsid w:val="00B96C70"/>
    <w:rsid w:val="00B97053"/>
    <w:rsid w:val="00BA50EF"/>
    <w:rsid w:val="00BA7630"/>
    <w:rsid w:val="00BB14B0"/>
    <w:rsid w:val="00BB188C"/>
    <w:rsid w:val="00BB46DA"/>
    <w:rsid w:val="00BB7CF4"/>
    <w:rsid w:val="00BC0CE5"/>
    <w:rsid w:val="00BC222B"/>
    <w:rsid w:val="00BC2DCF"/>
    <w:rsid w:val="00BC3E17"/>
    <w:rsid w:val="00BC3FD4"/>
    <w:rsid w:val="00BC526E"/>
    <w:rsid w:val="00BD0506"/>
    <w:rsid w:val="00BD1CF1"/>
    <w:rsid w:val="00BD27A4"/>
    <w:rsid w:val="00BD3B76"/>
    <w:rsid w:val="00BD7AB1"/>
    <w:rsid w:val="00BE1F3F"/>
    <w:rsid w:val="00BE414B"/>
    <w:rsid w:val="00BF3C70"/>
    <w:rsid w:val="00C00760"/>
    <w:rsid w:val="00C0080A"/>
    <w:rsid w:val="00C10321"/>
    <w:rsid w:val="00C155F2"/>
    <w:rsid w:val="00C15749"/>
    <w:rsid w:val="00C157B7"/>
    <w:rsid w:val="00C20E83"/>
    <w:rsid w:val="00C2193D"/>
    <w:rsid w:val="00C222D3"/>
    <w:rsid w:val="00C2359A"/>
    <w:rsid w:val="00C25641"/>
    <w:rsid w:val="00C30271"/>
    <w:rsid w:val="00C33221"/>
    <w:rsid w:val="00C33716"/>
    <w:rsid w:val="00C3468C"/>
    <w:rsid w:val="00C375D3"/>
    <w:rsid w:val="00C41D47"/>
    <w:rsid w:val="00C44161"/>
    <w:rsid w:val="00C475FF"/>
    <w:rsid w:val="00C56C7A"/>
    <w:rsid w:val="00C56E2A"/>
    <w:rsid w:val="00C6369A"/>
    <w:rsid w:val="00C641C8"/>
    <w:rsid w:val="00C67CA2"/>
    <w:rsid w:val="00C73E48"/>
    <w:rsid w:val="00C7763A"/>
    <w:rsid w:val="00C818FC"/>
    <w:rsid w:val="00C821BF"/>
    <w:rsid w:val="00C82D3C"/>
    <w:rsid w:val="00C87462"/>
    <w:rsid w:val="00C8751F"/>
    <w:rsid w:val="00C95F52"/>
    <w:rsid w:val="00C96888"/>
    <w:rsid w:val="00C97322"/>
    <w:rsid w:val="00CA130D"/>
    <w:rsid w:val="00CA21A9"/>
    <w:rsid w:val="00CA24AD"/>
    <w:rsid w:val="00CA2975"/>
    <w:rsid w:val="00CB461C"/>
    <w:rsid w:val="00CB5597"/>
    <w:rsid w:val="00CB5E46"/>
    <w:rsid w:val="00CB7F0D"/>
    <w:rsid w:val="00CC682F"/>
    <w:rsid w:val="00CC709E"/>
    <w:rsid w:val="00CD55BD"/>
    <w:rsid w:val="00CD5D98"/>
    <w:rsid w:val="00CF0DF9"/>
    <w:rsid w:val="00CF18A1"/>
    <w:rsid w:val="00CF3EF1"/>
    <w:rsid w:val="00CF7073"/>
    <w:rsid w:val="00D004DB"/>
    <w:rsid w:val="00D01BF6"/>
    <w:rsid w:val="00D06E55"/>
    <w:rsid w:val="00D07F2A"/>
    <w:rsid w:val="00D15394"/>
    <w:rsid w:val="00D153FF"/>
    <w:rsid w:val="00D16785"/>
    <w:rsid w:val="00D202E4"/>
    <w:rsid w:val="00D206EA"/>
    <w:rsid w:val="00D208B8"/>
    <w:rsid w:val="00D2259A"/>
    <w:rsid w:val="00D22FEB"/>
    <w:rsid w:val="00D2384E"/>
    <w:rsid w:val="00D3602C"/>
    <w:rsid w:val="00D37AE7"/>
    <w:rsid w:val="00D44429"/>
    <w:rsid w:val="00D45195"/>
    <w:rsid w:val="00D46181"/>
    <w:rsid w:val="00D4674C"/>
    <w:rsid w:val="00D520A4"/>
    <w:rsid w:val="00D544E0"/>
    <w:rsid w:val="00D5570B"/>
    <w:rsid w:val="00D61022"/>
    <w:rsid w:val="00D61373"/>
    <w:rsid w:val="00D61A0A"/>
    <w:rsid w:val="00D626F4"/>
    <w:rsid w:val="00D638AD"/>
    <w:rsid w:val="00D7023B"/>
    <w:rsid w:val="00D75CEE"/>
    <w:rsid w:val="00D8090E"/>
    <w:rsid w:val="00D82A60"/>
    <w:rsid w:val="00D841D8"/>
    <w:rsid w:val="00D84F34"/>
    <w:rsid w:val="00D85579"/>
    <w:rsid w:val="00D856AC"/>
    <w:rsid w:val="00D8605F"/>
    <w:rsid w:val="00D86C12"/>
    <w:rsid w:val="00D9471E"/>
    <w:rsid w:val="00D96345"/>
    <w:rsid w:val="00DA0248"/>
    <w:rsid w:val="00DA0CA4"/>
    <w:rsid w:val="00DA4C92"/>
    <w:rsid w:val="00DA5377"/>
    <w:rsid w:val="00DA55D4"/>
    <w:rsid w:val="00DB13D8"/>
    <w:rsid w:val="00DB596A"/>
    <w:rsid w:val="00DC246F"/>
    <w:rsid w:val="00DC4360"/>
    <w:rsid w:val="00DD2DD3"/>
    <w:rsid w:val="00DD40CB"/>
    <w:rsid w:val="00DD4DAB"/>
    <w:rsid w:val="00DD616B"/>
    <w:rsid w:val="00DD655F"/>
    <w:rsid w:val="00DE127F"/>
    <w:rsid w:val="00DE262C"/>
    <w:rsid w:val="00DE485D"/>
    <w:rsid w:val="00DE6B40"/>
    <w:rsid w:val="00DE7560"/>
    <w:rsid w:val="00DE7D5E"/>
    <w:rsid w:val="00DF6D19"/>
    <w:rsid w:val="00E02463"/>
    <w:rsid w:val="00E02FDA"/>
    <w:rsid w:val="00E036B4"/>
    <w:rsid w:val="00E116C6"/>
    <w:rsid w:val="00E1505F"/>
    <w:rsid w:val="00E161A0"/>
    <w:rsid w:val="00E16233"/>
    <w:rsid w:val="00E16630"/>
    <w:rsid w:val="00E17EC6"/>
    <w:rsid w:val="00E21A2B"/>
    <w:rsid w:val="00E230EB"/>
    <w:rsid w:val="00E3165D"/>
    <w:rsid w:val="00E36A73"/>
    <w:rsid w:val="00E36ED8"/>
    <w:rsid w:val="00E4147F"/>
    <w:rsid w:val="00E41486"/>
    <w:rsid w:val="00E419F8"/>
    <w:rsid w:val="00E42BBC"/>
    <w:rsid w:val="00E43546"/>
    <w:rsid w:val="00E450EB"/>
    <w:rsid w:val="00E475C4"/>
    <w:rsid w:val="00E538CD"/>
    <w:rsid w:val="00E5579C"/>
    <w:rsid w:val="00E55C37"/>
    <w:rsid w:val="00E56313"/>
    <w:rsid w:val="00E56EA9"/>
    <w:rsid w:val="00E57A1F"/>
    <w:rsid w:val="00E6129C"/>
    <w:rsid w:val="00E651FC"/>
    <w:rsid w:val="00E66536"/>
    <w:rsid w:val="00E66AAB"/>
    <w:rsid w:val="00E67EC3"/>
    <w:rsid w:val="00E70F50"/>
    <w:rsid w:val="00E727D1"/>
    <w:rsid w:val="00E75A59"/>
    <w:rsid w:val="00E808B4"/>
    <w:rsid w:val="00E82DCD"/>
    <w:rsid w:val="00E85D76"/>
    <w:rsid w:val="00E87734"/>
    <w:rsid w:val="00E90D86"/>
    <w:rsid w:val="00E90DB2"/>
    <w:rsid w:val="00E960F1"/>
    <w:rsid w:val="00E97CDD"/>
    <w:rsid w:val="00EA1A2C"/>
    <w:rsid w:val="00EA2779"/>
    <w:rsid w:val="00EA347D"/>
    <w:rsid w:val="00EA4A2F"/>
    <w:rsid w:val="00EA4E66"/>
    <w:rsid w:val="00EA5A30"/>
    <w:rsid w:val="00EA703A"/>
    <w:rsid w:val="00EB1091"/>
    <w:rsid w:val="00EB2A3F"/>
    <w:rsid w:val="00EB379A"/>
    <w:rsid w:val="00EB4D6F"/>
    <w:rsid w:val="00EB4E10"/>
    <w:rsid w:val="00EB6099"/>
    <w:rsid w:val="00EC0192"/>
    <w:rsid w:val="00EC1024"/>
    <w:rsid w:val="00EC2784"/>
    <w:rsid w:val="00EC2B5F"/>
    <w:rsid w:val="00EC338F"/>
    <w:rsid w:val="00EC666C"/>
    <w:rsid w:val="00EC6DD7"/>
    <w:rsid w:val="00ED1BC2"/>
    <w:rsid w:val="00ED4968"/>
    <w:rsid w:val="00EE326E"/>
    <w:rsid w:val="00EE3F78"/>
    <w:rsid w:val="00EF078A"/>
    <w:rsid w:val="00EF64FA"/>
    <w:rsid w:val="00F01F3E"/>
    <w:rsid w:val="00F02E7A"/>
    <w:rsid w:val="00F05EFB"/>
    <w:rsid w:val="00F06801"/>
    <w:rsid w:val="00F07031"/>
    <w:rsid w:val="00F10225"/>
    <w:rsid w:val="00F13101"/>
    <w:rsid w:val="00F13BB7"/>
    <w:rsid w:val="00F243AA"/>
    <w:rsid w:val="00F265AA"/>
    <w:rsid w:val="00F30F82"/>
    <w:rsid w:val="00F3155A"/>
    <w:rsid w:val="00F41662"/>
    <w:rsid w:val="00F41899"/>
    <w:rsid w:val="00F43D55"/>
    <w:rsid w:val="00F50769"/>
    <w:rsid w:val="00F50BA8"/>
    <w:rsid w:val="00F51DBA"/>
    <w:rsid w:val="00F53B51"/>
    <w:rsid w:val="00F55547"/>
    <w:rsid w:val="00F60876"/>
    <w:rsid w:val="00F63FF1"/>
    <w:rsid w:val="00F6564B"/>
    <w:rsid w:val="00F71369"/>
    <w:rsid w:val="00F72726"/>
    <w:rsid w:val="00F73CDE"/>
    <w:rsid w:val="00F743D7"/>
    <w:rsid w:val="00F744F7"/>
    <w:rsid w:val="00F74B21"/>
    <w:rsid w:val="00F8315D"/>
    <w:rsid w:val="00F85BD3"/>
    <w:rsid w:val="00F912AF"/>
    <w:rsid w:val="00F91544"/>
    <w:rsid w:val="00F96DC9"/>
    <w:rsid w:val="00F97C43"/>
    <w:rsid w:val="00FA0DC6"/>
    <w:rsid w:val="00FA4798"/>
    <w:rsid w:val="00FB39F1"/>
    <w:rsid w:val="00FB5070"/>
    <w:rsid w:val="00FB6B88"/>
    <w:rsid w:val="00FC243F"/>
    <w:rsid w:val="00FC2862"/>
    <w:rsid w:val="00FC2C29"/>
    <w:rsid w:val="00FC2E5F"/>
    <w:rsid w:val="00FC3397"/>
    <w:rsid w:val="00FD4E39"/>
    <w:rsid w:val="00FD5442"/>
    <w:rsid w:val="00FE090F"/>
    <w:rsid w:val="00FE2162"/>
    <w:rsid w:val="00FE4B62"/>
    <w:rsid w:val="00FE52C9"/>
    <w:rsid w:val="00FE5F6A"/>
    <w:rsid w:val="00FE6575"/>
    <w:rsid w:val="00FE6EB1"/>
    <w:rsid w:val="00FF03FC"/>
    <w:rsid w:val="00FF0747"/>
    <w:rsid w:val="00FF211A"/>
    <w:rsid w:val="00FF2EED"/>
    <w:rsid w:val="00FF53D9"/>
    <w:rsid w:val="00FF59D2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944E"/>
  <w15:docId w15:val="{ACD35523-FAE0-4E6B-A458-671E8E33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6C13AC"/>
    <w:pPr>
      <w:numPr>
        <w:numId w:val="1"/>
      </w:numPr>
      <w:tabs>
        <w:tab w:val="left" w:pos="567"/>
        <w:tab w:val="right" w:pos="8931"/>
      </w:tabs>
      <w:spacing w:after="240" w:line="480" w:lineRule="auto"/>
      <w:jc w:val="both"/>
    </w:pPr>
  </w:style>
  <w:style w:type="paragraph" w:customStyle="1" w:styleId="H2">
    <w:name w:val="H2"/>
    <w:basedOn w:val="Normal"/>
    <w:link w:val="H2Char"/>
    <w:qFormat/>
    <w:rsid w:val="006C13AC"/>
    <w:pPr>
      <w:numPr>
        <w:ilvl w:val="1"/>
        <w:numId w:val="1"/>
      </w:numPr>
      <w:tabs>
        <w:tab w:val="left" w:pos="1418"/>
        <w:tab w:val="right" w:pos="8931"/>
      </w:tabs>
      <w:spacing w:after="240" w:line="480" w:lineRule="auto"/>
      <w:jc w:val="both"/>
    </w:pPr>
  </w:style>
  <w:style w:type="character" w:customStyle="1" w:styleId="H1Char">
    <w:name w:val="H1 Char"/>
    <w:basedOn w:val="DefaultParagraphFont"/>
    <w:link w:val="H1"/>
    <w:rsid w:val="006C13AC"/>
    <w:rPr>
      <w:sz w:val="24"/>
      <w:szCs w:val="22"/>
      <w:lang w:val="en-GB" w:eastAsia="en-GB"/>
    </w:rPr>
  </w:style>
  <w:style w:type="paragraph" w:customStyle="1" w:styleId="H3">
    <w:name w:val="H3"/>
    <w:basedOn w:val="Normal"/>
    <w:link w:val="H3Char"/>
    <w:qFormat/>
    <w:rsid w:val="006C13AC"/>
    <w:pPr>
      <w:numPr>
        <w:ilvl w:val="2"/>
        <w:numId w:val="1"/>
      </w:numPr>
      <w:tabs>
        <w:tab w:val="clear" w:pos="1418"/>
        <w:tab w:val="num" w:pos="2268"/>
        <w:tab w:val="right" w:pos="8931"/>
      </w:tabs>
      <w:spacing w:after="240" w:line="480" w:lineRule="auto"/>
      <w:jc w:val="both"/>
    </w:pPr>
  </w:style>
  <w:style w:type="character" w:customStyle="1" w:styleId="H2Char">
    <w:name w:val="H2 Char"/>
    <w:basedOn w:val="DefaultParagraphFont"/>
    <w:link w:val="H2"/>
    <w:rsid w:val="006C13AC"/>
  </w:style>
  <w:style w:type="paragraph" w:customStyle="1" w:styleId="H4">
    <w:name w:val="H4"/>
    <w:basedOn w:val="Normal"/>
    <w:link w:val="H4Char"/>
    <w:qFormat/>
    <w:rsid w:val="000E7485"/>
    <w:pPr>
      <w:numPr>
        <w:ilvl w:val="3"/>
        <w:numId w:val="1"/>
      </w:numPr>
      <w:spacing w:after="240" w:line="480" w:lineRule="auto"/>
      <w:ind w:left="3402" w:hanging="1134"/>
      <w:jc w:val="both"/>
    </w:pPr>
  </w:style>
  <w:style w:type="character" w:customStyle="1" w:styleId="H3Char">
    <w:name w:val="H3 Char"/>
    <w:basedOn w:val="DefaultParagraphFont"/>
    <w:link w:val="H3"/>
    <w:rsid w:val="006C13AC"/>
  </w:style>
  <w:style w:type="paragraph" w:customStyle="1" w:styleId="B1">
    <w:name w:val="B1"/>
    <w:basedOn w:val="H1"/>
    <w:link w:val="B1Char"/>
    <w:qFormat/>
    <w:rsid w:val="006C13AC"/>
    <w:pPr>
      <w:numPr>
        <w:numId w:val="0"/>
      </w:numPr>
      <w:ind w:left="567"/>
    </w:pPr>
  </w:style>
  <w:style w:type="character" w:customStyle="1" w:styleId="H4Char">
    <w:name w:val="H4 Char"/>
    <w:basedOn w:val="DefaultParagraphFont"/>
    <w:link w:val="H4"/>
    <w:rsid w:val="000E7485"/>
  </w:style>
  <w:style w:type="paragraph" w:customStyle="1" w:styleId="B2">
    <w:name w:val="B2"/>
    <w:basedOn w:val="H2"/>
    <w:link w:val="B2Char"/>
    <w:qFormat/>
    <w:rsid w:val="000E7485"/>
    <w:pPr>
      <w:numPr>
        <w:ilvl w:val="0"/>
        <w:numId w:val="0"/>
      </w:numPr>
      <w:ind w:left="1418"/>
    </w:pPr>
  </w:style>
  <w:style w:type="character" w:customStyle="1" w:styleId="B1Char">
    <w:name w:val="B1 Char"/>
    <w:basedOn w:val="H1Char"/>
    <w:link w:val="B1"/>
    <w:rsid w:val="006C13AC"/>
    <w:rPr>
      <w:sz w:val="24"/>
      <w:szCs w:val="22"/>
      <w:lang w:val="en-GB" w:eastAsia="en-GB"/>
    </w:rPr>
  </w:style>
  <w:style w:type="paragraph" w:customStyle="1" w:styleId="B3">
    <w:name w:val="B3"/>
    <w:basedOn w:val="H3"/>
    <w:link w:val="B3Char"/>
    <w:qFormat/>
    <w:rsid w:val="000E7485"/>
    <w:pPr>
      <w:numPr>
        <w:ilvl w:val="0"/>
        <w:numId w:val="0"/>
      </w:numPr>
      <w:ind w:left="2268"/>
    </w:pPr>
  </w:style>
  <w:style w:type="character" w:customStyle="1" w:styleId="B2Char">
    <w:name w:val="B2 Char"/>
    <w:basedOn w:val="H2Char"/>
    <w:link w:val="B2"/>
    <w:rsid w:val="000E7485"/>
  </w:style>
  <w:style w:type="paragraph" w:customStyle="1" w:styleId="B4">
    <w:name w:val="B4"/>
    <w:basedOn w:val="H4"/>
    <w:link w:val="B4Char"/>
    <w:qFormat/>
    <w:rsid w:val="000E7485"/>
    <w:pPr>
      <w:numPr>
        <w:ilvl w:val="0"/>
        <w:numId w:val="0"/>
      </w:numPr>
      <w:ind w:left="3402"/>
    </w:pPr>
  </w:style>
  <w:style w:type="character" w:customStyle="1" w:styleId="B3Char">
    <w:name w:val="B3 Char"/>
    <w:basedOn w:val="H3Char"/>
    <w:link w:val="B3"/>
    <w:rsid w:val="000E7485"/>
  </w:style>
  <w:style w:type="paragraph" w:customStyle="1" w:styleId="Names">
    <w:name w:val="Names"/>
    <w:basedOn w:val="Normal"/>
    <w:link w:val="NamesChar"/>
    <w:qFormat/>
    <w:rsid w:val="008C02A2"/>
    <w:pPr>
      <w:spacing w:line="480" w:lineRule="auto"/>
      <w:jc w:val="both"/>
    </w:pPr>
    <w:rPr>
      <w:b/>
      <w:caps/>
    </w:rPr>
  </w:style>
  <w:style w:type="character" w:customStyle="1" w:styleId="B4Char">
    <w:name w:val="B4 Char"/>
    <w:basedOn w:val="H4Char"/>
    <w:link w:val="B4"/>
    <w:rsid w:val="000E7485"/>
  </w:style>
  <w:style w:type="character" w:customStyle="1" w:styleId="NamesChar">
    <w:name w:val="Names Char"/>
    <w:link w:val="Names"/>
    <w:rsid w:val="008C02A2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0B19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191D"/>
    <w:rPr>
      <w:sz w:val="24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19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191D"/>
    <w:rPr>
      <w:sz w:val="24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12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\Desktop\Documents\Templates\Templates\Affidav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</Template>
  <TotalTime>0</TotalTime>
  <Pages>11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HOME</cp:lastModifiedBy>
  <cp:revision>2</cp:revision>
  <dcterms:created xsi:type="dcterms:W3CDTF">2022-05-27T17:22:00Z</dcterms:created>
  <dcterms:modified xsi:type="dcterms:W3CDTF">2022-05-27T17:22:00Z</dcterms:modified>
</cp:coreProperties>
</file>