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9B681" w14:textId="77777777" w:rsidR="00713B25" w:rsidRDefault="00713B25" w:rsidP="00713B25">
      <w:pPr>
        <w:jc w:val="center"/>
        <w:rPr>
          <w:rFonts w:cs="Arial"/>
          <w:b/>
          <w:color w:val="000000" w:themeColor="text1"/>
          <w:szCs w:val="26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37A021E5" wp14:editId="15411CF2">
            <wp:extent cx="1444625" cy="1274445"/>
            <wp:effectExtent l="0" t="0" r="3175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DA50A" w14:textId="373B7BD0" w:rsidR="00217317" w:rsidRDefault="00202C5E" w:rsidP="00713B25">
      <w:pPr>
        <w:rPr>
          <w:rFonts w:cs="Arial"/>
          <w:b/>
          <w:color w:val="000000" w:themeColor="text1"/>
          <w:szCs w:val="26"/>
        </w:rPr>
      </w:pPr>
      <w:r>
        <w:rPr>
          <w:rFonts w:cs="Arial"/>
          <w:b/>
          <w:color w:val="000000" w:themeColor="text1"/>
          <w:szCs w:val="26"/>
        </w:rPr>
        <w:t>IN THE HIGH COURT OF SOUTH AFRICA</w:t>
      </w:r>
    </w:p>
    <w:p w14:paraId="796B70F6" w14:textId="1233300A" w:rsidR="00202C5E" w:rsidRDefault="00202C5E" w:rsidP="00E6699A">
      <w:pPr>
        <w:jc w:val="both"/>
        <w:rPr>
          <w:rFonts w:cs="Arial"/>
          <w:b/>
          <w:color w:val="000000" w:themeColor="text1"/>
          <w:szCs w:val="26"/>
        </w:rPr>
      </w:pPr>
      <w:r>
        <w:rPr>
          <w:rFonts w:cs="Arial"/>
          <w:b/>
          <w:color w:val="000000" w:themeColor="text1"/>
          <w:szCs w:val="26"/>
        </w:rPr>
        <w:t>EASTERN CAPE LOCAL DIVISION, GQEBERHA</w:t>
      </w:r>
    </w:p>
    <w:p w14:paraId="332FD1B0" w14:textId="6873BC98" w:rsidR="00713B25" w:rsidRPr="00713B25" w:rsidRDefault="00713B25" w:rsidP="00713B25">
      <w:pPr>
        <w:jc w:val="both"/>
        <w:rPr>
          <w:rFonts w:cs="Arial"/>
          <w:b/>
          <w:color w:val="000000" w:themeColor="text1"/>
          <w:szCs w:val="26"/>
        </w:rPr>
      </w:pP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  <w:t xml:space="preserve">                  </w:t>
      </w:r>
      <w:r>
        <w:rPr>
          <w:rFonts w:cs="Arial"/>
          <w:b/>
          <w:color w:val="000000" w:themeColor="text1"/>
          <w:sz w:val="20"/>
          <w:szCs w:val="20"/>
        </w:rPr>
        <w:t xml:space="preserve">REPORTABLE </w:t>
      </w:r>
      <w:r w:rsidRPr="00713B25">
        <w:rPr>
          <w:rFonts w:cs="Arial"/>
          <w:b/>
          <w:color w:val="000000" w:themeColor="text1"/>
          <w:sz w:val="20"/>
          <w:szCs w:val="20"/>
        </w:rPr>
        <w:t>/</w:t>
      </w:r>
      <w:r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713B25">
        <w:rPr>
          <w:rFonts w:cs="Arial"/>
          <w:b/>
          <w:color w:val="000000" w:themeColor="text1"/>
          <w:sz w:val="20"/>
          <w:szCs w:val="20"/>
        </w:rPr>
        <w:t xml:space="preserve">NOT REPORTABLE </w:t>
      </w:r>
    </w:p>
    <w:p w14:paraId="50C6AA00" w14:textId="0FAB2179" w:rsidR="00202C5E" w:rsidRDefault="00202C5E" w:rsidP="00713B25">
      <w:pPr>
        <w:ind w:left="5760" w:firstLine="720"/>
        <w:jc w:val="both"/>
        <w:rPr>
          <w:rFonts w:cs="Arial"/>
          <w:color w:val="000000" w:themeColor="text1"/>
          <w:szCs w:val="26"/>
        </w:rPr>
      </w:pPr>
      <w:r>
        <w:rPr>
          <w:rFonts w:cs="Arial"/>
          <w:color w:val="000000" w:themeColor="text1"/>
          <w:szCs w:val="26"/>
        </w:rPr>
        <w:t>Case No:  695/2021</w:t>
      </w:r>
    </w:p>
    <w:p w14:paraId="224F6573" w14:textId="3B16F620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  <w:r>
        <w:rPr>
          <w:rFonts w:cs="Arial"/>
          <w:color w:val="000000" w:themeColor="text1"/>
          <w:szCs w:val="26"/>
        </w:rPr>
        <w:t>In the matter between:</w:t>
      </w:r>
    </w:p>
    <w:p w14:paraId="5140594D" w14:textId="77777777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</w:p>
    <w:p w14:paraId="08904EF7" w14:textId="475F3517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  <w:r>
        <w:rPr>
          <w:rFonts w:cs="Arial"/>
          <w:b/>
          <w:color w:val="000000" w:themeColor="text1"/>
          <w:szCs w:val="26"/>
        </w:rPr>
        <w:t>BRONSCOR CC</w:t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 w:rsidRPr="00202C5E">
        <w:rPr>
          <w:rFonts w:cs="Arial"/>
          <w:color w:val="000000" w:themeColor="text1"/>
          <w:szCs w:val="26"/>
        </w:rPr>
        <w:t xml:space="preserve">Applicant </w:t>
      </w:r>
    </w:p>
    <w:p w14:paraId="736F5A97" w14:textId="11F3383D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</w:p>
    <w:p w14:paraId="3AC1267F" w14:textId="0834B7FD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  <w:proofErr w:type="gramStart"/>
      <w:r>
        <w:rPr>
          <w:rFonts w:cs="Arial"/>
          <w:color w:val="000000" w:themeColor="text1"/>
          <w:szCs w:val="26"/>
        </w:rPr>
        <w:t>and</w:t>
      </w:r>
      <w:proofErr w:type="gramEnd"/>
    </w:p>
    <w:p w14:paraId="643EE052" w14:textId="1220BE9B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</w:p>
    <w:p w14:paraId="0D3CED58" w14:textId="0C0CE693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  <w:r>
        <w:rPr>
          <w:rFonts w:cs="Arial"/>
          <w:b/>
          <w:color w:val="000000" w:themeColor="text1"/>
          <w:szCs w:val="26"/>
        </w:rPr>
        <w:t>KERRY ALLIN</w:t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  <w:t xml:space="preserve">        </w:t>
      </w:r>
      <w:r>
        <w:rPr>
          <w:rFonts w:cs="Arial"/>
          <w:color w:val="000000" w:themeColor="text1"/>
          <w:szCs w:val="26"/>
        </w:rPr>
        <w:t>First Respondent</w:t>
      </w:r>
    </w:p>
    <w:p w14:paraId="3DF9479B" w14:textId="22C499B1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  <w:r>
        <w:rPr>
          <w:rFonts w:cs="Arial"/>
          <w:b/>
          <w:color w:val="000000" w:themeColor="text1"/>
          <w:szCs w:val="26"/>
        </w:rPr>
        <w:t>STEWARTS AND LLOYDS PROJECTS (PTY) LTD</w:t>
      </w:r>
      <w:r>
        <w:rPr>
          <w:rFonts w:cs="Arial"/>
          <w:b/>
          <w:color w:val="000000" w:themeColor="text1"/>
          <w:szCs w:val="26"/>
        </w:rPr>
        <w:tab/>
        <w:t xml:space="preserve">  </w:t>
      </w:r>
      <w:r>
        <w:rPr>
          <w:rFonts w:cs="Arial"/>
          <w:color w:val="000000" w:themeColor="text1"/>
          <w:szCs w:val="26"/>
        </w:rPr>
        <w:t>Second Respondent</w:t>
      </w:r>
    </w:p>
    <w:p w14:paraId="684ADD1B" w14:textId="1B113A6A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</w:p>
    <w:p w14:paraId="7EFAB3AB" w14:textId="7AECFA78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  <w:r>
        <w:rPr>
          <w:rFonts w:cs="Arial"/>
          <w:color w:val="000000" w:themeColor="text1"/>
          <w:szCs w:val="26"/>
        </w:rPr>
        <w:t>In the matter between:</w:t>
      </w:r>
      <w:r>
        <w:rPr>
          <w:rFonts w:cs="Arial"/>
          <w:color w:val="000000" w:themeColor="text1"/>
          <w:szCs w:val="26"/>
        </w:rPr>
        <w:tab/>
      </w:r>
      <w:r>
        <w:rPr>
          <w:rFonts w:cs="Arial"/>
          <w:color w:val="000000" w:themeColor="text1"/>
          <w:szCs w:val="26"/>
        </w:rPr>
        <w:tab/>
      </w:r>
      <w:r>
        <w:rPr>
          <w:rFonts w:cs="Arial"/>
          <w:color w:val="000000" w:themeColor="text1"/>
          <w:szCs w:val="26"/>
        </w:rPr>
        <w:tab/>
      </w:r>
      <w:r>
        <w:rPr>
          <w:rFonts w:cs="Arial"/>
          <w:color w:val="000000" w:themeColor="text1"/>
          <w:szCs w:val="26"/>
        </w:rPr>
        <w:tab/>
      </w:r>
      <w:r>
        <w:rPr>
          <w:rFonts w:cs="Arial"/>
          <w:color w:val="000000" w:themeColor="text1"/>
          <w:szCs w:val="26"/>
        </w:rPr>
        <w:tab/>
      </w:r>
      <w:r>
        <w:rPr>
          <w:rFonts w:cs="Arial"/>
          <w:color w:val="000000" w:themeColor="text1"/>
          <w:szCs w:val="26"/>
        </w:rPr>
        <w:tab/>
        <w:t>Case No:  852/2021</w:t>
      </w:r>
    </w:p>
    <w:p w14:paraId="198FE40C" w14:textId="402C4EAA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</w:p>
    <w:p w14:paraId="7ED2B356" w14:textId="6866990B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  <w:r>
        <w:rPr>
          <w:rFonts w:cs="Arial"/>
          <w:b/>
          <w:color w:val="000000" w:themeColor="text1"/>
          <w:szCs w:val="26"/>
        </w:rPr>
        <w:t>KERRY ALLIN</w:t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color w:val="000000" w:themeColor="text1"/>
          <w:szCs w:val="26"/>
        </w:rPr>
        <w:t>Applicant</w:t>
      </w:r>
    </w:p>
    <w:p w14:paraId="39B09C2C" w14:textId="47641DAC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</w:p>
    <w:p w14:paraId="66D33995" w14:textId="0083479E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  <w:proofErr w:type="gramStart"/>
      <w:r>
        <w:rPr>
          <w:rFonts w:cs="Arial"/>
          <w:color w:val="000000" w:themeColor="text1"/>
          <w:szCs w:val="26"/>
        </w:rPr>
        <w:t>and</w:t>
      </w:r>
      <w:proofErr w:type="gramEnd"/>
    </w:p>
    <w:p w14:paraId="294AE18B" w14:textId="554F93C0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</w:p>
    <w:p w14:paraId="68E41D5D" w14:textId="38680C1F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  <w:r>
        <w:rPr>
          <w:rFonts w:cs="Arial"/>
          <w:b/>
          <w:color w:val="000000" w:themeColor="text1"/>
          <w:szCs w:val="26"/>
        </w:rPr>
        <w:t>BRONSCOR CC</w:t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</w:r>
      <w:r>
        <w:rPr>
          <w:rFonts w:cs="Arial"/>
          <w:b/>
          <w:color w:val="000000" w:themeColor="text1"/>
          <w:szCs w:val="26"/>
        </w:rPr>
        <w:tab/>
        <w:t xml:space="preserve">     </w:t>
      </w:r>
      <w:r>
        <w:rPr>
          <w:rFonts w:cs="Arial"/>
          <w:color w:val="000000" w:themeColor="text1"/>
          <w:szCs w:val="26"/>
        </w:rPr>
        <w:t>Respondent</w:t>
      </w:r>
    </w:p>
    <w:p w14:paraId="03936A22" w14:textId="0AA5D69C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  <w:r>
        <w:rPr>
          <w:rFonts w:cs="Arial"/>
          <w:color w:val="000000" w:themeColor="text1"/>
          <w:szCs w:val="26"/>
        </w:rPr>
        <w:t>______________________________________________________________</w:t>
      </w:r>
    </w:p>
    <w:p w14:paraId="1726CDE1" w14:textId="270AFA22" w:rsidR="00202C5E" w:rsidRDefault="00202C5E" w:rsidP="00202C5E">
      <w:pPr>
        <w:spacing w:line="360" w:lineRule="auto"/>
        <w:jc w:val="center"/>
        <w:rPr>
          <w:rFonts w:cs="Arial"/>
          <w:b/>
          <w:color w:val="000000" w:themeColor="text1"/>
          <w:szCs w:val="26"/>
        </w:rPr>
      </w:pPr>
      <w:r>
        <w:rPr>
          <w:rFonts w:cs="Arial"/>
          <w:b/>
          <w:color w:val="000000" w:themeColor="text1"/>
          <w:szCs w:val="26"/>
        </w:rPr>
        <w:t>JUDGMENT</w:t>
      </w:r>
    </w:p>
    <w:p w14:paraId="6B2ABD25" w14:textId="2AD06408" w:rsidR="00202C5E" w:rsidRDefault="00202C5E" w:rsidP="00202C5E">
      <w:pPr>
        <w:spacing w:line="360" w:lineRule="auto"/>
        <w:jc w:val="both"/>
        <w:rPr>
          <w:rFonts w:cs="Arial"/>
          <w:color w:val="000000" w:themeColor="text1"/>
          <w:szCs w:val="26"/>
        </w:rPr>
      </w:pPr>
      <w:r>
        <w:rPr>
          <w:rFonts w:cs="Arial"/>
          <w:color w:val="000000" w:themeColor="text1"/>
          <w:szCs w:val="26"/>
        </w:rPr>
        <w:t>______________________________________________________________</w:t>
      </w:r>
    </w:p>
    <w:p w14:paraId="49F9DC65" w14:textId="50E7C271" w:rsidR="00202C5E" w:rsidRPr="00713B25" w:rsidRDefault="00713B25" w:rsidP="00713B25">
      <w:pPr>
        <w:spacing w:line="360" w:lineRule="auto"/>
        <w:jc w:val="both"/>
        <w:rPr>
          <w:rFonts w:cs="Arial"/>
          <w:b/>
          <w:color w:val="000000" w:themeColor="text1"/>
          <w:szCs w:val="26"/>
        </w:rPr>
      </w:pPr>
      <w:r>
        <w:rPr>
          <w:rFonts w:cs="Arial"/>
          <w:b/>
          <w:color w:val="000000" w:themeColor="text1"/>
          <w:szCs w:val="26"/>
        </w:rPr>
        <w:t>DA SILVA AJ:</w:t>
      </w:r>
      <w:r w:rsidR="00202C5E">
        <w:rPr>
          <w:rFonts w:cs="Arial"/>
          <w:color w:val="000000" w:themeColor="text1"/>
          <w:szCs w:val="26"/>
        </w:rPr>
        <w:tab/>
      </w:r>
      <w:r w:rsidR="00202C5E">
        <w:rPr>
          <w:rFonts w:cs="Arial"/>
          <w:color w:val="000000" w:themeColor="text1"/>
          <w:szCs w:val="26"/>
        </w:rPr>
        <w:tab/>
      </w:r>
      <w:r w:rsidR="00202C5E">
        <w:rPr>
          <w:rFonts w:cs="Arial"/>
          <w:color w:val="000000" w:themeColor="text1"/>
          <w:szCs w:val="26"/>
        </w:rPr>
        <w:tab/>
      </w:r>
      <w:r w:rsidR="00202C5E">
        <w:rPr>
          <w:rFonts w:cs="Arial"/>
          <w:color w:val="000000" w:themeColor="text1"/>
          <w:szCs w:val="26"/>
        </w:rPr>
        <w:tab/>
      </w:r>
      <w:r w:rsidR="00202C5E">
        <w:rPr>
          <w:rFonts w:cs="Arial"/>
          <w:color w:val="000000" w:themeColor="text1"/>
          <w:szCs w:val="26"/>
        </w:rPr>
        <w:tab/>
      </w:r>
      <w:r w:rsidR="00202C5E">
        <w:rPr>
          <w:rFonts w:cs="Arial"/>
          <w:color w:val="000000" w:themeColor="text1"/>
          <w:szCs w:val="26"/>
        </w:rPr>
        <w:tab/>
      </w:r>
      <w:r w:rsidR="00202C5E">
        <w:rPr>
          <w:rFonts w:cs="Arial"/>
          <w:color w:val="000000" w:themeColor="text1"/>
          <w:szCs w:val="26"/>
        </w:rPr>
        <w:tab/>
      </w:r>
      <w:r w:rsidR="00202C5E">
        <w:rPr>
          <w:rFonts w:cs="Arial"/>
          <w:color w:val="000000" w:themeColor="text1"/>
          <w:szCs w:val="26"/>
        </w:rPr>
        <w:tab/>
      </w:r>
    </w:p>
    <w:p w14:paraId="3A5F55E6" w14:textId="78110DC2" w:rsidR="00043387" w:rsidRPr="00043387" w:rsidRDefault="00217317" w:rsidP="00043387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r w:rsidRPr="00043387">
        <w:rPr>
          <w:rFonts w:cs="Arial"/>
          <w:color w:val="000000" w:themeColor="text1"/>
          <w:szCs w:val="26"/>
          <w:lang w:val="en-US"/>
        </w:rPr>
        <w:lastRenderedPageBreak/>
        <w:t xml:space="preserve">This judgment concerns itself with the issue of costs as the relief sought under case no. </w:t>
      </w:r>
      <w:r w:rsidR="00D776A9" w:rsidRPr="00043387">
        <w:rPr>
          <w:rFonts w:cs="Arial"/>
          <w:color w:val="000000" w:themeColor="text1"/>
          <w:szCs w:val="26"/>
          <w:lang w:val="en-US"/>
        </w:rPr>
        <w:t>695/2021</w:t>
      </w:r>
      <w:r w:rsidRPr="00043387">
        <w:rPr>
          <w:rFonts w:cs="Arial"/>
          <w:color w:val="000000" w:themeColor="text1"/>
          <w:szCs w:val="26"/>
          <w:lang w:val="en-US"/>
        </w:rPr>
        <w:t xml:space="preserve"> and case no. </w:t>
      </w:r>
      <w:r w:rsidR="00D776A9" w:rsidRPr="00043387">
        <w:rPr>
          <w:rFonts w:cs="Arial"/>
          <w:color w:val="000000" w:themeColor="text1"/>
          <w:szCs w:val="26"/>
          <w:lang w:val="en-US"/>
        </w:rPr>
        <w:t xml:space="preserve">852/2021 </w:t>
      </w:r>
      <w:r w:rsidRPr="00043387">
        <w:rPr>
          <w:rFonts w:cs="Arial"/>
          <w:color w:val="000000" w:themeColor="text1"/>
          <w:szCs w:val="26"/>
          <w:lang w:val="en-US"/>
        </w:rPr>
        <w:t>is now academic. It is trite law that in matters that have since become academic, the issue of costs is determined by having regard to the merits of the matter.</w:t>
      </w:r>
      <w:r w:rsidR="00043387" w:rsidRPr="00043387">
        <w:rPr>
          <w:rStyle w:val="FootnoteReference"/>
          <w:rFonts w:cs="Arial"/>
          <w:color w:val="000000" w:themeColor="text1"/>
          <w:szCs w:val="26"/>
          <w:lang w:val="en-US"/>
        </w:rPr>
        <w:footnoteReference w:id="1"/>
      </w:r>
    </w:p>
    <w:p w14:paraId="227FE348" w14:textId="77777777" w:rsidR="00043387" w:rsidRPr="00043387" w:rsidRDefault="00043387" w:rsidP="00043387">
      <w:pPr>
        <w:pStyle w:val="ListParagraph"/>
        <w:jc w:val="both"/>
        <w:rPr>
          <w:rFonts w:cs="Arial"/>
          <w:color w:val="000000" w:themeColor="text1"/>
          <w:szCs w:val="26"/>
          <w:lang w:val="en-US"/>
        </w:rPr>
      </w:pPr>
    </w:p>
    <w:p w14:paraId="15B1FC0F" w14:textId="3D507F4C" w:rsidR="00043387" w:rsidRPr="00043387" w:rsidRDefault="00043387" w:rsidP="00043387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r w:rsidRPr="00043387">
        <w:rPr>
          <w:rFonts w:eastAsia="Times New Roman" w:cs="Arial"/>
          <w:color w:val="000000" w:themeColor="text1"/>
          <w:szCs w:val="26"/>
          <w:shd w:val="clear" w:color="auto" w:fill="FFFFFF"/>
          <w:lang w:eastAsia="en-GB"/>
        </w:rPr>
        <w:t>Even though the consideration of costs does not always necessitate a full enquiry into the merits in all cases, a judgment for costs involves a decision on the merits and a claim for costs cannot be viewed in isolation.</w:t>
      </w:r>
      <w:r w:rsidRPr="00043387">
        <w:rPr>
          <w:rStyle w:val="FootnoteReference"/>
          <w:rFonts w:eastAsia="Times New Roman" w:cs="Arial"/>
          <w:color w:val="000000" w:themeColor="text1"/>
          <w:szCs w:val="26"/>
          <w:shd w:val="clear" w:color="auto" w:fill="FFFFFF"/>
          <w:lang w:eastAsia="en-GB"/>
        </w:rPr>
        <w:footnoteReference w:id="2"/>
      </w:r>
      <w:r w:rsidRPr="00043387">
        <w:rPr>
          <w:rFonts w:eastAsia="Times New Roman" w:cs="Arial"/>
          <w:color w:val="000000" w:themeColor="text1"/>
          <w:szCs w:val="26"/>
          <w:shd w:val="clear" w:color="auto" w:fill="FFFFFF"/>
          <w:lang w:eastAsia="en-GB"/>
        </w:rPr>
        <w:t xml:space="preserve"> Ordinarily, I would have had to apply my mind to the merits of the application which applicants instituted to see if they would have been successful in such application.</w:t>
      </w:r>
      <w:r w:rsidRPr="00043387">
        <w:rPr>
          <w:rStyle w:val="FootnoteReference"/>
          <w:rFonts w:eastAsia="Times New Roman" w:cs="Arial"/>
          <w:color w:val="000000" w:themeColor="text1"/>
          <w:szCs w:val="26"/>
          <w:shd w:val="clear" w:color="auto" w:fill="FFFFFF"/>
          <w:lang w:eastAsia="en-GB"/>
        </w:rPr>
        <w:footnoteReference w:id="3"/>
      </w:r>
    </w:p>
    <w:p w14:paraId="6DA44A8C" w14:textId="77777777" w:rsidR="00217317" w:rsidRPr="00043387" w:rsidRDefault="00217317" w:rsidP="00E6699A">
      <w:pPr>
        <w:pStyle w:val="ListParagraph"/>
        <w:jc w:val="both"/>
        <w:rPr>
          <w:rFonts w:cs="Arial"/>
          <w:color w:val="000000" w:themeColor="text1"/>
          <w:szCs w:val="26"/>
          <w:lang w:val="en-US"/>
        </w:rPr>
      </w:pPr>
    </w:p>
    <w:p w14:paraId="442229A4" w14:textId="7979DB46" w:rsidR="00217317" w:rsidRPr="00043387" w:rsidRDefault="00217317" w:rsidP="00E6699A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r w:rsidRPr="00043387">
        <w:rPr>
          <w:rFonts w:cs="Arial"/>
          <w:color w:val="000000" w:themeColor="text1"/>
          <w:szCs w:val="26"/>
          <w:lang w:val="en-US"/>
        </w:rPr>
        <w:t>In view of the trite legal principle aforementioned, I shall now proceed to deal with the facts of the two applications that served before me.</w:t>
      </w:r>
    </w:p>
    <w:p w14:paraId="52DE116D" w14:textId="77777777" w:rsidR="00217317" w:rsidRPr="00043387" w:rsidRDefault="00217317" w:rsidP="00E6699A">
      <w:pPr>
        <w:jc w:val="both"/>
        <w:rPr>
          <w:rFonts w:cs="Arial"/>
          <w:color w:val="000000" w:themeColor="text1"/>
          <w:szCs w:val="26"/>
          <w:lang w:val="en-US"/>
        </w:rPr>
      </w:pPr>
    </w:p>
    <w:p w14:paraId="5C00434C" w14:textId="1204423B" w:rsidR="00810EFC" w:rsidRPr="00043387" w:rsidRDefault="00217317" w:rsidP="00E6699A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proofErr w:type="spellStart"/>
      <w:r w:rsidRPr="00043387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Pr="00043387">
        <w:rPr>
          <w:rFonts w:cs="Arial"/>
          <w:color w:val="000000" w:themeColor="text1"/>
          <w:szCs w:val="26"/>
          <w:lang w:val="en-US"/>
        </w:rPr>
        <w:t xml:space="preserve"> CC (the applicant under case no. </w:t>
      </w:r>
      <w:r w:rsidR="00043387">
        <w:rPr>
          <w:rFonts w:cs="Arial"/>
          <w:color w:val="000000" w:themeColor="text1"/>
          <w:szCs w:val="26"/>
          <w:lang w:val="en-US"/>
        </w:rPr>
        <w:t>695/2021</w:t>
      </w:r>
      <w:r w:rsidR="00F6344A" w:rsidRPr="00043387">
        <w:rPr>
          <w:rFonts w:cs="Arial"/>
          <w:color w:val="000000" w:themeColor="text1"/>
          <w:szCs w:val="26"/>
          <w:lang w:val="en-US"/>
        </w:rPr>
        <w:t xml:space="preserve"> (“</w:t>
      </w:r>
      <w:r w:rsidR="00F6344A" w:rsidRPr="00043387">
        <w:rPr>
          <w:rFonts w:cs="Arial"/>
          <w:i/>
          <w:iCs/>
          <w:color w:val="000000" w:themeColor="text1"/>
          <w:szCs w:val="26"/>
          <w:lang w:val="en-US"/>
        </w:rPr>
        <w:t>the main application</w:t>
      </w:r>
      <w:r w:rsidR="00F6344A" w:rsidRPr="00043387">
        <w:rPr>
          <w:rFonts w:cs="Arial"/>
          <w:color w:val="000000" w:themeColor="text1"/>
          <w:szCs w:val="26"/>
          <w:lang w:val="en-US"/>
        </w:rPr>
        <w:t>”)</w:t>
      </w:r>
      <w:r w:rsidR="00043387">
        <w:rPr>
          <w:rFonts w:cs="Arial"/>
          <w:color w:val="000000" w:themeColor="text1"/>
          <w:szCs w:val="26"/>
          <w:lang w:val="en-US"/>
        </w:rPr>
        <w:t>,</w:t>
      </w:r>
      <w:r w:rsidRPr="00043387">
        <w:rPr>
          <w:rFonts w:cs="Arial"/>
          <w:color w:val="000000" w:themeColor="text1"/>
          <w:szCs w:val="26"/>
          <w:lang w:val="en-US"/>
        </w:rPr>
        <w:t xml:space="preserve"> </w:t>
      </w:r>
      <w:r w:rsidR="00043387">
        <w:rPr>
          <w:rFonts w:cs="Arial"/>
          <w:color w:val="000000" w:themeColor="text1"/>
          <w:szCs w:val="26"/>
          <w:lang w:val="en-US"/>
        </w:rPr>
        <w:t>seeks</w:t>
      </w:r>
      <w:r w:rsidRPr="00043387">
        <w:rPr>
          <w:rFonts w:cs="Arial"/>
          <w:color w:val="000000" w:themeColor="text1"/>
          <w:szCs w:val="26"/>
          <w:lang w:val="en-US"/>
        </w:rPr>
        <w:t xml:space="preserve"> to enforce a restraint of trade</w:t>
      </w:r>
      <w:r w:rsidR="00F6344A" w:rsidRPr="00043387">
        <w:rPr>
          <w:rFonts w:cs="Arial"/>
          <w:color w:val="000000" w:themeColor="text1"/>
          <w:szCs w:val="26"/>
          <w:lang w:val="en-US"/>
        </w:rPr>
        <w:t xml:space="preserve"> </w:t>
      </w:r>
      <w:r w:rsidR="00043387">
        <w:rPr>
          <w:rFonts w:cs="Arial"/>
          <w:color w:val="000000" w:themeColor="text1"/>
          <w:szCs w:val="26"/>
          <w:lang w:val="en-US"/>
        </w:rPr>
        <w:t xml:space="preserve">agreement </w:t>
      </w:r>
      <w:r w:rsidR="00F6344A" w:rsidRPr="00043387">
        <w:rPr>
          <w:rFonts w:cs="Arial"/>
          <w:color w:val="000000" w:themeColor="text1"/>
          <w:szCs w:val="26"/>
          <w:lang w:val="en-US"/>
        </w:rPr>
        <w:t>against the first respondent,</w:t>
      </w:r>
      <w:r w:rsidRPr="00043387">
        <w:rPr>
          <w:rFonts w:cs="Arial"/>
          <w:color w:val="000000" w:themeColor="text1"/>
          <w:szCs w:val="26"/>
          <w:lang w:val="en-US"/>
        </w:rPr>
        <w:t xml:space="preserve"> Kerry </w:t>
      </w:r>
      <w:proofErr w:type="spellStart"/>
      <w:r w:rsidRPr="00043387">
        <w:rPr>
          <w:rFonts w:cs="Arial"/>
          <w:color w:val="000000" w:themeColor="text1"/>
          <w:szCs w:val="26"/>
          <w:lang w:val="en-US"/>
        </w:rPr>
        <w:t>Allin</w:t>
      </w:r>
      <w:proofErr w:type="spellEnd"/>
      <w:r w:rsidRPr="00043387">
        <w:rPr>
          <w:rFonts w:cs="Arial"/>
          <w:color w:val="000000" w:themeColor="text1"/>
          <w:szCs w:val="26"/>
          <w:lang w:val="en-US"/>
        </w:rPr>
        <w:t xml:space="preserve"> (hereinafter referred to as “</w:t>
      </w:r>
      <w:proofErr w:type="spellStart"/>
      <w:r w:rsidRPr="00043387">
        <w:rPr>
          <w:rFonts w:cs="Arial"/>
          <w:i/>
          <w:iCs/>
          <w:color w:val="000000" w:themeColor="text1"/>
          <w:szCs w:val="26"/>
          <w:lang w:val="en-US"/>
        </w:rPr>
        <w:t>Allin</w:t>
      </w:r>
      <w:proofErr w:type="spellEnd"/>
      <w:r w:rsidRPr="00043387">
        <w:rPr>
          <w:rFonts w:cs="Arial"/>
          <w:color w:val="000000" w:themeColor="text1"/>
          <w:szCs w:val="26"/>
          <w:lang w:val="en-US"/>
        </w:rPr>
        <w:t xml:space="preserve">”) and </w:t>
      </w:r>
      <w:r w:rsidR="00F6344A" w:rsidRPr="00043387">
        <w:rPr>
          <w:rFonts w:cs="Arial"/>
          <w:color w:val="000000" w:themeColor="text1"/>
          <w:szCs w:val="26"/>
          <w:lang w:val="en-US"/>
        </w:rPr>
        <w:t xml:space="preserve">the </w:t>
      </w:r>
      <w:r w:rsidR="00F6344A" w:rsidRPr="00043387">
        <w:rPr>
          <w:rFonts w:cs="Arial"/>
          <w:color w:val="000000" w:themeColor="text1"/>
          <w:szCs w:val="26"/>
          <w:lang w:val="en-US"/>
        </w:rPr>
        <w:lastRenderedPageBreak/>
        <w:t xml:space="preserve">second respondent, </w:t>
      </w:r>
      <w:r w:rsidRPr="00043387">
        <w:rPr>
          <w:rFonts w:cs="Arial"/>
          <w:color w:val="000000" w:themeColor="text1"/>
          <w:szCs w:val="26"/>
          <w:lang w:val="en-US"/>
        </w:rPr>
        <w:t>Stewarts and Lloyd Projects (Pty) Ltd (hereinafter referred to as “</w:t>
      </w:r>
      <w:r w:rsidRPr="00043387">
        <w:rPr>
          <w:rFonts w:cs="Arial"/>
          <w:i/>
          <w:iCs/>
          <w:color w:val="000000" w:themeColor="text1"/>
          <w:szCs w:val="26"/>
          <w:lang w:val="en-US"/>
        </w:rPr>
        <w:t>the Projects</w:t>
      </w:r>
      <w:r w:rsidRPr="00043387">
        <w:rPr>
          <w:rFonts w:cs="Arial"/>
          <w:color w:val="000000" w:themeColor="text1"/>
          <w:szCs w:val="26"/>
          <w:lang w:val="en-US"/>
        </w:rPr>
        <w:t xml:space="preserve">”). </w:t>
      </w:r>
    </w:p>
    <w:p w14:paraId="2170991C" w14:textId="77777777" w:rsidR="00F6344A" w:rsidRPr="00043387" w:rsidRDefault="00F6344A" w:rsidP="00E6699A">
      <w:pPr>
        <w:pStyle w:val="ListParagraph"/>
        <w:jc w:val="both"/>
        <w:rPr>
          <w:rFonts w:cs="Arial"/>
          <w:color w:val="000000" w:themeColor="text1"/>
          <w:szCs w:val="26"/>
          <w:lang w:val="en-US"/>
        </w:rPr>
      </w:pPr>
    </w:p>
    <w:p w14:paraId="1B18CCAC" w14:textId="786E720C" w:rsidR="00F6344A" w:rsidRPr="00043387" w:rsidRDefault="00F6344A" w:rsidP="00E6699A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proofErr w:type="spellStart"/>
      <w:r w:rsidRPr="00043387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Pr="00043387">
        <w:rPr>
          <w:rFonts w:cs="Arial"/>
          <w:color w:val="000000" w:themeColor="text1"/>
          <w:szCs w:val="26"/>
          <w:lang w:val="en-US"/>
        </w:rPr>
        <w:t xml:space="preserve"> CC contended that </w:t>
      </w:r>
      <w:proofErr w:type="spellStart"/>
      <w:r w:rsidRPr="00043387">
        <w:rPr>
          <w:rFonts w:cs="Arial"/>
          <w:color w:val="000000" w:themeColor="text1"/>
          <w:szCs w:val="26"/>
          <w:lang w:val="en-US"/>
        </w:rPr>
        <w:t>Allin</w:t>
      </w:r>
      <w:proofErr w:type="spellEnd"/>
      <w:r w:rsidRPr="00043387">
        <w:rPr>
          <w:rFonts w:cs="Arial"/>
          <w:color w:val="000000" w:themeColor="text1"/>
          <w:szCs w:val="26"/>
          <w:lang w:val="en-US"/>
        </w:rPr>
        <w:t xml:space="preserve"> and it had concluded a restraint of trade agreement for a period of one (1) year. The restraint of trade did not mention the geographical area to which it was applicable.</w:t>
      </w:r>
    </w:p>
    <w:p w14:paraId="1A0F6F6F" w14:textId="77777777" w:rsidR="00F6344A" w:rsidRPr="00043387" w:rsidRDefault="00F6344A" w:rsidP="00E6699A">
      <w:pPr>
        <w:pStyle w:val="ListParagraph"/>
        <w:jc w:val="both"/>
        <w:rPr>
          <w:rFonts w:cs="Arial"/>
          <w:color w:val="000000" w:themeColor="text1"/>
          <w:szCs w:val="26"/>
          <w:lang w:val="en-US"/>
        </w:rPr>
      </w:pPr>
    </w:p>
    <w:p w14:paraId="785723E7" w14:textId="6FAA84C4" w:rsidR="0031363E" w:rsidRDefault="00F6344A" w:rsidP="00E6699A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proofErr w:type="spellStart"/>
      <w:r w:rsidRPr="00043387">
        <w:rPr>
          <w:rFonts w:cs="Arial"/>
          <w:color w:val="000000" w:themeColor="text1"/>
          <w:szCs w:val="26"/>
          <w:lang w:val="en-US"/>
        </w:rPr>
        <w:t>Allin</w:t>
      </w:r>
      <w:proofErr w:type="spellEnd"/>
      <w:r w:rsidRPr="00043387">
        <w:rPr>
          <w:rFonts w:cs="Arial"/>
          <w:color w:val="000000" w:themeColor="text1"/>
          <w:szCs w:val="26"/>
          <w:lang w:val="en-US"/>
        </w:rPr>
        <w:t xml:space="preserve"> opposed the main application contending</w:t>
      </w:r>
      <w:r w:rsidR="00E6699A" w:rsidRPr="00043387">
        <w:rPr>
          <w:rFonts w:cs="Arial"/>
          <w:color w:val="000000" w:themeColor="text1"/>
          <w:szCs w:val="26"/>
          <w:lang w:val="en-US"/>
        </w:rPr>
        <w:t xml:space="preserve">, </w:t>
      </w:r>
      <w:r w:rsidR="0031363E">
        <w:rPr>
          <w:rFonts w:cs="Arial"/>
          <w:color w:val="000000" w:themeColor="text1"/>
          <w:szCs w:val="26"/>
          <w:lang w:val="en-US"/>
        </w:rPr>
        <w:t>amongst others</w:t>
      </w:r>
      <w:r w:rsidR="00E6699A" w:rsidRPr="00043387">
        <w:rPr>
          <w:rFonts w:cs="Arial"/>
          <w:color w:val="000000" w:themeColor="text1"/>
          <w:szCs w:val="26"/>
          <w:lang w:val="en-US"/>
        </w:rPr>
        <w:t>,</w:t>
      </w:r>
      <w:r w:rsidRPr="00043387">
        <w:rPr>
          <w:rFonts w:cs="Arial"/>
          <w:color w:val="000000" w:themeColor="text1"/>
          <w:szCs w:val="26"/>
          <w:lang w:val="en-US"/>
        </w:rPr>
        <w:t xml:space="preserve"> that</w:t>
      </w:r>
      <w:r w:rsidR="00E6699A" w:rsidRPr="00043387">
        <w:rPr>
          <w:rFonts w:cs="Arial"/>
          <w:color w:val="000000" w:themeColor="text1"/>
          <w:szCs w:val="26"/>
          <w:lang w:val="en-US"/>
        </w:rPr>
        <w:t xml:space="preserve"> </w:t>
      </w:r>
      <w:proofErr w:type="spellStart"/>
      <w:r w:rsidR="00E6699A" w:rsidRPr="00043387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="00E6699A" w:rsidRPr="00043387">
        <w:rPr>
          <w:rFonts w:cs="Arial"/>
          <w:color w:val="000000" w:themeColor="text1"/>
          <w:szCs w:val="26"/>
          <w:lang w:val="en-US"/>
        </w:rPr>
        <w:t xml:space="preserve"> CC is not her employer more particularly that the restraint </w:t>
      </w:r>
      <w:r w:rsidR="00032569" w:rsidRPr="00043387">
        <w:rPr>
          <w:rFonts w:cs="Arial"/>
          <w:color w:val="000000" w:themeColor="text1"/>
          <w:szCs w:val="26"/>
          <w:lang w:val="en-US"/>
        </w:rPr>
        <w:t xml:space="preserve">of trade </w:t>
      </w:r>
      <w:r w:rsidR="00E6699A" w:rsidRPr="00043387">
        <w:rPr>
          <w:rFonts w:cs="Arial"/>
          <w:color w:val="000000" w:themeColor="text1"/>
          <w:szCs w:val="26"/>
          <w:lang w:val="en-US"/>
        </w:rPr>
        <w:t xml:space="preserve">agreement sought to be enforced was entered into between </w:t>
      </w:r>
      <w:proofErr w:type="spellStart"/>
      <w:r w:rsidR="00E6699A" w:rsidRPr="00043387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="00E6699A" w:rsidRPr="00043387">
        <w:rPr>
          <w:rFonts w:cs="Arial"/>
          <w:color w:val="000000" w:themeColor="text1"/>
          <w:szCs w:val="26"/>
          <w:lang w:val="en-US"/>
        </w:rPr>
        <w:t xml:space="preserve"> Group and </w:t>
      </w:r>
      <w:r w:rsidR="00032569" w:rsidRPr="00043387">
        <w:rPr>
          <w:rFonts w:cs="Arial"/>
          <w:color w:val="000000" w:themeColor="text1"/>
          <w:szCs w:val="26"/>
          <w:lang w:val="en-US"/>
        </w:rPr>
        <w:t>her</w:t>
      </w:r>
      <w:r w:rsidR="00E6699A" w:rsidRPr="00043387">
        <w:rPr>
          <w:rFonts w:cs="Arial"/>
          <w:color w:val="000000" w:themeColor="text1"/>
          <w:szCs w:val="26"/>
          <w:lang w:val="en-US"/>
        </w:rPr>
        <w:t>.</w:t>
      </w:r>
      <w:r w:rsidR="0031363E">
        <w:rPr>
          <w:rFonts w:cs="Arial"/>
          <w:color w:val="000000" w:themeColor="text1"/>
          <w:szCs w:val="26"/>
          <w:lang w:val="en-US"/>
        </w:rPr>
        <w:t xml:space="preserve"> As such, </w:t>
      </w:r>
      <w:proofErr w:type="spellStart"/>
      <w:r w:rsidR="0031363E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="0031363E">
        <w:rPr>
          <w:rFonts w:cs="Arial"/>
          <w:color w:val="000000" w:themeColor="text1"/>
          <w:szCs w:val="26"/>
          <w:lang w:val="en-US"/>
        </w:rPr>
        <w:t xml:space="preserve"> CC had not established that it had </w:t>
      </w:r>
      <w:r w:rsidR="0031363E">
        <w:rPr>
          <w:rFonts w:cs="Arial"/>
          <w:i/>
          <w:iCs/>
          <w:color w:val="000000" w:themeColor="text1"/>
          <w:szCs w:val="26"/>
          <w:lang w:val="en-US"/>
        </w:rPr>
        <w:t>locus standi</w:t>
      </w:r>
      <w:r w:rsidR="0031363E">
        <w:rPr>
          <w:rFonts w:cs="Arial"/>
          <w:color w:val="000000" w:themeColor="text1"/>
          <w:szCs w:val="26"/>
          <w:lang w:val="en-US"/>
        </w:rPr>
        <w:t>.</w:t>
      </w:r>
      <w:r w:rsidR="00E6699A" w:rsidRPr="00043387">
        <w:rPr>
          <w:rFonts w:cs="Arial"/>
          <w:color w:val="000000" w:themeColor="text1"/>
          <w:szCs w:val="26"/>
          <w:lang w:val="en-US"/>
        </w:rPr>
        <w:t xml:space="preserve"> </w:t>
      </w:r>
      <w:r w:rsidR="0031363E">
        <w:rPr>
          <w:rFonts w:cs="Arial"/>
          <w:color w:val="000000" w:themeColor="text1"/>
          <w:szCs w:val="26"/>
          <w:lang w:val="en-US"/>
        </w:rPr>
        <w:t xml:space="preserve"> Both </w:t>
      </w:r>
      <w:proofErr w:type="spellStart"/>
      <w:r w:rsidR="0031363E">
        <w:rPr>
          <w:rFonts w:cs="Arial"/>
          <w:color w:val="000000" w:themeColor="text1"/>
          <w:szCs w:val="26"/>
          <w:lang w:val="en-US"/>
        </w:rPr>
        <w:t>Allin</w:t>
      </w:r>
      <w:proofErr w:type="spellEnd"/>
      <w:r w:rsidR="0031363E">
        <w:rPr>
          <w:rFonts w:cs="Arial"/>
          <w:color w:val="000000" w:themeColor="text1"/>
          <w:szCs w:val="26"/>
          <w:lang w:val="en-US"/>
        </w:rPr>
        <w:t xml:space="preserve"> and the Projects also contended that </w:t>
      </w:r>
      <w:proofErr w:type="spellStart"/>
      <w:r w:rsidR="0031363E">
        <w:rPr>
          <w:rFonts w:cs="Arial"/>
          <w:color w:val="000000" w:themeColor="text1"/>
          <w:szCs w:val="26"/>
          <w:lang w:val="en-US"/>
        </w:rPr>
        <w:t>Allin</w:t>
      </w:r>
      <w:proofErr w:type="spellEnd"/>
      <w:r w:rsidR="0031363E">
        <w:rPr>
          <w:rFonts w:cs="Arial"/>
          <w:color w:val="000000" w:themeColor="text1"/>
          <w:szCs w:val="26"/>
          <w:lang w:val="en-US"/>
        </w:rPr>
        <w:t xml:space="preserve"> was employed by Stewarts and Lloyds Holdings (Pty) Ltd (hereinafter referred to as “</w:t>
      </w:r>
      <w:r w:rsidR="0031363E">
        <w:rPr>
          <w:rFonts w:cs="Arial"/>
          <w:i/>
          <w:iCs/>
          <w:color w:val="000000" w:themeColor="text1"/>
          <w:szCs w:val="26"/>
          <w:lang w:val="en-US"/>
        </w:rPr>
        <w:t>the Holdings</w:t>
      </w:r>
      <w:r w:rsidR="0031363E">
        <w:rPr>
          <w:rFonts w:cs="Arial"/>
          <w:color w:val="000000" w:themeColor="text1"/>
          <w:szCs w:val="26"/>
          <w:lang w:val="en-US"/>
        </w:rPr>
        <w:t>”). As such the Holdings was joined as a party to the proceedings.</w:t>
      </w:r>
    </w:p>
    <w:p w14:paraId="42095352" w14:textId="77777777" w:rsidR="0031363E" w:rsidRPr="0031363E" w:rsidRDefault="0031363E" w:rsidP="0031363E">
      <w:pPr>
        <w:pStyle w:val="ListParagraph"/>
        <w:rPr>
          <w:rFonts w:cs="Arial"/>
          <w:color w:val="000000" w:themeColor="text1"/>
          <w:szCs w:val="26"/>
          <w:lang w:val="en-US"/>
        </w:rPr>
      </w:pPr>
    </w:p>
    <w:p w14:paraId="260E9FA6" w14:textId="3384DF88" w:rsidR="00F6344A" w:rsidRPr="00043387" w:rsidRDefault="00E6699A" w:rsidP="00E6699A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r w:rsidRPr="00043387">
        <w:rPr>
          <w:rFonts w:cs="Arial"/>
          <w:color w:val="000000" w:themeColor="text1"/>
          <w:szCs w:val="26"/>
          <w:lang w:val="en-US"/>
        </w:rPr>
        <w:t>In reply to th</w:t>
      </w:r>
      <w:r w:rsidR="0031363E">
        <w:rPr>
          <w:rFonts w:cs="Arial"/>
          <w:color w:val="000000" w:themeColor="text1"/>
          <w:szCs w:val="26"/>
          <w:lang w:val="en-US"/>
        </w:rPr>
        <w:t xml:space="preserve">e contention relating to </w:t>
      </w:r>
      <w:r w:rsidR="0031363E">
        <w:rPr>
          <w:rFonts w:cs="Arial"/>
          <w:i/>
          <w:iCs/>
          <w:color w:val="000000" w:themeColor="text1"/>
          <w:szCs w:val="26"/>
          <w:lang w:val="en-US"/>
        </w:rPr>
        <w:t>locus standi</w:t>
      </w:r>
      <w:r w:rsidRPr="00043387">
        <w:rPr>
          <w:rFonts w:cs="Arial"/>
          <w:color w:val="000000" w:themeColor="text1"/>
          <w:szCs w:val="26"/>
          <w:lang w:val="en-US"/>
        </w:rPr>
        <w:t xml:space="preserve">, </w:t>
      </w:r>
      <w:proofErr w:type="spellStart"/>
      <w:r w:rsidRPr="00043387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Pr="00043387">
        <w:rPr>
          <w:rFonts w:cs="Arial"/>
          <w:color w:val="000000" w:themeColor="text1"/>
          <w:szCs w:val="26"/>
          <w:lang w:val="en-US"/>
        </w:rPr>
        <w:t xml:space="preserve"> CC averred that </w:t>
      </w:r>
      <w:proofErr w:type="spellStart"/>
      <w:r w:rsidRPr="00043387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Pr="00043387">
        <w:rPr>
          <w:rFonts w:cs="Arial"/>
          <w:color w:val="000000" w:themeColor="text1"/>
          <w:szCs w:val="26"/>
          <w:lang w:val="en-US"/>
        </w:rPr>
        <w:t xml:space="preserve"> Group comprised of three legal entities, namely </w:t>
      </w:r>
      <w:proofErr w:type="spellStart"/>
      <w:r w:rsidRPr="00043387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Pr="00043387">
        <w:rPr>
          <w:rFonts w:cs="Arial"/>
          <w:color w:val="000000" w:themeColor="text1"/>
          <w:szCs w:val="26"/>
          <w:lang w:val="en-US"/>
        </w:rPr>
        <w:t xml:space="preserve"> CC, </w:t>
      </w:r>
      <w:proofErr w:type="spellStart"/>
      <w:r w:rsidR="00032569" w:rsidRPr="00043387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="00032569" w:rsidRPr="00043387">
        <w:rPr>
          <w:rFonts w:cs="Arial"/>
          <w:color w:val="000000" w:themeColor="text1"/>
          <w:szCs w:val="26"/>
          <w:lang w:val="en-US"/>
        </w:rPr>
        <w:t xml:space="preserve"> (Pty) Ltd and the municipal tendering division which falls under </w:t>
      </w:r>
      <w:proofErr w:type="spellStart"/>
      <w:r w:rsidR="00032569" w:rsidRPr="00043387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="00032569" w:rsidRPr="00043387">
        <w:rPr>
          <w:rFonts w:cs="Arial"/>
          <w:color w:val="000000" w:themeColor="text1"/>
          <w:szCs w:val="26"/>
          <w:lang w:val="en-US"/>
        </w:rPr>
        <w:t xml:space="preserve"> (Pty) Ltd.</w:t>
      </w:r>
      <w:r w:rsidRPr="00043387">
        <w:rPr>
          <w:rFonts w:cs="Arial"/>
          <w:color w:val="000000" w:themeColor="text1"/>
          <w:szCs w:val="26"/>
          <w:lang w:val="en-US"/>
        </w:rPr>
        <w:t xml:space="preserve"> </w:t>
      </w:r>
      <w:proofErr w:type="spellStart"/>
      <w:r w:rsidR="00032569" w:rsidRPr="00043387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="00032569" w:rsidRPr="00043387">
        <w:rPr>
          <w:rFonts w:cs="Arial"/>
          <w:color w:val="000000" w:themeColor="text1"/>
          <w:szCs w:val="26"/>
          <w:lang w:val="en-US"/>
        </w:rPr>
        <w:t xml:space="preserve"> CC, in reply, also averred that </w:t>
      </w:r>
      <w:proofErr w:type="spellStart"/>
      <w:r w:rsidR="00032569" w:rsidRPr="00043387">
        <w:rPr>
          <w:rFonts w:cs="Arial"/>
          <w:color w:val="000000" w:themeColor="text1"/>
          <w:szCs w:val="26"/>
          <w:lang w:val="en-US"/>
        </w:rPr>
        <w:t>Allin</w:t>
      </w:r>
      <w:proofErr w:type="spellEnd"/>
      <w:r w:rsidR="00032569" w:rsidRPr="00043387">
        <w:rPr>
          <w:rFonts w:cs="Arial"/>
          <w:color w:val="000000" w:themeColor="text1"/>
          <w:szCs w:val="26"/>
          <w:lang w:val="en-US"/>
        </w:rPr>
        <w:t xml:space="preserve"> was paid by </w:t>
      </w:r>
      <w:proofErr w:type="spellStart"/>
      <w:r w:rsidR="00032569" w:rsidRPr="00043387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="00032569" w:rsidRPr="00043387">
        <w:rPr>
          <w:rFonts w:cs="Arial"/>
          <w:color w:val="000000" w:themeColor="text1"/>
          <w:szCs w:val="26"/>
          <w:lang w:val="en-US"/>
        </w:rPr>
        <w:t xml:space="preserve"> CC.</w:t>
      </w:r>
    </w:p>
    <w:p w14:paraId="24F6982D" w14:textId="77777777" w:rsidR="00032569" w:rsidRPr="00043387" w:rsidRDefault="00032569" w:rsidP="00032569">
      <w:pPr>
        <w:pStyle w:val="ListParagraph"/>
        <w:rPr>
          <w:rFonts w:cs="Arial"/>
          <w:color w:val="000000" w:themeColor="text1"/>
          <w:szCs w:val="26"/>
          <w:lang w:val="en-US"/>
        </w:rPr>
      </w:pPr>
    </w:p>
    <w:p w14:paraId="384659EB" w14:textId="4C602787" w:rsidR="00032569" w:rsidRPr="00043387" w:rsidRDefault="00032569" w:rsidP="00E6699A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proofErr w:type="spellStart"/>
      <w:r w:rsidRPr="00043387">
        <w:rPr>
          <w:rFonts w:cs="Arial"/>
          <w:color w:val="000000" w:themeColor="text1"/>
          <w:szCs w:val="26"/>
          <w:lang w:val="en-US"/>
        </w:rPr>
        <w:lastRenderedPageBreak/>
        <w:t>Allin</w:t>
      </w:r>
      <w:proofErr w:type="spellEnd"/>
      <w:r w:rsidRPr="00043387">
        <w:rPr>
          <w:rFonts w:cs="Arial"/>
          <w:color w:val="000000" w:themeColor="text1"/>
          <w:szCs w:val="26"/>
          <w:lang w:val="en-US"/>
        </w:rPr>
        <w:t xml:space="preserve"> also opposed the application on the bas</w:t>
      </w:r>
      <w:r w:rsidR="009E422D" w:rsidRPr="00043387">
        <w:rPr>
          <w:rFonts w:cs="Arial"/>
          <w:color w:val="000000" w:themeColor="text1"/>
          <w:szCs w:val="26"/>
          <w:lang w:val="en-US"/>
        </w:rPr>
        <w:t>i</w:t>
      </w:r>
      <w:r w:rsidRPr="00043387">
        <w:rPr>
          <w:rFonts w:cs="Arial"/>
          <w:color w:val="000000" w:themeColor="text1"/>
          <w:szCs w:val="26"/>
          <w:lang w:val="en-US"/>
        </w:rPr>
        <w:t>s that the restraint of trade agreement was vague and unreasonable.</w:t>
      </w:r>
    </w:p>
    <w:p w14:paraId="3C94E183" w14:textId="77777777" w:rsidR="00032569" w:rsidRPr="00043387" w:rsidRDefault="00032569" w:rsidP="00032569">
      <w:pPr>
        <w:pStyle w:val="ListParagraph"/>
        <w:rPr>
          <w:rFonts w:cs="Arial"/>
          <w:color w:val="000000" w:themeColor="text1"/>
          <w:szCs w:val="26"/>
          <w:lang w:val="en-US"/>
        </w:rPr>
      </w:pPr>
    </w:p>
    <w:p w14:paraId="13303CB0" w14:textId="6E673FFA" w:rsidR="00032569" w:rsidRDefault="00D776A9" w:rsidP="00E6699A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proofErr w:type="spellStart"/>
      <w:r w:rsidRPr="00043387">
        <w:rPr>
          <w:rFonts w:cs="Arial"/>
          <w:color w:val="000000" w:themeColor="text1"/>
          <w:szCs w:val="26"/>
          <w:lang w:val="en-US"/>
        </w:rPr>
        <w:t>Allin</w:t>
      </w:r>
      <w:proofErr w:type="spellEnd"/>
      <w:r w:rsidRPr="00043387">
        <w:rPr>
          <w:rFonts w:cs="Arial"/>
          <w:color w:val="000000" w:themeColor="text1"/>
          <w:szCs w:val="26"/>
          <w:lang w:val="en-US"/>
        </w:rPr>
        <w:t>, in turn, launched an application (case no. 852/2021)</w:t>
      </w:r>
      <w:r w:rsidR="0031363E">
        <w:rPr>
          <w:rFonts w:cs="Arial"/>
          <w:color w:val="000000" w:themeColor="text1"/>
          <w:szCs w:val="26"/>
          <w:lang w:val="en-US"/>
        </w:rPr>
        <w:t xml:space="preserve"> (hereinafter referred to as “</w:t>
      </w:r>
      <w:r w:rsidR="0031363E">
        <w:rPr>
          <w:rFonts w:cs="Arial"/>
          <w:i/>
          <w:iCs/>
          <w:color w:val="000000" w:themeColor="text1"/>
          <w:szCs w:val="26"/>
          <w:lang w:val="en-US"/>
        </w:rPr>
        <w:t xml:space="preserve">the </w:t>
      </w:r>
      <w:r w:rsidR="00884FD5">
        <w:rPr>
          <w:rFonts w:cs="Arial"/>
          <w:i/>
          <w:iCs/>
          <w:color w:val="000000" w:themeColor="text1"/>
          <w:szCs w:val="26"/>
          <w:lang w:val="en-US"/>
        </w:rPr>
        <w:t>second</w:t>
      </w:r>
      <w:r w:rsidR="0031363E">
        <w:rPr>
          <w:rFonts w:cs="Arial"/>
          <w:i/>
          <w:iCs/>
          <w:color w:val="000000" w:themeColor="text1"/>
          <w:szCs w:val="26"/>
          <w:lang w:val="en-US"/>
        </w:rPr>
        <w:t xml:space="preserve"> application</w:t>
      </w:r>
      <w:r w:rsidR="0031363E">
        <w:rPr>
          <w:rFonts w:cs="Arial"/>
          <w:color w:val="000000" w:themeColor="text1"/>
          <w:szCs w:val="26"/>
          <w:lang w:val="en-US"/>
        </w:rPr>
        <w:t>”)</w:t>
      </w:r>
      <w:r w:rsidRPr="00043387">
        <w:rPr>
          <w:rFonts w:cs="Arial"/>
          <w:color w:val="000000" w:themeColor="text1"/>
          <w:szCs w:val="26"/>
          <w:lang w:val="en-US"/>
        </w:rPr>
        <w:t xml:space="preserve"> against </w:t>
      </w:r>
      <w:proofErr w:type="spellStart"/>
      <w:r w:rsidRPr="00043387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Pr="00043387">
        <w:rPr>
          <w:rFonts w:cs="Arial"/>
          <w:color w:val="000000" w:themeColor="text1"/>
          <w:szCs w:val="26"/>
          <w:lang w:val="en-US"/>
        </w:rPr>
        <w:t xml:space="preserve"> CC seeking, in Part A to stay the </w:t>
      </w:r>
      <w:r w:rsidR="0031363E">
        <w:rPr>
          <w:rFonts w:cs="Arial"/>
          <w:color w:val="000000" w:themeColor="text1"/>
          <w:szCs w:val="26"/>
          <w:lang w:val="en-US"/>
        </w:rPr>
        <w:t xml:space="preserve">main application pending the finalization of </w:t>
      </w:r>
      <w:r w:rsidR="00A94025">
        <w:rPr>
          <w:rFonts w:cs="Arial"/>
          <w:color w:val="000000" w:themeColor="text1"/>
          <w:szCs w:val="26"/>
          <w:lang w:val="en-US"/>
        </w:rPr>
        <w:t xml:space="preserve">Part B. In </w:t>
      </w:r>
      <w:r w:rsidR="006E7150">
        <w:rPr>
          <w:rFonts w:cs="Arial"/>
          <w:color w:val="000000" w:themeColor="text1"/>
          <w:szCs w:val="26"/>
          <w:lang w:val="en-US"/>
        </w:rPr>
        <w:t>P</w:t>
      </w:r>
      <w:r w:rsidR="00A94025">
        <w:rPr>
          <w:rFonts w:cs="Arial"/>
          <w:color w:val="000000" w:themeColor="text1"/>
          <w:szCs w:val="26"/>
          <w:lang w:val="en-US"/>
        </w:rPr>
        <w:t xml:space="preserve">art B, </w:t>
      </w:r>
      <w:proofErr w:type="spellStart"/>
      <w:r w:rsidR="00A94025">
        <w:rPr>
          <w:rFonts w:cs="Arial"/>
          <w:color w:val="000000" w:themeColor="text1"/>
          <w:szCs w:val="26"/>
          <w:lang w:val="en-US"/>
        </w:rPr>
        <w:t>Allin</w:t>
      </w:r>
      <w:proofErr w:type="spellEnd"/>
      <w:r w:rsidR="00A94025">
        <w:rPr>
          <w:rFonts w:cs="Arial"/>
          <w:color w:val="000000" w:themeColor="text1"/>
          <w:szCs w:val="26"/>
          <w:lang w:val="en-US"/>
        </w:rPr>
        <w:t xml:space="preserve"> </w:t>
      </w:r>
      <w:r w:rsidR="00884FD5">
        <w:rPr>
          <w:rFonts w:cs="Arial"/>
          <w:color w:val="000000" w:themeColor="text1"/>
          <w:szCs w:val="26"/>
          <w:lang w:val="en-US"/>
        </w:rPr>
        <w:t>sought to set aside the restraint of trade</w:t>
      </w:r>
      <w:r w:rsidR="006E7150">
        <w:rPr>
          <w:rFonts w:cs="Arial"/>
          <w:color w:val="000000" w:themeColor="text1"/>
          <w:szCs w:val="26"/>
          <w:lang w:val="en-US"/>
        </w:rPr>
        <w:t xml:space="preserve"> on the basis of vagueness and unreasonableness</w:t>
      </w:r>
      <w:r w:rsidR="00884FD5">
        <w:rPr>
          <w:rFonts w:cs="Arial"/>
          <w:color w:val="000000" w:themeColor="text1"/>
          <w:szCs w:val="26"/>
          <w:lang w:val="en-US"/>
        </w:rPr>
        <w:t xml:space="preserve">. </w:t>
      </w:r>
      <w:proofErr w:type="spellStart"/>
      <w:r w:rsidR="00884FD5">
        <w:rPr>
          <w:rFonts w:cs="Arial"/>
          <w:color w:val="000000" w:themeColor="text1"/>
          <w:szCs w:val="26"/>
          <w:lang w:val="en-US"/>
        </w:rPr>
        <w:t>Allin</w:t>
      </w:r>
      <w:proofErr w:type="spellEnd"/>
      <w:r w:rsidR="00884FD5">
        <w:rPr>
          <w:rFonts w:cs="Arial"/>
          <w:color w:val="000000" w:themeColor="text1"/>
          <w:szCs w:val="26"/>
          <w:lang w:val="en-US"/>
        </w:rPr>
        <w:t xml:space="preserve"> also averred in the second application that </w:t>
      </w:r>
      <w:proofErr w:type="spellStart"/>
      <w:r w:rsidR="00884FD5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="00884FD5">
        <w:rPr>
          <w:rFonts w:cs="Arial"/>
          <w:color w:val="000000" w:themeColor="text1"/>
          <w:szCs w:val="26"/>
          <w:lang w:val="en-US"/>
        </w:rPr>
        <w:t xml:space="preserve"> CC was not a party to the restraint of trade agreement.</w:t>
      </w:r>
    </w:p>
    <w:p w14:paraId="256DD80C" w14:textId="77777777" w:rsidR="00884FD5" w:rsidRPr="00884FD5" w:rsidRDefault="00884FD5" w:rsidP="00884FD5">
      <w:pPr>
        <w:pStyle w:val="ListParagraph"/>
        <w:rPr>
          <w:rFonts w:cs="Arial"/>
          <w:color w:val="000000" w:themeColor="text1"/>
          <w:szCs w:val="26"/>
          <w:lang w:val="en-US"/>
        </w:rPr>
      </w:pPr>
    </w:p>
    <w:p w14:paraId="0D24A35B" w14:textId="76E6FC8F" w:rsidR="006E7150" w:rsidRPr="006E7150" w:rsidRDefault="00697A27" w:rsidP="006E7150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>T</w:t>
      </w:r>
      <w:r w:rsidR="006E7150">
        <w:rPr>
          <w:rFonts w:cs="Arial"/>
          <w:color w:val="000000" w:themeColor="text1"/>
          <w:szCs w:val="26"/>
          <w:lang w:val="en-US"/>
        </w:rPr>
        <w:t xml:space="preserve">he second application was, in substance, more of a counter application, though not a conditional one. </w:t>
      </w:r>
    </w:p>
    <w:p w14:paraId="7DF46455" w14:textId="77777777" w:rsidR="00032569" w:rsidRPr="00043387" w:rsidRDefault="00032569" w:rsidP="00032569">
      <w:pPr>
        <w:pStyle w:val="ListParagraph"/>
        <w:rPr>
          <w:rFonts w:cs="Arial"/>
          <w:color w:val="000000" w:themeColor="text1"/>
          <w:szCs w:val="26"/>
          <w:lang w:val="en-US"/>
        </w:rPr>
      </w:pPr>
    </w:p>
    <w:p w14:paraId="5CAE692E" w14:textId="371235F8" w:rsidR="001D6C96" w:rsidRDefault="001D6C96" w:rsidP="00E6699A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>Having present</w:t>
      </w:r>
      <w:r w:rsidR="00147D05">
        <w:rPr>
          <w:rFonts w:cs="Arial"/>
          <w:color w:val="000000" w:themeColor="text1"/>
          <w:szCs w:val="26"/>
          <w:lang w:val="en-US"/>
        </w:rPr>
        <w:t>ed the above history, I now turn</w:t>
      </w:r>
      <w:r w:rsidR="00697A27">
        <w:rPr>
          <w:rFonts w:cs="Arial"/>
          <w:color w:val="000000" w:themeColor="text1"/>
          <w:szCs w:val="26"/>
          <w:lang w:val="en-US"/>
        </w:rPr>
        <w:t xml:space="preserve"> to deal with</w:t>
      </w:r>
      <w:r>
        <w:rPr>
          <w:rFonts w:cs="Arial"/>
          <w:color w:val="000000" w:themeColor="text1"/>
          <w:szCs w:val="26"/>
          <w:lang w:val="en-US"/>
        </w:rPr>
        <w:t xml:space="preserve"> the</w:t>
      </w:r>
      <w:r w:rsidR="00147D05">
        <w:rPr>
          <w:rFonts w:cs="Arial"/>
          <w:color w:val="000000" w:themeColor="text1"/>
          <w:szCs w:val="26"/>
          <w:lang w:val="en-US"/>
        </w:rPr>
        <w:t xml:space="preserve"> merits of each of the</w:t>
      </w:r>
      <w:r>
        <w:rPr>
          <w:rFonts w:cs="Arial"/>
          <w:color w:val="000000" w:themeColor="text1"/>
          <w:szCs w:val="26"/>
          <w:lang w:val="en-US"/>
        </w:rPr>
        <w:t xml:space="preserve"> applications.</w:t>
      </w:r>
    </w:p>
    <w:p w14:paraId="2A05FADB" w14:textId="77777777" w:rsidR="001D6C96" w:rsidRPr="001D6C96" w:rsidRDefault="001D6C96" w:rsidP="001D6C96">
      <w:pPr>
        <w:pStyle w:val="ListParagraph"/>
        <w:rPr>
          <w:rFonts w:cs="Arial"/>
          <w:color w:val="000000" w:themeColor="text1"/>
          <w:szCs w:val="26"/>
          <w:lang w:val="en-US"/>
        </w:rPr>
      </w:pPr>
    </w:p>
    <w:p w14:paraId="4D1475C3" w14:textId="6F269B06" w:rsidR="00032569" w:rsidRDefault="001D6C96" w:rsidP="00E6699A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 xml:space="preserve">I am of the view that </w:t>
      </w:r>
      <w:proofErr w:type="spellStart"/>
      <w:r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>
        <w:rPr>
          <w:rFonts w:cs="Arial"/>
          <w:color w:val="000000" w:themeColor="text1"/>
          <w:szCs w:val="26"/>
          <w:lang w:val="en-US"/>
        </w:rPr>
        <w:t xml:space="preserve"> CC has failed to establish its </w:t>
      </w:r>
      <w:r>
        <w:rPr>
          <w:rFonts w:cs="Arial"/>
          <w:i/>
          <w:iCs/>
          <w:color w:val="000000" w:themeColor="text1"/>
          <w:szCs w:val="26"/>
          <w:lang w:val="en-US"/>
        </w:rPr>
        <w:t>locus standi</w:t>
      </w:r>
      <w:r>
        <w:rPr>
          <w:rFonts w:cs="Arial"/>
          <w:color w:val="000000" w:themeColor="text1"/>
          <w:szCs w:val="26"/>
          <w:lang w:val="en-US"/>
        </w:rPr>
        <w:t xml:space="preserve"> in the main application for the reason that it has not satisfactorily proved that it was a party to the restraint of trade agreement. Sight should not be lost of the fact that the agreement was between </w:t>
      </w:r>
      <w:proofErr w:type="spellStart"/>
      <w:r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>
        <w:rPr>
          <w:rFonts w:cs="Arial"/>
          <w:color w:val="000000" w:themeColor="text1"/>
          <w:szCs w:val="26"/>
          <w:lang w:val="en-US"/>
        </w:rPr>
        <w:t xml:space="preserve"> Group and </w:t>
      </w:r>
      <w:proofErr w:type="spellStart"/>
      <w:r>
        <w:rPr>
          <w:rFonts w:cs="Arial"/>
          <w:color w:val="000000" w:themeColor="text1"/>
          <w:szCs w:val="26"/>
          <w:lang w:val="en-US"/>
        </w:rPr>
        <w:t>Allin</w:t>
      </w:r>
      <w:proofErr w:type="spellEnd"/>
      <w:r>
        <w:rPr>
          <w:rFonts w:cs="Arial"/>
          <w:color w:val="000000" w:themeColor="text1"/>
          <w:szCs w:val="26"/>
          <w:lang w:val="en-US"/>
        </w:rPr>
        <w:t xml:space="preserve">. Having made this finding, I deem that it is unnecessary for me to deal </w:t>
      </w:r>
      <w:r>
        <w:rPr>
          <w:rFonts w:cs="Arial"/>
          <w:color w:val="000000" w:themeColor="text1"/>
          <w:szCs w:val="26"/>
          <w:lang w:val="en-US"/>
        </w:rPr>
        <w:lastRenderedPageBreak/>
        <w:t>with the merits of the enforceability of the</w:t>
      </w:r>
      <w:r w:rsidR="00032569" w:rsidRPr="00043387">
        <w:rPr>
          <w:rFonts w:cs="Arial"/>
          <w:color w:val="000000" w:themeColor="text1"/>
          <w:szCs w:val="26"/>
          <w:lang w:val="en-US"/>
        </w:rPr>
        <w:t xml:space="preserve"> </w:t>
      </w:r>
      <w:r>
        <w:rPr>
          <w:rFonts w:cs="Arial"/>
          <w:color w:val="000000" w:themeColor="text1"/>
          <w:szCs w:val="26"/>
          <w:lang w:val="en-US"/>
        </w:rPr>
        <w:t xml:space="preserve">restraint of trade agreement at the instance of </w:t>
      </w:r>
      <w:proofErr w:type="spellStart"/>
      <w:r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>
        <w:rPr>
          <w:rFonts w:cs="Arial"/>
          <w:color w:val="000000" w:themeColor="text1"/>
          <w:szCs w:val="26"/>
          <w:lang w:val="en-US"/>
        </w:rPr>
        <w:t xml:space="preserve"> CC.</w:t>
      </w:r>
    </w:p>
    <w:p w14:paraId="688C739F" w14:textId="77777777" w:rsidR="001D6C96" w:rsidRPr="001D6C96" w:rsidRDefault="001D6C96" w:rsidP="001D6C96">
      <w:pPr>
        <w:pStyle w:val="ListParagraph"/>
        <w:rPr>
          <w:rFonts w:cs="Arial"/>
          <w:color w:val="000000" w:themeColor="text1"/>
          <w:szCs w:val="26"/>
          <w:lang w:val="en-US"/>
        </w:rPr>
      </w:pPr>
    </w:p>
    <w:p w14:paraId="37162B6B" w14:textId="01E501DD" w:rsidR="001D6C96" w:rsidRDefault="001D6C96" w:rsidP="00E6699A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>Thus, regard being had to the above, the main application falls to be dismissed.</w:t>
      </w:r>
    </w:p>
    <w:p w14:paraId="13ECF133" w14:textId="77777777" w:rsidR="001D6C96" w:rsidRPr="001D6C96" w:rsidRDefault="001D6C96" w:rsidP="001D6C96">
      <w:pPr>
        <w:pStyle w:val="ListParagraph"/>
        <w:rPr>
          <w:rFonts w:cs="Arial"/>
          <w:color w:val="000000" w:themeColor="text1"/>
          <w:szCs w:val="26"/>
          <w:lang w:val="en-US"/>
        </w:rPr>
      </w:pPr>
    </w:p>
    <w:p w14:paraId="2634A5BE" w14:textId="7E06B5FE" w:rsidR="0066747D" w:rsidRDefault="001D6C96" w:rsidP="00E6699A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>What of the second application</w:t>
      </w:r>
      <w:r w:rsidR="0066747D">
        <w:rPr>
          <w:rFonts w:cs="Arial"/>
          <w:color w:val="000000" w:themeColor="text1"/>
          <w:szCs w:val="26"/>
          <w:lang w:val="en-US"/>
        </w:rPr>
        <w:t>?</w:t>
      </w:r>
      <w:r>
        <w:rPr>
          <w:rFonts w:cs="Arial"/>
          <w:color w:val="000000" w:themeColor="text1"/>
          <w:szCs w:val="26"/>
          <w:lang w:val="en-US"/>
        </w:rPr>
        <w:t xml:space="preserve"> In view thereof that the second application </w:t>
      </w:r>
      <w:r w:rsidR="0066747D">
        <w:rPr>
          <w:rFonts w:cs="Arial"/>
          <w:color w:val="000000" w:themeColor="text1"/>
          <w:szCs w:val="26"/>
          <w:lang w:val="en-US"/>
        </w:rPr>
        <w:t xml:space="preserve">was against </w:t>
      </w:r>
      <w:proofErr w:type="spellStart"/>
      <w:r w:rsidR="0066747D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="0066747D">
        <w:rPr>
          <w:rFonts w:cs="Arial"/>
          <w:color w:val="000000" w:themeColor="text1"/>
          <w:szCs w:val="26"/>
          <w:lang w:val="en-US"/>
        </w:rPr>
        <w:t xml:space="preserve"> CC, whom </w:t>
      </w:r>
      <w:proofErr w:type="spellStart"/>
      <w:r w:rsidR="0066747D">
        <w:rPr>
          <w:rFonts w:cs="Arial"/>
          <w:color w:val="000000" w:themeColor="text1"/>
          <w:szCs w:val="26"/>
          <w:lang w:val="en-US"/>
        </w:rPr>
        <w:t>Allin</w:t>
      </w:r>
      <w:proofErr w:type="spellEnd"/>
      <w:r w:rsidR="0066747D">
        <w:rPr>
          <w:rFonts w:cs="Arial"/>
          <w:color w:val="000000" w:themeColor="text1"/>
          <w:szCs w:val="26"/>
          <w:lang w:val="en-US"/>
        </w:rPr>
        <w:t xml:space="preserve"> alleged was not party to the restraint of trad</w:t>
      </w:r>
      <w:r w:rsidR="00D006A1">
        <w:rPr>
          <w:rFonts w:cs="Arial"/>
          <w:color w:val="000000" w:themeColor="text1"/>
          <w:szCs w:val="26"/>
          <w:lang w:val="en-US"/>
        </w:rPr>
        <w:t xml:space="preserve">e agreement, </w:t>
      </w:r>
      <w:r w:rsidR="0066747D">
        <w:rPr>
          <w:rFonts w:cs="Arial"/>
          <w:color w:val="000000" w:themeColor="text1"/>
          <w:szCs w:val="26"/>
          <w:lang w:val="en-US"/>
        </w:rPr>
        <w:t xml:space="preserve">it stands to reason that </w:t>
      </w:r>
      <w:proofErr w:type="spellStart"/>
      <w:r w:rsidR="0066747D">
        <w:rPr>
          <w:rFonts w:cs="Arial"/>
          <w:color w:val="000000" w:themeColor="text1"/>
          <w:szCs w:val="26"/>
          <w:lang w:val="en-US"/>
        </w:rPr>
        <w:t>Allin</w:t>
      </w:r>
      <w:proofErr w:type="spellEnd"/>
      <w:r w:rsidR="0066747D">
        <w:rPr>
          <w:rFonts w:cs="Arial"/>
          <w:color w:val="000000" w:themeColor="text1"/>
          <w:szCs w:val="26"/>
          <w:lang w:val="en-US"/>
        </w:rPr>
        <w:t xml:space="preserve">, too, has failed to establish that </w:t>
      </w:r>
      <w:proofErr w:type="spellStart"/>
      <w:r w:rsidR="0066747D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="0066747D">
        <w:rPr>
          <w:rFonts w:cs="Arial"/>
          <w:color w:val="000000" w:themeColor="text1"/>
          <w:szCs w:val="26"/>
          <w:lang w:val="en-US"/>
        </w:rPr>
        <w:t xml:space="preserve"> CC has </w:t>
      </w:r>
      <w:r w:rsidR="0066747D">
        <w:rPr>
          <w:rFonts w:cs="Arial"/>
          <w:i/>
          <w:iCs/>
          <w:color w:val="000000" w:themeColor="text1"/>
          <w:szCs w:val="26"/>
          <w:lang w:val="en-US"/>
        </w:rPr>
        <w:t>locus standi</w:t>
      </w:r>
      <w:r w:rsidR="0066747D">
        <w:rPr>
          <w:rFonts w:cs="Arial"/>
          <w:color w:val="000000" w:themeColor="text1"/>
          <w:szCs w:val="26"/>
          <w:lang w:val="en-US"/>
        </w:rPr>
        <w:t xml:space="preserve"> in the second application</w:t>
      </w:r>
      <w:r w:rsidR="007868CF">
        <w:rPr>
          <w:rFonts w:cs="Arial"/>
          <w:color w:val="000000" w:themeColor="text1"/>
          <w:szCs w:val="26"/>
          <w:lang w:val="en-US"/>
        </w:rPr>
        <w:t xml:space="preserve">, especially if regard is had to the fact that </w:t>
      </w:r>
      <w:proofErr w:type="spellStart"/>
      <w:r w:rsidR="007868CF">
        <w:rPr>
          <w:rFonts w:cs="Arial"/>
          <w:color w:val="000000" w:themeColor="text1"/>
          <w:szCs w:val="26"/>
          <w:lang w:val="en-US"/>
        </w:rPr>
        <w:t>Allin</w:t>
      </w:r>
      <w:proofErr w:type="spellEnd"/>
      <w:r w:rsidR="007868CF">
        <w:rPr>
          <w:rFonts w:cs="Arial"/>
          <w:color w:val="000000" w:themeColor="text1"/>
          <w:szCs w:val="26"/>
          <w:lang w:val="en-US"/>
        </w:rPr>
        <w:t xml:space="preserve"> alleges that the restraint of trade agreement as between her and </w:t>
      </w:r>
      <w:proofErr w:type="spellStart"/>
      <w:r w:rsidR="007868CF">
        <w:rPr>
          <w:rFonts w:cs="Arial"/>
          <w:color w:val="000000" w:themeColor="text1"/>
          <w:szCs w:val="26"/>
          <w:lang w:val="en-US"/>
        </w:rPr>
        <w:t>Bronscor</w:t>
      </w:r>
      <w:proofErr w:type="spellEnd"/>
      <w:r w:rsidR="007868CF">
        <w:rPr>
          <w:rFonts w:cs="Arial"/>
          <w:color w:val="000000" w:themeColor="text1"/>
          <w:szCs w:val="26"/>
          <w:lang w:val="en-US"/>
        </w:rPr>
        <w:t xml:space="preserve"> Group</w:t>
      </w:r>
      <w:r w:rsidR="0066747D">
        <w:rPr>
          <w:rFonts w:cs="Arial"/>
          <w:color w:val="000000" w:themeColor="text1"/>
          <w:szCs w:val="26"/>
          <w:lang w:val="en-US"/>
        </w:rPr>
        <w:t>.</w:t>
      </w:r>
      <w:r w:rsidR="00537878">
        <w:rPr>
          <w:rFonts w:cs="Arial"/>
          <w:color w:val="000000" w:themeColor="text1"/>
          <w:szCs w:val="26"/>
          <w:lang w:val="en-US"/>
        </w:rPr>
        <w:t xml:space="preserve"> As such, the second applica</w:t>
      </w:r>
      <w:r w:rsidR="004A5E7F">
        <w:rPr>
          <w:rFonts w:cs="Arial"/>
          <w:color w:val="000000" w:themeColor="text1"/>
          <w:szCs w:val="26"/>
          <w:lang w:val="en-US"/>
        </w:rPr>
        <w:t>tion also falls to be dismissed.</w:t>
      </w:r>
    </w:p>
    <w:p w14:paraId="4CC72CC9" w14:textId="77777777" w:rsidR="0066747D" w:rsidRPr="0066747D" w:rsidRDefault="0066747D" w:rsidP="0066747D">
      <w:pPr>
        <w:pStyle w:val="ListParagraph"/>
        <w:rPr>
          <w:rFonts w:cs="Arial"/>
          <w:color w:val="000000" w:themeColor="text1"/>
          <w:szCs w:val="26"/>
          <w:lang w:val="en-US"/>
        </w:rPr>
      </w:pPr>
    </w:p>
    <w:p w14:paraId="35FFCD4B" w14:textId="3426F0C2" w:rsidR="00537878" w:rsidRDefault="00537878" w:rsidP="00E6699A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>What of the issue of</w:t>
      </w:r>
      <w:r w:rsidR="00D006A1">
        <w:rPr>
          <w:rFonts w:cs="Arial"/>
          <w:color w:val="000000" w:themeColor="text1"/>
          <w:szCs w:val="26"/>
          <w:lang w:val="en-US"/>
        </w:rPr>
        <w:t xml:space="preserve"> costs of the respecti</w:t>
      </w:r>
      <w:r w:rsidR="004A5E7F">
        <w:rPr>
          <w:rFonts w:cs="Arial"/>
          <w:color w:val="000000" w:themeColor="text1"/>
          <w:szCs w:val="26"/>
          <w:lang w:val="en-US"/>
        </w:rPr>
        <w:t>ve relief sought by the parties?</w:t>
      </w:r>
      <w:r w:rsidR="00D006A1">
        <w:rPr>
          <w:rFonts w:cs="Arial"/>
          <w:color w:val="000000" w:themeColor="text1"/>
          <w:szCs w:val="26"/>
          <w:lang w:val="en-US"/>
        </w:rPr>
        <w:t xml:space="preserve">  </w:t>
      </w:r>
    </w:p>
    <w:p w14:paraId="317377A9" w14:textId="77777777" w:rsidR="00537878" w:rsidRPr="00537878" w:rsidRDefault="00537878" w:rsidP="00537878">
      <w:pPr>
        <w:pStyle w:val="ListParagraph"/>
        <w:rPr>
          <w:rFonts w:cs="Arial"/>
          <w:color w:val="000000" w:themeColor="text1"/>
          <w:szCs w:val="26"/>
          <w:lang w:val="en-US"/>
        </w:rPr>
      </w:pPr>
    </w:p>
    <w:p w14:paraId="6AA55101" w14:textId="55F8F9E7" w:rsidR="00537878" w:rsidRDefault="00537878" w:rsidP="00E6699A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 xml:space="preserve">Regard being had to the above, namely that both </w:t>
      </w:r>
      <w:r w:rsidRPr="0090713D">
        <w:rPr>
          <w:rFonts w:cs="Arial"/>
          <w:color w:val="000000" w:themeColor="text1"/>
          <w:szCs w:val="26"/>
          <w:lang w:val="en-US"/>
        </w:rPr>
        <w:t>application</w:t>
      </w:r>
      <w:r w:rsidR="00D006A1" w:rsidRPr="0090713D">
        <w:rPr>
          <w:rFonts w:cs="Arial"/>
          <w:color w:val="000000" w:themeColor="text1"/>
          <w:szCs w:val="26"/>
          <w:lang w:val="en-US"/>
        </w:rPr>
        <w:t>s</w:t>
      </w:r>
      <w:r w:rsidR="0090713D">
        <w:rPr>
          <w:rFonts w:cs="Arial"/>
          <w:color w:val="000000" w:themeColor="text1"/>
          <w:szCs w:val="26"/>
          <w:lang w:val="en-US"/>
        </w:rPr>
        <w:t xml:space="preserve"> would have fallen</w:t>
      </w:r>
      <w:r w:rsidR="00D006A1">
        <w:rPr>
          <w:rFonts w:cs="Arial"/>
          <w:color w:val="000000" w:themeColor="text1"/>
          <w:szCs w:val="26"/>
          <w:lang w:val="en-US"/>
        </w:rPr>
        <w:t xml:space="preserve"> to be dismissed</w:t>
      </w:r>
      <w:r w:rsidR="00697A27">
        <w:rPr>
          <w:rFonts w:cs="Arial"/>
          <w:color w:val="000000" w:themeColor="text1"/>
          <w:szCs w:val="26"/>
          <w:lang w:val="en-US"/>
        </w:rPr>
        <w:t xml:space="preserve"> f</w:t>
      </w:r>
      <w:r w:rsidR="00D006A1">
        <w:rPr>
          <w:rFonts w:cs="Arial"/>
          <w:color w:val="000000" w:themeColor="text1"/>
          <w:szCs w:val="26"/>
          <w:lang w:val="en-US"/>
        </w:rPr>
        <w:t xml:space="preserve">or lack of </w:t>
      </w:r>
      <w:r w:rsidR="00D006A1">
        <w:rPr>
          <w:rFonts w:cs="Arial"/>
          <w:i/>
          <w:color w:val="000000" w:themeColor="text1"/>
          <w:szCs w:val="26"/>
          <w:lang w:val="en-US"/>
        </w:rPr>
        <w:t>locus</w:t>
      </w:r>
      <w:r w:rsidR="00697A27">
        <w:rPr>
          <w:rFonts w:cs="Arial"/>
          <w:i/>
          <w:color w:val="000000" w:themeColor="text1"/>
          <w:szCs w:val="26"/>
          <w:lang w:val="en-US"/>
        </w:rPr>
        <w:t xml:space="preserve"> standi</w:t>
      </w:r>
      <w:r w:rsidR="0090713D">
        <w:rPr>
          <w:rFonts w:cs="Arial"/>
          <w:color w:val="000000" w:themeColor="text1"/>
          <w:szCs w:val="26"/>
          <w:lang w:val="en-US"/>
        </w:rPr>
        <w:t xml:space="preserve">, </w:t>
      </w:r>
      <w:r>
        <w:rPr>
          <w:rFonts w:cs="Arial"/>
          <w:color w:val="000000" w:themeColor="text1"/>
          <w:szCs w:val="26"/>
          <w:lang w:val="en-US"/>
        </w:rPr>
        <w:t>I am of the view that each party should pay their own costs.</w:t>
      </w:r>
    </w:p>
    <w:p w14:paraId="632170DF" w14:textId="77777777" w:rsidR="00537878" w:rsidRPr="00537878" w:rsidRDefault="00537878" w:rsidP="00537878">
      <w:pPr>
        <w:pStyle w:val="ListParagraph"/>
        <w:rPr>
          <w:rFonts w:cs="Arial"/>
          <w:color w:val="000000" w:themeColor="text1"/>
          <w:szCs w:val="26"/>
          <w:lang w:val="en-US"/>
        </w:rPr>
      </w:pPr>
    </w:p>
    <w:p w14:paraId="283D4EAE" w14:textId="77777777" w:rsidR="00537878" w:rsidRDefault="00537878" w:rsidP="00E6699A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>I thus make the following order:</w:t>
      </w:r>
    </w:p>
    <w:p w14:paraId="53002B86" w14:textId="77777777" w:rsidR="00537878" w:rsidRPr="00537878" w:rsidRDefault="00537878" w:rsidP="00537878">
      <w:pPr>
        <w:pStyle w:val="ListParagraph"/>
        <w:rPr>
          <w:rFonts w:cs="Arial"/>
          <w:color w:val="000000" w:themeColor="text1"/>
          <w:szCs w:val="26"/>
          <w:lang w:val="en-US"/>
        </w:rPr>
      </w:pPr>
    </w:p>
    <w:p w14:paraId="4295650C" w14:textId="77777777" w:rsidR="00494BC9" w:rsidRDefault="00537878" w:rsidP="00537878">
      <w:pPr>
        <w:pStyle w:val="ListParagraph"/>
        <w:numPr>
          <w:ilvl w:val="0"/>
          <w:numId w:val="2"/>
        </w:numPr>
        <w:ind w:left="1418" w:hanging="698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lastRenderedPageBreak/>
        <w:t>Each party is directed to pay their own costs in respect of the applications under case no. 695/2021 and 852/2021.</w:t>
      </w:r>
    </w:p>
    <w:p w14:paraId="2A17C3FF" w14:textId="77777777" w:rsidR="00494BC9" w:rsidRDefault="00494BC9" w:rsidP="00494BC9">
      <w:pPr>
        <w:ind w:left="720"/>
        <w:jc w:val="both"/>
        <w:rPr>
          <w:rFonts w:cs="Arial"/>
          <w:color w:val="000000" w:themeColor="text1"/>
          <w:szCs w:val="26"/>
          <w:lang w:val="en-US"/>
        </w:rPr>
      </w:pPr>
    </w:p>
    <w:p w14:paraId="247D3293" w14:textId="568A203F" w:rsidR="00494BC9" w:rsidRDefault="00494BC9" w:rsidP="00494BC9">
      <w:pPr>
        <w:ind w:left="720"/>
        <w:jc w:val="both"/>
        <w:rPr>
          <w:rFonts w:cs="Arial"/>
          <w:color w:val="000000" w:themeColor="text1"/>
          <w:szCs w:val="26"/>
          <w:lang w:val="en-US"/>
        </w:rPr>
      </w:pPr>
    </w:p>
    <w:p w14:paraId="0C03E316" w14:textId="523808F1" w:rsidR="0090713D" w:rsidRDefault="0090713D" w:rsidP="00494BC9">
      <w:pPr>
        <w:ind w:left="720"/>
        <w:jc w:val="both"/>
        <w:rPr>
          <w:rFonts w:cs="Arial"/>
          <w:color w:val="000000" w:themeColor="text1"/>
          <w:szCs w:val="26"/>
          <w:lang w:val="en-US"/>
        </w:rPr>
      </w:pPr>
    </w:p>
    <w:p w14:paraId="4ABBF831" w14:textId="77777777" w:rsidR="0090713D" w:rsidRDefault="0090713D" w:rsidP="00494BC9">
      <w:pPr>
        <w:ind w:left="720"/>
        <w:jc w:val="both"/>
        <w:rPr>
          <w:rFonts w:cs="Arial"/>
          <w:color w:val="000000" w:themeColor="text1"/>
          <w:szCs w:val="26"/>
          <w:lang w:val="en-US"/>
        </w:rPr>
      </w:pPr>
    </w:p>
    <w:p w14:paraId="4DD8E836" w14:textId="77777777" w:rsidR="00494BC9" w:rsidRDefault="00494BC9" w:rsidP="00494BC9">
      <w:pPr>
        <w:spacing w:line="24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>______________________</w:t>
      </w:r>
    </w:p>
    <w:p w14:paraId="4BCB486C" w14:textId="77777777" w:rsidR="00494BC9" w:rsidRPr="00494BC9" w:rsidRDefault="00494BC9" w:rsidP="00494BC9">
      <w:pPr>
        <w:spacing w:line="240" w:lineRule="auto"/>
        <w:ind w:left="720"/>
        <w:jc w:val="both"/>
        <w:rPr>
          <w:rFonts w:cs="Arial"/>
          <w:b/>
          <w:color w:val="000000" w:themeColor="text1"/>
          <w:szCs w:val="26"/>
          <w:lang w:val="en-US"/>
        </w:rPr>
      </w:pPr>
      <w:r w:rsidRPr="00494BC9">
        <w:rPr>
          <w:rFonts w:cs="Arial"/>
          <w:b/>
          <w:color w:val="000000" w:themeColor="text1"/>
          <w:szCs w:val="26"/>
          <w:lang w:val="en-US"/>
        </w:rPr>
        <w:t>AM DA SILVA</w:t>
      </w:r>
    </w:p>
    <w:p w14:paraId="139705A7" w14:textId="4DADDF0A" w:rsidR="00537878" w:rsidRDefault="00494BC9" w:rsidP="00494BC9">
      <w:pPr>
        <w:spacing w:line="240" w:lineRule="auto"/>
        <w:ind w:left="720"/>
        <w:jc w:val="both"/>
        <w:rPr>
          <w:rFonts w:cs="Arial"/>
          <w:b/>
          <w:color w:val="000000" w:themeColor="text1"/>
          <w:szCs w:val="26"/>
          <w:lang w:val="en-US"/>
        </w:rPr>
      </w:pPr>
      <w:r w:rsidRPr="00494BC9">
        <w:rPr>
          <w:rFonts w:cs="Arial"/>
          <w:b/>
          <w:color w:val="000000" w:themeColor="text1"/>
          <w:szCs w:val="26"/>
          <w:lang w:val="en-US"/>
        </w:rPr>
        <w:t xml:space="preserve">Acting Judge of the High Court </w:t>
      </w:r>
      <w:r w:rsidR="00537878" w:rsidRPr="00494BC9">
        <w:rPr>
          <w:rFonts w:cs="Arial"/>
          <w:b/>
          <w:color w:val="000000" w:themeColor="text1"/>
          <w:szCs w:val="26"/>
          <w:lang w:val="en-US"/>
        </w:rPr>
        <w:t xml:space="preserve"> </w:t>
      </w:r>
    </w:p>
    <w:p w14:paraId="66830763" w14:textId="038773C5" w:rsidR="00494BC9" w:rsidRDefault="00494BC9" w:rsidP="00494BC9">
      <w:pPr>
        <w:spacing w:line="240" w:lineRule="auto"/>
        <w:ind w:left="720"/>
        <w:jc w:val="both"/>
        <w:rPr>
          <w:rFonts w:cs="Arial"/>
          <w:b/>
          <w:color w:val="000000" w:themeColor="text1"/>
          <w:szCs w:val="26"/>
          <w:lang w:val="en-US"/>
        </w:rPr>
      </w:pPr>
    </w:p>
    <w:p w14:paraId="7E70F626" w14:textId="4EA008BD" w:rsidR="00494BC9" w:rsidRDefault="00494BC9" w:rsidP="00494BC9">
      <w:pPr>
        <w:spacing w:line="240" w:lineRule="auto"/>
        <w:ind w:left="720"/>
        <w:jc w:val="both"/>
        <w:rPr>
          <w:rFonts w:cs="Arial"/>
          <w:b/>
          <w:color w:val="000000" w:themeColor="text1"/>
          <w:szCs w:val="26"/>
          <w:lang w:val="en-US"/>
        </w:rPr>
      </w:pPr>
    </w:p>
    <w:p w14:paraId="6C7C1B17" w14:textId="702838CA" w:rsidR="00494BC9" w:rsidRDefault="00494BC9" w:rsidP="00494BC9">
      <w:pPr>
        <w:spacing w:line="240" w:lineRule="auto"/>
        <w:ind w:left="720"/>
        <w:jc w:val="both"/>
        <w:rPr>
          <w:rFonts w:cs="Arial"/>
          <w:b/>
          <w:color w:val="000000" w:themeColor="text1"/>
          <w:szCs w:val="26"/>
          <w:lang w:val="en-US"/>
        </w:rPr>
      </w:pPr>
    </w:p>
    <w:p w14:paraId="52178BE7" w14:textId="5BCD72C7" w:rsidR="00494BC9" w:rsidRDefault="00494BC9" w:rsidP="00494BC9">
      <w:pPr>
        <w:spacing w:line="24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u w:val="single"/>
          <w:lang w:val="en-US"/>
        </w:rPr>
        <w:t>Appearances</w:t>
      </w:r>
      <w:r>
        <w:rPr>
          <w:rFonts w:cs="Arial"/>
          <w:color w:val="000000" w:themeColor="text1"/>
          <w:szCs w:val="26"/>
          <w:lang w:val="en-US"/>
        </w:rPr>
        <w:t>:</w:t>
      </w:r>
    </w:p>
    <w:p w14:paraId="73B93693" w14:textId="236F9007" w:rsidR="00494BC9" w:rsidRDefault="00494BC9" w:rsidP="00494BC9">
      <w:pPr>
        <w:spacing w:line="24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</w:p>
    <w:p w14:paraId="09F5224E" w14:textId="1C31C1EF" w:rsidR="00494BC9" w:rsidRDefault="00494BC9" w:rsidP="00494BC9">
      <w:pPr>
        <w:spacing w:line="24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</w:p>
    <w:p w14:paraId="3BE9BF1F" w14:textId="5BC14461" w:rsidR="00494BC9" w:rsidRDefault="00494BC9" w:rsidP="00494BC9">
      <w:pPr>
        <w:spacing w:line="36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>On behalf of the Applicant:</w:t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proofErr w:type="spellStart"/>
      <w:r>
        <w:rPr>
          <w:rFonts w:cs="Arial"/>
          <w:color w:val="000000" w:themeColor="text1"/>
          <w:szCs w:val="26"/>
          <w:lang w:val="en-US"/>
        </w:rPr>
        <w:t>Adv</w:t>
      </w:r>
      <w:proofErr w:type="spellEnd"/>
      <w:r>
        <w:rPr>
          <w:rFonts w:cs="Arial"/>
          <w:color w:val="000000" w:themeColor="text1"/>
          <w:szCs w:val="26"/>
          <w:lang w:val="en-US"/>
        </w:rPr>
        <w:t xml:space="preserve"> NJ Mullins SC</w:t>
      </w:r>
    </w:p>
    <w:p w14:paraId="043B35BF" w14:textId="7E6180FF" w:rsidR="00494BC9" w:rsidRDefault="00494BC9" w:rsidP="00494BC9">
      <w:pPr>
        <w:spacing w:line="36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>Instructed by:</w:t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  <w:t>GC Clark and Associates</w:t>
      </w:r>
    </w:p>
    <w:p w14:paraId="2CA751BB" w14:textId="77777777" w:rsidR="00494BC9" w:rsidRDefault="00494BC9" w:rsidP="00494BC9">
      <w:pPr>
        <w:spacing w:line="36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</w:p>
    <w:p w14:paraId="55E3B409" w14:textId="3D263670" w:rsidR="00494BC9" w:rsidRDefault="00494BC9" w:rsidP="00494BC9">
      <w:pPr>
        <w:spacing w:line="36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>On behalf of the Respondent:</w:t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proofErr w:type="spellStart"/>
      <w:r>
        <w:rPr>
          <w:rFonts w:cs="Arial"/>
          <w:color w:val="000000" w:themeColor="text1"/>
          <w:szCs w:val="26"/>
          <w:lang w:val="en-US"/>
        </w:rPr>
        <w:t>Adv</w:t>
      </w:r>
      <w:proofErr w:type="spellEnd"/>
      <w:r>
        <w:rPr>
          <w:rFonts w:cs="Arial"/>
          <w:color w:val="000000" w:themeColor="text1"/>
          <w:szCs w:val="26"/>
          <w:lang w:val="en-US"/>
        </w:rPr>
        <w:t xml:space="preserve"> CD Roux</w:t>
      </w:r>
    </w:p>
    <w:p w14:paraId="7B4DD874" w14:textId="1BA66C22" w:rsidR="00494BC9" w:rsidRDefault="00494BC9" w:rsidP="00494BC9">
      <w:pPr>
        <w:spacing w:line="36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>Instructed by:</w:t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  <w:t>RC Christie Incorporated</w:t>
      </w:r>
    </w:p>
    <w:p w14:paraId="292E45F2" w14:textId="7D9EC346" w:rsidR="00494BC9" w:rsidRDefault="00494BC9" w:rsidP="00494BC9">
      <w:pPr>
        <w:spacing w:line="36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proofErr w:type="gramStart"/>
      <w:r>
        <w:rPr>
          <w:rFonts w:cs="Arial"/>
          <w:color w:val="000000" w:themeColor="text1"/>
          <w:szCs w:val="26"/>
          <w:lang w:val="en-US"/>
        </w:rPr>
        <w:t>c/o</w:t>
      </w:r>
      <w:proofErr w:type="gramEnd"/>
      <w:r>
        <w:rPr>
          <w:rFonts w:cs="Arial"/>
          <w:color w:val="000000" w:themeColor="text1"/>
          <w:szCs w:val="26"/>
          <w:lang w:val="en-US"/>
        </w:rPr>
        <w:t xml:space="preserve"> Jacques Du </w:t>
      </w:r>
      <w:proofErr w:type="spellStart"/>
      <w:r>
        <w:rPr>
          <w:rFonts w:cs="Arial"/>
          <w:color w:val="000000" w:themeColor="text1"/>
          <w:szCs w:val="26"/>
          <w:lang w:val="en-US"/>
        </w:rPr>
        <w:t>Preez</w:t>
      </w:r>
      <w:proofErr w:type="spellEnd"/>
      <w:r>
        <w:rPr>
          <w:rFonts w:cs="Arial"/>
          <w:color w:val="000000" w:themeColor="text1"/>
          <w:szCs w:val="26"/>
          <w:lang w:val="en-US"/>
        </w:rPr>
        <w:t xml:space="preserve"> Attorneys</w:t>
      </w:r>
    </w:p>
    <w:p w14:paraId="4EB65262" w14:textId="4383607A" w:rsidR="00494BC9" w:rsidRDefault="00494BC9" w:rsidP="00494BC9">
      <w:pPr>
        <w:spacing w:line="36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</w:p>
    <w:p w14:paraId="22191139" w14:textId="332E76DD" w:rsidR="00494BC9" w:rsidRDefault="00494BC9" w:rsidP="00494BC9">
      <w:pPr>
        <w:spacing w:line="36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>Date Heard:</w:t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  <w:t>21 July 2022</w:t>
      </w:r>
    </w:p>
    <w:p w14:paraId="1892BA2E" w14:textId="4FFD2B89" w:rsidR="00494BC9" w:rsidRDefault="00494BC9" w:rsidP="00494BC9">
      <w:pPr>
        <w:spacing w:line="36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</w:p>
    <w:p w14:paraId="3E7C02C8" w14:textId="1FE20AD8" w:rsidR="00494BC9" w:rsidRDefault="00494BC9" w:rsidP="00494BC9">
      <w:pPr>
        <w:spacing w:line="36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>Date Delivered:</w:t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  <w:t>26 July 2022</w:t>
      </w:r>
    </w:p>
    <w:p w14:paraId="56121643" w14:textId="2EAE99C5" w:rsidR="00494BC9" w:rsidRPr="00494BC9" w:rsidRDefault="00494BC9" w:rsidP="00494BC9">
      <w:pPr>
        <w:spacing w:line="360" w:lineRule="auto"/>
        <w:ind w:left="720"/>
        <w:jc w:val="both"/>
        <w:rPr>
          <w:rFonts w:cs="Arial"/>
          <w:color w:val="000000" w:themeColor="text1"/>
          <w:szCs w:val="26"/>
          <w:lang w:val="en-US"/>
        </w:rPr>
      </w:pP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  <w:r>
        <w:rPr>
          <w:rFonts w:cs="Arial"/>
          <w:color w:val="000000" w:themeColor="text1"/>
          <w:szCs w:val="26"/>
          <w:lang w:val="en-US"/>
        </w:rPr>
        <w:tab/>
      </w:r>
    </w:p>
    <w:p w14:paraId="49852518" w14:textId="2F8B71BC" w:rsidR="001D6C96" w:rsidRPr="00442FFE" w:rsidRDefault="0066747D" w:rsidP="00494BC9">
      <w:pPr>
        <w:spacing w:line="360" w:lineRule="auto"/>
        <w:jc w:val="both"/>
        <w:rPr>
          <w:rFonts w:cs="Arial"/>
          <w:color w:val="000000" w:themeColor="text1"/>
          <w:szCs w:val="26"/>
          <w:lang w:val="en-US"/>
        </w:rPr>
      </w:pPr>
      <w:r w:rsidRPr="00442FFE">
        <w:rPr>
          <w:rFonts w:cs="Arial"/>
          <w:color w:val="000000" w:themeColor="text1"/>
          <w:szCs w:val="26"/>
          <w:lang w:val="en-US"/>
        </w:rPr>
        <w:t xml:space="preserve">  </w:t>
      </w:r>
    </w:p>
    <w:sectPr w:rsidR="001D6C96" w:rsidRPr="00442FFE" w:rsidSect="005B6543">
      <w:footerReference w:type="default" r:id="rId9"/>
      <w:pgSz w:w="11900" w:h="16840"/>
      <w:pgMar w:top="1588" w:right="1440" w:bottom="1440" w:left="144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A1EB" w14:textId="77777777" w:rsidR="00F70FC7" w:rsidRDefault="00F70FC7" w:rsidP="00043387">
      <w:pPr>
        <w:spacing w:line="240" w:lineRule="auto"/>
      </w:pPr>
      <w:r>
        <w:separator/>
      </w:r>
    </w:p>
  </w:endnote>
  <w:endnote w:type="continuationSeparator" w:id="0">
    <w:p w14:paraId="5F292616" w14:textId="77777777" w:rsidR="00F70FC7" w:rsidRDefault="00F70FC7" w:rsidP="00043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923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E40342" w14:textId="47EF5222" w:rsidR="005B6543" w:rsidRDefault="005B65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F513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F513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0863173" w14:textId="77777777" w:rsidR="005B6543" w:rsidRDefault="005B6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CD633" w14:textId="77777777" w:rsidR="00F70FC7" w:rsidRDefault="00F70FC7" w:rsidP="00043387">
      <w:pPr>
        <w:spacing w:line="240" w:lineRule="auto"/>
      </w:pPr>
      <w:r>
        <w:separator/>
      </w:r>
    </w:p>
  </w:footnote>
  <w:footnote w:type="continuationSeparator" w:id="0">
    <w:p w14:paraId="1F5ADB4F" w14:textId="77777777" w:rsidR="00F70FC7" w:rsidRDefault="00F70FC7" w:rsidP="00043387">
      <w:pPr>
        <w:spacing w:line="240" w:lineRule="auto"/>
      </w:pPr>
      <w:r>
        <w:continuationSeparator/>
      </w:r>
    </w:p>
  </w:footnote>
  <w:footnote w:id="1">
    <w:p w14:paraId="77F877BE" w14:textId="5C2E1DBC" w:rsidR="00043387" w:rsidRPr="00043387" w:rsidRDefault="00043387" w:rsidP="00713B25">
      <w:pPr>
        <w:spacing w:line="240" w:lineRule="auto"/>
        <w:ind w:left="709" w:hanging="709"/>
        <w:rPr>
          <w:rFonts w:eastAsia="Times New Roman" w:cs="Arial"/>
          <w:sz w:val="20"/>
          <w:szCs w:val="20"/>
          <w:lang w:eastAsia="en-GB"/>
        </w:rPr>
      </w:pPr>
      <w:r w:rsidRPr="00043387">
        <w:rPr>
          <w:rStyle w:val="FootnoteReference"/>
          <w:rFonts w:cs="Arial"/>
          <w:sz w:val="20"/>
          <w:szCs w:val="20"/>
        </w:rPr>
        <w:footnoteRef/>
      </w:r>
      <w:r w:rsidRPr="00043387">
        <w:rPr>
          <w:rFonts w:cs="Arial"/>
          <w:sz w:val="20"/>
          <w:szCs w:val="20"/>
        </w:rPr>
        <w:t xml:space="preserve"> </w:t>
      </w:r>
      <w:r w:rsidRPr="00043387">
        <w:rPr>
          <w:rFonts w:cs="Arial"/>
          <w:sz w:val="20"/>
          <w:szCs w:val="20"/>
          <w:lang w:val="en-US"/>
        </w:rPr>
        <w:tab/>
      </w:r>
      <w:proofErr w:type="spellStart"/>
      <w:r w:rsidRPr="00043387">
        <w:rPr>
          <w:rFonts w:eastAsia="Times New Roman" w:cs="Arial"/>
          <w:b/>
          <w:bCs/>
          <w:i/>
          <w:iCs/>
          <w:color w:val="2C3E50"/>
          <w:sz w:val="20"/>
          <w:szCs w:val="20"/>
          <w:shd w:val="clear" w:color="auto" w:fill="FFFFFF"/>
          <w:lang w:eastAsia="en-GB"/>
        </w:rPr>
        <w:t>Nxumalo</w:t>
      </w:r>
      <w:proofErr w:type="spellEnd"/>
      <w:r w:rsidRPr="00043387">
        <w:rPr>
          <w:rFonts w:eastAsia="Times New Roman" w:cs="Arial"/>
          <w:b/>
          <w:bCs/>
          <w:i/>
          <w:iCs/>
          <w:color w:val="2C3E50"/>
          <w:sz w:val="20"/>
          <w:szCs w:val="20"/>
          <w:shd w:val="clear" w:color="auto" w:fill="FFFFFF"/>
          <w:lang w:eastAsia="en-GB"/>
        </w:rPr>
        <w:t xml:space="preserve"> and Another v </w:t>
      </w:r>
      <w:proofErr w:type="spellStart"/>
      <w:r w:rsidRPr="00043387">
        <w:rPr>
          <w:rFonts w:eastAsia="Times New Roman" w:cs="Arial"/>
          <w:b/>
          <w:bCs/>
          <w:i/>
          <w:iCs/>
          <w:color w:val="2C3E50"/>
          <w:sz w:val="20"/>
          <w:szCs w:val="20"/>
          <w:shd w:val="clear" w:color="auto" w:fill="FFFFFF"/>
          <w:lang w:eastAsia="en-GB"/>
        </w:rPr>
        <w:t>Mavundla</w:t>
      </w:r>
      <w:proofErr w:type="spellEnd"/>
      <w:r w:rsidRPr="00043387">
        <w:rPr>
          <w:rFonts w:eastAsia="Times New Roman" w:cs="Arial"/>
          <w:b/>
          <w:bCs/>
          <w:i/>
          <w:iCs/>
          <w:color w:val="2C3E50"/>
          <w:sz w:val="20"/>
          <w:szCs w:val="20"/>
          <w:shd w:val="clear" w:color="auto" w:fill="FFFFFF"/>
          <w:lang w:eastAsia="en-GB"/>
        </w:rPr>
        <w:t xml:space="preserve"> and Another</w:t>
      </w:r>
      <w:r w:rsidR="00713B25">
        <w:rPr>
          <w:rFonts w:eastAsia="Times New Roman" w:cs="Arial"/>
          <w:b/>
          <w:bCs/>
          <w:color w:val="2C3E50"/>
          <w:sz w:val="20"/>
          <w:szCs w:val="20"/>
          <w:lang w:eastAsia="en-GB"/>
        </w:rPr>
        <w:t xml:space="preserve"> </w:t>
      </w:r>
      <w:r w:rsidRPr="00043387">
        <w:rPr>
          <w:rFonts w:eastAsia="Times New Roman" w:cs="Arial"/>
          <w:color w:val="2C3E50"/>
          <w:sz w:val="20"/>
          <w:szCs w:val="20"/>
          <w:shd w:val="clear" w:color="auto" w:fill="FFFFFF"/>
          <w:lang w:eastAsia="en-GB"/>
        </w:rPr>
        <w:t>2000 (4) SA 349 (D).</w:t>
      </w:r>
    </w:p>
    <w:p w14:paraId="4149BB7F" w14:textId="1216B25B" w:rsidR="00043387" w:rsidRPr="00043387" w:rsidRDefault="00043387" w:rsidP="00043387">
      <w:pPr>
        <w:pStyle w:val="FootnoteText"/>
        <w:jc w:val="both"/>
        <w:rPr>
          <w:rFonts w:cs="Arial"/>
          <w:lang w:val="en-US"/>
        </w:rPr>
      </w:pPr>
    </w:p>
  </w:footnote>
  <w:footnote w:id="2">
    <w:p w14:paraId="2E783EF8" w14:textId="2FC1B002" w:rsidR="00043387" w:rsidRPr="00043387" w:rsidRDefault="00043387" w:rsidP="00043387">
      <w:pPr>
        <w:pStyle w:val="FootnoteText"/>
        <w:jc w:val="both"/>
        <w:rPr>
          <w:rFonts w:eastAsia="Times New Roman" w:cs="Arial"/>
          <w:color w:val="2C3E50"/>
          <w:shd w:val="clear" w:color="auto" w:fill="FFFFFF"/>
          <w:lang w:eastAsia="en-GB"/>
        </w:rPr>
      </w:pPr>
      <w:r w:rsidRPr="00043387">
        <w:rPr>
          <w:rStyle w:val="FootnoteReference"/>
          <w:rFonts w:cs="Arial"/>
        </w:rPr>
        <w:footnoteRef/>
      </w:r>
      <w:r w:rsidRPr="00043387">
        <w:rPr>
          <w:rFonts w:cs="Arial"/>
        </w:rPr>
        <w:t xml:space="preserve"> </w:t>
      </w:r>
      <w:r w:rsidRPr="00043387">
        <w:rPr>
          <w:rFonts w:cs="Arial"/>
          <w:lang w:val="en-US"/>
        </w:rPr>
        <w:tab/>
      </w:r>
      <w:r w:rsidRPr="00043387">
        <w:rPr>
          <w:rFonts w:eastAsia="Times New Roman" w:cs="Arial"/>
          <w:color w:val="2C3E50"/>
          <w:shd w:val="clear" w:color="auto" w:fill="FFFFFF"/>
          <w:lang w:eastAsia="en-GB"/>
        </w:rPr>
        <w:t>See </w:t>
      </w:r>
      <w:r w:rsidRPr="00043387">
        <w:rPr>
          <w:rFonts w:eastAsia="Times New Roman" w:cs="Arial"/>
          <w:b/>
          <w:bCs/>
          <w:i/>
          <w:iCs/>
          <w:color w:val="2C3E50"/>
          <w:lang w:eastAsia="en-GB"/>
        </w:rPr>
        <w:t>Cats v Cats</w:t>
      </w:r>
      <w:r w:rsidRPr="00043387">
        <w:rPr>
          <w:rFonts w:eastAsia="Times New Roman" w:cs="Arial"/>
          <w:color w:val="2C3E50"/>
          <w:shd w:val="clear" w:color="auto" w:fill="FFFFFF"/>
          <w:lang w:eastAsia="en-GB"/>
        </w:rPr>
        <w:t> </w:t>
      </w:r>
      <w:hyperlink r:id="rId1" w:history="1">
        <w:r w:rsidRPr="00043387">
          <w:rPr>
            <w:rFonts w:eastAsia="Times New Roman" w:cs="Arial"/>
            <w:color w:val="000000" w:themeColor="text1"/>
            <w:lang w:eastAsia="en-GB"/>
          </w:rPr>
          <w:t>1959 (4) SA 375 (C)</w:t>
        </w:r>
      </w:hyperlink>
      <w:r w:rsidRPr="00043387">
        <w:rPr>
          <w:rFonts w:eastAsia="Times New Roman" w:cs="Arial"/>
          <w:color w:val="2C3E50"/>
          <w:shd w:val="clear" w:color="auto" w:fill="FFFFFF"/>
          <w:lang w:eastAsia="en-GB"/>
        </w:rPr>
        <w:t xml:space="preserve"> at 379H.</w:t>
      </w:r>
    </w:p>
    <w:p w14:paraId="5E623B17" w14:textId="77777777" w:rsidR="00043387" w:rsidRPr="00043387" w:rsidRDefault="00043387" w:rsidP="00043387">
      <w:pPr>
        <w:pStyle w:val="FootnoteText"/>
        <w:jc w:val="both"/>
        <w:rPr>
          <w:rFonts w:cs="Arial"/>
          <w:lang w:val="en-US"/>
        </w:rPr>
      </w:pPr>
    </w:p>
  </w:footnote>
  <w:footnote w:id="3">
    <w:p w14:paraId="560F4C8B" w14:textId="5406C0D0" w:rsidR="00043387" w:rsidRPr="00043387" w:rsidRDefault="00043387" w:rsidP="00043387">
      <w:pPr>
        <w:pStyle w:val="FootnoteText"/>
        <w:ind w:left="709" w:hanging="709"/>
        <w:jc w:val="both"/>
        <w:rPr>
          <w:rFonts w:eastAsia="Times New Roman" w:cs="Arial"/>
          <w:color w:val="2C3E50"/>
          <w:shd w:val="clear" w:color="auto" w:fill="FFFFFF"/>
          <w:lang w:eastAsia="en-GB"/>
        </w:rPr>
      </w:pPr>
      <w:r w:rsidRPr="00043387">
        <w:rPr>
          <w:rStyle w:val="FootnoteReference"/>
          <w:rFonts w:cs="Arial"/>
        </w:rPr>
        <w:footnoteRef/>
      </w:r>
      <w:r w:rsidRPr="00043387">
        <w:rPr>
          <w:rFonts w:cs="Arial"/>
        </w:rPr>
        <w:t xml:space="preserve"> </w:t>
      </w:r>
      <w:r w:rsidRPr="00043387">
        <w:rPr>
          <w:rFonts w:cs="Arial"/>
          <w:lang w:val="en-US"/>
        </w:rPr>
        <w:tab/>
      </w:r>
      <w:r w:rsidRPr="00043387">
        <w:rPr>
          <w:rFonts w:eastAsia="Times New Roman" w:cs="Arial"/>
          <w:color w:val="2C3E50"/>
          <w:shd w:val="clear" w:color="auto" w:fill="FFFFFF"/>
          <w:lang w:eastAsia="en-GB"/>
        </w:rPr>
        <w:t>See </w:t>
      </w:r>
      <w:r w:rsidRPr="00043387">
        <w:rPr>
          <w:rFonts w:eastAsia="Times New Roman" w:cs="Arial"/>
          <w:b/>
          <w:bCs/>
          <w:i/>
          <w:iCs/>
          <w:color w:val="2C3E50"/>
          <w:lang w:eastAsia="en-GB"/>
        </w:rPr>
        <w:t>First National Bank of </w:t>
      </w:r>
      <w:r w:rsidRPr="00043387">
        <w:rPr>
          <w:rFonts w:eastAsia="Times New Roman" w:cs="Arial"/>
          <w:b/>
          <w:bCs/>
          <w:i/>
          <w:iCs/>
          <w:color w:val="000000"/>
          <w:shd w:val="clear" w:color="auto" w:fill="C0C0C0"/>
          <w:lang w:eastAsia="en-GB"/>
        </w:rPr>
        <w:t> G </w:t>
      </w:r>
      <w:r w:rsidRPr="00043387">
        <w:rPr>
          <w:rFonts w:eastAsia="Times New Roman" w:cs="Arial"/>
          <w:b/>
          <w:bCs/>
          <w:i/>
          <w:iCs/>
          <w:color w:val="2C3E50"/>
          <w:lang w:eastAsia="en-GB"/>
        </w:rPr>
        <w:t xml:space="preserve"> Southern Africa Ltd t/a </w:t>
      </w:r>
      <w:proofErr w:type="spellStart"/>
      <w:r w:rsidRPr="00043387">
        <w:rPr>
          <w:rFonts w:eastAsia="Times New Roman" w:cs="Arial"/>
          <w:b/>
          <w:bCs/>
          <w:i/>
          <w:iCs/>
          <w:color w:val="2C3E50"/>
          <w:lang w:eastAsia="en-GB"/>
        </w:rPr>
        <w:t>Wesbank</w:t>
      </w:r>
      <w:proofErr w:type="spellEnd"/>
      <w:r w:rsidRPr="00043387">
        <w:rPr>
          <w:rFonts w:eastAsia="Times New Roman" w:cs="Arial"/>
          <w:b/>
          <w:bCs/>
          <w:i/>
          <w:iCs/>
          <w:color w:val="2C3E50"/>
          <w:lang w:eastAsia="en-GB"/>
        </w:rPr>
        <w:t xml:space="preserve"> v First East Cape Financing (Pty) Ltd</w:t>
      </w:r>
      <w:r w:rsidRPr="00043387">
        <w:rPr>
          <w:rFonts w:eastAsia="Times New Roman" w:cs="Arial"/>
          <w:color w:val="2C3E50"/>
          <w:shd w:val="clear" w:color="auto" w:fill="FFFFFF"/>
          <w:lang w:eastAsia="en-GB"/>
        </w:rPr>
        <w:t> </w:t>
      </w:r>
      <w:hyperlink r:id="rId2" w:history="1">
        <w:r w:rsidRPr="00043387">
          <w:rPr>
            <w:rFonts w:eastAsia="Times New Roman" w:cs="Arial"/>
            <w:color w:val="000000" w:themeColor="text1"/>
            <w:lang w:eastAsia="en-GB"/>
          </w:rPr>
          <w:t>1999 (4) SA 1073 (SE)</w:t>
        </w:r>
      </w:hyperlink>
      <w:r w:rsidRPr="00043387">
        <w:rPr>
          <w:rFonts w:eastAsia="Times New Roman" w:cs="Arial"/>
          <w:color w:val="2C3E50"/>
          <w:shd w:val="clear" w:color="auto" w:fill="FFFFFF"/>
          <w:lang w:eastAsia="en-GB"/>
        </w:rPr>
        <w:t> at 1079I – J.</w:t>
      </w:r>
    </w:p>
    <w:p w14:paraId="221FDB0F" w14:textId="77777777" w:rsidR="00043387" w:rsidRPr="00043387" w:rsidRDefault="00043387" w:rsidP="00043387">
      <w:pPr>
        <w:pStyle w:val="FootnoteText"/>
        <w:jc w:val="both"/>
        <w:rPr>
          <w:rFonts w:cs="Arial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0409F"/>
    <w:multiLevelType w:val="hybridMultilevel"/>
    <w:tmpl w:val="6F0EDDCA"/>
    <w:lvl w:ilvl="0" w:tplc="090A2A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EB35AF"/>
    <w:multiLevelType w:val="hybridMultilevel"/>
    <w:tmpl w:val="51661AFA"/>
    <w:lvl w:ilvl="0" w:tplc="20CCBBA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17"/>
    <w:rsid w:val="00032569"/>
    <w:rsid w:val="00043387"/>
    <w:rsid w:val="000506BF"/>
    <w:rsid w:val="000E3607"/>
    <w:rsid w:val="00112206"/>
    <w:rsid w:val="00147D05"/>
    <w:rsid w:val="001D6C96"/>
    <w:rsid w:val="00202C5E"/>
    <w:rsid w:val="00217317"/>
    <w:rsid w:val="0031363E"/>
    <w:rsid w:val="003213DA"/>
    <w:rsid w:val="00364F9C"/>
    <w:rsid w:val="003D0799"/>
    <w:rsid w:val="004065F2"/>
    <w:rsid w:val="00442FFE"/>
    <w:rsid w:val="00463A9B"/>
    <w:rsid w:val="00494BC9"/>
    <w:rsid w:val="004A5E7F"/>
    <w:rsid w:val="00537878"/>
    <w:rsid w:val="00563E2F"/>
    <w:rsid w:val="005B6543"/>
    <w:rsid w:val="005E074A"/>
    <w:rsid w:val="00626632"/>
    <w:rsid w:val="0066747D"/>
    <w:rsid w:val="006918EB"/>
    <w:rsid w:val="00697A27"/>
    <w:rsid w:val="006E7150"/>
    <w:rsid w:val="00713B25"/>
    <w:rsid w:val="00733811"/>
    <w:rsid w:val="007868CF"/>
    <w:rsid w:val="007B6ADA"/>
    <w:rsid w:val="00884FD5"/>
    <w:rsid w:val="0090713D"/>
    <w:rsid w:val="009D539D"/>
    <w:rsid w:val="009E422D"/>
    <w:rsid w:val="00A05EE1"/>
    <w:rsid w:val="00A94025"/>
    <w:rsid w:val="00B12D70"/>
    <w:rsid w:val="00D006A1"/>
    <w:rsid w:val="00D53B5B"/>
    <w:rsid w:val="00D776A9"/>
    <w:rsid w:val="00DF513A"/>
    <w:rsid w:val="00E6699A"/>
    <w:rsid w:val="00EE52F3"/>
    <w:rsid w:val="00F019B2"/>
    <w:rsid w:val="00F6344A"/>
    <w:rsid w:val="00F7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ED7E"/>
  <w15:chartTrackingRefBased/>
  <w15:docId w15:val="{968B2688-27E7-C246-8783-CD859A35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 (Body CS)"/>
        <w:sz w:val="26"/>
        <w:szCs w:val="24"/>
        <w:lang w:val="en-Z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3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3387"/>
  </w:style>
  <w:style w:type="character" w:customStyle="1" w:styleId="mc">
    <w:name w:val="mc"/>
    <w:basedOn w:val="DefaultParagraphFont"/>
    <w:rsid w:val="00043387"/>
  </w:style>
  <w:style w:type="character" w:styleId="Hyperlink">
    <w:name w:val="Hyperlink"/>
    <w:basedOn w:val="DefaultParagraphFont"/>
    <w:uiPriority w:val="99"/>
    <w:semiHidden/>
    <w:unhideWhenUsed/>
    <w:rsid w:val="0004338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38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3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3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52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F3"/>
  </w:style>
  <w:style w:type="paragraph" w:styleId="Footer">
    <w:name w:val="footer"/>
    <w:basedOn w:val="Normal"/>
    <w:link w:val="FooterChar"/>
    <w:uiPriority w:val="99"/>
    <w:unhideWhenUsed/>
    <w:rsid w:val="00EE52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F3"/>
  </w:style>
  <w:style w:type="paragraph" w:styleId="BalloonText">
    <w:name w:val="Balloon Text"/>
    <w:basedOn w:val="Normal"/>
    <w:link w:val="BalloonTextChar"/>
    <w:uiPriority w:val="99"/>
    <w:semiHidden/>
    <w:unhideWhenUsed/>
    <w:rsid w:val="003D07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pp.jutastatevolve.co.za/researcher/y1999v4SApg1073" TargetMode="External"/><Relationship Id="rId1" Type="http://schemas.openxmlformats.org/officeDocument/2006/relationships/hyperlink" Target="https://app.jutastatevolve.co.za/researcher/y1959v4SApg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BE59-CC57-4C47-82C2-2B29E503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DA SILVA</dc:creator>
  <cp:keywords/>
  <dc:description/>
  <cp:lastModifiedBy>HOME</cp:lastModifiedBy>
  <cp:revision>2</cp:revision>
  <cp:lastPrinted>2022-07-25T09:21:00Z</cp:lastPrinted>
  <dcterms:created xsi:type="dcterms:W3CDTF">2022-07-29T14:46:00Z</dcterms:created>
  <dcterms:modified xsi:type="dcterms:W3CDTF">2022-07-29T14:46:00Z</dcterms:modified>
</cp:coreProperties>
</file>