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5C901" w14:textId="77777777" w:rsidR="005C7D79" w:rsidRPr="00365993" w:rsidRDefault="005C7D79" w:rsidP="00365993">
      <w:pPr>
        <w:spacing w:line="360" w:lineRule="auto"/>
        <w:ind w:right="85"/>
        <w:rPr>
          <w:rFonts w:cs="Tahoma"/>
          <w:b/>
          <w:bCs/>
          <w:snapToGrid w:val="0"/>
          <w:szCs w:val="24"/>
        </w:rPr>
      </w:pPr>
      <w:bookmarkStart w:id="0" w:name="_GoBack"/>
      <w:bookmarkEnd w:id="0"/>
      <w:r w:rsidRPr="00365993">
        <w:rPr>
          <w:rFonts w:cs="Tahoma"/>
          <w:b/>
          <w:bCs/>
          <w:snapToGrid w:val="0"/>
          <w:szCs w:val="24"/>
        </w:rPr>
        <w:t>IN THE HIGH COURT OF SOUTH AFRICA</w:t>
      </w:r>
    </w:p>
    <w:p w14:paraId="047CDE18" w14:textId="216C1CE1" w:rsidR="005C7D79" w:rsidRPr="00365993" w:rsidRDefault="005C7D79" w:rsidP="00365993">
      <w:pPr>
        <w:spacing w:line="360" w:lineRule="auto"/>
        <w:ind w:right="85"/>
        <w:rPr>
          <w:rFonts w:cs="Tahoma"/>
          <w:b/>
          <w:bCs/>
          <w:snapToGrid w:val="0"/>
          <w:szCs w:val="24"/>
        </w:rPr>
      </w:pPr>
      <w:r w:rsidRPr="00365993">
        <w:rPr>
          <w:rFonts w:cs="Tahoma"/>
          <w:b/>
          <w:bCs/>
          <w:snapToGrid w:val="0"/>
          <w:szCs w:val="24"/>
        </w:rPr>
        <w:t>EASTERN CAPE</w:t>
      </w:r>
      <w:r w:rsidR="00AD1BF4" w:rsidRPr="00365993">
        <w:rPr>
          <w:rFonts w:cs="Tahoma"/>
          <w:b/>
          <w:bCs/>
          <w:snapToGrid w:val="0"/>
          <w:szCs w:val="24"/>
        </w:rPr>
        <w:t xml:space="preserve"> LOCAL</w:t>
      </w:r>
      <w:r w:rsidRPr="00365993">
        <w:rPr>
          <w:rFonts w:cs="Tahoma"/>
          <w:b/>
          <w:bCs/>
          <w:snapToGrid w:val="0"/>
          <w:szCs w:val="24"/>
        </w:rPr>
        <w:t xml:space="preserve"> DIVISION, G</w:t>
      </w:r>
      <w:r w:rsidR="00AD1BF4" w:rsidRPr="00365993">
        <w:rPr>
          <w:rFonts w:cs="Tahoma"/>
          <w:b/>
          <w:bCs/>
          <w:snapToGrid w:val="0"/>
          <w:szCs w:val="24"/>
        </w:rPr>
        <w:t>QEBERHA</w:t>
      </w:r>
    </w:p>
    <w:p w14:paraId="4560F112" w14:textId="0C1916C9" w:rsidR="005C7D79" w:rsidRPr="000160FF" w:rsidRDefault="005C7D79" w:rsidP="005C7D79">
      <w:pPr>
        <w:spacing w:line="480" w:lineRule="auto"/>
        <w:ind w:left="4320"/>
        <w:rPr>
          <w:rFonts w:eastAsia="Times New Roman" w:cs="Tahoma"/>
          <w:bCs/>
          <w:noProof/>
          <w:szCs w:val="24"/>
        </w:rPr>
      </w:pPr>
      <w:r w:rsidRPr="000160FF">
        <w:rPr>
          <w:rFonts w:eastAsia="Times New Roman" w:cs="Tahoma"/>
          <w:bCs/>
          <w:noProof/>
          <w:szCs w:val="24"/>
        </w:rPr>
        <w:tab/>
      </w:r>
      <w:r w:rsidRPr="000160FF">
        <w:rPr>
          <w:rFonts w:eastAsia="Times New Roman" w:cs="Tahoma"/>
          <w:bCs/>
          <w:noProof/>
          <w:szCs w:val="24"/>
        </w:rPr>
        <w:tab/>
      </w:r>
      <w:r w:rsidR="00365993">
        <w:rPr>
          <w:rFonts w:eastAsia="Times New Roman" w:cs="Tahoma"/>
          <w:bCs/>
          <w:noProof/>
          <w:szCs w:val="24"/>
        </w:rPr>
        <w:tab/>
      </w:r>
      <w:r w:rsidRPr="000160FF">
        <w:rPr>
          <w:rFonts w:eastAsia="Times New Roman" w:cs="Tahoma"/>
          <w:bCs/>
          <w:noProof/>
          <w:szCs w:val="24"/>
        </w:rPr>
        <w:t xml:space="preserve">Case No.: </w:t>
      </w:r>
      <w:r w:rsidR="00E87233">
        <w:rPr>
          <w:rFonts w:eastAsia="Times New Roman" w:cs="Tahoma"/>
          <w:bCs/>
          <w:noProof/>
          <w:szCs w:val="24"/>
        </w:rPr>
        <w:t>2796/2021</w:t>
      </w:r>
    </w:p>
    <w:p w14:paraId="2DAA2DC1" w14:textId="398BCD80" w:rsidR="005C7D79" w:rsidRPr="000160FF" w:rsidRDefault="005C7D79" w:rsidP="005C7D79">
      <w:pPr>
        <w:spacing w:line="480" w:lineRule="auto"/>
        <w:ind w:left="4320"/>
        <w:rPr>
          <w:rFonts w:eastAsia="Times New Roman" w:cs="Tahoma"/>
          <w:noProof/>
          <w:szCs w:val="24"/>
        </w:rPr>
      </w:pPr>
      <w:r w:rsidRPr="000160FF">
        <w:rPr>
          <w:rFonts w:eastAsia="Times New Roman" w:cs="Tahoma"/>
          <w:bCs/>
          <w:noProof/>
          <w:szCs w:val="24"/>
        </w:rPr>
        <w:tab/>
      </w:r>
      <w:r w:rsidRPr="000160FF">
        <w:rPr>
          <w:rFonts w:eastAsia="Times New Roman" w:cs="Tahoma"/>
          <w:bCs/>
          <w:noProof/>
          <w:szCs w:val="24"/>
        </w:rPr>
        <w:tab/>
      </w:r>
      <w:r w:rsidR="00365993">
        <w:rPr>
          <w:rFonts w:eastAsia="Times New Roman" w:cs="Tahoma"/>
          <w:bCs/>
          <w:noProof/>
          <w:szCs w:val="24"/>
        </w:rPr>
        <w:tab/>
      </w:r>
      <w:r w:rsidRPr="000160FF">
        <w:rPr>
          <w:rFonts w:eastAsia="Times New Roman" w:cs="Tahoma"/>
          <w:bCs/>
          <w:noProof/>
          <w:szCs w:val="24"/>
        </w:rPr>
        <w:t>Date Heard:</w:t>
      </w:r>
      <w:r w:rsidR="00E87233">
        <w:rPr>
          <w:rFonts w:eastAsia="Times New Roman" w:cs="Tahoma"/>
          <w:bCs/>
          <w:noProof/>
          <w:szCs w:val="24"/>
        </w:rPr>
        <w:t xml:space="preserve"> </w:t>
      </w:r>
      <w:r w:rsidR="00F02287">
        <w:rPr>
          <w:rFonts w:eastAsia="Times New Roman" w:cs="Tahoma"/>
          <w:bCs/>
          <w:noProof/>
          <w:szCs w:val="24"/>
        </w:rPr>
        <w:t>5 May 2022</w:t>
      </w:r>
      <w:r w:rsidRPr="000160FF">
        <w:rPr>
          <w:rFonts w:eastAsia="Times New Roman" w:cs="Tahoma"/>
          <w:bCs/>
          <w:noProof/>
          <w:szCs w:val="24"/>
        </w:rPr>
        <w:t xml:space="preserve">  </w:t>
      </w:r>
    </w:p>
    <w:p w14:paraId="39B7F340" w14:textId="43576EFB" w:rsidR="005C7D79" w:rsidRPr="000160FF" w:rsidRDefault="005C7D79" w:rsidP="005C7D79">
      <w:pPr>
        <w:spacing w:line="480" w:lineRule="auto"/>
        <w:ind w:left="4320"/>
        <w:rPr>
          <w:rFonts w:eastAsia="Times New Roman" w:cs="Tahoma"/>
          <w:noProof/>
          <w:szCs w:val="24"/>
        </w:rPr>
      </w:pPr>
      <w:r w:rsidRPr="000160FF">
        <w:rPr>
          <w:rFonts w:eastAsia="Times New Roman" w:cs="Tahoma"/>
          <w:noProof/>
          <w:szCs w:val="24"/>
        </w:rPr>
        <w:tab/>
      </w:r>
      <w:r w:rsidRPr="000160FF">
        <w:rPr>
          <w:rFonts w:eastAsia="Times New Roman" w:cs="Tahoma"/>
          <w:noProof/>
          <w:szCs w:val="24"/>
        </w:rPr>
        <w:tab/>
      </w:r>
      <w:r w:rsidR="00365993">
        <w:rPr>
          <w:rFonts w:eastAsia="Times New Roman" w:cs="Tahoma"/>
          <w:noProof/>
          <w:szCs w:val="24"/>
        </w:rPr>
        <w:tab/>
      </w:r>
      <w:r w:rsidRPr="000160FF">
        <w:rPr>
          <w:rFonts w:eastAsia="Times New Roman" w:cs="Tahoma"/>
          <w:noProof/>
          <w:szCs w:val="24"/>
        </w:rPr>
        <w:t>Date Delivered:</w:t>
      </w:r>
      <w:r w:rsidR="0096614A">
        <w:rPr>
          <w:rFonts w:eastAsia="Times New Roman" w:cs="Tahoma"/>
          <w:noProof/>
          <w:szCs w:val="24"/>
        </w:rPr>
        <w:t xml:space="preserve"> 26 </w:t>
      </w:r>
      <w:r w:rsidR="00701393">
        <w:rPr>
          <w:rFonts w:eastAsia="Times New Roman" w:cs="Tahoma"/>
          <w:noProof/>
          <w:szCs w:val="24"/>
        </w:rPr>
        <w:t>Jul</w:t>
      </w:r>
      <w:r w:rsidR="009F17D2">
        <w:rPr>
          <w:rFonts w:eastAsia="Times New Roman" w:cs="Tahoma"/>
          <w:noProof/>
          <w:szCs w:val="24"/>
        </w:rPr>
        <w:t>y</w:t>
      </w:r>
      <w:r w:rsidR="00701393">
        <w:rPr>
          <w:rFonts w:eastAsia="Times New Roman" w:cs="Tahoma"/>
          <w:noProof/>
          <w:szCs w:val="24"/>
        </w:rPr>
        <w:t xml:space="preserve"> 2020</w:t>
      </w:r>
      <w:r w:rsidRPr="000160FF">
        <w:rPr>
          <w:rFonts w:eastAsia="Times New Roman" w:cs="Tahoma"/>
          <w:noProof/>
          <w:szCs w:val="24"/>
        </w:rPr>
        <w:t xml:space="preserve">  </w:t>
      </w:r>
    </w:p>
    <w:p w14:paraId="330D2746" w14:textId="77777777" w:rsidR="005C7D79" w:rsidRPr="000160FF" w:rsidRDefault="005C7D79" w:rsidP="005C7D79">
      <w:pPr>
        <w:spacing w:line="480" w:lineRule="auto"/>
        <w:jc w:val="both"/>
        <w:rPr>
          <w:rFonts w:eastAsia="Times New Roman" w:cs="Tahoma"/>
          <w:noProof/>
          <w:szCs w:val="24"/>
        </w:rPr>
      </w:pPr>
      <w:r w:rsidRPr="000160FF">
        <w:rPr>
          <w:rFonts w:eastAsia="Times New Roman" w:cs="Tahoma"/>
          <w:noProof/>
          <w:szCs w:val="24"/>
        </w:rPr>
        <w:t>In the matter between:</w:t>
      </w:r>
    </w:p>
    <w:p w14:paraId="1AA879F4" w14:textId="77777777" w:rsidR="005C7D79" w:rsidRPr="000160FF" w:rsidRDefault="005C7D79" w:rsidP="00365993">
      <w:pPr>
        <w:jc w:val="both"/>
        <w:rPr>
          <w:rFonts w:eastAsia="Times New Roman" w:cs="Tahoma"/>
          <w:noProof/>
          <w:szCs w:val="24"/>
        </w:rPr>
      </w:pPr>
    </w:p>
    <w:p w14:paraId="0CF1AA56" w14:textId="02CB6586" w:rsidR="00AD1BF4" w:rsidRDefault="00AD1BF4" w:rsidP="00365993">
      <w:pPr>
        <w:spacing w:line="360" w:lineRule="auto"/>
        <w:jc w:val="both"/>
        <w:rPr>
          <w:rFonts w:eastAsia="Times New Roman" w:cs="Tahoma"/>
          <w:b/>
          <w:bCs/>
          <w:noProof/>
          <w:szCs w:val="24"/>
        </w:rPr>
      </w:pPr>
      <w:r>
        <w:rPr>
          <w:rFonts w:eastAsia="Times New Roman" w:cs="Tahoma"/>
          <w:b/>
          <w:bCs/>
          <w:noProof/>
          <w:szCs w:val="24"/>
        </w:rPr>
        <w:t xml:space="preserve">SA SECURITIES SOLUTIONS </w:t>
      </w:r>
      <w:r w:rsidR="006E12BD">
        <w:rPr>
          <w:rFonts w:eastAsia="Times New Roman" w:cs="Tahoma"/>
          <w:b/>
          <w:bCs/>
          <w:noProof/>
          <w:szCs w:val="24"/>
        </w:rPr>
        <w:t>AND</w:t>
      </w:r>
    </w:p>
    <w:p w14:paraId="4C5B5118" w14:textId="14ACEA9F" w:rsidR="005C7D79" w:rsidRDefault="00AD1BF4" w:rsidP="00365993">
      <w:pPr>
        <w:tabs>
          <w:tab w:val="right" w:pos="9746"/>
        </w:tabs>
        <w:spacing w:line="480" w:lineRule="auto"/>
        <w:jc w:val="both"/>
        <w:rPr>
          <w:rFonts w:eastAsia="Times New Roman" w:cs="Tahoma"/>
          <w:noProof/>
          <w:szCs w:val="24"/>
        </w:rPr>
      </w:pPr>
      <w:r>
        <w:rPr>
          <w:rFonts w:eastAsia="Times New Roman" w:cs="Tahoma"/>
          <w:b/>
          <w:bCs/>
          <w:noProof/>
          <w:szCs w:val="24"/>
        </w:rPr>
        <w:t>TECHNOLOGIES (PTY) LTD</w:t>
      </w:r>
      <w:r w:rsidR="00365993">
        <w:rPr>
          <w:rFonts w:eastAsia="Times New Roman" w:cs="Tahoma"/>
          <w:b/>
          <w:bCs/>
          <w:noProof/>
          <w:szCs w:val="24"/>
        </w:rPr>
        <w:tab/>
      </w:r>
      <w:r w:rsidR="005C7D79" w:rsidRPr="000160FF">
        <w:rPr>
          <w:rFonts w:eastAsia="Times New Roman" w:cs="Tahoma"/>
          <w:noProof/>
          <w:szCs w:val="24"/>
        </w:rPr>
        <w:t>App</w:t>
      </w:r>
      <w:r>
        <w:rPr>
          <w:rFonts w:eastAsia="Times New Roman" w:cs="Tahoma"/>
          <w:noProof/>
          <w:szCs w:val="24"/>
        </w:rPr>
        <w:t>lic</w:t>
      </w:r>
      <w:r w:rsidR="005C7D79" w:rsidRPr="000160FF">
        <w:rPr>
          <w:rFonts w:eastAsia="Times New Roman" w:cs="Tahoma"/>
          <w:noProof/>
          <w:szCs w:val="24"/>
        </w:rPr>
        <w:t xml:space="preserve">ant </w:t>
      </w:r>
    </w:p>
    <w:p w14:paraId="2FB942D3" w14:textId="77777777" w:rsidR="00365993" w:rsidRPr="000160FF" w:rsidRDefault="00365993" w:rsidP="00365993">
      <w:pPr>
        <w:jc w:val="both"/>
        <w:rPr>
          <w:rFonts w:eastAsia="Times New Roman" w:cs="Tahoma"/>
          <w:noProof/>
          <w:szCs w:val="24"/>
        </w:rPr>
      </w:pPr>
    </w:p>
    <w:p w14:paraId="2E05E871" w14:textId="425FFC7A" w:rsidR="005C7D79" w:rsidRDefault="00365993" w:rsidP="005C7D79">
      <w:pPr>
        <w:spacing w:line="480" w:lineRule="auto"/>
        <w:jc w:val="both"/>
        <w:rPr>
          <w:rFonts w:eastAsia="Times New Roman" w:cs="Tahoma"/>
          <w:noProof/>
          <w:szCs w:val="24"/>
        </w:rPr>
      </w:pPr>
      <w:r>
        <w:rPr>
          <w:rFonts w:eastAsia="Times New Roman" w:cs="Tahoma"/>
          <w:noProof/>
          <w:szCs w:val="24"/>
        </w:rPr>
        <w:t>a</w:t>
      </w:r>
      <w:r w:rsidR="005C7D79" w:rsidRPr="000160FF">
        <w:rPr>
          <w:rFonts w:eastAsia="Times New Roman" w:cs="Tahoma"/>
          <w:noProof/>
          <w:szCs w:val="24"/>
        </w:rPr>
        <w:t>nd</w:t>
      </w:r>
    </w:p>
    <w:p w14:paraId="7917722A" w14:textId="77777777" w:rsidR="00365993" w:rsidRPr="000160FF" w:rsidRDefault="00365993" w:rsidP="00365993">
      <w:pPr>
        <w:jc w:val="both"/>
        <w:rPr>
          <w:rFonts w:eastAsia="Times New Roman" w:cs="Tahoma"/>
          <w:noProof/>
          <w:szCs w:val="24"/>
        </w:rPr>
      </w:pPr>
    </w:p>
    <w:p w14:paraId="76963844" w14:textId="2DD68BEB" w:rsidR="005C7D79" w:rsidRPr="000160FF" w:rsidRDefault="00AD1BF4" w:rsidP="00365993">
      <w:pPr>
        <w:tabs>
          <w:tab w:val="left" w:pos="638"/>
          <w:tab w:val="center" w:pos="4513"/>
          <w:tab w:val="right" w:pos="9746"/>
        </w:tabs>
        <w:spacing w:line="360" w:lineRule="auto"/>
        <w:rPr>
          <w:rFonts w:cs="Tahoma"/>
          <w:b/>
          <w:szCs w:val="24"/>
        </w:rPr>
      </w:pPr>
      <w:r>
        <w:rPr>
          <w:rFonts w:eastAsia="Times New Roman" w:cs="Tahoma"/>
          <w:b/>
          <w:bCs/>
          <w:noProof/>
          <w:szCs w:val="24"/>
        </w:rPr>
        <w:t>MODULAR COMMUNICATIONS SA (PTY) LTD</w:t>
      </w:r>
      <w:r w:rsidR="00365993">
        <w:rPr>
          <w:rFonts w:eastAsia="Times New Roman" w:cs="Tahoma"/>
          <w:b/>
          <w:bCs/>
          <w:noProof/>
          <w:szCs w:val="24"/>
        </w:rPr>
        <w:tab/>
      </w:r>
      <w:r w:rsidR="005C7D79" w:rsidRPr="000160FF">
        <w:rPr>
          <w:rFonts w:eastAsia="Times New Roman" w:cs="Tahoma"/>
          <w:bCs/>
          <w:noProof/>
          <w:szCs w:val="24"/>
        </w:rPr>
        <w:t>Respondent</w:t>
      </w:r>
    </w:p>
    <w:p w14:paraId="3E597A04" w14:textId="77777777" w:rsidR="00C157B7" w:rsidRPr="000160FF" w:rsidRDefault="00C157B7" w:rsidP="005C7D79">
      <w:pPr>
        <w:jc w:val="both"/>
        <w:rPr>
          <w:rFonts w:cs="Tahoma"/>
          <w:szCs w:val="24"/>
        </w:rPr>
      </w:pPr>
    </w:p>
    <w:tbl>
      <w:tblPr>
        <w:tblW w:w="9923" w:type="dxa"/>
        <w:tblBorders>
          <w:top w:val="single" w:sz="12" w:space="0" w:color="auto"/>
          <w:bottom w:val="single" w:sz="12" w:space="0" w:color="auto"/>
        </w:tblBorders>
        <w:tblLook w:val="04A0" w:firstRow="1" w:lastRow="0" w:firstColumn="1" w:lastColumn="0" w:noHBand="0" w:noVBand="1"/>
      </w:tblPr>
      <w:tblGrid>
        <w:gridCol w:w="9923"/>
      </w:tblGrid>
      <w:tr w:rsidR="00181B48" w:rsidRPr="000160FF" w14:paraId="794B29CD" w14:textId="77777777" w:rsidTr="00365993">
        <w:trPr>
          <w:cantSplit/>
          <w:trHeight w:val="1134"/>
        </w:trPr>
        <w:tc>
          <w:tcPr>
            <w:tcW w:w="9923" w:type="dxa"/>
            <w:shd w:val="clear" w:color="auto" w:fill="auto"/>
            <w:vAlign w:val="center"/>
          </w:tcPr>
          <w:p w14:paraId="09AAD21C" w14:textId="1C24DDAE" w:rsidR="00B3408B" w:rsidRPr="000160FF" w:rsidRDefault="00C6369A" w:rsidP="005C7D79">
            <w:pPr>
              <w:pStyle w:val="Names"/>
              <w:spacing w:before="240" w:line="240" w:lineRule="auto"/>
              <w:jc w:val="center"/>
              <w:rPr>
                <w:rFonts w:cs="Tahoma"/>
                <w:szCs w:val="24"/>
              </w:rPr>
            </w:pPr>
            <w:r w:rsidRPr="000160FF">
              <w:rPr>
                <w:rFonts w:cs="Tahoma"/>
                <w:szCs w:val="24"/>
              </w:rPr>
              <w:t>judgment</w:t>
            </w:r>
          </w:p>
        </w:tc>
      </w:tr>
    </w:tbl>
    <w:p w14:paraId="165EB78E" w14:textId="77777777" w:rsidR="005C7D79" w:rsidRPr="000160FF" w:rsidRDefault="005C7D79" w:rsidP="005C7D79">
      <w:pPr>
        <w:pStyle w:val="H1"/>
        <w:numPr>
          <w:ilvl w:val="0"/>
          <w:numId w:val="0"/>
        </w:numPr>
        <w:spacing w:line="240" w:lineRule="auto"/>
        <w:ind w:left="567" w:hanging="567"/>
        <w:rPr>
          <w:rFonts w:cs="Tahoma"/>
          <w:b/>
          <w:szCs w:val="24"/>
          <w:u w:val="single"/>
        </w:rPr>
      </w:pPr>
    </w:p>
    <w:p w14:paraId="74CC353B" w14:textId="66502892" w:rsidR="00DD655F" w:rsidRPr="000160FF" w:rsidRDefault="005C7D79" w:rsidP="00365993">
      <w:pPr>
        <w:pStyle w:val="H1"/>
        <w:numPr>
          <w:ilvl w:val="0"/>
          <w:numId w:val="0"/>
        </w:numPr>
        <w:spacing w:after="480"/>
        <w:ind w:left="567" w:hanging="567"/>
        <w:rPr>
          <w:rFonts w:cs="Tahoma"/>
          <w:b/>
          <w:szCs w:val="24"/>
          <w:u w:val="single"/>
        </w:rPr>
      </w:pPr>
      <w:r w:rsidRPr="000160FF">
        <w:rPr>
          <w:rFonts w:cs="Tahoma"/>
          <w:b/>
          <w:szCs w:val="24"/>
          <w:u w:val="single"/>
        </w:rPr>
        <w:t>RONAASEN AJ:</w:t>
      </w:r>
    </w:p>
    <w:p w14:paraId="75849662" w14:textId="43CF431F" w:rsidR="00565437" w:rsidRPr="000160FF" w:rsidRDefault="00565437" w:rsidP="00365993">
      <w:pPr>
        <w:pStyle w:val="H1"/>
        <w:numPr>
          <w:ilvl w:val="0"/>
          <w:numId w:val="0"/>
        </w:numPr>
        <w:spacing w:after="480"/>
        <w:ind w:left="567" w:hanging="567"/>
        <w:rPr>
          <w:rFonts w:cs="Tahoma"/>
          <w:b/>
          <w:bCs/>
          <w:szCs w:val="24"/>
          <w:u w:val="single"/>
        </w:rPr>
      </w:pPr>
      <w:r w:rsidRPr="000160FF">
        <w:rPr>
          <w:rFonts w:cs="Tahoma"/>
          <w:b/>
          <w:bCs/>
          <w:szCs w:val="24"/>
          <w:u w:val="single"/>
        </w:rPr>
        <w:t>Introduction</w:t>
      </w:r>
    </w:p>
    <w:p w14:paraId="014EE5FD" w14:textId="4FAD2A42" w:rsidR="00330EB0" w:rsidRDefault="00B91296" w:rsidP="00365993">
      <w:pPr>
        <w:pStyle w:val="H1"/>
        <w:spacing w:after="480"/>
        <w:rPr>
          <w:rFonts w:cs="Tahoma"/>
          <w:szCs w:val="24"/>
        </w:rPr>
      </w:pPr>
      <w:r>
        <w:rPr>
          <w:rFonts w:cs="Tahoma"/>
          <w:szCs w:val="24"/>
        </w:rPr>
        <w:t>The applicant seeks the provisional winding-up of the respondent on the grounds that it is unable to pay its debts as contemplated in section 344 and 345 of the Companies Act, 61 of 1973, alternatively, that it would be just and equitable for the respondent to be placed under provisional winding-up.</w:t>
      </w:r>
    </w:p>
    <w:p w14:paraId="413B006A" w14:textId="05DEAA95" w:rsidR="008C3E7D" w:rsidRDefault="008C3E7D" w:rsidP="00365993">
      <w:pPr>
        <w:pStyle w:val="H1"/>
        <w:spacing w:after="480"/>
        <w:rPr>
          <w:rFonts w:cs="Tahoma"/>
          <w:szCs w:val="24"/>
        </w:rPr>
      </w:pPr>
      <w:r>
        <w:rPr>
          <w:rFonts w:cs="Tahoma"/>
          <w:szCs w:val="24"/>
        </w:rPr>
        <w:t>The applicant contends that it has a liquidated claim against the respondent in the sum of R1 466 211.13 and that i</w:t>
      </w:r>
      <w:r w:rsidR="007F7B8C">
        <w:rPr>
          <w:rFonts w:cs="Tahoma"/>
          <w:szCs w:val="24"/>
        </w:rPr>
        <w:t>t</w:t>
      </w:r>
      <w:r>
        <w:rPr>
          <w:rFonts w:cs="Tahoma"/>
          <w:szCs w:val="24"/>
        </w:rPr>
        <w:t xml:space="preserve"> thus has the requisite legal standing to pursue this </w:t>
      </w:r>
      <w:r>
        <w:rPr>
          <w:rFonts w:cs="Tahoma"/>
          <w:szCs w:val="24"/>
        </w:rPr>
        <w:lastRenderedPageBreak/>
        <w:t>application.  I shall deal, below, with the grounds on which the applicant makes this contention</w:t>
      </w:r>
      <w:r w:rsidR="0076124F">
        <w:rPr>
          <w:rFonts w:cs="Tahoma"/>
          <w:szCs w:val="24"/>
        </w:rPr>
        <w:t>.</w:t>
      </w:r>
    </w:p>
    <w:p w14:paraId="6FFE5FC3" w14:textId="72965DBC" w:rsidR="0076124F" w:rsidRPr="00A86DB2" w:rsidRDefault="0076124F" w:rsidP="00365993">
      <w:pPr>
        <w:pStyle w:val="H1"/>
        <w:spacing w:after="480"/>
        <w:rPr>
          <w:rFonts w:cs="Tahoma"/>
          <w:szCs w:val="24"/>
        </w:rPr>
      </w:pPr>
      <w:r>
        <w:rPr>
          <w:rFonts w:cs="Tahoma"/>
          <w:szCs w:val="24"/>
        </w:rPr>
        <w:t xml:space="preserve">The respondent, in essence, opposes the application on the basis that winding-up proceedings are not appropriate to enforce payment of the respondent’s alleged indebtedness to the applicant in circumstances where such indebtedness is </w:t>
      </w:r>
      <w:r w:rsidRPr="0076124F">
        <w:rPr>
          <w:rFonts w:cs="Tahoma"/>
          <w:i/>
          <w:iCs/>
          <w:szCs w:val="24"/>
        </w:rPr>
        <w:t>bona fide</w:t>
      </w:r>
      <w:r>
        <w:rPr>
          <w:rFonts w:cs="Tahoma"/>
          <w:iCs/>
          <w:szCs w:val="24"/>
        </w:rPr>
        <w:t xml:space="preserve"> disputed by the respondent on grounds</w:t>
      </w:r>
      <w:r w:rsidR="00A86DB2">
        <w:rPr>
          <w:rFonts w:cs="Tahoma"/>
          <w:iCs/>
          <w:szCs w:val="24"/>
        </w:rPr>
        <w:t xml:space="preserve"> </w:t>
      </w:r>
      <w:r>
        <w:rPr>
          <w:rFonts w:cs="Tahoma"/>
          <w:iCs/>
          <w:szCs w:val="24"/>
        </w:rPr>
        <w:t>which it alleges to be reasonable</w:t>
      </w:r>
      <w:r w:rsidR="00A86DB2">
        <w:rPr>
          <w:rFonts w:cs="Tahoma"/>
          <w:iCs/>
          <w:szCs w:val="24"/>
        </w:rPr>
        <w:t>.  Here again I shall canvass more fully below the grounds on which the respondent founds its opposition.</w:t>
      </w:r>
    </w:p>
    <w:p w14:paraId="0D96DD87" w14:textId="1A831A97" w:rsidR="00A86DB2" w:rsidRDefault="00A86DB2" w:rsidP="00365993">
      <w:pPr>
        <w:pStyle w:val="H1"/>
        <w:numPr>
          <w:ilvl w:val="0"/>
          <w:numId w:val="0"/>
        </w:numPr>
        <w:spacing w:after="480"/>
        <w:rPr>
          <w:rFonts w:cs="Tahoma"/>
          <w:b/>
          <w:bCs/>
          <w:szCs w:val="24"/>
          <w:u w:val="single"/>
        </w:rPr>
      </w:pPr>
      <w:r>
        <w:rPr>
          <w:rFonts w:cs="Tahoma"/>
          <w:b/>
          <w:bCs/>
          <w:szCs w:val="24"/>
          <w:u w:val="single"/>
        </w:rPr>
        <w:t>The applicant’s principal contentions</w:t>
      </w:r>
    </w:p>
    <w:p w14:paraId="329FDAF0" w14:textId="2EACE04C" w:rsidR="00A86DB2" w:rsidRDefault="00CD3B20" w:rsidP="00365993">
      <w:pPr>
        <w:pStyle w:val="H1"/>
        <w:spacing w:after="480"/>
      </w:pPr>
      <w:r>
        <w:t xml:space="preserve">In December 2014 </w:t>
      </w:r>
      <w:r w:rsidR="008A3429">
        <w:t>separate written agreements were concluded between the applicant and the three shareholders of the respondent in terms of which the applicant purchased from the shareholders various percentages of their shareholding in the respondent, resulting</w:t>
      </w:r>
      <w:r w:rsidR="00CC6599">
        <w:t>, so it is alleged,</w:t>
      </w:r>
      <w:r w:rsidR="008A3429">
        <w:t xml:space="preserve"> in the applicant acquiring, in aggregate, 60% of the shareholding in the respondent</w:t>
      </w:r>
      <w:r w:rsidR="006E588E">
        <w:t xml:space="preserve"> (</w:t>
      </w:r>
      <w:proofErr w:type="spellStart"/>
      <w:r w:rsidR="00EB03A2">
        <w:t>collectively,</w:t>
      </w:r>
      <w:r w:rsidR="006E588E">
        <w:t>“the</w:t>
      </w:r>
      <w:proofErr w:type="spellEnd"/>
      <w:r w:rsidR="006E588E">
        <w:t xml:space="preserve"> first agreement”)</w:t>
      </w:r>
      <w:r w:rsidR="008A3429">
        <w:t>.</w:t>
      </w:r>
      <w:r w:rsidR="00EB03A2">
        <w:t xml:space="preserve"> </w:t>
      </w:r>
      <w:r w:rsidR="001F44AD">
        <w:t>One such agreement was attached to the founding affidavit</w:t>
      </w:r>
      <w:r w:rsidR="003A400C">
        <w:t>.</w:t>
      </w:r>
    </w:p>
    <w:p w14:paraId="15BB87B1" w14:textId="29FFF2AD" w:rsidR="008A3429" w:rsidRDefault="006E588E" w:rsidP="00365993">
      <w:pPr>
        <w:pStyle w:val="H1"/>
        <w:spacing w:after="480"/>
      </w:pPr>
      <w:r>
        <w:t>In terms of a written agreement concluded in February 2017 the respondent purchased from the applicant the shareholding it had allegedly acquired in the respondent</w:t>
      </w:r>
      <w:r w:rsidR="003E0002">
        <w:t>, in terms of the first agreement,</w:t>
      </w:r>
      <w:r w:rsidR="008317E6">
        <w:t xml:space="preserve"> for a purchase consideration of R3 000 000.00 (“the second agreement”).</w:t>
      </w:r>
    </w:p>
    <w:p w14:paraId="595021DE" w14:textId="14E190D1" w:rsidR="008317E6" w:rsidRDefault="007F1CF9" w:rsidP="00365993">
      <w:pPr>
        <w:pStyle w:val="H1"/>
        <w:spacing w:after="480"/>
      </w:pPr>
      <w:r>
        <w:lastRenderedPageBreak/>
        <w:t>The second agreement provided that the purchase consideration for the shares would be paid in two phases, namely:</w:t>
      </w:r>
    </w:p>
    <w:p w14:paraId="2C7D6F1A" w14:textId="12C143DE" w:rsidR="007F1CF9" w:rsidRDefault="007F1CF9" w:rsidP="00365993">
      <w:pPr>
        <w:pStyle w:val="H2"/>
        <w:spacing w:after="480"/>
      </w:pPr>
      <w:r>
        <w:t>the first phase - for 30 ordinary shares the sum of R1 450 000.00 would be redeemed from the applicant’s loan account on 28 February 2017; and</w:t>
      </w:r>
    </w:p>
    <w:p w14:paraId="1B554E3A" w14:textId="534BA404" w:rsidR="007F1CF9" w:rsidRDefault="007F1CF9" w:rsidP="00365993">
      <w:pPr>
        <w:pStyle w:val="H2"/>
        <w:spacing w:after="480"/>
      </w:pPr>
      <w:proofErr w:type="gramStart"/>
      <w:r>
        <w:t>the</w:t>
      </w:r>
      <w:proofErr w:type="gramEnd"/>
      <w:r>
        <w:t xml:space="preserve"> second phase - the balance of 30 ordinary shares for the sum of R1 550 000.00, payable no later than nine months from the date of signature of the second agreement.</w:t>
      </w:r>
    </w:p>
    <w:p w14:paraId="17E02125" w14:textId="3279128C" w:rsidR="007F1CF9" w:rsidRDefault="00903C81" w:rsidP="00365993">
      <w:pPr>
        <w:pStyle w:val="H1"/>
        <w:spacing w:after="480"/>
      </w:pPr>
      <w:r>
        <w:t>The second agreement was signed on 28 February 2017.  Contemporaneously the sum referred to in paragraph 6.1, above was redeemed from the loan account.</w:t>
      </w:r>
    </w:p>
    <w:p w14:paraId="69C95BA0" w14:textId="5275BC80" w:rsidR="00903C81" w:rsidRDefault="00903C81" w:rsidP="00365993">
      <w:pPr>
        <w:pStyle w:val="H1"/>
        <w:spacing w:after="480"/>
      </w:pPr>
      <w:r>
        <w:t>The applicant states that the sum referred to in paragraph 6.2, above was reduced</w:t>
      </w:r>
      <w:r w:rsidR="00944FE2">
        <w:t>,</w:t>
      </w:r>
      <w:r>
        <w:t xml:space="preserve"> by setting off an indebtedness of the applicant to the respondent</w:t>
      </w:r>
      <w:r w:rsidR="00944FE2">
        <w:t>,</w:t>
      </w:r>
      <w:r>
        <w:t xml:space="preserve"> to the sum of R1</w:t>
      </w:r>
      <w:r w:rsidR="008C1E15">
        <w:t> 466 211.13, i.e. the applicant’s alleged liquidated claim against the respondent.  It is not in dispute that th</w:t>
      </w:r>
      <w:r w:rsidR="00962013">
        <w:t>is</w:t>
      </w:r>
      <w:r w:rsidR="008C1E15">
        <w:t xml:space="preserve"> sum has not been paid to the applicant.</w:t>
      </w:r>
    </w:p>
    <w:p w14:paraId="7BE2C173" w14:textId="72BBA8AC" w:rsidR="008C1E15" w:rsidRDefault="008C1E15" w:rsidP="00365993">
      <w:pPr>
        <w:pStyle w:val="H1"/>
        <w:spacing w:after="480"/>
      </w:pPr>
      <w:r>
        <w:t xml:space="preserve">According to the applicant the respondent’s </w:t>
      </w:r>
      <w:r w:rsidR="003958F2">
        <w:t>failure to pay the balance of the purchase consideration can be ascribed to its</w:t>
      </w:r>
      <w:r>
        <w:t xml:space="preserve"> inability to pay </w:t>
      </w:r>
      <w:r w:rsidR="003958F2">
        <w:t xml:space="preserve">its </w:t>
      </w:r>
      <w:r>
        <w:t>debts</w:t>
      </w:r>
      <w:r w:rsidR="003958F2">
        <w:t>, which inability</w:t>
      </w:r>
      <w:r>
        <w:t xml:space="preserve"> can be gleaned from the following:</w:t>
      </w:r>
    </w:p>
    <w:p w14:paraId="1DAADF3F" w14:textId="5DB131DA" w:rsidR="008C1E15" w:rsidRDefault="003958F2" w:rsidP="00365993">
      <w:pPr>
        <w:pStyle w:val="H2"/>
        <w:spacing w:after="480"/>
      </w:pPr>
      <w:proofErr w:type="gramStart"/>
      <w:r>
        <w:t>the</w:t>
      </w:r>
      <w:proofErr w:type="gramEnd"/>
      <w:r>
        <w:t xml:space="preserve"> respondent, after negotiations regarding its alleged indebtedness to the applicant</w:t>
      </w:r>
      <w:r w:rsidR="00FB2BB4">
        <w:t>,</w:t>
      </w:r>
      <w:r>
        <w:t xml:space="preserve"> attempted to compromise such indebtedness in email correspondence dated 6 December 2019.  The applicant argues that this </w:t>
      </w:r>
      <w:r>
        <w:lastRenderedPageBreak/>
        <w:t xml:space="preserve">correspondence is clearly indicative of an inability by the respondent to pay its debts as and when they </w:t>
      </w:r>
      <w:r w:rsidR="00B07925">
        <w:t xml:space="preserve">fall due. </w:t>
      </w:r>
      <w:r>
        <w:t xml:space="preserve"> Significantly in this letter the respondent did not, in terms, acknowledge being indebted to the applicant in the sum claimed by the applicant;</w:t>
      </w:r>
    </w:p>
    <w:p w14:paraId="611A02FF" w14:textId="1FA02464" w:rsidR="003958F2" w:rsidRDefault="00B07925" w:rsidP="00365993">
      <w:pPr>
        <w:pStyle w:val="H2"/>
        <w:spacing w:after="480"/>
      </w:pPr>
      <w:proofErr w:type="gramStart"/>
      <w:r>
        <w:t>on</w:t>
      </w:r>
      <w:proofErr w:type="gramEnd"/>
      <w:r>
        <w:t xml:space="preserve"> 2 July 2021 a letter of demand as envisaged in section 345 of the Companies Act, 1973 was delivered to the respondent and this demand remains unsatisfied.  Thus, so it is contended, the respondent is deemed to be unable to pay its debts.</w:t>
      </w:r>
    </w:p>
    <w:p w14:paraId="5DA0D230" w14:textId="60EB2689" w:rsidR="00B07925" w:rsidRDefault="00B07925" w:rsidP="00365993">
      <w:pPr>
        <w:pStyle w:val="H1"/>
        <w:spacing w:after="480"/>
      </w:pPr>
      <w:r>
        <w:t>The applicant also says that it would be just and equitable for the respondent to be placed under provisional winding-up, as:</w:t>
      </w:r>
    </w:p>
    <w:p w14:paraId="3832414B" w14:textId="4F1A08F5" w:rsidR="00B07925" w:rsidRDefault="00B07925" w:rsidP="00365993">
      <w:pPr>
        <w:pStyle w:val="H2"/>
        <w:spacing w:after="480"/>
      </w:pPr>
      <w:r>
        <w:t>in terms of the second agreement ownership in the shares sold remained vested in the applicant until the full purchase consideration had been paid;</w:t>
      </w:r>
    </w:p>
    <w:p w14:paraId="34D68FC6" w14:textId="6EE0A5C4" w:rsidR="00B07925" w:rsidRDefault="00B07925" w:rsidP="00365993">
      <w:pPr>
        <w:pStyle w:val="H2"/>
        <w:spacing w:after="480"/>
      </w:pPr>
      <w:r>
        <w:t xml:space="preserve">despite the applicant thus </w:t>
      </w:r>
      <w:r w:rsidR="001E6617">
        <w:t xml:space="preserve">still </w:t>
      </w:r>
      <w:r>
        <w:t xml:space="preserve">being a </w:t>
      </w:r>
      <w:r w:rsidR="00E633A7">
        <w:t>majority shareholder in the respondent, the business of the respondent was continuing to be run to the detriment of the applicant;</w:t>
      </w:r>
    </w:p>
    <w:p w14:paraId="68C81E23" w14:textId="65EAFFDD" w:rsidR="00E633A7" w:rsidRDefault="00E633A7" w:rsidP="00365993">
      <w:pPr>
        <w:pStyle w:val="H2"/>
        <w:spacing w:after="480"/>
      </w:pPr>
      <w:r>
        <w:t>the respondent, through its directors had resisted all attempts to convene a shareholders’ meeting or allow the applicant any involvement in the running of the respondent;</w:t>
      </w:r>
    </w:p>
    <w:p w14:paraId="53F7C089" w14:textId="18842DDA" w:rsidR="00E633A7" w:rsidRDefault="00E633A7" w:rsidP="00365993">
      <w:pPr>
        <w:pStyle w:val="H2"/>
        <w:spacing w:after="480"/>
      </w:pPr>
      <w:proofErr w:type="gramStart"/>
      <w:r>
        <w:lastRenderedPageBreak/>
        <w:t>the</w:t>
      </w:r>
      <w:proofErr w:type="gramEnd"/>
      <w:r>
        <w:t xml:space="preserve"> respondent, in a letter dated 29 June 2021, “inexplicably” disputed that the applicant was, in fact, the majority shareholder in the respondent and would thus resist any attempt to arrange a shareholders’ meeting.</w:t>
      </w:r>
    </w:p>
    <w:p w14:paraId="21DFC768" w14:textId="25F623CE" w:rsidR="000A6181" w:rsidRDefault="000A6181" w:rsidP="00365993">
      <w:pPr>
        <w:pStyle w:val="H2"/>
        <w:numPr>
          <w:ilvl w:val="0"/>
          <w:numId w:val="0"/>
        </w:numPr>
        <w:spacing w:after="480"/>
        <w:rPr>
          <w:b/>
          <w:bCs/>
          <w:u w:val="single"/>
        </w:rPr>
      </w:pPr>
      <w:r>
        <w:rPr>
          <w:b/>
          <w:bCs/>
          <w:u w:val="single"/>
        </w:rPr>
        <w:t>The respondent’s grounds of opposition</w:t>
      </w:r>
    </w:p>
    <w:p w14:paraId="6EC867E1" w14:textId="7FE1FC30" w:rsidR="000A6181" w:rsidRDefault="000A6181" w:rsidP="00365993">
      <w:pPr>
        <w:pStyle w:val="H1"/>
        <w:spacing w:after="480"/>
      </w:pPr>
      <w:r>
        <w:t>The respondent’s main contention is that the suspensive condition in clause 3 of the first agreement regarding the submission of a memorandum of incorporation in an agreed form to CIPC did not occur.  No demand was ever made of the respondent to f</w:t>
      </w:r>
      <w:r w:rsidR="00B51EEF">
        <w:t>ulfil</w:t>
      </w:r>
      <w:r>
        <w:t xml:space="preserve"> this condition</w:t>
      </w:r>
      <w:r w:rsidR="00324F3B">
        <w:t xml:space="preserve"> and it was never fulfilled.  Thus, the suspended provisions, which included the sale and purchase provision in clause 4 of the agreement and clause 5 relating to the amount of the purchase consideration in terms of its payment did not come into effect</w:t>
      </w:r>
      <w:r w:rsidR="004123DC">
        <w:t>.</w:t>
      </w:r>
      <w:r w:rsidR="00324F3B">
        <w:t xml:space="preserve"> </w:t>
      </w:r>
      <w:r w:rsidR="004123DC">
        <w:t xml:space="preserve"> T</w:t>
      </w:r>
      <w:r w:rsidR="00324F3B">
        <w:t xml:space="preserve">he effective date of the agreement (defined in the second agreement as being the third business day after the fulfilment of the suspensive condition in clause 3) was </w:t>
      </w:r>
      <w:r w:rsidR="004123DC">
        <w:t xml:space="preserve">accordingly </w:t>
      </w:r>
      <w:r w:rsidR="00324F3B">
        <w:t>never reached.</w:t>
      </w:r>
    </w:p>
    <w:p w14:paraId="2737FA3B" w14:textId="38B22ECC" w:rsidR="00324F3B" w:rsidRDefault="00324F3B" w:rsidP="00365993">
      <w:pPr>
        <w:pStyle w:val="H1"/>
        <w:spacing w:after="480"/>
      </w:pPr>
      <w:r>
        <w:t>Obviously</w:t>
      </w:r>
      <w:r w:rsidR="0092067E">
        <w:t>,</w:t>
      </w:r>
      <w:r>
        <w:t xml:space="preserve"> if the first agreement remained </w:t>
      </w:r>
      <w:proofErr w:type="spellStart"/>
      <w:r>
        <w:t>inco</w:t>
      </w:r>
      <w:r w:rsidR="002145EE">
        <w:t>hate</w:t>
      </w:r>
      <w:proofErr w:type="spellEnd"/>
      <w:r w:rsidR="002145EE">
        <w:t xml:space="preserve"> as result of the non-fulfilment of the suspensive condition</w:t>
      </w:r>
      <w:r w:rsidR="0092067E">
        <w:t>,</w:t>
      </w:r>
      <w:r w:rsidR="002145EE">
        <w:t xml:space="preserve"> this would mean that the applicant never acquired ownership of shares in the respondent, which, in turn, would have a bearing on the validity of the second agreement.  The applicant, for instance, would not have been in a position to warrant its ownership of the shares which were the subject matter of the second agreement as it did in terms of that agreement.</w:t>
      </w:r>
      <w:r w:rsidR="00B47D51">
        <w:t xml:space="preserve">  The respondent says that its case in this regard is enhanced by the fact that no share certificates were ever delivered to the applicant.</w:t>
      </w:r>
    </w:p>
    <w:p w14:paraId="4AE97C6D" w14:textId="27F45BA0" w:rsidR="002145EE" w:rsidRDefault="002145EE" w:rsidP="00365993">
      <w:pPr>
        <w:pStyle w:val="H1"/>
        <w:spacing w:after="480"/>
      </w:pPr>
      <w:r>
        <w:lastRenderedPageBreak/>
        <w:t>The respondent contends further that the applicant was substantially indebted to it</w:t>
      </w:r>
      <w:r w:rsidR="003E7159">
        <w:t xml:space="preserve"> in respect of what the respondent described as trade debts and that this indebtedness was the genesis of the second agreement, which envisaged a set-off arrangement in respect of the applicant’s indebtedness to the respondent when calculating the purchase consideration </w:t>
      </w:r>
      <w:r w:rsidR="00E3744D">
        <w:t>for</w:t>
      </w:r>
      <w:r w:rsidR="003E7159">
        <w:t xml:space="preserve"> the shares in terms of the second agreement.</w:t>
      </w:r>
    </w:p>
    <w:p w14:paraId="4B4C3346" w14:textId="7C6D1D36" w:rsidR="00E3744D" w:rsidRDefault="00E3744D" w:rsidP="00365993">
      <w:pPr>
        <w:pStyle w:val="H1"/>
        <w:spacing w:after="480"/>
      </w:pPr>
      <w:r>
        <w:t>Thus, says the respondent if the applicant had instituted action against it for the recovery of the alleged indebtedness relating to the non-payment of the purchase consideration for the shares the respondent would have had a clear defence against such a claim.</w:t>
      </w:r>
    </w:p>
    <w:p w14:paraId="010698A8" w14:textId="21D0B577" w:rsidR="00E3744D" w:rsidRDefault="00E3744D" w:rsidP="00365993">
      <w:pPr>
        <w:pStyle w:val="H1"/>
        <w:spacing w:after="480"/>
      </w:pPr>
      <w:r>
        <w:t>Furthermore, so argues</w:t>
      </w:r>
      <w:r w:rsidR="00B47D51">
        <w:t xml:space="preserve"> the respondent, the applicant’s claim against it </w:t>
      </w:r>
      <w:r w:rsidR="0081012D">
        <w:t>h</w:t>
      </w:r>
      <w:r w:rsidR="00B47D51">
        <w:t>as</w:t>
      </w:r>
      <w:r w:rsidR="0081012D">
        <w:t xml:space="preserve"> been extinguished by</w:t>
      </w:r>
      <w:r w:rsidR="00B47D51">
        <w:t xml:space="preserve"> prescri</w:t>
      </w:r>
      <w:r w:rsidR="0081012D">
        <w:t>ption</w:t>
      </w:r>
      <w:r w:rsidR="00B47D51">
        <w:t>.  Payment of the balance of the purchase consideration in respect of the shares, on the applicant’s version, was due in November 2017 and the respondent a</w:t>
      </w:r>
      <w:r w:rsidR="00CA2C1F">
        <w:t>t no stage</w:t>
      </w:r>
      <w:r w:rsidR="00B47D51">
        <w:t xml:space="preserve"> acknowledged liability in any amount to the applicant.</w:t>
      </w:r>
    </w:p>
    <w:p w14:paraId="15075710" w14:textId="77777777" w:rsidR="00244A9A" w:rsidRDefault="00B47D51" w:rsidP="00365993">
      <w:pPr>
        <w:pStyle w:val="H1"/>
        <w:spacing w:after="480"/>
      </w:pPr>
      <w:r>
        <w:t>It is against this background that the</w:t>
      </w:r>
      <w:r w:rsidR="003D47F1">
        <w:t xml:space="preserve"> respondent argues that the existence of any indebtedness by it to the applicant is </w:t>
      </w:r>
      <w:r w:rsidR="003D47F1" w:rsidRPr="003D47F1">
        <w:rPr>
          <w:i/>
          <w:iCs/>
        </w:rPr>
        <w:t>bona fide</w:t>
      </w:r>
      <w:r w:rsidR="003D47F1">
        <w:rPr>
          <w:iCs/>
        </w:rPr>
        <w:t xml:space="preserve"> disputed on reasonable grounds and that winding-up proceedings are not appropriate to determine the disputes between the parties.</w:t>
      </w:r>
    </w:p>
    <w:p w14:paraId="0525A29A" w14:textId="77777777" w:rsidR="00244A9A" w:rsidRDefault="00244A9A" w:rsidP="00365993">
      <w:pPr>
        <w:pStyle w:val="H1"/>
        <w:numPr>
          <w:ilvl w:val="0"/>
          <w:numId w:val="0"/>
        </w:numPr>
        <w:spacing w:after="480"/>
      </w:pPr>
    </w:p>
    <w:p w14:paraId="762BB0A8" w14:textId="77777777" w:rsidR="00244A9A" w:rsidRDefault="00244A9A" w:rsidP="00365993">
      <w:pPr>
        <w:pStyle w:val="H1"/>
        <w:numPr>
          <w:ilvl w:val="0"/>
          <w:numId w:val="0"/>
        </w:numPr>
        <w:spacing w:after="480"/>
      </w:pPr>
    </w:p>
    <w:p w14:paraId="155DEDD6" w14:textId="0FDB968F" w:rsidR="003D47F1" w:rsidRPr="00244A9A" w:rsidRDefault="003D47F1" w:rsidP="00365993">
      <w:pPr>
        <w:pStyle w:val="H1"/>
        <w:numPr>
          <w:ilvl w:val="0"/>
          <w:numId w:val="0"/>
        </w:numPr>
        <w:spacing w:after="480"/>
      </w:pPr>
      <w:r w:rsidRPr="00244A9A">
        <w:rPr>
          <w:b/>
          <w:bCs/>
          <w:u w:val="single"/>
        </w:rPr>
        <w:lastRenderedPageBreak/>
        <w:t>Legal principles</w:t>
      </w:r>
    </w:p>
    <w:p w14:paraId="116DC64C" w14:textId="57489BBE" w:rsidR="00273905" w:rsidRDefault="002D69DC" w:rsidP="00365993">
      <w:pPr>
        <w:pStyle w:val="H1"/>
        <w:spacing w:after="480"/>
      </w:pPr>
      <w:r>
        <w:t>There is a wealth of authority</w:t>
      </w:r>
      <w:r w:rsidR="00BC50DC">
        <w:t xml:space="preserve"> to the effect that winding-up proceedings ought not to be resorted to </w:t>
      </w:r>
      <w:r w:rsidR="00755BB7">
        <w:t xml:space="preserve">and </w:t>
      </w:r>
      <w:r w:rsidR="00AF4070">
        <w:t>by means thereof to</w:t>
      </w:r>
      <w:r w:rsidR="00755BB7">
        <w:t xml:space="preserve"> t</w:t>
      </w:r>
      <w:r w:rsidR="00D060C6">
        <w:t>ry to</w:t>
      </w:r>
      <w:r w:rsidR="00AF4070">
        <w:t xml:space="preserve"> enforce payment of a debt the existence of which</w:t>
      </w:r>
      <w:r w:rsidR="00DA569A">
        <w:t xml:space="preserve"> is in good faith disputed by the company on reasonable grounds.</w:t>
      </w:r>
    </w:p>
    <w:p w14:paraId="34579D19" w14:textId="5D65FE6E" w:rsidR="00973CDD" w:rsidRPr="002F1A70" w:rsidRDefault="0089698E" w:rsidP="00365993">
      <w:pPr>
        <w:pStyle w:val="H1"/>
        <w:spacing w:after="480"/>
      </w:pPr>
      <w:r>
        <w:t>The procedure for winding-up is not designed for the resolution of disputes as to the existence or non-existence of a debt - the so-called</w:t>
      </w:r>
      <w:r w:rsidR="00DE6224">
        <w:t xml:space="preserve"> “</w:t>
      </w:r>
      <w:proofErr w:type="spellStart"/>
      <w:r w:rsidR="00DE6224">
        <w:t>Badenhorst</w:t>
      </w:r>
      <w:proofErr w:type="spellEnd"/>
      <w:r w:rsidR="00DE6224">
        <w:t xml:space="preserve"> rule”</w:t>
      </w:r>
      <w:r w:rsidR="00F93858">
        <w:t>,</w:t>
      </w:r>
      <w:r w:rsidR="00DE6224">
        <w:t xml:space="preserve"> following the decision </w:t>
      </w:r>
      <w:r w:rsidR="001E7993">
        <w:t xml:space="preserve">in </w:t>
      </w:r>
      <w:proofErr w:type="spellStart"/>
      <w:r w:rsidR="001E7993">
        <w:rPr>
          <w:i/>
          <w:iCs/>
        </w:rPr>
        <w:t>Badenhorst</w:t>
      </w:r>
      <w:proofErr w:type="spellEnd"/>
      <w:r w:rsidR="00C62E0A">
        <w:rPr>
          <w:i/>
          <w:iCs/>
        </w:rPr>
        <w:t xml:space="preserve"> v Northern Construction Enterprises (Pty) Ltd</w:t>
      </w:r>
      <w:r w:rsidR="00C62E0A">
        <w:rPr>
          <w:iCs/>
        </w:rPr>
        <w:t xml:space="preserve"> 1956 (2)</w:t>
      </w:r>
      <w:r w:rsidR="00296F4E">
        <w:rPr>
          <w:iCs/>
        </w:rPr>
        <w:t xml:space="preserve"> SA 346 (T) at 347-348</w:t>
      </w:r>
      <w:r w:rsidR="002F1A70">
        <w:rPr>
          <w:iCs/>
        </w:rPr>
        <w:t>.</w:t>
      </w:r>
    </w:p>
    <w:p w14:paraId="65A20267" w14:textId="46136E76" w:rsidR="002F1A70" w:rsidRPr="007C287C" w:rsidRDefault="002F1A70" w:rsidP="00365993">
      <w:pPr>
        <w:pStyle w:val="H1"/>
        <w:spacing w:after="480"/>
      </w:pPr>
      <w:r>
        <w:t>The legal position which will inform my decision in this matter</w:t>
      </w:r>
      <w:r w:rsidR="00FB4BCF">
        <w:t>, with reference to a long line of authority</w:t>
      </w:r>
      <w:r w:rsidR="00882108">
        <w:t>,</w:t>
      </w:r>
      <w:r w:rsidR="004C3F24">
        <w:t xml:space="preserve"> is </w:t>
      </w:r>
      <w:r w:rsidR="00D53D28">
        <w:t xml:space="preserve">appositely stated in the following terms in </w:t>
      </w:r>
      <w:proofErr w:type="spellStart"/>
      <w:r w:rsidR="00D53D28">
        <w:rPr>
          <w:i/>
          <w:iCs/>
        </w:rPr>
        <w:t>Kalil</w:t>
      </w:r>
      <w:proofErr w:type="spellEnd"/>
      <w:r w:rsidR="00D53D28">
        <w:rPr>
          <w:i/>
          <w:iCs/>
        </w:rPr>
        <w:t xml:space="preserve"> v </w:t>
      </w:r>
      <w:proofErr w:type="spellStart"/>
      <w:r w:rsidR="00D53D28">
        <w:rPr>
          <w:i/>
          <w:iCs/>
        </w:rPr>
        <w:t>Decotex</w:t>
      </w:r>
      <w:proofErr w:type="spellEnd"/>
      <w:r w:rsidR="00E62A43">
        <w:rPr>
          <w:i/>
          <w:iCs/>
        </w:rPr>
        <w:t xml:space="preserve"> (Pty) Ltd and Another</w:t>
      </w:r>
      <w:r w:rsidR="00E62A43">
        <w:rPr>
          <w:iCs/>
        </w:rPr>
        <w:t xml:space="preserve"> 1988 (1) SA 943 (</w:t>
      </w:r>
      <w:r w:rsidR="007C287C">
        <w:rPr>
          <w:iCs/>
        </w:rPr>
        <w:t>AD) at 980 B-C:</w:t>
      </w:r>
    </w:p>
    <w:p w14:paraId="2997B55A" w14:textId="71CE3098" w:rsidR="007C287C" w:rsidRDefault="008A1F86" w:rsidP="00365993">
      <w:pPr>
        <w:pStyle w:val="H1"/>
        <w:numPr>
          <w:ilvl w:val="0"/>
          <w:numId w:val="0"/>
        </w:numPr>
        <w:spacing w:after="480"/>
        <w:ind w:left="567"/>
        <w:rPr>
          <w:sz w:val="22"/>
        </w:rPr>
      </w:pPr>
      <w:r>
        <w:rPr>
          <w:sz w:val="22"/>
        </w:rPr>
        <w:t>“As in the present case, the disputes which</w:t>
      </w:r>
      <w:r w:rsidR="00F86B99">
        <w:rPr>
          <w:sz w:val="22"/>
        </w:rPr>
        <w:t xml:space="preserve"> arise on the affidavits may relate to the </w:t>
      </w:r>
      <w:r w:rsidR="00F86B99">
        <w:rPr>
          <w:i/>
          <w:sz w:val="22"/>
        </w:rPr>
        <w:t>locus standi</w:t>
      </w:r>
      <w:r w:rsidR="00F86B99">
        <w:rPr>
          <w:sz w:val="22"/>
        </w:rPr>
        <w:t xml:space="preserve"> of the applicant</w:t>
      </w:r>
      <w:r w:rsidR="004726EE">
        <w:rPr>
          <w:sz w:val="22"/>
        </w:rPr>
        <w:t xml:space="preserve">, either as a member or creditor, or as to whether proper grounds for winding-up have been established.  In regard to </w:t>
      </w:r>
      <w:r w:rsidR="004726EE">
        <w:rPr>
          <w:i/>
          <w:sz w:val="22"/>
        </w:rPr>
        <w:t>locus standi</w:t>
      </w:r>
      <w:r w:rsidR="00975DCF">
        <w:rPr>
          <w:sz w:val="22"/>
        </w:rPr>
        <w:t xml:space="preserve"> as a creditor, it </w:t>
      </w:r>
      <w:r w:rsidR="00566C94">
        <w:rPr>
          <w:sz w:val="22"/>
        </w:rPr>
        <w:t>ha</w:t>
      </w:r>
      <w:r w:rsidR="00975DCF">
        <w:rPr>
          <w:sz w:val="22"/>
        </w:rPr>
        <w:t>s been held</w:t>
      </w:r>
      <w:r w:rsidR="00B46951">
        <w:rPr>
          <w:sz w:val="22"/>
        </w:rPr>
        <w:t xml:space="preserve">, following certain English authority, that an application for liquidation should not be resorted to in order to enforce a claim which is </w:t>
      </w:r>
      <w:r w:rsidR="00B46951">
        <w:rPr>
          <w:i/>
          <w:sz w:val="22"/>
        </w:rPr>
        <w:t>bona fide</w:t>
      </w:r>
      <w:r w:rsidR="00400FA2">
        <w:rPr>
          <w:sz w:val="22"/>
        </w:rPr>
        <w:t xml:space="preserve"> disputed by the company.  Consequently, where the respondent shows on </w:t>
      </w:r>
      <w:r w:rsidR="00747EF4">
        <w:rPr>
          <w:sz w:val="22"/>
        </w:rPr>
        <w:t>a</w:t>
      </w:r>
      <w:r w:rsidR="00400FA2">
        <w:rPr>
          <w:sz w:val="22"/>
        </w:rPr>
        <w:t xml:space="preserve"> balance of probability</w:t>
      </w:r>
      <w:r w:rsidR="00747EF4">
        <w:rPr>
          <w:sz w:val="22"/>
        </w:rPr>
        <w:t xml:space="preserve"> that it</w:t>
      </w:r>
      <w:r w:rsidR="00AE7246">
        <w:rPr>
          <w:sz w:val="22"/>
        </w:rPr>
        <w:t>s</w:t>
      </w:r>
      <w:r w:rsidR="00747EF4">
        <w:rPr>
          <w:sz w:val="22"/>
        </w:rPr>
        <w:t xml:space="preserve"> indebtedness to the applicant is disputed on </w:t>
      </w:r>
      <w:r w:rsidR="00747EF4">
        <w:rPr>
          <w:i/>
          <w:sz w:val="22"/>
        </w:rPr>
        <w:t>bona fide</w:t>
      </w:r>
      <w:r w:rsidR="007F5FB3">
        <w:rPr>
          <w:sz w:val="22"/>
        </w:rPr>
        <w:t xml:space="preserve"> and reasonable grounds, the Court will refuse a winding-up order.  The onus </w:t>
      </w:r>
      <w:r w:rsidR="00477555">
        <w:rPr>
          <w:sz w:val="22"/>
        </w:rPr>
        <w:t>on the respondent is not a show that it is not indebted to the applicant: it is merely to show that the indebtedness is disputed</w:t>
      </w:r>
      <w:r w:rsidR="00F16E5A">
        <w:rPr>
          <w:sz w:val="22"/>
        </w:rPr>
        <w:t xml:space="preserve"> on </w:t>
      </w:r>
      <w:r w:rsidR="00F16E5A">
        <w:rPr>
          <w:i/>
          <w:sz w:val="22"/>
        </w:rPr>
        <w:t>bona fide</w:t>
      </w:r>
      <w:r w:rsidR="00F16E5A">
        <w:rPr>
          <w:sz w:val="22"/>
        </w:rPr>
        <w:t xml:space="preserve"> and reasonable grounds.”</w:t>
      </w:r>
    </w:p>
    <w:p w14:paraId="0E2B37F3" w14:textId="77777777" w:rsidR="00365993" w:rsidRDefault="00365993" w:rsidP="00365993">
      <w:pPr>
        <w:pStyle w:val="H1"/>
        <w:numPr>
          <w:ilvl w:val="0"/>
          <w:numId w:val="0"/>
        </w:numPr>
        <w:spacing w:after="480"/>
        <w:ind w:left="567"/>
        <w:rPr>
          <w:sz w:val="22"/>
        </w:rPr>
      </w:pPr>
    </w:p>
    <w:p w14:paraId="5EFDCED4" w14:textId="145E16F3" w:rsidR="00E420A4" w:rsidRDefault="0079109F" w:rsidP="00365993">
      <w:pPr>
        <w:pStyle w:val="H1"/>
        <w:numPr>
          <w:ilvl w:val="0"/>
          <w:numId w:val="0"/>
        </w:numPr>
        <w:spacing w:after="480"/>
        <w:ind w:left="567" w:hanging="567"/>
        <w:rPr>
          <w:b/>
          <w:bCs/>
          <w:u w:val="single"/>
        </w:rPr>
      </w:pPr>
      <w:r>
        <w:rPr>
          <w:b/>
          <w:bCs/>
          <w:u w:val="single"/>
        </w:rPr>
        <w:lastRenderedPageBreak/>
        <w:t>Application of legal principles</w:t>
      </w:r>
    </w:p>
    <w:p w14:paraId="440A3710" w14:textId="0CA37B7E" w:rsidR="0079109F" w:rsidRDefault="00587B78" w:rsidP="00365993">
      <w:pPr>
        <w:pStyle w:val="H1"/>
        <w:spacing w:after="480"/>
      </w:pPr>
      <w:r>
        <w:t>On the papers before me the following disputes are apparent:</w:t>
      </w:r>
    </w:p>
    <w:p w14:paraId="6F9B0152" w14:textId="7752FE11" w:rsidR="00E97E7F" w:rsidRDefault="00E97E7F" w:rsidP="00365993">
      <w:pPr>
        <w:pStyle w:val="H2"/>
        <w:spacing w:after="480"/>
      </w:pPr>
      <w:r>
        <w:t>the existence or non-existence of any indebtedness by the respondent to the applicant</w:t>
      </w:r>
      <w:r w:rsidR="00293D4D">
        <w:t>;</w:t>
      </w:r>
    </w:p>
    <w:p w14:paraId="43479142" w14:textId="57366A64" w:rsidR="00144693" w:rsidRDefault="00144693" w:rsidP="00365993">
      <w:pPr>
        <w:pStyle w:val="H2"/>
        <w:spacing w:after="480"/>
      </w:pPr>
      <w:r>
        <w:t>if there is indeed an indebtedness by the respondent to the applicant, the extent of such indebtedness;</w:t>
      </w:r>
    </w:p>
    <w:p w14:paraId="1827988D" w14:textId="0E832F42" w:rsidR="00144693" w:rsidRDefault="00857C57" w:rsidP="00365993">
      <w:pPr>
        <w:pStyle w:val="H2"/>
        <w:spacing w:after="480"/>
      </w:pPr>
      <w:r>
        <w:t>whether or not the suspensive condition in clause 3 of the</w:t>
      </w:r>
      <w:r w:rsidR="008D62FD">
        <w:t xml:space="preserve"> first agreement was fulfilled or whether</w:t>
      </w:r>
      <w:r w:rsidR="00B327D5">
        <w:t xml:space="preserve"> fulfilment thereof</w:t>
      </w:r>
      <w:r w:rsidR="00B06B55">
        <w:t xml:space="preserve"> could be and</w:t>
      </w:r>
      <w:r w:rsidR="00B327D5">
        <w:t xml:space="preserve"> was waived by the </w:t>
      </w:r>
      <w:r w:rsidR="007932DC">
        <w:t>applicant and/or the parties to the various agreements</w:t>
      </w:r>
      <w:r w:rsidR="00BB00FF">
        <w:t xml:space="preserve"> providing for the sale of shares in the respondent to the applicant</w:t>
      </w:r>
      <w:r w:rsidR="00CA7207">
        <w:t>;</w:t>
      </w:r>
    </w:p>
    <w:p w14:paraId="395308F6" w14:textId="47CD8584" w:rsidR="00CA7207" w:rsidRDefault="00820A78" w:rsidP="00365993">
      <w:pPr>
        <w:pStyle w:val="H2"/>
        <w:spacing w:after="480"/>
      </w:pPr>
      <w:r>
        <w:t xml:space="preserve">whether, in fact, the applicant ever became a </w:t>
      </w:r>
      <w:r w:rsidR="00705F87">
        <w:t>shareholder in the respondent</w:t>
      </w:r>
      <w:r w:rsidR="00817F76">
        <w:t>, which will be dependent on a determination of the issues referred to in the preceding sub-paragraph</w:t>
      </w:r>
      <w:r w:rsidR="00705F87">
        <w:t>;</w:t>
      </w:r>
    </w:p>
    <w:p w14:paraId="15CD038D" w14:textId="75D6338C" w:rsidR="00705F87" w:rsidRDefault="00401E6E" w:rsidP="00365993">
      <w:pPr>
        <w:pStyle w:val="H2"/>
        <w:spacing w:after="480"/>
      </w:pPr>
      <w:r>
        <w:t xml:space="preserve">the </w:t>
      </w:r>
      <w:r>
        <w:rPr>
          <w:i/>
        </w:rPr>
        <w:t>locus standi</w:t>
      </w:r>
      <w:r>
        <w:t xml:space="preserve"> of the applicant</w:t>
      </w:r>
      <w:r w:rsidR="001F6D87">
        <w:t xml:space="preserve"> which, in turn, is dependent on</w:t>
      </w:r>
      <w:r w:rsidR="00220C95">
        <w:t xml:space="preserve"> the existence of an indebtedness by the respondent to the applicant and/or the applicant being a shareholder in the respondent</w:t>
      </w:r>
      <w:r w:rsidR="009E5ADC">
        <w:t>;</w:t>
      </w:r>
    </w:p>
    <w:p w14:paraId="338C4D43" w14:textId="0947C105" w:rsidR="00E94751" w:rsidRDefault="00E94751" w:rsidP="00365993">
      <w:pPr>
        <w:pStyle w:val="H2"/>
        <w:spacing w:after="480"/>
      </w:pPr>
      <w:r>
        <w:t>the validity of the second agreement</w:t>
      </w:r>
      <w:r w:rsidR="00CB0BD0">
        <w:t>, which will be determined by resolution of the disputes referred to in the</w:t>
      </w:r>
      <w:r w:rsidR="00A2237C">
        <w:t xml:space="preserve"> preceding sub-paragraphs</w:t>
      </w:r>
      <w:r w:rsidR="00450457">
        <w:t>;</w:t>
      </w:r>
    </w:p>
    <w:p w14:paraId="2E92EDEC" w14:textId="76C38981" w:rsidR="00450457" w:rsidRDefault="00450457" w:rsidP="00365993">
      <w:pPr>
        <w:pStyle w:val="H2"/>
        <w:spacing w:after="480"/>
      </w:pPr>
      <w:proofErr w:type="gramStart"/>
      <w:r>
        <w:lastRenderedPageBreak/>
        <w:t>the</w:t>
      </w:r>
      <w:proofErr w:type="gramEnd"/>
      <w:r>
        <w:t xml:space="preserve"> possib</w:t>
      </w:r>
      <w:r w:rsidR="003342FF">
        <w:t>ility that the debt on which the applicant relies has been extinguished by prescription.</w:t>
      </w:r>
    </w:p>
    <w:p w14:paraId="4701CE18" w14:textId="4A66C553" w:rsidR="00DB3C2A" w:rsidRDefault="006832D0" w:rsidP="00365993">
      <w:pPr>
        <w:pStyle w:val="H1"/>
        <w:spacing w:after="480"/>
      </w:pPr>
      <w:r>
        <w:t>In my view</w:t>
      </w:r>
      <w:r w:rsidR="00B214AE">
        <w:t xml:space="preserve"> the present proceedings are not the appropriate proceedings for resolving the abovementioned disputes.</w:t>
      </w:r>
      <w:r w:rsidR="00B83CC6">
        <w:t xml:space="preserve">  The onus</w:t>
      </w:r>
      <w:r w:rsidR="00577BC8">
        <w:t xml:space="preserve"> on the respondent is merely to show that the alleged indebtedness</w:t>
      </w:r>
      <w:r w:rsidR="00D10713">
        <w:t xml:space="preserve"> is disputed on </w:t>
      </w:r>
      <w:r w:rsidR="00D10713">
        <w:rPr>
          <w:i/>
        </w:rPr>
        <w:t>bona fide</w:t>
      </w:r>
      <w:r w:rsidR="00D66870">
        <w:t xml:space="preserve"> and reasonable grounds.  I am satisfied that it has met this onus.</w:t>
      </w:r>
    </w:p>
    <w:p w14:paraId="7554CC50" w14:textId="3D11C69B" w:rsidR="00657660" w:rsidRDefault="00E11FCE" w:rsidP="00365993">
      <w:pPr>
        <w:pStyle w:val="H1"/>
        <w:spacing w:after="480"/>
      </w:pPr>
      <w:r>
        <w:t>I accept</w:t>
      </w:r>
      <w:r w:rsidR="00D4645C">
        <w:t xml:space="preserve"> that the principal </w:t>
      </w:r>
      <w:r w:rsidR="00097D05">
        <w:t>ground</w:t>
      </w:r>
      <w:r w:rsidR="00D4645C">
        <w:t xml:space="preserve"> of dispute</w:t>
      </w:r>
      <w:r w:rsidR="00D54EAD">
        <w:t>, namely the fulfilment</w:t>
      </w:r>
      <w:r w:rsidR="00097D05">
        <w:t>, or not,</w:t>
      </w:r>
      <w:r w:rsidR="00D54EAD">
        <w:t xml:space="preserve"> of the suspensive condition in the first agreement, was not canvassed in correspondence preceding</w:t>
      </w:r>
      <w:r w:rsidR="00B25607">
        <w:t xml:space="preserve"> this application and, in fact, was</w:t>
      </w:r>
      <w:r w:rsidR="00433856">
        <w:t xml:space="preserve"> only raised and covered in detail in the respondent’s opposing affidavit.  It was only alluded to</w:t>
      </w:r>
      <w:r w:rsidR="00F81FAA">
        <w:t xml:space="preserve"> in the letter from the respondent’s attorneys of 29 June 2021 in which it was recorded that</w:t>
      </w:r>
      <w:r w:rsidR="006551C4">
        <w:t xml:space="preserve"> the respondent disputed that</w:t>
      </w:r>
      <w:r w:rsidR="00097D05">
        <w:t xml:space="preserve"> the applicant was the majority shareholder in the respondent</w:t>
      </w:r>
      <w:r w:rsidR="002F4257">
        <w:t>.  The fact that this ground of dispute was raised at a late stage</w:t>
      </w:r>
      <w:r w:rsidR="00560D08">
        <w:t>, no doubt on the basis of legal advice received,</w:t>
      </w:r>
      <w:r w:rsidR="00613B38">
        <w:t xml:space="preserve"> does not mean that the respondent</w:t>
      </w:r>
      <w:r w:rsidR="00B8589E">
        <w:t>, in raising it,</w:t>
      </w:r>
      <w:r w:rsidR="00613B38">
        <w:t xml:space="preserve"> was not acting in good faith or that the debt</w:t>
      </w:r>
      <w:r w:rsidR="00B04F53">
        <w:t xml:space="preserve"> relied on by the applicant was not being disputed on reasonable grounds.</w:t>
      </w:r>
    </w:p>
    <w:p w14:paraId="50E63C76" w14:textId="2B0E1B27" w:rsidR="002A513C" w:rsidRDefault="00603DEA" w:rsidP="00365993">
      <w:pPr>
        <w:pStyle w:val="H1"/>
        <w:spacing w:after="480"/>
      </w:pPr>
      <w:r>
        <w:t>Thus</w:t>
      </w:r>
      <w:r w:rsidR="00570F8A">
        <w:t>, on the strength of the authorities referred to</w:t>
      </w:r>
      <w:r w:rsidR="00E80F66">
        <w:t xml:space="preserve"> I must refuse to grant an order of provisional winding-up in respect of the respondent.</w:t>
      </w:r>
    </w:p>
    <w:p w14:paraId="573471A5" w14:textId="11F8B5EA" w:rsidR="00365993" w:rsidRDefault="00365993" w:rsidP="00365993">
      <w:pPr>
        <w:pStyle w:val="H1"/>
        <w:numPr>
          <w:ilvl w:val="0"/>
          <w:numId w:val="0"/>
        </w:numPr>
        <w:spacing w:after="480"/>
        <w:ind w:left="567"/>
      </w:pPr>
    </w:p>
    <w:p w14:paraId="0D6785DD" w14:textId="77777777" w:rsidR="00365993" w:rsidRDefault="00365993" w:rsidP="00365993">
      <w:pPr>
        <w:pStyle w:val="H1"/>
        <w:numPr>
          <w:ilvl w:val="0"/>
          <w:numId w:val="0"/>
        </w:numPr>
        <w:spacing w:after="480"/>
        <w:ind w:left="567"/>
      </w:pPr>
    </w:p>
    <w:p w14:paraId="630F9EC5" w14:textId="24029566" w:rsidR="0057256E" w:rsidRDefault="0057256E" w:rsidP="00365993">
      <w:pPr>
        <w:pStyle w:val="H1"/>
        <w:numPr>
          <w:ilvl w:val="0"/>
          <w:numId w:val="0"/>
        </w:numPr>
        <w:spacing w:after="480"/>
        <w:rPr>
          <w:b/>
          <w:bCs/>
          <w:u w:val="single"/>
        </w:rPr>
      </w:pPr>
      <w:r>
        <w:rPr>
          <w:b/>
          <w:bCs/>
          <w:u w:val="single"/>
        </w:rPr>
        <w:lastRenderedPageBreak/>
        <w:t>Costs</w:t>
      </w:r>
    </w:p>
    <w:p w14:paraId="2945B403" w14:textId="0DAFF03D" w:rsidR="0057256E" w:rsidRDefault="00F23003" w:rsidP="00365993">
      <w:pPr>
        <w:pStyle w:val="H1"/>
        <w:spacing w:after="480"/>
      </w:pPr>
      <w:r>
        <w:t>The</w:t>
      </w:r>
      <w:r w:rsidR="00660A5E">
        <w:t xml:space="preserve"> first agreement</w:t>
      </w:r>
      <w:r w:rsidR="007F4A08">
        <w:t xml:space="preserve"> </w:t>
      </w:r>
      <w:r w:rsidR="00AF67DF">
        <w:t xml:space="preserve">was </w:t>
      </w:r>
      <w:r w:rsidR="00CB7B73">
        <w:t>given effect to in part.  So too</w:t>
      </w:r>
      <w:r w:rsidR="00780B2F">
        <w:t xml:space="preserve"> was the second agreement partially implemented.</w:t>
      </w:r>
    </w:p>
    <w:p w14:paraId="52A40F67" w14:textId="020E59C2" w:rsidR="00780B2F" w:rsidRDefault="00AA673B" w:rsidP="00365993">
      <w:pPr>
        <w:pStyle w:val="H1"/>
        <w:spacing w:after="480"/>
      </w:pPr>
      <w:r>
        <w:t>Although I have found</w:t>
      </w:r>
      <w:r w:rsidR="00A05BEE">
        <w:t xml:space="preserve"> that the principal ground of opposition revolving around the fulfilment of the suspensive condition in the first agreement was raised by the respondent in good faith</w:t>
      </w:r>
      <w:r w:rsidR="00EF09A8">
        <w:t xml:space="preserve"> and constituted a reasonable ground of dispute it was nevertheless only</w:t>
      </w:r>
      <w:r w:rsidR="009964E4">
        <w:t xml:space="preserve"> </w:t>
      </w:r>
      <w:r w:rsidR="0042610B">
        <w:t>fully raised in the respondent’s opposing affidavit</w:t>
      </w:r>
      <w:r w:rsidR="00C9066A">
        <w:t>.</w:t>
      </w:r>
      <w:r w:rsidR="00D86636">
        <w:t xml:space="preserve">  The applicant</w:t>
      </w:r>
      <w:r w:rsidR="00DF561C">
        <w:t>, in</w:t>
      </w:r>
      <w:r w:rsidR="005E626B">
        <w:t xml:space="preserve"> bringing</w:t>
      </w:r>
      <w:r w:rsidR="00DF561C">
        <w:t xml:space="preserve"> the application for</w:t>
      </w:r>
      <w:r w:rsidR="0094320D">
        <w:t xml:space="preserve"> the</w:t>
      </w:r>
      <w:r w:rsidR="00DF561C">
        <w:t xml:space="preserve"> provisional winding</w:t>
      </w:r>
      <w:r w:rsidR="0094320D">
        <w:t>-up</w:t>
      </w:r>
      <w:r w:rsidR="00DF561C">
        <w:t xml:space="preserve"> of the respondent</w:t>
      </w:r>
      <w:r w:rsidR="005E626B">
        <w:t>, was oblivious to this ground of opposition</w:t>
      </w:r>
      <w:r w:rsidR="00A66F84">
        <w:t xml:space="preserve"> until it was raised in the opposing affidavit.</w:t>
      </w:r>
    </w:p>
    <w:p w14:paraId="7DFC8754" w14:textId="518FDD59" w:rsidR="004734F1" w:rsidRDefault="00F85D0D" w:rsidP="00365993">
      <w:pPr>
        <w:pStyle w:val="H1"/>
        <w:spacing w:after="480"/>
      </w:pPr>
      <w:r>
        <w:t xml:space="preserve">Given that this is not a case where the applicant </w:t>
      </w:r>
      <w:r w:rsidR="00145AB9">
        <w:t>pursued</w:t>
      </w:r>
      <w:r>
        <w:t xml:space="preserve"> winding-up proceedings</w:t>
      </w:r>
      <w:r w:rsidR="00EC7A01">
        <w:t xml:space="preserve"> in the face of a dispute of which it was aware</w:t>
      </w:r>
      <w:r w:rsidR="00C21068">
        <w:t xml:space="preserve"> all along, I </w:t>
      </w:r>
      <w:r w:rsidR="003223D1">
        <w:t>consider that this is an appropriate case</w:t>
      </w:r>
      <w:r w:rsidR="00317E6C">
        <w:t xml:space="preserve"> where each party should</w:t>
      </w:r>
      <w:r w:rsidR="000A21F7">
        <w:t xml:space="preserve"> be ordered to pay its own costs of the application.</w:t>
      </w:r>
    </w:p>
    <w:p w14:paraId="1F5764ED" w14:textId="1D60BC50" w:rsidR="000A21F7" w:rsidRDefault="00FE1CCA" w:rsidP="00365993">
      <w:pPr>
        <w:pStyle w:val="H1"/>
        <w:numPr>
          <w:ilvl w:val="0"/>
          <w:numId w:val="0"/>
        </w:numPr>
        <w:spacing w:after="480"/>
        <w:rPr>
          <w:b/>
          <w:bCs/>
          <w:u w:val="single"/>
        </w:rPr>
      </w:pPr>
      <w:r>
        <w:rPr>
          <w:b/>
          <w:bCs/>
          <w:u w:val="single"/>
        </w:rPr>
        <w:t>Order</w:t>
      </w:r>
    </w:p>
    <w:p w14:paraId="5CE427E8" w14:textId="4FEDE33A" w:rsidR="00FE1CCA" w:rsidRDefault="00241EE8" w:rsidP="00365993">
      <w:pPr>
        <w:pStyle w:val="H1"/>
        <w:spacing w:after="480"/>
      </w:pPr>
      <w:r>
        <w:t>I thus make the following order:</w:t>
      </w:r>
    </w:p>
    <w:p w14:paraId="11F68E8A" w14:textId="7889C015" w:rsidR="00241EE8" w:rsidRDefault="00790542" w:rsidP="00365993">
      <w:pPr>
        <w:pStyle w:val="H1"/>
        <w:numPr>
          <w:ilvl w:val="0"/>
          <w:numId w:val="2"/>
        </w:numPr>
        <w:spacing w:after="480"/>
        <w:rPr>
          <w:i/>
          <w:iCs/>
        </w:rPr>
      </w:pPr>
      <w:r>
        <w:rPr>
          <w:i/>
          <w:iCs/>
        </w:rPr>
        <w:t>The application is dismissed.</w:t>
      </w:r>
    </w:p>
    <w:p w14:paraId="2A236DCD" w14:textId="0E471638" w:rsidR="00790542" w:rsidRDefault="00790542" w:rsidP="00365993">
      <w:pPr>
        <w:pStyle w:val="H1"/>
        <w:numPr>
          <w:ilvl w:val="0"/>
          <w:numId w:val="2"/>
        </w:numPr>
        <w:spacing w:after="480"/>
        <w:rPr>
          <w:i/>
          <w:iCs/>
        </w:rPr>
      </w:pPr>
      <w:r>
        <w:rPr>
          <w:i/>
          <w:iCs/>
        </w:rPr>
        <w:t>Each part</w:t>
      </w:r>
      <w:r w:rsidR="00145AB9">
        <w:rPr>
          <w:i/>
          <w:iCs/>
        </w:rPr>
        <w:t>y is</w:t>
      </w:r>
      <w:r>
        <w:rPr>
          <w:i/>
          <w:iCs/>
        </w:rPr>
        <w:t xml:space="preserve"> order</w:t>
      </w:r>
      <w:r w:rsidR="00145AB9">
        <w:rPr>
          <w:i/>
          <w:iCs/>
        </w:rPr>
        <w:t>ed</w:t>
      </w:r>
      <w:r>
        <w:rPr>
          <w:i/>
          <w:iCs/>
        </w:rPr>
        <w:t xml:space="preserve"> to pay its own costs of the application.</w:t>
      </w:r>
    </w:p>
    <w:p w14:paraId="582C0808" w14:textId="2C3D02C2" w:rsidR="004D6FF0" w:rsidRDefault="004D6FF0" w:rsidP="004D6FF0">
      <w:pPr>
        <w:pStyle w:val="H1"/>
        <w:numPr>
          <w:ilvl w:val="0"/>
          <w:numId w:val="0"/>
        </w:numPr>
        <w:spacing w:after="480"/>
        <w:ind w:left="927"/>
        <w:rPr>
          <w:i/>
          <w:iCs/>
        </w:rPr>
      </w:pPr>
    </w:p>
    <w:p w14:paraId="3B9F9CE0" w14:textId="77777777" w:rsidR="004D6FF0" w:rsidRPr="00241EE8" w:rsidRDefault="004D6FF0" w:rsidP="004D6FF0">
      <w:pPr>
        <w:pStyle w:val="H1"/>
        <w:numPr>
          <w:ilvl w:val="0"/>
          <w:numId w:val="0"/>
        </w:numPr>
        <w:spacing w:after="480"/>
        <w:ind w:left="927"/>
        <w:rPr>
          <w:i/>
          <w:iCs/>
        </w:rPr>
      </w:pPr>
    </w:p>
    <w:p w14:paraId="48289AFD" w14:textId="77777777" w:rsidR="00790542" w:rsidRDefault="00790542" w:rsidP="00E82DCD">
      <w:pPr>
        <w:spacing w:line="360" w:lineRule="auto"/>
        <w:ind w:right="567"/>
        <w:rPr>
          <w:rFonts w:cs="Tahoma"/>
          <w:b/>
          <w:szCs w:val="24"/>
        </w:rPr>
      </w:pPr>
    </w:p>
    <w:p w14:paraId="6E337FCD" w14:textId="77777777" w:rsidR="001C64B8" w:rsidRDefault="001C64B8" w:rsidP="00E82DCD">
      <w:pPr>
        <w:spacing w:line="360" w:lineRule="auto"/>
        <w:ind w:right="567"/>
        <w:rPr>
          <w:rFonts w:cs="Tahoma"/>
          <w:b/>
          <w:szCs w:val="24"/>
        </w:rPr>
      </w:pPr>
    </w:p>
    <w:p w14:paraId="1D1DC6BA" w14:textId="3A51C65C" w:rsidR="005C7D79" w:rsidRPr="000160FF" w:rsidRDefault="005C7D79" w:rsidP="00E82DCD">
      <w:pPr>
        <w:spacing w:line="360" w:lineRule="auto"/>
        <w:ind w:right="567"/>
        <w:rPr>
          <w:rFonts w:cs="Tahoma"/>
          <w:b/>
          <w:szCs w:val="24"/>
        </w:rPr>
      </w:pPr>
      <w:r w:rsidRPr="000160FF">
        <w:rPr>
          <w:rFonts w:cs="Tahoma"/>
          <w:b/>
          <w:szCs w:val="24"/>
        </w:rPr>
        <w:t>O H RONAAS</w:t>
      </w:r>
      <w:r w:rsidR="004C3F24">
        <w:rPr>
          <w:rFonts w:cs="Tahoma"/>
          <w:b/>
          <w:szCs w:val="24"/>
        </w:rPr>
        <w:t>E</w:t>
      </w:r>
      <w:r w:rsidRPr="000160FF">
        <w:rPr>
          <w:rFonts w:cs="Tahoma"/>
          <w:b/>
          <w:szCs w:val="24"/>
        </w:rPr>
        <w:t>N</w:t>
      </w:r>
    </w:p>
    <w:p w14:paraId="6761CD1D" w14:textId="75EECD2E" w:rsidR="005C7D79" w:rsidRDefault="005C7D79" w:rsidP="00330EB0">
      <w:pPr>
        <w:spacing w:line="360" w:lineRule="auto"/>
        <w:ind w:right="567"/>
        <w:rPr>
          <w:rFonts w:cs="Tahoma"/>
          <w:b/>
          <w:szCs w:val="24"/>
        </w:rPr>
      </w:pPr>
      <w:r w:rsidRPr="000160FF">
        <w:rPr>
          <w:rFonts w:cs="Tahoma"/>
          <w:b/>
          <w:szCs w:val="24"/>
        </w:rPr>
        <w:t>ACTING JUDGE OF THE HIGH COURT</w:t>
      </w:r>
    </w:p>
    <w:p w14:paraId="65425C1D" w14:textId="03F9A19B" w:rsidR="00EA0EF9" w:rsidRDefault="00EA0EF9" w:rsidP="00330EB0">
      <w:pPr>
        <w:spacing w:line="360" w:lineRule="auto"/>
        <w:ind w:right="567"/>
        <w:rPr>
          <w:rFonts w:cs="Tahoma"/>
          <w:b/>
          <w:szCs w:val="24"/>
        </w:rPr>
      </w:pPr>
    </w:p>
    <w:p w14:paraId="1AB96671" w14:textId="0263F95C" w:rsidR="00EA0EF9" w:rsidRDefault="00EA0EF9" w:rsidP="00330EB0">
      <w:pPr>
        <w:spacing w:line="360" w:lineRule="auto"/>
        <w:ind w:right="567"/>
        <w:rPr>
          <w:rFonts w:cs="Tahoma"/>
          <w:szCs w:val="24"/>
        </w:rPr>
      </w:pPr>
      <w:r>
        <w:rPr>
          <w:rFonts w:cs="Tahoma"/>
          <w:szCs w:val="24"/>
          <w:u w:val="single"/>
        </w:rPr>
        <w:t>Appearances</w:t>
      </w:r>
      <w:r>
        <w:rPr>
          <w:rFonts w:cs="Tahoma"/>
          <w:szCs w:val="24"/>
        </w:rPr>
        <w:t>:</w:t>
      </w:r>
    </w:p>
    <w:p w14:paraId="5061E1F0" w14:textId="3C6A6645" w:rsidR="00EA0EF9" w:rsidRDefault="00EA0EF9" w:rsidP="00330EB0">
      <w:pPr>
        <w:spacing w:line="360" w:lineRule="auto"/>
        <w:ind w:right="567"/>
        <w:rPr>
          <w:rFonts w:cs="Tahoma"/>
          <w:szCs w:val="24"/>
        </w:rPr>
      </w:pPr>
    </w:p>
    <w:p w14:paraId="58E242E0" w14:textId="2C8E4EBB" w:rsidR="00EA0EF9" w:rsidRDefault="00EA0EF9" w:rsidP="00330EB0">
      <w:pPr>
        <w:spacing w:line="360" w:lineRule="auto"/>
        <w:ind w:right="567"/>
        <w:rPr>
          <w:rFonts w:cs="Tahoma"/>
          <w:szCs w:val="24"/>
        </w:rPr>
      </w:pPr>
      <w:r>
        <w:rPr>
          <w:rFonts w:cs="Tahoma"/>
          <w:szCs w:val="24"/>
        </w:rPr>
        <w:t>For Applicant:</w:t>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proofErr w:type="spellStart"/>
      <w:r>
        <w:rPr>
          <w:rFonts w:cs="Tahoma"/>
          <w:szCs w:val="24"/>
        </w:rPr>
        <w:t>Adv</w:t>
      </w:r>
      <w:proofErr w:type="spellEnd"/>
      <w:r>
        <w:rPr>
          <w:rFonts w:cs="Tahoma"/>
          <w:szCs w:val="24"/>
        </w:rPr>
        <w:t xml:space="preserve"> R </w:t>
      </w:r>
      <w:proofErr w:type="spellStart"/>
      <w:r>
        <w:rPr>
          <w:rFonts w:cs="Tahoma"/>
          <w:szCs w:val="24"/>
        </w:rPr>
        <w:t>Bhima</w:t>
      </w:r>
      <w:proofErr w:type="spellEnd"/>
    </w:p>
    <w:p w14:paraId="6A6F2643" w14:textId="50CCCF9B" w:rsidR="00EA0EF9" w:rsidRDefault="00EA0EF9" w:rsidP="00330EB0">
      <w:pPr>
        <w:spacing w:line="360" w:lineRule="auto"/>
        <w:ind w:right="567"/>
        <w:rPr>
          <w:rFonts w:cs="Tahoma"/>
          <w:szCs w:val="24"/>
        </w:rPr>
      </w:pPr>
      <w:r>
        <w:rPr>
          <w:rFonts w:cs="Tahoma"/>
          <w:szCs w:val="24"/>
        </w:rPr>
        <w:t>Instructed by:</w:t>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proofErr w:type="spellStart"/>
      <w:r>
        <w:rPr>
          <w:rFonts w:cs="Tahoma"/>
          <w:szCs w:val="24"/>
        </w:rPr>
        <w:t>Pagel</w:t>
      </w:r>
      <w:proofErr w:type="spellEnd"/>
      <w:r>
        <w:rPr>
          <w:rFonts w:cs="Tahoma"/>
          <w:szCs w:val="24"/>
        </w:rPr>
        <w:t xml:space="preserve"> Schulenburg </w:t>
      </w:r>
      <w:proofErr w:type="spellStart"/>
      <w:r>
        <w:rPr>
          <w:rFonts w:cs="Tahoma"/>
          <w:szCs w:val="24"/>
        </w:rPr>
        <w:t>Inc</w:t>
      </w:r>
      <w:proofErr w:type="spellEnd"/>
    </w:p>
    <w:p w14:paraId="5C45590E" w14:textId="36A03FCA" w:rsidR="00EA0EF9" w:rsidRDefault="00EA0EF9" w:rsidP="00330EB0">
      <w:pPr>
        <w:spacing w:line="360" w:lineRule="auto"/>
        <w:ind w:right="567"/>
        <w:rPr>
          <w:rFonts w:cs="Tahoma"/>
          <w:szCs w:val="24"/>
        </w:rPr>
      </w:pP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proofErr w:type="gramStart"/>
      <w:r>
        <w:rPr>
          <w:rFonts w:cs="Tahoma"/>
          <w:szCs w:val="24"/>
        </w:rPr>
        <w:t>c/o</w:t>
      </w:r>
      <w:proofErr w:type="gramEnd"/>
      <w:r>
        <w:rPr>
          <w:rFonts w:cs="Tahoma"/>
          <w:szCs w:val="24"/>
        </w:rPr>
        <w:t xml:space="preserve"> </w:t>
      </w:r>
      <w:proofErr w:type="spellStart"/>
      <w:r>
        <w:rPr>
          <w:rFonts w:cs="Tahoma"/>
          <w:szCs w:val="24"/>
        </w:rPr>
        <w:t>Greyvensteins</w:t>
      </w:r>
      <w:proofErr w:type="spellEnd"/>
      <w:r>
        <w:rPr>
          <w:rFonts w:cs="Tahoma"/>
          <w:szCs w:val="24"/>
        </w:rPr>
        <w:t xml:space="preserve"> Incorporate</w:t>
      </w:r>
    </w:p>
    <w:p w14:paraId="45B9EC80" w14:textId="3CB01443" w:rsidR="00EA0EF9" w:rsidRDefault="00EA0EF9" w:rsidP="00330EB0">
      <w:pPr>
        <w:spacing w:line="360" w:lineRule="auto"/>
        <w:ind w:right="567"/>
        <w:rPr>
          <w:rFonts w:cs="Tahoma"/>
          <w:szCs w:val="24"/>
        </w:rPr>
      </w:pPr>
      <w:r>
        <w:rPr>
          <w:rFonts w:cs="Tahoma"/>
          <w:szCs w:val="24"/>
        </w:rPr>
        <w:t>For Defendant:</w:t>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proofErr w:type="spellStart"/>
      <w:r>
        <w:rPr>
          <w:rFonts w:cs="Tahoma"/>
          <w:szCs w:val="24"/>
        </w:rPr>
        <w:t>Adv</w:t>
      </w:r>
      <w:proofErr w:type="spellEnd"/>
      <w:r>
        <w:rPr>
          <w:rFonts w:cs="Tahoma"/>
          <w:szCs w:val="24"/>
        </w:rPr>
        <w:t xml:space="preserve"> JG Richards</w:t>
      </w:r>
    </w:p>
    <w:p w14:paraId="4A061FC9" w14:textId="0A352CF1" w:rsidR="00EA0EF9" w:rsidRDefault="00EA0EF9" w:rsidP="00330EB0">
      <w:pPr>
        <w:spacing w:line="360" w:lineRule="auto"/>
        <w:ind w:right="567"/>
        <w:rPr>
          <w:rFonts w:cs="Tahoma"/>
          <w:szCs w:val="24"/>
        </w:rPr>
      </w:pPr>
      <w:r>
        <w:rPr>
          <w:rFonts w:cs="Tahoma"/>
          <w:szCs w:val="24"/>
        </w:rPr>
        <w:t>Instructed by:</w:t>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t>Kaplan Blumberg Attorneys</w:t>
      </w:r>
    </w:p>
    <w:p w14:paraId="3509C709" w14:textId="3E5E6CBC" w:rsidR="00796A97" w:rsidRDefault="00796A97" w:rsidP="00330EB0">
      <w:pPr>
        <w:spacing w:line="360" w:lineRule="auto"/>
        <w:ind w:right="567"/>
        <w:rPr>
          <w:rFonts w:cs="Tahoma"/>
          <w:szCs w:val="24"/>
        </w:rPr>
      </w:pPr>
      <w:r>
        <w:rPr>
          <w:rFonts w:cs="Tahoma"/>
          <w:szCs w:val="24"/>
        </w:rPr>
        <w:t>Date Heard:</w:t>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t>05 May 2022</w:t>
      </w:r>
    </w:p>
    <w:p w14:paraId="477E4236" w14:textId="6A991933" w:rsidR="00796A97" w:rsidRPr="00EA0EF9" w:rsidRDefault="00796A97" w:rsidP="00330EB0">
      <w:pPr>
        <w:spacing w:line="360" w:lineRule="auto"/>
        <w:ind w:right="567"/>
        <w:rPr>
          <w:rFonts w:cs="Tahoma"/>
          <w:szCs w:val="24"/>
        </w:rPr>
      </w:pPr>
      <w:r>
        <w:rPr>
          <w:rFonts w:cs="Tahoma"/>
          <w:szCs w:val="24"/>
        </w:rPr>
        <w:t>Date Delivered:</w:t>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t>26 July 2022</w:t>
      </w:r>
    </w:p>
    <w:p w14:paraId="67CF819B" w14:textId="3CCA780B" w:rsidR="00E36A73" w:rsidRPr="000160FF" w:rsidRDefault="00E36A73" w:rsidP="00E82DCD">
      <w:pPr>
        <w:spacing w:line="360" w:lineRule="auto"/>
        <w:ind w:right="567"/>
        <w:rPr>
          <w:rFonts w:cs="Tahoma"/>
          <w:szCs w:val="24"/>
        </w:rPr>
      </w:pPr>
    </w:p>
    <w:sectPr w:rsidR="00E36A73" w:rsidRPr="000160FF" w:rsidSect="00365993">
      <w:headerReference w:type="default" r:id="rId7"/>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8DDB9" w14:textId="77777777" w:rsidR="00EC6722" w:rsidRDefault="00EC6722" w:rsidP="000B191D">
      <w:r>
        <w:separator/>
      </w:r>
    </w:p>
  </w:endnote>
  <w:endnote w:type="continuationSeparator" w:id="0">
    <w:p w14:paraId="1E524FED" w14:textId="77777777" w:rsidR="00EC6722" w:rsidRDefault="00EC6722" w:rsidP="000B191D">
      <w:r>
        <w:continuationSeparator/>
      </w:r>
    </w:p>
  </w:endnote>
  <w:endnote w:type="continuationNotice" w:id="1">
    <w:p w14:paraId="2A6D1C6D" w14:textId="77777777" w:rsidR="00EC6722" w:rsidRDefault="00EC6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7C3E2" w14:textId="77777777" w:rsidR="00EC6722" w:rsidRDefault="00EC6722" w:rsidP="000B191D">
      <w:r>
        <w:separator/>
      </w:r>
    </w:p>
  </w:footnote>
  <w:footnote w:type="continuationSeparator" w:id="0">
    <w:p w14:paraId="5FBE1542" w14:textId="77777777" w:rsidR="00EC6722" w:rsidRDefault="00EC6722" w:rsidP="000B191D">
      <w:r>
        <w:continuationSeparator/>
      </w:r>
    </w:p>
  </w:footnote>
  <w:footnote w:type="continuationNotice" w:id="1">
    <w:p w14:paraId="0102752B" w14:textId="77777777" w:rsidR="00EC6722" w:rsidRDefault="00EC67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404684"/>
      <w:docPartObj>
        <w:docPartGallery w:val="Page Numbers (Top of Page)"/>
        <w:docPartUnique/>
      </w:docPartObj>
    </w:sdtPr>
    <w:sdtEndPr>
      <w:rPr>
        <w:noProof/>
      </w:rPr>
    </w:sdtEndPr>
    <w:sdtContent>
      <w:p w14:paraId="7F0D38B9" w14:textId="7C82D7DB" w:rsidR="005C7D79" w:rsidRDefault="005C7D79">
        <w:pPr>
          <w:pStyle w:val="Header"/>
          <w:jc w:val="center"/>
        </w:pPr>
        <w:r>
          <w:fldChar w:fldCharType="begin"/>
        </w:r>
        <w:r>
          <w:instrText xml:space="preserve"> PAGE   \* MERGEFORMAT </w:instrText>
        </w:r>
        <w:r>
          <w:fldChar w:fldCharType="separate"/>
        </w:r>
        <w:r w:rsidR="004D2034">
          <w:rPr>
            <w:noProof/>
          </w:rPr>
          <w:t>11</w:t>
        </w:r>
        <w:r>
          <w:rPr>
            <w:noProof/>
          </w:rPr>
          <w:fldChar w:fldCharType="end"/>
        </w:r>
      </w:p>
    </w:sdtContent>
  </w:sdt>
  <w:p w14:paraId="217B444A" w14:textId="77777777" w:rsidR="003C2BF4" w:rsidRDefault="003C2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6E6B"/>
    <w:multiLevelType w:val="hybridMultilevel"/>
    <w:tmpl w:val="E5D2561E"/>
    <w:lvl w:ilvl="0" w:tplc="1F1833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15:restartNumberingAfterBreak="0">
    <w:nsid w:val="1F8B3D3C"/>
    <w:multiLevelType w:val="multilevel"/>
    <w:tmpl w:val="5BB827CA"/>
    <w:lvl w:ilvl="0">
      <w:start w:val="1"/>
      <w:numFmt w:val="decimal"/>
      <w:pStyle w:val="H1"/>
      <w:lvlText w:val="[%1]"/>
      <w:lvlJc w:val="left"/>
      <w:pPr>
        <w:ind w:left="567" w:hanging="567"/>
      </w:pPr>
      <w:rPr>
        <w:rFonts w:hint="default"/>
      </w:rPr>
    </w:lvl>
    <w:lvl w:ilvl="1">
      <w:start w:val="1"/>
      <w:numFmt w:val="decimal"/>
      <w:pStyle w:val="H2"/>
      <w:lvlText w:val="%1.%2."/>
      <w:lvlJc w:val="left"/>
      <w:pPr>
        <w:ind w:left="1418" w:hanging="851"/>
      </w:pPr>
      <w:rPr>
        <w:rFonts w:hint="default"/>
      </w:rPr>
    </w:lvl>
    <w:lvl w:ilvl="2">
      <w:start w:val="1"/>
      <w:numFmt w:val="decimal"/>
      <w:pStyle w:val="H3"/>
      <w:lvlText w:val="%1.%2.%3."/>
      <w:lvlJc w:val="left"/>
      <w:pPr>
        <w:tabs>
          <w:tab w:val="num" w:pos="1418"/>
        </w:tabs>
        <w:ind w:left="2268" w:hanging="850"/>
      </w:pPr>
      <w:rPr>
        <w:rFonts w:hint="default"/>
      </w:rPr>
    </w:lvl>
    <w:lvl w:ilvl="3">
      <w:start w:val="1"/>
      <w:numFmt w:val="decimal"/>
      <w:pStyle w:val="H4"/>
      <w:lvlText w:val="%1.%2.%3.%4."/>
      <w:lvlJc w:val="left"/>
      <w:pPr>
        <w:tabs>
          <w:tab w:val="num" w:pos="2268"/>
        </w:tabs>
        <w:ind w:left="3119"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D5"/>
    <w:rsid w:val="000010DD"/>
    <w:rsid w:val="000051E9"/>
    <w:rsid w:val="00005F9F"/>
    <w:rsid w:val="00006738"/>
    <w:rsid w:val="00010DA1"/>
    <w:rsid w:val="00013518"/>
    <w:rsid w:val="0001597A"/>
    <w:rsid w:val="000160FF"/>
    <w:rsid w:val="000170ED"/>
    <w:rsid w:val="000233EB"/>
    <w:rsid w:val="000315FC"/>
    <w:rsid w:val="00034E5D"/>
    <w:rsid w:val="0003513F"/>
    <w:rsid w:val="00047517"/>
    <w:rsid w:val="00047BFB"/>
    <w:rsid w:val="00050FE8"/>
    <w:rsid w:val="00054C34"/>
    <w:rsid w:val="0005512D"/>
    <w:rsid w:val="00071845"/>
    <w:rsid w:val="00077E8E"/>
    <w:rsid w:val="000820B4"/>
    <w:rsid w:val="00084A86"/>
    <w:rsid w:val="00085872"/>
    <w:rsid w:val="000918AC"/>
    <w:rsid w:val="000930EE"/>
    <w:rsid w:val="00097D05"/>
    <w:rsid w:val="000A04BB"/>
    <w:rsid w:val="000A1432"/>
    <w:rsid w:val="000A21F7"/>
    <w:rsid w:val="000A3833"/>
    <w:rsid w:val="000A6181"/>
    <w:rsid w:val="000B191D"/>
    <w:rsid w:val="000B2AD7"/>
    <w:rsid w:val="000C00CD"/>
    <w:rsid w:val="000C1F0C"/>
    <w:rsid w:val="000C2800"/>
    <w:rsid w:val="000D028F"/>
    <w:rsid w:val="000D282E"/>
    <w:rsid w:val="000D3E1E"/>
    <w:rsid w:val="000D5349"/>
    <w:rsid w:val="000D6188"/>
    <w:rsid w:val="000D779A"/>
    <w:rsid w:val="000E2204"/>
    <w:rsid w:val="000E385D"/>
    <w:rsid w:val="000E7485"/>
    <w:rsid w:val="000F36E9"/>
    <w:rsid w:val="00105594"/>
    <w:rsid w:val="00105F1D"/>
    <w:rsid w:val="00125982"/>
    <w:rsid w:val="00135E5E"/>
    <w:rsid w:val="00140B21"/>
    <w:rsid w:val="00144693"/>
    <w:rsid w:val="00145AB9"/>
    <w:rsid w:val="0014667E"/>
    <w:rsid w:val="00146C47"/>
    <w:rsid w:val="00151030"/>
    <w:rsid w:val="00153603"/>
    <w:rsid w:val="00154C19"/>
    <w:rsid w:val="00157553"/>
    <w:rsid w:val="00162EE4"/>
    <w:rsid w:val="001658A3"/>
    <w:rsid w:val="0017002C"/>
    <w:rsid w:val="00176E75"/>
    <w:rsid w:val="001802B3"/>
    <w:rsid w:val="001810D2"/>
    <w:rsid w:val="00181A20"/>
    <w:rsid w:val="00181B48"/>
    <w:rsid w:val="001867FC"/>
    <w:rsid w:val="00195C2B"/>
    <w:rsid w:val="00197E1C"/>
    <w:rsid w:val="001A1FE9"/>
    <w:rsid w:val="001A6054"/>
    <w:rsid w:val="001A7364"/>
    <w:rsid w:val="001B0777"/>
    <w:rsid w:val="001B625B"/>
    <w:rsid w:val="001B6D53"/>
    <w:rsid w:val="001C5866"/>
    <w:rsid w:val="001C64B8"/>
    <w:rsid w:val="001C74C6"/>
    <w:rsid w:val="001D1909"/>
    <w:rsid w:val="001D2DC1"/>
    <w:rsid w:val="001D56FC"/>
    <w:rsid w:val="001E6617"/>
    <w:rsid w:val="001E7993"/>
    <w:rsid w:val="001F0B09"/>
    <w:rsid w:val="001F1EC8"/>
    <w:rsid w:val="001F44AD"/>
    <w:rsid w:val="001F5B6F"/>
    <w:rsid w:val="001F6D87"/>
    <w:rsid w:val="00200441"/>
    <w:rsid w:val="00200840"/>
    <w:rsid w:val="002018BB"/>
    <w:rsid w:val="00207C93"/>
    <w:rsid w:val="00213D19"/>
    <w:rsid w:val="002145EE"/>
    <w:rsid w:val="00215195"/>
    <w:rsid w:val="0022013A"/>
    <w:rsid w:val="00220C95"/>
    <w:rsid w:val="00223735"/>
    <w:rsid w:val="00224771"/>
    <w:rsid w:val="002270D8"/>
    <w:rsid w:val="00231F74"/>
    <w:rsid w:val="00236A95"/>
    <w:rsid w:val="00241EE8"/>
    <w:rsid w:val="00243371"/>
    <w:rsid w:val="00244A9A"/>
    <w:rsid w:val="00252206"/>
    <w:rsid w:val="0025577A"/>
    <w:rsid w:val="0025604B"/>
    <w:rsid w:val="00260A10"/>
    <w:rsid w:val="00263273"/>
    <w:rsid w:val="0026454A"/>
    <w:rsid w:val="00266CDB"/>
    <w:rsid w:val="002711A6"/>
    <w:rsid w:val="00273090"/>
    <w:rsid w:val="00273905"/>
    <w:rsid w:val="002758BE"/>
    <w:rsid w:val="00277E48"/>
    <w:rsid w:val="00293D4D"/>
    <w:rsid w:val="00296C34"/>
    <w:rsid w:val="00296F4E"/>
    <w:rsid w:val="002A27FD"/>
    <w:rsid w:val="002A3B17"/>
    <w:rsid w:val="002A4CD0"/>
    <w:rsid w:val="002A513C"/>
    <w:rsid w:val="002A6BF7"/>
    <w:rsid w:val="002A78A4"/>
    <w:rsid w:val="002B2488"/>
    <w:rsid w:val="002B3080"/>
    <w:rsid w:val="002C0832"/>
    <w:rsid w:val="002C10B1"/>
    <w:rsid w:val="002C135B"/>
    <w:rsid w:val="002D0571"/>
    <w:rsid w:val="002D3DB3"/>
    <w:rsid w:val="002D69DC"/>
    <w:rsid w:val="002D724C"/>
    <w:rsid w:val="002E0B93"/>
    <w:rsid w:val="002E381B"/>
    <w:rsid w:val="002E5648"/>
    <w:rsid w:val="002E5F58"/>
    <w:rsid w:val="002E69EB"/>
    <w:rsid w:val="002F1004"/>
    <w:rsid w:val="002F1A70"/>
    <w:rsid w:val="002F294F"/>
    <w:rsid w:val="002F4257"/>
    <w:rsid w:val="002F66A1"/>
    <w:rsid w:val="002F70AF"/>
    <w:rsid w:val="003014A2"/>
    <w:rsid w:val="0030460F"/>
    <w:rsid w:val="003054F7"/>
    <w:rsid w:val="00306FC9"/>
    <w:rsid w:val="00307A50"/>
    <w:rsid w:val="00310993"/>
    <w:rsid w:val="00314D6F"/>
    <w:rsid w:val="003151EE"/>
    <w:rsid w:val="0031650B"/>
    <w:rsid w:val="00317E6C"/>
    <w:rsid w:val="003214F5"/>
    <w:rsid w:val="00321E72"/>
    <w:rsid w:val="003223D1"/>
    <w:rsid w:val="00322FA3"/>
    <w:rsid w:val="00323F77"/>
    <w:rsid w:val="00324CF7"/>
    <w:rsid w:val="00324F3B"/>
    <w:rsid w:val="00325C16"/>
    <w:rsid w:val="00326CBA"/>
    <w:rsid w:val="00330EB0"/>
    <w:rsid w:val="00333417"/>
    <w:rsid w:val="0033357E"/>
    <w:rsid w:val="003342FF"/>
    <w:rsid w:val="003372CD"/>
    <w:rsid w:val="00342D37"/>
    <w:rsid w:val="00353C06"/>
    <w:rsid w:val="00361CA4"/>
    <w:rsid w:val="00363A3F"/>
    <w:rsid w:val="003652C1"/>
    <w:rsid w:val="00365993"/>
    <w:rsid w:val="00366887"/>
    <w:rsid w:val="003728E6"/>
    <w:rsid w:val="003846B9"/>
    <w:rsid w:val="003868AC"/>
    <w:rsid w:val="00390D52"/>
    <w:rsid w:val="00391739"/>
    <w:rsid w:val="003958F2"/>
    <w:rsid w:val="003A3D4F"/>
    <w:rsid w:val="003A400C"/>
    <w:rsid w:val="003A54B3"/>
    <w:rsid w:val="003A6482"/>
    <w:rsid w:val="003B6A2C"/>
    <w:rsid w:val="003C206D"/>
    <w:rsid w:val="003C2BF4"/>
    <w:rsid w:val="003D40AB"/>
    <w:rsid w:val="003D47F1"/>
    <w:rsid w:val="003D61F0"/>
    <w:rsid w:val="003E0002"/>
    <w:rsid w:val="003E090C"/>
    <w:rsid w:val="003E2458"/>
    <w:rsid w:val="003E68C6"/>
    <w:rsid w:val="003E7159"/>
    <w:rsid w:val="003F0B6E"/>
    <w:rsid w:val="00400FA2"/>
    <w:rsid w:val="00401B1A"/>
    <w:rsid w:val="00401CB6"/>
    <w:rsid w:val="00401E6E"/>
    <w:rsid w:val="004029ED"/>
    <w:rsid w:val="00402E7B"/>
    <w:rsid w:val="0040688A"/>
    <w:rsid w:val="0041179C"/>
    <w:rsid w:val="004123DC"/>
    <w:rsid w:val="00412902"/>
    <w:rsid w:val="004148FB"/>
    <w:rsid w:val="00414D41"/>
    <w:rsid w:val="00415DA1"/>
    <w:rsid w:val="0042251D"/>
    <w:rsid w:val="0042610B"/>
    <w:rsid w:val="004277AE"/>
    <w:rsid w:val="004309D0"/>
    <w:rsid w:val="00433856"/>
    <w:rsid w:val="00435BE3"/>
    <w:rsid w:val="0044106D"/>
    <w:rsid w:val="0044271B"/>
    <w:rsid w:val="004457FF"/>
    <w:rsid w:val="00450457"/>
    <w:rsid w:val="0045223B"/>
    <w:rsid w:val="00452869"/>
    <w:rsid w:val="004534E2"/>
    <w:rsid w:val="00456507"/>
    <w:rsid w:val="004627F5"/>
    <w:rsid w:val="00464CC6"/>
    <w:rsid w:val="00471604"/>
    <w:rsid w:val="004725B9"/>
    <w:rsid w:val="004726EE"/>
    <w:rsid w:val="004734F1"/>
    <w:rsid w:val="00477555"/>
    <w:rsid w:val="00481D95"/>
    <w:rsid w:val="00486CDA"/>
    <w:rsid w:val="004910FE"/>
    <w:rsid w:val="004A0339"/>
    <w:rsid w:val="004A0761"/>
    <w:rsid w:val="004A1298"/>
    <w:rsid w:val="004A3A8E"/>
    <w:rsid w:val="004A4205"/>
    <w:rsid w:val="004A426B"/>
    <w:rsid w:val="004B10BE"/>
    <w:rsid w:val="004B1110"/>
    <w:rsid w:val="004B16DF"/>
    <w:rsid w:val="004B691C"/>
    <w:rsid w:val="004C2D5D"/>
    <w:rsid w:val="004C3D91"/>
    <w:rsid w:val="004C3F24"/>
    <w:rsid w:val="004C651D"/>
    <w:rsid w:val="004D2034"/>
    <w:rsid w:val="004D6FF0"/>
    <w:rsid w:val="004E2EEE"/>
    <w:rsid w:val="004E508B"/>
    <w:rsid w:val="004F5561"/>
    <w:rsid w:val="004F6F08"/>
    <w:rsid w:val="004F6F2D"/>
    <w:rsid w:val="005034A4"/>
    <w:rsid w:val="00505B04"/>
    <w:rsid w:val="00517AA4"/>
    <w:rsid w:val="0052282D"/>
    <w:rsid w:val="00534388"/>
    <w:rsid w:val="0053721A"/>
    <w:rsid w:val="005429FF"/>
    <w:rsid w:val="00544706"/>
    <w:rsid w:val="00547CBE"/>
    <w:rsid w:val="005502A7"/>
    <w:rsid w:val="005509F4"/>
    <w:rsid w:val="00550B27"/>
    <w:rsid w:val="00560D08"/>
    <w:rsid w:val="0056217A"/>
    <w:rsid w:val="00563D6C"/>
    <w:rsid w:val="005645DD"/>
    <w:rsid w:val="00565437"/>
    <w:rsid w:val="00566C94"/>
    <w:rsid w:val="005671CE"/>
    <w:rsid w:val="00570F8A"/>
    <w:rsid w:val="0057256E"/>
    <w:rsid w:val="00573E7C"/>
    <w:rsid w:val="00577BC8"/>
    <w:rsid w:val="005824AE"/>
    <w:rsid w:val="00586DC5"/>
    <w:rsid w:val="00587B78"/>
    <w:rsid w:val="00592BAB"/>
    <w:rsid w:val="00593FDB"/>
    <w:rsid w:val="005A17A7"/>
    <w:rsid w:val="005A19AD"/>
    <w:rsid w:val="005A633B"/>
    <w:rsid w:val="005B3017"/>
    <w:rsid w:val="005B748A"/>
    <w:rsid w:val="005C06CE"/>
    <w:rsid w:val="005C175E"/>
    <w:rsid w:val="005C1BF6"/>
    <w:rsid w:val="005C34CC"/>
    <w:rsid w:val="005C45A4"/>
    <w:rsid w:val="005C49E6"/>
    <w:rsid w:val="005C5871"/>
    <w:rsid w:val="005C7D79"/>
    <w:rsid w:val="005D04A1"/>
    <w:rsid w:val="005D47DA"/>
    <w:rsid w:val="005D5179"/>
    <w:rsid w:val="005D5650"/>
    <w:rsid w:val="005E226F"/>
    <w:rsid w:val="005E5479"/>
    <w:rsid w:val="005E5C98"/>
    <w:rsid w:val="005E626B"/>
    <w:rsid w:val="005E6B58"/>
    <w:rsid w:val="005F0609"/>
    <w:rsid w:val="005F1080"/>
    <w:rsid w:val="00603DEA"/>
    <w:rsid w:val="00605101"/>
    <w:rsid w:val="00613B38"/>
    <w:rsid w:val="006201E3"/>
    <w:rsid w:val="006256DD"/>
    <w:rsid w:val="006410C0"/>
    <w:rsid w:val="00641958"/>
    <w:rsid w:val="0064295F"/>
    <w:rsid w:val="00643983"/>
    <w:rsid w:val="00643C05"/>
    <w:rsid w:val="006465C2"/>
    <w:rsid w:val="006551C4"/>
    <w:rsid w:val="006567EB"/>
    <w:rsid w:val="00657660"/>
    <w:rsid w:val="00660A5E"/>
    <w:rsid w:val="006614B8"/>
    <w:rsid w:val="00663D11"/>
    <w:rsid w:val="00665E32"/>
    <w:rsid w:val="00666844"/>
    <w:rsid w:val="006704ED"/>
    <w:rsid w:val="0067266C"/>
    <w:rsid w:val="0067754D"/>
    <w:rsid w:val="006832D0"/>
    <w:rsid w:val="00683D00"/>
    <w:rsid w:val="006853F6"/>
    <w:rsid w:val="00686A27"/>
    <w:rsid w:val="00687CED"/>
    <w:rsid w:val="00693C94"/>
    <w:rsid w:val="006952C3"/>
    <w:rsid w:val="006977C6"/>
    <w:rsid w:val="00697EB6"/>
    <w:rsid w:val="006A14C4"/>
    <w:rsid w:val="006A282A"/>
    <w:rsid w:val="006A73F1"/>
    <w:rsid w:val="006B0556"/>
    <w:rsid w:val="006B3437"/>
    <w:rsid w:val="006B3C10"/>
    <w:rsid w:val="006C13AC"/>
    <w:rsid w:val="006C4FE0"/>
    <w:rsid w:val="006C605E"/>
    <w:rsid w:val="006D345A"/>
    <w:rsid w:val="006D367E"/>
    <w:rsid w:val="006D4D9F"/>
    <w:rsid w:val="006D7037"/>
    <w:rsid w:val="006E12BD"/>
    <w:rsid w:val="006E1B7E"/>
    <w:rsid w:val="006E347D"/>
    <w:rsid w:val="006E588E"/>
    <w:rsid w:val="006E70E6"/>
    <w:rsid w:val="006F61BF"/>
    <w:rsid w:val="00701393"/>
    <w:rsid w:val="00702D49"/>
    <w:rsid w:val="007032A6"/>
    <w:rsid w:val="0070351E"/>
    <w:rsid w:val="00704B33"/>
    <w:rsid w:val="00704BC7"/>
    <w:rsid w:val="00705F87"/>
    <w:rsid w:val="00707D61"/>
    <w:rsid w:val="0071613A"/>
    <w:rsid w:val="007162DB"/>
    <w:rsid w:val="0072170E"/>
    <w:rsid w:val="0072393D"/>
    <w:rsid w:val="007319F5"/>
    <w:rsid w:val="00732EFE"/>
    <w:rsid w:val="00734DD1"/>
    <w:rsid w:val="0074195D"/>
    <w:rsid w:val="0074377F"/>
    <w:rsid w:val="00745C1E"/>
    <w:rsid w:val="00745D77"/>
    <w:rsid w:val="00745F8F"/>
    <w:rsid w:val="00747EF4"/>
    <w:rsid w:val="00753996"/>
    <w:rsid w:val="00754CD6"/>
    <w:rsid w:val="007552A7"/>
    <w:rsid w:val="00755BB7"/>
    <w:rsid w:val="0076124F"/>
    <w:rsid w:val="00763CF1"/>
    <w:rsid w:val="00765734"/>
    <w:rsid w:val="0077742D"/>
    <w:rsid w:val="00780551"/>
    <w:rsid w:val="00780B2F"/>
    <w:rsid w:val="00784E80"/>
    <w:rsid w:val="00787374"/>
    <w:rsid w:val="00790542"/>
    <w:rsid w:val="0079109F"/>
    <w:rsid w:val="007932DC"/>
    <w:rsid w:val="0079506A"/>
    <w:rsid w:val="00796A97"/>
    <w:rsid w:val="007A74FF"/>
    <w:rsid w:val="007C287C"/>
    <w:rsid w:val="007C65F1"/>
    <w:rsid w:val="007C7DF0"/>
    <w:rsid w:val="007E148C"/>
    <w:rsid w:val="007E2BF2"/>
    <w:rsid w:val="007E7F08"/>
    <w:rsid w:val="007F1CF9"/>
    <w:rsid w:val="007F4A08"/>
    <w:rsid w:val="007F5F05"/>
    <w:rsid w:val="007F5FB3"/>
    <w:rsid w:val="007F7B8C"/>
    <w:rsid w:val="00801345"/>
    <w:rsid w:val="00803D5D"/>
    <w:rsid w:val="00805C91"/>
    <w:rsid w:val="0080705F"/>
    <w:rsid w:val="0081012D"/>
    <w:rsid w:val="00813288"/>
    <w:rsid w:val="008134F2"/>
    <w:rsid w:val="00817AC8"/>
    <w:rsid w:val="00817EC0"/>
    <w:rsid w:val="00817F76"/>
    <w:rsid w:val="00820A78"/>
    <w:rsid w:val="0082423C"/>
    <w:rsid w:val="00824A8D"/>
    <w:rsid w:val="008317E6"/>
    <w:rsid w:val="00835827"/>
    <w:rsid w:val="0084482B"/>
    <w:rsid w:val="0084601A"/>
    <w:rsid w:val="00847513"/>
    <w:rsid w:val="00847D7F"/>
    <w:rsid w:val="00850929"/>
    <w:rsid w:val="008526D5"/>
    <w:rsid w:val="00857C57"/>
    <w:rsid w:val="008617B9"/>
    <w:rsid w:val="00866506"/>
    <w:rsid w:val="008721BF"/>
    <w:rsid w:val="00874688"/>
    <w:rsid w:val="00875768"/>
    <w:rsid w:val="00876712"/>
    <w:rsid w:val="008769D6"/>
    <w:rsid w:val="00882108"/>
    <w:rsid w:val="0088376C"/>
    <w:rsid w:val="00884224"/>
    <w:rsid w:val="0089235C"/>
    <w:rsid w:val="008934C3"/>
    <w:rsid w:val="0089398D"/>
    <w:rsid w:val="0089599E"/>
    <w:rsid w:val="0089698E"/>
    <w:rsid w:val="00897BF6"/>
    <w:rsid w:val="008A1F86"/>
    <w:rsid w:val="008A3429"/>
    <w:rsid w:val="008B074D"/>
    <w:rsid w:val="008B1010"/>
    <w:rsid w:val="008B3FDC"/>
    <w:rsid w:val="008C02A2"/>
    <w:rsid w:val="008C180A"/>
    <w:rsid w:val="008C1CD6"/>
    <w:rsid w:val="008C1E15"/>
    <w:rsid w:val="008C2A51"/>
    <w:rsid w:val="008C3E7D"/>
    <w:rsid w:val="008C6B4F"/>
    <w:rsid w:val="008D0743"/>
    <w:rsid w:val="008D4C4B"/>
    <w:rsid w:val="008D5B7B"/>
    <w:rsid w:val="008D62FD"/>
    <w:rsid w:val="008E3007"/>
    <w:rsid w:val="008E3180"/>
    <w:rsid w:val="008F1A02"/>
    <w:rsid w:val="008F23C5"/>
    <w:rsid w:val="008F7714"/>
    <w:rsid w:val="009001AF"/>
    <w:rsid w:val="00901E0D"/>
    <w:rsid w:val="00902C82"/>
    <w:rsid w:val="00902CAC"/>
    <w:rsid w:val="00903C81"/>
    <w:rsid w:val="00904DC1"/>
    <w:rsid w:val="009102A4"/>
    <w:rsid w:val="00915D7E"/>
    <w:rsid w:val="0092067E"/>
    <w:rsid w:val="009244C1"/>
    <w:rsid w:val="0092624F"/>
    <w:rsid w:val="00926A7B"/>
    <w:rsid w:val="009323D5"/>
    <w:rsid w:val="0093358B"/>
    <w:rsid w:val="00934CF5"/>
    <w:rsid w:val="009418E7"/>
    <w:rsid w:val="0094320D"/>
    <w:rsid w:val="00944F8E"/>
    <w:rsid w:val="00944FE2"/>
    <w:rsid w:val="00947CAB"/>
    <w:rsid w:val="009502E5"/>
    <w:rsid w:val="0095044D"/>
    <w:rsid w:val="00952ABC"/>
    <w:rsid w:val="009562FE"/>
    <w:rsid w:val="00962013"/>
    <w:rsid w:val="00964F56"/>
    <w:rsid w:val="00965186"/>
    <w:rsid w:val="0096614A"/>
    <w:rsid w:val="00966662"/>
    <w:rsid w:val="00972EEA"/>
    <w:rsid w:val="00973CDD"/>
    <w:rsid w:val="00975DCF"/>
    <w:rsid w:val="00976CCB"/>
    <w:rsid w:val="0097714F"/>
    <w:rsid w:val="009859EB"/>
    <w:rsid w:val="009918AD"/>
    <w:rsid w:val="00993420"/>
    <w:rsid w:val="00993B03"/>
    <w:rsid w:val="009964E4"/>
    <w:rsid w:val="009A069C"/>
    <w:rsid w:val="009A692A"/>
    <w:rsid w:val="009A7386"/>
    <w:rsid w:val="009B11B4"/>
    <w:rsid w:val="009B208B"/>
    <w:rsid w:val="009B3C0E"/>
    <w:rsid w:val="009B4370"/>
    <w:rsid w:val="009B7BDB"/>
    <w:rsid w:val="009C06F8"/>
    <w:rsid w:val="009C14BA"/>
    <w:rsid w:val="009C5CB3"/>
    <w:rsid w:val="009D3565"/>
    <w:rsid w:val="009D582B"/>
    <w:rsid w:val="009E5ADC"/>
    <w:rsid w:val="009E5C6A"/>
    <w:rsid w:val="009F024B"/>
    <w:rsid w:val="009F17D2"/>
    <w:rsid w:val="009F1A62"/>
    <w:rsid w:val="009F4BF7"/>
    <w:rsid w:val="00A00A5F"/>
    <w:rsid w:val="00A017EF"/>
    <w:rsid w:val="00A01CCC"/>
    <w:rsid w:val="00A0348A"/>
    <w:rsid w:val="00A050C9"/>
    <w:rsid w:val="00A05BEE"/>
    <w:rsid w:val="00A12574"/>
    <w:rsid w:val="00A21AEE"/>
    <w:rsid w:val="00A2237C"/>
    <w:rsid w:val="00A25218"/>
    <w:rsid w:val="00A3163F"/>
    <w:rsid w:val="00A348FD"/>
    <w:rsid w:val="00A40638"/>
    <w:rsid w:val="00A44C0C"/>
    <w:rsid w:val="00A52520"/>
    <w:rsid w:val="00A56122"/>
    <w:rsid w:val="00A569F9"/>
    <w:rsid w:val="00A66F84"/>
    <w:rsid w:val="00A73D9D"/>
    <w:rsid w:val="00A77C4B"/>
    <w:rsid w:val="00A8637C"/>
    <w:rsid w:val="00A86DB2"/>
    <w:rsid w:val="00A87A45"/>
    <w:rsid w:val="00A93AC5"/>
    <w:rsid w:val="00A95988"/>
    <w:rsid w:val="00AA04C5"/>
    <w:rsid w:val="00AA673B"/>
    <w:rsid w:val="00AA7172"/>
    <w:rsid w:val="00AB1369"/>
    <w:rsid w:val="00AB5B0B"/>
    <w:rsid w:val="00AC5704"/>
    <w:rsid w:val="00AC67EE"/>
    <w:rsid w:val="00AD1BF4"/>
    <w:rsid w:val="00AD2BE7"/>
    <w:rsid w:val="00AD411B"/>
    <w:rsid w:val="00AD6CCF"/>
    <w:rsid w:val="00AE7246"/>
    <w:rsid w:val="00AF4070"/>
    <w:rsid w:val="00AF67DF"/>
    <w:rsid w:val="00AF750D"/>
    <w:rsid w:val="00AF7A10"/>
    <w:rsid w:val="00B03318"/>
    <w:rsid w:val="00B036E5"/>
    <w:rsid w:val="00B049E1"/>
    <w:rsid w:val="00B04F53"/>
    <w:rsid w:val="00B06B55"/>
    <w:rsid w:val="00B07925"/>
    <w:rsid w:val="00B079D8"/>
    <w:rsid w:val="00B10A5A"/>
    <w:rsid w:val="00B13621"/>
    <w:rsid w:val="00B17A10"/>
    <w:rsid w:val="00B202B1"/>
    <w:rsid w:val="00B214AE"/>
    <w:rsid w:val="00B21C64"/>
    <w:rsid w:val="00B23DBC"/>
    <w:rsid w:val="00B25607"/>
    <w:rsid w:val="00B26343"/>
    <w:rsid w:val="00B31E53"/>
    <w:rsid w:val="00B327D5"/>
    <w:rsid w:val="00B328B3"/>
    <w:rsid w:val="00B3408B"/>
    <w:rsid w:val="00B3443B"/>
    <w:rsid w:val="00B3496B"/>
    <w:rsid w:val="00B34A49"/>
    <w:rsid w:val="00B34A93"/>
    <w:rsid w:val="00B35EF5"/>
    <w:rsid w:val="00B374A0"/>
    <w:rsid w:val="00B43EF0"/>
    <w:rsid w:val="00B46951"/>
    <w:rsid w:val="00B47D51"/>
    <w:rsid w:val="00B502C1"/>
    <w:rsid w:val="00B51EEF"/>
    <w:rsid w:val="00B52173"/>
    <w:rsid w:val="00B529FD"/>
    <w:rsid w:val="00B67624"/>
    <w:rsid w:val="00B71BC6"/>
    <w:rsid w:val="00B73A8B"/>
    <w:rsid w:val="00B74596"/>
    <w:rsid w:val="00B77B72"/>
    <w:rsid w:val="00B82AED"/>
    <w:rsid w:val="00B83CC6"/>
    <w:rsid w:val="00B8589E"/>
    <w:rsid w:val="00B91296"/>
    <w:rsid w:val="00B92F3C"/>
    <w:rsid w:val="00B95BFC"/>
    <w:rsid w:val="00B963EF"/>
    <w:rsid w:val="00B96C70"/>
    <w:rsid w:val="00B97053"/>
    <w:rsid w:val="00BA7630"/>
    <w:rsid w:val="00BB00FF"/>
    <w:rsid w:val="00BB188C"/>
    <w:rsid w:val="00BB7CF4"/>
    <w:rsid w:val="00BC222B"/>
    <w:rsid w:val="00BC2DCF"/>
    <w:rsid w:val="00BC3FD4"/>
    <w:rsid w:val="00BC50DC"/>
    <w:rsid w:val="00BC526E"/>
    <w:rsid w:val="00BD0506"/>
    <w:rsid w:val="00BD1CF1"/>
    <w:rsid w:val="00BD27A4"/>
    <w:rsid w:val="00BE1F3F"/>
    <w:rsid w:val="00BE414B"/>
    <w:rsid w:val="00BF3C70"/>
    <w:rsid w:val="00C00760"/>
    <w:rsid w:val="00C0080A"/>
    <w:rsid w:val="00C155F2"/>
    <w:rsid w:val="00C15749"/>
    <w:rsid w:val="00C157B7"/>
    <w:rsid w:val="00C20E83"/>
    <w:rsid w:val="00C21068"/>
    <w:rsid w:val="00C222D3"/>
    <w:rsid w:val="00C2359A"/>
    <w:rsid w:val="00C33221"/>
    <w:rsid w:val="00C33716"/>
    <w:rsid w:val="00C375D3"/>
    <w:rsid w:val="00C41D47"/>
    <w:rsid w:val="00C475FF"/>
    <w:rsid w:val="00C56C7A"/>
    <w:rsid w:val="00C56E2A"/>
    <w:rsid w:val="00C61DEE"/>
    <w:rsid w:val="00C62E0A"/>
    <w:rsid w:val="00C6369A"/>
    <w:rsid w:val="00C641C8"/>
    <w:rsid w:val="00C67CA2"/>
    <w:rsid w:val="00C82D3C"/>
    <w:rsid w:val="00C87462"/>
    <w:rsid w:val="00C9066A"/>
    <w:rsid w:val="00C95F52"/>
    <w:rsid w:val="00C96888"/>
    <w:rsid w:val="00CA24AD"/>
    <w:rsid w:val="00CA2975"/>
    <w:rsid w:val="00CA2C1F"/>
    <w:rsid w:val="00CA7207"/>
    <w:rsid w:val="00CB0BD0"/>
    <w:rsid w:val="00CB363A"/>
    <w:rsid w:val="00CB461C"/>
    <w:rsid w:val="00CB5597"/>
    <w:rsid w:val="00CB5E46"/>
    <w:rsid w:val="00CB7B73"/>
    <w:rsid w:val="00CB7F0D"/>
    <w:rsid w:val="00CC6599"/>
    <w:rsid w:val="00CC682F"/>
    <w:rsid w:val="00CC709E"/>
    <w:rsid w:val="00CD3B20"/>
    <w:rsid w:val="00CD55BD"/>
    <w:rsid w:val="00CD5D98"/>
    <w:rsid w:val="00CF3EF1"/>
    <w:rsid w:val="00CF7073"/>
    <w:rsid w:val="00D060C6"/>
    <w:rsid w:val="00D10713"/>
    <w:rsid w:val="00D15394"/>
    <w:rsid w:val="00D16785"/>
    <w:rsid w:val="00D202E4"/>
    <w:rsid w:val="00D206EA"/>
    <w:rsid w:val="00D208B8"/>
    <w:rsid w:val="00D22FEB"/>
    <w:rsid w:val="00D2384E"/>
    <w:rsid w:val="00D3602C"/>
    <w:rsid w:val="00D44429"/>
    <w:rsid w:val="00D45195"/>
    <w:rsid w:val="00D46181"/>
    <w:rsid w:val="00D4645C"/>
    <w:rsid w:val="00D4674C"/>
    <w:rsid w:val="00D520A4"/>
    <w:rsid w:val="00D53D28"/>
    <w:rsid w:val="00D54EAD"/>
    <w:rsid w:val="00D5570B"/>
    <w:rsid w:val="00D61373"/>
    <w:rsid w:val="00D638AD"/>
    <w:rsid w:val="00D66870"/>
    <w:rsid w:val="00D7023B"/>
    <w:rsid w:val="00D841D8"/>
    <w:rsid w:val="00D84F34"/>
    <w:rsid w:val="00D856AC"/>
    <w:rsid w:val="00D8605F"/>
    <w:rsid w:val="00D86636"/>
    <w:rsid w:val="00D96345"/>
    <w:rsid w:val="00DA4C92"/>
    <w:rsid w:val="00DA569A"/>
    <w:rsid w:val="00DB3C2A"/>
    <w:rsid w:val="00DC4360"/>
    <w:rsid w:val="00DD2DD3"/>
    <w:rsid w:val="00DD40CB"/>
    <w:rsid w:val="00DD655F"/>
    <w:rsid w:val="00DE127F"/>
    <w:rsid w:val="00DE262C"/>
    <w:rsid w:val="00DE485D"/>
    <w:rsid w:val="00DE6224"/>
    <w:rsid w:val="00DE6B40"/>
    <w:rsid w:val="00DF561C"/>
    <w:rsid w:val="00DF6D19"/>
    <w:rsid w:val="00E02FDA"/>
    <w:rsid w:val="00E11FCE"/>
    <w:rsid w:val="00E1505F"/>
    <w:rsid w:val="00E16630"/>
    <w:rsid w:val="00E17EC6"/>
    <w:rsid w:val="00E21A2B"/>
    <w:rsid w:val="00E230EB"/>
    <w:rsid w:val="00E36A73"/>
    <w:rsid w:val="00E3744D"/>
    <w:rsid w:val="00E4147F"/>
    <w:rsid w:val="00E41486"/>
    <w:rsid w:val="00E419F8"/>
    <w:rsid w:val="00E420A4"/>
    <w:rsid w:val="00E42BBC"/>
    <w:rsid w:val="00E43546"/>
    <w:rsid w:val="00E475C4"/>
    <w:rsid w:val="00E5579C"/>
    <w:rsid w:val="00E55C37"/>
    <w:rsid w:val="00E56313"/>
    <w:rsid w:val="00E57A1F"/>
    <w:rsid w:val="00E6129C"/>
    <w:rsid w:val="00E62A43"/>
    <w:rsid w:val="00E633A7"/>
    <w:rsid w:val="00E67EC3"/>
    <w:rsid w:val="00E70F50"/>
    <w:rsid w:val="00E727D1"/>
    <w:rsid w:val="00E808B4"/>
    <w:rsid w:val="00E80F66"/>
    <w:rsid w:val="00E82DCD"/>
    <w:rsid w:val="00E85D76"/>
    <w:rsid w:val="00E87233"/>
    <w:rsid w:val="00E87734"/>
    <w:rsid w:val="00E90D86"/>
    <w:rsid w:val="00E90DB2"/>
    <w:rsid w:val="00E94751"/>
    <w:rsid w:val="00E960F1"/>
    <w:rsid w:val="00E97E7F"/>
    <w:rsid w:val="00EA0EF9"/>
    <w:rsid w:val="00EA1A2C"/>
    <w:rsid w:val="00EA2779"/>
    <w:rsid w:val="00EA347D"/>
    <w:rsid w:val="00EA4E66"/>
    <w:rsid w:val="00EA5A30"/>
    <w:rsid w:val="00EA703A"/>
    <w:rsid w:val="00EB03A2"/>
    <w:rsid w:val="00EB1091"/>
    <w:rsid w:val="00EB2A3F"/>
    <w:rsid w:val="00EB379A"/>
    <w:rsid w:val="00EB4D6F"/>
    <w:rsid w:val="00EB4E10"/>
    <w:rsid w:val="00EB6099"/>
    <w:rsid w:val="00EC0192"/>
    <w:rsid w:val="00EC2784"/>
    <w:rsid w:val="00EC2B5F"/>
    <w:rsid w:val="00EC338F"/>
    <w:rsid w:val="00EC666C"/>
    <w:rsid w:val="00EC6722"/>
    <w:rsid w:val="00EC6DD7"/>
    <w:rsid w:val="00EC7A01"/>
    <w:rsid w:val="00ED1BC2"/>
    <w:rsid w:val="00ED4968"/>
    <w:rsid w:val="00EE3F78"/>
    <w:rsid w:val="00EF078A"/>
    <w:rsid w:val="00EF09A8"/>
    <w:rsid w:val="00EF64FA"/>
    <w:rsid w:val="00F01F3E"/>
    <w:rsid w:val="00F02287"/>
    <w:rsid w:val="00F05EFB"/>
    <w:rsid w:val="00F10225"/>
    <w:rsid w:val="00F13101"/>
    <w:rsid w:val="00F13BB7"/>
    <w:rsid w:val="00F16E5A"/>
    <w:rsid w:val="00F23003"/>
    <w:rsid w:val="00F243AA"/>
    <w:rsid w:val="00F265AA"/>
    <w:rsid w:val="00F3155A"/>
    <w:rsid w:val="00F37530"/>
    <w:rsid w:val="00F41662"/>
    <w:rsid w:val="00F41899"/>
    <w:rsid w:val="00F43D55"/>
    <w:rsid w:val="00F50769"/>
    <w:rsid w:val="00F50BA8"/>
    <w:rsid w:val="00F51DBA"/>
    <w:rsid w:val="00F53B51"/>
    <w:rsid w:val="00F55547"/>
    <w:rsid w:val="00F63FF1"/>
    <w:rsid w:val="00F6564B"/>
    <w:rsid w:val="00F743D7"/>
    <w:rsid w:val="00F744F7"/>
    <w:rsid w:val="00F74B21"/>
    <w:rsid w:val="00F81FAA"/>
    <w:rsid w:val="00F8315D"/>
    <w:rsid w:val="00F85BD3"/>
    <w:rsid w:val="00F85D0D"/>
    <w:rsid w:val="00F86B99"/>
    <w:rsid w:val="00F912AF"/>
    <w:rsid w:val="00F91544"/>
    <w:rsid w:val="00F93858"/>
    <w:rsid w:val="00F96DC9"/>
    <w:rsid w:val="00FA0DC6"/>
    <w:rsid w:val="00FA4798"/>
    <w:rsid w:val="00FB2BB4"/>
    <w:rsid w:val="00FB39F1"/>
    <w:rsid w:val="00FB4BCF"/>
    <w:rsid w:val="00FB6B88"/>
    <w:rsid w:val="00FC243F"/>
    <w:rsid w:val="00FC2862"/>
    <w:rsid w:val="00FC2C29"/>
    <w:rsid w:val="00FC2E5F"/>
    <w:rsid w:val="00FC3397"/>
    <w:rsid w:val="00FD4E39"/>
    <w:rsid w:val="00FD5442"/>
    <w:rsid w:val="00FE1CCA"/>
    <w:rsid w:val="00FE4B62"/>
    <w:rsid w:val="00FE52C9"/>
    <w:rsid w:val="00FE5F6A"/>
    <w:rsid w:val="00FE6EB1"/>
    <w:rsid w:val="00FF03FC"/>
    <w:rsid w:val="00FF0747"/>
    <w:rsid w:val="00FF211A"/>
    <w:rsid w:val="00FF2EED"/>
    <w:rsid w:val="00FF7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944E"/>
  <w15:docId w15:val="{ACD35523-FAE0-4E6B-A458-671E8E33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qFormat/>
    <w:rsid w:val="006C13AC"/>
    <w:pPr>
      <w:numPr>
        <w:numId w:val="1"/>
      </w:numPr>
      <w:tabs>
        <w:tab w:val="left" w:pos="567"/>
        <w:tab w:val="right" w:pos="8931"/>
      </w:tabs>
      <w:spacing w:after="240" w:line="480" w:lineRule="auto"/>
      <w:jc w:val="both"/>
    </w:pPr>
  </w:style>
  <w:style w:type="paragraph" w:customStyle="1" w:styleId="H2">
    <w:name w:val="H2"/>
    <w:basedOn w:val="Normal"/>
    <w:link w:val="H2Char"/>
    <w:qFormat/>
    <w:rsid w:val="006C13AC"/>
    <w:pPr>
      <w:numPr>
        <w:ilvl w:val="1"/>
        <w:numId w:val="1"/>
      </w:numPr>
      <w:tabs>
        <w:tab w:val="left" w:pos="1418"/>
        <w:tab w:val="right" w:pos="8931"/>
      </w:tabs>
      <w:spacing w:after="240" w:line="480" w:lineRule="auto"/>
      <w:jc w:val="both"/>
    </w:pPr>
  </w:style>
  <w:style w:type="character" w:customStyle="1" w:styleId="H1Char">
    <w:name w:val="H1 Char"/>
    <w:basedOn w:val="DefaultParagraphFont"/>
    <w:link w:val="H1"/>
    <w:rsid w:val="006C13AC"/>
    <w:rPr>
      <w:sz w:val="24"/>
      <w:szCs w:val="22"/>
      <w:lang w:val="en-GB" w:eastAsia="en-GB"/>
    </w:rPr>
  </w:style>
  <w:style w:type="paragraph" w:customStyle="1" w:styleId="H3">
    <w:name w:val="H3"/>
    <w:basedOn w:val="Normal"/>
    <w:link w:val="H3Char"/>
    <w:qFormat/>
    <w:rsid w:val="006C13AC"/>
    <w:pPr>
      <w:numPr>
        <w:ilvl w:val="2"/>
        <w:numId w:val="1"/>
      </w:numPr>
      <w:tabs>
        <w:tab w:val="clear" w:pos="1418"/>
        <w:tab w:val="num" w:pos="2268"/>
        <w:tab w:val="right" w:pos="8931"/>
      </w:tabs>
      <w:spacing w:after="240" w:line="480" w:lineRule="auto"/>
      <w:jc w:val="both"/>
    </w:pPr>
  </w:style>
  <w:style w:type="character" w:customStyle="1" w:styleId="H2Char">
    <w:name w:val="H2 Char"/>
    <w:basedOn w:val="DefaultParagraphFont"/>
    <w:link w:val="H2"/>
    <w:rsid w:val="006C13AC"/>
  </w:style>
  <w:style w:type="paragraph" w:customStyle="1" w:styleId="H4">
    <w:name w:val="H4"/>
    <w:basedOn w:val="Normal"/>
    <w:link w:val="H4Char"/>
    <w:qFormat/>
    <w:rsid w:val="000E7485"/>
    <w:pPr>
      <w:numPr>
        <w:ilvl w:val="3"/>
        <w:numId w:val="1"/>
      </w:numPr>
      <w:spacing w:after="240" w:line="480" w:lineRule="auto"/>
      <w:ind w:left="3402" w:hanging="1134"/>
      <w:jc w:val="both"/>
    </w:pPr>
  </w:style>
  <w:style w:type="character" w:customStyle="1" w:styleId="H3Char">
    <w:name w:val="H3 Char"/>
    <w:basedOn w:val="DefaultParagraphFont"/>
    <w:link w:val="H3"/>
    <w:rsid w:val="006C13AC"/>
  </w:style>
  <w:style w:type="paragraph" w:customStyle="1" w:styleId="B1">
    <w:name w:val="B1"/>
    <w:basedOn w:val="H1"/>
    <w:link w:val="B1Char"/>
    <w:qFormat/>
    <w:rsid w:val="006C13AC"/>
    <w:pPr>
      <w:numPr>
        <w:numId w:val="0"/>
      </w:numPr>
      <w:ind w:left="567"/>
    </w:pPr>
  </w:style>
  <w:style w:type="character" w:customStyle="1" w:styleId="H4Char">
    <w:name w:val="H4 Char"/>
    <w:basedOn w:val="DefaultParagraphFont"/>
    <w:link w:val="H4"/>
    <w:rsid w:val="000E7485"/>
  </w:style>
  <w:style w:type="paragraph" w:customStyle="1" w:styleId="B2">
    <w:name w:val="B2"/>
    <w:basedOn w:val="H2"/>
    <w:link w:val="B2Char"/>
    <w:qFormat/>
    <w:rsid w:val="000E7485"/>
    <w:pPr>
      <w:numPr>
        <w:ilvl w:val="0"/>
        <w:numId w:val="0"/>
      </w:numPr>
      <w:ind w:left="1418"/>
    </w:pPr>
  </w:style>
  <w:style w:type="character" w:customStyle="1" w:styleId="B1Char">
    <w:name w:val="B1 Char"/>
    <w:basedOn w:val="H1Char"/>
    <w:link w:val="B1"/>
    <w:rsid w:val="006C13AC"/>
    <w:rPr>
      <w:sz w:val="24"/>
      <w:szCs w:val="22"/>
      <w:lang w:val="en-GB" w:eastAsia="en-GB"/>
    </w:rPr>
  </w:style>
  <w:style w:type="paragraph" w:customStyle="1" w:styleId="B3">
    <w:name w:val="B3"/>
    <w:basedOn w:val="H3"/>
    <w:link w:val="B3Char"/>
    <w:qFormat/>
    <w:rsid w:val="000E7485"/>
    <w:pPr>
      <w:numPr>
        <w:ilvl w:val="0"/>
        <w:numId w:val="0"/>
      </w:numPr>
      <w:ind w:left="2268"/>
    </w:pPr>
  </w:style>
  <w:style w:type="character" w:customStyle="1" w:styleId="B2Char">
    <w:name w:val="B2 Char"/>
    <w:basedOn w:val="H2Char"/>
    <w:link w:val="B2"/>
    <w:rsid w:val="000E7485"/>
  </w:style>
  <w:style w:type="paragraph" w:customStyle="1" w:styleId="B4">
    <w:name w:val="B4"/>
    <w:basedOn w:val="H4"/>
    <w:link w:val="B4Char"/>
    <w:qFormat/>
    <w:rsid w:val="000E7485"/>
    <w:pPr>
      <w:numPr>
        <w:ilvl w:val="0"/>
        <w:numId w:val="0"/>
      </w:numPr>
      <w:ind w:left="3402"/>
    </w:pPr>
  </w:style>
  <w:style w:type="character" w:customStyle="1" w:styleId="B3Char">
    <w:name w:val="B3 Char"/>
    <w:basedOn w:val="H3Char"/>
    <w:link w:val="B3"/>
    <w:rsid w:val="000E7485"/>
  </w:style>
  <w:style w:type="paragraph" w:customStyle="1" w:styleId="Names">
    <w:name w:val="Names"/>
    <w:basedOn w:val="Normal"/>
    <w:link w:val="NamesChar"/>
    <w:qFormat/>
    <w:rsid w:val="008C02A2"/>
    <w:pPr>
      <w:spacing w:line="480" w:lineRule="auto"/>
      <w:jc w:val="both"/>
    </w:pPr>
    <w:rPr>
      <w:b/>
      <w:caps/>
    </w:rPr>
  </w:style>
  <w:style w:type="character" w:customStyle="1" w:styleId="B4Char">
    <w:name w:val="B4 Char"/>
    <w:basedOn w:val="H4Char"/>
    <w:link w:val="B4"/>
    <w:rsid w:val="000E7485"/>
  </w:style>
  <w:style w:type="character" w:customStyle="1" w:styleId="NamesChar">
    <w:name w:val="Names Char"/>
    <w:link w:val="Names"/>
    <w:rsid w:val="008C02A2"/>
    <w:rPr>
      <w:b/>
      <w:caps/>
    </w:rPr>
  </w:style>
  <w:style w:type="paragraph" w:styleId="Header">
    <w:name w:val="header"/>
    <w:basedOn w:val="Normal"/>
    <w:link w:val="HeaderChar"/>
    <w:uiPriority w:val="99"/>
    <w:unhideWhenUsed/>
    <w:rsid w:val="000B191D"/>
    <w:pPr>
      <w:tabs>
        <w:tab w:val="center" w:pos="4513"/>
        <w:tab w:val="right" w:pos="9026"/>
      </w:tabs>
    </w:pPr>
  </w:style>
  <w:style w:type="character" w:customStyle="1" w:styleId="HeaderChar">
    <w:name w:val="Header Char"/>
    <w:link w:val="Header"/>
    <w:uiPriority w:val="99"/>
    <w:rsid w:val="000B191D"/>
    <w:rPr>
      <w:sz w:val="24"/>
      <w:szCs w:val="22"/>
      <w:lang w:val="en-GB" w:eastAsia="en-GB"/>
    </w:rPr>
  </w:style>
  <w:style w:type="paragraph" w:styleId="Footer">
    <w:name w:val="footer"/>
    <w:basedOn w:val="Normal"/>
    <w:link w:val="FooterChar"/>
    <w:uiPriority w:val="99"/>
    <w:unhideWhenUsed/>
    <w:rsid w:val="000B191D"/>
    <w:pPr>
      <w:tabs>
        <w:tab w:val="center" w:pos="4513"/>
        <w:tab w:val="right" w:pos="9026"/>
      </w:tabs>
    </w:pPr>
  </w:style>
  <w:style w:type="character" w:customStyle="1" w:styleId="FooterChar">
    <w:name w:val="Footer Char"/>
    <w:link w:val="Footer"/>
    <w:uiPriority w:val="99"/>
    <w:rsid w:val="000B191D"/>
    <w:rPr>
      <w:sz w:val="24"/>
      <w:szCs w:val="22"/>
      <w:lang w:val="en-GB" w:eastAsia="en-GB"/>
    </w:rPr>
  </w:style>
  <w:style w:type="paragraph" w:styleId="ListParagraph">
    <w:name w:val="List Paragraph"/>
    <w:basedOn w:val="Normal"/>
    <w:uiPriority w:val="34"/>
    <w:qFormat/>
    <w:rsid w:val="00125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656567">
      <w:bodyDiv w:val="1"/>
      <w:marLeft w:val="0"/>
      <w:marRight w:val="0"/>
      <w:marTop w:val="0"/>
      <w:marBottom w:val="0"/>
      <w:divBdr>
        <w:top w:val="none" w:sz="0" w:space="0" w:color="auto"/>
        <w:left w:val="none" w:sz="0" w:space="0" w:color="auto"/>
        <w:bottom w:val="none" w:sz="0" w:space="0" w:color="auto"/>
        <w:right w:val="none" w:sz="0" w:space="0" w:color="auto"/>
      </w:divBdr>
    </w:div>
    <w:div w:id="21369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v\Desktop\Documents\Templates\Template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Affidavit</Template>
  <TotalTime>0</TotalTime>
  <Pages>11</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dc:creator>
  <cp:lastModifiedBy>HOME</cp:lastModifiedBy>
  <cp:revision>2</cp:revision>
  <cp:lastPrinted>2022-07-22T14:23:00Z</cp:lastPrinted>
  <dcterms:created xsi:type="dcterms:W3CDTF">2022-08-14T09:05:00Z</dcterms:created>
  <dcterms:modified xsi:type="dcterms:W3CDTF">2022-08-14T09:05:00Z</dcterms:modified>
</cp:coreProperties>
</file>