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6367" w14:textId="77777777" w:rsidR="00D450B5" w:rsidRPr="00044B50" w:rsidRDefault="00D450B5" w:rsidP="00772E4B">
      <w:pPr>
        <w:jc w:val="center"/>
        <w:rPr>
          <w:lang w:val="en-GB"/>
        </w:rPr>
      </w:pPr>
      <w:bookmarkStart w:id="0" w:name="_GoBack"/>
      <w:bookmarkEnd w:id="0"/>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65F7E6" w:rsidR="00D450B5" w:rsidRPr="00044B50" w:rsidRDefault="00D450B5" w:rsidP="00772E4B">
      <w:pPr>
        <w:jc w:val="center"/>
        <w:rPr>
          <w:b/>
          <w:bCs/>
          <w:lang w:val="en-GB"/>
        </w:rPr>
      </w:pPr>
      <w:r w:rsidRPr="00044B50">
        <w:rPr>
          <w:b/>
          <w:bCs/>
          <w:lang w:val="en-GB"/>
        </w:rPr>
        <w:t xml:space="preserve">(EASTERN CAPE DIVISION, </w:t>
      </w:r>
      <w:r w:rsidR="00216C5F">
        <w:rPr>
          <w:b/>
          <w:bCs/>
          <w:lang w:val="en-GB"/>
        </w:rPr>
        <w:t>GQEBERHA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0740D43A" w:rsidR="00D450B5" w:rsidRPr="00044B50" w:rsidRDefault="00D450B5" w:rsidP="00772E4B">
      <w:pPr>
        <w:ind w:right="-52"/>
        <w:jc w:val="center"/>
        <w:rPr>
          <w:b/>
          <w:bCs/>
          <w:lang w:val="en-GB"/>
        </w:rPr>
      </w:pPr>
      <w:r w:rsidRPr="00044B50">
        <w:rPr>
          <w:lang w:val="en-GB"/>
        </w:rPr>
        <w:t xml:space="preserve">                                                                                           </w:t>
      </w:r>
      <w:r w:rsidR="006B5D01">
        <w:rPr>
          <w:lang w:val="en-GB"/>
        </w:rPr>
        <w:t xml:space="preserve">    </w:t>
      </w:r>
      <w:r w:rsidRPr="00044B50">
        <w:rPr>
          <w:b/>
          <w:bCs/>
          <w:lang w:val="en-GB"/>
        </w:rPr>
        <w:t xml:space="preserve">NOT REPORTABLE                                     </w:t>
      </w:r>
    </w:p>
    <w:p w14:paraId="4934DB4B" w14:textId="185899B3" w:rsidR="00E44987" w:rsidRPr="00044B50" w:rsidRDefault="00E44987" w:rsidP="00772E4B">
      <w:pPr>
        <w:jc w:val="center"/>
        <w:rPr>
          <w:lang w:val="en-GB"/>
        </w:rPr>
      </w:pPr>
      <w:r w:rsidRPr="00044B50">
        <w:rPr>
          <w:lang w:val="en-GB"/>
        </w:rPr>
        <w:t xml:space="preserve">                                                                                                   Case no: </w:t>
      </w:r>
      <w:r w:rsidR="006B5D01">
        <w:rPr>
          <w:lang w:val="en-GB"/>
        </w:rPr>
        <w:t>620/2022</w:t>
      </w:r>
    </w:p>
    <w:p w14:paraId="13EEBE4B" w14:textId="77777777" w:rsidR="00D450B5" w:rsidRPr="00044B50" w:rsidRDefault="00D450B5" w:rsidP="00772E4B">
      <w:pPr>
        <w:widowControl w:val="0"/>
        <w:jc w:val="right"/>
        <w:rPr>
          <w:spacing w:val="14"/>
          <w:kern w:val="2"/>
          <w:lang w:val="en-GB"/>
        </w:rPr>
      </w:pPr>
    </w:p>
    <w:p w14:paraId="49070A0E" w14:textId="7E604AFF"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4F2A1B3C" w14:textId="77777777" w:rsidR="006B5D01" w:rsidRPr="00044B50" w:rsidRDefault="006B5D01" w:rsidP="00772E4B">
      <w:pPr>
        <w:widowControl w:val="0"/>
        <w:jc w:val="both"/>
        <w:rPr>
          <w:spacing w:val="14"/>
          <w:kern w:val="2"/>
          <w:lang w:val="en-GB"/>
        </w:rPr>
      </w:pPr>
    </w:p>
    <w:p w14:paraId="2E198784" w14:textId="31023670" w:rsidR="00D450B5" w:rsidRPr="006B5D01" w:rsidRDefault="006B5D01" w:rsidP="006B5D01">
      <w:pPr>
        <w:widowControl w:val="0"/>
        <w:tabs>
          <w:tab w:val="left" w:pos="7088"/>
          <w:tab w:val="right" w:pos="8198"/>
        </w:tabs>
        <w:jc w:val="both"/>
        <w:rPr>
          <w:b/>
          <w:spacing w:val="14"/>
          <w:kern w:val="2"/>
          <w:lang w:val="en-GB"/>
        </w:rPr>
      </w:pPr>
      <w:r w:rsidRPr="006B5D01">
        <w:rPr>
          <w:b/>
          <w:spacing w:val="14"/>
          <w:kern w:val="2"/>
          <w:lang w:val="en-GB"/>
        </w:rPr>
        <w:t xml:space="preserve">AMANZ’ABANTU SERVICES PTY LTD </w:t>
      </w:r>
      <w:r w:rsidRPr="006B5D01">
        <w:rPr>
          <w:b/>
          <w:spacing w:val="14"/>
          <w:kern w:val="2"/>
          <w:lang w:val="en-GB"/>
        </w:rPr>
        <w:tab/>
      </w:r>
      <w:r>
        <w:rPr>
          <w:b/>
          <w:spacing w:val="14"/>
          <w:kern w:val="2"/>
          <w:lang w:val="en-GB"/>
        </w:rPr>
        <w:t xml:space="preserve">        </w:t>
      </w:r>
      <w:r w:rsidRPr="006B5D01">
        <w:rPr>
          <w:b/>
          <w:spacing w:val="14"/>
          <w:kern w:val="2"/>
          <w:lang w:val="en-GB"/>
        </w:rPr>
        <w:t>Applicant</w:t>
      </w:r>
    </w:p>
    <w:p w14:paraId="0D746988" w14:textId="77777777" w:rsidR="00D450B5" w:rsidRPr="00044B50" w:rsidRDefault="00D450B5" w:rsidP="00772E4B">
      <w:pPr>
        <w:tabs>
          <w:tab w:val="right" w:pos="9072"/>
        </w:tabs>
        <w:suppressAutoHyphens/>
        <w:jc w:val="both"/>
        <w:rPr>
          <w:lang w:val="en-GB"/>
        </w:rPr>
      </w:pPr>
    </w:p>
    <w:p w14:paraId="460137EF" w14:textId="216EE0E3" w:rsidR="00D450B5" w:rsidRDefault="00291659" w:rsidP="00772E4B">
      <w:pPr>
        <w:jc w:val="both"/>
        <w:rPr>
          <w:lang w:val="en-GB"/>
        </w:rPr>
      </w:pPr>
      <w:proofErr w:type="gramStart"/>
      <w:r>
        <w:rPr>
          <w:lang w:val="en-GB"/>
        </w:rPr>
        <w:t>a</w:t>
      </w:r>
      <w:r w:rsidR="00D450B5" w:rsidRPr="00044B50">
        <w:rPr>
          <w:lang w:val="en-GB"/>
        </w:rPr>
        <w:t>nd</w:t>
      </w:r>
      <w:proofErr w:type="gramEnd"/>
    </w:p>
    <w:p w14:paraId="421FC154" w14:textId="77777777" w:rsidR="00291659" w:rsidRPr="00044B50" w:rsidRDefault="00291659" w:rsidP="00772E4B">
      <w:pPr>
        <w:jc w:val="both"/>
        <w:rPr>
          <w:lang w:val="en-GB"/>
        </w:rPr>
      </w:pPr>
    </w:p>
    <w:p w14:paraId="37CBA823" w14:textId="785E69C2" w:rsidR="00D450B5" w:rsidRDefault="006B5D01" w:rsidP="006B5D01">
      <w:pPr>
        <w:tabs>
          <w:tab w:val="left" w:pos="7088"/>
        </w:tabs>
        <w:jc w:val="both"/>
        <w:rPr>
          <w:b/>
          <w:lang w:val="en-GB"/>
        </w:rPr>
      </w:pPr>
      <w:r w:rsidRPr="006B5D01">
        <w:rPr>
          <w:b/>
          <w:lang w:val="en-GB"/>
        </w:rPr>
        <w:t>COEGA DEVELOPMENT CORPORATION PTY LTD</w:t>
      </w:r>
      <w:r>
        <w:rPr>
          <w:lang w:val="en-GB"/>
        </w:rPr>
        <w:t xml:space="preserve"> </w:t>
      </w:r>
      <w:r>
        <w:rPr>
          <w:lang w:val="en-GB"/>
        </w:rPr>
        <w:tab/>
        <w:t xml:space="preserve">       </w:t>
      </w:r>
      <w:r w:rsidRPr="006B5D01">
        <w:rPr>
          <w:b/>
          <w:lang w:val="en-GB"/>
        </w:rPr>
        <w:t>Respondent</w:t>
      </w:r>
    </w:p>
    <w:p w14:paraId="6958606E" w14:textId="77777777" w:rsidR="003C44EB" w:rsidRDefault="003C44EB" w:rsidP="00772E4B">
      <w:pPr>
        <w:jc w:val="both"/>
        <w:rPr>
          <w:b/>
          <w:i/>
          <w:lang w:val="en-GB"/>
        </w:rPr>
      </w:pPr>
    </w:p>
    <w:p w14:paraId="76889E9C" w14:textId="2B940A35"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0ED41765" w:rsidR="00D468AF" w:rsidRDefault="00D468AF" w:rsidP="00682CE5">
      <w:pPr>
        <w:autoSpaceDE w:val="0"/>
        <w:autoSpaceDN w:val="0"/>
        <w:adjustRightInd w:val="0"/>
        <w:jc w:val="both"/>
        <w:rPr>
          <w:lang w:val="en-GB"/>
        </w:rPr>
      </w:pPr>
    </w:p>
    <w:p w14:paraId="79922613" w14:textId="6672A6CD" w:rsidR="00506088" w:rsidRDefault="00C2532F" w:rsidP="00682CE5">
      <w:pPr>
        <w:autoSpaceDE w:val="0"/>
        <w:autoSpaceDN w:val="0"/>
        <w:adjustRightInd w:val="0"/>
        <w:jc w:val="both"/>
        <w:rPr>
          <w:b/>
          <w:bCs/>
          <w:lang w:val="en-GB"/>
        </w:rPr>
      </w:pPr>
      <w:r>
        <w:rPr>
          <w:b/>
          <w:bCs/>
          <w:lang w:val="en-GB"/>
        </w:rPr>
        <w:t>Background and issues</w:t>
      </w:r>
    </w:p>
    <w:p w14:paraId="38E87210" w14:textId="77777777" w:rsidR="00506088" w:rsidRPr="00506088" w:rsidRDefault="00506088" w:rsidP="00682CE5">
      <w:pPr>
        <w:autoSpaceDE w:val="0"/>
        <w:autoSpaceDN w:val="0"/>
        <w:adjustRightInd w:val="0"/>
        <w:jc w:val="both"/>
        <w:rPr>
          <w:b/>
          <w:bCs/>
          <w:lang w:val="en-GB"/>
        </w:rPr>
      </w:pPr>
    </w:p>
    <w:p w14:paraId="5A33CD6A" w14:textId="016CFB21" w:rsidR="00E922BE" w:rsidRDefault="008E1E4B" w:rsidP="00682CE5">
      <w:pPr>
        <w:pStyle w:val="ListParagraph"/>
        <w:numPr>
          <w:ilvl w:val="0"/>
          <w:numId w:val="10"/>
        </w:numPr>
        <w:autoSpaceDE w:val="0"/>
        <w:autoSpaceDN w:val="0"/>
        <w:adjustRightInd w:val="0"/>
        <w:ind w:left="142" w:hanging="142"/>
        <w:jc w:val="both"/>
        <w:rPr>
          <w:lang w:val="en-GB"/>
        </w:rPr>
      </w:pPr>
      <w:r>
        <w:rPr>
          <w:lang w:val="en-GB"/>
        </w:rPr>
        <w:t>During 2016, t</w:t>
      </w:r>
      <w:r w:rsidR="00C246F2" w:rsidRPr="00044B50">
        <w:rPr>
          <w:lang w:val="en-GB"/>
        </w:rPr>
        <w:t xml:space="preserve">he </w:t>
      </w:r>
      <w:r w:rsidR="00853CDC">
        <w:rPr>
          <w:lang w:val="en-GB"/>
        </w:rPr>
        <w:t>respondent awarded a tender to the applicant to upgrade the Nessie Knight Hospita</w:t>
      </w:r>
      <w:r w:rsidR="00FF51F8">
        <w:rPr>
          <w:lang w:val="en-GB"/>
        </w:rPr>
        <w:t>l.</w:t>
      </w:r>
      <w:r w:rsidR="001D3BEE">
        <w:rPr>
          <w:lang w:val="en-GB"/>
        </w:rPr>
        <w:t xml:space="preserve"> The parties subsequently concluded a written JBCC Agreement to govern</w:t>
      </w:r>
      <w:r w:rsidR="00FF51F8">
        <w:rPr>
          <w:lang w:val="en-GB"/>
        </w:rPr>
        <w:t xml:space="preserve"> </w:t>
      </w:r>
      <w:r w:rsidR="001D3BEE">
        <w:rPr>
          <w:lang w:val="en-GB"/>
        </w:rPr>
        <w:t>the works (‘the JBCC’).</w:t>
      </w:r>
    </w:p>
    <w:p w14:paraId="4CEAC1BB" w14:textId="77777777" w:rsidR="002673B4" w:rsidRDefault="002673B4" w:rsidP="002673B4">
      <w:pPr>
        <w:pStyle w:val="ListParagraph"/>
        <w:autoSpaceDE w:val="0"/>
        <w:autoSpaceDN w:val="0"/>
        <w:adjustRightInd w:val="0"/>
        <w:ind w:left="142"/>
        <w:jc w:val="both"/>
        <w:rPr>
          <w:lang w:val="en-GB"/>
        </w:rPr>
      </w:pPr>
    </w:p>
    <w:p w14:paraId="06EEF5D7" w14:textId="574BE355" w:rsidR="00D45942" w:rsidRDefault="00FD5943" w:rsidP="00165C46">
      <w:pPr>
        <w:pStyle w:val="ListParagraph"/>
        <w:numPr>
          <w:ilvl w:val="0"/>
          <w:numId w:val="10"/>
        </w:numPr>
        <w:autoSpaceDE w:val="0"/>
        <w:autoSpaceDN w:val="0"/>
        <w:adjustRightInd w:val="0"/>
        <w:ind w:left="142" w:hanging="142"/>
        <w:jc w:val="both"/>
        <w:rPr>
          <w:lang w:val="en-GB"/>
        </w:rPr>
      </w:pPr>
      <w:r w:rsidRPr="007650F9">
        <w:rPr>
          <w:lang w:val="en-GB"/>
        </w:rPr>
        <w:t xml:space="preserve">The JBCC contains a detailed ‘settlement of disputes’ clause. Any dispute arising between the parties may result in notice by one party to the other to resolve </w:t>
      </w:r>
      <w:r w:rsidRPr="007650F9">
        <w:rPr>
          <w:lang w:val="en-GB"/>
        </w:rPr>
        <w:lastRenderedPageBreak/>
        <w:t>such disagreement.</w:t>
      </w:r>
      <w:r w:rsidR="002D51B6">
        <w:rPr>
          <w:rStyle w:val="FootnoteReference"/>
          <w:lang w:val="en-GB"/>
        </w:rPr>
        <w:footnoteReference w:id="1"/>
      </w:r>
      <w:r w:rsidRPr="007650F9">
        <w:rPr>
          <w:lang w:val="en-GB"/>
        </w:rPr>
        <w:t xml:space="preserve"> Failure to resolve any disagreement within ten working days of receipt of such notice results in </w:t>
      </w:r>
      <w:r w:rsidR="003C0671" w:rsidRPr="007650F9">
        <w:rPr>
          <w:lang w:val="en-GB"/>
        </w:rPr>
        <w:t>possi</w:t>
      </w:r>
      <w:r w:rsidR="002D20DF" w:rsidRPr="007650F9">
        <w:rPr>
          <w:lang w:val="en-GB"/>
        </w:rPr>
        <w:t>b</w:t>
      </w:r>
      <w:r w:rsidR="003C0671" w:rsidRPr="007650F9">
        <w:rPr>
          <w:lang w:val="en-GB"/>
        </w:rPr>
        <w:t xml:space="preserve">le </w:t>
      </w:r>
      <w:r w:rsidRPr="007650F9">
        <w:rPr>
          <w:lang w:val="en-GB"/>
        </w:rPr>
        <w:t>referral of the dispute to adjudication</w:t>
      </w:r>
      <w:r w:rsidR="003C0671" w:rsidRPr="007650F9">
        <w:rPr>
          <w:lang w:val="en-GB"/>
        </w:rPr>
        <w:t xml:space="preserve"> or arbitration. When a party chooses to refer the dispute to adjudication, this</w:t>
      </w:r>
      <w:r w:rsidR="00F92EF2" w:rsidRPr="007650F9">
        <w:rPr>
          <w:lang w:val="en-GB"/>
        </w:rPr>
        <w:t xml:space="preserve"> is</w:t>
      </w:r>
      <w:r w:rsidRPr="007650F9">
        <w:rPr>
          <w:lang w:val="en-GB"/>
        </w:rPr>
        <w:t xml:space="preserve"> to be conducted in terms of the edition of the JBCC Rules for Adjudication current at the time</w:t>
      </w:r>
      <w:r w:rsidR="009726BC">
        <w:rPr>
          <w:lang w:val="en-GB"/>
        </w:rPr>
        <w:t xml:space="preserve"> (‘the Rules</w:t>
      </w:r>
      <w:r w:rsidR="00430AF9">
        <w:rPr>
          <w:lang w:val="en-GB"/>
        </w:rPr>
        <w:t>’</w:t>
      </w:r>
      <w:r w:rsidR="009726BC">
        <w:rPr>
          <w:lang w:val="en-GB"/>
        </w:rPr>
        <w:t>)</w:t>
      </w:r>
      <w:r w:rsidRPr="007650F9">
        <w:rPr>
          <w:lang w:val="en-GB"/>
        </w:rPr>
        <w:t xml:space="preserve">.  </w:t>
      </w:r>
      <w:r w:rsidR="002D20DF" w:rsidRPr="007650F9">
        <w:rPr>
          <w:lang w:val="en-GB"/>
        </w:rPr>
        <w:t>It is common cause that t</w:t>
      </w:r>
      <w:r w:rsidR="002673B4" w:rsidRPr="007650F9">
        <w:rPr>
          <w:lang w:val="en-GB"/>
        </w:rPr>
        <w:t xml:space="preserve">he parties referred various disputes that developed to adjudication before an agreed adjudicator. </w:t>
      </w:r>
    </w:p>
    <w:p w14:paraId="4B1E588E" w14:textId="77777777" w:rsidR="00491A43" w:rsidRPr="00491A43" w:rsidRDefault="00491A43" w:rsidP="00165C46">
      <w:pPr>
        <w:autoSpaceDE w:val="0"/>
        <w:autoSpaceDN w:val="0"/>
        <w:adjustRightInd w:val="0"/>
        <w:jc w:val="both"/>
        <w:rPr>
          <w:lang w:val="en-GB"/>
        </w:rPr>
      </w:pPr>
    </w:p>
    <w:p w14:paraId="7D634519" w14:textId="6CB2E41B" w:rsidR="004B7E82" w:rsidRPr="00044B50" w:rsidRDefault="007650F9" w:rsidP="00165C46">
      <w:pPr>
        <w:pStyle w:val="ListParagraph"/>
        <w:numPr>
          <w:ilvl w:val="0"/>
          <w:numId w:val="10"/>
        </w:numPr>
        <w:autoSpaceDE w:val="0"/>
        <w:autoSpaceDN w:val="0"/>
        <w:adjustRightInd w:val="0"/>
        <w:ind w:left="142" w:hanging="142"/>
        <w:jc w:val="both"/>
        <w:rPr>
          <w:lang w:val="en-GB"/>
        </w:rPr>
      </w:pPr>
      <w:r>
        <w:rPr>
          <w:lang w:val="en-GB"/>
        </w:rPr>
        <w:t xml:space="preserve">The JBCC </w:t>
      </w:r>
      <w:r w:rsidR="00F71063">
        <w:rPr>
          <w:lang w:val="en-GB"/>
        </w:rPr>
        <w:t>provides that an adjudicator’s decision ‘shall be binding on the parties who shall give effect to it without delay unless and until it is subsequently revised by an arbitrator’.</w:t>
      </w:r>
      <w:r w:rsidR="00356D2D">
        <w:rPr>
          <w:lang w:val="en-GB"/>
        </w:rPr>
        <w:t xml:space="preserve"> </w:t>
      </w:r>
      <w:r w:rsidR="00A27D3D">
        <w:rPr>
          <w:lang w:val="en-GB"/>
        </w:rPr>
        <w:t>Should either party be dissatisfied with the decision given by the adjudicator, or should no decision be given within the period set in the Rules, such party may give notice of dissatisfaction to the other party and to the adjudicator within ten working days.</w:t>
      </w:r>
      <w:r w:rsidR="00DC5F20">
        <w:rPr>
          <w:lang w:val="en-GB"/>
        </w:rPr>
        <w:t xml:space="preserve"> The termination of the agreement does not affect the validity of the ‘settlement of disputes’ clause of the JBCC.</w:t>
      </w:r>
      <w:r w:rsidR="008C61F3">
        <w:rPr>
          <w:rStyle w:val="FootnoteReference"/>
          <w:lang w:val="en-GB"/>
        </w:rPr>
        <w:footnoteReference w:id="2"/>
      </w:r>
    </w:p>
    <w:p w14:paraId="4CD9AA23" w14:textId="77777777" w:rsidR="00E57C72" w:rsidRPr="00044B50" w:rsidRDefault="00E57C72" w:rsidP="00165C46">
      <w:pPr>
        <w:pStyle w:val="ListParagraph"/>
        <w:jc w:val="both"/>
        <w:rPr>
          <w:lang w:val="en-GB"/>
        </w:rPr>
      </w:pPr>
    </w:p>
    <w:p w14:paraId="0490CBD7" w14:textId="5572BA61" w:rsidR="00F71063" w:rsidRDefault="00491A43" w:rsidP="00165C46">
      <w:pPr>
        <w:pStyle w:val="ListParagraph"/>
        <w:numPr>
          <w:ilvl w:val="0"/>
          <w:numId w:val="10"/>
        </w:numPr>
        <w:autoSpaceDE w:val="0"/>
        <w:autoSpaceDN w:val="0"/>
        <w:adjustRightInd w:val="0"/>
        <w:ind w:left="142" w:hanging="142"/>
        <w:jc w:val="both"/>
        <w:rPr>
          <w:lang w:val="en-GB"/>
        </w:rPr>
      </w:pPr>
      <w:r>
        <w:rPr>
          <w:lang w:val="en-GB"/>
        </w:rPr>
        <w:t>The adjudicator published a decision on 1 September 2021 (‘the decision’)</w:t>
      </w:r>
      <w:r w:rsidR="00272551">
        <w:rPr>
          <w:lang w:val="en-GB"/>
        </w:rPr>
        <w:t>. The conclusions reached were summarised by the adjudicator as follows:</w:t>
      </w:r>
    </w:p>
    <w:p w14:paraId="14C775B1" w14:textId="182DB2A6" w:rsidR="00272551" w:rsidRDefault="00ED67A2" w:rsidP="00165C46">
      <w:pPr>
        <w:ind w:left="142"/>
        <w:jc w:val="both"/>
        <w:rPr>
          <w:sz w:val="22"/>
          <w:szCs w:val="22"/>
          <w:lang w:val="en-GB"/>
        </w:rPr>
      </w:pPr>
      <w:r>
        <w:rPr>
          <w:sz w:val="22"/>
          <w:szCs w:val="22"/>
          <w:lang w:val="en-GB"/>
        </w:rPr>
        <w:t>‘</w:t>
      </w:r>
      <w:r w:rsidR="00272551">
        <w:rPr>
          <w:sz w:val="22"/>
          <w:szCs w:val="22"/>
          <w:lang w:val="en-GB"/>
        </w:rPr>
        <w:t>19.1 The relief sought by the Claimant for Dispute No. 1 is partly granted. I determine that:</w:t>
      </w:r>
    </w:p>
    <w:p w14:paraId="2096720B" w14:textId="5FBE255E" w:rsidR="00272551" w:rsidRDefault="00272551" w:rsidP="00165C46">
      <w:pPr>
        <w:ind w:left="1440" w:hanging="718"/>
        <w:jc w:val="both"/>
        <w:rPr>
          <w:sz w:val="22"/>
          <w:szCs w:val="22"/>
          <w:lang w:val="en-GB"/>
        </w:rPr>
      </w:pPr>
      <w:r>
        <w:rPr>
          <w:sz w:val="22"/>
          <w:szCs w:val="22"/>
          <w:lang w:val="en-GB"/>
        </w:rPr>
        <w:t>19.1.1</w:t>
      </w:r>
      <w:r w:rsidR="00165C46">
        <w:rPr>
          <w:sz w:val="22"/>
          <w:szCs w:val="22"/>
          <w:lang w:val="en-GB"/>
        </w:rPr>
        <w:tab/>
      </w:r>
      <w:r>
        <w:rPr>
          <w:sz w:val="22"/>
          <w:szCs w:val="22"/>
          <w:lang w:val="en-GB"/>
        </w:rPr>
        <w:t>The revision of the date for practical completion based on EOT Claim 11 be adjusted to 12 May 2020 as determined by the PA.</w:t>
      </w:r>
    </w:p>
    <w:p w14:paraId="4128CD87" w14:textId="51943F00" w:rsidR="00272551" w:rsidRDefault="00272551" w:rsidP="00165C46">
      <w:pPr>
        <w:ind w:left="1440" w:hanging="718"/>
        <w:jc w:val="both"/>
        <w:rPr>
          <w:sz w:val="22"/>
          <w:szCs w:val="22"/>
          <w:lang w:val="en-GB"/>
        </w:rPr>
      </w:pPr>
      <w:r>
        <w:rPr>
          <w:sz w:val="22"/>
          <w:szCs w:val="22"/>
          <w:lang w:val="en-GB"/>
        </w:rPr>
        <w:t>19.1.2</w:t>
      </w:r>
      <w:r>
        <w:rPr>
          <w:sz w:val="22"/>
          <w:szCs w:val="22"/>
          <w:lang w:val="en-GB"/>
        </w:rPr>
        <w:tab/>
        <w:t>The revision of the date for practical completion based on EOT Claim 12 be adjusted to 20 July 2020 and not 15 October 2020 as claimed.</w:t>
      </w:r>
    </w:p>
    <w:p w14:paraId="3F41BDE3" w14:textId="496AAACC" w:rsidR="00272551" w:rsidRDefault="00272551" w:rsidP="00165C46">
      <w:pPr>
        <w:ind w:left="1440" w:hanging="718"/>
        <w:jc w:val="both"/>
        <w:rPr>
          <w:sz w:val="22"/>
          <w:szCs w:val="22"/>
          <w:lang w:val="en-GB"/>
        </w:rPr>
      </w:pPr>
      <w:r>
        <w:rPr>
          <w:sz w:val="22"/>
          <w:szCs w:val="22"/>
          <w:lang w:val="en-GB"/>
        </w:rPr>
        <w:t>19.1.3</w:t>
      </w:r>
      <w:r>
        <w:rPr>
          <w:sz w:val="22"/>
          <w:szCs w:val="22"/>
          <w:lang w:val="en-GB"/>
        </w:rPr>
        <w:tab/>
        <w:t>The revision of the date for practical completion based on EOT Claim 13 is not granted (see also my determination for Dispute No. 6).</w:t>
      </w:r>
    </w:p>
    <w:p w14:paraId="1C272C01" w14:textId="7433B30A" w:rsidR="00272551" w:rsidRDefault="00272551" w:rsidP="00165C46">
      <w:pPr>
        <w:ind w:left="1418" w:hanging="696"/>
        <w:jc w:val="both"/>
        <w:rPr>
          <w:sz w:val="22"/>
          <w:szCs w:val="22"/>
          <w:lang w:val="en-GB"/>
        </w:rPr>
      </w:pPr>
      <w:r>
        <w:rPr>
          <w:sz w:val="22"/>
          <w:szCs w:val="22"/>
          <w:lang w:val="en-GB"/>
        </w:rPr>
        <w:t>19.1.4</w:t>
      </w:r>
      <w:r w:rsidR="00165C46">
        <w:rPr>
          <w:sz w:val="22"/>
          <w:szCs w:val="22"/>
          <w:lang w:val="en-GB"/>
        </w:rPr>
        <w:tab/>
      </w:r>
      <w:r>
        <w:rPr>
          <w:sz w:val="22"/>
          <w:szCs w:val="22"/>
          <w:lang w:val="en-GB"/>
        </w:rPr>
        <w:t xml:space="preserve">The calculation of the time related preliminaries must be based on the default </w:t>
      </w:r>
      <w:r w:rsidR="00165C46">
        <w:rPr>
          <w:sz w:val="22"/>
          <w:szCs w:val="22"/>
          <w:lang w:val="en-GB"/>
        </w:rPr>
        <w:t xml:space="preserve">  </w:t>
      </w:r>
      <w:r>
        <w:rPr>
          <w:sz w:val="22"/>
          <w:szCs w:val="22"/>
          <w:lang w:val="en-GB"/>
        </w:rPr>
        <w:t>provision as provided for in the CE Contract Data.</w:t>
      </w:r>
    </w:p>
    <w:p w14:paraId="38A6E8D1" w14:textId="5F2C5809" w:rsidR="00272551" w:rsidRDefault="00272551" w:rsidP="00165C46">
      <w:pPr>
        <w:ind w:left="142" w:hanging="142"/>
        <w:jc w:val="both"/>
        <w:rPr>
          <w:sz w:val="22"/>
          <w:szCs w:val="22"/>
          <w:lang w:val="en-GB"/>
        </w:rPr>
      </w:pPr>
      <w:r>
        <w:rPr>
          <w:sz w:val="22"/>
          <w:szCs w:val="22"/>
          <w:lang w:val="en-GB"/>
        </w:rPr>
        <w:tab/>
        <w:t>19.2</w:t>
      </w:r>
      <w:r>
        <w:rPr>
          <w:sz w:val="22"/>
          <w:szCs w:val="22"/>
          <w:lang w:val="en-GB"/>
        </w:rPr>
        <w:tab/>
        <w:t xml:space="preserve">The relief sought by the Claimant for Dispute No. 2 is granted. I determine that: </w:t>
      </w:r>
    </w:p>
    <w:p w14:paraId="433A4256" w14:textId="29911F20" w:rsidR="00165C46" w:rsidRDefault="00165C46" w:rsidP="009736C0">
      <w:pPr>
        <w:ind w:left="1440" w:hanging="720"/>
        <w:jc w:val="both"/>
        <w:rPr>
          <w:sz w:val="22"/>
          <w:szCs w:val="22"/>
          <w:lang w:val="en-GB"/>
        </w:rPr>
      </w:pPr>
      <w:r>
        <w:rPr>
          <w:sz w:val="22"/>
          <w:szCs w:val="22"/>
          <w:lang w:val="en-GB"/>
        </w:rPr>
        <w:t xml:space="preserve">19.2.1 </w:t>
      </w:r>
      <w:r w:rsidR="009736C0">
        <w:rPr>
          <w:sz w:val="22"/>
          <w:szCs w:val="22"/>
          <w:lang w:val="en-GB"/>
        </w:rPr>
        <w:tab/>
      </w:r>
      <w:r>
        <w:rPr>
          <w:sz w:val="22"/>
          <w:szCs w:val="22"/>
          <w:lang w:val="en-GB"/>
        </w:rPr>
        <w:t>The current penalties being deducted be reversed for the amount of R7 318 364</w:t>
      </w:r>
      <w:proofErr w:type="gramStart"/>
      <w:r>
        <w:rPr>
          <w:sz w:val="22"/>
          <w:szCs w:val="22"/>
          <w:lang w:val="en-GB"/>
        </w:rPr>
        <w:t>,26</w:t>
      </w:r>
      <w:proofErr w:type="gramEnd"/>
      <w:r>
        <w:rPr>
          <w:sz w:val="22"/>
          <w:szCs w:val="22"/>
          <w:lang w:val="en-GB"/>
        </w:rPr>
        <w:t>.</w:t>
      </w:r>
    </w:p>
    <w:p w14:paraId="63651679" w14:textId="6CA54888" w:rsidR="00165C46" w:rsidRDefault="00165C46" w:rsidP="00165C46">
      <w:pPr>
        <w:ind w:left="1440" w:hanging="720"/>
        <w:jc w:val="both"/>
        <w:rPr>
          <w:sz w:val="22"/>
          <w:szCs w:val="22"/>
          <w:lang w:val="en-GB"/>
        </w:rPr>
      </w:pPr>
      <w:r>
        <w:rPr>
          <w:sz w:val="22"/>
          <w:szCs w:val="22"/>
          <w:lang w:val="en-GB"/>
        </w:rPr>
        <w:t xml:space="preserve">19.2.2 </w:t>
      </w:r>
      <w:r>
        <w:rPr>
          <w:sz w:val="22"/>
          <w:szCs w:val="22"/>
          <w:lang w:val="en-GB"/>
        </w:rPr>
        <w:tab/>
        <w:t>Interest is due on the levied penalties for the period from when deducted from the certificates to the date the penalty funds are reversed and paid.</w:t>
      </w:r>
    </w:p>
    <w:p w14:paraId="4D72F395" w14:textId="244BA5F8" w:rsidR="00165C46" w:rsidRDefault="00165C46" w:rsidP="00165C46">
      <w:pPr>
        <w:ind w:left="720" w:hanging="578"/>
        <w:jc w:val="both"/>
        <w:rPr>
          <w:sz w:val="22"/>
          <w:szCs w:val="22"/>
          <w:lang w:val="en-GB"/>
        </w:rPr>
      </w:pPr>
      <w:r>
        <w:rPr>
          <w:sz w:val="22"/>
          <w:szCs w:val="22"/>
          <w:lang w:val="en-GB"/>
        </w:rPr>
        <w:lastRenderedPageBreak/>
        <w:t xml:space="preserve">19.3 </w:t>
      </w:r>
      <w:r>
        <w:rPr>
          <w:sz w:val="22"/>
          <w:szCs w:val="22"/>
          <w:lang w:val="en-GB"/>
        </w:rPr>
        <w:tab/>
        <w:t>The relief sought by the Claimant for Dispute No. 3 is neither granted nor not granted as it is not possible for me to rule on the alleged under-measurement and certification by the PQS and incorrect CPAP calculation due to time constraints as mentioned. My ruling is therefore based on the contractual steps to be followed, as follows:</w:t>
      </w:r>
    </w:p>
    <w:p w14:paraId="052ADA7D" w14:textId="1D9F77E7" w:rsidR="00165C46" w:rsidRDefault="00165C46" w:rsidP="005738B2">
      <w:pPr>
        <w:ind w:left="1440" w:hanging="718"/>
        <w:jc w:val="both"/>
        <w:rPr>
          <w:sz w:val="22"/>
          <w:szCs w:val="22"/>
          <w:lang w:val="en-GB"/>
        </w:rPr>
      </w:pPr>
      <w:r>
        <w:rPr>
          <w:sz w:val="22"/>
          <w:szCs w:val="22"/>
          <w:lang w:val="en-GB"/>
        </w:rPr>
        <w:t>19.3.1</w:t>
      </w:r>
      <w:r>
        <w:rPr>
          <w:sz w:val="22"/>
          <w:szCs w:val="22"/>
          <w:lang w:val="en-GB"/>
        </w:rPr>
        <w:tab/>
        <w:t>The final account to be submitted by the PA to the Claimant by not later than 90 working days after 21 July 2021, i.e., 26 November 2021.</w:t>
      </w:r>
    </w:p>
    <w:p w14:paraId="6FAEBD42" w14:textId="2E7FFDEE" w:rsidR="00165C46" w:rsidRDefault="00165C46" w:rsidP="005738B2">
      <w:pPr>
        <w:ind w:left="1440" w:hanging="718"/>
        <w:jc w:val="both"/>
        <w:rPr>
          <w:sz w:val="22"/>
          <w:szCs w:val="22"/>
          <w:lang w:val="en-GB"/>
        </w:rPr>
      </w:pPr>
      <w:r>
        <w:rPr>
          <w:sz w:val="22"/>
          <w:szCs w:val="22"/>
          <w:lang w:val="en-GB"/>
        </w:rPr>
        <w:t>19.3.2</w:t>
      </w:r>
      <w:r>
        <w:rPr>
          <w:sz w:val="22"/>
          <w:szCs w:val="22"/>
          <w:lang w:val="en-GB"/>
        </w:rPr>
        <w:tab/>
        <w:t>The Claimant to accept or object to the final account within 45 working days of receipt thereof, i.e., not later than by the end of February 2022.</w:t>
      </w:r>
    </w:p>
    <w:p w14:paraId="7289B106" w14:textId="4161058D" w:rsidR="00165C46" w:rsidRDefault="00E06929" w:rsidP="005738B2">
      <w:pPr>
        <w:ind w:left="720" w:hanging="578"/>
        <w:jc w:val="both"/>
        <w:rPr>
          <w:sz w:val="22"/>
          <w:szCs w:val="22"/>
          <w:lang w:val="en-GB"/>
        </w:rPr>
      </w:pPr>
      <w:r>
        <w:rPr>
          <w:sz w:val="22"/>
          <w:szCs w:val="22"/>
          <w:lang w:val="en-GB"/>
        </w:rPr>
        <w:t>19.4</w:t>
      </w:r>
      <w:r>
        <w:rPr>
          <w:sz w:val="22"/>
          <w:szCs w:val="22"/>
          <w:lang w:val="en-GB"/>
        </w:rPr>
        <w:tab/>
        <w:t>The relief sought by the Claimant for Dispute No. 4 is neither granted nor not granted as it is not possible for me to rule on the alleged non-certification of additional work by the PQS due to time constraints as mentioned. My ruling is therefore based on the contractual steps to be followed, as follows:</w:t>
      </w:r>
    </w:p>
    <w:p w14:paraId="421ED102" w14:textId="01D9F9B8" w:rsidR="00E06929" w:rsidRDefault="00E06929" w:rsidP="005738B2">
      <w:pPr>
        <w:ind w:left="1440" w:hanging="718"/>
        <w:jc w:val="both"/>
        <w:rPr>
          <w:sz w:val="22"/>
          <w:szCs w:val="22"/>
          <w:lang w:val="en-GB"/>
        </w:rPr>
      </w:pPr>
      <w:r>
        <w:rPr>
          <w:sz w:val="22"/>
          <w:szCs w:val="22"/>
          <w:lang w:val="en-GB"/>
        </w:rPr>
        <w:t>19.4.1</w:t>
      </w:r>
      <w:r>
        <w:rPr>
          <w:sz w:val="22"/>
          <w:szCs w:val="22"/>
          <w:lang w:val="en-GB"/>
        </w:rPr>
        <w:tab/>
        <w:t>The final account to be submitted by the PA to the Claimant by not later than 90 working days after 21 July 2021, i.e., 26 November 2021.</w:t>
      </w:r>
    </w:p>
    <w:p w14:paraId="1360C108" w14:textId="6AF2FCA4" w:rsidR="00E06929" w:rsidRDefault="00E06929" w:rsidP="005738B2">
      <w:pPr>
        <w:ind w:left="1440" w:hanging="718"/>
        <w:jc w:val="both"/>
        <w:rPr>
          <w:sz w:val="22"/>
          <w:szCs w:val="22"/>
          <w:lang w:val="en-GB"/>
        </w:rPr>
      </w:pPr>
      <w:r>
        <w:rPr>
          <w:sz w:val="22"/>
          <w:szCs w:val="22"/>
          <w:lang w:val="en-GB"/>
        </w:rPr>
        <w:t>19.4.2</w:t>
      </w:r>
      <w:r>
        <w:rPr>
          <w:sz w:val="22"/>
          <w:szCs w:val="22"/>
          <w:lang w:val="en-GB"/>
        </w:rPr>
        <w:tab/>
        <w:t>The Claimant to accept or object to the final account within 45 working days of receipt thereof, i.e., not later than by the end of February 2022.</w:t>
      </w:r>
    </w:p>
    <w:p w14:paraId="06D30E67" w14:textId="551206DA" w:rsidR="00E06929" w:rsidRDefault="00E06929" w:rsidP="005738B2">
      <w:pPr>
        <w:ind w:left="709" w:firstLine="13"/>
        <w:jc w:val="both"/>
        <w:rPr>
          <w:sz w:val="22"/>
          <w:szCs w:val="22"/>
          <w:lang w:val="en-GB"/>
        </w:rPr>
      </w:pPr>
      <w:r>
        <w:rPr>
          <w:sz w:val="22"/>
          <w:szCs w:val="22"/>
          <w:lang w:val="en-GB"/>
        </w:rPr>
        <w:t xml:space="preserve">The time periods are very liberal taking into consideration the amount of information already available and the fact that the ‘draft Final Account’ has almost been completed by the PQS. I foresee therefore that the parties would </w:t>
      </w:r>
      <w:r w:rsidR="005738B2">
        <w:rPr>
          <w:sz w:val="22"/>
          <w:szCs w:val="22"/>
          <w:lang w:val="en-GB"/>
        </w:rPr>
        <w:t>have more than enough time to reach agreement on whether the Claimant is entitled to be paid for the additional work in contention. Should the parties still not be able to reach agreement arbitration would be the option for the parties to consider in order to reach a final and binding resolution.</w:t>
      </w:r>
    </w:p>
    <w:p w14:paraId="2F9DB296" w14:textId="7084308E" w:rsidR="005738B2" w:rsidRDefault="005738B2" w:rsidP="005738B2">
      <w:pPr>
        <w:ind w:left="142"/>
        <w:jc w:val="both"/>
        <w:rPr>
          <w:sz w:val="22"/>
          <w:szCs w:val="22"/>
          <w:lang w:val="en-GB"/>
        </w:rPr>
      </w:pPr>
      <w:r>
        <w:rPr>
          <w:sz w:val="22"/>
          <w:szCs w:val="22"/>
          <w:lang w:val="en-GB"/>
        </w:rPr>
        <w:t>19.5</w:t>
      </w:r>
      <w:r>
        <w:rPr>
          <w:sz w:val="22"/>
          <w:szCs w:val="22"/>
          <w:lang w:val="en-GB"/>
        </w:rPr>
        <w:tab/>
        <w:t>The relief sought by the Claimant for Dispute No. 5 is not granted.</w:t>
      </w:r>
    </w:p>
    <w:p w14:paraId="1A47AFD9" w14:textId="2272D37C" w:rsidR="005738B2" w:rsidRDefault="005738B2" w:rsidP="005738B2">
      <w:pPr>
        <w:ind w:left="142"/>
        <w:jc w:val="both"/>
        <w:rPr>
          <w:sz w:val="22"/>
          <w:szCs w:val="22"/>
          <w:lang w:val="en-GB"/>
        </w:rPr>
      </w:pPr>
      <w:r>
        <w:rPr>
          <w:sz w:val="22"/>
          <w:szCs w:val="22"/>
          <w:lang w:val="en-GB"/>
        </w:rPr>
        <w:t>19.6</w:t>
      </w:r>
      <w:r>
        <w:rPr>
          <w:sz w:val="22"/>
          <w:szCs w:val="22"/>
          <w:lang w:val="en-GB"/>
        </w:rPr>
        <w:tab/>
        <w:t>The relief sought by the Claimant for Dispute No. 6 is not granted. I determine that:</w:t>
      </w:r>
    </w:p>
    <w:p w14:paraId="2A27FDC3" w14:textId="776B21A4" w:rsidR="005738B2" w:rsidRDefault="005738B2" w:rsidP="005738B2">
      <w:pPr>
        <w:ind w:left="142"/>
        <w:jc w:val="both"/>
        <w:rPr>
          <w:sz w:val="22"/>
          <w:szCs w:val="22"/>
          <w:lang w:val="en-GB"/>
        </w:rPr>
      </w:pPr>
      <w:r>
        <w:rPr>
          <w:sz w:val="22"/>
          <w:szCs w:val="22"/>
          <w:lang w:val="en-GB"/>
        </w:rPr>
        <w:tab/>
        <w:t>19.6.1</w:t>
      </w:r>
      <w:r>
        <w:rPr>
          <w:sz w:val="22"/>
          <w:szCs w:val="22"/>
          <w:lang w:val="en-GB"/>
        </w:rPr>
        <w:tab/>
        <w:t>The Claimant was not entitled to suspend the execution of the works.</w:t>
      </w:r>
    </w:p>
    <w:p w14:paraId="63F67A60" w14:textId="100761C6" w:rsidR="005738B2" w:rsidRDefault="005738B2" w:rsidP="009569DA">
      <w:pPr>
        <w:tabs>
          <w:tab w:val="left" w:pos="1418"/>
        </w:tabs>
        <w:ind w:left="709" w:hanging="567"/>
        <w:jc w:val="both"/>
        <w:rPr>
          <w:sz w:val="22"/>
          <w:szCs w:val="22"/>
          <w:lang w:val="en-GB"/>
        </w:rPr>
      </w:pPr>
      <w:r>
        <w:rPr>
          <w:sz w:val="22"/>
          <w:szCs w:val="22"/>
          <w:lang w:val="en-GB"/>
        </w:rPr>
        <w:tab/>
        <w:t>19.6.2</w:t>
      </w:r>
      <w:r w:rsidR="009569DA">
        <w:rPr>
          <w:sz w:val="22"/>
          <w:szCs w:val="22"/>
          <w:lang w:val="en-GB"/>
        </w:rPr>
        <w:tab/>
      </w:r>
      <w:r>
        <w:rPr>
          <w:sz w:val="22"/>
          <w:szCs w:val="22"/>
          <w:lang w:val="en-GB"/>
        </w:rPr>
        <w:t xml:space="preserve">The contract between the parties was validly terminated by the </w:t>
      </w:r>
      <w:r w:rsidR="009569DA">
        <w:rPr>
          <w:sz w:val="22"/>
          <w:szCs w:val="22"/>
          <w:lang w:val="en-GB"/>
        </w:rPr>
        <w:t xml:space="preserve">Respondent on </w:t>
      </w:r>
      <w:r w:rsidR="009569DA">
        <w:rPr>
          <w:sz w:val="22"/>
          <w:szCs w:val="22"/>
          <w:lang w:val="en-GB"/>
        </w:rPr>
        <w:tab/>
        <w:t>21 July 2021.</w:t>
      </w:r>
    </w:p>
    <w:p w14:paraId="61652191" w14:textId="1EC9B76D" w:rsidR="009569DA" w:rsidRDefault="009569DA" w:rsidP="009569DA">
      <w:pPr>
        <w:ind w:left="709" w:hanging="567"/>
        <w:jc w:val="both"/>
        <w:rPr>
          <w:sz w:val="22"/>
          <w:szCs w:val="22"/>
          <w:lang w:val="en-GB"/>
        </w:rPr>
      </w:pPr>
      <w:r>
        <w:rPr>
          <w:sz w:val="22"/>
          <w:szCs w:val="22"/>
          <w:lang w:val="en-GB"/>
        </w:rPr>
        <w:tab/>
        <w:t>19.6.3</w:t>
      </w:r>
      <w:r>
        <w:rPr>
          <w:sz w:val="22"/>
          <w:szCs w:val="22"/>
          <w:lang w:val="en-GB"/>
        </w:rPr>
        <w:tab/>
        <w:t>The Claimant has no right to continuous possession of the works.</w:t>
      </w:r>
    </w:p>
    <w:p w14:paraId="3B8E84C0" w14:textId="098AB616" w:rsidR="00186352" w:rsidRDefault="00186352" w:rsidP="009569DA">
      <w:pPr>
        <w:ind w:left="709" w:hanging="567"/>
        <w:jc w:val="both"/>
        <w:rPr>
          <w:sz w:val="22"/>
          <w:szCs w:val="22"/>
          <w:lang w:val="en-GB"/>
        </w:rPr>
      </w:pPr>
      <w:r>
        <w:rPr>
          <w:sz w:val="22"/>
          <w:szCs w:val="22"/>
          <w:lang w:val="en-GB"/>
        </w:rPr>
        <w:tab/>
        <w:t>19.6.4</w:t>
      </w:r>
      <w:r>
        <w:rPr>
          <w:sz w:val="22"/>
          <w:szCs w:val="22"/>
          <w:lang w:val="en-GB"/>
        </w:rPr>
        <w:tab/>
        <w:t>The Claimant is directed to vacate the site forthwith.</w:t>
      </w:r>
    </w:p>
    <w:p w14:paraId="2978166D" w14:textId="06D1E88F" w:rsidR="00186352" w:rsidRDefault="00186352" w:rsidP="002E613A">
      <w:pPr>
        <w:tabs>
          <w:tab w:val="left" w:pos="1418"/>
        </w:tabs>
        <w:ind w:left="720" w:hanging="578"/>
        <w:jc w:val="both"/>
        <w:rPr>
          <w:sz w:val="22"/>
          <w:szCs w:val="22"/>
          <w:lang w:val="en-GB"/>
        </w:rPr>
      </w:pPr>
      <w:r>
        <w:rPr>
          <w:sz w:val="22"/>
          <w:szCs w:val="22"/>
          <w:lang w:val="en-GB"/>
        </w:rPr>
        <w:tab/>
        <w:t>19.6.5</w:t>
      </w:r>
      <w:r>
        <w:rPr>
          <w:sz w:val="22"/>
          <w:szCs w:val="22"/>
          <w:lang w:val="en-GB"/>
        </w:rPr>
        <w:tab/>
        <w:t xml:space="preserve">The cost of others to remedy the Claimant’s defective work, if any, be deducted </w:t>
      </w:r>
      <w:r w:rsidR="002E613A">
        <w:rPr>
          <w:sz w:val="22"/>
          <w:szCs w:val="22"/>
          <w:lang w:val="en-GB"/>
        </w:rPr>
        <w:tab/>
      </w:r>
      <w:r>
        <w:rPr>
          <w:sz w:val="22"/>
          <w:szCs w:val="22"/>
          <w:lang w:val="en-GB"/>
        </w:rPr>
        <w:t>from the final value of the works.’</w:t>
      </w:r>
    </w:p>
    <w:p w14:paraId="055EF164" w14:textId="265F457F" w:rsidR="00272551" w:rsidRPr="00272551" w:rsidRDefault="00272551" w:rsidP="00ED67A2">
      <w:pPr>
        <w:rPr>
          <w:sz w:val="22"/>
          <w:szCs w:val="22"/>
          <w:lang w:val="en-GB"/>
        </w:rPr>
      </w:pPr>
      <w:r>
        <w:rPr>
          <w:sz w:val="22"/>
          <w:szCs w:val="22"/>
          <w:lang w:val="en-GB"/>
        </w:rPr>
        <w:tab/>
      </w:r>
    </w:p>
    <w:p w14:paraId="2D64F2E8" w14:textId="3A74509A" w:rsidR="00272551" w:rsidRDefault="00ED67A2" w:rsidP="00F71063">
      <w:pPr>
        <w:pStyle w:val="ListParagraph"/>
        <w:numPr>
          <w:ilvl w:val="0"/>
          <w:numId w:val="10"/>
        </w:numPr>
        <w:autoSpaceDE w:val="0"/>
        <w:autoSpaceDN w:val="0"/>
        <w:adjustRightInd w:val="0"/>
        <w:ind w:left="142" w:hanging="142"/>
        <w:jc w:val="both"/>
        <w:rPr>
          <w:lang w:val="en-GB"/>
        </w:rPr>
      </w:pPr>
      <w:r>
        <w:rPr>
          <w:lang w:val="en-GB"/>
        </w:rPr>
        <w:t>The applicant seeks compliance with parts of the decision favourable to it</w:t>
      </w:r>
      <w:r w:rsidR="00A1768D">
        <w:rPr>
          <w:lang w:val="en-GB"/>
        </w:rPr>
        <w:t xml:space="preserve">, partly based on its own calculations. </w:t>
      </w:r>
      <w:r w:rsidR="009A631B">
        <w:rPr>
          <w:lang w:val="en-GB"/>
        </w:rPr>
        <w:t xml:space="preserve">The application is opposed on the basis that it is not possible for the respondent to perform according to the decision and </w:t>
      </w:r>
      <w:r w:rsidR="0046612B">
        <w:rPr>
          <w:lang w:val="en-GB"/>
        </w:rPr>
        <w:t>b</w:t>
      </w:r>
      <w:r w:rsidR="009A631B">
        <w:rPr>
          <w:lang w:val="en-GB"/>
        </w:rPr>
        <w:t xml:space="preserve">ecause an order directing performance will result in disproportionate </w:t>
      </w:r>
      <w:r w:rsidR="009A631B" w:rsidRPr="00871F22">
        <w:rPr>
          <w:lang w:val="en-GB"/>
        </w:rPr>
        <w:t>hardship</w:t>
      </w:r>
      <w:r w:rsidR="009A631B">
        <w:rPr>
          <w:lang w:val="en-GB"/>
        </w:rPr>
        <w:t xml:space="preserve"> to the respondent.</w:t>
      </w:r>
    </w:p>
    <w:p w14:paraId="3F729C3E" w14:textId="77777777" w:rsidR="00F71063" w:rsidRPr="00F71063" w:rsidRDefault="00F71063" w:rsidP="00F71063">
      <w:pPr>
        <w:autoSpaceDE w:val="0"/>
        <w:autoSpaceDN w:val="0"/>
        <w:adjustRightInd w:val="0"/>
        <w:jc w:val="both"/>
        <w:rPr>
          <w:lang w:val="en-GB"/>
        </w:rPr>
      </w:pPr>
    </w:p>
    <w:p w14:paraId="74D2982D" w14:textId="5923B8A1" w:rsidR="006B4CCD" w:rsidRDefault="00341954" w:rsidP="00682CE5">
      <w:pPr>
        <w:pStyle w:val="ListParagraph"/>
        <w:numPr>
          <w:ilvl w:val="0"/>
          <w:numId w:val="10"/>
        </w:numPr>
        <w:autoSpaceDE w:val="0"/>
        <w:autoSpaceDN w:val="0"/>
        <w:adjustRightInd w:val="0"/>
        <w:ind w:left="142" w:hanging="142"/>
        <w:jc w:val="both"/>
        <w:rPr>
          <w:lang w:val="en-GB"/>
        </w:rPr>
      </w:pPr>
      <w:r>
        <w:rPr>
          <w:lang w:val="en-GB"/>
        </w:rPr>
        <w:t>The Rules provide as follows:</w:t>
      </w:r>
    </w:p>
    <w:p w14:paraId="19EC2227" w14:textId="64ECF1B0" w:rsidR="00341954" w:rsidRPr="000025E5" w:rsidRDefault="00341954" w:rsidP="001327AA">
      <w:pPr>
        <w:ind w:left="142"/>
        <w:jc w:val="both"/>
        <w:rPr>
          <w:sz w:val="22"/>
          <w:szCs w:val="22"/>
          <w:lang w:val="en-GB"/>
        </w:rPr>
      </w:pPr>
      <w:r w:rsidRPr="000025E5">
        <w:rPr>
          <w:sz w:val="22"/>
          <w:szCs w:val="22"/>
          <w:lang w:val="en-GB"/>
        </w:rPr>
        <w:t>‘Adjudication is an accelerated form of dispute resolution in which a neutral person determines the dispute as an expert (and not as an arbitrator) and whose determination is binding on the parties for immediate compliance and which shall remain in force until varied or overturned by an arbitration award.’</w:t>
      </w:r>
    </w:p>
    <w:p w14:paraId="5FCCC5B2" w14:textId="77777777" w:rsidR="00103C94" w:rsidRPr="00103C94" w:rsidRDefault="00103C94" w:rsidP="00103C94">
      <w:pPr>
        <w:autoSpaceDE w:val="0"/>
        <w:autoSpaceDN w:val="0"/>
        <w:adjustRightInd w:val="0"/>
        <w:jc w:val="both"/>
        <w:rPr>
          <w:lang w:val="en-GB"/>
        </w:rPr>
      </w:pPr>
    </w:p>
    <w:p w14:paraId="253C3D65" w14:textId="5766060C" w:rsidR="00103C94" w:rsidRDefault="00E41615" w:rsidP="00103C94">
      <w:pPr>
        <w:pStyle w:val="ListParagraph"/>
        <w:numPr>
          <w:ilvl w:val="0"/>
          <w:numId w:val="10"/>
        </w:numPr>
        <w:autoSpaceDE w:val="0"/>
        <w:autoSpaceDN w:val="0"/>
        <w:adjustRightInd w:val="0"/>
        <w:ind w:left="142" w:hanging="142"/>
        <w:jc w:val="both"/>
        <w:rPr>
          <w:lang w:val="en-GB"/>
        </w:rPr>
      </w:pPr>
      <w:r>
        <w:rPr>
          <w:lang w:val="en-GB"/>
        </w:rPr>
        <w:t xml:space="preserve">Importantly, the adjudicator’s written determination of the dispute constitutes a liquid document in terms of the Rules. Where a written determination orders the payment of an amount of money, that amount </w:t>
      </w:r>
      <w:r w:rsidR="00B61DC9">
        <w:rPr>
          <w:lang w:val="en-GB"/>
        </w:rPr>
        <w:t>‘shall be a liquidated amount’.</w:t>
      </w:r>
      <w:r w:rsidR="007C7D9B">
        <w:rPr>
          <w:lang w:val="en-GB"/>
        </w:rPr>
        <w:t xml:space="preserve"> Either party may request the arbitrator to correct any patent clerical, typographical or arithmetical error or clarify any ambiguity in the determination. Any party may also apply to the High Court for the enforcement of the determination.</w:t>
      </w:r>
    </w:p>
    <w:p w14:paraId="255B3D34" w14:textId="07A59141" w:rsidR="00103C94" w:rsidRDefault="00103C94" w:rsidP="00506088">
      <w:pPr>
        <w:autoSpaceDE w:val="0"/>
        <w:autoSpaceDN w:val="0"/>
        <w:adjustRightInd w:val="0"/>
        <w:jc w:val="both"/>
        <w:rPr>
          <w:lang w:val="en-GB"/>
        </w:rPr>
      </w:pPr>
    </w:p>
    <w:p w14:paraId="75C214A5" w14:textId="1F270C89" w:rsidR="00506088" w:rsidRDefault="00291659" w:rsidP="00506088">
      <w:pPr>
        <w:autoSpaceDE w:val="0"/>
        <w:autoSpaceDN w:val="0"/>
        <w:adjustRightInd w:val="0"/>
        <w:jc w:val="both"/>
        <w:rPr>
          <w:b/>
          <w:bCs/>
          <w:lang w:val="en-GB"/>
        </w:rPr>
      </w:pPr>
      <w:r>
        <w:rPr>
          <w:b/>
          <w:bCs/>
          <w:lang w:val="en-GB"/>
        </w:rPr>
        <w:t>Applicable legal principles</w:t>
      </w:r>
    </w:p>
    <w:p w14:paraId="7C060AAA" w14:textId="77777777" w:rsidR="00506088" w:rsidRPr="00506088" w:rsidRDefault="00506088" w:rsidP="00506088">
      <w:pPr>
        <w:autoSpaceDE w:val="0"/>
        <w:autoSpaceDN w:val="0"/>
        <w:adjustRightInd w:val="0"/>
        <w:jc w:val="both"/>
        <w:rPr>
          <w:b/>
          <w:bCs/>
          <w:lang w:val="en-GB"/>
        </w:rPr>
      </w:pPr>
    </w:p>
    <w:p w14:paraId="546DDF35" w14:textId="719FFA14" w:rsidR="008867FF" w:rsidRDefault="008867FF" w:rsidP="00103C94">
      <w:pPr>
        <w:pStyle w:val="ListParagraph"/>
        <w:numPr>
          <w:ilvl w:val="0"/>
          <w:numId w:val="10"/>
        </w:numPr>
        <w:autoSpaceDE w:val="0"/>
        <w:autoSpaceDN w:val="0"/>
        <w:adjustRightInd w:val="0"/>
        <w:ind w:left="142" w:hanging="142"/>
        <w:jc w:val="both"/>
        <w:rPr>
          <w:lang w:val="en-GB"/>
        </w:rPr>
      </w:pPr>
      <w:r>
        <w:rPr>
          <w:lang w:val="en-GB"/>
        </w:rPr>
        <w:t>Construction contracts often require disputes to be resolved by arbitration, simultaneously postponing that process until the works have been completed, in order to avoid interruption.</w:t>
      </w:r>
      <w:r w:rsidR="002E6FD0">
        <w:rPr>
          <w:rStyle w:val="FootnoteReference"/>
          <w:lang w:val="en-GB"/>
        </w:rPr>
        <w:footnoteReference w:id="3"/>
      </w:r>
      <w:r w:rsidR="004F19BB">
        <w:rPr>
          <w:lang w:val="en-GB"/>
        </w:rPr>
        <w:t xml:space="preserve"> In </w:t>
      </w:r>
      <w:r w:rsidR="004F19BB">
        <w:rPr>
          <w:i/>
          <w:iCs/>
          <w:lang w:val="en-GB"/>
        </w:rPr>
        <w:t>Radon Projects (Pty) Ltd v NV Properties (Pty) Ltd and Another</w:t>
      </w:r>
      <w:r w:rsidR="005F3C81">
        <w:rPr>
          <w:lang w:val="en-GB"/>
        </w:rPr>
        <w:t>,</w:t>
      </w:r>
      <w:r w:rsidR="004F19BB" w:rsidRPr="00E8317B">
        <w:rPr>
          <w:rStyle w:val="FootnoteReference"/>
          <w:lang w:val="en-GB"/>
        </w:rPr>
        <w:footnoteReference w:id="4"/>
      </w:r>
      <w:r w:rsidR="005F3C81">
        <w:rPr>
          <w:lang w:val="en-GB"/>
        </w:rPr>
        <w:t xml:space="preserve"> the SCA noted that it has become prevalent, also internationally, for disputes to be provisionally resolved by adjudication.</w:t>
      </w:r>
      <w:r w:rsidR="00647794">
        <w:rPr>
          <w:lang w:val="en-GB"/>
        </w:rPr>
        <w:t xml:space="preserve"> The SCA added as follows:</w:t>
      </w:r>
    </w:p>
    <w:p w14:paraId="6BB85E1D" w14:textId="35396A7D" w:rsidR="00647794" w:rsidRPr="00647794" w:rsidRDefault="00647794" w:rsidP="00647794">
      <w:pPr>
        <w:autoSpaceDE w:val="0"/>
        <w:autoSpaceDN w:val="0"/>
        <w:adjustRightInd w:val="0"/>
        <w:ind w:left="142"/>
        <w:jc w:val="both"/>
        <w:rPr>
          <w:sz w:val="22"/>
          <w:szCs w:val="22"/>
          <w:lang w:val="en-GB"/>
        </w:rPr>
      </w:pPr>
      <w:r>
        <w:rPr>
          <w:sz w:val="22"/>
          <w:szCs w:val="22"/>
          <w:lang w:val="en-GB"/>
        </w:rPr>
        <w:t>‘The authors of Hudson’s Building and Construction Contracts observe that under New Zealand construction legislation adjudication ‘is regarded as essentially a cash flow measure implementing what has been colloquially described as a “quick and dirty” exercise to avoid delays in payment pending definitive determination of litigation’.</w:t>
      </w:r>
    </w:p>
    <w:p w14:paraId="1618CA93" w14:textId="77777777" w:rsidR="008867FF" w:rsidRPr="008867FF" w:rsidRDefault="008867FF" w:rsidP="008867FF">
      <w:pPr>
        <w:pStyle w:val="ListParagraph"/>
        <w:rPr>
          <w:lang w:val="en-GB"/>
        </w:rPr>
      </w:pPr>
    </w:p>
    <w:p w14:paraId="66CC309C" w14:textId="6142A2D6" w:rsidR="00DD5C5A" w:rsidRDefault="00DD5C5A" w:rsidP="00103C94">
      <w:pPr>
        <w:pStyle w:val="ListParagraph"/>
        <w:numPr>
          <w:ilvl w:val="0"/>
          <w:numId w:val="10"/>
        </w:numPr>
        <w:autoSpaceDE w:val="0"/>
        <w:autoSpaceDN w:val="0"/>
        <w:adjustRightInd w:val="0"/>
        <w:ind w:left="142" w:hanging="142"/>
        <w:jc w:val="both"/>
        <w:rPr>
          <w:lang w:val="en-GB"/>
        </w:rPr>
      </w:pPr>
      <w:r>
        <w:rPr>
          <w:lang w:val="en-GB"/>
        </w:rPr>
        <w:t>An identically worded settlement of disputes clause</w:t>
      </w:r>
      <w:r w:rsidR="00BE6F6F">
        <w:rPr>
          <w:lang w:val="en-GB"/>
        </w:rPr>
        <w:t xml:space="preserve"> was considered, and read with the Rules, by the SCA in </w:t>
      </w:r>
      <w:r w:rsidR="00BE6F6F">
        <w:rPr>
          <w:i/>
          <w:iCs/>
          <w:lang w:val="en-GB"/>
        </w:rPr>
        <w:t>Ekurhuleni West College v Segal and Another</w:t>
      </w:r>
      <w:r w:rsidR="00BE6F6F" w:rsidRPr="00BE6F6F">
        <w:rPr>
          <w:rStyle w:val="FootnoteReference"/>
          <w:lang w:val="en-GB"/>
        </w:rPr>
        <w:footnoteReference w:id="5"/>
      </w:r>
      <w:r w:rsidR="00BE6F6F" w:rsidRPr="00BE6F6F">
        <w:rPr>
          <w:lang w:val="en-GB"/>
        </w:rPr>
        <w:t xml:space="preserve"> </w:t>
      </w:r>
      <w:r w:rsidR="00075A23">
        <w:rPr>
          <w:lang w:val="en-GB"/>
        </w:rPr>
        <w:t>(‘</w:t>
      </w:r>
      <w:r w:rsidR="00075A23">
        <w:rPr>
          <w:i/>
          <w:iCs/>
          <w:lang w:val="en-GB"/>
        </w:rPr>
        <w:t>Segal</w:t>
      </w:r>
      <w:r w:rsidR="00075A23">
        <w:rPr>
          <w:lang w:val="en-GB"/>
        </w:rPr>
        <w:t>’).</w:t>
      </w:r>
      <w:r w:rsidR="000B60CF">
        <w:rPr>
          <w:lang w:val="en-GB"/>
        </w:rPr>
        <w:t xml:space="preserve"> In that matter, five of the second respondent’s claims referred to adjudication were adjudicated in its favour, requiring payment </w:t>
      </w:r>
      <w:r w:rsidR="008D3E55">
        <w:rPr>
          <w:lang w:val="en-GB"/>
        </w:rPr>
        <w:t xml:space="preserve">of the amount of more than R3 million </w:t>
      </w:r>
      <w:r w:rsidR="000B60CF">
        <w:rPr>
          <w:lang w:val="en-GB"/>
        </w:rPr>
        <w:t>by the appellant.</w:t>
      </w:r>
      <w:r w:rsidR="00FF4210">
        <w:rPr>
          <w:lang w:val="en-GB"/>
        </w:rPr>
        <w:t xml:space="preserve"> A patent error of calculation was subsequently </w:t>
      </w:r>
      <w:r w:rsidR="00FF4210">
        <w:rPr>
          <w:lang w:val="en-GB"/>
        </w:rPr>
        <w:lastRenderedPageBreak/>
        <w:t>identified by the second respondent</w:t>
      </w:r>
      <w:r w:rsidR="003D7F87">
        <w:rPr>
          <w:lang w:val="en-GB"/>
        </w:rPr>
        <w:t xml:space="preserve"> (‘</w:t>
      </w:r>
      <w:proofErr w:type="spellStart"/>
      <w:r w:rsidR="003D7F87">
        <w:rPr>
          <w:lang w:val="en-GB"/>
        </w:rPr>
        <w:t>Trencon</w:t>
      </w:r>
      <w:proofErr w:type="spellEnd"/>
      <w:r w:rsidR="003D7F87">
        <w:rPr>
          <w:lang w:val="en-GB"/>
        </w:rPr>
        <w:t>’)</w:t>
      </w:r>
      <w:r w:rsidR="00FF4210">
        <w:rPr>
          <w:lang w:val="en-GB"/>
        </w:rPr>
        <w:t>, and corrected by the adjudicator.</w:t>
      </w:r>
      <w:r w:rsidR="00404CD3">
        <w:rPr>
          <w:rStyle w:val="FootnoteReference"/>
          <w:lang w:val="en-GB"/>
        </w:rPr>
        <w:footnoteReference w:id="6"/>
      </w:r>
      <w:r w:rsidR="00FF4210">
        <w:rPr>
          <w:lang w:val="en-GB"/>
        </w:rPr>
        <w:t xml:space="preserve"> </w:t>
      </w:r>
      <w:r w:rsidR="00AD290C">
        <w:rPr>
          <w:lang w:val="en-GB"/>
        </w:rPr>
        <w:t xml:space="preserve">The appellant </w:t>
      </w:r>
      <w:r w:rsidR="00FB2AD4">
        <w:rPr>
          <w:lang w:val="en-GB"/>
        </w:rPr>
        <w:t>gave notice of dissatisfaction and referred the disputes to arbitration.</w:t>
      </w:r>
      <w:r w:rsidR="003D7F87">
        <w:rPr>
          <w:lang w:val="en-GB"/>
        </w:rPr>
        <w:t xml:space="preserve"> The SCA </w:t>
      </w:r>
      <w:r w:rsidR="00BC413B">
        <w:rPr>
          <w:lang w:val="en-GB"/>
        </w:rPr>
        <w:t>held</w:t>
      </w:r>
      <w:r w:rsidR="003D7F87">
        <w:rPr>
          <w:lang w:val="en-GB"/>
        </w:rPr>
        <w:t xml:space="preserve"> as follows:</w:t>
      </w:r>
      <w:r w:rsidR="00185534">
        <w:rPr>
          <w:rStyle w:val="FootnoteReference"/>
          <w:lang w:val="en-GB"/>
        </w:rPr>
        <w:footnoteReference w:id="7"/>
      </w:r>
    </w:p>
    <w:p w14:paraId="2D0FD457" w14:textId="384B5054" w:rsidR="003D7F87" w:rsidRDefault="003D7F87" w:rsidP="003D7F87">
      <w:pPr>
        <w:ind w:left="142"/>
        <w:jc w:val="both"/>
        <w:rPr>
          <w:sz w:val="22"/>
          <w:szCs w:val="22"/>
          <w:lang w:val="en-GB"/>
        </w:rPr>
      </w:pPr>
      <w:r>
        <w:rPr>
          <w:sz w:val="22"/>
          <w:szCs w:val="22"/>
          <w:lang w:val="en-GB"/>
        </w:rPr>
        <w:t xml:space="preserve">‘This did not, of course, relieve the College of the obligation in terms of clause 40.3.3 to make payment to </w:t>
      </w:r>
      <w:proofErr w:type="spellStart"/>
      <w:r>
        <w:rPr>
          <w:sz w:val="22"/>
          <w:szCs w:val="22"/>
          <w:lang w:val="en-GB"/>
        </w:rPr>
        <w:t>Trencon</w:t>
      </w:r>
      <w:proofErr w:type="spellEnd"/>
      <w:r>
        <w:rPr>
          <w:sz w:val="22"/>
          <w:szCs w:val="22"/>
          <w:lang w:val="en-GB"/>
        </w:rPr>
        <w:t xml:space="preserve"> without delay</w:t>
      </w:r>
      <w:r w:rsidR="00C74400">
        <w:rPr>
          <w:sz w:val="22"/>
          <w:szCs w:val="22"/>
          <w:lang w:val="en-GB"/>
        </w:rPr>
        <w:t>. However, the College neglected to do so. Instead … it issued an application to review and set aside the determination</w:t>
      </w:r>
      <w:r w:rsidR="00185534">
        <w:rPr>
          <w:sz w:val="22"/>
          <w:szCs w:val="22"/>
          <w:lang w:val="en-GB"/>
        </w:rPr>
        <w:t xml:space="preserve"> … The adjudicator operated as a tribunal created by contract</w:t>
      </w:r>
      <w:r w:rsidR="00C730E9">
        <w:rPr>
          <w:sz w:val="22"/>
          <w:szCs w:val="22"/>
          <w:lang w:val="en-GB"/>
        </w:rPr>
        <w:t xml:space="preserve"> … [Adjudication] </w:t>
      </w:r>
      <w:r w:rsidR="00CB1233">
        <w:rPr>
          <w:sz w:val="22"/>
          <w:szCs w:val="22"/>
          <w:lang w:val="en-GB"/>
        </w:rPr>
        <w:t>was designed for the summary and interim resolution of disputes</w:t>
      </w:r>
      <w:r w:rsidR="00925058">
        <w:rPr>
          <w:sz w:val="22"/>
          <w:szCs w:val="22"/>
          <w:lang w:val="en-GB"/>
        </w:rPr>
        <w:t xml:space="preserve">. The adjudicator was given wide inquisitorial powers to resolve the disputes as expeditiously and inexpensively as possible. </w:t>
      </w:r>
      <w:r w:rsidR="007814AA">
        <w:rPr>
          <w:sz w:val="22"/>
          <w:szCs w:val="22"/>
          <w:lang w:val="en-GB"/>
        </w:rPr>
        <w:t>But the adjudicator’s determination was not exhaustive of the disputes, as it may be overturned during the final stage of the dispute resolution process</w:t>
      </w:r>
      <w:r w:rsidR="00F50DD3">
        <w:rPr>
          <w:sz w:val="22"/>
          <w:szCs w:val="22"/>
          <w:lang w:val="en-GB"/>
        </w:rPr>
        <w:t xml:space="preserve"> … The College agreed to be bound by the adjudicator’s determination. Its remedy was to refer the matter to arbitration.</w:t>
      </w:r>
      <w:r w:rsidR="00C45D73">
        <w:rPr>
          <w:sz w:val="22"/>
          <w:szCs w:val="22"/>
          <w:lang w:val="en-GB"/>
        </w:rPr>
        <w:t xml:space="preserve"> It invoked that remedy and could have pursued it expeditiously. In these circumstances holding the College to its contract would not cause grave injustice nor irreparable harm.’</w:t>
      </w:r>
    </w:p>
    <w:p w14:paraId="1989CC8D" w14:textId="77777777" w:rsidR="00C74400" w:rsidRPr="003D7F87" w:rsidRDefault="00C74400" w:rsidP="003D7F87">
      <w:pPr>
        <w:ind w:left="142"/>
        <w:jc w:val="both"/>
        <w:rPr>
          <w:sz w:val="22"/>
          <w:szCs w:val="22"/>
          <w:lang w:val="en-GB"/>
        </w:rPr>
      </w:pPr>
    </w:p>
    <w:p w14:paraId="6090C62F" w14:textId="16A2F738" w:rsidR="003D7F87" w:rsidRDefault="00E56509" w:rsidP="00103C94">
      <w:pPr>
        <w:pStyle w:val="ListParagraph"/>
        <w:numPr>
          <w:ilvl w:val="0"/>
          <w:numId w:val="10"/>
        </w:numPr>
        <w:autoSpaceDE w:val="0"/>
        <w:autoSpaceDN w:val="0"/>
        <w:adjustRightInd w:val="0"/>
        <w:ind w:left="142" w:hanging="142"/>
        <w:jc w:val="both"/>
        <w:rPr>
          <w:lang w:val="en-GB"/>
        </w:rPr>
      </w:pPr>
      <w:r>
        <w:rPr>
          <w:lang w:val="en-GB"/>
        </w:rPr>
        <w:t xml:space="preserve">Enforcement of an adjudicator’s determination in terms of a construction contract was also in issue in the recent decision of the SCA in </w:t>
      </w:r>
      <w:proofErr w:type="spellStart"/>
      <w:r>
        <w:rPr>
          <w:i/>
          <w:iCs/>
          <w:lang w:val="en-GB"/>
        </w:rPr>
        <w:t>Framatome</w:t>
      </w:r>
      <w:proofErr w:type="spellEnd"/>
      <w:r>
        <w:rPr>
          <w:i/>
          <w:iCs/>
          <w:lang w:val="en-GB"/>
        </w:rPr>
        <w:t xml:space="preserve"> v Eskom Holdings SOC Ltd </w:t>
      </w:r>
      <w:r>
        <w:rPr>
          <w:lang w:val="en-GB"/>
        </w:rPr>
        <w:t>(‘</w:t>
      </w:r>
      <w:proofErr w:type="spellStart"/>
      <w:r>
        <w:rPr>
          <w:i/>
          <w:iCs/>
          <w:lang w:val="en-GB"/>
        </w:rPr>
        <w:t>Framatome</w:t>
      </w:r>
      <w:proofErr w:type="spellEnd"/>
      <w:r>
        <w:rPr>
          <w:lang w:val="en-GB"/>
        </w:rPr>
        <w:t>’).</w:t>
      </w:r>
      <w:r>
        <w:rPr>
          <w:rStyle w:val="FootnoteReference"/>
          <w:lang w:val="en-GB"/>
        </w:rPr>
        <w:footnoteReference w:id="8"/>
      </w:r>
      <w:r w:rsidR="0079271F">
        <w:rPr>
          <w:lang w:val="en-GB"/>
        </w:rPr>
        <w:t xml:space="preserve"> That contract made provision for ‘compensation events’ which allowed </w:t>
      </w:r>
      <w:proofErr w:type="spellStart"/>
      <w:r w:rsidR="0079271F">
        <w:rPr>
          <w:lang w:val="en-GB"/>
        </w:rPr>
        <w:t>Framatome</w:t>
      </w:r>
      <w:proofErr w:type="spellEnd"/>
      <w:r w:rsidR="0079271F">
        <w:rPr>
          <w:lang w:val="en-GB"/>
        </w:rPr>
        <w:t xml:space="preserve"> to claim additional payment and extra time to do the work from the employer.</w:t>
      </w:r>
      <w:r w:rsidR="00C93EF0">
        <w:rPr>
          <w:rStyle w:val="FootnoteReference"/>
          <w:lang w:val="en-GB"/>
        </w:rPr>
        <w:footnoteReference w:id="9"/>
      </w:r>
      <w:r w:rsidR="00FC6BE9">
        <w:rPr>
          <w:lang w:val="en-GB"/>
        </w:rPr>
        <w:t xml:space="preserve"> </w:t>
      </w:r>
      <w:r w:rsidR="005B20BD">
        <w:rPr>
          <w:lang w:val="en-GB"/>
        </w:rPr>
        <w:t>Eskom argued</w:t>
      </w:r>
      <w:r w:rsidR="007B0701">
        <w:rPr>
          <w:lang w:val="en-GB"/>
        </w:rPr>
        <w:t xml:space="preserve"> that the adjudicator’s main decision was predicated on an invalid earlier decision, so that it was unenforceable. </w:t>
      </w:r>
      <w:r w:rsidR="008E1E23">
        <w:rPr>
          <w:lang w:val="en-GB"/>
        </w:rPr>
        <w:t>The SCA confirmed that Eskom could have referred the disputed decision to arbitration</w:t>
      </w:r>
      <w:r w:rsidR="003346B3">
        <w:rPr>
          <w:lang w:val="en-GB"/>
        </w:rPr>
        <w:t>.</w:t>
      </w:r>
      <w:r w:rsidR="008E1E23">
        <w:rPr>
          <w:lang w:val="en-GB"/>
        </w:rPr>
        <w:t xml:space="preserve"> </w:t>
      </w:r>
      <w:r w:rsidR="003346B3">
        <w:rPr>
          <w:lang w:val="en-GB"/>
        </w:rPr>
        <w:t>T</w:t>
      </w:r>
      <w:r w:rsidR="008E1E23">
        <w:rPr>
          <w:lang w:val="en-GB"/>
        </w:rPr>
        <w:t xml:space="preserve">here was </w:t>
      </w:r>
      <w:r w:rsidR="003346B3">
        <w:rPr>
          <w:lang w:val="en-GB"/>
        </w:rPr>
        <w:t xml:space="preserve">also </w:t>
      </w:r>
      <w:r w:rsidR="008E1E23">
        <w:rPr>
          <w:lang w:val="en-GB"/>
        </w:rPr>
        <w:t>no authority supporting the proposition that a lack of jurisdiction in relation to an earlier adjudication was a recognised ground for challenging an adjudicator’s jurisdiction in a subsequent adjudication that relied on the findings of the challenged jurisdiction</w:t>
      </w:r>
      <w:r w:rsidR="00D02928">
        <w:rPr>
          <w:lang w:val="en-GB"/>
        </w:rPr>
        <w:t>,</w:t>
      </w:r>
      <w:r w:rsidR="008E1E23">
        <w:rPr>
          <w:lang w:val="en-GB"/>
        </w:rPr>
        <w:t xml:space="preserve"> prior to any challenge being made good.</w:t>
      </w:r>
      <w:r w:rsidR="00A132AD">
        <w:rPr>
          <w:rStyle w:val="FootnoteReference"/>
          <w:lang w:val="en-GB"/>
        </w:rPr>
        <w:footnoteReference w:id="10"/>
      </w:r>
      <w:r w:rsidR="00B55417">
        <w:rPr>
          <w:lang w:val="en-GB"/>
        </w:rPr>
        <w:t xml:space="preserve"> In rejecting Eskom’s contentions, the SCA confirmed that the adjudicator’s decision was final and binding and to be enforced as a matter of contractual obligation </w:t>
      </w:r>
      <w:r w:rsidR="004B38C5">
        <w:rPr>
          <w:lang w:val="en-GB"/>
        </w:rPr>
        <w:t xml:space="preserve">between parties in the </w:t>
      </w:r>
      <w:r w:rsidR="004B38C5">
        <w:rPr>
          <w:lang w:val="en-GB"/>
        </w:rPr>
        <w:lastRenderedPageBreak/>
        <w:t>absence of an arbitration decision to the contrary.</w:t>
      </w:r>
      <w:r w:rsidR="007C218E">
        <w:rPr>
          <w:rStyle w:val="FootnoteReference"/>
          <w:lang w:val="en-GB"/>
        </w:rPr>
        <w:footnoteReference w:id="11"/>
      </w:r>
      <w:r w:rsidR="0055107B">
        <w:rPr>
          <w:lang w:val="en-GB"/>
        </w:rPr>
        <w:t xml:space="preserve"> Accepting Eskom’s contention </w:t>
      </w:r>
      <w:r w:rsidR="000C23B1">
        <w:rPr>
          <w:lang w:val="en-GB"/>
        </w:rPr>
        <w:t>was untenable</w:t>
      </w:r>
      <w:r w:rsidR="00D03B41">
        <w:rPr>
          <w:lang w:val="en-GB"/>
        </w:rPr>
        <w:t>:</w:t>
      </w:r>
      <w:r w:rsidR="00D03B41">
        <w:rPr>
          <w:rStyle w:val="FootnoteReference"/>
          <w:lang w:val="en-GB"/>
        </w:rPr>
        <w:footnoteReference w:id="12"/>
      </w:r>
    </w:p>
    <w:p w14:paraId="4271C6D5" w14:textId="12C862AE" w:rsidR="00DD5C5A" w:rsidRPr="000C23B1" w:rsidRDefault="000C23B1" w:rsidP="000C23B1">
      <w:pPr>
        <w:ind w:left="142"/>
        <w:jc w:val="both"/>
        <w:rPr>
          <w:sz w:val="22"/>
          <w:szCs w:val="22"/>
          <w:lang w:val="en-GB"/>
        </w:rPr>
      </w:pPr>
      <w:r>
        <w:rPr>
          <w:sz w:val="22"/>
          <w:szCs w:val="22"/>
          <w:lang w:val="en-GB"/>
        </w:rPr>
        <w:t>‘If the interpretation contended for by Eskom is correct, it will substantially undermine the effectiveness of the scheme of adjudication. It is plain that the purpose of adjudication w</w:t>
      </w:r>
      <w:r w:rsidR="00D37E3F">
        <w:rPr>
          <w:sz w:val="22"/>
          <w:szCs w:val="22"/>
          <w:lang w:val="en-GB"/>
        </w:rPr>
        <w:t>a</w:t>
      </w:r>
      <w:r>
        <w:rPr>
          <w:sz w:val="22"/>
          <w:szCs w:val="22"/>
          <w:lang w:val="en-GB"/>
        </w:rPr>
        <w:t>s to introduce a speedy mechanism for settling disputes in construction contracts on a provisional interim basis and requiring the decisions of adjudicators to be enforced pending the final determination of disputes by arbitration. As far as the procedure is concerned, adjudicators are given a fairly free hand. They are required to act impartially and permitted to take the initiative in ascertaining the facts and the law. Sight should not be lost of the fact that adjudication is merely an intervening, provisional stage in the dispute resolution process. Parties still have a right of recourse to litigation and arbitration. Only a tribunal may revise an adjudicator’s decision. As that decision has not been revised, it remains binding and enforceable. Eskom cannot partially comply with the award and decline to give full effect to the payment portion of the award. What Eskom is asking the Court to do is to interrogate the merits, an aspect which falls within the purview of the arbitration.’</w:t>
      </w:r>
    </w:p>
    <w:p w14:paraId="6E248B1C" w14:textId="77777777" w:rsidR="000C23B1" w:rsidRPr="00DD5C5A" w:rsidRDefault="000C23B1" w:rsidP="00DD5C5A">
      <w:pPr>
        <w:pStyle w:val="ListParagraph"/>
        <w:rPr>
          <w:lang w:val="en-GB"/>
        </w:rPr>
      </w:pPr>
    </w:p>
    <w:p w14:paraId="77D84F74" w14:textId="5739AFBD" w:rsidR="00FD54F6" w:rsidRDefault="0052717F" w:rsidP="00103C94">
      <w:pPr>
        <w:pStyle w:val="ListParagraph"/>
        <w:numPr>
          <w:ilvl w:val="0"/>
          <w:numId w:val="10"/>
        </w:numPr>
        <w:autoSpaceDE w:val="0"/>
        <w:autoSpaceDN w:val="0"/>
        <w:adjustRightInd w:val="0"/>
        <w:ind w:left="142" w:hanging="142"/>
        <w:jc w:val="both"/>
        <w:rPr>
          <w:lang w:val="en-GB"/>
        </w:rPr>
      </w:pPr>
      <w:r>
        <w:rPr>
          <w:lang w:val="en-GB"/>
        </w:rPr>
        <w:t>There was no justifiable reason for not giving full effect to the adjudication decision</w:t>
      </w:r>
      <w:r w:rsidR="00793A30">
        <w:rPr>
          <w:lang w:val="en-GB"/>
        </w:rPr>
        <w:t xml:space="preserve"> and refusing to comply with the payment award of the adjudicator </w:t>
      </w:r>
      <w:r w:rsidR="004E24A5">
        <w:rPr>
          <w:lang w:val="en-GB"/>
        </w:rPr>
        <w:t xml:space="preserve">in </w:t>
      </w:r>
      <w:proofErr w:type="spellStart"/>
      <w:r w:rsidR="004E24A5">
        <w:rPr>
          <w:i/>
          <w:iCs/>
          <w:lang w:val="en-GB"/>
        </w:rPr>
        <w:t>Framatome</w:t>
      </w:r>
      <w:proofErr w:type="spellEnd"/>
      <w:r w:rsidR="004E24A5">
        <w:rPr>
          <w:i/>
          <w:iCs/>
          <w:lang w:val="en-GB"/>
        </w:rPr>
        <w:t xml:space="preserve"> </w:t>
      </w:r>
      <w:r w:rsidR="00793A30">
        <w:rPr>
          <w:lang w:val="en-GB"/>
        </w:rPr>
        <w:t>was disingenuous</w:t>
      </w:r>
      <w:r w:rsidR="00FD54F6">
        <w:rPr>
          <w:lang w:val="en-GB"/>
        </w:rPr>
        <w:t>.</w:t>
      </w:r>
      <w:r w:rsidR="00793A30">
        <w:rPr>
          <w:rStyle w:val="FootnoteReference"/>
          <w:lang w:val="en-GB"/>
        </w:rPr>
        <w:footnoteReference w:id="13"/>
      </w:r>
      <w:r w:rsidR="00793A30">
        <w:rPr>
          <w:lang w:val="en-GB"/>
        </w:rPr>
        <w:t xml:space="preserve"> </w:t>
      </w:r>
      <w:r w:rsidR="00FD54F6">
        <w:rPr>
          <w:lang w:val="en-GB"/>
        </w:rPr>
        <w:t>The SCA added the following:</w:t>
      </w:r>
    </w:p>
    <w:p w14:paraId="33EFA1AF" w14:textId="489E526B" w:rsidR="00FD54F6" w:rsidRPr="00FD54F6" w:rsidRDefault="00FD54F6" w:rsidP="00FD54F6">
      <w:pPr>
        <w:pStyle w:val="ListParagraph"/>
        <w:autoSpaceDE w:val="0"/>
        <w:autoSpaceDN w:val="0"/>
        <w:adjustRightInd w:val="0"/>
        <w:ind w:left="142"/>
        <w:jc w:val="both"/>
        <w:rPr>
          <w:sz w:val="22"/>
          <w:szCs w:val="22"/>
          <w:lang w:val="en-GB"/>
        </w:rPr>
      </w:pPr>
      <w:r>
        <w:rPr>
          <w:sz w:val="22"/>
          <w:szCs w:val="22"/>
          <w:lang w:val="en-GB"/>
        </w:rPr>
        <w:t xml:space="preserve">‘The provision that payment must be made even before arbitration is a strong indication of the ousting of a court’s jurisdiction to review the award. The parties knew when they contracted with each other that the disputes may arise and a temporary </w:t>
      </w:r>
      <w:r w:rsidR="00020609">
        <w:rPr>
          <w:sz w:val="22"/>
          <w:szCs w:val="22"/>
          <w:lang w:val="en-GB"/>
        </w:rPr>
        <w:t xml:space="preserve">solution in the form of interim payments is provided to ensure the completion of the Contract within the agreed specified period … As stated in </w:t>
      </w:r>
      <w:r w:rsidR="00020609">
        <w:rPr>
          <w:i/>
          <w:iCs/>
          <w:sz w:val="22"/>
          <w:szCs w:val="22"/>
          <w:lang w:val="en-GB"/>
        </w:rPr>
        <w:t>Hudson’s Building and Engineering Contracts</w:t>
      </w:r>
      <w:r w:rsidR="00020609">
        <w:rPr>
          <w:sz w:val="22"/>
          <w:szCs w:val="22"/>
          <w:lang w:val="en-GB"/>
        </w:rPr>
        <w:t>: “It should only be in rare circumstances that the courts will interfere with the decision of an Adjudicator, and the courts should give no encouragement to an approach which might aptly be described as ‘simply sc</w:t>
      </w:r>
      <w:r w:rsidR="00EE16BA">
        <w:rPr>
          <w:sz w:val="22"/>
          <w:szCs w:val="22"/>
          <w:lang w:val="en-GB"/>
        </w:rPr>
        <w:t>r</w:t>
      </w:r>
      <w:r w:rsidR="00020609">
        <w:rPr>
          <w:sz w:val="22"/>
          <w:szCs w:val="22"/>
          <w:lang w:val="en-GB"/>
        </w:rPr>
        <w:t>abbling around to find some argument, however tenuous, to resis</w:t>
      </w:r>
      <w:r w:rsidR="000A43B6">
        <w:rPr>
          <w:sz w:val="22"/>
          <w:szCs w:val="22"/>
          <w:lang w:val="en-GB"/>
        </w:rPr>
        <w:t>t</w:t>
      </w:r>
      <w:r w:rsidR="00020609">
        <w:rPr>
          <w:sz w:val="22"/>
          <w:szCs w:val="22"/>
          <w:lang w:val="en-GB"/>
        </w:rPr>
        <w:t xml:space="preserve"> payment</w:t>
      </w:r>
      <w:r w:rsidR="00A33215">
        <w:rPr>
          <w:sz w:val="22"/>
          <w:szCs w:val="22"/>
          <w:lang w:val="en-GB"/>
        </w:rPr>
        <w:t>.</w:t>
      </w:r>
      <w:r w:rsidR="00020609">
        <w:rPr>
          <w:sz w:val="22"/>
          <w:szCs w:val="22"/>
          <w:lang w:val="en-GB"/>
        </w:rPr>
        <w:t>”’</w:t>
      </w:r>
      <w:r w:rsidR="00020609">
        <w:rPr>
          <w:i/>
          <w:iCs/>
          <w:sz w:val="22"/>
          <w:szCs w:val="22"/>
          <w:lang w:val="en-GB"/>
        </w:rPr>
        <w:t xml:space="preserve"> </w:t>
      </w:r>
    </w:p>
    <w:p w14:paraId="52443CB6" w14:textId="77777777" w:rsidR="00A33215" w:rsidRDefault="00A33215" w:rsidP="00C2532F">
      <w:pPr>
        <w:autoSpaceDE w:val="0"/>
        <w:autoSpaceDN w:val="0"/>
        <w:adjustRightInd w:val="0"/>
        <w:jc w:val="both"/>
        <w:rPr>
          <w:lang w:val="en-GB"/>
        </w:rPr>
      </w:pPr>
    </w:p>
    <w:p w14:paraId="3D481483" w14:textId="021CCBDD" w:rsidR="00C2532F" w:rsidRDefault="00C026DC" w:rsidP="00C2532F">
      <w:pPr>
        <w:autoSpaceDE w:val="0"/>
        <w:autoSpaceDN w:val="0"/>
        <w:adjustRightInd w:val="0"/>
        <w:jc w:val="both"/>
        <w:rPr>
          <w:b/>
          <w:bCs/>
          <w:lang w:val="en-GB"/>
        </w:rPr>
      </w:pPr>
      <w:r>
        <w:rPr>
          <w:b/>
          <w:bCs/>
          <w:lang w:val="en-GB"/>
        </w:rPr>
        <w:t xml:space="preserve">Postponement or </w:t>
      </w:r>
      <w:r w:rsidR="00C2532F">
        <w:rPr>
          <w:b/>
          <w:bCs/>
          <w:lang w:val="en-GB"/>
        </w:rPr>
        <w:t>set-off</w:t>
      </w:r>
      <w:r w:rsidR="00E66542">
        <w:rPr>
          <w:b/>
          <w:bCs/>
          <w:lang w:val="en-GB"/>
        </w:rPr>
        <w:t xml:space="preserve"> as defences</w:t>
      </w:r>
    </w:p>
    <w:p w14:paraId="4B693F5E" w14:textId="77777777" w:rsidR="008E0B12" w:rsidRPr="00E66542" w:rsidRDefault="008E0B12" w:rsidP="00E66542">
      <w:pPr>
        <w:autoSpaceDE w:val="0"/>
        <w:autoSpaceDN w:val="0"/>
        <w:adjustRightInd w:val="0"/>
        <w:jc w:val="both"/>
        <w:rPr>
          <w:sz w:val="22"/>
          <w:szCs w:val="22"/>
          <w:lang w:val="en-GB"/>
        </w:rPr>
      </w:pPr>
    </w:p>
    <w:p w14:paraId="6791F08C" w14:textId="155CE0E9" w:rsidR="0006620D" w:rsidRDefault="0006620D" w:rsidP="0006620D">
      <w:pPr>
        <w:pStyle w:val="ListParagraph"/>
        <w:numPr>
          <w:ilvl w:val="0"/>
          <w:numId w:val="10"/>
        </w:numPr>
        <w:autoSpaceDE w:val="0"/>
        <w:autoSpaceDN w:val="0"/>
        <w:adjustRightInd w:val="0"/>
        <w:ind w:left="142" w:hanging="142"/>
        <w:jc w:val="both"/>
        <w:rPr>
          <w:lang w:val="en-GB"/>
        </w:rPr>
      </w:pPr>
      <w:r>
        <w:rPr>
          <w:lang w:val="en-GB"/>
        </w:rPr>
        <w:lastRenderedPageBreak/>
        <w:t xml:space="preserve">The respondent’s defence, as expressed in its answering affidavit, is centred on the adjudicator’s finding in respect of dispute six. Once termination of the contract was declared lawful, an assessment and evaluation of the work performed by the applicant is required in order to determine any amounts due to either party. The respondent avers that the costs to remedy defects in the applicant’s work and to complete the work can only be properly determined once practical completion has been achieved on the entire project. </w:t>
      </w:r>
      <w:r w:rsidR="00A817A2">
        <w:rPr>
          <w:lang w:val="en-GB"/>
        </w:rPr>
        <w:t xml:space="preserve">Its case on the papers is based squarely on the process </w:t>
      </w:r>
      <w:r w:rsidR="00CC5B05">
        <w:rPr>
          <w:lang w:val="en-GB"/>
        </w:rPr>
        <w:t>to be followed</w:t>
      </w:r>
      <w:r w:rsidR="00A817A2">
        <w:rPr>
          <w:lang w:val="en-GB"/>
        </w:rPr>
        <w:t xml:space="preserve"> </w:t>
      </w:r>
      <w:r w:rsidR="00CC5B05">
        <w:rPr>
          <w:lang w:val="en-GB"/>
        </w:rPr>
        <w:t xml:space="preserve">to prepare the final account and its belief that it is premature for the applicant to demand payment of </w:t>
      </w:r>
      <w:r w:rsidR="00BE627C">
        <w:rPr>
          <w:lang w:val="en-GB"/>
        </w:rPr>
        <w:t>any monies that may be due to it before th</w:t>
      </w:r>
      <w:r w:rsidR="00774226">
        <w:rPr>
          <w:lang w:val="en-GB"/>
        </w:rPr>
        <w:t>at process is concluded.</w:t>
      </w:r>
      <w:r w:rsidR="00CC5B05">
        <w:rPr>
          <w:lang w:val="en-GB"/>
        </w:rPr>
        <w:t xml:space="preserve"> </w:t>
      </w:r>
      <w:r>
        <w:rPr>
          <w:lang w:val="en-GB"/>
        </w:rPr>
        <w:t xml:space="preserve">The respondent </w:t>
      </w:r>
      <w:r w:rsidR="005209A1">
        <w:rPr>
          <w:lang w:val="en-GB"/>
        </w:rPr>
        <w:t xml:space="preserve">also </w:t>
      </w:r>
      <w:r>
        <w:rPr>
          <w:lang w:val="en-GB"/>
        </w:rPr>
        <w:t>places reliance on the adjudicator’s conclusion that it is entitled to deduct from the final value of the works the costs of remedying the applicant’s defective work, if any. It offers its own preliminary calculations, based on information presently at its disposal, to suggest that the applicant is liable for damages in excess of R7 million, so that the applicant may be entitled only to payment of a sum less than R275 000.</w:t>
      </w:r>
    </w:p>
    <w:p w14:paraId="64C60A17" w14:textId="77777777" w:rsidR="0006620D" w:rsidRDefault="0006620D" w:rsidP="0006620D">
      <w:pPr>
        <w:pStyle w:val="ListParagraph"/>
        <w:autoSpaceDE w:val="0"/>
        <w:autoSpaceDN w:val="0"/>
        <w:adjustRightInd w:val="0"/>
        <w:ind w:left="142"/>
        <w:jc w:val="both"/>
        <w:rPr>
          <w:lang w:val="en-GB"/>
        </w:rPr>
      </w:pPr>
    </w:p>
    <w:p w14:paraId="2AFD6023" w14:textId="68AB1F84" w:rsidR="00984A3E" w:rsidRDefault="00195900" w:rsidP="00984A3E">
      <w:pPr>
        <w:pStyle w:val="ListParagraph"/>
        <w:numPr>
          <w:ilvl w:val="0"/>
          <w:numId w:val="10"/>
        </w:numPr>
        <w:autoSpaceDE w:val="0"/>
        <w:autoSpaceDN w:val="0"/>
        <w:adjustRightInd w:val="0"/>
        <w:ind w:left="142" w:hanging="142"/>
        <w:jc w:val="both"/>
        <w:rPr>
          <w:lang w:val="en-GB"/>
        </w:rPr>
      </w:pPr>
      <w:r>
        <w:rPr>
          <w:lang w:val="en-GB"/>
        </w:rPr>
        <w:t>Insofar as the respondent relies upon some form of postponement as a defence to the application, it must be noted that it,</w:t>
      </w:r>
      <w:r w:rsidR="003F239E">
        <w:rPr>
          <w:lang w:val="en-GB"/>
        </w:rPr>
        <w:t xml:space="preserve"> in effect,</w:t>
      </w:r>
      <w:r w:rsidR="00984A3E">
        <w:rPr>
          <w:lang w:val="en-GB"/>
        </w:rPr>
        <w:t xml:space="preserve"> refuses to comply with the outcome of a process to which it consented. Although aggrieved, it has not given notice of dissatisfaction and has not referred any aspect of the adjudication to arbitration</w:t>
      </w:r>
      <w:r w:rsidR="00611537">
        <w:rPr>
          <w:lang w:val="en-GB"/>
        </w:rPr>
        <w:t xml:space="preserve"> or raised a substantive question of clarification with the adjudicator on the formulation of the </w:t>
      </w:r>
      <w:r w:rsidR="003200BD">
        <w:rPr>
          <w:lang w:val="en-GB"/>
        </w:rPr>
        <w:t>decisions</w:t>
      </w:r>
      <w:r w:rsidR="00611537">
        <w:rPr>
          <w:lang w:val="en-GB"/>
        </w:rPr>
        <w:t xml:space="preserve"> in favour of the applicant</w:t>
      </w:r>
      <w:r w:rsidR="00984A3E">
        <w:rPr>
          <w:lang w:val="en-GB"/>
        </w:rPr>
        <w:t>. The determination remains binding and the parties were obliged to give prompt effect to it.</w:t>
      </w:r>
      <w:r w:rsidR="00984A3E">
        <w:rPr>
          <w:rStyle w:val="FootnoteReference"/>
          <w:lang w:val="en-GB"/>
        </w:rPr>
        <w:footnoteReference w:id="14"/>
      </w:r>
      <w:r w:rsidR="00984A3E">
        <w:rPr>
          <w:lang w:val="en-GB"/>
        </w:rPr>
        <w:t xml:space="preserve"> The applicant was, in principle, entitled to receive </w:t>
      </w:r>
      <w:r w:rsidR="00CF1B83">
        <w:rPr>
          <w:lang w:val="en-GB"/>
        </w:rPr>
        <w:t xml:space="preserve">quick </w:t>
      </w:r>
      <w:r w:rsidR="00984A3E">
        <w:rPr>
          <w:lang w:val="en-GB"/>
        </w:rPr>
        <w:t xml:space="preserve">cash flow in accordance with the outcome of a favourable adjudication decision on a monetary claim. As </w:t>
      </w:r>
      <w:proofErr w:type="spellStart"/>
      <w:r w:rsidR="00984A3E">
        <w:rPr>
          <w:lang w:val="en-GB"/>
        </w:rPr>
        <w:t>Spilg</w:t>
      </w:r>
      <w:proofErr w:type="spellEnd"/>
      <w:r w:rsidR="00984A3E">
        <w:rPr>
          <w:lang w:val="en-GB"/>
        </w:rPr>
        <w:t xml:space="preserve"> J held in </w:t>
      </w:r>
      <w:proofErr w:type="spellStart"/>
      <w:r w:rsidR="00984A3E">
        <w:rPr>
          <w:i/>
          <w:iCs/>
          <w:lang w:val="en-GB"/>
        </w:rPr>
        <w:t>Esor</w:t>
      </w:r>
      <w:proofErr w:type="spellEnd"/>
      <w:r w:rsidR="00984A3E">
        <w:rPr>
          <w:i/>
          <w:iCs/>
          <w:lang w:val="en-GB"/>
        </w:rPr>
        <w:t xml:space="preserve"> Africa (Pty) Ltd / </w:t>
      </w:r>
      <w:proofErr w:type="spellStart"/>
      <w:r w:rsidR="00984A3E">
        <w:rPr>
          <w:i/>
          <w:iCs/>
          <w:lang w:val="en-GB"/>
        </w:rPr>
        <w:t>Franki</w:t>
      </w:r>
      <w:proofErr w:type="spellEnd"/>
      <w:r w:rsidR="00984A3E">
        <w:rPr>
          <w:i/>
          <w:iCs/>
          <w:lang w:val="en-GB"/>
        </w:rPr>
        <w:t xml:space="preserve"> Africa (Pty) Ltd Joint Venture</w:t>
      </w:r>
      <w:r w:rsidR="00984A3E">
        <w:rPr>
          <w:lang w:val="en-GB"/>
        </w:rPr>
        <w:t xml:space="preserve"> </w:t>
      </w:r>
      <w:r w:rsidR="00984A3E">
        <w:rPr>
          <w:i/>
          <w:iCs/>
          <w:lang w:val="en-GB"/>
        </w:rPr>
        <w:t xml:space="preserve">v </w:t>
      </w:r>
      <w:proofErr w:type="spellStart"/>
      <w:r w:rsidR="00984A3E">
        <w:rPr>
          <w:i/>
          <w:iCs/>
          <w:lang w:val="en-GB"/>
        </w:rPr>
        <w:t>Bombela</w:t>
      </w:r>
      <w:proofErr w:type="spellEnd"/>
      <w:r w:rsidR="00984A3E">
        <w:rPr>
          <w:i/>
          <w:iCs/>
          <w:lang w:val="en-GB"/>
        </w:rPr>
        <w:t xml:space="preserve"> Civils Joint Venture (Pty) Ltd</w:t>
      </w:r>
      <w:r w:rsidR="00984A3E">
        <w:rPr>
          <w:lang w:val="en-GB"/>
        </w:rPr>
        <w:t>:</w:t>
      </w:r>
      <w:r w:rsidR="00984A3E">
        <w:rPr>
          <w:rStyle w:val="FootnoteReference"/>
          <w:lang w:val="en-GB"/>
        </w:rPr>
        <w:footnoteReference w:id="15"/>
      </w:r>
    </w:p>
    <w:p w14:paraId="555DD57D" w14:textId="4D3BD700" w:rsidR="00984A3E" w:rsidRDefault="00984A3E" w:rsidP="00984A3E">
      <w:pPr>
        <w:pStyle w:val="ListParagraph"/>
        <w:autoSpaceDE w:val="0"/>
        <w:autoSpaceDN w:val="0"/>
        <w:adjustRightInd w:val="0"/>
        <w:ind w:left="142"/>
        <w:jc w:val="both"/>
        <w:rPr>
          <w:sz w:val="22"/>
          <w:szCs w:val="22"/>
          <w:lang w:val="en-GB"/>
        </w:rPr>
      </w:pPr>
      <w:r>
        <w:rPr>
          <w:sz w:val="22"/>
          <w:szCs w:val="22"/>
          <w:lang w:val="en-GB"/>
        </w:rPr>
        <w:t xml:space="preserve">‘The [adjudication] decision is not final but the obligation to make payment or otherwise perform under it is. In the most elementary way the [adjudication] process ensures the interim solution of an issue which requires performance and requires that the decision is </w:t>
      </w:r>
      <w:r>
        <w:rPr>
          <w:sz w:val="22"/>
          <w:szCs w:val="22"/>
          <w:lang w:val="en-GB"/>
        </w:rPr>
        <w:lastRenderedPageBreak/>
        <w:t xml:space="preserve">implemented. The parties’ position may be altered by the outcome of the eventual arbitration which is a lengthier process </w:t>
      </w:r>
      <w:r w:rsidRPr="00CF1B83">
        <w:rPr>
          <w:sz w:val="22"/>
          <w:szCs w:val="22"/>
          <w:lang w:val="en-GB"/>
        </w:rPr>
        <w:t>and there may be a refund ordered of monies paid or an interest readjustment if too little was decided by the [adjudicator]</w:t>
      </w:r>
      <w:r>
        <w:rPr>
          <w:sz w:val="22"/>
          <w:szCs w:val="22"/>
          <w:lang w:val="en-GB"/>
        </w:rPr>
        <w:t xml:space="preserve"> … neither payment nor performance can be withhold when the parties are in dispute … the respondent cannot withhold payment of the amount determined by the adjudicator … it was precisely to avoid this situation that the clauses were worded in this fashion.’ </w:t>
      </w:r>
    </w:p>
    <w:p w14:paraId="2BC3A3F0" w14:textId="77777777" w:rsidR="00984A3E" w:rsidRPr="00984A3E" w:rsidRDefault="00984A3E" w:rsidP="00984A3E">
      <w:pPr>
        <w:autoSpaceDE w:val="0"/>
        <w:autoSpaceDN w:val="0"/>
        <w:adjustRightInd w:val="0"/>
        <w:jc w:val="both"/>
        <w:rPr>
          <w:sz w:val="22"/>
          <w:szCs w:val="22"/>
          <w:lang w:val="en-GB"/>
        </w:rPr>
      </w:pPr>
    </w:p>
    <w:p w14:paraId="728806A6" w14:textId="5A7710F9" w:rsidR="006309D7" w:rsidRDefault="0006620D" w:rsidP="0006620D">
      <w:pPr>
        <w:pStyle w:val="ListParagraph"/>
        <w:numPr>
          <w:ilvl w:val="0"/>
          <w:numId w:val="10"/>
        </w:numPr>
        <w:autoSpaceDE w:val="0"/>
        <w:autoSpaceDN w:val="0"/>
        <w:adjustRightInd w:val="0"/>
        <w:ind w:left="142" w:hanging="142"/>
        <w:jc w:val="both"/>
        <w:rPr>
          <w:lang w:val="en-GB"/>
        </w:rPr>
      </w:pPr>
      <w:r>
        <w:rPr>
          <w:lang w:val="en-GB"/>
        </w:rPr>
        <w:t xml:space="preserve">There is nothing on the papers to suggest that </w:t>
      </w:r>
      <w:r w:rsidR="002C2C26">
        <w:rPr>
          <w:lang w:val="en-GB"/>
        </w:rPr>
        <w:t>the respondent’s</w:t>
      </w:r>
      <w:r>
        <w:rPr>
          <w:lang w:val="en-GB"/>
        </w:rPr>
        <w:t xml:space="preserve"> </w:t>
      </w:r>
      <w:r w:rsidR="00527676">
        <w:rPr>
          <w:lang w:val="en-GB"/>
        </w:rPr>
        <w:t>interpretation</w:t>
      </w:r>
      <w:r w:rsidR="002C2C26">
        <w:rPr>
          <w:lang w:val="en-GB"/>
        </w:rPr>
        <w:t xml:space="preserve"> </w:t>
      </w:r>
      <w:r>
        <w:rPr>
          <w:lang w:val="en-GB"/>
        </w:rPr>
        <w:t xml:space="preserve">premised on set-off was contemplated by the adjudicator. By contrast, the adjudicator notes that six ‘separate’ disputes were referred, to be adjudicated. This is consistent with the notion that adjudication is intended to provide interim resolution of construction disputes, with an adjudicator’s expression of payment and performance obligations to be effected expeditiously. Read in its entirety, the adjudicator’s determination of dispute six centred on the applicant having erroneously suspended the works. The respondent placed the applicant on terms and was found to have been entitled to terminate the agreement when the applicant refused to uplift the suspension. This, according to the adjudicator, ‘… clearly demonstrates an intention no longer to be bound by the terms of the agreement, and more specifically clause 15.3.’ That clause refers to the applicant’s obligation to ‘…continuously, industriously and with due skill and appropriate physical resources to bring the works to … final completion’. As a result, the adjudicator determined that the </w:t>
      </w:r>
      <w:r w:rsidR="00CF1B83">
        <w:rPr>
          <w:lang w:val="en-GB"/>
        </w:rPr>
        <w:t>applicant</w:t>
      </w:r>
      <w:r>
        <w:rPr>
          <w:lang w:val="en-GB"/>
        </w:rPr>
        <w:t xml:space="preserve"> was not entitled to suspend the execution of the works and the contract between the parties was validly terminated by the respondent on 21 July 2021. The </w:t>
      </w:r>
      <w:r w:rsidR="000B0761">
        <w:rPr>
          <w:lang w:val="en-GB"/>
        </w:rPr>
        <w:t>applicant</w:t>
      </w:r>
      <w:r>
        <w:rPr>
          <w:lang w:val="en-GB"/>
        </w:rPr>
        <w:t xml:space="preserve"> was not entitled to continuous possession of the works and was directed to vacate the site forthwith. </w:t>
      </w:r>
    </w:p>
    <w:p w14:paraId="6B20DA2D" w14:textId="77777777" w:rsidR="006309D7" w:rsidRDefault="006309D7" w:rsidP="006309D7">
      <w:pPr>
        <w:pStyle w:val="ListParagraph"/>
        <w:autoSpaceDE w:val="0"/>
        <w:autoSpaceDN w:val="0"/>
        <w:adjustRightInd w:val="0"/>
        <w:ind w:left="142"/>
        <w:jc w:val="both"/>
        <w:rPr>
          <w:lang w:val="en-GB"/>
        </w:rPr>
      </w:pPr>
    </w:p>
    <w:p w14:paraId="1C7E0F64" w14:textId="7551597A" w:rsidR="0006620D" w:rsidRDefault="0006620D" w:rsidP="0006620D">
      <w:pPr>
        <w:pStyle w:val="ListParagraph"/>
        <w:numPr>
          <w:ilvl w:val="0"/>
          <w:numId w:val="10"/>
        </w:numPr>
        <w:autoSpaceDE w:val="0"/>
        <w:autoSpaceDN w:val="0"/>
        <w:adjustRightInd w:val="0"/>
        <w:ind w:left="142" w:hanging="142"/>
        <w:jc w:val="both"/>
        <w:rPr>
          <w:lang w:val="en-GB"/>
        </w:rPr>
      </w:pPr>
      <w:r>
        <w:rPr>
          <w:lang w:val="en-GB"/>
        </w:rPr>
        <w:t xml:space="preserve">The adjudicator added that ‘the cost of others to remedy the claimant’s defective work, if any, be deducted from the final value of the works’. No additional indication of the practical impact of this conclusion appears in the adjudicator’s explanation of the decision in respect of dispute six. It certainly cannot be said, based on the text of the </w:t>
      </w:r>
      <w:proofErr w:type="gramStart"/>
      <w:r>
        <w:rPr>
          <w:lang w:val="en-GB"/>
        </w:rPr>
        <w:t>determination, that</w:t>
      </w:r>
      <w:proofErr w:type="gramEnd"/>
      <w:r>
        <w:rPr>
          <w:lang w:val="en-GB"/>
        </w:rPr>
        <w:t xml:space="preserve"> the intention was for the adjudication decisions in respect of the other disputes to be superseded because of the dispute six outcome. </w:t>
      </w:r>
      <w:r w:rsidR="00303F83">
        <w:rPr>
          <w:lang w:val="en-GB"/>
        </w:rPr>
        <w:t xml:space="preserve">I am also unable to accept the reading that the </w:t>
      </w:r>
      <w:r w:rsidR="00953272">
        <w:rPr>
          <w:lang w:val="en-GB"/>
        </w:rPr>
        <w:t>text</w:t>
      </w:r>
      <w:r w:rsidR="00303F83">
        <w:rPr>
          <w:lang w:val="en-GB"/>
        </w:rPr>
        <w:t xml:space="preserve"> </w:t>
      </w:r>
      <w:r w:rsidR="00953272">
        <w:rPr>
          <w:lang w:val="en-GB"/>
        </w:rPr>
        <w:t>included after paragraph</w:t>
      </w:r>
      <w:r w:rsidR="00CB099B">
        <w:rPr>
          <w:lang w:val="en-GB"/>
        </w:rPr>
        <w:t>s 19.3.2 and</w:t>
      </w:r>
      <w:r w:rsidR="00953272">
        <w:rPr>
          <w:lang w:val="en-GB"/>
        </w:rPr>
        <w:t xml:space="preserve"> 19.4.2 in the adjudication</w:t>
      </w:r>
      <w:r w:rsidR="005847A1">
        <w:rPr>
          <w:lang w:val="en-GB"/>
        </w:rPr>
        <w:t xml:space="preserve"> determination</w:t>
      </w:r>
      <w:r w:rsidR="00CB099B">
        <w:rPr>
          <w:lang w:val="en-GB"/>
        </w:rPr>
        <w:t xml:space="preserve">, and their reference to the ‘draft Final </w:t>
      </w:r>
      <w:r w:rsidR="00CB099B">
        <w:rPr>
          <w:lang w:val="en-GB"/>
        </w:rPr>
        <w:lastRenderedPageBreak/>
        <w:t>Account’</w:t>
      </w:r>
      <w:r w:rsidR="005847A1">
        <w:rPr>
          <w:lang w:val="en-GB"/>
        </w:rPr>
        <w:t xml:space="preserve">, </w:t>
      </w:r>
      <w:r w:rsidR="00953272">
        <w:rPr>
          <w:lang w:val="en-GB"/>
        </w:rPr>
        <w:t>supports the respondent’s interpretation.</w:t>
      </w:r>
      <w:r w:rsidR="00303F83">
        <w:rPr>
          <w:lang w:val="en-GB"/>
        </w:rPr>
        <w:t xml:space="preserve"> </w:t>
      </w:r>
      <w:r w:rsidR="005847A1">
        <w:rPr>
          <w:lang w:val="en-GB"/>
        </w:rPr>
        <w:t xml:space="preserve">Those paragraphs, in my view, clearly relate only to the determinations of dispute three and four, and cannot be read to support the argument premised on the outcome of dispute six. </w:t>
      </w:r>
      <w:r>
        <w:rPr>
          <w:lang w:val="en-GB"/>
        </w:rPr>
        <w:t>In any event, the adjudicator made no finding as to the allegedly defective work</w:t>
      </w:r>
      <w:r w:rsidR="00652088">
        <w:rPr>
          <w:lang w:val="en-GB"/>
        </w:rPr>
        <w:t xml:space="preserve"> in resolving the final dispute</w:t>
      </w:r>
      <w:r>
        <w:rPr>
          <w:lang w:val="en-GB"/>
        </w:rPr>
        <w:t xml:space="preserve">, deliberately adding the words ‘if any’ to that portion of the outcome. </w:t>
      </w:r>
    </w:p>
    <w:p w14:paraId="575EC3DB" w14:textId="77777777" w:rsidR="00034C24" w:rsidRDefault="00034C24" w:rsidP="00034C24">
      <w:pPr>
        <w:pStyle w:val="ListParagraph"/>
        <w:autoSpaceDE w:val="0"/>
        <w:autoSpaceDN w:val="0"/>
        <w:adjustRightInd w:val="0"/>
        <w:ind w:left="142"/>
        <w:jc w:val="both"/>
        <w:rPr>
          <w:lang w:val="en-GB"/>
        </w:rPr>
      </w:pPr>
    </w:p>
    <w:p w14:paraId="3D38B1F6" w14:textId="09A282AB" w:rsidR="00034C24" w:rsidRDefault="00937EFB" w:rsidP="0006620D">
      <w:pPr>
        <w:pStyle w:val="ListParagraph"/>
        <w:numPr>
          <w:ilvl w:val="0"/>
          <w:numId w:val="10"/>
        </w:numPr>
        <w:autoSpaceDE w:val="0"/>
        <w:autoSpaceDN w:val="0"/>
        <w:adjustRightInd w:val="0"/>
        <w:ind w:left="142" w:hanging="142"/>
        <w:jc w:val="both"/>
        <w:rPr>
          <w:lang w:val="en-GB"/>
        </w:rPr>
      </w:pPr>
      <w:r>
        <w:rPr>
          <w:lang w:val="en-GB"/>
        </w:rPr>
        <w:t>It is trite that where two persons are mutually indebted to one another their obligations may be extinguished by set-off. Set-off can only take place if both debts are liquidated in the sense that they are capable of speedy and easy proof.</w:t>
      </w:r>
      <w:r>
        <w:rPr>
          <w:rStyle w:val="FootnoteReference"/>
          <w:lang w:val="en-GB"/>
        </w:rPr>
        <w:footnoteReference w:id="16"/>
      </w:r>
      <w:r w:rsidR="00E4337D">
        <w:rPr>
          <w:lang w:val="en-GB"/>
        </w:rPr>
        <w:t xml:space="preserve"> The question whether a debt may be capable of speedy ascertainment is ‘a matter left for determination to the individual discretion of the Judge’.</w:t>
      </w:r>
      <w:r w:rsidR="00E4337D">
        <w:rPr>
          <w:rStyle w:val="FootnoteReference"/>
          <w:lang w:val="en-GB"/>
        </w:rPr>
        <w:footnoteReference w:id="17"/>
      </w:r>
      <w:r w:rsidR="00A60351">
        <w:rPr>
          <w:lang w:val="en-GB"/>
        </w:rPr>
        <w:t xml:space="preserve"> The facts of this matter are such that I am unable to conclude that the applicant owes the respondent a liquidated debt. </w:t>
      </w:r>
      <w:r w:rsidR="005F5166">
        <w:rPr>
          <w:lang w:val="en-GB"/>
        </w:rPr>
        <w:t>Bearing in mind the period of time that has already elapsed, any process of establishing and quantifying an amount based on allegedly defective work is</w:t>
      </w:r>
      <w:r w:rsidR="008070E7">
        <w:rPr>
          <w:lang w:val="en-GB"/>
        </w:rPr>
        <w:t>, in my view, not capable of speedy and easy proof. It follows that the adjudicator’s determination in respect of dispute six cannot be set-off against determinations in favour of the applicant</w:t>
      </w:r>
      <w:r w:rsidR="00267C0C">
        <w:rPr>
          <w:lang w:val="en-GB"/>
        </w:rPr>
        <w:t xml:space="preserve"> </w:t>
      </w:r>
      <w:r w:rsidR="005762ED">
        <w:rPr>
          <w:lang w:val="en-GB"/>
        </w:rPr>
        <w:t xml:space="preserve">that </w:t>
      </w:r>
      <w:r w:rsidR="00A94388">
        <w:rPr>
          <w:lang w:val="en-GB"/>
        </w:rPr>
        <w:t>are capable of immediate enforcement.</w:t>
      </w:r>
      <w:r w:rsidR="009F48CB">
        <w:rPr>
          <w:lang w:val="en-GB"/>
        </w:rPr>
        <w:t xml:space="preserve"> </w:t>
      </w:r>
      <w:r w:rsidR="00202E31">
        <w:rPr>
          <w:lang w:val="en-GB"/>
        </w:rPr>
        <w:t>On the issue of enforceability, b</w:t>
      </w:r>
      <w:r w:rsidR="00B516BB">
        <w:rPr>
          <w:lang w:val="en-GB"/>
        </w:rPr>
        <w:t xml:space="preserve">oth parties relied on the decision of Unterhalter J in </w:t>
      </w:r>
      <w:r w:rsidR="00B516BB">
        <w:rPr>
          <w:i/>
          <w:iCs/>
          <w:lang w:val="en-GB"/>
        </w:rPr>
        <w:t>Murray &amp; Roberts Ltd v Alstom S&amp;E Africa (Pty) Ltd</w:t>
      </w:r>
      <w:r w:rsidR="00B516BB">
        <w:rPr>
          <w:lang w:val="en-GB"/>
        </w:rPr>
        <w:t xml:space="preserve"> (‘</w:t>
      </w:r>
      <w:r w:rsidR="00B516BB">
        <w:rPr>
          <w:i/>
          <w:iCs/>
          <w:lang w:val="en-GB"/>
        </w:rPr>
        <w:t>Murray &amp; Roberts</w:t>
      </w:r>
      <w:r w:rsidR="00B516BB">
        <w:rPr>
          <w:lang w:val="en-GB"/>
        </w:rPr>
        <w:t>’).</w:t>
      </w:r>
      <w:r w:rsidR="00B516BB">
        <w:rPr>
          <w:rStyle w:val="FootnoteReference"/>
          <w:lang w:val="en-GB"/>
        </w:rPr>
        <w:footnoteReference w:id="18"/>
      </w:r>
    </w:p>
    <w:p w14:paraId="52A6645C" w14:textId="34B5B807" w:rsidR="00034C24" w:rsidRDefault="00034C24" w:rsidP="00034C24">
      <w:pPr>
        <w:pStyle w:val="ListParagraph"/>
        <w:autoSpaceDE w:val="0"/>
        <w:autoSpaceDN w:val="0"/>
        <w:adjustRightInd w:val="0"/>
        <w:ind w:left="142"/>
        <w:jc w:val="both"/>
        <w:rPr>
          <w:lang w:val="en-GB"/>
        </w:rPr>
      </w:pPr>
    </w:p>
    <w:p w14:paraId="3A61C6D9" w14:textId="5EACFFB9" w:rsidR="00632CFA" w:rsidRDefault="00632CFA" w:rsidP="00632CFA">
      <w:pPr>
        <w:autoSpaceDE w:val="0"/>
        <w:autoSpaceDN w:val="0"/>
        <w:adjustRightInd w:val="0"/>
        <w:jc w:val="both"/>
        <w:rPr>
          <w:b/>
          <w:bCs/>
          <w:lang w:val="en-GB"/>
        </w:rPr>
      </w:pPr>
      <w:r>
        <w:rPr>
          <w:b/>
          <w:bCs/>
          <w:lang w:val="en-GB"/>
        </w:rPr>
        <w:t>Adjudication and specific performance</w:t>
      </w:r>
    </w:p>
    <w:p w14:paraId="2DDB4EA9" w14:textId="77777777" w:rsidR="00632CFA" w:rsidRPr="00632CFA" w:rsidRDefault="00632CFA" w:rsidP="00632CFA">
      <w:pPr>
        <w:autoSpaceDE w:val="0"/>
        <w:autoSpaceDN w:val="0"/>
        <w:adjustRightInd w:val="0"/>
        <w:jc w:val="both"/>
        <w:rPr>
          <w:b/>
          <w:bCs/>
          <w:lang w:val="en-GB"/>
        </w:rPr>
      </w:pPr>
    </w:p>
    <w:p w14:paraId="6725C18E" w14:textId="52CBF690" w:rsidR="00A40056" w:rsidRDefault="007F007A" w:rsidP="00682CE5">
      <w:pPr>
        <w:pStyle w:val="ListParagraph"/>
        <w:numPr>
          <w:ilvl w:val="0"/>
          <w:numId w:val="10"/>
        </w:numPr>
        <w:autoSpaceDE w:val="0"/>
        <w:autoSpaceDN w:val="0"/>
        <w:adjustRightInd w:val="0"/>
        <w:ind w:left="142" w:hanging="142"/>
        <w:jc w:val="both"/>
        <w:rPr>
          <w:lang w:val="en-GB"/>
        </w:rPr>
      </w:pPr>
      <w:r>
        <w:rPr>
          <w:i/>
          <w:iCs/>
          <w:lang w:val="en-GB"/>
        </w:rPr>
        <w:t xml:space="preserve">Murray &amp; Roberts </w:t>
      </w:r>
      <w:r>
        <w:rPr>
          <w:lang w:val="en-GB"/>
        </w:rPr>
        <w:t>also considered an application for the enforcement of a decision of an adjudicator</w:t>
      </w:r>
      <w:r w:rsidR="00D402A3">
        <w:rPr>
          <w:lang w:val="en-GB"/>
        </w:rPr>
        <w:t>.</w:t>
      </w:r>
      <w:r>
        <w:rPr>
          <w:lang w:val="en-GB"/>
        </w:rPr>
        <w:t xml:space="preserve"> </w:t>
      </w:r>
      <w:r w:rsidR="00007D44">
        <w:rPr>
          <w:lang w:val="en-GB"/>
        </w:rPr>
        <w:t>The respondent in that matter also resisted enforcement based on impossibility of performance.</w:t>
      </w:r>
      <w:r w:rsidR="00751F3C">
        <w:rPr>
          <w:lang w:val="en-GB"/>
        </w:rPr>
        <w:t xml:space="preserve"> </w:t>
      </w:r>
      <w:r w:rsidR="00CE3658">
        <w:rPr>
          <w:i/>
          <w:iCs/>
          <w:lang w:val="en-GB"/>
        </w:rPr>
        <w:t>Murray &amp; Roberts</w:t>
      </w:r>
      <w:r w:rsidR="00CE3658">
        <w:rPr>
          <w:lang w:val="en-GB"/>
        </w:rPr>
        <w:t xml:space="preserve"> focused on </w:t>
      </w:r>
      <w:r w:rsidR="00D53FFE">
        <w:rPr>
          <w:lang w:val="en-GB"/>
        </w:rPr>
        <w:t>the argument that a court will not order the specific performance of obligations arising from an adjudicator’s decision that are impossible of performance</w:t>
      </w:r>
      <w:r w:rsidR="00A40056">
        <w:rPr>
          <w:lang w:val="en-GB"/>
        </w:rPr>
        <w:t>:</w:t>
      </w:r>
      <w:r w:rsidR="000B520D">
        <w:rPr>
          <w:rStyle w:val="FootnoteReference"/>
          <w:lang w:val="en-GB"/>
        </w:rPr>
        <w:footnoteReference w:id="19"/>
      </w:r>
    </w:p>
    <w:p w14:paraId="48EF6EC8" w14:textId="18061A7F" w:rsidR="00E57C72" w:rsidRPr="00A40056" w:rsidRDefault="00A40056" w:rsidP="00A40056">
      <w:pPr>
        <w:autoSpaceDE w:val="0"/>
        <w:autoSpaceDN w:val="0"/>
        <w:adjustRightInd w:val="0"/>
        <w:ind w:left="142"/>
        <w:jc w:val="both"/>
        <w:rPr>
          <w:lang w:val="en-GB"/>
        </w:rPr>
      </w:pPr>
      <w:r>
        <w:rPr>
          <w:sz w:val="22"/>
          <w:szCs w:val="22"/>
          <w:lang w:val="en-GB"/>
        </w:rPr>
        <w:lastRenderedPageBreak/>
        <w:t>‘</w:t>
      </w:r>
      <w:r w:rsidR="009A1005">
        <w:rPr>
          <w:sz w:val="22"/>
          <w:szCs w:val="22"/>
          <w:lang w:val="en-GB"/>
        </w:rPr>
        <w:t>That the decision of the adjudicator is binding and must be given effect to may be said to amount to little more than a stipulation that performance is due, whether or not notice of dissatisfaction has been given. But, it may be argued, the fact that performance is due under the contract, of which the adjudication and its outcome form part, does not alter the remedial discretion of the courts to decide whether to order specific performance in the face of the claim that the performance due is impossible of performance.’</w:t>
      </w:r>
      <w:r w:rsidRPr="00A40056">
        <w:rPr>
          <w:lang w:val="en-GB"/>
        </w:rPr>
        <w:t xml:space="preserve"> </w:t>
      </w:r>
    </w:p>
    <w:p w14:paraId="3225DD1D" w14:textId="6F3974AE" w:rsidR="008C480D" w:rsidRPr="00D30CEE" w:rsidRDefault="008C480D" w:rsidP="00D30CEE">
      <w:pPr>
        <w:autoSpaceDE w:val="0"/>
        <w:autoSpaceDN w:val="0"/>
        <w:adjustRightInd w:val="0"/>
        <w:jc w:val="both"/>
        <w:rPr>
          <w:lang w:val="en-GB"/>
        </w:rPr>
      </w:pPr>
    </w:p>
    <w:p w14:paraId="38E7DD69" w14:textId="417591E4" w:rsidR="008C480D" w:rsidRPr="00044B50" w:rsidRDefault="006759B3" w:rsidP="00AF6DF0">
      <w:pPr>
        <w:pStyle w:val="ListParagraph"/>
        <w:numPr>
          <w:ilvl w:val="0"/>
          <w:numId w:val="10"/>
        </w:numPr>
        <w:autoSpaceDE w:val="0"/>
        <w:autoSpaceDN w:val="0"/>
        <w:adjustRightInd w:val="0"/>
        <w:ind w:left="142" w:hanging="142"/>
        <w:jc w:val="both"/>
        <w:rPr>
          <w:lang w:val="en-GB"/>
        </w:rPr>
      </w:pPr>
      <w:r>
        <w:rPr>
          <w:lang w:val="en-GB"/>
        </w:rPr>
        <w:t>The court highlighted the difficulties with this line of argument, with reference to the contractually agreed scheme of adjudication.</w:t>
      </w:r>
      <w:r>
        <w:rPr>
          <w:rStyle w:val="FootnoteReference"/>
          <w:lang w:val="en-GB"/>
        </w:rPr>
        <w:footnoteReference w:id="20"/>
      </w:r>
      <w:r w:rsidR="002C701E">
        <w:rPr>
          <w:lang w:val="en-GB"/>
        </w:rPr>
        <w:t xml:space="preserve"> Adjudication was intended to resolve disputes practically and, to do so, decision-making would often result in remedies requiring a party to take certain actions.</w:t>
      </w:r>
      <w:r w:rsidR="002C701E">
        <w:rPr>
          <w:rStyle w:val="FootnoteReference"/>
          <w:lang w:val="en-GB"/>
        </w:rPr>
        <w:footnoteReference w:id="21"/>
      </w:r>
      <w:r w:rsidR="00A97FD9">
        <w:rPr>
          <w:lang w:val="en-GB"/>
        </w:rPr>
        <w:t xml:space="preserve"> Because Alston, in that matter, was required to promptly give effect to the adjudicator’s decision, the adjudicator’s decision was, in substance, an order of specific performance.</w:t>
      </w:r>
      <w:r w:rsidR="00E93B93">
        <w:rPr>
          <w:lang w:val="en-GB"/>
        </w:rPr>
        <w:t xml:space="preserve"> The relevance of this conclusion was that the remaining question was whether the court should consider the possibility of compliance in determining whether the decision should be made an order of court.</w:t>
      </w:r>
      <w:r w:rsidR="00E93B93">
        <w:rPr>
          <w:rStyle w:val="FootnoteReference"/>
          <w:lang w:val="en-GB"/>
        </w:rPr>
        <w:footnoteReference w:id="22"/>
      </w:r>
      <w:r w:rsidR="00E93B93">
        <w:rPr>
          <w:lang w:val="en-GB"/>
        </w:rPr>
        <w:t xml:space="preserve"> </w:t>
      </w:r>
    </w:p>
    <w:p w14:paraId="37816AB1" w14:textId="7ADF3555" w:rsidR="00AF6DF0" w:rsidRDefault="00AF6DF0" w:rsidP="00AF6DF0">
      <w:pPr>
        <w:pStyle w:val="ListParagraph"/>
        <w:rPr>
          <w:lang w:val="en-GB"/>
        </w:rPr>
      </w:pPr>
    </w:p>
    <w:p w14:paraId="1C8115FF" w14:textId="5495A91B" w:rsidR="005610A8" w:rsidRDefault="005610A8" w:rsidP="002C0E9C">
      <w:pPr>
        <w:pStyle w:val="ListParagraph"/>
        <w:numPr>
          <w:ilvl w:val="0"/>
          <w:numId w:val="10"/>
        </w:numPr>
        <w:autoSpaceDE w:val="0"/>
        <w:autoSpaceDN w:val="0"/>
        <w:adjustRightInd w:val="0"/>
        <w:ind w:left="142" w:hanging="142"/>
        <w:jc w:val="both"/>
        <w:rPr>
          <w:lang w:val="en-GB"/>
        </w:rPr>
      </w:pPr>
      <w:r>
        <w:rPr>
          <w:lang w:val="en-GB"/>
        </w:rPr>
        <w:t xml:space="preserve">As in the present instance, the adjudicator in </w:t>
      </w:r>
      <w:r>
        <w:rPr>
          <w:i/>
          <w:iCs/>
          <w:lang w:val="en-GB"/>
        </w:rPr>
        <w:t xml:space="preserve">Murray &amp; Roberts </w:t>
      </w:r>
      <w:r>
        <w:rPr>
          <w:lang w:val="en-GB"/>
        </w:rPr>
        <w:t>had determined the remedy in their discretion. This was a consequence of the contractual arrangement, which included appreciation that the adjudicator’s decision would be final and binding and must be enforced</w:t>
      </w:r>
      <w:r w:rsidR="003B6952">
        <w:rPr>
          <w:lang w:val="en-GB"/>
        </w:rPr>
        <w:t>. The consequence was as follows:</w:t>
      </w:r>
      <w:r w:rsidR="00D60557">
        <w:rPr>
          <w:rStyle w:val="FootnoteReference"/>
          <w:lang w:val="en-GB"/>
        </w:rPr>
        <w:footnoteReference w:id="23"/>
      </w:r>
    </w:p>
    <w:p w14:paraId="70F55A59" w14:textId="5B8B8877" w:rsidR="003B6952" w:rsidRPr="003B6952" w:rsidRDefault="003B6952" w:rsidP="003B6952">
      <w:pPr>
        <w:autoSpaceDE w:val="0"/>
        <w:autoSpaceDN w:val="0"/>
        <w:adjustRightInd w:val="0"/>
        <w:ind w:left="142"/>
        <w:jc w:val="both"/>
        <w:rPr>
          <w:sz w:val="22"/>
          <w:szCs w:val="22"/>
          <w:lang w:val="en-GB"/>
        </w:rPr>
      </w:pPr>
      <w:r>
        <w:rPr>
          <w:sz w:val="22"/>
          <w:szCs w:val="22"/>
          <w:lang w:val="en-GB"/>
        </w:rPr>
        <w:t xml:space="preserve">‘Put simply, this court is not being asked to decide whether to order specific performance of a primary obligation owed by a party to a contract, where the court is at large to determine the correct remedy. Rather, the court is being asked to decide whether to make an order enforcing an adjudicator’s decision where the adjudicator has already decided upon the </w:t>
      </w:r>
      <w:r w:rsidR="002A6732">
        <w:rPr>
          <w:sz w:val="22"/>
          <w:szCs w:val="22"/>
          <w:lang w:val="en-GB"/>
        </w:rPr>
        <w:t>remedy, in circumstances where the parties gave him the competence to do so and had undertaken to treat his decision as final and binding.’</w:t>
      </w:r>
    </w:p>
    <w:p w14:paraId="1F359ADA" w14:textId="77777777" w:rsidR="005610A8" w:rsidRPr="005610A8" w:rsidRDefault="005610A8" w:rsidP="005610A8">
      <w:pPr>
        <w:pStyle w:val="ListParagraph"/>
        <w:rPr>
          <w:lang w:val="en-GB"/>
        </w:rPr>
      </w:pPr>
    </w:p>
    <w:p w14:paraId="237184BE" w14:textId="5381484A" w:rsidR="00F416CB" w:rsidRDefault="00F416CB" w:rsidP="002C0E9C">
      <w:pPr>
        <w:pStyle w:val="ListParagraph"/>
        <w:numPr>
          <w:ilvl w:val="0"/>
          <w:numId w:val="10"/>
        </w:numPr>
        <w:autoSpaceDE w:val="0"/>
        <w:autoSpaceDN w:val="0"/>
        <w:adjustRightInd w:val="0"/>
        <w:ind w:left="142" w:hanging="142"/>
        <w:jc w:val="both"/>
        <w:rPr>
          <w:lang w:val="en-GB"/>
        </w:rPr>
      </w:pPr>
      <w:r>
        <w:rPr>
          <w:lang w:val="en-GB"/>
        </w:rPr>
        <w:t xml:space="preserve">It is apparent that courts retain the inherent power to regulate their own process and to develop the common law. According to Unterhalter J, one incidence of that power is the competence to decide whether to make an adjudicator’s decision, </w:t>
      </w:r>
      <w:r>
        <w:rPr>
          <w:lang w:val="en-GB"/>
        </w:rPr>
        <w:lastRenderedPageBreak/>
        <w:t>arising from an agreement, enforceable by order of court</w:t>
      </w:r>
      <w:r w:rsidR="0010763C">
        <w:rPr>
          <w:lang w:val="en-GB"/>
        </w:rPr>
        <w:t>. This power is to be exercised upon just and equitable considerations, bearing in mind the contractual agreement between the parties to afford the original remedial decision-making power to an adjudicator.</w:t>
      </w:r>
      <w:r w:rsidR="0010763C">
        <w:rPr>
          <w:rStyle w:val="FootnoteReference"/>
          <w:lang w:val="en-GB"/>
        </w:rPr>
        <w:footnoteReference w:id="24"/>
      </w:r>
      <w:r w:rsidR="005763EF">
        <w:rPr>
          <w:lang w:val="en-GB"/>
        </w:rPr>
        <w:t xml:space="preserve"> </w:t>
      </w:r>
    </w:p>
    <w:p w14:paraId="21BF1521" w14:textId="77777777" w:rsidR="001E0CEE" w:rsidRDefault="001E0CEE" w:rsidP="001E0CEE">
      <w:pPr>
        <w:pStyle w:val="ListParagraph"/>
        <w:autoSpaceDE w:val="0"/>
        <w:autoSpaceDN w:val="0"/>
        <w:adjustRightInd w:val="0"/>
        <w:ind w:left="142"/>
        <w:jc w:val="both"/>
        <w:rPr>
          <w:lang w:val="en-GB"/>
        </w:rPr>
      </w:pPr>
    </w:p>
    <w:p w14:paraId="07D829E8" w14:textId="1DFCEE86" w:rsidR="00160E3D" w:rsidRDefault="001E0CEE" w:rsidP="00160E3D">
      <w:pPr>
        <w:pStyle w:val="ListParagraph"/>
        <w:numPr>
          <w:ilvl w:val="0"/>
          <w:numId w:val="10"/>
        </w:numPr>
        <w:autoSpaceDE w:val="0"/>
        <w:autoSpaceDN w:val="0"/>
        <w:adjustRightInd w:val="0"/>
        <w:ind w:left="142" w:hanging="142"/>
        <w:jc w:val="both"/>
        <w:rPr>
          <w:lang w:val="en-GB"/>
        </w:rPr>
      </w:pPr>
      <w:r>
        <w:rPr>
          <w:lang w:val="en-GB"/>
        </w:rPr>
        <w:t xml:space="preserve">The court proceeded to identify the </w:t>
      </w:r>
      <w:r w:rsidR="00160E3D">
        <w:rPr>
          <w:lang w:val="en-GB"/>
        </w:rPr>
        <w:t xml:space="preserve">following </w:t>
      </w:r>
      <w:r>
        <w:rPr>
          <w:lang w:val="en-GB"/>
        </w:rPr>
        <w:t xml:space="preserve">relevant </w:t>
      </w:r>
      <w:r w:rsidR="00160E3D">
        <w:rPr>
          <w:lang w:val="en-GB"/>
        </w:rPr>
        <w:t>questions</w:t>
      </w:r>
      <w:r w:rsidR="001F1822">
        <w:rPr>
          <w:lang w:val="en-GB"/>
        </w:rPr>
        <w:t>, noting that this was not a closed list of enquiries:</w:t>
      </w:r>
      <w:r w:rsidR="001F1822">
        <w:rPr>
          <w:rStyle w:val="FootnoteReference"/>
          <w:lang w:val="en-GB"/>
        </w:rPr>
        <w:footnoteReference w:id="25"/>
      </w:r>
      <w:r w:rsidR="00160E3D">
        <w:rPr>
          <w:lang w:val="en-GB"/>
        </w:rPr>
        <w:t xml:space="preserve"> </w:t>
      </w:r>
    </w:p>
    <w:p w14:paraId="52774DC2" w14:textId="77777777" w:rsidR="00160E3D" w:rsidRPr="00160E3D" w:rsidRDefault="00160E3D" w:rsidP="00160E3D">
      <w:pPr>
        <w:pStyle w:val="ListParagraph"/>
        <w:rPr>
          <w:lang w:val="en-GB"/>
        </w:rPr>
      </w:pPr>
    </w:p>
    <w:p w14:paraId="03EDBCF9" w14:textId="51E7D5F8" w:rsidR="00160E3D" w:rsidRDefault="00160E3D" w:rsidP="00160E3D">
      <w:pPr>
        <w:pStyle w:val="ListParagraph"/>
        <w:numPr>
          <w:ilvl w:val="1"/>
          <w:numId w:val="10"/>
        </w:numPr>
        <w:autoSpaceDE w:val="0"/>
        <w:autoSpaceDN w:val="0"/>
        <w:adjustRightInd w:val="0"/>
        <w:jc w:val="both"/>
        <w:rPr>
          <w:lang w:val="en-GB"/>
        </w:rPr>
      </w:pPr>
      <w:r>
        <w:rPr>
          <w:lang w:val="en-GB"/>
        </w:rPr>
        <w:t>Did the adjudicator decide the dispute now raised before the court?</w:t>
      </w:r>
    </w:p>
    <w:p w14:paraId="4608604A" w14:textId="5853F16C" w:rsidR="00160E3D" w:rsidRDefault="00160E3D" w:rsidP="00EE3064">
      <w:pPr>
        <w:pStyle w:val="ListParagraph"/>
        <w:numPr>
          <w:ilvl w:val="2"/>
          <w:numId w:val="10"/>
        </w:numPr>
        <w:autoSpaceDE w:val="0"/>
        <w:autoSpaceDN w:val="0"/>
        <w:adjustRightInd w:val="0"/>
        <w:jc w:val="both"/>
        <w:rPr>
          <w:lang w:val="en-GB"/>
        </w:rPr>
      </w:pPr>
      <w:r>
        <w:rPr>
          <w:lang w:val="en-GB"/>
        </w:rPr>
        <w:t>If not, could the party contending for impossibility have raised the issue before the adjudicator, and if so, did the party do so, and if not, why not?</w:t>
      </w:r>
    </w:p>
    <w:p w14:paraId="276191BB" w14:textId="74A282D5" w:rsidR="00160E3D" w:rsidRDefault="00F33944" w:rsidP="00160E3D">
      <w:pPr>
        <w:pStyle w:val="ListParagraph"/>
        <w:numPr>
          <w:ilvl w:val="1"/>
          <w:numId w:val="10"/>
        </w:numPr>
        <w:autoSpaceDE w:val="0"/>
        <w:autoSpaceDN w:val="0"/>
        <w:adjustRightInd w:val="0"/>
        <w:jc w:val="both"/>
        <w:rPr>
          <w:lang w:val="en-GB"/>
        </w:rPr>
      </w:pPr>
      <w:r>
        <w:rPr>
          <w:lang w:val="en-GB"/>
        </w:rPr>
        <w:t>Why should the party contending for impossibility escape its obligations to be bound by the outcome of the adjudication, to treat it as final and give effect to it?</w:t>
      </w:r>
    </w:p>
    <w:p w14:paraId="1982297B" w14:textId="26443256" w:rsidR="00F33944" w:rsidRDefault="00F33944" w:rsidP="00160E3D">
      <w:pPr>
        <w:pStyle w:val="ListParagraph"/>
        <w:numPr>
          <w:ilvl w:val="1"/>
          <w:numId w:val="10"/>
        </w:numPr>
        <w:autoSpaceDE w:val="0"/>
        <w:autoSpaceDN w:val="0"/>
        <w:adjustRightInd w:val="0"/>
        <w:jc w:val="both"/>
        <w:rPr>
          <w:lang w:val="en-GB"/>
        </w:rPr>
      </w:pPr>
      <w:r>
        <w:rPr>
          <w:lang w:val="en-GB"/>
        </w:rPr>
        <w:t>What are the consequences of permitting a party to escape the enforcement of the decision</w:t>
      </w:r>
      <w:r w:rsidR="003F0C2D">
        <w:rPr>
          <w:lang w:val="en-GB"/>
        </w:rPr>
        <w:t>, bearing in mind that the adjudicator has determined the merits of the case and decided upon a remedy and considering the equities of a decision by the court to leave the applicant without the benefit of that decision.</w:t>
      </w:r>
    </w:p>
    <w:p w14:paraId="214BE49C" w14:textId="513C1308" w:rsidR="00BB686F" w:rsidRDefault="0053534A" w:rsidP="00160E3D">
      <w:pPr>
        <w:pStyle w:val="ListParagraph"/>
        <w:numPr>
          <w:ilvl w:val="1"/>
          <w:numId w:val="10"/>
        </w:numPr>
        <w:autoSpaceDE w:val="0"/>
        <w:autoSpaceDN w:val="0"/>
        <w:adjustRightInd w:val="0"/>
        <w:jc w:val="both"/>
        <w:rPr>
          <w:lang w:val="en-GB"/>
        </w:rPr>
      </w:pPr>
      <w:r>
        <w:rPr>
          <w:lang w:val="en-GB"/>
        </w:rPr>
        <w:t>What are the systemic risks if agreed procedures for dispute resolution that are intended to be quick and avoid disruption to large construction projects, nevertheless give rise to lengthy litigation before the courts?</w:t>
      </w:r>
    </w:p>
    <w:p w14:paraId="08B30881" w14:textId="7864265E" w:rsidR="0053534A" w:rsidRPr="00160E3D" w:rsidRDefault="0053534A" w:rsidP="00160E3D">
      <w:pPr>
        <w:pStyle w:val="ListParagraph"/>
        <w:numPr>
          <w:ilvl w:val="1"/>
          <w:numId w:val="10"/>
        </w:numPr>
        <w:autoSpaceDE w:val="0"/>
        <w:autoSpaceDN w:val="0"/>
        <w:adjustRightInd w:val="0"/>
        <w:jc w:val="both"/>
        <w:rPr>
          <w:lang w:val="en-GB"/>
        </w:rPr>
      </w:pPr>
      <w:r>
        <w:rPr>
          <w:lang w:val="en-GB"/>
        </w:rPr>
        <w:t>Is there a risk that the impossibility relied upon will indeed, if an order is made, require what cannot be done and expose the defaulting party to the risk of contempt proceedings?</w:t>
      </w:r>
    </w:p>
    <w:p w14:paraId="4B5DDBAC" w14:textId="77777777" w:rsidR="00A6651F" w:rsidRPr="00A6651F" w:rsidRDefault="00A6651F" w:rsidP="00A6651F">
      <w:pPr>
        <w:pStyle w:val="ListParagraph"/>
        <w:rPr>
          <w:lang w:val="en-GB"/>
        </w:rPr>
      </w:pPr>
    </w:p>
    <w:p w14:paraId="21CA9CA6" w14:textId="74E84DDD" w:rsidR="00F00FD7" w:rsidRDefault="0019005D" w:rsidP="00364515">
      <w:pPr>
        <w:pStyle w:val="ListParagraph"/>
        <w:numPr>
          <w:ilvl w:val="0"/>
          <w:numId w:val="10"/>
        </w:numPr>
        <w:autoSpaceDE w:val="0"/>
        <w:autoSpaceDN w:val="0"/>
        <w:adjustRightInd w:val="0"/>
        <w:ind w:left="142" w:hanging="142"/>
        <w:jc w:val="both"/>
        <w:rPr>
          <w:lang w:val="en-GB"/>
        </w:rPr>
      </w:pPr>
      <w:r>
        <w:rPr>
          <w:lang w:val="en-GB"/>
        </w:rPr>
        <w:t xml:space="preserve">It may be accepted for present purposes that this issue was not raised before the adjudicator and arose based on the formulation of the determination itself. The respondent endeavours to avoid being bound by the adjudication determination </w:t>
      </w:r>
      <w:r w:rsidR="004F67EE">
        <w:rPr>
          <w:lang w:val="en-GB"/>
        </w:rPr>
        <w:t xml:space="preserve">based on its reliance on dispute six. As discussed, there is no merit to that argument. </w:t>
      </w:r>
      <w:r w:rsidR="004F67EE">
        <w:rPr>
          <w:lang w:val="en-GB"/>
        </w:rPr>
        <w:lastRenderedPageBreak/>
        <w:t xml:space="preserve">There is no serious dispute on the papers as to the </w:t>
      </w:r>
      <w:r w:rsidR="007235BD">
        <w:rPr>
          <w:lang w:val="en-GB"/>
        </w:rPr>
        <w:t xml:space="preserve">applicant’s </w:t>
      </w:r>
      <w:r w:rsidR="004F67EE">
        <w:rPr>
          <w:lang w:val="en-GB"/>
        </w:rPr>
        <w:t xml:space="preserve">calculations </w:t>
      </w:r>
      <w:r w:rsidR="007235BD">
        <w:rPr>
          <w:lang w:val="en-GB"/>
        </w:rPr>
        <w:t xml:space="preserve">in respect of those determinations in its favour. </w:t>
      </w:r>
      <w:r w:rsidR="00A26792">
        <w:rPr>
          <w:lang w:val="en-GB"/>
        </w:rPr>
        <w:t xml:space="preserve">It amounts to a bare denial, not based on any factual or legal grounds and, as </w:t>
      </w:r>
      <w:r w:rsidR="00A26792">
        <w:rPr>
          <w:i/>
          <w:iCs/>
          <w:lang w:val="en-GB"/>
        </w:rPr>
        <w:t xml:space="preserve">Mr Mullins SC </w:t>
      </w:r>
      <w:r w:rsidR="00A26792">
        <w:rPr>
          <w:lang w:val="en-GB"/>
        </w:rPr>
        <w:t>for the applicant argued, without any different calculation being advanced</w:t>
      </w:r>
      <w:r w:rsidR="00B84EC4">
        <w:rPr>
          <w:lang w:val="en-GB"/>
        </w:rPr>
        <w:t xml:space="preserve"> in respect of those aspects of the determination</w:t>
      </w:r>
      <w:r w:rsidR="00A26792">
        <w:rPr>
          <w:lang w:val="en-GB"/>
        </w:rPr>
        <w:t>.</w:t>
      </w:r>
      <w:r w:rsidR="00A31B07">
        <w:rPr>
          <w:rStyle w:val="FootnoteReference"/>
          <w:lang w:val="en-GB"/>
        </w:rPr>
        <w:footnoteReference w:id="26"/>
      </w:r>
      <w:r w:rsidR="00A26792">
        <w:rPr>
          <w:lang w:val="en-GB"/>
        </w:rPr>
        <w:t xml:space="preserve"> </w:t>
      </w:r>
      <w:r w:rsidR="000863C5">
        <w:rPr>
          <w:lang w:val="en-GB"/>
        </w:rPr>
        <w:t xml:space="preserve">Those </w:t>
      </w:r>
      <w:r w:rsidR="00BA0584">
        <w:rPr>
          <w:lang w:val="en-GB"/>
        </w:rPr>
        <w:t>aspects</w:t>
      </w:r>
      <w:r w:rsidR="000863C5">
        <w:rPr>
          <w:lang w:val="en-GB"/>
        </w:rPr>
        <w:t xml:space="preserve"> of the determination were not </w:t>
      </w:r>
      <w:r w:rsidR="00BA0584">
        <w:rPr>
          <w:lang w:val="en-GB"/>
        </w:rPr>
        <w:t xml:space="preserve">queried with the adjudicator as ambiguous or referred to arbitration. </w:t>
      </w:r>
      <w:r w:rsidR="007235BD">
        <w:rPr>
          <w:lang w:val="en-GB"/>
        </w:rPr>
        <w:t xml:space="preserve">The respondent merely falls back on its argument that there should be a comprehensive calculation, to be undertaken by the Quantity Surveyor, and possibly subject to its own dispute process, before </w:t>
      </w:r>
      <w:r w:rsidR="006D3FDD">
        <w:rPr>
          <w:lang w:val="en-GB"/>
        </w:rPr>
        <w:t xml:space="preserve">that calculation may be finalised. This is a repeat of </w:t>
      </w:r>
      <w:r w:rsidR="003011F9">
        <w:rPr>
          <w:lang w:val="en-GB"/>
        </w:rPr>
        <w:t>the arguments for postponement of finalisation or set-off already considered</w:t>
      </w:r>
      <w:r w:rsidR="00291B2F">
        <w:rPr>
          <w:lang w:val="en-GB"/>
        </w:rPr>
        <w:t xml:space="preserve">, coupled with </w:t>
      </w:r>
      <w:r w:rsidR="00825C24">
        <w:rPr>
          <w:lang w:val="en-GB"/>
        </w:rPr>
        <w:t xml:space="preserve">submission of </w:t>
      </w:r>
      <w:r w:rsidR="00291B2F">
        <w:rPr>
          <w:lang w:val="en-GB"/>
        </w:rPr>
        <w:t>a preliminary calculation that has not been endorsed by an adjudication determination</w:t>
      </w:r>
      <w:r w:rsidR="003011F9">
        <w:rPr>
          <w:lang w:val="en-GB"/>
        </w:rPr>
        <w:t>.</w:t>
      </w:r>
      <w:r w:rsidR="00F776C0">
        <w:rPr>
          <w:lang w:val="en-GB"/>
        </w:rPr>
        <w:t xml:space="preserve"> The other questions identified in </w:t>
      </w:r>
      <w:r w:rsidR="00F776C0">
        <w:rPr>
          <w:i/>
          <w:iCs/>
          <w:lang w:val="en-GB"/>
        </w:rPr>
        <w:t xml:space="preserve">Murray &amp; Roberts </w:t>
      </w:r>
      <w:r w:rsidR="00F776C0">
        <w:rPr>
          <w:lang w:val="en-GB"/>
        </w:rPr>
        <w:t xml:space="preserve">may similarly be answered in favour of </w:t>
      </w:r>
      <w:r w:rsidR="00685042">
        <w:rPr>
          <w:lang w:val="en-GB"/>
        </w:rPr>
        <w:t>the applicant. There is no good reason advanced by the respondent for non-enforcement and it would be inequitable to deprive the applicant of adjudication determinations that stand in its favour.</w:t>
      </w:r>
      <w:r w:rsidR="00502D84">
        <w:rPr>
          <w:lang w:val="en-GB"/>
        </w:rPr>
        <w:t xml:space="preserve"> </w:t>
      </w:r>
      <w:r w:rsidR="005711E1">
        <w:rPr>
          <w:lang w:val="en-GB"/>
        </w:rPr>
        <w:t xml:space="preserve">Finding for the respondent would result in the applicant being left without a remedy to enforce the adjudication determinations in its favour until the respondent, in its own time, </w:t>
      </w:r>
      <w:r w:rsidR="00376E96">
        <w:rPr>
          <w:lang w:val="en-GB"/>
        </w:rPr>
        <w:t xml:space="preserve">finally </w:t>
      </w:r>
      <w:r w:rsidR="005711E1">
        <w:rPr>
          <w:lang w:val="en-GB"/>
        </w:rPr>
        <w:t xml:space="preserve">established and quantified a basis for deducting from the amounts it owes the applicant. </w:t>
      </w:r>
      <w:r w:rsidR="00502D84">
        <w:rPr>
          <w:lang w:val="en-GB"/>
        </w:rPr>
        <w:t xml:space="preserve">Indeed, to </w:t>
      </w:r>
      <w:r w:rsidR="000B5950">
        <w:rPr>
          <w:lang w:val="en-GB"/>
        </w:rPr>
        <w:t>proceed on that basis</w:t>
      </w:r>
      <w:r w:rsidR="00502D84">
        <w:rPr>
          <w:lang w:val="en-GB"/>
        </w:rPr>
        <w:t xml:space="preserve"> </w:t>
      </w:r>
      <w:r w:rsidR="00EC1864">
        <w:rPr>
          <w:lang w:val="en-GB"/>
        </w:rPr>
        <w:t xml:space="preserve">would be to </w:t>
      </w:r>
      <w:r w:rsidR="008E4C77">
        <w:rPr>
          <w:lang w:val="en-GB"/>
        </w:rPr>
        <w:t>forsake the accepted contractual arrangement</w:t>
      </w:r>
      <w:r w:rsidR="00406093">
        <w:rPr>
          <w:lang w:val="en-GB"/>
        </w:rPr>
        <w:t xml:space="preserve">, which is frequently adopted in the construction sector, </w:t>
      </w:r>
      <w:r w:rsidR="008E4C77">
        <w:rPr>
          <w:lang w:val="en-GB"/>
        </w:rPr>
        <w:t xml:space="preserve">and allow a more litigious approach to trump </w:t>
      </w:r>
      <w:r w:rsidR="009E31D9">
        <w:rPr>
          <w:lang w:val="en-GB"/>
        </w:rPr>
        <w:t xml:space="preserve">expeditiousness. </w:t>
      </w:r>
      <w:r w:rsidR="00FD6619">
        <w:rPr>
          <w:lang w:val="en-GB"/>
        </w:rPr>
        <w:t>O</w:t>
      </w:r>
      <w:r w:rsidR="00422421">
        <w:rPr>
          <w:lang w:val="en-GB"/>
        </w:rPr>
        <w:t>n my interpretation the relief sought is capable of enforcement and does not unnecessarily expose the respondent to contempt proceedings by compelling compliance with an order that is unenforceable.</w:t>
      </w:r>
      <w:r w:rsidR="00556207">
        <w:rPr>
          <w:rStyle w:val="FootnoteReference"/>
          <w:lang w:val="en-GB"/>
        </w:rPr>
        <w:footnoteReference w:id="27"/>
      </w:r>
      <w:r w:rsidR="00A948EF">
        <w:rPr>
          <w:lang w:val="en-GB"/>
        </w:rPr>
        <w:t xml:space="preserve"> </w:t>
      </w:r>
    </w:p>
    <w:p w14:paraId="0F001505" w14:textId="77777777" w:rsidR="00F00FD7" w:rsidRDefault="00F00FD7" w:rsidP="00F00FD7">
      <w:pPr>
        <w:pStyle w:val="ListParagraph"/>
        <w:autoSpaceDE w:val="0"/>
        <w:autoSpaceDN w:val="0"/>
        <w:adjustRightInd w:val="0"/>
        <w:ind w:left="142"/>
        <w:jc w:val="both"/>
        <w:rPr>
          <w:lang w:val="en-GB"/>
        </w:rPr>
      </w:pPr>
    </w:p>
    <w:p w14:paraId="48BD870F" w14:textId="0F16562D" w:rsidR="00364515" w:rsidRPr="00364515" w:rsidRDefault="00DA6B5A" w:rsidP="00364515">
      <w:pPr>
        <w:pStyle w:val="ListParagraph"/>
        <w:numPr>
          <w:ilvl w:val="0"/>
          <w:numId w:val="10"/>
        </w:numPr>
        <w:autoSpaceDE w:val="0"/>
        <w:autoSpaceDN w:val="0"/>
        <w:adjustRightInd w:val="0"/>
        <w:ind w:left="142" w:hanging="142"/>
        <w:jc w:val="both"/>
        <w:rPr>
          <w:lang w:val="en-GB"/>
        </w:rPr>
      </w:pPr>
      <w:r>
        <w:rPr>
          <w:lang w:val="en-GB"/>
        </w:rPr>
        <w:t xml:space="preserve">Finally, </w:t>
      </w:r>
      <w:r w:rsidR="00FC557C">
        <w:rPr>
          <w:i/>
          <w:iCs/>
          <w:lang w:val="en-GB"/>
        </w:rPr>
        <w:t xml:space="preserve">Ms </w:t>
      </w:r>
      <w:proofErr w:type="spellStart"/>
      <w:r w:rsidR="00FC557C">
        <w:rPr>
          <w:i/>
          <w:iCs/>
          <w:lang w:val="en-GB"/>
        </w:rPr>
        <w:t>Ntsepe</w:t>
      </w:r>
      <w:proofErr w:type="spellEnd"/>
      <w:r w:rsidR="00FC557C">
        <w:rPr>
          <w:lang w:val="en-GB"/>
        </w:rPr>
        <w:t xml:space="preserve">, for the respondent, urged me to dismiss the application because of </w:t>
      </w:r>
      <w:r>
        <w:rPr>
          <w:lang w:val="en-GB"/>
        </w:rPr>
        <w:t xml:space="preserve">the </w:t>
      </w:r>
      <w:r w:rsidR="00FC557C">
        <w:rPr>
          <w:lang w:val="en-GB"/>
        </w:rPr>
        <w:t xml:space="preserve">undue hardship that would </w:t>
      </w:r>
      <w:r>
        <w:rPr>
          <w:lang w:val="en-GB"/>
        </w:rPr>
        <w:t>be inflicted upon the</w:t>
      </w:r>
      <w:r w:rsidR="004E5114">
        <w:rPr>
          <w:lang w:val="en-GB"/>
        </w:rPr>
        <w:t xml:space="preserve"> respondent.</w:t>
      </w:r>
      <w:r w:rsidR="00FE44D6">
        <w:rPr>
          <w:rStyle w:val="FootnoteReference"/>
          <w:lang w:val="en-GB"/>
        </w:rPr>
        <w:footnoteReference w:id="28"/>
      </w:r>
      <w:r w:rsidR="004E5114">
        <w:rPr>
          <w:lang w:val="en-GB"/>
        </w:rPr>
        <w:t xml:space="preserve"> This is not a case that is established on the papers and, in any event, it cannot be said that ordering specific performance will result in undue hardship to the respondent that is completely disproportionate to the benefit that the applicant will enjoy.</w:t>
      </w:r>
      <w:r>
        <w:rPr>
          <w:lang w:val="en-GB"/>
        </w:rPr>
        <w:t xml:space="preserve"> </w:t>
      </w:r>
      <w:r w:rsidR="00234A63">
        <w:rPr>
          <w:lang w:val="en-GB"/>
        </w:rPr>
        <w:t xml:space="preserve">There is also </w:t>
      </w:r>
      <w:r w:rsidR="00234A63">
        <w:rPr>
          <w:lang w:val="en-GB"/>
        </w:rPr>
        <w:lastRenderedPageBreak/>
        <w:t>no basis for accepting that there is an alternative remedy that will secure sufficient benefit to the applicant.</w:t>
      </w:r>
      <w:r w:rsidR="00234A63">
        <w:rPr>
          <w:rStyle w:val="FootnoteReference"/>
          <w:lang w:val="en-GB"/>
        </w:rPr>
        <w:footnoteReference w:id="29"/>
      </w:r>
      <w:r w:rsidR="00234A63">
        <w:rPr>
          <w:lang w:val="en-GB"/>
        </w:rPr>
        <w:t xml:space="preserve"> </w:t>
      </w:r>
      <w:r w:rsidR="00A948EF">
        <w:rPr>
          <w:lang w:val="en-GB"/>
        </w:rPr>
        <w:t xml:space="preserve">In these circumstances, it is appropriate to exercise the court’s discretion in favour of implementation of the relevant adjudication determinations, </w:t>
      </w:r>
      <w:r w:rsidR="004D7D82">
        <w:rPr>
          <w:lang w:val="en-GB"/>
        </w:rPr>
        <w:t xml:space="preserve">and in a manner that avoids depriving the successful party of </w:t>
      </w:r>
      <w:r w:rsidR="009300CA">
        <w:rPr>
          <w:lang w:val="en-GB"/>
        </w:rPr>
        <w:t>the benefit</w:t>
      </w:r>
      <w:r w:rsidR="004D7D82">
        <w:rPr>
          <w:lang w:val="en-GB"/>
        </w:rPr>
        <w:t xml:space="preserve"> of decisions taken in its favour. There are no compelling reasons not to do so in my view.</w:t>
      </w:r>
      <w:r w:rsidR="000A1B03">
        <w:rPr>
          <w:lang w:val="en-GB"/>
        </w:rPr>
        <w:t xml:space="preserve"> The parties were in agreement that costs must follow the result.</w:t>
      </w:r>
    </w:p>
    <w:p w14:paraId="4DCF7889" w14:textId="04E594A1" w:rsidR="007423FA" w:rsidRDefault="007423FA" w:rsidP="00B7774D">
      <w:pPr>
        <w:rPr>
          <w:lang w:val="en-GB"/>
        </w:rPr>
      </w:pPr>
    </w:p>
    <w:p w14:paraId="7683AA2B" w14:textId="4CCEAC24" w:rsidR="00B7774D" w:rsidRDefault="00B7774D" w:rsidP="00B7774D">
      <w:pPr>
        <w:rPr>
          <w:b/>
          <w:bCs/>
          <w:lang w:val="en-GB"/>
        </w:rPr>
      </w:pPr>
      <w:r>
        <w:rPr>
          <w:b/>
          <w:bCs/>
          <w:lang w:val="en-GB"/>
        </w:rPr>
        <w:t>Order</w:t>
      </w:r>
    </w:p>
    <w:p w14:paraId="2FAEAEEE" w14:textId="77777777" w:rsidR="00B7774D" w:rsidRPr="00B7774D" w:rsidRDefault="00B7774D" w:rsidP="00B7774D">
      <w:pPr>
        <w:rPr>
          <w:b/>
          <w:bCs/>
          <w:lang w:val="en-GB"/>
        </w:rPr>
      </w:pPr>
    </w:p>
    <w:p w14:paraId="2B7F4D91" w14:textId="16FEBEAC" w:rsidR="007423FA" w:rsidRDefault="007423FA" w:rsidP="002C0E9C">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1181A57F" w14:textId="77777777" w:rsidR="007423FA" w:rsidRPr="007423FA" w:rsidRDefault="007423FA" w:rsidP="007423FA">
      <w:pPr>
        <w:pStyle w:val="ListParagraph"/>
        <w:rPr>
          <w:lang w:val="en-GB"/>
        </w:rPr>
      </w:pPr>
    </w:p>
    <w:p w14:paraId="45E5873A" w14:textId="293D9E32" w:rsidR="007423FA" w:rsidRDefault="007423FA" w:rsidP="007423FA">
      <w:pPr>
        <w:pStyle w:val="ListParagraph"/>
        <w:numPr>
          <w:ilvl w:val="0"/>
          <w:numId w:val="13"/>
        </w:numPr>
        <w:autoSpaceDE w:val="0"/>
        <w:autoSpaceDN w:val="0"/>
        <w:adjustRightInd w:val="0"/>
        <w:jc w:val="both"/>
        <w:rPr>
          <w:lang w:val="en-GB"/>
        </w:rPr>
      </w:pPr>
      <w:r>
        <w:rPr>
          <w:lang w:val="en-GB"/>
        </w:rPr>
        <w:t>The respondent is directed to comply with the adjudicator’s decision dated 30 August 2021.</w:t>
      </w:r>
    </w:p>
    <w:p w14:paraId="3BEAA3C7" w14:textId="77777777" w:rsidR="007423FA" w:rsidRDefault="007423FA" w:rsidP="007423FA">
      <w:pPr>
        <w:pStyle w:val="ListParagraph"/>
        <w:autoSpaceDE w:val="0"/>
        <w:autoSpaceDN w:val="0"/>
        <w:adjustRightInd w:val="0"/>
        <w:ind w:left="1080"/>
        <w:jc w:val="both"/>
        <w:rPr>
          <w:lang w:val="en-GB"/>
        </w:rPr>
      </w:pPr>
    </w:p>
    <w:p w14:paraId="73301FD9" w14:textId="5BFF69C7" w:rsidR="007423FA" w:rsidRDefault="007423FA" w:rsidP="007423FA">
      <w:pPr>
        <w:pStyle w:val="ListParagraph"/>
        <w:numPr>
          <w:ilvl w:val="0"/>
          <w:numId w:val="13"/>
        </w:numPr>
        <w:autoSpaceDE w:val="0"/>
        <w:autoSpaceDN w:val="0"/>
        <w:adjustRightInd w:val="0"/>
        <w:jc w:val="both"/>
        <w:rPr>
          <w:lang w:val="en-GB"/>
        </w:rPr>
      </w:pPr>
      <w:r>
        <w:rPr>
          <w:lang w:val="en-GB"/>
        </w:rPr>
        <w:t>The respondent must:</w:t>
      </w:r>
    </w:p>
    <w:p w14:paraId="13EB5115" w14:textId="55C6F170" w:rsidR="007423FA" w:rsidRDefault="007423FA" w:rsidP="005B06DE">
      <w:pPr>
        <w:autoSpaceDE w:val="0"/>
        <w:autoSpaceDN w:val="0"/>
        <w:adjustRightInd w:val="0"/>
        <w:ind w:left="1560" w:hanging="480"/>
        <w:jc w:val="both"/>
        <w:rPr>
          <w:lang w:val="en-GB"/>
        </w:rPr>
      </w:pPr>
      <w:r>
        <w:rPr>
          <w:lang w:val="en-GB"/>
        </w:rPr>
        <w:t>2.1</w:t>
      </w:r>
      <w:r>
        <w:rPr>
          <w:lang w:val="en-GB"/>
        </w:rPr>
        <w:tab/>
      </w:r>
      <w:r w:rsidR="009B47AC">
        <w:rPr>
          <w:lang w:val="en-GB"/>
        </w:rPr>
        <w:t>i</w:t>
      </w:r>
      <w:r>
        <w:rPr>
          <w:lang w:val="en-GB"/>
        </w:rPr>
        <w:t>n respect of paragraph 19.1.2 of the Adjudication Determination read with paragraph 19.1.4:</w:t>
      </w:r>
    </w:p>
    <w:p w14:paraId="45925132" w14:textId="77777777" w:rsidR="007423FA" w:rsidRDefault="007423FA" w:rsidP="007423FA">
      <w:pPr>
        <w:autoSpaceDE w:val="0"/>
        <w:autoSpaceDN w:val="0"/>
        <w:adjustRightInd w:val="0"/>
        <w:ind w:left="2160" w:hanging="720"/>
        <w:jc w:val="both"/>
        <w:rPr>
          <w:lang w:val="en-GB"/>
        </w:rPr>
      </w:pPr>
      <w:r>
        <w:rPr>
          <w:lang w:val="en-GB"/>
        </w:rPr>
        <w:t>2.1.1</w:t>
      </w:r>
      <w:r>
        <w:rPr>
          <w:lang w:val="en-GB"/>
        </w:rPr>
        <w:tab/>
      </w:r>
      <w:proofErr w:type="gramStart"/>
      <w:r>
        <w:rPr>
          <w:lang w:val="en-GB"/>
        </w:rPr>
        <w:t>certify</w:t>
      </w:r>
      <w:proofErr w:type="gramEnd"/>
      <w:r>
        <w:rPr>
          <w:lang w:val="en-GB"/>
        </w:rPr>
        <w:t xml:space="preserve"> and pay the costs for completion of the works having regard to the extension of time for practical completion that was granted to 20 July 2020, amounting to the sum or R1 906 277,06 inclusive of VAT;</w:t>
      </w:r>
    </w:p>
    <w:p w14:paraId="1941B858" w14:textId="77777777" w:rsidR="007423FA" w:rsidRDefault="007423FA" w:rsidP="007423FA">
      <w:pPr>
        <w:autoSpaceDE w:val="0"/>
        <w:autoSpaceDN w:val="0"/>
        <w:adjustRightInd w:val="0"/>
        <w:ind w:left="2160" w:hanging="720"/>
        <w:jc w:val="both"/>
        <w:rPr>
          <w:lang w:val="en-GB"/>
        </w:rPr>
      </w:pPr>
      <w:r>
        <w:rPr>
          <w:lang w:val="en-GB"/>
        </w:rPr>
        <w:t>2.1.2</w:t>
      </w:r>
      <w:r>
        <w:rPr>
          <w:lang w:val="en-GB"/>
        </w:rPr>
        <w:tab/>
      </w:r>
      <w:proofErr w:type="gramStart"/>
      <w:r>
        <w:rPr>
          <w:lang w:val="en-GB"/>
        </w:rPr>
        <w:t>pay</w:t>
      </w:r>
      <w:proofErr w:type="gramEnd"/>
      <w:r>
        <w:rPr>
          <w:lang w:val="en-GB"/>
        </w:rPr>
        <w:t xml:space="preserve"> default interest on the aforesaid amount at the rate of 7% per annum compounded monthly calculated from 1 September 2020 to date of payment.</w:t>
      </w:r>
    </w:p>
    <w:p w14:paraId="1A8FA64B" w14:textId="77777777" w:rsidR="007423FA" w:rsidRDefault="007423FA" w:rsidP="007423FA">
      <w:pPr>
        <w:autoSpaceDE w:val="0"/>
        <w:autoSpaceDN w:val="0"/>
        <w:adjustRightInd w:val="0"/>
        <w:ind w:left="1440" w:hanging="360"/>
        <w:jc w:val="both"/>
        <w:rPr>
          <w:lang w:val="en-GB"/>
        </w:rPr>
      </w:pPr>
    </w:p>
    <w:p w14:paraId="0B53EDF7" w14:textId="75E2616B" w:rsidR="007423FA" w:rsidRDefault="007423FA" w:rsidP="005B06DE">
      <w:pPr>
        <w:autoSpaceDE w:val="0"/>
        <w:autoSpaceDN w:val="0"/>
        <w:adjustRightInd w:val="0"/>
        <w:ind w:left="1560" w:hanging="480"/>
        <w:jc w:val="both"/>
        <w:rPr>
          <w:lang w:val="en-GB"/>
        </w:rPr>
      </w:pPr>
      <w:r>
        <w:rPr>
          <w:lang w:val="en-GB"/>
        </w:rPr>
        <w:t>2.2</w:t>
      </w:r>
      <w:r>
        <w:rPr>
          <w:lang w:val="en-GB"/>
        </w:rPr>
        <w:tab/>
      </w:r>
      <w:proofErr w:type="gramStart"/>
      <w:r>
        <w:rPr>
          <w:lang w:val="en-GB"/>
        </w:rPr>
        <w:t>in</w:t>
      </w:r>
      <w:proofErr w:type="gramEnd"/>
      <w:r>
        <w:rPr>
          <w:lang w:val="en-GB"/>
        </w:rPr>
        <w:t xml:space="preserve"> respect of paragraph 19.2 of the Adjudication Determination:</w:t>
      </w:r>
    </w:p>
    <w:p w14:paraId="08C02A34" w14:textId="735FA7C3" w:rsidR="007423FA" w:rsidRDefault="007423FA" w:rsidP="007423FA">
      <w:pPr>
        <w:autoSpaceDE w:val="0"/>
        <w:autoSpaceDN w:val="0"/>
        <w:adjustRightInd w:val="0"/>
        <w:ind w:left="2160" w:hanging="720"/>
        <w:jc w:val="both"/>
        <w:rPr>
          <w:lang w:val="en-GB"/>
        </w:rPr>
      </w:pPr>
      <w:r>
        <w:rPr>
          <w:lang w:val="en-GB"/>
        </w:rPr>
        <w:t>2.2.1</w:t>
      </w:r>
      <w:r>
        <w:rPr>
          <w:lang w:val="en-GB"/>
        </w:rPr>
        <w:tab/>
      </w:r>
      <w:proofErr w:type="gramStart"/>
      <w:r>
        <w:rPr>
          <w:lang w:val="en-GB"/>
        </w:rPr>
        <w:t>pay</w:t>
      </w:r>
      <w:proofErr w:type="gramEnd"/>
      <w:r>
        <w:rPr>
          <w:lang w:val="en-GB"/>
        </w:rPr>
        <w:t xml:space="preserve"> the sum of R7 318 364,26 to the applicant in respect of the reversal of penalties;</w:t>
      </w:r>
    </w:p>
    <w:p w14:paraId="37B3E0F9" w14:textId="05DC16D3" w:rsidR="007423FA" w:rsidRDefault="007423FA" w:rsidP="007423FA">
      <w:pPr>
        <w:autoSpaceDE w:val="0"/>
        <w:autoSpaceDN w:val="0"/>
        <w:adjustRightInd w:val="0"/>
        <w:ind w:left="2160" w:hanging="720"/>
        <w:jc w:val="both"/>
        <w:rPr>
          <w:lang w:val="en-GB"/>
        </w:rPr>
      </w:pPr>
      <w:r>
        <w:rPr>
          <w:lang w:val="en-GB"/>
        </w:rPr>
        <w:t>2.2.2</w:t>
      </w:r>
      <w:r>
        <w:rPr>
          <w:lang w:val="en-GB"/>
        </w:rPr>
        <w:tab/>
      </w:r>
      <w:proofErr w:type="gramStart"/>
      <w:r>
        <w:rPr>
          <w:lang w:val="en-GB"/>
        </w:rPr>
        <w:t>pay</w:t>
      </w:r>
      <w:proofErr w:type="gramEnd"/>
      <w:r>
        <w:rPr>
          <w:lang w:val="en-GB"/>
        </w:rPr>
        <w:t xml:space="preserve"> interest in the amount of R695 430,</w:t>
      </w:r>
      <w:r w:rsidR="00F31FD1">
        <w:rPr>
          <w:lang w:val="en-GB"/>
        </w:rPr>
        <w:t>00</w:t>
      </w:r>
      <w:r w:rsidR="00A31B07">
        <w:rPr>
          <w:lang w:val="en-GB"/>
        </w:rPr>
        <w:t>,</w:t>
      </w:r>
      <w:r>
        <w:rPr>
          <w:lang w:val="en-GB"/>
        </w:rPr>
        <w:t xml:space="preserve"> being the interest calculated on the aforesaid amount until 1 July 2020;</w:t>
      </w:r>
    </w:p>
    <w:p w14:paraId="1A7E5980" w14:textId="486BC4CF" w:rsidR="007423FA" w:rsidRDefault="007423FA" w:rsidP="007423FA">
      <w:pPr>
        <w:autoSpaceDE w:val="0"/>
        <w:autoSpaceDN w:val="0"/>
        <w:adjustRightInd w:val="0"/>
        <w:ind w:left="2160" w:hanging="720"/>
        <w:jc w:val="both"/>
        <w:rPr>
          <w:lang w:val="en-GB"/>
        </w:rPr>
      </w:pPr>
      <w:r>
        <w:rPr>
          <w:lang w:val="en-GB"/>
        </w:rPr>
        <w:lastRenderedPageBreak/>
        <w:t>2.2.3</w:t>
      </w:r>
      <w:r>
        <w:rPr>
          <w:lang w:val="en-GB"/>
        </w:rPr>
        <w:tab/>
      </w:r>
      <w:proofErr w:type="gramStart"/>
      <w:r>
        <w:rPr>
          <w:lang w:val="en-GB"/>
        </w:rPr>
        <w:t>pay</w:t>
      </w:r>
      <w:proofErr w:type="gramEnd"/>
      <w:r>
        <w:rPr>
          <w:lang w:val="en-GB"/>
        </w:rPr>
        <w:t xml:space="preserve"> further interest on the sum of R7 318 364,26 at the rate of 7% per annum compounded monthly calculated from 2 July 2020 to date of payment; and</w:t>
      </w:r>
    </w:p>
    <w:p w14:paraId="696A1C54" w14:textId="77777777" w:rsidR="007423FA" w:rsidRDefault="007423FA" w:rsidP="007423FA">
      <w:pPr>
        <w:autoSpaceDE w:val="0"/>
        <w:autoSpaceDN w:val="0"/>
        <w:adjustRightInd w:val="0"/>
        <w:ind w:left="2160" w:hanging="720"/>
        <w:jc w:val="both"/>
        <w:rPr>
          <w:lang w:val="en-GB"/>
        </w:rPr>
      </w:pPr>
    </w:p>
    <w:p w14:paraId="4625615E" w14:textId="32E86EA3" w:rsidR="007423FA" w:rsidRDefault="007423FA" w:rsidP="005B06DE">
      <w:pPr>
        <w:autoSpaceDE w:val="0"/>
        <w:autoSpaceDN w:val="0"/>
        <w:adjustRightInd w:val="0"/>
        <w:ind w:left="1560" w:hanging="480"/>
        <w:jc w:val="both"/>
        <w:rPr>
          <w:lang w:val="en-GB"/>
        </w:rPr>
      </w:pPr>
      <w:r>
        <w:rPr>
          <w:lang w:val="en-GB"/>
        </w:rPr>
        <w:t>2.3</w:t>
      </w:r>
      <w:r>
        <w:rPr>
          <w:lang w:val="en-GB"/>
        </w:rPr>
        <w:tab/>
        <w:t xml:space="preserve">in respect of paragraphs 19.3 and 19.4 of the Adjudication Determination, </w:t>
      </w:r>
      <w:r w:rsidR="003A4099">
        <w:rPr>
          <w:lang w:val="en-GB"/>
        </w:rPr>
        <w:t>submit its final account to the applicant in respect of contract number CDC/591/15.</w:t>
      </w:r>
      <w:r>
        <w:rPr>
          <w:lang w:val="en-GB"/>
        </w:rPr>
        <w:tab/>
      </w:r>
      <w:r>
        <w:rPr>
          <w:lang w:val="en-GB"/>
        </w:rPr>
        <w:tab/>
      </w:r>
    </w:p>
    <w:p w14:paraId="32E4B2EE" w14:textId="77777777" w:rsidR="007423FA" w:rsidRPr="007423FA" w:rsidRDefault="007423FA" w:rsidP="007423FA">
      <w:pPr>
        <w:autoSpaceDE w:val="0"/>
        <w:autoSpaceDN w:val="0"/>
        <w:adjustRightInd w:val="0"/>
        <w:ind w:left="2160" w:hanging="720"/>
        <w:jc w:val="both"/>
        <w:rPr>
          <w:lang w:val="en-GB"/>
        </w:rPr>
      </w:pPr>
    </w:p>
    <w:p w14:paraId="77D5B14A" w14:textId="79E30A60" w:rsidR="007423FA" w:rsidRPr="007423FA" w:rsidRDefault="00762332" w:rsidP="007423FA">
      <w:pPr>
        <w:pStyle w:val="ListParagraph"/>
        <w:numPr>
          <w:ilvl w:val="0"/>
          <w:numId w:val="13"/>
        </w:numPr>
        <w:autoSpaceDE w:val="0"/>
        <w:autoSpaceDN w:val="0"/>
        <w:adjustRightInd w:val="0"/>
        <w:jc w:val="both"/>
        <w:rPr>
          <w:lang w:val="en-GB"/>
        </w:rPr>
      </w:pPr>
      <w:r>
        <w:rPr>
          <w:lang w:val="en-GB"/>
        </w:rPr>
        <w:t>The respondent is directed to pay the applicant’s costs.</w:t>
      </w:r>
    </w:p>
    <w:p w14:paraId="020CB61E" w14:textId="76AD0786" w:rsidR="001507DF" w:rsidRDefault="001507DF" w:rsidP="002C0E9C">
      <w:pPr>
        <w:rPr>
          <w:lang w:val="en-GB"/>
        </w:rPr>
      </w:pPr>
    </w:p>
    <w:p w14:paraId="67069C5C" w14:textId="77777777" w:rsidR="005B06DE" w:rsidRPr="002C0E9C" w:rsidRDefault="005B06DE" w:rsidP="002C0E9C">
      <w:pPr>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3FEA291F" w14:textId="77777777" w:rsidR="005B06DE" w:rsidRDefault="001507DF" w:rsidP="005B06DE">
      <w:pPr>
        <w:widowControl w:val="0"/>
        <w:rPr>
          <w:b/>
          <w:spacing w:val="14"/>
          <w:kern w:val="2"/>
          <w:lang w:val="en-GB"/>
        </w:rPr>
      </w:pPr>
      <w:r>
        <w:rPr>
          <w:b/>
          <w:spacing w:val="14"/>
          <w:kern w:val="2"/>
          <w:lang w:val="en-GB"/>
        </w:rPr>
        <w:t xml:space="preserve">                                                                       </w:t>
      </w:r>
    </w:p>
    <w:p w14:paraId="04EEEF0A" w14:textId="33950351" w:rsidR="007A7BBE" w:rsidRPr="005B06DE" w:rsidRDefault="007A7BBE" w:rsidP="005B06DE">
      <w:pPr>
        <w:widowControl w:val="0"/>
        <w:ind w:left="2880" w:firstLine="720"/>
        <w:jc w:val="center"/>
        <w:rPr>
          <w:b/>
          <w:spacing w:val="14"/>
          <w:kern w:val="2"/>
          <w:lang w:val="en-GB"/>
        </w:rPr>
      </w:pPr>
      <w:r w:rsidRPr="001507DF">
        <w:rPr>
          <w:b/>
          <w:spacing w:val="14"/>
          <w:kern w:val="2"/>
          <w:lang w:val="en-GB"/>
        </w:rPr>
        <w:t>Heard</w:t>
      </w:r>
      <w:r w:rsidRPr="00A87D38">
        <w:rPr>
          <w:spacing w:val="14"/>
          <w:kern w:val="2"/>
          <w:lang w:val="en-GB"/>
        </w:rPr>
        <w:t>:</w:t>
      </w:r>
      <w:r w:rsidR="00B72F2E">
        <w:rPr>
          <w:spacing w:val="14"/>
          <w:kern w:val="2"/>
          <w:lang w:val="en-GB"/>
        </w:rPr>
        <w:t xml:space="preserve"> </w:t>
      </w:r>
      <w:r w:rsidR="001507DF">
        <w:rPr>
          <w:spacing w:val="14"/>
          <w:kern w:val="2"/>
          <w:lang w:val="en-GB"/>
        </w:rPr>
        <w:t>28</w:t>
      </w:r>
      <w:r w:rsidR="005B06DE">
        <w:rPr>
          <w:spacing w:val="14"/>
          <w:kern w:val="2"/>
          <w:lang w:val="en-GB"/>
        </w:rPr>
        <w:t xml:space="preserve"> </w:t>
      </w:r>
      <w:r w:rsidR="001507DF">
        <w:rPr>
          <w:spacing w:val="14"/>
          <w:kern w:val="2"/>
          <w:lang w:val="en-GB"/>
        </w:rPr>
        <w:t>July 2022</w:t>
      </w:r>
    </w:p>
    <w:p w14:paraId="5D550954" w14:textId="1903C787" w:rsidR="007A7BBE" w:rsidRDefault="007A7BBE" w:rsidP="005B06DE">
      <w:pPr>
        <w:widowControl w:val="0"/>
        <w:ind w:left="3600" w:firstLine="720"/>
        <w:jc w:val="center"/>
        <w:rPr>
          <w:spacing w:val="14"/>
          <w:kern w:val="2"/>
          <w:lang w:val="en-GB"/>
        </w:rPr>
      </w:pPr>
      <w:r w:rsidRPr="001507DF">
        <w:rPr>
          <w:b/>
          <w:spacing w:val="14"/>
          <w:kern w:val="2"/>
          <w:lang w:val="en-GB"/>
        </w:rPr>
        <w:t>Delivered</w:t>
      </w:r>
      <w:proofErr w:type="gramStart"/>
      <w:r w:rsidRPr="00A87D38">
        <w:rPr>
          <w:spacing w:val="14"/>
          <w:kern w:val="2"/>
          <w:lang w:val="en-GB"/>
        </w:rPr>
        <w:t>:</w:t>
      </w:r>
      <w:r w:rsidR="001507DF">
        <w:rPr>
          <w:spacing w:val="14"/>
          <w:kern w:val="2"/>
          <w:lang w:val="en-GB"/>
        </w:rPr>
        <w:t>10</w:t>
      </w:r>
      <w:proofErr w:type="gramEnd"/>
      <w:r w:rsidR="001507DF">
        <w:rPr>
          <w:spacing w:val="14"/>
          <w:kern w:val="2"/>
          <w:lang w:val="en-GB"/>
        </w:rPr>
        <w:t xml:space="preserve"> A</w:t>
      </w:r>
      <w:r w:rsidR="00967298">
        <w:rPr>
          <w:spacing w:val="14"/>
          <w:kern w:val="2"/>
          <w:lang w:val="en-GB"/>
        </w:rPr>
        <w:t>ugust 2022</w:t>
      </w:r>
    </w:p>
    <w:p w14:paraId="410A4AD4" w14:textId="77777777" w:rsidR="00B72F2E" w:rsidRPr="00A87D38" w:rsidRDefault="00B72F2E" w:rsidP="00B72F2E">
      <w:pPr>
        <w:widowControl w:val="0"/>
        <w:jc w:val="right"/>
        <w:rPr>
          <w:spacing w:val="14"/>
          <w:kern w:val="2"/>
          <w:lang w:val="en-GB"/>
        </w:rPr>
      </w:pPr>
    </w:p>
    <w:p w14:paraId="0E69A81D" w14:textId="77777777" w:rsidR="001507DF" w:rsidRPr="001507DF" w:rsidRDefault="001507DF" w:rsidP="001507DF">
      <w:pPr>
        <w:jc w:val="both"/>
        <w:rPr>
          <w:lang w:val="en-GB"/>
        </w:rPr>
      </w:pPr>
      <w:r w:rsidRPr="001507DF">
        <w:rPr>
          <w:lang w:val="en-GB"/>
        </w:rPr>
        <w:t>Appearances:</w:t>
      </w:r>
    </w:p>
    <w:p w14:paraId="06630DF2" w14:textId="77777777" w:rsidR="001507DF" w:rsidRPr="001507DF" w:rsidRDefault="001507DF" w:rsidP="001507DF">
      <w:pPr>
        <w:jc w:val="both"/>
        <w:rPr>
          <w:lang w:val="en-GB"/>
        </w:rPr>
      </w:pPr>
    </w:p>
    <w:p w14:paraId="211AB33D" w14:textId="5AC913F0" w:rsidR="001507DF" w:rsidRPr="001507DF" w:rsidRDefault="001507DF" w:rsidP="001507DF">
      <w:pPr>
        <w:tabs>
          <w:tab w:val="left" w:pos="3261"/>
          <w:tab w:val="center" w:pos="4003"/>
        </w:tabs>
        <w:jc w:val="both"/>
        <w:rPr>
          <w:color w:val="auto"/>
        </w:rPr>
      </w:pPr>
      <w:r w:rsidRPr="001507DF">
        <w:rPr>
          <w:color w:val="auto"/>
        </w:rPr>
        <w:t>Applicant’s Counsel         :</w:t>
      </w:r>
      <w:r w:rsidRPr="001507DF">
        <w:rPr>
          <w:color w:val="auto"/>
        </w:rPr>
        <w:tab/>
      </w:r>
      <w:proofErr w:type="spellStart"/>
      <w:r w:rsidRPr="001507DF">
        <w:rPr>
          <w:color w:val="auto"/>
        </w:rPr>
        <w:t>Adv</w:t>
      </w:r>
      <w:proofErr w:type="spellEnd"/>
      <w:r w:rsidRPr="001507DF">
        <w:rPr>
          <w:color w:val="auto"/>
        </w:rPr>
        <w:t xml:space="preserve"> </w:t>
      </w:r>
      <w:r w:rsidR="00B72F2E">
        <w:rPr>
          <w:color w:val="auto"/>
        </w:rPr>
        <w:t>N Mullins SC</w:t>
      </w:r>
    </w:p>
    <w:p w14:paraId="3525D2EE" w14:textId="6B811071" w:rsidR="00967298" w:rsidRPr="001507DF" w:rsidRDefault="001507DF" w:rsidP="00B72F2E">
      <w:pPr>
        <w:tabs>
          <w:tab w:val="left" w:pos="3261"/>
          <w:tab w:val="center" w:pos="4003"/>
        </w:tabs>
        <w:jc w:val="both"/>
        <w:rPr>
          <w:color w:val="auto"/>
        </w:rPr>
      </w:pPr>
      <w:r w:rsidRPr="001507DF">
        <w:rPr>
          <w:color w:val="auto"/>
        </w:rPr>
        <w:tab/>
      </w:r>
      <w:proofErr w:type="spellStart"/>
      <w:r w:rsidR="00B72F2E">
        <w:rPr>
          <w:color w:val="auto"/>
        </w:rPr>
        <w:t>Gqeberha</w:t>
      </w:r>
      <w:proofErr w:type="spellEnd"/>
    </w:p>
    <w:p w14:paraId="7512973B" w14:textId="77777777" w:rsidR="001507DF" w:rsidRPr="001507DF" w:rsidRDefault="001507DF" w:rsidP="001507DF">
      <w:pPr>
        <w:tabs>
          <w:tab w:val="left" w:pos="3261"/>
          <w:tab w:val="center" w:pos="4003"/>
        </w:tabs>
        <w:jc w:val="both"/>
        <w:rPr>
          <w:color w:val="auto"/>
        </w:rPr>
      </w:pPr>
      <w:r w:rsidRPr="001507DF">
        <w:rPr>
          <w:color w:val="auto"/>
        </w:rPr>
        <w:tab/>
      </w:r>
    </w:p>
    <w:p w14:paraId="6540B542" w14:textId="51210566" w:rsidR="001507DF" w:rsidRPr="001507DF" w:rsidRDefault="001507DF" w:rsidP="001507DF">
      <w:pPr>
        <w:tabs>
          <w:tab w:val="left" w:pos="3261"/>
          <w:tab w:val="center" w:pos="4003"/>
        </w:tabs>
        <w:jc w:val="both"/>
        <w:rPr>
          <w:color w:val="auto"/>
        </w:rPr>
      </w:pPr>
      <w:r w:rsidRPr="001507DF">
        <w:rPr>
          <w:color w:val="auto"/>
        </w:rPr>
        <w:t xml:space="preserve">Instructed by                     :      </w:t>
      </w:r>
      <w:r w:rsidR="00967298">
        <w:rPr>
          <w:color w:val="auto"/>
        </w:rPr>
        <w:t xml:space="preserve">Peter Le </w:t>
      </w:r>
      <w:proofErr w:type="spellStart"/>
      <w:r w:rsidR="00967298">
        <w:rPr>
          <w:color w:val="auto"/>
        </w:rPr>
        <w:t>Mottee</w:t>
      </w:r>
      <w:proofErr w:type="spellEnd"/>
      <w:r w:rsidRPr="001507DF">
        <w:rPr>
          <w:color w:val="auto"/>
        </w:rPr>
        <w:t xml:space="preserve"> Attorneys</w:t>
      </w:r>
    </w:p>
    <w:p w14:paraId="7E768482" w14:textId="43158CE2" w:rsidR="001507DF" w:rsidRPr="001507DF" w:rsidRDefault="00967298" w:rsidP="001507DF">
      <w:pPr>
        <w:tabs>
          <w:tab w:val="left" w:pos="3261"/>
          <w:tab w:val="center" w:pos="4003"/>
        </w:tabs>
        <w:jc w:val="both"/>
        <w:rPr>
          <w:color w:val="auto"/>
        </w:rPr>
      </w:pPr>
      <w:r>
        <w:rPr>
          <w:color w:val="auto"/>
        </w:rPr>
        <w:tab/>
        <w:t>Attorneys for the Applicant</w:t>
      </w:r>
    </w:p>
    <w:p w14:paraId="23C65FC5" w14:textId="5A0F6D35" w:rsidR="001507DF" w:rsidRPr="001507DF" w:rsidRDefault="001507DF" w:rsidP="001507DF">
      <w:pPr>
        <w:tabs>
          <w:tab w:val="left" w:pos="3261"/>
          <w:tab w:val="center" w:pos="4003"/>
        </w:tabs>
        <w:jc w:val="both"/>
        <w:rPr>
          <w:color w:val="auto"/>
        </w:rPr>
      </w:pPr>
      <w:r w:rsidRPr="001507DF">
        <w:rPr>
          <w:color w:val="auto"/>
        </w:rPr>
        <w:tab/>
      </w:r>
      <w:r w:rsidR="00967298">
        <w:rPr>
          <w:color w:val="auto"/>
        </w:rPr>
        <w:t>0861 756 529</w:t>
      </w:r>
    </w:p>
    <w:p w14:paraId="0C54DBD1" w14:textId="37194D82" w:rsidR="001507DF" w:rsidRPr="001507DF" w:rsidRDefault="001507DF" w:rsidP="001507DF">
      <w:pPr>
        <w:tabs>
          <w:tab w:val="left" w:pos="3261"/>
          <w:tab w:val="center" w:pos="4003"/>
        </w:tabs>
        <w:jc w:val="both"/>
        <w:rPr>
          <w:color w:val="auto"/>
        </w:rPr>
      </w:pPr>
      <w:r w:rsidRPr="001507DF">
        <w:rPr>
          <w:color w:val="auto"/>
        </w:rPr>
        <w:tab/>
      </w:r>
      <w:r w:rsidR="00967298">
        <w:rPr>
          <w:color w:val="auto"/>
        </w:rPr>
        <w:t>Email:peter@plmlaw.co.za</w:t>
      </w:r>
      <w:r w:rsidRPr="001507DF">
        <w:rPr>
          <w:color w:val="auto"/>
        </w:rPr>
        <w:t xml:space="preserve"> </w:t>
      </w:r>
    </w:p>
    <w:p w14:paraId="3B04B227" w14:textId="5C5A4786" w:rsidR="001507DF" w:rsidRPr="001507DF" w:rsidRDefault="001507DF" w:rsidP="00967298">
      <w:pPr>
        <w:tabs>
          <w:tab w:val="left" w:pos="3261"/>
          <w:tab w:val="center" w:pos="4003"/>
        </w:tabs>
        <w:jc w:val="both"/>
        <w:rPr>
          <w:color w:val="auto"/>
        </w:rPr>
      </w:pPr>
      <w:r w:rsidRPr="001507DF">
        <w:rPr>
          <w:color w:val="auto"/>
        </w:rPr>
        <w:tab/>
      </w:r>
    </w:p>
    <w:p w14:paraId="3E3355CA" w14:textId="3BD57D5B" w:rsidR="001507DF" w:rsidRPr="001507DF" w:rsidRDefault="00FC7CFA" w:rsidP="001507DF">
      <w:pPr>
        <w:tabs>
          <w:tab w:val="left" w:pos="3261"/>
          <w:tab w:val="center" w:pos="4003"/>
        </w:tabs>
        <w:jc w:val="both"/>
        <w:rPr>
          <w:color w:val="auto"/>
        </w:rPr>
      </w:pPr>
      <w:proofErr w:type="gramStart"/>
      <w:r>
        <w:rPr>
          <w:color w:val="auto"/>
        </w:rPr>
        <w:t>c/o</w:t>
      </w:r>
      <w:proofErr w:type="gramEnd"/>
      <w:r w:rsidR="001507DF" w:rsidRPr="001507DF">
        <w:rPr>
          <w:color w:val="auto"/>
        </w:rPr>
        <w:tab/>
      </w:r>
      <w:r w:rsidR="00967298">
        <w:rPr>
          <w:color w:val="auto"/>
        </w:rPr>
        <w:t xml:space="preserve">Brown </w:t>
      </w:r>
      <w:proofErr w:type="spellStart"/>
      <w:r w:rsidR="00967298">
        <w:rPr>
          <w:color w:val="auto"/>
        </w:rPr>
        <w:t>Braude</w:t>
      </w:r>
      <w:proofErr w:type="spellEnd"/>
      <w:r w:rsidR="00967298">
        <w:rPr>
          <w:color w:val="auto"/>
        </w:rPr>
        <w:t xml:space="preserve"> &amp; </w:t>
      </w:r>
      <w:proofErr w:type="spellStart"/>
      <w:r w:rsidR="00967298">
        <w:rPr>
          <w:color w:val="auto"/>
        </w:rPr>
        <w:t>Vlok</w:t>
      </w:r>
      <w:proofErr w:type="spellEnd"/>
      <w:r w:rsidR="00967298">
        <w:rPr>
          <w:color w:val="auto"/>
        </w:rPr>
        <w:t xml:space="preserve"> Inc.</w:t>
      </w:r>
    </w:p>
    <w:p w14:paraId="526EF522" w14:textId="344BF9B4" w:rsidR="001507DF" w:rsidRPr="001507DF" w:rsidRDefault="001507DF" w:rsidP="001507DF">
      <w:pPr>
        <w:tabs>
          <w:tab w:val="left" w:pos="3261"/>
          <w:tab w:val="center" w:pos="4003"/>
        </w:tabs>
        <w:jc w:val="both"/>
        <w:rPr>
          <w:color w:val="auto"/>
        </w:rPr>
      </w:pPr>
      <w:r w:rsidRPr="001507DF">
        <w:rPr>
          <w:color w:val="auto"/>
        </w:rPr>
        <w:tab/>
      </w:r>
      <w:r w:rsidR="00967298">
        <w:rPr>
          <w:color w:val="auto"/>
        </w:rPr>
        <w:t>317 Cape Road</w:t>
      </w:r>
    </w:p>
    <w:p w14:paraId="05BEEF86" w14:textId="78E1C574" w:rsidR="001507DF" w:rsidRDefault="001507DF" w:rsidP="001507DF">
      <w:pPr>
        <w:tabs>
          <w:tab w:val="left" w:pos="3261"/>
          <w:tab w:val="center" w:pos="4003"/>
        </w:tabs>
        <w:jc w:val="both"/>
        <w:rPr>
          <w:color w:val="auto"/>
        </w:rPr>
      </w:pPr>
      <w:r w:rsidRPr="001507DF">
        <w:rPr>
          <w:color w:val="auto"/>
        </w:rPr>
        <w:tab/>
      </w:r>
      <w:r w:rsidR="00967298">
        <w:rPr>
          <w:color w:val="auto"/>
        </w:rPr>
        <w:t>Newton Park</w:t>
      </w:r>
    </w:p>
    <w:p w14:paraId="0860F2E6" w14:textId="172EBEB1" w:rsidR="00967298" w:rsidRPr="001507DF" w:rsidRDefault="00967298" w:rsidP="001507DF">
      <w:pPr>
        <w:tabs>
          <w:tab w:val="left" w:pos="3261"/>
          <w:tab w:val="center" w:pos="4003"/>
        </w:tabs>
        <w:jc w:val="both"/>
        <w:rPr>
          <w:color w:val="auto"/>
        </w:rPr>
      </w:pPr>
      <w:r>
        <w:rPr>
          <w:color w:val="auto"/>
        </w:rPr>
        <w:tab/>
      </w:r>
      <w:proofErr w:type="spellStart"/>
      <w:r>
        <w:rPr>
          <w:color w:val="auto"/>
        </w:rPr>
        <w:t>Gqeberha</w:t>
      </w:r>
      <w:proofErr w:type="spellEnd"/>
    </w:p>
    <w:p w14:paraId="08F796D0" w14:textId="26C49799" w:rsidR="001507DF" w:rsidRPr="001507DF" w:rsidRDefault="001507DF" w:rsidP="001507DF">
      <w:pPr>
        <w:tabs>
          <w:tab w:val="left" w:pos="3261"/>
          <w:tab w:val="center" w:pos="4003"/>
        </w:tabs>
        <w:jc w:val="both"/>
        <w:rPr>
          <w:color w:val="auto"/>
        </w:rPr>
      </w:pPr>
      <w:r w:rsidRPr="001507DF">
        <w:rPr>
          <w:color w:val="auto"/>
        </w:rPr>
        <w:lastRenderedPageBreak/>
        <w:tab/>
      </w:r>
      <w:hyperlink r:id="rId9" w:history="1">
        <w:r w:rsidRPr="00967298">
          <w:rPr>
            <w:color w:val="auto"/>
          </w:rPr>
          <w:t>04</w:t>
        </w:r>
      </w:hyperlink>
      <w:r w:rsidR="00967298">
        <w:rPr>
          <w:color w:val="auto"/>
        </w:rPr>
        <w:t>1</w:t>
      </w:r>
      <w:r w:rsidRPr="001507DF">
        <w:rPr>
          <w:color w:val="auto"/>
        </w:rPr>
        <w:t xml:space="preserve"> </w:t>
      </w:r>
      <w:r w:rsidR="00967298">
        <w:rPr>
          <w:color w:val="auto"/>
        </w:rPr>
        <w:t>365</w:t>
      </w:r>
      <w:r w:rsidRPr="001507DF">
        <w:rPr>
          <w:color w:val="auto"/>
        </w:rPr>
        <w:t xml:space="preserve"> </w:t>
      </w:r>
      <w:r w:rsidR="00967298">
        <w:rPr>
          <w:color w:val="auto"/>
        </w:rPr>
        <w:t>3668</w:t>
      </w:r>
    </w:p>
    <w:p w14:paraId="1D6166B5" w14:textId="55286ACC" w:rsidR="001507DF" w:rsidRPr="001507DF" w:rsidRDefault="001507DF" w:rsidP="001507DF">
      <w:pPr>
        <w:tabs>
          <w:tab w:val="left" w:pos="3261"/>
          <w:tab w:val="center" w:pos="4003"/>
        </w:tabs>
        <w:jc w:val="both"/>
        <w:rPr>
          <w:color w:val="auto"/>
        </w:rPr>
      </w:pPr>
      <w:r w:rsidRPr="001507DF">
        <w:rPr>
          <w:color w:val="auto"/>
        </w:rPr>
        <w:tab/>
        <w:t>Email:</w:t>
      </w:r>
      <w:r w:rsidR="00967298">
        <w:rPr>
          <w:color w:val="auto"/>
        </w:rPr>
        <w:t>gaylene@bbv.co.za</w:t>
      </w:r>
    </w:p>
    <w:p w14:paraId="3CADE99F" w14:textId="77777777" w:rsidR="001507DF" w:rsidRPr="001507DF" w:rsidRDefault="001507DF" w:rsidP="001507DF">
      <w:pPr>
        <w:tabs>
          <w:tab w:val="left" w:pos="3261"/>
          <w:tab w:val="left" w:pos="3402"/>
          <w:tab w:val="left" w:pos="3686"/>
          <w:tab w:val="center" w:pos="3989"/>
        </w:tabs>
        <w:jc w:val="both"/>
        <w:rPr>
          <w:color w:val="auto"/>
        </w:rPr>
      </w:pPr>
      <w:r w:rsidRPr="001507DF">
        <w:rPr>
          <w:color w:val="auto"/>
        </w:rPr>
        <w:t xml:space="preserve">                                             </w:t>
      </w:r>
    </w:p>
    <w:p w14:paraId="55FE4DE4" w14:textId="1C31F816" w:rsidR="003356B3" w:rsidRPr="001507DF" w:rsidRDefault="001507DF" w:rsidP="001507DF">
      <w:pPr>
        <w:rPr>
          <w:color w:val="auto"/>
        </w:rPr>
      </w:pPr>
      <w:r w:rsidRPr="001507DF">
        <w:rPr>
          <w:color w:val="auto"/>
        </w:rPr>
        <w:t>Respondent’s Counsel:</w:t>
      </w:r>
      <w:r w:rsidRPr="001507DF">
        <w:rPr>
          <w:color w:val="auto"/>
        </w:rPr>
        <w:tab/>
        <w:t xml:space="preserve">     </w:t>
      </w:r>
      <w:proofErr w:type="spellStart"/>
      <w:r w:rsidRPr="001507DF">
        <w:rPr>
          <w:color w:val="auto"/>
        </w:rPr>
        <w:t>Adv</w:t>
      </w:r>
      <w:proofErr w:type="spellEnd"/>
      <w:r w:rsidRPr="001507DF">
        <w:rPr>
          <w:color w:val="auto"/>
        </w:rPr>
        <w:t xml:space="preserve"> </w:t>
      </w:r>
      <w:r w:rsidR="003356B3">
        <w:rPr>
          <w:color w:val="auto"/>
        </w:rPr>
        <w:t xml:space="preserve">NL </w:t>
      </w:r>
      <w:proofErr w:type="spellStart"/>
      <w:r w:rsidR="003356B3">
        <w:rPr>
          <w:color w:val="auto"/>
        </w:rPr>
        <w:t>Ntsepe</w:t>
      </w:r>
      <w:proofErr w:type="spellEnd"/>
    </w:p>
    <w:p w14:paraId="4A7646F4" w14:textId="77777777" w:rsidR="001507DF" w:rsidRPr="001507DF" w:rsidRDefault="001507DF" w:rsidP="001507DF">
      <w:pPr>
        <w:rPr>
          <w:b/>
          <w:bCs/>
          <w:lang w:val="en-US"/>
        </w:rPr>
      </w:pPr>
      <w:r w:rsidRPr="001507DF">
        <w:rPr>
          <w:color w:val="auto"/>
        </w:rPr>
        <w:tab/>
      </w:r>
      <w:r w:rsidRPr="001507DF">
        <w:rPr>
          <w:color w:val="auto"/>
        </w:rPr>
        <w:tab/>
      </w:r>
      <w:r w:rsidRPr="001507DF">
        <w:rPr>
          <w:color w:val="auto"/>
        </w:rPr>
        <w:tab/>
      </w:r>
      <w:r w:rsidRPr="001507DF">
        <w:rPr>
          <w:color w:val="auto"/>
        </w:rPr>
        <w:tab/>
        <w:t xml:space="preserve">     </w:t>
      </w:r>
      <w:proofErr w:type="spellStart"/>
      <w:r w:rsidRPr="001507DF">
        <w:rPr>
          <w:color w:val="auto"/>
        </w:rPr>
        <w:t>Gqeberha</w:t>
      </w:r>
      <w:proofErr w:type="spellEnd"/>
    </w:p>
    <w:p w14:paraId="368CD08A" w14:textId="77777777" w:rsidR="001507DF" w:rsidRPr="001507DF" w:rsidRDefault="001507DF" w:rsidP="001507DF">
      <w:pPr>
        <w:tabs>
          <w:tab w:val="left" w:pos="3119"/>
          <w:tab w:val="center" w:pos="3989"/>
        </w:tabs>
        <w:rPr>
          <w:color w:val="auto"/>
        </w:rPr>
      </w:pPr>
      <w:r w:rsidRPr="001507DF">
        <w:rPr>
          <w:color w:val="auto"/>
        </w:rPr>
        <w:tab/>
        <w:t xml:space="preserve">  </w:t>
      </w:r>
    </w:p>
    <w:p w14:paraId="53290610" w14:textId="503F3F26" w:rsidR="001507DF" w:rsidRPr="001507DF" w:rsidRDefault="001507DF" w:rsidP="001507DF">
      <w:pPr>
        <w:tabs>
          <w:tab w:val="left" w:pos="3119"/>
          <w:tab w:val="center" w:pos="3989"/>
        </w:tabs>
        <w:rPr>
          <w:color w:val="auto"/>
        </w:rPr>
      </w:pPr>
      <w:r w:rsidRPr="001507DF">
        <w:rPr>
          <w:color w:val="auto"/>
        </w:rPr>
        <w:t>Instructed by              :</w:t>
      </w:r>
      <w:r w:rsidRPr="001507DF">
        <w:rPr>
          <w:color w:val="auto"/>
        </w:rPr>
        <w:tab/>
        <w:t xml:space="preserve">  </w:t>
      </w:r>
      <w:r w:rsidR="003356B3">
        <w:rPr>
          <w:color w:val="auto"/>
        </w:rPr>
        <w:t xml:space="preserve">Smith </w:t>
      </w:r>
      <w:proofErr w:type="spellStart"/>
      <w:r w:rsidR="003356B3">
        <w:rPr>
          <w:color w:val="auto"/>
        </w:rPr>
        <w:t>Tabata</w:t>
      </w:r>
      <w:proofErr w:type="spellEnd"/>
      <w:r w:rsidR="003356B3">
        <w:rPr>
          <w:color w:val="auto"/>
        </w:rPr>
        <w:t xml:space="preserve"> Incorporated</w:t>
      </w:r>
    </w:p>
    <w:p w14:paraId="67DA7C09" w14:textId="1CB514F5" w:rsidR="001507DF" w:rsidRDefault="001507DF" w:rsidP="001507DF">
      <w:pPr>
        <w:tabs>
          <w:tab w:val="left" w:pos="3261"/>
          <w:tab w:val="center" w:pos="3989"/>
        </w:tabs>
        <w:rPr>
          <w:color w:val="auto"/>
        </w:rPr>
      </w:pPr>
      <w:r w:rsidRPr="001507DF">
        <w:rPr>
          <w:color w:val="auto"/>
        </w:rPr>
        <w:tab/>
      </w:r>
      <w:r w:rsidR="003356B3">
        <w:rPr>
          <w:color w:val="auto"/>
        </w:rPr>
        <w:t>189 Cape Road</w:t>
      </w:r>
    </w:p>
    <w:p w14:paraId="69F1B6B8" w14:textId="5EB64A29" w:rsidR="003356B3" w:rsidRPr="001507DF" w:rsidRDefault="003356B3" w:rsidP="001507DF">
      <w:pPr>
        <w:tabs>
          <w:tab w:val="left" w:pos="3261"/>
          <w:tab w:val="center" w:pos="3989"/>
        </w:tabs>
        <w:rPr>
          <w:color w:val="auto"/>
        </w:rPr>
      </w:pPr>
      <w:r>
        <w:rPr>
          <w:color w:val="auto"/>
        </w:rPr>
        <w:tab/>
      </w:r>
      <w:proofErr w:type="spellStart"/>
      <w:r>
        <w:rPr>
          <w:color w:val="auto"/>
        </w:rPr>
        <w:t>Gqeberha</w:t>
      </w:r>
      <w:proofErr w:type="spellEnd"/>
    </w:p>
    <w:p w14:paraId="264E4AA6" w14:textId="00CA479F" w:rsidR="001507DF" w:rsidRPr="001507DF" w:rsidRDefault="001507DF" w:rsidP="001507DF">
      <w:pPr>
        <w:tabs>
          <w:tab w:val="left" w:pos="3261"/>
          <w:tab w:val="center" w:pos="3989"/>
        </w:tabs>
        <w:rPr>
          <w:color w:val="auto"/>
        </w:rPr>
      </w:pPr>
      <w:r w:rsidRPr="001507DF">
        <w:rPr>
          <w:color w:val="auto"/>
        </w:rPr>
        <w:tab/>
      </w:r>
      <w:r w:rsidRPr="001507DF">
        <w:rPr>
          <w:color w:val="auto"/>
        </w:rPr>
        <w:tab/>
        <w:t xml:space="preserve">Tel: </w:t>
      </w:r>
      <w:r w:rsidR="003356B3">
        <w:rPr>
          <w:color w:val="auto"/>
        </w:rPr>
        <w:t>043 703 1876</w:t>
      </w:r>
    </w:p>
    <w:p w14:paraId="24928B5D" w14:textId="119170F0" w:rsidR="001507DF" w:rsidRPr="001507DF" w:rsidRDefault="001507DF" w:rsidP="001507DF">
      <w:pPr>
        <w:tabs>
          <w:tab w:val="left" w:pos="3261"/>
          <w:tab w:val="center" w:pos="3989"/>
        </w:tabs>
        <w:rPr>
          <w:color w:val="auto"/>
        </w:rPr>
      </w:pPr>
      <w:r w:rsidRPr="001507DF">
        <w:rPr>
          <w:color w:val="auto"/>
        </w:rPr>
        <w:tab/>
        <w:t>Email:</w:t>
      </w:r>
      <w:r w:rsidR="003356B3">
        <w:rPr>
          <w:color w:val="auto"/>
        </w:rPr>
        <w:t>ginaf@smithtabatha.co.za</w:t>
      </w:r>
    </w:p>
    <w:p w14:paraId="631AD31F" w14:textId="52D16D0F" w:rsidR="008677E3" w:rsidRPr="00044B50" w:rsidRDefault="00AA32DA" w:rsidP="003356B3">
      <w:pPr>
        <w:tabs>
          <w:tab w:val="left" w:pos="3261"/>
          <w:tab w:val="center" w:pos="3989"/>
        </w:tabs>
        <w:rPr>
          <w:lang w:val="en-GB"/>
        </w:rPr>
      </w:pPr>
      <w:r w:rsidRPr="00044B50">
        <w:rPr>
          <w:lang w:val="en-GB"/>
        </w:rPr>
        <w:t xml:space="preserve"> </w:t>
      </w: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305C" w14:textId="77777777" w:rsidR="00DA37A3" w:rsidRDefault="00DA37A3" w:rsidP="00005691">
      <w:r>
        <w:separator/>
      </w:r>
    </w:p>
  </w:endnote>
  <w:endnote w:type="continuationSeparator" w:id="0">
    <w:p w14:paraId="4B780E98" w14:textId="77777777" w:rsidR="00DA37A3" w:rsidRDefault="00DA37A3"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AE3F" w14:textId="77777777" w:rsidR="00DA37A3" w:rsidRDefault="00DA37A3" w:rsidP="00005691">
      <w:r>
        <w:separator/>
      </w:r>
    </w:p>
  </w:footnote>
  <w:footnote w:type="continuationSeparator" w:id="0">
    <w:p w14:paraId="3BCD038D" w14:textId="77777777" w:rsidR="00DA37A3" w:rsidRDefault="00DA37A3" w:rsidP="00005691">
      <w:r>
        <w:continuationSeparator/>
      </w:r>
    </w:p>
  </w:footnote>
  <w:footnote w:id="1">
    <w:p w14:paraId="528CB0CE" w14:textId="5384585C" w:rsidR="002D51B6" w:rsidRPr="002D51B6" w:rsidRDefault="002D51B6" w:rsidP="00B24580">
      <w:pPr>
        <w:pStyle w:val="FootnoteText"/>
        <w:spacing w:line="240" w:lineRule="auto"/>
        <w:jc w:val="both"/>
        <w:rPr>
          <w:lang w:val="en-US"/>
        </w:rPr>
      </w:pPr>
      <w:r>
        <w:rPr>
          <w:rStyle w:val="FootnoteReference"/>
        </w:rPr>
        <w:footnoteRef/>
      </w:r>
      <w:r>
        <w:t xml:space="preserve"> </w:t>
      </w:r>
      <w:r>
        <w:rPr>
          <w:lang w:val="en-US"/>
        </w:rPr>
        <w:t>In terms of clause 40.7 of the JBCC, recording of a dispute does not relieve the parties from liability for the due and timeous performance of their obligations.</w:t>
      </w:r>
    </w:p>
  </w:footnote>
  <w:footnote w:id="2">
    <w:p w14:paraId="25E5CE08" w14:textId="7516D859" w:rsidR="008C61F3" w:rsidRPr="008C61F3" w:rsidRDefault="008C61F3" w:rsidP="00B24580">
      <w:pPr>
        <w:pStyle w:val="FootnoteText"/>
        <w:spacing w:line="240" w:lineRule="auto"/>
        <w:jc w:val="both"/>
        <w:rPr>
          <w:lang w:val="en-US"/>
        </w:rPr>
      </w:pPr>
      <w:r>
        <w:rPr>
          <w:rStyle w:val="FootnoteReference"/>
        </w:rPr>
        <w:footnoteRef/>
      </w:r>
      <w:r>
        <w:t xml:space="preserve"> </w:t>
      </w:r>
      <w:r>
        <w:rPr>
          <w:lang w:val="en-US"/>
        </w:rPr>
        <w:t>Clause 40.9 of the JBCC.</w:t>
      </w:r>
    </w:p>
  </w:footnote>
  <w:footnote w:id="3">
    <w:p w14:paraId="241A2B8D" w14:textId="36D897E7" w:rsidR="002E6FD0" w:rsidRPr="002E6FD0" w:rsidRDefault="002E6FD0" w:rsidP="00B24580">
      <w:pPr>
        <w:pStyle w:val="FootnoteText"/>
        <w:spacing w:line="240" w:lineRule="auto"/>
        <w:jc w:val="both"/>
        <w:rPr>
          <w:lang w:val="en-US"/>
        </w:rPr>
      </w:pPr>
      <w:r>
        <w:rPr>
          <w:rStyle w:val="FootnoteReference"/>
        </w:rPr>
        <w:footnoteRef/>
      </w:r>
      <w:r>
        <w:t xml:space="preserve"> </w:t>
      </w:r>
      <w:r>
        <w:rPr>
          <w:i/>
          <w:iCs/>
          <w:lang w:val="en-US"/>
        </w:rPr>
        <w:t>Radon Projects (Pty) Ltd v NV Properties (Pty) Ltd &amp; Another</w:t>
      </w:r>
      <w:r>
        <w:rPr>
          <w:lang w:val="en-US"/>
        </w:rPr>
        <w:t xml:space="preserve"> [2013] ZASCA 83</w:t>
      </w:r>
      <w:r w:rsidR="00B16C3A">
        <w:rPr>
          <w:lang w:val="en-US"/>
        </w:rPr>
        <w:t xml:space="preserve"> </w:t>
      </w:r>
      <w:r w:rsidR="005001D8">
        <w:rPr>
          <w:lang w:val="en-US"/>
        </w:rPr>
        <w:t>(‘</w:t>
      </w:r>
      <w:r w:rsidR="005001D8">
        <w:rPr>
          <w:i/>
          <w:iCs/>
          <w:lang w:val="en-US"/>
        </w:rPr>
        <w:t>Radon Projects</w:t>
      </w:r>
      <w:r w:rsidR="005001D8">
        <w:rPr>
          <w:lang w:val="en-US"/>
        </w:rPr>
        <w:t xml:space="preserve">’) </w:t>
      </w:r>
      <w:r w:rsidR="00B16C3A">
        <w:rPr>
          <w:lang w:val="en-US"/>
        </w:rPr>
        <w:t>para 3.</w:t>
      </w:r>
    </w:p>
  </w:footnote>
  <w:footnote w:id="4">
    <w:p w14:paraId="0C5AFC08" w14:textId="40F9E169" w:rsidR="004F19BB" w:rsidRPr="004F19BB" w:rsidRDefault="004F19BB" w:rsidP="00B24580">
      <w:pPr>
        <w:pStyle w:val="FootnoteText"/>
        <w:spacing w:line="240" w:lineRule="auto"/>
        <w:jc w:val="both"/>
        <w:rPr>
          <w:lang w:val="en-US"/>
        </w:rPr>
      </w:pPr>
      <w:r>
        <w:rPr>
          <w:rStyle w:val="FootnoteReference"/>
        </w:rPr>
        <w:footnoteRef/>
      </w:r>
      <w:r>
        <w:t xml:space="preserve"> </w:t>
      </w:r>
      <w:r w:rsidR="005001D8">
        <w:rPr>
          <w:i/>
          <w:iCs/>
        </w:rPr>
        <w:t xml:space="preserve">Radon Projects </w:t>
      </w:r>
      <w:r w:rsidR="005001D8">
        <w:rPr>
          <w:lang w:val="en-US"/>
        </w:rPr>
        <w:t>i</w:t>
      </w:r>
      <w:r>
        <w:rPr>
          <w:lang w:val="en-US"/>
        </w:rPr>
        <w:t>bid</w:t>
      </w:r>
      <w:r w:rsidR="00E8317B">
        <w:rPr>
          <w:lang w:val="en-US"/>
        </w:rPr>
        <w:t xml:space="preserve"> para 4.</w:t>
      </w:r>
    </w:p>
  </w:footnote>
  <w:footnote w:id="5">
    <w:p w14:paraId="3409D9F1" w14:textId="7E1A5F47" w:rsidR="00BE6F6F" w:rsidRPr="00BE6F6F" w:rsidRDefault="00BE6F6F" w:rsidP="00B24580">
      <w:pPr>
        <w:pStyle w:val="FootnoteText"/>
        <w:spacing w:line="240" w:lineRule="auto"/>
        <w:jc w:val="both"/>
        <w:rPr>
          <w:lang w:val="en-US"/>
        </w:rPr>
      </w:pPr>
      <w:r>
        <w:rPr>
          <w:rStyle w:val="FootnoteReference"/>
        </w:rPr>
        <w:footnoteRef/>
      </w:r>
      <w:r>
        <w:t xml:space="preserve"> </w:t>
      </w:r>
      <w:r>
        <w:rPr>
          <w:i/>
          <w:iCs/>
        </w:rPr>
        <w:t>Ekurhuleni West College v Segal and Another</w:t>
      </w:r>
      <w:r>
        <w:t xml:space="preserve"> [2020] ZASCA 32 (</w:t>
      </w:r>
      <w:r>
        <w:rPr>
          <w:i/>
          <w:iCs/>
        </w:rPr>
        <w:t>‘Segal</w:t>
      </w:r>
      <w:r>
        <w:t>’).</w:t>
      </w:r>
    </w:p>
  </w:footnote>
  <w:footnote w:id="6">
    <w:p w14:paraId="252ECF10" w14:textId="25E5EAE5" w:rsidR="00404CD3" w:rsidRPr="00404CD3" w:rsidRDefault="00404CD3" w:rsidP="00B24580">
      <w:pPr>
        <w:pStyle w:val="FootnoteText"/>
        <w:spacing w:line="240" w:lineRule="auto"/>
        <w:jc w:val="both"/>
        <w:rPr>
          <w:lang w:val="en-US"/>
        </w:rPr>
      </w:pPr>
      <w:r>
        <w:rPr>
          <w:rStyle w:val="FootnoteReference"/>
        </w:rPr>
        <w:footnoteRef/>
      </w:r>
      <w:r>
        <w:t xml:space="preserve"> </w:t>
      </w:r>
      <w:r>
        <w:rPr>
          <w:i/>
          <w:iCs/>
          <w:lang w:val="en-US"/>
        </w:rPr>
        <w:t>Segal</w:t>
      </w:r>
      <w:r>
        <w:rPr>
          <w:lang w:val="en-US"/>
        </w:rPr>
        <w:t xml:space="preserve"> ibid para 8.</w:t>
      </w:r>
    </w:p>
  </w:footnote>
  <w:footnote w:id="7">
    <w:p w14:paraId="39DA7DF6" w14:textId="78DBC395" w:rsidR="00185534" w:rsidRPr="00DA7BC0" w:rsidRDefault="00185534" w:rsidP="00B24580">
      <w:pPr>
        <w:pStyle w:val="FootnoteText"/>
        <w:spacing w:line="240" w:lineRule="auto"/>
        <w:jc w:val="both"/>
        <w:rPr>
          <w:lang w:val="en-US"/>
        </w:rPr>
      </w:pPr>
      <w:r>
        <w:rPr>
          <w:rStyle w:val="FootnoteReference"/>
        </w:rPr>
        <w:footnoteRef/>
      </w:r>
      <w:r>
        <w:t xml:space="preserve"> </w:t>
      </w:r>
      <w:r>
        <w:rPr>
          <w:i/>
          <w:iCs/>
          <w:lang w:val="en-US"/>
        </w:rPr>
        <w:t>Segal</w:t>
      </w:r>
      <w:r>
        <w:rPr>
          <w:lang w:val="en-US"/>
        </w:rPr>
        <w:t xml:space="preserve"> ibid paras </w:t>
      </w:r>
      <w:r w:rsidR="00DB4DAE">
        <w:rPr>
          <w:lang w:val="en-US"/>
        </w:rPr>
        <w:t>9</w:t>
      </w:r>
      <w:r>
        <w:rPr>
          <w:lang w:val="en-US"/>
        </w:rPr>
        <w:t>, 15</w:t>
      </w:r>
      <w:r w:rsidR="00CB1233">
        <w:rPr>
          <w:lang w:val="en-US"/>
        </w:rPr>
        <w:t>, 21</w:t>
      </w:r>
      <w:r w:rsidR="007814AA">
        <w:rPr>
          <w:lang w:val="en-US"/>
        </w:rPr>
        <w:t>, 22.</w:t>
      </w:r>
      <w:r w:rsidR="009852CA">
        <w:rPr>
          <w:lang w:val="en-US"/>
        </w:rPr>
        <w:t xml:space="preserve"> The reference to ‘grave injustice’ and ‘irreparable harm’ was made in the context of the referral to arbitration and the power of the arbitrator to revise the adjudicator’s determination as if it had not been issued. The College was effectively requiring the court a quo to review unterminated proceedings, which would only be permissible if ‘grave injustice’ or ‘</w:t>
      </w:r>
      <w:proofErr w:type="spellStart"/>
      <w:r w:rsidR="009852CA">
        <w:rPr>
          <w:lang w:val="en-US"/>
        </w:rPr>
        <w:t>irreperable</w:t>
      </w:r>
      <w:proofErr w:type="spellEnd"/>
      <w:r w:rsidR="009852CA">
        <w:rPr>
          <w:lang w:val="en-US"/>
        </w:rPr>
        <w:t xml:space="preserve"> harm’ could be demonstrated</w:t>
      </w:r>
      <w:r w:rsidR="00DA7BC0">
        <w:rPr>
          <w:lang w:val="en-US"/>
        </w:rPr>
        <w:t xml:space="preserve">: see </w:t>
      </w:r>
      <w:r w:rsidR="00DA7BC0">
        <w:rPr>
          <w:i/>
          <w:iCs/>
          <w:lang w:val="en-US"/>
        </w:rPr>
        <w:t>Segal</w:t>
      </w:r>
      <w:r w:rsidR="00DA7BC0">
        <w:rPr>
          <w:lang w:val="en-US"/>
        </w:rPr>
        <w:t xml:space="preserve"> para 18.</w:t>
      </w:r>
    </w:p>
  </w:footnote>
  <w:footnote w:id="8">
    <w:p w14:paraId="7B0C7CF4" w14:textId="63FC5F2F" w:rsidR="00E56509" w:rsidRPr="00E56509" w:rsidRDefault="00E56509" w:rsidP="00B24580">
      <w:pPr>
        <w:pStyle w:val="FootnoteText"/>
        <w:spacing w:line="240" w:lineRule="auto"/>
        <w:jc w:val="both"/>
        <w:rPr>
          <w:lang w:val="en-US"/>
        </w:rPr>
      </w:pPr>
      <w:r>
        <w:rPr>
          <w:rStyle w:val="FootnoteReference"/>
        </w:rPr>
        <w:footnoteRef/>
      </w:r>
      <w:r>
        <w:t xml:space="preserve"> </w:t>
      </w:r>
      <w:proofErr w:type="spellStart"/>
      <w:r>
        <w:rPr>
          <w:i/>
          <w:iCs/>
          <w:lang w:val="en-US"/>
        </w:rPr>
        <w:t>Framatome</w:t>
      </w:r>
      <w:proofErr w:type="spellEnd"/>
      <w:r>
        <w:rPr>
          <w:i/>
          <w:iCs/>
          <w:lang w:val="en-US"/>
        </w:rPr>
        <w:t xml:space="preserve"> v Eskom Holdings SOC Ltd </w:t>
      </w:r>
      <w:r>
        <w:rPr>
          <w:lang w:val="en-US"/>
        </w:rPr>
        <w:t>[2021] ZASCA 132 (‘</w:t>
      </w:r>
      <w:proofErr w:type="spellStart"/>
      <w:r>
        <w:rPr>
          <w:i/>
          <w:iCs/>
          <w:lang w:val="en-US"/>
        </w:rPr>
        <w:t>Framatome</w:t>
      </w:r>
      <w:proofErr w:type="spellEnd"/>
      <w:r>
        <w:rPr>
          <w:lang w:val="en-US"/>
        </w:rPr>
        <w:t>’).</w:t>
      </w:r>
    </w:p>
  </w:footnote>
  <w:footnote w:id="9">
    <w:p w14:paraId="29BEF63B" w14:textId="0AACE6A5" w:rsidR="00C93EF0" w:rsidRPr="00C93EF0" w:rsidRDefault="00C93EF0" w:rsidP="00B24580">
      <w:pPr>
        <w:pStyle w:val="FootnoteText"/>
        <w:spacing w:line="240" w:lineRule="auto"/>
        <w:jc w:val="both"/>
        <w:rPr>
          <w:lang w:val="en-US"/>
        </w:rPr>
      </w:pPr>
      <w:r>
        <w:rPr>
          <w:rStyle w:val="FootnoteReference"/>
        </w:rPr>
        <w:footnoteRef/>
      </w:r>
      <w:r>
        <w:t xml:space="preserve"> </w:t>
      </w:r>
      <w:r>
        <w:rPr>
          <w:lang w:val="en-US"/>
        </w:rPr>
        <w:t xml:space="preserve">For further details of ‘compensation events’ and their assessment, see </w:t>
      </w:r>
      <w:proofErr w:type="spellStart"/>
      <w:r>
        <w:rPr>
          <w:i/>
          <w:iCs/>
          <w:lang w:val="en-US"/>
        </w:rPr>
        <w:t>Framatome</w:t>
      </w:r>
      <w:proofErr w:type="spellEnd"/>
      <w:r>
        <w:rPr>
          <w:lang w:val="en-US"/>
        </w:rPr>
        <w:t xml:space="preserve"> ibid para 6.</w:t>
      </w:r>
    </w:p>
  </w:footnote>
  <w:footnote w:id="10">
    <w:p w14:paraId="6407EE1A" w14:textId="06BAB1BD" w:rsidR="00A132AD" w:rsidRPr="00A132AD" w:rsidRDefault="00A132AD" w:rsidP="00B24580">
      <w:pPr>
        <w:pStyle w:val="FootnoteText"/>
        <w:spacing w:line="240" w:lineRule="auto"/>
        <w:jc w:val="both"/>
        <w:rPr>
          <w:lang w:val="en-US"/>
        </w:rPr>
      </w:pPr>
      <w:r>
        <w:rPr>
          <w:rStyle w:val="FootnoteReference"/>
        </w:rPr>
        <w:footnoteRef/>
      </w:r>
      <w:r>
        <w:t xml:space="preserve"> </w:t>
      </w:r>
      <w:proofErr w:type="spellStart"/>
      <w:r>
        <w:rPr>
          <w:i/>
          <w:iCs/>
          <w:lang w:val="en-US"/>
        </w:rPr>
        <w:t>Framatome</w:t>
      </w:r>
      <w:proofErr w:type="spellEnd"/>
      <w:r>
        <w:rPr>
          <w:i/>
          <w:iCs/>
          <w:lang w:val="en-US"/>
        </w:rPr>
        <w:t xml:space="preserve"> </w:t>
      </w:r>
      <w:r>
        <w:rPr>
          <w:lang w:val="en-US"/>
        </w:rPr>
        <w:t xml:space="preserve">ibid para 21. </w:t>
      </w:r>
    </w:p>
  </w:footnote>
  <w:footnote w:id="11">
    <w:p w14:paraId="7AA46C99" w14:textId="47F55274" w:rsidR="007C218E" w:rsidRPr="007C218E" w:rsidRDefault="007C218E" w:rsidP="00B24580">
      <w:pPr>
        <w:pStyle w:val="FootnoteText"/>
        <w:spacing w:line="240" w:lineRule="auto"/>
        <w:jc w:val="both"/>
        <w:rPr>
          <w:lang w:val="en-US"/>
        </w:rPr>
      </w:pPr>
      <w:r>
        <w:rPr>
          <w:rStyle w:val="FootnoteReference"/>
        </w:rPr>
        <w:footnoteRef/>
      </w:r>
      <w:r>
        <w:t xml:space="preserve"> </w:t>
      </w:r>
      <w:proofErr w:type="spellStart"/>
      <w:r>
        <w:rPr>
          <w:i/>
          <w:iCs/>
          <w:lang w:val="en-US"/>
        </w:rPr>
        <w:t>Framatome</w:t>
      </w:r>
      <w:proofErr w:type="spellEnd"/>
      <w:r>
        <w:rPr>
          <w:lang w:val="en-US"/>
        </w:rPr>
        <w:t xml:space="preserve"> ibid para 22.</w:t>
      </w:r>
    </w:p>
  </w:footnote>
  <w:footnote w:id="12">
    <w:p w14:paraId="443A4A9C" w14:textId="49A7D46F" w:rsidR="00D03B41" w:rsidRPr="00D03B41" w:rsidRDefault="00D03B41" w:rsidP="00B24580">
      <w:pPr>
        <w:pStyle w:val="FootnoteText"/>
        <w:spacing w:line="240" w:lineRule="auto"/>
        <w:jc w:val="both"/>
        <w:rPr>
          <w:lang w:val="en-US"/>
        </w:rPr>
      </w:pPr>
      <w:r>
        <w:rPr>
          <w:rStyle w:val="FootnoteReference"/>
        </w:rPr>
        <w:footnoteRef/>
      </w:r>
      <w:r>
        <w:t xml:space="preserve"> </w:t>
      </w:r>
      <w:proofErr w:type="spellStart"/>
      <w:r>
        <w:rPr>
          <w:i/>
          <w:iCs/>
          <w:lang w:val="en-US"/>
        </w:rPr>
        <w:t>Framatome</w:t>
      </w:r>
      <w:proofErr w:type="spellEnd"/>
      <w:r>
        <w:rPr>
          <w:i/>
          <w:iCs/>
          <w:lang w:val="en-US"/>
        </w:rPr>
        <w:t xml:space="preserve"> </w:t>
      </w:r>
      <w:r>
        <w:rPr>
          <w:lang w:val="en-US"/>
        </w:rPr>
        <w:t>ibid para 23.</w:t>
      </w:r>
    </w:p>
  </w:footnote>
  <w:footnote w:id="13">
    <w:p w14:paraId="2104073D" w14:textId="4AC2A372" w:rsidR="00793A30" w:rsidRPr="00595D16" w:rsidRDefault="00793A30" w:rsidP="00B24580">
      <w:pPr>
        <w:pStyle w:val="FootnoteText"/>
        <w:spacing w:line="240" w:lineRule="auto"/>
        <w:jc w:val="both"/>
        <w:rPr>
          <w:lang w:val="en-US"/>
        </w:rPr>
      </w:pPr>
      <w:r>
        <w:rPr>
          <w:rStyle w:val="FootnoteReference"/>
        </w:rPr>
        <w:footnoteRef/>
      </w:r>
      <w:r>
        <w:t xml:space="preserve"> </w:t>
      </w:r>
      <w:proofErr w:type="spellStart"/>
      <w:r w:rsidR="006025B4">
        <w:rPr>
          <w:i/>
          <w:iCs/>
          <w:lang w:val="en-US"/>
        </w:rPr>
        <w:t>Framatome</w:t>
      </w:r>
      <w:proofErr w:type="spellEnd"/>
      <w:r w:rsidR="006025B4">
        <w:rPr>
          <w:lang w:val="en-US"/>
        </w:rPr>
        <w:t xml:space="preserve"> ibid para 24.</w:t>
      </w:r>
      <w:r w:rsidR="00275F00">
        <w:rPr>
          <w:lang w:val="en-US"/>
        </w:rPr>
        <w:t xml:space="preserve"> In </w:t>
      </w:r>
      <w:proofErr w:type="spellStart"/>
      <w:r w:rsidR="00275F00">
        <w:rPr>
          <w:i/>
          <w:iCs/>
          <w:lang w:val="en-US"/>
        </w:rPr>
        <w:t>Framatome</w:t>
      </w:r>
      <w:proofErr w:type="spellEnd"/>
      <w:r w:rsidR="00275F00">
        <w:rPr>
          <w:lang w:val="en-US"/>
        </w:rPr>
        <w:t>, the SCA held that the parties would be bound by an ad</w:t>
      </w:r>
      <w:r w:rsidR="00A76F8D">
        <w:rPr>
          <w:lang w:val="en-US"/>
        </w:rPr>
        <w:t>j</w:t>
      </w:r>
      <w:r w:rsidR="00275F00">
        <w:rPr>
          <w:lang w:val="en-US"/>
        </w:rPr>
        <w:t>udicator’s decision if the adjudicator had confined himself to a determination of the issues put before him, even if he had erred in determining those issues</w:t>
      </w:r>
      <w:r w:rsidR="00595D16">
        <w:rPr>
          <w:lang w:val="en-US"/>
        </w:rPr>
        <w:t xml:space="preserve">: </w:t>
      </w:r>
      <w:proofErr w:type="spellStart"/>
      <w:r w:rsidR="00595D16">
        <w:rPr>
          <w:i/>
          <w:iCs/>
          <w:lang w:val="en-US"/>
        </w:rPr>
        <w:t>Framatome</w:t>
      </w:r>
      <w:proofErr w:type="spellEnd"/>
      <w:r w:rsidR="00595D16">
        <w:rPr>
          <w:lang w:val="en-US"/>
        </w:rPr>
        <w:t xml:space="preserve"> </w:t>
      </w:r>
      <w:r w:rsidR="006602A5">
        <w:rPr>
          <w:lang w:val="en-US"/>
        </w:rPr>
        <w:t xml:space="preserve">ibid </w:t>
      </w:r>
      <w:r w:rsidR="00595D16">
        <w:rPr>
          <w:lang w:val="en-US"/>
        </w:rPr>
        <w:t>para 29.</w:t>
      </w:r>
    </w:p>
  </w:footnote>
  <w:footnote w:id="14">
    <w:p w14:paraId="0BD3EDC9" w14:textId="260E49EC" w:rsidR="00984A3E" w:rsidRPr="001858D7" w:rsidRDefault="00984A3E" w:rsidP="00B2458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Tubular Holdings (Pty) Ltd v DBT Technologies</w:t>
      </w:r>
      <w:r>
        <w:rPr>
          <w:lang w:val="en-US"/>
        </w:rPr>
        <w:t xml:space="preserve"> </w:t>
      </w:r>
      <w:r>
        <w:rPr>
          <w:i/>
          <w:iCs/>
          <w:lang w:val="en-US"/>
        </w:rPr>
        <w:t xml:space="preserve">(Pty) Ltd </w:t>
      </w:r>
      <w:r>
        <w:rPr>
          <w:lang w:val="en-US"/>
        </w:rPr>
        <w:t xml:space="preserve">2014 (1) SA 244 (GSJ) para 8. Also see </w:t>
      </w:r>
      <w:proofErr w:type="spellStart"/>
      <w:r>
        <w:rPr>
          <w:i/>
          <w:iCs/>
          <w:lang w:val="en-US"/>
        </w:rPr>
        <w:t>Esor</w:t>
      </w:r>
      <w:proofErr w:type="spellEnd"/>
      <w:r>
        <w:rPr>
          <w:i/>
          <w:iCs/>
          <w:lang w:val="en-US"/>
        </w:rPr>
        <w:t xml:space="preserve"> Africa (Pty) Ltd / </w:t>
      </w:r>
      <w:proofErr w:type="spellStart"/>
      <w:r>
        <w:rPr>
          <w:i/>
          <w:iCs/>
          <w:lang w:val="en-US"/>
        </w:rPr>
        <w:t>Franki</w:t>
      </w:r>
      <w:proofErr w:type="spellEnd"/>
      <w:r>
        <w:rPr>
          <w:i/>
          <w:iCs/>
          <w:lang w:val="en-US"/>
        </w:rPr>
        <w:t xml:space="preserve"> Africa (Pty) Ltd Joint Venture v </w:t>
      </w:r>
      <w:proofErr w:type="spellStart"/>
      <w:r>
        <w:rPr>
          <w:i/>
          <w:iCs/>
          <w:lang w:val="en-US"/>
        </w:rPr>
        <w:t>Bombela</w:t>
      </w:r>
      <w:proofErr w:type="spellEnd"/>
      <w:r>
        <w:rPr>
          <w:i/>
          <w:iCs/>
          <w:lang w:val="en-US"/>
        </w:rPr>
        <w:t xml:space="preserve"> Civils Joint Venture (Pty) Ltd </w:t>
      </w:r>
      <w:r>
        <w:rPr>
          <w:lang w:val="en-US"/>
        </w:rPr>
        <w:t xml:space="preserve">(Unreported South Gauteng High Court, Johannesburg decision) (case no. 12/7442) </w:t>
      </w:r>
      <w:r w:rsidR="00EA2E0F">
        <w:rPr>
          <w:lang w:val="en-US"/>
        </w:rPr>
        <w:t>(‘</w:t>
      </w:r>
      <w:proofErr w:type="spellStart"/>
      <w:r w:rsidR="00EA2E0F">
        <w:rPr>
          <w:i/>
          <w:iCs/>
          <w:lang w:val="en-US"/>
        </w:rPr>
        <w:t>Esor</w:t>
      </w:r>
      <w:proofErr w:type="spellEnd"/>
      <w:r w:rsidR="00EA2E0F">
        <w:rPr>
          <w:i/>
          <w:iCs/>
          <w:lang w:val="en-US"/>
        </w:rPr>
        <w:t xml:space="preserve"> Africa</w:t>
      </w:r>
      <w:r w:rsidR="00EA2E0F">
        <w:rPr>
          <w:lang w:val="en-US"/>
        </w:rPr>
        <w:t>’)</w:t>
      </w:r>
      <w:r w:rsidR="00EA2E0F">
        <w:rPr>
          <w:i/>
          <w:iCs/>
          <w:lang w:val="en-US"/>
        </w:rPr>
        <w:t xml:space="preserve"> </w:t>
      </w:r>
      <w:r>
        <w:rPr>
          <w:lang w:val="en-US"/>
        </w:rPr>
        <w:t>para 9.</w:t>
      </w:r>
    </w:p>
  </w:footnote>
  <w:footnote w:id="15">
    <w:p w14:paraId="5C55F589" w14:textId="79FD2076" w:rsidR="00984A3E" w:rsidRPr="00CD64B6" w:rsidRDefault="00984A3E" w:rsidP="00B24580">
      <w:pPr>
        <w:pStyle w:val="FootnoteText"/>
        <w:spacing w:line="240" w:lineRule="auto"/>
        <w:jc w:val="both"/>
        <w:rPr>
          <w:lang w:val="en-US"/>
        </w:rPr>
      </w:pPr>
      <w:r>
        <w:rPr>
          <w:rStyle w:val="FootnoteReference"/>
        </w:rPr>
        <w:footnoteRef/>
      </w:r>
      <w:r>
        <w:t xml:space="preserve"> </w:t>
      </w:r>
      <w:proofErr w:type="spellStart"/>
      <w:r w:rsidR="00184759">
        <w:rPr>
          <w:i/>
          <w:iCs/>
          <w:lang w:val="en-US"/>
        </w:rPr>
        <w:t>Esor</w:t>
      </w:r>
      <w:proofErr w:type="spellEnd"/>
      <w:r w:rsidR="00184759">
        <w:rPr>
          <w:i/>
          <w:iCs/>
          <w:lang w:val="en-US"/>
        </w:rPr>
        <w:t xml:space="preserve"> Africa </w:t>
      </w:r>
      <w:r w:rsidR="00184759">
        <w:rPr>
          <w:lang w:val="en-US"/>
        </w:rPr>
        <w:t>i</w:t>
      </w:r>
      <w:r>
        <w:rPr>
          <w:lang w:val="en-US"/>
        </w:rPr>
        <w:t>bid paras 11, 12, 13.</w:t>
      </w:r>
    </w:p>
  </w:footnote>
  <w:footnote w:id="16">
    <w:p w14:paraId="3F4E5199" w14:textId="00EF0AE4" w:rsidR="00937EFB" w:rsidRPr="00937EFB" w:rsidRDefault="00937EFB" w:rsidP="00B24580">
      <w:pPr>
        <w:pStyle w:val="FootnoteText"/>
        <w:spacing w:line="240" w:lineRule="auto"/>
        <w:jc w:val="both"/>
        <w:rPr>
          <w:lang w:val="en-US"/>
        </w:rPr>
      </w:pPr>
      <w:r>
        <w:rPr>
          <w:rStyle w:val="FootnoteReference"/>
        </w:rPr>
        <w:footnoteRef/>
      </w:r>
      <w:r>
        <w:t xml:space="preserve"> </w:t>
      </w:r>
      <w:r>
        <w:rPr>
          <w:lang w:val="en-US"/>
        </w:rPr>
        <w:t xml:space="preserve">See </w:t>
      </w:r>
      <w:proofErr w:type="spellStart"/>
      <w:r>
        <w:rPr>
          <w:i/>
          <w:iCs/>
          <w:lang w:val="en-US"/>
        </w:rPr>
        <w:t>Blakes</w:t>
      </w:r>
      <w:proofErr w:type="spellEnd"/>
      <w:r>
        <w:rPr>
          <w:i/>
          <w:iCs/>
          <w:lang w:val="en-US"/>
        </w:rPr>
        <w:t xml:space="preserve"> </w:t>
      </w:r>
      <w:proofErr w:type="spellStart"/>
      <w:r>
        <w:rPr>
          <w:i/>
          <w:iCs/>
          <w:lang w:val="en-US"/>
        </w:rPr>
        <w:t>Maphanga</w:t>
      </w:r>
      <w:proofErr w:type="spellEnd"/>
      <w:r>
        <w:rPr>
          <w:i/>
          <w:iCs/>
          <w:lang w:val="en-US"/>
        </w:rPr>
        <w:t xml:space="preserve"> v </w:t>
      </w:r>
      <w:proofErr w:type="spellStart"/>
      <w:r>
        <w:rPr>
          <w:i/>
          <w:iCs/>
          <w:lang w:val="en-US"/>
        </w:rPr>
        <w:t>Outsurance</w:t>
      </w:r>
      <w:proofErr w:type="spellEnd"/>
      <w:r>
        <w:rPr>
          <w:i/>
          <w:iCs/>
          <w:lang w:val="en-US"/>
        </w:rPr>
        <w:t xml:space="preserve"> Insurance</w:t>
      </w:r>
      <w:r>
        <w:rPr>
          <w:lang w:val="en-US"/>
        </w:rPr>
        <w:t xml:space="preserve"> 2010 (4) SA 232 (SCA) </w:t>
      </w:r>
      <w:r w:rsidR="00212FB2">
        <w:rPr>
          <w:lang w:val="en-US"/>
        </w:rPr>
        <w:t>(‘</w:t>
      </w:r>
      <w:proofErr w:type="spellStart"/>
      <w:r w:rsidR="00212FB2">
        <w:rPr>
          <w:i/>
          <w:iCs/>
          <w:lang w:val="en-US"/>
        </w:rPr>
        <w:t>Blakes</w:t>
      </w:r>
      <w:proofErr w:type="spellEnd"/>
      <w:r w:rsidR="00212FB2">
        <w:rPr>
          <w:i/>
          <w:iCs/>
          <w:lang w:val="en-US"/>
        </w:rPr>
        <w:t xml:space="preserve"> </w:t>
      </w:r>
      <w:proofErr w:type="spellStart"/>
      <w:r w:rsidR="00212FB2">
        <w:rPr>
          <w:i/>
          <w:iCs/>
          <w:lang w:val="en-US"/>
        </w:rPr>
        <w:t>Maphanga</w:t>
      </w:r>
      <w:proofErr w:type="spellEnd"/>
      <w:r w:rsidR="00212FB2">
        <w:rPr>
          <w:lang w:val="en-US"/>
        </w:rPr>
        <w:t>’)</w:t>
      </w:r>
      <w:r w:rsidR="00212FB2">
        <w:rPr>
          <w:i/>
          <w:iCs/>
          <w:lang w:val="en-US"/>
        </w:rPr>
        <w:t xml:space="preserve"> </w:t>
      </w:r>
      <w:r>
        <w:rPr>
          <w:lang w:val="en-US"/>
        </w:rPr>
        <w:t>para 15.</w:t>
      </w:r>
    </w:p>
  </w:footnote>
  <w:footnote w:id="17">
    <w:p w14:paraId="59EECC1F" w14:textId="64AD2393" w:rsidR="00E4337D" w:rsidRPr="00E4337D" w:rsidRDefault="00E4337D" w:rsidP="00B24580">
      <w:pPr>
        <w:pStyle w:val="FootnoteText"/>
        <w:spacing w:line="240" w:lineRule="auto"/>
        <w:jc w:val="both"/>
        <w:rPr>
          <w:lang w:val="en-US"/>
        </w:rPr>
      </w:pPr>
      <w:r>
        <w:rPr>
          <w:rStyle w:val="FootnoteReference"/>
        </w:rPr>
        <w:footnoteRef/>
      </w:r>
      <w:r>
        <w:t xml:space="preserve"> </w:t>
      </w:r>
      <w:proofErr w:type="spellStart"/>
      <w:r w:rsidR="00212FB2">
        <w:rPr>
          <w:i/>
          <w:iCs/>
        </w:rPr>
        <w:t>Blakes</w:t>
      </w:r>
      <w:proofErr w:type="spellEnd"/>
      <w:r w:rsidR="00212FB2">
        <w:rPr>
          <w:i/>
          <w:iCs/>
        </w:rPr>
        <w:t xml:space="preserve"> </w:t>
      </w:r>
      <w:proofErr w:type="spellStart"/>
      <w:r w:rsidR="00212FB2">
        <w:rPr>
          <w:i/>
          <w:iCs/>
        </w:rPr>
        <w:t>Maphanga</w:t>
      </w:r>
      <w:proofErr w:type="spellEnd"/>
      <w:r w:rsidR="00212FB2">
        <w:rPr>
          <w:i/>
          <w:iCs/>
        </w:rPr>
        <w:t xml:space="preserve"> </w:t>
      </w:r>
      <w:r w:rsidR="00212FB2">
        <w:rPr>
          <w:lang w:val="en-US"/>
        </w:rPr>
        <w:t>i</w:t>
      </w:r>
      <w:r w:rsidRPr="00194EB4">
        <w:rPr>
          <w:lang w:val="en-US"/>
        </w:rPr>
        <w:t>bid</w:t>
      </w:r>
      <w:r>
        <w:rPr>
          <w:lang w:val="en-US"/>
        </w:rPr>
        <w:t xml:space="preserve"> para 18.</w:t>
      </w:r>
    </w:p>
  </w:footnote>
  <w:footnote w:id="18">
    <w:p w14:paraId="4543DDFB" w14:textId="6BA82C65" w:rsidR="00B516BB" w:rsidRPr="00A074FE" w:rsidRDefault="00B516BB" w:rsidP="00B24580">
      <w:pPr>
        <w:pStyle w:val="FootnoteText"/>
        <w:spacing w:line="240" w:lineRule="auto"/>
        <w:jc w:val="both"/>
        <w:rPr>
          <w:lang w:val="en-US"/>
        </w:rPr>
      </w:pPr>
      <w:r>
        <w:rPr>
          <w:rStyle w:val="FootnoteReference"/>
        </w:rPr>
        <w:footnoteRef/>
      </w:r>
      <w:r>
        <w:t xml:space="preserve"> </w:t>
      </w:r>
      <w:r>
        <w:rPr>
          <w:i/>
          <w:iCs/>
          <w:lang w:val="en-US"/>
        </w:rPr>
        <w:t>Murray &amp; Roberts v Alstom</w:t>
      </w:r>
      <w:r>
        <w:rPr>
          <w:lang w:val="en-US"/>
        </w:rPr>
        <w:t xml:space="preserve"> 2020 (1) SA 204 (GJ) (‘</w:t>
      </w:r>
      <w:r>
        <w:rPr>
          <w:i/>
          <w:iCs/>
          <w:lang w:val="en-US"/>
        </w:rPr>
        <w:t>Murray &amp; Roberts</w:t>
      </w:r>
      <w:r>
        <w:rPr>
          <w:lang w:val="en-US"/>
        </w:rPr>
        <w:t>’).</w:t>
      </w:r>
    </w:p>
  </w:footnote>
  <w:footnote w:id="19">
    <w:p w14:paraId="1C5B3024" w14:textId="64D3D858" w:rsidR="000B520D" w:rsidRPr="000B520D" w:rsidRDefault="000B520D"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 </w:t>
      </w:r>
      <w:r w:rsidR="00F42901">
        <w:rPr>
          <w:lang w:val="en-US"/>
        </w:rPr>
        <w:t>21</w:t>
      </w:r>
      <w:r>
        <w:rPr>
          <w:lang w:val="en-US"/>
        </w:rPr>
        <w:t>.</w:t>
      </w:r>
      <w:r w:rsidR="009B6C2F">
        <w:rPr>
          <w:lang w:val="en-US"/>
        </w:rPr>
        <w:t xml:space="preserve"> Alstom argued that the enforcement of the adjudicator’s decision was no different from any other claim of specific performance and that if the decision was impossible of performance, no order should issue to compel what could not be done. Murray &amp; Roberts </w:t>
      </w:r>
      <w:r w:rsidR="0075350B">
        <w:rPr>
          <w:lang w:val="en-US"/>
        </w:rPr>
        <w:t>contended that the adjudicator’s decision was the outcome of an agreed, binding mechanism of dispute adjudication and that the decision was enforceable</w:t>
      </w:r>
      <w:r w:rsidR="00931994">
        <w:rPr>
          <w:lang w:val="en-US"/>
        </w:rPr>
        <w:t>: para</w:t>
      </w:r>
      <w:r w:rsidR="00861B40">
        <w:rPr>
          <w:lang w:val="en-US"/>
        </w:rPr>
        <w:t>s 10,</w:t>
      </w:r>
      <w:r w:rsidR="00931994">
        <w:rPr>
          <w:lang w:val="en-US"/>
        </w:rPr>
        <w:t xml:space="preserve"> 13.</w:t>
      </w:r>
      <w:r w:rsidR="00A40056">
        <w:rPr>
          <w:lang w:val="en-US"/>
        </w:rPr>
        <w:t xml:space="preserve"> </w:t>
      </w:r>
    </w:p>
  </w:footnote>
  <w:footnote w:id="20">
    <w:p w14:paraId="6C8D2B8F" w14:textId="2DE90E07" w:rsidR="006759B3" w:rsidRPr="006759B3" w:rsidRDefault="006759B3"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 22 et seq.</w:t>
      </w:r>
    </w:p>
  </w:footnote>
  <w:footnote w:id="21">
    <w:p w14:paraId="13F93FBC" w14:textId="7B524848" w:rsidR="002C701E" w:rsidRPr="002C701E" w:rsidRDefault="002C701E"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 24.</w:t>
      </w:r>
    </w:p>
  </w:footnote>
  <w:footnote w:id="22">
    <w:p w14:paraId="566AAED2" w14:textId="4F37340E" w:rsidR="00E93B93" w:rsidRPr="00E93B93" w:rsidRDefault="00E93B93"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w:t>
      </w:r>
      <w:r w:rsidR="00DC619E">
        <w:rPr>
          <w:lang w:val="en-US"/>
        </w:rPr>
        <w:t>s 30-35.</w:t>
      </w:r>
    </w:p>
  </w:footnote>
  <w:footnote w:id="23">
    <w:p w14:paraId="7659D8DF" w14:textId="7C499E5B" w:rsidR="00D60557" w:rsidRPr="00D60557" w:rsidRDefault="00D60557" w:rsidP="00B24580">
      <w:pPr>
        <w:pStyle w:val="FootnoteText"/>
        <w:spacing w:line="240" w:lineRule="auto"/>
        <w:jc w:val="both"/>
        <w:rPr>
          <w:lang w:val="en-US"/>
        </w:rPr>
      </w:pPr>
      <w:r>
        <w:rPr>
          <w:rStyle w:val="FootnoteReference"/>
        </w:rPr>
        <w:footnoteRef/>
      </w:r>
      <w:r>
        <w:t xml:space="preserve"> </w:t>
      </w:r>
      <w:r>
        <w:rPr>
          <w:i/>
          <w:iCs/>
          <w:lang w:val="en-US"/>
        </w:rPr>
        <w:t xml:space="preserve">Murray &amp; Roberts </w:t>
      </w:r>
      <w:r>
        <w:rPr>
          <w:lang w:val="en-US"/>
        </w:rPr>
        <w:t>ibid para</w:t>
      </w:r>
      <w:r w:rsidR="00437039">
        <w:rPr>
          <w:lang w:val="en-US"/>
        </w:rPr>
        <w:t>s</w:t>
      </w:r>
      <w:r>
        <w:rPr>
          <w:lang w:val="en-US"/>
        </w:rPr>
        <w:t xml:space="preserve"> 36</w:t>
      </w:r>
      <w:r w:rsidR="0049182B">
        <w:rPr>
          <w:lang w:val="en-US"/>
        </w:rPr>
        <w:t>, 38.</w:t>
      </w:r>
    </w:p>
  </w:footnote>
  <w:footnote w:id="24">
    <w:p w14:paraId="4442DCFA" w14:textId="5C00B7B6" w:rsidR="0010763C" w:rsidRPr="0010763C" w:rsidRDefault="0010763C"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 39.</w:t>
      </w:r>
    </w:p>
  </w:footnote>
  <w:footnote w:id="25">
    <w:p w14:paraId="0B575E74" w14:textId="2CF8BA73" w:rsidR="001F1822" w:rsidRPr="001F1822" w:rsidRDefault="001F1822" w:rsidP="00B24580">
      <w:pPr>
        <w:pStyle w:val="FootnoteText"/>
        <w:spacing w:line="240" w:lineRule="auto"/>
        <w:jc w:val="both"/>
        <w:rPr>
          <w:lang w:val="en-US"/>
        </w:rPr>
      </w:pPr>
      <w:r>
        <w:rPr>
          <w:rStyle w:val="FootnoteReference"/>
        </w:rPr>
        <w:footnoteRef/>
      </w:r>
      <w:r>
        <w:t xml:space="preserve"> </w:t>
      </w:r>
      <w:r>
        <w:rPr>
          <w:i/>
          <w:iCs/>
          <w:lang w:val="en-US"/>
        </w:rPr>
        <w:t xml:space="preserve">Murray &amp; Roberts </w:t>
      </w:r>
      <w:r>
        <w:rPr>
          <w:lang w:val="en-US"/>
        </w:rPr>
        <w:t>ibid para 41.</w:t>
      </w:r>
    </w:p>
  </w:footnote>
  <w:footnote w:id="26">
    <w:p w14:paraId="0CB686EF" w14:textId="05C1BB1B" w:rsidR="00A31B07" w:rsidRPr="00A31B07" w:rsidRDefault="00A31B07" w:rsidP="00B24580">
      <w:pPr>
        <w:pStyle w:val="FootnoteText"/>
        <w:spacing w:line="240" w:lineRule="auto"/>
        <w:jc w:val="both"/>
        <w:rPr>
          <w:lang w:val="en-US"/>
        </w:rPr>
      </w:pPr>
      <w:r>
        <w:rPr>
          <w:rStyle w:val="FootnoteReference"/>
        </w:rPr>
        <w:footnoteRef/>
      </w:r>
      <w:r>
        <w:t xml:space="preserve"> </w:t>
      </w:r>
      <w:r>
        <w:rPr>
          <w:lang w:val="en-US"/>
        </w:rPr>
        <w:t xml:space="preserve">See the SCA decision in </w:t>
      </w:r>
      <w:proofErr w:type="spellStart"/>
      <w:r>
        <w:rPr>
          <w:i/>
          <w:iCs/>
          <w:lang w:val="en-US"/>
        </w:rPr>
        <w:t>Framatome</w:t>
      </w:r>
      <w:proofErr w:type="spellEnd"/>
      <w:r>
        <w:rPr>
          <w:lang w:val="en-US"/>
        </w:rPr>
        <w:t xml:space="preserve"> supra </w:t>
      </w:r>
      <w:proofErr w:type="spellStart"/>
      <w:proofErr w:type="gramStart"/>
      <w:r w:rsidR="00B11E65">
        <w:rPr>
          <w:lang w:val="en-US"/>
        </w:rPr>
        <w:t>fn</w:t>
      </w:r>
      <w:proofErr w:type="spellEnd"/>
      <w:proofErr w:type="gramEnd"/>
      <w:r w:rsidR="00B11E65">
        <w:rPr>
          <w:lang w:val="en-US"/>
        </w:rPr>
        <w:t xml:space="preserve"> 8 </w:t>
      </w:r>
      <w:r w:rsidR="00B541B4">
        <w:rPr>
          <w:lang w:val="en-US"/>
        </w:rPr>
        <w:t xml:space="preserve">para 31 </w:t>
      </w:r>
      <w:r>
        <w:rPr>
          <w:lang w:val="en-US"/>
        </w:rPr>
        <w:t>for an illustration of an order to comply with an adjudicator’s determinations that involve price adjustment and interest calculations.</w:t>
      </w:r>
    </w:p>
  </w:footnote>
  <w:footnote w:id="27">
    <w:p w14:paraId="33DAA610" w14:textId="476D526F" w:rsidR="00556207" w:rsidRPr="00556207" w:rsidRDefault="00556207" w:rsidP="00B2458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Murray &amp; Roberts</w:t>
      </w:r>
      <w:r>
        <w:rPr>
          <w:lang w:val="en-US"/>
        </w:rPr>
        <w:t xml:space="preserve"> </w:t>
      </w:r>
      <w:r w:rsidR="00DF6BFD">
        <w:rPr>
          <w:lang w:val="en-US"/>
        </w:rPr>
        <w:t xml:space="preserve">supra </w:t>
      </w:r>
      <w:proofErr w:type="spellStart"/>
      <w:proofErr w:type="gramStart"/>
      <w:r w:rsidR="00DF6BFD">
        <w:rPr>
          <w:lang w:val="en-US"/>
        </w:rPr>
        <w:t>fn</w:t>
      </w:r>
      <w:proofErr w:type="spellEnd"/>
      <w:proofErr w:type="gramEnd"/>
      <w:r w:rsidR="00DF6BFD">
        <w:rPr>
          <w:lang w:val="en-US"/>
        </w:rPr>
        <w:t xml:space="preserve"> 18</w:t>
      </w:r>
      <w:r>
        <w:rPr>
          <w:lang w:val="en-US"/>
        </w:rPr>
        <w:t xml:space="preserve"> para 69.</w:t>
      </w:r>
    </w:p>
  </w:footnote>
  <w:footnote w:id="28">
    <w:p w14:paraId="3B306D84" w14:textId="29721A70" w:rsidR="00FE44D6" w:rsidRPr="000E3D63" w:rsidRDefault="00FE44D6" w:rsidP="00B2458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Murray &amp; Roberts </w:t>
      </w:r>
      <w:r>
        <w:rPr>
          <w:lang w:val="en-US"/>
        </w:rPr>
        <w:t>ibid para 73. In that matter, the respondent attempted to provide a basis for its averment in a rejoining affidavit</w:t>
      </w:r>
      <w:r w:rsidR="000E3D63">
        <w:rPr>
          <w:lang w:val="en-US"/>
        </w:rPr>
        <w:t xml:space="preserve">. Also see </w:t>
      </w:r>
      <w:r w:rsidR="000E3D63">
        <w:rPr>
          <w:i/>
          <w:iCs/>
          <w:lang w:val="en-US"/>
        </w:rPr>
        <w:t>Haynes v King Williams Town Municipality</w:t>
      </w:r>
      <w:r w:rsidR="000E3D63">
        <w:rPr>
          <w:lang w:val="en-US"/>
        </w:rPr>
        <w:t xml:space="preserve"> 1951 (2) SA 371 (A) 380B-C.</w:t>
      </w:r>
    </w:p>
  </w:footnote>
  <w:footnote w:id="29">
    <w:p w14:paraId="70B8C915" w14:textId="401AB72B" w:rsidR="00234A63" w:rsidRPr="00234A63" w:rsidRDefault="00234A63" w:rsidP="00B24580">
      <w:pPr>
        <w:pStyle w:val="FootnoteText"/>
        <w:spacing w:line="240" w:lineRule="auto"/>
        <w:jc w:val="both"/>
        <w:rPr>
          <w:lang w:val="en-US"/>
        </w:rPr>
      </w:pPr>
      <w:r>
        <w:rPr>
          <w:rStyle w:val="FootnoteReference"/>
        </w:rPr>
        <w:footnoteRef/>
      </w:r>
      <w:r>
        <w:t xml:space="preserve"> </w:t>
      </w:r>
      <w:r>
        <w:rPr>
          <w:i/>
          <w:iCs/>
          <w:lang w:val="en-US"/>
        </w:rPr>
        <w:t>Murray &amp; Roberts</w:t>
      </w:r>
      <w:r>
        <w:rPr>
          <w:lang w:val="en-US"/>
        </w:rPr>
        <w:t xml:space="preserve"> ibid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4B8E1AF3"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811">
          <w:rPr>
            <w:rStyle w:val="PageNumber"/>
            <w:noProof/>
          </w:rPr>
          <w:t>15</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722CB"/>
    <w:multiLevelType w:val="hybridMultilevel"/>
    <w:tmpl w:val="502CFB60"/>
    <w:lvl w:ilvl="0" w:tplc="66FAECC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56B7A"/>
    <w:multiLevelType w:val="hybridMultilevel"/>
    <w:tmpl w:val="DFB0E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D69C9"/>
    <w:multiLevelType w:val="hybridMultilevel"/>
    <w:tmpl w:val="964A4296"/>
    <w:lvl w:ilvl="0" w:tplc="E3B427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1"/>
  </w:num>
  <w:num w:numId="6">
    <w:abstractNumId w:val="7"/>
  </w:num>
  <w:num w:numId="7">
    <w:abstractNumId w:val="12"/>
  </w:num>
  <w:num w:numId="8">
    <w:abstractNumId w:val="1"/>
  </w:num>
  <w:num w:numId="9">
    <w:abstractNumId w:val="6"/>
  </w:num>
  <w:num w:numId="10">
    <w:abstractNumId w:val="9"/>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25E5"/>
    <w:rsid w:val="00004E1E"/>
    <w:rsid w:val="00005691"/>
    <w:rsid w:val="00005ABB"/>
    <w:rsid w:val="00005BC2"/>
    <w:rsid w:val="0000642E"/>
    <w:rsid w:val="00006EF3"/>
    <w:rsid w:val="00007087"/>
    <w:rsid w:val="00007904"/>
    <w:rsid w:val="00007D44"/>
    <w:rsid w:val="000109B4"/>
    <w:rsid w:val="00012A2F"/>
    <w:rsid w:val="00014437"/>
    <w:rsid w:val="00014770"/>
    <w:rsid w:val="00016FDA"/>
    <w:rsid w:val="00020609"/>
    <w:rsid w:val="000220C3"/>
    <w:rsid w:val="00022804"/>
    <w:rsid w:val="00027DA3"/>
    <w:rsid w:val="00030A25"/>
    <w:rsid w:val="000323B0"/>
    <w:rsid w:val="000341AF"/>
    <w:rsid w:val="00034B32"/>
    <w:rsid w:val="00034C24"/>
    <w:rsid w:val="0003553E"/>
    <w:rsid w:val="0004040E"/>
    <w:rsid w:val="00040F79"/>
    <w:rsid w:val="000422CD"/>
    <w:rsid w:val="0004347D"/>
    <w:rsid w:val="0004373B"/>
    <w:rsid w:val="00044B50"/>
    <w:rsid w:val="00044D96"/>
    <w:rsid w:val="000451D0"/>
    <w:rsid w:val="00047035"/>
    <w:rsid w:val="000478E8"/>
    <w:rsid w:val="0005061D"/>
    <w:rsid w:val="000508A5"/>
    <w:rsid w:val="00051F6C"/>
    <w:rsid w:val="0005204F"/>
    <w:rsid w:val="000536DD"/>
    <w:rsid w:val="00053D81"/>
    <w:rsid w:val="00054DEC"/>
    <w:rsid w:val="00056042"/>
    <w:rsid w:val="00056FBA"/>
    <w:rsid w:val="000574BF"/>
    <w:rsid w:val="00063188"/>
    <w:rsid w:val="00063C6E"/>
    <w:rsid w:val="00063D5A"/>
    <w:rsid w:val="0006620D"/>
    <w:rsid w:val="0007050F"/>
    <w:rsid w:val="0007234C"/>
    <w:rsid w:val="00073EFC"/>
    <w:rsid w:val="00075A23"/>
    <w:rsid w:val="000778A4"/>
    <w:rsid w:val="00080D4E"/>
    <w:rsid w:val="000815F5"/>
    <w:rsid w:val="00083322"/>
    <w:rsid w:val="00083386"/>
    <w:rsid w:val="000833DB"/>
    <w:rsid w:val="00084C6F"/>
    <w:rsid w:val="00086278"/>
    <w:rsid w:val="000863C5"/>
    <w:rsid w:val="00086A06"/>
    <w:rsid w:val="0009015D"/>
    <w:rsid w:val="000910CD"/>
    <w:rsid w:val="00091F8C"/>
    <w:rsid w:val="0009497C"/>
    <w:rsid w:val="00096BC1"/>
    <w:rsid w:val="000976CA"/>
    <w:rsid w:val="000A1B03"/>
    <w:rsid w:val="000A43B6"/>
    <w:rsid w:val="000A59DC"/>
    <w:rsid w:val="000B0761"/>
    <w:rsid w:val="000B0946"/>
    <w:rsid w:val="000B0DC8"/>
    <w:rsid w:val="000B26AE"/>
    <w:rsid w:val="000B26CF"/>
    <w:rsid w:val="000B520D"/>
    <w:rsid w:val="000B5790"/>
    <w:rsid w:val="000B5950"/>
    <w:rsid w:val="000B5FBC"/>
    <w:rsid w:val="000B60CF"/>
    <w:rsid w:val="000B6309"/>
    <w:rsid w:val="000B643B"/>
    <w:rsid w:val="000B78EC"/>
    <w:rsid w:val="000C23B1"/>
    <w:rsid w:val="000C2D21"/>
    <w:rsid w:val="000C3531"/>
    <w:rsid w:val="000C3620"/>
    <w:rsid w:val="000C39A5"/>
    <w:rsid w:val="000C450C"/>
    <w:rsid w:val="000C7746"/>
    <w:rsid w:val="000C7A27"/>
    <w:rsid w:val="000D085B"/>
    <w:rsid w:val="000D0D78"/>
    <w:rsid w:val="000D22FB"/>
    <w:rsid w:val="000D47C5"/>
    <w:rsid w:val="000D487F"/>
    <w:rsid w:val="000D4BFA"/>
    <w:rsid w:val="000D667A"/>
    <w:rsid w:val="000E1C45"/>
    <w:rsid w:val="000E2444"/>
    <w:rsid w:val="000E3D63"/>
    <w:rsid w:val="000E3E15"/>
    <w:rsid w:val="000E4F0D"/>
    <w:rsid w:val="000E5100"/>
    <w:rsid w:val="000E5DDC"/>
    <w:rsid w:val="000E7ECD"/>
    <w:rsid w:val="000F05E0"/>
    <w:rsid w:val="000F1A95"/>
    <w:rsid w:val="000F6BFE"/>
    <w:rsid w:val="000F7DF4"/>
    <w:rsid w:val="0010068E"/>
    <w:rsid w:val="0010218C"/>
    <w:rsid w:val="00102D5B"/>
    <w:rsid w:val="00103C94"/>
    <w:rsid w:val="001044DB"/>
    <w:rsid w:val="00105EB6"/>
    <w:rsid w:val="0010622C"/>
    <w:rsid w:val="0010763C"/>
    <w:rsid w:val="001078B5"/>
    <w:rsid w:val="00107A5F"/>
    <w:rsid w:val="0011026A"/>
    <w:rsid w:val="00110EF0"/>
    <w:rsid w:val="001124A5"/>
    <w:rsid w:val="00114E4D"/>
    <w:rsid w:val="0011673F"/>
    <w:rsid w:val="00116EB9"/>
    <w:rsid w:val="00120E93"/>
    <w:rsid w:val="001226DE"/>
    <w:rsid w:val="00123296"/>
    <w:rsid w:val="0012621C"/>
    <w:rsid w:val="00130228"/>
    <w:rsid w:val="0013149F"/>
    <w:rsid w:val="00131984"/>
    <w:rsid w:val="00131A28"/>
    <w:rsid w:val="001327AA"/>
    <w:rsid w:val="001337CC"/>
    <w:rsid w:val="001339BB"/>
    <w:rsid w:val="00133C2B"/>
    <w:rsid w:val="00134C11"/>
    <w:rsid w:val="00135C81"/>
    <w:rsid w:val="00137E08"/>
    <w:rsid w:val="00141FA5"/>
    <w:rsid w:val="00142F79"/>
    <w:rsid w:val="001435EB"/>
    <w:rsid w:val="00144974"/>
    <w:rsid w:val="00146BA3"/>
    <w:rsid w:val="001507DF"/>
    <w:rsid w:val="001517E0"/>
    <w:rsid w:val="00157785"/>
    <w:rsid w:val="00157898"/>
    <w:rsid w:val="00157C19"/>
    <w:rsid w:val="00160E3D"/>
    <w:rsid w:val="00160EBC"/>
    <w:rsid w:val="00160F58"/>
    <w:rsid w:val="00163A58"/>
    <w:rsid w:val="00165C46"/>
    <w:rsid w:val="00172B5C"/>
    <w:rsid w:val="00173547"/>
    <w:rsid w:val="00174B6D"/>
    <w:rsid w:val="0017614D"/>
    <w:rsid w:val="0018006A"/>
    <w:rsid w:val="00180F4E"/>
    <w:rsid w:val="00181923"/>
    <w:rsid w:val="00181E7E"/>
    <w:rsid w:val="00182175"/>
    <w:rsid w:val="00182DFC"/>
    <w:rsid w:val="00184625"/>
    <w:rsid w:val="00184759"/>
    <w:rsid w:val="00185534"/>
    <w:rsid w:val="001858D7"/>
    <w:rsid w:val="00186352"/>
    <w:rsid w:val="00186769"/>
    <w:rsid w:val="001870AF"/>
    <w:rsid w:val="0019005D"/>
    <w:rsid w:val="00191768"/>
    <w:rsid w:val="00192869"/>
    <w:rsid w:val="001943D2"/>
    <w:rsid w:val="00194EB4"/>
    <w:rsid w:val="001954F0"/>
    <w:rsid w:val="00195571"/>
    <w:rsid w:val="001955AB"/>
    <w:rsid w:val="001955F5"/>
    <w:rsid w:val="00195900"/>
    <w:rsid w:val="00196742"/>
    <w:rsid w:val="001A4F33"/>
    <w:rsid w:val="001B0D01"/>
    <w:rsid w:val="001B2578"/>
    <w:rsid w:val="001B2FE4"/>
    <w:rsid w:val="001B505F"/>
    <w:rsid w:val="001B69E3"/>
    <w:rsid w:val="001C04BC"/>
    <w:rsid w:val="001C2DD7"/>
    <w:rsid w:val="001C48A5"/>
    <w:rsid w:val="001C7061"/>
    <w:rsid w:val="001D0962"/>
    <w:rsid w:val="001D214B"/>
    <w:rsid w:val="001D3BEE"/>
    <w:rsid w:val="001D5A9D"/>
    <w:rsid w:val="001D5F83"/>
    <w:rsid w:val="001D61C8"/>
    <w:rsid w:val="001E0CEE"/>
    <w:rsid w:val="001E0F36"/>
    <w:rsid w:val="001E1834"/>
    <w:rsid w:val="001E1B07"/>
    <w:rsid w:val="001E24E0"/>
    <w:rsid w:val="001E4824"/>
    <w:rsid w:val="001E640A"/>
    <w:rsid w:val="001E6A6E"/>
    <w:rsid w:val="001E701F"/>
    <w:rsid w:val="001E7844"/>
    <w:rsid w:val="001E78D5"/>
    <w:rsid w:val="001E7C8F"/>
    <w:rsid w:val="001F1822"/>
    <w:rsid w:val="001F2276"/>
    <w:rsid w:val="001F335C"/>
    <w:rsid w:val="001F3A41"/>
    <w:rsid w:val="001F59AB"/>
    <w:rsid w:val="00201DC6"/>
    <w:rsid w:val="00201F12"/>
    <w:rsid w:val="00202755"/>
    <w:rsid w:val="00202E31"/>
    <w:rsid w:val="00206D6C"/>
    <w:rsid w:val="00207573"/>
    <w:rsid w:val="002115FE"/>
    <w:rsid w:val="00212FB2"/>
    <w:rsid w:val="0021430F"/>
    <w:rsid w:val="00215EBC"/>
    <w:rsid w:val="00216C5F"/>
    <w:rsid w:val="0021730A"/>
    <w:rsid w:val="00217399"/>
    <w:rsid w:val="002203EC"/>
    <w:rsid w:val="00222854"/>
    <w:rsid w:val="00224363"/>
    <w:rsid w:val="0022594E"/>
    <w:rsid w:val="00226444"/>
    <w:rsid w:val="00226ADA"/>
    <w:rsid w:val="00227379"/>
    <w:rsid w:val="00231325"/>
    <w:rsid w:val="0023410F"/>
    <w:rsid w:val="00234A63"/>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673B4"/>
    <w:rsid w:val="00267C0C"/>
    <w:rsid w:val="002705E9"/>
    <w:rsid w:val="00272551"/>
    <w:rsid w:val="00273484"/>
    <w:rsid w:val="00273903"/>
    <w:rsid w:val="00274C64"/>
    <w:rsid w:val="00275410"/>
    <w:rsid w:val="00275F00"/>
    <w:rsid w:val="00276100"/>
    <w:rsid w:val="00277EB6"/>
    <w:rsid w:val="002843CE"/>
    <w:rsid w:val="002852C4"/>
    <w:rsid w:val="00285664"/>
    <w:rsid w:val="00287A18"/>
    <w:rsid w:val="00287A26"/>
    <w:rsid w:val="00290DC6"/>
    <w:rsid w:val="00290E92"/>
    <w:rsid w:val="00291659"/>
    <w:rsid w:val="00291B2F"/>
    <w:rsid w:val="0029395B"/>
    <w:rsid w:val="00294129"/>
    <w:rsid w:val="00294313"/>
    <w:rsid w:val="00294436"/>
    <w:rsid w:val="0029541A"/>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732"/>
    <w:rsid w:val="002A6B82"/>
    <w:rsid w:val="002A73A7"/>
    <w:rsid w:val="002B31B7"/>
    <w:rsid w:val="002B3FE3"/>
    <w:rsid w:val="002B54B7"/>
    <w:rsid w:val="002B6730"/>
    <w:rsid w:val="002B7874"/>
    <w:rsid w:val="002C0E9C"/>
    <w:rsid w:val="002C1ECF"/>
    <w:rsid w:val="002C2C26"/>
    <w:rsid w:val="002C3A0D"/>
    <w:rsid w:val="002C45D8"/>
    <w:rsid w:val="002C701E"/>
    <w:rsid w:val="002C7128"/>
    <w:rsid w:val="002D20DF"/>
    <w:rsid w:val="002D4CBC"/>
    <w:rsid w:val="002D51B6"/>
    <w:rsid w:val="002D6D70"/>
    <w:rsid w:val="002E0CCA"/>
    <w:rsid w:val="002E141A"/>
    <w:rsid w:val="002E1B95"/>
    <w:rsid w:val="002E3EC7"/>
    <w:rsid w:val="002E4808"/>
    <w:rsid w:val="002E483E"/>
    <w:rsid w:val="002E613A"/>
    <w:rsid w:val="002E6FD0"/>
    <w:rsid w:val="002E7045"/>
    <w:rsid w:val="002E7199"/>
    <w:rsid w:val="002F012F"/>
    <w:rsid w:val="002F0513"/>
    <w:rsid w:val="002F0990"/>
    <w:rsid w:val="002F0C58"/>
    <w:rsid w:val="002F13D1"/>
    <w:rsid w:val="002F37F8"/>
    <w:rsid w:val="002F4EDB"/>
    <w:rsid w:val="002F5638"/>
    <w:rsid w:val="002F60D3"/>
    <w:rsid w:val="002F6F1A"/>
    <w:rsid w:val="002F7574"/>
    <w:rsid w:val="00300A59"/>
    <w:rsid w:val="003011F9"/>
    <w:rsid w:val="0030214A"/>
    <w:rsid w:val="00302E78"/>
    <w:rsid w:val="00303F83"/>
    <w:rsid w:val="00306288"/>
    <w:rsid w:val="003140F9"/>
    <w:rsid w:val="003148EA"/>
    <w:rsid w:val="003150CA"/>
    <w:rsid w:val="00315CB8"/>
    <w:rsid w:val="00315D8D"/>
    <w:rsid w:val="003168ED"/>
    <w:rsid w:val="003172EB"/>
    <w:rsid w:val="00317AB4"/>
    <w:rsid w:val="003200BD"/>
    <w:rsid w:val="00321E11"/>
    <w:rsid w:val="003228A7"/>
    <w:rsid w:val="00324CE8"/>
    <w:rsid w:val="00325BD4"/>
    <w:rsid w:val="00326A33"/>
    <w:rsid w:val="0032785C"/>
    <w:rsid w:val="00327E36"/>
    <w:rsid w:val="00330711"/>
    <w:rsid w:val="00330795"/>
    <w:rsid w:val="00330E85"/>
    <w:rsid w:val="0033219D"/>
    <w:rsid w:val="00334624"/>
    <w:rsid w:val="003346B3"/>
    <w:rsid w:val="00335693"/>
    <w:rsid w:val="003356B3"/>
    <w:rsid w:val="00335897"/>
    <w:rsid w:val="0033634C"/>
    <w:rsid w:val="0033669D"/>
    <w:rsid w:val="003367DD"/>
    <w:rsid w:val="00336D8A"/>
    <w:rsid w:val="00341954"/>
    <w:rsid w:val="00343E5D"/>
    <w:rsid w:val="0034439B"/>
    <w:rsid w:val="003455A7"/>
    <w:rsid w:val="003469BB"/>
    <w:rsid w:val="00350743"/>
    <w:rsid w:val="00350A47"/>
    <w:rsid w:val="003513CA"/>
    <w:rsid w:val="00351FAC"/>
    <w:rsid w:val="003529AF"/>
    <w:rsid w:val="00353652"/>
    <w:rsid w:val="003564CA"/>
    <w:rsid w:val="00356D2D"/>
    <w:rsid w:val="0035756C"/>
    <w:rsid w:val="00357751"/>
    <w:rsid w:val="003601F1"/>
    <w:rsid w:val="00360BFC"/>
    <w:rsid w:val="00362A40"/>
    <w:rsid w:val="00363BF3"/>
    <w:rsid w:val="00364515"/>
    <w:rsid w:val="003649E8"/>
    <w:rsid w:val="00366631"/>
    <w:rsid w:val="003679D5"/>
    <w:rsid w:val="00367B79"/>
    <w:rsid w:val="003700BB"/>
    <w:rsid w:val="0037015D"/>
    <w:rsid w:val="0037217E"/>
    <w:rsid w:val="00373BB6"/>
    <w:rsid w:val="00374F02"/>
    <w:rsid w:val="00375614"/>
    <w:rsid w:val="00376E96"/>
    <w:rsid w:val="00380E60"/>
    <w:rsid w:val="00381483"/>
    <w:rsid w:val="00381C36"/>
    <w:rsid w:val="00381D62"/>
    <w:rsid w:val="003869D5"/>
    <w:rsid w:val="003905B9"/>
    <w:rsid w:val="0039206E"/>
    <w:rsid w:val="00392A4B"/>
    <w:rsid w:val="00392AA2"/>
    <w:rsid w:val="00393BA3"/>
    <w:rsid w:val="0039527F"/>
    <w:rsid w:val="00395A71"/>
    <w:rsid w:val="0039682A"/>
    <w:rsid w:val="003A37F4"/>
    <w:rsid w:val="003A4099"/>
    <w:rsid w:val="003A4F1D"/>
    <w:rsid w:val="003A4F95"/>
    <w:rsid w:val="003A6F71"/>
    <w:rsid w:val="003A745C"/>
    <w:rsid w:val="003A7AA6"/>
    <w:rsid w:val="003B01D4"/>
    <w:rsid w:val="003B10EC"/>
    <w:rsid w:val="003B1570"/>
    <w:rsid w:val="003B3C31"/>
    <w:rsid w:val="003B43B8"/>
    <w:rsid w:val="003B5FC9"/>
    <w:rsid w:val="003B5FEE"/>
    <w:rsid w:val="003B6952"/>
    <w:rsid w:val="003B76D9"/>
    <w:rsid w:val="003C0671"/>
    <w:rsid w:val="003C0CEB"/>
    <w:rsid w:val="003C2DBF"/>
    <w:rsid w:val="003C351A"/>
    <w:rsid w:val="003C3BC6"/>
    <w:rsid w:val="003C44EB"/>
    <w:rsid w:val="003C5934"/>
    <w:rsid w:val="003C7080"/>
    <w:rsid w:val="003D11D0"/>
    <w:rsid w:val="003D239A"/>
    <w:rsid w:val="003D2C74"/>
    <w:rsid w:val="003D5245"/>
    <w:rsid w:val="003D5507"/>
    <w:rsid w:val="003D5A10"/>
    <w:rsid w:val="003D5E6D"/>
    <w:rsid w:val="003D7CB9"/>
    <w:rsid w:val="003D7F87"/>
    <w:rsid w:val="003E0F7C"/>
    <w:rsid w:val="003E2B73"/>
    <w:rsid w:val="003E2F03"/>
    <w:rsid w:val="003E3BBF"/>
    <w:rsid w:val="003E424A"/>
    <w:rsid w:val="003E75F3"/>
    <w:rsid w:val="003F0C2D"/>
    <w:rsid w:val="003F0D9E"/>
    <w:rsid w:val="003F1974"/>
    <w:rsid w:val="003F2109"/>
    <w:rsid w:val="003F239E"/>
    <w:rsid w:val="003F50FF"/>
    <w:rsid w:val="003F5900"/>
    <w:rsid w:val="003F5F05"/>
    <w:rsid w:val="003F6355"/>
    <w:rsid w:val="00400266"/>
    <w:rsid w:val="00401A9A"/>
    <w:rsid w:val="004024FA"/>
    <w:rsid w:val="00402EEA"/>
    <w:rsid w:val="00404CD3"/>
    <w:rsid w:val="00405CEF"/>
    <w:rsid w:val="00406093"/>
    <w:rsid w:val="00406337"/>
    <w:rsid w:val="00406A00"/>
    <w:rsid w:val="004074B3"/>
    <w:rsid w:val="004075EA"/>
    <w:rsid w:val="00410C82"/>
    <w:rsid w:val="0041108E"/>
    <w:rsid w:val="00412DF2"/>
    <w:rsid w:val="004138F5"/>
    <w:rsid w:val="00413D22"/>
    <w:rsid w:val="00414C90"/>
    <w:rsid w:val="004165B0"/>
    <w:rsid w:val="004165D6"/>
    <w:rsid w:val="0042163E"/>
    <w:rsid w:val="00422421"/>
    <w:rsid w:val="00423163"/>
    <w:rsid w:val="004244A5"/>
    <w:rsid w:val="00427318"/>
    <w:rsid w:val="004276CD"/>
    <w:rsid w:val="0042778E"/>
    <w:rsid w:val="00427843"/>
    <w:rsid w:val="004302B6"/>
    <w:rsid w:val="00430AF9"/>
    <w:rsid w:val="0043230A"/>
    <w:rsid w:val="0043511C"/>
    <w:rsid w:val="00435538"/>
    <w:rsid w:val="00437039"/>
    <w:rsid w:val="00437E88"/>
    <w:rsid w:val="00440672"/>
    <w:rsid w:val="00441E70"/>
    <w:rsid w:val="004420AD"/>
    <w:rsid w:val="00443779"/>
    <w:rsid w:val="00443CCC"/>
    <w:rsid w:val="004441E4"/>
    <w:rsid w:val="004448E8"/>
    <w:rsid w:val="004474FB"/>
    <w:rsid w:val="004528CC"/>
    <w:rsid w:val="004529C3"/>
    <w:rsid w:val="0045608B"/>
    <w:rsid w:val="00460956"/>
    <w:rsid w:val="00464C70"/>
    <w:rsid w:val="004652FD"/>
    <w:rsid w:val="004657F4"/>
    <w:rsid w:val="0046612B"/>
    <w:rsid w:val="00466979"/>
    <w:rsid w:val="00466D17"/>
    <w:rsid w:val="00467E20"/>
    <w:rsid w:val="00472A4C"/>
    <w:rsid w:val="00472B05"/>
    <w:rsid w:val="00472E85"/>
    <w:rsid w:val="00473068"/>
    <w:rsid w:val="004735D5"/>
    <w:rsid w:val="0047556B"/>
    <w:rsid w:val="00475C2D"/>
    <w:rsid w:val="00477226"/>
    <w:rsid w:val="004813E8"/>
    <w:rsid w:val="004827F3"/>
    <w:rsid w:val="00486114"/>
    <w:rsid w:val="004863E4"/>
    <w:rsid w:val="00487264"/>
    <w:rsid w:val="00490D2A"/>
    <w:rsid w:val="0049105D"/>
    <w:rsid w:val="0049182B"/>
    <w:rsid w:val="004918C4"/>
    <w:rsid w:val="00491A43"/>
    <w:rsid w:val="004932A2"/>
    <w:rsid w:val="00496E8C"/>
    <w:rsid w:val="00496EAA"/>
    <w:rsid w:val="004A00B9"/>
    <w:rsid w:val="004A08D7"/>
    <w:rsid w:val="004A49C9"/>
    <w:rsid w:val="004A5151"/>
    <w:rsid w:val="004A5DB1"/>
    <w:rsid w:val="004A687F"/>
    <w:rsid w:val="004A7359"/>
    <w:rsid w:val="004B3161"/>
    <w:rsid w:val="004B38C5"/>
    <w:rsid w:val="004B5BAF"/>
    <w:rsid w:val="004B5CB4"/>
    <w:rsid w:val="004B632A"/>
    <w:rsid w:val="004B7E82"/>
    <w:rsid w:val="004C06AD"/>
    <w:rsid w:val="004C0946"/>
    <w:rsid w:val="004C0C08"/>
    <w:rsid w:val="004C13CF"/>
    <w:rsid w:val="004C7EB2"/>
    <w:rsid w:val="004D0163"/>
    <w:rsid w:val="004D0AC5"/>
    <w:rsid w:val="004D19EB"/>
    <w:rsid w:val="004D35C6"/>
    <w:rsid w:val="004D7D82"/>
    <w:rsid w:val="004E06B4"/>
    <w:rsid w:val="004E189A"/>
    <w:rsid w:val="004E1A28"/>
    <w:rsid w:val="004E2076"/>
    <w:rsid w:val="004E24A5"/>
    <w:rsid w:val="004E318F"/>
    <w:rsid w:val="004E5114"/>
    <w:rsid w:val="004E5A0A"/>
    <w:rsid w:val="004E660E"/>
    <w:rsid w:val="004E6694"/>
    <w:rsid w:val="004E6764"/>
    <w:rsid w:val="004F021C"/>
    <w:rsid w:val="004F1757"/>
    <w:rsid w:val="004F19BB"/>
    <w:rsid w:val="004F1D20"/>
    <w:rsid w:val="004F326C"/>
    <w:rsid w:val="004F38A6"/>
    <w:rsid w:val="004F444A"/>
    <w:rsid w:val="004F5575"/>
    <w:rsid w:val="004F67EE"/>
    <w:rsid w:val="004F79D9"/>
    <w:rsid w:val="005001D8"/>
    <w:rsid w:val="005014BC"/>
    <w:rsid w:val="00501617"/>
    <w:rsid w:val="00502229"/>
    <w:rsid w:val="00502D84"/>
    <w:rsid w:val="005030DE"/>
    <w:rsid w:val="00506088"/>
    <w:rsid w:val="0050634D"/>
    <w:rsid w:val="005078B2"/>
    <w:rsid w:val="005079C1"/>
    <w:rsid w:val="00507BBF"/>
    <w:rsid w:val="00511260"/>
    <w:rsid w:val="00511565"/>
    <w:rsid w:val="0051172C"/>
    <w:rsid w:val="0051380C"/>
    <w:rsid w:val="00514878"/>
    <w:rsid w:val="0051706E"/>
    <w:rsid w:val="005209A1"/>
    <w:rsid w:val="00520E7F"/>
    <w:rsid w:val="00523DBC"/>
    <w:rsid w:val="005244E9"/>
    <w:rsid w:val="00524DD7"/>
    <w:rsid w:val="0052717F"/>
    <w:rsid w:val="00527676"/>
    <w:rsid w:val="00530509"/>
    <w:rsid w:val="00532080"/>
    <w:rsid w:val="0053534A"/>
    <w:rsid w:val="00545009"/>
    <w:rsid w:val="00545140"/>
    <w:rsid w:val="00545668"/>
    <w:rsid w:val="00546EE8"/>
    <w:rsid w:val="0055098F"/>
    <w:rsid w:val="0055107B"/>
    <w:rsid w:val="005517B9"/>
    <w:rsid w:val="00553E7D"/>
    <w:rsid w:val="005542BD"/>
    <w:rsid w:val="00556207"/>
    <w:rsid w:val="00556489"/>
    <w:rsid w:val="00556EDA"/>
    <w:rsid w:val="00556FC7"/>
    <w:rsid w:val="005573D6"/>
    <w:rsid w:val="0056029F"/>
    <w:rsid w:val="005610A8"/>
    <w:rsid w:val="0056509F"/>
    <w:rsid w:val="00565326"/>
    <w:rsid w:val="00570A0D"/>
    <w:rsid w:val="005711E1"/>
    <w:rsid w:val="005738B2"/>
    <w:rsid w:val="00575402"/>
    <w:rsid w:val="005754FC"/>
    <w:rsid w:val="00575F9C"/>
    <w:rsid w:val="005762ED"/>
    <w:rsid w:val="005763EF"/>
    <w:rsid w:val="00576979"/>
    <w:rsid w:val="00577D50"/>
    <w:rsid w:val="00580D85"/>
    <w:rsid w:val="005813AC"/>
    <w:rsid w:val="0058354A"/>
    <w:rsid w:val="005847A1"/>
    <w:rsid w:val="00584BA7"/>
    <w:rsid w:val="0058560D"/>
    <w:rsid w:val="00586CFB"/>
    <w:rsid w:val="00587D29"/>
    <w:rsid w:val="00591072"/>
    <w:rsid w:val="005934B8"/>
    <w:rsid w:val="00594C9D"/>
    <w:rsid w:val="00595C65"/>
    <w:rsid w:val="00595D16"/>
    <w:rsid w:val="005964E5"/>
    <w:rsid w:val="005969E2"/>
    <w:rsid w:val="00597705"/>
    <w:rsid w:val="005A2449"/>
    <w:rsid w:val="005A2C73"/>
    <w:rsid w:val="005A3E4D"/>
    <w:rsid w:val="005A4FC0"/>
    <w:rsid w:val="005A71F7"/>
    <w:rsid w:val="005B06DE"/>
    <w:rsid w:val="005B1333"/>
    <w:rsid w:val="005B1872"/>
    <w:rsid w:val="005B20BD"/>
    <w:rsid w:val="005B649F"/>
    <w:rsid w:val="005B7922"/>
    <w:rsid w:val="005B7CEE"/>
    <w:rsid w:val="005C1439"/>
    <w:rsid w:val="005C15DC"/>
    <w:rsid w:val="005C1DEC"/>
    <w:rsid w:val="005C28AE"/>
    <w:rsid w:val="005C36E4"/>
    <w:rsid w:val="005C4CB2"/>
    <w:rsid w:val="005C4FDA"/>
    <w:rsid w:val="005C5C47"/>
    <w:rsid w:val="005C6A41"/>
    <w:rsid w:val="005D0320"/>
    <w:rsid w:val="005D0B78"/>
    <w:rsid w:val="005D25D6"/>
    <w:rsid w:val="005D3407"/>
    <w:rsid w:val="005D3941"/>
    <w:rsid w:val="005D411A"/>
    <w:rsid w:val="005D47C3"/>
    <w:rsid w:val="005D5E9D"/>
    <w:rsid w:val="005D65E1"/>
    <w:rsid w:val="005D6BF3"/>
    <w:rsid w:val="005D6D77"/>
    <w:rsid w:val="005D7923"/>
    <w:rsid w:val="005E2F30"/>
    <w:rsid w:val="005E3541"/>
    <w:rsid w:val="005E457B"/>
    <w:rsid w:val="005E560B"/>
    <w:rsid w:val="005E601A"/>
    <w:rsid w:val="005F03D5"/>
    <w:rsid w:val="005F04A5"/>
    <w:rsid w:val="005F158C"/>
    <w:rsid w:val="005F236B"/>
    <w:rsid w:val="005F3C81"/>
    <w:rsid w:val="005F5166"/>
    <w:rsid w:val="005F6D85"/>
    <w:rsid w:val="005F77BC"/>
    <w:rsid w:val="00600269"/>
    <w:rsid w:val="00600738"/>
    <w:rsid w:val="0060138F"/>
    <w:rsid w:val="006025B4"/>
    <w:rsid w:val="006031F4"/>
    <w:rsid w:val="0060391E"/>
    <w:rsid w:val="00604246"/>
    <w:rsid w:val="0060443D"/>
    <w:rsid w:val="0060486E"/>
    <w:rsid w:val="006062FB"/>
    <w:rsid w:val="00606867"/>
    <w:rsid w:val="00607419"/>
    <w:rsid w:val="006101AF"/>
    <w:rsid w:val="00611537"/>
    <w:rsid w:val="00612393"/>
    <w:rsid w:val="00612ACF"/>
    <w:rsid w:val="00613E36"/>
    <w:rsid w:val="00614A7A"/>
    <w:rsid w:val="00616B35"/>
    <w:rsid w:val="00617A30"/>
    <w:rsid w:val="00617F99"/>
    <w:rsid w:val="006215E6"/>
    <w:rsid w:val="00621B4B"/>
    <w:rsid w:val="006232F1"/>
    <w:rsid w:val="00623DDE"/>
    <w:rsid w:val="00624695"/>
    <w:rsid w:val="00625D2D"/>
    <w:rsid w:val="006271A4"/>
    <w:rsid w:val="00630138"/>
    <w:rsid w:val="006309D7"/>
    <w:rsid w:val="006313FC"/>
    <w:rsid w:val="00632CFA"/>
    <w:rsid w:val="006332F2"/>
    <w:rsid w:val="00634B17"/>
    <w:rsid w:val="00637A17"/>
    <w:rsid w:val="00641035"/>
    <w:rsid w:val="00641450"/>
    <w:rsid w:val="00641661"/>
    <w:rsid w:val="00644FB0"/>
    <w:rsid w:val="006476E6"/>
    <w:rsid w:val="00647794"/>
    <w:rsid w:val="00650EE2"/>
    <w:rsid w:val="006511A4"/>
    <w:rsid w:val="006513E2"/>
    <w:rsid w:val="00651916"/>
    <w:rsid w:val="00651DE7"/>
    <w:rsid w:val="00652088"/>
    <w:rsid w:val="006531C9"/>
    <w:rsid w:val="006535E1"/>
    <w:rsid w:val="0066025E"/>
    <w:rsid w:val="006602A5"/>
    <w:rsid w:val="00661D64"/>
    <w:rsid w:val="00662682"/>
    <w:rsid w:val="006639A0"/>
    <w:rsid w:val="00663D7F"/>
    <w:rsid w:val="00664CD0"/>
    <w:rsid w:val="00665D94"/>
    <w:rsid w:val="006668FE"/>
    <w:rsid w:val="00667591"/>
    <w:rsid w:val="00667F9F"/>
    <w:rsid w:val="006710E7"/>
    <w:rsid w:val="00671A0B"/>
    <w:rsid w:val="0067210D"/>
    <w:rsid w:val="006759B3"/>
    <w:rsid w:val="00675C81"/>
    <w:rsid w:val="00676618"/>
    <w:rsid w:val="0068034D"/>
    <w:rsid w:val="00681152"/>
    <w:rsid w:val="00682987"/>
    <w:rsid w:val="00682CE5"/>
    <w:rsid w:val="006841DC"/>
    <w:rsid w:val="0068468E"/>
    <w:rsid w:val="00685042"/>
    <w:rsid w:val="00685DAD"/>
    <w:rsid w:val="0068615D"/>
    <w:rsid w:val="0068675A"/>
    <w:rsid w:val="0069106B"/>
    <w:rsid w:val="00691AF2"/>
    <w:rsid w:val="00691CB2"/>
    <w:rsid w:val="00694527"/>
    <w:rsid w:val="0069550C"/>
    <w:rsid w:val="00697465"/>
    <w:rsid w:val="00697EB1"/>
    <w:rsid w:val="006A2310"/>
    <w:rsid w:val="006A2706"/>
    <w:rsid w:val="006A498B"/>
    <w:rsid w:val="006B150C"/>
    <w:rsid w:val="006B1DCE"/>
    <w:rsid w:val="006B42B2"/>
    <w:rsid w:val="006B4CCD"/>
    <w:rsid w:val="006B5D01"/>
    <w:rsid w:val="006B6180"/>
    <w:rsid w:val="006B692B"/>
    <w:rsid w:val="006C177A"/>
    <w:rsid w:val="006C1B13"/>
    <w:rsid w:val="006C32C4"/>
    <w:rsid w:val="006D067F"/>
    <w:rsid w:val="006D07FB"/>
    <w:rsid w:val="006D3FDD"/>
    <w:rsid w:val="006D4681"/>
    <w:rsid w:val="006D5A67"/>
    <w:rsid w:val="006D762E"/>
    <w:rsid w:val="006D7DFD"/>
    <w:rsid w:val="006E16D1"/>
    <w:rsid w:val="006E2B6D"/>
    <w:rsid w:val="006E3C88"/>
    <w:rsid w:val="006E4C1C"/>
    <w:rsid w:val="006F09D8"/>
    <w:rsid w:val="006F1624"/>
    <w:rsid w:val="006F16CF"/>
    <w:rsid w:val="006F3052"/>
    <w:rsid w:val="006F31BD"/>
    <w:rsid w:val="006F3259"/>
    <w:rsid w:val="006F3C00"/>
    <w:rsid w:val="006F4FE6"/>
    <w:rsid w:val="006F78DB"/>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35BD"/>
    <w:rsid w:val="007249B7"/>
    <w:rsid w:val="00724B29"/>
    <w:rsid w:val="00727A78"/>
    <w:rsid w:val="00730A5A"/>
    <w:rsid w:val="00730D5A"/>
    <w:rsid w:val="00731207"/>
    <w:rsid w:val="007325EF"/>
    <w:rsid w:val="00733EAE"/>
    <w:rsid w:val="00734430"/>
    <w:rsid w:val="0074053C"/>
    <w:rsid w:val="007423FA"/>
    <w:rsid w:val="00743D4D"/>
    <w:rsid w:val="00743EB1"/>
    <w:rsid w:val="0074485F"/>
    <w:rsid w:val="007451A8"/>
    <w:rsid w:val="00745BF2"/>
    <w:rsid w:val="00745E2B"/>
    <w:rsid w:val="00746757"/>
    <w:rsid w:val="007469C8"/>
    <w:rsid w:val="00751ADD"/>
    <w:rsid w:val="00751F3C"/>
    <w:rsid w:val="007520F6"/>
    <w:rsid w:val="007532C0"/>
    <w:rsid w:val="0075350B"/>
    <w:rsid w:val="00754124"/>
    <w:rsid w:val="00756020"/>
    <w:rsid w:val="00756098"/>
    <w:rsid w:val="00757F3C"/>
    <w:rsid w:val="00762332"/>
    <w:rsid w:val="007631E0"/>
    <w:rsid w:val="00763628"/>
    <w:rsid w:val="00763BF3"/>
    <w:rsid w:val="00764F87"/>
    <w:rsid w:val="007650F9"/>
    <w:rsid w:val="00767A6B"/>
    <w:rsid w:val="00771094"/>
    <w:rsid w:val="00771421"/>
    <w:rsid w:val="00772E4B"/>
    <w:rsid w:val="00774177"/>
    <w:rsid w:val="00774226"/>
    <w:rsid w:val="007744D5"/>
    <w:rsid w:val="0077459E"/>
    <w:rsid w:val="00775448"/>
    <w:rsid w:val="0077676B"/>
    <w:rsid w:val="007814AA"/>
    <w:rsid w:val="00782782"/>
    <w:rsid w:val="007841E0"/>
    <w:rsid w:val="007863FC"/>
    <w:rsid w:val="007866DC"/>
    <w:rsid w:val="00791465"/>
    <w:rsid w:val="0079271F"/>
    <w:rsid w:val="0079276A"/>
    <w:rsid w:val="00793A30"/>
    <w:rsid w:val="00794AA8"/>
    <w:rsid w:val="00795D8B"/>
    <w:rsid w:val="00796986"/>
    <w:rsid w:val="00796F39"/>
    <w:rsid w:val="00796F7A"/>
    <w:rsid w:val="00797A49"/>
    <w:rsid w:val="007A1488"/>
    <w:rsid w:val="007A1A81"/>
    <w:rsid w:val="007A2884"/>
    <w:rsid w:val="007A3705"/>
    <w:rsid w:val="007A39B0"/>
    <w:rsid w:val="007A7BBE"/>
    <w:rsid w:val="007B0701"/>
    <w:rsid w:val="007B196E"/>
    <w:rsid w:val="007B1F09"/>
    <w:rsid w:val="007B5134"/>
    <w:rsid w:val="007B566C"/>
    <w:rsid w:val="007B686F"/>
    <w:rsid w:val="007B6CEF"/>
    <w:rsid w:val="007C17AD"/>
    <w:rsid w:val="007C218E"/>
    <w:rsid w:val="007C247A"/>
    <w:rsid w:val="007C4731"/>
    <w:rsid w:val="007C546A"/>
    <w:rsid w:val="007C7D9B"/>
    <w:rsid w:val="007D0644"/>
    <w:rsid w:val="007D0A2D"/>
    <w:rsid w:val="007D3ACE"/>
    <w:rsid w:val="007D64EC"/>
    <w:rsid w:val="007E05A2"/>
    <w:rsid w:val="007E1089"/>
    <w:rsid w:val="007E1B26"/>
    <w:rsid w:val="007E1F8D"/>
    <w:rsid w:val="007E5E24"/>
    <w:rsid w:val="007F007A"/>
    <w:rsid w:val="007F1E72"/>
    <w:rsid w:val="007F2C37"/>
    <w:rsid w:val="007F4798"/>
    <w:rsid w:val="007F4DE2"/>
    <w:rsid w:val="00800438"/>
    <w:rsid w:val="008019A5"/>
    <w:rsid w:val="008020C2"/>
    <w:rsid w:val="008020CD"/>
    <w:rsid w:val="00803543"/>
    <w:rsid w:val="00804036"/>
    <w:rsid w:val="00806AFC"/>
    <w:rsid w:val="008070E7"/>
    <w:rsid w:val="00810336"/>
    <w:rsid w:val="0081156D"/>
    <w:rsid w:val="00811B30"/>
    <w:rsid w:val="00812D95"/>
    <w:rsid w:val="00813448"/>
    <w:rsid w:val="00814EDE"/>
    <w:rsid w:val="0081612B"/>
    <w:rsid w:val="00816ED1"/>
    <w:rsid w:val="00821D82"/>
    <w:rsid w:val="008230F2"/>
    <w:rsid w:val="00823442"/>
    <w:rsid w:val="008242ED"/>
    <w:rsid w:val="00825C24"/>
    <w:rsid w:val="008276BB"/>
    <w:rsid w:val="00830F6A"/>
    <w:rsid w:val="00832EA6"/>
    <w:rsid w:val="00832FD6"/>
    <w:rsid w:val="0083336E"/>
    <w:rsid w:val="00834066"/>
    <w:rsid w:val="008343B4"/>
    <w:rsid w:val="00837B9A"/>
    <w:rsid w:val="00837E1F"/>
    <w:rsid w:val="008405CE"/>
    <w:rsid w:val="008405CF"/>
    <w:rsid w:val="00841726"/>
    <w:rsid w:val="008426AA"/>
    <w:rsid w:val="0084295A"/>
    <w:rsid w:val="00842AE5"/>
    <w:rsid w:val="0084393F"/>
    <w:rsid w:val="00846269"/>
    <w:rsid w:val="00847C32"/>
    <w:rsid w:val="00851511"/>
    <w:rsid w:val="008536CA"/>
    <w:rsid w:val="00853CDC"/>
    <w:rsid w:val="008547C2"/>
    <w:rsid w:val="00854A89"/>
    <w:rsid w:val="00855355"/>
    <w:rsid w:val="008557C2"/>
    <w:rsid w:val="00855C22"/>
    <w:rsid w:val="00855F97"/>
    <w:rsid w:val="0086080D"/>
    <w:rsid w:val="00861B40"/>
    <w:rsid w:val="008634DE"/>
    <w:rsid w:val="008647BD"/>
    <w:rsid w:val="008665C4"/>
    <w:rsid w:val="0086751C"/>
    <w:rsid w:val="008677E3"/>
    <w:rsid w:val="00870B41"/>
    <w:rsid w:val="0087195C"/>
    <w:rsid w:val="00871F22"/>
    <w:rsid w:val="00873C6E"/>
    <w:rsid w:val="00873EB9"/>
    <w:rsid w:val="00875D5A"/>
    <w:rsid w:val="00875F1E"/>
    <w:rsid w:val="00880351"/>
    <w:rsid w:val="0088086C"/>
    <w:rsid w:val="00882735"/>
    <w:rsid w:val="00882EFE"/>
    <w:rsid w:val="00885C05"/>
    <w:rsid w:val="00885F6F"/>
    <w:rsid w:val="008867F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BFC"/>
    <w:rsid w:val="008A7CF7"/>
    <w:rsid w:val="008A7FAD"/>
    <w:rsid w:val="008B100F"/>
    <w:rsid w:val="008B1DA6"/>
    <w:rsid w:val="008B3660"/>
    <w:rsid w:val="008C210D"/>
    <w:rsid w:val="008C3E59"/>
    <w:rsid w:val="008C480D"/>
    <w:rsid w:val="008C4C45"/>
    <w:rsid w:val="008C61F3"/>
    <w:rsid w:val="008C651B"/>
    <w:rsid w:val="008C7138"/>
    <w:rsid w:val="008D2564"/>
    <w:rsid w:val="008D28AC"/>
    <w:rsid w:val="008D3C26"/>
    <w:rsid w:val="008D3E55"/>
    <w:rsid w:val="008E0B12"/>
    <w:rsid w:val="008E1626"/>
    <w:rsid w:val="008E1E23"/>
    <w:rsid w:val="008E1E4B"/>
    <w:rsid w:val="008E270C"/>
    <w:rsid w:val="008E3428"/>
    <w:rsid w:val="008E4C77"/>
    <w:rsid w:val="008E51D4"/>
    <w:rsid w:val="008E59FE"/>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AA7"/>
    <w:rsid w:val="00903496"/>
    <w:rsid w:val="00903A37"/>
    <w:rsid w:val="009041F8"/>
    <w:rsid w:val="00904D53"/>
    <w:rsid w:val="00905C49"/>
    <w:rsid w:val="00906C53"/>
    <w:rsid w:val="0090737A"/>
    <w:rsid w:val="0091491D"/>
    <w:rsid w:val="0091517B"/>
    <w:rsid w:val="00921597"/>
    <w:rsid w:val="00921696"/>
    <w:rsid w:val="00925058"/>
    <w:rsid w:val="0092525C"/>
    <w:rsid w:val="009257EE"/>
    <w:rsid w:val="00925FC2"/>
    <w:rsid w:val="009262E3"/>
    <w:rsid w:val="00927E7F"/>
    <w:rsid w:val="009300CA"/>
    <w:rsid w:val="009300E6"/>
    <w:rsid w:val="00931856"/>
    <w:rsid w:val="00931957"/>
    <w:rsid w:val="00931994"/>
    <w:rsid w:val="00932259"/>
    <w:rsid w:val="00937B2D"/>
    <w:rsid w:val="00937EFB"/>
    <w:rsid w:val="00937F6E"/>
    <w:rsid w:val="00940225"/>
    <w:rsid w:val="009429D4"/>
    <w:rsid w:val="00943D4D"/>
    <w:rsid w:val="00944464"/>
    <w:rsid w:val="00945BC4"/>
    <w:rsid w:val="009503FE"/>
    <w:rsid w:val="0095291D"/>
    <w:rsid w:val="00953272"/>
    <w:rsid w:val="00954778"/>
    <w:rsid w:val="0095687B"/>
    <w:rsid w:val="009569DA"/>
    <w:rsid w:val="00957730"/>
    <w:rsid w:val="00960CDB"/>
    <w:rsid w:val="00962B7E"/>
    <w:rsid w:val="00962E0E"/>
    <w:rsid w:val="00964882"/>
    <w:rsid w:val="009648F1"/>
    <w:rsid w:val="00964C44"/>
    <w:rsid w:val="00964DFA"/>
    <w:rsid w:val="0096634B"/>
    <w:rsid w:val="00967298"/>
    <w:rsid w:val="0097136D"/>
    <w:rsid w:val="009726BC"/>
    <w:rsid w:val="009736C0"/>
    <w:rsid w:val="009737E6"/>
    <w:rsid w:val="0097492C"/>
    <w:rsid w:val="00974E2D"/>
    <w:rsid w:val="00975DB5"/>
    <w:rsid w:val="00976DCD"/>
    <w:rsid w:val="00976F0D"/>
    <w:rsid w:val="009779B9"/>
    <w:rsid w:val="0098066C"/>
    <w:rsid w:val="009812F2"/>
    <w:rsid w:val="009814B0"/>
    <w:rsid w:val="00981871"/>
    <w:rsid w:val="0098393B"/>
    <w:rsid w:val="00984181"/>
    <w:rsid w:val="00984A3E"/>
    <w:rsid w:val="009852CA"/>
    <w:rsid w:val="0098571F"/>
    <w:rsid w:val="00987780"/>
    <w:rsid w:val="0099005D"/>
    <w:rsid w:val="00992B0D"/>
    <w:rsid w:val="009969E0"/>
    <w:rsid w:val="00996B5C"/>
    <w:rsid w:val="009A0545"/>
    <w:rsid w:val="009A0B4E"/>
    <w:rsid w:val="009A1005"/>
    <w:rsid w:val="009A1EC2"/>
    <w:rsid w:val="009A36AF"/>
    <w:rsid w:val="009A3E97"/>
    <w:rsid w:val="009A591E"/>
    <w:rsid w:val="009A631B"/>
    <w:rsid w:val="009A77E7"/>
    <w:rsid w:val="009B1B5C"/>
    <w:rsid w:val="009B306D"/>
    <w:rsid w:val="009B47AC"/>
    <w:rsid w:val="009B5983"/>
    <w:rsid w:val="009B6C2F"/>
    <w:rsid w:val="009B7B65"/>
    <w:rsid w:val="009C052D"/>
    <w:rsid w:val="009C09A0"/>
    <w:rsid w:val="009C2135"/>
    <w:rsid w:val="009C323D"/>
    <w:rsid w:val="009C36F1"/>
    <w:rsid w:val="009C3E3C"/>
    <w:rsid w:val="009C4F54"/>
    <w:rsid w:val="009C5271"/>
    <w:rsid w:val="009C63A4"/>
    <w:rsid w:val="009C63D5"/>
    <w:rsid w:val="009C6B5F"/>
    <w:rsid w:val="009C787C"/>
    <w:rsid w:val="009C7FC6"/>
    <w:rsid w:val="009D161A"/>
    <w:rsid w:val="009D1693"/>
    <w:rsid w:val="009D1BCC"/>
    <w:rsid w:val="009D4AB7"/>
    <w:rsid w:val="009D5302"/>
    <w:rsid w:val="009D5867"/>
    <w:rsid w:val="009D62F3"/>
    <w:rsid w:val="009D754F"/>
    <w:rsid w:val="009E1896"/>
    <w:rsid w:val="009E1980"/>
    <w:rsid w:val="009E1ACC"/>
    <w:rsid w:val="009E2833"/>
    <w:rsid w:val="009E2BB3"/>
    <w:rsid w:val="009E31D9"/>
    <w:rsid w:val="009E325E"/>
    <w:rsid w:val="009E3484"/>
    <w:rsid w:val="009E569F"/>
    <w:rsid w:val="009E5FDA"/>
    <w:rsid w:val="009E646F"/>
    <w:rsid w:val="009E776E"/>
    <w:rsid w:val="009F0B58"/>
    <w:rsid w:val="009F1760"/>
    <w:rsid w:val="009F4396"/>
    <w:rsid w:val="009F48CB"/>
    <w:rsid w:val="009F5D93"/>
    <w:rsid w:val="009F6F14"/>
    <w:rsid w:val="009F7433"/>
    <w:rsid w:val="00A00F3C"/>
    <w:rsid w:val="00A0144A"/>
    <w:rsid w:val="00A02485"/>
    <w:rsid w:val="00A02844"/>
    <w:rsid w:val="00A034F2"/>
    <w:rsid w:val="00A042CC"/>
    <w:rsid w:val="00A06BF5"/>
    <w:rsid w:val="00A074FE"/>
    <w:rsid w:val="00A076B8"/>
    <w:rsid w:val="00A07E9C"/>
    <w:rsid w:val="00A11066"/>
    <w:rsid w:val="00A1196D"/>
    <w:rsid w:val="00A11A36"/>
    <w:rsid w:val="00A122F8"/>
    <w:rsid w:val="00A12914"/>
    <w:rsid w:val="00A12EEB"/>
    <w:rsid w:val="00A132AD"/>
    <w:rsid w:val="00A14173"/>
    <w:rsid w:val="00A167B8"/>
    <w:rsid w:val="00A17060"/>
    <w:rsid w:val="00A1768D"/>
    <w:rsid w:val="00A17ED7"/>
    <w:rsid w:val="00A20492"/>
    <w:rsid w:val="00A2185E"/>
    <w:rsid w:val="00A21919"/>
    <w:rsid w:val="00A22D59"/>
    <w:rsid w:val="00A26381"/>
    <w:rsid w:val="00A26792"/>
    <w:rsid w:val="00A27D3D"/>
    <w:rsid w:val="00A31B07"/>
    <w:rsid w:val="00A31C08"/>
    <w:rsid w:val="00A32889"/>
    <w:rsid w:val="00A331C2"/>
    <w:rsid w:val="00A33215"/>
    <w:rsid w:val="00A36A40"/>
    <w:rsid w:val="00A36D42"/>
    <w:rsid w:val="00A40056"/>
    <w:rsid w:val="00A414A1"/>
    <w:rsid w:val="00A41BC0"/>
    <w:rsid w:val="00A42893"/>
    <w:rsid w:val="00A42906"/>
    <w:rsid w:val="00A43E5D"/>
    <w:rsid w:val="00A45490"/>
    <w:rsid w:val="00A4723D"/>
    <w:rsid w:val="00A47250"/>
    <w:rsid w:val="00A5180C"/>
    <w:rsid w:val="00A521EE"/>
    <w:rsid w:val="00A5427C"/>
    <w:rsid w:val="00A60351"/>
    <w:rsid w:val="00A603C3"/>
    <w:rsid w:val="00A61267"/>
    <w:rsid w:val="00A63829"/>
    <w:rsid w:val="00A64250"/>
    <w:rsid w:val="00A64FD8"/>
    <w:rsid w:val="00A6550F"/>
    <w:rsid w:val="00A6651F"/>
    <w:rsid w:val="00A67C97"/>
    <w:rsid w:val="00A711F9"/>
    <w:rsid w:val="00A71783"/>
    <w:rsid w:val="00A719FE"/>
    <w:rsid w:val="00A74937"/>
    <w:rsid w:val="00A75B8E"/>
    <w:rsid w:val="00A76F8D"/>
    <w:rsid w:val="00A80111"/>
    <w:rsid w:val="00A80B3B"/>
    <w:rsid w:val="00A817A2"/>
    <w:rsid w:val="00A81DF8"/>
    <w:rsid w:val="00A82B55"/>
    <w:rsid w:val="00A83F39"/>
    <w:rsid w:val="00A84210"/>
    <w:rsid w:val="00A85465"/>
    <w:rsid w:val="00A866AE"/>
    <w:rsid w:val="00A878A5"/>
    <w:rsid w:val="00A87D38"/>
    <w:rsid w:val="00A911D3"/>
    <w:rsid w:val="00A92225"/>
    <w:rsid w:val="00A93533"/>
    <w:rsid w:val="00A9381F"/>
    <w:rsid w:val="00A94388"/>
    <w:rsid w:val="00A948EF"/>
    <w:rsid w:val="00A958D5"/>
    <w:rsid w:val="00A95B9A"/>
    <w:rsid w:val="00A95CB4"/>
    <w:rsid w:val="00A976E6"/>
    <w:rsid w:val="00A97FD9"/>
    <w:rsid w:val="00AA00D8"/>
    <w:rsid w:val="00AA32DA"/>
    <w:rsid w:val="00AA45A4"/>
    <w:rsid w:val="00AA4712"/>
    <w:rsid w:val="00AA4FAB"/>
    <w:rsid w:val="00AA65F4"/>
    <w:rsid w:val="00AA6F8B"/>
    <w:rsid w:val="00AA7A71"/>
    <w:rsid w:val="00AA7CB9"/>
    <w:rsid w:val="00AB01B3"/>
    <w:rsid w:val="00AB1B2B"/>
    <w:rsid w:val="00AB43EE"/>
    <w:rsid w:val="00AB4F07"/>
    <w:rsid w:val="00AB5121"/>
    <w:rsid w:val="00AB51EA"/>
    <w:rsid w:val="00AB6F0C"/>
    <w:rsid w:val="00AC1EC5"/>
    <w:rsid w:val="00AC4AC4"/>
    <w:rsid w:val="00AC4D59"/>
    <w:rsid w:val="00AC7F40"/>
    <w:rsid w:val="00AC7FDF"/>
    <w:rsid w:val="00AD0544"/>
    <w:rsid w:val="00AD061A"/>
    <w:rsid w:val="00AD290C"/>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E65"/>
    <w:rsid w:val="00B11F80"/>
    <w:rsid w:val="00B13A6B"/>
    <w:rsid w:val="00B14FF9"/>
    <w:rsid w:val="00B15D9A"/>
    <w:rsid w:val="00B160F4"/>
    <w:rsid w:val="00B1684F"/>
    <w:rsid w:val="00B16C3A"/>
    <w:rsid w:val="00B1722F"/>
    <w:rsid w:val="00B17CCB"/>
    <w:rsid w:val="00B207AC"/>
    <w:rsid w:val="00B20D36"/>
    <w:rsid w:val="00B21512"/>
    <w:rsid w:val="00B21FA2"/>
    <w:rsid w:val="00B235FF"/>
    <w:rsid w:val="00B24486"/>
    <w:rsid w:val="00B24580"/>
    <w:rsid w:val="00B24846"/>
    <w:rsid w:val="00B26963"/>
    <w:rsid w:val="00B26AA4"/>
    <w:rsid w:val="00B30BDA"/>
    <w:rsid w:val="00B30C98"/>
    <w:rsid w:val="00B32AE8"/>
    <w:rsid w:val="00B3323A"/>
    <w:rsid w:val="00B34ECD"/>
    <w:rsid w:val="00B36696"/>
    <w:rsid w:val="00B40B01"/>
    <w:rsid w:val="00B418D6"/>
    <w:rsid w:val="00B446F9"/>
    <w:rsid w:val="00B50382"/>
    <w:rsid w:val="00B512A3"/>
    <w:rsid w:val="00B516BB"/>
    <w:rsid w:val="00B51F04"/>
    <w:rsid w:val="00B53331"/>
    <w:rsid w:val="00B5381A"/>
    <w:rsid w:val="00B541B4"/>
    <w:rsid w:val="00B55417"/>
    <w:rsid w:val="00B559B2"/>
    <w:rsid w:val="00B565D4"/>
    <w:rsid w:val="00B56BAF"/>
    <w:rsid w:val="00B56D2F"/>
    <w:rsid w:val="00B56DA8"/>
    <w:rsid w:val="00B57BF8"/>
    <w:rsid w:val="00B60507"/>
    <w:rsid w:val="00B60E51"/>
    <w:rsid w:val="00B61DC9"/>
    <w:rsid w:val="00B63F7F"/>
    <w:rsid w:val="00B6537F"/>
    <w:rsid w:val="00B65433"/>
    <w:rsid w:val="00B65D0C"/>
    <w:rsid w:val="00B65DEE"/>
    <w:rsid w:val="00B673D7"/>
    <w:rsid w:val="00B71571"/>
    <w:rsid w:val="00B715B1"/>
    <w:rsid w:val="00B72F2E"/>
    <w:rsid w:val="00B7619E"/>
    <w:rsid w:val="00B77677"/>
    <w:rsid w:val="00B7774D"/>
    <w:rsid w:val="00B77811"/>
    <w:rsid w:val="00B77BF3"/>
    <w:rsid w:val="00B83257"/>
    <w:rsid w:val="00B8381D"/>
    <w:rsid w:val="00B84964"/>
    <w:rsid w:val="00B849F3"/>
    <w:rsid w:val="00B84EC4"/>
    <w:rsid w:val="00B85F87"/>
    <w:rsid w:val="00B861CC"/>
    <w:rsid w:val="00B9092D"/>
    <w:rsid w:val="00B91527"/>
    <w:rsid w:val="00B92470"/>
    <w:rsid w:val="00B929D1"/>
    <w:rsid w:val="00B93AC6"/>
    <w:rsid w:val="00B95349"/>
    <w:rsid w:val="00B955C0"/>
    <w:rsid w:val="00B95B9C"/>
    <w:rsid w:val="00B961E2"/>
    <w:rsid w:val="00BA0067"/>
    <w:rsid w:val="00BA0584"/>
    <w:rsid w:val="00BA0F9A"/>
    <w:rsid w:val="00BA2179"/>
    <w:rsid w:val="00BA65AC"/>
    <w:rsid w:val="00BB2985"/>
    <w:rsid w:val="00BB686F"/>
    <w:rsid w:val="00BC0A20"/>
    <w:rsid w:val="00BC132A"/>
    <w:rsid w:val="00BC21A0"/>
    <w:rsid w:val="00BC2CFA"/>
    <w:rsid w:val="00BC413B"/>
    <w:rsid w:val="00BC4EF3"/>
    <w:rsid w:val="00BC77C0"/>
    <w:rsid w:val="00BD0B25"/>
    <w:rsid w:val="00BD234D"/>
    <w:rsid w:val="00BD2561"/>
    <w:rsid w:val="00BD2A91"/>
    <w:rsid w:val="00BD5DCD"/>
    <w:rsid w:val="00BD616D"/>
    <w:rsid w:val="00BD6C4D"/>
    <w:rsid w:val="00BE0997"/>
    <w:rsid w:val="00BE1907"/>
    <w:rsid w:val="00BE1A97"/>
    <w:rsid w:val="00BE3AF3"/>
    <w:rsid w:val="00BE485B"/>
    <w:rsid w:val="00BE627C"/>
    <w:rsid w:val="00BE6A74"/>
    <w:rsid w:val="00BE6F6F"/>
    <w:rsid w:val="00BE7D08"/>
    <w:rsid w:val="00BF0840"/>
    <w:rsid w:val="00BF0DFF"/>
    <w:rsid w:val="00BF0FBD"/>
    <w:rsid w:val="00BF1085"/>
    <w:rsid w:val="00BF22B8"/>
    <w:rsid w:val="00BF2603"/>
    <w:rsid w:val="00BF51CE"/>
    <w:rsid w:val="00BF6541"/>
    <w:rsid w:val="00BF6995"/>
    <w:rsid w:val="00C01A0D"/>
    <w:rsid w:val="00C026DC"/>
    <w:rsid w:val="00C028D9"/>
    <w:rsid w:val="00C036E4"/>
    <w:rsid w:val="00C038B8"/>
    <w:rsid w:val="00C03B35"/>
    <w:rsid w:val="00C06574"/>
    <w:rsid w:val="00C06F31"/>
    <w:rsid w:val="00C11EE9"/>
    <w:rsid w:val="00C12B8C"/>
    <w:rsid w:val="00C154AD"/>
    <w:rsid w:val="00C155D9"/>
    <w:rsid w:val="00C2211D"/>
    <w:rsid w:val="00C2344F"/>
    <w:rsid w:val="00C246F2"/>
    <w:rsid w:val="00C2532F"/>
    <w:rsid w:val="00C26707"/>
    <w:rsid w:val="00C27719"/>
    <w:rsid w:val="00C31BCD"/>
    <w:rsid w:val="00C320EB"/>
    <w:rsid w:val="00C32F7B"/>
    <w:rsid w:val="00C3513F"/>
    <w:rsid w:val="00C355AA"/>
    <w:rsid w:val="00C36223"/>
    <w:rsid w:val="00C40725"/>
    <w:rsid w:val="00C4207E"/>
    <w:rsid w:val="00C451A3"/>
    <w:rsid w:val="00C4577E"/>
    <w:rsid w:val="00C45D73"/>
    <w:rsid w:val="00C50C8F"/>
    <w:rsid w:val="00C51156"/>
    <w:rsid w:val="00C53FD7"/>
    <w:rsid w:val="00C55C61"/>
    <w:rsid w:val="00C563D9"/>
    <w:rsid w:val="00C57047"/>
    <w:rsid w:val="00C64F44"/>
    <w:rsid w:val="00C650ED"/>
    <w:rsid w:val="00C65132"/>
    <w:rsid w:val="00C65F6A"/>
    <w:rsid w:val="00C67F3E"/>
    <w:rsid w:val="00C70CD5"/>
    <w:rsid w:val="00C7216F"/>
    <w:rsid w:val="00C730E4"/>
    <w:rsid w:val="00C730E9"/>
    <w:rsid w:val="00C73BB8"/>
    <w:rsid w:val="00C74400"/>
    <w:rsid w:val="00C74CC5"/>
    <w:rsid w:val="00C76B48"/>
    <w:rsid w:val="00C76CC4"/>
    <w:rsid w:val="00C7727D"/>
    <w:rsid w:val="00C77815"/>
    <w:rsid w:val="00C823C5"/>
    <w:rsid w:val="00C82D42"/>
    <w:rsid w:val="00C8322A"/>
    <w:rsid w:val="00C83583"/>
    <w:rsid w:val="00C84B12"/>
    <w:rsid w:val="00C869BC"/>
    <w:rsid w:val="00C8737E"/>
    <w:rsid w:val="00C9243B"/>
    <w:rsid w:val="00C93EF0"/>
    <w:rsid w:val="00C953C0"/>
    <w:rsid w:val="00C96E5A"/>
    <w:rsid w:val="00C97ACC"/>
    <w:rsid w:val="00CA181F"/>
    <w:rsid w:val="00CA2A54"/>
    <w:rsid w:val="00CA3219"/>
    <w:rsid w:val="00CB01EB"/>
    <w:rsid w:val="00CB099B"/>
    <w:rsid w:val="00CB0DFA"/>
    <w:rsid w:val="00CB1233"/>
    <w:rsid w:val="00CB250C"/>
    <w:rsid w:val="00CB34D5"/>
    <w:rsid w:val="00CB61C3"/>
    <w:rsid w:val="00CB6CB0"/>
    <w:rsid w:val="00CC134C"/>
    <w:rsid w:val="00CC36F9"/>
    <w:rsid w:val="00CC3E8F"/>
    <w:rsid w:val="00CC5B05"/>
    <w:rsid w:val="00CD0BA2"/>
    <w:rsid w:val="00CD18DE"/>
    <w:rsid w:val="00CD643B"/>
    <w:rsid w:val="00CD64B6"/>
    <w:rsid w:val="00CE0D42"/>
    <w:rsid w:val="00CE19D1"/>
    <w:rsid w:val="00CE23EF"/>
    <w:rsid w:val="00CE3658"/>
    <w:rsid w:val="00CE53E3"/>
    <w:rsid w:val="00CE5478"/>
    <w:rsid w:val="00CE6197"/>
    <w:rsid w:val="00CE621B"/>
    <w:rsid w:val="00CE6490"/>
    <w:rsid w:val="00CE6BEE"/>
    <w:rsid w:val="00CE702E"/>
    <w:rsid w:val="00CE7723"/>
    <w:rsid w:val="00CF088A"/>
    <w:rsid w:val="00CF1AEC"/>
    <w:rsid w:val="00CF1B83"/>
    <w:rsid w:val="00CF38F2"/>
    <w:rsid w:val="00CF5CD7"/>
    <w:rsid w:val="00CF79DF"/>
    <w:rsid w:val="00D00702"/>
    <w:rsid w:val="00D01E61"/>
    <w:rsid w:val="00D02296"/>
    <w:rsid w:val="00D0289B"/>
    <w:rsid w:val="00D02928"/>
    <w:rsid w:val="00D02B99"/>
    <w:rsid w:val="00D0306C"/>
    <w:rsid w:val="00D034FA"/>
    <w:rsid w:val="00D03B41"/>
    <w:rsid w:val="00D06027"/>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D6C"/>
    <w:rsid w:val="00D32B3D"/>
    <w:rsid w:val="00D33C8D"/>
    <w:rsid w:val="00D37148"/>
    <w:rsid w:val="00D37A00"/>
    <w:rsid w:val="00D37E3F"/>
    <w:rsid w:val="00D402A3"/>
    <w:rsid w:val="00D40860"/>
    <w:rsid w:val="00D4280D"/>
    <w:rsid w:val="00D42B76"/>
    <w:rsid w:val="00D43787"/>
    <w:rsid w:val="00D447D8"/>
    <w:rsid w:val="00D450B5"/>
    <w:rsid w:val="00D45623"/>
    <w:rsid w:val="00D45942"/>
    <w:rsid w:val="00D45968"/>
    <w:rsid w:val="00D468AF"/>
    <w:rsid w:val="00D470FA"/>
    <w:rsid w:val="00D47F57"/>
    <w:rsid w:val="00D50983"/>
    <w:rsid w:val="00D53B35"/>
    <w:rsid w:val="00D53FFE"/>
    <w:rsid w:val="00D54017"/>
    <w:rsid w:val="00D5648F"/>
    <w:rsid w:val="00D56E3B"/>
    <w:rsid w:val="00D57CC2"/>
    <w:rsid w:val="00D604FA"/>
    <w:rsid w:val="00D60557"/>
    <w:rsid w:val="00D616EC"/>
    <w:rsid w:val="00D648BA"/>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7A3"/>
    <w:rsid w:val="00DA38F9"/>
    <w:rsid w:val="00DA6B5A"/>
    <w:rsid w:val="00DA776D"/>
    <w:rsid w:val="00DA7AAB"/>
    <w:rsid w:val="00DA7BC0"/>
    <w:rsid w:val="00DB0815"/>
    <w:rsid w:val="00DB1859"/>
    <w:rsid w:val="00DB4DAE"/>
    <w:rsid w:val="00DB6676"/>
    <w:rsid w:val="00DC2ABE"/>
    <w:rsid w:val="00DC59DE"/>
    <w:rsid w:val="00DC5F20"/>
    <w:rsid w:val="00DC619E"/>
    <w:rsid w:val="00DC7217"/>
    <w:rsid w:val="00DC79BB"/>
    <w:rsid w:val="00DD11EB"/>
    <w:rsid w:val="00DD1B8B"/>
    <w:rsid w:val="00DD1F32"/>
    <w:rsid w:val="00DD23D6"/>
    <w:rsid w:val="00DD4855"/>
    <w:rsid w:val="00DD5C5A"/>
    <w:rsid w:val="00DD75C4"/>
    <w:rsid w:val="00DE1FBA"/>
    <w:rsid w:val="00DE4550"/>
    <w:rsid w:val="00DE55DE"/>
    <w:rsid w:val="00DE5968"/>
    <w:rsid w:val="00DE6A2A"/>
    <w:rsid w:val="00DF1227"/>
    <w:rsid w:val="00DF131F"/>
    <w:rsid w:val="00DF2C98"/>
    <w:rsid w:val="00DF30A9"/>
    <w:rsid w:val="00DF6BFD"/>
    <w:rsid w:val="00DF77FD"/>
    <w:rsid w:val="00DF7AB6"/>
    <w:rsid w:val="00E00DCA"/>
    <w:rsid w:val="00E033B7"/>
    <w:rsid w:val="00E038DB"/>
    <w:rsid w:val="00E04FFB"/>
    <w:rsid w:val="00E05EEE"/>
    <w:rsid w:val="00E065DD"/>
    <w:rsid w:val="00E06929"/>
    <w:rsid w:val="00E075A8"/>
    <w:rsid w:val="00E07D5A"/>
    <w:rsid w:val="00E105EE"/>
    <w:rsid w:val="00E10D91"/>
    <w:rsid w:val="00E134FC"/>
    <w:rsid w:val="00E1436B"/>
    <w:rsid w:val="00E14F22"/>
    <w:rsid w:val="00E151BD"/>
    <w:rsid w:val="00E158D4"/>
    <w:rsid w:val="00E170FA"/>
    <w:rsid w:val="00E173E4"/>
    <w:rsid w:val="00E2020E"/>
    <w:rsid w:val="00E20D15"/>
    <w:rsid w:val="00E25A13"/>
    <w:rsid w:val="00E26F75"/>
    <w:rsid w:val="00E3064C"/>
    <w:rsid w:val="00E33007"/>
    <w:rsid w:val="00E34483"/>
    <w:rsid w:val="00E3456D"/>
    <w:rsid w:val="00E406B2"/>
    <w:rsid w:val="00E41615"/>
    <w:rsid w:val="00E4190D"/>
    <w:rsid w:val="00E4337D"/>
    <w:rsid w:val="00E44987"/>
    <w:rsid w:val="00E44F34"/>
    <w:rsid w:val="00E45859"/>
    <w:rsid w:val="00E47666"/>
    <w:rsid w:val="00E47C2B"/>
    <w:rsid w:val="00E504E9"/>
    <w:rsid w:val="00E505A5"/>
    <w:rsid w:val="00E507A9"/>
    <w:rsid w:val="00E5253D"/>
    <w:rsid w:val="00E53860"/>
    <w:rsid w:val="00E554E7"/>
    <w:rsid w:val="00E56509"/>
    <w:rsid w:val="00E5688C"/>
    <w:rsid w:val="00E57C72"/>
    <w:rsid w:val="00E60AEE"/>
    <w:rsid w:val="00E60BC6"/>
    <w:rsid w:val="00E6547E"/>
    <w:rsid w:val="00E65E36"/>
    <w:rsid w:val="00E66542"/>
    <w:rsid w:val="00E669A1"/>
    <w:rsid w:val="00E67625"/>
    <w:rsid w:val="00E700D9"/>
    <w:rsid w:val="00E7092B"/>
    <w:rsid w:val="00E75FF6"/>
    <w:rsid w:val="00E760EE"/>
    <w:rsid w:val="00E77A6F"/>
    <w:rsid w:val="00E8317B"/>
    <w:rsid w:val="00E8390A"/>
    <w:rsid w:val="00E83A3B"/>
    <w:rsid w:val="00E8700F"/>
    <w:rsid w:val="00E901D7"/>
    <w:rsid w:val="00E9172D"/>
    <w:rsid w:val="00E922BE"/>
    <w:rsid w:val="00E9258D"/>
    <w:rsid w:val="00E9268E"/>
    <w:rsid w:val="00E92B00"/>
    <w:rsid w:val="00E9368B"/>
    <w:rsid w:val="00E93B93"/>
    <w:rsid w:val="00E94D9A"/>
    <w:rsid w:val="00E953FA"/>
    <w:rsid w:val="00E95635"/>
    <w:rsid w:val="00E97E28"/>
    <w:rsid w:val="00EA2E0F"/>
    <w:rsid w:val="00EA484D"/>
    <w:rsid w:val="00EA4A96"/>
    <w:rsid w:val="00EB1A14"/>
    <w:rsid w:val="00EB3B0A"/>
    <w:rsid w:val="00EB3DAC"/>
    <w:rsid w:val="00EB4093"/>
    <w:rsid w:val="00EB46F3"/>
    <w:rsid w:val="00EB4958"/>
    <w:rsid w:val="00EC1371"/>
    <w:rsid w:val="00EC1864"/>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67A2"/>
    <w:rsid w:val="00ED7E7A"/>
    <w:rsid w:val="00EE0D8C"/>
    <w:rsid w:val="00EE1306"/>
    <w:rsid w:val="00EE149D"/>
    <w:rsid w:val="00EE16BA"/>
    <w:rsid w:val="00EE172B"/>
    <w:rsid w:val="00EE3064"/>
    <w:rsid w:val="00EE3F56"/>
    <w:rsid w:val="00EE4BB2"/>
    <w:rsid w:val="00EE560A"/>
    <w:rsid w:val="00EE6B47"/>
    <w:rsid w:val="00EE733B"/>
    <w:rsid w:val="00EE7B6D"/>
    <w:rsid w:val="00EF13A5"/>
    <w:rsid w:val="00EF1724"/>
    <w:rsid w:val="00EF1AA9"/>
    <w:rsid w:val="00EF1B4E"/>
    <w:rsid w:val="00EF1CC2"/>
    <w:rsid w:val="00EF5079"/>
    <w:rsid w:val="00EF7A77"/>
    <w:rsid w:val="00EF7DE3"/>
    <w:rsid w:val="00F006C9"/>
    <w:rsid w:val="00F00FD7"/>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1FD1"/>
    <w:rsid w:val="00F3228A"/>
    <w:rsid w:val="00F33944"/>
    <w:rsid w:val="00F3395E"/>
    <w:rsid w:val="00F33A72"/>
    <w:rsid w:val="00F3415D"/>
    <w:rsid w:val="00F363F1"/>
    <w:rsid w:val="00F37256"/>
    <w:rsid w:val="00F416CB"/>
    <w:rsid w:val="00F42901"/>
    <w:rsid w:val="00F42CBF"/>
    <w:rsid w:val="00F43DFC"/>
    <w:rsid w:val="00F45E5A"/>
    <w:rsid w:val="00F50DD3"/>
    <w:rsid w:val="00F54740"/>
    <w:rsid w:val="00F57A3E"/>
    <w:rsid w:val="00F62899"/>
    <w:rsid w:val="00F62B5C"/>
    <w:rsid w:val="00F637A9"/>
    <w:rsid w:val="00F63A4A"/>
    <w:rsid w:val="00F63E31"/>
    <w:rsid w:val="00F645AE"/>
    <w:rsid w:val="00F67D00"/>
    <w:rsid w:val="00F67D2C"/>
    <w:rsid w:val="00F70011"/>
    <w:rsid w:val="00F71063"/>
    <w:rsid w:val="00F720FA"/>
    <w:rsid w:val="00F733B2"/>
    <w:rsid w:val="00F73947"/>
    <w:rsid w:val="00F75DF6"/>
    <w:rsid w:val="00F772EA"/>
    <w:rsid w:val="00F77698"/>
    <w:rsid w:val="00F776C0"/>
    <w:rsid w:val="00F824D8"/>
    <w:rsid w:val="00F83BC2"/>
    <w:rsid w:val="00F84ED2"/>
    <w:rsid w:val="00F90290"/>
    <w:rsid w:val="00F915B8"/>
    <w:rsid w:val="00F91B3B"/>
    <w:rsid w:val="00F92EF2"/>
    <w:rsid w:val="00F94EC0"/>
    <w:rsid w:val="00F976C6"/>
    <w:rsid w:val="00FA0C52"/>
    <w:rsid w:val="00FA1A34"/>
    <w:rsid w:val="00FA215D"/>
    <w:rsid w:val="00FA2451"/>
    <w:rsid w:val="00FA457D"/>
    <w:rsid w:val="00FA6E33"/>
    <w:rsid w:val="00FA72B1"/>
    <w:rsid w:val="00FB2AD4"/>
    <w:rsid w:val="00FB4C89"/>
    <w:rsid w:val="00FC0718"/>
    <w:rsid w:val="00FC479C"/>
    <w:rsid w:val="00FC557C"/>
    <w:rsid w:val="00FC6BE9"/>
    <w:rsid w:val="00FC6E57"/>
    <w:rsid w:val="00FC7151"/>
    <w:rsid w:val="00FC7CFA"/>
    <w:rsid w:val="00FD0C02"/>
    <w:rsid w:val="00FD1FCF"/>
    <w:rsid w:val="00FD282F"/>
    <w:rsid w:val="00FD54F6"/>
    <w:rsid w:val="00FD5943"/>
    <w:rsid w:val="00FD6619"/>
    <w:rsid w:val="00FD6EAA"/>
    <w:rsid w:val="00FE0ABB"/>
    <w:rsid w:val="00FE141F"/>
    <w:rsid w:val="00FE20F0"/>
    <w:rsid w:val="00FE44D6"/>
    <w:rsid w:val="00FE7911"/>
    <w:rsid w:val="00FF1735"/>
    <w:rsid w:val="00FF31C9"/>
    <w:rsid w:val="00FF3D51"/>
    <w:rsid w:val="00FF4210"/>
    <w:rsid w:val="00FF51F8"/>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customStyle="1" w:styleId="western">
    <w:name w:val="western"/>
    <w:basedOn w:val="Normal"/>
    <w:rsid w:val="00604246"/>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604246"/>
  </w:style>
  <w:style w:type="character" w:styleId="Hyperlink">
    <w:name w:val="Hyperlink"/>
    <w:basedOn w:val="DefaultParagraphFont"/>
    <w:uiPriority w:val="99"/>
    <w:semiHidden/>
    <w:unhideWhenUsed/>
    <w:rsid w:val="0060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123A-E15F-48D1-89AA-C9D92F6B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2022-08-14T11:01:00Z</dcterms:created>
  <dcterms:modified xsi:type="dcterms:W3CDTF">2022-08-14T11:01:00Z</dcterms:modified>
</cp:coreProperties>
</file>