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069E" w14:textId="77777777" w:rsidR="00EA5C93" w:rsidRPr="005E0A83" w:rsidRDefault="00EA5C93" w:rsidP="00EA5C93">
      <w:pPr>
        <w:pStyle w:val="GW11"/>
        <w:jc w:val="left"/>
        <w:rPr>
          <w:rFonts w:ascii="Arial" w:hAnsi="Arial" w:cs="Arial"/>
          <w:b/>
          <w:szCs w:val="24"/>
        </w:rPr>
      </w:pPr>
      <w:bookmarkStart w:id="0" w:name="_GoBack"/>
      <w:bookmarkEnd w:id="0"/>
      <w:r w:rsidRPr="005E0A83">
        <w:rPr>
          <w:rFonts w:ascii="Arial" w:hAnsi="Arial" w:cs="Arial"/>
          <w:b/>
          <w:szCs w:val="24"/>
        </w:rPr>
        <w:t>IN THE HIGH COURT OF SOUTH AFRICA</w:t>
      </w:r>
    </w:p>
    <w:p w14:paraId="66B0B682" w14:textId="4CB87210" w:rsidR="00EA5C93" w:rsidRPr="005E0A83" w:rsidRDefault="00EA5C93" w:rsidP="00EA5C93">
      <w:pPr>
        <w:pStyle w:val="GW11"/>
        <w:jc w:val="left"/>
        <w:rPr>
          <w:rFonts w:ascii="Arial" w:hAnsi="Arial" w:cs="Arial"/>
          <w:b/>
          <w:szCs w:val="24"/>
        </w:rPr>
      </w:pPr>
      <w:r w:rsidRPr="005E0A83">
        <w:rPr>
          <w:rFonts w:ascii="Arial" w:hAnsi="Arial" w:cs="Arial"/>
          <w:b/>
          <w:szCs w:val="24"/>
        </w:rPr>
        <w:t xml:space="preserve">(EASTERN CAPE DIVISION, </w:t>
      </w:r>
      <w:r>
        <w:rPr>
          <w:rFonts w:ascii="Arial" w:hAnsi="Arial" w:cs="Arial"/>
          <w:b/>
          <w:szCs w:val="24"/>
        </w:rPr>
        <w:t>GQEBERHA</w:t>
      </w:r>
      <w:r w:rsidRPr="005E0A83">
        <w:rPr>
          <w:rFonts w:ascii="Arial" w:hAnsi="Arial" w:cs="Arial"/>
          <w:b/>
          <w:szCs w:val="24"/>
        </w:rPr>
        <w:t>)</w:t>
      </w:r>
    </w:p>
    <w:p w14:paraId="245694A3" w14:textId="4B52DBF3" w:rsidR="00EA5C93" w:rsidRPr="005E0A83" w:rsidRDefault="00EA5C93" w:rsidP="00EA5C93">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Pr>
          <w:rFonts w:ascii="Arial" w:hAnsi="Arial" w:cs="Arial"/>
          <w:szCs w:val="24"/>
        </w:rPr>
        <w:t>2596/2020</w:t>
      </w:r>
    </w:p>
    <w:p w14:paraId="2890EAE9" w14:textId="77777777" w:rsidR="00EA5C93" w:rsidRPr="005E0A83" w:rsidRDefault="00EA5C93" w:rsidP="00EA5C93">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5A90C13D" w14:textId="2B75AB2C" w:rsidR="00EA5C93" w:rsidRPr="005E0A83" w:rsidRDefault="00EA5C93" w:rsidP="00EA5C93">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 xml:space="preserve">In the matter </w:t>
      </w:r>
      <w:r w:rsidR="00646093" w:rsidRPr="005E0A83">
        <w:rPr>
          <w:rFonts w:ascii="Arial" w:hAnsi="Arial" w:cs="Arial"/>
          <w:szCs w:val="24"/>
        </w:rPr>
        <w:t>between: -</w:t>
      </w:r>
    </w:p>
    <w:p w14:paraId="7E521DC5" w14:textId="77777777" w:rsidR="00EA5C93" w:rsidRPr="005E0A83" w:rsidRDefault="00EA5C93" w:rsidP="00EA5C93">
      <w:pPr>
        <w:pStyle w:val="GW11"/>
        <w:rPr>
          <w:rFonts w:ascii="Arial" w:hAnsi="Arial" w:cs="Arial"/>
          <w:szCs w:val="24"/>
        </w:rPr>
      </w:pPr>
    </w:p>
    <w:p w14:paraId="2F4CFBE3" w14:textId="326668D7" w:rsidR="00EA5C93" w:rsidRPr="005E0A83" w:rsidRDefault="00EA5C93" w:rsidP="00EA5C93">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LINEEN SWARTS</w:t>
      </w:r>
      <w:r w:rsidRPr="005E0A83">
        <w:rPr>
          <w:rFonts w:ascii="Arial" w:hAnsi="Arial" w:cs="Arial"/>
          <w:b/>
          <w:szCs w:val="24"/>
        </w:rPr>
        <w:t xml:space="preserve">                                                                                  </w:t>
      </w:r>
      <w:r>
        <w:rPr>
          <w:rFonts w:ascii="Arial" w:hAnsi="Arial" w:cs="Arial"/>
          <w:b/>
          <w:szCs w:val="24"/>
        </w:rPr>
        <w:t xml:space="preserve">          </w:t>
      </w:r>
      <w:r>
        <w:rPr>
          <w:rFonts w:ascii="Arial" w:hAnsi="Arial" w:cs="Arial"/>
          <w:bCs/>
          <w:szCs w:val="24"/>
        </w:rPr>
        <w:t>Plaintiff</w:t>
      </w:r>
    </w:p>
    <w:p w14:paraId="7D4EA455" w14:textId="77777777" w:rsidR="00EA5C93" w:rsidRPr="005E0A83" w:rsidRDefault="00EA5C93" w:rsidP="00EA5C93">
      <w:pPr>
        <w:pStyle w:val="GW11"/>
        <w:rPr>
          <w:rFonts w:ascii="Arial" w:hAnsi="Arial" w:cs="Arial"/>
          <w:szCs w:val="24"/>
        </w:rPr>
      </w:pPr>
    </w:p>
    <w:p w14:paraId="4D035A12" w14:textId="77777777" w:rsidR="00EA5C93" w:rsidRPr="005E0A83" w:rsidRDefault="00EA5C93" w:rsidP="00EA5C93">
      <w:pPr>
        <w:pStyle w:val="GW11"/>
        <w:rPr>
          <w:rFonts w:ascii="Arial" w:hAnsi="Arial" w:cs="Arial"/>
          <w:szCs w:val="24"/>
        </w:rPr>
      </w:pPr>
      <w:r w:rsidRPr="005E0A83">
        <w:rPr>
          <w:rFonts w:ascii="Arial" w:hAnsi="Arial" w:cs="Arial"/>
          <w:szCs w:val="24"/>
        </w:rPr>
        <w:t>and</w:t>
      </w:r>
    </w:p>
    <w:p w14:paraId="14A354DC" w14:textId="77777777" w:rsidR="00EA5C93" w:rsidRPr="005E0A83" w:rsidRDefault="00EA5C93" w:rsidP="00EA5C93">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58FB3A1C" w14:textId="258F5690" w:rsidR="00EA5C93" w:rsidRDefault="00EA5C93" w:rsidP="00EA5C93">
      <w:pPr>
        <w:pStyle w:val="GW12"/>
        <w:tabs>
          <w:tab w:val="clear" w:pos="6048"/>
          <w:tab w:val="clear" w:pos="8640"/>
          <w:tab w:val="right" w:pos="8931"/>
        </w:tabs>
        <w:ind w:right="-46"/>
        <w:rPr>
          <w:rFonts w:ascii="Arial" w:hAnsi="Arial" w:cs="Arial"/>
          <w:szCs w:val="24"/>
        </w:rPr>
      </w:pPr>
      <w:r w:rsidRPr="005E0A83">
        <w:rPr>
          <w:rFonts w:ascii="Arial" w:hAnsi="Arial" w:cs="Arial"/>
          <w:b/>
          <w:szCs w:val="24"/>
        </w:rPr>
        <w:t>THE</w:t>
      </w:r>
      <w:r>
        <w:rPr>
          <w:rFonts w:ascii="Arial" w:hAnsi="Arial" w:cs="Arial"/>
          <w:b/>
          <w:szCs w:val="24"/>
        </w:rPr>
        <w:t xml:space="preserve"> MINISTER OF</w:t>
      </w:r>
      <w:r w:rsidRPr="005E0A83">
        <w:rPr>
          <w:rFonts w:ascii="Arial" w:hAnsi="Arial" w:cs="Arial"/>
          <w:b/>
          <w:szCs w:val="24"/>
        </w:rPr>
        <w:t xml:space="preserve"> PUBLIC</w:t>
      </w:r>
      <w:r>
        <w:rPr>
          <w:rFonts w:ascii="Arial" w:hAnsi="Arial" w:cs="Arial"/>
          <w:b/>
          <w:szCs w:val="24"/>
        </w:rPr>
        <w:t xml:space="preserve"> WORKS AND</w:t>
      </w:r>
      <w:r w:rsidRPr="005E0A83">
        <w:rPr>
          <w:rFonts w:ascii="Arial" w:hAnsi="Arial" w:cs="Arial"/>
          <w:b/>
          <w:szCs w:val="24"/>
        </w:rPr>
        <w:t xml:space="preserve">                   </w:t>
      </w:r>
      <w:r w:rsidR="002941D5">
        <w:rPr>
          <w:rFonts w:ascii="Arial" w:hAnsi="Arial" w:cs="Arial"/>
          <w:b/>
          <w:szCs w:val="24"/>
        </w:rPr>
        <w:t xml:space="preserve">                         </w:t>
      </w:r>
      <w:r w:rsidRPr="005E0A83">
        <w:rPr>
          <w:rFonts w:ascii="Arial" w:hAnsi="Arial" w:cs="Arial"/>
          <w:b/>
          <w:szCs w:val="24"/>
        </w:rPr>
        <w:t xml:space="preserve"> </w:t>
      </w:r>
      <w:r w:rsidRPr="005E0A83">
        <w:rPr>
          <w:rFonts w:ascii="Arial" w:hAnsi="Arial" w:cs="Arial"/>
          <w:szCs w:val="24"/>
        </w:rPr>
        <w:t xml:space="preserve">First </w:t>
      </w:r>
      <w:r w:rsidR="002941D5">
        <w:rPr>
          <w:rFonts w:ascii="Arial" w:hAnsi="Arial" w:cs="Arial"/>
          <w:szCs w:val="24"/>
        </w:rPr>
        <w:t>Defendant</w:t>
      </w:r>
    </w:p>
    <w:p w14:paraId="68CAC959" w14:textId="4C845CF2" w:rsidR="002941D5" w:rsidRDefault="002941D5" w:rsidP="00EA5C93">
      <w:pPr>
        <w:pStyle w:val="GW12"/>
        <w:tabs>
          <w:tab w:val="clear" w:pos="6048"/>
          <w:tab w:val="clear" w:pos="8640"/>
          <w:tab w:val="right" w:pos="8931"/>
        </w:tabs>
        <w:ind w:right="-46"/>
        <w:rPr>
          <w:rFonts w:ascii="Arial" w:hAnsi="Arial" w:cs="Arial"/>
          <w:b/>
          <w:szCs w:val="24"/>
        </w:rPr>
      </w:pPr>
      <w:r>
        <w:rPr>
          <w:rFonts w:ascii="Arial" w:hAnsi="Arial" w:cs="Arial"/>
          <w:b/>
          <w:szCs w:val="24"/>
        </w:rPr>
        <w:t>INFRASTRUCTURE</w:t>
      </w:r>
    </w:p>
    <w:p w14:paraId="0CEEA0D6" w14:textId="77777777" w:rsidR="002941D5" w:rsidRPr="005E0A83" w:rsidRDefault="002941D5" w:rsidP="00EA5C93">
      <w:pPr>
        <w:pStyle w:val="GW12"/>
        <w:tabs>
          <w:tab w:val="clear" w:pos="6048"/>
          <w:tab w:val="clear" w:pos="8640"/>
          <w:tab w:val="right" w:pos="8931"/>
        </w:tabs>
        <w:ind w:right="-46"/>
        <w:rPr>
          <w:rFonts w:ascii="Arial" w:hAnsi="Arial" w:cs="Arial"/>
          <w:szCs w:val="24"/>
        </w:rPr>
      </w:pPr>
    </w:p>
    <w:p w14:paraId="28E9D564" w14:textId="7ACE3C98" w:rsidR="002941D5" w:rsidRDefault="002941D5" w:rsidP="00EA5C93">
      <w:pPr>
        <w:pStyle w:val="GW12"/>
        <w:tabs>
          <w:tab w:val="clear" w:pos="6048"/>
          <w:tab w:val="clear" w:pos="8640"/>
          <w:tab w:val="right" w:pos="9072"/>
        </w:tabs>
        <w:ind w:right="-46"/>
        <w:rPr>
          <w:rFonts w:ascii="Arial" w:hAnsi="Arial" w:cs="Arial"/>
          <w:b/>
          <w:bCs/>
          <w:szCs w:val="24"/>
        </w:rPr>
      </w:pPr>
      <w:r>
        <w:rPr>
          <w:rFonts w:ascii="Arial" w:hAnsi="Arial" w:cs="Arial"/>
          <w:b/>
          <w:bCs/>
          <w:szCs w:val="24"/>
        </w:rPr>
        <w:t xml:space="preserve">THE MINISTER OF JUSTICE AND CORRECTIONAL                         </w:t>
      </w:r>
      <w:r w:rsidRPr="005E0A83">
        <w:rPr>
          <w:rFonts w:ascii="Arial" w:hAnsi="Arial" w:cs="Arial"/>
          <w:szCs w:val="24"/>
        </w:rPr>
        <w:t xml:space="preserve">Second </w:t>
      </w:r>
      <w:r>
        <w:rPr>
          <w:rFonts w:ascii="Arial" w:hAnsi="Arial" w:cs="Arial"/>
          <w:szCs w:val="24"/>
        </w:rPr>
        <w:t>Defendant</w:t>
      </w:r>
    </w:p>
    <w:p w14:paraId="38F13B3C" w14:textId="73B8D324" w:rsidR="00EA5C93" w:rsidRPr="005E0A83" w:rsidRDefault="002941D5" w:rsidP="00EA5C93">
      <w:pPr>
        <w:pStyle w:val="GW12"/>
        <w:tabs>
          <w:tab w:val="clear" w:pos="6048"/>
          <w:tab w:val="clear" w:pos="8640"/>
          <w:tab w:val="right" w:pos="9072"/>
        </w:tabs>
        <w:ind w:right="-46"/>
        <w:rPr>
          <w:rFonts w:ascii="Arial" w:hAnsi="Arial" w:cs="Arial"/>
          <w:b/>
          <w:bCs/>
          <w:szCs w:val="24"/>
        </w:rPr>
      </w:pPr>
      <w:r>
        <w:rPr>
          <w:rFonts w:ascii="Arial" w:hAnsi="Arial" w:cs="Arial"/>
          <w:b/>
          <w:bCs/>
          <w:szCs w:val="24"/>
        </w:rPr>
        <w:t>SERVICES</w:t>
      </w:r>
      <w:r w:rsidR="00EA5C93" w:rsidRPr="005E0A83">
        <w:rPr>
          <w:rFonts w:ascii="Arial" w:hAnsi="Arial" w:cs="Arial"/>
          <w:b/>
          <w:bCs/>
          <w:szCs w:val="24"/>
        </w:rPr>
        <w:t xml:space="preserve">  </w:t>
      </w:r>
      <w:r w:rsidR="00EA5C93" w:rsidRPr="005E0A83">
        <w:rPr>
          <w:rFonts w:ascii="Arial" w:hAnsi="Arial" w:cs="Arial"/>
          <w:b/>
          <w:bCs/>
          <w:szCs w:val="24"/>
        </w:rPr>
        <w:tab/>
        <w:t xml:space="preserve"> </w:t>
      </w:r>
      <w:r w:rsidR="00EA5C93" w:rsidRPr="005E0A83">
        <w:rPr>
          <w:rFonts w:ascii="Arial" w:hAnsi="Arial" w:cs="Arial"/>
          <w:b/>
          <w:bCs/>
          <w:szCs w:val="24"/>
        </w:rPr>
        <w:tab/>
      </w:r>
    </w:p>
    <w:p w14:paraId="391058BD" w14:textId="77777777" w:rsidR="00EA5C93" w:rsidRPr="005E0A83" w:rsidRDefault="00EA5C93" w:rsidP="00EA5C93">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43291E0F" w14:textId="77777777" w:rsidR="00EA5C93" w:rsidRPr="005E0A83" w:rsidRDefault="00EA5C93" w:rsidP="00EA5C93">
      <w:pPr>
        <w:pStyle w:val="GW13"/>
        <w:tabs>
          <w:tab w:val="clear" w:pos="8640"/>
        </w:tabs>
        <w:spacing w:line="240" w:lineRule="auto"/>
        <w:ind w:right="-45"/>
        <w:jc w:val="center"/>
        <w:rPr>
          <w:rFonts w:ascii="Arial" w:hAnsi="Arial" w:cs="Arial"/>
          <w:b/>
          <w:szCs w:val="24"/>
        </w:rPr>
      </w:pPr>
    </w:p>
    <w:p w14:paraId="1B72EAC3" w14:textId="77777777" w:rsidR="00EA5C93" w:rsidRPr="005E0A83" w:rsidRDefault="00EA5C93" w:rsidP="00EA5C93">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22A4EEFE" w14:textId="6A1409E6" w:rsidR="00EA5C93" w:rsidRPr="005E0A83" w:rsidRDefault="00EA5C93" w:rsidP="00EA5C93">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sidR="002119C6">
        <w:rPr>
          <w:rFonts w:ascii="Arial" w:hAnsi="Arial" w:cs="Arial"/>
          <w:szCs w:val="24"/>
        </w:rPr>
        <w:t>14 February 2022</w:t>
      </w:r>
    </w:p>
    <w:p w14:paraId="2C7149EF" w14:textId="56E2BEA8" w:rsidR="00EA5C93" w:rsidRPr="005E0A83" w:rsidRDefault="00EA5C93" w:rsidP="00EA5C93">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sidR="002941D5">
        <w:rPr>
          <w:rFonts w:ascii="Arial" w:hAnsi="Arial" w:cs="Arial"/>
          <w:szCs w:val="24"/>
        </w:rPr>
        <w:t>1</w:t>
      </w:r>
      <w:r w:rsidR="005F08EF">
        <w:rPr>
          <w:rFonts w:ascii="Arial" w:hAnsi="Arial" w:cs="Arial"/>
          <w:szCs w:val="24"/>
        </w:rPr>
        <w:t>2</w:t>
      </w:r>
      <w:r w:rsidR="002941D5">
        <w:rPr>
          <w:rFonts w:ascii="Arial" w:hAnsi="Arial" w:cs="Arial"/>
          <w:szCs w:val="24"/>
        </w:rPr>
        <w:t xml:space="preserve"> August</w:t>
      </w:r>
      <w:r w:rsidRPr="005E0A83">
        <w:rPr>
          <w:rFonts w:ascii="Arial" w:hAnsi="Arial" w:cs="Arial"/>
          <w:szCs w:val="24"/>
        </w:rPr>
        <w:t xml:space="preserve"> 2022</w:t>
      </w:r>
    </w:p>
    <w:p w14:paraId="112E307E" w14:textId="77777777" w:rsidR="00EA5C93" w:rsidRPr="005E0A83" w:rsidRDefault="00EA5C93" w:rsidP="00EA5C93">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3406FD02" w14:textId="77777777" w:rsidR="00EA5C93" w:rsidRPr="005E0A83" w:rsidRDefault="00EA5C93" w:rsidP="00EA5C93">
      <w:pPr>
        <w:pStyle w:val="GW13"/>
        <w:tabs>
          <w:tab w:val="clear" w:pos="8640"/>
        </w:tabs>
        <w:spacing w:line="240" w:lineRule="auto"/>
        <w:ind w:right="-45"/>
        <w:jc w:val="center"/>
        <w:rPr>
          <w:rFonts w:ascii="Arial" w:hAnsi="Arial" w:cs="Arial"/>
          <w:b/>
          <w:szCs w:val="24"/>
        </w:rPr>
      </w:pPr>
    </w:p>
    <w:p w14:paraId="0B250827" w14:textId="77777777" w:rsidR="00EA5C93" w:rsidRPr="005E0A83" w:rsidRDefault="00EA5C93" w:rsidP="00EA5C93">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26B66C27" w14:textId="77777777" w:rsidR="00EA5C93" w:rsidRPr="005E0A83" w:rsidRDefault="00EA5C93" w:rsidP="00EA5C93">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3F5FDF8C" w14:textId="77777777" w:rsidR="00EA5C93" w:rsidRPr="005E0A83" w:rsidRDefault="00EA5C93" w:rsidP="00EA5C93">
      <w:pPr>
        <w:pStyle w:val="GW13"/>
        <w:tabs>
          <w:tab w:val="clear" w:pos="8640"/>
          <w:tab w:val="right" w:pos="9072"/>
        </w:tabs>
        <w:spacing w:line="480" w:lineRule="auto"/>
        <w:ind w:right="-46"/>
        <w:rPr>
          <w:rFonts w:ascii="Arial" w:hAnsi="Arial" w:cs="Arial"/>
          <w:b/>
          <w:szCs w:val="24"/>
        </w:rPr>
      </w:pPr>
    </w:p>
    <w:p w14:paraId="5C0FCD5B" w14:textId="77777777" w:rsidR="00EA5C93" w:rsidRPr="005E0A83" w:rsidRDefault="00EA5C93" w:rsidP="00EA5C93">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6546118B" w14:textId="77777777" w:rsidR="00EA5C93" w:rsidRPr="005E0A83" w:rsidRDefault="00EA5C93" w:rsidP="00EA5C93">
      <w:pPr>
        <w:pStyle w:val="ListParagraph"/>
        <w:spacing w:after="0" w:line="480" w:lineRule="auto"/>
        <w:ind w:left="851"/>
        <w:jc w:val="both"/>
        <w:rPr>
          <w:rFonts w:ascii="Arial" w:hAnsi="Arial" w:cs="Arial"/>
          <w:sz w:val="24"/>
          <w:szCs w:val="24"/>
        </w:rPr>
      </w:pPr>
    </w:p>
    <w:p w14:paraId="44F13440" w14:textId="5FC75394" w:rsidR="00E4740E" w:rsidRDefault="006E1D3B" w:rsidP="00153F0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On Friday, 16 November 2018, wh</w:t>
      </w:r>
      <w:r w:rsidR="00C645B6">
        <w:rPr>
          <w:rFonts w:ascii="Arial" w:hAnsi="Arial" w:cs="Arial"/>
          <w:sz w:val="24"/>
          <w:szCs w:val="24"/>
        </w:rPr>
        <w:t>at</w:t>
      </w:r>
      <w:r>
        <w:rPr>
          <w:rFonts w:ascii="Arial" w:hAnsi="Arial" w:cs="Arial"/>
          <w:sz w:val="24"/>
          <w:szCs w:val="24"/>
        </w:rPr>
        <w:t xml:space="preserve"> </w:t>
      </w:r>
      <w:r w:rsidR="002461AA">
        <w:rPr>
          <w:rFonts w:ascii="Arial" w:hAnsi="Arial" w:cs="Arial"/>
          <w:sz w:val="24"/>
          <w:szCs w:val="24"/>
        </w:rPr>
        <w:t>ought to have been a</w:t>
      </w:r>
      <w:r w:rsidR="004A63EA">
        <w:rPr>
          <w:rFonts w:ascii="Arial" w:hAnsi="Arial" w:cs="Arial"/>
          <w:sz w:val="24"/>
          <w:szCs w:val="24"/>
        </w:rPr>
        <w:t>n ordinary</w:t>
      </w:r>
      <w:r w:rsidR="00A57BF4">
        <w:rPr>
          <w:rFonts w:ascii="Arial" w:hAnsi="Arial" w:cs="Arial"/>
          <w:sz w:val="24"/>
          <w:szCs w:val="24"/>
        </w:rPr>
        <w:t xml:space="preserve"> </w:t>
      </w:r>
      <w:r w:rsidR="002461AA">
        <w:rPr>
          <w:rFonts w:ascii="Arial" w:hAnsi="Arial" w:cs="Arial"/>
          <w:sz w:val="24"/>
          <w:szCs w:val="24"/>
        </w:rPr>
        <w:t>morning</w:t>
      </w:r>
      <w:r w:rsidR="00127422">
        <w:rPr>
          <w:rFonts w:ascii="Arial" w:hAnsi="Arial" w:cs="Arial"/>
          <w:sz w:val="24"/>
          <w:szCs w:val="24"/>
        </w:rPr>
        <w:t xml:space="preserve"> </w:t>
      </w:r>
      <w:r w:rsidR="002461AA">
        <w:rPr>
          <w:rFonts w:ascii="Arial" w:hAnsi="Arial" w:cs="Arial"/>
          <w:sz w:val="24"/>
          <w:szCs w:val="24"/>
        </w:rPr>
        <w:t>at the Gqeberha Magistrates’ Court</w:t>
      </w:r>
      <w:r w:rsidR="00A57BF4">
        <w:rPr>
          <w:rFonts w:ascii="Arial" w:hAnsi="Arial" w:cs="Arial"/>
          <w:sz w:val="24"/>
          <w:szCs w:val="24"/>
        </w:rPr>
        <w:t xml:space="preserve"> for</w:t>
      </w:r>
      <w:r w:rsidR="003901ED">
        <w:rPr>
          <w:rFonts w:ascii="Arial" w:hAnsi="Arial" w:cs="Arial"/>
          <w:sz w:val="24"/>
          <w:szCs w:val="24"/>
        </w:rPr>
        <w:t xml:space="preserve"> the plaintiff, a</w:t>
      </w:r>
      <w:r w:rsidR="004A63EA">
        <w:rPr>
          <w:rFonts w:ascii="Arial" w:hAnsi="Arial" w:cs="Arial"/>
          <w:sz w:val="24"/>
          <w:szCs w:val="24"/>
        </w:rPr>
        <w:t xml:space="preserve"> local</w:t>
      </w:r>
      <w:r w:rsidR="00A57BF4">
        <w:rPr>
          <w:rFonts w:ascii="Arial" w:hAnsi="Arial" w:cs="Arial"/>
          <w:sz w:val="24"/>
          <w:szCs w:val="24"/>
        </w:rPr>
        <w:t xml:space="preserve"> attorney with many years standing, </w:t>
      </w:r>
      <w:r w:rsidR="00B643E8">
        <w:rPr>
          <w:rFonts w:ascii="Arial" w:hAnsi="Arial" w:cs="Arial"/>
          <w:sz w:val="24"/>
          <w:szCs w:val="24"/>
        </w:rPr>
        <w:t xml:space="preserve">took a turn for the worse when </w:t>
      </w:r>
      <w:r w:rsidR="003901ED">
        <w:rPr>
          <w:rFonts w:ascii="Arial" w:hAnsi="Arial" w:cs="Arial"/>
          <w:sz w:val="24"/>
          <w:szCs w:val="24"/>
        </w:rPr>
        <w:t>he</w:t>
      </w:r>
      <w:r w:rsidR="00127422">
        <w:rPr>
          <w:rFonts w:ascii="Arial" w:hAnsi="Arial" w:cs="Arial"/>
          <w:sz w:val="24"/>
          <w:szCs w:val="24"/>
        </w:rPr>
        <w:t xml:space="preserve"> </w:t>
      </w:r>
      <w:r w:rsidR="00C645B6">
        <w:rPr>
          <w:rFonts w:ascii="Arial" w:hAnsi="Arial" w:cs="Arial"/>
          <w:sz w:val="24"/>
          <w:szCs w:val="24"/>
        </w:rPr>
        <w:t>slipped</w:t>
      </w:r>
      <w:r w:rsidR="00A66AEC">
        <w:rPr>
          <w:rFonts w:ascii="Arial" w:hAnsi="Arial" w:cs="Arial"/>
          <w:sz w:val="24"/>
          <w:szCs w:val="24"/>
        </w:rPr>
        <w:t xml:space="preserve"> and fell</w:t>
      </w:r>
      <w:r w:rsidR="00C645B6">
        <w:rPr>
          <w:rFonts w:ascii="Arial" w:hAnsi="Arial" w:cs="Arial"/>
          <w:sz w:val="24"/>
          <w:szCs w:val="24"/>
        </w:rPr>
        <w:t xml:space="preserve"> </w:t>
      </w:r>
      <w:r w:rsidR="00127422">
        <w:rPr>
          <w:rFonts w:ascii="Arial" w:hAnsi="Arial" w:cs="Arial"/>
          <w:sz w:val="24"/>
          <w:szCs w:val="24"/>
        </w:rPr>
        <w:t>on</w:t>
      </w:r>
      <w:r w:rsidR="00A57BF4">
        <w:rPr>
          <w:rFonts w:ascii="Arial" w:hAnsi="Arial" w:cs="Arial"/>
          <w:sz w:val="24"/>
          <w:szCs w:val="24"/>
        </w:rPr>
        <w:t xml:space="preserve"> </w:t>
      </w:r>
      <w:r w:rsidR="00A66AEC">
        <w:rPr>
          <w:rFonts w:ascii="Arial" w:hAnsi="Arial" w:cs="Arial"/>
          <w:sz w:val="24"/>
          <w:szCs w:val="24"/>
        </w:rPr>
        <w:t xml:space="preserve">water </w:t>
      </w:r>
      <w:r w:rsidR="00CE3557">
        <w:rPr>
          <w:rFonts w:ascii="Arial" w:hAnsi="Arial" w:cs="Arial"/>
          <w:sz w:val="24"/>
          <w:szCs w:val="24"/>
        </w:rPr>
        <w:t xml:space="preserve">located </w:t>
      </w:r>
      <w:r w:rsidR="00A57BF4">
        <w:rPr>
          <w:rFonts w:ascii="Arial" w:hAnsi="Arial" w:cs="Arial"/>
          <w:sz w:val="24"/>
          <w:szCs w:val="24"/>
        </w:rPr>
        <w:t xml:space="preserve">on the floor in the </w:t>
      </w:r>
      <w:r w:rsidR="00C134D3">
        <w:rPr>
          <w:rFonts w:ascii="Arial" w:hAnsi="Arial" w:cs="Arial"/>
          <w:sz w:val="24"/>
          <w:szCs w:val="24"/>
        </w:rPr>
        <w:t>building’s</w:t>
      </w:r>
      <w:r w:rsidR="00A57BF4">
        <w:rPr>
          <w:rFonts w:ascii="Arial" w:hAnsi="Arial" w:cs="Arial"/>
          <w:sz w:val="24"/>
          <w:szCs w:val="24"/>
        </w:rPr>
        <w:t xml:space="preserve"> passageway</w:t>
      </w:r>
      <w:r w:rsidR="00CE3557">
        <w:rPr>
          <w:rFonts w:ascii="Arial" w:hAnsi="Arial" w:cs="Arial"/>
          <w:sz w:val="24"/>
          <w:szCs w:val="24"/>
        </w:rPr>
        <w:t>, injuring his left shoulder</w:t>
      </w:r>
      <w:r w:rsidR="00A57BF4">
        <w:rPr>
          <w:rFonts w:ascii="Arial" w:hAnsi="Arial" w:cs="Arial"/>
          <w:sz w:val="24"/>
          <w:szCs w:val="24"/>
        </w:rPr>
        <w:t>.</w:t>
      </w:r>
      <w:r w:rsidR="00FF0B71">
        <w:rPr>
          <w:rFonts w:ascii="Arial" w:hAnsi="Arial" w:cs="Arial"/>
          <w:sz w:val="24"/>
          <w:szCs w:val="24"/>
        </w:rPr>
        <w:t xml:space="preserve"> </w:t>
      </w:r>
      <w:r w:rsidR="00CE3557">
        <w:rPr>
          <w:rFonts w:ascii="Arial" w:hAnsi="Arial" w:cs="Arial"/>
          <w:sz w:val="24"/>
          <w:szCs w:val="24"/>
        </w:rPr>
        <w:t xml:space="preserve"> </w:t>
      </w:r>
    </w:p>
    <w:p w14:paraId="48E857D6" w14:textId="77777777" w:rsidR="00E4740E" w:rsidRDefault="00E4740E" w:rsidP="00153F02">
      <w:pPr>
        <w:pStyle w:val="ListParagraph"/>
        <w:spacing w:after="0" w:line="480" w:lineRule="auto"/>
        <w:ind w:left="851"/>
        <w:jc w:val="both"/>
        <w:rPr>
          <w:rFonts w:ascii="Arial" w:hAnsi="Arial" w:cs="Arial"/>
          <w:sz w:val="24"/>
          <w:szCs w:val="24"/>
        </w:rPr>
      </w:pPr>
    </w:p>
    <w:p w14:paraId="4C1BFA81" w14:textId="2C9B3BBC" w:rsidR="00EA5C93" w:rsidRPr="00AC6218" w:rsidRDefault="00CE3557" w:rsidP="00153F0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 contends that the slip</w:t>
      </w:r>
      <w:r w:rsidR="00A36FE6">
        <w:rPr>
          <w:rFonts w:ascii="Arial" w:hAnsi="Arial" w:cs="Arial"/>
          <w:sz w:val="24"/>
          <w:szCs w:val="24"/>
        </w:rPr>
        <w:t xml:space="preserve"> and</w:t>
      </w:r>
      <w:r>
        <w:rPr>
          <w:rFonts w:ascii="Arial" w:hAnsi="Arial" w:cs="Arial"/>
          <w:sz w:val="24"/>
          <w:szCs w:val="24"/>
        </w:rPr>
        <w:t xml:space="preserve"> fall</w:t>
      </w:r>
      <w:r w:rsidR="00A36FE6">
        <w:rPr>
          <w:rFonts w:ascii="Arial" w:hAnsi="Arial" w:cs="Arial"/>
          <w:sz w:val="24"/>
          <w:szCs w:val="24"/>
        </w:rPr>
        <w:t xml:space="preserve">, and the consequent </w:t>
      </w:r>
      <w:r>
        <w:rPr>
          <w:rFonts w:ascii="Arial" w:hAnsi="Arial" w:cs="Arial"/>
          <w:sz w:val="24"/>
          <w:szCs w:val="24"/>
        </w:rPr>
        <w:t>injuries sustained by him</w:t>
      </w:r>
      <w:r w:rsidR="00B5659F">
        <w:rPr>
          <w:rFonts w:ascii="Arial" w:hAnsi="Arial" w:cs="Arial"/>
          <w:sz w:val="24"/>
          <w:szCs w:val="24"/>
        </w:rPr>
        <w:t>,</w:t>
      </w:r>
      <w:r>
        <w:rPr>
          <w:rFonts w:ascii="Arial" w:hAnsi="Arial" w:cs="Arial"/>
          <w:sz w:val="24"/>
          <w:szCs w:val="24"/>
        </w:rPr>
        <w:t xml:space="preserve"> </w:t>
      </w:r>
      <w:r w:rsidR="00E4740E">
        <w:rPr>
          <w:rFonts w:ascii="Arial" w:hAnsi="Arial" w:cs="Arial"/>
          <w:sz w:val="24"/>
          <w:szCs w:val="24"/>
        </w:rPr>
        <w:t xml:space="preserve">were </w:t>
      </w:r>
      <w:r w:rsidR="00EA7925">
        <w:rPr>
          <w:rFonts w:ascii="Arial" w:hAnsi="Arial" w:cs="Arial"/>
          <w:sz w:val="24"/>
          <w:szCs w:val="24"/>
        </w:rPr>
        <w:t>caused</w:t>
      </w:r>
      <w:r w:rsidR="00C64D7C">
        <w:rPr>
          <w:rFonts w:ascii="Arial" w:hAnsi="Arial" w:cs="Arial"/>
          <w:sz w:val="24"/>
          <w:szCs w:val="24"/>
        </w:rPr>
        <w:t xml:space="preserve"> by</w:t>
      </w:r>
      <w:r w:rsidR="00E4740E">
        <w:rPr>
          <w:rFonts w:ascii="Arial" w:hAnsi="Arial" w:cs="Arial"/>
          <w:sz w:val="24"/>
          <w:szCs w:val="24"/>
        </w:rPr>
        <w:t xml:space="preserve"> the negligent conduct of first defendant; </w:t>
      </w:r>
      <w:r w:rsidR="00E4740E">
        <w:rPr>
          <w:rFonts w:ascii="Arial" w:hAnsi="Arial" w:cs="Arial"/>
          <w:sz w:val="24"/>
          <w:szCs w:val="24"/>
        </w:rPr>
        <w:lastRenderedPageBreak/>
        <w:t xml:space="preserve">alternatively, the </w:t>
      </w:r>
      <w:r w:rsidR="00A0011E">
        <w:rPr>
          <w:rFonts w:ascii="Arial" w:hAnsi="Arial" w:cs="Arial"/>
          <w:sz w:val="24"/>
          <w:szCs w:val="24"/>
        </w:rPr>
        <w:t>s</w:t>
      </w:r>
      <w:r w:rsidR="00E4740E">
        <w:rPr>
          <w:rFonts w:ascii="Arial" w:hAnsi="Arial" w:cs="Arial"/>
          <w:sz w:val="24"/>
          <w:szCs w:val="24"/>
        </w:rPr>
        <w:t>econd defendant; alternatively, both defendants, and/or one or more of their employees and/or cleaning contractor, acting within the course and scope of their employment.</w:t>
      </w:r>
      <w:r w:rsidR="00FF0B71">
        <w:rPr>
          <w:rFonts w:ascii="Arial" w:hAnsi="Arial" w:cs="Arial"/>
          <w:sz w:val="24"/>
          <w:szCs w:val="24"/>
        </w:rPr>
        <w:t xml:space="preserve"> </w:t>
      </w:r>
      <w:r w:rsidR="00E4740E">
        <w:rPr>
          <w:rFonts w:ascii="Arial" w:hAnsi="Arial" w:cs="Arial"/>
          <w:sz w:val="24"/>
          <w:szCs w:val="24"/>
        </w:rPr>
        <w:t xml:space="preserve"> </w:t>
      </w:r>
      <w:r w:rsidR="00CD7DE0">
        <w:rPr>
          <w:rFonts w:ascii="Arial" w:hAnsi="Arial" w:cs="Arial"/>
          <w:sz w:val="24"/>
          <w:szCs w:val="24"/>
        </w:rPr>
        <w:t xml:space="preserve">Accordingly, </w:t>
      </w:r>
      <w:r w:rsidR="00E4740E" w:rsidRPr="00AC6218">
        <w:rPr>
          <w:rFonts w:ascii="Arial" w:hAnsi="Arial" w:cs="Arial"/>
          <w:sz w:val="24"/>
          <w:szCs w:val="24"/>
        </w:rPr>
        <w:t>the plaintiff</w:t>
      </w:r>
      <w:r w:rsidR="00FF0B71" w:rsidRPr="00AC6218">
        <w:rPr>
          <w:rFonts w:ascii="Arial" w:hAnsi="Arial" w:cs="Arial"/>
          <w:sz w:val="24"/>
          <w:szCs w:val="24"/>
        </w:rPr>
        <w:t xml:space="preserve"> </w:t>
      </w:r>
      <w:r w:rsidR="0093055F" w:rsidRPr="00AC6218">
        <w:rPr>
          <w:rFonts w:ascii="Arial" w:hAnsi="Arial" w:cs="Arial"/>
          <w:sz w:val="24"/>
          <w:szCs w:val="24"/>
        </w:rPr>
        <w:t>instituted action against the defendants, jointly and severally,</w:t>
      </w:r>
      <w:r w:rsidR="00D73313" w:rsidRPr="00AC6218">
        <w:rPr>
          <w:rFonts w:ascii="Arial" w:hAnsi="Arial" w:cs="Arial"/>
          <w:sz w:val="24"/>
          <w:szCs w:val="24"/>
        </w:rPr>
        <w:t xml:space="preserve"> for damages allegedly arising out of</w:t>
      </w:r>
      <w:r w:rsidR="00E4740E" w:rsidRPr="00AC6218">
        <w:rPr>
          <w:rFonts w:ascii="Arial" w:hAnsi="Arial" w:cs="Arial"/>
          <w:sz w:val="24"/>
          <w:szCs w:val="24"/>
        </w:rPr>
        <w:t xml:space="preserve"> the aforesaid incident</w:t>
      </w:r>
      <w:r w:rsidR="00D73313" w:rsidRPr="00AC6218">
        <w:rPr>
          <w:rFonts w:ascii="Arial" w:hAnsi="Arial" w:cs="Arial"/>
          <w:sz w:val="24"/>
          <w:szCs w:val="24"/>
        </w:rPr>
        <w:t xml:space="preserve"> </w:t>
      </w:r>
      <w:r w:rsidR="00E4740E" w:rsidRPr="00AC6218">
        <w:rPr>
          <w:rFonts w:ascii="Arial" w:hAnsi="Arial" w:cs="Arial"/>
          <w:sz w:val="24"/>
          <w:szCs w:val="24"/>
        </w:rPr>
        <w:t>f</w:t>
      </w:r>
      <w:r w:rsidR="0093055F" w:rsidRPr="00AC6218">
        <w:rPr>
          <w:rFonts w:ascii="Arial" w:hAnsi="Arial" w:cs="Arial"/>
          <w:sz w:val="24"/>
          <w:szCs w:val="24"/>
        </w:rPr>
        <w:t>or payment in the amount of R2,862,362.17</w:t>
      </w:r>
      <w:r w:rsidR="00E4740E" w:rsidRPr="00AC6218">
        <w:rPr>
          <w:rFonts w:ascii="Arial" w:hAnsi="Arial" w:cs="Arial"/>
          <w:sz w:val="24"/>
          <w:szCs w:val="24"/>
        </w:rPr>
        <w:t>.</w:t>
      </w:r>
      <w:r w:rsidR="00AC6218">
        <w:rPr>
          <w:rFonts w:ascii="Arial" w:hAnsi="Arial" w:cs="Arial"/>
          <w:sz w:val="24"/>
          <w:szCs w:val="24"/>
        </w:rPr>
        <w:t xml:space="preserve">  I </w:t>
      </w:r>
      <w:r w:rsidR="00E63110">
        <w:rPr>
          <w:rFonts w:ascii="Arial" w:hAnsi="Arial" w:cs="Arial"/>
          <w:sz w:val="24"/>
          <w:szCs w:val="24"/>
        </w:rPr>
        <w:t>deal with</w:t>
      </w:r>
      <w:r w:rsidR="00AC6218">
        <w:rPr>
          <w:rFonts w:ascii="Arial" w:hAnsi="Arial" w:cs="Arial"/>
          <w:sz w:val="24"/>
          <w:szCs w:val="24"/>
        </w:rPr>
        <w:t xml:space="preserve"> the plaintiff’s pleaded case in greater detail later.</w:t>
      </w:r>
    </w:p>
    <w:p w14:paraId="252AACAC" w14:textId="0A88A013" w:rsidR="00E4740E" w:rsidRDefault="00E4740E" w:rsidP="00153F02">
      <w:pPr>
        <w:pStyle w:val="ListParagraph"/>
        <w:spacing w:after="0" w:line="480" w:lineRule="auto"/>
        <w:ind w:left="851"/>
        <w:jc w:val="both"/>
        <w:rPr>
          <w:rFonts w:ascii="Arial" w:hAnsi="Arial" w:cs="Arial"/>
          <w:sz w:val="24"/>
          <w:szCs w:val="24"/>
        </w:rPr>
      </w:pPr>
    </w:p>
    <w:p w14:paraId="39F8A5BB" w14:textId="60B3F7D9" w:rsidR="0049049B" w:rsidRDefault="004A63EA" w:rsidP="00153F0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plaintiff’s claim was met with various special pleas</w:t>
      </w:r>
      <w:r w:rsidR="00FD0CC9">
        <w:rPr>
          <w:rFonts w:ascii="Arial" w:hAnsi="Arial" w:cs="Arial"/>
          <w:sz w:val="24"/>
          <w:szCs w:val="24"/>
        </w:rPr>
        <w:t xml:space="preserve"> as well as a plea on the merits.  </w:t>
      </w:r>
      <w:r w:rsidR="00450BC3">
        <w:rPr>
          <w:rFonts w:ascii="Arial" w:hAnsi="Arial" w:cs="Arial"/>
          <w:sz w:val="24"/>
          <w:szCs w:val="24"/>
        </w:rPr>
        <w:t>W</w:t>
      </w:r>
      <w:r w:rsidR="006425A7">
        <w:rPr>
          <w:rFonts w:ascii="Arial" w:hAnsi="Arial" w:cs="Arial"/>
          <w:sz w:val="24"/>
          <w:szCs w:val="24"/>
        </w:rPr>
        <w:t>hilst the defendant</w:t>
      </w:r>
      <w:r w:rsidR="00450BC3">
        <w:rPr>
          <w:rFonts w:ascii="Arial" w:hAnsi="Arial" w:cs="Arial"/>
          <w:sz w:val="24"/>
          <w:szCs w:val="24"/>
        </w:rPr>
        <w:t>s</w:t>
      </w:r>
      <w:r w:rsidR="006425A7">
        <w:rPr>
          <w:rFonts w:ascii="Arial" w:hAnsi="Arial" w:cs="Arial"/>
          <w:sz w:val="24"/>
          <w:szCs w:val="24"/>
        </w:rPr>
        <w:t xml:space="preserve"> initially raised a special plea of non-compliance with section </w:t>
      </w:r>
      <w:r w:rsidR="00450BC3">
        <w:rPr>
          <w:rFonts w:ascii="Arial" w:hAnsi="Arial" w:cs="Arial"/>
          <w:sz w:val="24"/>
          <w:szCs w:val="24"/>
        </w:rPr>
        <w:t xml:space="preserve">2 of Act 20 of 1957, read with section 5(1)(a) of Act 8 of 2017, </w:t>
      </w:r>
      <w:r w:rsidR="006425A7">
        <w:rPr>
          <w:rFonts w:ascii="Arial" w:hAnsi="Arial" w:cs="Arial"/>
          <w:sz w:val="24"/>
          <w:szCs w:val="24"/>
        </w:rPr>
        <w:t xml:space="preserve">this was later withdrawn </w:t>
      </w:r>
      <w:r w:rsidR="00450BC3">
        <w:rPr>
          <w:rFonts w:ascii="Arial" w:hAnsi="Arial" w:cs="Arial"/>
          <w:sz w:val="24"/>
          <w:szCs w:val="24"/>
        </w:rPr>
        <w:t xml:space="preserve">despite </w:t>
      </w:r>
      <w:r w:rsidR="0049049B">
        <w:rPr>
          <w:rFonts w:ascii="Arial" w:hAnsi="Arial" w:cs="Arial"/>
          <w:sz w:val="24"/>
          <w:szCs w:val="24"/>
        </w:rPr>
        <w:t>its inclusion i</w:t>
      </w:r>
      <w:r w:rsidR="00450BC3">
        <w:rPr>
          <w:rFonts w:ascii="Arial" w:hAnsi="Arial" w:cs="Arial"/>
          <w:sz w:val="24"/>
          <w:szCs w:val="24"/>
        </w:rPr>
        <w:t>n the first and second defendants’ amended plea</w:t>
      </w:r>
      <w:r w:rsidR="0049049B">
        <w:rPr>
          <w:rFonts w:ascii="Arial" w:hAnsi="Arial" w:cs="Arial"/>
          <w:sz w:val="24"/>
          <w:szCs w:val="24"/>
        </w:rPr>
        <w:t>, which</w:t>
      </w:r>
      <w:r w:rsidR="00450BC3">
        <w:rPr>
          <w:rFonts w:ascii="Arial" w:hAnsi="Arial" w:cs="Arial"/>
          <w:sz w:val="24"/>
          <w:szCs w:val="24"/>
        </w:rPr>
        <w:t xml:space="preserve"> </w:t>
      </w:r>
      <w:r w:rsidR="0049049B">
        <w:rPr>
          <w:rFonts w:ascii="Arial" w:hAnsi="Arial" w:cs="Arial"/>
          <w:sz w:val="24"/>
          <w:szCs w:val="24"/>
        </w:rPr>
        <w:t xml:space="preserve">was </w:t>
      </w:r>
      <w:r w:rsidR="00450BC3">
        <w:rPr>
          <w:rFonts w:ascii="Arial" w:hAnsi="Arial" w:cs="Arial"/>
          <w:sz w:val="24"/>
          <w:szCs w:val="24"/>
        </w:rPr>
        <w:t>delivered</w:t>
      </w:r>
      <w:r w:rsidR="00FD0CC9">
        <w:rPr>
          <w:rFonts w:ascii="Arial" w:hAnsi="Arial" w:cs="Arial"/>
          <w:sz w:val="24"/>
          <w:szCs w:val="24"/>
        </w:rPr>
        <w:t xml:space="preserve"> on the day of trial,</w:t>
      </w:r>
      <w:r w:rsidR="00450BC3">
        <w:rPr>
          <w:rFonts w:ascii="Arial" w:hAnsi="Arial" w:cs="Arial"/>
          <w:sz w:val="24"/>
          <w:szCs w:val="24"/>
        </w:rPr>
        <w:t xml:space="preserve"> </w:t>
      </w:r>
      <w:r w:rsidR="0049049B">
        <w:rPr>
          <w:rFonts w:ascii="Arial" w:hAnsi="Arial" w:cs="Arial"/>
          <w:sz w:val="24"/>
          <w:szCs w:val="24"/>
        </w:rPr>
        <w:t>p</w:t>
      </w:r>
      <w:r w:rsidR="006425A7">
        <w:rPr>
          <w:rFonts w:ascii="Arial" w:hAnsi="Arial" w:cs="Arial"/>
          <w:sz w:val="24"/>
          <w:szCs w:val="24"/>
        </w:rPr>
        <w:t>rior to the commencement of the matter</w:t>
      </w:r>
      <w:r w:rsidR="00FD0CC9">
        <w:rPr>
          <w:rFonts w:ascii="Arial" w:hAnsi="Arial" w:cs="Arial"/>
          <w:sz w:val="24"/>
          <w:szCs w:val="24"/>
        </w:rPr>
        <w:t>.</w:t>
      </w:r>
    </w:p>
    <w:p w14:paraId="12FAB6DA" w14:textId="77777777" w:rsidR="0049049B" w:rsidRPr="0049049B" w:rsidRDefault="0049049B" w:rsidP="00153F02">
      <w:pPr>
        <w:pStyle w:val="ListParagraph"/>
        <w:spacing w:after="0" w:line="480" w:lineRule="auto"/>
        <w:rPr>
          <w:rFonts w:ascii="Arial" w:hAnsi="Arial" w:cs="Arial"/>
          <w:sz w:val="24"/>
          <w:szCs w:val="24"/>
        </w:rPr>
      </w:pPr>
    </w:p>
    <w:p w14:paraId="20CED68D" w14:textId="2C793CC5" w:rsidR="006425A7" w:rsidRDefault="00FD0CC9" w:rsidP="00153F0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addition to the aforesaid,</w:t>
      </w:r>
      <w:r w:rsidR="00EE434E">
        <w:rPr>
          <w:rFonts w:ascii="Arial" w:hAnsi="Arial" w:cs="Arial"/>
          <w:sz w:val="24"/>
          <w:szCs w:val="24"/>
        </w:rPr>
        <w:t xml:space="preserve"> and by way of a special plea of non-joinder</w:t>
      </w:r>
      <w:r w:rsidR="000A4392">
        <w:rPr>
          <w:rFonts w:ascii="Arial" w:hAnsi="Arial" w:cs="Arial"/>
          <w:sz w:val="24"/>
          <w:szCs w:val="24"/>
        </w:rPr>
        <w:t>,</w:t>
      </w:r>
      <w:r>
        <w:rPr>
          <w:rFonts w:ascii="Arial" w:hAnsi="Arial" w:cs="Arial"/>
          <w:sz w:val="24"/>
          <w:szCs w:val="24"/>
        </w:rPr>
        <w:t xml:space="preserve"> t</w:t>
      </w:r>
      <w:r w:rsidR="00330437">
        <w:rPr>
          <w:rFonts w:ascii="Arial" w:hAnsi="Arial" w:cs="Arial"/>
          <w:sz w:val="24"/>
          <w:szCs w:val="24"/>
        </w:rPr>
        <w:t>he first defendant contends that Sky Ground Enterprise (“</w:t>
      </w:r>
      <w:r w:rsidR="00330437" w:rsidRPr="00330437">
        <w:rPr>
          <w:rFonts w:ascii="Arial" w:hAnsi="Arial" w:cs="Arial"/>
          <w:i/>
          <w:iCs/>
          <w:sz w:val="24"/>
          <w:szCs w:val="24"/>
        </w:rPr>
        <w:t>Sky Ground</w:t>
      </w:r>
      <w:r w:rsidR="00330437">
        <w:rPr>
          <w:rFonts w:ascii="Arial" w:hAnsi="Arial" w:cs="Arial"/>
          <w:sz w:val="24"/>
          <w:szCs w:val="24"/>
        </w:rPr>
        <w:t xml:space="preserve">”), the company </w:t>
      </w:r>
      <w:r>
        <w:rPr>
          <w:rFonts w:ascii="Arial" w:hAnsi="Arial" w:cs="Arial"/>
          <w:sz w:val="24"/>
          <w:szCs w:val="24"/>
        </w:rPr>
        <w:t>who</w:t>
      </w:r>
      <w:r w:rsidR="000A4392">
        <w:rPr>
          <w:rFonts w:ascii="Arial" w:hAnsi="Arial" w:cs="Arial"/>
          <w:sz w:val="24"/>
          <w:szCs w:val="24"/>
        </w:rPr>
        <w:t xml:space="preserve"> was contracted to</w:t>
      </w:r>
      <w:r>
        <w:rPr>
          <w:rFonts w:ascii="Arial" w:hAnsi="Arial" w:cs="Arial"/>
          <w:sz w:val="24"/>
          <w:szCs w:val="24"/>
        </w:rPr>
        <w:t xml:space="preserve"> provide </w:t>
      </w:r>
      <w:r w:rsidR="00330437">
        <w:rPr>
          <w:rFonts w:ascii="Arial" w:hAnsi="Arial" w:cs="Arial"/>
          <w:sz w:val="24"/>
          <w:szCs w:val="24"/>
        </w:rPr>
        <w:t xml:space="preserve">cleaning services at the Magistrates’ Court </w:t>
      </w:r>
      <w:r w:rsidR="000A4392">
        <w:rPr>
          <w:rFonts w:ascii="Arial" w:hAnsi="Arial" w:cs="Arial"/>
          <w:sz w:val="24"/>
          <w:szCs w:val="24"/>
        </w:rPr>
        <w:t xml:space="preserve">by the </w:t>
      </w:r>
      <w:r w:rsidR="004001F7">
        <w:rPr>
          <w:rFonts w:ascii="Arial" w:hAnsi="Arial" w:cs="Arial"/>
          <w:sz w:val="24"/>
          <w:szCs w:val="24"/>
        </w:rPr>
        <w:t>first defendant</w:t>
      </w:r>
      <w:r w:rsidR="000A4392">
        <w:rPr>
          <w:rFonts w:ascii="Arial" w:hAnsi="Arial" w:cs="Arial"/>
          <w:sz w:val="24"/>
          <w:szCs w:val="24"/>
        </w:rPr>
        <w:t xml:space="preserve"> at the relevant time</w:t>
      </w:r>
      <w:r w:rsidR="004001F7">
        <w:rPr>
          <w:rFonts w:ascii="Arial" w:hAnsi="Arial" w:cs="Arial"/>
          <w:sz w:val="24"/>
          <w:szCs w:val="24"/>
        </w:rPr>
        <w:t>,</w:t>
      </w:r>
      <w:r w:rsidR="00330437">
        <w:rPr>
          <w:rFonts w:ascii="Arial" w:hAnsi="Arial" w:cs="Arial"/>
          <w:sz w:val="24"/>
          <w:szCs w:val="24"/>
        </w:rPr>
        <w:t xml:space="preserve"> was a necessary party to the proceedings</w:t>
      </w:r>
      <w:r w:rsidR="004001F7">
        <w:rPr>
          <w:rFonts w:ascii="Arial" w:hAnsi="Arial" w:cs="Arial"/>
          <w:sz w:val="24"/>
          <w:szCs w:val="24"/>
        </w:rPr>
        <w:t>.</w:t>
      </w:r>
    </w:p>
    <w:p w14:paraId="750D6FEE" w14:textId="77777777" w:rsidR="004001F7" w:rsidRPr="004001F7" w:rsidRDefault="004001F7" w:rsidP="00153F02">
      <w:pPr>
        <w:pStyle w:val="ListParagraph"/>
        <w:spacing w:after="0" w:line="480" w:lineRule="auto"/>
        <w:rPr>
          <w:rFonts w:ascii="Arial" w:hAnsi="Arial" w:cs="Arial"/>
          <w:sz w:val="24"/>
          <w:szCs w:val="24"/>
        </w:rPr>
      </w:pPr>
    </w:p>
    <w:p w14:paraId="36587919" w14:textId="5F67439D" w:rsidR="004001F7" w:rsidRDefault="004001F7" w:rsidP="00153F0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On the other hand, the second defendant, relying on a special plea of mis-joinder, pleads that he does not have a direct and substantial interest in the matter and accordingly his joinder is incompetent.</w:t>
      </w:r>
    </w:p>
    <w:p w14:paraId="7B2A95A3" w14:textId="77777777" w:rsidR="004001F7" w:rsidRPr="004001F7" w:rsidRDefault="004001F7" w:rsidP="00153F02">
      <w:pPr>
        <w:pStyle w:val="ListParagraph"/>
        <w:spacing w:after="0" w:line="480" w:lineRule="auto"/>
        <w:rPr>
          <w:rFonts w:ascii="Arial" w:hAnsi="Arial" w:cs="Arial"/>
          <w:sz w:val="24"/>
          <w:szCs w:val="24"/>
        </w:rPr>
      </w:pPr>
    </w:p>
    <w:p w14:paraId="5EEABD07" w14:textId="0EB119BF" w:rsidR="008731B3" w:rsidRDefault="006425A7" w:rsidP="00153F02">
      <w:pPr>
        <w:pStyle w:val="ListParagraph"/>
        <w:numPr>
          <w:ilvl w:val="0"/>
          <w:numId w:val="1"/>
        </w:numPr>
        <w:spacing w:after="0" w:line="480" w:lineRule="auto"/>
        <w:ind w:left="851" w:hanging="851"/>
        <w:jc w:val="both"/>
        <w:rPr>
          <w:rFonts w:ascii="Arial" w:hAnsi="Arial" w:cs="Arial"/>
          <w:sz w:val="24"/>
          <w:szCs w:val="24"/>
        </w:rPr>
      </w:pPr>
      <w:r w:rsidRPr="004550A2">
        <w:rPr>
          <w:rFonts w:ascii="Arial" w:hAnsi="Arial" w:cs="Arial"/>
          <w:sz w:val="24"/>
          <w:szCs w:val="24"/>
        </w:rPr>
        <w:lastRenderedPageBreak/>
        <w:t xml:space="preserve">On 19 October 2021, </w:t>
      </w:r>
      <w:r w:rsidR="008731B3">
        <w:rPr>
          <w:rFonts w:ascii="Arial" w:hAnsi="Arial" w:cs="Arial"/>
          <w:sz w:val="24"/>
          <w:szCs w:val="24"/>
        </w:rPr>
        <w:t xml:space="preserve">pursuant to the hearing of opposed argument, </w:t>
      </w:r>
      <w:r w:rsidRPr="004550A2">
        <w:rPr>
          <w:rFonts w:ascii="Arial" w:hAnsi="Arial" w:cs="Arial"/>
          <w:sz w:val="24"/>
          <w:szCs w:val="24"/>
        </w:rPr>
        <w:t xml:space="preserve">an order was granted by </w:t>
      </w:r>
      <w:r w:rsidR="008731B3">
        <w:rPr>
          <w:rFonts w:ascii="Arial" w:hAnsi="Arial" w:cs="Arial"/>
          <w:sz w:val="24"/>
          <w:szCs w:val="24"/>
        </w:rPr>
        <w:t xml:space="preserve">Naidu AJ </w:t>
      </w:r>
      <w:r w:rsidRPr="004550A2">
        <w:rPr>
          <w:rFonts w:ascii="Arial" w:hAnsi="Arial" w:cs="Arial"/>
          <w:sz w:val="24"/>
          <w:szCs w:val="24"/>
        </w:rPr>
        <w:t>separating the issue of</w:t>
      </w:r>
      <w:r w:rsidR="004550A2">
        <w:rPr>
          <w:rFonts w:ascii="Arial" w:hAnsi="Arial" w:cs="Arial"/>
          <w:sz w:val="24"/>
          <w:szCs w:val="24"/>
        </w:rPr>
        <w:t xml:space="preserve"> the defendants’</w:t>
      </w:r>
      <w:r w:rsidRPr="004550A2">
        <w:rPr>
          <w:rFonts w:ascii="Arial" w:hAnsi="Arial" w:cs="Arial"/>
          <w:sz w:val="24"/>
          <w:szCs w:val="24"/>
        </w:rPr>
        <w:t xml:space="preserve"> liability</w:t>
      </w:r>
      <w:r w:rsidR="004550A2">
        <w:rPr>
          <w:rFonts w:ascii="Arial" w:hAnsi="Arial" w:cs="Arial"/>
          <w:sz w:val="24"/>
          <w:szCs w:val="24"/>
        </w:rPr>
        <w:t>, inclusive of the special pleas, from the issue of quantum</w:t>
      </w:r>
      <w:r w:rsidR="00A8556F">
        <w:rPr>
          <w:rFonts w:ascii="Arial" w:hAnsi="Arial" w:cs="Arial"/>
          <w:sz w:val="24"/>
          <w:szCs w:val="24"/>
        </w:rPr>
        <w:t xml:space="preserve"> (“</w:t>
      </w:r>
      <w:r w:rsidR="00A8556F" w:rsidRPr="00A8556F">
        <w:rPr>
          <w:rFonts w:ascii="Arial" w:hAnsi="Arial" w:cs="Arial"/>
          <w:i/>
          <w:iCs/>
          <w:sz w:val="24"/>
          <w:szCs w:val="24"/>
        </w:rPr>
        <w:t>the separation order</w:t>
      </w:r>
      <w:r w:rsidR="00A8556F">
        <w:rPr>
          <w:rFonts w:ascii="Arial" w:hAnsi="Arial" w:cs="Arial"/>
          <w:sz w:val="24"/>
          <w:szCs w:val="24"/>
        </w:rPr>
        <w:t>”)</w:t>
      </w:r>
      <w:r w:rsidR="004550A2">
        <w:rPr>
          <w:rFonts w:ascii="Arial" w:hAnsi="Arial" w:cs="Arial"/>
          <w:sz w:val="24"/>
          <w:szCs w:val="24"/>
        </w:rPr>
        <w:t xml:space="preserve">.  </w:t>
      </w:r>
      <w:r w:rsidR="000B79B0">
        <w:rPr>
          <w:rFonts w:ascii="Arial" w:hAnsi="Arial" w:cs="Arial"/>
          <w:sz w:val="24"/>
          <w:szCs w:val="24"/>
        </w:rPr>
        <w:t xml:space="preserve">Prior to the hearing of evidence, the defendants’ counsel requested me to revisit </w:t>
      </w:r>
      <w:r w:rsidR="00A8556F">
        <w:rPr>
          <w:rFonts w:ascii="Arial" w:hAnsi="Arial" w:cs="Arial"/>
          <w:sz w:val="24"/>
          <w:szCs w:val="24"/>
        </w:rPr>
        <w:t xml:space="preserve">the separation order </w:t>
      </w:r>
      <w:r w:rsidR="008731B3">
        <w:rPr>
          <w:rFonts w:ascii="Arial" w:hAnsi="Arial" w:cs="Arial"/>
          <w:sz w:val="24"/>
          <w:szCs w:val="24"/>
        </w:rPr>
        <w:t xml:space="preserve">and to grant an order separating the </w:t>
      </w:r>
      <w:r w:rsidR="00A8556F">
        <w:rPr>
          <w:rFonts w:ascii="Arial" w:hAnsi="Arial" w:cs="Arial"/>
          <w:sz w:val="24"/>
          <w:szCs w:val="24"/>
        </w:rPr>
        <w:t xml:space="preserve">special pleas </w:t>
      </w:r>
      <w:r w:rsidR="008731B3">
        <w:rPr>
          <w:rFonts w:ascii="Arial" w:hAnsi="Arial" w:cs="Arial"/>
          <w:sz w:val="24"/>
          <w:szCs w:val="24"/>
        </w:rPr>
        <w:t>from the remaining issues in dispute, this being the same order sought by the defendants in the opposed application before Naidu AJ.</w:t>
      </w:r>
    </w:p>
    <w:p w14:paraId="6E6293F3" w14:textId="77777777" w:rsidR="008731B3" w:rsidRPr="008731B3" w:rsidRDefault="008731B3" w:rsidP="00153F02">
      <w:pPr>
        <w:pStyle w:val="ListParagraph"/>
        <w:spacing w:after="0" w:line="480" w:lineRule="auto"/>
        <w:rPr>
          <w:rFonts w:ascii="Arial" w:hAnsi="Arial" w:cs="Arial"/>
          <w:sz w:val="24"/>
          <w:szCs w:val="24"/>
        </w:rPr>
      </w:pPr>
    </w:p>
    <w:p w14:paraId="5349DE4D" w14:textId="3901E4B2" w:rsidR="00717365" w:rsidRDefault="001F4F09" w:rsidP="00153F02">
      <w:pPr>
        <w:pStyle w:val="ListParagraph"/>
        <w:numPr>
          <w:ilvl w:val="0"/>
          <w:numId w:val="1"/>
        </w:numPr>
        <w:spacing w:after="0" w:line="480" w:lineRule="auto"/>
        <w:ind w:left="851" w:hanging="851"/>
        <w:jc w:val="both"/>
        <w:rPr>
          <w:rFonts w:ascii="Arial" w:hAnsi="Arial" w:cs="Arial"/>
          <w:sz w:val="24"/>
          <w:szCs w:val="24"/>
        </w:rPr>
      </w:pPr>
      <w:r w:rsidRPr="008731B3">
        <w:rPr>
          <w:rFonts w:ascii="Arial" w:hAnsi="Arial" w:cs="Arial"/>
          <w:sz w:val="24"/>
          <w:szCs w:val="24"/>
        </w:rPr>
        <w:t>Our Courts</w:t>
      </w:r>
      <w:r w:rsidR="005F0292">
        <w:rPr>
          <w:rFonts w:ascii="Arial" w:hAnsi="Arial" w:cs="Arial"/>
          <w:sz w:val="24"/>
          <w:szCs w:val="24"/>
        </w:rPr>
        <w:t xml:space="preserve">, inclusive of the </w:t>
      </w:r>
      <w:r w:rsidRPr="008731B3">
        <w:rPr>
          <w:rFonts w:ascii="Arial" w:hAnsi="Arial" w:cs="Arial"/>
          <w:sz w:val="24"/>
          <w:szCs w:val="24"/>
        </w:rPr>
        <w:t>Supreme Court of Appeal, ha</w:t>
      </w:r>
      <w:r w:rsidR="005F0292">
        <w:rPr>
          <w:rFonts w:ascii="Arial" w:hAnsi="Arial" w:cs="Arial"/>
          <w:sz w:val="24"/>
          <w:szCs w:val="24"/>
        </w:rPr>
        <w:t>ve</w:t>
      </w:r>
      <w:r w:rsidRPr="008731B3">
        <w:rPr>
          <w:rFonts w:ascii="Arial" w:hAnsi="Arial" w:cs="Arial"/>
          <w:sz w:val="24"/>
          <w:szCs w:val="24"/>
        </w:rPr>
        <w:t xml:space="preserve"> on numerous occasions warned against ill-conceived separation</w:t>
      </w:r>
      <w:r w:rsidR="005F0292">
        <w:rPr>
          <w:rFonts w:ascii="Arial" w:hAnsi="Arial" w:cs="Arial"/>
          <w:sz w:val="24"/>
          <w:szCs w:val="24"/>
        </w:rPr>
        <w:t xml:space="preserve"> of issues</w:t>
      </w:r>
      <w:r w:rsidRPr="005F0292">
        <w:rPr>
          <w:rFonts w:ascii="Arial" w:hAnsi="Arial" w:cs="Arial"/>
          <w:sz w:val="24"/>
          <w:szCs w:val="24"/>
        </w:rPr>
        <w:t>.</w:t>
      </w:r>
      <w:r w:rsidR="005F0292" w:rsidRPr="005F0292">
        <w:rPr>
          <w:rFonts w:ascii="Arial" w:hAnsi="Arial" w:cs="Arial"/>
          <w:vertAlign w:val="superscript"/>
        </w:rPr>
        <w:footnoteReference w:id="1"/>
      </w:r>
      <w:r w:rsidR="008F7A2F">
        <w:rPr>
          <w:rFonts w:ascii="Arial" w:hAnsi="Arial" w:cs="Arial"/>
          <w:sz w:val="24"/>
          <w:szCs w:val="24"/>
        </w:rPr>
        <w:t xml:space="preserve">  It is trite that an order in terms of Uniform Rule 33(4) is </w:t>
      </w:r>
      <w:r w:rsidR="008F7A2F" w:rsidRPr="008F7A2F">
        <w:rPr>
          <w:rFonts w:ascii="Arial" w:hAnsi="Arial" w:cs="Arial"/>
          <w:sz w:val="24"/>
          <w:szCs w:val="24"/>
        </w:rPr>
        <w:t xml:space="preserve">interlocutory in nature and </w:t>
      </w:r>
      <w:r w:rsidR="008F7A2F">
        <w:rPr>
          <w:rFonts w:ascii="Arial" w:hAnsi="Arial" w:cs="Arial"/>
          <w:sz w:val="24"/>
          <w:szCs w:val="24"/>
        </w:rPr>
        <w:t xml:space="preserve">that I have </w:t>
      </w:r>
      <w:r w:rsidR="000C7F5A">
        <w:rPr>
          <w:rFonts w:ascii="Arial" w:hAnsi="Arial" w:cs="Arial"/>
          <w:sz w:val="24"/>
          <w:szCs w:val="24"/>
        </w:rPr>
        <w:t xml:space="preserve">the </w:t>
      </w:r>
      <w:r w:rsidR="008F7A2F">
        <w:rPr>
          <w:rFonts w:ascii="Arial" w:hAnsi="Arial" w:cs="Arial"/>
          <w:sz w:val="24"/>
          <w:szCs w:val="24"/>
        </w:rPr>
        <w:t xml:space="preserve">authority to </w:t>
      </w:r>
      <w:r w:rsidR="008F7A2F" w:rsidRPr="008F7A2F">
        <w:rPr>
          <w:rFonts w:ascii="Arial" w:hAnsi="Arial" w:cs="Arial"/>
          <w:sz w:val="24"/>
          <w:szCs w:val="24"/>
        </w:rPr>
        <w:t xml:space="preserve">revisit such </w:t>
      </w:r>
      <w:r w:rsidR="00A8797C">
        <w:rPr>
          <w:rFonts w:ascii="Arial" w:hAnsi="Arial" w:cs="Arial"/>
          <w:sz w:val="24"/>
          <w:szCs w:val="24"/>
        </w:rPr>
        <w:t>decision</w:t>
      </w:r>
      <w:r w:rsidR="008F7A2F">
        <w:rPr>
          <w:rFonts w:ascii="Arial" w:hAnsi="Arial" w:cs="Arial"/>
          <w:sz w:val="24"/>
          <w:szCs w:val="24"/>
        </w:rPr>
        <w:t>.</w:t>
      </w:r>
      <w:r w:rsidR="008F7A2F">
        <w:rPr>
          <w:rStyle w:val="FootnoteReference"/>
          <w:rFonts w:ascii="Arial" w:hAnsi="Arial" w:cs="Arial"/>
          <w:sz w:val="24"/>
          <w:szCs w:val="24"/>
        </w:rPr>
        <w:footnoteReference w:id="2"/>
      </w:r>
      <w:r w:rsidR="000C7F5A">
        <w:rPr>
          <w:rFonts w:ascii="Arial" w:hAnsi="Arial" w:cs="Arial"/>
          <w:sz w:val="24"/>
          <w:szCs w:val="24"/>
        </w:rPr>
        <w:t xml:space="preserve">  </w:t>
      </w:r>
      <w:r w:rsidR="00717365">
        <w:rPr>
          <w:rFonts w:ascii="Arial" w:hAnsi="Arial" w:cs="Arial"/>
          <w:sz w:val="24"/>
          <w:szCs w:val="24"/>
        </w:rPr>
        <w:t xml:space="preserve">With this in mind, and </w:t>
      </w:r>
      <w:r w:rsidR="00A8797C">
        <w:rPr>
          <w:rFonts w:ascii="Arial" w:hAnsi="Arial" w:cs="Arial"/>
          <w:sz w:val="24"/>
          <w:szCs w:val="24"/>
        </w:rPr>
        <w:t xml:space="preserve">after hearing argument </w:t>
      </w:r>
      <w:r w:rsidR="00717365">
        <w:rPr>
          <w:rFonts w:ascii="Arial" w:hAnsi="Arial" w:cs="Arial"/>
          <w:sz w:val="24"/>
          <w:szCs w:val="24"/>
        </w:rPr>
        <w:t xml:space="preserve">on behalf of the plaintiff and the defendants, </w:t>
      </w:r>
      <w:r w:rsidR="00717365" w:rsidRPr="00717365">
        <w:rPr>
          <w:rFonts w:ascii="Arial" w:hAnsi="Arial" w:cs="Arial"/>
          <w:sz w:val="24"/>
          <w:szCs w:val="24"/>
        </w:rPr>
        <w:t xml:space="preserve">I </w:t>
      </w:r>
      <w:r w:rsidR="00A8797C">
        <w:rPr>
          <w:rFonts w:ascii="Arial" w:hAnsi="Arial" w:cs="Arial"/>
          <w:sz w:val="24"/>
          <w:szCs w:val="24"/>
        </w:rPr>
        <w:t>was</w:t>
      </w:r>
      <w:r w:rsidR="00717365" w:rsidRPr="00717365">
        <w:rPr>
          <w:rFonts w:ascii="Arial" w:hAnsi="Arial" w:cs="Arial"/>
          <w:sz w:val="24"/>
          <w:szCs w:val="24"/>
        </w:rPr>
        <w:t xml:space="preserve"> satisfied that</w:t>
      </w:r>
      <w:r w:rsidR="008A29B3">
        <w:rPr>
          <w:rFonts w:ascii="Arial" w:hAnsi="Arial" w:cs="Arial"/>
          <w:sz w:val="24"/>
          <w:szCs w:val="24"/>
        </w:rPr>
        <w:t xml:space="preserve"> the separation order </w:t>
      </w:r>
      <w:r w:rsidR="00717365">
        <w:rPr>
          <w:rFonts w:ascii="Arial" w:hAnsi="Arial" w:cs="Arial"/>
          <w:sz w:val="24"/>
          <w:szCs w:val="24"/>
        </w:rPr>
        <w:t>was proper in the circumstances and is reflective of an order</w:t>
      </w:r>
      <w:r w:rsidR="008A29B3">
        <w:rPr>
          <w:rFonts w:ascii="Arial" w:hAnsi="Arial" w:cs="Arial"/>
          <w:sz w:val="24"/>
          <w:szCs w:val="24"/>
        </w:rPr>
        <w:t xml:space="preserve"> which </w:t>
      </w:r>
      <w:r w:rsidR="00FD0CC9">
        <w:rPr>
          <w:rFonts w:ascii="Arial" w:hAnsi="Arial" w:cs="Arial"/>
          <w:sz w:val="24"/>
          <w:szCs w:val="24"/>
        </w:rPr>
        <w:t>had been</w:t>
      </w:r>
      <w:r w:rsidR="00717365">
        <w:rPr>
          <w:rFonts w:ascii="Arial" w:hAnsi="Arial" w:cs="Arial"/>
          <w:sz w:val="24"/>
          <w:szCs w:val="24"/>
        </w:rPr>
        <w:t xml:space="preserve"> granted </w:t>
      </w:r>
      <w:r w:rsidR="00717365" w:rsidRPr="00717365">
        <w:rPr>
          <w:rFonts w:ascii="Arial" w:hAnsi="Arial" w:cs="Arial"/>
          <w:sz w:val="24"/>
          <w:szCs w:val="24"/>
        </w:rPr>
        <w:t xml:space="preserve">after careful thought </w:t>
      </w:r>
      <w:r w:rsidR="00717365">
        <w:rPr>
          <w:rFonts w:ascii="Arial" w:hAnsi="Arial" w:cs="Arial"/>
          <w:sz w:val="24"/>
          <w:szCs w:val="24"/>
        </w:rPr>
        <w:t>had been</w:t>
      </w:r>
      <w:r w:rsidR="00717365" w:rsidRPr="00717365">
        <w:rPr>
          <w:rFonts w:ascii="Arial" w:hAnsi="Arial" w:cs="Arial"/>
          <w:sz w:val="24"/>
          <w:szCs w:val="24"/>
        </w:rPr>
        <w:t xml:space="preserve"> given to the anticipated course of the litigation as a whole</w:t>
      </w:r>
      <w:r w:rsidR="008A29B3">
        <w:rPr>
          <w:rFonts w:ascii="Arial" w:hAnsi="Arial" w:cs="Arial"/>
          <w:sz w:val="24"/>
          <w:szCs w:val="24"/>
        </w:rPr>
        <w:t xml:space="preserve">, consideration having been given to whether or not </w:t>
      </w:r>
      <w:r w:rsidR="00717365" w:rsidRPr="00717365">
        <w:rPr>
          <w:rFonts w:ascii="Arial" w:hAnsi="Arial" w:cs="Arial"/>
          <w:sz w:val="24"/>
          <w:szCs w:val="24"/>
        </w:rPr>
        <w:t xml:space="preserve">it </w:t>
      </w:r>
      <w:r w:rsidR="00A8797C">
        <w:rPr>
          <w:rFonts w:ascii="Arial" w:hAnsi="Arial" w:cs="Arial"/>
          <w:sz w:val="24"/>
          <w:szCs w:val="24"/>
        </w:rPr>
        <w:t>was</w:t>
      </w:r>
      <w:r w:rsidR="00717365" w:rsidRPr="00717365">
        <w:rPr>
          <w:rFonts w:ascii="Arial" w:hAnsi="Arial" w:cs="Arial"/>
          <w:sz w:val="24"/>
          <w:szCs w:val="24"/>
        </w:rPr>
        <w:t xml:space="preserve"> convenient to try </w:t>
      </w:r>
      <w:r w:rsidR="008A29B3">
        <w:rPr>
          <w:rFonts w:ascii="Arial" w:hAnsi="Arial" w:cs="Arial"/>
          <w:sz w:val="24"/>
          <w:szCs w:val="24"/>
        </w:rPr>
        <w:t xml:space="preserve">the separated issues </w:t>
      </w:r>
      <w:r w:rsidR="00717365" w:rsidRPr="00717365">
        <w:rPr>
          <w:rFonts w:ascii="Arial" w:hAnsi="Arial" w:cs="Arial"/>
          <w:sz w:val="24"/>
          <w:szCs w:val="24"/>
        </w:rPr>
        <w:t>separately</w:t>
      </w:r>
      <w:r w:rsidR="008A29B3">
        <w:rPr>
          <w:rFonts w:ascii="Arial" w:hAnsi="Arial" w:cs="Arial"/>
          <w:sz w:val="24"/>
          <w:szCs w:val="24"/>
        </w:rPr>
        <w:t xml:space="preserve">.  Accordingly, </w:t>
      </w:r>
      <w:r w:rsidR="008A29B3">
        <w:rPr>
          <w:rFonts w:ascii="Arial" w:hAnsi="Arial" w:cs="Arial"/>
          <w:sz w:val="24"/>
          <w:szCs w:val="24"/>
        </w:rPr>
        <w:lastRenderedPageBreak/>
        <w:t>and save for amplifying the separation order</w:t>
      </w:r>
      <w:r w:rsidR="00CF55EA">
        <w:rPr>
          <w:rFonts w:ascii="Arial" w:hAnsi="Arial" w:cs="Arial"/>
          <w:sz w:val="24"/>
          <w:szCs w:val="24"/>
        </w:rPr>
        <w:t>,</w:t>
      </w:r>
      <w:r w:rsidR="00CF55EA">
        <w:rPr>
          <w:rStyle w:val="FootnoteReference"/>
          <w:rFonts w:ascii="Arial" w:hAnsi="Arial" w:cs="Arial"/>
          <w:sz w:val="24"/>
          <w:szCs w:val="24"/>
        </w:rPr>
        <w:footnoteReference w:id="3"/>
      </w:r>
      <w:r w:rsidR="00CF55EA">
        <w:rPr>
          <w:rFonts w:ascii="Arial" w:hAnsi="Arial" w:cs="Arial"/>
          <w:sz w:val="24"/>
          <w:szCs w:val="24"/>
        </w:rPr>
        <w:t xml:space="preserve"> </w:t>
      </w:r>
      <w:r w:rsidR="008A29B3">
        <w:rPr>
          <w:rFonts w:ascii="Arial" w:hAnsi="Arial" w:cs="Arial"/>
          <w:sz w:val="24"/>
          <w:szCs w:val="24"/>
        </w:rPr>
        <w:t>I declined to grant the order sought by the defendants.</w:t>
      </w:r>
    </w:p>
    <w:p w14:paraId="6DBE5DEC" w14:textId="77777777" w:rsidR="00A913C3" w:rsidRPr="00A913C3" w:rsidRDefault="00A913C3" w:rsidP="00153F02">
      <w:pPr>
        <w:pStyle w:val="ListParagraph"/>
        <w:spacing w:after="0" w:line="480" w:lineRule="auto"/>
        <w:rPr>
          <w:rFonts w:ascii="Arial" w:hAnsi="Arial" w:cs="Arial"/>
          <w:sz w:val="24"/>
          <w:szCs w:val="24"/>
        </w:rPr>
      </w:pPr>
    </w:p>
    <w:p w14:paraId="58D13A81" w14:textId="7838A08B" w:rsidR="00A913C3" w:rsidRDefault="00A913C3" w:rsidP="005B286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Accordingly, the issues which fall to be determined </w:t>
      </w:r>
      <w:r w:rsidR="007179AB">
        <w:rPr>
          <w:rFonts w:ascii="Arial" w:hAnsi="Arial" w:cs="Arial"/>
          <w:sz w:val="24"/>
          <w:szCs w:val="24"/>
        </w:rPr>
        <w:t xml:space="preserve">by me </w:t>
      </w:r>
      <w:r>
        <w:rPr>
          <w:rFonts w:ascii="Arial" w:hAnsi="Arial" w:cs="Arial"/>
          <w:sz w:val="24"/>
          <w:szCs w:val="24"/>
        </w:rPr>
        <w:t xml:space="preserve">are the </w:t>
      </w:r>
      <w:r w:rsidR="001E34B7">
        <w:rPr>
          <w:rFonts w:ascii="Arial" w:hAnsi="Arial" w:cs="Arial"/>
          <w:sz w:val="24"/>
          <w:szCs w:val="24"/>
        </w:rPr>
        <w:t xml:space="preserve">respective </w:t>
      </w:r>
      <w:r>
        <w:rPr>
          <w:rFonts w:ascii="Arial" w:hAnsi="Arial" w:cs="Arial"/>
          <w:sz w:val="24"/>
          <w:szCs w:val="24"/>
        </w:rPr>
        <w:t>special pleas</w:t>
      </w:r>
      <w:r w:rsidR="00270B01">
        <w:rPr>
          <w:rFonts w:ascii="Arial" w:hAnsi="Arial" w:cs="Arial"/>
          <w:sz w:val="24"/>
          <w:szCs w:val="24"/>
        </w:rPr>
        <w:t>,</w:t>
      </w:r>
      <w:r>
        <w:rPr>
          <w:rFonts w:ascii="Arial" w:hAnsi="Arial" w:cs="Arial"/>
          <w:sz w:val="24"/>
          <w:szCs w:val="24"/>
        </w:rPr>
        <w:t xml:space="preserve"> </w:t>
      </w:r>
      <w:r w:rsidR="007179AB">
        <w:rPr>
          <w:rFonts w:ascii="Arial" w:hAnsi="Arial" w:cs="Arial"/>
          <w:sz w:val="24"/>
          <w:szCs w:val="24"/>
        </w:rPr>
        <w:t xml:space="preserve">which remain alive on the pleadings; </w:t>
      </w:r>
      <w:r>
        <w:rPr>
          <w:rFonts w:ascii="Arial" w:hAnsi="Arial" w:cs="Arial"/>
          <w:sz w:val="24"/>
          <w:szCs w:val="24"/>
        </w:rPr>
        <w:t>and whether or not the defendants’ negligence, or that of their employees and/or cleaning contractor, acting within the course and scope of their employment, was the cause of the plaintiff’s fall.</w:t>
      </w:r>
    </w:p>
    <w:p w14:paraId="2D2699E8" w14:textId="77777777" w:rsidR="006A0A48" w:rsidRPr="006A0A48" w:rsidRDefault="006A0A48" w:rsidP="005B2861">
      <w:pPr>
        <w:pStyle w:val="ListParagraph"/>
        <w:spacing w:after="0" w:line="480" w:lineRule="auto"/>
        <w:rPr>
          <w:rFonts w:ascii="Arial" w:hAnsi="Arial" w:cs="Arial"/>
          <w:sz w:val="24"/>
          <w:szCs w:val="24"/>
        </w:rPr>
      </w:pPr>
    </w:p>
    <w:p w14:paraId="6BF980E6" w14:textId="0BF429EE" w:rsidR="009E7490" w:rsidRDefault="009E7490" w:rsidP="005B286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plaintiff’s cause of action is particularised in paragraphs 4 to 7 of his particulars of claim, which read as follows:</w:t>
      </w:r>
    </w:p>
    <w:p w14:paraId="4469CACF" w14:textId="77777777" w:rsidR="00A913C3" w:rsidRPr="00A913C3" w:rsidRDefault="00A913C3" w:rsidP="005B2861">
      <w:pPr>
        <w:pStyle w:val="ListParagraph"/>
        <w:spacing w:after="0" w:line="480" w:lineRule="auto"/>
        <w:rPr>
          <w:rFonts w:ascii="Arial" w:hAnsi="Arial" w:cs="Arial"/>
          <w:sz w:val="24"/>
          <w:szCs w:val="24"/>
        </w:rPr>
      </w:pPr>
    </w:p>
    <w:p w14:paraId="2DF8FF60" w14:textId="1A39F853" w:rsidR="00A913C3" w:rsidRPr="005B2861" w:rsidRDefault="009E7490" w:rsidP="005B2861">
      <w:pPr>
        <w:pStyle w:val="ListParagraph"/>
        <w:spacing w:after="0" w:line="360" w:lineRule="auto"/>
        <w:ind w:left="1436" w:hanging="585"/>
        <w:jc w:val="both"/>
        <w:rPr>
          <w:rFonts w:ascii="Arial" w:hAnsi="Arial" w:cs="Arial"/>
          <w:i/>
          <w:iCs/>
        </w:rPr>
      </w:pPr>
      <w:r>
        <w:rPr>
          <w:rFonts w:ascii="Arial" w:hAnsi="Arial" w:cs="Arial"/>
          <w:sz w:val="24"/>
          <w:szCs w:val="24"/>
        </w:rPr>
        <w:t>“</w:t>
      </w:r>
      <w:r w:rsidRPr="005B2861">
        <w:rPr>
          <w:rFonts w:ascii="Arial" w:hAnsi="Arial" w:cs="Arial"/>
          <w:i/>
          <w:iCs/>
        </w:rPr>
        <w:t>4.</w:t>
      </w:r>
      <w:r w:rsidRPr="005B2861">
        <w:rPr>
          <w:rFonts w:ascii="Arial" w:hAnsi="Arial" w:cs="Arial"/>
          <w:i/>
          <w:iCs/>
        </w:rPr>
        <w:tab/>
        <w:t>On 16 November 2018, and in a passage in the Port Elizabeth Magistrate’s Court building in de Villiers Street, North End, Port Elizabeth, the Plaintiff slipped on a wet floor, lost his balance, and fell on his back.</w:t>
      </w:r>
    </w:p>
    <w:p w14:paraId="3CF859AD" w14:textId="1E950D4E" w:rsidR="009E7490" w:rsidRPr="005B2861" w:rsidRDefault="009E7490" w:rsidP="005B2861">
      <w:pPr>
        <w:pStyle w:val="ListParagraph"/>
        <w:spacing w:after="0" w:line="360" w:lineRule="auto"/>
        <w:ind w:left="1436" w:hanging="585"/>
        <w:jc w:val="both"/>
        <w:rPr>
          <w:rFonts w:ascii="Arial" w:hAnsi="Arial" w:cs="Arial"/>
          <w:i/>
          <w:iCs/>
        </w:rPr>
      </w:pPr>
    </w:p>
    <w:p w14:paraId="572C1970" w14:textId="2961CA31" w:rsidR="009E7490" w:rsidRPr="005B2861" w:rsidRDefault="009E7490" w:rsidP="005B2861">
      <w:pPr>
        <w:pStyle w:val="ListParagraph"/>
        <w:spacing w:after="0" w:line="360" w:lineRule="auto"/>
        <w:ind w:left="1436" w:hanging="585"/>
        <w:jc w:val="both"/>
        <w:rPr>
          <w:rFonts w:ascii="Arial" w:hAnsi="Arial" w:cs="Arial"/>
          <w:i/>
          <w:iCs/>
        </w:rPr>
      </w:pPr>
      <w:r w:rsidRPr="005B2861">
        <w:rPr>
          <w:rFonts w:ascii="Arial" w:hAnsi="Arial" w:cs="Arial"/>
          <w:i/>
          <w:iCs/>
        </w:rPr>
        <w:t>5.</w:t>
      </w:r>
      <w:r w:rsidRPr="005B2861">
        <w:rPr>
          <w:rFonts w:ascii="Arial" w:hAnsi="Arial" w:cs="Arial"/>
          <w:i/>
          <w:iCs/>
        </w:rPr>
        <w:tab/>
      </w:r>
      <w:r w:rsidR="00667913" w:rsidRPr="005B2861">
        <w:rPr>
          <w:rFonts w:ascii="Arial" w:hAnsi="Arial" w:cs="Arial"/>
          <w:i/>
          <w:iCs/>
        </w:rPr>
        <w:t>The said Magistrate’s Court building was at all times material hereto open to members of the public, including the Plaintiff, and the Defendants were under a legal duty to the public, including the Plaintiff, to ensure that passages, walkways, entrances, and other areas used or traversed by members of the public, would be safe and free of obvious hazards which would pose a risk to members of the public.</w:t>
      </w:r>
    </w:p>
    <w:p w14:paraId="27967E36" w14:textId="5374B13C" w:rsidR="00667913" w:rsidRPr="005B2861" w:rsidRDefault="00667913" w:rsidP="005B2861">
      <w:pPr>
        <w:pStyle w:val="ListParagraph"/>
        <w:spacing w:after="0" w:line="360" w:lineRule="auto"/>
        <w:ind w:left="1436" w:hanging="585"/>
        <w:jc w:val="both"/>
        <w:rPr>
          <w:rFonts w:ascii="Arial" w:hAnsi="Arial" w:cs="Arial"/>
          <w:i/>
          <w:iCs/>
        </w:rPr>
      </w:pPr>
    </w:p>
    <w:p w14:paraId="3EC03FE9" w14:textId="465047F4" w:rsidR="00667913" w:rsidRPr="005B2861" w:rsidRDefault="00667913" w:rsidP="005B2861">
      <w:pPr>
        <w:pStyle w:val="ListParagraph"/>
        <w:spacing w:after="0" w:line="360" w:lineRule="auto"/>
        <w:ind w:left="1436" w:hanging="585"/>
        <w:jc w:val="both"/>
        <w:rPr>
          <w:rFonts w:ascii="Arial" w:hAnsi="Arial" w:cs="Arial"/>
          <w:i/>
          <w:iCs/>
        </w:rPr>
      </w:pPr>
      <w:r w:rsidRPr="005B2861">
        <w:rPr>
          <w:rFonts w:ascii="Arial" w:hAnsi="Arial" w:cs="Arial"/>
          <w:i/>
          <w:iCs/>
        </w:rPr>
        <w:t>6.</w:t>
      </w:r>
      <w:r w:rsidRPr="005B2861">
        <w:rPr>
          <w:rFonts w:ascii="Arial" w:hAnsi="Arial" w:cs="Arial"/>
          <w:i/>
          <w:iCs/>
        </w:rPr>
        <w:tab/>
        <w:t>The Plaintiff’s slip and fall was caused by, and ascribable to, the negligence of the First Defendants, and/or one or more of t</w:t>
      </w:r>
      <w:r w:rsidR="005B2861">
        <w:rPr>
          <w:rFonts w:ascii="Arial" w:hAnsi="Arial" w:cs="Arial"/>
          <w:i/>
          <w:iCs/>
        </w:rPr>
        <w:t>h</w:t>
      </w:r>
      <w:r w:rsidRPr="005B2861">
        <w:rPr>
          <w:rFonts w:ascii="Arial" w:hAnsi="Arial" w:cs="Arial"/>
          <w:i/>
          <w:iCs/>
        </w:rPr>
        <w:t>eir employees and/or cleaning contractors, who acted within the course and scope of their employment, and who were negligent in one or more or all of the following respects:</w:t>
      </w:r>
    </w:p>
    <w:p w14:paraId="16897E61" w14:textId="0C228346" w:rsidR="00667913" w:rsidRPr="005B2861" w:rsidRDefault="00667913" w:rsidP="005A20B6">
      <w:pPr>
        <w:pStyle w:val="ListParagraph"/>
        <w:spacing w:after="0" w:line="360" w:lineRule="auto"/>
        <w:ind w:left="1436" w:hanging="585"/>
        <w:jc w:val="both"/>
        <w:rPr>
          <w:rFonts w:ascii="Arial" w:hAnsi="Arial" w:cs="Arial"/>
          <w:i/>
          <w:iCs/>
        </w:rPr>
      </w:pPr>
      <w:r w:rsidRPr="005B2861">
        <w:rPr>
          <w:rFonts w:ascii="Arial" w:hAnsi="Arial" w:cs="Arial"/>
          <w:i/>
          <w:iCs/>
        </w:rPr>
        <w:lastRenderedPageBreak/>
        <w:tab/>
      </w:r>
      <w:r w:rsidRPr="005B2861">
        <w:rPr>
          <w:rFonts w:ascii="Arial" w:hAnsi="Arial" w:cs="Arial"/>
          <w:i/>
          <w:iCs/>
        </w:rPr>
        <w:tab/>
        <w:t>6.1.</w:t>
      </w:r>
      <w:r w:rsidRPr="005B2861">
        <w:rPr>
          <w:rFonts w:ascii="Arial" w:hAnsi="Arial" w:cs="Arial"/>
          <w:i/>
          <w:iCs/>
        </w:rPr>
        <w:tab/>
        <w:t xml:space="preserve">They allowed member of the public to walk on a wet passage </w:t>
      </w:r>
      <w:r w:rsidRPr="005B2861">
        <w:rPr>
          <w:rFonts w:ascii="Arial" w:hAnsi="Arial" w:cs="Arial"/>
          <w:i/>
          <w:iCs/>
        </w:rPr>
        <w:br/>
        <w:t xml:space="preserve"> </w:t>
      </w:r>
      <w:r w:rsidRPr="005B2861">
        <w:rPr>
          <w:rFonts w:ascii="Arial" w:hAnsi="Arial" w:cs="Arial"/>
          <w:i/>
          <w:iCs/>
        </w:rPr>
        <w:tab/>
        <w:t>floor.</w:t>
      </w:r>
    </w:p>
    <w:p w14:paraId="69D82D6E" w14:textId="2553B22C" w:rsidR="00667913" w:rsidRPr="005B2861" w:rsidRDefault="00667913" w:rsidP="005B2861">
      <w:pPr>
        <w:pStyle w:val="ListParagraph"/>
        <w:spacing w:after="0" w:line="360" w:lineRule="auto"/>
        <w:ind w:left="1440" w:hanging="589"/>
        <w:jc w:val="both"/>
        <w:rPr>
          <w:rFonts w:ascii="Arial" w:hAnsi="Arial" w:cs="Arial"/>
          <w:i/>
          <w:iCs/>
        </w:rPr>
      </w:pPr>
    </w:p>
    <w:p w14:paraId="16E71A54" w14:textId="74EA60E7" w:rsidR="00667913" w:rsidRPr="005B2861" w:rsidRDefault="00667913" w:rsidP="005B2861">
      <w:pPr>
        <w:pStyle w:val="ListParagraph"/>
        <w:spacing w:after="0" w:line="360" w:lineRule="auto"/>
        <w:ind w:left="1440" w:hanging="589"/>
        <w:jc w:val="both"/>
        <w:rPr>
          <w:rFonts w:ascii="Arial" w:hAnsi="Arial" w:cs="Arial"/>
          <w:i/>
          <w:iCs/>
        </w:rPr>
      </w:pPr>
      <w:r w:rsidRPr="005B2861">
        <w:rPr>
          <w:rFonts w:ascii="Arial" w:hAnsi="Arial" w:cs="Arial"/>
          <w:i/>
          <w:iCs/>
        </w:rPr>
        <w:tab/>
        <w:t>6.2.</w:t>
      </w:r>
      <w:r w:rsidRPr="005B2861">
        <w:rPr>
          <w:rFonts w:ascii="Arial" w:hAnsi="Arial" w:cs="Arial"/>
          <w:i/>
          <w:iCs/>
        </w:rPr>
        <w:tab/>
        <w:t xml:space="preserve">They failed to warn members of the public that the passage floor </w:t>
      </w:r>
      <w:r w:rsidRPr="005B2861">
        <w:rPr>
          <w:rFonts w:ascii="Arial" w:hAnsi="Arial" w:cs="Arial"/>
          <w:i/>
          <w:iCs/>
        </w:rPr>
        <w:br/>
        <w:t xml:space="preserve"> </w:t>
      </w:r>
      <w:r w:rsidRPr="005B2861">
        <w:rPr>
          <w:rFonts w:ascii="Arial" w:hAnsi="Arial" w:cs="Arial"/>
          <w:i/>
          <w:iCs/>
        </w:rPr>
        <w:tab/>
        <w:t>was wet.</w:t>
      </w:r>
    </w:p>
    <w:p w14:paraId="5E947B6C" w14:textId="77777777" w:rsidR="00667913" w:rsidRPr="005B2861" w:rsidRDefault="00667913" w:rsidP="005B2861">
      <w:pPr>
        <w:spacing w:after="0" w:line="360" w:lineRule="auto"/>
        <w:jc w:val="both"/>
        <w:rPr>
          <w:rFonts w:ascii="Arial" w:hAnsi="Arial" w:cs="Arial"/>
          <w:i/>
          <w:iCs/>
        </w:rPr>
      </w:pPr>
    </w:p>
    <w:p w14:paraId="344C0076" w14:textId="42BC62E2" w:rsidR="00667913" w:rsidRPr="005B2861" w:rsidRDefault="00667913" w:rsidP="005B2861">
      <w:pPr>
        <w:pStyle w:val="ListParagraph"/>
        <w:spacing w:after="0" w:line="360" w:lineRule="auto"/>
        <w:ind w:left="1440" w:hanging="589"/>
        <w:jc w:val="both"/>
        <w:rPr>
          <w:rFonts w:ascii="Arial" w:hAnsi="Arial" w:cs="Arial"/>
          <w:i/>
          <w:iCs/>
        </w:rPr>
      </w:pPr>
      <w:r w:rsidRPr="005B2861">
        <w:rPr>
          <w:rFonts w:ascii="Arial" w:hAnsi="Arial" w:cs="Arial"/>
          <w:i/>
          <w:iCs/>
        </w:rPr>
        <w:tab/>
        <w:t>6.3.</w:t>
      </w:r>
      <w:r w:rsidRPr="005B2861">
        <w:rPr>
          <w:rFonts w:ascii="Arial" w:hAnsi="Arial" w:cs="Arial"/>
          <w:i/>
          <w:iCs/>
        </w:rPr>
        <w:tab/>
        <w:t xml:space="preserve">They failed to ensure that the passage floor was safe for members </w:t>
      </w:r>
      <w:r w:rsidRPr="005B2861">
        <w:rPr>
          <w:rFonts w:ascii="Arial" w:hAnsi="Arial" w:cs="Arial"/>
          <w:i/>
          <w:iCs/>
        </w:rPr>
        <w:br/>
        <w:t xml:space="preserve"> </w:t>
      </w:r>
      <w:r w:rsidRPr="005B2861">
        <w:rPr>
          <w:rFonts w:ascii="Arial" w:hAnsi="Arial" w:cs="Arial"/>
          <w:i/>
          <w:iCs/>
        </w:rPr>
        <w:tab/>
        <w:t>of the public to walk on.</w:t>
      </w:r>
    </w:p>
    <w:p w14:paraId="502A62F3" w14:textId="0522DEDF" w:rsidR="00667913" w:rsidRPr="005B2861" w:rsidRDefault="00667913" w:rsidP="005B2861">
      <w:pPr>
        <w:pStyle w:val="ListParagraph"/>
        <w:spacing w:after="0" w:line="360" w:lineRule="auto"/>
        <w:ind w:left="1440" w:hanging="589"/>
        <w:jc w:val="both"/>
        <w:rPr>
          <w:rFonts w:ascii="Arial" w:hAnsi="Arial" w:cs="Arial"/>
          <w:i/>
          <w:iCs/>
        </w:rPr>
      </w:pPr>
    </w:p>
    <w:p w14:paraId="25CCB547" w14:textId="0D518567" w:rsidR="00667913" w:rsidRPr="005B2861" w:rsidRDefault="00667913" w:rsidP="005B2861">
      <w:pPr>
        <w:pStyle w:val="ListParagraph"/>
        <w:spacing w:after="0" w:line="360" w:lineRule="auto"/>
        <w:ind w:left="1440" w:hanging="589"/>
        <w:jc w:val="both"/>
        <w:rPr>
          <w:rFonts w:ascii="Arial" w:hAnsi="Arial" w:cs="Arial"/>
          <w:i/>
          <w:iCs/>
        </w:rPr>
      </w:pPr>
      <w:r w:rsidRPr="005B2861">
        <w:rPr>
          <w:rFonts w:ascii="Arial" w:hAnsi="Arial" w:cs="Arial"/>
          <w:i/>
          <w:iCs/>
        </w:rPr>
        <w:tab/>
        <w:t>6.4.</w:t>
      </w:r>
      <w:r w:rsidRPr="005B2861">
        <w:rPr>
          <w:rFonts w:ascii="Arial" w:hAnsi="Arial" w:cs="Arial"/>
          <w:i/>
          <w:iCs/>
        </w:rPr>
        <w:tab/>
        <w:t>…</w:t>
      </w:r>
      <w:r w:rsidRPr="005B2861">
        <w:rPr>
          <w:rStyle w:val="FootnoteReference"/>
          <w:rFonts w:ascii="Arial" w:hAnsi="Arial" w:cs="Arial"/>
          <w:i/>
          <w:iCs/>
        </w:rPr>
        <w:footnoteReference w:id="4"/>
      </w:r>
    </w:p>
    <w:p w14:paraId="0B77764C" w14:textId="0101E5BB" w:rsidR="00667913" w:rsidRPr="005B2861" w:rsidRDefault="00667913" w:rsidP="005B2861">
      <w:pPr>
        <w:pStyle w:val="ListParagraph"/>
        <w:spacing w:after="0" w:line="360" w:lineRule="auto"/>
        <w:ind w:left="1440" w:hanging="589"/>
        <w:jc w:val="both"/>
        <w:rPr>
          <w:rFonts w:ascii="Arial" w:hAnsi="Arial" w:cs="Arial"/>
          <w:i/>
          <w:iCs/>
        </w:rPr>
      </w:pPr>
    </w:p>
    <w:p w14:paraId="40D6D92D" w14:textId="73DBADA0" w:rsidR="00667913" w:rsidRPr="005B2861" w:rsidRDefault="00667913" w:rsidP="005B2861">
      <w:pPr>
        <w:pStyle w:val="ListParagraph"/>
        <w:spacing w:after="0" w:line="360" w:lineRule="auto"/>
        <w:ind w:left="2160" w:hanging="724"/>
        <w:jc w:val="both"/>
        <w:rPr>
          <w:rFonts w:ascii="Arial" w:hAnsi="Arial" w:cs="Arial"/>
          <w:i/>
          <w:iCs/>
        </w:rPr>
      </w:pPr>
      <w:r w:rsidRPr="005B2861">
        <w:rPr>
          <w:rFonts w:ascii="Arial" w:hAnsi="Arial" w:cs="Arial"/>
          <w:i/>
          <w:iCs/>
        </w:rPr>
        <w:t>6.5.</w:t>
      </w:r>
      <w:r w:rsidRPr="005B2861">
        <w:rPr>
          <w:rFonts w:ascii="Arial" w:hAnsi="Arial" w:cs="Arial"/>
          <w:i/>
          <w:iCs/>
        </w:rPr>
        <w:tab/>
        <w:t>They failed to place any warning signs or notices to warn persons of the slippery nature of the passage floors.</w:t>
      </w:r>
    </w:p>
    <w:p w14:paraId="62520108" w14:textId="7EFE75CE" w:rsidR="00667913" w:rsidRPr="005B2861" w:rsidRDefault="00667913" w:rsidP="005B2861">
      <w:pPr>
        <w:pStyle w:val="ListParagraph"/>
        <w:spacing w:after="0" w:line="360" w:lineRule="auto"/>
        <w:ind w:left="1440" w:hanging="589"/>
        <w:jc w:val="both"/>
        <w:rPr>
          <w:rFonts w:ascii="Arial" w:hAnsi="Arial" w:cs="Arial"/>
          <w:i/>
          <w:iCs/>
        </w:rPr>
      </w:pPr>
    </w:p>
    <w:p w14:paraId="02FA613E" w14:textId="4DA0D008" w:rsidR="00667913" w:rsidRPr="005B2861" w:rsidRDefault="00667913" w:rsidP="005B2861">
      <w:pPr>
        <w:pStyle w:val="ListParagraph"/>
        <w:spacing w:after="0" w:line="360" w:lineRule="auto"/>
        <w:ind w:left="2160" w:hanging="724"/>
        <w:jc w:val="both"/>
        <w:rPr>
          <w:rFonts w:ascii="Arial" w:hAnsi="Arial" w:cs="Arial"/>
          <w:i/>
          <w:iCs/>
        </w:rPr>
      </w:pPr>
      <w:r w:rsidRPr="005B2861">
        <w:rPr>
          <w:rFonts w:ascii="Arial" w:hAnsi="Arial" w:cs="Arial"/>
          <w:i/>
          <w:iCs/>
        </w:rPr>
        <w:t>6.6.</w:t>
      </w:r>
      <w:r w:rsidRPr="005B2861">
        <w:rPr>
          <w:rFonts w:ascii="Arial" w:hAnsi="Arial" w:cs="Arial"/>
          <w:i/>
          <w:iCs/>
        </w:rPr>
        <w:tab/>
        <w:t>They failed to ensure that the Plaintiff did not slip on the passage floor, when by the exercise of reasonable and necessary care, they could and should have done so.</w:t>
      </w:r>
    </w:p>
    <w:p w14:paraId="0031AE5B" w14:textId="0CFA76BC" w:rsidR="005B2861" w:rsidRPr="005B2861" w:rsidRDefault="005B2861" w:rsidP="005B2861">
      <w:pPr>
        <w:pStyle w:val="ListParagraph"/>
        <w:spacing w:after="0" w:line="360" w:lineRule="auto"/>
        <w:ind w:left="1440" w:hanging="589"/>
        <w:jc w:val="both"/>
        <w:rPr>
          <w:rFonts w:ascii="Arial" w:hAnsi="Arial" w:cs="Arial"/>
          <w:i/>
          <w:iCs/>
        </w:rPr>
      </w:pPr>
    </w:p>
    <w:p w14:paraId="7FA9BB13" w14:textId="7ACF9D35" w:rsidR="005B2861" w:rsidRDefault="005B2861" w:rsidP="005B2861">
      <w:pPr>
        <w:pStyle w:val="ListParagraph"/>
        <w:spacing w:after="0" w:line="360" w:lineRule="auto"/>
        <w:ind w:left="1440" w:hanging="589"/>
        <w:jc w:val="both"/>
        <w:rPr>
          <w:rFonts w:ascii="Arial" w:hAnsi="Arial" w:cs="Arial"/>
          <w:sz w:val="24"/>
          <w:szCs w:val="24"/>
        </w:rPr>
      </w:pPr>
      <w:r w:rsidRPr="005B2861">
        <w:rPr>
          <w:rFonts w:ascii="Arial" w:hAnsi="Arial" w:cs="Arial"/>
          <w:i/>
          <w:iCs/>
        </w:rPr>
        <w:t>7.</w:t>
      </w:r>
      <w:r w:rsidRPr="005B2861">
        <w:rPr>
          <w:rFonts w:ascii="Arial" w:hAnsi="Arial" w:cs="Arial"/>
          <w:i/>
          <w:iCs/>
        </w:rPr>
        <w:tab/>
        <w:t>The whole cause of action arose within the area of jurisdiction of the above honourable court.</w:t>
      </w:r>
      <w:r>
        <w:rPr>
          <w:rFonts w:ascii="Arial" w:hAnsi="Arial" w:cs="Arial"/>
          <w:sz w:val="24"/>
          <w:szCs w:val="24"/>
        </w:rPr>
        <w:t>”</w:t>
      </w:r>
    </w:p>
    <w:p w14:paraId="79E6AC56" w14:textId="77777777" w:rsidR="00667913" w:rsidRDefault="00667913" w:rsidP="009E7490">
      <w:pPr>
        <w:pStyle w:val="ListParagraph"/>
        <w:spacing w:after="0" w:line="480" w:lineRule="auto"/>
        <w:ind w:left="1436" w:hanging="585"/>
        <w:jc w:val="both"/>
        <w:rPr>
          <w:rFonts w:ascii="Arial" w:hAnsi="Arial" w:cs="Arial"/>
          <w:sz w:val="24"/>
          <w:szCs w:val="24"/>
        </w:rPr>
      </w:pPr>
    </w:p>
    <w:p w14:paraId="5244FE08" w14:textId="2C7B5A1B" w:rsidR="00AF0652" w:rsidRDefault="00AF0652" w:rsidP="00AF065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 interpose to </w:t>
      </w:r>
      <w:r w:rsidR="00554D6B">
        <w:rPr>
          <w:rFonts w:ascii="Arial" w:hAnsi="Arial" w:cs="Arial"/>
          <w:sz w:val="24"/>
          <w:szCs w:val="24"/>
        </w:rPr>
        <w:t>highlight</w:t>
      </w:r>
      <w:r>
        <w:rPr>
          <w:rFonts w:ascii="Arial" w:hAnsi="Arial" w:cs="Arial"/>
          <w:sz w:val="24"/>
          <w:szCs w:val="24"/>
        </w:rPr>
        <w:t xml:space="preserve"> that paragraph 6 of the plaintiff’s particulars of claim lays blame, </w:t>
      </w:r>
      <w:r w:rsidRPr="009852C1">
        <w:rPr>
          <w:rFonts w:ascii="Arial" w:hAnsi="Arial" w:cs="Arial"/>
          <w:sz w:val="24"/>
          <w:szCs w:val="24"/>
          <w:u w:val="single"/>
        </w:rPr>
        <w:t>in the alternative</w:t>
      </w:r>
      <w:r>
        <w:rPr>
          <w:rFonts w:ascii="Arial" w:hAnsi="Arial" w:cs="Arial"/>
          <w:sz w:val="24"/>
          <w:szCs w:val="24"/>
        </w:rPr>
        <w:t>, on the negligence of “</w:t>
      </w:r>
      <w:r w:rsidRPr="00270FAF">
        <w:rPr>
          <w:rFonts w:ascii="Arial" w:hAnsi="Arial" w:cs="Arial"/>
          <w:i/>
          <w:iCs/>
          <w:sz w:val="24"/>
          <w:szCs w:val="24"/>
        </w:rPr>
        <w:t>one or more of</w:t>
      </w:r>
      <w:r>
        <w:rPr>
          <w:rFonts w:ascii="Arial" w:hAnsi="Arial" w:cs="Arial"/>
          <w:sz w:val="24"/>
          <w:szCs w:val="24"/>
        </w:rPr>
        <w:t>” the defendants’ “</w:t>
      </w:r>
      <w:r w:rsidRPr="00270FAF">
        <w:rPr>
          <w:rFonts w:ascii="Arial" w:hAnsi="Arial" w:cs="Arial"/>
          <w:i/>
          <w:iCs/>
          <w:sz w:val="24"/>
          <w:szCs w:val="24"/>
        </w:rPr>
        <w:t>employees and/or cleaning contractors, who acted within the course and scope of their employment.</w:t>
      </w:r>
      <w:r>
        <w:rPr>
          <w:rFonts w:ascii="Arial" w:hAnsi="Arial" w:cs="Arial"/>
          <w:sz w:val="24"/>
          <w:szCs w:val="24"/>
        </w:rPr>
        <w:t xml:space="preserve">”  </w:t>
      </w:r>
      <w:r w:rsidR="009852C1">
        <w:rPr>
          <w:rFonts w:ascii="Arial" w:hAnsi="Arial" w:cs="Arial"/>
          <w:sz w:val="24"/>
          <w:szCs w:val="24"/>
        </w:rPr>
        <w:t>It was argued by Mr Dala that this</w:t>
      </w:r>
      <w:r>
        <w:rPr>
          <w:rFonts w:ascii="Arial" w:hAnsi="Arial" w:cs="Arial"/>
          <w:sz w:val="24"/>
          <w:szCs w:val="24"/>
        </w:rPr>
        <w:t xml:space="preserve"> implies that the plaintiff’s claim against the defendants</w:t>
      </w:r>
      <w:r w:rsidR="009852C1">
        <w:rPr>
          <w:rFonts w:ascii="Arial" w:hAnsi="Arial" w:cs="Arial"/>
          <w:sz w:val="24"/>
          <w:szCs w:val="24"/>
        </w:rPr>
        <w:t>, on the pleadings,</w:t>
      </w:r>
      <w:r>
        <w:rPr>
          <w:rFonts w:ascii="Arial" w:hAnsi="Arial" w:cs="Arial"/>
          <w:sz w:val="24"/>
          <w:szCs w:val="24"/>
        </w:rPr>
        <w:t xml:space="preserve"> is founded on vicarious liability.  </w:t>
      </w:r>
    </w:p>
    <w:p w14:paraId="3BD25452" w14:textId="77777777" w:rsidR="00AF0652" w:rsidRPr="00184AD7" w:rsidRDefault="00AF0652" w:rsidP="00AF0652">
      <w:pPr>
        <w:pStyle w:val="ListParagraph"/>
        <w:spacing w:after="0" w:line="480" w:lineRule="auto"/>
        <w:rPr>
          <w:rFonts w:ascii="Arial" w:hAnsi="Arial" w:cs="Arial"/>
          <w:sz w:val="24"/>
          <w:szCs w:val="24"/>
        </w:rPr>
      </w:pPr>
    </w:p>
    <w:p w14:paraId="0EF99859" w14:textId="7C2832AA" w:rsidR="00AF0652" w:rsidRPr="00184AD7" w:rsidRDefault="00116B13" w:rsidP="00AF065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A</w:t>
      </w:r>
      <w:r w:rsidR="00FB2945">
        <w:rPr>
          <w:rFonts w:ascii="Arial" w:hAnsi="Arial" w:cs="Arial"/>
          <w:sz w:val="24"/>
          <w:szCs w:val="24"/>
        </w:rPr>
        <w:t>s will become</w:t>
      </w:r>
      <w:r w:rsidR="00B902C1">
        <w:rPr>
          <w:rFonts w:ascii="Arial" w:hAnsi="Arial" w:cs="Arial"/>
          <w:sz w:val="24"/>
          <w:szCs w:val="24"/>
        </w:rPr>
        <w:t xml:space="preserve"> more</w:t>
      </w:r>
      <w:r w:rsidR="00FB2945">
        <w:rPr>
          <w:rFonts w:ascii="Arial" w:hAnsi="Arial" w:cs="Arial"/>
          <w:sz w:val="24"/>
          <w:szCs w:val="24"/>
        </w:rPr>
        <w:t xml:space="preserve"> apparent hereunder,</w:t>
      </w:r>
      <w:r w:rsidR="00AF0652">
        <w:rPr>
          <w:rFonts w:ascii="Arial" w:hAnsi="Arial" w:cs="Arial"/>
          <w:sz w:val="24"/>
          <w:szCs w:val="24"/>
        </w:rPr>
        <w:t xml:space="preserve"> I am satisfied that</w:t>
      </w:r>
      <w:r w:rsidR="00D80DBB">
        <w:rPr>
          <w:rFonts w:ascii="Arial" w:hAnsi="Arial" w:cs="Arial"/>
          <w:sz w:val="24"/>
          <w:szCs w:val="24"/>
        </w:rPr>
        <w:t xml:space="preserve"> a claim founded on vicarious liability is not the</w:t>
      </w:r>
      <w:r w:rsidR="00AF0652">
        <w:rPr>
          <w:rFonts w:ascii="Arial" w:hAnsi="Arial" w:cs="Arial"/>
          <w:sz w:val="24"/>
          <w:szCs w:val="24"/>
        </w:rPr>
        <w:t xml:space="preserve"> plaintiff’s only case on the pleadings, nor was it </w:t>
      </w:r>
      <w:r w:rsidR="00AF0652">
        <w:rPr>
          <w:rFonts w:ascii="Arial" w:hAnsi="Arial" w:cs="Arial"/>
          <w:sz w:val="24"/>
          <w:szCs w:val="24"/>
        </w:rPr>
        <w:lastRenderedPageBreak/>
        <w:t xml:space="preserve">his case at trial.  </w:t>
      </w:r>
      <w:r w:rsidR="00AF0652" w:rsidRPr="00184AD7">
        <w:rPr>
          <w:rFonts w:ascii="Arial" w:hAnsi="Arial" w:cs="Arial"/>
          <w:sz w:val="24"/>
          <w:szCs w:val="24"/>
        </w:rPr>
        <w:t xml:space="preserve">I </w:t>
      </w:r>
      <w:r w:rsidR="000067C0">
        <w:rPr>
          <w:rFonts w:ascii="Arial" w:hAnsi="Arial" w:cs="Arial"/>
          <w:sz w:val="24"/>
          <w:szCs w:val="24"/>
        </w:rPr>
        <w:t xml:space="preserve">accordingly </w:t>
      </w:r>
      <w:r w:rsidR="00AF0652" w:rsidRPr="00184AD7">
        <w:rPr>
          <w:rFonts w:ascii="Arial" w:hAnsi="Arial" w:cs="Arial"/>
          <w:sz w:val="24"/>
          <w:szCs w:val="24"/>
        </w:rPr>
        <w:t>accept that the plaintiff’s claimed liability, against the first and second defendants, is not founded on vicarious liability.</w:t>
      </w:r>
    </w:p>
    <w:p w14:paraId="5D564940" w14:textId="77777777" w:rsidR="00AF0652" w:rsidRDefault="00AF0652" w:rsidP="00AE1D3E">
      <w:pPr>
        <w:pStyle w:val="ListParagraph"/>
        <w:spacing w:after="0" w:line="480" w:lineRule="auto"/>
        <w:ind w:left="851"/>
        <w:jc w:val="both"/>
        <w:rPr>
          <w:rFonts w:ascii="Arial" w:hAnsi="Arial" w:cs="Arial"/>
          <w:sz w:val="24"/>
          <w:szCs w:val="24"/>
        </w:rPr>
      </w:pPr>
    </w:p>
    <w:p w14:paraId="22F35C4D" w14:textId="53F79D31" w:rsidR="005A20B6" w:rsidRDefault="008D7A0C" w:rsidP="007017E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Whilst the defendants, in their plea, admit that the plaintiff fell in the passage</w:t>
      </w:r>
      <w:r w:rsidR="00F06A66">
        <w:rPr>
          <w:rFonts w:ascii="Arial" w:hAnsi="Arial" w:cs="Arial"/>
          <w:sz w:val="24"/>
          <w:szCs w:val="24"/>
        </w:rPr>
        <w:t>way</w:t>
      </w:r>
      <w:r>
        <w:rPr>
          <w:rFonts w:ascii="Arial" w:hAnsi="Arial" w:cs="Arial"/>
          <w:sz w:val="24"/>
          <w:szCs w:val="24"/>
        </w:rPr>
        <w:t xml:space="preserve"> in question, they dispute that the “</w:t>
      </w:r>
      <w:r w:rsidRPr="008D7A0C">
        <w:rPr>
          <w:rFonts w:ascii="Arial" w:hAnsi="Arial" w:cs="Arial"/>
          <w:i/>
          <w:iCs/>
          <w:sz w:val="24"/>
          <w:szCs w:val="24"/>
        </w:rPr>
        <w:t>plaintiff slipped on a wet floor and fell on his back</w:t>
      </w:r>
      <w:r>
        <w:rPr>
          <w:rFonts w:ascii="Arial" w:hAnsi="Arial" w:cs="Arial"/>
          <w:sz w:val="24"/>
          <w:szCs w:val="24"/>
        </w:rPr>
        <w:t>”</w:t>
      </w:r>
      <w:r w:rsidR="001E6FA9">
        <w:rPr>
          <w:rFonts w:ascii="Arial" w:hAnsi="Arial" w:cs="Arial"/>
          <w:sz w:val="24"/>
          <w:szCs w:val="24"/>
        </w:rPr>
        <w:t xml:space="preserve"> </w:t>
      </w:r>
      <w:r w:rsidR="0041331F">
        <w:rPr>
          <w:rFonts w:ascii="Arial" w:hAnsi="Arial" w:cs="Arial"/>
          <w:sz w:val="24"/>
          <w:szCs w:val="24"/>
        </w:rPr>
        <w:t>and</w:t>
      </w:r>
      <w:r w:rsidR="000B7CF4">
        <w:rPr>
          <w:rFonts w:ascii="Arial" w:hAnsi="Arial" w:cs="Arial"/>
          <w:sz w:val="24"/>
          <w:szCs w:val="24"/>
        </w:rPr>
        <w:t xml:space="preserve"> </w:t>
      </w:r>
      <w:r w:rsidR="001E6FA9">
        <w:rPr>
          <w:rFonts w:ascii="Arial" w:hAnsi="Arial" w:cs="Arial"/>
          <w:sz w:val="24"/>
          <w:szCs w:val="24"/>
        </w:rPr>
        <w:t>attribut</w:t>
      </w:r>
      <w:r w:rsidR="0041331F">
        <w:rPr>
          <w:rFonts w:ascii="Arial" w:hAnsi="Arial" w:cs="Arial"/>
          <w:sz w:val="24"/>
          <w:szCs w:val="24"/>
        </w:rPr>
        <w:t xml:space="preserve">e </w:t>
      </w:r>
      <w:r w:rsidR="00BD0F1C">
        <w:rPr>
          <w:rFonts w:ascii="Arial" w:hAnsi="Arial" w:cs="Arial"/>
          <w:sz w:val="24"/>
          <w:szCs w:val="24"/>
        </w:rPr>
        <w:t>his</w:t>
      </w:r>
      <w:r w:rsidR="000B7CF4">
        <w:rPr>
          <w:rFonts w:ascii="Arial" w:hAnsi="Arial" w:cs="Arial"/>
          <w:sz w:val="24"/>
          <w:szCs w:val="24"/>
        </w:rPr>
        <w:t xml:space="preserve"> fall </w:t>
      </w:r>
      <w:r w:rsidR="0041331F">
        <w:rPr>
          <w:rFonts w:ascii="Arial" w:hAnsi="Arial" w:cs="Arial"/>
          <w:sz w:val="24"/>
          <w:szCs w:val="24"/>
        </w:rPr>
        <w:t xml:space="preserve">to </w:t>
      </w:r>
      <w:r w:rsidR="003B1CFD">
        <w:rPr>
          <w:rFonts w:ascii="Arial" w:hAnsi="Arial" w:cs="Arial"/>
          <w:sz w:val="24"/>
          <w:szCs w:val="24"/>
        </w:rPr>
        <w:t>a loss of balance</w:t>
      </w:r>
      <w:r>
        <w:rPr>
          <w:rFonts w:ascii="Arial" w:hAnsi="Arial" w:cs="Arial"/>
          <w:sz w:val="24"/>
          <w:szCs w:val="24"/>
        </w:rPr>
        <w:t>.</w:t>
      </w:r>
      <w:r w:rsidR="003B1CFD">
        <w:rPr>
          <w:rFonts w:ascii="Arial" w:hAnsi="Arial" w:cs="Arial"/>
          <w:sz w:val="24"/>
          <w:szCs w:val="24"/>
        </w:rPr>
        <w:t xml:space="preserve">  </w:t>
      </w:r>
    </w:p>
    <w:p w14:paraId="4CABAA6E" w14:textId="77777777" w:rsidR="005A20B6" w:rsidRDefault="005A20B6" w:rsidP="005A20B6">
      <w:pPr>
        <w:pStyle w:val="ListParagraph"/>
        <w:spacing w:after="0" w:line="480" w:lineRule="auto"/>
        <w:ind w:left="851"/>
        <w:jc w:val="both"/>
        <w:rPr>
          <w:rFonts w:ascii="Arial" w:hAnsi="Arial" w:cs="Arial"/>
          <w:sz w:val="24"/>
          <w:szCs w:val="24"/>
        </w:rPr>
      </w:pPr>
    </w:p>
    <w:p w14:paraId="76AED256" w14:textId="6D28AE17" w:rsidR="008D7A0C" w:rsidRDefault="003B1CFD" w:rsidP="007017E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Significantly, th</w:t>
      </w:r>
      <w:r w:rsidR="00BD24BB">
        <w:rPr>
          <w:rFonts w:ascii="Arial" w:hAnsi="Arial" w:cs="Arial"/>
          <w:sz w:val="24"/>
          <w:szCs w:val="24"/>
        </w:rPr>
        <w:t xml:space="preserve">e plaintiff’s pleaded version, which was consistent with his evidence led at trial, was not disputed during cross-examination.  </w:t>
      </w:r>
      <w:r w:rsidR="00A94888">
        <w:rPr>
          <w:rFonts w:ascii="Arial" w:hAnsi="Arial" w:cs="Arial"/>
          <w:sz w:val="24"/>
          <w:szCs w:val="24"/>
        </w:rPr>
        <w:t>Similarly</w:t>
      </w:r>
      <w:r w:rsidR="00BD24BB">
        <w:rPr>
          <w:rFonts w:ascii="Arial" w:hAnsi="Arial" w:cs="Arial"/>
          <w:sz w:val="24"/>
          <w:szCs w:val="24"/>
        </w:rPr>
        <w:t xml:space="preserve">, the </w:t>
      </w:r>
      <w:r w:rsidR="00A94888">
        <w:rPr>
          <w:rFonts w:ascii="Arial" w:hAnsi="Arial" w:cs="Arial"/>
          <w:sz w:val="24"/>
          <w:szCs w:val="24"/>
        </w:rPr>
        <w:t xml:space="preserve">defendants’ </w:t>
      </w:r>
      <w:r w:rsidR="00AC53E6">
        <w:rPr>
          <w:rFonts w:ascii="Arial" w:hAnsi="Arial" w:cs="Arial"/>
          <w:sz w:val="24"/>
          <w:szCs w:val="24"/>
        </w:rPr>
        <w:t xml:space="preserve">version </w:t>
      </w:r>
      <w:r w:rsidR="00AF3480">
        <w:rPr>
          <w:rFonts w:ascii="Arial" w:hAnsi="Arial" w:cs="Arial"/>
          <w:sz w:val="24"/>
          <w:szCs w:val="24"/>
        </w:rPr>
        <w:t xml:space="preserve">regarding the cause of the </w:t>
      </w:r>
      <w:r w:rsidR="00AB546A">
        <w:rPr>
          <w:rFonts w:ascii="Arial" w:hAnsi="Arial" w:cs="Arial"/>
          <w:sz w:val="24"/>
          <w:szCs w:val="24"/>
        </w:rPr>
        <w:t xml:space="preserve">plaintiff’s fall was not put to </w:t>
      </w:r>
      <w:r w:rsidR="00AD7A38">
        <w:rPr>
          <w:rFonts w:ascii="Arial" w:hAnsi="Arial" w:cs="Arial"/>
          <w:sz w:val="24"/>
          <w:szCs w:val="24"/>
        </w:rPr>
        <w:t>the plaintiff</w:t>
      </w:r>
      <w:r w:rsidR="00375E9D">
        <w:rPr>
          <w:rFonts w:ascii="Arial" w:hAnsi="Arial" w:cs="Arial"/>
          <w:sz w:val="24"/>
          <w:szCs w:val="24"/>
        </w:rPr>
        <w:t>,</w:t>
      </w:r>
      <w:r w:rsidR="00AF3480">
        <w:rPr>
          <w:rFonts w:ascii="Arial" w:hAnsi="Arial" w:cs="Arial"/>
          <w:sz w:val="24"/>
          <w:szCs w:val="24"/>
        </w:rPr>
        <w:t xml:space="preserve"> and accordingly </w:t>
      </w:r>
      <w:r w:rsidR="00AC53E6">
        <w:rPr>
          <w:rFonts w:ascii="Arial" w:hAnsi="Arial" w:cs="Arial"/>
          <w:sz w:val="24"/>
          <w:szCs w:val="24"/>
        </w:rPr>
        <w:t xml:space="preserve">reliance thereon </w:t>
      </w:r>
      <w:r w:rsidR="008F5D5A">
        <w:rPr>
          <w:rFonts w:ascii="Arial" w:hAnsi="Arial" w:cs="Arial"/>
          <w:sz w:val="24"/>
          <w:szCs w:val="24"/>
        </w:rPr>
        <w:t>was not pursued</w:t>
      </w:r>
      <w:r w:rsidR="00375E9D">
        <w:rPr>
          <w:rFonts w:ascii="Arial" w:hAnsi="Arial" w:cs="Arial"/>
          <w:sz w:val="24"/>
          <w:szCs w:val="24"/>
        </w:rPr>
        <w:t xml:space="preserve"> by the defendants</w:t>
      </w:r>
      <w:r w:rsidR="00AC53E6">
        <w:rPr>
          <w:rFonts w:ascii="Arial" w:hAnsi="Arial" w:cs="Arial"/>
          <w:sz w:val="24"/>
          <w:szCs w:val="24"/>
        </w:rPr>
        <w:t>.</w:t>
      </w:r>
    </w:p>
    <w:p w14:paraId="4B6DCAE7" w14:textId="03FA7E11" w:rsidR="007D3DD1" w:rsidRDefault="007D3DD1" w:rsidP="007D3DD1">
      <w:pPr>
        <w:pStyle w:val="ListParagraph"/>
        <w:spacing w:after="0" w:line="480" w:lineRule="auto"/>
        <w:ind w:left="851"/>
        <w:jc w:val="both"/>
        <w:rPr>
          <w:rFonts w:ascii="Arial" w:hAnsi="Arial" w:cs="Arial"/>
          <w:sz w:val="24"/>
          <w:szCs w:val="24"/>
        </w:rPr>
      </w:pPr>
    </w:p>
    <w:p w14:paraId="69CF55A0" w14:textId="4C935697" w:rsidR="00EC5095" w:rsidRDefault="008D7A0C" w:rsidP="007017E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first defendant</w:t>
      </w:r>
      <w:r w:rsidR="009A25B6">
        <w:rPr>
          <w:rFonts w:ascii="Arial" w:hAnsi="Arial" w:cs="Arial"/>
          <w:sz w:val="24"/>
          <w:szCs w:val="24"/>
        </w:rPr>
        <w:t>, “</w:t>
      </w:r>
      <w:r w:rsidR="009A25B6" w:rsidRPr="00121363">
        <w:rPr>
          <w:rFonts w:ascii="Arial" w:hAnsi="Arial" w:cs="Arial"/>
          <w:i/>
          <w:iCs/>
          <w:sz w:val="24"/>
          <w:szCs w:val="24"/>
        </w:rPr>
        <w:t>as custodian of the property</w:t>
      </w:r>
      <w:r w:rsidR="009A25B6">
        <w:rPr>
          <w:rFonts w:ascii="Arial" w:hAnsi="Arial" w:cs="Arial"/>
          <w:sz w:val="24"/>
          <w:szCs w:val="24"/>
        </w:rPr>
        <w:t>”,</w:t>
      </w:r>
      <w:r>
        <w:rPr>
          <w:rFonts w:ascii="Arial" w:hAnsi="Arial" w:cs="Arial"/>
          <w:sz w:val="24"/>
          <w:szCs w:val="24"/>
        </w:rPr>
        <w:t xml:space="preserve"> admits </w:t>
      </w:r>
      <w:r w:rsidR="000F4320">
        <w:rPr>
          <w:rFonts w:ascii="Arial" w:hAnsi="Arial" w:cs="Arial"/>
          <w:sz w:val="24"/>
          <w:szCs w:val="24"/>
        </w:rPr>
        <w:t>th</w:t>
      </w:r>
      <w:r w:rsidR="009A25B6">
        <w:rPr>
          <w:rFonts w:ascii="Arial" w:hAnsi="Arial" w:cs="Arial"/>
          <w:sz w:val="24"/>
          <w:szCs w:val="24"/>
        </w:rPr>
        <w:t xml:space="preserve">e </w:t>
      </w:r>
      <w:r w:rsidR="000F4320">
        <w:rPr>
          <w:rFonts w:ascii="Arial" w:hAnsi="Arial" w:cs="Arial"/>
          <w:sz w:val="24"/>
          <w:szCs w:val="24"/>
        </w:rPr>
        <w:t xml:space="preserve">legal duty </w:t>
      </w:r>
      <w:r w:rsidR="009A25B6">
        <w:rPr>
          <w:rFonts w:ascii="Arial" w:hAnsi="Arial" w:cs="Arial"/>
          <w:sz w:val="24"/>
          <w:szCs w:val="24"/>
        </w:rPr>
        <w:t>as pleaded by the plaintiff,</w:t>
      </w:r>
      <w:r w:rsidR="00121363">
        <w:rPr>
          <w:rFonts w:ascii="Arial" w:hAnsi="Arial" w:cs="Arial"/>
          <w:sz w:val="24"/>
          <w:szCs w:val="24"/>
        </w:rPr>
        <w:t xml:space="preserve"> but seeks to disavow liability on the basis that the first defendant concluded a contract with Sky Ground to provide cleaning services at the </w:t>
      </w:r>
      <w:r w:rsidR="00362D24">
        <w:rPr>
          <w:rFonts w:ascii="Arial" w:hAnsi="Arial" w:cs="Arial"/>
          <w:sz w:val="24"/>
          <w:szCs w:val="24"/>
        </w:rPr>
        <w:t>c</w:t>
      </w:r>
      <w:r w:rsidR="00121363">
        <w:rPr>
          <w:rFonts w:ascii="Arial" w:hAnsi="Arial" w:cs="Arial"/>
          <w:sz w:val="24"/>
          <w:szCs w:val="24"/>
        </w:rPr>
        <w:t>ourt building</w:t>
      </w:r>
      <w:r w:rsidR="00EC5095">
        <w:rPr>
          <w:rFonts w:ascii="Arial" w:hAnsi="Arial" w:cs="Arial"/>
          <w:sz w:val="24"/>
          <w:szCs w:val="24"/>
        </w:rPr>
        <w:t>, which contract was in place at the time of the plaintiff’s incident</w:t>
      </w:r>
      <w:r w:rsidR="00121363">
        <w:rPr>
          <w:rFonts w:ascii="Arial" w:hAnsi="Arial" w:cs="Arial"/>
          <w:sz w:val="24"/>
          <w:szCs w:val="24"/>
        </w:rPr>
        <w:t>.</w:t>
      </w:r>
      <w:r w:rsidR="00EC5095">
        <w:rPr>
          <w:rFonts w:ascii="Arial" w:hAnsi="Arial" w:cs="Arial"/>
          <w:sz w:val="24"/>
          <w:szCs w:val="24"/>
        </w:rPr>
        <w:t xml:space="preserve">  More particularly, the defendants plead at paragraph 21.5 of their plea</w:t>
      </w:r>
      <w:r w:rsidR="00BF7D5C">
        <w:rPr>
          <w:rFonts w:ascii="Arial" w:hAnsi="Arial" w:cs="Arial"/>
          <w:sz w:val="24"/>
          <w:szCs w:val="24"/>
        </w:rPr>
        <w:t xml:space="preserve"> that</w:t>
      </w:r>
      <w:r w:rsidR="00EC5095">
        <w:rPr>
          <w:rFonts w:ascii="Arial" w:hAnsi="Arial" w:cs="Arial"/>
          <w:sz w:val="24"/>
          <w:szCs w:val="24"/>
        </w:rPr>
        <w:t>:</w:t>
      </w:r>
    </w:p>
    <w:p w14:paraId="0B1EBC10" w14:textId="77777777" w:rsidR="00362D24" w:rsidRDefault="00362D24" w:rsidP="00EC5095">
      <w:pPr>
        <w:tabs>
          <w:tab w:val="left" w:pos="1701"/>
        </w:tabs>
        <w:spacing w:after="0" w:line="360" w:lineRule="auto"/>
        <w:ind w:firstLine="720"/>
        <w:jc w:val="both"/>
        <w:rPr>
          <w:rFonts w:ascii="Arial" w:hAnsi="Arial" w:cs="Arial"/>
          <w:i/>
          <w:iCs/>
        </w:rPr>
      </w:pPr>
    </w:p>
    <w:p w14:paraId="7EA0DFEC" w14:textId="7B5BC843" w:rsidR="00EC5095" w:rsidRPr="00EC5095" w:rsidRDefault="00EC5095" w:rsidP="00EC5095">
      <w:pPr>
        <w:tabs>
          <w:tab w:val="left" w:pos="1701"/>
        </w:tabs>
        <w:spacing w:after="0" w:line="360" w:lineRule="auto"/>
        <w:ind w:firstLine="720"/>
        <w:jc w:val="both"/>
        <w:rPr>
          <w:rFonts w:ascii="Arial" w:hAnsi="Arial" w:cs="Arial"/>
          <w:i/>
          <w:iCs/>
        </w:rPr>
      </w:pPr>
      <w:r w:rsidRPr="00EC5095">
        <w:rPr>
          <w:rFonts w:ascii="Arial" w:hAnsi="Arial" w:cs="Arial"/>
          <w:i/>
          <w:iCs/>
        </w:rPr>
        <w:t>“21.5</w:t>
      </w:r>
      <w:r w:rsidRPr="00EC5095">
        <w:rPr>
          <w:rFonts w:ascii="Arial" w:hAnsi="Arial" w:cs="Arial"/>
          <w:i/>
          <w:iCs/>
        </w:rPr>
        <w:tab/>
        <w:t xml:space="preserve">The first and second defendants deny they had acted in breach of any </w:t>
      </w:r>
      <w:r w:rsidRPr="00EC5095">
        <w:rPr>
          <w:rFonts w:ascii="Arial" w:hAnsi="Arial" w:cs="Arial"/>
          <w:i/>
          <w:iCs/>
        </w:rPr>
        <w:br/>
        <w:t xml:space="preserve"> </w:t>
      </w:r>
      <w:r w:rsidRPr="00EC5095">
        <w:rPr>
          <w:rFonts w:ascii="Arial" w:hAnsi="Arial" w:cs="Arial"/>
          <w:i/>
          <w:iCs/>
        </w:rPr>
        <w:tab/>
        <w:t>legal duty which they may have owed the plaintiff;</w:t>
      </w:r>
    </w:p>
    <w:p w14:paraId="79982E6D" w14:textId="77777777" w:rsidR="00EC5095" w:rsidRPr="00EC5095" w:rsidRDefault="00EC5095" w:rsidP="00EC5095">
      <w:pPr>
        <w:pStyle w:val="ListParagraph"/>
        <w:spacing w:after="0" w:line="360" w:lineRule="auto"/>
        <w:ind w:left="1701"/>
        <w:jc w:val="both"/>
        <w:rPr>
          <w:rFonts w:ascii="Arial" w:hAnsi="Arial" w:cs="Arial"/>
          <w:i/>
          <w:iCs/>
        </w:rPr>
      </w:pPr>
    </w:p>
    <w:p w14:paraId="22A29B49" w14:textId="291ADBCE" w:rsidR="00EC5095" w:rsidRPr="00EC5095" w:rsidRDefault="00EC5095" w:rsidP="00EC5095">
      <w:pPr>
        <w:pStyle w:val="ListParagraph"/>
        <w:spacing w:after="0" w:line="360" w:lineRule="auto"/>
        <w:ind w:left="1701"/>
        <w:jc w:val="both"/>
        <w:rPr>
          <w:rFonts w:ascii="Arial" w:hAnsi="Arial" w:cs="Arial"/>
          <w:i/>
          <w:iCs/>
        </w:rPr>
      </w:pPr>
      <w:r w:rsidRPr="00EC5095">
        <w:rPr>
          <w:rFonts w:ascii="Arial" w:hAnsi="Arial" w:cs="Arial"/>
          <w:i/>
          <w:iCs/>
        </w:rPr>
        <w:t>in amplification:-</w:t>
      </w:r>
    </w:p>
    <w:p w14:paraId="73E0A96C" w14:textId="0CD07FAF" w:rsidR="00EC5095" w:rsidRPr="00EC5095" w:rsidRDefault="00EC5095" w:rsidP="00EC5095">
      <w:pPr>
        <w:pStyle w:val="ListParagraph"/>
        <w:spacing w:after="0" w:line="360" w:lineRule="auto"/>
        <w:ind w:left="1701"/>
        <w:jc w:val="both"/>
        <w:rPr>
          <w:rFonts w:ascii="Arial" w:hAnsi="Arial" w:cs="Arial"/>
          <w:i/>
          <w:iCs/>
        </w:rPr>
      </w:pPr>
    </w:p>
    <w:p w14:paraId="35BF2255" w14:textId="7868641C" w:rsidR="00EC5095" w:rsidRDefault="00EC5095" w:rsidP="00EC5095">
      <w:pPr>
        <w:pStyle w:val="ListParagraph"/>
        <w:spacing w:after="0" w:line="360" w:lineRule="auto"/>
        <w:ind w:left="1701"/>
        <w:jc w:val="both"/>
        <w:rPr>
          <w:rFonts w:ascii="Arial" w:hAnsi="Arial" w:cs="Arial"/>
        </w:rPr>
      </w:pPr>
      <w:r w:rsidRPr="00EC5095">
        <w:rPr>
          <w:rFonts w:ascii="Arial" w:hAnsi="Arial" w:cs="Arial"/>
          <w:i/>
          <w:iCs/>
        </w:rPr>
        <w:t xml:space="preserve">Sky Ground Enterprises – a competent and professional independent contractor, as stated above, were </w:t>
      </w:r>
      <w:r w:rsidRPr="00EC5095">
        <w:rPr>
          <w:rFonts w:ascii="Arial" w:hAnsi="Arial" w:cs="Arial"/>
        </w:rPr>
        <w:t>(sic)</w:t>
      </w:r>
      <w:r w:rsidRPr="00EC5095">
        <w:rPr>
          <w:rFonts w:ascii="Arial" w:hAnsi="Arial" w:cs="Arial"/>
          <w:i/>
          <w:iCs/>
        </w:rPr>
        <w:t xml:space="preserve"> contracted to provide cleaning </w:t>
      </w:r>
      <w:r w:rsidRPr="00EC5095">
        <w:rPr>
          <w:rFonts w:ascii="Arial" w:hAnsi="Arial" w:cs="Arial"/>
          <w:i/>
          <w:iCs/>
        </w:rPr>
        <w:lastRenderedPageBreak/>
        <w:t>services at the property, and would not be dangerous to members of the public.</w:t>
      </w:r>
      <w:r w:rsidRPr="00EC5095">
        <w:rPr>
          <w:rFonts w:ascii="Arial" w:hAnsi="Arial" w:cs="Arial"/>
        </w:rPr>
        <w:t xml:space="preserve">” </w:t>
      </w:r>
    </w:p>
    <w:p w14:paraId="2EA7DBE6" w14:textId="3365AC5E" w:rsidR="001F4F09" w:rsidRPr="00047B17" w:rsidRDefault="001F4F09" w:rsidP="00047B17">
      <w:pPr>
        <w:spacing w:after="0" w:line="480" w:lineRule="auto"/>
        <w:jc w:val="both"/>
        <w:rPr>
          <w:rFonts w:ascii="Arial" w:hAnsi="Arial" w:cs="Arial"/>
          <w:sz w:val="24"/>
          <w:szCs w:val="24"/>
        </w:rPr>
      </w:pPr>
    </w:p>
    <w:p w14:paraId="3F23C370" w14:textId="395AF9D0" w:rsidR="005D6C6C" w:rsidRDefault="005D6C6C" w:rsidP="00DC2D1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Despite reference being made to the second defendant in paragraph 21.5</w:t>
      </w:r>
      <w:r w:rsidR="00607194">
        <w:rPr>
          <w:rFonts w:ascii="Arial" w:hAnsi="Arial" w:cs="Arial"/>
          <w:sz w:val="24"/>
          <w:szCs w:val="24"/>
        </w:rPr>
        <w:t>,</w:t>
      </w:r>
      <w:r>
        <w:rPr>
          <w:rFonts w:ascii="Arial" w:hAnsi="Arial" w:cs="Arial"/>
          <w:sz w:val="24"/>
          <w:szCs w:val="24"/>
        </w:rPr>
        <w:t xml:space="preserve"> the second defendant goes on to plead that he, in any event, denies liability to the plaintiff in that he is “</w:t>
      </w:r>
      <w:r w:rsidRPr="005D6C6C">
        <w:rPr>
          <w:rFonts w:ascii="Arial" w:hAnsi="Arial" w:cs="Arial"/>
          <w:i/>
          <w:iCs/>
          <w:sz w:val="24"/>
          <w:szCs w:val="24"/>
        </w:rPr>
        <w:t>the wrong defendant before this Honourable Court.</w:t>
      </w:r>
      <w:r>
        <w:rPr>
          <w:rFonts w:ascii="Arial" w:hAnsi="Arial" w:cs="Arial"/>
          <w:sz w:val="24"/>
          <w:szCs w:val="24"/>
        </w:rPr>
        <w:t>”</w:t>
      </w:r>
      <w:r w:rsidR="003A74C1">
        <w:rPr>
          <w:rFonts w:ascii="Arial" w:hAnsi="Arial" w:cs="Arial"/>
          <w:sz w:val="24"/>
          <w:szCs w:val="24"/>
        </w:rPr>
        <w:t xml:space="preserve">  </w:t>
      </w:r>
      <w:r w:rsidR="00C338E1">
        <w:rPr>
          <w:rFonts w:ascii="Arial" w:hAnsi="Arial" w:cs="Arial"/>
          <w:sz w:val="24"/>
          <w:szCs w:val="24"/>
        </w:rPr>
        <w:t>Other than the aforesaid, t</w:t>
      </w:r>
      <w:r w:rsidR="003A74C1">
        <w:rPr>
          <w:rFonts w:ascii="Arial" w:hAnsi="Arial" w:cs="Arial"/>
          <w:sz w:val="24"/>
          <w:szCs w:val="24"/>
        </w:rPr>
        <w:t>he defendants</w:t>
      </w:r>
      <w:r w:rsidR="00C338E1">
        <w:rPr>
          <w:rFonts w:ascii="Arial" w:hAnsi="Arial" w:cs="Arial"/>
          <w:sz w:val="24"/>
          <w:szCs w:val="24"/>
        </w:rPr>
        <w:t>’</w:t>
      </w:r>
      <w:r w:rsidR="003A74C1">
        <w:rPr>
          <w:rFonts w:ascii="Arial" w:hAnsi="Arial" w:cs="Arial"/>
          <w:sz w:val="24"/>
          <w:szCs w:val="24"/>
        </w:rPr>
        <w:t xml:space="preserve"> plea, insofar as the plaintiff’s pleaded grounds of negligence are concerned, amount</w:t>
      </w:r>
      <w:r w:rsidR="00C338E1">
        <w:rPr>
          <w:rFonts w:ascii="Arial" w:hAnsi="Arial" w:cs="Arial"/>
          <w:sz w:val="24"/>
          <w:szCs w:val="24"/>
        </w:rPr>
        <w:t>s</w:t>
      </w:r>
      <w:r w:rsidR="003A74C1">
        <w:rPr>
          <w:rFonts w:ascii="Arial" w:hAnsi="Arial" w:cs="Arial"/>
          <w:sz w:val="24"/>
          <w:szCs w:val="24"/>
        </w:rPr>
        <w:t xml:space="preserve"> to no </w:t>
      </w:r>
      <w:r w:rsidR="00D36EB4">
        <w:rPr>
          <w:rFonts w:ascii="Arial" w:hAnsi="Arial" w:cs="Arial"/>
          <w:sz w:val="24"/>
          <w:szCs w:val="24"/>
        </w:rPr>
        <w:t>m</w:t>
      </w:r>
      <w:r w:rsidR="003A74C1">
        <w:rPr>
          <w:rFonts w:ascii="Arial" w:hAnsi="Arial" w:cs="Arial"/>
          <w:sz w:val="24"/>
          <w:szCs w:val="24"/>
        </w:rPr>
        <w:t>ore than a bare denial.</w:t>
      </w:r>
    </w:p>
    <w:p w14:paraId="5218C06C" w14:textId="77777777" w:rsidR="005D6C6C" w:rsidRDefault="005D6C6C" w:rsidP="00DC2D16">
      <w:pPr>
        <w:pStyle w:val="ListParagraph"/>
        <w:spacing w:after="0" w:line="480" w:lineRule="auto"/>
        <w:ind w:left="851"/>
        <w:jc w:val="both"/>
        <w:rPr>
          <w:rFonts w:ascii="Arial" w:hAnsi="Arial" w:cs="Arial"/>
          <w:sz w:val="24"/>
          <w:szCs w:val="24"/>
        </w:rPr>
      </w:pPr>
    </w:p>
    <w:p w14:paraId="40B186AA" w14:textId="0BBA5DED" w:rsidR="009A6453" w:rsidRDefault="00362D24" w:rsidP="0016100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Immediately apparent from</w:t>
      </w:r>
      <w:r w:rsidR="009A6453">
        <w:rPr>
          <w:rFonts w:ascii="Arial" w:hAnsi="Arial" w:cs="Arial"/>
          <w:sz w:val="24"/>
          <w:szCs w:val="24"/>
        </w:rPr>
        <w:t xml:space="preserve"> paragraph 21.5 of the defendants’ plea is that the </w:t>
      </w:r>
      <w:r w:rsidR="000D6951">
        <w:rPr>
          <w:rFonts w:ascii="Arial" w:hAnsi="Arial" w:cs="Arial"/>
          <w:sz w:val="24"/>
          <w:szCs w:val="24"/>
        </w:rPr>
        <w:t>defendant</w:t>
      </w:r>
      <w:r w:rsidR="006F5AD4">
        <w:rPr>
          <w:rFonts w:ascii="Arial" w:hAnsi="Arial" w:cs="Arial"/>
          <w:sz w:val="24"/>
          <w:szCs w:val="24"/>
        </w:rPr>
        <w:t>,</w:t>
      </w:r>
      <w:r w:rsidR="006D7E64">
        <w:rPr>
          <w:rFonts w:ascii="Arial" w:hAnsi="Arial" w:cs="Arial"/>
          <w:sz w:val="24"/>
          <w:szCs w:val="24"/>
        </w:rPr>
        <w:t xml:space="preserve"> although </w:t>
      </w:r>
      <w:r w:rsidR="00F70FEA">
        <w:rPr>
          <w:rFonts w:ascii="Arial" w:hAnsi="Arial" w:cs="Arial"/>
          <w:sz w:val="24"/>
          <w:szCs w:val="24"/>
        </w:rPr>
        <w:t xml:space="preserve">pleaded rather obliquely, </w:t>
      </w:r>
      <w:r w:rsidR="006D7E64">
        <w:rPr>
          <w:rFonts w:ascii="Arial" w:hAnsi="Arial" w:cs="Arial"/>
          <w:sz w:val="24"/>
          <w:szCs w:val="24"/>
        </w:rPr>
        <w:t>places reliance</w:t>
      </w:r>
      <w:r w:rsidR="009A6453">
        <w:rPr>
          <w:rFonts w:ascii="Arial" w:hAnsi="Arial" w:cs="Arial"/>
          <w:sz w:val="24"/>
          <w:szCs w:val="24"/>
        </w:rPr>
        <w:t xml:space="preserve"> </w:t>
      </w:r>
      <w:r w:rsidR="00E63110">
        <w:rPr>
          <w:rFonts w:ascii="Arial" w:hAnsi="Arial" w:cs="Arial"/>
          <w:sz w:val="24"/>
          <w:szCs w:val="24"/>
        </w:rPr>
        <w:t>upon</w:t>
      </w:r>
      <w:r w:rsidR="009A6453">
        <w:rPr>
          <w:rFonts w:ascii="Arial" w:hAnsi="Arial" w:cs="Arial"/>
          <w:sz w:val="24"/>
          <w:szCs w:val="24"/>
        </w:rPr>
        <w:t xml:space="preserve"> the general rule that a principal is not liable for the wrongs committed by an independent contractor or its employees</w:t>
      </w:r>
      <w:r w:rsidR="00AA6199">
        <w:rPr>
          <w:rFonts w:ascii="Arial" w:hAnsi="Arial" w:cs="Arial"/>
          <w:sz w:val="24"/>
          <w:szCs w:val="24"/>
        </w:rPr>
        <w:t>,</w:t>
      </w:r>
      <w:r w:rsidR="000D6951">
        <w:rPr>
          <w:rFonts w:ascii="Arial" w:hAnsi="Arial" w:cs="Arial"/>
          <w:sz w:val="24"/>
          <w:szCs w:val="24"/>
        </w:rPr>
        <w:t xml:space="preserve"> to avoid liability.</w:t>
      </w:r>
      <w:r w:rsidR="00813B9B">
        <w:rPr>
          <w:rFonts w:ascii="Arial" w:hAnsi="Arial" w:cs="Arial"/>
          <w:sz w:val="24"/>
          <w:szCs w:val="24"/>
        </w:rPr>
        <w:t xml:space="preserve">  Insofar as it could be said that </w:t>
      </w:r>
      <w:r w:rsidR="000518BE">
        <w:rPr>
          <w:rFonts w:ascii="Arial" w:hAnsi="Arial" w:cs="Arial"/>
          <w:sz w:val="24"/>
          <w:szCs w:val="24"/>
        </w:rPr>
        <w:t xml:space="preserve">this aspect </w:t>
      </w:r>
      <w:r w:rsidR="00813B9B">
        <w:rPr>
          <w:rFonts w:ascii="Arial" w:hAnsi="Arial" w:cs="Arial"/>
          <w:sz w:val="24"/>
          <w:szCs w:val="24"/>
        </w:rPr>
        <w:t xml:space="preserve">had not been raised properly on the pleadings, </w:t>
      </w:r>
      <w:r w:rsidR="00446111">
        <w:rPr>
          <w:rFonts w:ascii="Arial" w:hAnsi="Arial" w:cs="Arial"/>
          <w:sz w:val="24"/>
          <w:szCs w:val="24"/>
        </w:rPr>
        <w:t xml:space="preserve">I am satisfied that </w:t>
      </w:r>
      <w:r w:rsidR="00813B9B">
        <w:rPr>
          <w:rFonts w:ascii="Arial" w:hAnsi="Arial" w:cs="Arial"/>
          <w:sz w:val="24"/>
          <w:szCs w:val="24"/>
        </w:rPr>
        <w:t>it was canvassed fully in the evidence</w:t>
      </w:r>
      <w:r w:rsidR="00BE243A">
        <w:rPr>
          <w:rFonts w:ascii="Arial" w:hAnsi="Arial" w:cs="Arial"/>
          <w:sz w:val="24"/>
          <w:szCs w:val="24"/>
        </w:rPr>
        <w:t>,</w:t>
      </w:r>
      <w:r w:rsidR="00813B9B">
        <w:rPr>
          <w:rFonts w:ascii="Arial" w:hAnsi="Arial" w:cs="Arial"/>
          <w:sz w:val="24"/>
          <w:szCs w:val="24"/>
        </w:rPr>
        <w:t xml:space="preserve"> and I am accordingly </w:t>
      </w:r>
      <w:r w:rsidR="00A323C7">
        <w:rPr>
          <w:rFonts w:ascii="Arial" w:hAnsi="Arial" w:cs="Arial"/>
          <w:sz w:val="24"/>
          <w:szCs w:val="24"/>
        </w:rPr>
        <w:t>able</w:t>
      </w:r>
      <w:r w:rsidR="00813B9B">
        <w:rPr>
          <w:rFonts w:ascii="Arial" w:hAnsi="Arial" w:cs="Arial"/>
          <w:sz w:val="24"/>
          <w:szCs w:val="24"/>
        </w:rPr>
        <w:t xml:space="preserve"> to deal </w:t>
      </w:r>
      <w:r w:rsidR="00446111">
        <w:rPr>
          <w:rFonts w:ascii="Arial" w:hAnsi="Arial" w:cs="Arial"/>
          <w:sz w:val="24"/>
          <w:szCs w:val="24"/>
        </w:rPr>
        <w:t>there</w:t>
      </w:r>
      <w:r w:rsidR="00813B9B">
        <w:rPr>
          <w:rFonts w:ascii="Arial" w:hAnsi="Arial" w:cs="Arial"/>
          <w:sz w:val="24"/>
          <w:szCs w:val="24"/>
        </w:rPr>
        <w:t>with</w:t>
      </w:r>
      <w:r w:rsidR="00446111">
        <w:rPr>
          <w:rFonts w:ascii="Arial" w:hAnsi="Arial" w:cs="Arial"/>
          <w:sz w:val="24"/>
          <w:szCs w:val="24"/>
        </w:rPr>
        <w:t xml:space="preserve">.  </w:t>
      </w:r>
      <w:r w:rsidR="000D6951">
        <w:rPr>
          <w:rFonts w:ascii="Arial" w:hAnsi="Arial" w:cs="Arial"/>
          <w:sz w:val="24"/>
          <w:szCs w:val="24"/>
        </w:rPr>
        <w:t>I return</w:t>
      </w:r>
      <w:r w:rsidR="00446111">
        <w:rPr>
          <w:rFonts w:ascii="Arial" w:hAnsi="Arial" w:cs="Arial"/>
          <w:sz w:val="24"/>
          <w:szCs w:val="24"/>
        </w:rPr>
        <w:t xml:space="preserve"> to this</w:t>
      </w:r>
      <w:r w:rsidR="000D6951">
        <w:rPr>
          <w:rFonts w:ascii="Arial" w:hAnsi="Arial" w:cs="Arial"/>
          <w:sz w:val="24"/>
          <w:szCs w:val="24"/>
        </w:rPr>
        <w:t xml:space="preserve"> i</w:t>
      </w:r>
      <w:r w:rsidR="00190F4D">
        <w:rPr>
          <w:rFonts w:ascii="Arial" w:hAnsi="Arial" w:cs="Arial"/>
          <w:sz w:val="24"/>
          <w:szCs w:val="24"/>
        </w:rPr>
        <w:t>n</w:t>
      </w:r>
      <w:r w:rsidR="000D6951">
        <w:rPr>
          <w:rFonts w:ascii="Arial" w:hAnsi="Arial" w:cs="Arial"/>
          <w:sz w:val="24"/>
          <w:szCs w:val="24"/>
        </w:rPr>
        <w:t xml:space="preserve"> due course</w:t>
      </w:r>
      <w:r w:rsidR="00161004">
        <w:rPr>
          <w:rFonts w:ascii="Arial" w:hAnsi="Arial" w:cs="Arial"/>
          <w:sz w:val="24"/>
          <w:szCs w:val="24"/>
        </w:rPr>
        <w:t>.</w:t>
      </w:r>
      <w:r w:rsidR="009A6453">
        <w:rPr>
          <w:rFonts w:ascii="Arial" w:hAnsi="Arial" w:cs="Arial"/>
          <w:sz w:val="24"/>
          <w:szCs w:val="24"/>
        </w:rPr>
        <w:t xml:space="preserve">  </w:t>
      </w:r>
    </w:p>
    <w:p w14:paraId="5C68A2DD" w14:textId="7FA960F6" w:rsidR="00362D24" w:rsidRPr="009A6453" w:rsidRDefault="00362D24" w:rsidP="00161004">
      <w:pPr>
        <w:pStyle w:val="ListParagraph"/>
        <w:spacing w:after="0" w:line="480" w:lineRule="auto"/>
        <w:rPr>
          <w:rFonts w:ascii="Arial" w:hAnsi="Arial" w:cs="Arial"/>
          <w:sz w:val="24"/>
          <w:szCs w:val="24"/>
        </w:rPr>
      </w:pPr>
    </w:p>
    <w:p w14:paraId="1A147E29" w14:textId="538B0D76" w:rsidR="005152D5" w:rsidRPr="005152D5" w:rsidRDefault="00541B24" w:rsidP="0016100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Three witnesses were called to give evidence before me.  The only witness to testify on behalf of the plaintiff was the plaintiff himself.  Two witnesses testified on behalf of the defendants, being</w:t>
      </w:r>
      <w:r w:rsidR="003A6BDD">
        <w:rPr>
          <w:rFonts w:ascii="Arial" w:hAnsi="Arial" w:cs="Arial"/>
          <w:sz w:val="24"/>
          <w:szCs w:val="24"/>
        </w:rPr>
        <w:t xml:space="preserve"> (i)</w:t>
      </w:r>
      <w:r>
        <w:rPr>
          <w:rFonts w:ascii="Arial" w:hAnsi="Arial" w:cs="Arial"/>
          <w:sz w:val="24"/>
          <w:szCs w:val="24"/>
        </w:rPr>
        <w:t xml:space="preserve"> </w:t>
      </w:r>
      <w:r w:rsidRPr="00541B24">
        <w:rPr>
          <w:rFonts w:ascii="Arial" w:hAnsi="Arial" w:cs="Arial"/>
          <w:sz w:val="24"/>
          <w:szCs w:val="24"/>
        </w:rPr>
        <w:t>Thembisa Mzinzi</w:t>
      </w:r>
      <w:r w:rsidR="00F23611">
        <w:rPr>
          <w:rFonts w:ascii="Arial" w:hAnsi="Arial" w:cs="Arial"/>
          <w:sz w:val="24"/>
          <w:szCs w:val="24"/>
        </w:rPr>
        <w:t xml:space="preserve"> (“</w:t>
      </w:r>
      <w:r w:rsidR="00F23611" w:rsidRPr="00F23611">
        <w:rPr>
          <w:rFonts w:ascii="Arial" w:hAnsi="Arial" w:cs="Arial"/>
          <w:i/>
          <w:iCs/>
          <w:sz w:val="24"/>
          <w:szCs w:val="24"/>
        </w:rPr>
        <w:t>Mzinzi</w:t>
      </w:r>
      <w:r w:rsidR="00F23611">
        <w:rPr>
          <w:rFonts w:ascii="Arial" w:hAnsi="Arial" w:cs="Arial"/>
          <w:sz w:val="24"/>
          <w:szCs w:val="24"/>
        </w:rPr>
        <w:t>”)</w:t>
      </w:r>
      <w:r w:rsidR="005152D5">
        <w:rPr>
          <w:rFonts w:ascii="Arial" w:hAnsi="Arial" w:cs="Arial"/>
          <w:sz w:val="24"/>
          <w:szCs w:val="24"/>
        </w:rPr>
        <w:t>,</w:t>
      </w:r>
      <w:r w:rsidR="003A6BDD">
        <w:rPr>
          <w:rFonts w:ascii="Arial" w:hAnsi="Arial" w:cs="Arial"/>
          <w:sz w:val="24"/>
          <w:szCs w:val="24"/>
        </w:rPr>
        <w:t xml:space="preserve"> a Cleaning Contract Officer in the employ of the first defendant</w:t>
      </w:r>
      <w:r w:rsidR="005152D5">
        <w:rPr>
          <w:rFonts w:ascii="Arial" w:hAnsi="Arial" w:cs="Arial"/>
          <w:sz w:val="24"/>
          <w:szCs w:val="24"/>
        </w:rPr>
        <w:t xml:space="preserve"> </w:t>
      </w:r>
      <w:r w:rsidR="003A6BDD">
        <w:rPr>
          <w:rFonts w:ascii="Arial" w:hAnsi="Arial" w:cs="Arial"/>
          <w:sz w:val="24"/>
          <w:szCs w:val="24"/>
        </w:rPr>
        <w:t xml:space="preserve">and </w:t>
      </w:r>
      <w:r w:rsidR="005152D5">
        <w:rPr>
          <w:rFonts w:ascii="Arial" w:hAnsi="Arial" w:cs="Arial"/>
          <w:sz w:val="24"/>
          <w:szCs w:val="24"/>
        </w:rPr>
        <w:t xml:space="preserve">the </w:t>
      </w:r>
      <w:r w:rsidRPr="00541B24">
        <w:rPr>
          <w:rFonts w:ascii="Arial" w:hAnsi="Arial" w:cs="Arial"/>
          <w:sz w:val="24"/>
          <w:szCs w:val="24"/>
        </w:rPr>
        <w:t xml:space="preserve">chairperson of </w:t>
      </w:r>
      <w:r w:rsidR="00B04106">
        <w:rPr>
          <w:rFonts w:ascii="Arial" w:hAnsi="Arial" w:cs="Arial"/>
          <w:sz w:val="24"/>
          <w:szCs w:val="24"/>
        </w:rPr>
        <w:t xml:space="preserve">the </w:t>
      </w:r>
      <w:r w:rsidRPr="00541B24">
        <w:rPr>
          <w:rFonts w:ascii="Arial" w:hAnsi="Arial" w:cs="Arial"/>
          <w:sz w:val="24"/>
          <w:szCs w:val="24"/>
        </w:rPr>
        <w:t>bid evaluation committee</w:t>
      </w:r>
      <w:r w:rsidR="00A95E06">
        <w:rPr>
          <w:rFonts w:ascii="Arial" w:hAnsi="Arial" w:cs="Arial"/>
          <w:sz w:val="24"/>
          <w:szCs w:val="24"/>
        </w:rPr>
        <w:t xml:space="preserve"> and</w:t>
      </w:r>
      <w:r w:rsidR="005152D5">
        <w:rPr>
          <w:rFonts w:ascii="Arial" w:hAnsi="Arial" w:cs="Arial"/>
          <w:sz w:val="24"/>
          <w:szCs w:val="24"/>
        </w:rPr>
        <w:t>;</w:t>
      </w:r>
      <w:r w:rsidR="003A6BDD">
        <w:rPr>
          <w:rFonts w:ascii="Arial" w:hAnsi="Arial" w:cs="Arial"/>
          <w:sz w:val="24"/>
          <w:szCs w:val="24"/>
        </w:rPr>
        <w:t xml:space="preserve"> (ii)</w:t>
      </w:r>
      <w:r w:rsidR="005152D5">
        <w:rPr>
          <w:rFonts w:ascii="Arial" w:hAnsi="Arial" w:cs="Arial"/>
          <w:sz w:val="24"/>
          <w:szCs w:val="24"/>
        </w:rPr>
        <w:t xml:space="preserve"> </w:t>
      </w:r>
      <w:r w:rsidR="005152D5" w:rsidRPr="005152D5">
        <w:rPr>
          <w:rFonts w:ascii="Arial" w:hAnsi="Arial" w:cs="Arial"/>
          <w:sz w:val="24"/>
          <w:szCs w:val="24"/>
        </w:rPr>
        <w:t>Johannes Gideon van der Walt</w:t>
      </w:r>
      <w:r w:rsidR="00F23611">
        <w:rPr>
          <w:rFonts w:ascii="Arial" w:hAnsi="Arial" w:cs="Arial"/>
          <w:sz w:val="24"/>
          <w:szCs w:val="24"/>
        </w:rPr>
        <w:t xml:space="preserve"> (“</w:t>
      </w:r>
      <w:r w:rsidR="00F23611" w:rsidRPr="00F23611">
        <w:rPr>
          <w:rFonts w:ascii="Arial" w:hAnsi="Arial" w:cs="Arial"/>
          <w:i/>
          <w:iCs/>
          <w:sz w:val="24"/>
          <w:szCs w:val="24"/>
        </w:rPr>
        <w:t>van der Walt</w:t>
      </w:r>
      <w:r w:rsidR="00F23611">
        <w:rPr>
          <w:rFonts w:ascii="Arial" w:hAnsi="Arial" w:cs="Arial"/>
          <w:sz w:val="24"/>
          <w:szCs w:val="24"/>
        </w:rPr>
        <w:t>”)</w:t>
      </w:r>
      <w:r w:rsidR="005152D5">
        <w:rPr>
          <w:rFonts w:ascii="Arial" w:hAnsi="Arial" w:cs="Arial"/>
          <w:sz w:val="24"/>
          <w:szCs w:val="24"/>
        </w:rPr>
        <w:t>, the Regional Manager for the</w:t>
      </w:r>
      <w:r w:rsidR="005152D5" w:rsidRPr="005152D5">
        <w:rPr>
          <w:rFonts w:ascii="Arial" w:hAnsi="Arial" w:cs="Arial"/>
          <w:sz w:val="24"/>
          <w:szCs w:val="24"/>
        </w:rPr>
        <w:t xml:space="preserve"> Gqeberha Regional office </w:t>
      </w:r>
      <w:r w:rsidR="005773B1">
        <w:rPr>
          <w:rFonts w:ascii="Arial" w:hAnsi="Arial" w:cs="Arial"/>
          <w:sz w:val="24"/>
          <w:szCs w:val="24"/>
        </w:rPr>
        <w:t>in the employ of the first defendant</w:t>
      </w:r>
      <w:r w:rsidR="005152D5">
        <w:rPr>
          <w:rFonts w:ascii="Arial" w:hAnsi="Arial" w:cs="Arial"/>
          <w:sz w:val="24"/>
          <w:szCs w:val="24"/>
        </w:rPr>
        <w:t xml:space="preserve"> and</w:t>
      </w:r>
      <w:r w:rsidR="00B04106">
        <w:rPr>
          <w:rFonts w:ascii="Arial" w:hAnsi="Arial" w:cs="Arial"/>
          <w:sz w:val="24"/>
          <w:szCs w:val="24"/>
        </w:rPr>
        <w:t xml:space="preserve"> the</w:t>
      </w:r>
      <w:r w:rsidR="005152D5">
        <w:rPr>
          <w:rFonts w:ascii="Arial" w:hAnsi="Arial" w:cs="Arial"/>
          <w:sz w:val="24"/>
          <w:szCs w:val="24"/>
        </w:rPr>
        <w:t xml:space="preserve"> </w:t>
      </w:r>
      <w:r w:rsidR="007053BB">
        <w:rPr>
          <w:rFonts w:ascii="Arial" w:hAnsi="Arial" w:cs="Arial"/>
          <w:sz w:val="24"/>
          <w:szCs w:val="24"/>
        </w:rPr>
        <w:t>c</w:t>
      </w:r>
      <w:r w:rsidR="005152D5" w:rsidRPr="005152D5">
        <w:rPr>
          <w:rFonts w:ascii="Arial" w:hAnsi="Arial" w:cs="Arial"/>
          <w:sz w:val="24"/>
          <w:szCs w:val="24"/>
        </w:rPr>
        <w:t xml:space="preserve">hairperson of the </w:t>
      </w:r>
      <w:r w:rsidR="007053BB">
        <w:rPr>
          <w:rFonts w:ascii="Arial" w:hAnsi="Arial" w:cs="Arial"/>
          <w:sz w:val="24"/>
          <w:szCs w:val="24"/>
        </w:rPr>
        <w:t>r</w:t>
      </w:r>
      <w:r w:rsidR="005152D5" w:rsidRPr="005152D5">
        <w:rPr>
          <w:rFonts w:ascii="Arial" w:hAnsi="Arial" w:cs="Arial"/>
          <w:sz w:val="24"/>
          <w:szCs w:val="24"/>
        </w:rPr>
        <w:t xml:space="preserve">egional </w:t>
      </w:r>
      <w:r w:rsidR="007053BB">
        <w:rPr>
          <w:rFonts w:ascii="Arial" w:hAnsi="Arial" w:cs="Arial"/>
          <w:sz w:val="24"/>
          <w:szCs w:val="24"/>
        </w:rPr>
        <w:t>b</w:t>
      </w:r>
      <w:r w:rsidR="005152D5" w:rsidRPr="005152D5">
        <w:rPr>
          <w:rFonts w:ascii="Arial" w:hAnsi="Arial" w:cs="Arial"/>
          <w:sz w:val="24"/>
          <w:szCs w:val="24"/>
        </w:rPr>
        <w:t xml:space="preserve">id </w:t>
      </w:r>
      <w:r w:rsidR="00BB752F">
        <w:rPr>
          <w:rFonts w:ascii="Arial" w:hAnsi="Arial" w:cs="Arial"/>
          <w:sz w:val="24"/>
          <w:szCs w:val="24"/>
        </w:rPr>
        <w:t>adjudication</w:t>
      </w:r>
      <w:r w:rsidR="005152D5" w:rsidRPr="005152D5">
        <w:rPr>
          <w:rFonts w:ascii="Arial" w:hAnsi="Arial" w:cs="Arial"/>
          <w:sz w:val="24"/>
          <w:szCs w:val="24"/>
        </w:rPr>
        <w:t xml:space="preserve"> </w:t>
      </w:r>
      <w:r w:rsidR="007053BB">
        <w:rPr>
          <w:rFonts w:ascii="Arial" w:hAnsi="Arial" w:cs="Arial"/>
          <w:sz w:val="24"/>
          <w:szCs w:val="24"/>
        </w:rPr>
        <w:t>c</w:t>
      </w:r>
      <w:r w:rsidR="005152D5" w:rsidRPr="005152D5">
        <w:rPr>
          <w:rFonts w:ascii="Arial" w:hAnsi="Arial" w:cs="Arial"/>
          <w:sz w:val="24"/>
          <w:szCs w:val="24"/>
        </w:rPr>
        <w:t>ommittee</w:t>
      </w:r>
      <w:r w:rsidR="005152D5">
        <w:rPr>
          <w:rFonts w:ascii="Arial" w:hAnsi="Arial" w:cs="Arial"/>
          <w:sz w:val="24"/>
          <w:szCs w:val="24"/>
        </w:rPr>
        <w:t>.</w:t>
      </w:r>
    </w:p>
    <w:p w14:paraId="7789FD0A" w14:textId="1B3A36C3" w:rsidR="00877436" w:rsidRDefault="005152D5" w:rsidP="008010A7">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T</w:t>
      </w:r>
      <w:r w:rsidR="00CA57B6">
        <w:rPr>
          <w:rFonts w:ascii="Arial" w:hAnsi="Arial" w:cs="Arial"/>
          <w:sz w:val="24"/>
          <w:szCs w:val="24"/>
        </w:rPr>
        <w:t xml:space="preserve">he only account of the incident was </w:t>
      </w:r>
      <w:r w:rsidR="00507577">
        <w:rPr>
          <w:rFonts w:ascii="Arial" w:hAnsi="Arial" w:cs="Arial"/>
          <w:sz w:val="24"/>
          <w:szCs w:val="24"/>
        </w:rPr>
        <w:t>narrated</w:t>
      </w:r>
      <w:r w:rsidR="00CA57B6">
        <w:rPr>
          <w:rFonts w:ascii="Arial" w:hAnsi="Arial" w:cs="Arial"/>
          <w:sz w:val="24"/>
          <w:szCs w:val="24"/>
        </w:rPr>
        <w:t xml:space="preserve"> by the plaintiff.  </w:t>
      </w:r>
      <w:r w:rsidR="001D61B0">
        <w:rPr>
          <w:rFonts w:ascii="Arial" w:hAnsi="Arial" w:cs="Arial"/>
          <w:sz w:val="24"/>
          <w:szCs w:val="24"/>
        </w:rPr>
        <w:t>The plaintiff testified that on the morning in question</w:t>
      </w:r>
      <w:r w:rsidR="00E86C48">
        <w:rPr>
          <w:rFonts w:ascii="Arial" w:hAnsi="Arial" w:cs="Arial"/>
          <w:sz w:val="24"/>
          <w:szCs w:val="24"/>
        </w:rPr>
        <w:t>,</w:t>
      </w:r>
      <w:r w:rsidR="001D61B0">
        <w:rPr>
          <w:rFonts w:ascii="Arial" w:hAnsi="Arial" w:cs="Arial"/>
          <w:sz w:val="24"/>
          <w:szCs w:val="24"/>
        </w:rPr>
        <w:t xml:space="preserve"> at approximately 08h30, and after reporting to court 51, he proceeded to walk through the passageways of the court building to attend </w:t>
      </w:r>
      <w:r w:rsidR="00D16635">
        <w:rPr>
          <w:rFonts w:ascii="Arial" w:hAnsi="Arial" w:cs="Arial"/>
          <w:sz w:val="24"/>
          <w:szCs w:val="24"/>
        </w:rPr>
        <w:t xml:space="preserve">to </w:t>
      </w:r>
      <w:r w:rsidR="001D61B0">
        <w:rPr>
          <w:rFonts w:ascii="Arial" w:hAnsi="Arial" w:cs="Arial"/>
          <w:sz w:val="24"/>
          <w:szCs w:val="24"/>
        </w:rPr>
        <w:t>a scheduled meeting with a clerk of the court</w:t>
      </w:r>
      <w:r w:rsidR="00114B72">
        <w:rPr>
          <w:rFonts w:ascii="Arial" w:hAnsi="Arial" w:cs="Arial"/>
          <w:sz w:val="24"/>
          <w:szCs w:val="24"/>
        </w:rPr>
        <w:t>, Hazel Mtanga (“</w:t>
      </w:r>
      <w:r w:rsidR="00114B72" w:rsidRPr="00114B72">
        <w:rPr>
          <w:rFonts w:ascii="Arial" w:hAnsi="Arial" w:cs="Arial"/>
          <w:i/>
          <w:iCs/>
          <w:sz w:val="24"/>
          <w:szCs w:val="24"/>
        </w:rPr>
        <w:t>Mtanga</w:t>
      </w:r>
      <w:r w:rsidR="00114B72">
        <w:rPr>
          <w:rFonts w:ascii="Arial" w:hAnsi="Arial" w:cs="Arial"/>
          <w:sz w:val="24"/>
          <w:szCs w:val="24"/>
        </w:rPr>
        <w:t>”)</w:t>
      </w:r>
      <w:r w:rsidR="001D61B0">
        <w:rPr>
          <w:rFonts w:ascii="Arial" w:hAnsi="Arial" w:cs="Arial"/>
          <w:sz w:val="24"/>
          <w:szCs w:val="24"/>
        </w:rPr>
        <w:t xml:space="preserve">.  The </w:t>
      </w:r>
      <w:r w:rsidR="00D16635">
        <w:rPr>
          <w:rFonts w:ascii="Arial" w:hAnsi="Arial" w:cs="Arial"/>
          <w:sz w:val="24"/>
          <w:szCs w:val="24"/>
        </w:rPr>
        <w:t>plaintiff’s path of travel and the location of the incident are clearly</w:t>
      </w:r>
      <w:r w:rsidR="00C235DD">
        <w:rPr>
          <w:rFonts w:ascii="Arial" w:hAnsi="Arial" w:cs="Arial"/>
          <w:sz w:val="24"/>
          <w:szCs w:val="24"/>
        </w:rPr>
        <w:t xml:space="preserve"> described in the evidence on record and are</w:t>
      </w:r>
      <w:r w:rsidR="00D16635">
        <w:rPr>
          <w:rFonts w:ascii="Arial" w:hAnsi="Arial" w:cs="Arial"/>
          <w:sz w:val="24"/>
          <w:szCs w:val="24"/>
        </w:rPr>
        <w:t xml:space="preserve"> depicted in the photographs which were</w:t>
      </w:r>
      <w:r w:rsidR="00114B72">
        <w:rPr>
          <w:rFonts w:ascii="Arial" w:hAnsi="Arial" w:cs="Arial"/>
          <w:sz w:val="24"/>
          <w:szCs w:val="24"/>
        </w:rPr>
        <w:t xml:space="preserve"> taken by the plaintiff on the day of the incident</w:t>
      </w:r>
      <w:r w:rsidR="006E72E1">
        <w:rPr>
          <w:rFonts w:ascii="Arial" w:hAnsi="Arial" w:cs="Arial"/>
          <w:sz w:val="24"/>
          <w:szCs w:val="24"/>
        </w:rPr>
        <w:t>,</w:t>
      </w:r>
      <w:r w:rsidR="00114B72">
        <w:rPr>
          <w:rFonts w:ascii="Arial" w:hAnsi="Arial" w:cs="Arial"/>
          <w:sz w:val="24"/>
          <w:szCs w:val="24"/>
        </w:rPr>
        <w:t xml:space="preserve"> which were</w:t>
      </w:r>
      <w:r w:rsidR="00D16635">
        <w:rPr>
          <w:rFonts w:ascii="Arial" w:hAnsi="Arial" w:cs="Arial"/>
          <w:sz w:val="24"/>
          <w:szCs w:val="24"/>
        </w:rPr>
        <w:t xml:space="preserve"> admitted into evidence</w:t>
      </w:r>
      <w:r w:rsidR="006264D3">
        <w:rPr>
          <w:rFonts w:ascii="Arial" w:hAnsi="Arial" w:cs="Arial"/>
          <w:sz w:val="24"/>
          <w:szCs w:val="24"/>
        </w:rPr>
        <w:t xml:space="preserve"> as exhibits “A” to “C”</w:t>
      </w:r>
      <w:r w:rsidR="00D16635">
        <w:rPr>
          <w:rFonts w:ascii="Arial" w:hAnsi="Arial" w:cs="Arial"/>
          <w:sz w:val="24"/>
          <w:szCs w:val="24"/>
        </w:rPr>
        <w:t xml:space="preserve">.  </w:t>
      </w:r>
    </w:p>
    <w:p w14:paraId="03BD5A01" w14:textId="77777777" w:rsidR="00877436" w:rsidRPr="00877436" w:rsidRDefault="00877436" w:rsidP="00DC2D16">
      <w:pPr>
        <w:pStyle w:val="ListParagraph"/>
        <w:spacing w:after="0" w:line="480" w:lineRule="auto"/>
        <w:rPr>
          <w:rFonts w:ascii="Arial" w:hAnsi="Arial" w:cs="Arial"/>
          <w:sz w:val="24"/>
          <w:szCs w:val="24"/>
        </w:rPr>
      </w:pPr>
    </w:p>
    <w:p w14:paraId="36618A2D" w14:textId="7CA71D8E" w:rsidR="00EB6B22" w:rsidRDefault="00C235DD" w:rsidP="00DC2D1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essence, the</w:t>
      </w:r>
      <w:r w:rsidR="00D16635">
        <w:rPr>
          <w:rFonts w:ascii="Arial" w:hAnsi="Arial" w:cs="Arial"/>
          <w:sz w:val="24"/>
          <w:szCs w:val="24"/>
        </w:rPr>
        <w:t xml:space="preserve"> plaintiff</w:t>
      </w:r>
      <w:r>
        <w:rPr>
          <w:rFonts w:ascii="Arial" w:hAnsi="Arial" w:cs="Arial"/>
          <w:sz w:val="24"/>
          <w:szCs w:val="24"/>
        </w:rPr>
        <w:t xml:space="preserve">, after exiting </w:t>
      </w:r>
      <w:r w:rsidR="00D16635">
        <w:rPr>
          <w:rFonts w:ascii="Arial" w:hAnsi="Arial" w:cs="Arial"/>
          <w:sz w:val="24"/>
          <w:szCs w:val="24"/>
        </w:rPr>
        <w:t>court 51,</w:t>
      </w:r>
      <w:r>
        <w:rPr>
          <w:rFonts w:ascii="Arial" w:hAnsi="Arial" w:cs="Arial"/>
          <w:sz w:val="24"/>
          <w:szCs w:val="24"/>
        </w:rPr>
        <w:t xml:space="preserve"> turned to his left and proceeded down the passage through a set of double doors.  Once through the double doors, the plaintiff once again turned to his left.  </w:t>
      </w:r>
      <w:r w:rsidR="009E33A2">
        <w:rPr>
          <w:rFonts w:ascii="Arial" w:hAnsi="Arial" w:cs="Arial"/>
          <w:sz w:val="24"/>
          <w:szCs w:val="24"/>
        </w:rPr>
        <w:t>A</w:t>
      </w:r>
      <w:r w:rsidR="00087115">
        <w:rPr>
          <w:rFonts w:ascii="Arial" w:hAnsi="Arial" w:cs="Arial"/>
          <w:sz w:val="24"/>
          <w:szCs w:val="24"/>
        </w:rPr>
        <w:t>s the plaintiff rounded the corner, he</w:t>
      </w:r>
      <w:r w:rsidR="009E33A2">
        <w:rPr>
          <w:rFonts w:ascii="Arial" w:hAnsi="Arial" w:cs="Arial"/>
          <w:sz w:val="24"/>
          <w:szCs w:val="24"/>
        </w:rPr>
        <w:t xml:space="preserve"> immediately noticed a lady, wh</w:t>
      </w:r>
      <w:r w:rsidR="00087115">
        <w:rPr>
          <w:rFonts w:ascii="Arial" w:hAnsi="Arial" w:cs="Arial"/>
          <w:sz w:val="24"/>
          <w:szCs w:val="24"/>
        </w:rPr>
        <w:t>o</w:t>
      </w:r>
      <w:r w:rsidR="009E33A2">
        <w:rPr>
          <w:rFonts w:ascii="Arial" w:hAnsi="Arial" w:cs="Arial"/>
          <w:sz w:val="24"/>
          <w:szCs w:val="24"/>
        </w:rPr>
        <w:t xml:space="preserve"> he identified as a cleaner,</w:t>
      </w:r>
      <w:r w:rsidR="00DA07E8">
        <w:rPr>
          <w:rFonts w:ascii="Arial" w:hAnsi="Arial" w:cs="Arial"/>
          <w:sz w:val="24"/>
          <w:szCs w:val="24"/>
        </w:rPr>
        <w:t xml:space="preserve"> and who later was identified as Ms Witbooi (“</w:t>
      </w:r>
      <w:r w:rsidR="00DA07E8" w:rsidRPr="00DA07E8">
        <w:rPr>
          <w:rFonts w:ascii="Arial" w:hAnsi="Arial" w:cs="Arial"/>
          <w:i/>
          <w:iCs/>
          <w:sz w:val="24"/>
          <w:szCs w:val="24"/>
        </w:rPr>
        <w:t>Witbooi</w:t>
      </w:r>
      <w:r w:rsidR="00DA07E8">
        <w:rPr>
          <w:rFonts w:ascii="Arial" w:hAnsi="Arial" w:cs="Arial"/>
          <w:sz w:val="24"/>
          <w:szCs w:val="24"/>
        </w:rPr>
        <w:t>”),</w:t>
      </w:r>
      <w:r>
        <w:rPr>
          <w:rFonts w:ascii="Arial" w:hAnsi="Arial" w:cs="Arial"/>
          <w:sz w:val="24"/>
          <w:szCs w:val="24"/>
        </w:rPr>
        <w:t xml:space="preserve"> </w:t>
      </w:r>
      <w:r w:rsidR="00087115">
        <w:rPr>
          <w:rFonts w:ascii="Arial" w:hAnsi="Arial" w:cs="Arial"/>
          <w:sz w:val="24"/>
          <w:szCs w:val="24"/>
        </w:rPr>
        <w:t xml:space="preserve">standing in the passageway with her cellular phone in her one hand, which </w:t>
      </w:r>
      <w:r w:rsidR="00877436">
        <w:rPr>
          <w:rFonts w:ascii="Arial" w:hAnsi="Arial" w:cs="Arial"/>
          <w:sz w:val="24"/>
          <w:szCs w:val="24"/>
        </w:rPr>
        <w:t>she</w:t>
      </w:r>
      <w:r w:rsidR="003B49C2">
        <w:rPr>
          <w:rFonts w:ascii="Arial" w:hAnsi="Arial" w:cs="Arial"/>
          <w:sz w:val="24"/>
          <w:szCs w:val="24"/>
        </w:rPr>
        <w:t xml:space="preserve"> </w:t>
      </w:r>
      <w:r w:rsidR="006E72E1">
        <w:rPr>
          <w:rFonts w:ascii="Arial" w:hAnsi="Arial" w:cs="Arial"/>
          <w:sz w:val="24"/>
          <w:szCs w:val="24"/>
        </w:rPr>
        <w:t xml:space="preserve">held </w:t>
      </w:r>
      <w:r w:rsidR="00087115">
        <w:rPr>
          <w:rFonts w:ascii="Arial" w:hAnsi="Arial" w:cs="Arial"/>
          <w:sz w:val="24"/>
          <w:szCs w:val="24"/>
        </w:rPr>
        <w:t>in front of her face.</w:t>
      </w:r>
      <w:r w:rsidR="005972DD">
        <w:rPr>
          <w:rFonts w:ascii="Arial" w:hAnsi="Arial" w:cs="Arial"/>
          <w:sz w:val="24"/>
          <w:szCs w:val="24"/>
        </w:rPr>
        <w:t xml:space="preserve">  </w:t>
      </w:r>
    </w:p>
    <w:p w14:paraId="56FEC08E" w14:textId="77777777" w:rsidR="00EB6B22" w:rsidRPr="00EB6B22" w:rsidRDefault="00EB6B22" w:rsidP="00DC2D16">
      <w:pPr>
        <w:pStyle w:val="ListParagraph"/>
        <w:spacing w:after="0" w:line="480" w:lineRule="auto"/>
        <w:rPr>
          <w:rFonts w:ascii="Arial" w:hAnsi="Arial" w:cs="Arial"/>
          <w:sz w:val="24"/>
          <w:szCs w:val="24"/>
        </w:rPr>
      </w:pPr>
    </w:p>
    <w:p w14:paraId="393C7874" w14:textId="75B835B0" w:rsidR="00F25043" w:rsidRDefault="005972DD" w:rsidP="00DC2D1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plaintiff, having noticed a black bag positioned on the floor next to </w:t>
      </w:r>
      <w:r w:rsidR="00DA07E8">
        <w:rPr>
          <w:rFonts w:ascii="Arial" w:hAnsi="Arial" w:cs="Arial"/>
          <w:sz w:val="24"/>
          <w:szCs w:val="24"/>
        </w:rPr>
        <w:t>Witbooi</w:t>
      </w:r>
      <w:r>
        <w:rPr>
          <w:rFonts w:ascii="Arial" w:hAnsi="Arial" w:cs="Arial"/>
          <w:sz w:val="24"/>
          <w:szCs w:val="24"/>
        </w:rPr>
        <w:t>, walked around the black bag</w:t>
      </w:r>
      <w:r w:rsidR="004C5E9B">
        <w:rPr>
          <w:rFonts w:ascii="Arial" w:hAnsi="Arial" w:cs="Arial"/>
          <w:sz w:val="24"/>
          <w:szCs w:val="24"/>
        </w:rPr>
        <w:t>, whereafter he</w:t>
      </w:r>
      <w:r>
        <w:rPr>
          <w:rFonts w:ascii="Arial" w:hAnsi="Arial" w:cs="Arial"/>
          <w:sz w:val="24"/>
          <w:szCs w:val="24"/>
        </w:rPr>
        <w:t xml:space="preserve"> suddenly slipped and fell backwards.  </w:t>
      </w:r>
      <w:r w:rsidR="00E77428">
        <w:rPr>
          <w:rFonts w:ascii="Arial" w:hAnsi="Arial" w:cs="Arial"/>
          <w:sz w:val="24"/>
          <w:szCs w:val="24"/>
        </w:rPr>
        <w:t>Upon realising that he was falling, the plaintiff put out his left hand to break his fall</w:t>
      </w:r>
      <w:r w:rsidR="00EB6B22">
        <w:rPr>
          <w:rFonts w:ascii="Arial" w:hAnsi="Arial" w:cs="Arial"/>
          <w:sz w:val="24"/>
          <w:szCs w:val="24"/>
        </w:rPr>
        <w:t>.  U</w:t>
      </w:r>
      <w:r w:rsidR="00E77428">
        <w:rPr>
          <w:rFonts w:ascii="Arial" w:hAnsi="Arial" w:cs="Arial"/>
          <w:sz w:val="24"/>
          <w:szCs w:val="24"/>
        </w:rPr>
        <w:t>ltimately</w:t>
      </w:r>
      <w:r w:rsidR="00EB6B22">
        <w:rPr>
          <w:rFonts w:ascii="Arial" w:hAnsi="Arial" w:cs="Arial"/>
          <w:sz w:val="24"/>
          <w:szCs w:val="24"/>
        </w:rPr>
        <w:t>, the plaintiff</w:t>
      </w:r>
      <w:r w:rsidR="00E77428">
        <w:rPr>
          <w:rFonts w:ascii="Arial" w:hAnsi="Arial" w:cs="Arial"/>
          <w:sz w:val="24"/>
          <w:szCs w:val="24"/>
        </w:rPr>
        <w:t xml:space="preserve"> landed on his back and momentarily lost consciousness.  When the plaintiff regained consciousness, he looked up </w:t>
      </w:r>
      <w:r w:rsidR="004D4D74">
        <w:rPr>
          <w:rFonts w:ascii="Arial" w:hAnsi="Arial" w:cs="Arial"/>
          <w:sz w:val="24"/>
          <w:szCs w:val="24"/>
        </w:rPr>
        <w:t>at the roof and rea</w:t>
      </w:r>
      <w:r w:rsidR="00E874AE">
        <w:rPr>
          <w:rFonts w:ascii="Arial" w:hAnsi="Arial" w:cs="Arial"/>
          <w:sz w:val="24"/>
          <w:szCs w:val="24"/>
        </w:rPr>
        <w:t>l</w:t>
      </w:r>
      <w:r w:rsidR="004D4D74">
        <w:rPr>
          <w:rFonts w:ascii="Arial" w:hAnsi="Arial" w:cs="Arial"/>
          <w:sz w:val="24"/>
          <w:szCs w:val="24"/>
        </w:rPr>
        <w:t>ised</w:t>
      </w:r>
      <w:r w:rsidR="00893A0F">
        <w:rPr>
          <w:rFonts w:ascii="Arial" w:hAnsi="Arial" w:cs="Arial"/>
          <w:sz w:val="24"/>
          <w:szCs w:val="24"/>
        </w:rPr>
        <w:t xml:space="preserve"> </w:t>
      </w:r>
      <w:r w:rsidR="00E77428">
        <w:rPr>
          <w:rFonts w:ascii="Arial" w:hAnsi="Arial" w:cs="Arial"/>
          <w:sz w:val="24"/>
          <w:szCs w:val="24"/>
        </w:rPr>
        <w:t xml:space="preserve">that he was </w:t>
      </w:r>
      <w:r w:rsidR="00DA07E8">
        <w:rPr>
          <w:rFonts w:ascii="Arial" w:hAnsi="Arial" w:cs="Arial"/>
          <w:sz w:val="24"/>
          <w:szCs w:val="24"/>
        </w:rPr>
        <w:t xml:space="preserve">lying </w:t>
      </w:r>
      <w:r w:rsidR="00E77428">
        <w:rPr>
          <w:rFonts w:ascii="Arial" w:hAnsi="Arial" w:cs="Arial"/>
          <w:sz w:val="24"/>
          <w:szCs w:val="24"/>
        </w:rPr>
        <w:t xml:space="preserve">on his back.  He </w:t>
      </w:r>
      <w:r w:rsidR="00DA07E8">
        <w:rPr>
          <w:rFonts w:ascii="Arial" w:hAnsi="Arial" w:cs="Arial"/>
          <w:sz w:val="24"/>
          <w:szCs w:val="24"/>
        </w:rPr>
        <w:t xml:space="preserve">noted that </w:t>
      </w:r>
      <w:r w:rsidR="00E77428">
        <w:rPr>
          <w:rFonts w:ascii="Arial" w:hAnsi="Arial" w:cs="Arial"/>
          <w:sz w:val="24"/>
          <w:szCs w:val="24"/>
        </w:rPr>
        <w:t>the back of his shirt and pants were wet</w:t>
      </w:r>
      <w:r w:rsidR="00DA07E8">
        <w:rPr>
          <w:rFonts w:ascii="Arial" w:hAnsi="Arial" w:cs="Arial"/>
          <w:sz w:val="24"/>
          <w:szCs w:val="24"/>
        </w:rPr>
        <w:t xml:space="preserve"> and that he had slipped in water that was present on the floor.</w:t>
      </w:r>
      <w:r w:rsidR="00124B9F">
        <w:rPr>
          <w:rFonts w:ascii="Arial" w:hAnsi="Arial" w:cs="Arial"/>
          <w:sz w:val="24"/>
          <w:szCs w:val="24"/>
        </w:rPr>
        <w:t xml:space="preserve">  Prior to slipping and falling, the plaintiff was unaware of the water</w:t>
      </w:r>
      <w:r w:rsidR="00E712D8">
        <w:rPr>
          <w:rFonts w:ascii="Arial" w:hAnsi="Arial" w:cs="Arial"/>
          <w:sz w:val="24"/>
          <w:szCs w:val="24"/>
        </w:rPr>
        <w:t>’s presence</w:t>
      </w:r>
      <w:r w:rsidR="00124B9F">
        <w:rPr>
          <w:rFonts w:ascii="Arial" w:hAnsi="Arial" w:cs="Arial"/>
          <w:sz w:val="24"/>
          <w:szCs w:val="24"/>
        </w:rPr>
        <w:t>.</w:t>
      </w:r>
      <w:r w:rsidR="00DA07E8">
        <w:rPr>
          <w:rFonts w:ascii="Arial" w:hAnsi="Arial" w:cs="Arial"/>
          <w:sz w:val="24"/>
          <w:szCs w:val="24"/>
        </w:rPr>
        <w:t xml:space="preserve">  </w:t>
      </w:r>
    </w:p>
    <w:p w14:paraId="24298339" w14:textId="562CB811" w:rsidR="00ED30B4" w:rsidRDefault="00DA07E8" w:rsidP="00DC2D1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The plaintiff </w:t>
      </w:r>
      <w:r w:rsidR="001A755A">
        <w:rPr>
          <w:rFonts w:ascii="Arial" w:hAnsi="Arial" w:cs="Arial"/>
          <w:sz w:val="24"/>
          <w:szCs w:val="24"/>
        </w:rPr>
        <w:t>got</w:t>
      </w:r>
      <w:r w:rsidR="00877436">
        <w:rPr>
          <w:rFonts w:ascii="Arial" w:hAnsi="Arial" w:cs="Arial"/>
          <w:sz w:val="24"/>
          <w:szCs w:val="24"/>
        </w:rPr>
        <w:t xml:space="preserve"> up, unassisted, and approached Witbooi.  He enquired why there were no warning signs in place, to which Witbooi responded that she was going to lose her job</w:t>
      </w:r>
      <w:r w:rsidR="00893A0F">
        <w:rPr>
          <w:rFonts w:ascii="Arial" w:hAnsi="Arial" w:cs="Arial"/>
          <w:sz w:val="24"/>
          <w:szCs w:val="24"/>
        </w:rPr>
        <w:t>;</w:t>
      </w:r>
      <w:r w:rsidR="00877436">
        <w:rPr>
          <w:rFonts w:ascii="Arial" w:hAnsi="Arial" w:cs="Arial"/>
          <w:sz w:val="24"/>
          <w:szCs w:val="24"/>
        </w:rPr>
        <w:t xml:space="preserve"> that her husband was paralysed</w:t>
      </w:r>
      <w:r w:rsidR="00893A0F">
        <w:rPr>
          <w:rFonts w:ascii="Arial" w:hAnsi="Arial" w:cs="Arial"/>
          <w:sz w:val="24"/>
          <w:szCs w:val="24"/>
        </w:rPr>
        <w:t>;</w:t>
      </w:r>
      <w:r w:rsidR="00877436">
        <w:rPr>
          <w:rFonts w:ascii="Arial" w:hAnsi="Arial" w:cs="Arial"/>
          <w:sz w:val="24"/>
          <w:szCs w:val="24"/>
        </w:rPr>
        <w:t xml:space="preserve"> and that she was the only one</w:t>
      </w:r>
      <w:r w:rsidR="00CF3461">
        <w:rPr>
          <w:rFonts w:ascii="Arial" w:hAnsi="Arial" w:cs="Arial"/>
          <w:sz w:val="24"/>
          <w:szCs w:val="24"/>
        </w:rPr>
        <w:t xml:space="preserve"> (between her and her husband)</w:t>
      </w:r>
      <w:r w:rsidR="00877436">
        <w:rPr>
          <w:rFonts w:ascii="Arial" w:hAnsi="Arial" w:cs="Arial"/>
          <w:sz w:val="24"/>
          <w:szCs w:val="24"/>
        </w:rPr>
        <w:t xml:space="preserve"> </w:t>
      </w:r>
      <w:r w:rsidR="00CF3461">
        <w:rPr>
          <w:rFonts w:ascii="Arial" w:hAnsi="Arial" w:cs="Arial"/>
          <w:sz w:val="24"/>
          <w:szCs w:val="24"/>
        </w:rPr>
        <w:t>who</w:t>
      </w:r>
      <w:r w:rsidR="00877436">
        <w:rPr>
          <w:rFonts w:ascii="Arial" w:hAnsi="Arial" w:cs="Arial"/>
          <w:sz w:val="24"/>
          <w:szCs w:val="24"/>
        </w:rPr>
        <w:t xml:space="preserve"> had employment.</w:t>
      </w:r>
      <w:r w:rsidR="00ED30B4">
        <w:rPr>
          <w:rFonts w:ascii="Arial" w:hAnsi="Arial" w:cs="Arial"/>
          <w:sz w:val="24"/>
          <w:szCs w:val="24"/>
        </w:rPr>
        <w:t xml:space="preserve">  Witbooi started crying and </w:t>
      </w:r>
      <w:r w:rsidR="00D17AF0">
        <w:rPr>
          <w:rFonts w:ascii="Arial" w:hAnsi="Arial" w:cs="Arial"/>
          <w:sz w:val="24"/>
          <w:szCs w:val="24"/>
        </w:rPr>
        <w:t>several</w:t>
      </w:r>
      <w:r w:rsidR="00ED30B4">
        <w:rPr>
          <w:rFonts w:ascii="Arial" w:hAnsi="Arial" w:cs="Arial"/>
          <w:sz w:val="24"/>
          <w:szCs w:val="24"/>
        </w:rPr>
        <w:t xml:space="preserve"> people, having heard the commotion, approached the plaintiff and Witbooi.</w:t>
      </w:r>
    </w:p>
    <w:p w14:paraId="679BE19E" w14:textId="77777777" w:rsidR="00ED30B4" w:rsidRPr="00ED30B4" w:rsidRDefault="00ED30B4" w:rsidP="00DC2D16">
      <w:pPr>
        <w:pStyle w:val="ListParagraph"/>
        <w:spacing w:after="0" w:line="480" w:lineRule="auto"/>
        <w:rPr>
          <w:rFonts w:ascii="Arial" w:hAnsi="Arial" w:cs="Arial"/>
          <w:sz w:val="24"/>
          <w:szCs w:val="24"/>
        </w:rPr>
      </w:pPr>
    </w:p>
    <w:p w14:paraId="10B37383" w14:textId="43432A19" w:rsidR="005972DD" w:rsidRDefault="007874C1" w:rsidP="00DC2D1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 thereafter proceeded back to Court 51, where it was brought to his attention that his glasses, which had been on</w:t>
      </w:r>
      <w:r w:rsidR="00D17AF0">
        <w:rPr>
          <w:rFonts w:ascii="Arial" w:hAnsi="Arial" w:cs="Arial"/>
          <w:sz w:val="24"/>
          <w:szCs w:val="24"/>
        </w:rPr>
        <w:t xml:space="preserve"> the</w:t>
      </w:r>
      <w:r>
        <w:rPr>
          <w:rFonts w:ascii="Arial" w:hAnsi="Arial" w:cs="Arial"/>
          <w:sz w:val="24"/>
          <w:szCs w:val="24"/>
        </w:rPr>
        <w:t xml:space="preserve"> top of his head, were missing.  The plaintiff returned to the </w:t>
      </w:r>
      <w:r w:rsidR="008644F0">
        <w:rPr>
          <w:rFonts w:ascii="Arial" w:hAnsi="Arial" w:cs="Arial"/>
          <w:sz w:val="24"/>
          <w:szCs w:val="24"/>
        </w:rPr>
        <w:t xml:space="preserve">scene of the incident </w:t>
      </w:r>
      <w:r>
        <w:rPr>
          <w:rFonts w:ascii="Arial" w:hAnsi="Arial" w:cs="Arial"/>
          <w:sz w:val="24"/>
          <w:szCs w:val="24"/>
        </w:rPr>
        <w:t>to look for his glasses</w:t>
      </w:r>
      <w:r w:rsidR="008644F0">
        <w:rPr>
          <w:rFonts w:ascii="Arial" w:hAnsi="Arial" w:cs="Arial"/>
          <w:sz w:val="24"/>
          <w:szCs w:val="24"/>
        </w:rPr>
        <w:t xml:space="preserve">, where he found them </w:t>
      </w:r>
      <w:r>
        <w:rPr>
          <w:rFonts w:ascii="Arial" w:hAnsi="Arial" w:cs="Arial"/>
          <w:sz w:val="24"/>
          <w:szCs w:val="24"/>
        </w:rPr>
        <w:t>on the ground near the door.  At that point he also noticed a blue water bucket on the left-hand side of the passage, positioned in front of the black bag, up against the wall.</w:t>
      </w:r>
      <w:r w:rsidR="006264D3">
        <w:rPr>
          <w:rFonts w:ascii="Arial" w:hAnsi="Arial" w:cs="Arial"/>
          <w:sz w:val="24"/>
          <w:szCs w:val="24"/>
        </w:rPr>
        <w:t xml:space="preserve">  I pause to mention that the black bag and the blue bucket are clearly apparent from exhibit “C”.  </w:t>
      </w:r>
      <w:r w:rsidR="005D6EEF">
        <w:rPr>
          <w:rFonts w:ascii="Arial" w:hAnsi="Arial" w:cs="Arial"/>
          <w:sz w:val="24"/>
          <w:szCs w:val="24"/>
        </w:rPr>
        <w:t>The plaintiff proceeded to report the incident to</w:t>
      </w:r>
      <w:r w:rsidR="00114B72">
        <w:rPr>
          <w:rFonts w:ascii="Arial" w:hAnsi="Arial" w:cs="Arial"/>
          <w:sz w:val="24"/>
          <w:szCs w:val="24"/>
        </w:rPr>
        <w:t xml:space="preserve"> Mtanga; to Ms Ayanda Deyi, the procurement officer; and to Magistrate Mayataza.</w:t>
      </w:r>
      <w:r w:rsidR="00DA07E8">
        <w:rPr>
          <w:rFonts w:ascii="Arial" w:hAnsi="Arial" w:cs="Arial"/>
          <w:sz w:val="24"/>
          <w:szCs w:val="24"/>
        </w:rPr>
        <w:t xml:space="preserve">  </w:t>
      </w:r>
      <w:r w:rsidR="00E77428">
        <w:rPr>
          <w:rFonts w:ascii="Arial" w:hAnsi="Arial" w:cs="Arial"/>
          <w:sz w:val="24"/>
          <w:szCs w:val="24"/>
        </w:rPr>
        <w:t xml:space="preserve"> </w:t>
      </w:r>
      <w:r w:rsidR="00087115">
        <w:rPr>
          <w:rFonts w:ascii="Arial" w:hAnsi="Arial" w:cs="Arial"/>
          <w:sz w:val="24"/>
          <w:szCs w:val="24"/>
        </w:rPr>
        <w:t xml:space="preserve"> </w:t>
      </w:r>
    </w:p>
    <w:p w14:paraId="4F6328E1" w14:textId="77777777" w:rsidR="005972DD" w:rsidRPr="005972DD" w:rsidRDefault="005972DD" w:rsidP="00DC2D16">
      <w:pPr>
        <w:pStyle w:val="ListParagraph"/>
        <w:spacing w:after="0" w:line="480" w:lineRule="auto"/>
        <w:rPr>
          <w:rFonts w:ascii="Arial" w:hAnsi="Arial" w:cs="Arial"/>
          <w:sz w:val="24"/>
          <w:szCs w:val="24"/>
        </w:rPr>
      </w:pPr>
    </w:p>
    <w:p w14:paraId="3FFEDB62" w14:textId="63823532" w:rsidR="00DC2D16" w:rsidRDefault="00D17AF0" w:rsidP="00DC2D1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As a result of the plaintiff’s slip and fall, </w:t>
      </w:r>
      <w:r w:rsidR="00571F9D">
        <w:rPr>
          <w:rFonts w:ascii="Arial" w:hAnsi="Arial" w:cs="Arial"/>
          <w:sz w:val="24"/>
          <w:szCs w:val="24"/>
        </w:rPr>
        <w:t xml:space="preserve">he testified that </w:t>
      </w:r>
      <w:r>
        <w:rPr>
          <w:rFonts w:ascii="Arial" w:hAnsi="Arial" w:cs="Arial"/>
          <w:sz w:val="24"/>
          <w:szCs w:val="24"/>
        </w:rPr>
        <w:t xml:space="preserve">he sustained an injury to his left </w:t>
      </w:r>
      <w:r w:rsidR="00571F9D">
        <w:rPr>
          <w:rFonts w:ascii="Arial" w:hAnsi="Arial" w:cs="Arial"/>
          <w:sz w:val="24"/>
          <w:szCs w:val="24"/>
        </w:rPr>
        <w:t>shoulder</w:t>
      </w:r>
      <w:r w:rsidR="00DC2D16">
        <w:rPr>
          <w:rFonts w:ascii="Arial" w:hAnsi="Arial" w:cs="Arial"/>
          <w:sz w:val="24"/>
          <w:szCs w:val="24"/>
        </w:rPr>
        <w:t>,</w:t>
      </w:r>
      <w:r>
        <w:rPr>
          <w:rFonts w:ascii="Arial" w:hAnsi="Arial" w:cs="Arial"/>
          <w:sz w:val="24"/>
          <w:szCs w:val="24"/>
        </w:rPr>
        <w:t xml:space="preserve"> necessitating </w:t>
      </w:r>
      <w:r w:rsidR="00DC2D16">
        <w:rPr>
          <w:rFonts w:ascii="Arial" w:hAnsi="Arial" w:cs="Arial"/>
          <w:sz w:val="24"/>
          <w:szCs w:val="24"/>
        </w:rPr>
        <w:t>pre-surgical treatment; shoulder</w:t>
      </w:r>
      <w:r>
        <w:rPr>
          <w:rFonts w:ascii="Arial" w:hAnsi="Arial" w:cs="Arial"/>
          <w:sz w:val="24"/>
          <w:szCs w:val="24"/>
        </w:rPr>
        <w:t xml:space="preserve"> repair surgery</w:t>
      </w:r>
      <w:r w:rsidR="00DC2D16">
        <w:rPr>
          <w:rFonts w:ascii="Arial" w:hAnsi="Arial" w:cs="Arial"/>
          <w:sz w:val="24"/>
          <w:szCs w:val="24"/>
        </w:rPr>
        <w:t xml:space="preserve">; and post-operative treatment, the details of which </w:t>
      </w:r>
      <w:r w:rsidR="002E4256">
        <w:rPr>
          <w:rFonts w:ascii="Arial" w:hAnsi="Arial" w:cs="Arial"/>
          <w:sz w:val="24"/>
          <w:szCs w:val="24"/>
        </w:rPr>
        <w:t xml:space="preserve">do not fall to be determined by me and accordingly, </w:t>
      </w:r>
      <w:r w:rsidR="00DC2D16">
        <w:rPr>
          <w:rFonts w:ascii="Arial" w:hAnsi="Arial" w:cs="Arial"/>
          <w:sz w:val="24"/>
          <w:szCs w:val="24"/>
        </w:rPr>
        <w:t>need not be traversed for the present purposes</w:t>
      </w:r>
      <w:r w:rsidR="00245EF3">
        <w:rPr>
          <w:rFonts w:ascii="Arial" w:hAnsi="Arial" w:cs="Arial"/>
          <w:sz w:val="24"/>
          <w:szCs w:val="24"/>
        </w:rPr>
        <w:t>.</w:t>
      </w:r>
    </w:p>
    <w:p w14:paraId="2F330C27" w14:textId="77777777" w:rsidR="00DC2D16" w:rsidRPr="00DC2D16" w:rsidRDefault="00DC2D16" w:rsidP="00DC2D16">
      <w:pPr>
        <w:pStyle w:val="ListParagraph"/>
        <w:spacing w:after="0" w:line="480" w:lineRule="auto"/>
        <w:rPr>
          <w:rFonts w:ascii="Arial" w:hAnsi="Arial" w:cs="Arial"/>
          <w:sz w:val="24"/>
          <w:szCs w:val="24"/>
        </w:rPr>
      </w:pPr>
    </w:p>
    <w:p w14:paraId="68B8528A" w14:textId="22C7A04E" w:rsidR="00977EEF" w:rsidRDefault="00FE076C" w:rsidP="00977EEF">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The plaintiff’s evidence pertaining to the</w:t>
      </w:r>
      <w:r w:rsidR="00245EF3">
        <w:rPr>
          <w:rFonts w:ascii="Arial" w:hAnsi="Arial" w:cs="Arial"/>
          <w:sz w:val="24"/>
          <w:szCs w:val="24"/>
        </w:rPr>
        <w:t xml:space="preserve"> events leading up to the incident; the incident itself; and the events which transpired thereafter</w:t>
      </w:r>
      <w:r w:rsidR="00A702F1">
        <w:rPr>
          <w:rFonts w:ascii="Arial" w:hAnsi="Arial" w:cs="Arial"/>
          <w:sz w:val="24"/>
          <w:szCs w:val="24"/>
        </w:rPr>
        <w:t xml:space="preserve">, whilst that of a single </w:t>
      </w:r>
      <w:r w:rsidR="00A702F1" w:rsidRPr="00977EEF">
        <w:rPr>
          <w:rFonts w:ascii="Arial" w:hAnsi="Arial" w:cs="Arial"/>
          <w:sz w:val="24"/>
          <w:szCs w:val="24"/>
        </w:rPr>
        <w:t>witness,</w:t>
      </w:r>
      <w:r w:rsidR="00245EF3" w:rsidRPr="00977EEF">
        <w:rPr>
          <w:rFonts w:ascii="Arial" w:hAnsi="Arial" w:cs="Arial"/>
          <w:sz w:val="24"/>
          <w:szCs w:val="24"/>
        </w:rPr>
        <w:t xml:space="preserve"> w</w:t>
      </w:r>
      <w:r w:rsidR="00D27A75">
        <w:rPr>
          <w:rFonts w:ascii="Arial" w:hAnsi="Arial" w:cs="Arial"/>
          <w:sz w:val="24"/>
          <w:szCs w:val="24"/>
        </w:rPr>
        <w:t>as</w:t>
      </w:r>
      <w:r w:rsidR="00245EF3" w:rsidRPr="00977EEF">
        <w:rPr>
          <w:rFonts w:ascii="Arial" w:hAnsi="Arial" w:cs="Arial"/>
          <w:sz w:val="24"/>
          <w:szCs w:val="24"/>
        </w:rPr>
        <w:t xml:space="preserve"> unchallenged.</w:t>
      </w:r>
      <w:r w:rsidR="004C2CDC" w:rsidRPr="00977EEF">
        <w:rPr>
          <w:rFonts w:ascii="Arial" w:hAnsi="Arial" w:cs="Arial"/>
          <w:sz w:val="24"/>
          <w:szCs w:val="24"/>
        </w:rPr>
        <w:t xml:space="preserve">  </w:t>
      </w:r>
    </w:p>
    <w:p w14:paraId="2695DE8A" w14:textId="77777777" w:rsidR="002B055D" w:rsidRDefault="002B055D" w:rsidP="002B055D">
      <w:pPr>
        <w:pStyle w:val="ListParagraph"/>
        <w:spacing w:after="0" w:line="480" w:lineRule="auto"/>
        <w:ind w:left="851"/>
        <w:jc w:val="both"/>
        <w:rPr>
          <w:rFonts w:ascii="Arial" w:hAnsi="Arial" w:cs="Arial"/>
          <w:sz w:val="24"/>
          <w:szCs w:val="24"/>
        </w:rPr>
      </w:pPr>
    </w:p>
    <w:p w14:paraId="43481833" w14:textId="7C10ABA5" w:rsidR="00977EEF" w:rsidRPr="00977EEF" w:rsidRDefault="004C2CDC" w:rsidP="00977EEF">
      <w:pPr>
        <w:pStyle w:val="ListParagraph"/>
        <w:numPr>
          <w:ilvl w:val="0"/>
          <w:numId w:val="1"/>
        </w:numPr>
        <w:spacing w:after="0" w:line="480" w:lineRule="auto"/>
        <w:ind w:left="851" w:hanging="851"/>
        <w:jc w:val="both"/>
        <w:rPr>
          <w:rFonts w:ascii="Arial" w:hAnsi="Arial" w:cs="Arial"/>
          <w:sz w:val="24"/>
          <w:szCs w:val="24"/>
        </w:rPr>
      </w:pPr>
      <w:r w:rsidRPr="00977EEF">
        <w:rPr>
          <w:rFonts w:ascii="Arial" w:hAnsi="Arial" w:cs="Arial"/>
          <w:sz w:val="24"/>
          <w:szCs w:val="24"/>
        </w:rPr>
        <w:t xml:space="preserve">The decisions of our courts have over time developed harmony on the importance of challenging the aspects </w:t>
      </w:r>
      <w:r w:rsidR="003832DB" w:rsidRPr="00977EEF">
        <w:rPr>
          <w:rFonts w:ascii="Arial" w:hAnsi="Arial" w:cs="Arial"/>
          <w:sz w:val="24"/>
          <w:szCs w:val="24"/>
        </w:rPr>
        <w:t xml:space="preserve">of a witnesses’ evidence </w:t>
      </w:r>
      <w:r w:rsidRPr="00977EEF">
        <w:rPr>
          <w:rFonts w:ascii="Arial" w:hAnsi="Arial" w:cs="Arial"/>
          <w:sz w:val="24"/>
          <w:szCs w:val="24"/>
        </w:rPr>
        <w:t>which a legal practitioner wishes to place in dispute.</w:t>
      </w:r>
      <w:r w:rsidR="003832DB" w:rsidRPr="00977EEF">
        <w:rPr>
          <w:rFonts w:ascii="Arial" w:hAnsi="Arial" w:cs="Arial"/>
          <w:sz w:val="24"/>
          <w:szCs w:val="24"/>
        </w:rPr>
        <w:t xml:space="preserve"> </w:t>
      </w:r>
      <w:r w:rsidR="00977EEF" w:rsidRPr="00977EEF">
        <w:rPr>
          <w:rFonts w:ascii="Arial" w:hAnsi="Arial" w:cs="Arial"/>
          <w:sz w:val="24"/>
          <w:szCs w:val="24"/>
        </w:rPr>
        <w:t xml:space="preserve"> </w:t>
      </w:r>
      <w:r w:rsidR="00977EEF" w:rsidRPr="00977EEF">
        <w:rPr>
          <w:rFonts w:ascii="Arial" w:hAnsi="Arial" w:cs="Arial"/>
          <w:color w:val="242121"/>
          <w:sz w:val="24"/>
          <w:szCs w:val="24"/>
          <w:lang w:val="en-GB"/>
        </w:rPr>
        <w:t>The Constitutional Court in </w:t>
      </w:r>
      <w:r w:rsidR="00977EEF" w:rsidRPr="00977EEF">
        <w:rPr>
          <w:rFonts w:ascii="Arial" w:hAnsi="Arial" w:cs="Arial"/>
          <w:i/>
          <w:iCs/>
          <w:color w:val="242121"/>
          <w:sz w:val="24"/>
          <w:szCs w:val="24"/>
          <w:lang w:val="en-GB"/>
        </w:rPr>
        <w:t>President of the Republic of South Africa and Others v South African Rugby Football Union and Others</w:t>
      </w:r>
      <w:bookmarkStart w:id="1" w:name="_ftnref7"/>
      <w:r w:rsidR="00685B1B">
        <w:rPr>
          <w:rStyle w:val="FootnoteReference"/>
          <w:rFonts w:ascii="Arial" w:hAnsi="Arial" w:cs="Arial"/>
          <w:i/>
          <w:iCs/>
          <w:color w:val="242121"/>
          <w:sz w:val="24"/>
          <w:szCs w:val="24"/>
          <w:lang w:val="en-GB"/>
        </w:rPr>
        <w:footnoteReference w:id="5"/>
      </w:r>
      <w:r w:rsidR="00977EEF" w:rsidRPr="00977EEF">
        <w:rPr>
          <w:rFonts w:ascii="Arial" w:hAnsi="Arial" w:cs="Arial"/>
          <w:i/>
          <w:iCs/>
          <w:color w:val="242121"/>
          <w:sz w:val="24"/>
          <w:szCs w:val="24"/>
          <w:lang w:val="en-GB"/>
        </w:rPr>
        <w:t xml:space="preserve"> </w:t>
      </w:r>
      <w:r w:rsidR="00977EEF" w:rsidRPr="00977EEF">
        <w:rPr>
          <w:rFonts w:ascii="Arial" w:hAnsi="Arial" w:cs="Arial"/>
          <w:color w:val="242121"/>
          <w:sz w:val="24"/>
          <w:szCs w:val="24"/>
          <w:lang w:val="en-GB"/>
        </w:rPr>
        <w:t xml:space="preserve">made the </w:t>
      </w:r>
      <w:bookmarkEnd w:id="1"/>
      <w:r w:rsidR="00977EEF" w:rsidRPr="00977EEF">
        <w:rPr>
          <w:rFonts w:ascii="Arial" w:hAnsi="Arial" w:cs="Arial"/>
          <w:color w:val="242121"/>
          <w:sz w:val="24"/>
          <w:szCs w:val="24"/>
          <w:lang w:val="en-GB"/>
        </w:rPr>
        <w:t>following remarks at paragraph [61] in this regard:</w:t>
      </w:r>
    </w:p>
    <w:p w14:paraId="57FBE71C" w14:textId="77777777" w:rsidR="00977EEF" w:rsidRPr="00977EEF" w:rsidRDefault="00977EEF" w:rsidP="00977EEF">
      <w:pPr>
        <w:pStyle w:val="ListParagraph"/>
        <w:rPr>
          <w:rFonts w:ascii="Arial" w:hAnsi="Arial" w:cs="Arial"/>
          <w:sz w:val="24"/>
          <w:szCs w:val="24"/>
        </w:rPr>
      </w:pPr>
    </w:p>
    <w:p w14:paraId="72D2A2ED" w14:textId="672E7476" w:rsidR="00977EEF" w:rsidRPr="00977EEF" w:rsidRDefault="00977EEF" w:rsidP="00977EEF">
      <w:pPr>
        <w:pStyle w:val="NormalWeb"/>
        <w:shd w:val="clear" w:color="auto" w:fill="FFFFFF"/>
        <w:spacing w:before="0" w:beforeAutospacing="0" w:after="0" w:afterAutospacing="0" w:line="360" w:lineRule="auto"/>
        <w:ind w:left="851"/>
        <w:jc w:val="both"/>
        <w:rPr>
          <w:rFonts w:ascii="Verdana" w:hAnsi="Verdana"/>
          <w:color w:val="242121"/>
        </w:rPr>
      </w:pPr>
      <w:r w:rsidRPr="00977EEF">
        <w:rPr>
          <w:rFonts w:ascii="Arial" w:hAnsi="Arial" w:cs="Arial"/>
          <w:color w:val="242121"/>
        </w:rPr>
        <w:t>“</w:t>
      </w:r>
      <w:r w:rsidRPr="00977EEF">
        <w:rPr>
          <w:rFonts w:ascii="Arial" w:hAnsi="Arial" w:cs="Arial"/>
          <w:i/>
          <w:iCs/>
          <w:color w:val="242121"/>
          <w:sz w:val="20"/>
          <w:szCs w:val="20"/>
          <w:lang w:val="en-GB"/>
        </w:rPr>
        <w:t>The institution of cross-examination not only constitutes a right, it also imposes certain obligations.  As a general rule it is essential, when it is intended to suggest that a witness is not speaking the truth on a particular point, to direct the witness’ attention to the fact by questions put in cross-examination showing that the imputation is intended to be made and to afford the witness an opportunity, while still in the witness box, of giving any explanation open to the witness and of defending his or her character.  If a point in dispute is left unchallenged in cross-examination, the party calling the witness is entitled to assume that the unchallenged witnesses’ testimony is accepted as correct.  This rule was enunciated by the House of Lords in Browne v Dunn [(1893) 6 The Reports 67 (HL)] and has been adopted and consistently followed by our courts.</w:t>
      </w:r>
      <w:r w:rsidRPr="00977EEF">
        <w:rPr>
          <w:rFonts w:ascii="Arial" w:hAnsi="Arial" w:cs="Arial"/>
          <w:i/>
          <w:iCs/>
          <w:color w:val="242121"/>
          <w:lang w:val="en-GB"/>
        </w:rPr>
        <w:t>”</w:t>
      </w:r>
    </w:p>
    <w:p w14:paraId="5CBEF6E6" w14:textId="77777777" w:rsidR="004C2CDC" w:rsidRDefault="004C2CDC" w:rsidP="004C2CDC">
      <w:pPr>
        <w:pStyle w:val="ListParagraph"/>
        <w:spacing w:after="0" w:line="480" w:lineRule="auto"/>
        <w:ind w:left="851"/>
        <w:jc w:val="both"/>
        <w:rPr>
          <w:rFonts w:ascii="Arial" w:hAnsi="Arial" w:cs="Arial"/>
          <w:sz w:val="24"/>
          <w:szCs w:val="24"/>
        </w:rPr>
      </w:pPr>
    </w:p>
    <w:p w14:paraId="638BBFEF" w14:textId="557AA2A8" w:rsidR="005846ED" w:rsidRDefault="00A50C60" w:rsidP="00F52F7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w:t>
      </w:r>
      <w:r w:rsidR="00311200">
        <w:rPr>
          <w:rFonts w:ascii="Arial" w:hAnsi="Arial" w:cs="Arial"/>
          <w:sz w:val="24"/>
          <w:szCs w:val="24"/>
        </w:rPr>
        <w:t xml:space="preserve">issues canvassed with the </w:t>
      </w:r>
      <w:r>
        <w:rPr>
          <w:rFonts w:ascii="Arial" w:hAnsi="Arial" w:cs="Arial"/>
          <w:sz w:val="24"/>
          <w:szCs w:val="24"/>
        </w:rPr>
        <w:t>plaintiff</w:t>
      </w:r>
      <w:r w:rsidR="00311200">
        <w:rPr>
          <w:rFonts w:ascii="Arial" w:hAnsi="Arial" w:cs="Arial"/>
          <w:sz w:val="24"/>
          <w:szCs w:val="24"/>
        </w:rPr>
        <w:t xml:space="preserve"> under cross-examination </w:t>
      </w:r>
      <w:r w:rsidR="00E25E2D">
        <w:rPr>
          <w:rFonts w:ascii="Arial" w:hAnsi="Arial" w:cs="Arial"/>
          <w:sz w:val="24"/>
          <w:szCs w:val="24"/>
        </w:rPr>
        <w:t>largely pertained</w:t>
      </w:r>
      <w:r w:rsidR="00311200">
        <w:rPr>
          <w:rFonts w:ascii="Arial" w:hAnsi="Arial" w:cs="Arial"/>
          <w:sz w:val="24"/>
          <w:szCs w:val="24"/>
        </w:rPr>
        <w:t xml:space="preserve"> to the fact that </w:t>
      </w:r>
      <w:r>
        <w:rPr>
          <w:rFonts w:ascii="Arial" w:hAnsi="Arial" w:cs="Arial"/>
          <w:sz w:val="24"/>
          <w:szCs w:val="24"/>
        </w:rPr>
        <w:t xml:space="preserve">Witbooi </w:t>
      </w:r>
      <w:r w:rsidR="00D27CBF">
        <w:rPr>
          <w:rFonts w:ascii="Arial" w:hAnsi="Arial" w:cs="Arial"/>
          <w:sz w:val="24"/>
          <w:szCs w:val="24"/>
        </w:rPr>
        <w:t>was employed by Sky Ground</w:t>
      </w:r>
      <w:r w:rsidR="00C347E7">
        <w:rPr>
          <w:rFonts w:ascii="Arial" w:hAnsi="Arial" w:cs="Arial"/>
          <w:sz w:val="24"/>
          <w:szCs w:val="24"/>
        </w:rPr>
        <w:t xml:space="preserve">, </w:t>
      </w:r>
      <w:r w:rsidR="00152199">
        <w:rPr>
          <w:rFonts w:ascii="Arial" w:hAnsi="Arial" w:cs="Arial"/>
          <w:sz w:val="24"/>
          <w:szCs w:val="24"/>
        </w:rPr>
        <w:t>and that Sky Ground</w:t>
      </w:r>
      <w:r w:rsidR="00833E0A">
        <w:rPr>
          <w:rFonts w:ascii="Arial" w:hAnsi="Arial" w:cs="Arial"/>
          <w:sz w:val="24"/>
          <w:szCs w:val="24"/>
        </w:rPr>
        <w:t xml:space="preserve">, pursuant to the </w:t>
      </w:r>
      <w:r w:rsidR="0059367E">
        <w:rPr>
          <w:rFonts w:ascii="Arial" w:hAnsi="Arial" w:cs="Arial"/>
          <w:sz w:val="24"/>
          <w:szCs w:val="24"/>
        </w:rPr>
        <w:t xml:space="preserve">successful </w:t>
      </w:r>
      <w:r w:rsidR="00833E0A">
        <w:rPr>
          <w:rFonts w:ascii="Arial" w:hAnsi="Arial" w:cs="Arial"/>
          <w:sz w:val="24"/>
          <w:szCs w:val="24"/>
        </w:rPr>
        <w:t>award of a tender,</w:t>
      </w:r>
      <w:r w:rsidR="00152199">
        <w:rPr>
          <w:rFonts w:ascii="Arial" w:hAnsi="Arial" w:cs="Arial"/>
          <w:sz w:val="24"/>
          <w:szCs w:val="24"/>
        </w:rPr>
        <w:t xml:space="preserve"> </w:t>
      </w:r>
      <w:r w:rsidR="00C347E7">
        <w:rPr>
          <w:rFonts w:ascii="Arial" w:hAnsi="Arial" w:cs="Arial"/>
          <w:sz w:val="24"/>
          <w:szCs w:val="24"/>
        </w:rPr>
        <w:t>had been appointed</w:t>
      </w:r>
      <w:r w:rsidR="00E25E2D">
        <w:rPr>
          <w:rFonts w:ascii="Arial" w:hAnsi="Arial" w:cs="Arial"/>
          <w:sz w:val="24"/>
          <w:szCs w:val="24"/>
        </w:rPr>
        <w:t>,</w:t>
      </w:r>
      <w:r w:rsidR="00C347E7">
        <w:rPr>
          <w:rFonts w:ascii="Arial" w:hAnsi="Arial" w:cs="Arial"/>
          <w:sz w:val="24"/>
          <w:szCs w:val="24"/>
        </w:rPr>
        <w:t xml:space="preserve"> </w:t>
      </w:r>
      <w:r w:rsidR="00E25E2D">
        <w:rPr>
          <w:rFonts w:ascii="Arial" w:hAnsi="Arial" w:cs="Arial"/>
          <w:sz w:val="24"/>
          <w:szCs w:val="24"/>
        </w:rPr>
        <w:t xml:space="preserve">contractually, </w:t>
      </w:r>
      <w:r w:rsidR="00C347E7">
        <w:rPr>
          <w:rFonts w:ascii="Arial" w:hAnsi="Arial" w:cs="Arial"/>
          <w:sz w:val="24"/>
          <w:szCs w:val="24"/>
        </w:rPr>
        <w:t>as the service provider for</w:t>
      </w:r>
      <w:r w:rsidR="00152199">
        <w:rPr>
          <w:rFonts w:ascii="Arial" w:hAnsi="Arial" w:cs="Arial"/>
          <w:sz w:val="24"/>
          <w:szCs w:val="24"/>
        </w:rPr>
        <w:t xml:space="preserve"> the provision of</w:t>
      </w:r>
      <w:r w:rsidR="00C347E7">
        <w:rPr>
          <w:rFonts w:ascii="Arial" w:hAnsi="Arial" w:cs="Arial"/>
          <w:sz w:val="24"/>
          <w:szCs w:val="24"/>
        </w:rPr>
        <w:t xml:space="preserve"> cleaning services at the court building</w:t>
      </w:r>
      <w:r w:rsidR="003B79D0">
        <w:rPr>
          <w:rFonts w:ascii="Arial" w:hAnsi="Arial" w:cs="Arial"/>
          <w:sz w:val="24"/>
          <w:szCs w:val="24"/>
        </w:rPr>
        <w:t xml:space="preserve">, </w:t>
      </w:r>
      <w:r w:rsidR="00A70FA4">
        <w:rPr>
          <w:rFonts w:ascii="Arial" w:hAnsi="Arial" w:cs="Arial"/>
          <w:sz w:val="24"/>
          <w:szCs w:val="24"/>
        </w:rPr>
        <w:t xml:space="preserve">by the first defendant, </w:t>
      </w:r>
      <w:r w:rsidR="003B79D0">
        <w:rPr>
          <w:rFonts w:ascii="Arial" w:hAnsi="Arial" w:cs="Arial"/>
          <w:sz w:val="24"/>
          <w:szCs w:val="24"/>
        </w:rPr>
        <w:t>for a period of 24 months</w:t>
      </w:r>
      <w:r w:rsidR="00C347E7">
        <w:rPr>
          <w:rFonts w:ascii="Arial" w:hAnsi="Arial" w:cs="Arial"/>
          <w:sz w:val="24"/>
          <w:szCs w:val="24"/>
        </w:rPr>
        <w:t>.</w:t>
      </w:r>
      <w:r w:rsidR="00E25E2D">
        <w:rPr>
          <w:rFonts w:ascii="Arial" w:hAnsi="Arial" w:cs="Arial"/>
          <w:sz w:val="24"/>
          <w:szCs w:val="24"/>
        </w:rPr>
        <w:t xml:space="preserve">  These aspects were readily conceded</w:t>
      </w:r>
      <w:r w:rsidR="00B40293">
        <w:rPr>
          <w:rFonts w:ascii="Arial" w:hAnsi="Arial" w:cs="Arial"/>
          <w:sz w:val="24"/>
          <w:szCs w:val="24"/>
        </w:rPr>
        <w:t xml:space="preserve"> to</w:t>
      </w:r>
      <w:r w:rsidR="00E25E2D">
        <w:rPr>
          <w:rFonts w:ascii="Arial" w:hAnsi="Arial" w:cs="Arial"/>
          <w:sz w:val="24"/>
          <w:szCs w:val="24"/>
        </w:rPr>
        <w:t xml:space="preserve"> by the plaintiff.</w:t>
      </w:r>
      <w:r w:rsidR="0059367E">
        <w:rPr>
          <w:rFonts w:ascii="Arial" w:hAnsi="Arial" w:cs="Arial"/>
          <w:sz w:val="24"/>
          <w:szCs w:val="24"/>
        </w:rPr>
        <w:t xml:space="preserve"> </w:t>
      </w:r>
      <w:r w:rsidR="005846ED">
        <w:rPr>
          <w:rFonts w:ascii="Arial" w:hAnsi="Arial" w:cs="Arial"/>
          <w:sz w:val="24"/>
          <w:szCs w:val="24"/>
        </w:rPr>
        <w:t xml:space="preserve"> </w:t>
      </w:r>
    </w:p>
    <w:p w14:paraId="2E9DC41E" w14:textId="6865CA50" w:rsidR="009C4CC6" w:rsidRDefault="009C4CC6" w:rsidP="00F52F7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The plaintiff’s attention was drawn to clauses 4.17 and 5 of the </w:t>
      </w:r>
      <w:r w:rsidR="00EB322C">
        <w:rPr>
          <w:rFonts w:ascii="Arial" w:hAnsi="Arial" w:cs="Arial"/>
          <w:sz w:val="24"/>
          <w:szCs w:val="24"/>
        </w:rPr>
        <w:t xml:space="preserve">site specification document which forms part of the </w:t>
      </w:r>
      <w:r>
        <w:rPr>
          <w:rFonts w:ascii="Arial" w:hAnsi="Arial" w:cs="Arial"/>
          <w:sz w:val="24"/>
          <w:szCs w:val="24"/>
        </w:rPr>
        <w:t>contract in question,</w:t>
      </w:r>
      <w:r w:rsidR="00F52F79">
        <w:rPr>
          <w:rFonts w:ascii="Arial" w:hAnsi="Arial" w:cs="Arial"/>
          <w:sz w:val="24"/>
          <w:szCs w:val="24"/>
        </w:rPr>
        <w:t xml:space="preserve"> to which he did not </w:t>
      </w:r>
      <w:r w:rsidR="005B31F2">
        <w:rPr>
          <w:rFonts w:ascii="Arial" w:hAnsi="Arial" w:cs="Arial"/>
          <w:sz w:val="24"/>
          <w:szCs w:val="24"/>
        </w:rPr>
        <w:t>take issue</w:t>
      </w:r>
      <w:r w:rsidR="00F52F79">
        <w:rPr>
          <w:rFonts w:ascii="Arial" w:hAnsi="Arial" w:cs="Arial"/>
          <w:sz w:val="24"/>
          <w:szCs w:val="24"/>
        </w:rPr>
        <w:t xml:space="preserve">.  The respective sections </w:t>
      </w:r>
      <w:r>
        <w:rPr>
          <w:rFonts w:ascii="Arial" w:hAnsi="Arial" w:cs="Arial"/>
          <w:sz w:val="24"/>
          <w:szCs w:val="24"/>
        </w:rPr>
        <w:t>provide as follows:</w:t>
      </w:r>
    </w:p>
    <w:p w14:paraId="0D3EB8CB" w14:textId="77777777" w:rsidR="00185D42" w:rsidRDefault="00185D42" w:rsidP="00F52F79">
      <w:pPr>
        <w:pStyle w:val="ListParagraph"/>
        <w:spacing w:after="0" w:line="360" w:lineRule="auto"/>
        <w:ind w:left="851"/>
        <w:jc w:val="both"/>
        <w:rPr>
          <w:rFonts w:ascii="Arial" w:hAnsi="Arial" w:cs="Arial"/>
          <w:sz w:val="20"/>
          <w:szCs w:val="20"/>
        </w:rPr>
      </w:pPr>
    </w:p>
    <w:p w14:paraId="7E194DE2" w14:textId="6EFA23DD" w:rsidR="009C4CC6" w:rsidRPr="00453DFB" w:rsidRDefault="009C4CC6" w:rsidP="00F52F79">
      <w:pPr>
        <w:pStyle w:val="ListParagraph"/>
        <w:spacing w:after="0" w:line="360" w:lineRule="auto"/>
        <w:ind w:left="851"/>
        <w:jc w:val="both"/>
        <w:rPr>
          <w:rFonts w:ascii="Arial" w:hAnsi="Arial" w:cs="Arial"/>
          <w:i/>
          <w:iCs/>
          <w:sz w:val="20"/>
          <w:szCs w:val="20"/>
        </w:rPr>
      </w:pPr>
      <w:r w:rsidRPr="00453DFB">
        <w:rPr>
          <w:rFonts w:ascii="Arial" w:hAnsi="Arial" w:cs="Arial"/>
          <w:sz w:val="20"/>
          <w:szCs w:val="20"/>
        </w:rPr>
        <w:t>“</w:t>
      </w:r>
      <w:r w:rsidRPr="00453DFB">
        <w:rPr>
          <w:rFonts w:ascii="Arial" w:hAnsi="Arial" w:cs="Arial"/>
          <w:i/>
          <w:iCs/>
          <w:sz w:val="20"/>
          <w:szCs w:val="20"/>
        </w:rPr>
        <w:t>4.17.</w:t>
      </w:r>
      <w:r w:rsidR="00F52F79" w:rsidRPr="00453DFB">
        <w:rPr>
          <w:rFonts w:ascii="Arial" w:hAnsi="Arial" w:cs="Arial"/>
          <w:i/>
          <w:iCs/>
          <w:sz w:val="20"/>
          <w:szCs w:val="20"/>
        </w:rPr>
        <w:tab/>
      </w:r>
      <w:r w:rsidRPr="00453DFB">
        <w:rPr>
          <w:rFonts w:ascii="Arial" w:hAnsi="Arial" w:cs="Arial"/>
          <w:i/>
          <w:iCs/>
          <w:sz w:val="20"/>
          <w:szCs w:val="20"/>
        </w:rPr>
        <w:tab/>
      </w:r>
      <w:r w:rsidRPr="00453DFB">
        <w:rPr>
          <w:rFonts w:ascii="Arial" w:hAnsi="Arial" w:cs="Arial"/>
          <w:b/>
          <w:bCs/>
          <w:i/>
          <w:iCs/>
          <w:sz w:val="20"/>
          <w:szCs w:val="20"/>
          <w:u w:val="single"/>
        </w:rPr>
        <w:t>Floors</w:t>
      </w:r>
    </w:p>
    <w:p w14:paraId="0B13E77E" w14:textId="77777777" w:rsidR="00F52F79" w:rsidRPr="00453DFB" w:rsidRDefault="00F52F79" w:rsidP="00F52F79">
      <w:pPr>
        <w:pStyle w:val="ListParagraph"/>
        <w:spacing w:after="0" w:line="360" w:lineRule="auto"/>
        <w:ind w:left="2516"/>
        <w:jc w:val="both"/>
        <w:rPr>
          <w:rFonts w:ascii="Arial" w:hAnsi="Arial" w:cs="Arial"/>
          <w:i/>
          <w:iCs/>
          <w:sz w:val="20"/>
          <w:szCs w:val="20"/>
        </w:rPr>
      </w:pPr>
    </w:p>
    <w:p w14:paraId="1638C9CD" w14:textId="61C62F5D" w:rsidR="009C4CC6" w:rsidRPr="00453DFB" w:rsidRDefault="009C4CC6" w:rsidP="00F52F79">
      <w:pPr>
        <w:pStyle w:val="ListParagraph"/>
        <w:numPr>
          <w:ilvl w:val="0"/>
          <w:numId w:val="6"/>
        </w:numPr>
        <w:spacing w:after="0" w:line="360" w:lineRule="auto"/>
        <w:jc w:val="both"/>
        <w:rPr>
          <w:rFonts w:ascii="Arial" w:hAnsi="Arial" w:cs="Arial"/>
          <w:i/>
          <w:iCs/>
          <w:sz w:val="20"/>
          <w:szCs w:val="20"/>
        </w:rPr>
      </w:pPr>
      <w:r w:rsidRPr="00453DFB">
        <w:rPr>
          <w:rFonts w:ascii="Arial" w:hAnsi="Arial" w:cs="Arial"/>
          <w:i/>
          <w:iCs/>
          <w:sz w:val="20"/>
          <w:szCs w:val="20"/>
        </w:rPr>
        <w:t>Damp-wash floors with an approved disinfectant – daily.</w:t>
      </w:r>
    </w:p>
    <w:p w14:paraId="42E1A7B3" w14:textId="2D322DD3" w:rsidR="009C4CC6" w:rsidRPr="00453DFB" w:rsidRDefault="009C4CC6" w:rsidP="00F52F79">
      <w:pPr>
        <w:pStyle w:val="ListParagraph"/>
        <w:numPr>
          <w:ilvl w:val="0"/>
          <w:numId w:val="6"/>
        </w:numPr>
        <w:spacing w:after="0" w:line="360" w:lineRule="auto"/>
        <w:jc w:val="both"/>
        <w:rPr>
          <w:rFonts w:ascii="Arial" w:hAnsi="Arial" w:cs="Arial"/>
          <w:i/>
          <w:iCs/>
          <w:sz w:val="20"/>
          <w:szCs w:val="20"/>
        </w:rPr>
      </w:pPr>
      <w:r w:rsidRPr="00453DFB">
        <w:rPr>
          <w:rFonts w:ascii="Arial" w:hAnsi="Arial" w:cs="Arial"/>
          <w:i/>
          <w:iCs/>
          <w:sz w:val="20"/>
          <w:szCs w:val="20"/>
        </w:rPr>
        <w:t>Remove dirty spots and rubbish – daily.</w:t>
      </w:r>
    </w:p>
    <w:p w14:paraId="4C414EF5" w14:textId="77777777" w:rsidR="009C4CC6" w:rsidRPr="00453DFB" w:rsidRDefault="009C4CC6" w:rsidP="00F52F79">
      <w:pPr>
        <w:pStyle w:val="ListParagraph"/>
        <w:numPr>
          <w:ilvl w:val="0"/>
          <w:numId w:val="6"/>
        </w:numPr>
        <w:spacing w:after="0" w:line="360" w:lineRule="auto"/>
        <w:jc w:val="both"/>
        <w:rPr>
          <w:rFonts w:ascii="Arial" w:hAnsi="Arial" w:cs="Arial"/>
          <w:i/>
          <w:iCs/>
          <w:sz w:val="20"/>
          <w:szCs w:val="20"/>
        </w:rPr>
      </w:pPr>
      <w:r w:rsidRPr="00453DFB">
        <w:rPr>
          <w:rFonts w:ascii="Arial" w:hAnsi="Arial" w:cs="Arial"/>
          <w:i/>
          <w:iCs/>
          <w:sz w:val="20"/>
          <w:szCs w:val="20"/>
        </w:rPr>
        <w:t>Non-slip cleaning agents should be used. Employees may not be exposed to wet/ slippery floors.</w:t>
      </w:r>
    </w:p>
    <w:p w14:paraId="0B094994" w14:textId="77777777" w:rsidR="009C4CC6" w:rsidRPr="00453DFB" w:rsidRDefault="009C4CC6" w:rsidP="00F52F79">
      <w:pPr>
        <w:spacing w:after="0" w:line="360" w:lineRule="auto"/>
        <w:ind w:left="720"/>
        <w:jc w:val="both"/>
        <w:rPr>
          <w:rFonts w:ascii="Arial" w:hAnsi="Arial" w:cs="Arial"/>
          <w:i/>
          <w:iCs/>
          <w:sz w:val="20"/>
          <w:szCs w:val="20"/>
        </w:rPr>
      </w:pPr>
      <w:r w:rsidRPr="00453DFB">
        <w:rPr>
          <w:rFonts w:ascii="Arial" w:hAnsi="Arial" w:cs="Arial"/>
          <w:i/>
          <w:iCs/>
          <w:sz w:val="20"/>
          <w:szCs w:val="20"/>
        </w:rPr>
        <w:t>…</w:t>
      </w:r>
    </w:p>
    <w:p w14:paraId="5B588931" w14:textId="2E96945B" w:rsidR="00C347E7" w:rsidRPr="00453DFB" w:rsidRDefault="009C4CC6" w:rsidP="00F52F79">
      <w:pPr>
        <w:spacing w:after="0" w:line="360" w:lineRule="auto"/>
        <w:ind w:left="2160" w:hanging="1440"/>
        <w:jc w:val="both"/>
        <w:rPr>
          <w:rFonts w:ascii="Arial" w:hAnsi="Arial" w:cs="Arial"/>
          <w:i/>
          <w:iCs/>
          <w:sz w:val="20"/>
          <w:szCs w:val="20"/>
        </w:rPr>
      </w:pPr>
      <w:r w:rsidRPr="00453DFB">
        <w:rPr>
          <w:rFonts w:ascii="Arial" w:hAnsi="Arial" w:cs="Arial"/>
          <w:i/>
          <w:iCs/>
          <w:sz w:val="20"/>
          <w:szCs w:val="20"/>
        </w:rPr>
        <w:t>5.</w:t>
      </w:r>
      <w:r w:rsidR="00F52F79" w:rsidRPr="00453DFB">
        <w:rPr>
          <w:rFonts w:ascii="Arial" w:hAnsi="Arial" w:cs="Arial"/>
          <w:i/>
          <w:iCs/>
          <w:sz w:val="20"/>
          <w:szCs w:val="20"/>
        </w:rPr>
        <w:tab/>
      </w:r>
      <w:r w:rsidR="00F52F79" w:rsidRPr="00453DFB">
        <w:rPr>
          <w:rFonts w:ascii="Arial" w:hAnsi="Arial" w:cs="Arial"/>
          <w:b/>
          <w:bCs/>
          <w:i/>
          <w:iCs/>
          <w:sz w:val="20"/>
          <w:szCs w:val="20"/>
        </w:rPr>
        <w:t>EQUIPMENT, CLEANING MATERIAL AND HYGENIC SERVICES TO BE USED</w:t>
      </w:r>
      <w:r w:rsidRPr="00453DFB">
        <w:rPr>
          <w:rFonts w:ascii="Arial" w:hAnsi="Arial" w:cs="Arial"/>
          <w:i/>
          <w:iCs/>
          <w:sz w:val="20"/>
          <w:szCs w:val="20"/>
        </w:rPr>
        <w:t xml:space="preserve"> </w:t>
      </w:r>
      <w:r w:rsidR="0059367E" w:rsidRPr="00453DFB">
        <w:rPr>
          <w:rFonts w:ascii="Arial" w:hAnsi="Arial" w:cs="Arial"/>
          <w:i/>
          <w:iCs/>
          <w:sz w:val="20"/>
          <w:szCs w:val="20"/>
        </w:rPr>
        <w:t xml:space="preserve"> </w:t>
      </w:r>
      <w:r w:rsidR="00152199" w:rsidRPr="00453DFB">
        <w:rPr>
          <w:rFonts w:ascii="Arial" w:hAnsi="Arial" w:cs="Arial"/>
          <w:i/>
          <w:iCs/>
          <w:sz w:val="20"/>
          <w:szCs w:val="20"/>
        </w:rPr>
        <w:t xml:space="preserve">  </w:t>
      </w:r>
    </w:p>
    <w:p w14:paraId="6E93FDAE" w14:textId="55274E29" w:rsidR="00C347E7" w:rsidRPr="00453DFB" w:rsidRDefault="00F52F79" w:rsidP="00F52F79">
      <w:pPr>
        <w:pStyle w:val="ListParagraph"/>
        <w:spacing w:after="0" w:line="360" w:lineRule="auto"/>
        <w:rPr>
          <w:rFonts w:ascii="Arial" w:hAnsi="Arial" w:cs="Arial"/>
          <w:i/>
          <w:iCs/>
          <w:sz w:val="20"/>
          <w:szCs w:val="20"/>
        </w:rPr>
      </w:pPr>
      <w:r w:rsidRPr="00453DFB">
        <w:rPr>
          <w:rFonts w:ascii="Arial" w:hAnsi="Arial" w:cs="Arial"/>
          <w:i/>
          <w:iCs/>
          <w:sz w:val="20"/>
          <w:szCs w:val="20"/>
        </w:rPr>
        <w:tab/>
      </w:r>
      <w:r w:rsidRPr="00453DFB">
        <w:rPr>
          <w:rFonts w:ascii="Arial" w:hAnsi="Arial" w:cs="Arial"/>
          <w:i/>
          <w:iCs/>
          <w:sz w:val="20"/>
          <w:szCs w:val="20"/>
        </w:rPr>
        <w:tab/>
        <w:t>5.1 Equipment</w:t>
      </w:r>
    </w:p>
    <w:p w14:paraId="5FEE563B" w14:textId="57977665" w:rsidR="00F52F79" w:rsidRPr="00453DFB" w:rsidRDefault="00F52F79" w:rsidP="00F52F79">
      <w:pPr>
        <w:pStyle w:val="ListParagraph"/>
        <w:spacing w:after="0" w:line="360" w:lineRule="auto"/>
        <w:rPr>
          <w:rFonts w:ascii="Arial" w:hAnsi="Arial" w:cs="Arial"/>
          <w:i/>
          <w:iCs/>
          <w:sz w:val="20"/>
          <w:szCs w:val="20"/>
        </w:rPr>
      </w:pPr>
      <w:r w:rsidRPr="00453DFB">
        <w:rPr>
          <w:rFonts w:ascii="Arial" w:hAnsi="Arial" w:cs="Arial"/>
          <w:i/>
          <w:iCs/>
          <w:sz w:val="20"/>
          <w:szCs w:val="20"/>
        </w:rPr>
        <w:tab/>
      </w:r>
      <w:r w:rsidRPr="00453DFB">
        <w:rPr>
          <w:rFonts w:ascii="Arial" w:hAnsi="Arial" w:cs="Arial"/>
          <w:i/>
          <w:iCs/>
          <w:sz w:val="20"/>
          <w:szCs w:val="20"/>
        </w:rPr>
        <w:tab/>
        <w:t>…</w:t>
      </w:r>
    </w:p>
    <w:p w14:paraId="68A5EE62" w14:textId="49BC7FFA" w:rsidR="00F52F79" w:rsidRPr="00453DFB" w:rsidRDefault="00F52F79" w:rsidP="00F52F79">
      <w:pPr>
        <w:pStyle w:val="ListParagraph"/>
        <w:numPr>
          <w:ilvl w:val="0"/>
          <w:numId w:val="7"/>
        </w:numPr>
        <w:spacing w:after="0" w:line="360" w:lineRule="auto"/>
        <w:rPr>
          <w:rFonts w:ascii="Arial" w:hAnsi="Arial" w:cs="Arial"/>
          <w:i/>
          <w:iCs/>
          <w:sz w:val="20"/>
          <w:szCs w:val="20"/>
        </w:rPr>
      </w:pPr>
      <w:r w:rsidRPr="00453DFB">
        <w:rPr>
          <w:rFonts w:ascii="Arial" w:hAnsi="Arial" w:cs="Arial"/>
          <w:i/>
          <w:iCs/>
          <w:sz w:val="20"/>
          <w:szCs w:val="20"/>
        </w:rPr>
        <w:t>…</w:t>
      </w:r>
    </w:p>
    <w:p w14:paraId="5F867801" w14:textId="636E2CB5" w:rsidR="00F52F79" w:rsidRPr="00453DFB" w:rsidRDefault="00F52F79" w:rsidP="00F52F79">
      <w:pPr>
        <w:pStyle w:val="ListParagraph"/>
        <w:numPr>
          <w:ilvl w:val="0"/>
          <w:numId w:val="7"/>
        </w:numPr>
        <w:spacing w:after="0" w:line="360" w:lineRule="auto"/>
        <w:rPr>
          <w:rFonts w:ascii="Arial" w:hAnsi="Arial" w:cs="Arial"/>
          <w:i/>
          <w:iCs/>
          <w:sz w:val="20"/>
          <w:szCs w:val="20"/>
        </w:rPr>
      </w:pPr>
      <w:r w:rsidRPr="00453DFB">
        <w:rPr>
          <w:rFonts w:ascii="Arial" w:hAnsi="Arial" w:cs="Arial"/>
          <w:i/>
          <w:iCs/>
          <w:sz w:val="20"/>
          <w:szCs w:val="20"/>
        </w:rPr>
        <w:t>…</w:t>
      </w:r>
    </w:p>
    <w:p w14:paraId="14B5FEE3" w14:textId="5F28973E" w:rsidR="00F52F79" w:rsidRPr="00453DFB" w:rsidRDefault="00F52F79" w:rsidP="00F52F79">
      <w:pPr>
        <w:pStyle w:val="ListParagraph"/>
        <w:numPr>
          <w:ilvl w:val="0"/>
          <w:numId w:val="7"/>
        </w:numPr>
        <w:spacing w:after="0" w:line="360" w:lineRule="auto"/>
        <w:rPr>
          <w:rFonts w:ascii="Arial" w:hAnsi="Arial" w:cs="Arial"/>
          <w:i/>
          <w:iCs/>
          <w:sz w:val="20"/>
          <w:szCs w:val="20"/>
        </w:rPr>
      </w:pPr>
      <w:r w:rsidRPr="00453DFB">
        <w:rPr>
          <w:rFonts w:ascii="Arial" w:hAnsi="Arial" w:cs="Arial"/>
          <w:i/>
          <w:iCs/>
          <w:sz w:val="20"/>
          <w:szCs w:val="20"/>
        </w:rPr>
        <w:t>…</w:t>
      </w:r>
    </w:p>
    <w:p w14:paraId="333EFD57" w14:textId="1AFD5904" w:rsidR="00F52F79" w:rsidRPr="00453DFB" w:rsidRDefault="00F52F79" w:rsidP="00F52F79">
      <w:pPr>
        <w:pStyle w:val="ListParagraph"/>
        <w:numPr>
          <w:ilvl w:val="0"/>
          <w:numId w:val="7"/>
        </w:numPr>
        <w:spacing w:after="0" w:line="360" w:lineRule="auto"/>
        <w:rPr>
          <w:rFonts w:ascii="Arial" w:hAnsi="Arial" w:cs="Arial"/>
          <w:i/>
          <w:iCs/>
          <w:sz w:val="20"/>
          <w:szCs w:val="20"/>
        </w:rPr>
      </w:pPr>
      <w:r w:rsidRPr="00453DFB">
        <w:rPr>
          <w:rFonts w:ascii="Arial" w:hAnsi="Arial" w:cs="Arial"/>
          <w:i/>
          <w:iCs/>
          <w:sz w:val="20"/>
          <w:szCs w:val="20"/>
        </w:rPr>
        <w:t>Regulatory warning Signs</w:t>
      </w:r>
    </w:p>
    <w:p w14:paraId="044CB7A9" w14:textId="4C6657D5" w:rsidR="00F52F79" w:rsidRPr="00453DFB" w:rsidRDefault="00F52F79" w:rsidP="00F52F79">
      <w:pPr>
        <w:pStyle w:val="ListParagraph"/>
        <w:numPr>
          <w:ilvl w:val="0"/>
          <w:numId w:val="7"/>
        </w:numPr>
        <w:spacing w:after="0" w:line="360" w:lineRule="auto"/>
        <w:rPr>
          <w:rFonts w:ascii="Arial" w:hAnsi="Arial" w:cs="Arial"/>
          <w:i/>
          <w:iCs/>
          <w:sz w:val="20"/>
          <w:szCs w:val="20"/>
        </w:rPr>
      </w:pPr>
      <w:r w:rsidRPr="00453DFB">
        <w:rPr>
          <w:rFonts w:ascii="Arial" w:hAnsi="Arial" w:cs="Arial"/>
          <w:i/>
          <w:iCs/>
          <w:sz w:val="20"/>
          <w:szCs w:val="20"/>
        </w:rPr>
        <w:t>…”</w:t>
      </w:r>
    </w:p>
    <w:p w14:paraId="1F7F4028" w14:textId="77777777" w:rsidR="00CA7729" w:rsidRDefault="00CA7729" w:rsidP="00CA7729">
      <w:pPr>
        <w:pStyle w:val="ListParagraph"/>
        <w:spacing w:after="0" w:line="480" w:lineRule="auto"/>
        <w:ind w:left="851"/>
        <w:jc w:val="both"/>
        <w:rPr>
          <w:rFonts w:ascii="Arial" w:hAnsi="Arial" w:cs="Arial"/>
          <w:sz w:val="24"/>
          <w:szCs w:val="24"/>
        </w:rPr>
      </w:pPr>
    </w:p>
    <w:p w14:paraId="0D7E1B90" w14:textId="2A3DCA1B" w:rsidR="00AB1F77" w:rsidRDefault="0006527A" w:rsidP="00F52F7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aforesaid clauses were utilised to foreshadow the final aspect of the plaintiff’s cross-examination</w:t>
      </w:r>
      <w:r w:rsidR="00AB1F77">
        <w:rPr>
          <w:rFonts w:ascii="Arial" w:hAnsi="Arial" w:cs="Arial"/>
          <w:sz w:val="24"/>
          <w:szCs w:val="24"/>
        </w:rPr>
        <w:t>, the relevant portions of which are repeated below:</w:t>
      </w:r>
    </w:p>
    <w:p w14:paraId="61F8EDA0" w14:textId="68A65780" w:rsidR="00AB1F77" w:rsidRDefault="00AB1F77" w:rsidP="00AB1F77">
      <w:pPr>
        <w:pStyle w:val="ListParagraph"/>
        <w:spacing w:after="0" w:line="480" w:lineRule="auto"/>
        <w:ind w:left="851"/>
        <w:jc w:val="both"/>
        <w:rPr>
          <w:rFonts w:ascii="Arial" w:hAnsi="Arial" w:cs="Arial"/>
          <w:sz w:val="24"/>
          <w:szCs w:val="24"/>
        </w:rPr>
      </w:pPr>
    </w:p>
    <w:p w14:paraId="5077BDDD" w14:textId="03704287" w:rsidR="00AB1F77" w:rsidRPr="00453DFB" w:rsidRDefault="00AB1F77" w:rsidP="00453DFB">
      <w:pPr>
        <w:pStyle w:val="ListParagraph"/>
        <w:spacing w:after="0" w:line="360" w:lineRule="auto"/>
        <w:ind w:left="851"/>
        <w:jc w:val="both"/>
        <w:rPr>
          <w:rFonts w:ascii="Arial" w:hAnsi="Arial" w:cs="Arial"/>
          <w:b/>
          <w:bCs/>
          <w:i/>
          <w:iCs/>
          <w:sz w:val="20"/>
          <w:szCs w:val="20"/>
        </w:rPr>
      </w:pPr>
      <w:r>
        <w:rPr>
          <w:rFonts w:ascii="Arial" w:hAnsi="Arial" w:cs="Arial"/>
          <w:sz w:val="24"/>
          <w:szCs w:val="24"/>
        </w:rPr>
        <w:t>“</w:t>
      </w:r>
      <w:r w:rsidRPr="00453DFB">
        <w:rPr>
          <w:rFonts w:ascii="Arial" w:hAnsi="Arial" w:cs="Arial"/>
          <w:i/>
          <w:iCs/>
          <w:sz w:val="20"/>
          <w:szCs w:val="20"/>
          <w:u w:val="single"/>
        </w:rPr>
        <w:t>MR DALA:</w:t>
      </w:r>
      <w:r w:rsidR="00453DFB">
        <w:rPr>
          <w:rFonts w:ascii="Arial" w:hAnsi="Arial" w:cs="Arial"/>
          <w:i/>
          <w:iCs/>
          <w:sz w:val="20"/>
          <w:szCs w:val="20"/>
        </w:rPr>
        <w:t xml:space="preserve">  </w:t>
      </w:r>
      <w:r w:rsidRPr="00453DFB">
        <w:rPr>
          <w:rFonts w:ascii="Arial" w:hAnsi="Arial" w:cs="Arial"/>
          <w:i/>
          <w:iCs/>
          <w:sz w:val="20"/>
          <w:szCs w:val="20"/>
        </w:rPr>
        <w:t>Just one, well I think I dealt with it, but just to be clear and I just want to put to you Mr Swarts that the department had taken all reasonable steps knowing for examples (sic), floors can be slippery and there must be warning signs, they took all reasonable steps, as you can see from the contract.  Anything you would like to say?</w:t>
      </w:r>
    </w:p>
    <w:p w14:paraId="7799F704" w14:textId="7969DCF4" w:rsidR="00AB1F77" w:rsidRPr="00453DFB" w:rsidRDefault="00AB1F77" w:rsidP="00453DFB">
      <w:pPr>
        <w:pStyle w:val="ListParagraph"/>
        <w:spacing w:after="0" w:line="360" w:lineRule="auto"/>
        <w:ind w:left="851"/>
        <w:jc w:val="both"/>
        <w:rPr>
          <w:rFonts w:ascii="Arial" w:hAnsi="Arial" w:cs="Arial"/>
          <w:i/>
          <w:iCs/>
          <w:sz w:val="20"/>
          <w:szCs w:val="20"/>
        </w:rPr>
      </w:pPr>
    </w:p>
    <w:p w14:paraId="6D4E7CEA" w14:textId="36281ECE" w:rsidR="00AB1F77" w:rsidRPr="00453DFB" w:rsidRDefault="00AB1F77" w:rsidP="00453DFB">
      <w:pPr>
        <w:pStyle w:val="ListParagraph"/>
        <w:spacing w:after="0" w:line="360" w:lineRule="auto"/>
        <w:ind w:left="851"/>
        <w:jc w:val="both"/>
        <w:rPr>
          <w:rFonts w:ascii="Arial" w:hAnsi="Arial" w:cs="Arial"/>
          <w:i/>
          <w:iCs/>
          <w:sz w:val="20"/>
          <w:szCs w:val="20"/>
        </w:rPr>
      </w:pPr>
      <w:r w:rsidRPr="00453DFB">
        <w:rPr>
          <w:rFonts w:ascii="Arial" w:hAnsi="Arial" w:cs="Arial"/>
          <w:i/>
          <w:iCs/>
          <w:sz w:val="20"/>
          <w:szCs w:val="20"/>
          <w:u w:val="single"/>
        </w:rPr>
        <w:t>MR SWARTS:</w:t>
      </w:r>
      <w:r w:rsidRPr="00453DFB">
        <w:rPr>
          <w:rFonts w:ascii="Arial" w:hAnsi="Arial" w:cs="Arial"/>
          <w:i/>
          <w:iCs/>
          <w:sz w:val="20"/>
          <w:szCs w:val="20"/>
        </w:rPr>
        <w:t xml:space="preserve">  Well, that is not the end of it all.  There is case law, I do not want to go in that which says something else that what you are saying.  But I will leave it to my counsel to argue that at the end of the day.</w:t>
      </w:r>
    </w:p>
    <w:p w14:paraId="660E746E" w14:textId="152D900B" w:rsidR="00AB1F77" w:rsidRPr="00453DFB" w:rsidRDefault="00AB1F77" w:rsidP="00453DFB">
      <w:pPr>
        <w:pStyle w:val="ListParagraph"/>
        <w:spacing w:after="0" w:line="360" w:lineRule="auto"/>
        <w:ind w:left="851"/>
        <w:jc w:val="both"/>
        <w:rPr>
          <w:rFonts w:ascii="Arial" w:hAnsi="Arial" w:cs="Arial"/>
          <w:i/>
          <w:iCs/>
          <w:sz w:val="20"/>
          <w:szCs w:val="20"/>
        </w:rPr>
      </w:pPr>
    </w:p>
    <w:p w14:paraId="0FFBA67A" w14:textId="54F746C6" w:rsidR="00AB1F77" w:rsidRPr="00453DFB" w:rsidRDefault="00AB1F77" w:rsidP="00453DFB">
      <w:pPr>
        <w:pStyle w:val="ListParagraph"/>
        <w:spacing w:after="0" w:line="360" w:lineRule="auto"/>
        <w:ind w:left="851"/>
        <w:jc w:val="both"/>
        <w:rPr>
          <w:rFonts w:ascii="Arial" w:hAnsi="Arial" w:cs="Arial"/>
          <w:i/>
          <w:iCs/>
          <w:sz w:val="20"/>
          <w:szCs w:val="20"/>
        </w:rPr>
      </w:pPr>
      <w:r w:rsidRPr="00453DFB">
        <w:rPr>
          <w:rFonts w:ascii="Arial" w:hAnsi="Arial" w:cs="Arial"/>
          <w:i/>
          <w:iCs/>
          <w:sz w:val="20"/>
          <w:szCs w:val="20"/>
          <w:u w:val="single"/>
        </w:rPr>
        <w:t>MR DALA:</w:t>
      </w:r>
      <w:r w:rsidR="00453DFB">
        <w:rPr>
          <w:rFonts w:ascii="Arial" w:hAnsi="Arial" w:cs="Arial"/>
          <w:i/>
          <w:iCs/>
          <w:sz w:val="20"/>
          <w:szCs w:val="20"/>
        </w:rPr>
        <w:t xml:space="preserve">  </w:t>
      </w:r>
      <w:r w:rsidRPr="00453DFB">
        <w:rPr>
          <w:rFonts w:ascii="Arial" w:hAnsi="Arial" w:cs="Arial"/>
          <w:i/>
          <w:iCs/>
          <w:sz w:val="20"/>
          <w:szCs w:val="20"/>
        </w:rPr>
        <w:t>That is fine.  So, you have got nothing to say?</w:t>
      </w:r>
    </w:p>
    <w:p w14:paraId="399EE065" w14:textId="0D246597" w:rsidR="00AB1F77" w:rsidRPr="00453DFB" w:rsidRDefault="00AB1F77" w:rsidP="00453DFB">
      <w:pPr>
        <w:pStyle w:val="ListParagraph"/>
        <w:spacing w:after="0" w:line="360" w:lineRule="auto"/>
        <w:ind w:left="851"/>
        <w:jc w:val="both"/>
        <w:rPr>
          <w:rFonts w:ascii="Arial" w:hAnsi="Arial" w:cs="Arial"/>
          <w:i/>
          <w:iCs/>
          <w:sz w:val="20"/>
          <w:szCs w:val="20"/>
        </w:rPr>
      </w:pPr>
      <w:r w:rsidRPr="00453DFB">
        <w:rPr>
          <w:rFonts w:ascii="Arial" w:hAnsi="Arial" w:cs="Arial"/>
          <w:i/>
          <w:iCs/>
          <w:sz w:val="20"/>
          <w:szCs w:val="20"/>
          <w:u w:val="single"/>
        </w:rPr>
        <w:lastRenderedPageBreak/>
        <w:t>MR SWARTS:</w:t>
      </w:r>
      <w:r w:rsidRPr="00453DFB">
        <w:rPr>
          <w:rFonts w:ascii="Arial" w:hAnsi="Arial" w:cs="Arial"/>
          <w:i/>
          <w:iCs/>
          <w:sz w:val="20"/>
          <w:szCs w:val="20"/>
        </w:rPr>
        <w:t xml:space="preserve">  Well, I am telling you there is (sic) other versions to the same story.  I do not want to – I am just not agreeing with you.</w:t>
      </w:r>
    </w:p>
    <w:p w14:paraId="485A1990" w14:textId="43937CA2" w:rsidR="00AB1F77" w:rsidRPr="00453DFB" w:rsidRDefault="00AB1F77" w:rsidP="00453DFB">
      <w:pPr>
        <w:pStyle w:val="ListParagraph"/>
        <w:spacing w:after="0" w:line="360" w:lineRule="auto"/>
        <w:ind w:left="851"/>
        <w:jc w:val="both"/>
        <w:rPr>
          <w:rFonts w:ascii="Arial" w:hAnsi="Arial" w:cs="Arial"/>
          <w:i/>
          <w:iCs/>
          <w:sz w:val="20"/>
          <w:szCs w:val="20"/>
        </w:rPr>
      </w:pPr>
    </w:p>
    <w:p w14:paraId="0C212C18" w14:textId="6E94225D" w:rsidR="00AB1F77" w:rsidRPr="00453DFB" w:rsidRDefault="00453DFB" w:rsidP="00453DFB">
      <w:pPr>
        <w:pStyle w:val="ListParagraph"/>
        <w:spacing w:after="0" w:line="360" w:lineRule="auto"/>
        <w:ind w:left="851"/>
        <w:jc w:val="both"/>
        <w:rPr>
          <w:rFonts w:ascii="Arial" w:hAnsi="Arial" w:cs="Arial"/>
          <w:i/>
          <w:iCs/>
          <w:sz w:val="20"/>
          <w:szCs w:val="20"/>
        </w:rPr>
      </w:pPr>
      <w:r w:rsidRPr="00453DFB">
        <w:rPr>
          <w:rFonts w:ascii="Arial" w:hAnsi="Arial" w:cs="Arial"/>
          <w:i/>
          <w:iCs/>
          <w:sz w:val="20"/>
          <w:szCs w:val="20"/>
          <w:u w:val="single"/>
        </w:rPr>
        <w:t>MR DALA:</w:t>
      </w:r>
      <w:r>
        <w:rPr>
          <w:rFonts w:ascii="Arial" w:hAnsi="Arial" w:cs="Arial"/>
          <w:i/>
          <w:iCs/>
          <w:sz w:val="20"/>
          <w:szCs w:val="20"/>
        </w:rPr>
        <w:t xml:space="preserve">  </w:t>
      </w:r>
      <w:r w:rsidRPr="00453DFB">
        <w:rPr>
          <w:rFonts w:ascii="Arial" w:hAnsi="Arial" w:cs="Arial"/>
          <w:i/>
          <w:iCs/>
          <w:sz w:val="20"/>
          <w:szCs w:val="20"/>
        </w:rPr>
        <w:t>Okay, you are not in agreement?</w:t>
      </w:r>
    </w:p>
    <w:p w14:paraId="2AD13F34" w14:textId="387275AC" w:rsidR="00453DFB" w:rsidRPr="00453DFB" w:rsidRDefault="00453DFB" w:rsidP="00453DFB">
      <w:pPr>
        <w:pStyle w:val="ListParagraph"/>
        <w:spacing w:after="0" w:line="360" w:lineRule="auto"/>
        <w:ind w:left="851"/>
        <w:jc w:val="both"/>
        <w:rPr>
          <w:rFonts w:ascii="Arial" w:hAnsi="Arial" w:cs="Arial"/>
          <w:i/>
          <w:iCs/>
          <w:sz w:val="20"/>
          <w:szCs w:val="20"/>
        </w:rPr>
      </w:pPr>
    </w:p>
    <w:p w14:paraId="1A1921C7" w14:textId="6B3C3518" w:rsidR="00453DFB" w:rsidRDefault="00453DFB" w:rsidP="00453DFB">
      <w:pPr>
        <w:pStyle w:val="ListParagraph"/>
        <w:spacing w:after="0" w:line="360" w:lineRule="auto"/>
        <w:ind w:left="851"/>
        <w:jc w:val="both"/>
        <w:rPr>
          <w:rFonts w:ascii="Arial" w:hAnsi="Arial" w:cs="Arial"/>
          <w:sz w:val="24"/>
          <w:szCs w:val="24"/>
        </w:rPr>
      </w:pPr>
      <w:r w:rsidRPr="00453DFB">
        <w:rPr>
          <w:rFonts w:ascii="Arial" w:hAnsi="Arial" w:cs="Arial"/>
          <w:i/>
          <w:iCs/>
          <w:sz w:val="20"/>
          <w:szCs w:val="20"/>
          <w:u w:val="single"/>
        </w:rPr>
        <w:t>MR SWARTS:</w:t>
      </w:r>
      <w:r w:rsidRPr="00453DFB">
        <w:rPr>
          <w:rFonts w:ascii="Arial" w:hAnsi="Arial" w:cs="Arial"/>
          <w:i/>
          <w:iCs/>
          <w:sz w:val="20"/>
          <w:szCs w:val="20"/>
        </w:rPr>
        <w:t xml:space="preserve">  No.</w:t>
      </w:r>
      <w:r>
        <w:rPr>
          <w:rFonts w:ascii="Arial" w:hAnsi="Arial" w:cs="Arial"/>
          <w:sz w:val="24"/>
          <w:szCs w:val="24"/>
        </w:rPr>
        <w:t>”</w:t>
      </w:r>
    </w:p>
    <w:p w14:paraId="7FCDC8FC" w14:textId="77777777" w:rsidR="00453DFB" w:rsidRPr="00AB1F77" w:rsidRDefault="00453DFB" w:rsidP="00AB1F77">
      <w:pPr>
        <w:pStyle w:val="ListParagraph"/>
        <w:spacing w:after="0" w:line="480" w:lineRule="auto"/>
        <w:ind w:left="851"/>
        <w:jc w:val="both"/>
        <w:rPr>
          <w:rFonts w:ascii="Arial" w:hAnsi="Arial" w:cs="Arial"/>
          <w:sz w:val="24"/>
          <w:szCs w:val="24"/>
        </w:rPr>
      </w:pPr>
    </w:p>
    <w:p w14:paraId="715BF780" w14:textId="2D1C09D7" w:rsidR="00C252D2" w:rsidRDefault="00E74D8C" w:rsidP="00222A8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evidence of </w:t>
      </w:r>
      <w:r w:rsidR="00686EED">
        <w:rPr>
          <w:rFonts w:ascii="Arial" w:hAnsi="Arial" w:cs="Arial"/>
          <w:sz w:val="24"/>
          <w:szCs w:val="24"/>
        </w:rPr>
        <w:t>Mzinzi</w:t>
      </w:r>
      <w:r>
        <w:rPr>
          <w:rFonts w:ascii="Arial" w:hAnsi="Arial" w:cs="Arial"/>
          <w:sz w:val="24"/>
          <w:szCs w:val="24"/>
        </w:rPr>
        <w:t>, for the defendants,</w:t>
      </w:r>
      <w:r w:rsidR="006A788E">
        <w:rPr>
          <w:rFonts w:ascii="Arial" w:hAnsi="Arial" w:cs="Arial"/>
          <w:sz w:val="24"/>
          <w:szCs w:val="24"/>
        </w:rPr>
        <w:t xml:space="preserve"> </w:t>
      </w:r>
      <w:r w:rsidR="00A0671F">
        <w:rPr>
          <w:rFonts w:ascii="Arial" w:hAnsi="Arial" w:cs="Arial"/>
          <w:sz w:val="24"/>
          <w:szCs w:val="24"/>
        </w:rPr>
        <w:t xml:space="preserve">was led primarily </w:t>
      </w:r>
      <w:r w:rsidR="006C1AA6">
        <w:rPr>
          <w:rFonts w:ascii="Arial" w:hAnsi="Arial" w:cs="Arial"/>
          <w:sz w:val="24"/>
          <w:szCs w:val="24"/>
        </w:rPr>
        <w:t xml:space="preserve">to </w:t>
      </w:r>
      <w:r w:rsidR="00412784">
        <w:rPr>
          <w:rFonts w:ascii="Arial" w:hAnsi="Arial" w:cs="Arial"/>
          <w:sz w:val="24"/>
          <w:szCs w:val="24"/>
        </w:rPr>
        <w:t xml:space="preserve">(i) </w:t>
      </w:r>
      <w:r w:rsidR="006C1AA6">
        <w:rPr>
          <w:rFonts w:ascii="Arial" w:hAnsi="Arial" w:cs="Arial"/>
          <w:sz w:val="24"/>
          <w:szCs w:val="24"/>
        </w:rPr>
        <w:t>establish</w:t>
      </w:r>
      <w:r w:rsidR="00412784">
        <w:rPr>
          <w:rFonts w:ascii="Arial" w:hAnsi="Arial" w:cs="Arial"/>
          <w:sz w:val="24"/>
          <w:szCs w:val="24"/>
        </w:rPr>
        <w:t xml:space="preserve"> </w:t>
      </w:r>
      <w:r w:rsidR="00A0671F">
        <w:rPr>
          <w:rFonts w:ascii="Arial" w:hAnsi="Arial" w:cs="Arial"/>
          <w:sz w:val="24"/>
          <w:szCs w:val="24"/>
        </w:rPr>
        <w:t>the tender process</w:t>
      </w:r>
      <w:r>
        <w:rPr>
          <w:rFonts w:ascii="Arial" w:hAnsi="Arial" w:cs="Arial"/>
          <w:sz w:val="24"/>
          <w:szCs w:val="24"/>
        </w:rPr>
        <w:t xml:space="preserve">, from a bid evaluation committee </w:t>
      </w:r>
      <w:r w:rsidR="006C1AA6">
        <w:rPr>
          <w:rFonts w:ascii="Arial" w:hAnsi="Arial" w:cs="Arial"/>
          <w:sz w:val="24"/>
          <w:szCs w:val="24"/>
        </w:rPr>
        <w:t>standpoint</w:t>
      </w:r>
      <w:r>
        <w:rPr>
          <w:rFonts w:ascii="Arial" w:hAnsi="Arial" w:cs="Arial"/>
          <w:sz w:val="24"/>
          <w:szCs w:val="24"/>
        </w:rPr>
        <w:t>;</w:t>
      </w:r>
      <w:r w:rsidR="00412784">
        <w:rPr>
          <w:rFonts w:ascii="Arial" w:hAnsi="Arial" w:cs="Arial"/>
          <w:sz w:val="24"/>
          <w:szCs w:val="24"/>
        </w:rPr>
        <w:t xml:space="preserve"> (ii)</w:t>
      </w:r>
      <w:r w:rsidR="00947014">
        <w:rPr>
          <w:rFonts w:ascii="Arial" w:hAnsi="Arial" w:cs="Arial"/>
          <w:sz w:val="24"/>
          <w:szCs w:val="24"/>
        </w:rPr>
        <w:t xml:space="preserve"> to</w:t>
      </w:r>
      <w:r w:rsidR="00A0671F">
        <w:rPr>
          <w:rFonts w:ascii="Arial" w:hAnsi="Arial" w:cs="Arial"/>
          <w:sz w:val="24"/>
          <w:szCs w:val="24"/>
        </w:rPr>
        <w:t xml:space="preserve"> prove the minutes of the bid evaluation committee meeting, which had </w:t>
      </w:r>
      <w:r w:rsidR="00947014">
        <w:rPr>
          <w:rFonts w:ascii="Arial" w:hAnsi="Arial" w:cs="Arial"/>
          <w:sz w:val="24"/>
          <w:szCs w:val="24"/>
        </w:rPr>
        <w:t xml:space="preserve">previously been </w:t>
      </w:r>
      <w:r w:rsidR="00A0671F">
        <w:rPr>
          <w:rFonts w:ascii="Arial" w:hAnsi="Arial" w:cs="Arial"/>
          <w:sz w:val="24"/>
          <w:szCs w:val="24"/>
        </w:rPr>
        <w:t>tendered into evidence</w:t>
      </w:r>
      <w:r w:rsidR="008D040A">
        <w:rPr>
          <w:rFonts w:ascii="Arial" w:hAnsi="Arial" w:cs="Arial"/>
          <w:sz w:val="24"/>
          <w:szCs w:val="24"/>
        </w:rPr>
        <w:t>, provisionally</w:t>
      </w:r>
      <w:r w:rsidR="00412784">
        <w:rPr>
          <w:rFonts w:ascii="Arial" w:hAnsi="Arial" w:cs="Arial"/>
          <w:sz w:val="24"/>
          <w:szCs w:val="24"/>
        </w:rPr>
        <w:t>; and (iii) to confirm that Sky Ground, as the highest scoring bidder, was recommended by the bid evaluation committee</w:t>
      </w:r>
      <w:r w:rsidR="00947014">
        <w:rPr>
          <w:rFonts w:ascii="Arial" w:hAnsi="Arial" w:cs="Arial"/>
          <w:sz w:val="24"/>
          <w:szCs w:val="24"/>
        </w:rPr>
        <w:t>.</w:t>
      </w:r>
      <w:r w:rsidR="006A788E">
        <w:rPr>
          <w:rFonts w:ascii="Arial" w:hAnsi="Arial" w:cs="Arial"/>
          <w:sz w:val="24"/>
          <w:szCs w:val="24"/>
        </w:rPr>
        <w:t xml:space="preserve">  Mzinzi’s evidence was uncontentious</w:t>
      </w:r>
    </w:p>
    <w:p w14:paraId="249FB326" w14:textId="45C26192" w:rsidR="00947014" w:rsidRDefault="00947014" w:rsidP="00A37627">
      <w:pPr>
        <w:pStyle w:val="ListParagraph"/>
        <w:spacing w:after="0" w:line="480" w:lineRule="auto"/>
        <w:ind w:left="851"/>
        <w:jc w:val="both"/>
        <w:rPr>
          <w:rFonts w:ascii="Arial" w:hAnsi="Arial" w:cs="Arial"/>
          <w:sz w:val="24"/>
          <w:szCs w:val="24"/>
        </w:rPr>
      </w:pPr>
    </w:p>
    <w:p w14:paraId="1F1C24A0" w14:textId="77777777" w:rsidR="007645F5" w:rsidRDefault="00FC6833" w:rsidP="0003582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Van der Walt</w:t>
      </w:r>
      <w:r w:rsidR="00E00474">
        <w:rPr>
          <w:rFonts w:ascii="Arial" w:hAnsi="Arial" w:cs="Arial"/>
          <w:sz w:val="24"/>
          <w:szCs w:val="24"/>
        </w:rPr>
        <w:t xml:space="preserve"> testified that</w:t>
      </w:r>
      <w:r w:rsidR="00616F45">
        <w:rPr>
          <w:rFonts w:ascii="Arial" w:hAnsi="Arial" w:cs="Arial"/>
          <w:sz w:val="24"/>
          <w:szCs w:val="24"/>
        </w:rPr>
        <w:t xml:space="preserve"> following the approval of the recommendation received from the bid evaluation committee,</w:t>
      </w:r>
      <w:r w:rsidR="00E00474">
        <w:rPr>
          <w:rFonts w:ascii="Arial" w:hAnsi="Arial" w:cs="Arial"/>
          <w:sz w:val="24"/>
          <w:szCs w:val="24"/>
        </w:rPr>
        <w:t xml:space="preserve"> he was the signatory to the contract with Sky Ground, on behalf of the first defendant.</w:t>
      </w:r>
      <w:r w:rsidR="00583D77">
        <w:rPr>
          <w:rFonts w:ascii="Arial" w:hAnsi="Arial" w:cs="Arial"/>
          <w:sz w:val="24"/>
          <w:szCs w:val="24"/>
        </w:rPr>
        <w:t xml:space="preserve">  </w:t>
      </w:r>
    </w:p>
    <w:p w14:paraId="15B5C799" w14:textId="77777777" w:rsidR="007645F5" w:rsidRPr="007645F5" w:rsidRDefault="007645F5" w:rsidP="0003582A">
      <w:pPr>
        <w:pStyle w:val="ListParagraph"/>
        <w:spacing w:after="0" w:line="480" w:lineRule="auto"/>
        <w:rPr>
          <w:rFonts w:ascii="Arial" w:hAnsi="Arial" w:cs="Arial"/>
          <w:sz w:val="24"/>
          <w:szCs w:val="24"/>
        </w:rPr>
      </w:pPr>
    </w:p>
    <w:p w14:paraId="4A104C32" w14:textId="68F4586C" w:rsidR="00583D77" w:rsidRDefault="00AC0AA9" w:rsidP="00E260F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main thrust of van der Walt’s evidence, in respect of the assessment of the bidders</w:t>
      </w:r>
      <w:r w:rsidR="00CA3F4E">
        <w:rPr>
          <w:rFonts w:ascii="Arial" w:hAnsi="Arial" w:cs="Arial"/>
          <w:sz w:val="24"/>
          <w:szCs w:val="24"/>
        </w:rPr>
        <w:t xml:space="preserve">, related to the performance of a financial risk assessment on </w:t>
      </w:r>
      <w:r w:rsidR="00A031F1">
        <w:rPr>
          <w:rFonts w:ascii="Arial" w:hAnsi="Arial" w:cs="Arial"/>
          <w:sz w:val="24"/>
          <w:szCs w:val="24"/>
        </w:rPr>
        <w:t xml:space="preserve">those </w:t>
      </w:r>
      <w:r w:rsidR="00CA3F4E">
        <w:rPr>
          <w:rFonts w:ascii="Arial" w:hAnsi="Arial" w:cs="Arial"/>
          <w:sz w:val="24"/>
          <w:szCs w:val="24"/>
        </w:rPr>
        <w:t xml:space="preserve">bidders </w:t>
      </w:r>
      <w:r w:rsidR="00A031F1">
        <w:rPr>
          <w:rFonts w:ascii="Arial" w:hAnsi="Arial" w:cs="Arial"/>
          <w:sz w:val="24"/>
          <w:szCs w:val="24"/>
        </w:rPr>
        <w:t>that</w:t>
      </w:r>
      <w:r w:rsidR="00CA3F4E">
        <w:rPr>
          <w:rFonts w:ascii="Arial" w:hAnsi="Arial" w:cs="Arial"/>
          <w:sz w:val="24"/>
          <w:szCs w:val="24"/>
        </w:rPr>
        <w:t xml:space="preserve"> were found to be responsive.  </w:t>
      </w:r>
      <w:r w:rsidR="00307DE5">
        <w:rPr>
          <w:rFonts w:ascii="Arial" w:hAnsi="Arial" w:cs="Arial"/>
          <w:sz w:val="24"/>
          <w:szCs w:val="24"/>
        </w:rPr>
        <w:t>S</w:t>
      </w:r>
      <w:r w:rsidR="00CA3F4E">
        <w:rPr>
          <w:rFonts w:ascii="Arial" w:hAnsi="Arial" w:cs="Arial"/>
          <w:sz w:val="24"/>
          <w:szCs w:val="24"/>
        </w:rPr>
        <w:t>imply</w:t>
      </w:r>
      <w:r w:rsidR="00307DE5">
        <w:rPr>
          <w:rFonts w:ascii="Arial" w:hAnsi="Arial" w:cs="Arial"/>
          <w:sz w:val="24"/>
          <w:szCs w:val="24"/>
        </w:rPr>
        <w:t xml:space="preserve"> put</w:t>
      </w:r>
      <w:r w:rsidR="00CA3F4E">
        <w:rPr>
          <w:rFonts w:ascii="Arial" w:hAnsi="Arial" w:cs="Arial"/>
          <w:sz w:val="24"/>
          <w:szCs w:val="24"/>
        </w:rPr>
        <w:t>, the prescribed labour rates, together with the cost of materials</w:t>
      </w:r>
      <w:r w:rsidR="007645F5">
        <w:rPr>
          <w:rFonts w:ascii="Arial" w:hAnsi="Arial" w:cs="Arial"/>
          <w:sz w:val="24"/>
          <w:szCs w:val="24"/>
        </w:rPr>
        <w:t>,</w:t>
      </w:r>
      <w:r w:rsidR="00CA3F4E">
        <w:rPr>
          <w:rFonts w:ascii="Arial" w:hAnsi="Arial" w:cs="Arial"/>
          <w:sz w:val="24"/>
          <w:szCs w:val="24"/>
        </w:rPr>
        <w:t xml:space="preserve"> </w:t>
      </w:r>
      <w:r w:rsidR="004119F9">
        <w:rPr>
          <w:rFonts w:ascii="Arial" w:hAnsi="Arial" w:cs="Arial"/>
          <w:sz w:val="24"/>
          <w:szCs w:val="24"/>
        </w:rPr>
        <w:t>were</w:t>
      </w:r>
      <w:r w:rsidR="00CA3F4E">
        <w:rPr>
          <w:rFonts w:ascii="Arial" w:hAnsi="Arial" w:cs="Arial"/>
          <w:sz w:val="24"/>
          <w:szCs w:val="24"/>
        </w:rPr>
        <w:t xml:space="preserve"> measured against the</w:t>
      </w:r>
      <w:r w:rsidR="007645F5">
        <w:rPr>
          <w:rFonts w:ascii="Arial" w:hAnsi="Arial" w:cs="Arial"/>
          <w:sz w:val="24"/>
          <w:szCs w:val="24"/>
        </w:rPr>
        <w:t xml:space="preserve"> committee’s independent assessment of what is required to maintain a court building over the contract period.</w:t>
      </w:r>
      <w:r w:rsidR="00CA3F4E">
        <w:rPr>
          <w:rFonts w:ascii="Arial" w:hAnsi="Arial" w:cs="Arial"/>
          <w:sz w:val="24"/>
          <w:szCs w:val="24"/>
        </w:rPr>
        <w:t xml:space="preserve">  </w:t>
      </w:r>
      <w:r>
        <w:rPr>
          <w:rFonts w:ascii="Arial" w:hAnsi="Arial" w:cs="Arial"/>
          <w:sz w:val="24"/>
          <w:szCs w:val="24"/>
        </w:rPr>
        <w:t xml:space="preserve"> </w:t>
      </w:r>
      <w:r w:rsidR="007645F5">
        <w:rPr>
          <w:rFonts w:ascii="Arial" w:hAnsi="Arial" w:cs="Arial"/>
          <w:sz w:val="24"/>
          <w:szCs w:val="24"/>
        </w:rPr>
        <w:t>Should a bidder score on, or above, the predetermined breakeven point</w:t>
      </w:r>
      <w:r w:rsidR="00A031F1">
        <w:rPr>
          <w:rFonts w:ascii="Arial" w:hAnsi="Arial" w:cs="Arial"/>
          <w:sz w:val="24"/>
          <w:szCs w:val="24"/>
        </w:rPr>
        <w:t>,</w:t>
      </w:r>
      <w:r w:rsidR="007645F5">
        <w:rPr>
          <w:rFonts w:ascii="Arial" w:hAnsi="Arial" w:cs="Arial"/>
          <w:sz w:val="24"/>
          <w:szCs w:val="24"/>
        </w:rPr>
        <w:t xml:space="preserve"> this </w:t>
      </w:r>
      <w:r w:rsidR="00A031F1">
        <w:rPr>
          <w:rFonts w:ascii="Arial" w:hAnsi="Arial" w:cs="Arial"/>
          <w:sz w:val="24"/>
          <w:szCs w:val="24"/>
        </w:rPr>
        <w:t>indicates</w:t>
      </w:r>
      <w:r w:rsidR="007645F5">
        <w:rPr>
          <w:rFonts w:ascii="Arial" w:hAnsi="Arial" w:cs="Arial"/>
          <w:sz w:val="24"/>
          <w:szCs w:val="24"/>
        </w:rPr>
        <w:t xml:space="preserve"> that the bidder is able to deliver the services required.</w:t>
      </w:r>
    </w:p>
    <w:p w14:paraId="4292AE3A" w14:textId="77777777" w:rsidR="0003582A" w:rsidRPr="0003582A" w:rsidRDefault="0003582A" w:rsidP="00E260F2">
      <w:pPr>
        <w:pStyle w:val="ListParagraph"/>
        <w:spacing w:after="0" w:line="480" w:lineRule="auto"/>
        <w:rPr>
          <w:rFonts w:ascii="Arial" w:hAnsi="Arial" w:cs="Arial"/>
          <w:sz w:val="24"/>
          <w:szCs w:val="24"/>
        </w:rPr>
      </w:pPr>
    </w:p>
    <w:p w14:paraId="79796E8A" w14:textId="68CF13BA" w:rsidR="0003582A" w:rsidRDefault="0003582A" w:rsidP="00E260F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Van der Walt</w:t>
      </w:r>
      <w:r w:rsidR="00C03DD5">
        <w:rPr>
          <w:rFonts w:ascii="Arial" w:hAnsi="Arial" w:cs="Arial"/>
          <w:sz w:val="24"/>
          <w:szCs w:val="24"/>
        </w:rPr>
        <w:t xml:space="preserve"> testified further that the specification was very clear in terms of the products to be utilised in the performance of the services, and</w:t>
      </w:r>
      <w:r>
        <w:rPr>
          <w:rFonts w:ascii="Arial" w:hAnsi="Arial" w:cs="Arial"/>
          <w:sz w:val="24"/>
          <w:szCs w:val="24"/>
        </w:rPr>
        <w:t xml:space="preserve"> confirmed that wh</w:t>
      </w:r>
      <w:r w:rsidR="00C03DD5">
        <w:rPr>
          <w:rFonts w:ascii="Arial" w:hAnsi="Arial" w:cs="Arial"/>
          <w:sz w:val="24"/>
          <w:szCs w:val="24"/>
        </w:rPr>
        <w:t>ere</w:t>
      </w:r>
      <w:r>
        <w:rPr>
          <w:rFonts w:ascii="Arial" w:hAnsi="Arial" w:cs="Arial"/>
          <w:sz w:val="24"/>
          <w:szCs w:val="24"/>
        </w:rPr>
        <w:t xml:space="preserve"> the performance of </w:t>
      </w:r>
      <w:r w:rsidR="00C03DD5">
        <w:rPr>
          <w:rFonts w:ascii="Arial" w:hAnsi="Arial" w:cs="Arial"/>
          <w:sz w:val="24"/>
          <w:szCs w:val="24"/>
        </w:rPr>
        <w:t>s</w:t>
      </w:r>
      <w:r w:rsidR="00D036F8">
        <w:rPr>
          <w:rFonts w:ascii="Arial" w:hAnsi="Arial" w:cs="Arial"/>
          <w:sz w:val="24"/>
          <w:szCs w:val="24"/>
        </w:rPr>
        <w:t>uch services</w:t>
      </w:r>
      <w:r w:rsidR="00C03DD5">
        <w:rPr>
          <w:rFonts w:ascii="Arial" w:hAnsi="Arial" w:cs="Arial"/>
          <w:sz w:val="24"/>
          <w:szCs w:val="24"/>
        </w:rPr>
        <w:t xml:space="preserve"> </w:t>
      </w:r>
      <w:r>
        <w:rPr>
          <w:rFonts w:ascii="Arial" w:hAnsi="Arial" w:cs="Arial"/>
          <w:sz w:val="24"/>
          <w:szCs w:val="24"/>
        </w:rPr>
        <w:t>may compromise the health and safety of visitors to the court building, regulatory warning signs</w:t>
      </w:r>
      <w:r w:rsidR="00B20D3F">
        <w:rPr>
          <w:rFonts w:ascii="Arial" w:hAnsi="Arial" w:cs="Arial"/>
          <w:sz w:val="24"/>
          <w:szCs w:val="24"/>
        </w:rPr>
        <w:t>, as per clause 5 of the site specification document,</w:t>
      </w:r>
      <w:r>
        <w:rPr>
          <w:rFonts w:ascii="Arial" w:hAnsi="Arial" w:cs="Arial"/>
          <w:sz w:val="24"/>
          <w:szCs w:val="24"/>
        </w:rPr>
        <w:t xml:space="preserve"> </w:t>
      </w:r>
      <w:r w:rsidR="00C03DD5">
        <w:rPr>
          <w:rFonts w:ascii="Arial" w:hAnsi="Arial" w:cs="Arial"/>
          <w:sz w:val="24"/>
          <w:szCs w:val="24"/>
        </w:rPr>
        <w:t xml:space="preserve">needed to </w:t>
      </w:r>
      <w:r>
        <w:rPr>
          <w:rFonts w:ascii="Arial" w:hAnsi="Arial" w:cs="Arial"/>
          <w:sz w:val="24"/>
          <w:szCs w:val="24"/>
        </w:rPr>
        <w:t>be utilised.</w:t>
      </w:r>
      <w:r w:rsidR="00C03DD5">
        <w:rPr>
          <w:rFonts w:ascii="Arial" w:hAnsi="Arial" w:cs="Arial"/>
          <w:sz w:val="24"/>
          <w:szCs w:val="24"/>
        </w:rPr>
        <w:t xml:space="preserve">  Accordingly,</w:t>
      </w:r>
      <w:r w:rsidR="00D036F8">
        <w:rPr>
          <w:rFonts w:ascii="Arial" w:hAnsi="Arial" w:cs="Arial"/>
          <w:sz w:val="24"/>
          <w:szCs w:val="24"/>
        </w:rPr>
        <w:t xml:space="preserve"> and by virtue of the contractual provisions referred to,</w:t>
      </w:r>
      <w:r w:rsidR="00C03DD5">
        <w:rPr>
          <w:rFonts w:ascii="Arial" w:hAnsi="Arial" w:cs="Arial"/>
          <w:sz w:val="24"/>
          <w:szCs w:val="24"/>
        </w:rPr>
        <w:t xml:space="preserve"> </w:t>
      </w:r>
      <w:r w:rsidR="00232B0A">
        <w:rPr>
          <w:rFonts w:ascii="Arial" w:hAnsi="Arial" w:cs="Arial"/>
          <w:sz w:val="24"/>
          <w:szCs w:val="24"/>
        </w:rPr>
        <w:t>van der Walt was of the opinion that</w:t>
      </w:r>
      <w:r w:rsidR="00D036F8">
        <w:rPr>
          <w:rFonts w:ascii="Arial" w:hAnsi="Arial" w:cs="Arial"/>
          <w:sz w:val="24"/>
          <w:szCs w:val="24"/>
        </w:rPr>
        <w:t xml:space="preserve"> all reasonable and necessary steps had been taken by the first defendant to avoid such compromise. </w:t>
      </w:r>
    </w:p>
    <w:p w14:paraId="13F3AD56" w14:textId="77777777" w:rsidR="003F7292" w:rsidRPr="003F7292" w:rsidRDefault="003F7292" w:rsidP="00E260F2">
      <w:pPr>
        <w:pStyle w:val="ListParagraph"/>
        <w:spacing w:after="0" w:line="480" w:lineRule="auto"/>
        <w:rPr>
          <w:rFonts w:ascii="Arial" w:hAnsi="Arial" w:cs="Arial"/>
          <w:sz w:val="24"/>
          <w:szCs w:val="24"/>
        </w:rPr>
      </w:pPr>
    </w:p>
    <w:p w14:paraId="328C1ACF" w14:textId="6AC9D952" w:rsidR="002F3CC0" w:rsidRDefault="003F7292" w:rsidP="00E260F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Van der Walt conceded during cross-examination that</w:t>
      </w:r>
      <w:r w:rsidR="008E2BA9">
        <w:rPr>
          <w:rFonts w:ascii="Arial" w:hAnsi="Arial" w:cs="Arial"/>
          <w:sz w:val="24"/>
          <w:szCs w:val="24"/>
        </w:rPr>
        <w:t>,</w:t>
      </w:r>
      <w:r>
        <w:rPr>
          <w:rFonts w:ascii="Arial" w:hAnsi="Arial" w:cs="Arial"/>
          <w:sz w:val="24"/>
          <w:szCs w:val="24"/>
        </w:rPr>
        <w:t xml:space="preserve"> on the morning in question</w:t>
      </w:r>
      <w:r w:rsidR="00490DC3">
        <w:rPr>
          <w:rFonts w:ascii="Arial" w:hAnsi="Arial" w:cs="Arial"/>
          <w:sz w:val="24"/>
          <w:szCs w:val="24"/>
        </w:rPr>
        <w:t>,</w:t>
      </w:r>
      <w:r>
        <w:rPr>
          <w:rFonts w:ascii="Arial" w:hAnsi="Arial" w:cs="Arial"/>
          <w:sz w:val="24"/>
          <w:szCs w:val="24"/>
        </w:rPr>
        <w:t xml:space="preserve"> the floor in the passageway</w:t>
      </w:r>
      <w:r w:rsidR="00BE10FD">
        <w:rPr>
          <w:rFonts w:ascii="Arial" w:hAnsi="Arial" w:cs="Arial"/>
          <w:sz w:val="24"/>
          <w:szCs w:val="24"/>
        </w:rPr>
        <w:t xml:space="preserve"> where the plaintiff slipped and fell</w:t>
      </w:r>
      <w:r>
        <w:rPr>
          <w:rFonts w:ascii="Arial" w:hAnsi="Arial" w:cs="Arial"/>
          <w:sz w:val="24"/>
          <w:szCs w:val="24"/>
        </w:rPr>
        <w:t xml:space="preserve"> was wet</w:t>
      </w:r>
      <w:r w:rsidR="00BE10FD">
        <w:rPr>
          <w:rFonts w:ascii="Arial" w:hAnsi="Arial" w:cs="Arial"/>
          <w:sz w:val="24"/>
          <w:szCs w:val="24"/>
        </w:rPr>
        <w:t>.  He further conceded that no warning signs had been utilised to alert</w:t>
      </w:r>
      <w:r w:rsidR="00490DC3">
        <w:rPr>
          <w:rFonts w:ascii="Arial" w:hAnsi="Arial" w:cs="Arial"/>
          <w:sz w:val="24"/>
          <w:szCs w:val="24"/>
        </w:rPr>
        <w:t xml:space="preserve"> persons </w:t>
      </w:r>
      <w:r w:rsidR="00BE10FD">
        <w:rPr>
          <w:rFonts w:ascii="Arial" w:hAnsi="Arial" w:cs="Arial"/>
          <w:sz w:val="24"/>
          <w:szCs w:val="24"/>
        </w:rPr>
        <w:t xml:space="preserve">walking in the vicinity </w:t>
      </w:r>
      <w:r w:rsidR="00490DC3">
        <w:rPr>
          <w:rFonts w:ascii="Arial" w:hAnsi="Arial" w:cs="Arial"/>
          <w:sz w:val="24"/>
          <w:szCs w:val="24"/>
        </w:rPr>
        <w:t>of</w:t>
      </w:r>
      <w:r w:rsidR="002F3CC0">
        <w:rPr>
          <w:rFonts w:ascii="Arial" w:hAnsi="Arial" w:cs="Arial"/>
          <w:sz w:val="24"/>
          <w:szCs w:val="24"/>
        </w:rPr>
        <w:t xml:space="preserve"> the wet passageway</w:t>
      </w:r>
      <w:r w:rsidR="008E2BA9">
        <w:rPr>
          <w:rFonts w:ascii="Arial" w:hAnsi="Arial" w:cs="Arial"/>
          <w:sz w:val="24"/>
          <w:szCs w:val="24"/>
        </w:rPr>
        <w:t xml:space="preserve">.  </w:t>
      </w:r>
      <w:r w:rsidR="00E252FF">
        <w:rPr>
          <w:rFonts w:ascii="Arial" w:hAnsi="Arial" w:cs="Arial"/>
          <w:sz w:val="24"/>
          <w:szCs w:val="24"/>
        </w:rPr>
        <w:t xml:space="preserve">When cross-examined on </w:t>
      </w:r>
      <w:r w:rsidR="000F4046">
        <w:rPr>
          <w:rFonts w:ascii="Arial" w:hAnsi="Arial" w:cs="Arial"/>
          <w:sz w:val="24"/>
          <w:szCs w:val="24"/>
        </w:rPr>
        <w:t xml:space="preserve">what van der Walt knew about </w:t>
      </w:r>
      <w:r w:rsidR="00E252FF">
        <w:rPr>
          <w:rFonts w:ascii="Arial" w:hAnsi="Arial" w:cs="Arial"/>
          <w:sz w:val="24"/>
          <w:szCs w:val="24"/>
        </w:rPr>
        <w:t xml:space="preserve">the entity, known as Sky Ground, </w:t>
      </w:r>
      <w:r w:rsidR="00501E99">
        <w:rPr>
          <w:rFonts w:ascii="Arial" w:hAnsi="Arial" w:cs="Arial"/>
          <w:sz w:val="24"/>
          <w:szCs w:val="24"/>
        </w:rPr>
        <w:t>v</w:t>
      </w:r>
      <w:r w:rsidR="00BE10FD">
        <w:rPr>
          <w:rFonts w:ascii="Arial" w:hAnsi="Arial" w:cs="Arial"/>
          <w:sz w:val="24"/>
          <w:szCs w:val="24"/>
        </w:rPr>
        <w:t xml:space="preserve">an der Walt was </w:t>
      </w:r>
      <w:r w:rsidR="002F3CC0">
        <w:rPr>
          <w:rFonts w:ascii="Arial" w:hAnsi="Arial" w:cs="Arial"/>
          <w:sz w:val="24"/>
          <w:szCs w:val="24"/>
        </w:rPr>
        <w:t>un</w:t>
      </w:r>
      <w:r w:rsidR="00BE10FD">
        <w:rPr>
          <w:rFonts w:ascii="Arial" w:hAnsi="Arial" w:cs="Arial"/>
          <w:sz w:val="24"/>
          <w:szCs w:val="24"/>
        </w:rPr>
        <w:t>able to</w:t>
      </w:r>
      <w:r w:rsidR="00DA68B1">
        <w:rPr>
          <w:rFonts w:ascii="Arial" w:hAnsi="Arial" w:cs="Arial"/>
          <w:sz w:val="24"/>
          <w:szCs w:val="24"/>
        </w:rPr>
        <w:t xml:space="preserve"> shed</w:t>
      </w:r>
      <w:r w:rsidR="002F3CC0">
        <w:rPr>
          <w:rFonts w:ascii="Arial" w:hAnsi="Arial" w:cs="Arial"/>
          <w:sz w:val="24"/>
          <w:szCs w:val="24"/>
        </w:rPr>
        <w:t xml:space="preserve"> any light on the</w:t>
      </w:r>
      <w:r w:rsidR="00E252FF">
        <w:rPr>
          <w:rFonts w:ascii="Arial" w:hAnsi="Arial" w:cs="Arial"/>
          <w:sz w:val="24"/>
          <w:szCs w:val="24"/>
        </w:rPr>
        <w:t xml:space="preserve"> topic, </w:t>
      </w:r>
      <w:r w:rsidR="00A91E7B">
        <w:rPr>
          <w:rFonts w:ascii="Arial" w:hAnsi="Arial" w:cs="Arial"/>
          <w:sz w:val="24"/>
          <w:szCs w:val="24"/>
        </w:rPr>
        <w:t>other</w:t>
      </w:r>
      <w:r w:rsidR="002F3CC0">
        <w:rPr>
          <w:rFonts w:ascii="Arial" w:hAnsi="Arial" w:cs="Arial"/>
          <w:sz w:val="24"/>
          <w:szCs w:val="24"/>
        </w:rPr>
        <w:t xml:space="preserve"> </w:t>
      </w:r>
      <w:r w:rsidR="00A91E7B">
        <w:rPr>
          <w:rFonts w:ascii="Arial" w:hAnsi="Arial" w:cs="Arial"/>
          <w:sz w:val="24"/>
          <w:szCs w:val="24"/>
        </w:rPr>
        <w:t xml:space="preserve">than to deduce </w:t>
      </w:r>
      <w:r w:rsidR="002F3CC0">
        <w:rPr>
          <w:rFonts w:ascii="Arial" w:hAnsi="Arial" w:cs="Arial"/>
          <w:sz w:val="24"/>
          <w:szCs w:val="24"/>
        </w:rPr>
        <w:t>from the face of the contract document</w:t>
      </w:r>
      <w:r w:rsidR="00E252FF">
        <w:rPr>
          <w:rFonts w:ascii="Arial" w:hAnsi="Arial" w:cs="Arial"/>
          <w:sz w:val="24"/>
          <w:szCs w:val="24"/>
        </w:rPr>
        <w:t>,</w:t>
      </w:r>
      <w:r w:rsidR="002F3CC0">
        <w:rPr>
          <w:rFonts w:ascii="Arial" w:hAnsi="Arial" w:cs="Arial"/>
          <w:sz w:val="24"/>
          <w:szCs w:val="24"/>
        </w:rPr>
        <w:t xml:space="preserve"> </w:t>
      </w:r>
      <w:r w:rsidR="000F4046">
        <w:rPr>
          <w:rFonts w:ascii="Arial" w:hAnsi="Arial" w:cs="Arial"/>
          <w:sz w:val="24"/>
          <w:szCs w:val="24"/>
        </w:rPr>
        <w:t xml:space="preserve">that </w:t>
      </w:r>
      <w:r w:rsidR="002F3CC0">
        <w:rPr>
          <w:rFonts w:ascii="Arial" w:hAnsi="Arial" w:cs="Arial"/>
          <w:sz w:val="24"/>
          <w:szCs w:val="24"/>
        </w:rPr>
        <w:t xml:space="preserve">it was a legal entity as it had a registration number and that its </w:t>
      </w:r>
      <w:r w:rsidR="002F3CC0" w:rsidRPr="002F3CC0">
        <w:rPr>
          <w:rFonts w:ascii="Arial" w:hAnsi="Arial" w:cs="Arial"/>
          <w:i/>
          <w:iCs/>
          <w:sz w:val="24"/>
          <w:szCs w:val="24"/>
        </w:rPr>
        <w:t>domicilium citandi et executandi</w:t>
      </w:r>
      <w:r w:rsidR="002F3CC0">
        <w:rPr>
          <w:rFonts w:ascii="Arial" w:hAnsi="Arial" w:cs="Arial"/>
          <w:sz w:val="24"/>
          <w:szCs w:val="24"/>
        </w:rPr>
        <w:t xml:space="preserve"> was residential in nature.</w:t>
      </w:r>
      <w:r w:rsidR="008E2DC2">
        <w:rPr>
          <w:rFonts w:ascii="Arial" w:hAnsi="Arial" w:cs="Arial"/>
          <w:sz w:val="24"/>
          <w:szCs w:val="24"/>
        </w:rPr>
        <w:t xml:space="preserve">  </w:t>
      </w:r>
    </w:p>
    <w:p w14:paraId="0D7498AC" w14:textId="77777777" w:rsidR="0053018A" w:rsidRPr="0053018A" w:rsidRDefault="0053018A" w:rsidP="00E260F2">
      <w:pPr>
        <w:pStyle w:val="ListParagraph"/>
        <w:spacing w:after="0" w:line="480" w:lineRule="auto"/>
        <w:rPr>
          <w:rFonts w:ascii="Arial" w:hAnsi="Arial" w:cs="Arial"/>
          <w:sz w:val="24"/>
          <w:szCs w:val="24"/>
        </w:rPr>
      </w:pPr>
    </w:p>
    <w:p w14:paraId="2BECB32B" w14:textId="77777777" w:rsidR="00DC5112" w:rsidRDefault="006760E1" w:rsidP="00E260F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When enquired as to whether </w:t>
      </w:r>
      <w:r w:rsidR="00DC5112">
        <w:rPr>
          <w:rFonts w:ascii="Arial" w:hAnsi="Arial" w:cs="Arial"/>
          <w:sz w:val="24"/>
          <w:szCs w:val="24"/>
        </w:rPr>
        <w:t>t</w:t>
      </w:r>
      <w:r>
        <w:rPr>
          <w:rFonts w:ascii="Arial" w:hAnsi="Arial" w:cs="Arial"/>
          <w:sz w:val="24"/>
          <w:szCs w:val="24"/>
        </w:rPr>
        <w:t>he first defendant had placed anyone at the court building to ensure that the cleaning services had been properly and safely rendered, van der Walt was unable to state much more</w:t>
      </w:r>
      <w:r w:rsidR="00DC5112">
        <w:rPr>
          <w:rFonts w:ascii="Arial" w:hAnsi="Arial" w:cs="Arial"/>
          <w:sz w:val="24"/>
          <w:szCs w:val="24"/>
        </w:rPr>
        <w:t xml:space="preserve"> other</w:t>
      </w:r>
      <w:r>
        <w:rPr>
          <w:rFonts w:ascii="Arial" w:hAnsi="Arial" w:cs="Arial"/>
          <w:sz w:val="24"/>
          <w:szCs w:val="24"/>
        </w:rPr>
        <w:t xml:space="preserve"> than the first defendant has a service level agreement</w:t>
      </w:r>
      <w:r w:rsidR="00DC5112">
        <w:rPr>
          <w:rFonts w:ascii="Arial" w:hAnsi="Arial" w:cs="Arial"/>
          <w:sz w:val="24"/>
          <w:szCs w:val="24"/>
        </w:rPr>
        <w:t xml:space="preserve"> in place</w:t>
      </w:r>
      <w:r>
        <w:rPr>
          <w:rFonts w:ascii="Arial" w:hAnsi="Arial" w:cs="Arial"/>
          <w:sz w:val="24"/>
          <w:szCs w:val="24"/>
        </w:rPr>
        <w:t xml:space="preserve"> with the second defendant in terms of which monthly meetings are held to monitor the progress of, and the quality of, the work performed by the </w:t>
      </w:r>
      <w:r w:rsidR="00DC5112">
        <w:rPr>
          <w:rFonts w:ascii="Arial" w:hAnsi="Arial" w:cs="Arial"/>
          <w:sz w:val="24"/>
          <w:szCs w:val="24"/>
        </w:rPr>
        <w:t xml:space="preserve">appointed </w:t>
      </w:r>
      <w:r>
        <w:rPr>
          <w:rFonts w:ascii="Arial" w:hAnsi="Arial" w:cs="Arial"/>
          <w:sz w:val="24"/>
          <w:szCs w:val="24"/>
        </w:rPr>
        <w:t>service providers.</w:t>
      </w:r>
      <w:r w:rsidR="00FC34D0">
        <w:rPr>
          <w:rFonts w:ascii="Arial" w:hAnsi="Arial" w:cs="Arial"/>
          <w:sz w:val="24"/>
          <w:szCs w:val="24"/>
        </w:rPr>
        <w:t xml:space="preserve">  </w:t>
      </w:r>
      <w:r w:rsidR="00DC5112">
        <w:rPr>
          <w:rFonts w:ascii="Arial" w:hAnsi="Arial" w:cs="Arial"/>
          <w:sz w:val="24"/>
          <w:szCs w:val="24"/>
        </w:rPr>
        <w:t>V</w:t>
      </w:r>
      <w:r w:rsidR="00FC34D0">
        <w:rPr>
          <w:rFonts w:ascii="Arial" w:hAnsi="Arial" w:cs="Arial"/>
          <w:sz w:val="24"/>
          <w:szCs w:val="24"/>
        </w:rPr>
        <w:t xml:space="preserve">an der Walt conceded that the first defendant had no personnel on the </w:t>
      </w:r>
      <w:r w:rsidR="00FC34D0">
        <w:rPr>
          <w:rFonts w:ascii="Arial" w:hAnsi="Arial" w:cs="Arial"/>
          <w:sz w:val="24"/>
          <w:szCs w:val="24"/>
        </w:rPr>
        <w:lastRenderedPageBreak/>
        <w:t>ground</w:t>
      </w:r>
      <w:r w:rsidR="00DC5112">
        <w:rPr>
          <w:rFonts w:ascii="Arial" w:hAnsi="Arial" w:cs="Arial"/>
          <w:sz w:val="24"/>
          <w:szCs w:val="24"/>
        </w:rPr>
        <w:t xml:space="preserve"> at the court building</w:t>
      </w:r>
      <w:r w:rsidR="00FC34D0">
        <w:rPr>
          <w:rFonts w:ascii="Arial" w:hAnsi="Arial" w:cs="Arial"/>
          <w:sz w:val="24"/>
          <w:szCs w:val="24"/>
        </w:rPr>
        <w:t xml:space="preserve"> and that incidents such as the incident in question would “</w:t>
      </w:r>
      <w:r w:rsidR="00FC34D0" w:rsidRPr="00FC34D0">
        <w:rPr>
          <w:rFonts w:ascii="Arial" w:hAnsi="Arial" w:cs="Arial"/>
          <w:i/>
          <w:iCs/>
          <w:sz w:val="24"/>
          <w:szCs w:val="24"/>
        </w:rPr>
        <w:t>probably be brought to our attention at these monthly meetings</w:t>
      </w:r>
      <w:r w:rsidR="00FC34D0">
        <w:rPr>
          <w:rFonts w:ascii="Arial" w:hAnsi="Arial" w:cs="Arial"/>
          <w:sz w:val="24"/>
          <w:szCs w:val="24"/>
        </w:rPr>
        <w:t>.”</w:t>
      </w:r>
      <w:r w:rsidR="00DC5112">
        <w:rPr>
          <w:rFonts w:ascii="Arial" w:hAnsi="Arial" w:cs="Arial"/>
          <w:sz w:val="24"/>
          <w:szCs w:val="24"/>
        </w:rPr>
        <w:t xml:space="preserve">  When pressed further by Mr Niekerk, on behalf of the plaintiff, the following exchange ensued:</w:t>
      </w:r>
    </w:p>
    <w:p w14:paraId="023803ED" w14:textId="77777777" w:rsidR="002B055D" w:rsidRDefault="002B055D" w:rsidP="00F6742D">
      <w:pPr>
        <w:pStyle w:val="ListParagraph"/>
        <w:spacing w:after="0" w:line="360" w:lineRule="auto"/>
        <w:ind w:left="851"/>
        <w:jc w:val="both"/>
        <w:rPr>
          <w:rFonts w:ascii="Arial" w:hAnsi="Arial" w:cs="Arial"/>
          <w:sz w:val="20"/>
          <w:szCs w:val="20"/>
        </w:rPr>
      </w:pPr>
    </w:p>
    <w:p w14:paraId="44C9D170" w14:textId="5E8728E0" w:rsidR="0053018A" w:rsidRPr="00F6742D" w:rsidRDefault="00DC5112" w:rsidP="00F6742D">
      <w:pPr>
        <w:pStyle w:val="ListParagraph"/>
        <w:spacing w:after="0" w:line="360" w:lineRule="auto"/>
        <w:ind w:left="851"/>
        <w:jc w:val="both"/>
        <w:rPr>
          <w:rFonts w:ascii="Arial" w:hAnsi="Arial" w:cs="Arial"/>
          <w:i/>
          <w:iCs/>
          <w:sz w:val="20"/>
          <w:szCs w:val="20"/>
        </w:rPr>
      </w:pPr>
      <w:r w:rsidRPr="00F6742D">
        <w:rPr>
          <w:rFonts w:ascii="Arial" w:hAnsi="Arial" w:cs="Arial"/>
          <w:sz w:val="20"/>
          <w:szCs w:val="20"/>
        </w:rPr>
        <w:t>“</w:t>
      </w:r>
      <w:r w:rsidRPr="00F6742D">
        <w:rPr>
          <w:rFonts w:ascii="Arial" w:hAnsi="Arial" w:cs="Arial"/>
          <w:i/>
          <w:iCs/>
          <w:sz w:val="20"/>
          <w:szCs w:val="20"/>
          <w:u w:val="single"/>
        </w:rPr>
        <w:t>MR NIEKERK</w:t>
      </w:r>
      <w:r w:rsidRPr="00F6742D">
        <w:rPr>
          <w:rFonts w:ascii="Arial" w:hAnsi="Arial" w:cs="Arial"/>
          <w:i/>
          <w:iCs/>
          <w:sz w:val="20"/>
          <w:szCs w:val="20"/>
        </w:rPr>
        <w:t>:  … Department of Public Works, took no steps to place anybody at the premises to ensure that the cleaning services were properly and safely carried out.  Do you agree with me on that?  The</w:t>
      </w:r>
      <w:r w:rsidR="00484723" w:rsidRPr="00F6742D">
        <w:rPr>
          <w:rFonts w:ascii="Arial" w:hAnsi="Arial" w:cs="Arial"/>
          <w:i/>
          <w:iCs/>
          <w:sz w:val="20"/>
          <w:szCs w:val="20"/>
        </w:rPr>
        <w:t>y were – the answer to that question would be yes?</w:t>
      </w:r>
      <w:r w:rsidRPr="00F6742D">
        <w:rPr>
          <w:rFonts w:ascii="Arial" w:hAnsi="Arial" w:cs="Arial"/>
          <w:i/>
          <w:iCs/>
          <w:sz w:val="20"/>
          <w:szCs w:val="20"/>
        </w:rPr>
        <w:t xml:space="preserve">  </w:t>
      </w:r>
      <w:r w:rsidR="00FC34D0" w:rsidRPr="00F6742D">
        <w:rPr>
          <w:rFonts w:ascii="Arial" w:hAnsi="Arial" w:cs="Arial"/>
          <w:i/>
          <w:iCs/>
          <w:sz w:val="20"/>
          <w:szCs w:val="20"/>
        </w:rPr>
        <w:t xml:space="preserve"> </w:t>
      </w:r>
    </w:p>
    <w:p w14:paraId="564D96BE" w14:textId="77777777" w:rsidR="00F6742D" w:rsidRPr="00F6742D" w:rsidRDefault="00F6742D" w:rsidP="00F6742D">
      <w:pPr>
        <w:pStyle w:val="ListParagraph"/>
        <w:spacing w:after="0" w:line="360" w:lineRule="auto"/>
        <w:rPr>
          <w:rFonts w:ascii="Arial" w:hAnsi="Arial" w:cs="Arial"/>
          <w:i/>
          <w:iCs/>
          <w:sz w:val="20"/>
          <w:szCs w:val="20"/>
        </w:rPr>
      </w:pPr>
    </w:p>
    <w:p w14:paraId="43ED4965" w14:textId="32BE990E" w:rsidR="002F3CC0" w:rsidRPr="00F6742D" w:rsidRDefault="00F6742D" w:rsidP="00F6742D">
      <w:pPr>
        <w:pStyle w:val="ListParagraph"/>
        <w:spacing w:after="0" w:line="360" w:lineRule="auto"/>
        <w:ind w:left="851"/>
        <w:rPr>
          <w:rFonts w:ascii="Arial" w:hAnsi="Arial" w:cs="Arial"/>
          <w:sz w:val="20"/>
          <w:szCs w:val="20"/>
        </w:rPr>
      </w:pPr>
      <w:r w:rsidRPr="00F6742D">
        <w:rPr>
          <w:rFonts w:ascii="Arial" w:hAnsi="Arial" w:cs="Arial"/>
          <w:i/>
          <w:iCs/>
          <w:sz w:val="20"/>
          <w:szCs w:val="20"/>
          <w:u w:val="single"/>
        </w:rPr>
        <w:t>VAN DER WALT</w:t>
      </w:r>
      <w:r w:rsidRPr="00F6742D">
        <w:rPr>
          <w:rFonts w:ascii="Arial" w:hAnsi="Arial" w:cs="Arial"/>
          <w:i/>
          <w:iCs/>
          <w:sz w:val="20"/>
          <w:szCs w:val="20"/>
        </w:rPr>
        <w:t>:  The answer to that question is yes, but there is an underlying agreement that regulates our engagement with the Department of Justice.</w:t>
      </w:r>
      <w:r>
        <w:rPr>
          <w:rFonts w:ascii="Arial" w:hAnsi="Arial" w:cs="Arial"/>
          <w:sz w:val="20"/>
          <w:szCs w:val="20"/>
        </w:rPr>
        <w:t>”</w:t>
      </w:r>
    </w:p>
    <w:p w14:paraId="4A4956A3" w14:textId="23A06B77" w:rsidR="00670D47" w:rsidRDefault="00670D47" w:rsidP="00670D47">
      <w:pPr>
        <w:pStyle w:val="ListParagraph"/>
        <w:spacing w:after="0" w:line="480" w:lineRule="auto"/>
        <w:ind w:left="851"/>
        <w:jc w:val="both"/>
        <w:rPr>
          <w:rFonts w:ascii="Arial" w:hAnsi="Arial" w:cs="Arial"/>
          <w:sz w:val="24"/>
          <w:szCs w:val="24"/>
        </w:rPr>
      </w:pPr>
    </w:p>
    <w:p w14:paraId="7E7FF51A" w14:textId="52386D73" w:rsidR="00BA119A" w:rsidRDefault="00880976" w:rsidP="00E260F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Van der Walt</w:t>
      </w:r>
      <w:r w:rsidR="00BA119A">
        <w:rPr>
          <w:rFonts w:ascii="Arial" w:hAnsi="Arial" w:cs="Arial"/>
          <w:sz w:val="24"/>
          <w:szCs w:val="24"/>
        </w:rPr>
        <w:t xml:space="preserve">’s contention that </w:t>
      </w:r>
      <w:r>
        <w:rPr>
          <w:rFonts w:ascii="Arial" w:hAnsi="Arial" w:cs="Arial"/>
          <w:sz w:val="24"/>
          <w:szCs w:val="24"/>
        </w:rPr>
        <w:t xml:space="preserve">a non-slip finish ought to have been applied to passageway floors, </w:t>
      </w:r>
      <w:r w:rsidR="00BA119A">
        <w:rPr>
          <w:rFonts w:ascii="Arial" w:hAnsi="Arial" w:cs="Arial"/>
          <w:sz w:val="24"/>
          <w:szCs w:val="24"/>
        </w:rPr>
        <w:t>was equally as non-committal regarding whether or not this had been done and whether or not the first defendant</w:t>
      </w:r>
      <w:r w:rsidR="00C056AE">
        <w:rPr>
          <w:rFonts w:ascii="Arial" w:hAnsi="Arial" w:cs="Arial"/>
          <w:sz w:val="24"/>
          <w:szCs w:val="24"/>
        </w:rPr>
        <w:t xml:space="preserve">’s </w:t>
      </w:r>
      <w:r w:rsidR="00BA119A">
        <w:rPr>
          <w:rFonts w:ascii="Arial" w:hAnsi="Arial" w:cs="Arial"/>
          <w:sz w:val="24"/>
          <w:szCs w:val="24"/>
        </w:rPr>
        <w:t>personnel ensure</w:t>
      </w:r>
      <w:r w:rsidR="00C056AE">
        <w:rPr>
          <w:rFonts w:ascii="Arial" w:hAnsi="Arial" w:cs="Arial"/>
          <w:sz w:val="24"/>
          <w:szCs w:val="24"/>
        </w:rPr>
        <w:t>d</w:t>
      </w:r>
      <w:r w:rsidR="00BA119A">
        <w:rPr>
          <w:rFonts w:ascii="Arial" w:hAnsi="Arial" w:cs="Arial"/>
          <w:sz w:val="24"/>
          <w:szCs w:val="24"/>
        </w:rPr>
        <w:t xml:space="preserve"> compliance with the contract between the first defendant and Sky Ground</w:t>
      </w:r>
      <w:r w:rsidR="00367B9A">
        <w:rPr>
          <w:rFonts w:ascii="Arial" w:hAnsi="Arial" w:cs="Arial"/>
          <w:sz w:val="24"/>
          <w:szCs w:val="24"/>
        </w:rPr>
        <w:t>.  Van de Walt</w:t>
      </w:r>
      <w:r w:rsidR="007B2079">
        <w:rPr>
          <w:rFonts w:ascii="Arial" w:hAnsi="Arial" w:cs="Arial"/>
          <w:sz w:val="24"/>
          <w:szCs w:val="24"/>
        </w:rPr>
        <w:t>, by way of oversight and monitoring</w:t>
      </w:r>
      <w:r w:rsidR="00C056AE">
        <w:rPr>
          <w:rFonts w:ascii="Arial" w:hAnsi="Arial" w:cs="Arial"/>
          <w:sz w:val="24"/>
          <w:szCs w:val="24"/>
        </w:rPr>
        <w:t xml:space="preserve"> functions</w:t>
      </w:r>
      <w:r w:rsidR="007B2079">
        <w:rPr>
          <w:rFonts w:ascii="Arial" w:hAnsi="Arial" w:cs="Arial"/>
          <w:sz w:val="24"/>
          <w:szCs w:val="24"/>
        </w:rPr>
        <w:t>,</w:t>
      </w:r>
      <w:r w:rsidR="00BA119A">
        <w:rPr>
          <w:rFonts w:ascii="Arial" w:hAnsi="Arial" w:cs="Arial"/>
          <w:sz w:val="24"/>
          <w:szCs w:val="24"/>
        </w:rPr>
        <w:t xml:space="preserve"> once again plac</w:t>
      </w:r>
      <w:r w:rsidR="00367B9A">
        <w:rPr>
          <w:rFonts w:ascii="Arial" w:hAnsi="Arial" w:cs="Arial"/>
          <w:sz w:val="24"/>
          <w:szCs w:val="24"/>
        </w:rPr>
        <w:t>ed</w:t>
      </w:r>
      <w:r w:rsidR="00BA119A">
        <w:rPr>
          <w:rFonts w:ascii="Arial" w:hAnsi="Arial" w:cs="Arial"/>
          <w:sz w:val="24"/>
          <w:szCs w:val="24"/>
        </w:rPr>
        <w:t xml:space="preserve"> reliance on the</w:t>
      </w:r>
      <w:r w:rsidR="007B2079">
        <w:rPr>
          <w:rFonts w:ascii="Arial" w:hAnsi="Arial" w:cs="Arial"/>
          <w:sz w:val="24"/>
          <w:szCs w:val="24"/>
        </w:rPr>
        <w:t xml:space="preserve"> </w:t>
      </w:r>
      <w:r w:rsidR="00C056AE">
        <w:rPr>
          <w:rFonts w:ascii="Arial" w:hAnsi="Arial" w:cs="Arial"/>
          <w:sz w:val="24"/>
          <w:szCs w:val="24"/>
        </w:rPr>
        <w:t>stated</w:t>
      </w:r>
      <w:r w:rsidR="00BA119A">
        <w:rPr>
          <w:rFonts w:ascii="Arial" w:hAnsi="Arial" w:cs="Arial"/>
          <w:sz w:val="24"/>
          <w:szCs w:val="24"/>
        </w:rPr>
        <w:t xml:space="preserve"> monthly meetings</w:t>
      </w:r>
      <w:r w:rsidR="007B2079">
        <w:rPr>
          <w:rFonts w:ascii="Arial" w:hAnsi="Arial" w:cs="Arial"/>
          <w:sz w:val="24"/>
          <w:szCs w:val="24"/>
        </w:rPr>
        <w:t>,</w:t>
      </w:r>
      <w:r w:rsidR="00BA119A">
        <w:rPr>
          <w:rFonts w:ascii="Arial" w:hAnsi="Arial" w:cs="Arial"/>
          <w:sz w:val="24"/>
          <w:szCs w:val="24"/>
        </w:rPr>
        <w:t xml:space="preserve"> and what he </w:t>
      </w:r>
      <w:r w:rsidR="00C056AE">
        <w:rPr>
          <w:rFonts w:ascii="Arial" w:hAnsi="Arial" w:cs="Arial"/>
          <w:sz w:val="24"/>
          <w:szCs w:val="24"/>
        </w:rPr>
        <w:t>referred to as</w:t>
      </w:r>
      <w:r w:rsidR="00BA119A">
        <w:rPr>
          <w:rFonts w:ascii="Arial" w:hAnsi="Arial" w:cs="Arial"/>
          <w:sz w:val="24"/>
          <w:szCs w:val="24"/>
        </w:rPr>
        <w:t xml:space="preserve"> “</w:t>
      </w:r>
      <w:r w:rsidR="00BA119A" w:rsidRPr="00BA119A">
        <w:rPr>
          <w:rFonts w:ascii="Arial" w:hAnsi="Arial" w:cs="Arial"/>
          <w:i/>
          <w:iCs/>
          <w:sz w:val="24"/>
          <w:szCs w:val="24"/>
        </w:rPr>
        <w:t>regular inspections linked to those meetings</w:t>
      </w:r>
      <w:r w:rsidR="00BA119A">
        <w:rPr>
          <w:rFonts w:ascii="Arial" w:hAnsi="Arial" w:cs="Arial"/>
          <w:sz w:val="24"/>
          <w:szCs w:val="24"/>
        </w:rPr>
        <w:t>”</w:t>
      </w:r>
      <w:r w:rsidR="007B2079">
        <w:rPr>
          <w:rFonts w:ascii="Arial" w:hAnsi="Arial" w:cs="Arial"/>
          <w:sz w:val="24"/>
          <w:szCs w:val="24"/>
        </w:rPr>
        <w:t>, which inspections</w:t>
      </w:r>
      <w:r w:rsidR="007A08E1">
        <w:rPr>
          <w:rFonts w:ascii="Arial" w:hAnsi="Arial" w:cs="Arial"/>
          <w:sz w:val="24"/>
          <w:szCs w:val="24"/>
        </w:rPr>
        <w:t xml:space="preserve">, he said, take place </w:t>
      </w:r>
      <w:r w:rsidR="007B2079">
        <w:rPr>
          <w:rFonts w:ascii="Arial" w:hAnsi="Arial" w:cs="Arial"/>
          <w:sz w:val="24"/>
          <w:szCs w:val="24"/>
        </w:rPr>
        <w:t>at least once a month</w:t>
      </w:r>
      <w:r w:rsidR="00BA119A">
        <w:rPr>
          <w:rFonts w:ascii="Arial" w:hAnsi="Arial" w:cs="Arial"/>
          <w:sz w:val="24"/>
          <w:szCs w:val="24"/>
        </w:rPr>
        <w:t>.</w:t>
      </w:r>
      <w:r w:rsidR="00C466D2">
        <w:rPr>
          <w:rFonts w:ascii="Arial" w:hAnsi="Arial" w:cs="Arial"/>
          <w:sz w:val="24"/>
          <w:szCs w:val="24"/>
        </w:rPr>
        <w:t xml:space="preserve">  As to whether such meetings took place, van der Walt </w:t>
      </w:r>
      <w:r w:rsidR="00A33288">
        <w:rPr>
          <w:rFonts w:ascii="Arial" w:hAnsi="Arial" w:cs="Arial"/>
          <w:sz w:val="24"/>
          <w:szCs w:val="24"/>
        </w:rPr>
        <w:t xml:space="preserve">firstly </w:t>
      </w:r>
      <w:r w:rsidR="00C466D2">
        <w:rPr>
          <w:rFonts w:ascii="Arial" w:hAnsi="Arial" w:cs="Arial"/>
          <w:sz w:val="24"/>
          <w:szCs w:val="24"/>
        </w:rPr>
        <w:t xml:space="preserve">testified that he would </w:t>
      </w:r>
      <w:r w:rsidR="00C466D2" w:rsidRPr="007573D8">
        <w:rPr>
          <w:rFonts w:ascii="Arial" w:hAnsi="Arial" w:cs="Arial"/>
          <w:i/>
          <w:iCs/>
          <w:sz w:val="24"/>
          <w:szCs w:val="24"/>
        </w:rPr>
        <w:t>assume</w:t>
      </w:r>
      <w:r w:rsidR="00C466D2">
        <w:rPr>
          <w:rFonts w:ascii="Arial" w:hAnsi="Arial" w:cs="Arial"/>
          <w:sz w:val="24"/>
          <w:szCs w:val="24"/>
        </w:rPr>
        <w:t xml:space="preserve"> so as it was required in terms of the specification document</w:t>
      </w:r>
      <w:r w:rsidR="00A33288">
        <w:rPr>
          <w:rFonts w:ascii="Arial" w:hAnsi="Arial" w:cs="Arial"/>
          <w:sz w:val="24"/>
          <w:szCs w:val="24"/>
        </w:rPr>
        <w:t xml:space="preserve">, and </w:t>
      </w:r>
      <w:r w:rsidR="00282AFE">
        <w:rPr>
          <w:rFonts w:ascii="Arial" w:hAnsi="Arial" w:cs="Arial"/>
          <w:sz w:val="24"/>
          <w:szCs w:val="24"/>
        </w:rPr>
        <w:t xml:space="preserve">thereafter </w:t>
      </w:r>
      <w:r w:rsidR="00A37D7D">
        <w:rPr>
          <w:rFonts w:ascii="Arial" w:hAnsi="Arial" w:cs="Arial"/>
          <w:sz w:val="24"/>
          <w:szCs w:val="24"/>
        </w:rPr>
        <w:t xml:space="preserve">he </w:t>
      </w:r>
      <w:r w:rsidR="00A33288">
        <w:rPr>
          <w:rFonts w:ascii="Arial" w:hAnsi="Arial" w:cs="Arial"/>
          <w:sz w:val="24"/>
          <w:szCs w:val="24"/>
        </w:rPr>
        <w:t>later conceded that whilst inspections had been held, he was unable to state whether this was done on a monthly basis</w:t>
      </w:r>
      <w:r w:rsidR="00C466D2">
        <w:rPr>
          <w:rFonts w:ascii="Arial" w:hAnsi="Arial" w:cs="Arial"/>
          <w:sz w:val="24"/>
          <w:szCs w:val="24"/>
        </w:rPr>
        <w:t>.</w:t>
      </w:r>
      <w:r w:rsidR="007B2079">
        <w:rPr>
          <w:rFonts w:ascii="Arial" w:hAnsi="Arial" w:cs="Arial"/>
          <w:sz w:val="24"/>
          <w:szCs w:val="24"/>
        </w:rPr>
        <w:t xml:space="preserve">  </w:t>
      </w:r>
    </w:p>
    <w:p w14:paraId="06B66A9B" w14:textId="77777777" w:rsidR="00BA119A" w:rsidRDefault="00BA119A" w:rsidP="00E260F2">
      <w:pPr>
        <w:pStyle w:val="ListParagraph"/>
        <w:spacing w:after="0" w:line="480" w:lineRule="auto"/>
        <w:ind w:left="851"/>
        <w:jc w:val="both"/>
        <w:rPr>
          <w:rFonts w:ascii="Arial" w:hAnsi="Arial" w:cs="Arial"/>
          <w:sz w:val="24"/>
          <w:szCs w:val="24"/>
        </w:rPr>
      </w:pPr>
    </w:p>
    <w:p w14:paraId="3933B4B6" w14:textId="7354941C" w:rsidR="00E260F2" w:rsidRDefault="00282AFE" w:rsidP="00E260F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Van der Walt further conceded that Sky Ground, by leaving the wet floor unattended to</w:t>
      </w:r>
      <w:r w:rsidR="00E260F2">
        <w:rPr>
          <w:rFonts w:ascii="Arial" w:hAnsi="Arial" w:cs="Arial"/>
          <w:sz w:val="24"/>
          <w:szCs w:val="24"/>
        </w:rPr>
        <w:t>,</w:t>
      </w:r>
      <w:r>
        <w:rPr>
          <w:rFonts w:ascii="Arial" w:hAnsi="Arial" w:cs="Arial"/>
          <w:sz w:val="24"/>
          <w:szCs w:val="24"/>
        </w:rPr>
        <w:t xml:space="preserve"> </w:t>
      </w:r>
      <w:r w:rsidR="00E260F2">
        <w:rPr>
          <w:rFonts w:ascii="Arial" w:hAnsi="Arial" w:cs="Arial"/>
          <w:sz w:val="24"/>
          <w:szCs w:val="24"/>
        </w:rPr>
        <w:t>and by not putting out the required warning signs, had breached the agreement between the first defendant and Sky Ground.</w:t>
      </w:r>
    </w:p>
    <w:p w14:paraId="44AF4B97" w14:textId="784E1E23" w:rsidR="003F7292" w:rsidRPr="00282AFE" w:rsidRDefault="0053018A" w:rsidP="0093139E">
      <w:pPr>
        <w:pStyle w:val="ListParagraph"/>
        <w:numPr>
          <w:ilvl w:val="0"/>
          <w:numId w:val="1"/>
        </w:numPr>
        <w:spacing w:after="0" w:line="480" w:lineRule="auto"/>
        <w:ind w:left="851" w:hanging="851"/>
        <w:jc w:val="both"/>
        <w:rPr>
          <w:rFonts w:ascii="Arial" w:hAnsi="Arial" w:cs="Arial"/>
          <w:sz w:val="24"/>
          <w:szCs w:val="24"/>
        </w:rPr>
      </w:pPr>
      <w:r w:rsidRPr="00282AFE">
        <w:rPr>
          <w:rFonts w:ascii="Arial" w:hAnsi="Arial" w:cs="Arial"/>
          <w:sz w:val="24"/>
          <w:szCs w:val="24"/>
        </w:rPr>
        <w:lastRenderedPageBreak/>
        <w:t>It is common cause that the second defendant is the occupier of the court building and that it had an obligation to occupy the court building responsibly.</w:t>
      </w:r>
    </w:p>
    <w:p w14:paraId="6E47F127" w14:textId="77777777" w:rsidR="00583D77" w:rsidRPr="00583D77" w:rsidRDefault="00583D77" w:rsidP="0093139E">
      <w:pPr>
        <w:pStyle w:val="ListParagraph"/>
        <w:spacing w:after="0" w:line="480" w:lineRule="auto"/>
        <w:rPr>
          <w:rFonts w:ascii="Arial" w:hAnsi="Arial" w:cs="Arial"/>
          <w:sz w:val="24"/>
          <w:szCs w:val="24"/>
        </w:rPr>
      </w:pPr>
    </w:p>
    <w:p w14:paraId="0873461A" w14:textId="05AEB02E" w:rsidR="00860FD6" w:rsidRDefault="00E260F2" w:rsidP="0093139E">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Given the </w:t>
      </w:r>
      <w:r w:rsidR="00276C4B">
        <w:rPr>
          <w:rFonts w:ascii="Arial" w:hAnsi="Arial" w:cs="Arial"/>
          <w:sz w:val="24"/>
          <w:szCs w:val="24"/>
        </w:rPr>
        <w:t xml:space="preserve">body of the evidence led, in the context of the </w:t>
      </w:r>
      <w:r>
        <w:rPr>
          <w:rFonts w:ascii="Arial" w:hAnsi="Arial" w:cs="Arial"/>
          <w:sz w:val="24"/>
          <w:szCs w:val="24"/>
        </w:rPr>
        <w:t>central issues which fall to be determined</w:t>
      </w:r>
      <w:r w:rsidR="00276C4B">
        <w:rPr>
          <w:rFonts w:ascii="Arial" w:hAnsi="Arial" w:cs="Arial"/>
          <w:sz w:val="24"/>
          <w:szCs w:val="24"/>
        </w:rPr>
        <w:t xml:space="preserve"> by me</w:t>
      </w:r>
      <w:r>
        <w:rPr>
          <w:rFonts w:ascii="Arial" w:hAnsi="Arial" w:cs="Arial"/>
          <w:sz w:val="24"/>
          <w:szCs w:val="24"/>
        </w:rPr>
        <w:t xml:space="preserve">, </w:t>
      </w:r>
      <w:r w:rsidR="005C3E85">
        <w:rPr>
          <w:rFonts w:ascii="Arial" w:hAnsi="Arial" w:cs="Arial"/>
          <w:sz w:val="24"/>
          <w:szCs w:val="24"/>
        </w:rPr>
        <w:t xml:space="preserve">it is not necessary to make credibility findings on behalf of the defendants’ witnesses.  </w:t>
      </w:r>
      <w:r w:rsidR="00514B60">
        <w:rPr>
          <w:rFonts w:ascii="Arial" w:hAnsi="Arial" w:cs="Arial"/>
          <w:sz w:val="24"/>
          <w:szCs w:val="24"/>
        </w:rPr>
        <w:t>Insofar as the plaintiff’s evidence is concerned, and as previously set ou</w:t>
      </w:r>
      <w:r w:rsidR="00D453F8">
        <w:rPr>
          <w:rFonts w:ascii="Arial" w:hAnsi="Arial" w:cs="Arial"/>
          <w:sz w:val="24"/>
          <w:szCs w:val="24"/>
        </w:rPr>
        <w:t>t</w:t>
      </w:r>
      <w:r w:rsidR="00514B60">
        <w:rPr>
          <w:rFonts w:ascii="Arial" w:hAnsi="Arial" w:cs="Arial"/>
          <w:sz w:val="24"/>
          <w:szCs w:val="24"/>
        </w:rPr>
        <w:t>, same was unchallenged by the defendants and there exists no basis to reject his version of the events</w:t>
      </w:r>
      <w:r w:rsidR="00D453F8">
        <w:rPr>
          <w:rFonts w:ascii="Arial" w:hAnsi="Arial" w:cs="Arial"/>
          <w:sz w:val="24"/>
          <w:szCs w:val="24"/>
        </w:rPr>
        <w:t>,</w:t>
      </w:r>
      <w:r w:rsidR="00514B60">
        <w:rPr>
          <w:rFonts w:ascii="Arial" w:hAnsi="Arial" w:cs="Arial"/>
          <w:sz w:val="24"/>
          <w:szCs w:val="24"/>
        </w:rPr>
        <w:t xml:space="preserve"> which transpired on the morning of 16 November 2018</w:t>
      </w:r>
      <w:r w:rsidR="000840B1">
        <w:rPr>
          <w:rFonts w:ascii="Arial" w:hAnsi="Arial" w:cs="Arial"/>
          <w:sz w:val="24"/>
          <w:szCs w:val="24"/>
        </w:rPr>
        <w:t>, and which I accept</w:t>
      </w:r>
      <w:r w:rsidR="00514B60">
        <w:rPr>
          <w:rFonts w:ascii="Arial" w:hAnsi="Arial" w:cs="Arial"/>
          <w:sz w:val="24"/>
          <w:szCs w:val="24"/>
        </w:rPr>
        <w:t xml:space="preserve">.  </w:t>
      </w:r>
    </w:p>
    <w:p w14:paraId="4955002D" w14:textId="77777777" w:rsidR="00860FD6" w:rsidRPr="00860FD6" w:rsidRDefault="00860FD6" w:rsidP="0093139E">
      <w:pPr>
        <w:pStyle w:val="ListParagraph"/>
        <w:spacing w:after="0" w:line="480" w:lineRule="auto"/>
        <w:rPr>
          <w:rFonts w:ascii="Arial" w:hAnsi="Arial" w:cs="Arial"/>
          <w:sz w:val="24"/>
          <w:szCs w:val="24"/>
        </w:rPr>
      </w:pPr>
    </w:p>
    <w:p w14:paraId="54332808" w14:textId="56AA7111" w:rsidR="0093139E" w:rsidRDefault="0093139E" w:rsidP="0093139E">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 now turn the relevant legal principles at hand.</w:t>
      </w:r>
    </w:p>
    <w:p w14:paraId="106289CE" w14:textId="77777777" w:rsidR="007D3DD1" w:rsidRPr="007D3DD1" w:rsidRDefault="007D3DD1" w:rsidP="007D3DD1">
      <w:pPr>
        <w:pStyle w:val="ListParagraph"/>
        <w:spacing w:after="0" w:line="480" w:lineRule="auto"/>
        <w:ind w:left="851"/>
        <w:jc w:val="both"/>
        <w:rPr>
          <w:rFonts w:ascii="Arial" w:hAnsi="Arial" w:cs="Arial"/>
          <w:sz w:val="24"/>
          <w:szCs w:val="24"/>
        </w:rPr>
      </w:pPr>
    </w:p>
    <w:p w14:paraId="1D40D85C" w14:textId="49244B1E" w:rsidR="0093139E" w:rsidRPr="0093139E" w:rsidRDefault="0093139E" w:rsidP="0093139E">
      <w:pPr>
        <w:pStyle w:val="ListParagraph"/>
        <w:numPr>
          <w:ilvl w:val="0"/>
          <w:numId w:val="1"/>
        </w:numPr>
        <w:spacing w:after="0" w:line="480" w:lineRule="auto"/>
        <w:ind w:left="851" w:hanging="851"/>
        <w:jc w:val="both"/>
        <w:rPr>
          <w:rFonts w:ascii="Arial" w:hAnsi="Arial" w:cs="Arial"/>
          <w:sz w:val="24"/>
          <w:szCs w:val="24"/>
        </w:rPr>
      </w:pPr>
      <w:r w:rsidRPr="0093139E">
        <w:rPr>
          <w:rFonts w:ascii="Arial" w:hAnsi="Arial" w:cs="Arial"/>
          <w:sz w:val="24"/>
          <w:szCs w:val="24"/>
          <w:lang w:val="en-US"/>
        </w:rPr>
        <w:t>The general rule in our law is that a principal is not liable for the wrongs committed by an independent contractor or its employees.</w:t>
      </w:r>
      <w:r w:rsidRPr="0093139E">
        <w:rPr>
          <w:rStyle w:val="FootnoteReference"/>
          <w:rFonts w:ascii="Arial" w:hAnsi="Arial" w:cs="Arial"/>
          <w:sz w:val="24"/>
          <w:szCs w:val="24"/>
          <w:lang w:val="en-US"/>
        </w:rPr>
        <w:footnoteReference w:id="6"/>
      </w:r>
      <w:r w:rsidRPr="0093139E">
        <w:rPr>
          <w:rFonts w:ascii="Arial" w:hAnsi="Arial" w:cs="Arial"/>
          <w:sz w:val="24"/>
          <w:szCs w:val="24"/>
          <w:lang w:val="en-US"/>
        </w:rPr>
        <w:t xml:space="preserve"> The recogni</w:t>
      </w:r>
      <w:r>
        <w:rPr>
          <w:rFonts w:ascii="Arial" w:hAnsi="Arial" w:cs="Arial"/>
          <w:sz w:val="24"/>
          <w:szCs w:val="24"/>
          <w:lang w:val="en-US"/>
        </w:rPr>
        <w:t>s</w:t>
      </w:r>
      <w:r w:rsidRPr="0093139E">
        <w:rPr>
          <w:rFonts w:ascii="Arial" w:hAnsi="Arial" w:cs="Arial"/>
          <w:sz w:val="24"/>
          <w:szCs w:val="24"/>
          <w:lang w:val="en-US"/>
        </w:rPr>
        <w:t>ed exception to the general rule is where the employer himself has been negligent in regard to the conduct of the independent contractor</w:t>
      </w:r>
      <w:r w:rsidR="00977DC6">
        <w:rPr>
          <w:rFonts w:ascii="Arial" w:hAnsi="Arial" w:cs="Arial"/>
          <w:sz w:val="24"/>
          <w:szCs w:val="24"/>
          <w:lang w:val="en-US"/>
        </w:rPr>
        <w:t>,</w:t>
      </w:r>
      <w:r w:rsidRPr="0093139E">
        <w:rPr>
          <w:rFonts w:ascii="Arial" w:hAnsi="Arial" w:cs="Arial"/>
          <w:sz w:val="24"/>
          <w:szCs w:val="24"/>
          <w:lang w:val="en-US"/>
        </w:rPr>
        <w:t xml:space="preserve"> which caused harm to a third party. </w:t>
      </w:r>
      <w:r>
        <w:rPr>
          <w:rFonts w:ascii="Arial" w:hAnsi="Arial" w:cs="Arial"/>
          <w:sz w:val="24"/>
          <w:szCs w:val="24"/>
          <w:lang w:val="en-US"/>
        </w:rPr>
        <w:t xml:space="preserve"> </w:t>
      </w:r>
      <w:r w:rsidRPr="0093139E">
        <w:rPr>
          <w:rFonts w:ascii="Arial" w:hAnsi="Arial" w:cs="Arial"/>
          <w:sz w:val="24"/>
          <w:szCs w:val="24"/>
          <w:lang w:val="en-US"/>
        </w:rPr>
        <w:t>Such liability i</w:t>
      </w:r>
      <w:r w:rsidR="00434511">
        <w:rPr>
          <w:rFonts w:ascii="Arial" w:hAnsi="Arial" w:cs="Arial"/>
          <w:sz w:val="24"/>
          <w:szCs w:val="24"/>
          <w:lang w:val="en-US"/>
        </w:rPr>
        <w:t>s</w:t>
      </w:r>
      <w:r w:rsidRPr="0093139E">
        <w:rPr>
          <w:rFonts w:ascii="Arial" w:hAnsi="Arial" w:cs="Arial"/>
          <w:sz w:val="24"/>
          <w:szCs w:val="24"/>
          <w:lang w:val="en-US"/>
        </w:rPr>
        <w:t xml:space="preserve"> not vicarious</w:t>
      </w:r>
      <w:r w:rsidR="00855129">
        <w:rPr>
          <w:rFonts w:ascii="Arial" w:hAnsi="Arial" w:cs="Arial"/>
          <w:sz w:val="24"/>
          <w:szCs w:val="24"/>
          <w:lang w:val="en-US"/>
        </w:rPr>
        <w:t>.</w:t>
      </w:r>
      <w:r w:rsidRPr="0093139E">
        <w:rPr>
          <w:rStyle w:val="FootnoteReference"/>
          <w:rFonts w:ascii="Arial" w:hAnsi="Arial" w:cs="Arial"/>
          <w:sz w:val="24"/>
          <w:szCs w:val="24"/>
          <w:lang w:val="en-US"/>
        </w:rPr>
        <w:footnoteReference w:id="7"/>
      </w:r>
      <w:r w:rsidR="00855129">
        <w:rPr>
          <w:rFonts w:ascii="Arial" w:hAnsi="Arial" w:cs="Arial"/>
          <w:sz w:val="24"/>
          <w:szCs w:val="24"/>
          <w:lang w:val="en-US"/>
        </w:rPr>
        <w:t xml:space="preserve"> </w:t>
      </w:r>
      <w:r w:rsidRPr="0093139E">
        <w:rPr>
          <w:rFonts w:ascii="Arial" w:hAnsi="Arial" w:cs="Arial"/>
          <w:sz w:val="24"/>
          <w:szCs w:val="24"/>
          <w:lang w:val="en-US"/>
        </w:rPr>
        <w:t xml:space="preserve"> </w:t>
      </w:r>
    </w:p>
    <w:p w14:paraId="329535F6" w14:textId="77777777" w:rsidR="0093139E" w:rsidRPr="0093139E" w:rsidRDefault="0093139E" w:rsidP="0093139E">
      <w:pPr>
        <w:pStyle w:val="ListParagraph"/>
        <w:spacing w:after="0" w:line="480" w:lineRule="auto"/>
        <w:ind w:left="851"/>
        <w:jc w:val="both"/>
        <w:rPr>
          <w:rFonts w:ascii="Arial" w:hAnsi="Arial" w:cs="Arial"/>
          <w:sz w:val="24"/>
          <w:szCs w:val="24"/>
        </w:rPr>
      </w:pPr>
    </w:p>
    <w:p w14:paraId="6671B55B" w14:textId="2E659A73" w:rsidR="0093139E" w:rsidRPr="00977DC6" w:rsidRDefault="0093139E" w:rsidP="00977DC6">
      <w:pPr>
        <w:pStyle w:val="ListParagraph"/>
        <w:numPr>
          <w:ilvl w:val="0"/>
          <w:numId w:val="1"/>
        </w:numPr>
        <w:spacing w:after="0" w:line="480" w:lineRule="auto"/>
        <w:ind w:left="851" w:hanging="851"/>
        <w:jc w:val="both"/>
        <w:rPr>
          <w:rFonts w:ascii="Arial" w:hAnsi="Arial" w:cs="Arial"/>
          <w:sz w:val="24"/>
          <w:szCs w:val="24"/>
        </w:rPr>
      </w:pPr>
      <w:r w:rsidRPr="0093139E">
        <w:rPr>
          <w:rFonts w:ascii="Arial" w:hAnsi="Arial" w:cs="Arial"/>
          <w:sz w:val="24"/>
          <w:szCs w:val="24"/>
          <w:lang w:val="en-US"/>
        </w:rPr>
        <w:t xml:space="preserve">Whether a principal will indeed be liable for the negligence of an independent contractor has been subject to a continuing debate. This so-called </w:t>
      </w:r>
      <w:r w:rsidRPr="0093139E">
        <w:rPr>
          <w:rFonts w:ascii="Arial" w:hAnsi="Arial" w:cs="Arial"/>
          <w:i/>
          <w:sz w:val="24"/>
          <w:szCs w:val="24"/>
          <w:lang w:val="en-US"/>
        </w:rPr>
        <w:t>“personal duty”</w:t>
      </w:r>
      <w:r w:rsidRPr="0093139E">
        <w:rPr>
          <w:rFonts w:ascii="Arial" w:hAnsi="Arial" w:cs="Arial"/>
          <w:sz w:val="24"/>
          <w:szCs w:val="24"/>
          <w:lang w:val="en-US"/>
        </w:rPr>
        <w:t xml:space="preserve"> or </w:t>
      </w:r>
      <w:r w:rsidRPr="0093139E">
        <w:rPr>
          <w:rFonts w:ascii="Arial" w:hAnsi="Arial" w:cs="Arial"/>
          <w:i/>
          <w:sz w:val="24"/>
          <w:szCs w:val="24"/>
          <w:lang w:val="en-US"/>
        </w:rPr>
        <w:t>“non-delegable duty”</w:t>
      </w:r>
      <w:r w:rsidRPr="0093139E">
        <w:rPr>
          <w:rStyle w:val="FootnoteReference"/>
          <w:rFonts w:ascii="Arial" w:hAnsi="Arial" w:cs="Arial"/>
          <w:i/>
          <w:sz w:val="24"/>
          <w:szCs w:val="24"/>
          <w:lang w:val="en-US"/>
        </w:rPr>
        <w:footnoteReference w:id="8"/>
      </w:r>
      <w:r w:rsidRPr="0093139E">
        <w:rPr>
          <w:rFonts w:ascii="Arial" w:hAnsi="Arial" w:cs="Arial"/>
          <w:i/>
          <w:sz w:val="24"/>
          <w:szCs w:val="24"/>
          <w:lang w:val="en-US"/>
        </w:rPr>
        <w:t xml:space="preserve"> </w:t>
      </w:r>
      <w:r w:rsidRPr="0093139E">
        <w:rPr>
          <w:rFonts w:ascii="Arial" w:hAnsi="Arial" w:cs="Arial"/>
          <w:sz w:val="24"/>
          <w:szCs w:val="24"/>
          <w:lang w:val="en-US"/>
        </w:rPr>
        <w:t xml:space="preserve">which has been described as </w:t>
      </w:r>
      <w:r w:rsidRPr="0093139E">
        <w:rPr>
          <w:rFonts w:ascii="Arial" w:hAnsi="Arial" w:cs="Arial"/>
          <w:i/>
          <w:sz w:val="24"/>
          <w:szCs w:val="24"/>
          <w:lang w:val="en-US"/>
        </w:rPr>
        <w:t xml:space="preserve">“a special </w:t>
      </w:r>
      <w:r w:rsidRPr="0093139E">
        <w:rPr>
          <w:rFonts w:ascii="Arial" w:hAnsi="Arial" w:cs="Arial"/>
          <w:i/>
          <w:sz w:val="24"/>
          <w:szCs w:val="24"/>
          <w:lang w:val="en-US"/>
        </w:rPr>
        <w:lastRenderedPageBreak/>
        <w:t>responsibility or duty to see that care is taken”</w:t>
      </w:r>
      <w:r w:rsidRPr="0093139E">
        <w:rPr>
          <w:rFonts w:ascii="Arial" w:hAnsi="Arial" w:cs="Arial"/>
          <w:sz w:val="24"/>
          <w:szCs w:val="24"/>
          <w:lang w:val="en-US"/>
        </w:rPr>
        <w:t xml:space="preserve"> enables a </w:t>
      </w:r>
      <w:r w:rsidR="00977DC6">
        <w:rPr>
          <w:rFonts w:ascii="Arial" w:hAnsi="Arial" w:cs="Arial"/>
          <w:sz w:val="24"/>
          <w:szCs w:val="24"/>
          <w:lang w:val="en-US"/>
        </w:rPr>
        <w:t>p</w:t>
      </w:r>
      <w:r w:rsidRPr="0093139E">
        <w:rPr>
          <w:rFonts w:ascii="Arial" w:hAnsi="Arial" w:cs="Arial"/>
          <w:sz w:val="24"/>
          <w:szCs w:val="24"/>
          <w:lang w:val="en-US"/>
        </w:rPr>
        <w:t xml:space="preserve">laintiff to outflank the general principle that a </w:t>
      </w:r>
      <w:r w:rsidR="00977DC6">
        <w:rPr>
          <w:rFonts w:ascii="Arial" w:hAnsi="Arial" w:cs="Arial"/>
          <w:sz w:val="24"/>
          <w:szCs w:val="24"/>
          <w:lang w:val="en-US"/>
        </w:rPr>
        <w:t>d</w:t>
      </w:r>
      <w:r w:rsidRPr="0093139E">
        <w:rPr>
          <w:rFonts w:ascii="Arial" w:hAnsi="Arial" w:cs="Arial"/>
          <w:sz w:val="24"/>
          <w:szCs w:val="24"/>
          <w:lang w:val="en-US"/>
        </w:rPr>
        <w:t>efendant is not vicariously responsible for the negligence of an independent contractor.</w:t>
      </w:r>
      <w:r w:rsidRPr="0093139E">
        <w:rPr>
          <w:rStyle w:val="FootnoteReference"/>
          <w:rFonts w:ascii="Arial" w:hAnsi="Arial" w:cs="Arial"/>
          <w:sz w:val="24"/>
          <w:szCs w:val="24"/>
          <w:lang w:val="en-US"/>
        </w:rPr>
        <w:footnoteReference w:id="9"/>
      </w:r>
      <w:r w:rsidRPr="0093139E">
        <w:rPr>
          <w:rFonts w:ascii="Arial" w:hAnsi="Arial" w:cs="Arial"/>
          <w:sz w:val="24"/>
          <w:szCs w:val="24"/>
          <w:lang w:val="en-US"/>
        </w:rPr>
        <w:t xml:space="preserve"> </w:t>
      </w:r>
    </w:p>
    <w:p w14:paraId="0A1976F7" w14:textId="77777777" w:rsidR="00307605" w:rsidRPr="00307605" w:rsidRDefault="00307605" w:rsidP="00307605">
      <w:pPr>
        <w:pStyle w:val="ListParagraph"/>
        <w:spacing w:after="0" w:line="480" w:lineRule="auto"/>
        <w:ind w:left="851"/>
        <w:jc w:val="both"/>
        <w:rPr>
          <w:rFonts w:ascii="Arial" w:hAnsi="Arial" w:cs="Arial"/>
          <w:sz w:val="24"/>
          <w:szCs w:val="24"/>
        </w:rPr>
      </w:pPr>
    </w:p>
    <w:p w14:paraId="52770BB0" w14:textId="0CCE2940" w:rsidR="0093139E" w:rsidRPr="00307605" w:rsidRDefault="0093139E" w:rsidP="00307605">
      <w:pPr>
        <w:pStyle w:val="ListParagraph"/>
        <w:numPr>
          <w:ilvl w:val="0"/>
          <w:numId w:val="1"/>
        </w:numPr>
        <w:spacing w:after="0" w:line="480" w:lineRule="auto"/>
        <w:ind w:left="851" w:hanging="851"/>
        <w:jc w:val="both"/>
        <w:rPr>
          <w:rFonts w:ascii="Arial" w:hAnsi="Arial" w:cs="Arial"/>
          <w:sz w:val="24"/>
          <w:szCs w:val="24"/>
        </w:rPr>
      </w:pPr>
      <w:r w:rsidRPr="00977DC6">
        <w:rPr>
          <w:rFonts w:ascii="Arial" w:hAnsi="Arial" w:cs="Arial"/>
          <w:sz w:val="24"/>
          <w:szCs w:val="24"/>
          <w:lang w:val="en-US"/>
        </w:rPr>
        <w:t>The concept of personal duty is not without its difficulties as courts have grappled to explain when and why this particular duty should be so classified.</w:t>
      </w:r>
      <w:r w:rsidRPr="0093139E">
        <w:rPr>
          <w:rStyle w:val="FootnoteReference"/>
          <w:rFonts w:ascii="Arial" w:hAnsi="Arial" w:cs="Arial"/>
          <w:sz w:val="24"/>
          <w:szCs w:val="24"/>
          <w:lang w:val="en-US"/>
        </w:rPr>
        <w:footnoteReference w:id="10"/>
      </w:r>
      <w:r w:rsidRPr="00977DC6">
        <w:rPr>
          <w:rFonts w:ascii="Arial" w:hAnsi="Arial" w:cs="Arial"/>
          <w:sz w:val="24"/>
          <w:szCs w:val="24"/>
          <w:lang w:val="en-US"/>
        </w:rPr>
        <w:t xml:space="preserve"> </w:t>
      </w:r>
    </w:p>
    <w:p w14:paraId="1A63A41E" w14:textId="77777777" w:rsidR="00307605" w:rsidRPr="00307605" w:rsidRDefault="00307605" w:rsidP="00307605">
      <w:pPr>
        <w:pStyle w:val="ListParagraph"/>
        <w:spacing w:after="0" w:line="480" w:lineRule="auto"/>
        <w:rPr>
          <w:rFonts w:ascii="Arial" w:hAnsi="Arial" w:cs="Arial"/>
          <w:sz w:val="24"/>
          <w:szCs w:val="24"/>
        </w:rPr>
      </w:pPr>
    </w:p>
    <w:p w14:paraId="017FA3D1" w14:textId="4861A059" w:rsidR="00307605" w:rsidRPr="00307605" w:rsidRDefault="00855129" w:rsidP="0030760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lang w:val="en-US"/>
        </w:rPr>
        <w:t>C</w:t>
      </w:r>
      <w:r w:rsidR="00307605">
        <w:rPr>
          <w:rFonts w:ascii="Arial" w:hAnsi="Arial" w:cs="Arial"/>
          <w:sz w:val="24"/>
          <w:szCs w:val="24"/>
          <w:lang w:val="en-US"/>
        </w:rPr>
        <w:t xml:space="preserve">ourts have oft been criticised for extending the liability of a principal for the negligence of an independent contractor.  </w:t>
      </w:r>
      <w:r w:rsidR="00307605" w:rsidRPr="00307605">
        <w:rPr>
          <w:rFonts w:ascii="Arial" w:hAnsi="Arial" w:cs="Arial"/>
          <w:sz w:val="24"/>
          <w:szCs w:val="24"/>
          <w:lang w:val="en-US"/>
        </w:rPr>
        <w:t xml:space="preserve">In </w:t>
      </w:r>
      <w:r w:rsidR="00307605" w:rsidRPr="00307605">
        <w:rPr>
          <w:rFonts w:ascii="Arial" w:hAnsi="Arial" w:cs="Arial"/>
          <w:bCs/>
          <w:i/>
          <w:sz w:val="24"/>
          <w:szCs w:val="24"/>
          <w:lang w:val="en-US"/>
        </w:rPr>
        <w:t>Chartaprops (supra)</w:t>
      </w:r>
      <w:r w:rsidR="00307605" w:rsidRPr="00307605">
        <w:rPr>
          <w:rStyle w:val="FootnoteReference"/>
          <w:rFonts w:ascii="Arial" w:hAnsi="Arial" w:cs="Arial"/>
          <w:bCs/>
          <w:iCs/>
          <w:sz w:val="24"/>
          <w:szCs w:val="24"/>
          <w:lang w:val="en-US"/>
        </w:rPr>
        <w:footnoteReference w:id="11"/>
      </w:r>
      <w:r w:rsidR="00307605" w:rsidRPr="00307605">
        <w:rPr>
          <w:rFonts w:ascii="Arial" w:hAnsi="Arial" w:cs="Arial"/>
          <w:bCs/>
          <w:iCs/>
          <w:sz w:val="24"/>
          <w:szCs w:val="24"/>
          <w:lang w:val="en-US"/>
        </w:rPr>
        <w:t xml:space="preserve"> </w:t>
      </w:r>
      <w:r w:rsidR="00307605" w:rsidRPr="00307605">
        <w:rPr>
          <w:rFonts w:ascii="Arial" w:hAnsi="Arial" w:cs="Arial"/>
          <w:sz w:val="24"/>
          <w:szCs w:val="24"/>
          <w:lang w:val="en-US"/>
        </w:rPr>
        <w:t>the S</w:t>
      </w:r>
      <w:r w:rsidR="00307605">
        <w:rPr>
          <w:rFonts w:ascii="Arial" w:hAnsi="Arial" w:cs="Arial"/>
          <w:sz w:val="24"/>
          <w:szCs w:val="24"/>
          <w:lang w:val="en-US"/>
        </w:rPr>
        <w:t xml:space="preserve">upreme </w:t>
      </w:r>
      <w:r w:rsidR="00307605" w:rsidRPr="00307605">
        <w:rPr>
          <w:rFonts w:ascii="Arial" w:hAnsi="Arial" w:cs="Arial"/>
          <w:sz w:val="24"/>
          <w:szCs w:val="24"/>
          <w:lang w:val="en-US"/>
        </w:rPr>
        <w:t>C</w:t>
      </w:r>
      <w:r w:rsidR="00307605">
        <w:rPr>
          <w:rFonts w:ascii="Arial" w:hAnsi="Arial" w:cs="Arial"/>
          <w:sz w:val="24"/>
          <w:szCs w:val="24"/>
          <w:lang w:val="en-US"/>
        </w:rPr>
        <w:t xml:space="preserve">ourt of </w:t>
      </w:r>
      <w:r w:rsidR="00307605" w:rsidRPr="00307605">
        <w:rPr>
          <w:rFonts w:ascii="Arial" w:hAnsi="Arial" w:cs="Arial"/>
          <w:sz w:val="24"/>
          <w:szCs w:val="24"/>
          <w:lang w:val="en-US"/>
        </w:rPr>
        <w:t>A</w:t>
      </w:r>
      <w:r w:rsidR="00307605">
        <w:rPr>
          <w:rFonts w:ascii="Arial" w:hAnsi="Arial" w:cs="Arial"/>
          <w:sz w:val="24"/>
          <w:szCs w:val="24"/>
          <w:lang w:val="en-US"/>
        </w:rPr>
        <w:t xml:space="preserve">ppeal, relying </w:t>
      </w:r>
      <w:r w:rsidR="00307605" w:rsidRPr="00307605">
        <w:rPr>
          <w:rFonts w:ascii="Arial" w:hAnsi="Arial" w:cs="Arial"/>
          <w:sz w:val="24"/>
          <w:szCs w:val="24"/>
          <w:lang w:val="en-US"/>
        </w:rPr>
        <w:t>on the remarks by Glanville Williams</w:t>
      </w:r>
      <w:r w:rsidR="00307605">
        <w:rPr>
          <w:rFonts w:ascii="Arial" w:hAnsi="Arial" w:cs="Arial"/>
          <w:sz w:val="24"/>
          <w:szCs w:val="24"/>
          <w:lang w:val="en-US"/>
        </w:rPr>
        <w:t>, commented as follows</w:t>
      </w:r>
      <w:r w:rsidR="00307605" w:rsidRPr="00307605">
        <w:rPr>
          <w:rFonts w:ascii="Arial" w:hAnsi="Arial" w:cs="Arial"/>
          <w:sz w:val="24"/>
          <w:szCs w:val="24"/>
          <w:lang w:val="en-US"/>
        </w:rPr>
        <w:t>:</w:t>
      </w:r>
      <w:r w:rsidR="00307605" w:rsidRPr="00307605">
        <w:rPr>
          <w:rStyle w:val="FootnoteReference"/>
          <w:rFonts w:ascii="Arial" w:hAnsi="Arial" w:cs="Arial"/>
          <w:sz w:val="24"/>
          <w:szCs w:val="24"/>
          <w:lang w:val="en-US"/>
        </w:rPr>
        <w:footnoteReference w:id="12"/>
      </w:r>
      <w:r w:rsidR="00307605" w:rsidRPr="00307605">
        <w:rPr>
          <w:rFonts w:ascii="Arial" w:hAnsi="Arial" w:cs="Arial"/>
          <w:sz w:val="24"/>
          <w:szCs w:val="24"/>
          <w:lang w:val="en-US"/>
        </w:rPr>
        <w:t xml:space="preserve"> </w:t>
      </w:r>
    </w:p>
    <w:p w14:paraId="35471D3D" w14:textId="77777777" w:rsidR="00966C66" w:rsidRDefault="00966C66" w:rsidP="00307605">
      <w:pPr>
        <w:spacing w:after="0" w:line="360" w:lineRule="auto"/>
        <w:ind w:left="851"/>
        <w:jc w:val="both"/>
        <w:rPr>
          <w:rFonts w:ascii="Arial" w:hAnsi="Arial" w:cs="Arial"/>
          <w:i/>
          <w:sz w:val="24"/>
          <w:szCs w:val="24"/>
          <w:lang w:val="en-US"/>
        </w:rPr>
      </w:pPr>
    </w:p>
    <w:p w14:paraId="097720CF" w14:textId="65F2F8FE" w:rsidR="00307605" w:rsidRPr="00307605" w:rsidRDefault="00307605" w:rsidP="00307605">
      <w:pPr>
        <w:spacing w:after="0" w:line="360" w:lineRule="auto"/>
        <w:ind w:left="851"/>
        <w:jc w:val="both"/>
        <w:rPr>
          <w:rFonts w:ascii="Arial" w:hAnsi="Arial" w:cs="Arial"/>
          <w:sz w:val="24"/>
          <w:szCs w:val="24"/>
          <w:lang w:val="en-US"/>
        </w:rPr>
      </w:pPr>
      <w:r w:rsidRPr="00307605">
        <w:rPr>
          <w:rFonts w:ascii="Arial" w:hAnsi="Arial" w:cs="Arial"/>
          <w:i/>
          <w:sz w:val="24"/>
          <w:szCs w:val="24"/>
          <w:lang w:val="en-US"/>
        </w:rPr>
        <w:t>“</w:t>
      </w:r>
      <w:r w:rsidRPr="00307605">
        <w:rPr>
          <w:rFonts w:ascii="Arial" w:hAnsi="Arial" w:cs="Arial"/>
          <w:i/>
          <w:sz w:val="20"/>
          <w:szCs w:val="20"/>
          <w:lang w:val="en-US"/>
        </w:rPr>
        <w:t>One of the most disturbing features of the law of tort in recent years is the way in which the courts have extended, seemingly without any reference to considerations of policy, the liability for independent contractors.</w:t>
      </w:r>
      <w:r w:rsidRPr="00307605">
        <w:rPr>
          <w:rFonts w:ascii="Arial" w:hAnsi="Arial" w:cs="Arial"/>
          <w:i/>
          <w:sz w:val="24"/>
          <w:szCs w:val="24"/>
          <w:lang w:val="en-US"/>
        </w:rPr>
        <w:t>”</w:t>
      </w:r>
    </w:p>
    <w:p w14:paraId="5008070C" w14:textId="77777777" w:rsidR="00307605" w:rsidRDefault="00307605" w:rsidP="00307605">
      <w:pPr>
        <w:pStyle w:val="ListParagraph"/>
        <w:spacing w:after="0" w:line="480" w:lineRule="auto"/>
        <w:ind w:left="851"/>
        <w:jc w:val="both"/>
        <w:rPr>
          <w:rFonts w:ascii="Arial" w:hAnsi="Arial" w:cs="Arial"/>
          <w:sz w:val="24"/>
          <w:szCs w:val="24"/>
          <w:lang w:val="en-US"/>
        </w:rPr>
      </w:pPr>
    </w:p>
    <w:p w14:paraId="687C3EBC" w14:textId="20B4AFD9" w:rsidR="00307605" w:rsidRPr="00034A74" w:rsidRDefault="00307605" w:rsidP="00034A74">
      <w:pPr>
        <w:pStyle w:val="ListParagraph"/>
        <w:numPr>
          <w:ilvl w:val="0"/>
          <w:numId w:val="1"/>
        </w:numPr>
        <w:spacing w:after="0" w:line="480" w:lineRule="auto"/>
        <w:ind w:left="851" w:hanging="851"/>
        <w:jc w:val="both"/>
        <w:rPr>
          <w:rFonts w:ascii="Arial" w:hAnsi="Arial" w:cs="Arial"/>
          <w:sz w:val="24"/>
          <w:szCs w:val="24"/>
          <w:lang w:val="en-US"/>
        </w:rPr>
      </w:pPr>
      <w:r>
        <w:rPr>
          <w:rFonts w:ascii="Arial" w:hAnsi="Arial" w:cs="Arial"/>
          <w:sz w:val="24"/>
          <w:szCs w:val="24"/>
          <w:lang w:val="en-US"/>
        </w:rPr>
        <w:t>T</w:t>
      </w:r>
      <w:r w:rsidRPr="00307605">
        <w:rPr>
          <w:rFonts w:ascii="Arial" w:hAnsi="Arial" w:cs="Arial"/>
          <w:sz w:val="24"/>
          <w:szCs w:val="24"/>
          <w:lang w:val="en-US"/>
        </w:rPr>
        <w:t>he S</w:t>
      </w:r>
      <w:r>
        <w:rPr>
          <w:rFonts w:ascii="Arial" w:hAnsi="Arial" w:cs="Arial"/>
          <w:sz w:val="24"/>
          <w:szCs w:val="24"/>
          <w:lang w:val="en-US"/>
        </w:rPr>
        <w:t xml:space="preserve">upreme Court of Appeal </w:t>
      </w:r>
      <w:r w:rsidR="006330BA">
        <w:rPr>
          <w:rFonts w:ascii="Arial" w:hAnsi="Arial" w:cs="Arial"/>
          <w:sz w:val="24"/>
          <w:szCs w:val="24"/>
          <w:lang w:val="en-US"/>
        </w:rPr>
        <w:t xml:space="preserve">has </w:t>
      </w:r>
      <w:r w:rsidR="005607EF">
        <w:rPr>
          <w:rFonts w:ascii="Arial" w:hAnsi="Arial" w:cs="Arial"/>
          <w:sz w:val="24"/>
          <w:szCs w:val="24"/>
          <w:lang w:val="en-US"/>
        </w:rPr>
        <w:t>warned</w:t>
      </w:r>
      <w:r w:rsidRPr="00307605">
        <w:rPr>
          <w:rFonts w:ascii="Arial" w:hAnsi="Arial" w:cs="Arial"/>
          <w:sz w:val="24"/>
          <w:szCs w:val="24"/>
          <w:lang w:val="en-US"/>
        </w:rPr>
        <w:t xml:space="preserve"> of cases that have</w:t>
      </w:r>
      <w:r w:rsidRPr="00307605">
        <w:rPr>
          <w:rFonts w:ascii="Arial" w:hAnsi="Arial" w:cs="Arial"/>
          <w:i/>
          <w:sz w:val="24"/>
          <w:szCs w:val="24"/>
          <w:lang w:val="en-US"/>
        </w:rPr>
        <w:t xml:space="preserve"> “sowed the seeds of the large extension” </w:t>
      </w:r>
      <w:r w:rsidRPr="00307605">
        <w:rPr>
          <w:rFonts w:ascii="Arial" w:hAnsi="Arial" w:cs="Arial"/>
          <w:sz w:val="24"/>
          <w:szCs w:val="24"/>
          <w:lang w:val="en-US"/>
        </w:rPr>
        <w:t>that would efface the whole distinction between employee and independent contractor.</w:t>
      </w:r>
      <w:r w:rsidRPr="00307605">
        <w:rPr>
          <w:rStyle w:val="FootnoteReference"/>
          <w:rFonts w:ascii="Arial" w:hAnsi="Arial" w:cs="Arial"/>
          <w:sz w:val="24"/>
          <w:szCs w:val="24"/>
          <w:lang w:val="en-US"/>
        </w:rPr>
        <w:footnoteReference w:id="13"/>
      </w:r>
      <w:r w:rsidR="00061D3F">
        <w:rPr>
          <w:rFonts w:ascii="Arial" w:hAnsi="Arial" w:cs="Arial"/>
          <w:sz w:val="24"/>
          <w:szCs w:val="24"/>
          <w:lang w:val="en-US"/>
        </w:rPr>
        <w:t xml:space="preserve">  </w:t>
      </w:r>
      <w:r w:rsidR="00855129" w:rsidRPr="00034A74">
        <w:rPr>
          <w:rFonts w:ascii="Arial" w:hAnsi="Arial" w:cs="Arial"/>
          <w:sz w:val="24"/>
          <w:szCs w:val="24"/>
          <w:lang w:val="en-US"/>
        </w:rPr>
        <w:t>I</w:t>
      </w:r>
      <w:r w:rsidR="00190353">
        <w:rPr>
          <w:rFonts w:ascii="Arial" w:hAnsi="Arial" w:cs="Arial"/>
          <w:sz w:val="24"/>
          <w:szCs w:val="24"/>
          <w:lang w:val="en-US"/>
        </w:rPr>
        <w:t>n consideration of the principles applicable to the present matter</w:t>
      </w:r>
      <w:r w:rsidR="00160D37">
        <w:rPr>
          <w:rFonts w:ascii="Arial" w:hAnsi="Arial" w:cs="Arial"/>
          <w:sz w:val="24"/>
          <w:szCs w:val="24"/>
          <w:lang w:val="en-US"/>
        </w:rPr>
        <w:t>,</w:t>
      </w:r>
      <w:r w:rsidR="000A2C16">
        <w:rPr>
          <w:rFonts w:ascii="Arial" w:hAnsi="Arial" w:cs="Arial"/>
          <w:sz w:val="24"/>
          <w:szCs w:val="24"/>
          <w:lang w:val="en-US"/>
        </w:rPr>
        <w:t xml:space="preserve"> I remain mindful of the aforesaid</w:t>
      </w:r>
      <w:r w:rsidR="00855129" w:rsidRPr="00034A74">
        <w:rPr>
          <w:rFonts w:ascii="Arial" w:hAnsi="Arial" w:cs="Arial"/>
          <w:sz w:val="24"/>
          <w:szCs w:val="24"/>
          <w:lang w:val="en-US"/>
        </w:rPr>
        <w:t>.</w:t>
      </w:r>
    </w:p>
    <w:p w14:paraId="365BD13E" w14:textId="77777777" w:rsidR="00855129" w:rsidRPr="00855129" w:rsidRDefault="00855129" w:rsidP="00B038E4">
      <w:pPr>
        <w:pStyle w:val="ListParagraph"/>
        <w:spacing w:after="0" w:line="480" w:lineRule="auto"/>
        <w:rPr>
          <w:rFonts w:ascii="Arial" w:hAnsi="Arial" w:cs="Arial"/>
          <w:sz w:val="24"/>
          <w:szCs w:val="24"/>
        </w:rPr>
      </w:pPr>
    </w:p>
    <w:p w14:paraId="22547D85" w14:textId="1DF9F6A4" w:rsidR="0093139E" w:rsidRPr="00B038E4" w:rsidRDefault="0093139E" w:rsidP="00752C76">
      <w:pPr>
        <w:pStyle w:val="ListParagraph"/>
        <w:numPr>
          <w:ilvl w:val="0"/>
          <w:numId w:val="1"/>
        </w:numPr>
        <w:spacing w:after="0" w:line="480" w:lineRule="auto"/>
        <w:ind w:left="851" w:hanging="851"/>
        <w:jc w:val="both"/>
        <w:rPr>
          <w:rFonts w:ascii="Arial" w:hAnsi="Arial" w:cs="Arial"/>
          <w:sz w:val="24"/>
          <w:szCs w:val="24"/>
        </w:rPr>
      </w:pPr>
      <w:r w:rsidRPr="00307605">
        <w:rPr>
          <w:rFonts w:ascii="Arial" w:hAnsi="Arial" w:cs="Arial"/>
          <w:sz w:val="24"/>
          <w:szCs w:val="24"/>
          <w:lang w:val="en-US"/>
        </w:rPr>
        <w:lastRenderedPageBreak/>
        <w:t>Under English law one situation where an employer of an independent contractor is liable for the wrongs of the latter is where the work performed is dangerous.</w:t>
      </w:r>
      <w:r w:rsidRPr="00307605">
        <w:rPr>
          <w:rStyle w:val="FootnoteReference"/>
          <w:rFonts w:ascii="Arial" w:hAnsi="Arial" w:cs="Arial"/>
          <w:sz w:val="24"/>
          <w:szCs w:val="24"/>
          <w:lang w:val="en-US"/>
        </w:rPr>
        <w:footnoteReference w:id="14"/>
      </w:r>
      <w:r w:rsidRPr="00307605">
        <w:rPr>
          <w:rFonts w:ascii="Arial" w:hAnsi="Arial" w:cs="Arial"/>
          <w:sz w:val="24"/>
          <w:szCs w:val="24"/>
          <w:lang w:val="en-US"/>
        </w:rPr>
        <w:t xml:space="preserve"> </w:t>
      </w:r>
      <w:r w:rsidR="00977DC6" w:rsidRPr="00307605">
        <w:rPr>
          <w:rFonts w:ascii="Arial" w:hAnsi="Arial" w:cs="Arial"/>
          <w:sz w:val="24"/>
          <w:szCs w:val="24"/>
          <w:lang w:val="en-US"/>
        </w:rPr>
        <w:t xml:space="preserve"> </w:t>
      </w:r>
      <w:r w:rsidRPr="00307605">
        <w:rPr>
          <w:rFonts w:ascii="Arial" w:hAnsi="Arial" w:cs="Arial"/>
          <w:sz w:val="24"/>
          <w:szCs w:val="24"/>
          <w:lang w:val="en-US"/>
        </w:rPr>
        <w:t>However, in our law, it is important to note that this is but one of the factors to be taken into account in determining liability. The fact that the work was dangerous does not, in itself, invariably lead to liability.</w:t>
      </w:r>
      <w:r w:rsidRPr="00307605">
        <w:rPr>
          <w:rStyle w:val="FootnoteReference"/>
          <w:rFonts w:ascii="Arial" w:hAnsi="Arial" w:cs="Arial"/>
          <w:sz w:val="24"/>
          <w:szCs w:val="24"/>
          <w:lang w:val="en-US"/>
        </w:rPr>
        <w:footnoteReference w:id="15"/>
      </w:r>
    </w:p>
    <w:p w14:paraId="68589469" w14:textId="77777777" w:rsidR="009903CB" w:rsidRPr="009903CB" w:rsidRDefault="009903CB" w:rsidP="00990640">
      <w:pPr>
        <w:pStyle w:val="ListParagraph"/>
        <w:spacing w:after="0" w:line="480" w:lineRule="auto"/>
        <w:rPr>
          <w:rFonts w:ascii="Arial" w:hAnsi="Arial" w:cs="Arial"/>
          <w:sz w:val="24"/>
          <w:szCs w:val="24"/>
        </w:rPr>
      </w:pPr>
    </w:p>
    <w:p w14:paraId="481B93AD" w14:textId="79D15C29" w:rsidR="007011B2" w:rsidRDefault="009903CB" w:rsidP="0099064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usual</w:t>
      </w:r>
      <w:r w:rsidR="007011B2">
        <w:rPr>
          <w:rFonts w:ascii="Arial" w:hAnsi="Arial" w:cs="Arial"/>
          <w:sz w:val="24"/>
          <w:szCs w:val="24"/>
        </w:rPr>
        <w:t xml:space="preserve"> approach to so-called “</w:t>
      </w:r>
      <w:r w:rsidR="007011B2" w:rsidRPr="007011B2">
        <w:rPr>
          <w:rFonts w:ascii="Arial" w:hAnsi="Arial" w:cs="Arial"/>
          <w:i/>
          <w:iCs/>
          <w:sz w:val="24"/>
          <w:szCs w:val="24"/>
        </w:rPr>
        <w:t>slip and trip</w:t>
      </w:r>
      <w:r w:rsidR="007011B2">
        <w:rPr>
          <w:rFonts w:ascii="Arial" w:hAnsi="Arial" w:cs="Arial"/>
          <w:sz w:val="24"/>
          <w:szCs w:val="24"/>
        </w:rPr>
        <w:t xml:space="preserve">” incidents, in places frequented by members of the public, </w:t>
      </w:r>
      <w:r w:rsidR="00677CB8">
        <w:rPr>
          <w:rFonts w:ascii="Arial" w:hAnsi="Arial" w:cs="Arial"/>
          <w:sz w:val="24"/>
          <w:szCs w:val="24"/>
        </w:rPr>
        <w:t xml:space="preserve">was </w:t>
      </w:r>
      <w:r w:rsidR="007011B2">
        <w:rPr>
          <w:rFonts w:ascii="Arial" w:hAnsi="Arial" w:cs="Arial"/>
          <w:sz w:val="24"/>
          <w:szCs w:val="24"/>
        </w:rPr>
        <w:t xml:space="preserve">succinctly set out by Stegmann J in </w:t>
      </w:r>
      <w:r w:rsidR="007011B2" w:rsidRPr="00677CB8">
        <w:rPr>
          <w:rFonts w:ascii="Arial" w:hAnsi="Arial" w:cs="Arial"/>
          <w:i/>
          <w:iCs/>
          <w:sz w:val="24"/>
          <w:szCs w:val="24"/>
        </w:rPr>
        <w:t>Probst v Pick ‘n Pay Retailers (Pty) Ltd</w:t>
      </w:r>
      <w:r w:rsidR="007011B2">
        <w:rPr>
          <w:rStyle w:val="FootnoteReference"/>
          <w:rFonts w:ascii="Arial" w:hAnsi="Arial" w:cs="Arial"/>
          <w:sz w:val="24"/>
          <w:szCs w:val="24"/>
        </w:rPr>
        <w:footnoteReference w:id="16"/>
      </w:r>
      <w:r w:rsidR="007011B2">
        <w:rPr>
          <w:rFonts w:ascii="Arial" w:hAnsi="Arial" w:cs="Arial"/>
          <w:sz w:val="24"/>
          <w:szCs w:val="24"/>
        </w:rPr>
        <w:t xml:space="preserve"> as follows:</w:t>
      </w:r>
    </w:p>
    <w:p w14:paraId="64FD212C" w14:textId="77777777" w:rsidR="007011B2" w:rsidRPr="007011B2" w:rsidRDefault="007011B2" w:rsidP="007011B2">
      <w:pPr>
        <w:pStyle w:val="ListParagraph"/>
        <w:rPr>
          <w:rFonts w:ascii="Arial" w:hAnsi="Arial" w:cs="Arial"/>
          <w:sz w:val="24"/>
          <w:szCs w:val="24"/>
        </w:rPr>
      </w:pPr>
    </w:p>
    <w:p w14:paraId="294F756D" w14:textId="1FC8F3FF" w:rsidR="009903CB" w:rsidRPr="00677CB8" w:rsidRDefault="007011B2" w:rsidP="00677CB8">
      <w:pPr>
        <w:pStyle w:val="ListParagraph"/>
        <w:spacing w:after="0" w:line="360" w:lineRule="auto"/>
        <w:ind w:left="851"/>
        <w:jc w:val="both"/>
        <w:rPr>
          <w:rFonts w:ascii="Arial" w:hAnsi="Arial" w:cs="Arial"/>
          <w:sz w:val="24"/>
          <w:szCs w:val="24"/>
        </w:rPr>
      </w:pPr>
      <w:r>
        <w:rPr>
          <w:rFonts w:ascii="Arial" w:hAnsi="Arial" w:cs="Arial"/>
          <w:sz w:val="24"/>
          <w:szCs w:val="24"/>
        </w:rPr>
        <w:t>“</w:t>
      </w:r>
      <w:r w:rsidR="00677CB8" w:rsidRPr="00677CB8">
        <w:rPr>
          <w:rFonts w:ascii="Arial" w:hAnsi="Arial" w:cs="Arial"/>
          <w:i/>
          <w:iCs/>
          <w:sz w:val="20"/>
          <w:szCs w:val="20"/>
        </w:rPr>
        <w:t>The duty on the keeper of a supermarket to take reasonable steps is not so onerous as to require that every spillage must be discovered and cleaned up as soon as it occurs. Nevertheless, it does require a system which will ensure that spillages are not allowed to create a potential hazard for any material length of time, and that they will be discovered, and the floor made safe, with reasonable promptitude.</w:t>
      </w:r>
      <w:r w:rsidR="00677CB8">
        <w:rPr>
          <w:rFonts w:ascii="Arial" w:hAnsi="Arial" w:cs="Arial"/>
          <w:sz w:val="24"/>
          <w:szCs w:val="24"/>
        </w:rPr>
        <w:t>”</w:t>
      </w:r>
      <w:r w:rsidRPr="00677CB8">
        <w:rPr>
          <w:rFonts w:ascii="Arial" w:hAnsi="Arial" w:cs="Arial"/>
          <w:sz w:val="24"/>
          <w:szCs w:val="24"/>
        </w:rPr>
        <w:t xml:space="preserve"> </w:t>
      </w:r>
      <w:r w:rsidR="009903CB" w:rsidRPr="00677CB8">
        <w:rPr>
          <w:rFonts w:ascii="Arial" w:hAnsi="Arial" w:cs="Arial"/>
          <w:sz w:val="24"/>
          <w:szCs w:val="24"/>
        </w:rPr>
        <w:t xml:space="preserve"> </w:t>
      </w:r>
    </w:p>
    <w:p w14:paraId="11812E45" w14:textId="0AE61F68" w:rsidR="00B02817" w:rsidRDefault="00B02817" w:rsidP="00B02817">
      <w:pPr>
        <w:pStyle w:val="ListParagraph"/>
        <w:rPr>
          <w:rFonts w:ascii="Arial" w:hAnsi="Arial" w:cs="Arial"/>
          <w:sz w:val="24"/>
          <w:szCs w:val="24"/>
        </w:rPr>
      </w:pPr>
    </w:p>
    <w:p w14:paraId="394F9F70" w14:textId="3EA4708B" w:rsidR="001323BE" w:rsidRDefault="001323BE" w:rsidP="00B02817">
      <w:pPr>
        <w:pStyle w:val="ListParagraph"/>
        <w:rPr>
          <w:rFonts w:ascii="Arial" w:hAnsi="Arial" w:cs="Arial"/>
          <w:sz w:val="24"/>
          <w:szCs w:val="24"/>
        </w:rPr>
      </w:pPr>
    </w:p>
    <w:p w14:paraId="566A2310" w14:textId="77777777" w:rsidR="002B74FD" w:rsidRDefault="0093139E" w:rsidP="002B74FD">
      <w:pPr>
        <w:pStyle w:val="ListParagraph"/>
        <w:numPr>
          <w:ilvl w:val="0"/>
          <w:numId w:val="1"/>
        </w:numPr>
        <w:spacing w:after="0" w:line="480" w:lineRule="auto"/>
        <w:ind w:left="851" w:hanging="851"/>
        <w:jc w:val="both"/>
        <w:rPr>
          <w:rFonts w:ascii="Arial" w:hAnsi="Arial" w:cs="Arial"/>
          <w:sz w:val="24"/>
          <w:szCs w:val="24"/>
        </w:rPr>
      </w:pPr>
      <w:r w:rsidRPr="002B74FD">
        <w:rPr>
          <w:rFonts w:ascii="Arial" w:hAnsi="Arial" w:cs="Arial"/>
          <w:sz w:val="24"/>
          <w:szCs w:val="24"/>
        </w:rPr>
        <w:t xml:space="preserve">In </w:t>
      </w:r>
      <w:r w:rsidRPr="002B74FD">
        <w:rPr>
          <w:rFonts w:ascii="Arial" w:hAnsi="Arial" w:cs="Arial"/>
          <w:i/>
          <w:iCs/>
          <w:sz w:val="24"/>
          <w:szCs w:val="24"/>
        </w:rPr>
        <w:t>Langley Fox Building Partnership (Pty) Ltd v De Valence</w:t>
      </w:r>
      <w:r w:rsidRPr="002B74FD">
        <w:rPr>
          <w:vertAlign w:val="superscript"/>
        </w:rPr>
        <w:footnoteReference w:id="17"/>
      </w:r>
      <w:r w:rsidRPr="002B74FD">
        <w:rPr>
          <w:rFonts w:ascii="Arial" w:hAnsi="Arial" w:cs="Arial"/>
          <w:sz w:val="24"/>
          <w:szCs w:val="24"/>
        </w:rPr>
        <w:t xml:space="preserve"> the court in determining liability of the employer for an independent contractor, formulated the test to be applied</w:t>
      </w:r>
      <w:r w:rsidR="002B74FD">
        <w:rPr>
          <w:rFonts w:ascii="Arial" w:hAnsi="Arial" w:cs="Arial"/>
          <w:sz w:val="24"/>
          <w:szCs w:val="24"/>
        </w:rPr>
        <w:t xml:space="preserve"> as follows</w:t>
      </w:r>
      <w:r w:rsidRPr="002B74FD">
        <w:rPr>
          <w:rFonts w:ascii="Arial" w:hAnsi="Arial" w:cs="Arial"/>
          <w:sz w:val="24"/>
          <w:szCs w:val="24"/>
        </w:rPr>
        <w:t>:</w:t>
      </w:r>
    </w:p>
    <w:p w14:paraId="373B94CA" w14:textId="77777777" w:rsidR="002B74FD" w:rsidRDefault="002B74FD" w:rsidP="002B74FD">
      <w:pPr>
        <w:spacing w:after="0" w:line="480" w:lineRule="auto"/>
        <w:ind w:left="1440"/>
        <w:jc w:val="both"/>
        <w:rPr>
          <w:rFonts w:ascii="Arial" w:hAnsi="Arial" w:cs="Arial"/>
          <w:sz w:val="24"/>
          <w:szCs w:val="24"/>
          <w:lang w:val="en-US"/>
        </w:rPr>
      </w:pPr>
    </w:p>
    <w:p w14:paraId="0DE623A8" w14:textId="4F0E0926" w:rsidR="0093139E" w:rsidRPr="002B74FD" w:rsidRDefault="002B74FD" w:rsidP="002B74FD">
      <w:pPr>
        <w:spacing w:after="0" w:line="360" w:lineRule="auto"/>
        <w:ind w:left="851"/>
        <w:jc w:val="both"/>
        <w:rPr>
          <w:rFonts w:ascii="Arial" w:hAnsi="Arial" w:cs="Arial"/>
          <w:i/>
          <w:iCs/>
          <w:sz w:val="20"/>
          <w:szCs w:val="20"/>
          <w:lang w:val="en-US"/>
        </w:rPr>
      </w:pPr>
      <w:r>
        <w:rPr>
          <w:rFonts w:ascii="Arial" w:hAnsi="Arial" w:cs="Arial"/>
          <w:sz w:val="24"/>
          <w:szCs w:val="24"/>
          <w:lang w:val="en-US"/>
        </w:rPr>
        <w:t>“</w:t>
      </w:r>
      <w:r w:rsidRPr="002B74FD">
        <w:rPr>
          <w:rFonts w:ascii="Arial" w:hAnsi="Arial" w:cs="Arial"/>
          <w:i/>
          <w:iCs/>
          <w:sz w:val="20"/>
          <w:szCs w:val="20"/>
          <w:lang w:val="en-US"/>
        </w:rPr>
        <w:t>(a)</w:t>
      </w:r>
      <w:r w:rsidRPr="002B74FD">
        <w:rPr>
          <w:rFonts w:ascii="Arial" w:hAnsi="Arial" w:cs="Arial"/>
          <w:i/>
          <w:iCs/>
          <w:sz w:val="20"/>
          <w:szCs w:val="20"/>
          <w:lang w:val="en-US"/>
        </w:rPr>
        <w:tab/>
        <w:t>w</w:t>
      </w:r>
      <w:r w:rsidR="0093139E" w:rsidRPr="002B74FD">
        <w:rPr>
          <w:rFonts w:ascii="Arial" w:hAnsi="Arial" w:cs="Arial"/>
          <w:i/>
          <w:iCs/>
          <w:sz w:val="20"/>
          <w:szCs w:val="20"/>
          <w:lang w:val="en-US"/>
        </w:rPr>
        <w:t>ould a reasonable man have foreseen the risk of danger in consequence of the work he employed the contractor to perform?</w:t>
      </w:r>
      <w:r w:rsidRPr="002B74FD">
        <w:rPr>
          <w:rFonts w:ascii="Arial" w:hAnsi="Arial" w:cs="Arial"/>
          <w:i/>
          <w:iCs/>
          <w:sz w:val="20"/>
          <w:szCs w:val="20"/>
          <w:lang w:val="en-US"/>
        </w:rPr>
        <w:t xml:space="preserve">  If so,</w:t>
      </w:r>
    </w:p>
    <w:p w14:paraId="5CE9B8B9" w14:textId="77777777" w:rsidR="002B74FD" w:rsidRPr="002B74FD" w:rsidRDefault="002B74FD" w:rsidP="002B74FD">
      <w:pPr>
        <w:spacing w:after="0" w:line="360" w:lineRule="auto"/>
        <w:ind w:left="851"/>
        <w:jc w:val="both"/>
        <w:rPr>
          <w:rFonts w:ascii="Arial" w:hAnsi="Arial" w:cs="Arial"/>
          <w:i/>
          <w:iCs/>
          <w:sz w:val="20"/>
          <w:szCs w:val="20"/>
          <w:lang w:val="en-US"/>
        </w:rPr>
      </w:pPr>
      <w:r w:rsidRPr="002B74FD">
        <w:rPr>
          <w:rFonts w:ascii="Arial" w:hAnsi="Arial" w:cs="Arial"/>
          <w:i/>
          <w:iCs/>
          <w:sz w:val="20"/>
          <w:szCs w:val="20"/>
          <w:lang w:val="en-US"/>
        </w:rPr>
        <w:t>(b)</w:t>
      </w:r>
      <w:r w:rsidRPr="002B74FD">
        <w:rPr>
          <w:rFonts w:ascii="Arial" w:hAnsi="Arial" w:cs="Arial"/>
          <w:i/>
          <w:iCs/>
          <w:sz w:val="20"/>
          <w:szCs w:val="20"/>
          <w:lang w:val="en-US"/>
        </w:rPr>
        <w:tab/>
      </w:r>
      <w:r w:rsidR="0093139E" w:rsidRPr="002B74FD">
        <w:rPr>
          <w:rFonts w:ascii="Arial" w:hAnsi="Arial" w:cs="Arial"/>
          <w:i/>
          <w:iCs/>
          <w:sz w:val="20"/>
          <w:szCs w:val="20"/>
          <w:lang w:val="en-US"/>
        </w:rPr>
        <w:t>would a reasonable man have taken steps to guard against the danger?</w:t>
      </w:r>
      <w:r w:rsidRPr="002B74FD">
        <w:rPr>
          <w:rFonts w:ascii="Arial" w:hAnsi="Arial" w:cs="Arial"/>
          <w:i/>
          <w:iCs/>
          <w:sz w:val="20"/>
          <w:szCs w:val="20"/>
          <w:lang w:val="en-US"/>
        </w:rPr>
        <w:t xml:space="preserve">  If so,</w:t>
      </w:r>
    </w:p>
    <w:p w14:paraId="2F508D4E" w14:textId="7160B3A5" w:rsidR="0093139E" w:rsidRPr="0093139E" w:rsidRDefault="002B74FD" w:rsidP="002B74FD">
      <w:pPr>
        <w:spacing w:after="0" w:line="360" w:lineRule="auto"/>
        <w:ind w:left="851"/>
        <w:jc w:val="both"/>
        <w:rPr>
          <w:rFonts w:ascii="Arial" w:hAnsi="Arial" w:cs="Arial"/>
          <w:sz w:val="24"/>
          <w:szCs w:val="24"/>
          <w:lang w:val="en-US"/>
        </w:rPr>
      </w:pPr>
      <w:r w:rsidRPr="002B74FD">
        <w:rPr>
          <w:rFonts w:ascii="Arial" w:hAnsi="Arial" w:cs="Arial"/>
          <w:i/>
          <w:iCs/>
          <w:sz w:val="20"/>
          <w:szCs w:val="20"/>
          <w:lang w:val="en-US"/>
        </w:rPr>
        <w:t>(c)</w:t>
      </w:r>
      <w:r w:rsidRPr="002B74FD">
        <w:rPr>
          <w:rFonts w:ascii="Arial" w:hAnsi="Arial" w:cs="Arial"/>
          <w:i/>
          <w:iCs/>
          <w:sz w:val="20"/>
          <w:szCs w:val="20"/>
          <w:lang w:val="en-US"/>
        </w:rPr>
        <w:tab/>
      </w:r>
      <w:r w:rsidR="0093139E" w:rsidRPr="002B74FD">
        <w:rPr>
          <w:rFonts w:ascii="Arial" w:hAnsi="Arial" w:cs="Arial"/>
          <w:i/>
          <w:iCs/>
          <w:sz w:val="20"/>
          <w:szCs w:val="20"/>
          <w:lang w:val="en-US"/>
        </w:rPr>
        <w:t>were such steps taken in the case in question?</w:t>
      </w:r>
      <w:r>
        <w:rPr>
          <w:rFonts w:ascii="Arial" w:hAnsi="Arial" w:cs="Arial"/>
          <w:sz w:val="24"/>
          <w:szCs w:val="24"/>
          <w:lang w:val="en-US"/>
        </w:rPr>
        <w:t>”</w:t>
      </w:r>
      <w:r w:rsidR="0093139E" w:rsidRPr="0093139E">
        <w:rPr>
          <w:rStyle w:val="FootnoteReference"/>
          <w:rFonts w:ascii="Arial" w:hAnsi="Arial" w:cs="Arial"/>
          <w:sz w:val="24"/>
          <w:szCs w:val="24"/>
          <w:lang w:val="en-US"/>
        </w:rPr>
        <w:footnoteReference w:id="18"/>
      </w:r>
      <w:r w:rsidR="0093139E" w:rsidRPr="0093139E">
        <w:rPr>
          <w:rFonts w:ascii="Arial" w:hAnsi="Arial" w:cs="Arial"/>
          <w:sz w:val="24"/>
          <w:szCs w:val="24"/>
          <w:lang w:val="en-US"/>
        </w:rPr>
        <w:t xml:space="preserve"> </w:t>
      </w:r>
    </w:p>
    <w:p w14:paraId="2E41A125" w14:textId="774C8087" w:rsidR="00900218" w:rsidRPr="00900218" w:rsidRDefault="00900218" w:rsidP="00900218">
      <w:pPr>
        <w:pStyle w:val="ListParagraph"/>
        <w:numPr>
          <w:ilvl w:val="0"/>
          <w:numId w:val="1"/>
        </w:numPr>
        <w:spacing w:after="0" w:line="480" w:lineRule="auto"/>
        <w:ind w:left="851" w:hanging="851"/>
        <w:jc w:val="both"/>
        <w:rPr>
          <w:rFonts w:ascii="Arial" w:hAnsi="Arial" w:cs="Arial"/>
          <w:sz w:val="24"/>
          <w:szCs w:val="24"/>
        </w:rPr>
      </w:pPr>
      <w:r w:rsidRPr="00900218">
        <w:rPr>
          <w:rFonts w:ascii="Arial" w:hAnsi="Arial" w:cs="Arial"/>
          <w:sz w:val="24"/>
          <w:szCs w:val="24"/>
          <w:lang w:val="en-US"/>
        </w:rPr>
        <w:lastRenderedPageBreak/>
        <w:t>The</w:t>
      </w:r>
      <w:r>
        <w:rPr>
          <w:rFonts w:ascii="Arial" w:hAnsi="Arial" w:cs="Arial"/>
          <w:sz w:val="24"/>
          <w:szCs w:val="24"/>
          <w:lang w:val="en-US"/>
        </w:rPr>
        <w:t xml:space="preserve"> test </w:t>
      </w:r>
      <w:r w:rsidR="00917344">
        <w:rPr>
          <w:rFonts w:ascii="Arial" w:hAnsi="Arial" w:cs="Arial"/>
          <w:sz w:val="24"/>
          <w:szCs w:val="24"/>
          <w:lang w:val="en-US"/>
        </w:rPr>
        <w:t>set out in</w:t>
      </w:r>
      <w:r w:rsidRPr="00900218">
        <w:rPr>
          <w:rFonts w:ascii="Arial" w:hAnsi="Arial" w:cs="Arial"/>
          <w:sz w:val="24"/>
          <w:szCs w:val="24"/>
          <w:lang w:val="en-US"/>
        </w:rPr>
        <w:t xml:space="preserve"> </w:t>
      </w:r>
      <w:r w:rsidRPr="00917344">
        <w:rPr>
          <w:rFonts w:ascii="Arial" w:hAnsi="Arial" w:cs="Arial"/>
          <w:bCs/>
          <w:i/>
          <w:sz w:val="24"/>
          <w:szCs w:val="24"/>
          <w:lang w:val="en-US"/>
        </w:rPr>
        <w:t>Langley Fox</w:t>
      </w:r>
      <w:r w:rsidRPr="00917344">
        <w:rPr>
          <w:rFonts w:ascii="Arial" w:hAnsi="Arial" w:cs="Arial"/>
          <w:bCs/>
          <w:sz w:val="24"/>
          <w:szCs w:val="24"/>
          <w:lang w:val="en-US"/>
        </w:rPr>
        <w:t xml:space="preserve"> </w:t>
      </w:r>
      <w:r w:rsidRPr="00900218">
        <w:rPr>
          <w:rFonts w:ascii="Arial" w:hAnsi="Arial" w:cs="Arial"/>
          <w:sz w:val="24"/>
          <w:szCs w:val="24"/>
          <w:lang w:val="en-US"/>
        </w:rPr>
        <w:t>has been said to repeat</w:t>
      </w:r>
      <w:r w:rsidR="00917344">
        <w:rPr>
          <w:rFonts w:ascii="Arial" w:hAnsi="Arial" w:cs="Arial"/>
          <w:sz w:val="24"/>
          <w:szCs w:val="24"/>
          <w:lang w:val="en-US"/>
        </w:rPr>
        <w:t>,</w:t>
      </w:r>
      <w:r w:rsidRPr="00900218">
        <w:rPr>
          <w:rFonts w:ascii="Arial" w:hAnsi="Arial" w:cs="Arial"/>
          <w:sz w:val="24"/>
          <w:szCs w:val="24"/>
          <w:lang w:val="en-US"/>
        </w:rPr>
        <w:t xml:space="preserve"> in substance</w:t>
      </w:r>
      <w:r w:rsidR="00917344">
        <w:rPr>
          <w:rFonts w:ascii="Arial" w:hAnsi="Arial" w:cs="Arial"/>
          <w:sz w:val="24"/>
          <w:szCs w:val="24"/>
          <w:lang w:val="en-US"/>
        </w:rPr>
        <w:t>,</w:t>
      </w:r>
      <w:r w:rsidRPr="00900218">
        <w:rPr>
          <w:rFonts w:ascii="Arial" w:hAnsi="Arial" w:cs="Arial"/>
          <w:sz w:val="24"/>
          <w:szCs w:val="24"/>
          <w:lang w:val="en-US"/>
        </w:rPr>
        <w:t xml:space="preserve"> the traditional test for negligence articulated in </w:t>
      </w:r>
      <w:r w:rsidRPr="00917344">
        <w:rPr>
          <w:rFonts w:ascii="Arial" w:hAnsi="Arial" w:cs="Arial"/>
          <w:bCs/>
          <w:i/>
          <w:sz w:val="24"/>
          <w:szCs w:val="24"/>
          <w:lang w:val="en-US"/>
        </w:rPr>
        <w:t>Kruger v Coetzee</w:t>
      </w:r>
      <w:r w:rsidRPr="00900218">
        <w:rPr>
          <w:rFonts w:ascii="Arial" w:hAnsi="Arial" w:cs="Arial"/>
          <w:sz w:val="24"/>
          <w:szCs w:val="24"/>
          <w:lang w:val="en-US"/>
        </w:rPr>
        <w:t>.</w:t>
      </w:r>
      <w:r w:rsidRPr="0093139E">
        <w:rPr>
          <w:rStyle w:val="FootnoteReference"/>
          <w:rFonts w:ascii="Arial" w:hAnsi="Arial" w:cs="Arial"/>
          <w:sz w:val="24"/>
          <w:szCs w:val="24"/>
          <w:lang w:val="en-US"/>
        </w:rPr>
        <w:footnoteReference w:id="19"/>
      </w:r>
    </w:p>
    <w:p w14:paraId="7708F8E7" w14:textId="77777777" w:rsidR="00900218" w:rsidRDefault="00900218" w:rsidP="00A10948">
      <w:pPr>
        <w:pStyle w:val="ListParagraph"/>
        <w:spacing w:after="0" w:line="480" w:lineRule="auto"/>
        <w:ind w:left="851"/>
        <w:jc w:val="both"/>
        <w:rPr>
          <w:rFonts w:ascii="Arial" w:hAnsi="Arial" w:cs="Arial"/>
          <w:sz w:val="24"/>
          <w:szCs w:val="24"/>
        </w:rPr>
      </w:pPr>
    </w:p>
    <w:p w14:paraId="44F40B0A" w14:textId="030878A5" w:rsidR="002B74FD" w:rsidRDefault="002B74FD" w:rsidP="002B74FD">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determining the answer to the second enquiry into negligence</w:t>
      </w:r>
      <w:r w:rsidR="008F4329">
        <w:rPr>
          <w:rFonts w:ascii="Arial" w:hAnsi="Arial" w:cs="Arial"/>
          <w:sz w:val="24"/>
          <w:szCs w:val="24"/>
        </w:rPr>
        <w:t>, the court emphasised the following factors, which were by no means an exhaustive list:</w:t>
      </w:r>
    </w:p>
    <w:p w14:paraId="7B8FCC2F" w14:textId="56992028" w:rsidR="008F4329" w:rsidRDefault="008F4329" w:rsidP="00900218">
      <w:pPr>
        <w:pStyle w:val="ListParagraph"/>
        <w:spacing w:after="0" w:line="360" w:lineRule="auto"/>
        <w:ind w:left="851"/>
        <w:jc w:val="both"/>
        <w:rPr>
          <w:rFonts w:ascii="Arial" w:hAnsi="Arial" w:cs="Arial"/>
          <w:sz w:val="24"/>
          <w:szCs w:val="24"/>
        </w:rPr>
      </w:pPr>
    </w:p>
    <w:p w14:paraId="4B738CC0" w14:textId="7683A0FB" w:rsidR="008F4329" w:rsidRPr="002B74FD" w:rsidRDefault="008F4329" w:rsidP="008F4329">
      <w:pPr>
        <w:pStyle w:val="ListParagraph"/>
        <w:spacing w:after="0" w:line="360" w:lineRule="auto"/>
        <w:ind w:left="851"/>
        <w:jc w:val="both"/>
        <w:rPr>
          <w:rFonts w:ascii="Arial" w:hAnsi="Arial" w:cs="Arial"/>
          <w:sz w:val="24"/>
          <w:szCs w:val="24"/>
        </w:rPr>
      </w:pPr>
      <w:r>
        <w:rPr>
          <w:rFonts w:ascii="Arial" w:hAnsi="Arial" w:cs="Arial"/>
          <w:sz w:val="24"/>
          <w:szCs w:val="24"/>
        </w:rPr>
        <w:t>“</w:t>
      </w:r>
      <w:r w:rsidRPr="008F4329">
        <w:rPr>
          <w:rFonts w:ascii="Arial" w:hAnsi="Arial" w:cs="Arial"/>
          <w:i/>
          <w:iCs/>
          <w:sz w:val="20"/>
          <w:szCs w:val="20"/>
        </w:rPr>
        <w:t>[t]he nature of the danger; the context in which the danger may arise; the degree of expertise available to the employer and the independent contractor respectively; and the means available to the employer to avert the danger.</w:t>
      </w:r>
      <w:r>
        <w:rPr>
          <w:rFonts w:ascii="Arial" w:hAnsi="Arial" w:cs="Arial"/>
          <w:sz w:val="24"/>
          <w:szCs w:val="24"/>
        </w:rPr>
        <w:t>”</w:t>
      </w:r>
    </w:p>
    <w:p w14:paraId="18C2E4DD" w14:textId="77777777" w:rsidR="008F4329" w:rsidRPr="008F4329" w:rsidRDefault="008F4329" w:rsidP="008F4329">
      <w:pPr>
        <w:pStyle w:val="ListParagraph"/>
        <w:spacing w:after="0" w:line="480" w:lineRule="auto"/>
        <w:ind w:left="851"/>
        <w:jc w:val="both"/>
        <w:rPr>
          <w:rFonts w:ascii="Arial" w:hAnsi="Arial" w:cs="Arial"/>
          <w:sz w:val="24"/>
          <w:szCs w:val="24"/>
        </w:rPr>
      </w:pPr>
    </w:p>
    <w:p w14:paraId="7D83AFB2" w14:textId="77777777" w:rsidR="001136C7" w:rsidRPr="001136C7" w:rsidRDefault="0093139E" w:rsidP="002B74FD">
      <w:pPr>
        <w:pStyle w:val="ListParagraph"/>
        <w:numPr>
          <w:ilvl w:val="0"/>
          <w:numId w:val="1"/>
        </w:numPr>
        <w:spacing w:after="0" w:line="480" w:lineRule="auto"/>
        <w:ind w:left="851" w:hanging="851"/>
        <w:jc w:val="both"/>
        <w:rPr>
          <w:rFonts w:ascii="Arial" w:hAnsi="Arial" w:cs="Arial"/>
          <w:sz w:val="24"/>
          <w:szCs w:val="24"/>
        </w:rPr>
      </w:pPr>
      <w:r w:rsidRPr="002B74FD">
        <w:rPr>
          <w:rFonts w:ascii="Arial" w:hAnsi="Arial" w:cs="Arial"/>
          <w:sz w:val="24"/>
          <w:szCs w:val="24"/>
          <w:lang w:val="en-US"/>
        </w:rPr>
        <w:t>Only where the answer to the first two questions is in the affirmative does a legal duty arise, the failure to comply with which can form the basis of liability.</w:t>
      </w:r>
      <w:r w:rsidRPr="0093139E">
        <w:rPr>
          <w:rStyle w:val="FootnoteReference"/>
          <w:rFonts w:ascii="Arial" w:hAnsi="Arial" w:cs="Arial"/>
          <w:sz w:val="24"/>
          <w:szCs w:val="24"/>
          <w:lang w:val="en-US"/>
        </w:rPr>
        <w:footnoteReference w:id="20"/>
      </w:r>
      <w:r w:rsidRPr="002B74FD">
        <w:rPr>
          <w:rFonts w:ascii="Arial" w:hAnsi="Arial" w:cs="Arial"/>
          <w:sz w:val="24"/>
          <w:szCs w:val="24"/>
          <w:lang w:val="en-US"/>
        </w:rPr>
        <w:t xml:space="preserve"> </w:t>
      </w:r>
    </w:p>
    <w:p w14:paraId="2E41A13B" w14:textId="77777777" w:rsidR="001136C7" w:rsidRPr="001136C7" w:rsidRDefault="001136C7" w:rsidP="001136C7">
      <w:pPr>
        <w:pStyle w:val="ListParagraph"/>
        <w:spacing w:after="0" w:line="480" w:lineRule="auto"/>
        <w:ind w:left="851"/>
        <w:jc w:val="both"/>
        <w:rPr>
          <w:rFonts w:ascii="Arial" w:hAnsi="Arial" w:cs="Arial"/>
          <w:sz w:val="24"/>
          <w:szCs w:val="24"/>
        </w:rPr>
      </w:pPr>
    </w:p>
    <w:p w14:paraId="364BEFA2" w14:textId="77777777" w:rsidR="00DC4D8F" w:rsidRDefault="0043394F" w:rsidP="009C5F7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the present instance, the plaintiff’s case at trial </w:t>
      </w:r>
      <w:r w:rsidR="001E2F75">
        <w:rPr>
          <w:rFonts w:ascii="Arial" w:hAnsi="Arial" w:cs="Arial"/>
          <w:sz w:val="24"/>
          <w:szCs w:val="24"/>
        </w:rPr>
        <w:t>was</w:t>
      </w:r>
      <w:r>
        <w:rPr>
          <w:rFonts w:ascii="Arial" w:hAnsi="Arial" w:cs="Arial"/>
          <w:sz w:val="24"/>
          <w:szCs w:val="24"/>
        </w:rPr>
        <w:t xml:space="preserve"> that the first defendant as custodian of the building, and the second defendant as the occupier thereof, were under a legal duty to the plaintiff, and the public at large, to ensure that the buildings, including the floors of the building’s passageways, for which they were responsible, are safe and free of obvious hazards which would pose a risk to members of the public.  </w:t>
      </w:r>
      <w:r w:rsidR="00A4241E">
        <w:rPr>
          <w:rFonts w:ascii="Arial" w:hAnsi="Arial" w:cs="Arial"/>
          <w:sz w:val="24"/>
          <w:szCs w:val="24"/>
        </w:rPr>
        <w:t xml:space="preserve">Whilst the first defendant, admitted the aforesaid legal duty on the pleadings, </w:t>
      </w:r>
      <w:r w:rsidR="00807B9C">
        <w:rPr>
          <w:rFonts w:ascii="Arial" w:hAnsi="Arial" w:cs="Arial"/>
          <w:sz w:val="24"/>
          <w:szCs w:val="24"/>
        </w:rPr>
        <w:t>the</w:t>
      </w:r>
      <w:r w:rsidR="00262BE9">
        <w:rPr>
          <w:rFonts w:ascii="Arial" w:hAnsi="Arial" w:cs="Arial"/>
          <w:sz w:val="24"/>
          <w:szCs w:val="24"/>
        </w:rPr>
        <w:t xml:space="preserve"> legal duty </w:t>
      </w:r>
      <w:r w:rsidR="00807B9C">
        <w:rPr>
          <w:rFonts w:ascii="Arial" w:hAnsi="Arial" w:cs="Arial"/>
          <w:sz w:val="24"/>
          <w:szCs w:val="24"/>
        </w:rPr>
        <w:t xml:space="preserve">which rested upon the </w:t>
      </w:r>
      <w:r w:rsidR="00262BE9">
        <w:rPr>
          <w:rFonts w:ascii="Arial" w:hAnsi="Arial" w:cs="Arial"/>
          <w:sz w:val="24"/>
          <w:szCs w:val="24"/>
        </w:rPr>
        <w:t xml:space="preserve">second defendant was </w:t>
      </w:r>
      <w:r w:rsidR="00DE7747">
        <w:rPr>
          <w:rFonts w:ascii="Arial" w:hAnsi="Arial" w:cs="Arial"/>
          <w:sz w:val="24"/>
          <w:szCs w:val="24"/>
        </w:rPr>
        <w:t>un</w:t>
      </w:r>
      <w:r w:rsidR="00262BE9">
        <w:rPr>
          <w:rFonts w:ascii="Arial" w:hAnsi="Arial" w:cs="Arial"/>
          <w:sz w:val="24"/>
          <w:szCs w:val="24"/>
        </w:rPr>
        <w:t xml:space="preserve">disputed in evidence.  </w:t>
      </w:r>
    </w:p>
    <w:p w14:paraId="7C58E043" w14:textId="77777777" w:rsidR="00DC4D8F" w:rsidRDefault="00DC4D8F" w:rsidP="00DC4D8F">
      <w:pPr>
        <w:pStyle w:val="ListParagraph"/>
        <w:spacing w:after="0" w:line="480" w:lineRule="auto"/>
        <w:ind w:left="851"/>
        <w:jc w:val="both"/>
        <w:rPr>
          <w:rFonts w:ascii="Arial" w:hAnsi="Arial" w:cs="Arial"/>
          <w:sz w:val="24"/>
          <w:szCs w:val="24"/>
        </w:rPr>
      </w:pPr>
    </w:p>
    <w:p w14:paraId="290E206C" w14:textId="77777777" w:rsidR="00C95626" w:rsidRDefault="0043394F" w:rsidP="009C5F7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 am satisfied that the</w:t>
      </w:r>
      <w:r w:rsidR="00DE7747">
        <w:rPr>
          <w:rFonts w:ascii="Arial" w:hAnsi="Arial" w:cs="Arial"/>
          <w:sz w:val="24"/>
          <w:szCs w:val="24"/>
        </w:rPr>
        <w:t xml:space="preserve"> legal</w:t>
      </w:r>
      <w:r>
        <w:rPr>
          <w:rFonts w:ascii="Arial" w:hAnsi="Arial" w:cs="Arial"/>
          <w:sz w:val="24"/>
          <w:szCs w:val="24"/>
        </w:rPr>
        <w:t xml:space="preserve"> duty </w:t>
      </w:r>
      <w:r w:rsidR="004D29E3">
        <w:rPr>
          <w:rFonts w:ascii="Arial" w:hAnsi="Arial" w:cs="Arial"/>
          <w:sz w:val="24"/>
          <w:szCs w:val="24"/>
        </w:rPr>
        <w:t xml:space="preserve">as </w:t>
      </w:r>
      <w:r>
        <w:rPr>
          <w:rFonts w:ascii="Arial" w:hAnsi="Arial" w:cs="Arial"/>
          <w:sz w:val="24"/>
          <w:szCs w:val="24"/>
        </w:rPr>
        <w:t>pleaded, was established by the plaintiff in respect of both defendants</w:t>
      </w:r>
      <w:r w:rsidR="00C95626">
        <w:rPr>
          <w:rFonts w:ascii="Arial" w:hAnsi="Arial" w:cs="Arial"/>
          <w:sz w:val="24"/>
          <w:szCs w:val="24"/>
        </w:rPr>
        <w:t>.</w:t>
      </w:r>
      <w:r w:rsidR="004D29E3">
        <w:rPr>
          <w:rFonts w:ascii="Arial" w:hAnsi="Arial" w:cs="Arial"/>
          <w:sz w:val="24"/>
          <w:szCs w:val="24"/>
        </w:rPr>
        <w:t xml:space="preserve"> </w:t>
      </w:r>
    </w:p>
    <w:p w14:paraId="19C2FF30" w14:textId="27696BEC" w:rsidR="00A0029A" w:rsidRDefault="00C95626" w:rsidP="00E448AE">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It was </w:t>
      </w:r>
      <w:r w:rsidR="005E1D11">
        <w:rPr>
          <w:rFonts w:ascii="Arial" w:hAnsi="Arial" w:cs="Arial"/>
          <w:sz w:val="24"/>
          <w:szCs w:val="24"/>
        </w:rPr>
        <w:t>submitted,</w:t>
      </w:r>
      <w:r>
        <w:rPr>
          <w:rFonts w:ascii="Arial" w:hAnsi="Arial" w:cs="Arial"/>
          <w:sz w:val="24"/>
          <w:szCs w:val="24"/>
        </w:rPr>
        <w:t xml:space="preserve"> on behalf of the plaintiff</w:t>
      </w:r>
      <w:r w:rsidR="005E1D11">
        <w:rPr>
          <w:rFonts w:ascii="Arial" w:hAnsi="Arial" w:cs="Arial"/>
          <w:sz w:val="24"/>
          <w:szCs w:val="24"/>
        </w:rPr>
        <w:t>,</w:t>
      </w:r>
      <w:r>
        <w:rPr>
          <w:rFonts w:ascii="Arial" w:hAnsi="Arial" w:cs="Arial"/>
          <w:sz w:val="24"/>
          <w:szCs w:val="24"/>
        </w:rPr>
        <w:t xml:space="preserve"> that </w:t>
      </w:r>
      <w:r w:rsidR="00842593">
        <w:rPr>
          <w:rFonts w:ascii="Arial" w:hAnsi="Arial" w:cs="Arial"/>
          <w:sz w:val="24"/>
          <w:szCs w:val="24"/>
        </w:rPr>
        <w:t xml:space="preserve">the </w:t>
      </w:r>
      <w:r w:rsidR="00B81858">
        <w:rPr>
          <w:rFonts w:ascii="Arial" w:hAnsi="Arial" w:cs="Arial"/>
          <w:sz w:val="24"/>
          <w:szCs w:val="24"/>
        </w:rPr>
        <w:t xml:space="preserve">defendants’ </w:t>
      </w:r>
      <w:r w:rsidR="00842593">
        <w:rPr>
          <w:rFonts w:ascii="Arial" w:hAnsi="Arial" w:cs="Arial"/>
          <w:sz w:val="24"/>
          <w:szCs w:val="24"/>
        </w:rPr>
        <w:t>legal duty</w:t>
      </w:r>
      <w:r w:rsidR="005E1D11">
        <w:rPr>
          <w:rFonts w:ascii="Arial" w:hAnsi="Arial" w:cs="Arial"/>
          <w:sz w:val="24"/>
          <w:szCs w:val="24"/>
        </w:rPr>
        <w:t xml:space="preserve"> </w:t>
      </w:r>
      <w:r w:rsidR="00A0029A">
        <w:rPr>
          <w:rFonts w:ascii="Arial" w:hAnsi="Arial" w:cs="Arial"/>
          <w:sz w:val="24"/>
          <w:szCs w:val="24"/>
        </w:rPr>
        <w:t xml:space="preserve">cannot be contracted out of, and cited as authority, </w:t>
      </w:r>
      <w:r w:rsidR="00A0029A" w:rsidRPr="005C1C42">
        <w:rPr>
          <w:rFonts w:ascii="Arial" w:hAnsi="Arial" w:cs="Arial"/>
          <w:i/>
          <w:iCs/>
          <w:sz w:val="24"/>
          <w:szCs w:val="24"/>
        </w:rPr>
        <w:t>De Kock v Minister of Public Works</w:t>
      </w:r>
      <w:r w:rsidR="00A0029A">
        <w:rPr>
          <w:rFonts w:ascii="Arial" w:hAnsi="Arial" w:cs="Arial"/>
          <w:i/>
          <w:iCs/>
          <w:sz w:val="24"/>
          <w:szCs w:val="24"/>
        </w:rPr>
        <w:t>.</w:t>
      </w:r>
      <w:r w:rsidR="00A0029A">
        <w:rPr>
          <w:rStyle w:val="FootnoteReference"/>
          <w:rFonts w:ascii="Arial" w:hAnsi="Arial" w:cs="Arial"/>
          <w:sz w:val="24"/>
          <w:szCs w:val="24"/>
        </w:rPr>
        <w:footnoteReference w:id="21"/>
      </w:r>
      <w:r w:rsidR="00747EB5">
        <w:rPr>
          <w:rFonts w:ascii="Arial" w:hAnsi="Arial" w:cs="Arial"/>
          <w:sz w:val="24"/>
          <w:szCs w:val="24"/>
        </w:rPr>
        <w:t xml:space="preserve">  I disagree that the findings in </w:t>
      </w:r>
      <w:r w:rsidR="00747EB5">
        <w:rPr>
          <w:rFonts w:ascii="Arial" w:hAnsi="Arial" w:cs="Arial"/>
          <w:i/>
          <w:iCs/>
          <w:sz w:val="24"/>
          <w:szCs w:val="24"/>
        </w:rPr>
        <w:t>De Kock</w:t>
      </w:r>
      <w:r w:rsidR="006A6970">
        <w:rPr>
          <w:rFonts w:ascii="Arial" w:hAnsi="Arial" w:cs="Arial"/>
          <w:i/>
          <w:iCs/>
          <w:sz w:val="24"/>
          <w:szCs w:val="24"/>
        </w:rPr>
        <w:t xml:space="preserve"> are </w:t>
      </w:r>
      <w:r w:rsidR="006A6970" w:rsidRPr="006A6970">
        <w:rPr>
          <w:rFonts w:ascii="Arial" w:hAnsi="Arial" w:cs="Arial"/>
          <w:sz w:val="24"/>
          <w:szCs w:val="24"/>
        </w:rPr>
        <w:t>authority</w:t>
      </w:r>
      <w:r w:rsidR="006A6970">
        <w:rPr>
          <w:rFonts w:ascii="Arial" w:hAnsi="Arial" w:cs="Arial"/>
          <w:i/>
          <w:iCs/>
          <w:sz w:val="24"/>
          <w:szCs w:val="24"/>
        </w:rPr>
        <w:t xml:space="preserve"> </w:t>
      </w:r>
      <w:r w:rsidR="006A6970">
        <w:rPr>
          <w:rFonts w:ascii="Arial" w:hAnsi="Arial" w:cs="Arial"/>
          <w:sz w:val="24"/>
          <w:szCs w:val="24"/>
        </w:rPr>
        <w:t>for such proposition.  To hold otherwise would be to endorse the existence of a non-delegable</w:t>
      </w:r>
      <w:r w:rsidR="00BC296F">
        <w:rPr>
          <w:rFonts w:ascii="Arial" w:hAnsi="Arial" w:cs="Arial"/>
          <w:sz w:val="24"/>
          <w:szCs w:val="24"/>
        </w:rPr>
        <w:t xml:space="preserve"> duty</w:t>
      </w:r>
      <w:r w:rsidR="00F4788D">
        <w:rPr>
          <w:rFonts w:ascii="Arial" w:hAnsi="Arial" w:cs="Arial"/>
          <w:sz w:val="24"/>
          <w:szCs w:val="24"/>
        </w:rPr>
        <w:t>,</w:t>
      </w:r>
      <w:r w:rsidR="00BC296F">
        <w:rPr>
          <w:rFonts w:ascii="Arial" w:hAnsi="Arial" w:cs="Arial"/>
          <w:sz w:val="24"/>
          <w:szCs w:val="24"/>
        </w:rPr>
        <w:t xml:space="preserve"> which the Supreme Court of Appeal has cautioned against.</w:t>
      </w:r>
      <w:r w:rsidR="006A6970">
        <w:rPr>
          <w:rFonts w:ascii="Arial" w:hAnsi="Arial" w:cs="Arial"/>
          <w:sz w:val="24"/>
          <w:szCs w:val="24"/>
        </w:rPr>
        <w:t xml:space="preserve">  </w:t>
      </w:r>
      <w:r w:rsidR="00747EB5">
        <w:rPr>
          <w:rFonts w:ascii="Arial" w:hAnsi="Arial" w:cs="Arial"/>
          <w:sz w:val="24"/>
          <w:szCs w:val="24"/>
        </w:rPr>
        <w:t xml:space="preserve"> </w:t>
      </w:r>
    </w:p>
    <w:p w14:paraId="4F665411" w14:textId="77777777" w:rsidR="00E448AE" w:rsidRPr="00E448AE" w:rsidRDefault="00E448AE" w:rsidP="00E448AE">
      <w:pPr>
        <w:pStyle w:val="ListParagraph"/>
        <w:spacing w:after="0" w:line="480" w:lineRule="auto"/>
        <w:rPr>
          <w:rFonts w:ascii="Arial" w:hAnsi="Arial" w:cs="Arial"/>
          <w:sz w:val="24"/>
          <w:szCs w:val="24"/>
        </w:rPr>
      </w:pPr>
    </w:p>
    <w:p w14:paraId="66209D9A" w14:textId="4822F652" w:rsidR="00C229A7" w:rsidRDefault="00E448AE" w:rsidP="00E448AE">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w:t>
      </w:r>
      <w:r w:rsidRPr="00E448AE">
        <w:rPr>
          <w:rFonts w:ascii="Arial" w:hAnsi="Arial" w:cs="Arial"/>
          <w:i/>
          <w:iCs/>
          <w:sz w:val="24"/>
          <w:szCs w:val="24"/>
        </w:rPr>
        <w:t>De Kock</w:t>
      </w:r>
      <w:r>
        <w:rPr>
          <w:rFonts w:ascii="Arial" w:hAnsi="Arial" w:cs="Arial"/>
          <w:i/>
          <w:iCs/>
          <w:sz w:val="24"/>
          <w:szCs w:val="24"/>
        </w:rPr>
        <w:t xml:space="preserve"> (supra)</w:t>
      </w:r>
      <w:r w:rsidRPr="00E448AE">
        <w:rPr>
          <w:rFonts w:ascii="Arial" w:hAnsi="Arial" w:cs="Arial"/>
          <w:sz w:val="24"/>
          <w:szCs w:val="24"/>
        </w:rPr>
        <w:t>,</w:t>
      </w:r>
      <w:r>
        <w:rPr>
          <w:rFonts w:ascii="Arial" w:hAnsi="Arial" w:cs="Arial"/>
          <w:sz w:val="24"/>
          <w:szCs w:val="24"/>
        </w:rPr>
        <w:t xml:space="preserve"> the plaintiff, who was employed as a prosecutor, slipped and fell whilst walking in the court passageway at the Bhisho High Court and sustained certain bodily injuries.  The plaintiff thereafter instituted action against the Minister of Public Works.  In his plea, the defendant admitted that court buildings fall under his authority and that it was his responsibility to supply the court cleaners with cleaning and maintenance materials, but that such cleaners were employed by the Minister of Justice and Constitutional Development.  For that reason, the defendant contended that </w:t>
      </w:r>
      <w:r w:rsidR="005C32D8">
        <w:rPr>
          <w:rFonts w:ascii="Arial" w:hAnsi="Arial" w:cs="Arial"/>
          <w:sz w:val="24"/>
          <w:szCs w:val="24"/>
        </w:rPr>
        <w:t>he</w:t>
      </w:r>
      <w:r>
        <w:rPr>
          <w:rFonts w:ascii="Arial" w:hAnsi="Arial" w:cs="Arial"/>
          <w:sz w:val="24"/>
          <w:szCs w:val="24"/>
        </w:rPr>
        <w:t xml:space="preserve"> could not be held liable for the cleaners</w:t>
      </w:r>
      <w:r w:rsidR="00C229A7">
        <w:rPr>
          <w:rFonts w:ascii="Arial" w:hAnsi="Arial" w:cs="Arial"/>
          <w:sz w:val="24"/>
          <w:szCs w:val="24"/>
        </w:rPr>
        <w:t>’</w:t>
      </w:r>
      <w:r>
        <w:rPr>
          <w:rFonts w:ascii="Arial" w:hAnsi="Arial" w:cs="Arial"/>
          <w:sz w:val="24"/>
          <w:szCs w:val="24"/>
        </w:rPr>
        <w:t xml:space="preserve"> negligence. </w:t>
      </w:r>
      <w:r w:rsidR="00C229A7">
        <w:rPr>
          <w:rFonts w:ascii="Arial" w:hAnsi="Arial" w:cs="Arial"/>
          <w:sz w:val="24"/>
          <w:szCs w:val="24"/>
        </w:rPr>
        <w:t xml:space="preserve"> In this regard, the court stated as follows:</w:t>
      </w:r>
      <w:r w:rsidR="00B06072">
        <w:rPr>
          <w:rStyle w:val="FootnoteReference"/>
          <w:rFonts w:ascii="Arial" w:hAnsi="Arial" w:cs="Arial"/>
          <w:sz w:val="24"/>
          <w:szCs w:val="24"/>
        </w:rPr>
        <w:footnoteReference w:id="22"/>
      </w:r>
    </w:p>
    <w:p w14:paraId="0C4B0626" w14:textId="77777777" w:rsidR="00C229A7" w:rsidRPr="00C229A7" w:rsidRDefault="00C229A7" w:rsidP="00C229A7">
      <w:pPr>
        <w:pStyle w:val="ListParagraph"/>
        <w:rPr>
          <w:rFonts w:ascii="Arial" w:hAnsi="Arial" w:cs="Arial"/>
          <w:sz w:val="24"/>
          <w:szCs w:val="24"/>
        </w:rPr>
      </w:pPr>
    </w:p>
    <w:p w14:paraId="68C49D7E" w14:textId="284AA876" w:rsidR="00A0029A" w:rsidRPr="006E5B00" w:rsidRDefault="00C229A7" w:rsidP="006E5B00">
      <w:pPr>
        <w:pStyle w:val="ListParagraph"/>
        <w:spacing w:after="0" w:line="360" w:lineRule="auto"/>
        <w:ind w:left="851"/>
        <w:jc w:val="both"/>
        <w:rPr>
          <w:rFonts w:ascii="Arial" w:hAnsi="Arial" w:cs="Arial"/>
          <w:sz w:val="24"/>
          <w:szCs w:val="24"/>
        </w:rPr>
      </w:pPr>
      <w:r>
        <w:rPr>
          <w:rFonts w:ascii="Arial" w:hAnsi="Arial" w:cs="Arial"/>
          <w:sz w:val="24"/>
          <w:szCs w:val="24"/>
        </w:rPr>
        <w:t>“</w:t>
      </w:r>
      <w:r w:rsidRPr="0088616B">
        <w:rPr>
          <w:rFonts w:ascii="Arial" w:hAnsi="Arial" w:cs="Arial"/>
          <w:i/>
          <w:iCs/>
          <w:sz w:val="20"/>
          <w:szCs w:val="20"/>
        </w:rPr>
        <w:t>I may just mention in this regard that the attempt in the defendant’s pleadings to avoid liability by denying responsibility for the cleaners, which is, in my view, at odds with and cannot be sustained in the light of the admission by the defendant that his department is the “caretaker” of the relevant building, was prudently not pursued in argument by his counsel… It must therefore be accepted that the defendant has a duty to keep the buildings, including the floors of such buildings for which it holds responsibility… reasonably safe for the public using them</w:t>
      </w:r>
      <w:r w:rsidR="0088616B" w:rsidRPr="0088616B">
        <w:rPr>
          <w:rFonts w:ascii="Arial" w:hAnsi="Arial" w:cs="Arial"/>
          <w:i/>
          <w:iCs/>
          <w:sz w:val="20"/>
          <w:szCs w:val="20"/>
        </w:rPr>
        <w:t>.</w:t>
      </w:r>
      <w:r w:rsidR="0088616B">
        <w:rPr>
          <w:rFonts w:ascii="Arial" w:hAnsi="Arial" w:cs="Arial"/>
          <w:sz w:val="24"/>
          <w:szCs w:val="24"/>
        </w:rPr>
        <w:t>”</w:t>
      </w:r>
    </w:p>
    <w:p w14:paraId="78A31387" w14:textId="09009DFB" w:rsidR="00A0029A" w:rsidRDefault="00A0029A" w:rsidP="00A0029A">
      <w:pPr>
        <w:pStyle w:val="ListParagraph"/>
        <w:spacing w:after="0" w:line="480" w:lineRule="auto"/>
        <w:ind w:left="851"/>
        <w:jc w:val="both"/>
        <w:rPr>
          <w:rFonts w:ascii="Arial" w:hAnsi="Arial" w:cs="Arial"/>
          <w:sz w:val="24"/>
          <w:szCs w:val="24"/>
        </w:rPr>
      </w:pPr>
    </w:p>
    <w:p w14:paraId="42FBDE7F" w14:textId="18FA0CAD" w:rsidR="005D50D9" w:rsidRDefault="00976EAB" w:rsidP="00976EAB">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I understand the position in </w:t>
      </w:r>
      <w:r w:rsidRPr="009756B8">
        <w:rPr>
          <w:rFonts w:ascii="Arial" w:hAnsi="Arial" w:cs="Arial"/>
          <w:i/>
          <w:iCs/>
          <w:sz w:val="24"/>
          <w:szCs w:val="24"/>
        </w:rPr>
        <w:t>De Kock</w:t>
      </w:r>
      <w:r>
        <w:rPr>
          <w:rFonts w:ascii="Arial" w:hAnsi="Arial" w:cs="Arial"/>
          <w:sz w:val="24"/>
          <w:szCs w:val="24"/>
        </w:rPr>
        <w:t xml:space="preserve"> to be aligned with the principle </w:t>
      </w:r>
      <w:r w:rsidR="009756B8">
        <w:rPr>
          <w:rFonts w:ascii="Arial" w:hAnsi="Arial" w:cs="Arial"/>
          <w:sz w:val="24"/>
          <w:szCs w:val="24"/>
        </w:rPr>
        <w:t xml:space="preserve">enunciated in </w:t>
      </w:r>
      <w:r w:rsidR="009756B8" w:rsidRPr="009756B8">
        <w:rPr>
          <w:rFonts w:ascii="Arial" w:hAnsi="Arial" w:cs="Arial"/>
          <w:i/>
          <w:iCs/>
          <w:sz w:val="24"/>
          <w:szCs w:val="24"/>
        </w:rPr>
        <w:t>Alberts v Engelbrecht</w:t>
      </w:r>
      <w:r w:rsidR="003D5660">
        <w:rPr>
          <w:rFonts w:ascii="Arial" w:hAnsi="Arial" w:cs="Arial"/>
          <w:i/>
          <w:iCs/>
          <w:sz w:val="24"/>
          <w:szCs w:val="24"/>
        </w:rPr>
        <w:t>,</w:t>
      </w:r>
      <w:r w:rsidR="009756B8">
        <w:rPr>
          <w:rStyle w:val="FootnoteReference"/>
          <w:rFonts w:ascii="Arial" w:hAnsi="Arial" w:cs="Arial"/>
          <w:sz w:val="24"/>
          <w:szCs w:val="24"/>
        </w:rPr>
        <w:footnoteReference w:id="23"/>
      </w:r>
      <w:r w:rsidR="009756B8">
        <w:rPr>
          <w:rFonts w:ascii="Arial" w:hAnsi="Arial" w:cs="Arial"/>
          <w:sz w:val="24"/>
          <w:szCs w:val="24"/>
        </w:rPr>
        <w:t xml:space="preserve"> </w:t>
      </w:r>
      <w:r>
        <w:rPr>
          <w:rFonts w:ascii="Arial" w:hAnsi="Arial" w:cs="Arial"/>
          <w:sz w:val="24"/>
          <w:szCs w:val="24"/>
        </w:rPr>
        <w:t>that</w:t>
      </w:r>
      <w:r w:rsidR="009756B8">
        <w:rPr>
          <w:rFonts w:ascii="Arial" w:hAnsi="Arial" w:cs="Arial"/>
          <w:sz w:val="24"/>
          <w:szCs w:val="24"/>
        </w:rPr>
        <w:t xml:space="preserve"> a defendant, as a matter of law, has a duty to take reasonable steps to keep his premises reasonably safe at all times when members of the public may be using them.  </w:t>
      </w:r>
      <w:r w:rsidR="005D50D9">
        <w:rPr>
          <w:rFonts w:ascii="Arial" w:hAnsi="Arial" w:cs="Arial"/>
          <w:sz w:val="24"/>
          <w:szCs w:val="24"/>
        </w:rPr>
        <w:t>If liability were to attach to the principal</w:t>
      </w:r>
      <w:r w:rsidR="00DC61BC">
        <w:rPr>
          <w:rFonts w:ascii="Arial" w:hAnsi="Arial" w:cs="Arial"/>
          <w:sz w:val="24"/>
          <w:szCs w:val="24"/>
        </w:rPr>
        <w:t xml:space="preserve"> in such instance</w:t>
      </w:r>
      <w:r w:rsidR="005D50D9">
        <w:rPr>
          <w:rFonts w:ascii="Arial" w:hAnsi="Arial" w:cs="Arial"/>
          <w:sz w:val="24"/>
          <w:szCs w:val="24"/>
        </w:rPr>
        <w:t>, it would be as a consequence of his negligence in failing to take preventative measures to prevent the risk of harm from materialising that a reasonable person in those circumstances would have taken, rather than in accordance with a proposition framed in terms of a non-delegable duty.</w:t>
      </w:r>
      <w:r w:rsidR="005D50D9" w:rsidRPr="00307605">
        <w:rPr>
          <w:rStyle w:val="FootnoteReference"/>
          <w:rFonts w:ascii="Arial" w:hAnsi="Arial" w:cs="Arial"/>
          <w:sz w:val="24"/>
          <w:szCs w:val="24"/>
          <w:lang w:val="en-US"/>
        </w:rPr>
        <w:footnoteReference w:id="24"/>
      </w:r>
    </w:p>
    <w:p w14:paraId="451E499B" w14:textId="77777777" w:rsidR="007D3DD1" w:rsidRDefault="007D3DD1" w:rsidP="007D3DD1">
      <w:pPr>
        <w:pStyle w:val="ListParagraph"/>
        <w:spacing w:after="0" w:line="480" w:lineRule="auto"/>
        <w:ind w:left="851"/>
        <w:jc w:val="both"/>
        <w:rPr>
          <w:rFonts w:ascii="Arial" w:hAnsi="Arial" w:cs="Arial"/>
          <w:sz w:val="24"/>
          <w:szCs w:val="24"/>
        </w:rPr>
      </w:pPr>
    </w:p>
    <w:p w14:paraId="0B960F2E" w14:textId="627E0AC1" w:rsidR="00F67AB9" w:rsidRDefault="008A7366" w:rsidP="006E5B0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the present instance, the legal duty having been established, what remains to be considered is the </w:t>
      </w:r>
      <w:r w:rsidR="004D29E3">
        <w:rPr>
          <w:rFonts w:ascii="Arial" w:hAnsi="Arial" w:cs="Arial"/>
          <w:sz w:val="24"/>
          <w:szCs w:val="24"/>
        </w:rPr>
        <w:t>third enquiry as set out in Langley Fox</w:t>
      </w:r>
      <w:r w:rsidR="00C5342D">
        <w:rPr>
          <w:rFonts w:ascii="Arial" w:hAnsi="Arial" w:cs="Arial"/>
          <w:sz w:val="24"/>
          <w:szCs w:val="24"/>
        </w:rPr>
        <w:t>, namely, whether</w:t>
      </w:r>
      <w:r w:rsidR="00EF7291">
        <w:rPr>
          <w:rFonts w:ascii="Arial" w:hAnsi="Arial" w:cs="Arial"/>
          <w:sz w:val="24"/>
          <w:szCs w:val="24"/>
        </w:rPr>
        <w:t>, on the facts of this particular matter,</w:t>
      </w:r>
      <w:r w:rsidR="00C5342D">
        <w:rPr>
          <w:rFonts w:ascii="Arial" w:hAnsi="Arial" w:cs="Arial"/>
          <w:sz w:val="24"/>
          <w:szCs w:val="24"/>
        </w:rPr>
        <w:t xml:space="preserve"> steps to guard against the danger were taken</w:t>
      </w:r>
      <w:r w:rsidR="00EF7291">
        <w:rPr>
          <w:rFonts w:ascii="Arial" w:hAnsi="Arial" w:cs="Arial"/>
          <w:sz w:val="24"/>
          <w:szCs w:val="24"/>
        </w:rPr>
        <w:t xml:space="preserve"> by the defendants.  Put differently, </w:t>
      </w:r>
      <w:r w:rsidR="00B1269B">
        <w:rPr>
          <w:rFonts w:ascii="Arial" w:hAnsi="Arial" w:cs="Arial"/>
          <w:sz w:val="24"/>
          <w:szCs w:val="24"/>
        </w:rPr>
        <w:t xml:space="preserve">and in light of the defendants’ pleaded case, the </w:t>
      </w:r>
      <w:r w:rsidR="00D02725">
        <w:rPr>
          <w:rFonts w:ascii="Arial" w:hAnsi="Arial" w:cs="Arial"/>
          <w:sz w:val="24"/>
          <w:szCs w:val="24"/>
        </w:rPr>
        <w:t xml:space="preserve">appropriate </w:t>
      </w:r>
      <w:r w:rsidR="00B1269B">
        <w:rPr>
          <w:rFonts w:ascii="Arial" w:hAnsi="Arial" w:cs="Arial"/>
          <w:sz w:val="24"/>
          <w:szCs w:val="24"/>
        </w:rPr>
        <w:t xml:space="preserve">enquiry is whether </w:t>
      </w:r>
      <w:r>
        <w:rPr>
          <w:rFonts w:ascii="Arial" w:hAnsi="Arial" w:cs="Arial"/>
          <w:sz w:val="24"/>
          <w:szCs w:val="24"/>
        </w:rPr>
        <w:t xml:space="preserve">the defendants, discharged </w:t>
      </w:r>
      <w:r w:rsidR="005A3110">
        <w:rPr>
          <w:rFonts w:ascii="Arial" w:hAnsi="Arial" w:cs="Arial"/>
          <w:sz w:val="24"/>
          <w:szCs w:val="24"/>
        </w:rPr>
        <w:t>their legal</w:t>
      </w:r>
      <w:r>
        <w:rPr>
          <w:rFonts w:ascii="Arial" w:hAnsi="Arial" w:cs="Arial"/>
          <w:sz w:val="24"/>
          <w:szCs w:val="24"/>
        </w:rPr>
        <w:t xml:space="preserve"> duty by the appointment of Sky Ground</w:t>
      </w:r>
      <w:r w:rsidR="004855A4">
        <w:rPr>
          <w:rFonts w:ascii="Arial" w:hAnsi="Arial" w:cs="Arial"/>
          <w:sz w:val="24"/>
          <w:szCs w:val="24"/>
        </w:rPr>
        <w:t xml:space="preserve"> by the first defendant</w:t>
      </w:r>
      <w:r w:rsidR="0043394F">
        <w:rPr>
          <w:rFonts w:ascii="Arial" w:hAnsi="Arial" w:cs="Arial"/>
          <w:sz w:val="24"/>
          <w:szCs w:val="24"/>
        </w:rPr>
        <w:t>.</w:t>
      </w:r>
    </w:p>
    <w:p w14:paraId="16D10EB6" w14:textId="77777777" w:rsidR="00F67AB9" w:rsidRPr="00F67AB9" w:rsidRDefault="00F67AB9" w:rsidP="006E5B00">
      <w:pPr>
        <w:pStyle w:val="ListParagraph"/>
        <w:spacing w:after="0" w:line="480" w:lineRule="auto"/>
        <w:rPr>
          <w:rFonts w:ascii="Arial" w:hAnsi="Arial" w:cs="Arial"/>
          <w:sz w:val="24"/>
          <w:szCs w:val="24"/>
        </w:rPr>
      </w:pPr>
    </w:p>
    <w:p w14:paraId="532D7B20" w14:textId="77777777" w:rsidR="006E5B00" w:rsidRPr="002B74FD" w:rsidRDefault="006E5B00" w:rsidP="006E5B00">
      <w:pPr>
        <w:pStyle w:val="ListParagraph"/>
        <w:numPr>
          <w:ilvl w:val="0"/>
          <w:numId w:val="1"/>
        </w:numPr>
        <w:spacing w:after="0" w:line="480" w:lineRule="auto"/>
        <w:ind w:left="851" w:hanging="851"/>
        <w:jc w:val="both"/>
        <w:rPr>
          <w:rFonts w:ascii="Arial" w:hAnsi="Arial" w:cs="Arial"/>
          <w:sz w:val="24"/>
          <w:szCs w:val="24"/>
        </w:rPr>
      </w:pPr>
      <w:r w:rsidRPr="002B74FD">
        <w:rPr>
          <w:rFonts w:ascii="Arial" w:hAnsi="Arial" w:cs="Arial"/>
          <w:sz w:val="24"/>
          <w:szCs w:val="24"/>
          <w:lang w:val="en-US"/>
        </w:rPr>
        <w:t>The third requirement requires consideration of all the facts and circumstances of the case and ultimately the inquiry involves a value judgment.</w:t>
      </w:r>
      <w:r w:rsidRPr="0093139E">
        <w:rPr>
          <w:rStyle w:val="FootnoteReference"/>
          <w:rFonts w:ascii="Arial" w:hAnsi="Arial" w:cs="Arial"/>
          <w:sz w:val="24"/>
          <w:szCs w:val="24"/>
          <w:lang w:val="en-US"/>
        </w:rPr>
        <w:footnoteReference w:id="25"/>
      </w:r>
      <w:r w:rsidRPr="002B74FD">
        <w:rPr>
          <w:rFonts w:ascii="Arial" w:hAnsi="Arial" w:cs="Arial"/>
          <w:sz w:val="24"/>
          <w:szCs w:val="24"/>
          <w:lang w:val="en-US"/>
        </w:rPr>
        <w:t xml:space="preserve"> </w:t>
      </w:r>
      <w:r>
        <w:rPr>
          <w:rFonts w:ascii="Arial" w:hAnsi="Arial" w:cs="Arial"/>
          <w:sz w:val="24"/>
          <w:szCs w:val="24"/>
          <w:lang w:val="en-US"/>
        </w:rPr>
        <w:t xml:space="preserve"> </w:t>
      </w:r>
      <w:r w:rsidRPr="002B74FD">
        <w:rPr>
          <w:rFonts w:ascii="Arial" w:hAnsi="Arial" w:cs="Arial"/>
          <w:sz w:val="24"/>
          <w:szCs w:val="24"/>
          <w:lang w:val="en-US"/>
        </w:rPr>
        <w:t>In this regard it is well to recall the words of Scott JA in</w:t>
      </w:r>
      <w:r w:rsidRPr="00900218">
        <w:rPr>
          <w:rFonts w:ascii="Arial" w:hAnsi="Arial" w:cs="Arial"/>
          <w:sz w:val="24"/>
          <w:szCs w:val="24"/>
          <w:lang w:val="en-US"/>
        </w:rPr>
        <w:t xml:space="preserve"> </w:t>
      </w:r>
      <w:r w:rsidRPr="00900218">
        <w:rPr>
          <w:rFonts w:ascii="Arial" w:hAnsi="Arial" w:cs="Arial"/>
          <w:i/>
          <w:sz w:val="24"/>
          <w:szCs w:val="24"/>
          <w:lang w:val="en-US"/>
        </w:rPr>
        <w:t>Pretoria City Council v De Jager</w:t>
      </w:r>
      <w:r>
        <w:rPr>
          <w:rFonts w:ascii="Arial" w:hAnsi="Arial" w:cs="Arial"/>
          <w:sz w:val="24"/>
          <w:szCs w:val="24"/>
          <w:lang w:val="en-US"/>
        </w:rPr>
        <w:t>:</w:t>
      </w:r>
      <w:r w:rsidRPr="00900218">
        <w:rPr>
          <w:rStyle w:val="FootnoteReference"/>
          <w:rFonts w:ascii="Arial" w:hAnsi="Arial" w:cs="Arial"/>
          <w:sz w:val="24"/>
          <w:szCs w:val="24"/>
          <w:lang w:val="en-US"/>
        </w:rPr>
        <w:footnoteReference w:id="26"/>
      </w:r>
      <w:r w:rsidRPr="00900218">
        <w:rPr>
          <w:rFonts w:ascii="Arial" w:hAnsi="Arial" w:cs="Arial"/>
          <w:sz w:val="24"/>
          <w:szCs w:val="24"/>
          <w:lang w:val="en-US"/>
        </w:rPr>
        <w:t xml:space="preserve"> </w:t>
      </w:r>
    </w:p>
    <w:p w14:paraId="326105BB" w14:textId="2FC8E5BC" w:rsidR="0043394F" w:rsidRPr="00222B03" w:rsidRDefault="006E5B00" w:rsidP="00222B03">
      <w:pPr>
        <w:spacing w:after="0" w:line="360" w:lineRule="auto"/>
        <w:ind w:left="851"/>
        <w:jc w:val="both"/>
        <w:rPr>
          <w:rFonts w:ascii="Arial" w:hAnsi="Arial" w:cs="Arial"/>
          <w:i/>
          <w:sz w:val="20"/>
          <w:szCs w:val="20"/>
          <w:lang w:val="en-US"/>
        </w:rPr>
      </w:pPr>
      <w:r w:rsidRPr="00900218">
        <w:rPr>
          <w:rFonts w:ascii="Arial" w:hAnsi="Arial" w:cs="Arial"/>
          <w:i/>
          <w:sz w:val="20"/>
          <w:szCs w:val="20"/>
          <w:lang w:val="en-US"/>
        </w:rPr>
        <w:lastRenderedPageBreak/>
        <w:t>“</w:t>
      </w:r>
      <w:r>
        <w:rPr>
          <w:rFonts w:ascii="Arial" w:hAnsi="Arial" w:cs="Arial"/>
          <w:i/>
          <w:sz w:val="20"/>
          <w:szCs w:val="20"/>
          <w:lang w:val="en-US"/>
        </w:rPr>
        <w:t xml:space="preserve">Whether in any particular case the steps actually taken are to be regarded as reasonable or not depends upon a consideration of all the facts and circumstances of the case.  </w:t>
      </w:r>
      <w:r w:rsidRPr="00900218">
        <w:rPr>
          <w:rFonts w:ascii="Arial" w:hAnsi="Arial" w:cs="Arial"/>
          <w:i/>
          <w:sz w:val="20"/>
          <w:szCs w:val="20"/>
          <w:lang w:val="en-US"/>
        </w:rPr>
        <w:t>It follows that merely because the harm which was foreseeable did eventuate does not mean that the steps taken were necessarily unreasonable. Ultimately the inquiry involves a value judgment.”</w:t>
      </w:r>
    </w:p>
    <w:p w14:paraId="3D466978" w14:textId="77777777" w:rsidR="00C5342D" w:rsidRDefault="00C5342D" w:rsidP="00C5342D">
      <w:pPr>
        <w:pStyle w:val="ListParagraph"/>
        <w:spacing w:after="0" w:line="480" w:lineRule="auto"/>
        <w:ind w:left="851"/>
        <w:jc w:val="both"/>
        <w:rPr>
          <w:rFonts w:ascii="Arial" w:hAnsi="Arial" w:cs="Arial"/>
          <w:sz w:val="24"/>
          <w:szCs w:val="24"/>
        </w:rPr>
      </w:pPr>
    </w:p>
    <w:p w14:paraId="12424FC5" w14:textId="77777777" w:rsidR="00506DB1" w:rsidRDefault="00B6639D" w:rsidP="0041361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w:t>
      </w:r>
      <w:r w:rsidR="00222B03">
        <w:rPr>
          <w:rFonts w:ascii="Arial" w:hAnsi="Arial" w:cs="Arial"/>
          <w:sz w:val="24"/>
          <w:szCs w:val="24"/>
        </w:rPr>
        <w:t xml:space="preserve">’s case is </w:t>
      </w:r>
      <w:r>
        <w:rPr>
          <w:rFonts w:ascii="Arial" w:hAnsi="Arial" w:cs="Arial"/>
          <w:sz w:val="24"/>
          <w:szCs w:val="24"/>
        </w:rPr>
        <w:t xml:space="preserve">that </w:t>
      </w:r>
      <w:r w:rsidR="0043394F">
        <w:rPr>
          <w:rFonts w:ascii="Arial" w:hAnsi="Arial" w:cs="Arial"/>
          <w:sz w:val="24"/>
          <w:szCs w:val="24"/>
        </w:rPr>
        <w:t xml:space="preserve">the first and second </w:t>
      </w:r>
      <w:r w:rsidR="0043394F" w:rsidRPr="00034A74">
        <w:rPr>
          <w:rFonts w:ascii="Arial" w:hAnsi="Arial" w:cs="Arial"/>
          <w:sz w:val="24"/>
          <w:szCs w:val="24"/>
        </w:rPr>
        <w:t>defendants were negligent</w:t>
      </w:r>
      <w:r w:rsidR="0043394F">
        <w:rPr>
          <w:rFonts w:ascii="Arial" w:hAnsi="Arial" w:cs="Arial"/>
          <w:sz w:val="24"/>
          <w:szCs w:val="24"/>
        </w:rPr>
        <w:t xml:space="preserve"> (in breach of their legal duty)</w:t>
      </w:r>
      <w:r w:rsidR="0043394F" w:rsidRPr="00034A74">
        <w:rPr>
          <w:rFonts w:ascii="Arial" w:hAnsi="Arial" w:cs="Arial"/>
          <w:sz w:val="24"/>
          <w:szCs w:val="24"/>
        </w:rPr>
        <w:t xml:space="preserve"> in</w:t>
      </w:r>
      <w:r w:rsidR="0043394F">
        <w:rPr>
          <w:rFonts w:ascii="Arial" w:hAnsi="Arial" w:cs="Arial"/>
          <w:sz w:val="24"/>
          <w:szCs w:val="24"/>
        </w:rPr>
        <w:t xml:space="preserve"> the respects set out in paragraph 6.1 to 6.3 and 6.5 and 6.6 of the plaintiff’s particulars of claim</w:t>
      </w:r>
      <w:r w:rsidR="006F2BA0">
        <w:rPr>
          <w:rFonts w:ascii="Arial" w:hAnsi="Arial" w:cs="Arial"/>
          <w:sz w:val="24"/>
          <w:szCs w:val="24"/>
        </w:rPr>
        <w:t>, which I have cited herein above</w:t>
      </w:r>
      <w:r w:rsidR="00126111">
        <w:rPr>
          <w:rFonts w:ascii="Arial" w:hAnsi="Arial" w:cs="Arial"/>
          <w:sz w:val="24"/>
          <w:szCs w:val="24"/>
        </w:rPr>
        <w:t>.</w:t>
      </w:r>
      <w:r w:rsidR="0043394F">
        <w:rPr>
          <w:rFonts w:ascii="Arial" w:hAnsi="Arial" w:cs="Arial"/>
          <w:sz w:val="24"/>
          <w:szCs w:val="24"/>
        </w:rPr>
        <w:t xml:space="preserve">  It </w:t>
      </w:r>
      <w:r w:rsidR="004471F6">
        <w:rPr>
          <w:rFonts w:ascii="Arial" w:hAnsi="Arial" w:cs="Arial"/>
          <w:sz w:val="24"/>
          <w:szCs w:val="24"/>
        </w:rPr>
        <w:t xml:space="preserve">is contended </w:t>
      </w:r>
      <w:r w:rsidR="0043394F">
        <w:rPr>
          <w:rFonts w:ascii="Arial" w:hAnsi="Arial" w:cs="Arial"/>
          <w:sz w:val="24"/>
          <w:szCs w:val="24"/>
        </w:rPr>
        <w:t>that as a result of this negligence</w:t>
      </w:r>
      <w:r w:rsidR="0044686C">
        <w:rPr>
          <w:rFonts w:ascii="Arial" w:hAnsi="Arial" w:cs="Arial"/>
          <w:sz w:val="24"/>
          <w:szCs w:val="24"/>
        </w:rPr>
        <w:t>,</w:t>
      </w:r>
      <w:r w:rsidR="0043394F">
        <w:rPr>
          <w:rFonts w:ascii="Arial" w:hAnsi="Arial" w:cs="Arial"/>
          <w:sz w:val="24"/>
          <w:szCs w:val="24"/>
        </w:rPr>
        <w:t xml:space="preserve"> the plaintiff slipped and fell in the court passageway</w:t>
      </w:r>
      <w:r w:rsidR="00BC14C0">
        <w:rPr>
          <w:rFonts w:ascii="Arial" w:hAnsi="Arial" w:cs="Arial"/>
          <w:sz w:val="24"/>
          <w:szCs w:val="24"/>
        </w:rPr>
        <w:t>,</w:t>
      </w:r>
      <w:r w:rsidR="0043394F">
        <w:rPr>
          <w:rFonts w:ascii="Arial" w:hAnsi="Arial" w:cs="Arial"/>
          <w:sz w:val="24"/>
          <w:szCs w:val="24"/>
        </w:rPr>
        <w:t xml:space="preserve"> sustaining the resultant injury to his shoulder.</w:t>
      </w:r>
      <w:r w:rsidR="0044686C">
        <w:rPr>
          <w:rFonts w:ascii="Arial" w:hAnsi="Arial" w:cs="Arial"/>
          <w:sz w:val="24"/>
          <w:szCs w:val="24"/>
        </w:rPr>
        <w:t xml:space="preserve">  </w:t>
      </w:r>
    </w:p>
    <w:p w14:paraId="5C1FDFE4" w14:textId="3478B2DC" w:rsidR="00506DB1" w:rsidRDefault="00506DB1" w:rsidP="00506DB1">
      <w:pPr>
        <w:pStyle w:val="ListParagraph"/>
        <w:spacing w:after="0" w:line="480" w:lineRule="auto"/>
        <w:ind w:left="851"/>
        <w:jc w:val="both"/>
        <w:rPr>
          <w:rFonts w:ascii="Arial" w:hAnsi="Arial" w:cs="Arial"/>
          <w:sz w:val="24"/>
          <w:szCs w:val="24"/>
        </w:rPr>
      </w:pPr>
    </w:p>
    <w:p w14:paraId="6F38E0CA" w14:textId="3FED26FD" w:rsidR="00353D91" w:rsidRDefault="001C0149" w:rsidP="00B5126D">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Notwithstanding </w:t>
      </w:r>
      <w:r w:rsidR="001142E6">
        <w:rPr>
          <w:rFonts w:ascii="Arial" w:hAnsi="Arial" w:cs="Arial"/>
          <w:sz w:val="24"/>
          <w:szCs w:val="24"/>
        </w:rPr>
        <w:t xml:space="preserve">it being common cause, </w:t>
      </w:r>
      <w:r w:rsidR="001142E6">
        <w:rPr>
          <w:rFonts w:ascii="Arial" w:hAnsi="Arial" w:cs="Arial"/>
          <w:i/>
          <w:iCs/>
          <w:sz w:val="24"/>
          <w:szCs w:val="24"/>
        </w:rPr>
        <w:t>inter alia</w:t>
      </w:r>
      <w:r w:rsidR="001142E6">
        <w:rPr>
          <w:rFonts w:ascii="Arial" w:hAnsi="Arial" w:cs="Arial"/>
          <w:sz w:val="24"/>
          <w:szCs w:val="24"/>
        </w:rPr>
        <w:t xml:space="preserve">, that the </w:t>
      </w:r>
      <w:r w:rsidR="007B0B92">
        <w:rPr>
          <w:rFonts w:ascii="Arial" w:hAnsi="Arial" w:cs="Arial"/>
          <w:sz w:val="24"/>
          <w:szCs w:val="24"/>
        </w:rPr>
        <w:t xml:space="preserve">(i) </w:t>
      </w:r>
      <w:r w:rsidR="001142E6">
        <w:rPr>
          <w:rFonts w:ascii="Arial" w:hAnsi="Arial" w:cs="Arial"/>
          <w:sz w:val="24"/>
          <w:szCs w:val="24"/>
        </w:rPr>
        <w:t>defendants did nothing to warn the plaintiff that the passage floor was wet</w:t>
      </w:r>
      <w:r w:rsidR="007B0B92">
        <w:rPr>
          <w:rFonts w:ascii="Arial" w:hAnsi="Arial" w:cs="Arial"/>
          <w:sz w:val="24"/>
          <w:szCs w:val="24"/>
        </w:rPr>
        <w:t>; (ii) allowed the plaintiff to walk on the wet passage floor; (iii)  failed to ensure that the passage floor was safe for the plaintiff to walk on; and (iv)</w:t>
      </w:r>
      <w:r w:rsidR="001142E6">
        <w:rPr>
          <w:rFonts w:ascii="Arial" w:hAnsi="Arial" w:cs="Arial"/>
          <w:sz w:val="24"/>
          <w:szCs w:val="24"/>
        </w:rPr>
        <w:t xml:space="preserve"> </w:t>
      </w:r>
      <w:r w:rsidR="007B0B92">
        <w:rPr>
          <w:rFonts w:ascii="Arial" w:hAnsi="Arial" w:cs="Arial"/>
          <w:sz w:val="24"/>
          <w:szCs w:val="24"/>
        </w:rPr>
        <w:t xml:space="preserve">failed to utilise warning signs </w:t>
      </w:r>
      <w:r w:rsidR="001142E6">
        <w:rPr>
          <w:rFonts w:ascii="Arial" w:hAnsi="Arial" w:cs="Arial"/>
          <w:sz w:val="24"/>
          <w:szCs w:val="24"/>
        </w:rPr>
        <w:t>to war</w:t>
      </w:r>
      <w:r w:rsidR="00A34F98">
        <w:rPr>
          <w:rFonts w:ascii="Arial" w:hAnsi="Arial" w:cs="Arial"/>
          <w:sz w:val="24"/>
          <w:szCs w:val="24"/>
        </w:rPr>
        <w:t>n</w:t>
      </w:r>
      <w:r w:rsidR="001142E6">
        <w:rPr>
          <w:rFonts w:ascii="Arial" w:hAnsi="Arial" w:cs="Arial"/>
          <w:sz w:val="24"/>
          <w:szCs w:val="24"/>
        </w:rPr>
        <w:t xml:space="preserve"> members of the public</w:t>
      </w:r>
      <w:r w:rsidR="007B0B92">
        <w:rPr>
          <w:rFonts w:ascii="Arial" w:hAnsi="Arial" w:cs="Arial"/>
          <w:sz w:val="24"/>
          <w:szCs w:val="24"/>
        </w:rPr>
        <w:t xml:space="preserve"> of the wet floor, </w:t>
      </w:r>
      <w:r w:rsidR="001142E6">
        <w:rPr>
          <w:rFonts w:ascii="Arial" w:hAnsi="Arial" w:cs="Arial"/>
          <w:sz w:val="24"/>
          <w:szCs w:val="24"/>
        </w:rPr>
        <w:t>the defendants case was that it took reasonable steps to guard against the foreseeable harm to the public, by the appointment of Sky Ground</w:t>
      </w:r>
      <w:r w:rsidR="00353D91">
        <w:rPr>
          <w:rFonts w:ascii="Arial" w:hAnsi="Arial" w:cs="Arial"/>
          <w:sz w:val="24"/>
          <w:szCs w:val="24"/>
        </w:rPr>
        <w:t>, a competent and professional independent contractor.</w:t>
      </w:r>
    </w:p>
    <w:p w14:paraId="74148E34" w14:textId="77777777" w:rsidR="00353D91" w:rsidRPr="00353D91" w:rsidRDefault="00353D91" w:rsidP="00B5126D">
      <w:pPr>
        <w:pStyle w:val="ListParagraph"/>
        <w:spacing w:after="0" w:line="480" w:lineRule="auto"/>
        <w:rPr>
          <w:rFonts w:ascii="Arial" w:hAnsi="Arial" w:cs="Arial"/>
          <w:sz w:val="24"/>
          <w:szCs w:val="24"/>
        </w:rPr>
      </w:pPr>
    </w:p>
    <w:p w14:paraId="4E3F0E6C" w14:textId="28CD62A3" w:rsidR="00F81750" w:rsidRDefault="00B5126D" w:rsidP="00F8175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Accordingly, the question arises</w:t>
      </w:r>
      <w:r w:rsidR="001142E6">
        <w:rPr>
          <w:rFonts w:ascii="Arial" w:hAnsi="Arial" w:cs="Arial"/>
          <w:sz w:val="24"/>
          <w:szCs w:val="24"/>
        </w:rPr>
        <w:t xml:space="preserve"> </w:t>
      </w:r>
      <w:r>
        <w:rPr>
          <w:rFonts w:ascii="Arial" w:hAnsi="Arial" w:cs="Arial"/>
          <w:sz w:val="24"/>
          <w:szCs w:val="24"/>
        </w:rPr>
        <w:t>whether on the evidence, the defendants, in the appointment of Sky Ground</w:t>
      </w:r>
      <w:r w:rsidR="00FE7A50">
        <w:rPr>
          <w:rFonts w:ascii="Arial" w:hAnsi="Arial" w:cs="Arial"/>
          <w:sz w:val="24"/>
          <w:szCs w:val="24"/>
        </w:rPr>
        <w:t xml:space="preserve"> by the first defendant</w:t>
      </w:r>
      <w:r>
        <w:rPr>
          <w:rFonts w:ascii="Arial" w:hAnsi="Arial" w:cs="Arial"/>
          <w:sz w:val="24"/>
          <w:szCs w:val="24"/>
        </w:rPr>
        <w:t>, can be said to have taken reasonable steps to guard against foreseeable harm to the public, and accordingly the plaintiff</w:t>
      </w:r>
      <w:r w:rsidR="001A1C4C">
        <w:rPr>
          <w:rFonts w:ascii="Arial" w:hAnsi="Arial" w:cs="Arial"/>
          <w:sz w:val="24"/>
          <w:szCs w:val="24"/>
        </w:rPr>
        <w:t>.  It is this question</w:t>
      </w:r>
      <w:r w:rsidR="00CB6EA4">
        <w:rPr>
          <w:rFonts w:ascii="Arial" w:hAnsi="Arial" w:cs="Arial"/>
          <w:sz w:val="24"/>
          <w:szCs w:val="24"/>
        </w:rPr>
        <w:t xml:space="preserve"> which I am called upon to exercise a value judgment</w:t>
      </w:r>
      <w:r>
        <w:rPr>
          <w:rFonts w:ascii="Arial" w:hAnsi="Arial" w:cs="Arial"/>
          <w:sz w:val="24"/>
          <w:szCs w:val="24"/>
        </w:rPr>
        <w:t>.</w:t>
      </w:r>
      <w:r w:rsidR="0091734D">
        <w:rPr>
          <w:rFonts w:ascii="Arial" w:hAnsi="Arial" w:cs="Arial"/>
          <w:sz w:val="24"/>
          <w:szCs w:val="24"/>
        </w:rPr>
        <w:t xml:space="preserve">  </w:t>
      </w:r>
    </w:p>
    <w:p w14:paraId="6419200C" w14:textId="77777777" w:rsidR="00F81750" w:rsidRPr="00F81750" w:rsidRDefault="00F81750" w:rsidP="00F81750">
      <w:pPr>
        <w:pStyle w:val="ListParagraph"/>
        <w:spacing w:after="0" w:line="480" w:lineRule="auto"/>
        <w:rPr>
          <w:rFonts w:ascii="Arial" w:hAnsi="Arial" w:cs="Arial"/>
          <w:sz w:val="24"/>
          <w:szCs w:val="24"/>
        </w:rPr>
      </w:pPr>
    </w:p>
    <w:p w14:paraId="62544C32" w14:textId="5ECB9808" w:rsidR="00B52051" w:rsidRDefault="0091734D" w:rsidP="000C682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On a conspectus of the evidence,</w:t>
      </w:r>
      <w:r w:rsidR="00EF5478">
        <w:rPr>
          <w:rFonts w:ascii="Arial" w:hAnsi="Arial" w:cs="Arial"/>
          <w:sz w:val="24"/>
          <w:szCs w:val="24"/>
        </w:rPr>
        <w:t xml:space="preserve"> </w:t>
      </w:r>
      <w:r>
        <w:rPr>
          <w:rFonts w:ascii="Arial" w:hAnsi="Arial" w:cs="Arial"/>
          <w:sz w:val="24"/>
          <w:szCs w:val="24"/>
        </w:rPr>
        <w:t>the answer to this question must be in the negative.</w:t>
      </w:r>
      <w:r w:rsidR="0015134A">
        <w:rPr>
          <w:rFonts w:ascii="Arial" w:hAnsi="Arial" w:cs="Arial"/>
          <w:sz w:val="24"/>
          <w:szCs w:val="24"/>
        </w:rPr>
        <w:t xml:space="preserve">  The first defendant, and accordingly the second defendant, </w:t>
      </w:r>
      <w:r w:rsidR="003F51D4">
        <w:rPr>
          <w:rFonts w:ascii="Arial" w:hAnsi="Arial" w:cs="Arial"/>
          <w:sz w:val="24"/>
          <w:szCs w:val="24"/>
        </w:rPr>
        <w:t>w</w:t>
      </w:r>
      <w:r w:rsidR="00B4256E">
        <w:rPr>
          <w:rFonts w:ascii="Arial" w:hAnsi="Arial" w:cs="Arial"/>
          <w:sz w:val="24"/>
          <w:szCs w:val="24"/>
        </w:rPr>
        <w:t>ere</w:t>
      </w:r>
      <w:r w:rsidR="0015134A">
        <w:rPr>
          <w:rFonts w:ascii="Arial" w:hAnsi="Arial" w:cs="Arial"/>
          <w:sz w:val="24"/>
          <w:szCs w:val="24"/>
        </w:rPr>
        <w:t xml:space="preserve"> satisfied to merely content </w:t>
      </w:r>
      <w:r w:rsidR="00B4256E">
        <w:rPr>
          <w:rFonts w:ascii="Arial" w:hAnsi="Arial" w:cs="Arial"/>
          <w:sz w:val="24"/>
          <w:szCs w:val="24"/>
        </w:rPr>
        <w:t>themselves with the appointment of</w:t>
      </w:r>
      <w:r w:rsidR="0015134A">
        <w:rPr>
          <w:rFonts w:ascii="Arial" w:hAnsi="Arial" w:cs="Arial"/>
          <w:sz w:val="24"/>
          <w:szCs w:val="24"/>
        </w:rPr>
        <w:t xml:space="preserve"> Sky Ground</w:t>
      </w:r>
      <w:r w:rsidR="00B4256E">
        <w:rPr>
          <w:rFonts w:ascii="Arial" w:hAnsi="Arial" w:cs="Arial"/>
          <w:sz w:val="24"/>
          <w:szCs w:val="24"/>
        </w:rPr>
        <w:t xml:space="preserve"> by the first defendant</w:t>
      </w:r>
      <w:r w:rsidR="0015134A">
        <w:rPr>
          <w:rFonts w:ascii="Arial" w:hAnsi="Arial" w:cs="Arial"/>
          <w:sz w:val="24"/>
          <w:szCs w:val="24"/>
        </w:rPr>
        <w:t xml:space="preserve">, an entity which </w:t>
      </w:r>
      <w:r w:rsidR="00B4256E">
        <w:rPr>
          <w:rFonts w:ascii="Arial" w:hAnsi="Arial" w:cs="Arial"/>
          <w:sz w:val="24"/>
          <w:szCs w:val="24"/>
        </w:rPr>
        <w:t>the defendants</w:t>
      </w:r>
      <w:r w:rsidR="0015134A">
        <w:rPr>
          <w:rFonts w:ascii="Arial" w:hAnsi="Arial" w:cs="Arial"/>
          <w:sz w:val="24"/>
          <w:szCs w:val="24"/>
        </w:rPr>
        <w:t xml:space="preserve"> seemingly </w:t>
      </w:r>
      <w:r w:rsidR="00F874F0">
        <w:rPr>
          <w:rFonts w:ascii="Arial" w:hAnsi="Arial" w:cs="Arial"/>
          <w:sz w:val="24"/>
          <w:szCs w:val="24"/>
        </w:rPr>
        <w:t>kn</w:t>
      </w:r>
      <w:r w:rsidR="005B5736">
        <w:rPr>
          <w:rFonts w:ascii="Arial" w:hAnsi="Arial" w:cs="Arial"/>
          <w:sz w:val="24"/>
          <w:szCs w:val="24"/>
        </w:rPr>
        <w:t>ew</w:t>
      </w:r>
      <w:r w:rsidR="00F874F0">
        <w:rPr>
          <w:rFonts w:ascii="Arial" w:hAnsi="Arial" w:cs="Arial"/>
          <w:sz w:val="24"/>
          <w:szCs w:val="24"/>
        </w:rPr>
        <w:t xml:space="preserve"> little about</w:t>
      </w:r>
      <w:r w:rsidR="0015134A">
        <w:rPr>
          <w:rFonts w:ascii="Arial" w:hAnsi="Arial" w:cs="Arial"/>
          <w:sz w:val="24"/>
          <w:szCs w:val="24"/>
        </w:rPr>
        <w:t xml:space="preserve">, to perform the cleaning services </w:t>
      </w:r>
      <w:r w:rsidR="00731C6B">
        <w:rPr>
          <w:rFonts w:ascii="Arial" w:hAnsi="Arial" w:cs="Arial"/>
          <w:sz w:val="24"/>
          <w:szCs w:val="24"/>
        </w:rPr>
        <w:t>at</w:t>
      </w:r>
      <w:r w:rsidR="0015134A">
        <w:rPr>
          <w:rFonts w:ascii="Arial" w:hAnsi="Arial" w:cs="Arial"/>
          <w:sz w:val="24"/>
          <w:szCs w:val="24"/>
        </w:rPr>
        <w:t xml:space="preserve"> the court building, and</w:t>
      </w:r>
      <w:r w:rsidR="005B5736">
        <w:rPr>
          <w:rFonts w:ascii="Arial" w:hAnsi="Arial" w:cs="Arial"/>
          <w:sz w:val="24"/>
          <w:szCs w:val="24"/>
        </w:rPr>
        <w:t xml:space="preserve"> to</w:t>
      </w:r>
      <w:r w:rsidR="0015134A">
        <w:rPr>
          <w:rFonts w:ascii="Arial" w:hAnsi="Arial" w:cs="Arial"/>
          <w:sz w:val="24"/>
          <w:szCs w:val="24"/>
        </w:rPr>
        <w:t xml:space="preserve"> sit back and do no more.</w:t>
      </w:r>
      <w:r w:rsidR="00F874F0">
        <w:rPr>
          <w:rFonts w:ascii="Arial" w:hAnsi="Arial" w:cs="Arial"/>
          <w:sz w:val="24"/>
          <w:szCs w:val="24"/>
        </w:rPr>
        <w:t xml:space="preserve">  </w:t>
      </w:r>
      <w:r w:rsidR="00F874F0" w:rsidRPr="005B5736">
        <w:rPr>
          <w:rFonts w:ascii="Arial" w:hAnsi="Arial" w:cs="Arial"/>
          <w:sz w:val="24"/>
          <w:szCs w:val="24"/>
        </w:rPr>
        <w:t>The high-water mark of the defendants’ case, insofar as the assessment of Sky Ground</w:t>
      </w:r>
      <w:r w:rsidR="006828AF">
        <w:rPr>
          <w:rFonts w:ascii="Arial" w:hAnsi="Arial" w:cs="Arial"/>
          <w:sz w:val="24"/>
          <w:szCs w:val="24"/>
        </w:rPr>
        <w:t xml:space="preserve"> by the first defendant</w:t>
      </w:r>
      <w:r w:rsidR="00F874F0" w:rsidRPr="005B5736">
        <w:rPr>
          <w:rFonts w:ascii="Arial" w:hAnsi="Arial" w:cs="Arial"/>
          <w:sz w:val="24"/>
          <w:szCs w:val="24"/>
        </w:rPr>
        <w:t xml:space="preserve"> during the bid </w:t>
      </w:r>
      <w:r w:rsidR="00D933E6" w:rsidRPr="005B5736">
        <w:rPr>
          <w:rFonts w:ascii="Arial" w:hAnsi="Arial" w:cs="Arial"/>
          <w:sz w:val="24"/>
          <w:szCs w:val="24"/>
        </w:rPr>
        <w:t xml:space="preserve">evaluation and adjudication </w:t>
      </w:r>
      <w:r w:rsidR="00F874F0" w:rsidRPr="005B5736">
        <w:rPr>
          <w:rFonts w:ascii="Arial" w:hAnsi="Arial" w:cs="Arial"/>
          <w:sz w:val="24"/>
          <w:szCs w:val="24"/>
        </w:rPr>
        <w:t xml:space="preserve">process is concerned, pertained to a financial </w:t>
      </w:r>
      <w:r w:rsidR="00B52051" w:rsidRPr="005B5736">
        <w:rPr>
          <w:rFonts w:ascii="Arial" w:hAnsi="Arial" w:cs="Arial"/>
          <w:sz w:val="24"/>
          <w:szCs w:val="24"/>
        </w:rPr>
        <w:t xml:space="preserve">risk </w:t>
      </w:r>
      <w:r w:rsidR="00F874F0" w:rsidRPr="005B5736">
        <w:rPr>
          <w:rFonts w:ascii="Arial" w:hAnsi="Arial" w:cs="Arial"/>
          <w:sz w:val="24"/>
          <w:szCs w:val="24"/>
        </w:rPr>
        <w:t>assessment</w:t>
      </w:r>
      <w:r w:rsidR="00B52051" w:rsidRPr="005B5736">
        <w:rPr>
          <w:rFonts w:ascii="Arial" w:hAnsi="Arial" w:cs="Arial"/>
          <w:sz w:val="24"/>
          <w:szCs w:val="24"/>
        </w:rPr>
        <w:t>, which</w:t>
      </w:r>
      <w:r w:rsidR="005B5736">
        <w:rPr>
          <w:rFonts w:ascii="Arial" w:hAnsi="Arial" w:cs="Arial"/>
          <w:sz w:val="24"/>
          <w:szCs w:val="24"/>
        </w:rPr>
        <w:t>,</w:t>
      </w:r>
      <w:r w:rsidR="00B52051" w:rsidRPr="005B5736">
        <w:rPr>
          <w:rFonts w:ascii="Arial" w:hAnsi="Arial" w:cs="Arial"/>
          <w:sz w:val="24"/>
          <w:szCs w:val="24"/>
        </w:rPr>
        <w:t xml:space="preserve"> </w:t>
      </w:r>
      <w:r w:rsidR="005B5736">
        <w:rPr>
          <w:rFonts w:ascii="Arial" w:hAnsi="Arial" w:cs="Arial"/>
          <w:sz w:val="24"/>
          <w:szCs w:val="24"/>
        </w:rPr>
        <w:t xml:space="preserve">in my opinion, </w:t>
      </w:r>
      <w:r w:rsidR="00B52051" w:rsidRPr="005B5736">
        <w:rPr>
          <w:rFonts w:ascii="Arial" w:hAnsi="Arial" w:cs="Arial"/>
          <w:sz w:val="24"/>
          <w:szCs w:val="24"/>
        </w:rPr>
        <w:t xml:space="preserve">falls </w:t>
      </w:r>
      <w:r w:rsidR="00C06EAC" w:rsidRPr="005B5736">
        <w:rPr>
          <w:rFonts w:ascii="Arial" w:hAnsi="Arial" w:cs="Arial"/>
          <w:sz w:val="24"/>
          <w:szCs w:val="24"/>
        </w:rPr>
        <w:t xml:space="preserve">far </w:t>
      </w:r>
      <w:r w:rsidR="00B52051" w:rsidRPr="005B5736">
        <w:rPr>
          <w:rFonts w:ascii="Arial" w:hAnsi="Arial" w:cs="Arial"/>
          <w:sz w:val="24"/>
          <w:szCs w:val="24"/>
        </w:rPr>
        <w:t>short of establishing that Sky Ground was a competent and professional independent contractor.</w:t>
      </w:r>
      <w:r w:rsidR="00C06EAC" w:rsidRPr="005B5736">
        <w:rPr>
          <w:rFonts w:ascii="Arial" w:hAnsi="Arial" w:cs="Arial"/>
          <w:sz w:val="24"/>
          <w:szCs w:val="24"/>
        </w:rPr>
        <w:t xml:space="preserve">  </w:t>
      </w:r>
      <w:r w:rsidR="00034954" w:rsidRPr="005B5736">
        <w:rPr>
          <w:rFonts w:ascii="Arial" w:hAnsi="Arial" w:cs="Arial"/>
          <w:sz w:val="24"/>
          <w:szCs w:val="24"/>
        </w:rPr>
        <w:t xml:space="preserve">The first defendant, but for, at best, once-a-month meetings and/or inspections, distanced </w:t>
      </w:r>
      <w:r w:rsidR="003F39A5">
        <w:rPr>
          <w:rFonts w:ascii="Arial" w:hAnsi="Arial" w:cs="Arial"/>
          <w:sz w:val="24"/>
          <w:szCs w:val="24"/>
        </w:rPr>
        <w:t>herself</w:t>
      </w:r>
      <w:r w:rsidR="00E430C0" w:rsidRPr="005B5736">
        <w:rPr>
          <w:rFonts w:ascii="Arial" w:hAnsi="Arial" w:cs="Arial"/>
          <w:sz w:val="24"/>
          <w:szCs w:val="24"/>
        </w:rPr>
        <w:t xml:space="preserve"> from</w:t>
      </w:r>
      <w:r w:rsidR="00034954" w:rsidRPr="005B5736">
        <w:rPr>
          <w:rFonts w:ascii="Arial" w:hAnsi="Arial" w:cs="Arial"/>
          <w:sz w:val="24"/>
          <w:szCs w:val="24"/>
        </w:rPr>
        <w:t xml:space="preserve"> the cleaning functions of the court building, despite being the custodian of</w:t>
      </w:r>
      <w:r w:rsidR="004157EC" w:rsidRPr="005B5736">
        <w:rPr>
          <w:rFonts w:ascii="Arial" w:hAnsi="Arial" w:cs="Arial"/>
          <w:sz w:val="24"/>
          <w:szCs w:val="24"/>
        </w:rPr>
        <w:t xml:space="preserve"> same </w:t>
      </w:r>
      <w:r w:rsidR="00034954" w:rsidRPr="005B5736">
        <w:rPr>
          <w:rFonts w:ascii="Arial" w:hAnsi="Arial" w:cs="Arial"/>
          <w:sz w:val="24"/>
          <w:szCs w:val="24"/>
        </w:rPr>
        <w:t xml:space="preserve">and retaining factual control thereover. </w:t>
      </w:r>
      <w:r w:rsidR="0029479F" w:rsidRPr="005B5736">
        <w:rPr>
          <w:rFonts w:ascii="Arial" w:hAnsi="Arial" w:cs="Arial"/>
          <w:sz w:val="24"/>
          <w:szCs w:val="24"/>
        </w:rPr>
        <w:t xml:space="preserve"> </w:t>
      </w:r>
      <w:r w:rsidR="007F33E4" w:rsidRPr="005B5736">
        <w:rPr>
          <w:rFonts w:ascii="Arial" w:hAnsi="Arial" w:cs="Arial"/>
          <w:sz w:val="24"/>
          <w:szCs w:val="24"/>
        </w:rPr>
        <w:t xml:space="preserve">By the same token, </w:t>
      </w:r>
      <w:r w:rsidR="005B5736">
        <w:rPr>
          <w:rFonts w:ascii="Arial" w:hAnsi="Arial" w:cs="Arial"/>
          <w:sz w:val="24"/>
          <w:szCs w:val="24"/>
        </w:rPr>
        <w:t>so too did the second defendant, who also retained factual control thereover, as the occupant of the court building.</w:t>
      </w:r>
      <w:r w:rsidR="00F259BE">
        <w:rPr>
          <w:rFonts w:ascii="Arial" w:hAnsi="Arial" w:cs="Arial"/>
          <w:sz w:val="24"/>
          <w:szCs w:val="24"/>
        </w:rPr>
        <w:t xml:space="preserve">  </w:t>
      </w:r>
    </w:p>
    <w:p w14:paraId="0747811F" w14:textId="77777777" w:rsidR="00821B8E" w:rsidRPr="00821B8E" w:rsidRDefault="00821B8E" w:rsidP="000C6825">
      <w:pPr>
        <w:pStyle w:val="ListParagraph"/>
        <w:spacing w:after="0" w:line="480" w:lineRule="auto"/>
        <w:rPr>
          <w:rFonts w:ascii="Arial" w:hAnsi="Arial" w:cs="Arial"/>
          <w:sz w:val="24"/>
          <w:szCs w:val="24"/>
        </w:rPr>
      </w:pPr>
    </w:p>
    <w:p w14:paraId="642BD8CF" w14:textId="2BF11A08" w:rsidR="000C6825" w:rsidRPr="000C6825" w:rsidRDefault="00B15043" w:rsidP="000C682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It is this that </w:t>
      </w:r>
      <w:r w:rsidR="000C6825">
        <w:rPr>
          <w:rFonts w:ascii="Arial" w:hAnsi="Arial" w:cs="Arial"/>
          <w:sz w:val="24"/>
          <w:szCs w:val="24"/>
        </w:rPr>
        <w:t>distinguishes</w:t>
      </w:r>
      <w:r w:rsidR="000C6825" w:rsidRPr="000C6825">
        <w:rPr>
          <w:rFonts w:ascii="Arial" w:hAnsi="Arial" w:cs="Arial"/>
          <w:sz w:val="24"/>
          <w:szCs w:val="24"/>
        </w:rPr>
        <w:t xml:space="preserve"> </w:t>
      </w:r>
      <w:r w:rsidR="000C6825" w:rsidRPr="000C6825">
        <w:rPr>
          <w:rFonts w:ascii="Arial" w:hAnsi="Arial" w:cs="Arial"/>
          <w:i/>
          <w:iCs/>
          <w:sz w:val="24"/>
          <w:szCs w:val="24"/>
        </w:rPr>
        <w:t>Chartaprops 16 (Pty) Ltd and Another v Silberman</w:t>
      </w:r>
      <w:r w:rsidR="000C6825">
        <w:rPr>
          <w:rStyle w:val="FootnoteReference"/>
          <w:rFonts w:ascii="Arial" w:hAnsi="Arial" w:cs="Arial"/>
          <w:sz w:val="24"/>
          <w:szCs w:val="24"/>
        </w:rPr>
        <w:footnoteReference w:id="27"/>
      </w:r>
      <w:r w:rsidR="000C6825" w:rsidRPr="000C6825">
        <w:rPr>
          <w:rFonts w:ascii="Arial" w:hAnsi="Arial" w:cs="Arial"/>
          <w:sz w:val="24"/>
          <w:szCs w:val="24"/>
        </w:rPr>
        <w:t xml:space="preserve"> </w:t>
      </w:r>
      <w:r w:rsidR="000C6825">
        <w:rPr>
          <w:rFonts w:ascii="Arial" w:hAnsi="Arial" w:cs="Arial"/>
          <w:sz w:val="24"/>
          <w:szCs w:val="24"/>
        </w:rPr>
        <w:t xml:space="preserve">and </w:t>
      </w:r>
      <w:r w:rsidR="000C6825" w:rsidRPr="000C6825">
        <w:rPr>
          <w:rFonts w:ascii="Arial" w:hAnsi="Arial" w:cs="Arial"/>
          <w:i/>
          <w:iCs/>
          <w:sz w:val="24"/>
          <w:szCs w:val="24"/>
        </w:rPr>
        <w:t>Holtzhausen v Cenprop Real Estate (Pty) Ltd and Another</w:t>
      </w:r>
      <w:r w:rsidR="000C6825">
        <w:rPr>
          <w:rStyle w:val="FootnoteReference"/>
          <w:rFonts w:ascii="Arial" w:hAnsi="Arial" w:cs="Arial"/>
          <w:i/>
          <w:iCs/>
          <w:sz w:val="24"/>
          <w:szCs w:val="24"/>
        </w:rPr>
        <w:footnoteReference w:id="28"/>
      </w:r>
      <w:r w:rsidR="000C6825" w:rsidRPr="000C6825">
        <w:rPr>
          <w:rFonts w:ascii="Arial" w:hAnsi="Arial" w:cs="Arial"/>
          <w:sz w:val="24"/>
          <w:szCs w:val="24"/>
        </w:rPr>
        <w:t xml:space="preserve"> </w:t>
      </w:r>
      <w:r w:rsidR="005B7521">
        <w:rPr>
          <w:rFonts w:ascii="Arial" w:hAnsi="Arial" w:cs="Arial"/>
          <w:sz w:val="24"/>
          <w:szCs w:val="24"/>
        </w:rPr>
        <w:t>from the present matter.</w:t>
      </w:r>
      <w:r w:rsidR="00CB4175">
        <w:rPr>
          <w:rFonts w:ascii="Arial" w:hAnsi="Arial" w:cs="Arial"/>
          <w:sz w:val="24"/>
          <w:szCs w:val="24"/>
        </w:rPr>
        <w:t xml:space="preserve">  </w:t>
      </w:r>
      <w:r w:rsidR="005D1245">
        <w:rPr>
          <w:rFonts w:ascii="Arial" w:hAnsi="Arial" w:cs="Arial"/>
          <w:sz w:val="24"/>
          <w:szCs w:val="24"/>
        </w:rPr>
        <w:t>The principals in both such cases took further steps tha</w:t>
      </w:r>
      <w:r w:rsidR="008132C0">
        <w:rPr>
          <w:rFonts w:ascii="Arial" w:hAnsi="Arial" w:cs="Arial"/>
          <w:sz w:val="24"/>
          <w:szCs w:val="24"/>
        </w:rPr>
        <w:t>n</w:t>
      </w:r>
      <w:r w:rsidR="005D1245">
        <w:rPr>
          <w:rFonts w:ascii="Arial" w:hAnsi="Arial" w:cs="Arial"/>
          <w:sz w:val="24"/>
          <w:szCs w:val="24"/>
        </w:rPr>
        <w:t xml:space="preserve"> merely satisfying themselves</w:t>
      </w:r>
      <w:r w:rsidR="000C6825">
        <w:rPr>
          <w:rFonts w:ascii="Arial" w:hAnsi="Arial" w:cs="Arial"/>
          <w:sz w:val="24"/>
          <w:szCs w:val="24"/>
        </w:rPr>
        <w:t xml:space="preserve"> </w:t>
      </w:r>
      <w:r w:rsidR="005D1245">
        <w:rPr>
          <w:rFonts w:ascii="Arial" w:hAnsi="Arial" w:cs="Arial"/>
          <w:sz w:val="24"/>
          <w:szCs w:val="24"/>
        </w:rPr>
        <w:t>with</w:t>
      </w:r>
      <w:r w:rsidR="008132C0">
        <w:rPr>
          <w:rFonts w:ascii="Arial" w:hAnsi="Arial" w:cs="Arial"/>
          <w:sz w:val="24"/>
          <w:szCs w:val="24"/>
        </w:rPr>
        <w:t xml:space="preserve"> the appointment of </w:t>
      </w:r>
      <w:r w:rsidR="005D1245">
        <w:rPr>
          <w:rFonts w:ascii="Arial" w:hAnsi="Arial" w:cs="Arial"/>
          <w:sz w:val="24"/>
          <w:szCs w:val="24"/>
        </w:rPr>
        <w:t>independent contractors</w:t>
      </w:r>
      <w:r w:rsidR="008132C0">
        <w:rPr>
          <w:rFonts w:ascii="Arial" w:hAnsi="Arial" w:cs="Arial"/>
          <w:sz w:val="24"/>
          <w:szCs w:val="24"/>
        </w:rPr>
        <w:t xml:space="preserve"> to perform the cleaning services.</w:t>
      </w:r>
      <w:r w:rsidR="005D1245">
        <w:rPr>
          <w:rFonts w:ascii="Arial" w:hAnsi="Arial" w:cs="Arial"/>
          <w:sz w:val="24"/>
          <w:szCs w:val="24"/>
        </w:rPr>
        <w:t xml:space="preserve"> </w:t>
      </w:r>
      <w:r w:rsidR="000C6825">
        <w:rPr>
          <w:rFonts w:ascii="Arial" w:hAnsi="Arial" w:cs="Arial"/>
          <w:sz w:val="24"/>
          <w:szCs w:val="24"/>
        </w:rPr>
        <w:t xml:space="preserve"> </w:t>
      </w:r>
    </w:p>
    <w:p w14:paraId="768BDF15" w14:textId="02075121" w:rsidR="00604D31" w:rsidRDefault="00604D31" w:rsidP="005B7521">
      <w:pPr>
        <w:pStyle w:val="ListParagraph"/>
        <w:spacing w:after="0" w:line="480" w:lineRule="auto"/>
        <w:ind w:left="851"/>
        <w:jc w:val="both"/>
        <w:rPr>
          <w:rFonts w:ascii="Arial" w:hAnsi="Arial" w:cs="Arial"/>
          <w:sz w:val="24"/>
          <w:szCs w:val="24"/>
        </w:rPr>
      </w:pPr>
    </w:p>
    <w:p w14:paraId="5A0DFCCD" w14:textId="6393549D" w:rsidR="009E40DD" w:rsidRDefault="00E76C8A" w:rsidP="00795B8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In the circumstances, I find that the plaintiff’s fall </w:t>
      </w:r>
      <w:r w:rsidR="00F777DF">
        <w:rPr>
          <w:rFonts w:ascii="Arial" w:hAnsi="Arial" w:cs="Arial"/>
          <w:sz w:val="24"/>
          <w:szCs w:val="24"/>
        </w:rPr>
        <w:t>was</w:t>
      </w:r>
      <w:r>
        <w:rPr>
          <w:rFonts w:ascii="Arial" w:hAnsi="Arial" w:cs="Arial"/>
          <w:sz w:val="24"/>
          <w:szCs w:val="24"/>
        </w:rPr>
        <w:t xml:space="preserve"> caused by the negligence of the first and second defendant</w:t>
      </w:r>
      <w:r w:rsidR="009E40DD">
        <w:rPr>
          <w:rFonts w:ascii="Arial" w:hAnsi="Arial" w:cs="Arial"/>
          <w:sz w:val="24"/>
          <w:szCs w:val="24"/>
        </w:rPr>
        <w:t xml:space="preserve">s.  I see no reason to depart from the usual order as to costs.  </w:t>
      </w:r>
      <w:r w:rsidR="004706FD">
        <w:rPr>
          <w:rFonts w:ascii="Arial" w:hAnsi="Arial" w:cs="Arial"/>
          <w:sz w:val="24"/>
          <w:szCs w:val="24"/>
        </w:rPr>
        <w:t>Having come to the above findings, and f</w:t>
      </w:r>
      <w:r w:rsidR="009E40DD">
        <w:rPr>
          <w:rFonts w:ascii="Arial" w:hAnsi="Arial" w:cs="Arial"/>
          <w:sz w:val="24"/>
          <w:szCs w:val="24"/>
        </w:rPr>
        <w:t xml:space="preserve">or </w:t>
      </w:r>
      <w:r w:rsidR="00B56025">
        <w:rPr>
          <w:rFonts w:ascii="Arial" w:hAnsi="Arial" w:cs="Arial"/>
          <w:sz w:val="24"/>
          <w:szCs w:val="24"/>
        </w:rPr>
        <w:t>such</w:t>
      </w:r>
      <w:r w:rsidR="009E40DD">
        <w:rPr>
          <w:rFonts w:ascii="Arial" w:hAnsi="Arial" w:cs="Arial"/>
          <w:sz w:val="24"/>
          <w:szCs w:val="24"/>
        </w:rPr>
        <w:t xml:space="preserve"> reasons, I find that there is no merit in the respective special pleas raised by the defendants, </w:t>
      </w:r>
      <w:r w:rsidR="009745B8">
        <w:rPr>
          <w:rFonts w:ascii="Arial" w:hAnsi="Arial" w:cs="Arial"/>
          <w:sz w:val="24"/>
          <w:szCs w:val="24"/>
        </w:rPr>
        <w:t>which</w:t>
      </w:r>
      <w:r w:rsidR="009F061D">
        <w:rPr>
          <w:rFonts w:ascii="Arial" w:hAnsi="Arial" w:cs="Arial"/>
          <w:sz w:val="24"/>
          <w:szCs w:val="24"/>
        </w:rPr>
        <w:t xml:space="preserve"> need no further comment, and</w:t>
      </w:r>
      <w:r w:rsidR="009745B8">
        <w:rPr>
          <w:rFonts w:ascii="Arial" w:hAnsi="Arial" w:cs="Arial"/>
          <w:sz w:val="24"/>
          <w:szCs w:val="24"/>
        </w:rPr>
        <w:t xml:space="preserve"> are accordingly dismissed.</w:t>
      </w:r>
    </w:p>
    <w:p w14:paraId="65A83769" w14:textId="77777777" w:rsidR="009E40DD" w:rsidRPr="009E40DD" w:rsidRDefault="009E40DD" w:rsidP="00795B82">
      <w:pPr>
        <w:pStyle w:val="ListParagraph"/>
        <w:spacing w:after="0" w:line="480" w:lineRule="auto"/>
        <w:rPr>
          <w:rFonts w:ascii="Arial" w:hAnsi="Arial" w:cs="Arial"/>
          <w:sz w:val="24"/>
          <w:szCs w:val="24"/>
        </w:rPr>
      </w:pPr>
    </w:p>
    <w:p w14:paraId="334C6D38" w14:textId="3301DCFB" w:rsidR="00EA5C93" w:rsidRDefault="00B32A9D" w:rsidP="00795B8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the premises</w:t>
      </w:r>
      <w:r w:rsidR="00EA5C93">
        <w:rPr>
          <w:rFonts w:ascii="Arial" w:hAnsi="Arial" w:cs="Arial"/>
          <w:sz w:val="24"/>
          <w:szCs w:val="24"/>
        </w:rPr>
        <w:t>, the following order shall issue:</w:t>
      </w:r>
    </w:p>
    <w:p w14:paraId="559366D4" w14:textId="77777777" w:rsidR="00795B82" w:rsidRPr="00795B82" w:rsidRDefault="00795B82" w:rsidP="00795B82">
      <w:pPr>
        <w:pStyle w:val="ListParagraph"/>
        <w:spacing w:after="0" w:line="480" w:lineRule="auto"/>
        <w:ind w:left="1418"/>
        <w:jc w:val="both"/>
      </w:pPr>
    </w:p>
    <w:p w14:paraId="07E1B54B" w14:textId="2DA60826" w:rsidR="00EA5C93" w:rsidRPr="00B32A9D" w:rsidRDefault="00B32A9D" w:rsidP="00795B82">
      <w:pPr>
        <w:pStyle w:val="ListParagraph"/>
        <w:numPr>
          <w:ilvl w:val="0"/>
          <w:numId w:val="2"/>
        </w:numPr>
        <w:spacing w:after="0" w:line="480" w:lineRule="auto"/>
        <w:ind w:left="1418" w:hanging="567"/>
        <w:jc w:val="both"/>
      </w:pPr>
      <w:r w:rsidRPr="00B32A9D">
        <w:rPr>
          <w:rFonts w:ascii="Arial" w:hAnsi="Arial" w:cs="Arial"/>
          <w:sz w:val="24"/>
          <w:szCs w:val="24"/>
        </w:rPr>
        <w:t xml:space="preserve">It is declared that the </w:t>
      </w:r>
      <w:r w:rsidR="00E017C5">
        <w:rPr>
          <w:rFonts w:ascii="Arial" w:hAnsi="Arial" w:cs="Arial"/>
          <w:sz w:val="24"/>
          <w:szCs w:val="24"/>
        </w:rPr>
        <w:t xml:space="preserve">first and second </w:t>
      </w:r>
      <w:r w:rsidRPr="00B32A9D">
        <w:rPr>
          <w:rFonts w:ascii="Arial" w:hAnsi="Arial" w:cs="Arial"/>
          <w:sz w:val="24"/>
          <w:szCs w:val="24"/>
        </w:rPr>
        <w:t>defendant</w:t>
      </w:r>
      <w:r w:rsidR="00E017C5">
        <w:rPr>
          <w:rFonts w:ascii="Arial" w:hAnsi="Arial" w:cs="Arial"/>
          <w:sz w:val="24"/>
          <w:szCs w:val="24"/>
        </w:rPr>
        <w:t>s are liable</w:t>
      </w:r>
      <w:r w:rsidR="00164D20">
        <w:rPr>
          <w:rFonts w:ascii="Arial" w:hAnsi="Arial" w:cs="Arial"/>
          <w:sz w:val="24"/>
          <w:szCs w:val="24"/>
        </w:rPr>
        <w:t>, jointly and severally,</w:t>
      </w:r>
      <w:r w:rsidRPr="00B32A9D">
        <w:rPr>
          <w:rFonts w:ascii="Arial" w:hAnsi="Arial" w:cs="Arial"/>
          <w:sz w:val="24"/>
          <w:szCs w:val="24"/>
        </w:rPr>
        <w:t xml:space="preserve"> for such damages as might be agreed upon or proved in consequence of the event that is the subject of this claim.</w:t>
      </w:r>
    </w:p>
    <w:p w14:paraId="4E199C15" w14:textId="77777777" w:rsidR="00B32A9D" w:rsidRPr="00B32A9D" w:rsidRDefault="00B32A9D" w:rsidP="00B32A9D">
      <w:pPr>
        <w:pStyle w:val="ListParagraph"/>
        <w:spacing w:after="0" w:line="480" w:lineRule="auto"/>
        <w:ind w:left="1418"/>
        <w:jc w:val="both"/>
      </w:pPr>
    </w:p>
    <w:p w14:paraId="6733970B" w14:textId="30135657" w:rsidR="00B32A9D" w:rsidRPr="00B32A9D" w:rsidRDefault="00B32A9D" w:rsidP="00B32A9D">
      <w:pPr>
        <w:pStyle w:val="ListParagraph"/>
        <w:numPr>
          <w:ilvl w:val="0"/>
          <w:numId w:val="2"/>
        </w:numPr>
        <w:spacing w:after="0" w:line="480" w:lineRule="auto"/>
        <w:ind w:left="1418" w:hanging="567"/>
        <w:jc w:val="both"/>
      </w:pPr>
      <w:r>
        <w:rPr>
          <w:rFonts w:ascii="Arial" w:hAnsi="Arial" w:cs="Arial"/>
          <w:sz w:val="24"/>
          <w:szCs w:val="24"/>
        </w:rPr>
        <w:t>The first and second defendants are ordered to pay the costs</w:t>
      </w:r>
      <w:r w:rsidR="00164D20">
        <w:rPr>
          <w:rFonts w:ascii="Arial" w:hAnsi="Arial" w:cs="Arial"/>
          <w:sz w:val="24"/>
          <w:szCs w:val="24"/>
        </w:rPr>
        <w:t>, jointly and severally,</w:t>
      </w:r>
      <w:r>
        <w:rPr>
          <w:rFonts w:ascii="Arial" w:hAnsi="Arial" w:cs="Arial"/>
          <w:sz w:val="24"/>
          <w:szCs w:val="24"/>
        </w:rPr>
        <w:t xml:space="preserve"> of the hearing of the issues already determined in this judgment. </w:t>
      </w:r>
    </w:p>
    <w:p w14:paraId="78F4A402" w14:textId="35B4C434" w:rsidR="00EA5C93" w:rsidRDefault="00EA5C93" w:rsidP="00EA5C93">
      <w:pPr>
        <w:spacing w:after="0" w:line="480" w:lineRule="auto"/>
        <w:jc w:val="both"/>
        <w:rPr>
          <w:rStyle w:val="Hyperlink"/>
          <w:rFonts w:ascii="Arial" w:hAnsi="Arial" w:cs="Arial"/>
          <w:i/>
          <w:iCs/>
          <w:sz w:val="24"/>
          <w:szCs w:val="24"/>
        </w:rPr>
      </w:pPr>
    </w:p>
    <w:p w14:paraId="72D7CC24" w14:textId="77777777" w:rsidR="00750018" w:rsidRDefault="00750018" w:rsidP="00EA5C93">
      <w:pPr>
        <w:spacing w:after="0" w:line="480" w:lineRule="auto"/>
        <w:jc w:val="both"/>
        <w:rPr>
          <w:rStyle w:val="Hyperlink"/>
          <w:rFonts w:ascii="Arial" w:hAnsi="Arial" w:cs="Arial"/>
          <w:i/>
          <w:iCs/>
          <w:sz w:val="24"/>
          <w:szCs w:val="24"/>
        </w:rPr>
      </w:pPr>
    </w:p>
    <w:p w14:paraId="5C44CF8B" w14:textId="77777777" w:rsidR="00EA5C93" w:rsidRPr="00EA5C93" w:rsidRDefault="00EA5C93" w:rsidP="00EA5C93">
      <w:pPr>
        <w:spacing w:after="0" w:line="480" w:lineRule="auto"/>
        <w:jc w:val="both"/>
        <w:rPr>
          <w:rStyle w:val="Hyperlink"/>
          <w:rFonts w:ascii="Arial" w:hAnsi="Arial" w:cs="Arial"/>
          <w:i/>
          <w:iCs/>
          <w:color w:val="auto"/>
          <w:sz w:val="24"/>
          <w:szCs w:val="24"/>
        </w:rPr>
      </w:pPr>
      <w:r w:rsidRPr="00EA5C93">
        <w:rPr>
          <w:rStyle w:val="Hyperlink"/>
          <w:rFonts w:ascii="Arial" w:hAnsi="Arial" w:cs="Arial"/>
          <w:i/>
          <w:iCs/>
          <w:color w:val="auto"/>
          <w:sz w:val="24"/>
          <w:szCs w:val="24"/>
        </w:rPr>
        <w:t>________________________________</w:t>
      </w:r>
    </w:p>
    <w:p w14:paraId="56DAFA36" w14:textId="77777777" w:rsidR="00EA5C93" w:rsidRPr="005E0A83" w:rsidRDefault="00EA5C93" w:rsidP="00EA5C93">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29BDC6FB" w14:textId="77777777" w:rsidR="00EA5C93" w:rsidRPr="005E0A83" w:rsidRDefault="00EA5C93" w:rsidP="00EA5C93">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70874B18" w14:textId="77777777" w:rsidR="00EA5C93" w:rsidRPr="005E0A83" w:rsidRDefault="00EA5C93" w:rsidP="00EA5C93">
      <w:pPr>
        <w:spacing w:after="0" w:line="480" w:lineRule="auto"/>
        <w:jc w:val="both"/>
        <w:rPr>
          <w:rFonts w:ascii="Arial" w:hAnsi="Arial" w:cs="Arial"/>
          <w:sz w:val="24"/>
          <w:szCs w:val="24"/>
        </w:rPr>
      </w:pPr>
    </w:p>
    <w:p w14:paraId="1158D59A" w14:textId="77777777" w:rsidR="00EA5C93" w:rsidRPr="005E0A83" w:rsidRDefault="00EA5C93" w:rsidP="00EA5C93">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4EC275EE" w14:textId="69A1338B" w:rsidR="00EA5C93" w:rsidRDefault="00EA5C93" w:rsidP="00E76C8A">
      <w:pPr>
        <w:spacing w:after="0" w:line="360" w:lineRule="auto"/>
        <w:jc w:val="both"/>
        <w:rPr>
          <w:rFonts w:ascii="Arial" w:hAnsi="Arial" w:cs="Arial"/>
          <w:sz w:val="24"/>
          <w:szCs w:val="24"/>
        </w:rPr>
      </w:pPr>
      <w:r w:rsidRPr="005E0A83">
        <w:rPr>
          <w:rFonts w:ascii="Arial" w:hAnsi="Arial" w:cs="Arial"/>
          <w:sz w:val="24"/>
          <w:szCs w:val="24"/>
        </w:rPr>
        <w:t xml:space="preserve">For the </w:t>
      </w:r>
      <w:r w:rsidR="00E76C8A">
        <w:rPr>
          <w:rFonts w:ascii="Arial" w:hAnsi="Arial" w:cs="Arial"/>
          <w:sz w:val="24"/>
          <w:szCs w:val="24"/>
        </w:rPr>
        <w:t>Plaintiff:</w:t>
      </w:r>
      <w:r w:rsidR="00E76C8A">
        <w:rPr>
          <w:rFonts w:ascii="Arial" w:hAnsi="Arial" w:cs="Arial"/>
          <w:sz w:val="24"/>
          <w:szCs w:val="24"/>
        </w:rPr>
        <w:tab/>
      </w:r>
      <w:r w:rsidR="00E76C8A">
        <w:rPr>
          <w:rFonts w:ascii="Arial" w:hAnsi="Arial" w:cs="Arial"/>
          <w:sz w:val="24"/>
          <w:szCs w:val="24"/>
        </w:rPr>
        <w:tab/>
        <w:t>Adv Niekerk</w:t>
      </w:r>
    </w:p>
    <w:p w14:paraId="15331064" w14:textId="73F869F4" w:rsidR="00EA5C93" w:rsidRDefault="00E76C8A" w:rsidP="00EA5C93">
      <w:pPr>
        <w:spacing w:after="0" w:line="360" w:lineRule="auto"/>
        <w:jc w:val="both"/>
        <w:rPr>
          <w:rFonts w:ascii="Arial" w:hAnsi="Arial" w:cs="Arial"/>
        </w:rPr>
      </w:pPr>
      <w:r>
        <w:rPr>
          <w:rFonts w:ascii="Arial" w:hAnsi="Arial" w:cs="Arial"/>
        </w:rPr>
        <w:t>Instructed by:</w:t>
      </w:r>
      <w:r w:rsidR="00253245">
        <w:rPr>
          <w:rFonts w:ascii="Arial" w:hAnsi="Arial" w:cs="Arial"/>
        </w:rPr>
        <w:tab/>
      </w:r>
      <w:r w:rsidR="00253245">
        <w:rPr>
          <w:rFonts w:ascii="Arial" w:hAnsi="Arial" w:cs="Arial"/>
        </w:rPr>
        <w:tab/>
      </w:r>
      <w:r w:rsidR="00253245">
        <w:rPr>
          <w:rFonts w:ascii="Arial" w:hAnsi="Arial" w:cs="Arial"/>
        </w:rPr>
        <w:tab/>
        <w:t>Boqwana Burns Inc.  84 – 6</w:t>
      </w:r>
      <w:r w:rsidR="00253245" w:rsidRPr="00253245">
        <w:rPr>
          <w:rFonts w:ascii="Arial" w:hAnsi="Arial" w:cs="Arial"/>
          <w:vertAlign w:val="superscript"/>
        </w:rPr>
        <w:t>th</w:t>
      </w:r>
      <w:r w:rsidR="00253245">
        <w:rPr>
          <w:rFonts w:ascii="Arial" w:hAnsi="Arial" w:cs="Arial"/>
        </w:rPr>
        <w:t xml:space="preserve"> Avenue, Newton Park</w:t>
      </w:r>
    </w:p>
    <w:p w14:paraId="63089981" w14:textId="4F58A813" w:rsidR="00EA5C93" w:rsidRPr="005E0A83" w:rsidRDefault="00EA5C93" w:rsidP="00EA5C93">
      <w:pPr>
        <w:spacing w:after="0" w:line="360" w:lineRule="auto"/>
        <w:jc w:val="both"/>
        <w:rPr>
          <w:rFonts w:ascii="Arial" w:hAnsi="Arial" w:cs="Arial"/>
          <w:sz w:val="24"/>
          <w:szCs w:val="24"/>
        </w:rPr>
      </w:pPr>
      <w:r w:rsidRPr="005E0A83">
        <w:rPr>
          <w:rFonts w:ascii="Arial" w:hAnsi="Arial" w:cs="Arial"/>
          <w:sz w:val="24"/>
          <w:szCs w:val="24"/>
        </w:rPr>
        <w:t xml:space="preserve">For the </w:t>
      </w:r>
      <w:r w:rsidR="00E76C8A">
        <w:rPr>
          <w:rFonts w:ascii="Arial" w:hAnsi="Arial" w:cs="Arial"/>
          <w:sz w:val="24"/>
          <w:szCs w:val="24"/>
        </w:rPr>
        <w:t>Defendant</w:t>
      </w:r>
      <w:r w:rsidR="00E76C8A">
        <w:rPr>
          <w:rFonts w:ascii="Arial" w:hAnsi="Arial" w:cs="Arial"/>
          <w:sz w:val="24"/>
          <w:szCs w:val="24"/>
        </w:rPr>
        <w:tab/>
      </w:r>
      <w:r w:rsidR="00E76C8A">
        <w:rPr>
          <w:rFonts w:ascii="Arial" w:hAnsi="Arial" w:cs="Arial"/>
          <w:sz w:val="24"/>
          <w:szCs w:val="24"/>
        </w:rPr>
        <w:tab/>
        <w:t>Adv Dala</w:t>
      </w:r>
    </w:p>
    <w:p w14:paraId="5BF5C726" w14:textId="7E8DCA3A" w:rsidR="00E76C8A" w:rsidRPr="005E0A83" w:rsidRDefault="00EA5C93" w:rsidP="00E76C8A">
      <w:pPr>
        <w:spacing w:after="0" w:line="360" w:lineRule="auto"/>
        <w:rPr>
          <w:rFonts w:ascii="Arial" w:hAnsi="Arial" w:cs="Arial"/>
        </w:rPr>
      </w:pPr>
      <w:r>
        <w:rPr>
          <w:rFonts w:ascii="Arial" w:hAnsi="Arial" w:cs="Arial"/>
        </w:rPr>
        <w:t>Instructed by:</w:t>
      </w:r>
      <w:r w:rsidR="00253245">
        <w:rPr>
          <w:rFonts w:ascii="Arial" w:hAnsi="Arial" w:cs="Arial"/>
        </w:rPr>
        <w:tab/>
      </w:r>
      <w:r w:rsidR="00253245">
        <w:rPr>
          <w:rFonts w:ascii="Arial" w:hAnsi="Arial" w:cs="Arial"/>
        </w:rPr>
        <w:tab/>
      </w:r>
      <w:r w:rsidR="00253245">
        <w:rPr>
          <w:rFonts w:ascii="Arial" w:hAnsi="Arial" w:cs="Arial"/>
        </w:rPr>
        <w:tab/>
      </w:r>
      <w:r w:rsidR="00B4719E">
        <w:rPr>
          <w:rFonts w:ascii="Arial" w:hAnsi="Arial" w:cs="Arial"/>
        </w:rPr>
        <w:t>State Attorney, 29 Western Road, Central</w:t>
      </w:r>
      <w:r>
        <w:rPr>
          <w:rFonts w:ascii="Arial" w:hAnsi="Arial" w:cs="Arial"/>
        </w:rPr>
        <w:tab/>
      </w:r>
      <w:r>
        <w:rPr>
          <w:rFonts w:ascii="Arial" w:hAnsi="Arial" w:cs="Arial"/>
        </w:rPr>
        <w:tab/>
      </w:r>
      <w:r>
        <w:rPr>
          <w:rFonts w:ascii="Arial" w:hAnsi="Arial" w:cs="Arial"/>
        </w:rPr>
        <w:tab/>
      </w:r>
    </w:p>
    <w:p w14:paraId="533A202C" w14:textId="1734C54F" w:rsidR="00EA5C93" w:rsidRPr="005E0A83" w:rsidRDefault="00EA5C93" w:rsidP="00EA5C93">
      <w:pPr>
        <w:rPr>
          <w:rFonts w:ascii="Arial" w:hAnsi="Arial" w:cs="Arial"/>
        </w:rPr>
      </w:pPr>
    </w:p>
    <w:sectPr w:rsidR="00EA5C93" w:rsidRPr="005E0A83" w:rsidSect="0058220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4107" w14:textId="77777777" w:rsidR="009A0063" w:rsidRDefault="009A0063" w:rsidP="00EA5C93">
      <w:pPr>
        <w:spacing w:after="0" w:line="240" w:lineRule="auto"/>
      </w:pPr>
      <w:r>
        <w:separator/>
      </w:r>
    </w:p>
  </w:endnote>
  <w:endnote w:type="continuationSeparator" w:id="0">
    <w:p w14:paraId="7FEB7CDA" w14:textId="77777777" w:rsidR="009A0063" w:rsidRDefault="009A0063" w:rsidP="00EA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C7D5" w14:textId="77777777" w:rsidR="009A0063" w:rsidRDefault="009A0063" w:rsidP="00EA5C93">
      <w:pPr>
        <w:spacing w:after="0" w:line="240" w:lineRule="auto"/>
      </w:pPr>
      <w:r>
        <w:separator/>
      </w:r>
    </w:p>
  </w:footnote>
  <w:footnote w:type="continuationSeparator" w:id="0">
    <w:p w14:paraId="5C17E6EF" w14:textId="77777777" w:rsidR="009A0063" w:rsidRDefault="009A0063" w:rsidP="00EA5C93">
      <w:pPr>
        <w:spacing w:after="0" w:line="240" w:lineRule="auto"/>
      </w:pPr>
      <w:r>
        <w:continuationSeparator/>
      </w:r>
    </w:p>
  </w:footnote>
  <w:footnote w:id="1">
    <w:p w14:paraId="4ADB6312" w14:textId="3246690C" w:rsidR="005F0292" w:rsidRPr="000C7F5A" w:rsidRDefault="005F0292" w:rsidP="005A20B6">
      <w:pPr>
        <w:pStyle w:val="FootnoteText"/>
        <w:spacing w:line="360" w:lineRule="auto"/>
        <w:jc w:val="both"/>
        <w:rPr>
          <w:rFonts w:ascii="Arial" w:hAnsi="Arial" w:cs="Arial"/>
        </w:rPr>
      </w:pPr>
      <w:r w:rsidRPr="001C6C06">
        <w:rPr>
          <w:rStyle w:val="FootnoteReference"/>
        </w:rPr>
        <w:footnoteRef/>
      </w:r>
      <w:r w:rsidRPr="001C6C06">
        <w:t xml:space="preserve"> </w:t>
      </w:r>
      <w:r w:rsidRPr="005A20B6">
        <w:rPr>
          <w:rFonts w:ascii="Arial" w:hAnsi="Arial" w:cs="Arial"/>
          <w:i/>
          <w:iCs/>
        </w:rPr>
        <w:t>Denel (Edms) Bpk v Vorster</w:t>
      </w:r>
      <w:r w:rsidRPr="000C7F5A">
        <w:rPr>
          <w:rFonts w:ascii="Arial" w:hAnsi="Arial" w:cs="Arial"/>
        </w:rPr>
        <w:t xml:space="preserve"> 2004 (4) SA 481 (SCA)</w:t>
      </w:r>
    </w:p>
    <w:p w14:paraId="67331145" w14:textId="61252AC4" w:rsidR="005F0292" w:rsidRPr="000C7F5A" w:rsidRDefault="005F0292" w:rsidP="005A20B6">
      <w:pPr>
        <w:pStyle w:val="FootnoteText"/>
        <w:spacing w:line="360" w:lineRule="auto"/>
        <w:jc w:val="both"/>
        <w:rPr>
          <w:rFonts w:ascii="Arial" w:hAnsi="Arial" w:cs="Arial"/>
        </w:rPr>
      </w:pPr>
      <w:r w:rsidRPr="005A20B6">
        <w:rPr>
          <w:rFonts w:ascii="Arial" w:hAnsi="Arial" w:cs="Arial"/>
          <w:i/>
          <w:iCs/>
        </w:rPr>
        <w:t>Bonnievale Piggery (Pty) Ltd v Eugene van der Merwe</w:t>
      </w:r>
      <w:r w:rsidRPr="000C7F5A">
        <w:rPr>
          <w:rFonts w:ascii="Arial" w:hAnsi="Arial" w:cs="Arial"/>
        </w:rPr>
        <w:t xml:space="preserve"> [2020] ZAWCHC (4) at [24], [32] and [33].  The Judgment of the Full Bench in</w:t>
      </w:r>
      <w:r w:rsidRPr="005A20B6">
        <w:rPr>
          <w:rFonts w:ascii="Arial" w:hAnsi="Arial" w:cs="Arial"/>
          <w:i/>
          <w:iCs/>
        </w:rPr>
        <w:t xml:space="preserve"> Bonnievale</w:t>
      </w:r>
      <w:r w:rsidRPr="000C7F5A">
        <w:rPr>
          <w:rFonts w:ascii="Arial" w:hAnsi="Arial" w:cs="Arial"/>
        </w:rPr>
        <w:t xml:space="preserve"> (Western Cape) was upheld on appeal. See </w:t>
      </w:r>
      <w:r w:rsidRPr="005A20B6">
        <w:rPr>
          <w:rFonts w:ascii="Arial" w:hAnsi="Arial" w:cs="Arial"/>
          <w:i/>
          <w:iCs/>
        </w:rPr>
        <w:t>Van der Merwe v Bonnievale Piggery (Pty) Ltd</w:t>
      </w:r>
      <w:r w:rsidRPr="000C7F5A">
        <w:rPr>
          <w:rFonts w:ascii="Arial" w:hAnsi="Arial" w:cs="Arial"/>
        </w:rPr>
        <w:t xml:space="preserve"> [2021] ZASCA 162.</w:t>
      </w:r>
    </w:p>
  </w:footnote>
  <w:footnote w:id="2">
    <w:p w14:paraId="7243AC15" w14:textId="6B6E93A1" w:rsidR="000C7F5A" w:rsidRDefault="008F7A2F" w:rsidP="005A20B6">
      <w:pPr>
        <w:pStyle w:val="FootnoteText"/>
        <w:spacing w:line="360" w:lineRule="auto"/>
        <w:jc w:val="both"/>
        <w:rPr>
          <w:rFonts w:ascii="Arial" w:hAnsi="Arial" w:cs="Arial"/>
          <w:shd w:val="clear" w:color="auto" w:fill="FFFFFF"/>
        </w:rPr>
      </w:pPr>
      <w:r w:rsidRPr="000C7F5A">
        <w:rPr>
          <w:rStyle w:val="FootnoteReference"/>
        </w:rPr>
        <w:footnoteRef/>
      </w:r>
      <w:r w:rsidRPr="000C7F5A">
        <w:t xml:space="preserve"> </w:t>
      </w:r>
      <w:r w:rsidR="000C7F5A" w:rsidRPr="005A20B6">
        <w:rPr>
          <w:rFonts w:ascii="Arial" w:hAnsi="Arial" w:cs="Arial"/>
          <w:i/>
          <w:iCs/>
          <w:shd w:val="clear" w:color="auto" w:fill="FFFFFF"/>
        </w:rPr>
        <w:t>Kelbrick and Others v Nelson Attorneys and Another </w:t>
      </w:r>
      <w:hyperlink r:id="rId1" w:tooltip="View LawCiteRecord" w:history="1">
        <w:r w:rsidR="000C7F5A" w:rsidRPr="000C7F5A">
          <w:rPr>
            <w:rStyle w:val="Hyperlink"/>
            <w:rFonts w:ascii="Arial" w:hAnsi="Arial" w:cs="Arial"/>
            <w:color w:val="auto"/>
            <w:shd w:val="clear" w:color="auto" w:fill="FFFFFF"/>
          </w:rPr>
          <w:t>[2019] JOL 43037</w:t>
        </w:r>
      </w:hyperlink>
      <w:r w:rsidR="000C7F5A" w:rsidRPr="000C7F5A">
        <w:rPr>
          <w:rFonts w:ascii="Arial" w:hAnsi="Arial" w:cs="Arial"/>
          <w:shd w:val="clear" w:color="auto" w:fill="FFFFFF"/>
        </w:rPr>
        <w:t> (SCA) at para [28]</w:t>
      </w:r>
      <w:r w:rsidR="005A20B6">
        <w:rPr>
          <w:rFonts w:ascii="Arial" w:hAnsi="Arial" w:cs="Arial"/>
          <w:shd w:val="clear" w:color="auto" w:fill="FFFFFF"/>
        </w:rPr>
        <w:t>.</w:t>
      </w:r>
      <w:r w:rsidR="000C7F5A" w:rsidRPr="000C7F5A">
        <w:rPr>
          <w:rFonts w:ascii="Arial" w:hAnsi="Arial" w:cs="Arial"/>
          <w:shd w:val="clear" w:color="auto" w:fill="FFFFFF"/>
        </w:rPr>
        <w:t xml:space="preserve"> </w:t>
      </w:r>
    </w:p>
    <w:p w14:paraId="6C0E1976" w14:textId="05C7BFB4" w:rsidR="000C7F5A" w:rsidRDefault="000C7F5A" w:rsidP="005A20B6">
      <w:pPr>
        <w:pStyle w:val="FootnoteText"/>
        <w:spacing w:line="360" w:lineRule="auto"/>
        <w:jc w:val="both"/>
        <w:rPr>
          <w:rFonts w:ascii="Arial" w:hAnsi="Arial" w:cs="Arial"/>
          <w:shd w:val="clear" w:color="auto" w:fill="FFFFFF"/>
        </w:rPr>
      </w:pPr>
      <w:r w:rsidRPr="005A20B6">
        <w:rPr>
          <w:rFonts w:ascii="Arial" w:hAnsi="Arial" w:cs="Arial"/>
          <w:i/>
          <w:iCs/>
          <w:shd w:val="clear" w:color="auto" w:fill="FFFFFF"/>
        </w:rPr>
        <w:t>Wallach v Lew Geffin Estates CC</w:t>
      </w:r>
      <w:r w:rsidRPr="000C7F5A">
        <w:rPr>
          <w:rFonts w:ascii="Arial" w:hAnsi="Arial" w:cs="Arial"/>
          <w:shd w:val="clear" w:color="auto" w:fill="FFFFFF"/>
        </w:rPr>
        <w:t> </w:t>
      </w:r>
      <w:hyperlink r:id="rId2" w:tooltip="View Case" w:history="1">
        <w:r w:rsidRPr="000C7F5A">
          <w:rPr>
            <w:rStyle w:val="Hyperlink"/>
            <w:rFonts w:ascii="Arial" w:hAnsi="Arial" w:cs="Arial"/>
            <w:color w:val="auto"/>
            <w:shd w:val="clear" w:color="auto" w:fill="FFFFFF"/>
          </w:rPr>
          <w:t>[1993] ZASCA 39</w:t>
        </w:r>
      </w:hyperlink>
      <w:r w:rsidRPr="000C7F5A">
        <w:rPr>
          <w:rFonts w:ascii="Arial" w:hAnsi="Arial" w:cs="Arial"/>
          <w:shd w:val="clear" w:color="auto" w:fill="FFFFFF"/>
        </w:rPr>
        <w:t>; </w:t>
      </w:r>
      <w:hyperlink r:id="rId3" w:tooltip="View LawCiteRecord" w:history="1">
        <w:r w:rsidRPr="000C7F5A">
          <w:rPr>
            <w:rStyle w:val="Hyperlink"/>
            <w:rFonts w:ascii="Arial" w:hAnsi="Arial" w:cs="Arial"/>
            <w:color w:val="auto"/>
            <w:shd w:val="clear" w:color="auto" w:fill="FFFFFF"/>
          </w:rPr>
          <w:t>1993 (3) SA 258</w:t>
        </w:r>
      </w:hyperlink>
      <w:r w:rsidRPr="000C7F5A">
        <w:rPr>
          <w:rFonts w:ascii="Arial" w:hAnsi="Arial" w:cs="Arial"/>
          <w:shd w:val="clear" w:color="auto" w:fill="FFFFFF"/>
        </w:rPr>
        <w:t> (AD) at 262 – 263</w:t>
      </w:r>
      <w:r>
        <w:rPr>
          <w:rFonts w:ascii="Arial" w:hAnsi="Arial" w:cs="Arial"/>
          <w:shd w:val="clear" w:color="auto" w:fill="FFFFFF"/>
        </w:rPr>
        <w:t>.</w:t>
      </w:r>
    </w:p>
    <w:p w14:paraId="6AB4BB1D" w14:textId="1A459D0B" w:rsidR="008F7A2F" w:rsidRPr="00D3579C" w:rsidRDefault="008F7A2F" w:rsidP="005A20B6">
      <w:pPr>
        <w:pStyle w:val="FootnoteText"/>
        <w:spacing w:line="360" w:lineRule="auto"/>
        <w:jc w:val="both"/>
        <w:rPr>
          <w:rFonts w:ascii="Arial" w:hAnsi="Arial" w:cs="Arial"/>
        </w:rPr>
      </w:pPr>
      <w:r w:rsidRPr="005A20B6">
        <w:rPr>
          <w:rFonts w:ascii="Arial" w:hAnsi="Arial" w:cs="Arial"/>
          <w:i/>
          <w:iCs/>
        </w:rPr>
        <w:t>Rennie Charles Blaine Price N.O &amp; Others v Sun Citrus Packers</w:t>
      </w:r>
      <w:r w:rsidRPr="000C7F5A">
        <w:rPr>
          <w:rFonts w:ascii="Arial" w:hAnsi="Arial" w:cs="Arial"/>
        </w:rPr>
        <w:t xml:space="preserve"> (Pty) Ltd [2020] ZAECPEHC 4</w:t>
      </w:r>
      <w:r w:rsidR="000C7F5A" w:rsidRPr="000C7F5A">
        <w:rPr>
          <w:rFonts w:ascii="Arial" w:hAnsi="Arial" w:cs="Arial"/>
        </w:rPr>
        <w:t xml:space="preserve"> (6 </w:t>
      </w:r>
      <w:r w:rsidR="000C7F5A" w:rsidRPr="00D3579C">
        <w:rPr>
          <w:rFonts w:ascii="Arial" w:hAnsi="Arial" w:cs="Arial"/>
        </w:rPr>
        <w:t>February 2020), unreported decision of Gqamana J.</w:t>
      </w:r>
    </w:p>
  </w:footnote>
  <w:footnote w:id="3">
    <w:p w14:paraId="2CCF508C" w14:textId="0232651B" w:rsidR="00CF55EA" w:rsidRDefault="00CF55EA" w:rsidP="005A20B6">
      <w:pPr>
        <w:pStyle w:val="FootnoteText"/>
        <w:spacing w:line="360" w:lineRule="auto"/>
        <w:jc w:val="both"/>
      </w:pPr>
      <w:r w:rsidRPr="00D3579C">
        <w:rPr>
          <w:rStyle w:val="FootnoteReference"/>
          <w:rFonts w:ascii="Arial" w:hAnsi="Arial" w:cs="Arial"/>
        </w:rPr>
        <w:footnoteRef/>
      </w:r>
      <w:r w:rsidRPr="00D3579C">
        <w:rPr>
          <w:rFonts w:ascii="Arial" w:hAnsi="Arial" w:cs="Arial"/>
        </w:rPr>
        <w:t xml:space="preserve"> To include reference to the respective paragraphs </w:t>
      </w:r>
      <w:r w:rsidR="00A913C3" w:rsidRPr="00D3579C">
        <w:rPr>
          <w:rFonts w:ascii="Arial" w:hAnsi="Arial" w:cs="Arial"/>
        </w:rPr>
        <w:t>of</w:t>
      </w:r>
      <w:r w:rsidRPr="00D3579C">
        <w:rPr>
          <w:rFonts w:ascii="Arial" w:hAnsi="Arial" w:cs="Arial"/>
        </w:rPr>
        <w:t xml:space="preserve"> the plaintiff’s particulars of claim and the corresponding paragraphs there</w:t>
      </w:r>
      <w:r w:rsidR="00A913C3" w:rsidRPr="00D3579C">
        <w:rPr>
          <w:rFonts w:ascii="Arial" w:hAnsi="Arial" w:cs="Arial"/>
        </w:rPr>
        <w:t>to</w:t>
      </w:r>
      <w:r w:rsidRPr="00D3579C">
        <w:rPr>
          <w:rFonts w:ascii="Arial" w:hAnsi="Arial" w:cs="Arial"/>
        </w:rPr>
        <w:t xml:space="preserve"> </w:t>
      </w:r>
      <w:r w:rsidR="00A913C3" w:rsidRPr="00D3579C">
        <w:rPr>
          <w:rFonts w:ascii="Arial" w:hAnsi="Arial" w:cs="Arial"/>
        </w:rPr>
        <w:t>as contained in</w:t>
      </w:r>
      <w:r w:rsidRPr="00D3579C">
        <w:rPr>
          <w:rFonts w:ascii="Arial" w:hAnsi="Arial" w:cs="Arial"/>
        </w:rPr>
        <w:t xml:space="preserve"> the first and second defendants’ amended plea</w:t>
      </w:r>
      <w:r w:rsidR="00A913C3" w:rsidRPr="00D3579C">
        <w:rPr>
          <w:rFonts w:ascii="Arial" w:hAnsi="Arial" w:cs="Arial"/>
        </w:rPr>
        <w:t>, which form part of the separated issues.</w:t>
      </w:r>
      <w:r>
        <w:t xml:space="preserve"> </w:t>
      </w:r>
    </w:p>
  </w:footnote>
  <w:footnote w:id="4">
    <w:p w14:paraId="22C3AADB" w14:textId="6BAB9784" w:rsidR="00667913" w:rsidRDefault="00667913">
      <w:pPr>
        <w:pStyle w:val="FootnoteText"/>
      </w:pPr>
      <w:r>
        <w:rPr>
          <w:rStyle w:val="FootnoteReference"/>
        </w:rPr>
        <w:footnoteRef/>
      </w:r>
      <w:r>
        <w:t xml:space="preserve"> </w:t>
      </w:r>
      <w:r w:rsidRPr="003779C3">
        <w:rPr>
          <w:rFonts w:ascii="Arial" w:hAnsi="Arial" w:cs="Arial"/>
        </w:rPr>
        <w:t>The plaintiff abandoned reliance on paragraph 6.4.</w:t>
      </w:r>
    </w:p>
  </w:footnote>
  <w:footnote w:id="5">
    <w:p w14:paraId="2DB7B9C9" w14:textId="5F1B468A" w:rsidR="00685B1B" w:rsidRDefault="00685B1B">
      <w:pPr>
        <w:pStyle w:val="FootnoteText"/>
      </w:pPr>
      <w:r>
        <w:rPr>
          <w:rStyle w:val="FootnoteReference"/>
        </w:rPr>
        <w:footnoteRef/>
      </w:r>
      <w:r>
        <w:t xml:space="preserve"> </w:t>
      </w:r>
      <w:r w:rsidRPr="00685B1B">
        <w:rPr>
          <w:rFonts w:ascii="Arial" w:hAnsi="Arial" w:cs="Arial"/>
          <w:color w:val="242121"/>
          <w:shd w:val="clear" w:color="auto" w:fill="FFFFFF"/>
        </w:rPr>
        <w:t>2000 (1) SA 1 (CC).</w:t>
      </w:r>
    </w:p>
  </w:footnote>
  <w:footnote w:id="6">
    <w:p w14:paraId="692CB186" w14:textId="77777777" w:rsidR="0093139E" w:rsidRPr="00862360" w:rsidRDefault="0093139E" w:rsidP="00862360">
      <w:pPr>
        <w:pStyle w:val="FootnoteText"/>
        <w:spacing w:line="360" w:lineRule="auto"/>
        <w:jc w:val="both"/>
        <w:rPr>
          <w:rFonts w:ascii="Arial" w:hAnsi="Arial" w:cs="Arial"/>
        </w:rPr>
      </w:pPr>
      <w:r w:rsidRPr="00862360">
        <w:rPr>
          <w:rStyle w:val="FootnoteReference"/>
          <w:rFonts w:ascii="Arial" w:hAnsi="Arial" w:cs="Arial"/>
        </w:rPr>
        <w:footnoteRef/>
      </w:r>
      <w:r w:rsidRPr="00862360">
        <w:rPr>
          <w:rFonts w:ascii="Arial" w:hAnsi="Arial" w:cs="Arial"/>
        </w:rPr>
        <w:t xml:space="preserve"> </w:t>
      </w:r>
      <w:r w:rsidRPr="00862360">
        <w:rPr>
          <w:rFonts w:ascii="Arial" w:hAnsi="Arial" w:cs="Arial"/>
          <w:i/>
        </w:rPr>
        <w:t>Colonial Mutual Life Assurance Society Ltd v McDonald</w:t>
      </w:r>
      <w:r w:rsidRPr="00862360">
        <w:rPr>
          <w:rFonts w:ascii="Arial" w:hAnsi="Arial" w:cs="Arial"/>
        </w:rPr>
        <w:t xml:space="preserve"> 1931 (AD) 412; </w:t>
      </w:r>
      <w:r w:rsidRPr="00862360">
        <w:rPr>
          <w:rFonts w:ascii="Arial" w:hAnsi="Arial" w:cs="Arial"/>
          <w:i/>
        </w:rPr>
        <w:t xml:space="preserve">Auto Protection Insurance Co Ltd v McDonald (Pty) Ltd </w:t>
      </w:r>
      <w:r w:rsidRPr="00862360">
        <w:rPr>
          <w:rFonts w:ascii="Arial" w:hAnsi="Arial" w:cs="Arial"/>
        </w:rPr>
        <w:t xml:space="preserve">1962 (1) SA 793 (A); </w:t>
      </w:r>
      <w:r w:rsidRPr="00862360">
        <w:rPr>
          <w:rFonts w:ascii="Arial" w:hAnsi="Arial" w:cs="Arial"/>
          <w:i/>
        </w:rPr>
        <w:t>Smit v Workmens Compensation Commissioner</w:t>
      </w:r>
      <w:r w:rsidRPr="00862360">
        <w:rPr>
          <w:rFonts w:ascii="Arial" w:hAnsi="Arial" w:cs="Arial"/>
        </w:rPr>
        <w:t xml:space="preserve"> 1979 (1) SA 51 (A); </w:t>
      </w:r>
      <w:r w:rsidRPr="00862360">
        <w:rPr>
          <w:rFonts w:ascii="Arial" w:hAnsi="Arial" w:cs="Arial"/>
          <w:i/>
        </w:rPr>
        <w:t>Chartaprops (supra)</w:t>
      </w:r>
      <w:r w:rsidRPr="00862360">
        <w:rPr>
          <w:rFonts w:ascii="Arial" w:hAnsi="Arial" w:cs="Arial"/>
        </w:rPr>
        <w:t xml:space="preserve"> at para 28 and </w:t>
      </w:r>
      <w:r w:rsidRPr="00862360">
        <w:rPr>
          <w:rFonts w:ascii="Arial" w:hAnsi="Arial" w:cs="Arial"/>
          <w:i/>
        </w:rPr>
        <w:t>Langley Fox Building Partnerships (Pty) Ltd v De Valence</w:t>
      </w:r>
      <w:r w:rsidRPr="00862360">
        <w:rPr>
          <w:rFonts w:ascii="Arial" w:hAnsi="Arial" w:cs="Arial"/>
        </w:rPr>
        <w:t xml:space="preserve"> 1991 (1) SA 1 (A) at 8A. </w:t>
      </w:r>
    </w:p>
  </w:footnote>
  <w:footnote w:id="7">
    <w:p w14:paraId="72A34E2C" w14:textId="77777777" w:rsidR="0093139E" w:rsidRPr="00862360" w:rsidRDefault="0093139E" w:rsidP="00862360">
      <w:pPr>
        <w:pStyle w:val="FootnoteText"/>
        <w:spacing w:line="360" w:lineRule="auto"/>
        <w:rPr>
          <w:rFonts w:ascii="Arial" w:hAnsi="Arial" w:cs="Arial"/>
        </w:rPr>
      </w:pPr>
      <w:r w:rsidRPr="00862360">
        <w:rPr>
          <w:rStyle w:val="FootnoteReference"/>
          <w:rFonts w:ascii="Arial" w:hAnsi="Arial" w:cs="Arial"/>
        </w:rPr>
        <w:footnoteRef/>
      </w:r>
      <w:r w:rsidRPr="00862360">
        <w:rPr>
          <w:rFonts w:ascii="Arial" w:hAnsi="Arial" w:cs="Arial"/>
        </w:rPr>
        <w:t xml:space="preserve"> </w:t>
      </w:r>
      <w:r w:rsidRPr="00862360">
        <w:rPr>
          <w:rFonts w:ascii="Arial" w:hAnsi="Arial" w:cs="Arial"/>
          <w:i/>
        </w:rPr>
        <w:t xml:space="preserve">Saayman v Visser </w:t>
      </w:r>
      <w:r w:rsidRPr="00862360">
        <w:rPr>
          <w:rFonts w:ascii="Arial" w:hAnsi="Arial" w:cs="Arial"/>
        </w:rPr>
        <w:t xml:space="preserve">2008 (5) SA 312 (SCA) at para 18. </w:t>
      </w:r>
    </w:p>
  </w:footnote>
  <w:footnote w:id="8">
    <w:p w14:paraId="7DFAEEC8" w14:textId="77777777" w:rsidR="0093139E" w:rsidRPr="00862360" w:rsidRDefault="0093139E" w:rsidP="00862360">
      <w:pPr>
        <w:pStyle w:val="FootnoteText"/>
        <w:spacing w:line="360" w:lineRule="auto"/>
        <w:rPr>
          <w:rFonts w:ascii="Arial" w:hAnsi="Arial" w:cs="Arial"/>
        </w:rPr>
      </w:pPr>
      <w:r w:rsidRPr="00862360">
        <w:rPr>
          <w:rStyle w:val="FootnoteReference"/>
          <w:rFonts w:ascii="Arial" w:hAnsi="Arial" w:cs="Arial"/>
        </w:rPr>
        <w:footnoteRef/>
      </w:r>
      <w:r w:rsidRPr="00862360">
        <w:rPr>
          <w:rFonts w:ascii="Arial" w:hAnsi="Arial" w:cs="Arial"/>
        </w:rPr>
        <w:t xml:space="preserve"> As described in English Law (see </w:t>
      </w:r>
      <w:r w:rsidRPr="00862360">
        <w:rPr>
          <w:rFonts w:ascii="Arial" w:hAnsi="Arial" w:cs="Arial"/>
          <w:i/>
        </w:rPr>
        <w:t>Chartaprops (supra)</w:t>
      </w:r>
      <w:r w:rsidRPr="00862360">
        <w:rPr>
          <w:rFonts w:ascii="Arial" w:hAnsi="Arial" w:cs="Arial"/>
        </w:rPr>
        <w:t xml:space="preserve"> at para 29). </w:t>
      </w:r>
    </w:p>
  </w:footnote>
  <w:footnote w:id="9">
    <w:p w14:paraId="1EA77827" w14:textId="77777777" w:rsidR="0093139E" w:rsidRPr="00862360" w:rsidRDefault="0093139E" w:rsidP="00862360">
      <w:pPr>
        <w:pStyle w:val="FootnoteText"/>
        <w:spacing w:line="360" w:lineRule="auto"/>
        <w:rPr>
          <w:rFonts w:ascii="Arial" w:hAnsi="Arial" w:cs="Arial"/>
        </w:rPr>
      </w:pPr>
      <w:r w:rsidRPr="00862360">
        <w:rPr>
          <w:rStyle w:val="FootnoteReference"/>
          <w:rFonts w:ascii="Arial" w:hAnsi="Arial" w:cs="Arial"/>
        </w:rPr>
        <w:footnoteRef/>
      </w:r>
      <w:r w:rsidRPr="00862360">
        <w:rPr>
          <w:rFonts w:ascii="Arial" w:hAnsi="Arial" w:cs="Arial"/>
        </w:rPr>
        <w:t xml:space="preserve"> </w:t>
      </w:r>
      <w:r w:rsidRPr="00862360">
        <w:rPr>
          <w:rFonts w:ascii="Arial" w:hAnsi="Arial" w:cs="Arial"/>
          <w:i/>
        </w:rPr>
        <w:t>Chartaprops (supra)</w:t>
      </w:r>
      <w:r w:rsidRPr="00862360">
        <w:rPr>
          <w:rFonts w:ascii="Arial" w:hAnsi="Arial" w:cs="Arial"/>
        </w:rPr>
        <w:t xml:space="preserve"> at para 29.</w:t>
      </w:r>
    </w:p>
  </w:footnote>
  <w:footnote w:id="10">
    <w:p w14:paraId="19B92FA3" w14:textId="77777777" w:rsidR="0093139E" w:rsidRPr="00862360" w:rsidRDefault="0093139E" w:rsidP="00862360">
      <w:pPr>
        <w:pStyle w:val="FootnoteText"/>
        <w:spacing w:line="360" w:lineRule="auto"/>
        <w:rPr>
          <w:rFonts w:ascii="Arial" w:hAnsi="Arial" w:cs="Arial"/>
        </w:rPr>
      </w:pPr>
      <w:r w:rsidRPr="00862360">
        <w:rPr>
          <w:rStyle w:val="FootnoteReference"/>
          <w:rFonts w:ascii="Arial" w:hAnsi="Arial" w:cs="Arial"/>
        </w:rPr>
        <w:footnoteRef/>
      </w:r>
      <w:r w:rsidRPr="00862360">
        <w:rPr>
          <w:rFonts w:ascii="Arial" w:hAnsi="Arial" w:cs="Arial"/>
        </w:rPr>
        <w:t xml:space="preserve"> </w:t>
      </w:r>
      <w:r w:rsidRPr="00862360">
        <w:rPr>
          <w:rFonts w:ascii="Arial" w:hAnsi="Arial" w:cs="Arial"/>
          <w:i/>
        </w:rPr>
        <w:t>Chartaprops (supra)</w:t>
      </w:r>
      <w:r w:rsidRPr="00862360">
        <w:rPr>
          <w:rFonts w:ascii="Arial" w:hAnsi="Arial" w:cs="Arial"/>
        </w:rPr>
        <w:t xml:space="preserve"> at para 30.</w:t>
      </w:r>
    </w:p>
  </w:footnote>
  <w:footnote w:id="11">
    <w:p w14:paraId="0B977A1A" w14:textId="77777777" w:rsidR="00307605" w:rsidRPr="00862360" w:rsidRDefault="00307605" w:rsidP="00862360">
      <w:pPr>
        <w:pStyle w:val="FootnoteText"/>
        <w:spacing w:line="360" w:lineRule="auto"/>
        <w:jc w:val="both"/>
        <w:rPr>
          <w:rFonts w:ascii="Arial" w:hAnsi="Arial" w:cs="Arial"/>
        </w:rPr>
      </w:pPr>
      <w:r w:rsidRPr="00862360">
        <w:rPr>
          <w:rStyle w:val="FootnoteReference"/>
          <w:rFonts w:ascii="Arial" w:hAnsi="Arial" w:cs="Arial"/>
        </w:rPr>
        <w:footnoteRef/>
      </w:r>
      <w:r w:rsidRPr="00862360">
        <w:rPr>
          <w:rFonts w:ascii="Arial" w:hAnsi="Arial" w:cs="Arial"/>
        </w:rPr>
        <w:t xml:space="preserve"> </w:t>
      </w:r>
      <w:r w:rsidRPr="00862360">
        <w:rPr>
          <w:rFonts w:ascii="Arial" w:hAnsi="Arial" w:cs="Arial"/>
          <w:i/>
        </w:rPr>
        <w:t>Chartaprops (supra)</w:t>
      </w:r>
      <w:r w:rsidRPr="00862360">
        <w:rPr>
          <w:rFonts w:ascii="Arial" w:hAnsi="Arial" w:cs="Arial"/>
        </w:rPr>
        <w:t xml:space="preserve"> at para 28</w:t>
      </w:r>
    </w:p>
  </w:footnote>
  <w:footnote w:id="12">
    <w:p w14:paraId="4D33DF88" w14:textId="77777777" w:rsidR="00307605" w:rsidRPr="00A47F53" w:rsidRDefault="00307605" w:rsidP="00A47F53">
      <w:pPr>
        <w:pStyle w:val="FootnoteText"/>
        <w:spacing w:line="360" w:lineRule="auto"/>
        <w:jc w:val="both"/>
        <w:rPr>
          <w:rFonts w:ascii="Arial" w:hAnsi="Arial" w:cs="Arial"/>
        </w:rPr>
      </w:pPr>
      <w:r w:rsidRPr="00A47F53">
        <w:rPr>
          <w:rStyle w:val="FootnoteReference"/>
          <w:rFonts w:ascii="Arial" w:hAnsi="Arial" w:cs="Arial"/>
        </w:rPr>
        <w:footnoteRef/>
      </w:r>
      <w:r w:rsidRPr="00A47F53">
        <w:rPr>
          <w:rFonts w:ascii="Arial" w:hAnsi="Arial" w:cs="Arial"/>
        </w:rPr>
        <w:t xml:space="preserve"> </w:t>
      </w:r>
      <w:r w:rsidRPr="00A47F53">
        <w:rPr>
          <w:rFonts w:ascii="Arial" w:hAnsi="Arial" w:cs="Arial"/>
          <w:i/>
        </w:rPr>
        <w:t>‘Liability for Independent Contractors’</w:t>
      </w:r>
      <w:r w:rsidRPr="00A47F53">
        <w:rPr>
          <w:rFonts w:ascii="Arial" w:hAnsi="Arial" w:cs="Arial"/>
        </w:rPr>
        <w:t xml:space="preserve"> (1956) Cambridge Law Journal at 180.</w:t>
      </w:r>
    </w:p>
  </w:footnote>
  <w:footnote w:id="13">
    <w:p w14:paraId="5A134510" w14:textId="77777777" w:rsidR="00307605" w:rsidRPr="00A47F53" w:rsidRDefault="00307605" w:rsidP="00A47F53">
      <w:pPr>
        <w:pStyle w:val="FootnoteText"/>
        <w:spacing w:line="360" w:lineRule="auto"/>
        <w:jc w:val="both"/>
        <w:rPr>
          <w:rFonts w:ascii="Arial" w:hAnsi="Arial" w:cs="Arial"/>
        </w:rPr>
      </w:pPr>
      <w:r w:rsidRPr="00A47F53">
        <w:rPr>
          <w:rStyle w:val="FootnoteReference"/>
          <w:rFonts w:ascii="Arial" w:hAnsi="Arial" w:cs="Arial"/>
        </w:rPr>
        <w:footnoteRef/>
      </w:r>
      <w:r w:rsidRPr="00A47F53">
        <w:rPr>
          <w:rFonts w:ascii="Arial" w:hAnsi="Arial" w:cs="Arial"/>
        </w:rPr>
        <w:t xml:space="preserve"> </w:t>
      </w:r>
      <w:r w:rsidRPr="00A47F53">
        <w:rPr>
          <w:rFonts w:ascii="Arial" w:hAnsi="Arial" w:cs="Arial"/>
          <w:i/>
        </w:rPr>
        <w:t>Chartaprops (supra)</w:t>
      </w:r>
      <w:r w:rsidRPr="00A47F53">
        <w:rPr>
          <w:rFonts w:ascii="Arial" w:hAnsi="Arial" w:cs="Arial"/>
        </w:rPr>
        <w:t xml:space="preserve"> at para 28.</w:t>
      </w:r>
    </w:p>
  </w:footnote>
  <w:footnote w:id="14">
    <w:p w14:paraId="70652DEB" w14:textId="77777777" w:rsidR="0093139E" w:rsidRPr="00A47F53" w:rsidRDefault="0093139E" w:rsidP="00A47F53">
      <w:pPr>
        <w:pStyle w:val="FootnoteText"/>
        <w:spacing w:line="360" w:lineRule="auto"/>
        <w:jc w:val="both"/>
        <w:rPr>
          <w:rFonts w:ascii="Arial" w:hAnsi="Arial" w:cs="Arial"/>
        </w:rPr>
      </w:pPr>
      <w:r w:rsidRPr="00A47F53">
        <w:rPr>
          <w:rStyle w:val="FootnoteReference"/>
          <w:rFonts w:ascii="Arial" w:hAnsi="Arial" w:cs="Arial"/>
        </w:rPr>
        <w:footnoteRef/>
      </w:r>
      <w:r w:rsidRPr="00A47F53">
        <w:rPr>
          <w:rFonts w:ascii="Arial" w:hAnsi="Arial" w:cs="Arial"/>
        </w:rPr>
        <w:t xml:space="preserve"> </w:t>
      </w:r>
      <w:r w:rsidRPr="00A47F53">
        <w:rPr>
          <w:rFonts w:ascii="Arial" w:hAnsi="Arial" w:cs="Arial"/>
          <w:i/>
        </w:rPr>
        <w:t xml:space="preserve">Saayman (supra) </w:t>
      </w:r>
      <w:r w:rsidRPr="00A47F53">
        <w:rPr>
          <w:rFonts w:ascii="Arial" w:hAnsi="Arial" w:cs="Arial"/>
        </w:rPr>
        <w:t>at para 19.</w:t>
      </w:r>
    </w:p>
  </w:footnote>
  <w:footnote w:id="15">
    <w:p w14:paraId="749F88EE" w14:textId="77777777" w:rsidR="0093139E" w:rsidRPr="005C0B7B" w:rsidRDefault="0093139E" w:rsidP="00A47F53">
      <w:pPr>
        <w:pStyle w:val="FootnoteText"/>
        <w:spacing w:line="360" w:lineRule="auto"/>
        <w:jc w:val="both"/>
      </w:pPr>
      <w:r w:rsidRPr="00A47F53">
        <w:rPr>
          <w:rStyle w:val="FootnoteReference"/>
          <w:rFonts w:ascii="Arial" w:hAnsi="Arial" w:cs="Arial"/>
        </w:rPr>
        <w:footnoteRef/>
      </w:r>
      <w:r w:rsidRPr="00A47F53">
        <w:rPr>
          <w:rFonts w:ascii="Arial" w:hAnsi="Arial" w:cs="Arial"/>
        </w:rPr>
        <w:t xml:space="preserve"> </w:t>
      </w:r>
      <w:r w:rsidRPr="00A47F53">
        <w:rPr>
          <w:rFonts w:ascii="Arial" w:hAnsi="Arial" w:cs="Arial"/>
          <w:i/>
        </w:rPr>
        <w:t xml:space="preserve">Saayman (supra) </w:t>
      </w:r>
      <w:r w:rsidRPr="00A47F53">
        <w:rPr>
          <w:rFonts w:ascii="Arial" w:hAnsi="Arial" w:cs="Arial"/>
        </w:rPr>
        <w:t>at para 21.</w:t>
      </w:r>
      <w:r>
        <w:t xml:space="preserve">  </w:t>
      </w:r>
    </w:p>
  </w:footnote>
  <w:footnote w:id="16">
    <w:p w14:paraId="596A1F77" w14:textId="779B6165" w:rsidR="007011B2" w:rsidRDefault="007011B2">
      <w:pPr>
        <w:pStyle w:val="FootnoteText"/>
      </w:pPr>
      <w:r>
        <w:rPr>
          <w:rStyle w:val="FootnoteReference"/>
        </w:rPr>
        <w:footnoteRef/>
      </w:r>
      <w:r>
        <w:t xml:space="preserve"> [1998] 2 All SA 186 (W) at 200f.</w:t>
      </w:r>
    </w:p>
  </w:footnote>
  <w:footnote w:id="17">
    <w:p w14:paraId="017B4665" w14:textId="77777777" w:rsidR="0093139E" w:rsidRPr="00A10948" w:rsidRDefault="0093139E" w:rsidP="00A10948">
      <w:pPr>
        <w:pStyle w:val="FootnoteText"/>
        <w:spacing w:line="360" w:lineRule="auto"/>
        <w:jc w:val="both"/>
        <w:rPr>
          <w:rFonts w:ascii="Arial" w:hAnsi="Arial" w:cs="Arial"/>
        </w:rPr>
      </w:pPr>
      <w:r w:rsidRPr="00A10948">
        <w:rPr>
          <w:rStyle w:val="FootnoteReference"/>
          <w:rFonts w:ascii="Arial" w:hAnsi="Arial" w:cs="Arial"/>
        </w:rPr>
        <w:footnoteRef/>
      </w:r>
      <w:r w:rsidRPr="00A10948">
        <w:rPr>
          <w:rFonts w:ascii="Arial" w:hAnsi="Arial" w:cs="Arial"/>
        </w:rPr>
        <w:t xml:space="preserve"> 1991 (1) SA 1 (A).</w:t>
      </w:r>
    </w:p>
  </w:footnote>
  <w:footnote w:id="18">
    <w:p w14:paraId="71483B8C" w14:textId="77777777" w:rsidR="0093139E" w:rsidRPr="00A10948" w:rsidRDefault="0093139E" w:rsidP="00A10948">
      <w:pPr>
        <w:pStyle w:val="FootnoteText"/>
        <w:spacing w:line="360" w:lineRule="auto"/>
        <w:jc w:val="both"/>
        <w:rPr>
          <w:rFonts w:ascii="Arial" w:hAnsi="Arial" w:cs="Arial"/>
        </w:rPr>
      </w:pPr>
      <w:r w:rsidRPr="00A10948">
        <w:rPr>
          <w:rStyle w:val="FootnoteReference"/>
          <w:rFonts w:ascii="Arial" w:hAnsi="Arial" w:cs="Arial"/>
        </w:rPr>
        <w:footnoteRef/>
      </w:r>
      <w:r w:rsidRPr="00A10948">
        <w:rPr>
          <w:rFonts w:ascii="Arial" w:hAnsi="Arial" w:cs="Arial"/>
        </w:rPr>
        <w:t xml:space="preserve"> </w:t>
      </w:r>
      <w:r w:rsidRPr="00A10948">
        <w:rPr>
          <w:rFonts w:ascii="Arial" w:hAnsi="Arial" w:cs="Arial"/>
          <w:i/>
        </w:rPr>
        <w:t>Langley Fox (supra)</w:t>
      </w:r>
      <w:r w:rsidRPr="00A10948">
        <w:rPr>
          <w:rFonts w:ascii="Arial" w:hAnsi="Arial" w:cs="Arial"/>
        </w:rPr>
        <w:t xml:space="preserve"> at 13F – 14H. This test was applied in </w:t>
      </w:r>
      <w:r w:rsidRPr="00A10948">
        <w:rPr>
          <w:rFonts w:ascii="Arial" w:hAnsi="Arial" w:cs="Arial"/>
          <w:i/>
        </w:rPr>
        <w:t xml:space="preserve">Saayman (supra) </w:t>
      </w:r>
      <w:r w:rsidRPr="00A10948">
        <w:rPr>
          <w:rFonts w:ascii="Arial" w:hAnsi="Arial" w:cs="Arial"/>
        </w:rPr>
        <w:t xml:space="preserve">at para 22 and in </w:t>
      </w:r>
      <w:r w:rsidRPr="00A10948">
        <w:rPr>
          <w:rFonts w:ascii="Arial" w:hAnsi="Arial" w:cs="Arial"/>
          <w:i/>
        </w:rPr>
        <w:t>Pienaar v Brown</w:t>
      </w:r>
      <w:r w:rsidRPr="00A10948">
        <w:rPr>
          <w:rFonts w:ascii="Arial" w:hAnsi="Arial" w:cs="Arial"/>
        </w:rPr>
        <w:t xml:space="preserve"> 2010 (6) SA 365 (SCA) at para 11 and 21 – 22.  </w:t>
      </w:r>
    </w:p>
  </w:footnote>
  <w:footnote w:id="19">
    <w:p w14:paraId="26CFD026" w14:textId="77777777" w:rsidR="00900218" w:rsidRPr="00A10948" w:rsidRDefault="00900218" w:rsidP="00A10948">
      <w:pPr>
        <w:pStyle w:val="FootnoteText"/>
        <w:spacing w:line="360" w:lineRule="auto"/>
        <w:jc w:val="both"/>
        <w:rPr>
          <w:rFonts w:ascii="Arial" w:hAnsi="Arial" w:cs="Arial"/>
        </w:rPr>
      </w:pPr>
      <w:r w:rsidRPr="00A10948">
        <w:rPr>
          <w:rStyle w:val="FootnoteReference"/>
          <w:rFonts w:ascii="Arial" w:hAnsi="Arial" w:cs="Arial"/>
        </w:rPr>
        <w:footnoteRef/>
      </w:r>
      <w:r w:rsidRPr="00A10948">
        <w:rPr>
          <w:rFonts w:ascii="Arial" w:hAnsi="Arial" w:cs="Arial"/>
        </w:rPr>
        <w:t xml:space="preserve"> </w:t>
      </w:r>
      <w:r w:rsidRPr="00A10948">
        <w:rPr>
          <w:rFonts w:ascii="Arial" w:hAnsi="Arial" w:cs="Arial"/>
          <w:i/>
        </w:rPr>
        <w:t xml:space="preserve">Pienaar v Brown </w:t>
      </w:r>
      <w:r w:rsidRPr="00A10948">
        <w:rPr>
          <w:rFonts w:ascii="Arial" w:hAnsi="Arial" w:cs="Arial"/>
        </w:rPr>
        <w:t xml:space="preserve">2010 (6) SA 365 (SCA) at para 30. See also </w:t>
      </w:r>
      <w:r w:rsidRPr="00A10948">
        <w:rPr>
          <w:rFonts w:ascii="Arial" w:hAnsi="Arial" w:cs="Arial"/>
          <w:i/>
        </w:rPr>
        <w:t>Kruger v Coetzee</w:t>
      </w:r>
      <w:r w:rsidRPr="00A10948">
        <w:rPr>
          <w:rFonts w:ascii="Arial" w:hAnsi="Arial" w:cs="Arial"/>
        </w:rPr>
        <w:t xml:space="preserve"> 1966 (2) SA 428 (A) at 430E-H. </w:t>
      </w:r>
    </w:p>
  </w:footnote>
  <w:footnote w:id="20">
    <w:p w14:paraId="7B21662A" w14:textId="77777777" w:rsidR="0093139E" w:rsidRPr="00DE7747" w:rsidRDefault="0093139E" w:rsidP="00DE7747">
      <w:pPr>
        <w:pStyle w:val="FootnoteText"/>
        <w:spacing w:line="360" w:lineRule="auto"/>
        <w:rPr>
          <w:rFonts w:ascii="Arial" w:hAnsi="Arial" w:cs="Arial"/>
        </w:rPr>
      </w:pPr>
      <w:r w:rsidRPr="00DE7747">
        <w:rPr>
          <w:rStyle w:val="FootnoteReference"/>
          <w:rFonts w:ascii="Arial" w:hAnsi="Arial" w:cs="Arial"/>
        </w:rPr>
        <w:footnoteRef/>
      </w:r>
      <w:r w:rsidRPr="00DE7747">
        <w:rPr>
          <w:rFonts w:ascii="Arial" w:hAnsi="Arial" w:cs="Arial"/>
        </w:rPr>
        <w:t xml:space="preserve"> </w:t>
      </w:r>
      <w:r w:rsidRPr="00DE7747">
        <w:rPr>
          <w:rFonts w:ascii="Arial" w:hAnsi="Arial" w:cs="Arial"/>
          <w:i/>
        </w:rPr>
        <w:t>Saayman (supra)</w:t>
      </w:r>
      <w:r w:rsidRPr="00DE7747">
        <w:rPr>
          <w:rFonts w:ascii="Arial" w:hAnsi="Arial" w:cs="Arial"/>
        </w:rPr>
        <w:t xml:space="preserve"> at para 23. </w:t>
      </w:r>
    </w:p>
  </w:footnote>
  <w:footnote w:id="21">
    <w:p w14:paraId="00407B91" w14:textId="2FF44479" w:rsidR="00A0029A" w:rsidRPr="00062AC6" w:rsidRDefault="00A0029A" w:rsidP="00062AC6">
      <w:pPr>
        <w:pStyle w:val="FootnoteText"/>
        <w:spacing w:line="360" w:lineRule="auto"/>
        <w:rPr>
          <w:rFonts w:ascii="Arial" w:hAnsi="Arial" w:cs="Arial"/>
        </w:rPr>
      </w:pPr>
      <w:r w:rsidRPr="00062AC6">
        <w:rPr>
          <w:rStyle w:val="FootnoteReference"/>
          <w:rFonts w:ascii="Arial" w:hAnsi="Arial" w:cs="Arial"/>
        </w:rPr>
        <w:footnoteRef/>
      </w:r>
      <w:r w:rsidRPr="00062AC6">
        <w:rPr>
          <w:rFonts w:ascii="Arial" w:hAnsi="Arial" w:cs="Arial"/>
        </w:rPr>
        <w:t xml:space="preserve"> [2004] 1 All SA 282 (Ck)</w:t>
      </w:r>
      <w:r w:rsidR="004855A4">
        <w:rPr>
          <w:rFonts w:ascii="Arial" w:hAnsi="Arial" w:cs="Arial"/>
        </w:rPr>
        <w:t>.</w:t>
      </w:r>
    </w:p>
  </w:footnote>
  <w:footnote w:id="22">
    <w:p w14:paraId="262091CA" w14:textId="1B5228A8" w:rsidR="00B06072" w:rsidRDefault="00B06072" w:rsidP="00062AC6">
      <w:pPr>
        <w:pStyle w:val="FootnoteText"/>
        <w:spacing w:line="360" w:lineRule="auto"/>
      </w:pPr>
      <w:r w:rsidRPr="00062AC6">
        <w:rPr>
          <w:rStyle w:val="FootnoteReference"/>
          <w:rFonts w:ascii="Arial" w:hAnsi="Arial" w:cs="Arial"/>
        </w:rPr>
        <w:footnoteRef/>
      </w:r>
      <w:r w:rsidRPr="00062AC6">
        <w:rPr>
          <w:rFonts w:ascii="Arial" w:hAnsi="Arial" w:cs="Arial"/>
        </w:rPr>
        <w:t xml:space="preserve"> At 284.</w:t>
      </w:r>
    </w:p>
  </w:footnote>
  <w:footnote w:id="23">
    <w:p w14:paraId="164069BF" w14:textId="234195DC" w:rsidR="009756B8" w:rsidRPr="004E649C" w:rsidRDefault="009756B8">
      <w:pPr>
        <w:pStyle w:val="FootnoteText"/>
        <w:rPr>
          <w:rFonts w:ascii="Arial" w:hAnsi="Arial" w:cs="Arial"/>
        </w:rPr>
      </w:pPr>
      <w:r w:rsidRPr="004E649C">
        <w:rPr>
          <w:rStyle w:val="FootnoteReference"/>
          <w:rFonts w:ascii="Arial" w:hAnsi="Arial" w:cs="Arial"/>
        </w:rPr>
        <w:footnoteRef/>
      </w:r>
      <w:r w:rsidRPr="004E649C">
        <w:rPr>
          <w:rFonts w:ascii="Arial" w:hAnsi="Arial" w:cs="Arial"/>
        </w:rPr>
        <w:t xml:space="preserve"> 1961 (2) SA 644 (T).</w:t>
      </w:r>
    </w:p>
  </w:footnote>
  <w:footnote w:id="24">
    <w:p w14:paraId="551EECBD" w14:textId="3BF16A02" w:rsidR="005D50D9" w:rsidRPr="004E649C" w:rsidRDefault="005D50D9" w:rsidP="005D50D9">
      <w:pPr>
        <w:pStyle w:val="FootnoteText"/>
        <w:spacing w:line="360" w:lineRule="auto"/>
        <w:jc w:val="both"/>
        <w:rPr>
          <w:rFonts w:ascii="Arial" w:hAnsi="Arial" w:cs="Arial"/>
        </w:rPr>
      </w:pPr>
      <w:r w:rsidRPr="004E649C">
        <w:rPr>
          <w:rStyle w:val="FootnoteReference"/>
          <w:rFonts w:ascii="Arial" w:hAnsi="Arial" w:cs="Arial"/>
        </w:rPr>
        <w:footnoteRef/>
      </w:r>
      <w:r w:rsidRPr="004E649C">
        <w:rPr>
          <w:rFonts w:ascii="Arial" w:hAnsi="Arial" w:cs="Arial"/>
        </w:rPr>
        <w:t xml:space="preserve"> </w:t>
      </w:r>
      <w:r w:rsidRPr="004E649C">
        <w:rPr>
          <w:rFonts w:ascii="Arial" w:hAnsi="Arial" w:cs="Arial"/>
          <w:i/>
        </w:rPr>
        <w:t>Chartaprops (supra)</w:t>
      </w:r>
      <w:r w:rsidRPr="004E649C">
        <w:rPr>
          <w:rFonts w:ascii="Arial" w:hAnsi="Arial" w:cs="Arial"/>
        </w:rPr>
        <w:t xml:space="preserve"> at para 41.</w:t>
      </w:r>
    </w:p>
  </w:footnote>
  <w:footnote w:id="25">
    <w:p w14:paraId="1A733CBE" w14:textId="77777777" w:rsidR="006E5B00" w:rsidRPr="004E649C" w:rsidRDefault="006E5B00" w:rsidP="006E5B00">
      <w:pPr>
        <w:pStyle w:val="FootnoteText"/>
        <w:spacing w:line="360" w:lineRule="auto"/>
        <w:jc w:val="both"/>
        <w:rPr>
          <w:rFonts w:ascii="Arial" w:hAnsi="Arial" w:cs="Arial"/>
        </w:rPr>
      </w:pPr>
      <w:r w:rsidRPr="004E649C">
        <w:rPr>
          <w:rStyle w:val="FootnoteReference"/>
          <w:rFonts w:ascii="Arial" w:hAnsi="Arial" w:cs="Arial"/>
        </w:rPr>
        <w:footnoteRef/>
      </w:r>
      <w:r w:rsidRPr="004E649C">
        <w:rPr>
          <w:rFonts w:ascii="Arial" w:hAnsi="Arial" w:cs="Arial"/>
        </w:rPr>
        <w:t xml:space="preserve"> </w:t>
      </w:r>
      <w:r w:rsidRPr="004E649C">
        <w:rPr>
          <w:rFonts w:ascii="Arial" w:hAnsi="Arial" w:cs="Arial"/>
          <w:i/>
        </w:rPr>
        <w:t>Saayman (supra)</w:t>
      </w:r>
      <w:r w:rsidRPr="004E649C">
        <w:rPr>
          <w:rFonts w:ascii="Arial" w:hAnsi="Arial" w:cs="Arial"/>
        </w:rPr>
        <w:t xml:space="preserve"> at para 12.</w:t>
      </w:r>
    </w:p>
  </w:footnote>
  <w:footnote w:id="26">
    <w:p w14:paraId="51EDFB32" w14:textId="77777777" w:rsidR="006E5B00" w:rsidRPr="009A5B5C" w:rsidRDefault="006E5B00" w:rsidP="006E5B00">
      <w:pPr>
        <w:pStyle w:val="FootnoteText"/>
        <w:spacing w:line="360" w:lineRule="auto"/>
        <w:jc w:val="both"/>
      </w:pPr>
      <w:r w:rsidRPr="004E649C">
        <w:rPr>
          <w:rStyle w:val="FootnoteReference"/>
          <w:rFonts w:ascii="Arial" w:hAnsi="Arial" w:cs="Arial"/>
        </w:rPr>
        <w:footnoteRef/>
      </w:r>
      <w:r w:rsidRPr="004E649C">
        <w:rPr>
          <w:rFonts w:ascii="Arial" w:hAnsi="Arial" w:cs="Arial"/>
        </w:rPr>
        <w:t xml:space="preserve"> [1997] 1 All SA 635 (A) at 643.</w:t>
      </w:r>
      <w:r>
        <w:t xml:space="preserve"> </w:t>
      </w:r>
    </w:p>
  </w:footnote>
  <w:footnote w:id="27">
    <w:p w14:paraId="1922915E" w14:textId="2239B4FE" w:rsidR="000C6825" w:rsidRPr="00B32A9D" w:rsidRDefault="000C6825" w:rsidP="00B32A9D">
      <w:pPr>
        <w:pStyle w:val="FootnoteText"/>
        <w:spacing w:line="360" w:lineRule="auto"/>
        <w:rPr>
          <w:rFonts w:ascii="Arial" w:hAnsi="Arial" w:cs="Arial"/>
        </w:rPr>
      </w:pPr>
      <w:r w:rsidRPr="00B32A9D">
        <w:rPr>
          <w:rStyle w:val="FootnoteReference"/>
          <w:rFonts w:ascii="Arial" w:hAnsi="Arial" w:cs="Arial"/>
        </w:rPr>
        <w:footnoteRef/>
      </w:r>
      <w:r w:rsidRPr="00B32A9D">
        <w:rPr>
          <w:rFonts w:ascii="Arial" w:hAnsi="Arial" w:cs="Arial"/>
        </w:rPr>
        <w:t xml:space="preserve"> 2009 (1) SA 265 (SCA).</w:t>
      </w:r>
    </w:p>
  </w:footnote>
  <w:footnote w:id="28">
    <w:p w14:paraId="243B4D76" w14:textId="4C9BA3B4" w:rsidR="000C6825" w:rsidRDefault="000C6825" w:rsidP="00B32A9D">
      <w:pPr>
        <w:pStyle w:val="FootnoteText"/>
        <w:spacing w:line="360" w:lineRule="auto"/>
      </w:pPr>
      <w:r w:rsidRPr="00B32A9D">
        <w:rPr>
          <w:rStyle w:val="FootnoteReference"/>
          <w:rFonts w:ascii="Arial" w:hAnsi="Arial" w:cs="Arial"/>
        </w:rPr>
        <w:footnoteRef/>
      </w:r>
      <w:r w:rsidRPr="00B32A9D">
        <w:rPr>
          <w:rFonts w:ascii="Arial" w:hAnsi="Arial" w:cs="Arial"/>
        </w:rPr>
        <w:t xml:space="preserve"> 2021 (4) SA 221 (WCC)</w:t>
      </w:r>
      <w:r w:rsidR="00B32A9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718054"/>
      <w:docPartObj>
        <w:docPartGallery w:val="Page Numbers (Top of Page)"/>
        <w:docPartUnique/>
      </w:docPartObj>
    </w:sdtPr>
    <w:sdtEndPr>
      <w:rPr>
        <w:noProof/>
      </w:rPr>
    </w:sdtEndPr>
    <w:sdtContent>
      <w:p w14:paraId="3243FCF4" w14:textId="67B03DB2" w:rsidR="0058220B" w:rsidRDefault="00507C05">
        <w:pPr>
          <w:pStyle w:val="Header"/>
          <w:jc w:val="center"/>
        </w:pPr>
        <w:r>
          <w:fldChar w:fldCharType="begin"/>
        </w:r>
        <w:r>
          <w:instrText xml:space="preserve"> PAGE   \* MERGEFORMAT </w:instrText>
        </w:r>
        <w:r>
          <w:fldChar w:fldCharType="separate"/>
        </w:r>
        <w:r w:rsidR="00FA55AB">
          <w:rPr>
            <w:noProof/>
          </w:rPr>
          <w:t>3</w:t>
        </w:r>
        <w:r>
          <w:rPr>
            <w:noProof/>
          </w:rPr>
          <w:fldChar w:fldCharType="end"/>
        </w:r>
      </w:p>
    </w:sdtContent>
  </w:sdt>
  <w:p w14:paraId="754BF102" w14:textId="77777777" w:rsidR="0058220B" w:rsidRDefault="009A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7C33"/>
    <w:multiLevelType w:val="multilevel"/>
    <w:tmpl w:val="4926AFC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B8315D"/>
    <w:multiLevelType w:val="hybridMultilevel"/>
    <w:tmpl w:val="656C7486"/>
    <w:lvl w:ilvl="0" w:tplc="4B8EEB60">
      <w:start w:val="100"/>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407C4A"/>
    <w:multiLevelType w:val="hybridMultilevel"/>
    <w:tmpl w:val="E80EE8CA"/>
    <w:lvl w:ilvl="0" w:tplc="0DC494F6">
      <w:start w:val="1"/>
      <w:numFmt w:val="decimal"/>
      <w:lvlText w:val="%1."/>
      <w:lvlJc w:val="left"/>
      <w:pPr>
        <w:ind w:left="1211" w:hanging="360"/>
      </w:pPr>
      <w:rPr>
        <w:rFonts w:ascii="Arial" w:hAnsi="Arial" w:cs="Arial" w:hint="default"/>
        <w:sz w:val="24"/>
        <w:szCs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001F5D"/>
    <w:multiLevelType w:val="multilevel"/>
    <w:tmpl w:val="DBA00D60"/>
    <w:lvl w:ilvl="0">
      <w:start w:val="21"/>
      <w:numFmt w:val="decimal"/>
      <w:lvlText w:val="%1"/>
      <w:lvlJc w:val="left"/>
      <w:pPr>
        <w:ind w:left="465" w:hanging="465"/>
      </w:pPr>
      <w:rPr>
        <w:rFonts w:hint="default"/>
      </w:rPr>
    </w:lvl>
    <w:lvl w:ilvl="1">
      <w:start w:val="5"/>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42D40E2"/>
    <w:multiLevelType w:val="hybridMultilevel"/>
    <w:tmpl w:val="17D0D004"/>
    <w:lvl w:ilvl="0" w:tplc="F6C8FFA6">
      <w:start w:val="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8670F3D"/>
    <w:multiLevelType w:val="hybridMultilevel"/>
    <w:tmpl w:val="90A237F2"/>
    <w:lvl w:ilvl="0" w:tplc="2728933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77E00FBE"/>
    <w:multiLevelType w:val="hybridMultilevel"/>
    <w:tmpl w:val="F26E2716"/>
    <w:lvl w:ilvl="0" w:tplc="3DA096C0">
      <w:start w:val="1"/>
      <w:numFmt w:val="lowerLetter"/>
      <w:lvlText w:val="(%1)"/>
      <w:lvlJc w:val="left"/>
      <w:pPr>
        <w:ind w:left="2516" w:hanging="360"/>
      </w:pPr>
      <w:rPr>
        <w:rFonts w:hint="default"/>
      </w:rPr>
    </w:lvl>
    <w:lvl w:ilvl="1" w:tplc="1C090019" w:tentative="1">
      <w:start w:val="1"/>
      <w:numFmt w:val="lowerLetter"/>
      <w:lvlText w:val="%2."/>
      <w:lvlJc w:val="left"/>
      <w:pPr>
        <w:ind w:left="3236" w:hanging="360"/>
      </w:pPr>
    </w:lvl>
    <w:lvl w:ilvl="2" w:tplc="1C09001B" w:tentative="1">
      <w:start w:val="1"/>
      <w:numFmt w:val="lowerRoman"/>
      <w:lvlText w:val="%3."/>
      <w:lvlJc w:val="right"/>
      <w:pPr>
        <w:ind w:left="3956" w:hanging="180"/>
      </w:pPr>
    </w:lvl>
    <w:lvl w:ilvl="3" w:tplc="1C09000F" w:tentative="1">
      <w:start w:val="1"/>
      <w:numFmt w:val="decimal"/>
      <w:lvlText w:val="%4."/>
      <w:lvlJc w:val="left"/>
      <w:pPr>
        <w:ind w:left="4676" w:hanging="360"/>
      </w:pPr>
    </w:lvl>
    <w:lvl w:ilvl="4" w:tplc="1C090019" w:tentative="1">
      <w:start w:val="1"/>
      <w:numFmt w:val="lowerLetter"/>
      <w:lvlText w:val="%5."/>
      <w:lvlJc w:val="left"/>
      <w:pPr>
        <w:ind w:left="5396" w:hanging="360"/>
      </w:pPr>
    </w:lvl>
    <w:lvl w:ilvl="5" w:tplc="1C09001B" w:tentative="1">
      <w:start w:val="1"/>
      <w:numFmt w:val="lowerRoman"/>
      <w:lvlText w:val="%6."/>
      <w:lvlJc w:val="right"/>
      <w:pPr>
        <w:ind w:left="6116" w:hanging="180"/>
      </w:pPr>
    </w:lvl>
    <w:lvl w:ilvl="6" w:tplc="1C09000F" w:tentative="1">
      <w:start w:val="1"/>
      <w:numFmt w:val="decimal"/>
      <w:lvlText w:val="%7."/>
      <w:lvlJc w:val="left"/>
      <w:pPr>
        <w:ind w:left="6836" w:hanging="360"/>
      </w:pPr>
    </w:lvl>
    <w:lvl w:ilvl="7" w:tplc="1C090019" w:tentative="1">
      <w:start w:val="1"/>
      <w:numFmt w:val="lowerLetter"/>
      <w:lvlText w:val="%8."/>
      <w:lvlJc w:val="left"/>
      <w:pPr>
        <w:ind w:left="7556" w:hanging="360"/>
      </w:pPr>
    </w:lvl>
    <w:lvl w:ilvl="8" w:tplc="1C09001B" w:tentative="1">
      <w:start w:val="1"/>
      <w:numFmt w:val="lowerRoman"/>
      <w:lvlText w:val="%9."/>
      <w:lvlJc w:val="right"/>
      <w:pPr>
        <w:ind w:left="8276" w:hanging="180"/>
      </w:p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93"/>
    <w:rsid w:val="000067C0"/>
    <w:rsid w:val="00014190"/>
    <w:rsid w:val="00034954"/>
    <w:rsid w:val="00034A74"/>
    <w:rsid w:val="0003582A"/>
    <w:rsid w:val="000443EE"/>
    <w:rsid w:val="000462CC"/>
    <w:rsid w:val="0004760B"/>
    <w:rsid w:val="00047B17"/>
    <w:rsid w:val="000518BE"/>
    <w:rsid w:val="00053E53"/>
    <w:rsid w:val="00061D3F"/>
    <w:rsid w:val="00062AC6"/>
    <w:rsid w:val="0006527A"/>
    <w:rsid w:val="000840B1"/>
    <w:rsid w:val="00087115"/>
    <w:rsid w:val="0009101D"/>
    <w:rsid w:val="000A1F20"/>
    <w:rsid w:val="000A2C16"/>
    <w:rsid w:val="000A4392"/>
    <w:rsid w:val="000A4E2D"/>
    <w:rsid w:val="000B79B0"/>
    <w:rsid w:val="000B7CF4"/>
    <w:rsid w:val="000C6825"/>
    <w:rsid w:val="000C7F5A"/>
    <w:rsid w:val="000D6951"/>
    <w:rsid w:val="000E4F5C"/>
    <w:rsid w:val="000F4046"/>
    <w:rsid w:val="000F4320"/>
    <w:rsid w:val="0010095C"/>
    <w:rsid w:val="001136C7"/>
    <w:rsid w:val="001142E6"/>
    <w:rsid w:val="00114B72"/>
    <w:rsid w:val="00116B13"/>
    <w:rsid w:val="00121363"/>
    <w:rsid w:val="00124B9F"/>
    <w:rsid w:val="00126111"/>
    <w:rsid w:val="00127422"/>
    <w:rsid w:val="001323BE"/>
    <w:rsid w:val="00134EEB"/>
    <w:rsid w:val="00137D79"/>
    <w:rsid w:val="0015134A"/>
    <w:rsid w:val="00152199"/>
    <w:rsid w:val="00153F02"/>
    <w:rsid w:val="001555A5"/>
    <w:rsid w:val="00160D37"/>
    <w:rsid w:val="00161004"/>
    <w:rsid w:val="00164D20"/>
    <w:rsid w:val="00184AD7"/>
    <w:rsid w:val="00185D42"/>
    <w:rsid w:val="00190353"/>
    <w:rsid w:val="00190F4D"/>
    <w:rsid w:val="001A148C"/>
    <w:rsid w:val="001A1C4C"/>
    <w:rsid w:val="001A755A"/>
    <w:rsid w:val="001C0149"/>
    <w:rsid w:val="001D61B0"/>
    <w:rsid w:val="001E2F75"/>
    <w:rsid w:val="001E34B7"/>
    <w:rsid w:val="001E4823"/>
    <w:rsid w:val="001E6FA9"/>
    <w:rsid w:val="001F4F09"/>
    <w:rsid w:val="002119C6"/>
    <w:rsid w:val="00212DD4"/>
    <w:rsid w:val="00222A86"/>
    <w:rsid w:val="00222B03"/>
    <w:rsid w:val="00232B0A"/>
    <w:rsid w:val="00245EF3"/>
    <w:rsid w:val="002461AA"/>
    <w:rsid w:val="00253245"/>
    <w:rsid w:val="00254D26"/>
    <w:rsid w:val="00256E7C"/>
    <w:rsid w:val="00262BE9"/>
    <w:rsid w:val="0026777B"/>
    <w:rsid w:val="00270B01"/>
    <w:rsid w:val="00270D0D"/>
    <w:rsid w:val="00270FAF"/>
    <w:rsid w:val="002745D4"/>
    <w:rsid w:val="00276C4B"/>
    <w:rsid w:val="00282A22"/>
    <w:rsid w:val="00282AFE"/>
    <w:rsid w:val="002941D5"/>
    <w:rsid w:val="0029479F"/>
    <w:rsid w:val="002A5C0A"/>
    <w:rsid w:val="002B055D"/>
    <w:rsid w:val="002B74FD"/>
    <w:rsid w:val="002C337D"/>
    <w:rsid w:val="002E0D95"/>
    <w:rsid w:val="002E4256"/>
    <w:rsid w:val="002F0057"/>
    <w:rsid w:val="002F3CC0"/>
    <w:rsid w:val="00304B8A"/>
    <w:rsid w:val="00307605"/>
    <w:rsid w:val="00307DE5"/>
    <w:rsid w:val="00311200"/>
    <w:rsid w:val="003114A2"/>
    <w:rsid w:val="00330437"/>
    <w:rsid w:val="0035261A"/>
    <w:rsid w:val="00353D91"/>
    <w:rsid w:val="00362D24"/>
    <w:rsid w:val="00367B9A"/>
    <w:rsid w:val="00375E9D"/>
    <w:rsid w:val="003779C3"/>
    <w:rsid w:val="003832DB"/>
    <w:rsid w:val="003901ED"/>
    <w:rsid w:val="003A6BDD"/>
    <w:rsid w:val="003A74C1"/>
    <w:rsid w:val="003B1CFD"/>
    <w:rsid w:val="003B49C2"/>
    <w:rsid w:val="003B79D0"/>
    <w:rsid w:val="003D5660"/>
    <w:rsid w:val="003F39A5"/>
    <w:rsid w:val="003F51D4"/>
    <w:rsid w:val="003F7292"/>
    <w:rsid w:val="004001F7"/>
    <w:rsid w:val="0040106C"/>
    <w:rsid w:val="004074B8"/>
    <w:rsid w:val="004119F9"/>
    <w:rsid w:val="00412784"/>
    <w:rsid w:val="0041331F"/>
    <w:rsid w:val="00413615"/>
    <w:rsid w:val="004136E9"/>
    <w:rsid w:val="004157EC"/>
    <w:rsid w:val="0043394F"/>
    <w:rsid w:val="00434511"/>
    <w:rsid w:val="00446111"/>
    <w:rsid w:val="0044686C"/>
    <w:rsid w:val="004471F6"/>
    <w:rsid w:val="00450BC3"/>
    <w:rsid w:val="00453DFB"/>
    <w:rsid w:val="004550A2"/>
    <w:rsid w:val="004706FD"/>
    <w:rsid w:val="0047158A"/>
    <w:rsid w:val="00484723"/>
    <w:rsid w:val="004855A4"/>
    <w:rsid w:val="0049049B"/>
    <w:rsid w:val="00490DC3"/>
    <w:rsid w:val="004949ED"/>
    <w:rsid w:val="004A63EA"/>
    <w:rsid w:val="004A7CFD"/>
    <w:rsid w:val="004C2CDC"/>
    <w:rsid w:val="004C3ACA"/>
    <w:rsid w:val="004C5056"/>
    <w:rsid w:val="004C5282"/>
    <w:rsid w:val="004C5C82"/>
    <w:rsid w:val="004C5E9B"/>
    <w:rsid w:val="004D29E3"/>
    <w:rsid w:val="004D368E"/>
    <w:rsid w:val="004D4D74"/>
    <w:rsid w:val="004E2931"/>
    <w:rsid w:val="004E649C"/>
    <w:rsid w:val="00501E99"/>
    <w:rsid w:val="00506DB1"/>
    <w:rsid w:val="00507577"/>
    <w:rsid w:val="00507C05"/>
    <w:rsid w:val="00514B60"/>
    <w:rsid w:val="005152D5"/>
    <w:rsid w:val="0053018A"/>
    <w:rsid w:val="00532B3C"/>
    <w:rsid w:val="00541B24"/>
    <w:rsid w:val="00544846"/>
    <w:rsid w:val="005455F0"/>
    <w:rsid w:val="005456B3"/>
    <w:rsid w:val="00552354"/>
    <w:rsid w:val="00554D6B"/>
    <w:rsid w:val="00557742"/>
    <w:rsid w:val="005607EF"/>
    <w:rsid w:val="00563050"/>
    <w:rsid w:val="00571F9D"/>
    <w:rsid w:val="005773B1"/>
    <w:rsid w:val="00583D77"/>
    <w:rsid w:val="005846ED"/>
    <w:rsid w:val="0059367E"/>
    <w:rsid w:val="005972DD"/>
    <w:rsid w:val="005A20B6"/>
    <w:rsid w:val="005A3110"/>
    <w:rsid w:val="005B2861"/>
    <w:rsid w:val="005B31F2"/>
    <w:rsid w:val="005B5736"/>
    <w:rsid w:val="005B6E83"/>
    <w:rsid w:val="005B7521"/>
    <w:rsid w:val="005C1797"/>
    <w:rsid w:val="005C1C42"/>
    <w:rsid w:val="005C32D8"/>
    <w:rsid w:val="005C3E85"/>
    <w:rsid w:val="005D1245"/>
    <w:rsid w:val="005D50D9"/>
    <w:rsid w:val="005D6C6C"/>
    <w:rsid w:val="005D6EEF"/>
    <w:rsid w:val="005E1D11"/>
    <w:rsid w:val="005F0292"/>
    <w:rsid w:val="005F08EF"/>
    <w:rsid w:val="00604D31"/>
    <w:rsid w:val="00607194"/>
    <w:rsid w:val="00616F45"/>
    <w:rsid w:val="006264D3"/>
    <w:rsid w:val="006330BA"/>
    <w:rsid w:val="00634534"/>
    <w:rsid w:val="0064159B"/>
    <w:rsid w:val="006425A7"/>
    <w:rsid w:val="00646093"/>
    <w:rsid w:val="00667913"/>
    <w:rsid w:val="00670D47"/>
    <w:rsid w:val="006760E1"/>
    <w:rsid w:val="00677CB8"/>
    <w:rsid w:val="006828AF"/>
    <w:rsid w:val="00685B1B"/>
    <w:rsid w:val="00686EED"/>
    <w:rsid w:val="006A0A48"/>
    <w:rsid w:val="006A4296"/>
    <w:rsid w:val="006A6970"/>
    <w:rsid w:val="006A788E"/>
    <w:rsid w:val="006B5404"/>
    <w:rsid w:val="006C0759"/>
    <w:rsid w:val="006C09C3"/>
    <w:rsid w:val="006C1AA6"/>
    <w:rsid w:val="006D7E64"/>
    <w:rsid w:val="006E1D3B"/>
    <w:rsid w:val="006E5B00"/>
    <w:rsid w:val="006E72E1"/>
    <w:rsid w:val="006F2BA0"/>
    <w:rsid w:val="006F5AD4"/>
    <w:rsid w:val="007011B2"/>
    <w:rsid w:val="007053BB"/>
    <w:rsid w:val="00717365"/>
    <w:rsid w:val="007179AB"/>
    <w:rsid w:val="00717F4A"/>
    <w:rsid w:val="00731C6B"/>
    <w:rsid w:val="00747EB5"/>
    <w:rsid w:val="00750018"/>
    <w:rsid w:val="00752C76"/>
    <w:rsid w:val="007573D8"/>
    <w:rsid w:val="007645F5"/>
    <w:rsid w:val="007874C1"/>
    <w:rsid w:val="00795B82"/>
    <w:rsid w:val="007972BD"/>
    <w:rsid w:val="007972F0"/>
    <w:rsid w:val="007A08E1"/>
    <w:rsid w:val="007B0B92"/>
    <w:rsid w:val="007B2079"/>
    <w:rsid w:val="007B4ADE"/>
    <w:rsid w:val="007D0F6D"/>
    <w:rsid w:val="007D3DD1"/>
    <w:rsid w:val="007E07E0"/>
    <w:rsid w:val="007E45E0"/>
    <w:rsid w:val="007F33E4"/>
    <w:rsid w:val="00800620"/>
    <w:rsid w:val="008010A7"/>
    <w:rsid w:val="00807B9C"/>
    <w:rsid w:val="008132C0"/>
    <w:rsid w:val="00813B9B"/>
    <w:rsid w:val="00821B8E"/>
    <w:rsid w:val="008267C9"/>
    <w:rsid w:val="00833E0A"/>
    <w:rsid w:val="00840FA6"/>
    <w:rsid w:val="00842593"/>
    <w:rsid w:val="00855129"/>
    <w:rsid w:val="00860FD6"/>
    <w:rsid w:val="00862360"/>
    <w:rsid w:val="008644F0"/>
    <w:rsid w:val="008731B3"/>
    <w:rsid w:val="00877436"/>
    <w:rsid w:val="00880976"/>
    <w:rsid w:val="00883425"/>
    <w:rsid w:val="0088616B"/>
    <w:rsid w:val="00892A6D"/>
    <w:rsid w:val="00893A0F"/>
    <w:rsid w:val="008A29B3"/>
    <w:rsid w:val="008A7027"/>
    <w:rsid w:val="008A7366"/>
    <w:rsid w:val="008A7B74"/>
    <w:rsid w:val="008B0505"/>
    <w:rsid w:val="008C417A"/>
    <w:rsid w:val="008D040A"/>
    <w:rsid w:val="008D0915"/>
    <w:rsid w:val="008D7A0C"/>
    <w:rsid w:val="008E2BA9"/>
    <w:rsid w:val="008E2DC2"/>
    <w:rsid w:val="008E7825"/>
    <w:rsid w:val="008F4329"/>
    <w:rsid w:val="008F5D5A"/>
    <w:rsid w:val="008F7A2F"/>
    <w:rsid w:val="00900218"/>
    <w:rsid w:val="009124E1"/>
    <w:rsid w:val="00917344"/>
    <w:rsid w:val="0091734D"/>
    <w:rsid w:val="009179A9"/>
    <w:rsid w:val="009208CB"/>
    <w:rsid w:val="0093055F"/>
    <w:rsid w:val="0093139E"/>
    <w:rsid w:val="00934F3E"/>
    <w:rsid w:val="00943E09"/>
    <w:rsid w:val="00947014"/>
    <w:rsid w:val="00966C66"/>
    <w:rsid w:val="009745B8"/>
    <w:rsid w:val="009756B8"/>
    <w:rsid w:val="00976EAB"/>
    <w:rsid w:val="00977DC6"/>
    <w:rsid w:val="00977EEF"/>
    <w:rsid w:val="00983AC1"/>
    <w:rsid w:val="009852C1"/>
    <w:rsid w:val="009903CB"/>
    <w:rsid w:val="00990640"/>
    <w:rsid w:val="0099652B"/>
    <w:rsid w:val="009A0063"/>
    <w:rsid w:val="009A25B6"/>
    <w:rsid w:val="009A6453"/>
    <w:rsid w:val="009C4CC6"/>
    <w:rsid w:val="009C5F71"/>
    <w:rsid w:val="009D21CC"/>
    <w:rsid w:val="009E33A2"/>
    <w:rsid w:val="009E40DD"/>
    <w:rsid w:val="009E7490"/>
    <w:rsid w:val="009F061D"/>
    <w:rsid w:val="009F452B"/>
    <w:rsid w:val="00A0011E"/>
    <w:rsid w:val="00A0029A"/>
    <w:rsid w:val="00A031F1"/>
    <w:rsid w:val="00A0671F"/>
    <w:rsid w:val="00A10948"/>
    <w:rsid w:val="00A17924"/>
    <w:rsid w:val="00A323C7"/>
    <w:rsid w:val="00A33288"/>
    <w:rsid w:val="00A34F98"/>
    <w:rsid w:val="00A36FE6"/>
    <w:rsid w:val="00A37627"/>
    <w:rsid w:val="00A37D7D"/>
    <w:rsid w:val="00A4241E"/>
    <w:rsid w:val="00A47F53"/>
    <w:rsid w:val="00A50C60"/>
    <w:rsid w:val="00A518FE"/>
    <w:rsid w:val="00A57BF4"/>
    <w:rsid w:val="00A66AEC"/>
    <w:rsid w:val="00A702F1"/>
    <w:rsid w:val="00A70FA4"/>
    <w:rsid w:val="00A8556F"/>
    <w:rsid w:val="00A8797C"/>
    <w:rsid w:val="00A913C3"/>
    <w:rsid w:val="00A91E7B"/>
    <w:rsid w:val="00A94888"/>
    <w:rsid w:val="00A95E06"/>
    <w:rsid w:val="00AA3258"/>
    <w:rsid w:val="00AA6199"/>
    <w:rsid w:val="00AB1F77"/>
    <w:rsid w:val="00AB546A"/>
    <w:rsid w:val="00AC0AA9"/>
    <w:rsid w:val="00AC16CA"/>
    <w:rsid w:val="00AC519E"/>
    <w:rsid w:val="00AC53E6"/>
    <w:rsid w:val="00AC6218"/>
    <w:rsid w:val="00AD6A0A"/>
    <w:rsid w:val="00AD7A38"/>
    <w:rsid w:val="00AE1D3E"/>
    <w:rsid w:val="00AF0652"/>
    <w:rsid w:val="00AF3480"/>
    <w:rsid w:val="00B02817"/>
    <w:rsid w:val="00B038E4"/>
    <w:rsid w:val="00B04106"/>
    <w:rsid w:val="00B06072"/>
    <w:rsid w:val="00B1269B"/>
    <w:rsid w:val="00B15043"/>
    <w:rsid w:val="00B20D3F"/>
    <w:rsid w:val="00B32A9D"/>
    <w:rsid w:val="00B40293"/>
    <w:rsid w:val="00B4256E"/>
    <w:rsid w:val="00B4719E"/>
    <w:rsid w:val="00B5126D"/>
    <w:rsid w:val="00B52051"/>
    <w:rsid w:val="00B56025"/>
    <w:rsid w:val="00B5659F"/>
    <w:rsid w:val="00B57F7A"/>
    <w:rsid w:val="00B643E8"/>
    <w:rsid w:val="00B6639D"/>
    <w:rsid w:val="00B71608"/>
    <w:rsid w:val="00B81858"/>
    <w:rsid w:val="00B902C1"/>
    <w:rsid w:val="00B92DF7"/>
    <w:rsid w:val="00BA119A"/>
    <w:rsid w:val="00BB752F"/>
    <w:rsid w:val="00BC14C0"/>
    <w:rsid w:val="00BC296F"/>
    <w:rsid w:val="00BD0F1C"/>
    <w:rsid w:val="00BD24BB"/>
    <w:rsid w:val="00BE10FD"/>
    <w:rsid w:val="00BE243A"/>
    <w:rsid w:val="00BF5CAE"/>
    <w:rsid w:val="00BF7D5C"/>
    <w:rsid w:val="00C03DD5"/>
    <w:rsid w:val="00C056AE"/>
    <w:rsid w:val="00C06EAC"/>
    <w:rsid w:val="00C10A40"/>
    <w:rsid w:val="00C134D3"/>
    <w:rsid w:val="00C13792"/>
    <w:rsid w:val="00C229A7"/>
    <w:rsid w:val="00C235DD"/>
    <w:rsid w:val="00C252D2"/>
    <w:rsid w:val="00C338E1"/>
    <w:rsid w:val="00C347E7"/>
    <w:rsid w:val="00C466D2"/>
    <w:rsid w:val="00C5342D"/>
    <w:rsid w:val="00C563EE"/>
    <w:rsid w:val="00C645B6"/>
    <w:rsid w:val="00C64D7C"/>
    <w:rsid w:val="00C6729A"/>
    <w:rsid w:val="00C7590E"/>
    <w:rsid w:val="00C835F1"/>
    <w:rsid w:val="00C855C2"/>
    <w:rsid w:val="00C86E2C"/>
    <w:rsid w:val="00C90E4B"/>
    <w:rsid w:val="00C95626"/>
    <w:rsid w:val="00C959C4"/>
    <w:rsid w:val="00CA3F4E"/>
    <w:rsid w:val="00CA57B6"/>
    <w:rsid w:val="00CA7729"/>
    <w:rsid w:val="00CB4175"/>
    <w:rsid w:val="00CB5B5C"/>
    <w:rsid w:val="00CB6EA4"/>
    <w:rsid w:val="00CD2CC4"/>
    <w:rsid w:val="00CD604F"/>
    <w:rsid w:val="00CD7DE0"/>
    <w:rsid w:val="00CE3557"/>
    <w:rsid w:val="00CF3461"/>
    <w:rsid w:val="00CF55EA"/>
    <w:rsid w:val="00D02725"/>
    <w:rsid w:val="00D036F8"/>
    <w:rsid w:val="00D16635"/>
    <w:rsid w:val="00D17AF0"/>
    <w:rsid w:val="00D27A75"/>
    <w:rsid w:val="00D27CBF"/>
    <w:rsid w:val="00D3579C"/>
    <w:rsid w:val="00D36EB4"/>
    <w:rsid w:val="00D453F8"/>
    <w:rsid w:val="00D57171"/>
    <w:rsid w:val="00D72765"/>
    <w:rsid w:val="00D73313"/>
    <w:rsid w:val="00D80DBB"/>
    <w:rsid w:val="00D86EAC"/>
    <w:rsid w:val="00D933E6"/>
    <w:rsid w:val="00DA07E8"/>
    <w:rsid w:val="00DA635E"/>
    <w:rsid w:val="00DA68B1"/>
    <w:rsid w:val="00DB3B1E"/>
    <w:rsid w:val="00DB7C52"/>
    <w:rsid w:val="00DC2D16"/>
    <w:rsid w:val="00DC4D8F"/>
    <w:rsid w:val="00DC5112"/>
    <w:rsid w:val="00DC61BC"/>
    <w:rsid w:val="00DE6BEC"/>
    <w:rsid w:val="00DE7747"/>
    <w:rsid w:val="00E00474"/>
    <w:rsid w:val="00E017C5"/>
    <w:rsid w:val="00E252FF"/>
    <w:rsid w:val="00E25E2D"/>
    <w:rsid w:val="00E260F2"/>
    <w:rsid w:val="00E33F29"/>
    <w:rsid w:val="00E430C0"/>
    <w:rsid w:val="00E448AE"/>
    <w:rsid w:val="00E4740E"/>
    <w:rsid w:val="00E63110"/>
    <w:rsid w:val="00E712D8"/>
    <w:rsid w:val="00E74799"/>
    <w:rsid w:val="00E74D8C"/>
    <w:rsid w:val="00E76C8A"/>
    <w:rsid w:val="00E77428"/>
    <w:rsid w:val="00E814EE"/>
    <w:rsid w:val="00E85DD0"/>
    <w:rsid w:val="00E86234"/>
    <w:rsid w:val="00E86C48"/>
    <w:rsid w:val="00E874AE"/>
    <w:rsid w:val="00EA4287"/>
    <w:rsid w:val="00EA5C93"/>
    <w:rsid w:val="00EA7925"/>
    <w:rsid w:val="00EB322C"/>
    <w:rsid w:val="00EB6B22"/>
    <w:rsid w:val="00EC5095"/>
    <w:rsid w:val="00ED30B4"/>
    <w:rsid w:val="00EE434E"/>
    <w:rsid w:val="00EF1929"/>
    <w:rsid w:val="00EF5478"/>
    <w:rsid w:val="00EF7291"/>
    <w:rsid w:val="00F06A66"/>
    <w:rsid w:val="00F13324"/>
    <w:rsid w:val="00F23611"/>
    <w:rsid w:val="00F25043"/>
    <w:rsid w:val="00F259BE"/>
    <w:rsid w:val="00F41DFE"/>
    <w:rsid w:val="00F4788D"/>
    <w:rsid w:val="00F5209B"/>
    <w:rsid w:val="00F52F79"/>
    <w:rsid w:val="00F6742D"/>
    <w:rsid w:val="00F67AB9"/>
    <w:rsid w:val="00F70FEA"/>
    <w:rsid w:val="00F777DF"/>
    <w:rsid w:val="00F81750"/>
    <w:rsid w:val="00F874F0"/>
    <w:rsid w:val="00FA55AB"/>
    <w:rsid w:val="00FB2945"/>
    <w:rsid w:val="00FB3A36"/>
    <w:rsid w:val="00FC34D0"/>
    <w:rsid w:val="00FC6833"/>
    <w:rsid w:val="00FD0CC9"/>
    <w:rsid w:val="00FD332A"/>
    <w:rsid w:val="00FE076C"/>
    <w:rsid w:val="00FE55DE"/>
    <w:rsid w:val="00FE7A50"/>
    <w:rsid w:val="00FF0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CAA2"/>
  <w15:chartTrackingRefBased/>
  <w15:docId w15:val="{5B809218-471C-4D30-867C-8C8F381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93"/>
  </w:style>
  <w:style w:type="paragraph" w:styleId="Heading2">
    <w:name w:val="heading 2"/>
    <w:basedOn w:val="Normal"/>
    <w:link w:val="Heading2Char"/>
    <w:uiPriority w:val="9"/>
    <w:qFormat/>
    <w:rsid w:val="000C7F5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5C93"/>
    <w:pPr>
      <w:ind w:left="720"/>
      <w:contextualSpacing/>
    </w:pPr>
  </w:style>
  <w:style w:type="paragraph" w:customStyle="1" w:styleId="GW11">
    <w:name w:val="GW1.1"/>
    <w:basedOn w:val="Normal"/>
    <w:rsid w:val="00EA5C93"/>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EA5C93"/>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EA5C93"/>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styleId="Hyperlink">
    <w:name w:val="Hyperlink"/>
    <w:basedOn w:val="DefaultParagraphFont"/>
    <w:uiPriority w:val="99"/>
    <w:semiHidden/>
    <w:unhideWhenUsed/>
    <w:rsid w:val="00EA5C93"/>
    <w:rPr>
      <w:color w:val="0000FF"/>
      <w:u w:val="single"/>
    </w:rPr>
  </w:style>
  <w:style w:type="paragraph" w:styleId="FootnoteText">
    <w:name w:val="footnote text"/>
    <w:basedOn w:val="Normal"/>
    <w:link w:val="FootnoteTextChar"/>
    <w:uiPriority w:val="99"/>
    <w:unhideWhenUsed/>
    <w:rsid w:val="00EA5C93"/>
    <w:pPr>
      <w:spacing w:after="0" w:line="240" w:lineRule="auto"/>
    </w:pPr>
    <w:rPr>
      <w:sz w:val="20"/>
      <w:szCs w:val="20"/>
    </w:rPr>
  </w:style>
  <w:style w:type="character" w:customStyle="1" w:styleId="FootnoteTextChar">
    <w:name w:val="Footnote Text Char"/>
    <w:basedOn w:val="DefaultParagraphFont"/>
    <w:link w:val="FootnoteText"/>
    <w:uiPriority w:val="99"/>
    <w:rsid w:val="00EA5C93"/>
    <w:rPr>
      <w:sz w:val="20"/>
      <w:szCs w:val="20"/>
    </w:rPr>
  </w:style>
  <w:style w:type="character" w:styleId="FootnoteReference">
    <w:name w:val="footnote reference"/>
    <w:basedOn w:val="DefaultParagraphFont"/>
    <w:uiPriority w:val="99"/>
    <w:unhideWhenUsed/>
    <w:rsid w:val="00EA5C93"/>
    <w:rPr>
      <w:vertAlign w:val="superscript"/>
    </w:rPr>
  </w:style>
  <w:style w:type="character" w:customStyle="1" w:styleId="ListParagraphChar">
    <w:name w:val="List Paragraph Char"/>
    <w:link w:val="ListParagraph"/>
    <w:uiPriority w:val="34"/>
    <w:rsid w:val="00EA5C93"/>
  </w:style>
  <w:style w:type="paragraph" w:styleId="NormalWeb">
    <w:name w:val="Normal (Web)"/>
    <w:basedOn w:val="Normal"/>
    <w:uiPriority w:val="99"/>
    <w:semiHidden/>
    <w:unhideWhenUsed/>
    <w:rsid w:val="00EA5C9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A5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C93"/>
  </w:style>
  <w:style w:type="character" w:customStyle="1" w:styleId="Heading2Char">
    <w:name w:val="Heading 2 Char"/>
    <w:basedOn w:val="DefaultParagraphFont"/>
    <w:link w:val="Heading2"/>
    <w:uiPriority w:val="9"/>
    <w:rsid w:val="000C7F5A"/>
    <w:rPr>
      <w:rFonts w:ascii="Times New Roman" w:eastAsia="Times New Roman" w:hAnsi="Times New Roman" w:cs="Times New Roman"/>
      <w:b/>
      <w:bCs/>
      <w:sz w:val="36"/>
      <w:szCs w:val="36"/>
      <w:lang w:eastAsia="en-ZA"/>
    </w:rPr>
  </w:style>
  <w:style w:type="character" w:customStyle="1" w:styleId="FootnoteTextChar1">
    <w:name w:val="Footnote Text Char1"/>
    <w:uiPriority w:val="99"/>
    <w:locked/>
    <w:rsid w:val="0093139E"/>
    <w:rPr>
      <w:kern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8805">
      <w:bodyDiv w:val="1"/>
      <w:marLeft w:val="0"/>
      <w:marRight w:val="0"/>
      <w:marTop w:val="0"/>
      <w:marBottom w:val="0"/>
      <w:divBdr>
        <w:top w:val="none" w:sz="0" w:space="0" w:color="auto"/>
        <w:left w:val="none" w:sz="0" w:space="0" w:color="auto"/>
        <w:bottom w:val="none" w:sz="0" w:space="0" w:color="auto"/>
        <w:right w:val="none" w:sz="0" w:space="0" w:color="auto"/>
      </w:divBdr>
    </w:div>
    <w:div w:id="488442882">
      <w:bodyDiv w:val="1"/>
      <w:marLeft w:val="0"/>
      <w:marRight w:val="0"/>
      <w:marTop w:val="0"/>
      <w:marBottom w:val="0"/>
      <w:divBdr>
        <w:top w:val="none" w:sz="0" w:space="0" w:color="auto"/>
        <w:left w:val="none" w:sz="0" w:space="0" w:color="auto"/>
        <w:bottom w:val="none" w:sz="0" w:space="0" w:color="auto"/>
        <w:right w:val="none" w:sz="0" w:space="0" w:color="auto"/>
      </w:divBdr>
    </w:div>
    <w:div w:id="546340352">
      <w:bodyDiv w:val="1"/>
      <w:marLeft w:val="0"/>
      <w:marRight w:val="0"/>
      <w:marTop w:val="0"/>
      <w:marBottom w:val="0"/>
      <w:divBdr>
        <w:top w:val="none" w:sz="0" w:space="0" w:color="auto"/>
        <w:left w:val="none" w:sz="0" w:space="0" w:color="auto"/>
        <w:bottom w:val="none" w:sz="0" w:space="0" w:color="auto"/>
        <w:right w:val="none" w:sz="0" w:space="0" w:color="auto"/>
      </w:divBdr>
    </w:div>
    <w:div w:id="8264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93%20%283%29%20SA%20258" TargetMode="External"/><Relationship Id="rId2" Type="http://schemas.openxmlformats.org/officeDocument/2006/relationships/hyperlink" Target="http://www.saflii.org/za/cases/ZASCA/1993/39.html" TargetMode="External"/><Relationship Id="rId1" Type="http://schemas.openxmlformats.org/officeDocument/2006/relationships/hyperlink" Target="http://www.saflii.org/cgi-bin/LawCite?cit=%5b2019%5d%20JOL%2043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3EADC-29C3-4114-A3D9-FFF98B30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HOME</cp:lastModifiedBy>
  <cp:revision>2</cp:revision>
  <cp:lastPrinted>2022-08-12T07:05:00Z</cp:lastPrinted>
  <dcterms:created xsi:type="dcterms:W3CDTF">2022-08-15T14:49:00Z</dcterms:created>
  <dcterms:modified xsi:type="dcterms:W3CDTF">2022-08-15T14:49:00Z</dcterms:modified>
</cp:coreProperties>
</file>