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D91F0" w14:textId="77777777" w:rsidR="00D450B5" w:rsidRPr="00044B50" w:rsidRDefault="00D450B5" w:rsidP="0065127B">
      <w:pPr>
        <w:autoSpaceDE w:val="0"/>
        <w:autoSpaceDN w:val="0"/>
        <w:adjustRightInd w:val="0"/>
        <w:rPr>
          <w:lang w:val="en-GB"/>
        </w:rPr>
      </w:pPr>
      <w:bookmarkStart w:id="0" w:name="_GoBack"/>
      <w:bookmarkEnd w:id="0"/>
    </w:p>
    <w:p w14:paraId="3BB46367" w14:textId="77777777" w:rsidR="00D450B5" w:rsidRPr="00044B50" w:rsidRDefault="00D450B5" w:rsidP="00772E4B">
      <w:pPr>
        <w:jc w:val="center"/>
        <w:rPr>
          <w:lang w:val="en-GB"/>
        </w:rPr>
      </w:pPr>
      <w:r w:rsidRPr="00044B50">
        <w:rPr>
          <w:noProof/>
          <w:lang w:eastAsia="en-ZA"/>
        </w:rPr>
        <w:drawing>
          <wp:inline distT="0" distB="0" distL="0" distR="0" wp14:anchorId="01CC64B0" wp14:editId="193F6DB6">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125647D4" w14:textId="77777777" w:rsidR="00D450B5" w:rsidRPr="00044B50" w:rsidRDefault="00D450B5" w:rsidP="00772E4B">
      <w:pPr>
        <w:jc w:val="center"/>
        <w:rPr>
          <w:b/>
          <w:bCs/>
          <w:lang w:val="en-GB"/>
        </w:rPr>
      </w:pPr>
      <w:r w:rsidRPr="00044B50">
        <w:rPr>
          <w:b/>
          <w:bCs/>
          <w:lang w:val="en-GB"/>
        </w:rPr>
        <w:t>IN THE HIGH COURT OF SOUTH AFRICA</w:t>
      </w:r>
    </w:p>
    <w:p w14:paraId="130E4897" w14:textId="7BBF3AA5" w:rsidR="00D450B5" w:rsidRPr="00044B50" w:rsidRDefault="00D450B5" w:rsidP="00772E4B">
      <w:pPr>
        <w:jc w:val="center"/>
        <w:rPr>
          <w:b/>
          <w:bCs/>
          <w:lang w:val="en-GB"/>
        </w:rPr>
      </w:pPr>
      <w:r w:rsidRPr="00044B50">
        <w:rPr>
          <w:b/>
          <w:bCs/>
          <w:lang w:val="en-GB"/>
        </w:rPr>
        <w:t xml:space="preserve">(EASTERN CAPE DIVISION, </w:t>
      </w:r>
      <w:r w:rsidR="00C90444">
        <w:rPr>
          <w:b/>
          <w:bCs/>
          <w:lang w:val="en-GB"/>
        </w:rPr>
        <w:t>GQEBERHA</w:t>
      </w:r>
      <w:r w:rsidRPr="00044B50">
        <w:rPr>
          <w:b/>
          <w:bCs/>
          <w:lang w:val="en-GB"/>
        </w:rPr>
        <w:t>)</w:t>
      </w:r>
    </w:p>
    <w:p w14:paraId="260381A7" w14:textId="77777777" w:rsidR="00D450B5" w:rsidRPr="00044B50" w:rsidRDefault="00D450B5" w:rsidP="00772E4B">
      <w:pPr>
        <w:widowControl w:val="0"/>
        <w:jc w:val="both"/>
        <w:rPr>
          <w:spacing w:val="14"/>
          <w:kern w:val="2"/>
          <w:u w:val="single"/>
          <w:lang w:val="en-GB"/>
        </w:rPr>
      </w:pPr>
    </w:p>
    <w:p w14:paraId="101AD6EF" w14:textId="01D5E0AF" w:rsidR="008A75F3" w:rsidRPr="00523905" w:rsidRDefault="00D450B5" w:rsidP="00523905">
      <w:pPr>
        <w:ind w:right="-52"/>
        <w:jc w:val="center"/>
        <w:rPr>
          <w:b/>
          <w:bCs/>
          <w:lang w:val="en-GB"/>
        </w:rPr>
      </w:pPr>
      <w:r w:rsidRPr="00044B50">
        <w:rPr>
          <w:lang w:val="en-GB"/>
        </w:rPr>
        <w:t xml:space="preserve">                                                                                           </w:t>
      </w:r>
      <w:r w:rsidRPr="00044B50">
        <w:rPr>
          <w:b/>
          <w:bCs/>
          <w:lang w:val="en-GB"/>
        </w:rPr>
        <w:t xml:space="preserve">NOT REPORTABLE     </w:t>
      </w:r>
      <w:r w:rsidR="00523905">
        <w:rPr>
          <w:b/>
          <w:bCs/>
          <w:lang w:val="en-GB"/>
        </w:rPr>
        <w:t xml:space="preserve">                              </w:t>
      </w:r>
      <w:r w:rsidR="00E44987" w:rsidRPr="00044B50">
        <w:rPr>
          <w:lang w:val="en-GB"/>
        </w:rPr>
        <w:t xml:space="preserve">                                                        </w:t>
      </w:r>
    </w:p>
    <w:p w14:paraId="4934DB4B" w14:textId="05C85EC0" w:rsidR="00E44987" w:rsidRPr="00044B50" w:rsidRDefault="00523905" w:rsidP="008A75F3">
      <w:pPr>
        <w:ind w:left="5760" w:firstLine="720"/>
        <w:rPr>
          <w:lang w:val="en-GB"/>
        </w:rPr>
      </w:pPr>
      <w:r>
        <w:rPr>
          <w:lang w:val="en-GB"/>
        </w:rPr>
        <w:t xml:space="preserve"> </w:t>
      </w:r>
      <w:r w:rsidR="00E44987" w:rsidRPr="00044B50">
        <w:rPr>
          <w:lang w:val="en-GB"/>
        </w:rPr>
        <w:t xml:space="preserve">Case no: </w:t>
      </w:r>
      <w:r>
        <w:rPr>
          <w:lang w:val="en-GB"/>
        </w:rPr>
        <w:t>2780/2021</w:t>
      </w:r>
    </w:p>
    <w:p w14:paraId="13EEBE4B" w14:textId="77777777" w:rsidR="00D450B5" w:rsidRPr="00044B50" w:rsidRDefault="00D450B5" w:rsidP="00772E4B">
      <w:pPr>
        <w:widowControl w:val="0"/>
        <w:jc w:val="right"/>
        <w:rPr>
          <w:spacing w:val="14"/>
          <w:kern w:val="2"/>
          <w:lang w:val="en-GB"/>
        </w:rPr>
      </w:pPr>
    </w:p>
    <w:p w14:paraId="0EF23BC3" w14:textId="2F24DFC5" w:rsidR="00523905" w:rsidRDefault="00D450B5" w:rsidP="00772E4B">
      <w:pPr>
        <w:widowControl w:val="0"/>
        <w:jc w:val="both"/>
        <w:rPr>
          <w:spacing w:val="14"/>
          <w:kern w:val="2"/>
          <w:lang w:val="en-GB"/>
        </w:rPr>
      </w:pPr>
      <w:r w:rsidRPr="00044B50">
        <w:rPr>
          <w:spacing w:val="14"/>
          <w:kern w:val="2"/>
          <w:lang w:val="en-GB"/>
        </w:rPr>
        <w:t>In the matter between</w:t>
      </w:r>
      <w:r w:rsidR="00E44987" w:rsidRPr="00044B50">
        <w:rPr>
          <w:spacing w:val="14"/>
          <w:kern w:val="2"/>
          <w:lang w:val="en-GB"/>
        </w:rPr>
        <w:t>:</w:t>
      </w:r>
    </w:p>
    <w:p w14:paraId="34A95658" w14:textId="77777777" w:rsidR="0065127B" w:rsidRPr="00044B50" w:rsidRDefault="0065127B" w:rsidP="00772E4B">
      <w:pPr>
        <w:widowControl w:val="0"/>
        <w:jc w:val="both"/>
        <w:rPr>
          <w:spacing w:val="14"/>
          <w:kern w:val="2"/>
          <w:lang w:val="en-GB"/>
        </w:rPr>
      </w:pPr>
    </w:p>
    <w:p w14:paraId="2E198784" w14:textId="58709729" w:rsidR="00D450B5" w:rsidRPr="00523905" w:rsidRDefault="00523905" w:rsidP="00523905">
      <w:pPr>
        <w:widowControl w:val="0"/>
        <w:tabs>
          <w:tab w:val="left" w:pos="7655"/>
          <w:tab w:val="right" w:pos="8505"/>
        </w:tabs>
        <w:jc w:val="both"/>
        <w:rPr>
          <w:b/>
          <w:spacing w:val="14"/>
          <w:kern w:val="2"/>
          <w:lang w:val="en-GB"/>
        </w:rPr>
      </w:pPr>
      <w:r w:rsidRPr="00523905">
        <w:rPr>
          <w:b/>
          <w:spacing w:val="14"/>
          <w:kern w:val="2"/>
          <w:lang w:val="en-GB"/>
        </w:rPr>
        <w:t xml:space="preserve">MULTISURE CORPORATION (PTY)LTD </w:t>
      </w:r>
      <w:r w:rsidRPr="00523905">
        <w:rPr>
          <w:b/>
          <w:spacing w:val="14"/>
          <w:kern w:val="2"/>
          <w:lang w:val="en-GB"/>
        </w:rPr>
        <w:tab/>
      </w:r>
      <w:r>
        <w:rPr>
          <w:b/>
          <w:spacing w:val="14"/>
          <w:kern w:val="2"/>
          <w:lang w:val="en-GB"/>
        </w:rPr>
        <w:t xml:space="preserve"> </w:t>
      </w:r>
      <w:r w:rsidRPr="00523905">
        <w:rPr>
          <w:b/>
          <w:spacing w:val="14"/>
          <w:kern w:val="2"/>
          <w:lang w:val="en-GB"/>
        </w:rPr>
        <w:t>Applicant</w:t>
      </w:r>
    </w:p>
    <w:p w14:paraId="0D746988" w14:textId="77777777" w:rsidR="00D450B5" w:rsidRPr="00044B50" w:rsidRDefault="00D450B5" w:rsidP="00772E4B">
      <w:pPr>
        <w:tabs>
          <w:tab w:val="right" w:pos="9072"/>
        </w:tabs>
        <w:suppressAutoHyphens/>
        <w:jc w:val="both"/>
        <w:rPr>
          <w:lang w:val="en-GB"/>
        </w:rPr>
      </w:pPr>
    </w:p>
    <w:p w14:paraId="460137EF" w14:textId="55C90022" w:rsidR="00D450B5" w:rsidRDefault="0065127B" w:rsidP="00772E4B">
      <w:pPr>
        <w:jc w:val="both"/>
        <w:rPr>
          <w:lang w:val="en-GB"/>
        </w:rPr>
      </w:pPr>
      <w:r>
        <w:rPr>
          <w:lang w:val="en-GB"/>
        </w:rPr>
        <w:t>a</w:t>
      </w:r>
      <w:r w:rsidR="00D450B5" w:rsidRPr="00044B50">
        <w:rPr>
          <w:lang w:val="en-GB"/>
        </w:rPr>
        <w:t>nd</w:t>
      </w:r>
    </w:p>
    <w:p w14:paraId="186F8B7D" w14:textId="77777777" w:rsidR="0065127B" w:rsidRPr="00044B50" w:rsidRDefault="0065127B" w:rsidP="00772E4B">
      <w:pPr>
        <w:jc w:val="both"/>
        <w:rPr>
          <w:lang w:val="en-GB"/>
        </w:rPr>
      </w:pPr>
    </w:p>
    <w:p w14:paraId="37CBA823" w14:textId="53292796" w:rsidR="00D450B5" w:rsidRDefault="00523905" w:rsidP="00523905">
      <w:pPr>
        <w:tabs>
          <w:tab w:val="left" w:pos="6946"/>
        </w:tabs>
        <w:jc w:val="both"/>
        <w:rPr>
          <w:b/>
          <w:lang w:val="en-GB"/>
        </w:rPr>
      </w:pPr>
      <w:r w:rsidRPr="00523905">
        <w:rPr>
          <w:b/>
          <w:lang w:val="en-GB"/>
        </w:rPr>
        <w:t xml:space="preserve">KGA LIFE LIMITED </w:t>
      </w:r>
      <w:r>
        <w:rPr>
          <w:b/>
          <w:lang w:val="en-GB"/>
        </w:rPr>
        <w:tab/>
        <w:t xml:space="preserve"> First</w:t>
      </w:r>
      <w:r w:rsidRPr="00523905">
        <w:rPr>
          <w:b/>
          <w:lang w:val="en-GB"/>
        </w:rPr>
        <w:t xml:space="preserve"> </w:t>
      </w:r>
      <w:r>
        <w:rPr>
          <w:b/>
          <w:lang w:val="en-GB"/>
        </w:rPr>
        <w:t>R</w:t>
      </w:r>
      <w:r w:rsidRPr="00523905">
        <w:rPr>
          <w:b/>
          <w:lang w:val="en-GB"/>
        </w:rPr>
        <w:t>espondent</w:t>
      </w:r>
    </w:p>
    <w:p w14:paraId="5CABB8F1" w14:textId="1C779C61" w:rsidR="00523905" w:rsidRDefault="00523905" w:rsidP="00523905">
      <w:pPr>
        <w:tabs>
          <w:tab w:val="left" w:pos="6663"/>
        </w:tabs>
        <w:jc w:val="both"/>
        <w:rPr>
          <w:b/>
          <w:lang w:val="en-GB"/>
        </w:rPr>
      </w:pPr>
      <w:r>
        <w:rPr>
          <w:b/>
          <w:lang w:val="en-GB"/>
        </w:rPr>
        <w:t xml:space="preserve">Q LINK HOLDINGS (PTY) LTD </w:t>
      </w:r>
      <w:r>
        <w:rPr>
          <w:b/>
          <w:lang w:val="en-GB"/>
        </w:rPr>
        <w:tab/>
        <w:t>Second Respondent</w:t>
      </w:r>
    </w:p>
    <w:p w14:paraId="33B6F035" w14:textId="49943D8C" w:rsidR="00523905" w:rsidRPr="00523905" w:rsidRDefault="00523905" w:rsidP="00523905">
      <w:pPr>
        <w:tabs>
          <w:tab w:val="left" w:pos="6946"/>
        </w:tabs>
        <w:jc w:val="both"/>
        <w:rPr>
          <w:b/>
          <w:lang w:val="en-GB"/>
        </w:rPr>
      </w:pPr>
      <w:r>
        <w:rPr>
          <w:b/>
          <w:lang w:val="en-GB"/>
        </w:rPr>
        <w:t xml:space="preserve">AFRICAN UNITY LIFE LIMITED </w:t>
      </w:r>
      <w:r>
        <w:rPr>
          <w:b/>
          <w:lang w:val="en-GB"/>
        </w:rPr>
        <w:tab/>
        <w:t>Third Respondent</w:t>
      </w:r>
    </w:p>
    <w:p w14:paraId="76889E9C" w14:textId="4C293529" w:rsidR="00D450B5" w:rsidRPr="00044B50" w:rsidRDefault="00523905" w:rsidP="00772E4B">
      <w:pPr>
        <w:jc w:val="both"/>
        <w:rPr>
          <w:lang w:val="en-GB"/>
        </w:rPr>
      </w:pPr>
      <w:r>
        <w:rPr>
          <w:lang w:val="en-GB"/>
        </w:rPr>
        <w:t>_</w:t>
      </w:r>
      <w:r w:rsidR="00D450B5" w:rsidRPr="00044B50">
        <w:rPr>
          <w:lang w:val="en-GB"/>
        </w:rPr>
        <w:t>_________________________________________________________________</w:t>
      </w:r>
      <w:r w:rsidR="006B1DCE">
        <w:rPr>
          <w:lang w:val="en-GB"/>
        </w:rPr>
        <w:t>_</w:t>
      </w:r>
    </w:p>
    <w:p w14:paraId="37FFD90E" w14:textId="77777777" w:rsidR="0009497C" w:rsidRPr="00044B50" w:rsidRDefault="0009497C" w:rsidP="00772E4B">
      <w:pPr>
        <w:jc w:val="center"/>
        <w:rPr>
          <w:lang w:val="en-GB"/>
        </w:rPr>
      </w:pPr>
    </w:p>
    <w:p w14:paraId="7239B7A9" w14:textId="40EF50E9" w:rsidR="00D450B5" w:rsidRPr="00044B50" w:rsidRDefault="00D450B5" w:rsidP="00772E4B">
      <w:pPr>
        <w:jc w:val="center"/>
        <w:rPr>
          <w:b/>
          <w:bCs/>
          <w:lang w:val="en-GB"/>
        </w:rPr>
      </w:pPr>
      <w:r w:rsidRPr="00044B50">
        <w:rPr>
          <w:b/>
          <w:bCs/>
          <w:lang w:val="en-GB"/>
        </w:rPr>
        <w:t xml:space="preserve">JUDGMENT </w:t>
      </w:r>
    </w:p>
    <w:p w14:paraId="2B47CB4D" w14:textId="77777777" w:rsidR="00D450B5" w:rsidRPr="00044B50" w:rsidRDefault="00D450B5" w:rsidP="00772E4B">
      <w:pPr>
        <w:jc w:val="both"/>
        <w:rPr>
          <w:lang w:val="en-GB"/>
        </w:rPr>
      </w:pPr>
      <w:r w:rsidRPr="00044B50">
        <w:rPr>
          <w:lang w:val="en-GB"/>
        </w:rPr>
        <w:t>___________________________________________________________________</w:t>
      </w:r>
    </w:p>
    <w:p w14:paraId="7C4F1B04" w14:textId="25864082" w:rsidR="00D450B5" w:rsidRPr="00044B50" w:rsidRDefault="00E57C72" w:rsidP="00772E4B">
      <w:pPr>
        <w:jc w:val="both"/>
        <w:rPr>
          <w:b/>
          <w:bCs/>
          <w:lang w:val="en-GB"/>
        </w:rPr>
      </w:pPr>
      <w:r w:rsidRPr="00044B50">
        <w:rPr>
          <w:b/>
          <w:bCs/>
          <w:lang w:val="en-GB"/>
        </w:rPr>
        <w:t>Govindjee</w:t>
      </w:r>
      <w:r w:rsidR="00D450B5" w:rsidRPr="00044B50">
        <w:rPr>
          <w:b/>
          <w:bCs/>
          <w:lang w:val="en-GB"/>
        </w:rPr>
        <w:t xml:space="preserve"> J</w:t>
      </w:r>
    </w:p>
    <w:p w14:paraId="4D81F552" w14:textId="77777777" w:rsidR="0065127B" w:rsidRPr="00044B50" w:rsidRDefault="0065127B" w:rsidP="00682CE5">
      <w:pPr>
        <w:jc w:val="both"/>
        <w:rPr>
          <w:lang w:val="en-GB"/>
        </w:rPr>
      </w:pPr>
    </w:p>
    <w:p w14:paraId="2AA44CDA" w14:textId="7C250888" w:rsidR="0065127B" w:rsidRPr="0065127B" w:rsidRDefault="00EE5B43" w:rsidP="00434D57">
      <w:pPr>
        <w:autoSpaceDE w:val="0"/>
        <w:autoSpaceDN w:val="0"/>
        <w:adjustRightInd w:val="0"/>
        <w:jc w:val="both"/>
        <w:rPr>
          <w:b/>
          <w:bCs/>
          <w:lang w:val="en-GB"/>
        </w:rPr>
      </w:pPr>
      <w:r>
        <w:rPr>
          <w:b/>
          <w:bCs/>
          <w:lang w:val="en-GB"/>
        </w:rPr>
        <w:t>Background</w:t>
      </w:r>
    </w:p>
    <w:p w14:paraId="7D634519" w14:textId="6FDC206B" w:rsidR="004B7E82" w:rsidRPr="00044B50" w:rsidRDefault="0073426D" w:rsidP="00682CE5">
      <w:pPr>
        <w:pStyle w:val="ListParagraph"/>
        <w:numPr>
          <w:ilvl w:val="0"/>
          <w:numId w:val="10"/>
        </w:numPr>
        <w:autoSpaceDE w:val="0"/>
        <w:autoSpaceDN w:val="0"/>
        <w:adjustRightInd w:val="0"/>
        <w:ind w:left="142" w:hanging="142"/>
        <w:jc w:val="both"/>
        <w:rPr>
          <w:lang w:val="en-GB"/>
        </w:rPr>
      </w:pPr>
      <w:r>
        <w:rPr>
          <w:lang w:val="en-GB"/>
        </w:rPr>
        <w:t>The applicant (‘</w:t>
      </w:r>
      <w:r w:rsidR="00D443A7">
        <w:rPr>
          <w:lang w:val="en-GB"/>
        </w:rPr>
        <w:t>Multisure</w:t>
      </w:r>
      <w:r>
        <w:rPr>
          <w:lang w:val="en-GB"/>
        </w:rPr>
        <w:t>’)</w:t>
      </w:r>
      <w:r w:rsidR="008E2361">
        <w:rPr>
          <w:lang w:val="en-GB"/>
        </w:rPr>
        <w:t xml:space="preserve"> conducts business as an independent intermediary, as defined in s 1 of the Long-term Insurance Act, 1998</w:t>
      </w:r>
      <w:r w:rsidR="008E2361">
        <w:rPr>
          <w:rStyle w:val="FootnoteReference"/>
          <w:lang w:val="en-GB"/>
        </w:rPr>
        <w:footnoteReference w:id="1"/>
      </w:r>
      <w:r w:rsidR="008E2361">
        <w:rPr>
          <w:lang w:val="en-GB"/>
        </w:rPr>
        <w:t xml:space="preserve"> (‘the </w:t>
      </w:r>
      <w:r w:rsidR="0023310C">
        <w:rPr>
          <w:lang w:val="en-GB"/>
        </w:rPr>
        <w:t>LIA’</w:t>
      </w:r>
      <w:r w:rsidR="008E2361">
        <w:rPr>
          <w:lang w:val="en-GB"/>
        </w:rPr>
        <w:t>)</w:t>
      </w:r>
      <w:r w:rsidR="008629E7">
        <w:rPr>
          <w:lang w:val="en-GB"/>
        </w:rPr>
        <w:t>.</w:t>
      </w:r>
      <w:r w:rsidR="00D53E9D">
        <w:rPr>
          <w:rStyle w:val="FootnoteReference"/>
          <w:lang w:val="en-GB"/>
        </w:rPr>
        <w:footnoteReference w:id="2"/>
      </w:r>
      <w:r w:rsidR="008629E7">
        <w:rPr>
          <w:lang w:val="en-GB"/>
        </w:rPr>
        <w:t xml:space="preserve"> </w:t>
      </w:r>
      <w:r w:rsidR="00956789">
        <w:rPr>
          <w:lang w:val="en-GB"/>
        </w:rPr>
        <w:t xml:space="preserve">It markets and </w:t>
      </w:r>
      <w:r w:rsidR="00956789">
        <w:rPr>
          <w:lang w:val="en-GB"/>
        </w:rPr>
        <w:lastRenderedPageBreak/>
        <w:t xml:space="preserve">sells funeral cover plans to individuals and families. </w:t>
      </w:r>
      <w:r w:rsidR="00A651C3">
        <w:rPr>
          <w:lang w:val="en-GB"/>
        </w:rPr>
        <w:t>The first respondent (‘</w:t>
      </w:r>
      <w:r w:rsidR="00D443A7">
        <w:rPr>
          <w:lang w:val="en-GB"/>
        </w:rPr>
        <w:t>KGA</w:t>
      </w:r>
      <w:r w:rsidR="00A651C3">
        <w:rPr>
          <w:lang w:val="en-GB"/>
        </w:rPr>
        <w:t>’)</w:t>
      </w:r>
      <w:r w:rsidR="00956789">
        <w:rPr>
          <w:lang w:val="en-GB"/>
        </w:rPr>
        <w:t xml:space="preserve"> is a ‘licenced insurer’ and </w:t>
      </w:r>
      <w:r w:rsidR="00531855">
        <w:rPr>
          <w:lang w:val="en-GB"/>
        </w:rPr>
        <w:t xml:space="preserve">a ‘long-term insurer’ as defined in the </w:t>
      </w:r>
      <w:r w:rsidR="0023310C">
        <w:rPr>
          <w:lang w:val="en-GB"/>
        </w:rPr>
        <w:t>LIA</w:t>
      </w:r>
      <w:r w:rsidR="00531855">
        <w:rPr>
          <w:lang w:val="en-GB"/>
        </w:rPr>
        <w:t>, also underwriting funeral policies.</w:t>
      </w:r>
    </w:p>
    <w:p w14:paraId="4CD9AA23" w14:textId="77777777" w:rsidR="00E57C72" w:rsidRPr="00044B50" w:rsidRDefault="00E57C72" w:rsidP="00682CE5">
      <w:pPr>
        <w:pStyle w:val="ListParagraph"/>
        <w:jc w:val="both"/>
        <w:rPr>
          <w:lang w:val="en-GB"/>
        </w:rPr>
      </w:pPr>
    </w:p>
    <w:p w14:paraId="0B2C192C" w14:textId="712A5177" w:rsidR="00316084" w:rsidRDefault="00D443A7" w:rsidP="00316084">
      <w:pPr>
        <w:pStyle w:val="ListParagraph"/>
        <w:numPr>
          <w:ilvl w:val="0"/>
          <w:numId w:val="10"/>
        </w:numPr>
        <w:autoSpaceDE w:val="0"/>
        <w:autoSpaceDN w:val="0"/>
        <w:adjustRightInd w:val="0"/>
        <w:ind w:left="142" w:hanging="142"/>
        <w:jc w:val="both"/>
        <w:rPr>
          <w:lang w:val="en-GB"/>
        </w:rPr>
      </w:pPr>
      <w:r>
        <w:rPr>
          <w:lang w:val="en-GB"/>
        </w:rPr>
        <w:t xml:space="preserve">Multisure entered into a written </w:t>
      </w:r>
      <w:r w:rsidR="00FB78D0">
        <w:rPr>
          <w:lang w:val="en-GB"/>
        </w:rPr>
        <w:t xml:space="preserve">intermediary </w:t>
      </w:r>
      <w:r>
        <w:rPr>
          <w:lang w:val="en-GB"/>
        </w:rPr>
        <w:t xml:space="preserve">agreement </w:t>
      </w:r>
      <w:r w:rsidR="00D265D4">
        <w:rPr>
          <w:lang w:val="en-GB"/>
        </w:rPr>
        <w:t xml:space="preserve">(‘the </w:t>
      </w:r>
      <w:r w:rsidR="00CF7B47">
        <w:rPr>
          <w:lang w:val="en-GB"/>
        </w:rPr>
        <w:t xml:space="preserve">intermediary </w:t>
      </w:r>
      <w:r w:rsidR="00D265D4">
        <w:rPr>
          <w:lang w:val="en-GB"/>
        </w:rPr>
        <w:t xml:space="preserve">agreement’) </w:t>
      </w:r>
      <w:r>
        <w:rPr>
          <w:lang w:val="en-GB"/>
        </w:rPr>
        <w:t xml:space="preserve">for KGA to underwrite the funeral policies of its clients. </w:t>
      </w:r>
      <w:r w:rsidR="00CA4E96">
        <w:rPr>
          <w:lang w:val="en-GB"/>
        </w:rPr>
        <w:t xml:space="preserve">The </w:t>
      </w:r>
      <w:r w:rsidR="00CF7B47">
        <w:rPr>
          <w:lang w:val="en-GB"/>
        </w:rPr>
        <w:t xml:space="preserve">intermediary </w:t>
      </w:r>
      <w:r w:rsidR="00CA4E96">
        <w:rPr>
          <w:lang w:val="en-GB"/>
        </w:rPr>
        <w:t xml:space="preserve">agreement commenced on 1 January 2015. </w:t>
      </w:r>
      <w:r>
        <w:rPr>
          <w:lang w:val="en-GB"/>
        </w:rPr>
        <w:t xml:space="preserve">That </w:t>
      </w:r>
      <w:r w:rsidR="00CF7B47">
        <w:rPr>
          <w:lang w:val="en-GB"/>
        </w:rPr>
        <w:t xml:space="preserve">intermediary </w:t>
      </w:r>
      <w:r>
        <w:rPr>
          <w:lang w:val="en-GB"/>
        </w:rPr>
        <w:t>agreement incorporates a ‘Master Policy’.</w:t>
      </w:r>
      <w:r w:rsidR="00FB78D0">
        <w:rPr>
          <w:lang w:val="en-GB"/>
        </w:rPr>
        <w:t xml:space="preserve"> </w:t>
      </w:r>
      <w:r w:rsidR="00DA1DD5">
        <w:rPr>
          <w:lang w:val="en-GB"/>
        </w:rPr>
        <w:t xml:space="preserve">Premiums due are paid directly to KGA through deduction from the social grants received by the </w:t>
      </w:r>
      <w:r w:rsidR="005F06EC">
        <w:rPr>
          <w:lang w:val="en-GB"/>
        </w:rPr>
        <w:t>clients, who are referred to as ‘</w:t>
      </w:r>
      <w:r w:rsidR="00DA1DD5">
        <w:rPr>
          <w:lang w:val="en-GB"/>
        </w:rPr>
        <w:t>policyholders</w:t>
      </w:r>
      <w:r w:rsidR="005F06EC">
        <w:rPr>
          <w:lang w:val="en-GB"/>
        </w:rPr>
        <w:t>’ in the intermediary agreement</w:t>
      </w:r>
      <w:r w:rsidR="00DA1DD5">
        <w:rPr>
          <w:lang w:val="en-GB"/>
        </w:rPr>
        <w:t>.</w:t>
      </w:r>
      <w:r w:rsidR="00875FEC">
        <w:rPr>
          <w:rStyle w:val="FootnoteReference"/>
          <w:lang w:val="en-GB"/>
        </w:rPr>
        <w:footnoteReference w:id="3"/>
      </w:r>
      <w:r w:rsidR="00DA1DD5">
        <w:rPr>
          <w:lang w:val="en-GB"/>
        </w:rPr>
        <w:t xml:space="preserve"> </w:t>
      </w:r>
      <w:r w:rsidR="0083721C">
        <w:rPr>
          <w:lang w:val="en-GB"/>
        </w:rPr>
        <w:t xml:space="preserve">Some 8000 ‘group scheme policies’ are in focus, with approximately 18000 lives insured. </w:t>
      </w:r>
      <w:r w:rsidR="00173C1A">
        <w:rPr>
          <w:lang w:val="en-GB"/>
        </w:rPr>
        <w:t>Multisure</w:t>
      </w:r>
      <w:r w:rsidR="008B574D">
        <w:rPr>
          <w:lang w:val="en-GB"/>
        </w:rPr>
        <w:t xml:space="preserve"> cancelled the </w:t>
      </w:r>
      <w:r w:rsidR="00CF7B47">
        <w:rPr>
          <w:lang w:val="en-GB"/>
        </w:rPr>
        <w:t xml:space="preserve">intermediary </w:t>
      </w:r>
      <w:r w:rsidR="008B574D">
        <w:rPr>
          <w:lang w:val="en-GB"/>
        </w:rPr>
        <w:t>agreement on 5 July 2021</w:t>
      </w:r>
      <w:r w:rsidR="007B252A">
        <w:rPr>
          <w:lang w:val="en-GB"/>
        </w:rPr>
        <w:t xml:space="preserve"> and entered into a new agreement for the third respondent (‘AUL’) to provide underwriting services to its clients</w:t>
      </w:r>
      <w:r w:rsidR="006E634A">
        <w:rPr>
          <w:lang w:val="en-GB"/>
        </w:rPr>
        <w:t>, in place of KGA</w:t>
      </w:r>
      <w:r w:rsidR="007B252A">
        <w:rPr>
          <w:lang w:val="en-GB"/>
        </w:rPr>
        <w:t>.</w:t>
      </w:r>
      <w:r w:rsidR="00326DFF">
        <w:rPr>
          <w:lang w:val="en-GB"/>
        </w:rPr>
        <w:t xml:space="preserve"> KGA refuse</w:t>
      </w:r>
      <w:r w:rsidR="00B120C2">
        <w:rPr>
          <w:lang w:val="en-GB"/>
        </w:rPr>
        <w:t>d</w:t>
      </w:r>
      <w:r w:rsidR="00326DFF">
        <w:rPr>
          <w:lang w:val="en-GB"/>
        </w:rPr>
        <w:t xml:space="preserve"> to give effect to the transfer (referred to as ‘releasing the book’)</w:t>
      </w:r>
      <w:r w:rsidR="00CD41CF">
        <w:rPr>
          <w:rStyle w:val="FootnoteReference"/>
          <w:lang w:val="en-GB"/>
        </w:rPr>
        <w:footnoteReference w:id="4"/>
      </w:r>
      <w:r w:rsidR="00D461AA">
        <w:rPr>
          <w:lang w:val="en-GB"/>
        </w:rPr>
        <w:t xml:space="preserve"> without </w:t>
      </w:r>
      <w:r w:rsidR="00DF3B09">
        <w:rPr>
          <w:lang w:val="en-GB"/>
        </w:rPr>
        <w:t xml:space="preserve">individual </w:t>
      </w:r>
      <w:r w:rsidR="00D461AA">
        <w:rPr>
          <w:lang w:val="en-GB"/>
        </w:rPr>
        <w:t>notification</w:t>
      </w:r>
      <w:r w:rsidR="00452466">
        <w:rPr>
          <w:lang w:val="en-GB"/>
        </w:rPr>
        <w:t>, from each client</w:t>
      </w:r>
      <w:r w:rsidR="00347A14">
        <w:rPr>
          <w:lang w:val="en-GB"/>
        </w:rPr>
        <w:t>,</w:t>
      </w:r>
      <w:r w:rsidR="00D461AA">
        <w:rPr>
          <w:lang w:val="en-GB"/>
        </w:rPr>
        <w:t xml:space="preserve"> of cancellation.</w:t>
      </w:r>
      <w:r w:rsidR="00B120C2">
        <w:rPr>
          <w:lang w:val="en-GB"/>
        </w:rPr>
        <w:t xml:space="preserve"> This resulted in proceedings before Schoeman J in this court</w:t>
      </w:r>
      <w:r w:rsidR="00434D57">
        <w:rPr>
          <w:lang w:val="en-GB"/>
        </w:rPr>
        <w:t>, and an outcome in favour of Multisure</w:t>
      </w:r>
      <w:r w:rsidR="00071DB1">
        <w:rPr>
          <w:lang w:val="en-GB"/>
        </w:rPr>
        <w:t xml:space="preserve"> (‘the order’)</w:t>
      </w:r>
      <w:r w:rsidR="00434D57">
        <w:rPr>
          <w:lang w:val="en-GB"/>
        </w:rPr>
        <w:t>.</w:t>
      </w:r>
    </w:p>
    <w:p w14:paraId="5C2C19B7" w14:textId="77777777" w:rsidR="00434D57" w:rsidRPr="00434D57" w:rsidRDefault="00434D57" w:rsidP="00434D57">
      <w:pPr>
        <w:autoSpaceDE w:val="0"/>
        <w:autoSpaceDN w:val="0"/>
        <w:adjustRightInd w:val="0"/>
        <w:jc w:val="both"/>
        <w:rPr>
          <w:lang w:val="en-GB"/>
        </w:rPr>
      </w:pPr>
    </w:p>
    <w:p w14:paraId="22E3642A" w14:textId="2B8F9C31" w:rsidR="00434D57" w:rsidRPr="00044B50" w:rsidRDefault="00434D57" w:rsidP="00434D57">
      <w:pPr>
        <w:pStyle w:val="ListParagraph"/>
        <w:numPr>
          <w:ilvl w:val="0"/>
          <w:numId w:val="10"/>
        </w:numPr>
        <w:autoSpaceDE w:val="0"/>
        <w:autoSpaceDN w:val="0"/>
        <w:adjustRightInd w:val="0"/>
        <w:ind w:left="142" w:hanging="142"/>
        <w:jc w:val="both"/>
        <w:rPr>
          <w:lang w:val="en-GB"/>
        </w:rPr>
      </w:pPr>
      <w:r>
        <w:rPr>
          <w:lang w:val="en-GB"/>
        </w:rPr>
        <w:t xml:space="preserve">The executory part of the </w:t>
      </w:r>
      <w:r w:rsidR="00B20F4F">
        <w:rPr>
          <w:lang w:val="en-GB"/>
        </w:rPr>
        <w:t xml:space="preserve">learned judge’s </w:t>
      </w:r>
      <w:r>
        <w:rPr>
          <w:lang w:val="en-GB"/>
        </w:rPr>
        <w:t>order is in the following terms:</w:t>
      </w:r>
    </w:p>
    <w:p w14:paraId="08865B34" w14:textId="77777777" w:rsidR="00434D57" w:rsidRPr="00B04CA8" w:rsidRDefault="00434D57" w:rsidP="00434D57">
      <w:pPr>
        <w:pStyle w:val="ListParagraph"/>
        <w:autoSpaceDE w:val="0"/>
        <w:autoSpaceDN w:val="0"/>
        <w:adjustRightInd w:val="0"/>
        <w:ind w:left="142"/>
        <w:jc w:val="both"/>
        <w:rPr>
          <w:sz w:val="22"/>
          <w:szCs w:val="22"/>
          <w:lang w:val="en-GB"/>
        </w:rPr>
      </w:pPr>
      <w:r w:rsidRPr="00B04CA8">
        <w:rPr>
          <w:sz w:val="22"/>
          <w:szCs w:val="22"/>
          <w:lang w:val="en-GB"/>
        </w:rPr>
        <w:t>‘1. That ‘the Intermediary Agreement – Multisure Corporation – Underwritten by KGA Life Ltd’ and the Master Policy forming part thereof (‘the Agreement’) between the Applicant and the First Respondent has been cancelled and accordingly is of no further force and effect from 1 September 2021.</w:t>
      </w:r>
    </w:p>
    <w:p w14:paraId="2565995B" w14:textId="77777777" w:rsidR="00434D57" w:rsidRPr="00B04CA8" w:rsidRDefault="00434D57" w:rsidP="00434D57">
      <w:pPr>
        <w:pStyle w:val="ListParagraph"/>
        <w:autoSpaceDE w:val="0"/>
        <w:autoSpaceDN w:val="0"/>
        <w:adjustRightInd w:val="0"/>
        <w:ind w:left="142"/>
        <w:jc w:val="both"/>
        <w:rPr>
          <w:sz w:val="22"/>
          <w:szCs w:val="22"/>
          <w:lang w:val="en-GB"/>
        </w:rPr>
      </w:pPr>
    </w:p>
    <w:p w14:paraId="45B90C21" w14:textId="77777777" w:rsidR="00434D57" w:rsidRPr="00B04CA8" w:rsidRDefault="00434D57" w:rsidP="00434D57">
      <w:pPr>
        <w:pStyle w:val="ListParagraph"/>
        <w:autoSpaceDE w:val="0"/>
        <w:autoSpaceDN w:val="0"/>
        <w:adjustRightInd w:val="0"/>
        <w:ind w:left="142"/>
        <w:jc w:val="both"/>
        <w:rPr>
          <w:sz w:val="22"/>
          <w:szCs w:val="22"/>
          <w:lang w:val="en-GB"/>
        </w:rPr>
      </w:pPr>
      <w:r w:rsidRPr="00B04CA8">
        <w:rPr>
          <w:sz w:val="22"/>
          <w:szCs w:val="22"/>
          <w:lang w:val="en-GB"/>
        </w:rPr>
        <w:t xml:space="preserve">2. That the Group Scheme established and underwritten by the First Respondent by virtue of the provisions of the Agreement (‘the Group Scheme’) has been terminated accordingly </w:t>
      </w:r>
      <w:r w:rsidRPr="00B04CA8">
        <w:rPr>
          <w:sz w:val="22"/>
          <w:szCs w:val="22"/>
          <w:lang w:val="en-GB"/>
        </w:rPr>
        <w:lastRenderedPageBreak/>
        <w:t>with effect from 1 September 2021 and is of no further force and effect (save to the extent that the First Respondent retains any risk beyond the termination date by virtue of the provisions of the Group Scheme).</w:t>
      </w:r>
    </w:p>
    <w:p w14:paraId="6713202F" w14:textId="77777777" w:rsidR="00434D57" w:rsidRPr="00B04CA8" w:rsidRDefault="00434D57" w:rsidP="00434D57">
      <w:pPr>
        <w:pStyle w:val="ListParagraph"/>
        <w:autoSpaceDE w:val="0"/>
        <w:autoSpaceDN w:val="0"/>
        <w:adjustRightInd w:val="0"/>
        <w:ind w:left="142"/>
        <w:jc w:val="both"/>
        <w:rPr>
          <w:sz w:val="22"/>
          <w:szCs w:val="22"/>
          <w:lang w:val="en-GB"/>
        </w:rPr>
      </w:pPr>
    </w:p>
    <w:p w14:paraId="63C68EE0" w14:textId="1F1F7C9A" w:rsidR="00434D57" w:rsidRPr="00B04CA8" w:rsidRDefault="00434D57" w:rsidP="00434D57">
      <w:pPr>
        <w:pStyle w:val="ListParagraph"/>
        <w:autoSpaceDE w:val="0"/>
        <w:autoSpaceDN w:val="0"/>
        <w:adjustRightInd w:val="0"/>
        <w:ind w:left="142"/>
        <w:jc w:val="both"/>
        <w:rPr>
          <w:sz w:val="22"/>
          <w:szCs w:val="22"/>
          <w:lang w:val="en-GB"/>
        </w:rPr>
      </w:pPr>
      <w:r w:rsidRPr="00B04CA8">
        <w:rPr>
          <w:sz w:val="22"/>
          <w:szCs w:val="22"/>
          <w:lang w:val="en-GB"/>
        </w:rPr>
        <w:t xml:space="preserve">3. That Q Link is authorised within 24 hours of the service upon it of this order to alter the deduction codes on its electronic administrative system which currently provide for payment by the South African Social Security Agency (‘SASSA’) to the First Respondent of premiums payable by insured persons in terms of policies forming part of the Group Scheme, to instead provide for payment of premiums payable by insured persons in terms of policies transferred to and now forming part of the </w:t>
      </w:r>
      <w:r w:rsidR="007503E1" w:rsidRPr="00B04CA8">
        <w:rPr>
          <w:sz w:val="22"/>
          <w:szCs w:val="22"/>
          <w:lang w:val="en-GB"/>
        </w:rPr>
        <w:t>g</w:t>
      </w:r>
      <w:r w:rsidRPr="00B04CA8">
        <w:rPr>
          <w:sz w:val="22"/>
          <w:szCs w:val="22"/>
          <w:lang w:val="en-GB"/>
        </w:rPr>
        <w:t xml:space="preserve">roup </w:t>
      </w:r>
      <w:r w:rsidR="007503E1" w:rsidRPr="00B04CA8">
        <w:rPr>
          <w:sz w:val="22"/>
          <w:szCs w:val="22"/>
          <w:lang w:val="en-GB"/>
        </w:rPr>
        <w:t>s</w:t>
      </w:r>
      <w:r w:rsidRPr="00B04CA8">
        <w:rPr>
          <w:sz w:val="22"/>
          <w:szCs w:val="22"/>
          <w:lang w:val="en-GB"/>
        </w:rPr>
        <w:t>cheme concluded with the Third Respondent (‘AUL’) to AUL.</w:t>
      </w:r>
    </w:p>
    <w:p w14:paraId="5364257A" w14:textId="77777777" w:rsidR="00434D57" w:rsidRPr="00B04CA8" w:rsidRDefault="00434D57" w:rsidP="00434D57">
      <w:pPr>
        <w:pStyle w:val="ListParagraph"/>
        <w:autoSpaceDE w:val="0"/>
        <w:autoSpaceDN w:val="0"/>
        <w:adjustRightInd w:val="0"/>
        <w:ind w:left="142"/>
        <w:jc w:val="both"/>
        <w:rPr>
          <w:sz w:val="22"/>
          <w:szCs w:val="22"/>
          <w:lang w:val="en-GB"/>
        </w:rPr>
      </w:pPr>
    </w:p>
    <w:p w14:paraId="43FEAE0F" w14:textId="1C684F24" w:rsidR="00434D57" w:rsidRPr="00B04CA8" w:rsidRDefault="00434D57" w:rsidP="00434D57">
      <w:pPr>
        <w:pStyle w:val="ListParagraph"/>
        <w:autoSpaceDE w:val="0"/>
        <w:autoSpaceDN w:val="0"/>
        <w:adjustRightInd w:val="0"/>
        <w:ind w:left="142"/>
        <w:jc w:val="both"/>
        <w:rPr>
          <w:sz w:val="22"/>
          <w:szCs w:val="22"/>
          <w:lang w:val="en-GB"/>
        </w:rPr>
      </w:pPr>
      <w:r w:rsidRPr="00B04CA8">
        <w:rPr>
          <w:sz w:val="22"/>
          <w:szCs w:val="22"/>
          <w:lang w:val="en-GB"/>
        </w:rPr>
        <w:t>4. That the First Respondent within 24 hours of the service upon it of this order to pay directly to AUL, by means of electronic funds transfer to its bank account the full aggregate amount of all premiums received by the First Respondent from SASSA (as directed by Q Link in terms of its payment and deduction system) from members of the Group Scheme as established pursuant to the Agreement with effect from 1 September 2021.’</w:t>
      </w:r>
    </w:p>
    <w:p w14:paraId="68B0DBD0" w14:textId="77777777" w:rsidR="00434D57" w:rsidRPr="00B04CA8" w:rsidRDefault="00434D57" w:rsidP="00434D57">
      <w:pPr>
        <w:autoSpaceDE w:val="0"/>
        <w:autoSpaceDN w:val="0"/>
        <w:adjustRightInd w:val="0"/>
        <w:jc w:val="both"/>
        <w:rPr>
          <w:sz w:val="22"/>
          <w:szCs w:val="22"/>
          <w:lang w:val="en-GB"/>
        </w:rPr>
      </w:pPr>
    </w:p>
    <w:p w14:paraId="30BAE320" w14:textId="703F80AE" w:rsidR="00434D57" w:rsidRPr="00434D57" w:rsidRDefault="00434D57" w:rsidP="00434D57">
      <w:pPr>
        <w:pStyle w:val="ListParagraph"/>
        <w:numPr>
          <w:ilvl w:val="0"/>
          <w:numId w:val="10"/>
        </w:numPr>
        <w:autoSpaceDE w:val="0"/>
        <w:autoSpaceDN w:val="0"/>
        <w:adjustRightInd w:val="0"/>
        <w:ind w:left="142" w:hanging="142"/>
        <w:jc w:val="both"/>
        <w:rPr>
          <w:lang w:val="en-GB"/>
        </w:rPr>
      </w:pPr>
      <w:r>
        <w:rPr>
          <w:lang w:val="en-GB"/>
        </w:rPr>
        <w:t>Multisure launched an urgent application in terms of s 18 of the Superior Courts Act, 2013.</w:t>
      </w:r>
      <w:r w:rsidR="004C545C">
        <w:rPr>
          <w:rStyle w:val="FootnoteReference"/>
          <w:lang w:val="en-GB"/>
        </w:rPr>
        <w:footnoteReference w:id="5"/>
      </w:r>
      <w:r>
        <w:rPr>
          <w:lang w:val="en-GB"/>
        </w:rPr>
        <w:t xml:space="preserve"> It seeks to bring the order into operation pending the SCA’s determination of an appeal by KGA.</w:t>
      </w:r>
      <w:r w:rsidR="00307DEE">
        <w:rPr>
          <w:lang w:val="en-GB"/>
        </w:rPr>
        <w:t xml:space="preserve"> According to KGA, there are two insurmountable obstacles to the application. Firstly, the implementation of the order pending the appeal would be unlawful since it would effectively resurrect a ‘group’ that ceased to exist upon commencement of the Insurance Act, 2017</w:t>
      </w:r>
      <w:r w:rsidR="007643AD">
        <w:rPr>
          <w:lang w:val="en-GB"/>
        </w:rPr>
        <w:t>,</w:t>
      </w:r>
      <w:r w:rsidR="00EC32E0">
        <w:rPr>
          <w:rStyle w:val="FootnoteReference"/>
          <w:lang w:val="en-GB"/>
        </w:rPr>
        <w:footnoteReference w:id="6"/>
      </w:r>
      <w:r w:rsidR="0023310C">
        <w:rPr>
          <w:lang w:val="en-GB"/>
        </w:rPr>
        <w:t xml:space="preserve"> (‘the Act’)</w:t>
      </w:r>
      <w:r w:rsidR="007643AD">
        <w:rPr>
          <w:lang w:val="en-GB"/>
        </w:rPr>
        <w:t xml:space="preserve"> and </w:t>
      </w:r>
      <w:r w:rsidR="00AC5FCC">
        <w:rPr>
          <w:lang w:val="en-GB"/>
        </w:rPr>
        <w:t xml:space="preserve">unlawfully </w:t>
      </w:r>
      <w:r w:rsidR="007643AD">
        <w:rPr>
          <w:lang w:val="en-GB"/>
        </w:rPr>
        <w:t>create a new ‘group’, supposedly underwritten by AUL.</w:t>
      </w:r>
      <w:r w:rsidR="00E82687">
        <w:rPr>
          <w:lang w:val="en-GB"/>
        </w:rPr>
        <w:t xml:space="preserve"> Secondly, the </w:t>
      </w:r>
      <w:r w:rsidR="001B7714">
        <w:rPr>
          <w:lang w:val="en-GB"/>
        </w:rPr>
        <w:t>individual policyholders, despite being prejudiced by th</w:t>
      </w:r>
      <w:r w:rsidR="006E1450">
        <w:rPr>
          <w:lang w:val="en-GB"/>
        </w:rPr>
        <w:t>e implementation of the order, have not been joined.</w:t>
      </w:r>
      <w:r w:rsidR="00771F29">
        <w:rPr>
          <w:lang w:val="en-GB"/>
        </w:rPr>
        <w:t xml:space="preserve"> In addition, KGA disputes that Multisure has succeeded in meeting the requirements for the relief it seeks.</w:t>
      </w:r>
      <w:r w:rsidR="00482A85">
        <w:rPr>
          <w:lang w:val="en-GB"/>
        </w:rPr>
        <w:t xml:space="preserve"> It is convenient </w:t>
      </w:r>
      <w:r w:rsidR="005F4EBF">
        <w:rPr>
          <w:lang w:val="en-GB"/>
        </w:rPr>
        <w:t xml:space="preserve">to describe the arrangement between Multisure and KGA and the </w:t>
      </w:r>
      <w:r w:rsidR="006A1F57">
        <w:rPr>
          <w:lang w:val="en-GB"/>
        </w:rPr>
        <w:t>changes brought about by the Act before turning to these arguments.</w:t>
      </w:r>
      <w:r w:rsidR="005F4EBF">
        <w:rPr>
          <w:lang w:val="en-GB"/>
        </w:rPr>
        <w:t xml:space="preserve"> </w:t>
      </w:r>
    </w:p>
    <w:p w14:paraId="2F1D1E9C" w14:textId="1B16F6FD" w:rsidR="00316084" w:rsidRDefault="00316084" w:rsidP="00316084">
      <w:pPr>
        <w:autoSpaceDE w:val="0"/>
        <w:autoSpaceDN w:val="0"/>
        <w:adjustRightInd w:val="0"/>
        <w:jc w:val="both"/>
        <w:rPr>
          <w:lang w:val="en-GB"/>
        </w:rPr>
      </w:pPr>
    </w:p>
    <w:p w14:paraId="5B0E0B32" w14:textId="44D05B59" w:rsidR="0065127B" w:rsidRDefault="0065127B" w:rsidP="00316084">
      <w:pPr>
        <w:autoSpaceDE w:val="0"/>
        <w:autoSpaceDN w:val="0"/>
        <w:adjustRightInd w:val="0"/>
        <w:jc w:val="both"/>
        <w:rPr>
          <w:lang w:val="en-GB"/>
        </w:rPr>
      </w:pPr>
    </w:p>
    <w:p w14:paraId="084D4B8A" w14:textId="77777777" w:rsidR="0065127B" w:rsidRDefault="0065127B" w:rsidP="00316084">
      <w:pPr>
        <w:autoSpaceDE w:val="0"/>
        <w:autoSpaceDN w:val="0"/>
        <w:adjustRightInd w:val="0"/>
        <w:jc w:val="both"/>
        <w:rPr>
          <w:lang w:val="en-GB"/>
        </w:rPr>
      </w:pPr>
    </w:p>
    <w:p w14:paraId="67CC7B88" w14:textId="7FECF174" w:rsidR="00316084" w:rsidRPr="00316084" w:rsidRDefault="00316084" w:rsidP="00316084">
      <w:pPr>
        <w:autoSpaceDE w:val="0"/>
        <w:autoSpaceDN w:val="0"/>
        <w:adjustRightInd w:val="0"/>
        <w:jc w:val="both"/>
        <w:rPr>
          <w:b/>
          <w:bCs/>
          <w:lang w:val="en-GB"/>
        </w:rPr>
      </w:pPr>
      <w:r>
        <w:rPr>
          <w:b/>
          <w:bCs/>
          <w:lang w:val="en-GB"/>
        </w:rPr>
        <w:lastRenderedPageBreak/>
        <w:t xml:space="preserve">The </w:t>
      </w:r>
      <w:r w:rsidR="00360869">
        <w:rPr>
          <w:b/>
          <w:bCs/>
          <w:lang w:val="en-GB"/>
        </w:rPr>
        <w:t>intermediary</w:t>
      </w:r>
      <w:r>
        <w:rPr>
          <w:b/>
          <w:bCs/>
          <w:lang w:val="en-GB"/>
        </w:rPr>
        <w:t xml:space="preserve"> arrangement</w:t>
      </w:r>
    </w:p>
    <w:p w14:paraId="3225DD1D" w14:textId="6F3974AE" w:rsidR="008C480D" w:rsidRPr="00D30CEE" w:rsidRDefault="008C480D" w:rsidP="00D30CEE">
      <w:pPr>
        <w:autoSpaceDE w:val="0"/>
        <w:autoSpaceDN w:val="0"/>
        <w:adjustRightInd w:val="0"/>
        <w:jc w:val="both"/>
        <w:rPr>
          <w:lang w:val="en-GB"/>
        </w:rPr>
      </w:pPr>
    </w:p>
    <w:p w14:paraId="38E7DD69" w14:textId="0B077938" w:rsidR="008C480D" w:rsidRDefault="00963C6A" w:rsidP="00AF6DF0">
      <w:pPr>
        <w:pStyle w:val="ListParagraph"/>
        <w:numPr>
          <w:ilvl w:val="0"/>
          <w:numId w:val="10"/>
        </w:numPr>
        <w:autoSpaceDE w:val="0"/>
        <w:autoSpaceDN w:val="0"/>
        <w:adjustRightInd w:val="0"/>
        <w:ind w:left="142" w:hanging="142"/>
        <w:jc w:val="both"/>
        <w:rPr>
          <w:lang w:val="en-GB"/>
        </w:rPr>
      </w:pPr>
      <w:r>
        <w:rPr>
          <w:lang w:val="en-GB"/>
        </w:rPr>
        <w:t xml:space="preserve">The </w:t>
      </w:r>
      <w:r w:rsidR="00CF7B47">
        <w:rPr>
          <w:lang w:val="en-GB"/>
        </w:rPr>
        <w:t xml:space="preserve">intermediary </w:t>
      </w:r>
      <w:r>
        <w:rPr>
          <w:lang w:val="en-GB"/>
        </w:rPr>
        <w:t>agreement explains the contract between Multisure and KGA in the following terms:</w:t>
      </w:r>
    </w:p>
    <w:p w14:paraId="043E386F" w14:textId="31BC16FF" w:rsidR="00963C6A" w:rsidRDefault="00963C6A" w:rsidP="00963C6A">
      <w:pPr>
        <w:pStyle w:val="ListParagraph"/>
        <w:autoSpaceDE w:val="0"/>
        <w:autoSpaceDN w:val="0"/>
        <w:adjustRightInd w:val="0"/>
        <w:ind w:left="142"/>
        <w:jc w:val="both"/>
        <w:rPr>
          <w:sz w:val="22"/>
          <w:szCs w:val="22"/>
          <w:lang w:val="en-GB"/>
        </w:rPr>
      </w:pPr>
      <w:r>
        <w:rPr>
          <w:sz w:val="22"/>
          <w:szCs w:val="22"/>
          <w:lang w:val="en-GB"/>
        </w:rPr>
        <w:t>‘</w:t>
      </w:r>
      <w:r w:rsidR="00E769E5">
        <w:rPr>
          <w:sz w:val="22"/>
          <w:szCs w:val="22"/>
          <w:lang w:val="en-GB"/>
        </w:rPr>
        <w:t xml:space="preserve">4. </w:t>
      </w:r>
      <w:r>
        <w:rPr>
          <w:sz w:val="22"/>
          <w:szCs w:val="22"/>
          <w:lang w:val="en-GB"/>
        </w:rPr>
        <w:t>The contract</w:t>
      </w:r>
    </w:p>
    <w:p w14:paraId="65CC8948" w14:textId="4DEE8148" w:rsidR="00963C6A" w:rsidRPr="008A45F6" w:rsidRDefault="00963C6A" w:rsidP="0072106C">
      <w:pPr>
        <w:pStyle w:val="ListParagraph"/>
        <w:autoSpaceDE w:val="0"/>
        <w:autoSpaceDN w:val="0"/>
        <w:adjustRightInd w:val="0"/>
        <w:ind w:hanging="578"/>
        <w:jc w:val="both"/>
        <w:rPr>
          <w:sz w:val="22"/>
          <w:szCs w:val="22"/>
          <w:lang w:val="en-GB"/>
        </w:rPr>
      </w:pPr>
      <w:r>
        <w:rPr>
          <w:sz w:val="22"/>
          <w:szCs w:val="22"/>
          <w:lang w:val="en-GB"/>
        </w:rPr>
        <w:t xml:space="preserve">4.1 </w:t>
      </w:r>
      <w:r w:rsidR="0072106C">
        <w:rPr>
          <w:sz w:val="22"/>
          <w:szCs w:val="22"/>
          <w:lang w:val="en-GB"/>
        </w:rPr>
        <w:tab/>
      </w:r>
      <w:r w:rsidRPr="008A45F6">
        <w:rPr>
          <w:sz w:val="22"/>
          <w:szCs w:val="22"/>
          <w:lang w:val="en-GB"/>
        </w:rPr>
        <w:t xml:space="preserve">The Intermediary </w:t>
      </w:r>
      <w:r w:rsidR="00895AF9" w:rsidRPr="008A45F6">
        <w:rPr>
          <w:sz w:val="22"/>
          <w:szCs w:val="22"/>
          <w:lang w:val="en-GB"/>
        </w:rPr>
        <w:t xml:space="preserve">[Multisure] </w:t>
      </w:r>
      <w:r w:rsidRPr="008A45F6">
        <w:rPr>
          <w:sz w:val="22"/>
          <w:szCs w:val="22"/>
          <w:lang w:val="en-GB"/>
        </w:rPr>
        <w:t>has approached KGA to underwrite a funeral group scheme in terms whereof funeral and associated benefits are offered to assured lives.</w:t>
      </w:r>
    </w:p>
    <w:p w14:paraId="451EC124" w14:textId="51E274C8" w:rsidR="00963C6A" w:rsidRPr="008A45F6" w:rsidRDefault="00963C6A" w:rsidP="0072106C">
      <w:pPr>
        <w:pStyle w:val="ListParagraph"/>
        <w:autoSpaceDE w:val="0"/>
        <w:autoSpaceDN w:val="0"/>
        <w:adjustRightInd w:val="0"/>
        <w:ind w:hanging="578"/>
        <w:jc w:val="both"/>
        <w:rPr>
          <w:sz w:val="22"/>
          <w:szCs w:val="22"/>
          <w:lang w:val="en-GB"/>
        </w:rPr>
      </w:pPr>
      <w:r w:rsidRPr="008A45F6">
        <w:rPr>
          <w:sz w:val="22"/>
          <w:szCs w:val="22"/>
          <w:lang w:val="en-GB"/>
        </w:rPr>
        <w:t xml:space="preserve">4.2 </w:t>
      </w:r>
      <w:r w:rsidR="0072106C" w:rsidRPr="008A45F6">
        <w:rPr>
          <w:sz w:val="22"/>
          <w:szCs w:val="22"/>
          <w:lang w:val="en-GB"/>
        </w:rPr>
        <w:tab/>
      </w:r>
      <w:r w:rsidRPr="008A45F6">
        <w:rPr>
          <w:sz w:val="22"/>
          <w:szCs w:val="22"/>
          <w:lang w:val="en-GB"/>
        </w:rPr>
        <w:t>KGA is willing to underwrite the group scheme subject to the terms and conditions of the Master Policy and as set forth in this agreement.</w:t>
      </w:r>
    </w:p>
    <w:p w14:paraId="2970C172" w14:textId="77A6FD63" w:rsidR="00963C6A" w:rsidRPr="008A45F6" w:rsidRDefault="00963C6A" w:rsidP="0072106C">
      <w:pPr>
        <w:pStyle w:val="ListParagraph"/>
        <w:autoSpaceDE w:val="0"/>
        <w:autoSpaceDN w:val="0"/>
        <w:adjustRightInd w:val="0"/>
        <w:ind w:hanging="578"/>
        <w:jc w:val="both"/>
        <w:rPr>
          <w:sz w:val="22"/>
          <w:szCs w:val="22"/>
          <w:lang w:val="en-GB"/>
        </w:rPr>
      </w:pPr>
      <w:r w:rsidRPr="008A45F6">
        <w:rPr>
          <w:sz w:val="22"/>
          <w:szCs w:val="22"/>
          <w:lang w:val="en-GB"/>
        </w:rPr>
        <w:t xml:space="preserve">4.3 </w:t>
      </w:r>
      <w:r w:rsidR="0072106C" w:rsidRPr="008A45F6">
        <w:rPr>
          <w:sz w:val="22"/>
          <w:szCs w:val="22"/>
          <w:lang w:val="en-GB"/>
        </w:rPr>
        <w:tab/>
      </w:r>
      <w:r w:rsidRPr="008A45F6">
        <w:rPr>
          <w:sz w:val="22"/>
          <w:szCs w:val="22"/>
          <w:lang w:val="en-GB"/>
        </w:rPr>
        <w:t>The monthly premium payable shall be calculated in terms of the quotation, annexure B hereto.</w:t>
      </w:r>
    </w:p>
    <w:p w14:paraId="41AD818E" w14:textId="044787B9" w:rsidR="00963C6A" w:rsidRPr="008A45F6" w:rsidRDefault="00963C6A" w:rsidP="0072106C">
      <w:pPr>
        <w:pStyle w:val="ListParagraph"/>
        <w:autoSpaceDE w:val="0"/>
        <w:autoSpaceDN w:val="0"/>
        <w:adjustRightInd w:val="0"/>
        <w:ind w:hanging="578"/>
        <w:jc w:val="both"/>
        <w:rPr>
          <w:sz w:val="22"/>
          <w:szCs w:val="22"/>
          <w:lang w:val="en-GB"/>
        </w:rPr>
      </w:pPr>
      <w:r w:rsidRPr="008A45F6">
        <w:rPr>
          <w:sz w:val="22"/>
          <w:szCs w:val="22"/>
          <w:lang w:val="en-GB"/>
        </w:rPr>
        <w:t xml:space="preserve">4.4 </w:t>
      </w:r>
      <w:r w:rsidR="0072106C" w:rsidRPr="008A45F6">
        <w:rPr>
          <w:sz w:val="22"/>
          <w:szCs w:val="22"/>
          <w:lang w:val="en-GB"/>
        </w:rPr>
        <w:tab/>
      </w:r>
      <w:r w:rsidRPr="008A45F6">
        <w:rPr>
          <w:sz w:val="22"/>
          <w:szCs w:val="22"/>
          <w:lang w:val="en-GB"/>
        </w:rPr>
        <w:t xml:space="preserve">The Intermediary undertakes to collect and receive risk premiums from the members of the group scheme </w:t>
      </w:r>
      <w:r w:rsidR="004C0766" w:rsidRPr="008A45F6">
        <w:rPr>
          <w:sz w:val="22"/>
          <w:szCs w:val="22"/>
          <w:lang w:val="en-GB"/>
        </w:rPr>
        <w:t xml:space="preserve">[the policyholders] </w:t>
      </w:r>
      <w:r w:rsidRPr="008A45F6">
        <w:rPr>
          <w:sz w:val="22"/>
          <w:szCs w:val="22"/>
          <w:lang w:val="en-GB"/>
        </w:rPr>
        <w:t>on behalf of KGA, subject to the terms and conditions set forth in this agreement and the Master Policy …</w:t>
      </w:r>
      <w:r w:rsidR="00895AF9" w:rsidRPr="008A45F6">
        <w:rPr>
          <w:sz w:val="22"/>
          <w:szCs w:val="22"/>
          <w:lang w:val="en-GB"/>
        </w:rPr>
        <w:t>’</w:t>
      </w:r>
    </w:p>
    <w:p w14:paraId="626EB660" w14:textId="672178A7" w:rsidR="00963C6A" w:rsidRPr="008A45F6" w:rsidRDefault="00963C6A" w:rsidP="00963C6A">
      <w:pPr>
        <w:pStyle w:val="ListParagraph"/>
        <w:autoSpaceDE w:val="0"/>
        <w:autoSpaceDN w:val="0"/>
        <w:adjustRightInd w:val="0"/>
        <w:ind w:left="142"/>
        <w:jc w:val="both"/>
        <w:rPr>
          <w:sz w:val="22"/>
          <w:szCs w:val="22"/>
          <w:lang w:val="en-GB"/>
        </w:rPr>
      </w:pPr>
    </w:p>
    <w:p w14:paraId="4C7AE8CE" w14:textId="46EAEE0E" w:rsidR="00327E9C" w:rsidRPr="008A45F6" w:rsidRDefault="006500F5" w:rsidP="00327E9C">
      <w:pPr>
        <w:pStyle w:val="ListParagraph"/>
        <w:numPr>
          <w:ilvl w:val="0"/>
          <w:numId w:val="10"/>
        </w:numPr>
        <w:autoSpaceDE w:val="0"/>
        <w:autoSpaceDN w:val="0"/>
        <w:adjustRightInd w:val="0"/>
        <w:ind w:left="142" w:hanging="142"/>
        <w:jc w:val="both"/>
        <w:rPr>
          <w:lang w:val="en-GB"/>
        </w:rPr>
      </w:pPr>
      <w:r w:rsidRPr="008A45F6">
        <w:rPr>
          <w:lang w:val="en-GB"/>
        </w:rPr>
        <w:t xml:space="preserve">‘Group scheme’ is defined </w:t>
      </w:r>
      <w:r w:rsidR="00E501D5">
        <w:rPr>
          <w:lang w:val="en-GB"/>
        </w:rPr>
        <w:t xml:space="preserve">in the </w:t>
      </w:r>
      <w:r w:rsidR="00CF7B47">
        <w:rPr>
          <w:lang w:val="en-GB"/>
        </w:rPr>
        <w:t xml:space="preserve">intermediary </w:t>
      </w:r>
      <w:r w:rsidR="00E501D5">
        <w:rPr>
          <w:lang w:val="en-GB"/>
        </w:rPr>
        <w:t xml:space="preserve">agreement </w:t>
      </w:r>
      <w:r w:rsidRPr="008A45F6">
        <w:rPr>
          <w:lang w:val="en-GB"/>
        </w:rPr>
        <w:t>to mean ‘an assistance business group scheme in terms whereof policy benefits under an assistance policy are provided to the member, his dependants and/or extended family. ‘</w:t>
      </w:r>
      <w:r w:rsidR="005739C7">
        <w:rPr>
          <w:lang w:val="en-GB"/>
        </w:rPr>
        <w:t>P</w:t>
      </w:r>
      <w:r w:rsidRPr="008A45F6">
        <w:rPr>
          <w:lang w:val="en-GB"/>
        </w:rPr>
        <w:t>olicyholde</w:t>
      </w:r>
      <w:r w:rsidR="00AB4FB6" w:rsidRPr="008A45F6">
        <w:rPr>
          <w:lang w:val="en-GB"/>
        </w:rPr>
        <w:t>r</w:t>
      </w:r>
      <w:r w:rsidRPr="008A45F6">
        <w:rPr>
          <w:lang w:val="en-GB"/>
        </w:rPr>
        <w:t>’ is defined as the ‘approved and active individual member of the group scheme’.</w:t>
      </w:r>
    </w:p>
    <w:p w14:paraId="5A34B21A" w14:textId="77777777" w:rsidR="00327E9C" w:rsidRPr="008A45F6" w:rsidRDefault="00327E9C" w:rsidP="00327E9C">
      <w:pPr>
        <w:pStyle w:val="ListParagraph"/>
        <w:autoSpaceDE w:val="0"/>
        <w:autoSpaceDN w:val="0"/>
        <w:adjustRightInd w:val="0"/>
        <w:ind w:left="142"/>
        <w:jc w:val="both"/>
        <w:rPr>
          <w:lang w:val="en-GB"/>
        </w:rPr>
      </w:pPr>
    </w:p>
    <w:p w14:paraId="761A7368" w14:textId="7BF7823B" w:rsidR="005C7466" w:rsidRPr="004E1754" w:rsidRDefault="00823924" w:rsidP="004E1754">
      <w:pPr>
        <w:pStyle w:val="ListParagraph"/>
        <w:numPr>
          <w:ilvl w:val="0"/>
          <w:numId w:val="10"/>
        </w:numPr>
        <w:autoSpaceDE w:val="0"/>
        <w:autoSpaceDN w:val="0"/>
        <w:adjustRightInd w:val="0"/>
        <w:ind w:left="142" w:hanging="142"/>
        <w:jc w:val="both"/>
        <w:rPr>
          <w:lang w:val="en-GB"/>
        </w:rPr>
      </w:pPr>
      <w:r w:rsidRPr="008A45F6">
        <w:rPr>
          <w:lang w:val="en-GB"/>
        </w:rPr>
        <w:t xml:space="preserve">Multisure’s obligations in terms of the </w:t>
      </w:r>
      <w:r w:rsidR="00CF7B47">
        <w:rPr>
          <w:lang w:val="en-GB"/>
        </w:rPr>
        <w:t xml:space="preserve">intermediary </w:t>
      </w:r>
      <w:r w:rsidRPr="008A45F6">
        <w:rPr>
          <w:lang w:val="en-GB"/>
        </w:rPr>
        <w:t xml:space="preserve">agreement include </w:t>
      </w:r>
      <w:r w:rsidR="00893EA7" w:rsidRPr="008A45F6">
        <w:rPr>
          <w:lang w:val="en-GB"/>
        </w:rPr>
        <w:t>maintain</w:t>
      </w:r>
      <w:r w:rsidR="000B1727" w:rsidRPr="008A45F6">
        <w:rPr>
          <w:lang w:val="en-GB"/>
        </w:rPr>
        <w:t>ing</w:t>
      </w:r>
      <w:r w:rsidR="00893EA7" w:rsidRPr="008A45F6">
        <w:rPr>
          <w:lang w:val="en-GB"/>
        </w:rPr>
        <w:t xml:space="preserve"> proper records of policyholders and the assured lives and their dependents in respect of the group scheme, </w:t>
      </w:r>
      <w:r w:rsidR="00327E9C" w:rsidRPr="008A45F6">
        <w:rPr>
          <w:lang w:val="en-GB"/>
        </w:rPr>
        <w:t>c</w:t>
      </w:r>
      <w:r w:rsidR="001C357E" w:rsidRPr="008A45F6">
        <w:rPr>
          <w:lang w:val="en-GB"/>
        </w:rPr>
        <w:t xml:space="preserve">ollecting premiums on behalf of the policyholders and paying the whole amount of such premiums over to </w:t>
      </w:r>
      <w:r w:rsidR="000575E1" w:rsidRPr="008A45F6">
        <w:rPr>
          <w:lang w:val="en-GB"/>
        </w:rPr>
        <w:t>KGA</w:t>
      </w:r>
      <w:r w:rsidR="001C357E" w:rsidRPr="008A45F6">
        <w:rPr>
          <w:lang w:val="en-GB"/>
        </w:rPr>
        <w:t xml:space="preserve"> on a monthly basis.</w:t>
      </w:r>
      <w:r w:rsidR="00EE19BC" w:rsidRPr="008A45F6">
        <w:rPr>
          <w:rStyle w:val="FootnoteReference"/>
          <w:lang w:val="en-GB"/>
        </w:rPr>
        <w:footnoteReference w:id="7"/>
      </w:r>
      <w:r w:rsidR="00EE19BC" w:rsidRPr="008A45F6">
        <w:rPr>
          <w:lang w:val="en-GB"/>
        </w:rPr>
        <w:t xml:space="preserve"> </w:t>
      </w:r>
      <w:r w:rsidR="00770AAE" w:rsidRPr="008A45F6">
        <w:rPr>
          <w:lang w:val="en-GB"/>
        </w:rPr>
        <w:t xml:space="preserve">Multisure </w:t>
      </w:r>
      <w:r w:rsidR="009F48C7" w:rsidRPr="008A45F6">
        <w:rPr>
          <w:lang w:val="en-GB"/>
        </w:rPr>
        <w:t>could</w:t>
      </w:r>
      <w:r w:rsidR="00770AAE" w:rsidRPr="008A45F6">
        <w:rPr>
          <w:lang w:val="en-GB"/>
        </w:rPr>
        <w:t xml:space="preserve"> not amend the Master Policy or the membership details after giving notice of cancella</w:t>
      </w:r>
      <w:r w:rsidR="00470D8A" w:rsidRPr="008A45F6">
        <w:rPr>
          <w:lang w:val="en-GB"/>
        </w:rPr>
        <w:t>t</w:t>
      </w:r>
      <w:r w:rsidR="00770AAE" w:rsidRPr="008A45F6">
        <w:rPr>
          <w:lang w:val="en-GB"/>
        </w:rPr>
        <w:t>ion.</w:t>
      </w:r>
      <w:r w:rsidR="00770AAE" w:rsidRPr="008A45F6">
        <w:rPr>
          <w:rStyle w:val="FootnoteReference"/>
          <w:lang w:val="en-GB"/>
        </w:rPr>
        <w:footnoteReference w:id="8"/>
      </w:r>
      <w:r w:rsidR="00470D8A" w:rsidRPr="008A45F6">
        <w:rPr>
          <w:lang w:val="en-GB"/>
        </w:rPr>
        <w:t xml:space="preserve"> Once a group scheme commenced, KGA </w:t>
      </w:r>
      <w:r w:rsidR="001A36AB" w:rsidRPr="008A45F6">
        <w:rPr>
          <w:lang w:val="en-GB"/>
        </w:rPr>
        <w:t>required</w:t>
      </w:r>
      <w:r w:rsidR="00470D8A" w:rsidRPr="008A45F6">
        <w:rPr>
          <w:lang w:val="en-GB"/>
        </w:rPr>
        <w:t xml:space="preserve"> </w:t>
      </w:r>
      <w:r w:rsidR="001A36AB" w:rsidRPr="008A45F6">
        <w:rPr>
          <w:lang w:val="en-GB"/>
        </w:rPr>
        <w:t xml:space="preserve">notification </w:t>
      </w:r>
      <w:r w:rsidR="00470D8A" w:rsidRPr="008A45F6">
        <w:rPr>
          <w:lang w:val="en-GB"/>
        </w:rPr>
        <w:t>of any change</w:t>
      </w:r>
      <w:r w:rsidR="0014568C" w:rsidRPr="008A45F6">
        <w:rPr>
          <w:lang w:val="en-GB"/>
        </w:rPr>
        <w:t>s</w:t>
      </w:r>
      <w:r w:rsidR="00470D8A" w:rsidRPr="008A45F6">
        <w:rPr>
          <w:lang w:val="en-GB"/>
        </w:rPr>
        <w:t xml:space="preserve"> by the 10</w:t>
      </w:r>
      <w:r w:rsidR="00470D8A" w:rsidRPr="008A45F6">
        <w:rPr>
          <w:vertAlign w:val="superscript"/>
          <w:lang w:val="en-GB"/>
        </w:rPr>
        <w:t>th</w:t>
      </w:r>
      <w:r w:rsidR="00470D8A" w:rsidRPr="008A45F6">
        <w:rPr>
          <w:lang w:val="en-GB"/>
        </w:rPr>
        <w:t xml:space="preserve"> day of the month. In the absence of </w:t>
      </w:r>
      <w:r w:rsidR="00413403" w:rsidRPr="008A45F6">
        <w:rPr>
          <w:lang w:val="en-GB"/>
        </w:rPr>
        <w:t>any</w:t>
      </w:r>
      <w:r w:rsidR="00470D8A" w:rsidRPr="008A45F6">
        <w:rPr>
          <w:lang w:val="en-GB"/>
        </w:rPr>
        <w:t xml:space="preserve"> notification, the contract provide</w:t>
      </w:r>
      <w:r w:rsidR="00E67104" w:rsidRPr="008A45F6">
        <w:rPr>
          <w:lang w:val="en-GB"/>
        </w:rPr>
        <w:t>s</w:t>
      </w:r>
      <w:r w:rsidR="00470D8A" w:rsidRPr="008A45F6">
        <w:rPr>
          <w:lang w:val="en-GB"/>
        </w:rPr>
        <w:t xml:space="preserve"> that KGA will accept the previous month’s membership as the lives to be insured for the month without any changes to the relevant premium, which becomes due, owing and payable by Multisure.</w:t>
      </w:r>
      <w:r w:rsidR="0033777C" w:rsidRPr="008A45F6">
        <w:rPr>
          <w:rStyle w:val="FootnoteReference"/>
          <w:lang w:val="en-GB"/>
        </w:rPr>
        <w:footnoteReference w:id="9"/>
      </w:r>
      <w:r w:rsidR="005C7466">
        <w:rPr>
          <w:lang w:val="en-GB"/>
        </w:rPr>
        <w:t xml:space="preserve"> Multisure </w:t>
      </w:r>
      <w:r w:rsidR="005C7466">
        <w:rPr>
          <w:lang w:val="en-GB"/>
        </w:rPr>
        <w:lastRenderedPageBreak/>
        <w:t>was entitled to various fees, as arranged ‘between the intermediary and its clients’ and commission as agreed with KGA</w:t>
      </w:r>
      <w:r w:rsidR="00B24395">
        <w:rPr>
          <w:lang w:val="en-GB"/>
        </w:rPr>
        <w:t>.</w:t>
      </w:r>
      <w:r w:rsidR="00B24395">
        <w:rPr>
          <w:rStyle w:val="FootnoteReference"/>
          <w:lang w:val="en-GB"/>
        </w:rPr>
        <w:footnoteReference w:id="10"/>
      </w:r>
    </w:p>
    <w:p w14:paraId="6FCA563D" w14:textId="77777777" w:rsidR="005C7466" w:rsidRPr="005C7466" w:rsidRDefault="005C7466" w:rsidP="005C7466">
      <w:pPr>
        <w:pStyle w:val="ListParagraph"/>
        <w:rPr>
          <w:lang w:val="en-GB"/>
        </w:rPr>
      </w:pPr>
    </w:p>
    <w:p w14:paraId="37F6E9E4" w14:textId="4D05E476" w:rsidR="00A33C81" w:rsidRPr="008A45F6" w:rsidRDefault="00A33C81" w:rsidP="00AF6DF0">
      <w:pPr>
        <w:pStyle w:val="ListParagraph"/>
        <w:numPr>
          <w:ilvl w:val="0"/>
          <w:numId w:val="10"/>
        </w:numPr>
        <w:autoSpaceDE w:val="0"/>
        <w:autoSpaceDN w:val="0"/>
        <w:adjustRightInd w:val="0"/>
        <w:ind w:left="142" w:hanging="142"/>
        <w:jc w:val="both"/>
        <w:rPr>
          <w:lang w:val="en-GB"/>
        </w:rPr>
      </w:pPr>
      <w:r w:rsidRPr="008A45F6">
        <w:rPr>
          <w:lang w:val="en-GB"/>
        </w:rPr>
        <w:t xml:space="preserve">The termination clause </w:t>
      </w:r>
      <w:r w:rsidR="009D64BC" w:rsidRPr="008A45F6">
        <w:rPr>
          <w:lang w:val="en-GB"/>
        </w:rPr>
        <w:t>provides</w:t>
      </w:r>
      <w:r w:rsidRPr="008A45F6">
        <w:rPr>
          <w:lang w:val="en-GB"/>
        </w:rPr>
        <w:t>:</w:t>
      </w:r>
    </w:p>
    <w:p w14:paraId="7AF60E9D" w14:textId="7AC2FC61" w:rsidR="00A33C81" w:rsidRPr="008A45F6" w:rsidRDefault="00A33C81" w:rsidP="00A33C81">
      <w:pPr>
        <w:ind w:left="142"/>
        <w:jc w:val="both"/>
        <w:rPr>
          <w:sz w:val="22"/>
          <w:szCs w:val="22"/>
          <w:lang w:val="en-GB"/>
        </w:rPr>
      </w:pPr>
      <w:r w:rsidRPr="008A45F6">
        <w:rPr>
          <w:sz w:val="22"/>
          <w:szCs w:val="22"/>
          <w:lang w:val="en-GB"/>
        </w:rPr>
        <w:t>‘9. Either party may terminate this agreement by giving not less than one calendar month’s written notice on or before the first of the month of his intention to cancel this agreement … The intermediary shall remain liable for premium payments during the notice month and acknowledges that no changes may be made to membership lists during the notice month.</w:t>
      </w:r>
    </w:p>
    <w:p w14:paraId="255903E9" w14:textId="62F7C00F" w:rsidR="009673A6" w:rsidRPr="008A45F6" w:rsidRDefault="009673A6" w:rsidP="00A33C81">
      <w:pPr>
        <w:ind w:left="142"/>
        <w:jc w:val="both"/>
        <w:rPr>
          <w:sz w:val="22"/>
          <w:szCs w:val="22"/>
          <w:lang w:val="en-GB"/>
        </w:rPr>
      </w:pPr>
    </w:p>
    <w:p w14:paraId="558FE50D" w14:textId="1392C0EA" w:rsidR="009673A6" w:rsidRPr="008A45F6" w:rsidRDefault="009673A6" w:rsidP="00A33C81">
      <w:pPr>
        <w:ind w:left="142"/>
        <w:jc w:val="both"/>
        <w:rPr>
          <w:sz w:val="22"/>
          <w:szCs w:val="22"/>
          <w:lang w:val="en-GB"/>
        </w:rPr>
      </w:pPr>
      <w:r w:rsidRPr="008A45F6">
        <w:rPr>
          <w:sz w:val="22"/>
          <w:szCs w:val="22"/>
          <w:lang w:val="en-GB"/>
        </w:rPr>
        <w:t>9.1 In the event</w:t>
      </w:r>
      <w:r w:rsidR="00093422" w:rsidRPr="008A45F6">
        <w:rPr>
          <w:sz w:val="22"/>
          <w:szCs w:val="22"/>
          <w:lang w:val="en-GB"/>
        </w:rPr>
        <w:t xml:space="preserve"> of termination:</w:t>
      </w:r>
    </w:p>
    <w:p w14:paraId="7FFF89F3" w14:textId="55FEA16E" w:rsidR="00093422" w:rsidRPr="008A45F6" w:rsidRDefault="00093422" w:rsidP="00A33C81">
      <w:pPr>
        <w:ind w:left="142"/>
        <w:jc w:val="both"/>
        <w:rPr>
          <w:sz w:val="22"/>
          <w:szCs w:val="22"/>
          <w:lang w:val="en-GB"/>
        </w:rPr>
      </w:pPr>
      <w:r w:rsidRPr="008A45F6">
        <w:rPr>
          <w:sz w:val="22"/>
          <w:szCs w:val="22"/>
          <w:lang w:val="en-GB"/>
        </w:rPr>
        <w:tab/>
        <w:t>9.1.1</w:t>
      </w:r>
      <w:r w:rsidRPr="008A45F6">
        <w:rPr>
          <w:sz w:val="22"/>
          <w:szCs w:val="22"/>
          <w:lang w:val="en-GB"/>
        </w:rPr>
        <w:tab/>
        <w:t>…</w:t>
      </w:r>
    </w:p>
    <w:p w14:paraId="2483D5B9" w14:textId="777B789C" w:rsidR="00093422" w:rsidRPr="008A45F6" w:rsidRDefault="00093422" w:rsidP="00093422">
      <w:pPr>
        <w:ind w:left="720" w:hanging="578"/>
        <w:jc w:val="both"/>
        <w:rPr>
          <w:sz w:val="22"/>
          <w:szCs w:val="22"/>
          <w:lang w:val="en-GB"/>
        </w:rPr>
      </w:pPr>
      <w:r w:rsidRPr="008A45F6">
        <w:rPr>
          <w:sz w:val="22"/>
          <w:szCs w:val="22"/>
          <w:lang w:val="en-GB"/>
        </w:rPr>
        <w:tab/>
        <w:t>9.1.2</w:t>
      </w:r>
      <w:r w:rsidRPr="008A45F6">
        <w:rPr>
          <w:sz w:val="22"/>
          <w:szCs w:val="22"/>
          <w:lang w:val="en-GB"/>
        </w:rPr>
        <w:tab/>
        <w:t xml:space="preserve">All monies due by the intermediary to KGA shall be payable to KGA on </w:t>
      </w:r>
      <w:r w:rsidRPr="008A45F6">
        <w:rPr>
          <w:sz w:val="22"/>
          <w:szCs w:val="22"/>
          <w:lang w:val="en-GB"/>
        </w:rPr>
        <w:tab/>
        <w:t>demand.</w:t>
      </w:r>
    </w:p>
    <w:p w14:paraId="1594C8EF" w14:textId="72A8D287" w:rsidR="00356ECC" w:rsidRPr="008A45F6" w:rsidRDefault="00F77A8B" w:rsidP="00356ECC">
      <w:pPr>
        <w:ind w:left="1440" w:hanging="718"/>
        <w:jc w:val="both"/>
        <w:rPr>
          <w:sz w:val="22"/>
          <w:szCs w:val="22"/>
          <w:lang w:val="en-GB"/>
        </w:rPr>
      </w:pPr>
      <w:r w:rsidRPr="008A45F6">
        <w:rPr>
          <w:sz w:val="22"/>
          <w:szCs w:val="22"/>
          <w:lang w:val="en-GB"/>
        </w:rPr>
        <w:t>9.1.3</w:t>
      </w:r>
      <w:r w:rsidRPr="008A45F6">
        <w:rPr>
          <w:sz w:val="22"/>
          <w:szCs w:val="22"/>
          <w:lang w:val="en-GB"/>
        </w:rPr>
        <w:tab/>
        <w:t>The Intermediary shall no longer be allowed to collect premiums on behalf of KGA for the notice month and all intermediary functions performed by the intermediary shall immediately vest in KGA on the date of the letter of cancellation</w:t>
      </w:r>
      <w:r w:rsidR="00356ECC" w:rsidRPr="008A45F6">
        <w:rPr>
          <w:sz w:val="22"/>
          <w:szCs w:val="22"/>
          <w:lang w:val="en-GB"/>
        </w:rPr>
        <w:t xml:space="preserve"> …</w:t>
      </w:r>
      <w:r w:rsidR="000533EC" w:rsidRPr="008A45F6">
        <w:rPr>
          <w:sz w:val="22"/>
          <w:szCs w:val="22"/>
          <w:lang w:val="en-GB"/>
        </w:rPr>
        <w:t>’</w:t>
      </w:r>
    </w:p>
    <w:p w14:paraId="356E1DF2" w14:textId="0EBE683B" w:rsidR="00A33C81" w:rsidRPr="008A45F6" w:rsidRDefault="00A33C81" w:rsidP="00A33C81">
      <w:pPr>
        <w:jc w:val="both"/>
        <w:rPr>
          <w:sz w:val="22"/>
          <w:szCs w:val="22"/>
          <w:lang w:val="en-GB"/>
        </w:rPr>
      </w:pPr>
    </w:p>
    <w:p w14:paraId="372E0156" w14:textId="61244AE3" w:rsidR="00A33C81" w:rsidRPr="008A45F6" w:rsidRDefault="004E1754" w:rsidP="00A33C81">
      <w:pPr>
        <w:pStyle w:val="ListParagraph"/>
        <w:numPr>
          <w:ilvl w:val="0"/>
          <w:numId w:val="10"/>
        </w:numPr>
        <w:autoSpaceDE w:val="0"/>
        <w:autoSpaceDN w:val="0"/>
        <w:adjustRightInd w:val="0"/>
        <w:ind w:left="142" w:hanging="142"/>
        <w:jc w:val="both"/>
        <w:rPr>
          <w:lang w:val="en-GB"/>
        </w:rPr>
      </w:pPr>
      <w:r>
        <w:rPr>
          <w:lang w:val="en-GB"/>
        </w:rPr>
        <w:t>A c</w:t>
      </w:r>
      <w:r w:rsidR="008A45F6" w:rsidRPr="008A45F6">
        <w:rPr>
          <w:lang w:val="en-GB"/>
        </w:rPr>
        <w:t>lause dealing with ‘compliance’ add</w:t>
      </w:r>
      <w:r w:rsidR="00E501D5">
        <w:rPr>
          <w:lang w:val="en-GB"/>
        </w:rPr>
        <w:t>s</w:t>
      </w:r>
      <w:r w:rsidR="008A45F6" w:rsidRPr="008A45F6">
        <w:rPr>
          <w:lang w:val="en-GB"/>
        </w:rPr>
        <w:t xml:space="preserve"> the following:</w:t>
      </w:r>
    </w:p>
    <w:p w14:paraId="160A86D2" w14:textId="01427F3A" w:rsidR="000F0E3B" w:rsidRDefault="008A45F6" w:rsidP="000F0E3B">
      <w:pPr>
        <w:autoSpaceDE w:val="0"/>
        <w:autoSpaceDN w:val="0"/>
        <w:adjustRightInd w:val="0"/>
        <w:ind w:left="1440" w:hanging="1298"/>
        <w:jc w:val="both"/>
        <w:rPr>
          <w:sz w:val="22"/>
          <w:szCs w:val="22"/>
          <w:lang w:val="en-GB"/>
        </w:rPr>
      </w:pPr>
      <w:r w:rsidRPr="008A45F6">
        <w:rPr>
          <w:sz w:val="22"/>
          <w:szCs w:val="22"/>
          <w:lang w:val="en-GB"/>
        </w:rPr>
        <w:t xml:space="preserve">‘8.2.7 </w:t>
      </w:r>
      <w:r w:rsidR="000F0E3B">
        <w:rPr>
          <w:sz w:val="22"/>
          <w:szCs w:val="22"/>
          <w:lang w:val="en-GB"/>
        </w:rPr>
        <w:tab/>
      </w:r>
      <w:r w:rsidRPr="008A45F6">
        <w:rPr>
          <w:sz w:val="22"/>
          <w:szCs w:val="22"/>
          <w:lang w:val="en-GB"/>
        </w:rPr>
        <w:t>As and when this agreement is cancelled for whatsoever reason, by the intermediary or KGA</w:t>
      </w:r>
      <w:r>
        <w:rPr>
          <w:sz w:val="22"/>
          <w:szCs w:val="22"/>
          <w:lang w:val="en-GB"/>
        </w:rPr>
        <w:t xml:space="preserve">, the intermediary is obliged in terms of this contract to notify, in writing, each and every policyholder on the book of the intermediary that the </w:t>
      </w:r>
      <w:r w:rsidRPr="00A93B6D">
        <w:rPr>
          <w:sz w:val="22"/>
          <w:szCs w:val="22"/>
          <w:lang w:val="en-GB"/>
        </w:rPr>
        <w:t>underwriting agreement with KGA is cancelled</w:t>
      </w:r>
      <w:r w:rsidR="0048348D">
        <w:rPr>
          <w:sz w:val="22"/>
          <w:szCs w:val="22"/>
          <w:lang w:val="en-GB"/>
        </w:rPr>
        <w:t>;</w:t>
      </w:r>
    </w:p>
    <w:p w14:paraId="5CB36CB3" w14:textId="4F870D67" w:rsidR="000F0E3B" w:rsidRDefault="000F0E3B" w:rsidP="000F0E3B">
      <w:pPr>
        <w:autoSpaceDE w:val="0"/>
        <w:autoSpaceDN w:val="0"/>
        <w:adjustRightInd w:val="0"/>
        <w:ind w:left="1440" w:hanging="1298"/>
        <w:jc w:val="both"/>
        <w:rPr>
          <w:sz w:val="22"/>
          <w:szCs w:val="22"/>
          <w:lang w:val="en-GB"/>
        </w:rPr>
      </w:pPr>
      <w:r>
        <w:rPr>
          <w:sz w:val="22"/>
          <w:szCs w:val="22"/>
          <w:lang w:val="en-GB"/>
        </w:rPr>
        <w:t xml:space="preserve">8.2.8 </w:t>
      </w:r>
      <w:r>
        <w:rPr>
          <w:sz w:val="22"/>
          <w:szCs w:val="22"/>
          <w:lang w:val="en-GB"/>
        </w:rPr>
        <w:tab/>
        <w:t>Proof of this notice must be provided to KGA by the intermediary as confirmation that all the policyholders have been notified of the cancellation of the underwriting agreement</w:t>
      </w:r>
      <w:r w:rsidR="0048348D">
        <w:rPr>
          <w:sz w:val="22"/>
          <w:szCs w:val="22"/>
          <w:lang w:val="en-GB"/>
        </w:rPr>
        <w:t>; and</w:t>
      </w:r>
    </w:p>
    <w:p w14:paraId="340E0C88" w14:textId="7E44A239" w:rsidR="000F0E3B" w:rsidRDefault="000F0E3B" w:rsidP="000F0E3B">
      <w:pPr>
        <w:autoSpaceDE w:val="0"/>
        <w:autoSpaceDN w:val="0"/>
        <w:adjustRightInd w:val="0"/>
        <w:ind w:left="1440" w:hanging="1298"/>
        <w:jc w:val="both"/>
        <w:rPr>
          <w:sz w:val="22"/>
          <w:szCs w:val="22"/>
          <w:lang w:val="en-GB"/>
        </w:rPr>
      </w:pPr>
      <w:r>
        <w:rPr>
          <w:sz w:val="22"/>
          <w:szCs w:val="22"/>
          <w:lang w:val="en-GB"/>
        </w:rPr>
        <w:t>8.2.9</w:t>
      </w:r>
      <w:r w:rsidR="0048348D">
        <w:rPr>
          <w:sz w:val="22"/>
          <w:szCs w:val="22"/>
          <w:lang w:val="en-GB"/>
        </w:rPr>
        <w:tab/>
        <w:t xml:space="preserve">The compliance responsibility of </w:t>
      </w:r>
      <w:r w:rsidR="0048348D" w:rsidRPr="00E501D5">
        <w:rPr>
          <w:sz w:val="22"/>
          <w:szCs w:val="22"/>
          <w:lang w:val="en-GB"/>
        </w:rPr>
        <w:t xml:space="preserve">Rule 15(b) </w:t>
      </w:r>
      <w:r w:rsidR="0048348D">
        <w:rPr>
          <w:sz w:val="22"/>
          <w:szCs w:val="22"/>
          <w:lang w:val="en-GB"/>
        </w:rPr>
        <w:t>of the Policyholder Protection Rules rests with the Intermediary;</w:t>
      </w:r>
      <w:r w:rsidR="00B03D9A">
        <w:rPr>
          <w:rStyle w:val="FootnoteReference"/>
          <w:sz w:val="22"/>
          <w:szCs w:val="22"/>
          <w:lang w:val="en-GB"/>
        </w:rPr>
        <w:footnoteReference w:id="11"/>
      </w:r>
    </w:p>
    <w:p w14:paraId="2630297E" w14:textId="55D2C80B" w:rsidR="008A45F6" w:rsidRDefault="0048348D" w:rsidP="004074BC">
      <w:pPr>
        <w:autoSpaceDE w:val="0"/>
        <w:autoSpaceDN w:val="0"/>
        <w:adjustRightInd w:val="0"/>
        <w:ind w:left="1440" w:hanging="1298"/>
        <w:jc w:val="both"/>
        <w:rPr>
          <w:sz w:val="22"/>
          <w:szCs w:val="22"/>
          <w:lang w:val="en-GB"/>
        </w:rPr>
      </w:pPr>
      <w:r>
        <w:rPr>
          <w:sz w:val="22"/>
          <w:szCs w:val="22"/>
          <w:lang w:val="en-GB"/>
        </w:rPr>
        <w:t>8.2.10</w:t>
      </w:r>
      <w:r>
        <w:rPr>
          <w:sz w:val="22"/>
          <w:szCs w:val="22"/>
          <w:lang w:val="en-GB"/>
        </w:rPr>
        <w:tab/>
        <w:t xml:space="preserve">Non-compliance of this clause is a serious breach of the agreement and will lead to action in terms of clause </w:t>
      </w:r>
      <w:r w:rsidR="006B2F04">
        <w:rPr>
          <w:sz w:val="22"/>
          <w:szCs w:val="22"/>
          <w:lang w:val="en-GB"/>
        </w:rPr>
        <w:t>9 below and KGA also reserves their right to claim damages from the intermediary</w:t>
      </w:r>
      <w:r w:rsidR="00776C32">
        <w:rPr>
          <w:sz w:val="22"/>
          <w:szCs w:val="22"/>
          <w:lang w:val="en-GB"/>
        </w:rPr>
        <w:t xml:space="preserve"> …’</w:t>
      </w:r>
    </w:p>
    <w:p w14:paraId="12513972" w14:textId="77777777" w:rsidR="004074BC" w:rsidRPr="008A45F6" w:rsidRDefault="004074BC" w:rsidP="004074BC">
      <w:pPr>
        <w:autoSpaceDE w:val="0"/>
        <w:autoSpaceDN w:val="0"/>
        <w:adjustRightInd w:val="0"/>
        <w:jc w:val="both"/>
        <w:rPr>
          <w:sz w:val="22"/>
          <w:szCs w:val="22"/>
          <w:lang w:val="en-GB"/>
        </w:rPr>
      </w:pPr>
    </w:p>
    <w:p w14:paraId="79056FD3" w14:textId="5D7EE240" w:rsidR="008A45F6" w:rsidRDefault="001936DD" w:rsidP="00A33C81">
      <w:pPr>
        <w:pStyle w:val="ListParagraph"/>
        <w:numPr>
          <w:ilvl w:val="0"/>
          <w:numId w:val="10"/>
        </w:numPr>
        <w:autoSpaceDE w:val="0"/>
        <w:autoSpaceDN w:val="0"/>
        <w:adjustRightInd w:val="0"/>
        <w:ind w:left="142" w:hanging="142"/>
        <w:jc w:val="both"/>
        <w:rPr>
          <w:lang w:val="en-GB"/>
        </w:rPr>
      </w:pPr>
      <w:r>
        <w:rPr>
          <w:lang w:val="en-GB"/>
        </w:rPr>
        <w:lastRenderedPageBreak/>
        <w:t xml:space="preserve">As indicated, </w:t>
      </w:r>
      <w:r w:rsidR="007B0EA9">
        <w:rPr>
          <w:lang w:val="en-GB"/>
        </w:rPr>
        <w:t>KGA was willing to underwrite the group scheme subject to the terms and conditions of the Ma</w:t>
      </w:r>
      <w:r w:rsidR="00250435">
        <w:rPr>
          <w:lang w:val="en-GB"/>
        </w:rPr>
        <w:t>s</w:t>
      </w:r>
      <w:r w:rsidR="007B0EA9">
        <w:rPr>
          <w:lang w:val="en-GB"/>
        </w:rPr>
        <w:t xml:space="preserve">ter Policy and the </w:t>
      </w:r>
      <w:r w:rsidR="00CF7B47">
        <w:rPr>
          <w:lang w:val="en-GB"/>
        </w:rPr>
        <w:t xml:space="preserve">intermediary </w:t>
      </w:r>
      <w:r w:rsidR="007B0EA9">
        <w:rPr>
          <w:lang w:val="en-GB"/>
        </w:rPr>
        <w:t>agreement. The Master Policy regulates funeral policies issued to a qualifying applicant for membership</w:t>
      </w:r>
      <w:r w:rsidR="00F5197E">
        <w:rPr>
          <w:lang w:val="en-GB"/>
        </w:rPr>
        <w:t>, once accepted by KGA for membership,</w:t>
      </w:r>
      <w:r w:rsidR="00305A00">
        <w:rPr>
          <w:lang w:val="en-GB"/>
        </w:rPr>
        <w:t xml:space="preserve"> by Multisure.</w:t>
      </w:r>
      <w:r w:rsidR="0043355B">
        <w:rPr>
          <w:lang w:val="en-GB"/>
        </w:rPr>
        <w:t xml:space="preserve"> Those policies are then underwritten by KGA</w:t>
      </w:r>
      <w:r w:rsidR="003E5BB2">
        <w:rPr>
          <w:rStyle w:val="FootnoteReference"/>
          <w:lang w:val="en-GB"/>
        </w:rPr>
        <w:footnoteReference w:id="12"/>
      </w:r>
      <w:r w:rsidR="00C72930">
        <w:rPr>
          <w:lang w:val="en-GB"/>
        </w:rPr>
        <w:t xml:space="preserve"> and Multisure must provide each member with a participation certificate.</w:t>
      </w:r>
      <w:r w:rsidR="009900D7">
        <w:rPr>
          <w:rStyle w:val="FootnoteReference"/>
          <w:lang w:val="en-GB"/>
        </w:rPr>
        <w:footnoteReference w:id="13"/>
      </w:r>
      <w:r w:rsidR="00C72930">
        <w:rPr>
          <w:lang w:val="en-GB"/>
        </w:rPr>
        <w:t xml:space="preserve"> </w:t>
      </w:r>
    </w:p>
    <w:p w14:paraId="578D27D2" w14:textId="77777777" w:rsidR="00250435" w:rsidRDefault="00250435" w:rsidP="00250435">
      <w:pPr>
        <w:pStyle w:val="ListParagraph"/>
        <w:autoSpaceDE w:val="0"/>
        <w:autoSpaceDN w:val="0"/>
        <w:adjustRightInd w:val="0"/>
        <w:ind w:left="142"/>
        <w:jc w:val="both"/>
        <w:rPr>
          <w:lang w:val="en-GB"/>
        </w:rPr>
      </w:pPr>
    </w:p>
    <w:p w14:paraId="5C769F15" w14:textId="07B62325" w:rsidR="00385627" w:rsidRPr="00385627" w:rsidRDefault="00250435" w:rsidP="00385627">
      <w:pPr>
        <w:pStyle w:val="ListParagraph"/>
        <w:numPr>
          <w:ilvl w:val="0"/>
          <w:numId w:val="10"/>
        </w:numPr>
        <w:autoSpaceDE w:val="0"/>
        <w:autoSpaceDN w:val="0"/>
        <w:adjustRightInd w:val="0"/>
        <w:ind w:left="142" w:hanging="142"/>
        <w:jc w:val="both"/>
        <w:rPr>
          <w:lang w:val="en-GB"/>
        </w:rPr>
      </w:pPr>
      <w:r>
        <w:rPr>
          <w:lang w:val="en-GB"/>
        </w:rPr>
        <w:t>The Master Policy deals with ‘cessation of cover’</w:t>
      </w:r>
      <w:r w:rsidR="002A5481">
        <w:rPr>
          <w:lang w:val="en-GB"/>
        </w:rPr>
        <w:t xml:space="preserve"> in the following terms:</w:t>
      </w:r>
      <w:r w:rsidR="00705E82">
        <w:rPr>
          <w:rStyle w:val="FootnoteReference"/>
          <w:lang w:val="en-GB"/>
        </w:rPr>
        <w:footnoteReference w:id="14"/>
      </w:r>
      <w:r>
        <w:rPr>
          <w:lang w:val="en-GB"/>
        </w:rPr>
        <w:t xml:space="preserve"> </w:t>
      </w:r>
    </w:p>
    <w:p w14:paraId="11962DDA" w14:textId="6A1C585C" w:rsidR="002A5481" w:rsidRDefault="002A5481" w:rsidP="002A5481">
      <w:pPr>
        <w:ind w:left="142"/>
        <w:jc w:val="both"/>
        <w:rPr>
          <w:sz w:val="22"/>
          <w:szCs w:val="22"/>
          <w:lang w:val="en-GB"/>
        </w:rPr>
      </w:pPr>
      <w:r>
        <w:rPr>
          <w:sz w:val="22"/>
          <w:szCs w:val="22"/>
          <w:lang w:val="en-GB"/>
        </w:rPr>
        <w:t>‘The cessation of cover shall occur in any of the following circumstances:</w:t>
      </w:r>
    </w:p>
    <w:p w14:paraId="1D9903E8" w14:textId="355BF976" w:rsidR="00385627" w:rsidRDefault="00BB3184" w:rsidP="00385627">
      <w:pPr>
        <w:pStyle w:val="ListParagraph"/>
        <w:numPr>
          <w:ilvl w:val="0"/>
          <w:numId w:val="12"/>
        </w:numPr>
        <w:jc w:val="both"/>
        <w:rPr>
          <w:sz w:val="22"/>
          <w:szCs w:val="22"/>
          <w:lang w:val="en-GB"/>
        </w:rPr>
      </w:pPr>
      <w:r>
        <w:rPr>
          <w:sz w:val="22"/>
          <w:szCs w:val="22"/>
          <w:lang w:val="en-GB"/>
        </w:rPr>
        <w:t>…</w:t>
      </w:r>
      <w:r w:rsidR="002A5481">
        <w:rPr>
          <w:sz w:val="22"/>
          <w:szCs w:val="22"/>
          <w:lang w:val="en-GB"/>
        </w:rPr>
        <w:t>When the Policyholder cancels the Master Policy with the Assurer …</w:t>
      </w:r>
      <w:r w:rsidR="00D96668">
        <w:rPr>
          <w:sz w:val="22"/>
          <w:szCs w:val="22"/>
          <w:lang w:val="en-GB"/>
        </w:rPr>
        <w:t>’</w:t>
      </w:r>
    </w:p>
    <w:p w14:paraId="247DE37C" w14:textId="77777777" w:rsidR="00385627" w:rsidRPr="00385627" w:rsidRDefault="00385627" w:rsidP="00385627">
      <w:pPr>
        <w:pStyle w:val="ListParagraph"/>
        <w:ind w:left="862"/>
        <w:jc w:val="both"/>
        <w:rPr>
          <w:sz w:val="22"/>
          <w:szCs w:val="22"/>
          <w:lang w:val="en-GB"/>
        </w:rPr>
      </w:pPr>
    </w:p>
    <w:p w14:paraId="7E4D55A6" w14:textId="4DC1C46A" w:rsidR="00CC2191" w:rsidRPr="008827DD" w:rsidRDefault="00B50C60" w:rsidP="008827DD">
      <w:pPr>
        <w:autoSpaceDE w:val="0"/>
        <w:autoSpaceDN w:val="0"/>
        <w:adjustRightInd w:val="0"/>
        <w:ind w:left="142"/>
        <w:jc w:val="both"/>
        <w:rPr>
          <w:lang w:val="en-GB"/>
        </w:rPr>
      </w:pPr>
      <w:r>
        <w:rPr>
          <w:lang w:val="en-GB"/>
        </w:rPr>
        <w:t xml:space="preserve">Somewhat confusingly, </w:t>
      </w:r>
      <w:r w:rsidR="008000DD">
        <w:rPr>
          <w:lang w:val="en-GB"/>
        </w:rPr>
        <w:t>‘</w:t>
      </w:r>
      <w:r>
        <w:rPr>
          <w:lang w:val="en-GB"/>
        </w:rPr>
        <w:t>p</w:t>
      </w:r>
      <w:r w:rsidR="008000DD">
        <w:rPr>
          <w:lang w:val="en-GB"/>
        </w:rPr>
        <w:t xml:space="preserve">olicyholder’ in the context of the Master Policy is Multisure. </w:t>
      </w:r>
      <w:r w:rsidR="00D96668" w:rsidRPr="00CC2191">
        <w:rPr>
          <w:lang w:val="en-GB"/>
        </w:rPr>
        <w:t>Clause 14 of the Master Policy confirms that either Multisure or KGA may cancel the Master Policy at any time by giving the other party one calendar month’s written notice.</w:t>
      </w:r>
      <w:r w:rsidR="003F5932">
        <w:rPr>
          <w:lang w:val="en-GB"/>
        </w:rPr>
        <w:t xml:space="preserve"> As was the case in the </w:t>
      </w:r>
      <w:r w:rsidR="00CF7B47">
        <w:rPr>
          <w:lang w:val="en-GB"/>
        </w:rPr>
        <w:t xml:space="preserve">intermediary </w:t>
      </w:r>
      <w:r w:rsidR="003F5932">
        <w:rPr>
          <w:lang w:val="en-GB"/>
        </w:rPr>
        <w:t>agreement, this is coupled with a clause providing that Multisure may not amend the Funeral Policy or the membership detail after giving notice of cancellation.</w:t>
      </w:r>
      <w:r w:rsidR="00012383">
        <w:rPr>
          <w:rStyle w:val="FootnoteReference"/>
          <w:lang w:val="en-GB"/>
        </w:rPr>
        <w:footnoteReference w:id="15"/>
      </w:r>
    </w:p>
    <w:p w14:paraId="1BA03C5A" w14:textId="4D156D1F" w:rsidR="00316084" w:rsidRDefault="00316084" w:rsidP="00316084">
      <w:pPr>
        <w:autoSpaceDE w:val="0"/>
        <w:autoSpaceDN w:val="0"/>
        <w:adjustRightInd w:val="0"/>
        <w:jc w:val="both"/>
        <w:rPr>
          <w:lang w:val="en-GB"/>
        </w:rPr>
      </w:pPr>
    </w:p>
    <w:p w14:paraId="4A0821B1" w14:textId="025BFA14" w:rsidR="00316084" w:rsidRDefault="00316084" w:rsidP="00316084">
      <w:pPr>
        <w:autoSpaceDE w:val="0"/>
        <w:autoSpaceDN w:val="0"/>
        <w:adjustRightInd w:val="0"/>
        <w:jc w:val="both"/>
        <w:rPr>
          <w:b/>
          <w:bCs/>
          <w:lang w:val="en-GB"/>
        </w:rPr>
      </w:pPr>
      <w:r>
        <w:rPr>
          <w:b/>
          <w:bCs/>
          <w:lang w:val="en-GB"/>
        </w:rPr>
        <w:t>The legislative amendment</w:t>
      </w:r>
    </w:p>
    <w:p w14:paraId="1D958472" w14:textId="77777777" w:rsidR="00316084" w:rsidRPr="00316084" w:rsidRDefault="00316084" w:rsidP="00316084">
      <w:pPr>
        <w:autoSpaceDE w:val="0"/>
        <w:autoSpaceDN w:val="0"/>
        <w:adjustRightInd w:val="0"/>
        <w:jc w:val="both"/>
        <w:rPr>
          <w:b/>
          <w:bCs/>
          <w:lang w:val="en-GB"/>
        </w:rPr>
      </w:pPr>
    </w:p>
    <w:p w14:paraId="5A1F59D6" w14:textId="4CE4A96A" w:rsidR="00922301" w:rsidRDefault="002A2259" w:rsidP="00DA5ABC">
      <w:pPr>
        <w:pStyle w:val="ListParagraph"/>
        <w:numPr>
          <w:ilvl w:val="0"/>
          <w:numId w:val="10"/>
        </w:numPr>
        <w:autoSpaceDE w:val="0"/>
        <w:autoSpaceDN w:val="0"/>
        <w:adjustRightInd w:val="0"/>
        <w:ind w:left="142" w:hanging="142"/>
        <w:jc w:val="both"/>
        <w:rPr>
          <w:lang w:val="en-GB"/>
        </w:rPr>
      </w:pPr>
      <w:r>
        <w:rPr>
          <w:lang w:val="en-GB"/>
        </w:rPr>
        <w:t>Insurers must generally be licensed to conduct life or non-life insurance business. In addition to being licensed in this way, the insurer must be specifically licensed to conduct one or more of the classes or sub-classes of insurance business set out in Schedule 2 of the Act.</w:t>
      </w:r>
      <w:r w:rsidR="002A42DE">
        <w:rPr>
          <w:lang w:val="en-GB"/>
        </w:rPr>
        <w:t xml:space="preserve"> Insurers are restricted to conducting insurance business for which they have been licensed</w:t>
      </w:r>
      <w:r w:rsidR="00E50872">
        <w:rPr>
          <w:lang w:val="en-GB"/>
        </w:rPr>
        <w:t>, subject to any conditions imposed by the Prudential Authority.</w:t>
      </w:r>
      <w:r w:rsidR="005A2D52">
        <w:rPr>
          <w:rStyle w:val="FootnoteReference"/>
          <w:lang w:val="en-GB"/>
        </w:rPr>
        <w:footnoteReference w:id="16"/>
      </w:r>
      <w:r>
        <w:rPr>
          <w:lang w:val="en-GB"/>
        </w:rPr>
        <w:t xml:space="preserve"> </w:t>
      </w:r>
      <w:r w:rsidR="00374F0D">
        <w:rPr>
          <w:lang w:val="en-GB"/>
        </w:rPr>
        <w:t xml:space="preserve">Failure to comply may result in suspension </w:t>
      </w:r>
      <w:r w:rsidR="00A04DD8">
        <w:rPr>
          <w:lang w:val="en-GB"/>
        </w:rPr>
        <w:t xml:space="preserve">or withdrawal </w:t>
      </w:r>
      <w:r w:rsidR="00374F0D">
        <w:rPr>
          <w:lang w:val="en-GB"/>
        </w:rPr>
        <w:t>of the licence.</w:t>
      </w:r>
      <w:r w:rsidR="00374F0D">
        <w:rPr>
          <w:rStyle w:val="FootnoteReference"/>
          <w:lang w:val="en-GB"/>
        </w:rPr>
        <w:footnoteReference w:id="17"/>
      </w:r>
      <w:r w:rsidR="00374F0D">
        <w:rPr>
          <w:lang w:val="en-GB"/>
        </w:rPr>
        <w:t xml:space="preserve"> </w:t>
      </w:r>
      <w:r w:rsidR="0023310C">
        <w:rPr>
          <w:lang w:val="en-GB"/>
        </w:rPr>
        <w:t>Section 70 of the Act</w:t>
      </w:r>
      <w:r w:rsidR="00B83936">
        <w:rPr>
          <w:lang w:val="en-GB"/>
        </w:rPr>
        <w:t xml:space="preserve"> provides that the Minister of Finance may make regulations </w:t>
      </w:r>
      <w:r w:rsidR="007E6E90">
        <w:rPr>
          <w:lang w:val="en-GB"/>
        </w:rPr>
        <w:t xml:space="preserve">identifying a kind, type or category of contract as an insurance policy that may be entered into under the risk class of life insurance business in Table 1 of </w:t>
      </w:r>
      <w:r w:rsidR="007E6E90">
        <w:rPr>
          <w:lang w:val="en-GB"/>
        </w:rPr>
        <w:lastRenderedPageBreak/>
        <w:t>Schedule 2 of the Act.</w:t>
      </w:r>
      <w:r w:rsidR="00723FBD">
        <w:rPr>
          <w:rStyle w:val="FootnoteReference"/>
          <w:lang w:val="en-GB"/>
        </w:rPr>
        <w:footnoteReference w:id="18"/>
      </w:r>
      <w:r w:rsidR="007E6E90">
        <w:rPr>
          <w:lang w:val="en-GB"/>
        </w:rPr>
        <w:t xml:space="preserve"> </w:t>
      </w:r>
      <w:r w:rsidR="0023310C">
        <w:rPr>
          <w:lang w:val="en-GB"/>
        </w:rPr>
        <w:t xml:space="preserve"> </w:t>
      </w:r>
      <w:r w:rsidR="008B5110">
        <w:rPr>
          <w:lang w:val="en-GB"/>
        </w:rPr>
        <w:t>That table lists ‘funeral’ as a class</w:t>
      </w:r>
      <w:r w:rsidR="005730E9">
        <w:rPr>
          <w:lang w:val="en-GB"/>
        </w:rPr>
        <w:t xml:space="preserve"> and</w:t>
      </w:r>
      <w:r w:rsidR="008B5110">
        <w:rPr>
          <w:lang w:val="en-GB"/>
        </w:rPr>
        <w:t xml:space="preserve"> ‘individual’ and ‘group’ as sub-classes</w:t>
      </w:r>
      <w:r w:rsidR="005730E9">
        <w:rPr>
          <w:lang w:val="en-GB"/>
        </w:rPr>
        <w:t xml:space="preserve">, </w:t>
      </w:r>
      <w:r w:rsidR="008B5110">
        <w:rPr>
          <w:lang w:val="en-GB"/>
        </w:rPr>
        <w:t>provid</w:t>
      </w:r>
      <w:r w:rsidR="005730E9">
        <w:rPr>
          <w:lang w:val="en-GB"/>
        </w:rPr>
        <w:t>ing</w:t>
      </w:r>
      <w:r w:rsidR="008B5110">
        <w:rPr>
          <w:lang w:val="en-GB"/>
        </w:rPr>
        <w:t xml:space="preserve"> a description of each.</w:t>
      </w:r>
    </w:p>
    <w:p w14:paraId="7B4432CD" w14:textId="77777777" w:rsidR="00DA5ABC" w:rsidRDefault="00DA5ABC" w:rsidP="00DA5ABC">
      <w:pPr>
        <w:pStyle w:val="ListParagraph"/>
        <w:autoSpaceDE w:val="0"/>
        <w:autoSpaceDN w:val="0"/>
        <w:adjustRightInd w:val="0"/>
        <w:ind w:left="142"/>
        <w:jc w:val="both"/>
        <w:rPr>
          <w:lang w:val="en-GB"/>
        </w:rPr>
      </w:pPr>
    </w:p>
    <w:p w14:paraId="43E7A85F" w14:textId="5DEF56A3" w:rsidR="000A70FB" w:rsidRPr="00E445DE" w:rsidRDefault="00DA5ABC" w:rsidP="000A70FB">
      <w:pPr>
        <w:pStyle w:val="ListParagraph"/>
        <w:numPr>
          <w:ilvl w:val="0"/>
          <w:numId w:val="10"/>
        </w:numPr>
        <w:autoSpaceDE w:val="0"/>
        <w:autoSpaceDN w:val="0"/>
        <w:adjustRightInd w:val="0"/>
        <w:ind w:left="142" w:hanging="142"/>
        <w:jc w:val="both"/>
        <w:rPr>
          <w:sz w:val="22"/>
          <w:szCs w:val="22"/>
          <w:lang w:val="en-GB"/>
        </w:rPr>
      </w:pPr>
      <w:r>
        <w:rPr>
          <w:lang w:val="en-GB"/>
        </w:rPr>
        <w:t xml:space="preserve">‘Group’ is defined in Schedule 2 </w:t>
      </w:r>
      <w:r w:rsidR="00EE1936">
        <w:rPr>
          <w:lang w:val="en-GB"/>
        </w:rPr>
        <w:t xml:space="preserve">to refer to </w:t>
      </w:r>
      <w:r w:rsidR="00D40EC0">
        <w:rPr>
          <w:lang w:val="en-GB"/>
        </w:rPr>
        <w:t>‘</w:t>
      </w:r>
      <w:r w:rsidR="00D40EC0" w:rsidRPr="00E445DE">
        <w:rPr>
          <w:sz w:val="22"/>
          <w:szCs w:val="22"/>
          <w:lang w:val="en-GB"/>
        </w:rPr>
        <w:t xml:space="preserve">an </w:t>
      </w:r>
      <w:r w:rsidR="00EE1936" w:rsidRPr="00E445DE">
        <w:rPr>
          <w:sz w:val="22"/>
          <w:szCs w:val="22"/>
          <w:lang w:val="en-GB"/>
        </w:rPr>
        <w:t>insurance polic</w:t>
      </w:r>
      <w:r w:rsidR="00D40EC0" w:rsidRPr="00E445DE">
        <w:rPr>
          <w:sz w:val="22"/>
          <w:szCs w:val="22"/>
          <w:lang w:val="en-GB"/>
        </w:rPr>
        <w:t>y</w:t>
      </w:r>
      <w:r w:rsidR="00EE1936" w:rsidRPr="00E445DE">
        <w:rPr>
          <w:sz w:val="22"/>
          <w:szCs w:val="22"/>
          <w:lang w:val="en-GB"/>
        </w:rPr>
        <w:t xml:space="preserve"> entered into with</w:t>
      </w:r>
      <w:r w:rsidR="00D40EC0" w:rsidRPr="00E445DE">
        <w:rPr>
          <w:sz w:val="22"/>
          <w:szCs w:val="22"/>
          <w:lang w:val="en-GB"/>
        </w:rPr>
        <w:t xml:space="preserve"> -</w:t>
      </w:r>
    </w:p>
    <w:p w14:paraId="26591E2F" w14:textId="40602153" w:rsidR="000A70FB" w:rsidRPr="00E445DE" w:rsidRDefault="000A70FB" w:rsidP="00385627">
      <w:pPr>
        <w:pStyle w:val="ListParagraph"/>
        <w:numPr>
          <w:ilvl w:val="1"/>
          <w:numId w:val="10"/>
        </w:numPr>
        <w:autoSpaceDE w:val="0"/>
        <w:autoSpaceDN w:val="0"/>
        <w:adjustRightInd w:val="0"/>
        <w:ind w:left="567" w:hanging="425"/>
        <w:jc w:val="both"/>
        <w:rPr>
          <w:sz w:val="22"/>
          <w:szCs w:val="22"/>
          <w:lang w:val="en-GB"/>
        </w:rPr>
      </w:pPr>
      <w:r w:rsidRPr="00E445DE">
        <w:rPr>
          <w:sz w:val="22"/>
          <w:szCs w:val="22"/>
          <w:lang w:val="en-GB"/>
        </w:rPr>
        <w:t>an autonomous association of persons united voluntarily to meet their common or shared economic and social needs and aspirations (other than obtaining insurance), which association is democratically-controlled;</w:t>
      </w:r>
    </w:p>
    <w:p w14:paraId="4E5FCF0F" w14:textId="34F40D9B" w:rsidR="000A70FB" w:rsidRPr="00E445DE" w:rsidRDefault="000A70FB" w:rsidP="00385627">
      <w:pPr>
        <w:pStyle w:val="ListParagraph"/>
        <w:numPr>
          <w:ilvl w:val="1"/>
          <w:numId w:val="10"/>
        </w:numPr>
        <w:autoSpaceDE w:val="0"/>
        <w:autoSpaceDN w:val="0"/>
        <w:adjustRightInd w:val="0"/>
        <w:ind w:left="567" w:hanging="425"/>
        <w:jc w:val="both"/>
        <w:rPr>
          <w:sz w:val="22"/>
          <w:szCs w:val="22"/>
          <w:lang w:val="en-GB"/>
        </w:rPr>
      </w:pPr>
      <w:r w:rsidRPr="00E445DE">
        <w:rPr>
          <w:sz w:val="22"/>
          <w:szCs w:val="22"/>
          <w:lang w:val="en-GB"/>
        </w:rPr>
        <w:t>an employer; or</w:t>
      </w:r>
    </w:p>
    <w:p w14:paraId="1D1940EF" w14:textId="77777777" w:rsidR="00D40EC0" w:rsidRPr="00E445DE" w:rsidRDefault="000A70FB" w:rsidP="00385627">
      <w:pPr>
        <w:pStyle w:val="ListParagraph"/>
        <w:numPr>
          <w:ilvl w:val="1"/>
          <w:numId w:val="10"/>
        </w:numPr>
        <w:autoSpaceDE w:val="0"/>
        <w:autoSpaceDN w:val="0"/>
        <w:adjustRightInd w:val="0"/>
        <w:ind w:left="567" w:hanging="425"/>
        <w:jc w:val="both"/>
        <w:rPr>
          <w:sz w:val="22"/>
          <w:szCs w:val="22"/>
          <w:lang w:val="en-GB"/>
        </w:rPr>
      </w:pPr>
      <w:r w:rsidRPr="00E445DE">
        <w:rPr>
          <w:sz w:val="22"/>
          <w:szCs w:val="22"/>
          <w:lang w:val="en-GB"/>
        </w:rPr>
        <w:t>a fund</w:t>
      </w:r>
      <w:r w:rsidR="00D40EC0" w:rsidRPr="00E445DE">
        <w:rPr>
          <w:sz w:val="22"/>
          <w:szCs w:val="22"/>
          <w:lang w:val="en-GB"/>
        </w:rPr>
        <w:t xml:space="preserve">, </w:t>
      </w:r>
    </w:p>
    <w:p w14:paraId="7402D559" w14:textId="0121C9D5" w:rsidR="000F7FE9" w:rsidRPr="00D40EC0" w:rsidRDefault="00D40EC0" w:rsidP="000F7FE9">
      <w:pPr>
        <w:autoSpaceDE w:val="0"/>
        <w:autoSpaceDN w:val="0"/>
        <w:adjustRightInd w:val="0"/>
        <w:ind w:left="142"/>
        <w:jc w:val="both"/>
        <w:rPr>
          <w:lang w:val="en-GB"/>
        </w:rPr>
      </w:pPr>
      <w:r w:rsidRPr="00E445DE">
        <w:rPr>
          <w:sz w:val="22"/>
          <w:szCs w:val="22"/>
          <w:lang w:val="en-GB"/>
        </w:rPr>
        <w:t>where the association, employer or fund holds the insurance policy exclusively for the benefit of a beneficiary.</w:t>
      </w:r>
      <w:r>
        <w:rPr>
          <w:lang w:val="en-GB"/>
        </w:rPr>
        <w:t>’</w:t>
      </w:r>
      <w:r w:rsidR="0087458D">
        <w:rPr>
          <w:lang w:val="en-GB"/>
        </w:rPr>
        <w:t xml:space="preserve"> Similarly, ‘underwritten on a group basis’ means where </w:t>
      </w:r>
      <w:r w:rsidR="00CC191F">
        <w:rPr>
          <w:lang w:val="en-GB"/>
        </w:rPr>
        <w:t>the</w:t>
      </w:r>
      <w:r w:rsidR="0087458D">
        <w:rPr>
          <w:lang w:val="en-GB"/>
        </w:rPr>
        <w:t xml:space="preserve"> risks covered under an insurance policy </w:t>
      </w:r>
      <w:r w:rsidR="00CC191F">
        <w:rPr>
          <w:lang w:val="en-GB"/>
        </w:rPr>
        <w:t>are rated based on the characteristics of a group of people together, as opposed to that of the individual or individuals to whom the policy relates.</w:t>
      </w:r>
      <w:r w:rsidR="00D06ABF">
        <w:rPr>
          <w:rStyle w:val="FootnoteReference"/>
          <w:lang w:val="en-GB"/>
        </w:rPr>
        <w:footnoteReference w:id="19"/>
      </w:r>
    </w:p>
    <w:p w14:paraId="6127749E" w14:textId="77777777" w:rsidR="00F83EBA" w:rsidRPr="00F83EBA" w:rsidRDefault="00F83EBA" w:rsidP="00F83EBA">
      <w:pPr>
        <w:autoSpaceDE w:val="0"/>
        <w:autoSpaceDN w:val="0"/>
        <w:adjustRightInd w:val="0"/>
        <w:jc w:val="both"/>
        <w:rPr>
          <w:b/>
          <w:bCs/>
          <w:lang w:val="en-GB"/>
        </w:rPr>
      </w:pPr>
    </w:p>
    <w:p w14:paraId="661961C9" w14:textId="34AC832B" w:rsidR="000F7FE9" w:rsidRDefault="00135B36" w:rsidP="000F7FE9">
      <w:pPr>
        <w:pStyle w:val="ListParagraph"/>
        <w:numPr>
          <w:ilvl w:val="0"/>
          <w:numId w:val="10"/>
        </w:numPr>
        <w:autoSpaceDE w:val="0"/>
        <w:autoSpaceDN w:val="0"/>
        <w:adjustRightInd w:val="0"/>
        <w:ind w:left="142" w:hanging="142"/>
        <w:jc w:val="both"/>
        <w:rPr>
          <w:lang w:val="en-GB"/>
        </w:rPr>
      </w:pPr>
      <w:r w:rsidRPr="005F442A">
        <w:rPr>
          <w:lang w:val="en-GB"/>
        </w:rPr>
        <w:t xml:space="preserve">This is a change from the definition of ‘group scheme’ </w:t>
      </w:r>
      <w:r w:rsidR="005F442A">
        <w:rPr>
          <w:lang w:val="en-GB"/>
        </w:rPr>
        <w:t>that operated in terms of the LIA prior to the promulgation of the Act.</w:t>
      </w:r>
      <w:r w:rsidR="005F442A">
        <w:rPr>
          <w:rStyle w:val="FootnoteReference"/>
          <w:lang w:val="en-GB"/>
        </w:rPr>
        <w:footnoteReference w:id="20"/>
      </w:r>
      <w:r w:rsidR="001A4B76">
        <w:rPr>
          <w:lang w:val="en-GB"/>
        </w:rPr>
        <w:t xml:space="preserve"> It is common cause that the scheme</w:t>
      </w:r>
      <w:r w:rsidR="00302247">
        <w:rPr>
          <w:lang w:val="en-GB"/>
        </w:rPr>
        <w:t xml:space="preserve"> in question</w:t>
      </w:r>
      <w:r w:rsidR="001A4B76">
        <w:rPr>
          <w:lang w:val="en-GB"/>
        </w:rPr>
        <w:t xml:space="preserve"> no longer qualifies as a ‘group’ within the ambit of the </w:t>
      </w:r>
      <w:r w:rsidR="0024378C">
        <w:rPr>
          <w:lang w:val="en-GB"/>
        </w:rPr>
        <w:t>Act</w:t>
      </w:r>
      <w:r w:rsidR="001A4B76">
        <w:rPr>
          <w:lang w:val="en-GB"/>
        </w:rPr>
        <w:t xml:space="preserve">. </w:t>
      </w:r>
      <w:r w:rsidR="005A0E64">
        <w:rPr>
          <w:lang w:val="en-GB"/>
        </w:rPr>
        <w:t>KGA argues that the contract</w:t>
      </w:r>
      <w:r w:rsidR="00B306B3">
        <w:rPr>
          <w:lang w:val="en-GB"/>
        </w:rPr>
        <w:t>s</w:t>
      </w:r>
      <w:r w:rsidR="005A0E64">
        <w:rPr>
          <w:lang w:val="en-GB"/>
        </w:rPr>
        <w:t xml:space="preserve"> between Multisure and its clients endured only as individual policies. </w:t>
      </w:r>
      <w:r w:rsidR="00B225F3">
        <w:rPr>
          <w:lang w:val="en-GB"/>
        </w:rPr>
        <w:t>Multisure rejects this interpretation, arguing that until the group was ‘converted’ into individual policies, it remains ‘a group’.</w:t>
      </w:r>
    </w:p>
    <w:p w14:paraId="51209C88" w14:textId="77777777" w:rsidR="005F442A" w:rsidRPr="005F442A" w:rsidRDefault="005F442A" w:rsidP="005F442A">
      <w:pPr>
        <w:pStyle w:val="ListParagraph"/>
        <w:autoSpaceDE w:val="0"/>
        <w:autoSpaceDN w:val="0"/>
        <w:adjustRightInd w:val="0"/>
        <w:ind w:left="142"/>
        <w:jc w:val="both"/>
        <w:rPr>
          <w:lang w:val="en-GB"/>
        </w:rPr>
      </w:pPr>
    </w:p>
    <w:p w14:paraId="2AE7A9EF" w14:textId="662E0CCB" w:rsidR="000F7FE9" w:rsidRDefault="000F7FE9" w:rsidP="000F7FE9">
      <w:pPr>
        <w:autoSpaceDE w:val="0"/>
        <w:autoSpaceDN w:val="0"/>
        <w:adjustRightInd w:val="0"/>
        <w:jc w:val="both"/>
        <w:rPr>
          <w:b/>
          <w:bCs/>
          <w:lang w:val="en-GB"/>
        </w:rPr>
      </w:pPr>
      <w:r>
        <w:rPr>
          <w:b/>
          <w:bCs/>
          <w:lang w:val="en-GB"/>
        </w:rPr>
        <w:t>Section 18 of the Superior Courts Act, 2013</w:t>
      </w:r>
    </w:p>
    <w:p w14:paraId="0FADAEA0" w14:textId="77777777" w:rsidR="000F7FE9" w:rsidRPr="000F7FE9" w:rsidRDefault="000F7FE9" w:rsidP="000F7FE9">
      <w:pPr>
        <w:autoSpaceDE w:val="0"/>
        <w:autoSpaceDN w:val="0"/>
        <w:adjustRightInd w:val="0"/>
        <w:jc w:val="both"/>
        <w:rPr>
          <w:b/>
          <w:bCs/>
          <w:lang w:val="en-GB"/>
        </w:rPr>
      </w:pPr>
    </w:p>
    <w:p w14:paraId="26A06B17" w14:textId="3C437FE0" w:rsidR="00F83EBA" w:rsidRDefault="00497A1F" w:rsidP="00AF6DF0">
      <w:pPr>
        <w:pStyle w:val="ListParagraph"/>
        <w:numPr>
          <w:ilvl w:val="0"/>
          <w:numId w:val="10"/>
        </w:numPr>
        <w:autoSpaceDE w:val="0"/>
        <w:autoSpaceDN w:val="0"/>
        <w:adjustRightInd w:val="0"/>
        <w:ind w:left="142" w:hanging="142"/>
        <w:jc w:val="both"/>
        <w:rPr>
          <w:lang w:val="en-GB"/>
        </w:rPr>
      </w:pPr>
      <w:r>
        <w:rPr>
          <w:lang w:val="en-GB"/>
        </w:rPr>
        <w:t>The operation and execution of decisions</w:t>
      </w:r>
      <w:r w:rsidR="00702A55">
        <w:rPr>
          <w:lang w:val="en-GB"/>
        </w:rPr>
        <w:t xml:space="preserve"> subject </w:t>
      </w:r>
      <w:r w:rsidR="002046A2">
        <w:rPr>
          <w:lang w:val="en-GB"/>
        </w:rPr>
        <w:t>to</w:t>
      </w:r>
      <w:r w:rsidR="00702A55">
        <w:rPr>
          <w:lang w:val="en-GB"/>
        </w:rPr>
        <w:t xml:space="preserve"> an appeal are suspended pending the </w:t>
      </w:r>
      <w:r w:rsidR="005A2A2C">
        <w:rPr>
          <w:lang w:val="en-GB"/>
        </w:rPr>
        <w:t>determination</w:t>
      </w:r>
      <w:r w:rsidR="00702A55">
        <w:rPr>
          <w:lang w:val="en-GB"/>
        </w:rPr>
        <w:t xml:space="preserve"> of the appeal unless a court, under exceptional circumstances, orders otherwise.</w:t>
      </w:r>
      <w:r w:rsidR="00FE41F6">
        <w:rPr>
          <w:lang w:val="en-GB"/>
        </w:rPr>
        <w:t xml:space="preserve"> To do so, a court must be satisfied that the applicant has proved, on a balance of probabilities, that it ‘will suffer irreparable harm if the court does not so order and that the other party will not suffer irreparable harm </w:t>
      </w:r>
      <w:r w:rsidR="00FE41F6">
        <w:rPr>
          <w:lang w:val="en-GB"/>
        </w:rPr>
        <w:lastRenderedPageBreak/>
        <w:t>if the court so orders’.</w:t>
      </w:r>
      <w:r w:rsidR="00370400">
        <w:rPr>
          <w:rStyle w:val="FootnoteReference"/>
          <w:lang w:val="en-GB"/>
        </w:rPr>
        <w:footnoteReference w:id="21"/>
      </w:r>
      <w:r w:rsidR="006145C9">
        <w:rPr>
          <w:lang w:val="en-GB"/>
        </w:rPr>
        <w:t xml:space="preserve"> If </w:t>
      </w:r>
      <w:r w:rsidR="00E445DE">
        <w:rPr>
          <w:lang w:val="en-GB"/>
        </w:rPr>
        <w:t>so satisfied</w:t>
      </w:r>
      <w:r w:rsidR="006145C9">
        <w:rPr>
          <w:lang w:val="en-GB"/>
        </w:rPr>
        <w:t xml:space="preserve">, </w:t>
      </w:r>
      <w:r w:rsidR="00E445DE">
        <w:rPr>
          <w:lang w:val="en-GB"/>
        </w:rPr>
        <w:t>a court</w:t>
      </w:r>
      <w:r w:rsidR="006145C9">
        <w:rPr>
          <w:lang w:val="en-GB"/>
        </w:rPr>
        <w:t xml:space="preserve"> must immediately record its reasons for doing so and the automatic right of appeal enjoyed by an aggrieved party will be dealt with on an extremely urgent basis. Pending that outcome, the order is automatically suspended.</w:t>
      </w:r>
      <w:r w:rsidR="00EB4215">
        <w:rPr>
          <w:rStyle w:val="FootnoteReference"/>
          <w:lang w:val="en-GB"/>
        </w:rPr>
        <w:footnoteReference w:id="22"/>
      </w:r>
      <w:r w:rsidR="006145C9">
        <w:rPr>
          <w:lang w:val="en-GB"/>
        </w:rPr>
        <w:t xml:space="preserve"> </w:t>
      </w:r>
    </w:p>
    <w:p w14:paraId="7EAF58EE" w14:textId="77777777" w:rsidR="0026166B" w:rsidRDefault="0026166B" w:rsidP="0026166B">
      <w:pPr>
        <w:pStyle w:val="ListParagraph"/>
        <w:autoSpaceDE w:val="0"/>
        <w:autoSpaceDN w:val="0"/>
        <w:adjustRightInd w:val="0"/>
        <w:ind w:left="142"/>
        <w:jc w:val="both"/>
        <w:rPr>
          <w:lang w:val="en-GB"/>
        </w:rPr>
      </w:pPr>
    </w:p>
    <w:p w14:paraId="35472C2B" w14:textId="6A68D356" w:rsidR="0026166B" w:rsidRDefault="0026166B" w:rsidP="00AF6DF0">
      <w:pPr>
        <w:pStyle w:val="ListParagraph"/>
        <w:numPr>
          <w:ilvl w:val="0"/>
          <w:numId w:val="10"/>
        </w:numPr>
        <w:autoSpaceDE w:val="0"/>
        <w:autoSpaceDN w:val="0"/>
        <w:adjustRightInd w:val="0"/>
        <w:ind w:left="142" w:hanging="142"/>
        <w:jc w:val="both"/>
        <w:rPr>
          <w:lang w:val="en-GB"/>
        </w:rPr>
      </w:pPr>
      <w:r>
        <w:rPr>
          <w:lang w:val="en-GB"/>
        </w:rPr>
        <w:t xml:space="preserve">These provisos exist because of the potential prejudice that may be caused to a party that is ultimately successful </w:t>
      </w:r>
      <w:r w:rsidR="00966878">
        <w:rPr>
          <w:lang w:val="en-GB"/>
        </w:rPr>
        <w:t>on appeal</w:t>
      </w:r>
      <w:r>
        <w:rPr>
          <w:lang w:val="en-GB"/>
        </w:rPr>
        <w:t>.</w:t>
      </w:r>
      <w:r w:rsidR="00442D2A">
        <w:rPr>
          <w:lang w:val="en-GB"/>
        </w:rPr>
        <w:t xml:space="preserve"> </w:t>
      </w:r>
      <w:r w:rsidR="00BF6930">
        <w:rPr>
          <w:lang w:val="en-GB"/>
        </w:rPr>
        <w:t xml:space="preserve">It is evident that the applicant </w:t>
      </w:r>
      <w:r w:rsidR="00533EDB">
        <w:rPr>
          <w:lang w:val="en-GB"/>
        </w:rPr>
        <w:t xml:space="preserve">must meet </w:t>
      </w:r>
      <w:r w:rsidR="00C66CD0">
        <w:rPr>
          <w:lang w:val="en-GB"/>
        </w:rPr>
        <w:t>three requirements: exceptional circumstances</w:t>
      </w:r>
      <w:r w:rsidR="00621F42">
        <w:rPr>
          <w:lang w:val="en-GB"/>
        </w:rPr>
        <w:t>, including consideration of the prospects of success on appeal</w:t>
      </w:r>
      <w:r w:rsidR="00C66CD0">
        <w:rPr>
          <w:lang w:val="en-GB"/>
        </w:rPr>
        <w:t>; that it will suffer irreparable harm if the order is not made; and that the party against whom the order is sought will not suffer irreparable harm if the order is made.</w:t>
      </w:r>
      <w:r w:rsidR="00FB7E5B">
        <w:rPr>
          <w:rStyle w:val="FootnoteReference"/>
          <w:lang w:val="en-GB"/>
        </w:rPr>
        <w:footnoteReference w:id="23"/>
      </w:r>
    </w:p>
    <w:p w14:paraId="792562D2" w14:textId="54DB3CC0" w:rsidR="008D4568" w:rsidRDefault="008D4568" w:rsidP="008D4568">
      <w:pPr>
        <w:rPr>
          <w:lang w:val="en-GB"/>
        </w:rPr>
      </w:pPr>
    </w:p>
    <w:p w14:paraId="79B681C4" w14:textId="7D9DF865" w:rsidR="008D4568" w:rsidRPr="00901D77" w:rsidRDefault="008D4568" w:rsidP="008D4568">
      <w:pPr>
        <w:rPr>
          <w:b/>
          <w:bCs/>
          <w:lang w:val="en-GB"/>
        </w:rPr>
      </w:pPr>
      <w:r w:rsidRPr="00901D77">
        <w:rPr>
          <w:b/>
          <w:bCs/>
          <w:lang w:val="en-GB"/>
        </w:rPr>
        <w:t>Exceptional circumstances</w:t>
      </w:r>
    </w:p>
    <w:p w14:paraId="304F3593" w14:textId="77777777" w:rsidR="008D4568" w:rsidRPr="008D4568" w:rsidRDefault="008D4568" w:rsidP="008D4568">
      <w:pPr>
        <w:rPr>
          <w:lang w:val="en-GB"/>
        </w:rPr>
      </w:pPr>
    </w:p>
    <w:p w14:paraId="31AB9DFC" w14:textId="1DE209A5" w:rsidR="009D3AE0" w:rsidRDefault="008D4568" w:rsidP="004830F2">
      <w:pPr>
        <w:pStyle w:val="ListParagraph"/>
        <w:numPr>
          <w:ilvl w:val="0"/>
          <w:numId w:val="10"/>
        </w:numPr>
        <w:autoSpaceDE w:val="0"/>
        <w:autoSpaceDN w:val="0"/>
        <w:adjustRightInd w:val="0"/>
        <w:ind w:left="142" w:hanging="142"/>
        <w:jc w:val="both"/>
        <w:rPr>
          <w:lang w:val="en-GB"/>
        </w:rPr>
      </w:pPr>
      <w:r>
        <w:rPr>
          <w:lang w:val="en-GB"/>
        </w:rPr>
        <w:t>To meet this requirement, something out of the ordinary and of an unusual nature, different from the general rule and uncommon, should be discernible. The circumstances concerned must arise out of, or be incidental to, the particular case. Importantly, this is a question of fact to be decided</w:t>
      </w:r>
      <w:r w:rsidR="00DA41D4">
        <w:rPr>
          <w:lang w:val="en-GB"/>
        </w:rPr>
        <w:t xml:space="preserve"> on a case-by-case basis</w:t>
      </w:r>
      <w:r>
        <w:rPr>
          <w:lang w:val="en-GB"/>
        </w:rPr>
        <w:t>.</w:t>
      </w:r>
      <w:r w:rsidR="005F4B77">
        <w:rPr>
          <w:rStyle w:val="FootnoteReference"/>
          <w:lang w:val="en-GB"/>
        </w:rPr>
        <w:footnoteReference w:id="24"/>
      </w:r>
      <w:r>
        <w:rPr>
          <w:lang w:val="en-GB"/>
        </w:rPr>
        <w:t xml:space="preserve"> </w:t>
      </w:r>
      <w:r w:rsidR="0008507A">
        <w:rPr>
          <w:lang w:val="en-GB"/>
        </w:rPr>
        <w:t>The actual predicaments in which the litigants find themselves in has been held to be central to the enquiry.</w:t>
      </w:r>
      <w:r w:rsidR="001A2699">
        <w:rPr>
          <w:rStyle w:val="FootnoteReference"/>
          <w:lang w:val="en-GB"/>
        </w:rPr>
        <w:footnoteReference w:id="25"/>
      </w:r>
      <w:r w:rsidR="0008507A">
        <w:rPr>
          <w:lang w:val="en-GB"/>
        </w:rPr>
        <w:t xml:space="preserve"> </w:t>
      </w:r>
      <w:r>
        <w:rPr>
          <w:lang w:val="en-GB"/>
        </w:rPr>
        <w:t>It has been held that a strict meaning should be given to the phrase, and any circumstances alleged to be ‘exceptional’ must be carefully examined.</w:t>
      </w:r>
      <w:r>
        <w:rPr>
          <w:rStyle w:val="FootnoteReference"/>
          <w:lang w:val="en-GB"/>
        </w:rPr>
        <w:footnoteReference w:id="26"/>
      </w:r>
      <w:r w:rsidR="00960837">
        <w:rPr>
          <w:lang w:val="en-GB"/>
        </w:rPr>
        <w:t xml:space="preserve"> The SCA has confirmed that the exceptionality of an order in terms of ss 18(1) and 18(3) is </w:t>
      </w:r>
      <w:r w:rsidR="00AC7B2D">
        <w:rPr>
          <w:lang w:val="en-GB"/>
        </w:rPr>
        <w:t>underscored by the wording of s 18(4)</w:t>
      </w:r>
      <w:r w:rsidR="00B8173F">
        <w:rPr>
          <w:lang w:val="en-GB"/>
        </w:rPr>
        <w:t xml:space="preserve"> of the Superior Courts Act, 2013</w:t>
      </w:r>
      <w:r w:rsidR="00B13CEB">
        <w:rPr>
          <w:lang w:val="en-GB"/>
        </w:rPr>
        <w:t>, and that a ‘heavy onus’ is placed on the applicant.</w:t>
      </w:r>
      <w:r w:rsidR="00B13CEB">
        <w:rPr>
          <w:rStyle w:val="FootnoteReference"/>
          <w:lang w:val="en-GB"/>
        </w:rPr>
        <w:footnoteReference w:id="27"/>
      </w:r>
      <w:r w:rsidR="00BA0707">
        <w:rPr>
          <w:lang w:val="en-GB"/>
        </w:rPr>
        <w:t xml:space="preserve"> In short, the </w:t>
      </w:r>
      <w:r w:rsidR="00BA0707">
        <w:rPr>
          <w:lang w:val="en-GB"/>
        </w:rPr>
        <w:lastRenderedPageBreak/>
        <w:t>circumstances must be ‘truly exceptional’.</w:t>
      </w:r>
      <w:r w:rsidR="005C737C">
        <w:rPr>
          <w:rStyle w:val="FootnoteReference"/>
          <w:lang w:val="en-GB"/>
        </w:rPr>
        <w:footnoteReference w:id="28"/>
      </w:r>
      <w:r w:rsidR="004830F2">
        <w:rPr>
          <w:lang w:val="en-GB"/>
        </w:rPr>
        <w:t xml:space="preserve"> It is also now clear that t</w:t>
      </w:r>
      <w:r w:rsidR="009D3AE0" w:rsidRPr="004830F2">
        <w:rPr>
          <w:lang w:val="en-GB"/>
        </w:rPr>
        <w:t>he prospects of success are relevant</w:t>
      </w:r>
      <w:r w:rsidR="00A86CC0">
        <w:rPr>
          <w:lang w:val="en-GB"/>
        </w:rPr>
        <w:t xml:space="preserve"> to the enquiry</w:t>
      </w:r>
      <w:r w:rsidR="002453F0" w:rsidRPr="004830F2">
        <w:rPr>
          <w:lang w:val="en-GB"/>
        </w:rPr>
        <w:t>.</w:t>
      </w:r>
      <w:r w:rsidR="002453F0">
        <w:rPr>
          <w:rStyle w:val="FootnoteReference"/>
          <w:lang w:val="en-GB"/>
        </w:rPr>
        <w:footnoteReference w:id="29"/>
      </w:r>
    </w:p>
    <w:p w14:paraId="0398D02B" w14:textId="77777777" w:rsidR="00972E40" w:rsidRDefault="00972E40" w:rsidP="00972E40">
      <w:pPr>
        <w:pStyle w:val="ListParagraph"/>
        <w:autoSpaceDE w:val="0"/>
        <w:autoSpaceDN w:val="0"/>
        <w:adjustRightInd w:val="0"/>
        <w:ind w:left="142"/>
        <w:jc w:val="both"/>
        <w:rPr>
          <w:lang w:val="en-GB"/>
        </w:rPr>
      </w:pPr>
    </w:p>
    <w:p w14:paraId="75D71560" w14:textId="11A6C327" w:rsidR="00624D08" w:rsidRDefault="003C74FF" w:rsidP="00624D08">
      <w:pPr>
        <w:pStyle w:val="ListParagraph"/>
        <w:numPr>
          <w:ilvl w:val="0"/>
          <w:numId w:val="10"/>
        </w:numPr>
        <w:autoSpaceDE w:val="0"/>
        <w:autoSpaceDN w:val="0"/>
        <w:adjustRightInd w:val="0"/>
        <w:ind w:left="142" w:hanging="142"/>
        <w:jc w:val="both"/>
        <w:rPr>
          <w:lang w:val="en-GB"/>
        </w:rPr>
      </w:pPr>
      <w:r w:rsidRPr="00183F22">
        <w:rPr>
          <w:lang w:val="en-GB"/>
        </w:rPr>
        <w:t>Various</w:t>
      </w:r>
      <w:r w:rsidR="00972E40" w:rsidRPr="00183F22">
        <w:rPr>
          <w:lang w:val="en-GB"/>
        </w:rPr>
        <w:t xml:space="preserve"> facts were placed before court to support the application</w:t>
      </w:r>
      <w:r w:rsidR="006E1F55" w:rsidRPr="00183F22">
        <w:rPr>
          <w:lang w:val="en-GB"/>
        </w:rPr>
        <w:t>, including</w:t>
      </w:r>
      <w:r w:rsidRPr="00183F22">
        <w:rPr>
          <w:lang w:val="en-GB"/>
        </w:rPr>
        <w:t xml:space="preserve"> the following. </w:t>
      </w:r>
      <w:r w:rsidR="0016488F" w:rsidRPr="00183F22">
        <w:rPr>
          <w:lang w:val="en-GB"/>
        </w:rPr>
        <w:t xml:space="preserve">Multisure </w:t>
      </w:r>
      <w:r w:rsidR="00317B40" w:rsidRPr="00183F22">
        <w:rPr>
          <w:lang w:val="en-GB"/>
        </w:rPr>
        <w:t>has not receiv</w:t>
      </w:r>
      <w:r w:rsidR="00252FDE" w:rsidRPr="00183F22">
        <w:rPr>
          <w:lang w:val="en-GB"/>
        </w:rPr>
        <w:t>ed</w:t>
      </w:r>
      <w:r w:rsidR="00317B40" w:rsidRPr="00183F22">
        <w:rPr>
          <w:lang w:val="en-GB"/>
        </w:rPr>
        <w:t xml:space="preserve"> any commission for intermediary services </w:t>
      </w:r>
      <w:r w:rsidR="00252FDE" w:rsidRPr="00183F22">
        <w:rPr>
          <w:lang w:val="en-GB"/>
        </w:rPr>
        <w:t xml:space="preserve">since August 2021 </w:t>
      </w:r>
      <w:r w:rsidR="00317B40" w:rsidRPr="00183F22">
        <w:rPr>
          <w:lang w:val="en-GB"/>
        </w:rPr>
        <w:t>and estimate</w:t>
      </w:r>
      <w:r w:rsidR="00725804" w:rsidRPr="00183F22">
        <w:rPr>
          <w:lang w:val="en-GB"/>
        </w:rPr>
        <w:t>d, during June 2022,</w:t>
      </w:r>
      <w:r w:rsidR="00317B40" w:rsidRPr="00183F22">
        <w:rPr>
          <w:lang w:val="en-GB"/>
        </w:rPr>
        <w:t xml:space="preserve"> that it </w:t>
      </w:r>
      <w:r w:rsidR="00D91EB5" w:rsidRPr="00183F22">
        <w:rPr>
          <w:lang w:val="en-GB"/>
        </w:rPr>
        <w:t xml:space="preserve">would have received </w:t>
      </w:r>
      <w:r w:rsidR="00317B40" w:rsidRPr="00183F22">
        <w:rPr>
          <w:lang w:val="en-GB"/>
        </w:rPr>
        <w:t>an amount in excess of R5</w:t>
      </w:r>
      <w:r w:rsidR="00FE1EE7" w:rsidRPr="00183F22">
        <w:rPr>
          <w:lang w:val="en-GB"/>
        </w:rPr>
        <w:t>,5</w:t>
      </w:r>
      <w:r w:rsidR="00317B40" w:rsidRPr="00183F22">
        <w:rPr>
          <w:lang w:val="en-GB"/>
        </w:rPr>
        <w:t xml:space="preserve"> million</w:t>
      </w:r>
      <w:r w:rsidR="00D91EB5" w:rsidRPr="00183F22">
        <w:rPr>
          <w:lang w:val="en-GB"/>
        </w:rPr>
        <w:t xml:space="preserve"> were it not for the pending appeal.</w:t>
      </w:r>
      <w:r w:rsidR="006D5B48">
        <w:rPr>
          <w:rStyle w:val="FootnoteReference"/>
          <w:lang w:val="en-GB"/>
        </w:rPr>
        <w:footnoteReference w:id="30"/>
      </w:r>
      <w:r w:rsidR="00622C7B" w:rsidRPr="00183F22">
        <w:rPr>
          <w:lang w:val="en-GB"/>
        </w:rPr>
        <w:t xml:space="preserve"> </w:t>
      </w:r>
      <w:r w:rsidR="00067260" w:rsidRPr="00183F22">
        <w:rPr>
          <w:lang w:val="en-GB"/>
        </w:rPr>
        <w:t xml:space="preserve"> </w:t>
      </w:r>
      <w:r w:rsidR="0016488F" w:rsidRPr="00183F22">
        <w:rPr>
          <w:lang w:val="en-GB"/>
        </w:rPr>
        <w:t>Multisure</w:t>
      </w:r>
      <w:r w:rsidR="00067260" w:rsidRPr="00183F22">
        <w:rPr>
          <w:lang w:val="en-GB"/>
        </w:rPr>
        <w:t xml:space="preserve"> receives an income from ‘debit order’ funeral policies and ‘new </w:t>
      </w:r>
      <w:r w:rsidR="00BE715B">
        <w:rPr>
          <w:lang w:val="en-GB"/>
        </w:rPr>
        <w:t>SASSA</w:t>
      </w:r>
      <w:r w:rsidR="00067260" w:rsidRPr="00183F22">
        <w:rPr>
          <w:lang w:val="en-GB"/>
        </w:rPr>
        <w:t>’ policies and ‘legal assist’ clients, but cannot sustain its operations on this basis</w:t>
      </w:r>
      <w:r w:rsidR="003E6E14" w:rsidRPr="00183F22">
        <w:rPr>
          <w:lang w:val="en-GB"/>
        </w:rPr>
        <w:t>, operating as a loss since 1 September 2021.</w:t>
      </w:r>
      <w:r w:rsidR="0016488F" w:rsidRPr="00183F22">
        <w:rPr>
          <w:lang w:val="en-GB"/>
        </w:rPr>
        <w:t xml:space="preserve"> </w:t>
      </w:r>
      <w:r w:rsidR="009222B7" w:rsidRPr="00183F22">
        <w:rPr>
          <w:lang w:val="en-GB"/>
        </w:rPr>
        <w:t xml:space="preserve">Multisure’s </w:t>
      </w:r>
      <w:r w:rsidR="00B51C2F">
        <w:rPr>
          <w:lang w:val="en-GB"/>
        </w:rPr>
        <w:t>accounting officer</w:t>
      </w:r>
      <w:r w:rsidR="009222B7" w:rsidRPr="00183F22">
        <w:rPr>
          <w:lang w:val="en-GB"/>
        </w:rPr>
        <w:t xml:space="preserve"> confirms that its revenue has plummeted during the period 1 September 2021 to 28 February 2022</w:t>
      </w:r>
      <w:r w:rsidR="00A258CD">
        <w:rPr>
          <w:lang w:val="en-GB"/>
        </w:rPr>
        <w:t>. The total negative change in its financial affairs during that period is more than R1,75 million</w:t>
      </w:r>
      <w:r w:rsidR="009222B7" w:rsidRPr="00183F22">
        <w:rPr>
          <w:lang w:val="en-GB"/>
        </w:rPr>
        <w:t xml:space="preserve"> </w:t>
      </w:r>
      <w:r w:rsidR="00D47092">
        <w:rPr>
          <w:lang w:val="en-GB"/>
        </w:rPr>
        <w:t>and</w:t>
      </w:r>
      <w:r w:rsidR="009222B7" w:rsidRPr="00183F22">
        <w:rPr>
          <w:lang w:val="en-GB"/>
        </w:rPr>
        <w:t xml:space="preserve"> it made a loss in excess of R700 000 during that period.</w:t>
      </w:r>
      <w:r w:rsidR="00492E5A">
        <w:rPr>
          <w:rStyle w:val="FootnoteReference"/>
          <w:lang w:val="en-GB"/>
        </w:rPr>
        <w:footnoteReference w:id="31"/>
      </w:r>
      <w:r w:rsidR="00D51DF0" w:rsidRPr="00183F22">
        <w:rPr>
          <w:lang w:val="en-GB"/>
        </w:rPr>
        <w:t xml:space="preserve"> </w:t>
      </w:r>
    </w:p>
    <w:p w14:paraId="6D42E788" w14:textId="77777777" w:rsidR="00183F22" w:rsidRPr="00183F22" w:rsidRDefault="00183F22" w:rsidP="00183F22">
      <w:pPr>
        <w:autoSpaceDE w:val="0"/>
        <w:autoSpaceDN w:val="0"/>
        <w:adjustRightInd w:val="0"/>
        <w:jc w:val="both"/>
        <w:rPr>
          <w:lang w:val="en-GB"/>
        </w:rPr>
      </w:pPr>
    </w:p>
    <w:p w14:paraId="1FA91206" w14:textId="4BBBDD39" w:rsidR="00CD5935" w:rsidRPr="00A35548" w:rsidRDefault="00121722" w:rsidP="00A35548">
      <w:pPr>
        <w:pStyle w:val="ListParagraph"/>
        <w:numPr>
          <w:ilvl w:val="0"/>
          <w:numId w:val="10"/>
        </w:numPr>
        <w:autoSpaceDE w:val="0"/>
        <w:autoSpaceDN w:val="0"/>
        <w:adjustRightInd w:val="0"/>
        <w:ind w:left="142" w:hanging="142"/>
        <w:jc w:val="both"/>
        <w:rPr>
          <w:lang w:val="en-GB"/>
        </w:rPr>
      </w:pPr>
      <w:r>
        <w:rPr>
          <w:lang w:val="en-GB"/>
        </w:rPr>
        <w:t xml:space="preserve">As </w:t>
      </w:r>
      <w:r w:rsidR="00643F9C">
        <w:rPr>
          <w:lang w:val="en-GB"/>
        </w:rPr>
        <w:t xml:space="preserve">Multisure </w:t>
      </w:r>
      <w:r>
        <w:rPr>
          <w:lang w:val="en-GB"/>
        </w:rPr>
        <w:t xml:space="preserve">conveyed </w:t>
      </w:r>
      <w:r w:rsidR="00905EE0">
        <w:rPr>
          <w:lang w:val="en-GB"/>
        </w:rPr>
        <w:t xml:space="preserve">in correspondence </w:t>
      </w:r>
      <w:r>
        <w:rPr>
          <w:lang w:val="en-GB"/>
        </w:rPr>
        <w:t xml:space="preserve">to KGA’s legal representatives on 18 May 2022, it </w:t>
      </w:r>
      <w:r w:rsidR="00643F9C">
        <w:rPr>
          <w:lang w:val="en-GB"/>
        </w:rPr>
        <w:t xml:space="preserve">has since been forced to sell shares and draw from savings in order to keep its business afloat. </w:t>
      </w:r>
      <w:r w:rsidR="00906607">
        <w:rPr>
          <w:lang w:val="en-GB"/>
        </w:rPr>
        <w:t>Multisure’s sole owner has also placed an immovable property on the market as part of the effort</w:t>
      </w:r>
      <w:r w:rsidR="00785BC3">
        <w:rPr>
          <w:lang w:val="en-GB"/>
        </w:rPr>
        <w:t>s</w:t>
      </w:r>
      <w:r w:rsidR="00906607">
        <w:rPr>
          <w:lang w:val="en-GB"/>
        </w:rPr>
        <w:t xml:space="preserve"> to keep it in business.</w:t>
      </w:r>
      <w:r w:rsidR="00725D91">
        <w:rPr>
          <w:lang w:val="en-GB"/>
        </w:rPr>
        <w:t xml:space="preserve"> Two branch offices have closed between October and December 2021</w:t>
      </w:r>
      <w:r w:rsidR="00CE6BEA">
        <w:rPr>
          <w:lang w:val="en-GB"/>
        </w:rPr>
        <w:t xml:space="preserve"> and all business is now conducted virtually.</w:t>
      </w:r>
      <w:r w:rsidR="00993C6E">
        <w:rPr>
          <w:lang w:val="en-GB"/>
        </w:rPr>
        <w:t xml:space="preserve"> As a result, three full-time staff members and four part-time staff members have been retrenched.</w:t>
      </w:r>
      <w:r w:rsidR="009803D5">
        <w:rPr>
          <w:lang w:val="en-GB"/>
        </w:rPr>
        <w:t xml:space="preserve"> Multisure was unable to pay bonuses during December 2021, or to </w:t>
      </w:r>
      <w:r w:rsidR="00744512">
        <w:rPr>
          <w:lang w:val="en-GB"/>
        </w:rPr>
        <w:t xml:space="preserve">offer </w:t>
      </w:r>
      <w:r w:rsidR="009803D5">
        <w:rPr>
          <w:lang w:val="en-GB"/>
        </w:rPr>
        <w:t>increas</w:t>
      </w:r>
      <w:r w:rsidR="00744512">
        <w:rPr>
          <w:lang w:val="en-GB"/>
        </w:rPr>
        <w:t>ed</w:t>
      </w:r>
      <w:r w:rsidR="009803D5">
        <w:rPr>
          <w:lang w:val="en-GB"/>
        </w:rPr>
        <w:t xml:space="preserve"> monthly remuneration or salaries to match offers being received by staff members,</w:t>
      </w:r>
      <w:r w:rsidR="0036489D">
        <w:rPr>
          <w:lang w:val="en-GB"/>
        </w:rPr>
        <w:t xml:space="preserve"> and blames this for the loss of two senior and experienced staff members employed at its head office in Gqeberha.</w:t>
      </w:r>
      <w:r w:rsidR="0021560A">
        <w:rPr>
          <w:lang w:val="en-GB"/>
        </w:rPr>
        <w:t xml:space="preserve"> </w:t>
      </w:r>
      <w:r w:rsidR="00E078BE">
        <w:rPr>
          <w:lang w:val="en-GB"/>
        </w:rPr>
        <w:t>Despite the</w:t>
      </w:r>
      <w:r w:rsidR="005A3308">
        <w:rPr>
          <w:lang w:val="en-GB"/>
        </w:rPr>
        <w:t xml:space="preserve"> various</w:t>
      </w:r>
      <w:r w:rsidR="00E078BE">
        <w:rPr>
          <w:lang w:val="en-GB"/>
        </w:rPr>
        <w:t xml:space="preserve"> mitigatory steps, i</w:t>
      </w:r>
      <w:r w:rsidR="008F2C0A">
        <w:rPr>
          <w:lang w:val="en-GB"/>
        </w:rPr>
        <w:t>t may be accepted that it will have to continue downsizing in the event that it is unable to enforce the order in its favour.</w:t>
      </w:r>
      <w:r w:rsidR="007402CF">
        <w:rPr>
          <w:lang w:val="en-GB"/>
        </w:rPr>
        <w:t xml:space="preserve"> </w:t>
      </w:r>
      <w:r w:rsidR="00381CD3">
        <w:rPr>
          <w:lang w:val="en-GB"/>
        </w:rPr>
        <w:t xml:space="preserve">It is clear that </w:t>
      </w:r>
      <w:r w:rsidR="007402CF">
        <w:rPr>
          <w:lang w:val="en-GB"/>
        </w:rPr>
        <w:t xml:space="preserve">Multisure’s </w:t>
      </w:r>
      <w:r w:rsidR="00040488">
        <w:rPr>
          <w:lang w:val="en-GB"/>
        </w:rPr>
        <w:t xml:space="preserve">adverse </w:t>
      </w:r>
      <w:r w:rsidR="007402CF">
        <w:rPr>
          <w:lang w:val="en-GB"/>
        </w:rPr>
        <w:t xml:space="preserve">financial predicament </w:t>
      </w:r>
      <w:r w:rsidR="00A70D14">
        <w:rPr>
          <w:lang w:val="en-GB"/>
        </w:rPr>
        <w:t xml:space="preserve">is </w:t>
      </w:r>
      <w:r w:rsidR="00040488">
        <w:rPr>
          <w:lang w:val="en-GB"/>
        </w:rPr>
        <w:t>ongoing.</w:t>
      </w:r>
      <w:r w:rsidR="00B17C4C">
        <w:rPr>
          <w:lang w:val="en-GB"/>
        </w:rPr>
        <w:t xml:space="preserve"> </w:t>
      </w:r>
      <w:r w:rsidR="00A35548">
        <w:rPr>
          <w:lang w:val="en-GB"/>
        </w:rPr>
        <w:t xml:space="preserve">In short, Multisure has been placed in an extraordinary position as a result of the events in question. This is very different, for </w:t>
      </w:r>
      <w:r w:rsidR="00A35548">
        <w:rPr>
          <w:lang w:val="en-GB"/>
        </w:rPr>
        <w:lastRenderedPageBreak/>
        <w:t xml:space="preserve">example, to an ordinary claim for damages where the very existence of a company is not in issue.  Whether this constitutes ‘exceptional circumstances’ for purposes of the s 18 must be determined with due cognisance of the prospects of the judgment of Schoeman J being upheld on appeal. </w:t>
      </w:r>
    </w:p>
    <w:p w14:paraId="11E0DE2B" w14:textId="77777777" w:rsidR="00CD5935" w:rsidRDefault="00CD5935" w:rsidP="00CD5935">
      <w:pPr>
        <w:pStyle w:val="ListParagraph"/>
        <w:autoSpaceDE w:val="0"/>
        <w:autoSpaceDN w:val="0"/>
        <w:adjustRightInd w:val="0"/>
        <w:ind w:left="142"/>
        <w:jc w:val="both"/>
        <w:rPr>
          <w:lang w:val="en-GB"/>
        </w:rPr>
      </w:pPr>
    </w:p>
    <w:p w14:paraId="3E5F7B35" w14:textId="2C59FF16" w:rsidR="00CD1974" w:rsidRPr="00CD5935" w:rsidRDefault="00B17C4C" w:rsidP="00CD5935">
      <w:pPr>
        <w:pStyle w:val="ListParagraph"/>
        <w:numPr>
          <w:ilvl w:val="0"/>
          <w:numId w:val="10"/>
        </w:numPr>
        <w:autoSpaceDE w:val="0"/>
        <w:autoSpaceDN w:val="0"/>
        <w:adjustRightInd w:val="0"/>
        <w:ind w:left="142" w:hanging="142"/>
        <w:jc w:val="both"/>
        <w:rPr>
          <w:lang w:val="en-GB"/>
        </w:rPr>
      </w:pPr>
      <w:r w:rsidRPr="00B17C4C">
        <w:rPr>
          <w:lang w:val="en-GB"/>
        </w:rPr>
        <w:t>For reasons that follow, m</w:t>
      </w:r>
      <w:r w:rsidR="0094379B" w:rsidRPr="00B17C4C">
        <w:rPr>
          <w:lang w:val="en-GB"/>
        </w:rPr>
        <w:t xml:space="preserve">y assessment of KGA’s prospects of success on appeal supports the conclusion that Multisure has demonstrated exceptional circumstances. </w:t>
      </w:r>
      <w:r w:rsidR="008566BA" w:rsidRPr="00CD5935">
        <w:rPr>
          <w:lang w:val="en-GB"/>
        </w:rPr>
        <w:t xml:space="preserve">The </w:t>
      </w:r>
      <w:r w:rsidR="00532246" w:rsidRPr="00CD5935">
        <w:rPr>
          <w:lang w:val="en-GB"/>
        </w:rPr>
        <w:t>contract</w:t>
      </w:r>
      <w:r w:rsidR="008566BA" w:rsidRPr="00CD5935">
        <w:rPr>
          <w:lang w:val="en-GB"/>
        </w:rPr>
        <w:t xml:space="preserve"> between Multisure and its clients is detailed on the ‘membership application funeral insurance’ form</w:t>
      </w:r>
      <w:r w:rsidR="00532246" w:rsidRPr="00CD5935">
        <w:rPr>
          <w:lang w:val="en-GB"/>
        </w:rPr>
        <w:t xml:space="preserve"> (‘the contract’)</w:t>
      </w:r>
      <w:r w:rsidR="008566BA" w:rsidRPr="00CD5935">
        <w:rPr>
          <w:lang w:val="en-GB"/>
        </w:rPr>
        <w:t>.</w:t>
      </w:r>
      <w:r w:rsidR="0082078A" w:rsidRPr="00CD5935">
        <w:rPr>
          <w:lang w:val="en-GB"/>
        </w:rPr>
        <w:t xml:space="preserve"> The client declares that they ‘apply for membership of Multisure’s funeral cover in accordance with the terms and conditions which I have read and understood as set out herein’.</w:t>
      </w:r>
      <w:r w:rsidR="008566BA" w:rsidRPr="00CD5935">
        <w:rPr>
          <w:lang w:val="en-GB"/>
        </w:rPr>
        <w:t xml:space="preserve"> A specimen blank copy </w:t>
      </w:r>
      <w:r w:rsidR="00532246" w:rsidRPr="00CD5935">
        <w:rPr>
          <w:lang w:val="en-GB"/>
        </w:rPr>
        <w:t xml:space="preserve">formed part of the papers. It contains the ‘terms and conditions for funeral policy holders’. </w:t>
      </w:r>
      <w:r w:rsidR="007E6E03" w:rsidRPr="00CD5935">
        <w:rPr>
          <w:lang w:val="en-GB"/>
        </w:rPr>
        <w:t>The contract itself is couched in the form of a mandate</w:t>
      </w:r>
      <w:r w:rsidR="00932C4B" w:rsidRPr="00CD5935">
        <w:rPr>
          <w:lang w:val="en-GB"/>
        </w:rPr>
        <w:t>, linked to the application for funeral cover and the terms of the Master Policy</w:t>
      </w:r>
      <w:r w:rsidR="007E6E03" w:rsidRPr="00CD5935">
        <w:rPr>
          <w:lang w:val="en-GB"/>
        </w:rPr>
        <w:t>.</w:t>
      </w:r>
      <w:r w:rsidR="00223ED8">
        <w:rPr>
          <w:rStyle w:val="FootnoteReference"/>
          <w:lang w:val="en-GB"/>
        </w:rPr>
        <w:footnoteReference w:id="32"/>
      </w:r>
      <w:r w:rsidR="007E6E03" w:rsidRPr="00CD5935">
        <w:rPr>
          <w:lang w:val="en-GB"/>
        </w:rPr>
        <w:t xml:space="preserve"> </w:t>
      </w:r>
      <w:r w:rsidR="0013251E" w:rsidRPr="00CD5935">
        <w:rPr>
          <w:lang w:val="en-GB"/>
        </w:rPr>
        <w:t xml:space="preserve">The contract provides that the Master Policy is available for inspection and contains the ‘full rules and conditions of this contract’. Clause 20 of the contract adds that ‘Should there be a discrepancy the conditions as set out in the Master Policy will prevail.’ </w:t>
      </w:r>
    </w:p>
    <w:p w14:paraId="70066616" w14:textId="77777777" w:rsidR="00CD1974" w:rsidRPr="00CD1974" w:rsidRDefault="00CD1974" w:rsidP="00CD1974">
      <w:pPr>
        <w:pStyle w:val="ListParagraph"/>
        <w:rPr>
          <w:lang w:val="en-GB"/>
        </w:rPr>
      </w:pPr>
    </w:p>
    <w:p w14:paraId="4FDE9937" w14:textId="647799E7" w:rsidR="009F1343" w:rsidRDefault="007E6E03" w:rsidP="009F1343">
      <w:pPr>
        <w:pStyle w:val="ListParagraph"/>
        <w:numPr>
          <w:ilvl w:val="0"/>
          <w:numId w:val="10"/>
        </w:numPr>
        <w:autoSpaceDE w:val="0"/>
        <w:autoSpaceDN w:val="0"/>
        <w:adjustRightInd w:val="0"/>
        <w:ind w:left="142" w:hanging="142"/>
        <w:jc w:val="both"/>
        <w:rPr>
          <w:lang w:val="en-GB"/>
        </w:rPr>
      </w:pPr>
      <w:r>
        <w:rPr>
          <w:lang w:val="en-GB"/>
        </w:rPr>
        <w:t xml:space="preserve">The applicant for membership expressly authorises Multisure to </w:t>
      </w:r>
      <w:r w:rsidR="00A9797C">
        <w:rPr>
          <w:lang w:val="en-GB"/>
        </w:rPr>
        <w:t>issue and deliver payment instructions to the applicant’s bank in order to meet the premium obligations of the contract.</w:t>
      </w:r>
      <w:r w:rsidR="00551F0B">
        <w:rPr>
          <w:lang w:val="en-GB"/>
        </w:rPr>
        <w:t xml:space="preserve"> </w:t>
      </w:r>
      <w:r w:rsidR="00510D24">
        <w:rPr>
          <w:lang w:val="en-GB"/>
        </w:rPr>
        <w:t>The client acknowledges in the contract</w:t>
      </w:r>
      <w:r w:rsidR="00605C82">
        <w:rPr>
          <w:lang w:val="en-GB"/>
        </w:rPr>
        <w:t>, for example,</w:t>
      </w:r>
      <w:r w:rsidR="00510D24">
        <w:rPr>
          <w:lang w:val="en-GB"/>
        </w:rPr>
        <w:t xml:space="preserve"> that all payment instructions issued by Multisure shall be treated by the</w:t>
      </w:r>
      <w:r w:rsidR="007243A1">
        <w:rPr>
          <w:lang w:val="en-GB"/>
        </w:rPr>
        <w:t>ir bank as if the instruction had been personally issued by the client.</w:t>
      </w:r>
      <w:r w:rsidR="009F1343">
        <w:rPr>
          <w:lang w:val="en-GB"/>
        </w:rPr>
        <w:t xml:space="preserve"> The contract </w:t>
      </w:r>
      <w:r w:rsidR="001746F8">
        <w:rPr>
          <w:lang w:val="en-GB"/>
        </w:rPr>
        <w:t xml:space="preserve">refers specifically to ‘authority’ and ‘mandate’ in its terms, </w:t>
      </w:r>
      <w:r w:rsidR="009F1343">
        <w:rPr>
          <w:lang w:val="en-GB"/>
        </w:rPr>
        <w:t>add</w:t>
      </w:r>
      <w:r w:rsidR="001746F8">
        <w:rPr>
          <w:lang w:val="en-GB"/>
        </w:rPr>
        <w:t>ing</w:t>
      </w:r>
      <w:r w:rsidR="009F1343">
        <w:rPr>
          <w:lang w:val="en-GB"/>
        </w:rPr>
        <w:t xml:space="preserve"> the following, under the heading ‘cancellation’:</w:t>
      </w:r>
    </w:p>
    <w:p w14:paraId="67B39467" w14:textId="77777777" w:rsidR="00651373" w:rsidRDefault="009F1343" w:rsidP="009F1343">
      <w:pPr>
        <w:autoSpaceDE w:val="0"/>
        <w:autoSpaceDN w:val="0"/>
        <w:adjustRightInd w:val="0"/>
        <w:ind w:left="142"/>
        <w:jc w:val="both"/>
        <w:rPr>
          <w:sz w:val="22"/>
          <w:szCs w:val="22"/>
          <w:lang w:val="en-GB"/>
        </w:rPr>
      </w:pPr>
      <w:r>
        <w:rPr>
          <w:sz w:val="22"/>
          <w:szCs w:val="22"/>
          <w:lang w:val="en-GB"/>
        </w:rPr>
        <w:t>‘I / We agree that although this Authority and Mandate may be cancelled by me / us, such cancellation will not cancel the Agreement. I / We shall not be entitled to any refund of amounts which you have withdrawn while this authority was in force, if such amounts were legally owing to you.’</w:t>
      </w:r>
      <w:r w:rsidR="00474FAB">
        <w:rPr>
          <w:sz w:val="22"/>
          <w:szCs w:val="22"/>
          <w:lang w:val="en-GB"/>
        </w:rPr>
        <w:t xml:space="preserve"> </w:t>
      </w:r>
    </w:p>
    <w:p w14:paraId="69D8E55F" w14:textId="6DC072AB" w:rsidR="009F1343" w:rsidRPr="00651373" w:rsidRDefault="008B3F93" w:rsidP="009F1343">
      <w:pPr>
        <w:autoSpaceDE w:val="0"/>
        <w:autoSpaceDN w:val="0"/>
        <w:adjustRightInd w:val="0"/>
        <w:ind w:left="142"/>
        <w:jc w:val="both"/>
        <w:rPr>
          <w:lang w:val="en-GB"/>
        </w:rPr>
      </w:pPr>
      <w:r>
        <w:rPr>
          <w:lang w:val="en-GB"/>
        </w:rPr>
        <w:t xml:space="preserve">There is a solitary reference to </w:t>
      </w:r>
      <w:r w:rsidR="00474FAB" w:rsidRPr="00651373">
        <w:rPr>
          <w:lang w:val="en-GB"/>
        </w:rPr>
        <w:t xml:space="preserve">KGA, as underwriter, in the contract, </w:t>
      </w:r>
      <w:r>
        <w:rPr>
          <w:lang w:val="en-GB"/>
        </w:rPr>
        <w:t xml:space="preserve">it </w:t>
      </w:r>
      <w:r w:rsidR="00474FAB" w:rsidRPr="00651373">
        <w:rPr>
          <w:lang w:val="en-GB"/>
        </w:rPr>
        <w:t>being authorised to obtain any necessary medical information pertaining to the signatory.</w:t>
      </w:r>
    </w:p>
    <w:p w14:paraId="7D87EEDA" w14:textId="533FCE6B" w:rsidR="00E632D8" w:rsidRPr="00EB699F" w:rsidRDefault="00E632D8" w:rsidP="00EB699F">
      <w:pPr>
        <w:autoSpaceDE w:val="0"/>
        <w:autoSpaceDN w:val="0"/>
        <w:adjustRightInd w:val="0"/>
        <w:jc w:val="both"/>
        <w:rPr>
          <w:lang w:val="en-GB"/>
        </w:rPr>
      </w:pPr>
    </w:p>
    <w:p w14:paraId="4EF64C81" w14:textId="12C66251" w:rsidR="00EB699F" w:rsidRDefault="00EB699F" w:rsidP="00654201">
      <w:pPr>
        <w:pStyle w:val="ListParagraph"/>
        <w:numPr>
          <w:ilvl w:val="0"/>
          <w:numId w:val="10"/>
        </w:numPr>
        <w:autoSpaceDE w:val="0"/>
        <w:autoSpaceDN w:val="0"/>
        <w:adjustRightInd w:val="0"/>
        <w:ind w:left="142" w:hanging="142"/>
        <w:jc w:val="both"/>
        <w:rPr>
          <w:lang w:val="en-GB"/>
        </w:rPr>
      </w:pPr>
      <w:r>
        <w:rPr>
          <w:lang w:val="en-GB"/>
        </w:rPr>
        <w:t xml:space="preserve">The Master Policy defines a ‘funeral policy’ as ‘the policy issued to the </w:t>
      </w:r>
      <w:r w:rsidR="00B96BC7">
        <w:rPr>
          <w:lang w:val="en-GB"/>
        </w:rPr>
        <w:t>‘</w:t>
      </w:r>
      <w:r>
        <w:rPr>
          <w:lang w:val="en-GB"/>
        </w:rPr>
        <w:t>Member</w:t>
      </w:r>
      <w:r w:rsidR="00B96BC7">
        <w:rPr>
          <w:lang w:val="en-GB"/>
        </w:rPr>
        <w:t>’</w:t>
      </w:r>
      <w:r>
        <w:rPr>
          <w:lang w:val="en-GB"/>
        </w:rPr>
        <w:t xml:space="preserve"> by </w:t>
      </w:r>
      <w:r w:rsidR="00B96BC7">
        <w:rPr>
          <w:lang w:val="en-GB"/>
        </w:rPr>
        <w:t>Multisure</w:t>
      </w:r>
      <w:r>
        <w:rPr>
          <w:lang w:val="en-GB"/>
        </w:rPr>
        <w:t xml:space="preserve"> and underwritten by </w:t>
      </w:r>
      <w:r w:rsidR="00B96BC7">
        <w:rPr>
          <w:lang w:val="en-GB"/>
        </w:rPr>
        <w:t>KGA</w:t>
      </w:r>
      <w:r>
        <w:rPr>
          <w:lang w:val="en-GB"/>
        </w:rPr>
        <w:t xml:space="preserve"> in terms of the Master Policy’.</w:t>
      </w:r>
      <w:r w:rsidR="008D4221">
        <w:rPr>
          <w:lang w:val="en-GB"/>
        </w:rPr>
        <w:t xml:space="preserve"> The ‘Master Policy’ is defined as ‘the policy issued by </w:t>
      </w:r>
      <w:r w:rsidR="00540715">
        <w:rPr>
          <w:lang w:val="en-GB"/>
        </w:rPr>
        <w:t>KGA</w:t>
      </w:r>
      <w:r w:rsidR="008D4221">
        <w:rPr>
          <w:lang w:val="en-GB"/>
        </w:rPr>
        <w:t xml:space="preserve"> to </w:t>
      </w:r>
      <w:r w:rsidR="00540715">
        <w:rPr>
          <w:lang w:val="en-GB"/>
        </w:rPr>
        <w:t>Multisure</w:t>
      </w:r>
      <w:r w:rsidR="005032C7">
        <w:rPr>
          <w:lang w:val="en-GB"/>
        </w:rPr>
        <w:t>’</w:t>
      </w:r>
      <w:r w:rsidR="008D4221">
        <w:rPr>
          <w:lang w:val="en-GB"/>
        </w:rPr>
        <w:t>.</w:t>
      </w:r>
      <w:r w:rsidR="00020054">
        <w:rPr>
          <w:lang w:val="en-GB"/>
        </w:rPr>
        <w:t xml:space="preserve"> </w:t>
      </w:r>
      <w:r w:rsidR="00731E99">
        <w:rPr>
          <w:lang w:val="en-GB"/>
        </w:rPr>
        <w:t>A policy number would have been alloc</w:t>
      </w:r>
      <w:r w:rsidR="000868A6">
        <w:rPr>
          <w:lang w:val="en-GB"/>
        </w:rPr>
        <w:t>a</w:t>
      </w:r>
      <w:r w:rsidR="00731E99">
        <w:rPr>
          <w:lang w:val="en-GB"/>
        </w:rPr>
        <w:t xml:space="preserve">ted to Multisure on the inception date. </w:t>
      </w:r>
      <w:r w:rsidR="00020054">
        <w:rPr>
          <w:lang w:val="en-GB"/>
        </w:rPr>
        <w:t xml:space="preserve">An applicant whose application for membership has been accepted by </w:t>
      </w:r>
      <w:r w:rsidR="00540715">
        <w:rPr>
          <w:lang w:val="en-GB"/>
        </w:rPr>
        <w:t>KGA</w:t>
      </w:r>
      <w:r w:rsidR="00020054">
        <w:rPr>
          <w:lang w:val="en-GB"/>
        </w:rPr>
        <w:t xml:space="preserve"> becomes a ‘member’.</w:t>
      </w:r>
      <w:r w:rsidR="00C25FEE">
        <w:rPr>
          <w:rStyle w:val="FootnoteReference"/>
          <w:lang w:val="en-GB"/>
        </w:rPr>
        <w:footnoteReference w:id="33"/>
      </w:r>
      <w:r w:rsidR="00B56ED3">
        <w:rPr>
          <w:lang w:val="en-GB"/>
        </w:rPr>
        <w:t xml:space="preserve"> </w:t>
      </w:r>
      <w:r w:rsidR="00EC0EBC">
        <w:rPr>
          <w:lang w:val="en-GB"/>
        </w:rPr>
        <w:t>KGA is then obliged to ‘issue a participation certificate in respect of each new Member on registration and on notification of any change in the Member’s o</w:t>
      </w:r>
      <w:r w:rsidR="00235935">
        <w:rPr>
          <w:lang w:val="en-GB"/>
        </w:rPr>
        <w:t>r</w:t>
      </w:r>
      <w:r w:rsidR="00EC0EBC">
        <w:rPr>
          <w:lang w:val="en-GB"/>
        </w:rPr>
        <w:t xml:space="preserve"> Dependant’s details’.</w:t>
      </w:r>
      <w:r w:rsidR="00235935">
        <w:rPr>
          <w:lang w:val="en-GB"/>
        </w:rPr>
        <w:t xml:space="preserve"> </w:t>
      </w:r>
      <w:r w:rsidR="00F14E6F">
        <w:rPr>
          <w:lang w:val="en-GB"/>
        </w:rPr>
        <w:t>It is one of Multisure’s obligations, as policyholder, to provide each member with this participation certificate.</w:t>
      </w:r>
    </w:p>
    <w:p w14:paraId="15DEBB73" w14:textId="77777777" w:rsidR="007E7650" w:rsidRDefault="007E7650" w:rsidP="007E7650">
      <w:pPr>
        <w:pStyle w:val="ListParagraph"/>
        <w:autoSpaceDE w:val="0"/>
        <w:autoSpaceDN w:val="0"/>
        <w:adjustRightInd w:val="0"/>
        <w:ind w:left="142"/>
        <w:jc w:val="both"/>
        <w:rPr>
          <w:lang w:val="en-GB"/>
        </w:rPr>
      </w:pPr>
    </w:p>
    <w:p w14:paraId="18103908" w14:textId="53BEBB62" w:rsidR="00E90682" w:rsidRDefault="00E90682" w:rsidP="006072BB">
      <w:pPr>
        <w:pStyle w:val="ListParagraph"/>
        <w:numPr>
          <w:ilvl w:val="0"/>
          <w:numId w:val="10"/>
        </w:numPr>
        <w:tabs>
          <w:tab w:val="left" w:pos="284"/>
        </w:tabs>
        <w:autoSpaceDE w:val="0"/>
        <w:autoSpaceDN w:val="0"/>
        <w:adjustRightInd w:val="0"/>
        <w:ind w:left="142" w:hanging="142"/>
        <w:jc w:val="both"/>
        <w:rPr>
          <w:lang w:val="en-GB"/>
        </w:rPr>
      </w:pPr>
      <w:r>
        <w:rPr>
          <w:lang w:val="en-GB"/>
        </w:rPr>
        <w:t xml:space="preserve">Read in the context of the contract, it is apparent that there is cessation of coverage for members </w:t>
      </w:r>
      <w:r w:rsidR="00731B5A">
        <w:rPr>
          <w:lang w:val="en-GB"/>
        </w:rPr>
        <w:t xml:space="preserve">in certain circumstances. </w:t>
      </w:r>
      <w:r w:rsidR="005C23FF">
        <w:rPr>
          <w:lang w:val="en-GB"/>
        </w:rPr>
        <w:t>Cancellation of the intermediary agreement</w:t>
      </w:r>
      <w:r w:rsidR="00983F90">
        <w:rPr>
          <w:lang w:val="en-GB"/>
        </w:rPr>
        <w:t>, which is not in dispute,</w:t>
      </w:r>
      <w:r w:rsidR="005C23FF">
        <w:rPr>
          <w:lang w:val="en-GB"/>
        </w:rPr>
        <w:t xml:space="preserve"> resulted in Multisure being required to ‘notify, in writing, each and every policyholder on the book of the intermediary that the underwriting agreement with KGA is cancelled’. </w:t>
      </w:r>
      <w:r w:rsidR="00DB3EB7">
        <w:rPr>
          <w:lang w:val="en-GB"/>
        </w:rPr>
        <w:t>On my reading, i</w:t>
      </w:r>
      <w:r w:rsidR="001A1BB1">
        <w:rPr>
          <w:lang w:val="en-GB"/>
        </w:rPr>
        <w:t>ntermediary functions vested in KGA for the notice month</w:t>
      </w:r>
      <w:r w:rsidR="00C07CFD">
        <w:rPr>
          <w:lang w:val="en-GB"/>
        </w:rPr>
        <w:t>, but not beyond</w:t>
      </w:r>
      <w:r w:rsidR="001A1BB1">
        <w:rPr>
          <w:lang w:val="en-GB"/>
        </w:rPr>
        <w:t xml:space="preserve">. </w:t>
      </w:r>
      <w:r w:rsidR="00DC6ED6">
        <w:rPr>
          <w:lang w:val="en-GB"/>
        </w:rPr>
        <w:t xml:space="preserve">It must be accepted that the linked Master Policy </w:t>
      </w:r>
      <w:r w:rsidR="00756624">
        <w:rPr>
          <w:lang w:val="en-GB"/>
        </w:rPr>
        <w:t>similarly fell away and was treated by both parties as cancelled</w:t>
      </w:r>
      <w:r w:rsidR="00911F75">
        <w:rPr>
          <w:lang w:val="en-GB"/>
        </w:rPr>
        <w:t xml:space="preserve"> upon expiration of the notice period</w:t>
      </w:r>
      <w:r w:rsidR="004830F4">
        <w:rPr>
          <w:lang w:val="en-GB"/>
        </w:rPr>
        <w:t>.</w:t>
      </w:r>
      <w:r w:rsidR="002049F5">
        <w:rPr>
          <w:lang w:val="en-GB"/>
        </w:rPr>
        <w:t xml:space="preserve"> There is nothing in the Master Policy or </w:t>
      </w:r>
      <w:r w:rsidR="00CF7B47">
        <w:rPr>
          <w:lang w:val="en-GB"/>
        </w:rPr>
        <w:t xml:space="preserve">intermediary </w:t>
      </w:r>
      <w:r w:rsidR="002049F5">
        <w:rPr>
          <w:lang w:val="en-GB"/>
        </w:rPr>
        <w:t xml:space="preserve">agreement to suggest that Multisure could not </w:t>
      </w:r>
      <w:r w:rsidR="00B50164">
        <w:rPr>
          <w:lang w:val="en-GB"/>
        </w:rPr>
        <w:t>occasion this</w:t>
      </w:r>
      <w:r w:rsidR="002049F5">
        <w:rPr>
          <w:lang w:val="en-GB"/>
        </w:rPr>
        <w:t xml:space="preserve"> in one sweep and on behalf of all its clients, who are the members referred to in the Master Policy. </w:t>
      </w:r>
      <w:r w:rsidR="00EB36FB">
        <w:rPr>
          <w:lang w:val="en-GB"/>
        </w:rPr>
        <w:t xml:space="preserve">In fact, it was not open to the member to do so directly. While cessation of cover would occur at the death of the member, subject to clause 4.2 of the Master Policy, or when a monthly premium was not received by KGA timeously, the member could not cancel their own membership </w:t>
      </w:r>
      <w:r w:rsidR="00B23186">
        <w:rPr>
          <w:lang w:val="en-GB"/>
        </w:rPr>
        <w:t xml:space="preserve">with KGA </w:t>
      </w:r>
      <w:r w:rsidR="00EB36FB">
        <w:rPr>
          <w:lang w:val="en-GB"/>
        </w:rPr>
        <w:t>or themselves cancel the Master Policy. It was incumbent upon Multisure to perform either of those acts</w:t>
      </w:r>
      <w:r w:rsidR="00070D98">
        <w:rPr>
          <w:lang w:val="en-GB"/>
        </w:rPr>
        <w:t>, bearing in mind its contract with its client</w:t>
      </w:r>
      <w:r w:rsidR="00CC5E31">
        <w:rPr>
          <w:lang w:val="en-GB"/>
        </w:rPr>
        <w:t>s</w:t>
      </w:r>
      <w:r w:rsidR="00DE2817">
        <w:rPr>
          <w:lang w:val="en-GB"/>
        </w:rPr>
        <w:t xml:space="preserve"> linked to funeral insurance</w:t>
      </w:r>
      <w:r w:rsidR="00EB36FB">
        <w:rPr>
          <w:lang w:val="en-GB"/>
        </w:rPr>
        <w:t>.</w:t>
      </w:r>
      <w:r w:rsidR="00322049">
        <w:rPr>
          <w:lang w:val="en-GB"/>
        </w:rPr>
        <w:t xml:space="preserve"> </w:t>
      </w:r>
      <w:r w:rsidR="00531E3D">
        <w:rPr>
          <w:lang w:val="en-GB"/>
        </w:rPr>
        <w:t xml:space="preserve">As indicated, that contract effectively incorporates the Master Policy, affording it pre-eminence where necessary </w:t>
      </w:r>
      <w:r w:rsidR="00A70113">
        <w:rPr>
          <w:lang w:val="en-GB"/>
        </w:rPr>
        <w:t>and referring to it as containing the ‘full rules and conditions of this contract’.</w:t>
      </w:r>
      <w:r w:rsidR="00531E3D">
        <w:rPr>
          <w:lang w:val="en-GB"/>
        </w:rPr>
        <w:t xml:space="preserve">  </w:t>
      </w:r>
    </w:p>
    <w:p w14:paraId="4168A054" w14:textId="2C1D9F7F" w:rsidR="00E90682" w:rsidRPr="00E90682" w:rsidRDefault="00E90682" w:rsidP="00E90682">
      <w:pPr>
        <w:pStyle w:val="ListParagraph"/>
        <w:rPr>
          <w:lang w:val="en-GB"/>
        </w:rPr>
      </w:pPr>
    </w:p>
    <w:p w14:paraId="74C599AB" w14:textId="6E592DD7" w:rsidR="00B46C3A" w:rsidRDefault="00B604F9" w:rsidP="00654201">
      <w:pPr>
        <w:pStyle w:val="ListParagraph"/>
        <w:numPr>
          <w:ilvl w:val="0"/>
          <w:numId w:val="10"/>
        </w:numPr>
        <w:autoSpaceDE w:val="0"/>
        <w:autoSpaceDN w:val="0"/>
        <w:adjustRightInd w:val="0"/>
        <w:ind w:left="142" w:hanging="142"/>
        <w:jc w:val="both"/>
        <w:rPr>
          <w:lang w:val="en-GB"/>
        </w:rPr>
      </w:pPr>
      <w:r>
        <w:rPr>
          <w:lang w:val="en-GB"/>
        </w:rPr>
        <w:lastRenderedPageBreak/>
        <w:t xml:space="preserve">Such action </w:t>
      </w:r>
      <w:r w:rsidR="004778D6">
        <w:rPr>
          <w:lang w:val="en-GB"/>
        </w:rPr>
        <w:t xml:space="preserve">on the part of Multisure on behalf of </w:t>
      </w:r>
      <w:r w:rsidR="00601AA2">
        <w:rPr>
          <w:lang w:val="en-GB"/>
        </w:rPr>
        <w:t>its client</w:t>
      </w:r>
      <w:r w:rsidR="005032C7">
        <w:rPr>
          <w:lang w:val="en-GB"/>
        </w:rPr>
        <w:t>s</w:t>
      </w:r>
      <w:r w:rsidR="00601AA2">
        <w:rPr>
          <w:lang w:val="en-GB"/>
        </w:rPr>
        <w:t xml:space="preserve"> </w:t>
      </w:r>
      <w:r w:rsidR="00A906E3">
        <w:rPr>
          <w:lang w:val="en-GB"/>
        </w:rPr>
        <w:t xml:space="preserve">is consistent with </w:t>
      </w:r>
      <w:r w:rsidR="00FA3779">
        <w:rPr>
          <w:lang w:val="en-GB"/>
        </w:rPr>
        <w:t xml:space="preserve">the provisions in the Master Policy </w:t>
      </w:r>
      <w:r w:rsidR="00AB1253">
        <w:rPr>
          <w:lang w:val="en-GB"/>
        </w:rPr>
        <w:t xml:space="preserve">that apply </w:t>
      </w:r>
      <w:r w:rsidR="00FA3779">
        <w:rPr>
          <w:lang w:val="en-GB"/>
        </w:rPr>
        <w:t>in the event of death of a member.</w:t>
      </w:r>
      <w:r w:rsidR="004729DC">
        <w:rPr>
          <w:rStyle w:val="FootnoteReference"/>
          <w:lang w:val="en-GB"/>
        </w:rPr>
        <w:footnoteReference w:id="34"/>
      </w:r>
      <w:r w:rsidR="00FA3779">
        <w:rPr>
          <w:lang w:val="en-GB"/>
        </w:rPr>
        <w:t xml:space="preserve"> A qualifying spouse automatically becomes the new member, and the funeral policy is converted to either a single policy or individual policy. </w:t>
      </w:r>
      <w:r w:rsidR="007470F4">
        <w:rPr>
          <w:lang w:val="en-GB"/>
        </w:rPr>
        <w:t>No amendment form is required by KGA.</w:t>
      </w:r>
      <w:r w:rsidR="008B773D">
        <w:rPr>
          <w:lang w:val="en-GB"/>
        </w:rPr>
        <w:t xml:space="preserve"> The Master Policy states that ‘The onus shall rest with the Policyholder to instruct the Assurer to cancel the Funeral Policy if the spouse does not wish to continue with the Funeral Policy’.</w:t>
      </w:r>
      <w:r w:rsidR="007470F4">
        <w:rPr>
          <w:lang w:val="en-GB"/>
        </w:rPr>
        <w:t xml:space="preserve"> </w:t>
      </w:r>
      <w:r w:rsidR="00D1522A">
        <w:rPr>
          <w:lang w:val="en-GB"/>
        </w:rPr>
        <w:t xml:space="preserve">As indicated, ‘policyholder’ in this context refers to Multisure. </w:t>
      </w:r>
      <w:r w:rsidR="004F16EA">
        <w:rPr>
          <w:lang w:val="en-GB"/>
        </w:rPr>
        <w:t>In other words, it is not the member who performs the act of cancellation</w:t>
      </w:r>
      <w:r w:rsidR="00BE693B">
        <w:rPr>
          <w:lang w:val="en-GB"/>
        </w:rPr>
        <w:t xml:space="preserve"> themselves</w:t>
      </w:r>
      <w:r w:rsidR="004F16EA">
        <w:rPr>
          <w:lang w:val="en-GB"/>
        </w:rPr>
        <w:t>. Multisure</w:t>
      </w:r>
      <w:r w:rsidR="0044711B">
        <w:rPr>
          <w:lang w:val="en-GB"/>
        </w:rPr>
        <w:t xml:space="preserve">, having been responsible for payment of the monthly premium </w:t>
      </w:r>
      <w:r w:rsidR="002F4B3E">
        <w:rPr>
          <w:lang w:val="en-GB"/>
        </w:rPr>
        <w:t xml:space="preserve">to KGA </w:t>
      </w:r>
      <w:r w:rsidR="0044711B">
        <w:rPr>
          <w:lang w:val="en-GB"/>
        </w:rPr>
        <w:t>in respect of every member</w:t>
      </w:r>
      <w:r w:rsidR="00E00C64">
        <w:rPr>
          <w:lang w:val="en-GB"/>
        </w:rPr>
        <w:t xml:space="preserve"> in terms of the Master Policy</w:t>
      </w:r>
      <w:r w:rsidR="0044711B">
        <w:rPr>
          <w:lang w:val="en-GB"/>
        </w:rPr>
        <w:t>,</w:t>
      </w:r>
      <w:r w:rsidR="004F16EA">
        <w:rPr>
          <w:lang w:val="en-GB"/>
        </w:rPr>
        <w:t xml:space="preserve"> does so on behalf of the member and by way of an instruction to KGA. </w:t>
      </w:r>
      <w:r w:rsidR="00424D9D">
        <w:rPr>
          <w:lang w:val="en-GB"/>
        </w:rPr>
        <w:t>That there are multiple members that have given Multisure this power does not change the position</w:t>
      </w:r>
      <w:r w:rsidR="005926E1">
        <w:rPr>
          <w:lang w:val="en-GB"/>
        </w:rPr>
        <w:t>. I</w:t>
      </w:r>
      <w:r w:rsidR="00424D9D">
        <w:rPr>
          <w:lang w:val="en-GB"/>
        </w:rPr>
        <w:t xml:space="preserve">ts cancellation of the </w:t>
      </w:r>
      <w:r w:rsidR="00B124DE">
        <w:rPr>
          <w:lang w:val="en-GB"/>
        </w:rPr>
        <w:t xml:space="preserve">intermediary agreement marked the end of KGA’s role as underwriter </w:t>
      </w:r>
      <w:r w:rsidR="00A93B6D">
        <w:rPr>
          <w:lang w:val="en-GB"/>
        </w:rPr>
        <w:t xml:space="preserve">to its clients </w:t>
      </w:r>
      <w:r w:rsidR="00B124DE">
        <w:rPr>
          <w:lang w:val="en-GB"/>
        </w:rPr>
        <w:t xml:space="preserve">and it was </w:t>
      </w:r>
      <w:r w:rsidR="004640CA">
        <w:rPr>
          <w:lang w:val="en-GB"/>
        </w:rPr>
        <w:t xml:space="preserve">contractually </w:t>
      </w:r>
      <w:r w:rsidR="00B124DE">
        <w:rPr>
          <w:lang w:val="en-GB"/>
        </w:rPr>
        <w:t xml:space="preserve">obliged to inform each of its clients of this reality. </w:t>
      </w:r>
      <w:r w:rsidR="002D733F">
        <w:rPr>
          <w:lang w:val="en-GB"/>
        </w:rPr>
        <w:t xml:space="preserve">It follows that the </w:t>
      </w:r>
      <w:r w:rsidR="00424D9D">
        <w:rPr>
          <w:lang w:val="en-GB"/>
        </w:rPr>
        <w:t>Master Policy</w:t>
      </w:r>
      <w:r w:rsidR="002D733F">
        <w:rPr>
          <w:lang w:val="en-GB"/>
        </w:rPr>
        <w:t xml:space="preserve"> could not survive this cancellation.</w:t>
      </w:r>
      <w:r w:rsidR="00424D9D">
        <w:rPr>
          <w:lang w:val="en-GB"/>
        </w:rPr>
        <w:t xml:space="preserve"> </w:t>
      </w:r>
    </w:p>
    <w:p w14:paraId="4111303D" w14:textId="77777777" w:rsidR="009D51FB" w:rsidRPr="00030BE8" w:rsidRDefault="009D51FB" w:rsidP="00030BE8">
      <w:pPr>
        <w:rPr>
          <w:lang w:val="en-GB"/>
        </w:rPr>
      </w:pPr>
    </w:p>
    <w:p w14:paraId="2E73F28A" w14:textId="1EA1BF3A" w:rsidR="00055CE0" w:rsidRPr="00030BE8" w:rsidRDefault="00CD5935" w:rsidP="00030BE8">
      <w:pPr>
        <w:pStyle w:val="ListParagraph"/>
        <w:numPr>
          <w:ilvl w:val="0"/>
          <w:numId w:val="10"/>
        </w:numPr>
        <w:autoSpaceDE w:val="0"/>
        <w:autoSpaceDN w:val="0"/>
        <w:adjustRightInd w:val="0"/>
        <w:ind w:left="142" w:hanging="142"/>
        <w:jc w:val="both"/>
        <w:rPr>
          <w:lang w:val="en-GB"/>
        </w:rPr>
      </w:pPr>
      <w:r w:rsidRPr="00CD5935">
        <w:rPr>
          <w:lang w:val="en-GB"/>
        </w:rPr>
        <w:t>KGA</w:t>
      </w:r>
      <w:r w:rsidR="00B604F9">
        <w:rPr>
          <w:lang w:val="en-GB"/>
        </w:rPr>
        <w:t>’s</w:t>
      </w:r>
      <w:r w:rsidRPr="00CD5935">
        <w:rPr>
          <w:lang w:val="en-GB"/>
        </w:rPr>
        <w:t xml:space="preserve"> reli</w:t>
      </w:r>
      <w:r w:rsidR="00B604F9">
        <w:rPr>
          <w:lang w:val="en-GB"/>
        </w:rPr>
        <w:t>ance</w:t>
      </w:r>
      <w:r w:rsidRPr="00CD5935">
        <w:rPr>
          <w:lang w:val="en-GB"/>
        </w:rPr>
        <w:t xml:space="preserve"> on the legislative change to justify its position</w:t>
      </w:r>
      <w:r w:rsidR="00B604F9">
        <w:rPr>
          <w:lang w:val="en-GB"/>
        </w:rPr>
        <w:t xml:space="preserve"> appears to me to be </w:t>
      </w:r>
      <w:r w:rsidR="0012227A">
        <w:rPr>
          <w:lang w:val="en-GB"/>
        </w:rPr>
        <w:t>tenuous</w:t>
      </w:r>
      <w:r w:rsidRPr="00CD5935">
        <w:rPr>
          <w:lang w:val="en-GB"/>
        </w:rPr>
        <w:t xml:space="preserve">. </w:t>
      </w:r>
      <w:r w:rsidR="004F1FC4">
        <w:rPr>
          <w:lang w:val="en-GB"/>
        </w:rPr>
        <w:t>On its interpretation,</w:t>
      </w:r>
      <w:r w:rsidR="00120CAF">
        <w:rPr>
          <w:lang w:val="en-GB"/>
        </w:rPr>
        <w:t xml:space="preserve"> each individual member must cancel the Master Policy directly with it simply because the erstwhile definition of a ‘group scheme’ has given way (at least for newer policies) to a new definition of a ‘group’. That interpretation conflicts with the wording of the </w:t>
      </w:r>
      <w:r w:rsidR="00CF7B47">
        <w:rPr>
          <w:lang w:val="en-GB"/>
        </w:rPr>
        <w:t xml:space="preserve">intermediary </w:t>
      </w:r>
      <w:r w:rsidR="00120CAF">
        <w:rPr>
          <w:lang w:val="en-GB"/>
        </w:rPr>
        <w:t xml:space="preserve">agreement, the Master Policy and the contract. </w:t>
      </w:r>
      <w:r w:rsidR="009701BC">
        <w:rPr>
          <w:lang w:val="en-GB"/>
        </w:rPr>
        <w:t xml:space="preserve">It </w:t>
      </w:r>
      <w:r w:rsidR="00182BC2">
        <w:rPr>
          <w:lang w:val="en-GB"/>
        </w:rPr>
        <w:t xml:space="preserve">appears to impose an obligation on members where none previously existed, and without proper appreciation of the contractual arrangements at play. </w:t>
      </w:r>
      <w:r w:rsidR="009B2A3D">
        <w:rPr>
          <w:lang w:val="en-GB"/>
        </w:rPr>
        <w:t>Despite the wording of the various agreements, i</w:t>
      </w:r>
      <w:r w:rsidR="00D16D3D">
        <w:rPr>
          <w:lang w:val="en-GB"/>
        </w:rPr>
        <w:t>t eliminates Multisure</w:t>
      </w:r>
      <w:r w:rsidR="009B2A3D">
        <w:rPr>
          <w:lang w:val="en-GB"/>
        </w:rPr>
        <w:t xml:space="preserve"> </w:t>
      </w:r>
      <w:r w:rsidR="00D16D3D">
        <w:rPr>
          <w:lang w:val="en-GB"/>
        </w:rPr>
        <w:t xml:space="preserve">from the picture as if it were not the focal point of the entire </w:t>
      </w:r>
      <w:r w:rsidR="00B5583F">
        <w:rPr>
          <w:lang w:val="en-GB"/>
        </w:rPr>
        <w:t xml:space="preserve">scheme. </w:t>
      </w:r>
      <w:r w:rsidR="00030BE8">
        <w:rPr>
          <w:lang w:val="en-GB"/>
        </w:rPr>
        <w:t>Each of Multisure’s clients had granted it a mandate for purposes of obtaining funeral insurance. Once KGA</w:t>
      </w:r>
      <w:r w:rsidR="00821AC0">
        <w:rPr>
          <w:lang w:val="en-GB"/>
        </w:rPr>
        <w:t>’s role as underwriter</w:t>
      </w:r>
      <w:r w:rsidR="00030BE8">
        <w:rPr>
          <w:lang w:val="en-GB"/>
        </w:rPr>
        <w:t xml:space="preserve"> fell away, preventing these persons from maintaining their relationship with Multisure and from being covered by AUL would be to their detriment. It may also amount to contravention of the Policyholder Protection Rules (Long-term Insurance), 2017 (‘PPR’) requirements for the fair treatment of policyholders.</w:t>
      </w:r>
      <w:r w:rsidR="003D07DA">
        <w:rPr>
          <w:lang w:val="en-GB"/>
        </w:rPr>
        <w:t xml:space="preserve"> </w:t>
      </w:r>
      <w:r w:rsidR="00B617DA">
        <w:rPr>
          <w:lang w:val="en-GB"/>
        </w:rPr>
        <w:t xml:space="preserve">Multisure’s mandate included providing payment instructions to their </w:t>
      </w:r>
      <w:r w:rsidR="00B617DA">
        <w:rPr>
          <w:lang w:val="en-GB"/>
        </w:rPr>
        <w:lastRenderedPageBreak/>
        <w:t>clients’ bank</w:t>
      </w:r>
      <w:r w:rsidR="00EE19C1">
        <w:rPr>
          <w:lang w:val="en-GB"/>
        </w:rPr>
        <w:t>s</w:t>
      </w:r>
      <w:r w:rsidR="00B617DA">
        <w:rPr>
          <w:lang w:val="en-GB"/>
        </w:rPr>
        <w:t xml:space="preserve"> in order to obtain the necessary premium</w:t>
      </w:r>
      <w:r w:rsidR="002179C5">
        <w:rPr>
          <w:lang w:val="en-GB"/>
        </w:rPr>
        <w:t>s</w:t>
      </w:r>
      <w:r w:rsidR="00B617DA">
        <w:rPr>
          <w:lang w:val="en-GB"/>
        </w:rPr>
        <w:t xml:space="preserve"> on a monthly basis. </w:t>
      </w:r>
      <w:r w:rsidR="002C772D">
        <w:rPr>
          <w:lang w:val="en-GB"/>
        </w:rPr>
        <w:t xml:space="preserve">Transferring from one underwriter to another </w:t>
      </w:r>
      <w:r w:rsidR="008A320A">
        <w:rPr>
          <w:lang w:val="en-GB"/>
        </w:rPr>
        <w:t>would appear to fall within the terms of the contract</w:t>
      </w:r>
      <w:r w:rsidR="002179C5">
        <w:rPr>
          <w:lang w:val="en-GB"/>
        </w:rPr>
        <w:t>s</w:t>
      </w:r>
      <w:r w:rsidR="008A320A">
        <w:rPr>
          <w:lang w:val="en-GB"/>
        </w:rPr>
        <w:t xml:space="preserve"> of mandate</w:t>
      </w:r>
      <w:r w:rsidR="000B6CA6">
        <w:rPr>
          <w:lang w:val="en-GB"/>
        </w:rPr>
        <w:t>, based on the ordinary rules of interpretation</w:t>
      </w:r>
      <w:r w:rsidR="007776FB">
        <w:rPr>
          <w:lang w:val="en-GB"/>
        </w:rPr>
        <w:t xml:space="preserve">. Alternatively, </w:t>
      </w:r>
      <w:r w:rsidR="00FB406F">
        <w:rPr>
          <w:lang w:val="en-GB"/>
        </w:rPr>
        <w:t xml:space="preserve">in the event that this may have exceeded the expressed bounds, </w:t>
      </w:r>
      <w:r w:rsidR="007776FB">
        <w:rPr>
          <w:lang w:val="en-GB"/>
        </w:rPr>
        <w:t xml:space="preserve">it was open for clients to </w:t>
      </w:r>
      <w:r w:rsidR="00DC48EE">
        <w:rPr>
          <w:lang w:val="en-GB"/>
        </w:rPr>
        <w:t>elect to reject Multisure’s performance of its mandate</w:t>
      </w:r>
      <w:r w:rsidR="00203288">
        <w:rPr>
          <w:lang w:val="en-GB"/>
        </w:rPr>
        <w:t xml:space="preserve"> when they were advised of the change.</w:t>
      </w:r>
      <w:r w:rsidR="00A837B0">
        <w:rPr>
          <w:rStyle w:val="FootnoteReference"/>
          <w:lang w:val="en-GB"/>
        </w:rPr>
        <w:footnoteReference w:id="35"/>
      </w:r>
      <w:r w:rsidR="008E666B">
        <w:rPr>
          <w:lang w:val="en-GB"/>
        </w:rPr>
        <w:t xml:space="preserve"> SMS messages were sent to each client</w:t>
      </w:r>
      <w:r w:rsidR="00755D84">
        <w:rPr>
          <w:lang w:val="en-GB"/>
        </w:rPr>
        <w:t xml:space="preserve"> as early as 30 June 2021</w:t>
      </w:r>
      <w:r w:rsidR="008E666B">
        <w:rPr>
          <w:lang w:val="en-GB"/>
        </w:rPr>
        <w:t xml:space="preserve">, coupled with website </w:t>
      </w:r>
      <w:r w:rsidR="004865F4">
        <w:rPr>
          <w:lang w:val="en-GB"/>
        </w:rPr>
        <w:t xml:space="preserve">and postal </w:t>
      </w:r>
      <w:r w:rsidR="008E666B">
        <w:rPr>
          <w:lang w:val="en-GB"/>
        </w:rPr>
        <w:t>notification</w:t>
      </w:r>
      <w:r w:rsidR="00C67E97">
        <w:rPr>
          <w:lang w:val="en-GB"/>
        </w:rPr>
        <w:t xml:space="preserve"> during July 2021.</w:t>
      </w:r>
    </w:p>
    <w:p w14:paraId="312C6BAE" w14:textId="77777777" w:rsidR="00055CE0" w:rsidRPr="00055CE0" w:rsidRDefault="00055CE0" w:rsidP="00055CE0">
      <w:pPr>
        <w:pStyle w:val="ListParagraph"/>
        <w:rPr>
          <w:lang w:val="en-GB"/>
        </w:rPr>
      </w:pPr>
    </w:p>
    <w:p w14:paraId="37B7E0DD" w14:textId="00B2DF73" w:rsidR="00FF70E8" w:rsidRDefault="00CA1CC6" w:rsidP="00FF70E8">
      <w:pPr>
        <w:pStyle w:val="ListParagraph"/>
        <w:numPr>
          <w:ilvl w:val="0"/>
          <w:numId w:val="10"/>
        </w:numPr>
        <w:autoSpaceDE w:val="0"/>
        <w:autoSpaceDN w:val="0"/>
        <w:adjustRightInd w:val="0"/>
        <w:ind w:left="142" w:hanging="142"/>
        <w:jc w:val="both"/>
        <w:rPr>
          <w:lang w:val="en-GB"/>
        </w:rPr>
      </w:pPr>
      <w:r w:rsidRPr="00A21BCB">
        <w:rPr>
          <w:i/>
          <w:iCs/>
          <w:lang w:val="en-GB"/>
        </w:rPr>
        <w:t>Mr Nepgen</w:t>
      </w:r>
      <w:r w:rsidR="00E6033F" w:rsidRPr="00A21BCB">
        <w:rPr>
          <w:lang w:val="en-GB"/>
        </w:rPr>
        <w:t>, for Multisure,</w:t>
      </w:r>
      <w:r w:rsidRPr="00A21BCB">
        <w:rPr>
          <w:i/>
          <w:iCs/>
          <w:lang w:val="en-GB"/>
        </w:rPr>
        <w:t xml:space="preserve"> </w:t>
      </w:r>
      <w:r w:rsidRPr="00A21BCB">
        <w:rPr>
          <w:lang w:val="en-GB"/>
        </w:rPr>
        <w:t>pointed out that a</w:t>
      </w:r>
      <w:r w:rsidR="005248C6" w:rsidRPr="00A21BCB">
        <w:rPr>
          <w:lang w:val="en-GB"/>
        </w:rPr>
        <w:t xml:space="preserve">ccepting KGA’s proposition </w:t>
      </w:r>
      <w:r w:rsidR="00CF7B47" w:rsidRPr="00A21BCB">
        <w:rPr>
          <w:lang w:val="en-GB"/>
        </w:rPr>
        <w:t xml:space="preserve">would </w:t>
      </w:r>
      <w:r w:rsidR="009137F1">
        <w:rPr>
          <w:lang w:val="en-GB"/>
        </w:rPr>
        <w:t xml:space="preserve">mean that it </w:t>
      </w:r>
      <w:r w:rsidR="0022475B">
        <w:rPr>
          <w:lang w:val="en-GB"/>
        </w:rPr>
        <w:t>was</w:t>
      </w:r>
      <w:r w:rsidR="00CF7B47" w:rsidRPr="00A21BCB">
        <w:rPr>
          <w:lang w:val="en-GB"/>
        </w:rPr>
        <w:t xml:space="preserve"> entitled to cancel the intermediary agreement</w:t>
      </w:r>
      <w:r w:rsidR="00BC067E" w:rsidRPr="00A21BCB">
        <w:rPr>
          <w:lang w:val="en-GB"/>
        </w:rPr>
        <w:t xml:space="preserve"> itself at any time after the legislative developments, retain all Multisure’s clients until individual communication was received </w:t>
      </w:r>
      <w:r w:rsidR="002B39FC" w:rsidRPr="00A21BCB">
        <w:rPr>
          <w:lang w:val="en-GB"/>
        </w:rPr>
        <w:t xml:space="preserve">from </w:t>
      </w:r>
      <w:r w:rsidR="00BC067E" w:rsidRPr="00A21BCB">
        <w:rPr>
          <w:lang w:val="en-GB"/>
        </w:rPr>
        <w:t xml:space="preserve">each of those clients and retain the entire insurance premium </w:t>
      </w:r>
      <w:r w:rsidR="00265A21" w:rsidRPr="00A21BCB">
        <w:rPr>
          <w:lang w:val="en-GB"/>
        </w:rPr>
        <w:t xml:space="preserve">on an ongoing basis </w:t>
      </w:r>
      <w:r w:rsidR="00BC067E" w:rsidRPr="00A21BCB">
        <w:rPr>
          <w:lang w:val="en-GB"/>
        </w:rPr>
        <w:t xml:space="preserve">without any deduction of commission. </w:t>
      </w:r>
      <w:r w:rsidR="00DB0557" w:rsidRPr="00A21BCB">
        <w:rPr>
          <w:lang w:val="en-GB"/>
        </w:rPr>
        <w:t xml:space="preserve">It is difficult to accept that this could have been the legislature’s intention in crafting Schedule 2 of the Act. </w:t>
      </w:r>
      <w:r w:rsidR="000D20E0" w:rsidRPr="00A21BCB">
        <w:rPr>
          <w:lang w:val="en-GB"/>
        </w:rPr>
        <w:t xml:space="preserve">This would amount to a legislative amendment creating </w:t>
      </w:r>
      <w:r w:rsidR="00AC632C">
        <w:rPr>
          <w:lang w:val="en-GB"/>
        </w:rPr>
        <w:t xml:space="preserve">some </w:t>
      </w:r>
      <w:r w:rsidR="000D20E0" w:rsidRPr="00A21BCB">
        <w:rPr>
          <w:lang w:val="en-GB"/>
        </w:rPr>
        <w:t>new contractual relationships</w:t>
      </w:r>
      <w:r w:rsidR="000923DA">
        <w:rPr>
          <w:lang w:val="en-GB"/>
        </w:rPr>
        <w:t xml:space="preserve"> and terminating others</w:t>
      </w:r>
      <w:r w:rsidR="000D20E0" w:rsidRPr="00A21BCB">
        <w:rPr>
          <w:lang w:val="en-GB"/>
        </w:rPr>
        <w:t xml:space="preserve">. </w:t>
      </w:r>
      <w:r w:rsidR="00BC067E" w:rsidRPr="00A21BCB">
        <w:rPr>
          <w:lang w:val="en-GB"/>
        </w:rPr>
        <w:t>Such an outcome</w:t>
      </w:r>
      <w:r w:rsidR="004B0B1B">
        <w:rPr>
          <w:lang w:val="en-GB"/>
        </w:rPr>
        <w:t>, in this instance,</w:t>
      </w:r>
      <w:r w:rsidR="00BC067E" w:rsidRPr="00A21BCB">
        <w:rPr>
          <w:lang w:val="en-GB"/>
        </w:rPr>
        <w:t xml:space="preserve"> would be manifestly unjust.</w:t>
      </w:r>
      <w:r w:rsidR="003E4610" w:rsidRPr="00A21BCB">
        <w:rPr>
          <w:lang w:val="en-GB"/>
        </w:rPr>
        <w:t xml:space="preserve"> </w:t>
      </w:r>
      <w:r w:rsidR="00442FBB" w:rsidRPr="00A21BCB">
        <w:rPr>
          <w:lang w:val="en-GB"/>
        </w:rPr>
        <w:t>That aside, there appears to be no basis to interpret any of the agreements or the legislation and regulations in such a manner.</w:t>
      </w:r>
      <w:r w:rsidR="00424D9D" w:rsidRPr="00A21BCB">
        <w:rPr>
          <w:lang w:val="en-GB"/>
        </w:rPr>
        <w:t xml:space="preserve"> </w:t>
      </w:r>
      <w:r w:rsidR="00502084" w:rsidRPr="00A21BCB">
        <w:rPr>
          <w:lang w:val="en-GB"/>
        </w:rPr>
        <w:t>It certainly does not appear to have been the intention of any of the parties to the various agreements that KGA, as underwriter, would somehow overtake Multisure and become party to an arrangement with Multisure’s clients in its absence</w:t>
      </w:r>
      <w:r w:rsidR="00A71327" w:rsidRPr="00A21BCB">
        <w:rPr>
          <w:lang w:val="en-GB"/>
        </w:rPr>
        <w:t xml:space="preserve"> as intermedia</w:t>
      </w:r>
      <w:r w:rsidR="000C3711" w:rsidRPr="00A21BCB">
        <w:rPr>
          <w:lang w:val="en-GB"/>
        </w:rPr>
        <w:t>ry</w:t>
      </w:r>
      <w:r w:rsidR="00502084" w:rsidRPr="00A21BCB">
        <w:rPr>
          <w:lang w:val="en-GB"/>
        </w:rPr>
        <w:t>.</w:t>
      </w:r>
      <w:r w:rsidR="009A4D30">
        <w:rPr>
          <w:rStyle w:val="FootnoteReference"/>
          <w:lang w:val="en-GB"/>
        </w:rPr>
        <w:footnoteReference w:id="36"/>
      </w:r>
      <w:r w:rsidR="00252499" w:rsidRPr="00A21BCB">
        <w:rPr>
          <w:lang w:val="en-GB"/>
        </w:rPr>
        <w:t xml:space="preserve"> </w:t>
      </w:r>
    </w:p>
    <w:p w14:paraId="1FB8B008" w14:textId="77777777" w:rsidR="00A21BCB" w:rsidRPr="00A21BCB" w:rsidRDefault="00A21BCB" w:rsidP="00A21BCB">
      <w:pPr>
        <w:autoSpaceDE w:val="0"/>
        <w:autoSpaceDN w:val="0"/>
        <w:adjustRightInd w:val="0"/>
        <w:jc w:val="both"/>
        <w:rPr>
          <w:lang w:val="en-GB"/>
        </w:rPr>
      </w:pPr>
    </w:p>
    <w:p w14:paraId="5E003118" w14:textId="22B03356" w:rsidR="00DD2D28" w:rsidRDefault="00B43FB2" w:rsidP="00CD5935">
      <w:pPr>
        <w:pStyle w:val="ListParagraph"/>
        <w:numPr>
          <w:ilvl w:val="0"/>
          <w:numId w:val="10"/>
        </w:numPr>
        <w:autoSpaceDE w:val="0"/>
        <w:autoSpaceDN w:val="0"/>
        <w:adjustRightInd w:val="0"/>
        <w:ind w:left="142" w:hanging="142"/>
        <w:jc w:val="both"/>
        <w:rPr>
          <w:lang w:val="en-GB"/>
        </w:rPr>
      </w:pPr>
      <w:r>
        <w:rPr>
          <w:lang w:val="en-GB"/>
        </w:rPr>
        <w:t>Finally, i</w:t>
      </w:r>
      <w:r w:rsidR="00156148">
        <w:rPr>
          <w:lang w:val="en-GB"/>
        </w:rPr>
        <w:t>t is important to add reference to</w:t>
      </w:r>
      <w:r w:rsidR="000A6C9E">
        <w:rPr>
          <w:lang w:val="en-GB"/>
        </w:rPr>
        <w:t xml:space="preserve"> the PPR </w:t>
      </w:r>
      <w:r w:rsidR="00156148">
        <w:rPr>
          <w:lang w:val="en-GB"/>
        </w:rPr>
        <w:t>provisos as to ‘validity of contracts’ in support of this understanding:</w:t>
      </w:r>
    </w:p>
    <w:p w14:paraId="036CAC76" w14:textId="6CDF3FAE" w:rsidR="00156148" w:rsidRDefault="00156148" w:rsidP="00156148">
      <w:pPr>
        <w:autoSpaceDE w:val="0"/>
        <w:autoSpaceDN w:val="0"/>
        <w:adjustRightInd w:val="0"/>
        <w:ind w:left="142"/>
        <w:jc w:val="both"/>
        <w:rPr>
          <w:sz w:val="22"/>
          <w:szCs w:val="22"/>
          <w:lang w:val="en-GB"/>
        </w:rPr>
      </w:pPr>
      <w:r>
        <w:rPr>
          <w:sz w:val="22"/>
          <w:szCs w:val="22"/>
          <w:lang w:val="en-GB"/>
        </w:rPr>
        <w:t xml:space="preserve">‘7.3.1 A policy </w:t>
      </w:r>
      <w:r w:rsidR="0054639C">
        <w:rPr>
          <w:sz w:val="22"/>
          <w:szCs w:val="22"/>
          <w:lang w:val="en-GB"/>
        </w:rPr>
        <w:t xml:space="preserve">is </w:t>
      </w:r>
      <w:r>
        <w:rPr>
          <w:sz w:val="22"/>
          <w:szCs w:val="22"/>
          <w:lang w:val="en-GB"/>
        </w:rPr>
        <w:t>not void merely because a provision of a law, including a provision of the Act or the Insurance Act, has been contravened or not complied with in connection with that policy.</w:t>
      </w:r>
    </w:p>
    <w:p w14:paraId="2EE70997" w14:textId="18697E31" w:rsidR="00156148" w:rsidRDefault="00156148" w:rsidP="00156148">
      <w:pPr>
        <w:autoSpaceDE w:val="0"/>
        <w:autoSpaceDN w:val="0"/>
        <w:adjustRightInd w:val="0"/>
        <w:ind w:left="142"/>
        <w:jc w:val="both"/>
        <w:rPr>
          <w:sz w:val="22"/>
          <w:szCs w:val="22"/>
          <w:lang w:val="en-GB"/>
        </w:rPr>
      </w:pPr>
      <w:r>
        <w:rPr>
          <w:sz w:val="22"/>
          <w:szCs w:val="22"/>
          <w:lang w:val="en-GB"/>
        </w:rPr>
        <w:lastRenderedPageBreak/>
        <w:t>7.3.2 If a person has entered into a policy with an insurer who was, in terms of the Act or the Insurance Act, prohibited from entering or not authorised to enter into the policy … that person … may cancel the policy, whereupon that person shall be deemed to be in the same legal position in respect of such insurer … as if the policy had been cancelled by that person on account of a breach of contract by such insurer …’</w:t>
      </w:r>
    </w:p>
    <w:p w14:paraId="221ACD75" w14:textId="77777777" w:rsidR="00F849D8" w:rsidRDefault="00F849D8" w:rsidP="00156148">
      <w:pPr>
        <w:autoSpaceDE w:val="0"/>
        <w:autoSpaceDN w:val="0"/>
        <w:adjustRightInd w:val="0"/>
        <w:ind w:left="142"/>
        <w:jc w:val="both"/>
        <w:rPr>
          <w:sz w:val="22"/>
          <w:szCs w:val="22"/>
          <w:lang w:val="en-GB"/>
        </w:rPr>
      </w:pPr>
    </w:p>
    <w:p w14:paraId="5C03ABB5" w14:textId="124B0A74" w:rsidR="00695644" w:rsidRDefault="00D90CC9" w:rsidP="00A21BCB">
      <w:pPr>
        <w:pStyle w:val="ListParagraph"/>
        <w:numPr>
          <w:ilvl w:val="0"/>
          <w:numId w:val="10"/>
        </w:numPr>
        <w:autoSpaceDE w:val="0"/>
        <w:autoSpaceDN w:val="0"/>
        <w:adjustRightInd w:val="0"/>
        <w:ind w:left="142" w:hanging="142"/>
        <w:jc w:val="both"/>
        <w:rPr>
          <w:lang w:val="en-GB"/>
        </w:rPr>
      </w:pPr>
      <w:r>
        <w:rPr>
          <w:lang w:val="en-GB"/>
        </w:rPr>
        <w:t xml:space="preserve">This confirms </w:t>
      </w:r>
      <w:r w:rsidR="00037B32">
        <w:rPr>
          <w:lang w:val="en-GB"/>
        </w:rPr>
        <w:t>the extent to which</w:t>
      </w:r>
      <w:r>
        <w:rPr>
          <w:lang w:val="en-GB"/>
        </w:rPr>
        <w:t xml:space="preserve"> </w:t>
      </w:r>
      <w:r w:rsidR="003A362D">
        <w:rPr>
          <w:lang w:val="en-GB"/>
        </w:rPr>
        <w:t xml:space="preserve">policyholder </w:t>
      </w:r>
      <w:r w:rsidR="00037B32">
        <w:rPr>
          <w:lang w:val="en-GB"/>
        </w:rPr>
        <w:t xml:space="preserve">protection is extended. Even a violation of </w:t>
      </w:r>
      <w:r w:rsidR="001701CB">
        <w:rPr>
          <w:lang w:val="en-GB"/>
        </w:rPr>
        <w:t xml:space="preserve">insurance law does not </w:t>
      </w:r>
      <w:r w:rsidR="009A3CE8">
        <w:rPr>
          <w:lang w:val="en-GB"/>
        </w:rPr>
        <w:t>necessarily invalidate a policy</w:t>
      </w:r>
      <w:r w:rsidR="00FC3C19">
        <w:rPr>
          <w:lang w:val="en-GB"/>
        </w:rPr>
        <w:t xml:space="preserve">. </w:t>
      </w:r>
      <w:r w:rsidR="00E03A80">
        <w:rPr>
          <w:lang w:val="en-GB"/>
        </w:rPr>
        <w:t xml:space="preserve">Failure to convert a group policy to individual policies following the statutory change to the notion of a ‘group’ may fall within </w:t>
      </w:r>
      <w:r w:rsidR="008D488B">
        <w:rPr>
          <w:lang w:val="en-GB"/>
        </w:rPr>
        <w:t xml:space="preserve">this form of protection, to the benefit of the </w:t>
      </w:r>
      <w:r w:rsidR="008132B6">
        <w:rPr>
          <w:lang w:val="en-GB"/>
        </w:rPr>
        <w:t>individuals concerned</w:t>
      </w:r>
      <w:r w:rsidR="00FF30EC">
        <w:rPr>
          <w:lang w:val="en-GB"/>
        </w:rPr>
        <w:t>.</w:t>
      </w:r>
      <w:r w:rsidR="00F877AC">
        <w:rPr>
          <w:lang w:val="en-GB"/>
        </w:rPr>
        <w:t xml:space="preserve"> </w:t>
      </w:r>
      <w:r w:rsidR="00FE1BAE">
        <w:rPr>
          <w:lang w:val="en-GB"/>
        </w:rPr>
        <w:t>Following this logic, t</w:t>
      </w:r>
      <w:r w:rsidR="00F877AC">
        <w:rPr>
          <w:lang w:val="en-GB"/>
        </w:rPr>
        <w:t xml:space="preserve">he purported transfer of the </w:t>
      </w:r>
      <w:r w:rsidR="00FE1BAE">
        <w:rPr>
          <w:lang w:val="en-GB"/>
        </w:rPr>
        <w:t>‘g</w:t>
      </w:r>
      <w:r w:rsidR="00F877AC">
        <w:rPr>
          <w:lang w:val="en-GB"/>
        </w:rPr>
        <w:t>roup</w:t>
      </w:r>
      <w:r w:rsidR="00FE1BAE">
        <w:rPr>
          <w:lang w:val="en-GB"/>
        </w:rPr>
        <w:t xml:space="preserve">’ from KGA to AUL at Multisure’s instance, even if in </w:t>
      </w:r>
      <w:r w:rsidR="00837748">
        <w:rPr>
          <w:lang w:val="en-GB"/>
        </w:rPr>
        <w:t>contravention of insurance law because of the new definition of a ‘group’</w:t>
      </w:r>
      <w:r w:rsidR="00BC6AA2">
        <w:rPr>
          <w:lang w:val="en-GB"/>
        </w:rPr>
        <w:t xml:space="preserve">, would not automatically invalidate those policies. </w:t>
      </w:r>
      <w:r w:rsidR="00205818">
        <w:rPr>
          <w:lang w:val="en-GB"/>
        </w:rPr>
        <w:t xml:space="preserve">Policyholders who had </w:t>
      </w:r>
      <w:r w:rsidR="00841177">
        <w:rPr>
          <w:lang w:val="en-GB"/>
        </w:rPr>
        <w:t xml:space="preserve">individually </w:t>
      </w:r>
      <w:r w:rsidR="00205818">
        <w:rPr>
          <w:lang w:val="en-GB"/>
        </w:rPr>
        <w:t xml:space="preserve">mandated Multisure to obtain funeral cover for them </w:t>
      </w:r>
      <w:r w:rsidR="00D861D3">
        <w:rPr>
          <w:lang w:val="en-GB"/>
        </w:rPr>
        <w:t>may</w:t>
      </w:r>
      <w:r w:rsidR="00205818">
        <w:rPr>
          <w:lang w:val="en-GB"/>
        </w:rPr>
        <w:t xml:space="preserve"> </w:t>
      </w:r>
      <w:r w:rsidR="00841177">
        <w:rPr>
          <w:lang w:val="en-GB"/>
        </w:rPr>
        <w:t xml:space="preserve">be transferred to AUL because of </w:t>
      </w:r>
      <w:r w:rsidR="007B4374">
        <w:rPr>
          <w:lang w:val="en-GB"/>
        </w:rPr>
        <w:t>these</w:t>
      </w:r>
      <w:r w:rsidR="00841177">
        <w:rPr>
          <w:lang w:val="en-GB"/>
        </w:rPr>
        <w:t xml:space="preserve"> mandate</w:t>
      </w:r>
      <w:r w:rsidR="007B4374">
        <w:rPr>
          <w:lang w:val="en-GB"/>
        </w:rPr>
        <w:t>s</w:t>
      </w:r>
      <w:r w:rsidR="00841177">
        <w:rPr>
          <w:lang w:val="en-GB"/>
        </w:rPr>
        <w:t xml:space="preserve">, and </w:t>
      </w:r>
      <w:r w:rsidR="00D861D3">
        <w:rPr>
          <w:lang w:val="en-GB"/>
        </w:rPr>
        <w:t xml:space="preserve">will </w:t>
      </w:r>
      <w:r w:rsidR="00205818">
        <w:rPr>
          <w:lang w:val="en-GB"/>
        </w:rPr>
        <w:t xml:space="preserve">remain protected </w:t>
      </w:r>
      <w:r w:rsidR="00CD5AE2">
        <w:rPr>
          <w:lang w:val="en-GB"/>
        </w:rPr>
        <w:t>once transferred</w:t>
      </w:r>
      <w:r w:rsidR="00205818">
        <w:rPr>
          <w:lang w:val="en-GB"/>
        </w:rPr>
        <w:t xml:space="preserve"> to AUL.</w:t>
      </w:r>
      <w:r w:rsidR="00D861D3">
        <w:rPr>
          <w:lang w:val="en-GB"/>
        </w:rPr>
        <w:t xml:space="preserve"> </w:t>
      </w:r>
      <w:r w:rsidR="00695644">
        <w:rPr>
          <w:lang w:val="en-GB"/>
        </w:rPr>
        <w:t>It might be added that this appears to be consistent with trade usage and the notion of a ‘transfer of book’. Given that the elements of such a trade usage have not been fully canvassed, I make no finding in this regard.</w:t>
      </w:r>
      <w:r w:rsidR="00695644">
        <w:rPr>
          <w:rStyle w:val="FootnoteReference"/>
          <w:lang w:val="en-GB"/>
        </w:rPr>
        <w:footnoteReference w:id="37"/>
      </w:r>
    </w:p>
    <w:p w14:paraId="71B0C606" w14:textId="77777777" w:rsidR="00695644" w:rsidRDefault="00695644" w:rsidP="00695644">
      <w:pPr>
        <w:pStyle w:val="ListParagraph"/>
        <w:autoSpaceDE w:val="0"/>
        <w:autoSpaceDN w:val="0"/>
        <w:adjustRightInd w:val="0"/>
        <w:ind w:left="142"/>
        <w:jc w:val="both"/>
        <w:rPr>
          <w:lang w:val="en-GB"/>
        </w:rPr>
      </w:pPr>
    </w:p>
    <w:p w14:paraId="6BE685B8" w14:textId="40BCDFF4" w:rsidR="00FF70E8" w:rsidRPr="00A21BCB" w:rsidRDefault="00857963" w:rsidP="00A21BCB">
      <w:pPr>
        <w:pStyle w:val="ListParagraph"/>
        <w:numPr>
          <w:ilvl w:val="0"/>
          <w:numId w:val="10"/>
        </w:numPr>
        <w:autoSpaceDE w:val="0"/>
        <w:autoSpaceDN w:val="0"/>
        <w:adjustRightInd w:val="0"/>
        <w:ind w:left="142" w:hanging="142"/>
        <w:jc w:val="both"/>
        <w:rPr>
          <w:lang w:val="en-GB"/>
        </w:rPr>
      </w:pPr>
      <w:r>
        <w:rPr>
          <w:lang w:val="en-GB"/>
        </w:rPr>
        <w:t xml:space="preserve">It </w:t>
      </w:r>
      <w:r w:rsidR="00003FD7">
        <w:rPr>
          <w:lang w:val="en-GB"/>
        </w:rPr>
        <w:t>would</w:t>
      </w:r>
      <w:r>
        <w:rPr>
          <w:lang w:val="en-GB"/>
        </w:rPr>
        <w:t xml:space="preserve"> then </w:t>
      </w:r>
      <w:r w:rsidR="00003FD7">
        <w:rPr>
          <w:lang w:val="en-GB"/>
        </w:rPr>
        <w:t xml:space="preserve">be </w:t>
      </w:r>
      <w:r>
        <w:rPr>
          <w:lang w:val="en-GB"/>
        </w:rPr>
        <w:t>for AUL to comply with the applicable insurance law and regulations</w:t>
      </w:r>
      <w:r w:rsidR="00D430D0">
        <w:rPr>
          <w:lang w:val="en-GB"/>
        </w:rPr>
        <w:t xml:space="preserve">, in respect of </w:t>
      </w:r>
      <w:r w:rsidR="00935F4C">
        <w:rPr>
          <w:lang w:val="en-GB"/>
        </w:rPr>
        <w:t xml:space="preserve">its </w:t>
      </w:r>
      <w:r w:rsidR="00D430D0">
        <w:rPr>
          <w:lang w:val="en-GB"/>
        </w:rPr>
        <w:t>licencing requirements and the like</w:t>
      </w:r>
      <w:r>
        <w:rPr>
          <w:lang w:val="en-GB"/>
        </w:rPr>
        <w:t xml:space="preserve">. </w:t>
      </w:r>
      <w:r w:rsidR="004C6BC6">
        <w:rPr>
          <w:lang w:val="en-GB"/>
        </w:rPr>
        <w:t xml:space="preserve">KGA had no difficulty in persisting </w:t>
      </w:r>
      <w:r w:rsidR="00AF3F75">
        <w:rPr>
          <w:lang w:val="en-GB"/>
        </w:rPr>
        <w:t>as underwriter to the</w:t>
      </w:r>
      <w:r w:rsidR="004C6BC6">
        <w:rPr>
          <w:lang w:val="en-GB"/>
        </w:rPr>
        <w:t xml:space="preserve"> ‘group’ scheme subsequent to the amendments in 2018.</w:t>
      </w:r>
      <w:r w:rsidR="007A6876">
        <w:rPr>
          <w:lang w:val="en-GB"/>
        </w:rPr>
        <w:t xml:space="preserve"> This despite the notion of ‘underwritten on a group basis’ no longer being apposite given the change in definition</w:t>
      </w:r>
      <w:r w:rsidR="0021048C">
        <w:rPr>
          <w:lang w:val="en-GB"/>
        </w:rPr>
        <w:t xml:space="preserve"> to ‘group’. </w:t>
      </w:r>
      <w:r w:rsidR="00386330">
        <w:rPr>
          <w:lang w:val="en-GB"/>
        </w:rPr>
        <w:t>Since that change, t</w:t>
      </w:r>
      <w:r w:rsidR="00C040C8">
        <w:rPr>
          <w:lang w:val="en-GB"/>
        </w:rPr>
        <w:t xml:space="preserve">he risks covered by such underwriting </w:t>
      </w:r>
      <w:r w:rsidR="00386330">
        <w:rPr>
          <w:lang w:val="en-GB"/>
        </w:rPr>
        <w:t>should</w:t>
      </w:r>
      <w:r w:rsidR="00DC44DC">
        <w:rPr>
          <w:lang w:val="en-GB"/>
        </w:rPr>
        <w:t xml:space="preserve"> not</w:t>
      </w:r>
      <w:r w:rsidR="00C040C8">
        <w:rPr>
          <w:lang w:val="en-GB"/>
        </w:rPr>
        <w:t xml:space="preserve"> </w:t>
      </w:r>
      <w:r w:rsidR="00386330">
        <w:rPr>
          <w:lang w:val="en-GB"/>
        </w:rPr>
        <w:t xml:space="preserve">have </w:t>
      </w:r>
      <w:r w:rsidR="001D3117">
        <w:rPr>
          <w:lang w:val="en-GB"/>
        </w:rPr>
        <w:t xml:space="preserve">been </w:t>
      </w:r>
      <w:r w:rsidR="00C040C8">
        <w:rPr>
          <w:lang w:val="en-GB"/>
        </w:rPr>
        <w:t xml:space="preserve">‘rated based on the characteristics of a group of people together, as opposed to that of the </w:t>
      </w:r>
      <w:r w:rsidR="004F462A">
        <w:rPr>
          <w:lang w:val="en-GB"/>
        </w:rPr>
        <w:t xml:space="preserve">… </w:t>
      </w:r>
      <w:r w:rsidR="00C040C8">
        <w:rPr>
          <w:lang w:val="en-GB"/>
        </w:rPr>
        <w:t>individuals to whom the policy relates</w:t>
      </w:r>
      <w:r w:rsidR="00DC44DC">
        <w:rPr>
          <w:lang w:val="en-GB"/>
        </w:rPr>
        <w:t>’</w:t>
      </w:r>
      <w:r w:rsidR="00C040C8">
        <w:rPr>
          <w:lang w:val="en-GB"/>
        </w:rPr>
        <w:t>.</w:t>
      </w:r>
      <w:r w:rsidR="000E4B55">
        <w:rPr>
          <w:lang w:val="en-GB"/>
        </w:rPr>
        <w:t xml:space="preserve"> </w:t>
      </w:r>
      <w:r w:rsidR="004F462A">
        <w:rPr>
          <w:lang w:val="en-GB"/>
        </w:rPr>
        <w:t xml:space="preserve">The position seems to be that AUL will be obliged to rate the risk as underwriter on an individual basis. </w:t>
      </w:r>
      <w:r w:rsidR="008E1EB8">
        <w:rPr>
          <w:lang w:val="en-GB"/>
        </w:rPr>
        <w:t xml:space="preserve">Again, it is not necessary to make a definitive finding in this regard for present purposes. </w:t>
      </w:r>
      <w:r w:rsidR="00A21BCB">
        <w:rPr>
          <w:lang w:val="en-GB"/>
        </w:rPr>
        <w:t xml:space="preserve">To the extent that the order </w:t>
      </w:r>
      <w:r w:rsidR="00847608">
        <w:rPr>
          <w:lang w:val="en-GB"/>
        </w:rPr>
        <w:t xml:space="preserve">of Schoeman J </w:t>
      </w:r>
      <w:r w:rsidR="002465B2">
        <w:rPr>
          <w:lang w:val="en-GB"/>
        </w:rPr>
        <w:t>may</w:t>
      </w:r>
      <w:r w:rsidR="00A21BCB">
        <w:rPr>
          <w:lang w:val="en-GB"/>
        </w:rPr>
        <w:t xml:space="preserve"> </w:t>
      </w:r>
      <w:r w:rsidR="00781883">
        <w:rPr>
          <w:lang w:val="en-GB"/>
        </w:rPr>
        <w:t xml:space="preserve">be </w:t>
      </w:r>
      <w:r w:rsidR="00A21BCB">
        <w:rPr>
          <w:lang w:val="en-GB"/>
        </w:rPr>
        <w:t xml:space="preserve">found to erroneously refer to a ‘group scheme’ with AUL, instead of making reference to </w:t>
      </w:r>
      <w:r w:rsidR="00192D9D">
        <w:rPr>
          <w:lang w:val="en-GB"/>
        </w:rPr>
        <w:t>‘</w:t>
      </w:r>
      <w:r w:rsidR="00A21BCB">
        <w:rPr>
          <w:lang w:val="en-GB"/>
        </w:rPr>
        <w:t>individual</w:t>
      </w:r>
      <w:r w:rsidR="00192D9D">
        <w:rPr>
          <w:lang w:val="en-GB"/>
        </w:rPr>
        <w:t>’</w:t>
      </w:r>
      <w:r w:rsidR="00A21BCB">
        <w:rPr>
          <w:lang w:val="en-GB"/>
        </w:rPr>
        <w:t xml:space="preserve"> cover for Multisure’s clients because of the </w:t>
      </w:r>
      <w:r w:rsidR="00A21BCB">
        <w:rPr>
          <w:lang w:val="en-GB"/>
        </w:rPr>
        <w:lastRenderedPageBreak/>
        <w:t xml:space="preserve">legislative change, this may be cured by </w:t>
      </w:r>
      <w:r w:rsidR="00307E72">
        <w:rPr>
          <w:lang w:val="en-GB"/>
        </w:rPr>
        <w:t xml:space="preserve">amendment or </w:t>
      </w:r>
      <w:r w:rsidR="00A21BCB">
        <w:rPr>
          <w:lang w:val="en-GB"/>
        </w:rPr>
        <w:t>variation</w:t>
      </w:r>
      <w:r w:rsidR="00307E72">
        <w:rPr>
          <w:lang w:val="en-GB"/>
        </w:rPr>
        <w:t xml:space="preserve"> of the order</w:t>
      </w:r>
      <w:r w:rsidR="00A21BCB">
        <w:rPr>
          <w:lang w:val="en-GB"/>
        </w:rPr>
        <w:t>.</w:t>
      </w:r>
      <w:r w:rsidR="00307E72">
        <w:rPr>
          <w:lang w:val="en-GB"/>
        </w:rPr>
        <w:t xml:space="preserve"> </w:t>
      </w:r>
      <w:r w:rsidR="007D0C0B">
        <w:rPr>
          <w:lang w:val="en-GB"/>
        </w:rPr>
        <w:t xml:space="preserve">In all these circumstances, the prospects of success on appeal appear to be limited and exceptional circumstances have been demonstrated for purposes of </w:t>
      </w:r>
      <w:r w:rsidR="005B170C">
        <w:rPr>
          <w:lang w:val="en-GB"/>
        </w:rPr>
        <w:t>this application</w:t>
      </w:r>
      <w:r w:rsidR="007D0C0B">
        <w:rPr>
          <w:lang w:val="en-GB"/>
        </w:rPr>
        <w:t>.</w:t>
      </w:r>
    </w:p>
    <w:p w14:paraId="4868427B" w14:textId="1A67B1DD" w:rsidR="00DD2D28" w:rsidRDefault="00DD2D28" w:rsidP="005A0AF8">
      <w:pPr>
        <w:rPr>
          <w:lang w:val="en-GB"/>
        </w:rPr>
      </w:pPr>
    </w:p>
    <w:p w14:paraId="171F206A" w14:textId="648CFC74" w:rsidR="005A0AF8" w:rsidRDefault="005A0AF8" w:rsidP="005A0AF8">
      <w:pPr>
        <w:rPr>
          <w:b/>
          <w:bCs/>
          <w:lang w:val="en-GB"/>
        </w:rPr>
      </w:pPr>
      <w:r>
        <w:rPr>
          <w:b/>
          <w:bCs/>
          <w:lang w:val="en-GB"/>
        </w:rPr>
        <w:t>Irreparable harm</w:t>
      </w:r>
    </w:p>
    <w:p w14:paraId="0FBDE282" w14:textId="77777777" w:rsidR="005A0AF8" w:rsidRPr="005A0AF8" w:rsidRDefault="005A0AF8" w:rsidP="005A0AF8">
      <w:pPr>
        <w:rPr>
          <w:b/>
          <w:bCs/>
          <w:lang w:val="en-GB"/>
        </w:rPr>
      </w:pPr>
    </w:p>
    <w:p w14:paraId="55C49566" w14:textId="0FB72A1A" w:rsidR="00E5435C" w:rsidRDefault="00CF3AB3" w:rsidP="00CD5935">
      <w:pPr>
        <w:pStyle w:val="ListParagraph"/>
        <w:numPr>
          <w:ilvl w:val="0"/>
          <w:numId w:val="10"/>
        </w:numPr>
        <w:autoSpaceDE w:val="0"/>
        <w:autoSpaceDN w:val="0"/>
        <w:adjustRightInd w:val="0"/>
        <w:ind w:left="142" w:hanging="142"/>
        <w:jc w:val="both"/>
        <w:rPr>
          <w:lang w:val="en-GB"/>
        </w:rPr>
      </w:pPr>
      <w:r>
        <w:rPr>
          <w:lang w:val="en-GB"/>
        </w:rPr>
        <w:t>The</w:t>
      </w:r>
      <w:r w:rsidR="00742307">
        <w:rPr>
          <w:lang w:val="en-GB"/>
        </w:rPr>
        <w:t xml:space="preserve"> requirement </w:t>
      </w:r>
      <w:r>
        <w:rPr>
          <w:lang w:val="en-GB"/>
        </w:rPr>
        <w:t xml:space="preserve">for Multisure to demonstrate </w:t>
      </w:r>
      <w:r w:rsidR="00252F97">
        <w:rPr>
          <w:lang w:val="en-GB"/>
        </w:rPr>
        <w:t xml:space="preserve">that it will suffer </w:t>
      </w:r>
      <w:r>
        <w:rPr>
          <w:lang w:val="en-GB"/>
        </w:rPr>
        <w:t xml:space="preserve">‘irreperable harm’ </w:t>
      </w:r>
      <w:r w:rsidR="009F4EE8">
        <w:rPr>
          <w:lang w:val="en-GB"/>
        </w:rPr>
        <w:t>if the relief it seeks is not granted is</w:t>
      </w:r>
      <w:r w:rsidR="00742307">
        <w:rPr>
          <w:lang w:val="en-GB"/>
        </w:rPr>
        <w:t xml:space="preserve">, in this instance, closely linked to the consideration of exceptional circumstance. In </w:t>
      </w:r>
      <w:r w:rsidR="00742307">
        <w:rPr>
          <w:i/>
          <w:iCs/>
          <w:lang w:val="en-GB"/>
        </w:rPr>
        <w:t>Premier for the Province of Gauteng and Others v DA and Others</w:t>
      </w:r>
      <w:r w:rsidR="00742307" w:rsidRPr="00CF4106">
        <w:rPr>
          <w:rStyle w:val="FootnoteReference"/>
          <w:lang w:val="en-GB"/>
        </w:rPr>
        <w:footnoteReference w:id="38"/>
      </w:r>
      <w:r w:rsidR="00742307" w:rsidRPr="00CF4106">
        <w:rPr>
          <w:lang w:val="en-GB"/>
        </w:rPr>
        <w:t xml:space="preserve"> </w:t>
      </w:r>
      <w:r w:rsidR="005E5F2C">
        <w:rPr>
          <w:lang w:val="en-GB"/>
        </w:rPr>
        <w:t xml:space="preserve">the SCA confirmed that there is no prohibition on the same set of facts giving rise to irreparable harm and exceptional circumstances. </w:t>
      </w:r>
      <w:r w:rsidR="001548C0">
        <w:rPr>
          <w:lang w:val="en-GB"/>
        </w:rPr>
        <w:t xml:space="preserve">The ordinary meaning of harm is ‘injury, damage or ill effect’. </w:t>
      </w:r>
      <w:r w:rsidR="00F83958">
        <w:rPr>
          <w:lang w:val="en-GB"/>
        </w:rPr>
        <w:t>For harm to be irreparable, the effects or consequences must be irreversible or permanent.</w:t>
      </w:r>
      <w:r w:rsidR="00F83958">
        <w:rPr>
          <w:rStyle w:val="FootnoteReference"/>
          <w:lang w:val="en-GB"/>
        </w:rPr>
        <w:footnoteReference w:id="39"/>
      </w:r>
      <w:r w:rsidR="00F83958">
        <w:rPr>
          <w:lang w:val="en-GB"/>
        </w:rPr>
        <w:t xml:space="preserve"> </w:t>
      </w:r>
      <w:r w:rsidR="005A28D1">
        <w:rPr>
          <w:lang w:val="en-GB"/>
        </w:rPr>
        <w:t>The financial harm occasioned to Multisure is continuous</w:t>
      </w:r>
      <w:r w:rsidR="00D02460">
        <w:rPr>
          <w:lang w:val="en-GB"/>
        </w:rPr>
        <w:t xml:space="preserve"> and serious</w:t>
      </w:r>
      <w:r w:rsidR="00FD281E">
        <w:rPr>
          <w:lang w:val="en-GB"/>
        </w:rPr>
        <w:t>, as described</w:t>
      </w:r>
      <w:r w:rsidR="005A28D1">
        <w:rPr>
          <w:lang w:val="en-GB"/>
        </w:rPr>
        <w:t xml:space="preserve">. </w:t>
      </w:r>
      <w:r w:rsidR="00B4391B">
        <w:rPr>
          <w:lang w:val="en-GB"/>
        </w:rPr>
        <w:t xml:space="preserve">The business is </w:t>
      </w:r>
      <w:r w:rsidR="00123279">
        <w:rPr>
          <w:lang w:val="en-GB"/>
        </w:rPr>
        <w:t>losing money</w:t>
      </w:r>
      <w:r w:rsidR="006835E9">
        <w:rPr>
          <w:lang w:val="en-GB"/>
        </w:rPr>
        <w:t xml:space="preserve"> with each passing month</w:t>
      </w:r>
      <w:r w:rsidR="00434E59">
        <w:rPr>
          <w:lang w:val="en-GB"/>
        </w:rPr>
        <w:t xml:space="preserve">. Multisure has downsized and been forced to rely on savings and the sale of shares. </w:t>
      </w:r>
      <w:r w:rsidR="00A35548">
        <w:rPr>
          <w:lang w:val="en-GB"/>
        </w:rPr>
        <w:t xml:space="preserve">Its owner has placed an immovable property on the market in order to raise further capital. </w:t>
      </w:r>
      <w:r w:rsidR="00B4391B">
        <w:rPr>
          <w:lang w:val="en-GB"/>
        </w:rPr>
        <w:t xml:space="preserve">It has established, on a balance of probabilities, that it will suffer irreparable harm </w:t>
      </w:r>
      <w:r w:rsidR="00355B5A">
        <w:rPr>
          <w:lang w:val="en-GB"/>
        </w:rPr>
        <w:t>if the relief sought is not granted.</w:t>
      </w:r>
    </w:p>
    <w:p w14:paraId="6B690CDE" w14:textId="77777777" w:rsidR="00EB699F" w:rsidRPr="00793EAF" w:rsidRDefault="00EB699F" w:rsidP="00793EAF">
      <w:pPr>
        <w:autoSpaceDE w:val="0"/>
        <w:autoSpaceDN w:val="0"/>
        <w:adjustRightInd w:val="0"/>
        <w:jc w:val="both"/>
        <w:rPr>
          <w:lang w:val="en-GB"/>
        </w:rPr>
      </w:pPr>
    </w:p>
    <w:p w14:paraId="4D385FC8" w14:textId="17064BEC" w:rsidR="00A61965" w:rsidRDefault="00A61965" w:rsidP="00A61965">
      <w:pPr>
        <w:pStyle w:val="ListParagraph"/>
        <w:numPr>
          <w:ilvl w:val="0"/>
          <w:numId w:val="10"/>
        </w:numPr>
        <w:autoSpaceDE w:val="0"/>
        <w:autoSpaceDN w:val="0"/>
        <w:adjustRightInd w:val="0"/>
        <w:ind w:left="142" w:hanging="142"/>
        <w:jc w:val="both"/>
        <w:rPr>
          <w:lang w:val="en-GB"/>
        </w:rPr>
      </w:pPr>
      <w:r>
        <w:rPr>
          <w:lang w:val="en-GB"/>
        </w:rPr>
        <w:t xml:space="preserve">As to the potential harm to KGA, Multisure took the point </w:t>
      </w:r>
      <w:r w:rsidR="0080630A">
        <w:rPr>
          <w:lang w:val="en-GB"/>
        </w:rPr>
        <w:t xml:space="preserve">that </w:t>
      </w:r>
      <w:r w:rsidR="00B226D3">
        <w:rPr>
          <w:lang w:val="en-GB"/>
        </w:rPr>
        <w:t xml:space="preserve">KGA will no longer be on risk </w:t>
      </w:r>
      <w:r w:rsidR="003F2F05">
        <w:rPr>
          <w:lang w:val="en-GB"/>
        </w:rPr>
        <w:t>pending determination of the appeal</w:t>
      </w:r>
      <w:r w:rsidR="009C06C6">
        <w:rPr>
          <w:lang w:val="en-GB"/>
        </w:rPr>
        <w:t xml:space="preserve"> by the SCA</w:t>
      </w:r>
      <w:r w:rsidR="003F2F05">
        <w:rPr>
          <w:lang w:val="en-GB"/>
        </w:rPr>
        <w:t>. A</w:t>
      </w:r>
      <w:r>
        <w:rPr>
          <w:lang w:val="en-GB"/>
        </w:rPr>
        <w:t>ny financial losses could be rectified by a return of premiums to KGA if it succeed</w:t>
      </w:r>
      <w:r w:rsidR="00BE6890">
        <w:rPr>
          <w:lang w:val="en-GB"/>
        </w:rPr>
        <w:t>s</w:t>
      </w:r>
      <w:r>
        <w:rPr>
          <w:lang w:val="en-GB"/>
        </w:rPr>
        <w:t xml:space="preserve"> with its appeal.</w:t>
      </w:r>
      <w:r w:rsidR="00BE6890">
        <w:rPr>
          <w:lang w:val="en-GB"/>
        </w:rPr>
        <w:t xml:space="preserve"> </w:t>
      </w:r>
      <w:r w:rsidR="00071DB1">
        <w:rPr>
          <w:lang w:val="en-GB"/>
        </w:rPr>
        <w:t xml:space="preserve">The probabilities favour this conclusion, so that Multisure succeeds in proving that KGA will not suffer irreparable harm if the order </w:t>
      </w:r>
      <w:r w:rsidR="003D7E46">
        <w:rPr>
          <w:lang w:val="en-GB"/>
        </w:rPr>
        <w:t>is implemented immediately</w:t>
      </w:r>
      <w:r w:rsidR="00A24DD7">
        <w:rPr>
          <w:lang w:val="en-GB"/>
        </w:rPr>
        <w:t>.</w:t>
      </w:r>
      <w:r w:rsidR="006E0F36">
        <w:rPr>
          <w:lang w:val="en-GB"/>
        </w:rPr>
        <w:t xml:space="preserve"> In any event, as </w:t>
      </w:r>
      <w:r w:rsidR="006E0F36">
        <w:rPr>
          <w:i/>
          <w:iCs/>
          <w:lang w:val="en-GB"/>
        </w:rPr>
        <w:t>Mr Nepgen</w:t>
      </w:r>
      <w:r w:rsidR="006E0F36">
        <w:rPr>
          <w:lang w:val="en-GB"/>
        </w:rPr>
        <w:t xml:space="preserve"> pointed out, Uniform Rule 49(12) has been interpreted to refer to the situation where execution follows an order in terms of s18 of the Superior Courts Act, 2013.</w:t>
      </w:r>
      <w:r w:rsidR="00B31997">
        <w:rPr>
          <w:lang w:val="en-GB"/>
        </w:rPr>
        <w:t xml:space="preserve"> The subrule provides for security for the restitution of any sum obtained upon execution</w:t>
      </w:r>
      <w:r w:rsidR="008D6A22">
        <w:rPr>
          <w:lang w:val="en-GB"/>
        </w:rPr>
        <w:t>. This supports</w:t>
      </w:r>
      <w:r w:rsidR="00B31997">
        <w:rPr>
          <w:lang w:val="en-GB"/>
        </w:rPr>
        <w:t xml:space="preserve"> the conclusion that </w:t>
      </w:r>
      <w:r w:rsidR="003127A8">
        <w:rPr>
          <w:lang w:val="en-GB"/>
        </w:rPr>
        <w:t xml:space="preserve">Multisure has succeeded in proving that </w:t>
      </w:r>
      <w:r w:rsidR="00B31997">
        <w:rPr>
          <w:lang w:val="en-GB"/>
        </w:rPr>
        <w:t xml:space="preserve">KGA </w:t>
      </w:r>
      <w:r w:rsidR="003127A8">
        <w:rPr>
          <w:lang w:val="en-GB"/>
        </w:rPr>
        <w:t>will not</w:t>
      </w:r>
      <w:r w:rsidR="00B31997">
        <w:rPr>
          <w:lang w:val="en-GB"/>
        </w:rPr>
        <w:t xml:space="preserve"> suffer irreparable harm</w:t>
      </w:r>
      <w:r w:rsidR="00195B91">
        <w:rPr>
          <w:lang w:val="en-GB"/>
        </w:rPr>
        <w:t xml:space="preserve"> if the order is implemented immediately.</w:t>
      </w:r>
      <w:r w:rsidR="003127A8">
        <w:rPr>
          <w:lang w:val="en-GB"/>
        </w:rPr>
        <w:t xml:space="preserve"> </w:t>
      </w:r>
    </w:p>
    <w:p w14:paraId="390855C7" w14:textId="48148203" w:rsidR="005368B0" w:rsidRDefault="005368B0" w:rsidP="005368B0">
      <w:pPr>
        <w:rPr>
          <w:lang w:val="en-GB"/>
        </w:rPr>
      </w:pPr>
    </w:p>
    <w:p w14:paraId="55CC7BB0" w14:textId="77777777" w:rsidR="00B62576" w:rsidRDefault="00B62576" w:rsidP="005368B0">
      <w:pPr>
        <w:rPr>
          <w:lang w:val="en-GB"/>
        </w:rPr>
      </w:pPr>
    </w:p>
    <w:p w14:paraId="424A08B8" w14:textId="6F6B71E1" w:rsidR="005368B0" w:rsidRDefault="005368B0" w:rsidP="005368B0">
      <w:pPr>
        <w:rPr>
          <w:b/>
          <w:bCs/>
          <w:lang w:val="en-GB"/>
        </w:rPr>
      </w:pPr>
      <w:r>
        <w:rPr>
          <w:b/>
          <w:bCs/>
          <w:lang w:val="en-GB"/>
        </w:rPr>
        <w:lastRenderedPageBreak/>
        <w:t>Non-joinder</w:t>
      </w:r>
    </w:p>
    <w:p w14:paraId="07FCC791" w14:textId="77777777" w:rsidR="005368B0" w:rsidRPr="005368B0" w:rsidRDefault="005368B0" w:rsidP="005368B0">
      <w:pPr>
        <w:rPr>
          <w:b/>
          <w:bCs/>
          <w:lang w:val="en-GB"/>
        </w:rPr>
      </w:pPr>
    </w:p>
    <w:p w14:paraId="388228EE" w14:textId="7468FE96" w:rsidR="00B04073" w:rsidRPr="00B04073" w:rsidRDefault="005368B0" w:rsidP="005368B0">
      <w:pPr>
        <w:pStyle w:val="ListParagraph"/>
        <w:numPr>
          <w:ilvl w:val="0"/>
          <w:numId w:val="10"/>
        </w:numPr>
        <w:autoSpaceDE w:val="0"/>
        <w:autoSpaceDN w:val="0"/>
        <w:adjustRightInd w:val="0"/>
        <w:ind w:left="142" w:hanging="142"/>
        <w:jc w:val="both"/>
        <w:rPr>
          <w:lang w:val="en-GB"/>
        </w:rPr>
      </w:pPr>
      <w:r w:rsidRPr="005368B0">
        <w:rPr>
          <w:lang w:val="en-US"/>
        </w:rPr>
        <w:t>The test for a plea of non-joinder or misjoinder is whether or not a party has a ‘direct and substantial interest’ in the subject matter of the action, that is, a legal interest in the subject matter of the litigation which may be affected prejudicially by the judgment of the court.</w:t>
      </w:r>
      <w:r w:rsidRPr="005368B0">
        <w:rPr>
          <w:rStyle w:val="FootnoteReference"/>
          <w:lang w:val="en-US"/>
        </w:rPr>
        <w:footnoteReference w:id="40"/>
      </w:r>
      <w:r w:rsidRPr="005368B0">
        <w:rPr>
          <w:lang w:val="en-US"/>
        </w:rPr>
        <w:t xml:space="preserve"> The mere fact that a party may have an interest in the outcome of the litigation does not warrant a non-joinder plea.</w:t>
      </w:r>
      <w:r w:rsidRPr="005368B0">
        <w:rPr>
          <w:rStyle w:val="FootnoteReference"/>
          <w:lang w:val="en-US"/>
        </w:rPr>
        <w:footnoteReference w:id="41"/>
      </w:r>
      <w:r w:rsidRPr="005368B0">
        <w:rPr>
          <w:lang w:val="en-US"/>
        </w:rPr>
        <w:t xml:space="preserve"> The rule is that any person is a necessary party and should be joined if such person has a direct and substantial interest in any order the court might make, or if such an order cannot be sustained or carried into effect without prejudicing that party.</w:t>
      </w:r>
      <w:r w:rsidRPr="005368B0">
        <w:rPr>
          <w:rStyle w:val="FootnoteReference"/>
          <w:lang w:val="en-US"/>
        </w:rPr>
        <w:footnoteReference w:id="42"/>
      </w:r>
      <w:r w:rsidR="002E7718">
        <w:rPr>
          <w:lang w:val="en-US"/>
        </w:rPr>
        <w:t xml:space="preserve"> </w:t>
      </w:r>
    </w:p>
    <w:p w14:paraId="7AFBAF4F" w14:textId="77777777" w:rsidR="00B04073" w:rsidRPr="00B04073" w:rsidRDefault="00B04073" w:rsidP="00B04073">
      <w:pPr>
        <w:pStyle w:val="ListParagraph"/>
        <w:autoSpaceDE w:val="0"/>
        <w:autoSpaceDN w:val="0"/>
        <w:adjustRightInd w:val="0"/>
        <w:ind w:left="142"/>
        <w:jc w:val="both"/>
        <w:rPr>
          <w:lang w:val="en-GB"/>
        </w:rPr>
      </w:pPr>
    </w:p>
    <w:p w14:paraId="66A1D99B" w14:textId="7FE40BD7" w:rsidR="005368B0" w:rsidRPr="002E7718" w:rsidRDefault="00875DDC" w:rsidP="005368B0">
      <w:pPr>
        <w:pStyle w:val="ListParagraph"/>
        <w:numPr>
          <w:ilvl w:val="0"/>
          <w:numId w:val="10"/>
        </w:numPr>
        <w:autoSpaceDE w:val="0"/>
        <w:autoSpaceDN w:val="0"/>
        <w:adjustRightInd w:val="0"/>
        <w:ind w:left="142" w:hanging="142"/>
        <w:jc w:val="both"/>
        <w:rPr>
          <w:lang w:val="en-GB"/>
        </w:rPr>
      </w:pPr>
      <w:r>
        <w:rPr>
          <w:lang w:val="en-US"/>
        </w:rPr>
        <w:t xml:space="preserve">The ‘subject matter’ of these proceedings relates </w:t>
      </w:r>
      <w:r w:rsidR="00F542F9">
        <w:rPr>
          <w:lang w:val="en-US"/>
        </w:rPr>
        <w:t xml:space="preserve">only </w:t>
      </w:r>
      <w:r>
        <w:rPr>
          <w:lang w:val="en-US"/>
        </w:rPr>
        <w:t xml:space="preserve">to whether the order should be brought into operation pending the appeal to the SCA. </w:t>
      </w:r>
      <w:r w:rsidR="00967AE9">
        <w:rPr>
          <w:lang w:val="en-US"/>
        </w:rPr>
        <w:t xml:space="preserve">That order was taken without any such joinder. </w:t>
      </w:r>
      <w:r w:rsidR="00907FA2">
        <w:rPr>
          <w:lang w:val="en-US"/>
        </w:rPr>
        <w:t>Nevertheless, I accept that these proceedings</w:t>
      </w:r>
      <w:r w:rsidR="00581535">
        <w:rPr>
          <w:lang w:val="en-US"/>
        </w:rPr>
        <w:t xml:space="preserve"> may well be of </w:t>
      </w:r>
      <w:r w:rsidR="00907FA2">
        <w:rPr>
          <w:lang w:val="en-US"/>
        </w:rPr>
        <w:t xml:space="preserve">some </w:t>
      </w:r>
      <w:r w:rsidR="00581535">
        <w:rPr>
          <w:lang w:val="en-US"/>
        </w:rPr>
        <w:t>interest to the individuals concerned. But g</w:t>
      </w:r>
      <w:r w:rsidR="002E7718">
        <w:rPr>
          <w:lang w:val="en-US"/>
        </w:rPr>
        <w:t xml:space="preserve">iven </w:t>
      </w:r>
      <w:r w:rsidR="00763418">
        <w:rPr>
          <w:lang w:val="en-US"/>
        </w:rPr>
        <w:t>the ‘transfer</w:t>
      </w:r>
      <w:r w:rsidR="0072666E">
        <w:rPr>
          <w:lang w:val="en-US"/>
        </w:rPr>
        <w:t>(</w:t>
      </w:r>
      <w:r w:rsidR="004E751D">
        <w:rPr>
          <w:lang w:val="en-US"/>
        </w:rPr>
        <w:t>s</w:t>
      </w:r>
      <w:r w:rsidR="0072666E">
        <w:rPr>
          <w:lang w:val="en-US"/>
        </w:rPr>
        <w:t>)</w:t>
      </w:r>
      <w:r w:rsidR="00763418">
        <w:rPr>
          <w:lang w:val="en-US"/>
        </w:rPr>
        <w:t>’ to AUL occasioned by the order</w:t>
      </w:r>
      <w:r w:rsidR="00464119">
        <w:rPr>
          <w:lang w:val="en-US"/>
        </w:rPr>
        <w:t xml:space="preserve">, I </w:t>
      </w:r>
      <w:r w:rsidR="00763418">
        <w:rPr>
          <w:lang w:val="en-US"/>
        </w:rPr>
        <w:t xml:space="preserve">am of the view that the persons insured have no direct and substantial interest </w:t>
      </w:r>
      <w:r w:rsidR="007E692A">
        <w:rPr>
          <w:lang w:val="en-US"/>
        </w:rPr>
        <w:t>that may be affected prejudicially by the judgment of this court</w:t>
      </w:r>
      <w:r w:rsidR="00763418">
        <w:rPr>
          <w:lang w:val="en-US"/>
        </w:rPr>
        <w:t xml:space="preserve">. </w:t>
      </w:r>
      <w:r w:rsidR="000B6692">
        <w:rPr>
          <w:lang w:val="en-US"/>
        </w:rPr>
        <w:t xml:space="preserve">The order sought by Multisure </w:t>
      </w:r>
      <w:r w:rsidR="00907FA2">
        <w:rPr>
          <w:lang w:val="en-US"/>
        </w:rPr>
        <w:t xml:space="preserve">in these proceedings, giving effect to the order of Schoeman J, </w:t>
      </w:r>
      <w:r w:rsidR="000B6692">
        <w:rPr>
          <w:lang w:val="en-US"/>
        </w:rPr>
        <w:t>is capable of being effected without substantially affecting their interests.</w:t>
      </w:r>
      <w:r w:rsidR="003A7FC2">
        <w:rPr>
          <w:lang w:val="en-US"/>
        </w:rPr>
        <w:t xml:space="preserve"> The plea must, therefore, be dismissed.</w:t>
      </w:r>
    </w:p>
    <w:p w14:paraId="35E57885" w14:textId="77777777" w:rsidR="002E7718" w:rsidRPr="005368B0" w:rsidRDefault="002E7718" w:rsidP="002E7718">
      <w:pPr>
        <w:pStyle w:val="ListParagraph"/>
        <w:autoSpaceDE w:val="0"/>
        <w:autoSpaceDN w:val="0"/>
        <w:adjustRightInd w:val="0"/>
        <w:ind w:left="142"/>
        <w:jc w:val="both"/>
        <w:rPr>
          <w:lang w:val="en-GB"/>
        </w:rPr>
      </w:pPr>
    </w:p>
    <w:p w14:paraId="65648D6B" w14:textId="5FD9F145" w:rsidR="007F5C50" w:rsidRPr="000416D5" w:rsidRDefault="000416D5" w:rsidP="000416D5">
      <w:pPr>
        <w:autoSpaceDE w:val="0"/>
        <w:autoSpaceDN w:val="0"/>
        <w:adjustRightInd w:val="0"/>
        <w:jc w:val="both"/>
        <w:rPr>
          <w:b/>
          <w:bCs/>
          <w:lang w:val="en-GB"/>
        </w:rPr>
      </w:pPr>
      <w:r>
        <w:rPr>
          <w:b/>
          <w:bCs/>
          <w:lang w:val="en-GB"/>
        </w:rPr>
        <w:t>Urgency</w:t>
      </w:r>
    </w:p>
    <w:p w14:paraId="2D031D4F" w14:textId="77777777" w:rsidR="003D57EE" w:rsidRPr="003D57EE" w:rsidRDefault="003D57EE" w:rsidP="003D57EE">
      <w:pPr>
        <w:rPr>
          <w:lang w:val="en-GB"/>
        </w:rPr>
      </w:pPr>
    </w:p>
    <w:p w14:paraId="180F31AB" w14:textId="77777777" w:rsidR="003D57EE" w:rsidRDefault="003D57EE" w:rsidP="003D57EE">
      <w:pPr>
        <w:pStyle w:val="ListParagraph"/>
        <w:numPr>
          <w:ilvl w:val="0"/>
          <w:numId w:val="10"/>
        </w:numPr>
        <w:autoSpaceDE w:val="0"/>
        <w:autoSpaceDN w:val="0"/>
        <w:adjustRightInd w:val="0"/>
        <w:ind w:left="142" w:hanging="142"/>
        <w:jc w:val="both"/>
        <w:rPr>
          <w:lang w:val="en-GB"/>
        </w:rPr>
      </w:pPr>
      <w:r>
        <w:rPr>
          <w:lang w:val="en-GB"/>
        </w:rPr>
        <w:t>The approach to adopt when dealing with an urgent application is governed by Uniform Rule 6(12). In terms of that rule, the court has discretionary power to dispense with the forms and service provided for in the rules and to dispose of the matter at such time and place and in such manner and in accordance with such procedure as it deems fit.</w:t>
      </w:r>
      <w:r>
        <w:rPr>
          <w:rStyle w:val="FootnoteReference"/>
          <w:lang w:val="en-GB"/>
        </w:rPr>
        <w:footnoteReference w:id="43"/>
      </w:r>
      <w:r>
        <w:rPr>
          <w:lang w:val="en-GB"/>
        </w:rPr>
        <w:t xml:space="preserve"> The first question is whether there must be a departure at all from the usual process.</w:t>
      </w:r>
      <w:r>
        <w:rPr>
          <w:rStyle w:val="FootnoteReference"/>
          <w:lang w:val="en-GB"/>
        </w:rPr>
        <w:footnoteReference w:id="44"/>
      </w:r>
      <w:r>
        <w:rPr>
          <w:lang w:val="en-GB"/>
        </w:rPr>
        <w:t xml:space="preserve"> </w:t>
      </w:r>
    </w:p>
    <w:p w14:paraId="19F11AE8" w14:textId="77777777" w:rsidR="003D57EE" w:rsidRDefault="003D57EE" w:rsidP="003D57EE">
      <w:pPr>
        <w:pStyle w:val="ListParagraph"/>
        <w:autoSpaceDE w:val="0"/>
        <w:autoSpaceDN w:val="0"/>
        <w:adjustRightInd w:val="0"/>
        <w:ind w:left="142"/>
        <w:jc w:val="both"/>
        <w:rPr>
          <w:lang w:val="en-GB"/>
        </w:rPr>
      </w:pPr>
    </w:p>
    <w:p w14:paraId="51A1E915" w14:textId="36D70085" w:rsidR="003D57EE" w:rsidRDefault="003D57EE" w:rsidP="003D57EE">
      <w:pPr>
        <w:pStyle w:val="ListParagraph"/>
        <w:numPr>
          <w:ilvl w:val="0"/>
          <w:numId w:val="10"/>
        </w:numPr>
        <w:autoSpaceDE w:val="0"/>
        <w:autoSpaceDN w:val="0"/>
        <w:adjustRightInd w:val="0"/>
        <w:ind w:left="142" w:hanging="142"/>
        <w:jc w:val="both"/>
        <w:rPr>
          <w:lang w:val="en-GB"/>
        </w:rPr>
      </w:pPr>
      <w:r>
        <w:rPr>
          <w:lang w:val="en-GB"/>
        </w:rPr>
        <w:t>The applicant is expected, in the founding affidavit, to ‘set forth explicitly the circumstances which is averred render the matter urgent and the reasons why the applicant claims that substantial redress could not be afforded at a hearing in due course’.</w:t>
      </w:r>
      <w:r>
        <w:rPr>
          <w:rStyle w:val="FootnoteReference"/>
          <w:lang w:val="en-GB"/>
        </w:rPr>
        <w:footnoteReference w:id="45"/>
      </w:r>
      <w:r>
        <w:rPr>
          <w:lang w:val="en-GB"/>
        </w:rPr>
        <w:t xml:space="preserve"> Put differently, if the matter were to follow its normal course as laid down by the rules, would the applicant be afforded substantial redress. If not, the matter qualifies to be enrolled and heard as an urgent application. If so, the application does not pass the test for urgency. The question as to the absence of ‘substantial redress’ in an application brought on usual timeframes lies at the heart of the question of urgency.</w:t>
      </w:r>
      <w:r>
        <w:rPr>
          <w:rStyle w:val="FootnoteReference"/>
          <w:lang w:val="en-GB"/>
        </w:rPr>
        <w:footnoteReference w:id="46"/>
      </w:r>
      <w:r>
        <w:rPr>
          <w:lang w:val="en-GB"/>
        </w:rPr>
        <w:t xml:space="preserve"> </w:t>
      </w:r>
    </w:p>
    <w:p w14:paraId="1AE835D2" w14:textId="77777777" w:rsidR="003D57EE" w:rsidRPr="003D57EE" w:rsidRDefault="003D57EE" w:rsidP="003D57EE">
      <w:pPr>
        <w:pStyle w:val="ListParagraph"/>
        <w:rPr>
          <w:lang w:val="en-GB"/>
        </w:rPr>
      </w:pPr>
    </w:p>
    <w:p w14:paraId="360243F2" w14:textId="77777777" w:rsidR="003D57EE" w:rsidRDefault="003D57EE" w:rsidP="003D57EE">
      <w:pPr>
        <w:pStyle w:val="ListParagraph"/>
        <w:numPr>
          <w:ilvl w:val="0"/>
          <w:numId w:val="10"/>
        </w:numPr>
        <w:autoSpaceDE w:val="0"/>
        <w:autoSpaceDN w:val="0"/>
        <w:adjustRightInd w:val="0"/>
        <w:ind w:left="142" w:hanging="142"/>
        <w:jc w:val="both"/>
        <w:rPr>
          <w:lang w:val="en-GB"/>
        </w:rPr>
      </w:pPr>
      <w:r>
        <w:rPr>
          <w:lang w:val="en-GB"/>
        </w:rPr>
        <w:t>In my view, the matter was properly launched on an urgent basis, although with some delay. Much of the perceived lateness is explained by the attempts to avoid litigation and other circumstances that arose in typical fashion for matters of this nature. Any prejudice to KGA is outweighed by the exigency of the matter and the impact of the current position on Multisure, as already indicated. The Uniform Rules must be interpreted to advance the right of access to courts and the present circumstances warrant a departure from the normal procedures and timeframes in the interests of justice.</w:t>
      </w:r>
    </w:p>
    <w:p w14:paraId="66102499" w14:textId="1458EF35" w:rsidR="00731F49" w:rsidRDefault="00731F49" w:rsidP="00731F49">
      <w:pPr>
        <w:autoSpaceDE w:val="0"/>
        <w:autoSpaceDN w:val="0"/>
        <w:adjustRightInd w:val="0"/>
        <w:jc w:val="both"/>
        <w:rPr>
          <w:lang w:val="en-GB"/>
        </w:rPr>
      </w:pPr>
    </w:p>
    <w:p w14:paraId="32DD6DC4" w14:textId="3FE33FD9" w:rsidR="00731F49" w:rsidRDefault="00731F49" w:rsidP="00731F49">
      <w:pPr>
        <w:autoSpaceDE w:val="0"/>
        <w:autoSpaceDN w:val="0"/>
        <w:adjustRightInd w:val="0"/>
        <w:jc w:val="both"/>
        <w:rPr>
          <w:b/>
          <w:bCs/>
          <w:lang w:val="en-GB"/>
        </w:rPr>
      </w:pPr>
      <w:r>
        <w:rPr>
          <w:b/>
          <w:bCs/>
          <w:lang w:val="en-GB"/>
        </w:rPr>
        <w:t>Conclusion</w:t>
      </w:r>
    </w:p>
    <w:p w14:paraId="0C152F3E" w14:textId="77777777" w:rsidR="00731F49" w:rsidRPr="00731F49" w:rsidRDefault="00731F49" w:rsidP="00731F49">
      <w:pPr>
        <w:autoSpaceDE w:val="0"/>
        <w:autoSpaceDN w:val="0"/>
        <w:adjustRightInd w:val="0"/>
        <w:jc w:val="both"/>
        <w:rPr>
          <w:b/>
          <w:bCs/>
          <w:lang w:val="en-GB"/>
        </w:rPr>
      </w:pPr>
    </w:p>
    <w:p w14:paraId="7225A1C1" w14:textId="3AD6A3FC" w:rsidR="000F2730" w:rsidRDefault="00731F49" w:rsidP="00561F7A">
      <w:pPr>
        <w:pStyle w:val="ListParagraph"/>
        <w:numPr>
          <w:ilvl w:val="0"/>
          <w:numId w:val="10"/>
        </w:numPr>
        <w:autoSpaceDE w:val="0"/>
        <w:autoSpaceDN w:val="0"/>
        <w:adjustRightInd w:val="0"/>
        <w:ind w:left="142" w:hanging="142"/>
        <w:jc w:val="both"/>
        <w:rPr>
          <w:lang w:val="en-GB"/>
        </w:rPr>
      </w:pPr>
      <w:r>
        <w:rPr>
          <w:lang w:val="en-GB"/>
        </w:rPr>
        <w:t xml:space="preserve">The </w:t>
      </w:r>
      <w:r w:rsidR="001E6068">
        <w:rPr>
          <w:lang w:val="en-GB"/>
        </w:rPr>
        <w:t xml:space="preserve">specified </w:t>
      </w:r>
      <w:r>
        <w:rPr>
          <w:lang w:val="en-GB"/>
        </w:rPr>
        <w:t>s 18 requirements for the relief sought have been satisfied. This court nevertheless retains a wide general discretion to determine the conditions upon which the right to execute should be exercised and considerations of what is just and equitable in the particular circumstances remain relevant.</w:t>
      </w:r>
      <w:r>
        <w:rPr>
          <w:rStyle w:val="FootnoteReference"/>
          <w:lang w:val="en-GB"/>
        </w:rPr>
        <w:footnoteReference w:id="47"/>
      </w:r>
      <w:r w:rsidR="00E8537C">
        <w:rPr>
          <w:lang w:val="en-GB"/>
        </w:rPr>
        <w:t xml:space="preserve"> </w:t>
      </w:r>
      <w:r w:rsidR="007D5AC1">
        <w:rPr>
          <w:lang w:val="en-GB"/>
        </w:rPr>
        <w:t xml:space="preserve">For reasons already canvassed as part of the consideration of the prospects of success on appeal, I </w:t>
      </w:r>
      <w:r w:rsidR="003E6C54">
        <w:rPr>
          <w:lang w:val="en-GB"/>
        </w:rPr>
        <w:t>am of the view that the intermediary agreement and Master Policy have been cancelled and are of no further force and effect from 1 September 2021</w:t>
      </w:r>
      <w:r w:rsidR="007D5AC1">
        <w:rPr>
          <w:lang w:val="en-GB"/>
        </w:rPr>
        <w:t xml:space="preserve">. </w:t>
      </w:r>
      <w:r w:rsidR="000E1053">
        <w:rPr>
          <w:lang w:val="en-GB"/>
        </w:rPr>
        <w:t xml:space="preserve">The Group Scheme </w:t>
      </w:r>
      <w:r w:rsidR="000E1053">
        <w:rPr>
          <w:lang w:val="en-GB"/>
        </w:rPr>
        <w:lastRenderedPageBreak/>
        <w:t>underwritten by the First Respon</w:t>
      </w:r>
      <w:r w:rsidR="00973515">
        <w:rPr>
          <w:lang w:val="en-GB"/>
        </w:rPr>
        <w:t>d</w:t>
      </w:r>
      <w:r w:rsidR="000E1053">
        <w:rPr>
          <w:lang w:val="en-GB"/>
        </w:rPr>
        <w:t xml:space="preserve">ent was terminated with effect from this date. </w:t>
      </w:r>
      <w:r w:rsidR="00622BB3">
        <w:rPr>
          <w:lang w:val="en-GB"/>
        </w:rPr>
        <w:t>It is just and equitable for Q Link to alter the deduction codes on its system</w:t>
      </w:r>
      <w:r w:rsidR="008E06A0">
        <w:rPr>
          <w:lang w:val="en-GB"/>
        </w:rPr>
        <w:t xml:space="preserve"> immediately</w:t>
      </w:r>
      <w:r w:rsidR="00622BB3">
        <w:rPr>
          <w:lang w:val="en-GB"/>
        </w:rPr>
        <w:t xml:space="preserve"> so that SASSA </w:t>
      </w:r>
      <w:r w:rsidR="00D87E0F">
        <w:rPr>
          <w:lang w:val="en-GB"/>
        </w:rPr>
        <w:t xml:space="preserve">may </w:t>
      </w:r>
      <w:r w:rsidR="009017EB">
        <w:rPr>
          <w:lang w:val="en-GB"/>
        </w:rPr>
        <w:t>transfer</w:t>
      </w:r>
      <w:r w:rsidR="00EA1153">
        <w:rPr>
          <w:lang w:val="en-GB"/>
        </w:rPr>
        <w:t xml:space="preserve"> </w:t>
      </w:r>
      <w:r w:rsidR="009017EB">
        <w:rPr>
          <w:lang w:val="en-GB"/>
        </w:rPr>
        <w:t>its</w:t>
      </w:r>
      <w:r w:rsidR="00EA1153">
        <w:rPr>
          <w:lang w:val="en-GB"/>
        </w:rPr>
        <w:t xml:space="preserve"> payment of </w:t>
      </w:r>
      <w:r w:rsidR="00636946">
        <w:rPr>
          <w:lang w:val="en-GB"/>
        </w:rPr>
        <w:t xml:space="preserve">the relevant </w:t>
      </w:r>
      <w:r w:rsidR="00EA1153">
        <w:rPr>
          <w:lang w:val="en-GB"/>
        </w:rPr>
        <w:t xml:space="preserve">premiums </w:t>
      </w:r>
      <w:r w:rsidR="009017EB">
        <w:rPr>
          <w:lang w:val="en-GB"/>
        </w:rPr>
        <w:t xml:space="preserve">previously paid to KGA </w:t>
      </w:r>
      <w:r w:rsidR="00EA1153">
        <w:rPr>
          <w:lang w:val="en-GB"/>
        </w:rPr>
        <w:t xml:space="preserve">to AUL. </w:t>
      </w:r>
      <w:r w:rsidR="005D5CA0">
        <w:rPr>
          <w:lang w:val="en-GB"/>
        </w:rPr>
        <w:t xml:space="preserve">It is </w:t>
      </w:r>
      <w:r w:rsidR="000405CC">
        <w:rPr>
          <w:lang w:val="en-GB"/>
        </w:rPr>
        <w:t>also just and equitable for the full aggregate amount of the premiums paid to KGA from 1 September 2021</w:t>
      </w:r>
      <w:r w:rsidR="00791A0E">
        <w:rPr>
          <w:lang w:val="en-GB"/>
        </w:rPr>
        <w:t xml:space="preserve"> </w:t>
      </w:r>
      <w:r w:rsidR="005777A1">
        <w:rPr>
          <w:lang w:val="en-GB"/>
        </w:rPr>
        <w:t xml:space="preserve">to be paid to AUL, which will enable Multisure to obtain its commission and fees for this period from AUL. </w:t>
      </w:r>
      <w:r w:rsidR="00914698">
        <w:rPr>
          <w:lang w:val="en-GB"/>
        </w:rPr>
        <w:t xml:space="preserve">In coming to this decision, I </w:t>
      </w:r>
      <w:r w:rsidR="00A94506">
        <w:rPr>
          <w:lang w:val="en-GB"/>
        </w:rPr>
        <w:t>note that the order specifically defines ‘Group Scheme’. I read the single reference to ‘group scheme’</w:t>
      </w:r>
      <w:r w:rsidR="00BB76FC">
        <w:rPr>
          <w:lang w:val="en-GB"/>
        </w:rPr>
        <w:t xml:space="preserve"> </w:t>
      </w:r>
      <w:r w:rsidR="00DE203C">
        <w:rPr>
          <w:lang w:val="en-GB"/>
        </w:rPr>
        <w:t xml:space="preserve">in paragraph (c) of the order </w:t>
      </w:r>
      <w:r w:rsidR="00BB76FC">
        <w:rPr>
          <w:lang w:val="en-GB"/>
        </w:rPr>
        <w:t xml:space="preserve">to refer to </w:t>
      </w:r>
      <w:r w:rsidR="00957734">
        <w:rPr>
          <w:lang w:val="en-GB"/>
        </w:rPr>
        <w:t xml:space="preserve">policies </w:t>
      </w:r>
      <w:r w:rsidR="004720D7">
        <w:rPr>
          <w:lang w:val="en-GB"/>
        </w:rPr>
        <w:t>underwritten by AUL at the instance of Multisure on behalf of its clients, to be risk assessed on an individual basis</w:t>
      </w:r>
      <w:r w:rsidR="008F108E">
        <w:rPr>
          <w:lang w:val="en-GB"/>
        </w:rPr>
        <w:t xml:space="preserve"> given the legislative position</w:t>
      </w:r>
      <w:r w:rsidR="004720D7">
        <w:rPr>
          <w:lang w:val="en-GB"/>
        </w:rPr>
        <w:t>.</w:t>
      </w:r>
    </w:p>
    <w:p w14:paraId="575DDA14" w14:textId="77777777" w:rsidR="003337CD" w:rsidRDefault="003337CD" w:rsidP="003337CD">
      <w:pPr>
        <w:pStyle w:val="ListParagraph"/>
        <w:autoSpaceDE w:val="0"/>
        <w:autoSpaceDN w:val="0"/>
        <w:adjustRightInd w:val="0"/>
        <w:ind w:left="142"/>
        <w:jc w:val="both"/>
        <w:rPr>
          <w:lang w:val="en-GB"/>
        </w:rPr>
      </w:pPr>
    </w:p>
    <w:p w14:paraId="49F761EC" w14:textId="2856E7A1" w:rsidR="003337CD" w:rsidRDefault="003337CD" w:rsidP="00561F7A">
      <w:pPr>
        <w:pStyle w:val="ListParagraph"/>
        <w:numPr>
          <w:ilvl w:val="0"/>
          <w:numId w:val="10"/>
        </w:numPr>
        <w:autoSpaceDE w:val="0"/>
        <w:autoSpaceDN w:val="0"/>
        <w:adjustRightInd w:val="0"/>
        <w:ind w:left="142" w:hanging="142"/>
        <w:jc w:val="both"/>
        <w:rPr>
          <w:lang w:val="en-GB"/>
        </w:rPr>
      </w:pPr>
      <w:r>
        <w:rPr>
          <w:lang w:val="en-GB"/>
        </w:rPr>
        <w:t>KGA has unsuccessfully opposed this application and, applying the usual principles, must be saddled with the costs of these proceedings.</w:t>
      </w:r>
    </w:p>
    <w:p w14:paraId="3995F0A8" w14:textId="77777777" w:rsidR="000F2730" w:rsidRDefault="000F2730" w:rsidP="000F2730">
      <w:pPr>
        <w:pStyle w:val="ListParagraph"/>
        <w:autoSpaceDE w:val="0"/>
        <w:autoSpaceDN w:val="0"/>
        <w:adjustRightInd w:val="0"/>
        <w:ind w:left="142"/>
        <w:jc w:val="both"/>
        <w:rPr>
          <w:lang w:val="en-GB"/>
        </w:rPr>
      </w:pPr>
    </w:p>
    <w:p w14:paraId="35FC5985" w14:textId="3DA8E592" w:rsidR="003D57EE" w:rsidRDefault="00C91C90" w:rsidP="00561F7A">
      <w:pPr>
        <w:pStyle w:val="ListParagraph"/>
        <w:numPr>
          <w:ilvl w:val="0"/>
          <w:numId w:val="10"/>
        </w:numPr>
        <w:autoSpaceDE w:val="0"/>
        <w:autoSpaceDN w:val="0"/>
        <w:adjustRightInd w:val="0"/>
        <w:ind w:left="142" w:hanging="142"/>
        <w:jc w:val="both"/>
        <w:rPr>
          <w:lang w:val="en-GB"/>
        </w:rPr>
      </w:pPr>
      <w:r>
        <w:rPr>
          <w:lang w:val="en-GB"/>
        </w:rPr>
        <w:t>This court has deviated from s 18(1) of the Superior Courts Act, 2013, and is obliged, in terms of s 18(4)</w:t>
      </w:r>
      <w:r w:rsidR="00161C17">
        <w:rPr>
          <w:lang w:val="en-GB"/>
        </w:rPr>
        <w:t>,</w:t>
      </w:r>
      <w:r>
        <w:rPr>
          <w:lang w:val="en-GB"/>
        </w:rPr>
        <w:t xml:space="preserve"> to immediately record its reasons for doing so. The reasons appear from this judgment. </w:t>
      </w:r>
      <w:r w:rsidR="00163A59">
        <w:rPr>
          <w:lang w:val="en-GB"/>
        </w:rPr>
        <w:t xml:space="preserve">This </w:t>
      </w:r>
      <w:r w:rsidR="003337CD">
        <w:rPr>
          <w:lang w:val="en-GB"/>
        </w:rPr>
        <w:t>judgment</w:t>
      </w:r>
      <w:r w:rsidR="00956775">
        <w:rPr>
          <w:lang w:val="en-GB"/>
        </w:rPr>
        <w:t xml:space="preserve"> </w:t>
      </w:r>
      <w:r w:rsidR="00163A59">
        <w:rPr>
          <w:lang w:val="en-GB"/>
        </w:rPr>
        <w:t xml:space="preserve">is subject to the automatic right of appeal enjoyed by KGA in the event that it is aggrieved by this outcome, </w:t>
      </w:r>
      <w:r w:rsidR="00161C17">
        <w:rPr>
          <w:lang w:val="en-GB"/>
        </w:rPr>
        <w:t>such appeal to</w:t>
      </w:r>
      <w:r w:rsidR="00163A59">
        <w:rPr>
          <w:lang w:val="en-GB"/>
        </w:rPr>
        <w:t xml:space="preserve"> be dealt with on an </w:t>
      </w:r>
      <w:r w:rsidR="00161C17">
        <w:rPr>
          <w:lang w:val="en-GB"/>
        </w:rPr>
        <w:t xml:space="preserve">extremely </w:t>
      </w:r>
      <w:r w:rsidR="00163A59">
        <w:rPr>
          <w:lang w:val="en-GB"/>
        </w:rPr>
        <w:t>urgent basis.</w:t>
      </w:r>
    </w:p>
    <w:p w14:paraId="795C5139" w14:textId="446963AF" w:rsidR="008A229D" w:rsidRDefault="008A229D" w:rsidP="008A229D">
      <w:pPr>
        <w:rPr>
          <w:lang w:val="en-GB"/>
        </w:rPr>
      </w:pPr>
    </w:p>
    <w:p w14:paraId="1A220D6A" w14:textId="676D979F" w:rsidR="008A229D" w:rsidRDefault="008A229D" w:rsidP="008A229D">
      <w:pPr>
        <w:rPr>
          <w:b/>
          <w:bCs/>
          <w:lang w:val="en-GB"/>
        </w:rPr>
      </w:pPr>
      <w:r>
        <w:rPr>
          <w:b/>
          <w:bCs/>
          <w:lang w:val="en-GB"/>
        </w:rPr>
        <w:t>Order</w:t>
      </w:r>
    </w:p>
    <w:p w14:paraId="725E9B54" w14:textId="77777777" w:rsidR="00221104" w:rsidRPr="008A229D" w:rsidRDefault="00221104" w:rsidP="008A229D">
      <w:pPr>
        <w:rPr>
          <w:b/>
          <w:bCs/>
          <w:lang w:val="en-GB"/>
        </w:rPr>
      </w:pPr>
    </w:p>
    <w:p w14:paraId="5A7298CA" w14:textId="482FD86A" w:rsidR="008A229D" w:rsidRDefault="008A229D" w:rsidP="00561F7A">
      <w:pPr>
        <w:pStyle w:val="ListParagraph"/>
        <w:numPr>
          <w:ilvl w:val="0"/>
          <w:numId w:val="10"/>
        </w:numPr>
        <w:autoSpaceDE w:val="0"/>
        <w:autoSpaceDN w:val="0"/>
        <w:adjustRightInd w:val="0"/>
        <w:ind w:left="142" w:hanging="142"/>
        <w:jc w:val="both"/>
        <w:rPr>
          <w:lang w:val="en-GB"/>
        </w:rPr>
      </w:pPr>
      <w:r>
        <w:rPr>
          <w:lang w:val="en-GB"/>
        </w:rPr>
        <w:t>The following order will issue:</w:t>
      </w:r>
    </w:p>
    <w:p w14:paraId="708E98E6" w14:textId="09D3ABE4" w:rsidR="000F2730" w:rsidRDefault="000F2730" w:rsidP="000F2730">
      <w:pPr>
        <w:autoSpaceDE w:val="0"/>
        <w:autoSpaceDN w:val="0"/>
        <w:adjustRightInd w:val="0"/>
        <w:jc w:val="both"/>
        <w:rPr>
          <w:b/>
          <w:bCs/>
          <w:lang w:val="en-GB"/>
        </w:rPr>
      </w:pPr>
    </w:p>
    <w:p w14:paraId="12655813" w14:textId="1A16EE85" w:rsidR="000F2730" w:rsidRDefault="000F2730" w:rsidP="000F2730">
      <w:pPr>
        <w:pStyle w:val="ListParagraph"/>
        <w:numPr>
          <w:ilvl w:val="0"/>
          <w:numId w:val="13"/>
        </w:numPr>
        <w:autoSpaceDE w:val="0"/>
        <w:autoSpaceDN w:val="0"/>
        <w:adjustRightInd w:val="0"/>
        <w:jc w:val="both"/>
        <w:rPr>
          <w:lang w:val="en-GB"/>
        </w:rPr>
      </w:pPr>
      <w:r>
        <w:rPr>
          <w:lang w:val="en-GB"/>
        </w:rPr>
        <w:t>The application is heard on an urgent basis pursuant to the provisions of Rule 6(12) of the Uniform Rules of Court</w:t>
      </w:r>
      <w:r w:rsidR="00161C17">
        <w:rPr>
          <w:lang w:val="en-GB"/>
        </w:rPr>
        <w:t>.</w:t>
      </w:r>
    </w:p>
    <w:p w14:paraId="34D037CB" w14:textId="7361DA44" w:rsidR="000F2730" w:rsidRDefault="000F2730" w:rsidP="000F2730">
      <w:pPr>
        <w:pStyle w:val="ListParagraph"/>
        <w:numPr>
          <w:ilvl w:val="0"/>
          <w:numId w:val="13"/>
        </w:numPr>
        <w:autoSpaceDE w:val="0"/>
        <w:autoSpaceDN w:val="0"/>
        <w:adjustRightInd w:val="0"/>
        <w:jc w:val="both"/>
        <w:rPr>
          <w:lang w:val="en-GB"/>
        </w:rPr>
      </w:pPr>
      <w:r>
        <w:rPr>
          <w:lang w:val="en-GB"/>
        </w:rPr>
        <w:t>The operation of the order granted by the Honourable Madam Justice Schoeman, delivered on 15 March 2022, is not suspended pending the outcome of the First Respondent’s appeal to the Supreme Court of Appeal, or any subsequent appeal</w:t>
      </w:r>
      <w:r w:rsidR="00161C17">
        <w:rPr>
          <w:lang w:val="en-GB"/>
        </w:rPr>
        <w:t>.</w:t>
      </w:r>
      <w:r>
        <w:rPr>
          <w:lang w:val="en-GB"/>
        </w:rPr>
        <w:t xml:space="preserve"> </w:t>
      </w:r>
    </w:p>
    <w:p w14:paraId="61ACE052" w14:textId="3A94645B" w:rsidR="000F2730" w:rsidRPr="000F2730" w:rsidRDefault="000F2730" w:rsidP="000F2730">
      <w:pPr>
        <w:pStyle w:val="ListParagraph"/>
        <w:numPr>
          <w:ilvl w:val="0"/>
          <w:numId w:val="13"/>
        </w:numPr>
        <w:autoSpaceDE w:val="0"/>
        <w:autoSpaceDN w:val="0"/>
        <w:adjustRightInd w:val="0"/>
        <w:jc w:val="both"/>
        <w:rPr>
          <w:lang w:val="en-GB"/>
        </w:rPr>
      </w:pPr>
      <w:r>
        <w:rPr>
          <w:lang w:val="en-GB"/>
        </w:rPr>
        <w:t>The First Respondent is ordered to pay the costs of this application.</w:t>
      </w:r>
    </w:p>
    <w:p w14:paraId="6C5291CE" w14:textId="77777777" w:rsidR="000B618C" w:rsidRDefault="000B618C" w:rsidP="00343F1E">
      <w:pPr>
        <w:autoSpaceDE w:val="0"/>
        <w:autoSpaceDN w:val="0"/>
        <w:adjustRightInd w:val="0"/>
        <w:jc w:val="both"/>
        <w:rPr>
          <w:lang w:val="en-GB"/>
        </w:rPr>
      </w:pPr>
    </w:p>
    <w:p w14:paraId="56B6A5B0" w14:textId="54D3171F" w:rsidR="00B70CAA" w:rsidRDefault="00B70CAA" w:rsidP="00343F1E">
      <w:pPr>
        <w:autoSpaceDE w:val="0"/>
        <w:autoSpaceDN w:val="0"/>
        <w:adjustRightInd w:val="0"/>
        <w:jc w:val="both"/>
        <w:rPr>
          <w:lang w:val="en-GB"/>
        </w:rPr>
      </w:pPr>
    </w:p>
    <w:p w14:paraId="412AE9C3" w14:textId="18579752" w:rsidR="00A86936" w:rsidRDefault="00A86936" w:rsidP="00343F1E">
      <w:pPr>
        <w:autoSpaceDE w:val="0"/>
        <w:autoSpaceDN w:val="0"/>
        <w:adjustRightInd w:val="0"/>
        <w:jc w:val="both"/>
        <w:rPr>
          <w:lang w:val="en-GB"/>
        </w:rPr>
      </w:pPr>
    </w:p>
    <w:p w14:paraId="7354E261" w14:textId="52165C36" w:rsidR="0065127B" w:rsidRDefault="00964FC6" w:rsidP="00343F1E">
      <w:pPr>
        <w:autoSpaceDE w:val="0"/>
        <w:autoSpaceDN w:val="0"/>
        <w:adjustRightInd w:val="0"/>
        <w:jc w:val="both"/>
        <w:rPr>
          <w:lang w:val="en-GB"/>
        </w:rPr>
      </w:pPr>
      <w:r w:rsidRPr="00FD5CA5">
        <w:rPr>
          <w:rFonts w:ascii="Calibri" w:hAnsi="Calibri" w:cs="Calibri"/>
          <w:noProof/>
          <w:sz w:val="22"/>
          <w:szCs w:val="22"/>
          <w:lang w:eastAsia="en-ZA"/>
        </w:rPr>
        <w:lastRenderedPageBreak/>
        <w:drawing>
          <wp:anchor distT="36576" distB="36576" distL="36576" distR="36576" simplePos="0" relativeHeight="251659264" behindDoc="0" locked="0" layoutInCell="1" allowOverlap="1" wp14:anchorId="7116D9A6" wp14:editId="144DF2F1">
            <wp:simplePos x="0" y="0"/>
            <wp:positionH relativeFrom="column">
              <wp:posOffset>3461257</wp:posOffset>
            </wp:positionH>
            <wp:positionV relativeFrom="paragraph">
              <wp:posOffset>130654</wp:posOffset>
            </wp:positionV>
            <wp:extent cx="746760" cy="644525"/>
            <wp:effectExtent l="0" t="0" r="0" b="0"/>
            <wp:wrapThrough wrapText="bothSides">
              <wp:wrapPolygon edited="0">
                <wp:start x="0" y="0"/>
                <wp:lineTo x="0" y="20430"/>
                <wp:lineTo x="20571" y="20430"/>
                <wp:lineTo x="20571" y="0"/>
                <wp:lineTo x="0" y="0"/>
              </wp:wrapPolygon>
            </wp:wrapThrough>
            <wp:docPr id="2" name="Picture 2" descr="9CFF83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CFF83D2"/>
                    <pic:cNvPicPr>
                      <a:picLocks noChangeAspect="1" noChangeArrowheads="1"/>
                    </pic:cNvPicPr>
                  </pic:nvPicPr>
                  <pic:blipFill>
                    <a:blip r:embed="rId9" cstate="print">
                      <a:extLst>
                        <a:ext uri="{28A0092B-C50C-407E-A947-70E740481C1C}">
                          <a14:useLocalDpi xmlns:a14="http://schemas.microsoft.com/office/drawing/2010/main" val="0"/>
                        </a:ext>
                      </a:extLst>
                    </a:blip>
                    <a:srcRect l="42511" t="32741" r="36382" b="53981"/>
                    <a:stretch>
                      <a:fillRect/>
                    </a:stretch>
                  </pic:blipFill>
                  <pic:spPr bwMode="auto">
                    <a:xfrm>
                      <a:off x="0" y="0"/>
                      <a:ext cx="746760" cy="644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CFA6594" w14:textId="0FE4A839" w:rsidR="0065127B" w:rsidRDefault="0065127B" w:rsidP="00343F1E">
      <w:pPr>
        <w:autoSpaceDE w:val="0"/>
        <w:autoSpaceDN w:val="0"/>
        <w:adjustRightInd w:val="0"/>
        <w:jc w:val="both"/>
        <w:rPr>
          <w:lang w:val="en-GB"/>
        </w:rPr>
      </w:pPr>
    </w:p>
    <w:p w14:paraId="03078E22" w14:textId="23B0DAA9" w:rsidR="009A2CB5" w:rsidRPr="00044B50" w:rsidRDefault="009A2CB5" w:rsidP="00343F1E">
      <w:pPr>
        <w:autoSpaceDE w:val="0"/>
        <w:autoSpaceDN w:val="0"/>
        <w:adjustRightInd w:val="0"/>
        <w:jc w:val="both"/>
        <w:rPr>
          <w:lang w:val="en-GB"/>
        </w:rPr>
      </w:pPr>
    </w:p>
    <w:p w14:paraId="363DCE68" w14:textId="3C4454A8" w:rsidR="00D450B5" w:rsidRPr="00044B50" w:rsidRDefault="00D450B5" w:rsidP="00D133F0">
      <w:pPr>
        <w:ind w:left="4320" w:firstLine="720"/>
        <w:jc w:val="both"/>
        <w:rPr>
          <w:lang w:val="en-GB"/>
        </w:rPr>
      </w:pPr>
      <w:r w:rsidRPr="00044B50">
        <w:rPr>
          <w:lang w:val="en-GB"/>
        </w:rPr>
        <w:t>_______________</w:t>
      </w:r>
      <w:r w:rsidR="00276100" w:rsidRPr="00044B50">
        <w:rPr>
          <w:lang w:val="en-GB"/>
        </w:rPr>
        <w:t>__________</w:t>
      </w:r>
      <w:r w:rsidRPr="00044B50">
        <w:rPr>
          <w:lang w:val="en-GB"/>
        </w:rPr>
        <w:t xml:space="preserve"> </w:t>
      </w:r>
    </w:p>
    <w:p w14:paraId="7C243A9A" w14:textId="77777777" w:rsidR="00D450B5" w:rsidRPr="00044B50" w:rsidRDefault="00D450B5" w:rsidP="004A5151">
      <w:pPr>
        <w:ind w:left="4320" w:firstLine="720"/>
        <w:jc w:val="both"/>
        <w:rPr>
          <w:b/>
          <w:bCs/>
          <w:lang w:val="en-GB"/>
        </w:rPr>
      </w:pPr>
      <w:r w:rsidRPr="00044B50">
        <w:rPr>
          <w:b/>
          <w:bCs/>
          <w:lang w:val="en-GB"/>
        </w:rPr>
        <w:t xml:space="preserve">A. GOVINDJEE                                                                                                                                                       </w:t>
      </w:r>
    </w:p>
    <w:p w14:paraId="14E92973" w14:textId="77777777" w:rsidR="00D450B5" w:rsidRPr="00044B50" w:rsidRDefault="00D450B5" w:rsidP="004A5151">
      <w:pPr>
        <w:ind w:left="4320" w:firstLine="720"/>
        <w:jc w:val="both"/>
        <w:rPr>
          <w:b/>
          <w:bCs/>
          <w:lang w:val="en-GB"/>
        </w:rPr>
      </w:pPr>
      <w:r w:rsidRPr="00044B50">
        <w:rPr>
          <w:b/>
          <w:bCs/>
          <w:lang w:val="en-GB"/>
        </w:rPr>
        <w:t>JUDGE OF THE HIGH COURT</w:t>
      </w:r>
    </w:p>
    <w:p w14:paraId="56442A86" w14:textId="4A1F9AD4" w:rsidR="00AA32DA" w:rsidRDefault="00AA32DA" w:rsidP="004A5151">
      <w:pPr>
        <w:autoSpaceDE w:val="0"/>
        <w:autoSpaceDN w:val="0"/>
        <w:adjustRightInd w:val="0"/>
        <w:jc w:val="both"/>
        <w:rPr>
          <w:lang w:val="en-GB"/>
        </w:rPr>
      </w:pPr>
    </w:p>
    <w:p w14:paraId="4E913372" w14:textId="77777777" w:rsidR="008A75F3" w:rsidRDefault="008A75F3" w:rsidP="008A75F3">
      <w:pPr>
        <w:widowControl w:val="0"/>
        <w:jc w:val="center"/>
        <w:rPr>
          <w:spacing w:val="14"/>
          <w:kern w:val="2"/>
          <w:lang w:val="en-GB"/>
        </w:rPr>
      </w:pPr>
    </w:p>
    <w:p w14:paraId="04EEEF0A" w14:textId="2F5FA3F8" w:rsidR="007A7BBE" w:rsidRPr="00A87D38" w:rsidRDefault="007A7BBE" w:rsidP="008A75F3">
      <w:pPr>
        <w:widowControl w:val="0"/>
        <w:ind w:left="4320" w:firstLine="720"/>
        <w:rPr>
          <w:spacing w:val="14"/>
          <w:kern w:val="2"/>
          <w:lang w:val="en-GB"/>
        </w:rPr>
      </w:pPr>
      <w:r w:rsidRPr="00A87D38">
        <w:rPr>
          <w:spacing w:val="14"/>
          <w:kern w:val="2"/>
          <w:lang w:val="en-GB"/>
        </w:rPr>
        <w:t>Heard:</w:t>
      </w:r>
      <w:r w:rsidR="00A86936">
        <w:rPr>
          <w:spacing w:val="14"/>
          <w:kern w:val="2"/>
          <w:lang w:val="en-GB"/>
        </w:rPr>
        <w:t>28 July 2022</w:t>
      </w:r>
    </w:p>
    <w:p w14:paraId="5D550954" w14:textId="05636B0F" w:rsidR="007A7BBE" w:rsidRPr="00A87D38" w:rsidRDefault="007A7BBE" w:rsidP="008A75F3">
      <w:pPr>
        <w:widowControl w:val="0"/>
        <w:ind w:left="4320" w:firstLine="720"/>
        <w:rPr>
          <w:spacing w:val="14"/>
          <w:kern w:val="2"/>
          <w:lang w:val="en-GB"/>
        </w:rPr>
      </w:pPr>
      <w:r w:rsidRPr="00A87D38">
        <w:rPr>
          <w:spacing w:val="14"/>
          <w:kern w:val="2"/>
          <w:lang w:val="en-GB"/>
        </w:rPr>
        <w:t>Delivered:</w:t>
      </w:r>
      <w:r w:rsidR="00A86936">
        <w:rPr>
          <w:spacing w:val="14"/>
          <w:kern w:val="2"/>
          <w:lang w:val="en-GB"/>
        </w:rPr>
        <w:t>30 August 2022</w:t>
      </w:r>
    </w:p>
    <w:p w14:paraId="398380BF" w14:textId="77777777" w:rsidR="007A7BBE" w:rsidRPr="00044B50" w:rsidRDefault="007A7BBE" w:rsidP="004A5151">
      <w:pPr>
        <w:autoSpaceDE w:val="0"/>
        <w:autoSpaceDN w:val="0"/>
        <w:adjustRightInd w:val="0"/>
        <w:jc w:val="both"/>
        <w:rPr>
          <w:lang w:val="en-GB"/>
        </w:rPr>
      </w:pPr>
    </w:p>
    <w:p w14:paraId="162D5D5A" w14:textId="001D5A2E" w:rsidR="00A86936" w:rsidRDefault="007C247A" w:rsidP="00A86936">
      <w:pPr>
        <w:jc w:val="both"/>
        <w:rPr>
          <w:lang w:val="en-GB"/>
        </w:rPr>
      </w:pPr>
      <w:r w:rsidRPr="00044B50">
        <w:rPr>
          <w:lang w:val="en-GB"/>
        </w:rPr>
        <w:t>Appearances:</w:t>
      </w:r>
      <w:r w:rsidR="00A86936" w:rsidRPr="00A86936">
        <w:rPr>
          <w:lang w:val="en-GB"/>
        </w:rPr>
        <w:t xml:space="preserve"> </w:t>
      </w:r>
    </w:p>
    <w:p w14:paraId="6562F606" w14:textId="77777777" w:rsidR="00A86936" w:rsidRDefault="00A86936" w:rsidP="00A86936">
      <w:pPr>
        <w:rPr>
          <w:lang w:val="en-GB"/>
        </w:rPr>
      </w:pPr>
    </w:p>
    <w:p w14:paraId="5BE3FDA1" w14:textId="7294FE6B" w:rsidR="00844872" w:rsidRPr="00844872" w:rsidRDefault="00A86936" w:rsidP="00A86936">
      <w:pPr>
        <w:tabs>
          <w:tab w:val="left" w:pos="3261"/>
          <w:tab w:val="center" w:pos="4003"/>
        </w:tabs>
        <w:jc w:val="both"/>
        <w:rPr>
          <w:bCs/>
          <w:lang w:val="en-US"/>
        </w:rPr>
      </w:pPr>
      <w:r>
        <w:rPr>
          <w:color w:val="auto"/>
        </w:rPr>
        <w:t>Applicant’s Counsel:</w:t>
      </w:r>
      <w:r w:rsidRPr="008E7830">
        <w:rPr>
          <w:color w:val="auto"/>
        </w:rPr>
        <w:tab/>
      </w:r>
      <w:r>
        <w:rPr>
          <w:bCs/>
          <w:lang w:val="en-US"/>
        </w:rPr>
        <w:t xml:space="preserve">Adv </w:t>
      </w:r>
      <w:r w:rsidR="00F63323">
        <w:rPr>
          <w:bCs/>
          <w:lang w:val="en-US"/>
        </w:rPr>
        <w:t xml:space="preserve">JJ </w:t>
      </w:r>
      <w:r>
        <w:rPr>
          <w:bCs/>
          <w:lang w:val="en-US"/>
        </w:rPr>
        <w:t>Nepgen</w:t>
      </w:r>
    </w:p>
    <w:p w14:paraId="2EC64D04" w14:textId="77777777" w:rsidR="00A86936" w:rsidRPr="008E7830" w:rsidRDefault="00A86936" w:rsidP="00A86936">
      <w:pPr>
        <w:tabs>
          <w:tab w:val="left" w:pos="3261"/>
          <w:tab w:val="center" w:pos="4003"/>
        </w:tabs>
        <w:jc w:val="both"/>
        <w:rPr>
          <w:color w:val="auto"/>
        </w:rPr>
      </w:pPr>
      <w:r w:rsidRPr="008E7830">
        <w:rPr>
          <w:color w:val="auto"/>
        </w:rPr>
        <w:tab/>
      </w:r>
    </w:p>
    <w:p w14:paraId="1533026F" w14:textId="7FA90364" w:rsidR="00A86936" w:rsidRDefault="00A86936" w:rsidP="00A86936">
      <w:pPr>
        <w:tabs>
          <w:tab w:val="left" w:pos="3261"/>
          <w:tab w:val="center" w:pos="4003"/>
        </w:tabs>
        <w:jc w:val="both"/>
        <w:rPr>
          <w:color w:val="auto"/>
        </w:rPr>
      </w:pPr>
      <w:r w:rsidRPr="008E7830">
        <w:rPr>
          <w:color w:val="auto"/>
        </w:rPr>
        <w:t xml:space="preserve">Instructed by                     :      </w:t>
      </w:r>
      <w:r>
        <w:rPr>
          <w:color w:val="auto"/>
        </w:rPr>
        <w:t>Vic Skelton Inc.</w:t>
      </w:r>
    </w:p>
    <w:p w14:paraId="088550F2" w14:textId="2C4E7982" w:rsidR="00A86936" w:rsidRDefault="00A86936" w:rsidP="00A86936">
      <w:pPr>
        <w:tabs>
          <w:tab w:val="left" w:pos="3261"/>
          <w:tab w:val="center" w:pos="4003"/>
        </w:tabs>
        <w:jc w:val="both"/>
        <w:rPr>
          <w:color w:val="auto"/>
        </w:rPr>
      </w:pPr>
      <w:r>
        <w:rPr>
          <w:color w:val="auto"/>
        </w:rPr>
        <w:tab/>
        <w:t xml:space="preserve">Attorneys for the Applicant </w:t>
      </w:r>
    </w:p>
    <w:p w14:paraId="7D7F1A1E" w14:textId="63BD73A6" w:rsidR="00A86936" w:rsidRDefault="00A86936" w:rsidP="00A86936">
      <w:pPr>
        <w:tabs>
          <w:tab w:val="left" w:pos="3261"/>
          <w:tab w:val="center" w:pos="4003"/>
        </w:tabs>
        <w:jc w:val="both"/>
        <w:rPr>
          <w:color w:val="auto"/>
        </w:rPr>
      </w:pPr>
      <w:r>
        <w:rPr>
          <w:color w:val="auto"/>
        </w:rPr>
        <w:tab/>
        <w:t xml:space="preserve">18 Gibson Road </w:t>
      </w:r>
    </w:p>
    <w:p w14:paraId="7872177E" w14:textId="77777777" w:rsidR="00A86936" w:rsidRDefault="00A86936" w:rsidP="00A86936">
      <w:pPr>
        <w:tabs>
          <w:tab w:val="left" w:pos="3261"/>
          <w:tab w:val="center" w:pos="4003"/>
        </w:tabs>
        <w:jc w:val="both"/>
        <w:rPr>
          <w:color w:val="auto"/>
        </w:rPr>
      </w:pPr>
      <w:r>
        <w:rPr>
          <w:color w:val="auto"/>
        </w:rPr>
        <w:tab/>
        <w:t>Mount Croix</w:t>
      </w:r>
    </w:p>
    <w:p w14:paraId="1019F8AC" w14:textId="5A7E8C95" w:rsidR="00A86936" w:rsidRPr="008E7830" w:rsidRDefault="00A86936" w:rsidP="00A86936">
      <w:pPr>
        <w:tabs>
          <w:tab w:val="left" w:pos="3261"/>
          <w:tab w:val="center" w:pos="4003"/>
        </w:tabs>
        <w:jc w:val="both"/>
        <w:rPr>
          <w:color w:val="auto"/>
        </w:rPr>
      </w:pPr>
      <w:r>
        <w:rPr>
          <w:color w:val="auto"/>
        </w:rPr>
        <w:tab/>
        <w:t xml:space="preserve">Gqeberha </w:t>
      </w:r>
    </w:p>
    <w:p w14:paraId="4F65970E" w14:textId="16742CF0" w:rsidR="00A86936" w:rsidRPr="008E7830" w:rsidRDefault="00A86936" w:rsidP="00A86936">
      <w:pPr>
        <w:tabs>
          <w:tab w:val="left" w:pos="3261"/>
          <w:tab w:val="center" w:pos="4003"/>
        </w:tabs>
        <w:jc w:val="both"/>
        <w:rPr>
          <w:color w:val="auto"/>
        </w:rPr>
      </w:pPr>
      <w:r w:rsidRPr="008E7830">
        <w:rPr>
          <w:color w:val="auto"/>
        </w:rPr>
        <w:tab/>
      </w:r>
      <w:r>
        <w:rPr>
          <w:color w:val="auto"/>
        </w:rPr>
        <w:tab/>
        <w:t>Email:vsalaw@gmail.com</w:t>
      </w:r>
    </w:p>
    <w:p w14:paraId="0760D340" w14:textId="77777777" w:rsidR="00A86936" w:rsidRPr="008E7830" w:rsidRDefault="00A86936" w:rsidP="00A86936">
      <w:pPr>
        <w:tabs>
          <w:tab w:val="left" w:pos="3261"/>
          <w:tab w:val="left" w:pos="3402"/>
          <w:tab w:val="left" w:pos="3686"/>
          <w:tab w:val="center" w:pos="4003"/>
        </w:tabs>
        <w:jc w:val="both"/>
        <w:rPr>
          <w:color w:val="auto"/>
        </w:rPr>
      </w:pPr>
      <w:r w:rsidRPr="008E7830">
        <w:rPr>
          <w:color w:val="auto"/>
        </w:rPr>
        <w:t xml:space="preserve">                                         </w:t>
      </w:r>
    </w:p>
    <w:p w14:paraId="0F000229" w14:textId="53E23703" w:rsidR="009821DC" w:rsidRPr="007B3CDA" w:rsidRDefault="00AB57AA" w:rsidP="00AB57AA">
      <w:pPr>
        <w:tabs>
          <w:tab w:val="left" w:pos="3261"/>
        </w:tabs>
        <w:rPr>
          <w:bCs/>
          <w:lang w:val="en-US"/>
        </w:rPr>
      </w:pPr>
      <w:r>
        <w:rPr>
          <w:color w:val="auto"/>
        </w:rPr>
        <w:t xml:space="preserve">First </w:t>
      </w:r>
      <w:r w:rsidR="00A86936">
        <w:rPr>
          <w:color w:val="auto"/>
        </w:rPr>
        <w:t>R</w:t>
      </w:r>
      <w:r w:rsidR="00A86936" w:rsidRPr="008E7830">
        <w:rPr>
          <w:color w:val="auto"/>
        </w:rPr>
        <w:t>espondent</w:t>
      </w:r>
      <w:r w:rsidR="00A86936">
        <w:rPr>
          <w:color w:val="auto"/>
        </w:rPr>
        <w:t>’s Counsel</w:t>
      </w:r>
      <w:r>
        <w:rPr>
          <w:color w:val="auto"/>
        </w:rPr>
        <w:t xml:space="preserve">:  </w:t>
      </w:r>
      <w:r w:rsidR="00A86936">
        <w:rPr>
          <w:color w:val="auto"/>
        </w:rPr>
        <w:t xml:space="preserve"> </w:t>
      </w:r>
      <w:r>
        <w:rPr>
          <w:color w:val="auto"/>
        </w:rPr>
        <w:tab/>
      </w:r>
      <w:r w:rsidR="00A86936">
        <w:rPr>
          <w:bCs/>
          <w:lang w:val="en-US"/>
        </w:rPr>
        <w:t xml:space="preserve">Adv </w:t>
      </w:r>
      <w:r w:rsidR="00FA4F78">
        <w:rPr>
          <w:bCs/>
          <w:lang w:val="en-US"/>
        </w:rPr>
        <w:t>R</w:t>
      </w:r>
      <w:r w:rsidR="00A86936">
        <w:rPr>
          <w:bCs/>
          <w:lang w:val="en-US"/>
        </w:rPr>
        <w:t>G B</w:t>
      </w:r>
      <w:r w:rsidR="00FA4F78">
        <w:rPr>
          <w:bCs/>
          <w:lang w:val="en-US"/>
        </w:rPr>
        <w:t>uchanan SC</w:t>
      </w:r>
    </w:p>
    <w:p w14:paraId="54221833" w14:textId="77777777" w:rsidR="00F63323" w:rsidRPr="008E7830" w:rsidRDefault="00F63323" w:rsidP="00F63323">
      <w:pPr>
        <w:tabs>
          <w:tab w:val="left" w:pos="3261"/>
          <w:tab w:val="center" w:pos="4003"/>
        </w:tabs>
        <w:jc w:val="both"/>
        <w:rPr>
          <w:color w:val="auto"/>
        </w:rPr>
      </w:pPr>
      <w:r w:rsidRPr="008E7830">
        <w:rPr>
          <w:color w:val="auto"/>
        </w:rPr>
        <w:tab/>
      </w:r>
    </w:p>
    <w:p w14:paraId="3B073CD0" w14:textId="6BCC8051" w:rsidR="00F63323" w:rsidRDefault="00F63323" w:rsidP="00F63323">
      <w:pPr>
        <w:tabs>
          <w:tab w:val="left" w:pos="3261"/>
          <w:tab w:val="center" w:pos="4003"/>
        </w:tabs>
        <w:jc w:val="both"/>
        <w:rPr>
          <w:color w:val="auto"/>
        </w:rPr>
      </w:pPr>
      <w:r w:rsidRPr="008E7830">
        <w:rPr>
          <w:color w:val="auto"/>
        </w:rPr>
        <w:t xml:space="preserve">Instructed by                     :      </w:t>
      </w:r>
      <w:r>
        <w:rPr>
          <w:color w:val="auto"/>
        </w:rPr>
        <w:t>Greyvensteins</w:t>
      </w:r>
      <w:r w:rsidR="007B0A3F">
        <w:rPr>
          <w:color w:val="auto"/>
        </w:rPr>
        <w:t xml:space="preserve"> Inc.</w:t>
      </w:r>
    </w:p>
    <w:p w14:paraId="1FB4BAB3" w14:textId="5F74B60A" w:rsidR="00F63323" w:rsidRDefault="00F63323" w:rsidP="00F63323">
      <w:pPr>
        <w:tabs>
          <w:tab w:val="left" w:pos="3261"/>
          <w:tab w:val="center" w:pos="4003"/>
        </w:tabs>
        <w:jc w:val="both"/>
        <w:rPr>
          <w:color w:val="auto"/>
        </w:rPr>
      </w:pPr>
      <w:r>
        <w:rPr>
          <w:color w:val="auto"/>
        </w:rPr>
        <w:tab/>
        <w:t xml:space="preserve">First Respondent’s Attorneys </w:t>
      </w:r>
    </w:p>
    <w:p w14:paraId="736B3546" w14:textId="30F51DC8" w:rsidR="00F63323" w:rsidRDefault="00F63323" w:rsidP="00F63323">
      <w:pPr>
        <w:tabs>
          <w:tab w:val="left" w:pos="3261"/>
          <w:tab w:val="center" w:pos="4003"/>
        </w:tabs>
        <w:jc w:val="both"/>
        <w:rPr>
          <w:color w:val="auto"/>
        </w:rPr>
      </w:pPr>
      <w:r>
        <w:rPr>
          <w:color w:val="auto"/>
        </w:rPr>
        <w:tab/>
        <w:t xml:space="preserve">St Georges House </w:t>
      </w:r>
    </w:p>
    <w:p w14:paraId="442DF374" w14:textId="6F23EDDD" w:rsidR="00F63323" w:rsidRDefault="00F63323" w:rsidP="00F63323">
      <w:pPr>
        <w:tabs>
          <w:tab w:val="left" w:pos="3261"/>
          <w:tab w:val="center" w:pos="4003"/>
        </w:tabs>
        <w:jc w:val="both"/>
        <w:rPr>
          <w:color w:val="auto"/>
        </w:rPr>
      </w:pPr>
      <w:r>
        <w:rPr>
          <w:color w:val="auto"/>
        </w:rPr>
        <w:tab/>
        <w:t>104 Park Drive</w:t>
      </w:r>
    </w:p>
    <w:p w14:paraId="50693311" w14:textId="516093CF" w:rsidR="00F63323" w:rsidRDefault="00F63323" w:rsidP="00F63323">
      <w:pPr>
        <w:tabs>
          <w:tab w:val="left" w:pos="3261"/>
          <w:tab w:val="center" w:pos="4003"/>
        </w:tabs>
        <w:jc w:val="both"/>
        <w:rPr>
          <w:color w:val="auto"/>
        </w:rPr>
      </w:pPr>
      <w:r>
        <w:rPr>
          <w:color w:val="auto"/>
        </w:rPr>
        <w:tab/>
        <w:t>Central</w:t>
      </w:r>
    </w:p>
    <w:p w14:paraId="3CDFDD53" w14:textId="77777777" w:rsidR="00F63323" w:rsidRPr="008E7830" w:rsidRDefault="00F63323" w:rsidP="00F63323">
      <w:pPr>
        <w:tabs>
          <w:tab w:val="left" w:pos="3261"/>
          <w:tab w:val="center" w:pos="4003"/>
        </w:tabs>
        <w:jc w:val="both"/>
        <w:rPr>
          <w:color w:val="auto"/>
        </w:rPr>
      </w:pPr>
      <w:r>
        <w:rPr>
          <w:color w:val="auto"/>
        </w:rPr>
        <w:tab/>
        <w:t xml:space="preserve">Gqeberha </w:t>
      </w:r>
    </w:p>
    <w:p w14:paraId="733A8BCC" w14:textId="0294B524" w:rsidR="00F63323" w:rsidRDefault="00F63323" w:rsidP="00F63323">
      <w:pPr>
        <w:tabs>
          <w:tab w:val="left" w:pos="3261"/>
          <w:tab w:val="center" w:pos="4003"/>
        </w:tabs>
        <w:jc w:val="both"/>
        <w:rPr>
          <w:color w:val="auto"/>
        </w:rPr>
      </w:pPr>
      <w:r w:rsidRPr="008E7830">
        <w:rPr>
          <w:color w:val="auto"/>
        </w:rPr>
        <w:tab/>
      </w:r>
      <w:r>
        <w:rPr>
          <w:color w:val="auto"/>
        </w:rPr>
        <w:tab/>
        <w:t>Email:melanieb@greyvensteins.co.za</w:t>
      </w:r>
    </w:p>
    <w:p w14:paraId="631AD31F" w14:textId="24B27B13" w:rsidR="008677E3" w:rsidRPr="00C42816" w:rsidRDefault="00F63323" w:rsidP="00C42816">
      <w:pPr>
        <w:tabs>
          <w:tab w:val="left" w:pos="3261"/>
          <w:tab w:val="center" w:pos="4003"/>
        </w:tabs>
        <w:jc w:val="both"/>
        <w:rPr>
          <w:color w:val="auto"/>
        </w:rPr>
      </w:pPr>
      <w:r w:rsidRPr="008E7830">
        <w:rPr>
          <w:color w:val="auto"/>
        </w:rPr>
        <w:tab/>
      </w:r>
    </w:p>
    <w:sectPr w:rsidR="008677E3" w:rsidRPr="00C42816" w:rsidSect="00146BA3">
      <w:headerReference w:type="even" r:id="rId10"/>
      <w:headerReference w:type="defaul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4D7FE" w14:textId="77777777" w:rsidR="006A5FB1" w:rsidRDefault="006A5FB1" w:rsidP="00005691">
      <w:r>
        <w:separator/>
      </w:r>
    </w:p>
  </w:endnote>
  <w:endnote w:type="continuationSeparator" w:id="0">
    <w:p w14:paraId="3E5DE8C6" w14:textId="77777777" w:rsidR="006A5FB1" w:rsidRDefault="006A5FB1"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5BC70" w14:textId="77777777" w:rsidR="006A5FB1" w:rsidRDefault="006A5FB1" w:rsidP="00005691">
      <w:r>
        <w:separator/>
      </w:r>
    </w:p>
  </w:footnote>
  <w:footnote w:type="continuationSeparator" w:id="0">
    <w:p w14:paraId="53E05C6F" w14:textId="77777777" w:rsidR="006A5FB1" w:rsidRDefault="006A5FB1" w:rsidP="00005691">
      <w:r>
        <w:continuationSeparator/>
      </w:r>
    </w:p>
  </w:footnote>
  <w:footnote w:id="1">
    <w:p w14:paraId="4A617A21" w14:textId="775DDE03" w:rsidR="008E2361" w:rsidRPr="00FC44B4" w:rsidRDefault="008E2361" w:rsidP="00FC44B4">
      <w:pPr>
        <w:pStyle w:val="FootnoteText"/>
        <w:spacing w:line="240" w:lineRule="auto"/>
        <w:jc w:val="both"/>
        <w:rPr>
          <w:lang w:val="en-US"/>
        </w:rPr>
      </w:pPr>
      <w:r w:rsidRPr="00FC44B4">
        <w:rPr>
          <w:rStyle w:val="FootnoteReference"/>
        </w:rPr>
        <w:footnoteRef/>
      </w:r>
      <w:r w:rsidRPr="00FC44B4">
        <w:t xml:space="preserve"> </w:t>
      </w:r>
      <w:r w:rsidRPr="00FC44B4">
        <w:rPr>
          <w:lang w:val="en-US"/>
        </w:rPr>
        <w:t>Act 52 of 1998.</w:t>
      </w:r>
    </w:p>
  </w:footnote>
  <w:footnote w:id="2">
    <w:p w14:paraId="6AD4A626" w14:textId="4E9A7ED9" w:rsidR="00D53E9D" w:rsidRPr="00FC44B4" w:rsidRDefault="00D53E9D" w:rsidP="00FC44B4">
      <w:pPr>
        <w:autoSpaceDE w:val="0"/>
        <w:autoSpaceDN w:val="0"/>
        <w:adjustRightInd w:val="0"/>
        <w:spacing w:line="240" w:lineRule="auto"/>
        <w:jc w:val="both"/>
        <w:rPr>
          <w:sz w:val="20"/>
          <w:szCs w:val="20"/>
          <w:lang w:val="en-GB"/>
        </w:rPr>
      </w:pPr>
      <w:r w:rsidRPr="00FC44B4">
        <w:rPr>
          <w:rStyle w:val="FootnoteReference"/>
          <w:sz w:val="20"/>
          <w:szCs w:val="20"/>
        </w:rPr>
        <w:footnoteRef/>
      </w:r>
      <w:r w:rsidRPr="00FC44B4">
        <w:rPr>
          <w:sz w:val="20"/>
          <w:szCs w:val="20"/>
        </w:rPr>
        <w:t xml:space="preserve"> </w:t>
      </w:r>
      <w:r w:rsidRPr="00FC44B4">
        <w:rPr>
          <w:sz w:val="20"/>
          <w:szCs w:val="20"/>
          <w:lang w:val="en-US"/>
        </w:rPr>
        <w:t xml:space="preserve">This is defined in the applicable regulations as a person, other than a representative, rendering services as intermediary: Regulation 3.1 of the Regulations under the Long-term Insurance Act, 1998 (Act 52 of 1998) </w:t>
      </w:r>
      <w:r w:rsidRPr="00FC44B4">
        <w:rPr>
          <w:i/>
          <w:iCs/>
          <w:sz w:val="20"/>
          <w:szCs w:val="20"/>
          <w:lang w:val="en-US"/>
        </w:rPr>
        <w:t xml:space="preserve">GNR 1492 </w:t>
      </w:r>
      <w:r w:rsidRPr="00FC44B4">
        <w:rPr>
          <w:sz w:val="20"/>
          <w:szCs w:val="20"/>
          <w:lang w:val="en-US"/>
        </w:rPr>
        <w:t xml:space="preserve">of 27 November 1998, as amended. ‘Rendering services as intermediary’ is also defined in the regulations to </w:t>
      </w:r>
      <w:r w:rsidRPr="00FC44B4">
        <w:rPr>
          <w:sz w:val="20"/>
          <w:szCs w:val="20"/>
          <w:lang w:val="en-GB"/>
        </w:rPr>
        <w:t>refer to performance by a person other than a long-term insurer or a policyholder, on behalf of a long-term insurer or a policyholder, of any act directed towards entering into, maintaining or servicing a policy or collecting, accounting for or paying premiums or providing administrative services in relation to a policy, and includes the performance of such an act in relation to a fund, a member of a fund and the agreement between the member and the fund: part 3A of the Regulations.</w:t>
      </w:r>
      <w:r w:rsidR="003A3423" w:rsidRPr="00FC44B4">
        <w:rPr>
          <w:sz w:val="20"/>
          <w:szCs w:val="20"/>
          <w:lang w:val="en-GB"/>
        </w:rPr>
        <w:t xml:space="preserve"> Also see the definition of ‘independent intermediary’ in chapter 1 of the Policyholder Protection Rules (Long-term Insurance), 2017</w:t>
      </w:r>
      <w:r w:rsidR="0084440A" w:rsidRPr="00FC44B4">
        <w:rPr>
          <w:sz w:val="20"/>
          <w:szCs w:val="20"/>
          <w:lang w:val="en-GB"/>
        </w:rPr>
        <w:t xml:space="preserve"> (GN 1407 of 15 December 2017) (</w:t>
      </w:r>
      <w:r w:rsidR="0084440A" w:rsidRPr="00FC44B4">
        <w:rPr>
          <w:i/>
          <w:iCs/>
          <w:sz w:val="20"/>
          <w:szCs w:val="20"/>
          <w:lang w:val="en-GB"/>
        </w:rPr>
        <w:t>GG</w:t>
      </w:r>
      <w:r w:rsidR="0084440A" w:rsidRPr="00FC44B4">
        <w:rPr>
          <w:sz w:val="20"/>
          <w:szCs w:val="20"/>
          <w:lang w:val="en-GB"/>
        </w:rPr>
        <w:t xml:space="preserve"> No. 41321).</w:t>
      </w:r>
    </w:p>
  </w:footnote>
  <w:footnote w:id="3">
    <w:p w14:paraId="4F715D33" w14:textId="26333F88" w:rsidR="00875FEC" w:rsidRPr="00FC44B4" w:rsidRDefault="00875FEC" w:rsidP="00FC44B4">
      <w:pPr>
        <w:pStyle w:val="FootnoteText"/>
        <w:spacing w:line="240" w:lineRule="auto"/>
        <w:jc w:val="both"/>
        <w:rPr>
          <w:lang w:val="en-US"/>
        </w:rPr>
      </w:pPr>
      <w:r w:rsidRPr="00FC44B4">
        <w:rPr>
          <w:rStyle w:val="FootnoteReference"/>
        </w:rPr>
        <w:footnoteRef/>
      </w:r>
      <w:r w:rsidRPr="00FC44B4">
        <w:t xml:space="preserve"> </w:t>
      </w:r>
      <w:r w:rsidRPr="00FC44B4">
        <w:rPr>
          <w:lang w:val="en-US"/>
        </w:rPr>
        <w:t xml:space="preserve">Approximately four years prior to the litigation, </w:t>
      </w:r>
      <w:r w:rsidR="00306DA8" w:rsidRPr="00FC44B4">
        <w:rPr>
          <w:lang w:val="en-US"/>
        </w:rPr>
        <w:t>the South African Social Security Agency (‘SASSA’)</w:t>
      </w:r>
      <w:r w:rsidRPr="00FC44B4">
        <w:rPr>
          <w:lang w:val="en-US"/>
        </w:rPr>
        <w:t xml:space="preserve"> procured the services of Q Link to administer deductions from social benefits administered by SASSA. SASSA then arranged that it would make payment directly to the insurer in respect of group schemes, and not to the intermediary, and proceeded accordingly.</w:t>
      </w:r>
    </w:p>
  </w:footnote>
  <w:footnote w:id="4">
    <w:p w14:paraId="0930B200" w14:textId="2F6A02B8" w:rsidR="00CD41CF" w:rsidRPr="00FC44B4" w:rsidRDefault="00CD41CF" w:rsidP="00FC44B4">
      <w:pPr>
        <w:pStyle w:val="FootnoteText"/>
        <w:spacing w:line="240" w:lineRule="auto"/>
        <w:jc w:val="both"/>
        <w:rPr>
          <w:lang w:val="en-US"/>
        </w:rPr>
      </w:pPr>
      <w:r w:rsidRPr="00FC44B4">
        <w:rPr>
          <w:rStyle w:val="FootnoteReference"/>
        </w:rPr>
        <w:footnoteRef/>
      </w:r>
      <w:r w:rsidRPr="00FC44B4">
        <w:t xml:space="preserve"> </w:t>
      </w:r>
      <w:r w:rsidRPr="00FC44B4">
        <w:rPr>
          <w:lang w:val="en-US"/>
        </w:rPr>
        <w:t>The ‘book’ in this context refers to the persons</w:t>
      </w:r>
      <w:r w:rsidR="00D0348C" w:rsidRPr="00FC44B4">
        <w:rPr>
          <w:lang w:val="en-US"/>
        </w:rPr>
        <w:t xml:space="preserve"> </w:t>
      </w:r>
      <w:r w:rsidR="0084468E" w:rsidRPr="00FC44B4">
        <w:rPr>
          <w:lang w:val="en-US"/>
        </w:rPr>
        <w:t>(</w:t>
      </w:r>
      <w:r w:rsidR="00D0348C" w:rsidRPr="00FC44B4">
        <w:rPr>
          <w:lang w:val="en-US"/>
        </w:rPr>
        <w:t>or members</w:t>
      </w:r>
      <w:r w:rsidR="0084468E" w:rsidRPr="00FC44B4">
        <w:rPr>
          <w:lang w:val="en-US"/>
        </w:rPr>
        <w:t>)</w:t>
      </w:r>
      <w:r w:rsidR="009F4C46" w:rsidRPr="00FC44B4">
        <w:rPr>
          <w:lang w:val="en-US"/>
        </w:rPr>
        <w:t>,</w:t>
      </w:r>
      <w:r w:rsidRPr="00FC44B4">
        <w:rPr>
          <w:lang w:val="en-US"/>
        </w:rPr>
        <w:t xml:space="preserve"> </w:t>
      </w:r>
      <w:r w:rsidR="009F4C46" w:rsidRPr="00FC44B4">
        <w:rPr>
          <w:lang w:val="en-US"/>
        </w:rPr>
        <w:t xml:space="preserve">represented by a particular intermediary, </w:t>
      </w:r>
      <w:r w:rsidRPr="00FC44B4">
        <w:rPr>
          <w:lang w:val="en-US"/>
        </w:rPr>
        <w:t xml:space="preserve">who </w:t>
      </w:r>
      <w:r w:rsidR="009F4C46" w:rsidRPr="00FC44B4">
        <w:rPr>
          <w:lang w:val="en-US"/>
        </w:rPr>
        <w:t>obtain</w:t>
      </w:r>
      <w:r w:rsidR="00C87662" w:rsidRPr="00FC44B4">
        <w:rPr>
          <w:lang w:val="en-US"/>
        </w:rPr>
        <w:t>ed</w:t>
      </w:r>
      <w:r w:rsidR="009F4C46" w:rsidRPr="00FC44B4">
        <w:rPr>
          <w:lang w:val="en-US"/>
        </w:rPr>
        <w:t xml:space="preserve"> funeral insurance from </w:t>
      </w:r>
      <w:r w:rsidR="00C87662" w:rsidRPr="00FC44B4">
        <w:rPr>
          <w:lang w:val="en-US"/>
        </w:rPr>
        <w:t>the</w:t>
      </w:r>
      <w:r w:rsidR="009F4C46" w:rsidRPr="00FC44B4">
        <w:rPr>
          <w:lang w:val="en-US"/>
        </w:rPr>
        <w:t xml:space="preserve"> insurer.</w:t>
      </w:r>
    </w:p>
  </w:footnote>
  <w:footnote w:id="5">
    <w:p w14:paraId="2F501FC5" w14:textId="7FCDDBCB" w:rsidR="004C545C" w:rsidRPr="00FC44B4" w:rsidRDefault="004C545C" w:rsidP="00FC44B4">
      <w:pPr>
        <w:pStyle w:val="FootnoteText"/>
        <w:spacing w:line="240" w:lineRule="auto"/>
        <w:jc w:val="both"/>
        <w:rPr>
          <w:lang w:val="en-US"/>
        </w:rPr>
      </w:pPr>
      <w:r w:rsidRPr="00FC44B4">
        <w:rPr>
          <w:rStyle w:val="FootnoteReference"/>
        </w:rPr>
        <w:footnoteRef/>
      </w:r>
      <w:r w:rsidRPr="00FC44B4">
        <w:t xml:space="preserve"> </w:t>
      </w:r>
      <w:r w:rsidRPr="00FC44B4">
        <w:rPr>
          <w:lang w:val="en-US"/>
        </w:rPr>
        <w:t>Act 10 of 2013</w:t>
      </w:r>
      <w:r w:rsidR="007652E6" w:rsidRPr="00FC44B4">
        <w:rPr>
          <w:lang w:val="en-US"/>
        </w:rPr>
        <w:t>.</w:t>
      </w:r>
    </w:p>
  </w:footnote>
  <w:footnote w:id="6">
    <w:p w14:paraId="66849DEA" w14:textId="53CB0C61" w:rsidR="00EC32E0" w:rsidRPr="00FC44B4" w:rsidRDefault="00EC32E0" w:rsidP="00FC44B4">
      <w:pPr>
        <w:pStyle w:val="FootnoteText"/>
        <w:spacing w:line="240" w:lineRule="auto"/>
        <w:jc w:val="both"/>
        <w:rPr>
          <w:lang w:val="en-US"/>
        </w:rPr>
      </w:pPr>
      <w:r w:rsidRPr="00FC44B4">
        <w:rPr>
          <w:rStyle w:val="FootnoteReference"/>
        </w:rPr>
        <w:footnoteRef/>
      </w:r>
      <w:r w:rsidRPr="00FC44B4">
        <w:t xml:space="preserve"> </w:t>
      </w:r>
      <w:r w:rsidRPr="00FC44B4">
        <w:rPr>
          <w:lang w:val="en-US"/>
        </w:rPr>
        <w:t>Act 18 of 2007.</w:t>
      </w:r>
    </w:p>
  </w:footnote>
  <w:footnote w:id="7">
    <w:p w14:paraId="0F9A957F" w14:textId="278FBD5C" w:rsidR="00EE19BC" w:rsidRPr="00FC44B4" w:rsidRDefault="00EE19BC" w:rsidP="00FC44B4">
      <w:pPr>
        <w:pStyle w:val="FootnoteText"/>
        <w:spacing w:line="240" w:lineRule="auto"/>
        <w:jc w:val="both"/>
        <w:rPr>
          <w:lang w:val="en-US"/>
        </w:rPr>
      </w:pPr>
      <w:r w:rsidRPr="00FC44B4">
        <w:rPr>
          <w:rStyle w:val="FootnoteReference"/>
        </w:rPr>
        <w:footnoteRef/>
      </w:r>
      <w:r w:rsidRPr="00FC44B4">
        <w:t xml:space="preserve"> </w:t>
      </w:r>
      <w:r w:rsidRPr="00FC44B4">
        <w:rPr>
          <w:lang w:val="en-US"/>
        </w:rPr>
        <w:t>Clause 8.1 of the agreement.</w:t>
      </w:r>
    </w:p>
  </w:footnote>
  <w:footnote w:id="8">
    <w:p w14:paraId="1F560A78" w14:textId="14957121" w:rsidR="00770AAE" w:rsidRPr="00FC44B4" w:rsidRDefault="00770AAE" w:rsidP="00FC44B4">
      <w:pPr>
        <w:pStyle w:val="FootnoteText"/>
        <w:spacing w:line="240" w:lineRule="auto"/>
        <w:jc w:val="both"/>
        <w:rPr>
          <w:lang w:val="en-US"/>
        </w:rPr>
      </w:pPr>
      <w:r w:rsidRPr="00FC44B4">
        <w:rPr>
          <w:rStyle w:val="FootnoteReference"/>
        </w:rPr>
        <w:footnoteRef/>
      </w:r>
      <w:r w:rsidRPr="00FC44B4">
        <w:t xml:space="preserve"> </w:t>
      </w:r>
      <w:r w:rsidRPr="00FC44B4">
        <w:rPr>
          <w:lang w:val="en-US"/>
        </w:rPr>
        <w:t>Clause 7.6</w:t>
      </w:r>
      <w:r w:rsidR="00BD3DF8" w:rsidRPr="00FC44B4">
        <w:rPr>
          <w:lang w:val="en-US"/>
        </w:rPr>
        <w:t xml:space="preserve"> of the agreement.</w:t>
      </w:r>
    </w:p>
  </w:footnote>
  <w:footnote w:id="9">
    <w:p w14:paraId="5B908E65" w14:textId="52371B97" w:rsidR="0033777C" w:rsidRPr="00FC44B4" w:rsidRDefault="0033777C" w:rsidP="00FC44B4">
      <w:pPr>
        <w:pStyle w:val="FootnoteText"/>
        <w:spacing w:line="240" w:lineRule="auto"/>
        <w:jc w:val="both"/>
        <w:rPr>
          <w:lang w:val="en-US"/>
        </w:rPr>
      </w:pPr>
      <w:r w:rsidRPr="00FC44B4">
        <w:rPr>
          <w:rStyle w:val="FootnoteReference"/>
        </w:rPr>
        <w:footnoteRef/>
      </w:r>
      <w:r w:rsidRPr="00FC44B4">
        <w:t xml:space="preserve"> </w:t>
      </w:r>
      <w:r w:rsidRPr="00FC44B4">
        <w:rPr>
          <w:lang w:val="en-US"/>
        </w:rPr>
        <w:t>Clause 7.8 of the agreement.</w:t>
      </w:r>
    </w:p>
  </w:footnote>
  <w:footnote w:id="10">
    <w:p w14:paraId="1F4DE459" w14:textId="535C3BE5" w:rsidR="00B24395" w:rsidRPr="00FC44B4" w:rsidRDefault="00B24395" w:rsidP="00FC44B4">
      <w:pPr>
        <w:pStyle w:val="FootnoteText"/>
        <w:spacing w:line="240" w:lineRule="auto"/>
        <w:jc w:val="both"/>
        <w:rPr>
          <w:lang w:val="en-US"/>
        </w:rPr>
      </w:pPr>
      <w:r w:rsidRPr="00FC44B4">
        <w:rPr>
          <w:rStyle w:val="FootnoteReference"/>
        </w:rPr>
        <w:footnoteRef/>
      </w:r>
      <w:r w:rsidRPr="00FC44B4">
        <w:t xml:space="preserve"> </w:t>
      </w:r>
      <w:r w:rsidRPr="00FC44B4">
        <w:rPr>
          <w:lang w:val="en-US"/>
        </w:rPr>
        <w:t>Clause 15 of the agreement.</w:t>
      </w:r>
    </w:p>
  </w:footnote>
  <w:footnote w:id="11">
    <w:p w14:paraId="2A10716D" w14:textId="740378A8" w:rsidR="00B03D9A" w:rsidRPr="00FC44B4" w:rsidRDefault="00B03D9A" w:rsidP="00FC44B4">
      <w:pPr>
        <w:pStyle w:val="FootnoteText"/>
        <w:spacing w:line="240" w:lineRule="auto"/>
        <w:jc w:val="both"/>
        <w:rPr>
          <w:lang w:val="en-US"/>
        </w:rPr>
      </w:pPr>
      <w:r w:rsidRPr="00FC44B4">
        <w:rPr>
          <w:rStyle w:val="FootnoteReference"/>
        </w:rPr>
        <w:footnoteRef/>
      </w:r>
      <w:r w:rsidRPr="00FC44B4">
        <w:t xml:space="preserve"> Rule 15</w:t>
      </w:r>
      <w:r w:rsidRPr="00FC44B4">
        <w:rPr>
          <w:i/>
          <w:iCs/>
        </w:rPr>
        <w:t>(b)</w:t>
      </w:r>
      <w:r w:rsidRPr="00FC44B4">
        <w:t xml:space="preserve"> of the Policyholder Protection Rules (Long-term Insurance), 2004 (GNR</w:t>
      </w:r>
      <w:r w:rsidRPr="00FC44B4">
        <w:rPr>
          <w:i/>
          <w:iCs/>
        </w:rPr>
        <w:t xml:space="preserve"> </w:t>
      </w:r>
      <w:r w:rsidRPr="00FC44B4">
        <w:t xml:space="preserve">1129 of 30 September 2004) read ‘A cancellation of an agreement referred to in Rule 11 will only be effective if … all individual policyholders have to the satisfaction of the registrar been notified of such cancellation’.  </w:t>
      </w:r>
      <w:r w:rsidRPr="00FC44B4">
        <w:rPr>
          <w:lang w:val="en-US"/>
        </w:rPr>
        <w:t>The</w:t>
      </w:r>
      <w:r w:rsidR="00203796" w:rsidRPr="00FC44B4">
        <w:rPr>
          <w:lang w:val="en-US"/>
        </w:rPr>
        <w:t>se</w:t>
      </w:r>
      <w:r w:rsidRPr="00FC44B4">
        <w:rPr>
          <w:lang w:val="en-US"/>
        </w:rPr>
        <w:t xml:space="preserve"> rule</w:t>
      </w:r>
      <w:r w:rsidR="00203796" w:rsidRPr="00FC44B4">
        <w:rPr>
          <w:lang w:val="en-US"/>
        </w:rPr>
        <w:t>s have</w:t>
      </w:r>
      <w:r w:rsidRPr="00FC44B4">
        <w:rPr>
          <w:lang w:val="en-US"/>
        </w:rPr>
        <w:t xml:space="preserve"> been repealed by GN 1407 published in </w:t>
      </w:r>
      <w:r w:rsidRPr="00FC44B4">
        <w:rPr>
          <w:i/>
          <w:iCs/>
          <w:lang w:val="en-US"/>
        </w:rPr>
        <w:t xml:space="preserve">GG </w:t>
      </w:r>
      <w:r w:rsidRPr="00FC44B4">
        <w:rPr>
          <w:lang w:val="en-US"/>
        </w:rPr>
        <w:t xml:space="preserve">41321 of 15 December 2017. </w:t>
      </w:r>
    </w:p>
  </w:footnote>
  <w:footnote w:id="12">
    <w:p w14:paraId="04FB7768" w14:textId="0A6D2C93" w:rsidR="003E5BB2" w:rsidRPr="00FC44B4" w:rsidRDefault="003E5BB2" w:rsidP="00FC44B4">
      <w:pPr>
        <w:pStyle w:val="FootnoteText"/>
        <w:spacing w:line="240" w:lineRule="auto"/>
        <w:jc w:val="both"/>
        <w:rPr>
          <w:lang w:val="en-US"/>
        </w:rPr>
      </w:pPr>
      <w:r w:rsidRPr="00FC44B4">
        <w:rPr>
          <w:rStyle w:val="FootnoteReference"/>
        </w:rPr>
        <w:footnoteRef/>
      </w:r>
      <w:r w:rsidRPr="00FC44B4">
        <w:t xml:space="preserve"> </w:t>
      </w:r>
      <w:r w:rsidRPr="00FC44B4">
        <w:rPr>
          <w:lang w:val="en-US"/>
        </w:rPr>
        <w:t>Clause 1.2 of the Master Policy.</w:t>
      </w:r>
      <w:r w:rsidR="002757CF" w:rsidRPr="00FC44B4">
        <w:rPr>
          <w:lang w:val="en-US"/>
        </w:rPr>
        <w:t xml:space="preserve"> Multisure is, for purposes of the Master Policy, referred to as the ‘policyholder’, insured persons are referred to as ‘members’ and KGA is referred to as the ‘assurer’.</w:t>
      </w:r>
    </w:p>
  </w:footnote>
  <w:footnote w:id="13">
    <w:p w14:paraId="411FE6A2" w14:textId="552B64AE" w:rsidR="009900D7" w:rsidRPr="00FC44B4" w:rsidRDefault="009900D7" w:rsidP="00FC44B4">
      <w:pPr>
        <w:pStyle w:val="FootnoteText"/>
        <w:spacing w:line="240" w:lineRule="auto"/>
        <w:jc w:val="both"/>
        <w:rPr>
          <w:lang w:val="en-US"/>
        </w:rPr>
      </w:pPr>
      <w:r w:rsidRPr="00FC44B4">
        <w:rPr>
          <w:rStyle w:val="FootnoteReference"/>
        </w:rPr>
        <w:footnoteRef/>
      </w:r>
      <w:r w:rsidRPr="00FC44B4">
        <w:t xml:space="preserve"> </w:t>
      </w:r>
      <w:r w:rsidRPr="00FC44B4">
        <w:rPr>
          <w:lang w:val="en-US"/>
        </w:rPr>
        <w:t>Clause 6.4 of the Master Policy.</w:t>
      </w:r>
    </w:p>
  </w:footnote>
  <w:footnote w:id="14">
    <w:p w14:paraId="156056E0" w14:textId="59D199FD" w:rsidR="00705E82" w:rsidRPr="00FC44B4" w:rsidRDefault="00705E82" w:rsidP="00FC44B4">
      <w:pPr>
        <w:pStyle w:val="FootnoteText"/>
        <w:spacing w:line="240" w:lineRule="auto"/>
        <w:jc w:val="both"/>
        <w:rPr>
          <w:lang w:val="en-US"/>
        </w:rPr>
      </w:pPr>
      <w:r w:rsidRPr="00FC44B4">
        <w:rPr>
          <w:rStyle w:val="FootnoteReference"/>
        </w:rPr>
        <w:footnoteRef/>
      </w:r>
      <w:r w:rsidRPr="00FC44B4">
        <w:t xml:space="preserve"> </w:t>
      </w:r>
      <w:r w:rsidRPr="00FC44B4">
        <w:rPr>
          <w:lang w:val="en-US"/>
        </w:rPr>
        <w:t>Clause 4.5 of the Master Policy.</w:t>
      </w:r>
    </w:p>
  </w:footnote>
  <w:footnote w:id="15">
    <w:p w14:paraId="15164C27" w14:textId="4E1867C1" w:rsidR="00012383" w:rsidRPr="00FC44B4" w:rsidRDefault="00012383" w:rsidP="00FC44B4">
      <w:pPr>
        <w:pStyle w:val="FootnoteText"/>
        <w:spacing w:line="240" w:lineRule="auto"/>
        <w:jc w:val="both"/>
        <w:rPr>
          <w:lang w:val="en-US"/>
        </w:rPr>
      </w:pPr>
      <w:r w:rsidRPr="00FC44B4">
        <w:rPr>
          <w:rStyle w:val="FootnoteReference"/>
        </w:rPr>
        <w:footnoteRef/>
      </w:r>
      <w:r w:rsidRPr="00FC44B4">
        <w:t xml:space="preserve"> </w:t>
      </w:r>
      <w:r w:rsidRPr="00FC44B4">
        <w:rPr>
          <w:lang w:val="en-US"/>
        </w:rPr>
        <w:t>Clause 15.5 of the Master Policy.</w:t>
      </w:r>
    </w:p>
  </w:footnote>
  <w:footnote w:id="16">
    <w:p w14:paraId="20F231A2" w14:textId="0852CEE5" w:rsidR="005A2D52" w:rsidRPr="00FC44B4" w:rsidRDefault="005A2D52" w:rsidP="00FC44B4">
      <w:pPr>
        <w:pStyle w:val="FootnoteText"/>
        <w:spacing w:line="240" w:lineRule="auto"/>
        <w:jc w:val="both"/>
        <w:rPr>
          <w:lang w:val="en-US"/>
        </w:rPr>
      </w:pPr>
      <w:r w:rsidRPr="00FC44B4">
        <w:rPr>
          <w:rStyle w:val="FootnoteReference"/>
        </w:rPr>
        <w:footnoteRef/>
      </w:r>
      <w:r w:rsidRPr="00FC44B4">
        <w:t xml:space="preserve"> </w:t>
      </w:r>
      <w:r w:rsidRPr="00FC44B4">
        <w:rPr>
          <w:lang w:val="en-US"/>
        </w:rPr>
        <w:t>S 25 of the Act.</w:t>
      </w:r>
    </w:p>
  </w:footnote>
  <w:footnote w:id="17">
    <w:p w14:paraId="6CF2248F" w14:textId="6725EB1A" w:rsidR="00374F0D" w:rsidRPr="00FC44B4" w:rsidRDefault="00374F0D" w:rsidP="00FC44B4">
      <w:pPr>
        <w:pStyle w:val="FootnoteText"/>
        <w:spacing w:line="240" w:lineRule="auto"/>
        <w:jc w:val="both"/>
        <w:rPr>
          <w:lang w:val="en-US"/>
        </w:rPr>
      </w:pPr>
      <w:r w:rsidRPr="00FC44B4">
        <w:rPr>
          <w:rStyle w:val="FootnoteReference"/>
        </w:rPr>
        <w:footnoteRef/>
      </w:r>
      <w:r w:rsidRPr="00FC44B4">
        <w:t xml:space="preserve"> </w:t>
      </w:r>
      <w:r w:rsidRPr="00FC44B4">
        <w:rPr>
          <w:lang w:val="en-US"/>
        </w:rPr>
        <w:t>S</w:t>
      </w:r>
      <w:r w:rsidR="008E20F9" w:rsidRPr="00FC44B4">
        <w:rPr>
          <w:lang w:val="en-US"/>
        </w:rPr>
        <w:t>s</w:t>
      </w:r>
      <w:r w:rsidRPr="00FC44B4">
        <w:rPr>
          <w:lang w:val="en-US"/>
        </w:rPr>
        <w:t xml:space="preserve"> 27</w:t>
      </w:r>
      <w:r w:rsidR="008E20F9" w:rsidRPr="00FC44B4">
        <w:rPr>
          <w:lang w:val="en-US"/>
        </w:rPr>
        <w:t>, 29</w:t>
      </w:r>
      <w:r w:rsidRPr="00FC44B4">
        <w:rPr>
          <w:lang w:val="en-US"/>
        </w:rPr>
        <w:t xml:space="preserve"> of the Act.</w:t>
      </w:r>
    </w:p>
  </w:footnote>
  <w:footnote w:id="18">
    <w:p w14:paraId="26C80FE2" w14:textId="055B18C3" w:rsidR="00723FBD" w:rsidRPr="00FC44B4" w:rsidRDefault="00723FBD" w:rsidP="00FC44B4">
      <w:pPr>
        <w:pStyle w:val="FootnoteText"/>
        <w:spacing w:line="240" w:lineRule="auto"/>
        <w:jc w:val="both"/>
        <w:rPr>
          <w:lang w:val="en-US"/>
        </w:rPr>
      </w:pPr>
      <w:r w:rsidRPr="00FC44B4">
        <w:rPr>
          <w:rStyle w:val="FootnoteReference"/>
        </w:rPr>
        <w:footnoteRef/>
      </w:r>
      <w:r w:rsidRPr="00FC44B4">
        <w:t xml:space="preserve"> </w:t>
      </w:r>
      <w:r w:rsidRPr="00FC44B4">
        <w:rPr>
          <w:lang w:val="en-US"/>
        </w:rPr>
        <w:t>The Minister has not exercised this power to date.</w:t>
      </w:r>
    </w:p>
  </w:footnote>
  <w:footnote w:id="19">
    <w:p w14:paraId="08489FE3" w14:textId="53B2E4B9" w:rsidR="00D06ABF" w:rsidRPr="00FC44B4" w:rsidRDefault="00D06ABF" w:rsidP="00FC44B4">
      <w:pPr>
        <w:pStyle w:val="FootnoteText"/>
        <w:spacing w:line="240" w:lineRule="auto"/>
        <w:jc w:val="both"/>
        <w:rPr>
          <w:lang w:val="en-US"/>
        </w:rPr>
      </w:pPr>
      <w:r w:rsidRPr="00FC44B4">
        <w:rPr>
          <w:rStyle w:val="FootnoteReference"/>
        </w:rPr>
        <w:footnoteRef/>
      </w:r>
      <w:r w:rsidRPr="00FC44B4">
        <w:t xml:space="preserve"> </w:t>
      </w:r>
      <w:r w:rsidRPr="00FC44B4">
        <w:rPr>
          <w:lang w:val="en-US"/>
        </w:rPr>
        <w:t>Schedule 2 of the Act.</w:t>
      </w:r>
    </w:p>
  </w:footnote>
  <w:footnote w:id="20">
    <w:p w14:paraId="2128CBDB" w14:textId="544AF735" w:rsidR="005F442A" w:rsidRPr="00FC44B4" w:rsidRDefault="005F442A" w:rsidP="00FC44B4">
      <w:pPr>
        <w:pStyle w:val="FootnoteText"/>
        <w:spacing w:line="240" w:lineRule="auto"/>
        <w:jc w:val="both"/>
        <w:rPr>
          <w:lang w:val="en-US"/>
        </w:rPr>
      </w:pPr>
      <w:r w:rsidRPr="00FC44B4">
        <w:rPr>
          <w:rStyle w:val="FootnoteReference"/>
        </w:rPr>
        <w:footnoteRef/>
      </w:r>
      <w:r w:rsidRPr="00FC44B4">
        <w:t xml:space="preserve"> </w:t>
      </w:r>
      <w:r w:rsidRPr="00FC44B4">
        <w:rPr>
          <w:lang w:val="en-US"/>
        </w:rPr>
        <w:t xml:space="preserve">A group scheme was defined </w:t>
      </w:r>
      <w:r w:rsidR="00554FF0" w:rsidRPr="00FC44B4">
        <w:rPr>
          <w:lang w:val="en-US"/>
        </w:rPr>
        <w:t xml:space="preserve">more broadly </w:t>
      </w:r>
      <w:r w:rsidRPr="00FC44B4">
        <w:rPr>
          <w:lang w:val="en-US"/>
        </w:rPr>
        <w:t xml:space="preserve">as ‘a scheme or arrangement which provides for the entering </w:t>
      </w:r>
      <w:r w:rsidR="00554FF0" w:rsidRPr="00FC44B4">
        <w:rPr>
          <w:lang w:val="en-US"/>
        </w:rPr>
        <w:t>into of one or more policies, other than an individual policy, in terms of which two or more persons without an insurable interest in each other, for the purposes of the scheme, are the lives insured</w:t>
      </w:r>
      <w:r w:rsidR="009729E5" w:rsidRPr="00FC44B4">
        <w:rPr>
          <w:lang w:val="en-US"/>
        </w:rPr>
        <w:t>’.</w:t>
      </w:r>
    </w:p>
  </w:footnote>
  <w:footnote w:id="21">
    <w:p w14:paraId="01D8A59D" w14:textId="46E81EC0" w:rsidR="00370400" w:rsidRPr="00FC44B4" w:rsidRDefault="00370400" w:rsidP="00FC44B4">
      <w:pPr>
        <w:pStyle w:val="FootnoteText"/>
        <w:spacing w:line="240" w:lineRule="auto"/>
        <w:jc w:val="both"/>
        <w:rPr>
          <w:lang w:val="en-US"/>
        </w:rPr>
      </w:pPr>
      <w:r w:rsidRPr="00FC44B4">
        <w:rPr>
          <w:rStyle w:val="FootnoteReference"/>
        </w:rPr>
        <w:footnoteRef/>
      </w:r>
      <w:r w:rsidRPr="00FC44B4">
        <w:t xml:space="preserve"> </w:t>
      </w:r>
      <w:r w:rsidRPr="00FC44B4">
        <w:rPr>
          <w:lang w:val="en-US"/>
        </w:rPr>
        <w:t>Ss 18(1) and 18(3) of the Superior Courts Act, 2013</w:t>
      </w:r>
      <w:r w:rsidR="00DA6E6D" w:rsidRPr="00FC44B4">
        <w:rPr>
          <w:lang w:val="en-US"/>
        </w:rPr>
        <w:t>.</w:t>
      </w:r>
    </w:p>
  </w:footnote>
  <w:footnote w:id="22">
    <w:p w14:paraId="70A71549" w14:textId="262A8B3A" w:rsidR="00EB4215" w:rsidRPr="00FC44B4" w:rsidRDefault="00EB4215" w:rsidP="00FC44B4">
      <w:pPr>
        <w:pStyle w:val="FootnoteText"/>
        <w:spacing w:line="240" w:lineRule="auto"/>
        <w:jc w:val="both"/>
        <w:rPr>
          <w:lang w:val="en-US"/>
        </w:rPr>
      </w:pPr>
      <w:r w:rsidRPr="00FC44B4">
        <w:rPr>
          <w:rStyle w:val="FootnoteReference"/>
        </w:rPr>
        <w:footnoteRef/>
      </w:r>
      <w:r w:rsidRPr="00FC44B4">
        <w:t xml:space="preserve"> </w:t>
      </w:r>
      <w:r w:rsidRPr="00FC44B4">
        <w:rPr>
          <w:lang w:val="en-US"/>
        </w:rPr>
        <w:t>S 18(4) of the Superio</w:t>
      </w:r>
      <w:r w:rsidR="0071628D" w:rsidRPr="00FC44B4">
        <w:rPr>
          <w:lang w:val="en-US"/>
        </w:rPr>
        <w:t>r</w:t>
      </w:r>
      <w:r w:rsidRPr="00FC44B4">
        <w:rPr>
          <w:lang w:val="en-US"/>
        </w:rPr>
        <w:t xml:space="preserve"> Courts Act, 2013.</w:t>
      </w:r>
    </w:p>
  </w:footnote>
  <w:footnote w:id="23">
    <w:p w14:paraId="68FF1021" w14:textId="62D782B8" w:rsidR="00FB7E5B" w:rsidRPr="00FC44B4" w:rsidRDefault="00FB7E5B" w:rsidP="00FC44B4">
      <w:pPr>
        <w:pStyle w:val="FootnoteText"/>
        <w:spacing w:line="240" w:lineRule="auto"/>
        <w:jc w:val="both"/>
        <w:rPr>
          <w:lang w:val="en-US"/>
        </w:rPr>
      </w:pPr>
      <w:r w:rsidRPr="00FC44B4">
        <w:rPr>
          <w:rStyle w:val="FootnoteReference"/>
        </w:rPr>
        <w:footnoteRef/>
      </w:r>
      <w:r w:rsidRPr="00FC44B4">
        <w:t xml:space="preserve"> </w:t>
      </w:r>
      <w:r w:rsidRPr="00FC44B4">
        <w:rPr>
          <w:i/>
          <w:iCs/>
          <w:lang w:val="en-US"/>
        </w:rPr>
        <w:t>Knoop NO v Gupta</w:t>
      </w:r>
      <w:r w:rsidRPr="00FC44B4">
        <w:rPr>
          <w:lang w:val="en-US"/>
        </w:rPr>
        <w:t xml:space="preserve"> </w:t>
      </w:r>
      <w:r w:rsidRPr="00FC44B4">
        <w:rPr>
          <w:i/>
          <w:iCs/>
          <w:lang w:val="en-US"/>
        </w:rPr>
        <w:t>(Execution)</w:t>
      </w:r>
      <w:r w:rsidRPr="00FC44B4">
        <w:rPr>
          <w:lang w:val="en-US"/>
        </w:rPr>
        <w:t xml:space="preserve"> 2021 (3) SA 135 (SCA) para 45.</w:t>
      </w:r>
      <w:r w:rsidR="00E81FB9" w:rsidRPr="00FC44B4">
        <w:rPr>
          <w:lang w:val="en-US"/>
        </w:rPr>
        <w:t xml:space="preserve"> Also see </w:t>
      </w:r>
      <w:r w:rsidR="00E81FB9" w:rsidRPr="00FC44B4">
        <w:rPr>
          <w:i/>
          <w:iCs/>
          <w:lang w:val="en-US"/>
        </w:rPr>
        <w:t>Incubeta Holdings (Pty) Ltd v Ellis</w:t>
      </w:r>
      <w:r w:rsidR="00E81FB9" w:rsidRPr="00FC44B4">
        <w:rPr>
          <w:lang w:val="en-US"/>
        </w:rPr>
        <w:t xml:space="preserve"> 2014 (3) SA 189 (GJ) (‘</w:t>
      </w:r>
      <w:r w:rsidR="00E81FB9" w:rsidRPr="00FC44B4">
        <w:rPr>
          <w:i/>
          <w:iCs/>
          <w:lang w:val="en-US"/>
        </w:rPr>
        <w:t>Incubeta Holdings</w:t>
      </w:r>
      <w:r w:rsidR="00E81FB9" w:rsidRPr="00FC44B4">
        <w:rPr>
          <w:lang w:val="en-US"/>
        </w:rPr>
        <w:t>’) para 24.</w:t>
      </w:r>
    </w:p>
  </w:footnote>
  <w:footnote w:id="24">
    <w:p w14:paraId="7CDF9FBA" w14:textId="40668E35" w:rsidR="005F4B77" w:rsidRPr="00FC44B4" w:rsidRDefault="005F4B77" w:rsidP="00FC44B4">
      <w:pPr>
        <w:pStyle w:val="FootnoteText"/>
        <w:spacing w:line="240" w:lineRule="auto"/>
        <w:jc w:val="both"/>
        <w:rPr>
          <w:lang w:val="en-US"/>
        </w:rPr>
      </w:pPr>
      <w:r w:rsidRPr="00FC44B4">
        <w:rPr>
          <w:rStyle w:val="FootnoteReference"/>
        </w:rPr>
        <w:footnoteRef/>
      </w:r>
      <w:r w:rsidRPr="00FC44B4">
        <w:t xml:space="preserve"> </w:t>
      </w:r>
      <w:r w:rsidRPr="00FC44B4">
        <w:rPr>
          <w:lang w:val="en-US"/>
        </w:rPr>
        <w:t xml:space="preserve">See </w:t>
      </w:r>
      <w:r w:rsidRPr="00FC44B4">
        <w:rPr>
          <w:i/>
          <w:iCs/>
          <w:lang w:val="en-US"/>
        </w:rPr>
        <w:t>Premier for the Province of Gauteng v Democratic Alliance</w:t>
      </w:r>
      <w:r w:rsidRPr="00FC44B4">
        <w:rPr>
          <w:lang w:val="en-US"/>
        </w:rPr>
        <w:t xml:space="preserve"> [2021] 1 All SA 60 (SCA) para 14.</w:t>
      </w:r>
    </w:p>
  </w:footnote>
  <w:footnote w:id="25">
    <w:p w14:paraId="1F45DDBE" w14:textId="768313D5" w:rsidR="001A2699" w:rsidRPr="00FC44B4" w:rsidRDefault="001A2699" w:rsidP="00FC44B4">
      <w:pPr>
        <w:pStyle w:val="FootnoteText"/>
        <w:spacing w:line="240" w:lineRule="auto"/>
        <w:jc w:val="both"/>
        <w:rPr>
          <w:lang w:val="en-US"/>
        </w:rPr>
      </w:pPr>
      <w:r w:rsidRPr="00FC44B4">
        <w:rPr>
          <w:rStyle w:val="FootnoteReference"/>
        </w:rPr>
        <w:footnoteRef/>
      </w:r>
      <w:r w:rsidRPr="00FC44B4">
        <w:t xml:space="preserve"> </w:t>
      </w:r>
      <w:r w:rsidRPr="00FC44B4">
        <w:rPr>
          <w:lang w:val="en-US"/>
        </w:rPr>
        <w:t xml:space="preserve">See </w:t>
      </w:r>
      <w:r w:rsidRPr="00FC44B4">
        <w:rPr>
          <w:i/>
          <w:iCs/>
          <w:lang w:val="en-US"/>
        </w:rPr>
        <w:t>Incubeta Holdings</w:t>
      </w:r>
      <w:r w:rsidRPr="00FC44B4">
        <w:rPr>
          <w:lang w:val="en-US"/>
        </w:rPr>
        <w:t xml:space="preserve"> supra</w:t>
      </w:r>
      <w:r w:rsidR="008F1853">
        <w:rPr>
          <w:lang w:val="en-US"/>
        </w:rPr>
        <w:t xml:space="preserve"> fn 23</w:t>
      </w:r>
      <w:r w:rsidRPr="00FC44B4">
        <w:rPr>
          <w:lang w:val="en-US"/>
        </w:rPr>
        <w:t xml:space="preserve"> para 22.</w:t>
      </w:r>
    </w:p>
  </w:footnote>
  <w:footnote w:id="26">
    <w:p w14:paraId="6495E6ED" w14:textId="70FAD3D6" w:rsidR="008D4568" w:rsidRPr="00FC44B4" w:rsidRDefault="008D4568" w:rsidP="00FC44B4">
      <w:pPr>
        <w:pStyle w:val="FootnoteText"/>
        <w:spacing w:line="240" w:lineRule="auto"/>
        <w:jc w:val="both"/>
        <w:rPr>
          <w:lang w:val="en-US"/>
        </w:rPr>
      </w:pPr>
      <w:r w:rsidRPr="00FC44B4">
        <w:rPr>
          <w:rStyle w:val="FootnoteReference"/>
        </w:rPr>
        <w:footnoteRef/>
      </w:r>
      <w:r w:rsidRPr="00FC44B4">
        <w:t xml:space="preserve"> </w:t>
      </w:r>
      <w:r w:rsidRPr="00FC44B4">
        <w:rPr>
          <w:i/>
          <w:iCs/>
          <w:lang w:val="en-US"/>
        </w:rPr>
        <w:t>MV Ais Mamas Seatrans Maritime v Owners, MV Ais Mamas</w:t>
      </w:r>
      <w:r w:rsidR="00982FCE" w:rsidRPr="00FC44B4">
        <w:rPr>
          <w:lang w:val="en-US"/>
        </w:rPr>
        <w:t xml:space="preserve"> 2002 (6) 150 (C) at 156I-157C.</w:t>
      </w:r>
      <w:r w:rsidR="00674CFA" w:rsidRPr="00FC44B4">
        <w:rPr>
          <w:lang w:val="en-US"/>
        </w:rPr>
        <w:t xml:space="preserve"> Also see </w:t>
      </w:r>
      <w:r w:rsidR="00E81FB9" w:rsidRPr="00FC44B4">
        <w:rPr>
          <w:i/>
          <w:iCs/>
          <w:lang w:val="en-US"/>
        </w:rPr>
        <w:t xml:space="preserve">Incubeta Holdings </w:t>
      </w:r>
      <w:r w:rsidR="00DB6FFC">
        <w:rPr>
          <w:lang w:val="en-US"/>
        </w:rPr>
        <w:t>supra fn 23</w:t>
      </w:r>
      <w:r w:rsidR="00E81FB9" w:rsidRPr="00FC44B4">
        <w:rPr>
          <w:lang w:val="en-US"/>
        </w:rPr>
        <w:t xml:space="preserve"> </w:t>
      </w:r>
      <w:r w:rsidR="00674CFA" w:rsidRPr="00FC44B4">
        <w:rPr>
          <w:lang w:val="en-US"/>
        </w:rPr>
        <w:t>at 194J-195I.</w:t>
      </w:r>
    </w:p>
  </w:footnote>
  <w:footnote w:id="27">
    <w:p w14:paraId="335CBA18" w14:textId="01DDB2EC" w:rsidR="00B13CEB" w:rsidRPr="00FC44B4" w:rsidRDefault="00B13CEB" w:rsidP="00FC44B4">
      <w:pPr>
        <w:pStyle w:val="FootnoteText"/>
        <w:spacing w:line="240" w:lineRule="auto"/>
        <w:jc w:val="both"/>
        <w:rPr>
          <w:lang w:val="en-US"/>
        </w:rPr>
      </w:pPr>
      <w:r w:rsidRPr="00FC44B4">
        <w:rPr>
          <w:rStyle w:val="FootnoteReference"/>
        </w:rPr>
        <w:footnoteRef/>
      </w:r>
      <w:r w:rsidRPr="00FC44B4">
        <w:t xml:space="preserve"> </w:t>
      </w:r>
      <w:r w:rsidRPr="00FC44B4">
        <w:rPr>
          <w:i/>
          <w:iCs/>
          <w:lang w:val="en-US"/>
        </w:rPr>
        <w:t>University of the Free State v Afriforum</w:t>
      </w:r>
      <w:r w:rsidRPr="00FC44B4">
        <w:rPr>
          <w:lang w:val="en-US"/>
        </w:rPr>
        <w:t xml:space="preserve"> 2018 (3) SA 428 (SCA)</w:t>
      </w:r>
      <w:r w:rsidR="00CB337B" w:rsidRPr="00FC44B4">
        <w:rPr>
          <w:lang w:val="en-US"/>
        </w:rPr>
        <w:t xml:space="preserve"> </w:t>
      </w:r>
      <w:r w:rsidR="002453F0" w:rsidRPr="00FC44B4">
        <w:rPr>
          <w:lang w:val="en-US"/>
        </w:rPr>
        <w:t>(‘</w:t>
      </w:r>
      <w:r w:rsidR="002453F0" w:rsidRPr="00FC44B4">
        <w:rPr>
          <w:i/>
          <w:iCs/>
          <w:lang w:val="en-US"/>
        </w:rPr>
        <w:t>University of the Free State</w:t>
      </w:r>
      <w:r w:rsidR="002453F0" w:rsidRPr="00FC44B4">
        <w:rPr>
          <w:lang w:val="en-US"/>
        </w:rPr>
        <w:t xml:space="preserve">’) </w:t>
      </w:r>
      <w:r w:rsidR="00CB337B" w:rsidRPr="00FC44B4">
        <w:rPr>
          <w:lang w:val="en-US"/>
        </w:rPr>
        <w:t>para 11.</w:t>
      </w:r>
    </w:p>
  </w:footnote>
  <w:footnote w:id="28">
    <w:p w14:paraId="6BE924AE" w14:textId="48CA5B51" w:rsidR="005C737C" w:rsidRPr="00FC44B4" w:rsidRDefault="005C737C" w:rsidP="00FC44B4">
      <w:pPr>
        <w:pStyle w:val="FootnoteText"/>
        <w:spacing w:line="240" w:lineRule="auto"/>
        <w:jc w:val="both"/>
        <w:rPr>
          <w:lang w:val="en-US"/>
        </w:rPr>
      </w:pPr>
      <w:r w:rsidRPr="00FC44B4">
        <w:rPr>
          <w:rStyle w:val="FootnoteReference"/>
        </w:rPr>
        <w:footnoteRef/>
      </w:r>
      <w:r w:rsidRPr="00FC44B4">
        <w:t xml:space="preserve"> </w:t>
      </w:r>
      <w:r w:rsidRPr="00FC44B4">
        <w:rPr>
          <w:lang w:val="en-US"/>
        </w:rPr>
        <w:t xml:space="preserve">See </w:t>
      </w:r>
      <w:r w:rsidRPr="00FC44B4">
        <w:rPr>
          <w:i/>
          <w:iCs/>
          <w:lang w:val="en-US"/>
        </w:rPr>
        <w:t>Avnit v First Rand Bank Limited</w:t>
      </w:r>
      <w:r w:rsidRPr="00FC44B4">
        <w:rPr>
          <w:lang w:val="en-US"/>
        </w:rPr>
        <w:t xml:space="preserve"> [2014] ZASCA 132.</w:t>
      </w:r>
      <w:r w:rsidR="00EA39D1" w:rsidRPr="00FC44B4">
        <w:rPr>
          <w:lang w:val="en-US"/>
        </w:rPr>
        <w:t xml:space="preserve"> Also see </w:t>
      </w:r>
      <w:r w:rsidR="00EA39D1" w:rsidRPr="00FC44B4">
        <w:rPr>
          <w:i/>
          <w:iCs/>
          <w:lang w:val="en-US"/>
        </w:rPr>
        <w:t>Ntlemeza v Helen Suzman Foundation</w:t>
      </w:r>
      <w:r w:rsidR="00EA39D1" w:rsidRPr="00FC44B4">
        <w:rPr>
          <w:lang w:val="en-US"/>
        </w:rPr>
        <w:t xml:space="preserve"> 2017 (5) SA 402 (SCA) at 413D.</w:t>
      </w:r>
    </w:p>
  </w:footnote>
  <w:footnote w:id="29">
    <w:p w14:paraId="173ABBB4" w14:textId="0D4CDA6C" w:rsidR="002453F0" w:rsidRPr="00FC44B4" w:rsidRDefault="002453F0" w:rsidP="00FC44B4">
      <w:pPr>
        <w:pStyle w:val="FootnoteText"/>
        <w:spacing w:line="240" w:lineRule="auto"/>
        <w:jc w:val="both"/>
        <w:rPr>
          <w:lang w:val="en-US"/>
        </w:rPr>
      </w:pPr>
      <w:r w:rsidRPr="00FC44B4">
        <w:rPr>
          <w:rStyle w:val="FootnoteReference"/>
        </w:rPr>
        <w:footnoteRef/>
      </w:r>
      <w:r w:rsidRPr="00FC44B4">
        <w:t xml:space="preserve"> </w:t>
      </w:r>
      <w:r w:rsidRPr="00FC44B4">
        <w:rPr>
          <w:lang w:val="en-US"/>
        </w:rPr>
        <w:t xml:space="preserve">See </w:t>
      </w:r>
      <w:r w:rsidRPr="00FC44B4">
        <w:rPr>
          <w:i/>
          <w:iCs/>
          <w:lang w:val="en-US"/>
        </w:rPr>
        <w:t>University of the Free State</w:t>
      </w:r>
      <w:r w:rsidRPr="00FC44B4">
        <w:rPr>
          <w:lang w:val="en-US"/>
        </w:rPr>
        <w:t xml:space="preserve"> supra </w:t>
      </w:r>
      <w:r w:rsidR="004D4FC4">
        <w:rPr>
          <w:lang w:val="en-US"/>
        </w:rPr>
        <w:t xml:space="preserve">fn 27 </w:t>
      </w:r>
      <w:r w:rsidRPr="00FC44B4">
        <w:rPr>
          <w:lang w:val="en-US"/>
        </w:rPr>
        <w:t>para 15</w:t>
      </w:r>
      <w:r w:rsidR="003E35CD" w:rsidRPr="00FC44B4">
        <w:rPr>
          <w:lang w:val="en-US"/>
        </w:rPr>
        <w:t>, citing</w:t>
      </w:r>
      <w:r w:rsidR="00F06512" w:rsidRPr="00FC44B4">
        <w:rPr>
          <w:lang w:val="en-US"/>
        </w:rPr>
        <w:t>, with approval,</w:t>
      </w:r>
      <w:r w:rsidR="003E35CD" w:rsidRPr="00FC44B4">
        <w:rPr>
          <w:lang w:val="en-US"/>
        </w:rPr>
        <w:t xml:space="preserve"> </w:t>
      </w:r>
      <w:r w:rsidR="003E35CD" w:rsidRPr="00FC44B4">
        <w:rPr>
          <w:i/>
          <w:iCs/>
          <w:lang w:val="en-US"/>
        </w:rPr>
        <w:t>Minister of Social Development Western Cape and Others v Justice Alliance of South Africa &amp; Another</w:t>
      </w:r>
      <w:r w:rsidR="003E35CD" w:rsidRPr="00FC44B4">
        <w:rPr>
          <w:lang w:val="en-US"/>
        </w:rPr>
        <w:t xml:space="preserve"> [2016] ZAWCHC 34 para 27.</w:t>
      </w:r>
    </w:p>
  </w:footnote>
  <w:footnote w:id="30">
    <w:p w14:paraId="5942ED3A" w14:textId="4DA491FE" w:rsidR="006D5B48" w:rsidRPr="00FC44B4" w:rsidRDefault="006D5B48" w:rsidP="00FC44B4">
      <w:pPr>
        <w:pStyle w:val="FootnoteText"/>
        <w:spacing w:line="240" w:lineRule="auto"/>
        <w:jc w:val="both"/>
        <w:rPr>
          <w:lang w:val="en-US"/>
        </w:rPr>
      </w:pPr>
      <w:r w:rsidRPr="00FC44B4">
        <w:rPr>
          <w:rStyle w:val="FootnoteReference"/>
        </w:rPr>
        <w:footnoteRef/>
      </w:r>
      <w:r w:rsidRPr="00FC44B4">
        <w:t xml:space="preserve"> </w:t>
      </w:r>
      <w:r w:rsidRPr="00FC44B4">
        <w:rPr>
          <w:lang w:val="en-US"/>
        </w:rPr>
        <w:t>Multisure estimates the commission withheld to be over R560</w:t>
      </w:r>
      <w:r w:rsidR="00657D7F" w:rsidRPr="00FC44B4">
        <w:rPr>
          <w:lang w:val="en-US"/>
        </w:rPr>
        <w:t> </w:t>
      </w:r>
      <w:r w:rsidRPr="00FC44B4">
        <w:rPr>
          <w:lang w:val="en-US"/>
        </w:rPr>
        <w:t>000</w:t>
      </w:r>
      <w:r w:rsidR="00657D7F" w:rsidRPr="00FC44B4">
        <w:rPr>
          <w:lang w:val="en-US"/>
        </w:rPr>
        <w:t xml:space="preserve"> per month.</w:t>
      </w:r>
    </w:p>
  </w:footnote>
  <w:footnote w:id="31">
    <w:p w14:paraId="6EB18BF3" w14:textId="531F1090" w:rsidR="00492E5A" w:rsidRPr="00FC44B4" w:rsidRDefault="00492E5A" w:rsidP="00FC44B4">
      <w:pPr>
        <w:pStyle w:val="FootnoteText"/>
        <w:spacing w:line="240" w:lineRule="auto"/>
        <w:jc w:val="both"/>
        <w:rPr>
          <w:lang w:val="en-US"/>
        </w:rPr>
      </w:pPr>
      <w:r w:rsidRPr="00FC44B4">
        <w:rPr>
          <w:rStyle w:val="FootnoteReference"/>
        </w:rPr>
        <w:footnoteRef/>
      </w:r>
      <w:r w:rsidRPr="00FC44B4">
        <w:t xml:space="preserve"> </w:t>
      </w:r>
      <w:r w:rsidR="00BC0B62" w:rsidRPr="00FC44B4">
        <w:rPr>
          <w:lang w:val="en-US"/>
        </w:rPr>
        <w:t>Multisure</w:t>
      </w:r>
      <w:r w:rsidRPr="00FC44B4">
        <w:rPr>
          <w:lang w:val="en-US"/>
        </w:rPr>
        <w:t xml:space="preserve"> adds, in reply, that a loss in excess of R400 000 was experienced between 1 March and 31 May 2002.</w:t>
      </w:r>
    </w:p>
  </w:footnote>
  <w:footnote w:id="32">
    <w:p w14:paraId="406A5844" w14:textId="6B46E51E" w:rsidR="00223ED8" w:rsidRPr="00FC44B4" w:rsidRDefault="00223ED8" w:rsidP="00FC44B4">
      <w:pPr>
        <w:pStyle w:val="FootnoteText"/>
        <w:spacing w:line="240" w:lineRule="auto"/>
        <w:jc w:val="both"/>
        <w:rPr>
          <w:i/>
          <w:iCs/>
          <w:lang w:val="en-US"/>
        </w:rPr>
      </w:pPr>
      <w:r w:rsidRPr="00FC44B4">
        <w:rPr>
          <w:rStyle w:val="FootnoteReference"/>
        </w:rPr>
        <w:footnoteRef/>
      </w:r>
      <w:r w:rsidRPr="00FC44B4">
        <w:t xml:space="preserve"> </w:t>
      </w:r>
      <w:r w:rsidRPr="00FC44B4">
        <w:rPr>
          <w:lang w:val="en-US"/>
        </w:rPr>
        <w:t xml:space="preserve">See, in general, DH van Zyl ‘Mandate and negotiorum gestio’ in </w:t>
      </w:r>
      <w:r w:rsidR="002753D0" w:rsidRPr="00FC44B4">
        <w:rPr>
          <w:lang w:val="en-US"/>
        </w:rPr>
        <w:t>JA Faris (ed)</w:t>
      </w:r>
      <w:r w:rsidRPr="00FC44B4">
        <w:rPr>
          <w:i/>
          <w:iCs/>
          <w:lang w:val="en-US"/>
        </w:rPr>
        <w:t xml:space="preserve"> LAWSA</w:t>
      </w:r>
      <w:r w:rsidRPr="00FC44B4">
        <w:rPr>
          <w:lang w:val="en-US"/>
        </w:rPr>
        <w:t xml:space="preserve"> (3</w:t>
      </w:r>
      <w:r w:rsidRPr="00FC44B4">
        <w:rPr>
          <w:vertAlign w:val="superscript"/>
          <w:lang w:val="en-US"/>
        </w:rPr>
        <w:t>rd</w:t>
      </w:r>
      <w:r w:rsidRPr="00FC44B4">
        <w:rPr>
          <w:lang w:val="en-US"/>
        </w:rPr>
        <w:t xml:space="preserve"> Ed) (vol 28(1)) paras 55-69.</w:t>
      </w:r>
      <w:r w:rsidR="004F2C84" w:rsidRPr="00FC44B4">
        <w:rPr>
          <w:lang w:val="en-US"/>
        </w:rPr>
        <w:t xml:space="preserve"> Also see P Havenga </w:t>
      </w:r>
      <w:r w:rsidR="004F2C84" w:rsidRPr="00FC44B4">
        <w:rPr>
          <w:i/>
          <w:iCs/>
          <w:lang w:val="en-US"/>
        </w:rPr>
        <w:t>The Law of Insurance Intermediaries</w:t>
      </w:r>
      <w:r w:rsidR="004F2C84" w:rsidRPr="00FC44B4">
        <w:rPr>
          <w:lang w:val="en-US"/>
        </w:rPr>
        <w:t xml:space="preserve"> (2001) (Juta) </w:t>
      </w:r>
      <w:r w:rsidR="00641C78" w:rsidRPr="00FC44B4">
        <w:rPr>
          <w:lang w:val="en-US"/>
        </w:rPr>
        <w:t>at pp</w:t>
      </w:r>
      <w:r w:rsidR="004F2C84" w:rsidRPr="00FC44B4">
        <w:rPr>
          <w:lang w:val="en-US"/>
        </w:rPr>
        <w:t>2-6.</w:t>
      </w:r>
    </w:p>
  </w:footnote>
  <w:footnote w:id="33">
    <w:p w14:paraId="0B220375" w14:textId="186F032E" w:rsidR="00C25FEE" w:rsidRPr="00FC44B4" w:rsidRDefault="00C25FEE" w:rsidP="00FC44B4">
      <w:pPr>
        <w:pStyle w:val="FootnoteText"/>
        <w:spacing w:line="240" w:lineRule="auto"/>
        <w:jc w:val="both"/>
        <w:rPr>
          <w:lang w:val="en-US"/>
        </w:rPr>
      </w:pPr>
      <w:r w:rsidRPr="00FC44B4">
        <w:rPr>
          <w:rStyle w:val="FootnoteReference"/>
        </w:rPr>
        <w:footnoteRef/>
      </w:r>
      <w:r w:rsidRPr="00FC44B4">
        <w:t xml:space="preserve"> </w:t>
      </w:r>
      <w:r w:rsidRPr="00FC44B4">
        <w:rPr>
          <w:lang w:val="en-US"/>
        </w:rPr>
        <w:t>The Master Policy provides that the assurance of persons insured commences on the first day of the month following the month in which the acceptance by KGA of the member’s application has been granted and the first monthly premium received by KGA.</w:t>
      </w:r>
    </w:p>
  </w:footnote>
  <w:footnote w:id="34">
    <w:p w14:paraId="2AA7B641" w14:textId="1C336072" w:rsidR="004729DC" w:rsidRPr="00FC44B4" w:rsidRDefault="004729DC" w:rsidP="00FC44B4">
      <w:pPr>
        <w:pStyle w:val="FootnoteText"/>
        <w:spacing w:line="240" w:lineRule="auto"/>
        <w:jc w:val="both"/>
        <w:rPr>
          <w:lang w:val="en-US"/>
        </w:rPr>
      </w:pPr>
      <w:r w:rsidRPr="00FC44B4">
        <w:rPr>
          <w:rStyle w:val="FootnoteReference"/>
        </w:rPr>
        <w:footnoteRef/>
      </w:r>
      <w:r w:rsidRPr="00FC44B4">
        <w:t xml:space="preserve"> </w:t>
      </w:r>
      <w:r w:rsidRPr="00FC44B4">
        <w:rPr>
          <w:lang w:val="en-US"/>
        </w:rPr>
        <w:t>Clause 4.2 of the Master Policy.</w:t>
      </w:r>
    </w:p>
  </w:footnote>
  <w:footnote w:id="35">
    <w:p w14:paraId="549C2AEF" w14:textId="0810E876" w:rsidR="00A837B0" w:rsidRPr="00196099" w:rsidRDefault="00A837B0" w:rsidP="00FC44B4">
      <w:pPr>
        <w:pStyle w:val="FootnoteText"/>
        <w:spacing w:line="240" w:lineRule="auto"/>
        <w:jc w:val="both"/>
        <w:rPr>
          <w:lang w:val="en-US"/>
        </w:rPr>
      </w:pPr>
      <w:r w:rsidRPr="00FC44B4">
        <w:rPr>
          <w:rStyle w:val="FootnoteReference"/>
        </w:rPr>
        <w:footnoteRef/>
      </w:r>
      <w:r w:rsidRPr="00FC44B4">
        <w:t xml:space="preserve"> </w:t>
      </w:r>
      <w:r w:rsidRPr="00FC44B4">
        <w:rPr>
          <w:lang w:val="en-US"/>
        </w:rPr>
        <w:t xml:space="preserve">See Van Zyl op cit </w:t>
      </w:r>
      <w:r w:rsidR="00A260E4">
        <w:rPr>
          <w:lang w:val="en-US"/>
        </w:rPr>
        <w:t xml:space="preserve">fn 32 </w:t>
      </w:r>
      <w:r w:rsidRPr="00FC44B4">
        <w:rPr>
          <w:lang w:val="en-US"/>
        </w:rPr>
        <w:t>para 61.</w:t>
      </w:r>
      <w:r w:rsidR="00196099">
        <w:rPr>
          <w:lang w:val="en-US"/>
        </w:rPr>
        <w:t xml:space="preserve"> Also see </w:t>
      </w:r>
      <w:r w:rsidR="00196099">
        <w:rPr>
          <w:i/>
          <w:iCs/>
          <w:lang w:val="en-US"/>
        </w:rPr>
        <w:t>Dreyer v Sonop</w:t>
      </w:r>
      <w:r w:rsidR="00196099">
        <w:rPr>
          <w:lang w:val="en-US"/>
        </w:rPr>
        <w:t xml:space="preserve"> [1951] ZAFSHC 1; </w:t>
      </w:r>
      <w:r w:rsidR="00196099">
        <w:rPr>
          <w:i/>
          <w:iCs/>
          <w:lang w:val="en-US"/>
        </w:rPr>
        <w:t>Kunene-Msimanga and Others v Regional Tourism Organisation of Southern Africa and Others</w:t>
      </w:r>
      <w:r w:rsidR="00196099">
        <w:rPr>
          <w:lang w:val="en-US"/>
        </w:rPr>
        <w:t xml:space="preserve"> [2022] ZAGPJHC 366 para</w:t>
      </w:r>
      <w:r w:rsidR="00553664">
        <w:rPr>
          <w:lang w:val="en-US"/>
        </w:rPr>
        <w:t>s 140-</w:t>
      </w:r>
      <w:r w:rsidR="00196099">
        <w:rPr>
          <w:lang w:val="en-US"/>
        </w:rPr>
        <w:t>141.</w:t>
      </w:r>
    </w:p>
  </w:footnote>
  <w:footnote w:id="36">
    <w:p w14:paraId="6EA7E77F" w14:textId="31D25C65" w:rsidR="009A4D30" w:rsidRPr="00FC44B4" w:rsidRDefault="009A4D30" w:rsidP="00FC44B4">
      <w:pPr>
        <w:pStyle w:val="FootnoteText"/>
        <w:spacing w:line="240" w:lineRule="auto"/>
        <w:jc w:val="both"/>
        <w:rPr>
          <w:lang w:val="en-US"/>
        </w:rPr>
      </w:pPr>
      <w:r w:rsidRPr="00FC44B4">
        <w:rPr>
          <w:rStyle w:val="FootnoteReference"/>
        </w:rPr>
        <w:footnoteRef/>
      </w:r>
      <w:r w:rsidRPr="00FC44B4">
        <w:t xml:space="preserve"> </w:t>
      </w:r>
      <w:r w:rsidRPr="00FC44B4">
        <w:rPr>
          <w:lang w:val="en-US"/>
        </w:rPr>
        <w:t xml:space="preserve">On the possibility of </w:t>
      </w:r>
      <w:r w:rsidR="00814603" w:rsidRPr="00FC44B4">
        <w:rPr>
          <w:lang w:val="en-US"/>
        </w:rPr>
        <w:t>a life-insurance</w:t>
      </w:r>
      <w:r w:rsidRPr="00FC44B4">
        <w:rPr>
          <w:lang w:val="en-US"/>
        </w:rPr>
        <w:t xml:space="preserve"> </w:t>
      </w:r>
      <w:r w:rsidR="00814603" w:rsidRPr="00FC44B4">
        <w:rPr>
          <w:lang w:val="en-US"/>
        </w:rPr>
        <w:t>policy</w:t>
      </w:r>
      <w:r w:rsidRPr="00FC44B4">
        <w:rPr>
          <w:lang w:val="en-US"/>
        </w:rPr>
        <w:t xml:space="preserve"> constituting a </w:t>
      </w:r>
      <w:r w:rsidRPr="00FC44B4">
        <w:rPr>
          <w:i/>
          <w:iCs/>
          <w:lang w:val="en-US"/>
        </w:rPr>
        <w:t>stipulatio alteri</w:t>
      </w:r>
      <w:r w:rsidRPr="00FC44B4">
        <w:rPr>
          <w:lang w:val="en-US"/>
        </w:rPr>
        <w:t xml:space="preserve">, see </w:t>
      </w:r>
      <w:r w:rsidRPr="00FC44B4">
        <w:rPr>
          <w:i/>
          <w:iCs/>
          <w:lang w:val="en-US"/>
        </w:rPr>
        <w:t xml:space="preserve">Crossman v Capital Alliance Group Risk </w:t>
      </w:r>
      <w:r w:rsidRPr="00FC44B4">
        <w:rPr>
          <w:lang w:val="en-US"/>
        </w:rPr>
        <w:t>(unreported, Gauteng Local Division, Johannesburg) (case no. 34636/2020) (21 April 2022) para 28-30.</w:t>
      </w:r>
      <w:r w:rsidR="00814603" w:rsidRPr="00FC44B4">
        <w:rPr>
          <w:lang w:val="en-US"/>
        </w:rPr>
        <w:t xml:space="preserve"> </w:t>
      </w:r>
    </w:p>
  </w:footnote>
  <w:footnote w:id="37">
    <w:p w14:paraId="7C399E70" w14:textId="5A37D118" w:rsidR="00695644" w:rsidRPr="00FC44B4" w:rsidRDefault="00695644" w:rsidP="00FC44B4">
      <w:pPr>
        <w:pStyle w:val="FootnoteText"/>
        <w:spacing w:line="240" w:lineRule="auto"/>
        <w:jc w:val="both"/>
        <w:rPr>
          <w:lang w:val="en-US"/>
        </w:rPr>
      </w:pPr>
      <w:r w:rsidRPr="00FC44B4">
        <w:rPr>
          <w:rStyle w:val="FootnoteReference"/>
        </w:rPr>
        <w:footnoteRef/>
      </w:r>
      <w:r w:rsidRPr="00FC44B4">
        <w:t xml:space="preserve"> </w:t>
      </w:r>
      <w:r w:rsidRPr="00FC44B4">
        <w:rPr>
          <w:lang w:val="en-US"/>
        </w:rPr>
        <w:t xml:space="preserve">See in general Havenga op cit </w:t>
      </w:r>
      <w:r w:rsidR="003B062F">
        <w:rPr>
          <w:lang w:val="en-US"/>
        </w:rPr>
        <w:t xml:space="preserve">fn 32 </w:t>
      </w:r>
      <w:r w:rsidRPr="00FC44B4">
        <w:rPr>
          <w:lang w:val="en-US"/>
        </w:rPr>
        <w:t>at 3, 10-11.</w:t>
      </w:r>
    </w:p>
  </w:footnote>
  <w:footnote w:id="38">
    <w:p w14:paraId="03CA6F27" w14:textId="51CD620B" w:rsidR="00742307" w:rsidRPr="00FC44B4" w:rsidRDefault="00742307" w:rsidP="00FC44B4">
      <w:pPr>
        <w:pStyle w:val="FootnoteText"/>
        <w:spacing w:line="240" w:lineRule="auto"/>
        <w:jc w:val="both"/>
        <w:rPr>
          <w:lang w:val="en-US"/>
        </w:rPr>
      </w:pPr>
      <w:r w:rsidRPr="00FC44B4">
        <w:rPr>
          <w:rStyle w:val="FootnoteReference"/>
        </w:rPr>
        <w:footnoteRef/>
      </w:r>
      <w:r w:rsidRPr="00FC44B4">
        <w:t xml:space="preserve"> </w:t>
      </w:r>
      <w:r w:rsidRPr="00FC44B4">
        <w:rPr>
          <w:i/>
          <w:iCs/>
          <w:lang w:val="en-US"/>
        </w:rPr>
        <w:t>Premier for the Province of Gauteng v Democratic Allicance</w:t>
      </w:r>
      <w:r w:rsidRPr="00FC44B4">
        <w:rPr>
          <w:lang w:val="en-US"/>
        </w:rPr>
        <w:t xml:space="preserve"> </w:t>
      </w:r>
      <w:r w:rsidR="00A02F31">
        <w:rPr>
          <w:lang w:val="en-US"/>
        </w:rPr>
        <w:t>supra fn 24</w:t>
      </w:r>
      <w:r w:rsidRPr="00FC44B4">
        <w:rPr>
          <w:lang w:val="en-US"/>
        </w:rPr>
        <w:t xml:space="preserve"> para 25.</w:t>
      </w:r>
    </w:p>
  </w:footnote>
  <w:footnote w:id="39">
    <w:p w14:paraId="4EE611C4" w14:textId="5B44C34E" w:rsidR="00F83958" w:rsidRPr="00FC44B4" w:rsidRDefault="00F83958" w:rsidP="00FC44B4">
      <w:pPr>
        <w:pStyle w:val="FootnoteText"/>
        <w:spacing w:line="240" w:lineRule="auto"/>
        <w:jc w:val="both"/>
        <w:rPr>
          <w:lang w:val="en-US"/>
        </w:rPr>
      </w:pPr>
      <w:r w:rsidRPr="00FC44B4">
        <w:rPr>
          <w:rStyle w:val="FootnoteReference"/>
        </w:rPr>
        <w:footnoteRef/>
      </w:r>
      <w:r w:rsidRPr="00FC44B4">
        <w:t xml:space="preserve"> </w:t>
      </w:r>
      <w:r w:rsidRPr="00FC44B4">
        <w:rPr>
          <w:i/>
          <w:iCs/>
          <w:lang w:val="en-US"/>
        </w:rPr>
        <w:t>Knoop NO and Another v Gupta</w:t>
      </w:r>
      <w:r w:rsidRPr="00FC44B4">
        <w:rPr>
          <w:lang w:val="en-US"/>
        </w:rPr>
        <w:t xml:space="preserve"> </w:t>
      </w:r>
      <w:r w:rsidRPr="00FC44B4">
        <w:rPr>
          <w:i/>
          <w:iCs/>
          <w:lang w:val="en-US"/>
        </w:rPr>
        <w:t xml:space="preserve">(Tayob as Intervening Party) </w:t>
      </w:r>
      <w:r w:rsidR="008E7609">
        <w:rPr>
          <w:lang w:val="en-US"/>
        </w:rPr>
        <w:t>supra fn 23</w:t>
      </w:r>
      <w:r w:rsidRPr="00FC44B4">
        <w:rPr>
          <w:lang w:val="en-US"/>
        </w:rPr>
        <w:t>.</w:t>
      </w:r>
    </w:p>
  </w:footnote>
  <w:footnote w:id="40">
    <w:p w14:paraId="6A2607F1" w14:textId="77777777" w:rsidR="005368B0" w:rsidRPr="00FC44B4" w:rsidRDefault="005368B0" w:rsidP="00FC44B4">
      <w:pPr>
        <w:pStyle w:val="FootnoteText"/>
        <w:spacing w:line="240" w:lineRule="auto"/>
        <w:jc w:val="both"/>
        <w:rPr>
          <w:lang w:val="en-US"/>
        </w:rPr>
      </w:pPr>
      <w:r w:rsidRPr="00FC44B4">
        <w:rPr>
          <w:rStyle w:val="FootnoteReference"/>
        </w:rPr>
        <w:footnoteRef/>
      </w:r>
      <w:r w:rsidRPr="00FC44B4">
        <w:t xml:space="preserve"> </w:t>
      </w:r>
      <w:r w:rsidRPr="00FC44B4">
        <w:rPr>
          <w:i/>
          <w:iCs/>
          <w:lang w:val="en-US"/>
        </w:rPr>
        <w:t>Henri Viljoen (Pty) Ltd v Awerbuch Bros</w:t>
      </w:r>
      <w:r w:rsidRPr="00FC44B4">
        <w:rPr>
          <w:lang w:val="en-US"/>
        </w:rPr>
        <w:t xml:space="preserve"> 1953 (2) SA 151 (O) at 168-170.</w:t>
      </w:r>
    </w:p>
  </w:footnote>
  <w:footnote w:id="41">
    <w:p w14:paraId="500B9353" w14:textId="77777777" w:rsidR="005368B0" w:rsidRPr="00FC44B4" w:rsidRDefault="005368B0" w:rsidP="00FC44B4">
      <w:pPr>
        <w:pStyle w:val="FootnoteText"/>
        <w:spacing w:line="240" w:lineRule="auto"/>
        <w:jc w:val="both"/>
        <w:rPr>
          <w:lang w:val="en-US"/>
        </w:rPr>
      </w:pPr>
      <w:r w:rsidRPr="00FC44B4">
        <w:rPr>
          <w:rStyle w:val="FootnoteReference"/>
        </w:rPr>
        <w:footnoteRef/>
      </w:r>
      <w:r w:rsidRPr="00FC44B4">
        <w:t xml:space="preserve"> </w:t>
      </w:r>
      <w:r w:rsidRPr="00FC44B4">
        <w:rPr>
          <w:i/>
          <w:iCs/>
          <w:lang w:val="en-US"/>
        </w:rPr>
        <w:t>Judicial Service Commission v Cape Bar Council</w:t>
      </w:r>
      <w:r w:rsidRPr="00FC44B4">
        <w:rPr>
          <w:lang w:val="en-US"/>
        </w:rPr>
        <w:t xml:space="preserve"> 2013 (1) SA 170 (SCA) at 176I-177A.</w:t>
      </w:r>
    </w:p>
  </w:footnote>
  <w:footnote w:id="42">
    <w:p w14:paraId="671FAAC5" w14:textId="15386B1D" w:rsidR="005368B0" w:rsidRPr="00FC44B4" w:rsidRDefault="005368B0" w:rsidP="00FC44B4">
      <w:pPr>
        <w:pStyle w:val="FootnoteText"/>
        <w:spacing w:line="240" w:lineRule="auto"/>
        <w:jc w:val="both"/>
        <w:rPr>
          <w:lang w:val="en-US"/>
        </w:rPr>
      </w:pPr>
      <w:r w:rsidRPr="00FC44B4">
        <w:rPr>
          <w:rStyle w:val="FootnoteReference"/>
        </w:rPr>
        <w:footnoteRef/>
      </w:r>
      <w:r w:rsidRPr="00FC44B4">
        <w:t xml:space="preserve"> </w:t>
      </w:r>
      <w:r w:rsidRPr="00FC44B4">
        <w:rPr>
          <w:i/>
          <w:iCs/>
          <w:lang w:val="en-US"/>
        </w:rPr>
        <w:t xml:space="preserve">One South Africa Movement v President of the RSA </w:t>
      </w:r>
      <w:r w:rsidRPr="00FC44B4">
        <w:rPr>
          <w:lang w:val="en-US"/>
        </w:rPr>
        <w:t>2020 (5) SA 576 (GP) at para 22.</w:t>
      </w:r>
      <w:r w:rsidR="00B07703" w:rsidRPr="00FC44B4">
        <w:rPr>
          <w:lang w:val="en-US"/>
        </w:rPr>
        <w:t xml:space="preserve"> Also see </w:t>
      </w:r>
      <w:r w:rsidR="00B07703" w:rsidRPr="00FC44B4">
        <w:rPr>
          <w:i/>
          <w:iCs/>
          <w:lang w:val="en-US"/>
        </w:rPr>
        <w:t>Gordon v Department of Health, KwaZulu-Natal</w:t>
      </w:r>
      <w:r w:rsidR="00B07703" w:rsidRPr="00FC44B4">
        <w:rPr>
          <w:lang w:val="en-US"/>
        </w:rPr>
        <w:t xml:space="preserve"> [2008] ZASCA 99</w:t>
      </w:r>
      <w:r w:rsidR="00CE513D" w:rsidRPr="00FC44B4">
        <w:rPr>
          <w:lang w:val="en-US"/>
        </w:rPr>
        <w:t xml:space="preserve"> para 9.</w:t>
      </w:r>
    </w:p>
  </w:footnote>
  <w:footnote w:id="43">
    <w:p w14:paraId="4B77AA50" w14:textId="77777777" w:rsidR="003D57EE" w:rsidRPr="00FC44B4" w:rsidRDefault="003D57EE" w:rsidP="00FC44B4">
      <w:pPr>
        <w:pStyle w:val="FootnoteText"/>
        <w:spacing w:line="240" w:lineRule="auto"/>
        <w:jc w:val="both"/>
        <w:rPr>
          <w:lang w:val="en-US"/>
        </w:rPr>
      </w:pPr>
      <w:r w:rsidRPr="00FC44B4">
        <w:rPr>
          <w:rStyle w:val="FootnoteReference"/>
        </w:rPr>
        <w:footnoteRef/>
      </w:r>
      <w:r w:rsidRPr="00FC44B4">
        <w:t xml:space="preserve"> Uniform Rule 6(12)</w:t>
      </w:r>
      <w:r w:rsidRPr="00FC44B4">
        <w:rPr>
          <w:i/>
          <w:iCs/>
        </w:rPr>
        <w:t>(a)</w:t>
      </w:r>
      <w:r w:rsidRPr="00FC44B4">
        <w:t>.</w:t>
      </w:r>
    </w:p>
  </w:footnote>
  <w:footnote w:id="44">
    <w:p w14:paraId="48CD972E" w14:textId="77777777" w:rsidR="003D57EE" w:rsidRPr="00FC44B4" w:rsidRDefault="003D57EE" w:rsidP="00FC44B4">
      <w:pPr>
        <w:pStyle w:val="FootnoteText"/>
        <w:spacing w:line="240" w:lineRule="auto"/>
        <w:jc w:val="both"/>
        <w:rPr>
          <w:lang w:val="en-US"/>
        </w:rPr>
      </w:pPr>
      <w:r w:rsidRPr="00FC44B4">
        <w:rPr>
          <w:rStyle w:val="FootnoteReference"/>
        </w:rPr>
        <w:footnoteRef/>
      </w:r>
      <w:r w:rsidRPr="00FC44B4">
        <w:t xml:space="preserve"> </w:t>
      </w:r>
      <w:r w:rsidRPr="00FC44B4">
        <w:rPr>
          <w:i/>
          <w:iCs/>
          <w:lang w:val="en-US"/>
        </w:rPr>
        <w:t>Luna Meubel Vervaardigers v Makin and Another</w:t>
      </w:r>
      <w:r w:rsidRPr="00FC44B4">
        <w:rPr>
          <w:lang w:val="en-US"/>
        </w:rPr>
        <w:t xml:space="preserve"> 1977 (4) SA 135 (W) at 136H-137F.</w:t>
      </w:r>
    </w:p>
  </w:footnote>
  <w:footnote w:id="45">
    <w:p w14:paraId="122D8A91" w14:textId="77777777" w:rsidR="003D57EE" w:rsidRPr="00FC44B4" w:rsidRDefault="003D57EE" w:rsidP="00FC44B4">
      <w:pPr>
        <w:pStyle w:val="FootnoteText"/>
        <w:spacing w:line="240" w:lineRule="auto"/>
        <w:jc w:val="both"/>
        <w:rPr>
          <w:lang w:val="en-US"/>
        </w:rPr>
      </w:pPr>
      <w:r w:rsidRPr="00FC44B4">
        <w:rPr>
          <w:rStyle w:val="FootnoteReference"/>
        </w:rPr>
        <w:footnoteRef/>
      </w:r>
      <w:r w:rsidRPr="00FC44B4">
        <w:t xml:space="preserve"> </w:t>
      </w:r>
      <w:r w:rsidRPr="00FC44B4">
        <w:rPr>
          <w:lang w:val="en-US"/>
        </w:rPr>
        <w:t>Uniform Rule 6(12)</w:t>
      </w:r>
      <w:r w:rsidRPr="00FC44B4">
        <w:rPr>
          <w:i/>
          <w:iCs/>
          <w:lang w:val="en-US"/>
        </w:rPr>
        <w:t>(b)</w:t>
      </w:r>
      <w:r w:rsidRPr="00FC44B4">
        <w:rPr>
          <w:lang w:val="en-US"/>
        </w:rPr>
        <w:t xml:space="preserve">. Also see </w:t>
      </w:r>
      <w:r w:rsidRPr="00FC44B4">
        <w:rPr>
          <w:i/>
          <w:iCs/>
          <w:lang w:val="en-US"/>
        </w:rPr>
        <w:t>Kati v MEC, Department of Finance, Eastern Cape Province</w:t>
      </w:r>
      <w:r w:rsidRPr="00FC44B4">
        <w:rPr>
          <w:lang w:val="en-US"/>
        </w:rPr>
        <w:t xml:space="preserve"> (unreported case no. 929/2006) (High Court of South Africa, Bhisho) at 9.</w:t>
      </w:r>
    </w:p>
  </w:footnote>
  <w:footnote w:id="46">
    <w:p w14:paraId="7829A1C2" w14:textId="77777777" w:rsidR="003D57EE" w:rsidRPr="00FC44B4" w:rsidRDefault="003D57EE" w:rsidP="00FC44B4">
      <w:pPr>
        <w:pStyle w:val="FootnoteText"/>
        <w:spacing w:line="240" w:lineRule="auto"/>
        <w:jc w:val="both"/>
        <w:rPr>
          <w:lang w:val="en-US"/>
        </w:rPr>
      </w:pPr>
      <w:r w:rsidRPr="00FC44B4">
        <w:rPr>
          <w:rStyle w:val="FootnoteReference"/>
        </w:rPr>
        <w:footnoteRef/>
      </w:r>
      <w:r w:rsidRPr="00FC44B4">
        <w:t xml:space="preserve"> </w:t>
      </w:r>
      <w:r w:rsidRPr="00FC44B4">
        <w:rPr>
          <w:lang w:val="en-US"/>
        </w:rPr>
        <w:t xml:space="preserve">See </w:t>
      </w:r>
      <w:r w:rsidRPr="00FC44B4">
        <w:rPr>
          <w:i/>
          <w:iCs/>
          <w:lang w:val="en-US"/>
        </w:rPr>
        <w:t>East Rock Trading 7 (Pty) Ltd and Another v Eagle Valley Granite (Pty) Ltd and Others</w:t>
      </w:r>
      <w:r w:rsidRPr="00FC44B4">
        <w:rPr>
          <w:lang w:val="en-US"/>
        </w:rPr>
        <w:t xml:space="preserve"> [2011] ZAGPJHC 196.</w:t>
      </w:r>
    </w:p>
  </w:footnote>
  <w:footnote w:id="47">
    <w:p w14:paraId="41AB6BB3" w14:textId="22B18B1B" w:rsidR="00731F49" w:rsidRPr="00FC44B4" w:rsidRDefault="00731F49" w:rsidP="00FC44B4">
      <w:pPr>
        <w:pStyle w:val="FootnoteText"/>
        <w:spacing w:line="240" w:lineRule="auto"/>
        <w:jc w:val="both"/>
        <w:rPr>
          <w:lang w:val="en-US"/>
        </w:rPr>
      </w:pPr>
      <w:r w:rsidRPr="00FC44B4">
        <w:rPr>
          <w:rStyle w:val="FootnoteReference"/>
        </w:rPr>
        <w:footnoteRef/>
      </w:r>
      <w:r w:rsidRPr="00FC44B4">
        <w:t xml:space="preserve"> </w:t>
      </w:r>
      <w:r w:rsidRPr="00FC44B4">
        <w:rPr>
          <w:i/>
          <w:iCs/>
          <w:lang w:val="en-US"/>
        </w:rPr>
        <w:t>Minister of Social Development</w:t>
      </w:r>
      <w:r w:rsidR="002026D2" w:rsidRPr="00FC44B4">
        <w:rPr>
          <w:i/>
          <w:iCs/>
          <w:lang w:val="en-US"/>
        </w:rPr>
        <w:t xml:space="preserve"> Western Cape and Others v Justice Alliance of South Africa and Another</w:t>
      </w:r>
      <w:r w:rsidR="002026D2" w:rsidRPr="00FC44B4">
        <w:rPr>
          <w:lang w:val="en-US"/>
        </w:rPr>
        <w:t xml:space="preserve"> [2016] ZAWCHC 34 para </w:t>
      </w:r>
      <w:r w:rsidR="00CF4DD9" w:rsidRPr="00FC44B4">
        <w:rPr>
          <w:lang w:val="en-US"/>
        </w:rPr>
        <w:t>26.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00537942"/>
      <w:docPartObj>
        <w:docPartGallery w:val="Page Numbers (Top of Page)"/>
        <w:docPartUnique/>
      </w:docPartObj>
    </w:sdtPr>
    <w:sdtEndPr>
      <w:rPr>
        <w:rStyle w:val="PageNumber"/>
      </w:rPr>
    </w:sdtEndPr>
    <w:sdtContent>
      <w:p w14:paraId="70C87348" w14:textId="4DCB78CB"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4FADB" w14:textId="77777777" w:rsidR="00146BA3" w:rsidRDefault="00146BA3" w:rsidP="00146BA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14796027"/>
      <w:docPartObj>
        <w:docPartGallery w:val="Page Numbers (Top of Page)"/>
        <w:docPartUnique/>
      </w:docPartObj>
    </w:sdtPr>
    <w:sdtEndPr>
      <w:rPr>
        <w:rStyle w:val="PageNumber"/>
      </w:rPr>
    </w:sdtEndPr>
    <w:sdtContent>
      <w:p w14:paraId="35370323" w14:textId="6D9923BB"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A5B38">
          <w:rPr>
            <w:rStyle w:val="PageNumber"/>
            <w:noProof/>
          </w:rPr>
          <w:t>4</w:t>
        </w:r>
        <w:r>
          <w:rPr>
            <w:rStyle w:val="PageNumber"/>
          </w:rPr>
          <w:fldChar w:fldCharType="end"/>
        </w:r>
      </w:p>
    </w:sdtContent>
  </w:sdt>
  <w:p w14:paraId="21F7A9BA" w14:textId="77777777" w:rsidR="00146BA3" w:rsidRDefault="00146BA3" w:rsidP="00146BA3">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7213E"/>
    <w:multiLevelType w:val="hybridMultilevel"/>
    <w:tmpl w:val="748A5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87347A"/>
    <w:multiLevelType w:val="hybridMultilevel"/>
    <w:tmpl w:val="D26C2D0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B514F0"/>
    <w:multiLevelType w:val="hybridMultilevel"/>
    <w:tmpl w:val="C0A4F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0"/>
  </w:num>
  <w:num w:numId="6">
    <w:abstractNumId w:val="7"/>
  </w:num>
  <w:num w:numId="7">
    <w:abstractNumId w:val="11"/>
  </w:num>
  <w:num w:numId="8">
    <w:abstractNumId w:val="1"/>
  </w:num>
  <w:num w:numId="9">
    <w:abstractNumId w:val="6"/>
  </w:num>
  <w:num w:numId="10">
    <w:abstractNumId w:val="9"/>
  </w:num>
  <w:num w:numId="11">
    <w:abstractNumId w:val="1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A4"/>
    <w:rsid w:val="00000935"/>
    <w:rsid w:val="0000217A"/>
    <w:rsid w:val="00003FD7"/>
    <w:rsid w:val="00004E1E"/>
    <w:rsid w:val="00005691"/>
    <w:rsid w:val="00005ABB"/>
    <w:rsid w:val="00005BC2"/>
    <w:rsid w:val="0000642E"/>
    <w:rsid w:val="000068FF"/>
    <w:rsid w:val="00006EF3"/>
    <w:rsid w:val="00007087"/>
    <w:rsid w:val="00007904"/>
    <w:rsid w:val="000109B4"/>
    <w:rsid w:val="00012383"/>
    <w:rsid w:val="00012A2F"/>
    <w:rsid w:val="0001434D"/>
    <w:rsid w:val="00014437"/>
    <w:rsid w:val="00014770"/>
    <w:rsid w:val="00016FDA"/>
    <w:rsid w:val="0001771E"/>
    <w:rsid w:val="00020054"/>
    <w:rsid w:val="000220C3"/>
    <w:rsid w:val="00022804"/>
    <w:rsid w:val="0002517B"/>
    <w:rsid w:val="00027DA3"/>
    <w:rsid w:val="00030A25"/>
    <w:rsid w:val="00030BE8"/>
    <w:rsid w:val="000323B0"/>
    <w:rsid w:val="000341AF"/>
    <w:rsid w:val="00034B32"/>
    <w:rsid w:val="0003553E"/>
    <w:rsid w:val="00037B32"/>
    <w:rsid w:val="0004040E"/>
    <w:rsid w:val="00040488"/>
    <w:rsid w:val="000405CC"/>
    <w:rsid w:val="00040F79"/>
    <w:rsid w:val="000416D5"/>
    <w:rsid w:val="000422CD"/>
    <w:rsid w:val="0004347D"/>
    <w:rsid w:val="0004373B"/>
    <w:rsid w:val="00044B50"/>
    <w:rsid w:val="000451D0"/>
    <w:rsid w:val="00047035"/>
    <w:rsid w:val="000478E8"/>
    <w:rsid w:val="0005061D"/>
    <w:rsid w:val="00051F6C"/>
    <w:rsid w:val="0005267C"/>
    <w:rsid w:val="000533EC"/>
    <w:rsid w:val="000536DD"/>
    <w:rsid w:val="00053D20"/>
    <w:rsid w:val="00053D81"/>
    <w:rsid w:val="00054DEC"/>
    <w:rsid w:val="00055CE0"/>
    <w:rsid w:val="00056042"/>
    <w:rsid w:val="00056FBA"/>
    <w:rsid w:val="000574BF"/>
    <w:rsid w:val="000575E1"/>
    <w:rsid w:val="00063188"/>
    <w:rsid w:val="00063C6E"/>
    <w:rsid w:val="00063D5A"/>
    <w:rsid w:val="00067260"/>
    <w:rsid w:val="0007050F"/>
    <w:rsid w:val="00070D98"/>
    <w:rsid w:val="00071DB1"/>
    <w:rsid w:val="0007234C"/>
    <w:rsid w:val="00073EFC"/>
    <w:rsid w:val="000778A4"/>
    <w:rsid w:val="00080C45"/>
    <w:rsid w:val="00080D4E"/>
    <w:rsid w:val="000815F5"/>
    <w:rsid w:val="00083322"/>
    <w:rsid w:val="00083386"/>
    <w:rsid w:val="000833DB"/>
    <w:rsid w:val="00084C6F"/>
    <w:rsid w:val="0008507A"/>
    <w:rsid w:val="00086278"/>
    <w:rsid w:val="000868A6"/>
    <w:rsid w:val="00086A06"/>
    <w:rsid w:val="00086A49"/>
    <w:rsid w:val="0009015D"/>
    <w:rsid w:val="000910CD"/>
    <w:rsid w:val="00091F8C"/>
    <w:rsid w:val="000923DA"/>
    <w:rsid w:val="00093422"/>
    <w:rsid w:val="0009497C"/>
    <w:rsid w:val="00096BC1"/>
    <w:rsid w:val="000976CA"/>
    <w:rsid w:val="000A59DC"/>
    <w:rsid w:val="000A6C9E"/>
    <w:rsid w:val="000A70FB"/>
    <w:rsid w:val="000A7B9B"/>
    <w:rsid w:val="000B0946"/>
    <w:rsid w:val="000B0DC8"/>
    <w:rsid w:val="000B1727"/>
    <w:rsid w:val="000B26AE"/>
    <w:rsid w:val="000B26CF"/>
    <w:rsid w:val="000B324D"/>
    <w:rsid w:val="000B5790"/>
    <w:rsid w:val="000B5FBC"/>
    <w:rsid w:val="000B618C"/>
    <w:rsid w:val="000B6309"/>
    <w:rsid w:val="000B643B"/>
    <w:rsid w:val="000B6692"/>
    <w:rsid w:val="000B6CA6"/>
    <w:rsid w:val="000B78EC"/>
    <w:rsid w:val="000B7FF9"/>
    <w:rsid w:val="000C2D21"/>
    <w:rsid w:val="000C2F99"/>
    <w:rsid w:val="000C3531"/>
    <w:rsid w:val="000C3620"/>
    <w:rsid w:val="000C3711"/>
    <w:rsid w:val="000C39A5"/>
    <w:rsid w:val="000C450C"/>
    <w:rsid w:val="000C7746"/>
    <w:rsid w:val="000C7A27"/>
    <w:rsid w:val="000D085B"/>
    <w:rsid w:val="000D0D78"/>
    <w:rsid w:val="000D1D2D"/>
    <w:rsid w:val="000D20E0"/>
    <w:rsid w:val="000D22FB"/>
    <w:rsid w:val="000D487F"/>
    <w:rsid w:val="000D4BFA"/>
    <w:rsid w:val="000D667A"/>
    <w:rsid w:val="000E1053"/>
    <w:rsid w:val="000E1C45"/>
    <w:rsid w:val="000E2444"/>
    <w:rsid w:val="000E3E15"/>
    <w:rsid w:val="000E4B55"/>
    <w:rsid w:val="000E4F0D"/>
    <w:rsid w:val="000E5100"/>
    <w:rsid w:val="000E7ECD"/>
    <w:rsid w:val="000F05E0"/>
    <w:rsid w:val="000F0E3B"/>
    <w:rsid w:val="000F1A95"/>
    <w:rsid w:val="000F2730"/>
    <w:rsid w:val="000F6BFE"/>
    <w:rsid w:val="000F7DF4"/>
    <w:rsid w:val="000F7FE9"/>
    <w:rsid w:val="0010068E"/>
    <w:rsid w:val="00100F9A"/>
    <w:rsid w:val="0010218C"/>
    <w:rsid w:val="00102D5B"/>
    <w:rsid w:val="001044DB"/>
    <w:rsid w:val="00105EB6"/>
    <w:rsid w:val="0010622C"/>
    <w:rsid w:val="001078B5"/>
    <w:rsid w:val="00107A5F"/>
    <w:rsid w:val="0011026A"/>
    <w:rsid w:val="001104BD"/>
    <w:rsid w:val="00110EF0"/>
    <w:rsid w:val="00111AD0"/>
    <w:rsid w:val="001124A5"/>
    <w:rsid w:val="00116EB9"/>
    <w:rsid w:val="00120CAF"/>
    <w:rsid w:val="00120E93"/>
    <w:rsid w:val="00121722"/>
    <w:rsid w:val="0012227A"/>
    <w:rsid w:val="001226DE"/>
    <w:rsid w:val="00123279"/>
    <w:rsid w:val="00123296"/>
    <w:rsid w:val="0012621C"/>
    <w:rsid w:val="0012783D"/>
    <w:rsid w:val="00127EFA"/>
    <w:rsid w:val="00130228"/>
    <w:rsid w:val="00131984"/>
    <w:rsid w:val="00131A28"/>
    <w:rsid w:val="0013251E"/>
    <w:rsid w:val="001337CC"/>
    <w:rsid w:val="00134C11"/>
    <w:rsid w:val="00135B36"/>
    <w:rsid w:val="00135C81"/>
    <w:rsid w:val="00137E08"/>
    <w:rsid w:val="00142F79"/>
    <w:rsid w:val="001435EB"/>
    <w:rsid w:val="0014417C"/>
    <w:rsid w:val="00144974"/>
    <w:rsid w:val="0014568C"/>
    <w:rsid w:val="00146BA3"/>
    <w:rsid w:val="001517E0"/>
    <w:rsid w:val="001548C0"/>
    <w:rsid w:val="00156148"/>
    <w:rsid w:val="00157785"/>
    <w:rsid w:val="00157898"/>
    <w:rsid w:val="00157C19"/>
    <w:rsid w:val="00160EBC"/>
    <w:rsid w:val="00160F58"/>
    <w:rsid w:val="00161C17"/>
    <w:rsid w:val="00163A58"/>
    <w:rsid w:val="00163A59"/>
    <w:rsid w:val="0016488F"/>
    <w:rsid w:val="00167A76"/>
    <w:rsid w:val="001701CB"/>
    <w:rsid w:val="00171893"/>
    <w:rsid w:val="001726A2"/>
    <w:rsid w:val="00172B5C"/>
    <w:rsid w:val="00173547"/>
    <w:rsid w:val="00173C1A"/>
    <w:rsid w:val="001746F8"/>
    <w:rsid w:val="00174B6D"/>
    <w:rsid w:val="0017614D"/>
    <w:rsid w:val="0018006A"/>
    <w:rsid w:val="00180F4E"/>
    <w:rsid w:val="00181923"/>
    <w:rsid w:val="00181E7E"/>
    <w:rsid w:val="00182175"/>
    <w:rsid w:val="00182BC2"/>
    <w:rsid w:val="00183204"/>
    <w:rsid w:val="00183F22"/>
    <w:rsid w:val="00184625"/>
    <w:rsid w:val="00186769"/>
    <w:rsid w:val="001870AF"/>
    <w:rsid w:val="001900EA"/>
    <w:rsid w:val="00191768"/>
    <w:rsid w:val="00192869"/>
    <w:rsid w:val="00192D9D"/>
    <w:rsid w:val="001936DD"/>
    <w:rsid w:val="001943D2"/>
    <w:rsid w:val="001954F0"/>
    <w:rsid w:val="00195571"/>
    <w:rsid w:val="001955AB"/>
    <w:rsid w:val="00195B91"/>
    <w:rsid w:val="00196099"/>
    <w:rsid w:val="00196742"/>
    <w:rsid w:val="001A1BB1"/>
    <w:rsid w:val="001A2699"/>
    <w:rsid w:val="001A36AB"/>
    <w:rsid w:val="001A3C66"/>
    <w:rsid w:val="001A4B76"/>
    <w:rsid w:val="001A4F33"/>
    <w:rsid w:val="001A7C47"/>
    <w:rsid w:val="001B0D01"/>
    <w:rsid w:val="001B2578"/>
    <w:rsid w:val="001B2FE4"/>
    <w:rsid w:val="001B500D"/>
    <w:rsid w:val="001B505F"/>
    <w:rsid w:val="001B69E3"/>
    <w:rsid w:val="001B7714"/>
    <w:rsid w:val="001C04BC"/>
    <w:rsid w:val="001C2DD7"/>
    <w:rsid w:val="001C357E"/>
    <w:rsid w:val="001C4388"/>
    <w:rsid w:val="001C48A5"/>
    <w:rsid w:val="001C7061"/>
    <w:rsid w:val="001D0962"/>
    <w:rsid w:val="001D214B"/>
    <w:rsid w:val="001D3117"/>
    <w:rsid w:val="001D5A9D"/>
    <w:rsid w:val="001D5F83"/>
    <w:rsid w:val="001D61C8"/>
    <w:rsid w:val="001E0F36"/>
    <w:rsid w:val="001E1834"/>
    <w:rsid w:val="001E1B07"/>
    <w:rsid w:val="001E24E0"/>
    <w:rsid w:val="001E347F"/>
    <w:rsid w:val="001E4824"/>
    <w:rsid w:val="001E6068"/>
    <w:rsid w:val="001E640A"/>
    <w:rsid w:val="001E6A6E"/>
    <w:rsid w:val="001E701F"/>
    <w:rsid w:val="001E7844"/>
    <w:rsid w:val="001E78D5"/>
    <w:rsid w:val="001E7C8F"/>
    <w:rsid w:val="001F2276"/>
    <w:rsid w:val="001F335C"/>
    <w:rsid w:val="001F3A41"/>
    <w:rsid w:val="001F59AB"/>
    <w:rsid w:val="002000E4"/>
    <w:rsid w:val="00201DC6"/>
    <w:rsid w:val="00201F12"/>
    <w:rsid w:val="002026D2"/>
    <w:rsid w:val="00203288"/>
    <w:rsid w:val="00203796"/>
    <w:rsid w:val="002046A2"/>
    <w:rsid w:val="002049F5"/>
    <w:rsid w:val="00205818"/>
    <w:rsid w:val="00206A04"/>
    <w:rsid w:val="00206D6C"/>
    <w:rsid w:val="00207573"/>
    <w:rsid w:val="0021048C"/>
    <w:rsid w:val="002115FE"/>
    <w:rsid w:val="0021430F"/>
    <w:rsid w:val="0021560A"/>
    <w:rsid w:val="002158A1"/>
    <w:rsid w:val="00215EBC"/>
    <w:rsid w:val="0021730A"/>
    <w:rsid w:val="00217399"/>
    <w:rsid w:val="002179C5"/>
    <w:rsid w:val="002203EC"/>
    <w:rsid w:val="00221104"/>
    <w:rsid w:val="00222854"/>
    <w:rsid w:val="0022361E"/>
    <w:rsid w:val="00223ED8"/>
    <w:rsid w:val="00224363"/>
    <w:rsid w:val="0022475B"/>
    <w:rsid w:val="0022594E"/>
    <w:rsid w:val="00226444"/>
    <w:rsid w:val="00226ADA"/>
    <w:rsid w:val="00227379"/>
    <w:rsid w:val="00227759"/>
    <w:rsid w:val="00231325"/>
    <w:rsid w:val="0023310C"/>
    <w:rsid w:val="0023410F"/>
    <w:rsid w:val="00235935"/>
    <w:rsid w:val="0023677B"/>
    <w:rsid w:val="00236B9D"/>
    <w:rsid w:val="0023768E"/>
    <w:rsid w:val="002402F6"/>
    <w:rsid w:val="0024378C"/>
    <w:rsid w:val="002453F0"/>
    <w:rsid w:val="00245504"/>
    <w:rsid w:val="00245BEB"/>
    <w:rsid w:val="002465B2"/>
    <w:rsid w:val="00247551"/>
    <w:rsid w:val="00250435"/>
    <w:rsid w:val="00250530"/>
    <w:rsid w:val="0025056A"/>
    <w:rsid w:val="0025209E"/>
    <w:rsid w:val="00252499"/>
    <w:rsid w:val="00252F97"/>
    <w:rsid w:val="00252FC1"/>
    <w:rsid w:val="00252FDE"/>
    <w:rsid w:val="00253273"/>
    <w:rsid w:val="00256208"/>
    <w:rsid w:val="00256FCC"/>
    <w:rsid w:val="00257A15"/>
    <w:rsid w:val="00257F11"/>
    <w:rsid w:val="002606D8"/>
    <w:rsid w:val="00260A94"/>
    <w:rsid w:val="00260B67"/>
    <w:rsid w:val="002612A5"/>
    <w:rsid w:val="00261583"/>
    <w:rsid w:val="0026158F"/>
    <w:rsid w:val="0026166B"/>
    <w:rsid w:val="00262D2A"/>
    <w:rsid w:val="002635B7"/>
    <w:rsid w:val="00263B8D"/>
    <w:rsid w:val="0026495C"/>
    <w:rsid w:val="00264D10"/>
    <w:rsid w:val="00265010"/>
    <w:rsid w:val="00265180"/>
    <w:rsid w:val="00265A21"/>
    <w:rsid w:val="00265AEB"/>
    <w:rsid w:val="0026634E"/>
    <w:rsid w:val="0026645C"/>
    <w:rsid w:val="0027002F"/>
    <w:rsid w:val="002705E9"/>
    <w:rsid w:val="00270C1F"/>
    <w:rsid w:val="00273903"/>
    <w:rsid w:val="0027445E"/>
    <w:rsid w:val="00274C64"/>
    <w:rsid w:val="002753D0"/>
    <w:rsid w:val="00275410"/>
    <w:rsid w:val="002757CF"/>
    <w:rsid w:val="00276100"/>
    <w:rsid w:val="00277EB6"/>
    <w:rsid w:val="00283EB9"/>
    <w:rsid w:val="002852C4"/>
    <w:rsid w:val="00285664"/>
    <w:rsid w:val="00285D04"/>
    <w:rsid w:val="00287A18"/>
    <w:rsid w:val="00287A26"/>
    <w:rsid w:val="00290DC6"/>
    <w:rsid w:val="00290E92"/>
    <w:rsid w:val="0029395B"/>
    <w:rsid w:val="00294129"/>
    <w:rsid w:val="00294313"/>
    <w:rsid w:val="00295A3F"/>
    <w:rsid w:val="00295F97"/>
    <w:rsid w:val="002960D0"/>
    <w:rsid w:val="002A01B5"/>
    <w:rsid w:val="002A080F"/>
    <w:rsid w:val="002A0EB5"/>
    <w:rsid w:val="002A157A"/>
    <w:rsid w:val="002A1950"/>
    <w:rsid w:val="002A1D97"/>
    <w:rsid w:val="002A1E2F"/>
    <w:rsid w:val="002A21AF"/>
    <w:rsid w:val="002A2259"/>
    <w:rsid w:val="002A2AA4"/>
    <w:rsid w:val="002A3836"/>
    <w:rsid w:val="002A3C5C"/>
    <w:rsid w:val="002A42DE"/>
    <w:rsid w:val="002A5481"/>
    <w:rsid w:val="002A5FED"/>
    <w:rsid w:val="002A61D9"/>
    <w:rsid w:val="002A6332"/>
    <w:rsid w:val="002A6593"/>
    <w:rsid w:val="002A6B82"/>
    <w:rsid w:val="002A73A7"/>
    <w:rsid w:val="002B1489"/>
    <w:rsid w:val="002B31B7"/>
    <w:rsid w:val="002B39FC"/>
    <w:rsid w:val="002B3FE3"/>
    <w:rsid w:val="002B54B7"/>
    <w:rsid w:val="002B6730"/>
    <w:rsid w:val="002B7874"/>
    <w:rsid w:val="002C1ECF"/>
    <w:rsid w:val="002C2B8B"/>
    <w:rsid w:val="002C3A0D"/>
    <w:rsid w:val="002C45D8"/>
    <w:rsid w:val="002C7128"/>
    <w:rsid w:val="002C73AB"/>
    <w:rsid w:val="002C772D"/>
    <w:rsid w:val="002D4CBC"/>
    <w:rsid w:val="002D6D70"/>
    <w:rsid w:val="002D733F"/>
    <w:rsid w:val="002D768D"/>
    <w:rsid w:val="002E0CCA"/>
    <w:rsid w:val="002E141A"/>
    <w:rsid w:val="002E1B95"/>
    <w:rsid w:val="002E3EC7"/>
    <w:rsid w:val="002E4808"/>
    <w:rsid w:val="002E483E"/>
    <w:rsid w:val="002E49DE"/>
    <w:rsid w:val="002E7045"/>
    <w:rsid w:val="002E7199"/>
    <w:rsid w:val="002E7718"/>
    <w:rsid w:val="002F012F"/>
    <w:rsid w:val="002F0513"/>
    <w:rsid w:val="002F0906"/>
    <w:rsid w:val="002F0990"/>
    <w:rsid w:val="002F0C58"/>
    <w:rsid w:val="002F13D1"/>
    <w:rsid w:val="002F37F8"/>
    <w:rsid w:val="002F4B3E"/>
    <w:rsid w:val="002F4EDB"/>
    <w:rsid w:val="002F60D3"/>
    <w:rsid w:val="002F7574"/>
    <w:rsid w:val="00300A59"/>
    <w:rsid w:val="0030214A"/>
    <w:rsid w:val="00302247"/>
    <w:rsid w:val="00302E78"/>
    <w:rsid w:val="00303AC7"/>
    <w:rsid w:val="00305A00"/>
    <w:rsid w:val="00306288"/>
    <w:rsid w:val="00306DA8"/>
    <w:rsid w:val="00307DEE"/>
    <w:rsid w:val="00307E72"/>
    <w:rsid w:val="003127A8"/>
    <w:rsid w:val="003140F9"/>
    <w:rsid w:val="003148EA"/>
    <w:rsid w:val="003150CA"/>
    <w:rsid w:val="00315CB8"/>
    <w:rsid w:val="00315D8D"/>
    <w:rsid w:val="00316084"/>
    <w:rsid w:val="003168ED"/>
    <w:rsid w:val="00316CA6"/>
    <w:rsid w:val="003172EB"/>
    <w:rsid w:val="00317AB4"/>
    <w:rsid w:val="00317B40"/>
    <w:rsid w:val="00320013"/>
    <w:rsid w:val="00321E11"/>
    <w:rsid w:val="00322049"/>
    <w:rsid w:val="003228A7"/>
    <w:rsid w:val="00324CE8"/>
    <w:rsid w:val="00325BD4"/>
    <w:rsid w:val="00326A33"/>
    <w:rsid w:val="00326DFF"/>
    <w:rsid w:val="0032785C"/>
    <w:rsid w:val="00327E36"/>
    <w:rsid w:val="00327E9C"/>
    <w:rsid w:val="00330795"/>
    <w:rsid w:val="00330AB2"/>
    <w:rsid w:val="00330E85"/>
    <w:rsid w:val="0033219D"/>
    <w:rsid w:val="00332F49"/>
    <w:rsid w:val="0033360F"/>
    <w:rsid w:val="003337CD"/>
    <w:rsid w:val="00334624"/>
    <w:rsid w:val="00335693"/>
    <w:rsid w:val="00335897"/>
    <w:rsid w:val="0033634C"/>
    <w:rsid w:val="0033669D"/>
    <w:rsid w:val="003367DD"/>
    <w:rsid w:val="00336B8E"/>
    <w:rsid w:val="0033777C"/>
    <w:rsid w:val="003409E1"/>
    <w:rsid w:val="00343E5D"/>
    <w:rsid w:val="00343F1E"/>
    <w:rsid w:val="0034439B"/>
    <w:rsid w:val="00344C27"/>
    <w:rsid w:val="003455A7"/>
    <w:rsid w:val="003469BB"/>
    <w:rsid w:val="00347A14"/>
    <w:rsid w:val="00350743"/>
    <w:rsid w:val="00350A47"/>
    <w:rsid w:val="003513CA"/>
    <w:rsid w:val="00351FAC"/>
    <w:rsid w:val="003529AF"/>
    <w:rsid w:val="00353652"/>
    <w:rsid w:val="00355B5A"/>
    <w:rsid w:val="003564CA"/>
    <w:rsid w:val="00356ECC"/>
    <w:rsid w:val="0035756C"/>
    <w:rsid w:val="00357751"/>
    <w:rsid w:val="003601F1"/>
    <w:rsid w:val="003607DC"/>
    <w:rsid w:val="00360869"/>
    <w:rsid w:val="00360BFC"/>
    <w:rsid w:val="00362A40"/>
    <w:rsid w:val="00363475"/>
    <w:rsid w:val="00363BF3"/>
    <w:rsid w:val="0036489D"/>
    <w:rsid w:val="003649E8"/>
    <w:rsid w:val="00366631"/>
    <w:rsid w:val="003679D5"/>
    <w:rsid w:val="00367B79"/>
    <w:rsid w:val="003700BB"/>
    <w:rsid w:val="0037015D"/>
    <w:rsid w:val="00370400"/>
    <w:rsid w:val="0037217E"/>
    <w:rsid w:val="00373BB6"/>
    <w:rsid w:val="00374F02"/>
    <w:rsid w:val="00374F0D"/>
    <w:rsid w:val="00375614"/>
    <w:rsid w:val="003768DB"/>
    <w:rsid w:val="00380BDC"/>
    <w:rsid w:val="00380E60"/>
    <w:rsid w:val="00381483"/>
    <w:rsid w:val="00381A10"/>
    <w:rsid w:val="00381C36"/>
    <w:rsid w:val="00381CD3"/>
    <w:rsid w:val="00381D62"/>
    <w:rsid w:val="003826B4"/>
    <w:rsid w:val="00385627"/>
    <w:rsid w:val="00386330"/>
    <w:rsid w:val="003869D5"/>
    <w:rsid w:val="003905B9"/>
    <w:rsid w:val="0039206E"/>
    <w:rsid w:val="00392A4B"/>
    <w:rsid w:val="00392AA2"/>
    <w:rsid w:val="00393BA3"/>
    <w:rsid w:val="0039527F"/>
    <w:rsid w:val="00395A71"/>
    <w:rsid w:val="003964C0"/>
    <w:rsid w:val="0039682A"/>
    <w:rsid w:val="00397262"/>
    <w:rsid w:val="00397761"/>
    <w:rsid w:val="003A3423"/>
    <w:rsid w:val="003A362D"/>
    <w:rsid w:val="003A37F4"/>
    <w:rsid w:val="003A4F1D"/>
    <w:rsid w:val="003A4F95"/>
    <w:rsid w:val="003A6B4D"/>
    <w:rsid w:val="003A6F71"/>
    <w:rsid w:val="003A745C"/>
    <w:rsid w:val="003A7AA6"/>
    <w:rsid w:val="003A7FC2"/>
    <w:rsid w:val="003B01D4"/>
    <w:rsid w:val="003B062F"/>
    <w:rsid w:val="003B10EC"/>
    <w:rsid w:val="003B1570"/>
    <w:rsid w:val="003B3C31"/>
    <w:rsid w:val="003B43B8"/>
    <w:rsid w:val="003B5FEE"/>
    <w:rsid w:val="003B76D9"/>
    <w:rsid w:val="003C0CEB"/>
    <w:rsid w:val="003C351A"/>
    <w:rsid w:val="003C3BC6"/>
    <w:rsid w:val="003C55E5"/>
    <w:rsid w:val="003C5934"/>
    <w:rsid w:val="003C5A51"/>
    <w:rsid w:val="003C7080"/>
    <w:rsid w:val="003C74FF"/>
    <w:rsid w:val="003D07DA"/>
    <w:rsid w:val="003D11D0"/>
    <w:rsid w:val="003D239A"/>
    <w:rsid w:val="003D2C74"/>
    <w:rsid w:val="003D5245"/>
    <w:rsid w:val="003D5507"/>
    <w:rsid w:val="003D57EE"/>
    <w:rsid w:val="003D5A10"/>
    <w:rsid w:val="003D5E6D"/>
    <w:rsid w:val="003D64E8"/>
    <w:rsid w:val="003D7CB9"/>
    <w:rsid w:val="003D7E46"/>
    <w:rsid w:val="003E0F7C"/>
    <w:rsid w:val="003E2735"/>
    <w:rsid w:val="003E2B73"/>
    <w:rsid w:val="003E2F03"/>
    <w:rsid w:val="003E35CD"/>
    <w:rsid w:val="003E3BBF"/>
    <w:rsid w:val="003E424A"/>
    <w:rsid w:val="003E4610"/>
    <w:rsid w:val="003E5BB2"/>
    <w:rsid w:val="003E6C54"/>
    <w:rsid w:val="003E6E14"/>
    <w:rsid w:val="003E75F3"/>
    <w:rsid w:val="003F0D9E"/>
    <w:rsid w:val="003F1974"/>
    <w:rsid w:val="003F2109"/>
    <w:rsid w:val="003F2F05"/>
    <w:rsid w:val="003F3393"/>
    <w:rsid w:val="003F50FF"/>
    <w:rsid w:val="003F5900"/>
    <w:rsid w:val="003F5932"/>
    <w:rsid w:val="003F5C82"/>
    <w:rsid w:val="003F6355"/>
    <w:rsid w:val="00400266"/>
    <w:rsid w:val="00401258"/>
    <w:rsid w:val="004012C9"/>
    <w:rsid w:val="00401A9A"/>
    <w:rsid w:val="00402EEA"/>
    <w:rsid w:val="00403070"/>
    <w:rsid w:val="00405CEF"/>
    <w:rsid w:val="00406337"/>
    <w:rsid w:val="00406536"/>
    <w:rsid w:val="00406A00"/>
    <w:rsid w:val="004074B3"/>
    <w:rsid w:val="004074BC"/>
    <w:rsid w:val="004075EA"/>
    <w:rsid w:val="004103A3"/>
    <w:rsid w:val="00410C82"/>
    <w:rsid w:val="0041108E"/>
    <w:rsid w:val="00412DF2"/>
    <w:rsid w:val="00413403"/>
    <w:rsid w:val="004138F5"/>
    <w:rsid w:val="00413D22"/>
    <w:rsid w:val="004146FB"/>
    <w:rsid w:val="00414C90"/>
    <w:rsid w:val="004165B0"/>
    <w:rsid w:val="004165D6"/>
    <w:rsid w:val="00421494"/>
    <w:rsid w:val="0042163E"/>
    <w:rsid w:val="004229C5"/>
    <w:rsid w:val="00423163"/>
    <w:rsid w:val="004244A5"/>
    <w:rsid w:val="00424A6B"/>
    <w:rsid w:val="00424D9D"/>
    <w:rsid w:val="00427318"/>
    <w:rsid w:val="004276CD"/>
    <w:rsid w:val="0042778E"/>
    <w:rsid w:val="00427843"/>
    <w:rsid w:val="004302B6"/>
    <w:rsid w:val="0043230A"/>
    <w:rsid w:val="0043355B"/>
    <w:rsid w:val="00434D57"/>
    <w:rsid w:val="00434E59"/>
    <w:rsid w:val="0043511C"/>
    <w:rsid w:val="00435538"/>
    <w:rsid w:val="00437E88"/>
    <w:rsid w:val="00440672"/>
    <w:rsid w:val="00441E70"/>
    <w:rsid w:val="00442D2A"/>
    <w:rsid w:val="00442FBB"/>
    <w:rsid w:val="00443779"/>
    <w:rsid w:val="00443CCC"/>
    <w:rsid w:val="004441E4"/>
    <w:rsid w:val="004448E8"/>
    <w:rsid w:val="0044711B"/>
    <w:rsid w:val="004474FB"/>
    <w:rsid w:val="00452466"/>
    <w:rsid w:val="004528CC"/>
    <w:rsid w:val="004529C3"/>
    <w:rsid w:val="00453316"/>
    <w:rsid w:val="004559FE"/>
    <w:rsid w:val="0045608B"/>
    <w:rsid w:val="004565CE"/>
    <w:rsid w:val="00456777"/>
    <w:rsid w:val="00462227"/>
    <w:rsid w:val="004640CA"/>
    <w:rsid w:val="00464119"/>
    <w:rsid w:val="00464299"/>
    <w:rsid w:val="004652FD"/>
    <w:rsid w:val="004657F4"/>
    <w:rsid w:val="00466979"/>
    <w:rsid w:val="00466D17"/>
    <w:rsid w:val="00467E20"/>
    <w:rsid w:val="00470D8A"/>
    <w:rsid w:val="00471CD8"/>
    <w:rsid w:val="004720D7"/>
    <w:rsid w:val="004729DC"/>
    <w:rsid w:val="00472A4C"/>
    <w:rsid w:val="00472B05"/>
    <w:rsid w:val="00472E85"/>
    <w:rsid w:val="00473068"/>
    <w:rsid w:val="004735D5"/>
    <w:rsid w:val="00474FAB"/>
    <w:rsid w:val="0047556B"/>
    <w:rsid w:val="00475C2D"/>
    <w:rsid w:val="00477226"/>
    <w:rsid w:val="004778D6"/>
    <w:rsid w:val="0048067F"/>
    <w:rsid w:val="0048070F"/>
    <w:rsid w:val="004813E8"/>
    <w:rsid w:val="004827F3"/>
    <w:rsid w:val="00482A85"/>
    <w:rsid w:val="004830F2"/>
    <w:rsid w:val="004830F4"/>
    <w:rsid w:val="0048348D"/>
    <w:rsid w:val="00486114"/>
    <w:rsid w:val="004863E4"/>
    <w:rsid w:val="004865F4"/>
    <w:rsid w:val="00487264"/>
    <w:rsid w:val="00490D2A"/>
    <w:rsid w:val="0049105D"/>
    <w:rsid w:val="004918C4"/>
    <w:rsid w:val="00491D53"/>
    <w:rsid w:val="00492E5A"/>
    <w:rsid w:val="004932A2"/>
    <w:rsid w:val="00493FDE"/>
    <w:rsid w:val="00494A99"/>
    <w:rsid w:val="00496E8C"/>
    <w:rsid w:val="00496EAA"/>
    <w:rsid w:val="00497A1F"/>
    <w:rsid w:val="004A00B9"/>
    <w:rsid w:val="004A08D7"/>
    <w:rsid w:val="004A19B9"/>
    <w:rsid w:val="004A3999"/>
    <w:rsid w:val="004A403D"/>
    <w:rsid w:val="004A5151"/>
    <w:rsid w:val="004A5DB1"/>
    <w:rsid w:val="004A687F"/>
    <w:rsid w:val="004A7359"/>
    <w:rsid w:val="004B0B1B"/>
    <w:rsid w:val="004B3161"/>
    <w:rsid w:val="004B3FD1"/>
    <w:rsid w:val="004B5BAF"/>
    <w:rsid w:val="004B5CB4"/>
    <w:rsid w:val="004B632A"/>
    <w:rsid w:val="004B7E82"/>
    <w:rsid w:val="004C06AD"/>
    <w:rsid w:val="004C0766"/>
    <w:rsid w:val="004C0946"/>
    <w:rsid w:val="004C0C08"/>
    <w:rsid w:val="004C13CF"/>
    <w:rsid w:val="004C4F8F"/>
    <w:rsid w:val="004C545C"/>
    <w:rsid w:val="004C579E"/>
    <w:rsid w:val="004C6BC6"/>
    <w:rsid w:val="004C7EB2"/>
    <w:rsid w:val="004D0163"/>
    <w:rsid w:val="004D0AC5"/>
    <w:rsid w:val="004D11B4"/>
    <w:rsid w:val="004D19EB"/>
    <w:rsid w:val="004D2AC4"/>
    <w:rsid w:val="004D35C6"/>
    <w:rsid w:val="004D4FC4"/>
    <w:rsid w:val="004E06B4"/>
    <w:rsid w:val="004E1754"/>
    <w:rsid w:val="004E189A"/>
    <w:rsid w:val="004E1A28"/>
    <w:rsid w:val="004E2076"/>
    <w:rsid w:val="004E318F"/>
    <w:rsid w:val="004E5A0A"/>
    <w:rsid w:val="004E6694"/>
    <w:rsid w:val="004E6764"/>
    <w:rsid w:val="004E751D"/>
    <w:rsid w:val="004E791F"/>
    <w:rsid w:val="004F021C"/>
    <w:rsid w:val="004F16EA"/>
    <w:rsid w:val="004F1757"/>
    <w:rsid w:val="004F1AB4"/>
    <w:rsid w:val="004F1D20"/>
    <w:rsid w:val="004F1FC4"/>
    <w:rsid w:val="004F2C84"/>
    <w:rsid w:val="004F326C"/>
    <w:rsid w:val="004F38A6"/>
    <w:rsid w:val="004F444A"/>
    <w:rsid w:val="004F462A"/>
    <w:rsid w:val="004F4990"/>
    <w:rsid w:val="004F5575"/>
    <w:rsid w:val="004F79D9"/>
    <w:rsid w:val="005014BC"/>
    <w:rsid w:val="00501617"/>
    <w:rsid w:val="00502084"/>
    <w:rsid w:val="00502229"/>
    <w:rsid w:val="005030DE"/>
    <w:rsid w:val="005032C7"/>
    <w:rsid w:val="0050634D"/>
    <w:rsid w:val="005078B2"/>
    <w:rsid w:val="005079C1"/>
    <w:rsid w:val="00507BBF"/>
    <w:rsid w:val="00510D24"/>
    <w:rsid w:val="00511260"/>
    <w:rsid w:val="00511565"/>
    <w:rsid w:val="0051172C"/>
    <w:rsid w:val="00512159"/>
    <w:rsid w:val="0051380C"/>
    <w:rsid w:val="00514878"/>
    <w:rsid w:val="0051706E"/>
    <w:rsid w:val="00520E7F"/>
    <w:rsid w:val="00523905"/>
    <w:rsid w:val="00523DBC"/>
    <w:rsid w:val="005244E9"/>
    <w:rsid w:val="005248C6"/>
    <w:rsid w:val="00530509"/>
    <w:rsid w:val="00531855"/>
    <w:rsid w:val="00531E3D"/>
    <w:rsid w:val="00532080"/>
    <w:rsid w:val="00532246"/>
    <w:rsid w:val="00533EDB"/>
    <w:rsid w:val="005359C4"/>
    <w:rsid w:val="00536748"/>
    <w:rsid w:val="005368B0"/>
    <w:rsid w:val="00540715"/>
    <w:rsid w:val="0054295A"/>
    <w:rsid w:val="00543D7F"/>
    <w:rsid w:val="00545009"/>
    <w:rsid w:val="00545140"/>
    <w:rsid w:val="00545668"/>
    <w:rsid w:val="0054639C"/>
    <w:rsid w:val="00547832"/>
    <w:rsid w:val="0055098F"/>
    <w:rsid w:val="005517B9"/>
    <w:rsid w:val="00551F0B"/>
    <w:rsid w:val="00553664"/>
    <w:rsid w:val="00553E7D"/>
    <w:rsid w:val="005542BD"/>
    <w:rsid w:val="00554FF0"/>
    <w:rsid w:val="00556489"/>
    <w:rsid w:val="00556EDA"/>
    <w:rsid w:val="00556FC7"/>
    <w:rsid w:val="005573D6"/>
    <w:rsid w:val="0056029F"/>
    <w:rsid w:val="005603F9"/>
    <w:rsid w:val="00561F7A"/>
    <w:rsid w:val="00562745"/>
    <w:rsid w:val="0056509F"/>
    <w:rsid w:val="00565326"/>
    <w:rsid w:val="00566F5F"/>
    <w:rsid w:val="005671E4"/>
    <w:rsid w:val="00570A0D"/>
    <w:rsid w:val="005730E9"/>
    <w:rsid w:val="005739C7"/>
    <w:rsid w:val="005754FC"/>
    <w:rsid w:val="00575A6F"/>
    <w:rsid w:val="00575F9C"/>
    <w:rsid w:val="00576979"/>
    <w:rsid w:val="005777A1"/>
    <w:rsid w:val="00577D50"/>
    <w:rsid w:val="00580D85"/>
    <w:rsid w:val="005813AC"/>
    <w:rsid w:val="00581535"/>
    <w:rsid w:val="00582549"/>
    <w:rsid w:val="0058354A"/>
    <w:rsid w:val="00584BA7"/>
    <w:rsid w:val="00586CFB"/>
    <w:rsid w:val="00587D29"/>
    <w:rsid w:val="00590D77"/>
    <w:rsid w:val="00591072"/>
    <w:rsid w:val="005926E1"/>
    <w:rsid w:val="00592EDD"/>
    <w:rsid w:val="005934B8"/>
    <w:rsid w:val="00594C9D"/>
    <w:rsid w:val="00595C65"/>
    <w:rsid w:val="005964E5"/>
    <w:rsid w:val="005969E2"/>
    <w:rsid w:val="00597705"/>
    <w:rsid w:val="005A0AF8"/>
    <w:rsid w:val="005A0E64"/>
    <w:rsid w:val="005A172D"/>
    <w:rsid w:val="005A2449"/>
    <w:rsid w:val="005A28D1"/>
    <w:rsid w:val="005A2A2C"/>
    <w:rsid w:val="005A2C73"/>
    <w:rsid w:val="005A2D52"/>
    <w:rsid w:val="005A3308"/>
    <w:rsid w:val="005A3E4D"/>
    <w:rsid w:val="005A4FC0"/>
    <w:rsid w:val="005A71F7"/>
    <w:rsid w:val="005B1333"/>
    <w:rsid w:val="005B170C"/>
    <w:rsid w:val="005B1872"/>
    <w:rsid w:val="005B649F"/>
    <w:rsid w:val="005B7922"/>
    <w:rsid w:val="005B7CEE"/>
    <w:rsid w:val="005C1439"/>
    <w:rsid w:val="005C15DC"/>
    <w:rsid w:val="005C1DEC"/>
    <w:rsid w:val="005C23FF"/>
    <w:rsid w:val="005C28AE"/>
    <w:rsid w:val="005C2CF0"/>
    <w:rsid w:val="005C36E4"/>
    <w:rsid w:val="005C4FDA"/>
    <w:rsid w:val="005C5C47"/>
    <w:rsid w:val="005C5DB7"/>
    <w:rsid w:val="005C6A41"/>
    <w:rsid w:val="005C737C"/>
    <w:rsid w:val="005C7466"/>
    <w:rsid w:val="005D0320"/>
    <w:rsid w:val="005D0B78"/>
    <w:rsid w:val="005D25D6"/>
    <w:rsid w:val="005D3407"/>
    <w:rsid w:val="005D3941"/>
    <w:rsid w:val="005D411A"/>
    <w:rsid w:val="005D47C3"/>
    <w:rsid w:val="005D518D"/>
    <w:rsid w:val="005D5CA0"/>
    <w:rsid w:val="005D5E9D"/>
    <w:rsid w:val="005D6BF3"/>
    <w:rsid w:val="005D6D77"/>
    <w:rsid w:val="005E019A"/>
    <w:rsid w:val="005E2F30"/>
    <w:rsid w:val="005E3541"/>
    <w:rsid w:val="005E560B"/>
    <w:rsid w:val="005E5F2C"/>
    <w:rsid w:val="005E601A"/>
    <w:rsid w:val="005F03D5"/>
    <w:rsid w:val="005F04A5"/>
    <w:rsid w:val="005F06EC"/>
    <w:rsid w:val="005F158C"/>
    <w:rsid w:val="005F236B"/>
    <w:rsid w:val="005F442A"/>
    <w:rsid w:val="005F4B77"/>
    <w:rsid w:val="005F4EBF"/>
    <w:rsid w:val="005F6D85"/>
    <w:rsid w:val="005F77BC"/>
    <w:rsid w:val="00600269"/>
    <w:rsid w:val="0060138F"/>
    <w:rsid w:val="00601AA2"/>
    <w:rsid w:val="0060391E"/>
    <w:rsid w:val="0060443D"/>
    <w:rsid w:val="0060486E"/>
    <w:rsid w:val="00605C82"/>
    <w:rsid w:val="006062FB"/>
    <w:rsid w:val="00606867"/>
    <w:rsid w:val="006072BB"/>
    <w:rsid w:val="00607419"/>
    <w:rsid w:val="006101AF"/>
    <w:rsid w:val="00612393"/>
    <w:rsid w:val="00612ACF"/>
    <w:rsid w:val="00613E36"/>
    <w:rsid w:val="006145C9"/>
    <w:rsid w:val="00614A7A"/>
    <w:rsid w:val="00615608"/>
    <w:rsid w:val="00615854"/>
    <w:rsid w:val="00616B35"/>
    <w:rsid w:val="00617A30"/>
    <w:rsid w:val="00617F99"/>
    <w:rsid w:val="006215E6"/>
    <w:rsid w:val="00621B4B"/>
    <w:rsid w:val="00621F42"/>
    <w:rsid w:val="00622BB3"/>
    <w:rsid w:val="00622C7B"/>
    <w:rsid w:val="006232F1"/>
    <w:rsid w:val="00623DDE"/>
    <w:rsid w:val="00624695"/>
    <w:rsid w:val="00624D08"/>
    <w:rsid w:val="00625D2D"/>
    <w:rsid w:val="006271A4"/>
    <w:rsid w:val="00630138"/>
    <w:rsid w:val="006313FC"/>
    <w:rsid w:val="006332F2"/>
    <w:rsid w:val="00633AFF"/>
    <w:rsid w:val="00633BFE"/>
    <w:rsid w:val="00634B17"/>
    <w:rsid w:val="00636946"/>
    <w:rsid w:val="006372D7"/>
    <w:rsid w:val="00637A17"/>
    <w:rsid w:val="0064032F"/>
    <w:rsid w:val="00641035"/>
    <w:rsid w:val="00641661"/>
    <w:rsid w:val="00641C78"/>
    <w:rsid w:val="00643F9C"/>
    <w:rsid w:val="00644FB0"/>
    <w:rsid w:val="006476E6"/>
    <w:rsid w:val="006500F5"/>
    <w:rsid w:val="00650EE2"/>
    <w:rsid w:val="006511A4"/>
    <w:rsid w:val="0065127B"/>
    <w:rsid w:val="00651373"/>
    <w:rsid w:val="006513E2"/>
    <w:rsid w:val="00651916"/>
    <w:rsid w:val="00651DE7"/>
    <w:rsid w:val="006531C9"/>
    <w:rsid w:val="006535E1"/>
    <w:rsid w:val="00654201"/>
    <w:rsid w:val="00654C22"/>
    <w:rsid w:val="00655AE4"/>
    <w:rsid w:val="00655CDC"/>
    <w:rsid w:val="0065708F"/>
    <w:rsid w:val="00657467"/>
    <w:rsid w:val="00657D7F"/>
    <w:rsid w:val="0066025E"/>
    <w:rsid w:val="00661D64"/>
    <w:rsid w:val="00662682"/>
    <w:rsid w:val="006639A0"/>
    <w:rsid w:val="00663D7F"/>
    <w:rsid w:val="00664CD0"/>
    <w:rsid w:val="00665C18"/>
    <w:rsid w:val="00665D94"/>
    <w:rsid w:val="00665DEA"/>
    <w:rsid w:val="006668FE"/>
    <w:rsid w:val="00667591"/>
    <w:rsid w:val="00667F9F"/>
    <w:rsid w:val="006710E7"/>
    <w:rsid w:val="00671A0B"/>
    <w:rsid w:val="0067210D"/>
    <w:rsid w:val="00672D05"/>
    <w:rsid w:val="00674C7A"/>
    <w:rsid w:val="00674CFA"/>
    <w:rsid w:val="0067569E"/>
    <w:rsid w:val="00675C81"/>
    <w:rsid w:val="0067681A"/>
    <w:rsid w:val="006771C3"/>
    <w:rsid w:val="00680327"/>
    <w:rsid w:val="0068034D"/>
    <w:rsid w:val="00681152"/>
    <w:rsid w:val="0068154E"/>
    <w:rsid w:val="00682987"/>
    <w:rsid w:val="00682CE5"/>
    <w:rsid w:val="006835E9"/>
    <w:rsid w:val="006841DC"/>
    <w:rsid w:val="0068468E"/>
    <w:rsid w:val="00685DAD"/>
    <w:rsid w:val="0068615D"/>
    <w:rsid w:val="0068675A"/>
    <w:rsid w:val="00686F0F"/>
    <w:rsid w:val="0069106B"/>
    <w:rsid w:val="00691AF2"/>
    <w:rsid w:val="00691CB2"/>
    <w:rsid w:val="00694527"/>
    <w:rsid w:val="0069550C"/>
    <w:rsid w:val="00695644"/>
    <w:rsid w:val="00697465"/>
    <w:rsid w:val="006977BE"/>
    <w:rsid w:val="00697EB1"/>
    <w:rsid w:val="006A1F57"/>
    <w:rsid w:val="006A2310"/>
    <w:rsid w:val="006A2706"/>
    <w:rsid w:val="006A498B"/>
    <w:rsid w:val="006A5FB1"/>
    <w:rsid w:val="006A7D4F"/>
    <w:rsid w:val="006B150C"/>
    <w:rsid w:val="006B1DCE"/>
    <w:rsid w:val="006B2F04"/>
    <w:rsid w:val="006B42B2"/>
    <w:rsid w:val="006B5EB1"/>
    <w:rsid w:val="006B6180"/>
    <w:rsid w:val="006B692B"/>
    <w:rsid w:val="006C177A"/>
    <w:rsid w:val="006C1B13"/>
    <w:rsid w:val="006C32C4"/>
    <w:rsid w:val="006D067F"/>
    <w:rsid w:val="006D07FB"/>
    <w:rsid w:val="006D5A38"/>
    <w:rsid w:val="006D5A67"/>
    <w:rsid w:val="006D5B48"/>
    <w:rsid w:val="006D762E"/>
    <w:rsid w:val="006D7DFD"/>
    <w:rsid w:val="006E0F36"/>
    <w:rsid w:val="006E1450"/>
    <w:rsid w:val="006E16D1"/>
    <w:rsid w:val="006E1EAB"/>
    <w:rsid w:val="006E1F55"/>
    <w:rsid w:val="006E2B6D"/>
    <w:rsid w:val="006E3C88"/>
    <w:rsid w:val="006E4C1C"/>
    <w:rsid w:val="006E634A"/>
    <w:rsid w:val="006F09D8"/>
    <w:rsid w:val="006F1624"/>
    <w:rsid w:val="006F3052"/>
    <w:rsid w:val="006F31BD"/>
    <w:rsid w:val="006F3259"/>
    <w:rsid w:val="006F3563"/>
    <w:rsid w:val="006F3C00"/>
    <w:rsid w:val="006F78DB"/>
    <w:rsid w:val="00702A55"/>
    <w:rsid w:val="00702C42"/>
    <w:rsid w:val="00704A2E"/>
    <w:rsid w:val="007057AB"/>
    <w:rsid w:val="00705E82"/>
    <w:rsid w:val="00707343"/>
    <w:rsid w:val="007073FB"/>
    <w:rsid w:val="00710C28"/>
    <w:rsid w:val="00711963"/>
    <w:rsid w:val="00711C08"/>
    <w:rsid w:val="00711CC1"/>
    <w:rsid w:val="00712ED3"/>
    <w:rsid w:val="0071447B"/>
    <w:rsid w:val="00714697"/>
    <w:rsid w:val="00714C9E"/>
    <w:rsid w:val="00715651"/>
    <w:rsid w:val="0071628D"/>
    <w:rsid w:val="00716330"/>
    <w:rsid w:val="00717903"/>
    <w:rsid w:val="00717B10"/>
    <w:rsid w:val="00720323"/>
    <w:rsid w:val="0072106C"/>
    <w:rsid w:val="00723C3C"/>
    <w:rsid w:val="00723FBD"/>
    <w:rsid w:val="007243A1"/>
    <w:rsid w:val="0072461D"/>
    <w:rsid w:val="00724B29"/>
    <w:rsid w:val="00725804"/>
    <w:rsid w:val="00725D91"/>
    <w:rsid w:val="0072666E"/>
    <w:rsid w:val="0072699A"/>
    <w:rsid w:val="00727A78"/>
    <w:rsid w:val="00730A5A"/>
    <w:rsid w:val="00731207"/>
    <w:rsid w:val="00731B5A"/>
    <w:rsid w:val="00731E99"/>
    <w:rsid w:val="00731F49"/>
    <w:rsid w:val="0073426D"/>
    <w:rsid w:val="00734430"/>
    <w:rsid w:val="007402CF"/>
    <w:rsid w:val="0074053C"/>
    <w:rsid w:val="007413BB"/>
    <w:rsid w:val="00742307"/>
    <w:rsid w:val="00743D4D"/>
    <w:rsid w:val="00743EB1"/>
    <w:rsid w:val="00744512"/>
    <w:rsid w:val="0074485F"/>
    <w:rsid w:val="007451A8"/>
    <w:rsid w:val="00745BF2"/>
    <w:rsid w:val="00745E2B"/>
    <w:rsid w:val="00746757"/>
    <w:rsid w:val="007470F4"/>
    <w:rsid w:val="007503E1"/>
    <w:rsid w:val="00750611"/>
    <w:rsid w:val="00751ADD"/>
    <w:rsid w:val="007520F6"/>
    <w:rsid w:val="007532C0"/>
    <w:rsid w:val="00755D84"/>
    <w:rsid w:val="00756020"/>
    <w:rsid w:val="00756098"/>
    <w:rsid w:val="00756624"/>
    <w:rsid w:val="0075783C"/>
    <w:rsid w:val="00757F3C"/>
    <w:rsid w:val="007631E0"/>
    <w:rsid w:val="00763418"/>
    <w:rsid w:val="00763628"/>
    <w:rsid w:val="00763BF3"/>
    <w:rsid w:val="007643AD"/>
    <w:rsid w:val="00764F87"/>
    <w:rsid w:val="007652E6"/>
    <w:rsid w:val="00767A6B"/>
    <w:rsid w:val="00770AAE"/>
    <w:rsid w:val="00771094"/>
    <w:rsid w:val="00771421"/>
    <w:rsid w:val="00771F29"/>
    <w:rsid w:val="00772E4B"/>
    <w:rsid w:val="007744D5"/>
    <w:rsid w:val="0077459E"/>
    <w:rsid w:val="00775448"/>
    <w:rsid w:val="0077676B"/>
    <w:rsid w:val="00776C32"/>
    <w:rsid w:val="007776FB"/>
    <w:rsid w:val="00781883"/>
    <w:rsid w:val="00782782"/>
    <w:rsid w:val="007841E0"/>
    <w:rsid w:val="00785BC3"/>
    <w:rsid w:val="007863FC"/>
    <w:rsid w:val="007866DC"/>
    <w:rsid w:val="00791465"/>
    <w:rsid w:val="00791A0E"/>
    <w:rsid w:val="0079276A"/>
    <w:rsid w:val="00793EAF"/>
    <w:rsid w:val="00794AA8"/>
    <w:rsid w:val="00796986"/>
    <w:rsid w:val="00796F39"/>
    <w:rsid w:val="00796F7A"/>
    <w:rsid w:val="00797A49"/>
    <w:rsid w:val="007A1488"/>
    <w:rsid w:val="007A1A81"/>
    <w:rsid w:val="007A2884"/>
    <w:rsid w:val="007A3705"/>
    <w:rsid w:val="007A39B0"/>
    <w:rsid w:val="007A6876"/>
    <w:rsid w:val="007A7BBE"/>
    <w:rsid w:val="007B0A3F"/>
    <w:rsid w:val="007B0EA9"/>
    <w:rsid w:val="007B196E"/>
    <w:rsid w:val="007B1F09"/>
    <w:rsid w:val="007B252A"/>
    <w:rsid w:val="007B3CDA"/>
    <w:rsid w:val="007B4374"/>
    <w:rsid w:val="007B566C"/>
    <w:rsid w:val="007B686F"/>
    <w:rsid w:val="007B6CEF"/>
    <w:rsid w:val="007C17AD"/>
    <w:rsid w:val="007C247A"/>
    <w:rsid w:val="007C4332"/>
    <w:rsid w:val="007C4731"/>
    <w:rsid w:val="007C546A"/>
    <w:rsid w:val="007C6CBE"/>
    <w:rsid w:val="007D0644"/>
    <w:rsid w:val="007D0A2D"/>
    <w:rsid w:val="007D0C0B"/>
    <w:rsid w:val="007D3ACE"/>
    <w:rsid w:val="007D44BC"/>
    <w:rsid w:val="007D5AC1"/>
    <w:rsid w:val="007D64EC"/>
    <w:rsid w:val="007E05A2"/>
    <w:rsid w:val="007E0E05"/>
    <w:rsid w:val="007E1089"/>
    <w:rsid w:val="007E1B26"/>
    <w:rsid w:val="007E1F8D"/>
    <w:rsid w:val="007E5E24"/>
    <w:rsid w:val="007E692A"/>
    <w:rsid w:val="007E6E03"/>
    <w:rsid w:val="007E6E90"/>
    <w:rsid w:val="007E7650"/>
    <w:rsid w:val="007F1E72"/>
    <w:rsid w:val="007F2C37"/>
    <w:rsid w:val="007F4798"/>
    <w:rsid w:val="007F57DD"/>
    <w:rsid w:val="007F5C50"/>
    <w:rsid w:val="008000DD"/>
    <w:rsid w:val="00800438"/>
    <w:rsid w:val="008019A5"/>
    <w:rsid w:val="008020C2"/>
    <w:rsid w:val="008020CD"/>
    <w:rsid w:val="00803543"/>
    <w:rsid w:val="0080630A"/>
    <w:rsid w:val="00806826"/>
    <w:rsid w:val="00806AFC"/>
    <w:rsid w:val="00810336"/>
    <w:rsid w:val="0081156D"/>
    <w:rsid w:val="00811B30"/>
    <w:rsid w:val="00812D95"/>
    <w:rsid w:val="008132B6"/>
    <w:rsid w:val="00813448"/>
    <w:rsid w:val="00814603"/>
    <w:rsid w:val="00814EDE"/>
    <w:rsid w:val="00815901"/>
    <w:rsid w:val="0081612B"/>
    <w:rsid w:val="00816ED1"/>
    <w:rsid w:val="0082078A"/>
    <w:rsid w:val="00821A77"/>
    <w:rsid w:val="00821AC0"/>
    <w:rsid w:val="00821D82"/>
    <w:rsid w:val="008230F2"/>
    <w:rsid w:val="00823442"/>
    <w:rsid w:val="00823924"/>
    <w:rsid w:val="008242ED"/>
    <w:rsid w:val="0082474D"/>
    <w:rsid w:val="00825110"/>
    <w:rsid w:val="008276BB"/>
    <w:rsid w:val="00830F6A"/>
    <w:rsid w:val="00832EA6"/>
    <w:rsid w:val="00832FD6"/>
    <w:rsid w:val="0083336E"/>
    <w:rsid w:val="00834066"/>
    <w:rsid w:val="008343B4"/>
    <w:rsid w:val="0083721C"/>
    <w:rsid w:val="00837748"/>
    <w:rsid w:val="00837B9A"/>
    <w:rsid w:val="00837E1F"/>
    <w:rsid w:val="008405CE"/>
    <w:rsid w:val="008405CF"/>
    <w:rsid w:val="00841177"/>
    <w:rsid w:val="00841726"/>
    <w:rsid w:val="0084234E"/>
    <w:rsid w:val="008426AA"/>
    <w:rsid w:val="008426F6"/>
    <w:rsid w:val="0084295A"/>
    <w:rsid w:val="0084393F"/>
    <w:rsid w:val="0084440A"/>
    <w:rsid w:val="0084468E"/>
    <w:rsid w:val="00844872"/>
    <w:rsid w:val="00846269"/>
    <w:rsid w:val="00847608"/>
    <w:rsid w:val="00851511"/>
    <w:rsid w:val="0085335D"/>
    <w:rsid w:val="008536CA"/>
    <w:rsid w:val="008547C2"/>
    <w:rsid w:val="00854A89"/>
    <w:rsid w:val="00855355"/>
    <w:rsid w:val="008557C2"/>
    <w:rsid w:val="00855F97"/>
    <w:rsid w:val="008566BA"/>
    <w:rsid w:val="00857963"/>
    <w:rsid w:val="0086080D"/>
    <w:rsid w:val="0086244D"/>
    <w:rsid w:val="008629E7"/>
    <w:rsid w:val="008634DE"/>
    <w:rsid w:val="008647BD"/>
    <w:rsid w:val="008665C4"/>
    <w:rsid w:val="0086751C"/>
    <w:rsid w:val="008677E3"/>
    <w:rsid w:val="00870B41"/>
    <w:rsid w:val="0087195C"/>
    <w:rsid w:val="008724F3"/>
    <w:rsid w:val="00873C6E"/>
    <w:rsid w:val="00873EB9"/>
    <w:rsid w:val="0087458D"/>
    <w:rsid w:val="00875D5A"/>
    <w:rsid w:val="00875DDC"/>
    <w:rsid w:val="00875F1E"/>
    <w:rsid w:val="00875FEC"/>
    <w:rsid w:val="00880351"/>
    <w:rsid w:val="00880604"/>
    <w:rsid w:val="0088086C"/>
    <w:rsid w:val="00882735"/>
    <w:rsid w:val="008827DD"/>
    <w:rsid w:val="00882EFE"/>
    <w:rsid w:val="00885C05"/>
    <w:rsid w:val="00885F6F"/>
    <w:rsid w:val="00886741"/>
    <w:rsid w:val="008878E7"/>
    <w:rsid w:val="00890F28"/>
    <w:rsid w:val="00892541"/>
    <w:rsid w:val="0089372D"/>
    <w:rsid w:val="00893E14"/>
    <w:rsid w:val="00893EA7"/>
    <w:rsid w:val="0089533C"/>
    <w:rsid w:val="00895429"/>
    <w:rsid w:val="00895554"/>
    <w:rsid w:val="008957A8"/>
    <w:rsid w:val="00895A54"/>
    <w:rsid w:val="00895AF9"/>
    <w:rsid w:val="00896B6A"/>
    <w:rsid w:val="008A0454"/>
    <w:rsid w:val="008A1381"/>
    <w:rsid w:val="008A1A60"/>
    <w:rsid w:val="008A229D"/>
    <w:rsid w:val="008A320A"/>
    <w:rsid w:val="008A3B56"/>
    <w:rsid w:val="008A4281"/>
    <w:rsid w:val="008A45F6"/>
    <w:rsid w:val="008A537D"/>
    <w:rsid w:val="008A7240"/>
    <w:rsid w:val="008A75F3"/>
    <w:rsid w:val="008A7BFC"/>
    <w:rsid w:val="008A7CF7"/>
    <w:rsid w:val="008A7FAD"/>
    <w:rsid w:val="008B0601"/>
    <w:rsid w:val="008B100F"/>
    <w:rsid w:val="008B1DA6"/>
    <w:rsid w:val="008B3660"/>
    <w:rsid w:val="008B3B79"/>
    <w:rsid w:val="008B3F93"/>
    <w:rsid w:val="008B4F8A"/>
    <w:rsid w:val="008B5110"/>
    <w:rsid w:val="008B574D"/>
    <w:rsid w:val="008B6080"/>
    <w:rsid w:val="008B70F6"/>
    <w:rsid w:val="008B773D"/>
    <w:rsid w:val="008C210D"/>
    <w:rsid w:val="008C3E59"/>
    <w:rsid w:val="008C480D"/>
    <w:rsid w:val="008C4C45"/>
    <w:rsid w:val="008C58DA"/>
    <w:rsid w:val="008C651B"/>
    <w:rsid w:val="008C7138"/>
    <w:rsid w:val="008D2564"/>
    <w:rsid w:val="008D3C26"/>
    <w:rsid w:val="008D4221"/>
    <w:rsid w:val="008D4568"/>
    <w:rsid w:val="008D488B"/>
    <w:rsid w:val="008D6A22"/>
    <w:rsid w:val="008D7DB2"/>
    <w:rsid w:val="008E06A0"/>
    <w:rsid w:val="008E1626"/>
    <w:rsid w:val="008E1EB8"/>
    <w:rsid w:val="008E20F9"/>
    <w:rsid w:val="008E2361"/>
    <w:rsid w:val="008E270C"/>
    <w:rsid w:val="008E51D4"/>
    <w:rsid w:val="008E666B"/>
    <w:rsid w:val="008E667D"/>
    <w:rsid w:val="008E66F8"/>
    <w:rsid w:val="008E74EF"/>
    <w:rsid w:val="008E7609"/>
    <w:rsid w:val="008E7904"/>
    <w:rsid w:val="008E7EFA"/>
    <w:rsid w:val="008F051D"/>
    <w:rsid w:val="008F0FC5"/>
    <w:rsid w:val="008F0FD2"/>
    <w:rsid w:val="008F108E"/>
    <w:rsid w:val="008F17A3"/>
    <w:rsid w:val="008F1853"/>
    <w:rsid w:val="008F1A36"/>
    <w:rsid w:val="008F2C0A"/>
    <w:rsid w:val="008F4376"/>
    <w:rsid w:val="008F59AF"/>
    <w:rsid w:val="008F5B07"/>
    <w:rsid w:val="008F61FC"/>
    <w:rsid w:val="008F6B39"/>
    <w:rsid w:val="008F74A5"/>
    <w:rsid w:val="00901474"/>
    <w:rsid w:val="009014FD"/>
    <w:rsid w:val="009017EB"/>
    <w:rsid w:val="00901D77"/>
    <w:rsid w:val="00902AA7"/>
    <w:rsid w:val="00903496"/>
    <w:rsid w:val="00903A37"/>
    <w:rsid w:val="009041F8"/>
    <w:rsid w:val="00904D53"/>
    <w:rsid w:val="00905C49"/>
    <w:rsid w:val="00905EE0"/>
    <w:rsid w:val="00906607"/>
    <w:rsid w:val="00906C53"/>
    <w:rsid w:val="0090737A"/>
    <w:rsid w:val="00907FA2"/>
    <w:rsid w:val="00911F75"/>
    <w:rsid w:val="009137F1"/>
    <w:rsid w:val="00914698"/>
    <w:rsid w:val="0091491D"/>
    <w:rsid w:val="0091517B"/>
    <w:rsid w:val="0092132F"/>
    <w:rsid w:val="00921597"/>
    <w:rsid w:val="00921696"/>
    <w:rsid w:val="009222B7"/>
    <w:rsid w:val="00922301"/>
    <w:rsid w:val="0092525C"/>
    <w:rsid w:val="009257EE"/>
    <w:rsid w:val="009262E3"/>
    <w:rsid w:val="00927E7F"/>
    <w:rsid w:val="009300E6"/>
    <w:rsid w:val="00931856"/>
    <w:rsid w:val="00931957"/>
    <w:rsid w:val="00932259"/>
    <w:rsid w:val="00932C4B"/>
    <w:rsid w:val="00933A5E"/>
    <w:rsid w:val="00935F4C"/>
    <w:rsid w:val="00937B2D"/>
    <w:rsid w:val="00937F6E"/>
    <w:rsid w:val="00940225"/>
    <w:rsid w:val="00941E65"/>
    <w:rsid w:val="009429D4"/>
    <w:rsid w:val="0094379B"/>
    <w:rsid w:val="00943A08"/>
    <w:rsid w:val="00943D4D"/>
    <w:rsid w:val="00943DA7"/>
    <w:rsid w:val="00943EC3"/>
    <w:rsid w:val="00944464"/>
    <w:rsid w:val="00945BC4"/>
    <w:rsid w:val="009503FE"/>
    <w:rsid w:val="009509B4"/>
    <w:rsid w:val="0095291D"/>
    <w:rsid w:val="00954778"/>
    <w:rsid w:val="00956775"/>
    <w:rsid w:val="00956789"/>
    <w:rsid w:val="0095687B"/>
    <w:rsid w:val="00957730"/>
    <w:rsid w:val="00957734"/>
    <w:rsid w:val="00960837"/>
    <w:rsid w:val="00960CDB"/>
    <w:rsid w:val="00962E0E"/>
    <w:rsid w:val="0096378A"/>
    <w:rsid w:val="00963C6A"/>
    <w:rsid w:val="00964882"/>
    <w:rsid w:val="009648F1"/>
    <w:rsid w:val="00964C44"/>
    <w:rsid w:val="00964DFA"/>
    <w:rsid w:val="00964FC6"/>
    <w:rsid w:val="00965066"/>
    <w:rsid w:val="0096634B"/>
    <w:rsid w:val="00966878"/>
    <w:rsid w:val="009673A6"/>
    <w:rsid w:val="00967AE9"/>
    <w:rsid w:val="00967F30"/>
    <w:rsid w:val="009701BC"/>
    <w:rsid w:val="0097136D"/>
    <w:rsid w:val="009729E5"/>
    <w:rsid w:val="00972E40"/>
    <w:rsid w:val="00973515"/>
    <w:rsid w:val="009737E6"/>
    <w:rsid w:val="0097492C"/>
    <w:rsid w:val="00974E2D"/>
    <w:rsid w:val="00975DB5"/>
    <w:rsid w:val="00976DCD"/>
    <w:rsid w:val="00976F0D"/>
    <w:rsid w:val="009803D5"/>
    <w:rsid w:val="0098066C"/>
    <w:rsid w:val="009812F2"/>
    <w:rsid w:val="009814B0"/>
    <w:rsid w:val="00981871"/>
    <w:rsid w:val="009821DC"/>
    <w:rsid w:val="00982693"/>
    <w:rsid w:val="00982FCE"/>
    <w:rsid w:val="009836E3"/>
    <w:rsid w:val="00983F90"/>
    <w:rsid w:val="00984181"/>
    <w:rsid w:val="0098571F"/>
    <w:rsid w:val="00987780"/>
    <w:rsid w:val="0099005D"/>
    <w:rsid w:val="009900D7"/>
    <w:rsid w:val="00992B0D"/>
    <w:rsid w:val="00993C6E"/>
    <w:rsid w:val="00994104"/>
    <w:rsid w:val="00994B79"/>
    <w:rsid w:val="009969E0"/>
    <w:rsid w:val="00996B5C"/>
    <w:rsid w:val="009A0545"/>
    <w:rsid w:val="009A0B4E"/>
    <w:rsid w:val="009A15A0"/>
    <w:rsid w:val="009A1EC2"/>
    <w:rsid w:val="009A2CB5"/>
    <w:rsid w:val="009A36AF"/>
    <w:rsid w:val="009A3A84"/>
    <w:rsid w:val="009A3CE8"/>
    <w:rsid w:val="009A3E97"/>
    <w:rsid w:val="009A4D30"/>
    <w:rsid w:val="009A591E"/>
    <w:rsid w:val="009A5B38"/>
    <w:rsid w:val="009A6876"/>
    <w:rsid w:val="009A77E7"/>
    <w:rsid w:val="009B1B5C"/>
    <w:rsid w:val="009B2A3D"/>
    <w:rsid w:val="009B306D"/>
    <w:rsid w:val="009B5983"/>
    <w:rsid w:val="009B7B65"/>
    <w:rsid w:val="009C052D"/>
    <w:rsid w:val="009C06C6"/>
    <w:rsid w:val="009C09A0"/>
    <w:rsid w:val="009C0C08"/>
    <w:rsid w:val="009C2135"/>
    <w:rsid w:val="009C323D"/>
    <w:rsid w:val="009C36F1"/>
    <w:rsid w:val="009C3E3C"/>
    <w:rsid w:val="009C3E3E"/>
    <w:rsid w:val="009C42CD"/>
    <w:rsid w:val="009C4F54"/>
    <w:rsid w:val="009C5271"/>
    <w:rsid w:val="009C63A4"/>
    <w:rsid w:val="009C63D5"/>
    <w:rsid w:val="009C6B5F"/>
    <w:rsid w:val="009C787C"/>
    <w:rsid w:val="009C7FC6"/>
    <w:rsid w:val="009D161A"/>
    <w:rsid w:val="009D1693"/>
    <w:rsid w:val="009D1BCC"/>
    <w:rsid w:val="009D23F4"/>
    <w:rsid w:val="009D3419"/>
    <w:rsid w:val="009D368F"/>
    <w:rsid w:val="009D3AE0"/>
    <w:rsid w:val="009D4AB7"/>
    <w:rsid w:val="009D51FB"/>
    <w:rsid w:val="009D5302"/>
    <w:rsid w:val="009D62F3"/>
    <w:rsid w:val="009D64BC"/>
    <w:rsid w:val="009D754F"/>
    <w:rsid w:val="009E1896"/>
    <w:rsid w:val="009E1980"/>
    <w:rsid w:val="009E1ACC"/>
    <w:rsid w:val="009E2833"/>
    <w:rsid w:val="009E2BB3"/>
    <w:rsid w:val="009E325E"/>
    <w:rsid w:val="009E3484"/>
    <w:rsid w:val="009E4F93"/>
    <w:rsid w:val="009E569F"/>
    <w:rsid w:val="009E5FDA"/>
    <w:rsid w:val="009E646F"/>
    <w:rsid w:val="009E776E"/>
    <w:rsid w:val="009F1343"/>
    <w:rsid w:val="009F1760"/>
    <w:rsid w:val="009F4396"/>
    <w:rsid w:val="009F48C7"/>
    <w:rsid w:val="009F4C46"/>
    <w:rsid w:val="009F4CCA"/>
    <w:rsid w:val="009F4EE8"/>
    <w:rsid w:val="009F5D93"/>
    <w:rsid w:val="009F6F14"/>
    <w:rsid w:val="009F7433"/>
    <w:rsid w:val="00A00F3C"/>
    <w:rsid w:val="00A0144A"/>
    <w:rsid w:val="00A01BDD"/>
    <w:rsid w:val="00A02844"/>
    <w:rsid w:val="00A02F31"/>
    <w:rsid w:val="00A034F2"/>
    <w:rsid w:val="00A03B3B"/>
    <w:rsid w:val="00A03F47"/>
    <w:rsid w:val="00A042CC"/>
    <w:rsid w:val="00A04DD8"/>
    <w:rsid w:val="00A06BF5"/>
    <w:rsid w:val="00A076B8"/>
    <w:rsid w:val="00A07E9C"/>
    <w:rsid w:val="00A1043A"/>
    <w:rsid w:val="00A11066"/>
    <w:rsid w:val="00A1196D"/>
    <w:rsid w:val="00A11A36"/>
    <w:rsid w:val="00A122F8"/>
    <w:rsid w:val="00A12914"/>
    <w:rsid w:val="00A12EEB"/>
    <w:rsid w:val="00A13A02"/>
    <w:rsid w:val="00A14173"/>
    <w:rsid w:val="00A167B8"/>
    <w:rsid w:val="00A17060"/>
    <w:rsid w:val="00A17ED7"/>
    <w:rsid w:val="00A20492"/>
    <w:rsid w:val="00A2185E"/>
    <w:rsid w:val="00A21919"/>
    <w:rsid w:val="00A21BCB"/>
    <w:rsid w:val="00A229ED"/>
    <w:rsid w:val="00A24579"/>
    <w:rsid w:val="00A24DD7"/>
    <w:rsid w:val="00A258CD"/>
    <w:rsid w:val="00A25EEE"/>
    <w:rsid w:val="00A260E4"/>
    <w:rsid w:val="00A26381"/>
    <w:rsid w:val="00A3089E"/>
    <w:rsid w:val="00A31C08"/>
    <w:rsid w:val="00A32889"/>
    <w:rsid w:val="00A331C2"/>
    <w:rsid w:val="00A33C81"/>
    <w:rsid w:val="00A35548"/>
    <w:rsid w:val="00A35A75"/>
    <w:rsid w:val="00A36357"/>
    <w:rsid w:val="00A36A40"/>
    <w:rsid w:val="00A36D42"/>
    <w:rsid w:val="00A407E9"/>
    <w:rsid w:val="00A414A1"/>
    <w:rsid w:val="00A41BC0"/>
    <w:rsid w:val="00A42893"/>
    <w:rsid w:val="00A42906"/>
    <w:rsid w:val="00A43E5D"/>
    <w:rsid w:val="00A449D3"/>
    <w:rsid w:val="00A44AD7"/>
    <w:rsid w:val="00A45490"/>
    <w:rsid w:val="00A4723D"/>
    <w:rsid w:val="00A47250"/>
    <w:rsid w:val="00A51671"/>
    <w:rsid w:val="00A5180C"/>
    <w:rsid w:val="00A521EE"/>
    <w:rsid w:val="00A5268D"/>
    <w:rsid w:val="00A5427C"/>
    <w:rsid w:val="00A5617E"/>
    <w:rsid w:val="00A603C3"/>
    <w:rsid w:val="00A61267"/>
    <w:rsid w:val="00A61965"/>
    <w:rsid w:val="00A63829"/>
    <w:rsid w:val="00A64250"/>
    <w:rsid w:val="00A64FD8"/>
    <w:rsid w:val="00A651C3"/>
    <w:rsid w:val="00A6550F"/>
    <w:rsid w:val="00A67C97"/>
    <w:rsid w:val="00A70113"/>
    <w:rsid w:val="00A70D14"/>
    <w:rsid w:val="00A711F9"/>
    <w:rsid w:val="00A71327"/>
    <w:rsid w:val="00A71783"/>
    <w:rsid w:val="00A719FE"/>
    <w:rsid w:val="00A73EE4"/>
    <w:rsid w:val="00A74937"/>
    <w:rsid w:val="00A75B8E"/>
    <w:rsid w:val="00A80111"/>
    <w:rsid w:val="00A81DF8"/>
    <w:rsid w:val="00A82B55"/>
    <w:rsid w:val="00A837B0"/>
    <w:rsid w:val="00A83F39"/>
    <w:rsid w:val="00A84210"/>
    <w:rsid w:val="00A85465"/>
    <w:rsid w:val="00A866AE"/>
    <w:rsid w:val="00A86936"/>
    <w:rsid w:val="00A86CC0"/>
    <w:rsid w:val="00A878A5"/>
    <w:rsid w:val="00A87D38"/>
    <w:rsid w:val="00A906E3"/>
    <w:rsid w:val="00A92185"/>
    <w:rsid w:val="00A92225"/>
    <w:rsid w:val="00A9381F"/>
    <w:rsid w:val="00A93B6D"/>
    <w:rsid w:val="00A94506"/>
    <w:rsid w:val="00A958D5"/>
    <w:rsid w:val="00A95B9A"/>
    <w:rsid w:val="00A95CB4"/>
    <w:rsid w:val="00A96CF0"/>
    <w:rsid w:val="00A976E6"/>
    <w:rsid w:val="00A9797C"/>
    <w:rsid w:val="00AA00D8"/>
    <w:rsid w:val="00AA32DA"/>
    <w:rsid w:val="00AA45A4"/>
    <w:rsid w:val="00AA4712"/>
    <w:rsid w:val="00AA4FAB"/>
    <w:rsid w:val="00AA65F4"/>
    <w:rsid w:val="00AA7A71"/>
    <w:rsid w:val="00AA7E70"/>
    <w:rsid w:val="00AB01B3"/>
    <w:rsid w:val="00AB0FEE"/>
    <w:rsid w:val="00AB1253"/>
    <w:rsid w:val="00AB1B2B"/>
    <w:rsid w:val="00AB2253"/>
    <w:rsid w:val="00AB43EE"/>
    <w:rsid w:val="00AB4F07"/>
    <w:rsid w:val="00AB4FB6"/>
    <w:rsid w:val="00AB5121"/>
    <w:rsid w:val="00AB51EA"/>
    <w:rsid w:val="00AB57AA"/>
    <w:rsid w:val="00AB6F0C"/>
    <w:rsid w:val="00AB72C8"/>
    <w:rsid w:val="00AC1EC5"/>
    <w:rsid w:val="00AC4AC4"/>
    <w:rsid w:val="00AC5FCC"/>
    <w:rsid w:val="00AC632C"/>
    <w:rsid w:val="00AC7B2D"/>
    <w:rsid w:val="00AC7F40"/>
    <w:rsid w:val="00AC7FDF"/>
    <w:rsid w:val="00AD04F1"/>
    <w:rsid w:val="00AD0544"/>
    <w:rsid w:val="00AD061A"/>
    <w:rsid w:val="00AE099A"/>
    <w:rsid w:val="00AE154F"/>
    <w:rsid w:val="00AE18E1"/>
    <w:rsid w:val="00AE1DDC"/>
    <w:rsid w:val="00AE1EE1"/>
    <w:rsid w:val="00AE207E"/>
    <w:rsid w:val="00AE2782"/>
    <w:rsid w:val="00AE2C20"/>
    <w:rsid w:val="00AE3DAE"/>
    <w:rsid w:val="00AE412E"/>
    <w:rsid w:val="00AE5E46"/>
    <w:rsid w:val="00AE5F67"/>
    <w:rsid w:val="00AF05EC"/>
    <w:rsid w:val="00AF259E"/>
    <w:rsid w:val="00AF2AE0"/>
    <w:rsid w:val="00AF399D"/>
    <w:rsid w:val="00AF3D6B"/>
    <w:rsid w:val="00AF3F75"/>
    <w:rsid w:val="00AF4917"/>
    <w:rsid w:val="00AF4DC9"/>
    <w:rsid w:val="00AF6292"/>
    <w:rsid w:val="00AF680F"/>
    <w:rsid w:val="00AF6DF0"/>
    <w:rsid w:val="00B00514"/>
    <w:rsid w:val="00B00C04"/>
    <w:rsid w:val="00B01C2D"/>
    <w:rsid w:val="00B01FAF"/>
    <w:rsid w:val="00B03D9A"/>
    <w:rsid w:val="00B04073"/>
    <w:rsid w:val="00B04260"/>
    <w:rsid w:val="00B04A4E"/>
    <w:rsid w:val="00B04CA8"/>
    <w:rsid w:val="00B0511A"/>
    <w:rsid w:val="00B05D39"/>
    <w:rsid w:val="00B07296"/>
    <w:rsid w:val="00B072CB"/>
    <w:rsid w:val="00B07703"/>
    <w:rsid w:val="00B100BE"/>
    <w:rsid w:val="00B11284"/>
    <w:rsid w:val="00B11F80"/>
    <w:rsid w:val="00B120C2"/>
    <w:rsid w:val="00B124DE"/>
    <w:rsid w:val="00B13A6B"/>
    <w:rsid w:val="00B13CEB"/>
    <w:rsid w:val="00B14FF9"/>
    <w:rsid w:val="00B15D9A"/>
    <w:rsid w:val="00B160F4"/>
    <w:rsid w:val="00B1684F"/>
    <w:rsid w:val="00B1722F"/>
    <w:rsid w:val="00B17C4C"/>
    <w:rsid w:val="00B17CCB"/>
    <w:rsid w:val="00B207AC"/>
    <w:rsid w:val="00B20D36"/>
    <w:rsid w:val="00B20F4F"/>
    <w:rsid w:val="00B21396"/>
    <w:rsid w:val="00B21512"/>
    <w:rsid w:val="00B21ACE"/>
    <w:rsid w:val="00B21FA2"/>
    <w:rsid w:val="00B225F3"/>
    <w:rsid w:val="00B226D3"/>
    <w:rsid w:val="00B23186"/>
    <w:rsid w:val="00B235FF"/>
    <w:rsid w:val="00B24395"/>
    <w:rsid w:val="00B24486"/>
    <w:rsid w:val="00B24846"/>
    <w:rsid w:val="00B26963"/>
    <w:rsid w:val="00B26AA4"/>
    <w:rsid w:val="00B306B3"/>
    <w:rsid w:val="00B30BDA"/>
    <w:rsid w:val="00B30C98"/>
    <w:rsid w:val="00B31187"/>
    <w:rsid w:val="00B31997"/>
    <w:rsid w:val="00B32AE8"/>
    <w:rsid w:val="00B3323A"/>
    <w:rsid w:val="00B34ECD"/>
    <w:rsid w:val="00B36696"/>
    <w:rsid w:val="00B4165F"/>
    <w:rsid w:val="00B418D6"/>
    <w:rsid w:val="00B4391B"/>
    <w:rsid w:val="00B43FB2"/>
    <w:rsid w:val="00B446F9"/>
    <w:rsid w:val="00B46C3A"/>
    <w:rsid w:val="00B47004"/>
    <w:rsid w:val="00B50164"/>
    <w:rsid w:val="00B50382"/>
    <w:rsid w:val="00B50C60"/>
    <w:rsid w:val="00B512A3"/>
    <w:rsid w:val="00B51C2F"/>
    <w:rsid w:val="00B51F04"/>
    <w:rsid w:val="00B53331"/>
    <w:rsid w:val="00B53A2D"/>
    <w:rsid w:val="00B5583F"/>
    <w:rsid w:val="00B559B2"/>
    <w:rsid w:val="00B565D4"/>
    <w:rsid w:val="00B56BAF"/>
    <w:rsid w:val="00B56D2F"/>
    <w:rsid w:val="00B56DA8"/>
    <w:rsid w:val="00B56ED3"/>
    <w:rsid w:val="00B57BF8"/>
    <w:rsid w:val="00B604F9"/>
    <w:rsid w:val="00B60E51"/>
    <w:rsid w:val="00B617DA"/>
    <w:rsid w:val="00B62576"/>
    <w:rsid w:val="00B63F7F"/>
    <w:rsid w:val="00B6537F"/>
    <w:rsid w:val="00B65433"/>
    <w:rsid w:val="00B65D0C"/>
    <w:rsid w:val="00B65DEE"/>
    <w:rsid w:val="00B673D7"/>
    <w:rsid w:val="00B70CAA"/>
    <w:rsid w:val="00B71571"/>
    <w:rsid w:val="00B715B1"/>
    <w:rsid w:val="00B729E6"/>
    <w:rsid w:val="00B7619E"/>
    <w:rsid w:val="00B77677"/>
    <w:rsid w:val="00B77BF3"/>
    <w:rsid w:val="00B8173F"/>
    <w:rsid w:val="00B83257"/>
    <w:rsid w:val="00B8381D"/>
    <w:rsid w:val="00B83936"/>
    <w:rsid w:val="00B84964"/>
    <w:rsid w:val="00B849F3"/>
    <w:rsid w:val="00B85F87"/>
    <w:rsid w:val="00B9092D"/>
    <w:rsid w:val="00B91527"/>
    <w:rsid w:val="00B92470"/>
    <w:rsid w:val="00B929D1"/>
    <w:rsid w:val="00B93AC6"/>
    <w:rsid w:val="00B95349"/>
    <w:rsid w:val="00B955C0"/>
    <w:rsid w:val="00B95B9C"/>
    <w:rsid w:val="00B961E2"/>
    <w:rsid w:val="00B96BC7"/>
    <w:rsid w:val="00BA0067"/>
    <w:rsid w:val="00BA0707"/>
    <w:rsid w:val="00BA0F9A"/>
    <w:rsid w:val="00BA2179"/>
    <w:rsid w:val="00BA39AB"/>
    <w:rsid w:val="00BA65AC"/>
    <w:rsid w:val="00BB2985"/>
    <w:rsid w:val="00BB3184"/>
    <w:rsid w:val="00BB74F4"/>
    <w:rsid w:val="00BB76FC"/>
    <w:rsid w:val="00BC067E"/>
    <w:rsid w:val="00BC0A20"/>
    <w:rsid w:val="00BC0B62"/>
    <w:rsid w:val="00BC21A0"/>
    <w:rsid w:val="00BC4EF3"/>
    <w:rsid w:val="00BC6AA2"/>
    <w:rsid w:val="00BC77C0"/>
    <w:rsid w:val="00BD0B25"/>
    <w:rsid w:val="00BD234D"/>
    <w:rsid w:val="00BD2561"/>
    <w:rsid w:val="00BD3DF8"/>
    <w:rsid w:val="00BD5DCD"/>
    <w:rsid w:val="00BD616D"/>
    <w:rsid w:val="00BD6C4D"/>
    <w:rsid w:val="00BE0997"/>
    <w:rsid w:val="00BE1907"/>
    <w:rsid w:val="00BE1A97"/>
    <w:rsid w:val="00BE3AF3"/>
    <w:rsid w:val="00BE485B"/>
    <w:rsid w:val="00BE5C24"/>
    <w:rsid w:val="00BE6890"/>
    <w:rsid w:val="00BE693B"/>
    <w:rsid w:val="00BE6A74"/>
    <w:rsid w:val="00BE715B"/>
    <w:rsid w:val="00BE7D08"/>
    <w:rsid w:val="00BF0840"/>
    <w:rsid w:val="00BF0DFF"/>
    <w:rsid w:val="00BF22B8"/>
    <w:rsid w:val="00BF2603"/>
    <w:rsid w:val="00BF51CE"/>
    <w:rsid w:val="00BF6541"/>
    <w:rsid w:val="00BF6930"/>
    <w:rsid w:val="00C01A0D"/>
    <w:rsid w:val="00C028D9"/>
    <w:rsid w:val="00C036E4"/>
    <w:rsid w:val="00C038B8"/>
    <w:rsid w:val="00C03B35"/>
    <w:rsid w:val="00C040C8"/>
    <w:rsid w:val="00C0550F"/>
    <w:rsid w:val="00C0649B"/>
    <w:rsid w:val="00C06574"/>
    <w:rsid w:val="00C06F31"/>
    <w:rsid w:val="00C07CFD"/>
    <w:rsid w:val="00C10707"/>
    <w:rsid w:val="00C11EE9"/>
    <w:rsid w:val="00C12B8C"/>
    <w:rsid w:val="00C155D9"/>
    <w:rsid w:val="00C165B6"/>
    <w:rsid w:val="00C2211D"/>
    <w:rsid w:val="00C2344F"/>
    <w:rsid w:val="00C246F2"/>
    <w:rsid w:val="00C25FEE"/>
    <w:rsid w:val="00C26707"/>
    <w:rsid w:val="00C27719"/>
    <w:rsid w:val="00C31BCD"/>
    <w:rsid w:val="00C320EB"/>
    <w:rsid w:val="00C32F7B"/>
    <w:rsid w:val="00C3513F"/>
    <w:rsid w:val="00C355AA"/>
    <w:rsid w:val="00C36223"/>
    <w:rsid w:val="00C4003E"/>
    <w:rsid w:val="00C40725"/>
    <w:rsid w:val="00C4207E"/>
    <w:rsid w:val="00C42816"/>
    <w:rsid w:val="00C451A3"/>
    <w:rsid w:val="00C4577E"/>
    <w:rsid w:val="00C50C8F"/>
    <w:rsid w:val="00C51156"/>
    <w:rsid w:val="00C53FD7"/>
    <w:rsid w:val="00C5434C"/>
    <w:rsid w:val="00C55C61"/>
    <w:rsid w:val="00C57047"/>
    <w:rsid w:val="00C64F44"/>
    <w:rsid w:val="00C650ED"/>
    <w:rsid w:val="00C65132"/>
    <w:rsid w:val="00C655C5"/>
    <w:rsid w:val="00C65DBB"/>
    <w:rsid w:val="00C65F6A"/>
    <w:rsid w:val="00C66CD0"/>
    <w:rsid w:val="00C67E97"/>
    <w:rsid w:val="00C67F3E"/>
    <w:rsid w:val="00C70CD5"/>
    <w:rsid w:val="00C7216F"/>
    <w:rsid w:val="00C727AB"/>
    <w:rsid w:val="00C72930"/>
    <w:rsid w:val="00C730E4"/>
    <w:rsid w:val="00C7387F"/>
    <w:rsid w:val="00C73BB8"/>
    <w:rsid w:val="00C74CC5"/>
    <w:rsid w:val="00C76B48"/>
    <w:rsid w:val="00C76CC4"/>
    <w:rsid w:val="00C77815"/>
    <w:rsid w:val="00C823C5"/>
    <w:rsid w:val="00C82D42"/>
    <w:rsid w:val="00C8322A"/>
    <w:rsid w:val="00C83583"/>
    <w:rsid w:val="00C84B12"/>
    <w:rsid w:val="00C869BC"/>
    <w:rsid w:val="00C8737E"/>
    <w:rsid w:val="00C87662"/>
    <w:rsid w:val="00C90444"/>
    <w:rsid w:val="00C90478"/>
    <w:rsid w:val="00C91C90"/>
    <w:rsid w:val="00C9243B"/>
    <w:rsid w:val="00C938F2"/>
    <w:rsid w:val="00C953C0"/>
    <w:rsid w:val="00C96E5A"/>
    <w:rsid w:val="00C97ACC"/>
    <w:rsid w:val="00CA181F"/>
    <w:rsid w:val="00CA1CC6"/>
    <w:rsid w:val="00CA2A54"/>
    <w:rsid w:val="00CA3219"/>
    <w:rsid w:val="00CA4E96"/>
    <w:rsid w:val="00CA5B11"/>
    <w:rsid w:val="00CA5EE8"/>
    <w:rsid w:val="00CB01EB"/>
    <w:rsid w:val="00CB0DFA"/>
    <w:rsid w:val="00CB250C"/>
    <w:rsid w:val="00CB337B"/>
    <w:rsid w:val="00CB34D5"/>
    <w:rsid w:val="00CB6CB0"/>
    <w:rsid w:val="00CC134C"/>
    <w:rsid w:val="00CC191F"/>
    <w:rsid w:val="00CC2191"/>
    <w:rsid w:val="00CC36F9"/>
    <w:rsid w:val="00CC3D9D"/>
    <w:rsid w:val="00CC3E8F"/>
    <w:rsid w:val="00CC436D"/>
    <w:rsid w:val="00CC5E31"/>
    <w:rsid w:val="00CD0BA2"/>
    <w:rsid w:val="00CD18DE"/>
    <w:rsid w:val="00CD1974"/>
    <w:rsid w:val="00CD2AFF"/>
    <w:rsid w:val="00CD41CF"/>
    <w:rsid w:val="00CD5935"/>
    <w:rsid w:val="00CD5AE2"/>
    <w:rsid w:val="00CD643B"/>
    <w:rsid w:val="00CE0D42"/>
    <w:rsid w:val="00CE19D1"/>
    <w:rsid w:val="00CE23EF"/>
    <w:rsid w:val="00CE513D"/>
    <w:rsid w:val="00CE6197"/>
    <w:rsid w:val="00CE6490"/>
    <w:rsid w:val="00CE6BEA"/>
    <w:rsid w:val="00CE6BEE"/>
    <w:rsid w:val="00CE702E"/>
    <w:rsid w:val="00CE7723"/>
    <w:rsid w:val="00CE7899"/>
    <w:rsid w:val="00CF088A"/>
    <w:rsid w:val="00CF1AEC"/>
    <w:rsid w:val="00CF22E5"/>
    <w:rsid w:val="00CF38F2"/>
    <w:rsid w:val="00CF3AB3"/>
    <w:rsid w:val="00CF4106"/>
    <w:rsid w:val="00CF4DD9"/>
    <w:rsid w:val="00CF4F8F"/>
    <w:rsid w:val="00CF5CD7"/>
    <w:rsid w:val="00CF693C"/>
    <w:rsid w:val="00CF75D1"/>
    <w:rsid w:val="00CF79DF"/>
    <w:rsid w:val="00CF7B47"/>
    <w:rsid w:val="00D00702"/>
    <w:rsid w:val="00D01C27"/>
    <w:rsid w:val="00D01E61"/>
    <w:rsid w:val="00D02296"/>
    <w:rsid w:val="00D02460"/>
    <w:rsid w:val="00D02B99"/>
    <w:rsid w:val="00D0306C"/>
    <w:rsid w:val="00D0348C"/>
    <w:rsid w:val="00D034FA"/>
    <w:rsid w:val="00D06027"/>
    <w:rsid w:val="00D06ABF"/>
    <w:rsid w:val="00D0751A"/>
    <w:rsid w:val="00D078F8"/>
    <w:rsid w:val="00D07D25"/>
    <w:rsid w:val="00D110F0"/>
    <w:rsid w:val="00D116BA"/>
    <w:rsid w:val="00D12852"/>
    <w:rsid w:val="00D13010"/>
    <w:rsid w:val="00D133F0"/>
    <w:rsid w:val="00D143ED"/>
    <w:rsid w:val="00D1522A"/>
    <w:rsid w:val="00D16C5A"/>
    <w:rsid w:val="00D16D3D"/>
    <w:rsid w:val="00D16DAA"/>
    <w:rsid w:val="00D17E12"/>
    <w:rsid w:val="00D21B84"/>
    <w:rsid w:val="00D22983"/>
    <w:rsid w:val="00D25359"/>
    <w:rsid w:val="00D25750"/>
    <w:rsid w:val="00D25E7D"/>
    <w:rsid w:val="00D261EA"/>
    <w:rsid w:val="00D265D4"/>
    <w:rsid w:val="00D26D6A"/>
    <w:rsid w:val="00D2755E"/>
    <w:rsid w:val="00D27842"/>
    <w:rsid w:val="00D30628"/>
    <w:rsid w:val="00D30911"/>
    <w:rsid w:val="00D30CEE"/>
    <w:rsid w:val="00D31D6C"/>
    <w:rsid w:val="00D31E38"/>
    <w:rsid w:val="00D32B3D"/>
    <w:rsid w:val="00D33C8D"/>
    <w:rsid w:val="00D34176"/>
    <w:rsid w:val="00D35E54"/>
    <w:rsid w:val="00D35E99"/>
    <w:rsid w:val="00D3682B"/>
    <w:rsid w:val="00D37148"/>
    <w:rsid w:val="00D37A00"/>
    <w:rsid w:val="00D40860"/>
    <w:rsid w:val="00D40EC0"/>
    <w:rsid w:val="00D4280D"/>
    <w:rsid w:val="00D42AB4"/>
    <w:rsid w:val="00D42B76"/>
    <w:rsid w:val="00D430D0"/>
    <w:rsid w:val="00D43284"/>
    <w:rsid w:val="00D43787"/>
    <w:rsid w:val="00D443A7"/>
    <w:rsid w:val="00D447D8"/>
    <w:rsid w:val="00D450B5"/>
    <w:rsid w:val="00D45623"/>
    <w:rsid w:val="00D45942"/>
    <w:rsid w:val="00D45968"/>
    <w:rsid w:val="00D461AA"/>
    <w:rsid w:val="00D468AF"/>
    <w:rsid w:val="00D47092"/>
    <w:rsid w:val="00D470FA"/>
    <w:rsid w:val="00D47F57"/>
    <w:rsid w:val="00D50983"/>
    <w:rsid w:val="00D51DF0"/>
    <w:rsid w:val="00D53B35"/>
    <w:rsid w:val="00D53E9D"/>
    <w:rsid w:val="00D5648F"/>
    <w:rsid w:val="00D56E3B"/>
    <w:rsid w:val="00D57CC2"/>
    <w:rsid w:val="00D616EC"/>
    <w:rsid w:val="00D62281"/>
    <w:rsid w:val="00D63A14"/>
    <w:rsid w:val="00D648BA"/>
    <w:rsid w:val="00D66365"/>
    <w:rsid w:val="00D66A4D"/>
    <w:rsid w:val="00D6707D"/>
    <w:rsid w:val="00D724E1"/>
    <w:rsid w:val="00D7582E"/>
    <w:rsid w:val="00D76A95"/>
    <w:rsid w:val="00D801E1"/>
    <w:rsid w:val="00D80C8D"/>
    <w:rsid w:val="00D82515"/>
    <w:rsid w:val="00D82682"/>
    <w:rsid w:val="00D82E21"/>
    <w:rsid w:val="00D840E2"/>
    <w:rsid w:val="00D846FE"/>
    <w:rsid w:val="00D860CB"/>
    <w:rsid w:val="00D861D3"/>
    <w:rsid w:val="00D865D4"/>
    <w:rsid w:val="00D87090"/>
    <w:rsid w:val="00D87C68"/>
    <w:rsid w:val="00D87E0F"/>
    <w:rsid w:val="00D90CC9"/>
    <w:rsid w:val="00D915CB"/>
    <w:rsid w:val="00D91EB5"/>
    <w:rsid w:val="00D92783"/>
    <w:rsid w:val="00D92B70"/>
    <w:rsid w:val="00D92D3B"/>
    <w:rsid w:val="00D9456A"/>
    <w:rsid w:val="00D94B4E"/>
    <w:rsid w:val="00D94DBD"/>
    <w:rsid w:val="00D96668"/>
    <w:rsid w:val="00DA00BB"/>
    <w:rsid w:val="00DA1DD5"/>
    <w:rsid w:val="00DA38A5"/>
    <w:rsid w:val="00DA38F9"/>
    <w:rsid w:val="00DA41D4"/>
    <w:rsid w:val="00DA5ABC"/>
    <w:rsid w:val="00DA6E6D"/>
    <w:rsid w:val="00DA776D"/>
    <w:rsid w:val="00DA7AAB"/>
    <w:rsid w:val="00DA7B8D"/>
    <w:rsid w:val="00DB0557"/>
    <w:rsid w:val="00DB0815"/>
    <w:rsid w:val="00DB1859"/>
    <w:rsid w:val="00DB3EB7"/>
    <w:rsid w:val="00DB5399"/>
    <w:rsid w:val="00DB62D6"/>
    <w:rsid w:val="00DB6676"/>
    <w:rsid w:val="00DB6FFC"/>
    <w:rsid w:val="00DC2ABE"/>
    <w:rsid w:val="00DC44DC"/>
    <w:rsid w:val="00DC48EE"/>
    <w:rsid w:val="00DC59DE"/>
    <w:rsid w:val="00DC6ED6"/>
    <w:rsid w:val="00DC7217"/>
    <w:rsid w:val="00DC79BB"/>
    <w:rsid w:val="00DD11EB"/>
    <w:rsid w:val="00DD13BF"/>
    <w:rsid w:val="00DD1B8B"/>
    <w:rsid w:val="00DD1F32"/>
    <w:rsid w:val="00DD23D6"/>
    <w:rsid w:val="00DD2D28"/>
    <w:rsid w:val="00DD4855"/>
    <w:rsid w:val="00DD75C4"/>
    <w:rsid w:val="00DE1FBA"/>
    <w:rsid w:val="00DE203C"/>
    <w:rsid w:val="00DE2817"/>
    <w:rsid w:val="00DE33D4"/>
    <w:rsid w:val="00DE4550"/>
    <w:rsid w:val="00DE55DE"/>
    <w:rsid w:val="00DE5968"/>
    <w:rsid w:val="00DE6A2A"/>
    <w:rsid w:val="00DF04C2"/>
    <w:rsid w:val="00DF1227"/>
    <w:rsid w:val="00DF131F"/>
    <w:rsid w:val="00DF2C98"/>
    <w:rsid w:val="00DF3B09"/>
    <w:rsid w:val="00DF3C54"/>
    <w:rsid w:val="00DF77FD"/>
    <w:rsid w:val="00DF7AB6"/>
    <w:rsid w:val="00E00C64"/>
    <w:rsid w:val="00E00DCA"/>
    <w:rsid w:val="00E033B7"/>
    <w:rsid w:val="00E038DB"/>
    <w:rsid w:val="00E03920"/>
    <w:rsid w:val="00E03A80"/>
    <w:rsid w:val="00E04CB8"/>
    <w:rsid w:val="00E04FFB"/>
    <w:rsid w:val="00E05EEE"/>
    <w:rsid w:val="00E065DD"/>
    <w:rsid w:val="00E075A8"/>
    <w:rsid w:val="00E078BE"/>
    <w:rsid w:val="00E07D5A"/>
    <w:rsid w:val="00E105EE"/>
    <w:rsid w:val="00E10D91"/>
    <w:rsid w:val="00E134FC"/>
    <w:rsid w:val="00E1436B"/>
    <w:rsid w:val="00E14F22"/>
    <w:rsid w:val="00E151BD"/>
    <w:rsid w:val="00E170FA"/>
    <w:rsid w:val="00E2020E"/>
    <w:rsid w:val="00E20D15"/>
    <w:rsid w:val="00E23E6F"/>
    <w:rsid w:val="00E25A13"/>
    <w:rsid w:val="00E26503"/>
    <w:rsid w:val="00E26F75"/>
    <w:rsid w:val="00E274D2"/>
    <w:rsid w:val="00E3064C"/>
    <w:rsid w:val="00E33007"/>
    <w:rsid w:val="00E34483"/>
    <w:rsid w:val="00E3456D"/>
    <w:rsid w:val="00E406B2"/>
    <w:rsid w:val="00E4110C"/>
    <w:rsid w:val="00E4190D"/>
    <w:rsid w:val="00E445DE"/>
    <w:rsid w:val="00E44987"/>
    <w:rsid w:val="00E44F34"/>
    <w:rsid w:val="00E45859"/>
    <w:rsid w:val="00E47666"/>
    <w:rsid w:val="00E47C2B"/>
    <w:rsid w:val="00E501D5"/>
    <w:rsid w:val="00E504E9"/>
    <w:rsid w:val="00E507A9"/>
    <w:rsid w:val="00E50872"/>
    <w:rsid w:val="00E5253D"/>
    <w:rsid w:val="00E53860"/>
    <w:rsid w:val="00E5435C"/>
    <w:rsid w:val="00E554E7"/>
    <w:rsid w:val="00E5688C"/>
    <w:rsid w:val="00E57C72"/>
    <w:rsid w:val="00E6033F"/>
    <w:rsid w:val="00E60AEE"/>
    <w:rsid w:val="00E61469"/>
    <w:rsid w:val="00E632D8"/>
    <w:rsid w:val="00E6547E"/>
    <w:rsid w:val="00E65E36"/>
    <w:rsid w:val="00E669A1"/>
    <w:rsid w:val="00E67104"/>
    <w:rsid w:val="00E67625"/>
    <w:rsid w:val="00E700D9"/>
    <w:rsid w:val="00E75FF6"/>
    <w:rsid w:val="00E769E5"/>
    <w:rsid w:val="00E77A6F"/>
    <w:rsid w:val="00E81FB9"/>
    <w:rsid w:val="00E82687"/>
    <w:rsid w:val="00E8390A"/>
    <w:rsid w:val="00E83A3B"/>
    <w:rsid w:val="00E8537C"/>
    <w:rsid w:val="00E901BA"/>
    <w:rsid w:val="00E901D7"/>
    <w:rsid w:val="00E90682"/>
    <w:rsid w:val="00E9172D"/>
    <w:rsid w:val="00E91BD8"/>
    <w:rsid w:val="00E922BE"/>
    <w:rsid w:val="00E9258D"/>
    <w:rsid w:val="00E9268E"/>
    <w:rsid w:val="00E92B00"/>
    <w:rsid w:val="00E9368B"/>
    <w:rsid w:val="00E94D9A"/>
    <w:rsid w:val="00E953FA"/>
    <w:rsid w:val="00E97E28"/>
    <w:rsid w:val="00EA1153"/>
    <w:rsid w:val="00EA39D1"/>
    <w:rsid w:val="00EA484D"/>
    <w:rsid w:val="00EA4A96"/>
    <w:rsid w:val="00EA7309"/>
    <w:rsid w:val="00EB1A14"/>
    <w:rsid w:val="00EB36FB"/>
    <w:rsid w:val="00EB3B0A"/>
    <w:rsid w:val="00EB3DAC"/>
    <w:rsid w:val="00EB4093"/>
    <w:rsid w:val="00EB415D"/>
    <w:rsid w:val="00EB4215"/>
    <w:rsid w:val="00EB46F3"/>
    <w:rsid w:val="00EB4958"/>
    <w:rsid w:val="00EB5A7C"/>
    <w:rsid w:val="00EB699F"/>
    <w:rsid w:val="00EC0EBC"/>
    <w:rsid w:val="00EC1371"/>
    <w:rsid w:val="00EC2445"/>
    <w:rsid w:val="00EC32E0"/>
    <w:rsid w:val="00EC33B2"/>
    <w:rsid w:val="00EC351A"/>
    <w:rsid w:val="00EC3796"/>
    <w:rsid w:val="00EC41A4"/>
    <w:rsid w:val="00EC5D78"/>
    <w:rsid w:val="00EC6563"/>
    <w:rsid w:val="00EC7294"/>
    <w:rsid w:val="00EC7555"/>
    <w:rsid w:val="00EC7728"/>
    <w:rsid w:val="00ED0109"/>
    <w:rsid w:val="00ED0680"/>
    <w:rsid w:val="00ED109F"/>
    <w:rsid w:val="00ED10A6"/>
    <w:rsid w:val="00ED15DF"/>
    <w:rsid w:val="00ED27B9"/>
    <w:rsid w:val="00ED2905"/>
    <w:rsid w:val="00ED3746"/>
    <w:rsid w:val="00ED3D65"/>
    <w:rsid w:val="00ED7E7A"/>
    <w:rsid w:val="00EE0D8C"/>
    <w:rsid w:val="00EE149D"/>
    <w:rsid w:val="00EE172B"/>
    <w:rsid w:val="00EE1936"/>
    <w:rsid w:val="00EE19BC"/>
    <w:rsid w:val="00EE19C1"/>
    <w:rsid w:val="00EE3F56"/>
    <w:rsid w:val="00EE4BB2"/>
    <w:rsid w:val="00EE560A"/>
    <w:rsid w:val="00EE5B43"/>
    <w:rsid w:val="00EE6B47"/>
    <w:rsid w:val="00EE733B"/>
    <w:rsid w:val="00EE7B6D"/>
    <w:rsid w:val="00EF0C45"/>
    <w:rsid w:val="00EF13A5"/>
    <w:rsid w:val="00EF1724"/>
    <w:rsid w:val="00EF1AA9"/>
    <w:rsid w:val="00EF1B4E"/>
    <w:rsid w:val="00EF1CC2"/>
    <w:rsid w:val="00EF5079"/>
    <w:rsid w:val="00EF7A77"/>
    <w:rsid w:val="00EF7DE3"/>
    <w:rsid w:val="00F006C9"/>
    <w:rsid w:val="00F02F54"/>
    <w:rsid w:val="00F03638"/>
    <w:rsid w:val="00F039ED"/>
    <w:rsid w:val="00F03F16"/>
    <w:rsid w:val="00F0620D"/>
    <w:rsid w:val="00F06512"/>
    <w:rsid w:val="00F07B41"/>
    <w:rsid w:val="00F07ECC"/>
    <w:rsid w:val="00F10116"/>
    <w:rsid w:val="00F1120E"/>
    <w:rsid w:val="00F11B23"/>
    <w:rsid w:val="00F1344F"/>
    <w:rsid w:val="00F13850"/>
    <w:rsid w:val="00F13A34"/>
    <w:rsid w:val="00F146CB"/>
    <w:rsid w:val="00F1488C"/>
    <w:rsid w:val="00F14B1E"/>
    <w:rsid w:val="00F14E6F"/>
    <w:rsid w:val="00F15D92"/>
    <w:rsid w:val="00F220EF"/>
    <w:rsid w:val="00F2298C"/>
    <w:rsid w:val="00F24CF2"/>
    <w:rsid w:val="00F25235"/>
    <w:rsid w:val="00F254F6"/>
    <w:rsid w:val="00F25DCB"/>
    <w:rsid w:val="00F3022D"/>
    <w:rsid w:val="00F30708"/>
    <w:rsid w:val="00F31B3B"/>
    <w:rsid w:val="00F31E35"/>
    <w:rsid w:val="00F3228A"/>
    <w:rsid w:val="00F32B58"/>
    <w:rsid w:val="00F3395E"/>
    <w:rsid w:val="00F33A72"/>
    <w:rsid w:val="00F3415D"/>
    <w:rsid w:val="00F35699"/>
    <w:rsid w:val="00F35E81"/>
    <w:rsid w:val="00F363F1"/>
    <w:rsid w:val="00F37256"/>
    <w:rsid w:val="00F3779E"/>
    <w:rsid w:val="00F427FA"/>
    <w:rsid w:val="00F43CFC"/>
    <w:rsid w:val="00F43DFC"/>
    <w:rsid w:val="00F45E5A"/>
    <w:rsid w:val="00F5197E"/>
    <w:rsid w:val="00F542F9"/>
    <w:rsid w:val="00F54740"/>
    <w:rsid w:val="00F57A3E"/>
    <w:rsid w:val="00F62899"/>
    <w:rsid w:val="00F63323"/>
    <w:rsid w:val="00F637A9"/>
    <w:rsid w:val="00F63A4A"/>
    <w:rsid w:val="00F63E31"/>
    <w:rsid w:val="00F643BE"/>
    <w:rsid w:val="00F645AE"/>
    <w:rsid w:val="00F67D00"/>
    <w:rsid w:val="00F67D2C"/>
    <w:rsid w:val="00F70011"/>
    <w:rsid w:val="00F71F68"/>
    <w:rsid w:val="00F720FA"/>
    <w:rsid w:val="00F7264D"/>
    <w:rsid w:val="00F733B2"/>
    <w:rsid w:val="00F75B5C"/>
    <w:rsid w:val="00F75DF6"/>
    <w:rsid w:val="00F769CD"/>
    <w:rsid w:val="00F772EA"/>
    <w:rsid w:val="00F77698"/>
    <w:rsid w:val="00F776DA"/>
    <w:rsid w:val="00F77A8B"/>
    <w:rsid w:val="00F83958"/>
    <w:rsid w:val="00F83BC2"/>
    <w:rsid w:val="00F83EBA"/>
    <w:rsid w:val="00F849D8"/>
    <w:rsid w:val="00F84ED2"/>
    <w:rsid w:val="00F87654"/>
    <w:rsid w:val="00F877AC"/>
    <w:rsid w:val="00F90290"/>
    <w:rsid w:val="00F90D12"/>
    <w:rsid w:val="00F915B8"/>
    <w:rsid w:val="00F91B3B"/>
    <w:rsid w:val="00F94EC0"/>
    <w:rsid w:val="00F976C6"/>
    <w:rsid w:val="00FA0C52"/>
    <w:rsid w:val="00FA160F"/>
    <w:rsid w:val="00FA215D"/>
    <w:rsid w:val="00FA2451"/>
    <w:rsid w:val="00FA3779"/>
    <w:rsid w:val="00FA457D"/>
    <w:rsid w:val="00FA4F78"/>
    <w:rsid w:val="00FA6E33"/>
    <w:rsid w:val="00FA72B1"/>
    <w:rsid w:val="00FB406F"/>
    <w:rsid w:val="00FB78D0"/>
    <w:rsid w:val="00FB7E5B"/>
    <w:rsid w:val="00FC3C19"/>
    <w:rsid w:val="00FC44B4"/>
    <w:rsid w:val="00FC479C"/>
    <w:rsid w:val="00FC6E57"/>
    <w:rsid w:val="00FC7151"/>
    <w:rsid w:val="00FD028F"/>
    <w:rsid w:val="00FD0C02"/>
    <w:rsid w:val="00FD1FCF"/>
    <w:rsid w:val="00FD281E"/>
    <w:rsid w:val="00FD282F"/>
    <w:rsid w:val="00FD6EAA"/>
    <w:rsid w:val="00FD7643"/>
    <w:rsid w:val="00FE0ABB"/>
    <w:rsid w:val="00FE141F"/>
    <w:rsid w:val="00FE1BAE"/>
    <w:rsid w:val="00FE1EE7"/>
    <w:rsid w:val="00FE20F0"/>
    <w:rsid w:val="00FE41F6"/>
    <w:rsid w:val="00FE5A19"/>
    <w:rsid w:val="00FE7911"/>
    <w:rsid w:val="00FF1735"/>
    <w:rsid w:val="00FF30EC"/>
    <w:rsid w:val="00FF31C9"/>
    <w:rsid w:val="00FF3D51"/>
    <w:rsid w:val="00FF663F"/>
    <w:rsid w:val="00FF6AFA"/>
    <w:rsid w:val="00FF70E8"/>
    <w:rsid w:val="00FF7AE0"/>
    <w:rsid w:val="00FF7AF0"/>
    <w:rsid w:val="00FF7D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529"/>
  <w15:chartTrackingRefBased/>
  <w15:docId w15:val="{E63524B8-8CBB-964F-9110-200DCF77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5C7AE-C081-4A33-BD67-49B539F85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5264</Words>
  <Characters>30010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Nomakorinte Ntliziywana</cp:lastModifiedBy>
  <cp:revision>2</cp:revision>
  <dcterms:created xsi:type="dcterms:W3CDTF">2022-08-30T11:43:00Z</dcterms:created>
  <dcterms:modified xsi:type="dcterms:W3CDTF">2022-08-30T11:43:00Z</dcterms:modified>
</cp:coreProperties>
</file>