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7A866" w14:textId="77777777" w:rsidR="002C41B4" w:rsidRDefault="002C41B4" w:rsidP="002C41B4">
      <w:pPr>
        <w:spacing w:line="480" w:lineRule="auto"/>
        <w:jc w:val="center"/>
        <w:rPr>
          <w:rFonts w:ascii="Arial" w:hAnsi="Arial" w:cs="Arial"/>
          <w:b/>
          <w:sz w:val="24"/>
          <w:szCs w:val="24"/>
        </w:rPr>
      </w:pPr>
      <w:r>
        <w:rPr>
          <w:rFonts w:ascii="Arial" w:hAnsi="Arial" w:cs="Arial"/>
          <w:b/>
          <w:noProof/>
          <w:sz w:val="24"/>
          <w:szCs w:val="24"/>
          <w:lang w:eastAsia="en-ZA"/>
        </w:rPr>
        <w:drawing>
          <wp:inline distT="0" distB="0" distL="0" distR="0" wp14:anchorId="5A647EF9" wp14:editId="5C67E9DA">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Pr>
          <w:noProof/>
          <w:lang w:eastAsia="en-ZA"/>
        </w:rPr>
        <mc:AlternateContent>
          <mc:Choice Requires="wps">
            <w:drawing>
              <wp:inline distT="0" distB="0" distL="0" distR="0" wp14:anchorId="19833068" wp14:editId="58E4C1F3">
                <wp:extent cx="301625" cy="301625"/>
                <wp:effectExtent l="0" t="0" r="0" b="0"/>
                <wp:docPr id="2" name="AutoShap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010DBA" id="AutoShape 3"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sidRPr="00D275D6">
        <w:rPr>
          <w:rFonts w:ascii="Arial" w:hAnsi="Arial" w:cs="Arial"/>
          <w:b/>
          <w:noProof/>
          <w:sz w:val="24"/>
          <w:szCs w:val="24"/>
          <w:lang w:eastAsia="en-ZA"/>
        </w:rPr>
        <mc:AlternateContent>
          <mc:Choice Requires="wps">
            <w:drawing>
              <wp:inline distT="0" distB="0" distL="0" distR="0" wp14:anchorId="5AF15BA5" wp14:editId="7855B702">
                <wp:extent cx="301625" cy="301625"/>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779098" id="Rectangle 1"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5B340D39" w14:textId="77777777" w:rsidR="002C41B4" w:rsidRPr="002322FF" w:rsidRDefault="002C41B4" w:rsidP="002C41B4">
      <w:pPr>
        <w:jc w:val="center"/>
        <w:rPr>
          <w:rFonts w:ascii="Arial" w:hAnsi="Arial" w:cs="Arial"/>
          <w:b/>
          <w:sz w:val="24"/>
          <w:szCs w:val="24"/>
        </w:rPr>
      </w:pPr>
      <w:r w:rsidRPr="002322FF">
        <w:rPr>
          <w:rFonts w:ascii="Arial" w:hAnsi="Arial" w:cs="Arial"/>
          <w:b/>
          <w:sz w:val="24"/>
          <w:szCs w:val="24"/>
        </w:rPr>
        <w:t>IN THE HIGH COURT OF SOUTH AFRICA</w:t>
      </w:r>
    </w:p>
    <w:p w14:paraId="76EC1813" w14:textId="77777777" w:rsidR="002C41B4" w:rsidRPr="002322FF" w:rsidRDefault="002C41B4" w:rsidP="002C41B4">
      <w:pPr>
        <w:spacing w:line="600" w:lineRule="auto"/>
        <w:jc w:val="center"/>
        <w:rPr>
          <w:rFonts w:ascii="Arial" w:hAnsi="Arial" w:cs="Arial"/>
          <w:b/>
          <w:sz w:val="24"/>
          <w:szCs w:val="24"/>
        </w:rPr>
      </w:pPr>
      <w:r w:rsidRPr="002322FF">
        <w:rPr>
          <w:rFonts w:ascii="Arial" w:hAnsi="Arial" w:cs="Arial"/>
          <w:b/>
          <w:sz w:val="24"/>
          <w:szCs w:val="24"/>
        </w:rPr>
        <w:t>(EASTERN CAPE DIVISION, GQEBERHA)</w:t>
      </w:r>
    </w:p>
    <w:p w14:paraId="19F1644E" w14:textId="77777777" w:rsidR="002C41B4" w:rsidRPr="005E0A83" w:rsidRDefault="002C41B4" w:rsidP="002C41B4">
      <w:pPr>
        <w:pStyle w:val="GW11"/>
        <w:tabs>
          <w:tab w:val="clear" w:pos="6048"/>
          <w:tab w:val="left" w:pos="4820"/>
          <w:tab w:val="left" w:pos="9071"/>
        </w:tabs>
        <w:ind w:right="-45"/>
        <w:jc w:val="righ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t xml:space="preserve">     Case No. </w:t>
      </w:r>
      <w:r>
        <w:rPr>
          <w:rFonts w:ascii="Arial" w:hAnsi="Arial" w:cs="Arial"/>
          <w:szCs w:val="24"/>
        </w:rPr>
        <w:t>2596/2020</w:t>
      </w:r>
    </w:p>
    <w:p w14:paraId="5CA1C080" w14:textId="77777777" w:rsidR="002C41B4" w:rsidRPr="005E0A83" w:rsidRDefault="002C41B4" w:rsidP="002C41B4">
      <w:pPr>
        <w:pStyle w:val="GW11"/>
        <w:tabs>
          <w:tab w:val="clear" w:pos="4464"/>
          <w:tab w:val="clear" w:pos="6048"/>
          <w:tab w:val="left" w:pos="4820"/>
          <w:tab w:val="left" w:pos="5103"/>
          <w:tab w:val="left" w:pos="9071"/>
        </w:tabs>
        <w:ind w:left="720" w:right="-45"/>
        <w:jc w:val="lef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r>
    </w:p>
    <w:p w14:paraId="4462E93C" w14:textId="184839AE" w:rsidR="002C41B4" w:rsidRPr="005E0A83" w:rsidRDefault="002C41B4" w:rsidP="002C41B4">
      <w:pPr>
        <w:pStyle w:val="GW11"/>
        <w:tabs>
          <w:tab w:val="clear" w:pos="4464"/>
          <w:tab w:val="clear" w:pos="6048"/>
          <w:tab w:val="left" w:pos="4820"/>
          <w:tab w:val="left" w:pos="5103"/>
          <w:tab w:val="left" w:pos="9071"/>
        </w:tabs>
        <w:ind w:right="-45"/>
        <w:jc w:val="left"/>
        <w:rPr>
          <w:rFonts w:ascii="Arial" w:hAnsi="Arial" w:cs="Arial"/>
          <w:szCs w:val="24"/>
        </w:rPr>
      </w:pPr>
      <w:r w:rsidRPr="005E0A83">
        <w:rPr>
          <w:rFonts w:ascii="Arial" w:hAnsi="Arial" w:cs="Arial"/>
          <w:szCs w:val="24"/>
        </w:rPr>
        <w:t xml:space="preserve">In the matter </w:t>
      </w:r>
      <w:bookmarkStart w:id="0" w:name="_GoBack"/>
      <w:bookmarkEnd w:id="0"/>
      <w:r w:rsidR="00D24CC0" w:rsidRPr="005E0A83">
        <w:rPr>
          <w:rFonts w:ascii="Arial" w:hAnsi="Arial" w:cs="Arial"/>
          <w:szCs w:val="24"/>
        </w:rPr>
        <w:t>between: -</w:t>
      </w:r>
    </w:p>
    <w:p w14:paraId="219A6A81" w14:textId="21BA2A06" w:rsidR="002C41B4" w:rsidRDefault="002C41B4" w:rsidP="002C41B4">
      <w:pPr>
        <w:pStyle w:val="GW11"/>
        <w:rPr>
          <w:rFonts w:ascii="Arial" w:hAnsi="Arial" w:cs="Arial"/>
          <w:szCs w:val="24"/>
        </w:rPr>
      </w:pPr>
    </w:p>
    <w:p w14:paraId="393E0812" w14:textId="6380EDBC" w:rsidR="00303A9D" w:rsidRDefault="00303A9D" w:rsidP="00303A9D">
      <w:pPr>
        <w:pStyle w:val="GW12"/>
        <w:tabs>
          <w:tab w:val="clear" w:pos="6048"/>
          <w:tab w:val="clear" w:pos="8640"/>
          <w:tab w:val="right" w:pos="8931"/>
        </w:tabs>
        <w:ind w:right="-46"/>
        <w:rPr>
          <w:rFonts w:ascii="Arial" w:hAnsi="Arial" w:cs="Arial"/>
          <w:szCs w:val="24"/>
        </w:rPr>
      </w:pPr>
      <w:r w:rsidRPr="005E0A83">
        <w:rPr>
          <w:rFonts w:ascii="Arial" w:hAnsi="Arial" w:cs="Arial"/>
          <w:b/>
          <w:szCs w:val="24"/>
        </w:rPr>
        <w:t>THE</w:t>
      </w:r>
      <w:r>
        <w:rPr>
          <w:rFonts w:ascii="Arial" w:hAnsi="Arial" w:cs="Arial"/>
          <w:b/>
          <w:szCs w:val="24"/>
        </w:rPr>
        <w:t xml:space="preserve"> MINISTER OF</w:t>
      </w:r>
      <w:r w:rsidRPr="005E0A83">
        <w:rPr>
          <w:rFonts w:ascii="Arial" w:hAnsi="Arial" w:cs="Arial"/>
          <w:b/>
          <w:szCs w:val="24"/>
        </w:rPr>
        <w:t xml:space="preserve"> PUBLIC</w:t>
      </w:r>
      <w:r>
        <w:rPr>
          <w:rFonts w:ascii="Arial" w:hAnsi="Arial" w:cs="Arial"/>
          <w:b/>
          <w:szCs w:val="24"/>
        </w:rPr>
        <w:t xml:space="preserve"> WORKS AND</w:t>
      </w:r>
      <w:r w:rsidRPr="005E0A83">
        <w:rPr>
          <w:rFonts w:ascii="Arial" w:hAnsi="Arial" w:cs="Arial"/>
          <w:b/>
          <w:szCs w:val="24"/>
        </w:rPr>
        <w:t xml:space="preserve">                   </w:t>
      </w:r>
      <w:r>
        <w:rPr>
          <w:rFonts w:ascii="Arial" w:hAnsi="Arial" w:cs="Arial"/>
          <w:b/>
          <w:szCs w:val="24"/>
        </w:rPr>
        <w:t xml:space="preserve">                         </w:t>
      </w:r>
      <w:r w:rsidRPr="005E0A83">
        <w:rPr>
          <w:rFonts w:ascii="Arial" w:hAnsi="Arial" w:cs="Arial"/>
          <w:b/>
          <w:szCs w:val="24"/>
        </w:rPr>
        <w:t xml:space="preserve"> </w:t>
      </w:r>
      <w:r w:rsidRPr="005E0A83">
        <w:rPr>
          <w:rFonts w:ascii="Arial" w:hAnsi="Arial" w:cs="Arial"/>
          <w:szCs w:val="24"/>
        </w:rPr>
        <w:t xml:space="preserve">First </w:t>
      </w:r>
      <w:r>
        <w:rPr>
          <w:rFonts w:ascii="Arial" w:hAnsi="Arial" w:cs="Arial"/>
          <w:szCs w:val="24"/>
        </w:rPr>
        <w:t>Applicant</w:t>
      </w:r>
    </w:p>
    <w:p w14:paraId="1BC86A0A" w14:textId="77777777" w:rsidR="00303A9D" w:rsidRDefault="00303A9D" w:rsidP="00303A9D">
      <w:pPr>
        <w:pStyle w:val="GW12"/>
        <w:tabs>
          <w:tab w:val="clear" w:pos="6048"/>
          <w:tab w:val="clear" w:pos="8640"/>
          <w:tab w:val="right" w:pos="8931"/>
        </w:tabs>
        <w:ind w:right="-46"/>
        <w:rPr>
          <w:rFonts w:ascii="Arial" w:hAnsi="Arial" w:cs="Arial"/>
          <w:b/>
          <w:szCs w:val="24"/>
        </w:rPr>
      </w:pPr>
      <w:r>
        <w:rPr>
          <w:rFonts w:ascii="Arial" w:hAnsi="Arial" w:cs="Arial"/>
          <w:b/>
          <w:szCs w:val="24"/>
        </w:rPr>
        <w:t>INFRASTRUCTURE</w:t>
      </w:r>
    </w:p>
    <w:p w14:paraId="7298D0C1" w14:textId="77777777" w:rsidR="00303A9D" w:rsidRPr="005E0A83" w:rsidRDefault="00303A9D" w:rsidP="00303A9D">
      <w:pPr>
        <w:pStyle w:val="GW12"/>
        <w:tabs>
          <w:tab w:val="clear" w:pos="6048"/>
          <w:tab w:val="clear" w:pos="8640"/>
          <w:tab w:val="right" w:pos="8931"/>
        </w:tabs>
        <w:ind w:right="-46"/>
        <w:rPr>
          <w:rFonts w:ascii="Arial" w:hAnsi="Arial" w:cs="Arial"/>
          <w:szCs w:val="24"/>
        </w:rPr>
      </w:pPr>
    </w:p>
    <w:p w14:paraId="6B8D751F" w14:textId="5235E60F" w:rsidR="00303A9D" w:rsidRDefault="00303A9D" w:rsidP="00303A9D">
      <w:pPr>
        <w:pStyle w:val="GW12"/>
        <w:tabs>
          <w:tab w:val="clear" w:pos="6048"/>
          <w:tab w:val="clear" w:pos="8640"/>
          <w:tab w:val="right" w:pos="9072"/>
        </w:tabs>
        <w:ind w:right="-46"/>
        <w:rPr>
          <w:rFonts w:ascii="Arial" w:hAnsi="Arial" w:cs="Arial"/>
          <w:b/>
          <w:bCs/>
          <w:szCs w:val="24"/>
        </w:rPr>
      </w:pPr>
      <w:r>
        <w:rPr>
          <w:rFonts w:ascii="Arial" w:hAnsi="Arial" w:cs="Arial"/>
          <w:b/>
          <w:bCs/>
          <w:szCs w:val="24"/>
        </w:rPr>
        <w:t xml:space="preserve">THE MINISTER OF JUSTICE AND CORRECTIONAL                         </w:t>
      </w:r>
      <w:r w:rsidRPr="005E0A83">
        <w:rPr>
          <w:rFonts w:ascii="Arial" w:hAnsi="Arial" w:cs="Arial"/>
          <w:szCs w:val="24"/>
        </w:rPr>
        <w:t xml:space="preserve">Second </w:t>
      </w:r>
      <w:r>
        <w:rPr>
          <w:rFonts w:ascii="Arial" w:hAnsi="Arial" w:cs="Arial"/>
          <w:szCs w:val="24"/>
        </w:rPr>
        <w:t>Applicant</w:t>
      </w:r>
    </w:p>
    <w:p w14:paraId="2CD30D97" w14:textId="77777777" w:rsidR="00303A9D" w:rsidRPr="005E0A83" w:rsidRDefault="00303A9D" w:rsidP="00303A9D">
      <w:pPr>
        <w:pStyle w:val="GW12"/>
        <w:tabs>
          <w:tab w:val="clear" w:pos="6048"/>
          <w:tab w:val="clear" w:pos="8640"/>
          <w:tab w:val="right" w:pos="9072"/>
        </w:tabs>
        <w:ind w:right="-46"/>
        <w:rPr>
          <w:rFonts w:ascii="Arial" w:hAnsi="Arial" w:cs="Arial"/>
          <w:b/>
          <w:bCs/>
          <w:szCs w:val="24"/>
        </w:rPr>
      </w:pPr>
      <w:r>
        <w:rPr>
          <w:rFonts w:ascii="Arial" w:hAnsi="Arial" w:cs="Arial"/>
          <w:b/>
          <w:bCs/>
          <w:szCs w:val="24"/>
        </w:rPr>
        <w:t>SERVICES</w:t>
      </w:r>
      <w:r w:rsidRPr="005E0A83">
        <w:rPr>
          <w:rFonts w:ascii="Arial" w:hAnsi="Arial" w:cs="Arial"/>
          <w:b/>
          <w:bCs/>
          <w:szCs w:val="24"/>
        </w:rPr>
        <w:t xml:space="preserve">  </w:t>
      </w:r>
      <w:r w:rsidRPr="005E0A83">
        <w:rPr>
          <w:rFonts w:ascii="Arial" w:hAnsi="Arial" w:cs="Arial"/>
          <w:b/>
          <w:bCs/>
          <w:szCs w:val="24"/>
        </w:rPr>
        <w:tab/>
        <w:t xml:space="preserve"> </w:t>
      </w:r>
      <w:r w:rsidRPr="005E0A83">
        <w:rPr>
          <w:rFonts w:ascii="Arial" w:hAnsi="Arial" w:cs="Arial"/>
          <w:b/>
          <w:bCs/>
          <w:szCs w:val="24"/>
        </w:rPr>
        <w:tab/>
      </w:r>
    </w:p>
    <w:p w14:paraId="3431A651" w14:textId="77777777" w:rsidR="002C41B4" w:rsidRPr="005E0A83" w:rsidRDefault="002C41B4" w:rsidP="002C41B4">
      <w:pPr>
        <w:pStyle w:val="GW11"/>
        <w:rPr>
          <w:rFonts w:ascii="Arial" w:hAnsi="Arial" w:cs="Arial"/>
          <w:szCs w:val="24"/>
        </w:rPr>
      </w:pPr>
    </w:p>
    <w:p w14:paraId="6FC631B6" w14:textId="77777777" w:rsidR="002C41B4" w:rsidRPr="005E0A83" w:rsidRDefault="002C41B4" w:rsidP="002C41B4">
      <w:pPr>
        <w:pStyle w:val="GW11"/>
        <w:rPr>
          <w:rFonts w:ascii="Arial" w:hAnsi="Arial" w:cs="Arial"/>
          <w:szCs w:val="24"/>
        </w:rPr>
      </w:pPr>
      <w:r w:rsidRPr="005E0A83">
        <w:rPr>
          <w:rFonts w:ascii="Arial" w:hAnsi="Arial" w:cs="Arial"/>
          <w:szCs w:val="24"/>
        </w:rPr>
        <w:t>and</w:t>
      </w:r>
    </w:p>
    <w:p w14:paraId="216E0D7A" w14:textId="22248367" w:rsidR="002C41B4" w:rsidRDefault="002C41B4" w:rsidP="002C41B4">
      <w:pPr>
        <w:pStyle w:val="GW12"/>
        <w:tabs>
          <w:tab w:val="clear" w:pos="8640"/>
          <w:tab w:val="right" w:pos="9072"/>
        </w:tabs>
        <w:ind w:right="471"/>
        <w:rPr>
          <w:rFonts w:ascii="Arial" w:hAnsi="Arial" w:cs="Arial"/>
          <w:b/>
          <w:szCs w:val="24"/>
        </w:rPr>
      </w:pPr>
      <w:r w:rsidRPr="005E0A83">
        <w:rPr>
          <w:rFonts w:ascii="Arial" w:hAnsi="Arial" w:cs="Arial"/>
          <w:b/>
          <w:szCs w:val="24"/>
        </w:rPr>
        <w:t xml:space="preserve"> </w:t>
      </w:r>
    </w:p>
    <w:p w14:paraId="2298CF12" w14:textId="1FB272CE" w:rsidR="00303A9D" w:rsidRPr="005E0A83" w:rsidRDefault="00303A9D" w:rsidP="00303A9D">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LINEEN SWARTS</w:t>
      </w:r>
      <w:r w:rsidRPr="005E0A83">
        <w:rPr>
          <w:rFonts w:ascii="Arial" w:hAnsi="Arial" w:cs="Arial"/>
          <w:b/>
          <w:szCs w:val="24"/>
        </w:rPr>
        <w:t xml:space="preserve">                                                                                  </w:t>
      </w:r>
      <w:r>
        <w:rPr>
          <w:rFonts w:ascii="Arial" w:hAnsi="Arial" w:cs="Arial"/>
          <w:b/>
          <w:szCs w:val="24"/>
        </w:rPr>
        <w:t xml:space="preserve">    </w:t>
      </w:r>
      <w:r>
        <w:rPr>
          <w:rFonts w:ascii="Arial" w:hAnsi="Arial" w:cs="Arial"/>
          <w:bCs/>
          <w:szCs w:val="24"/>
        </w:rPr>
        <w:t>Respondent</w:t>
      </w:r>
    </w:p>
    <w:p w14:paraId="08F34231" w14:textId="77777777" w:rsidR="002C41B4" w:rsidRPr="005E0A83" w:rsidRDefault="002C41B4" w:rsidP="002C41B4">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773F0127" w14:textId="77777777" w:rsidR="002C41B4" w:rsidRPr="005E0A83" w:rsidRDefault="002C41B4" w:rsidP="002C41B4">
      <w:pPr>
        <w:pStyle w:val="GW13"/>
        <w:tabs>
          <w:tab w:val="clear" w:pos="8640"/>
        </w:tabs>
        <w:spacing w:line="240" w:lineRule="auto"/>
        <w:ind w:right="-45"/>
        <w:jc w:val="center"/>
        <w:rPr>
          <w:rFonts w:ascii="Arial" w:hAnsi="Arial" w:cs="Arial"/>
          <w:b/>
          <w:szCs w:val="24"/>
        </w:rPr>
      </w:pPr>
    </w:p>
    <w:p w14:paraId="471C2D94" w14:textId="77777777" w:rsidR="002C41B4" w:rsidRPr="005E0A83" w:rsidRDefault="002C41B4" w:rsidP="002C41B4">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Coram: </w:t>
      </w:r>
      <w:r w:rsidRPr="005E0A83">
        <w:rPr>
          <w:rFonts w:ascii="Arial" w:hAnsi="Arial" w:cs="Arial"/>
          <w:szCs w:val="24"/>
        </w:rPr>
        <w:tab/>
      </w:r>
      <w:r w:rsidRPr="005E0A83">
        <w:rPr>
          <w:rFonts w:ascii="Arial" w:hAnsi="Arial" w:cs="Arial"/>
          <w:szCs w:val="24"/>
        </w:rPr>
        <w:tab/>
        <w:t>Bands AJ</w:t>
      </w:r>
    </w:p>
    <w:p w14:paraId="1F0D5CB6" w14:textId="24E44826" w:rsidR="002C41B4" w:rsidRPr="005E0A83" w:rsidRDefault="002C41B4" w:rsidP="002C41B4">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Date heard: </w:t>
      </w:r>
      <w:r w:rsidRPr="005E0A83">
        <w:rPr>
          <w:rFonts w:ascii="Arial" w:hAnsi="Arial" w:cs="Arial"/>
          <w:szCs w:val="24"/>
        </w:rPr>
        <w:tab/>
      </w:r>
      <w:r>
        <w:rPr>
          <w:rFonts w:ascii="Arial" w:hAnsi="Arial" w:cs="Arial"/>
          <w:szCs w:val="24"/>
        </w:rPr>
        <w:t>7 September 2022</w:t>
      </w:r>
    </w:p>
    <w:p w14:paraId="5EAA72B4" w14:textId="588BF991" w:rsidR="002C41B4" w:rsidRPr="005E0A83" w:rsidRDefault="002C41B4" w:rsidP="002C41B4">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Delivered:</w:t>
      </w:r>
      <w:r w:rsidRPr="005E0A83">
        <w:rPr>
          <w:rFonts w:ascii="Arial" w:hAnsi="Arial" w:cs="Arial"/>
          <w:szCs w:val="24"/>
        </w:rPr>
        <w:tab/>
      </w:r>
      <w:r w:rsidRPr="005E0A83">
        <w:rPr>
          <w:rFonts w:ascii="Arial" w:hAnsi="Arial" w:cs="Arial"/>
          <w:szCs w:val="24"/>
        </w:rPr>
        <w:tab/>
      </w:r>
      <w:r>
        <w:rPr>
          <w:rFonts w:ascii="Arial" w:hAnsi="Arial" w:cs="Arial"/>
          <w:szCs w:val="24"/>
        </w:rPr>
        <w:t>9 September</w:t>
      </w:r>
      <w:r w:rsidRPr="005E0A83">
        <w:rPr>
          <w:rFonts w:ascii="Arial" w:hAnsi="Arial" w:cs="Arial"/>
          <w:szCs w:val="24"/>
        </w:rPr>
        <w:t xml:space="preserve"> 2022</w:t>
      </w:r>
    </w:p>
    <w:p w14:paraId="4BFF5342" w14:textId="77777777" w:rsidR="002C41B4" w:rsidRPr="005E0A83" w:rsidRDefault="002C41B4" w:rsidP="002C41B4">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1D29EC16" w14:textId="77777777" w:rsidR="002C41B4" w:rsidRPr="005E0A83" w:rsidRDefault="002C41B4" w:rsidP="002C41B4">
      <w:pPr>
        <w:pStyle w:val="GW13"/>
        <w:tabs>
          <w:tab w:val="clear" w:pos="8640"/>
        </w:tabs>
        <w:spacing w:line="240" w:lineRule="auto"/>
        <w:ind w:right="-45"/>
        <w:jc w:val="center"/>
        <w:rPr>
          <w:rFonts w:ascii="Arial" w:hAnsi="Arial" w:cs="Arial"/>
          <w:b/>
          <w:szCs w:val="24"/>
        </w:rPr>
      </w:pPr>
    </w:p>
    <w:p w14:paraId="6C52CB0D" w14:textId="77777777" w:rsidR="002C41B4" w:rsidRPr="005E0A83" w:rsidRDefault="002C41B4" w:rsidP="002C41B4">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p>
    <w:p w14:paraId="3F44A15E" w14:textId="77777777" w:rsidR="002C41B4" w:rsidRPr="005E0A83" w:rsidRDefault="002C41B4" w:rsidP="002C41B4">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46EF5F80" w14:textId="77777777" w:rsidR="002C41B4" w:rsidRPr="005E0A83" w:rsidRDefault="002C41B4" w:rsidP="002C41B4">
      <w:pPr>
        <w:pStyle w:val="GW13"/>
        <w:tabs>
          <w:tab w:val="clear" w:pos="8640"/>
          <w:tab w:val="right" w:pos="9072"/>
        </w:tabs>
        <w:spacing w:line="480" w:lineRule="auto"/>
        <w:ind w:right="-46"/>
        <w:rPr>
          <w:rFonts w:ascii="Arial" w:hAnsi="Arial" w:cs="Arial"/>
          <w:b/>
          <w:szCs w:val="24"/>
        </w:rPr>
      </w:pPr>
    </w:p>
    <w:p w14:paraId="682F8EDC" w14:textId="77777777" w:rsidR="002C41B4" w:rsidRPr="005E0A83" w:rsidRDefault="002C41B4" w:rsidP="002C41B4">
      <w:pPr>
        <w:pStyle w:val="GW13"/>
        <w:tabs>
          <w:tab w:val="clear" w:pos="8640"/>
          <w:tab w:val="right" w:pos="9072"/>
        </w:tabs>
        <w:spacing w:line="480" w:lineRule="auto"/>
        <w:ind w:right="-46"/>
        <w:rPr>
          <w:rFonts w:ascii="Arial" w:hAnsi="Arial" w:cs="Arial"/>
          <w:b/>
          <w:szCs w:val="24"/>
        </w:rPr>
      </w:pPr>
      <w:r w:rsidRPr="002C41B4">
        <w:rPr>
          <w:rFonts w:ascii="Arial" w:hAnsi="Arial" w:cs="Arial"/>
          <w:b/>
          <w:szCs w:val="24"/>
          <w:u w:val="single"/>
        </w:rPr>
        <w:t>BANDS AJ</w:t>
      </w:r>
      <w:r w:rsidRPr="005E0A83">
        <w:rPr>
          <w:rFonts w:ascii="Arial" w:hAnsi="Arial" w:cs="Arial"/>
          <w:b/>
          <w:szCs w:val="24"/>
        </w:rPr>
        <w:t>:</w:t>
      </w:r>
    </w:p>
    <w:p w14:paraId="03887434" w14:textId="77777777" w:rsidR="002C41B4" w:rsidRPr="005E0A83" w:rsidRDefault="002C41B4" w:rsidP="002C41B4">
      <w:pPr>
        <w:pStyle w:val="ListParagraph"/>
        <w:spacing w:after="0" w:line="480" w:lineRule="auto"/>
        <w:ind w:left="851"/>
        <w:jc w:val="both"/>
        <w:rPr>
          <w:rFonts w:ascii="Arial" w:hAnsi="Arial" w:cs="Arial"/>
          <w:sz w:val="24"/>
          <w:szCs w:val="24"/>
        </w:rPr>
      </w:pPr>
    </w:p>
    <w:p w14:paraId="24DEA00C" w14:textId="3F3C33E7" w:rsidR="002C41B4" w:rsidRDefault="00303A9D" w:rsidP="002C41B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The applicants</w:t>
      </w:r>
      <w:r w:rsidR="008C465E">
        <w:rPr>
          <w:rFonts w:ascii="Arial" w:hAnsi="Arial" w:cs="Arial"/>
          <w:sz w:val="24"/>
          <w:szCs w:val="24"/>
        </w:rPr>
        <w:t>, the defendants in the main action,</w:t>
      </w:r>
      <w:r>
        <w:rPr>
          <w:rFonts w:ascii="Arial" w:hAnsi="Arial" w:cs="Arial"/>
          <w:sz w:val="24"/>
          <w:szCs w:val="24"/>
        </w:rPr>
        <w:t xml:space="preserve"> seek leave to appeal against</w:t>
      </w:r>
      <w:r w:rsidR="008C465E">
        <w:rPr>
          <w:rFonts w:ascii="Arial" w:hAnsi="Arial" w:cs="Arial"/>
          <w:sz w:val="24"/>
          <w:szCs w:val="24"/>
        </w:rPr>
        <w:t xml:space="preserve"> the whole of</w:t>
      </w:r>
      <w:r>
        <w:rPr>
          <w:rFonts w:ascii="Arial" w:hAnsi="Arial" w:cs="Arial"/>
          <w:sz w:val="24"/>
          <w:szCs w:val="24"/>
        </w:rPr>
        <w:t xml:space="preserve"> </w:t>
      </w:r>
      <w:r w:rsidR="009355B6">
        <w:rPr>
          <w:rFonts w:ascii="Arial" w:hAnsi="Arial" w:cs="Arial"/>
          <w:sz w:val="24"/>
          <w:szCs w:val="24"/>
        </w:rPr>
        <w:t xml:space="preserve">my </w:t>
      </w:r>
      <w:r>
        <w:rPr>
          <w:rFonts w:ascii="Arial" w:hAnsi="Arial" w:cs="Arial"/>
          <w:sz w:val="24"/>
          <w:szCs w:val="24"/>
        </w:rPr>
        <w:t>judgment and order</w:t>
      </w:r>
      <w:r w:rsidR="008C465E">
        <w:rPr>
          <w:rFonts w:ascii="Arial" w:hAnsi="Arial" w:cs="Arial"/>
          <w:sz w:val="24"/>
          <w:szCs w:val="24"/>
        </w:rPr>
        <w:t xml:space="preserve"> granted in favour of the respondent</w:t>
      </w:r>
      <w:r w:rsidR="00010CDB">
        <w:rPr>
          <w:rFonts w:ascii="Arial" w:hAnsi="Arial" w:cs="Arial"/>
          <w:sz w:val="24"/>
          <w:szCs w:val="24"/>
        </w:rPr>
        <w:t>, as plaintiff,</w:t>
      </w:r>
      <w:r>
        <w:rPr>
          <w:rFonts w:ascii="Arial" w:hAnsi="Arial" w:cs="Arial"/>
          <w:sz w:val="24"/>
          <w:szCs w:val="24"/>
        </w:rPr>
        <w:t xml:space="preserve"> delivered on 12 August 2022</w:t>
      </w:r>
      <w:r w:rsidR="002C41B4">
        <w:rPr>
          <w:rFonts w:ascii="Arial" w:hAnsi="Arial" w:cs="Arial"/>
          <w:sz w:val="24"/>
          <w:szCs w:val="24"/>
        </w:rPr>
        <w:t xml:space="preserve">.  </w:t>
      </w:r>
    </w:p>
    <w:p w14:paraId="2377D24B" w14:textId="77777777" w:rsidR="009355B6" w:rsidRDefault="009355B6" w:rsidP="009355B6">
      <w:pPr>
        <w:pStyle w:val="ListParagraph"/>
        <w:spacing w:after="0" w:line="480" w:lineRule="auto"/>
        <w:ind w:left="851"/>
        <w:jc w:val="both"/>
        <w:rPr>
          <w:rFonts w:ascii="Arial" w:eastAsia="Times New Roman" w:hAnsi="Arial" w:cs="Arial"/>
          <w:color w:val="242121"/>
          <w:sz w:val="24"/>
          <w:szCs w:val="24"/>
          <w:lang w:eastAsia="en-ZA"/>
        </w:rPr>
      </w:pPr>
    </w:p>
    <w:p w14:paraId="0BAEA5D5" w14:textId="5B6DF106" w:rsidR="002C41B4" w:rsidRDefault="009355B6" w:rsidP="00293D5D">
      <w:pPr>
        <w:pStyle w:val="ListParagraph"/>
        <w:numPr>
          <w:ilvl w:val="0"/>
          <w:numId w:val="1"/>
        </w:numPr>
        <w:spacing w:after="0" w:line="480" w:lineRule="auto"/>
        <w:ind w:left="851" w:hanging="851"/>
        <w:jc w:val="both"/>
        <w:rPr>
          <w:rFonts w:ascii="Arial" w:hAnsi="Arial" w:cs="Arial"/>
          <w:sz w:val="24"/>
          <w:szCs w:val="24"/>
        </w:rPr>
      </w:pPr>
      <w:r w:rsidRPr="00562AA5">
        <w:rPr>
          <w:rFonts w:ascii="Arial" w:eastAsia="Times New Roman" w:hAnsi="Arial" w:cs="Arial"/>
          <w:color w:val="242121"/>
          <w:sz w:val="24"/>
          <w:szCs w:val="24"/>
          <w:lang w:eastAsia="en-ZA"/>
        </w:rPr>
        <w:t>The test to be applied in applications of this nature find</w:t>
      </w:r>
      <w:r w:rsidR="005852A5">
        <w:rPr>
          <w:rFonts w:ascii="Arial" w:eastAsia="Times New Roman" w:hAnsi="Arial" w:cs="Arial"/>
          <w:color w:val="242121"/>
          <w:sz w:val="24"/>
          <w:szCs w:val="24"/>
          <w:lang w:eastAsia="en-ZA"/>
        </w:rPr>
        <w:t>s</w:t>
      </w:r>
      <w:r w:rsidRPr="00562AA5">
        <w:rPr>
          <w:rFonts w:ascii="Arial" w:eastAsia="Times New Roman" w:hAnsi="Arial" w:cs="Arial"/>
          <w:color w:val="242121"/>
          <w:sz w:val="24"/>
          <w:szCs w:val="24"/>
          <w:lang w:eastAsia="en-ZA"/>
        </w:rPr>
        <w:t xml:space="preserve"> legislative expression in </w:t>
      </w:r>
      <w:r w:rsidRPr="00562AA5">
        <w:rPr>
          <w:rFonts w:ascii="Arial" w:hAnsi="Arial" w:cs="Arial"/>
          <w:sz w:val="24"/>
          <w:szCs w:val="24"/>
        </w:rPr>
        <w:t>section 17 of the Superior Courts Act, 10 of 2013</w:t>
      </w:r>
      <w:r w:rsidR="00010CDB">
        <w:rPr>
          <w:rFonts w:ascii="Arial" w:hAnsi="Arial" w:cs="Arial"/>
          <w:sz w:val="24"/>
          <w:szCs w:val="24"/>
        </w:rPr>
        <w:t xml:space="preserve"> (“</w:t>
      </w:r>
      <w:r w:rsidR="00010CDB" w:rsidRPr="00010CDB">
        <w:rPr>
          <w:rFonts w:ascii="Arial" w:hAnsi="Arial" w:cs="Arial"/>
          <w:i/>
          <w:iCs/>
          <w:sz w:val="24"/>
          <w:szCs w:val="24"/>
        </w:rPr>
        <w:t>the Act</w:t>
      </w:r>
      <w:r w:rsidR="00010CDB">
        <w:rPr>
          <w:rFonts w:ascii="Arial" w:hAnsi="Arial" w:cs="Arial"/>
          <w:sz w:val="24"/>
          <w:szCs w:val="24"/>
        </w:rPr>
        <w:t>”)</w:t>
      </w:r>
      <w:r w:rsidRPr="00562AA5">
        <w:rPr>
          <w:rFonts w:ascii="Arial" w:hAnsi="Arial" w:cs="Arial"/>
          <w:sz w:val="24"/>
          <w:szCs w:val="24"/>
        </w:rPr>
        <w:t xml:space="preserve">, which provides that leave to appeal may only be granted where the judge concerned is of the opinion that the appeal would have a reasonable prospect of success, or </w:t>
      </w:r>
      <w:r w:rsidR="00562AA5" w:rsidRPr="00562AA5">
        <w:rPr>
          <w:rFonts w:ascii="Arial" w:hAnsi="Arial" w:cs="Arial"/>
          <w:sz w:val="24"/>
          <w:szCs w:val="24"/>
        </w:rPr>
        <w:t>that there is some other compelling reason why the appeal should be heard, including conflicting judgments on the matter under consideration</w:t>
      </w:r>
      <w:r w:rsidR="00562AA5">
        <w:rPr>
          <w:rFonts w:ascii="Arial" w:hAnsi="Arial" w:cs="Arial"/>
          <w:sz w:val="24"/>
          <w:szCs w:val="24"/>
        </w:rPr>
        <w:t>.</w:t>
      </w:r>
    </w:p>
    <w:p w14:paraId="6D0C4C4F" w14:textId="77777777" w:rsidR="00562AA5" w:rsidRPr="00562AA5" w:rsidRDefault="00562AA5" w:rsidP="00293D5D">
      <w:pPr>
        <w:pStyle w:val="ListParagraph"/>
        <w:spacing w:after="0" w:line="480" w:lineRule="auto"/>
        <w:rPr>
          <w:rFonts w:ascii="Arial" w:hAnsi="Arial" w:cs="Arial"/>
          <w:sz w:val="24"/>
          <w:szCs w:val="24"/>
        </w:rPr>
      </w:pPr>
    </w:p>
    <w:p w14:paraId="70C77B09" w14:textId="728BB924" w:rsidR="00293D5D" w:rsidRPr="00D87131" w:rsidRDefault="00293D5D" w:rsidP="00293D5D">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The Supreme Court of Appeal has on more than one occasion </w:t>
      </w:r>
      <w:r w:rsidRPr="00D87131">
        <w:rPr>
          <w:rFonts w:ascii="Arial" w:hAnsi="Arial" w:cs="Arial"/>
          <w:sz w:val="24"/>
          <w:szCs w:val="24"/>
        </w:rPr>
        <w:t xml:space="preserve">had the opportunity to consider what constitutes </w:t>
      </w:r>
      <w:r>
        <w:rPr>
          <w:rFonts w:ascii="Arial" w:hAnsi="Arial" w:cs="Arial"/>
          <w:sz w:val="24"/>
          <w:szCs w:val="24"/>
        </w:rPr>
        <w:t xml:space="preserve">a </w:t>
      </w:r>
      <w:r w:rsidRPr="00D87131">
        <w:rPr>
          <w:rFonts w:ascii="Arial" w:hAnsi="Arial" w:cs="Arial"/>
          <w:sz w:val="24"/>
          <w:szCs w:val="24"/>
        </w:rPr>
        <w:t>reasonable prospect of success</w:t>
      </w:r>
      <w:r>
        <w:rPr>
          <w:rFonts w:ascii="Arial" w:hAnsi="Arial" w:cs="Arial"/>
          <w:sz w:val="24"/>
          <w:szCs w:val="24"/>
        </w:rPr>
        <w:t>, which is stated to be as follows</w:t>
      </w:r>
      <w:r w:rsidRPr="00D87131">
        <w:rPr>
          <w:rFonts w:ascii="Arial" w:hAnsi="Arial" w:cs="Arial"/>
          <w:sz w:val="24"/>
          <w:szCs w:val="24"/>
        </w:rPr>
        <w:t>:</w:t>
      </w:r>
      <w:r>
        <w:rPr>
          <w:rStyle w:val="FootnoteReference"/>
          <w:rFonts w:ascii="Arial" w:hAnsi="Arial" w:cs="Arial"/>
          <w:sz w:val="24"/>
          <w:szCs w:val="24"/>
        </w:rPr>
        <w:footnoteReference w:id="1"/>
      </w:r>
    </w:p>
    <w:p w14:paraId="4F808C50" w14:textId="77777777" w:rsidR="00293D5D" w:rsidRPr="00293D5D" w:rsidRDefault="00293D5D" w:rsidP="005852A5">
      <w:pPr>
        <w:pStyle w:val="ListParagraph"/>
        <w:spacing w:after="0" w:line="360" w:lineRule="auto"/>
        <w:rPr>
          <w:rFonts w:ascii="Arial" w:hAnsi="Arial" w:cs="Arial"/>
          <w:sz w:val="24"/>
          <w:szCs w:val="24"/>
        </w:rPr>
      </w:pPr>
    </w:p>
    <w:p w14:paraId="40BA0268" w14:textId="458F0B27" w:rsidR="00293D5D" w:rsidRPr="00562AA5" w:rsidRDefault="00293D5D" w:rsidP="00293D5D">
      <w:pPr>
        <w:pStyle w:val="ListParagraph"/>
        <w:spacing w:after="0" w:line="360" w:lineRule="auto"/>
        <w:ind w:left="851"/>
        <w:jc w:val="both"/>
        <w:rPr>
          <w:rFonts w:ascii="Arial" w:hAnsi="Arial" w:cs="Arial"/>
          <w:sz w:val="24"/>
          <w:szCs w:val="24"/>
        </w:rPr>
      </w:pPr>
      <w:r>
        <w:rPr>
          <w:rFonts w:ascii="Arial" w:hAnsi="Arial" w:cs="Arial"/>
          <w:sz w:val="24"/>
          <w:szCs w:val="24"/>
        </w:rPr>
        <w:t>“</w:t>
      </w:r>
      <w:r w:rsidRPr="00293D5D">
        <w:rPr>
          <w:rFonts w:ascii="Arial" w:hAnsi="Arial" w:cs="Arial"/>
          <w:i/>
          <w:iCs/>
          <w:sz w:val="20"/>
          <w:szCs w:val="20"/>
        </w:rPr>
        <w:t>What the test of reasonable prospects of success postulates is a dispassionate decision, based on the facts and the law, that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r>
        <w:rPr>
          <w:rFonts w:ascii="Arial" w:hAnsi="Arial" w:cs="Arial"/>
          <w:sz w:val="24"/>
          <w:szCs w:val="24"/>
        </w:rPr>
        <w:t>”</w:t>
      </w:r>
      <w:r w:rsidRPr="00293D5D">
        <w:rPr>
          <w:rFonts w:ascii="Arial" w:hAnsi="Arial" w:cs="Arial"/>
          <w:sz w:val="24"/>
          <w:szCs w:val="24"/>
        </w:rPr>
        <w:t> </w:t>
      </w:r>
    </w:p>
    <w:p w14:paraId="5B8037D6" w14:textId="0C04BF72" w:rsidR="008C465E" w:rsidRDefault="008C465E" w:rsidP="005852A5">
      <w:pPr>
        <w:pStyle w:val="ListParagraph"/>
        <w:spacing w:after="0" w:line="360" w:lineRule="auto"/>
        <w:ind w:left="851"/>
        <w:jc w:val="both"/>
        <w:rPr>
          <w:rFonts w:ascii="Arial" w:hAnsi="Arial" w:cs="Arial"/>
          <w:sz w:val="24"/>
          <w:szCs w:val="24"/>
        </w:rPr>
      </w:pPr>
    </w:p>
    <w:p w14:paraId="5361F082" w14:textId="107721F2" w:rsidR="00010CDB" w:rsidRDefault="00010CDB" w:rsidP="00010CDB">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 applicants bring their application in terms of sections 17(1)(a)(i) and (ii) of the Act.</w:t>
      </w:r>
    </w:p>
    <w:p w14:paraId="0BD9FEB4" w14:textId="2071EEC7" w:rsidR="008759EF" w:rsidRDefault="00FC5757" w:rsidP="006B4BF9">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It is incumbent upon an applicant, in an application for leave to appeal, to set out the grounds of appeal upon which it relies, clearly and succinctly, in clear and unambiguous terms, so as to enable the court and the respondent to be fully appraised of the case which the applicant seeks to make out and which the respondent is to meet in opposition of the application.</w:t>
      </w:r>
      <w:r w:rsidR="0055173B">
        <w:rPr>
          <w:rStyle w:val="FootnoteReference"/>
          <w:rFonts w:ascii="Arial" w:hAnsi="Arial" w:cs="Arial"/>
          <w:sz w:val="24"/>
          <w:szCs w:val="24"/>
        </w:rPr>
        <w:footnoteReference w:id="2"/>
      </w:r>
      <w:r>
        <w:rPr>
          <w:rFonts w:ascii="Arial" w:hAnsi="Arial" w:cs="Arial"/>
          <w:sz w:val="24"/>
          <w:szCs w:val="24"/>
        </w:rPr>
        <w:t xml:space="preserve">  </w:t>
      </w:r>
      <w:r w:rsidR="003353BB">
        <w:rPr>
          <w:rFonts w:ascii="Arial" w:hAnsi="Arial" w:cs="Arial"/>
          <w:sz w:val="24"/>
          <w:szCs w:val="24"/>
        </w:rPr>
        <w:t xml:space="preserve">The applicants’ notice of application for leave to appeal is not a model of clarity, and in most </w:t>
      </w:r>
      <w:r w:rsidR="00CB02DF">
        <w:rPr>
          <w:rFonts w:ascii="Arial" w:hAnsi="Arial" w:cs="Arial"/>
          <w:sz w:val="24"/>
          <w:szCs w:val="24"/>
        </w:rPr>
        <w:t>instances</w:t>
      </w:r>
      <w:r w:rsidR="003353BB">
        <w:rPr>
          <w:rFonts w:ascii="Arial" w:hAnsi="Arial" w:cs="Arial"/>
          <w:sz w:val="24"/>
          <w:szCs w:val="24"/>
        </w:rPr>
        <w:t xml:space="preserve"> </w:t>
      </w:r>
      <w:r w:rsidR="00CB02DF">
        <w:rPr>
          <w:rFonts w:ascii="Arial" w:hAnsi="Arial" w:cs="Arial"/>
          <w:sz w:val="24"/>
          <w:szCs w:val="24"/>
        </w:rPr>
        <w:t xml:space="preserve">contends </w:t>
      </w:r>
      <w:r w:rsidR="003353BB">
        <w:rPr>
          <w:rFonts w:ascii="Arial" w:hAnsi="Arial" w:cs="Arial"/>
          <w:sz w:val="24"/>
          <w:szCs w:val="24"/>
        </w:rPr>
        <w:t>that the court erred</w:t>
      </w:r>
      <w:r w:rsidR="00CB02DF">
        <w:rPr>
          <w:rFonts w:ascii="Arial" w:hAnsi="Arial" w:cs="Arial"/>
          <w:sz w:val="24"/>
          <w:szCs w:val="24"/>
        </w:rPr>
        <w:t xml:space="preserve">, firstly in its findings; and secondly, </w:t>
      </w:r>
      <w:r w:rsidR="003353BB">
        <w:rPr>
          <w:rFonts w:ascii="Arial" w:hAnsi="Arial" w:cs="Arial"/>
          <w:sz w:val="24"/>
          <w:szCs w:val="24"/>
        </w:rPr>
        <w:t>in its application of the legal principles to the facts</w:t>
      </w:r>
      <w:r w:rsidR="00CB02DF">
        <w:rPr>
          <w:rFonts w:ascii="Arial" w:hAnsi="Arial" w:cs="Arial"/>
          <w:sz w:val="24"/>
          <w:szCs w:val="24"/>
        </w:rPr>
        <w:t xml:space="preserve"> at hand.  </w:t>
      </w:r>
      <w:r w:rsidR="00A9166E">
        <w:rPr>
          <w:rFonts w:ascii="Arial" w:hAnsi="Arial" w:cs="Arial"/>
          <w:sz w:val="24"/>
          <w:szCs w:val="24"/>
        </w:rPr>
        <w:t>Startlingly absent from the notice of</w:t>
      </w:r>
      <w:r w:rsidR="00645A70">
        <w:rPr>
          <w:rFonts w:ascii="Arial" w:hAnsi="Arial" w:cs="Arial"/>
          <w:sz w:val="24"/>
          <w:szCs w:val="24"/>
        </w:rPr>
        <w:t xml:space="preserve"> application for leave to</w:t>
      </w:r>
      <w:r w:rsidR="00A9166E">
        <w:rPr>
          <w:rFonts w:ascii="Arial" w:hAnsi="Arial" w:cs="Arial"/>
          <w:sz w:val="24"/>
          <w:szCs w:val="24"/>
        </w:rPr>
        <w:t xml:space="preserve"> appeal, particularly in respect of </w:t>
      </w:r>
      <w:r w:rsidR="008759EF">
        <w:rPr>
          <w:rFonts w:ascii="Arial" w:hAnsi="Arial" w:cs="Arial"/>
          <w:sz w:val="24"/>
          <w:szCs w:val="24"/>
        </w:rPr>
        <w:t>the applicants’ fourth ground of appeal, being “</w:t>
      </w:r>
      <w:r w:rsidR="008759EF" w:rsidRPr="008759EF">
        <w:rPr>
          <w:rFonts w:ascii="Arial" w:hAnsi="Arial" w:cs="Arial"/>
          <w:i/>
          <w:iCs/>
          <w:sz w:val="24"/>
          <w:szCs w:val="24"/>
        </w:rPr>
        <w:t>application of the law to the facts</w:t>
      </w:r>
      <w:r w:rsidR="008759EF">
        <w:rPr>
          <w:rFonts w:ascii="Arial" w:hAnsi="Arial" w:cs="Arial"/>
          <w:sz w:val="24"/>
          <w:szCs w:val="24"/>
        </w:rPr>
        <w:t>”, is any indication as to the manner in which the court erred in applying the, now settled, legal principles to the facts at hand.</w:t>
      </w:r>
    </w:p>
    <w:p w14:paraId="21105B8F" w14:textId="77777777" w:rsidR="008759EF" w:rsidRPr="008759EF" w:rsidRDefault="008759EF" w:rsidP="006B4BF9">
      <w:pPr>
        <w:pStyle w:val="ListParagraph"/>
        <w:spacing w:after="0" w:line="480" w:lineRule="auto"/>
        <w:rPr>
          <w:rFonts w:ascii="Arial" w:hAnsi="Arial" w:cs="Arial"/>
          <w:sz w:val="24"/>
          <w:szCs w:val="24"/>
        </w:rPr>
      </w:pPr>
    </w:p>
    <w:p w14:paraId="464E7A37" w14:textId="687E4329" w:rsidR="008759EF" w:rsidRDefault="00010CDB" w:rsidP="006B4BF9">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Insofar as the applicants </w:t>
      </w:r>
      <w:r w:rsidR="00F2383C">
        <w:rPr>
          <w:rFonts w:ascii="Arial" w:hAnsi="Arial" w:cs="Arial"/>
          <w:sz w:val="24"/>
          <w:szCs w:val="24"/>
        </w:rPr>
        <w:t xml:space="preserve">contend that there are reasonable prospects of success as envisaged by </w:t>
      </w:r>
      <w:r>
        <w:rPr>
          <w:rFonts w:ascii="Arial" w:hAnsi="Arial" w:cs="Arial"/>
          <w:sz w:val="24"/>
          <w:szCs w:val="24"/>
        </w:rPr>
        <w:t>section 17(1)(a)(i)</w:t>
      </w:r>
      <w:r w:rsidR="00F2383C">
        <w:rPr>
          <w:rFonts w:ascii="Arial" w:hAnsi="Arial" w:cs="Arial"/>
          <w:sz w:val="24"/>
          <w:szCs w:val="24"/>
        </w:rPr>
        <w:t xml:space="preserve"> of the Act, </w:t>
      </w:r>
      <w:r w:rsidR="008759EF">
        <w:rPr>
          <w:rFonts w:ascii="Arial" w:hAnsi="Arial" w:cs="Arial"/>
          <w:sz w:val="24"/>
          <w:szCs w:val="24"/>
        </w:rPr>
        <w:t>five grounds of appeal are relied upon,</w:t>
      </w:r>
      <w:r w:rsidR="006B4BF9">
        <w:rPr>
          <w:rFonts w:ascii="Arial" w:hAnsi="Arial" w:cs="Arial"/>
          <w:sz w:val="24"/>
          <w:szCs w:val="24"/>
        </w:rPr>
        <w:t xml:space="preserve"> each of which I deal with </w:t>
      </w:r>
      <w:r w:rsidR="006B4BF9" w:rsidRPr="006B4BF9">
        <w:rPr>
          <w:rFonts w:ascii="Arial" w:hAnsi="Arial" w:cs="Arial"/>
          <w:i/>
          <w:iCs/>
          <w:sz w:val="24"/>
          <w:szCs w:val="24"/>
        </w:rPr>
        <w:t>a seriatim</w:t>
      </w:r>
      <w:r w:rsidR="006B4BF9">
        <w:rPr>
          <w:rFonts w:ascii="Arial" w:hAnsi="Arial" w:cs="Arial"/>
          <w:sz w:val="24"/>
          <w:szCs w:val="24"/>
        </w:rPr>
        <w:t>, insofar as</w:t>
      </w:r>
      <w:r w:rsidR="008759EF">
        <w:rPr>
          <w:rFonts w:ascii="Arial" w:hAnsi="Arial" w:cs="Arial"/>
          <w:sz w:val="24"/>
          <w:szCs w:val="24"/>
        </w:rPr>
        <w:t xml:space="preserve"> </w:t>
      </w:r>
      <w:r w:rsidR="006B4BF9">
        <w:rPr>
          <w:rFonts w:ascii="Arial" w:hAnsi="Arial" w:cs="Arial"/>
          <w:sz w:val="24"/>
          <w:szCs w:val="24"/>
        </w:rPr>
        <w:t>is necessary to do so.</w:t>
      </w:r>
    </w:p>
    <w:p w14:paraId="4BB35DD5" w14:textId="648041AC" w:rsidR="008759EF" w:rsidRDefault="008759EF" w:rsidP="008A481E">
      <w:pPr>
        <w:spacing w:after="0" w:line="480" w:lineRule="auto"/>
        <w:rPr>
          <w:rFonts w:ascii="Arial" w:hAnsi="Arial" w:cs="Arial"/>
          <w:sz w:val="24"/>
          <w:szCs w:val="24"/>
        </w:rPr>
      </w:pPr>
    </w:p>
    <w:p w14:paraId="27644126" w14:textId="456F8F8F" w:rsidR="008A481E" w:rsidRPr="008A481E" w:rsidRDefault="008A481E" w:rsidP="008A481E">
      <w:pPr>
        <w:spacing w:after="0" w:line="480" w:lineRule="auto"/>
        <w:rPr>
          <w:rFonts w:ascii="Arial" w:hAnsi="Arial" w:cs="Arial"/>
          <w:b/>
          <w:bCs/>
          <w:sz w:val="24"/>
          <w:szCs w:val="24"/>
          <w:u w:val="single"/>
        </w:rPr>
      </w:pPr>
      <w:r w:rsidRPr="008A481E">
        <w:rPr>
          <w:rFonts w:ascii="Arial" w:hAnsi="Arial" w:cs="Arial"/>
          <w:b/>
          <w:bCs/>
          <w:sz w:val="24"/>
          <w:szCs w:val="24"/>
          <w:u w:val="single"/>
        </w:rPr>
        <w:t>The applicants’ first and second ground of appeal</w:t>
      </w:r>
    </w:p>
    <w:p w14:paraId="219D8EAD" w14:textId="77777777" w:rsidR="008A481E" w:rsidRDefault="008A481E" w:rsidP="008A481E">
      <w:pPr>
        <w:pStyle w:val="ListParagraph"/>
        <w:spacing w:after="0" w:line="480" w:lineRule="auto"/>
        <w:ind w:left="851"/>
        <w:jc w:val="both"/>
        <w:rPr>
          <w:rFonts w:ascii="Arial" w:hAnsi="Arial" w:cs="Arial"/>
          <w:sz w:val="24"/>
          <w:szCs w:val="24"/>
        </w:rPr>
      </w:pPr>
    </w:p>
    <w:p w14:paraId="1ACDFCC3" w14:textId="63E34A12" w:rsidR="006B4BF9" w:rsidRDefault="00E94F9C" w:rsidP="006B4BF9">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The first ground of appeal as set out in paragraph 1, including paragraphs 1.1 to 1.4 of the notice of application for leave to appeal, in essence attacks </w:t>
      </w:r>
      <w:r w:rsidR="006B4BF9">
        <w:rPr>
          <w:rFonts w:ascii="Arial" w:hAnsi="Arial" w:cs="Arial"/>
          <w:sz w:val="24"/>
          <w:szCs w:val="24"/>
        </w:rPr>
        <w:t xml:space="preserve">my finding that there was no merit in the applicants’ special plea of </w:t>
      </w:r>
      <w:r w:rsidR="00553B7B">
        <w:rPr>
          <w:rFonts w:ascii="Arial" w:hAnsi="Arial" w:cs="Arial"/>
          <w:sz w:val="24"/>
          <w:szCs w:val="24"/>
        </w:rPr>
        <w:t>non</w:t>
      </w:r>
      <w:r w:rsidR="006B4BF9">
        <w:rPr>
          <w:rFonts w:ascii="Arial" w:hAnsi="Arial" w:cs="Arial"/>
          <w:sz w:val="24"/>
          <w:szCs w:val="24"/>
        </w:rPr>
        <w:t>-joinder</w:t>
      </w:r>
      <w:r w:rsidR="00553B7B">
        <w:rPr>
          <w:rFonts w:ascii="Arial" w:hAnsi="Arial" w:cs="Arial"/>
          <w:sz w:val="24"/>
          <w:szCs w:val="24"/>
        </w:rPr>
        <w:t xml:space="preserve"> insofar as </w:t>
      </w:r>
      <w:r w:rsidR="00553B7B">
        <w:rPr>
          <w:rFonts w:ascii="Arial" w:hAnsi="Arial" w:cs="Arial"/>
          <w:i/>
          <w:iCs/>
          <w:sz w:val="24"/>
          <w:szCs w:val="24"/>
        </w:rPr>
        <w:t xml:space="preserve">Sky Ground </w:t>
      </w:r>
      <w:r w:rsidR="00553B7B">
        <w:rPr>
          <w:rFonts w:ascii="Arial" w:hAnsi="Arial" w:cs="Arial"/>
          <w:sz w:val="24"/>
          <w:szCs w:val="24"/>
        </w:rPr>
        <w:t>is concerned</w:t>
      </w:r>
      <w:r w:rsidR="006B4BF9">
        <w:rPr>
          <w:rFonts w:ascii="Arial" w:hAnsi="Arial" w:cs="Arial"/>
          <w:sz w:val="24"/>
          <w:szCs w:val="24"/>
        </w:rPr>
        <w:t>.</w:t>
      </w:r>
      <w:r w:rsidR="00597A1A">
        <w:rPr>
          <w:rFonts w:ascii="Arial" w:hAnsi="Arial" w:cs="Arial"/>
          <w:sz w:val="24"/>
          <w:szCs w:val="24"/>
        </w:rPr>
        <w:t xml:space="preserve">  The second ground of appeal,</w:t>
      </w:r>
      <w:r w:rsidR="00553B7B">
        <w:rPr>
          <w:rFonts w:ascii="Arial" w:hAnsi="Arial" w:cs="Arial"/>
          <w:sz w:val="24"/>
          <w:szCs w:val="24"/>
        </w:rPr>
        <w:t xml:space="preserve"> appearing </w:t>
      </w:r>
      <w:r w:rsidR="00553B7B">
        <w:rPr>
          <w:rFonts w:ascii="Arial" w:hAnsi="Arial" w:cs="Arial"/>
          <w:sz w:val="24"/>
          <w:szCs w:val="24"/>
        </w:rPr>
        <w:lastRenderedPageBreak/>
        <w:t>in paragraphs 2 to 9 of the notice of appeal, is predicated on my dismissal of the applicants’ second special plea of mis-joinder of the second applicant to the proceedings.</w:t>
      </w:r>
      <w:r w:rsidR="00597A1A">
        <w:rPr>
          <w:rFonts w:ascii="Arial" w:hAnsi="Arial" w:cs="Arial"/>
          <w:sz w:val="24"/>
          <w:szCs w:val="24"/>
        </w:rPr>
        <w:t xml:space="preserve"> </w:t>
      </w:r>
    </w:p>
    <w:p w14:paraId="2015E3E2" w14:textId="77777777" w:rsidR="003C6C8E" w:rsidRDefault="003C6C8E" w:rsidP="003C6C8E">
      <w:pPr>
        <w:pStyle w:val="ListParagraph"/>
        <w:spacing w:after="0" w:line="480" w:lineRule="auto"/>
        <w:ind w:left="851"/>
        <w:jc w:val="both"/>
        <w:rPr>
          <w:rFonts w:ascii="Arial" w:hAnsi="Arial" w:cs="Arial"/>
          <w:sz w:val="24"/>
          <w:szCs w:val="24"/>
        </w:rPr>
      </w:pPr>
    </w:p>
    <w:p w14:paraId="3309EAD4" w14:textId="70219587" w:rsidR="00A65ADC" w:rsidRPr="00A65ADC" w:rsidRDefault="00A65ADC" w:rsidP="00A65ADC">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To the extent that the legal principles pertaining to joinder were not addressed in my judgment, given the ultimate finding to which I came, </w:t>
      </w:r>
      <w:r w:rsidRPr="00A65ADC">
        <w:rPr>
          <w:rFonts w:ascii="Arial" w:hAnsi="Arial" w:cs="Arial"/>
          <w:sz w:val="24"/>
          <w:szCs w:val="24"/>
        </w:rPr>
        <w:t>I shall deal with</w:t>
      </w:r>
      <w:r>
        <w:rPr>
          <w:rFonts w:ascii="Arial" w:hAnsi="Arial" w:cs="Arial"/>
          <w:sz w:val="24"/>
          <w:szCs w:val="24"/>
        </w:rPr>
        <w:t xml:space="preserve"> same </w:t>
      </w:r>
      <w:r w:rsidRPr="00A65ADC">
        <w:rPr>
          <w:rFonts w:ascii="Arial" w:hAnsi="Arial" w:cs="Arial"/>
          <w:sz w:val="24"/>
          <w:szCs w:val="24"/>
        </w:rPr>
        <w:t>in greater detail here under.</w:t>
      </w:r>
    </w:p>
    <w:p w14:paraId="42F1CFFE" w14:textId="77777777" w:rsidR="00A65ADC" w:rsidRDefault="00A65ADC" w:rsidP="00A65ADC">
      <w:pPr>
        <w:pStyle w:val="ListParagraph"/>
        <w:spacing w:after="0" w:line="480" w:lineRule="auto"/>
        <w:ind w:left="851"/>
        <w:jc w:val="both"/>
        <w:rPr>
          <w:rFonts w:ascii="Arial" w:hAnsi="Arial" w:cs="Arial"/>
          <w:sz w:val="24"/>
          <w:szCs w:val="24"/>
        </w:rPr>
      </w:pPr>
    </w:p>
    <w:p w14:paraId="3B452BB8" w14:textId="68B23B10" w:rsidR="006B4BF9" w:rsidRDefault="00F0661A" w:rsidP="006B4BF9">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It is settled law that the joinder of a party to proceedings is only required as a matter of necessity, and not of convenience</w:t>
      </w:r>
      <w:r w:rsidR="00BF720B">
        <w:rPr>
          <w:rFonts w:ascii="Arial" w:hAnsi="Arial" w:cs="Arial"/>
          <w:sz w:val="24"/>
          <w:szCs w:val="24"/>
        </w:rPr>
        <w:t>.  The substantial test is whether the party that is alleged to be a necessary party has a direct and substantial interest in the matter</w:t>
      </w:r>
      <w:r>
        <w:rPr>
          <w:rFonts w:ascii="Arial" w:hAnsi="Arial" w:cs="Arial"/>
          <w:sz w:val="24"/>
          <w:szCs w:val="24"/>
        </w:rPr>
        <w:t>,</w:t>
      </w:r>
      <w:r w:rsidR="00BF720B">
        <w:rPr>
          <w:rFonts w:ascii="Arial" w:hAnsi="Arial" w:cs="Arial"/>
          <w:sz w:val="24"/>
          <w:szCs w:val="24"/>
        </w:rPr>
        <w:t xml:space="preserve"> more commonly stated as a legal interest in the subject matter of the litigation, which may be affected prejudicially by the judgment</w:t>
      </w:r>
      <w:r w:rsidR="003C6C8E">
        <w:rPr>
          <w:rFonts w:ascii="Arial" w:hAnsi="Arial" w:cs="Arial"/>
          <w:sz w:val="24"/>
          <w:szCs w:val="24"/>
        </w:rPr>
        <w:t xml:space="preserve"> of the court</w:t>
      </w:r>
      <w:r w:rsidR="001D44EC">
        <w:rPr>
          <w:rFonts w:ascii="Arial" w:hAnsi="Arial" w:cs="Arial"/>
          <w:sz w:val="24"/>
          <w:szCs w:val="24"/>
        </w:rPr>
        <w:t xml:space="preserve"> in the proceedings concerned</w:t>
      </w:r>
      <w:r w:rsidR="003C6C8E">
        <w:rPr>
          <w:rFonts w:ascii="Arial" w:hAnsi="Arial" w:cs="Arial"/>
          <w:sz w:val="24"/>
          <w:szCs w:val="24"/>
        </w:rPr>
        <w:t>.</w:t>
      </w:r>
      <w:r w:rsidR="00BF720B">
        <w:rPr>
          <w:rStyle w:val="FootnoteReference"/>
          <w:rFonts w:ascii="Arial" w:hAnsi="Arial" w:cs="Arial"/>
          <w:sz w:val="24"/>
          <w:szCs w:val="24"/>
        </w:rPr>
        <w:footnoteReference w:id="3"/>
      </w:r>
    </w:p>
    <w:p w14:paraId="4F1B6032" w14:textId="77777777" w:rsidR="001D44EC" w:rsidRDefault="001D44EC" w:rsidP="001D44EC">
      <w:pPr>
        <w:pStyle w:val="ListParagraph"/>
        <w:spacing w:after="0" w:line="480" w:lineRule="auto"/>
        <w:ind w:left="851"/>
        <w:jc w:val="both"/>
        <w:rPr>
          <w:rFonts w:ascii="Arial" w:hAnsi="Arial" w:cs="Arial"/>
          <w:sz w:val="24"/>
          <w:szCs w:val="24"/>
        </w:rPr>
      </w:pPr>
    </w:p>
    <w:p w14:paraId="1890B972" w14:textId="01554BAA" w:rsidR="001D44EC" w:rsidRDefault="001D44EC" w:rsidP="006B4BF9">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Insofar as the alleged non-joinder of </w:t>
      </w:r>
      <w:r w:rsidRPr="001B12D6">
        <w:rPr>
          <w:rFonts w:ascii="Arial" w:hAnsi="Arial" w:cs="Arial"/>
          <w:i/>
          <w:iCs/>
          <w:sz w:val="24"/>
          <w:szCs w:val="24"/>
        </w:rPr>
        <w:t>Sky Ground</w:t>
      </w:r>
      <w:r>
        <w:rPr>
          <w:rFonts w:ascii="Arial" w:hAnsi="Arial" w:cs="Arial"/>
          <w:sz w:val="24"/>
          <w:szCs w:val="24"/>
        </w:rPr>
        <w:t xml:space="preserve"> is concerned, the applicants, at trial</w:t>
      </w:r>
      <w:r w:rsidR="007E4D62">
        <w:rPr>
          <w:rFonts w:ascii="Arial" w:hAnsi="Arial" w:cs="Arial"/>
          <w:sz w:val="24"/>
          <w:szCs w:val="24"/>
        </w:rPr>
        <w:t>,</w:t>
      </w:r>
      <w:r>
        <w:rPr>
          <w:rFonts w:ascii="Arial" w:hAnsi="Arial" w:cs="Arial"/>
          <w:sz w:val="24"/>
          <w:szCs w:val="24"/>
        </w:rPr>
        <w:t xml:space="preserve"> as well as during the application for leave to appeal, </w:t>
      </w:r>
      <w:r w:rsidR="007E4D62">
        <w:rPr>
          <w:rFonts w:ascii="Arial" w:hAnsi="Arial" w:cs="Arial"/>
          <w:sz w:val="24"/>
          <w:szCs w:val="24"/>
        </w:rPr>
        <w:t xml:space="preserve">failed to </w:t>
      </w:r>
      <w:r>
        <w:rPr>
          <w:rFonts w:ascii="Arial" w:hAnsi="Arial" w:cs="Arial"/>
          <w:sz w:val="24"/>
          <w:szCs w:val="24"/>
        </w:rPr>
        <w:t xml:space="preserve">indicate how the </w:t>
      </w:r>
      <w:r w:rsidR="00416B6C">
        <w:rPr>
          <w:rFonts w:ascii="Arial" w:hAnsi="Arial" w:cs="Arial"/>
          <w:sz w:val="24"/>
          <w:szCs w:val="24"/>
        </w:rPr>
        <w:t>judgment</w:t>
      </w:r>
      <w:r>
        <w:rPr>
          <w:rFonts w:ascii="Arial" w:hAnsi="Arial" w:cs="Arial"/>
          <w:sz w:val="24"/>
          <w:szCs w:val="24"/>
        </w:rPr>
        <w:t xml:space="preserve"> sought against the applicants, by the respondent, which </w:t>
      </w:r>
      <w:r w:rsidR="00416B6C">
        <w:rPr>
          <w:rFonts w:ascii="Arial" w:hAnsi="Arial" w:cs="Arial"/>
          <w:sz w:val="24"/>
          <w:szCs w:val="24"/>
        </w:rPr>
        <w:t>judgment</w:t>
      </w:r>
      <w:r>
        <w:rPr>
          <w:rFonts w:ascii="Arial" w:hAnsi="Arial" w:cs="Arial"/>
          <w:sz w:val="24"/>
          <w:szCs w:val="24"/>
        </w:rPr>
        <w:t xml:space="preserve"> was subsequently granted by me, would or could prejudicially affect the legal interests of </w:t>
      </w:r>
      <w:r w:rsidRPr="001D44EC">
        <w:rPr>
          <w:rFonts w:ascii="Arial" w:hAnsi="Arial" w:cs="Arial"/>
          <w:i/>
          <w:iCs/>
          <w:sz w:val="24"/>
          <w:szCs w:val="24"/>
        </w:rPr>
        <w:t>Sky Ground</w:t>
      </w:r>
      <w:r>
        <w:rPr>
          <w:rFonts w:ascii="Arial" w:hAnsi="Arial" w:cs="Arial"/>
          <w:sz w:val="24"/>
          <w:szCs w:val="24"/>
        </w:rPr>
        <w:t xml:space="preserve">.  </w:t>
      </w:r>
      <w:r w:rsidR="007E4D62">
        <w:rPr>
          <w:rFonts w:ascii="Arial" w:hAnsi="Arial" w:cs="Arial"/>
          <w:sz w:val="24"/>
          <w:szCs w:val="24"/>
        </w:rPr>
        <w:t xml:space="preserve">This too is not apparent from the </w:t>
      </w:r>
      <w:r w:rsidR="00CA2591">
        <w:rPr>
          <w:rFonts w:ascii="Arial" w:hAnsi="Arial" w:cs="Arial"/>
          <w:sz w:val="24"/>
          <w:szCs w:val="24"/>
        </w:rPr>
        <w:t>applicant</w:t>
      </w:r>
      <w:r w:rsidR="007E4D62">
        <w:rPr>
          <w:rFonts w:ascii="Arial" w:hAnsi="Arial" w:cs="Arial"/>
          <w:sz w:val="24"/>
          <w:szCs w:val="24"/>
        </w:rPr>
        <w:t>s’ plea filed of record</w:t>
      </w:r>
      <w:r w:rsidR="00416B6C">
        <w:rPr>
          <w:rFonts w:ascii="Arial" w:hAnsi="Arial" w:cs="Arial"/>
          <w:sz w:val="24"/>
          <w:szCs w:val="24"/>
        </w:rPr>
        <w:t xml:space="preserve">; their notice of </w:t>
      </w:r>
      <w:r w:rsidR="007E4D62">
        <w:rPr>
          <w:rFonts w:ascii="Arial" w:hAnsi="Arial" w:cs="Arial"/>
          <w:sz w:val="24"/>
          <w:szCs w:val="24"/>
        </w:rPr>
        <w:t>application for leave to appeal</w:t>
      </w:r>
      <w:r w:rsidR="00416B6C">
        <w:rPr>
          <w:rFonts w:ascii="Arial" w:hAnsi="Arial" w:cs="Arial"/>
          <w:sz w:val="24"/>
          <w:szCs w:val="24"/>
        </w:rPr>
        <w:t xml:space="preserve">; or in their </w:t>
      </w:r>
      <w:r w:rsidR="00416B6C">
        <w:rPr>
          <w:rFonts w:ascii="Arial" w:hAnsi="Arial" w:cs="Arial"/>
          <w:sz w:val="24"/>
          <w:szCs w:val="24"/>
        </w:rPr>
        <w:lastRenderedPageBreak/>
        <w:t>written submissions in support of the application for leave to appeal handed up at the hearing of the matter</w:t>
      </w:r>
      <w:r w:rsidR="007E4D62">
        <w:rPr>
          <w:rFonts w:ascii="Arial" w:hAnsi="Arial" w:cs="Arial"/>
          <w:sz w:val="24"/>
          <w:szCs w:val="24"/>
        </w:rPr>
        <w:t>.</w:t>
      </w:r>
    </w:p>
    <w:p w14:paraId="7A480F55" w14:textId="77777777" w:rsidR="00416B6C" w:rsidRDefault="00416B6C" w:rsidP="00416B6C">
      <w:pPr>
        <w:pStyle w:val="ListParagraph"/>
        <w:spacing w:after="0" w:line="480" w:lineRule="auto"/>
        <w:ind w:left="851"/>
        <w:jc w:val="both"/>
        <w:rPr>
          <w:rFonts w:ascii="Arial" w:hAnsi="Arial" w:cs="Arial"/>
          <w:sz w:val="24"/>
          <w:szCs w:val="24"/>
        </w:rPr>
      </w:pPr>
    </w:p>
    <w:p w14:paraId="0D2725C0" w14:textId="758D0EC2" w:rsidR="00DE58B9" w:rsidRDefault="00B037E5" w:rsidP="006B4BF9">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Whilst the aforesaid is dispositive of the </w:t>
      </w:r>
      <w:r w:rsidR="004B2BB7">
        <w:rPr>
          <w:rFonts w:ascii="Arial" w:hAnsi="Arial" w:cs="Arial"/>
          <w:sz w:val="24"/>
          <w:szCs w:val="24"/>
        </w:rPr>
        <w:t>applicant</w:t>
      </w:r>
      <w:r>
        <w:rPr>
          <w:rFonts w:ascii="Arial" w:hAnsi="Arial" w:cs="Arial"/>
          <w:sz w:val="24"/>
          <w:szCs w:val="24"/>
        </w:rPr>
        <w:t xml:space="preserve">s’ special plea of non-joinder, it is apposite to highlight that </w:t>
      </w:r>
      <w:r w:rsidR="00DE58B9">
        <w:rPr>
          <w:rFonts w:ascii="Arial" w:hAnsi="Arial" w:cs="Arial"/>
          <w:sz w:val="24"/>
          <w:szCs w:val="24"/>
        </w:rPr>
        <w:t xml:space="preserve">the argument on behalf of the </w:t>
      </w:r>
      <w:r w:rsidR="001B7E40">
        <w:rPr>
          <w:rFonts w:ascii="Arial" w:hAnsi="Arial" w:cs="Arial"/>
          <w:sz w:val="24"/>
          <w:szCs w:val="24"/>
        </w:rPr>
        <w:t>applicant</w:t>
      </w:r>
      <w:r w:rsidR="00DE58B9">
        <w:rPr>
          <w:rFonts w:ascii="Arial" w:hAnsi="Arial" w:cs="Arial"/>
          <w:sz w:val="24"/>
          <w:szCs w:val="24"/>
        </w:rPr>
        <w:t xml:space="preserve">s at trial went </w:t>
      </w:r>
      <w:r w:rsidR="00B87D9D">
        <w:rPr>
          <w:rFonts w:ascii="Arial" w:hAnsi="Arial" w:cs="Arial"/>
          <w:sz w:val="24"/>
          <w:szCs w:val="24"/>
        </w:rPr>
        <w:t xml:space="preserve">as </w:t>
      </w:r>
      <w:r w:rsidR="00DE58B9">
        <w:rPr>
          <w:rFonts w:ascii="Arial" w:hAnsi="Arial" w:cs="Arial"/>
          <w:sz w:val="24"/>
          <w:szCs w:val="24"/>
        </w:rPr>
        <w:t>follows:</w:t>
      </w:r>
      <w:r w:rsidR="004419DA">
        <w:rPr>
          <w:rStyle w:val="FootnoteReference"/>
          <w:rFonts w:ascii="Arial" w:hAnsi="Arial" w:cs="Arial"/>
          <w:sz w:val="24"/>
          <w:szCs w:val="24"/>
        </w:rPr>
        <w:footnoteReference w:id="4"/>
      </w:r>
    </w:p>
    <w:p w14:paraId="77827538" w14:textId="77777777" w:rsidR="00DE58B9" w:rsidRDefault="00DE58B9" w:rsidP="00495E4E">
      <w:pPr>
        <w:pStyle w:val="ListParagraph"/>
        <w:spacing w:after="0" w:line="360" w:lineRule="auto"/>
        <w:ind w:left="851"/>
        <w:jc w:val="both"/>
        <w:rPr>
          <w:rFonts w:ascii="Arial" w:hAnsi="Arial" w:cs="Arial"/>
          <w:sz w:val="24"/>
          <w:szCs w:val="24"/>
        </w:rPr>
      </w:pPr>
    </w:p>
    <w:p w14:paraId="58465120" w14:textId="4E8B2289" w:rsidR="007E4D62" w:rsidRPr="008A481E" w:rsidRDefault="00DE58B9" w:rsidP="004419DA">
      <w:pPr>
        <w:pStyle w:val="ListParagraph"/>
        <w:spacing w:after="0" w:line="360" w:lineRule="auto"/>
        <w:ind w:left="851"/>
        <w:jc w:val="both"/>
        <w:rPr>
          <w:rFonts w:ascii="Arial" w:hAnsi="Arial" w:cs="Arial"/>
          <w:sz w:val="20"/>
          <w:szCs w:val="20"/>
          <w:lang w:val="en-US"/>
        </w:rPr>
      </w:pPr>
      <w:r w:rsidRPr="008A481E">
        <w:rPr>
          <w:rFonts w:ascii="Arial" w:hAnsi="Arial" w:cs="Arial"/>
          <w:sz w:val="20"/>
          <w:szCs w:val="20"/>
        </w:rPr>
        <w:t>“</w:t>
      </w:r>
      <w:r w:rsidRPr="008A481E">
        <w:rPr>
          <w:rFonts w:ascii="Arial" w:hAnsi="Arial" w:cs="Arial"/>
          <w:i/>
          <w:iCs/>
          <w:sz w:val="20"/>
          <w:szCs w:val="20"/>
        </w:rPr>
        <w:t xml:space="preserve">… I would like to briefly just deal with the legal </w:t>
      </w:r>
      <w:r w:rsidRPr="008A481E">
        <w:rPr>
          <w:rFonts w:ascii="Arial" w:hAnsi="Arial" w:cs="Arial"/>
          <w:i/>
          <w:iCs/>
          <w:sz w:val="20"/>
          <w:szCs w:val="20"/>
          <w:lang w:val="en-US"/>
        </w:rPr>
        <w:t>principles of misjoinder and nonjoinder. The first principle is that must arise on the pleadings.  It has arisen the points of misjoinder and nonjoinder had arisen from the pleadings.  Then the second point, is that if we can find nonjoinder, this will be found in Rule 10 of the Superior Court Practice, Volume 2 and the principles as set out on nonjoinder and misjoinder are set out there and it also goes further to say that if one can just briefly define non joinder.  It is the failure of the plaintiff to join a particular defendant. That is what it essentially is.  Misjoinder is the joining of either several plaintiffs or defendants in one circumstance which the law does not sanction i.e., the objection is that the wrong plaintiff are assuming or the wrong defendant or defendants are being sued.  That is the point that was made with the points raised there.</w:t>
      </w:r>
      <w:r w:rsidRPr="008A481E">
        <w:rPr>
          <w:rFonts w:ascii="Arial" w:hAnsi="Arial" w:cs="Arial"/>
          <w:sz w:val="20"/>
          <w:szCs w:val="20"/>
          <w:lang w:val="en-US"/>
        </w:rPr>
        <w:t>”</w:t>
      </w:r>
    </w:p>
    <w:p w14:paraId="4AB8D383" w14:textId="2F971817" w:rsidR="004419DA" w:rsidRDefault="004419DA" w:rsidP="004419DA">
      <w:pPr>
        <w:pStyle w:val="ListParagraph"/>
        <w:spacing w:after="0" w:line="480" w:lineRule="auto"/>
        <w:ind w:left="851"/>
        <w:jc w:val="both"/>
        <w:rPr>
          <w:rFonts w:ascii="Arial" w:hAnsi="Arial" w:cs="Arial"/>
          <w:lang w:val="en-US"/>
        </w:rPr>
      </w:pPr>
    </w:p>
    <w:p w14:paraId="07DF5412" w14:textId="50374912" w:rsidR="00B94F73" w:rsidRDefault="00724554" w:rsidP="004419D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The high-water mark of the </w:t>
      </w:r>
      <w:r w:rsidR="008B0E1A">
        <w:rPr>
          <w:rFonts w:ascii="Arial" w:hAnsi="Arial" w:cs="Arial"/>
          <w:sz w:val="24"/>
          <w:szCs w:val="24"/>
        </w:rPr>
        <w:t>applicant</w:t>
      </w:r>
      <w:r>
        <w:rPr>
          <w:rFonts w:ascii="Arial" w:hAnsi="Arial" w:cs="Arial"/>
          <w:sz w:val="24"/>
          <w:szCs w:val="24"/>
        </w:rPr>
        <w:t>s’ argument, as it developed at trial</w:t>
      </w:r>
      <w:r w:rsidR="00BE0DFF">
        <w:rPr>
          <w:rFonts w:ascii="Arial" w:hAnsi="Arial" w:cs="Arial"/>
          <w:sz w:val="24"/>
          <w:szCs w:val="24"/>
        </w:rPr>
        <w:t xml:space="preserve"> in respect of non-joinder</w:t>
      </w:r>
      <w:r>
        <w:rPr>
          <w:rFonts w:ascii="Arial" w:hAnsi="Arial" w:cs="Arial"/>
          <w:sz w:val="24"/>
          <w:szCs w:val="24"/>
        </w:rPr>
        <w:t xml:space="preserve">, was that the respondent sought to hold the </w:t>
      </w:r>
      <w:r w:rsidR="00220370">
        <w:rPr>
          <w:rFonts w:ascii="Arial" w:hAnsi="Arial" w:cs="Arial"/>
          <w:sz w:val="24"/>
          <w:szCs w:val="24"/>
        </w:rPr>
        <w:t>applicants</w:t>
      </w:r>
      <w:r>
        <w:rPr>
          <w:rFonts w:ascii="Arial" w:hAnsi="Arial" w:cs="Arial"/>
          <w:sz w:val="24"/>
          <w:szCs w:val="24"/>
        </w:rPr>
        <w:t xml:space="preserve"> liable for the conduct of </w:t>
      </w:r>
      <w:r w:rsidRPr="00B87D9D">
        <w:rPr>
          <w:rFonts w:ascii="Arial" w:hAnsi="Arial" w:cs="Arial"/>
          <w:i/>
          <w:iCs/>
          <w:sz w:val="24"/>
          <w:szCs w:val="24"/>
        </w:rPr>
        <w:t>Sky Ground</w:t>
      </w:r>
      <w:r>
        <w:rPr>
          <w:rFonts w:ascii="Arial" w:hAnsi="Arial" w:cs="Arial"/>
          <w:sz w:val="24"/>
          <w:szCs w:val="24"/>
        </w:rPr>
        <w:t xml:space="preserve"> on the basis of vicarious liability</w:t>
      </w:r>
      <w:r w:rsidR="00FC0FE0">
        <w:rPr>
          <w:rFonts w:ascii="Arial" w:hAnsi="Arial" w:cs="Arial"/>
          <w:sz w:val="24"/>
          <w:szCs w:val="24"/>
        </w:rPr>
        <w:t xml:space="preserve"> and for this reason</w:t>
      </w:r>
      <w:r w:rsidR="00B87D9D">
        <w:rPr>
          <w:rFonts w:ascii="Arial" w:hAnsi="Arial" w:cs="Arial"/>
          <w:sz w:val="24"/>
          <w:szCs w:val="24"/>
        </w:rPr>
        <w:t>,</w:t>
      </w:r>
      <w:r w:rsidR="00FC0FE0">
        <w:rPr>
          <w:rFonts w:ascii="Arial" w:hAnsi="Arial" w:cs="Arial"/>
          <w:sz w:val="24"/>
          <w:szCs w:val="24"/>
        </w:rPr>
        <w:t xml:space="preserve"> </w:t>
      </w:r>
      <w:r w:rsidR="00FC0FE0" w:rsidRPr="00B87D9D">
        <w:rPr>
          <w:rFonts w:ascii="Arial" w:hAnsi="Arial" w:cs="Arial"/>
          <w:i/>
          <w:iCs/>
          <w:sz w:val="24"/>
          <w:szCs w:val="24"/>
        </w:rPr>
        <w:t>Sky Ground</w:t>
      </w:r>
      <w:r w:rsidR="00FC0FE0">
        <w:rPr>
          <w:rFonts w:ascii="Arial" w:hAnsi="Arial" w:cs="Arial"/>
          <w:sz w:val="24"/>
          <w:szCs w:val="24"/>
        </w:rPr>
        <w:t xml:space="preserve"> ought to be brought before court</w:t>
      </w:r>
      <w:r w:rsidR="00B94F73">
        <w:rPr>
          <w:rFonts w:ascii="Arial" w:hAnsi="Arial" w:cs="Arial"/>
          <w:sz w:val="24"/>
          <w:szCs w:val="24"/>
        </w:rPr>
        <w:t>.</w:t>
      </w:r>
      <w:r w:rsidR="00B94F73">
        <w:rPr>
          <w:rStyle w:val="FootnoteReference"/>
          <w:rFonts w:ascii="Arial" w:hAnsi="Arial" w:cs="Arial"/>
          <w:sz w:val="24"/>
          <w:szCs w:val="24"/>
        </w:rPr>
        <w:footnoteReference w:id="5"/>
      </w:r>
      <w:r>
        <w:rPr>
          <w:rFonts w:ascii="Arial" w:hAnsi="Arial" w:cs="Arial"/>
          <w:sz w:val="24"/>
          <w:szCs w:val="24"/>
        </w:rPr>
        <w:t xml:space="preserve">  This too was the argument that was advanced</w:t>
      </w:r>
      <w:r w:rsidR="006F5BAE">
        <w:rPr>
          <w:rFonts w:ascii="Arial" w:hAnsi="Arial" w:cs="Arial"/>
          <w:sz w:val="24"/>
          <w:szCs w:val="24"/>
        </w:rPr>
        <w:t>, although in not so many words,</w:t>
      </w:r>
      <w:r>
        <w:rPr>
          <w:rFonts w:ascii="Arial" w:hAnsi="Arial" w:cs="Arial"/>
          <w:sz w:val="24"/>
          <w:szCs w:val="24"/>
        </w:rPr>
        <w:t xml:space="preserve"> at the hearing of the application for leave to appeal.  This </w:t>
      </w:r>
      <w:r w:rsidR="00B94F73">
        <w:rPr>
          <w:rFonts w:ascii="Arial" w:hAnsi="Arial" w:cs="Arial"/>
          <w:sz w:val="24"/>
          <w:szCs w:val="24"/>
        </w:rPr>
        <w:t xml:space="preserve">contention was rejected by me </w:t>
      </w:r>
      <w:r w:rsidR="00FC0FE0">
        <w:rPr>
          <w:rFonts w:ascii="Arial" w:hAnsi="Arial" w:cs="Arial"/>
          <w:sz w:val="24"/>
          <w:szCs w:val="24"/>
        </w:rPr>
        <w:t xml:space="preserve">in the main action </w:t>
      </w:r>
      <w:r w:rsidR="00B94F73">
        <w:rPr>
          <w:rFonts w:ascii="Arial" w:hAnsi="Arial" w:cs="Arial"/>
          <w:sz w:val="24"/>
          <w:szCs w:val="24"/>
        </w:rPr>
        <w:t>and I</w:t>
      </w:r>
      <w:r w:rsidR="006F5BAE">
        <w:rPr>
          <w:rFonts w:ascii="Arial" w:hAnsi="Arial" w:cs="Arial"/>
          <w:sz w:val="24"/>
          <w:szCs w:val="24"/>
        </w:rPr>
        <w:t xml:space="preserve"> have</w:t>
      </w:r>
      <w:r w:rsidR="00B94F73">
        <w:rPr>
          <w:rFonts w:ascii="Arial" w:hAnsi="Arial" w:cs="Arial"/>
          <w:sz w:val="24"/>
          <w:szCs w:val="24"/>
        </w:rPr>
        <w:t xml:space="preserve"> </w:t>
      </w:r>
      <w:r>
        <w:rPr>
          <w:rFonts w:ascii="Arial" w:hAnsi="Arial" w:cs="Arial"/>
          <w:sz w:val="24"/>
          <w:szCs w:val="24"/>
        </w:rPr>
        <w:t>dealt fully</w:t>
      </w:r>
      <w:r w:rsidR="00B94F73">
        <w:rPr>
          <w:rFonts w:ascii="Arial" w:hAnsi="Arial" w:cs="Arial"/>
          <w:sz w:val="24"/>
          <w:szCs w:val="24"/>
        </w:rPr>
        <w:t xml:space="preserve"> with my reasons for such finding in my judgment.  Insofar as the </w:t>
      </w:r>
      <w:r w:rsidR="00FB1728">
        <w:rPr>
          <w:rFonts w:ascii="Arial" w:hAnsi="Arial" w:cs="Arial"/>
          <w:sz w:val="24"/>
          <w:szCs w:val="24"/>
        </w:rPr>
        <w:t>applicant</w:t>
      </w:r>
      <w:r w:rsidR="00B94F73">
        <w:rPr>
          <w:rFonts w:ascii="Arial" w:hAnsi="Arial" w:cs="Arial"/>
          <w:sz w:val="24"/>
          <w:szCs w:val="24"/>
        </w:rPr>
        <w:t>s</w:t>
      </w:r>
      <w:r w:rsidR="00745B1C">
        <w:rPr>
          <w:rFonts w:ascii="Arial" w:hAnsi="Arial" w:cs="Arial"/>
          <w:sz w:val="24"/>
          <w:szCs w:val="24"/>
        </w:rPr>
        <w:t>, in the application for leave to appeal,</w:t>
      </w:r>
      <w:r w:rsidR="00B94F73">
        <w:rPr>
          <w:rFonts w:ascii="Arial" w:hAnsi="Arial" w:cs="Arial"/>
          <w:sz w:val="24"/>
          <w:szCs w:val="24"/>
        </w:rPr>
        <w:t xml:space="preserve"> have raised new legal contentions in</w:t>
      </w:r>
      <w:r w:rsidR="00745B1C">
        <w:rPr>
          <w:rFonts w:ascii="Arial" w:hAnsi="Arial" w:cs="Arial"/>
          <w:sz w:val="24"/>
          <w:szCs w:val="24"/>
        </w:rPr>
        <w:t xml:space="preserve"> respect of the manner in which the </w:t>
      </w:r>
      <w:r w:rsidR="00745B1C">
        <w:rPr>
          <w:rFonts w:ascii="Arial" w:hAnsi="Arial" w:cs="Arial"/>
          <w:sz w:val="24"/>
          <w:szCs w:val="24"/>
        </w:rPr>
        <w:lastRenderedPageBreak/>
        <w:t>respondent’s case was pleaded,</w:t>
      </w:r>
      <w:r w:rsidR="00FC0FE0">
        <w:rPr>
          <w:rFonts w:ascii="Arial" w:hAnsi="Arial" w:cs="Arial"/>
          <w:sz w:val="24"/>
          <w:szCs w:val="24"/>
        </w:rPr>
        <w:t xml:space="preserve"> I deal with same hereunder</w:t>
      </w:r>
      <w:r w:rsidR="00BF6378">
        <w:rPr>
          <w:rFonts w:ascii="Arial" w:hAnsi="Arial" w:cs="Arial"/>
          <w:sz w:val="24"/>
          <w:szCs w:val="24"/>
        </w:rPr>
        <w:t xml:space="preserve"> at the appropriate juncture</w:t>
      </w:r>
      <w:r w:rsidR="00B94F73">
        <w:rPr>
          <w:rFonts w:ascii="Arial" w:hAnsi="Arial" w:cs="Arial"/>
          <w:sz w:val="24"/>
          <w:szCs w:val="24"/>
        </w:rPr>
        <w:t>.</w:t>
      </w:r>
    </w:p>
    <w:p w14:paraId="4C44EF57" w14:textId="77777777" w:rsidR="00BF6378" w:rsidRDefault="00BF6378" w:rsidP="00BF6378">
      <w:pPr>
        <w:pStyle w:val="ListParagraph"/>
        <w:spacing w:after="0" w:line="480" w:lineRule="auto"/>
        <w:ind w:left="851"/>
        <w:jc w:val="both"/>
        <w:rPr>
          <w:rFonts w:ascii="Arial" w:hAnsi="Arial" w:cs="Arial"/>
          <w:sz w:val="24"/>
          <w:szCs w:val="24"/>
        </w:rPr>
      </w:pPr>
    </w:p>
    <w:p w14:paraId="346A4044" w14:textId="093FA45C" w:rsidR="006F34E4" w:rsidRDefault="006F5BAE" w:rsidP="006F34E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Turning to the issue of misjoinder</w:t>
      </w:r>
      <w:r w:rsidR="00846AED">
        <w:rPr>
          <w:rFonts w:ascii="Arial" w:hAnsi="Arial" w:cs="Arial"/>
          <w:sz w:val="24"/>
          <w:szCs w:val="24"/>
        </w:rPr>
        <w:t>,</w:t>
      </w:r>
      <w:r>
        <w:rPr>
          <w:rFonts w:ascii="Arial" w:hAnsi="Arial" w:cs="Arial"/>
          <w:sz w:val="24"/>
          <w:szCs w:val="24"/>
        </w:rPr>
        <w:t xml:space="preserve"> raised on the pleadings</w:t>
      </w:r>
      <w:r w:rsidR="00BE0DFF">
        <w:rPr>
          <w:rFonts w:ascii="Arial" w:hAnsi="Arial" w:cs="Arial"/>
          <w:sz w:val="24"/>
          <w:szCs w:val="24"/>
        </w:rPr>
        <w:t xml:space="preserve"> in respect of the second </w:t>
      </w:r>
      <w:r w:rsidR="00846AED">
        <w:rPr>
          <w:rFonts w:ascii="Arial" w:hAnsi="Arial" w:cs="Arial"/>
          <w:sz w:val="24"/>
          <w:szCs w:val="24"/>
        </w:rPr>
        <w:t>applicant.  I</w:t>
      </w:r>
      <w:r w:rsidR="00BE0DFF">
        <w:rPr>
          <w:rFonts w:ascii="Arial" w:hAnsi="Arial" w:cs="Arial"/>
          <w:sz w:val="24"/>
          <w:szCs w:val="24"/>
        </w:rPr>
        <w:t xml:space="preserve">t cannot be gainsaid that the second </w:t>
      </w:r>
      <w:r w:rsidR="00846AED">
        <w:rPr>
          <w:rFonts w:ascii="Arial" w:hAnsi="Arial" w:cs="Arial"/>
          <w:sz w:val="24"/>
          <w:szCs w:val="24"/>
        </w:rPr>
        <w:t>applicant</w:t>
      </w:r>
      <w:r w:rsidR="00BE0DFF">
        <w:rPr>
          <w:rFonts w:ascii="Arial" w:hAnsi="Arial" w:cs="Arial"/>
          <w:sz w:val="24"/>
          <w:szCs w:val="24"/>
        </w:rPr>
        <w:t xml:space="preserve"> against whom judgment was sought</w:t>
      </w:r>
      <w:r w:rsidR="006F34E4">
        <w:rPr>
          <w:rFonts w:ascii="Arial" w:hAnsi="Arial" w:cs="Arial"/>
          <w:sz w:val="24"/>
          <w:szCs w:val="24"/>
        </w:rPr>
        <w:t xml:space="preserve"> (and thereafter granted)</w:t>
      </w:r>
      <w:r w:rsidR="00BE0DFF">
        <w:rPr>
          <w:rFonts w:ascii="Arial" w:hAnsi="Arial" w:cs="Arial"/>
          <w:sz w:val="24"/>
          <w:szCs w:val="24"/>
        </w:rPr>
        <w:t>, had</w:t>
      </w:r>
      <w:r w:rsidR="006F34E4">
        <w:rPr>
          <w:rFonts w:ascii="Arial" w:hAnsi="Arial" w:cs="Arial"/>
          <w:sz w:val="24"/>
          <w:szCs w:val="24"/>
        </w:rPr>
        <w:t xml:space="preserve"> (and has)</w:t>
      </w:r>
      <w:r w:rsidR="00BE0DFF">
        <w:rPr>
          <w:rFonts w:ascii="Arial" w:hAnsi="Arial" w:cs="Arial"/>
          <w:sz w:val="24"/>
          <w:szCs w:val="24"/>
        </w:rPr>
        <w:t xml:space="preserve"> a legal interest in the subject matter of the litigation, which </w:t>
      </w:r>
      <w:r w:rsidR="006F34E4">
        <w:rPr>
          <w:rFonts w:ascii="Arial" w:hAnsi="Arial" w:cs="Arial"/>
          <w:sz w:val="24"/>
          <w:szCs w:val="24"/>
        </w:rPr>
        <w:t>may be (and subsequently is)</w:t>
      </w:r>
      <w:r w:rsidR="00BE0DFF">
        <w:rPr>
          <w:rFonts w:ascii="Arial" w:hAnsi="Arial" w:cs="Arial"/>
          <w:sz w:val="24"/>
          <w:szCs w:val="24"/>
        </w:rPr>
        <w:t xml:space="preserve"> affected prejudicially by the judgment of the court in the proceedings concerned.</w:t>
      </w:r>
    </w:p>
    <w:p w14:paraId="03C5AC8C" w14:textId="77777777" w:rsidR="006F34E4" w:rsidRPr="006F34E4" w:rsidRDefault="006F34E4" w:rsidP="006F34E4">
      <w:pPr>
        <w:pStyle w:val="ListParagraph"/>
        <w:spacing w:after="0" w:line="480" w:lineRule="auto"/>
        <w:rPr>
          <w:rFonts w:ascii="Arial" w:hAnsi="Arial" w:cs="Arial"/>
          <w:sz w:val="24"/>
          <w:szCs w:val="24"/>
        </w:rPr>
      </w:pPr>
    </w:p>
    <w:p w14:paraId="3D45726E" w14:textId="17417F19" w:rsidR="006F34E4" w:rsidRDefault="006F34E4" w:rsidP="006F34E4">
      <w:pPr>
        <w:pStyle w:val="ListParagraph"/>
        <w:numPr>
          <w:ilvl w:val="0"/>
          <w:numId w:val="1"/>
        </w:numPr>
        <w:spacing w:after="0" w:line="480" w:lineRule="auto"/>
        <w:ind w:left="851" w:hanging="851"/>
        <w:jc w:val="both"/>
        <w:rPr>
          <w:rFonts w:ascii="Arial" w:hAnsi="Arial" w:cs="Arial"/>
          <w:sz w:val="24"/>
          <w:szCs w:val="24"/>
        </w:rPr>
      </w:pPr>
      <w:r w:rsidRPr="006F34E4">
        <w:rPr>
          <w:rFonts w:ascii="Arial" w:hAnsi="Arial" w:cs="Arial"/>
          <w:sz w:val="24"/>
          <w:szCs w:val="24"/>
        </w:rPr>
        <w:t>Uniform Rule 10(</w:t>
      </w:r>
      <w:r w:rsidR="00095BCD">
        <w:rPr>
          <w:rFonts w:ascii="Arial" w:hAnsi="Arial" w:cs="Arial"/>
          <w:sz w:val="24"/>
          <w:szCs w:val="24"/>
        </w:rPr>
        <w:t>3</w:t>
      </w:r>
      <w:r w:rsidRPr="006F34E4">
        <w:rPr>
          <w:rFonts w:ascii="Arial" w:hAnsi="Arial" w:cs="Arial"/>
          <w:sz w:val="24"/>
          <w:szCs w:val="24"/>
        </w:rPr>
        <w:t>) reads</w:t>
      </w:r>
      <w:r>
        <w:rPr>
          <w:rFonts w:ascii="Arial" w:hAnsi="Arial" w:cs="Arial"/>
          <w:sz w:val="24"/>
          <w:szCs w:val="24"/>
        </w:rPr>
        <w:t xml:space="preserve"> as follows</w:t>
      </w:r>
      <w:r w:rsidRPr="006F34E4">
        <w:rPr>
          <w:rFonts w:ascii="Arial" w:hAnsi="Arial" w:cs="Arial"/>
          <w:sz w:val="24"/>
          <w:szCs w:val="24"/>
        </w:rPr>
        <w:t xml:space="preserve">: </w:t>
      </w:r>
    </w:p>
    <w:p w14:paraId="2C43C738" w14:textId="77777777" w:rsidR="006F34E4" w:rsidRPr="006F34E4" w:rsidRDefault="006F34E4" w:rsidP="00141B68">
      <w:pPr>
        <w:pStyle w:val="ListParagraph"/>
        <w:spacing w:after="0" w:line="360" w:lineRule="auto"/>
        <w:rPr>
          <w:rFonts w:ascii="Arial" w:hAnsi="Arial" w:cs="Arial"/>
          <w:sz w:val="24"/>
          <w:szCs w:val="24"/>
        </w:rPr>
      </w:pPr>
    </w:p>
    <w:p w14:paraId="4195E555" w14:textId="659FFAD2" w:rsidR="00095BCD" w:rsidRPr="00095BCD" w:rsidRDefault="006F34E4" w:rsidP="00095BCD">
      <w:pPr>
        <w:pStyle w:val="ListParagraph"/>
        <w:spacing w:after="0" w:line="360" w:lineRule="auto"/>
        <w:ind w:left="851"/>
        <w:jc w:val="both"/>
        <w:rPr>
          <w:rFonts w:ascii="Arial" w:hAnsi="Arial" w:cs="Arial"/>
          <w:i/>
          <w:iCs/>
          <w:sz w:val="20"/>
          <w:szCs w:val="20"/>
        </w:rPr>
      </w:pPr>
      <w:r>
        <w:rPr>
          <w:rFonts w:ascii="Arial" w:hAnsi="Arial" w:cs="Arial"/>
          <w:sz w:val="24"/>
          <w:szCs w:val="24"/>
        </w:rPr>
        <w:t>“</w:t>
      </w:r>
      <w:r w:rsidR="00095BCD" w:rsidRPr="00095BCD">
        <w:rPr>
          <w:rFonts w:ascii="Arial" w:hAnsi="Arial" w:cs="Arial"/>
          <w:i/>
          <w:iCs/>
          <w:sz w:val="20"/>
          <w:szCs w:val="20"/>
        </w:rPr>
        <w:t>Several defendants may be sued in one action either jointly, jointly and severally, separately or in the alternative, whenever the question arising between them or any of them and the plaintiff or any of the plaintiffs depends upon the determination of substantially the same question of law or fact which, if such defendants were sued separately, would arise in each separate action.</w:t>
      </w:r>
      <w:r w:rsidR="00095BCD">
        <w:rPr>
          <w:rFonts w:ascii="Arial" w:hAnsi="Arial" w:cs="Arial"/>
          <w:i/>
          <w:iCs/>
          <w:sz w:val="20"/>
          <w:szCs w:val="20"/>
        </w:rPr>
        <w:t>”</w:t>
      </w:r>
    </w:p>
    <w:p w14:paraId="651E0D8B" w14:textId="77777777" w:rsidR="00095BCD" w:rsidRDefault="00095BCD" w:rsidP="00141B68">
      <w:pPr>
        <w:spacing w:after="0" w:line="480" w:lineRule="auto"/>
        <w:ind w:left="357"/>
        <w:jc w:val="both"/>
        <w:rPr>
          <w:rFonts w:ascii="Arial" w:hAnsi="Arial" w:cs="Arial"/>
          <w:sz w:val="24"/>
          <w:szCs w:val="24"/>
        </w:rPr>
      </w:pPr>
    </w:p>
    <w:p w14:paraId="478CCA0B" w14:textId="638AC71D" w:rsidR="008F4128" w:rsidRDefault="00360C93" w:rsidP="00141B68">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Correctly so, a</w:t>
      </w:r>
      <w:r w:rsidR="00095BCD">
        <w:rPr>
          <w:rFonts w:ascii="Arial" w:hAnsi="Arial" w:cs="Arial"/>
          <w:sz w:val="24"/>
          <w:szCs w:val="24"/>
        </w:rPr>
        <w:t>t no stage</w:t>
      </w:r>
      <w:r w:rsidR="00560350">
        <w:rPr>
          <w:rFonts w:ascii="Arial" w:hAnsi="Arial" w:cs="Arial"/>
          <w:sz w:val="24"/>
          <w:szCs w:val="24"/>
        </w:rPr>
        <w:t xml:space="preserve"> in the proceedings</w:t>
      </w:r>
      <w:r w:rsidR="00095BCD">
        <w:rPr>
          <w:rFonts w:ascii="Arial" w:hAnsi="Arial" w:cs="Arial"/>
          <w:sz w:val="24"/>
          <w:szCs w:val="24"/>
        </w:rPr>
        <w:t xml:space="preserve"> was it contended</w:t>
      </w:r>
      <w:r w:rsidR="00413865">
        <w:rPr>
          <w:rFonts w:ascii="Arial" w:hAnsi="Arial" w:cs="Arial"/>
          <w:sz w:val="24"/>
          <w:szCs w:val="24"/>
        </w:rPr>
        <w:t xml:space="preserve"> by the applicants</w:t>
      </w:r>
      <w:r w:rsidR="00095BCD">
        <w:rPr>
          <w:rFonts w:ascii="Arial" w:hAnsi="Arial" w:cs="Arial"/>
          <w:sz w:val="24"/>
          <w:szCs w:val="24"/>
        </w:rPr>
        <w:t xml:space="preserve"> that </w:t>
      </w:r>
      <w:r>
        <w:rPr>
          <w:rFonts w:ascii="Arial" w:hAnsi="Arial" w:cs="Arial"/>
          <w:sz w:val="24"/>
          <w:szCs w:val="24"/>
        </w:rPr>
        <w:t>the respondent’s particulars of claim l</w:t>
      </w:r>
      <w:r w:rsidR="00095BCD" w:rsidRPr="00095BCD">
        <w:rPr>
          <w:rFonts w:ascii="Arial" w:hAnsi="Arial" w:cs="Arial"/>
          <w:sz w:val="24"/>
          <w:szCs w:val="24"/>
        </w:rPr>
        <w:t>ack</w:t>
      </w:r>
      <w:r>
        <w:rPr>
          <w:rFonts w:ascii="Arial" w:hAnsi="Arial" w:cs="Arial"/>
          <w:sz w:val="24"/>
          <w:szCs w:val="24"/>
        </w:rPr>
        <w:t>ed</w:t>
      </w:r>
      <w:r w:rsidR="00095BCD" w:rsidRPr="00095BCD">
        <w:rPr>
          <w:rFonts w:ascii="Arial" w:hAnsi="Arial" w:cs="Arial"/>
          <w:sz w:val="24"/>
          <w:szCs w:val="24"/>
        </w:rPr>
        <w:t xml:space="preserve"> averments which are necessary to sustain </w:t>
      </w:r>
      <w:r>
        <w:rPr>
          <w:rFonts w:ascii="Arial" w:hAnsi="Arial" w:cs="Arial"/>
          <w:sz w:val="24"/>
          <w:szCs w:val="24"/>
        </w:rPr>
        <w:t xml:space="preserve">a cause of action against the second applicant.  It is trite that an action is based on both facts and law, such facts, if proven, </w:t>
      </w:r>
      <w:r w:rsidR="00A70FDA" w:rsidRPr="00095BCD">
        <w:rPr>
          <w:rFonts w:ascii="Arial" w:hAnsi="Arial" w:cs="Arial"/>
          <w:sz w:val="24"/>
          <w:szCs w:val="24"/>
        </w:rPr>
        <w:t>would sustain in law the cause of action relied upon.</w:t>
      </w:r>
      <w:r>
        <w:rPr>
          <w:rStyle w:val="FootnoteReference"/>
          <w:rFonts w:ascii="Arial" w:hAnsi="Arial" w:cs="Arial"/>
          <w:sz w:val="24"/>
          <w:szCs w:val="24"/>
        </w:rPr>
        <w:footnoteReference w:id="6"/>
      </w:r>
      <w:r w:rsidR="00A70FDA" w:rsidRPr="00095BCD">
        <w:rPr>
          <w:rFonts w:ascii="Arial" w:hAnsi="Arial" w:cs="Arial"/>
          <w:sz w:val="24"/>
          <w:szCs w:val="24"/>
        </w:rPr>
        <w:t xml:space="preserve"> </w:t>
      </w:r>
      <w:r>
        <w:rPr>
          <w:rFonts w:ascii="Arial" w:hAnsi="Arial" w:cs="Arial"/>
          <w:sz w:val="24"/>
          <w:szCs w:val="24"/>
        </w:rPr>
        <w:t xml:space="preserve"> The respondent’s claim against the first and second applicants is founded on delict.  </w:t>
      </w:r>
      <w:r w:rsidR="008F4128">
        <w:rPr>
          <w:rFonts w:ascii="Arial" w:hAnsi="Arial" w:cs="Arial"/>
          <w:sz w:val="24"/>
          <w:szCs w:val="24"/>
        </w:rPr>
        <w:t xml:space="preserve">The pleaded cause of </w:t>
      </w:r>
      <w:r w:rsidR="008F4128">
        <w:rPr>
          <w:rFonts w:ascii="Arial" w:hAnsi="Arial" w:cs="Arial"/>
          <w:sz w:val="24"/>
          <w:szCs w:val="24"/>
        </w:rPr>
        <w:lastRenderedPageBreak/>
        <w:t>action against both of the applicants is founded on the same incident, taking place at the same time and place.</w:t>
      </w:r>
    </w:p>
    <w:p w14:paraId="7DF5A039" w14:textId="2DA97BE8" w:rsidR="00D75854" w:rsidRDefault="00D75854" w:rsidP="00D75854">
      <w:pPr>
        <w:pStyle w:val="ListParagraph"/>
        <w:spacing w:after="0" w:line="480" w:lineRule="auto"/>
        <w:ind w:left="851"/>
        <w:jc w:val="both"/>
        <w:rPr>
          <w:rFonts w:ascii="Arial" w:hAnsi="Arial" w:cs="Arial"/>
          <w:sz w:val="24"/>
          <w:szCs w:val="24"/>
        </w:rPr>
      </w:pPr>
    </w:p>
    <w:p w14:paraId="19A134D2" w14:textId="77FC2B38" w:rsidR="00D75854" w:rsidRDefault="00D75854" w:rsidP="00F964D9">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Regard being had to what I have stated above, it is startling that the second applicant contends that: (i) it does not have a direct and substantial interest in the litigation; (ii) a judgment of the court will not affect the interests of the second applicant prejudicially; and (iii) there is no live controversy between the respondent and the second applicant on the particulars of claim.</w:t>
      </w:r>
    </w:p>
    <w:p w14:paraId="5874190E" w14:textId="77777777" w:rsidR="00D75854" w:rsidRPr="00D75854" w:rsidRDefault="00D75854" w:rsidP="00F964D9">
      <w:pPr>
        <w:pStyle w:val="ListParagraph"/>
        <w:spacing w:after="0" w:line="480" w:lineRule="auto"/>
        <w:rPr>
          <w:rFonts w:ascii="Arial" w:hAnsi="Arial" w:cs="Arial"/>
          <w:sz w:val="24"/>
          <w:szCs w:val="24"/>
        </w:rPr>
      </w:pPr>
    </w:p>
    <w:p w14:paraId="4816767A" w14:textId="165A6860" w:rsidR="00383AA6" w:rsidRDefault="00D75854" w:rsidP="00F964D9">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w:t>
      </w:r>
      <w:r w:rsidR="008F4128">
        <w:rPr>
          <w:rFonts w:ascii="Arial" w:hAnsi="Arial" w:cs="Arial"/>
          <w:sz w:val="24"/>
          <w:szCs w:val="24"/>
        </w:rPr>
        <w:t xml:space="preserve">he plea on behalf of the second </w:t>
      </w:r>
      <w:r w:rsidR="00C20A8F">
        <w:rPr>
          <w:rFonts w:ascii="Arial" w:hAnsi="Arial" w:cs="Arial"/>
          <w:sz w:val="24"/>
          <w:szCs w:val="24"/>
        </w:rPr>
        <w:t>applicant</w:t>
      </w:r>
      <w:r w:rsidR="008F4128">
        <w:rPr>
          <w:rFonts w:ascii="Arial" w:hAnsi="Arial" w:cs="Arial"/>
          <w:sz w:val="24"/>
          <w:szCs w:val="24"/>
        </w:rPr>
        <w:t xml:space="preserve">, </w:t>
      </w:r>
      <w:r w:rsidR="00383AA6">
        <w:rPr>
          <w:rFonts w:ascii="Arial" w:hAnsi="Arial" w:cs="Arial"/>
          <w:sz w:val="24"/>
          <w:szCs w:val="24"/>
        </w:rPr>
        <w:t xml:space="preserve">if properly construed, </w:t>
      </w:r>
      <w:r w:rsidR="008F4128">
        <w:rPr>
          <w:rFonts w:ascii="Arial" w:hAnsi="Arial" w:cs="Arial"/>
          <w:sz w:val="24"/>
          <w:szCs w:val="24"/>
        </w:rPr>
        <w:t>is no more than</w:t>
      </w:r>
      <w:r w:rsidR="00383AA6">
        <w:rPr>
          <w:rFonts w:ascii="Arial" w:hAnsi="Arial" w:cs="Arial"/>
          <w:sz w:val="24"/>
          <w:szCs w:val="24"/>
        </w:rPr>
        <w:t xml:space="preserve"> one of a denial of liability, which does not fall within the ambit of mis-joinder</w:t>
      </w:r>
      <w:r>
        <w:rPr>
          <w:rFonts w:ascii="Arial" w:hAnsi="Arial" w:cs="Arial"/>
          <w:sz w:val="24"/>
          <w:szCs w:val="24"/>
        </w:rPr>
        <w:t xml:space="preserve"> and accordingly the special plea raised in this regard is ill conceived</w:t>
      </w:r>
      <w:r w:rsidR="00383AA6">
        <w:rPr>
          <w:rFonts w:ascii="Arial" w:hAnsi="Arial" w:cs="Arial"/>
          <w:sz w:val="24"/>
          <w:szCs w:val="24"/>
        </w:rPr>
        <w:t>.</w:t>
      </w:r>
    </w:p>
    <w:p w14:paraId="0EC2071B" w14:textId="7E34BBD3" w:rsidR="008F4128" w:rsidRPr="00383AA6" w:rsidRDefault="008F4128" w:rsidP="00F964D9">
      <w:pPr>
        <w:spacing w:after="0" w:line="480" w:lineRule="auto"/>
        <w:jc w:val="both"/>
        <w:rPr>
          <w:rFonts w:ascii="Arial" w:hAnsi="Arial" w:cs="Arial"/>
          <w:sz w:val="24"/>
          <w:szCs w:val="24"/>
        </w:rPr>
      </w:pPr>
      <w:r w:rsidRPr="00383AA6">
        <w:rPr>
          <w:rFonts w:ascii="Arial" w:hAnsi="Arial" w:cs="Arial"/>
          <w:sz w:val="24"/>
          <w:szCs w:val="24"/>
        </w:rPr>
        <w:t xml:space="preserve"> </w:t>
      </w:r>
    </w:p>
    <w:p w14:paraId="4B19157C" w14:textId="569BB884" w:rsidR="00B83B72" w:rsidRDefault="00F964D9" w:rsidP="00F964D9">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F</w:t>
      </w:r>
      <w:r w:rsidR="00B83B72">
        <w:rPr>
          <w:rFonts w:ascii="Arial" w:hAnsi="Arial" w:cs="Arial"/>
          <w:sz w:val="24"/>
          <w:szCs w:val="24"/>
        </w:rPr>
        <w:t xml:space="preserve">or the above reasons, </w:t>
      </w:r>
      <w:r>
        <w:rPr>
          <w:rFonts w:ascii="Arial" w:hAnsi="Arial" w:cs="Arial"/>
          <w:sz w:val="24"/>
          <w:szCs w:val="24"/>
        </w:rPr>
        <w:t xml:space="preserve">I am of the view </w:t>
      </w:r>
      <w:r w:rsidR="00B83B72">
        <w:rPr>
          <w:rFonts w:ascii="Arial" w:hAnsi="Arial" w:cs="Arial"/>
          <w:sz w:val="24"/>
          <w:szCs w:val="24"/>
        </w:rPr>
        <w:t xml:space="preserve">that there are no </w:t>
      </w:r>
      <w:r w:rsidR="00B83B72" w:rsidRPr="00B83B72">
        <w:rPr>
          <w:rFonts w:ascii="Arial" w:hAnsi="Arial" w:cs="Arial"/>
          <w:sz w:val="24"/>
          <w:szCs w:val="24"/>
        </w:rPr>
        <w:t>reasonable prospect</w:t>
      </w:r>
      <w:r w:rsidR="00B83B72">
        <w:rPr>
          <w:rFonts w:ascii="Arial" w:hAnsi="Arial" w:cs="Arial"/>
          <w:sz w:val="24"/>
          <w:szCs w:val="24"/>
        </w:rPr>
        <w:t>s</w:t>
      </w:r>
      <w:r w:rsidR="00B83B72" w:rsidRPr="00B83B72">
        <w:rPr>
          <w:rFonts w:ascii="Arial" w:hAnsi="Arial" w:cs="Arial"/>
          <w:sz w:val="24"/>
          <w:szCs w:val="24"/>
        </w:rPr>
        <w:t xml:space="preserve"> that another court will come to a different conclusion on </w:t>
      </w:r>
      <w:r w:rsidR="00B83B72">
        <w:rPr>
          <w:rFonts w:ascii="Arial" w:hAnsi="Arial" w:cs="Arial"/>
          <w:sz w:val="24"/>
          <w:szCs w:val="24"/>
        </w:rPr>
        <w:t>the issues of non-joinder and mis-joinder.</w:t>
      </w:r>
    </w:p>
    <w:p w14:paraId="4FD11592" w14:textId="3A36224A" w:rsidR="00B83B72" w:rsidRDefault="00B83B72" w:rsidP="008A481E">
      <w:pPr>
        <w:spacing w:after="0" w:line="480" w:lineRule="auto"/>
        <w:rPr>
          <w:rFonts w:ascii="Arial" w:hAnsi="Arial" w:cs="Arial"/>
          <w:sz w:val="24"/>
          <w:szCs w:val="24"/>
        </w:rPr>
      </w:pPr>
    </w:p>
    <w:p w14:paraId="49CE4C38" w14:textId="375312B0" w:rsidR="008A481E" w:rsidRPr="008A481E" w:rsidRDefault="008A481E" w:rsidP="008A481E">
      <w:pPr>
        <w:spacing w:after="0" w:line="480" w:lineRule="auto"/>
        <w:rPr>
          <w:rFonts w:ascii="Arial" w:hAnsi="Arial" w:cs="Arial"/>
          <w:b/>
          <w:bCs/>
          <w:sz w:val="24"/>
          <w:szCs w:val="24"/>
          <w:u w:val="single"/>
        </w:rPr>
      </w:pPr>
      <w:r w:rsidRPr="008A481E">
        <w:rPr>
          <w:rFonts w:ascii="Arial" w:hAnsi="Arial" w:cs="Arial"/>
          <w:b/>
          <w:bCs/>
          <w:sz w:val="24"/>
          <w:szCs w:val="24"/>
          <w:u w:val="single"/>
        </w:rPr>
        <w:t>The applicants’ third ground of appeal</w:t>
      </w:r>
    </w:p>
    <w:p w14:paraId="0900AC1A" w14:textId="77777777" w:rsidR="008A481E" w:rsidRPr="008A481E" w:rsidRDefault="008A481E" w:rsidP="008A481E">
      <w:pPr>
        <w:spacing w:after="0" w:line="480" w:lineRule="auto"/>
        <w:rPr>
          <w:rFonts w:ascii="Arial" w:hAnsi="Arial" w:cs="Arial"/>
          <w:sz w:val="24"/>
          <w:szCs w:val="24"/>
        </w:rPr>
      </w:pPr>
    </w:p>
    <w:p w14:paraId="45074298" w14:textId="4E50A2C5" w:rsidR="009A42E1" w:rsidRDefault="00F964D9" w:rsidP="00842E96">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The applicants’ third ground of appeal, as set out in paragraph 10, including sub-paragraphs 10.1 to 10.8 of the notice of application for leave to appeal, pertains to the formulation of </w:t>
      </w:r>
      <w:r w:rsidR="00495E4E">
        <w:rPr>
          <w:rFonts w:ascii="Arial" w:hAnsi="Arial" w:cs="Arial"/>
          <w:sz w:val="24"/>
          <w:szCs w:val="24"/>
        </w:rPr>
        <w:t>paragraph 6 of the respondent’s particulars of claim</w:t>
      </w:r>
      <w:r>
        <w:rPr>
          <w:rFonts w:ascii="Arial" w:hAnsi="Arial" w:cs="Arial"/>
          <w:sz w:val="24"/>
          <w:szCs w:val="24"/>
        </w:rPr>
        <w:t xml:space="preserve">.  </w:t>
      </w:r>
    </w:p>
    <w:p w14:paraId="429297E9" w14:textId="116948B4" w:rsidR="009A42E1" w:rsidRDefault="009A42E1" w:rsidP="00842E96">
      <w:pPr>
        <w:pStyle w:val="ListParagraph"/>
        <w:spacing w:after="0" w:line="480" w:lineRule="auto"/>
        <w:rPr>
          <w:rFonts w:ascii="Arial" w:hAnsi="Arial" w:cs="Arial"/>
          <w:sz w:val="24"/>
          <w:szCs w:val="24"/>
        </w:rPr>
      </w:pPr>
    </w:p>
    <w:p w14:paraId="7D41142A" w14:textId="0B6DE1D3" w:rsidR="00D60B65" w:rsidRDefault="00D60B65" w:rsidP="00D60B6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 xml:space="preserve">Due to an oversight, I note that my judgment contained a typographical error in that certain words were omitted </w:t>
      </w:r>
      <w:r w:rsidR="00C90C2B">
        <w:rPr>
          <w:rFonts w:ascii="Arial" w:hAnsi="Arial" w:cs="Arial"/>
          <w:sz w:val="24"/>
          <w:szCs w:val="24"/>
        </w:rPr>
        <w:t>in my recordal of</w:t>
      </w:r>
      <w:r>
        <w:rPr>
          <w:rFonts w:ascii="Arial" w:hAnsi="Arial" w:cs="Arial"/>
          <w:sz w:val="24"/>
          <w:szCs w:val="24"/>
        </w:rPr>
        <w:t xml:space="preserve"> the content of paragraph 6 of the respondent’s particulars of claim.  </w:t>
      </w:r>
      <w:r w:rsidR="00C90C2B">
        <w:rPr>
          <w:rFonts w:ascii="Arial" w:hAnsi="Arial" w:cs="Arial"/>
          <w:sz w:val="24"/>
          <w:szCs w:val="24"/>
        </w:rPr>
        <w:t>Whist nothing turns on this error, regard having been had to the pleadings at the time</w:t>
      </w:r>
      <w:r w:rsidR="00E54697">
        <w:rPr>
          <w:rFonts w:ascii="Arial" w:hAnsi="Arial" w:cs="Arial"/>
          <w:sz w:val="24"/>
          <w:szCs w:val="24"/>
        </w:rPr>
        <w:t xml:space="preserve"> of writing my judgment</w:t>
      </w:r>
      <w:r w:rsidR="00C90C2B">
        <w:rPr>
          <w:rFonts w:ascii="Arial" w:hAnsi="Arial" w:cs="Arial"/>
          <w:sz w:val="24"/>
          <w:szCs w:val="24"/>
        </w:rPr>
        <w:t>, I repeat the relevant portion of the said paragraph herein</w:t>
      </w:r>
      <w:r>
        <w:rPr>
          <w:rFonts w:ascii="Arial" w:hAnsi="Arial" w:cs="Arial"/>
          <w:sz w:val="24"/>
          <w:szCs w:val="24"/>
        </w:rPr>
        <w:t>, with the previously omitted words being underlined for ease of reference.  The said paragraph reads as follows:</w:t>
      </w:r>
    </w:p>
    <w:p w14:paraId="44AF9AED" w14:textId="77777777" w:rsidR="00D60B65" w:rsidRPr="00B463CC" w:rsidRDefault="00D60B65" w:rsidP="00D60B65">
      <w:pPr>
        <w:pStyle w:val="ListParagraph"/>
        <w:spacing w:after="0" w:line="360" w:lineRule="auto"/>
        <w:rPr>
          <w:rFonts w:ascii="Arial" w:hAnsi="Arial" w:cs="Arial"/>
          <w:sz w:val="24"/>
          <w:szCs w:val="24"/>
        </w:rPr>
      </w:pPr>
    </w:p>
    <w:p w14:paraId="1FD73FC1" w14:textId="77777777" w:rsidR="00D60B65" w:rsidRPr="00C72CB6" w:rsidRDefault="00D60B65" w:rsidP="00D60B65">
      <w:pPr>
        <w:pStyle w:val="ListParagraph"/>
        <w:spacing w:after="0" w:line="360" w:lineRule="auto"/>
        <w:ind w:left="1436" w:hanging="585"/>
        <w:jc w:val="both"/>
        <w:rPr>
          <w:rFonts w:ascii="Arial" w:hAnsi="Arial" w:cs="Arial"/>
          <w:i/>
          <w:iCs/>
          <w:sz w:val="20"/>
          <w:szCs w:val="20"/>
        </w:rPr>
      </w:pPr>
      <w:r w:rsidRPr="00C72CB6">
        <w:rPr>
          <w:rFonts w:ascii="Arial" w:hAnsi="Arial" w:cs="Arial"/>
          <w:sz w:val="20"/>
          <w:szCs w:val="20"/>
        </w:rPr>
        <w:t>“</w:t>
      </w:r>
      <w:r w:rsidRPr="00C72CB6">
        <w:rPr>
          <w:rFonts w:ascii="Arial" w:hAnsi="Arial" w:cs="Arial"/>
          <w:i/>
          <w:iCs/>
          <w:sz w:val="20"/>
          <w:szCs w:val="20"/>
        </w:rPr>
        <w:t>6.</w:t>
      </w:r>
      <w:r w:rsidRPr="00C72CB6">
        <w:rPr>
          <w:rFonts w:ascii="Arial" w:hAnsi="Arial" w:cs="Arial"/>
          <w:i/>
          <w:iCs/>
          <w:sz w:val="20"/>
          <w:szCs w:val="20"/>
        </w:rPr>
        <w:tab/>
        <w:t>The Plaintiff’s slip and fall was caused by, and ascribable to, the negligence of the First Defendant</w:t>
      </w:r>
      <w:r w:rsidRPr="00C72CB6">
        <w:rPr>
          <w:rFonts w:ascii="Arial" w:hAnsi="Arial" w:cs="Arial"/>
          <w:i/>
          <w:iCs/>
          <w:sz w:val="20"/>
          <w:szCs w:val="20"/>
          <w:u w:val="single"/>
        </w:rPr>
        <w:t>, alternatively the Second Defendant, alternatively both Defendants,</w:t>
      </w:r>
      <w:r w:rsidRPr="00C72CB6">
        <w:rPr>
          <w:rFonts w:ascii="Arial" w:hAnsi="Arial" w:cs="Arial"/>
          <w:i/>
          <w:iCs/>
          <w:sz w:val="20"/>
          <w:szCs w:val="20"/>
        </w:rPr>
        <w:t xml:space="preserve"> and/or one or more of their employees and/or cleaning contractors, who acted within the course and scope of their employment, and who were negligent in one or more or all of the following respects:”</w:t>
      </w:r>
    </w:p>
    <w:p w14:paraId="0F16EAF9" w14:textId="77777777" w:rsidR="00D60B65" w:rsidRPr="009A42E1" w:rsidRDefault="00D60B65" w:rsidP="00842E96">
      <w:pPr>
        <w:pStyle w:val="ListParagraph"/>
        <w:spacing w:after="0" w:line="480" w:lineRule="auto"/>
        <w:rPr>
          <w:rFonts w:ascii="Arial" w:hAnsi="Arial" w:cs="Arial"/>
          <w:sz w:val="24"/>
          <w:szCs w:val="24"/>
        </w:rPr>
      </w:pPr>
    </w:p>
    <w:p w14:paraId="52999F2F" w14:textId="77777777" w:rsidR="00831BF9" w:rsidRDefault="00F964D9" w:rsidP="00842E96">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In short, the applicants take issue with the </w:t>
      </w:r>
      <w:r w:rsidR="007F4F9D">
        <w:rPr>
          <w:rFonts w:ascii="Arial" w:hAnsi="Arial" w:cs="Arial"/>
          <w:sz w:val="24"/>
          <w:szCs w:val="24"/>
        </w:rPr>
        <w:t xml:space="preserve">manner in which </w:t>
      </w:r>
      <w:r w:rsidR="004E0297">
        <w:rPr>
          <w:rFonts w:ascii="Arial" w:hAnsi="Arial" w:cs="Arial"/>
          <w:sz w:val="24"/>
          <w:szCs w:val="24"/>
        </w:rPr>
        <w:t xml:space="preserve">the respondent utilised </w:t>
      </w:r>
      <w:r w:rsidR="007F4F9D">
        <w:rPr>
          <w:rFonts w:ascii="Arial" w:hAnsi="Arial" w:cs="Arial"/>
          <w:sz w:val="24"/>
          <w:szCs w:val="24"/>
        </w:rPr>
        <w:t xml:space="preserve">the expression </w:t>
      </w:r>
      <w:r w:rsidR="008901EE">
        <w:rPr>
          <w:rFonts w:ascii="Arial" w:hAnsi="Arial" w:cs="Arial"/>
          <w:sz w:val="24"/>
          <w:szCs w:val="24"/>
        </w:rPr>
        <w:t>“</w:t>
      </w:r>
      <w:r w:rsidR="007F4F9D" w:rsidRPr="008901EE">
        <w:rPr>
          <w:rFonts w:ascii="Arial" w:hAnsi="Arial" w:cs="Arial"/>
          <w:i/>
          <w:iCs/>
          <w:sz w:val="24"/>
          <w:szCs w:val="24"/>
        </w:rPr>
        <w:t>and/or</w:t>
      </w:r>
      <w:r w:rsidR="008901EE">
        <w:rPr>
          <w:rFonts w:ascii="Arial" w:hAnsi="Arial" w:cs="Arial"/>
          <w:sz w:val="24"/>
          <w:szCs w:val="24"/>
        </w:rPr>
        <w:t>”</w:t>
      </w:r>
      <w:r w:rsidR="007F4F9D">
        <w:rPr>
          <w:rFonts w:ascii="Arial" w:hAnsi="Arial" w:cs="Arial"/>
          <w:sz w:val="24"/>
          <w:szCs w:val="24"/>
        </w:rPr>
        <w:t xml:space="preserve"> in </w:t>
      </w:r>
      <w:r w:rsidR="004E0297">
        <w:rPr>
          <w:rFonts w:ascii="Arial" w:hAnsi="Arial" w:cs="Arial"/>
          <w:sz w:val="24"/>
          <w:szCs w:val="24"/>
        </w:rPr>
        <w:t>paragraph 6 of his particulars of claim, and</w:t>
      </w:r>
      <w:r w:rsidR="008901EE">
        <w:rPr>
          <w:rFonts w:ascii="Arial" w:hAnsi="Arial" w:cs="Arial"/>
          <w:sz w:val="24"/>
          <w:szCs w:val="24"/>
        </w:rPr>
        <w:t xml:space="preserve"> </w:t>
      </w:r>
      <w:r w:rsidR="004E0297">
        <w:rPr>
          <w:rFonts w:ascii="Arial" w:hAnsi="Arial" w:cs="Arial"/>
          <w:sz w:val="24"/>
          <w:szCs w:val="24"/>
        </w:rPr>
        <w:t>concomitantly</w:t>
      </w:r>
      <w:r w:rsidR="008901EE">
        <w:rPr>
          <w:rFonts w:ascii="Arial" w:hAnsi="Arial" w:cs="Arial"/>
          <w:sz w:val="24"/>
          <w:szCs w:val="24"/>
        </w:rPr>
        <w:t>, the manner in which I</w:t>
      </w:r>
      <w:r w:rsidR="004E0297">
        <w:rPr>
          <w:rFonts w:ascii="Arial" w:hAnsi="Arial" w:cs="Arial"/>
          <w:sz w:val="24"/>
          <w:szCs w:val="24"/>
        </w:rPr>
        <w:t xml:space="preserve"> dealt </w:t>
      </w:r>
      <w:r w:rsidR="005F6A0F">
        <w:rPr>
          <w:rFonts w:ascii="Arial" w:hAnsi="Arial" w:cs="Arial"/>
          <w:sz w:val="24"/>
          <w:szCs w:val="24"/>
        </w:rPr>
        <w:t>therewith</w:t>
      </w:r>
      <w:r w:rsidR="004E0297">
        <w:rPr>
          <w:rFonts w:ascii="Arial" w:hAnsi="Arial" w:cs="Arial"/>
          <w:sz w:val="24"/>
          <w:szCs w:val="24"/>
        </w:rPr>
        <w:t xml:space="preserve">.  </w:t>
      </w:r>
    </w:p>
    <w:p w14:paraId="4D08B93F" w14:textId="77777777" w:rsidR="00831BF9" w:rsidRDefault="00831BF9" w:rsidP="00831BF9">
      <w:pPr>
        <w:pStyle w:val="ListParagraph"/>
        <w:spacing w:after="0" w:line="480" w:lineRule="auto"/>
        <w:ind w:left="851"/>
        <w:jc w:val="both"/>
        <w:rPr>
          <w:rFonts w:ascii="Arial" w:hAnsi="Arial" w:cs="Arial"/>
          <w:sz w:val="24"/>
          <w:szCs w:val="24"/>
        </w:rPr>
      </w:pPr>
    </w:p>
    <w:p w14:paraId="7E3A9976" w14:textId="7A2F7CA2" w:rsidR="009A42E1" w:rsidRPr="00D42ED9" w:rsidRDefault="005F6A0F" w:rsidP="00D42ED9">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w:t>
      </w:r>
      <w:r w:rsidR="007F4F9D">
        <w:rPr>
          <w:rFonts w:ascii="Arial" w:hAnsi="Arial" w:cs="Arial"/>
          <w:sz w:val="24"/>
          <w:szCs w:val="24"/>
        </w:rPr>
        <w:t xml:space="preserve">he </w:t>
      </w:r>
      <w:r>
        <w:rPr>
          <w:rFonts w:ascii="Arial" w:hAnsi="Arial" w:cs="Arial"/>
          <w:sz w:val="24"/>
          <w:szCs w:val="24"/>
        </w:rPr>
        <w:t xml:space="preserve">applicants’ contention </w:t>
      </w:r>
      <w:r w:rsidR="00B8757F">
        <w:rPr>
          <w:rFonts w:ascii="Arial" w:hAnsi="Arial" w:cs="Arial"/>
          <w:sz w:val="24"/>
          <w:szCs w:val="24"/>
        </w:rPr>
        <w:t>is</w:t>
      </w:r>
      <w:r>
        <w:rPr>
          <w:rFonts w:ascii="Arial" w:hAnsi="Arial" w:cs="Arial"/>
          <w:sz w:val="24"/>
          <w:szCs w:val="24"/>
        </w:rPr>
        <w:t xml:space="preserve"> that the said expression </w:t>
      </w:r>
      <w:r w:rsidR="007F4F9D">
        <w:rPr>
          <w:rFonts w:ascii="Arial" w:hAnsi="Arial" w:cs="Arial"/>
          <w:sz w:val="24"/>
          <w:szCs w:val="24"/>
        </w:rPr>
        <w:t xml:space="preserve">has been the subject of </w:t>
      </w:r>
      <w:r w:rsidR="009A42E1">
        <w:rPr>
          <w:rFonts w:ascii="Arial" w:hAnsi="Arial" w:cs="Arial"/>
          <w:sz w:val="24"/>
          <w:szCs w:val="24"/>
        </w:rPr>
        <w:t>“</w:t>
      </w:r>
      <w:r w:rsidR="007F4F9D" w:rsidRPr="009A42E1">
        <w:rPr>
          <w:rFonts w:ascii="Arial" w:hAnsi="Arial" w:cs="Arial"/>
          <w:i/>
          <w:iCs/>
          <w:sz w:val="24"/>
          <w:szCs w:val="24"/>
        </w:rPr>
        <w:t>judicial disapproval</w:t>
      </w:r>
      <w:r>
        <w:rPr>
          <w:rFonts w:ascii="Arial" w:hAnsi="Arial" w:cs="Arial"/>
          <w:i/>
          <w:iCs/>
          <w:sz w:val="24"/>
          <w:szCs w:val="24"/>
        </w:rPr>
        <w:t>”</w:t>
      </w:r>
      <w:r w:rsidR="007F4F9D" w:rsidRPr="009A42E1">
        <w:rPr>
          <w:rFonts w:ascii="Arial" w:hAnsi="Arial" w:cs="Arial"/>
          <w:i/>
          <w:iCs/>
          <w:sz w:val="24"/>
          <w:szCs w:val="24"/>
        </w:rPr>
        <w:t xml:space="preserve"> </w:t>
      </w:r>
      <w:r>
        <w:rPr>
          <w:rFonts w:ascii="Arial" w:hAnsi="Arial" w:cs="Arial"/>
          <w:sz w:val="24"/>
          <w:szCs w:val="24"/>
        </w:rPr>
        <w:t>and</w:t>
      </w:r>
      <w:r w:rsidR="007F4F9D" w:rsidRPr="009A42E1">
        <w:rPr>
          <w:rFonts w:ascii="Arial" w:hAnsi="Arial" w:cs="Arial"/>
          <w:i/>
          <w:iCs/>
          <w:sz w:val="24"/>
          <w:szCs w:val="24"/>
        </w:rPr>
        <w:t xml:space="preserve"> </w:t>
      </w:r>
      <w:r>
        <w:rPr>
          <w:rFonts w:ascii="Arial" w:hAnsi="Arial" w:cs="Arial"/>
          <w:i/>
          <w:iCs/>
          <w:sz w:val="24"/>
          <w:szCs w:val="24"/>
        </w:rPr>
        <w:t>“</w:t>
      </w:r>
      <w:r w:rsidR="007F4F9D" w:rsidRPr="009A42E1">
        <w:rPr>
          <w:rFonts w:ascii="Arial" w:hAnsi="Arial" w:cs="Arial"/>
          <w:i/>
          <w:iCs/>
          <w:sz w:val="24"/>
          <w:szCs w:val="24"/>
        </w:rPr>
        <w:t>endangers</w:t>
      </w:r>
      <w:r w:rsidR="009A42E1">
        <w:rPr>
          <w:rFonts w:ascii="Arial" w:hAnsi="Arial" w:cs="Arial"/>
          <w:sz w:val="24"/>
          <w:szCs w:val="24"/>
        </w:rPr>
        <w:t>”</w:t>
      </w:r>
      <w:r w:rsidR="007F4F9D">
        <w:rPr>
          <w:rFonts w:ascii="Arial" w:hAnsi="Arial" w:cs="Arial"/>
          <w:sz w:val="24"/>
          <w:szCs w:val="24"/>
        </w:rPr>
        <w:t xml:space="preserve"> the </w:t>
      </w:r>
      <w:r w:rsidR="009A42E1">
        <w:rPr>
          <w:rFonts w:ascii="Arial" w:hAnsi="Arial" w:cs="Arial"/>
          <w:sz w:val="24"/>
          <w:szCs w:val="24"/>
        </w:rPr>
        <w:t>“</w:t>
      </w:r>
      <w:r w:rsidR="007F4F9D" w:rsidRPr="009A42E1">
        <w:rPr>
          <w:rFonts w:ascii="Arial" w:hAnsi="Arial" w:cs="Arial"/>
          <w:i/>
          <w:iCs/>
          <w:sz w:val="24"/>
          <w:szCs w:val="24"/>
        </w:rPr>
        <w:t>accuracy in the pleadings</w:t>
      </w:r>
      <w:r w:rsidR="009A42E1">
        <w:rPr>
          <w:rFonts w:ascii="Arial" w:hAnsi="Arial" w:cs="Arial"/>
          <w:sz w:val="24"/>
          <w:szCs w:val="24"/>
        </w:rPr>
        <w:t>”</w:t>
      </w:r>
      <w:r w:rsidR="007F4F9D">
        <w:rPr>
          <w:rFonts w:ascii="Arial" w:hAnsi="Arial" w:cs="Arial"/>
          <w:sz w:val="24"/>
          <w:szCs w:val="24"/>
        </w:rPr>
        <w:t xml:space="preserve">.  </w:t>
      </w:r>
      <w:r w:rsidR="009A42E1">
        <w:rPr>
          <w:rFonts w:ascii="Arial" w:hAnsi="Arial" w:cs="Arial"/>
          <w:sz w:val="24"/>
          <w:szCs w:val="24"/>
        </w:rPr>
        <w:t>In essence, the main complaint on behalf of the applicants is that</w:t>
      </w:r>
      <w:r>
        <w:rPr>
          <w:rFonts w:ascii="Arial" w:hAnsi="Arial" w:cs="Arial"/>
          <w:sz w:val="24"/>
          <w:szCs w:val="24"/>
        </w:rPr>
        <w:t xml:space="preserve"> the use of such expression </w:t>
      </w:r>
      <w:r w:rsidR="009A42E1">
        <w:rPr>
          <w:rFonts w:ascii="Arial" w:hAnsi="Arial" w:cs="Arial"/>
          <w:sz w:val="24"/>
          <w:szCs w:val="24"/>
        </w:rPr>
        <w:t>resulted in the applicants being prejudiced or embarrassed and subjected to a trial by ambush.</w:t>
      </w:r>
      <w:r w:rsidR="00B64277">
        <w:rPr>
          <w:rFonts w:ascii="Arial" w:hAnsi="Arial" w:cs="Arial"/>
          <w:sz w:val="24"/>
          <w:szCs w:val="24"/>
        </w:rPr>
        <w:t xml:space="preserve">  </w:t>
      </w:r>
      <w:r w:rsidR="00B64277" w:rsidRPr="00D42ED9">
        <w:rPr>
          <w:rFonts w:ascii="Arial" w:hAnsi="Arial" w:cs="Arial"/>
          <w:sz w:val="24"/>
          <w:szCs w:val="24"/>
        </w:rPr>
        <w:t>I pause to mention that this was not raised by the applicants at trial and accordingly, was not dealt with by me in my judgment.</w:t>
      </w:r>
    </w:p>
    <w:p w14:paraId="6D1C58FB" w14:textId="77777777" w:rsidR="005F6A0F" w:rsidRPr="005F6A0F" w:rsidRDefault="005F6A0F" w:rsidP="00842E96">
      <w:pPr>
        <w:pStyle w:val="ListParagraph"/>
        <w:spacing w:after="0" w:line="480" w:lineRule="auto"/>
        <w:rPr>
          <w:rFonts w:ascii="Arial" w:hAnsi="Arial" w:cs="Arial"/>
          <w:sz w:val="24"/>
          <w:szCs w:val="24"/>
        </w:rPr>
      </w:pPr>
    </w:p>
    <w:p w14:paraId="2D7D0AE0" w14:textId="7A2C1C09" w:rsidR="00B64277" w:rsidRDefault="00842E96" w:rsidP="00495E4E">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Not only is th</w:t>
      </w:r>
      <w:r w:rsidR="00B64277">
        <w:rPr>
          <w:rFonts w:ascii="Arial" w:hAnsi="Arial" w:cs="Arial"/>
          <w:sz w:val="24"/>
          <w:szCs w:val="24"/>
        </w:rPr>
        <w:t>e aforesaid</w:t>
      </w:r>
      <w:r>
        <w:rPr>
          <w:rFonts w:ascii="Arial" w:hAnsi="Arial" w:cs="Arial"/>
          <w:sz w:val="24"/>
          <w:szCs w:val="24"/>
        </w:rPr>
        <w:t xml:space="preserve"> an incorrect assessment of the</w:t>
      </w:r>
      <w:r w:rsidR="008901EE">
        <w:rPr>
          <w:rFonts w:ascii="Arial" w:hAnsi="Arial" w:cs="Arial"/>
          <w:sz w:val="24"/>
          <w:szCs w:val="24"/>
        </w:rPr>
        <w:t xml:space="preserve"> present state of our</w:t>
      </w:r>
      <w:r>
        <w:rPr>
          <w:rFonts w:ascii="Arial" w:hAnsi="Arial" w:cs="Arial"/>
          <w:sz w:val="24"/>
          <w:szCs w:val="24"/>
        </w:rPr>
        <w:t xml:space="preserve"> law, but such allegations are misleading.</w:t>
      </w:r>
      <w:r w:rsidR="009C6538">
        <w:rPr>
          <w:rFonts w:ascii="Arial" w:hAnsi="Arial" w:cs="Arial"/>
          <w:sz w:val="24"/>
          <w:szCs w:val="24"/>
        </w:rPr>
        <w:t xml:space="preserve">  </w:t>
      </w:r>
    </w:p>
    <w:p w14:paraId="311710A9" w14:textId="77777777" w:rsidR="00B64277" w:rsidRPr="00B64277" w:rsidRDefault="00B64277" w:rsidP="00495E4E">
      <w:pPr>
        <w:pStyle w:val="ListParagraph"/>
        <w:spacing w:after="0" w:line="480" w:lineRule="auto"/>
        <w:rPr>
          <w:rFonts w:ascii="Arial" w:hAnsi="Arial" w:cs="Arial"/>
          <w:sz w:val="24"/>
          <w:szCs w:val="24"/>
        </w:rPr>
      </w:pPr>
    </w:p>
    <w:p w14:paraId="0B30B55B" w14:textId="77777777" w:rsidR="00AF4630" w:rsidRDefault="00541132" w:rsidP="00B03CB7">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Insofar as the applicants belatedly now contend that they</w:t>
      </w:r>
      <w:r w:rsidR="00290DDF">
        <w:rPr>
          <w:rFonts w:ascii="Arial" w:hAnsi="Arial" w:cs="Arial"/>
          <w:sz w:val="24"/>
          <w:szCs w:val="24"/>
        </w:rPr>
        <w:t xml:space="preserve"> were</w:t>
      </w:r>
      <w:r>
        <w:rPr>
          <w:rFonts w:ascii="Arial" w:hAnsi="Arial" w:cs="Arial"/>
          <w:sz w:val="24"/>
          <w:szCs w:val="24"/>
        </w:rPr>
        <w:t xml:space="preserve"> </w:t>
      </w:r>
      <w:r w:rsidR="00290DDF">
        <w:rPr>
          <w:rFonts w:ascii="Arial" w:hAnsi="Arial" w:cs="Arial"/>
          <w:sz w:val="24"/>
          <w:szCs w:val="24"/>
        </w:rPr>
        <w:t xml:space="preserve">prejudiced; embarrassed; or subject to a trial by ambush in that they at all stages understood the respondent’s pleaded case to be founded </w:t>
      </w:r>
      <w:r w:rsidR="00AF4630">
        <w:rPr>
          <w:rFonts w:ascii="Arial" w:hAnsi="Arial" w:cs="Arial"/>
          <w:sz w:val="24"/>
          <w:szCs w:val="24"/>
        </w:rPr>
        <w:t xml:space="preserve">solely </w:t>
      </w:r>
      <w:r w:rsidR="00290DDF">
        <w:rPr>
          <w:rFonts w:ascii="Arial" w:hAnsi="Arial" w:cs="Arial"/>
          <w:sz w:val="24"/>
          <w:szCs w:val="24"/>
        </w:rPr>
        <w:t xml:space="preserve">on vicarious liability for the alleged wrongs committed by </w:t>
      </w:r>
      <w:r w:rsidR="00290DDF">
        <w:rPr>
          <w:rFonts w:ascii="Arial" w:hAnsi="Arial" w:cs="Arial"/>
          <w:i/>
          <w:iCs/>
          <w:sz w:val="24"/>
          <w:szCs w:val="24"/>
        </w:rPr>
        <w:t>Sky Ground</w:t>
      </w:r>
      <w:r w:rsidR="00290DDF">
        <w:rPr>
          <w:rFonts w:ascii="Arial" w:hAnsi="Arial" w:cs="Arial"/>
          <w:sz w:val="24"/>
          <w:szCs w:val="24"/>
        </w:rPr>
        <w:t>, such contentions can be dismissed out of hand.</w:t>
      </w:r>
    </w:p>
    <w:p w14:paraId="66AA161C" w14:textId="77777777" w:rsidR="00AF4630" w:rsidRPr="00AF4630" w:rsidRDefault="00AF4630" w:rsidP="00B03CB7">
      <w:pPr>
        <w:pStyle w:val="ListParagraph"/>
        <w:spacing w:after="0" w:line="480" w:lineRule="auto"/>
        <w:rPr>
          <w:rFonts w:ascii="Arial" w:hAnsi="Arial" w:cs="Arial"/>
          <w:sz w:val="24"/>
          <w:szCs w:val="24"/>
        </w:rPr>
      </w:pPr>
    </w:p>
    <w:p w14:paraId="386A8FC2" w14:textId="7EDCA482" w:rsidR="00AF4630" w:rsidRDefault="00AF4630" w:rsidP="00B03CB7">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 applicants, in their request for trial particulars, dated 4 June 2021, requested the following trial particulars from the respondent:</w:t>
      </w:r>
    </w:p>
    <w:p w14:paraId="6B19D439" w14:textId="77777777" w:rsidR="00AF4630" w:rsidRPr="00AF4630" w:rsidRDefault="00AF4630" w:rsidP="0073548F">
      <w:pPr>
        <w:pStyle w:val="ListParagraph"/>
        <w:spacing w:after="0" w:line="480" w:lineRule="auto"/>
        <w:rPr>
          <w:rFonts w:ascii="Arial" w:hAnsi="Arial" w:cs="Arial"/>
          <w:sz w:val="24"/>
          <w:szCs w:val="24"/>
        </w:rPr>
      </w:pPr>
    </w:p>
    <w:p w14:paraId="1371603D" w14:textId="651A8C44" w:rsidR="00AF4630" w:rsidRPr="0073548F" w:rsidRDefault="00AF4630" w:rsidP="00AF4630">
      <w:pPr>
        <w:pStyle w:val="ListParagraph"/>
        <w:spacing w:after="0" w:line="360" w:lineRule="auto"/>
        <w:ind w:left="1436" w:hanging="585"/>
        <w:jc w:val="both"/>
        <w:rPr>
          <w:rFonts w:ascii="Arial" w:hAnsi="Arial" w:cs="Arial"/>
          <w:i/>
          <w:iCs/>
          <w:sz w:val="20"/>
          <w:szCs w:val="20"/>
          <w:lang w:val="en-US"/>
        </w:rPr>
      </w:pPr>
      <w:r w:rsidRPr="00AF4630">
        <w:rPr>
          <w:rFonts w:ascii="Arial" w:hAnsi="Arial" w:cs="Arial"/>
          <w:sz w:val="20"/>
          <w:szCs w:val="20"/>
        </w:rPr>
        <w:t>“</w:t>
      </w:r>
      <w:r w:rsidRPr="0073548F">
        <w:rPr>
          <w:rFonts w:ascii="Arial" w:hAnsi="Arial" w:cs="Arial"/>
          <w:i/>
          <w:iCs/>
          <w:sz w:val="20"/>
          <w:szCs w:val="20"/>
        </w:rPr>
        <w:t>1.2</w:t>
      </w:r>
      <w:r w:rsidRPr="0073548F">
        <w:rPr>
          <w:rFonts w:ascii="Arial" w:hAnsi="Arial" w:cs="Arial"/>
          <w:i/>
          <w:iCs/>
          <w:sz w:val="20"/>
          <w:szCs w:val="20"/>
        </w:rPr>
        <w:tab/>
        <w:t>T</w:t>
      </w:r>
      <w:r w:rsidRPr="0073548F">
        <w:rPr>
          <w:rFonts w:ascii="Arial" w:hAnsi="Arial" w:cs="Arial"/>
          <w:i/>
          <w:iCs/>
          <w:sz w:val="20"/>
          <w:szCs w:val="20"/>
          <w:lang w:val="en-US"/>
        </w:rPr>
        <w:t>he plaintiff is requested to explain with when references made that the plaintiff’s ‘slip and fall was caused by the ascribable to the negligence of the first defendant’ which grounds of negligence are ascribable to the first defendant only.  Full details and particularity are requested.</w:t>
      </w:r>
    </w:p>
    <w:p w14:paraId="2DE15ECB" w14:textId="77777777" w:rsidR="00AF4630" w:rsidRPr="0073548F" w:rsidRDefault="00AF4630" w:rsidP="00AF4630">
      <w:pPr>
        <w:pStyle w:val="ListParagraph"/>
        <w:spacing w:after="0" w:line="360" w:lineRule="auto"/>
        <w:ind w:left="851"/>
        <w:jc w:val="both"/>
        <w:rPr>
          <w:rFonts w:ascii="Arial" w:hAnsi="Arial" w:cs="Arial"/>
          <w:i/>
          <w:iCs/>
          <w:sz w:val="20"/>
          <w:szCs w:val="20"/>
          <w:lang w:val="en-US"/>
        </w:rPr>
      </w:pPr>
    </w:p>
    <w:p w14:paraId="131D098B" w14:textId="397EB62C" w:rsidR="00AF4630" w:rsidRPr="0073548F" w:rsidRDefault="00AF4630" w:rsidP="00AF4630">
      <w:pPr>
        <w:pStyle w:val="ListParagraph"/>
        <w:spacing w:after="0" w:line="360" w:lineRule="auto"/>
        <w:ind w:left="1436" w:hanging="585"/>
        <w:jc w:val="both"/>
        <w:rPr>
          <w:rFonts w:ascii="Arial" w:hAnsi="Arial" w:cs="Arial"/>
          <w:i/>
          <w:iCs/>
          <w:sz w:val="20"/>
          <w:szCs w:val="20"/>
          <w:lang w:val="en-US"/>
        </w:rPr>
      </w:pPr>
      <w:r w:rsidRPr="0073548F">
        <w:rPr>
          <w:rFonts w:ascii="Arial" w:hAnsi="Arial" w:cs="Arial"/>
          <w:i/>
          <w:iCs/>
          <w:sz w:val="20"/>
          <w:szCs w:val="20"/>
          <w:lang w:val="en-US"/>
        </w:rPr>
        <w:t>1.3</w:t>
      </w:r>
      <w:r w:rsidRPr="0073548F">
        <w:rPr>
          <w:rFonts w:ascii="Arial" w:hAnsi="Arial" w:cs="Arial"/>
          <w:i/>
          <w:iCs/>
          <w:sz w:val="20"/>
          <w:szCs w:val="20"/>
          <w:lang w:val="en-US"/>
        </w:rPr>
        <w:tab/>
        <w:t>The plaintiff is requested to explain what negligence is ascribable to the second defendant.  Full details and particularity are requested.</w:t>
      </w:r>
    </w:p>
    <w:p w14:paraId="4E5EE904" w14:textId="77777777" w:rsidR="00AF4630" w:rsidRPr="0073548F" w:rsidRDefault="00AF4630" w:rsidP="00AF4630">
      <w:pPr>
        <w:pStyle w:val="ListParagraph"/>
        <w:spacing w:after="0" w:line="360" w:lineRule="auto"/>
        <w:ind w:left="851"/>
        <w:jc w:val="both"/>
        <w:rPr>
          <w:rFonts w:ascii="Arial" w:hAnsi="Arial" w:cs="Arial"/>
          <w:i/>
          <w:iCs/>
          <w:sz w:val="20"/>
          <w:szCs w:val="20"/>
          <w:lang w:val="en-US"/>
        </w:rPr>
      </w:pPr>
    </w:p>
    <w:p w14:paraId="6F438754" w14:textId="29965F10" w:rsidR="00290DDF" w:rsidRPr="00AF4630" w:rsidRDefault="00AF4630" w:rsidP="00AF4630">
      <w:pPr>
        <w:pStyle w:val="ListParagraph"/>
        <w:spacing w:after="0" w:line="360" w:lineRule="auto"/>
        <w:ind w:left="1436" w:hanging="585"/>
        <w:jc w:val="both"/>
        <w:rPr>
          <w:rFonts w:ascii="Arial" w:hAnsi="Arial" w:cs="Arial"/>
          <w:sz w:val="20"/>
          <w:szCs w:val="20"/>
        </w:rPr>
      </w:pPr>
      <w:r w:rsidRPr="0073548F">
        <w:rPr>
          <w:rFonts w:ascii="Arial" w:hAnsi="Arial" w:cs="Arial"/>
          <w:i/>
          <w:iCs/>
          <w:sz w:val="20"/>
          <w:szCs w:val="20"/>
          <w:lang w:val="en-US"/>
        </w:rPr>
        <w:t>1.4</w:t>
      </w:r>
      <w:r w:rsidRPr="0073548F">
        <w:rPr>
          <w:rFonts w:ascii="Arial" w:hAnsi="Arial" w:cs="Arial"/>
          <w:i/>
          <w:iCs/>
          <w:sz w:val="20"/>
          <w:szCs w:val="20"/>
          <w:lang w:val="en-US"/>
        </w:rPr>
        <w:tab/>
        <w:t>The plaintiff is further requested to explain whether there are similar grounds of negligence that is (sic) ascribable to both first and second defendants.</w:t>
      </w:r>
      <w:r w:rsidR="0073548F" w:rsidRPr="0073548F">
        <w:rPr>
          <w:rFonts w:ascii="Arial" w:hAnsi="Arial" w:cs="Arial"/>
          <w:i/>
          <w:iCs/>
          <w:sz w:val="20"/>
          <w:szCs w:val="20"/>
          <w:lang w:val="en-US"/>
        </w:rPr>
        <w:t xml:space="preserve"> </w:t>
      </w:r>
      <w:r w:rsidRPr="0073548F">
        <w:rPr>
          <w:rFonts w:ascii="Arial" w:hAnsi="Arial" w:cs="Arial"/>
          <w:i/>
          <w:iCs/>
          <w:sz w:val="20"/>
          <w:szCs w:val="20"/>
          <w:lang w:val="en-US"/>
        </w:rPr>
        <w:t xml:space="preserve"> Full details and particularity are requested</w:t>
      </w:r>
      <w:r w:rsidR="0073548F" w:rsidRPr="0073548F">
        <w:rPr>
          <w:rFonts w:ascii="Arial" w:hAnsi="Arial" w:cs="Arial"/>
          <w:i/>
          <w:iCs/>
          <w:sz w:val="20"/>
          <w:szCs w:val="20"/>
          <w:lang w:val="en-US"/>
        </w:rPr>
        <w:t>.</w:t>
      </w:r>
      <w:r w:rsidR="0073548F">
        <w:rPr>
          <w:rFonts w:ascii="Arial" w:hAnsi="Arial" w:cs="Arial"/>
          <w:sz w:val="20"/>
          <w:szCs w:val="20"/>
          <w:lang w:val="en-US"/>
        </w:rPr>
        <w:t>”</w:t>
      </w:r>
      <w:r w:rsidR="00831BF9" w:rsidRPr="00AF4630">
        <w:rPr>
          <w:rFonts w:ascii="Arial" w:hAnsi="Arial" w:cs="Arial"/>
          <w:sz w:val="20"/>
          <w:szCs w:val="20"/>
        </w:rPr>
        <w:t xml:space="preserve">  </w:t>
      </w:r>
    </w:p>
    <w:p w14:paraId="0CAB9728" w14:textId="7AFA3354" w:rsidR="00290DDF" w:rsidRDefault="00290DDF" w:rsidP="00495E4E">
      <w:pPr>
        <w:pStyle w:val="ListParagraph"/>
        <w:spacing w:after="0" w:line="480" w:lineRule="auto"/>
        <w:rPr>
          <w:rFonts w:ascii="Arial" w:hAnsi="Arial" w:cs="Arial"/>
          <w:sz w:val="24"/>
          <w:szCs w:val="24"/>
        </w:rPr>
      </w:pPr>
    </w:p>
    <w:p w14:paraId="10070007" w14:textId="038F2763" w:rsidR="00932EDA" w:rsidRPr="00932EDA" w:rsidRDefault="0073548F" w:rsidP="00932ED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Accordingly, the applicants, were</w:t>
      </w:r>
      <w:r w:rsidR="00E40C74">
        <w:rPr>
          <w:rFonts w:ascii="Arial" w:hAnsi="Arial" w:cs="Arial"/>
          <w:sz w:val="24"/>
          <w:szCs w:val="24"/>
        </w:rPr>
        <w:t xml:space="preserve"> already at that stage</w:t>
      </w:r>
      <w:r>
        <w:rPr>
          <w:rFonts w:ascii="Arial" w:hAnsi="Arial" w:cs="Arial"/>
          <w:sz w:val="24"/>
          <w:szCs w:val="24"/>
        </w:rPr>
        <w:t xml:space="preserve"> under no </w:t>
      </w:r>
      <w:r w:rsidR="00693353">
        <w:rPr>
          <w:rFonts w:ascii="Arial" w:hAnsi="Arial" w:cs="Arial"/>
          <w:sz w:val="24"/>
          <w:szCs w:val="24"/>
        </w:rPr>
        <w:t xml:space="preserve">misapprehension as to the fact that </w:t>
      </w:r>
      <w:r>
        <w:rPr>
          <w:rFonts w:ascii="Arial" w:hAnsi="Arial" w:cs="Arial"/>
          <w:sz w:val="24"/>
          <w:szCs w:val="24"/>
        </w:rPr>
        <w:t>the respondent’s particulars of claim, ascribed negligence to the first applicant; alternatively, the second applicant; further alternatively, to both applicants</w:t>
      </w:r>
      <w:r w:rsidR="00E40C74">
        <w:rPr>
          <w:rFonts w:ascii="Arial" w:hAnsi="Arial" w:cs="Arial"/>
          <w:sz w:val="24"/>
          <w:szCs w:val="24"/>
        </w:rPr>
        <w:t xml:space="preserve">, and not merely to </w:t>
      </w:r>
      <w:r w:rsidR="00E40C74">
        <w:rPr>
          <w:rFonts w:ascii="Arial" w:hAnsi="Arial" w:cs="Arial"/>
          <w:i/>
          <w:iCs/>
          <w:sz w:val="24"/>
          <w:szCs w:val="24"/>
        </w:rPr>
        <w:t>Sky Ground</w:t>
      </w:r>
      <w:r>
        <w:rPr>
          <w:rFonts w:ascii="Arial" w:hAnsi="Arial" w:cs="Arial"/>
          <w:sz w:val="24"/>
          <w:szCs w:val="24"/>
        </w:rPr>
        <w:t>.</w:t>
      </w:r>
      <w:r w:rsidR="00E40C74">
        <w:rPr>
          <w:rFonts w:ascii="Arial" w:hAnsi="Arial" w:cs="Arial"/>
          <w:sz w:val="24"/>
          <w:szCs w:val="24"/>
        </w:rPr>
        <w:t xml:space="preserve">  It does not lie in the mouth of the applicants to now contend otherwise.  The aforesaid </w:t>
      </w:r>
      <w:r w:rsidR="00E40C74">
        <w:rPr>
          <w:rFonts w:ascii="Arial" w:hAnsi="Arial" w:cs="Arial"/>
          <w:sz w:val="24"/>
          <w:szCs w:val="24"/>
        </w:rPr>
        <w:lastRenderedPageBreak/>
        <w:t>was not disputed on behalf of the applicants, following the aforesaid having been raised by the respondent’s counsel in argument during the application for leave to appeal</w:t>
      </w:r>
      <w:r w:rsidR="003C0BD7">
        <w:rPr>
          <w:rFonts w:ascii="Arial" w:hAnsi="Arial" w:cs="Arial"/>
          <w:sz w:val="24"/>
          <w:szCs w:val="24"/>
        </w:rPr>
        <w:t>.</w:t>
      </w:r>
    </w:p>
    <w:p w14:paraId="3D094F33" w14:textId="77777777" w:rsidR="00522F2B" w:rsidRDefault="00522F2B" w:rsidP="00522F2B">
      <w:pPr>
        <w:pStyle w:val="ListParagraph"/>
        <w:spacing w:after="0" w:line="480" w:lineRule="auto"/>
        <w:ind w:left="851"/>
        <w:jc w:val="both"/>
        <w:rPr>
          <w:rFonts w:ascii="Arial" w:hAnsi="Arial" w:cs="Arial"/>
          <w:sz w:val="24"/>
          <w:szCs w:val="24"/>
        </w:rPr>
      </w:pPr>
    </w:p>
    <w:p w14:paraId="7E4B2A63" w14:textId="035FAC7A" w:rsidR="002312DD" w:rsidRDefault="00551854" w:rsidP="008A4AD6">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Whilst the applicants placed reliance on the judgment in </w:t>
      </w:r>
      <w:r>
        <w:rPr>
          <w:rFonts w:ascii="Arial" w:hAnsi="Arial" w:cs="Arial"/>
          <w:i/>
          <w:iCs/>
          <w:sz w:val="24"/>
          <w:szCs w:val="24"/>
        </w:rPr>
        <w:t>Berman v Teiman</w:t>
      </w:r>
      <w:r w:rsidRPr="00541132">
        <w:rPr>
          <w:rStyle w:val="FootnoteReference"/>
          <w:rFonts w:ascii="Arial" w:hAnsi="Arial" w:cs="Arial"/>
          <w:sz w:val="24"/>
          <w:szCs w:val="24"/>
        </w:rPr>
        <w:footnoteReference w:id="7"/>
      </w:r>
      <w:r w:rsidRPr="00541132">
        <w:rPr>
          <w:rFonts w:ascii="Arial" w:hAnsi="Arial" w:cs="Arial"/>
          <w:sz w:val="24"/>
          <w:szCs w:val="24"/>
        </w:rPr>
        <w:t xml:space="preserve"> </w:t>
      </w:r>
      <w:r>
        <w:rPr>
          <w:rFonts w:ascii="Arial" w:hAnsi="Arial" w:cs="Arial"/>
          <w:sz w:val="24"/>
          <w:szCs w:val="24"/>
        </w:rPr>
        <w:t>to advance their third ground of appeal, such judgment, whilst citing the difficulties that the courts have had in the past with the expression “</w:t>
      </w:r>
      <w:r w:rsidRPr="00551854">
        <w:rPr>
          <w:rFonts w:ascii="Arial" w:hAnsi="Arial" w:cs="Arial"/>
          <w:i/>
          <w:iCs/>
          <w:sz w:val="24"/>
          <w:szCs w:val="24"/>
        </w:rPr>
        <w:t>and/or</w:t>
      </w:r>
      <w:r>
        <w:rPr>
          <w:rFonts w:ascii="Arial" w:hAnsi="Arial" w:cs="Arial"/>
          <w:sz w:val="24"/>
          <w:szCs w:val="24"/>
        </w:rPr>
        <w:t>”, utilised predominantly in a contractual context and not in the context of pleadings, is not an authority for the conclusion/s which the applicants seek to draw.</w:t>
      </w:r>
      <w:r w:rsidR="002312DD">
        <w:rPr>
          <w:rFonts w:ascii="Arial" w:hAnsi="Arial" w:cs="Arial"/>
          <w:sz w:val="24"/>
          <w:szCs w:val="24"/>
        </w:rPr>
        <w:t xml:space="preserve">  The court in </w:t>
      </w:r>
      <w:r w:rsidR="002312DD">
        <w:rPr>
          <w:rFonts w:ascii="Arial" w:hAnsi="Arial" w:cs="Arial"/>
          <w:i/>
          <w:iCs/>
          <w:sz w:val="24"/>
          <w:szCs w:val="24"/>
        </w:rPr>
        <w:t xml:space="preserve">Berman </w:t>
      </w:r>
      <w:r w:rsidR="002312DD">
        <w:rPr>
          <w:rFonts w:ascii="Arial" w:hAnsi="Arial" w:cs="Arial"/>
          <w:sz w:val="24"/>
          <w:szCs w:val="24"/>
        </w:rPr>
        <w:t>was of the view that meaning ought to be given to the said words and that they must be read both disjunctively, as well as conjunctively.</w:t>
      </w:r>
    </w:p>
    <w:p w14:paraId="24A60D61" w14:textId="77777777" w:rsidR="002312DD" w:rsidRPr="002312DD" w:rsidRDefault="002312DD" w:rsidP="008A4AD6">
      <w:pPr>
        <w:pStyle w:val="ListParagraph"/>
        <w:spacing w:after="0" w:line="480" w:lineRule="auto"/>
        <w:rPr>
          <w:rFonts w:ascii="Arial" w:hAnsi="Arial" w:cs="Arial"/>
          <w:sz w:val="24"/>
          <w:szCs w:val="24"/>
        </w:rPr>
      </w:pPr>
    </w:p>
    <w:p w14:paraId="5B68000C" w14:textId="4A3AC10B" w:rsidR="00551854" w:rsidRDefault="008974C9" w:rsidP="008A4AD6">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The aforesaid approach was endorsed by Ponnan JA, writing the unanimous judgment of the Supreme Court of Appeal in </w:t>
      </w:r>
      <w:r w:rsidRPr="0006323E">
        <w:rPr>
          <w:rFonts w:ascii="Arial" w:hAnsi="Arial" w:cs="Arial"/>
          <w:i/>
          <w:iCs/>
          <w:sz w:val="24"/>
          <w:szCs w:val="24"/>
        </w:rPr>
        <w:t>Brink v Premier of the Free State</w:t>
      </w:r>
      <w:r w:rsidR="0006323E">
        <w:rPr>
          <w:rFonts w:ascii="Arial" w:hAnsi="Arial" w:cs="Arial"/>
          <w:sz w:val="24"/>
          <w:szCs w:val="24"/>
        </w:rPr>
        <w:t>,</w:t>
      </w:r>
      <w:r w:rsidR="00B85349">
        <w:rPr>
          <w:rStyle w:val="FootnoteReference"/>
          <w:rFonts w:ascii="Arial" w:hAnsi="Arial" w:cs="Arial"/>
          <w:sz w:val="24"/>
          <w:szCs w:val="24"/>
        </w:rPr>
        <w:footnoteReference w:id="8"/>
      </w:r>
      <w:r w:rsidR="0006323E">
        <w:rPr>
          <w:rFonts w:ascii="Arial" w:hAnsi="Arial" w:cs="Arial"/>
          <w:sz w:val="24"/>
          <w:szCs w:val="24"/>
        </w:rPr>
        <w:t xml:space="preserve"> who succinctly stated at paragraph</w:t>
      </w:r>
      <w:r w:rsidR="006D49F0">
        <w:rPr>
          <w:rFonts w:ascii="Arial" w:hAnsi="Arial" w:cs="Arial"/>
          <w:sz w:val="24"/>
          <w:szCs w:val="24"/>
        </w:rPr>
        <w:t>s</w:t>
      </w:r>
      <w:r w:rsidR="0006323E">
        <w:rPr>
          <w:rFonts w:ascii="Arial" w:hAnsi="Arial" w:cs="Arial"/>
          <w:sz w:val="24"/>
          <w:szCs w:val="24"/>
        </w:rPr>
        <w:t xml:space="preserve"> [11] and [12] as follows:</w:t>
      </w:r>
      <w:r w:rsidR="00551854">
        <w:rPr>
          <w:rFonts w:ascii="Arial" w:hAnsi="Arial" w:cs="Arial"/>
          <w:sz w:val="24"/>
          <w:szCs w:val="24"/>
        </w:rPr>
        <w:t xml:space="preserve">   </w:t>
      </w:r>
    </w:p>
    <w:p w14:paraId="5E351388" w14:textId="77777777" w:rsidR="0006323E" w:rsidRDefault="0006323E" w:rsidP="0006323E">
      <w:pPr>
        <w:shd w:val="clear" w:color="auto" w:fill="FFFFFF"/>
        <w:spacing w:after="0" w:line="360" w:lineRule="auto"/>
        <w:ind w:left="851"/>
        <w:jc w:val="both"/>
        <w:rPr>
          <w:rFonts w:ascii="Arial" w:eastAsia="Times New Roman" w:hAnsi="Arial" w:cs="Arial"/>
          <w:color w:val="242121"/>
          <w:sz w:val="20"/>
          <w:szCs w:val="20"/>
          <w:lang w:val="en-GB" w:eastAsia="en-ZA"/>
        </w:rPr>
      </w:pPr>
    </w:p>
    <w:p w14:paraId="7427E87F" w14:textId="356AD333" w:rsidR="0006323E" w:rsidRPr="0006323E" w:rsidRDefault="0006323E" w:rsidP="008A4AD6">
      <w:pPr>
        <w:shd w:val="clear" w:color="auto" w:fill="FFFFFF"/>
        <w:spacing w:after="0" w:line="360" w:lineRule="auto"/>
        <w:ind w:left="851"/>
        <w:jc w:val="both"/>
        <w:rPr>
          <w:rFonts w:ascii="Arial" w:eastAsia="Times New Roman" w:hAnsi="Arial" w:cs="Arial"/>
          <w:i/>
          <w:iCs/>
          <w:color w:val="242121"/>
          <w:sz w:val="20"/>
          <w:szCs w:val="20"/>
          <w:lang w:val="en-GB" w:eastAsia="en-ZA"/>
        </w:rPr>
      </w:pPr>
      <w:r>
        <w:rPr>
          <w:rFonts w:ascii="Arial" w:eastAsia="Times New Roman" w:hAnsi="Arial" w:cs="Arial"/>
          <w:color w:val="242121"/>
          <w:sz w:val="20"/>
          <w:szCs w:val="20"/>
          <w:lang w:val="en-GB" w:eastAsia="en-ZA"/>
        </w:rPr>
        <w:t>“</w:t>
      </w:r>
      <w:r w:rsidRPr="0006323E">
        <w:rPr>
          <w:rFonts w:ascii="Arial" w:eastAsia="Times New Roman" w:hAnsi="Arial" w:cs="Arial"/>
          <w:i/>
          <w:iCs/>
          <w:color w:val="242121"/>
          <w:sz w:val="20"/>
          <w:szCs w:val="20"/>
          <w:lang w:val="en-GB" w:eastAsia="en-ZA"/>
        </w:rPr>
        <w:t xml:space="preserve">[11] </w:t>
      </w:r>
      <w:r w:rsidRPr="0006323E">
        <w:rPr>
          <w:rFonts w:ascii="Arial" w:eastAsia="Times New Roman" w:hAnsi="Arial" w:cs="Arial"/>
          <w:i/>
          <w:iCs/>
          <w:color w:val="242121"/>
          <w:sz w:val="20"/>
          <w:szCs w:val="20"/>
          <w:u w:val="single"/>
          <w:lang w:val="en-GB" w:eastAsia="en-ZA"/>
        </w:rPr>
        <w:t>The matter is essentially one of interpretation. According to the 'golden rule' of interpretation the language in a document is to be given its grammatical and ordinary meaning, unless this would result in some absurdity, or some repugnancy or inconsistency with the rest of the instrument</w:t>
      </w:r>
      <w:r w:rsidRPr="0006323E">
        <w:rPr>
          <w:rFonts w:ascii="Arial" w:eastAsia="Times New Roman" w:hAnsi="Arial" w:cs="Arial"/>
          <w:i/>
          <w:iCs/>
          <w:color w:val="242121"/>
          <w:sz w:val="20"/>
          <w:szCs w:val="20"/>
          <w:lang w:val="en-GB" w:eastAsia="en-ZA"/>
        </w:rPr>
        <w:t>.</w:t>
      </w:r>
      <w:r w:rsidRPr="008A4AD6">
        <w:rPr>
          <w:rFonts w:ascii="Arial" w:eastAsia="Times New Roman" w:hAnsi="Arial" w:cs="Arial"/>
          <w:i/>
          <w:iCs/>
          <w:color w:val="242121"/>
          <w:sz w:val="20"/>
          <w:szCs w:val="20"/>
          <w:lang w:val="en-GB" w:eastAsia="en-ZA"/>
        </w:rPr>
        <w:t xml:space="preserve"> </w:t>
      </w:r>
    </w:p>
    <w:p w14:paraId="3A0F3B96" w14:textId="77777777" w:rsidR="0006323E" w:rsidRPr="0006323E" w:rsidRDefault="0006323E" w:rsidP="008A4AD6">
      <w:pPr>
        <w:shd w:val="clear" w:color="auto" w:fill="FFFFFF"/>
        <w:spacing w:after="0" w:line="360" w:lineRule="auto"/>
        <w:ind w:left="851"/>
        <w:jc w:val="both"/>
        <w:rPr>
          <w:rFonts w:ascii="Arial" w:eastAsia="Times New Roman" w:hAnsi="Arial" w:cs="Arial"/>
          <w:i/>
          <w:iCs/>
          <w:color w:val="242121"/>
          <w:sz w:val="20"/>
          <w:szCs w:val="20"/>
          <w:lang w:val="en-GB" w:eastAsia="en-ZA"/>
        </w:rPr>
      </w:pPr>
    </w:p>
    <w:p w14:paraId="756DAF3F" w14:textId="10D2614C" w:rsidR="0006323E" w:rsidRPr="0006323E" w:rsidRDefault="0006323E" w:rsidP="008A4AD6">
      <w:pPr>
        <w:shd w:val="clear" w:color="auto" w:fill="FFFFFF"/>
        <w:spacing w:after="0" w:line="360" w:lineRule="auto"/>
        <w:ind w:left="851"/>
        <w:jc w:val="both"/>
        <w:rPr>
          <w:rFonts w:ascii="Arial" w:eastAsia="Times New Roman" w:hAnsi="Arial" w:cs="Arial"/>
          <w:i/>
          <w:iCs/>
          <w:color w:val="242121"/>
          <w:sz w:val="20"/>
          <w:szCs w:val="20"/>
          <w:lang w:val="en-GB" w:eastAsia="en-ZA"/>
        </w:rPr>
      </w:pPr>
      <w:r w:rsidRPr="0006323E">
        <w:rPr>
          <w:rFonts w:ascii="Arial" w:eastAsia="Times New Roman" w:hAnsi="Arial" w:cs="Arial"/>
          <w:i/>
          <w:iCs/>
          <w:color w:val="242121"/>
          <w:sz w:val="20"/>
          <w:szCs w:val="20"/>
          <w:lang w:val="en-GB" w:eastAsia="en-ZA"/>
        </w:rPr>
        <w:t>[12] The first difficulty in the interpretation of the relevant words in clause 2 is created by the use of the expression 'and/or'.</w:t>
      </w:r>
      <w:r w:rsidRPr="008A4AD6">
        <w:rPr>
          <w:rFonts w:ascii="Arial" w:eastAsia="Times New Roman" w:hAnsi="Arial" w:cs="Arial"/>
          <w:i/>
          <w:iCs/>
          <w:color w:val="242121"/>
          <w:sz w:val="20"/>
          <w:szCs w:val="20"/>
          <w:lang w:val="en-GB" w:eastAsia="en-ZA"/>
        </w:rPr>
        <w:t xml:space="preserve"> </w:t>
      </w:r>
      <w:r w:rsidRPr="0006323E">
        <w:rPr>
          <w:rFonts w:ascii="Arial" w:eastAsia="Times New Roman" w:hAnsi="Arial" w:cs="Arial"/>
          <w:i/>
          <w:iCs/>
          <w:color w:val="242121"/>
          <w:sz w:val="20"/>
          <w:szCs w:val="20"/>
          <w:lang w:val="en-GB" w:eastAsia="en-ZA"/>
        </w:rPr>
        <w:t xml:space="preserve"> Those words must in the context of the clause be read disjunctively as well as conjunctively.</w:t>
      </w:r>
      <w:r w:rsidRPr="008A4AD6">
        <w:rPr>
          <w:rFonts w:ascii="Arial" w:eastAsia="Times New Roman" w:hAnsi="Arial" w:cs="Arial"/>
          <w:i/>
          <w:iCs/>
          <w:color w:val="242121"/>
          <w:sz w:val="20"/>
          <w:szCs w:val="20"/>
          <w:lang w:val="en-GB" w:eastAsia="en-ZA"/>
        </w:rPr>
        <w:t xml:space="preserve">  </w:t>
      </w:r>
      <w:r w:rsidRPr="0006323E">
        <w:rPr>
          <w:rFonts w:ascii="Arial" w:eastAsia="Times New Roman" w:hAnsi="Arial" w:cs="Arial"/>
          <w:i/>
          <w:iCs/>
          <w:color w:val="242121"/>
          <w:sz w:val="20"/>
          <w:szCs w:val="20"/>
          <w:lang w:val="en-GB" w:eastAsia="en-ZA"/>
        </w:rPr>
        <w:t>If that is done, then it is clear that what the clause envisages is a second option to renew on either:</w:t>
      </w:r>
    </w:p>
    <w:p w14:paraId="47CD9807" w14:textId="77777777" w:rsidR="008A4AD6" w:rsidRPr="008A4AD6" w:rsidRDefault="008A4AD6" w:rsidP="008A4AD6">
      <w:pPr>
        <w:shd w:val="clear" w:color="auto" w:fill="FFFFFF"/>
        <w:spacing w:after="0" w:line="360" w:lineRule="auto"/>
        <w:ind w:left="851"/>
        <w:jc w:val="both"/>
        <w:rPr>
          <w:rFonts w:ascii="Arial" w:eastAsia="Times New Roman" w:hAnsi="Arial" w:cs="Arial"/>
          <w:i/>
          <w:iCs/>
          <w:color w:val="242121"/>
          <w:sz w:val="20"/>
          <w:szCs w:val="20"/>
          <w:lang w:val="en-GB" w:eastAsia="en-ZA"/>
        </w:rPr>
      </w:pPr>
    </w:p>
    <w:p w14:paraId="0BE90837" w14:textId="3F7A098F" w:rsidR="0006323E" w:rsidRPr="0006323E" w:rsidRDefault="0006323E" w:rsidP="008A4AD6">
      <w:pPr>
        <w:shd w:val="clear" w:color="auto" w:fill="FFFFFF"/>
        <w:spacing w:after="0" w:line="360" w:lineRule="auto"/>
        <w:ind w:left="851"/>
        <w:jc w:val="both"/>
        <w:rPr>
          <w:rFonts w:ascii="Arial" w:eastAsia="Times New Roman" w:hAnsi="Arial" w:cs="Arial"/>
          <w:i/>
          <w:iCs/>
          <w:color w:val="242121"/>
          <w:sz w:val="20"/>
          <w:szCs w:val="20"/>
          <w:lang w:val="en-GB" w:eastAsia="en-ZA"/>
        </w:rPr>
      </w:pPr>
      <w:r w:rsidRPr="0006323E">
        <w:rPr>
          <w:rFonts w:ascii="Arial" w:eastAsia="Times New Roman" w:hAnsi="Arial" w:cs="Arial"/>
          <w:i/>
          <w:iCs/>
          <w:color w:val="242121"/>
          <w:sz w:val="20"/>
          <w:szCs w:val="20"/>
          <w:lang w:val="en-GB" w:eastAsia="en-ZA"/>
        </w:rPr>
        <w:lastRenderedPageBreak/>
        <w:t>(a) the same conditions; or</w:t>
      </w:r>
    </w:p>
    <w:p w14:paraId="05ECD111" w14:textId="77777777" w:rsidR="0006323E" w:rsidRPr="0006323E" w:rsidRDefault="0006323E" w:rsidP="008A4AD6">
      <w:pPr>
        <w:shd w:val="clear" w:color="auto" w:fill="FFFFFF"/>
        <w:spacing w:after="0" w:line="360" w:lineRule="auto"/>
        <w:ind w:left="851"/>
        <w:jc w:val="both"/>
        <w:rPr>
          <w:rFonts w:ascii="Arial" w:eastAsia="Times New Roman" w:hAnsi="Arial" w:cs="Arial"/>
          <w:i/>
          <w:iCs/>
          <w:color w:val="242121"/>
          <w:sz w:val="20"/>
          <w:szCs w:val="20"/>
          <w:lang w:val="en-GB" w:eastAsia="en-ZA"/>
        </w:rPr>
      </w:pPr>
      <w:r w:rsidRPr="0006323E">
        <w:rPr>
          <w:rFonts w:ascii="Arial" w:eastAsia="Times New Roman" w:hAnsi="Arial" w:cs="Arial"/>
          <w:i/>
          <w:iCs/>
          <w:color w:val="242121"/>
          <w:sz w:val="20"/>
          <w:szCs w:val="20"/>
          <w:lang w:val="en-GB" w:eastAsia="en-ZA"/>
        </w:rPr>
        <w:t>(b) new conditions; or</w:t>
      </w:r>
    </w:p>
    <w:p w14:paraId="691D3DA8" w14:textId="77777777" w:rsidR="0006323E" w:rsidRPr="0006323E" w:rsidRDefault="0006323E" w:rsidP="008A4AD6">
      <w:pPr>
        <w:shd w:val="clear" w:color="auto" w:fill="FFFFFF"/>
        <w:spacing w:after="0" w:line="360" w:lineRule="auto"/>
        <w:ind w:left="851"/>
        <w:jc w:val="both"/>
        <w:rPr>
          <w:rFonts w:ascii="Arial" w:eastAsia="Times New Roman" w:hAnsi="Arial" w:cs="Arial"/>
          <w:i/>
          <w:iCs/>
          <w:color w:val="242121"/>
          <w:sz w:val="20"/>
          <w:szCs w:val="20"/>
          <w:lang w:val="en-GB" w:eastAsia="en-ZA"/>
        </w:rPr>
      </w:pPr>
      <w:r w:rsidRPr="0006323E">
        <w:rPr>
          <w:rFonts w:ascii="Arial" w:eastAsia="Times New Roman" w:hAnsi="Arial" w:cs="Arial"/>
          <w:i/>
          <w:iCs/>
          <w:color w:val="242121"/>
          <w:sz w:val="20"/>
          <w:szCs w:val="20"/>
          <w:lang w:val="en-GB" w:eastAsia="en-ZA"/>
        </w:rPr>
        <w:t>(c) a combination of (a) and (b).</w:t>
      </w:r>
    </w:p>
    <w:p w14:paraId="11214514" w14:textId="77777777" w:rsidR="008A4AD6" w:rsidRPr="008A4AD6" w:rsidRDefault="008A4AD6" w:rsidP="008A4AD6">
      <w:pPr>
        <w:shd w:val="clear" w:color="auto" w:fill="FFFFFF"/>
        <w:spacing w:after="0" w:line="360" w:lineRule="auto"/>
        <w:ind w:left="851"/>
        <w:jc w:val="both"/>
        <w:rPr>
          <w:rFonts w:ascii="Arial" w:eastAsia="Times New Roman" w:hAnsi="Arial" w:cs="Arial"/>
          <w:i/>
          <w:iCs/>
          <w:color w:val="242121"/>
          <w:sz w:val="20"/>
          <w:szCs w:val="20"/>
          <w:lang w:val="en-GB" w:eastAsia="en-ZA"/>
        </w:rPr>
      </w:pPr>
    </w:p>
    <w:p w14:paraId="21D356FC" w14:textId="6A11925C" w:rsidR="0006323E" w:rsidRPr="0006323E" w:rsidRDefault="0006323E" w:rsidP="008A4AD6">
      <w:pPr>
        <w:shd w:val="clear" w:color="auto" w:fill="FFFFFF"/>
        <w:spacing w:after="0" w:line="360" w:lineRule="auto"/>
        <w:ind w:left="851"/>
        <w:jc w:val="both"/>
        <w:rPr>
          <w:rFonts w:ascii="Arial" w:eastAsia="Times New Roman" w:hAnsi="Arial" w:cs="Arial"/>
          <w:i/>
          <w:iCs/>
          <w:color w:val="242121"/>
          <w:sz w:val="20"/>
          <w:szCs w:val="20"/>
          <w:lang w:val="en-GB" w:eastAsia="en-ZA"/>
        </w:rPr>
      </w:pPr>
      <w:r w:rsidRPr="0006323E">
        <w:rPr>
          <w:rFonts w:ascii="Arial" w:eastAsia="Times New Roman" w:hAnsi="Arial" w:cs="Arial"/>
          <w:i/>
          <w:iCs/>
          <w:color w:val="242121"/>
          <w:sz w:val="20"/>
          <w:szCs w:val="20"/>
          <w:lang w:val="en-GB" w:eastAsia="en-ZA"/>
        </w:rPr>
        <w:t xml:space="preserve">It is not in dispute that the qualifier, 'as will be mutually agreed', which is couched in the future tense, is applicable to a renewal in terms of either (b) or (c). </w:t>
      </w:r>
      <w:r w:rsidR="008A4AD6" w:rsidRPr="008A4AD6">
        <w:rPr>
          <w:rFonts w:ascii="Arial" w:eastAsia="Times New Roman" w:hAnsi="Arial" w:cs="Arial"/>
          <w:i/>
          <w:iCs/>
          <w:color w:val="242121"/>
          <w:sz w:val="20"/>
          <w:szCs w:val="20"/>
          <w:lang w:val="en-GB" w:eastAsia="en-ZA"/>
        </w:rPr>
        <w:t xml:space="preserve"> </w:t>
      </w:r>
      <w:r w:rsidRPr="0006323E">
        <w:rPr>
          <w:rFonts w:ascii="Arial" w:eastAsia="Times New Roman" w:hAnsi="Arial" w:cs="Arial"/>
          <w:i/>
          <w:iCs/>
          <w:color w:val="242121"/>
          <w:sz w:val="20"/>
          <w:szCs w:val="20"/>
          <w:lang w:val="en-GB" w:eastAsia="en-ZA"/>
        </w:rPr>
        <w:t xml:space="preserve">The sole issue for determination therefore is whether it applies as well to a renewal under (a). </w:t>
      </w:r>
      <w:r w:rsidR="008A4AD6" w:rsidRPr="008A4AD6">
        <w:rPr>
          <w:rFonts w:ascii="Arial" w:eastAsia="Times New Roman" w:hAnsi="Arial" w:cs="Arial"/>
          <w:i/>
          <w:iCs/>
          <w:color w:val="242121"/>
          <w:sz w:val="20"/>
          <w:szCs w:val="20"/>
          <w:lang w:val="en-GB" w:eastAsia="en-ZA"/>
        </w:rPr>
        <w:t xml:space="preserve"> </w:t>
      </w:r>
      <w:r w:rsidRPr="0006323E">
        <w:rPr>
          <w:rFonts w:ascii="Arial" w:eastAsia="Times New Roman" w:hAnsi="Arial" w:cs="Arial"/>
          <w:i/>
          <w:iCs/>
          <w:color w:val="242121"/>
          <w:sz w:val="20"/>
          <w:szCs w:val="20"/>
          <w:lang w:val="en-GB" w:eastAsia="en-ZA"/>
        </w:rPr>
        <w:t xml:space="preserve">Upon a natural construction of the words of clause 2 they do not signify, I think, that the qualifier is rendered inapplicable to (a). </w:t>
      </w:r>
      <w:r w:rsidR="008A4AD6" w:rsidRPr="008A4AD6">
        <w:rPr>
          <w:rFonts w:ascii="Arial" w:eastAsia="Times New Roman" w:hAnsi="Arial" w:cs="Arial"/>
          <w:i/>
          <w:iCs/>
          <w:color w:val="242121"/>
          <w:sz w:val="20"/>
          <w:szCs w:val="20"/>
          <w:lang w:val="en-GB" w:eastAsia="en-ZA"/>
        </w:rPr>
        <w:t xml:space="preserve"> </w:t>
      </w:r>
      <w:r w:rsidRPr="0006323E">
        <w:rPr>
          <w:rFonts w:ascii="Arial" w:eastAsia="Times New Roman" w:hAnsi="Arial" w:cs="Arial"/>
          <w:i/>
          <w:iCs/>
          <w:color w:val="242121"/>
          <w:sz w:val="20"/>
          <w:szCs w:val="20"/>
          <w:u w:val="single"/>
          <w:lang w:val="en-GB" w:eastAsia="en-ZA"/>
        </w:rPr>
        <w:t xml:space="preserve">There appears to be no reason for the limitation of the ordinary grammatical meaning of the phrase. </w:t>
      </w:r>
      <w:r w:rsidR="008A4AD6" w:rsidRPr="008A4AD6">
        <w:rPr>
          <w:rFonts w:ascii="Arial" w:eastAsia="Times New Roman" w:hAnsi="Arial" w:cs="Arial"/>
          <w:i/>
          <w:iCs/>
          <w:color w:val="242121"/>
          <w:sz w:val="20"/>
          <w:szCs w:val="20"/>
          <w:u w:val="single"/>
          <w:lang w:val="en-GB" w:eastAsia="en-ZA"/>
        </w:rPr>
        <w:t xml:space="preserve"> </w:t>
      </w:r>
      <w:r w:rsidRPr="0006323E">
        <w:rPr>
          <w:rFonts w:ascii="Arial" w:eastAsia="Times New Roman" w:hAnsi="Arial" w:cs="Arial"/>
          <w:i/>
          <w:iCs/>
          <w:color w:val="242121"/>
          <w:sz w:val="20"/>
          <w:szCs w:val="20"/>
          <w:u w:val="single"/>
          <w:lang w:val="en-GB" w:eastAsia="en-ZA"/>
        </w:rPr>
        <w:t>It has not been shown why such a limitation of the ordinary meaning of the phrase is either necessary or desirable or what absurdity or repugnancy would arise should the phrase be given its ordinary grammatical meaning</w:t>
      </w:r>
      <w:r w:rsidRPr="0006323E">
        <w:rPr>
          <w:rFonts w:ascii="Arial" w:eastAsia="Times New Roman" w:hAnsi="Arial" w:cs="Arial"/>
          <w:i/>
          <w:iCs/>
          <w:color w:val="242121"/>
          <w:sz w:val="20"/>
          <w:szCs w:val="20"/>
          <w:lang w:val="en-GB" w:eastAsia="en-ZA"/>
        </w:rPr>
        <w:t>.</w:t>
      </w:r>
      <w:r w:rsidR="008A4AD6" w:rsidRPr="008A4AD6">
        <w:rPr>
          <w:rFonts w:ascii="Arial" w:eastAsia="Times New Roman" w:hAnsi="Arial" w:cs="Arial"/>
          <w:i/>
          <w:iCs/>
          <w:color w:val="242121"/>
          <w:sz w:val="20"/>
          <w:szCs w:val="20"/>
          <w:lang w:val="en-GB" w:eastAsia="en-ZA"/>
        </w:rPr>
        <w:t>”</w:t>
      </w:r>
    </w:p>
    <w:p w14:paraId="3A30E0A7" w14:textId="77777777" w:rsidR="00DF3C51" w:rsidRDefault="00DF3C51" w:rsidP="00DF3C51">
      <w:pPr>
        <w:pStyle w:val="ListParagraph"/>
        <w:spacing w:after="0" w:line="480" w:lineRule="auto"/>
        <w:ind w:left="851"/>
        <w:jc w:val="both"/>
        <w:rPr>
          <w:rFonts w:ascii="Arial" w:hAnsi="Arial" w:cs="Arial"/>
          <w:sz w:val="24"/>
          <w:szCs w:val="24"/>
        </w:rPr>
      </w:pPr>
    </w:p>
    <w:p w14:paraId="7E02752E" w14:textId="2E41D39A" w:rsidR="008A4AD6" w:rsidRDefault="008A4AD6" w:rsidP="00C82C3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 aforesaid comments are apposite herein.  Accordingly, if the language u</w:t>
      </w:r>
      <w:r w:rsidR="00DF3C51">
        <w:rPr>
          <w:rFonts w:ascii="Arial" w:hAnsi="Arial" w:cs="Arial"/>
          <w:sz w:val="24"/>
          <w:szCs w:val="24"/>
        </w:rPr>
        <w:t>tilised</w:t>
      </w:r>
      <w:r>
        <w:rPr>
          <w:rFonts w:ascii="Arial" w:hAnsi="Arial" w:cs="Arial"/>
          <w:sz w:val="24"/>
          <w:szCs w:val="24"/>
        </w:rPr>
        <w:t xml:space="preserve"> in paragraph 6 of the respondent’s particulars of claim are given their ordinary grammatical meaning,</w:t>
      </w:r>
      <w:r w:rsidR="00114426">
        <w:rPr>
          <w:rFonts w:ascii="Arial" w:hAnsi="Arial" w:cs="Arial"/>
          <w:sz w:val="24"/>
          <w:szCs w:val="24"/>
        </w:rPr>
        <w:t xml:space="preserve"> negligence on behalf of the first </w:t>
      </w:r>
      <w:r w:rsidR="00107CF9">
        <w:rPr>
          <w:rFonts w:ascii="Arial" w:hAnsi="Arial" w:cs="Arial"/>
          <w:sz w:val="24"/>
          <w:szCs w:val="24"/>
        </w:rPr>
        <w:t>applicant</w:t>
      </w:r>
      <w:r w:rsidR="00114426">
        <w:rPr>
          <w:rFonts w:ascii="Arial" w:hAnsi="Arial" w:cs="Arial"/>
          <w:sz w:val="24"/>
          <w:szCs w:val="24"/>
        </w:rPr>
        <w:t xml:space="preserve">’s cleaning contractor, </w:t>
      </w:r>
      <w:r w:rsidR="00114426" w:rsidRPr="00114426">
        <w:rPr>
          <w:rFonts w:ascii="Arial" w:hAnsi="Arial" w:cs="Arial"/>
          <w:i/>
          <w:iCs/>
          <w:sz w:val="24"/>
          <w:szCs w:val="24"/>
        </w:rPr>
        <w:t>Sky Ground</w:t>
      </w:r>
      <w:r w:rsidR="00114426">
        <w:rPr>
          <w:rFonts w:ascii="Arial" w:hAnsi="Arial" w:cs="Arial"/>
          <w:sz w:val="24"/>
          <w:szCs w:val="24"/>
        </w:rPr>
        <w:t xml:space="preserve">, is not the only negligence upon which the respondent relies </w:t>
      </w:r>
      <w:r w:rsidR="00C95A42">
        <w:rPr>
          <w:rFonts w:ascii="Arial" w:hAnsi="Arial" w:cs="Arial"/>
          <w:sz w:val="24"/>
          <w:szCs w:val="24"/>
        </w:rPr>
        <w:t>in</w:t>
      </w:r>
      <w:r w:rsidR="00114426">
        <w:rPr>
          <w:rFonts w:ascii="Arial" w:hAnsi="Arial" w:cs="Arial"/>
          <w:sz w:val="24"/>
          <w:szCs w:val="24"/>
        </w:rPr>
        <w:t xml:space="preserve"> his pleadings, this being consistent with what I have stated in paragraph 10 of my judgment.  </w:t>
      </w:r>
      <w:r>
        <w:rPr>
          <w:rFonts w:ascii="Arial" w:hAnsi="Arial" w:cs="Arial"/>
          <w:sz w:val="24"/>
          <w:szCs w:val="24"/>
        </w:rPr>
        <w:t xml:space="preserve">   </w:t>
      </w:r>
    </w:p>
    <w:p w14:paraId="4BCD006B" w14:textId="6DD8366D" w:rsidR="008A4AD6" w:rsidRDefault="008A4AD6" w:rsidP="00C82C35">
      <w:pPr>
        <w:spacing w:after="0" w:line="480" w:lineRule="auto"/>
        <w:jc w:val="both"/>
        <w:rPr>
          <w:rFonts w:ascii="Arial" w:hAnsi="Arial" w:cs="Arial"/>
          <w:sz w:val="24"/>
          <w:szCs w:val="24"/>
        </w:rPr>
      </w:pPr>
    </w:p>
    <w:p w14:paraId="215EC829" w14:textId="4633AD38" w:rsidR="000239AF" w:rsidRDefault="000239AF" w:rsidP="000239AF">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Further and in any event, had the applicants been of the view that the manner in which the respondent had formulated his pleadings was vague and embarrassing, it was open to </w:t>
      </w:r>
      <w:r w:rsidR="007D07FE">
        <w:rPr>
          <w:rFonts w:ascii="Arial" w:hAnsi="Arial" w:cs="Arial"/>
          <w:sz w:val="24"/>
          <w:szCs w:val="24"/>
        </w:rPr>
        <w:t>the applicants</w:t>
      </w:r>
      <w:r>
        <w:rPr>
          <w:rFonts w:ascii="Arial" w:hAnsi="Arial" w:cs="Arial"/>
          <w:sz w:val="24"/>
          <w:szCs w:val="24"/>
        </w:rPr>
        <w:t xml:space="preserve"> to make use of their remedies in accordance with Uniform Rule 23.  The fact that they did not opt to do so, speaks for itself.  </w:t>
      </w:r>
    </w:p>
    <w:p w14:paraId="4C317E46" w14:textId="77777777" w:rsidR="000239AF" w:rsidRPr="000239AF" w:rsidRDefault="000239AF" w:rsidP="000239AF">
      <w:pPr>
        <w:pStyle w:val="ListParagraph"/>
        <w:spacing w:after="0" w:line="480" w:lineRule="auto"/>
        <w:rPr>
          <w:rFonts w:ascii="Arial" w:hAnsi="Arial" w:cs="Arial"/>
          <w:sz w:val="24"/>
          <w:szCs w:val="24"/>
        </w:rPr>
      </w:pPr>
    </w:p>
    <w:p w14:paraId="2F631CEE" w14:textId="1F9B3C23" w:rsidR="003C0BD7" w:rsidRPr="0006323E" w:rsidRDefault="003C0BD7" w:rsidP="000239AF">
      <w:pPr>
        <w:pStyle w:val="ListParagraph"/>
        <w:numPr>
          <w:ilvl w:val="0"/>
          <w:numId w:val="1"/>
        </w:numPr>
        <w:spacing w:after="0" w:line="480" w:lineRule="auto"/>
        <w:ind w:left="851" w:hanging="851"/>
        <w:jc w:val="both"/>
        <w:rPr>
          <w:rFonts w:ascii="Arial" w:hAnsi="Arial" w:cs="Arial"/>
          <w:sz w:val="24"/>
          <w:szCs w:val="24"/>
        </w:rPr>
      </w:pPr>
      <w:r w:rsidRPr="0006323E">
        <w:rPr>
          <w:rFonts w:ascii="Arial" w:hAnsi="Arial" w:cs="Arial"/>
          <w:sz w:val="24"/>
          <w:szCs w:val="24"/>
        </w:rPr>
        <w:t>For the said reasons, any argument on behalf of the applicants that</w:t>
      </w:r>
      <w:r w:rsidR="00EB26EE">
        <w:rPr>
          <w:rFonts w:ascii="Arial" w:hAnsi="Arial" w:cs="Arial"/>
          <w:sz w:val="24"/>
          <w:szCs w:val="24"/>
        </w:rPr>
        <w:t xml:space="preserve"> (i) I erred in the interpretation of the respondent’s pleaded case; or (ii) that the applicants </w:t>
      </w:r>
      <w:r w:rsidRPr="0006323E">
        <w:rPr>
          <w:rFonts w:ascii="Arial" w:hAnsi="Arial" w:cs="Arial"/>
          <w:sz w:val="24"/>
          <w:szCs w:val="24"/>
        </w:rPr>
        <w:t>were prejudiced; embarrassed; or subject to a trial by ambush</w:t>
      </w:r>
      <w:r w:rsidR="00C72CB6">
        <w:rPr>
          <w:rFonts w:ascii="Arial" w:hAnsi="Arial" w:cs="Arial"/>
          <w:sz w:val="24"/>
          <w:szCs w:val="24"/>
        </w:rPr>
        <w:t>,</w:t>
      </w:r>
      <w:r w:rsidRPr="0006323E">
        <w:rPr>
          <w:rFonts w:ascii="Arial" w:hAnsi="Arial" w:cs="Arial"/>
          <w:sz w:val="24"/>
          <w:szCs w:val="24"/>
        </w:rPr>
        <w:t xml:space="preserve"> cannot be sustained</w:t>
      </w:r>
      <w:r w:rsidR="00C72CB6">
        <w:rPr>
          <w:rFonts w:ascii="Arial" w:hAnsi="Arial" w:cs="Arial"/>
          <w:sz w:val="24"/>
          <w:szCs w:val="24"/>
        </w:rPr>
        <w:t xml:space="preserve">.  I am accordingly </w:t>
      </w:r>
      <w:r w:rsidR="00522F2B" w:rsidRPr="0006323E">
        <w:rPr>
          <w:rFonts w:ascii="Arial" w:hAnsi="Arial" w:cs="Arial"/>
          <w:sz w:val="24"/>
          <w:szCs w:val="24"/>
        </w:rPr>
        <w:t xml:space="preserve">of the view that </w:t>
      </w:r>
      <w:r w:rsidR="00230425" w:rsidRPr="0006323E">
        <w:rPr>
          <w:rFonts w:ascii="Arial" w:hAnsi="Arial" w:cs="Arial"/>
          <w:sz w:val="24"/>
          <w:szCs w:val="24"/>
        </w:rPr>
        <w:t xml:space="preserve">there are no reasonable prospects </w:t>
      </w:r>
      <w:r w:rsidR="00230425" w:rsidRPr="0006323E">
        <w:rPr>
          <w:rFonts w:ascii="Arial" w:hAnsi="Arial" w:cs="Arial"/>
          <w:sz w:val="24"/>
          <w:szCs w:val="24"/>
        </w:rPr>
        <w:lastRenderedPageBreak/>
        <w:t>that another court will come to a different conclusion in respect of the applicants’ third ground of appeal.</w:t>
      </w:r>
    </w:p>
    <w:p w14:paraId="6B900EF4" w14:textId="77777777" w:rsidR="0073548F" w:rsidRPr="00290DDF" w:rsidRDefault="0073548F" w:rsidP="00C82C35">
      <w:pPr>
        <w:pStyle w:val="ListParagraph"/>
        <w:spacing w:after="0" w:line="480" w:lineRule="auto"/>
        <w:rPr>
          <w:rFonts w:ascii="Arial" w:hAnsi="Arial" w:cs="Arial"/>
          <w:sz w:val="24"/>
          <w:szCs w:val="24"/>
        </w:rPr>
      </w:pPr>
    </w:p>
    <w:p w14:paraId="3573A53E" w14:textId="78718CD2" w:rsidR="00C72CB6" w:rsidRPr="008A481E" w:rsidRDefault="00C72CB6" w:rsidP="00C82C35">
      <w:pPr>
        <w:spacing w:after="0" w:line="480" w:lineRule="auto"/>
        <w:rPr>
          <w:rFonts w:ascii="Arial" w:hAnsi="Arial" w:cs="Arial"/>
          <w:b/>
          <w:bCs/>
          <w:sz w:val="24"/>
          <w:szCs w:val="24"/>
          <w:u w:val="single"/>
        </w:rPr>
      </w:pPr>
      <w:r w:rsidRPr="008A481E">
        <w:rPr>
          <w:rFonts w:ascii="Arial" w:hAnsi="Arial" w:cs="Arial"/>
          <w:b/>
          <w:bCs/>
          <w:sz w:val="24"/>
          <w:szCs w:val="24"/>
          <w:u w:val="single"/>
        </w:rPr>
        <w:t xml:space="preserve">The applicants’ </w:t>
      </w:r>
      <w:r>
        <w:rPr>
          <w:rFonts w:ascii="Arial" w:hAnsi="Arial" w:cs="Arial"/>
          <w:b/>
          <w:bCs/>
          <w:sz w:val="24"/>
          <w:szCs w:val="24"/>
          <w:u w:val="single"/>
        </w:rPr>
        <w:t>fourth</w:t>
      </w:r>
      <w:r w:rsidRPr="008A481E">
        <w:rPr>
          <w:rFonts w:ascii="Arial" w:hAnsi="Arial" w:cs="Arial"/>
          <w:b/>
          <w:bCs/>
          <w:sz w:val="24"/>
          <w:szCs w:val="24"/>
          <w:u w:val="single"/>
        </w:rPr>
        <w:t xml:space="preserve"> ground of appeal</w:t>
      </w:r>
    </w:p>
    <w:p w14:paraId="30970FF8" w14:textId="77777777" w:rsidR="00C72CB6" w:rsidRPr="008A481E" w:rsidRDefault="00C72CB6" w:rsidP="00C82C35">
      <w:pPr>
        <w:spacing w:after="0" w:line="480" w:lineRule="auto"/>
        <w:rPr>
          <w:rFonts w:ascii="Arial" w:hAnsi="Arial" w:cs="Arial"/>
          <w:sz w:val="24"/>
          <w:szCs w:val="24"/>
        </w:rPr>
      </w:pPr>
    </w:p>
    <w:p w14:paraId="3E970A3C" w14:textId="72DA4BAD" w:rsidR="00D20EE4" w:rsidRDefault="00C72CB6" w:rsidP="00C82C3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The applicants’ </w:t>
      </w:r>
      <w:r w:rsidR="00D20EE4">
        <w:rPr>
          <w:rFonts w:ascii="Arial" w:hAnsi="Arial" w:cs="Arial"/>
          <w:sz w:val="24"/>
          <w:szCs w:val="24"/>
        </w:rPr>
        <w:t>fourth</w:t>
      </w:r>
      <w:r>
        <w:rPr>
          <w:rFonts w:ascii="Arial" w:hAnsi="Arial" w:cs="Arial"/>
          <w:sz w:val="24"/>
          <w:szCs w:val="24"/>
        </w:rPr>
        <w:t xml:space="preserve"> ground of appeal, </w:t>
      </w:r>
      <w:r w:rsidR="00D20EE4">
        <w:rPr>
          <w:rFonts w:ascii="Arial" w:hAnsi="Arial" w:cs="Arial"/>
          <w:sz w:val="24"/>
          <w:szCs w:val="24"/>
        </w:rPr>
        <w:t xml:space="preserve">particularised in </w:t>
      </w:r>
      <w:r>
        <w:rPr>
          <w:rFonts w:ascii="Arial" w:hAnsi="Arial" w:cs="Arial"/>
          <w:sz w:val="24"/>
          <w:szCs w:val="24"/>
        </w:rPr>
        <w:t>paragraph</w:t>
      </w:r>
      <w:r w:rsidR="00D20EE4">
        <w:rPr>
          <w:rFonts w:ascii="Arial" w:hAnsi="Arial" w:cs="Arial"/>
          <w:sz w:val="24"/>
          <w:szCs w:val="24"/>
        </w:rPr>
        <w:t>s</w:t>
      </w:r>
      <w:r>
        <w:rPr>
          <w:rFonts w:ascii="Arial" w:hAnsi="Arial" w:cs="Arial"/>
          <w:sz w:val="24"/>
          <w:szCs w:val="24"/>
        </w:rPr>
        <w:t xml:space="preserve"> 1</w:t>
      </w:r>
      <w:r w:rsidR="00D20EE4">
        <w:rPr>
          <w:rFonts w:ascii="Arial" w:hAnsi="Arial" w:cs="Arial"/>
          <w:sz w:val="24"/>
          <w:szCs w:val="24"/>
        </w:rPr>
        <w:t xml:space="preserve">1 to 20 of the </w:t>
      </w:r>
      <w:r>
        <w:rPr>
          <w:rFonts w:ascii="Arial" w:hAnsi="Arial" w:cs="Arial"/>
          <w:sz w:val="24"/>
          <w:szCs w:val="24"/>
        </w:rPr>
        <w:t xml:space="preserve">notice of application for leave to appeal, </w:t>
      </w:r>
      <w:r w:rsidR="00D20EE4">
        <w:rPr>
          <w:rFonts w:ascii="Arial" w:hAnsi="Arial" w:cs="Arial"/>
          <w:sz w:val="24"/>
          <w:szCs w:val="24"/>
        </w:rPr>
        <w:t>broadly takes issue with the manner in which I applied the prevailing legal principles to the facts of the matter.</w:t>
      </w:r>
    </w:p>
    <w:p w14:paraId="4C3F3C2A" w14:textId="77777777" w:rsidR="00D20EE4" w:rsidRDefault="00D20EE4" w:rsidP="00C82C35">
      <w:pPr>
        <w:pStyle w:val="ListParagraph"/>
        <w:spacing w:after="0" w:line="480" w:lineRule="auto"/>
        <w:ind w:left="851"/>
        <w:jc w:val="both"/>
        <w:rPr>
          <w:rFonts w:ascii="Arial" w:hAnsi="Arial" w:cs="Arial"/>
          <w:sz w:val="24"/>
          <w:szCs w:val="24"/>
        </w:rPr>
      </w:pPr>
    </w:p>
    <w:p w14:paraId="2E4C6BC5" w14:textId="3B962C0D" w:rsidR="00C72CB6" w:rsidRDefault="00D20EE4" w:rsidP="00C82C3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Having said that, the applicants do not state in what respects they contend that I erred in applying the, now settled, legal principles to the facts at hand.</w:t>
      </w:r>
    </w:p>
    <w:p w14:paraId="1BF89BF4" w14:textId="77777777" w:rsidR="00D20EE4" w:rsidRPr="00D20EE4" w:rsidRDefault="00D20EE4" w:rsidP="00C82C35">
      <w:pPr>
        <w:pStyle w:val="ListParagraph"/>
        <w:spacing w:after="0" w:line="480" w:lineRule="auto"/>
        <w:rPr>
          <w:rFonts w:ascii="Arial" w:hAnsi="Arial" w:cs="Arial"/>
          <w:sz w:val="24"/>
          <w:szCs w:val="24"/>
        </w:rPr>
      </w:pPr>
    </w:p>
    <w:p w14:paraId="736F0E99" w14:textId="295C61AD" w:rsidR="009161CD" w:rsidRDefault="00E06FB7" w:rsidP="00C82C3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In </w:t>
      </w:r>
      <w:r w:rsidR="009161CD">
        <w:rPr>
          <w:rFonts w:ascii="Arial" w:hAnsi="Arial" w:cs="Arial"/>
          <w:sz w:val="24"/>
          <w:szCs w:val="24"/>
        </w:rPr>
        <w:t xml:space="preserve">paragraphs [39] to [62] of </w:t>
      </w:r>
      <w:r>
        <w:rPr>
          <w:rFonts w:ascii="Arial" w:hAnsi="Arial" w:cs="Arial"/>
          <w:sz w:val="24"/>
          <w:szCs w:val="24"/>
        </w:rPr>
        <w:t>my judgment, I dealt extensively with the legal principles</w:t>
      </w:r>
      <w:r w:rsidR="009161CD">
        <w:rPr>
          <w:rFonts w:ascii="Arial" w:hAnsi="Arial" w:cs="Arial"/>
          <w:sz w:val="24"/>
          <w:szCs w:val="24"/>
        </w:rPr>
        <w:t xml:space="preserve"> insofar as they are applicable to the facts of the present matter and same need not be repeated herein.  </w:t>
      </w:r>
    </w:p>
    <w:p w14:paraId="42DAEA3C" w14:textId="77777777" w:rsidR="00343533" w:rsidRPr="00343533" w:rsidRDefault="00343533" w:rsidP="00C82C35">
      <w:pPr>
        <w:pStyle w:val="ListParagraph"/>
        <w:spacing w:after="0" w:line="480" w:lineRule="auto"/>
        <w:rPr>
          <w:rFonts w:ascii="Arial" w:hAnsi="Arial" w:cs="Arial"/>
          <w:sz w:val="24"/>
          <w:szCs w:val="24"/>
        </w:rPr>
      </w:pPr>
    </w:p>
    <w:p w14:paraId="73DFA0E3" w14:textId="65920971" w:rsidR="00BB3981" w:rsidRDefault="00DE7BB8" w:rsidP="00C82C3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The applicants accept that insofar as the enquiry under </w:t>
      </w:r>
      <w:r w:rsidRPr="00BB3981">
        <w:rPr>
          <w:rFonts w:ascii="Arial" w:hAnsi="Arial" w:cs="Arial"/>
          <w:sz w:val="24"/>
          <w:szCs w:val="24"/>
        </w:rPr>
        <w:t xml:space="preserve">(a) and (b) of the test </w:t>
      </w:r>
      <w:r>
        <w:rPr>
          <w:rFonts w:ascii="Arial" w:hAnsi="Arial" w:cs="Arial"/>
          <w:sz w:val="24"/>
          <w:szCs w:val="24"/>
        </w:rPr>
        <w:t xml:space="preserve">as set out in </w:t>
      </w:r>
      <w:r w:rsidRPr="002B74FD">
        <w:rPr>
          <w:rFonts w:ascii="Arial" w:hAnsi="Arial" w:cs="Arial"/>
          <w:i/>
          <w:iCs/>
          <w:sz w:val="24"/>
          <w:szCs w:val="24"/>
        </w:rPr>
        <w:t>Langley Fox Building Partnership (Pty) Ltd v De Valence</w:t>
      </w:r>
      <w:r w:rsidRPr="002B74FD">
        <w:rPr>
          <w:vertAlign w:val="superscript"/>
        </w:rPr>
        <w:footnoteReference w:id="9"/>
      </w:r>
      <w:r w:rsidR="009C040F">
        <w:rPr>
          <w:rFonts w:ascii="Arial" w:hAnsi="Arial" w:cs="Arial"/>
          <w:i/>
          <w:iCs/>
          <w:sz w:val="24"/>
          <w:szCs w:val="24"/>
        </w:rPr>
        <w:t xml:space="preserve"> </w:t>
      </w:r>
      <w:r w:rsidR="00514B82">
        <w:rPr>
          <w:rFonts w:ascii="Arial" w:hAnsi="Arial" w:cs="Arial"/>
          <w:sz w:val="24"/>
          <w:szCs w:val="24"/>
        </w:rPr>
        <w:t>is concerned,</w:t>
      </w:r>
      <w:r>
        <w:rPr>
          <w:rFonts w:ascii="Arial" w:hAnsi="Arial" w:cs="Arial"/>
          <w:i/>
          <w:iCs/>
          <w:sz w:val="24"/>
          <w:szCs w:val="24"/>
        </w:rPr>
        <w:t xml:space="preserve"> </w:t>
      </w:r>
      <w:r>
        <w:rPr>
          <w:rFonts w:ascii="Arial" w:hAnsi="Arial" w:cs="Arial"/>
          <w:sz w:val="24"/>
          <w:szCs w:val="24"/>
        </w:rPr>
        <w:t xml:space="preserve">same had been established.  This was in any event apparent from the evidence at trial.  There can accordingly be no doubt that the reasonable possibility of a person slipping and falling in the passages of the court building, as a consequence of a wet floor, was foreseeable.  </w:t>
      </w:r>
      <w:r w:rsidR="00343533">
        <w:rPr>
          <w:rFonts w:ascii="Arial" w:hAnsi="Arial" w:cs="Arial"/>
          <w:sz w:val="24"/>
          <w:szCs w:val="24"/>
        </w:rPr>
        <w:t xml:space="preserve">The applicants do not take </w:t>
      </w:r>
      <w:r w:rsidR="00343533">
        <w:rPr>
          <w:rFonts w:ascii="Arial" w:hAnsi="Arial" w:cs="Arial"/>
          <w:sz w:val="24"/>
          <w:szCs w:val="24"/>
        </w:rPr>
        <w:lastRenderedPageBreak/>
        <w:t>issue with my finding in paragraph [52] of my judgment</w:t>
      </w:r>
      <w:r w:rsidR="00BB3981">
        <w:rPr>
          <w:rFonts w:ascii="Arial" w:hAnsi="Arial" w:cs="Arial"/>
          <w:sz w:val="24"/>
          <w:szCs w:val="24"/>
        </w:rPr>
        <w:t>, in</w:t>
      </w:r>
      <w:r w:rsidR="00343533">
        <w:rPr>
          <w:rFonts w:ascii="Arial" w:hAnsi="Arial" w:cs="Arial"/>
          <w:sz w:val="24"/>
          <w:szCs w:val="24"/>
        </w:rPr>
        <w:t xml:space="preserve"> </w:t>
      </w:r>
      <w:r w:rsidR="00B33186">
        <w:rPr>
          <w:rFonts w:ascii="Arial" w:hAnsi="Arial" w:cs="Arial"/>
          <w:sz w:val="24"/>
          <w:szCs w:val="24"/>
        </w:rPr>
        <w:t>that the legal duty as pleaded, was established by the respondent in respect of both applicants.</w:t>
      </w:r>
      <w:r w:rsidR="00BB3981">
        <w:rPr>
          <w:rFonts w:ascii="Arial" w:hAnsi="Arial" w:cs="Arial"/>
          <w:sz w:val="24"/>
          <w:szCs w:val="24"/>
        </w:rPr>
        <w:t xml:space="preserve">  </w:t>
      </w:r>
    </w:p>
    <w:p w14:paraId="652C112F" w14:textId="77777777" w:rsidR="00BB3981" w:rsidRPr="00BB3981" w:rsidRDefault="00BB3981" w:rsidP="00C82C35">
      <w:pPr>
        <w:pStyle w:val="ListParagraph"/>
        <w:spacing w:after="0" w:line="480" w:lineRule="auto"/>
        <w:rPr>
          <w:rFonts w:ascii="Arial" w:hAnsi="Arial" w:cs="Arial"/>
          <w:sz w:val="24"/>
          <w:szCs w:val="24"/>
        </w:rPr>
      </w:pPr>
    </w:p>
    <w:p w14:paraId="4F911AE7" w14:textId="407B1E79" w:rsidR="005D0875" w:rsidRDefault="00343533" w:rsidP="00C82C3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Whilst it is not clear from the wording of the applicants’ notice of application for leave to appeal, </w:t>
      </w:r>
      <w:r w:rsidR="00B33186">
        <w:rPr>
          <w:rFonts w:ascii="Arial" w:hAnsi="Arial" w:cs="Arial"/>
          <w:sz w:val="24"/>
          <w:szCs w:val="24"/>
        </w:rPr>
        <w:t>nor in the applicants written submission</w:t>
      </w:r>
      <w:r w:rsidR="00BD2A50">
        <w:rPr>
          <w:rFonts w:ascii="Arial" w:hAnsi="Arial" w:cs="Arial"/>
          <w:sz w:val="24"/>
          <w:szCs w:val="24"/>
        </w:rPr>
        <w:t>s</w:t>
      </w:r>
      <w:r w:rsidR="00B33186">
        <w:rPr>
          <w:rFonts w:ascii="Arial" w:hAnsi="Arial" w:cs="Arial"/>
          <w:sz w:val="24"/>
          <w:szCs w:val="24"/>
        </w:rPr>
        <w:t xml:space="preserve">, it was argued that I failed to </w:t>
      </w:r>
      <w:r w:rsidR="007D6204">
        <w:rPr>
          <w:rFonts w:ascii="Arial" w:hAnsi="Arial" w:cs="Arial"/>
          <w:sz w:val="24"/>
          <w:szCs w:val="24"/>
        </w:rPr>
        <w:t xml:space="preserve">properly </w:t>
      </w:r>
      <w:r w:rsidR="00B33186">
        <w:rPr>
          <w:rFonts w:ascii="Arial" w:hAnsi="Arial" w:cs="Arial"/>
          <w:sz w:val="24"/>
          <w:szCs w:val="24"/>
        </w:rPr>
        <w:t xml:space="preserve">apply the legal principles set out in </w:t>
      </w:r>
      <w:r w:rsidR="00B33186" w:rsidRPr="000C6825">
        <w:rPr>
          <w:rFonts w:ascii="Arial" w:hAnsi="Arial" w:cs="Arial"/>
          <w:i/>
          <w:iCs/>
          <w:sz w:val="24"/>
          <w:szCs w:val="24"/>
        </w:rPr>
        <w:t>Chartaprops 16 (Pty) Ltd and Another v Silberman</w:t>
      </w:r>
      <w:r w:rsidR="00B33186">
        <w:rPr>
          <w:rStyle w:val="FootnoteReference"/>
          <w:rFonts w:ascii="Arial" w:hAnsi="Arial" w:cs="Arial"/>
          <w:sz w:val="24"/>
          <w:szCs w:val="24"/>
        </w:rPr>
        <w:footnoteReference w:id="10"/>
      </w:r>
      <w:r w:rsidR="007F5C5A">
        <w:rPr>
          <w:rFonts w:ascii="Arial" w:hAnsi="Arial" w:cs="Arial"/>
          <w:sz w:val="24"/>
          <w:szCs w:val="24"/>
        </w:rPr>
        <w:t xml:space="preserve"> to the facts of the matter.</w:t>
      </w:r>
      <w:r w:rsidR="00BD2A50">
        <w:rPr>
          <w:rFonts w:ascii="Arial" w:hAnsi="Arial" w:cs="Arial"/>
          <w:sz w:val="24"/>
          <w:szCs w:val="24"/>
        </w:rPr>
        <w:t xml:space="preserve">  The argument advanced was that </w:t>
      </w:r>
      <w:r w:rsidR="00B33186" w:rsidRPr="000C6825">
        <w:rPr>
          <w:rFonts w:ascii="Arial" w:hAnsi="Arial" w:cs="Arial"/>
          <w:i/>
          <w:iCs/>
          <w:sz w:val="24"/>
          <w:szCs w:val="24"/>
        </w:rPr>
        <w:t>Chartaprops 16 (Pty) Ltd</w:t>
      </w:r>
      <w:r w:rsidR="00B33186">
        <w:rPr>
          <w:rFonts w:ascii="Arial" w:hAnsi="Arial" w:cs="Arial"/>
          <w:sz w:val="24"/>
          <w:szCs w:val="24"/>
        </w:rPr>
        <w:t xml:space="preserve"> is authority for the proposition that </w:t>
      </w:r>
      <w:r w:rsidR="007D6204">
        <w:rPr>
          <w:rFonts w:ascii="Arial" w:hAnsi="Arial" w:cs="Arial"/>
          <w:sz w:val="24"/>
          <w:szCs w:val="24"/>
        </w:rPr>
        <w:t>the legal duty, as established,</w:t>
      </w:r>
      <w:r w:rsidR="00B33186">
        <w:rPr>
          <w:rFonts w:ascii="Arial" w:hAnsi="Arial" w:cs="Arial"/>
          <w:sz w:val="24"/>
          <w:szCs w:val="24"/>
        </w:rPr>
        <w:t xml:space="preserve"> was discharged by the</w:t>
      </w:r>
      <w:r w:rsidR="00BD2A50">
        <w:rPr>
          <w:rFonts w:ascii="Arial" w:hAnsi="Arial" w:cs="Arial"/>
          <w:sz w:val="24"/>
          <w:szCs w:val="24"/>
        </w:rPr>
        <w:t xml:space="preserve"> mere</w:t>
      </w:r>
      <w:r w:rsidR="00B33186">
        <w:rPr>
          <w:rFonts w:ascii="Arial" w:hAnsi="Arial" w:cs="Arial"/>
          <w:sz w:val="24"/>
          <w:szCs w:val="24"/>
        </w:rPr>
        <w:t xml:space="preserve"> </w:t>
      </w:r>
      <w:r w:rsidR="0017038C">
        <w:rPr>
          <w:rFonts w:ascii="Arial" w:hAnsi="Arial" w:cs="Arial"/>
          <w:sz w:val="24"/>
          <w:szCs w:val="24"/>
        </w:rPr>
        <w:t>appointment</w:t>
      </w:r>
      <w:r w:rsidR="00B33186">
        <w:rPr>
          <w:rFonts w:ascii="Arial" w:hAnsi="Arial" w:cs="Arial"/>
          <w:sz w:val="24"/>
          <w:szCs w:val="24"/>
        </w:rPr>
        <w:t xml:space="preserve"> of </w:t>
      </w:r>
      <w:r w:rsidR="00B33186">
        <w:rPr>
          <w:rFonts w:ascii="Arial" w:hAnsi="Arial" w:cs="Arial"/>
          <w:i/>
          <w:iCs/>
          <w:sz w:val="24"/>
          <w:szCs w:val="24"/>
        </w:rPr>
        <w:t>Sky Ground</w:t>
      </w:r>
      <w:r w:rsidR="00B33186">
        <w:rPr>
          <w:rFonts w:ascii="Arial" w:hAnsi="Arial" w:cs="Arial"/>
          <w:sz w:val="24"/>
          <w:szCs w:val="24"/>
        </w:rPr>
        <w:t>, which the applicants, in their plea, contend to be a “</w:t>
      </w:r>
      <w:r w:rsidR="00B33186" w:rsidRPr="00B33186">
        <w:rPr>
          <w:rFonts w:ascii="Arial" w:hAnsi="Arial" w:cs="Arial"/>
          <w:i/>
          <w:iCs/>
          <w:sz w:val="24"/>
          <w:szCs w:val="24"/>
        </w:rPr>
        <w:t>competent and professional independent contractor</w:t>
      </w:r>
      <w:r w:rsidR="00B33186">
        <w:rPr>
          <w:rFonts w:ascii="Arial" w:hAnsi="Arial" w:cs="Arial"/>
          <w:sz w:val="24"/>
          <w:szCs w:val="24"/>
        </w:rPr>
        <w:t xml:space="preserve">”. </w:t>
      </w:r>
      <w:r>
        <w:rPr>
          <w:rFonts w:ascii="Arial" w:hAnsi="Arial" w:cs="Arial"/>
          <w:sz w:val="24"/>
          <w:szCs w:val="24"/>
        </w:rPr>
        <w:t xml:space="preserve"> </w:t>
      </w:r>
      <w:r w:rsidR="005D0875">
        <w:rPr>
          <w:rFonts w:ascii="Arial" w:hAnsi="Arial" w:cs="Arial"/>
          <w:sz w:val="24"/>
          <w:szCs w:val="24"/>
        </w:rPr>
        <w:t>In other words, it was argued on behalf of the applicants that in addition to the aforesaid, they need not do more to discharge the legal duty on them.</w:t>
      </w:r>
      <w:r w:rsidR="00BD2A50">
        <w:rPr>
          <w:rFonts w:ascii="Arial" w:hAnsi="Arial" w:cs="Arial"/>
          <w:sz w:val="24"/>
          <w:szCs w:val="24"/>
        </w:rPr>
        <w:t xml:space="preserve">  I disagree.</w:t>
      </w:r>
    </w:p>
    <w:p w14:paraId="40E42889" w14:textId="77777777" w:rsidR="002103FB" w:rsidRDefault="002103FB" w:rsidP="002103FB">
      <w:pPr>
        <w:pStyle w:val="ListParagraph"/>
        <w:spacing w:after="0" w:line="480" w:lineRule="auto"/>
        <w:ind w:left="851"/>
        <w:jc w:val="both"/>
        <w:rPr>
          <w:rFonts w:ascii="Arial" w:hAnsi="Arial" w:cs="Arial"/>
          <w:sz w:val="24"/>
          <w:szCs w:val="24"/>
        </w:rPr>
      </w:pPr>
    </w:p>
    <w:p w14:paraId="192AE777" w14:textId="2D8637FC" w:rsidR="00BB3981" w:rsidRDefault="007D6204" w:rsidP="00C82C3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Leaving aside my finding that the applicants had failed to establish</w:t>
      </w:r>
      <w:r w:rsidR="0017038C">
        <w:rPr>
          <w:rFonts w:ascii="Arial" w:hAnsi="Arial" w:cs="Arial"/>
          <w:sz w:val="24"/>
          <w:szCs w:val="24"/>
        </w:rPr>
        <w:t xml:space="preserve"> on the evidence that </w:t>
      </w:r>
      <w:r w:rsidR="0017038C">
        <w:rPr>
          <w:rFonts w:ascii="Arial" w:hAnsi="Arial" w:cs="Arial"/>
          <w:i/>
          <w:iCs/>
          <w:sz w:val="24"/>
          <w:szCs w:val="24"/>
        </w:rPr>
        <w:t xml:space="preserve">Sky Ground </w:t>
      </w:r>
      <w:r w:rsidR="0017038C">
        <w:rPr>
          <w:rFonts w:ascii="Arial" w:hAnsi="Arial" w:cs="Arial"/>
          <w:sz w:val="24"/>
          <w:szCs w:val="24"/>
        </w:rPr>
        <w:t>was a competent and professional independent contractor, the court</w:t>
      </w:r>
      <w:r w:rsidR="007B4A27">
        <w:rPr>
          <w:rFonts w:ascii="Arial" w:hAnsi="Arial" w:cs="Arial"/>
          <w:sz w:val="24"/>
          <w:szCs w:val="24"/>
        </w:rPr>
        <w:t>,</w:t>
      </w:r>
      <w:r w:rsidR="0017038C">
        <w:rPr>
          <w:rFonts w:ascii="Arial" w:hAnsi="Arial" w:cs="Arial"/>
          <w:sz w:val="24"/>
          <w:szCs w:val="24"/>
        </w:rPr>
        <w:t xml:space="preserve"> in </w:t>
      </w:r>
      <w:r w:rsidR="0017038C" w:rsidRPr="000C6825">
        <w:rPr>
          <w:rFonts w:ascii="Arial" w:hAnsi="Arial" w:cs="Arial"/>
          <w:i/>
          <w:iCs/>
          <w:sz w:val="24"/>
          <w:szCs w:val="24"/>
        </w:rPr>
        <w:t>Chartaprops 16 (Pty) Ltd</w:t>
      </w:r>
      <w:r w:rsidR="0035659D">
        <w:rPr>
          <w:rFonts w:ascii="Arial" w:hAnsi="Arial" w:cs="Arial"/>
          <w:sz w:val="24"/>
          <w:szCs w:val="24"/>
        </w:rPr>
        <w:t>,</w:t>
      </w:r>
      <w:r w:rsidR="0017038C">
        <w:rPr>
          <w:rFonts w:ascii="Arial" w:hAnsi="Arial" w:cs="Arial"/>
          <w:sz w:val="24"/>
          <w:szCs w:val="24"/>
        </w:rPr>
        <w:t xml:space="preserve"> </w:t>
      </w:r>
      <w:r w:rsidR="007B4A27">
        <w:rPr>
          <w:rFonts w:ascii="Arial" w:hAnsi="Arial" w:cs="Arial"/>
          <w:sz w:val="24"/>
          <w:szCs w:val="24"/>
        </w:rPr>
        <w:t xml:space="preserve">in declining to hold </w:t>
      </w:r>
      <w:r w:rsidR="007B4A27" w:rsidRPr="000C6825">
        <w:rPr>
          <w:rFonts w:ascii="Arial" w:hAnsi="Arial" w:cs="Arial"/>
          <w:i/>
          <w:iCs/>
          <w:sz w:val="24"/>
          <w:szCs w:val="24"/>
        </w:rPr>
        <w:t>Chartaprops 16 (Pty) Ltd</w:t>
      </w:r>
      <w:r w:rsidR="007B4A27">
        <w:rPr>
          <w:rFonts w:ascii="Arial" w:hAnsi="Arial" w:cs="Arial"/>
          <w:i/>
          <w:iCs/>
          <w:sz w:val="24"/>
          <w:szCs w:val="24"/>
        </w:rPr>
        <w:t xml:space="preserve"> </w:t>
      </w:r>
      <w:r w:rsidR="007B4A27">
        <w:rPr>
          <w:rFonts w:ascii="Arial" w:hAnsi="Arial" w:cs="Arial"/>
          <w:sz w:val="24"/>
          <w:szCs w:val="24"/>
        </w:rPr>
        <w:t xml:space="preserve">liable, pertinently </w:t>
      </w:r>
      <w:r w:rsidR="0035659D">
        <w:rPr>
          <w:rFonts w:ascii="Arial" w:hAnsi="Arial" w:cs="Arial"/>
          <w:sz w:val="24"/>
          <w:szCs w:val="24"/>
        </w:rPr>
        <w:t>found that</w:t>
      </w:r>
      <w:r w:rsidR="007B4A27">
        <w:rPr>
          <w:rFonts w:ascii="Arial" w:hAnsi="Arial" w:cs="Arial"/>
          <w:sz w:val="24"/>
          <w:szCs w:val="24"/>
        </w:rPr>
        <w:t xml:space="preserve"> the latter</w:t>
      </w:r>
      <w:r w:rsidR="0035659D">
        <w:rPr>
          <w:rFonts w:ascii="Arial" w:hAnsi="Arial" w:cs="Arial"/>
          <w:sz w:val="24"/>
          <w:szCs w:val="24"/>
        </w:rPr>
        <w:t xml:space="preserve"> </w:t>
      </w:r>
      <w:r w:rsidR="0017038C">
        <w:rPr>
          <w:rFonts w:ascii="Arial" w:hAnsi="Arial" w:cs="Arial"/>
          <w:sz w:val="24"/>
          <w:szCs w:val="24"/>
        </w:rPr>
        <w:t>did not merely content itself with contracting</w:t>
      </w:r>
      <w:r w:rsidR="0035659D">
        <w:rPr>
          <w:rFonts w:ascii="Arial" w:hAnsi="Arial" w:cs="Arial"/>
          <w:sz w:val="24"/>
          <w:szCs w:val="24"/>
        </w:rPr>
        <w:t xml:space="preserve"> the cleaning contractor</w:t>
      </w:r>
      <w:r w:rsidR="0017038C">
        <w:rPr>
          <w:rFonts w:ascii="Arial" w:hAnsi="Arial" w:cs="Arial"/>
          <w:sz w:val="24"/>
          <w:szCs w:val="24"/>
        </w:rPr>
        <w:t xml:space="preserve"> to perform the cleaning services in the shopping mall</w:t>
      </w:r>
      <w:r w:rsidR="00BB3981">
        <w:rPr>
          <w:rFonts w:ascii="Arial" w:hAnsi="Arial" w:cs="Arial"/>
          <w:sz w:val="24"/>
          <w:szCs w:val="24"/>
        </w:rPr>
        <w:t xml:space="preserve">, but that it did more, as per </w:t>
      </w:r>
      <w:r w:rsidR="0035659D">
        <w:rPr>
          <w:rFonts w:ascii="Arial" w:hAnsi="Arial" w:cs="Arial"/>
          <w:sz w:val="24"/>
          <w:szCs w:val="24"/>
        </w:rPr>
        <w:t>paragraph [46] of the judgment of Ponnan JA</w:t>
      </w:r>
      <w:r w:rsidR="007B4A27">
        <w:rPr>
          <w:rFonts w:ascii="Arial" w:hAnsi="Arial" w:cs="Arial"/>
          <w:sz w:val="24"/>
          <w:szCs w:val="24"/>
        </w:rPr>
        <w:t>.</w:t>
      </w:r>
      <w:r w:rsidR="00BB3981">
        <w:rPr>
          <w:rFonts w:ascii="Arial" w:hAnsi="Arial" w:cs="Arial"/>
          <w:sz w:val="24"/>
          <w:szCs w:val="24"/>
        </w:rPr>
        <w:t xml:space="preserve">  It goes without </w:t>
      </w:r>
      <w:r w:rsidR="007E2CDC">
        <w:rPr>
          <w:rFonts w:ascii="Arial" w:hAnsi="Arial" w:cs="Arial"/>
          <w:sz w:val="24"/>
          <w:szCs w:val="24"/>
        </w:rPr>
        <w:t>saying</w:t>
      </w:r>
      <w:r w:rsidR="00BB3981">
        <w:rPr>
          <w:rFonts w:ascii="Arial" w:hAnsi="Arial" w:cs="Arial"/>
          <w:sz w:val="24"/>
          <w:szCs w:val="24"/>
        </w:rPr>
        <w:t xml:space="preserve"> that this court is bound by the findings of the Supreme Court of Appeal.</w:t>
      </w:r>
    </w:p>
    <w:p w14:paraId="33D50033" w14:textId="77777777" w:rsidR="0035659D" w:rsidRPr="0035659D" w:rsidRDefault="0035659D" w:rsidP="00C82C35">
      <w:pPr>
        <w:pStyle w:val="ListParagraph"/>
        <w:spacing w:after="0" w:line="480" w:lineRule="auto"/>
        <w:rPr>
          <w:rFonts w:ascii="Arial" w:hAnsi="Arial" w:cs="Arial"/>
          <w:sz w:val="24"/>
          <w:szCs w:val="24"/>
        </w:rPr>
      </w:pPr>
    </w:p>
    <w:p w14:paraId="073EC701" w14:textId="5A7E1B1D" w:rsidR="00E32F66" w:rsidRDefault="00E32F66" w:rsidP="00C82C3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 xml:space="preserve">In paragraphs [56] to [61] of my judgment, </w:t>
      </w:r>
      <w:r w:rsidR="009402DE">
        <w:rPr>
          <w:rFonts w:ascii="Arial" w:hAnsi="Arial" w:cs="Arial"/>
          <w:sz w:val="24"/>
          <w:szCs w:val="24"/>
        </w:rPr>
        <w:t>I dealt with the question as to whether or not the steps taken by the applicants in the circumstances of this matter were reasonable</w:t>
      </w:r>
      <w:r>
        <w:rPr>
          <w:rFonts w:ascii="Arial" w:hAnsi="Arial" w:cs="Arial"/>
          <w:sz w:val="24"/>
          <w:szCs w:val="24"/>
        </w:rPr>
        <w:t xml:space="preserve">.  </w:t>
      </w:r>
      <w:r w:rsidR="004574A7">
        <w:rPr>
          <w:rFonts w:ascii="Arial" w:hAnsi="Arial" w:cs="Arial"/>
          <w:sz w:val="24"/>
          <w:szCs w:val="24"/>
        </w:rPr>
        <w:t xml:space="preserve">For the reasons stated therein, </w:t>
      </w:r>
      <w:r w:rsidR="00BD16AF">
        <w:rPr>
          <w:rFonts w:ascii="Arial" w:hAnsi="Arial" w:cs="Arial"/>
          <w:sz w:val="24"/>
          <w:szCs w:val="24"/>
        </w:rPr>
        <w:t xml:space="preserve">and </w:t>
      </w:r>
      <w:r w:rsidR="00BF6A7A">
        <w:rPr>
          <w:rFonts w:ascii="Arial" w:hAnsi="Arial" w:cs="Arial"/>
          <w:sz w:val="24"/>
          <w:szCs w:val="24"/>
        </w:rPr>
        <w:t xml:space="preserve">in the exercise of my value judgment, </w:t>
      </w:r>
      <w:r w:rsidR="00BD16AF">
        <w:rPr>
          <w:rFonts w:ascii="Arial" w:hAnsi="Arial" w:cs="Arial"/>
          <w:sz w:val="24"/>
          <w:szCs w:val="24"/>
        </w:rPr>
        <w:t xml:space="preserve">the answer to such question </w:t>
      </w:r>
      <w:r w:rsidR="00BF6A7A">
        <w:rPr>
          <w:rFonts w:ascii="Arial" w:hAnsi="Arial" w:cs="Arial"/>
          <w:sz w:val="24"/>
          <w:szCs w:val="24"/>
        </w:rPr>
        <w:t>was in the negative.</w:t>
      </w:r>
      <w:r w:rsidR="000D7590">
        <w:rPr>
          <w:rFonts w:ascii="Arial" w:hAnsi="Arial" w:cs="Arial"/>
          <w:sz w:val="24"/>
          <w:szCs w:val="24"/>
        </w:rPr>
        <w:t xml:space="preserve">  The applicants have cited no grounds upon which my value judgment was exercised improperly.</w:t>
      </w:r>
    </w:p>
    <w:p w14:paraId="450315EA" w14:textId="77777777" w:rsidR="00E32F66" w:rsidRPr="00E32F66" w:rsidRDefault="00E32F66" w:rsidP="00C82C35">
      <w:pPr>
        <w:pStyle w:val="ListParagraph"/>
        <w:spacing w:after="0" w:line="480" w:lineRule="auto"/>
        <w:rPr>
          <w:rFonts w:ascii="Arial" w:hAnsi="Arial" w:cs="Arial"/>
          <w:sz w:val="24"/>
          <w:szCs w:val="24"/>
        </w:rPr>
      </w:pPr>
    </w:p>
    <w:p w14:paraId="6715A90C" w14:textId="28EE4FEC" w:rsidR="00E32F66" w:rsidRDefault="00A32232" w:rsidP="00C82C3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Accordingly, </w:t>
      </w:r>
      <w:r w:rsidR="00024D34">
        <w:rPr>
          <w:rFonts w:ascii="Arial" w:hAnsi="Arial" w:cs="Arial"/>
          <w:sz w:val="24"/>
          <w:szCs w:val="24"/>
        </w:rPr>
        <w:t xml:space="preserve">I do not think that </w:t>
      </w:r>
      <w:r w:rsidR="00024D34" w:rsidRPr="0006323E">
        <w:rPr>
          <w:rFonts w:ascii="Arial" w:hAnsi="Arial" w:cs="Arial"/>
          <w:sz w:val="24"/>
          <w:szCs w:val="24"/>
        </w:rPr>
        <w:t>there are reasonable prospects that another court will come to a different conclusion</w:t>
      </w:r>
      <w:r w:rsidR="00024D34">
        <w:rPr>
          <w:rFonts w:ascii="Arial" w:hAnsi="Arial" w:cs="Arial"/>
          <w:sz w:val="24"/>
          <w:szCs w:val="24"/>
        </w:rPr>
        <w:t>.</w:t>
      </w:r>
    </w:p>
    <w:p w14:paraId="3DC3584B" w14:textId="77777777" w:rsidR="00BD24DF" w:rsidRDefault="00BD24DF" w:rsidP="00C82C35">
      <w:pPr>
        <w:spacing w:after="0" w:line="480" w:lineRule="auto"/>
        <w:rPr>
          <w:rFonts w:ascii="Arial" w:hAnsi="Arial" w:cs="Arial"/>
          <w:b/>
          <w:bCs/>
          <w:sz w:val="24"/>
          <w:szCs w:val="24"/>
          <w:u w:val="single"/>
        </w:rPr>
      </w:pPr>
    </w:p>
    <w:p w14:paraId="02C488A9" w14:textId="2B4629EE" w:rsidR="008C65F8" w:rsidRPr="008A481E" w:rsidRDefault="008C65F8" w:rsidP="00C82C35">
      <w:pPr>
        <w:spacing w:after="0" w:line="480" w:lineRule="auto"/>
        <w:rPr>
          <w:rFonts w:ascii="Arial" w:hAnsi="Arial" w:cs="Arial"/>
          <w:b/>
          <w:bCs/>
          <w:sz w:val="24"/>
          <w:szCs w:val="24"/>
          <w:u w:val="single"/>
        </w:rPr>
      </w:pPr>
      <w:r w:rsidRPr="008A481E">
        <w:rPr>
          <w:rFonts w:ascii="Arial" w:hAnsi="Arial" w:cs="Arial"/>
          <w:b/>
          <w:bCs/>
          <w:sz w:val="24"/>
          <w:szCs w:val="24"/>
          <w:u w:val="single"/>
        </w:rPr>
        <w:t xml:space="preserve">The applicants’ </w:t>
      </w:r>
      <w:r>
        <w:rPr>
          <w:rFonts w:ascii="Arial" w:hAnsi="Arial" w:cs="Arial"/>
          <w:b/>
          <w:bCs/>
          <w:sz w:val="24"/>
          <w:szCs w:val="24"/>
          <w:u w:val="single"/>
        </w:rPr>
        <w:t>fifth</w:t>
      </w:r>
      <w:r w:rsidRPr="008A481E">
        <w:rPr>
          <w:rFonts w:ascii="Arial" w:hAnsi="Arial" w:cs="Arial"/>
          <w:b/>
          <w:bCs/>
          <w:sz w:val="24"/>
          <w:szCs w:val="24"/>
          <w:u w:val="single"/>
        </w:rPr>
        <w:t xml:space="preserve"> ground of appeal</w:t>
      </w:r>
    </w:p>
    <w:p w14:paraId="48BB5D30" w14:textId="77777777" w:rsidR="008C65F8" w:rsidRPr="008A481E" w:rsidRDefault="008C65F8" w:rsidP="00C82C35">
      <w:pPr>
        <w:spacing w:after="0" w:line="480" w:lineRule="auto"/>
        <w:rPr>
          <w:rFonts w:ascii="Arial" w:hAnsi="Arial" w:cs="Arial"/>
          <w:sz w:val="24"/>
          <w:szCs w:val="24"/>
        </w:rPr>
      </w:pPr>
    </w:p>
    <w:p w14:paraId="56F2D135" w14:textId="064B801B" w:rsidR="008C65F8" w:rsidRDefault="008C65F8" w:rsidP="00C82C3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In light of what I have stated above, it follows that the applicants’ fifth ground of appeal in respect of the costs of the matter, must fail.</w:t>
      </w:r>
    </w:p>
    <w:p w14:paraId="5C29C060" w14:textId="77777777" w:rsidR="0035659D" w:rsidRPr="008C65F8" w:rsidRDefault="0035659D" w:rsidP="00C82C35">
      <w:pPr>
        <w:spacing w:after="0" w:line="480" w:lineRule="auto"/>
        <w:rPr>
          <w:rFonts w:ascii="Arial" w:hAnsi="Arial" w:cs="Arial"/>
          <w:sz w:val="24"/>
          <w:szCs w:val="24"/>
        </w:rPr>
      </w:pPr>
    </w:p>
    <w:p w14:paraId="0CC1E7D0" w14:textId="4F1977CD" w:rsidR="005D0875" w:rsidRDefault="00AB3D3B" w:rsidP="00C82C3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 broader argument advanced on behalf of the applicants in terms of section 17(1)(</w:t>
      </w:r>
      <w:r w:rsidR="00B87A40">
        <w:rPr>
          <w:rFonts w:ascii="Arial" w:hAnsi="Arial" w:cs="Arial"/>
          <w:sz w:val="24"/>
          <w:szCs w:val="24"/>
        </w:rPr>
        <w:t>a</w:t>
      </w:r>
      <w:r>
        <w:rPr>
          <w:rFonts w:ascii="Arial" w:hAnsi="Arial" w:cs="Arial"/>
          <w:sz w:val="24"/>
          <w:szCs w:val="24"/>
        </w:rPr>
        <w:t>)</w:t>
      </w:r>
      <w:r w:rsidR="00B87A40">
        <w:rPr>
          <w:rFonts w:ascii="Arial" w:hAnsi="Arial" w:cs="Arial"/>
          <w:sz w:val="24"/>
          <w:szCs w:val="24"/>
        </w:rPr>
        <w:t>(ii)</w:t>
      </w:r>
      <w:r>
        <w:rPr>
          <w:rFonts w:ascii="Arial" w:hAnsi="Arial" w:cs="Arial"/>
          <w:sz w:val="24"/>
          <w:szCs w:val="24"/>
        </w:rPr>
        <w:t xml:space="preserve"> of the Act, in that </w:t>
      </w:r>
      <w:r w:rsidRPr="00AB3D3B">
        <w:rPr>
          <w:rFonts w:ascii="Arial" w:hAnsi="Arial" w:cs="Arial"/>
          <w:sz w:val="24"/>
          <w:szCs w:val="24"/>
        </w:rPr>
        <w:t>there is some other compelling reason why the appeal should be heard,</w:t>
      </w:r>
      <w:r>
        <w:rPr>
          <w:rFonts w:ascii="Arial" w:hAnsi="Arial" w:cs="Arial"/>
          <w:sz w:val="24"/>
          <w:szCs w:val="24"/>
        </w:rPr>
        <w:t xml:space="preserve"> is that (i) the matter is of public importance; (ii) is of importance to the </w:t>
      </w:r>
      <w:r w:rsidR="0085769A">
        <w:rPr>
          <w:rFonts w:ascii="Arial" w:hAnsi="Arial" w:cs="Arial"/>
          <w:sz w:val="24"/>
          <w:szCs w:val="24"/>
        </w:rPr>
        <w:t>applicant</w:t>
      </w:r>
      <w:r>
        <w:rPr>
          <w:rFonts w:ascii="Arial" w:hAnsi="Arial" w:cs="Arial"/>
          <w:sz w:val="24"/>
          <w:szCs w:val="24"/>
        </w:rPr>
        <w:t>s; and (iii) there are now</w:t>
      </w:r>
      <w:r w:rsidRPr="00AB3D3B">
        <w:rPr>
          <w:rFonts w:ascii="Arial" w:hAnsi="Arial" w:cs="Arial"/>
          <w:sz w:val="24"/>
          <w:szCs w:val="24"/>
        </w:rPr>
        <w:t xml:space="preserve"> conflicting judgments on the matter under consideration</w:t>
      </w:r>
      <w:r>
        <w:rPr>
          <w:rFonts w:ascii="Arial" w:hAnsi="Arial" w:cs="Arial"/>
          <w:sz w:val="24"/>
          <w:szCs w:val="24"/>
        </w:rPr>
        <w:t xml:space="preserve">, </w:t>
      </w:r>
      <w:r w:rsidR="000E63BD">
        <w:rPr>
          <w:rFonts w:ascii="Arial" w:hAnsi="Arial" w:cs="Arial"/>
          <w:sz w:val="24"/>
          <w:szCs w:val="24"/>
        </w:rPr>
        <w:t>is</w:t>
      </w:r>
      <w:r>
        <w:rPr>
          <w:rFonts w:ascii="Arial" w:hAnsi="Arial" w:cs="Arial"/>
          <w:sz w:val="24"/>
          <w:szCs w:val="24"/>
        </w:rPr>
        <w:t xml:space="preserve"> without merit.</w:t>
      </w:r>
    </w:p>
    <w:p w14:paraId="4907A789" w14:textId="77777777" w:rsidR="00AB3D3B" w:rsidRPr="00AB3D3B" w:rsidRDefault="00AB3D3B" w:rsidP="00C82C35">
      <w:pPr>
        <w:pStyle w:val="ListParagraph"/>
        <w:spacing w:after="0" w:line="480" w:lineRule="auto"/>
        <w:rPr>
          <w:rFonts w:ascii="Arial" w:hAnsi="Arial" w:cs="Arial"/>
          <w:sz w:val="24"/>
          <w:szCs w:val="24"/>
        </w:rPr>
      </w:pPr>
    </w:p>
    <w:p w14:paraId="2FE182FB" w14:textId="2FEF0444" w:rsidR="00BB6CF8" w:rsidRDefault="00AB3D3B" w:rsidP="00C82C3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This matter is no different to, and of no greater importance than, any other “spillage” case or any other case involving the legal principles pertaining to the liability</w:t>
      </w:r>
      <w:r w:rsidR="00BB6CF8">
        <w:rPr>
          <w:rFonts w:ascii="Arial" w:hAnsi="Arial" w:cs="Arial"/>
          <w:sz w:val="24"/>
          <w:szCs w:val="24"/>
        </w:rPr>
        <w:t xml:space="preserve"> (or lack thereof)</w:t>
      </w:r>
      <w:r>
        <w:rPr>
          <w:rFonts w:ascii="Arial" w:hAnsi="Arial" w:cs="Arial"/>
          <w:sz w:val="24"/>
          <w:szCs w:val="24"/>
        </w:rPr>
        <w:t xml:space="preserve"> of </w:t>
      </w:r>
      <w:r w:rsidR="00BB6CF8">
        <w:rPr>
          <w:rFonts w:ascii="Arial" w:hAnsi="Arial" w:cs="Arial"/>
          <w:sz w:val="24"/>
          <w:szCs w:val="24"/>
        </w:rPr>
        <w:t xml:space="preserve">an employee for an independent contractor.  The </w:t>
      </w:r>
      <w:r w:rsidR="00BB6CF8">
        <w:rPr>
          <w:rFonts w:ascii="Arial" w:hAnsi="Arial" w:cs="Arial"/>
          <w:sz w:val="24"/>
          <w:szCs w:val="24"/>
        </w:rPr>
        <w:lastRenderedPageBreak/>
        <w:t>findings in such cases are inextricably linked to the peculiar facts of each matter.</w:t>
      </w:r>
    </w:p>
    <w:p w14:paraId="475195A1" w14:textId="77777777" w:rsidR="00C3347D" w:rsidRDefault="00C3347D" w:rsidP="00C3347D">
      <w:pPr>
        <w:pStyle w:val="ListParagraph"/>
        <w:spacing w:after="0" w:line="480" w:lineRule="auto"/>
        <w:ind w:left="851"/>
        <w:jc w:val="both"/>
        <w:rPr>
          <w:rFonts w:ascii="Arial" w:hAnsi="Arial" w:cs="Arial"/>
          <w:sz w:val="24"/>
          <w:szCs w:val="24"/>
        </w:rPr>
      </w:pPr>
    </w:p>
    <w:p w14:paraId="364D2816" w14:textId="5BFE56B7" w:rsidR="00AB3D3B" w:rsidRPr="00AB3D3B" w:rsidRDefault="00A11769" w:rsidP="00C82C3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It is not so that there are conflicting judgments on the matter under consideration, this court having followed the findings of the Supreme Court of Appeal</w:t>
      </w:r>
      <w:r w:rsidR="0059548E">
        <w:rPr>
          <w:rFonts w:ascii="Arial" w:hAnsi="Arial" w:cs="Arial"/>
          <w:sz w:val="24"/>
          <w:szCs w:val="24"/>
        </w:rPr>
        <w:t>, and the applicants having failed to establish any basis for challenging such findings</w:t>
      </w:r>
      <w:r>
        <w:rPr>
          <w:rFonts w:ascii="Arial" w:hAnsi="Arial" w:cs="Arial"/>
          <w:sz w:val="24"/>
          <w:szCs w:val="24"/>
        </w:rPr>
        <w:t xml:space="preserve">. </w:t>
      </w:r>
      <w:r w:rsidR="00AB3D3B">
        <w:rPr>
          <w:rFonts w:ascii="Arial" w:hAnsi="Arial" w:cs="Arial"/>
          <w:sz w:val="24"/>
          <w:szCs w:val="24"/>
        </w:rPr>
        <w:t xml:space="preserve"> </w:t>
      </w:r>
      <w:r w:rsidR="0059548E">
        <w:rPr>
          <w:rFonts w:ascii="Arial" w:hAnsi="Arial" w:cs="Arial"/>
          <w:sz w:val="24"/>
          <w:szCs w:val="24"/>
        </w:rPr>
        <w:t xml:space="preserve">In this regard, I note that the proposed appeal is to the Full Bench of the Provincial Division, which in any event is bound by the Supreme Court of Appeal. </w:t>
      </w:r>
    </w:p>
    <w:p w14:paraId="0923328A" w14:textId="77777777" w:rsidR="00A11769" w:rsidRDefault="00A11769" w:rsidP="00C82C35">
      <w:pPr>
        <w:pStyle w:val="ListParagraph"/>
        <w:spacing w:after="0" w:line="480" w:lineRule="auto"/>
        <w:ind w:left="851"/>
        <w:jc w:val="both"/>
        <w:rPr>
          <w:rFonts w:ascii="Arial" w:hAnsi="Arial" w:cs="Arial"/>
          <w:sz w:val="24"/>
          <w:szCs w:val="24"/>
        </w:rPr>
      </w:pPr>
    </w:p>
    <w:p w14:paraId="2686108F" w14:textId="77777777" w:rsidR="00C82C35" w:rsidRDefault="00A11769" w:rsidP="00C82C3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Accordingly, I am of the view that there exists no reasonable prospect of success in the contemplated appeal.  I am further of the view that </w:t>
      </w:r>
      <w:r w:rsidR="00C82C35">
        <w:rPr>
          <w:rFonts w:ascii="Arial" w:hAnsi="Arial" w:cs="Arial"/>
          <w:sz w:val="24"/>
          <w:szCs w:val="24"/>
        </w:rPr>
        <w:t>there exists no compelling reason why such appeal should be heard.</w:t>
      </w:r>
    </w:p>
    <w:p w14:paraId="0035FCD1" w14:textId="77777777" w:rsidR="00C82C35" w:rsidRPr="00C82C35" w:rsidRDefault="00C82C35" w:rsidP="00C82C35">
      <w:pPr>
        <w:pStyle w:val="ListParagraph"/>
        <w:spacing w:after="0" w:line="480" w:lineRule="auto"/>
        <w:rPr>
          <w:rFonts w:ascii="Arial" w:hAnsi="Arial" w:cs="Arial"/>
          <w:sz w:val="24"/>
          <w:szCs w:val="24"/>
        </w:rPr>
      </w:pPr>
    </w:p>
    <w:p w14:paraId="7DB7B185" w14:textId="77777777" w:rsidR="00C82C35" w:rsidRDefault="00C82C35" w:rsidP="00C82C35">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In the result, the following order shall issue:</w:t>
      </w:r>
    </w:p>
    <w:p w14:paraId="0B222771" w14:textId="77777777" w:rsidR="00C82C35" w:rsidRPr="00C82C35" w:rsidRDefault="00C82C35" w:rsidP="00C82C35">
      <w:pPr>
        <w:pStyle w:val="ListParagraph"/>
        <w:spacing w:after="0" w:line="480" w:lineRule="auto"/>
        <w:rPr>
          <w:rFonts w:ascii="Arial" w:hAnsi="Arial" w:cs="Arial"/>
          <w:sz w:val="24"/>
          <w:szCs w:val="24"/>
        </w:rPr>
      </w:pPr>
    </w:p>
    <w:p w14:paraId="2739E3D7" w14:textId="18648E16" w:rsidR="00C82C35" w:rsidRDefault="00C82C35" w:rsidP="00C82C35">
      <w:pPr>
        <w:pStyle w:val="ListParagraph"/>
        <w:numPr>
          <w:ilvl w:val="0"/>
          <w:numId w:val="2"/>
        </w:numPr>
        <w:spacing w:after="0" w:line="480" w:lineRule="auto"/>
        <w:jc w:val="both"/>
        <w:rPr>
          <w:rFonts w:ascii="Arial" w:hAnsi="Arial" w:cs="Arial"/>
          <w:sz w:val="24"/>
          <w:szCs w:val="24"/>
        </w:rPr>
      </w:pPr>
      <w:r>
        <w:rPr>
          <w:rFonts w:ascii="Arial" w:hAnsi="Arial" w:cs="Arial"/>
          <w:sz w:val="24"/>
          <w:szCs w:val="24"/>
        </w:rPr>
        <w:t>The applicants’ application for leave to appeal i</w:t>
      </w:r>
      <w:r w:rsidR="00994747">
        <w:rPr>
          <w:rFonts w:ascii="Arial" w:hAnsi="Arial" w:cs="Arial"/>
          <w:sz w:val="24"/>
          <w:szCs w:val="24"/>
        </w:rPr>
        <w:t>s</w:t>
      </w:r>
      <w:r>
        <w:rPr>
          <w:rFonts w:ascii="Arial" w:hAnsi="Arial" w:cs="Arial"/>
          <w:sz w:val="24"/>
          <w:szCs w:val="24"/>
        </w:rPr>
        <w:t xml:space="preserve"> dismissed with costs.</w:t>
      </w:r>
    </w:p>
    <w:p w14:paraId="7EEF295F" w14:textId="3DDDE29D" w:rsidR="00637AB1" w:rsidRDefault="00637AB1" w:rsidP="00637AB1">
      <w:pPr>
        <w:spacing w:after="0" w:line="480" w:lineRule="auto"/>
        <w:jc w:val="both"/>
        <w:rPr>
          <w:rStyle w:val="Hyperlink"/>
          <w:rFonts w:ascii="Arial" w:hAnsi="Arial" w:cs="Arial"/>
          <w:i/>
          <w:iCs/>
          <w:sz w:val="24"/>
          <w:szCs w:val="24"/>
        </w:rPr>
      </w:pPr>
    </w:p>
    <w:p w14:paraId="044B7602" w14:textId="77777777" w:rsidR="00A439DB" w:rsidRDefault="00A439DB" w:rsidP="00637AB1">
      <w:pPr>
        <w:spacing w:after="0" w:line="480" w:lineRule="auto"/>
        <w:jc w:val="both"/>
        <w:rPr>
          <w:rStyle w:val="Hyperlink"/>
          <w:rFonts w:ascii="Arial" w:hAnsi="Arial" w:cs="Arial"/>
          <w:i/>
          <w:iCs/>
          <w:sz w:val="24"/>
          <w:szCs w:val="24"/>
        </w:rPr>
      </w:pPr>
    </w:p>
    <w:p w14:paraId="381329CF" w14:textId="77777777" w:rsidR="00637AB1" w:rsidRPr="00EA5C93" w:rsidRDefault="00637AB1" w:rsidP="00637AB1">
      <w:pPr>
        <w:spacing w:after="0" w:line="480" w:lineRule="auto"/>
        <w:jc w:val="both"/>
        <w:rPr>
          <w:rStyle w:val="Hyperlink"/>
          <w:rFonts w:ascii="Arial" w:hAnsi="Arial" w:cs="Arial"/>
          <w:i/>
          <w:iCs/>
          <w:color w:val="auto"/>
          <w:sz w:val="24"/>
          <w:szCs w:val="24"/>
        </w:rPr>
      </w:pPr>
      <w:r w:rsidRPr="00EA5C93">
        <w:rPr>
          <w:rStyle w:val="Hyperlink"/>
          <w:rFonts w:ascii="Arial" w:hAnsi="Arial" w:cs="Arial"/>
          <w:i/>
          <w:iCs/>
          <w:color w:val="auto"/>
          <w:sz w:val="24"/>
          <w:szCs w:val="24"/>
        </w:rPr>
        <w:t>________________________________</w:t>
      </w:r>
    </w:p>
    <w:p w14:paraId="5237AD42" w14:textId="77777777" w:rsidR="00637AB1" w:rsidRPr="005E0A83" w:rsidRDefault="00637AB1" w:rsidP="00637AB1">
      <w:pPr>
        <w:spacing w:after="0" w:line="480" w:lineRule="auto"/>
        <w:jc w:val="both"/>
        <w:rPr>
          <w:rFonts w:ascii="Arial" w:hAnsi="Arial" w:cs="Arial"/>
          <w:b/>
          <w:bCs/>
          <w:sz w:val="24"/>
          <w:szCs w:val="24"/>
        </w:rPr>
      </w:pPr>
      <w:r w:rsidRPr="005E0A83">
        <w:rPr>
          <w:rFonts w:ascii="Arial" w:hAnsi="Arial" w:cs="Arial"/>
          <w:b/>
          <w:bCs/>
          <w:sz w:val="24"/>
          <w:szCs w:val="24"/>
        </w:rPr>
        <w:t xml:space="preserve">I BANDS </w:t>
      </w:r>
    </w:p>
    <w:p w14:paraId="3CFEAC9F" w14:textId="77777777" w:rsidR="00637AB1" w:rsidRPr="005E0A83" w:rsidRDefault="00637AB1" w:rsidP="00637AB1">
      <w:pPr>
        <w:spacing w:after="0" w:line="480" w:lineRule="auto"/>
        <w:jc w:val="both"/>
        <w:rPr>
          <w:rFonts w:ascii="Arial" w:hAnsi="Arial" w:cs="Arial"/>
          <w:b/>
          <w:bCs/>
          <w:sz w:val="24"/>
          <w:szCs w:val="24"/>
        </w:rPr>
      </w:pPr>
      <w:r w:rsidRPr="005E0A83">
        <w:rPr>
          <w:rFonts w:ascii="Arial" w:hAnsi="Arial" w:cs="Arial"/>
          <w:b/>
          <w:bCs/>
          <w:sz w:val="24"/>
          <w:szCs w:val="24"/>
        </w:rPr>
        <w:t xml:space="preserve">ACTING JUDGE OF THE HIGH COURT </w:t>
      </w:r>
    </w:p>
    <w:p w14:paraId="11311BF8" w14:textId="77777777" w:rsidR="00637AB1" w:rsidRPr="005E0A83" w:rsidRDefault="00637AB1" w:rsidP="00637AB1">
      <w:pPr>
        <w:spacing w:after="0" w:line="480" w:lineRule="auto"/>
        <w:jc w:val="both"/>
        <w:rPr>
          <w:rFonts w:ascii="Arial" w:hAnsi="Arial" w:cs="Arial"/>
          <w:sz w:val="24"/>
          <w:szCs w:val="24"/>
        </w:rPr>
      </w:pPr>
    </w:p>
    <w:p w14:paraId="240AA228" w14:textId="77777777" w:rsidR="00637AB1" w:rsidRPr="005E0A83" w:rsidRDefault="00637AB1" w:rsidP="00637AB1">
      <w:pPr>
        <w:spacing w:after="0" w:line="480" w:lineRule="auto"/>
        <w:jc w:val="both"/>
        <w:rPr>
          <w:rFonts w:ascii="Arial" w:hAnsi="Arial" w:cs="Arial"/>
          <w:b/>
          <w:bCs/>
          <w:sz w:val="24"/>
          <w:szCs w:val="24"/>
        </w:rPr>
      </w:pPr>
      <w:r w:rsidRPr="005E0A83">
        <w:rPr>
          <w:rFonts w:ascii="Arial" w:hAnsi="Arial" w:cs="Arial"/>
          <w:b/>
          <w:bCs/>
          <w:sz w:val="24"/>
          <w:szCs w:val="24"/>
        </w:rPr>
        <w:t xml:space="preserve">Appearances: </w:t>
      </w:r>
    </w:p>
    <w:p w14:paraId="2B1B1E45" w14:textId="7A2E8801" w:rsidR="00637AB1" w:rsidRPr="005E0A83" w:rsidRDefault="00637AB1" w:rsidP="00637AB1">
      <w:pPr>
        <w:spacing w:after="0" w:line="360" w:lineRule="auto"/>
        <w:jc w:val="both"/>
        <w:rPr>
          <w:rFonts w:ascii="Arial" w:hAnsi="Arial" w:cs="Arial"/>
          <w:sz w:val="24"/>
          <w:szCs w:val="24"/>
        </w:rPr>
      </w:pPr>
      <w:r w:rsidRPr="005E0A83">
        <w:rPr>
          <w:rFonts w:ascii="Arial" w:hAnsi="Arial" w:cs="Arial"/>
          <w:sz w:val="24"/>
          <w:szCs w:val="24"/>
        </w:rPr>
        <w:t xml:space="preserve">For the </w:t>
      </w:r>
      <w:r>
        <w:rPr>
          <w:rFonts w:ascii="Arial" w:hAnsi="Arial" w:cs="Arial"/>
          <w:sz w:val="24"/>
          <w:szCs w:val="24"/>
        </w:rPr>
        <w:t>Applicants</w:t>
      </w:r>
      <w:r>
        <w:rPr>
          <w:rFonts w:ascii="Arial" w:hAnsi="Arial" w:cs="Arial"/>
          <w:sz w:val="24"/>
          <w:szCs w:val="24"/>
        </w:rPr>
        <w:tab/>
      </w:r>
      <w:r>
        <w:rPr>
          <w:rFonts w:ascii="Arial" w:hAnsi="Arial" w:cs="Arial"/>
          <w:sz w:val="24"/>
          <w:szCs w:val="24"/>
        </w:rPr>
        <w:tab/>
        <w:t>Adv Dala</w:t>
      </w:r>
    </w:p>
    <w:p w14:paraId="4A64FF9A" w14:textId="77777777" w:rsidR="00637AB1" w:rsidRPr="005E0A83" w:rsidRDefault="00637AB1" w:rsidP="00637AB1">
      <w:pPr>
        <w:spacing w:after="0" w:line="360" w:lineRule="auto"/>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t>State Attorney, 29 Western Road, Central</w:t>
      </w:r>
      <w:r>
        <w:rPr>
          <w:rFonts w:ascii="Arial" w:hAnsi="Arial" w:cs="Arial"/>
        </w:rPr>
        <w:tab/>
      </w:r>
      <w:r>
        <w:rPr>
          <w:rFonts w:ascii="Arial" w:hAnsi="Arial" w:cs="Arial"/>
        </w:rPr>
        <w:tab/>
      </w:r>
      <w:r>
        <w:rPr>
          <w:rFonts w:ascii="Arial" w:hAnsi="Arial" w:cs="Arial"/>
        </w:rPr>
        <w:tab/>
      </w:r>
    </w:p>
    <w:p w14:paraId="73FBF537" w14:textId="77777777" w:rsidR="00637AB1" w:rsidRDefault="00637AB1" w:rsidP="00637AB1">
      <w:pPr>
        <w:spacing w:after="0" w:line="360" w:lineRule="auto"/>
        <w:jc w:val="both"/>
        <w:rPr>
          <w:rFonts w:ascii="Arial" w:hAnsi="Arial" w:cs="Arial"/>
          <w:sz w:val="24"/>
          <w:szCs w:val="24"/>
        </w:rPr>
      </w:pPr>
      <w:r w:rsidRPr="005E0A83">
        <w:rPr>
          <w:rFonts w:ascii="Arial" w:hAnsi="Arial" w:cs="Arial"/>
          <w:sz w:val="24"/>
          <w:szCs w:val="24"/>
        </w:rPr>
        <w:lastRenderedPageBreak/>
        <w:t xml:space="preserve">For the </w:t>
      </w:r>
      <w:r>
        <w:rPr>
          <w:rFonts w:ascii="Arial" w:hAnsi="Arial" w:cs="Arial"/>
          <w:sz w:val="24"/>
          <w:szCs w:val="24"/>
        </w:rPr>
        <w:t>Respondent</w:t>
      </w:r>
      <w:r>
        <w:rPr>
          <w:rFonts w:ascii="Arial" w:hAnsi="Arial" w:cs="Arial"/>
          <w:sz w:val="24"/>
          <w:szCs w:val="24"/>
        </w:rPr>
        <w:tab/>
      </w:r>
      <w:r>
        <w:rPr>
          <w:rFonts w:ascii="Arial" w:hAnsi="Arial" w:cs="Arial"/>
          <w:sz w:val="24"/>
          <w:szCs w:val="24"/>
        </w:rPr>
        <w:tab/>
        <w:t>Adv Niekerk</w:t>
      </w:r>
    </w:p>
    <w:p w14:paraId="002BCBC9" w14:textId="35458474" w:rsidR="00C60EDF" w:rsidRPr="00F00050" w:rsidRDefault="00637AB1" w:rsidP="00F00050">
      <w:pPr>
        <w:spacing w:after="0" w:line="360" w:lineRule="auto"/>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t>Boqwana Burns Inc.  84 – 6</w:t>
      </w:r>
      <w:r w:rsidRPr="00253245">
        <w:rPr>
          <w:rFonts w:ascii="Arial" w:hAnsi="Arial" w:cs="Arial"/>
          <w:vertAlign w:val="superscript"/>
        </w:rPr>
        <w:t>th</w:t>
      </w:r>
      <w:r>
        <w:rPr>
          <w:rFonts w:ascii="Arial" w:hAnsi="Arial" w:cs="Arial"/>
        </w:rPr>
        <w:t xml:space="preserve"> Avenue, Newton Park</w:t>
      </w:r>
    </w:p>
    <w:sectPr w:rsidR="00C60EDF" w:rsidRPr="00F00050" w:rsidSect="002C41B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D79B8" w14:textId="77777777" w:rsidR="00D42FBA" w:rsidRDefault="00D42FBA" w:rsidP="002C41B4">
      <w:pPr>
        <w:spacing w:after="0" w:line="240" w:lineRule="auto"/>
      </w:pPr>
      <w:r>
        <w:separator/>
      </w:r>
    </w:p>
  </w:endnote>
  <w:endnote w:type="continuationSeparator" w:id="0">
    <w:p w14:paraId="68886843" w14:textId="77777777" w:rsidR="00D42FBA" w:rsidRDefault="00D42FBA" w:rsidP="002C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FCECC" w14:textId="77777777" w:rsidR="00D42FBA" w:rsidRDefault="00D42FBA" w:rsidP="002C41B4">
      <w:pPr>
        <w:spacing w:after="0" w:line="240" w:lineRule="auto"/>
      </w:pPr>
      <w:r>
        <w:separator/>
      </w:r>
    </w:p>
  </w:footnote>
  <w:footnote w:type="continuationSeparator" w:id="0">
    <w:p w14:paraId="41473110" w14:textId="77777777" w:rsidR="00D42FBA" w:rsidRDefault="00D42FBA" w:rsidP="002C41B4">
      <w:pPr>
        <w:spacing w:after="0" w:line="240" w:lineRule="auto"/>
      </w:pPr>
      <w:r>
        <w:continuationSeparator/>
      </w:r>
    </w:p>
  </w:footnote>
  <w:footnote w:id="1">
    <w:p w14:paraId="754A9B7A" w14:textId="4D782B74" w:rsidR="00293D5D" w:rsidRPr="00293D5D" w:rsidRDefault="00293D5D" w:rsidP="00293D5D">
      <w:pPr>
        <w:pStyle w:val="FootnoteText"/>
        <w:spacing w:line="360" w:lineRule="auto"/>
        <w:rPr>
          <w:rFonts w:cs="Arial"/>
          <w:shd w:val="clear" w:color="auto" w:fill="FFFFFF"/>
        </w:rPr>
      </w:pPr>
      <w:r>
        <w:rPr>
          <w:rStyle w:val="FootnoteReference"/>
        </w:rPr>
        <w:footnoteRef/>
      </w:r>
      <w:r>
        <w:t xml:space="preserve"> </w:t>
      </w:r>
      <w:r w:rsidRPr="00293D5D">
        <w:rPr>
          <w:rFonts w:cs="Arial"/>
          <w:i/>
          <w:iCs/>
          <w:shd w:val="clear" w:color="auto" w:fill="FFFFFF"/>
        </w:rPr>
        <w:t>S v Smith</w:t>
      </w:r>
      <w:r w:rsidRPr="00293D5D">
        <w:rPr>
          <w:rFonts w:ascii="Verdana" w:hAnsi="Verdana"/>
          <w:shd w:val="clear" w:color="auto" w:fill="FFFFFF"/>
        </w:rPr>
        <w:t> </w:t>
      </w:r>
      <w:hyperlink r:id="rId1" w:tooltip="View LawCiteRecord" w:history="1">
        <w:r w:rsidRPr="00293D5D">
          <w:rPr>
            <w:rStyle w:val="Hyperlink"/>
            <w:rFonts w:cs="Arial"/>
            <w:color w:val="auto"/>
            <w:u w:val="none"/>
            <w:shd w:val="clear" w:color="auto" w:fill="FFFFFF"/>
          </w:rPr>
          <w:t>2012 (1) SACR 567</w:t>
        </w:r>
      </w:hyperlink>
      <w:r w:rsidRPr="00293D5D">
        <w:rPr>
          <w:rFonts w:cs="Arial"/>
          <w:shd w:val="clear" w:color="auto" w:fill="FFFFFF"/>
        </w:rPr>
        <w:t> (SCA) para 7.</w:t>
      </w:r>
    </w:p>
    <w:p w14:paraId="1214ACC5" w14:textId="2BACADC5" w:rsidR="00293D5D" w:rsidRPr="00293D5D" w:rsidRDefault="00293D5D" w:rsidP="00293D5D">
      <w:pPr>
        <w:pStyle w:val="Heading2"/>
        <w:shd w:val="clear" w:color="auto" w:fill="FFFFFF"/>
        <w:spacing w:before="0" w:beforeAutospacing="0" w:after="0" w:afterAutospacing="0" w:line="360" w:lineRule="auto"/>
        <w:rPr>
          <w:rFonts w:ascii="Arial" w:hAnsi="Arial" w:cs="Arial"/>
          <w:b w:val="0"/>
          <w:sz w:val="20"/>
          <w:szCs w:val="20"/>
        </w:rPr>
      </w:pPr>
      <w:r w:rsidRPr="00293D5D">
        <w:rPr>
          <w:rFonts w:ascii="Arial" w:hAnsi="Arial" w:cs="Arial"/>
          <w:b w:val="0"/>
          <w:i/>
          <w:iCs/>
          <w:sz w:val="20"/>
          <w:szCs w:val="20"/>
        </w:rPr>
        <w:t>Maphana and Another v S</w:t>
      </w:r>
      <w:r w:rsidRPr="00293D5D">
        <w:rPr>
          <w:rFonts w:ascii="Arial" w:hAnsi="Arial" w:cs="Arial"/>
          <w:b w:val="0"/>
          <w:sz w:val="20"/>
          <w:szCs w:val="20"/>
        </w:rPr>
        <w:t xml:space="preserve"> (174/2017) [2018] ZASCA 8 (1 March 2018)</w:t>
      </w:r>
      <w:r w:rsidR="00010CDB">
        <w:rPr>
          <w:rFonts w:ascii="Arial" w:hAnsi="Arial" w:cs="Arial"/>
          <w:b w:val="0"/>
          <w:sz w:val="20"/>
          <w:szCs w:val="20"/>
        </w:rPr>
        <w:t>.</w:t>
      </w:r>
    </w:p>
    <w:p w14:paraId="1627E6F9" w14:textId="77777777" w:rsidR="00293D5D" w:rsidRDefault="00293D5D">
      <w:pPr>
        <w:pStyle w:val="FootnoteText"/>
      </w:pPr>
    </w:p>
  </w:footnote>
  <w:footnote w:id="2">
    <w:p w14:paraId="029013A3" w14:textId="4A3958D5" w:rsidR="0055173B" w:rsidRDefault="0055173B">
      <w:pPr>
        <w:pStyle w:val="FootnoteText"/>
      </w:pPr>
      <w:r>
        <w:rPr>
          <w:rStyle w:val="FootnoteReference"/>
        </w:rPr>
        <w:footnoteRef/>
      </w:r>
      <w:r>
        <w:t xml:space="preserve"> Songono v Minister of Law and Order 1996 (4) SA 384 (E).</w:t>
      </w:r>
    </w:p>
  </w:footnote>
  <w:footnote w:id="3">
    <w:p w14:paraId="7068C83F" w14:textId="204A145A" w:rsidR="00BF720B" w:rsidRPr="001D44EC" w:rsidRDefault="00BF720B" w:rsidP="001D44EC">
      <w:pPr>
        <w:pStyle w:val="FootnoteText"/>
        <w:spacing w:line="360" w:lineRule="auto"/>
        <w:jc w:val="both"/>
      </w:pPr>
      <w:r>
        <w:rPr>
          <w:rStyle w:val="FootnoteReference"/>
        </w:rPr>
        <w:footnoteRef/>
      </w:r>
      <w:r>
        <w:t xml:space="preserve"> </w:t>
      </w:r>
      <w:r w:rsidRPr="003C6C8E">
        <w:rPr>
          <w:rFonts w:cs="Arial"/>
          <w:i/>
          <w:iCs/>
          <w:color w:val="242121"/>
          <w:lang w:val="en-GB" w:eastAsia="en-ZA"/>
        </w:rPr>
        <w:t xml:space="preserve">Aquatur </w:t>
      </w:r>
      <w:r w:rsidRPr="003C6C8E">
        <w:rPr>
          <w:rFonts w:cs="Arial"/>
          <w:i/>
          <w:iCs/>
          <w:lang w:val="en-GB" w:eastAsia="en-ZA"/>
        </w:rPr>
        <w:t>(Pty) Ltd v Sacks </w:t>
      </w:r>
      <w:hyperlink r:id="rId2" w:tooltip="View LawCiteRecord" w:history="1">
        <w:r w:rsidRPr="003C6C8E">
          <w:rPr>
            <w:rFonts w:cs="Arial"/>
            <w:lang w:val="en-GB" w:eastAsia="en-ZA"/>
          </w:rPr>
          <w:t>1989 (1) SA 56</w:t>
        </w:r>
      </w:hyperlink>
      <w:r w:rsidRPr="003C6C8E">
        <w:rPr>
          <w:rFonts w:cs="Arial"/>
          <w:lang w:val="en-GB" w:eastAsia="en-ZA"/>
        </w:rPr>
        <w:t> (A) at 62A-F; </w:t>
      </w:r>
      <w:r w:rsidRPr="005852A5">
        <w:rPr>
          <w:rFonts w:cs="Arial"/>
          <w:i/>
          <w:iCs/>
          <w:lang w:val="en-GB" w:eastAsia="en-ZA"/>
        </w:rPr>
        <w:t>Bowring N.O. v Vrededorp Properties CC</w:t>
      </w:r>
      <w:r w:rsidRPr="005852A5">
        <w:rPr>
          <w:rFonts w:cs="Arial"/>
          <w:lang w:val="en-GB" w:eastAsia="en-ZA"/>
        </w:rPr>
        <w:t xml:space="preserve"> 2007 (5) SA 391 (SCA) at paragraph 21</w:t>
      </w:r>
      <w:r w:rsidR="001D44EC" w:rsidRPr="005852A5">
        <w:rPr>
          <w:rFonts w:cs="Arial"/>
          <w:lang w:val="en-GB" w:eastAsia="en-ZA"/>
        </w:rPr>
        <w:t xml:space="preserve">; </w:t>
      </w:r>
      <w:r w:rsidRPr="003C6C8E">
        <w:rPr>
          <w:rFonts w:cs="Arial"/>
          <w:i/>
          <w:iCs/>
          <w:lang w:val="en-GB" w:eastAsia="en-ZA"/>
        </w:rPr>
        <w:t>Transvaal Agricultural Union v Minister of Agriculture and Land Affairs </w:t>
      </w:r>
      <w:hyperlink r:id="rId3" w:tooltip="View LawCiteRecord" w:history="1">
        <w:r w:rsidRPr="003C6C8E">
          <w:rPr>
            <w:rFonts w:cs="Arial"/>
            <w:lang w:val="en-GB" w:eastAsia="en-ZA"/>
          </w:rPr>
          <w:t>2005 (4) SA 212</w:t>
        </w:r>
      </w:hyperlink>
      <w:r w:rsidRPr="003C6C8E">
        <w:rPr>
          <w:rFonts w:cs="Arial"/>
          <w:lang w:val="en-GB" w:eastAsia="en-ZA"/>
        </w:rPr>
        <w:t> (SCA) paras 64-66)</w:t>
      </w:r>
      <w:r w:rsidR="001D44EC" w:rsidRPr="005852A5">
        <w:rPr>
          <w:rFonts w:cs="Arial"/>
          <w:lang w:val="en-GB" w:eastAsia="en-ZA"/>
        </w:rPr>
        <w:t>.</w:t>
      </w:r>
    </w:p>
  </w:footnote>
  <w:footnote w:id="4">
    <w:p w14:paraId="061E4F92" w14:textId="22CC8408" w:rsidR="004419DA" w:rsidRDefault="004419DA" w:rsidP="00AF721C">
      <w:pPr>
        <w:pStyle w:val="FootnoteText"/>
        <w:spacing w:line="360" w:lineRule="auto"/>
      </w:pPr>
      <w:r>
        <w:rPr>
          <w:rStyle w:val="FootnoteReference"/>
        </w:rPr>
        <w:footnoteRef/>
      </w:r>
      <w:r>
        <w:t xml:space="preserve"> Record of proceedings p 105 at line 25 and p 106 at lines 1 to 16.</w:t>
      </w:r>
    </w:p>
  </w:footnote>
  <w:footnote w:id="5">
    <w:p w14:paraId="68171C29" w14:textId="03F93C6A" w:rsidR="00745B1C" w:rsidRDefault="00B94F73" w:rsidP="00AF721C">
      <w:pPr>
        <w:pStyle w:val="FootnoteText"/>
        <w:spacing w:line="360" w:lineRule="auto"/>
      </w:pPr>
      <w:r>
        <w:rPr>
          <w:rStyle w:val="FootnoteReference"/>
        </w:rPr>
        <w:footnoteRef/>
      </w:r>
      <w:r>
        <w:t xml:space="preserve"> Record of proceedings p 107 at lines 1 to 11</w:t>
      </w:r>
      <w:r w:rsidR="00745B1C">
        <w:t>; read with p 116</w:t>
      </w:r>
    </w:p>
  </w:footnote>
  <w:footnote w:id="6">
    <w:p w14:paraId="30037223" w14:textId="14901301" w:rsidR="00360C93" w:rsidRDefault="00360C93" w:rsidP="003E72E1">
      <w:pPr>
        <w:pStyle w:val="FootnoteText"/>
        <w:spacing w:line="360" w:lineRule="auto"/>
      </w:pPr>
      <w:r>
        <w:rPr>
          <w:rStyle w:val="FootnoteReference"/>
        </w:rPr>
        <w:footnoteRef/>
      </w:r>
      <w:r>
        <w:t xml:space="preserve"> </w:t>
      </w:r>
      <w:r w:rsidRPr="003E72E1">
        <w:rPr>
          <w:i/>
          <w:iCs/>
        </w:rPr>
        <w:t>Alberts and Others v The Minister of Justice and Correctional Services</w:t>
      </w:r>
      <w:r>
        <w:t xml:space="preserve"> (Case no 404/2021) [2022] ZASCA 25 (9 March 2022) at paragraph [13].</w:t>
      </w:r>
    </w:p>
  </w:footnote>
  <w:footnote w:id="7">
    <w:p w14:paraId="3FD6C3F2" w14:textId="77777777" w:rsidR="00551854" w:rsidRDefault="00551854" w:rsidP="00DF3C51">
      <w:pPr>
        <w:pStyle w:val="FootnoteText"/>
        <w:spacing w:line="360" w:lineRule="auto"/>
      </w:pPr>
      <w:r>
        <w:rPr>
          <w:rStyle w:val="FootnoteReference"/>
        </w:rPr>
        <w:footnoteRef/>
      </w:r>
      <w:r>
        <w:t xml:space="preserve"> 1975 (1) SA 756 (W).</w:t>
      </w:r>
    </w:p>
  </w:footnote>
  <w:footnote w:id="8">
    <w:p w14:paraId="470DE705" w14:textId="77777777" w:rsidR="00B85349" w:rsidRPr="0006323E" w:rsidRDefault="00B85349" w:rsidP="00DF3C51">
      <w:pPr>
        <w:pStyle w:val="Heading2"/>
        <w:shd w:val="clear" w:color="auto" w:fill="FFFFFF"/>
        <w:spacing w:before="0" w:beforeAutospacing="0" w:after="0" w:afterAutospacing="0" w:line="360" w:lineRule="auto"/>
        <w:rPr>
          <w:rFonts w:ascii="Arial" w:hAnsi="Arial" w:cs="Arial"/>
          <w:b w:val="0"/>
          <w:bCs w:val="0"/>
          <w:color w:val="64473A"/>
          <w:sz w:val="20"/>
          <w:szCs w:val="20"/>
        </w:rPr>
      </w:pPr>
      <w:r w:rsidRPr="0006323E">
        <w:rPr>
          <w:rStyle w:val="FootnoteReference"/>
          <w:rFonts w:ascii="Arial" w:hAnsi="Arial" w:cs="Arial"/>
          <w:sz w:val="20"/>
          <w:szCs w:val="20"/>
        </w:rPr>
        <w:footnoteRef/>
      </w:r>
      <w:r w:rsidRPr="0006323E">
        <w:rPr>
          <w:rFonts w:ascii="Arial" w:hAnsi="Arial" w:cs="Arial"/>
          <w:sz w:val="20"/>
          <w:szCs w:val="20"/>
        </w:rPr>
        <w:t xml:space="preserve"> </w:t>
      </w:r>
      <w:r w:rsidRPr="0006323E">
        <w:rPr>
          <w:rFonts w:ascii="Arial" w:hAnsi="Arial" w:cs="Arial"/>
          <w:b w:val="0"/>
          <w:bCs w:val="0"/>
          <w:color w:val="64473A"/>
          <w:sz w:val="20"/>
          <w:szCs w:val="20"/>
        </w:rPr>
        <w:t>2009 (4) SA 420 (SCA)</w:t>
      </w:r>
      <w:r>
        <w:rPr>
          <w:rFonts w:ascii="Arial" w:hAnsi="Arial" w:cs="Arial"/>
          <w:b w:val="0"/>
          <w:bCs w:val="0"/>
          <w:color w:val="64473A"/>
          <w:sz w:val="20"/>
          <w:szCs w:val="20"/>
        </w:rPr>
        <w:t>.</w:t>
      </w:r>
    </w:p>
    <w:p w14:paraId="7B649792" w14:textId="77777777" w:rsidR="00B85349" w:rsidRDefault="00B85349" w:rsidP="00B85349">
      <w:pPr>
        <w:pStyle w:val="FootnoteText"/>
      </w:pPr>
    </w:p>
  </w:footnote>
  <w:footnote w:id="9">
    <w:p w14:paraId="42B01735" w14:textId="77777777" w:rsidR="00DE7BB8" w:rsidRPr="00A10948" w:rsidRDefault="00DE7BB8" w:rsidP="00024D34">
      <w:pPr>
        <w:pStyle w:val="FootnoteText"/>
        <w:spacing w:line="360" w:lineRule="auto"/>
        <w:jc w:val="both"/>
        <w:rPr>
          <w:rFonts w:cs="Arial"/>
        </w:rPr>
      </w:pPr>
      <w:r w:rsidRPr="00A10948">
        <w:rPr>
          <w:rStyle w:val="FootnoteReference"/>
          <w:rFonts w:cs="Arial"/>
        </w:rPr>
        <w:footnoteRef/>
      </w:r>
      <w:r w:rsidRPr="00A10948">
        <w:rPr>
          <w:rFonts w:cs="Arial"/>
        </w:rPr>
        <w:t xml:space="preserve"> 1991 (1) SA 1 (A).</w:t>
      </w:r>
    </w:p>
  </w:footnote>
  <w:footnote w:id="10">
    <w:p w14:paraId="1A1870A8" w14:textId="77777777" w:rsidR="00B33186" w:rsidRPr="00B32A9D" w:rsidRDefault="00B33186" w:rsidP="00024D34">
      <w:pPr>
        <w:pStyle w:val="FootnoteText"/>
        <w:spacing w:line="360" w:lineRule="auto"/>
        <w:rPr>
          <w:rFonts w:cs="Arial"/>
        </w:rPr>
      </w:pPr>
      <w:r w:rsidRPr="00B32A9D">
        <w:rPr>
          <w:rStyle w:val="FootnoteReference"/>
          <w:rFonts w:cs="Arial"/>
        </w:rPr>
        <w:footnoteRef/>
      </w:r>
      <w:r w:rsidRPr="00B32A9D">
        <w:rPr>
          <w:rFonts w:cs="Arial"/>
        </w:rPr>
        <w:t xml:space="preserve"> 2009 (1) SA 265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0986F3D" w14:textId="4EEDF9A6" w:rsidR="002C41B4" w:rsidRDefault="002C41B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4CC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4CC0">
          <w:rPr>
            <w:b/>
            <w:bCs/>
            <w:noProof/>
          </w:rPr>
          <w:t>16</w:t>
        </w:r>
        <w:r>
          <w:rPr>
            <w:b/>
            <w:bCs/>
            <w:sz w:val="24"/>
            <w:szCs w:val="24"/>
          </w:rPr>
          <w:fldChar w:fldCharType="end"/>
        </w:r>
      </w:p>
    </w:sdtContent>
  </w:sdt>
  <w:p w14:paraId="149916AA" w14:textId="77777777" w:rsidR="002C41B4" w:rsidRDefault="002C41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6DBB"/>
    <w:multiLevelType w:val="hybridMultilevel"/>
    <w:tmpl w:val="2190D7EE"/>
    <w:lvl w:ilvl="0" w:tplc="AE4AD7B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F9"/>
    <w:rsid w:val="00010CDB"/>
    <w:rsid w:val="00015FF3"/>
    <w:rsid w:val="000239AF"/>
    <w:rsid w:val="00024D34"/>
    <w:rsid w:val="0006323E"/>
    <w:rsid w:val="00095BCD"/>
    <w:rsid w:val="000D71FA"/>
    <w:rsid w:val="000D7590"/>
    <w:rsid w:val="000E63BD"/>
    <w:rsid w:val="00107CF9"/>
    <w:rsid w:val="00114426"/>
    <w:rsid w:val="00141B68"/>
    <w:rsid w:val="001444B2"/>
    <w:rsid w:val="0017038C"/>
    <w:rsid w:val="001B12D6"/>
    <w:rsid w:val="001B7E40"/>
    <w:rsid w:val="001D44EC"/>
    <w:rsid w:val="0020556A"/>
    <w:rsid w:val="002103FB"/>
    <w:rsid w:val="00220370"/>
    <w:rsid w:val="00230425"/>
    <w:rsid w:val="002312DD"/>
    <w:rsid w:val="00256145"/>
    <w:rsid w:val="0026660B"/>
    <w:rsid w:val="00290DDF"/>
    <w:rsid w:val="00293D5D"/>
    <w:rsid w:val="002B49F7"/>
    <w:rsid w:val="002C41B4"/>
    <w:rsid w:val="00303A9D"/>
    <w:rsid w:val="003353BB"/>
    <w:rsid w:val="003401F5"/>
    <w:rsid w:val="00343533"/>
    <w:rsid w:val="0035659D"/>
    <w:rsid w:val="00360C93"/>
    <w:rsid w:val="00370C86"/>
    <w:rsid w:val="00383AA6"/>
    <w:rsid w:val="0039404C"/>
    <w:rsid w:val="003C0BD7"/>
    <w:rsid w:val="003C1D14"/>
    <w:rsid w:val="003C6C8E"/>
    <w:rsid w:val="003E72E1"/>
    <w:rsid w:val="003F5F81"/>
    <w:rsid w:val="00413865"/>
    <w:rsid w:val="00416B6C"/>
    <w:rsid w:val="004419DA"/>
    <w:rsid w:val="004574A7"/>
    <w:rsid w:val="00495E4E"/>
    <w:rsid w:val="004B1310"/>
    <w:rsid w:val="004B1571"/>
    <w:rsid w:val="004B2BB7"/>
    <w:rsid w:val="004E0297"/>
    <w:rsid w:val="00514B82"/>
    <w:rsid w:val="00522F2B"/>
    <w:rsid w:val="00541132"/>
    <w:rsid w:val="0055173B"/>
    <w:rsid w:val="00551854"/>
    <w:rsid w:val="00553B7B"/>
    <w:rsid w:val="00560350"/>
    <w:rsid w:val="00560D2F"/>
    <w:rsid w:val="00562AA5"/>
    <w:rsid w:val="005852A5"/>
    <w:rsid w:val="0059548E"/>
    <w:rsid w:val="00597A1A"/>
    <w:rsid w:val="005D0875"/>
    <w:rsid w:val="005E3175"/>
    <w:rsid w:val="005F6A0F"/>
    <w:rsid w:val="00637AB1"/>
    <w:rsid w:val="00645A70"/>
    <w:rsid w:val="00653C12"/>
    <w:rsid w:val="00693353"/>
    <w:rsid w:val="006B4BF9"/>
    <w:rsid w:val="006D26B8"/>
    <w:rsid w:val="006D49F0"/>
    <w:rsid w:val="006F34E4"/>
    <w:rsid w:val="006F5BAE"/>
    <w:rsid w:val="00724554"/>
    <w:rsid w:val="007302E5"/>
    <w:rsid w:val="0073548F"/>
    <w:rsid w:val="00745B1C"/>
    <w:rsid w:val="007B4A27"/>
    <w:rsid w:val="007D07FE"/>
    <w:rsid w:val="007D6204"/>
    <w:rsid w:val="007E2CDC"/>
    <w:rsid w:val="007E4D62"/>
    <w:rsid w:val="007F4F9D"/>
    <w:rsid w:val="007F5C5A"/>
    <w:rsid w:val="00831BF9"/>
    <w:rsid w:val="00842E96"/>
    <w:rsid w:val="00846AED"/>
    <w:rsid w:val="0085769A"/>
    <w:rsid w:val="008759EF"/>
    <w:rsid w:val="008901EE"/>
    <w:rsid w:val="008974C9"/>
    <w:rsid w:val="008A481E"/>
    <w:rsid w:val="008A4AD6"/>
    <w:rsid w:val="008B0E1A"/>
    <w:rsid w:val="008C465E"/>
    <w:rsid w:val="008C65F8"/>
    <w:rsid w:val="008F4128"/>
    <w:rsid w:val="0091348E"/>
    <w:rsid w:val="009161CD"/>
    <w:rsid w:val="00932EDA"/>
    <w:rsid w:val="009355B6"/>
    <w:rsid w:val="009402DE"/>
    <w:rsid w:val="00966229"/>
    <w:rsid w:val="00994747"/>
    <w:rsid w:val="009970EE"/>
    <w:rsid w:val="009A42E1"/>
    <w:rsid w:val="009C040F"/>
    <w:rsid w:val="009C6538"/>
    <w:rsid w:val="00A11769"/>
    <w:rsid w:val="00A16840"/>
    <w:rsid w:val="00A32232"/>
    <w:rsid w:val="00A439DB"/>
    <w:rsid w:val="00A46B9A"/>
    <w:rsid w:val="00A65ADC"/>
    <w:rsid w:val="00A70FDA"/>
    <w:rsid w:val="00A9166E"/>
    <w:rsid w:val="00AA7CAC"/>
    <w:rsid w:val="00AB3D3B"/>
    <w:rsid w:val="00AF4630"/>
    <w:rsid w:val="00AF721C"/>
    <w:rsid w:val="00B037E5"/>
    <w:rsid w:val="00B03CB7"/>
    <w:rsid w:val="00B33186"/>
    <w:rsid w:val="00B463CC"/>
    <w:rsid w:val="00B64277"/>
    <w:rsid w:val="00B70C1A"/>
    <w:rsid w:val="00B83B72"/>
    <w:rsid w:val="00B85349"/>
    <w:rsid w:val="00B8757F"/>
    <w:rsid w:val="00B87A40"/>
    <w:rsid w:val="00B87D9D"/>
    <w:rsid w:val="00B94F73"/>
    <w:rsid w:val="00BB3981"/>
    <w:rsid w:val="00BB6CF8"/>
    <w:rsid w:val="00BD16AF"/>
    <w:rsid w:val="00BD24DF"/>
    <w:rsid w:val="00BD2A50"/>
    <w:rsid w:val="00BE0DFF"/>
    <w:rsid w:val="00BF6378"/>
    <w:rsid w:val="00BF6A7A"/>
    <w:rsid w:val="00BF720B"/>
    <w:rsid w:val="00C20A8F"/>
    <w:rsid w:val="00C3347D"/>
    <w:rsid w:val="00C40C8F"/>
    <w:rsid w:val="00C60EDF"/>
    <w:rsid w:val="00C72CB6"/>
    <w:rsid w:val="00C82C35"/>
    <w:rsid w:val="00C90C2B"/>
    <w:rsid w:val="00C95A42"/>
    <w:rsid w:val="00CA2591"/>
    <w:rsid w:val="00CB02DF"/>
    <w:rsid w:val="00CC4E44"/>
    <w:rsid w:val="00D20EE4"/>
    <w:rsid w:val="00D24CC0"/>
    <w:rsid w:val="00D2630A"/>
    <w:rsid w:val="00D42ED9"/>
    <w:rsid w:val="00D42FBA"/>
    <w:rsid w:val="00D60B65"/>
    <w:rsid w:val="00D75854"/>
    <w:rsid w:val="00DD6CF9"/>
    <w:rsid w:val="00DE58B9"/>
    <w:rsid w:val="00DE7BB8"/>
    <w:rsid w:val="00DF3C51"/>
    <w:rsid w:val="00E06FB7"/>
    <w:rsid w:val="00E32F66"/>
    <w:rsid w:val="00E40C74"/>
    <w:rsid w:val="00E54697"/>
    <w:rsid w:val="00E94F9C"/>
    <w:rsid w:val="00EB26EE"/>
    <w:rsid w:val="00EC1761"/>
    <w:rsid w:val="00F00050"/>
    <w:rsid w:val="00F0661A"/>
    <w:rsid w:val="00F2383C"/>
    <w:rsid w:val="00F37230"/>
    <w:rsid w:val="00F964D9"/>
    <w:rsid w:val="00FB1728"/>
    <w:rsid w:val="00FC0FE0"/>
    <w:rsid w:val="00FC57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97AB"/>
  <w15:chartTrackingRefBased/>
  <w15:docId w15:val="{5C5973C1-54A4-42D0-84F3-6EB07474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6CF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CF9"/>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DD6CF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TMLTypewriter">
    <w:name w:val="HTML Typewriter"/>
    <w:basedOn w:val="DefaultParagraphFont"/>
    <w:uiPriority w:val="99"/>
    <w:semiHidden/>
    <w:unhideWhenUsed/>
    <w:rsid w:val="00DD6CF9"/>
    <w:rPr>
      <w:rFonts w:ascii="Courier New" w:eastAsia="Times New Roman" w:hAnsi="Courier New" w:cs="Courier New"/>
      <w:sz w:val="20"/>
      <w:szCs w:val="20"/>
    </w:rPr>
  </w:style>
  <w:style w:type="paragraph" w:customStyle="1" w:styleId="western">
    <w:name w:val="western"/>
    <w:basedOn w:val="Normal"/>
    <w:rsid w:val="000D71F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0D71FA"/>
    <w:rPr>
      <w:color w:val="0000FF"/>
      <w:u w:val="single"/>
    </w:rPr>
  </w:style>
  <w:style w:type="paragraph" w:styleId="ListParagraph">
    <w:name w:val="List Paragraph"/>
    <w:basedOn w:val="Normal"/>
    <w:link w:val="ListParagraphChar"/>
    <w:uiPriority w:val="34"/>
    <w:qFormat/>
    <w:rsid w:val="002C41B4"/>
    <w:pPr>
      <w:ind w:left="720"/>
      <w:contextualSpacing/>
    </w:pPr>
  </w:style>
  <w:style w:type="paragraph" w:customStyle="1" w:styleId="GW11">
    <w:name w:val="GW1.1"/>
    <w:basedOn w:val="Normal"/>
    <w:rsid w:val="002C41B4"/>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2">
    <w:name w:val="GW1.2"/>
    <w:basedOn w:val="Normal"/>
    <w:rsid w:val="002C41B4"/>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2C41B4"/>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customStyle="1" w:styleId="ListParagraphChar">
    <w:name w:val="List Paragraph Char"/>
    <w:link w:val="ListParagraph"/>
    <w:uiPriority w:val="34"/>
    <w:rsid w:val="002C41B4"/>
  </w:style>
  <w:style w:type="paragraph" w:styleId="Header">
    <w:name w:val="header"/>
    <w:basedOn w:val="Normal"/>
    <w:link w:val="HeaderChar"/>
    <w:uiPriority w:val="99"/>
    <w:unhideWhenUsed/>
    <w:rsid w:val="002C4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1B4"/>
  </w:style>
  <w:style w:type="paragraph" w:styleId="Footer">
    <w:name w:val="footer"/>
    <w:basedOn w:val="Normal"/>
    <w:link w:val="FooterChar"/>
    <w:uiPriority w:val="99"/>
    <w:unhideWhenUsed/>
    <w:rsid w:val="002C4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1B4"/>
  </w:style>
  <w:style w:type="paragraph" w:styleId="FootnoteText">
    <w:name w:val="footnote text"/>
    <w:basedOn w:val="Normal"/>
    <w:link w:val="FootnoteTextChar"/>
    <w:uiPriority w:val="99"/>
    <w:unhideWhenUsed/>
    <w:rsid w:val="00293D5D"/>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uiPriority w:val="99"/>
    <w:rsid w:val="00293D5D"/>
    <w:rPr>
      <w:rFonts w:ascii="Arial" w:eastAsia="Times New Roman" w:hAnsi="Arial" w:cs="Times New Roman"/>
      <w:bCs/>
      <w:sz w:val="20"/>
      <w:szCs w:val="20"/>
    </w:rPr>
  </w:style>
  <w:style w:type="character" w:styleId="FootnoteReference">
    <w:name w:val="footnote reference"/>
    <w:uiPriority w:val="99"/>
    <w:unhideWhenUsed/>
    <w:rsid w:val="00293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37849">
      <w:bodyDiv w:val="1"/>
      <w:marLeft w:val="0"/>
      <w:marRight w:val="0"/>
      <w:marTop w:val="0"/>
      <w:marBottom w:val="0"/>
      <w:divBdr>
        <w:top w:val="none" w:sz="0" w:space="0" w:color="auto"/>
        <w:left w:val="none" w:sz="0" w:space="0" w:color="auto"/>
        <w:bottom w:val="none" w:sz="0" w:space="0" w:color="auto"/>
        <w:right w:val="none" w:sz="0" w:space="0" w:color="auto"/>
      </w:divBdr>
    </w:div>
    <w:div w:id="476536874">
      <w:bodyDiv w:val="1"/>
      <w:marLeft w:val="0"/>
      <w:marRight w:val="0"/>
      <w:marTop w:val="0"/>
      <w:marBottom w:val="0"/>
      <w:divBdr>
        <w:top w:val="none" w:sz="0" w:space="0" w:color="auto"/>
        <w:left w:val="none" w:sz="0" w:space="0" w:color="auto"/>
        <w:bottom w:val="none" w:sz="0" w:space="0" w:color="auto"/>
        <w:right w:val="none" w:sz="0" w:space="0" w:color="auto"/>
      </w:divBdr>
      <w:divsChild>
        <w:div w:id="233275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855537">
          <w:blockQuote w:val="1"/>
          <w:marLeft w:val="720"/>
          <w:marRight w:val="720"/>
          <w:marTop w:val="100"/>
          <w:marBottom w:val="100"/>
          <w:divBdr>
            <w:top w:val="none" w:sz="0" w:space="0" w:color="auto"/>
            <w:left w:val="none" w:sz="0" w:space="0" w:color="auto"/>
            <w:bottom w:val="none" w:sz="0" w:space="0" w:color="auto"/>
            <w:right w:val="none" w:sz="0" w:space="0" w:color="auto"/>
          </w:divBdr>
        </w:div>
        <w:div w:id="538709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9700960">
      <w:bodyDiv w:val="1"/>
      <w:marLeft w:val="0"/>
      <w:marRight w:val="0"/>
      <w:marTop w:val="0"/>
      <w:marBottom w:val="0"/>
      <w:divBdr>
        <w:top w:val="none" w:sz="0" w:space="0" w:color="auto"/>
        <w:left w:val="none" w:sz="0" w:space="0" w:color="auto"/>
        <w:bottom w:val="none" w:sz="0" w:space="0" w:color="auto"/>
        <w:right w:val="none" w:sz="0" w:space="0" w:color="auto"/>
      </w:divBdr>
    </w:div>
    <w:div w:id="1070544989">
      <w:bodyDiv w:val="1"/>
      <w:marLeft w:val="0"/>
      <w:marRight w:val="0"/>
      <w:marTop w:val="0"/>
      <w:marBottom w:val="0"/>
      <w:divBdr>
        <w:top w:val="none" w:sz="0" w:space="0" w:color="auto"/>
        <w:left w:val="none" w:sz="0" w:space="0" w:color="auto"/>
        <w:bottom w:val="none" w:sz="0" w:space="0" w:color="auto"/>
        <w:right w:val="none" w:sz="0" w:space="0" w:color="auto"/>
      </w:divBdr>
    </w:div>
    <w:div w:id="1103308243">
      <w:bodyDiv w:val="1"/>
      <w:marLeft w:val="0"/>
      <w:marRight w:val="0"/>
      <w:marTop w:val="0"/>
      <w:marBottom w:val="0"/>
      <w:divBdr>
        <w:top w:val="none" w:sz="0" w:space="0" w:color="auto"/>
        <w:left w:val="none" w:sz="0" w:space="0" w:color="auto"/>
        <w:bottom w:val="none" w:sz="0" w:space="0" w:color="auto"/>
        <w:right w:val="none" w:sz="0" w:space="0" w:color="auto"/>
      </w:divBdr>
    </w:div>
    <w:div w:id="1388214563">
      <w:bodyDiv w:val="1"/>
      <w:marLeft w:val="0"/>
      <w:marRight w:val="0"/>
      <w:marTop w:val="0"/>
      <w:marBottom w:val="0"/>
      <w:divBdr>
        <w:top w:val="none" w:sz="0" w:space="0" w:color="auto"/>
        <w:left w:val="none" w:sz="0" w:space="0" w:color="auto"/>
        <w:bottom w:val="none" w:sz="0" w:space="0" w:color="auto"/>
        <w:right w:val="none" w:sz="0" w:space="0" w:color="auto"/>
      </w:divBdr>
    </w:div>
    <w:div w:id="1411854638">
      <w:bodyDiv w:val="1"/>
      <w:marLeft w:val="0"/>
      <w:marRight w:val="0"/>
      <w:marTop w:val="0"/>
      <w:marBottom w:val="0"/>
      <w:divBdr>
        <w:top w:val="none" w:sz="0" w:space="0" w:color="auto"/>
        <w:left w:val="none" w:sz="0" w:space="0" w:color="auto"/>
        <w:bottom w:val="none" w:sz="0" w:space="0" w:color="auto"/>
        <w:right w:val="none" w:sz="0" w:space="0" w:color="auto"/>
      </w:divBdr>
    </w:div>
    <w:div w:id="16582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05%20%284%29%20SA%20212" TargetMode="External"/><Relationship Id="rId2" Type="http://schemas.openxmlformats.org/officeDocument/2006/relationships/hyperlink" Target="http://www.saflii.org/cgi-bin/LawCite?cit=1989%20%281%29%20SA%2056" TargetMode="External"/><Relationship Id="rId1" Type="http://schemas.openxmlformats.org/officeDocument/2006/relationships/hyperlink" Target="http://www.saflii.org/cgi-bin/LawCite?cit=2012%20%281%29%20SACR%20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C3F43-F4F3-4EAE-B519-8C216C45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3206</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Nomakorinte Ntliziywana</cp:lastModifiedBy>
  <cp:revision>2</cp:revision>
  <cp:lastPrinted>2022-09-09T06:27:00Z</cp:lastPrinted>
  <dcterms:created xsi:type="dcterms:W3CDTF">2022-09-12T06:42:00Z</dcterms:created>
  <dcterms:modified xsi:type="dcterms:W3CDTF">2022-09-12T06:42:00Z</dcterms:modified>
</cp:coreProperties>
</file>