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B48E" w14:textId="77777777" w:rsidR="008B494F" w:rsidRDefault="008B494F" w:rsidP="008B494F">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53B42B65" wp14:editId="41F1A4F9">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6E52B1C8" wp14:editId="757B30E0">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E41AB"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eastAsia="en-ZA"/>
        </w:rPr>
        <mc:AlternateContent>
          <mc:Choice Requires="wps">
            <w:drawing>
              <wp:inline distT="0" distB="0" distL="0" distR="0" wp14:anchorId="120EFEE2" wp14:editId="6454E12B">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2F17D"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0EED84D4" w14:textId="77777777" w:rsidR="008B494F" w:rsidRPr="002322FF" w:rsidRDefault="008B494F" w:rsidP="008B494F">
      <w:pPr>
        <w:jc w:val="center"/>
        <w:rPr>
          <w:rFonts w:ascii="Arial" w:hAnsi="Arial" w:cs="Arial"/>
          <w:b/>
          <w:sz w:val="24"/>
          <w:szCs w:val="24"/>
        </w:rPr>
      </w:pPr>
      <w:r w:rsidRPr="002322FF">
        <w:rPr>
          <w:rFonts w:ascii="Arial" w:hAnsi="Arial" w:cs="Arial"/>
          <w:b/>
          <w:sz w:val="24"/>
          <w:szCs w:val="24"/>
        </w:rPr>
        <w:t>IN THE HIGH COURT OF SOUTH AFRICA</w:t>
      </w:r>
    </w:p>
    <w:p w14:paraId="490D794E" w14:textId="77777777" w:rsidR="008B494F" w:rsidRPr="002322FF" w:rsidRDefault="008B494F" w:rsidP="008B494F">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24F37955" w14:textId="77777777" w:rsidR="008B494F" w:rsidRPr="002322FF" w:rsidRDefault="008B494F" w:rsidP="008B494F">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2B827D1C" w14:textId="6E2FAFD1" w:rsidR="008B494F" w:rsidRPr="002322FF" w:rsidRDefault="008B494F" w:rsidP="008B494F">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3712/2016</w:t>
      </w:r>
    </w:p>
    <w:p w14:paraId="48065CBC" w14:textId="77777777" w:rsidR="008B494F" w:rsidRDefault="008B494F" w:rsidP="008B494F">
      <w:pPr>
        <w:spacing w:after="0" w:line="360" w:lineRule="auto"/>
        <w:rPr>
          <w:rFonts w:ascii="Arial" w:hAnsi="Arial" w:cs="Arial"/>
          <w:b/>
          <w:bCs/>
          <w:sz w:val="24"/>
          <w:szCs w:val="24"/>
        </w:rPr>
      </w:pPr>
    </w:p>
    <w:p w14:paraId="196F034F" w14:textId="1380FEAA" w:rsidR="008B494F" w:rsidRDefault="008B494F" w:rsidP="008B494F">
      <w:pPr>
        <w:spacing w:after="0" w:line="360" w:lineRule="auto"/>
        <w:rPr>
          <w:rFonts w:ascii="Arial" w:hAnsi="Arial" w:cs="Arial"/>
          <w:b/>
          <w:bCs/>
          <w:sz w:val="24"/>
          <w:szCs w:val="24"/>
        </w:rPr>
      </w:pPr>
      <w:r>
        <w:rPr>
          <w:rFonts w:ascii="Arial" w:hAnsi="Arial" w:cs="Arial"/>
          <w:b/>
          <w:bCs/>
          <w:sz w:val="24"/>
          <w:szCs w:val="24"/>
        </w:rPr>
        <w:t>NELSON MANDELA BAY METROPOLITAN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r w:rsidRPr="002E5635">
        <w:rPr>
          <w:rFonts w:ascii="Arial" w:hAnsi="Arial" w:cs="Arial"/>
          <w:sz w:val="24"/>
          <w:szCs w:val="24"/>
        </w:rPr>
        <w:t>Plaintiff</w:t>
      </w:r>
    </w:p>
    <w:p w14:paraId="37206FAA" w14:textId="6E56EA9A" w:rsidR="008B494F" w:rsidRPr="009232EA" w:rsidRDefault="008B494F" w:rsidP="008B494F">
      <w:pPr>
        <w:spacing w:after="0" w:line="360" w:lineRule="auto"/>
        <w:rPr>
          <w:rFonts w:ascii="Arial" w:hAnsi="Arial" w:cs="Arial"/>
          <w:b/>
          <w:bCs/>
          <w:sz w:val="24"/>
          <w:szCs w:val="24"/>
        </w:rPr>
      </w:pPr>
      <w:r>
        <w:rPr>
          <w:rFonts w:ascii="Arial" w:hAnsi="Arial" w:cs="Arial"/>
          <w:b/>
          <w:bCs/>
          <w:sz w:val="24"/>
          <w:szCs w:val="24"/>
        </w:rPr>
        <w:t xml:space="preserve">MUNICIPALITY                                                     </w:t>
      </w:r>
    </w:p>
    <w:p w14:paraId="72689EA7" w14:textId="77777777" w:rsidR="008B494F" w:rsidRDefault="008B494F" w:rsidP="008B494F">
      <w:pPr>
        <w:spacing w:after="0" w:line="360" w:lineRule="auto"/>
        <w:rPr>
          <w:rFonts w:ascii="Arial" w:hAnsi="Arial" w:cs="Arial"/>
          <w:sz w:val="24"/>
          <w:szCs w:val="24"/>
        </w:rPr>
      </w:pPr>
    </w:p>
    <w:p w14:paraId="329B5AF7" w14:textId="77777777" w:rsidR="008B494F" w:rsidRDefault="008B494F" w:rsidP="008B494F">
      <w:pPr>
        <w:spacing w:after="0" w:line="360" w:lineRule="auto"/>
        <w:rPr>
          <w:rFonts w:ascii="Arial" w:hAnsi="Arial" w:cs="Arial"/>
          <w:sz w:val="24"/>
          <w:szCs w:val="24"/>
        </w:rPr>
      </w:pPr>
      <w:r>
        <w:rPr>
          <w:rFonts w:ascii="Arial" w:hAnsi="Arial" w:cs="Arial"/>
          <w:sz w:val="24"/>
          <w:szCs w:val="24"/>
        </w:rPr>
        <w:t>and</w:t>
      </w:r>
    </w:p>
    <w:p w14:paraId="0CFD7799" w14:textId="77777777" w:rsidR="008B494F" w:rsidRPr="009232EA" w:rsidRDefault="008B494F" w:rsidP="008B494F">
      <w:pPr>
        <w:spacing w:after="0" w:line="360" w:lineRule="auto"/>
        <w:rPr>
          <w:rFonts w:ascii="Arial" w:hAnsi="Arial" w:cs="Arial"/>
          <w:sz w:val="24"/>
          <w:szCs w:val="24"/>
        </w:rPr>
      </w:pPr>
    </w:p>
    <w:p w14:paraId="72E1CF18" w14:textId="7920C147" w:rsidR="008B494F" w:rsidRDefault="008B494F" w:rsidP="008B494F">
      <w:pPr>
        <w:spacing w:after="0" w:line="360" w:lineRule="auto"/>
        <w:rPr>
          <w:rFonts w:ascii="Arial" w:hAnsi="Arial" w:cs="Arial"/>
          <w:sz w:val="24"/>
          <w:szCs w:val="24"/>
        </w:rPr>
      </w:pPr>
      <w:r>
        <w:rPr>
          <w:rFonts w:ascii="Arial" w:hAnsi="Arial" w:cs="Arial"/>
          <w:b/>
          <w:bCs/>
          <w:sz w:val="24"/>
          <w:szCs w:val="24"/>
        </w:rPr>
        <w:t>AFRISEC STRATEGIC SOLUTIONS</w:t>
      </w:r>
      <w:r w:rsidRPr="009232EA">
        <w:rPr>
          <w:rFonts w:ascii="Arial" w:hAnsi="Arial" w:cs="Arial"/>
          <w:b/>
          <w:bCs/>
          <w:sz w:val="24"/>
          <w:szCs w:val="24"/>
        </w:rPr>
        <w:t xml:space="preserve"> (PTY) LTD</w:t>
      </w:r>
      <w:r>
        <w:rPr>
          <w:rFonts w:ascii="Arial" w:hAnsi="Arial" w:cs="Arial"/>
          <w:b/>
          <w:bCs/>
          <w:sz w:val="24"/>
          <w:szCs w:val="24"/>
        </w:rPr>
        <w:t xml:space="preserve">                                </w:t>
      </w:r>
      <w:r w:rsidRPr="008B494F">
        <w:rPr>
          <w:rFonts w:ascii="Arial" w:hAnsi="Arial" w:cs="Arial"/>
          <w:sz w:val="24"/>
          <w:szCs w:val="24"/>
        </w:rPr>
        <w:t>First</w:t>
      </w:r>
      <w:r>
        <w:rPr>
          <w:rFonts w:ascii="Arial" w:hAnsi="Arial" w:cs="Arial"/>
          <w:b/>
          <w:bCs/>
          <w:sz w:val="24"/>
          <w:szCs w:val="24"/>
        </w:rPr>
        <w:t xml:space="preserve"> </w:t>
      </w:r>
      <w:r w:rsidRPr="002E5635">
        <w:rPr>
          <w:rFonts w:ascii="Arial" w:hAnsi="Arial" w:cs="Arial"/>
          <w:sz w:val="24"/>
          <w:szCs w:val="24"/>
        </w:rPr>
        <w:t>Defendant</w:t>
      </w:r>
    </w:p>
    <w:p w14:paraId="44168C43" w14:textId="77777777" w:rsidR="008B494F" w:rsidRDefault="008B494F" w:rsidP="008B494F">
      <w:pPr>
        <w:spacing w:after="0" w:line="360" w:lineRule="auto"/>
        <w:rPr>
          <w:rFonts w:ascii="Arial" w:hAnsi="Arial" w:cs="Arial"/>
          <w:b/>
          <w:bCs/>
          <w:sz w:val="24"/>
          <w:szCs w:val="24"/>
        </w:rPr>
      </w:pPr>
    </w:p>
    <w:p w14:paraId="1709BF17" w14:textId="01FA2E56" w:rsidR="008B494F" w:rsidRDefault="008B494F" w:rsidP="008B494F">
      <w:pPr>
        <w:spacing w:after="0" w:line="360" w:lineRule="auto"/>
        <w:rPr>
          <w:rFonts w:ascii="Arial" w:hAnsi="Arial" w:cs="Arial"/>
          <w:sz w:val="24"/>
          <w:szCs w:val="24"/>
        </w:rPr>
      </w:pPr>
      <w:r>
        <w:rPr>
          <w:rFonts w:ascii="Arial" w:hAnsi="Arial" w:cs="Arial"/>
          <w:b/>
          <w:bCs/>
          <w:sz w:val="24"/>
          <w:szCs w:val="24"/>
        </w:rPr>
        <w:t xml:space="preserve">MHLELI MLUNGISI TSHAMASE                                </w:t>
      </w:r>
      <w:r w:rsidR="00544D7E">
        <w:rPr>
          <w:rFonts w:ascii="Arial" w:hAnsi="Arial" w:cs="Arial"/>
          <w:b/>
          <w:bCs/>
          <w:sz w:val="24"/>
          <w:szCs w:val="24"/>
        </w:rPr>
        <w:t xml:space="preserve">                    </w:t>
      </w:r>
      <w:r w:rsidR="00544D7E">
        <w:rPr>
          <w:rFonts w:ascii="Arial" w:hAnsi="Arial" w:cs="Arial"/>
          <w:sz w:val="24"/>
          <w:szCs w:val="24"/>
        </w:rPr>
        <w:t>Second</w:t>
      </w:r>
      <w:r>
        <w:rPr>
          <w:rFonts w:ascii="Arial" w:hAnsi="Arial" w:cs="Arial"/>
          <w:b/>
          <w:bCs/>
          <w:sz w:val="24"/>
          <w:szCs w:val="24"/>
        </w:rPr>
        <w:t xml:space="preserve"> </w:t>
      </w:r>
      <w:r w:rsidRPr="002E5635">
        <w:rPr>
          <w:rFonts w:ascii="Arial" w:hAnsi="Arial" w:cs="Arial"/>
          <w:sz w:val="24"/>
          <w:szCs w:val="24"/>
        </w:rPr>
        <w:t>Defendant</w:t>
      </w:r>
    </w:p>
    <w:p w14:paraId="660D64BC" w14:textId="77777777" w:rsidR="008B494F" w:rsidRDefault="008B494F" w:rsidP="008B494F">
      <w:pPr>
        <w:spacing w:after="0" w:line="360" w:lineRule="auto"/>
        <w:rPr>
          <w:rFonts w:ascii="Arial" w:hAnsi="Arial" w:cs="Arial"/>
          <w:b/>
          <w:bCs/>
          <w:sz w:val="24"/>
          <w:szCs w:val="24"/>
        </w:rPr>
      </w:pPr>
    </w:p>
    <w:p w14:paraId="6BF488C1" w14:textId="209A10BD" w:rsidR="008B494F" w:rsidRDefault="008B494F" w:rsidP="008B494F">
      <w:pPr>
        <w:spacing w:after="0" w:line="360" w:lineRule="auto"/>
        <w:rPr>
          <w:rFonts w:ascii="Arial" w:hAnsi="Arial" w:cs="Arial"/>
          <w:sz w:val="24"/>
          <w:szCs w:val="24"/>
        </w:rPr>
      </w:pPr>
      <w:r>
        <w:rPr>
          <w:rFonts w:ascii="Arial" w:hAnsi="Arial" w:cs="Arial"/>
          <w:b/>
          <w:bCs/>
          <w:sz w:val="24"/>
          <w:szCs w:val="24"/>
        </w:rPr>
        <w:t xml:space="preserve">TREVOR HARPER                               </w:t>
      </w:r>
      <w:r w:rsidR="00544D7E">
        <w:rPr>
          <w:rFonts w:ascii="Arial" w:hAnsi="Arial" w:cs="Arial"/>
          <w:b/>
          <w:bCs/>
          <w:sz w:val="24"/>
          <w:szCs w:val="24"/>
        </w:rPr>
        <w:t xml:space="preserve">                                              </w:t>
      </w:r>
      <w:r>
        <w:rPr>
          <w:rFonts w:ascii="Arial" w:hAnsi="Arial" w:cs="Arial"/>
          <w:b/>
          <w:bCs/>
          <w:sz w:val="24"/>
          <w:szCs w:val="24"/>
        </w:rPr>
        <w:t xml:space="preserve"> </w:t>
      </w:r>
      <w:r w:rsidR="00544D7E">
        <w:rPr>
          <w:rFonts w:ascii="Arial" w:hAnsi="Arial" w:cs="Arial"/>
          <w:sz w:val="24"/>
          <w:szCs w:val="24"/>
        </w:rPr>
        <w:t>Third</w:t>
      </w:r>
      <w:r>
        <w:rPr>
          <w:rFonts w:ascii="Arial" w:hAnsi="Arial" w:cs="Arial"/>
          <w:b/>
          <w:bCs/>
          <w:sz w:val="24"/>
          <w:szCs w:val="24"/>
        </w:rPr>
        <w:t xml:space="preserve"> </w:t>
      </w:r>
      <w:r w:rsidRPr="002E5635">
        <w:rPr>
          <w:rFonts w:ascii="Arial" w:hAnsi="Arial" w:cs="Arial"/>
          <w:sz w:val="24"/>
          <w:szCs w:val="24"/>
        </w:rPr>
        <w:t>Defendant</w:t>
      </w:r>
    </w:p>
    <w:p w14:paraId="347325FE" w14:textId="77777777" w:rsidR="008B494F" w:rsidRDefault="008B494F" w:rsidP="008B494F">
      <w:pPr>
        <w:spacing w:after="0" w:line="360" w:lineRule="auto"/>
        <w:rPr>
          <w:rFonts w:ascii="Arial" w:hAnsi="Arial" w:cs="Arial"/>
          <w:b/>
          <w:bCs/>
          <w:sz w:val="24"/>
          <w:szCs w:val="24"/>
        </w:rPr>
      </w:pPr>
    </w:p>
    <w:p w14:paraId="1F2F452F" w14:textId="2AFFD945" w:rsidR="008B494F" w:rsidRDefault="008B494F" w:rsidP="008B494F">
      <w:pPr>
        <w:spacing w:after="0" w:line="360" w:lineRule="auto"/>
        <w:rPr>
          <w:rFonts w:ascii="Arial" w:hAnsi="Arial" w:cs="Arial"/>
          <w:sz w:val="24"/>
          <w:szCs w:val="24"/>
        </w:rPr>
      </w:pPr>
      <w:r>
        <w:rPr>
          <w:rFonts w:ascii="Arial" w:hAnsi="Arial" w:cs="Arial"/>
          <w:b/>
          <w:bCs/>
          <w:sz w:val="24"/>
          <w:szCs w:val="24"/>
        </w:rPr>
        <w:t xml:space="preserve">HELEN KEBLE N.O. ESTATE LATE PATRICK KEBLE                 </w:t>
      </w:r>
      <w:r w:rsidR="00544D7E">
        <w:rPr>
          <w:rFonts w:ascii="Arial" w:hAnsi="Arial" w:cs="Arial"/>
          <w:sz w:val="24"/>
          <w:szCs w:val="24"/>
        </w:rPr>
        <w:t>Fourth</w:t>
      </w:r>
      <w:r>
        <w:rPr>
          <w:rFonts w:ascii="Arial" w:hAnsi="Arial" w:cs="Arial"/>
          <w:b/>
          <w:bCs/>
          <w:sz w:val="24"/>
          <w:szCs w:val="24"/>
        </w:rPr>
        <w:t xml:space="preserve"> </w:t>
      </w:r>
      <w:r w:rsidRPr="002E5635">
        <w:rPr>
          <w:rFonts w:ascii="Arial" w:hAnsi="Arial" w:cs="Arial"/>
          <w:sz w:val="24"/>
          <w:szCs w:val="24"/>
        </w:rPr>
        <w:t>Defendant</w:t>
      </w:r>
    </w:p>
    <w:p w14:paraId="55FFA4FA" w14:textId="77777777" w:rsidR="008B494F" w:rsidRDefault="008B494F" w:rsidP="008B494F">
      <w:pPr>
        <w:spacing w:after="0" w:line="360" w:lineRule="auto"/>
        <w:rPr>
          <w:rFonts w:ascii="Arial" w:hAnsi="Arial" w:cs="Arial"/>
          <w:b/>
          <w:bCs/>
          <w:sz w:val="24"/>
          <w:szCs w:val="24"/>
        </w:rPr>
      </w:pPr>
    </w:p>
    <w:p w14:paraId="737DD34B" w14:textId="453E99E5" w:rsidR="008B494F" w:rsidRDefault="008B494F" w:rsidP="008B494F">
      <w:pPr>
        <w:spacing w:after="0" w:line="360" w:lineRule="auto"/>
        <w:rPr>
          <w:rFonts w:ascii="Arial" w:hAnsi="Arial" w:cs="Arial"/>
          <w:sz w:val="24"/>
          <w:szCs w:val="24"/>
        </w:rPr>
      </w:pPr>
      <w:r>
        <w:rPr>
          <w:rFonts w:ascii="Arial" w:hAnsi="Arial" w:cs="Arial"/>
          <w:b/>
          <w:bCs/>
          <w:sz w:val="24"/>
          <w:szCs w:val="24"/>
        </w:rPr>
        <w:t xml:space="preserve">ARMIEN MADATT                                </w:t>
      </w:r>
      <w:r w:rsidR="00544D7E">
        <w:rPr>
          <w:rFonts w:ascii="Arial" w:hAnsi="Arial" w:cs="Arial"/>
          <w:b/>
          <w:bCs/>
          <w:sz w:val="24"/>
          <w:szCs w:val="24"/>
        </w:rPr>
        <w:t xml:space="preserve">                                                </w:t>
      </w:r>
      <w:r w:rsidRPr="008B494F">
        <w:rPr>
          <w:rFonts w:ascii="Arial" w:hAnsi="Arial" w:cs="Arial"/>
          <w:sz w:val="24"/>
          <w:szCs w:val="24"/>
        </w:rPr>
        <w:t>F</w:t>
      </w:r>
      <w:r w:rsidR="00544D7E">
        <w:rPr>
          <w:rFonts w:ascii="Arial" w:hAnsi="Arial" w:cs="Arial"/>
          <w:sz w:val="24"/>
          <w:szCs w:val="24"/>
        </w:rPr>
        <w:t>ifth</w:t>
      </w:r>
      <w:r>
        <w:rPr>
          <w:rFonts w:ascii="Arial" w:hAnsi="Arial" w:cs="Arial"/>
          <w:b/>
          <w:bCs/>
          <w:sz w:val="24"/>
          <w:szCs w:val="24"/>
        </w:rPr>
        <w:t xml:space="preserve"> </w:t>
      </w:r>
      <w:r w:rsidRPr="002E5635">
        <w:rPr>
          <w:rFonts w:ascii="Arial" w:hAnsi="Arial" w:cs="Arial"/>
          <w:sz w:val="24"/>
          <w:szCs w:val="24"/>
        </w:rPr>
        <w:t>Defendant</w:t>
      </w:r>
    </w:p>
    <w:p w14:paraId="04913007" w14:textId="77777777" w:rsidR="008B494F" w:rsidRDefault="008B494F" w:rsidP="008B494F">
      <w:pPr>
        <w:spacing w:after="0" w:line="360" w:lineRule="auto"/>
        <w:rPr>
          <w:rFonts w:ascii="Arial" w:hAnsi="Arial" w:cs="Arial"/>
          <w:b/>
          <w:bCs/>
          <w:sz w:val="24"/>
          <w:szCs w:val="24"/>
        </w:rPr>
      </w:pPr>
    </w:p>
    <w:p w14:paraId="3D1FDF6E" w14:textId="1D4417E9" w:rsidR="008B494F" w:rsidRDefault="008B494F" w:rsidP="008B494F">
      <w:pPr>
        <w:spacing w:after="0" w:line="360" w:lineRule="auto"/>
        <w:rPr>
          <w:rFonts w:ascii="Arial" w:hAnsi="Arial" w:cs="Arial"/>
          <w:sz w:val="24"/>
          <w:szCs w:val="24"/>
        </w:rPr>
      </w:pPr>
      <w:r>
        <w:rPr>
          <w:rFonts w:ascii="Arial" w:hAnsi="Arial" w:cs="Arial"/>
          <w:b/>
          <w:bCs/>
          <w:sz w:val="24"/>
          <w:szCs w:val="24"/>
        </w:rPr>
        <w:t xml:space="preserve">SONGEXILE NKANJENI                               </w:t>
      </w:r>
      <w:r w:rsidR="00544D7E">
        <w:rPr>
          <w:rFonts w:ascii="Arial" w:hAnsi="Arial" w:cs="Arial"/>
          <w:b/>
          <w:bCs/>
          <w:sz w:val="24"/>
          <w:szCs w:val="24"/>
        </w:rPr>
        <w:t xml:space="preserve">                                      </w:t>
      </w:r>
      <w:r w:rsidR="00544D7E">
        <w:rPr>
          <w:rFonts w:ascii="Arial" w:hAnsi="Arial" w:cs="Arial"/>
          <w:sz w:val="24"/>
          <w:szCs w:val="24"/>
        </w:rPr>
        <w:t>Sixth</w:t>
      </w:r>
      <w:r>
        <w:rPr>
          <w:rFonts w:ascii="Arial" w:hAnsi="Arial" w:cs="Arial"/>
          <w:b/>
          <w:bCs/>
          <w:sz w:val="24"/>
          <w:szCs w:val="24"/>
        </w:rPr>
        <w:t xml:space="preserve"> </w:t>
      </w:r>
      <w:r w:rsidRPr="002E5635">
        <w:rPr>
          <w:rFonts w:ascii="Arial" w:hAnsi="Arial" w:cs="Arial"/>
          <w:sz w:val="24"/>
          <w:szCs w:val="24"/>
        </w:rPr>
        <w:t>Defendant</w:t>
      </w:r>
    </w:p>
    <w:p w14:paraId="4DC98D2C" w14:textId="77777777" w:rsidR="008B494F" w:rsidRDefault="008B494F" w:rsidP="008B494F">
      <w:pPr>
        <w:spacing w:after="0" w:line="360" w:lineRule="auto"/>
        <w:rPr>
          <w:rFonts w:ascii="Arial" w:hAnsi="Arial" w:cs="Arial"/>
          <w:b/>
          <w:bCs/>
          <w:sz w:val="24"/>
          <w:szCs w:val="24"/>
        </w:rPr>
      </w:pPr>
    </w:p>
    <w:p w14:paraId="0ACB4A1E" w14:textId="1F70C31B" w:rsidR="008B494F" w:rsidRDefault="008B494F" w:rsidP="008B494F">
      <w:pPr>
        <w:spacing w:after="0" w:line="360" w:lineRule="auto"/>
        <w:rPr>
          <w:rFonts w:ascii="Arial" w:hAnsi="Arial" w:cs="Arial"/>
          <w:sz w:val="24"/>
          <w:szCs w:val="24"/>
        </w:rPr>
      </w:pPr>
      <w:r>
        <w:rPr>
          <w:rFonts w:ascii="Arial" w:hAnsi="Arial" w:cs="Arial"/>
          <w:b/>
          <w:bCs/>
          <w:sz w:val="24"/>
          <w:szCs w:val="24"/>
        </w:rPr>
        <w:t xml:space="preserve">NOBUNTU MGOGOSHE                                </w:t>
      </w:r>
      <w:r w:rsidR="00544D7E">
        <w:rPr>
          <w:rFonts w:ascii="Arial" w:hAnsi="Arial" w:cs="Arial"/>
          <w:b/>
          <w:bCs/>
          <w:sz w:val="24"/>
          <w:szCs w:val="24"/>
        </w:rPr>
        <w:t xml:space="preserve">                               </w:t>
      </w:r>
      <w:r w:rsidR="00544D7E">
        <w:rPr>
          <w:rFonts w:ascii="Arial" w:hAnsi="Arial" w:cs="Arial"/>
          <w:sz w:val="24"/>
          <w:szCs w:val="24"/>
        </w:rPr>
        <w:t>Seventh</w:t>
      </w:r>
      <w:r>
        <w:rPr>
          <w:rFonts w:ascii="Arial" w:hAnsi="Arial" w:cs="Arial"/>
          <w:b/>
          <w:bCs/>
          <w:sz w:val="24"/>
          <w:szCs w:val="24"/>
        </w:rPr>
        <w:t xml:space="preserve"> </w:t>
      </w:r>
      <w:r w:rsidRPr="002E5635">
        <w:rPr>
          <w:rFonts w:ascii="Arial" w:hAnsi="Arial" w:cs="Arial"/>
          <w:sz w:val="24"/>
          <w:szCs w:val="24"/>
        </w:rPr>
        <w:t>Defendant</w:t>
      </w:r>
    </w:p>
    <w:p w14:paraId="78A3ABB6" w14:textId="32FF8B53" w:rsidR="008B494F" w:rsidRDefault="008B494F" w:rsidP="008B494F">
      <w:pPr>
        <w:spacing w:after="0" w:line="360" w:lineRule="auto"/>
        <w:rPr>
          <w:rFonts w:ascii="Arial" w:hAnsi="Arial" w:cs="Arial"/>
          <w:sz w:val="24"/>
          <w:szCs w:val="24"/>
        </w:rPr>
      </w:pPr>
    </w:p>
    <w:p w14:paraId="1B9B7F8C" w14:textId="3CC5058C" w:rsidR="00544D7E" w:rsidRDefault="00544D7E" w:rsidP="00544D7E">
      <w:pPr>
        <w:spacing w:after="0" w:line="360" w:lineRule="auto"/>
        <w:rPr>
          <w:rFonts w:ascii="Arial" w:hAnsi="Arial" w:cs="Arial"/>
          <w:sz w:val="24"/>
          <w:szCs w:val="24"/>
        </w:rPr>
      </w:pPr>
      <w:r>
        <w:rPr>
          <w:rFonts w:ascii="Arial" w:hAnsi="Arial" w:cs="Arial"/>
          <w:b/>
          <w:bCs/>
          <w:sz w:val="24"/>
          <w:szCs w:val="24"/>
        </w:rPr>
        <w:lastRenderedPageBreak/>
        <w:t xml:space="preserve">MZWANELE LENMOD NDOYANA                                                  </w:t>
      </w:r>
      <w:r>
        <w:rPr>
          <w:rFonts w:ascii="Arial" w:hAnsi="Arial" w:cs="Arial"/>
          <w:sz w:val="24"/>
          <w:szCs w:val="24"/>
        </w:rPr>
        <w:t>Eighth</w:t>
      </w:r>
      <w:r>
        <w:rPr>
          <w:rFonts w:ascii="Arial" w:hAnsi="Arial" w:cs="Arial"/>
          <w:b/>
          <w:bCs/>
          <w:sz w:val="24"/>
          <w:szCs w:val="24"/>
        </w:rPr>
        <w:t xml:space="preserve"> </w:t>
      </w:r>
      <w:r w:rsidRPr="002E5635">
        <w:rPr>
          <w:rFonts w:ascii="Arial" w:hAnsi="Arial" w:cs="Arial"/>
          <w:sz w:val="24"/>
          <w:szCs w:val="24"/>
        </w:rPr>
        <w:t>Defendant</w:t>
      </w:r>
    </w:p>
    <w:p w14:paraId="0813B25D" w14:textId="77777777" w:rsidR="008B494F" w:rsidRPr="005E0A83" w:rsidRDefault="008B494F" w:rsidP="008B494F">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76AE42D8" w14:textId="77777777" w:rsidR="008B494F" w:rsidRPr="005E0A83" w:rsidRDefault="008B494F" w:rsidP="008B494F">
      <w:pPr>
        <w:pStyle w:val="GW13"/>
        <w:tabs>
          <w:tab w:val="clear" w:pos="8640"/>
        </w:tabs>
        <w:spacing w:line="240" w:lineRule="auto"/>
        <w:ind w:right="-45"/>
        <w:jc w:val="center"/>
        <w:rPr>
          <w:rFonts w:ascii="Arial" w:hAnsi="Arial" w:cs="Arial"/>
          <w:b/>
          <w:szCs w:val="24"/>
        </w:rPr>
      </w:pPr>
    </w:p>
    <w:p w14:paraId="164746FE" w14:textId="480CA1A9" w:rsidR="008B494F" w:rsidRPr="005E0A83" w:rsidRDefault="008B494F" w:rsidP="008B494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r w:rsidR="00B81B3A">
        <w:rPr>
          <w:rFonts w:ascii="Arial" w:hAnsi="Arial" w:cs="Arial"/>
          <w:b/>
          <w:szCs w:val="24"/>
        </w:rPr>
        <w:t xml:space="preserve"> IN RESPECT OF SPECIAL PLEAS</w:t>
      </w:r>
    </w:p>
    <w:p w14:paraId="477B2EC0" w14:textId="77777777" w:rsidR="008B494F" w:rsidRPr="005E0A83" w:rsidRDefault="008B494F" w:rsidP="008B494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5BBD6998" w14:textId="77777777" w:rsidR="008B494F" w:rsidRPr="005E0A83" w:rsidRDefault="008B494F" w:rsidP="008B494F">
      <w:pPr>
        <w:pStyle w:val="GW13"/>
        <w:tabs>
          <w:tab w:val="clear" w:pos="8640"/>
          <w:tab w:val="right" w:pos="9072"/>
        </w:tabs>
        <w:spacing w:line="480" w:lineRule="auto"/>
        <w:ind w:right="-46"/>
        <w:rPr>
          <w:rFonts w:ascii="Arial" w:hAnsi="Arial" w:cs="Arial"/>
          <w:b/>
          <w:szCs w:val="24"/>
        </w:rPr>
      </w:pPr>
    </w:p>
    <w:p w14:paraId="0C88D100" w14:textId="77777777" w:rsidR="008B494F" w:rsidRPr="005E0A83" w:rsidRDefault="008B494F" w:rsidP="008B494F">
      <w:pPr>
        <w:pStyle w:val="GW13"/>
        <w:tabs>
          <w:tab w:val="clear" w:pos="8640"/>
          <w:tab w:val="right" w:pos="9072"/>
        </w:tabs>
        <w:spacing w:line="480" w:lineRule="auto"/>
        <w:ind w:right="-46"/>
        <w:rPr>
          <w:rFonts w:ascii="Arial" w:hAnsi="Arial" w:cs="Arial"/>
          <w:b/>
          <w:szCs w:val="24"/>
        </w:rPr>
      </w:pPr>
      <w:r w:rsidRPr="006F0A9B">
        <w:rPr>
          <w:rFonts w:ascii="Arial" w:hAnsi="Arial" w:cs="Arial"/>
          <w:b/>
          <w:szCs w:val="24"/>
          <w:u w:val="single"/>
        </w:rPr>
        <w:t>BANDS AJ</w:t>
      </w:r>
      <w:r w:rsidRPr="005E0A83">
        <w:rPr>
          <w:rFonts w:ascii="Arial" w:hAnsi="Arial" w:cs="Arial"/>
          <w:b/>
          <w:szCs w:val="24"/>
        </w:rPr>
        <w:t>:</w:t>
      </w:r>
    </w:p>
    <w:p w14:paraId="77C6AC3D" w14:textId="77777777" w:rsidR="008B494F" w:rsidRPr="005E0A83" w:rsidRDefault="008B494F" w:rsidP="008B494F">
      <w:pPr>
        <w:pStyle w:val="ListParagraph"/>
        <w:spacing w:after="0" w:line="480" w:lineRule="auto"/>
        <w:ind w:left="851"/>
        <w:jc w:val="both"/>
        <w:rPr>
          <w:rFonts w:ascii="Arial" w:hAnsi="Arial" w:cs="Arial"/>
          <w:sz w:val="24"/>
          <w:szCs w:val="24"/>
        </w:rPr>
      </w:pPr>
    </w:p>
    <w:p w14:paraId="7CEA3468" w14:textId="3627F339" w:rsidR="004A41CC"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4A41CC" w:rsidRPr="00862308">
        <w:rPr>
          <w:rFonts w:ascii="Arial" w:hAnsi="Arial" w:cs="Arial"/>
          <w:sz w:val="24"/>
          <w:szCs w:val="24"/>
        </w:rPr>
        <w:t>The plaintiff instituted action against the defendants for payment of certain sums of money, which the plaintiff paid to the first defendant during the period of November 2013 to September 2014, across nine separate payments</w:t>
      </w:r>
      <w:r w:rsidR="004A41CC">
        <w:rPr>
          <w:rStyle w:val="FootnoteReference"/>
          <w:rFonts w:ascii="Arial" w:hAnsi="Arial" w:cs="Arial"/>
          <w:sz w:val="24"/>
          <w:szCs w:val="24"/>
        </w:rPr>
        <w:footnoteReference w:id="1"/>
      </w:r>
      <w:r w:rsidR="004A41CC" w:rsidRPr="00862308">
        <w:rPr>
          <w:rFonts w:ascii="Arial" w:hAnsi="Arial" w:cs="Arial"/>
          <w:sz w:val="24"/>
          <w:szCs w:val="24"/>
        </w:rPr>
        <w:t xml:space="preserve"> in the aggregate of R92,433.301.55.  Various causes of action are formulated against the defendants.  </w:t>
      </w:r>
    </w:p>
    <w:p w14:paraId="2E0DBD67" w14:textId="77777777" w:rsidR="00526D10" w:rsidRDefault="00526D10" w:rsidP="0011550B">
      <w:pPr>
        <w:pStyle w:val="ListParagraph"/>
        <w:spacing w:after="0" w:line="480" w:lineRule="auto"/>
        <w:ind w:left="851"/>
        <w:jc w:val="both"/>
        <w:rPr>
          <w:rFonts w:ascii="Arial" w:hAnsi="Arial" w:cs="Arial"/>
          <w:sz w:val="24"/>
          <w:szCs w:val="24"/>
        </w:rPr>
      </w:pPr>
    </w:p>
    <w:p w14:paraId="640D499E" w14:textId="001F4631" w:rsidR="00526D10" w:rsidRPr="00862308" w:rsidRDefault="00862308" w:rsidP="00862308">
      <w:pPr>
        <w:spacing w:after="0" w:line="480" w:lineRule="auto"/>
        <w:ind w:left="851" w:hanging="851"/>
        <w:jc w:val="both"/>
        <w:rPr>
          <w:rFonts w:ascii="Arial" w:hAnsi="Arial" w:cs="Arial"/>
          <w:sz w:val="24"/>
          <w:szCs w:val="24"/>
        </w:rPr>
      </w:pPr>
      <w:r w:rsidRPr="00EE5CFE">
        <w:rPr>
          <w:rFonts w:ascii="Arial" w:hAnsi="Arial" w:cs="Arial"/>
          <w:sz w:val="24"/>
          <w:szCs w:val="24"/>
        </w:rPr>
        <w:t>[2]</w:t>
      </w:r>
      <w:r w:rsidRPr="00EE5CFE">
        <w:rPr>
          <w:rFonts w:ascii="Arial" w:hAnsi="Arial" w:cs="Arial"/>
          <w:sz w:val="24"/>
          <w:szCs w:val="24"/>
        </w:rPr>
        <w:tab/>
      </w:r>
      <w:r w:rsidR="00526D10" w:rsidRPr="00862308">
        <w:rPr>
          <w:rFonts w:ascii="Arial" w:hAnsi="Arial" w:cs="Arial"/>
          <w:sz w:val="24"/>
          <w:szCs w:val="24"/>
        </w:rPr>
        <w:t xml:space="preserve">For present purposes, it is not necessary to set out the respective causes of action in detail. </w:t>
      </w:r>
      <w:r w:rsidR="00EE5CFE" w:rsidRPr="00862308">
        <w:rPr>
          <w:rFonts w:ascii="Arial" w:hAnsi="Arial" w:cs="Arial"/>
          <w:sz w:val="24"/>
          <w:szCs w:val="24"/>
        </w:rPr>
        <w:t xml:space="preserve"> </w:t>
      </w:r>
      <w:r w:rsidR="00526D10" w:rsidRPr="00862308">
        <w:rPr>
          <w:rFonts w:ascii="Arial" w:hAnsi="Arial" w:cs="Arial"/>
          <w:sz w:val="24"/>
          <w:szCs w:val="24"/>
        </w:rPr>
        <w:t xml:space="preserve">Insofar as the first defendant is concerned, the plaintiff in the first instance relies on the </w:t>
      </w:r>
      <w:r w:rsidR="00526D10" w:rsidRPr="00862308">
        <w:rPr>
          <w:rFonts w:ascii="Arial" w:hAnsi="Arial" w:cs="Arial"/>
          <w:i/>
          <w:iCs/>
          <w:sz w:val="24"/>
          <w:szCs w:val="24"/>
        </w:rPr>
        <w:t xml:space="preserve">condictio </w:t>
      </w:r>
      <w:proofErr w:type="spellStart"/>
      <w:r w:rsidR="00526D10" w:rsidRPr="00862308">
        <w:rPr>
          <w:rFonts w:ascii="Arial" w:hAnsi="Arial" w:cs="Arial"/>
          <w:i/>
          <w:iCs/>
          <w:sz w:val="24"/>
          <w:szCs w:val="24"/>
        </w:rPr>
        <w:t>indebiti</w:t>
      </w:r>
      <w:proofErr w:type="spellEnd"/>
      <w:r w:rsidR="00526D10" w:rsidRPr="00862308">
        <w:rPr>
          <w:rFonts w:ascii="Arial" w:hAnsi="Arial" w:cs="Arial"/>
          <w:sz w:val="24"/>
          <w:szCs w:val="24"/>
        </w:rPr>
        <w:t xml:space="preserve">.  The second cause of action against the </w:t>
      </w:r>
      <w:r w:rsidR="00EE5CFE" w:rsidRPr="00862308">
        <w:rPr>
          <w:rFonts w:ascii="Arial" w:hAnsi="Arial" w:cs="Arial"/>
          <w:sz w:val="24"/>
          <w:szCs w:val="24"/>
        </w:rPr>
        <w:t>first</w:t>
      </w:r>
      <w:r w:rsidR="00526D10" w:rsidRPr="00862308">
        <w:rPr>
          <w:rFonts w:ascii="Arial" w:hAnsi="Arial" w:cs="Arial"/>
          <w:sz w:val="24"/>
          <w:szCs w:val="24"/>
        </w:rPr>
        <w:t xml:space="preserve"> defendant</w:t>
      </w:r>
      <w:r w:rsidR="00F10FC1" w:rsidRPr="00862308">
        <w:rPr>
          <w:rFonts w:ascii="Arial" w:hAnsi="Arial" w:cs="Arial"/>
          <w:sz w:val="24"/>
          <w:szCs w:val="24"/>
        </w:rPr>
        <w:t xml:space="preserve"> is based on</w:t>
      </w:r>
      <w:r w:rsidR="0034629C" w:rsidRPr="00862308">
        <w:rPr>
          <w:rFonts w:ascii="Arial" w:hAnsi="Arial" w:cs="Arial"/>
          <w:sz w:val="24"/>
          <w:szCs w:val="24"/>
        </w:rPr>
        <w:t xml:space="preserve"> an alleged </w:t>
      </w:r>
      <w:r w:rsidR="00F10FC1" w:rsidRPr="00862308">
        <w:rPr>
          <w:rFonts w:ascii="Arial" w:hAnsi="Arial" w:cs="Arial"/>
          <w:sz w:val="24"/>
          <w:szCs w:val="24"/>
        </w:rPr>
        <w:t>intentional</w:t>
      </w:r>
      <w:r w:rsidR="0034629C" w:rsidRPr="00862308">
        <w:rPr>
          <w:rFonts w:ascii="Arial" w:hAnsi="Arial" w:cs="Arial"/>
          <w:sz w:val="24"/>
          <w:szCs w:val="24"/>
        </w:rPr>
        <w:t>;</w:t>
      </w:r>
      <w:r w:rsidR="00F10FC1" w:rsidRPr="00862308">
        <w:rPr>
          <w:rFonts w:ascii="Arial" w:hAnsi="Arial" w:cs="Arial"/>
          <w:sz w:val="24"/>
          <w:szCs w:val="24"/>
        </w:rPr>
        <w:t xml:space="preserve"> alternatively</w:t>
      </w:r>
      <w:r w:rsidR="0034629C" w:rsidRPr="00862308">
        <w:rPr>
          <w:rFonts w:ascii="Arial" w:hAnsi="Arial" w:cs="Arial"/>
          <w:sz w:val="24"/>
          <w:szCs w:val="24"/>
        </w:rPr>
        <w:t>,</w:t>
      </w:r>
      <w:r w:rsidR="00F10FC1" w:rsidRPr="00862308">
        <w:rPr>
          <w:rFonts w:ascii="Arial" w:hAnsi="Arial" w:cs="Arial"/>
          <w:sz w:val="24"/>
          <w:szCs w:val="24"/>
        </w:rPr>
        <w:t xml:space="preserve"> negligent misrepresentation.  The causes </w:t>
      </w:r>
      <w:r w:rsidR="00526D10" w:rsidRPr="00862308">
        <w:rPr>
          <w:rFonts w:ascii="Arial" w:hAnsi="Arial" w:cs="Arial"/>
          <w:sz w:val="24"/>
          <w:szCs w:val="24"/>
        </w:rPr>
        <w:t>of action as against the</w:t>
      </w:r>
      <w:r w:rsidR="00F10FC1" w:rsidRPr="00862308">
        <w:rPr>
          <w:rFonts w:ascii="Arial" w:hAnsi="Arial" w:cs="Arial"/>
          <w:sz w:val="24"/>
          <w:szCs w:val="24"/>
        </w:rPr>
        <w:t xml:space="preserve"> remainder of the defendants are based on t</w:t>
      </w:r>
      <w:r w:rsidR="00EE5CFE" w:rsidRPr="00862308">
        <w:rPr>
          <w:rFonts w:ascii="Arial" w:hAnsi="Arial" w:cs="Arial"/>
          <w:sz w:val="24"/>
          <w:szCs w:val="24"/>
        </w:rPr>
        <w:t>he defendants’</w:t>
      </w:r>
      <w:r w:rsidR="00F10FC1" w:rsidRPr="00862308">
        <w:rPr>
          <w:rFonts w:ascii="Arial" w:hAnsi="Arial" w:cs="Arial"/>
          <w:sz w:val="24"/>
          <w:szCs w:val="24"/>
        </w:rPr>
        <w:t xml:space="preserve"> alleged failure to comply with their obligations as employees</w:t>
      </w:r>
      <w:r w:rsidR="009B5A58" w:rsidRPr="00862308">
        <w:rPr>
          <w:rFonts w:ascii="Arial" w:hAnsi="Arial" w:cs="Arial"/>
          <w:sz w:val="24"/>
          <w:szCs w:val="24"/>
        </w:rPr>
        <w:t xml:space="preserve"> of the plaintiff</w:t>
      </w:r>
      <w:r w:rsidR="00F10FC1" w:rsidRPr="00862308">
        <w:rPr>
          <w:rFonts w:ascii="Arial" w:hAnsi="Arial" w:cs="Arial"/>
          <w:sz w:val="24"/>
          <w:szCs w:val="24"/>
        </w:rPr>
        <w:t>.</w:t>
      </w:r>
      <w:r w:rsidR="00526D10" w:rsidRPr="00862308">
        <w:rPr>
          <w:rFonts w:ascii="Arial" w:hAnsi="Arial" w:cs="Arial"/>
          <w:sz w:val="24"/>
          <w:szCs w:val="24"/>
        </w:rPr>
        <w:t> </w:t>
      </w:r>
    </w:p>
    <w:p w14:paraId="74E729B3" w14:textId="77777777" w:rsidR="00DA54AE" w:rsidRDefault="00DA54AE" w:rsidP="00DA54AE">
      <w:pPr>
        <w:pStyle w:val="ListParagraph"/>
        <w:spacing w:after="0" w:line="480" w:lineRule="auto"/>
        <w:ind w:left="851"/>
        <w:jc w:val="both"/>
        <w:rPr>
          <w:rFonts w:ascii="Arial" w:hAnsi="Arial" w:cs="Arial"/>
          <w:sz w:val="24"/>
          <w:szCs w:val="24"/>
        </w:rPr>
      </w:pPr>
    </w:p>
    <w:p w14:paraId="79CD3168" w14:textId="6D353DBC" w:rsidR="00D90A10"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5E4BE7" w:rsidRPr="00862308">
        <w:rPr>
          <w:rFonts w:ascii="Arial" w:hAnsi="Arial" w:cs="Arial"/>
          <w:sz w:val="24"/>
          <w:szCs w:val="24"/>
        </w:rPr>
        <w:t>When this matter came before me on the civil trial roll, the parties requested that I grant an order</w:t>
      </w:r>
      <w:r w:rsidR="005E4BE7">
        <w:rPr>
          <w:rStyle w:val="FootnoteReference"/>
          <w:rFonts w:ascii="Arial" w:hAnsi="Arial" w:cs="Arial"/>
          <w:sz w:val="24"/>
          <w:szCs w:val="24"/>
        </w:rPr>
        <w:footnoteReference w:id="2"/>
      </w:r>
      <w:r w:rsidR="005E4BE7" w:rsidRPr="00862308">
        <w:rPr>
          <w:rFonts w:ascii="Arial" w:hAnsi="Arial" w:cs="Arial"/>
          <w:sz w:val="24"/>
          <w:szCs w:val="24"/>
        </w:rPr>
        <w:t xml:space="preserve"> pursuant to the provisions of Uniform Rule 33(4) separating the issues raised by the respective defendants in their special pleas</w:t>
      </w:r>
      <w:r w:rsidR="005E4BE7">
        <w:rPr>
          <w:rStyle w:val="FootnoteReference"/>
          <w:rFonts w:ascii="Arial" w:hAnsi="Arial" w:cs="Arial"/>
          <w:sz w:val="24"/>
          <w:szCs w:val="24"/>
        </w:rPr>
        <w:footnoteReference w:id="3"/>
      </w:r>
      <w:r w:rsidR="005E4BE7" w:rsidRPr="00862308">
        <w:rPr>
          <w:rFonts w:ascii="Arial" w:hAnsi="Arial" w:cs="Arial"/>
          <w:sz w:val="24"/>
          <w:szCs w:val="24"/>
        </w:rPr>
        <w:t xml:space="preserve"> from the remaining issues on the pleadings.</w:t>
      </w:r>
      <w:r w:rsidR="00E22D9D" w:rsidRPr="00862308">
        <w:rPr>
          <w:rFonts w:ascii="Arial" w:hAnsi="Arial" w:cs="Arial"/>
          <w:sz w:val="24"/>
          <w:szCs w:val="24"/>
        </w:rPr>
        <w:t xml:space="preserve">  The order was duly granted.</w:t>
      </w:r>
      <w:r w:rsidR="005E4BE7" w:rsidRPr="00862308">
        <w:rPr>
          <w:rFonts w:ascii="Arial" w:hAnsi="Arial" w:cs="Arial"/>
          <w:sz w:val="24"/>
          <w:szCs w:val="24"/>
        </w:rPr>
        <w:t xml:space="preserve">  </w:t>
      </w:r>
    </w:p>
    <w:p w14:paraId="144F38CB" w14:textId="77777777" w:rsidR="005E4BE7" w:rsidRPr="005E4BE7" w:rsidRDefault="005E4BE7" w:rsidP="006401B6">
      <w:pPr>
        <w:pStyle w:val="ListParagraph"/>
        <w:spacing w:after="0" w:line="480" w:lineRule="auto"/>
        <w:rPr>
          <w:rFonts w:ascii="Arial" w:hAnsi="Arial" w:cs="Arial"/>
          <w:sz w:val="24"/>
          <w:szCs w:val="24"/>
        </w:rPr>
      </w:pPr>
    </w:p>
    <w:p w14:paraId="18FFA3E0" w14:textId="3CA5178D" w:rsidR="00540550"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1E73B8" w:rsidRPr="00862308">
        <w:rPr>
          <w:rFonts w:ascii="Arial" w:hAnsi="Arial" w:cs="Arial"/>
          <w:sz w:val="24"/>
          <w:szCs w:val="24"/>
        </w:rPr>
        <w:t xml:space="preserve">Whilst the special pleas are not formulated in identical terms, </w:t>
      </w:r>
      <w:r w:rsidR="00540550" w:rsidRPr="00862308">
        <w:rPr>
          <w:rFonts w:ascii="Arial" w:hAnsi="Arial" w:cs="Arial"/>
          <w:sz w:val="24"/>
          <w:szCs w:val="24"/>
        </w:rPr>
        <w:t xml:space="preserve">the </w:t>
      </w:r>
      <w:r w:rsidR="004F3ACE" w:rsidRPr="00862308">
        <w:rPr>
          <w:rFonts w:ascii="Arial" w:hAnsi="Arial" w:cs="Arial"/>
          <w:sz w:val="24"/>
          <w:szCs w:val="24"/>
        </w:rPr>
        <w:t>purport</w:t>
      </w:r>
      <w:r w:rsidR="00DD4CA2" w:rsidRPr="00862308">
        <w:rPr>
          <w:rFonts w:ascii="Arial" w:hAnsi="Arial" w:cs="Arial"/>
          <w:sz w:val="24"/>
          <w:szCs w:val="24"/>
        </w:rPr>
        <w:t xml:space="preserve"> of the</w:t>
      </w:r>
      <w:r w:rsidR="004F3ACE" w:rsidRPr="00862308">
        <w:rPr>
          <w:rFonts w:ascii="Arial" w:hAnsi="Arial" w:cs="Arial"/>
          <w:sz w:val="24"/>
          <w:szCs w:val="24"/>
        </w:rPr>
        <w:t xml:space="preserve"> </w:t>
      </w:r>
      <w:r w:rsidR="001E73B8" w:rsidRPr="00862308">
        <w:rPr>
          <w:rFonts w:ascii="Arial" w:hAnsi="Arial" w:cs="Arial"/>
          <w:sz w:val="24"/>
          <w:szCs w:val="24"/>
        </w:rPr>
        <w:t>defences raised therein</w:t>
      </w:r>
      <w:r w:rsidR="00540550" w:rsidRPr="00862308">
        <w:rPr>
          <w:rFonts w:ascii="Arial" w:hAnsi="Arial" w:cs="Arial"/>
          <w:sz w:val="24"/>
          <w:szCs w:val="24"/>
        </w:rPr>
        <w:t>, on a proper construction thereof, are no</w:t>
      </w:r>
      <w:r w:rsidR="00DD4CA2" w:rsidRPr="00862308">
        <w:rPr>
          <w:rFonts w:ascii="Arial" w:hAnsi="Arial" w:cs="Arial"/>
          <w:sz w:val="24"/>
          <w:szCs w:val="24"/>
        </w:rPr>
        <w:t xml:space="preserve"> different</w:t>
      </w:r>
      <w:r w:rsidR="00540550" w:rsidRPr="00862308">
        <w:rPr>
          <w:rFonts w:ascii="Arial" w:hAnsi="Arial" w:cs="Arial"/>
          <w:sz w:val="24"/>
          <w:szCs w:val="24"/>
        </w:rPr>
        <w:t xml:space="preserve">.  </w:t>
      </w:r>
      <w:r w:rsidR="005C03B5" w:rsidRPr="00862308">
        <w:rPr>
          <w:rFonts w:ascii="Arial" w:hAnsi="Arial" w:cs="Arial"/>
          <w:sz w:val="24"/>
          <w:szCs w:val="24"/>
        </w:rPr>
        <w:t xml:space="preserve">Accordingly, </w:t>
      </w:r>
      <w:r w:rsidR="001C74F1" w:rsidRPr="00862308">
        <w:rPr>
          <w:rFonts w:ascii="Arial" w:hAnsi="Arial" w:cs="Arial"/>
          <w:sz w:val="24"/>
          <w:szCs w:val="24"/>
        </w:rPr>
        <w:t>i</w:t>
      </w:r>
      <w:r w:rsidR="00540550" w:rsidRPr="00862308">
        <w:rPr>
          <w:rFonts w:ascii="Arial" w:hAnsi="Arial" w:cs="Arial"/>
          <w:sz w:val="24"/>
          <w:szCs w:val="24"/>
        </w:rPr>
        <w:t>t suffices for present purposes to repeat the content of the special plea raised by the first defendant:</w:t>
      </w:r>
      <w:r w:rsidR="00540550">
        <w:rPr>
          <w:rStyle w:val="FootnoteReference"/>
          <w:rFonts w:ascii="Arial" w:hAnsi="Arial" w:cs="Arial"/>
          <w:sz w:val="24"/>
          <w:szCs w:val="24"/>
        </w:rPr>
        <w:footnoteReference w:id="4"/>
      </w:r>
    </w:p>
    <w:p w14:paraId="4523B249" w14:textId="77777777" w:rsidR="00604E83" w:rsidRDefault="00604E83" w:rsidP="00A804CC">
      <w:pPr>
        <w:pStyle w:val="ListParagraph"/>
        <w:spacing w:after="0" w:line="360" w:lineRule="auto"/>
        <w:ind w:left="851"/>
        <w:jc w:val="both"/>
        <w:rPr>
          <w:rFonts w:ascii="Arial" w:hAnsi="Arial" w:cs="Arial"/>
          <w:sz w:val="24"/>
          <w:szCs w:val="24"/>
        </w:rPr>
      </w:pPr>
    </w:p>
    <w:p w14:paraId="79843DC8" w14:textId="166F412A" w:rsidR="00540550" w:rsidRPr="00A804CC" w:rsidRDefault="00540550" w:rsidP="00A804CC">
      <w:pPr>
        <w:pStyle w:val="ListParagraph"/>
        <w:spacing w:after="0" w:line="360" w:lineRule="auto"/>
        <w:ind w:left="851"/>
        <w:jc w:val="both"/>
        <w:rPr>
          <w:rFonts w:ascii="Arial" w:hAnsi="Arial" w:cs="Arial"/>
          <w:i/>
          <w:iCs/>
          <w:sz w:val="20"/>
          <w:szCs w:val="20"/>
        </w:rPr>
      </w:pPr>
      <w:r>
        <w:rPr>
          <w:rFonts w:ascii="Arial" w:hAnsi="Arial" w:cs="Arial"/>
          <w:sz w:val="24"/>
          <w:szCs w:val="24"/>
        </w:rPr>
        <w:t>“</w:t>
      </w:r>
      <w:r w:rsidRPr="00A804CC">
        <w:rPr>
          <w:rFonts w:ascii="Arial" w:hAnsi="Arial" w:cs="Arial"/>
          <w:i/>
          <w:iCs/>
          <w:sz w:val="20"/>
          <w:szCs w:val="20"/>
        </w:rPr>
        <w:t>2.</w:t>
      </w:r>
      <w:r w:rsidRPr="00A804CC">
        <w:rPr>
          <w:rFonts w:ascii="Arial" w:hAnsi="Arial" w:cs="Arial"/>
          <w:i/>
          <w:iCs/>
          <w:sz w:val="20"/>
          <w:szCs w:val="20"/>
        </w:rPr>
        <w:tab/>
        <w:t>The First Defendant pleads that –</w:t>
      </w:r>
    </w:p>
    <w:p w14:paraId="3B1B3F37" w14:textId="77777777" w:rsidR="00E524A7" w:rsidRDefault="00E524A7" w:rsidP="00A804CC">
      <w:pPr>
        <w:pStyle w:val="ListParagraph"/>
        <w:spacing w:after="0" w:line="360" w:lineRule="auto"/>
        <w:ind w:left="2160" w:hanging="724"/>
        <w:jc w:val="both"/>
        <w:rPr>
          <w:rFonts w:ascii="Arial" w:hAnsi="Arial" w:cs="Arial"/>
          <w:i/>
          <w:iCs/>
          <w:sz w:val="20"/>
          <w:szCs w:val="20"/>
        </w:rPr>
      </w:pPr>
    </w:p>
    <w:p w14:paraId="3A64BD3E" w14:textId="66ED5D25" w:rsidR="00540550" w:rsidRPr="00A804CC" w:rsidRDefault="00540550" w:rsidP="00A804CC">
      <w:pPr>
        <w:pStyle w:val="ListParagraph"/>
        <w:spacing w:after="0" w:line="360" w:lineRule="auto"/>
        <w:ind w:left="2160" w:hanging="724"/>
        <w:jc w:val="both"/>
        <w:rPr>
          <w:rFonts w:ascii="Arial" w:hAnsi="Arial" w:cs="Arial"/>
          <w:i/>
          <w:iCs/>
          <w:sz w:val="20"/>
          <w:szCs w:val="20"/>
        </w:rPr>
      </w:pPr>
      <w:r w:rsidRPr="00A804CC">
        <w:rPr>
          <w:rFonts w:ascii="Arial" w:hAnsi="Arial" w:cs="Arial"/>
          <w:i/>
          <w:iCs/>
          <w:sz w:val="20"/>
          <w:szCs w:val="20"/>
        </w:rPr>
        <w:t>2.1</w:t>
      </w:r>
      <w:r w:rsidRPr="00A804CC">
        <w:rPr>
          <w:rFonts w:ascii="Arial" w:hAnsi="Arial" w:cs="Arial"/>
          <w:i/>
          <w:iCs/>
          <w:sz w:val="20"/>
          <w:szCs w:val="20"/>
        </w:rPr>
        <w:tab/>
        <w:t xml:space="preserve">the plaintiff’s decisions to procure goods and services from the First Defendant, constitutes administrative </w:t>
      </w:r>
      <w:proofErr w:type="gramStart"/>
      <w:r w:rsidRPr="00A804CC">
        <w:rPr>
          <w:rFonts w:ascii="Arial" w:hAnsi="Arial" w:cs="Arial"/>
          <w:i/>
          <w:iCs/>
          <w:sz w:val="20"/>
          <w:szCs w:val="20"/>
        </w:rPr>
        <w:t>actions;</w:t>
      </w:r>
      <w:proofErr w:type="gramEnd"/>
    </w:p>
    <w:p w14:paraId="429D6757" w14:textId="77777777" w:rsidR="00A804CC" w:rsidRDefault="00A804CC" w:rsidP="00A804CC">
      <w:pPr>
        <w:pStyle w:val="ListParagraph"/>
        <w:spacing w:after="0" w:line="360" w:lineRule="auto"/>
        <w:ind w:left="2160" w:hanging="724"/>
        <w:jc w:val="both"/>
        <w:rPr>
          <w:rFonts w:ascii="Arial" w:hAnsi="Arial" w:cs="Arial"/>
          <w:i/>
          <w:iCs/>
          <w:sz w:val="20"/>
          <w:szCs w:val="20"/>
        </w:rPr>
      </w:pPr>
    </w:p>
    <w:p w14:paraId="0D17F608" w14:textId="4A735176" w:rsidR="00540550" w:rsidRPr="00A804CC" w:rsidRDefault="00A804CC" w:rsidP="00A804CC">
      <w:pPr>
        <w:pStyle w:val="ListParagraph"/>
        <w:spacing w:after="0" w:line="360" w:lineRule="auto"/>
        <w:ind w:left="2160" w:hanging="724"/>
        <w:jc w:val="both"/>
        <w:rPr>
          <w:rFonts w:ascii="Arial" w:hAnsi="Arial" w:cs="Arial"/>
          <w:i/>
          <w:iCs/>
          <w:sz w:val="20"/>
          <w:szCs w:val="20"/>
        </w:rPr>
      </w:pPr>
      <w:r w:rsidRPr="00A804CC">
        <w:rPr>
          <w:rFonts w:ascii="Arial" w:hAnsi="Arial" w:cs="Arial"/>
          <w:i/>
          <w:iCs/>
          <w:sz w:val="20"/>
          <w:szCs w:val="20"/>
        </w:rPr>
        <w:t>2.2</w:t>
      </w:r>
      <w:r w:rsidRPr="00A804CC">
        <w:rPr>
          <w:rFonts w:ascii="Arial" w:hAnsi="Arial" w:cs="Arial"/>
          <w:i/>
          <w:iCs/>
          <w:sz w:val="20"/>
          <w:szCs w:val="20"/>
        </w:rPr>
        <w:tab/>
        <w:t xml:space="preserve">if the decisions of the </w:t>
      </w:r>
      <w:r w:rsidR="00192DF1" w:rsidRPr="00A804CC">
        <w:rPr>
          <w:rFonts w:ascii="Arial" w:hAnsi="Arial" w:cs="Arial"/>
          <w:i/>
          <w:iCs/>
          <w:sz w:val="20"/>
          <w:szCs w:val="20"/>
        </w:rPr>
        <w:t>Plaintiff</w:t>
      </w:r>
      <w:r w:rsidRPr="00A804CC">
        <w:rPr>
          <w:rFonts w:ascii="Arial" w:hAnsi="Arial" w:cs="Arial"/>
          <w:i/>
          <w:iCs/>
          <w:sz w:val="20"/>
          <w:szCs w:val="20"/>
        </w:rPr>
        <w:t xml:space="preserve"> to procure services from the First Defendant, under Contract No. SCM142/S was incorrect or unlawful, (which is denied) the Plaintiff was obliged to have initiated Review Proceedings in terms of the PAJA and/or the Principle of Legality to set aside </w:t>
      </w:r>
      <w:proofErr w:type="spellStart"/>
      <w:r w:rsidRPr="00A804CC">
        <w:rPr>
          <w:rFonts w:ascii="Arial" w:hAnsi="Arial" w:cs="Arial"/>
          <w:i/>
          <w:iCs/>
          <w:sz w:val="20"/>
          <w:szCs w:val="20"/>
        </w:rPr>
        <w:t>it</w:t>
      </w:r>
      <w:proofErr w:type="spellEnd"/>
      <w:r w:rsidRPr="00A804CC">
        <w:rPr>
          <w:rFonts w:ascii="Arial" w:hAnsi="Arial" w:cs="Arial"/>
          <w:i/>
          <w:iCs/>
          <w:sz w:val="20"/>
          <w:szCs w:val="20"/>
        </w:rPr>
        <w:t xml:space="preserve"> own alleged unlawful administrative </w:t>
      </w:r>
      <w:proofErr w:type="gramStart"/>
      <w:r w:rsidRPr="00A804CC">
        <w:rPr>
          <w:rFonts w:ascii="Arial" w:hAnsi="Arial" w:cs="Arial"/>
          <w:i/>
          <w:iCs/>
          <w:sz w:val="20"/>
          <w:szCs w:val="20"/>
        </w:rPr>
        <w:t>actions;</w:t>
      </w:r>
      <w:proofErr w:type="gramEnd"/>
    </w:p>
    <w:p w14:paraId="6FCE1862" w14:textId="2B924395" w:rsidR="00A804CC" w:rsidRPr="00A804CC" w:rsidRDefault="00A804CC" w:rsidP="00A804CC">
      <w:pPr>
        <w:pStyle w:val="ListParagraph"/>
        <w:spacing w:after="0" w:line="360" w:lineRule="auto"/>
        <w:ind w:left="2160" w:hanging="724"/>
        <w:jc w:val="both"/>
        <w:rPr>
          <w:rFonts w:ascii="Arial" w:hAnsi="Arial" w:cs="Arial"/>
          <w:i/>
          <w:iCs/>
          <w:sz w:val="20"/>
          <w:szCs w:val="20"/>
        </w:rPr>
      </w:pPr>
      <w:r w:rsidRPr="00A804CC">
        <w:rPr>
          <w:rFonts w:ascii="Arial" w:hAnsi="Arial" w:cs="Arial"/>
          <w:i/>
          <w:iCs/>
          <w:sz w:val="20"/>
          <w:szCs w:val="20"/>
        </w:rPr>
        <w:lastRenderedPageBreak/>
        <w:t>2.3</w:t>
      </w:r>
      <w:r w:rsidRPr="00A804CC">
        <w:rPr>
          <w:rFonts w:ascii="Arial" w:hAnsi="Arial" w:cs="Arial"/>
          <w:i/>
          <w:iCs/>
          <w:sz w:val="20"/>
          <w:szCs w:val="20"/>
        </w:rPr>
        <w:tab/>
        <w:t xml:space="preserve">until such time as the Plaintiff’s alleged unlawful administrative actions have been set aside, the administrative actions are </w:t>
      </w:r>
      <w:proofErr w:type="gramStart"/>
      <w:r w:rsidRPr="00A804CC">
        <w:rPr>
          <w:rFonts w:ascii="Arial" w:hAnsi="Arial" w:cs="Arial"/>
          <w:i/>
          <w:iCs/>
          <w:sz w:val="20"/>
          <w:szCs w:val="20"/>
        </w:rPr>
        <w:t>extant;</w:t>
      </w:r>
      <w:proofErr w:type="gramEnd"/>
    </w:p>
    <w:p w14:paraId="1F0E666E" w14:textId="77777777" w:rsidR="00A804CC" w:rsidRDefault="00A804CC" w:rsidP="00A804CC">
      <w:pPr>
        <w:pStyle w:val="ListParagraph"/>
        <w:spacing w:after="0" w:line="360" w:lineRule="auto"/>
        <w:ind w:left="2160" w:hanging="724"/>
        <w:jc w:val="both"/>
        <w:rPr>
          <w:rFonts w:ascii="Arial" w:hAnsi="Arial" w:cs="Arial"/>
          <w:i/>
          <w:iCs/>
          <w:sz w:val="20"/>
          <w:szCs w:val="20"/>
        </w:rPr>
      </w:pPr>
    </w:p>
    <w:p w14:paraId="3B08DCD3" w14:textId="5ACA543C" w:rsidR="00A804CC" w:rsidRDefault="00A804CC" w:rsidP="00A804CC">
      <w:pPr>
        <w:pStyle w:val="ListParagraph"/>
        <w:spacing w:after="0" w:line="360" w:lineRule="auto"/>
        <w:ind w:left="2160" w:hanging="724"/>
        <w:jc w:val="both"/>
        <w:rPr>
          <w:rFonts w:ascii="Arial" w:hAnsi="Arial" w:cs="Arial"/>
          <w:sz w:val="24"/>
          <w:szCs w:val="24"/>
        </w:rPr>
      </w:pPr>
      <w:r w:rsidRPr="00A804CC">
        <w:rPr>
          <w:rFonts w:ascii="Arial" w:hAnsi="Arial" w:cs="Arial"/>
          <w:i/>
          <w:iCs/>
          <w:sz w:val="20"/>
          <w:szCs w:val="20"/>
        </w:rPr>
        <w:t>2.4</w:t>
      </w:r>
      <w:r w:rsidRPr="00A804CC">
        <w:rPr>
          <w:rFonts w:ascii="Arial" w:hAnsi="Arial" w:cs="Arial"/>
          <w:i/>
          <w:iCs/>
          <w:sz w:val="20"/>
          <w:szCs w:val="20"/>
        </w:rPr>
        <w:tab/>
        <w:t>the First Defendant accordingly pleads (without making any admissions as to liability) that until such time as the Plaintiff has reviewed and set aside the alleged unlawful administrative actions, the Plaintiff has not sustained any damages viz the First Defendant and as such, has no claim against the First Defendant.”</w:t>
      </w:r>
      <w:r>
        <w:rPr>
          <w:rFonts w:ascii="Arial" w:hAnsi="Arial" w:cs="Arial"/>
          <w:sz w:val="24"/>
          <w:szCs w:val="24"/>
        </w:rPr>
        <w:tab/>
      </w:r>
    </w:p>
    <w:p w14:paraId="25FB9689" w14:textId="77777777" w:rsidR="00A804CC" w:rsidRDefault="00A804CC" w:rsidP="00540550">
      <w:pPr>
        <w:pStyle w:val="ListParagraph"/>
        <w:spacing w:after="0" w:line="480" w:lineRule="auto"/>
        <w:ind w:left="851"/>
        <w:jc w:val="both"/>
        <w:rPr>
          <w:rFonts w:ascii="Arial" w:hAnsi="Arial" w:cs="Arial"/>
          <w:sz w:val="24"/>
          <w:szCs w:val="24"/>
        </w:rPr>
      </w:pPr>
    </w:p>
    <w:p w14:paraId="6F641EBE" w14:textId="6C50E442" w:rsidR="00534309"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A21ED7" w:rsidRPr="00862308">
        <w:rPr>
          <w:rFonts w:ascii="Arial" w:hAnsi="Arial" w:cs="Arial"/>
          <w:sz w:val="24"/>
          <w:szCs w:val="24"/>
        </w:rPr>
        <w:t>The speci</w:t>
      </w:r>
      <w:r w:rsidR="00692139" w:rsidRPr="00862308">
        <w:rPr>
          <w:rFonts w:ascii="Arial" w:hAnsi="Arial" w:cs="Arial"/>
          <w:sz w:val="24"/>
          <w:szCs w:val="24"/>
        </w:rPr>
        <w:t>al pleas ar</w:t>
      </w:r>
      <w:r w:rsidR="00A21ED7" w:rsidRPr="00862308">
        <w:rPr>
          <w:rFonts w:ascii="Arial" w:hAnsi="Arial" w:cs="Arial"/>
          <w:sz w:val="24"/>
          <w:szCs w:val="24"/>
        </w:rPr>
        <w:t>e premised on the correctness of the facts</w:t>
      </w:r>
      <w:r w:rsidR="00692139" w:rsidRPr="00862308">
        <w:rPr>
          <w:rFonts w:ascii="Arial" w:hAnsi="Arial" w:cs="Arial"/>
          <w:sz w:val="24"/>
          <w:szCs w:val="24"/>
        </w:rPr>
        <w:t xml:space="preserve"> as</w:t>
      </w:r>
      <w:r w:rsidR="00A21ED7" w:rsidRPr="00862308">
        <w:rPr>
          <w:rFonts w:ascii="Arial" w:hAnsi="Arial" w:cs="Arial"/>
          <w:sz w:val="24"/>
          <w:szCs w:val="24"/>
        </w:rPr>
        <w:t xml:space="preserve"> pleaded by the plaintiff in its particulars of claim</w:t>
      </w:r>
      <w:r w:rsidR="00692139" w:rsidRPr="00862308">
        <w:rPr>
          <w:rFonts w:ascii="Arial" w:hAnsi="Arial" w:cs="Arial"/>
          <w:sz w:val="24"/>
          <w:szCs w:val="24"/>
        </w:rPr>
        <w:t xml:space="preserve"> and</w:t>
      </w:r>
      <w:r w:rsidR="009C2C75" w:rsidRPr="00862308">
        <w:rPr>
          <w:rFonts w:ascii="Arial" w:hAnsi="Arial" w:cs="Arial"/>
          <w:sz w:val="24"/>
          <w:szCs w:val="24"/>
        </w:rPr>
        <w:t xml:space="preserve"> are</w:t>
      </w:r>
      <w:r w:rsidR="000236EE" w:rsidRPr="00862308">
        <w:rPr>
          <w:rFonts w:ascii="Arial" w:hAnsi="Arial" w:cs="Arial"/>
          <w:sz w:val="24"/>
          <w:szCs w:val="24"/>
        </w:rPr>
        <w:t>,</w:t>
      </w:r>
      <w:r w:rsidR="009C2C75" w:rsidRPr="00862308">
        <w:rPr>
          <w:rFonts w:ascii="Arial" w:hAnsi="Arial" w:cs="Arial"/>
          <w:sz w:val="24"/>
          <w:szCs w:val="24"/>
        </w:rPr>
        <w:t xml:space="preserve"> </w:t>
      </w:r>
      <w:r w:rsidR="00692139" w:rsidRPr="00862308">
        <w:rPr>
          <w:rFonts w:ascii="Arial" w:hAnsi="Arial" w:cs="Arial"/>
          <w:sz w:val="24"/>
          <w:szCs w:val="24"/>
        </w:rPr>
        <w:t xml:space="preserve">in essence, as follows.  </w:t>
      </w:r>
    </w:p>
    <w:p w14:paraId="7598B030" w14:textId="77777777" w:rsidR="00692139" w:rsidRDefault="00692139" w:rsidP="00692139">
      <w:pPr>
        <w:pStyle w:val="ListParagraph"/>
        <w:spacing w:after="0" w:line="480" w:lineRule="auto"/>
        <w:ind w:left="851"/>
        <w:jc w:val="both"/>
        <w:rPr>
          <w:rFonts w:ascii="Arial" w:hAnsi="Arial" w:cs="Arial"/>
          <w:sz w:val="24"/>
          <w:szCs w:val="24"/>
        </w:rPr>
      </w:pPr>
    </w:p>
    <w:p w14:paraId="4985198A" w14:textId="5DA2C9BE" w:rsidR="00BC57BB"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BC57BB" w:rsidRPr="00862308">
        <w:rPr>
          <w:rFonts w:ascii="Arial" w:hAnsi="Arial" w:cs="Arial"/>
          <w:sz w:val="24"/>
          <w:szCs w:val="24"/>
        </w:rPr>
        <w:t>On 28 March 2012, the plaintiff invited tenders under Contract Enquiry Number SCM142/S/2011-2012 for the “</w:t>
      </w:r>
      <w:r w:rsidR="00BC57BB" w:rsidRPr="00862308">
        <w:rPr>
          <w:rFonts w:ascii="Arial" w:hAnsi="Arial" w:cs="Arial"/>
          <w:i/>
          <w:iCs/>
          <w:sz w:val="24"/>
          <w:szCs w:val="24"/>
        </w:rPr>
        <w:t>Supply, Installation and Maintenance of Enterprise Facilities Management System and Related Services</w:t>
      </w:r>
      <w:r w:rsidR="00BC57BB" w:rsidRPr="00862308">
        <w:rPr>
          <w:rFonts w:ascii="Arial" w:hAnsi="Arial" w:cs="Arial"/>
          <w:sz w:val="24"/>
          <w:szCs w:val="24"/>
        </w:rPr>
        <w:t>.”  On 18 July 2012, the plaintiff advised the first defendant</w:t>
      </w:r>
      <w:r w:rsidR="007F0133" w:rsidRPr="00862308">
        <w:rPr>
          <w:rFonts w:ascii="Arial" w:hAnsi="Arial" w:cs="Arial"/>
          <w:sz w:val="24"/>
          <w:szCs w:val="24"/>
        </w:rPr>
        <w:t>,</w:t>
      </w:r>
      <w:r w:rsidR="00BC57BB" w:rsidRPr="00862308">
        <w:rPr>
          <w:rFonts w:ascii="Arial" w:hAnsi="Arial" w:cs="Arial"/>
          <w:sz w:val="24"/>
          <w:szCs w:val="24"/>
        </w:rPr>
        <w:t xml:space="preserve"> in writing</w:t>
      </w:r>
      <w:r w:rsidR="007F0133" w:rsidRPr="00862308">
        <w:rPr>
          <w:rFonts w:ascii="Arial" w:hAnsi="Arial" w:cs="Arial"/>
          <w:sz w:val="24"/>
          <w:szCs w:val="24"/>
        </w:rPr>
        <w:t>, of the acceptance of the first defendant’s tender “</w:t>
      </w:r>
      <w:r w:rsidR="007F0133" w:rsidRPr="00862308">
        <w:rPr>
          <w:rFonts w:ascii="Arial" w:hAnsi="Arial" w:cs="Arial"/>
          <w:i/>
          <w:iCs/>
          <w:sz w:val="24"/>
          <w:szCs w:val="24"/>
        </w:rPr>
        <w:t xml:space="preserve">subject to the signature by the NMBM and the contractor </w:t>
      </w:r>
      <w:r w:rsidR="007F0133" w:rsidRPr="00862308">
        <w:rPr>
          <w:rFonts w:ascii="Arial" w:hAnsi="Arial" w:cs="Arial"/>
          <w:sz w:val="24"/>
          <w:szCs w:val="24"/>
        </w:rPr>
        <w:t>[being the first defendant]</w:t>
      </w:r>
      <w:r w:rsidR="007F0133" w:rsidRPr="00862308">
        <w:rPr>
          <w:rFonts w:ascii="Arial" w:hAnsi="Arial" w:cs="Arial"/>
          <w:i/>
          <w:iCs/>
          <w:sz w:val="24"/>
          <w:szCs w:val="24"/>
        </w:rPr>
        <w:t xml:space="preserve"> of a formal contract regarding all terms of the agreement between the parties.</w:t>
      </w:r>
      <w:r w:rsidR="007F0133" w:rsidRPr="00862308">
        <w:rPr>
          <w:rFonts w:ascii="Arial" w:hAnsi="Arial" w:cs="Arial"/>
          <w:sz w:val="24"/>
          <w:szCs w:val="24"/>
        </w:rPr>
        <w:t>”</w:t>
      </w:r>
      <w:r w:rsidR="00BC57BB" w:rsidRPr="00862308">
        <w:rPr>
          <w:rFonts w:ascii="Arial" w:hAnsi="Arial" w:cs="Arial"/>
          <w:sz w:val="24"/>
          <w:szCs w:val="24"/>
        </w:rPr>
        <w:t xml:space="preserve"> </w:t>
      </w:r>
      <w:r w:rsidR="00692139" w:rsidRPr="00862308">
        <w:rPr>
          <w:rFonts w:ascii="Arial" w:hAnsi="Arial" w:cs="Arial"/>
          <w:sz w:val="24"/>
          <w:szCs w:val="24"/>
        </w:rPr>
        <w:t xml:space="preserve"> Despite the award of the aforesaid tender to the first defendant, no formal contract was executed by the plaintiff and the first defendant. </w:t>
      </w:r>
      <w:r w:rsidR="000E1AF8" w:rsidRPr="00862308">
        <w:rPr>
          <w:rFonts w:ascii="Arial" w:hAnsi="Arial" w:cs="Arial"/>
          <w:sz w:val="24"/>
          <w:szCs w:val="24"/>
        </w:rPr>
        <w:t xml:space="preserve"> I pause to mention that the existence of such contract remains in dispute on the pleadings and is not an issue which I am called upon to determine in these proceedings.</w:t>
      </w:r>
    </w:p>
    <w:p w14:paraId="193886B3" w14:textId="77777777" w:rsidR="00E524A7" w:rsidRDefault="00E524A7" w:rsidP="00E524A7">
      <w:pPr>
        <w:pStyle w:val="ListParagraph"/>
        <w:spacing w:after="0" w:line="480" w:lineRule="auto"/>
        <w:ind w:left="851"/>
        <w:jc w:val="both"/>
        <w:rPr>
          <w:rFonts w:ascii="Arial" w:hAnsi="Arial" w:cs="Arial"/>
          <w:sz w:val="24"/>
          <w:szCs w:val="24"/>
        </w:rPr>
      </w:pPr>
    </w:p>
    <w:p w14:paraId="0CF88064" w14:textId="14BAC241" w:rsidR="00BC57BB"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0B431A" w:rsidRPr="00862308">
        <w:rPr>
          <w:rFonts w:ascii="Arial" w:hAnsi="Arial" w:cs="Arial"/>
          <w:sz w:val="24"/>
          <w:szCs w:val="24"/>
        </w:rPr>
        <w:t xml:space="preserve">Pursuant </w:t>
      </w:r>
      <w:r w:rsidR="00A71394" w:rsidRPr="00862308">
        <w:rPr>
          <w:rFonts w:ascii="Arial" w:hAnsi="Arial" w:cs="Arial"/>
          <w:sz w:val="24"/>
          <w:szCs w:val="24"/>
        </w:rPr>
        <w:t xml:space="preserve">to </w:t>
      </w:r>
      <w:r w:rsidR="000B431A" w:rsidRPr="00862308">
        <w:rPr>
          <w:rFonts w:ascii="Arial" w:hAnsi="Arial" w:cs="Arial"/>
          <w:sz w:val="24"/>
          <w:szCs w:val="24"/>
        </w:rPr>
        <w:t>the award of the tender, the plaintiff gave instructions to the first defendant to undertake work, provide services and/or to supply goods to the plaintiff</w:t>
      </w:r>
      <w:r w:rsidR="00126410" w:rsidRPr="00862308">
        <w:rPr>
          <w:rFonts w:ascii="Arial" w:hAnsi="Arial" w:cs="Arial"/>
          <w:sz w:val="24"/>
          <w:szCs w:val="24"/>
        </w:rPr>
        <w:t>.</w:t>
      </w:r>
      <w:r w:rsidR="000E1AF8" w:rsidRPr="00862308">
        <w:rPr>
          <w:rFonts w:ascii="Arial" w:hAnsi="Arial" w:cs="Arial"/>
          <w:sz w:val="24"/>
          <w:szCs w:val="24"/>
        </w:rPr>
        <w:t xml:space="preserve">  </w:t>
      </w:r>
      <w:r w:rsidR="00A23443" w:rsidRPr="00862308">
        <w:rPr>
          <w:rFonts w:ascii="Arial" w:hAnsi="Arial" w:cs="Arial"/>
          <w:sz w:val="24"/>
          <w:szCs w:val="24"/>
        </w:rPr>
        <w:t xml:space="preserve">In doing so, the plaintiff utilised contract number SCM142/S.  The </w:t>
      </w:r>
      <w:r w:rsidR="00A23443" w:rsidRPr="00862308">
        <w:rPr>
          <w:rFonts w:ascii="Arial" w:hAnsi="Arial" w:cs="Arial"/>
          <w:sz w:val="24"/>
          <w:szCs w:val="24"/>
        </w:rPr>
        <w:lastRenderedPageBreak/>
        <w:t>further defendants facilitated payment of the first defendant’s invoices rendered under contract number SCM142/S.</w:t>
      </w:r>
      <w:r w:rsidR="000B431A" w:rsidRPr="00862308">
        <w:rPr>
          <w:rFonts w:ascii="Arial" w:hAnsi="Arial" w:cs="Arial"/>
          <w:sz w:val="24"/>
          <w:szCs w:val="24"/>
        </w:rPr>
        <w:t xml:space="preserve"> </w:t>
      </w:r>
    </w:p>
    <w:p w14:paraId="7BDC4A4C" w14:textId="77777777" w:rsidR="00A23443" w:rsidRPr="00A23443" w:rsidRDefault="00A23443" w:rsidP="00CB60C3">
      <w:pPr>
        <w:pStyle w:val="ListParagraph"/>
        <w:spacing w:after="0" w:line="480" w:lineRule="auto"/>
        <w:rPr>
          <w:rFonts w:ascii="Arial" w:hAnsi="Arial" w:cs="Arial"/>
          <w:sz w:val="24"/>
          <w:szCs w:val="24"/>
        </w:rPr>
      </w:pPr>
    </w:p>
    <w:p w14:paraId="7B7613A3" w14:textId="5397B28C" w:rsidR="00A23443"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85791F" w:rsidRPr="00862308">
        <w:rPr>
          <w:rFonts w:ascii="Arial" w:hAnsi="Arial" w:cs="Arial"/>
          <w:sz w:val="24"/>
          <w:szCs w:val="24"/>
        </w:rPr>
        <w:t>I</w:t>
      </w:r>
      <w:r w:rsidR="00A23443" w:rsidRPr="00862308">
        <w:rPr>
          <w:rFonts w:ascii="Arial" w:hAnsi="Arial" w:cs="Arial"/>
          <w:sz w:val="24"/>
          <w:szCs w:val="24"/>
        </w:rPr>
        <w:t xml:space="preserve">t is apposite at this juncture to record that </w:t>
      </w:r>
      <w:r w:rsidR="00734FBF" w:rsidRPr="00862308">
        <w:rPr>
          <w:rFonts w:ascii="Arial" w:hAnsi="Arial" w:cs="Arial"/>
          <w:sz w:val="24"/>
          <w:szCs w:val="24"/>
        </w:rPr>
        <w:t xml:space="preserve">the </w:t>
      </w:r>
      <w:r w:rsidR="0085791F" w:rsidRPr="00862308">
        <w:rPr>
          <w:rFonts w:ascii="Arial" w:hAnsi="Arial" w:cs="Arial"/>
          <w:sz w:val="24"/>
          <w:szCs w:val="24"/>
        </w:rPr>
        <w:t>further defendants are either, former employees of the plaintiff; alternatively, are still in the plaintiff’s employ. The s</w:t>
      </w:r>
      <w:r w:rsidR="00734FBF" w:rsidRPr="00862308">
        <w:rPr>
          <w:rFonts w:ascii="Arial" w:hAnsi="Arial" w:cs="Arial"/>
          <w:sz w:val="24"/>
          <w:szCs w:val="24"/>
        </w:rPr>
        <w:t>econd defendant was formerly employed by the plaintiff as the Project Manager: Integrated Public Transport System.  The third defendant is employed by the plaintiff as its Chief Financial Officer.  The fourth defendant,</w:t>
      </w:r>
      <w:r w:rsidR="00F42F17">
        <w:rPr>
          <w:rStyle w:val="FootnoteReference"/>
          <w:rFonts w:ascii="Arial" w:hAnsi="Arial" w:cs="Arial"/>
          <w:sz w:val="24"/>
          <w:szCs w:val="24"/>
        </w:rPr>
        <w:footnoteReference w:id="5"/>
      </w:r>
      <w:r w:rsidR="00734FBF" w:rsidRPr="00862308">
        <w:rPr>
          <w:rFonts w:ascii="Arial" w:hAnsi="Arial" w:cs="Arial"/>
          <w:sz w:val="24"/>
          <w:szCs w:val="24"/>
        </w:rPr>
        <w:t xml:space="preserve"> prior to his demise, was</w:t>
      </w:r>
      <w:r w:rsidR="00F42F17" w:rsidRPr="00862308">
        <w:rPr>
          <w:rFonts w:ascii="Arial" w:hAnsi="Arial" w:cs="Arial"/>
          <w:sz w:val="24"/>
          <w:szCs w:val="24"/>
        </w:rPr>
        <w:t xml:space="preserve"> employed by the plaintiff as its </w:t>
      </w:r>
      <w:proofErr w:type="gramStart"/>
      <w:r w:rsidR="00F42F17" w:rsidRPr="00862308">
        <w:rPr>
          <w:rFonts w:ascii="Arial" w:hAnsi="Arial" w:cs="Arial"/>
          <w:sz w:val="24"/>
          <w:szCs w:val="24"/>
        </w:rPr>
        <w:t>Director</w:t>
      </w:r>
      <w:proofErr w:type="gramEnd"/>
      <w:r w:rsidR="00F42F17" w:rsidRPr="00862308">
        <w:rPr>
          <w:rFonts w:ascii="Arial" w:hAnsi="Arial" w:cs="Arial"/>
          <w:sz w:val="24"/>
          <w:szCs w:val="24"/>
        </w:rPr>
        <w:t xml:space="preserve">: Facilities.  The fifth defendant succeeded the </w:t>
      </w:r>
      <w:r w:rsidR="003C2608" w:rsidRPr="00862308">
        <w:rPr>
          <w:rFonts w:ascii="Arial" w:hAnsi="Arial" w:cs="Arial"/>
          <w:sz w:val="24"/>
          <w:szCs w:val="24"/>
        </w:rPr>
        <w:t>f</w:t>
      </w:r>
      <w:r w:rsidR="00F42F17" w:rsidRPr="00862308">
        <w:rPr>
          <w:rFonts w:ascii="Arial" w:hAnsi="Arial" w:cs="Arial"/>
          <w:sz w:val="24"/>
          <w:szCs w:val="24"/>
        </w:rPr>
        <w:t xml:space="preserve">ourth Defendant as the Plaintiff’s Director: Facilities.  The sixth defendant is employed by the plaintiff as its Contracts Controller in the Supply Chain Management Unit.  The eighth defendant is employed as the Executive Director: Corporate Administration by the plaintiff. </w:t>
      </w:r>
      <w:r w:rsidR="00734FBF" w:rsidRPr="00862308">
        <w:rPr>
          <w:rFonts w:ascii="Arial" w:hAnsi="Arial" w:cs="Arial"/>
          <w:sz w:val="24"/>
          <w:szCs w:val="24"/>
        </w:rPr>
        <w:t xml:space="preserve">  </w:t>
      </w:r>
    </w:p>
    <w:p w14:paraId="1DECB4A8" w14:textId="77777777" w:rsidR="00C27C99" w:rsidRPr="00C27C99" w:rsidRDefault="00C27C99" w:rsidP="00C27C99">
      <w:pPr>
        <w:pStyle w:val="ListParagraph"/>
        <w:spacing w:after="0" w:line="480" w:lineRule="auto"/>
        <w:rPr>
          <w:rFonts w:ascii="Arial" w:hAnsi="Arial" w:cs="Arial"/>
          <w:sz w:val="24"/>
          <w:szCs w:val="24"/>
        </w:rPr>
      </w:pPr>
    </w:p>
    <w:p w14:paraId="14100A93" w14:textId="0F9F88C4" w:rsidR="00CF6DCA"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4A41CC" w:rsidRPr="00862308">
        <w:rPr>
          <w:rFonts w:ascii="Arial" w:hAnsi="Arial" w:cs="Arial"/>
          <w:sz w:val="24"/>
          <w:szCs w:val="24"/>
        </w:rPr>
        <w:t xml:space="preserve">The plaintiff </w:t>
      </w:r>
      <w:r w:rsidR="000F7E19" w:rsidRPr="00862308">
        <w:rPr>
          <w:rFonts w:ascii="Arial" w:hAnsi="Arial" w:cs="Arial"/>
          <w:sz w:val="24"/>
          <w:szCs w:val="24"/>
        </w:rPr>
        <w:t xml:space="preserve">takes issue with the </w:t>
      </w:r>
      <w:proofErr w:type="gramStart"/>
      <w:r w:rsidR="000F7E19" w:rsidRPr="00862308">
        <w:rPr>
          <w:rFonts w:ascii="Arial" w:hAnsi="Arial" w:cs="Arial"/>
          <w:sz w:val="24"/>
          <w:szCs w:val="24"/>
        </w:rPr>
        <w:t>manner in which</w:t>
      </w:r>
      <w:proofErr w:type="gramEnd"/>
      <w:r w:rsidR="000F7E19" w:rsidRPr="00862308">
        <w:rPr>
          <w:rFonts w:ascii="Arial" w:hAnsi="Arial" w:cs="Arial"/>
          <w:sz w:val="24"/>
          <w:szCs w:val="24"/>
        </w:rPr>
        <w:t xml:space="preserve"> the facts</w:t>
      </w:r>
      <w:r w:rsidR="000524B1" w:rsidRPr="00862308">
        <w:rPr>
          <w:rFonts w:ascii="Arial" w:hAnsi="Arial" w:cs="Arial"/>
          <w:sz w:val="24"/>
          <w:szCs w:val="24"/>
        </w:rPr>
        <w:t>,</w:t>
      </w:r>
      <w:r w:rsidR="000F7E19" w:rsidRPr="00862308">
        <w:rPr>
          <w:rFonts w:ascii="Arial" w:hAnsi="Arial" w:cs="Arial"/>
          <w:sz w:val="24"/>
          <w:szCs w:val="24"/>
        </w:rPr>
        <w:t xml:space="preserve"> as pleaded by the plaintiff</w:t>
      </w:r>
      <w:r w:rsidR="000524B1" w:rsidRPr="00862308">
        <w:rPr>
          <w:rFonts w:ascii="Arial" w:hAnsi="Arial" w:cs="Arial"/>
          <w:sz w:val="24"/>
          <w:szCs w:val="24"/>
        </w:rPr>
        <w:t>,</w:t>
      </w:r>
      <w:r w:rsidR="000F7E19" w:rsidRPr="00862308">
        <w:rPr>
          <w:rFonts w:ascii="Arial" w:hAnsi="Arial" w:cs="Arial"/>
          <w:sz w:val="24"/>
          <w:szCs w:val="24"/>
        </w:rPr>
        <w:t xml:space="preserve"> have been paraphrased by the defendants in their respective special pleas.  </w:t>
      </w:r>
      <w:r w:rsidR="000E7655" w:rsidRPr="00862308">
        <w:rPr>
          <w:rFonts w:ascii="Arial" w:hAnsi="Arial" w:cs="Arial"/>
          <w:sz w:val="24"/>
          <w:szCs w:val="24"/>
        </w:rPr>
        <w:t>The plaintiff avers, for example, that insofar as the second and fourth defendants record that the plaintiff’s “</w:t>
      </w:r>
      <w:r w:rsidR="000E7655" w:rsidRPr="00862308">
        <w:rPr>
          <w:rFonts w:ascii="Arial" w:hAnsi="Arial" w:cs="Arial"/>
          <w:i/>
          <w:iCs/>
          <w:sz w:val="24"/>
          <w:szCs w:val="24"/>
        </w:rPr>
        <w:t>decision</w:t>
      </w:r>
      <w:r w:rsidR="000E7655" w:rsidRPr="00862308">
        <w:rPr>
          <w:rFonts w:ascii="Arial" w:hAnsi="Arial" w:cs="Arial"/>
          <w:sz w:val="24"/>
          <w:szCs w:val="24"/>
        </w:rPr>
        <w:t>” to procure services from the first defendant, under contract number SCM142/S,</w:t>
      </w:r>
      <w:r w:rsidR="000524B1" w:rsidRPr="00862308">
        <w:rPr>
          <w:rFonts w:ascii="Arial" w:hAnsi="Arial" w:cs="Arial"/>
          <w:sz w:val="24"/>
          <w:szCs w:val="24"/>
        </w:rPr>
        <w:t xml:space="preserve"> constitutes administrative action,</w:t>
      </w:r>
      <w:r w:rsidR="000E7655" w:rsidRPr="00862308">
        <w:rPr>
          <w:rFonts w:ascii="Arial" w:hAnsi="Arial" w:cs="Arial"/>
          <w:sz w:val="24"/>
          <w:szCs w:val="24"/>
        </w:rPr>
        <w:t xml:space="preserve"> the plaintiff did not plead any such decision.</w:t>
      </w:r>
      <w:r w:rsidR="00E325B1">
        <w:rPr>
          <w:rStyle w:val="FootnoteReference"/>
          <w:rFonts w:ascii="Arial" w:hAnsi="Arial" w:cs="Arial"/>
          <w:sz w:val="24"/>
          <w:szCs w:val="24"/>
        </w:rPr>
        <w:footnoteReference w:id="6"/>
      </w:r>
      <w:r w:rsidR="000524B1" w:rsidRPr="00862308">
        <w:rPr>
          <w:rFonts w:ascii="Arial" w:hAnsi="Arial" w:cs="Arial"/>
          <w:sz w:val="24"/>
          <w:szCs w:val="24"/>
        </w:rPr>
        <w:t xml:space="preserve">  </w:t>
      </w:r>
      <w:r w:rsidR="006B3A13" w:rsidRPr="00862308">
        <w:rPr>
          <w:rFonts w:ascii="Arial" w:hAnsi="Arial" w:cs="Arial"/>
          <w:sz w:val="24"/>
          <w:szCs w:val="24"/>
        </w:rPr>
        <w:t>Similarly</w:t>
      </w:r>
      <w:r w:rsidR="000524B1" w:rsidRPr="00862308">
        <w:rPr>
          <w:rFonts w:ascii="Arial" w:hAnsi="Arial" w:cs="Arial"/>
          <w:sz w:val="24"/>
          <w:szCs w:val="24"/>
        </w:rPr>
        <w:t>, insofar as the first defendant contends that it was averred by the plaintiff that it “</w:t>
      </w:r>
      <w:r w:rsidR="000524B1" w:rsidRPr="00862308">
        <w:rPr>
          <w:rFonts w:ascii="Arial" w:hAnsi="Arial" w:cs="Arial"/>
          <w:i/>
          <w:iCs/>
          <w:sz w:val="24"/>
          <w:szCs w:val="24"/>
        </w:rPr>
        <w:t>utilised</w:t>
      </w:r>
      <w:r w:rsidR="000524B1" w:rsidRPr="00862308">
        <w:rPr>
          <w:rFonts w:ascii="Arial" w:hAnsi="Arial" w:cs="Arial"/>
          <w:sz w:val="24"/>
          <w:szCs w:val="24"/>
        </w:rPr>
        <w:t xml:space="preserve">” </w:t>
      </w:r>
      <w:r w:rsidR="00E13766" w:rsidRPr="00862308">
        <w:rPr>
          <w:rFonts w:ascii="Arial" w:hAnsi="Arial" w:cs="Arial"/>
          <w:sz w:val="24"/>
          <w:szCs w:val="24"/>
        </w:rPr>
        <w:t xml:space="preserve">contract number SCM142/S to procure goods and services from the first </w:t>
      </w:r>
      <w:r w:rsidR="00E13766" w:rsidRPr="00862308">
        <w:rPr>
          <w:rFonts w:ascii="Arial" w:hAnsi="Arial" w:cs="Arial"/>
          <w:sz w:val="24"/>
          <w:szCs w:val="24"/>
        </w:rPr>
        <w:lastRenderedPageBreak/>
        <w:t xml:space="preserve">defendant, </w:t>
      </w:r>
      <w:r w:rsidR="00002B34" w:rsidRPr="00862308">
        <w:rPr>
          <w:rFonts w:ascii="Arial" w:hAnsi="Arial" w:cs="Arial"/>
          <w:sz w:val="24"/>
          <w:szCs w:val="24"/>
        </w:rPr>
        <w:t>no such decision is pleaded.</w:t>
      </w:r>
      <w:r w:rsidR="00B930D0" w:rsidRPr="00862308">
        <w:rPr>
          <w:rFonts w:ascii="Arial" w:hAnsi="Arial" w:cs="Arial"/>
          <w:sz w:val="24"/>
          <w:szCs w:val="24"/>
        </w:rPr>
        <w:t xml:space="preserve">  </w:t>
      </w:r>
      <w:r w:rsidR="00AF2DFF" w:rsidRPr="00862308">
        <w:rPr>
          <w:rFonts w:ascii="Arial" w:hAnsi="Arial" w:cs="Arial"/>
          <w:sz w:val="24"/>
          <w:szCs w:val="24"/>
        </w:rPr>
        <w:t>Accordingly, t</w:t>
      </w:r>
      <w:r w:rsidR="00B930D0" w:rsidRPr="00862308">
        <w:rPr>
          <w:rFonts w:ascii="Arial" w:hAnsi="Arial" w:cs="Arial"/>
          <w:sz w:val="24"/>
          <w:szCs w:val="24"/>
        </w:rPr>
        <w:t xml:space="preserve">he plaintiff </w:t>
      </w:r>
      <w:r w:rsidR="00003F2F" w:rsidRPr="00862308">
        <w:rPr>
          <w:rFonts w:ascii="Arial" w:hAnsi="Arial" w:cs="Arial"/>
          <w:sz w:val="24"/>
          <w:szCs w:val="24"/>
        </w:rPr>
        <w:t>contends</w:t>
      </w:r>
      <w:r w:rsidR="00B930D0" w:rsidRPr="00862308">
        <w:rPr>
          <w:rFonts w:ascii="Arial" w:hAnsi="Arial" w:cs="Arial"/>
          <w:sz w:val="24"/>
          <w:szCs w:val="24"/>
        </w:rPr>
        <w:t xml:space="preserve"> that </w:t>
      </w:r>
      <w:proofErr w:type="gramStart"/>
      <w:r w:rsidR="00E524A7" w:rsidRPr="00862308">
        <w:rPr>
          <w:rFonts w:ascii="Arial" w:hAnsi="Arial" w:cs="Arial"/>
          <w:sz w:val="24"/>
          <w:szCs w:val="24"/>
        </w:rPr>
        <w:t>inasmuch as</w:t>
      </w:r>
      <w:proofErr w:type="gramEnd"/>
      <w:r w:rsidR="00E524A7" w:rsidRPr="00862308">
        <w:rPr>
          <w:rFonts w:ascii="Arial" w:hAnsi="Arial" w:cs="Arial"/>
          <w:sz w:val="24"/>
          <w:szCs w:val="24"/>
        </w:rPr>
        <w:t xml:space="preserve"> the </w:t>
      </w:r>
      <w:r w:rsidR="00B930D0" w:rsidRPr="00862308">
        <w:rPr>
          <w:rFonts w:ascii="Arial" w:hAnsi="Arial" w:cs="Arial"/>
          <w:sz w:val="24"/>
          <w:szCs w:val="24"/>
        </w:rPr>
        <w:t xml:space="preserve">defendants </w:t>
      </w:r>
      <w:r w:rsidR="00E524A7" w:rsidRPr="00862308">
        <w:rPr>
          <w:rFonts w:ascii="Arial" w:hAnsi="Arial" w:cs="Arial"/>
          <w:sz w:val="24"/>
          <w:szCs w:val="24"/>
        </w:rPr>
        <w:t xml:space="preserve">conclude </w:t>
      </w:r>
      <w:r w:rsidR="00B930D0" w:rsidRPr="00862308">
        <w:rPr>
          <w:rFonts w:ascii="Arial" w:hAnsi="Arial" w:cs="Arial"/>
          <w:sz w:val="24"/>
          <w:szCs w:val="24"/>
        </w:rPr>
        <w:t xml:space="preserve">that the plaintiff pleaded a decision, which it did not, such </w:t>
      </w:r>
      <w:r w:rsidR="00ED7F86" w:rsidRPr="00862308">
        <w:rPr>
          <w:rFonts w:ascii="Arial" w:hAnsi="Arial" w:cs="Arial"/>
          <w:sz w:val="24"/>
          <w:szCs w:val="24"/>
        </w:rPr>
        <w:t xml:space="preserve">decision </w:t>
      </w:r>
      <w:r w:rsidR="00B930D0" w:rsidRPr="00862308">
        <w:rPr>
          <w:rFonts w:ascii="Arial" w:hAnsi="Arial" w:cs="Arial"/>
          <w:sz w:val="24"/>
          <w:szCs w:val="24"/>
        </w:rPr>
        <w:t xml:space="preserve">being a </w:t>
      </w:r>
      <w:r w:rsidR="00B930D0" w:rsidRPr="00862308">
        <w:rPr>
          <w:rFonts w:ascii="Arial" w:hAnsi="Arial" w:cs="Arial"/>
          <w:i/>
          <w:iCs/>
          <w:sz w:val="24"/>
          <w:szCs w:val="24"/>
        </w:rPr>
        <w:t xml:space="preserve">sine qua non </w:t>
      </w:r>
      <w:r w:rsidR="00B930D0" w:rsidRPr="00862308">
        <w:rPr>
          <w:rFonts w:ascii="Arial" w:hAnsi="Arial" w:cs="Arial"/>
          <w:sz w:val="24"/>
          <w:szCs w:val="24"/>
        </w:rPr>
        <w:t xml:space="preserve">of each of the special pleas, </w:t>
      </w:r>
      <w:r w:rsidR="00ED7F86" w:rsidRPr="00862308">
        <w:rPr>
          <w:rFonts w:ascii="Arial" w:hAnsi="Arial" w:cs="Arial"/>
          <w:sz w:val="24"/>
          <w:szCs w:val="24"/>
        </w:rPr>
        <w:t>the special pleas</w:t>
      </w:r>
      <w:r w:rsidR="008E028D" w:rsidRPr="00862308">
        <w:rPr>
          <w:rFonts w:ascii="Arial" w:hAnsi="Arial" w:cs="Arial"/>
          <w:sz w:val="24"/>
          <w:szCs w:val="24"/>
        </w:rPr>
        <w:t xml:space="preserve"> fall to be dismissed </w:t>
      </w:r>
      <w:r w:rsidR="00B930D0" w:rsidRPr="00862308">
        <w:rPr>
          <w:rFonts w:ascii="Arial" w:hAnsi="Arial" w:cs="Arial"/>
          <w:sz w:val="24"/>
          <w:szCs w:val="24"/>
        </w:rPr>
        <w:t>on this ground alone.</w:t>
      </w:r>
      <w:r w:rsidR="00CF6DCA" w:rsidRPr="00862308">
        <w:rPr>
          <w:rFonts w:ascii="Arial" w:hAnsi="Arial" w:cs="Arial"/>
          <w:sz w:val="24"/>
          <w:szCs w:val="24"/>
        </w:rPr>
        <w:t xml:space="preserve">  I </w:t>
      </w:r>
      <w:r w:rsidR="00B44178" w:rsidRPr="00862308">
        <w:rPr>
          <w:rFonts w:ascii="Arial" w:hAnsi="Arial" w:cs="Arial"/>
          <w:sz w:val="24"/>
          <w:szCs w:val="24"/>
        </w:rPr>
        <w:t>do not agree.</w:t>
      </w:r>
    </w:p>
    <w:p w14:paraId="4672663E" w14:textId="77777777" w:rsidR="00CF6DCA" w:rsidRPr="00CF6DCA" w:rsidRDefault="00CF6DCA" w:rsidP="00ED7F86">
      <w:pPr>
        <w:pStyle w:val="ListParagraph"/>
        <w:spacing w:after="0" w:line="480" w:lineRule="auto"/>
        <w:rPr>
          <w:rFonts w:ascii="Arial" w:hAnsi="Arial" w:cs="Arial"/>
          <w:sz w:val="24"/>
          <w:szCs w:val="24"/>
        </w:rPr>
      </w:pPr>
    </w:p>
    <w:p w14:paraId="7025DBE7" w14:textId="3604747F" w:rsidR="000E4CAA"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6257D" w:rsidRPr="00862308">
        <w:rPr>
          <w:rFonts w:ascii="Arial" w:hAnsi="Arial" w:cs="Arial"/>
          <w:sz w:val="24"/>
          <w:szCs w:val="24"/>
        </w:rPr>
        <w:t xml:space="preserve">The </w:t>
      </w:r>
      <w:r w:rsidR="00BD0900" w:rsidRPr="00862308">
        <w:rPr>
          <w:rFonts w:ascii="Arial" w:hAnsi="Arial" w:cs="Arial"/>
          <w:sz w:val="24"/>
          <w:szCs w:val="24"/>
        </w:rPr>
        <w:t xml:space="preserve">main </w:t>
      </w:r>
      <w:r w:rsidR="00E6257D" w:rsidRPr="00862308">
        <w:rPr>
          <w:rFonts w:ascii="Arial" w:hAnsi="Arial" w:cs="Arial"/>
          <w:sz w:val="24"/>
          <w:szCs w:val="24"/>
        </w:rPr>
        <w:t xml:space="preserve">thrust of the plaintiff’s argument </w:t>
      </w:r>
      <w:r w:rsidR="00390C90" w:rsidRPr="00862308">
        <w:rPr>
          <w:rFonts w:ascii="Arial" w:hAnsi="Arial" w:cs="Arial"/>
          <w:sz w:val="24"/>
          <w:szCs w:val="24"/>
        </w:rPr>
        <w:t>is</w:t>
      </w:r>
      <w:r w:rsidR="00E6257D" w:rsidRPr="00862308">
        <w:rPr>
          <w:rFonts w:ascii="Arial" w:hAnsi="Arial" w:cs="Arial"/>
          <w:sz w:val="24"/>
          <w:szCs w:val="24"/>
        </w:rPr>
        <w:t xml:space="preserve"> that after pleading the series of events which occurred after the resolution of the Bid Adjudication Committee, the plaintiff set out various steps taken </w:t>
      </w:r>
      <w:r w:rsidR="00E6257D" w:rsidRPr="00862308">
        <w:rPr>
          <w:rFonts w:ascii="Arial" w:hAnsi="Arial" w:cs="Arial"/>
          <w:i/>
          <w:iCs/>
          <w:sz w:val="24"/>
          <w:szCs w:val="24"/>
        </w:rPr>
        <w:t>inter alia</w:t>
      </w:r>
      <w:r w:rsidR="00E6257D" w:rsidRPr="00862308">
        <w:rPr>
          <w:rFonts w:ascii="Arial" w:hAnsi="Arial" w:cs="Arial"/>
          <w:sz w:val="24"/>
          <w:szCs w:val="24"/>
        </w:rPr>
        <w:t xml:space="preserve"> by the </w:t>
      </w:r>
      <w:r w:rsidR="000E4CAA" w:rsidRPr="00862308">
        <w:rPr>
          <w:rFonts w:ascii="Arial" w:hAnsi="Arial" w:cs="Arial"/>
          <w:sz w:val="24"/>
          <w:szCs w:val="24"/>
        </w:rPr>
        <w:t>defendants.  The plaintiff contends that it did not plead that any one of such steps constituted a decision, nor is it a necessary implication of the facts pleaded.</w:t>
      </w:r>
    </w:p>
    <w:p w14:paraId="77721A89" w14:textId="77777777" w:rsidR="000E4CAA" w:rsidRPr="000E4CAA" w:rsidRDefault="000E4CAA" w:rsidP="001948A5">
      <w:pPr>
        <w:pStyle w:val="ListParagraph"/>
        <w:spacing w:after="0" w:line="480" w:lineRule="auto"/>
        <w:rPr>
          <w:rFonts w:ascii="Arial" w:hAnsi="Arial" w:cs="Arial"/>
          <w:sz w:val="24"/>
          <w:szCs w:val="24"/>
        </w:rPr>
      </w:pPr>
    </w:p>
    <w:p w14:paraId="2C406685" w14:textId="3A43DE3B" w:rsidR="00480E6C"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80E6C" w:rsidRPr="00862308">
        <w:rPr>
          <w:rFonts w:ascii="Arial" w:hAnsi="Arial" w:cs="Arial"/>
          <w:sz w:val="24"/>
          <w:szCs w:val="24"/>
        </w:rPr>
        <w:t>Paragraph 68.3 of the plaintiff’s particulars of claim records as follows:</w:t>
      </w:r>
      <w:r w:rsidR="00480E6C">
        <w:rPr>
          <w:rStyle w:val="FootnoteReference"/>
          <w:rFonts w:ascii="Arial" w:hAnsi="Arial" w:cs="Arial"/>
          <w:sz w:val="24"/>
          <w:szCs w:val="24"/>
        </w:rPr>
        <w:footnoteReference w:id="7"/>
      </w:r>
    </w:p>
    <w:p w14:paraId="3DA9BACF" w14:textId="77777777" w:rsidR="00480E6C" w:rsidRPr="00480E6C" w:rsidRDefault="00480E6C" w:rsidP="00480E6C">
      <w:pPr>
        <w:pStyle w:val="ListParagraph"/>
        <w:rPr>
          <w:rFonts w:ascii="Arial" w:hAnsi="Arial" w:cs="Arial"/>
          <w:sz w:val="24"/>
          <w:szCs w:val="24"/>
        </w:rPr>
      </w:pPr>
    </w:p>
    <w:p w14:paraId="65EC34B6" w14:textId="7C7CC3FF" w:rsidR="004A41CC" w:rsidRDefault="00480E6C" w:rsidP="00480E6C">
      <w:pPr>
        <w:pStyle w:val="ListParagraph"/>
        <w:spacing w:after="0" w:line="360" w:lineRule="auto"/>
        <w:ind w:left="851"/>
        <w:jc w:val="both"/>
        <w:rPr>
          <w:rFonts w:ascii="Arial" w:hAnsi="Arial" w:cs="Arial"/>
          <w:sz w:val="24"/>
          <w:szCs w:val="24"/>
        </w:rPr>
      </w:pPr>
      <w:r>
        <w:rPr>
          <w:rFonts w:ascii="Arial" w:hAnsi="Arial" w:cs="Arial"/>
          <w:sz w:val="24"/>
          <w:szCs w:val="24"/>
        </w:rPr>
        <w:t>“</w:t>
      </w:r>
      <w:proofErr w:type="gramStart"/>
      <w:r w:rsidRPr="00480E6C">
        <w:rPr>
          <w:rFonts w:ascii="Arial" w:hAnsi="Arial" w:cs="Arial"/>
          <w:i/>
          <w:iCs/>
          <w:sz w:val="20"/>
          <w:szCs w:val="20"/>
          <w:lang w:val="en-US"/>
        </w:rPr>
        <w:t>all</w:t>
      </w:r>
      <w:proofErr w:type="gramEnd"/>
      <w:r w:rsidRPr="00480E6C">
        <w:rPr>
          <w:rFonts w:ascii="Arial" w:hAnsi="Arial" w:cs="Arial"/>
          <w:i/>
          <w:iCs/>
          <w:sz w:val="20"/>
          <w:szCs w:val="20"/>
          <w:lang w:val="en-US"/>
        </w:rPr>
        <w:t xml:space="preserve"> instructions given by the Plaintiff to the First Defendant and/or all orders placed by the Plaintiff with the First Defendant to undertake work, provide services or to supply goods giving rise to the submission by the First Defendant to the Plaintiff of the invoices and giving rise to the first to nineth payments were unlawful;</w:t>
      </w:r>
      <w:r>
        <w:rPr>
          <w:rFonts w:ascii="Arial" w:hAnsi="Arial" w:cs="Arial"/>
          <w:sz w:val="24"/>
          <w:szCs w:val="24"/>
          <w:lang w:val="en-US"/>
        </w:rPr>
        <w:t>”</w:t>
      </w:r>
      <w:r w:rsidR="000E4CAA">
        <w:rPr>
          <w:rFonts w:ascii="Arial" w:hAnsi="Arial" w:cs="Arial"/>
          <w:sz w:val="24"/>
          <w:szCs w:val="24"/>
        </w:rPr>
        <w:t xml:space="preserve"> </w:t>
      </w:r>
      <w:r w:rsidR="000E7655">
        <w:rPr>
          <w:rFonts w:ascii="Arial" w:hAnsi="Arial" w:cs="Arial"/>
          <w:sz w:val="24"/>
          <w:szCs w:val="24"/>
        </w:rPr>
        <w:t xml:space="preserve"> </w:t>
      </w:r>
    </w:p>
    <w:p w14:paraId="31AF2261" w14:textId="77777777" w:rsidR="004A41CC" w:rsidRPr="004A41CC" w:rsidRDefault="004A41CC" w:rsidP="00395EBE">
      <w:pPr>
        <w:pStyle w:val="ListParagraph"/>
        <w:spacing w:after="0" w:line="480" w:lineRule="auto"/>
        <w:rPr>
          <w:rFonts w:ascii="Arial" w:hAnsi="Arial" w:cs="Arial"/>
          <w:sz w:val="24"/>
          <w:szCs w:val="24"/>
        </w:rPr>
      </w:pPr>
    </w:p>
    <w:p w14:paraId="06E9DEEB" w14:textId="468AAA25" w:rsidR="00723451"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96D91" w:rsidRPr="00862308">
        <w:rPr>
          <w:rFonts w:ascii="Arial" w:hAnsi="Arial" w:cs="Arial"/>
          <w:sz w:val="24"/>
          <w:szCs w:val="24"/>
        </w:rPr>
        <w:t>T</w:t>
      </w:r>
      <w:r w:rsidR="007D2C85" w:rsidRPr="00862308">
        <w:rPr>
          <w:rFonts w:ascii="Arial" w:hAnsi="Arial" w:cs="Arial"/>
          <w:sz w:val="24"/>
          <w:szCs w:val="24"/>
        </w:rPr>
        <w:t>he instructions</w:t>
      </w:r>
      <w:r w:rsidR="007C4386" w:rsidRPr="00862308">
        <w:rPr>
          <w:rFonts w:ascii="Arial" w:hAnsi="Arial" w:cs="Arial"/>
          <w:sz w:val="24"/>
          <w:szCs w:val="24"/>
        </w:rPr>
        <w:t xml:space="preserve"> </w:t>
      </w:r>
      <w:r w:rsidR="006B6CC8" w:rsidRPr="00862308">
        <w:rPr>
          <w:rFonts w:ascii="Arial" w:hAnsi="Arial" w:cs="Arial"/>
          <w:sz w:val="24"/>
          <w:szCs w:val="24"/>
        </w:rPr>
        <w:t xml:space="preserve">to </w:t>
      </w:r>
      <w:r w:rsidR="007C4386" w:rsidRPr="00862308">
        <w:rPr>
          <w:rFonts w:ascii="Arial" w:hAnsi="Arial" w:cs="Arial"/>
          <w:sz w:val="24"/>
          <w:szCs w:val="24"/>
        </w:rPr>
        <w:t xml:space="preserve">which the plaintiff </w:t>
      </w:r>
      <w:r w:rsidR="001C3DB4" w:rsidRPr="00862308">
        <w:rPr>
          <w:rFonts w:ascii="Arial" w:hAnsi="Arial" w:cs="Arial"/>
          <w:sz w:val="24"/>
          <w:szCs w:val="24"/>
        </w:rPr>
        <w:t xml:space="preserve">refers </w:t>
      </w:r>
      <w:r w:rsidR="00DC489E" w:rsidRPr="00862308">
        <w:rPr>
          <w:rFonts w:ascii="Arial" w:hAnsi="Arial" w:cs="Arial"/>
          <w:sz w:val="24"/>
          <w:szCs w:val="24"/>
        </w:rPr>
        <w:t xml:space="preserve">in paragraph 68.3 </w:t>
      </w:r>
      <w:r w:rsidR="007D2C85" w:rsidRPr="00862308">
        <w:rPr>
          <w:rFonts w:ascii="Arial" w:hAnsi="Arial" w:cs="Arial"/>
          <w:sz w:val="24"/>
          <w:szCs w:val="24"/>
        </w:rPr>
        <w:t xml:space="preserve">are pleaded in paragraphs 46 to 64 of the plaintiff’s particulars of claim.  </w:t>
      </w:r>
      <w:r w:rsidR="00723451" w:rsidRPr="00862308">
        <w:rPr>
          <w:rFonts w:ascii="Arial" w:hAnsi="Arial" w:cs="Arial"/>
          <w:sz w:val="24"/>
          <w:szCs w:val="24"/>
        </w:rPr>
        <w:t>By way of example, paragraph 46 reads as follows:</w:t>
      </w:r>
    </w:p>
    <w:p w14:paraId="5004CFF2" w14:textId="63AA4A3C" w:rsidR="00723451" w:rsidRPr="007B55AD" w:rsidRDefault="00723451" w:rsidP="00723451">
      <w:pPr>
        <w:pStyle w:val="ListParagraph"/>
        <w:spacing w:after="0" w:line="480" w:lineRule="auto"/>
        <w:ind w:left="851"/>
        <w:jc w:val="both"/>
        <w:rPr>
          <w:rFonts w:ascii="Arial" w:hAnsi="Arial" w:cs="Arial"/>
          <w:i/>
          <w:iCs/>
          <w:sz w:val="20"/>
          <w:szCs w:val="20"/>
        </w:rPr>
      </w:pPr>
    </w:p>
    <w:p w14:paraId="16EEB90A" w14:textId="64F5A4BB" w:rsidR="00723451" w:rsidRPr="007B55AD" w:rsidRDefault="00723451" w:rsidP="007B55AD">
      <w:pPr>
        <w:pStyle w:val="ListParagraph"/>
        <w:spacing w:after="0" w:line="360" w:lineRule="auto"/>
        <w:ind w:left="1436" w:hanging="585"/>
        <w:jc w:val="both"/>
        <w:rPr>
          <w:rFonts w:ascii="Arial" w:hAnsi="Arial" w:cs="Arial"/>
          <w:i/>
          <w:iCs/>
          <w:sz w:val="20"/>
          <w:szCs w:val="20"/>
        </w:rPr>
      </w:pPr>
      <w:r w:rsidRPr="007B55AD">
        <w:rPr>
          <w:rFonts w:ascii="Arial" w:hAnsi="Arial" w:cs="Arial"/>
          <w:i/>
          <w:iCs/>
          <w:sz w:val="20"/>
          <w:szCs w:val="20"/>
        </w:rPr>
        <w:t>“46.</w:t>
      </w:r>
      <w:r w:rsidRPr="007B55AD">
        <w:rPr>
          <w:rFonts w:ascii="Arial" w:hAnsi="Arial" w:cs="Arial"/>
          <w:i/>
          <w:iCs/>
          <w:sz w:val="20"/>
          <w:szCs w:val="20"/>
        </w:rPr>
        <w:tab/>
        <w:t>On or about 26 November 2013, the amount of R471 836,99 including VAT (“the first payment”), was paid by the Plaintiff to the First Defendant by means of electronic funds transfer (“EFT”).  A copy of the remittance advice reflecting this transaction is annexed hereto as POC14.  The first payment was preceded by the following:</w:t>
      </w:r>
    </w:p>
    <w:p w14:paraId="143B592F" w14:textId="270F3312" w:rsidR="00723451" w:rsidRPr="007B55AD" w:rsidRDefault="00723451" w:rsidP="007B55AD">
      <w:pPr>
        <w:pStyle w:val="ListParagraph"/>
        <w:spacing w:after="0" w:line="360" w:lineRule="auto"/>
        <w:ind w:left="2156" w:hanging="720"/>
        <w:jc w:val="both"/>
        <w:rPr>
          <w:rFonts w:ascii="Arial" w:hAnsi="Arial" w:cs="Arial"/>
          <w:i/>
          <w:iCs/>
          <w:sz w:val="20"/>
          <w:szCs w:val="20"/>
        </w:rPr>
      </w:pPr>
      <w:r w:rsidRPr="007B55AD">
        <w:rPr>
          <w:rFonts w:ascii="Arial" w:hAnsi="Arial" w:cs="Arial"/>
          <w:i/>
          <w:iCs/>
          <w:sz w:val="20"/>
          <w:szCs w:val="20"/>
        </w:rPr>
        <w:lastRenderedPageBreak/>
        <w:t>46.1</w:t>
      </w:r>
      <w:r w:rsidRPr="007B55AD">
        <w:rPr>
          <w:rFonts w:ascii="Arial" w:hAnsi="Arial" w:cs="Arial"/>
          <w:i/>
          <w:iCs/>
          <w:sz w:val="20"/>
          <w:szCs w:val="20"/>
        </w:rPr>
        <w:tab/>
        <w:t>On or about 10 September 2013, at the request of the Second Defendant, the First Defendant provided to him a budget estimate for the relocation of the Integrated Public Transport Operations Centre and the IPTS offices to the South End Fire Station Building (a copy of which is annexed hereto marked POC15).</w:t>
      </w:r>
      <w:r w:rsidR="00395EBE" w:rsidRPr="007B55AD">
        <w:rPr>
          <w:rFonts w:ascii="Arial" w:hAnsi="Arial" w:cs="Arial"/>
          <w:i/>
          <w:iCs/>
          <w:sz w:val="20"/>
          <w:szCs w:val="20"/>
        </w:rPr>
        <w:tab/>
      </w:r>
    </w:p>
    <w:p w14:paraId="0D2708AB" w14:textId="2D843468" w:rsidR="00395EBE" w:rsidRPr="007B55AD" w:rsidRDefault="00395EBE" w:rsidP="007B55AD">
      <w:pPr>
        <w:pStyle w:val="ListParagraph"/>
        <w:spacing w:after="0" w:line="360" w:lineRule="auto"/>
        <w:ind w:left="2156" w:hanging="720"/>
        <w:jc w:val="both"/>
        <w:rPr>
          <w:rFonts w:ascii="Arial" w:hAnsi="Arial" w:cs="Arial"/>
          <w:i/>
          <w:iCs/>
          <w:sz w:val="20"/>
          <w:szCs w:val="20"/>
        </w:rPr>
      </w:pPr>
    </w:p>
    <w:p w14:paraId="43DB3AAB" w14:textId="70E6E457" w:rsidR="00395EBE" w:rsidRPr="007B55AD" w:rsidRDefault="00395EBE" w:rsidP="007B55AD">
      <w:pPr>
        <w:pStyle w:val="ListParagraph"/>
        <w:spacing w:after="0" w:line="360" w:lineRule="auto"/>
        <w:ind w:left="2156" w:hanging="720"/>
        <w:jc w:val="both"/>
        <w:rPr>
          <w:rFonts w:ascii="Arial" w:hAnsi="Arial" w:cs="Arial"/>
          <w:i/>
          <w:iCs/>
          <w:sz w:val="20"/>
          <w:szCs w:val="20"/>
        </w:rPr>
      </w:pPr>
      <w:r w:rsidRPr="007B55AD">
        <w:rPr>
          <w:rFonts w:ascii="Arial" w:hAnsi="Arial" w:cs="Arial"/>
          <w:i/>
          <w:iCs/>
          <w:sz w:val="20"/>
          <w:szCs w:val="20"/>
        </w:rPr>
        <w:t>46.2</w:t>
      </w:r>
      <w:r w:rsidRPr="007B55AD">
        <w:rPr>
          <w:rFonts w:ascii="Arial" w:hAnsi="Arial" w:cs="Arial"/>
          <w:i/>
          <w:iCs/>
          <w:sz w:val="20"/>
          <w:szCs w:val="20"/>
        </w:rPr>
        <w:tab/>
        <w:t>On or about 27 September 2013 the Second Defendant issued to the First Defendant a corresponding Contract Services Request (“CSRD”) with number 2014CSRD06522 under Tender SCM142/</w:t>
      </w:r>
      <w:proofErr w:type="gramStart"/>
      <w:r w:rsidRPr="007B55AD">
        <w:rPr>
          <w:rFonts w:ascii="Arial" w:hAnsi="Arial" w:cs="Arial"/>
          <w:i/>
          <w:iCs/>
          <w:sz w:val="20"/>
          <w:szCs w:val="20"/>
        </w:rPr>
        <w:t>S;</w:t>
      </w:r>
      <w:proofErr w:type="gramEnd"/>
    </w:p>
    <w:p w14:paraId="06D33C9A" w14:textId="70C8918C" w:rsidR="00395EBE" w:rsidRPr="007B55AD" w:rsidRDefault="00395EBE" w:rsidP="007B55AD">
      <w:pPr>
        <w:pStyle w:val="ListParagraph"/>
        <w:spacing w:after="0" w:line="360" w:lineRule="auto"/>
        <w:ind w:left="2156" w:hanging="720"/>
        <w:jc w:val="both"/>
        <w:rPr>
          <w:rFonts w:ascii="Arial" w:hAnsi="Arial" w:cs="Arial"/>
          <w:i/>
          <w:iCs/>
          <w:sz w:val="20"/>
          <w:szCs w:val="20"/>
        </w:rPr>
      </w:pPr>
    </w:p>
    <w:p w14:paraId="59848B23" w14:textId="6CA052C1" w:rsidR="00395EBE" w:rsidRPr="007B55AD" w:rsidRDefault="00395EBE" w:rsidP="007B55AD">
      <w:pPr>
        <w:pStyle w:val="ListParagraph"/>
        <w:spacing w:after="0" w:line="360" w:lineRule="auto"/>
        <w:ind w:left="2156" w:hanging="720"/>
        <w:jc w:val="both"/>
        <w:rPr>
          <w:rFonts w:ascii="Arial" w:hAnsi="Arial" w:cs="Arial"/>
          <w:i/>
          <w:iCs/>
          <w:sz w:val="20"/>
          <w:szCs w:val="20"/>
        </w:rPr>
      </w:pPr>
      <w:r w:rsidRPr="007B55AD">
        <w:rPr>
          <w:rFonts w:ascii="Arial" w:hAnsi="Arial" w:cs="Arial"/>
          <w:i/>
          <w:iCs/>
          <w:sz w:val="20"/>
          <w:szCs w:val="20"/>
        </w:rPr>
        <w:t>46.3</w:t>
      </w:r>
      <w:r w:rsidRPr="007B55AD">
        <w:rPr>
          <w:rFonts w:ascii="Arial" w:hAnsi="Arial" w:cs="Arial"/>
          <w:i/>
          <w:iCs/>
          <w:sz w:val="20"/>
          <w:szCs w:val="20"/>
        </w:rPr>
        <w:tab/>
        <w:t xml:space="preserve">The First Defendant submitted to the Plaintiff (for attention by the First Defendant) invoice number INA 11126 dated 5 November 2013 with the Plaintiff’s reference 2014CSRD06522 (a copy of which is annexed hereto marked POC16) for an amount of R471 836,99 including </w:t>
      </w:r>
      <w:proofErr w:type="gramStart"/>
      <w:r w:rsidRPr="007B55AD">
        <w:rPr>
          <w:rFonts w:ascii="Arial" w:hAnsi="Arial" w:cs="Arial"/>
          <w:i/>
          <w:iCs/>
          <w:sz w:val="20"/>
          <w:szCs w:val="20"/>
        </w:rPr>
        <w:t>VAT;</w:t>
      </w:r>
      <w:proofErr w:type="gramEnd"/>
    </w:p>
    <w:p w14:paraId="5D93A90E" w14:textId="04C96112" w:rsidR="00395EBE" w:rsidRPr="007B55AD" w:rsidRDefault="00395EBE" w:rsidP="007B55AD">
      <w:pPr>
        <w:pStyle w:val="ListParagraph"/>
        <w:spacing w:after="0" w:line="360" w:lineRule="auto"/>
        <w:ind w:left="2156" w:hanging="720"/>
        <w:jc w:val="both"/>
        <w:rPr>
          <w:rFonts w:ascii="Arial" w:hAnsi="Arial" w:cs="Arial"/>
          <w:i/>
          <w:iCs/>
          <w:sz w:val="20"/>
          <w:szCs w:val="20"/>
        </w:rPr>
      </w:pPr>
    </w:p>
    <w:p w14:paraId="3C9DA0FE" w14:textId="1EE0114A" w:rsidR="00395EBE" w:rsidRDefault="00395EBE" w:rsidP="007B55AD">
      <w:pPr>
        <w:pStyle w:val="ListParagraph"/>
        <w:spacing w:after="0" w:line="360" w:lineRule="auto"/>
        <w:ind w:left="2156" w:hanging="720"/>
        <w:jc w:val="both"/>
        <w:rPr>
          <w:rFonts w:ascii="Arial" w:hAnsi="Arial" w:cs="Arial"/>
          <w:sz w:val="24"/>
          <w:szCs w:val="24"/>
        </w:rPr>
      </w:pPr>
      <w:r w:rsidRPr="007B55AD">
        <w:rPr>
          <w:rFonts w:ascii="Arial" w:hAnsi="Arial" w:cs="Arial"/>
          <w:i/>
          <w:iCs/>
          <w:sz w:val="20"/>
          <w:szCs w:val="20"/>
        </w:rPr>
        <w:t>46.4</w:t>
      </w:r>
      <w:r w:rsidRPr="007B55AD">
        <w:rPr>
          <w:rFonts w:ascii="Arial" w:hAnsi="Arial" w:cs="Arial"/>
          <w:i/>
          <w:iCs/>
          <w:sz w:val="20"/>
          <w:szCs w:val="20"/>
        </w:rPr>
        <w:tab/>
      </w:r>
      <w:r w:rsidRPr="007B55AD">
        <w:rPr>
          <w:rFonts w:ascii="Arial" w:hAnsi="Arial" w:cs="Arial"/>
          <w:i/>
          <w:iCs/>
          <w:sz w:val="20"/>
          <w:szCs w:val="20"/>
          <w:u w:val="single"/>
        </w:rPr>
        <w:t>On or about 14 November 2013 the Fifth Defendant caused a Contract Payment Certificate number 2014 CNTP096</w:t>
      </w:r>
      <w:r w:rsidR="007B55AD" w:rsidRPr="007B55AD">
        <w:rPr>
          <w:rFonts w:ascii="Arial" w:hAnsi="Arial" w:cs="Arial"/>
          <w:i/>
          <w:iCs/>
          <w:sz w:val="20"/>
          <w:szCs w:val="20"/>
          <w:u w:val="single"/>
        </w:rPr>
        <w:t>97 (a copy of which is annexed hereto marked POC17) to be generated in respect of the First Defendant’s invoice number INA 11126 under the contract for “Supply, Installation and Maintenance of Enterprise Facilities Management System and related Services” (i.e. Tender SCM142/S</w:t>
      </w:r>
      <w:r w:rsidR="007B55AD" w:rsidRPr="007B55AD">
        <w:rPr>
          <w:rFonts w:ascii="Arial" w:hAnsi="Arial" w:cs="Arial"/>
          <w:i/>
          <w:iCs/>
          <w:sz w:val="20"/>
          <w:szCs w:val="20"/>
        </w:rPr>
        <w:t>) providing for payment by the Plaintiff to the First Defendant of the sum of R471 836.99 including VAT of R57,944.89.  On this certificate, the Eighth Defendant approved the payment by his signature thereto.</w:t>
      </w:r>
      <w:r w:rsidR="007B55AD">
        <w:rPr>
          <w:rFonts w:ascii="Arial" w:hAnsi="Arial" w:cs="Arial"/>
          <w:sz w:val="24"/>
          <w:szCs w:val="24"/>
        </w:rPr>
        <w:t>”</w:t>
      </w:r>
    </w:p>
    <w:p w14:paraId="15040735" w14:textId="56954ABE" w:rsidR="007B55AD" w:rsidRDefault="007B55AD" w:rsidP="007B55AD">
      <w:pPr>
        <w:pStyle w:val="ListParagraph"/>
        <w:spacing w:after="0" w:line="360" w:lineRule="auto"/>
        <w:ind w:left="2156" w:hanging="720"/>
        <w:jc w:val="both"/>
        <w:rPr>
          <w:rFonts w:ascii="Arial" w:hAnsi="Arial" w:cs="Arial"/>
          <w:sz w:val="24"/>
          <w:szCs w:val="24"/>
        </w:rPr>
      </w:pPr>
    </w:p>
    <w:p w14:paraId="38612BFC" w14:textId="15F045FC" w:rsidR="007B55AD" w:rsidRDefault="007B55AD" w:rsidP="007B55AD">
      <w:pPr>
        <w:pStyle w:val="ListParagraph"/>
        <w:spacing w:after="0" w:line="360" w:lineRule="auto"/>
        <w:ind w:left="2156" w:hanging="720"/>
        <w:jc w:val="both"/>
        <w:rPr>
          <w:rFonts w:ascii="Arial" w:hAnsi="Arial" w:cs="Arial"/>
          <w:sz w:val="24"/>
          <w:szCs w:val="24"/>
        </w:rPr>
      </w:pPr>
      <w:r>
        <w:rPr>
          <w:rFonts w:ascii="Arial" w:hAnsi="Arial" w:cs="Arial"/>
          <w:sz w:val="24"/>
          <w:szCs w:val="24"/>
        </w:rPr>
        <w:tab/>
        <w:t>[Own underlining].</w:t>
      </w:r>
    </w:p>
    <w:p w14:paraId="53BB55BA" w14:textId="77777777" w:rsidR="00723451" w:rsidRDefault="00723451" w:rsidP="00723451">
      <w:pPr>
        <w:pStyle w:val="ListParagraph"/>
        <w:spacing w:after="0" w:line="480" w:lineRule="auto"/>
        <w:ind w:left="851"/>
        <w:jc w:val="both"/>
        <w:rPr>
          <w:rFonts w:ascii="Arial" w:hAnsi="Arial" w:cs="Arial"/>
          <w:sz w:val="24"/>
          <w:szCs w:val="24"/>
        </w:rPr>
      </w:pPr>
    </w:p>
    <w:p w14:paraId="743E3FC9" w14:textId="60FA2397" w:rsidR="006A691A" w:rsidRPr="00862308" w:rsidRDefault="00862308" w:rsidP="00862308">
      <w:pPr>
        <w:spacing w:after="0" w:line="480" w:lineRule="auto"/>
        <w:ind w:left="851" w:hanging="851"/>
        <w:jc w:val="both"/>
        <w:rPr>
          <w:rFonts w:ascii="Arial" w:hAnsi="Arial" w:cs="Arial"/>
          <w:sz w:val="24"/>
          <w:szCs w:val="24"/>
        </w:rPr>
      </w:pPr>
      <w:r w:rsidRPr="006A691A">
        <w:rPr>
          <w:rFonts w:ascii="Arial" w:hAnsi="Arial" w:cs="Arial"/>
          <w:sz w:val="24"/>
          <w:szCs w:val="24"/>
        </w:rPr>
        <w:t>[13]</w:t>
      </w:r>
      <w:r w:rsidRPr="006A691A">
        <w:rPr>
          <w:rFonts w:ascii="Arial" w:hAnsi="Arial" w:cs="Arial"/>
          <w:sz w:val="24"/>
          <w:szCs w:val="24"/>
        </w:rPr>
        <w:tab/>
      </w:r>
      <w:r w:rsidR="001948A5" w:rsidRPr="00862308">
        <w:rPr>
          <w:rFonts w:ascii="Arial" w:hAnsi="Arial" w:cs="Arial"/>
          <w:sz w:val="24"/>
          <w:szCs w:val="24"/>
        </w:rPr>
        <w:t xml:space="preserve">Implicit in paragraph 68.3 of the plaintiff’s particulars of claim is that notwithstanding the failure on the part of the plaintiff and the first defendant to execute a formal contract following the </w:t>
      </w:r>
      <w:r w:rsidR="006A691A" w:rsidRPr="00862308">
        <w:rPr>
          <w:rFonts w:ascii="Arial" w:hAnsi="Arial" w:cs="Arial"/>
          <w:sz w:val="24"/>
          <w:szCs w:val="24"/>
        </w:rPr>
        <w:t>a</w:t>
      </w:r>
      <w:r w:rsidR="001948A5" w:rsidRPr="00862308">
        <w:rPr>
          <w:rFonts w:ascii="Arial" w:hAnsi="Arial" w:cs="Arial"/>
          <w:sz w:val="24"/>
          <w:szCs w:val="24"/>
        </w:rPr>
        <w:t xml:space="preserve">ward of the tender (as is accepted for the present purposes), a decision was taken </w:t>
      </w:r>
      <w:r w:rsidR="006A691A" w:rsidRPr="00862308">
        <w:rPr>
          <w:rFonts w:ascii="Arial" w:hAnsi="Arial" w:cs="Arial"/>
          <w:sz w:val="24"/>
          <w:szCs w:val="24"/>
        </w:rPr>
        <w:t>by</w:t>
      </w:r>
      <w:r w:rsidR="001948A5" w:rsidRPr="00862308">
        <w:rPr>
          <w:rFonts w:ascii="Arial" w:hAnsi="Arial" w:cs="Arial"/>
          <w:sz w:val="24"/>
          <w:szCs w:val="24"/>
        </w:rPr>
        <w:t xml:space="preserve"> the plaintiff </w:t>
      </w:r>
      <w:r w:rsidR="006A691A" w:rsidRPr="00862308">
        <w:rPr>
          <w:rFonts w:ascii="Arial" w:hAnsi="Arial" w:cs="Arial"/>
          <w:sz w:val="24"/>
          <w:szCs w:val="24"/>
        </w:rPr>
        <w:t>to</w:t>
      </w:r>
      <w:r w:rsidR="00056788" w:rsidRPr="00862308">
        <w:rPr>
          <w:rFonts w:ascii="Arial" w:hAnsi="Arial" w:cs="Arial"/>
          <w:sz w:val="24"/>
          <w:szCs w:val="24"/>
        </w:rPr>
        <w:t xml:space="preserve"> procure the services of the </w:t>
      </w:r>
      <w:r w:rsidR="006A691A" w:rsidRPr="00862308">
        <w:rPr>
          <w:rFonts w:ascii="Arial" w:hAnsi="Arial" w:cs="Arial"/>
          <w:sz w:val="24"/>
          <w:szCs w:val="24"/>
        </w:rPr>
        <w:t xml:space="preserve">first defendant to </w:t>
      </w:r>
      <w:r w:rsidR="00D24F0D" w:rsidRPr="00862308">
        <w:rPr>
          <w:rFonts w:ascii="Arial" w:hAnsi="Arial" w:cs="Arial"/>
          <w:sz w:val="24"/>
          <w:szCs w:val="24"/>
        </w:rPr>
        <w:t>(</w:t>
      </w:r>
      <w:proofErr w:type="spellStart"/>
      <w:r w:rsidR="00D24F0D" w:rsidRPr="00862308">
        <w:rPr>
          <w:rFonts w:ascii="Arial" w:hAnsi="Arial" w:cs="Arial"/>
          <w:sz w:val="24"/>
          <w:szCs w:val="24"/>
        </w:rPr>
        <w:t>i</w:t>
      </w:r>
      <w:proofErr w:type="spellEnd"/>
      <w:r w:rsidR="00D24F0D" w:rsidRPr="00862308">
        <w:rPr>
          <w:rFonts w:ascii="Arial" w:hAnsi="Arial" w:cs="Arial"/>
          <w:sz w:val="24"/>
          <w:szCs w:val="24"/>
        </w:rPr>
        <w:t xml:space="preserve">) </w:t>
      </w:r>
      <w:r w:rsidR="006A691A" w:rsidRPr="00862308">
        <w:rPr>
          <w:rFonts w:ascii="Arial" w:hAnsi="Arial" w:cs="Arial"/>
          <w:sz w:val="24"/>
          <w:szCs w:val="24"/>
        </w:rPr>
        <w:t xml:space="preserve">undertake work; </w:t>
      </w:r>
      <w:r w:rsidR="00D24F0D" w:rsidRPr="00862308">
        <w:rPr>
          <w:rFonts w:ascii="Arial" w:hAnsi="Arial" w:cs="Arial"/>
          <w:sz w:val="24"/>
          <w:szCs w:val="24"/>
        </w:rPr>
        <w:t xml:space="preserve">(ii) </w:t>
      </w:r>
      <w:r w:rsidR="006A691A" w:rsidRPr="00862308">
        <w:rPr>
          <w:rFonts w:ascii="Arial" w:hAnsi="Arial" w:cs="Arial"/>
          <w:sz w:val="24"/>
          <w:szCs w:val="24"/>
        </w:rPr>
        <w:t>to provide services; and/or</w:t>
      </w:r>
      <w:r w:rsidR="00D24F0D" w:rsidRPr="00862308">
        <w:rPr>
          <w:rFonts w:ascii="Arial" w:hAnsi="Arial" w:cs="Arial"/>
          <w:sz w:val="24"/>
          <w:szCs w:val="24"/>
        </w:rPr>
        <w:t xml:space="preserve"> (iii)</w:t>
      </w:r>
      <w:r w:rsidR="006A691A" w:rsidRPr="00862308">
        <w:rPr>
          <w:rFonts w:ascii="Arial" w:hAnsi="Arial" w:cs="Arial"/>
          <w:sz w:val="24"/>
          <w:szCs w:val="24"/>
        </w:rPr>
        <w:t xml:space="preserve"> to supply goods to the plaintiff, which, if regard is had to paragraph 46.4 of the plaintiff’s particulars of claim, was done “</w:t>
      </w:r>
      <w:r w:rsidR="006A691A" w:rsidRPr="00862308">
        <w:rPr>
          <w:rFonts w:ascii="Arial" w:hAnsi="Arial" w:cs="Arial"/>
          <w:i/>
          <w:iCs/>
          <w:sz w:val="24"/>
          <w:szCs w:val="24"/>
        </w:rPr>
        <w:t xml:space="preserve">under the contract for “Supply, Installation and Maintenance of Enterprise Facilities Management </w:t>
      </w:r>
      <w:r w:rsidR="006A691A" w:rsidRPr="00862308">
        <w:rPr>
          <w:rFonts w:ascii="Arial" w:hAnsi="Arial" w:cs="Arial"/>
          <w:i/>
          <w:iCs/>
          <w:sz w:val="24"/>
          <w:szCs w:val="24"/>
        </w:rPr>
        <w:lastRenderedPageBreak/>
        <w:t>System and related Services” (i.e. Tender SCM142/S)”</w:t>
      </w:r>
      <w:r w:rsidR="006A691A" w:rsidRPr="00862308">
        <w:rPr>
          <w:rFonts w:ascii="Arial" w:hAnsi="Arial" w:cs="Arial"/>
          <w:sz w:val="24"/>
          <w:szCs w:val="24"/>
        </w:rPr>
        <w:t>.</w:t>
      </w:r>
      <w:r w:rsidR="00F41B50" w:rsidRPr="00862308">
        <w:rPr>
          <w:rFonts w:ascii="Arial" w:hAnsi="Arial" w:cs="Arial"/>
          <w:sz w:val="24"/>
          <w:szCs w:val="24"/>
        </w:rPr>
        <w:t xml:space="preserve">  I refer to this decision as the “</w:t>
      </w:r>
      <w:r w:rsidR="00DF1A35" w:rsidRPr="00862308">
        <w:rPr>
          <w:rFonts w:ascii="Arial" w:hAnsi="Arial" w:cs="Arial"/>
          <w:i/>
          <w:iCs/>
          <w:sz w:val="24"/>
          <w:szCs w:val="24"/>
        </w:rPr>
        <w:t>procurement</w:t>
      </w:r>
      <w:r w:rsidR="00F41B50" w:rsidRPr="00862308">
        <w:rPr>
          <w:rFonts w:ascii="Arial" w:hAnsi="Arial" w:cs="Arial"/>
          <w:i/>
          <w:iCs/>
          <w:sz w:val="24"/>
          <w:szCs w:val="24"/>
        </w:rPr>
        <w:t xml:space="preserve"> decision</w:t>
      </w:r>
      <w:r w:rsidR="00F41B50" w:rsidRPr="00862308">
        <w:rPr>
          <w:rFonts w:ascii="Arial" w:hAnsi="Arial" w:cs="Arial"/>
          <w:sz w:val="24"/>
          <w:szCs w:val="24"/>
        </w:rPr>
        <w:t>”.</w:t>
      </w:r>
    </w:p>
    <w:p w14:paraId="3EAE48D3" w14:textId="77777777" w:rsidR="006A691A" w:rsidRDefault="006A691A" w:rsidP="006A691A">
      <w:pPr>
        <w:pStyle w:val="ListParagraph"/>
        <w:spacing w:after="0" w:line="480" w:lineRule="auto"/>
        <w:ind w:left="851"/>
        <w:jc w:val="both"/>
        <w:rPr>
          <w:rFonts w:ascii="Arial" w:hAnsi="Arial" w:cs="Arial"/>
          <w:sz w:val="24"/>
          <w:szCs w:val="24"/>
        </w:rPr>
      </w:pPr>
    </w:p>
    <w:p w14:paraId="083494F6" w14:textId="7F5755E7" w:rsidR="001722C2"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722C2" w:rsidRPr="00862308">
        <w:rPr>
          <w:rFonts w:ascii="Arial" w:hAnsi="Arial" w:cs="Arial"/>
          <w:sz w:val="24"/>
          <w:szCs w:val="24"/>
        </w:rPr>
        <w:t>There is accordingly no merit in the argument on behalf of the plaintiff that no decision ha</w:t>
      </w:r>
      <w:r w:rsidR="00DC093E" w:rsidRPr="00862308">
        <w:rPr>
          <w:rFonts w:ascii="Arial" w:hAnsi="Arial" w:cs="Arial"/>
          <w:sz w:val="24"/>
          <w:szCs w:val="24"/>
        </w:rPr>
        <w:t>s</w:t>
      </w:r>
      <w:r w:rsidR="001722C2" w:rsidRPr="00862308">
        <w:rPr>
          <w:rFonts w:ascii="Arial" w:hAnsi="Arial" w:cs="Arial"/>
          <w:sz w:val="24"/>
          <w:szCs w:val="24"/>
        </w:rPr>
        <w:t xml:space="preserve"> been pleaded.</w:t>
      </w:r>
      <w:r w:rsidR="00141FF1" w:rsidRPr="00862308">
        <w:rPr>
          <w:rFonts w:ascii="Arial" w:hAnsi="Arial" w:cs="Arial"/>
          <w:sz w:val="24"/>
          <w:szCs w:val="24"/>
        </w:rPr>
        <w:t xml:space="preserve">  Moreover, the attempt by the plaintiff to distance itself from the steps taken by its own employees, is in my view, farcical.</w:t>
      </w:r>
    </w:p>
    <w:p w14:paraId="7C8C9A7A" w14:textId="77777777" w:rsidR="00F41B50" w:rsidRPr="00F41B50" w:rsidRDefault="00F41B50" w:rsidP="00141FF1">
      <w:pPr>
        <w:pStyle w:val="ListParagraph"/>
        <w:spacing w:after="0" w:line="480" w:lineRule="auto"/>
        <w:rPr>
          <w:rFonts w:ascii="Arial" w:hAnsi="Arial" w:cs="Arial"/>
          <w:sz w:val="24"/>
          <w:szCs w:val="24"/>
        </w:rPr>
      </w:pPr>
    </w:p>
    <w:p w14:paraId="580CC273" w14:textId="23CD228B" w:rsidR="00F41B50"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41B50" w:rsidRPr="00862308">
        <w:rPr>
          <w:rFonts w:ascii="Arial" w:hAnsi="Arial" w:cs="Arial"/>
          <w:sz w:val="24"/>
          <w:szCs w:val="24"/>
        </w:rPr>
        <w:t xml:space="preserve">Having established the </w:t>
      </w:r>
      <w:r w:rsidR="00DF1A35" w:rsidRPr="00862308">
        <w:rPr>
          <w:rFonts w:ascii="Arial" w:hAnsi="Arial" w:cs="Arial"/>
          <w:sz w:val="24"/>
          <w:szCs w:val="24"/>
        </w:rPr>
        <w:t>procurement</w:t>
      </w:r>
      <w:r w:rsidR="00F41B50" w:rsidRPr="00862308">
        <w:rPr>
          <w:rFonts w:ascii="Arial" w:hAnsi="Arial" w:cs="Arial"/>
          <w:sz w:val="24"/>
          <w:szCs w:val="24"/>
        </w:rPr>
        <w:t xml:space="preserve"> decision on behalf of the plaintiff, it remains to be determined whether such conduct amounts to administrative action.</w:t>
      </w:r>
    </w:p>
    <w:p w14:paraId="615CF4D4" w14:textId="77777777" w:rsidR="00F41B50" w:rsidRPr="00F41B50" w:rsidRDefault="00F41B50" w:rsidP="00141FF1">
      <w:pPr>
        <w:pStyle w:val="ListParagraph"/>
        <w:spacing w:after="0" w:line="480" w:lineRule="auto"/>
        <w:rPr>
          <w:rFonts w:ascii="Arial" w:hAnsi="Arial" w:cs="Arial"/>
          <w:sz w:val="24"/>
          <w:szCs w:val="24"/>
        </w:rPr>
      </w:pPr>
    </w:p>
    <w:p w14:paraId="1F2E7048" w14:textId="446923D6" w:rsidR="00A54586"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41B50" w:rsidRPr="00862308">
        <w:rPr>
          <w:rFonts w:ascii="Arial" w:hAnsi="Arial" w:cs="Arial"/>
          <w:sz w:val="24"/>
          <w:szCs w:val="24"/>
        </w:rPr>
        <w:t>It is trite that a decision to award or refuse a tender constitutes administrative action.  This is so because the decision is taken by an organ of state which wields public power or performs a public function in terms of the Constitution or legislation and the decision materially and directly affects the legal interests or rights of tenderers concerned</w:t>
      </w:r>
      <w:r w:rsidR="00533428" w:rsidRPr="00862308">
        <w:rPr>
          <w:rFonts w:ascii="Arial" w:hAnsi="Arial" w:cs="Arial"/>
          <w:sz w:val="24"/>
          <w:szCs w:val="24"/>
        </w:rPr>
        <w:t>.</w:t>
      </w:r>
      <w:r w:rsidR="00533428">
        <w:rPr>
          <w:rStyle w:val="FootnoteReference"/>
          <w:rFonts w:ascii="Arial" w:hAnsi="Arial" w:cs="Arial"/>
          <w:sz w:val="24"/>
          <w:szCs w:val="24"/>
        </w:rPr>
        <w:footnoteReference w:id="8"/>
      </w:r>
      <w:r w:rsidR="00533428" w:rsidRPr="00862308">
        <w:rPr>
          <w:rFonts w:ascii="Arial" w:hAnsi="Arial" w:cs="Arial"/>
          <w:sz w:val="24"/>
          <w:szCs w:val="24"/>
        </w:rPr>
        <w:t xml:space="preserve">  </w:t>
      </w:r>
      <w:r w:rsidR="00A54586" w:rsidRPr="00862308">
        <w:rPr>
          <w:rFonts w:ascii="Arial" w:hAnsi="Arial" w:cs="Arial"/>
          <w:sz w:val="24"/>
          <w:szCs w:val="24"/>
        </w:rPr>
        <w:t xml:space="preserve">Wallis JA, writing for the </w:t>
      </w:r>
      <w:r w:rsidR="00533428" w:rsidRPr="00862308">
        <w:rPr>
          <w:rFonts w:ascii="Arial" w:hAnsi="Arial" w:cs="Arial"/>
          <w:sz w:val="24"/>
          <w:szCs w:val="24"/>
        </w:rPr>
        <w:t xml:space="preserve">Supreme Court of Appeal in </w:t>
      </w:r>
      <w:r w:rsidR="00533428" w:rsidRPr="00862308">
        <w:rPr>
          <w:rFonts w:ascii="Arial" w:hAnsi="Arial" w:cs="Arial"/>
          <w:i/>
          <w:iCs/>
          <w:sz w:val="24"/>
          <w:szCs w:val="24"/>
        </w:rPr>
        <w:t xml:space="preserve">Polokwane </w:t>
      </w:r>
      <w:r w:rsidR="00A54586" w:rsidRPr="00862308">
        <w:rPr>
          <w:rFonts w:ascii="Arial" w:hAnsi="Arial" w:cs="Arial"/>
          <w:i/>
          <w:iCs/>
          <w:sz w:val="24"/>
          <w:szCs w:val="24"/>
        </w:rPr>
        <w:t xml:space="preserve">Local Municipality v </w:t>
      </w:r>
      <w:proofErr w:type="spellStart"/>
      <w:r w:rsidR="00A54586" w:rsidRPr="00862308">
        <w:rPr>
          <w:rFonts w:ascii="Arial" w:hAnsi="Arial" w:cs="Arial"/>
          <w:i/>
          <w:iCs/>
          <w:sz w:val="24"/>
          <w:szCs w:val="24"/>
        </w:rPr>
        <w:t>Granor</w:t>
      </w:r>
      <w:proofErr w:type="spellEnd"/>
      <w:r w:rsidR="00A54586" w:rsidRPr="00862308">
        <w:rPr>
          <w:rFonts w:ascii="Arial" w:hAnsi="Arial" w:cs="Arial"/>
          <w:i/>
          <w:iCs/>
          <w:sz w:val="24"/>
          <w:szCs w:val="24"/>
        </w:rPr>
        <w:t xml:space="preserve"> </w:t>
      </w:r>
      <w:proofErr w:type="spellStart"/>
      <w:r w:rsidR="00A54586" w:rsidRPr="00862308">
        <w:rPr>
          <w:rFonts w:ascii="Arial" w:hAnsi="Arial" w:cs="Arial"/>
          <w:i/>
          <w:iCs/>
          <w:sz w:val="24"/>
          <w:szCs w:val="24"/>
        </w:rPr>
        <w:t>Passi</w:t>
      </w:r>
      <w:proofErr w:type="spellEnd"/>
      <w:r w:rsidR="00A54586" w:rsidRPr="00862308">
        <w:rPr>
          <w:rFonts w:ascii="Arial" w:hAnsi="Arial" w:cs="Arial"/>
          <w:i/>
          <w:iCs/>
          <w:sz w:val="24"/>
          <w:szCs w:val="24"/>
        </w:rPr>
        <w:t xml:space="preserve"> (Pty) Ltd</w:t>
      </w:r>
      <w:r w:rsidR="00A54586">
        <w:rPr>
          <w:rStyle w:val="FootnoteReference"/>
          <w:rFonts w:ascii="Arial" w:hAnsi="Arial" w:cs="Arial"/>
          <w:sz w:val="24"/>
          <w:szCs w:val="24"/>
        </w:rPr>
        <w:footnoteReference w:id="9"/>
      </w:r>
      <w:r w:rsidR="00A54586" w:rsidRPr="00862308">
        <w:rPr>
          <w:rFonts w:ascii="Arial" w:hAnsi="Arial" w:cs="Arial"/>
          <w:sz w:val="24"/>
          <w:szCs w:val="24"/>
        </w:rPr>
        <w:t xml:space="preserve"> stated as follows:</w:t>
      </w:r>
    </w:p>
    <w:p w14:paraId="53964CE0" w14:textId="77777777" w:rsidR="00A54586" w:rsidRPr="00A54586" w:rsidRDefault="00A54586" w:rsidP="00141FF1">
      <w:pPr>
        <w:pStyle w:val="ListParagraph"/>
        <w:spacing w:after="0" w:line="480" w:lineRule="auto"/>
        <w:rPr>
          <w:rFonts w:ascii="Arial" w:hAnsi="Arial" w:cs="Arial"/>
          <w:sz w:val="24"/>
          <w:szCs w:val="24"/>
        </w:rPr>
      </w:pPr>
    </w:p>
    <w:p w14:paraId="14DF96A2" w14:textId="68D32BD3" w:rsidR="00A54586" w:rsidRPr="00A54586" w:rsidRDefault="00A54586" w:rsidP="00A54586">
      <w:pPr>
        <w:pStyle w:val="ListParagraph"/>
        <w:spacing w:after="0" w:line="360" w:lineRule="auto"/>
        <w:ind w:left="851"/>
        <w:jc w:val="both"/>
        <w:rPr>
          <w:rFonts w:ascii="Arial" w:hAnsi="Arial" w:cs="Arial"/>
          <w:i/>
          <w:iCs/>
          <w:sz w:val="20"/>
          <w:szCs w:val="20"/>
        </w:rPr>
      </w:pPr>
      <w:r>
        <w:rPr>
          <w:rFonts w:ascii="Arial" w:hAnsi="Arial" w:cs="Arial"/>
          <w:i/>
          <w:iCs/>
          <w:color w:val="242121"/>
          <w:sz w:val="20"/>
          <w:szCs w:val="20"/>
          <w:shd w:val="clear" w:color="auto" w:fill="FFFFFF"/>
        </w:rPr>
        <w:t>“</w:t>
      </w:r>
      <w:r w:rsidRPr="00A54586">
        <w:rPr>
          <w:rFonts w:ascii="Arial" w:hAnsi="Arial" w:cs="Arial"/>
          <w:i/>
          <w:iCs/>
          <w:color w:val="242121"/>
          <w:sz w:val="20"/>
          <w:szCs w:val="20"/>
          <w:shd w:val="clear" w:color="auto" w:fill="FFFFFF"/>
        </w:rPr>
        <w:t>In my view a decision regarding the implementation of a contract to which the municipality is a party is an act of administration. It was taken by an organ of state, exercising a public power or function in relation to the enforcement of a contract concluded in terms of the empowering provisions governing transactions of this character</w:t>
      </w:r>
      <w:r>
        <w:rPr>
          <w:rFonts w:ascii="Arial" w:hAnsi="Arial" w:cs="Arial"/>
          <w:i/>
          <w:iCs/>
          <w:color w:val="242121"/>
          <w:sz w:val="20"/>
          <w:szCs w:val="20"/>
          <w:shd w:val="clear" w:color="auto" w:fill="FFFFFF"/>
        </w:rPr>
        <w:t>.”</w:t>
      </w:r>
    </w:p>
    <w:p w14:paraId="60A27900" w14:textId="77777777" w:rsidR="00A54586" w:rsidRPr="00A54586" w:rsidRDefault="00A54586" w:rsidP="00141FF1">
      <w:pPr>
        <w:pStyle w:val="ListParagraph"/>
        <w:spacing w:after="0" w:line="480" w:lineRule="auto"/>
        <w:rPr>
          <w:rFonts w:ascii="Arial" w:hAnsi="Arial" w:cs="Arial"/>
          <w:sz w:val="24"/>
          <w:szCs w:val="24"/>
        </w:rPr>
      </w:pPr>
    </w:p>
    <w:p w14:paraId="70AD78D8" w14:textId="18A8A3EA" w:rsidR="00CB32D3"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CB32D3" w:rsidRPr="00862308">
        <w:rPr>
          <w:rFonts w:ascii="Arial" w:hAnsi="Arial" w:cs="Arial"/>
          <w:sz w:val="24"/>
          <w:szCs w:val="24"/>
        </w:rPr>
        <w:t xml:space="preserve">In </w:t>
      </w:r>
      <w:r w:rsidR="00CB32D3" w:rsidRPr="00862308">
        <w:rPr>
          <w:rFonts w:ascii="Arial" w:hAnsi="Arial" w:cs="Arial"/>
          <w:i/>
          <w:iCs/>
          <w:sz w:val="24"/>
          <w:szCs w:val="24"/>
        </w:rPr>
        <w:t>Calibre Clinical Consultants (Pty) Ltd v National Bargaining Council for Road Freight Industry</w:t>
      </w:r>
      <w:r w:rsidR="00CB32D3" w:rsidRPr="00862308">
        <w:rPr>
          <w:rFonts w:ascii="Arial" w:hAnsi="Arial" w:cs="Arial"/>
          <w:sz w:val="24"/>
          <w:szCs w:val="24"/>
        </w:rPr>
        <w:t>,</w:t>
      </w:r>
      <w:r w:rsidR="00CB32D3">
        <w:rPr>
          <w:rStyle w:val="FootnoteReference"/>
          <w:rFonts w:ascii="Arial" w:hAnsi="Arial" w:cs="Arial"/>
          <w:sz w:val="24"/>
          <w:szCs w:val="24"/>
        </w:rPr>
        <w:footnoteReference w:id="10"/>
      </w:r>
      <w:r w:rsidR="00CB32D3" w:rsidRPr="00862308">
        <w:rPr>
          <w:rFonts w:ascii="Arial" w:hAnsi="Arial" w:cs="Arial"/>
          <w:sz w:val="24"/>
          <w:szCs w:val="24"/>
        </w:rPr>
        <w:t xml:space="preserve"> the following comment of Nugent JA is relevant:</w:t>
      </w:r>
    </w:p>
    <w:p w14:paraId="4686ABA5" w14:textId="77777777" w:rsidR="00CB32D3" w:rsidRDefault="00CB32D3" w:rsidP="00CB32D3">
      <w:pPr>
        <w:pStyle w:val="ListParagraph"/>
        <w:spacing w:after="0" w:line="480" w:lineRule="auto"/>
        <w:ind w:left="851"/>
        <w:jc w:val="both"/>
        <w:rPr>
          <w:rFonts w:ascii="Arial" w:hAnsi="Arial" w:cs="Arial"/>
          <w:sz w:val="24"/>
          <w:szCs w:val="24"/>
        </w:rPr>
      </w:pPr>
    </w:p>
    <w:p w14:paraId="1F818DF8" w14:textId="102A4290" w:rsidR="00CB32D3" w:rsidRDefault="00CB32D3" w:rsidP="00EE382A">
      <w:pPr>
        <w:pStyle w:val="ListParagraph"/>
        <w:spacing w:after="0" w:line="360" w:lineRule="auto"/>
        <w:ind w:left="851"/>
        <w:jc w:val="both"/>
        <w:rPr>
          <w:rFonts w:ascii="Arial" w:hAnsi="Arial" w:cs="Arial"/>
          <w:sz w:val="24"/>
          <w:szCs w:val="24"/>
        </w:rPr>
      </w:pPr>
      <w:r>
        <w:rPr>
          <w:rFonts w:ascii="Arial" w:hAnsi="Arial" w:cs="Arial"/>
          <w:sz w:val="24"/>
          <w:szCs w:val="24"/>
        </w:rPr>
        <w:t>“</w:t>
      </w:r>
      <w:r w:rsidRPr="00EE382A">
        <w:rPr>
          <w:rFonts w:ascii="Arial" w:hAnsi="Arial" w:cs="Arial"/>
          <w:i/>
          <w:iCs/>
          <w:sz w:val="20"/>
          <w:szCs w:val="20"/>
        </w:rPr>
        <w:t>Government and its agencies are expected to be publicly accountable for the contracts that they conclude</w:t>
      </w:r>
      <w:r w:rsidR="00EE382A" w:rsidRPr="00EE382A">
        <w:rPr>
          <w:rFonts w:ascii="Arial" w:hAnsi="Arial" w:cs="Arial"/>
          <w:i/>
          <w:iCs/>
          <w:sz w:val="20"/>
          <w:szCs w:val="20"/>
        </w:rPr>
        <w:t xml:space="preserve"> because they are spending public money and there are two principal reasons why that should be so.  In the first place the public is entitled to be assured that its moneys are properly spent.  And secondly, the commercial public is entitled to equal opportunity to benefit from the bounty of the state to which they are themselves contributories.  The accountability of government for which procurement is expressly provided for in s 217 of the Constitution, which requires that government bodies must contract ‘in accordance with a system which is fair, equitable, transparent, competitive and cost effective’…</w:t>
      </w:r>
      <w:r w:rsidR="00EE382A">
        <w:rPr>
          <w:rFonts w:ascii="Arial" w:hAnsi="Arial" w:cs="Arial"/>
          <w:sz w:val="24"/>
          <w:szCs w:val="24"/>
        </w:rPr>
        <w:t>”</w:t>
      </w:r>
      <w:r>
        <w:rPr>
          <w:rFonts w:ascii="Arial" w:hAnsi="Arial" w:cs="Arial"/>
          <w:sz w:val="24"/>
          <w:szCs w:val="24"/>
        </w:rPr>
        <w:t xml:space="preserve"> </w:t>
      </w:r>
    </w:p>
    <w:p w14:paraId="749C32CD" w14:textId="77777777" w:rsidR="00EE382A" w:rsidRDefault="00EE382A" w:rsidP="00E1336E">
      <w:pPr>
        <w:pStyle w:val="ListParagraph"/>
        <w:spacing w:after="0" w:line="480" w:lineRule="auto"/>
        <w:ind w:left="851"/>
        <w:jc w:val="both"/>
        <w:rPr>
          <w:rFonts w:ascii="Arial" w:hAnsi="Arial" w:cs="Arial"/>
          <w:sz w:val="24"/>
          <w:szCs w:val="24"/>
        </w:rPr>
      </w:pPr>
    </w:p>
    <w:p w14:paraId="56192AFE" w14:textId="0A4E00D8" w:rsidR="00DF1A35"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B0F84" w:rsidRPr="00862308">
        <w:rPr>
          <w:rFonts w:ascii="Arial" w:hAnsi="Arial" w:cs="Arial"/>
          <w:sz w:val="24"/>
          <w:szCs w:val="24"/>
        </w:rPr>
        <w:t xml:space="preserve">Whilst in </w:t>
      </w:r>
      <w:proofErr w:type="spellStart"/>
      <w:r w:rsidR="00AB0F84" w:rsidRPr="00862308">
        <w:rPr>
          <w:rFonts w:ascii="Arial" w:hAnsi="Arial" w:cs="Arial"/>
          <w:i/>
          <w:iCs/>
          <w:sz w:val="24"/>
          <w:szCs w:val="24"/>
        </w:rPr>
        <w:t>Granor</w:t>
      </w:r>
      <w:proofErr w:type="spellEnd"/>
      <w:r w:rsidR="00AB0F84" w:rsidRPr="00862308">
        <w:rPr>
          <w:rFonts w:ascii="Arial" w:hAnsi="Arial" w:cs="Arial"/>
          <w:i/>
          <w:iCs/>
          <w:sz w:val="24"/>
          <w:szCs w:val="24"/>
        </w:rPr>
        <w:t xml:space="preserve"> </w:t>
      </w:r>
      <w:proofErr w:type="spellStart"/>
      <w:r w:rsidR="00AB0F84" w:rsidRPr="00862308">
        <w:rPr>
          <w:rFonts w:ascii="Arial" w:hAnsi="Arial" w:cs="Arial"/>
          <w:i/>
          <w:iCs/>
          <w:sz w:val="24"/>
          <w:szCs w:val="24"/>
        </w:rPr>
        <w:t>Passi</w:t>
      </w:r>
      <w:proofErr w:type="spellEnd"/>
      <w:r w:rsidR="00AB0F84" w:rsidRPr="00862308">
        <w:rPr>
          <w:rFonts w:ascii="Arial" w:hAnsi="Arial" w:cs="Arial"/>
          <w:sz w:val="24"/>
          <w:szCs w:val="24"/>
        </w:rPr>
        <w:t xml:space="preserve"> the </w:t>
      </w:r>
      <w:r w:rsidR="00056788" w:rsidRPr="00862308">
        <w:rPr>
          <w:rFonts w:ascii="Arial" w:hAnsi="Arial" w:cs="Arial"/>
          <w:sz w:val="24"/>
          <w:szCs w:val="24"/>
        </w:rPr>
        <w:t xml:space="preserve">decision pertained to the implementation of a contract </w:t>
      </w:r>
      <w:r w:rsidR="000F07BE" w:rsidRPr="00862308">
        <w:rPr>
          <w:rFonts w:ascii="Arial" w:hAnsi="Arial" w:cs="Arial"/>
          <w:sz w:val="24"/>
          <w:szCs w:val="24"/>
        </w:rPr>
        <w:t>which had</w:t>
      </w:r>
      <w:r w:rsidR="0056602E" w:rsidRPr="00862308">
        <w:rPr>
          <w:rFonts w:ascii="Arial" w:hAnsi="Arial" w:cs="Arial"/>
          <w:sz w:val="24"/>
          <w:szCs w:val="24"/>
        </w:rPr>
        <w:t xml:space="preserve"> factually</w:t>
      </w:r>
      <w:r w:rsidR="000F07BE" w:rsidRPr="00862308">
        <w:rPr>
          <w:rFonts w:ascii="Arial" w:hAnsi="Arial" w:cs="Arial"/>
          <w:sz w:val="24"/>
          <w:szCs w:val="24"/>
        </w:rPr>
        <w:t xml:space="preserve"> been</w:t>
      </w:r>
      <w:r w:rsidR="00056788" w:rsidRPr="00862308">
        <w:rPr>
          <w:rFonts w:ascii="Arial" w:hAnsi="Arial" w:cs="Arial"/>
          <w:sz w:val="24"/>
          <w:szCs w:val="24"/>
        </w:rPr>
        <w:t xml:space="preserve"> concluded, t</w:t>
      </w:r>
      <w:r w:rsidR="00AB0F84" w:rsidRPr="00862308">
        <w:rPr>
          <w:rFonts w:ascii="Arial" w:hAnsi="Arial" w:cs="Arial"/>
          <w:sz w:val="24"/>
          <w:szCs w:val="24"/>
        </w:rPr>
        <w:t xml:space="preserve">here can be no doubt that the </w:t>
      </w:r>
      <w:r w:rsidR="00DF1A35" w:rsidRPr="00862308">
        <w:rPr>
          <w:rFonts w:ascii="Arial" w:hAnsi="Arial" w:cs="Arial"/>
          <w:sz w:val="24"/>
          <w:szCs w:val="24"/>
        </w:rPr>
        <w:t>procurement decision</w:t>
      </w:r>
      <w:r w:rsidR="00056788" w:rsidRPr="00862308">
        <w:rPr>
          <w:rFonts w:ascii="Arial" w:hAnsi="Arial" w:cs="Arial"/>
          <w:sz w:val="24"/>
          <w:szCs w:val="24"/>
        </w:rPr>
        <w:t xml:space="preserve"> in the present instance</w:t>
      </w:r>
      <w:r w:rsidR="00AB0F84" w:rsidRPr="00862308">
        <w:rPr>
          <w:rFonts w:ascii="Arial" w:hAnsi="Arial" w:cs="Arial"/>
          <w:sz w:val="24"/>
          <w:szCs w:val="24"/>
        </w:rPr>
        <w:t>,</w:t>
      </w:r>
      <w:r w:rsidR="00DF1A35" w:rsidRPr="00862308">
        <w:rPr>
          <w:rFonts w:ascii="Arial" w:hAnsi="Arial" w:cs="Arial"/>
          <w:sz w:val="24"/>
          <w:szCs w:val="24"/>
        </w:rPr>
        <w:t xml:space="preserve"> </w:t>
      </w:r>
      <w:r w:rsidR="00292DE6" w:rsidRPr="00862308">
        <w:rPr>
          <w:rFonts w:ascii="Arial" w:hAnsi="Arial" w:cs="Arial"/>
          <w:sz w:val="24"/>
          <w:szCs w:val="24"/>
        </w:rPr>
        <w:t xml:space="preserve">meets the necessary requirements for it to </w:t>
      </w:r>
      <w:r w:rsidR="00DF1A35" w:rsidRPr="00862308">
        <w:rPr>
          <w:rFonts w:ascii="Arial" w:hAnsi="Arial" w:cs="Arial"/>
          <w:sz w:val="24"/>
          <w:szCs w:val="24"/>
        </w:rPr>
        <w:t>constitute administrative action within the ambit of section 33 of the Constitution.</w:t>
      </w:r>
      <w:r w:rsidR="00292DE6" w:rsidRPr="00862308">
        <w:rPr>
          <w:rFonts w:ascii="Arial" w:hAnsi="Arial" w:cs="Arial"/>
          <w:sz w:val="24"/>
          <w:szCs w:val="24"/>
        </w:rPr>
        <w:t xml:space="preserve">  </w:t>
      </w:r>
    </w:p>
    <w:p w14:paraId="2188FD12" w14:textId="6AC0FF23" w:rsidR="00E66374" w:rsidRDefault="00E66374" w:rsidP="00292DE6">
      <w:pPr>
        <w:pStyle w:val="ListParagraph"/>
        <w:spacing w:after="0" w:line="480" w:lineRule="auto"/>
        <w:ind w:left="851"/>
        <w:jc w:val="both"/>
        <w:rPr>
          <w:rFonts w:ascii="Arial" w:hAnsi="Arial" w:cs="Arial"/>
          <w:sz w:val="24"/>
          <w:szCs w:val="24"/>
        </w:rPr>
      </w:pPr>
    </w:p>
    <w:p w14:paraId="50371603" w14:textId="3CE8127B" w:rsidR="00260CCA"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536B9" w:rsidRPr="00862308">
        <w:rPr>
          <w:rFonts w:ascii="Arial" w:hAnsi="Arial" w:cs="Arial"/>
          <w:sz w:val="24"/>
          <w:szCs w:val="24"/>
        </w:rPr>
        <w:t xml:space="preserve">It is established law that until such time as </w:t>
      </w:r>
      <w:r w:rsidR="00D96E62" w:rsidRPr="00862308">
        <w:rPr>
          <w:rFonts w:ascii="Arial" w:hAnsi="Arial" w:cs="Arial"/>
          <w:sz w:val="24"/>
          <w:szCs w:val="24"/>
        </w:rPr>
        <w:t>an</w:t>
      </w:r>
      <w:r w:rsidR="00D536B9" w:rsidRPr="00862308">
        <w:rPr>
          <w:rFonts w:ascii="Arial" w:hAnsi="Arial" w:cs="Arial"/>
          <w:sz w:val="24"/>
          <w:szCs w:val="24"/>
        </w:rPr>
        <w:t xml:space="preserve"> administrative action is set aside by a court in proceedings for judicial review</w:t>
      </w:r>
      <w:r w:rsidR="00260CCA" w:rsidRPr="00862308">
        <w:rPr>
          <w:rFonts w:ascii="Arial" w:hAnsi="Arial" w:cs="Arial"/>
          <w:sz w:val="24"/>
          <w:szCs w:val="24"/>
        </w:rPr>
        <w:t>,</w:t>
      </w:r>
      <w:r w:rsidR="00D536B9" w:rsidRPr="00862308">
        <w:rPr>
          <w:rFonts w:ascii="Arial" w:hAnsi="Arial" w:cs="Arial"/>
          <w:sz w:val="24"/>
          <w:szCs w:val="24"/>
        </w:rPr>
        <w:t xml:space="preserve"> it exists in </w:t>
      </w:r>
      <w:proofErr w:type="gramStart"/>
      <w:r w:rsidR="00D536B9" w:rsidRPr="00862308">
        <w:rPr>
          <w:rFonts w:ascii="Arial" w:hAnsi="Arial" w:cs="Arial"/>
          <w:sz w:val="24"/>
          <w:szCs w:val="24"/>
        </w:rPr>
        <w:t>fact</w:t>
      </w:r>
      <w:proofErr w:type="gramEnd"/>
      <w:r w:rsidR="00D536B9" w:rsidRPr="00862308">
        <w:rPr>
          <w:rFonts w:ascii="Arial" w:hAnsi="Arial" w:cs="Arial"/>
          <w:sz w:val="24"/>
          <w:szCs w:val="24"/>
        </w:rPr>
        <w:t xml:space="preserve"> and it has legal consequences that cannot be overlooked. </w:t>
      </w:r>
      <w:r w:rsidR="00260CCA" w:rsidRPr="00862308">
        <w:rPr>
          <w:rFonts w:ascii="Arial" w:hAnsi="Arial" w:cs="Arial"/>
          <w:sz w:val="24"/>
          <w:szCs w:val="24"/>
        </w:rPr>
        <w:t xml:space="preserve"> </w:t>
      </w:r>
      <w:r w:rsidR="00260CCA" w:rsidRPr="00862308">
        <w:rPr>
          <w:rFonts w:ascii="Arial" w:hAnsi="Arial" w:cs="Arial"/>
          <w:i/>
          <w:iCs/>
          <w:sz w:val="24"/>
          <w:szCs w:val="24"/>
        </w:rPr>
        <w:t xml:space="preserve">In </w:t>
      </w:r>
      <w:proofErr w:type="spellStart"/>
      <w:r w:rsidR="00260CCA" w:rsidRPr="00862308">
        <w:rPr>
          <w:rFonts w:ascii="Arial" w:hAnsi="Arial" w:cs="Arial"/>
          <w:i/>
          <w:iCs/>
          <w:sz w:val="24"/>
          <w:szCs w:val="24"/>
        </w:rPr>
        <w:t>Oude</w:t>
      </w:r>
      <w:r w:rsidR="00EB18E5" w:rsidRPr="00862308">
        <w:rPr>
          <w:rFonts w:ascii="Arial" w:hAnsi="Arial" w:cs="Arial"/>
          <w:i/>
          <w:iCs/>
          <w:sz w:val="24"/>
          <w:szCs w:val="24"/>
        </w:rPr>
        <w:t>k</w:t>
      </w:r>
      <w:r w:rsidR="00260CCA" w:rsidRPr="00862308">
        <w:rPr>
          <w:rFonts w:ascii="Arial" w:hAnsi="Arial" w:cs="Arial"/>
          <w:i/>
          <w:iCs/>
          <w:sz w:val="24"/>
          <w:szCs w:val="24"/>
        </w:rPr>
        <w:t>raal</w:t>
      </w:r>
      <w:proofErr w:type="spellEnd"/>
      <w:r w:rsidR="00260CCA" w:rsidRPr="00862308">
        <w:rPr>
          <w:rFonts w:ascii="Arial" w:hAnsi="Arial" w:cs="Arial"/>
          <w:i/>
          <w:iCs/>
          <w:sz w:val="24"/>
          <w:szCs w:val="24"/>
        </w:rPr>
        <w:t xml:space="preserve"> Estates (Pty) Ltd v City of Cape Town &amp; Others,</w:t>
      </w:r>
      <w:r w:rsidR="00260CCA">
        <w:rPr>
          <w:rStyle w:val="FootnoteReference"/>
          <w:rFonts w:ascii="Arial" w:hAnsi="Arial" w:cs="Arial"/>
          <w:sz w:val="24"/>
          <w:szCs w:val="24"/>
        </w:rPr>
        <w:footnoteReference w:id="11"/>
      </w:r>
      <w:r w:rsidR="00260CCA" w:rsidRPr="00862308">
        <w:rPr>
          <w:rFonts w:ascii="Arial" w:hAnsi="Arial" w:cs="Arial"/>
          <w:sz w:val="24"/>
          <w:szCs w:val="24"/>
        </w:rPr>
        <w:t xml:space="preserve"> the court at paragraph [26] emphasised that:</w:t>
      </w:r>
    </w:p>
    <w:p w14:paraId="6C544861" w14:textId="77777777" w:rsidR="00260CCA" w:rsidRPr="00260CCA" w:rsidRDefault="00260CCA" w:rsidP="00260CCA">
      <w:pPr>
        <w:pStyle w:val="ListParagraph"/>
        <w:spacing w:after="0" w:line="480" w:lineRule="auto"/>
        <w:rPr>
          <w:rFonts w:ascii="Arial" w:hAnsi="Arial" w:cs="Arial"/>
          <w:sz w:val="24"/>
          <w:szCs w:val="24"/>
        </w:rPr>
      </w:pPr>
    </w:p>
    <w:p w14:paraId="71ED9763" w14:textId="58425AF6" w:rsidR="00292DE6" w:rsidRDefault="00260CCA" w:rsidP="00260CCA">
      <w:pPr>
        <w:pStyle w:val="ListParagraph"/>
        <w:spacing w:after="0" w:line="360" w:lineRule="auto"/>
        <w:ind w:left="851"/>
        <w:jc w:val="both"/>
        <w:rPr>
          <w:rFonts w:ascii="Arial" w:hAnsi="Arial" w:cs="Arial"/>
          <w:sz w:val="24"/>
          <w:szCs w:val="24"/>
        </w:rPr>
      </w:pPr>
      <w:r>
        <w:rPr>
          <w:rFonts w:ascii="Arial" w:hAnsi="Arial" w:cs="Arial"/>
          <w:sz w:val="24"/>
          <w:szCs w:val="24"/>
        </w:rPr>
        <w:t>“</w:t>
      </w:r>
      <w:r w:rsidR="00D536B9" w:rsidRPr="00260CCA">
        <w:rPr>
          <w:rFonts w:ascii="Arial" w:hAnsi="Arial" w:cs="Arial"/>
          <w:i/>
          <w:iCs/>
          <w:sz w:val="20"/>
          <w:szCs w:val="20"/>
        </w:rPr>
        <w:t xml:space="preserve">The proper functioning of a modern state would be considerably compromised if all administrative acts could be given effect to or ignored depending upon the view the subject takes of the validity of the act in question. No doubt it is for this reason that our law has always </w:t>
      </w:r>
      <w:r w:rsidR="00D536B9" w:rsidRPr="00260CCA">
        <w:rPr>
          <w:rFonts w:ascii="Arial" w:hAnsi="Arial" w:cs="Arial"/>
          <w:i/>
          <w:iCs/>
          <w:sz w:val="20"/>
          <w:szCs w:val="20"/>
        </w:rPr>
        <w:lastRenderedPageBreak/>
        <w:t xml:space="preserve">recognized that even an unlawful administrative act </w:t>
      </w:r>
      <w:proofErr w:type="gramStart"/>
      <w:r w:rsidR="00D536B9" w:rsidRPr="00260CCA">
        <w:rPr>
          <w:rFonts w:ascii="Arial" w:hAnsi="Arial" w:cs="Arial"/>
          <w:i/>
          <w:iCs/>
          <w:sz w:val="20"/>
          <w:szCs w:val="20"/>
        </w:rPr>
        <w:t>is capable of producing</w:t>
      </w:r>
      <w:proofErr w:type="gramEnd"/>
      <w:r w:rsidR="00D536B9" w:rsidRPr="00260CCA">
        <w:rPr>
          <w:rFonts w:ascii="Arial" w:hAnsi="Arial" w:cs="Arial"/>
          <w:i/>
          <w:iCs/>
          <w:sz w:val="20"/>
          <w:szCs w:val="20"/>
        </w:rPr>
        <w:t xml:space="preserve"> legally valid consequences for so long as the unlawful act is not set aside.</w:t>
      </w:r>
      <w:r>
        <w:rPr>
          <w:rFonts w:ascii="Arial" w:hAnsi="Arial" w:cs="Arial"/>
          <w:sz w:val="24"/>
          <w:szCs w:val="24"/>
        </w:rPr>
        <w:t>”</w:t>
      </w:r>
    </w:p>
    <w:p w14:paraId="45EB0905" w14:textId="77777777" w:rsidR="00260CCA" w:rsidRDefault="00260CCA" w:rsidP="00260CCA">
      <w:pPr>
        <w:pStyle w:val="ListParagraph"/>
        <w:spacing w:after="0" w:line="480" w:lineRule="auto"/>
        <w:ind w:left="851"/>
        <w:jc w:val="both"/>
        <w:rPr>
          <w:rFonts w:ascii="Arial" w:hAnsi="Arial" w:cs="Arial"/>
          <w:sz w:val="24"/>
          <w:szCs w:val="24"/>
        </w:rPr>
      </w:pPr>
    </w:p>
    <w:p w14:paraId="1FEE2785" w14:textId="5C5A8D90" w:rsidR="00BA78C4"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60CCA" w:rsidRPr="00862308">
        <w:rPr>
          <w:rFonts w:ascii="Arial" w:hAnsi="Arial" w:cs="Arial"/>
          <w:sz w:val="24"/>
          <w:szCs w:val="24"/>
        </w:rPr>
        <w:t xml:space="preserve">The plaintiff itself at paragraph 68.3 of its particulars of claim </w:t>
      </w:r>
      <w:r w:rsidR="00BA78C4" w:rsidRPr="00862308">
        <w:rPr>
          <w:rFonts w:ascii="Arial" w:hAnsi="Arial" w:cs="Arial"/>
          <w:sz w:val="24"/>
          <w:szCs w:val="24"/>
        </w:rPr>
        <w:t xml:space="preserve">concedes that the instructions </w:t>
      </w:r>
      <w:r w:rsidR="00D536B9" w:rsidRPr="00862308">
        <w:rPr>
          <w:rFonts w:ascii="Arial" w:hAnsi="Arial" w:cs="Arial"/>
          <w:sz w:val="24"/>
          <w:szCs w:val="24"/>
        </w:rPr>
        <w:t xml:space="preserve">given by the </w:t>
      </w:r>
      <w:r w:rsidR="00BA78C4" w:rsidRPr="00862308">
        <w:rPr>
          <w:rFonts w:ascii="Arial" w:hAnsi="Arial" w:cs="Arial"/>
          <w:sz w:val="24"/>
          <w:szCs w:val="24"/>
        </w:rPr>
        <w:t>p</w:t>
      </w:r>
      <w:r w:rsidR="00D536B9" w:rsidRPr="00862308">
        <w:rPr>
          <w:rFonts w:ascii="Arial" w:hAnsi="Arial" w:cs="Arial"/>
          <w:sz w:val="24"/>
          <w:szCs w:val="24"/>
        </w:rPr>
        <w:t xml:space="preserve">laintiff to the </w:t>
      </w:r>
      <w:r w:rsidR="00BA78C4" w:rsidRPr="00862308">
        <w:rPr>
          <w:rFonts w:ascii="Arial" w:hAnsi="Arial" w:cs="Arial"/>
          <w:sz w:val="24"/>
          <w:szCs w:val="24"/>
        </w:rPr>
        <w:t>f</w:t>
      </w:r>
      <w:r w:rsidR="00D536B9" w:rsidRPr="00862308">
        <w:rPr>
          <w:rFonts w:ascii="Arial" w:hAnsi="Arial" w:cs="Arial"/>
          <w:sz w:val="24"/>
          <w:szCs w:val="24"/>
        </w:rPr>
        <w:t xml:space="preserve">irst </w:t>
      </w:r>
      <w:r w:rsidR="00BA78C4" w:rsidRPr="00862308">
        <w:rPr>
          <w:rFonts w:ascii="Arial" w:hAnsi="Arial" w:cs="Arial"/>
          <w:sz w:val="24"/>
          <w:szCs w:val="24"/>
        </w:rPr>
        <w:t>d</w:t>
      </w:r>
      <w:r w:rsidR="00D536B9" w:rsidRPr="00862308">
        <w:rPr>
          <w:rFonts w:ascii="Arial" w:hAnsi="Arial" w:cs="Arial"/>
          <w:sz w:val="24"/>
          <w:szCs w:val="24"/>
        </w:rPr>
        <w:t xml:space="preserve">efendant and/or all orders placed by the </w:t>
      </w:r>
      <w:r w:rsidR="00BA78C4" w:rsidRPr="00862308">
        <w:rPr>
          <w:rFonts w:ascii="Arial" w:hAnsi="Arial" w:cs="Arial"/>
          <w:sz w:val="24"/>
          <w:szCs w:val="24"/>
        </w:rPr>
        <w:t>p</w:t>
      </w:r>
      <w:r w:rsidR="00D536B9" w:rsidRPr="00862308">
        <w:rPr>
          <w:rFonts w:ascii="Arial" w:hAnsi="Arial" w:cs="Arial"/>
          <w:sz w:val="24"/>
          <w:szCs w:val="24"/>
        </w:rPr>
        <w:t xml:space="preserve">laintiff with the </w:t>
      </w:r>
      <w:r w:rsidR="00BA78C4" w:rsidRPr="00862308">
        <w:rPr>
          <w:rFonts w:ascii="Arial" w:hAnsi="Arial" w:cs="Arial"/>
          <w:sz w:val="24"/>
          <w:szCs w:val="24"/>
        </w:rPr>
        <w:t>f</w:t>
      </w:r>
      <w:r w:rsidR="00D536B9" w:rsidRPr="00862308">
        <w:rPr>
          <w:rFonts w:ascii="Arial" w:hAnsi="Arial" w:cs="Arial"/>
          <w:sz w:val="24"/>
          <w:szCs w:val="24"/>
        </w:rPr>
        <w:t xml:space="preserve">irst </w:t>
      </w:r>
      <w:r w:rsidR="00BA78C4" w:rsidRPr="00862308">
        <w:rPr>
          <w:rFonts w:ascii="Arial" w:hAnsi="Arial" w:cs="Arial"/>
          <w:sz w:val="24"/>
          <w:szCs w:val="24"/>
        </w:rPr>
        <w:t>d</w:t>
      </w:r>
      <w:r w:rsidR="00D536B9" w:rsidRPr="00862308">
        <w:rPr>
          <w:rFonts w:ascii="Arial" w:hAnsi="Arial" w:cs="Arial"/>
          <w:sz w:val="24"/>
          <w:szCs w:val="24"/>
        </w:rPr>
        <w:t xml:space="preserve">efendant to undertake work, provide services or to supply goods giving rise to the submission by the </w:t>
      </w:r>
      <w:r w:rsidR="00BA78C4" w:rsidRPr="00862308">
        <w:rPr>
          <w:rFonts w:ascii="Arial" w:hAnsi="Arial" w:cs="Arial"/>
          <w:sz w:val="24"/>
          <w:szCs w:val="24"/>
        </w:rPr>
        <w:t>f</w:t>
      </w:r>
      <w:r w:rsidR="00D536B9" w:rsidRPr="00862308">
        <w:rPr>
          <w:rFonts w:ascii="Arial" w:hAnsi="Arial" w:cs="Arial"/>
          <w:sz w:val="24"/>
          <w:szCs w:val="24"/>
        </w:rPr>
        <w:t xml:space="preserve">irst </w:t>
      </w:r>
      <w:r w:rsidR="00BA78C4" w:rsidRPr="00862308">
        <w:rPr>
          <w:rFonts w:ascii="Arial" w:hAnsi="Arial" w:cs="Arial"/>
          <w:sz w:val="24"/>
          <w:szCs w:val="24"/>
        </w:rPr>
        <w:t>d</w:t>
      </w:r>
      <w:r w:rsidR="00D536B9" w:rsidRPr="00862308">
        <w:rPr>
          <w:rFonts w:ascii="Arial" w:hAnsi="Arial" w:cs="Arial"/>
          <w:sz w:val="24"/>
          <w:szCs w:val="24"/>
        </w:rPr>
        <w:t xml:space="preserve">efendant to the </w:t>
      </w:r>
      <w:r w:rsidR="00BA78C4" w:rsidRPr="00862308">
        <w:rPr>
          <w:rFonts w:ascii="Arial" w:hAnsi="Arial" w:cs="Arial"/>
          <w:sz w:val="24"/>
          <w:szCs w:val="24"/>
        </w:rPr>
        <w:t>p</w:t>
      </w:r>
      <w:r w:rsidR="00D536B9" w:rsidRPr="00862308">
        <w:rPr>
          <w:rFonts w:ascii="Arial" w:hAnsi="Arial" w:cs="Arial"/>
          <w:sz w:val="24"/>
          <w:szCs w:val="24"/>
        </w:rPr>
        <w:t>laintiff of the invoices and giving rise to the first to nineth payments were unlawful</w:t>
      </w:r>
      <w:r w:rsidR="00BA78C4" w:rsidRPr="00862308">
        <w:rPr>
          <w:rFonts w:ascii="Arial" w:hAnsi="Arial" w:cs="Arial"/>
          <w:sz w:val="24"/>
          <w:szCs w:val="24"/>
        </w:rPr>
        <w:t>.</w:t>
      </w:r>
    </w:p>
    <w:p w14:paraId="74FE4E75" w14:textId="2D2508DF" w:rsidR="00BA78C4" w:rsidRDefault="00BA78C4" w:rsidP="00803E8D">
      <w:pPr>
        <w:pStyle w:val="ListParagraph"/>
        <w:spacing w:after="0" w:line="480" w:lineRule="auto"/>
        <w:ind w:left="851"/>
        <w:jc w:val="both"/>
        <w:rPr>
          <w:rFonts w:ascii="Arial" w:hAnsi="Arial" w:cs="Arial"/>
          <w:sz w:val="24"/>
          <w:szCs w:val="24"/>
        </w:rPr>
      </w:pPr>
    </w:p>
    <w:p w14:paraId="60289F22" w14:textId="1B43C6BA" w:rsidR="001949A7"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F6CF4" w:rsidRPr="00862308">
        <w:rPr>
          <w:rFonts w:ascii="Arial" w:hAnsi="Arial" w:cs="Arial"/>
          <w:sz w:val="24"/>
          <w:szCs w:val="24"/>
        </w:rPr>
        <w:t>I</w:t>
      </w:r>
      <w:r w:rsidR="00BA78C4" w:rsidRPr="00862308">
        <w:rPr>
          <w:rFonts w:ascii="Arial" w:hAnsi="Arial" w:cs="Arial"/>
          <w:sz w:val="24"/>
          <w:szCs w:val="24"/>
        </w:rPr>
        <w:t>t was incumbent upon the plaintiff to bring review proceedings to set aside the procurement decision</w:t>
      </w:r>
      <w:r w:rsidR="00231898" w:rsidRPr="00862308">
        <w:rPr>
          <w:rFonts w:ascii="Arial" w:hAnsi="Arial" w:cs="Arial"/>
          <w:sz w:val="24"/>
          <w:szCs w:val="24"/>
        </w:rPr>
        <w:t>, being a review of its own decision</w:t>
      </w:r>
      <w:r w:rsidR="002B3C8F" w:rsidRPr="00862308">
        <w:rPr>
          <w:rFonts w:ascii="Arial" w:hAnsi="Arial" w:cs="Arial"/>
          <w:sz w:val="24"/>
          <w:szCs w:val="24"/>
        </w:rPr>
        <w:t>,</w:t>
      </w:r>
      <w:r w:rsidR="00231898" w:rsidRPr="00862308">
        <w:rPr>
          <w:rFonts w:ascii="Arial" w:hAnsi="Arial" w:cs="Arial"/>
          <w:sz w:val="24"/>
          <w:szCs w:val="24"/>
        </w:rPr>
        <w:t xml:space="preserve"> in accordance with the principle of legality</w:t>
      </w:r>
      <w:r w:rsidR="00BA78C4" w:rsidRPr="00862308">
        <w:rPr>
          <w:rFonts w:ascii="Arial" w:hAnsi="Arial" w:cs="Arial"/>
          <w:sz w:val="24"/>
          <w:szCs w:val="24"/>
        </w:rPr>
        <w:t>.</w:t>
      </w:r>
      <w:r w:rsidR="00231898">
        <w:rPr>
          <w:rStyle w:val="FootnoteReference"/>
          <w:rFonts w:ascii="Arial" w:hAnsi="Arial" w:cs="Arial"/>
          <w:sz w:val="24"/>
          <w:szCs w:val="24"/>
        </w:rPr>
        <w:footnoteReference w:id="12"/>
      </w:r>
      <w:r w:rsidR="00D536B9" w:rsidRPr="00862308">
        <w:rPr>
          <w:rFonts w:ascii="Arial" w:hAnsi="Arial" w:cs="Arial"/>
          <w:sz w:val="24"/>
          <w:szCs w:val="24"/>
        </w:rPr>
        <w:t xml:space="preserve">  </w:t>
      </w:r>
      <w:r w:rsidR="00D45012" w:rsidRPr="00862308">
        <w:rPr>
          <w:rFonts w:ascii="Arial" w:hAnsi="Arial" w:cs="Arial"/>
          <w:sz w:val="24"/>
          <w:szCs w:val="24"/>
        </w:rPr>
        <w:t>Such decision cannot simply be ignored by the plaintiff.</w:t>
      </w:r>
    </w:p>
    <w:p w14:paraId="27E0F349" w14:textId="529114FB" w:rsidR="00357963" w:rsidRPr="00357963" w:rsidRDefault="00357963" w:rsidP="00803E8D">
      <w:pPr>
        <w:pStyle w:val="ListParagraph"/>
        <w:spacing w:after="0" w:line="480" w:lineRule="auto"/>
        <w:rPr>
          <w:rFonts w:ascii="Arial" w:hAnsi="Arial" w:cs="Arial"/>
          <w:sz w:val="24"/>
          <w:szCs w:val="24"/>
        </w:rPr>
      </w:pPr>
    </w:p>
    <w:p w14:paraId="63A42B2B" w14:textId="79B895EA" w:rsidR="00D45012"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45012" w:rsidRPr="00862308">
        <w:rPr>
          <w:rFonts w:ascii="Arial" w:hAnsi="Arial" w:cs="Arial"/>
          <w:sz w:val="24"/>
          <w:szCs w:val="24"/>
        </w:rPr>
        <w:t xml:space="preserve">In </w:t>
      </w:r>
      <w:r w:rsidR="00D45012" w:rsidRPr="00862308">
        <w:rPr>
          <w:rFonts w:ascii="Arial" w:hAnsi="Arial" w:cs="Arial"/>
          <w:i/>
          <w:iCs/>
          <w:sz w:val="24"/>
          <w:szCs w:val="24"/>
        </w:rPr>
        <w:t xml:space="preserve">MEC for Health, Eastern </w:t>
      </w:r>
      <w:proofErr w:type="gramStart"/>
      <w:r w:rsidR="00D45012" w:rsidRPr="00862308">
        <w:rPr>
          <w:rFonts w:ascii="Arial" w:hAnsi="Arial" w:cs="Arial"/>
          <w:i/>
          <w:iCs/>
          <w:sz w:val="24"/>
          <w:szCs w:val="24"/>
        </w:rPr>
        <w:t>Cape</w:t>
      </w:r>
      <w:proofErr w:type="gramEnd"/>
      <w:r w:rsidR="00D45012" w:rsidRPr="00862308">
        <w:rPr>
          <w:rFonts w:ascii="Arial" w:hAnsi="Arial" w:cs="Arial"/>
          <w:i/>
          <w:iCs/>
          <w:sz w:val="24"/>
          <w:szCs w:val="24"/>
        </w:rPr>
        <w:t xml:space="preserve"> and Another v </w:t>
      </w:r>
      <w:proofErr w:type="spellStart"/>
      <w:r w:rsidR="00D45012" w:rsidRPr="00862308">
        <w:rPr>
          <w:rFonts w:ascii="Arial" w:hAnsi="Arial" w:cs="Arial"/>
          <w:i/>
          <w:iCs/>
          <w:sz w:val="24"/>
          <w:szCs w:val="24"/>
        </w:rPr>
        <w:t>Kirland</w:t>
      </w:r>
      <w:proofErr w:type="spellEnd"/>
      <w:r w:rsidR="00D45012" w:rsidRPr="00862308">
        <w:rPr>
          <w:rFonts w:ascii="Arial" w:hAnsi="Arial" w:cs="Arial"/>
          <w:i/>
          <w:iCs/>
          <w:sz w:val="24"/>
          <w:szCs w:val="24"/>
        </w:rPr>
        <w:t xml:space="preserve"> Investments (Pty) Ltd</w:t>
      </w:r>
      <w:r w:rsidR="00D45012" w:rsidRPr="00862308">
        <w:rPr>
          <w:rFonts w:ascii="Arial" w:hAnsi="Arial" w:cs="Arial"/>
          <w:sz w:val="24"/>
          <w:szCs w:val="24"/>
        </w:rPr>
        <w:t>,</w:t>
      </w:r>
      <w:r w:rsidR="00D45012">
        <w:rPr>
          <w:rStyle w:val="FootnoteReference"/>
          <w:rFonts w:ascii="Arial" w:hAnsi="Arial" w:cs="Arial"/>
          <w:sz w:val="24"/>
          <w:szCs w:val="24"/>
        </w:rPr>
        <w:footnoteReference w:id="13"/>
      </w:r>
      <w:r w:rsidR="00D45012" w:rsidRPr="00862308">
        <w:rPr>
          <w:rFonts w:ascii="Arial" w:hAnsi="Arial" w:cs="Arial"/>
          <w:sz w:val="24"/>
          <w:szCs w:val="24"/>
        </w:rPr>
        <w:t xml:space="preserve"> Cameron J at paragraphs [64] and [65] succinctly stated:</w:t>
      </w:r>
    </w:p>
    <w:p w14:paraId="2696906F" w14:textId="6A092E96" w:rsidR="00D45012" w:rsidRPr="00D45012" w:rsidRDefault="00D45012" w:rsidP="00F92853">
      <w:pPr>
        <w:pStyle w:val="NormalWeb"/>
        <w:shd w:val="clear" w:color="auto" w:fill="FFFFFF"/>
        <w:spacing w:before="144" w:beforeAutospacing="0" w:after="288" w:afterAutospacing="0" w:line="360" w:lineRule="atLeast"/>
        <w:ind w:left="851"/>
        <w:jc w:val="both"/>
        <w:rPr>
          <w:rFonts w:ascii="Arial" w:hAnsi="Arial" w:cs="Arial"/>
          <w:i/>
          <w:iCs/>
          <w:color w:val="242121"/>
          <w:sz w:val="20"/>
          <w:szCs w:val="20"/>
        </w:rPr>
      </w:pPr>
      <w:r>
        <w:rPr>
          <w:rFonts w:ascii="Arial" w:hAnsi="Arial" w:cs="Arial"/>
          <w:color w:val="242121"/>
          <w:sz w:val="20"/>
          <w:szCs w:val="20"/>
        </w:rPr>
        <w:t>“</w:t>
      </w:r>
      <w:r w:rsidRPr="00D45012">
        <w:rPr>
          <w:rFonts w:ascii="Arial" w:hAnsi="Arial" w:cs="Arial"/>
          <w:i/>
          <w:iCs/>
          <w:color w:val="242121"/>
          <w:sz w:val="20"/>
          <w:szCs w:val="20"/>
        </w:rPr>
        <w:t xml:space="preserve">[64] Can a decision by a state official, communicated to the subject, and in reliance on which it acts, be set aside by a court even when government has not applied (or counter-applied) for the court to do so?  Differently put, can a court exempt government from the burdens and duties of a proper review application, and deprive the subject of the protections these provide, when it seeks to disregard one of its own officials’ decisions?  That is the question the judgment of Jafta J (main judgment) answers.  The answer it gives is Yes.  I disagree.  Even where the decision is defective – as the evidence here suggests – government should generally not be exempt from the forms and processes of review.  It should be held to the pain </w:t>
      </w:r>
      <w:r w:rsidRPr="00D45012">
        <w:rPr>
          <w:rFonts w:ascii="Arial" w:hAnsi="Arial" w:cs="Arial"/>
          <w:i/>
          <w:iCs/>
          <w:color w:val="242121"/>
          <w:sz w:val="20"/>
          <w:szCs w:val="20"/>
        </w:rPr>
        <w:lastRenderedPageBreak/>
        <w:t>and duty of proper process.  It must apply formally for a court to set aside the defective decision, so that the court can properly consider its effects on those subject to it.</w:t>
      </w:r>
    </w:p>
    <w:p w14:paraId="792FC2DE" w14:textId="7D3E4C39" w:rsidR="00D45012" w:rsidRPr="00D45012" w:rsidRDefault="00D45012" w:rsidP="00F92853">
      <w:pPr>
        <w:pStyle w:val="NormalWeb"/>
        <w:shd w:val="clear" w:color="auto" w:fill="FFFFFF"/>
        <w:spacing w:before="144" w:beforeAutospacing="0" w:after="288" w:afterAutospacing="0" w:line="360" w:lineRule="atLeast"/>
        <w:ind w:left="851"/>
        <w:jc w:val="both"/>
        <w:rPr>
          <w:rFonts w:ascii="Arial" w:hAnsi="Arial" w:cs="Arial"/>
          <w:color w:val="242121"/>
          <w:sz w:val="20"/>
          <w:szCs w:val="20"/>
        </w:rPr>
      </w:pPr>
      <w:r w:rsidRPr="00D45012">
        <w:rPr>
          <w:rFonts w:ascii="Arial" w:hAnsi="Arial" w:cs="Arial"/>
          <w:i/>
          <w:iCs/>
          <w:color w:val="242121"/>
          <w:sz w:val="20"/>
          <w:szCs w:val="20"/>
        </w:rPr>
        <w:t>[65] The reasons spring from deep within the Constitution’s scrutiny of power.  The Constitution regulates all public power.  Perhaps the most important power it controls is the power the state exercises over its subjects.  When government errs by issuing a defective decision, the subject affected by it is entitled to proper notice, and to be afforded a proper hearing, on whether the decision should be set aside.  Government should not be allowed to take shortcuts.  Generally, this means that government must apply formally to set aside the decision.  Once the subject has relied on a decision, government cannot, barring specific statutory authority, simply ignore what it has done.  The decision, despite being defective, may have consequences that make it undesirable or even impossible to set it aside.  That demands a proper process, in which all factors for and against are properly weighed.</w:t>
      </w:r>
      <w:r>
        <w:rPr>
          <w:rFonts w:ascii="Arial" w:hAnsi="Arial" w:cs="Arial"/>
          <w:color w:val="242121"/>
          <w:sz w:val="20"/>
          <w:szCs w:val="20"/>
        </w:rPr>
        <w:t>”</w:t>
      </w:r>
    </w:p>
    <w:p w14:paraId="06E0EACD" w14:textId="77777777" w:rsidR="00D45012" w:rsidRPr="00D45012" w:rsidRDefault="00D45012" w:rsidP="00D45012">
      <w:pPr>
        <w:pStyle w:val="ListParagraph"/>
        <w:spacing w:after="0" w:line="480" w:lineRule="auto"/>
        <w:ind w:left="851"/>
        <w:jc w:val="both"/>
        <w:rPr>
          <w:rFonts w:ascii="Arial" w:hAnsi="Arial" w:cs="Arial"/>
          <w:sz w:val="24"/>
          <w:szCs w:val="24"/>
        </w:rPr>
      </w:pPr>
    </w:p>
    <w:p w14:paraId="0031697A" w14:textId="4BBFBB9B" w:rsidR="00683503"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92853" w:rsidRPr="00862308">
        <w:rPr>
          <w:rFonts w:ascii="Arial" w:hAnsi="Arial" w:cs="Arial"/>
          <w:sz w:val="24"/>
          <w:szCs w:val="24"/>
        </w:rPr>
        <w:t xml:space="preserve">Until such time that the procurement decision is set aside, </w:t>
      </w:r>
      <w:r w:rsidR="001D0CAF" w:rsidRPr="00862308">
        <w:rPr>
          <w:rFonts w:ascii="Arial" w:hAnsi="Arial" w:cs="Arial"/>
          <w:sz w:val="24"/>
          <w:szCs w:val="24"/>
        </w:rPr>
        <w:t>(</w:t>
      </w:r>
      <w:proofErr w:type="spellStart"/>
      <w:r w:rsidR="001D0CAF" w:rsidRPr="00862308">
        <w:rPr>
          <w:rFonts w:ascii="Arial" w:hAnsi="Arial" w:cs="Arial"/>
          <w:sz w:val="24"/>
          <w:szCs w:val="24"/>
        </w:rPr>
        <w:t>i</w:t>
      </w:r>
      <w:proofErr w:type="spellEnd"/>
      <w:r w:rsidR="001D0CAF" w:rsidRPr="00862308">
        <w:rPr>
          <w:rFonts w:ascii="Arial" w:hAnsi="Arial" w:cs="Arial"/>
          <w:sz w:val="24"/>
          <w:szCs w:val="24"/>
        </w:rPr>
        <w:t xml:space="preserve">) it exists in fact and has legal consequences that cannot be overlooked; and (ii) the plaintiff has not sustained any damages </w:t>
      </w:r>
      <w:r w:rsidR="001D0CAF" w:rsidRPr="00862308">
        <w:rPr>
          <w:rFonts w:ascii="Arial" w:hAnsi="Arial" w:cs="Arial"/>
          <w:i/>
          <w:iCs/>
          <w:sz w:val="24"/>
          <w:szCs w:val="24"/>
        </w:rPr>
        <w:t xml:space="preserve">viz </w:t>
      </w:r>
      <w:r w:rsidR="001D0CAF" w:rsidRPr="00862308">
        <w:rPr>
          <w:rFonts w:ascii="Arial" w:hAnsi="Arial" w:cs="Arial"/>
          <w:sz w:val="24"/>
          <w:szCs w:val="24"/>
        </w:rPr>
        <w:t>the first defendant</w:t>
      </w:r>
      <w:r w:rsidR="001F4419" w:rsidRPr="00862308">
        <w:rPr>
          <w:rFonts w:ascii="Arial" w:hAnsi="Arial" w:cs="Arial"/>
          <w:sz w:val="24"/>
          <w:szCs w:val="24"/>
        </w:rPr>
        <w:t>, and as such, has no claim against the further defendants.</w:t>
      </w:r>
    </w:p>
    <w:p w14:paraId="3AC70AFC" w14:textId="6331A91C" w:rsidR="00CF6C2C" w:rsidRDefault="00CF6C2C" w:rsidP="00CF6C2C">
      <w:pPr>
        <w:pStyle w:val="ListParagraph"/>
        <w:spacing w:after="0" w:line="480" w:lineRule="auto"/>
        <w:ind w:left="851"/>
        <w:jc w:val="both"/>
        <w:rPr>
          <w:rFonts w:ascii="Arial" w:hAnsi="Arial" w:cs="Arial"/>
          <w:sz w:val="24"/>
          <w:szCs w:val="24"/>
        </w:rPr>
      </w:pPr>
    </w:p>
    <w:p w14:paraId="7224EC24" w14:textId="5B64F487" w:rsidR="00CF6C2C"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F6C2C" w:rsidRPr="00862308">
        <w:rPr>
          <w:rFonts w:ascii="Arial" w:hAnsi="Arial" w:cs="Arial"/>
          <w:sz w:val="24"/>
          <w:szCs w:val="24"/>
        </w:rPr>
        <w:t>I am accordingly of the view that the special pleas filed on behalf of the first, second, third, fourth, fifth, seventh and eight defendant</w:t>
      </w:r>
      <w:r w:rsidR="00030B01" w:rsidRPr="00862308">
        <w:rPr>
          <w:rFonts w:ascii="Arial" w:hAnsi="Arial" w:cs="Arial"/>
          <w:sz w:val="24"/>
          <w:szCs w:val="24"/>
        </w:rPr>
        <w:t>s</w:t>
      </w:r>
      <w:r w:rsidR="00CF6C2C" w:rsidRPr="00862308">
        <w:rPr>
          <w:rFonts w:ascii="Arial" w:hAnsi="Arial" w:cs="Arial"/>
          <w:sz w:val="24"/>
          <w:szCs w:val="24"/>
        </w:rPr>
        <w:t xml:space="preserve"> ought to be upheld with costs.</w:t>
      </w:r>
    </w:p>
    <w:p w14:paraId="4F3F548A" w14:textId="69F9C2DD" w:rsidR="00683503" w:rsidRDefault="00683503" w:rsidP="00683503">
      <w:pPr>
        <w:pStyle w:val="ListParagraph"/>
        <w:spacing w:after="0" w:line="480" w:lineRule="auto"/>
        <w:ind w:left="851"/>
        <w:jc w:val="both"/>
        <w:rPr>
          <w:rFonts w:ascii="Arial" w:hAnsi="Arial" w:cs="Arial"/>
          <w:sz w:val="24"/>
          <w:szCs w:val="24"/>
        </w:rPr>
      </w:pPr>
    </w:p>
    <w:p w14:paraId="76E7AEB8" w14:textId="1C8DF4AF" w:rsidR="00683503"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83503" w:rsidRPr="00862308">
        <w:rPr>
          <w:rFonts w:ascii="Arial" w:hAnsi="Arial" w:cs="Arial"/>
          <w:sz w:val="24"/>
          <w:szCs w:val="24"/>
        </w:rPr>
        <w:t xml:space="preserve">Insofar as </w:t>
      </w:r>
      <w:proofErr w:type="gramStart"/>
      <w:r w:rsidR="00683503" w:rsidRPr="00862308">
        <w:rPr>
          <w:rFonts w:ascii="Arial" w:hAnsi="Arial" w:cs="Arial"/>
          <w:sz w:val="24"/>
          <w:szCs w:val="24"/>
        </w:rPr>
        <w:t>a number of</w:t>
      </w:r>
      <w:proofErr w:type="gramEnd"/>
      <w:r w:rsidR="00683503" w:rsidRPr="00862308">
        <w:rPr>
          <w:rFonts w:ascii="Arial" w:hAnsi="Arial" w:cs="Arial"/>
          <w:sz w:val="24"/>
          <w:szCs w:val="24"/>
        </w:rPr>
        <w:t xml:space="preserve"> the defendants seek a dismissal of the plaintiff’s claim on the basis that any proposed review proceedings initiated by the plaintiff has no prospects of success given what they allege to be a deliberate and inordinate delay, such question goes beyond the scope of these proceedings and remains to be determined in the appropriate forum after being fully ventilated.</w:t>
      </w:r>
    </w:p>
    <w:p w14:paraId="564D8230" w14:textId="082CB7E8" w:rsidR="00C407D4" w:rsidRPr="00862308" w:rsidRDefault="00862308" w:rsidP="00862308">
      <w:pPr>
        <w:spacing w:after="0" w:line="480" w:lineRule="auto"/>
        <w:ind w:left="851" w:hanging="851"/>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F92853" w:rsidRPr="00862308">
        <w:rPr>
          <w:rFonts w:ascii="Arial" w:hAnsi="Arial" w:cs="Arial"/>
          <w:sz w:val="24"/>
          <w:szCs w:val="24"/>
        </w:rPr>
        <w:t>In the circumstances,</w:t>
      </w:r>
      <w:r w:rsidR="00C407D4" w:rsidRPr="00862308">
        <w:rPr>
          <w:rFonts w:ascii="Arial" w:hAnsi="Arial" w:cs="Arial"/>
          <w:sz w:val="24"/>
          <w:szCs w:val="24"/>
        </w:rPr>
        <w:t xml:space="preserve"> the following order</w:t>
      </w:r>
      <w:r w:rsidR="00C24EF9" w:rsidRPr="00862308">
        <w:rPr>
          <w:rFonts w:ascii="Arial" w:hAnsi="Arial" w:cs="Arial"/>
          <w:sz w:val="24"/>
          <w:szCs w:val="24"/>
        </w:rPr>
        <w:t xml:space="preserve"> is issued</w:t>
      </w:r>
      <w:r w:rsidR="00C407D4" w:rsidRPr="00862308">
        <w:rPr>
          <w:rFonts w:ascii="Arial" w:hAnsi="Arial" w:cs="Arial"/>
          <w:sz w:val="24"/>
          <w:szCs w:val="24"/>
        </w:rPr>
        <w:t>:</w:t>
      </w:r>
    </w:p>
    <w:p w14:paraId="76884439" w14:textId="77777777" w:rsidR="00C407D4" w:rsidRPr="00C407D4" w:rsidRDefault="00C407D4" w:rsidP="00C407D4">
      <w:pPr>
        <w:pStyle w:val="ListParagraph"/>
        <w:spacing w:after="0" w:line="480" w:lineRule="auto"/>
        <w:rPr>
          <w:rFonts w:ascii="Arial" w:hAnsi="Arial" w:cs="Arial"/>
          <w:sz w:val="24"/>
          <w:szCs w:val="24"/>
        </w:rPr>
      </w:pPr>
    </w:p>
    <w:p w14:paraId="193A0DD9" w14:textId="70A28406" w:rsidR="00C407D4" w:rsidRPr="00862308" w:rsidRDefault="00862308" w:rsidP="00862308">
      <w:pPr>
        <w:spacing w:after="0" w:line="480" w:lineRule="auto"/>
        <w:ind w:left="1418"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C407D4" w:rsidRPr="00862308">
        <w:rPr>
          <w:rFonts w:ascii="Arial" w:hAnsi="Arial" w:cs="Arial"/>
          <w:sz w:val="24"/>
          <w:szCs w:val="24"/>
        </w:rPr>
        <w:t>The first, second, third, fourth, fifth, seventh and eight defendants</w:t>
      </w:r>
      <w:r w:rsidR="00DA34FE" w:rsidRPr="00862308">
        <w:rPr>
          <w:rFonts w:ascii="Arial" w:hAnsi="Arial" w:cs="Arial"/>
          <w:sz w:val="24"/>
          <w:szCs w:val="24"/>
        </w:rPr>
        <w:t>’</w:t>
      </w:r>
      <w:r w:rsidR="00C407D4" w:rsidRPr="00862308">
        <w:rPr>
          <w:rFonts w:ascii="Arial" w:hAnsi="Arial" w:cs="Arial"/>
          <w:sz w:val="24"/>
          <w:szCs w:val="24"/>
        </w:rPr>
        <w:t xml:space="preserve"> special pleas are upheld with costs.</w:t>
      </w:r>
    </w:p>
    <w:p w14:paraId="29A72F6E" w14:textId="152BB0C2" w:rsidR="008B494F" w:rsidRPr="00E5121C" w:rsidRDefault="008B494F" w:rsidP="00EF1486">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r w:rsidRPr="00E5121C">
        <w:rPr>
          <w:rFonts w:ascii="Arial" w:hAnsi="Arial" w:cs="Arial"/>
          <w:sz w:val="24"/>
          <w:szCs w:val="24"/>
        </w:rPr>
        <w:t xml:space="preserve"> </w:t>
      </w:r>
    </w:p>
    <w:p w14:paraId="00900572" w14:textId="77777777" w:rsidR="008B494F" w:rsidRDefault="008B494F" w:rsidP="008B494F">
      <w:pPr>
        <w:spacing w:after="0" w:line="480" w:lineRule="auto"/>
        <w:jc w:val="both"/>
        <w:rPr>
          <w:rStyle w:val="Hyperlink"/>
          <w:rFonts w:ascii="Arial" w:hAnsi="Arial" w:cs="Arial"/>
          <w:i/>
          <w:iCs/>
          <w:sz w:val="24"/>
          <w:szCs w:val="24"/>
        </w:rPr>
      </w:pPr>
    </w:p>
    <w:p w14:paraId="302D983E" w14:textId="77777777" w:rsidR="008B494F" w:rsidRPr="00D11E5C" w:rsidRDefault="008B494F" w:rsidP="008B494F">
      <w:pPr>
        <w:spacing w:after="0" w:line="480" w:lineRule="auto"/>
        <w:jc w:val="both"/>
        <w:rPr>
          <w:rStyle w:val="Hyperlink"/>
          <w:rFonts w:ascii="Arial" w:hAnsi="Arial" w:cs="Arial"/>
          <w:i/>
          <w:iCs/>
          <w:color w:val="auto"/>
          <w:sz w:val="24"/>
          <w:szCs w:val="24"/>
        </w:rPr>
      </w:pPr>
      <w:r w:rsidRPr="00D11E5C">
        <w:rPr>
          <w:rStyle w:val="Hyperlink"/>
          <w:rFonts w:ascii="Arial" w:hAnsi="Arial" w:cs="Arial"/>
          <w:i/>
          <w:iCs/>
          <w:color w:val="auto"/>
          <w:sz w:val="24"/>
          <w:szCs w:val="24"/>
        </w:rPr>
        <w:t>________________________________</w:t>
      </w:r>
    </w:p>
    <w:p w14:paraId="60365458" w14:textId="77777777" w:rsidR="008B494F" w:rsidRPr="005E0A83" w:rsidRDefault="008B494F" w:rsidP="008B494F">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1F4EA6CC" w14:textId="77777777" w:rsidR="008B494F" w:rsidRPr="005E0A83" w:rsidRDefault="008B494F" w:rsidP="008B494F">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2761B4C8" w14:textId="77777777" w:rsidR="008B494F" w:rsidRPr="005E0A83" w:rsidRDefault="008B494F" w:rsidP="008B494F">
      <w:pPr>
        <w:spacing w:after="0" w:line="480" w:lineRule="auto"/>
        <w:jc w:val="both"/>
        <w:rPr>
          <w:rFonts w:ascii="Arial" w:hAnsi="Arial" w:cs="Arial"/>
          <w:sz w:val="24"/>
          <w:szCs w:val="24"/>
        </w:rPr>
      </w:pPr>
    </w:p>
    <w:p w14:paraId="6A6119DF" w14:textId="77777777" w:rsidR="008B494F" w:rsidRPr="005E0A83" w:rsidRDefault="008B494F" w:rsidP="008B494F">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2A2A6936" w14:textId="166E12F0" w:rsidR="008B494F" w:rsidRPr="005E0A83" w:rsidRDefault="008B494F" w:rsidP="008B494F">
      <w:pPr>
        <w:spacing w:after="0" w:line="360" w:lineRule="auto"/>
        <w:jc w:val="both"/>
        <w:rPr>
          <w:rFonts w:ascii="Arial" w:hAnsi="Arial" w:cs="Arial"/>
          <w:sz w:val="24"/>
          <w:szCs w:val="24"/>
        </w:rPr>
      </w:pPr>
      <w:r>
        <w:rPr>
          <w:rFonts w:ascii="Arial" w:hAnsi="Arial" w:cs="Arial"/>
          <w:sz w:val="24"/>
          <w:szCs w:val="24"/>
        </w:rPr>
        <w:t>For the plaintiff</w:t>
      </w:r>
      <w:r w:rsidRPr="005E0A83">
        <w:rPr>
          <w:rFonts w:ascii="Arial" w:hAnsi="Arial" w:cs="Arial"/>
          <w:sz w:val="24"/>
          <w:szCs w:val="24"/>
        </w:rPr>
        <w:t>:</w:t>
      </w:r>
      <w:r>
        <w:rPr>
          <w:rFonts w:ascii="Arial" w:hAnsi="Arial" w:cs="Arial"/>
          <w:sz w:val="24"/>
          <w:szCs w:val="24"/>
        </w:rPr>
        <w:tab/>
      </w:r>
      <w:r w:rsidR="00CE32AC">
        <w:rPr>
          <w:rFonts w:ascii="Arial" w:hAnsi="Arial" w:cs="Arial"/>
          <w:sz w:val="24"/>
          <w:szCs w:val="24"/>
        </w:rPr>
        <w:t>Adv RG Buchanan SC</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3813175B" w14:textId="2FC0E9F2" w:rsidR="008B494F" w:rsidRDefault="008B494F" w:rsidP="008B494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CE32AC">
        <w:rPr>
          <w:rFonts w:ascii="Arial" w:hAnsi="Arial" w:cs="Arial"/>
          <w:sz w:val="24"/>
          <w:szCs w:val="24"/>
        </w:rPr>
        <w:t xml:space="preserve">Gray </w:t>
      </w:r>
      <w:proofErr w:type="spellStart"/>
      <w:r w:rsidR="00CE32AC">
        <w:rPr>
          <w:rFonts w:ascii="Arial" w:hAnsi="Arial" w:cs="Arial"/>
          <w:sz w:val="24"/>
          <w:szCs w:val="24"/>
        </w:rPr>
        <w:t>Moodliar</w:t>
      </w:r>
      <w:proofErr w:type="spellEnd"/>
      <w:r w:rsidR="00CE32AC">
        <w:rPr>
          <w:rFonts w:ascii="Arial" w:hAnsi="Arial" w:cs="Arial"/>
          <w:sz w:val="24"/>
          <w:szCs w:val="24"/>
        </w:rPr>
        <w:t xml:space="preserve"> Inc, 19 Raleigh Street, Central</w:t>
      </w:r>
    </w:p>
    <w:p w14:paraId="29FD866D" w14:textId="41EFD7B1" w:rsidR="008B494F" w:rsidRDefault="008B494F" w:rsidP="008B494F">
      <w:pPr>
        <w:spacing w:after="0" w:line="360" w:lineRule="auto"/>
        <w:jc w:val="both"/>
        <w:rPr>
          <w:rFonts w:ascii="Arial" w:hAnsi="Arial" w:cs="Arial"/>
          <w:sz w:val="24"/>
          <w:szCs w:val="24"/>
        </w:rPr>
      </w:pPr>
    </w:p>
    <w:p w14:paraId="7E1AD651" w14:textId="254CC148" w:rsidR="005660F7" w:rsidRPr="00BC0CE1" w:rsidRDefault="008B494F" w:rsidP="005660F7">
      <w:pPr>
        <w:spacing w:after="0" w:line="360" w:lineRule="auto"/>
        <w:jc w:val="both"/>
        <w:rPr>
          <w:rFonts w:ascii="Arial" w:hAnsi="Arial" w:cs="Arial"/>
          <w:sz w:val="24"/>
          <w:szCs w:val="24"/>
        </w:rPr>
      </w:pPr>
      <w:r w:rsidRPr="005E0A83">
        <w:rPr>
          <w:rFonts w:ascii="Arial" w:hAnsi="Arial" w:cs="Arial"/>
          <w:sz w:val="24"/>
          <w:szCs w:val="24"/>
        </w:rPr>
        <w:t xml:space="preserve">For </w:t>
      </w:r>
      <w:r w:rsidR="00CE32AC">
        <w:rPr>
          <w:rFonts w:ascii="Arial" w:hAnsi="Arial" w:cs="Arial"/>
          <w:sz w:val="24"/>
          <w:szCs w:val="24"/>
        </w:rPr>
        <w:t>1</w:t>
      </w:r>
      <w:r w:rsidR="00CE32AC" w:rsidRPr="00CE32AC">
        <w:rPr>
          <w:rFonts w:ascii="Arial" w:hAnsi="Arial" w:cs="Arial"/>
          <w:sz w:val="24"/>
          <w:szCs w:val="24"/>
          <w:vertAlign w:val="superscript"/>
        </w:rPr>
        <w:t>st</w:t>
      </w:r>
      <w:r w:rsidR="00CE32AC">
        <w:rPr>
          <w:rFonts w:ascii="Arial" w:hAnsi="Arial" w:cs="Arial"/>
          <w:sz w:val="24"/>
          <w:szCs w:val="24"/>
        </w:rPr>
        <w:t xml:space="preserve"> </w:t>
      </w:r>
      <w:r>
        <w:rPr>
          <w:rFonts w:ascii="Arial" w:hAnsi="Arial" w:cs="Arial"/>
          <w:sz w:val="24"/>
          <w:szCs w:val="24"/>
        </w:rPr>
        <w:t>defendant</w:t>
      </w:r>
      <w:r w:rsidRPr="005E0A83">
        <w:rPr>
          <w:rFonts w:ascii="Arial" w:hAnsi="Arial" w:cs="Arial"/>
          <w:sz w:val="24"/>
          <w:szCs w:val="24"/>
        </w:rPr>
        <w:t>:</w:t>
      </w:r>
      <w:r>
        <w:rPr>
          <w:rFonts w:ascii="Arial" w:hAnsi="Arial" w:cs="Arial"/>
          <w:sz w:val="24"/>
          <w:szCs w:val="24"/>
        </w:rPr>
        <w:tab/>
      </w:r>
      <w:r w:rsidR="00CE32AC">
        <w:rPr>
          <w:rFonts w:ascii="Arial" w:hAnsi="Arial" w:cs="Arial"/>
          <w:sz w:val="24"/>
          <w:szCs w:val="24"/>
        </w:rPr>
        <w:t xml:space="preserve">Adv AJR van </w:t>
      </w:r>
      <w:proofErr w:type="spellStart"/>
      <w:r w:rsidR="00CE32AC">
        <w:rPr>
          <w:rFonts w:ascii="Arial" w:hAnsi="Arial" w:cs="Arial"/>
          <w:sz w:val="24"/>
          <w:szCs w:val="24"/>
        </w:rPr>
        <w:t>Rhyn</w:t>
      </w:r>
      <w:proofErr w:type="spellEnd"/>
      <w:r w:rsidR="00CE32AC">
        <w:rPr>
          <w:rFonts w:ascii="Arial" w:hAnsi="Arial" w:cs="Arial"/>
          <w:sz w:val="24"/>
          <w:szCs w:val="24"/>
        </w:rPr>
        <w:t xml:space="preserve"> SC</w:t>
      </w:r>
    </w:p>
    <w:p w14:paraId="17F00C98" w14:textId="71AACF5D" w:rsidR="005660F7" w:rsidRDefault="005660F7" w:rsidP="00CE32AC">
      <w:pPr>
        <w:spacing w:after="0" w:line="360" w:lineRule="auto"/>
        <w:ind w:left="2160" w:hanging="216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CE32AC">
        <w:rPr>
          <w:rFonts w:ascii="Arial" w:hAnsi="Arial" w:cs="Arial"/>
          <w:sz w:val="24"/>
          <w:szCs w:val="24"/>
        </w:rPr>
        <w:t xml:space="preserve">Kramer </w:t>
      </w:r>
      <w:proofErr w:type="spellStart"/>
      <w:r w:rsidR="00CE32AC">
        <w:rPr>
          <w:rFonts w:ascii="Arial" w:hAnsi="Arial" w:cs="Arial"/>
          <w:sz w:val="24"/>
          <w:szCs w:val="24"/>
        </w:rPr>
        <w:t>Wiehmann</w:t>
      </w:r>
      <w:proofErr w:type="spellEnd"/>
      <w:r w:rsidR="00CE32AC">
        <w:rPr>
          <w:rFonts w:ascii="Arial" w:hAnsi="Arial" w:cs="Arial"/>
          <w:sz w:val="24"/>
          <w:szCs w:val="24"/>
        </w:rPr>
        <w:t xml:space="preserve"> Inc., KW Building, 24 Barnes Street, Bloemfontein</w:t>
      </w:r>
      <w:r>
        <w:rPr>
          <w:rFonts w:ascii="Arial" w:hAnsi="Arial" w:cs="Arial"/>
          <w:sz w:val="24"/>
          <w:szCs w:val="24"/>
        </w:rPr>
        <w:t xml:space="preserve"> </w:t>
      </w:r>
    </w:p>
    <w:p w14:paraId="7E35EDA7" w14:textId="5EDD817D" w:rsidR="008B494F" w:rsidRDefault="008B494F" w:rsidP="008B494F">
      <w:pPr>
        <w:pStyle w:val="GW13"/>
        <w:tabs>
          <w:tab w:val="clear" w:pos="8640"/>
        </w:tabs>
        <w:ind w:right="-45"/>
        <w:jc w:val="center"/>
        <w:rPr>
          <w:rFonts w:ascii="Arial" w:hAnsi="Arial" w:cs="Arial"/>
          <w:b/>
          <w:szCs w:val="24"/>
        </w:rPr>
      </w:pPr>
    </w:p>
    <w:p w14:paraId="6C418B7A" w14:textId="12433236" w:rsidR="00CE32AC" w:rsidRPr="00BC0CE1" w:rsidRDefault="00CE32AC" w:rsidP="00CE32AC">
      <w:pPr>
        <w:spacing w:after="0" w:line="360" w:lineRule="auto"/>
        <w:jc w:val="both"/>
        <w:rPr>
          <w:rFonts w:ascii="Arial" w:hAnsi="Arial" w:cs="Arial"/>
          <w:sz w:val="24"/>
          <w:szCs w:val="24"/>
        </w:rPr>
      </w:pPr>
      <w:r w:rsidRPr="005E0A83">
        <w:rPr>
          <w:rFonts w:ascii="Arial" w:hAnsi="Arial" w:cs="Arial"/>
          <w:sz w:val="24"/>
          <w:szCs w:val="24"/>
        </w:rPr>
        <w:t xml:space="preserve">For </w:t>
      </w:r>
      <w:r>
        <w:rPr>
          <w:rFonts w:ascii="Arial" w:hAnsi="Arial" w:cs="Arial"/>
          <w:sz w:val="24"/>
          <w:szCs w:val="24"/>
        </w:rPr>
        <w:t>2</w:t>
      </w:r>
      <w:r w:rsidRPr="00CE32AC">
        <w:rPr>
          <w:rFonts w:ascii="Arial" w:hAnsi="Arial" w:cs="Arial"/>
          <w:sz w:val="24"/>
          <w:szCs w:val="24"/>
          <w:vertAlign w:val="superscript"/>
        </w:rPr>
        <w:t>nd</w:t>
      </w:r>
      <w:r>
        <w:rPr>
          <w:rFonts w:ascii="Arial" w:hAnsi="Arial" w:cs="Arial"/>
          <w:sz w:val="24"/>
          <w:szCs w:val="24"/>
        </w:rPr>
        <w:t xml:space="preserve"> defendant</w:t>
      </w:r>
      <w:r w:rsidRPr="005E0A83">
        <w:rPr>
          <w:rFonts w:ascii="Arial" w:hAnsi="Arial" w:cs="Arial"/>
          <w:sz w:val="24"/>
          <w:szCs w:val="24"/>
        </w:rPr>
        <w:t>:</w:t>
      </w:r>
      <w:r>
        <w:rPr>
          <w:rFonts w:ascii="Arial" w:hAnsi="Arial" w:cs="Arial"/>
          <w:sz w:val="24"/>
          <w:szCs w:val="24"/>
        </w:rPr>
        <w:tab/>
        <w:t>In person</w:t>
      </w:r>
    </w:p>
    <w:p w14:paraId="72BD8919" w14:textId="40369404" w:rsidR="00CE32AC" w:rsidRDefault="00CE32AC" w:rsidP="008B494F">
      <w:pPr>
        <w:pStyle w:val="GW13"/>
        <w:tabs>
          <w:tab w:val="clear" w:pos="8640"/>
        </w:tabs>
        <w:ind w:right="-45"/>
        <w:jc w:val="center"/>
        <w:rPr>
          <w:rFonts w:ascii="Arial" w:hAnsi="Arial" w:cs="Arial"/>
          <w:b/>
          <w:szCs w:val="24"/>
        </w:rPr>
      </w:pPr>
    </w:p>
    <w:p w14:paraId="111C7F0F" w14:textId="665F5933" w:rsidR="00CE32AC" w:rsidRPr="005E0A83" w:rsidRDefault="00CE32AC" w:rsidP="00CE32AC">
      <w:pPr>
        <w:spacing w:after="0" w:line="360" w:lineRule="auto"/>
        <w:jc w:val="both"/>
        <w:rPr>
          <w:rFonts w:ascii="Arial" w:hAnsi="Arial" w:cs="Arial"/>
          <w:sz w:val="24"/>
          <w:szCs w:val="24"/>
        </w:rPr>
      </w:pPr>
      <w:r>
        <w:rPr>
          <w:rFonts w:ascii="Arial" w:hAnsi="Arial" w:cs="Arial"/>
          <w:sz w:val="24"/>
          <w:szCs w:val="24"/>
        </w:rPr>
        <w:t>For the 3</w:t>
      </w:r>
      <w:r w:rsidRPr="00CE32AC">
        <w:rPr>
          <w:rFonts w:ascii="Arial" w:hAnsi="Arial" w:cs="Arial"/>
          <w:sz w:val="24"/>
          <w:szCs w:val="24"/>
          <w:vertAlign w:val="superscript"/>
        </w:rPr>
        <w:t>rd</w:t>
      </w:r>
      <w:r>
        <w:rPr>
          <w:rFonts w:ascii="Arial" w:hAnsi="Arial" w:cs="Arial"/>
          <w:sz w:val="24"/>
          <w:szCs w:val="24"/>
        </w:rPr>
        <w:t xml:space="preserve"> and 5</w:t>
      </w:r>
      <w:r w:rsidRPr="00CE32AC">
        <w:rPr>
          <w:rFonts w:ascii="Arial" w:hAnsi="Arial" w:cs="Arial"/>
          <w:sz w:val="24"/>
          <w:szCs w:val="24"/>
          <w:vertAlign w:val="superscript"/>
        </w:rPr>
        <w:t>th</w:t>
      </w:r>
      <w:r>
        <w:rPr>
          <w:rFonts w:ascii="Arial" w:hAnsi="Arial" w:cs="Arial"/>
          <w:sz w:val="24"/>
          <w:szCs w:val="24"/>
        </w:rPr>
        <w:t xml:space="preserve"> defendants: </w:t>
      </w:r>
      <w:r>
        <w:rPr>
          <w:rFonts w:ascii="Arial" w:hAnsi="Arial" w:cs="Arial"/>
          <w:sz w:val="24"/>
          <w:szCs w:val="24"/>
        </w:rPr>
        <w:tab/>
        <w:t>Adv P Jooste</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0D431494" w14:textId="471529AE" w:rsidR="00CE32AC" w:rsidRDefault="00CE32AC" w:rsidP="007D6677">
      <w:pPr>
        <w:spacing w:after="0" w:line="360" w:lineRule="auto"/>
        <w:ind w:left="3600" w:hanging="3600"/>
        <w:jc w:val="both"/>
        <w:rPr>
          <w:rFonts w:ascii="Arial" w:hAnsi="Arial" w:cs="Arial"/>
          <w:sz w:val="24"/>
          <w:szCs w:val="24"/>
        </w:rPr>
      </w:pPr>
      <w:r>
        <w:rPr>
          <w:rFonts w:ascii="Arial" w:hAnsi="Arial" w:cs="Arial"/>
          <w:sz w:val="24"/>
          <w:szCs w:val="24"/>
        </w:rPr>
        <w:t>Instructed by:</w:t>
      </w:r>
      <w:r>
        <w:rPr>
          <w:rFonts w:ascii="Arial" w:hAnsi="Arial" w:cs="Arial"/>
          <w:sz w:val="24"/>
          <w:szCs w:val="24"/>
        </w:rPr>
        <w:tab/>
        <w:t>Kaplan Blumberg Attorneys</w:t>
      </w:r>
      <w:r w:rsidR="007D6677">
        <w:rPr>
          <w:rFonts w:ascii="Arial" w:hAnsi="Arial" w:cs="Arial"/>
          <w:sz w:val="24"/>
          <w:szCs w:val="24"/>
        </w:rPr>
        <w:t>, Southern Life Gardens, Second Avenue, Newton Park</w:t>
      </w:r>
    </w:p>
    <w:p w14:paraId="08D93D97" w14:textId="038C8158" w:rsidR="00CE32AC" w:rsidRDefault="00CE32AC" w:rsidP="008B494F">
      <w:pPr>
        <w:pStyle w:val="GW13"/>
        <w:tabs>
          <w:tab w:val="clear" w:pos="8640"/>
        </w:tabs>
        <w:ind w:right="-45"/>
        <w:jc w:val="center"/>
        <w:rPr>
          <w:rFonts w:ascii="Arial" w:hAnsi="Arial" w:cs="Arial"/>
          <w:b/>
          <w:szCs w:val="24"/>
        </w:rPr>
      </w:pPr>
    </w:p>
    <w:p w14:paraId="108EB287" w14:textId="4495432A" w:rsidR="00611972" w:rsidRPr="00BC0CE1" w:rsidRDefault="00611972" w:rsidP="00611972">
      <w:pPr>
        <w:spacing w:after="0" w:line="360" w:lineRule="auto"/>
        <w:jc w:val="both"/>
        <w:rPr>
          <w:rFonts w:ascii="Arial" w:hAnsi="Arial" w:cs="Arial"/>
          <w:sz w:val="24"/>
          <w:szCs w:val="24"/>
        </w:rPr>
      </w:pPr>
      <w:r w:rsidRPr="005E0A83">
        <w:rPr>
          <w:rFonts w:ascii="Arial" w:hAnsi="Arial" w:cs="Arial"/>
          <w:sz w:val="24"/>
          <w:szCs w:val="24"/>
        </w:rPr>
        <w:t xml:space="preserve">For </w:t>
      </w:r>
      <w:r>
        <w:rPr>
          <w:rFonts w:ascii="Arial" w:hAnsi="Arial" w:cs="Arial"/>
          <w:sz w:val="24"/>
          <w:szCs w:val="24"/>
        </w:rPr>
        <w:t>4</w:t>
      </w:r>
      <w:r w:rsidRPr="00611972">
        <w:rPr>
          <w:rFonts w:ascii="Arial" w:hAnsi="Arial" w:cs="Arial"/>
          <w:sz w:val="24"/>
          <w:szCs w:val="24"/>
          <w:vertAlign w:val="superscript"/>
        </w:rPr>
        <w:t>th</w:t>
      </w:r>
      <w:r>
        <w:rPr>
          <w:rFonts w:ascii="Arial" w:hAnsi="Arial" w:cs="Arial"/>
          <w:sz w:val="24"/>
          <w:szCs w:val="24"/>
        </w:rPr>
        <w:t xml:space="preserve"> defendant</w:t>
      </w:r>
      <w:r w:rsidRPr="005E0A83">
        <w:rPr>
          <w:rFonts w:ascii="Arial" w:hAnsi="Arial" w:cs="Arial"/>
          <w:sz w:val="24"/>
          <w:szCs w:val="24"/>
        </w:rPr>
        <w:t>:</w:t>
      </w:r>
      <w:r>
        <w:rPr>
          <w:rFonts w:ascii="Arial" w:hAnsi="Arial" w:cs="Arial"/>
          <w:sz w:val="24"/>
          <w:szCs w:val="24"/>
        </w:rPr>
        <w:tab/>
        <w:t xml:space="preserve">Mr Friedman </w:t>
      </w:r>
    </w:p>
    <w:p w14:paraId="4D6394FF" w14:textId="6E3DDE51" w:rsidR="00611972" w:rsidRDefault="00611972" w:rsidP="00611972">
      <w:pPr>
        <w:spacing w:after="0" w:line="360" w:lineRule="auto"/>
        <w:ind w:left="2160" w:hanging="2160"/>
        <w:jc w:val="both"/>
        <w:rPr>
          <w:rFonts w:ascii="Arial" w:hAnsi="Arial" w:cs="Arial"/>
          <w:sz w:val="24"/>
          <w:szCs w:val="24"/>
        </w:rPr>
      </w:pPr>
      <w:r>
        <w:rPr>
          <w:rFonts w:ascii="Arial" w:hAnsi="Arial" w:cs="Arial"/>
          <w:sz w:val="24"/>
          <w:szCs w:val="24"/>
        </w:rPr>
        <w:t>Instructed by:</w:t>
      </w:r>
      <w:r>
        <w:rPr>
          <w:rFonts w:ascii="Arial" w:hAnsi="Arial" w:cs="Arial"/>
          <w:sz w:val="24"/>
          <w:szCs w:val="24"/>
        </w:rPr>
        <w:tab/>
        <w:t xml:space="preserve">Friedman Scheckter Attorneys, second Avenue, Newton Park </w:t>
      </w:r>
    </w:p>
    <w:p w14:paraId="404ACC5C" w14:textId="03E7FA7A" w:rsidR="00611972" w:rsidRDefault="00611972" w:rsidP="008B494F">
      <w:pPr>
        <w:pStyle w:val="GW13"/>
        <w:tabs>
          <w:tab w:val="clear" w:pos="8640"/>
        </w:tabs>
        <w:ind w:right="-45"/>
        <w:jc w:val="center"/>
        <w:rPr>
          <w:rFonts w:ascii="Arial" w:hAnsi="Arial" w:cs="Arial"/>
          <w:b/>
          <w:szCs w:val="24"/>
        </w:rPr>
      </w:pPr>
    </w:p>
    <w:p w14:paraId="6A3E52F3" w14:textId="45FC4F28" w:rsidR="007212F0" w:rsidRPr="00BC0CE1" w:rsidRDefault="007212F0" w:rsidP="007212F0">
      <w:pPr>
        <w:spacing w:after="0" w:line="360" w:lineRule="auto"/>
        <w:jc w:val="both"/>
        <w:rPr>
          <w:rFonts w:ascii="Arial" w:hAnsi="Arial" w:cs="Arial"/>
          <w:sz w:val="24"/>
          <w:szCs w:val="24"/>
        </w:rPr>
      </w:pPr>
      <w:r w:rsidRPr="005E0A83">
        <w:rPr>
          <w:rFonts w:ascii="Arial" w:hAnsi="Arial" w:cs="Arial"/>
          <w:sz w:val="24"/>
          <w:szCs w:val="24"/>
        </w:rPr>
        <w:t xml:space="preserve">For </w:t>
      </w:r>
      <w:r>
        <w:rPr>
          <w:rFonts w:ascii="Arial" w:hAnsi="Arial" w:cs="Arial"/>
          <w:sz w:val="24"/>
          <w:szCs w:val="24"/>
        </w:rPr>
        <w:t>8</w:t>
      </w:r>
      <w:r w:rsidRPr="00611972">
        <w:rPr>
          <w:rFonts w:ascii="Arial" w:hAnsi="Arial" w:cs="Arial"/>
          <w:sz w:val="24"/>
          <w:szCs w:val="24"/>
          <w:vertAlign w:val="superscript"/>
        </w:rPr>
        <w:t>th</w:t>
      </w:r>
      <w:r>
        <w:rPr>
          <w:rFonts w:ascii="Arial" w:hAnsi="Arial" w:cs="Arial"/>
          <w:sz w:val="24"/>
          <w:szCs w:val="24"/>
        </w:rPr>
        <w:t xml:space="preserve"> defendant</w:t>
      </w:r>
      <w:r w:rsidRPr="005E0A83">
        <w:rPr>
          <w:rFonts w:ascii="Arial" w:hAnsi="Arial" w:cs="Arial"/>
          <w:sz w:val="24"/>
          <w:szCs w:val="24"/>
        </w:rPr>
        <w:t>:</w:t>
      </w:r>
      <w:r>
        <w:rPr>
          <w:rFonts w:ascii="Arial" w:hAnsi="Arial" w:cs="Arial"/>
          <w:sz w:val="24"/>
          <w:szCs w:val="24"/>
        </w:rPr>
        <w:tab/>
        <w:t xml:space="preserve">In person </w:t>
      </w:r>
    </w:p>
    <w:p w14:paraId="7580D37D" w14:textId="77777777" w:rsidR="007212F0" w:rsidRPr="005E0A83" w:rsidRDefault="007212F0" w:rsidP="008B494F">
      <w:pPr>
        <w:pStyle w:val="GW13"/>
        <w:tabs>
          <w:tab w:val="clear" w:pos="8640"/>
        </w:tabs>
        <w:ind w:right="-45"/>
        <w:jc w:val="center"/>
        <w:rPr>
          <w:rFonts w:ascii="Arial" w:hAnsi="Arial" w:cs="Arial"/>
          <w:b/>
          <w:szCs w:val="24"/>
        </w:rPr>
      </w:pPr>
    </w:p>
    <w:p w14:paraId="75EB1381" w14:textId="7CAC8472" w:rsidR="008B494F" w:rsidRPr="005E0A83" w:rsidRDefault="008B494F" w:rsidP="008B494F">
      <w:pPr>
        <w:pStyle w:val="GW12"/>
        <w:tabs>
          <w:tab w:val="clear" w:pos="2592"/>
          <w:tab w:val="clear" w:pos="6048"/>
          <w:tab w:val="clear" w:pos="8640"/>
          <w:tab w:val="left" w:pos="2127"/>
          <w:tab w:val="right" w:pos="8931"/>
        </w:tabs>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Pr>
          <w:rFonts w:ascii="Arial" w:hAnsi="Arial" w:cs="Arial"/>
          <w:szCs w:val="24"/>
        </w:rPr>
        <w:tab/>
      </w:r>
      <w:r w:rsidRPr="005E0A83">
        <w:rPr>
          <w:rFonts w:ascii="Arial" w:hAnsi="Arial" w:cs="Arial"/>
          <w:szCs w:val="24"/>
        </w:rPr>
        <w:t>Bands AJ</w:t>
      </w:r>
    </w:p>
    <w:p w14:paraId="5658352C" w14:textId="3281E860" w:rsidR="008B494F" w:rsidRPr="005E0A83" w:rsidRDefault="008B494F" w:rsidP="008B494F">
      <w:pPr>
        <w:pStyle w:val="GW12"/>
        <w:tabs>
          <w:tab w:val="clear" w:pos="2592"/>
          <w:tab w:val="clear" w:pos="6048"/>
          <w:tab w:val="clear" w:pos="8640"/>
          <w:tab w:val="left" w:pos="2127"/>
          <w:tab w:val="right" w:pos="8931"/>
        </w:tabs>
        <w:ind w:right="-46"/>
        <w:rPr>
          <w:rFonts w:ascii="Arial" w:hAnsi="Arial" w:cs="Arial"/>
          <w:szCs w:val="24"/>
        </w:rPr>
      </w:pPr>
      <w:r w:rsidRPr="005E0A83">
        <w:rPr>
          <w:rFonts w:ascii="Arial" w:hAnsi="Arial" w:cs="Arial"/>
          <w:szCs w:val="24"/>
        </w:rPr>
        <w:lastRenderedPageBreak/>
        <w:t xml:space="preserve">Date heard: </w:t>
      </w:r>
      <w:r w:rsidRPr="005E0A83">
        <w:rPr>
          <w:rFonts w:ascii="Arial" w:hAnsi="Arial" w:cs="Arial"/>
          <w:szCs w:val="24"/>
        </w:rPr>
        <w:tab/>
      </w:r>
      <w:r w:rsidR="007212F0">
        <w:rPr>
          <w:rFonts w:ascii="Arial" w:hAnsi="Arial" w:cs="Arial"/>
          <w:szCs w:val="24"/>
        </w:rPr>
        <w:t>2 February 202</w:t>
      </w:r>
      <w:r w:rsidR="005000D8">
        <w:rPr>
          <w:rFonts w:ascii="Arial" w:hAnsi="Arial" w:cs="Arial"/>
          <w:szCs w:val="24"/>
        </w:rPr>
        <w:t>2</w:t>
      </w:r>
    </w:p>
    <w:p w14:paraId="10FCB5D3" w14:textId="7F84EE7B" w:rsidR="008B494F" w:rsidRPr="005E0A83" w:rsidRDefault="008B494F" w:rsidP="008B494F">
      <w:pPr>
        <w:pStyle w:val="GW12"/>
        <w:tabs>
          <w:tab w:val="clear" w:pos="2592"/>
          <w:tab w:val="clear" w:pos="6048"/>
          <w:tab w:val="clear" w:pos="8640"/>
          <w:tab w:val="left" w:pos="2127"/>
          <w:tab w:val="right" w:pos="8931"/>
        </w:tabs>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sidR="008621C8">
        <w:rPr>
          <w:rFonts w:ascii="Arial" w:hAnsi="Arial" w:cs="Arial"/>
          <w:szCs w:val="24"/>
        </w:rPr>
        <w:t>27</w:t>
      </w:r>
      <w:r w:rsidR="0078492F">
        <w:rPr>
          <w:rFonts w:ascii="Arial" w:hAnsi="Arial" w:cs="Arial"/>
          <w:szCs w:val="24"/>
        </w:rPr>
        <w:t xml:space="preserve"> September 202</w:t>
      </w:r>
      <w:r w:rsidR="005000D8">
        <w:rPr>
          <w:rFonts w:ascii="Arial" w:hAnsi="Arial" w:cs="Arial"/>
          <w:szCs w:val="24"/>
        </w:rPr>
        <w:t>2</w:t>
      </w:r>
    </w:p>
    <w:p w14:paraId="6D57B60B" w14:textId="77777777" w:rsidR="008B494F" w:rsidRPr="00823378" w:rsidRDefault="008B494F" w:rsidP="008B494F">
      <w:pPr>
        <w:spacing w:after="0" w:line="360" w:lineRule="auto"/>
        <w:jc w:val="both"/>
        <w:rPr>
          <w:rFonts w:ascii="Arial" w:hAnsi="Arial" w:cs="Arial"/>
          <w:sz w:val="24"/>
          <w:szCs w:val="24"/>
        </w:rPr>
      </w:pPr>
    </w:p>
    <w:p w14:paraId="1E5F1760" w14:textId="77777777" w:rsidR="00935618" w:rsidRDefault="00935618" w:rsidP="008B494F">
      <w:pPr>
        <w:spacing w:after="0" w:line="360" w:lineRule="auto"/>
      </w:pPr>
    </w:p>
    <w:sectPr w:rsidR="00935618"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58C3" w14:textId="77777777" w:rsidR="00C33130" w:rsidRDefault="00C33130" w:rsidP="008B494F">
      <w:pPr>
        <w:spacing w:after="0" w:line="240" w:lineRule="auto"/>
      </w:pPr>
      <w:r>
        <w:separator/>
      </w:r>
    </w:p>
  </w:endnote>
  <w:endnote w:type="continuationSeparator" w:id="0">
    <w:p w14:paraId="08C49063" w14:textId="77777777" w:rsidR="00C33130" w:rsidRDefault="00C33130" w:rsidP="008B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B353" w14:textId="77777777" w:rsidR="00D154BB" w:rsidRDefault="005F2ADF"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6BD2" w14:textId="77777777" w:rsidR="00C33130" w:rsidRDefault="00C33130" w:rsidP="008B494F">
      <w:pPr>
        <w:spacing w:after="0" w:line="240" w:lineRule="auto"/>
      </w:pPr>
      <w:r>
        <w:separator/>
      </w:r>
    </w:p>
  </w:footnote>
  <w:footnote w:type="continuationSeparator" w:id="0">
    <w:p w14:paraId="339779C9" w14:textId="77777777" w:rsidR="00C33130" w:rsidRDefault="00C33130" w:rsidP="008B494F">
      <w:pPr>
        <w:spacing w:after="0" w:line="240" w:lineRule="auto"/>
      </w:pPr>
      <w:r>
        <w:continuationSeparator/>
      </w:r>
    </w:p>
  </w:footnote>
  <w:footnote w:id="1">
    <w:p w14:paraId="3FE96D65" w14:textId="77777777" w:rsidR="004A41CC" w:rsidRDefault="004A41CC" w:rsidP="004A41CC">
      <w:pPr>
        <w:pStyle w:val="FootnoteText"/>
        <w:spacing w:line="360" w:lineRule="auto"/>
        <w:jc w:val="both"/>
      </w:pPr>
      <w:r>
        <w:rPr>
          <w:rStyle w:val="FootnoteReference"/>
        </w:rPr>
        <w:footnoteRef/>
      </w:r>
      <w:r>
        <w:t xml:space="preserve"> </w:t>
      </w:r>
      <w:r w:rsidRPr="00126410">
        <w:rPr>
          <w:rFonts w:ascii="Arial" w:hAnsi="Arial" w:cs="Arial"/>
        </w:rPr>
        <w:t>R471,836.99; R6,384,000.00; R18,697,889.96; R12,294,486.70; R2,919,368.09; R17,000,049.19; R28,530,164.40; R2,455,609.02; and R3,679,897.20</w:t>
      </w:r>
    </w:p>
  </w:footnote>
  <w:footnote w:id="2">
    <w:p w14:paraId="3BD90FF7" w14:textId="77777777" w:rsidR="005E4BE7" w:rsidRPr="00D765B4" w:rsidRDefault="005E4BE7" w:rsidP="00D765B4">
      <w:pPr>
        <w:pStyle w:val="FootnoteText"/>
        <w:spacing w:line="360" w:lineRule="auto"/>
        <w:jc w:val="both"/>
        <w:rPr>
          <w:rFonts w:ascii="Arial" w:hAnsi="Arial" w:cs="Arial"/>
          <w:i/>
          <w:iCs/>
        </w:rPr>
      </w:pPr>
      <w:r w:rsidRPr="00D765B4">
        <w:rPr>
          <w:rStyle w:val="FootnoteReference"/>
          <w:rFonts w:ascii="Arial" w:hAnsi="Arial" w:cs="Arial"/>
        </w:rPr>
        <w:footnoteRef/>
      </w:r>
      <w:r w:rsidRPr="00D765B4">
        <w:rPr>
          <w:rFonts w:ascii="Arial" w:hAnsi="Arial" w:cs="Arial"/>
        </w:rPr>
        <w:t xml:space="preserve"> “</w:t>
      </w:r>
      <w:r w:rsidRPr="00D765B4">
        <w:rPr>
          <w:rFonts w:ascii="Arial" w:hAnsi="Arial" w:cs="Arial"/>
          <w:i/>
          <w:iCs/>
        </w:rPr>
        <w:t>1.</w:t>
      </w:r>
      <w:r w:rsidRPr="00D765B4">
        <w:rPr>
          <w:rFonts w:ascii="Arial" w:hAnsi="Arial" w:cs="Arial"/>
          <w:i/>
          <w:iCs/>
        </w:rPr>
        <w:tab/>
        <w:t xml:space="preserve">That the questions of law as variously pleaded by the First; Second; Third; Fourth, </w:t>
      </w:r>
      <w:proofErr w:type="gramStart"/>
      <w:r w:rsidRPr="00D765B4">
        <w:rPr>
          <w:rFonts w:ascii="Arial" w:hAnsi="Arial" w:cs="Arial"/>
          <w:i/>
          <w:iCs/>
        </w:rPr>
        <w:t>Fifth</w:t>
      </w:r>
      <w:proofErr w:type="gramEnd"/>
      <w:r w:rsidRPr="00D765B4">
        <w:rPr>
          <w:rFonts w:ascii="Arial" w:hAnsi="Arial" w:cs="Arial"/>
          <w:i/>
          <w:iCs/>
        </w:rPr>
        <w:t>; Seventh and Eighth Defendants as set out hereunder, together with the liability for the costs attendant thereon, be decided separately in terms of Rule 33(4) at the commencement of the trial:</w:t>
      </w:r>
    </w:p>
    <w:p w14:paraId="11464E8D" w14:textId="04944696" w:rsidR="005E4BE7" w:rsidRPr="00D765B4" w:rsidRDefault="00862308" w:rsidP="00862308">
      <w:pPr>
        <w:pStyle w:val="FootnoteText"/>
        <w:spacing w:line="360" w:lineRule="auto"/>
        <w:ind w:left="1440" w:hanging="720"/>
        <w:jc w:val="both"/>
        <w:rPr>
          <w:rFonts w:ascii="Arial" w:hAnsi="Arial" w:cs="Arial"/>
          <w:i/>
          <w:iCs/>
        </w:rPr>
      </w:pPr>
      <w:r w:rsidRPr="00D765B4">
        <w:rPr>
          <w:rFonts w:ascii="Arial" w:hAnsi="Arial" w:cs="Arial"/>
          <w:i/>
          <w:iCs/>
        </w:rPr>
        <w:t>1.1</w:t>
      </w:r>
      <w:r w:rsidRPr="00D765B4">
        <w:rPr>
          <w:rFonts w:ascii="Arial" w:hAnsi="Arial" w:cs="Arial"/>
          <w:i/>
          <w:iCs/>
        </w:rPr>
        <w:tab/>
      </w:r>
      <w:r w:rsidR="005E4BE7" w:rsidRPr="00D765B4">
        <w:rPr>
          <w:rFonts w:ascii="Arial" w:hAnsi="Arial" w:cs="Arial"/>
          <w:i/>
          <w:iCs/>
        </w:rPr>
        <w:t xml:space="preserve">by the First Defendant in paragraphs 2.1 to 2.4 of its special </w:t>
      </w:r>
      <w:proofErr w:type="gramStart"/>
      <w:r w:rsidR="005E4BE7" w:rsidRPr="00D765B4">
        <w:rPr>
          <w:rFonts w:ascii="Arial" w:hAnsi="Arial" w:cs="Arial"/>
          <w:i/>
          <w:iCs/>
        </w:rPr>
        <w:t>plea;</w:t>
      </w:r>
      <w:proofErr w:type="gramEnd"/>
    </w:p>
    <w:p w14:paraId="51402634" w14:textId="3630AE1C" w:rsidR="005E4BE7" w:rsidRPr="00D765B4" w:rsidRDefault="00862308" w:rsidP="00862308">
      <w:pPr>
        <w:pStyle w:val="FootnoteText"/>
        <w:spacing w:line="360" w:lineRule="auto"/>
        <w:ind w:left="1440" w:hanging="720"/>
        <w:jc w:val="both"/>
        <w:rPr>
          <w:rFonts w:ascii="Arial" w:hAnsi="Arial" w:cs="Arial"/>
          <w:i/>
          <w:iCs/>
        </w:rPr>
      </w:pPr>
      <w:r w:rsidRPr="00D765B4">
        <w:rPr>
          <w:rFonts w:ascii="Arial" w:hAnsi="Arial" w:cs="Arial"/>
          <w:i/>
          <w:iCs/>
        </w:rPr>
        <w:t>1.2</w:t>
      </w:r>
      <w:r w:rsidRPr="00D765B4">
        <w:rPr>
          <w:rFonts w:ascii="Arial" w:hAnsi="Arial" w:cs="Arial"/>
          <w:i/>
          <w:iCs/>
        </w:rPr>
        <w:tab/>
      </w:r>
      <w:r w:rsidR="005E4BE7" w:rsidRPr="00D765B4">
        <w:rPr>
          <w:rFonts w:ascii="Arial" w:hAnsi="Arial" w:cs="Arial"/>
          <w:i/>
          <w:iCs/>
        </w:rPr>
        <w:t xml:space="preserve">by the Second Defendant in paragraphs 2.1 to 2.4 of his special </w:t>
      </w:r>
      <w:proofErr w:type="gramStart"/>
      <w:r w:rsidR="005E4BE7" w:rsidRPr="00D765B4">
        <w:rPr>
          <w:rFonts w:ascii="Arial" w:hAnsi="Arial" w:cs="Arial"/>
          <w:i/>
          <w:iCs/>
        </w:rPr>
        <w:t>plea;</w:t>
      </w:r>
      <w:proofErr w:type="gramEnd"/>
    </w:p>
    <w:p w14:paraId="25066E76" w14:textId="3108B5BC" w:rsidR="005E4BE7" w:rsidRPr="00D765B4" w:rsidRDefault="00862308" w:rsidP="00862308">
      <w:pPr>
        <w:pStyle w:val="FootnoteText"/>
        <w:spacing w:line="360" w:lineRule="auto"/>
        <w:ind w:left="1440" w:hanging="720"/>
        <w:jc w:val="both"/>
        <w:rPr>
          <w:rFonts w:ascii="Arial" w:hAnsi="Arial" w:cs="Arial"/>
          <w:i/>
          <w:iCs/>
        </w:rPr>
      </w:pPr>
      <w:r w:rsidRPr="00D765B4">
        <w:rPr>
          <w:rFonts w:ascii="Arial" w:hAnsi="Arial" w:cs="Arial"/>
          <w:i/>
          <w:iCs/>
        </w:rPr>
        <w:t>1.3</w:t>
      </w:r>
      <w:r w:rsidRPr="00D765B4">
        <w:rPr>
          <w:rFonts w:ascii="Arial" w:hAnsi="Arial" w:cs="Arial"/>
          <w:i/>
          <w:iCs/>
        </w:rPr>
        <w:tab/>
      </w:r>
      <w:r w:rsidR="005E4BE7" w:rsidRPr="00D765B4">
        <w:rPr>
          <w:rFonts w:ascii="Arial" w:hAnsi="Arial" w:cs="Arial"/>
          <w:i/>
          <w:iCs/>
        </w:rPr>
        <w:t xml:space="preserve">by the Third; Fifth; and Eighth Defendants in paragraphs 1.8 to 1.12 of their special </w:t>
      </w:r>
      <w:proofErr w:type="gramStart"/>
      <w:r w:rsidR="005E4BE7" w:rsidRPr="00D765B4">
        <w:rPr>
          <w:rFonts w:ascii="Arial" w:hAnsi="Arial" w:cs="Arial"/>
          <w:i/>
          <w:iCs/>
        </w:rPr>
        <w:t>plea;</w:t>
      </w:r>
      <w:proofErr w:type="gramEnd"/>
    </w:p>
    <w:p w14:paraId="02C868FB" w14:textId="6F1C702F" w:rsidR="005E4BE7" w:rsidRPr="00D765B4" w:rsidRDefault="00862308" w:rsidP="00862308">
      <w:pPr>
        <w:pStyle w:val="FootnoteText"/>
        <w:spacing w:line="360" w:lineRule="auto"/>
        <w:ind w:left="1440" w:hanging="720"/>
        <w:jc w:val="both"/>
        <w:rPr>
          <w:rFonts w:ascii="Arial" w:hAnsi="Arial" w:cs="Arial"/>
          <w:i/>
          <w:iCs/>
        </w:rPr>
      </w:pPr>
      <w:r w:rsidRPr="00D765B4">
        <w:rPr>
          <w:rFonts w:ascii="Arial" w:hAnsi="Arial" w:cs="Arial"/>
          <w:i/>
          <w:iCs/>
        </w:rPr>
        <w:t>1.4</w:t>
      </w:r>
      <w:r w:rsidRPr="00D765B4">
        <w:rPr>
          <w:rFonts w:ascii="Arial" w:hAnsi="Arial" w:cs="Arial"/>
          <w:i/>
          <w:iCs/>
        </w:rPr>
        <w:tab/>
      </w:r>
      <w:r w:rsidR="005E4BE7" w:rsidRPr="00D765B4">
        <w:rPr>
          <w:rFonts w:ascii="Arial" w:hAnsi="Arial" w:cs="Arial"/>
          <w:i/>
          <w:iCs/>
        </w:rPr>
        <w:t>by the Fourth Defendant in paragraphs 2.1 to 2.4 of her special plea; and</w:t>
      </w:r>
    </w:p>
    <w:p w14:paraId="5D701CEE" w14:textId="35AAA8D9" w:rsidR="005E4BE7" w:rsidRPr="00D765B4" w:rsidRDefault="00862308" w:rsidP="00862308">
      <w:pPr>
        <w:pStyle w:val="FootnoteText"/>
        <w:spacing w:line="360" w:lineRule="auto"/>
        <w:ind w:left="1440" w:hanging="720"/>
        <w:jc w:val="both"/>
        <w:rPr>
          <w:rFonts w:ascii="Arial" w:hAnsi="Arial" w:cs="Arial"/>
          <w:i/>
          <w:iCs/>
        </w:rPr>
      </w:pPr>
      <w:r w:rsidRPr="00D765B4">
        <w:rPr>
          <w:rFonts w:ascii="Arial" w:hAnsi="Arial" w:cs="Arial"/>
          <w:i/>
          <w:iCs/>
        </w:rPr>
        <w:t>1.5</w:t>
      </w:r>
      <w:r w:rsidRPr="00D765B4">
        <w:rPr>
          <w:rFonts w:ascii="Arial" w:hAnsi="Arial" w:cs="Arial"/>
          <w:i/>
          <w:iCs/>
        </w:rPr>
        <w:tab/>
      </w:r>
      <w:r w:rsidR="005E4BE7" w:rsidRPr="00D765B4">
        <w:rPr>
          <w:rFonts w:ascii="Arial" w:hAnsi="Arial" w:cs="Arial"/>
          <w:i/>
          <w:iCs/>
        </w:rPr>
        <w:t xml:space="preserve">by the Seventh Defendant in paragraphs 2 and 5 of his special </w:t>
      </w:r>
      <w:proofErr w:type="gramStart"/>
      <w:r w:rsidR="005E4BE7" w:rsidRPr="00D765B4">
        <w:rPr>
          <w:rFonts w:ascii="Arial" w:hAnsi="Arial" w:cs="Arial"/>
          <w:i/>
          <w:iCs/>
        </w:rPr>
        <w:t>plea;</w:t>
      </w:r>
      <w:proofErr w:type="gramEnd"/>
    </w:p>
    <w:p w14:paraId="3112B5B3" w14:textId="77777777" w:rsidR="005E4BE7" w:rsidRPr="00D765B4" w:rsidRDefault="005E4BE7" w:rsidP="00D765B4">
      <w:pPr>
        <w:pStyle w:val="FootnoteText"/>
        <w:spacing w:line="360" w:lineRule="auto"/>
        <w:jc w:val="both"/>
        <w:rPr>
          <w:rFonts w:ascii="Arial" w:hAnsi="Arial" w:cs="Arial"/>
          <w:lang w:val="en-US"/>
        </w:rPr>
      </w:pPr>
      <w:r w:rsidRPr="00D765B4">
        <w:rPr>
          <w:rFonts w:ascii="Arial" w:hAnsi="Arial" w:cs="Arial"/>
          <w:i/>
          <w:iCs/>
          <w:lang w:val="en-US"/>
        </w:rPr>
        <w:t>2.</w:t>
      </w:r>
      <w:r w:rsidRPr="00D765B4">
        <w:rPr>
          <w:rFonts w:ascii="Arial" w:hAnsi="Arial" w:cs="Arial"/>
          <w:i/>
          <w:iCs/>
          <w:lang w:val="en-US"/>
        </w:rPr>
        <w:tab/>
        <w:t>Costs are costs in the cause.</w:t>
      </w:r>
      <w:r w:rsidRPr="00D765B4">
        <w:rPr>
          <w:rFonts w:ascii="Arial" w:hAnsi="Arial" w:cs="Arial"/>
          <w:lang w:val="en-US"/>
        </w:rPr>
        <w:t>”</w:t>
      </w:r>
    </w:p>
  </w:footnote>
  <w:footnote w:id="3">
    <w:p w14:paraId="35D15956" w14:textId="3EB4EEF1" w:rsidR="005E4BE7" w:rsidRPr="00D765B4" w:rsidRDefault="005E4BE7" w:rsidP="00D765B4">
      <w:pPr>
        <w:pStyle w:val="FootnoteText"/>
        <w:spacing w:line="360" w:lineRule="auto"/>
        <w:jc w:val="both"/>
        <w:rPr>
          <w:rFonts w:ascii="Arial" w:hAnsi="Arial" w:cs="Arial"/>
        </w:rPr>
      </w:pPr>
      <w:r w:rsidRPr="00D765B4">
        <w:rPr>
          <w:rStyle w:val="FootnoteReference"/>
          <w:rFonts w:ascii="Arial" w:hAnsi="Arial" w:cs="Arial"/>
        </w:rPr>
        <w:footnoteRef/>
      </w:r>
      <w:r w:rsidRPr="00D765B4">
        <w:rPr>
          <w:rFonts w:ascii="Arial" w:hAnsi="Arial" w:cs="Arial"/>
        </w:rPr>
        <w:t xml:space="preserve"> </w:t>
      </w:r>
      <w:proofErr w:type="gramStart"/>
      <w:r w:rsidRPr="00D765B4">
        <w:rPr>
          <w:rFonts w:ascii="Arial" w:hAnsi="Arial" w:cs="Arial"/>
        </w:rPr>
        <w:t>With the exception of</w:t>
      </w:r>
      <w:proofErr w:type="gramEnd"/>
      <w:r w:rsidRPr="00D765B4">
        <w:rPr>
          <w:rFonts w:ascii="Arial" w:hAnsi="Arial" w:cs="Arial"/>
        </w:rPr>
        <w:t xml:space="preserve"> the Sixth Defendant, special pleas were raised by all defendants. </w:t>
      </w:r>
    </w:p>
  </w:footnote>
  <w:footnote w:id="4">
    <w:p w14:paraId="2604454E" w14:textId="66C7340D" w:rsidR="00540550" w:rsidRDefault="00540550" w:rsidP="00D765B4">
      <w:pPr>
        <w:pStyle w:val="FootnoteText"/>
        <w:spacing w:line="360" w:lineRule="auto"/>
        <w:jc w:val="both"/>
      </w:pPr>
      <w:r w:rsidRPr="00D765B4">
        <w:rPr>
          <w:rStyle w:val="FootnoteReference"/>
          <w:rFonts w:ascii="Arial" w:hAnsi="Arial" w:cs="Arial"/>
        </w:rPr>
        <w:footnoteRef/>
      </w:r>
      <w:r w:rsidRPr="00D765B4">
        <w:rPr>
          <w:rFonts w:ascii="Arial" w:hAnsi="Arial" w:cs="Arial"/>
        </w:rPr>
        <w:t xml:space="preserve"> Pleadings bundle p 502d.</w:t>
      </w:r>
      <w:r>
        <w:t xml:space="preserve"> </w:t>
      </w:r>
    </w:p>
  </w:footnote>
  <w:footnote w:id="5">
    <w:p w14:paraId="4D1C8CF3" w14:textId="11C52A5F" w:rsidR="00F42F17" w:rsidRPr="00620DAE" w:rsidRDefault="00F42F17" w:rsidP="00620DAE">
      <w:pPr>
        <w:pStyle w:val="FootnoteText"/>
        <w:spacing w:line="360" w:lineRule="auto"/>
        <w:rPr>
          <w:rFonts w:ascii="Arial" w:hAnsi="Arial" w:cs="Arial"/>
        </w:rPr>
      </w:pPr>
      <w:r w:rsidRPr="00620DAE">
        <w:rPr>
          <w:rStyle w:val="FootnoteReference"/>
          <w:rFonts w:ascii="Arial" w:hAnsi="Arial" w:cs="Arial"/>
        </w:rPr>
        <w:footnoteRef/>
      </w:r>
      <w:r w:rsidRPr="00620DAE">
        <w:rPr>
          <w:rFonts w:ascii="Arial" w:hAnsi="Arial" w:cs="Arial"/>
        </w:rPr>
        <w:t xml:space="preserve"> Now represented herein by the execut</w:t>
      </w:r>
      <w:r w:rsidR="003C2608">
        <w:rPr>
          <w:rFonts w:ascii="Arial" w:hAnsi="Arial" w:cs="Arial"/>
        </w:rPr>
        <w:t>rix</w:t>
      </w:r>
      <w:r w:rsidRPr="00620DAE">
        <w:rPr>
          <w:rFonts w:ascii="Arial" w:hAnsi="Arial" w:cs="Arial"/>
        </w:rPr>
        <w:t xml:space="preserve"> of his estate.</w:t>
      </w:r>
    </w:p>
  </w:footnote>
  <w:footnote w:id="6">
    <w:p w14:paraId="21C0BE70" w14:textId="4BF004F7" w:rsidR="00E325B1" w:rsidRPr="00F01E1E" w:rsidRDefault="00E325B1" w:rsidP="00F01E1E">
      <w:pPr>
        <w:pStyle w:val="FootnoteText"/>
        <w:spacing w:line="360" w:lineRule="auto"/>
        <w:jc w:val="both"/>
        <w:rPr>
          <w:rFonts w:ascii="Arial" w:hAnsi="Arial" w:cs="Arial"/>
        </w:rPr>
      </w:pPr>
      <w:r w:rsidRPr="00F01E1E">
        <w:rPr>
          <w:rStyle w:val="FootnoteReference"/>
          <w:rFonts w:ascii="Arial" w:hAnsi="Arial" w:cs="Arial"/>
        </w:rPr>
        <w:footnoteRef/>
      </w:r>
      <w:r w:rsidRPr="00F01E1E">
        <w:rPr>
          <w:rFonts w:ascii="Arial" w:hAnsi="Arial" w:cs="Arial"/>
        </w:rPr>
        <w:t xml:space="preserve"> Pleadings bundle </w:t>
      </w:r>
      <w:r w:rsidR="000524B1" w:rsidRPr="00F01E1E">
        <w:rPr>
          <w:rFonts w:ascii="Arial" w:hAnsi="Arial" w:cs="Arial"/>
        </w:rPr>
        <w:t>page 532c at paragraph 2.1, read with 2.2 (in respect of the second defendant); and pages 588c and 588d at paragraph 2.1, read with 2.2 (in respect of the fourth defendant)</w:t>
      </w:r>
    </w:p>
  </w:footnote>
  <w:footnote w:id="7">
    <w:p w14:paraId="411F26EF" w14:textId="32149188" w:rsidR="00480E6C" w:rsidRDefault="00480E6C" w:rsidP="00F01E1E">
      <w:pPr>
        <w:pStyle w:val="FootnoteText"/>
        <w:spacing w:line="360" w:lineRule="auto"/>
        <w:jc w:val="both"/>
      </w:pPr>
      <w:r w:rsidRPr="00F01E1E">
        <w:rPr>
          <w:rStyle w:val="FootnoteReference"/>
          <w:rFonts w:ascii="Arial" w:hAnsi="Arial" w:cs="Arial"/>
        </w:rPr>
        <w:footnoteRef/>
      </w:r>
      <w:r w:rsidRPr="00F01E1E">
        <w:rPr>
          <w:rFonts w:ascii="Arial" w:hAnsi="Arial" w:cs="Arial"/>
        </w:rPr>
        <w:t xml:space="preserve"> Pleadings bundle page 74.</w:t>
      </w:r>
    </w:p>
  </w:footnote>
  <w:footnote w:id="8">
    <w:p w14:paraId="6907FE3D" w14:textId="7EC963FB" w:rsidR="00533428" w:rsidRPr="006860CA" w:rsidRDefault="00533428" w:rsidP="006860CA">
      <w:pPr>
        <w:pStyle w:val="FootnoteText"/>
        <w:spacing w:line="360" w:lineRule="auto"/>
        <w:rPr>
          <w:rFonts w:ascii="Arial" w:hAnsi="Arial" w:cs="Arial"/>
        </w:rPr>
      </w:pPr>
      <w:r w:rsidRPr="006860CA">
        <w:rPr>
          <w:rStyle w:val="FootnoteReference"/>
          <w:rFonts w:ascii="Arial" w:hAnsi="Arial" w:cs="Arial"/>
        </w:rPr>
        <w:footnoteRef/>
      </w:r>
      <w:r w:rsidRPr="006860CA">
        <w:rPr>
          <w:rFonts w:ascii="Arial" w:hAnsi="Arial" w:cs="Arial"/>
        </w:rPr>
        <w:t xml:space="preserve"> </w:t>
      </w:r>
      <w:r w:rsidRPr="00313894">
        <w:rPr>
          <w:rFonts w:ascii="Arial" w:hAnsi="Arial" w:cs="Arial"/>
          <w:i/>
          <w:iCs/>
        </w:rPr>
        <w:t>Steenkamp NO v Provincial Tender Board, Eastern Cape</w:t>
      </w:r>
      <w:r w:rsidRPr="006860CA">
        <w:rPr>
          <w:rFonts w:ascii="Arial" w:hAnsi="Arial" w:cs="Arial"/>
        </w:rPr>
        <w:t xml:space="preserve"> 2007 (3) SA 121 (CC) at paragraph 21.</w:t>
      </w:r>
    </w:p>
  </w:footnote>
  <w:footnote w:id="9">
    <w:p w14:paraId="1689425F" w14:textId="5FD2C0D9" w:rsidR="00A54586" w:rsidRPr="006860CA" w:rsidRDefault="00A54586" w:rsidP="006860CA">
      <w:pPr>
        <w:pStyle w:val="FootnoteText"/>
        <w:spacing w:line="360" w:lineRule="auto"/>
        <w:rPr>
          <w:rFonts w:ascii="Arial" w:hAnsi="Arial" w:cs="Arial"/>
        </w:rPr>
      </w:pPr>
      <w:r w:rsidRPr="006860CA">
        <w:rPr>
          <w:rStyle w:val="FootnoteReference"/>
          <w:rFonts w:ascii="Arial" w:hAnsi="Arial" w:cs="Arial"/>
        </w:rPr>
        <w:footnoteRef/>
      </w:r>
      <w:r w:rsidRPr="006860CA">
        <w:rPr>
          <w:rFonts w:ascii="Arial" w:hAnsi="Arial" w:cs="Arial"/>
        </w:rPr>
        <w:t xml:space="preserve"> [2019] 2 All SA 307 (SCA) at paragraph 11.</w:t>
      </w:r>
    </w:p>
  </w:footnote>
  <w:footnote w:id="10">
    <w:p w14:paraId="6222FBEB" w14:textId="01A2C0B7" w:rsidR="00CB32D3" w:rsidRDefault="00CB32D3" w:rsidP="006860CA">
      <w:pPr>
        <w:pStyle w:val="FootnoteText"/>
        <w:spacing w:line="360" w:lineRule="auto"/>
      </w:pPr>
      <w:r w:rsidRPr="006860CA">
        <w:rPr>
          <w:rStyle w:val="FootnoteReference"/>
          <w:rFonts w:ascii="Arial" w:hAnsi="Arial" w:cs="Arial"/>
        </w:rPr>
        <w:footnoteRef/>
      </w:r>
      <w:r w:rsidRPr="006860CA">
        <w:rPr>
          <w:rFonts w:ascii="Arial" w:hAnsi="Arial" w:cs="Arial"/>
        </w:rPr>
        <w:t xml:space="preserve"> (410/09) [2010] ZASCA 94 (19 July 2010)</w:t>
      </w:r>
      <w:r w:rsidR="00DF78FB" w:rsidRPr="006860CA">
        <w:rPr>
          <w:rFonts w:ascii="Arial" w:hAnsi="Arial" w:cs="Arial"/>
        </w:rPr>
        <w:t xml:space="preserve"> at paragraph 44.</w:t>
      </w:r>
    </w:p>
  </w:footnote>
  <w:footnote w:id="11">
    <w:p w14:paraId="0FFA2433" w14:textId="227D4837" w:rsidR="00260CCA" w:rsidRPr="00231898" w:rsidRDefault="00260CCA" w:rsidP="00231898">
      <w:pPr>
        <w:pStyle w:val="FootnoteText"/>
        <w:spacing w:line="360" w:lineRule="auto"/>
        <w:rPr>
          <w:rFonts w:ascii="Arial" w:hAnsi="Arial" w:cs="Arial"/>
        </w:rPr>
      </w:pPr>
      <w:r w:rsidRPr="00231898">
        <w:rPr>
          <w:rStyle w:val="FootnoteReference"/>
          <w:rFonts w:ascii="Arial" w:hAnsi="Arial" w:cs="Arial"/>
        </w:rPr>
        <w:footnoteRef/>
      </w:r>
      <w:r w:rsidRPr="00231898">
        <w:rPr>
          <w:rFonts w:ascii="Arial" w:hAnsi="Arial" w:cs="Arial"/>
        </w:rPr>
        <w:t xml:space="preserve"> 2004 (6) SA 622 SCA.</w:t>
      </w:r>
    </w:p>
  </w:footnote>
  <w:footnote w:id="12">
    <w:p w14:paraId="59B618F1" w14:textId="5010D45F" w:rsidR="00231898" w:rsidRPr="00231898" w:rsidRDefault="00231898" w:rsidP="00231898">
      <w:pPr>
        <w:pStyle w:val="Heading2"/>
        <w:shd w:val="clear" w:color="auto" w:fill="FFFFFF"/>
        <w:spacing w:before="0" w:beforeAutospacing="0" w:after="0" w:afterAutospacing="0" w:line="360" w:lineRule="auto"/>
        <w:rPr>
          <w:rFonts w:ascii="Arial" w:hAnsi="Arial" w:cs="Arial"/>
          <w:b w:val="0"/>
          <w:bCs w:val="0"/>
          <w:sz w:val="20"/>
          <w:szCs w:val="20"/>
        </w:rPr>
      </w:pPr>
      <w:r w:rsidRPr="00231898">
        <w:rPr>
          <w:rStyle w:val="FootnoteReference"/>
          <w:rFonts w:ascii="Arial" w:hAnsi="Arial" w:cs="Arial"/>
          <w:sz w:val="20"/>
          <w:szCs w:val="20"/>
        </w:rPr>
        <w:footnoteRef/>
      </w:r>
      <w:r w:rsidRPr="00231898">
        <w:rPr>
          <w:rFonts w:ascii="Arial" w:hAnsi="Arial" w:cs="Arial"/>
          <w:sz w:val="20"/>
          <w:szCs w:val="20"/>
        </w:rPr>
        <w:t xml:space="preserve"> </w:t>
      </w:r>
      <w:r w:rsidRPr="00231898">
        <w:rPr>
          <w:rFonts w:ascii="Arial" w:hAnsi="Arial" w:cs="Arial"/>
          <w:b w:val="0"/>
          <w:bCs w:val="0"/>
          <w:i/>
          <w:iCs/>
          <w:sz w:val="20"/>
          <w:szCs w:val="20"/>
        </w:rPr>
        <w:t xml:space="preserve">State Information Technology Agency SOC Limited v </w:t>
      </w:r>
      <w:proofErr w:type="spellStart"/>
      <w:r w:rsidRPr="00231898">
        <w:rPr>
          <w:rFonts w:ascii="Arial" w:hAnsi="Arial" w:cs="Arial"/>
          <w:b w:val="0"/>
          <w:bCs w:val="0"/>
          <w:i/>
          <w:iCs/>
          <w:sz w:val="20"/>
          <w:szCs w:val="20"/>
        </w:rPr>
        <w:t>Gijima</w:t>
      </w:r>
      <w:proofErr w:type="spellEnd"/>
      <w:r w:rsidRPr="00231898">
        <w:rPr>
          <w:rFonts w:ascii="Arial" w:hAnsi="Arial" w:cs="Arial"/>
          <w:b w:val="0"/>
          <w:bCs w:val="0"/>
          <w:i/>
          <w:iCs/>
          <w:sz w:val="20"/>
          <w:szCs w:val="20"/>
        </w:rPr>
        <w:t xml:space="preserve"> Holdings (Pty) Limited</w:t>
      </w:r>
      <w:r w:rsidRPr="00231898">
        <w:rPr>
          <w:rFonts w:ascii="Arial" w:hAnsi="Arial" w:cs="Arial"/>
          <w:b w:val="0"/>
          <w:bCs w:val="0"/>
          <w:sz w:val="20"/>
          <w:szCs w:val="20"/>
        </w:rPr>
        <w:t> 2018 (2) SA 23 (CC)</w:t>
      </w:r>
      <w:r>
        <w:rPr>
          <w:rFonts w:ascii="Arial" w:hAnsi="Arial" w:cs="Arial"/>
          <w:b w:val="0"/>
          <w:bCs w:val="0"/>
          <w:sz w:val="20"/>
          <w:szCs w:val="20"/>
        </w:rPr>
        <w:t>.</w:t>
      </w:r>
    </w:p>
  </w:footnote>
  <w:footnote w:id="13">
    <w:p w14:paraId="6EF8CCFB" w14:textId="0459E8CF" w:rsidR="00D45012" w:rsidRPr="00D45012" w:rsidRDefault="00D45012" w:rsidP="00D45012">
      <w:pPr>
        <w:pStyle w:val="Heading2"/>
        <w:shd w:val="clear" w:color="auto" w:fill="FFFFFF"/>
        <w:spacing w:before="0" w:beforeAutospacing="0" w:after="0" w:afterAutospacing="0" w:line="360" w:lineRule="auto"/>
        <w:rPr>
          <w:rFonts w:ascii="Arial" w:hAnsi="Arial" w:cs="Arial"/>
          <w:b w:val="0"/>
          <w:bCs w:val="0"/>
          <w:sz w:val="20"/>
          <w:szCs w:val="20"/>
        </w:rPr>
      </w:pPr>
      <w:r w:rsidRPr="00D45012">
        <w:rPr>
          <w:rStyle w:val="FootnoteReference"/>
          <w:rFonts w:ascii="Arial" w:hAnsi="Arial" w:cs="Arial"/>
          <w:sz w:val="20"/>
          <w:szCs w:val="20"/>
        </w:rPr>
        <w:footnoteRef/>
      </w:r>
      <w:r w:rsidRPr="00D45012">
        <w:rPr>
          <w:rFonts w:ascii="Arial" w:hAnsi="Arial" w:cs="Arial"/>
          <w:sz w:val="20"/>
          <w:szCs w:val="20"/>
        </w:rPr>
        <w:t xml:space="preserve"> </w:t>
      </w:r>
      <w:r w:rsidRPr="00D45012">
        <w:rPr>
          <w:rFonts w:ascii="Arial" w:hAnsi="Arial" w:cs="Arial"/>
          <w:b w:val="0"/>
          <w:bCs w:val="0"/>
          <w:sz w:val="20"/>
          <w:szCs w:val="20"/>
        </w:rPr>
        <w:t>2014 (3) SA 481 (CC)</w:t>
      </w:r>
      <w:r>
        <w:rPr>
          <w:rFonts w:ascii="Arial" w:hAnsi="Arial" w:cs="Arial"/>
          <w:b w:val="0"/>
          <w:bCs w:val="0"/>
          <w:sz w:val="20"/>
          <w:szCs w:val="20"/>
        </w:rPr>
        <w:t>.</w:t>
      </w:r>
    </w:p>
    <w:p w14:paraId="050E25AD" w14:textId="59DCB9C2" w:rsidR="00D45012" w:rsidRDefault="00D450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4942FEB4" w14:textId="03FFDF29" w:rsidR="00840E2F" w:rsidRDefault="005F2AD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77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7E7">
          <w:rPr>
            <w:b/>
            <w:bCs/>
            <w:noProof/>
          </w:rPr>
          <w:t>13</w:t>
        </w:r>
        <w:r>
          <w:rPr>
            <w:b/>
            <w:bCs/>
            <w:sz w:val="24"/>
            <w:szCs w:val="24"/>
          </w:rPr>
          <w:fldChar w:fldCharType="end"/>
        </w:r>
      </w:p>
    </w:sdtContent>
  </w:sdt>
  <w:p w14:paraId="2A321EA0" w14:textId="77777777" w:rsidR="00840E2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E4D1880"/>
    <w:multiLevelType w:val="multilevel"/>
    <w:tmpl w:val="7192476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E386E42"/>
    <w:multiLevelType w:val="hybridMultilevel"/>
    <w:tmpl w:val="28FA718E"/>
    <w:lvl w:ilvl="0" w:tplc="7BCE1BC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46558660">
    <w:abstractNumId w:val="1"/>
  </w:num>
  <w:num w:numId="2" w16cid:durableId="602153578">
    <w:abstractNumId w:val="0"/>
  </w:num>
  <w:num w:numId="3" w16cid:durableId="1102992126">
    <w:abstractNumId w:val="2"/>
  </w:num>
  <w:num w:numId="4" w16cid:durableId="1882202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4F"/>
    <w:rsid w:val="00002B34"/>
    <w:rsid w:val="00003F2F"/>
    <w:rsid w:val="00012D75"/>
    <w:rsid w:val="00022BB1"/>
    <w:rsid w:val="000236EE"/>
    <w:rsid w:val="00030B01"/>
    <w:rsid w:val="000524B1"/>
    <w:rsid w:val="00056788"/>
    <w:rsid w:val="0006176B"/>
    <w:rsid w:val="000A6332"/>
    <w:rsid w:val="000B431A"/>
    <w:rsid w:val="000E1AF8"/>
    <w:rsid w:val="000E3CB5"/>
    <w:rsid w:val="000E4CAA"/>
    <w:rsid w:val="000E7655"/>
    <w:rsid w:val="000F07BE"/>
    <w:rsid w:val="000F7E19"/>
    <w:rsid w:val="0010376C"/>
    <w:rsid w:val="0011550B"/>
    <w:rsid w:val="00126410"/>
    <w:rsid w:val="00141FF1"/>
    <w:rsid w:val="001427F2"/>
    <w:rsid w:val="00170DBD"/>
    <w:rsid w:val="001722C2"/>
    <w:rsid w:val="00192DF1"/>
    <w:rsid w:val="001948A5"/>
    <w:rsid w:val="001949A7"/>
    <w:rsid w:val="001A42AE"/>
    <w:rsid w:val="001C3DB4"/>
    <w:rsid w:val="001C74F1"/>
    <w:rsid w:val="001D0CAF"/>
    <w:rsid w:val="001E73B8"/>
    <w:rsid w:val="001F4419"/>
    <w:rsid w:val="001F6CF4"/>
    <w:rsid w:val="002115E9"/>
    <w:rsid w:val="00231898"/>
    <w:rsid w:val="00260CCA"/>
    <w:rsid w:val="002920D7"/>
    <w:rsid w:val="00292DE6"/>
    <w:rsid w:val="002B3C8F"/>
    <w:rsid w:val="002D377F"/>
    <w:rsid w:val="002F6CD0"/>
    <w:rsid w:val="003024AE"/>
    <w:rsid w:val="00313894"/>
    <w:rsid w:val="003164EC"/>
    <w:rsid w:val="0034629C"/>
    <w:rsid w:val="00357963"/>
    <w:rsid w:val="00390C90"/>
    <w:rsid w:val="00395EBE"/>
    <w:rsid w:val="003A1A5F"/>
    <w:rsid w:val="003C2608"/>
    <w:rsid w:val="003E15B8"/>
    <w:rsid w:val="00426EE8"/>
    <w:rsid w:val="0045094D"/>
    <w:rsid w:val="00476D73"/>
    <w:rsid w:val="00480E6C"/>
    <w:rsid w:val="00491A4C"/>
    <w:rsid w:val="00492F1A"/>
    <w:rsid w:val="0049434A"/>
    <w:rsid w:val="004A41CC"/>
    <w:rsid w:val="004A4297"/>
    <w:rsid w:val="004F3ACE"/>
    <w:rsid w:val="005000D8"/>
    <w:rsid w:val="0052365B"/>
    <w:rsid w:val="00526D10"/>
    <w:rsid w:val="00533428"/>
    <w:rsid w:val="00534309"/>
    <w:rsid w:val="00540550"/>
    <w:rsid w:val="00544D7E"/>
    <w:rsid w:val="0056602E"/>
    <w:rsid w:val="005660F7"/>
    <w:rsid w:val="00583021"/>
    <w:rsid w:val="005B262C"/>
    <w:rsid w:val="005C03B5"/>
    <w:rsid w:val="005E4BE7"/>
    <w:rsid w:val="005F019C"/>
    <w:rsid w:val="005F2ADF"/>
    <w:rsid w:val="00604E83"/>
    <w:rsid w:val="00611972"/>
    <w:rsid w:val="00620DAE"/>
    <w:rsid w:val="00635686"/>
    <w:rsid w:val="006401B6"/>
    <w:rsid w:val="00652CA1"/>
    <w:rsid w:val="00670B26"/>
    <w:rsid w:val="00683503"/>
    <w:rsid w:val="006860CA"/>
    <w:rsid w:val="00692139"/>
    <w:rsid w:val="006A691A"/>
    <w:rsid w:val="006B3A13"/>
    <w:rsid w:val="006B6CC8"/>
    <w:rsid w:val="006C6ADF"/>
    <w:rsid w:val="007041F7"/>
    <w:rsid w:val="007212F0"/>
    <w:rsid w:val="00723451"/>
    <w:rsid w:val="00734FBF"/>
    <w:rsid w:val="0078492F"/>
    <w:rsid w:val="007B55AD"/>
    <w:rsid w:val="007C4386"/>
    <w:rsid w:val="007D2C85"/>
    <w:rsid w:val="007D5EC8"/>
    <w:rsid w:val="007D6677"/>
    <w:rsid w:val="007F0133"/>
    <w:rsid w:val="00800DC3"/>
    <w:rsid w:val="00803E8D"/>
    <w:rsid w:val="00825C35"/>
    <w:rsid w:val="00845C20"/>
    <w:rsid w:val="008475CA"/>
    <w:rsid w:val="0085791F"/>
    <w:rsid w:val="008621C8"/>
    <w:rsid w:val="00862308"/>
    <w:rsid w:val="008B164F"/>
    <w:rsid w:val="008B494F"/>
    <w:rsid w:val="008E028D"/>
    <w:rsid w:val="009245CC"/>
    <w:rsid w:val="00935618"/>
    <w:rsid w:val="009B2807"/>
    <w:rsid w:val="009B5A58"/>
    <w:rsid w:val="009C2C75"/>
    <w:rsid w:val="009C3B15"/>
    <w:rsid w:val="00A12D08"/>
    <w:rsid w:val="00A21ED7"/>
    <w:rsid w:val="00A23443"/>
    <w:rsid w:val="00A277E7"/>
    <w:rsid w:val="00A42C37"/>
    <w:rsid w:val="00A54586"/>
    <w:rsid w:val="00A71394"/>
    <w:rsid w:val="00A804CC"/>
    <w:rsid w:val="00A84958"/>
    <w:rsid w:val="00AB0F84"/>
    <w:rsid w:val="00AE40FA"/>
    <w:rsid w:val="00AF2DFF"/>
    <w:rsid w:val="00B25431"/>
    <w:rsid w:val="00B44178"/>
    <w:rsid w:val="00B65B52"/>
    <w:rsid w:val="00B66A58"/>
    <w:rsid w:val="00B81B3A"/>
    <w:rsid w:val="00B930D0"/>
    <w:rsid w:val="00B96D91"/>
    <w:rsid w:val="00BA78C4"/>
    <w:rsid w:val="00BB5159"/>
    <w:rsid w:val="00BB747E"/>
    <w:rsid w:val="00BC57BB"/>
    <w:rsid w:val="00BD0900"/>
    <w:rsid w:val="00C24EF9"/>
    <w:rsid w:val="00C265D3"/>
    <w:rsid w:val="00C27C99"/>
    <w:rsid w:val="00C33130"/>
    <w:rsid w:val="00C407D4"/>
    <w:rsid w:val="00C53B49"/>
    <w:rsid w:val="00C77E41"/>
    <w:rsid w:val="00C827C0"/>
    <w:rsid w:val="00CB32D3"/>
    <w:rsid w:val="00CB60C3"/>
    <w:rsid w:val="00CE32AC"/>
    <w:rsid w:val="00CF6C2C"/>
    <w:rsid w:val="00CF6DCA"/>
    <w:rsid w:val="00D24F0D"/>
    <w:rsid w:val="00D34EA1"/>
    <w:rsid w:val="00D45012"/>
    <w:rsid w:val="00D536B9"/>
    <w:rsid w:val="00D765B4"/>
    <w:rsid w:val="00D90A10"/>
    <w:rsid w:val="00D95A83"/>
    <w:rsid w:val="00D96E62"/>
    <w:rsid w:val="00DA34FE"/>
    <w:rsid w:val="00DA54AE"/>
    <w:rsid w:val="00DC093E"/>
    <w:rsid w:val="00DC489E"/>
    <w:rsid w:val="00DC5273"/>
    <w:rsid w:val="00DD4CA2"/>
    <w:rsid w:val="00DF1A35"/>
    <w:rsid w:val="00DF78FB"/>
    <w:rsid w:val="00E1336E"/>
    <w:rsid w:val="00E13766"/>
    <w:rsid w:val="00E22D9D"/>
    <w:rsid w:val="00E325B1"/>
    <w:rsid w:val="00E524A7"/>
    <w:rsid w:val="00E6257D"/>
    <w:rsid w:val="00E66374"/>
    <w:rsid w:val="00E87663"/>
    <w:rsid w:val="00E87A08"/>
    <w:rsid w:val="00EA5EAE"/>
    <w:rsid w:val="00EB18E5"/>
    <w:rsid w:val="00EB3405"/>
    <w:rsid w:val="00ED7F86"/>
    <w:rsid w:val="00EE01AB"/>
    <w:rsid w:val="00EE382A"/>
    <w:rsid w:val="00EE5CFE"/>
    <w:rsid w:val="00EF1486"/>
    <w:rsid w:val="00F01E1E"/>
    <w:rsid w:val="00F10FC1"/>
    <w:rsid w:val="00F15170"/>
    <w:rsid w:val="00F33CEB"/>
    <w:rsid w:val="00F41B50"/>
    <w:rsid w:val="00F42F17"/>
    <w:rsid w:val="00F92853"/>
    <w:rsid w:val="00FC47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F45"/>
  <w15:chartTrackingRefBased/>
  <w15:docId w15:val="{3F4A4E15-CD26-4C4E-A33B-AF0BD35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4F"/>
    <w:pPr>
      <w:spacing w:after="200" w:line="276" w:lineRule="auto"/>
    </w:pPr>
  </w:style>
  <w:style w:type="paragraph" w:styleId="Heading2">
    <w:name w:val="heading 2"/>
    <w:basedOn w:val="Normal"/>
    <w:link w:val="Heading2Char"/>
    <w:uiPriority w:val="9"/>
    <w:qFormat/>
    <w:rsid w:val="00D4501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4F"/>
  </w:style>
  <w:style w:type="paragraph" w:styleId="Footer">
    <w:name w:val="footer"/>
    <w:basedOn w:val="Normal"/>
    <w:link w:val="FooterChar"/>
    <w:uiPriority w:val="99"/>
    <w:unhideWhenUsed/>
    <w:rsid w:val="008B4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4F"/>
  </w:style>
  <w:style w:type="paragraph" w:styleId="ListParagraph">
    <w:name w:val="List Paragraph"/>
    <w:basedOn w:val="Normal"/>
    <w:link w:val="ListParagraphChar"/>
    <w:uiPriority w:val="34"/>
    <w:qFormat/>
    <w:rsid w:val="008B494F"/>
    <w:pPr>
      <w:spacing w:after="160" w:line="259" w:lineRule="auto"/>
      <w:ind w:left="720"/>
      <w:contextualSpacing/>
    </w:pPr>
  </w:style>
  <w:style w:type="paragraph" w:customStyle="1" w:styleId="GW12">
    <w:name w:val="GW1.2"/>
    <w:basedOn w:val="Normal"/>
    <w:rsid w:val="008B494F"/>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8B494F"/>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FootnoteText">
    <w:name w:val="footnote text"/>
    <w:basedOn w:val="Normal"/>
    <w:link w:val="FootnoteTextChar"/>
    <w:uiPriority w:val="99"/>
    <w:unhideWhenUsed/>
    <w:rsid w:val="008B494F"/>
    <w:pPr>
      <w:spacing w:after="0" w:line="240" w:lineRule="auto"/>
    </w:pPr>
    <w:rPr>
      <w:sz w:val="20"/>
      <w:szCs w:val="20"/>
    </w:rPr>
  </w:style>
  <w:style w:type="character" w:customStyle="1" w:styleId="FootnoteTextChar">
    <w:name w:val="Footnote Text Char"/>
    <w:basedOn w:val="DefaultParagraphFont"/>
    <w:link w:val="FootnoteText"/>
    <w:uiPriority w:val="99"/>
    <w:rsid w:val="008B494F"/>
    <w:rPr>
      <w:sz w:val="20"/>
      <w:szCs w:val="20"/>
    </w:rPr>
  </w:style>
  <w:style w:type="character" w:styleId="FootnoteReference">
    <w:name w:val="footnote reference"/>
    <w:basedOn w:val="DefaultParagraphFont"/>
    <w:uiPriority w:val="99"/>
    <w:semiHidden/>
    <w:unhideWhenUsed/>
    <w:rsid w:val="008B494F"/>
    <w:rPr>
      <w:vertAlign w:val="superscript"/>
    </w:rPr>
  </w:style>
  <w:style w:type="character" w:customStyle="1" w:styleId="ListParagraphChar">
    <w:name w:val="List Paragraph Char"/>
    <w:link w:val="ListParagraph"/>
    <w:uiPriority w:val="34"/>
    <w:rsid w:val="008B494F"/>
  </w:style>
  <w:style w:type="character" w:styleId="Hyperlink">
    <w:name w:val="Hyperlink"/>
    <w:basedOn w:val="DefaultParagraphFont"/>
    <w:uiPriority w:val="99"/>
    <w:semiHidden/>
    <w:unhideWhenUsed/>
    <w:rsid w:val="008B494F"/>
    <w:rPr>
      <w:color w:val="0000FF"/>
      <w:u w:val="single"/>
    </w:rPr>
  </w:style>
  <w:style w:type="paragraph" w:styleId="NormalWeb">
    <w:name w:val="Normal (Web)"/>
    <w:basedOn w:val="Normal"/>
    <w:uiPriority w:val="99"/>
    <w:semiHidden/>
    <w:unhideWhenUsed/>
    <w:rsid w:val="009C3B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D45012"/>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068">
      <w:bodyDiv w:val="1"/>
      <w:marLeft w:val="0"/>
      <w:marRight w:val="0"/>
      <w:marTop w:val="0"/>
      <w:marBottom w:val="0"/>
      <w:divBdr>
        <w:top w:val="none" w:sz="0" w:space="0" w:color="auto"/>
        <w:left w:val="none" w:sz="0" w:space="0" w:color="auto"/>
        <w:bottom w:val="none" w:sz="0" w:space="0" w:color="auto"/>
        <w:right w:val="none" w:sz="0" w:space="0" w:color="auto"/>
      </w:divBdr>
      <w:divsChild>
        <w:div w:id="553349577">
          <w:marLeft w:val="0"/>
          <w:marRight w:val="0"/>
          <w:marTop w:val="0"/>
          <w:marBottom w:val="225"/>
          <w:divBdr>
            <w:top w:val="single" w:sz="24" w:space="0" w:color="auto"/>
            <w:left w:val="single" w:sz="24" w:space="0" w:color="auto"/>
            <w:bottom w:val="single" w:sz="36" w:space="0" w:color="003300"/>
            <w:right w:val="single" w:sz="24" w:space="0" w:color="auto"/>
          </w:divBdr>
          <w:divsChild>
            <w:div w:id="1163282305">
              <w:marLeft w:val="0"/>
              <w:marRight w:val="0"/>
              <w:marTop w:val="0"/>
              <w:marBottom w:val="0"/>
              <w:divBdr>
                <w:top w:val="none" w:sz="0" w:space="0" w:color="auto"/>
                <w:left w:val="none" w:sz="0" w:space="0" w:color="auto"/>
                <w:bottom w:val="none" w:sz="0" w:space="0" w:color="auto"/>
                <w:right w:val="none" w:sz="0" w:space="0" w:color="auto"/>
              </w:divBdr>
            </w:div>
          </w:divsChild>
        </w:div>
        <w:div w:id="20399716">
          <w:marLeft w:val="0"/>
          <w:marRight w:val="0"/>
          <w:marTop w:val="0"/>
          <w:marBottom w:val="0"/>
          <w:divBdr>
            <w:top w:val="none" w:sz="0" w:space="0" w:color="auto"/>
            <w:left w:val="none" w:sz="0" w:space="0" w:color="auto"/>
            <w:bottom w:val="none" w:sz="0" w:space="0" w:color="auto"/>
            <w:right w:val="none" w:sz="0" w:space="0" w:color="auto"/>
          </w:divBdr>
          <w:divsChild>
            <w:div w:id="1081221129">
              <w:marLeft w:val="0"/>
              <w:marRight w:val="0"/>
              <w:marTop w:val="0"/>
              <w:marBottom w:val="0"/>
              <w:divBdr>
                <w:top w:val="none" w:sz="0" w:space="0" w:color="auto"/>
                <w:left w:val="none" w:sz="0" w:space="0" w:color="auto"/>
                <w:bottom w:val="none" w:sz="0" w:space="0" w:color="auto"/>
                <w:right w:val="none" w:sz="0" w:space="0" w:color="auto"/>
              </w:divBdr>
              <w:divsChild>
                <w:div w:id="1969704270">
                  <w:marLeft w:val="0"/>
                  <w:marRight w:val="0"/>
                  <w:marTop w:val="0"/>
                  <w:marBottom w:val="0"/>
                  <w:divBdr>
                    <w:top w:val="none" w:sz="0" w:space="0" w:color="auto"/>
                    <w:left w:val="none" w:sz="0" w:space="0" w:color="auto"/>
                    <w:bottom w:val="none" w:sz="0" w:space="0" w:color="auto"/>
                    <w:right w:val="none" w:sz="0" w:space="0" w:color="auto"/>
                  </w:divBdr>
                  <w:divsChild>
                    <w:div w:id="5210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8001">
      <w:bodyDiv w:val="1"/>
      <w:marLeft w:val="0"/>
      <w:marRight w:val="0"/>
      <w:marTop w:val="0"/>
      <w:marBottom w:val="0"/>
      <w:divBdr>
        <w:top w:val="none" w:sz="0" w:space="0" w:color="auto"/>
        <w:left w:val="none" w:sz="0" w:space="0" w:color="auto"/>
        <w:bottom w:val="none" w:sz="0" w:space="0" w:color="auto"/>
        <w:right w:val="none" w:sz="0" w:space="0" w:color="auto"/>
      </w:divBdr>
    </w:div>
    <w:div w:id="728498602">
      <w:bodyDiv w:val="1"/>
      <w:marLeft w:val="0"/>
      <w:marRight w:val="0"/>
      <w:marTop w:val="0"/>
      <w:marBottom w:val="0"/>
      <w:divBdr>
        <w:top w:val="none" w:sz="0" w:space="0" w:color="auto"/>
        <w:left w:val="none" w:sz="0" w:space="0" w:color="auto"/>
        <w:bottom w:val="none" w:sz="0" w:space="0" w:color="auto"/>
        <w:right w:val="none" w:sz="0" w:space="0" w:color="auto"/>
      </w:divBdr>
    </w:div>
    <w:div w:id="1129010393">
      <w:bodyDiv w:val="1"/>
      <w:marLeft w:val="0"/>
      <w:marRight w:val="0"/>
      <w:marTop w:val="0"/>
      <w:marBottom w:val="0"/>
      <w:divBdr>
        <w:top w:val="none" w:sz="0" w:space="0" w:color="auto"/>
        <w:left w:val="none" w:sz="0" w:space="0" w:color="auto"/>
        <w:bottom w:val="none" w:sz="0" w:space="0" w:color="auto"/>
        <w:right w:val="none" w:sz="0" w:space="0" w:color="auto"/>
      </w:divBdr>
    </w:div>
    <w:div w:id="1220170316">
      <w:bodyDiv w:val="1"/>
      <w:marLeft w:val="0"/>
      <w:marRight w:val="0"/>
      <w:marTop w:val="0"/>
      <w:marBottom w:val="0"/>
      <w:divBdr>
        <w:top w:val="none" w:sz="0" w:space="0" w:color="auto"/>
        <w:left w:val="none" w:sz="0" w:space="0" w:color="auto"/>
        <w:bottom w:val="none" w:sz="0" w:space="0" w:color="auto"/>
        <w:right w:val="none" w:sz="0" w:space="0" w:color="auto"/>
      </w:divBdr>
    </w:div>
    <w:div w:id="1417093655">
      <w:bodyDiv w:val="1"/>
      <w:marLeft w:val="0"/>
      <w:marRight w:val="0"/>
      <w:marTop w:val="0"/>
      <w:marBottom w:val="0"/>
      <w:divBdr>
        <w:top w:val="none" w:sz="0" w:space="0" w:color="auto"/>
        <w:left w:val="none" w:sz="0" w:space="0" w:color="auto"/>
        <w:bottom w:val="none" w:sz="0" w:space="0" w:color="auto"/>
        <w:right w:val="none" w:sz="0" w:space="0" w:color="auto"/>
      </w:divBdr>
    </w:div>
    <w:div w:id="1973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FB7F-7605-4174-BEAD-11957E39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Mariana Anguelov</cp:lastModifiedBy>
  <cp:revision>3</cp:revision>
  <cp:lastPrinted>2022-09-27T07:27:00Z</cp:lastPrinted>
  <dcterms:created xsi:type="dcterms:W3CDTF">2022-10-03T15:05:00Z</dcterms:created>
  <dcterms:modified xsi:type="dcterms:W3CDTF">2022-10-16T16:52:00Z</dcterms:modified>
</cp:coreProperties>
</file>