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D283" w14:textId="77777777" w:rsidR="00525699" w:rsidRDefault="00525699" w:rsidP="00525699">
      <w:pPr>
        <w:spacing w:line="360" w:lineRule="auto"/>
        <w:jc w:val="center"/>
        <w:rPr>
          <w:sz w:val="25"/>
          <w:szCs w:val="25"/>
        </w:rPr>
      </w:pPr>
      <w:r>
        <w:rPr>
          <w:noProof/>
          <w:lang w:eastAsia="en-ZA"/>
        </w:rPr>
        <w:drawing>
          <wp:inline distT="0" distB="0" distL="0" distR="0" wp14:anchorId="276E0A6F" wp14:editId="43930EA7">
            <wp:extent cx="1226185" cy="1205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226185" cy="1205230"/>
                    </a:xfrm>
                    <a:prstGeom prst="rect">
                      <a:avLst/>
                    </a:prstGeom>
                    <a:noFill/>
                    <a:ln>
                      <a:noFill/>
                    </a:ln>
                  </pic:spPr>
                </pic:pic>
              </a:graphicData>
            </a:graphic>
          </wp:inline>
        </w:drawing>
      </w:r>
    </w:p>
    <w:p w14:paraId="1B17F324" w14:textId="77777777" w:rsidR="00525699" w:rsidRDefault="00525699" w:rsidP="00525699">
      <w:pPr>
        <w:spacing w:line="360" w:lineRule="auto"/>
        <w:jc w:val="center"/>
        <w:rPr>
          <w:sz w:val="25"/>
          <w:szCs w:val="25"/>
        </w:rPr>
      </w:pPr>
    </w:p>
    <w:p w14:paraId="00D75B5D" w14:textId="77777777" w:rsidR="00525699" w:rsidRPr="00514663" w:rsidRDefault="00525699" w:rsidP="00525699">
      <w:pPr>
        <w:spacing w:line="360" w:lineRule="auto"/>
        <w:jc w:val="center"/>
        <w:rPr>
          <w:rFonts w:ascii="Times New Roman" w:hAnsi="Times New Roman" w:cs="Times New Roman"/>
          <w:b/>
          <w:sz w:val="28"/>
          <w:szCs w:val="28"/>
        </w:rPr>
      </w:pPr>
      <w:r w:rsidRPr="00514663">
        <w:rPr>
          <w:rFonts w:ascii="Times New Roman" w:hAnsi="Times New Roman" w:cs="Times New Roman"/>
          <w:b/>
          <w:sz w:val="28"/>
          <w:szCs w:val="28"/>
        </w:rPr>
        <w:t>IN THE HIGH COURT OF SOUTH AFRICA</w:t>
      </w:r>
    </w:p>
    <w:p w14:paraId="60D8A380" w14:textId="77777777" w:rsidR="00525699" w:rsidRPr="00514663" w:rsidRDefault="00525699" w:rsidP="00525699">
      <w:pPr>
        <w:spacing w:line="360" w:lineRule="auto"/>
        <w:jc w:val="center"/>
        <w:rPr>
          <w:rFonts w:ascii="Times New Roman" w:hAnsi="Times New Roman" w:cs="Times New Roman"/>
          <w:b/>
          <w:sz w:val="28"/>
          <w:szCs w:val="28"/>
        </w:rPr>
      </w:pPr>
      <w:r w:rsidRPr="00514663">
        <w:rPr>
          <w:rFonts w:ascii="Times New Roman" w:hAnsi="Times New Roman" w:cs="Times New Roman"/>
          <w:b/>
          <w:sz w:val="28"/>
          <w:szCs w:val="28"/>
        </w:rPr>
        <w:t xml:space="preserve">EASTERN CAPE </w:t>
      </w:r>
      <w:r w:rsidR="001D2873">
        <w:rPr>
          <w:rFonts w:ascii="Times New Roman" w:hAnsi="Times New Roman" w:cs="Times New Roman"/>
          <w:b/>
          <w:sz w:val="28"/>
          <w:szCs w:val="28"/>
        </w:rPr>
        <w:t>DIVISION, GQEBERHA</w:t>
      </w:r>
    </w:p>
    <w:p w14:paraId="72053F7D" w14:textId="77777777" w:rsidR="00525699" w:rsidRPr="00514663" w:rsidRDefault="00525699" w:rsidP="00525699">
      <w:pPr>
        <w:spacing w:line="360" w:lineRule="auto"/>
        <w:jc w:val="both"/>
        <w:rPr>
          <w:rFonts w:ascii="Times New Roman" w:hAnsi="Times New Roman" w:cs="Times New Roman"/>
          <w:b/>
          <w:sz w:val="28"/>
          <w:szCs w:val="28"/>
        </w:rPr>
      </w:pPr>
    </w:p>
    <w:p w14:paraId="4E61897B" w14:textId="77777777" w:rsidR="00525699" w:rsidRPr="00514663" w:rsidRDefault="004D3486" w:rsidP="004D3486">
      <w:pPr>
        <w:spacing w:line="360" w:lineRule="auto"/>
        <w:ind w:left="5760"/>
        <w:jc w:val="both"/>
        <w:rPr>
          <w:rFonts w:ascii="Times New Roman" w:hAnsi="Times New Roman" w:cs="Times New Roman"/>
          <w:sz w:val="28"/>
          <w:szCs w:val="28"/>
        </w:rPr>
      </w:pPr>
      <w:r>
        <w:rPr>
          <w:rFonts w:ascii="Times New Roman" w:hAnsi="Times New Roman" w:cs="Times New Roman"/>
          <w:b/>
          <w:sz w:val="28"/>
          <w:szCs w:val="28"/>
        </w:rPr>
        <w:t xml:space="preserve">  </w:t>
      </w:r>
      <w:r w:rsidR="00525699" w:rsidRPr="00514663">
        <w:rPr>
          <w:rFonts w:ascii="Times New Roman" w:hAnsi="Times New Roman" w:cs="Times New Roman"/>
          <w:b/>
          <w:sz w:val="28"/>
          <w:szCs w:val="28"/>
        </w:rPr>
        <w:t xml:space="preserve">CASE NO </w:t>
      </w:r>
      <w:r w:rsidR="00525699">
        <w:rPr>
          <w:rFonts w:ascii="Times New Roman" w:hAnsi="Times New Roman" w:cs="Times New Roman"/>
          <w:b/>
          <w:sz w:val="28"/>
          <w:szCs w:val="28"/>
        </w:rPr>
        <w:t xml:space="preserve">CA&amp;R </w:t>
      </w:r>
      <w:r>
        <w:rPr>
          <w:rFonts w:ascii="Times New Roman" w:hAnsi="Times New Roman" w:cs="Times New Roman"/>
          <w:b/>
          <w:sz w:val="28"/>
          <w:szCs w:val="28"/>
        </w:rPr>
        <w:t>05/2022</w:t>
      </w:r>
    </w:p>
    <w:p w14:paraId="0EE42341" w14:textId="77777777" w:rsidR="000D4D16" w:rsidRDefault="000D4D16" w:rsidP="00525699">
      <w:pPr>
        <w:spacing w:line="360" w:lineRule="auto"/>
        <w:jc w:val="both"/>
        <w:rPr>
          <w:rFonts w:ascii="Times New Roman" w:hAnsi="Times New Roman" w:cs="Times New Roman"/>
          <w:sz w:val="28"/>
          <w:szCs w:val="28"/>
        </w:rPr>
      </w:pPr>
    </w:p>
    <w:p w14:paraId="612939D8" w14:textId="77777777" w:rsidR="00525699" w:rsidRPr="00514663" w:rsidRDefault="00525699" w:rsidP="00525699">
      <w:pPr>
        <w:spacing w:line="360" w:lineRule="auto"/>
        <w:jc w:val="both"/>
        <w:rPr>
          <w:rFonts w:ascii="Times New Roman" w:hAnsi="Times New Roman" w:cs="Times New Roman"/>
          <w:sz w:val="28"/>
          <w:szCs w:val="28"/>
        </w:rPr>
      </w:pPr>
      <w:r w:rsidRPr="00514663">
        <w:rPr>
          <w:rFonts w:ascii="Times New Roman" w:hAnsi="Times New Roman" w:cs="Times New Roman"/>
          <w:sz w:val="28"/>
          <w:szCs w:val="28"/>
        </w:rPr>
        <w:t>In the matter between:</w:t>
      </w:r>
    </w:p>
    <w:p w14:paraId="059D0D62" w14:textId="77777777" w:rsidR="00525699" w:rsidRPr="00514663" w:rsidRDefault="00525699" w:rsidP="00525699">
      <w:pPr>
        <w:spacing w:line="360" w:lineRule="auto"/>
        <w:jc w:val="both"/>
        <w:rPr>
          <w:rFonts w:ascii="Times New Roman" w:hAnsi="Times New Roman" w:cs="Times New Roman"/>
          <w:sz w:val="28"/>
          <w:szCs w:val="28"/>
        </w:rPr>
      </w:pPr>
    </w:p>
    <w:p w14:paraId="75170A04" w14:textId="77777777" w:rsidR="00525699" w:rsidRPr="00514663" w:rsidRDefault="00525699" w:rsidP="00525699">
      <w:pPr>
        <w:spacing w:line="360" w:lineRule="auto"/>
        <w:jc w:val="both"/>
        <w:rPr>
          <w:rFonts w:ascii="Times New Roman" w:hAnsi="Times New Roman" w:cs="Times New Roman"/>
          <w:sz w:val="28"/>
          <w:szCs w:val="28"/>
        </w:rPr>
      </w:pPr>
      <w:r>
        <w:rPr>
          <w:rFonts w:ascii="Times New Roman" w:hAnsi="Times New Roman" w:cs="Times New Roman"/>
          <w:b/>
          <w:sz w:val="28"/>
          <w:szCs w:val="28"/>
        </w:rPr>
        <w:t>ARNOLDUS ABRAHAM TERBLANCHE</w:t>
      </w:r>
      <w:r w:rsidRPr="00525699">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25699">
        <w:rPr>
          <w:rFonts w:ascii="Times New Roman" w:hAnsi="Times New Roman" w:cs="Times New Roman"/>
          <w:sz w:val="28"/>
          <w:szCs w:val="28"/>
        </w:rPr>
        <w:t>Appellant</w:t>
      </w:r>
    </w:p>
    <w:p w14:paraId="0FE83C1C" w14:textId="77777777" w:rsidR="00525699" w:rsidRPr="00514663" w:rsidRDefault="00525699" w:rsidP="00525699">
      <w:pPr>
        <w:spacing w:line="360" w:lineRule="auto"/>
        <w:jc w:val="both"/>
        <w:rPr>
          <w:rFonts w:ascii="Times New Roman" w:hAnsi="Times New Roman" w:cs="Times New Roman"/>
          <w:sz w:val="28"/>
          <w:szCs w:val="28"/>
        </w:rPr>
      </w:pPr>
    </w:p>
    <w:p w14:paraId="5B56AD00" w14:textId="77777777" w:rsidR="00525699" w:rsidRPr="00514663" w:rsidRDefault="00525699" w:rsidP="00525699">
      <w:pPr>
        <w:spacing w:line="360" w:lineRule="auto"/>
        <w:jc w:val="both"/>
        <w:rPr>
          <w:rFonts w:ascii="Times New Roman" w:hAnsi="Times New Roman" w:cs="Times New Roman"/>
          <w:sz w:val="28"/>
          <w:szCs w:val="28"/>
        </w:rPr>
      </w:pPr>
      <w:r w:rsidRPr="00514663">
        <w:rPr>
          <w:rFonts w:ascii="Times New Roman" w:hAnsi="Times New Roman" w:cs="Times New Roman"/>
          <w:sz w:val="28"/>
          <w:szCs w:val="28"/>
        </w:rPr>
        <w:t>and</w:t>
      </w:r>
    </w:p>
    <w:p w14:paraId="2737C6FF" w14:textId="77777777" w:rsidR="00525699" w:rsidRPr="00514663" w:rsidRDefault="00525699" w:rsidP="00525699">
      <w:pPr>
        <w:spacing w:line="360" w:lineRule="auto"/>
        <w:jc w:val="both"/>
        <w:rPr>
          <w:rFonts w:ascii="Times New Roman" w:hAnsi="Times New Roman" w:cs="Times New Roman"/>
          <w:sz w:val="28"/>
          <w:szCs w:val="28"/>
        </w:rPr>
      </w:pPr>
    </w:p>
    <w:p w14:paraId="21D9F0FE" w14:textId="77777777" w:rsidR="00525699" w:rsidRDefault="00525699" w:rsidP="00525699">
      <w:pPr>
        <w:spacing w:line="360" w:lineRule="auto"/>
        <w:jc w:val="both"/>
        <w:rPr>
          <w:rFonts w:ascii="Times New Roman" w:hAnsi="Times New Roman" w:cs="Times New Roman"/>
          <w:sz w:val="28"/>
          <w:szCs w:val="28"/>
        </w:rPr>
      </w:pPr>
      <w:r w:rsidRPr="00514663">
        <w:rPr>
          <w:rFonts w:ascii="Times New Roman" w:hAnsi="Times New Roman" w:cs="Times New Roman"/>
          <w:b/>
          <w:sz w:val="28"/>
          <w:szCs w:val="28"/>
        </w:rPr>
        <w:t>THE STATE</w:t>
      </w:r>
      <w:r w:rsidRPr="00525699">
        <w:rPr>
          <w:rFonts w:ascii="Times New Roman" w:hAnsi="Times New Roman" w:cs="Times New Roman"/>
          <w:sz w:val="28"/>
          <w:szCs w:val="28"/>
        </w:rPr>
        <w:t xml:space="preserve"> </w:t>
      </w:r>
      <w:r w:rsidRPr="00525699">
        <w:rPr>
          <w:rFonts w:ascii="Times New Roman" w:hAnsi="Times New Roman" w:cs="Times New Roman"/>
          <w:sz w:val="28"/>
          <w:szCs w:val="28"/>
        </w:rPr>
        <w:tab/>
      </w:r>
      <w:r w:rsidRPr="00525699">
        <w:rPr>
          <w:rFonts w:ascii="Times New Roman" w:hAnsi="Times New Roman" w:cs="Times New Roman"/>
          <w:sz w:val="28"/>
          <w:szCs w:val="28"/>
        </w:rPr>
        <w:tab/>
      </w:r>
      <w:r w:rsidRPr="00525699">
        <w:rPr>
          <w:rFonts w:ascii="Times New Roman" w:hAnsi="Times New Roman" w:cs="Times New Roman"/>
          <w:sz w:val="28"/>
          <w:szCs w:val="28"/>
        </w:rPr>
        <w:tab/>
      </w:r>
      <w:r w:rsidRPr="00525699">
        <w:rPr>
          <w:rFonts w:ascii="Times New Roman" w:hAnsi="Times New Roman" w:cs="Times New Roman"/>
          <w:sz w:val="28"/>
          <w:szCs w:val="28"/>
        </w:rPr>
        <w:tab/>
        <w:t xml:space="preserve">         </w:t>
      </w:r>
      <w:r w:rsidRPr="00525699">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525699">
        <w:rPr>
          <w:rFonts w:ascii="Times New Roman" w:hAnsi="Times New Roman" w:cs="Times New Roman"/>
          <w:sz w:val="28"/>
          <w:szCs w:val="28"/>
        </w:rPr>
        <w:t>Respondent</w:t>
      </w:r>
    </w:p>
    <w:p w14:paraId="40FEF745" w14:textId="77777777" w:rsidR="000D4D16" w:rsidRPr="00514663" w:rsidRDefault="000D4D16" w:rsidP="00525699">
      <w:pPr>
        <w:spacing w:line="360" w:lineRule="auto"/>
        <w:jc w:val="both"/>
        <w:rPr>
          <w:rFonts w:ascii="Times New Roman" w:hAnsi="Times New Roman" w:cs="Times New Roman"/>
          <w:sz w:val="28"/>
          <w:szCs w:val="28"/>
        </w:rPr>
      </w:pPr>
    </w:p>
    <w:p w14:paraId="1060F859" w14:textId="77777777" w:rsidR="00354A12" w:rsidRPr="003328A3" w:rsidRDefault="00354A12" w:rsidP="00354A12">
      <w:pPr>
        <w:pBdr>
          <w:bottom w:val="single" w:sz="12" w:space="1" w:color="auto"/>
        </w:pBdr>
        <w:spacing w:line="240" w:lineRule="auto"/>
        <w:jc w:val="both"/>
        <w:rPr>
          <w:rFonts w:ascii="Times New Roman" w:hAnsi="Times New Roman" w:cs="Times New Roman"/>
          <w:sz w:val="28"/>
          <w:szCs w:val="28"/>
        </w:rPr>
      </w:pPr>
    </w:p>
    <w:p w14:paraId="73241F7B" w14:textId="77777777" w:rsidR="00354A12" w:rsidRPr="003328A3" w:rsidRDefault="00354A12" w:rsidP="00354A12">
      <w:pPr>
        <w:spacing w:line="240" w:lineRule="auto"/>
        <w:jc w:val="both"/>
        <w:rPr>
          <w:rFonts w:ascii="Times New Roman" w:hAnsi="Times New Roman" w:cs="Times New Roman"/>
          <w:sz w:val="28"/>
          <w:szCs w:val="28"/>
        </w:rPr>
      </w:pPr>
    </w:p>
    <w:p w14:paraId="4BD8B7E1" w14:textId="77777777" w:rsidR="00354A12" w:rsidRPr="003328A3" w:rsidRDefault="00354A12" w:rsidP="00354A12">
      <w:pPr>
        <w:pBdr>
          <w:bottom w:val="single" w:sz="12" w:space="1" w:color="auto"/>
        </w:pBdr>
        <w:spacing w:line="240" w:lineRule="auto"/>
        <w:jc w:val="center"/>
        <w:rPr>
          <w:rFonts w:ascii="Times New Roman" w:hAnsi="Times New Roman" w:cs="Times New Roman"/>
          <w:b/>
          <w:sz w:val="28"/>
          <w:szCs w:val="28"/>
        </w:rPr>
      </w:pPr>
      <w:r w:rsidRPr="003328A3">
        <w:rPr>
          <w:rFonts w:ascii="Times New Roman" w:hAnsi="Times New Roman" w:cs="Times New Roman"/>
          <w:b/>
          <w:sz w:val="28"/>
          <w:szCs w:val="28"/>
        </w:rPr>
        <w:t>JUDGMENT</w:t>
      </w:r>
    </w:p>
    <w:p w14:paraId="541318DD" w14:textId="77777777" w:rsidR="00354A12" w:rsidRPr="003328A3" w:rsidRDefault="00354A12" w:rsidP="00354A12">
      <w:pPr>
        <w:pBdr>
          <w:bottom w:val="single" w:sz="12" w:space="1" w:color="auto"/>
        </w:pBdr>
        <w:spacing w:line="240" w:lineRule="auto"/>
        <w:jc w:val="both"/>
        <w:rPr>
          <w:rFonts w:ascii="Times New Roman" w:hAnsi="Times New Roman" w:cs="Times New Roman"/>
          <w:sz w:val="28"/>
          <w:szCs w:val="28"/>
        </w:rPr>
      </w:pPr>
    </w:p>
    <w:p w14:paraId="7BADC63A" w14:textId="77777777" w:rsidR="00354A12" w:rsidRPr="003328A3" w:rsidRDefault="00354A12" w:rsidP="00354A12">
      <w:pPr>
        <w:spacing w:line="240" w:lineRule="auto"/>
        <w:jc w:val="both"/>
        <w:rPr>
          <w:rFonts w:ascii="Times New Roman" w:hAnsi="Times New Roman" w:cs="Times New Roman"/>
          <w:sz w:val="28"/>
          <w:szCs w:val="28"/>
        </w:rPr>
      </w:pPr>
    </w:p>
    <w:p w14:paraId="549A8725" w14:textId="77777777" w:rsidR="00354A12" w:rsidRPr="003328A3" w:rsidRDefault="00354A12" w:rsidP="00354A12">
      <w:pPr>
        <w:spacing w:line="360" w:lineRule="auto"/>
        <w:jc w:val="both"/>
        <w:rPr>
          <w:rFonts w:ascii="Times New Roman" w:hAnsi="Times New Roman" w:cs="Times New Roman"/>
          <w:b/>
          <w:sz w:val="28"/>
          <w:szCs w:val="28"/>
        </w:rPr>
      </w:pPr>
    </w:p>
    <w:p w14:paraId="473F7BD2" w14:textId="77777777" w:rsidR="00354A12" w:rsidRPr="003328A3" w:rsidRDefault="00010849" w:rsidP="00354A12">
      <w:pPr>
        <w:spacing w:line="360" w:lineRule="auto"/>
        <w:jc w:val="both"/>
        <w:rPr>
          <w:rFonts w:ascii="Times New Roman" w:hAnsi="Times New Roman" w:cs="Times New Roman"/>
          <w:b/>
          <w:sz w:val="28"/>
          <w:szCs w:val="28"/>
        </w:rPr>
      </w:pPr>
      <w:r>
        <w:rPr>
          <w:rFonts w:ascii="Times New Roman" w:hAnsi="Times New Roman" w:cs="Times New Roman"/>
          <w:b/>
          <w:sz w:val="28"/>
          <w:szCs w:val="28"/>
        </w:rPr>
        <w:t>THE COURT</w:t>
      </w:r>
    </w:p>
    <w:p w14:paraId="697DF7E9" w14:textId="77777777" w:rsidR="00354A12" w:rsidRPr="003328A3" w:rsidRDefault="00354A12" w:rsidP="00354A12">
      <w:pPr>
        <w:spacing w:line="360" w:lineRule="auto"/>
        <w:jc w:val="both"/>
        <w:rPr>
          <w:rFonts w:ascii="Times New Roman" w:hAnsi="Times New Roman" w:cs="Times New Roman"/>
          <w:b/>
          <w:sz w:val="28"/>
          <w:szCs w:val="28"/>
        </w:rPr>
      </w:pPr>
    </w:p>
    <w:p w14:paraId="209C9092" w14:textId="1BB8FE49" w:rsidR="00F51048" w:rsidRDefault="0083414B" w:rsidP="0083414B">
      <w:pPr>
        <w:pStyle w:val="LegalList1"/>
        <w:spacing w:line="360" w:lineRule="auto"/>
        <w:ind w:left="851" w:hanging="851"/>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B864AC">
        <w:rPr>
          <w:rFonts w:ascii="Times New Roman" w:hAnsi="Times New Roman"/>
          <w:sz w:val="28"/>
          <w:szCs w:val="28"/>
        </w:rPr>
        <w:t xml:space="preserve">The appellant approaches this court </w:t>
      </w:r>
      <w:r w:rsidR="009D5B4A">
        <w:rPr>
          <w:rFonts w:ascii="Times New Roman" w:hAnsi="Times New Roman"/>
          <w:sz w:val="28"/>
          <w:szCs w:val="28"/>
        </w:rPr>
        <w:t xml:space="preserve">in an appeal against the refusal by the magistrate, Gqeberha, to grant him bail </w:t>
      </w:r>
      <w:r w:rsidR="00E1753B">
        <w:rPr>
          <w:rFonts w:ascii="Times New Roman" w:hAnsi="Times New Roman"/>
          <w:sz w:val="28"/>
          <w:szCs w:val="28"/>
        </w:rPr>
        <w:t xml:space="preserve">on new facts </w:t>
      </w:r>
      <w:r w:rsidR="009D5B4A">
        <w:rPr>
          <w:rFonts w:ascii="Times New Roman" w:hAnsi="Times New Roman"/>
          <w:sz w:val="28"/>
          <w:szCs w:val="28"/>
        </w:rPr>
        <w:t>pending the finalisation of criminal proceedings against him</w:t>
      </w:r>
      <w:r w:rsidR="00954C0F">
        <w:rPr>
          <w:rFonts w:ascii="Times New Roman" w:hAnsi="Times New Roman"/>
          <w:sz w:val="28"/>
          <w:szCs w:val="28"/>
        </w:rPr>
        <w:t xml:space="preserve">. </w:t>
      </w:r>
      <w:r w:rsidR="000B180D">
        <w:rPr>
          <w:rFonts w:ascii="Times New Roman" w:hAnsi="Times New Roman"/>
          <w:sz w:val="28"/>
          <w:szCs w:val="28"/>
        </w:rPr>
        <w:t>I</w:t>
      </w:r>
      <w:r w:rsidR="005E1332">
        <w:rPr>
          <w:rFonts w:ascii="Times New Roman" w:hAnsi="Times New Roman"/>
          <w:sz w:val="28"/>
          <w:szCs w:val="28"/>
        </w:rPr>
        <w:t>t is common cause that the appellant will be arraigned in the high court on charges involving</w:t>
      </w:r>
      <w:r w:rsidR="00C707E1">
        <w:rPr>
          <w:rFonts w:ascii="Times New Roman" w:hAnsi="Times New Roman"/>
          <w:sz w:val="28"/>
          <w:szCs w:val="28"/>
        </w:rPr>
        <w:t xml:space="preserve">: </w:t>
      </w:r>
      <w:r w:rsidR="00C707E1">
        <w:rPr>
          <w:rFonts w:ascii="Times New Roman" w:hAnsi="Times New Roman"/>
          <w:sz w:val="28"/>
          <w:szCs w:val="28"/>
        </w:rPr>
        <w:lastRenderedPageBreak/>
        <w:t>conspiracy to commit murder</w:t>
      </w:r>
      <w:r w:rsidR="00E1753B">
        <w:rPr>
          <w:rFonts w:ascii="Times New Roman" w:hAnsi="Times New Roman"/>
          <w:sz w:val="28"/>
          <w:szCs w:val="28"/>
        </w:rPr>
        <w:t>; murder; robbery with aggravating circumstances; unlawful possession of a firearm; unlawful possession of ammunition; defeating or obstructing the course of justice</w:t>
      </w:r>
      <w:r w:rsidR="008B5120">
        <w:rPr>
          <w:rFonts w:ascii="Times New Roman" w:hAnsi="Times New Roman"/>
          <w:sz w:val="28"/>
          <w:szCs w:val="28"/>
        </w:rPr>
        <w:t>; and possession of drugs.</w:t>
      </w:r>
    </w:p>
    <w:p w14:paraId="3162EC3C" w14:textId="3788F202" w:rsidR="00B27EF5" w:rsidRDefault="0083414B" w:rsidP="0083414B">
      <w:pPr>
        <w:pStyle w:val="LegalList1"/>
        <w:spacing w:line="360" w:lineRule="auto"/>
        <w:ind w:left="851" w:hanging="851"/>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954C0F">
        <w:rPr>
          <w:rFonts w:ascii="Times New Roman" w:hAnsi="Times New Roman"/>
          <w:sz w:val="28"/>
          <w:szCs w:val="28"/>
        </w:rPr>
        <w:t>In</w:t>
      </w:r>
      <w:r w:rsidR="00F51048">
        <w:rPr>
          <w:rFonts w:ascii="Times New Roman" w:hAnsi="Times New Roman"/>
          <w:sz w:val="28"/>
          <w:szCs w:val="28"/>
        </w:rPr>
        <w:t xml:space="preserve"> essence</w:t>
      </w:r>
      <w:r w:rsidR="00954C0F">
        <w:rPr>
          <w:rFonts w:ascii="Times New Roman" w:hAnsi="Times New Roman"/>
          <w:sz w:val="28"/>
          <w:szCs w:val="28"/>
        </w:rPr>
        <w:t>, the charges implicate the appellant</w:t>
      </w:r>
      <w:r w:rsidR="00E90AA2">
        <w:rPr>
          <w:rFonts w:ascii="Times New Roman" w:hAnsi="Times New Roman"/>
          <w:sz w:val="28"/>
          <w:szCs w:val="28"/>
        </w:rPr>
        <w:t xml:space="preserve"> in the murder of his wife in relation to whom divorce proceedings were pending at the time of the inception of the criminal proceedings against </w:t>
      </w:r>
      <w:r w:rsidR="002276B3">
        <w:rPr>
          <w:rFonts w:ascii="Times New Roman" w:hAnsi="Times New Roman"/>
          <w:sz w:val="28"/>
          <w:szCs w:val="28"/>
        </w:rPr>
        <w:t>him</w:t>
      </w:r>
      <w:r w:rsidR="00E90AA2">
        <w:rPr>
          <w:rFonts w:ascii="Times New Roman" w:hAnsi="Times New Roman"/>
          <w:sz w:val="28"/>
          <w:szCs w:val="28"/>
        </w:rPr>
        <w:t>.</w:t>
      </w:r>
      <w:r w:rsidR="00166A9F">
        <w:rPr>
          <w:rFonts w:ascii="Times New Roman" w:hAnsi="Times New Roman"/>
          <w:sz w:val="28"/>
          <w:szCs w:val="28"/>
        </w:rPr>
        <w:t xml:space="preserve"> It suffices for present purposes to mention that murder falls into the </w:t>
      </w:r>
      <w:r w:rsidR="00D14BC5">
        <w:rPr>
          <w:rFonts w:ascii="Times New Roman" w:hAnsi="Times New Roman"/>
          <w:sz w:val="28"/>
          <w:szCs w:val="28"/>
        </w:rPr>
        <w:t>category of offences listed in Schedule 6 of the Criminal Procedure Act 51 of 1977.</w:t>
      </w:r>
    </w:p>
    <w:p w14:paraId="3B0D804E" w14:textId="074D3222" w:rsidR="00D1768D" w:rsidRDefault="0083414B" w:rsidP="0083414B">
      <w:pPr>
        <w:pStyle w:val="LegalList1"/>
        <w:spacing w:line="360" w:lineRule="auto"/>
        <w:ind w:left="851" w:hanging="851"/>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8B5120">
        <w:rPr>
          <w:rFonts w:ascii="Times New Roman" w:hAnsi="Times New Roman"/>
          <w:sz w:val="28"/>
          <w:szCs w:val="28"/>
        </w:rPr>
        <w:t xml:space="preserve">The factual history pertaining to the conduct of the proceedings in the court a quo since the time of the appellant’s arrest and the </w:t>
      </w:r>
      <w:r w:rsidR="002F7334">
        <w:rPr>
          <w:rFonts w:ascii="Times New Roman" w:hAnsi="Times New Roman"/>
          <w:sz w:val="28"/>
          <w:szCs w:val="28"/>
        </w:rPr>
        <w:t xml:space="preserve">course </w:t>
      </w:r>
      <w:r w:rsidR="008B5120">
        <w:rPr>
          <w:rFonts w:ascii="Times New Roman" w:hAnsi="Times New Roman"/>
          <w:sz w:val="28"/>
          <w:szCs w:val="28"/>
        </w:rPr>
        <w:t>of bail application</w:t>
      </w:r>
      <w:r w:rsidR="00AD14D0">
        <w:rPr>
          <w:rFonts w:ascii="Times New Roman" w:hAnsi="Times New Roman"/>
          <w:sz w:val="28"/>
          <w:szCs w:val="28"/>
        </w:rPr>
        <w:t>s</w:t>
      </w:r>
      <w:r w:rsidR="008B5120">
        <w:rPr>
          <w:rFonts w:ascii="Times New Roman" w:hAnsi="Times New Roman"/>
          <w:sz w:val="28"/>
          <w:szCs w:val="28"/>
        </w:rPr>
        <w:t xml:space="preserve"> brought on his behalf are set out in an appeal judgment </w:t>
      </w:r>
      <w:r w:rsidR="006A2150">
        <w:rPr>
          <w:rFonts w:ascii="Times New Roman" w:hAnsi="Times New Roman"/>
          <w:sz w:val="28"/>
          <w:szCs w:val="28"/>
        </w:rPr>
        <w:t xml:space="preserve">delivered by </w:t>
      </w:r>
      <w:r w:rsidR="008B5120">
        <w:rPr>
          <w:rFonts w:ascii="Times New Roman" w:hAnsi="Times New Roman"/>
          <w:sz w:val="28"/>
          <w:szCs w:val="28"/>
        </w:rPr>
        <w:t>Goosen J</w:t>
      </w:r>
      <w:r w:rsidR="006A2150">
        <w:rPr>
          <w:rFonts w:ascii="Times New Roman" w:hAnsi="Times New Roman"/>
          <w:sz w:val="28"/>
          <w:szCs w:val="28"/>
        </w:rPr>
        <w:t xml:space="preserve"> on 8 March 2022</w:t>
      </w:r>
      <w:r w:rsidR="00AD14D0">
        <w:rPr>
          <w:rFonts w:ascii="Times New Roman" w:hAnsi="Times New Roman"/>
          <w:sz w:val="28"/>
          <w:szCs w:val="28"/>
        </w:rPr>
        <w:t>. That history is not repeated herein but may conveniently</w:t>
      </w:r>
      <w:r w:rsidR="005F7328" w:rsidRPr="005F7328">
        <w:rPr>
          <w:rFonts w:ascii="Times New Roman" w:hAnsi="Times New Roman"/>
          <w:sz w:val="28"/>
          <w:szCs w:val="28"/>
        </w:rPr>
        <w:t xml:space="preserve"> </w:t>
      </w:r>
      <w:r w:rsidR="005F7328">
        <w:rPr>
          <w:rFonts w:ascii="Times New Roman" w:hAnsi="Times New Roman"/>
          <w:sz w:val="28"/>
          <w:szCs w:val="28"/>
        </w:rPr>
        <w:t>be</w:t>
      </w:r>
      <w:r w:rsidR="00AD14D0">
        <w:rPr>
          <w:rFonts w:ascii="Times New Roman" w:hAnsi="Times New Roman"/>
          <w:sz w:val="28"/>
          <w:szCs w:val="28"/>
        </w:rPr>
        <w:t xml:space="preserve"> incorporated by reference</w:t>
      </w:r>
      <w:r w:rsidR="008D2A68">
        <w:rPr>
          <w:rFonts w:ascii="Times New Roman" w:hAnsi="Times New Roman"/>
          <w:sz w:val="28"/>
          <w:szCs w:val="28"/>
        </w:rPr>
        <w:t>,</w:t>
      </w:r>
      <w:r w:rsidR="00AD14D0">
        <w:rPr>
          <w:rFonts w:ascii="Times New Roman" w:hAnsi="Times New Roman"/>
          <w:sz w:val="28"/>
          <w:szCs w:val="28"/>
        </w:rPr>
        <w:t xml:space="preserve"> </w:t>
      </w:r>
      <w:r w:rsidR="00CA0AB0">
        <w:rPr>
          <w:rFonts w:ascii="Times New Roman" w:hAnsi="Times New Roman"/>
          <w:sz w:val="28"/>
          <w:szCs w:val="28"/>
        </w:rPr>
        <w:t xml:space="preserve">except of course for </w:t>
      </w:r>
      <w:r w:rsidR="00AD14D0">
        <w:rPr>
          <w:rFonts w:ascii="Times New Roman" w:hAnsi="Times New Roman"/>
          <w:sz w:val="28"/>
          <w:szCs w:val="28"/>
        </w:rPr>
        <w:t xml:space="preserve">the factual findings by the learned judge </w:t>
      </w:r>
      <w:r w:rsidR="008D2A68">
        <w:rPr>
          <w:rFonts w:ascii="Times New Roman" w:hAnsi="Times New Roman"/>
          <w:sz w:val="28"/>
          <w:szCs w:val="28"/>
        </w:rPr>
        <w:t xml:space="preserve">regarding </w:t>
      </w:r>
      <w:r w:rsidR="00AD14D0">
        <w:rPr>
          <w:rFonts w:ascii="Times New Roman" w:hAnsi="Times New Roman"/>
          <w:sz w:val="28"/>
          <w:szCs w:val="28"/>
        </w:rPr>
        <w:t>the appellant’s appeal</w:t>
      </w:r>
      <w:r w:rsidR="00010849">
        <w:rPr>
          <w:rFonts w:ascii="Times New Roman" w:hAnsi="Times New Roman"/>
          <w:sz w:val="28"/>
          <w:szCs w:val="28"/>
        </w:rPr>
        <w:t xml:space="preserve"> </w:t>
      </w:r>
      <w:r w:rsidR="0009010A">
        <w:rPr>
          <w:rFonts w:ascii="Times New Roman" w:hAnsi="Times New Roman"/>
          <w:sz w:val="28"/>
          <w:szCs w:val="28"/>
        </w:rPr>
        <w:t xml:space="preserve">against </w:t>
      </w:r>
      <w:r w:rsidR="008D2A68">
        <w:rPr>
          <w:rFonts w:ascii="Times New Roman" w:hAnsi="Times New Roman"/>
          <w:sz w:val="28"/>
          <w:szCs w:val="28"/>
        </w:rPr>
        <w:t xml:space="preserve">a </w:t>
      </w:r>
      <w:r w:rsidR="0009010A">
        <w:rPr>
          <w:rFonts w:ascii="Times New Roman" w:hAnsi="Times New Roman"/>
          <w:sz w:val="28"/>
          <w:szCs w:val="28"/>
        </w:rPr>
        <w:t xml:space="preserve">first refusal of bail </w:t>
      </w:r>
      <w:r w:rsidR="00267C51">
        <w:rPr>
          <w:rFonts w:ascii="Times New Roman" w:hAnsi="Times New Roman"/>
          <w:sz w:val="28"/>
          <w:szCs w:val="28"/>
        </w:rPr>
        <w:t xml:space="preserve">on 28 January 2022 </w:t>
      </w:r>
      <w:r w:rsidR="008D2A68">
        <w:rPr>
          <w:rFonts w:ascii="Times New Roman" w:hAnsi="Times New Roman"/>
          <w:sz w:val="28"/>
          <w:szCs w:val="28"/>
        </w:rPr>
        <w:t>in the magistrate</w:t>
      </w:r>
      <w:r w:rsidR="004E4B97">
        <w:rPr>
          <w:rFonts w:ascii="Times New Roman" w:hAnsi="Times New Roman"/>
          <w:sz w:val="28"/>
          <w:szCs w:val="28"/>
        </w:rPr>
        <w:t>’</w:t>
      </w:r>
      <w:r w:rsidR="008D2A68">
        <w:rPr>
          <w:rFonts w:ascii="Times New Roman" w:hAnsi="Times New Roman"/>
          <w:sz w:val="28"/>
          <w:szCs w:val="28"/>
        </w:rPr>
        <w:t>s court.</w:t>
      </w:r>
    </w:p>
    <w:p w14:paraId="10000742" w14:textId="3456F6F7" w:rsidR="0050695C" w:rsidRDefault="0083414B" w:rsidP="0083414B">
      <w:pPr>
        <w:pStyle w:val="LegalList1"/>
        <w:spacing w:line="360" w:lineRule="auto"/>
        <w:ind w:left="851" w:hanging="851"/>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A3522C">
        <w:rPr>
          <w:rFonts w:ascii="Times New Roman" w:hAnsi="Times New Roman"/>
          <w:sz w:val="28"/>
          <w:szCs w:val="28"/>
        </w:rPr>
        <w:t xml:space="preserve">On 7 April 2022 the appellant applied for bail on new facts. </w:t>
      </w:r>
      <w:r w:rsidR="009647DE">
        <w:rPr>
          <w:rFonts w:ascii="Times New Roman" w:hAnsi="Times New Roman"/>
          <w:sz w:val="28"/>
          <w:szCs w:val="28"/>
        </w:rPr>
        <w:t>In a judgment delivered on 30 May 2022 the magistrate dismissed the appellant’s application</w:t>
      </w:r>
      <w:r w:rsidR="00741938">
        <w:rPr>
          <w:rFonts w:ascii="Times New Roman" w:hAnsi="Times New Roman"/>
          <w:sz w:val="28"/>
          <w:szCs w:val="28"/>
        </w:rPr>
        <w:t xml:space="preserve">, and it </w:t>
      </w:r>
      <w:r w:rsidR="00C842CA">
        <w:rPr>
          <w:rFonts w:ascii="Times New Roman" w:hAnsi="Times New Roman"/>
          <w:sz w:val="28"/>
          <w:szCs w:val="28"/>
        </w:rPr>
        <w:t xml:space="preserve">is that dismissal which precipitated the present appeal to this court. </w:t>
      </w:r>
      <w:r w:rsidR="00AD14D0">
        <w:rPr>
          <w:rFonts w:ascii="Times New Roman" w:hAnsi="Times New Roman"/>
          <w:sz w:val="28"/>
          <w:szCs w:val="28"/>
        </w:rPr>
        <w:t>Succinctly stated,</w:t>
      </w:r>
      <w:r w:rsidR="00010849">
        <w:rPr>
          <w:rFonts w:ascii="Times New Roman" w:hAnsi="Times New Roman"/>
          <w:sz w:val="28"/>
          <w:szCs w:val="28"/>
        </w:rPr>
        <w:t xml:space="preserve"> the issue lies squar</w:t>
      </w:r>
      <w:r w:rsidR="00F37ED1">
        <w:rPr>
          <w:rFonts w:ascii="Times New Roman" w:hAnsi="Times New Roman"/>
          <w:sz w:val="28"/>
          <w:szCs w:val="28"/>
        </w:rPr>
        <w:t xml:space="preserve">ely on whether the magistrate erred in his </w:t>
      </w:r>
      <w:r w:rsidR="00CB0729">
        <w:rPr>
          <w:rFonts w:ascii="Times New Roman" w:hAnsi="Times New Roman"/>
          <w:sz w:val="28"/>
          <w:szCs w:val="28"/>
        </w:rPr>
        <w:t xml:space="preserve">approach to the determination of new facts. </w:t>
      </w:r>
    </w:p>
    <w:p w14:paraId="6C231710" w14:textId="52697FC1" w:rsidR="008B5120" w:rsidRDefault="0083414B" w:rsidP="0083414B">
      <w:pPr>
        <w:pStyle w:val="LegalList1"/>
        <w:spacing w:line="360" w:lineRule="auto"/>
        <w:ind w:left="851" w:hanging="851"/>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092D95">
        <w:rPr>
          <w:rFonts w:ascii="Times New Roman" w:hAnsi="Times New Roman"/>
          <w:sz w:val="28"/>
          <w:szCs w:val="28"/>
        </w:rPr>
        <w:t xml:space="preserve">In </w:t>
      </w:r>
      <w:r w:rsidR="00741938">
        <w:rPr>
          <w:rFonts w:ascii="Times New Roman" w:hAnsi="Times New Roman"/>
          <w:sz w:val="28"/>
          <w:szCs w:val="28"/>
        </w:rPr>
        <w:t xml:space="preserve">his </w:t>
      </w:r>
      <w:r w:rsidR="00092D95">
        <w:rPr>
          <w:rFonts w:ascii="Times New Roman" w:hAnsi="Times New Roman"/>
          <w:sz w:val="28"/>
          <w:szCs w:val="28"/>
        </w:rPr>
        <w:t xml:space="preserve">judgment </w:t>
      </w:r>
      <w:r w:rsidR="00752783">
        <w:rPr>
          <w:rFonts w:ascii="Times New Roman" w:hAnsi="Times New Roman"/>
          <w:sz w:val="28"/>
          <w:szCs w:val="28"/>
        </w:rPr>
        <w:t>the magistrate had recourse to the Concise Oxford English Dictionary</w:t>
      </w:r>
      <w:r w:rsidR="00E2075F">
        <w:rPr>
          <w:rFonts w:ascii="Times New Roman" w:hAnsi="Times New Roman"/>
          <w:sz w:val="28"/>
          <w:szCs w:val="28"/>
        </w:rPr>
        <w:t xml:space="preserve"> which defined the word ‘new’ to mean ‘not existing before’. On this approach the magistrate reasoned that the facts introduced by the appellant in his second </w:t>
      </w:r>
      <w:r w:rsidR="00741938">
        <w:rPr>
          <w:rFonts w:ascii="Times New Roman" w:hAnsi="Times New Roman"/>
          <w:sz w:val="28"/>
          <w:szCs w:val="28"/>
        </w:rPr>
        <w:t xml:space="preserve">attempt for </w:t>
      </w:r>
      <w:r w:rsidR="004004A7">
        <w:rPr>
          <w:rFonts w:ascii="Times New Roman" w:hAnsi="Times New Roman"/>
          <w:sz w:val="28"/>
          <w:szCs w:val="28"/>
        </w:rPr>
        <w:t xml:space="preserve">seeking bail were extant at the </w:t>
      </w:r>
      <w:r w:rsidR="004004A7">
        <w:rPr>
          <w:rFonts w:ascii="Times New Roman" w:hAnsi="Times New Roman"/>
          <w:sz w:val="28"/>
          <w:szCs w:val="28"/>
        </w:rPr>
        <w:lastRenderedPageBreak/>
        <w:t>time of his first bail application</w:t>
      </w:r>
      <w:r w:rsidR="00501C20">
        <w:rPr>
          <w:rFonts w:ascii="Times New Roman" w:hAnsi="Times New Roman"/>
          <w:sz w:val="28"/>
          <w:szCs w:val="28"/>
        </w:rPr>
        <w:t xml:space="preserve"> on 28 January 2022.</w:t>
      </w:r>
      <w:r w:rsidR="0050695C">
        <w:rPr>
          <w:rFonts w:ascii="Times New Roman" w:hAnsi="Times New Roman"/>
          <w:sz w:val="28"/>
          <w:szCs w:val="28"/>
        </w:rPr>
        <w:t xml:space="preserve"> Accordingly, they did not constitute new facts within the scope of the dictionary meaning ascribed to the word ‘new’.</w:t>
      </w:r>
    </w:p>
    <w:p w14:paraId="1938A179" w14:textId="500E5F43" w:rsidR="00AD2585" w:rsidRDefault="0083414B" w:rsidP="0083414B">
      <w:pPr>
        <w:pStyle w:val="LegalList1"/>
        <w:spacing w:line="360" w:lineRule="auto"/>
        <w:ind w:left="851" w:hanging="851"/>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00164ADC">
        <w:rPr>
          <w:rFonts w:ascii="Times New Roman" w:hAnsi="Times New Roman"/>
          <w:sz w:val="28"/>
          <w:szCs w:val="28"/>
        </w:rPr>
        <w:t xml:space="preserve">In the course of the hearing of the matter the parties advanced legal argument </w:t>
      </w:r>
      <w:r w:rsidR="00AD2585">
        <w:rPr>
          <w:rFonts w:ascii="Times New Roman" w:hAnsi="Times New Roman"/>
          <w:sz w:val="28"/>
          <w:szCs w:val="28"/>
        </w:rPr>
        <w:t xml:space="preserve">on the courts’ approach to the </w:t>
      </w:r>
      <w:r w:rsidR="00940260">
        <w:rPr>
          <w:rFonts w:ascii="Times New Roman" w:hAnsi="Times New Roman"/>
          <w:sz w:val="28"/>
          <w:szCs w:val="28"/>
        </w:rPr>
        <w:t>issue</w:t>
      </w:r>
      <w:r w:rsidR="00AD2585">
        <w:rPr>
          <w:rFonts w:ascii="Times New Roman" w:hAnsi="Times New Roman"/>
          <w:sz w:val="28"/>
          <w:szCs w:val="28"/>
        </w:rPr>
        <w:t xml:space="preserve"> of new facts. </w:t>
      </w:r>
      <w:r w:rsidR="00940260">
        <w:rPr>
          <w:rFonts w:ascii="Times New Roman" w:hAnsi="Times New Roman"/>
          <w:sz w:val="28"/>
          <w:szCs w:val="28"/>
        </w:rPr>
        <w:t>It is, considered</w:t>
      </w:r>
      <w:r w:rsidR="0029035B">
        <w:rPr>
          <w:rFonts w:ascii="Times New Roman" w:hAnsi="Times New Roman"/>
          <w:sz w:val="28"/>
          <w:szCs w:val="28"/>
        </w:rPr>
        <w:t xml:space="preserve"> </w:t>
      </w:r>
      <w:r w:rsidR="00B74A73">
        <w:rPr>
          <w:rFonts w:ascii="Times New Roman" w:hAnsi="Times New Roman"/>
          <w:sz w:val="28"/>
          <w:szCs w:val="28"/>
        </w:rPr>
        <w:t>edifying to quote directly from the appellant’s heads of argument where reference is made to</w:t>
      </w:r>
      <w:r w:rsidR="00B85913">
        <w:rPr>
          <w:rFonts w:ascii="Times New Roman" w:hAnsi="Times New Roman"/>
          <w:sz w:val="28"/>
          <w:szCs w:val="28"/>
        </w:rPr>
        <w:t xml:space="preserve"> a convenient summary of guidelines and principles</w:t>
      </w:r>
      <w:r w:rsidR="00940260">
        <w:rPr>
          <w:rFonts w:ascii="Times New Roman" w:hAnsi="Times New Roman"/>
          <w:sz w:val="28"/>
          <w:szCs w:val="28"/>
        </w:rPr>
        <w:t xml:space="preserve"> supported by case authority</w:t>
      </w:r>
      <w:r w:rsidR="00B85913">
        <w:rPr>
          <w:rFonts w:ascii="Times New Roman" w:hAnsi="Times New Roman"/>
          <w:sz w:val="28"/>
          <w:szCs w:val="28"/>
        </w:rPr>
        <w:t>.</w:t>
      </w:r>
      <w:r w:rsidR="00B85913">
        <w:rPr>
          <w:rStyle w:val="FootnoteReference"/>
          <w:rFonts w:ascii="Times New Roman" w:hAnsi="Times New Roman"/>
          <w:sz w:val="28"/>
          <w:szCs w:val="28"/>
        </w:rPr>
        <w:footnoteReference w:id="1"/>
      </w:r>
    </w:p>
    <w:p w14:paraId="2C975EB9" w14:textId="77777777" w:rsidR="0029035B" w:rsidRPr="00D81782" w:rsidRDefault="0029035B" w:rsidP="00D81782">
      <w:pPr>
        <w:pStyle w:val="LegalList1"/>
        <w:spacing w:line="360" w:lineRule="auto"/>
        <w:ind w:left="851"/>
        <w:rPr>
          <w:rFonts w:ascii="Times New Roman" w:hAnsi="Times New Roman"/>
        </w:rPr>
      </w:pPr>
      <w:r w:rsidRPr="00D81782">
        <w:rPr>
          <w:rFonts w:ascii="Times New Roman" w:hAnsi="Times New Roman"/>
        </w:rPr>
        <w:t xml:space="preserve">‘There is no definition of ‘new facts’ in </w:t>
      </w:r>
      <w:r w:rsidR="00FF210D" w:rsidRPr="00D81782">
        <w:rPr>
          <w:rFonts w:ascii="Times New Roman" w:hAnsi="Times New Roman"/>
        </w:rPr>
        <w:t>[the Criminal Procedure Act</w:t>
      </w:r>
      <w:r w:rsidR="00D20F4F">
        <w:rPr>
          <w:rFonts w:ascii="Times New Roman" w:hAnsi="Times New Roman"/>
        </w:rPr>
        <w:t xml:space="preserve"> 51 of 1977</w:t>
      </w:r>
      <w:r w:rsidR="00FF210D" w:rsidRPr="00D81782">
        <w:rPr>
          <w:rFonts w:ascii="Times New Roman" w:hAnsi="Times New Roman"/>
        </w:rPr>
        <w:t>]</w:t>
      </w:r>
      <w:r w:rsidRPr="00D81782">
        <w:rPr>
          <w:rFonts w:ascii="Times New Roman" w:hAnsi="Times New Roman"/>
        </w:rPr>
        <w:t>. Case law, however, provides at least 5 guidelines or principles which are of assistance:</w:t>
      </w:r>
    </w:p>
    <w:p w14:paraId="4619A8C9" w14:textId="77777777" w:rsidR="008C5DE8" w:rsidRPr="00D81782" w:rsidRDefault="008C5DE8" w:rsidP="00D81782">
      <w:pPr>
        <w:pStyle w:val="LegalList1"/>
        <w:spacing w:line="360" w:lineRule="auto"/>
        <w:ind w:left="1440" w:hanging="589"/>
        <w:rPr>
          <w:rFonts w:ascii="Times New Roman" w:hAnsi="Times New Roman"/>
        </w:rPr>
      </w:pPr>
      <w:r w:rsidRPr="00D81782">
        <w:rPr>
          <w:rFonts w:ascii="Times New Roman" w:hAnsi="Times New Roman"/>
        </w:rPr>
        <w:t>(a)</w:t>
      </w:r>
      <w:r w:rsidRPr="00D81782">
        <w:rPr>
          <w:rFonts w:ascii="Times New Roman" w:hAnsi="Times New Roman"/>
        </w:rPr>
        <w:tab/>
        <w:t>New facts are facts that came to light after refusal of bail, and obviously also include circumstances which have changed since the unsuccessful bail application was lodged. A detention period of almost 3 years between the first and the renewed bail application amounts to changed circumstances constituting a ‘new fact’ (</w:t>
      </w:r>
      <w:r w:rsidRPr="00BD02B8">
        <w:rPr>
          <w:rFonts w:ascii="Times New Roman" w:hAnsi="Times New Roman"/>
          <w:i/>
        </w:rPr>
        <w:t>S v Moussa</w:t>
      </w:r>
      <w:r w:rsidRPr="00D81782">
        <w:rPr>
          <w:rFonts w:ascii="Times New Roman" w:hAnsi="Times New Roman"/>
        </w:rPr>
        <w:t xml:space="preserve"> 2015 (3) NR 800 (HC) at [7]); and the passage of considerable time coupled with the State’s failure to make progress with the investigation of the case, can also qualify as a new fact (</w:t>
      </w:r>
      <w:r w:rsidRPr="00BD02B8">
        <w:rPr>
          <w:rFonts w:ascii="Times New Roman" w:hAnsi="Times New Roman"/>
          <w:i/>
        </w:rPr>
        <w:t>S</w:t>
      </w:r>
      <w:r w:rsidR="00FF210D" w:rsidRPr="00BD02B8">
        <w:rPr>
          <w:rFonts w:ascii="Times New Roman" w:hAnsi="Times New Roman"/>
          <w:i/>
        </w:rPr>
        <w:t xml:space="preserve"> </w:t>
      </w:r>
      <w:r w:rsidRPr="00BD02B8">
        <w:rPr>
          <w:rFonts w:ascii="Times New Roman" w:hAnsi="Times New Roman"/>
          <w:i/>
        </w:rPr>
        <w:t>v Hitschmann</w:t>
      </w:r>
      <w:r w:rsidRPr="00D81782">
        <w:rPr>
          <w:rFonts w:ascii="Times New Roman" w:hAnsi="Times New Roman"/>
        </w:rPr>
        <w:t xml:space="preserve"> 2007 (2) SACR 110 (ZH) at 113</w:t>
      </w:r>
      <w:r w:rsidRPr="00BD02B8">
        <w:rPr>
          <w:rFonts w:ascii="Times New Roman" w:hAnsi="Times New Roman"/>
          <w:i/>
        </w:rPr>
        <w:t>b</w:t>
      </w:r>
      <w:r w:rsidRPr="00D81782">
        <w:rPr>
          <w:rFonts w:ascii="Times New Roman" w:hAnsi="Times New Roman"/>
        </w:rPr>
        <w:t>)</w:t>
      </w:r>
      <w:r w:rsidR="0067409C" w:rsidRPr="00D81782">
        <w:rPr>
          <w:rFonts w:ascii="Times New Roman" w:hAnsi="Times New Roman"/>
        </w:rPr>
        <w:t>.</w:t>
      </w:r>
    </w:p>
    <w:p w14:paraId="616D0F18" w14:textId="77777777" w:rsidR="0067409C" w:rsidRPr="00D81782" w:rsidRDefault="0067409C" w:rsidP="00D81782">
      <w:pPr>
        <w:pStyle w:val="LegalList1"/>
        <w:spacing w:line="360" w:lineRule="auto"/>
        <w:ind w:left="1440" w:hanging="589"/>
        <w:rPr>
          <w:rFonts w:ascii="Times New Roman" w:hAnsi="Times New Roman"/>
        </w:rPr>
      </w:pPr>
      <w:r w:rsidRPr="00D81782">
        <w:rPr>
          <w:rFonts w:ascii="Times New Roman" w:hAnsi="Times New Roman"/>
        </w:rPr>
        <w:t>(b)</w:t>
      </w:r>
      <w:r w:rsidRPr="00D81782">
        <w:rPr>
          <w:rFonts w:ascii="Times New Roman" w:hAnsi="Times New Roman"/>
        </w:rPr>
        <w:tab/>
        <w:t>New facts must be ‘sufficiently different in character’ from the facts presented at the earlier unsuccessful bail application (</w:t>
      </w:r>
      <w:r w:rsidRPr="00BD02B8">
        <w:rPr>
          <w:rFonts w:ascii="Times New Roman" w:hAnsi="Times New Roman"/>
          <w:i/>
        </w:rPr>
        <w:t>S v Mohamed</w:t>
      </w:r>
      <w:r w:rsidRPr="00D81782">
        <w:rPr>
          <w:rFonts w:ascii="Times New Roman" w:hAnsi="Times New Roman"/>
        </w:rPr>
        <w:t xml:space="preserve"> 1999 (2) SACR 507 (C) at 512</w:t>
      </w:r>
      <w:r w:rsidRPr="00BD02B8">
        <w:rPr>
          <w:rFonts w:ascii="Times New Roman" w:hAnsi="Times New Roman"/>
          <w:i/>
        </w:rPr>
        <w:t>b</w:t>
      </w:r>
      <w:r w:rsidRPr="00D81782">
        <w:rPr>
          <w:rFonts w:ascii="Times New Roman" w:hAnsi="Times New Roman"/>
        </w:rPr>
        <w:t>) and ‘must not constitute simply a reshuffling of old evidence’ (S v Petersen 2008 (2) SACR 355 (C) at [57</w:t>
      </w:r>
      <w:r w:rsidR="004D50BC" w:rsidRPr="00D81782">
        <w:rPr>
          <w:rFonts w:ascii="Times New Roman" w:hAnsi="Times New Roman"/>
        </w:rPr>
        <w:t>]).</w:t>
      </w:r>
    </w:p>
    <w:p w14:paraId="2FE8F106" w14:textId="77777777" w:rsidR="004D50BC" w:rsidRPr="00D81782" w:rsidRDefault="004D50BC" w:rsidP="00D81782">
      <w:pPr>
        <w:pStyle w:val="LegalList1"/>
        <w:spacing w:line="360" w:lineRule="auto"/>
        <w:ind w:left="1440" w:hanging="589"/>
        <w:rPr>
          <w:rFonts w:ascii="Times New Roman" w:hAnsi="Times New Roman"/>
        </w:rPr>
      </w:pPr>
      <w:r w:rsidRPr="00D81782">
        <w:rPr>
          <w:rFonts w:ascii="Times New Roman" w:hAnsi="Times New Roman"/>
        </w:rPr>
        <w:t>(c)</w:t>
      </w:r>
      <w:r w:rsidRPr="00D81782">
        <w:rPr>
          <w:rFonts w:ascii="Times New Roman" w:hAnsi="Times New Roman"/>
        </w:rPr>
        <w:tab/>
        <w:t>The alleged new fact or facts must be ‘relevant for purposes of the new bail application’</w:t>
      </w:r>
      <w:r w:rsidR="00637396" w:rsidRPr="00D81782">
        <w:rPr>
          <w:rFonts w:ascii="Times New Roman" w:hAnsi="Times New Roman"/>
        </w:rPr>
        <w:t xml:space="preserve">: see </w:t>
      </w:r>
      <w:r w:rsidR="00637396" w:rsidRPr="00BD02B8">
        <w:rPr>
          <w:rFonts w:ascii="Times New Roman" w:hAnsi="Times New Roman"/>
          <w:i/>
        </w:rPr>
        <w:t>S v Petersen</w:t>
      </w:r>
      <w:r w:rsidR="00BD02B8">
        <w:rPr>
          <w:rFonts w:ascii="Times New Roman" w:hAnsi="Times New Roman"/>
        </w:rPr>
        <w:t xml:space="preserve"> (</w:t>
      </w:r>
      <w:r w:rsidR="00637396" w:rsidRPr="00D81782">
        <w:rPr>
          <w:rFonts w:ascii="Times New Roman" w:hAnsi="Times New Roman"/>
        </w:rPr>
        <w:t>supra</w:t>
      </w:r>
      <w:r w:rsidR="00BD02B8">
        <w:rPr>
          <w:rFonts w:ascii="Times New Roman" w:hAnsi="Times New Roman"/>
        </w:rPr>
        <w:t>)</w:t>
      </w:r>
      <w:r w:rsidR="00637396" w:rsidRPr="00D81782">
        <w:rPr>
          <w:rFonts w:ascii="Times New Roman" w:hAnsi="Times New Roman"/>
        </w:rPr>
        <w:t xml:space="preserve"> at [57]). This means that there must at least be some advance indication that the new facts, if received, would on their own</w:t>
      </w:r>
      <w:r w:rsidR="00B55D6E" w:rsidRPr="00D81782">
        <w:rPr>
          <w:rFonts w:ascii="Times New Roman" w:hAnsi="Times New Roman"/>
        </w:rPr>
        <w:t xml:space="preserve"> – or in conjunction with all the facts placed before the court in the earlier </w:t>
      </w:r>
      <w:r w:rsidR="00B55D6E" w:rsidRPr="00D81782">
        <w:rPr>
          <w:rFonts w:ascii="Times New Roman" w:hAnsi="Times New Roman"/>
        </w:rPr>
        <w:lastRenderedPageBreak/>
        <w:t xml:space="preserve">unsuccessful bail application – assist the court in considering release on bail afresh: see </w:t>
      </w:r>
      <w:r w:rsidR="00B55D6E" w:rsidRPr="00BD02B8">
        <w:rPr>
          <w:rFonts w:ascii="Times New Roman" w:hAnsi="Times New Roman"/>
          <w:i/>
        </w:rPr>
        <w:t>S v Mohammed</w:t>
      </w:r>
      <w:r w:rsidR="00B55D6E" w:rsidRPr="00D81782">
        <w:rPr>
          <w:rFonts w:ascii="Times New Roman" w:hAnsi="Times New Roman"/>
        </w:rPr>
        <w:t xml:space="preserve"> supra at 511</w:t>
      </w:r>
      <w:r w:rsidR="00B55D6E" w:rsidRPr="00BD02B8">
        <w:rPr>
          <w:rFonts w:ascii="Times New Roman" w:hAnsi="Times New Roman"/>
          <w:i/>
        </w:rPr>
        <w:t>h</w:t>
      </w:r>
      <w:r w:rsidR="00B55D6E" w:rsidRPr="00D81782">
        <w:rPr>
          <w:rFonts w:ascii="Times New Roman" w:hAnsi="Times New Roman"/>
        </w:rPr>
        <w:t>-512</w:t>
      </w:r>
      <w:r w:rsidR="00B55D6E" w:rsidRPr="00BD02B8">
        <w:rPr>
          <w:rFonts w:ascii="Times New Roman" w:hAnsi="Times New Roman"/>
          <w:i/>
        </w:rPr>
        <w:t>a</w:t>
      </w:r>
      <w:r w:rsidR="00B55D6E" w:rsidRPr="00D81782">
        <w:rPr>
          <w:rFonts w:ascii="Times New Roman" w:hAnsi="Times New Roman"/>
        </w:rPr>
        <w:t>.</w:t>
      </w:r>
    </w:p>
    <w:p w14:paraId="16733CD6" w14:textId="77777777" w:rsidR="00B55D6E" w:rsidRPr="00D81782" w:rsidRDefault="00B55D6E" w:rsidP="00D81782">
      <w:pPr>
        <w:pStyle w:val="LegalList1"/>
        <w:spacing w:line="360" w:lineRule="auto"/>
        <w:ind w:left="1440" w:hanging="589"/>
        <w:rPr>
          <w:rFonts w:ascii="Times New Roman" w:hAnsi="Times New Roman"/>
        </w:rPr>
      </w:pPr>
      <w:r w:rsidRPr="00D81782">
        <w:rPr>
          <w:rFonts w:ascii="Times New Roman" w:hAnsi="Times New Roman"/>
        </w:rPr>
        <w:t>(d)</w:t>
      </w:r>
      <w:r w:rsidRPr="00D81782">
        <w:rPr>
          <w:rFonts w:ascii="Times New Roman" w:hAnsi="Times New Roman"/>
        </w:rPr>
        <w:tab/>
        <w:t xml:space="preserve">In determining whether facts are new or not, a court is inevitably required to have due regard to the evidence presented or information received at the earlier unsuccessful application: see </w:t>
      </w:r>
      <w:r w:rsidRPr="00BD02B8">
        <w:rPr>
          <w:rFonts w:ascii="Times New Roman" w:hAnsi="Times New Roman"/>
          <w:i/>
        </w:rPr>
        <w:t>S v Vermaas</w:t>
      </w:r>
      <w:r w:rsidRPr="00D81782">
        <w:rPr>
          <w:rFonts w:ascii="Times New Roman" w:hAnsi="Times New Roman"/>
        </w:rPr>
        <w:t xml:space="preserve"> (supra) at 531</w:t>
      </w:r>
      <w:r w:rsidRPr="00BD02B8">
        <w:rPr>
          <w:rFonts w:ascii="Times New Roman" w:hAnsi="Times New Roman"/>
          <w:i/>
        </w:rPr>
        <w:t>e-g</w:t>
      </w:r>
      <w:r w:rsidRPr="00D81782">
        <w:rPr>
          <w:rFonts w:ascii="Times New Roman" w:hAnsi="Times New Roman"/>
        </w:rPr>
        <w:t xml:space="preserve">. In </w:t>
      </w:r>
      <w:r w:rsidRPr="00BD02B8">
        <w:rPr>
          <w:rFonts w:ascii="Times New Roman" w:hAnsi="Times New Roman"/>
          <w:i/>
        </w:rPr>
        <w:t>S v Mpofana</w:t>
      </w:r>
      <w:r w:rsidRPr="00D81782">
        <w:rPr>
          <w:rFonts w:ascii="Times New Roman" w:hAnsi="Times New Roman"/>
        </w:rPr>
        <w:t xml:space="preserve"> 1998 (1) SACR 40 (Tk)</w:t>
      </w:r>
      <w:r w:rsidR="004A20A3" w:rsidRPr="00D81782">
        <w:rPr>
          <w:rFonts w:ascii="Times New Roman" w:hAnsi="Times New Roman"/>
        </w:rPr>
        <w:t xml:space="preserve"> at 44</w:t>
      </w:r>
      <w:r w:rsidR="004A20A3" w:rsidRPr="00BD02B8">
        <w:rPr>
          <w:rFonts w:ascii="Times New Roman" w:hAnsi="Times New Roman"/>
          <w:i/>
        </w:rPr>
        <w:t>g</w:t>
      </w:r>
      <w:r w:rsidR="004A20A3" w:rsidRPr="00D81782">
        <w:rPr>
          <w:rFonts w:ascii="Times New Roman" w:hAnsi="Times New Roman"/>
        </w:rPr>
        <w:t>-45</w:t>
      </w:r>
      <w:r w:rsidR="004A20A3" w:rsidRPr="00BD02B8">
        <w:rPr>
          <w:rFonts w:ascii="Times New Roman" w:hAnsi="Times New Roman"/>
          <w:i/>
        </w:rPr>
        <w:t>a</w:t>
      </w:r>
      <w:r w:rsidR="004A20A3" w:rsidRPr="00D81782">
        <w:rPr>
          <w:rFonts w:ascii="Times New Roman" w:hAnsi="Times New Roman"/>
        </w:rPr>
        <w:t xml:space="preserve"> Mbenenge AJ</w:t>
      </w:r>
      <w:r w:rsidR="004A20A3" w:rsidRPr="00D81782">
        <w:rPr>
          <w:rStyle w:val="FootnoteReference"/>
          <w:rFonts w:ascii="Times New Roman" w:hAnsi="Times New Roman"/>
        </w:rPr>
        <w:footnoteReference w:id="2"/>
      </w:r>
      <w:r w:rsidR="004A20A3" w:rsidRPr="00D81782">
        <w:rPr>
          <w:rFonts w:ascii="Times New Roman" w:hAnsi="Times New Roman"/>
        </w:rPr>
        <w:t xml:space="preserve"> explained that ‘whilst the new application is not merely an extension of the initial one, the court which entertains the new application should come to a conclusion after considering whether, viewed in the light of the facts that were placed before court in the initial application,</w:t>
      </w:r>
      <w:r w:rsidR="00D06344" w:rsidRPr="00D81782">
        <w:rPr>
          <w:rFonts w:ascii="Times New Roman" w:hAnsi="Times New Roman"/>
        </w:rPr>
        <w:t xml:space="preserve"> there are new facts warranting the granting of the bail application’.</w:t>
      </w:r>
    </w:p>
    <w:p w14:paraId="5DF1A66C" w14:textId="77777777" w:rsidR="00C61E49" w:rsidRPr="00C61E49" w:rsidRDefault="00D06344" w:rsidP="00D81782">
      <w:pPr>
        <w:pStyle w:val="LegalList1"/>
        <w:spacing w:line="360" w:lineRule="auto"/>
        <w:ind w:left="1440" w:hanging="589"/>
        <w:rPr>
          <w:rFonts w:ascii="Times New Roman" w:hAnsi="Times New Roman"/>
          <w:sz w:val="28"/>
          <w:szCs w:val="28"/>
        </w:rPr>
      </w:pPr>
      <w:r w:rsidRPr="00D81782">
        <w:rPr>
          <w:rFonts w:ascii="Times New Roman" w:hAnsi="Times New Roman"/>
        </w:rPr>
        <w:t>(e)</w:t>
      </w:r>
      <w:r w:rsidRPr="00D81782">
        <w:rPr>
          <w:rFonts w:ascii="Times New Roman" w:hAnsi="Times New Roman"/>
        </w:rPr>
        <w:tab/>
        <w:t xml:space="preserve">In a situation where evidence was known and </w:t>
      </w:r>
      <w:r w:rsidRPr="00F803DA">
        <w:rPr>
          <w:rFonts w:ascii="Times New Roman" w:hAnsi="Times New Roman"/>
          <w:u w:val="single"/>
        </w:rPr>
        <w:t>available</w:t>
      </w:r>
      <w:r w:rsidRPr="00D81782">
        <w:rPr>
          <w:rFonts w:ascii="Times New Roman" w:hAnsi="Times New Roman"/>
        </w:rPr>
        <w:t xml:space="preserve"> to a bail applicant but not presented by him at the time of his earlier application, such evidence cannot</w:t>
      </w:r>
      <w:r w:rsidR="007C0DA0">
        <w:rPr>
          <w:rFonts w:ascii="Times New Roman" w:hAnsi="Times New Roman"/>
        </w:rPr>
        <w:t> </w:t>
      </w:r>
      <w:r w:rsidRPr="00D81782">
        <w:rPr>
          <w:rFonts w:ascii="Times New Roman" w:hAnsi="Times New Roman"/>
        </w:rPr>
        <w:t xml:space="preserve">for purposes of a renewed bail application be relied upon as ‘new facts’: see </w:t>
      </w:r>
      <w:r w:rsidRPr="007C0DA0">
        <w:rPr>
          <w:rFonts w:ascii="Times New Roman" w:hAnsi="Times New Roman"/>
          <w:i/>
        </w:rPr>
        <w:t>S v Le Roux en andere</w:t>
      </w:r>
      <w:r w:rsidRPr="00D81782">
        <w:rPr>
          <w:rFonts w:ascii="Times New Roman" w:hAnsi="Times New Roman"/>
        </w:rPr>
        <w:t xml:space="preserve"> 1995 (2) SACR 613 (W) at 622</w:t>
      </w:r>
      <w:r w:rsidRPr="007C0DA0">
        <w:rPr>
          <w:rFonts w:ascii="Times New Roman" w:hAnsi="Times New Roman"/>
          <w:i/>
        </w:rPr>
        <w:t>a</w:t>
      </w:r>
      <w:r w:rsidRPr="00D81782">
        <w:rPr>
          <w:rFonts w:ascii="Times New Roman" w:hAnsi="Times New Roman"/>
        </w:rPr>
        <w:t xml:space="preserve">. In </w:t>
      </w:r>
      <w:r w:rsidRPr="00216E82">
        <w:rPr>
          <w:rFonts w:ascii="Times New Roman" w:hAnsi="Times New Roman"/>
          <w:i/>
        </w:rPr>
        <w:t xml:space="preserve">Le Roux </w:t>
      </w:r>
      <w:r w:rsidRPr="00D81782">
        <w:rPr>
          <w:rFonts w:ascii="Times New Roman" w:hAnsi="Times New Roman"/>
        </w:rPr>
        <w:t>at 622</w:t>
      </w:r>
      <w:r w:rsidRPr="007C0DA0">
        <w:rPr>
          <w:rFonts w:ascii="Times New Roman" w:hAnsi="Times New Roman"/>
          <w:i/>
        </w:rPr>
        <w:t>b</w:t>
      </w:r>
      <w:r w:rsidR="0038083C" w:rsidRPr="00D81782">
        <w:rPr>
          <w:rFonts w:ascii="Times New Roman" w:hAnsi="Times New Roman"/>
        </w:rPr>
        <w:t xml:space="preserve"> it was explained that in the absence of such a rule, there could be an abuse of process (‘misbruik van hofprosedure’) leading to unnecessary and repeated bail applications. An accused should not be permitted to seek bail on several successive occasions by relying on the piecemeal (‘broksgewyse’) presentation of evidence. It has been suggested that the rule is an absolute </w:t>
      </w:r>
      <w:r w:rsidR="00DC0496">
        <w:rPr>
          <w:rFonts w:ascii="Times New Roman" w:hAnsi="Times New Roman"/>
        </w:rPr>
        <w:t>one</w:t>
      </w:r>
      <w:r w:rsidR="0038083C" w:rsidRPr="00D81782">
        <w:rPr>
          <w:rFonts w:ascii="Times New Roman" w:hAnsi="Times New Roman"/>
        </w:rPr>
        <w:t xml:space="preserve"> and should be applied regardless of the bail applicant’s reasons for not reducing the evidence at the unsuccessful application: see generally </w:t>
      </w:r>
      <w:r w:rsidR="0038083C" w:rsidRPr="007C0DA0">
        <w:rPr>
          <w:rFonts w:ascii="Times New Roman" w:hAnsi="Times New Roman"/>
          <w:i/>
        </w:rPr>
        <w:t>S v Petersen</w:t>
      </w:r>
      <w:r w:rsidR="0038083C" w:rsidRPr="00D81782">
        <w:rPr>
          <w:rFonts w:ascii="Times New Roman" w:hAnsi="Times New Roman"/>
        </w:rPr>
        <w:t xml:space="preserve"> </w:t>
      </w:r>
      <w:r w:rsidR="00B1334E" w:rsidRPr="00D81782">
        <w:rPr>
          <w:rFonts w:ascii="Times New Roman" w:hAnsi="Times New Roman"/>
        </w:rPr>
        <w:t>(</w:t>
      </w:r>
      <w:r w:rsidR="0038083C" w:rsidRPr="00D81782">
        <w:rPr>
          <w:rFonts w:ascii="Times New Roman" w:hAnsi="Times New Roman"/>
        </w:rPr>
        <w:t>supra</w:t>
      </w:r>
      <w:r w:rsidR="00B1334E" w:rsidRPr="00D81782">
        <w:rPr>
          <w:rFonts w:ascii="Times New Roman" w:hAnsi="Times New Roman"/>
        </w:rPr>
        <w:t>) at [58]. However, it is submitted that the rule should be applied with caution. It can hardly find application where the probable reason for the applicant’s failure to present the impugned evidence at the first bail application can be attributed to the applicant’s bon</w:t>
      </w:r>
      <w:r w:rsidR="00DC0496">
        <w:rPr>
          <w:rFonts w:ascii="Times New Roman" w:hAnsi="Times New Roman"/>
        </w:rPr>
        <w:t>a</w:t>
      </w:r>
      <w:r w:rsidR="00B1334E" w:rsidRPr="00D81782">
        <w:rPr>
          <w:rFonts w:ascii="Times New Roman" w:hAnsi="Times New Roman"/>
        </w:rPr>
        <w:t xml:space="preserve"> fide misinterpretation of the probative value of the evidence in relation to factual and legal issues concerning bail. The right to liberty pending the outcome of the trial of final appeal should not be frustrated by an inflexible rule. A bail court should be willing to examine and consider the </w:t>
      </w:r>
      <w:r w:rsidR="00B1334E" w:rsidRPr="00D81782">
        <w:rPr>
          <w:rFonts w:ascii="Times New Roman" w:hAnsi="Times New Roman"/>
        </w:rPr>
        <w:lastRenderedPageBreak/>
        <w:t>reasons why relevant and available facts known to the bail applicant were not relied on in the initial application.’</w:t>
      </w:r>
      <w:r w:rsidR="00C61E49">
        <w:rPr>
          <w:rFonts w:ascii="Times New Roman" w:hAnsi="Times New Roman"/>
        </w:rPr>
        <w:tab/>
        <w:t xml:space="preserve">     </w:t>
      </w:r>
      <w:r w:rsidR="00C61E49" w:rsidRPr="00C61E49">
        <w:rPr>
          <w:rFonts w:ascii="Times New Roman" w:hAnsi="Times New Roman"/>
          <w:sz w:val="28"/>
          <w:szCs w:val="28"/>
        </w:rPr>
        <w:t>(the underlined emphasis is ours)</w:t>
      </w:r>
    </w:p>
    <w:p w14:paraId="1A8A5E6B" w14:textId="5927344D" w:rsidR="00A61D8B" w:rsidRDefault="0083414B" w:rsidP="0083414B">
      <w:pPr>
        <w:pStyle w:val="LegalList1"/>
        <w:spacing w:line="360" w:lineRule="auto"/>
        <w:ind w:left="851" w:hanging="851"/>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00F571A5">
        <w:rPr>
          <w:rFonts w:ascii="Times New Roman" w:hAnsi="Times New Roman"/>
          <w:sz w:val="28"/>
          <w:szCs w:val="28"/>
        </w:rPr>
        <w:t xml:space="preserve">The record of the proceedings in the court a quo includes </w:t>
      </w:r>
      <w:r w:rsidR="00E465C6">
        <w:rPr>
          <w:rFonts w:ascii="Times New Roman" w:hAnsi="Times New Roman"/>
          <w:sz w:val="28"/>
          <w:szCs w:val="28"/>
        </w:rPr>
        <w:t>the magistrate’s judgment</w:t>
      </w:r>
      <w:r w:rsidR="00F571A5">
        <w:rPr>
          <w:rFonts w:ascii="Times New Roman" w:hAnsi="Times New Roman"/>
          <w:sz w:val="28"/>
          <w:szCs w:val="28"/>
        </w:rPr>
        <w:t>.</w:t>
      </w:r>
      <w:r w:rsidR="00462B78">
        <w:rPr>
          <w:rFonts w:ascii="Times New Roman" w:hAnsi="Times New Roman"/>
          <w:sz w:val="28"/>
          <w:szCs w:val="28"/>
        </w:rPr>
        <w:t xml:space="preserve"> </w:t>
      </w:r>
      <w:r w:rsidR="00D3484C">
        <w:rPr>
          <w:rFonts w:ascii="Times New Roman" w:hAnsi="Times New Roman"/>
          <w:sz w:val="28"/>
          <w:szCs w:val="28"/>
        </w:rPr>
        <w:t>Pages 36</w:t>
      </w:r>
      <w:r w:rsidR="00515309">
        <w:rPr>
          <w:rFonts w:ascii="Times New Roman" w:hAnsi="Times New Roman"/>
          <w:sz w:val="28"/>
          <w:szCs w:val="28"/>
        </w:rPr>
        <w:t>0</w:t>
      </w:r>
      <w:r w:rsidR="00D3484C">
        <w:rPr>
          <w:rFonts w:ascii="Times New Roman" w:hAnsi="Times New Roman"/>
          <w:sz w:val="28"/>
          <w:szCs w:val="28"/>
        </w:rPr>
        <w:t xml:space="preserve"> to 371</w:t>
      </w:r>
      <w:r w:rsidR="00515309">
        <w:rPr>
          <w:rFonts w:ascii="Times New Roman" w:hAnsi="Times New Roman"/>
          <w:sz w:val="28"/>
          <w:szCs w:val="28"/>
        </w:rPr>
        <w:t xml:space="preserve"> of Volume 3</w:t>
      </w:r>
      <w:r w:rsidR="00D3484C">
        <w:rPr>
          <w:rFonts w:ascii="Times New Roman" w:hAnsi="Times New Roman"/>
          <w:sz w:val="28"/>
          <w:szCs w:val="28"/>
        </w:rPr>
        <w:t xml:space="preserve"> reflects </w:t>
      </w:r>
      <w:r w:rsidR="00E465C6">
        <w:rPr>
          <w:rFonts w:ascii="Times New Roman" w:hAnsi="Times New Roman"/>
          <w:sz w:val="28"/>
          <w:szCs w:val="28"/>
        </w:rPr>
        <w:t>the magistrate</w:t>
      </w:r>
      <w:r w:rsidR="00D3484C">
        <w:rPr>
          <w:rFonts w:ascii="Times New Roman" w:hAnsi="Times New Roman"/>
          <w:sz w:val="28"/>
          <w:szCs w:val="28"/>
        </w:rPr>
        <w:t>’s</w:t>
      </w:r>
      <w:r w:rsidR="00E465C6">
        <w:rPr>
          <w:rFonts w:ascii="Times New Roman" w:hAnsi="Times New Roman"/>
          <w:sz w:val="28"/>
          <w:szCs w:val="28"/>
        </w:rPr>
        <w:t xml:space="preserve"> </w:t>
      </w:r>
      <w:r w:rsidR="00C80E39">
        <w:rPr>
          <w:rFonts w:ascii="Times New Roman" w:hAnsi="Times New Roman"/>
          <w:sz w:val="28"/>
          <w:szCs w:val="28"/>
        </w:rPr>
        <w:t xml:space="preserve">analyses </w:t>
      </w:r>
      <w:r w:rsidR="00D3484C">
        <w:rPr>
          <w:rFonts w:ascii="Times New Roman" w:hAnsi="Times New Roman"/>
          <w:sz w:val="28"/>
          <w:szCs w:val="28"/>
        </w:rPr>
        <w:t xml:space="preserve">of </w:t>
      </w:r>
      <w:r w:rsidR="00C80E39">
        <w:rPr>
          <w:rFonts w:ascii="Times New Roman" w:hAnsi="Times New Roman"/>
          <w:sz w:val="28"/>
          <w:szCs w:val="28"/>
        </w:rPr>
        <w:t>the material which the appellant contends constitutes new facts.</w:t>
      </w:r>
      <w:r w:rsidR="00A04FA0">
        <w:rPr>
          <w:rFonts w:ascii="Times New Roman" w:hAnsi="Times New Roman"/>
          <w:sz w:val="28"/>
          <w:szCs w:val="28"/>
        </w:rPr>
        <w:t xml:space="preserve"> </w:t>
      </w:r>
      <w:r w:rsidR="008F7FE2">
        <w:rPr>
          <w:rFonts w:ascii="Times New Roman" w:hAnsi="Times New Roman"/>
          <w:sz w:val="28"/>
          <w:szCs w:val="28"/>
        </w:rPr>
        <w:t>The proceedings did not entail leading oral testimony from witnesses –</w:t>
      </w:r>
      <w:r w:rsidR="007728C0">
        <w:rPr>
          <w:rFonts w:ascii="Times New Roman" w:hAnsi="Times New Roman"/>
          <w:sz w:val="28"/>
          <w:szCs w:val="28"/>
        </w:rPr>
        <w:t xml:space="preserve"> </w:t>
      </w:r>
      <w:r w:rsidR="008F7FE2">
        <w:rPr>
          <w:rFonts w:ascii="Times New Roman" w:hAnsi="Times New Roman"/>
          <w:sz w:val="28"/>
          <w:szCs w:val="28"/>
        </w:rPr>
        <w:t>both parties elect</w:t>
      </w:r>
      <w:r w:rsidR="007728C0">
        <w:rPr>
          <w:rFonts w:ascii="Times New Roman" w:hAnsi="Times New Roman"/>
          <w:sz w:val="28"/>
          <w:szCs w:val="28"/>
        </w:rPr>
        <w:t>ed</w:t>
      </w:r>
      <w:r w:rsidR="008F7FE2">
        <w:rPr>
          <w:rFonts w:ascii="Times New Roman" w:hAnsi="Times New Roman"/>
          <w:sz w:val="28"/>
          <w:szCs w:val="28"/>
        </w:rPr>
        <w:t xml:space="preserve"> to </w:t>
      </w:r>
      <w:r w:rsidR="007728C0">
        <w:rPr>
          <w:rFonts w:ascii="Times New Roman" w:hAnsi="Times New Roman"/>
          <w:sz w:val="28"/>
          <w:szCs w:val="28"/>
        </w:rPr>
        <w:t xml:space="preserve">tender their evidence on </w:t>
      </w:r>
      <w:r w:rsidR="008F7FE2">
        <w:rPr>
          <w:rFonts w:ascii="Times New Roman" w:hAnsi="Times New Roman"/>
          <w:sz w:val="28"/>
          <w:szCs w:val="28"/>
        </w:rPr>
        <w:t>affidavit</w:t>
      </w:r>
      <w:r w:rsidR="007728C0">
        <w:rPr>
          <w:rFonts w:ascii="Times New Roman" w:hAnsi="Times New Roman"/>
          <w:sz w:val="28"/>
          <w:szCs w:val="28"/>
        </w:rPr>
        <w:t xml:space="preserve">. </w:t>
      </w:r>
      <w:r w:rsidR="00051D2D">
        <w:rPr>
          <w:rFonts w:ascii="Times New Roman" w:hAnsi="Times New Roman"/>
          <w:sz w:val="28"/>
          <w:szCs w:val="28"/>
        </w:rPr>
        <w:t xml:space="preserve">Electing rather to deal only with the </w:t>
      </w:r>
      <w:r w:rsidR="00A61D8B">
        <w:rPr>
          <w:rFonts w:ascii="Times New Roman" w:hAnsi="Times New Roman"/>
          <w:sz w:val="28"/>
          <w:szCs w:val="28"/>
        </w:rPr>
        <w:t xml:space="preserve">issue </w:t>
      </w:r>
      <w:r w:rsidR="00051D2D">
        <w:rPr>
          <w:rFonts w:ascii="Times New Roman" w:hAnsi="Times New Roman"/>
          <w:sz w:val="28"/>
          <w:szCs w:val="28"/>
        </w:rPr>
        <w:t>whether the appellant proved the existence of new facts</w:t>
      </w:r>
      <w:r w:rsidR="00A61D8B">
        <w:rPr>
          <w:rFonts w:ascii="Times New Roman" w:hAnsi="Times New Roman"/>
          <w:sz w:val="28"/>
          <w:szCs w:val="28"/>
        </w:rPr>
        <w:t>,</w:t>
      </w:r>
      <w:r w:rsidR="00051D2D">
        <w:rPr>
          <w:rFonts w:ascii="Times New Roman" w:hAnsi="Times New Roman"/>
          <w:sz w:val="28"/>
          <w:szCs w:val="28"/>
        </w:rPr>
        <w:t xml:space="preserve"> </w:t>
      </w:r>
      <w:r w:rsidR="00A61D8B">
        <w:rPr>
          <w:rFonts w:ascii="Times New Roman" w:hAnsi="Times New Roman"/>
          <w:sz w:val="28"/>
          <w:szCs w:val="28"/>
        </w:rPr>
        <w:t>t</w:t>
      </w:r>
      <w:r w:rsidR="00051D2D">
        <w:rPr>
          <w:rFonts w:ascii="Times New Roman" w:hAnsi="Times New Roman"/>
          <w:sz w:val="28"/>
          <w:szCs w:val="28"/>
        </w:rPr>
        <w:t xml:space="preserve">he respondent </w:t>
      </w:r>
      <w:r w:rsidR="00A61D8B">
        <w:rPr>
          <w:rFonts w:ascii="Times New Roman" w:hAnsi="Times New Roman"/>
          <w:sz w:val="28"/>
          <w:szCs w:val="28"/>
        </w:rPr>
        <w:t xml:space="preserve">did not enter upon </w:t>
      </w:r>
      <w:r w:rsidR="002F7334">
        <w:rPr>
          <w:rFonts w:ascii="Times New Roman" w:hAnsi="Times New Roman"/>
          <w:sz w:val="28"/>
          <w:szCs w:val="28"/>
        </w:rPr>
        <w:t xml:space="preserve">the merits of </w:t>
      </w:r>
      <w:r w:rsidR="00A61D8B">
        <w:rPr>
          <w:rFonts w:ascii="Times New Roman" w:hAnsi="Times New Roman"/>
          <w:sz w:val="28"/>
          <w:szCs w:val="28"/>
        </w:rPr>
        <w:t>question of bail.</w:t>
      </w:r>
    </w:p>
    <w:p w14:paraId="4954F8E6" w14:textId="6A299ADE" w:rsidR="008D0B0A" w:rsidRDefault="0083414B" w:rsidP="0083414B">
      <w:pPr>
        <w:pStyle w:val="LegalList1"/>
        <w:spacing w:line="360" w:lineRule="auto"/>
        <w:ind w:left="851" w:hanging="851"/>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r>
      <w:r w:rsidR="00330A28">
        <w:rPr>
          <w:rFonts w:ascii="Times New Roman" w:hAnsi="Times New Roman"/>
          <w:sz w:val="28"/>
          <w:szCs w:val="28"/>
        </w:rPr>
        <w:t xml:space="preserve">The appellant’s founding affidavit </w:t>
      </w:r>
      <w:r w:rsidR="009349D6">
        <w:rPr>
          <w:rFonts w:ascii="Times New Roman" w:hAnsi="Times New Roman"/>
          <w:sz w:val="28"/>
          <w:szCs w:val="28"/>
        </w:rPr>
        <w:t>dealt with the evidence which he contended constituted new facts</w:t>
      </w:r>
      <w:r w:rsidR="008C0354">
        <w:rPr>
          <w:rFonts w:ascii="Times New Roman" w:hAnsi="Times New Roman"/>
          <w:sz w:val="28"/>
          <w:szCs w:val="28"/>
        </w:rPr>
        <w:t xml:space="preserve">. With this affidavit the appellant </w:t>
      </w:r>
      <w:r w:rsidR="009349D6">
        <w:rPr>
          <w:rFonts w:ascii="Times New Roman" w:hAnsi="Times New Roman"/>
          <w:sz w:val="28"/>
          <w:szCs w:val="28"/>
        </w:rPr>
        <w:t xml:space="preserve">mounted a challenge to the </w:t>
      </w:r>
      <w:r w:rsidR="004D2B5F">
        <w:rPr>
          <w:rFonts w:ascii="Times New Roman" w:hAnsi="Times New Roman"/>
          <w:sz w:val="28"/>
          <w:szCs w:val="28"/>
        </w:rPr>
        <w:t xml:space="preserve">evidence </w:t>
      </w:r>
      <w:r w:rsidR="009349D6">
        <w:rPr>
          <w:rFonts w:ascii="Times New Roman" w:hAnsi="Times New Roman"/>
          <w:sz w:val="28"/>
          <w:szCs w:val="28"/>
        </w:rPr>
        <w:t>put up by the investigating officer</w:t>
      </w:r>
      <w:r w:rsidR="008C0354">
        <w:rPr>
          <w:rFonts w:ascii="Times New Roman" w:hAnsi="Times New Roman"/>
          <w:sz w:val="28"/>
          <w:szCs w:val="28"/>
        </w:rPr>
        <w:t xml:space="preserve"> in opposition to the appellant’s first bail application.</w:t>
      </w:r>
      <w:r w:rsidR="009B7548">
        <w:rPr>
          <w:rStyle w:val="FootnoteReference"/>
          <w:rFonts w:ascii="Times New Roman" w:hAnsi="Times New Roman"/>
          <w:sz w:val="28"/>
          <w:szCs w:val="28"/>
        </w:rPr>
        <w:footnoteReference w:id="3"/>
      </w:r>
      <w:r w:rsidR="009349D6">
        <w:rPr>
          <w:rFonts w:ascii="Times New Roman" w:hAnsi="Times New Roman"/>
          <w:sz w:val="28"/>
          <w:szCs w:val="28"/>
        </w:rPr>
        <w:t xml:space="preserve"> </w:t>
      </w:r>
      <w:r w:rsidR="007728C0">
        <w:rPr>
          <w:rFonts w:ascii="Times New Roman" w:hAnsi="Times New Roman"/>
          <w:sz w:val="28"/>
          <w:szCs w:val="28"/>
        </w:rPr>
        <w:t>The opposing affidavit</w:t>
      </w:r>
      <w:r w:rsidR="00853209">
        <w:rPr>
          <w:rFonts w:ascii="Times New Roman" w:hAnsi="Times New Roman"/>
          <w:sz w:val="28"/>
          <w:szCs w:val="28"/>
        </w:rPr>
        <w:t xml:space="preserve"> </w:t>
      </w:r>
      <w:r w:rsidR="007728C0">
        <w:rPr>
          <w:rFonts w:ascii="Times New Roman" w:hAnsi="Times New Roman"/>
          <w:sz w:val="28"/>
          <w:szCs w:val="28"/>
        </w:rPr>
        <w:t>ma</w:t>
      </w:r>
      <w:r w:rsidR="004A6DEE">
        <w:rPr>
          <w:rFonts w:ascii="Times New Roman" w:hAnsi="Times New Roman"/>
          <w:sz w:val="28"/>
          <w:szCs w:val="28"/>
        </w:rPr>
        <w:t>kes</w:t>
      </w:r>
      <w:r w:rsidR="007728C0">
        <w:rPr>
          <w:rFonts w:ascii="Times New Roman" w:hAnsi="Times New Roman"/>
          <w:sz w:val="28"/>
          <w:szCs w:val="28"/>
        </w:rPr>
        <w:t xml:space="preserve"> reference to various persons by name</w:t>
      </w:r>
      <w:r w:rsidR="00730B86">
        <w:rPr>
          <w:rFonts w:ascii="Times New Roman" w:hAnsi="Times New Roman"/>
          <w:sz w:val="28"/>
          <w:szCs w:val="28"/>
        </w:rPr>
        <w:t xml:space="preserve"> and in some instances by designation such as </w:t>
      </w:r>
      <w:r w:rsidR="001E6391">
        <w:rPr>
          <w:rFonts w:ascii="Times New Roman" w:hAnsi="Times New Roman"/>
          <w:sz w:val="28"/>
          <w:szCs w:val="28"/>
        </w:rPr>
        <w:t xml:space="preserve">‘the domestic of Terblanche’ </w:t>
      </w:r>
      <w:r w:rsidR="004D2B5F">
        <w:rPr>
          <w:rFonts w:ascii="Times New Roman" w:hAnsi="Times New Roman"/>
          <w:sz w:val="28"/>
          <w:szCs w:val="28"/>
        </w:rPr>
        <w:t xml:space="preserve">with </w:t>
      </w:r>
      <w:r w:rsidR="00154385">
        <w:rPr>
          <w:rFonts w:ascii="Times New Roman" w:hAnsi="Times New Roman"/>
          <w:sz w:val="28"/>
          <w:szCs w:val="28"/>
        </w:rPr>
        <w:t>mention</w:t>
      </w:r>
      <w:r w:rsidR="004D2B5F">
        <w:rPr>
          <w:rFonts w:ascii="Times New Roman" w:hAnsi="Times New Roman"/>
          <w:sz w:val="28"/>
          <w:szCs w:val="28"/>
        </w:rPr>
        <w:t xml:space="preserve"> in addition</w:t>
      </w:r>
      <w:r w:rsidR="001E6391">
        <w:rPr>
          <w:rFonts w:ascii="Times New Roman" w:hAnsi="Times New Roman"/>
          <w:sz w:val="28"/>
          <w:szCs w:val="28"/>
        </w:rPr>
        <w:t xml:space="preserve"> being made</w:t>
      </w:r>
      <w:r w:rsidR="00154385">
        <w:rPr>
          <w:rFonts w:ascii="Times New Roman" w:hAnsi="Times New Roman"/>
          <w:sz w:val="28"/>
          <w:szCs w:val="28"/>
        </w:rPr>
        <w:t xml:space="preserve"> of </w:t>
      </w:r>
      <w:r w:rsidR="00231181">
        <w:rPr>
          <w:rFonts w:ascii="Times New Roman" w:hAnsi="Times New Roman"/>
          <w:sz w:val="28"/>
          <w:szCs w:val="28"/>
        </w:rPr>
        <w:t xml:space="preserve">the appellant’s </w:t>
      </w:r>
      <w:r w:rsidR="00154385">
        <w:rPr>
          <w:rFonts w:ascii="Times New Roman" w:hAnsi="Times New Roman"/>
          <w:sz w:val="28"/>
          <w:szCs w:val="28"/>
        </w:rPr>
        <w:t>‘</w:t>
      </w:r>
      <w:r w:rsidR="00231181">
        <w:rPr>
          <w:rFonts w:ascii="Times New Roman" w:hAnsi="Times New Roman"/>
          <w:sz w:val="28"/>
          <w:szCs w:val="28"/>
        </w:rPr>
        <w:t>previous marriages</w:t>
      </w:r>
      <w:r w:rsidR="00154385">
        <w:rPr>
          <w:rFonts w:ascii="Times New Roman" w:hAnsi="Times New Roman"/>
          <w:sz w:val="28"/>
          <w:szCs w:val="28"/>
        </w:rPr>
        <w:t>’</w:t>
      </w:r>
      <w:r w:rsidR="00231181">
        <w:rPr>
          <w:rFonts w:ascii="Times New Roman" w:hAnsi="Times New Roman"/>
          <w:sz w:val="28"/>
          <w:szCs w:val="28"/>
        </w:rPr>
        <w:t>.</w:t>
      </w:r>
      <w:r w:rsidR="00CE2699">
        <w:rPr>
          <w:rFonts w:ascii="Times New Roman" w:hAnsi="Times New Roman"/>
          <w:sz w:val="28"/>
          <w:szCs w:val="28"/>
        </w:rPr>
        <w:t xml:space="preserve"> Moreover the investigating officer states that each allegation in the opposing affidavit is supported by evidence </w:t>
      </w:r>
      <w:r w:rsidR="00773931">
        <w:rPr>
          <w:rFonts w:ascii="Times New Roman" w:hAnsi="Times New Roman"/>
          <w:sz w:val="28"/>
          <w:szCs w:val="28"/>
        </w:rPr>
        <w:t>contained in affidavits.</w:t>
      </w:r>
    </w:p>
    <w:p w14:paraId="5BDD7B13" w14:textId="167A3AAC" w:rsidR="00DE176A" w:rsidRDefault="0083414B" w:rsidP="0083414B">
      <w:pPr>
        <w:pStyle w:val="LegalList1"/>
        <w:spacing w:line="360" w:lineRule="auto"/>
        <w:ind w:left="851" w:hanging="851"/>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004A6DEE">
        <w:rPr>
          <w:rFonts w:ascii="Times New Roman" w:hAnsi="Times New Roman"/>
          <w:sz w:val="28"/>
          <w:szCs w:val="28"/>
        </w:rPr>
        <w:t>The appellant believed that the persons so mentioned</w:t>
      </w:r>
      <w:r w:rsidR="00B72641">
        <w:rPr>
          <w:rFonts w:ascii="Times New Roman" w:hAnsi="Times New Roman"/>
          <w:sz w:val="28"/>
          <w:szCs w:val="28"/>
        </w:rPr>
        <w:t>,</w:t>
      </w:r>
      <w:r w:rsidR="004A6DEE">
        <w:rPr>
          <w:rFonts w:ascii="Times New Roman" w:hAnsi="Times New Roman"/>
          <w:sz w:val="28"/>
          <w:szCs w:val="28"/>
        </w:rPr>
        <w:t xml:space="preserve"> </w:t>
      </w:r>
      <w:r w:rsidR="00B72641">
        <w:rPr>
          <w:rFonts w:ascii="Times New Roman" w:hAnsi="Times New Roman"/>
          <w:sz w:val="28"/>
          <w:szCs w:val="28"/>
        </w:rPr>
        <w:t xml:space="preserve">whether by name or designation, </w:t>
      </w:r>
      <w:r w:rsidR="004A6DEE">
        <w:rPr>
          <w:rFonts w:ascii="Times New Roman" w:hAnsi="Times New Roman"/>
          <w:sz w:val="28"/>
          <w:szCs w:val="28"/>
        </w:rPr>
        <w:t xml:space="preserve">were </w:t>
      </w:r>
      <w:r w:rsidR="004B57E9">
        <w:rPr>
          <w:rFonts w:ascii="Times New Roman" w:hAnsi="Times New Roman"/>
          <w:sz w:val="28"/>
          <w:szCs w:val="28"/>
        </w:rPr>
        <w:t>state</w:t>
      </w:r>
      <w:r w:rsidR="004A6DEE">
        <w:rPr>
          <w:rFonts w:ascii="Times New Roman" w:hAnsi="Times New Roman"/>
          <w:sz w:val="28"/>
          <w:szCs w:val="28"/>
        </w:rPr>
        <w:t xml:space="preserve"> witnesses</w:t>
      </w:r>
      <w:r w:rsidR="003E228C">
        <w:rPr>
          <w:rFonts w:ascii="Times New Roman" w:hAnsi="Times New Roman"/>
          <w:sz w:val="28"/>
          <w:szCs w:val="28"/>
        </w:rPr>
        <w:t xml:space="preserve"> and that this presented an impediment </w:t>
      </w:r>
      <w:r w:rsidR="00406561">
        <w:rPr>
          <w:rFonts w:ascii="Times New Roman" w:hAnsi="Times New Roman"/>
          <w:sz w:val="28"/>
          <w:szCs w:val="28"/>
        </w:rPr>
        <w:t xml:space="preserve">in procuring </w:t>
      </w:r>
      <w:r w:rsidR="008D0B0A">
        <w:rPr>
          <w:rFonts w:ascii="Times New Roman" w:hAnsi="Times New Roman"/>
          <w:sz w:val="28"/>
          <w:szCs w:val="28"/>
        </w:rPr>
        <w:t xml:space="preserve">evidential material </w:t>
      </w:r>
      <w:r w:rsidR="00F4657B">
        <w:rPr>
          <w:rFonts w:ascii="Times New Roman" w:hAnsi="Times New Roman"/>
          <w:sz w:val="28"/>
          <w:szCs w:val="28"/>
        </w:rPr>
        <w:t>t</w:t>
      </w:r>
      <w:r w:rsidR="00FF5FF5">
        <w:rPr>
          <w:rFonts w:ascii="Times New Roman" w:hAnsi="Times New Roman"/>
          <w:sz w:val="28"/>
          <w:szCs w:val="28"/>
        </w:rPr>
        <w:t>o support his bid for bail</w:t>
      </w:r>
      <w:r w:rsidR="004D2B5F">
        <w:rPr>
          <w:rFonts w:ascii="Times New Roman" w:hAnsi="Times New Roman"/>
          <w:sz w:val="28"/>
          <w:szCs w:val="28"/>
        </w:rPr>
        <w:t xml:space="preserve"> in the first application</w:t>
      </w:r>
      <w:r w:rsidR="00406561">
        <w:rPr>
          <w:rFonts w:ascii="Times New Roman" w:hAnsi="Times New Roman"/>
          <w:sz w:val="28"/>
          <w:szCs w:val="28"/>
        </w:rPr>
        <w:t xml:space="preserve">. </w:t>
      </w:r>
      <w:r w:rsidR="008D0B0A">
        <w:rPr>
          <w:rFonts w:ascii="Times New Roman" w:hAnsi="Times New Roman"/>
          <w:sz w:val="28"/>
          <w:szCs w:val="28"/>
        </w:rPr>
        <w:t xml:space="preserve">It appears that the appellant’s belief did not read persuasively with the magistrate. </w:t>
      </w:r>
      <w:r w:rsidR="00191B75">
        <w:rPr>
          <w:rFonts w:ascii="Times New Roman" w:hAnsi="Times New Roman"/>
          <w:sz w:val="28"/>
          <w:szCs w:val="28"/>
        </w:rPr>
        <w:t xml:space="preserve">For reasons indicated below, this </w:t>
      </w:r>
      <w:r w:rsidR="00DE176A">
        <w:rPr>
          <w:rFonts w:ascii="Times New Roman" w:hAnsi="Times New Roman"/>
          <w:sz w:val="28"/>
          <w:szCs w:val="28"/>
        </w:rPr>
        <w:t xml:space="preserve">led </w:t>
      </w:r>
      <w:r w:rsidR="00066205">
        <w:rPr>
          <w:rFonts w:ascii="Times New Roman" w:hAnsi="Times New Roman"/>
          <w:sz w:val="28"/>
          <w:szCs w:val="28"/>
        </w:rPr>
        <w:t>to an unsustainable result.</w:t>
      </w:r>
    </w:p>
    <w:p w14:paraId="5AC77AD7" w14:textId="310E8E6A" w:rsidR="00E45287" w:rsidRDefault="0083414B" w:rsidP="0083414B">
      <w:pPr>
        <w:pStyle w:val="LegalList1"/>
        <w:spacing w:line="360" w:lineRule="auto"/>
        <w:ind w:left="851" w:hanging="851"/>
        <w:rPr>
          <w:rFonts w:ascii="Times New Roman" w:hAnsi="Times New Roman"/>
          <w:sz w:val="28"/>
          <w:szCs w:val="28"/>
        </w:rPr>
      </w:pPr>
      <w:r>
        <w:rPr>
          <w:rFonts w:ascii="Times New Roman" w:hAnsi="Times New Roman"/>
          <w:sz w:val="28"/>
          <w:szCs w:val="28"/>
        </w:rPr>
        <w:lastRenderedPageBreak/>
        <w:t>[10]</w:t>
      </w:r>
      <w:r>
        <w:rPr>
          <w:rFonts w:ascii="Times New Roman" w:hAnsi="Times New Roman"/>
          <w:sz w:val="28"/>
          <w:szCs w:val="28"/>
        </w:rPr>
        <w:tab/>
      </w:r>
      <w:r w:rsidR="005B32DF">
        <w:rPr>
          <w:rFonts w:ascii="Times New Roman" w:hAnsi="Times New Roman"/>
          <w:sz w:val="28"/>
          <w:szCs w:val="28"/>
        </w:rPr>
        <w:t>To begin with</w:t>
      </w:r>
      <w:r w:rsidR="001425E0">
        <w:rPr>
          <w:rFonts w:ascii="Times New Roman" w:hAnsi="Times New Roman"/>
          <w:sz w:val="28"/>
          <w:szCs w:val="28"/>
        </w:rPr>
        <w:t>,</w:t>
      </w:r>
      <w:r w:rsidR="005B32DF">
        <w:rPr>
          <w:rFonts w:ascii="Times New Roman" w:hAnsi="Times New Roman"/>
          <w:sz w:val="28"/>
          <w:szCs w:val="28"/>
        </w:rPr>
        <w:t xml:space="preserve"> </w:t>
      </w:r>
      <w:r w:rsidR="001425E0">
        <w:rPr>
          <w:rFonts w:ascii="Times New Roman" w:hAnsi="Times New Roman"/>
          <w:sz w:val="28"/>
          <w:szCs w:val="28"/>
        </w:rPr>
        <w:t xml:space="preserve">if attention is directed to the opposing affidavit </w:t>
      </w:r>
      <w:r w:rsidR="008161F6">
        <w:rPr>
          <w:rFonts w:ascii="Times New Roman" w:hAnsi="Times New Roman"/>
          <w:sz w:val="28"/>
          <w:szCs w:val="28"/>
        </w:rPr>
        <w:t xml:space="preserve">the objective reader may reasonably </w:t>
      </w:r>
      <w:r w:rsidR="003E228C" w:rsidRPr="0084259B">
        <w:rPr>
          <w:rFonts w:ascii="Times New Roman" w:hAnsi="Times New Roman"/>
          <w:sz w:val="28"/>
          <w:szCs w:val="28"/>
        </w:rPr>
        <w:t xml:space="preserve">engender the impression that the persons mentioned therein were </w:t>
      </w:r>
      <w:r w:rsidR="004B57E9">
        <w:rPr>
          <w:rFonts w:ascii="Times New Roman" w:hAnsi="Times New Roman"/>
          <w:sz w:val="28"/>
          <w:szCs w:val="28"/>
        </w:rPr>
        <w:t>state</w:t>
      </w:r>
      <w:r w:rsidR="003E228C" w:rsidRPr="0084259B">
        <w:rPr>
          <w:rFonts w:ascii="Times New Roman" w:hAnsi="Times New Roman"/>
          <w:sz w:val="28"/>
          <w:szCs w:val="28"/>
        </w:rPr>
        <w:t xml:space="preserve"> witnesses. </w:t>
      </w:r>
      <w:r w:rsidR="007F751F" w:rsidRPr="0084259B">
        <w:rPr>
          <w:rFonts w:ascii="Times New Roman" w:hAnsi="Times New Roman"/>
          <w:sz w:val="28"/>
          <w:szCs w:val="28"/>
        </w:rPr>
        <w:t xml:space="preserve">It is </w:t>
      </w:r>
      <w:r w:rsidR="004E17E7">
        <w:rPr>
          <w:rFonts w:ascii="Times New Roman" w:hAnsi="Times New Roman"/>
          <w:sz w:val="28"/>
          <w:szCs w:val="28"/>
        </w:rPr>
        <w:t>not il</w:t>
      </w:r>
      <w:r w:rsidR="00821602" w:rsidRPr="0084259B">
        <w:rPr>
          <w:rFonts w:ascii="Times New Roman" w:hAnsi="Times New Roman"/>
          <w:sz w:val="28"/>
          <w:szCs w:val="28"/>
        </w:rPr>
        <w:t xml:space="preserve">logical </w:t>
      </w:r>
      <w:r w:rsidR="007F751F" w:rsidRPr="0084259B">
        <w:rPr>
          <w:rFonts w:ascii="Times New Roman" w:hAnsi="Times New Roman"/>
          <w:sz w:val="28"/>
          <w:szCs w:val="28"/>
        </w:rPr>
        <w:t xml:space="preserve">to accept that a reasonable person in the position of the appellant </w:t>
      </w:r>
      <w:r w:rsidR="001C4A6A" w:rsidRPr="0084259B">
        <w:rPr>
          <w:rFonts w:ascii="Times New Roman" w:hAnsi="Times New Roman"/>
          <w:sz w:val="28"/>
          <w:szCs w:val="28"/>
        </w:rPr>
        <w:t xml:space="preserve">would </w:t>
      </w:r>
      <w:r w:rsidR="004E17E7">
        <w:rPr>
          <w:rFonts w:ascii="Times New Roman" w:hAnsi="Times New Roman"/>
          <w:sz w:val="28"/>
          <w:szCs w:val="28"/>
        </w:rPr>
        <w:t xml:space="preserve">be </w:t>
      </w:r>
      <w:r w:rsidR="002D2F2A">
        <w:rPr>
          <w:rFonts w:ascii="Times New Roman" w:hAnsi="Times New Roman"/>
          <w:sz w:val="28"/>
          <w:szCs w:val="28"/>
        </w:rPr>
        <w:t xml:space="preserve">disinclined to seek their assistance </w:t>
      </w:r>
      <w:r w:rsidR="000B095C">
        <w:rPr>
          <w:rFonts w:ascii="Times New Roman" w:hAnsi="Times New Roman"/>
          <w:sz w:val="28"/>
          <w:szCs w:val="28"/>
        </w:rPr>
        <w:t xml:space="preserve">despite </w:t>
      </w:r>
      <w:r w:rsidR="002D2F2A">
        <w:rPr>
          <w:rFonts w:ascii="Times New Roman" w:hAnsi="Times New Roman"/>
          <w:sz w:val="28"/>
          <w:szCs w:val="28"/>
        </w:rPr>
        <w:t xml:space="preserve">entertaining </w:t>
      </w:r>
      <w:r w:rsidR="000B095C">
        <w:rPr>
          <w:rFonts w:ascii="Times New Roman" w:hAnsi="Times New Roman"/>
          <w:sz w:val="28"/>
          <w:szCs w:val="28"/>
        </w:rPr>
        <w:t xml:space="preserve">a belief that they may be of assistance to him. </w:t>
      </w:r>
      <w:r w:rsidR="003E228C" w:rsidRPr="0084259B">
        <w:rPr>
          <w:rFonts w:ascii="Times New Roman" w:hAnsi="Times New Roman"/>
          <w:sz w:val="28"/>
          <w:szCs w:val="28"/>
        </w:rPr>
        <w:t xml:space="preserve">Once it became known to the appellant (after the first bail application) that </w:t>
      </w:r>
      <w:r w:rsidR="00F4657B">
        <w:rPr>
          <w:rFonts w:ascii="Times New Roman" w:hAnsi="Times New Roman"/>
          <w:sz w:val="28"/>
          <w:szCs w:val="28"/>
        </w:rPr>
        <w:t xml:space="preserve">some of them </w:t>
      </w:r>
      <w:r w:rsidR="003E228C" w:rsidRPr="0084259B">
        <w:rPr>
          <w:rFonts w:ascii="Times New Roman" w:hAnsi="Times New Roman"/>
          <w:sz w:val="28"/>
          <w:szCs w:val="28"/>
        </w:rPr>
        <w:t xml:space="preserve">were not </w:t>
      </w:r>
      <w:r w:rsidR="004B57E9">
        <w:rPr>
          <w:rFonts w:ascii="Times New Roman" w:hAnsi="Times New Roman"/>
          <w:sz w:val="28"/>
          <w:szCs w:val="28"/>
        </w:rPr>
        <w:t>state</w:t>
      </w:r>
      <w:r w:rsidR="003E228C" w:rsidRPr="0084259B">
        <w:rPr>
          <w:rFonts w:ascii="Times New Roman" w:hAnsi="Times New Roman"/>
          <w:sz w:val="28"/>
          <w:szCs w:val="28"/>
        </w:rPr>
        <w:t xml:space="preserve"> witnesses, it was open to him to procure </w:t>
      </w:r>
      <w:r w:rsidR="00476834" w:rsidRPr="0084259B">
        <w:rPr>
          <w:rFonts w:ascii="Times New Roman" w:hAnsi="Times New Roman"/>
          <w:sz w:val="28"/>
          <w:szCs w:val="28"/>
        </w:rPr>
        <w:t>evidence</w:t>
      </w:r>
      <w:r w:rsidR="003E228C" w:rsidRPr="0084259B">
        <w:rPr>
          <w:rFonts w:ascii="Times New Roman" w:hAnsi="Times New Roman"/>
          <w:sz w:val="28"/>
          <w:szCs w:val="28"/>
        </w:rPr>
        <w:t xml:space="preserve"> from them to support a further bail application.</w:t>
      </w:r>
      <w:r w:rsidR="00B15BC7" w:rsidRPr="0084259B">
        <w:rPr>
          <w:rFonts w:ascii="Times New Roman" w:hAnsi="Times New Roman"/>
          <w:sz w:val="28"/>
          <w:szCs w:val="28"/>
        </w:rPr>
        <w:t xml:space="preserve"> </w:t>
      </w:r>
      <w:r w:rsidR="00BA3853">
        <w:rPr>
          <w:rFonts w:ascii="Times New Roman" w:hAnsi="Times New Roman"/>
          <w:sz w:val="28"/>
          <w:szCs w:val="28"/>
        </w:rPr>
        <w:t xml:space="preserve">A </w:t>
      </w:r>
      <w:r w:rsidR="00EF3A08">
        <w:rPr>
          <w:rFonts w:ascii="Times New Roman" w:hAnsi="Times New Roman"/>
          <w:sz w:val="28"/>
          <w:szCs w:val="28"/>
        </w:rPr>
        <w:t xml:space="preserve">disclosure made by the appellant’s brother and nephew to the appellant’s legal team that their names </w:t>
      </w:r>
      <w:r w:rsidR="00E45287">
        <w:rPr>
          <w:rFonts w:ascii="Times New Roman" w:hAnsi="Times New Roman"/>
          <w:sz w:val="28"/>
          <w:szCs w:val="28"/>
        </w:rPr>
        <w:t xml:space="preserve">were </w:t>
      </w:r>
      <w:r w:rsidR="00EF3A08">
        <w:rPr>
          <w:rFonts w:ascii="Times New Roman" w:hAnsi="Times New Roman"/>
          <w:sz w:val="28"/>
          <w:szCs w:val="28"/>
        </w:rPr>
        <w:t xml:space="preserve">mentioned in the opposing affidavit </w:t>
      </w:r>
      <w:r w:rsidR="00E45287">
        <w:rPr>
          <w:rFonts w:ascii="Times New Roman" w:hAnsi="Times New Roman"/>
          <w:sz w:val="28"/>
          <w:szCs w:val="28"/>
        </w:rPr>
        <w:t xml:space="preserve">but that </w:t>
      </w:r>
      <w:r w:rsidR="00EF3A08">
        <w:rPr>
          <w:rFonts w:ascii="Times New Roman" w:hAnsi="Times New Roman"/>
          <w:sz w:val="28"/>
          <w:szCs w:val="28"/>
        </w:rPr>
        <w:t xml:space="preserve">they were never consulted by the investigating officer and were not </w:t>
      </w:r>
      <w:r w:rsidR="004B57E9">
        <w:rPr>
          <w:rFonts w:ascii="Times New Roman" w:hAnsi="Times New Roman"/>
          <w:sz w:val="28"/>
          <w:szCs w:val="28"/>
        </w:rPr>
        <w:t>state</w:t>
      </w:r>
      <w:r w:rsidR="00EF3A08">
        <w:rPr>
          <w:rFonts w:ascii="Times New Roman" w:hAnsi="Times New Roman"/>
          <w:sz w:val="28"/>
          <w:szCs w:val="28"/>
        </w:rPr>
        <w:t xml:space="preserve"> witnesses</w:t>
      </w:r>
      <w:r w:rsidR="004D2B5F">
        <w:rPr>
          <w:rFonts w:ascii="Times New Roman" w:hAnsi="Times New Roman"/>
          <w:sz w:val="28"/>
          <w:szCs w:val="28"/>
        </w:rPr>
        <w:t xml:space="preserve"> appears to have been the precipitant for </w:t>
      </w:r>
      <w:r w:rsidR="00BA3853">
        <w:rPr>
          <w:rFonts w:ascii="Times New Roman" w:hAnsi="Times New Roman"/>
          <w:sz w:val="28"/>
          <w:szCs w:val="28"/>
        </w:rPr>
        <w:t xml:space="preserve">the second application based on </w:t>
      </w:r>
      <w:r w:rsidR="00306315">
        <w:rPr>
          <w:rFonts w:ascii="Times New Roman" w:hAnsi="Times New Roman"/>
          <w:sz w:val="28"/>
          <w:szCs w:val="28"/>
        </w:rPr>
        <w:t>‘</w:t>
      </w:r>
      <w:r w:rsidR="00BA3853">
        <w:rPr>
          <w:rFonts w:ascii="Times New Roman" w:hAnsi="Times New Roman"/>
          <w:sz w:val="28"/>
          <w:szCs w:val="28"/>
        </w:rPr>
        <w:t>new facts</w:t>
      </w:r>
      <w:r w:rsidR="00306315">
        <w:rPr>
          <w:rFonts w:ascii="Times New Roman" w:hAnsi="Times New Roman"/>
          <w:sz w:val="28"/>
          <w:szCs w:val="28"/>
        </w:rPr>
        <w:t>’</w:t>
      </w:r>
      <w:r w:rsidR="00264A49">
        <w:rPr>
          <w:rFonts w:ascii="Times New Roman" w:hAnsi="Times New Roman"/>
          <w:sz w:val="28"/>
          <w:szCs w:val="28"/>
        </w:rPr>
        <w:t xml:space="preserve"> </w:t>
      </w:r>
      <w:r w:rsidR="009B75A3">
        <w:rPr>
          <w:rFonts w:ascii="Times New Roman" w:hAnsi="Times New Roman"/>
          <w:sz w:val="28"/>
          <w:szCs w:val="28"/>
        </w:rPr>
        <w:t xml:space="preserve">with </w:t>
      </w:r>
      <w:r w:rsidR="00264A49">
        <w:rPr>
          <w:rFonts w:ascii="Times New Roman" w:hAnsi="Times New Roman"/>
          <w:sz w:val="28"/>
          <w:szCs w:val="28"/>
        </w:rPr>
        <w:t xml:space="preserve">further affidavits obtained from the persons the appellant initially assumed to have been </w:t>
      </w:r>
      <w:r w:rsidR="004B57E9">
        <w:rPr>
          <w:rFonts w:ascii="Times New Roman" w:hAnsi="Times New Roman"/>
          <w:sz w:val="28"/>
          <w:szCs w:val="28"/>
        </w:rPr>
        <w:t>state</w:t>
      </w:r>
      <w:r w:rsidR="00264A49">
        <w:rPr>
          <w:rFonts w:ascii="Times New Roman" w:hAnsi="Times New Roman"/>
          <w:sz w:val="28"/>
          <w:szCs w:val="28"/>
        </w:rPr>
        <w:t xml:space="preserve"> witnesses</w:t>
      </w:r>
      <w:r w:rsidR="00264A49">
        <w:rPr>
          <w:rStyle w:val="FootnoteReference"/>
          <w:rFonts w:ascii="Times New Roman" w:hAnsi="Times New Roman"/>
          <w:sz w:val="28"/>
          <w:szCs w:val="28"/>
        </w:rPr>
        <w:footnoteReference w:id="4"/>
      </w:r>
      <w:r w:rsidR="00BA3853">
        <w:rPr>
          <w:rFonts w:ascii="Times New Roman" w:hAnsi="Times New Roman"/>
          <w:sz w:val="28"/>
          <w:szCs w:val="28"/>
        </w:rPr>
        <w:t>.</w:t>
      </w:r>
    </w:p>
    <w:p w14:paraId="31C07C5F" w14:textId="77CDE672" w:rsidR="0084259B" w:rsidRDefault="0083414B" w:rsidP="0083414B">
      <w:pPr>
        <w:pStyle w:val="LegalList1"/>
        <w:spacing w:line="360" w:lineRule="auto"/>
        <w:ind w:left="851" w:hanging="851"/>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sidR="00B15BC7" w:rsidRPr="0084259B">
        <w:rPr>
          <w:rFonts w:ascii="Times New Roman" w:hAnsi="Times New Roman"/>
          <w:sz w:val="28"/>
          <w:szCs w:val="28"/>
        </w:rPr>
        <w:t xml:space="preserve">Respectfully, </w:t>
      </w:r>
      <w:r w:rsidR="00E45287">
        <w:rPr>
          <w:rFonts w:ascii="Times New Roman" w:hAnsi="Times New Roman"/>
          <w:sz w:val="28"/>
          <w:szCs w:val="28"/>
        </w:rPr>
        <w:t xml:space="preserve">in this matrix of events </w:t>
      </w:r>
      <w:r w:rsidR="00B15BC7" w:rsidRPr="0084259B">
        <w:rPr>
          <w:rFonts w:ascii="Times New Roman" w:hAnsi="Times New Roman"/>
          <w:sz w:val="28"/>
          <w:szCs w:val="28"/>
        </w:rPr>
        <w:t xml:space="preserve">the magistrate did not appreciate that what constituted a new fact was the circumstance of it becoming known to the appellant that the persons previously </w:t>
      </w:r>
      <w:r w:rsidR="004019A0">
        <w:rPr>
          <w:rFonts w:ascii="Times New Roman" w:hAnsi="Times New Roman"/>
          <w:sz w:val="28"/>
          <w:szCs w:val="28"/>
        </w:rPr>
        <w:t xml:space="preserve">assumed </w:t>
      </w:r>
      <w:r w:rsidR="00B15BC7" w:rsidRPr="0084259B">
        <w:rPr>
          <w:rFonts w:ascii="Times New Roman" w:hAnsi="Times New Roman"/>
          <w:sz w:val="28"/>
          <w:szCs w:val="28"/>
        </w:rPr>
        <w:t xml:space="preserve">to be </w:t>
      </w:r>
      <w:r w:rsidR="004B57E9">
        <w:rPr>
          <w:rFonts w:ascii="Times New Roman" w:hAnsi="Times New Roman"/>
          <w:sz w:val="28"/>
          <w:szCs w:val="28"/>
        </w:rPr>
        <w:t>state</w:t>
      </w:r>
      <w:r w:rsidR="00B15BC7" w:rsidRPr="0084259B">
        <w:rPr>
          <w:rFonts w:ascii="Times New Roman" w:hAnsi="Times New Roman"/>
          <w:sz w:val="28"/>
          <w:szCs w:val="28"/>
        </w:rPr>
        <w:t xml:space="preserve"> witnesses were not. By parity of reasoning the subsequent availability of </w:t>
      </w:r>
      <w:r w:rsidR="005C7C10">
        <w:rPr>
          <w:rFonts w:ascii="Times New Roman" w:hAnsi="Times New Roman"/>
          <w:sz w:val="28"/>
          <w:szCs w:val="28"/>
        </w:rPr>
        <w:t xml:space="preserve">electronic </w:t>
      </w:r>
      <w:r w:rsidR="006629EB">
        <w:rPr>
          <w:rFonts w:ascii="Times New Roman" w:hAnsi="Times New Roman"/>
          <w:sz w:val="28"/>
          <w:szCs w:val="28"/>
        </w:rPr>
        <w:t xml:space="preserve">evidence </w:t>
      </w:r>
      <w:r w:rsidR="005C7C10">
        <w:rPr>
          <w:rFonts w:ascii="Times New Roman" w:hAnsi="Times New Roman"/>
          <w:sz w:val="28"/>
          <w:szCs w:val="28"/>
        </w:rPr>
        <w:t xml:space="preserve">in the appellant’s </w:t>
      </w:r>
      <w:r w:rsidR="005C7C10" w:rsidRPr="0084259B">
        <w:rPr>
          <w:rFonts w:ascii="Times New Roman" w:hAnsi="Times New Roman"/>
          <w:sz w:val="28"/>
          <w:szCs w:val="28"/>
        </w:rPr>
        <w:t>cellphone</w:t>
      </w:r>
      <w:r w:rsidR="00B15BC7" w:rsidRPr="0084259B">
        <w:rPr>
          <w:rFonts w:ascii="Times New Roman" w:hAnsi="Times New Roman"/>
          <w:sz w:val="28"/>
          <w:szCs w:val="28"/>
        </w:rPr>
        <w:t xml:space="preserve">, notwithstanding </w:t>
      </w:r>
      <w:r w:rsidR="006629EB">
        <w:rPr>
          <w:rFonts w:ascii="Times New Roman" w:hAnsi="Times New Roman"/>
          <w:sz w:val="28"/>
          <w:szCs w:val="28"/>
        </w:rPr>
        <w:t xml:space="preserve">the </w:t>
      </w:r>
      <w:r w:rsidR="00B15BC7" w:rsidRPr="0084259B">
        <w:rPr>
          <w:rFonts w:ascii="Times New Roman" w:hAnsi="Times New Roman"/>
          <w:sz w:val="28"/>
          <w:szCs w:val="28"/>
        </w:rPr>
        <w:t>prior existence</w:t>
      </w:r>
      <w:r w:rsidR="006629EB">
        <w:rPr>
          <w:rFonts w:ascii="Times New Roman" w:hAnsi="Times New Roman"/>
          <w:sz w:val="28"/>
          <w:szCs w:val="28"/>
        </w:rPr>
        <w:t xml:space="preserve"> of the evidence</w:t>
      </w:r>
      <w:r w:rsidR="00B15BC7" w:rsidRPr="0084259B">
        <w:rPr>
          <w:rFonts w:ascii="Times New Roman" w:hAnsi="Times New Roman"/>
          <w:sz w:val="28"/>
          <w:szCs w:val="28"/>
        </w:rPr>
        <w:t xml:space="preserve">, constituted a new fact. At one level it is the change in circumstances which made the evidence accessible to the appellant </w:t>
      </w:r>
      <w:r w:rsidR="004019A0">
        <w:rPr>
          <w:rFonts w:ascii="Times New Roman" w:hAnsi="Times New Roman"/>
          <w:sz w:val="28"/>
          <w:szCs w:val="28"/>
        </w:rPr>
        <w:t xml:space="preserve">that </w:t>
      </w:r>
      <w:r w:rsidR="00B15BC7" w:rsidRPr="0084259B">
        <w:rPr>
          <w:rFonts w:ascii="Times New Roman" w:hAnsi="Times New Roman"/>
          <w:sz w:val="28"/>
          <w:szCs w:val="28"/>
        </w:rPr>
        <w:t>in our view constitute</w:t>
      </w:r>
      <w:r w:rsidR="004019A0">
        <w:rPr>
          <w:rFonts w:ascii="Times New Roman" w:hAnsi="Times New Roman"/>
          <w:sz w:val="28"/>
          <w:szCs w:val="28"/>
        </w:rPr>
        <w:t>s</w:t>
      </w:r>
      <w:r w:rsidR="00B15BC7" w:rsidRPr="0084259B">
        <w:rPr>
          <w:rFonts w:ascii="Times New Roman" w:hAnsi="Times New Roman"/>
          <w:sz w:val="28"/>
          <w:szCs w:val="28"/>
        </w:rPr>
        <w:t xml:space="preserve"> new facts.</w:t>
      </w:r>
      <w:r w:rsidR="0084259B">
        <w:rPr>
          <w:rFonts w:ascii="Times New Roman" w:hAnsi="Times New Roman"/>
          <w:sz w:val="28"/>
          <w:szCs w:val="28"/>
        </w:rPr>
        <w:t xml:space="preserve"> </w:t>
      </w:r>
      <w:r w:rsidR="00B15BC7" w:rsidRPr="0084259B">
        <w:rPr>
          <w:rFonts w:ascii="Times New Roman" w:hAnsi="Times New Roman"/>
          <w:sz w:val="28"/>
          <w:szCs w:val="28"/>
        </w:rPr>
        <w:t xml:space="preserve">At another level it is </w:t>
      </w:r>
      <w:r w:rsidR="006628BD">
        <w:rPr>
          <w:rFonts w:ascii="Times New Roman" w:hAnsi="Times New Roman"/>
          <w:sz w:val="28"/>
          <w:szCs w:val="28"/>
        </w:rPr>
        <w:t xml:space="preserve">the </w:t>
      </w:r>
      <w:r w:rsidR="0084259B" w:rsidRPr="0084259B">
        <w:rPr>
          <w:rFonts w:ascii="Times New Roman" w:hAnsi="Times New Roman"/>
          <w:sz w:val="28"/>
          <w:szCs w:val="28"/>
        </w:rPr>
        <w:t>relevance</w:t>
      </w:r>
      <w:r w:rsidR="006628BD">
        <w:rPr>
          <w:rFonts w:ascii="Times New Roman" w:hAnsi="Times New Roman"/>
          <w:sz w:val="28"/>
          <w:szCs w:val="28"/>
        </w:rPr>
        <w:t xml:space="preserve"> of the evidence</w:t>
      </w:r>
      <w:r w:rsidR="0084259B" w:rsidRPr="0084259B">
        <w:rPr>
          <w:rFonts w:ascii="Times New Roman" w:hAnsi="Times New Roman"/>
          <w:sz w:val="28"/>
          <w:szCs w:val="28"/>
        </w:rPr>
        <w:t>, and it is to this issue that we turn to</w:t>
      </w:r>
      <w:r w:rsidR="006628BD">
        <w:rPr>
          <w:rFonts w:ascii="Times New Roman" w:hAnsi="Times New Roman"/>
          <w:sz w:val="28"/>
          <w:szCs w:val="28"/>
        </w:rPr>
        <w:t>.</w:t>
      </w:r>
      <w:r w:rsidR="0094571D">
        <w:rPr>
          <w:rStyle w:val="FootnoteReference"/>
          <w:rFonts w:ascii="Times New Roman" w:hAnsi="Times New Roman"/>
          <w:sz w:val="28"/>
          <w:szCs w:val="28"/>
        </w:rPr>
        <w:footnoteReference w:id="5"/>
      </w:r>
    </w:p>
    <w:p w14:paraId="4070226D" w14:textId="2F3DFADE" w:rsidR="009C0908" w:rsidRDefault="0083414B" w:rsidP="0083414B">
      <w:pPr>
        <w:pStyle w:val="LegalList1"/>
        <w:spacing w:line="360" w:lineRule="auto"/>
        <w:ind w:left="851" w:hanging="851"/>
        <w:rPr>
          <w:rFonts w:ascii="Times New Roman" w:hAnsi="Times New Roman"/>
          <w:sz w:val="28"/>
          <w:szCs w:val="28"/>
        </w:rPr>
      </w:pPr>
      <w:r>
        <w:rPr>
          <w:rFonts w:ascii="Times New Roman" w:hAnsi="Times New Roman"/>
          <w:sz w:val="28"/>
          <w:szCs w:val="28"/>
        </w:rPr>
        <w:lastRenderedPageBreak/>
        <w:t>[12]</w:t>
      </w:r>
      <w:r>
        <w:rPr>
          <w:rFonts w:ascii="Times New Roman" w:hAnsi="Times New Roman"/>
          <w:sz w:val="28"/>
          <w:szCs w:val="28"/>
        </w:rPr>
        <w:tab/>
      </w:r>
      <w:r w:rsidR="0062383B">
        <w:rPr>
          <w:rFonts w:ascii="Times New Roman" w:hAnsi="Times New Roman"/>
          <w:sz w:val="28"/>
          <w:szCs w:val="28"/>
        </w:rPr>
        <w:t>I</w:t>
      </w:r>
      <w:r w:rsidR="00BA3FA2" w:rsidRPr="00977168">
        <w:rPr>
          <w:rFonts w:ascii="Times New Roman" w:hAnsi="Times New Roman"/>
          <w:sz w:val="28"/>
          <w:szCs w:val="28"/>
        </w:rPr>
        <w:t xml:space="preserve">n the </w:t>
      </w:r>
      <w:r w:rsidR="006628BD" w:rsidRPr="00977168">
        <w:rPr>
          <w:rFonts w:ascii="Times New Roman" w:hAnsi="Times New Roman"/>
          <w:sz w:val="28"/>
          <w:szCs w:val="28"/>
        </w:rPr>
        <w:t>opposing affidavit by the investigati</w:t>
      </w:r>
      <w:r w:rsidR="002D4B3F" w:rsidRPr="00977168">
        <w:rPr>
          <w:rFonts w:ascii="Times New Roman" w:hAnsi="Times New Roman"/>
          <w:sz w:val="28"/>
          <w:szCs w:val="28"/>
        </w:rPr>
        <w:t>ng</w:t>
      </w:r>
      <w:r w:rsidR="006628BD" w:rsidRPr="00977168">
        <w:rPr>
          <w:rFonts w:ascii="Times New Roman" w:hAnsi="Times New Roman"/>
          <w:sz w:val="28"/>
          <w:szCs w:val="28"/>
        </w:rPr>
        <w:t xml:space="preserve"> officer </w:t>
      </w:r>
      <w:r w:rsidR="0062383B">
        <w:rPr>
          <w:rFonts w:ascii="Times New Roman" w:hAnsi="Times New Roman"/>
          <w:sz w:val="28"/>
          <w:szCs w:val="28"/>
        </w:rPr>
        <w:t>t</w:t>
      </w:r>
      <w:r w:rsidR="0062383B" w:rsidRPr="00977168">
        <w:rPr>
          <w:rFonts w:ascii="Times New Roman" w:hAnsi="Times New Roman"/>
          <w:sz w:val="28"/>
          <w:szCs w:val="28"/>
        </w:rPr>
        <w:t xml:space="preserve">he appellant is portrayed </w:t>
      </w:r>
      <w:r w:rsidR="006628BD" w:rsidRPr="00977168">
        <w:rPr>
          <w:rFonts w:ascii="Times New Roman" w:hAnsi="Times New Roman"/>
          <w:sz w:val="28"/>
          <w:szCs w:val="28"/>
        </w:rPr>
        <w:t>as a narcissistic, domineering</w:t>
      </w:r>
      <w:r w:rsidR="00A4527F">
        <w:rPr>
          <w:rFonts w:ascii="Times New Roman" w:hAnsi="Times New Roman"/>
          <w:sz w:val="28"/>
          <w:szCs w:val="28"/>
        </w:rPr>
        <w:t>,</w:t>
      </w:r>
      <w:r w:rsidR="006628BD" w:rsidRPr="00977168">
        <w:rPr>
          <w:rFonts w:ascii="Times New Roman" w:hAnsi="Times New Roman"/>
          <w:sz w:val="28"/>
          <w:szCs w:val="28"/>
        </w:rPr>
        <w:t xml:space="preserve"> and overbearing individual who, during his marriage, physically and emotionally abused his wife for whose murder he is charged with. </w:t>
      </w:r>
      <w:r w:rsidR="00D514A5">
        <w:rPr>
          <w:rFonts w:ascii="Times New Roman" w:hAnsi="Times New Roman"/>
          <w:sz w:val="28"/>
          <w:szCs w:val="28"/>
        </w:rPr>
        <w:t>Indications are that the pattern of abuse</w:t>
      </w:r>
      <w:r w:rsidR="00A4527F">
        <w:rPr>
          <w:rFonts w:ascii="Times New Roman" w:hAnsi="Times New Roman"/>
          <w:sz w:val="28"/>
          <w:szCs w:val="28"/>
        </w:rPr>
        <w:t xml:space="preserve"> featured in the appellant’s previous </w:t>
      </w:r>
      <w:r w:rsidR="009C0908">
        <w:rPr>
          <w:rFonts w:ascii="Times New Roman" w:hAnsi="Times New Roman"/>
          <w:sz w:val="28"/>
          <w:szCs w:val="28"/>
        </w:rPr>
        <w:t>marriages and/or relationships, and that the appellant dissipated his assets pending the divorce action from his deceased wife</w:t>
      </w:r>
      <w:r w:rsidR="002A4A0A">
        <w:rPr>
          <w:rFonts w:ascii="Times New Roman" w:hAnsi="Times New Roman"/>
          <w:sz w:val="28"/>
          <w:szCs w:val="28"/>
        </w:rPr>
        <w:t>;</w:t>
      </w:r>
      <w:r w:rsidR="00DA2F9E">
        <w:rPr>
          <w:rFonts w:ascii="Times New Roman" w:hAnsi="Times New Roman"/>
          <w:sz w:val="28"/>
          <w:szCs w:val="28"/>
        </w:rPr>
        <w:t xml:space="preserve"> and further that he instigated one of his co-accused to</w:t>
      </w:r>
      <w:r w:rsidR="0092188D">
        <w:rPr>
          <w:rFonts w:ascii="Times New Roman" w:hAnsi="Times New Roman"/>
          <w:sz w:val="28"/>
          <w:szCs w:val="28"/>
        </w:rPr>
        <w:t xml:space="preserve"> encourage h</w:t>
      </w:r>
      <w:r w:rsidR="002A4A0A">
        <w:rPr>
          <w:rFonts w:ascii="Times New Roman" w:hAnsi="Times New Roman"/>
          <w:sz w:val="28"/>
          <w:szCs w:val="28"/>
        </w:rPr>
        <w:t xml:space="preserve">er </w:t>
      </w:r>
      <w:r w:rsidR="0092188D">
        <w:rPr>
          <w:rFonts w:ascii="Times New Roman" w:hAnsi="Times New Roman"/>
          <w:sz w:val="28"/>
          <w:szCs w:val="28"/>
        </w:rPr>
        <w:t>to develop a drug addiction and thus lay the foundation for her subsequent murder</w:t>
      </w:r>
      <w:r w:rsidR="009C0908">
        <w:rPr>
          <w:rFonts w:ascii="Times New Roman" w:hAnsi="Times New Roman"/>
          <w:sz w:val="28"/>
          <w:szCs w:val="28"/>
        </w:rPr>
        <w:t xml:space="preserve">. </w:t>
      </w:r>
      <w:r w:rsidR="0050655A" w:rsidRPr="00977168">
        <w:rPr>
          <w:rFonts w:ascii="Times New Roman" w:hAnsi="Times New Roman"/>
          <w:sz w:val="28"/>
          <w:szCs w:val="28"/>
        </w:rPr>
        <w:t xml:space="preserve">We do not deem it necessary to recapitulate all the material contained in the opposing affidavit suffice to mention that its </w:t>
      </w:r>
      <w:r w:rsidR="006628BD" w:rsidRPr="00977168">
        <w:rPr>
          <w:rFonts w:ascii="Times New Roman" w:hAnsi="Times New Roman"/>
          <w:sz w:val="28"/>
          <w:szCs w:val="28"/>
        </w:rPr>
        <w:t xml:space="preserve">drift seeks to attribute </w:t>
      </w:r>
      <w:r w:rsidR="0061598E">
        <w:rPr>
          <w:rFonts w:ascii="Times New Roman" w:hAnsi="Times New Roman"/>
          <w:sz w:val="28"/>
          <w:szCs w:val="28"/>
        </w:rPr>
        <w:t xml:space="preserve">dishonest and </w:t>
      </w:r>
      <w:r w:rsidR="006628BD" w:rsidRPr="00977168">
        <w:rPr>
          <w:rFonts w:ascii="Times New Roman" w:hAnsi="Times New Roman"/>
          <w:sz w:val="28"/>
          <w:szCs w:val="28"/>
        </w:rPr>
        <w:t>dismissive personality and character traits to the appellant.</w:t>
      </w:r>
    </w:p>
    <w:p w14:paraId="28E5883D" w14:textId="19961F5D" w:rsidR="00F23CAC" w:rsidRDefault="0083414B" w:rsidP="0083414B">
      <w:pPr>
        <w:pStyle w:val="LegalList1"/>
        <w:spacing w:line="360" w:lineRule="auto"/>
        <w:ind w:left="851" w:hanging="851"/>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r w:rsidR="006628BD" w:rsidRPr="00977168">
        <w:rPr>
          <w:rFonts w:ascii="Times New Roman" w:hAnsi="Times New Roman"/>
          <w:sz w:val="28"/>
          <w:szCs w:val="28"/>
        </w:rPr>
        <w:t>In the magistrate</w:t>
      </w:r>
      <w:r w:rsidR="000A5FF8" w:rsidRPr="00977168">
        <w:rPr>
          <w:rFonts w:ascii="Times New Roman" w:hAnsi="Times New Roman"/>
          <w:sz w:val="28"/>
          <w:szCs w:val="28"/>
        </w:rPr>
        <w:t>’</w:t>
      </w:r>
      <w:r w:rsidR="006628BD" w:rsidRPr="00977168">
        <w:rPr>
          <w:rFonts w:ascii="Times New Roman" w:hAnsi="Times New Roman"/>
          <w:sz w:val="28"/>
          <w:szCs w:val="28"/>
        </w:rPr>
        <w:t>s</w:t>
      </w:r>
      <w:r w:rsidR="000A5FF8" w:rsidRPr="00977168">
        <w:rPr>
          <w:rFonts w:ascii="Times New Roman" w:hAnsi="Times New Roman"/>
          <w:sz w:val="28"/>
          <w:szCs w:val="28"/>
        </w:rPr>
        <w:t xml:space="preserve"> </w:t>
      </w:r>
      <w:r w:rsidR="006628BD" w:rsidRPr="00977168">
        <w:rPr>
          <w:rFonts w:ascii="Times New Roman" w:hAnsi="Times New Roman"/>
          <w:sz w:val="28"/>
          <w:szCs w:val="28"/>
        </w:rPr>
        <w:t>approach to the determination of new facts it appears that he did not consider that the appellant procured evidential material</w:t>
      </w:r>
      <w:r w:rsidR="006628BD">
        <w:rPr>
          <w:rStyle w:val="FootnoteReference"/>
          <w:rFonts w:ascii="Times New Roman" w:hAnsi="Times New Roman"/>
          <w:sz w:val="28"/>
          <w:szCs w:val="28"/>
        </w:rPr>
        <w:footnoteReference w:id="6"/>
      </w:r>
      <w:r w:rsidR="006628BD" w:rsidRPr="00977168">
        <w:rPr>
          <w:rFonts w:ascii="Times New Roman" w:hAnsi="Times New Roman"/>
          <w:sz w:val="28"/>
          <w:szCs w:val="28"/>
        </w:rPr>
        <w:t xml:space="preserve"> </w:t>
      </w:r>
      <w:r w:rsidR="00D158F6">
        <w:rPr>
          <w:rFonts w:ascii="Times New Roman" w:hAnsi="Times New Roman"/>
          <w:sz w:val="28"/>
          <w:szCs w:val="28"/>
        </w:rPr>
        <w:t xml:space="preserve">that </w:t>
      </w:r>
      <w:r w:rsidR="005078D5">
        <w:rPr>
          <w:rFonts w:ascii="Times New Roman" w:hAnsi="Times New Roman"/>
          <w:sz w:val="28"/>
          <w:szCs w:val="28"/>
        </w:rPr>
        <w:t xml:space="preserve">was </w:t>
      </w:r>
      <w:r w:rsidR="00977168" w:rsidRPr="00977168">
        <w:rPr>
          <w:rFonts w:ascii="Times New Roman" w:hAnsi="Times New Roman"/>
          <w:sz w:val="28"/>
          <w:szCs w:val="28"/>
        </w:rPr>
        <w:t xml:space="preserve">intended to </w:t>
      </w:r>
      <w:r w:rsidR="005078D5">
        <w:rPr>
          <w:rFonts w:ascii="Times New Roman" w:hAnsi="Times New Roman"/>
          <w:sz w:val="28"/>
          <w:szCs w:val="28"/>
        </w:rPr>
        <w:t xml:space="preserve">augment his prospects for obtaining bail </w:t>
      </w:r>
      <w:r w:rsidR="00297AD0">
        <w:rPr>
          <w:rFonts w:ascii="Times New Roman" w:hAnsi="Times New Roman"/>
          <w:sz w:val="28"/>
          <w:szCs w:val="28"/>
        </w:rPr>
        <w:t xml:space="preserve">and in essence </w:t>
      </w:r>
      <w:r w:rsidR="005078D5">
        <w:rPr>
          <w:rFonts w:ascii="Times New Roman" w:hAnsi="Times New Roman"/>
          <w:sz w:val="28"/>
          <w:szCs w:val="28"/>
        </w:rPr>
        <w:t xml:space="preserve">demonstrating </w:t>
      </w:r>
      <w:r w:rsidR="00977168" w:rsidRPr="00977168">
        <w:rPr>
          <w:rFonts w:ascii="Times New Roman" w:hAnsi="Times New Roman"/>
          <w:sz w:val="28"/>
          <w:szCs w:val="28"/>
        </w:rPr>
        <w:t xml:space="preserve">a </w:t>
      </w:r>
      <w:r w:rsidR="00297AD0">
        <w:rPr>
          <w:rFonts w:ascii="Times New Roman" w:hAnsi="Times New Roman"/>
          <w:sz w:val="28"/>
          <w:szCs w:val="28"/>
        </w:rPr>
        <w:t xml:space="preserve">two-fold </w:t>
      </w:r>
      <w:r w:rsidR="00977168" w:rsidRPr="00977168">
        <w:rPr>
          <w:rFonts w:ascii="Times New Roman" w:hAnsi="Times New Roman"/>
          <w:sz w:val="28"/>
          <w:szCs w:val="28"/>
        </w:rPr>
        <w:t>purpose</w:t>
      </w:r>
      <w:r w:rsidR="00297AD0">
        <w:rPr>
          <w:rFonts w:ascii="Times New Roman" w:hAnsi="Times New Roman"/>
          <w:sz w:val="28"/>
          <w:szCs w:val="28"/>
        </w:rPr>
        <w:t>, namely</w:t>
      </w:r>
      <w:r w:rsidR="00977168" w:rsidRPr="00977168">
        <w:rPr>
          <w:rFonts w:ascii="Times New Roman" w:hAnsi="Times New Roman"/>
          <w:sz w:val="28"/>
          <w:szCs w:val="28"/>
        </w:rPr>
        <w:t>:</w:t>
      </w:r>
    </w:p>
    <w:p w14:paraId="08A8616F" w14:textId="1231BFC2" w:rsidR="00F23CAC" w:rsidRDefault="0083414B" w:rsidP="0083414B">
      <w:pPr>
        <w:pStyle w:val="LegalList1"/>
        <w:spacing w:line="360" w:lineRule="auto"/>
        <w:ind w:left="1571" w:hanging="720"/>
        <w:rPr>
          <w:rFonts w:ascii="Times New Roman" w:hAnsi="Times New Roman"/>
          <w:sz w:val="28"/>
          <w:szCs w:val="28"/>
        </w:rPr>
      </w:pPr>
      <w:r>
        <w:rPr>
          <w:rFonts w:ascii="Times New Roman" w:hAnsi="Times New Roman"/>
          <w:sz w:val="28"/>
          <w:szCs w:val="28"/>
        </w:rPr>
        <w:t>(i)</w:t>
      </w:r>
      <w:r>
        <w:rPr>
          <w:rFonts w:ascii="Times New Roman" w:hAnsi="Times New Roman"/>
          <w:sz w:val="28"/>
          <w:szCs w:val="28"/>
        </w:rPr>
        <w:tab/>
      </w:r>
      <w:r w:rsidR="00977168" w:rsidRPr="00977168">
        <w:rPr>
          <w:rFonts w:ascii="Times New Roman" w:hAnsi="Times New Roman"/>
          <w:sz w:val="28"/>
          <w:szCs w:val="28"/>
        </w:rPr>
        <w:t xml:space="preserve">by presenting </w:t>
      </w:r>
      <w:r w:rsidR="009258F1" w:rsidRPr="00977168">
        <w:rPr>
          <w:rFonts w:ascii="Times New Roman" w:hAnsi="Times New Roman"/>
          <w:sz w:val="28"/>
          <w:szCs w:val="28"/>
        </w:rPr>
        <w:t>a favourable portrayal of</w:t>
      </w:r>
      <w:r w:rsidR="006628BD" w:rsidRPr="00977168">
        <w:rPr>
          <w:rFonts w:ascii="Times New Roman" w:hAnsi="Times New Roman"/>
          <w:sz w:val="28"/>
          <w:szCs w:val="28"/>
        </w:rPr>
        <w:t xml:space="preserve"> </w:t>
      </w:r>
      <w:r w:rsidR="005078D5">
        <w:rPr>
          <w:rFonts w:ascii="Times New Roman" w:hAnsi="Times New Roman"/>
          <w:sz w:val="28"/>
          <w:szCs w:val="28"/>
        </w:rPr>
        <w:t xml:space="preserve">the appellant’s </w:t>
      </w:r>
      <w:r w:rsidR="006628BD" w:rsidRPr="00977168">
        <w:rPr>
          <w:rFonts w:ascii="Times New Roman" w:hAnsi="Times New Roman"/>
          <w:sz w:val="28"/>
          <w:szCs w:val="28"/>
        </w:rPr>
        <w:t>personality and character traits</w:t>
      </w:r>
      <w:r w:rsidR="00297AD0">
        <w:rPr>
          <w:rFonts w:ascii="Times New Roman" w:hAnsi="Times New Roman"/>
          <w:sz w:val="28"/>
          <w:szCs w:val="28"/>
        </w:rPr>
        <w:t>; and</w:t>
      </w:r>
    </w:p>
    <w:p w14:paraId="3EAE8790" w14:textId="6F044757" w:rsidR="00F23CAC" w:rsidRDefault="0083414B" w:rsidP="0083414B">
      <w:pPr>
        <w:pStyle w:val="LegalList1"/>
        <w:spacing w:line="360" w:lineRule="auto"/>
        <w:ind w:left="1571" w:hanging="720"/>
        <w:rPr>
          <w:rFonts w:ascii="Times New Roman" w:hAnsi="Times New Roman"/>
          <w:sz w:val="28"/>
          <w:szCs w:val="28"/>
        </w:rPr>
      </w:pPr>
      <w:r>
        <w:rPr>
          <w:rFonts w:ascii="Times New Roman" w:hAnsi="Times New Roman"/>
          <w:sz w:val="28"/>
          <w:szCs w:val="28"/>
        </w:rPr>
        <w:t>(ii)</w:t>
      </w:r>
      <w:r>
        <w:rPr>
          <w:rFonts w:ascii="Times New Roman" w:hAnsi="Times New Roman"/>
          <w:sz w:val="28"/>
          <w:szCs w:val="28"/>
        </w:rPr>
        <w:tab/>
      </w:r>
      <w:r w:rsidR="00D158F6">
        <w:rPr>
          <w:rFonts w:ascii="Times New Roman" w:hAnsi="Times New Roman"/>
          <w:sz w:val="28"/>
          <w:szCs w:val="28"/>
        </w:rPr>
        <w:t xml:space="preserve">by </w:t>
      </w:r>
      <w:r w:rsidR="0047685D">
        <w:rPr>
          <w:rFonts w:ascii="Times New Roman" w:hAnsi="Times New Roman"/>
          <w:sz w:val="28"/>
          <w:szCs w:val="28"/>
        </w:rPr>
        <w:t>demonstrating that the investigating officer’s evidence</w:t>
      </w:r>
      <w:r w:rsidR="00D158F6">
        <w:rPr>
          <w:rFonts w:ascii="Times New Roman" w:hAnsi="Times New Roman"/>
          <w:sz w:val="28"/>
          <w:szCs w:val="28"/>
        </w:rPr>
        <w:t>, apart from being circumstantial,</w:t>
      </w:r>
      <w:r w:rsidR="0047685D">
        <w:rPr>
          <w:rFonts w:ascii="Times New Roman" w:hAnsi="Times New Roman"/>
          <w:sz w:val="28"/>
          <w:szCs w:val="28"/>
        </w:rPr>
        <w:t xml:space="preserve"> was false and that he misled the court.</w:t>
      </w:r>
    </w:p>
    <w:p w14:paraId="4893678B" w14:textId="668748E4" w:rsidR="00884C0B" w:rsidRPr="00884C0B" w:rsidRDefault="0083414B" w:rsidP="0083414B">
      <w:pPr>
        <w:pStyle w:val="LegalList1"/>
        <w:spacing w:line="360" w:lineRule="auto"/>
        <w:ind w:left="851" w:hanging="851"/>
        <w:rPr>
          <w:rFonts w:ascii="Times New Roman" w:hAnsi="Times New Roman"/>
          <w:sz w:val="28"/>
          <w:szCs w:val="28"/>
        </w:rPr>
      </w:pPr>
      <w:r w:rsidRPr="00884C0B">
        <w:rPr>
          <w:rFonts w:ascii="Times New Roman" w:hAnsi="Times New Roman"/>
          <w:sz w:val="28"/>
          <w:szCs w:val="28"/>
        </w:rPr>
        <w:t>[14]</w:t>
      </w:r>
      <w:r w:rsidRPr="00884C0B">
        <w:rPr>
          <w:rFonts w:ascii="Times New Roman" w:hAnsi="Times New Roman"/>
          <w:sz w:val="28"/>
          <w:szCs w:val="28"/>
        </w:rPr>
        <w:tab/>
      </w:r>
      <w:r w:rsidR="00884C0B" w:rsidRPr="00884C0B">
        <w:rPr>
          <w:rFonts w:ascii="Times New Roman" w:hAnsi="Times New Roman"/>
          <w:sz w:val="28"/>
          <w:szCs w:val="28"/>
        </w:rPr>
        <w:t>Stated otherwise the evidence procured by the appellant was aimed at revealing that the evidence presented by the respondent during the initial bail application might be compromised and that the circumstantial nature</w:t>
      </w:r>
      <w:r w:rsidR="00884C0B">
        <w:rPr>
          <w:rFonts w:ascii="Times New Roman" w:hAnsi="Times New Roman"/>
          <w:sz w:val="28"/>
          <w:szCs w:val="28"/>
        </w:rPr>
        <w:t> </w:t>
      </w:r>
      <w:r w:rsidR="00884C0B" w:rsidRPr="00884C0B">
        <w:rPr>
          <w:rFonts w:ascii="Times New Roman" w:hAnsi="Times New Roman"/>
          <w:sz w:val="28"/>
          <w:szCs w:val="28"/>
        </w:rPr>
        <w:t xml:space="preserve">of the state’s case </w:t>
      </w:r>
      <w:r w:rsidR="002653D2">
        <w:rPr>
          <w:rFonts w:ascii="Times New Roman" w:hAnsi="Times New Roman"/>
          <w:sz w:val="28"/>
          <w:szCs w:val="28"/>
        </w:rPr>
        <w:t xml:space="preserve">on the alleged murder was </w:t>
      </w:r>
      <w:r w:rsidR="00884C0B" w:rsidRPr="00884C0B">
        <w:rPr>
          <w:rFonts w:ascii="Times New Roman" w:hAnsi="Times New Roman"/>
          <w:sz w:val="28"/>
          <w:szCs w:val="28"/>
        </w:rPr>
        <w:t xml:space="preserve">– contrary to the </w:t>
      </w:r>
      <w:r w:rsidR="00884C0B" w:rsidRPr="00884C0B">
        <w:rPr>
          <w:rFonts w:ascii="Times New Roman" w:hAnsi="Times New Roman"/>
          <w:sz w:val="28"/>
          <w:szCs w:val="28"/>
        </w:rPr>
        <w:lastRenderedPageBreak/>
        <w:t>assertions of the investigating officer –</w:t>
      </w:r>
      <w:r w:rsidR="002653D2">
        <w:rPr>
          <w:rFonts w:ascii="Times New Roman" w:hAnsi="Times New Roman"/>
          <w:sz w:val="28"/>
          <w:szCs w:val="28"/>
        </w:rPr>
        <w:t xml:space="preserve"> </w:t>
      </w:r>
      <w:r w:rsidR="00884C0B" w:rsidRPr="00884C0B">
        <w:rPr>
          <w:rFonts w:ascii="Times New Roman" w:hAnsi="Times New Roman"/>
          <w:sz w:val="28"/>
          <w:szCs w:val="28"/>
        </w:rPr>
        <w:t>not as strong as he had made it out to be.</w:t>
      </w:r>
    </w:p>
    <w:p w14:paraId="59F81D3B" w14:textId="7B7C3196" w:rsidR="003E228C" w:rsidRDefault="0083414B" w:rsidP="0083414B">
      <w:pPr>
        <w:pStyle w:val="LegalList1"/>
        <w:spacing w:line="360" w:lineRule="auto"/>
        <w:ind w:left="851" w:hanging="851"/>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r>
      <w:r w:rsidR="00AA66D9">
        <w:rPr>
          <w:rFonts w:ascii="Times New Roman" w:hAnsi="Times New Roman"/>
          <w:sz w:val="28"/>
          <w:szCs w:val="28"/>
        </w:rPr>
        <w:t>T</w:t>
      </w:r>
      <w:r w:rsidR="003E228C">
        <w:rPr>
          <w:rFonts w:ascii="Times New Roman" w:hAnsi="Times New Roman"/>
          <w:sz w:val="28"/>
          <w:szCs w:val="28"/>
        </w:rPr>
        <w:t xml:space="preserve">here </w:t>
      </w:r>
      <w:r w:rsidR="00BA3FA2">
        <w:rPr>
          <w:rFonts w:ascii="Times New Roman" w:hAnsi="Times New Roman"/>
          <w:sz w:val="28"/>
          <w:szCs w:val="28"/>
        </w:rPr>
        <w:t xml:space="preserve">can be no justification </w:t>
      </w:r>
      <w:r w:rsidR="003E228C">
        <w:rPr>
          <w:rFonts w:ascii="Times New Roman" w:hAnsi="Times New Roman"/>
          <w:sz w:val="28"/>
          <w:szCs w:val="28"/>
        </w:rPr>
        <w:t xml:space="preserve">for </w:t>
      </w:r>
      <w:r w:rsidR="0094366C">
        <w:rPr>
          <w:rFonts w:ascii="Times New Roman" w:hAnsi="Times New Roman"/>
          <w:sz w:val="28"/>
          <w:szCs w:val="28"/>
        </w:rPr>
        <w:t xml:space="preserve">the magistrate having applied </w:t>
      </w:r>
      <w:r w:rsidR="003E228C">
        <w:rPr>
          <w:rFonts w:ascii="Times New Roman" w:hAnsi="Times New Roman"/>
          <w:sz w:val="28"/>
          <w:szCs w:val="28"/>
        </w:rPr>
        <w:t>the ‘not existing before’ approach</w:t>
      </w:r>
      <w:r w:rsidR="00B356CF">
        <w:rPr>
          <w:rFonts w:ascii="Times New Roman" w:hAnsi="Times New Roman"/>
          <w:sz w:val="28"/>
          <w:szCs w:val="28"/>
        </w:rPr>
        <w:t xml:space="preserve"> in relation to </w:t>
      </w:r>
      <w:r w:rsidR="000B0198">
        <w:rPr>
          <w:rFonts w:ascii="Times New Roman" w:hAnsi="Times New Roman"/>
          <w:sz w:val="28"/>
          <w:szCs w:val="28"/>
        </w:rPr>
        <w:t xml:space="preserve">the </w:t>
      </w:r>
      <w:r w:rsidR="00B356CF">
        <w:rPr>
          <w:rFonts w:ascii="Times New Roman" w:hAnsi="Times New Roman"/>
          <w:sz w:val="28"/>
          <w:szCs w:val="28"/>
        </w:rPr>
        <w:t>evidence</w:t>
      </w:r>
      <w:r w:rsidR="00101EE3">
        <w:rPr>
          <w:rFonts w:ascii="Times New Roman" w:hAnsi="Times New Roman"/>
          <w:sz w:val="28"/>
          <w:szCs w:val="28"/>
        </w:rPr>
        <w:t xml:space="preserve"> the appellant sought to introduce in his second application</w:t>
      </w:r>
      <w:r w:rsidR="003E228C">
        <w:rPr>
          <w:rFonts w:ascii="Times New Roman" w:hAnsi="Times New Roman"/>
          <w:sz w:val="28"/>
          <w:szCs w:val="28"/>
        </w:rPr>
        <w:t>. Th</w:t>
      </w:r>
      <w:r w:rsidR="0094366C">
        <w:rPr>
          <w:rFonts w:ascii="Times New Roman" w:hAnsi="Times New Roman"/>
          <w:sz w:val="28"/>
          <w:szCs w:val="28"/>
        </w:rPr>
        <w:t>e</w:t>
      </w:r>
      <w:r w:rsidR="003E228C">
        <w:rPr>
          <w:rFonts w:ascii="Times New Roman" w:hAnsi="Times New Roman"/>
          <w:sz w:val="28"/>
          <w:szCs w:val="28"/>
        </w:rPr>
        <w:t xml:space="preserve"> </w:t>
      </w:r>
      <w:r w:rsidR="00895EAC">
        <w:rPr>
          <w:rFonts w:ascii="Times New Roman" w:hAnsi="Times New Roman"/>
          <w:sz w:val="28"/>
          <w:szCs w:val="28"/>
        </w:rPr>
        <w:t xml:space="preserve">evidence </w:t>
      </w:r>
      <w:r w:rsidR="00CF76E5">
        <w:rPr>
          <w:rFonts w:ascii="Times New Roman" w:hAnsi="Times New Roman"/>
          <w:sz w:val="28"/>
          <w:szCs w:val="28"/>
        </w:rPr>
        <w:t xml:space="preserve">which </w:t>
      </w:r>
      <w:r w:rsidR="00476834">
        <w:rPr>
          <w:rFonts w:ascii="Times New Roman" w:hAnsi="Times New Roman"/>
          <w:sz w:val="28"/>
          <w:szCs w:val="28"/>
        </w:rPr>
        <w:t>subsequently came to the fore</w:t>
      </w:r>
      <w:r w:rsidR="00895EAC">
        <w:rPr>
          <w:rFonts w:ascii="Times New Roman" w:hAnsi="Times New Roman"/>
          <w:sz w:val="28"/>
          <w:szCs w:val="28"/>
        </w:rPr>
        <w:t>,</w:t>
      </w:r>
      <w:r w:rsidR="00476834">
        <w:rPr>
          <w:rFonts w:ascii="Times New Roman" w:hAnsi="Times New Roman"/>
          <w:sz w:val="28"/>
          <w:szCs w:val="28"/>
        </w:rPr>
        <w:t xml:space="preserve"> </w:t>
      </w:r>
      <w:r w:rsidR="001C4A6A">
        <w:rPr>
          <w:rFonts w:ascii="Times New Roman" w:hAnsi="Times New Roman"/>
          <w:sz w:val="28"/>
          <w:szCs w:val="28"/>
        </w:rPr>
        <w:t xml:space="preserve">existed </w:t>
      </w:r>
      <w:r w:rsidR="00BD2A1C">
        <w:rPr>
          <w:rFonts w:ascii="Times New Roman" w:hAnsi="Times New Roman"/>
          <w:sz w:val="28"/>
          <w:szCs w:val="28"/>
        </w:rPr>
        <w:t xml:space="preserve">– it existed with the </w:t>
      </w:r>
      <w:r w:rsidR="001C4A6A">
        <w:rPr>
          <w:rFonts w:ascii="Times New Roman" w:hAnsi="Times New Roman"/>
          <w:sz w:val="28"/>
          <w:szCs w:val="28"/>
        </w:rPr>
        <w:t xml:space="preserve">persons concerned </w:t>
      </w:r>
      <w:r w:rsidR="003E228C">
        <w:rPr>
          <w:rFonts w:ascii="Times New Roman" w:hAnsi="Times New Roman"/>
          <w:sz w:val="28"/>
          <w:szCs w:val="28"/>
        </w:rPr>
        <w:t>but was unavailable to the appellant</w:t>
      </w:r>
      <w:r w:rsidR="003E228C" w:rsidRPr="00AB4162">
        <w:rPr>
          <w:rFonts w:ascii="Times New Roman" w:hAnsi="Times New Roman"/>
          <w:sz w:val="28"/>
          <w:szCs w:val="28"/>
        </w:rPr>
        <w:t xml:space="preserve"> </w:t>
      </w:r>
      <w:r w:rsidR="003E228C">
        <w:rPr>
          <w:rFonts w:ascii="Times New Roman" w:hAnsi="Times New Roman"/>
          <w:sz w:val="28"/>
          <w:szCs w:val="28"/>
        </w:rPr>
        <w:t xml:space="preserve">at the time of the first bail application. The same rationale applies to the </w:t>
      </w:r>
      <w:r w:rsidR="005C7C10">
        <w:rPr>
          <w:rFonts w:ascii="Times New Roman" w:hAnsi="Times New Roman"/>
          <w:sz w:val="28"/>
          <w:szCs w:val="28"/>
        </w:rPr>
        <w:t xml:space="preserve">electronic </w:t>
      </w:r>
      <w:r w:rsidR="00895EAC">
        <w:rPr>
          <w:rFonts w:ascii="Times New Roman" w:hAnsi="Times New Roman"/>
          <w:sz w:val="28"/>
          <w:szCs w:val="28"/>
        </w:rPr>
        <w:t xml:space="preserve">evidence </w:t>
      </w:r>
      <w:r w:rsidR="003E228C">
        <w:rPr>
          <w:rFonts w:ascii="Times New Roman" w:hAnsi="Times New Roman"/>
          <w:sz w:val="28"/>
          <w:szCs w:val="28"/>
        </w:rPr>
        <w:t xml:space="preserve">retrieved from the appellant’s cellphone </w:t>
      </w:r>
      <w:r w:rsidR="007F5E9D">
        <w:rPr>
          <w:rFonts w:ascii="Times New Roman" w:hAnsi="Times New Roman"/>
          <w:sz w:val="28"/>
          <w:szCs w:val="28"/>
        </w:rPr>
        <w:t>which had been in possession of the police at the time of the first bail application. The evidence</w:t>
      </w:r>
      <w:r w:rsidR="003E228C">
        <w:rPr>
          <w:rFonts w:ascii="Times New Roman" w:hAnsi="Times New Roman"/>
          <w:sz w:val="28"/>
          <w:szCs w:val="28"/>
        </w:rPr>
        <w:t xml:space="preserve"> existed at the time of the first bail application but was unavailable to him</w:t>
      </w:r>
      <w:r w:rsidR="004A1B03">
        <w:rPr>
          <w:rFonts w:ascii="Times New Roman" w:hAnsi="Times New Roman"/>
          <w:sz w:val="28"/>
          <w:szCs w:val="28"/>
        </w:rPr>
        <w:t xml:space="preserve"> </w:t>
      </w:r>
      <w:r w:rsidR="004D32A2">
        <w:rPr>
          <w:rFonts w:ascii="Times New Roman" w:hAnsi="Times New Roman"/>
          <w:sz w:val="28"/>
          <w:szCs w:val="28"/>
        </w:rPr>
        <w:t xml:space="preserve">until 28 April 2022 once </w:t>
      </w:r>
      <w:r w:rsidR="004A1B03">
        <w:rPr>
          <w:rFonts w:ascii="Times New Roman" w:hAnsi="Times New Roman"/>
          <w:sz w:val="28"/>
          <w:szCs w:val="28"/>
        </w:rPr>
        <w:t xml:space="preserve">information was </w:t>
      </w:r>
      <w:r w:rsidR="007F5E9D">
        <w:rPr>
          <w:rFonts w:ascii="Times New Roman" w:hAnsi="Times New Roman"/>
          <w:sz w:val="28"/>
          <w:szCs w:val="28"/>
        </w:rPr>
        <w:t>retrieved</w:t>
      </w:r>
      <w:r w:rsidR="004A1B03">
        <w:rPr>
          <w:rFonts w:ascii="Times New Roman" w:hAnsi="Times New Roman"/>
          <w:sz w:val="28"/>
          <w:szCs w:val="28"/>
        </w:rPr>
        <w:t xml:space="preserve"> by an IT specialist</w:t>
      </w:r>
      <w:r w:rsidR="004D32A2">
        <w:rPr>
          <w:rFonts w:ascii="Times New Roman" w:hAnsi="Times New Roman"/>
          <w:sz w:val="28"/>
          <w:szCs w:val="28"/>
        </w:rPr>
        <w:t>.</w:t>
      </w:r>
      <w:r w:rsidR="003E228C">
        <w:rPr>
          <w:rFonts w:ascii="Times New Roman" w:hAnsi="Times New Roman"/>
          <w:sz w:val="28"/>
          <w:szCs w:val="28"/>
        </w:rPr>
        <w:t xml:space="preserve"> Here too, there is no scope for applying the ‘not existing before’ approach.</w:t>
      </w:r>
      <w:r w:rsidR="00BD2A1C">
        <w:rPr>
          <w:rFonts w:ascii="Times New Roman" w:hAnsi="Times New Roman"/>
          <w:sz w:val="28"/>
          <w:szCs w:val="28"/>
        </w:rPr>
        <w:t xml:space="preserve"> </w:t>
      </w:r>
    </w:p>
    <w:p w14:paraId="1E864331" w14:textId="748A5F70" w:rsidR="0014134F" w:rsidRDefault="0083414B" w:rsidP="0083414B">
      <w:pPr>
        <w:pStyle w:val="LegalList1"/>
        <w:spacing w:line="360" w:lineRule="auto"/>
        <w:ind w:left="851" w:hanging="851"/>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r>
      <w:r w:rsidR="0014134F">
        <w:rPr>
          <w:rFonts w:ascii="Times New Roman" w:hAnsi="Times New Roman"/>
          <w:sz w:val="28"/>
          <w:szCs w:val="28"/>
        </w:rPr>
        <w:t xml:space="preserve">In summary, and based on the aforementioned guidelines and principles, it was submitted for the appellant that the mere fact that the evidence relied on in the second bail application existed at the time of the initial application for bail does not mean that such evidence cannot constitute new facts. Taken further, the submission was that if the evidence was </w:t>
      </w:r>
      <w:r w:rsidR="0014134F" w:rsidRPr="001D7605">
        <w:rPr>
          <w:rFonts w:ascii="Times New Roman" w:hAnsi="Times New Roman"/>
          <w:sz w:val="28"/>
          <w:szCs w:val="28"/>
        </w:rPr>
        <w:t>unavailable</w:t>
      </w:r>
      <w:r w:rsidR="0014134F">
        <w:rPr>
          <w:rFonts w:ascii="Times New Roman" w:hAnsi="Times New Roman"/>
          <w:sz w:val="28"/>
          <w:szCs w:val="28"/>
        </w:rPr>
        <w:t xml:space="preserve"> to the appellant at the time of the first bail application, then it constitutes new facts even though it may have been in existence at the time of that application. The considerable force in these submissions inclines us to conclude, in the circumstances of this matter, that the approach adopted by the magistrate was unsound and </w:t>
      </w:r>
      <w:r w:rsidR="00F37ED1">
        <w:rPr>
          <w:rFonts w:ascii="Times New Roman" w:hAnsi="Times New Roman"/>
          <w:sz w:val="28"/>
          <w:szCs w:val="28"/>
        </w:rPr>
        <w:t xml:space="preserve">erroneous. </w:t>
      </w:r>
      <w:r w:rsidR="00D044ED">
        <w:rPr>
          <w:rFonts w:ascii="Times New Roman" w:hAnsi="Times New Roman"/>
          <w:sz w:val="28"/>
          <w:szCs w:val="28"/>
        </w:rPr>
        <w:t>I</w:t>
      </w:r>
      <w:r w:rsidR="00EA51A5">
        <w:rPr>
          <w:rFonts w:ascii="Times New Roman" w:hAnsi="Times New Roman"/>
          <w:sz w:val="28"/>
          <w:szCs w:val="28"/>
        </w:rPr>
        <w:t xml:space="preserve">n our view, </w:t>
      </w:r>
      <w:r w:rsidR="00D044ED">
        <w:rPr>
          <w:rFonts w:ascii="Times New Roman" w:hAnsi="Times New Roman"/>
          <w:sz w:val="28"/>
          <w:szCs w:val="28"/>
        </w:rPr>
        <w:t xml:space="preserve">the evidence procured by the appellant </w:t>
      </w:r>
      <w:r w:rsidR="00EA51A5">
        <w:rPr>
          <w:rFonts w:ascii="Times New Roman" w:hAnsi="Times New Roman"/>
          <w:sz w:val="28"/>
          <w:szCs w:val="28"/>
        </w:rPr>
        <w:t>may assume relevance where a court is required to make a determination on the bail issue by weighing the contested versions put up by the respective parties.</w:t>
      </w:r>
      <w:r w:rsidR="00BF2279">
        <w:rPr>
          <w:rFonts w:ascii="Times New Roman" w:hAnsi="Times New Roman"/>
          <w:sz w:val="28"/>
          <w:szCs w:val="28"/>
        </w:rPr>
        <w:t xml:space="preserve"> </w:t>
      </w:r>
      <w:r w:rsidR="00A458F8">
        <w:rPr>
          <w:rFonts w:ascii="Times New Roman" w:hAnsi="Times New Roman"/>
          <w:sz w:val="28"/>
          <w:szCs w:val="28"/>
        </w:rPr>
        <w:t xml:space="preserve">In this regard the sweeping averment in the opposing affidavit by the </w:t>
      </w:r>
      <w:r w:rsidR="00A458F8">
        <w:rPr>
          <w:rFonts w:ascii="Times New Roman" w:hAnsi="Times New Roman"/>
          <w:sz w:val="28"/>
          <w:szCs w:val="28"/>
        </w:rPr>
        <w:lastRenderedPageBreak/>
        <w:t xml:space="preserve">investigating officer that </w:t>
      </w:r>
      <w:r w:rsidR="00C83B9E">
        <w:rPr>
          <w:rFonts w:ascii="Times New Roman" w:hAnsi="Times New Roman"/>
          <w:sz w:val="28"/>
          <w:szCs w:val="28"/>
        </w:rPr>
        <w:t xml:space="preserve">his allegations are supported by evidence contained in affidavits, exhibits, voice recordings cellular phone downloads, billings and digital evidence </w:t>
      </w:r>
      <w:r w:rsidR="00E35C8F">
        <w:rPr>
          <w:rFonts w:ascii="Times New Roman" w:hAnsi="Times New Roman"/>
          <w:sz w:val="28"/>
          <w:szCs w:val="28"/>
        </w:rPr>
        <w:t xml:space="preserve">– without </w:t>
      </w:r>
      <w:r w:rsidR="00C83B9E">
        <w:rPr>
          <w:rFonts w:ascii="Times New Roman" w:hAnsi="Times New Roman"/>
          <w:sz w:val="28"/>
          <w:szCs w:val="28"/>
        </w:rPr>
        <w:t>specifically setting out exactly what evidence the state has against the appellant</w:t>
      </w:r>
      <w:r w:rsidR="00E35C8F">
        <w:rPr>
          <w:rFonts w:ascii="Times New Roman" w:hAnsi="Times New Roman"/>
          <w:sz w:val="28"/>
          <w:szCs w:val="28"/>
        </w:rPr>
        <w:t xml:space="preserve"> – </w:t>
      </w:r>
      <w:r w:rsidR="00A458F8">
        <w:rPr>
          <w:rFonts w:ascii="Times New Roman" w:hAnsi="Times New Roman"/>
          <w:sz w:val="28"/>
          <w:szCs w:val="28"/>
        </w:rPr>
        <w:t>is of particular note</w:t>
      </w:r>
      <w:r w:rsidR="00C83B9E">
        <w:rPr>
          <w:rFonts w:ascii="Times New Roman" w:hAnsi="Times New Roman"/>
          <w:sz w:val="28"/>
          <w:szCs w:val="28"/>
        </w:rPr>
        <w:t>.</w:t>
      </w:r>
      <w:r w:rsidR="004577A4">
        <w:rPr>
          <w:rFonts w:ascii="Times New Roman" w:hAnsi="Times New Roman"/>
          <w:sz w:val="28"/>
          <w:szCs w:val="28"/>
        </w:rPr>
        <w:t xml:space="preserve"> </w:t>
      </w:r>
    </w:p>
    <w:p w14:paraId="1FCC71B7" w14:textId="1E2B0C7A" w:rsidR="00CB38E1" w:rsidRDefault="0083414B" w:rsidP="0083414B">
      <w:pPr>
        <w:pStyle w:val="LegalList1"/>
        <w:spacing w:line="360" w:lineRule="auto"/>
        <w:ind w:left="851" w:hanging="851"/>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ab/>
      </w:r>
      <w:r w:rsidR="008700EA">
        <w:rPr>
          <w:rFonts w:ascii="Times New Roman" w:hAnsi="Times New Roman"/>
          <w:sz w:val="28"/>
          <w:szCs w:val="28"/>
        </w:rPr>
        <w:t>We now turn to addressing the ambit and scope of th</w:t>
      </w:r>
      <w:r w:rsidR="00341842">
        <w:rPr>
          <w:rFonts w:ascii="Times New Roman" w:hAnsi="Times New Roman"/>
          <w:sz w:val="28"/>
          <w:szCs w:val="28"/>
        </w:rPr>
        <w:t xml:space="preserve">is appeal. </w:t>
      </w:r>
      <w:r w:rsidR="00AD23AE">
        <w:rPr>
          <w:rFonts w:ascii="Times New Roman" w:hAnsi="Times New Roman"/>
          <w:sz w:val="28"/>
          <w:szCs w:val="28"/>
        </w:rPr>
        <w:t xml:space="preserve">For the appellant it was submitted that </w:t>
      </w:r>
      <w:r w:rsidR="00E9312D">
        <w:rPr>
          <w:rFonts w:ascii="Times New Roman" w:hAnsi="Times New Roman"/>
          <w:sz w:val="28"/>
          <w:szCs w:val="28"/>
        </w:rPr>
        <w:t xml:space="preserve">where the magistrate’s decision had been faulted, </w:t>
      </w:r>
      <w:r w:rsidR="00AD23AE">
        <w:rPr>
          <w:rFonts w:ascii="Times New Roman" w:hAnsi="Times New Roman"/>
          <w:sz w:val="28"/>
          <w:szCs w:val="28"/>
        </w:rPr>
        <w:t>this court is at liberty to consider the question of bail afresh</w:t>
      </w:r>
      <w:r w:rsidR="00E9312D">
        <w:rPr>
          <w:rFonts w:ascii="Times New Roman" w:hAnsi="Times New Roman"/>
          <w:sz w:val="28"/>
          <w:szCs w:val="28"/>
        </w:rPr>
        <w:t xml:space="preserve"> and to grant the appellant bail in an appropriate amount and on appropriate conditions</w:t>
      </w:r>
      <w:r w:rsidR="00AD23AE">
        <w:rPr>
          <w:rFonts w:ascii="Times New Roman" w:hAnsi="Times New Roman"/>
          <w:sz w:val="28"/>
          <w:szCs w:val="28"/>
        </w:rPr>
        <w:t xml:space="preserve">. </w:t>
      </w:r>
      <w:r w:rsidR="00E94E4F">
        <w:rPr>
          <w:rFonts w:ascii="Times New Roman" w:hAnsi="Times New Roman"/>
          <w:sz w:val="28"/>
          <w:szCs w:val="28"/>
        </w:rPr>
        <w:t>T</w:t>
      </w:r>
      <w:r w:rsidR="004A0EC7">
        <w:rPr>
          <w:rFonts w:ascii="Times New Roman" w:hAnsi="Times New Roman"/>
          <w:sz w:val="28"/>
          <w:szCs w:val="28"/>
        </w:rPr>
        <w:t>he conclusion flowing from this submission is that the matter is before this court as a substantive application</w:t>
      </w:r>
      <w:r w:rsidR="008F7B6D">
        <w:rPr>
          <w:rFonts w:ascii="Times New Roman" w:hAnsi="Times New Roman"/>
          <w:sz w:val="28"/>
          <w:szCs w:val="28"/>
        </w:rPr>
        <w:t xml:space="preserve"> for bail</w:t>
      </w:r>
      <w:r w:rsidR="004A0EC7">
        <w:rPr>
          <w:rFonts w:ascii="Times New Roman" w:hAnsi="Times New Roman"/>
          <w:sz w:val="28"/>
          <w:szCs w:val="28"/>
        </w:rPr>
        <w:t xml:space="preserve">. </w:t>
      </w:r>
      <w:r w:rsidR="000A3F8A">
        <w:rPr>
          <w:rFonts w:ascii="Times New Roman" w:hAnsi="Times New Roman"/>
          <w:sz w:val="28"/>
          <w:szCs w:val="28"/>
        </w:rPr>
        <w:t xml:space="preserve">The appellant’s notice of appeal </w:t>
      </w:r>
      <w:r w:rsidR="00E45723">
        <w:rPr>
          <w:rFonts w:ascii="Times New Roman" w:hAnsi="Times New Roman"/>
          <w:sz w:val="28"/>
          <w:szCs w:val="28"/>
        </w:rPr>
        <w:t xml:space="preserve">is so widely crafted that it </w:t>
      </w:r>
      <w:r w:rsidR="000A3F8A">
        <w:rPr>
          <w:rFonts w:ascii="Times New Roman" w:hAnsi="Times New Roman"/>
          <w:sz w:val="28"/>
          <w:szCs w:val="28"/>
        </w:rPr>
        <w:t>does not specify clearly and in unambiguous terms exactly what case i</w:t>
      </w:r>
      <w:r w:rsidR="0042406B">
        <w:rPr>
          <w:rFonts w:ascii="Times New Roman" w:hAnsi="Times New Roman"/>
          <w:sz w:val="28"/>
          <w:szCs w:val="28"/>
        </w:rPr>
        <w:t>s</w:t>
      </w:r>
      <w:r w:rsidR="000A3F8A">
        <w:rPr>
          <w:rFonts w:ascii="Times New Roman" w:hAnsi="Times New Roman"/>
          <w:sz w:val="28"/>
          <w:szCs w:val="28"/>
        </w:rPr>
        <w:t xml:space="preserve"> put forward </w:t>
      </w:r>
      <w:r w:rsidR="0042406B">
        <w:rPr>
          <w:rFonts w:ascii="Times New Roman" w:hAnsi="Times New Roman"/>
          <w:sz w:val="28"/>
          <w:szCs w:val="28"/>
        </w:rPr>
        <w:t xml:space="preserve">for consideration by this court and which the respondent is required to meet. </w:t>
      </w:r>
      <w:r w:rsidR="00CB38E1">
        <w:rPr>
          <w:rFonts w:ascii="Times New Roman" w:hAnsi="Times New Roman"/>
          <w:sz w:val="28"/>
          <w:szCs w:val="28"/>
        </w:rPr>
        <w:t xml:space="preserve">In argument </w:t>
      </w:r>
      <w:r w:rsidR="00E45723">
        <w:rPr>
          <w:rFonts w:ascii="Times New Roman" w:hAnsi="Times New Roman"/>
          <w:sz w:val="28"/>
          <w:szCs w:val="28"/>
        </w:rPr>
        <w:t>the respondent correctly referred to the record</w:t>
      </w:r>
      <w:r w:rsidR="00CB38E1">
        <w:rPr>
          <w:rFonts w:ascii="Times New Roman" w:hAnsi="Times New Roman"/>
          <w:sz w:val="28"/>
          <w:szCs w:val="28"/>
        </w:rPr>
        <w:t>, which in our view provides a complete answer.</w:t>
      </w:r>
      <w:r w:rsidR="004D5B8C">
        <w:rPr>
          <w:rStyle w:val="FootnoteReference"/>
          <w:rFonts w:ascii="Times New Roman" w:hAnsi="Times New Roman"/>
          <w:sz w:val="28"/>
          <w:szCs w:val="28"/>
        </w:rPr>
        <w:footnoteReference w:id="7"/>
      </w:r>
    </w:p>
    <w:p w14:paraId="013334D4" w14:textId="6C65F313" w:rsidR="00CB38E1" w:rsidRDefault="0083414B" w:rsidP="0083414B">
      <w:pPr>
        <w:pStyle w:val="LegalList1"/>
        <w:spacing w:line="360" w:lineRule="auto"/>
        <w:ind w:left="851" w:hanging="851"/>
        <w:rPr>
          <w:rFonts w:ascii="Times New Roman" w:hAnsi="Times New Roman"/>
          <w:sz w:val="28"/>
          <w:szCs w:val="28"/>
        </w:rPr>
      </w:pPr>
      <w:r>
        <w:rPr>
          <w:rFonts w:ascii="Times New Roman" w:hAnsi="Times New Roman"/>
          <w:sz w:val="28"/>
          <w:szCs w:val="28"/>
        </w:rPr>
        <w:t>[18]</w:t>
      </w:r>
      <w:r>
        <w:rPr>
          <w:rFonts w:ascii="Times New Roman" w:hAnsi="Times New Roman"/>
          <w:sz w:val="28"/>
          <w:szCs w:val="28"/>
        </w:rPr>
        <w:tab/>
      </w:r>
      <w:r w:rsidR="00887E3A">
        <w:rPr>
          <w:rFonts w:ascii="Times New Roman" w:hAnsi="Times New Roman"/>
          <w:sz w:val="28"/>
          <w:szCs w:val="28"/>
        </w:rPr>
        <w:t>In his address to the magistrate the record indicates that the appellant’s legal representative stated the following:</w:t>
      </w:r>
      <w:r w:rsidR="003D6D4D">
        <w:rPr>
          <w:rStyle w:val="FootnoteReference"/>
          <w:rFonts w:ascii="Times New Roman" w:hAnsi="Times New Roman"/>
          <w:sz w:val="28"/>
          <w:szCs w:val="28"/>
        </w:rPr>
        <w:footnoteReference w:id="8"/>
      </w:r>
    </w:p>
    <w:p w14:paraId="247E5719" w14:textId="77777777" w:rsidR="005B5E3C" w:rsidRPr="00204D42" w:rsidRDefault="00C5182A" w:rsidP="00101EE3">
      <w:pPr>
        <w:pStyle w:val="LegalList1"/>
        <w:spacing w:line="360" w:lineRule="auto"/>
        <w:ind w:left="851"/>
        <w:rPr>
          <w:rFonts w:ascii="Times New Roman" w:hAnsi="Times New Roman"/>
        </w:rPr>
      </w:pPr>
      <w:r w:rsidRPr="00204D42">
        <w:rPr>
          <w:rFonts w:ascii="Times New Roman" w:hAnsi="Times New Roman"/>
        </w:rPr>
        <w:t xml:space="preserve">‘As I understand the procedure as set out in law, evidence has to be placed before court and on the evidence placed before court, the court needs to make a decision whether that evidence indeed constitutes new facts or not and then only take a decision and compare. So my submission, Your Worship, is that the applicant be given permission to place the new facts before court and ultimately the court will then decide </w:t>
      </w:r>
      <w:r w:rsidRPr="00204D42">
        <w:rPr>
          <w:rFonts w:ascii="Times New Roman" w:hAnsi="Times New Roman"/>
        </w:rPr>
        <w:lastRenderedPageBreak/>
        <w:t>whether those facts are in fact new or not and then the state will have the opportunity of</w:t>
      </w:r>
      <w:r w:rsidR="00204D42" w:rsidRPr="00204D42">
        <w:rPr>
          <w:rFonts w:ascii="Times New Roman" w:hAnsi="Times New Roman"/>
        </w:rPr>
        <w:t>, if they are of the opinion that it is new facts, to reply thereto.’</w:t>
      </w:r>
    </w:p>
    <w:p w14:paraId="1DE028C3" w14:textId="369AD18E" w:rsidR="007427DB" w:rsidRDefault="0083414B" w:rsidP="0083414B">
      <w:pPr>
        <w:pStyle w:val="LegalList1"/>
        <w:spacing w:line="360" w:lineRule="auto"/>
        <w:ind w:left="851" w:hanging="851"/>
        <w:rPr>
          <w:rFonts w:ascii="Times New Roman" w:hAnsi="Times New Roman"/>
          <w:sz w:val="28"/>
          <w:szCs w:val="28"/>
        </w:rPr>
      </w:pPr>
      <w:r>
        <w:rPr>
          <w:rFonts w:ascii="Times New Roman" w:hAnsi="Times New Roman"/>
          <w:sz w:val="28"/>
          <w:szCs w:val="28"/>
        </w:rPr>
        <w:t>[19]</w:t>
      </w:r>
      <w:r>
        <w:rPr>
          <w:rFonts w:ascii="Times New Roman" w:hAnsi="Times New Roman"/>
          <w:sz w:val="28"/>
          <w:szCs w:val="28"/>
        </w:rPr>
        <w:tab/>
      </w:r>
      <w:r w:rsidR="007427DB">
        <w:rPr>
          <w:rFonts w:ascii="Times New Roman" w:hAnsi="Times New Roman"/>
          <w:sz w:val="28"/>
          <w:szCs w:val="28"/>
        </w:rPr>
        <w:t>At the conclusion of argument before the magistrate</w:t>
      </w:r>
      <w:r w:rsidR="005B5E3C">
        <w:rPr>
          <w:rFonts w:ascii="Times New Roman" w:hAnsi="Times New Roman"/>
          <w:sz w:val="28"/>
          <w:szCs w:val="28"/>
        </w:rPr>
        <w:t xml:space="preserve">, the appellant’s legal representative </w:t>
      </w:r>
      <w:r w:rsidR="003D6D4D">
        <w:rPr>
          <w:rFonts w:ascii="Times New Roman" w:hAnsi="Times New Roman"/>
          <w:sz w:val="28"/>
          <w:szCs w:val="28"/>
        </w:rPr>
        <w:t>stated</w:t>
      </w:r>
      <w:r w:rsidR="005B5E3C">
        <w:rPr>
          <w:rFonts w:ascii="Times New Roman" w:hAnsi="Times New Roman"/>
          <w:sz w:val="28"/>
          <w:szCs w:val="28"/>
        </w:rPr>
        <w:t>:</w:t>
      </w:r>
      <w:r w:rsidR="003D6D4D">
        <w:rPr>
          <w:rStyle w:val="FootnoteReference"/>
          <w:rFonts w:ascii="Times New Roman" w:hAnsi="Times New Roman"/>
          <w:sz w:val="28"/>
          <w:szCs w:val="28"/>
        </w:rPr>
        <w:footnoteReference w:id="9"/>
      </w:r>
    </w:p>
    <w:p w14:paraId="3B88752E" w14:textId="77777777" w:rsidR="00204D42" w:rsidRPr="00B6227F" w:rsidRDefault="00204D42" w:rsidP="00101EE3">
      <w:pPr>
        <w:pStyle w:val="LegalList1"/>
        <w:spacing w:line="360" w:lineRule="auto"/>
        <w:ind w:left="851"/>
        <w:rPr>
          <w:rFonts w:ascii="Times New Roman" w:hAnsi="Times New Roman"/>
        </w:rPr>
      </w:pPr>
      <w:r w:rsidRPr="00B6227F">
        <w:rPr>
          <w:rFonts w:ascii="Times New Roman" w:hAnsi="Times New Roman"/>
        </w:rPr>
        <w:t>‘Your Worship, it is my submission that in the light of the facts placed in front of Your Worship and in the light of how these facts came to light and were obtained after the denial of bail, that these facts are in fact new facts which only became available to the applicant after the denial of bail</w:t>
      </w:r>
      <w:r w:rsidR="00B6227F" w:rsidRPr="00B6227F">
        <w:rPr>
          <w:rFonts w:ascii="Times New Roman" w:hAnsi="Times New Roman"/>
        </w:rPr>
        <w:t xml:space="preserve"> and that therefore this application should be entertained.’</w:t>
      </w:r>
    </w:p>
    <w:p w14:paraId="7D04279B" w14:textId="509D1E28" w:rsidR="00D97737" w:rsidRPr="00FA0138" w:rsidRDefault="0083414B" w:rsidP="0083414B">
      <w:pPr>
        <w:pStyle w:val="LegalList1"/>
        <w:spacing w:line="360" w:lineRule="auto"/>
        <w:ind w:left="851" w:hanging="851"/>
        <w:rPr>
          <w:rFonts w:ascii="Times New Roman" w:hAnsi="Times New Roman"/>
          <w:sz w:val="28"/>
          <w:szCs w:val="28"/>
        </w:rPr>
      </w:pPr>
      <w:r w:rsidRPr="00FA0138">
        <w:rPr>
          <w:rFonts w:ascii="Times New Roman" w:hAnsi="Times New Roman"/>
          <w:sz w:val="28"/>
          <w:szCs w:val="28"/>
        </w:rPr>
        <w:t>[20]</w:t>
      </w:r>
      <w:r w:rsidRPr="00FA0138">
        <w:rPr>
          <w:rFonts w:ascii="Times New Roman" w:hAnsi="Times New Roman"/>
          <w:sz w:val="28"/>
          <w:szCs w:val="28"/>
        </w:rPr>
        <w:tab/>
      </w:r>
      <w:r w:rsidR="00E94E4F" w:rsidRPr="00FA0138">
        <w:rPr>
          <w:rFonts w:ascii="Times New Roman" w:hAnsi="Times New Roman"/>
          <w:sz w:val="28"/>
          <w:szCs w:val="28"/>
        </w:rPr>
        <w:t xml:space="preserve">Clearly, the scope of the proceedings before the magistrate was </w:t>
      </w:r>
      <w:r w:rsidR="0038648B" w:rsidRPr="00FA0138">
        <w:rPr>
          <w:rFonts w:ascii="Times New Roman" w:hAnsi="Times New Roman"/>
          <w:sz w:val="28"/>
          <w:szCs w:val="28"/>
        </w:rPr>
        <w:t xml:space="preserve">specifically </w:t>
      </w:r>
      <w:r w:rsidR="00FA0138">
        <w:rPr>
          <w:rFonts w:ascii="Times New Roman" w:hAnsi="Times New Roman"/>
          <w:sz w:val="28"/>
          <w:szCs w:val="28"/>
        </w:rPr>
        <w:t xml:space="preserve">identified and limited </w:t>
      </w:r>
      <w:r w:rsidR="0038648B" w:rsidRPr="00FA0138">
        <w:rPr>
          <w:rFonts w:ascii="Times New Roman" w:hAnsi="Times New Roman"/>
          <w:sz w:val="28"/>
          <w:szCs w:val="28"/>
        </w:rPr>
        <w:t>to the determination of new facts.</w:t>
      </w:r>
      <w:r w:rsidR="00FA0138" w:rsidRPr="00FA0138">
        <w:rPr>
          <w:rFonts w:ascii="Times New Roman" w:hAnsi="Times New Roman"/>
          <w:sz w:val="28"/>
          <w:szCs w:val="28"/>
        </w:rPr>
        <w:t xml:space="preserve"> </w:t>
      </w:r>
      <w:r w:rsidR="00124A8F">
        <w:rPr>
          <w:rFonts w:ascii="Times New Roman" w:hAnsi="Times New Roman"/>
          <w:sz w:val="28"/>
          <w:szCs w:val="28"/>
        </w:rPr>
        <w:t>For this reason the respondent did not</w:t>
      </w:r>
      <w:r w:rsidR="008F7B6D">
        <w:rPr>
          <w:rFonts w:ascii="Times New Roman" w:hAnsi="Times New Roman"/>
          <w:sz w:val="28"/>
          <w:szCs w:val="28"/>
        </w:rPr>
        <w:t>,</w:t>
      </w:r>
      <w:r w:rsidR="00124A8F">
        <w:rPr>
          <w:rFonts w:ascii="Times New Roman" w:hAnsi="Times New Roman"/>
          <w:sz w:val="28"/>
          <w:szCs w:val="28"/>
        </w:rPr>
        <w:t xml:space="preserve"> </w:t>
      </w:r>
      <w:r w:rsidR="007B5D23">
        <w:rPr>
          <w:rFonts w:ascii="Times New Roman" w:hAnsi="Times New Roman"/>
          <w:sz w:val="28"/>
          <w:szCs w:val="28"/>
        </w:rPr>
        <w:t>in the court a quo</w:t>
      </w:r>
      <w:r w:rsidR="008F7B6D">
        <w:rPr>
          <w:rFonts w:ascii="Times New Roman" w:hAnsi="Times New Roman"/>
          <w:sz w:val="28"/>
          <w:szCs w:val="28"/>
        </w:rPr>
        <w:t>,</w:t>
      </w:r>
      <w:r w:rsidR="007B5D23">
        <w:rPr>
          <w:rFonts w:ascii="Times New Roman" w:hAnsi="Times New Roman"/>
          <w:sz w:val="28"/>
          <w:szCs w:val="28"/>
        </w:rPr>
        <w:t xml:space="preserve"> </w:t>
      </w:r>
      <w:r w:rsidR="00124A8F">
        <w:rPr>
          <w:rFonts w:ascii="Times New Roman" w:hAnsi="Times New Roman"/>
          <w:sz w:val="28"/>
          <w:szCs w:val="28"/>
        </w:rPr>
        <w:t xml:space="preserve">enter upon the merits of the appellant’s application for bail on new facts and elected to deal only with the question whether the appellant had proved the existence of new facts. </w:t>
      </w:r>
      <w:r w:rsidR="007B5D23">
        <w:rPr>
          <w:rFonts w:ascii="Times New Roman" w:hAnsi="Times New Roman"/>
          <w:sz w:val="28"/>
          <w:szCs w:val="28"/>
        </w:rPr>
        <w:t>Accordingly, t</w:t>
      </w:r>
      <w:r w:rsidR="00FA0138" w:rsidRPr="00FA0138">
        <w:rPr>
          <w:rFonts w:ascii="Times New Roman" w:hAnsi="Times New Roman"/>
          <w:sz w:val="28"/>
          <w:szCs w:val="28"/>
        </w:rPr>
        <w:t>he respondent correctly submitted that the inquiry before this court was</w:t>
      </w:r>
      <w:r w:rsidR="00FA0138">
        <w:rPr>
          <w:rFonts w:ascii="Times New Roman" w:hAnsi="Times New Roman"/>
          <w:sz w:val="28"/>
          <w:szCs w:val="28"/>
        </w:rPr>
        <w:t xml:space="preserve"> </w:t>
      </w:r>
      <w:r w:rsidR="000E0704" w:rsidRPr="00FA0138">
        <w:rPr>
          <w:rFonts w:ascii="Times New Roman" w:hAnsi="Times New Roman"/>
          <w:sz w:val="28"/>
          <w:szCs w:val="28"/>
        </w:rPr>
        <w:t xml:space="preserve">limited </w:t>
      </w:r>
      <w:r w:rsidR="007B5D23">
        <w:rPr>
          <w:rFonts w:ascii="Times New Roman" w:hAnsi="Times New Roman"/>
          <w:sz w:val="28"/>
          <w:szCs w:val="28"/>
        </w:rPr>
        <w:t xml:space="preserve">solely </w:t>
      </w:r>
      <w:r w:rsidR="000E0704" w:rsidRPr="00FA0138">
        <w:rPr>
          <w:rFonts w:ascii="Times New Roman" w:hAnsi="Times New Roman"/>
          <w:sz w:val="28"/>
          <w:szCs w:val="28"/>
        </w:rPr>
        <w:t>to this issue</w:t>
      </w:r>
      <w:r w:rsidR="00D0425D" w:rsidRPr="00FA0138">
        <w:rPr>
          <w:rFonts w:ascii="Times New Roman" w:hAnsi="Times New Roman"/>
          <w:sz w:val="28"/>
          <w:szCs w:val="28"/>
        </w:rPr>
        <w:t xml:space="preserve">. Our pronouncement </w:t>
      </w:r>
      <w:r w:rsidR="008F7B6D">
        <w:rPr>
          <w:rFonts w:ascii="Times New Roman" w:hAnsi="Times New Roman"/>
          <w:sz w:val="28"/>
          <w:szCs w:val="28"/>
        </w:rPr>
        <w:t xml:space="preserve">against the magistrate’s finding </w:t>
      </w:r>
      <w:r w:rsidR="00D0425D" w:rsidRPr="00FA0138">
        <w:rPr>
          <w:rFonts w:ascii="Times New Roman" w:hAnsi="Times New Roman"/>
          <w:sz w:val="28"/>
          <w:szCs w:val="28"/>
        </w:rPr>
        <w:t xml:space="preserve">does not entitle the appellant to a hearing in the sense that this court </w:t>
      </w:r>
      <w:r w:rsidR="00BD3785" w:rsidRPr="00FA0138">
        <w:rPr>
          <w:rFonts w:ascii="Times New Roman" w:hAnsi="Times New Roman"/>
          <w:sz w:val="28"/>
          <w:szCs w:val="28"/>
        </w:rPr>
        <w:t xml:space="preserve">must determine </w:t>
      </w:r>
      <w:r w:rsidR="003937BF">
        <w:rPr>
          <w:rFonts w:ascii="Times New Roman" w:hAnsi="Times New Roman"/>
          <w:sz w:val="28"/>
          <w:szCs w:val="28"/>
        </w:rPr>
        <w:t xml:space="preserve">the question of </w:t>
      </w:r>
      <w:r w:rsidR="00BD3785" w:rsidRPr="00FA0138">
        <w:rPr>
          <w:rFonts w:ascii="Times New Roman" w:hAnsi="Times New Roman"/>
          <w:sz w:val="28"/>
          <w:szCs w:val="28"/>
        </w:rPr>
        <w:t>bail</w:t>
      </w:r>
      <w:r w:rsidR="00EA7A3E">
        <w:rPr>
          <w:rFonts w:ascii="Times New Roman" w:hAnsi="Times New Roman"/>
          <w:sz w:val="28"/>
          <w:szCs w:val="28"/>
        </w:rPr>
        <w:t xml:space="preserve"> afresh</w:t>
      </w:r>
      <w:r w:rsidR="00BD3785" w:rsidRPr="00FA0138">
        <w:rPr>
          <w:rFonts w:ascii="Times New Roman" w:hAnsi="Times New Roman"/>
          <w:sz w:val="28"/>
          <w:szCs w:val="28"/>
        </w:rPr>
        <w:t xml:space="preserve">. </w:t>
      </w:r>
      <w:r w:rsidR="00E16BB4" w:rsidRPr="00FA0138">
        <w:rPr>
          <w:rFonts w:ascii="Times New Roman" w:hAnsi="Times New Roman"/>
          <w:sz w:val="28"/>
          <w:szCs w:val="28"/>
        </w:rPr>
        <w:t xml:space="preserve">In this regard </w:t>
      </w:r>
      <w:r w:rsidR="005971E9">
        <w:rPr>
          <w:rFonts w:ascii="Times New Roman" w:hAnsi="Times New Roman"/>
          <w:sz w:val="28"/>
          <w:szCs w:val="28"/>
        </w:rPr>
        <w:t xml:space="preserve">the following </w:t>
      </w:r>
      <w:r w:rsidR="00345F77" w:rsidRPr="00FA0138">
        <w:rPr>
          <w:rFonts w:ascii="Times New Roman" w:hAnsi="Times New Roman"/>
          <w:sz w:val="28"/>
          <w:szCs w:val="28"/>
        </w:rPr>
        <w:t xml:space="preserve">remarks </w:t>
      </w:r>
      <w:r w:rsidR="00D97737" w:rsidRPr="00FA0138">
        <w:rPr>
          <w:rFonts w:ascii="Times New Roman" w:hAnsi="Times New Roman"/>
          <w:sz w:val="28"/>
          <w:szCs w:val="28"/>
        </w:rPr>
        <w:t>necessitate mentioning.</w:t>
      </w:r>
    </w:p>
    <w:p w14:paraId="23706F2E" w14:textId="78B4F161" w:rsidR="00404876" w:rsidRDefault="0083414B" w:rsidP="0083414B">
      <w:pPr>
        <w:pStyle w:val="LegalList1"/>
        <w:spacing w:line="360" w:lineRule="auto"/>
        <w:ind w:left="851" w:hanging="851"/>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r>
      <w:r w:rsidR="005971E9" w:rsidRPr="00404876">
        <w:rPr>
          <w:rFonts w:ascii="Times New Roman" w:hAnsi="Times New Roman"/>
          <w:sz w:val="28"/>
          <w:szCs w:val="28"/>
        </w:rPr>
        <w:t>Once an applicant for bail on new facts has established the existence of new facts, he is allowed to re-open his case and is entitled to lead any further evidence</w:t>
      </w:r>
      <w:r w:rsidR="00362C64" w:rsidRPr="00404876">
        <w:rPr>
          <w:rFonts w:ascii="Times New Roman" w:hAnsi="Times New Roman"/>
          <w:sz w:val="28"/>
          <w:szCs w:val="28"/>
        </w:rPr>
        <w:t>, new and old</w:t>
      </w:r>
      <w:r w:rsidR="00362C64">
        <w:rPr>
          <w:rStyle w:val="FootnoteReference"/>
          <w:rFonts w:ascii="Times New Roman" w:hAnsi="Times New Roman"/>
          <w:sz w:val="28"/>
          <w:szCs w:val="28"/>
        </w:rPr>
        <w:footnoteReference w:id="10"/>
      </w:r>
      <w:r w:rsidR="00362C64" w:rsidRPr="00404876">
        <w:rPr>
          <w:rFonts w:ascii="Times New Roman" w:hAnsi="Times New Roman"/>
          <w:sz w:val="28"/>
          <w:szCs w:val="28"/>
        </w:rPr>
        <w:t>,</w:t>
      </w:r>
      <w:r w:rsidR="005971E9" w:rsidRPr="00404876">
        <w:rPr>
          <w:rFonts w:ascii="Times New Roman" w:hAnsi="Times New Roman"/>
          <w:sz w:val="28"/>
          <w:szCs w:val="28"/>
        </w:rPr>
        <w:t xml:space="preserve"> which he wishes to lead in support of his new application for bail.</w:t>
      </w:r>
      <w:r w:rsidR="0059206E">
        <w:rPr>
          <w:rStyle w:val="FootnoteReference"/>
          <w:rFonts w:ascii="Times New Roman" w:hAnsi="Times New Roman"/>
          <w:sz w:val="28"/>
          <w:szCs w:val="28"/>
        </w:rPr>
        <w:footnoteReference w:id="11"/>
      </w:r>
      <w:r w:rsidR="005971E9" w:rsidRPr="00404876">
        <w:rPr>
          <w:rFonts w:ascii="Times New Roman" w:hAnsi="Times New Roman"/>
          <w:sz w:val="28"/>
          <w:szCs w:val="28"/>
        </w:rPr>
        <w:t xml:space="preserve"> </w:t>
      </w:r>
      <w:r w:rsidR="00B34EA4" w:rsidRPr="00404876">
        <w:rPr>
          <w:rFonts w:ascii="Times New Roman" w:hAnsi="Times New Roman"/>
          <w:sz w:val="28"/>
          <w:szCs w:val="28"/>
        </w:rPr>
        <w:t>Due regard must of course be had to</w:t>
      </w:r>
      <w:r w:rsidR="00D97737" w:rsidRPr="00404876">
        <w:rPr>
          <w:rFonts w:ascii="Times New Roman" w:hAnsi="Times New Roman"/>
          <w:sz w:val="28"/>
          <w:szCs w:val="28"/>
        </w:rPr>
        <w:t xml:space="preserve"> section 60(11)</w:t>
      </w:r>
      <w:r w:rsidR="003415EB">
        <w:rPr>
          <w:rFonts w:ascii="Times New Roman" w:hAnsi="Times New Roman"/>
          <w:sz w:val="28"/>
          <w:szCs w:val="28"/>
        </w:rPr>
        <w:t>(a)</w:t>
      </w:r>
      <w:r w:rsidR="00D97737" w:rsidRPr="00404876">
        <w:rPr>
          <w:rFonts w:ascii="Times New Roman" w:hAnsi="Times New Roman"/>
          <w:sz w:val="28"/>
          <w:szCs w:val="28"/>
        </w:rPr>
        <w:t xml:space="preserve"> of </w:t>
      </w:r>
      <w:r w:rsidR="008665A9" w:rsidRPr="00404876">
        <w:rPr>
          <w:rFonts w:ascii="Times New Roman" w:hAnsi="Times New Roman"/>
          <w:sz w:val="28"/>
          <w:szCs w:val="28"/>
        </w:rPr>
        <w:t>the Criminal Procedure Act</w:t>
      </w:r>
      <w:r w:rsidR="00D97737" w:rsidRPr="00404876">
        <w:rPr>
          <w:rFonts w:ascii="Times New Roman" w:hAnsi="Times New Roman"/>
          <w:sz w:val="28"/>
          <w:szCs w:val="28"/>
        </w:rPr>
        <w:t>.</w:t>
      </w:r>
      <w:r w:rsidR="00404876">
        <w:rPr>
          <w:rFonts w:ascii="Times New Roman" w:hAnsi="Times New Roman"/>
          <w:sz w:val="28"/>
          <w:szCs w:val="28"/>
        </w:rPr>
        <w:t xml:space="preserve"> </w:t>
      </w:r>
      <w:r w:rsidR="00D97737" w:rsidRPr="00404876">
        <w:rPr>
          <w:rFonts w:ascii="Times New Roman" w:hAnsi="Times New Roman"/>
          <w:sz w:val="28"/>
          <w:szCs w:val="28"/>
        </w:rPr>
        <w:t>The section</w:t>
      </w:r>
      <w:r w:rsidR="008665A9" w:rsidRPr="00404876">
        <w:rPr>
          <w:rFonts w:ascii="Times New Roman" w:hAnsi="Times New Roman"/>
          <w:sz w:val="28"/>
          <w:szCs w:val="28"/>
        </w:rPr>
        <w:t xml:space="preserve"> implicates Schedule </w:t>
      </w:r>
      <w:r w:rsidR="008665A9" w:rsidRPr="00404876">
        <w:rPr>
          <w:rFonts w:ascii="Times New Roman" w:hAnsi="Times New Roman"/>
          <w:sz w:val="28"/>
          <w:szCs w:val="28"/>
        </w:rPr>
        <w:lastRenderedPageBreak/>
        <w:t>6 offences and obliges an accused on being given a reasonable opportunity to adduce evidence which satisfies</w:t>
      </w:r>
      <w:r w:rsidR="00924713">
        <w:rPr>
          <w:rStyle w:val="FootnoteReference"/>
          <w:rFonts w:ascii="Times New Roman" w:hAnsi="Times New Roman"/>
          <w:sz w:val="28"/>
          <w:szCs w:val="28"/>
        </w:rPr>
        <w:footnoteReference w:id="12"/>
      </w:r>
      <w:r w:rsidR="008665A9" w:rsidRPr="00404876">
        <w:rPr>
          <w:rFonts w:ascii="Times New Roman" w:hAnsi="Times New Roman"/>
          <w:sz w:val="28"/>
          <w:szCs w:val="28"/>
        </w:rPr>
        <w:t xml:space="preserve"> the court that exceptional circumstances exist which in the interests of justice permit his release</w:t>
      </w:r>
      <w:r w:rsidR="00310BB2" w:rsidRPr="00404876">
        <w:rPr>
          <w:rFonts w:ascii="Times New Roman" w:hAnsi="Times New Roman"/>
          <w:sz w:val="28"/>
          <w:szCs w:val="28"/>
        </w:rPr>
        <w:t>.</w:t>
      </w:r>
    </w:p>
    <w:p w14:paraId="2B65F395" w14:textId="1F180CEF" w:rsidR="0004291C" w:rsidRPr="00404876" w:rsidRDefault="0083414B" w:rsidP="0083414B">
      <w:pPr>
        <w:pStyle w:val="LegalList1"/>
        <w:spacing w:line="360" w:lineRule="auto"/>
        <w:ind w:left="851" w:hanging="851"/>
        <w:rPr>
          <w:rFonts w:ascii="Times New Roman" w:hAnsi="Times New Roman"/>
          <w:sz w:val="28"/>
          <w:szCs w:val="28"/>
        </w:rPr>
      </w:pPr>
      <w:r w:rsidRPr="00404876">
        <w:rPr>
          <w:rFonts w:ascii="Times New Roman" w:hAnsi="Times New Roman"/>
          <w:sz w:val="28"/>
          <w:szCs w:val="28"/>
        </w:rPr>
        <w:t>[22]</w:t>
      </w:r>
      <w:r w:rsidRPr="00404876">
        <w:rPr>
          <w:rFonts w:ascii="Times New Roman" w:hAnsi="Times New Roman"/>
          <w:sz w:val="28"/>
          <w:szCs w:val="28"/>
        </w:rPr>
        <w:tab/>
      </w:r>
      <w:r w:rsidR="00310BB2" w:rsidRPr="00404876">
        <w:rPr>
          <w:rFonts w:ascii="Times New Roman" w:hAnsi="Times New Roman"/>
          <w:sz w:val="28"/>
          <w:szCs w:val="28"/>
        </w:rPr>
        <w:t>There is merit in the respondent’s submission</w:t>
      </w:r>
      <w:r w:rsidR="00164F95" w:rsidRPr="00404876">
        <w:rPr>
          <w:rFonts w:ascii="Times New Roman" w:hAnsi="Times New Roman"/>
          <w:sz w:val="28"/>
          <w:szCs w:val="28"/>
        </w:rPr>
        <w:t xml:space="preserve"> that what is yet to be determined is whether the</w:t>
      </w:r>
      <w:r w:rsidR="004A2B10" w:rsidRPr="00404876">
        <w:rPr>
          <w:rFonts w:ascii="Times New Roman" w:hAnsi="Times New Roman"/>
          <w:sz w:val="28"/>
          <w:szCs w:val="28"/>
        </w:rPr>
        <w:t> </w:t>
      </w:r>
      <w:r w:rsidR="00164F95" w:rsidRPr="00404876">
        <w:rPr>
          <w:rFonts w:ascii="Times New Roman" w:hAnsi="Times New Roman"/>
          <w:sz w:val="28"/>
          <w:szCs w:val="28"/>
        </w:rPr>
        <w:t xml:space="preserve">new facts </w:t>
      </w:r>
      <w:r w:rsidR="00EA7A3E" w:rsidRPr="00404876">
        <w:rPr>
          <w:rFonts w:ascii="Times New Roman" w:hAnsi="Times New Roman"/>
          <w:sz w:val="28"/>
          <w:szCs w:val="28"/>
        </w:rPr>
        <w:t>(</w:t>
      </w:r>
      <w:r w:rsidR="004A2B10" w:rsidRPr="00404876">
        <w:rPr>
          <w:rFonts w:ascii="Times New Roman" w:hAnsi="Times New Roman"/>
          <w:sz w:val="28"/>
          <w:szCs w:val="28"/>
        </w:rPr>
        <w:t>or further evidence which the appellant may wish to adduce</w:t>
      </w:r>
      <w:r w:rsidR="00EA7A3E" w:rsidRPr="00404876">
        <w:rPr>
          <w:rFonts w:ascii="Times New Roman" w:hAnsi="Times New Roman"/>
          <w:sz w:val="28"/>
          <w:szCs w:val="28"/>
        </w:rPr>
        <w:t xml:space="preserve">) </w:t>
      </w:r>
      <w:r w:rsidR="00164F95" w:rsidRPr="00404876">
        <w:rPr>
          <w:rFonts w:ascii="Times New Roman" w:hAnsi="Times New Roman"/>
          <w:sz w:val="28"/>
          <w:szCs w:val="28"/>
        </w:rPr>
        <w:t>constitute exceptional circumstances</w:t>
      </w:r>
      <w:r w:rsidR="00BF706C" w:rsidRPr="00404876">
        <w:rPr>
          <w:rFonts w:ascii="Times New Roman" w:hAnsi="Times New Roman"/>
          <w:sz w:val="28"/>
          <w:szCs w:val="28"/>
        </w:rPr>
        <w:t xml:space="preserve"> for </w:t>
      </w:r>
      <w:r w:rsidR="004A2B10" w:rsidRPr="00404876">
        <w:rPr>
          <w:rFonts w:ascii="Times New Roman" w:hAnsi="Times New Roman"/>
          <w:sz w:val="28"/>
          <w:szCs w:val="28"/>
        </w:rPr>
        <w:t>his</w:t>
      </w:r>
      <w:r w:rsidR="000B0198">
        <w:rPr>
          <w:rFonts w:ascii="Times New Roman" w:hAnsi="Times New Roman"/>
          <w:sz w:val="28"/>
          <w:szCs w:val="28"/>
        </w:rPr>
        <w:t xml:space="preserve"> </w:t>
      </w:r>
      <w:r w:rsidR="00BF706C" w:rsidRPr="00404876">
        <w:rPr>
          <w:rFonts w:ascii="Times New Roman" w:hAnsi="Times New Roman"/>
          <w:sz w:val="28"/>
          <w:szCs w:val="28"/>
        </w:rPr>
        <w:t>release on bail</w:t>
      </w:r>
      <w:r w:rsidR="00BF706C">
        <w:rPr>
          <w:rStyle w:val="FootnoteReference"/>
          <w:rFonts w:ascii="Times New Roman" w:hAnsi="Times New Roman"/>
          <w:sz w:val="28"/>
          <w:szCs w:val="28"/>
        </w:rPr>
        <w:footnoteReference w:id="13"/>
      </w:r>
      <w:r w:rsidR="00D97737" w:rsidRPr="00404876">
        <w:rPr>
          <w:rFonts w:ascii="Times New Roman" w:hAnsi="Times New Roman"/>
          <w:sz w:val="28"/>
          <w:szCs w:val="28"/>
        </w:rPr>
        <w:t>.</w:t>
      </w:r>
      <w:r w:rsidR="00254848" w:rsidRPr="00404876">
        <w:rPr>
          <w:rFonts w:ascii="Times New Roman" w:hAnsi="Times New Roman"/>
          <w:sz w:val="28"/>
          <w:szCs w:val="28"/>
        </w:rPr>
        <w:t xml:space="preserve"> </w:t>
      </w:r>
      <w:r w:rsidR="009040B8">
        <w:rPr>
          <w:rFonts w:ascii="Times New Roman" w:hAnsi="Times New Roman"/>
          <w:sz w:val="28"/>
          <w:szCs w:val="28"/>
        </w:rPr>
        <w:t xml:space="preserve"> </w:t>
      </w:r>
      <w:r w:rsidR="00254848" w:rsidRPr="00404876">
        <w:rPr>
          <w:rFonts w:ascii="Times New Roman" w:hAnsi="Times New Roman"/>
          <w:sz w:val="28"/>
          <w:szCs w:val="28"/>
        </w:rPr>
        <w:t>It stands to reason that should the respondent choose not to rebut the appellant’s evidence the magistrate will then have to consider</w:t>
      </w:r>
      <w:r w:rsidR="008F65EE" w:rsidRPr="00404876">
        <w:rPr>
          <w:rFonts w:ascii="Times New Roman" w:hAnsi="Times New Roman"/>
          <w:sz w:val="28"/>
          <w:szCs w:val="28"/>
        </w:rPr>
        <w:t xml:space="preserve"> the matter on the strength of the evidence put forward by the appellant. Should the respondent rebut</w:t>
      </w:r>
      <w:r w:rsidR="000B0198">
        <w:rPr>
          <w:rFonts w:ascii="Times New Roman" w:hAnsi="Times New Roman"/>
          <w:sz w:val="28"/>
          <w:szCs w:val="28"/>
        </w:rPr>
        <w:t>,</w:t>
      </w:r>
      <w:r w:rsidR="008F65EE" w:rsidRPr="00404876">
        <w:rPr>
          <w:rFonts w:ascii="Times New Roman" w:hAnsi="Times New Roman"/>
          <w:sz w:val="28"/>
          <w:szCs w:val="28"/>
        </w:rPr>
        <w:t xml:space="preserve"> the magistrate will have to consider the evidence </w:t>
      </w:r>
      <w:r w:rsidR="00CD7507" w:rsidRPr="00404876">
        <w:rPr>
          <w:rFonts w:ascii="Times New Roman" w:hAnsi="Times New Roman"/>
          <w:sz w:val="28"/>
          <w:szCs w:val="28"/>
        </w:rPr>
        <w:t xml:space="preserve">holistically i.e. the evidence </w:t>
      </w:r>
      <w:r w:rsidR="008F65EE" w:rsidRPr="00404876">
        <w:rPr>
          <w:rFonts w:ascii="Times New Roman" w:hAnsi="Times New Roman"/>
          <w:sz w:val="28"/>
          <w:szCs w:val="28"/>
        </w:rPr>
        <w:t>in rebuttal</w:t>
      </w:r>
      <w:r w:rsidR="00254848" w:rsidRPr="00404876">
        <w:rPr>
          <w:rFonts w:ascii="Times New Roman" w:hAnsi="Times New Roman"/>
          <w:sz w:val="28"/>
          <w:szCs w:val="28"/>
        </w:rPr>
        <w:t xml:space="preserve"> </w:t>
      </w:r>
      <w:r w:rsidR="00CD7507" w:rsidRPr="00404876">
        <w:rPr>
          <w:rFonts w:ascii="Times New Roman" w:hAnsi="Times New Roman"/>
          <w:sz w:val="28"/>
          <w:szCs w:val="28"/>
        </w:rPr>
        <w:t>together with the evidence of the appellant read with the provisions of the aforementioned section</w:t>
      </w:r>
      <w:r w:rsidR="00D865E3" w:rsidRPr="00404876">
        <w:rPr>
          <w:rFonts w:ascii="Times New Roman" w:hAnsi="Times New Roman"/>
          <w:sz w:val="28"/>
          <w:szCs w:val="28"/>
        </w:rPr>
        <w:t xml:space="preserve"> in deciding whether bail should be granted.</w:t>
      </w:r>
      <w:r w:rsidR="00841B24">
        <w:rPr>
          <w:rStyle w:val="FootnoteReference"/>
          <w:rFonts w:ascii="Times New Roman" w:hAnsi="Times New Roman"/>
          <w:sz w:val="28"/>
          <w:szCs w:val="28"/>
        </w:rPr>
        <w:footnoteReference w:id="14"/>
      </w:r>
    </w:p>
    <w:p w14:paraId="013E53A1" w14:textId="303FEA9B" w:rsidR="00DF176A" w:rsidRDefault="0083414B" w:rsidP="0083414B">
      <w:pPr>
        <w:pStyle w:val="LegalList1"/>
        <w:spacing w:line="360" w:lineRule="auto"/>
        <w:ind w:left="851" w:hanging="851"/>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r>
      <w:r w:rsidR="00404876">
        <w:rPr>
          <w:rFonts w:ascii="Times New Roman" w:hAnsi="Times New Roman"/>
          <w:sz w:val="28"/>
          <w:szCs w:val="28"/>
        </w:rPr>
        <w:t>As w</w:t>
      </w:r>
      <w:r w:rsidR="00DF176A">
        <w:rPr>
          <w:rFonts w:ascii="Times New Roman" w:hAnsi="Times New Roman"/>
          <w:sz w:val="28"/>
          <w:szCs w:val="28"/>
        </w:rPr>
        <w:t>e are of the view that the magistrate erred in his approach to the determination of new facts by concluding that the evidence presented by the appellant</w:t>
      </w:r>
      <w:r w:rsidR="00DF176A">
        <w:rPr>
          <w:rStyle w:val="FootnoteReference"/>
          <w:rFonts w:ascii="Times New Roman" w:hAnsi="Times New Roman"/>
          <w:sz w:val="28"/>
          <w:szCs w:val="28"/>
        </w:rPr>
        <w:footnoteReference w:id="15"/>
      </w:r>
      <w:r w:rsidR="00404876">
        <w:rPr>
          <w:rFonts w:ascii="Times New Roman" w:hAnsi="Times New Roman"/>
          <w:sz w:val="28"/>
          <w:szCs w:val="28"/>
        </w:rPr>
        <w:t xml:space="preserve"> did not constitute new facts, </w:t>
      </w:r>
      <w:r w:rsidR="005F15A8">
        <w:rPr>
          <w:rFonts w:ascii="Times New Roman" w:hAnsi="Times New Roman"/>
          <w:sz w:val="28"/>
          <w:szCs w:val="28"/>
        </w:rPr>
        <w:t>the following order will issue:</w:t>
      </w:r>
    </w:p>
    <w:p w14:paraId="4F1AF951" w14:textId="492A8A19" w:rsidR="00DF176A" w:rsidRDefault="0083414B" w:rsidP="0083414B">
      <w:pPr>
        <w:pStyle w:val="LegalList1"/>
        <w:spacing w:line="360" w:lineRule="auto"/>
        <w:ind w:left="1211" w:hanging="36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4B2F7F">
        <w:rPr>
          <w:rFonts w:ascii="Times New Roman" w:hAnsi="Times New Roman"/>
          <w:sz w:val="28"/>
          <w:szCs w:val="28"/>
        </w:rPr>
        <w:t>The matter is remitted to the magistrate</w:t>
      </w:r>
      <w:r w:rsidR="00C95C1D">
        <w:rPr>
          <w:rFonts w:ascii="Times New Roman" w:hAnsi="Times New Roman"/>
          <w:sz w:val="28"/>
          <w:szCs w:val="28"/>
        </w:rPr>
        <w:t xml:space="preserve"> or an alternate magistrate</w:t>
      </w:r>
      <w:r w:rsidR="004A2FED">
        <w:rPr>
          <w:rFonts w:ascii="Times New Roman" w:hAnsi="Times New Roman"/>
          <w:sz w:val="28"/>
          <w:szCs w:val="28"/>
        </w:rPr>
        <w:t xml:space="preserve"> to urgently make a determination of the appellant’s bail application on new facts i</w:t>
      </w:r>
      <w:r w:rsidR="00905164">
        <w:rPr>
          <w:rFonts w:ascii="Times New Roman" w:hAnsi="Times New Roman"/>
          <w:sz w:val="28"/>
          <w:szCs w:val="28"/>
        </w:rPr>
        <w:t xml:space="preserve">n accordance with section 60(11)(a) of the Criminal Procedure Act 51 of 1977 within </w:t>
      </w:r>
      <w:r w:rsidR="00FA0EF8">
        <w:rPr>
          <w:rFonts w:ascii="Times New Roman" w:hAnsi="Times New Roman"/>
          <w:sz w:val="28"/>
          <w:szCs w:val="28"/>
        </w:rPr>
        <w:t>seven (</w:t>
      </w:r>
      <w:r w:rsidR="00905164">
        <w:rPr>
          <w:rFonts w:ascii="Times New Roman" w:hAnsi="Times New Roman"/>
          <w:sz w:val="28"/>
          <w:szCs w:val="28"/>
        </w:rPr>
        <w:t>7</w:t>
      </w:r>
      <w:r w:rsidR="00FA0EF8">
        <w:rPr>
          <w:rFonts w:ascii="Times New Roman" w:hAnsi="Times New Roman"/>
          <w:sz w:val="28"/>
          <w:szCs w:val="28"/>
        </w:rPr>
        <w:t>)</w:t>
      </w:r>
      <w:r w:rsidR="00905164">
        <w:rPr>
          <w:rFonts w:ascii="Times New Roman" w:hAnsi="Times New Roman"/>
          <w:sz w:val="28"/>
          <w:szCs w:val="28"/>
        </w:rPr>
        <w:t xml:space="preserve"> days of the date of this judgment.</w:t>
      </w:r>
    </w:p>
    <w:p w14:paraId="58DB6A3F" w14:textId="77777777" w:rsidR="00101EE3" w:rsidRDefault="00101EE3" w:rsidP="00101EE3">
      <w:pPr>
        <w:pStyle w:val="LegalList1"/>
        <w:spacing w:line="360" w:lineRule="auto"/>
        <w:ind w:left="851"/>
        <w:rPr>
          <w:rFonts w:ascii="Times New Roman" w:hAnsi="Times New Roman"/>
          <w:sz w:val="28"/>
          <w:szCs w:val="28"/>
        </w:rPr>
      </w:pPr>
    </w:p>
    <w:p w14:paraId="7487E5AD" w14:textId="137D4E1E" w:rsidR="00905164" w:rsidRDefault="0083414B" w:rsidP="0083414B">
      <w:pPr>
        <w:pStyle w:val="LegalList1"/>
        <w:spacing w:line="360" w:lineRule="auto"/>
        <w:ind w:left="1211" w:hanging="36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562A8F">
        <w:rPr>
          <w:rFonts w:ascii="Times New Roman" w:hAnsi="Times New Roman"/>
          <w:sz w:val="28"/>
          <w:szCs w:val="28"/>
        </w:rPr>
        <w:t>The appellant is to be afforded the opportunity to adduce evidence in support of his further bail application of 7 April 2022</w:t>
      </w:r>
      <w:r w:rsidR="00FA0EF8">
        <w:rPr>
          <w:rFonts w:ascii="Times New Roman" w:hAnsi="Times New Roman"/>
          <w:sz w:val="28"/>
          <w:szCs w:val="28"/>
        </w:rPr>
        <w:t xml:space="preserve"> in respect of the new f</w:t>
      </w:r>
      <w:r w:rsidR="002932F7">
        <w:rPr>
          <w:rFonts w:ascii="Times New Roman" w:hAnsi="Times New Roman"/>
          <w:sz w:val="28"/>
          <w:szCs w:val="28"/>
        </w:rPr>
        <w:t>acts that had come to light and/</w:t>
      </w:r>
      <w:r w:rsidR="00FA0EF8">
        <w:rPr>
          <w:rFonts w:ascii="Times New Roman" w:hAnsi="Times New Roman"/>
          <w:sz w:val="28"/>
          <w:szCs w:val="28"/>
        </w:rPr>
        <w:t xml:space="preserve">or any further evidence that he wishes to lead in support </w:t>
      </w:r>
      <w:r w:rsidR="00BE6A11">
        <w:rPr>
          <w:rFonts w:ascii="Times New Roman" w:hAnsi="Times New Roman"/>
          <w:sz w:val="28"/>
          <w:szCs w:val="28"/>
        </w:rPr>
        <w:t>thereof.</w:t>
      </w:r>
    </w:p>
    <w:p w14:paraId="1C83022E" w14:textId="5D25F037" w:rsidR="00BE6A11" w:rsidRDefault="0083414B" w:rsidP="0083414B">
      <w:pPr>
        <w:pStyle w:val="LegalList1"/>
        <w:spacing w:line="360" w:lineRule="auto"/>
        <w:ind w:left="1211" w:hanging="360"/>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BE6A11">
        <w:rPr>
          <w:rFonts w:ascii="Times New Roman" w:hAnsi="Times New Roman"/>
          <w:sz w:val="28"/>
          <w:szCs w:val="28"/>
        </w:rPr>
        <w:t xml:space="preserve">The respondent is to be afforded the </w:t>
      </w:r>
      <w:r w:rsidR="00841DA4">
        <w:rPr>
          <w:rFonts w:ascii="Times New Roman" w:hAnsi="Times New Roman"/>
          <w:sz w:val="28"/>
          <w:szCs w:val="28"/>
        </w:rPr>
        <w:t xml:space="preserve">reasonable </w:t>
      </w:r>
      <w:r w:rsidR="00BE6A11">
        <w:rPr>
          <w:rFonts w:ascii="Times New Roman" w:hAnsi="Times New Roman"/>
          <w:sz w:val="28"/>
          <w:szCs w:val="28"/>
        </w:rPr>
        <w:t xml:space="preserve">opportunity to adduce further evidence in response to </w:t>
      </w:r>
      <w:r w:rsidR="006C3CDE">
        <w:rPr>
          <w:rFonts w:ascii="Times New Roman" w:hAnsi="Times New Roman"/>
          <w:sz w:val="28"/>
          <w:szCs w:val="28"/>
        </w:rPr>
        <w:t>any evidence presented by the appellant in accordance with paragraph 2 above</w:t>
      </w:r>
      <w:r w:rsidR="00C95C1D">
        <w:rPr>
          <w:rFonts w:ascii="Times New Roman" w:hAnsi="Times New Roman"/>
          <w:sz w:val="28"/>
          <w:szCs w:val="28"/>
        </w:rPr>
        <w:t>.</w:t>
      </w:r>
    </w:p>
    <w:p w14:paraId="68F75A94" w14:textId="77777777" w:rsidR="007F553B" w:rsidRDefault="007F553B" w:rsidP="00522840">
      <w:pPr>
        <w:rPr>
          <w:sz w:val="28"/>
          <w:szCs w:val="28"/>
        </w:rPr>
      </w:pPr>
    </w:p>
    <w:p w14:paraId="745ABE9F" w14:textId="77777777" w:rsidR="009040B8" w:rsidRDefault="009040B8" w:rsidP="00522840">
      <w:pPr>
        <w:rPr>
          <w:sz w:val="28"/>
          <w:szCs w:val="28"/>
        </w:rPr>
      </w:pPr>
    </w:p>
    <w:p w14:paraId="584FD850" w14:textId="77777777" w:rsidR="009040B8" w:rsidRDefault="009040B8" w:rsidP="00522840">
      <w:pPr>
        <w:rPr>
          <w:sz w:val="28"/>
          <w:szCs w:val="28"/>
        </w:rPr>
      </w:pPr>
    </w:p>
    <w:p w14:paraId="0A2A6D53" w14:textId="77777777" w:rsidR="009040B8" w:rsidRDefault="009040B8" w:rsidP="00522840">
      <w:pPr>
        <w:rPr>
          <w:sz w:val="28"/>
          <w:szCs w:val="28"/>
        </w:rPr>
      </w:pPr>
    </w:p>
    <w:p w14:paraId="18B0D116" w14:textId="77777777" w:rsidR="007F553B" w:rsidRDefault="007F553B" w:rsidP="007F553B">
      <w:pPr>
        <w:pStyle w:val="LegalList1"/>
        <w:spacing w:line="240" w:lineRule="auto"/>
        <w:ind w:left="851"/>
        <w:rPr>
          <w:rFonts w:ascii="Times New Roman" w:hAnsi="Times New Roman"/>
          <w:sz w:val="28"/>
          <w:szCs w:val="28"/>
        </w:rPr>
      </w:pPr>
      <w:r>
        <w:rPr>
          <w:rFonts w:ascii="Times New Roman" w:hAnsi="Times New Roman"/>
          <w:sz w:val="28"/>
          <w:szCs w:val="28"/>
        </w:rPr>
        <w:t>____________________________</w:t>
      </w:r>
    </w:p>
    <w:p w14:paraId="5251FADA" w14:textId="77777777" w:rsidR="007F553B" w:rsidRPr="009E483B" w:rsidRDefault="007F553B" w:rsidP="007F553B">
      <w:pPr>
        <w:pStyle w:val="LegalList1"/>
        <w:spacing w:line="240" w:lineRule="auto"/>
        <w:ind w:left="851"/>
        <w:rPr>
          <w:rFonts w:ascii="Times New Roman" w:hAnsi="Times New Roman"/>
          <w:b/>
          <w:sz w:val="28"/>
          <w:szCs w:val="28"/>
        </w:rPr>
      </w:pPr>
      <w:r>
        <w:rPr>
          <w:rFonts w:ascii="Times New Roman" w:hAnsi="Times New Roman"/>
          <w:b/>
          <w:sz w:val="28"/>
          <w:szCs w:val="28"/>
        </w:rPr>
        <w:t xml:space="preserve">M. </w:t>
      </w:r>
      <w:r w:rsidRPr="009E483B">
        <w:rPr>
          <w:rFonts w:ascii="Times New Roman" w:hAnsi="Times New Roman"/>
          <w:b/>
          <w:sz w:val="28"/>
          <w:szCs w:val="28"/>
        </w:rPr>
        <w:t>S. RUGUNANAN</w:t>
      </w:r>
    </w:p>
    <w:p w14:paraId="2E117070" w14:textId="77777777" w:rsidR="007F553B" w:rsidRPr="009E483B" w:rsidRDefault="007F553B" w:rsidP="007F553B">
      <w:pPr>
        <w:pStyle w:val="LegalList1"/>
        <w:spacing w:line="240" w:lineRule="auto"/>
        <w:ind w:left="851"/>
        <w:rPr>
          <w:rFonts w:ascii="Times New Roman" w:hAnsi="Times New Roman"/>
          <w:b/>
          <w:sz w:val="28"/>
          <w:szCs w:val="28"/>
        </w:rPr>
      </w:pPr>
      <w:r w:rsidRPr="009E483B">
        <w:rPr>
          <w:rFonts w:ascii="Times New Roman" w:hAnsi="Times New Roman"/>
          <w:b/>
          <w:sz w:val="28"/>
          <w:szCs w:val="28"/>
        </w:rPr>
        <w:t>JUDGE OF THE HIGH COURT</w:t>
      </w:r>
    </w:p>
    <w:p w14:paraId="6E133A19" w14:textId="77777777" w:rsidR="00393A03" w:rsidRDefault="00393A03" w:rsidP="007F553B">
      <w:pPr>
        <w:pStyle w:val="LegalList1"/>
        <w:spacing w:line="240" w:lineRule="auto"/>
        <w:ind w:left="851"/>
        <w:rPr>
          <w:rFonts w:ascii="Times New Roman" w:hAnsi="Times New Roman"/>
          <w:sz w:val="28"/>
          <w:szCs w:val="28"/>
        </w:rPr>
      </w:pPr>
    </w:p>
    <w:p w14:paraId="72A8C0DF" w14:textId="77777777" w:rsidR="007F553B" w:rsidRDefault="007F553B" w:rsidP="007F553B">
      <w:pPr>
        <w:pStyle w:val="LegalList1"/>
        <w:spacing w:line="240" w:lineRule="auto"/>
        <w:ind w:left="851"/>
        <w:rPr>
          <w:rFonts w:ascii="Times New Roman" w:hAnsi="Times New Roman"/>
          <w:sz w:val="28"/>
          <w:szCs w:val="28"/>
        </w:rPr>
      </w:pPr>
      <w:r>
        <w:rPr>
          <w:rFonts w:ascii="Times New Roman" w:hAnsi="Times New Roman"/>
          <w:sz w:val="28"/>
          <w:szCs w:val="28"/>
        </w:rPr>
        <w:t>I agree.</w:t>
      </w:r>
    </w:p>
    <w:p w14:paraId="4EFC2B83" w14:textId="77777777" w:rsidR="007F553B" w:rsidRDefault="007F553B" w:rsidP="007F553B">
      <w:pPr>
        <w:pStyle w:val="LegalList1"/>
        <w:spacing w:line="240" w:lineRule="auto"/>
        <w:ind w:left="851"/>
        <w:rPr>
          <w:rFonts w:ascii="Times New Roman" w:hAnsi="Times New Roman"/>
          <w:sz w:val="28"/>
          <w:szCs w:val="28"/>
        </w:rPr>
      </w:pPr>
    </w:p>
    <w:p w14:paraId="3B1E2E36" w14:textId="77777777" w:rsidR="007F553B" w:rsidRDefault="007F553B" w:rsidP="007F553B">
      <w:pPr>
        <w:pStyle w:val="LegalList1"/>
        <w:spacing w:line="240" w:lineRule="auto"/>
        <w:ind w:left="851"/>
        <w:rPr>
          <w:rFonts w:ascii="Times New Roman" w:hAnsi="Times New Roman"/>
          <w:sz w:val="28"/>
          <w:szCs w:val="28"/>
        </w:rPr>
      </w:pPr>
    </w:p>
    <w:p w14:paraId="0FDF9D7E" w14:textId="77777777" w:rsidR="007F553B" w:rsidRDefault="007F553B" w:rsidP="007F553B">
      <w:pPr>
        <w:pStyle w:val="LegalList1"/>
        <w:spacing w:line="240" w:lineRule="auto"/>
        <w:ind w:left="851"/>
        <w:rPr>
          <w:rFonts w:ascii="Times New Roman" w:hAnsi="Times New Roman"/>
          <w:sz w:val="28"/>
          <w:szCs w:val="28"/>
        </w:rPr>
      </w:pPr>
    </w:p>
    <w:p w14:paraId="10A9B661" w14:textId="77777777" w:rsidR="007F553B" w:rsidRDefault="007F553B" w:rsidP="007F553B">
      <w:pPr>
        <w:pStyle w:val="LegalList1"/>
        <w:spacing w:line="240" w:lineRule="auto"/>
        <w:ind w:left="851"/>
        <w:rPr>
          <w:rFonts w:ascii="Times New Roman" w:hAnsi="Times New Roman"/>
          <w:sz w:val="28"/>
          <w:szCs w:val="28"/>
        </w:rPr>
      </w:pPr>
      <w:r>
        <w:rPr>
          <w:rFonts w:ascii="Times New Roman" w:hAnsi="Times New Roman"/>
          <w:sz w:val="28"/>
          <w:szCs w:val="28"/>
        </w:rPr>
        <w:t>____________________________</w:t>
      </w:r>
    </w:p>
    <w:p w14:paraId="59C66547" w14:textId="77777777" w:rsidR="007F553B" w:rsidRPr="009E483B" w:rsidRDefault="007F553B" w:rsidP="007F553B">
      <w:pPr>
        <w:pStyle w:val="LegalList1"/>
        <w:spacing w:line="240" w:lineRule="auto"/>
        <w:ind w:left="851"/>
        <w:rPr>
          <w:rFonts w:ascii="Times New Roman" w:hAnsi="Times New Roman"/>
          <w:b/>
          <w:sz w:val="28"/>
          <w:szCs w:val="28"/>
        </w:rPr>
      </w:pPr>
      <w:r>
        <w:rPr>
          <w:rFonts w:ascii="Times New Roman" w:hAnsi="Times New Roman"/>
          <w:b/>
          <w:sz w:val="28"/>
          <w:szCs w:val="28"/>
        </w:rPr>
        <w:t>V. NONCEMBU</w:t>
      </w:r>
    </w:p>
    <w:p w14:paraId="2B283DEB" w14:textId="77777777" w:rsidR="007F553B" w:rsidRPr="009E483B" w:rsidRDefault="007F553B" w:rsidP="007F553B">
      <w:pPr>
        <w:pStyle w:val="LegalList1"/>
        <w:spacing w:line="240" w:lineRule="auto"/>
        <w:ind w:left="851"/>
        <w:rPr>
          <w:rFonts w:ascii="Times New Roman" w:hAnsi="Times New Roman"/>
          <w:b/>
          <w:sz w:val="28"/>
          <w:szCs w:val="28"/>
        </w:rPr>
      </w:pPr>
      <w:r w:rsidRPr="009E483B">
        <w:rPr>
          <w:rFonts w:ascii="Times New Roman" w:hAnsi="Times New Roman"/>
          <w:b/>
          <w:sz w:val="28"/>
          <w:szCs w:val="28"/>
        </w:rPr>
        <w:t>JUDGE OF THE HIGH COURT</w:t>
      </w:r>
    </w:p>
    <w:p w14:paraId="41DC3424" w14:textId="77777777" w:rsidR="007F553B" w:rsidRDefault="007F553B" w:rsidP="007F553B">
      <w:pPr>
        <w:pStyle w:val="LegalList1"/>
        <w:spacing w:line="240" w:lineRule="auto"/>
        <w:ind w:left="851"/>
        <w:rPr>
          <w:rFonts w:ascii="Times New Roman" w:hAnsi="Times New Roman"/>
          <w:sz w:val="28"/>
          <w:szCs w:val="28"/>
        </w:rPr>
      </w:pPr>
    </w:p>
    <w:p w14:paraId="37C925C4" w14:textId="77777777" w:rsidR="007F553B" w:rsidRDefault="007F553B" w:rsidP="007F553B">
      <w:pPr>
        <w:pStyle w:val="LegalList1"/>
        <w:spacing w:line="240" w:lineRule="auto"/>
        <w:ind w:left="851"/>
        <w:rPr>
          <w:rFonts w:ascii="Times New Roman" w:hAnsi="Times New Roman"/>
          <w:sz w:val="28"/>
          <w:szCs w:val="28"/>
        </w:rPr>
      </w:pPr>
      <w:r w:rsidRPr="009E483B">
        <w:rPr>
          <w:rFonts w:ascii="Times New Roman" w:hAnsi="Times New Roman"/>
          <w:sz w:val="28"/>
          <w:szCs w:val="28"/>
        </w:rPr>
        <w:t>APPEARANCES:</w:t>
      </w:r>
    </w:p>
    <w:p w14:paraId="3ABA9E21" w14:textId="77777777" w:rsidR="001814D3" w:rsidRDefault="007F553B" w:rsidP="007F553B">
      <w:pPr>
        <w:ind w:left="851"/>
        <w:rPr>
          <w:rFonts w:ascii="Times New Roman" w:hAnsi="Times New Roman" w:cs="Times New Roman"/>
          <w:sz w:val="28"/>
          <w:szCs w:val="28"/>
        </w:rPr>
      </w:pPr>
      <w:r w:rsidRPr="000B3496">
        <w:rPr>
          <w:rFonts w:ascii="Times New Roman" w:hAnsi="Times New Roman" w:cs="Times New Roman"/>
          <w:sz w:val="28"/>
          <w:szCs w:val="28"/>
        </w:rPr>
        <w:t>For the Appellant:</w:t>
      </w:r>
      <w:r w:rsidRPr="000B3496">
        <w:rPr>
          <w:rFonts w:ascii="Times New Roman" w:hAnsi="Times New Roman" w:cs="Times New Roman"/>
          <w:sz w:val="28"/>
          <w:szCs w:val="28"/>
        </w:rPr>
        <w:tab/>
      </w:r>
      <w:r w:rsidRPr="000B3496">
        <w:rPr>
          <w:rFonts w:ascii="Times New Roman" w:hAnsi="Times New Roman" w:cs="Times New Roman"/>
          <w:sz w:val="28"/>
          <w:szCs w:val="28"/>
        </w:rPr>
        <w:tab/>
      </w:r>
      <w:r w:rsidR="001814D3">
        <w:rPr>
          <w:rFonts w:ascii="Times New Roman" w:hAnsi="Times New Roman" w:cs="Times New Roman"/>
          <w:sz w:val="28"/>
          <w:szCs w:val="28"/>
        </w:rPr>
        <w:t>P. Daubermann</w:t>
      </w:r>
    </w:p>
    <w:p w14:paraId="24512E3C" w14:textId="77777777" w:rsidR="007F553B" w:rsidRDefault="007F553B" w:rsidP="007F553B">
      <w:pPr>
        <w:ind w:left="851"/>
        <w:rPr>
          <w:rFonts w:ascii="Times New Roman" w:hAnsi="Times New Roman" w:cs="Times New Roman"/>
          <w:sz w:val="28"/>
          <w:szCs w:val="28"/>
        </w:rPr>
      </w:pPr>
      <w:r w:rsidRPr="000B3496">
        <w:rPr>
          <w:rFonts w:ascii="Times New Roman" w:hAnsi="Times New Roman" w:cs="Times New Roman"/>
          <w:sz w:val="28"/>
          <w:szCs w:val="28"/>
        </w:rPr>
        <w:tab/>
      </w:r>
      <w:r w:rsidRPr="000B3496">
        <w:rPr>
          <w:rFonts w:ascii="Times New Roman" w:hAnsi="Times New Roman" w:cs="Times New Roman"/>
          <w:sz w:val="28"/>
          <w:szCs w:val="28"/>
        </w:rPr>
        <w:tab/>
      </w:r>
      <w:r w:rsidRPr="000B3496">
        <w:rPr>
          <w:rFonts w:ascii="Times New Roman" w:hAnsi="Times New Roman" w:cs="Times New Roman"/>
          <w:sz w:val="28"/>
          <w:szCs w:val="28"/>
        </w:rPr>
        <w:tab/>
      </w:r>
      <w:r w:rsidRPr="000B3496">
        <w:rPr>
          <w:rFonts w:ascii="Times New Roman" w:hAnsi="Times New Roman" w:cs="Times New Roman"/>
          <w:sz w:val="28"/>
          <w:szCs w:val="28"/>
        </w:rPr>
        <w:tab/>
      </w:r>
      <w:r w:rsidRPr="000B3496">
        <w:rPr>
          <w:rFonts w:ascii="Times New Roman" w:hAnsi="Times New Roman" w:cs="Times New Roman"/>
          <w:sz w:val="28"/>
          <w:szCs w:val="28"/>
        </w:rPr>
        <w:tab/>
      </w:r>
      <w:r w:rsidR="001814D3">
        <w:rPr>
          <w:rFonts w:ascii="Times New Roman" w:hAnsi="Times New Roman" w:cs="Times New Roman"/>
          <w:sz w:val="28"/>
          <w:szCs w:val="28"/>
        </w:rPr>
        <w:t>P. Daubermann Attorneys</w:t>
      </w:r>
    </w:p>
    <w:p w14:paraId="596769E5" w14:textId="77777777" w:rsidR="007F553B" w:rsidRDefault="007F553B" w:rsidP="007F553B">
      <w:pPr>
        <w:ind w:left="85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814D3">
        <w:rPr>
          <w:rFonts w:ascii="Times New Roman" w:hAnsi="Times New Roman" w:cs="Times New Roman"/>
          <w:sz w:val="28"/>
          <w:szCs w:val="28"/>
        </w:rPr>
        <w:t>Gqeberha</w:t>
      </w:r>
    </w:p>
    <w:p w14:paraId="6F565593" w14:textId="77777777" w:rsidR="007F553B" w:rsidRPr="000B3496" w:rsidRDefault="007F553B" w:rsidP="007F553B">
      <w:pPr>
        <w:ind w:left="851"/>
        <w:rPr>
          <w:rFonts w:ascii="Times New Roman" w:hAnsi="Times New Roman" w:cs="Times New Roman"/>
          <w:sz w:val="28"/>
          <w:szCs w:val="28"/>
        </w:rPr>
      </w:pPr>
    </w:p>
    <w:p w14:paraId="5E1DCB02" w14:textId="77777777" w:rsidR="007F553B" w:rsidRPr="000B3496" w:rsidRDefault="007F553B" w:rsidP="007F553B">
      <w:pPr>
        <w:ind w:left="851"/>
        <w:rPr>
          <w:rFonts w:ascii="Times New Roman" w:hAnsi="Times New Roman" w:cs="Times New Roman"/>
          <w:sz w:val="28"/>
          <w:szCs w:val="28"/>
        </w:rPr>
      </w:pPr>
      <w:r w:rsidRPr="000B3496">
        <w:rPr>
          <w:rFonts w:ascii="Times New Roman" w:hAnsi="Times New Roman" w:cs="Times New Roman"/>
          <w:sz w:val="28"/>
          <w:szCs w:val="28"/>
        </w:rPr>
        <w:t>For the Respondent:</w:t>
      </w:r>
      <w:r w:rsidRPr="000B3496">
        <w:rPr>
          <w:rFonts w:ascii="Times New Roman" w:hAnsi="Times New Roman" w:cs="Times New Roman"/>
          <w:sz w:val="28"/>
          <w:szCs w:val="28"/>
        </w:rPr>
        <w:tab/>
      </w:r>
      <w:r w:rsidRPr="000B3496">
        <w:rPr>
          <w:rFonts w:ascii="Times New Roman" w:hAnsi="Times New Roman" w:cs="Times New Roman"/>
          <w:sz w:val="28"/>
          <w:szCs w:val="28"/>
        </w:rPr>
        <w:tab/>
      </w:r>
      <w:r w:rsidR="00462DFD">
        <w:rPr>
          <w:rFonts w:ascii="Times New Roman" w:hAnsi="Times New Roman" w:cs="Times New Roman"/>
          <w:sz w:val="28"/>
          <w:szCs w:val="28"/>
        </w:rPr>
        <w:t>M. Stander</w:t>
      </w:r>
    </w:p>
    <w:p w14:paraId="3801E711" w14:textId="77777777" w:rsidR="00462DFD" w:rsidRDefault="00462DFD" w:rsidP="007F553B">
      <w:pPr>
        <w:ind w:left="4320"/>
        <w:rPr>
          <w:rFonts w:ascii="Times New Roman" w:hAnsi="Times New Roman" w:cs="Times New Roman"/>
          <w:sz w:val="28"/>
          <w:szCs w:val="28"/>
        </w:rPr>
      </w:pPr>
      <w:r>
        <w:rPr>
          <w:rFonts w:ascii="Times New Roman" w:hAnsi="Times New Roman" w:cs="Times New Roman"/>
          <w:sz w:val="28"/>
          <w:szCs w:val="28"/>
        </w:rPr>
        <w:t xml:space="preserve">Office of the Director of Public Prosecutions </w:t>
      </w:r>
    </w:p>
    <w:p w14:paraId="3C0A3AC3" w14:textId="77777777" w:rsidR="00462DFD" w:rsidRDefault="00462DFD" w:rsidP="007F553B">
      <w:pPr>
        <w:ind w:left="4320"/>
        <w:rPr>
          <w:rFonts w:ascii="Times New Roman" w:hAnsi="Times New Roman" w:cs="Times New Roman"/>
          <w:sz w:val="28"/>
          <w:szCs w:val="28"/>
        </w:rPr>
      </w:pPr>
      <w:r>
        <w:rPr>
          <w:rFonts w:ascii="Times New Roman" w:hAnsi="Times New Roman" w:cs="Times New Roman"/>
          <w:sz w:val="28"/>
          <w:szCs w:val="28"/>
        </w:rPr>
        <w:t>Gqeberha</w:t>
      </w:r>
    </w:p>
    <w:p w14:paraId="6F7D1E88" w14:textId="77777777" w:rsidR="007F553B" w:rsidRDefault="007F553B" w:rsidP="007F553B">
      <w:pPr>
        <w:rPr>
          <w:rFonts w:ascii="Times New Roman" w:hAnsi="Times New Roman" w:cs="Times New Roman"/>
          <w:sz w:val="28"/>
          <w:szCs w:val="28"/>
        </w:rPr>
      </w:pPr>
    </w:p>
    <w:p w14:paraId="2E09437D" w14:textId="77777777" w:rsidR="007F553B" w:rsidRDefault="007F553B" w:rsidP="007F553B">
      <w:pPr>
        <w:rPr>
          <w:rFonts w:ascii="Times New Roman" w:hAnsi="Times New Roman" w:cs="Times New Roman"/>
          <w:sz w:val="28"/>
          <w:szCs w:val="28"/>
        </w:rPr>
      </w:pPr>
    </w:p>
    <w:p w14:paraId="346EE475" w14:textId="77777777" w:rsidR="007F553B" w:rsidRDefault="007F553B" w:rsidP="00CD0F53">
      <w:pPr>
        <w:ind w:left="851"/>
        <w:rPr>
          <w:rFonts w:ascii="Times New Roman" w:hAnsi="Times New Roman" w:cs="Times New Roman"/>
          <w:sz w:val="28"/>
          <w:szCs w:val="28"/>
        </w:rPr>
      </w:pPr>
      <w:r>
        <w:rPr>
          <w:rFonts w:ascii="Times New Roman" w:hAnsi="Times New Roman" w:cs="Times New Roman"/>
          <w:sz w:val="28"/>
          <w:szCs w:val="28"/>
        </w:rPr>
        <w:t>Date heard: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62DFD">
        <w:rPr>
          <w:rFonts w:ascii="Times New Roman" w:hAnsi="Times New Roman" w:cs="Times New Roman"/>
          <w:sz w:val="28"/>
          <w:szCs w:val="28"/>
        </w:rPr>
        <w:t>09 September 2022</w:t>
      </w:r>
    </w:p>
    <w:p w14:paraId="1D3F3260" w14:textId="77777777" w:rsidR="007F553B" w:rsidRDefault="007F553B" w:rsidP="00CD0F53">
      <w:pPr>
        <w:ind w:left="720"/>
        <w:rPr>
          <w:rFonts w:ascii="Times New Roman" w:hAnsi="Times New Roman" w:cs="Times New Roman"/>
          <w:sz w:val="28"/>
          <w:szCs w:val="28"/>
        </w:rPr>
      </w:pPr>
    </w:p>
    <w:p w14:paraId="1C7C467F" w14:textId="77777777" w:rsidR="007F553B" w:rsidRDefault="007F553B" w:rsidP="00CD0F53">
      <w:pPr>
        <w:ind w:left="851"/>
        <w:rPr>
          <w:rFonts w:ascii="Times New Roman" w:hAnsi="Times New Roman" w:cs="Times New Roman"/>
          <w:sz w:val="28"/>
          <w:szCs w:val="28"/>
        </w:rPr>
      </w:pPr>
      <w:r>
        <w:rPr>
          <w:rFonts w:ascii="Times New Roman" w:hAnsi="Times New Roman" w:cs="Times New Roman"/>
          <w:sz w:val="28"/>
          <w:szCs w:val="28"/>
        </w:rPr>
        <w:t>Date delivered: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45F47">
        <w:rPr>
          <w:rFonts w:ascii="Times New Roman" w:hAnsi="Times New Roman" w:cs="Times New Roman"/>
          <w:sz w:val="28"/>
          <w:szCs w:val="28"/>
        </w:rPr>
        <w:t>0</w:t>
      </w:r>
      <w:r w:rsidR="00F9267C">
        <w:rPr>
          <w:rFonts w:ascii="Times New Roman" w:hAnsi="Times New Roman" w:cs="Times New Roman"/>
          <w:sz w:val="28"/>
          <w:szCs w:val="28"/>
        </w:rPr>
        <w:t>4</w:t>
      </w:r>
      <w:r>
        <w:rPr>
          <w:rFonts w:ascii="Times New Roman" w:hAnsi="Times New Roman" w:cs="Times New Roman"/>
          <w:sz w:val="28"/>
          <w:szCs w:val="28"/>
        </w:rPr>
        <w:t xml:space="preserve"> </w:t>
      </w:r>
      <w:r w:rsidR="00A45F47">
        <w:rPr>
          <w:rFonts w:ascii="Times New Roman" w:hAnsi="Times New Roman" w:cs="Times New Roman"/>
          <w:sz w:val="28"/>
          <w:szCs w:val="28"/>
        </w:rPr>
        <w:t xml:space="preserve">October </w:t>
      </w:r>
      <w:r>
        <w:rPr>
          <w:rFonts w:ascii="Times New Roman" w:hAnsi="Times New Roman" w:cs="Times New Roman"/>
          <w:sz w:val="28"/>
          <w:szCs w:val="28"/>
        </w:rPr>
        <w:t>2022</w:t>
      </w:r>
    </w:p>
    <w:p w14:paraId="66A943C3" w14:textId="77777777" w:rsidR="007F553B" w:rsidRDefault="007F553B" w:rsidP="007F553B">
      <w:pPr>
        <w:pStyle w:val="LegalList1"/>
        <w:spacing w:line="360" w:lineRule="auto"/>
        <w:rPr>
          <w:rFonts w:ascii="Times New Roman" w:hAnsi="Times New Roman"/>
          <w:sz w:val="28"/>
          <w:szCs w:val="28"/>
        </w:rPr>
      </w:pPr>
    </w:p>
    <w:p w14:paraId="06997093" w14:textId="77777777" w:rsidR="007F553B" w:rsidRDefault="007F553B" w:rsidP="007F553B">
      <w:pPr>
        <w:pStyle w:val="LegalList1"/>
        <w:spacing w:line="360" w:lineRule="auto"/>
        <w:rPr>
          <w:rFonts w:ascii="Times New Roman" w:hAnsi="Times New Roman"/>
          <w:sz w:val="28"/>
          <w:szCs w:val="28"/>
        </w:rPr>
      </w:pPr>
    </w:p>
    <w:p w14:paraId="47807DFC" w14:textId="77777777" w:rsidR="007F553B" w:rsidRPr="003328A3" w:rsidRDefault="007F553B" w:rsidP="00522840">
      <w:pPr>
        <w:rPr>
          <w:sz w:val="28"/>
          <w:szCs w:val="28"/>
        </w:rPr>
      </w:pPr>
    </w:p>
    <w:sectPr w:rsidR="007F553B" w:rsidRPr="003328A3" w:rsidSect="00A572D4">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F24AE" w14:textId="77777777" w:rsidR="00EB1B55" w:rsidRDefault="00EB1B55" w:rsidP="00354A12">
      <w:pPr>
        <w:spacing w:line="240" w:lineRule="auto"/>
      </w:pPr>
      <w:r>
        <w:separator/>
      </w:r>
    </w:p>
  </w:endnote>
  <w:endnote w:type="continuationSeparator" w:id="0">
    <w:p w14:paraId="29FB4DE2" w14:textId="77777777" w:rsidR="00EB1B55" w:rsidRDefault="00EB1B55" w:rsidP="00354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7D854" w14:textId="77777777" w:rsidR="00EB1B55" w:rsidRDefault="00EB1B55" w:rsidP="00354A12">
      <w:pPr>
        <w:spacing w:line="240" w:lineRule="auto"/>
      </w:pPr>
      <w:r>
        <w:separator/>
      </w:r>
    </w:p>
  </w:footnote>
  <w:footnote w:type="continuationSeparator" w:id="0">
    <w:p w14:paraId="0E103814" w14:textId="77777777" w:rsidR="00EB1B55" w:rsidRDefault="00EB1B55" w:rsidP="00354A12">
      <w:pPr>
        <w:spacing w:line="240" w:lineRule="auto"/>
      </w:pPr>
      <w:r>
        <w:continuationSeparator/>
      </w:r>
    </w:p>
  </w:footnote>
  <w:footnote w:id="1">
    <w:p w14:paraId="605EE77D" w14:textId="77777777" w:rsidR="00B85913" w:rsidRDefault="00B85913">
      <w:pPr>
        <w:pStyle w:val="FootnoteText"/>
      </w:pPr>
      <w:r>
        <w:rPr>
          <w:rStyle w:val="FootnoteReference"/>
        </w:rPr>
        <w:footnoteRef/>
      </w:r>
      <w:r>
        <w:t xml:space="preserve"> </w:t>
      </w:r>
      <w:r w:rsidR="00953253">
        <w:t xml:space="preserve">See </w:t>
      </w:r>
      <w:r w:rsidR="0029035B">
        <w:t>Criminal Justice Review No. 2 of 2017 at page 9</w:t>
      </w:r>
      <w:r w:rsidR="00953253">
        <w:t xml:space="preserve">’ </w:t>
      </w:r>
      <w:r w:rsidR="00953253" w:rsidRPr="00953253">
        <w:rPr>
          <w:i/>
        </w:rPr>
        <w:t>New facts for purposes of a bail application: Principles, issues and procedures’</w:t>
      </w:r>
      <w:r w:rsidR="00953253">
        <w:t>, by Steph van der Merwe</w:t>
      </w:r>
    </w:p>
  </w:footnote>
  <w:footnote w:id="2">
    <w:p w14:paraId="33E39647" w14:textId="77777777" w:rsidR="004A20A3" w:rsidRDefault="004A20A3">
      <w:pPr>
        <w:pStyle w:val="FootnoteText"/>
      </w:pPr>
      <w:r>
        <w:rPr>
          <w:rStyle w:val="FootnoteReference"/>
        </w:rPr>
        <w:footnoteRef/>
      </w:r>
      <w:r>
        <w:t xml:space="preserve"> As he then was.</w:t>
      </w:r>
    </w:p>
  </w:footnote>
  <w:footnote w:id="3">
    <w:p w14:paraId="3D0902E7" w14:textId="77777777" w:rsidR="009B7548" w:rsidRDefault="009B7548">
      <w:pPr>
        <w:pStyle w:val="FootnoteText"/>
      </w:pPr>
      <w:r>
        <w:rPr>
          <w:rStyle w:val="FootnoteReference"/>
        </w:rPr>
        <w:footnoteRef/>
      </w:r>
      <w:r>
        <w:t xml:space="preserve"> The opposing affidavit appears in volume 1 of the record as Annexure ‘D’ at page 73 </w:t>
      </w:r>
      <w:r w:rsidRPr="009B7548">
        <w:rPr>
          <w:i/>
        </w:rPr>
        <w:t>et seq</w:t>
      </w:r>
    </w:p>
  </w:footnote>
  <w:footnote w:id="4">
    <w:p w14:paraId="1DC11AFB" w14:textId="77777777" w:rsidR="00264A49" w:rsidRDefault="00264A49">
      <w:pPr>
        <w:pStyle w:val="FootnoteText"/>
      </w:pPr>
      <w:r>
        <w:rPr>
          <w:rStyle w:val="FootnoteReference"/>
        </w:rPr>
        <w:footnoteRef/>
      </w:r>
      <w:r>
        <w:t xml:space="preserve"> </w:t>
      </w:r>
      <w:r w:rsidR="00E45287">
        <w:t>The persons are mentioned in the magistrate’s judgment at page 362</w:t>
      </w:r>
      <w:r w:rsidR="00BC5F34">
        <w:t xml:space="preserve">, and the totality of the evidential material, including electronically retrieved information, placed by the appellant before the magistrate </w:t>
      </w:r>
      <w:r w:rsidR="005D4883">
        <w:t>is detailed in paragraph 21 of the respondent’s heads of argument filed in this court on 2 September 2022</w:t>
      </w:r>
    </w:p>
  </w:footnote>
  <w:footnote w:id="5">
    <w:p w14:paraId="1434D877" w14:textId="77777777" w:rsidR="0094571D" w:rsidRDefault="0094571D">
      <w:pPr>
        <w:pStyle w:val="FootnoteText"/>
      </w:pPr>
      <w:r>
        <w:rPr>
          <w:rStyle w:val="FootnoteReference"/>
        </w:rPr>
        <w:footnoteRef/>
      </w:r>
      <w:r>
        <w:t xml:space="preserve"> Compare </w:t>
      </w:r>
      <w:r w:rsidRPr="00D20F4F">
        <w:rPr>
          <w:i/>
        </w:rPr>
        <w:t>S v Petersen</w:t>
      </w:r>
      <w:r>
        <w:t xml:space="preserve"> 2008 (2) SACR 365 (C) at paragraphs [57]</w:t>
      </w:r>
    </w:p>
  </w:footnote>
  <w:footnote w:id="6">
    <w:p w14:paraId="4A61196F" w14:textId="77777777" w:rsidR="006628BD" w:rsidRDefault="006628BD" w:rsidP="006628BD">
      <w:pPr>
        <w:pStyle w:val="FootnoteText"/>
      </w:pPr>
      <w:r>
        <w:rPr>
          <w:rStyle w:val="FootnoteReference"/>
        </w:rPr>
        <w:footnoteRef/>
      </w:r>
      <w:r>
        <w:t xml:space="preserve"> The material is detailed in paragraph 21 of the respondent’s heads of argument.</w:t>
      </w:r>
    </w:p>
  </w:footnote>
  <w:footnote w:id="7">
    <w:p w14:paraId="0A1986C0" w14:textId="77777777" w:rsidR="004D5B8C" w:rsidRDefault="004D5B8C" w:rsidP="00D34E33">
      <w:pPr>
        <w:pStyle w:val="FootnoteText"/>
        <w:jc w:val="both"/>
      </w:pPr>
      <w:r>
        <w:rPr>
          <w:rStyle w:val="FootnoteReference"/>
        </w:rPr>
        <w:footnoteRef/>
      </w:r>
      <w:r>
        <w:t xml:space="preserve"> Compare </w:t>
      </w:r>
      <w:r w:rsidRPr="00D20F4F">
        <w:rPr>
          <w:i/>
        </w:rPr>
        <w:t>Moto Health Care Medical Scheme v HMI Healthcare Corporation (Pty) Ltd and Others</w:t>
      </w:r>
      <w:r>
        <w:t xml:space="preserve"> (341/18) [2019] ZASCA 87 (31 May 2019) at paragraph [37] in which </w:t>
      </w:r>
      <w:r w:rsidRPr="00D20F4F">
        <w:rPr>
          <w:i/>
        </w:rPr>
        <w:t>Thompson v South African Broadcasting Corporation</w:t>
      </w:r>
      <w:r w:rsidR="007427DB">
        <w:t xml:space="preserve"> 2001 (3) SA 746 (SCA) at paragraph [7] was cited with approval</w:t>
      </w:r>
    </w:p>
  </w:footnote>
  <w:footnote w:id="8">
    <w:p w14:paraId="10533BE9" w14:textId="77777777" w:rsidR="003D6D4D" w:rsidRDefault="003D6D4D" w:rsidP="00D34E33">
      <w:pPr>
        <w:pStyle w:val="FootnoteText"/>
        <w:jc w:val="both"/>
      </w:pPr>
      <w:r>
        <w:rPr>
          <w:rStyle w:val="FootnoteReference"/>
        </w:rPr>
        <w:footnoteRef/>
      </w:r>
      <w:r>
        <w:t xml:space="preserve"> Volume 3 page 3</w:t>
      </w:r>
      <w:r w:rsidR="00647620">
        <w:t xml:space="preserve">:18 - page </w:t>
      </w:r>
      <w:r>
        <w:t>4</w:t>
      </w:r>
      <w:r w:rsidR="00647620">
        <w:t>:3</w:t>
      </w:r>
    </w:p>
  </w:footnote>
  <w:footnote w:id="9">
    <w:p w14:paraId="642E0A0C" w14:textId="77777777" w:rsidR="003D6D4D" w:rsidRDefault="003D6D4D" w:rsidP="00D34E33">
      <w:pPr>
        <w:pStyle w:val="FootnoteText"/>
        <w:jc w:val="both"/>
      </w:pPr>
      <w:r>
        <w:rPr>
          <w:rStyle w:val="FootnoteReference"/>
        </w:rPr>
        <w:footnoteRef/>
      </w:r>
      <w:r>
        <w:t xml:space="preserve"> Volume 3 page 209:19-24</w:t>
      </w:r>
    </w:p>
  </w:footnote>
  <w:footnote w:id="10">
    <w:p w14:paraId="5544553C" w14:textId="77777777" w:rsidR="00362C64" w:rsidRDefault="00362C64">
      <w:pPr>
        <w:pStyle w:val="FootnoteText"/>
      </w:pPr>
      <w:r>
        <w:rPr>
          <w:rStyle w:val="FootnoteReference"/>
        </w:rPr>
        <w:footnoteRef/>
      </w:r>
      <w:r>
        <w:t xml:space="preserve"> </w:t>
      </w:r>
      <w:r w:rsidRPr="00D20F4F">
        <w:rPr>
          <w:i/>
        </w:rPr>
        <w:t xml:space="preserve">S v Vermaas </w:t>
      </w:r>
      <w:r>
        <w:t>1996 (1) SACR 528 (T) at page 531e-f</w:t>
      </w:r>
    </w:p>
  </w:footnote>
  <w:footnote w:id="11">
    <w:p w14:paraId="3986C7B2" w14:textId="77777777" w:rsidR="0059206E" w:rsidRDefault="0059206E">
      <w:pPr>
        <w:pStyle w:val="FootnoteText"/>
      </w:pPr>
      <w:r>
        <w:rPr>
          <w:rStyle w:val="FootnoteReference"/>
        </w:rPr>
        <w:footnoteRef/>
      </w:r>
      <w:r>
        <w:t xml:space="preserve"> Compare </w:t>
      </w:r>
      <w:r w:rsidRPr="00D20F4F">
        <w:rPr>
          <w:i/>
        </w:rPr>
        <w:t xml:space="preserve">Nwabunwanne v S </w:t>
      </w:r>
      <w:r>
        <w:t>2017 (2) SACR 124 (NCK) at paragraph [29]</w:t>
      </w:r>
    </w:p>
  </w:footnote>
  <w:footnote w:id="12">
    <w:p w14:paraId="02A7DCE5" w14:textId="77777777" w:rsidR="00924713" w:rsidRDefault="00924713">
      <w:pPr>
        <w:pStyle w:val="FootnoteText"/>
      </w:pPr>
      <w:r>
        <w:rPr>
          <w:rStyle w:val="FootnoteReference"/>
        </w:rPr>
        <w:footnoteRef/>
      </w:r>
      <w:r>
        <w:t xml:space="preserve"> This presupposes that the appellant will discharge the onus upon a balance of probabilities – </w:t>
      </w:r>
      <w:r w:rsidRPr="00924713">
        <w:rPr>
          <w:i/>
        </w:rPr>
        <w:t>S v Jonas and Others</w:t>
      </w:r>
      <w:r>
        <w:t xml:space="preserve"> 1998 (2) SACR 677 (SE) at page 679g</w:t>
      </w:r>
    </w:p>
  </w:footnote>
  <w:footnote w:id="13">
    <w:p w14:paraId="7CD1FFE0" w14:textId="77777777" w:rsidR="00BF706C" w:rsidRDefault="00BF706C" w:rsidP="00D34E33">
      <w:pPr>
        <w:pStyle w:val="FootnoteText"/>
        <w:jc w:val="both"/>
      </w:pPr>
      <w:r>
        <w:rPr>
          <w:rStyle w:val="FootnoteReference"/>
        </w:rPr>
        <w:footnoteRef/>
      </w:r>
      <w:r w:rsidR="007A7449">
        <w:t xml:space="preserve"> </w:t>
      </w:r>
      <w:r w:rsidR="007A7449" w:rsidRPr="00D20F4F">
        <w:rPr>
          <w:i/>
        </w:rPr>
        <w:t>C[…] and Another v The State</w:t>
      </w:r>
      <w:r w:rsidR="007A7449">
        <w:t xml:space="preserve"> (SS013/2021) [2021] ZAGPJHC 125 (26 July 2021) at paragraphs [8] and [9]</w:t>
      </w:r>
      <w:r w:rsidR="00C06B6F">
        <w:t>, and compare</w:t>
      </w:r>
      <w:r w:rsidR="0018112E">
        <w:t xml:space="preserve"> </w:t>
      </w:r>
      <w:r w:rsidR="0018112E" w:rsidRPr="00D20F4F">
        <w:rPr>
          <w:i/>
        </w:rPr>
        <w:t>S v Mgumbi</w:t>
      </w:r>
      <w:r w:rsidR="0018112E">
        <w:t xml:space="preserve"> 2022 (1) SACR 478 (WCC) at paragraphs [21]-[27]</w:t>
      </w:r>
    </w:p>
  </w:footnote>
  <w:footnote w:id="14">
    <w:p w14:paraId="1F52278B" w14:textId="77777777" w:rsidR="00841B24" w:rsidRDefault="00841B24">
      <w:pPr>
        <w:pStyle w:val="FootnoteText"/>
      </w:pPr>
      <w:r>
        <w:rPr>
          <w:rStyle w:val="FootnoteReference"/>
        </w:rPr>
        <w:footnoteRef/>
      </w:r>
      <w:r>
        <w:t xml:space="preserve"> </w:t>
      </w:r>
      <w:r w:rsidRPr="00841B24">
        <w:rPr>
          <w:i/>
        </w:rPr>
        <w:t xml:space="preserve">S v Jonas supra </w:t>
      </w:r>
      <w:r>
        <w:t>at page 680d</w:t>
      </w:r>
    </w:p>
  </w:footnote>
  <w:footnote w:id="15">
    <w:p w14:paraId="2DC3D0F2" w14:textId="77777777" w:rsidR="00DF176A" w:rsidRDefault="00DF176A" w:rsidP="00DF176A">
      <w:pPr>
        <w:pStyle w:val="FootnoteText"/>
      </w:pPr>
      <w:r>
        <w:rPr>
          <w:rStyle w:val="FootnoteReference"/>
        </w:rPr>
        <w:footnoteRef/>
      </w:r>
      <w:r>
        <w:t xml:space="preserve"> As detailed by the material identified in paragraph 21 of the respondent’s heads of argument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365982"/>
      <w:docPartObj>
        <w:docPartGallery w:val="Page Numbers (Top of Page)"/>
        <w:docPartUnique/>
      </w:docPartObj>
    </w:sdtPr>
    <w:sdtEndPr>
      <w:rPr>
        <w:noProof/>
      </w:rPr>
    </w:sdtEndPr>
    <w:sdtContent>
      <w:p w14:paraId="352FC31F" w14:textId="77777777" w:rsidR="00A572D4" w:rsidRDefault="00A572D4">
        <w:pPr>
          <w:pStyle w:val="Header"/>
          <w:jc w:val="center"/>
        </w:pPr>
        <w:r>
          <w:fldChar w:fldCharType="begin"/>
        </w:r>
        <w:r>
          <w:instrText xml:space="preserve"> PAGE   \* MERGEFORMAT </w:instrText>
        </w:r>
        <w:r>
          <w:fldChar w:fldCharType="separate"/>
        </w:r>
        <w:r w:rsidR="001854F6">
          <w:rPr>
            <w:noProof/>
          </w:rPr>
          <w:t>2</w:t>
        </w:r>
        <w:r>
          <w:rPr>
            <w:noProof/>
          </w:rPr>
          <w:fldChar w:fldCharType="end"/>
        </w:r>
      </w:p>
    </w:sdtContent>
  </w:sdt>
  <w:p w14:paraId="045D5B0D" w14:textId="77777777" w:rsidR="00A572D4" w:rsidRDefault="00A57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F74BF"/>
    <w:multiLevelType w:val="hybridMultilevel"/>
    <w:tmpl w:val="1DC42C5C"/>
    <w:lvl w:ilvl="0" w:tplc="3D7E6C6E">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 w15:restartNumberingAfterBreak="0">
    <w:nsid w:val="451C0287"/>
    <w:multiLevelType w:val="multilevel"/>
    <w:tmpl w:val="D0DE572A"/>
    <w:lvl w:ilvl="0">
      <w:start w:val="1"/>
      <w:numFmt w:val="decimal"/>
      <w:lvlText w:val="[%1]"/>
      <w:lvlJc w:val="left"/>
      <w:pPr>
        <w:tabs>
          <w:tab w:val="num" w:pos="567"/>
        </w:tabs>
        <w:ind w:left="567" w:hanging="567"/>
      </w:pPr>
      <w:rPr>
        <w:rFonts w:hint="default"/>
        <w:b w:val="0"/>
        <w:i w:val="0"/>
      </w:rPr>
    </w:lvl>
    <w:lvl w:ilvl="1">
      <w:start w:val="1"/>
      <w:numFmt w:val="lowerLetter"/>
      <w:pStyle w:val="LegalHeading2"/>
      <w:lvlText w:val="(%2)"/>
      <w:lvlJc w:val="left"/>
      <w:pPr>
        <w:tabs>
          <w:tab w:val="num" w:pos="2269"/>
        </w:tabs>
        <w:ind w:left="2269" w:hanging="1134"/>
      </w:pPr>
      <w:rPr>
        <w:rFonts w:ascii="Arial" w:eastAsia="Times New Roman" w:hAnsi="Arial" w:cs="Times New Roman"/>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 w15:restartNumberingAfterBreak="0">
    <w:nsid w:val="5A647AD1"/>
    <w:multiLevelType w:val="hybridMultilevel"/>
    <w:tmpl w:val="F38A8822"/>
    <w:lvl w:ilvl="0" w:tplc="1C09000F">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5FFA54CB"/>
    <w:multiLevelType w:val="hybridMultilevel"/>
    <w:tmpl w:val="6F80F760"/>
    <w:lvl w:ilvl="0" w:tplc="67ACB7C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15:restartNumberingAfterBreak="0">
    <w:nsid w:val="63FD245B"/>
    <w:multiLevelType w:val="hybridMultilevel"/>
    <w:tmpl w:val="DBB668F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44D205C"/>
    <w:multiLevelType w:val="hybridMultilevel"/>
    <w:tmpl w:val="5C0829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0946249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163307">
    <w:abstractNumId w:val="1"/>
  </w:num>
  <w:num w:numId="3" w16cid:durableId="817455131">
    <w:abstractNumId w:val="0"/>
  </w:num>
  <w:num w:numId="4" w16cid:durableId="503784440">
    <w:abstractNumId w:val="4"/>
  </w:num>
  <w:num w:numId="5" w16cid:durableId="1506090868">
    <w:abstractNumId w:val="5"/>
  </w:num>
  <w:num w:numId="6" w16cid:durableId="976452992">
    <w:abstractNumId w:val="2"/>
  </w:num>
  <w:num w:numId="7" w16cid:durableId="686561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909C344-70D5-4B1B-AA5F-C9886563EA3C}"/>
    <w:docVar w:name="dgnword-eventsink" w:val="173133064"/>
  </w:docVars>
  <w:rsids>
    <w:rsidRoot w:val="00354A12"/>
    <w:rsid w:val="000006AD"/>
    <w:rsid w:val="00010849"/>
    <w:rsid w:val="000116B2"/>
    <w:rsid w:val="00017842"/>
    <w:rsid w:val="000179AE"/>
    <w:rsid w:val="0004291C"/>
    <w:rsid w:val="000473AF"/>
    <w:rsid w:val="00050FB8"/>
    <w:rsid w:val="00051D2D"/>
    <w:rsid w:val="00066205"/>
    <w:rsid w:val="00066F15"/>
    <w:rsid w:val="00073169"/>
    <w:rsid w:val="0008170B"/>
    <w:rsid w:val="0008504D"/>
    <w:rsid w:val="0009010A"/>
    <w:rsid w:val="000927E3"/>
    <w:rsid w:val="00092D95"/>
    <w:rsid w:val="00092E5E"/>
    <w:rsid w:val="000979F0"/>
    <w:rsid w:val="000A3F8A"/>
    <w:rsid w:val="000A5FF8"/>
    <w:rsid w:val="000A73B6"/>
    <w:rsid w:val="000B0198"/>
    <w:rsid w:val="000B095C"/>
    <w:rsid w:val="000B0F4D"/>
    <w:rsid w:val="000B180D"/>
    <w:rsid w:val="000B3BA1"/>
    <w:rsid w:val="000B4933"/>
    <w:rsid w:val="000B57A5"/>
    <w:rsid w:val="000B789C"/>
    <w:rsid w:val="000D1DCE"/>
    <w:rsid w:val="000D4D16"/>
    <w:rsid w:val="000D5AE7"/>
    <w:rsid w:val="000D6DA7"/>
    <w:rsid w:val="000E054D"/>
    <w:rsid w:val="000E0704"/>
    <w:rsid w:val="00101EE3"/>
    <w:rsid w:val="00124A8F"/>
    <w:rsid w:val="00131176"/>
    <w:rsid w:val="0014134F"/>
    <w:rsid w:val="001425E0"/>
    <w:rsid w:val="00143ED4"/>
    <w:rsid w:val="00154385"/>
    <w:rsid w:val="00164ADC"/>
    <w:rsid w:val="00164F95"/>
    <w:rsid w:val="00166A9F"/>
    <w:rsid w:val="00167BDA"/>
    <w:rsid w:val="001724AF"/>
    <w:rsid w:val="0018112E"/>
    <w:rsid w:val="001814D3"/>
    <w:rsid w:val="00184E82"/>
    <w:rsid w:val="001854F6"/>
    <w:rsid w:val="00191B75"/>
    <w:rsid w:val="001B21C4"/>
    <w:rsid w:val="001B2FE7"/>
    <w:rsid w:val="001C4A6A"/>
    <w:rsid w:val="001D055A"/>
    <w:rsid w:val="001D2873"/>
    <w:rsid w:val="001D5197"/>
    <w:rsid w:val="001D7605"/>
    <w:rsid w:val="001E5850"/>
    <w:rsid w:val="001E6391"/>
    <w:rsid w:val="001F26FC"/>
    <w:rsid w:val="001F4761"/>
    <w:rsid w:val="00204D42"/>
    <w:rsid w:val="00216E82"/>
    <w:rsid w:val="002276B3"/>
    <w:rsid w:val="00231181"/>
    <w:rsid w:val="00254848"/>
    <w:rsid w:val="00264A49"/>
    <w:rsid w:val="002653D2"/>
    <w:rsid w:val="00267C51"/>
    <w:rsid w:val="00285716"/>
    <w:rsid w:val="0029035B"/>
    <w:rsid w:val="002932F7"/>
    <w:rsid w:val="00297A19"/>
    <w:rsid w:val="00297AD0"/>
    <w:rsid w:val="002A21A5"/>
    <w:rsid w:val="002A3B9F"/>
    <w:rsid w:val="002A4A0A"/>
    <w:rsid w:val="002B7A11"/>
    <w:rsid w:val="002D2F2A"/>
    <w:rsid w:val="002D391B"/>
    <w:rsid w:val="002D4B3F"/>
    <w:rsid w:val="002F7334"/>
    <w:rsid w:val="00302B93"/>
    <w:rsid w:val="00304521"/>
    <w:rsid w:val="00306315"/>
    <w:rsid w:val="00310BB2"/>
    <w:rsid w:val="00324991"/>
    <w:rsid w:val="003250EC"/>
    <w:rsid w:val="00330A28"/>
    <w:rsid w:val="003328A3"/>
    <w:rsid w:val="00340B72"/>
    <w:rsid w:val="003415EB"/>
    <w:rsid w:val="00341842"/>
    <w:rsid w:val="00345F77"/>
    <w:rsid w:val="00354A12"/>
    <w:rsid w:val="0036264C"/>
    <w:rsid w:val="00362C64"/>
    <w:rsid w:val="00364461"/>
    <w:rsid w:val="003644DF"/>
    <w:rsid w:val="00367DAC"/>
    <w:rsid w:val="003737E1"/>
    <w:rsid w:val="00375A43"/>
    <w:rsid w:val="0038083C"/>
    <w:rsid w:val="00383166"/>
    <w:rsid w:val="0038648B"/>
    <w:rsid w:val="0038713E"/>
    <w:rsid w:val="003937BF"/>
    <w:rsid w:val="00393A03"/>
    <w:rsid w:val="003C3BAD"/>
    <w:rsid w:val="003C729B"/>
    <w:rsid w:val="003C756A"/>
    <w:rsid w:val="003D5D1F"/>
    <w:rsid w:val="003D6D4D"/>
    <w:rsid w:val="003E228C"/>
    <w:rsid w:val="003E30B9"/>
    <w:rsid w:val="003E3543"/>
    <w:rsid w:val="004004A7"/>
    <w:rsid w:val="004019A0"/>
    <w:rsid w:val="00404876"/>
    <w:rsid w:val="004053FC"/>
    <w:rsid w:val="00406561"/>
    <w:rsid w:val="0042108A"/>
    <w:rsid w:val="0042406B"/>
    <w:rsid w:val="0042411C"/>
    <w:rsid w:val="004313DE"/>
    <w:rsid w:val="00450650"/>
    <w:rsid w:val="004577A4"/>
    <w:rsid w:val="00462B78"/>
    <w:rsid w:val="00462DFD"/>
    <w:rsid w:val="00471E44"/>
    <w:rsid w:val="00476834"/>
    <w:rsid w:val="0047685D"/>
    <w:rsid w:val="004804E0"/>
    <w:rsid w:val="004861E0"/>
    <w:rsid w:val="00486FC8"/>
    <w:rsid w:val="00495F77"/>
    <w:rsid w:val="004A0EC7"/>
    <w:rsid w:val="004A1B03"/>
    <w:rsid w:val="004A1DB4"/>
    <w:rsid w:val="004A20A3"/>
    <w:rsid w:val="004A2B10"/>
    <w:rsid w:val="004A2FED"/>
    <w:rsid w:val="004A6DEE"/>
    <w:rsid w:val="004B2F7F"/>
    <w:rsid w:val="004B4780"/>
    <w:rsid w:val="004B4B5A"/>
    <w:rsid w:val="004B57E9"/>
    <w:rsid w:val="004C4929"/>
    <w:rsid w:val="004C5E67"/>
    <w:rsid w:val="004D2B5F"/>
    <w:rsid w:val="004D32A2"/>
    <w:rsid w:val="004D3486"/>
    <w:rsid w:val="004D49B9"/>
    <w:rsid w:val="004D50BC"/>
    <w:rsid w:val="004D5B8C"/>
    <w:rsid w:val="004E17E7"/>
    <w:rsid w:val="004E4B97"/>
    <w:rsid w:val="004F74AC"/>
    <w:rsid w:val="00501C20"/>
    <w:rsid w:val="0050655A"/>
    <w:rsid w:val="0050695C"/>
    <w:rsid w:val="005078D5"/>
    <w:rsid w:val="00510F59"/>
    <w:rsid w:val="005125C0"/>
    <w:rsid w:val="00515309"/>
    <w:rsid w:val="005177DD"/>
    <w:rsid w:val="00522840"/>
    <w:rsid w:val="005246CF"/>
    <w:rsid w:val="00525699"/>
    <w:rsid w:val="0053149C"/>
    <w:rsid w:val="00555CBE"/>
    <w:rsid w:val="00562A8F"/>
    <w:rsid w:val="005635D2"/>
    <w:rsid w:val="00563A15"/>
    <w:rsid w:val="00565AA1"/>
    <w:rsid w:val="00580107"/>
    <w:rsid w:val="005853AA"/>
    <w:rsid w:val="0059206E"/>
    <w:rsid w:val="005971E9"/>
    <w:rsid w:val="005B2C56"/>
    <w:rsid w:val="005B32DF"/>
    <w:rsid w:val="005B5E3C"/>
    <w:rsid w:val="005B5F34"/>
    <w:rsid w:val="005B7B4F"/>
    <w:rsid w:val="005C7C10"/>
    <w:rsid w:val="005D033E"/>
    <w:rsid w:val="005D4883"/>
    <w:rsid w:val="005D6783"/>
    <w:rsid w:val="005D6FF1"/>
    <w:rsid w:val="005E1332"/>
    <w:rsid w:val="005F15A8"/>
    <w:rsid w:val="005F3FD9"/>
    <w:rsid w:val="005F7328"/>
    <w:rsid w:val="00601CF9"/>
    <w:rsid w:val="00605148"/>
    <w:rsid w:val="00605DC6"/>
    <w:rsid w:val="00610062"/>
    <w:rsid w:val="0061598E"/>
    <w:rsid w:val="00616659"/>
    <w:rsid w:val="006211FC"/>
    <w:rsid w:val="0062383B"/>
    <w:rsid w:val="00630855"/>
    <w:rsid w:val="00633710"/>
    <w:rsid w:val="00637396"/>
    <w:rsid w:val="00647620"/>
    <w:rsid w:val="0066075D"/>
    <w:rsid w:val="006628BD"/>
    <w:rsid w:val="006629EB"/>
    <w:rsid w:val="006705EC"/>
    <w:rsid w:val="00670B4B"/>
    <w:rsid w:val="0067409C"/>
    <w:rsid w:val="00681EC7"/>
    <w:rsid w:val="006A2150"/>
    <w:rsid w:val="006C3CDE"/>
    <w:rsid w:val="006C4573"/>
    <w:rsid w:val="0071435F"/>
    <w:rsid w:val="00724761"/>
    <w:rsid w:val="00730B86"/>
    <w:rsid w:val="00735C9D"/>
    <w:rsid w:val="00741938"/>
    <w:rsid w:val="007427DB"/>
    <w:rsid w:val="00742F84"/>
    <w:rsid w:val="00744DE4"/>
    <w:rsid w:val="00752783"/>
    <w:rsid w:val="00764061"/>
    <w:rsid w:val="00772450"/>
    <w:rsid w:val="007728C0"/>
    <w:rsid w:val="00773931"/>
    <w:rsid w:val="00775574"/>
    <w:rsid w:val="0077562C"/>
    <w:rsid w:val="007A7449"/>
    <w:rsid w:val="007B5D23"/>
    <w:rsid w:val="007C0DA0"/>
    <w:rsid w:val="007C5216"/>
    <w:rsid w:val="007E6806"/>
    <w:rsid w:val="007F553B"/>
    <w:rsid w:val="007F5E9D"/>
    <w:rsid w:val="007F751F"/>
    <w:rsid w:val="00805888"/>
    <w:rsid w:val="008161F6"/>
    <w:rsid w:val="00821602"/>
    <w:rsid w:val="0083414B"/>
    <w:rsid w:val="00841B24"/>
    <w:rsid w:val="00841DA4"/>
    <w:rsid w:val="0084259B"/>
    <w:rsid w:val="00853209"/>
    <w:rsid w:val="008665A9"/>
    <w:rsid w:val="008677FF"/>
    <w:rsid w:val="008700EA"/>
    <w:rsid w:val="00884C0B"/>
    <w:rsid w:val="0088600A"/>
    <w:rsid w:val="008861AF"/>
    <w:rsid w:val="00887E3A"/>
    <w:rsid w:val="00892322"/>
    <w:rsid w:val="00895EAC"/>
    <w:rsid w:val="008978BB"/>
    <w:rsid w:val="008B0134"/>
    <w:rsid w:val="008B5120"/>
    <w:rsid w:val="008B72E1"/>
    <w:rsid w:val="008C0354"/>
    <w:rsid w:val="008C48AE"/>
    <w:rsid w:val="008C5DE8"/>
    <w:rsid w:val="008C6914"/>
    <w:rsid w:val="008C6C1B"/>
    <w:rsid w:val="008D0B0A"/>
    <w:rsid w:val="008D19BC"/>
    <w:rsid w:val="008D2A68"/>
    <w:rsid w:val="008D7F39"/>
    <w:rsid w:val="008E2ECD"/>
    <w:rsid w:val="008E3613"/>
    <w:rsid w:val="008F65EE"/>
    <w:rsid w:val="008F7B6D"/>
    <w:rsid w:val="008F7FE2"/>
    <w:rsid w:val="009040B8"/>
    <w:rsid w:val="00905164"/>
    <w:rsid w:val="00906DD1"/>
    <w:rsid w:val="00910716"/>
    <w:rsid w:val="00912ABB"/>
    <w:rsid w:val="00920235"/>
    <w:rsid w:val="0092188D"/>
    <w:rsid w:val="00924713"/>
    <w:rsid w:val="009258F1"/>
    <w:rsid w:val="00932C3F"/>
    <w:rsid w:val="009349D6"/>
    <w:rsid w:val="00940260"/>
    <w:rsid w:val="0094366C"/>
    <w:rsid w:val="0094571D"/>
    <w:rsid w:val="00953253"/>
    <w:rsid w:val="009541A5"/>
    <w:rsid w:val="00954A47"/>
    <w:rsid w:val="00954C0F"/>
    <w:rsid w:val="009647DE"/>
    <w:rsid w:val="00973962"/>
    <w:rsid w:val="00977168"/>
    <w:rsid w:val="00980272"/>
    <w:rsid w:val="009871FE"/>
    <w:rsid w:val="00996F1E"/>
    <w:rsid w:val="009A2CB3"/>
    <w:rsid w:val="009A409E"/>
    <w:rsid w:val="009B7548"/>
    <w:rsid w:val="009B75A3"/>
    <w:rsid w:val="009C0908"/>
    <w:rsid w:val="009D5B4A"/>
    <w:rsid w:val="009F48A6"/>
    <w:rsid w:val="00A04FA0"/>
    <w:rsid w:val="00A27D5A"/>
    <w:rsid w:val="00A3522C"/>
    <w:rsid w:val="00A4527F"/>
    <w:rsid w:val="00A458F8"/>
    <w:rsid w:val="00A45F47"/>
    <w:rsid w:val="00A572D4"/>
    <w:rsid w:val="00A604C0"/>
    <w:rsid w:val="00A6125E"/>
    <w:rsid w:val="00A61D8B"/>
    <w:rsid w:val="00A62CE5"/>
    <w:rsid w:val="00A664FC"/>
    <w:rsid w:val="00A773F2"/>
    <w:rsid w:val="00A85B14"/>
    <w:rsid w:val="00A9467A"/>
    <w:rsid w:val="00AA66D9"/>
    <w:rsid w:val="00AB3910"/>
    <w:rsid w:val="00AB4162"/>
    <w:rsid w:val="00AC5A18"/>
    <w:rsid w:val="00AC7B41"/>
    <w:rsid w:val="00AD14D0"/>
    <w:rsid w:val="00AD23AE"/>
    <w:rsid w:val="00AD2585"/>
    <w:rsid w:val="00AD4ECD"/>
    <w:rsid w:val="00AD7016"/>
    <w:rsid w:val="00AD7EC9"/>
    <w:rsid w:val="00AF0451"/>
    <w:rsid w:val="00AF2538"/>
    <w:rsid w:val="00AF73C8"/>
    <w:rsid w:val="00B1334E"/>
    <w:rsid w:val="00B14C07"/>
    <w:rsid w:val="00B15BC7"/>
    <w:rsid w:val="00B27EF5"/>
    <w:rsid w:val="00B31CA7"/>
    <w:rsid w:val="00B34EA4"/>
    <w:rsid w:val="00B356CF"/>
    <w:rsid w:val="00B404CD"/>
    <w:rsid w:val="00B43022"/>
    <w:rsid w:val="00B55D6E"/>
    <w:rsid w:val="00B6227F"/>
    <w:rsid w:val="00B6756B"/>
    <w:rsid w:val="00B67D4A"/>
    <w:rsid w:val="00B72641"/>
    <w:rsid w:val="00B74A73"/>
    <w:rsid w:val="00B800F5"/>
    <w:rsid w:val="00B85312"/>
    <w:rsid w:val="00B85913"/>
    <w:rsid w:val="00B864AC"/>
    <w:rsid w:val="00BA3853"/>
    <w:rsid w:val="00BA3FA2"/>
    <w:rsid w:val="00BC0127"/>
    <w:rsid w:val="00BC5F34"/>
    <w:rsid w:val="00BD02B8"/>
    <w:rsid w:val="00BD2A1C"/>
    <w:rsid w:val="00BD3785"/>
    <w:rsid w:val="00BE190B"/>
    <w:rsid w:val="00BE30AD"/>
    <w:rsid w:val="00BE3D8A"/>
    <w:rsid w:val="00BE6A11"/>
    <w:rsid w:val="00BF2279"/>
    <w:rsid w:val="00BF4DF9"/>
    <w:rsid w:val="00BF706C"/>
    <w:rsid w:val="00C00993"/>
    <w:rsid w:val="00C06B6F"/>
    <w:rsid w:val="00C17B06"/>
    <w:rsid w:val="00C301FF"/>
    <w:rsid w:val="00C31925"/>
    <w:rsid w:val="00C37860"/>
    <w:rsid w:val="00C5182A"/>
    <w:rsid w:val="00C52D47"/>
    <w:rsid w:val="00C61E49"/>
    <w:rsid w:val="00C707E1"/>
    <w:rsid w:val="00C71C7F"/>
    <w:rsid w:val="00C73ADC"/>
    <w:rsid w:val="00C765E0"/>
    <w:rsid w:val="00C76AC0"/>
    <w:rsid w:val="00C80E39"/>
    <w:rsid w:val="00C8385B"/>
    <w:rsid w:val="00C83B9E"/>
    <w:rsid w:val="00C842CA"/>
    <w:rsid w:val="00C84345"/>
    <w:rsid w:val="00C857D9"/>
    <w:rsid w:val="00C85CC8"/>
    <w:rsid w:val="00C95C1D"/>
    <w:rsid w:val="00C96D5B"/>
    <w:rsid w:val="00CA0AB0"/>
    <w:rsid w:val="00CB0729"/>
    <w:rsid w:val="00CB38E1"/>
    <w:rsid w:val="00CC3C69"/>
    <w:rsid w:val="00CD0F53"/>
    <w:rsid w:val="00CD7507"/>
    <w:rsid w:val="00CD7E53"/>
    <w:rsid w:val="00CE1F27"/>
    <w:rsid w:val="00CE2699"/>
    <w:rsid w:val="00CF76E5"/>
    <w:rsid w:val="00D0425D"/>
    <w:rsid w:val="00D044ED"/>
    <w:rsid w:val="00D06344"/>
    <w:rsid w:val="00D14BC5"/>
    <w:rsid w:val="00D15811"/>
    <w:rsid w:val="00D158F6"/>
    <w:rsid w:val="00D1768D"/>
    <w:rsid w:val="00D20F4F"/>
    <w:rsid w:val="00D26C72"/>
    <w:rsid w:val="00D3484C"/>
    <w:rsid w:val="00D34E33"/>
    <w:rsid w:val="00D45647"/>
    <w:rsid w:val="00D514A5"/>
    <w:rsid w:val="00D602FA"/>
    <w:rsid w:val="00D674E1"/>
    <w:rsid w:val="00D777B8"/>
    <w:rsid w:val="00D81518"/>
    <w:rsid w:val="00D81782"/>
    <w:rsid w:val="00D865E3"/>
    <w:rsid w:val="00D86ECC"/>
    <w:rsid w:val="00D87A50"/>
    <w:rsid w:val="00D9251B"/>
    <w:rsid w:val="00D97737"/>
    <w:rsid w:val="00DA2F9E"/>
    <w:rsid w:val="00DC0496"/>
    <w:rsid w:val="00DC7A3C"/>
    <w:rsid w:val="00DD0FC8"/>
    <w:rsid w:val="00DD38F4"/>
    <w:rsid w:val="00DD56DB"/>
    <w:rsid w:val="00DE176A"/>
    <w:rsid w:val="00DE3DAC"/>
    <w:rsid w:val="00DE51A8"/>
    <w:rsid w:val="00DF176A"/>
    <w:rsid w:val="00E16BB4"/>
    <w:rsid w:val="00E16EEF"/>
    <w:rsid w:val="00E1753B"/>
    <w:rsid w:val="00E2075F"/>
    <w:rsid w:val="00E21BA2"/>
    <w:rsid w:val="00E35C8F"/>
    <w:rsid w:val="00E41829"/>
    <w:rsid w:val="00E45287"/>
    <w:rsid w:val="00E45723"/>
    <w:rsid w:val="00E465C6"/>
    <w:rsid w:val="00E5124D"/>
    <w:rsid w:val="00E57D23"/>
    <w:rsid w:val="00E57E4A"/>
    <w:rsid w:val="00E82D21"/>
    <w:rsid w:val="00E86986"/>
    <w:rsid w:val="00E8763C"/>
    <w:rsid w:val="00E90AA2"/>
    <w:rsid w:val="00E9312D"/>
    <w:rsid w:val="00E94E4F"/>
    <w:rsid w:val="00E95379"/>
    <w:rsid w:val="00E95C8A"/>
    <w:rsid w:val="00EA087E"/>
    <w:rsid w:val="00EA3525"/>
    <w:rsid w:val="00EA4A82"/>
    <w:rsid w:val="00EA51A5"/>
    <w:rsid w:val="00EA7A3E"/>
    <w:rsid w:val="00EB1B55"/>
    <w:rsid w:val="00EB35B2"/>
    <w:rsid w:val="00EE1E9E"/>
    <w:rsid w:val="00EE31D3"/>
    <w:rsid w:val="00EE5EC6"/>
    <w:rsid w:val="00EE67F6"/>
    <w:rsid w:val="00EE6AFC"/>
    <w:rsid w:val="00EF3A08"/>
    <w:rsid w:val="00EF6A89"/>
    <w:rsid w:val="00F105F9"/>
    <w:rsid w:val="00F12B3A"/>
    <w:rsid w:val="00F12E8C"/>
    <w:rsid w:val="00F14B6B"/>
    <w:rsid w:val="00F23CAC"/>
    <w:rsid w:val="00F37ED1"/>
    <w:rsid w:val="00F40DCB"/>
    <w:rsid w:val="00F42BF4"/>
    <w:rsid w:val="00F4657B"/>
    <w:rsid w:val="00F51048"/>
    <w:rsid w:val="00F522D6"/>
    <w:rsid w:val="00F571A5"/>
    <w:rsid w:val="00F635D5"/>
    <w:rsid w:val="00F66332"/>
    <w:rsid w:val="00F803DA"/>
    <w:rsid w:val="00F85912"/>
    <w:rsid w:val="00F85BC0"/>
    <w:rsid w:val="00F9267C"/>
    <w:rsid w:val="00F95D76"/>
    <w:rsid w:val="00F97C22"/>
    <w:rsid w:val="00FA0138"/>
    <w:rsid w:val="00FA041F"/>
    <w:rsid w:val="00FA0EF8"/>
    <w:rsid w:val="00FA12B2"/>
    <w:rsid w:val="00FB31FB"/>
    <w:rsid w:val="00FB53B7"/>
    <w:rsid w:val="00FB6ECE"/>
    <w:rsid w:val="00FC280A"/>
    <w:rsid w:val="00FE338A"/>
    <w:rsid w:val="00FF210D"/>
    <w:rsid w:val="00FF5F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9391"/>
  <w15:chartTrackingRefBased/>
  <w15:docId w15:val="{25A1D120-6B8B-47BB-A820-FC91E49A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12"/>
    <w:pPr>
      <w:spacing w:after="0"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4A12"/>
    <w:pPr>
      <w:spacing w:line="240" w:lineRule="auto"/>
    </w:pPr>
    <w:rPr>
      <w:sz w:val="20"/>
      <w:szCs w:val="20"/>
    </w:rPr>
  </w:style>
  <w:style w:type="character" w:customStyle="1" w:styleId="FootnoteTextChar">
    <w:name w:val="Footnote Text Char"/>
    <w:basedOn w:val="DefaultParagraphFont"/>
    <w:link w:val="FootnoteText"/>
    <w:uiPriority w:val="99"/>
    <w:semiHidden/>
    <w:rsid w:val="00354A12"/>
    <w:rPr>
      <w:rFonts w:cstheme="minorBidi"/>
      <w:sz w:val="20"/>
      <w:szCs w:val="20"/>
    </w:rPr>
  </w:style>
  <w:style w:type="paragraph" w:styleId="ListParagraph">
    <w:name w:val="List Paragraph"/>
    <w:basedOn w:val="Normal"/>
    <w:uiPriority w:val="99"/>
    <w:qFormat/>
    <w:rsid w:val="00354A12"/>
    <w:pPr>
      <w:ind w:left="720"/>
      <w:contextualSpacing/>
    </w:pPr>
  </w:style>
  <w:style w:type="character" w:styleId="FootnoteReference">
    <w:name w:val="footnote reference"/>
    <w:basedOn w:val="DefaultParagraphFont"/>
    <w:uiPriority w:val="99"/>
    <w:semiHidden/>
    <w:unhideWhenUsed/>
    <w:rsid w:val="00354A12"/>
    <w:rPr>
      <w:vertAlign w:val="superscript"/>
    </w:rPr>
  </w:style>
  <w:style w:type="paragraph" w:customStyle="1" w:styleId="LegalList1">
    <w:name w:val="Legal_List1"/>
    <w:basedOn w:val="Normal"/>
    <w:semiHidden/>
    <w:rsid w:val="00A572D4"/>
    <w:pPr>
      <w:suppressAutoHyphens/>
      <w:spacing w:after="360" w:line="480" w:lineRule="auto"/>
      <w:jc w:val="both"/>
      <w:outlineLvl w:val="0"/>
    </w:pPr>
    <w:rPr>
      <w:rFonts w:eastAsia="Times New Roman" w:cs="Times New Roman"/>
      <w:szCs w:val="24"/>
      <w:lang w:val="en-GB" w:eastAsia="en-GB"/>
    </w:rPr>
  </w:style>
  <w:style w:type="paragraph" w:customStyle="1" w:styleId="LegalHeading2">
    <w:name w:val="Legal_Heading2"/>
    <w:basedOn w:val="LegalNormal"/>
    <w:next w:val="Normal"/>
    <w:semiHidden/>
    <w:rsid w:val="00A572D4"/>
    <w:pPr>
      <w:keepNext/>
      <w:numPr>
        <w:ilvl w:val="1"/>
        <w:numId w:val="2"/>
      </w:numPr>
      <w:tabs>
        <w:tab w:val="left" w:pos="3402"/>
        <w:tab w:val="left" w:pos="3969"/>
      </w:tabs>
      <w:outlineLvl w:val="1"/>
    </w:pPr>
    <w:rPr>
      <w:b/>
    </w:rPr>
  </w:style>
  <w:style w:type="paragraph" w:customStyle="1" w:styleId="LegalHeading3">
    <w:name w:val="Legal_Heading3"/>
    <w:basedOn w:val="LegalNormal"/>
    <w:next w:val="Normal"/>
    <w:semiHidden/>
    <w:rsid w:val="00A572D4"/>
    <w:pPr>
      <w:keepNext/>
      <w:numPr>
        <w:ilvl w:val="2"/>
        <w:numId w:val="2"/>
      </w:numPr>
      <w:tabs>
        <w:tab w:val="left" w:pos="3969"/>
        <w:tab w:val="left" w:pos="4536"/>
      </w:tabs>
      <w:outlineLvl w:val="2"/>
    </w:pPr>
    <w:rPr>
      <w:b/>
    </w:rPr>
  </w:style>
  <w:style w:type="paragraph" w:customStyle="1" w:styleId="LegalHeading4">
    <w:name w:val="Legal_Heading4"/>
    <w:basedOn w:val="LegalNormal"/>
    <w:next w:val="Normal"/>
    <w:semiHidden/>
    <w:rsid w:val="00A572D4"/>
    <w:pPr>
      <w:keepNext/>
      <w:numPr>
        <w:ilvl w:val="3"/>
        <w:numId w:val="2"/>
      </w:numPr>
      <w:spacing w:after="240"/>
      <w:outlineLvl w:val="3"/>
    </w:pPr>
    <w:rPr>
      <w:b/>
    </w:rPr>
  </w:style>
  <w:style w:type="paragraph" w:customStyle="1" w:styleId="LegalHeading5">
    <w:name w:val="Legal_Heading5"/>
    <w:basedOn w:val="LegalNormal"/>
    <w:next w:val="Normal"/>
    <w:semiHidden/>
    <w:rsid w:val="00A572D4"/>
    <w:pPr>
      <w:keepNext/>
      <w:numPr>
        <w:ilvl w:val="4"/>
        <w:numId w:val="2"/>
      </w:numPr>
      <w:spacing w:after="240"/>
      <w:outlineLvl w:val="4"/>
    </w:pPr>
    <w:rPr>
      <w:b/>
    </w:rPr>
  </w:style>
  <w:style w:type="paragraph" w:customStyle="1" w:styleId="LegalNormal">
    <w:name w:val="Legal_Normal"/>
    <w:basedOn w:val="Normal"/>
    <w:rsid w:val="00A572D4"/>
    <w:pPr>
      <w:suppressAutoHyphens/>
      <w:spacing w:after="360" w:line="480" w:lineRule="auto"/>
      <w:jc w:val="both"/>
    </w:pPr>
    <w:rPr>
      <w:rFonts w:eastAsia="Times New Roman" w:cs="Times New Roman"/>
      <w:szCs w:val="24"/>
      <w:lang w:val="en-GB" w:eastAsia="en-GB"/>
    </w:rPr>
  </w:style>
  <w:style w:type="paragraph" w:styleId="Header">
    <w:name w:val="header"/>
    <w:basedOn w:val="Normal"/>
    <w:link w:val="HeaderChar"/>
    <w:uiPriority w:val="99"/>
    <w:unhideWhenUsed/>
    <w:rsid w:val="00A572D4"/>
    <w:pPr>
      <w:tabs>
        <w:tab w:val="center" w:pos="4513"/>
        <w:tab w:val="right" w:pos="9026"/>
      </w:tabs>
      <w:spacing w:line="240" w:lineRule="auto"/>
    </w:pPr>
  </w:style>
  <w:style w:type="character" w:customStyle="1" w:styleId="HeaderChar">
    <w:name w:val="Header Char"/>
    <w:basedOn w:val="DefaultParagraphFont"/>
    <w:link w:val="Header"/>
    <w:uiPriority w:val="99"/>
    <w:rsid w:val="00A572D4"/>
    <w:rPr>
      <w:rFonts w:cstheme="minorBidi"/>
      <w:szCs w:val="22"/>
    </w:rPr>
  </w:style>
  <w:style w:type="paragraph" w:styleId="Footer">
    <w:name w:val="footer"/>
    <w:basedOn w:val="Normal"/>
    <w:link w:val="FooterChar"/>
    <w:uiPriority w:val="99"/>
    <w:unhideWhenUsed/>
    <w:rsid w:val="00A572D4"/>
    <w:pPr>
      <w:tabs>
        <w:tab w:val="center" w:pos="4513"/>
        <w:tab w:val="right" w:pos="9026"/>
      </w:tabs>
      <w:spacing w:line="240" w:lineRule="auto"/>
    </w:pPr>
  </w:style>
  <w:style w:type="character" w:customStyle="1" w:styleId="FooterChar">
    <w:name w:val="Footer Char"/>
    <w:basedOn w:val="DefaultParagraphFont"/>
    <w:link w:val="Footer"/>
    <w:uiPriority w:val="99"/>
    <w:rsid w:val="00A572D4"/>
    <w:rPr>
      <w:rFonts w:cstheme="minorBidi"/>
      <w:szCs w:val="22"/>
    </w:rPr>
  </w:style>
  <w:style w:type="paragraph" w:styleId="BalloonText">
    <w:name w:val="Balloon Text"/>
    <w:basedOn w:val="Normal"/>
    <w:link w:val="BalloonTextChar"/>
    <w:uiPriority w:val="99"/>
    <w:semiHidden/>
    <w:unhideWhenUsed/>
    <w:rsid w:val="00FA12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06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1E8A9-724B-4E47-867A-F4C8ABB32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2802</Words>
  <Characters>15976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Mariana Anguelov</cp:lastModifiedBy>
  <cp:revision>3</cp:revision>
  <cp:lastPrinted>2022-09-26T15:27:00Z</cp:lastPrinted>
  <dcterms:created xsi:type="dcterms:W3CDTF">2022-10-13T07:17:00Z</dcterms:created>
  <dcterms:modified xsi:type="dcterms:W3CDTF">2022-10-17T04:32:00Z</dcterms:modified>
  <cp:contentStatus/>
</cp:coreProperties>
</file>