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3DEA2" w14:textId="77777777" w:rsidR="0008561F" w:rsidRPr="00D04FE6" w:rsidRDefault="0008561F" w:rsidP="0008561F">
      <w:pPr>
        <w:spacing w:line="240" w:lineRule="auto"/>
        <w:jc w:val="center"/>
        <w:rPr>
          <w:rFonts w:cs="Arial"/>
          <w:b/>
        </w:rPr>
      </w:pPr>
      <w:bookmarkStart w:id="0" w:name="_GoBack"/>
      <w:bookmarkEnd w:id="0"/>
      <w:r w:rsidRPr="00D04FE6">
        <w:rPr>
          <w:rFonts w:cs="Arial"/>
          <w:noProof/>
          <w:lang w:val="en-ZA" w:eastAsia="en-ZA"/>
        </w:rPr>
        <w:drawing>
          <wp:inline distT="0" distB="0" distL="0" distR="0" wp14:anchorId="45D977B9" wp14:editId="42D2C0C9">
            <wp:extent cx="1609725" cy="1476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43909FA7" w14:textId="77777777" w:rsidR="00802433" w:rsidRPr="00D04FE6" w:rsidRDefault="00802433" w:rsidP="0008561F">
      <w:pPr>
        <w:spacing w:line="240" w:lineRule="auto"/>
        <w:jc w:val="center"/>
        <w:rPr>
          <w:rFonts w:cs="Arial"/>
          <w:b/>
        </w:rPr>
      </w:pPr>
    </w:p>
    <w:p w14:paraId="1E49A95B" w14:textId="77777777" w:rsidR="0008561F" w:rsidRPr="0034599E" w:rsidRDefault="0008561F" w:rsidP="00A26639">
      <w:pPr>
        <w:jc w:val="center"/>
        <w:rPr>
          <w:rFonts w:cs="Arial"/>
          <w:b/>
          <w:szCs w:val="24"/>
        </w:rPr>
      </w:pPr>
      <w:r w:rsidRPr="0034599E">
        <w:rPr>
          <w:rFonts w:cs="Arial"/>
          <w:b/>
          <w:szCs w:val="24"/>
        </w:rPr>
        <w:t>IN THE HIGH COURT OF SOUTH AFRICA</w:t>
      </w:r>
    </w:p>
    <w:p w14:paraId="0AF2D0D1" w14:textId="77777777" w:rsidR="0008561F" w:rsidRPr="0034599E" w:rsidRDefault="0008561F" w:rsidP="00A26639">
      <w:pPr>
        <w:jc w:val="center"/>
        <w:rPr>
          <w:rFonts w:cs="Arial"/>
          <w:b/>
          <w:szCs w:val="24"/>
        </w:rPr>
      </w:pPr>
      <w:r w:rsidRPr="0034599E">
        <w:rPr>
          <w:rFonts w:cs="Arial"/>
          <w:b/>
          <w:szCs w:val="24"/>
        </w:rPr>
        <w:t>(EA</w:t>
      </w:r>
      <w:r w:rsidR="004647D4" w:rsidRPr="0034599E">
        <w:rPr>
          <w:rFonts w:cs="Arial"/>
          <w:b/>
          <w:szCs w:val="24"/>
        </w:rPr>
        <w:t>STERN CAPE</w:t>
      </w:r>
      <w:r w:rsidR="00D00BE5" w:rsidRPr="0034599E">
        <w:rPr>
          <w:rFonts w:cs="Arial"/>
          <w:b/>
          <w:szCs w:val="24"/>
        </w:rPr>
        <w:t xml:space="preserve"> </w:t>
      </w:r>
      <w:r w:rsidR="004647D4" w:rsidRPr="0034599E">
        <w:rPr>
          <w:rFonts w:cs="Arial"/>
          <w:b/>
          <w:szCs w:val="24"/>
        </w:rPr>
        <w:t xml:space="preserve">DIVISION, </w:t>
      </w:r>
      <w:r w:rsidR="00EB4C32" w:rsidRPr="0034599E">
        <w:rPr>
          <w:rFonts w:cs="Arial"/>
          <w:b/>
          <w:szCs w:val="24"/>
        </w:rPr>
        <w:t>GQEBERHA</w:t>
      </w:r>
      <w:r w:rsidRPr="0034599E">
        <w:rPr>
          <w:rFonts w:cs="Arial"/>
          <w:b/>
          <w:szCs w:val="24"/>
        </w:rPr>
        <w:t>)</w:t>
      </w:r>
    </w:p>
    <w:p w14:paraId="2041A3B7" w14:textId="77777777" w:rsidR="00F17E23" w:rsidRPr="0034599E" w:rsidRDefault="00F17E23" w:rsidP="00A26639">
      <w:pPr>
        <w:jc w:val="center"/>
        <w:rPr>
          <w:rFonts w:cs="Arial"/>
          <w:b/>
          <w:szCs w:val="24"/>
        </w:rPr>
      </w:pPr>
    </w:p>
    <w:p w14:paraId="11326964" w14:textId="728AE2FA" w:rsidR="0008561F" w:rsidRPr="0034599E" w:rsidRDefault="0034599E" w:rsidP="00D04FE6">
      <w:pPr>
        <w:ind w:left="5400" w:firstLine="360"/>
        <w:jc w:val="right"/>
        <w:rPr>
          <w:rFonts w:cs="Arial"/>
          <w:b/>
          <w:szCs w:val="24"/>
        </w:rPr>
      </w:pPr>
      <w:r>
        <w:rPr>
          <w:rFonts w:cs="Arial"/>
          <w:b/>
          <w:szCs w:val="24"/>
        </w:rPr>
        <w:t xml:space="preserve">   </w:t>
      </w:r>
      <w:r w:rsidR="0008561F" w:rsidRPr="0034599E">
        <w:rPr>
          <w:rFonts w:cs="Arial"/>
          <w:b/>
          <w:szCs w:val="24"/>
        </w:rPr>
        <w:t xml:space="preserve">CASE NO: </w:t>
      </w:r>
      <w:r w:rsidR="00FE454C">
        <w:rPr>
          <w:rFonts w:cs="Arial"/>
          <w:b/>
          <w:szCs w:val="24"/>
        </w:rPr>
        <w:t>3</w:t>
      </w:r>
      <w:r w:rsidR="00EB4C32" w:rsidRPr="0034599E">
        <w:rPr>
          <w:rFonts w:cs="Arial"/>
          <w:b/>
          <w:szCs w:val="24"/>
        </w:rPr>
        <w:t>2</w:t>
      </w:r>
      <w:r w:rsidR="00FE454C">
        <w:rPr>
          <w:rFonts w:cs="Arial"/>
          <w:b/>
          <w:szCs w:val="24"/>
        </w:rPr>
        <w:t>8</w:t>
      </w:r>
      <w:r w:rsidR="00EB4C32" w:rsidRPr="0034599E">
        <w:rPr>
          <w:rFonts w:cs="Arial"/>
          <w:b/>
          <w:szCs w:val="24"/>
        </w:rPr>
        <w:t>1/201</w:t>
      </w:r>
      <w:r w:rsidR="00FE454C">
        <w:rPr>
          <w:rFonts w:cs="Arial"/>
          <w:b/>
          <w:szCs w:val="24"/>
        </w:rPr>
        <w:t>9</w:t>
      </w:r>
    </w:p>
    <w:p w14:paraId="5601E6DC" w14:textId="77777777" w:rsidR="006E325F" w:rsidRPr="0034599E" w:rsidRDefault="006E325F" w:rsidP="006E325F">
      <w:pPr>
        <w:ind w:left="0" w:firstLine="0"/>
        <w:jc w:val="left"/>
        <w:rPr>
          <w:rFonts w:cs="Arial"/>
          <w:b/>
          <w:szCs w:val="24"/>
        </w:rPr>
      </w:pPr>
    </w:p>
    <w:p w14:paraId="22027558" w14:textId="77777777" w:rsidR="0008561F" w:rsidRPr="0034599E" w:rsidRDefault="0008561F" w:rsidP="006E325F">
      <w:pPr>
        <w:spacing w:line="276" w:lineRule="auto"/>
        <w:ind w:left="0" w:firstLine="0"/>
        <w:jc w:val="left"/>
        <w:rPr>
          <w:rFonts w:cs="Arial"/>
          <w:szCs w:val="24"/>
        </w:rPr>
      </w:pPr>
      <w:r w:rsidRPr="0034599E">
        <w:rPr>
          <w:rFonts w:cs="Arial"/>
          <w:szCs w:val="24"/>
        </w:rPr>
        <w:t>In the matter between:</w:t>
      </w:r>
    </w:p>
    <w:p w14:paraId="535C6844" w14:textId="77777777" w:rsidR="0008561F" w:rsidRPr="0034599E" w:rsidRDefault="0008561F" w:rsidP="006E325F">
      <w:pPr>
        <w:rPr>
          <w:rFonts w:cs="Arial"/>
          <w:szCs w:val="24"/>
        </w:rPr>
      </w:pPr>
    </w:p>
    <w:p w14:paraId="1B18D47E" w14:textId="48304409" w:rsidR="00CA43CC" w:rsidRPr="0034599E" w:rsidRDefault="00FE454C" w:rsidP="002A04A4">
      <w:pPr>
        <w:rPr>
          <w:rFonts w:cs="Arial"/>
          <w:b/>
          <w:szCs w:val="24"/>
        </w:rPr>
      </w:pPr>
      <w:r>
        <w:rPr>
          <w:rFonts w:cs="Arial"/>
          <w:b/>
          <w:szCs w:val="24"/>
        </w:rPr>
        <w:t>SHAUN SLABBERT</w:t>
      </w:r>
      <w:r w:rsidR="00F17E23" w:rsidRPr="0034599E">
        <w:rPr>
          <w:rFonts w:cs="Arial"/>
          <w:b/>
          <w:szCs w:val="24"/>
        </w:rPr>
        <w:tab/>
      </w:r>
      <w:r w:rsidR="00F17E23" w:rsidRPr="0034599E">
        <w:rPr>
          <w:rFonts w:cs="Arial"/>
          <w:b/>
          <w:szCs w:val="24"/>
        </w:rPr>
        <w:tab/>
      </w:r>
      <w:r w:rsidR="00F17E23" w:rsidRPr="0034599E">
        <w:rPr>
          <w:rFonts w:cs="Arial"/>
          <w:b/>
          <w:szCs w:val="24"/>
        </w:rPr>
        <w:tab/>
      </w:r>
      <w:r w:rsidR="00F17E23" w:rsidRPr="0034599E">
        <w:rPr>
          <w:rFonts w:cs="Arial"/>
          <w:b/>
          <w:szCs w:val="24"/>
        </w:rPr>
        <w:tab/>
      </w:r>
      <w:r w:rsidR="00F17E23" w:rsidRPr="0034599E">
        <w:rPr>
          <w:rFonts w:cs="Arial"/>
          <w:b/>
          <w:szCs w:val="24"/>
        </w:rPr>
        <w:tab/>
      </w:r>
      <w:r w:rsidR="00F17E23" w:rsidRPr="0034599E">
        <w:rPr>
          <w:rFonts w:cs="Arial"/>
          <w:b/>
          <w:szCs w:val="24"/>
        </w:rPr>
        <w:tab/>
      </w:r>
      <w:r w:rsidR="00BC7ECB" w:rsidRPr="0034599E">
        <w:rPr>
          <w:rFonts w:cs="Arial"/>
          <w:b/>
          <w:szCs w:val="24"/>
        </w:rPr>
        <w:t xml:space="preserve"> </w:t>
      </w:r>
      <w:r w:rsidR="003A3C34" w:rsidRPr="0034599E">
        <w:rPr>
          <w:rFonts w:cs="Arial"/>
          <w:b/>
          <w:szCs w:val="24"/>
        </w:rPr>
        <w:t xml:space="preserve">  </w:t>
      </w:r>
      <w:r w:rsidR="00C31FF4" w:rsidRPr="0034599E">
        <w:rPr>
          <w:rFonts w:cs="Arial"/>
          <w:b/>
          <w:szCs w:val="24"/>
        </w:rPr>
        <w:tab/>
      </w:r>
      <w:r w:rsidR="00C31FF4" w:rsidRPr="0034599E">
        <w:rPr>
          <w:rFonts w:cs="Arial"/>
          <w:b/>
          <w:szCs w:val="24"/>
        </w:rPr>
        <w:tab/>
      </w:r>
      <w:r w:rsidR="003A3C34" w:rsidRPr="0034599E">
        <w:rPr>
          <w:rFonts w:cs="Arial"/>
          <w:szCs w:val="24"/>
        </w:rPr>
        <w:t xml:space="preserve"> </w:t>
      </w:r>
      <w:r w:rsidR="00D04FE6" w:rsidRPr="0034599E">
        <w:rPr>
          <w:rFonts w:cs="Arial"/>
          <w:szCs w:val="24"/>
        </w:rPr>
        <w:t xml:space="preserve">   </w:t>
      </w:r>
      <w:r>
        <w:rPr>
          <w:rFonts w:cs="Arial"/>
          <w:szCs w:val="24"/>
        </w:rPr>
        <w:t>Applicant</w:t>
      </w:r>
    </w:p>
    <w:p w14:paraId="229CACCF" w14:textId="77777777" w:rsidR="006A3090" w:rsidRPr="0034599E" w:rsidRDefault="006A3090" w:rsidP="001875D6">
      <w:pPr>
        <w:rPr>
          <w:rFonts w:cs="Arial"/>
          <w:szCs w:val="24"/>
        </w:rPr>
      </w:pPr>
    </w:p>
    <w:p w14:paraId="6F9E3C2A" w14:textId="77777777" w:rsidR="0008561F" w:rsidRPr="0034599E" w:rsidRDefault="00CA43CC" w:rsidP="002A04A4">
      <w:pPr>
        <w:rPr>
          <w:rFonts w:cs="Arial"/>
          <w:szCs w:val="24"/>
        </w:rPr>
      </w:pPr>
      <w:r w:rsidRPr="0034599E">
        <w:rPr>
          <w:rFonts w:cs="Arial"/>
          <w:szCs w:val="24"/>
        </w:rPr>
        <w:t>and</w:t>
      </w:r>
    </w:p>
    <w:p w14:paraId="24771597" w14:textId="77777777" w:rsidR="00442F7A" w:rsidRPr="0034599E" w:rsidRDefault="00442F7A" w:rsidP="001875D6">
      <w:pPr>
        <w:tabs>
          <w:tab w:val="left" w:pos="5670"/>
        </w:tabs>
        <w:ind w:left="0" w:firstLine="0"/>
        <w:rPr>
          <w:rFonts w:cs="Arial"/>
          <w:b/>
          <w:szCs w:val="24"/>
        </w:rPr>
      </w:pPr>
    </w:p>
    <w:p w14:paraId="7F2FDF9D" w14:textId="28602912" w:rsidR="006D4DFA" w:rsidRDefault="00FE454C" w:rsidP="00F17E23">
      <w:pPr>
        <w:tabs>
          <w:tab w:val="left" w:pos="5670"/>
        </w:tabs>
        <w:ind w:left="0" w:firstLine="0"/>
        <w:jc w:val="left"/>
        <w:rPr>
          <w:rFonts w:cs="Arial"/>
          <w:szCs w:val="24"/>
        </w:rPr>
      </w:pPr>
      <w:r>
        <w:rPr>
          <w:rFonts w:cs="Arial"/>
          <w:b/>
          <w:szCs w:val="24"/>
        </w:rPr>
        <w:t>LIBERTY GROUP LIMITED</w:t>
      </w:r>
      <w:r w:rsidR="00F17E23" w:rsidRPr="0034599E">
        <w:rPr>
          <w:rFonts w:cs="Arial"/>
          <w:b/>
          <w:szCs w:val="24"/>
        </w:rPr>
        <w:tab/>
      </w:r>
      <w:r w:rsidR="003A3C34" w:rsidRPr="0034599E">
        <w:rPr>
          <w:rFonts w:cs="Arial"/>
          <w:b/>
          <w:szCs w:val="24"/>
        </w:rPr>
        <w:t xml:space="preserve">              </w:t>
      </w:r>
      <w:r w:rsidR="00D04FE6" w:rsidRPr="0034599E">
        <w:rPr>
          <w:rFonts w:cs="Arial"/>
          <w:b/>
          <w:szCs w:val="24"/>
        </w:rPr>
        <w:tab/>
        <w:t xml:space="preserve">   </w:t>
      </w:r>
      <w:r w:rsidR="0034599E">
        <w:rPr>
          <w:rFonts w:cs="Arial"/>
          <w:b/>
          <w:szCs w:val="24"/>
        </w:rPr>
        <w:t xml:space="preserve">    </w:t>
      </w:r>
      <w:r>
        <w:rPr>
          <w:rFonts w:cs="Arial"/>
          <w:b/>
          <w:szCs w:val="24"/>
        </w:rPr>
        <w:t xml:space="preserve">    </w:t>
      </w:r>
      <w:r>
        <w:rPr>
          <w:rFonts w:cs="Arial"/>
          <w:szCs w:val="24"/>
        </w:rPr>
        <w:t>Respondent</w:t>
      </w:r>
    </w:p>
    <w:p w14:paraId="6AA28849" w14:textId="77777777" w:rsidR="0034599E" w:rsidRDefault="0034599E" w:rsidP="00F17E23">
      <w:pPr>
        <w:tabs>
          <w:tab w:val="left" w:pos="5670"/>
        </w:tabs>
        <w:ind w:left="0" w:firstLine="0"/>
        <w:jc w:val="left"/>
        <w:rPr>
          <w:rFonts w:cs="Arial"/>
          <w:szCs w:val="24"/>
        </w:rPr>
      </w:pPr>
    </w:p>
    <w:p w14:paraId="78535B44" w14:textId="77777777" w:rsidR="0034599E" w:rsidRPr="0034599E" w:rsidRDefault="0034599E" w:rsidP="0034599E">
      <w:pPr>
        <w:tabs>
          <w:tab w:val="left" w:pos="5670"/>
        </w:tabs>
        <w:ind w:left="0" w:firstLine="0"/>
        <w:jc w:val="right"/>
        <w:rPr>
          <w:rFonts w:cs="Arial"/>
          <w:b/>
          <w:szCs w:val="24"/>
        </w:rPr>
      </w:pPr>
      <w:r>
        <w:rPr>
          <w:noProof/>
          <w:lang w:val="en-ZA" w:eastAsia="en-ZA"/>
        </w:rPr>
        <w:drawing>
          <wp:inline distT="0" distB="0" distL="0" distR="0" wp14:anchorId="2A3AAAEC" wp14:editId="27BBF9A6">
            <wp:extent cx="3943350" cy="1183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30E13E7C" w14:textId="77777777" w:rsidR="00C05ED0" w:rsidRPr="0034599E" w:rsidRDefault="00C05ED0" w:rsidP="00B62A5B">
      <w:pPr>
        <w:pBdr>
          <w:bottom w:val="single" w:sz="12" w:space="1" w:color="auto"/>
        </w:pBdr>
        <w:tabs>
          <w:tab w:val="left" w:pos="5670"/>
        </w:tabs>
        <w:ind w:left="0" w:firstLine="0"/>
        <w:rPr>
          <w:rFonts w:cs="Arial"/>
          <w:b/>
          <w:szCs w:val="24"/>
        </w:rPr>
      </w:pPr>
    </w:p>
    <w:p w14:paraId="4C26DB69" w14:textId="77777777" w:rsidR="008E5574" w:rsidRPr="0034599E" w:rsidRDefault="008E5574" w:rsidP="002A04A4">
      <w:pPr>
        <w:tabs>
          <w:tab w:val="left" w:pos="5670"/>
        </w:tabs>
        <w:ind w:left="0" w:firstLine="0"/>
        <w:rPr>
          <w:rFonts w:cs="Arial"/>
          <w:b/>
          <w:szCs w:val="24"/>
        </w:rPr>
      </w:pPr>
    </w:p>
    <w:p w14:paraId="09BC261C" w14:textId="77777777" w:rsidR="0008561F" w:rsidRPr="0034599E" w:rsidRDefault="0008561F" w:rsidP="00A26639">
      <w:pPr>
        <w:pBdr>
          <w:bottom w:val="single" w:sz="12" w:space="1" w:color="auto"/>
        </w:pBdr>
        <w:jc w:val="center"/>
        <w:rPr>
          <w:rFonts w:cs="Arial"/>
          <w:b/>
          <w:szCs w:val="24"/>
          <w:u w:val="single"/>
        </w:rPr>
      </w:pPr>
      <w:r w:rsidRPr="0034599E">
        <w:rPr>
          <w:rFonts w:cs="Arial"/>
          <w:b/>
          <w:szCs w:val="24"/>
        </w:rPr>
        <w:t>JUDGMENT</w:t>
      </w:r>
    </w:p>
    <w:p w14:paraId="120EC748" w14:textId="77777777" w:rsidR="008E5574" w:rsidRPr="0034599E" w:rsidRDefault="008E5574" w:rsidP="00A63D9E">
      <w:pPr>
        <w:spacing w:line="480" w:lineRule="auto"/>
        <w:jc w:val="left"/>
        <w:rPr>
          <w:rFonts w:cs="Arial"/>
          <w:b/>
          <w:szCs w:val="24"/>
          <w:u w:val="single"/>
        </w:rPr>
      </w:pPr>
    </w:p>
    <w:p w14:paraId="00EB8791" w14:textId="6A75C557" w:rsidR="00D80AE1" w:rsidRDefault="00D80AE1" w:rsidP="00D80AE1">
      <w:pPr>
        <w:ind w:left="0" w:firstLine="0"/>
        <w:contextualSpacing/>
        <w:rPr>
          <w:rFonts w:cs="Arial"/>
          <w:b/>
          <w:bCs/>
          <w:szCs w:val="24"/>
          <w:lang w:val="en-ZA"/>
        </w:rPr>
      </w:pPr>
      <w:r>
        <w:rPr>
          <w:rFonts w:cs="Arial"/>
          <w:b/>
          <w:bCs/>
          <w:szCs w:val="24"/>
          <w:lang w:val="en-ZA"/>
        </w:rPr>
        <w:t>POTGIETER J</w:t>
      </w:r>
    </w:p>
    <w:p w14:paraId="43208B13" w14:textId="31391F00" w:rsidR="009962D7" w:rsidRDefault="009962D7" w:rsidP="00D80AE1">
      <w:pPr>
        <w:ind w:left="0" w:firstLine="0"/>
        <w:contextualSpacing/>
        <w:rPr>
          <w:rFonts w:cs="Arial"/>
          <w:b/>
          <w:bCs/>
          <w:szCs w:val="24"/>
          <w:lang w:val="en-ZA"/>
        </w:rPr>
      </w:pPr>
    </w:p>
    <w:p w14:paraId="7767084E" w14:textId="77777777" w:rsidR="00F70360" w:rsidRDefault="00F70360" w:rsidP="00D80AE1">
      <w:pPr>
        <w:ind w:left="0" w:firstLine="0"/>
        <w:contextualSpacing/>
        <w:rPr>
          <w:rFonts w:cs="Arial"/>
          <w:b/>
          <w:bCs/>
          <w:szCs w:val="24"/>
          <w:lang w:val="en-ZA"/>
        </w:rPr>
      </w:pPr>
    </w:p>
    <w:p w14:paraId="35D987A9" w14:textId="0D9403A0" w:rsidR="009962D7" w:rsidRPr="009962D7" w:rsidRDefault="009962D7" w:rsidP="00D80AE1">
      <w:pPr>
        <w:ind w:left="0" w:firstLine="0"/>
        <w:contextualSpacing/>
        <w:rPr>
          <w:rFonts w:cs="Arial"/>
          <w:i/>
          <w:iCs/>
          <w:szCs w:val="24"/>
          <w:lang w:val="en-ZA"/>
        </w:rPr>
      </w:pPr>
      <w:r>
        <w:rPr>
          <w:rFonts w:cs="Arial"/>
          <w:i/>
          <w:iCs/>
          <w:szCs w:val="24"/>
          <w:lang w:val="en-ZA"/>
        </w:rPr>
        <w:lastRenderedPageBreak/>
        <w:t>Introduction</w:t>
      </w:r>
    </w:p>
    <w:p w14:paraId="66BC82F7" w14:textId="77777777" w:rsidR="00D80AE1" w:rsidRPr="00D80AE1" w:rsidRDefault="00D80AE1" w:rsidP="00D80AE1">
      <w:pPr>
        <w:ind w:left="0" w:firstLine="0"/>
        <w:contextualSpacing/>
        <w:rPr>
          <w:rFonts w:cs="Arial"/>
          <w:b/>
          <w:bCs/>
          <w:szCs w:val="24"/>
          <w:lang w:val="en-ZA"/>
        </w:rPr>
      </w:pPr>
    </w:p>
    <w:p w14:paraId="68F92DE6" w14:textId="0E3EF8D8" w:rsidR="00D80AE1" w:rsidRDefault="00FE454C" w:rsidP="00FE454C">
      <w:pPr>
        <w:spacing w:after="160"/>
        <w:ind w:left="0" w:firstLine="0"/>
        <w:contextualSpacing/>
        <w:rPr>
          <w:rFonts w:cs="Arial"/>
          <w:bCs/>
          <w:szCs w:val="24"/>
          <w:lang w:val="en-ZA"/>
        </w:rPr>
      </w:pPr>
      <w:r>
        <w:rPr>
          <w:rFonts w:cs="Arial"/>
          <w:bCs/>
          <w:szCs w:val="24"/>
          <w:lang w:val="en-ZA"/>
        </w:rPr>
        <w:t>[1] The applicant</w:t>
      </w:r>
      <w:r w:rsidR="00D80AE1" w:rsidRPr="00D80AE1">
        <w:rPr>
          <w:rFonts w:cs="Arial"/>
          <w:bCs/>
          <w:szCs w:val="24"/>
          <w:lang w:val="en-ZA"/>
        </w:rPr>
        <w:t xml:space="preserve"> is </w:t>
      </w:r>
      <w:r>
        <w:rPr>
          <w:rFonts w:cs="Arial"/>
          <w:bCs/>
          <w:szCs w:val="24"/>
          <w:lang w:val="en-ZA"/>
        </w:rPr>
        <w:t>seeking the following relief in his notice of motion:</w:t>
      </w:r>
    </w:p>
    <w:p w14:paraId="20DD3676" w14:textId="617F04FD" w:rsidR="00FE454C" w:rsidRDefault="00FE454C" w:rsidP="00FE454C">
      <w:pPr>
        <w:spacing w:after="160"/>
        <w:ind w:left="0" w:firstLine="0"/>
        <w:contextualSpacing/>
        <w:rPr>
          <w:rFonts w:cs="Arial"/>
          <w:bCs/>
          <w:szCs w:val="24"/>
          <w:lang w:val="en-ZA"/>
        </w:rPr>
      </w:pPr>
    </w:p>
    <w:p w14:paraId="1034EC7C" w14:textId="5E36B019" w:rsidR="00285717" w:rsidRDefault="00FE454C" w:rsidP="00FE454C">
      <w:pPr>
        <w:spacing w:after="160"/>
        <w:ind w:firstLine="0"/>
        <w:contextualSpacing/>
        <w:rPr>
          <w:rFonts w:cs="Arial"/>
          <w:bCs/>
          <w:i/>
          <w:iCs/>
          <w:szCs w:val="24"/>
          <w:lang w:val="en-ZA"/>
        </w:rPr>
      </w:pPr>
      <w:r>
        <w:rPr>
          <w:rFonts w:cs="Arial"/>
          <w:bCs/>
          <w:i/>
          <w:iCs/>
          <w:szCs w:val="24"/>
          <w:lang w:val="en-ZA"/>
        </w:rPr>
        <w:t xml:space="preserve">“1. Ordering the Respondent to pay the Applicant </w:t>
      </w:r>
      <w:r w:rsidR="00FA54CB">
        <w:rPr>
          <w:rFonts w:cs="Arial"/>
          <w:bCs/>
          <w:i/>
          <w:iCs/>
          <w:szCs w:val="24"/>
          <w:lang w:val="en-ZA"/>
        </w:rPr>
        <w:t xml:space="preserve">the </w:t>
      </w:r>
      <w:r>
        <w:rPr>
          <w:rFonts w:cs="Arial"/>
          <w:bCs/>
          <w:i/>
          <w:iCs/>
          <w:szCs w:val="24"/>
          <w:lang w:val="en-ZA"/>
        </w:rPr>
        <w:t>permanent impairment benefit referred to in</w:t>
      </w:r>
      <w:r w:rsidRPr="00FE454C">
        <w:rPr>
          <w:rFonts w:cs="Arial"/>
          <w:bCs/>
          <w:i/>
          <w:iCs/>
          <w:szCs w:val="24"/>
          <w:u w:val="single"/>
          <w:lang w:val="en-ZA"/>
        </w:rPr>
        <w:t xml:space="preserve"> Clause 1.1</w:t>
      </w:r>
      <w:r>
        <w:rPr>
          <w:rFonts w:cs="Arial"/>
          <w:bCs/>
          <w:i/>
          <w:iCs/>
          <w:szCs w:val="24"/>
          <w:u w:val="single"/>
          <w:lang w:val="en-ZA"/>
        </w:rPr>
        <w:t xml:space="preserve"> </w:t>
      </w:r>
      <w:r>
        <w:rPr>
          <w:rFonts w:cs="Arial"/>
          <w:bCs/>
          <w:i/>
          <w:iCs/>
          <w:szCs w:val="24"/>
          <w:lang w:val="en-ZA"/>
        </w:rPr>
        <w:t>of Liberty Life Policy Number</w:t>
      </w:r>
      <w:r w:rsidRPr="00FE454C">
        <w:rPr>
          <w:rFonts w:cs="Arial"/>
          <w:bCs/>
          <w:i/>
          <w:iCs/>
          <w:szCs w:val="24"/>
          <w:u w:val="single"/>
          <w:lang w:val="en-ZA"/>
        </w:rPr>
        <w:t xml:space="preserve"> 59868044900</w:t>
      </w:r>
      <w:r>
        <w:rPr>
          <w:rFonts w:cs="Arial"/>
          <w:bCs/>
          <w:i/>
          <w:iCs/>
          <w:szCs w:val="24"/>
          <w:lang w:val="en-ZA"/>
        </w:rPr>
        <w:t xml:space="preserve"> in the amount of</w:t>
      </w:r>
      <w:r w:rsidR="00285717">
        <w:rPr>
          <w:rFonts w:cs="Arial"/>
          <w:bCs/>
          <w:i/>
          <w:iCs/>
          <w:szCs w:val="24"/>
          <w:lang w:val="en-ZA"/>
        </w:rPr>
        <w:t xml:space="preserve"> R3 000 000.00 (THREE</w:t>
      </w:r>
      <w:r w:rsidR="00FA54CB">
        <w:rPr>
          <w:rFonts w:cs="Arial"/>
          <w:bCs/>
          <w:i/>
          <w:iCs/>
          <w:szCs w:val="24"/>
          <w:lang w:val="en-ZA"/>
        </w:rPr>
        <w:t xml:space="preserve"> </w:t>
      </w:r>
      <w:r w:rsidR="00285717">
        <w:rPr>
          <w:rFonts w:cs="Arial"/>
          <w:bCs/>
          <w:i/>
          <w:iCs/>
          <w:szCs w:val="24"/>
          <w:lang w:val="en-ZA"/>
        </w:rPr>
        <w:t>MILLION RANDS).</w:t>
      </w:r>
    </w:p>
    <w:p w14:paraId="2E26393C" w14:textId="77777777" w:rsidR="00285717" w:rsidRDefault="00285717" w:rsidP="00FE454C">
      <w:pPr>
        <w:spacing w:after="160"/>
        <w:ind w:firstLine="0"/>
        <w:contextualSpacing/>
        <w:rPr>
          <w:rFonts w:cs="Arial"/>
          <w:bCs/>
          <w:i/>
          <w:iCs/>
          <w:szCs w:val="24"/>
          <w:lang w:val="en-ZA"/>
        </w:rPr>
      </w:pPr>
      <w:r>
        <w:rPr>
          <w:rFonts w:cs="Arial"/>
          <w:bCs/>
          <w:i/>
          <w:iCs/>
          <w:szCs w:val="24"/>
          <w:lang w:val="en-ZA"/>
        </w:rPr>
        <w:t>2. Interest at the prescribed legal rate a tempore morae.</w:t>
      </w:r>
    </w:p>
    <w:p w14:paraId="76B25CFF" w14:textId="77777777" w:rsidR="00285717" w:rsidRDefault="00285717" w:rsidP="00FE454C">
      <w:pPr>
        <w:spacing w:after="160"/>
        <w:ind w:firstLine="0"/>
        <w:contextualSpacing/>
        <w:rPr>
          <w:rFonts w:cs="Arial"/>
          <w:bCs/>
          <w:i/>
          <w:iCs/>
          <w:szCs w:val="24"/>
          <w:lang w:val="en-ZA"/>
        </w:rPr>
      </w:pPr>
      <w:r>
        <w:rPr>
          <w:rFonts w:cs="Arial"/>
          <w:bCs/>
          <w:i/>
          <w:iCs/>
          <w:szCs w:val="24"/>
          <w:lang w:val="en-ZA"/>
        </w:rPr>
        <w:t>3. Costs of this application, only in the event of unsuccessful opposition.</w:t>
      </w:r>
    </w:p>
    <w:p w14:paraId="34C16CC8" w14:textId="025BB997" w:rsidR="00285717" w:rsidRDefault="00285717" w:rsidP="00FE454C">
      <w:pPr>
        <w:spacing w:after="160"/>
        <w:ind w:firstLine="0"/>
        <w:contextualSpacing/>
        <w:rPr>
          <w:rFonts w:cs="Arial"/>
          <w:bCs/>
          <w:i/>
          <w:iCs/>
          <w:szCs w:val="24"/>
          <w:lang w:val="en-ZA"/>
        </w:rPr>
      </w:pPr>
      <w:r>
        <w:rPr>
          <w:rFonts w:cs="Arial"/>
          <w:bCs/>
          <w:i/>
          <w:iCs/>
          <w:szCs w:val="24"/>
          <w:lang w:val="en-ZA"/>
        </w:rPr>
        <w:t>4. Further and/or alternative relief.”</w:t>
      </w:r>
    </w:p>
    <w:p w14:paraId="13EB8CA2" w14:textId="4E7ECDDD" w:rsidR="009962D7" w:rsidRDefault="009962D7" w:rsidP="00FE454C">
      <w:pPr>
        <w:spacing w:after="160"/>
        <w:ind w:firstLine="0"/>
        <w:contextualSpacing/>
        <w:rPr>
          <w:rFonts w:cs="Arial"/>
          <w:bCs/>
          <w:i/>
          <w:iCs/>
          <w:szCs w:val="24"/>
          <w:lang w:val="en-ZA"/>
        </w:rPr>
      </w:pPr>
    </w:p>
    <w:p w14:paraId="71AC6BCD" w14:textId="23ACCF56" w:rsidR="009962D7" w:rsidRDefault="009962D7" w:rsidP="009962D7">
      <w:pPr>
        <w:spacing w:after="160"/>
        <w:ind w:left="0" w:firstLine="0"/>
        <w:contextualSpacing/>
        <w:rPr>
          <w:rFonts w:cs="Arial"/>
          <w:bCs/>
          <w:i/>
          <w:iCs/>
          <w:szCs w:val="24"/>
          <w:lang w:val="en-ZA"/>
        </w:rPr>
      </w:pPr>
      <w:r>
        <w:rPr>
          <w:rFonts w:cs="Arial"/>
          <w:bCs/>
          <w:i/>
          <w:iCs/>
          <w:szCs w:val="24"/>
          <w:lang w:val="en-ZA"/>
        </w:rPr>
        <w:t>Factual background</w:t>
      </w:r>
    </w:p>
    <w:p w14:paraId="379AD39C" w14:textId="77777777" w:rsidR="009962D7" w:rsidRDefault="009962D7" w:rsidP="009962D7">
      <w:pPr>
        <w:spacing w:after="160"/>
        <w:ind w:left="0" w:firstLine="0"/>
        <w:contextualSpacing/>
        <w:rPr>
          <w:rFonts w:cs="Arial"/>
          <w:bCs/>
          <w:i/>
          <w:iCs/>
          <w:szCs w:val="24"/>
          <w:lang w:val="en-ZA"/>
        </w:rPr>
      </w:pPr>
    </w:p>
    <w:p w14:paraId="1A25B3B5" w14:textId="695CFBE0" w:rsidR="009E642B" w:rsidRDefault="00285717" w:rsidP="00285717">
      <w:pPr>
        <w:spacing w:after="160"/>
        <w:contextualSpacing/>
        <w:rPr>
          <w:rFonts w:cs="Arial"/>
          <w:szCs w:val="24"/>
          <w:lang w:val="en-ZA"/>
        </w:rPr>
      </w:pPr>
      <w:r>
        <w:rPr>
          <w:rFonts w:cs="Arial"/>
          <w:szCs w:val="24"/>
          <w:lang w:val="en-ZA"/>
        </w:rPr>
        <w:t xml:space="preserve">[2] The material facts are largely common cause and can be set out briefly as follows. The applicant is the insured under insurance policy number 5868044900 issued by the respondent on 16 September 2017, with a commencement date of 1 October 2017. </w:t>
      </w:r>
    </w:p>
    <w:p w14:paraId="2F37A036" w14:textId="77777777" w:rsidR="00F70360" w:rsidRDefault="00F70360" w:rsidP="00285717">
      <w:pPr>
        <w:spacing w:after="160"/>
        <w:contextualSpacing/>
        <w:rPr>
          <w:rFonts w:cs="Arial"/>
          <w:szCs w:val="24"/>
          <w:lang w:val="en-ZA"/>
        </w:rPr>
      </w:pPr>
    </w:p>
    <w:p w14:paraId="30268033" w14:textId="166725A6" w:rsidR="00BF3B78" w:rsidRDefault="009E642B" w:rsidP="00285717">
      <w:pPr>
        <w:spacing w:after="160"/>
        <w:contextualSpacing/>
        <w:rPr>
          <w:rFonts w:cs="Arial"/>
          <w:szCs w:val="24"/>
          <w:lang w:val="en-ZA"/>
        </w:rPr>
      </w:pPr>
      <w:r>
        <w:rPr>
          <w:rFonts w:cs="Arial"/>
          <w:szCs w:val="24"/>
          <w:lang w:val="en-ZA"/>
        </w:rPr>
        <w:t xml:space="preserve">[3] </w:t>
      </w:r>
      <w:r w:rsidR="00285717">
        <w:rPr>
          <w:rFonts w:cs="Arial"/>
          <w:szCs w:val="24"/>
          <w:lang w:val="en-ZA"/>
        </w:rPr>
        <w:t>The applicant submitted a claim on 14 February 2018</w:t>
      </w:r>
      <w:r>
        <w:rPr>
          <w:rFonts w:cs="Arial"/>
          <w:szCs w:val="24"/>
          <w:lang w:val="en-ZA"/>
        </w:rPr>
        <w:t xml:space="preserve"> for a 100%</w:t>
      </w:r>
      <w:r w:rsidR="00285717">
        <w:rPr>
          <w:rFonts w:cs="Arial"/>
          <w:szCs w:val="24"/>
          <w:lang w:val="en-ZA"/>
        </w:rPr>
        <w:t xml:space="preserve"> impairment benefit </w:t>
      </w:r>
      <w:r>
        <w:rPr>
          <w:rFonts w:cs="Arial"/>
          <w:szCs w:val="24"/>
          <w:lang w:val="en-ZA"/>
        </w:rPr>
        <w:t>in terms of the policy</w:t>
      </w:r>
      <w:r w:rsidR="00285717">
        <w:rPr>
          <w:rFonts w:cs="Arial"/>
          <w:szCs w:val="24"/>
          <w:lang w:val="en-ZA"/>
        </w:rPr>
        <w:t xml:space="preserve">. The policy specifies various </w:t>
      </w:r>
      <w:r>
        <w:rPr>
          <w:rFonts w:cs="Arial"/>
          <w:szCs w:val="24"/>
          <w:lang w:val="en-ZA"/>
        </w:rPr>
        <w:t xml:space="preserve">impairment </w:t>
      </w:r>
      <w:r w:rsidR="00285717">
        <w:rPr>
          <w:rFonts w:cs="Arial"/>
          <w:szCs w:val="24"/>
          <w:lang w:val="en-ZA"/>
        </w:rPr>
        <w:t>benefit categories</w:t>
      </w:r>
      <w:r>
        <w:rPr>
          <w:rFonts w:cs="Arial"/>
          <w:szCs w:val="24"/>
          <w:lang w:val="en-ZA"/>
        </w:rPr>
        <w:t xml:space="preserve"> linked</w:t>
      </w:r>
      <w:r w:rsidR="00285717">
        <w:rPr>
          <w:rFonts w:cs="Arial"/>
          <w:szCs w:val="24"/>
          <w:lang w:val="en-ZA"/>
        </w:rPr>
        <w:t xml:space="preserve"> to a list of health conditions or disorders and the sequelae thereof. The benefit is payable if the insured is diagnosed as </w:t>
      </w:r>
      <w:r>
        <w:rPr>
          <w:rFonts w:cs="Arial"/>
          <w:szCs w:val="24"/>
          <w:lang w:val="en-ZA"/>
        </w:rPr>
        <w:t xml:space="preserve">having </w:t>
      </w:r>
      <w:r w:rsidR="00285717">
        <w:rPr>
          <w:rFonts w:cs="Arial"/>
          <w:szCs w:val="24"/>
          <w:lang w:val="en-ZA"/>
        </w:rPr>
        <w:t>be</w:t>
      </w:r>
      <w:r>
        <w:rPr>
          <w:rFonts w:cs="Arial"/>
          <w:szCs w:val="24"/>
          <w:lang w:val="en-ZA"/>
        </w:rPr>
        <w:t>en</w:t>
      </w:r>
      <w:r w:rsidR="00285717">
        <w:rPr>
          <w:rFonts w:cs="Arial"/>
          <w:szCs w:val="24"/>
          <w:lang w:val="en-ZA"/>
        </w:rPr>
        <w:t xml:space="preserve"> permanently impaired due to </w:t>
      </w:r>
      <w:r>
        <w:rPr>
          <w:rFonts w:cs="Arial"/>
          <w:szCs w:val="24"/>
          <w:lang w:val="en-ZA"/>
        </w:rPr>
        <w:t>one of the</w:t>
      </w:r>
      <w:r w:rsidR="00285717">
        <w:rPr>
          <w:rFonts w:cs="Arial"/>
          <w:szCs w:val="24"/>
          <w:lang w:val="en-ZA"/>
        </w:rPr>
        <w:t xml:space="preserve"> specified health condition</w:t>
      </w:r>
      <w:r>
        <w:rPr>
          <w:rFonts w:cs="Arial"/>
          <w:szCs w:val="24"/>
          <w:lang w:val="en-ZA"/>
        </w:rPr>
        <w:t>s</w:t>
      </w:r>
      <w:r w:rsidR="00285717">
        <w:rPr>
          <w:rFonts w:cs="Arial"/>
          <w:szCs w:val="24"/>
          <w:lang w:val="en-ZA"/>
        </w:rPr>
        <w:t xml:space="preserve"> or disorder</w:t>
      </w:r>
      <w:r>
        <w:rPr>
          <w:rFonts w:cs="Arial"/>
          <w:szCs w:val="24"/>
          <w:lang w:val="en-ZA"/>
        </w:rPr>
        <w:t>s</w:t>
      </w:r>
      <w:r w:rsidR="00285717">
        <w:rPr>
          <w:rFonts w:cs="Arial"/>
          <w:szCs w:val="24"/>
          <w:lang w:val="en-ZA"/>
        </w:rPr>
        <w:t xml:space="preserve"> and its sequelae. The last category set out in clause 15</w:t>
      </w:r>
      <w:r w:rsidR="00BF3B78">
        <w:rPr>
          <w:rFonts w:cs="Arial"/>
          <w:szCs w:val="24"/>
          <w:lang w:val="en-ZA"/>
        </w:rPr>
        <w:t xml:space="preserve"> of the impairment section of the policy is a catch</w:t>
      </w:r>
      <w:r>
        <w:rPr>
          <w:rFonts w:cs="Arial"/>
          <w:szCs w:val="24"/>
          <w:lang w:val="en-ZA"/>
        </w:rPr>
        <w:t>-</w:t>
      </w:r>
      <w:r w:rsidR="00BF3B78">
        <w:rPr>
          <w:rFonts w:cs="Arial"/>
          <w:szCs w:val="24"/>
          <w:lang w:val="en-ZA"/>
        </w:rPr>
        <w:t xml:space="preserve">all provision dealing with the inability to perform Activities of Daily Living (“ADLs”). This benefit category covers all diseases, disorders or injuries which cause a permanent functional impairment but which may not be covered in the list of specific health conditions or disorders. The impairment is measured by assessing the ability of the insured to perform, what is referred to as Basic and </w:t>
      </w:r>
      <w:r>
        <w:rPr>
          <w:rFonts w:cs="Arial"/>
          <w:szCs w:val="24"/>
          <w:lang w:val="en-ZA"/>
        </w:rPr>
        <w:t>I</w:t>
      </w:r>
      <w:r w:rsidR="00BF3B78">
        <w:rPr>
          <w:rFonts w:cs="Arial"/>
          <w:szCs w:val="24"/>
          <w:lang w:val="en-ZA"/>
        </w:rPr>
        <w:t xml:space="preserve">nstrumental ADLs. The former includes activities such as washing, dressing, eating and mobility while the latter refers to housekeeping, communication, food preparation, transport, handling finances and the </w:t>
      </w:r>
      <w:r w:rsidR="00BF3B78">
        <w:rPr>
          <w:rFonts w:cs="Arial"/>
          <w:szCs w:val="24"/>
          <w:lang w:val="en-ZA"/>
        </w:rPr>
        <w:lastRenderedPageBreak/>
        <w:t>like.</w:t>
      </w:r>
      <w:r>
        <w:rPr>
          <w:rFonts w:cs="Arial"/>
          <w:szCs w:val="24"/>
          <w:lang w:val="en-ZA"/>
        </w:rPr>
        <w:t xml:space="preserve"> To qualify for a 100</w:t>
      </w:r>
      <w:r w:rsidR="00EB6B5A">
        <w:rPr>
          <w:rFonts w:cs="Arial"/>
          <w:szCs w:val="24"/>
          <w:lang w:val="en-ZA"/>
        </w:rPr>
        <w:t>% benefit 3 or more Basic ADLs or 4 or more Instrumental ADLs must be permanently impaired.</w:t>
      </w:r>
    </w:p>
    <w:p w14:paraId="0E1C17AB" w14:textId="77777777" w:rsidR="00F70360" w:rsidRDefault="00F70360" w:rsidP="00285717">
      <w:pPr>
        <w:spacing w:after="160"/>
        <w:contextualSpacing/>
        <w:rPr>
          <w:rFonts w:cs="Arial"/>
          <w:szCs w:val="24"/>
          <w:lang w:val="en-ZA"/>
        </w:rPr>
      </w:pPr>
    </w:p>
    <w:p w14:paraId="41F09D95" w14:textId="49CA198C" w:rsidR="00725698" w:rsidRDefault="00BF3B78" w:rsidP="00285717">
      <w:pPr>
        <w:spacing w:after="160"/>
        <w:contextualSpacing/>
        <w:rPr>
          <w:rFonts w:cs="Arial"/>
          <w:szCs w:val="24"/>
          <w:lang w:val="en-ZA"/>
        </w:rPr>
      </w:pPr>
      <w:r>
        <w:rPr>
          <w:rFonts w:cs="Arial"/>
          <w:szCs w:val="24"/>
          <w:lang w:val="en-ZA"/>
        </w:rPr>
        <w:t>[</w:t>
      </w:r>
      <w:r w:rsidR="00EB6B5A">
        <w:rPr>
          <w:rFonts w:cs="Arial"/>
          <w:szCs w:val="24"/>
          <w:lang w:val="en-ZA"/>
        </w:rPr>
        <w:t>4</w:t>
      </w:r>
      <w:r>
        <w:rPr>
          <w:rFonts w:cs="Arial"/>
          <w:szCs w:val="24"/>
          <w:lang w:val="en-ZA"/>
        </w:rPr>
        <w:t xml:space="preserve">] The applicant’s claim was </w:t>
      </w:r>
      <w:r w:rsidR="00DE65F8">
        <w:rPr>
          <w:rFonts w:cs="Arial"/>
          <w:szCs w:val="24"/>
          <w:lang w:val="en-ZA"/>
        </w:rPr>
        <w:t>assessed</w:t>
      </w:r>
      <w:r>
        <w:rPr>
          <w:rFonts w:cs="Arial"/>
          <w:szCs w:val="24"/>
          <w:lang w:val="en-ZA"/>
        </w:rPr>
        <w:t xml:space="preserve"> under clause 15 in respect of the impairment of ADLs. The medical</w:t>
      </w:r>
      <w:r w:rsidR="00725698">
        <w:rPr>
          <w:rFonts w:cs="Arial"/>
          <w:szCs w:val="24"/>
          <w:lang w:val="en-ZA"/>
        </w:rPr>
        <w:t xml:space="preserve"> report</w:t>
      </w:r>
      <w:r>
        <w:rPr>
          <w:rFonts w:cs="Arial"/>
          <w:szCs w:val="24"/>
          <w:lang w:val="en-ZA"/>
        </w:rPr>
        <w:t xml:space="preserve"> section of the claim form was completed</w:t>
      </w:r>
      <w:r w:rsidR="00AF44FB">
        <w:rPr>
          <w:rFonts w:cs="Arial"/>
          <w:szCs w:val="24"/>
          <w:lang w:val="en-ZA"/>
        </w:rPr>
        <w:t xml:space="preserve"> on 31 January 2018</w:t>
      </w:r>
      <w:r>
        <w:rPr>
          <w:rFonts w:cs="Arial"/>
          <w:szCs w:val="24"/>
          <w:lang w:val="en-ZA"/>
        </w:rPr>
        <w:t xml:space="preserve"> by Dr Groenewald</w:t>
      </w:r>
      <w:r w:rsidR="00EB6B5A">
        <w:rPr>
          <w:rFonts w:cs="Arial"/>
          <w:szCs w:val="24"/>
          <w:lang w:val="en-ZA"/>
        </w:rPr>
        <w:t>,</w:t>
      </w:r>
      <w:r>
        <w:rPr>
          <w:rFonts w:cs="Arial"/>
          <w:szCs w:val="24"/>
          <w:lang w:val="en-ZA"/>
        </w:rPr>
        <w:t xml:space="preserve"> a general practitioner practising in Kimberly</w:t>
      </w:r>
      <w:r w:rsidR="00EB6B5A">
        <w:rPr>
          <w:rFonts w:cs="Arial"/>
          <w:szCs w:val="24"/>
          <w:lang w:val="en-ZA"/>
        </w:rPr>
        <w:t xml:space="preserve"> in the Northern Cape Province where the applicant was resident,</w:t>
      </w:r>
      <w:r>
        <w:rPr>
          <w:rFonts w:cs="Arial"/>
          <w:szCs w:val="24"/>
          <w:lang w:val="en-ZA"/>
        </w:rPr>
        <w:t xml:space="preserve"> after </w:t>
      </w:r>
      <w:r w:rsidR="00EB6B5A">
        <w:rPr>
          <w:rFonts w:cs="Arial"/>
          <w:szCs w:val="24"/>
          <w:lang w:val="en-ZA"/>
        </w:rPr>
        <w:t xml:space="preserve">he conducted </w:t>
      </w:r>
      <w:r>
        <w:rPr>
          <w:rFonts w:cs="Arial"/>
          <w:szCs w:val="24"/>
          <w:lang w:val="en-ZA"/>
        </w:rPr>
        <w:t xml:space="preserve">a consultation with the applicant on 24 January 2018. According to the medical report, the applicant was diagnosed with </w:t>
      </w:r>
      <w:r w:rsidR="00DE65F8">
        <w:rPr>
          <w:rFonts w:cs="Arial"/>
          <w:szCs w:val="24"/>
          <w:lang w:val="en-ZA"/>
        </w:rPr>
        <w:t xml:space="preserve">Malignant Hypertension </w:t>
      </w:r>
      <w:r>
        <w:rPr>
          <w:rFonts w:cs="Arial"/>
          <w:szCs w:val="24"/>
          <w:lang w:val="en-ZA"/>
        </w:rPr>
        <w:t>and blackouts (syncope). These conditions are not included in the list of</w:t>
      </w:r>
      <w:r w:rsidR="00725698">
        <w:rPr>
          <w:rFonts w:cs="Arial"/>
          <w:szCs w:val="24"/>
          <w:lang w:val="en-ZA"/>
        </w:rPr>
        <w:t xml:space="preserve"> </w:t>
      </w:r>
      <w:r>
        <w:rPr>
          <w:rFonts w:cs="Arial"/>
          <w:szCs w:val="24"/>
          <w:lang w:val="en-ZA"/>
        </w:rPr>
        <w:t>health conditions or disorders covered under the policy.</w:t>
      </w:r>
      <w:r w:rsidR="00725698">
        <w:rPr>
          <w:rFonts w:cs="Arial"/>
          <w:szCs w:val="24"/>
          <w:lang w:val="en-ZA"/>
        </w:rPr>
        <w:t xml:space="preserve"> The report further indicated that the applicant was unable to continue performing his work as a transport operator due to the blackouts. He </w:t>
      </w:r>
      <w:r w:rsidR="00EB6B5A">
        <w:rPr>
          <w:rFonts w:cs="Arial"/>
          <w:szCs w:val="24"/>
          <w:lang w:val="en-ZA"/>
        </w:rPr>
        <w:t>h</w:t>
      </w:r>
      <w:r w:rsidR="00725698">
        <w:rPr>
          <w:rFonts w:cs="Arial"/>
          <w:szCs w:val="24"/>
          <w:lang w:val="en-ZA"/>
        </w:rPr>
        <w:t>a</w:t>
      </w:r>
      <w:r w:rsidR="00EB6B5A">
        <w:rPr>
          <w:rFonts w:cs="Arial"/>
          <w:szCs w:val="24"/>
          <w:lang w:val="en-ZA"/>
        </w:rPr>
        <w:t>d</w:t>
      </w:r>
      <w:r w:rsidR="00725698">
        <w:rPr>
          <w:rFonts w:cs="Arial"/>
          <w:szCs w:val="24"/>
          <w:lang w:val="en-ZA"/>
        </w:rPr>
        <w:t xml:space="preserve"> attend</w:t>
      </w:r>
      <w:r w:rsidR="00EB6B5A">
        <w:rPr>
          <w:rFonts w:cs="Arial"/>
          <w:szCs w:val="24"/>
          <w:lang w:val="en-ZA"/>
        </w:rPr>
        <w:t>ed</w:t>
      </w:r>
      <w:r w:rsidR="00725698">
        <w:rPr>
          <w:rFonts w:cs="Arial"/>
          <w:szCs w:val="24"/>
          <w:lang w:val="en-ZA"/>
        </w:rPr>
        <w:t xml:space="preserve"> the clinic at the Kimberley Hospital in the past for hypertension and copies of the medical records of Kimberley Hospital were attached to the claim form. The consultation notes of Dr Groenewald dated 24 January 2018 indicate</w:t>
      </w:r>
      <w:r w:rsidR="00AF44FB">
        <w:rPr>
          <w:rFonts w:cs="Arial"/>
          <w:szCs w:val="24"/>
          <w:lang w:val="en-ZA"/>
        </w:rPr>
        <w:t>d</w:t>
      </w:r>
      <w:r w:rsidR="00725698">
        <w:rPr>
          <w:rFonts w:cs="Arial"/>
          <w:szCs w:val="24"/>
          <w:lang w:val="en-ZA"/>
        </w:rPr>
        <w:t xml:space="preserve"> that no answer was received as yet from Kimberley Hospital</w:t>
      </w:r>
      <w:r w:rsidR="00AF44FB">
        <w:rPr>
          <w:rFonts w:cs="Arial"/>
          <w:szCs w:val="24"/>
          <w:lang w:val="en-ZA"/>
        </w:rPr>
        <w:t xml:space="preserve"> with regard to their diagnosis</w:t>
      </w:r>
      <w:r w:rsidR="00725698">
        <w:rPr>
          <w:rFonts w:cs="Arial"/>
          <w:szCs w:val="24"/>
          <w:lang w:val="en-ZA"/>
        </w:rPr>
        <w:t xml:space="preserve">. </w:t>
      </w:r>
      <w:r w:rsidR="00EB6B5A">
        <w:rPr>
          <w:rFonts w:cs="Arial"/>
          <w:szCs w:val="24"/>
          <w:lang w:val="en-ZA"/>
        </w:rPr>
        <w:t xml:space="preserve">The </w:t>
      </w:r>
      <w:r w:rsidR="00725698">
        <w:rPr>
          <w:rFonts w:cs="Arial"/>
          <w:szCs w:val="24"/>
          <w:lang w:val="en-ZA"/>
        </w:rPr>
        <w:t>Kimberley Hospital records indicate</w:t>
      </w:r>
      <w:r w:rsidR="00AF44FB">
        <w:rPr>
          <w:rFonts w:cs="Arial"/>
          <w:szCs w:val="24"/>
          <w:lang w:val="en-ZA"/>
        </w:rPr>
        <w:t>d</w:t>
      </w:r>
      <w:r w:rsidR="00725698">
        <w:rPr>
          <w:rFonts w:cs="Arial"/>
          <w:szCs w:val="24"/>
          <w:lang w:val="en-ZA"/>
        </w:rPr>
        <w:t xml:space="preserve"> that the special investigations, including blood tests, a brain scan and a Doppler study of the applicant</w:t>
      </w:r>
      <w:r w:rsidR="00EB6B5A">
        <w:rPr>
          <w:rFonts w:cs="Arial"/>
          <w:szCs w:val="24"/>
          <w:lang w:val="en-ZA"/>
        </w:rPr>
        <w:t>’</w:t>
      </w:r>
      <w:r w:rsidR="00725698">
        <w:rPr>
          <w:rFonts w:cs="Arial"/>
          <w:szCs w:val="24"/>
          <w:lang w:val="en-ZA"/>
        </w:rPr>
        <w:t>s carotid artery</w:t>
      </w:r>
      <w:r w:rsidR="00EB6B5A">
        <w:rPr>
          <w:rFonts w:cs="Arial"/>
          <w:szCs w:val="24"/>
          <w:lang w:val="en-ZA"/>
        </w:rPr>
        <w:t>,</w:t>
      </w:r>
      <w:r w:rsidR="00725698">
        <w:rPr>
          <w:rFonts w:cs="Arial"/>
          <w:szCs w:val="24"/>
          <w:lang w:val="en-ZA"/>
        </w:rPr>
        <w:t xml:space="preserve"> which were performed pursuant to his complaints of blackouts, dizziness and headache, were all normal. The applicant was restricted from driving and he was referred for a social grant. The section of the social grant application form which was completed by a medical doctor at Kimberley Hospital indicated that the applicant</w:t>
      </w:r>
      <w:r w:rsidR="00EB6B5A">
        <w:rPr>
          <w:rFonts w:cs="Arial"/>
          <w:szCs w:val="24"/>
          <w:lang w:val="en-ZA"/>
        </w:rPr>
        <w:t>’</w:t>
      </w:r>
      <w:r w:rsidR="00725698">
        <w:rPr>
          <w:rFonts w:cs="Arial"/>
          <w:szCs w:val="24"/>
          <w:lang w:val="en-ZA"/>
        </w:rPr>
        <w:t>s job involve</w:t>
      </w:r>
      <w:r w:rsidR="00EB6B5A">
        <w:rPr>
          <w:rFonts w:cs="Arial"/>
          <w:szCs w:val="24"/>
          <w:lang w:val="en-ZA"/>
        </w:rPr>
        <w:t>d</w:t>
      </w:r>
      <w:r w:rsidR="00725698">
        <w:rPr>
          <w:rFonts w:cs="Arial"/>
          <w:szCs w:val="24"/>
          <w:lang w:val="en-ZA"/>
        </w:rPr>
        <w:t xml:space="preserve"> driving and that his condition has limited his ability to d</w:t>
      </w:r>
      <w:r w:rsidR="00EB6B5A">
        <w:rPr>
          <w:rFonts w:cs="Arial"/>
          <w:szCs w:val="24"/>
          <w:lang w:val="en-ZA"/>
        </w:rPr>
        <w:t>rive</w:t>
      </w:r>
      <w:r w:rsidR="00725698">
        <w:rPr>
          <w:rFonts w:cs="Arial"/>
          <w:szCs w:val="24"/>
          <w:lang w:val="en-ZA"/>
        </w:rPr>
        <w:t>.</w:t>
      </w:r>
    </w:p>
    <w:p w14:paraId="077E96CE" w14:textId="77777777" w:rsidR="00F70360" w:rsidRDefault="00F70360" w:rsidP="00285717">
      <w:pPr>
        <w:spacing w:after="160"/>
        <w:contextualSpacing/>
        <w:rPr>
          <w:rFonts w:cs="Arial"/>
          <w:szCs w:val="24"/>
          <w:lang w:val="en-ZA"/>
        </w:rPr>
      </w:pPr>
    </w:p>
    <w:p w14:paraId="3A4672A2" w14:textId="3E98D8DD" w:rsidR="00D2101A" w:rsidRDefault="00725698" w:rsidP="00285717">
      <w:pPr>
        <w:spacing w:after="160"/>
        <w:contextualSpacing/>
        <w:rPr>
          <w:rFonts w:cs="Arial"/>
          <w:iCs/>
          <w:szCs w:val="24"/>
          <w:lang w:val="en-ZA"/>
        </w:rPr>
      </w:pPr>
      <w:r>
        <w:rPr>
          <w:rFonts w:cs="Arial"/>
          <w:szCs w:val="24"/>
          <w:lang w:val="en-ZA"/>
        </w:rPr>
        <w:t>[</w:t>
      </w:r>
      <w:r w:rsidR="00D2101A">
        <w:rPr>
          <w:rFonts w:cs="Arial"/>
          <w:szCs w:val="24"/>
          <w:lang w:val="en-ZA"/>
        </w:rPr>
        <w:t>5</w:t>
      </w:r>
      <w:r>
        <w:rPr>
          <w:rFonts w:cs="Arial"/>
          <w:szCs w:val="24"/>
          <w:lang w:val="en-ZA"/>
        </w:rPr>
        <w:t>] The respondent wrote to the applicant on 7 March 2018 indicating that the medical evidence received to substantiate the claim was assessed and the claim was declined. The reasons given for this decision</w:t>
      </w:r>
      <w:r w:rsidR="009E642B">
        <w:rPr>
          <w:rFonts w:cs="Arial"/>
          <w:szCs w:val="24"/>
          <w:lang w:val="en-ZA"/>
        </w:rPr>
        <w:t xml:space="preserve"> were that </w:t>
      </w:r>
      <w:r w:rsidR="00DE65F8">
        <w:rPr>
          <w:rFonts w:cs="Arial"/>
          <w:szCs w:val="24"/>
          <w:lang w:val="en-ZA"/>
        </w:rPr>
        <w:t xml:space="preserve">Malignant Hypertension </w:t>
      </w:r>
      <w:r w:rsidR="009E642B">
        <w:rPr>
          <w:rFonts w:cs="Arial"/>
          <w:szCs w:val="24"/>
          <w:lang w:val="en-ZA"/>
        </w:rPr>
        <w:t xml:space="preserve">was not included under the listed benefit categories and that only one </w:t>
      </w:r>
      <w:r w:rsidR="00EB6B5A">
        <w:rPr>
          <w:rFonts w:cs="Arial"/>
          <w:szCs w:val="24"/>
          <w:lang w:val="en-ZA"/>
        </w:rPr>
        <w:t xml:space="preserve">(as opposed to 4 or more) </w:t>
      </w:r>
      <w:r w:rsidR="009E642B">
        <w:rPr>
          <w:rFonts w:cs="Arial"/>
          <w:szCs w:val="24"/>
          <w:lang w:val="en-ZA"/>
        </w:rPr>
        <w:t>of the Instrumental ADLs, namely driving (transport) was restricted.</w:t>
      </w:r>
      <w:r w:rsidR="00EB6B5A">
        <w:rPr>
          <w:rFonts w:cs="Arial"/>
          <w:szCs w:val="24"/>
          <w:lang w:val="en-ZA"/>
        </w:rPr>
        <w:t xml:space="preserve"> The letter indicated that the applicant was at liberty to dispute the decision and could,</w:t>
      </w:r>
      <w:r w:rsidR="00EB6B5A" w:rsidRPr="00EB6B5A">
        <w:rPr>
          <w:rFonts w:cs="Arial"/>
          <w:i/>
          <w:iCs/>
          <w:szCs w:val="24"/>
          <w:lang w:val="en-ZA"/>
        </w:rPr>
        <w:t xml:space="preserve"> inter-alia</w:t>
      </w:r>
      <w:r w:rsidR="00EB6B5A">
        <w:rPr>
          <w:rFonts w:cs="Arial"/>
          <w:i/>
          <w:iCs/>
          <w:szCs w:val="24"/>
          <w:lang w:val="en-ZA"/>
        </w:rPr>
        <w:t>,</w:t>
      </w:r>
      <w:r w:rsidR="00D2101A">
        <w:rPr>
          <w:rFonts w:cs="Arial"/>
          <w:iCs/>
          <w:szCs w:val="24"/>
          <w:lang w:val="en-ZA"/>
        </w:rPr>
        <w:t xml:space="preserve"> </w:t>
      </w:r>
      <w:r w:rsidR="00D2101A">
        <w:rPr>
          <w:rFonts w:cs="Arial"/>
          <w:iCs/>
          <w:szCs w:val="24"/>
          <w:lang w:val="en-ZA"/>
        </w:rPr>
        <w:lastRenderedPageBreak/>
        <w:t>provide more information, request a review or lodge a complaint with the Long-Term Insurance Ombudsman.</w:t>
      </w:r>
    </w:p>
    <w:p w14:paraId="3AB90F1B" w14:textId="77777777" w:rsidR="00F70360" w:rsidRDefault="00F70360" w:rsidP="00285717">
      <w:pPr>
        <w:spacing w:after="160"/>
        <w:contextualSpacing/>
        <w:rPr>
          <w:rFonts w:cs="Arial"/>
          <w:iCs/>
          <w:szCs w:val="24"/>
          <w:lang w:val="en-ZA"/>
        </w:rPr>
      </w:pPr>
    </w:p>
    <w:p w14:paraId="06D82259" w14:textId="3C625A80" w:rsidR="00D2101A" w:rsidRDefault="00D2101A" w:rsidP="00285717">
      <w:pPr>
        <w:spacing w:after="160"/>
        <w:contextualSpacing/>
        <w:rPr>
          <w:rFonts w:cs="Arial"/>
          <w:iCs/>
          <w:szCs w:val="24"/>
          <w:lang w:val="en-ZA"/>
        </w:rPr>
      </w:pPr>
      <w:r>
        <w:rPr>
          <w:rFonts w:cs="Arial"/>
          <w:iCs/>
          <w:szCs w:val="24"/>
          <w:lang w:val="en-ZA"/>
        </w:rPr>
        <w:t>[6] The applicant responded on 16 April 2018, objecting to the stance adopted by the respondent and effectively requesting that the matter be reviewed. In addition, the respondent received a note from Dr Groenewald indicating that the applicant was unable to do his work as a truck driver and he could no longer do his basic daily tasks around the house due to blackouts</w:t>
      </w:r>
      <w:r w:rsidR="00C05378">
        <w:rPr>
          <w:rFonts w:cs="Arial"/>
          <w:iCs/>
          <w:szCs w:val="24"/>
          <w:lang w:val="en-ZA"/>
        </w:rPr>
        <w:t>,</w:t>
      </w:r>
      <w:r>
        <w:rPr>
          <w:rFonts w:cs="Arial"/>
          <w:iCs/>
          <w:szCs w:val="24"/>
          <w:lang w:val="en-ZA"/>
        </w:rPr>
        <w:t xml:space="preserve"> which affect every aspect of his life. The respondent wrote to the applicant on 10 April 2018 indicating that the claim could not be reviewed in the absence of medical evidence </w:t>
      </w:r>
      <w:r w:rsidR="00AF44FB">
        <w:rPr>
          <w:rFonts w:cs="Arial"/>
          <w:iCs/>
          <w:szCs w:val="24"/>
          <w:lang w:val="en-ZA"/>
        </w:rPr>
        <w:t xml:space="preserve">confirming </w:t>
      </w:r>
      <w:r>
        <w:rPr>
          <w:rFonts w:cs="Arial"/>
          <w:iCs/>
          <w:szCs w:val="24"/>
          <w:lang w:val="en-ZA"/>
        </w:rPr>
        <w:t>that despite maximum medical treatment, the applicant was permanently unable to perform ADLs. The</w:t>
      </w:r>
      <w:r w:rsidR="009B0E15">
        <w:rPr>
          <w:rFonts w:cs="Arial"/>
          <w:iCs/>
          <w:szCs w:val="24"/>
          <w:lang w:val="en-ZA"/>
        </w:rPr>
        <w:t xml:space="preserve"> letter indicated that the</w:t>
      </w:r>
      <w:r>
        <w:rPr>
          <w:rFonts w:cs="Arial"/>
          <w:iCs/>
          <w:szCs w:val="24"/>
          <w:lang w:val="en-ZA"/>
        </w:rPr>
        <w:t xml:space="preserve"> respondent would obtain an updated medical report from Dr Groenewald regarding the applicant’s current medical status, upon receipt whereof the applicant may be referred for an independent assessment by a specialist physician at the respondent’s expense. The updated report was requested from Dr Groenewald</w:t>
      </w:r>
      <w:r w:rsidR="009B0E15">
        <w:rPr>
          <w:rFonts w:cs="Arial"/>
          <w:iCs/>
          <w:szCs w:val="24"/>
          <w:lang w:val="en-ZA"/>
        </w:rPr>
        <w:t xml:space="preserve"> in the form of a questionnaire</w:t>
      </w:r>
      <w:r>
        <w:rPr>
          <w:rFonts w:cs="Arial"/>
          <w:iCs/>
          <w:szCs w:val="24"/>
          <w:lang w:val="en-ZA"/>
        </w:rPr>
        <w:t>.</w:t>
      </w:r>
    </w:p>
    <w:p w14:paraId="360F61A3" w14:textId="77777777" w:rsidR="00F70360" w:rsidRDefault="00F70360" w:rsidP="00285717">
      <w:pPr>
        <w:spacing w:after="160"/>
        <w:contextualSpacing/>
        <w:rPr>
          <w:rFonts w:cs="Arial"/>
          <w:iCs/>
          <w:szCs w:val="24"/>
          <w:lang w:val="en-ZA"/>
        </w:rPr>
      </w:pPr>
    </w:p>
    <w:p w14:paraId="20216D90" w14:textId="07F8C8D2" w:rsidR="00A42281" w:rsidRDefault="00D2101A" w:rsidP="00285717">
      <w:pPr>
        <w:spacing w:after="160"/>
        <w:contextualSpacing/>
        <w:rPr>
          <w:rFonts w:cs="Arial"/>
          <w:iCs/>
          <w:szCs w:val="24"/>
          <w:lang w:val="en-ZA"/>
        </w:rPr>
      </w:pPr>
      <w:r>
        <w:rPr>
          <w:rFonts w:cs="Arial"/>
          <w:iCs/>
          <w:szCs w:val="24"/>
          <w:lang w:val="en-ZA"/>
        </w:rPr>
        <w:t>[7] The respondent received a letter of demand from the applicant’s attorneys of record dated 16 April 2018 for payment</w:t>
      </w:r>
      <w:r w:rsidR="00DE65F8">
        <w:rPr>
          <w:rFonts w:cs="Arial"/>
          <w:iCs/>
          <w:szCs w:val="24"/>
          <w:lang w:val="en-ZA"/>
        </w:rPr>
        <w:t xml:space="preserve"> of the full </w:t>
      </w:r>
      <w:r w:rsidR="00A2444B">
        <w:rPr>
          <w:rFonts w:cs="Arial"/>
          <w:iCs/>
          <w:szCs w:val="24"/>
          <w:lang w:val="en-ZA"/>
        </w:rPr>
        <w:t>impairment</w:t>
      </w:r>
      <w:r>
        <w:rPr>
          <w:rFonts w:cs="Arial"/>
          <w:iCs/>
          <w:szCs w:val="24"/>
          <w:lang w:val="en-ZA"/>
        </w:rPr>
        <w:t xml:space="preserve"> benefit of </w:t>
      </w:r>
      <w:r w:rsidR="009B0E15">
        <w:rPr>
          <w:rFonts w:cs="Arial"/>
          <w:iCs/>
          <w:szCs w:val="24"/>
          <w:lang w:val="en-ZA"/>
        </w:rPr>
        <w:t>R</w:t>
      </w:r>
      <w:r>
        <w:rPr>
          <w:rFonts w:cs="Arial"/>
          <w:iCs/>
          <w:szCs w:val="24"/>
          <w:lang w:val="en-ZA"/>
        </w:rPr>
        <w:t>3 million under the policy. The respondent repl</w:t>
      </w:r>
      <w:r w:rsidR="009B0E15">
        <w:rPr>
          <w:rFonts w:cs="Arial"/>
          <w:iCs/>
          <w:szCs w:val="24"/>
          <w:lang w:val="en-ZA"/>
        </w:rPr>
        <w:t>ied</w:t>
      </w:r>
      <w:r>
        <w:rPr>
          <w:rFonts w:cs="Arial"/>
          <w:iCs/>
          <w:szCs w:val="24"/>
          <w:lang w:val="en-ZA"/>
        </w:rPr>
        <w:t xml:space="preserve"> to the attorneys on 17 April 2018 explaining why the claim was declined and indicating that further information was being obtained from Dr Groenewald. The attorneys responded on the same day</w:t>
      </w:r>
      <w:r w:rsidR="00A42281">
        <w:rPr>
          <w:rFonts w:cs="Arial"/>
          <w:iCs/>
          <w:szCs w:val="24"/>
          <w:lang w:val="en-ZA"/>
        </w:rPr>
        <w:t xml:space="preserve"> vehemently disputing that the applicant ha</w:t>
      </w:r>
      <w:r w:rsidR="00DE65F8">
        <w:rPr>
          <w:rFonts w:cs="Arial"/>
          <w:iCs/>
          <w:szCs w:val="24"/>
          <w:lang w:val="en-ZA"/>
        </w:rPr>
        <w:t>d</w:t>
      </w:r>
      <w:r w:rsidR="00A42281">
        <w:rPr>
          <w:rFonts w:cs="Arial"/>
          <w:iCs/>
          <w:szCs w:val="24"/>
          <w:lang w:val="en-ZA"/>
        </w:rPr>
        <w:t xml:space="preserve"> failed to establish the grounds for his claim to be met and repeating their demand for payment.</w:t>
      </w:r>
    </w:p>
    <w:p w14:paraId="08CA811C" w14:textId="77777777" w:rsidR="00F70360" w:rsidRDefault="00F70360" w:rsidP="00285717">
      <w:pPr>
        <w:spacing w:after="160"/>
        <w:contextualSpacing/>
        <w:rPr>
          <w:rFonts w:cs="Arial"/>
          <w:iCs/>
          <w:szCs w:val="24"/>
          <w:lang w:val="en-ZA"/>
        </w:rPr>
      </w:pPr>
    </w:p>
    <w:p w14:paraId="66CE2DA0" w14:textId="406788BF" w:rsidR="00E73658" w:rsidRDefault="00A42281" w:rsidP="00285717">
      <w:pPr>
        <w:spacing w:after="160"/>
        <w:contextualSpacing/>
        <w:rPr>
          <w:rFonts w:cs="Arial"/>
          <w:iCs/>
          <w:szCs w:val="24"/>
          <w:lang w:val="en-ZA"/>
        </w:rPr>
      </w:pPr>
      <w:r>
        <w:rPr>
          <w:rFonts w:cs="Arial"/>
          <w:iCs/>
          <w:szCs w:val="24"/>
          <w:lang w:val="en-ZA"/>
        </w:rPr>
        <w:t>[8] On 4 May 2018 Dr Groenewald provided the requested updated medical report indicating that he had last consulted with the applicant on 24 January 2018. He had referred the applicant to Kimberley Hospital where the applicant was seeing doctors and receiving treatment.</w:t>
      </w:r>
      <w:r w:rsidR="00E73658">
        <w:rPr>
          <w:rFonts w:cs="Arial"/>
          <w:iCs/>
          <w:szCs w:val="24"/>
          <w:lang w:val="en-ZA"/>
        </w:rPr>
        <w:t xml:space="preserve"> In response to</w:t>
      </w:r>
      <w:r w:rsidR="005F1BD7">
        <w:rPr>
          <w:rFonts w:cs="Arial"/>
          <w:iCs/>
          <w:szCs w:val="24"/>
          <w:lang w:val="en-ZA"/>
        </w:rPr>
        <w:t xml:space="preserve"> the</w:t>
      </w:r>
      <w:r w:rsidR="00E73658">
        <w:rPr>
          <w:rFonts w:cs="Arial"/>
          <w:iCs/>
          <w:szCs w:val="24"/>
          <w:lang w:val="en-ZA"/>
        </w:rPr>
        <w:t xml:space="preserve"> qu</w:t>
      </w:r>
      <w:r w:rsidR="005F1BD7">
        <w:rPr>
          <w:rFonts w:cs="Arial"/>
          <w:iCs/>
          <w:szCs w:val="24"/>
          <w:lang w:val="en-ZA"/>
        </w:rPr>
        <w:t>es</w:t>
      </w:r>
      <w:r w:rsidR="00E73658">
        <w:rPr>
          <w:rFonts w:cs="Arial"/>
          <w:iCs/>
          <w:szCs w:val="24"/>
          <w:lang w:val="en-ZA"/>
        </w:rPr>
        <w:t>tion wh</w:t>
      </w:r>
      <w:r w:rsidR="005F1BD7">
        <w:rPr>
          <w:rFonts w:cs="Arial"/>
          <w:iCs/>
          <w:szCs w:val="24"/>
          <w:lang w:val="en-ZA"/>
        </w:rPr>
        <w:t>y</w:t>
      </w:r>
      <w:r w:rsidR="00E73658">
        <w:rPr>
          <w:rFonts w:cs="Arial"/>
          <w:iCs/>
          <w:szCs w:val="24"/>
          <w:lang w:val="en-ZA"/>
        </w:rPr>
        <w:t xml:space="preserve"> the applicant</w:t>
      </w:r>
      <w:r w:rsidR="005F1BD7">
        <w:rPr>
          <w:rFonts w:cs="Arial"/>
          <w:iCs/>
          <w:szCs w:val="24"/>
          <w:lang w:val="en-ZA"/>
        </w:rPr>
        <w:t>’</w:t>
      </w:r>
      <w:r w:rsidR="00E73658">
        <w:rPr>
          <w:rFonts w:cs="Arial"/>
          <w:iCs/>
          <w:szCs w:val="24"/>
          <w:lang w:val="en-ZA"/>
        </w:rPr>
        <w:t xml:space="preserve">s hypertension was not controlled, Dr Groenewald </w:t>
      </w:r>
      <w:r w:rsidR="005F1BD7">
        <w:rPr>
          <w:rFonts w:cs="Arial"/>
          <w:iCs/>
          <w:szCs w:val="24"/>
          <w:lang w:val="en-ZA"/>
        </w:rPr>
        <w:t>replied</w:t>
      </w:r>
      <w:r w:rsidR="00E73658">
        <w:rPr>
          <w:rFonts w:cs="Arial"/>
          <w:iCs/>
          <w:szCs w:val="24"/>
          <w:lang w:val="en-ZA"/>
        </w:rPr>
        <w:t xml:space="preserve"> that his medication should be adjusted at </w:t>
      </w:r>
      <w:r w:rsidR="00E73658">
        <w:rPr>
          <w:rFonts w:cs="Arial"/>
          <w:iCs/>
          <w:szCs w:val="24"/>
          <w:lang w:val="en-ZA"/>
        </w:rPr>
        <w:lastRenderedPageBreak/>
        <w:t xml:space="preserve">Kimberley Hospital. The </w:t>
      </w:r>
      <w:r w:rsidR="005F1BD7">
        <w:rPr>
          <w:rFonts w:cs="Arial"/>
          <w:iCs/>
          <w:szCs w:val="24"/>
          <w:lang w:val="en-ZA"/>
        </w:rPr>
        <w:t xml:space="preserve">updated </w:t>
      </w:r>
      <w:r w:rsidR="00E73658">
        <w:rPr>
          <w:rFonts w:cs="Arial"/>
          <w:iCs/>
          <w:szCs w:val="24"/>
          <w:lang w:val="en-ZA"/>
        </w:rPr>
        <w:t xml:space="preserve">report </w:t>
      </w:r>
      <w:r w:rsidR="005F1BD7">
        <w:rPr>
          <w:rFonts w:cs="Arial"/>
          <w:iCs/>
          <w:szCs w:val="24"/>
          <w:lang w:val="en-ZA"/>
        </w:rPr>
        <w:t>now</w:t>
      </w:r>
      <w:r w:rsidR="00E73658">
        <w:rPr>
          <w:rFonts w:cs="Arial"/>
          <w:iCs/>
          <w:szCs w:val="24"/>
          <w:lang w:val="en-ZA"/>
        </w:rPr>
        <w:t xml:space="preserve"> indicated that the applicant was permanently unable to perform 4 Instrumental ADLs.</w:t>
      </w:r>
    </w:p>
    <w:p w14:paraId="5EF5EF16" w14:textId="77777777" w:rsidR="00F70360" w:rsidRDefault="00F70360" w:rsidP="00285717">
      <w:pPr>
        <w:spacing w:after="160"/>
        <w:contextualSpacing/>
        <w:rPr>
          <w:rFonts w:cs="Arial"/>
          <w:iCs/>
          <w:szCs w:val="24"/>
          <w:lang w:val="en-ZA"/>
        </w:rPr>
      </w:pPr>
    </w:p>
    <w:p w14:paraId="42819817" w14:textId="390C9C76" w:rsidR="00877C7C" w:rsidRDefault="00E73658" w:rsidP="00285717">
      <w:pPr>
        <w:spacing w:after="160"/>
        <w:contextualSpacing/>
        <w:rPr>
          <w:rFonts w:cs="Arial"/>
          <w:iCs/>
          <w:szCs w:val="24"/>
          <w:lang w:val="en-ZA"/>
        </w:rPr>
      </w:pPr>
      <w:r>
        <w:rPr>
          <w:rFonts w:cs="Arial"/>
          <w:iCs/>
          <w:szCs w:val="24"/>
          <w:lang w:val="en-ZA"/>
        </w:rPr>
        <w:t>[9] Pursuant to receipt of the updated medical report, the respondent wrote to the applicant’s attorneys on 9 May 2018 indicating that its Chief Medical Officer considered the report and suggested that a</w:t>
      </w:r>
      <w:r w:rsidR="00CE40E8">
        <w:rPr>
          <w:rFonts w:cs="Arial"/>
          <w:iCs/>
          <w:szCs w:val="24"/>
          <w:lang w:val="en-ZA"/>
        </w:rPr>
        <w:t xml:space="preserve"> second </w:t>
      </w:r>
      <w:r>
        <w:rPr>
          <w:rFonts w:cs="Arial"/>
          <w:iCs/>
          <w:szCs w:val="24"/>
          <w:lang w:val="en-ZA"/>
        </w:rPr>
        <w:t>opinion be obtained from an independent specialist. The l</w:t>
      </w:r>
      <w:r w:rsidR="005F1BD7">
        <w:rPr>
          <w:rFonts w:cs="Arial"/>
          <w:iCs/>
          <w:szCs w:val="24"/>
          <w:lang w:val="en-ZA"/>
        </w:rPr>
        <w:t>e</w:t>
      </w:r>
      <w:r>
        <w:rPr>
          <w:rFonts w:cs="Arial"/>
          <w:iCs/>
          <w:szCs w:val="24"/>
          <w:lang w:val="en-ZA"/>
        </w:rPr>
        <w:t>tter provided the names and contact details of 2 specialists in</w:t>
      </w:r>
      <w:r w:rsidR="005F1BD7">
        <w:rPr>
          <w:rFonts w:cs="Arial"/>
          <w:iCs/>
          <w:szCs w:val="24"/>
          <w:lang w:val="en-ZA"/>
        </w:rPr>
        <w:t xml:space="preserve"> Kimberley</w:t>
      </w:r>
      <w:r>
        <w:rPr>
          <w:rFonts w:cs="Arial"/>
          <w:iCs/>
          <w:szCs w:val="24"/>
          <w:lang w:val="en-ZA"/>
        </w:rPr>
        <w:t xml:space="preserve"> and requested that the applicant make a suitable appointment with the specialist of choice for an assessment which would be paid for by the respondent. The attorneys responded on the same day </w:t>
      </w:r>
      <w:r w:rsidR="005F1BD7">
        <w:rPr>
          <w:rFonts w:cs="Arial"/>
          <w:iCs/>
          <w:szCs w:val="24"/>
          <w:lang w:val="en-ZA"/>
        </w:rPr>
        <w:t>reitera</w:t>
      </w:r>
      <w:r>
        <w:rPr>
          <w:rFonts w:cs="Arial"/>
          <w:iCs/>
          <w:szCs w:val="24"/>
          <w:lang w:val="en-ZA"/>
        </w:rPr>
        <w:t>ting their earlier stance that the respondent ha</w:t>
      </w:r>
      <w:r w:rsidR="00DE65F8">
        <w:rPr>
          <w:rFonts w:cs="Arial"/>
          <w:iCs/>
          <w:szCs w:val="24"/>
          <w:lang w:val="en-ZA"/>
        </w:rPr>
        <w:t>d</w:t>
      </w:r>
      <w:r>
        <w:rPr>
          <w:rFonts w:cs="Arial"/>
          <w:iCs/>
          <w:szCs w:val="24"/>
          <w:lang w:val="en-ZA"/>
        </w:rPr>
        <w:t xml:space="preserve"> already been provided with all the</w:t>
      </w:r>
      <w:r w:rsidR="00CE40E8">
        <w:rPr>
          <w:rFonts w:cs="Arial"/>
          <w:iCs/>
          <w:szCs w:val="24"/>
          <w:lang w:val="en-ZA"/>
        </w:rPr>
        <w:t xml:space="preserve"> necessary </w:t>
      </w:r>
      <w:r>
        <w:rPr>
          <w:rFonts w:cs="Arial"/>
          <w:iCs/>
          <w:szCs w:val="24"/>
          <w:lang w:val="en-ZA"/>
        </w:rPr>
        <w:t>information and</w:t>
      </w:r>
      <w:r w:rsidR="00CE40E8">
        <w:rPr>
          <w:rFonts w:cs="Arial"/>
          <w:iCs/>
          <w:szCs w:val="24"/>
          <w:lang w:val="en-ZA"/>
        </w:rPr>
        <w:t xml:space="preserve"> was </w:t>
      </w:r>
      <w:r>
        <w:rPr>
          <w:rFonts w:cs="Arial"/>
          <w:iCs/>
          <w:szCs w:val="24"/>
          <w:lang w:val="en-ZA"/>
        </w:rPr>
        <w:t>in a position to take a final decision</w:t>
      </w:r>
      <w:r w:rsidR="00CE40E8">
        <w:rPr>
          <w:rFonts w:cs="Arial"/>
          <w:iCs/>
          <w:szCs w:val="24"/>
          <w:lang w:val="en-ZA"/>
        </w:rPr>
        <w:t xml:space="preserve"> pursuant to the applicant’s request for a review without the need for a second medical opinion. </w:t>
      </w:r>
      <w:r w:rsidR="005F1BD7">
        <w:rPr>
          <w:rFonts w:cs="Arial"/>
          <w:iCs/>
          <w:szCs w:val="24"/>
          <w:lang w:val="en-ZA"/>
        </w:rPr>
        <w:t>The letter indicated that if</w:t>
      </w:r>
      <w:r w:rsidR="00CE40E8">
        <w:rPr>
          <w:rFonts w:cs="Arial"/>
          <w:iCs/>
          <w:szCs w:val="24"/>
          <w:lang w:val="en-ZA"/>
        </w:rPr>
        <w:t xml:space="preserve"> a final decision </w:t>
      </w:r>
      <w:r w:rsidR="00D57306">
        <w:rPr>
          <w:rFonts w:cs="Arial"/>
          <w:iCs/>
          <w:szCs w:val="24"/>
          <w:lang w:val="en-ZA"/>
        </w:rPr>
        <w:t xml:space="preserve">was </w:t>
      </w:r>
      <w:r w:rsidR="00877C7C">
        <w:rPr>
          <w:rFonts w:cs="Arial"/>
          <w:iCs/>
          <w:szCs w:val="24"/>
          <w:lang w:val="en-ZA"/>
        </w:rPr>
        <w:t>not</w:t>
      </w:r>
      <w:r w:rsidR="00CE40E8">
        <w:rPr>
          <w:rFonts w:cs="Arial"/>
          <w:iCs/>
          <w:szCs w:val="24"/>
          <w:lang w:val="en-ZA"/>
        </w:rPr>
        <w:t xml:space="preserve"> be made on the review request, the applicant was not willing to cooperate to obtain a further medical opinion.</w:t>
      </w:r>
      <w:r w:rsidR="00877C7C">
        <w:rPr>
          <w:rFonts w:cs="Arial"/>
          <w:iCs/>
          <w:szCs w:val="24"/>
          <w:lang w:val="en-ZA"/>
        </w:rPr>
        <w:t xml:space="preserve"> The respondent wrote to the attorneys on 11 May 2018 basically repeating what </w:t>
      </w:r>
      <w:r w:rsidR="00D57306">
        <w:rPr>
          <w:rFonts w:cs="Arial"/>
          <w:iCs/>
          <w:szCs w:val="24"/>
          <w:lang w:val="en-ZA"/>
        </w:rPr>
        <w:t>wa</w:t>
      </w:r>
      <w:r w:rsidR="00877C7C">
        <w:rPr>
          <w:rFonts w:cs="Arial"/>
          <w:iCs/>
          <w:szCs w:val="24"/>
          <w:lang w:val="en-ZA"/>
        </w:rPr>
        <w:t>s set out</w:t>
      </w:r>
      <w:r w:rsidR="00D57306">
        <w:rPr>
          <w:rFonts w:cs="Arial"/>
          <w:iCs/>
          <w:szCs w:val="24"/>
          <w:lang w:val="en-ZA"/>
        </w:rPr>
        <w:t xml:space="preserve"> in</w:t>
      </w:r>
      <w:r w:rsidR="00877C7C">
        <w:rPr>
          <w:rFonts w:cs="Arial"/>
          <w:iCs/>
          <w:szCs w:val="24"/>
          <w:lang w:val="en-ZA"/>
        </w:rPr>
        <w:t xml:space="preserve"> earlier correspondence that an independent assessment by a specialist physician was required to clarify the applicants condition and its impact on his ADLs. The attorneys responded on 24 May 2018 basically repeating their earlier demands and alluding to legal action</w:t>
      </w:r>
      <w:r w:rsidR="00D57306">
        <w:rPr>
          <w:rFonts w:cs="Arial"/>
          <w:iCs/>
          <w:szCs w:val="24"/>
          <w:lang w:val="en-ZA"/>
        </w:rPr>
        <w:t xml:space="preserve"> being considered</w:t>
      </w:r>
      <w:r w:rsidR="00877C7C">
        <w:rPr>
          <w:rFonts w:cs="Arial"/>
          <w:iCs/>
          <w:szCs w:val="24"/>
          <w:lang w:val="en-ZA"/>
        </w:rPr>
        <w:t>. The respondent wrote back on 4 June 2018 repeating that it was unable to finalise the matter without a specialist medical report.</w:t>
      </w:r>
      <w:r w:rsidR="00DE65F8">
        <w:rPr>
          <w:rFonts w:cs="Arial"/>
          <w:iCs/>
          <w:szCs w:val="24"/>
          <w:lang w:val="en-ZA"/>
        </w:rPr>
        <w:t xml:space="preserve">  The parties had reached a deadlock.</w:t>
      </w:r>
    </w:p>
    <w:p w14:paraId="01EB9E54" w14:textId="77777777" w:rsidR="00F70360" w:rsidRDefault="00F70360" w:rsidP="00285717">
      <w:pPr>
        <w:spacing w:after="160"/>
        <w:contextualSpacing/>
        <w:rPr>
          <w:rFonts w:cs="Arial"/>
          <w:iCs/>
          <w:szCs w:val="24"/>
          <w:lang w:val="en-ZA"/>
        </w:rPr>
      </w:pPr>
    </w:p>
    <w:p w14:paraId="478AFDFB" w14:textId="5BE68147" w:rsidR="0065230D" w:rsidRDefault="00877C7C" w:rsidP="00285717">
      <w:pPr>
        <w:spacing w:after="160"/>
        <w:contextualSpacing/>
        <w:rPr>
          <w:rFonts w:cs="Arial"/>
          <w:iCs/>
          <w:szCs w:val="24"/>
          <w:lang w:val="en-ZA"/>
        </w:rPr>
      </w:pPr>
      <w:r>
        <w:rPr>
          <w:rFonts w:cs="Arial"/>
          <w:iCs/>
          <w:szCs w:val="24"/>
          <w:lang w:val="en-ZA"/>
        </w:rPr>
        <w:t xml:space="preserve">[10] </w:t>
      </w:r>
      <w:r w:rsidR="00D57306">
        <w:rPr>
          <w:rFonts w:cs="Arial"/>
          <w:iCs/>
          <w:szCs w:val="24"/>
          <w:lang w:val="en-ZA"/>
        </w:rPr>
        <w:t>Applicant’s</w:t>
      </w:r>
      <w:r>
        <w:rPr>
          <w:rFonts w:cs="Arial"/>
          <w:iCs/>
          <w:szCs w:val="24"/>
          <w:lang w:val="en-ZA"/>
        </w:rPr>
        <w:t xml:space="preserve"> attorneys wrote to Dr Groenewald on 7 June 2018 requesting a report on specific aspects of the applicant</w:t>
      </w:r>
      <w:r w:rsidR="00D57306">
        <w:rPr>
          <w:rFonts w:cs="Arial"/>
          <w:iCs/>
          <w:szCs w:val="24"/>
          <w:lang w:val="en-ZA"/>
        </w:rPr>
        <w:t>’</w:t>
      </w:r>
      <w:r>
        <w:rPr>
          <w:rFonts w:cs="Arial"/>
          <w:iCs/>
          <w:szCs w:val="24"/>
          <w:lang w:val="en-ZA"/>
        </w:rPr>
        <w:t>s condition. Dr Groenewald responded on 19 June 2018 and also provided the respondent with cop</w:t>
      </w:r>
      <w:r w:rsidR="00D57306">
        <w:rPr>
          <w:rFonts w:cs="Arial"/>
          <w:iCs/>
          <w:szCs w:val="24"/>
          <w:lang w:val="en-ZA"/>
        </w:rPr>
        <w:t>ies</w:t>
      </w:r>
      <w:r>
        <w:rPr>
          <w:rFonts w:cs="Arial"/>
          <w:iCs/>
          <w:szCs w:val="24"/>
          <w:lang w:val="en-ZA"/>
        </w:rPr>
        <w:t xml:space="preserve"> of the letter of the attorneys</w:t>
      </w:r>
      <w:r w:rsidR="00D57306">
        <w:rPr>
          <w:rFonts w:cs="Arial"/>
          <w:iCs/>
          <w:szCs w:val="24"/>
          <w:lang w:val="en-ZA"/>
        </w:rPr>
        <w:t xml:space="preserve"> and his reply</w:t>
      </w:r>
      <w:r>
        <w:rPr>
          <w:rFonts w:cs="Arial"/>
          <w:iCs/>
          <w:szCs w:val="24"/>
          <w:lang w:val="en-ZA"/>
        </w:rPr>
        <w:t>. Dr Groenewald indicated</w:t>
      </w:r>
      <w:r w:rsidR="00D57306">
        <w:rPr>
          <w:rFonts w:cs="Arial"/>
          <w:iCs/>
          <w:szCs w:val="24"/>
          <w:lang w:val="en-ZA"/>
        </w:rPr>
        <w:t xml:space="preserve"> in his</w:t>
      </w:r>
      <w:r>
        <w:rPr>
          <w:rFonts w:cs="Arial"/>
          <w:iCs/>
          <w:szCs w:val="24"/>
          <w:lang w:val="en-ZA"/>
        </w:rPr>
        <w:t xml:space="preserve"> rep</w:t>
      </w:r>
      <w:r w:rsidR="00D57306">
        <w:rPr>
          <w:rFonts w:cs="Arial"/>
          <w:iCs/>
          <w:szCs w:val="24"/>
          <w:lang w:val="en-ZA"/>
        </w:rPr>
        <w:t>ly</w:t>
      </w:r>
      <w:r>
        <w:rPr>
          <w:rFonts w:cs="Arial"/>
          <w:iCs/>
          <w:szCs w:val="24"/>
          <w:lang w:val="en-ZA"/>
        </w:rPr>
        <w:t xml:space="preserve"> that he was not the applicant</w:t>
      </w:r>
      <w:r w:rsidR="00D57306">
        <w:rPr>
          <w:rFonts w:cs="Arial"/>
          <w:iCs/>
          <w:szCs w:val="24"/>
          <w:lang w:val="en-ZA"/>
        </w:rPr>
        <w:t>’</w:t>
      </w:r>
      <w:r>
        <w:rPr>
          <w:rFonts w:cs="Arial"/>
          <w:iCs/>
          <w:szCs w:val="24"/>
          <w:lang w:val="en-ZA"/>
        </w:rPr>
        <w:t xml:space="preserve">s regular treating </w:t>
      </w:r>
      <w:r w:rsidR="00D57306">
        <w:rPr>
          <w:rFonts w:cs="Arial"/>
          <w:iCs/>
          <w:szCs w:val="24"/>
          <w:lang w:val="en-ZA"/>
        </w:rPr>
        <w:t>doctor</w:t>
      </w:r>
      <w:r>
        <w:rPr>
          <w:rFonts w:cs="Arial"/>
          <w:iCs/>
          <w:szCs w:val="24"/>
          <w:lang w:val="en-ZA"/>
        </w:rPr>
        <w:t xml:space="preserve"> and </w:t>
      </w:r>
      <w:r w:rsidR="00145EB2">
        <w:rPr>
          <w:rFonts w:cs="Arial"/>
          <w:iCs/>
          <w:szCs w:val="24"/>
          <w:lang w:val="en-ZA"/>
        </w:rPr>
        <w:t xml:space="preserve">that he </w:t>
      </w:r>
      <w:r>
        <w:rPr>
          <w:rFonts w:cs="Arial"/>
          <w:iCs/>
          <w:szCs w:val="24"/>
          <w:lang w:val="en-ZA"/>
        </w:rPr>
        <w:t>made it clear to the applicant that the respondent required specialists</w:t>
      </w:r>
      <w:r w:rsidR="00145EB2">
        <w:rPr>
          <w:rFonts w:cs="Arial"/>
          <w:iCs/>
          <w:szCs w:val="24"/>
          <w:lang w:val="en-ZA"/>
        </w:rPr>
        <w:t>’</w:t>
      </w:r>
      <w:r>
        <w:rPr>
          <w:rFonts w:cs="Arial"/>
          <w:iCs/>
          <w:szCs w:val="24"/>
          <w:lang w:val="en-ZA"/>
        </w:rPr>
        <w:t xml:space="preserve"> reports, </w:t>
      </w:r>
      <w:r w:rsidR="00145EB2">
        <w:rPr>
          <w:rFonts w:cs="Arial"/>
          <w:iCs/>
          <w:szCs w:val="24"/>
          <w:lang w:val="en-ZA"/>
        </w:rPr>
        <w:t xml:space="preserve">not a </w:t>
      </w:r>
      <w:r>
        <w:rPr>
          <w:rFonts w:cs="Arial"/>
          <w:iCs/>
          <w:szCs w:val="24"/>
          <w:lang w:val="en-ZA"/>
        </w:rPr>
        <w:t xml:space="preserve">report from a general practitioner such as himself. </w:t>
      </w:r>
      <w:r w:rsidR="00145EB2">
        <w:rPr>
          <w:rFonts w:cs="Arial"/>
          <w:iCs/>
          <w:szCs w:val="24"/>
          <w:lang w:val="en-ZA"/>
        </w:rPr>
        <w:t>He pointed out that</w:t>
      </w:r>
      <w:r>
        <w:rPr>
          <w:rFonts w:cs="Arial"/>
          <w:iCs/>
          <w:szCs w:val="24"/>
          <w:lang w:val="en-ZA"/>
        </w:rPr>
        <w:t xml:space="preserve"> </w:t>
      </w:r>
      <w:r w:rsidR="00145EB2">
        <w:rPr>
          <w:rFonts w:cs="Arial"/>
          <w:iCs/>
          <w:szCs w:val="24"/>
          <w:lang w:val="en-ZA"/>
        </w:rPr>
        <w:t xml:space="preserve">the </w:t>
      </w:r>
      <w:r>
        <w:rPr>
          <w:rFonts w:cs="Arial"/>
          <w:iCs/>
          <w:szCs w:val="24"/>
          <w:lang w:val="en-ZA"/>
        </w:rPr>
        <w:t xml:space="preserve">applicant was </w:t>
      </w:r>
      <w:r w:rsidR="00145EB2">
        <w:rPr>
          <w:rFonts w:cs="Arial"/>
          <w:iCs/>
          <w:szCs w:val="24"/>
          <w:lang w:val="en-ZA"/>
        </w:rPr>
        <w:t>not taking his</w:t>
      </w:r>
      <w:r>
        <w:rPr>
          <w:rFonts w:cs="Arial"/>
          <w:iCs/>
          <w:szCs w:val="24"/>
          <w:lang w:val="en-ZA"/>
        </w:rPr>
        <w:t xml:space="preserve"> hypertension medication every day as required and </w:t>
      </w:r>
      <w:r w:rsidR="00145EB2">
        <w:rPr>
          <w:rFonts w:cs="Arial"/>
          <w:iCs/>
          <w:szCs w:val="24"/>
          <w:lang w:val="en-ZA"/>
        </w:rPr>
        <w:t>that he was</w:t>
      </w:r>
      <w:r>
        <w:rPr>
          <w:rFonts w:cs="Arial"/>
          <w:iCs/>
          <w:szCs w:val="24"/>
          <w:lang w:val="en-ZA"/>
        </w:rPr>
        <w:t xml:space="preserve"> declared unfit by the doctors at Kimberley Hospital and </w:t>
      </w:r>
      <w:r>
        <w:rPr>
          <w:rFonts w:cs="Arial"/>
          <w:iCs/>
          <w:szCs w:val="24"/>
          <w:lang w:val="en-ZA"/>
        </w:rPr>
        <w:lastRenderedPageBreak/>
        <w:t>not by Dr Groenewald. He had</w:t>
      </w:r>
      <w:r w:rsidR="00145EB2">
        <w:rPr>
          <w:rFonts w:cs="Arial"/>
          <w:iCs/>
          <w:szCs w:val="24"/>
          <w:lang w:val="en-ZA"/>
        </w:rPr>
        <w:t xml:space="preserve"> no evidence of the applicant’s daily black-outs as his request for the family to video</w:t>
      </w:r>
      <w:r>
        <w:rPr>
          <w:rFonts w:cs="Arial"/>
          <w:iCs/>
          <w:szCs w:val="24"/>
          <w:lang w:val="en-ZA"/>
        </w:rPr>
        <w:t xml:space="preserve"> </w:t>
      </w:r>
      <w:r w:rsidR="0065230D">
        <w:rPr>
          <w:rFonts w:cs="Arial"/>
          <w:iCs/>
          <w:szCs w:val="24"/>
          <w:lang w:val="en-ZA"/>
        </w:rPr>
        <w:t>record the episodes of blackouts, remained unheeded. On 21 June 2018 Dr Groenewald penned a further letter to the attorneys indicating that objectively speaking further adjustments to the applicant</w:t>
      </w:r>
      <w:r w:rsidR="00145EB2">
        <w:rPr>
          <w:rFonts w:cs="Arial"/>
          <w:iCs/>
          <w:szCs w:val="24"/>
          <w:lang w:val="en-ZA"/>
        </w:rPr>
        <w:t>’</w:t>
      </w:r>
      <w:r w:rsidR="0065230D">
        <w:rPr>
          <w:rFonts w:cs="Arial"/>
          <w:iCs/>
          <w:szCs w:val="24"/>
          <w:lang w:val="en-ZA"/>
        </w:rPr>
        <w:t>s medication could improve his hypertension, that the applicant’s high blood pressure readings could cause blackouts, in his opinion the applicant suffers from resistant hypertension, and on the information at his disposal he could not expressly confirm whether applicant</w:t>
      </w:r>
      <w:r w:rsidR="00C2308D">
        <w:rPr>
          <w:rFonts w:cs="Arial"/>
          <w:iCs/>
          <w:szCs w:val="24"/>
          <w:lang w:val="en-ZA"/>
        </w:rPr>
        <w:t>’</w:t>
      </w:r>
      <w:r w:rsidR="0065230D">
        <w:rPr>
          <w:rFonts w:cs="Arial"/>
          <w:iCs/>
          <w:szCs w:val="24"/>
          <w:lang w:val="en-ZA"/>
        </w:rPr>
        <w:t xml:space="preserve">s condition </w:t>
      </w:r>
      <w:r w:rsidR="00C2308D">
        <w:rPr>
          <w:rFonts w:cs="Arial"/>
          <w:iCs/>
          <w:szCs w:val="24"/>
          <w:lang w:val="en-ZA"/>
        </w:rPr>
        <w:t>had reached</w:t>
      </w:r>
      <w:r w:rsidR="0065230D">
        <w:rPr>
          <w:rFonts w:cs="Arial"/>
          <w:iCs/>
          <w:szCs w:val="24"/>
          <w:lang w:val="en-ZA"/>
        </w:rPr>
        <w:t xml:space="preserve"> maximum medical improvement or not.</w:t>
      </w:r>
    </w:p>
    <w:p w14:paraId="34FA7828" w14:textId="77777777" w:rsidR="00F70360" w:rsidRDefault="00F70360" w:rsidP="00285717">
      <w:pPr>
        <w:spacing w:after="160"/>
        <w:contextualSpacing/>
        <w:rPr>
          <w:rFonts w:cs="Arial"/>
          <w:iCs/>
          <w:szCs w:val="24"/>
          <w:lang w:val="en-ZA"/>
        </w:rPr>
      </w:pPr>
    </w:p>
    <w:p w14:paraId="72AD606B" w14:textId="30227AB3" w:rsidR="0065230D" w:rsidRDefault="0065230D" w:rsidP="00285717">
      <w:pPr>
        <w:spacing w:after="160"/>
        <w:contextualSpacing/>
        <w:rPr>
          <w:rFonts w:cs="Arial"/>
          <w:iCs/>
          <w:szCs w:val="24"/>
          <w:lang w:val="en-ZA"/>
        </w:rPr>
      </w:pPr>
      <w:r>
        <w:rPr>
          <w:rFonts w:cs="Arial"/>
          <w:iCs/>
          <w:szCs w:val="24"/>
          <w:lang w:val="en-ZA"/>
        </w:rPr>
        <w:t>[11] Applicant</w:t>
      </w:r>
      <w:r w:rsidR="00C2308D">
        <w:rPr>
          <w:rFonts w:cs="Arial"/>
          <w:iCs/>
          <w:szCs w:val="24"/>
          <w:lang w:val="en-ZA"/>
        </w:rPr>
        <w:t>’</w:t>
      </w:r>
      <w:r>
        <w:rPr>
          <w:rFonts w:cs="Arial"/>
          <w:iCs/>
          <w:szCs w:val="24"/>
          <w:lang w:val="en-ZA"/>
        </w:rPr>
        <w:t>s attorneys wrote a f</w:t>
      </w:r>
      <w:r w:rsidR="00C2308D">
        <w:rPr>
          <w:rFonts w:cs="Arial"/>
          <w:iCs/>
          <w:szCs w:val="24"/>
          <w:lang w:val="en-ZA"/>
        </w:rPr>
        <w:t>urther letter</w:t>
      </w:r>
      <w:r>
        <w:rPr>
          <w:rFonts w:cs="Arial"/>
          <w:iCs/>
          <w:szCs w:val="24"/>
          <w:lang w:val="en-ZA"/>
        </w:rPr>
        <w:t xml:space="preserve"> to the respondent on 22 June 2018 basically restating the argument in favour of paying out the applicant’s claim on the </w:t>
      </w:r>
      <w:r w:rsidR="00C2308D">
        <w:rPr>
          <w:rFonts w:cs="Arial"/>
          <w:iCs/>
          <w:szCs w:val="24"/>
          <w:lang w:val="en-ZA"/>
        </w:rPr>
        <w:t>strength</w:t>
      </w:r>
      <w:r>
        <w:rPr>
          <w:rFonts w:cs="Arial"/>
          <w:iCs/>
          <w:szCs w:val="24"/>
          <w:lang w:val="en-ZA"/>
        </w:rPr>
        <w:t xml:space="preserve"> of the reports of Dr Groenewald and Kimberley Hospital. The respondent repl</w:t>
      </w:r>
      <w:r w:rsidR="00C2308D">
        <w:rPr>
          <w:rFonts w:cs="Arial"/>
          <w:iCs/>
          <w:szCs w:val="24"/>
          <w:lang w:val="en-ZA"/>
        </w:rPr>
        <w:t>ied</w:t>
      </w:r>
      <w:r>
        <w:rPr>
          <w:rFonts w:cs="Arial"/>
          <w:iCs/>
          <w:szCs w:val="24"/>
          <w:lang w:val="en-ZA"/>
        </w:rPr>
        <w:t xml:space="preserve"> to this letter on 5 July 2018 indicating that the applicant’s claim was again deliberated with the Claim’s Review Committee, the Assessor and</w:t>
      </w:r>
      <w:r w:rsidR="00C2308D">
        <w:rPr>
          <w:rFonts w:cs="Arial"/>
          <w:iCs/>
          <w:szCs w:val="24"/>
          <w:lang w:val="en-ZA"/>
        </w:rPr>
        <w:t xml:space="preserve"> the</w:t>
      </w:r>
      <w:r>
        <w:rPr>
          <w:rFonts w:cs="Arial"/>
          <w:iCs/>
          <w:szCs w:val="24"/>
          <w:lang w:val="en-ZA"/>
        </w:rPr>
        <w:t xml:space="preserve"> medical doctors. The outcome was that the claim should be deferred for a minimum </w:t>
      </w:r>
      <w:r w:rsidR="00DE65F8">
        <w:rPr>
          <w:rFonts w:cs="Arial"/>
          <w:iCs/>
          <w:szCs w:val="24"/>
          <w:lang w:val="en-ZA"/>
        </w:rPr>
        <w:t xml:space="preserve">period </w:t>
      </w:r>
      <w:r>
        <w:rPr>
          <w:rFonts w:cs="Arial"/>
          <w:iCs/>
          <w:szCs w:val="24"/>
          <w:lang w:val="en-ZA"/>
        </w:rPr>
        <w:t>of three months to allow the recent adjustments of the applicant</w:t>
      </w:r>
      <w:r w:rsidR="00C81E01">
        <w:rPr>
          <w:rFonts w:cs="Arial"/>
          <w:iCs/>
          <w:szCs w:val="24"/>
          <w:lang w:val="en-ZA"/>
        </w:rPr>
        <w:t>’</w:t>
      </w:r>
      <w:r>
        <w:rPr>
          <w:rFonts w:cs="Arial"/>
          <w:iCs/>
          <w:szCs w:val="24"/>
          <w:lang w:val="en-ZA"/>
        </w:rPr>
        <w:t xml:space="preserve">s hypertension medication by Dr Groenewald to take effect given the recent report that after initial non-compliance, the applicant was now compliant with his treatment. The deferral would allow a determination to be made whether the applicant was on optimal treatment and </w:t>
      </w:r>
      <w:r w:rsidR="00C81E01">
        <w:rPr>
          <w:rFonts w:cs="Arial"/>
          <w:iCs/>
          <w:szCs w:val="24"/>
          <w:lang w:val="en-ZA"/>
        </w:rPr>
        <w:t xml:space="preserve">had </w:t>
      </w:r>
      <w:r>
        <w:rPr>
          <w:rFonts w:cs="Arial"/>
          <w:iCs/>
          <w:szCs w:val="24"/>
          <w:lang w:val="en-ZA"/>
        </w:rPr>
        <w:t>reach</w:t>
      </w:r>
      <w:r w:rsidR="00C81E01">
        <w:rPr>
          <w:rFonts w:cs="Arial"/>
          <w:iCs/>
          <w:szCs w:val="24"/>
          <w:lang w:val="en-ZA"/>
        </w:rPr>
        <w:t>ed</w:t>
      </w:r>
      <w:r>
        <w:rPr>
          <w:rFonts w:cs="Arial"/>
          <w:iCs/>
          <w:szCs w:val="24"/>
          <w:lang w:val="en-ZA"/>
        </w:rPr>
        <w:t xml:space="preserve"> maximum medical improvement. </w:t>
      </w:r>
      <w:r w:rsidR="00C81E01">
        <w:rPr>
          <w:rFonts w:cs="Arial"/>
          <w:iCs/>
          <w:szCs w:val="24"/>
          <w:lang w:val="en-ZA"/>
        </w:rPr>
        <w:t>The letter confirmed that a</w:t>
      </w:r>
      <w:r>
        <w:rPr>
          <w:rFonts w:cs="Arial"/>
          <w:iCs/>
          <w:szCs w:val="24"/>
          <w:lang w:val="en-ZA"/>
        </w:rPr>
        <w:t xml:space="preserve">fter the expiry of </w:t>
      </w:r>
      <w:r w:rsidR="00C81E01">
        <w:rPr>
          <w:rFonts w:cs="Arial"/>
          <w:iCs/>
          <w:szCs w:val="24"/>
          <w:lang w:val="en-ZA"/>
        </w:rPr>
        <w:t>three</w:t>
      </w:r>
      <w:r>
        <w:rPr>
          <w:rFonts w:cs="Arial"/>
          <w:iCs/>
          <w:szCs w:val="24"/>
          <w:lang w:val="en-ZA"/>
        </w:rPr>
        <w:t xml:space="preserve"> month</w:t>
      </w:r>
      <w:r w:rsidR="00C81E01">
        <w:rPr>
          <w:rFonts w:cs="Arial"/>
          <w:iCs/>
          <w:szCs w:val="24"/>
          <w:lang w:val="en-ZA"/>
        </w:rPr>
        <w:t>s</w:t>
      </w:r>
      <w:r>
        <w:rPr>
          <w:rFonts w:cs="Arial"/>
          <w:iCs/>
          <w:szCs w:val="24"/>
          <w:lang w:val="en-ZA"/>
        </w:rPr>
        <w:t xml:space="preserve"> the claim would be reviewed upon receipt of an up-to-date medical assessment and report from the </w:t>
      </w:r>
      <w:r w:rsidR="00C81E01">
        <w:rPr>
          <w:rFonts w:cs="Arial"/>
          <w:iCs/>
          <w:szCs w:val="24"/>
          <w:lang w:val="en-ZA"/>
        </w:rPr>
        <w:t>treating</w:t>
      </w:r>
      <w:r>
        <w:rPr>
          <w:rFonts w:cs="Arial"/>
          <w:iCs/>
          <w:szCs w:val="24"/>
          <w:lang w:val="en-ZA"/>
        </w:rPr>
        <w:t xml:space="preserve"> specialist, a medication compliance report, and documentation </w:t>
      </w:r>
      <w:r w:rsidR="00DE65F8">
        <w:rPr>
          <w:rFonts w:cs="Arial"/>
          <w:iCs/>
          <w:szCs w:val="24"/>
          <w:lang w:val="en-ZA"/>
        </w:rPr>
        <w:t xml:space="preserve">supporting </w:t>
      </w:r>
      <w:r>
        <w:rPr>
          <w:rFonts w:cs="Arial"/>
          <w:iCs/>
          <w:szCs w:val="24"/>
          <w:lang w:val="en-ZA"/>
        </w:rPr>
        <w:t xml:space="preserve">any </w:t>
      </w:r>
      <w:r w:rsidR="00B95C90">
        <w:rPr>
          <w:rFonts w:cs="Arial"/>
          <w:iCs/>
          <w:szCs w:val="24"/>
          <w:lang w:val="en-ZA"/>
        </w:rPr>
        <w:t>impaired</w:t>
      </w:r>
      <w:r>
        <w:rPr>
          <w:rFonts w:cs="Arial"/>
          <w:iCs/>
          <w:szCs w:val="24"/>
          <w:lang w:val="en-ZA"/>
        </w:rPr>
        <w:t xml:space="preserve"> ADLs. The respondent reiterated that the applicant’s claim was </w:t>
      </w:r>
      <w:r w:rsidR="00B95C90">
        <w:rPr>
          <w:rFonts w:cs="Arial"/>
          <w:iCs/>
          <w:szCs w:val="24"/>
          <w:lang w:val="en-ZA"/>
        </w:rPr>
        <w:t>correct</w:t>
      </w:r>
      <w:r>
        <w:rPr>
          <w:rFonts w:cs="Arial"/>
          <w:iCs/>
          <w:szCs w:val="24"/>
          <w:lang w:val="en-ZA"/>
        </w:rPr>
        <w:t xml:space="preserve">ly assessed and declined on the medical evidence received from his treating </w:t>
      </w:r>
      <w:r w:rsidR="00B95C90">
        <w:rPr>
          <w:rFonts w:cs="Arial"/>
          <w:iCs/>
          <w:szCs w:val="24"/>
          <w:lang w:val="en-ZA"/>
        </w:rPr>
        <w:t>doctor</w:t>
      </w:r>
      <w:r>
        <w:rPr>
          <w:rFonts w:cs="Arial"/>
          <w:iCs/>
          <w:szCs w:val="24"/>
          <w:lang w:val="en-ZA"/>
        </w:rPr>
        <w:t>.</w:t>
      </w:r>
    </w:p>
    <w:p w14:paraId="325B417C" w14:textId="77777777" w:rsidR="00F70360" w:rsidRDefault="00F70360" w:rsidP="00285717">
      <w:pPr>
        <w:spacing w:after="160"/>
        <w:contextualSpacing/>
        <w:rPr>
          <w:rFonts w:cs="Arial"/>
          <w:iCs/>
          <w:szCs w:val="24"/>
          <w:lang w:val="en-ZA"/>
        </w:rPr>
      </w:pPr>
    </w:p>
    <w:p w14:paraId="3A62B2A3" w14:textId="12E47526" w:rsidR="00D80AE1" w:rsidRDefault="0065230D" w:rsidP="00285717">
      <w:pPr>
        <w:spacing w:after="160"/>
        <w:contextualSpacing/>
        <w:rPr>
          <w:rFonts w:cs="Arial"/>
          <w:iCs/>
          <w:szCs w:val="24"/>
          <w:lang w:val="en-ZA"/>
        </w:rPr>
      </w:pPr>
      <w:r>
        <w:rPr>
          <w:rFonts w:cs="Arial"/>
          <w:iCs/>
          <w:szCs w:val="24"/>
          <w:lang w:val="en-ZA"/>
        </w:rPr>
        <w:t>[12] The applicant did not submit the request</w:t>
      </w:r>
      <w:r w:rsidR="00B95C90">
        <w:rPr>
          <w:rFonts w:cs="Arial"/>
          <w:iCs/>
          <w:szCs w:val="24"/>
          <w:lang w:val="en-ZA"/>
        </w:rPr>
        <w:t>ed</w:t>
      </w:r>
      <w:r>
        <w:rPr>
          <w:rFonts w:cs="Arial"/>
          <w:iCs/>
          <w:szCs w:val="24"/>
          <w:lang w:val="en-ZA"/>
        </w:rPr>
        <w:t xml:space="preserve"> reports after the expiry of three months. He did lo</w:t>
      </w:r>
      <w:r w:rsidR="00B95C90">
        <w:rPr>
          <w:rFonts w:cs="Arial"/>
          <w:iCs/>
          <w:szCs w:val="24"/>
          <w:lang w:val="en-ZA"/>
        </w:rPr>
        <w:t>dge</w:t>
      </w:r>
      <w:r>
        <w:rPr>
          <w:rFonts w:cs="Arial"/>
          <w:iCs/>
          <w:szCs w:val="24"/>
          <w:lang w:val="en-ZA"/>
        </w:rPr>
        <w:t xml:space="preserve"> a complaint with the Long</w:t>
      </w:r>
      <w:r w:rsidR="00B95C90">
        <w:rPr>
          <w:rFonts w:cs="Arial"/>
          <w:iCs/>
          <w:szCs w:val="24"/>
          <w:lang w:val="en-ZA"/>
        </w:rPr>
        <w:t xml:space="preserve"> </w:t>
      </w:r>
      <w:r>
        <w:rPr>
          <w:rFonts w:cs="Arial"/>
          <w:iCs/>
          <w:szCs w:val="24"/>
          <w:lang w:val="en-ZA"/>
        </w:rPr>
        <w:t>Term Insurance Ombudsman which was eventually dismissed. The applicant subsequently launched the present proceedings.</w:t>
      </w:r>
    </w:p>
    <w:p w14:paraId="39E05FE9" w14:textId="1B819775" w:rsidR="009962D7" w:rsidRDefault="009962D7" w:rsidP="00285717">
      <w:pPr>
        <w:spacing w:after="160"/>
        <w:contextualSpacing/>
        <w:rPr>
          <w:rFonts w:cs="Arial"/>
          <w:iCs/>
          <w:szCs w:val="24"/>
          <w:lang w:val="en-ZA"/>
        </w:rPr>
      </w:pPr>
    </w:p>
    <w:p w14:paraId="559C26CA" w14:textId="2DBBA9EB" w:rsidR="00F70360" w:rsidRDefault="00F70360" w:rsidP="00285717">
      <w:pPr>
        <w:spacing w:after="160"/>
        <w:contextualSpacing/>
        <w:rPr>
          <w:rFonts w:cs="Arial"/>
          <w:iCs/>
          <w:szCs w:val="24"/>
          <w:lang w:val="en-ZA"/>
        </w:rPr>
      </w:pPr>
    </w:p>
    <w:p w14:paraId="13725DB6" w14:textId="77777777" w:rsidR="00F70360" w:rsidRDefault="00F70360" w:rsidP="00285717">
      <w:pPr>
        <w:spacing w:after="160"/>
        <w:contextualSpacing/>
        <w:rPr>
          <w:rFonts w:cs="Arial"/>
          <w:iCs/>
          <w:szCs w:val="24"/>
          <w:lang w:val="en-ZA"/>
        </w:rPr>
      </w:pPr>
    </w:p>
    <w:p w14:paraId="0ACB12A1" w14:textId="5830FB6A" w:rsidR="009962D7" w:rsidRDefault="009962D7" w:rsidP="00285717">
      <w:pPr>
        <w:spacing w:after="160"/>
        <w:contextualSpacing/>
        <w:rPr>
          <w:rFonts w:cs="Arial"/>
          <w:i/>
          <w:szCs w:val="24"/>
          <w:lang w:val="en-ZA"/>
        </w:rPr>
      </w:pPr>
      <w:r>
        <w:rPr>
          <w:rFonts w:cs="Arial"/>
          <w:i/>
          <w:szCs w:val="24"/>
          <w:lang w:val="en-ZA"/>
        </w:rPr>
        <w:t>Applicant’s case</w:t>
      </w:r>
    </w:p>
    <w:p w14:paraId="6A29F217" w14:textId="66393B5D" w:rsidR="009962D7" w:rsidRDefault="009962D7" w:rsidP="00285717">
      <w:pPr>
        <w:spacing w:after="160"/>
        <w:contextualSpacing/>
        <w:rPr>
          <w:rFonts w:cs="Arial"/>
          <w:i/>
          <w:szCs w:val="24"/>
          <w:lang w:val="en-ZA"/>
        </w:rPr>
      </w:pPr>
    </w:p>
    <w:p w14:paraId="4FF06CD1" w14:textId="51BAC08B" w:rsidR="00412B1A" w:rsidRDefault="009962D7" w:rsidP="00285717">
      <w:pPr>
        <w:spacing w:after="160"/>
        <w:contextualSpacing/>
        <w:rPr>
          <w:rFonts w:cs="Arial"/>
          <w:iCs/>
          <w:szCs w:val="24"/>
          <w:lang w:val="en-ZA"/>
        </w:rPr>
      </w:pPr>
      <w:r>
        <w:rPr>
          <w:rFonts w:cs="Arial"/>
          <w:iCs/>
          <w:szCs w:val="24"/>
          <w:lang w:val="en-ZA"/>
        </w:rPr>
        <w:t>[13] The applicant contended in essence that the respondent</w:t>
      </w:r>
      <w:r w:rsidR="001F175E">
        <w:rPr>
          <w:rFonts w:cs="Arial"/>
          <w:iCs/>
          <w:szCs w:val="24"/>
          <w:lang w:val="en-ZA"/>
        </w:rPr>
        <w:t xml:space="preserve"> </w:t>
      </w:r>
      <w:r w:rsidR="003C44A8">
        <w:rPr>
          <w:rFonts w:cs="Arial"/>
          <w:iCs/>
          <w:szCs w:val="24"/>
          <w:lang w:val="en-ZA"/>
        </w:rPr>
        <w:t>b</w:t>
      </w:r>
      <w:r>
        <w:rPr>
          <w:rFonts w:cs="Arial"/>
          <w:iCs/>
          <w:szCs w:val="24"/>
          <w:lang w:val="en-ZA"/>
        </w:rPr>
        <w:t xml:space="preserve">reached its duty to treat </w:t>
      </w:r>
      <w:r w:rsidR="001F175E">
        <w:rPr>
          <w:rFonts w:cs="Arial"/>
          <w:iCs/>
          <w:szCs w:val="24"/>
          <w:lang w:val="en-ZA"/>
        </w:rPr>
        <w:t>him</w:t>
      </w:r>
      <w:r>
        <w:rPr>
          <w:rFonts w:cs="Arial"/>
          <w:iCs/>
          <w:szCs w:val="24"/>
          <w:lang w:val="en-ZA"/>
        </w:rPr>
        <w:t xml:space="preserve"> fairly by refusing to pay out his claim. The thrust of his case was that there is a statutory duty imposed on the respondent by the Policyholder Protection Rules (“PPRs”) issued in terms of section 62 of the Long-Term Insurance Act, 52 of 1998 (“LTIA”). The crux of his contention is that this duty precluded the respondent from relying on any reasons for repudiating the claim that were not expressly set out in the letter of repudiation dated 7 March 2021 (“March letter”). The applicant referred to this letter as a “</w:t>
      </w:r>
      <w:r w:rsidRPr="009962D7">
        <w:rPr>
          <w:rFonts w:cs="Arial"/>
          <w:i/>
          <w:szCs w:val="24"/>
          <w:lang w:val="en-ZA"/>
        </w:rPr>
        <w:t>statutory notice</w:t>
      </w:r>
      <w:r>
        <w:rPr>
          <w:rFonts w:cs="Arial"/>
          <w:i/>
          <w:szCs w:val="24"/>
          <w:lang w:val="en-ZA"/>
        </w:rPr>
        <w:t>”.</w:t>
      </w:r>
      <w:r w:rsidR="00412B1A">
        <w:rPr>
          <w:rFonts w:cs="Arial"/>
          <w:szCs w:val="24"/>
          <w:lang w:val="en-ZA"/>
        </w:rPr>
        <w:t xml:space="preserve"> This is not entirely correct, since there was no operative </w:t>
      </w:r>
      <w:r w:rsidR="001F175E">
        <w:rPr>
          <w:rFonts w:cs="Arial"/>
          <w:szCs w:val="24"/>
          <w:lang w:val="en-ZA"/>
        </w:rPr>
        <w:t>P</w:t>
      </w:r>
      <w:r w:rsidR="00412B1A">
        <w:rPr>
          <w:rFonts w:cs="Arial"/>
          <w:szCs w:val="24"/>
          <w:lang w:val="en-ZA"/>
        </w:rPr>
        <w:t>PR or other statutory provision that required the respondent in March 2021 to provide a “</w:t>
      </w:r>
      <w:r w:rsidR="00412B1A" w:rsidRPr="00412B1A">
        <w:rPr>
          <w:rFonts w:cs="Arial"/>
          <w:i/>
          <w:iCs/>
          <w:szCs w:val="24"/>
          <w:lang w:val="en-ZA"/>
        </w:rPr>
        <w:t>notice</w:t>
      </w:r>
      <w:r w:rsidR="00412B1A">
        <w:rPr>
          <w:rFonts w:cs="Arial"/>
          <w:i/>
          <w:iCs/>
          <w:szCs w:val="24"/>
          <w:lang w:val="en-ZA"/>
        </w:rPr>
        <w:t>”</w:t>
      </w:r>
      <w:r w:rsidR="00412B1A">
        <w:rPr>
          <w:rFonts w:cs="Arial"/>
          <w:iCs/>
          <w:szCs w:val="24"/>
          <w:lang w:val="en-ZA"/>
        </w:rPr>
        <w:t xml:space="preserve"> of repudiation.</w:t>
      </w:r>
    </w:p>
    <w:p w14:paraId="687495B0" w14:textId="77777777" w:rsidR="00F70360" w:rsidRDefault="00F70360" w:rsidP="00285717">
      <w:pPr>
        <w:spacing w:after="160"/>
        <w:contextualSpacing/>
        <w:rPr>
          <w:rFonts w:cs="Arial"/>
          <w:iCs/>
          <w:szCs w:val="24"/>
          <w:lang w:val="en-ZA"/>
        </w:rPr>
      </w:pPr>
    </w:p>
    <w:p w14:paraId="3CA744EA" w14:textId="5867C01C" w:rsidR="009962D7" w:rsidRDefault="00412B1A" w:rsidP="00285717">
      <w:pPr>
        <w:spacing w:after="160"/>
        <w:contextualSpacing/>
        <w:rPr>
          <w:rFonts w:cs="Arial"/>
          <w:iCs/>
          <w:szCs w:val="24"/>
          <w:lang w:val="en-ZA"/>
        </w:rPr>
      </w:pPr>
      <w:r>
        <w:rPr>
          <w:rFonts w:cs="Arial"/>
          <w:iCs/>
          <w:szCs w:val="24"/>
          <w:lang w:val="en-ZA"/>
        </w:rPr>
        <w:t>[14] The applicant’s position is that the respondent was absolutely bound by the reasons set out in the March letter and cannot add any further reasons. The respondent must accordingly stand or fall on the following reasons advanced in the March letter:</w:t>
      </w:r>
    </w:p>
    <w:p w14:paraId="1F41CEEF" w14:textId="3AAC7BB8" w:rsidR="00412B1A" w:rsidRDefault="00412B1A" w:rsidP="00285717">
      <w:pPr>
        <w:spacing w:after="160"/>
        <w:contextualSpacing/>
        <w:rPr>
          <w:rFonts w:cs="Arial"/>
          <w:iCs/>
          <w:szCs w:val="24"/>
          <w:lang w:val="en-ZA"/>
        </w:rPr>
      </w:pPr>
    </w:p>
    <w:p w14:paraId="061313F8" w14:textId="26D5EFAF" w:rsidR="00412B1A" w:rsidRDefault="00C977A7" w:rsidP="00412B1A">
      <w:pPr>
        <w:spacing w:after="160"/>
        <w:ind w:left="720"/>
        <w:contextualSpacing/>
        <w:rPr>
          <w:rFonts w:cs="Arial"/>
          <w:i/>
          <w:szCs w:val="24"/>
          <w:lang w:val="en-ZA"/>
        </w:rPr>
      </w:pPr>
      <w:r>
        <w:rPr>
          <w:rFonts w:cs="Arial"/>
          <w:szCs w:val="24"/>
          <w:lang w:val="en-ZA"/>
        </w:rPr>
        <w:t>“</w:t>
      </w:r>
      <w:r>
        <w:rPr>
          <w:rFonts w:cs="Arial"/>
          <w:i/>
          <w:szCs w:val="24"/>
          <w:lang w:val="en-ZA"/>
        </w:rPr>
        <w:t xml:space="preserve">The medical information received indicates that </w:t>
      </w:r>
      <w:r w:rsidR="001F175E">
        <w:rPr>
          <w:rFonts w:cs="Arial"/>
          <w:i/>
          <w:szCs w:val="24"/>
          <w:lang w:val="en-ZA"/>
        </w:rPr>
        <w:t xml:space="preserve">you </w:t>
      </w:r>
      <w:r>
        <w:rPr>
          <w:rFonts w:cs="Arial"/>
          <w:i/>
          <w:szCs w:val="24"/>
          <w:lang w:val="en-ZA"/>
        </w:rPr>
        <w:t xml:space="preserve">were diagnosed with Malignant Hypertension and </w:t>
      </w:r>
      <w:r w:rsidR="001F175E">
        <w:rPr>
          <w:rFonts w:cs="Arial"/>
          <w:i/>
          <w:szCs w:val="24"/>
          <w:lang w:val="en-ZA"/>
        </w:rPr>
        <w:t>pl</w:t>
      </w:r>
      <w:r>
        <w:rPr>
          <w:rFonts w:cs="Arial"/>
          <w:i/>
          <w:szCs w:val="24"/>
          <w:lang w:val="en-ZA"/>
        </w:rPr>
        <w:t>a</w:t>
      </w:r>
      <w:r w:rsidR="001F175E">
        <w:rPr>
          <w:rFonts w:cs="Arial"/>
          <w:i/>
          <w:szCs w:val="24"/>
          <w:lang w:val="en-ZA"/>
        </w:rPr>
        <w:t>c</w:t>
      </w:r>
      <w:r>
        <w:rPr>
          <w:rFonts w:cs="Arial"/>
          <w:i/>
          <w:szCs w:val="24"/>
          <w:lang w:val="en-ZA"/>
        </w:rPr>
        <w:t>ed on medication. Your condition is not covered under any of the listed benefit categories, thus</w:t>
      </w:r>
      <w:r w:rsidR="001F175E">
        <w:rPr>
          <w:rFonts w:cs="Arial"/>
          <w:i/>
          <w:szCs w:val="24"/>
          <w:lang w:val="en-ZA"/>
        </w:rPr>
        <w:t xml:space="preserve"> no</w:t>
      </w:r>
      <w:r>
        <w:rPr>
          <w:rFonts w:cs="Arial"/>
          <w:i/>
          <w:szCs w:val="24"/>
          <w:lang w:val="en-ZA"/>
        </w:rPr>
        <w:t xml:space="preserve"> claim is payable.</w:t>
      </w:r>
    </w:p>
    <w:p w14:paraId="4FE77D9B" w14:textId="7ECA8742" w:rsidR="00C977A7" w:rsidRDefault="00C977A7" w:rsidP="00412B1A">
      <w:pPr>
        <w:spacing w:after="160"/>
        <w:ind w:left="720"/>
        <w:contextualSpacing/>
        <w:rPr>
          <w:rFonts w:cs="Arial"/>
          <w:i/>
          <w:iCs/>
          <w:szCs w:val="24"/>
          <w:lang w:val="en-ZA"/>
        </w:rPr>
      </w:pPr>
    </w:p>
    <w:p w14:paraId="3AB3FB05" w14:textId="1158BE41" w:rsidR="00C977A7" w:rsidRDefault="00C977A7" w:rsidP="00412B1A">
      <w:pPr>
        <w:spacing w:after="160"/>
        <w:ind w:left="720"/>
        <w:contextualSpacing/>
        <w:rPr>
          <w:rFonts w:cs="Arial"/>
          <w:i/>
          <w:iCs/>
          <w:szCs w:val="24"/>
          <w:lang w:val="en-ZA"/>
        </w:rPr>
      </w:pPr>
      <w:r>
        <w:rPr>
          <w:rFonts w:cs="Arial"/>
          <w:i/>
          <w:iCs/>
          <w:szCs w:val="24"/>
          <w:lang w:val="en-ZA"/>
        </w:rPr>
        <w:t xml:space="preserve">We have therefore assessed your claim under the Activities of Daily Living Catch all category benefit definition. The medical information also indicates that you may have suffered with a possible TIA (Transient Ischaemic Attack) on 24 October 2017, which fully resolved and there is no reported evidence of any neurological limitations. We noted that you complained of ongoing dizziness, blackouts and headaches and due to the risk associated with these symptoms you are </w:t>
      </w:r>
      <w:r w:rsidR="001F175E">
        <w:rPr>
          <w:rFonts w:cs="Arial"/>
          <w:i/>
          <w:iCs/>
          <w:szCs w:val="24"/>
          <w:lang w:val="en-ZA"/>
        </w:rPr>
        <w:t>no</w:t>
      </w:r>
      <w:r>
        <w:rPr>
          <w:rFonts w:cs="Arial"/>
          <w:i/>
          <w:iCs/>
          <w:szCs w:val="24"/>
          <w:lang w:val="en-ZA"/>
        </w:rPr>
        <w:t xml:space="preserve"> longer allowed to drive.</w:t>
      </w:r>
    </w:p>
    <w:p w14:paraId="37E3E75C" w14:textId="3D2F7D54" w:rsidR="00C977A7" w:rsidRDefault="00C977A7" w:rsidP="00412B1A">
      <w:pPr>
        <w:spacing w:after="160"/>
        <w:ind w:left="720"/>
        <w:contextualSpacing/>
        <w:rPr>
          <w:rFonts w:cs="Arial"/>
          <w:i/>
          <w:iCs/>
          <w:szCs w:val="24"/>
          <w:lang w:val="en-ZA"/>
        </w:rPr>
      </w:pPr>
    </w:p>
    <w:p w14:paraId="61E7CF3D" w14:textId="77A0FC39" w:rsidR="00C977A7" w:rsidRDefault="00C977A7" w:rsidP="00412B1A">
      <w:pPr>
        <w:spacing w:after="160"/>
        <w:ind w:left="720"/>
        <w:contextualSpacing/>
        <w:rPr>
          <w:rFonts w:cs="Arial"/>
          <w:i/>
          <w:iCs/>
          <w:szCs w:val="24"/>
          <w:lang w:val="en-ZA"/>
        </w:rPr>
      </w:pPr>
      <w:r>
        <w:rPr>
          <w:rFonts w:cs="Arial"/>
          <w:i/>
          <w:iCs/>
          <w:szCs w:val="24"/>
          <w:lang w:val="en-ZA"/>
        </w:rPr>
        <w:lastRenderedPageBreak/>
        <w:t xml:space="preserve">In order to qualify for a 50% payment under the Impairment Catch </w:t>
      </w:r>
      <w:r w:rsidR="001F175E">
        <w:rPr>
          <w:rFonts w:cs="Arial"/>
          <w:i/>
          <w:iCs/>
          <w:szCs w:val="24"/>
          <w:lang w:val="en-ZA"/>
        </w:rPr>
        <w:t>a</w:t>
      </w:r>
      <w:r>
        <w:rPr>
          <w:rFonts w:cs="Arial"/>
          <w:i/>
          <w:iCs/>
          <w:szCs w:val="24"/>
          <w:lang w:val="en-ZA"/>
        </w:rPr>
        <w:t>ll benefit definition, there must be evidence that you have a permanent inability to perform one or more Basic ADLs (Activities of Daily Living) and 2 or more instrumental ADLs. Based on the evidence provided, you are still able to perform all the basic ADLs independently (washing, dressing, feeding, continence, mobility and transfers). You are not allowed to perform one of the instrumental ADLs, driving (transport). There are no limitations of any of the</w:t>
      </w:r>
      <w:r w:rsidR="001F175E">
        <w:rPr>
          <w:rFonts w:cs="Arial"/>
          <w:i/>
          <w:iCs/>
          <w:szCs w:val="24"/>
          <w:lang w:val="en-ZA"/>
        </w:rPr>
        <w:t xml:space="preserve"> other </w:t>
      </w:r>
      <w:r>
        <w:rPr>
          <w:rFonts w:cs="Arial"/>
          <w:i/>
          <w:iCs/>
          <w:szCs w:val="24"/>
          <w:lang w:val="en-ZA"/>
        </w:rPr>
        <w:t>listed instrumental ADLs. Your condition therefore does not meet the impairment definition under the ADL Catch</w:t>
      </w:r>
      <w:r w:rsidR="001F175E">
        <w:rPr>
          <w:rFonts w:cs="Arial"/>
          <w:i/>
          <w:iCs/>
          <w:szCs w:val="24"/>
          <w:lang w:val="en-ZA"/>
        </w:rPr>
        <w:t xml:space="preserve"> </w:t>
      </w:r>
      <w:r>
        <w:rPr>
          <w:rFonts w:cs="Arial"/>
          <w:i/>
          <w:iCs/>
          <w:szCs w:val="24"/>
          <w:lang w:val="en-ZA"/>
        </w:rPr>
        <w:t>all or any other benefit definition.”</w:t>
      </w:r>
    </w:p>
    <w:p w14:paraId="75F705FA" w14:textId="20AD4E05" w:rsidR="00C977A7" w:rsidRDefault="00C977A7" w:rsidP="00412B1A">
      <w:pPr>
        <w:spacing w:after="160"/>
        <w:ind w:left="720"/>
        <w:contextualSpacing/>
        <w:rPr>
          <w:rFonts w:cs="Arial"/>
          <w:i/>
          <w:iCs/>
          <w:szCs w:val="24"/>
          <w:lang w:val="en-ZA"/>
        </w:rPr>
      </w:pPr>
    </w:p>
    <w:p w14:paraId="3396D595" w14:textId="5A59708E" w:rsidR="00C977A7" w:rsidRDefault="001F175E" w:rsidP="00C977A7">
      <w:pPr>
        <w:spacing w:after="160"/>
        <w:contextualSpacing/>
        <w:rPr>
          <w:rFonts w:cs="Arial"/>
          <w:szCs w:val="24"/>
          <w:lang w:val="en-ZA"/>
        </w:rPr>
      </w:pPr>
      <w:r>
        <w:rPr>
          <w:rFonts w:cs="Arial"/>
          <w:szCs w:val="24"/>
          <w:lang w:val="en-ZA"/>
        </w:rPr>
        <w:t>[15] T</w:t>
      </w:r>
      <w:r w:rsidR="00C977A7">
        <w:rPr>
          <w:rFonts w:cs="Arial"/>
          <w:szCs w:val="24"/>
          <w:lang w:val="en-ZA"/>
        </w:rPr>
        <w:t>he subsequent report dated 17 April 2018</w:t>
      </w:r>
      <w:r w:rsidR="005410EC">
        <w:rPr>
          <w:rFonts w:cs="Arial"/>
          <w:szCs w:val="24"/>
          <w:lang w:val="en-ZA"/>
        </w:rPr>
        <w:t xml:space="preserve"> obtained by the respondent from Dr Groenewald indicated that </w:t>
      </w:r>
      <w:r w:rsidR="003C44A8">
        <w:rPr>
          <w:rFonts w:cs="Arial"/>
          <w:szCs w:val="24"/>
          <w:lang w:val="en-ZA"/>
        </w:rPr>
        <w:t>4</w:t>
      </w:r>
      <w:r w:rsidR="005410EC">
        <w:rPr>
          <w:rFonts w:cs="Arial"/>
          <w:szCs w:val="24"/>
          <w:lang w:val="en-ZA"/>
        </w:rPr>
        <w:t xml:space="preserve"> Instrumental ADLs were indeed permanently impaired. This </w:t>
      </w:r>
      <w:r>
        <w:rPr>
          <w:rFonts w:cs="Arial"/>
          <w:szCs w:val="24"/>
          <w:lang w:val="en-ZA"/>
        </w:rPr>
        <w:t>brought</w:t>
      </w:r>
      <w:r w:rsidR="005410EC">
        <w:rPr>
          <w:rFonts w:cs="Arial"/>
          <w:szCs w:val="24"/>
          <w:lang w:val="en-ZA"/>
        </w:rPr>
        <w:t xml:space="preserve"> the applicant</w:t>
      </w:r>
      <w:r>
        <w:rPr>
          <w:rFonts w:cs="Arial"/>
          <w:szCs w:val="24"/>
          <w:lang w:val="en-ZA"/>
        </w:rPr>
        <w:t>’</w:t>
      </w:r>
      <w:r w:rsidR="005410EC">
        <w:rPr>
          <w:rFonts w:cs="Arial"/>
          <w:szCs w:val="24"/>
          <w:lang w:val="en-ZA"/>
        </w:rPr>
        <w:t xml:space="preserve">s claim within the 4 corners of the policy and rebutted the reason for the repudiation that is set out in the March letter, namely that only one Instrumental ADL was impaired. This further report was obtained during the review of the decision to repudiate the claim, which was requested by the applicant. The respondent was thus compelled to pay out the claim for </w:t>
      </w:r>
      <w:r>
        <w:rPr>
          <w:rFonts w:cs="Arial"/>
          <w:szCs w:val="24"/>
          <w:lang w:val="en-ZA"/>
        </w:rPr>
        <w:t xml:space="preserve">a </w:t>
      </w:r>
      <w:r w:rsidR="005410EC">
        <w:rPr>
          <w:rFonts w:cs="Arial"/>
          <w:szCs w:val="24"/>
          <w:lang w:val="en-ZA"/>
        </w:rPr>
        <w:t xml:space="preserve">100% </w:t>
      </w:r>
      <w:r>
        <w:rPr>
          <w:rFonts w:cs="Arial"/>
          <w:szCs w:val="24"/>
          <w:lang w:val="en-ZA"/>
        </w:rPr>
        <w:t>impairment</w:t>
      </w:r>
      <w:r w:rsidR="005410EC">
        <w:rPr>
          <w:rFonts w:cs="Arial"/>
          <w:szCs w:val="24"/>
          <w:lang w:val="en-ZA"/>
        </w:rPr>
        <w:t xml:space="preserve"> benefit of </w:t>
      </w:r>
      <w:r>
        <w:rPr>
          <w:rFonts w:cs="Arial"/>
          <w:szCs w:val="24"/>
          <w:lang w:val="en-ZA"/>
        </w:rPr>
        <w:t>R3 million</w:t>
      </w:r>
      <w:r w:rsidR="005410EC">
        <w:rPr>
          <w:rFonts w:cs="Arial"/>
          <w:szCs w:val="24"/>
          <w:lang w:val="en-ZA"/>
        </w:rPr>
        <w:t xml:space="preserve">. Requiring further independent medical assessments amounted to shifting the goalposts and circumventing the March letter which, together with the refusal to pay the claim, amounted to unfair treatment of the applicant in breach of particularly </w:t>
      </w:r>
      <w:r>
        <w:rPr>
          <w:rFonts w:cs="Arial"/>
          <w:szCs w:val="24"/>
          <w:lang w:val="en-ZA"/>
        </w:rPr>
        <w:t>P</w:t>
      </w:r>
      <w:r w:rsidR="005410EC">
        <w:rPr>
          <w:rFonts w:cs="Arial"/>
          <w:szCs w:val="24"/>
          <w:lang w:val="en-ZA"/>
        </w:rPr>
        <w:t xml:space="preserve">PR 1.4 (f) and 17.6.3 of the 2017 </w:t>
      </w:r>
      <w:r w:rsidR="00961CAA">
        <w:rPr>
          <w:rFonts w:cs="Arial"/>
          <w:szCs w:val="24"/>
          <w:lang w:val="en-ZA"/>
        </w:rPr>
        <w:t>P</w:t>
      </w:r>
      <w:r w:rsidR="005410EC">
        <w:rPr>
          <w:rFonts w:cs="Arial"/>
          <w:szCs w:val="24"/>
          <w:lang w:val="en-ZA"/>
        </w:rPr>
        <w:t>PRs</w:t>
      </w:r>
      <w:r w:rsidR="00961CAA">
        <w:rPr>
          <w:rFonts w:cs="Arial"/>
          <w:szCs w:val="24"/>
          <w:lang w:val="en-ZA"/>
        </w:rPr>
        <w:t>.  The lat</w:t>
      </w:r>
      <w:r w:rsidR="00C05378">
        <w:rPr>
          <w:rFonts w:cs="Arial"/>
          <w:szCs w:val="24"/>
          <w:lang w:val="en-ZA"/>
        </w:rPr>
        <w:t>t</w:t>
      </w:r>
      <w:r w:rsidR="00961CAA">
        <w:rPr>
          <w:rFonts w:cs="Arial"/>
          <w:szCs w:val="24"/>
          <w:lang w:val="en-ZA"/>
        </w:rPr>
        <w:t>er</w:t>
      </w:r>
      <w:r w:rsidR="005410EC">
        <w:rPr>
          <w:rFonts w:cs="Arial"/>
          <w:szCs w:val="24"/>
          <w:lang w:val="en-ZA"/>
        </w:rPr>
        <w:t xml:space="preserve"> provide as follows:</w:t>
      </w:r>
    </w:p>
    <w:p w14:paraId="477915F2" w14:textId="0B4BD10A" w:rsidR="005410EC" w:rsidRDefault="005410EC" w:rsidP="00C977A7">
      <w:pPr>
        <w:spacing w:after="160"/>
        <w:contextualSpacing/>
        <w:rPr>
          <w:rFonts w:cs="Arial"/>
          <w:szCs w:val="24"/>
          <w:lang w:val="en-ZA"/>
        </w:rPr>
      </w:pPr>
    </w:p>
    <w:p w14:paraId="769F243A" w14:textId="45922F67" w:rsidR="005410EC" w:rsidRDefault="005410EC" w:rsidP="004F4441">
      <w:pPr>
        <w:spacing w:after="160"/>
        <w:ind w:left="1080"/>
        <w:contextualSpacing/>
        <w:rPr>
          <w:rFonts w:cs="Arial"/>
          <w:bCs/>
          <w:i/>
          <w:iCs/>
          <w:szCs w:val="24"/>
          <w:lang w:val="en-ZA"/>
        </w:rPr>
      </w:pPr>
      <w:r>
        <w:rPr>
          <w:rFonts w:cs="Arial"/>
          <w:i/>
          <w:iCs/>
          <w:szCs w:val="24"/>
          <w:lang w:val="en-ZA"/>
        </w:rPr>
        <w:t>“</w:t>
      </w:r>
      <w:r>
        <w:rPr>
          <w:rFonts w:cs="Arial"/>
          <w:b/>
          <w:i/>
          <w:iCs/>
          <w:szCs w:val="24"/>
          <w:lang w:val="en-ZA"/>
        </w:rPr>
        <w:t>FAIR TREATMENT OF POLICYHOLDERS</w:t>
      </w:r>
    </w:p>
    <w:p w14:paraId="14315956" w14:textId="46EB9A30" w:rsidR="005410EC" w:rsidRDefault="005410EC" w:rsidP="004F4441">
      <w:pPr>
        <w:spacing w:after="160"/>
        <w:ind w:left="1080"/>
        <w:contextualSpacing/>
        <w:rPr>
          <w:rFonts w:cs="Arial"/>
          <w:bCs/>
          <w:i/>
          <w:iCs/>
          <w:szCs w:val="24"/>
          <w:lang w:val="en-ZA"/>
        </w:rPr>
      </w:pPr>
      <w:r>
        <w:rPr>
          <w:rFonts w:cs="Arial"/>
          <w:bCs/>
          <w:i/>
          <w:iCs/>
          <w:szCs w:val="24"/>
          <w:lang w:val="en-ZA"/>
        </w:rPr>
        <w:t>1.4 An insurer must have appropriate policies and procedures in place to achieve the fair treatment of policyholders. The fair treatment of policyholders encompasses achieving at least the following outcomes:</w:t>
      </w:r>
    </w:p>
    <w:p w14:paraId="578704EB" w14:textId="20B1CC70" w:rsidR="005410EC" w:rsidRDefault="005410EC" w:rsidP="004F4441">
      <w:pPr>
        <w:spacing w:after="160"/>
        <w:ind w:left="1440"/>
        <w:contextualSpacing/>
        <w:rPr>
          <w:rFonts w:cs="Arial"/>
          <w:bCs/>
          <w:i/>
          <w:iCs/>
          <w:szCs w:val="24"/>
          <w:lang w:val="en-ZA"/>
        </w:rPr>
      </w:pPr>
      <w:r>
        <w:rPr>
          <w:rFonts w:cs="Arial"/>
          <w:bCs/>
          <w:i/>
          <w:iCs/>
          <w:szCs w:val="24"/>
          <w:lang w:val="en-ZA"/>
        </w:rPr>
        <w:t>…</w:t>
      </w:r>
    </w:p>
    <w:p w14:paraId="5FFC9743" w14:textId="6E8C2003" w:rsidR="005410EC" w:rsidRDefault="005410EC" w:rsidP="004F4441">
      <w:pPr>
        <w:spacing w:after="160"/>
        <w:ind w:left="1440"/>
        <w:contextualSpacing/>
        <w:rPr>
          <w:rFonts w:cs="Arial"/>
          <w:bCs/>
          <w:i/>
          <w:iCs/>
          <w:szCs w:val="24"/>
          <w:lang w:val="en-ZA"/>
        </w:rPr>
      </w:pPr>
      <w:r>
        <w:rPr>
          <w:rFonts w:cs="Arial"/>
          <w:bCs/>
          <w:i/>
          <w:iCs/>
          <w:szCs w:val="24"/>
          <w:lang w:val="en-ZA"/>
        </w:rPr>
        <w:t xml:space="preserve">(f) policyholders do not face unreasonable </w:t>
      </w:r>
      <w:r w:rsidR="007D7BA2">
        <w:rPr>
          <w:rFonts w:cs="Arial"/>
          <w:bCs/>
          <w:i/>
          <w:iCs/>
          <w:szCs w:val="24"/>
          <w:lang w:val="en-ZA"/>
        </w:rPr>
        <w:t>p</w:t>
      </w:r>
      <w:r>
        <w:rPr>
          <w:rFonts w:cs="Arial"/>
          <w:bCs/>
          <w:i/>
          <w:iCs/>
          <w:szCs w:val="24"/>
          <w:lang w:val="en-ZA"/>
        </w:rPr>
        <w:t>ost</w:t>
      </w:r>
      <w:r w:rsidR="007D7BA2">
        <w:rPr>
          <w:rFonts w:cs="Arial"/>
          <w:bCs/>
          <w:i/>
          <w:iCs/>
          <w:szCs w:val="24"/>
          <w:lang w:val="en-ZA"/>
        </w:rPr>
        <w:t>-</w:t>
      </w:r>
      <w:r>
        <w:rPr>
          <w:rFonts w:cs="Arial"/>
          <w:bCs/>
          <w:i/>
          <w:iCs/>
          <w:szCs w:val="24"/>
          <w:lang w:val="en-ZA"/>
        </w:rPr>
        <w:t xml:space="preserve">sale </w:t>
      </w:r>
      <w:r w:rsidR="007D7BA2">
        <w:rPr>
          <w:rFonts w:cs="Arial"/>
          <w:bCs/>
          <w:i/>
          <w:iCs/>
          <w:szCs w:val="24"/>
          <w:lang w:val="en-ZA"/>
        </w:rPr>
        <w:t>barriers</w:t>
      </w:r>
      <w:r>
        <w:rPr>
          <w:rFonts w:cs="Arial"/>
          <w:bCs/>
          <w:i/>
          <w:iCs/>
          <w:szCs w:val="24"/>
          <w:lang w:val="en-ZA"/>
        </w:rPr>
        <w:t xml:space="preserve"> to change or replace the policy, </w:t>
      </w:r>
      <w:r w:rsidR="007D7BA2">
        <w:rPr>
          <w:rFonts w:cs="Arial"/>
          <w:bCs/>
          <w:i/>
          <w:iCs/>
          <w:szCs w:val="24"/>
          <w:lang w:val="en-ZA"/>
        </w:rPr>
        <w:t>submit a</w:t>
      </w:r>
      <w:r>
        <w:rPr>
          <w:rFonts w:cs="Arial"/>
          <w:bCs/>
          <w:i/>
          <w:iCs/>
          <w:szCs w:val="24"/>
          <w:lang w:val="en-ZA"/>
        </w:rPr>
        <w:t xml:space="preserve"> claim or make a complaint.</w:t>
      </w:r>
    </w:p>
    <w:p w14:paraId="7E45397B" w14:textId="2AF8D2A9" w:rsidR="005410EC" w:rsidRDefault="005410EC" w:rsidP="004F4441">
      <w:pPr>
        <w:spacing w:after="160"/>
        <w:ind w:left="1440"/>
        <w:contextualSpacing/>
        <w:rPr>
          <w:rFonts w:cs="Arial"/>
          <w:bCs/>
          <w:i/>
          <w:iCs/>
          <w:szCs w:val="24"/>
          <w:lang w:val="en-ZA"/>
        </w:rPr>
      </w:pPr>
    </w:p>
    <w:p w14:paraId="26B65CC9" w14:textId="77777777" w:rsidR="007D7BA2" w:rsidRDefault="007D7BA2" w:rsidP="004F4441">
      <w:pPr>
        <w:spacing w:after="160"/>
        <w:ind w:left="1440"/>
        <w:contextualSpacing/>
        <w:rPr>
          <w:rFonts w:cs="Arial"/>
          <w:bCs/>
          <w:i/>
          <w:iCs/>
          <w:szCs w:val="24"/>
          <w:lang w:val="en-ZA"/>
        </w:rPr>
      </w:pPr>
    </w:p>
    <w:p w14:paraId="62F59452" w14:textId="77C09D60" w:rsidR="005410EC" w:rsidRDefault="005410EC" w:rsidP="004F4441">
      <w:pPr>
        <w:spacing w:after="160"/>
        <w:ind w:left="1080"/>
        <w:contextualSpacing/>
        <w:rPr>
          <w:rFonts w:cs="Arial"/>
          <w:bCs/>
          <w:i/>
          <w:iCs/>
          <w:szCs w:val="24"/>
          <w:lang w:val="en-ZA"/>
        </w:rPr>
      </w:pPr>
      <w:r>
        <w:rPr>
          <w:rFonts w:cs="Arial"/>
          <w:b/>
          <w:i/>
          <w:iCs/>
          <w:szCs w:val="24"/>
          <w:lang w:val="en-ZA"/>
        </w:rPr>
        <w:lastRenderedPageBreak/>
        <w:t>CLAIMS MANAGEMENT</w:t>
      </w:r>
    </w:p>
    <w:p w14:paraId="33626A0E" w14:textId="032278CA" w:rsidR="005410EC" w:rsidRDefault="004F4441" w:rsidP="004F4441">
      <w:pPr>
        <w:spacing w:after="160"/>
        <w:ind w:left="1080"/>
        <w:contextualSpacing/>
        <w:rPr>
          <w:rFonts w:cs="Arial"/>
          <w:b/>
          <w:i/>
          <w:iCs/>
          <w:szCs w:val="24"/>
          <w:lang w:val="en-ZA"/>
        </w:rPr>
      </w:pPr>
      <w:r>
        <w:rPr>
          <w:rFonts w:cs="Arial"/>
          <w:b/>
          <w:i/>
          <w:iCs/>
          <w:szCs w:val="24"/>
          <w:lang w:val="en-ZA"/>
        </w:rPr>
        <w:t>17.6 Decisions relating to claims and time limitation provisions for the institution of legal action</w:t>
      </w:r>
    </w:p>
    <w:p w14:paraId="751C9386" w14:textId="2353D8C2" w:rsidR="004F4441" w:rsidRDefault="004F4441" w:rsidP="004F4441">
      <w:pPr>
        <w:spacing w:after="160"/>
        <w:ind w:left="1080"/>
        <w:contextualSpacing/>
        <w:rPr>
          <w:rFonts w:cs="Arial"/>
          <w:bCs/>
          <w:i/>
          <w:iCs/>
          <w:szCs w:val="24"/>
          <w:lang w:val="en-ZA"/>
        </w:rPr>
      </w:pPr>
      <w:r>
        <w:rPr>
          <w:rFonts w:cs="Arial"/>
          <w:bCs/>
          <w:i/>
          <w:iCs/>
          <w:szCs w:val="24"/>
          <w:lang w:val="en-ZA"/>
        </w:rPr>
        <w:t xml:space="preserve">17.6.1 An insurer must accept, repudiate or dispute the claim or the quantum of a claim for </w:t>
      </w:r>
      <w:r w:rsidR="007D7BA2">
        <w:rPr>
          <w:rFonts w:cs="Arial"/>
          <w:bCs/>
          <w:i/>
          <w:iCs/>
          <w:szCs w:val="24"/>
          <w:lang w:val="en-ZA"/>
        </w:rPr>
        <w:t xml:space="preserve">a </w:t>
      </w:r>
      <w:r>
        <w:rPr>
          <w:rFonts w:cs="Arial"/>
          <w:bCs/>
          <w:i/>
          <w:iCs/>
          <w:szCs w:val="24"/>
          <w:lang w:val="en-ZA"/>
        </w:rPr>
        <w:t>benefit under the policy within a reasonable period after receipt of a claim.</w:t>
      </w:r>
    </w:p>
    <w:p w14:paraId="130C5D0C" w14:textId="77777777" w:rsidR="004F4441" w:rsidRDefault="004F4441" w:rsidP="004F4441">
      <w:pPr>
        <w:spacing w:after="160"/>
        <w:ind w:left="1080"/>
        <w:contextualSpacing/>
        <w:rPr>
          <w:rFonts w:cs="Arial"/>
          <w:bCs/>
          <w:i/>
          <w:iCs/>
          <w:szCs w:val="24"/>
          <w:lang w:val="en-ZA"/>
        </w:rPr>
      </w:pPr>
      <w:r>
        <w:rPr>
          <w:rFonts w:cs="Arial"/>
          <w:bCs/>
          <w:i/>
          <w:iCs/>
          <w:szCs w:val="24"/>
          <w:lang w:val="en-ZA"/>
        </w:rPr>
        <w:t>17.6.2 An insurer must within 10 days of taking any decision referred to in rule 17.6.1, notify the claimant in writing of its decision.</w:t>
      </w:r>
    </w:p>
    <w:p w14:paraId="0CCF2765" w14:textId="21E062BD" w:rsidR="004F4441" w:rsidRDefault="004F4441" w:rsidP="004F4441">
      <w:pPr>
        <w:spacing w:after="160"/>
        <w:ind w:left="1080"/>
        <w:contextualSpacing/>
        <w:rPr>
          <w:rFonts w:cs="Arial"/>
          <w:bCs/>
          <w:i/>
          <w:iCs/>
          <w:szCs w:val="24"/>
          <w:lang w:val="en-ZA"/>
        </w:rPr>
      </w:pPr>
      <w:r>
        <w:rPr>
          <w:rFonts w:cs="Arial"/>
          <w:bCs/>
          <w:i/>
          <w:iCs/>
          <w:szCs w:val="24"/>
          <w:lang w:val="en-ZA"/>
        </w:rPr>
        <w:t>17.613 If the insure</w:t>
      </w:r>
      <w:r w:rsidR="007D7BA2">
        <w:rPr>
          <w:rFonts w:cs="Arial"/>
          <w:bCs/>
          <w:i/>
          <w:iCs/>
          <w:szCs w:val="24"/>
          <w:lang w:val="en-ZA"/>
        </w:rPr>
        <w:t>r</w:t>
      </w:r>
      <w:r>
        <w:rPr>
          <w:rFonts w:cs="Arial"/>
          <w:bCs/>
          <w:i/>
          <w:iCs/>
          <w:szCs w:val="24"/>
          <w:lang w:val="en-ZA"/>
        </w:rPr>
        <w:t xml:space="preserve"> repudiates or disputes </w:t>
      </w:r>
      <w:r w:rsidR="007D7BA2">
        <w:rPr>
          <w:rFonts w:cs="Arial"/>
          <w:bCs/>
          <w:i/>
          <w:iCs/>
          <w:szCs w:val="24"/>
          <w:lang w:val="en-ZA"/>
        </w:rPr>
        <w:t xml:space="preserve">a </w:t>
      </w:r>
      <w:r>
        <w:rPr>
          <w:rFonts w:cs="Arial"/>
          <w:bCs/>
          <w:i/>
          <w:iCs/>
          <w:szCs w:val="24"/>
          <w:lang w:val="en-ZA"/>
        </w:rPr>
        <w:t>claim or the quantum of a claim, the notice referred to in rule 17.6.2 must, in plain language, inform the claimant –</w:t>
      </w:r>
    </w:p>
    <w:p w14:paraId="66754EBB" w14:textId="6E64B4D6" w:rsidR="004F4441" w:rsidRDefault="004F4441" w:rsidP="004F4441">
      <w:pPr>
        <w:spacing w:after="160"/>
        <w:ind w:left="1440"/>
        <w:contextualSpacing/>
        <w:rPr>
          <w:rFonts w:cs="Arial"/>
          <w:bCs/>
          <w:i/>
          <w:iCs/>
          <w:szCs w:val="24"/>
          <w:lang w:val="en-ZA"/>
        </w:rPr>
      </w:pPr>
      <w:r>
        <w:rPr>
          <w:rFonts w:cs="Arial"/>
          <w:bCs/>
          <w:i/>
          <w:iCs/>
          <w:szCs w:val="24"/>
          <w:lang w:val="en-ZA"/>
        </w:rPr>
        <w:t>(a) of the reasons for the decision, in sufficient detail to enable the claimant to dispute such reasons if the claimant so chooses.”</w:t>
      </w:r>
    </w:p>
    <w:p w14:paraId="66BC0487" w14:textId="5606A1C2" w:rsidR="004F4441" w:rsidRDefault="004F4441" w:rsidP="004F4441">
      <w:pPr>
        <w:spacing w:after="160"/>
        <w:ind w:left="1440"/>
        <w:contextualSpacing/>
        <w:rPr>
          <w:rFonts w:cs="Arial"/>
          <w:bCs/>
          <w:i/>
          <w:iCs/>
          <w:szCs w:val="24"/>
          <w:lang w:val="en-ZA"/>
        </w:rPr>
      </w:pPr>
    </w:p>
    <w:p w14:paraId="57786CD6" w14:textId="5C99BFC0" w:rsidR="004F4441" w:rsidRDefault="004F4441" w:rsidP="004F4441">
      <w:pPr>
        <w:spacing w:after="160"/>
        <w:ind w:left="720"/>
        <w:contextualSpacing/>
        <w:rPr>
          <w:rFonts w:cs="Arial"/>
          <w:bCs/>
          <w:szCs w:val="24"/>
          <w:lang w:val="en-ZA"/>
        </w:rPr>
      </w:pPr>
      <w:r>
        <w:rPr>
          <w:rFonts w:cs="Arial"/>
          <w:bCs/>
          <w:szCs w:val="24"/>
          <w:lang w:val="en-ZA"/>
        </w:rPr>
        <w:t xml:space="preserve">[16] The applicant therefore contended that </w:t>
      </w:r>
      <w:r w:rsidR="00A70405">
        <w:rPr>
          <w:rFonts w:cs="Arial"/>
          <w:bCs/>
          <w:szCs w:val="24"/>
          <w:lang w:val="en-ZA"/>
        </w:rPr>
        <w:t xml:space="preserve">he </w:t>
      </w:r>
      <w:r>
        <w:rPr>
          <w:rFonts w:cs="Arial"/>
          <w:bCs/>
          <w:szCs w:val="24"/>
          <w:lang w:val="en-ZA"/>
        </w:rPr>
        <w:t>was entitled in the circumstances to the relief being sought in the notice of motion.</w:t>
      </w:r>
    </w:p>
    <w:p w14:paraId="6825F958" w14:textId="13DBA519" w:rsidR="004F4441" w:rsidRDefault="004F4441" w:rsidP="004F4441">
      <w:pPr>
        <w:spacing w:after="160"/>
        <w:ind w:left="720"/>
        <w:contextualSpacing/>
        <w:rPr>
          <w:rFonts w:cs="Arial"/>
          <w:bCs/>
          <w:szCs w:val="24"/>
          <w:lang w:val="en-ZA"/>
        </w:rPr>
      </w:pPr>
    </w:p>
    <w:p w14:paraId="6C597AC8" w14:textId="1D089EA6" w:rsidR="004F4441" w:rsidRDefault="004F4441" w:rsidP="004F4441">
      <w:pPr>
        <w:spacing w:after="160"/>
        <w:ind w:left="720"/>
        <w:contextualSpacing/>
        <w:rPr>
          <w:rFonts w:cs="Arial"/>
          <w:bCs/>
          <w:i/>
          <w:iCs/>
          <w:szCs w:val="24"/>
          <w:lang w:val="en-ZA"/>
        </w:rPr>
      </w:pPr>
      <w:r>
        <w:rPr>
          <w:rFonts w:cs="Arial"/>
          <w:bCs/>
          <w:i/>
          <w:iCs/>
          <w:szCs w:val="24"/>
          <w:lang w:val="en-ZA"/>
        </w:rPr>
        <w:t>Respondent’s case</w:t>
      </w:r>
    </w:p>
    <w:p w14:paraId="6EBB09E4" w14:textId="18775A87" w:rsidR="004F4441" w:rsidRDefault="004F4441" w:rsidP="004F4441">
      <w:pPr>
        <w:spacing w:after="160"/>
        <w:ind w:left="720"/>
        <w:contextualSpacing/>
        <w:rPr>
          <w:rFonts w:cs="Arial"/>
          <w:bCs/>
          <w:i/>
          <w:iCs/>
          <w:szCs w:val="24"/>
          <w:lang w:val="en-ZA"/>
        </w:rPr>
      </w:pPr>
    </w:p>
    <w:p w14:paraId="447C6680" w14:textId="4FEC88C2" w:rsidR="004F4441" w:rsidRDefault="004F4441" w:rsidP="004F4441">
      <w:pPr>
        <w:spacing w:after="160"/>
        <w:ind w:left="720"/>
        <w:contextualSpacing/>
        <w:rPr>
          <w:rFonts w:cs="Arial"/>
          <w:bCs/>
          <w:iCs/>
          <w:szCs w:val="24"/>
          <w:lang w:val="en-ZA"/>
        </w:rPr>
      </w:pPr>
      <w:r>
        <w:rPr>
          <w:rFonts w:cs="Arial"/>
          <w:bCs/>
          <w:szCs w:val="24"/>
          <w:lang w:val="en-ZA"/>
        </w:rPr>
        <w:t>[17] The respondent contended that the applicant has failed to establish that he suffered a permanent impairment in order to qualify for payment of a benefit under the insurance policy. This required the presentation of</w:t>
      </w:r>
      <w:r w:rsidRPr="004F4441">
        <w:rPr>
          <w:rFonts w:cs="Arial"/>
          <w:bCs/>
          <w:i/>
          <w:iCs/>
          <w:szCs w:val="24"/>
          <w:lang w:val="en-ZA"/>
        </w:rPr>
        <w:t xml:space="preserve"> viva</w:t>
      </w:r>
      <w:r>
        <w:rPr>
          <w:rFonts w:cs="Arial"/>
          <w:bCs/>
          <w:i/>
          <w:iCs/>
          <w:szCs w:val="24"/>
          <w:lang w:val="en-ZA"/>
        </w:rPr>
        <w:t xml:space="preserve"> </w:t>
      </w:r>
      <w:r w:rsidRPr="004F4441">
        <w:rPr>
          <w:rFonts w:cs="Arial"/>
          <w:bCs/>
          <w:i/>
          <w:iCs/>
          <w:szCs w:val="24"/>
          <w:lang w:val="en-ZA"/>
        </w:rPr>
        <w:t>voce</w:t>
      </w:r>
      <w:r>
        <w:rPr>
          <w:rFonts w:cs="Arial"/>
          <w:bCs/>
          <w:iCs/>
          <w:szCs w:val="24"/>
          <w:lang w:val="en-ZA"/>
        </w:rPr>
        <w:t xml:space="preserve"> expert medical evidence to resolve the dispute </w:t>
      </w:r>
      <w:r w:rsidR="00A70405">
        <w:rPr>
          <w:rFonts w:cs="Arial"/>
          <w:bCs/>
          <w:iCs/>
          <w:szCs w:val="24"/>
          <w:lang w:val="en-ZA"/>
        </w:rPr>
        <w:t>between</w:t>
      </w:r>
      <w:r>
        <w:rPr>
          <w:rFonts w:cs="Arial"/>
          <w:bCs/>
          <w:iCs/>
          <w:szCs w:val="24"/>
          <w:lang w:val="en-ZA"/>
        </w:rPr>
        <w:t xml:space="preserve"> the parties, which the applicant has failed to do. The matter is therefore not capable of resolution by way of motion.</w:t>
      </w:r>
    </w:p>
    <w:p w14:paraId="4047658A" w14:textId="77777777" w:rsidR="00F70360" w:rsidRDefault="00F70360" w:rsidP="004F4441">
      <w:pPr>
        <w:spacing w:after="160"/>
        <w:ind w:left="720"/>
        <w:contextualSpacing/>
        <w:rPr>
          <w:rFonts w:cs="Arial"/>
          <w:bCs/>
          <w:iCs/>
          <w:szCs w:val="24"/>
          <w:lang w:val="en-ZA"/>
        </w:rPr>
      </w:pPr>
    </w:p>
    <w:p w14:paraId="73630F5A" w14:textId="0FC7943B" w:rsidR="00073BD1" w:rsidRDefault="004F4441" w:rsidP="0017751C">
      <w:pPr>
        <w:spacing w:after="160"/>
        <w:ind w:left="720"/>
        <w:contextualSpacing/>
        <w:rPr>
          <w:rFonts w:cs="Arial"/>
          <w:szCs w:val="24"/>
          <w:lang w:val="en-ZA"/>
        </w:rPr>
      </w:pPr>
      <w:r>
        <w:rPr>
          <w:rFonts w:cs="Arial"/>
          <w:bCs/>
          <w:iCs/>
          <w:szCs w:val="24"/>
          <w:lang w:val="en-ZA"/>
        </w:rPr>
        <w:t xml:space="preserve">[18] According to the respondent, the applicant’s reliance on the PPRs for the contention that the respondent was absolutely bound by the March letter, was misplaced. Firstly, </w:t>
      </w:r>
      <w:r w:rsidR="00643F35">
        <w:rPr>
          <w:rFonts w:cs="Arial"/>
          <w:bCs/>
          <w:iCs/>
          <w:szCs w:val="24"/>
          <w:lang w:val="en-ZA"/>
        </w:rPr>
        <w:t>P</w:t>
      </w:r>
      <w:r>
        <w:rPr>
          <w:rFonts w:cs="Arial"/>
          <w:bCs/>
          <w:iCs/>
          <w:szCs w:val="24"/>
          <w:lang w:val="en-ZA"/>
        </w:rPr>
        <w:t>PR 17.6.3 which was relied upon was not in force in March 2018. Secondly, the rule does not provide that the insurer must state “</w:t>
      </w:r>
      <w:r w:rsidRPr="004F4441">
        <w:rPr>
          <w:rFonts w:cs="Arial"/>
          <w:bCs/>
          <w:i/>
          <w:szCs w:val="24"/>
          <w:lang w:val="en-ZA"/>
        </w:rPr>
        <w:t>all</w:t>
      </w:r>
      <w:r>
        <w:rPr>
          <w:rFonts w:cs="Arial"/>
          <w:bCs/>
          <w:i/>
          <w:szCs w:val="24"/>
          <w:lang w:val="en-ZA"/>
        </w:rPr>
        <w:t>”</w:t>
      </w:r>
      <w:r w:rsidR="0017751C">
        <w:rPr>
          <w:rFonts w:cs="Arial"/>
          <w:bCs/>
          <w:szCs w:val="24"/>
          <w:lang w:val="en-ZA"/>
        </w:rPr>
        <w:t xml:space="preserve"> its reasons when initially declin</w:t>
      </w:r>
      <w:r w:rsidR="00C715B7">
        <w:rPr>
          <w:rFonts w:cs="Arial"/>
          <w:bCs/>
          <w:szCs w:val="24"/>
          <w:lang w:val="en-ZA"/>
        </w:rPr>
        <w:t>ing</w:t>
      </w:r>
      <w:r w:rsidR="0017751C">
        <w:rPr>
          <w:rFonts w:cs="Arial"/>
          <w:bCs/>
          <w:szCs w:val="24"/>
          <w:lang w:val="en-ZA"/>
        </w:rPr>
        <w:t xml:space="preserve"> to pay </w:t>
      </w:r>
      <w:r w:rsidR="00AA3A53">
        <w:rPr>
          <w:rFonts w:cs="Arial"/>
          <w:bCs/>
          <w:szCs w:val="24"/>
          <w:lang w:val="en-ZA"/>
        </w:rPr>
        <w:t>a</w:t>
      </w:r>
      <w:r w:rsidR="0017751C">
        <w:rPr>
          <w:rFonts w:cs="Arial"/>
          <w:bCs/>
          <w:szCs w:val="24"/>
          <w:lang w:val="en-ZA"/>
        </w:rPr>
        <w:t xml:space="preserve"> clai</w:t>
      </w:r>
      <w:r w:rsidR="00AA3A53">
        <w:rPr>
          <w:rFonts w:cs="Arial"/>
          <w:bCs/>
          <w:szCs w:val="24"/>
          <w:lang w:val="en-ZA"/>
        </w:rPr>
        <w:t>m</w:t>
      </w:r>
      <w:r w:rsidR="0017751C">
        <w:rPr>
          <w:rFonts w:cs="Arial"/>
          <w:bCs/>
          <w:szCs w:val="24"/>
          <w:lang w:val="en-ZA"/>
        </w:rPr>
        <w:t xml:space="preserve"> at pain of “</w:t>
      </w:r>
      <w:r w:rsidR="0017751C" w:rsidRPr="0017751C">
        <w:rPr>
          <w:rFonts w:cs="Arial"/>
          <w:bCs/>
          <w:i/>
          <w:iCs/>
          <w:szCs w:val="24"/>
          <w:lang w:val="en-ZA"/>
        </w:rPr>
        <w:t>forfeiting</w:t>
      </w:r>
      <w:r w:rsidR="0017751C">
        <w:rPr>
          <w:rFonts w:cs="Arial"/>
          <w:bCs/>
          <w:i/>
          <w:iCs/>
          <w:szCs w:val="24"/>
          <w:lang w:val="en-ZA"/>
        </w:rPr>
        <w:t>”</w:t>
      </w:r>
      <w:r w:rsidR="0017751C">
        <w:rPr>
          <w:rFonts w:cs="Arial"/>
          <w:bCs/>
          <w:iCs/>
          <w:szCs w:val="24"/>
          <w:lang w:val="en-ZA"/>
        </w:rPr>
        <w:t xml:space="preserve"> or “</w:t>
      </w:r>
      <w:r w:rsidR="0017751C">
        <w:rPr>
          <w:rFonts w:cs="Arial"/>
          <w:bCs/>
          <w:i/>
          <w:szCs w:val="24"/>
          <w:lang w:val="en-ZA"/>
        </w:rPr>
        <w:t>waiving”</w:t>
      </w:r>
      <w:r w:rsidR="0017751C">
        <w:rPr>
          <w:rFonts w:cs="Arial"/>
          <w:bCs/>
          <w:iCs/>
          <w:szCs w:val="24"/>
          <w:lang w:val="en-ZA"/>
        </w:rPr>
        <w:t xml:space="preserve"> its right </w:t>
      </w:r>
      <w:r w:rsidR="0017751C">
        <w:rPr>
          <w:rFonts w:cs="Arial"/>
          <w:szCs w:val="24"/>
          <w:lang w:val="en-ZA"/>
        </w:rPr>
        <w:t xml:space="preserve">to raise further reasons. Thirdly, the claim was declined on the strength of the reports that the applicant provided when submitting the claim. The applicant does </w:t>
      </w:r>
      <w:r w:rsidR="0017751C">
        <w:rPr>
          <w:rFonts w:cs="Arial"/>
          <w:szCs w:val="24"/>
          <w:lang w:val="en-ZA"/>
        </w:rPr>
        <w:lastRenderedPageBreak/>
        <w:t>not rely on these reports for the contention that the claim fell within the requirements of the policy, but relies on the reports submitted after the claim was declined. The flaw in the submission that the respondent was legally bound by the initial reasons for rejecting the claim</w:t>
      </w:r>
      <w:r w:rsidR="00C715B7">
        <w:rPr>
          <w:rFonts w:cs="Arial"/>
          <w:szCs w:val="24"/>
          <w:lang w:val="en-ZA"/>
        </w:rPr>
        <w:t xml:space="preserve"> which have subsequently turned out to have been unfounded</w:t>
      </w:r>
      <w:r w:rsidR="0017751C">
        <w:rPr>
          <w:rFonts w:cs="Arial"/>
          <w:szCs w:val="24"/>
          <w:lang w:val="en-ZA"/>
        </w:rPr>
        <w:t>, is that in order to support this assertion the applicant must rely on the reports that were submitted after the March letter. This is illogical. Lastly, the respondent submitted that rule 17.6.3 does not alter the common law position that an insurer or a contractual party need not state all its reasons for rejecting a claim or cancelling a contract at the risk of being seen to have waived other rights that it may have to reject or cancel. It is submitted that a party terminating an agreement and relying on the wrong reason for such termination may rely on any valid reason that was available to</w:t>
      </w:r>
      <w:r w:rsidR="00C715B7">
        <w:rPr>
          <w:rFonts w:cs="Arial"/>
          <w:szCs w:val="24"/>
          <w:lang w:val="en-ZA"/>
        </w:rPr>
        <w:t xml:space="preserve"> it</w:t>
      </w:r>
      <w:r w:rsidR="0017751C">
        <w:rPr>
          <w:rFonts w:cs="Arial"/>
          <w:szCs w:val="24"/>
          <w:lang w:val="en-ZA"/>
        </w:rPr>
        <w:t xml:space="preserve"> even if </w:t>
      </w:r>
      <w:r w:rsidR="00C715B7">
        <w:rPr>
          <w:rFonts w:cs="Arial"/>
          <w:szCs w:val="24"/>
          <w:lang w:val="en-ZA"/>
        </w:rPr>
        <w:t>such reason</w:t>
      </w:r>
      <w:r w:rsidR="0017751C">
        <w:rPr>
          <w:rFonts w:cs="Arial"/>
          <w:szCs w:val="24"/>
          <w:lang w:val="en-ZA"/>
        </w:rPr>
        <w:t xml:space="preserve"> was not originally relied upon (</w:t>
      </w:r>
      <w:r w:rsidR="0017751C">
        <w:rPr>
          <w:rFonts w:cs="Arial"/>
          <w:i/>
          <w:szCs w:val="24"/>
          <w:lang w:val="en-ZA"/>
        </w:rPr>
        <w:t>Matador Buildings (Pty) Ltd v Harman</w:t>
      </w:r>
      <w:r w:rsidR="0017751C">
        <w:rPr>
          <w:rFonts w:cs="Arial"/>
          <w:szCs w:val="24"/>
          <w:lang w:val="en-ZA"/>
        </w:rPr>
        <w:t xml:space="preserve"> 1971 (2) SA 21 (C) at 28A;</w:t>
      </w:r>
      <w:r w:rsidR="0017751C">
        <w:rPr>
          <w:rFonts w:cs="Arial"/>
          <w:i/>
          <w:szCs w:val="24"/>
          <w:lang w:val="en-ZA"/>
        </w:rPr>
        <w:t xml:space="preserve"> Stewart Wrightson (Pty) Ltd v Thorpe</w:t>
      </w:r>
      <w:r w:rsidR="00D56E06">
        <w:rPr>
          <w:rFonts w:cs="Arial"/>
          <w:szCs w:val="24"/>
          <w:lang w:val="en-ZA"/>
        </w:rPr>
        <w:t xml:space="preserve"> 1977 (2) SA 943 (A) at 953G;</w:t>
      </w:r>
      <w:r w:rsidR="00D56E06">
        <w:rPr>
          <w:rFonts w:cs="Arial"/>
          <w:i/>
          <w:szCs w:val="24"/>
          <w:lang w:val="en-ZA"/>
        </w:rPr>
        <w:t xml:space="preserve"> Putco Ltd v TV and Radio Guarantee Company</w:t>
      </w:r>
      <w:r w:rsidR="00D56E06">
        <w:rPr>
          <w:rFonts w:cs="Arial"/>
          <w:szCs w:val="24"/>
          <w:lang w:val="en-ZA"/>
        </w:rPr>
        <w:t xml:space="preserve"> 1985 (4) SA 809 (A) at 832C-D). It further submitted that this trite principle of contract is applied to insurance contracts (</w:t>
      </w:r>
      <w:r w:rsidR="00D56E06">
        <w:rPr>
          <w:rFonts w:cs="Arial"/>
          <w:i/>
          <w:szCs w:val="24"/>
          <w:lang w:val="en-ZA"/>
        </w:rPr>
        <w:t>Shimi v Mutual and Federal Insurance Company of Namibia Ltd (2269/2007)</w:t>
      </w:r>
      <w:r w:rsidR="00D56E06">
        <w:rPr>
          <w:rFonts w:cs="Arial"/>
          <w:szCs w:val="24"/>
          <w:lang w:val="en-ZA"/>
        </w:rPr>
        <w:t xml:space="preserve"> [2008] NAHC 109 (28 July 2008) at paragraph 13).</w:t>
      </w:r>
      <w:r w:rsidR="0017751C">
        <w:rPr>
          <w:rFonts w:cs="Arial"/>
          <w:i/>
          <w:szCs w:val="24"/>
          <w:lang w:val="en-ZA"/>
        </w:rPr>
        <w:t xml:space="preserve"> </w:t>
      </w:r>
      <w:r w:rsidR="00D56E06">
        <w:rPr>
          <w:rFonts w:cs="Arial"/>
          <w:szCs w:val="24"/>
          <w:lang w:val="en-ZA"/>
        </w:rPr>
        <w:t>Furthermore</w:t>
      </w:r>
      <w:r w:rsidR="00C715B7">
        <w:rPr>
          <w:rFonts w:cs="Arial"/>
          <w:szCs w:val="24"/>
          <w:lang w:val="en-ZA"/>
        </w:rPr>
        <w:t>,</w:t>
      </w:r>
      <w:r w:rsidR="00D56E06">
        <w:rPr>
          <w:rFonts w:cs="Arial"/>
          <w:szCs w:val="24"/>
          <w:lang w:val="en-ZA"/>
        </w:rPr>
        <w:t xml:space="preserve"> the well-established rule of interpretation applies</w:t>
      </w:r>
      <w:r w:rsidR="00073BD1">
        <w:rPr>
          <w:rFonts w:cs="Arial"/>
          <w:szCs w:val="24"/>
          <w:lang w:val="en-ZA"/>
        </w:rPr>
        <w:t xml:space="preserve"> that a statute is not to be understood to </w:t>
      </w:r>
      <w:r w:rsidR="00C715B7">
        <w:rPr>
          <w:rFonts w:cs="Arial"/>
          <w:szCs w:val="24"/>
          <w:lang w:val="en-ZA"/>
        </w:rPr>
        <w:t>vary</w:t>
      </w:r>
      <w:r w:rsidR="00073BD1">
        <w:rPr>
          <w:rFonts w:cs="Arial"/>
          <w:szCs w:val="24"/>
          <w:lang w:val="en-ZA"/>
        </w:rPr>
        <w:t xml:space="preserve"> the common law unless </w:t>
      </w:r>
      <w:r w:rsidR="00C715B7">
        <w:rPr>
          <w:rFonts w:cs="Arial"/>
          <w:szCs w:val="24"/>
          <w:lang w:val="en-ZA"/>
        </w:rPr>
        <w:t>it plainly</w:t>
      </w:r>
      <w:r w:rsidR="00073BD1">
        <w:rPr>
          <w:rFonts w:cs="Arial"/>
          <w:szCs w:val="24"/>
          <w:lang w:val="en-ZA"/>
        </w:rPr>
        <w:t xml:space="preserve"> does so and that rule 17.6.3</w:t>
      </w:r>
      <w:r w:rsidR="00C715B7">
        <w:rPr>
          <w:rFonts w:cs="Arial"/>
          <w:szCs w:val="24"/>
          <w:lang w:val="en-ZA"/>
        </w:rPr>
        <w:t xml:space="preserve"> (if it applied)</w:t>
      </w:r>
      <w:r w:rsidR="00073BD1">
        <w:rPr>
          <w:rFonts w:cs="Arial"/>
          <w:szCs w:val="24"/>
          <w:lang w:val="en-ZA"/>
        </w:rPr>
        <w:t xml:space="preserve"> accordingly does not </w:t>
      </w:r>
      <w:r w:rsidR="0079574B">
        <w:rPr>
          <w:rFonts w:cs="Arial"/>
          <w:szCs w:val="24"/>
          <w:lang w:val="en-ZA"/>
        </w:rPr>
        <w:t xml:space="preserve">clearly </w:t>
      </w:r>
      <w:r w:rsidR="00073BD1">
        <w:rPr>
          <w:rFonts w:cs="Arial"/>
          <w:szCs w:val="24"/>
          <w:lang w:val="en-ZA"/>
        </w:rPr>
        <w:t>alter the common law on any interpretation</w:t>
      </w:r>
      <w:r w:rsidR="0079574B">
        <w:rPr>
          <w:rFonts w:cs="Arial"/>
          <w:szCs w:val="24"/>
          <w:lang w:val="en-ZA"/>
        </w:rPr>
        <w:t xml:space="preserve"> thereof</w:t>
      </w:r>
      <w:r w:rsidR="00073BD1">
        <w:rPr>
          <w:rFonts w:cs="Arial"/>
          <w:szCs w:val="24"/>
          <w:lang w:val="en-ZA"/>
        </w:rPr>
        <w:t xml:space="preserve"> (</w:t>
      </w:r>
      <w:r w:rsidR="00073BD1" w:rsidRPr="00073BD1">
        <w:rPr>
          <w:rFonts w:cs="Arial"/>
          <w:i/>
          <w:iCs/>
          <w:szCs w:val="24"/>
          <w:lang w:val="en-ZA"/>
        </w:rPr>
        <w:t>Gordon</w:t>
      </w:r>
      <w:r w:rsidR="00073BD1">
        <w:rPr>
          <w:rFonts w:cs="Arial"/>
          <w:i/>
          <w:iCs/>
          <w:szCs w:val="24"/>
          <w:lang w:val="en-ZA"/>
        </w:rPr>
        <w:t xml:space="preserve"> NO v Standard Merchant Bank Ltd</w:t>
      </w:r>
      <w:r w:rsidR="00073BD1">
        <w:rPr>
          <w:rFonts w:cs="Arial"/>
          <w:iCs/>
          <w:szCs w:val="24"/>
          <w:lang w:val="en-ZA"/>
        </w:rPr>
        <w:t xml:space="preserve"> 1983 (3) SA 68 (A) at 94;</w:t>
      </w:r>
      <w:r w:rsidR="00073BD1" w:rsidRPr="00073BD1">
        <w:rPr>
          <w:rFonts w:cs="Arial"/>
          <w:i/>
          <w:szCs w:val="24"/>
          <w:lang w:val="en-ZA"/>
        </w:rPr>
        <w:t xml:space="preserve"> Fed</w:t>
      </w:r>
      <w:r w:rsidR="0079574B">
        <w:rPr>
          <w:rFonts w:cs="Arial"/>
          <w:i/>
          <w:szCs w:val="24"/>
          <w:lang w:val="en-ZA"/>
        </w:rPr>
        <w:t>l</w:t>
      </w:r>
      <w:r w:rsidR="00073BD1" w:rsidRPr="00073BD1">
        <w:rPr>
          <w:rFonts w:cs="Arial"/>
          <w:i/>
          <w:szCs w:val="24"/>
          <w:lang w:val="en-ZA"/>
        </w:rPr>
        <w:t>ife Assurance Limited</w:t>
      </w:r>
      <w:r w:rsidR="00073BD1">
        <w:rPr>
          <w:rFonts w:cs="Arial"/>
          <w:i/>
          <w:szCs w:val="24"/>
          <w:lang w:val="en-ZA"/>
        </w:rPr>
        <w:t xml:space="preserve"> v Wolfaardt</w:t>
      </w:r>
      <w:r w:rsidR="00073BD1">
        <w:rPr>
          <w:rFonts w:cs="Arial"/>
          <w:szCs w:val="24"/>
          <w:lang w:val="en-ZA"/>
        </w:rPr>
        <w:t xml:space="preserve"> 2002 (1) SA 49 (SCA) at paragraph 16).</w:t>
      </w:r>
    </w:p>
    <w:p w14:paraId="65216F96" w14:textId="77777777" w:rsidR="00F70360" w:rsidRDefault="00F70360" w:rsidP="0017751C">
      <w:pPr>
        <w:spacing w:after="160"/>
        <w:ind w:left="720"/>
        <w:contextualSpacing/>
        <w:rPr>
          <w:rFonts w:cs="Arial"/>
          <w:szCs w:val="24"/>
          <w:lang w:val="en-ZA"/>
        </w:rPr>
      </w:pPr>
    </w:p>
    <w:p w14:paraId="75369861" w14:textId="388EA4D3" w:rsidR="00073BD1" w:rsidRDefault="00073BD1" w:rsidP="0017751C">
      <w:pPr>
        <w:spacing w:after="160"/>
        <w:ind w:left="720"/>
        <w:contextualSpacing/>
        <w:rPr>
          <w:rFonts w:cs="Arial"/>
          <w:szCs w:val="24"/>
          <w:lang w:val="en-ZA"/>
        </w:rPr>
      </w:pPr>
      <w:r>
        <w:rPr>
          <w:rFonts w:cs="Arial"/>
          <w:szCs w:val="24"/>
          <w:lang w:val="en-ZA"/>
        </w:rPr>
        <w:t>[19] The respondent contended that the applicat</w:t>
      </w:r>
      <w:r w:rsidR="0079574B">
        <w:rPr>
          <w:rFonts w:cs="Arial"/>
          <w:szCs w:val="24"/>
          <w:lang w:val="en-ZA"/>
        </w:rPr>
        <w:t>ion</w:t>
      </w:r>
      <w:r>
        <w:rPr>
          <w:rFonts w:cs="Arial"/>
          <w:szCs w:val="24"/>
          <w:lang w:val="en-ZA"/>
        </w:rPr>
        <w:t xml:space="preserve"> should be dismissed for the further reason that the applicant has failed to present affidavits by the doctors</w:t>
      </w:r>
      <w:r w:rsidR="0079574B">
        <w:rPr>
          <w:rFonts w:cs="Arial"/>
          <w:szCs w:val="24"/>
          <w:lang w:val="en-ZA"/>
        </w:rPr>
        <w:t xml:space="preserve"> who</w:t>
      </w:r>
      <w:r>
        <w:rPr>
          <w:rFonts w:cs="Arial"/>
          <w:szCs w:val="24"/>
          <w:lang w:val="en-ZA"/>
        </w:rPr>
        <w:t xml:space="preserve"> diagnosed him</w:t>
      </w:r>
      <w:r w:rsidR="0079574B">
        <w:rPr>
          <w:rFonts w:cs="Arial"/>
          <w:szCs w:val="24"/>
          <w:lang w:val="en-ZA"/>
        </w:rPr>
        <w:t>. T</w:t>
      </w:r>
      <w:r>
        <w:rPr>
          <w:rFonts w:cs="Arial"/>
          <w:szCs w:val="24"/>
          <w:lang w:val="en-ZA"/>
        </w:rPr>
        <w:t>he reports that he annexed to his founding affidavit constituted hearsay. No reason was proffered for this failure</w:t>
      </w:r>
      <w:r w:rsidR="00C05378">
        <w:rPr>
          <w:rFonts w:cs="Arial"/>
          <w:szCs w:val="24"/>
          <w:lang w:val="en-ZA"/>
        </w:rPr>
        <w:t>,</w:t>
      </w:r>
      <w:r>
        <w:rPr>
          <w:rFonts w:cs="Arial"/>
          <w:szCs w:val="24"/>
          <w:lang w:val="en-ZA"/>
        </w:rPr>
        <w:t xml:space="preserve"> which could even have been </w:t>
      </w:r>
      <w:r w:rsidR="0079574B">
        <w:rPr>
          <w:rFonts w:cs="Arial"/>
          <w:szCs w:val="24"/>
          <w:lang w:val="en-ZA"/>
        </w:rPr>
        <w:t>cured</w:t>
      </w:r>
      <w:r>
        <w:rPr>
          <w:rFonts w:cs="Arial"/>
          <w:szCs w:val="24"/>
          <w:lang w:val="en-ZA"/>
        </w:rPr>
        <w:t xml:space="preserve"> in a replying affidavit which the applicant elected not to file. Contrary to the applicant</w:t>
      </w:r>
      <w:r w:rsidR="0079574B">
        <w:rPr>
          <w:rFonts w:cs="Arial"/>
          <w:szCs w:val="24"/>
          <w:lang w:val="en-ZA"/>
        </w:rPr>
        <w:t>’</w:t>
      </w:r>
      <w:r>
        <w:rPr>
          <w:rFonts w:cs="Arial"/>
          <w:szCs w:val="24"/>
          <w:lang w:val="en-ZA"/>
        </w:rPr>
        <w:t xml:space="preserve">s contention, these reports were in fact disputed by the respondent. The </w:t>
      </w:r>
      <w:r>
        <w:rPr>
          <w:rFonts w:cs="Arial"/>
          <w:szCs w:val="24"/>
          <w:lang w:val="en-ZA"/>
        </w:rPr>
        <w:lastRenderedPageBreak/>
        <w:t>applicant erroneously conflate</w:t>
      </w:r>
      <w:r w:rsidR="0079574B">
        <w:rPr>
          <w:rFonts w:cs="Arial"/>
          <w:szCs w:val="24"/>
          <w:lang w:val="en-ZA"/>
        </w:rPr>
        <w:t>d</w:t>
      </w:r>
      <w:r>
        <w:rPr>
          <w:rFonts w:cs="Arial"/>
          <w:szCs w:val="24"/>
          <w:lang w:val="en-ZA"/>
        </w:rPr>
        <w:t xml:space="preserve"> the authenticity of the reports with proof of the veracity of their contents.</w:t>
      </w:r>
    </w:p>
    <w:p w14:paraId="6CF91311" w14:textId="3D80A811" w:rsidR="00073BD1" w:rsidRDefault="00073BD1" w:rsidP="0017751C">
      <w:pPr>
        <w:spacing w:after="160"/>
        <w:ind w:left="720"/>
        <w:contextualSpacing/>
        <w:rPr>
          <w:rFonts w:cs="Arial"/>
          <w:szCs w:val="24"/>
          <w:lang w:val="en-ZA"/>
        </w:rPr>
      </w:pPr>
      <w:r>
        <w:rPr>
          <w:rFonts w:cs="Arial"/>
          <w:szCs w:val="24"/>
          <w:lang w:val="en-ZA"/>
        </w:rPr>
        <w:t>[20] The reports, even if admitted, do not meet the policy</w:t>
      </w:r>
      <w:r w:rsidR="0079574B">
        <w:rPr>
          <w:rFonts w:cs="Arial"/>
          <w:szCs w:val="24"/>
          <w:lang w:val="en-ZA"/>
        </w:rPr>
        <w:t>’s</w:t>
      </w:r>
      <w:r>
        <w:rPr>
          <w:rFonts w:cs="Arial"/>
          <w:szCs w:val="24"/>
          <w:lang w:val="en-ZA"/>
        </w:rPr>
        <w:t xml:space="preserve"> criteria for a successful claim for benefits. No report was submitted by an appropriate specialist. Dr Groenewald is a general practitioner and by his own admission not a specialist.</w:t>
      </w:r>
    </w:p>
    <w:p w14:paraId="0BBC5F7B" w14:textId="77777777" w:rsidR="00F70360" w:rsidRDefault="00F70360" w:rsidP="0017751C">
      <w:pPr>
        <w:spacing w:after="160"/>
        <w:ind w:left="720"/>
        <w:contextualSpacing/>
        <w:rPr>
          <w:rFonts w:cs="Arial"/>
          <w:szCs w:val="24"/>
          <w:lang w:val="en-ZA"/>
        </w:rPr>
      </w:pPr>
    </w:p>
    <w:p w14:paraId="0E5450AF" w14:textId="2F77B8CF" w:rsidR="00073BD1" w:rsidRDefault="00073BD1" w:rsidP="0017751C">
      <w:pPr>
        <w:spacing w:after="160"/>
        <w:ind w:left="720"/>
        <w:contextualSpacing/>
        <w:rPr>
          <w:rFonts w:cs="Arial"/>
          <w:szCs w:val="24"/>
          <w:lang w:val="en-ZA"/>
        </w:rPr>
      </w:pPr>
      <w:r>
        <w:rPr>
          <w:rFonts w:cs="Arial"/>
          <w:szCs w:val="24"/>
          <w:lang w:val="en-ZA"/>
        </w:rPr>
        <w:t>[21] The respondent argued</w:t>
      </w:r>
      <w:r w:rsidR="0079574B">
        <w:rPr>
          <w:rFonts w:cs="Arial"/>
          <w:szCs w:val="24"/>
          <w:lang w:val="en-ZA"/>
        </w:rPr>
        <w:t xml:space="preserve"> further</w:t>
      </w:r>
      <w:r>
        <w:rPr>
          <w:rFonts w:cs="Arial"/>
          <w:szCs w:val="24"/>
          <w:lang w:val="en-ZA"/>
        </w:rPr>
        <w:t xml:space="preserve"> that the applicant failed to comply with the policy conditions by refusing to submit to an examination by an independent specialist. This was a requirement and material term of the policy</w:t>
      </w:r>
      <w:r w:rsidR="0079574B">
        <w:rPr>
          <w:rFonts w:cs="Arial"/>
          <w:szCs w:val="24"/>
          <w:lang w:val="en-ZA"/>
        </w:rPr>
        <w:t>, the binding nature whereof was</w:t>
      </w:r>
      <w:r>
        <w:rPr>
          <w:rFonts w:cs="Arial"/>
          <w:szCs w:val="24"/>
          <w:lang w:val="en-ZA"/>
        </w:rPr>
        <w:t xml:space="preserve"> unrelated to consideration</w:t>
      </w:r>
      <w:r w:rsidR="0079574B">
        <w:rPr>
          <w:rFonts w:cs="Arial"/>
          <w:szCs w:val="24"/>
          <w:lang w:val="en-ZA"/>
        </w:rPr>
        <w:t>s</w:t>
      </w:r>
      <w:r>
        <w:rPr>
          <w:rFonts w:cs="Arial"/>
          <w:szCs w:val="24"/>
          <w:lang w:val="en-ZA"/>
        </w:rPr>
        <w:t xml:space="preserve"> of reasonableness and the like.</w:t>
      </w:r>
    </w:p>
    <w:p w14:paraId="1EF9A25C" w14:textId="77777777" w:rsidR="00F70360" w:rsidRDefault="00F70360" w:rsidP="0017751C">
      <w:pPr>
        <w:spacing w:after="160"/>
        <w:ind w:left="720"/>
        <w:contextualSpacing/>
        <w:rPr>
          <w:rFonts w:cs="Arial"/>
          <w:szCs w:val="24"/>
          <w:lang w:val="en-ZA"/>
        </w:rPr>
      </w:pPr>
    </w:p>
    <w:p w14:paraId="776BE822" w14:textId="180EDBA0" w:rsidR="00D80AE1" w:rsidRDefault="00073BD1" w:rsidP="0017751C">
      <w:pPr>
        <w:spacing w:after="160"/>
        <w:ind w:left="720"/>
        <w:contextualSpacing/>
        <w:rPr>
          <w:rFonts w:cs="Arial"/>
          <w:szCs w:val="24"/>
          <w:lang w:val="en-ZA"/>
        </w:rPr>
      </w:pPr>
      <w:r>
        <w:rPr>
          <w:rFonts w:cs="Arial"/>
          <w:szCs w:val="24"/>
          <w:lang w:val="en-ZA"/>
        </w:rPr>
        <w:t>[22] The respondent thus contended that the application should be dismissed with costs.</w:t>
      </w:r>
    </w:p>
    <w:p w14:paraId="0D0C4B11" w14:textId="2BA878A9" w:rsidR="00073BD1" w:rsidRDefault="00073BD1" w:rsidP="0017751C">
      <w:pPr>
        <w:spacing w:after="160"/>
        <w:ind w:left="720"/>
        <w:contextualSpacing/>
        <w:rPr>
          <w:rFonts w:cs="Arial"/>
          <w:szCs w:val="24"/>
          <w:lang w:val="en-ZA"/>
        </w:rPr>
      </w:pPr>
    </w:p>
    <w:p w14:paraId="7929A8AF" w14:textId="457FC3FC" w:rsidR="00073BD1" w:rsidRDefault="00073BD1" w:rsidP="0017751C">
      <w:pPr>
        <w:spacing w:after="160"/>
        <w:ind w:left="720"/>
        <w:contextualSpacing/>
        <w:rPr>
          <w:rFonts w:cs="Arial"/>
          <w:bCs/>
          <w:i/>
          <w:szCs w:val="24"/>
          <w:lang w:val="en-ZA"/>
        </w:rPr>
      </w:pPr>
      <w:r w:rsidRPr="00073BD1">
        <w:rPr>
          <w:rFonts w:cs="Arial"/>
          <w:bCs/>
          <w:i/>
          <w:szCs w:val="24"/>
          <w:lang w:val="en-ZA"/>
        </w:rPr>
        <w:t>Assessment</w:t>
      </w:r>
    </w:p>
    <w:p w14:paraId="518E731D" w14:textId="60E2EDD5" w:rsidR="00073BD1" w:rsidRDefault="00073BD1" w:rsidP="0017751C">
      <w:pPr>
        <w:spacing w:after="160"/>
        <w:ind w:left="720"/>
        <w:contextualSpacing/>
        <w:rPr>
          <w:rFonts w:cs="Arial"/>
          <w:bCs/>
          <w:i/>
          <w:szCs w:val="24"/>
          <w:lang w:val="en-ZA"/>
        </w:rPr>
      </w:pPr>
    </w:p>
    <w:p w14:paraId="4819DBDF" w14:textId="53B1B2AB" w:rsidR="00073BD1" w:rsidRDefault="00073BD1" w:rsidP="0017751C">
      <w:pPr>
        <w:spacing w:after="160"/>
        <w:ind w:left="720"/>
        <w:contextualSpacing/>
        <w:rPr>
          <w:rFonts w:cs="Arial"/>
          <w:bCs/>
          <w:iCs/>
          <w:szCs w:val="24"/>
          <w:lang w:val="en-ZA"/>
        </w:rPr>
      </w:pPr>
      <w:r>
        <w:rPr>
          <w:rFonts w:cs="Arial"/>
          <w:bCs/>
          <w:iCs/>
          <w:szCs w:val="24"/>
          <w:lang w:val="en-ZA"/>
        </w:rPr>
        <w:t xml:space="preserve">[23] It is clear that </w:t>
      </w:r>
      <w:r w:rsidR="0079574B">
        <w:rPr>
          <w:rFonts w:cs="Arial"/>
          <w:bCs/>
          <w:iCs/>
          <w:szCs w:val="24"/>
          <w:lang w:val="en-ZA"/>
        </w:rPr>
        <w:t>P</w:t>
      </w:r>
      <w:r>
        <w:rPr>
          <w:rFonts w:cs="Arial"/>
          <w:bCs/>
          <w:iCs/>
          <w:szCs w:val="24"/>
          <w:lang w:val="en-ZA"/>
        </w:rPr>
        <w:t xml:space="preserve">PR17.6.3 of the 2017 </w:t>
      </w:r>
      <w:r w:rsidR="0079574B">
        <w:rPr>
          <w:rFonts w:cs="Arial"/>
          <w:bCs/>
          <w:iCs/>
          <w:szCs w:val="24"/>
          <w:lang w:val="en-ZA"/>
        </w:rPr>
        <w:t>P</w:t>
      </w:r>
      <w:r>
        <w:rPr>
          <w:rFonts w:cs="Arial"/>
          <w:bCs/>
          <w:iCs/>
          <w:szCs w:val="24"/>
          <w:lang w:val="en-ZA"/>
        </w:rPr>
        <w:t>PR</w:t>
      </w:r>
      <w:r w:rsidR="0079574B">
        <w:rPr>
          <w:rFonts w:cs="Arial"/>
          <w:bCs/>
          <w:iCs/>
          <w:szCs w:val="24"/>
          <w:lang w:val="en-ZA"/>
        </w:rPr>
        <w:t>s</w:t>
      </w:r>
      <w:r>
        <w:rPr>
          <w:rFonts w:cs="Arial"/>
          <w:bCs/>
          <w:iCs/>
          <w:szCs w:val="24"/>
          <w:lang w:val="en-ZA"/>
        </w:rPr>
        <w:t xml:space="preserve"> was not in operation when the applicant’s claim was dealt with. In terms of clause 2.2 of Chapter 8 of the 2017 </w:t>
      </w:r>
      <w:r w:rsidR="0079574B">
        <w:rPr>
          <w:rFonts w:cs="Arial"/>
          <w:bCs/>
          <w:iCs/>
          <w:szCs w:val="24"/>
          <w:lang w:val="en-ZA"/>
        </w:rPr>
        <w:t>P</w:t>
      </w:r>
      <w:r>
        <w:rPr>
          <w:rFonts w:cs="Arial"/>
          <w:bCs/>
          <w:iCs/>
          <w:szCs w:val="24"/>
          <w:lang w:val="en-ZA"/>
        </w:rPr>
        <w:t>PRs, R</w:t>
      </w:r>
      <w:r w:rsidR="0079574B">
        <w:rPr>
          <w:rFonts w:cs="Arial"/>
          <w:bCs/>
          <w:iCs/>
          <w:szCs w:val="24"/>
          <w:lang w:val="en-ZA"/>
        </w:rPr>
        <w:t>ule</w:t>
      </w:r>
      <w:r>
        <w:rPr>
          <w:rFonts w:cs="Arial"/>
          <w:bCs/>
          <w:iCs/>
          <w:szCs w:val="24"/>
          <w:lang w:val="en-ZA"/>
        </w:rPr>
        <w:t xml:space="preserve"> 17 commenced on 15 December 2018</w:t>
      </w:r>
      <w:r w:rsidR="0079574B">
        <w:rPr>
          <w:rFonts w:cs="Arial"/>
          <w:bCs/>
          <w:iCs/>
          <w:szCs w:val="24"/>
          <w:lang w:val="en-ZA"/>
        </w:rPr>
        <w:t xml:space="preserve"> i</w:t>
      </w:r>
      <w:r w:rsidR="008B0CA9">
        <w:rPr>
          <w:rFonts w:cs="Arial"/>
          <w:bCs/>
          <w:iCs/>
          <w:szCs w:val="24"/>
          <w:lang w:val="en-ZA"/>
        </w:rPr>
        <w:t>.</w:t>
      </w:r>
      <w:r w:rsidR="0079574B">
        <w:rPr>
          <w:rFonts w:cs="Arial"/>
          <w:bCs/>
          <w:iCs/>
          <w:szCs w:val="24"/>
          <w:lang w:val="en-ZA"/>
        </w:rPr>
        <w:t>e</w:t>
      </w:r>
      <w:r w:rsidR="008B0CA9">
        <w:rPr>
          <w:rFonts w:cs="Arial"/>
          <w:bCs/>
          <w:iCs/>
          <w:szCs w:val="24"/>
          <w:lang w:val="en-ZA"/>
        </w:rPr>
        <w:t>.</w:t>
      </w:r>
      <w:r w:rsidR="0079574B">
        <w:rPr>
          <w:rFonts w:cs="Arial"/>
          <w:bCs/>
          <w:iCs/>
          <w:szCs w:val="24"/>
          <w:lang w:val="en-ZA"/>
        </w:rPr>
        <w:t xml:space="preserve"> 12 months after </w:t>
      </w:r>
      <w:r w:rsidR="008B0CA9">
        <w:rPr>
          <w:rFonts w:cs="Arial"/>
          <w:bCs/>
          <w:iCs/>
          <w:szCs w:val="24"/>
          <w:lang w:val="en-ZA"/>
        </w:rPr>
        <w:t>publication of the PPRs in the Government Gazette</w:t>
      </w:r>
      <w:r>
        <w:rPr>
          <w:rFonts w:cs="Arial"/>
          <w:bCs/>
          <w:iCs/>
          <w:szCs w:val="24"/>
          <w:lang w:val="en-ZA"/>
        </w:rPr>
        <w:t>. It accordingly finds no application in this matter.</w:t>
      </w:r>
    </w:p>
    <w:p w14:paraId="632024C8" w14:textId="77777777" w:rsidR="00F70360" w:rsidRDefault="00F70360" w:rsidP="0017751C">
      <w:pPr>
        <w:spacing w:after="160"/>
        <w:ind w:left="720"/>
        <w:contextualSpacing/>
        <w:rPr>
          <w:rFonts w:cs="Arial"/>
          <w:bCs/>
          <w:iCs/>
          <w:szCs w:val="24"/>
          <w:lang w:val="en-ZA"/>
        </w:rPr>
      </w:pPr>
    </w:p>
    <w:p w14:paraId="5159D394" w14:textId="5AA2B475" w:rsidR="005A68D8" w:rsidRDefault="00073BD1" w:rsidP="0017751C">
      <w:pPr>
        <w:spacing w:after="160"/>
        <w:ind w:left="720"/>
        <w:contextualSpacing/>
        <w:rPr>
          <w:rFonts w:cs="Arial"/>
          <w:bCs/>
          <w:iCs/>
          <w:szCs w:val="24"/>
          <w:lang w:val="en-ZA"/>
        </w:rPr>
      </w:pPr>
      <w:r>
        <w:rPr>
          <w:rFonts w:cs="Arial"/>
          <w:bCs/>
          <w:iCs/>
          <w:szCs w:val="24"/>
          <w:lang w:val="en-ZA"/>
        </w:rPr>
        <w:t xml:space="preserve">[24] </w:t>
      </w:r>
      <w:r w:rsidR="008B0CA9">
        <w:rPr>
          <w:rFonts w:cs="Arial"/>
          <w:bCs/>
          <w:iCs/>
          <w:szCs w:val="24"/>
          <w:lang w:val="en-ZA"/>
        </w:rPr>
        <w:t>P</w:t>
      </w:r>
      <w:r>
        <w:rPr>
          <w:rFonts w:cs="Arial"/>
          <w:bCs/>
          <w:iCs/>
          <w:szCs w:val="24"/>
          <w:lang w:val="en-ZA"/>
        </w:rPr>
        <w:t>PR1.4(f) on the other hand, was in operation and applied to the claim. On its plain reading, this rule</w:t>
      </w:r>
      <w:r w:rsidR="008B0CA9">
        <w:rPr>
          <w:rFonts w:cs="Arial"/>
          <w:bCs/>
          <w:iCs/>
          <w:szCs w:val="24"/>
          <w:lang w:val="en-ZA"/>
        </w:rPr>
        <w:t xml:space="preserve"> neither</w:t>
      </w:r>
      <w:r>
        <w:rPr>
          <w:rFonts w:cs="Arial"/>
          <w:bCs/>
          <w:iCs/>
          <w:szCs w:val="24"/>
          <w:lang w:val="en-ZA"/>
        </w:rPr>
        <w:t xml:space="preserve"> support</w:t>
      </w:r>
      <w:r w:rsidR="008B0CA9">
        <w:rPr>
          <w:rFonts w:cs="Arial"/>
          <w:bCs/>
          <w:iCs/>
          <w:szCs w:val="24"/>
          <w:lang w:val="en-ZA"/>
        </w:rPr>
        <w:t>s</w:t>
      </w:r>
      <w:r>
        <w:rPr>
          <w:rFonts w:cs="Arial"/>
          <w:bCs/>
          <w:iCs/>
          <w:szCs w:val="24"/>
          <w:lang w:val="en-ZA"/>
        </w:rPr>
        <w:t xml:space="preserve"> the contention that there was a statutory duty on the respondent to disclose all the reasons for declining the claim</w:t>
      </w:r>
      <w:r w:rsidR="008B0CA9">
        <w:rPr>
          <w:rFonts w:cs="Arial"/>
          <w:bCs/>
          <w:iCs/>
          <w:szCs w:val="24"/>
          <w:lang w:val="en-ZA"/>
        </w:rPr>
        <w:t xml:space="preserve"> nor the contention</w:t>
      </w:r>
      <w:r w:rsidR="005A68D8">
        <w:rPr>
          <w:rFonts w:cs="Arial"/>
          <w:bCs/>
          <w:iCs/>
          <w:szCs w:val="24"/>
          <w:lang w:val="en-ZA"/>
        </w:rPr>
        <w:t xml:space="preserve"> that the rule precluded respondent from relying on any further reasons.</w:t>
      </w:r>
      <w:r w:rsidR="00F16E90">
        <w:rPr>
          <w:rFonts w:cs="Arial"/>
          <w:bCs/>
          <w:iCs/>
          <w:szCs w:val="24"/>
          <w:lang w:val="en-ZA"/>
        </w:rPr>
        <w:t xml:space="preserve"> The non-applicability of PPR</w:t>
      </w:r>
      <w:r w:rsidR="00A8704A">
        <w:rPr>
          <w:rFonts w:cs="Arial"/>
          <w:bCs/>
          <w:iCs/>
          <w:szCs w:val="24"/>
          <w:lang w:val="en-ZA"/>
        </w:rPr>
        <w:t xml:space="preserve">17.6.3 renders it unnecessary to deal with the effect of this provision on the duty of the respondent to provide reasons for repudiating the applicant’s claim. It is also not necessary to consider the applicability of the principle relating to the discovery of </w:t>
      </w:r>
      <w:r w:rsidR="00F70360">
        <w:rPr>
          <w:rFonts w:cs="Arial"/>
          <w:bCs/>
          <w:iCs/>
          <w:szCs w:val="24"/>
          <w:lang w:val="en-ZA"/>
        </w:rPr>
        <w:t>further post</w:t>
      </w:r>
      <w:r w:rsidR="00A8704A">
        <w:rPr>
          <w:rFonts w:cs="Arial"/>
          <w:bCs/>
          <w:iCs/>
          <w:szCs w:val="24"/>
          <w:lang w:val="en-ZA"/>
        </w:rPr>
        <w:t xml:space="preserve">-cancellation reasons justifying the prior cancellation of a contract. I similarly need not finally comment on the cogency </w:t>
      </w:r>
      <w:r w:rsidR="00A8704A">
        <w:rPr>
          <w:rFonts w:cs="Arial"/>
          <w:bCs/>
          <w:iCs/>
          <w:szCs w:val="24"/>
          <w:lang w:val="en-ZA"/>
        </w:rPr>
        <w:lastRenderedPageBreak/>
        <w:t xml:space="preserve">of the conclusion of the Namibian High Court in the </w:t>
      </w:r>
      <w:r w:rsidR="00A8704A">
        <w:rPr>
          <w:rFonts w:cs="Arial"/>
          <w:bCs/>
          <w:i/>
          <w:szCs w:val="24"/>
          <w:lang w:val="en-ZA"/>
        </w:rPr>
        <w:t>Shimi-matter</w:t>
      </w:r>
      <w:r w:rsidR="00A8704A">
        <w:rPr>
          <w:rFonts w:cs="Arial"/>
          <w:bCs/>
          <w:iCs/>
          <w:szCs w:val="24"/>
          <w:lang w:val="en-ZA"/>
        </w:rPr>
        <w:t xml:space="preserve"> referred to above</w:t>
      </w:r>
      <w:r w:rsidR="00643F35">
        <w:rPr>
          <w:rFonts w:cs="Arial"/>
          <w:bCs/>
          <w:iCs/>
          <w:szCs w:val="24"/>
          <w:lang w:val="en-ZA"/>
        </w:rPr>
        <w:t xml:space="preserve"> in paragraph [18]</w:t>
      </w:r>
      <w:r w:rsidR="0071362B">
        <w:rPr>
          <w:rFonts w:cs="Arial"/>
          <w:bCs/>
          <w:iCs/>
          <w:szCs w:val="24"/>
          <w:lang w:val="en-ZA"/>
        </w:rPr>
        <w:t xml:space="preserve"> that this principle also applies to contracts of insurance</w:t>
      </w:r>
      <w:r w:rsidR="00A8704A">
        <w:rPr>
          <w:rFonts w:cs="Arial"/>
          <w:bCs/>
          <w:iCs/>
          <w:szCs w:val="24"/>
          <w:lang w:val="en-ZA"/>
        </w:rPr>
        <w:t xml:space="preserve">, save to indicate that </w:t>
      </w:r>
      <w:r w:rsidR="0071362B">
        <w:rPr>
          <w:rFonts w:cs="Arial"/>
          <w:bCs/>
          <w:iCs/>
          <w:szCs w:val="24"/>
          <w:lang w:val="en-ZA"/>
        </w:rPr>
        <w:t>the conclusion</w:t>
      </w:r>
      <w:r w:rsidR="00A8704A">
        <w:rPr>
          <w:rFonts w:cs="Arial"/>
          <w:bCs/>
          <w:iCs/>
          <w:szCs w:val="24"/>
          <w:lang w:val="en-ZA"/>
        </w:rPr>
        <w:t xml:space="preserve"> commends itself as eminently sensible.</w:t>
      </w:r>
    </w:p>
    <w:p w14:paraId="31D8789A" w14:textId="77777777" w:rsidR="00F70360" w:rsidRPr="00A8704A" w:rsidRDefault="00F70360" w:rsidP="0017751C">
      <w:pPr>
        <w:spacing w:after="160"/>
        <w:ind w:left="720"/>
        <w:contextualSpacing/>
        <w:rPr>
          <w:rFonts w:cs="Arial"/>
          <w:bCs/>
          <w:iCs/>
          <w:szCs w:val="24"/>
          <w:lang w:val="en-ZA"/>
        </w:rPr>
      </w:pPr>
    </w:p>
    <w:p w14:paraId="01C72758" w14:textId="51977FD7" w:rsidR="005A68D8" w:rsidRDefault="005A68D8" w:rsidP="0017751C">
      <w:pPr>
        <w:spacing w:after="160"/>
        <w:ind w:left="720"/>
        <w:contextualSpacing/>
        <w:rPr>
          <w:rFonts w:cs="Arial"/>
          <w:bCs/>
          <w:szCs w:val="24"/>
          <w:lang w:val="en-ZA"/>
        </w:rPr>
      </w:pPr>
      <w:r>
        <w:rPr>
          <w:rFonts w:cs="Arial"/>
          <w:bCs/>
          <w:iCs/>
          <w:szCs w:val="24"/>
          <w:lang w:val="en-ZA"/>
        </w:rPr>
        <w:t xml:space="preserve">[25] </w:t>
      </w:r>
      <w:r w:rsidR="006A67E8">
        <w:rPr>
          <w:rFonts w:cs="Arial"/>
          <w:bCs/>
          <w:iCs/>
          <w:szCs w:val="24"/>
          <w:lang w:val="en-ZA"/>
        </w:rPr>
        <w:t>P</w:t>
      </w:r>
      <w:r>
        <w:rPr>
          <w:rFonts w:cs="Arial"/>
          <w:bCs/>
          <w:iCs/>
          <w:szCs w:val="24"/>
          <w:lang w:val="en-ZA"/>
        </w:rPr>
        <w:t>PR1.4(f) clearly imposed a duty on the respondent to treat the applicant fairly so that he “</w:t>
      </w:r>
      <w:r w:rsidRPr="005A68D8">
        <w:rPr>
          <w:rFonts w:cs="Arial"/>
          <w:bCs/>
          <w:i/>
          <w:szCs w:val="24"/>
          <w:lang w:val="en-ZA"/>
        </w:rPr>
        <w:t>does not face</w:t>
      </w:r>
      <w:r>
        <w:rPr>
          <w:rFonts w:cs="Arial"/>
          <w:bCs/>
          <w:i/>
          <w:szCs w:val="24"/>
          <w:lang w:val="en-ZA"/>
        </w:rPr>
        <w:t xml:space="preserve"> unreasonable post</w:t>
      </w:r>
      <w:r w:rsidR="006A67E8">
        <w:rPr>
          <w:rFonts w:cs="Arial"/>
          <w:bCs/>
          <w:i/>
          <w:szCs w:val="24"/>
          <w:lang w:val="en-ZA"/>
        </w:rPr>
        <w:t>-</w:t>
      </w:r>
      <w:r>
        <w:rPr>
          <w:rFonts w:cs="Arial"/>
          <w:bCs/>
          <w:i/>
          <w:szCs w:val="24"/>
          <w:lang w:val="en-ZA"/>
        </w:rPr>
        <w:t xml:space="preserve">sale barriers to… </w:t>
      </w:r>
      <w:r w:rsidR="006A67E8">
        <w:rPr>
          <w:rFonts w:cs="Arial"/>
          <w:bCs/>
          <w:i/>
          <w:szCs w:val="24"/>
          <w:lang w:val="en-ZA"/>
        </w:rPr>
        <w:t>s</w:t>
      </w:r>
      <w:r>
        <w:rPr>
          <w:rFonts w:cs="Arial"/>
          <w:bCs/>
          <w:i/>
          <w:szCs w:val="24"/>
          <w:lang w:val="en-ZA"/>
        </w:rPr>
        <w:t>ubmit a claim”.</w:t>
      </w:r>
      <w:r>
        <w:rPr>
          <w:rFonts w:cs="Arial"/>
          <w:bCs/>
          <w:szCs w:val="24"/>
          <w:lang w:val="en-ZA"/>
        </w:rPr>
        <w:t xml:space="preserve"> Although the rule appears to deal only with the process of submitting claims</w:t>
      </w:r>
      <w:r w:rsidR="00C05378">
        <w:rPr>
          <w:rFonts w:cs="Arial"/>
          <w:bCs/>
          <w:szCs w:val="24"/>
          <w:lang w:val="en-ZA"/>
        </w:rPr>
        <w:t>,</w:t>
      </w:r>
      <w:r>
        <w:rPr>
          <w:rFonts w:cs="Arial"/>
          <w:bCs/>
          <w:szCs w:val="24"/>
          <w:lang w:val="en-ZA"/>
        </w:rPr>
        <w:t xml:space="preserve"> which is not in issue in these proceedings, I am prepared to accept for present purposes that it also regulates the assessment of claim</w:t>
      </w:r>
      <w:r w:rsidR="008B0CA9">
        <w:rPr>
          <w:rFonts w:cs="Arial"/>
          <w:bCs/>
          <w:szCs w:val="24"/>
          <w:lang w:val="en-ZA"/>
        </w:rPr>
        <w:t>s</w:t>
      </w:r>
      <w:r>
        <w:rPr>
          <w:rFonts w:cs="Arial"/>
          <w:bCs/>
          <w:szCs w:val="24"/>
          <w:lang w:val="en-ZA"/>
        </w:rPr>
        <w:t xml:space="preserve">, as the applicant seemed to contend. On this premise, the respondent would have been bound on the strength of </w:t>
      </w:r>
      <w:r w:rsidR="008B0CA9">
        <w:rPr>
          <w:rFonts w:cs="Arial"/>
          <w:bCs/>
          <w:szCs w:val="24"/>
          <w:lang w:val="en-ZA"/>
        </w:rPr>
        <w:t>P</w:t>
      </w:r>
      <w:r>
        <w:rPr>
          <w:rFonts w:cs="Arial"/>
          <w:bCs/>
          <w:szCs w:val="24"/>
          <w:lang w:val="en-ZA"/>
        </w:rPr>
        <w:t>PR1.4(</w:t>
      </w:r>
      <w:r w:rsidR="006A67E8">
        <w:rPr>
          <w:rFonts w:cs="Arial"/>
          <w:bCs/>
          <w:szCs w:val="24"/>
          <w:lang w:val="en-ZA"/>
        </w:rPr>
        <w:t>f</w:t>
      </w:r>
      <w:r>
        <w:rPr>
          <w:rFonts w:cs="Arial"/>
          <w:bCs/>
          <w:szCs w:val="24"/>
          <w:lang w:val="en-ZA"/>
        </w:rPr>
        <w:t>) to treat the applicant fairly in assessing his claim.</w:t>
      </w:r>
    </w:p>
    <w:p w14:paraId="31D41D7C" w14:textId="77777777" w:rsidR="00F70360" w:rsidRDefault="00F70360" w:rsidP="0017751C">
      <w:pPr>
        <w:spacing w:after="160"/>
        <w:ind w:left="720"/>
        <w:contextualSpacing/>
        <w:rPr>
          <w:rFonts w:cs="Arial"/>
          <w:bCs/>
          <w:szCs w:val="24"/>
          <w:lang w:val="en-ZA"/>
        </w:rPr>
      </w:pPr>
    </w:p>
    <w:p w14:paraId="5987332F" w14:textId="0DC6ACEC" w:rsidR="006A67E8" w:rsidRDefault="005A68D8" w:rsidP="0017751C">
      <w:pPr>
        <w:spacing w:after="160"/>
        <w:ind w:left="720"/>
        <w:contextualSpacing/>
        <w:rPr>
          <w:rFonts w:cs="Arial"/>
          <w:bCs/>
          <w:i/>
          <w:szCs w:val="24"/>
          <w:lang w:val="en-ZA"/>
        </w:rPr>
      </w:pPr>
      <w:r>
        <w:rPr>
          <w:rFonts w:cs="Arial"/>
          <w:bCs/>
          <w:szCs w:val="24"/>
          <w:lang w:val="en-ZA"/>
        </w:rPr>
        <w:t>[26]</w:t>
      </w:r>
      <w:r w:rsidR="004C1109">
        <w:rPr>
          <w:rFonts w:cs="Arial"/>
          <w:bCs/>
          <w:szCs w:val="24"/>
          <w:lang w:val="en-ZA"/>
        </w:rPr>
        <w:t xml:space="preserve"> </w:t>
      </w:r>
      <w:r w:rsidR="006A67E8">
        <w:rPr>
          <w:rFonts w:cs="Arial"/>
          <w:bCs/>
          <w:iCs/>
          <w:szCs w:val="24"/>
          <w:lang w:val="en-ZA"/>
        </w:rPr>
        <w:t>The respondent accepted that it was bound to treat the applicant fairly in assessing his claim as ev</w:t>
      </w:r>
      <w:r w:rsidR="004C1109">
        <w:rPr>
          <w:rFonts w:cs="Arial"/>
          <w:bCs/>
          <w:iCs/>
          <w:szCs w:val="24"/>
          <w:lang w:val="en-ZA"/>
        </w:rPr>
        <w:t>i</w:t>
      </w:r>
      <w:r w:rsidR="006A67E8">
        <w:rPr>
          <w:rFonts w:cs="Arial"/>
          <w:bCs/>
          <w:iCs/>
          <w:szCs w:val="24"/>
          <w:lang w:val="en-ZA"/>
        </w:rPr>
        <w:t>n</w:t>
      </w:r>
      <w:r w:rsidR="004C1109">
        <w:rPr>
          <w:rFonts w:cs="Arial"/>
          <w:bCs/>
          <w:iCs/>
          <w:szCs w:val="24"/>
          <w:lang w:val="en-ZA"/>
        </w:rPr>
        <w:t>ced</w:t>
      </w:r>
      <w:r w:rsidR="006A67E8">
        <w:rPr>
          <w:rFonts w:cs="Arial"/>
          <w:bCs/>
          <w:iCs/>
          <w:szCs w:val="24"/>
          <w:lang w:val="en-ZA"/>
        </w:rPr>
        <w:t xml:space="preserve"> by the contents of the March letter which confirmed that “</w:t>
      </w:r>
      <w:r w:rsidR="006A67E8" w:rsidRPr="006A67E8">
        <w:rPr>
          <w:rFonts w:cs="Arial"/>
          <w:bCs/>
          <w:i/>
          <w:szCs w:val="24"/>
          <w:lang w:val="en-ZA"/>
        </w:rPr>
        <w:t>we</w:t>
      </w:r>
      <w:r w:rsidR="006A67E8">
        <w:rPr>
          <w:rFonts w:cs="Arial"/>
          <w:bCs/>
          <w:i/>
          <w:szCs w:val="24"/>
          <w:lang w:val="en-ZA"/>
        </w:rPr>
        <w:t xml:space="preserve"> follow a rigorous process to ensure that decisions </w:t>
      </w:r>
      <w:r w:rsidR="004C1109">
        <w:rPr>
          <w:rFonts w:cs="Arial"/>
          <w:bCs/>
          <w:i/>
          <w:szCs w:val="24"/>
          <w:lang w:val="en-ZA"/>
        </w:rPr>
        <w:t>are fair</w:t>
      </w:r>
      <w:r w:rsidR="006A67E8">
        <w:rPr>
          <w:rFonts w:cs="Arial"/>
          <w:bCs/>
          <w:i/>
          <w:szCs w:val="24"/>
          <w:lang w:val="en-ZA"/>
        </w:rPr>
        <w:t xml:space="preserve"> in terms of Treating the Customer Fairly (</w:t>
      </w:r>
      <w:r w:rsidR="004C1109">
        <w:rPr>
          <w:rFonts w:cs="Arial"/>
          <w:bCs/>
          <w:i/>
          <w:szCs w:val="24"/>
          <w:lang w:val="en-ZA"/>
        </w:rPr>
        <w:t>T</w:t>
      </w:r>
      <w:r w:rsidR="006A67E8">
        <w:rPr>
          <w:rFonts w:cs="Arial"/>
          <w:bCs/>
          <w:i/>
          <w:szCs w:val="24"/>
          <w:lang w:val="en-ZA"/>
        </w:rPr>
        <w:t>CF) and in line with the terms and conditions of your policy and industry regulatory standards”.</w:t>
      </w:r>
    </w:p>
    <w:p w14:paraId="19E48A84" w14:textId="77777777" w:rsidR="00F70360" w:rsidRDefault="00F70360" w:rsidP="0017751C">
      <w:pPr>
        <w:spacing w:after="160"/>
        <w:ind w:left="720"/>
        <w:contextualSpacing/>
        <w:rPr>
          <w:rFonts w:cs="Arial"/>
          <w:bCs/>
          <w:szCs w:val="24"/>
          <w:lang w:val="en-ZA"/>
        </w:rPr>
      </w:pPr>
    </w:p>
    <w:p w14:paraId="1DC93E4D" w14:textId="63B7DB95" w:rsidR="00957CA6" w:rsidRDefault="006A67E8" w:rsidP="0017751C">
      <w:pPr>
        <w:spacing w:after="160"/>
        <w:ind w:left="720"/>
        <w:contextualSpacing/>
        <w:rPr>
          <w:rFonts w:cs="Arial"/>
          <w:bCs/>
          <w:szCs w:val="24"/>
          <w:lang w:val="en-ZA"/>
        </w:rPr>
      </w:pPr>
      <w:r>
        <w:rPr>
          <w:rFonts w:cs="Arial"/>
          <w:bCs/>
          <w:szCs w:val="24"/>
          <w:lang w:val="en-ZA"/>
        </w:rPr>
        <w:t>[27] The crisp issue</w:t>
      </w:r>
      <w:r w:rsidR="004C1109">
        <w:rPr>
          <w:rFonts w:cs="Arial"/>
          <w:bCs/>
          <w:szCs w:val="24"/>
          <w:lang w:val="en-ZA"/>
        </w:rPr>
        <w:t xml:space="preserve"> therefore</w:t>
      </w:r>
      <w:r>
        <w:rPr>
          <w:rFonts w:cs="Arial"/>
          <w:bCs/>
          <w:szCs w:val="24"/>
          <w:lang w:val="en-ZA"/>
        </w:rPr>
        <w:t xml:space="preserve"> is whether the applicant has established that the respondent acted in breach of the duty of fairness in repudiating his claim.</w:t>
      </w:r>
      <w:r w:rsidR="00957CA6">
        <w:rPr>
          <w:rFonts w:cs="Arial"/>
          <w:bCs/>
          <w:szCs w:val="24"/>
          <w:lang w:val="en-ZA"/>
        </w:rPr>
        <w:t xml:space="preserve"> The applicant in effect contended that the fairness standard required that the respondent should be held to the initial reasons for repudiating the claim</w:t>
      </w:r>
      <w:r w:rsidR="004C1109">
        <w:rPr>
          <w:rFonts w:cs="Arial"/>
          <w:bCs/>
          <w:szCs w:val="24"/>
          <w:lang w:val="en-ZA"/>
        </w:rPr>
        <w:t xml:space="preserve"> and</w:t>
      </w:r>
      <w:r w:rsidR="00957CA6">
        <w:rPr>
          <w:rFonts w:cs="Arial"/>
          <w:bCs/>
          <w:szCs w:val="24"/>
          <w:lang w:val="en-ZA"/>
        </w:rPr>
        <w:t xml:space="preserve"> should not be allowed to raise any further reasons. The initial reasons have been demonstrated to be unfounded by the subsequent report dated 17 April 2018 of Dr Groenewald which confirmed that </w:t>
      </w:r>
      <w:r w:rsidR="00175DA0">
        <w:rPr>
          <w:rFonts w:cs="Arial"/>
          <w:bCs/>
          <w:szCs w:val="24"/>
          <w:lang w:val="en-ZA"/>
        </w:rPr>
        <w:t>4</w:t>
      </w:r>
      <w:r w:rsidR="00957CA6">
        <w:rPr>
          <w:rFonts w:cs="Arial"/>
          <w:bCs/>
          <w:szCs w:val="24"/>
          <w:lang w:val="en-ZA"/>
        </w:rPr>
        <w:t xml:space="preserve"> Instrumental ADLs were in fact permanently impaired. The respondent is therefore compelled to pay the claim. On this approach, it would not amount to fair treatment to allow the respondent to go on </w:t>
      </w:r>
      <w:r w:rsidR="00175DA0">
        <w:rPr>
          <w:rFonts w:cs="Arial"/>
          <w:bCs/>
          <w:szCs w:val="24"/>
          <w:lang w:val="en-ZA"/>
        </w:rPr>
        <w:t xml:space="preserve">a </w:t>
      </w:r>
      <w:r w:rsidR="00957CA6">
        <w:rPr>
          <w:rFonts w:cs="Arial"/>
          <w:bCs/>
          <w:szCs w:val="24"/>
          <w:lang w:val="en-ZA"/>
        </w:rPr>
        <w:t>fishing expedition for other reasons to repudiate the claim.</w:t>
      </w:r>
    </w:p>
    <w:p w14:paraId="1F6FC1D7" w14:textId="77777777" w:rsidR="00F70360" w:rsidRDefault="00F70360" w:rsidP="0017751C">
      <w:pPr>
        <w:spacing w:after="160"/>
        <w:ind w:left="720"/>
        <w:contextualSpacing/>
        <w:rPr>
          <w:rFonts w:cs="Arial"/>
          <w:bCs/>
          <w:szCs w:val="24"/>
          <w:lang w:val="en-ZA"/>
        </w:rPr>
      </w:pPr>
    </w:p>
    <w:p w14:paraId="000B57A3" w14:textId="124B548F" w:rsidR="00957CA6" w:rsidRDefault="00957CA6" w:rsidP="0017751C">
      <w:pPr>
        <w:spacing w:after="160"/>
        <w:ind w:left="720"/>
        <w:contextualSpacing/>
        <w:rPr>
          <w:rFonts w:cs="Arial"/>
          <w:bCs/>
          <w:szCs w:val="24"/>
          <w:lang w:val="en-ZA"/>
        </w:rPr>
      </w:pPr>
      <w:r>
        <w:rPr>
          <w:rFonts w:cs="Arial"/>
          <w:bCs/>
          <w:szCs w:val="24"/>
          <w:lang w:val="en-ZA"/>
        </w:rPr>
        <w:t xml:space="preserve">[28] </w:t>
      </w:r>
      <w:r w:rsidR="00175DA0">
        <w:rPr>
          <w:rFonts w:cs="Arial"/>
          <w:bCs/>
          <w:szCs w:val="24"/>
          <w:lang w:val="en-ZA"/>
        </w:rPr>
        <w:t>I</w:t>
      </w:r>
      <w:r>
        <w:rPr>
          <w:rFonts w:cs="Arial"/>
          <w:bCs/>
          <w:szCs w:val="24"/>
          <w:lang w:val="en-ZA"/>
        </w:rPr>
        <w:t xml:space="preserve">t is readily apparent that </w:t>
      </w:r>
      <w:r w:rsidR="00175DA0">
        <w:rPr>
          <w:rFonts w:cs="Arial"/>
          <w:bCs/>
          <w:szCs w:val="24"/>
          <w:lang w:val="en-ZA"/>
        </w:rPr>
        <w:t>P</w:t>
      </w:r>
      <w:r>
        <w:rPr>
          <w:rFonts w:cs="Arial"/>
          <w:bCs/>
          <w:szCs w:val="24"/>
          <w:lang w:val="en-ZA"/>
        </w:rPr>
        <w:t>PR1.4(f) is aimed at preventing the mischief of introducing unreasonable post</w:t>
      </w:r>
      <w:r w:rsidR="00175DA0">
        <w:rPr>
          <w:rFonts w:cs="Arial"/>
          <w:bCs/>
          <w:szCs w:val="24"/>
          <w:lang w:val="en-ZA"/>
        </w:rPr>
        <w:t>-</w:t>
      </w:r>
      <w:r>
        <w:rPr>
          <w:rFonts w:cs="Arial"/>
          <w:bCs/>
          <w:szCs w:val="24"/>
          <w:lang w:val="en-ZA"/>
        </w:rPr>
        <w:t xml:space="preserve">sale barriers to </w:t>
      </w:r>
      <w:r w:rsidR="00175DA0">
        <w:rPr>
          <w:rFonts w:cs="Arial"/>
          <w:bCs/>
          <w:szCs w:val="24"/>
          <w:lang w:val="en-ZA"/>
        </w:rPr>
        <w:t>frustrate</w:t>
      </w:r>
      <w:r>
        <w:rPr>
          <w:rFonts w:cs="Arial"/>
          <w:bCs/>
          <w:szCs w:val="24"/>
          <w:lang w:val="en-ZA"/>
        </w:rPr>
        <w:t xml:space="preserve"> a policyholder. The </w:t>
      </w:r>
      <w:r>
        <w:rPr>
          <w:rFonts w:cs="Arial"/>
          <w:bCs/>
          <w:szCs w:val="24"/>
          <w:lang w:val="en-ZA"/>
        </w:rPr>
        <w:lastRenderedPageBreak/>
        <w:t xml:space="preserve">provision is clearly aimed at curbing the </w:t>
      </w:r>
      <w:r w:rsidR="00175DA0">
        <w:rPr>
          <w:rFonts w:cs="Arial"/>
          <w:bCs/>
          <w:szCs w:val="24"/>
          <w:lang w:val="en-ZA"/>
        </w:rPr>
        <w:t>im</w:t>
      </w:r>
      <w:r>
        <w:rPr>
          <w:rFonts w:cs="Arial"/>
          <w:bCs/>
          <w:szCs w:val="24"/>
          <w:lang w:val="en-ZA"/>
        </w:rPr>
        <w:t xml:space="preserve">position of unreasonable requirements outside of the policy terms. The latter represent the </w:t>
      </w:r>
      <w:r w:rsidR="00175DA0">
        <w:rPr>
          <w:rFonts w:cs="Arial"/>
          <w:bCs/>
          <w:szCs w:val="24"/>
          <w:lang w:val="en-ZA"/>
        </w:rPr>
        <w:t>bargain</w:t>
      </w:r>
      <w:r>
        <w:rPr>
          <w:rFonts w:cs="Arial"/>
          <w:bCs/>
          <w:szCs w:val="24"/>
          <w:lang w:val="en-ZA"/>
        </w:rPr>
        <w:t xml:space="preserve"> that was struck between the insurer and the policyholder at the point</w:t>
      </w:r>
      <w:r w:rsidR="00175DA0">
        <w:rPr>
          <w:rFonts w:cs="Arial"/>
          <w:bCs/>
          <w:szCs w:val="24"/>
          <w:lang w:val="en-ZA"/>
        </w:rPr>
        <w:t>-</w:t>
      </w:r>
      <w:r>
        <w:rPr>
          <w:rFonts w:cs="Arial"/>
          <w:bCs/>
          <w:szCs w:val="24"/>
          <w:lang w:val="en-ZA"/>
        </w:rPr>
        <w:t>of</w:t>
      </w:r>
      <w:r w:rsidR="00175DA0">
        <w:rPr>
          <w:rFonts w:cs="Arial"/>
          <w:bCs/>
          <w:szCs w:val="24"/>
          <w:lang w:val="en-ZA"/>
        </w:rPr>
        <w:t>-</w:t>
      </w:r>
      <w:r>
        <w:rPr>
          <w:rFonts w:cs="Arial"/>
          <w:bCs/>
          <w:szCs w:val="24"/>
          <w:lang w:val="en-ZA"/>
        </w:rPr>
        <w:t xml:space="preserve">sale of the policy. The </w:t>
      </w:r>
      <w:r w:rsidR="00175DA0">
        <w:rPr>
          <w:rFonts w:cs="Arial"/>
          <w:bCs/>
          <w:szCs w:val="24"/>
          <w:lang w:val="en-ZA"/>
        </w:rPr>
        <w:t xml:space="preserve">applicable </w:t>
      </w:r>
      <w:r>
        <w:rPr>
          <w:rFonts w:cs="Arial"/>
          <w:bCs/>
          <w:szCs w:val="24"/>
          <w:lang w:val="en-ZA"/>
        </w:rPr>
        <w:t>standard of fair</w:t>
      </w:r>
      <w:r w:rsidR="00175DA0">
        <w:rPr>
          <w:rFonts w:cs="Arial"/>
          <w:bCs/>
          <w:szCs w:val="24"/>
          <w:lang w:val="en-ZA"/>
        </w:rPr>
        <w:t xml:space="preserve"> treatment of the policyholder</w:t>
      </w:r>
      <w:r>
        <w:rPr>
          <w:rFonts w:cs="Arial"/>
          <w:bCs/>
          <w:szCs w:val="24"/>
          <w:lang w:val="en-ZA"/>
        </w:rPr>
        <w:t xml:space="preserve"> proscribed such conduct on the part of the insurer.</w:t>
      </w:r>
    </w:p>
    <w:p w14:paraId="6EF7B6CE" w14:textId="77777777" w:rsidR="00F70360" w:rsidRDefault="00F70360" w:rsidP="0017751C">
      <w:pPr>
        <w:spacing w:after="160"/>
        <w:ind w:left="720"/>
        <w:contextualSpacing/>
        <w:rPr>
          <w:rFonts w:cs="Arial"/>
          <w:bCs/>
          <w:szCs w:val="24"/>
          <w:lang w:val="en-ZA"/>
        </w:rPr>
      </w:pPr>
    </w:p>
    <w:p w14:paraId="67CEC6ED" w14:textId="09639F9E" w:rsidR="00957CA6" w:rsidRDefault="00957CA6" w:rsidP="0017751C">
      <w:pPr>
        <w:spacing w:after="160"/>
        <w:ind w:left="720"/>
        <w:contextualSpacing/>
        <w:rPr>
          <w:rFonts w:cs="Arial"/>
          <w:bCs/>
          <w:szCs w:val="24"/>
          <w:lang w:val="en-ZA"/>
        </w:rPr>
      </w:pPr>
      <w:r>
        <w:rPr>
          <w:rFonts w:cs="Arial"/>
          <w:bCs/>
          <w:szCs w:val="24"/>
          <w:lang w:val="en-ZA"/>
        </w:rPr>
        <w:t xml:space="preserve">[29] </w:t>
      </w:r>
      <w:r w:rsidR="00175DA0">
        <w:rPr>
          <w:rFonts w:cs="Arial"/>
          <w:bCs/>
          <w:szCs w:val="24"/>
          <w:lang w:val="en-ZA"/>
        </w:rPr>
        <w:t>B</w:t>
      </w:r>
      <w:r>
        <w:rPr>
          <w:rFonts w:cs="Arial"/>
          <w:bCs/>
          <w:szCs w:val="24"/>
          <w:lang w:val="en-ZA"/>
        </w:rPr>
        <w:t>y the same token, the implementation of the express terms of the policy can hardly be characterised as unfair treatment on any approach.</w:t>
      </w:r>
    </w:p>
    <w:p w14:paraId="4DEF1A6F" w14:textId="77777777" w:rsidR="00F70360" w:rsidRDefault="00F70360" w:rsidP="0017751C">
      <w:pPr>
        <w:spacing w:after="160"/>
        <w:ind w:left="720"/>
        <w:contextualSpacing/>
        <w:rPr>
          <w:rFonts w:cs="Arial"/>
          <w:bCs/>
          <w:szCs w:val="24"/>
          <w:lang w:val="en-ZA"/>
        </w:rPr>
      </w:pPr>
    </w:p>
    <w:p w14:paraId="40CD052D" w14:textId="42FBBDF4" w:rsidR="00957CA6" w:rsidRDefault="00957CA6" w:rsidP="0017751C">
      <w:pPr>
        <w:spacing w:after="160"/>
        <w:ind w:left="720"/>
        <w:contextualSpacing/>
        <w:rPr>
          <w:rFonts w:cs="Arial"/>
          <w:bCs/>
          <w:szCs w:val="24"/>
          <w:lang w:val="en-ZA"/>
        </w:rPr>
      </w:pPr>
      <w:r>
        <w:rPr>
          <w:rFonts w:cs="Arial"/>
          <w:bCs/>
          <w:szCs w:val="24"/>
          <w:lang w:val="en-ZA"/>
        </w:rPr>
        <w:t xml:space="preserve">[30] </w:t>
      </w:r>
      <w:r w:rsidR="00175DA0">
        <w:rPr>
          <w:rFonts w:cs="Arial"/>
          <w:bCs/>
          <w:szCs w:val="24"/>
          <w:lang w:val="en-ZA"/>
        </w:rPr>
        <w:t>I</w:t>
      </w:r>
      <w:r>
        <w:rPr>
          <w:rFonts w:cs="Arial"/>
          <w:bCs/>
          <w:szCs w:val="24"/>
          <w:lang w:val="en-ZA"/>
        </w:rPr>
        <w:t xml:space="preserve">t is not in contention that the applicant’s claim was assessed on the evidence that </w:t>
      </w:r>
      <w:r w:rsidR="00C05378">
        <w:rPr>
          <w:rFonts w:cs="Arial"/>
          <w:bCs/>
          <w:szCs w:val="24"/>
          <w:lang w:val="en-ZA"/>
        </w:rPr>
        <w:t>w</w:t>
      </w:r>
      <w:r w:rsidR="00A017DF">
        <w:rPr>
          <w:rFonts w:cs="Arial"/>
          <w:bCs/>
          <w:szCs w:val="24"/>
          <w:lang w:val="en-ZA"/>
        </w:rPr>
        <w:t>as</w:t>
      </w:r>
      <w:r>
        <w:rPr>
          <w:rFonts w:cs="Arial"/>
          <w:bCs/>
          <w:szCs w:val="24"/>
          <w:lang w:val="en-ZA"/>
        </w:rPr>
        <w:t xml:space="preserve"> submitted in support of the claim. The diagnosis of Malignant Hypertension is not covered in any of the benefit categories. The respondent therefore correctly determined that no claim was payable pursuant to this diagnosis. This was in line with the policy terms. The applicant does not assail this conclusion. He was well advised in this regard.</w:t>
      </w:r>
    </w:p>
    <w:p w14:paraId="4510E161" w14:textId="77777777" w:rsidR="00F70360" w:rsidRDefault="00F70360" w:rsidP="0017751C">
      <w:pPr>
        <w:spacing w:after="160"/>
        <w:ind w:left="720"/>
        <w:contextualSpacing/>
        <w:rPr>
          <w:rFonts w:cs="Arial"/>
          <w:bCs/>
          <w:szCs w:val="24"/>
          <w:lang w:val="en-ZA"/>
        </w:rPr>
      </w:pPr>
    </w:p>
    <w:p w14:paraId="5024D914" w14:textId="7C64133E" w:rsidR="00957CA6" w:rsidRDefault="00957CA6" w:rsidP="0017751C">
      <w:pPr>
        <w:spacing w:after="160"/>
        <w:ind w:left="720"/>
        <w:contextualSpacing/>
        <w:rPr>
          <w:rFonts w:cs="Arial"/>
          <w:bCs/>
          <w:szCs w:val="24"/>
          <w:lang w:val="en-ZA"/>
        </w:rPr>
      </w:pPr>
      <w:r>
        <w:rPr>
          <w:rFonts w:cs="Arial"/>
          <w:bCs/>
          <w:szCs w:val="24"/>
          <w:lang w:val="en-ZA"/>
        </w:rPr>
        <w:t>[31] The remaining leg of the claim resorted under clause 15 relating to the permanent impairment of ADLs. In this regard the March letter indicated that on the evidence provided, the applicant was not allowed to perform one Instrumental ADL, namely driving (transport). There were no limitations of any Basic ADL nor of any of the remaining Instrumental ADLs. The applicant</w:t>
      </w:r>
      <w:r w:rsidR="00175DA0">
        <w:rPr>
          <w:rFonts w:cs="Arial"/>
          <w:bCs/>
          <w:szCs w:val="24"/>
          <w:lang w:val="en-ZA"/>
        </w:rPr>
        <w:t>’</w:t>
      </w:r>
      <w:r>
        <w:rPr>
          <w:rFonts w:cs="Arial"/>
          <w:bCs/>
          <w:szCs w:val="24"/>
          <w:lang w:val="en-ZA"/>
        </w:rPr>
        <w:t>s condition therefore did not meet the impairment definition under clause 15. This conclusion was strictly in accordance with the policy terms and in line with the evidence provided by the applicant. It therefore cannot be assailed as being unfair or unfounded. The applicant does not i</w:t>
      </w:r>
      <w:r w:rsidR="00175DA0">
        <w:rPr>
          <w:rFonts w:cs="Arial"/>
          <w:bCs/>
          <w:szCs w:val="24"/>
          <w:lang w:val="en-ZA"/>
        </w:rPr>
        <w:t>mpugn</w:t>
      </w:r>
      <w:r>
        <w:rPr>
          <w:rFonts w:cs="Arial"/>
          <w:bCs/>
          <w:szCs w:val="24"/>
          <w:lang w:val="en-ZA"/>
        </w:rPr>
        <w:t xml:space="preserve"> the decision based on this reasoning. Its case is based on what transpired in the subsequent review of this decision that was requested by the applicant.</w:t>
      </w:r>
    </w:p>
    <w:p w14:paraId="26432D15" w14:textId="77777777" w:rsidR="00F70360" w:rsidRDefault="00F70360" w:rsidP="0017751C">
      <w:pPr>
        <w:spacing w:after="160"/>
        <w:ind w:left="720"/>
        <w:contextualSpacing/>
        <w:rPr>
          <w:rFonts w:cs="Arial"/>
          <w:bCs/>
          <w:szCs w:val="24"/>
          <w:lang w:val="en-ZA"/>
        </w:rPr>
      </w:pPr>
    </w:p>
    <w:p w14:paraId="1BF770F3" w14:textId="609FA612" w:rsidR="00957CA6" w:rsidRDefault="00957CA6" w:rsidP="0017751C">
      <w:pPr>
        <w:spacing w:after="160"/>
        <w:ind w:left="720"/>
        <w:contextualSpacing/>
        <w:rPr>
          <w:rFonts w:cs="Arial"/>
          <w:bCs/>
          <w:szCs w:val="24"/>
          <w:lang w:val="en-ZA"/>
        </w:rPr>
      </w:pPr>
      <w:r>
        <w:rPr>
          <w:rFonts w:cs="Arial"/>
          <w:bCs/>
          <w:szCs w:val="24"/>
          <w:lang w:val="en-ZA"/>
        </w:rPr>
        <w:t xml:space="preserve">[32] In the course of the subsequent review of the respondent’s decision to repudiate the claim, the respondent obtained the further report of Dr Groenewald which </w:t>
      </w:r>
      <w:r w:rsidR="00175DA0">
        <w:rPr>
          <w:rFonts w:cs="Arial"/>
          <w:bCs/>
          <w:szCs w:val="24"/>
          <w:lang w:val="en-ZA"/>
        </w:rPr>
        <w:t xml:space="preserve">for the first time </w:t>
      </w:r>
      <w:r>
        <w:rPr>
          <w:rFonts w:cs="Arial"/>
          <w:bCs/>
          <w:szCs w:val="24"/>
          <w:lang w:val="en-ZA"/>
        </w:rPr>
        <w:t>indicated permanent impairment in respect of 4 of the Instrumental ADLs. On the applicant</w:t>
      </w:r>
      <w:r w:rsidR="00565A8F">
        <w:rPr>
          <w:rFonts w:cs="Arial"/>
          <w:bCs/>
          <w:szCs w:val="24"/>
          <w:lang w:val="en-ZA"/>
        </w:rPr>
        <w:t>’</w:t>
      </w:r>
      <w:r>
        <w:rPr>
          <w:rFonts w:cs="Arial"/>
          <w:bCs/>
          <w:szCs w:val="24"/>
          <w:lang w:val="en-ZA"/>
        </w:rPr>
        <w:t xml:space="preserve">s argument the respondent should be bound by the </w:t>
      </w:r>
      <w:r>
        <w:rPr>
          <w:rFonts w:cs="Arial"/>
          <w:bCs/>
          <w:szCs w:val="24"/>
          <w:lang w:val="en-ZA"/>
        </w:rPr>
        <w:lastRenderedPageBreak/>
        <w:t>reasons set out in the March letter w</w:t>
      </w:r>
      <w:r w:rsidR="00565A8F">
        <w:rPr>
          <w:rFonts w:cs="Arial"/>
          <w:bCs/>
          <w:szCs w:val="24"/>
          <w:lang w:val="en-ZA"/>
        </w:rPr>
        <w:t>here it</w:t>
      </w:r>
      <w:r>
        <w:rPr>
          <w:rFonts w:cs="Arial"/>
          <w:bCs/>
          <w:szCs w:val="24"/>
          <w:lang w:val="en-ZA"/>
        </w:rPr>
        <w:t xml:space="preserve"> accepted the report of Dr Groenewald that only one Instrumental ADL was impaired. On this reasoning the respondent should now accept that on the further report of the same doctor, 4 of the Instrumental ADLs were permanently impaired. This falls within the definition of clause 15 and qualifies the applicant for</w:t>
      </w:r>
      <w:r w:rsidR="00A017DF">
        <w:rPr>
          <w:rFonts w:cs="Arial"/>
          <w:bCs/>
          <w:szCs w:val="24"/>
          <w:lang w:val="en-ZA"/>
        </w:rPr>
        <w:t xml:space="preserve"> payment of</w:t>
      </w:r>
      <w:r w:rsidR="00565A8F">
        <w:rPr>
          <w:rFonts w:cs="Arial"/>
          <w:bCs/>
          <w:szCs w:val="24"/>
          <w:lang w:val="en-ZA"/>
        </w:rPr>
        <w:t xml:space="preserve"> a</w:t>
      </w:r>
      <w:r>
        <w:rPr>
          <w:rFonts w:cs="Arial"/>
          <w:bCs/>
          <w:szCs w:val="24"/>
          <w:lang w:val="en-ZA"/>
        </w:rPr>
        <w:t xml:space="preserve"> 100% impairment benefit. The initial repudiation should therefore be reviewed in the light of the new evidence and the claim must be paid out. It is accordingly not in line with the applicable fairness standard for the respondent to be allowed to interpose further barriers to the claim such as independent assessments by medical specialists in an attempt to discover new reasons to repudiate the claim.</w:t>
      </w:r>
    </w:p>
    <w:p w14:paraId="462159DD" w14:textId="77777777" w:rsidR="00F70360" w:rsidRDefault="00F70360" w:rsidP="0017751C">
      <w:pPr>
        <w:spacing w:after="160"/>
        <w:ind w:left="720"/>
        <w:contextualSpacing/>
        <w:rPr>
          <w:rFonts w:cs="Arial"/>
          <w:bCs/>
          <w:szCs w:val="24"/>
          <w:lang w:val="en-ZA"/>
        </w:rPr>
      </w:pPr>
    </w:p>
    <w:p w14:paraId="7DBF2FAA" w14:textId="590A5278" w:rsidR="00634929" w:rsidRDefault="00957CA6" w:rsidP="0017751C">
      <w:pPr>
        <w:spacing w:after="160"/>
        <w:ind w:left="720"/>
        <w:contextualSpacing/>
        <w:rPr>
          <w:rFonts w:cs="Arial"/>
          <w:bCs/>
          <w:szCs w:val="24"/>
          <w:lang w:val="en-ZA"/>
        </w:rPr>
      </w:pPr>
      <w:r>
        <w:rPr>
          <w:rFonts w:cs="Arial"/>
          <w:bCs/>
          <w:szCs w:val="24"/>
          <w:lang w:val="en-ZA"/>
        </w:rPr>
        <w:t xml:space="preserve">[33] </w:t>
      </w:r>
      <w:r w:rsidR="00565A8F">
        <w:rPr>
          <w:rFonts w:cs="Arial"/>
          <w:bCs/>
          <w:szCs w:val="24"/>
          <w:lang w:val="en-ZA"/>
        </w:rPr>
        <w:t>W</w:t>
      </w:r>
      <w:r>
        <w:rPr>
          <w:rFonts w:cs="Arial"/>
          <w:bCs/>
          <w:szCs w:val="24"/>
          <w:lang w:val="en-ZA"/>
        </w:rPr>
        <w:t>hile the applicant</w:t>
      </w:r>
      <w:r w:rsidR="00565A8F">
        <w:rPr>
          <w:rFonts w:cs="Arial"/>
          <w:bCs/>
          <w:szCs w:val="24"/>
          <w:lang w:val="en-ZA"/>
        </w:rPr>
        <w:t>’</w:t>
      </w:r>
      <w:r>
        <w:rPr>
          <w:rFonts w:cs="Arial"/>
          <w:bCs/>
          <w:szCs w:val="24"/>
          <w:lang w:val="en-ZA"/>
        </w:rPr>
        <w:t xml:space="preserve">s argument is beguiling, it is not sustainable in my view. It is readily apparent that the respondent had assessed the claim as submitted on face value. The claim </w:t>
      </w:r>
      <w:r w:rsidR="00565A8F">
        <w:rPr>
          <w:rFonts w:cs="Arial"/>
          <w:bCs/>
          <w:szCs w:val="24"/>
          <w:lang w:val="en-ZA"/>
        </w:rPr>
        <w:t>p</w:t>
      </w:r>
      <w:r>
        <w:rPr>
          <w:rFonts w:cs="Arial"/>
          <w:bCs/>
          <w:szCs w:val="24"/>
          <w:lang w:val="en-ZA"/>
        </w:rPr>
        <w:t>at</w:t>
      </w:r>
      <w:r w:rsidR="00565A8F">
        <w:rPr>
          <w:rFonts w:cs="Arial"/>
          <w:bCs/>
          <w:szCs w:val="24"/>
          <w:lang w:val="en-ZA"/>
        </w:rPr>
        <w:t>e</w:t>
      </w:r>
      <w:r>
        <w:rPr>
          <w:rFonts w:cs="Arial"/>
          <w:bCs/>
          <w:szCs w:val="24"/>
          <w:lang w:val="en-ZA"/>
        </w:rPr>
        <w:t>ntly did not fall within the 4 corners of the policy and required no further investigation in accordance with the policy terms</w:t>
      </w:r>
      <w:r w:rsidR="00565A8F">
        <w:rPr>
          <w:rFonts w:cs="Arial"/>
          <w:bCs/>
          <w:szCs w:val="24"/>
          <w:lang w:val="en-ZA"/>
        </w:rPr>
        <w:t xml:space="preserve"> which</w:t>
      </w:r>
      <w:r>
        <w:rPr>
          <w:rFonts w:cs="Arial"/>
          <w:bCs/>
          <w:szCs w:val="24"/>
          <w:lang w:val="en-ZA"/>
        </w:rPr>
        <w:t xml:space="preserve"> regulat</w:t>
      </w:r>
      <w:r w:rsidR="00565A8F">
        <w:rPr>
          <w:rFonts w:cs="Arial"/>
          <w:bCs/>
          <w:szCs w:val="24"/>
          <w:lang w:val="en-ZA"/>
        </w:rPr>
        <w:t>e</w:t>
      </w:r>
      <w:r>
        <w:rPr>
          <w:rFonts w:cs="Arial"/>
          <w:bCs/>
          <w:szCs w:val="24"/>
          <w:lang w:val="en-ZA"/>
        </w:rPr>
        <w:t xml:space="preserve"> the submission </w:t>
      </w:r>
      <w:r w:rsidR="00565A8F">
        <w:rPr>
          <w:rFonts w:cs="Arial"/>
          <w:bCs/>
          <w:szCs w:val="24"/>
          <w:lang w:val="en-ZA"/>
        </w:rPr>
        <w:t>a</w:t>
      </w:r>
      <w:r>
        <w:rPr>
          <w:rFonts w:cs="Arial"/>
          <w:bCs/>
          <w:szCs w:val="24"/>
          <w:lang w:val="en-ZA"/>
        </w:rPr>
        <w:t>n</w:t>
      </w:r>
      <w:r w:rsidR="00565A8F">
        <w:rPr>
          <w:rFonts w:cs="Arial"/>
          <w:bCs/>
          <w:szCs w:val="24"/>
          <w:lang w:val="en-ZA"/>
        </w:rPr>
        <w:t>d</w:t>
      </w:r>
      <w:r>
        <w:rPr>
          <w:rFonts w:cs="Arial"/>
          <w:bCs/>
          <w:szCs w:val="24"/>
          <w:lang w:val="en-ZA"/>
        </w:rPr>
        <w:t xml:space="preserve"> assessment of claims. It was correctly declined. The review process required a </w:t>
      </w:r>
      <w:r w:rsidR="00565A8F">
        <w:rPr>
          <w:rFonts w:cs="Arial"/>
          <w:bCs/>
          <w:szCs w:val="24"/>
          <w:lang w:val="en-ZA"/>
        </w:rPr>
        <w:t>re</w:t>
      </w:r>
      <w:r>
        <w:rPr>
          <w:rFonts w:cs="Arial"/>
          <w:bCs/>
          <w:szCs w:val="24"/>
          <w:lang w:val="en-ZA"/>
        </w:rPr>
        <w:t>consideration of the claim. The new evidence presented by Dr Groenewald</w:t>
      </w:r>
      <w:r w:rsidR="00634929">
        <w:rPr>
          <w:rFonts w:cs="Arial"/>
          <w:bCs/>
          <w:szCs w:val="24"/>
          <w:lang w:val="en-ZA"/>
        </w:rPr>
        <w:t xml:space="preserve"> prompted a further investigation of the claim. This was regulated by the express policy terms which required that the diagnosis and management of all impairments be confirmed by appropriate medical specialists. The respondent’s request for medical evidence from the applicant’s treating specialist confirming his condition was </w:t>
      </w:r>
      <w:r w:rsidR="00565A8F">
        <w:rPr>
          <w:rFonts w:cs="Arial"/>
          <w:bCs/>
          <w:szCs w:val="24"/>
          <w:lang w:val="en-ZA"/>
        </w:rPr>
        <w:t xml:space="preserve">thus </w:t>
      </w:r>
      <w:r w:rsidR="00634929">
        <w:rPr>
          <w:rFonts w:cs="Arial"/>
          <w:bCs/>
          <w:szCs w:val="24"/>
          <w:lang w:val="en-ZA"/>
        </w:rPr>
        <w:t xml:space="preserve">not unreasonable and was in line with the policy terms. The same applies to the request that the applicant arrange for an assessment at the respondent’s expense, by a specialist of his choice in Kimberly from the list of 2 names provided by the respondent. None of this can be characterised as a breach of the duty to treat the applicant fairly. No adequate reason was provided why the applicant refused to give his cooperation. The respondent was not obliged to simply accept the new evidence provided by Dr Groenewald on face value. It was entitled and in fact required by the policy to have this new evidence confirmed by appropriate medical specialists. This is particularly so in view of its own medical advice that hypertension is an eminently treatable condition that generally does </w:t>
      </w:r>
      <w:r w:rsidR="00634929">
        <w:rPr>
          <w:rFonts w:cs="Arial"/>
          <w:bCs/>
          <w:szCs w:val="24"/>
          <w:lang w:val="en-ZA"/>
        </w:rPr>
        <w:lastRenderedPageBreak/>
        <w:t>not result in permanent impairment. Moreover, the specialist assessment could only have been to the applicant’s benefit. His failure to submit to the specialist assessment was the real reason why the review of his claim could not be finalised by the respondent.</w:t>
      </w:r>
    </w:p>
    <w:p w14:paraId="7C0AAE1E" w14:textId="77777777" w:rsidR="00F70360" w:rsidRDefault="00F70360" w:rsidP="0017751C">
      <w:pPr>
        <w:spacing w:after="160"/>
        <w:ind w:left="720"/>
        <w:contextualSpacing/>
        <w:rPr>
          <w:rFonts w:cs="Arial"/>
          <w:bCs/>
          <w:szCs w:val="24"/>
          <w:lang w:val="en-ZA"/>
        </w:rPr>
      </w:pPr>
    </w:p>
    <w:p w14:paraId="7CCAFD76" w14:textId="3E7E8051" w:rsidR="00073BD1" w:rsidRDefault="00634929" w:rsidP="0017751C">
      <w:pPr>
        <w:spacing w:after="160"/>
        <w:ind w:left="720"/>
        <w:contextualSpacing/>
        <w:rPr>
          <w:rFonts w:cs="Arial"/>
          <w:bCs/>
          <w:szCs w:val="24"/>
          <w:lang w:val="en-ZA"/>
        </w:rPr>
      </w:pPr>
      <w:r>
        <w:rPr>
          <w:rFonts w:cs="Arial"/>
          <w:bCs/>
          <w:szCs w:val="24"/>
          <w:lang w:val="en-ZA"/>
        </w:rPr>
        <w:t xml:space="preserve">[34] </w:t>
      </w:r>
      <w:r w:rsidR="00565A8F">
        <w:rPr>
          <w:rFonts w:cs="Arial"/>
          <w:bCs/>
          <w:szCs w:val="24"/>
          <w:lang w:val="en-ZA"/>
        </w:rPr>
        <w:t>I</w:t>
      </w:r>
      <w:r>
        <w:rPr>
          <w:rFonts w:cs="Arial"/>
          <w:bCs/>
          <w:szCs w:val="24"/>
          <w:lang w:val="en-ZA"/>
        </w:rPr>
        <w:t xml:space="preserve">t follows that the applicant has failed to establish that the respondent acted in breach of the policy terms </w:t>
      </w:r>
      <w:r w:rsidR="00565A8F">
        <w:rPr>
          <w:rFonts w:cs="Arial"/>
          <w:bCs/>
          <w:szCs w:val="24"/>
          <w:lang w:val="en-ZA"/>
        </w:rPr>
        <w:t>or</w:t>
      </w:r>
      <w:r>
        <w:rPr>
          <w:rFonts w:cs="Arial"/>
          <w:bCs/>
          <w:szCs w:val="24"/>
          <w:lang w:val="en-ZA"/>
        </w:rPr>
        <w:t xml:space="preserve"> the duty to treat the applicant fairly,</w:t>
      </w:r>
      <w:r w:rsidR="00565A8F">
        <w:rPr>
          <w:rFonts w:cs="Arial"/>
          <w:bCs/>
          <w:szCs w:val="24"/>
          <w:lang w:val="en-ZA"/>
        </w:rPr>
        <w:t xml:space="preserve"> in</w:t>
      </w:r>
      <w:r>
        <w:rPr>
          <w:rFonts w:cs="Arial"/>
          <w:bCs/>
          <w:szCs w:val="24"/>
          <w:lang w:val="en-ZA"/>
        </w:rPr>
        <w:t xml:space="preserve"> repudiatin</w:t>
      </w:r>
      <w:r w:rsidR="00565A8F">
        <w:rPr>
          <w:rFonts w:cs="Arial"/>
          <w:bCs/>
          <w:szCs w:val="24"/>
          <w:lang w:val="en-ZA"/>
        </w:rPr>
        <w:t>g</w:t>
      </w:r>
      <w:r>
        <w:rPr>
          <w:rFonts w:cs="Arial"/>
          <w:bCs/>
          <w:szCs w:val="24"/>
          <w:lang w:val="en-ZA"/>
        </w:rPr>
        <w:t xml:space="preserve"> the claim or not </w:t>
      </w:r>
      <w:r w:rsidR="00565A8F">
        <w:rPr>
          <w:rFonts w:cs="Arial"/>
          <w:bCs/>
          <w:szCs w:val="24"/>
          <w:lang w:val="en-ZA"/>
        </w:rPr>
        <w:t xml:space="preserve">having </w:t>
      </w:r>
      <w:r>
        <w:rPr>
          <w:rFonts w:cs="Arial"/>
          <w:bCs/>
          <w:szCs w:val="24"/>
          <w:lang w:val="en-ZA"/>
        </w:rPr>
        <w:t xml:space="preserve">finalised </w:t>
      </w:r>
      <w:r w:rsidR="00565A8F">
        <w:rPr>
          <w:rFonts w:cs="Arial"/>
          <w:bCs/>
          <w:szCs w:val="24"/>
          <w:lang w:val="en-ZA"/>
        </w:rPr>
        <w:t>the re</w:t>
      </w:r>
      <w:r>
        <w:rPr>
          <w:rFonts w:cs="Arial"/>
          <w:bCs/>
          <w:szCs w:val="24"/>
          <w:lang w:val="en-ZA"/>
        </w:rPr>
        <w:t xml:space="preserve">view of </w:t>
      </w:r>
      <w:r w:rsidR="00A17AB8">
        <w:rPr>
          <w:rFonts w:cs="Arial"/>
          <w:bCs/>
          <w:szCs w:val="24"/>
          <w:lang w:val="en-ZA"/>
        </w:rPr>
        <w:t>such</w:t>
      </w:r>
      <w:r>
        <w:rPr>
          <w:rFonts w:cs="Arial"/>
          <w:bCs/>
          <w:szCs w:val="24"/>
          <w:lang w:val="en-ZA"/>
        </w:rPr>
        <w:t xml:space="preserve"> repudiation.</w:t>
      </w:r>
    </w:p>
    <w:p w14:paraId="7461C434" w14:textId="65B0FC2B" w:rsidR="00634929" w:rsidRDefault="00634929" w:rsidP="0017751C">
      <w:pPr>
        <w:spacing w:after="160"/>
        <w:ind w:left="720"/>
        <w:contextualSpacing/>
        <w:rPr>
          <w:rFonts w:cs="Arial"/>
          <w:bCs/>
          <w:szCs w:val="24"/>
          <w:lang w:val="en-ZA"/>
        </w:rPr>
      </w:pPr>
    </w:p>
    <w:p w14:paraId="51C6F26F" w14:textId="0FF2EAE2" w:rsidR="00634929" w:rsidRDefault="00634929" w:rsidP="0017751C">
      <w:pPr>
        <w:spacing w:after="160"/>
        <w:ind w:left="720"/>
        <w:contextualSpacing/>
        <w:rPr>
          <w:rFonts w:cs="Arial"/>
          <w:bCs/>
          <w:szCs w:val="24"/>
          <w:lang w:val="en-ZA"/>
        </w:rPr>
      </w:pPr>
      <w:r>
        <w:rPr>
          <w:rFonts w:cs="Arial"/>
          <w:bCs/>
          <w:i/>
          <w:iCs/>
          <w:szCs w:val="24"/>
          <w:lang w:val="en-ZA"/>
        </w:rPr>
        <w:t>Costs</w:t>
      </w:r>
    </w:p>
    <w:p w14:paraId="7529AB8D" w14:textId="5AA73D0D" w:rsidR="00634929" w:rsidRDefault="00634929" w:rsidP="0017751C">
      <w:pPr>
        <w:spacing w:after="160"/>
        <w:ind w:left="720"/>
        <w:contextualSpacing/>
        <w:rPr>
          <w:rFonts w:cs="Arial"/>
          <w:bCs/>
          <w:szCs w:val="24"/>
          <w:lang w:val="en-ZA"/>
        </w:rPr>
      </w:pPr>
    </w:p>
    <w:p w14:paraId="4C471E73" w14:textId="2B4A6109" w:rsidR="00634929" w:rsidRDefault="00634929" w:rsidP="0017751C">
      <w:pPr>
        <w:spacing w:after="160"/>
        <w:ind w:left="720"/>
        <w:contextualSpacing/>
        <w:rPr>
          <w:rFonts w:cs="Arial"/>
          <w:bCs/>
          <w:iCs/>
          <w:szCs w:val="24"/>
          <w:lang w:val="en-ZA"/>
        </w:rPr>
      </w:pPr>
      <w:r>
        <w:rPr>
          <w:rFonts w:cs="Arial"/>
          <w:bCs/>
          <w:szCs w:val="24"/>
          <w:lang w:val="en-ZA"/>
        </w:rPr>
        <w:t xml:space="preserve">[35] It is apparent that this application has been brought in the form of a test case in an attempt to clarify the obligations of a long-term insurer with regard to providing reasons for repudiating a claim in the light of the 2017 </w:t>
      </w:r>
      <w:r w:rsidR="00A17AB8">
        <w:rPr>
          <w:rFonts w:cs="Arial"/>
          <w:bCs/>
          <w:szCs w:val="24"/>
          <w:lang w:val="en-ZA"/>
        </w:rPr>
        <w:t>P</w:t>
      </w:r>
      <w:r>
        <w:rPr>
          <w:rFonts w:cs="Arial"/>
          <w:bCs/>
          <w:szCs w:val="24"/>
          <w:lang w:val="en-ZA"/>
        </w:rPr>
        <w:t>PRs. The proper interpretation of the relevant provisions of the PPRs is a vexed question as pointed out by leading authors in this field (cf</w:t>
      </w:r>
      <w:r>
        <w:rPr>
          <w:rFonts w:cs="Arial"/>
          <w:bCs/>
          <w:i/>
          <w:szCs w:val="24"/>
          <w:lang w:val="en-ZA"/>
        </w:rPr>
        <w:t xml:space="preserve">  </w:t>
      </w:r>
      <w:r>
        <w:rPr>
          <w:rFonts w:cs="Arial"/>
          <w:bCs/>
          <w:iCs/>
          <w:szCs w:val="24"/>
          <w:lang w:val="en-ZA"/>
        </w:rPr>
        <w:t xml:space="preserve">Joubert et al </w:t>
      </w:r>
      <w:r>
        <w:rPr>
          <w:rFonts w:cs="Arial"/>
          <w:bCs/>
          <w:i/>
          <w:szCs w:val="24"/>
          <w:lang w:val="en-ZA"/>
        </w:rPr>
        <w:t xml:space="preserve">LAWSA Vol 12(1) Insurance Part 1  </w:t>
      </w:r>
      <w:r>
        <w:rPr>
          <w:rFonts w:cs="Arial"/>
          <w:bCs/>
          <w:iCs/>
          <w:szCs w:val="24"/>
          <w:lang w:val="en-ZA"/>
        </w:rPr>
        <w:t>2ed Institution of the Insured’s Claim).</w:t>
      </w:r>
    </w:p>
    <w:p w14:paraId="5F795FB3" w14:textId="77777777" w:rsidR="00F70360" w:rsidRDefault="00F70360" w:rsidP="0017751C">
      <w:pPr>
        <w:spacing w:after="160"/>
        <w:ind w:left="720"/>
        <w:contextualSpacing/>
        <w:rPr>
          <w:rFonts w:cs="Arial"/>
          <w:bCs/>
          <w:iCs/>
          <w:szCs w:val="24"/>
          <w:lang w:val="en-ZA"/>
        </w:rPr>
      </w:pPr>
    </w:p>
    <w:p w14:paraId="12843467" w14:textId="28567DD0" w:rsidR="00AD5FBA" w:rsidRDefault="00634929" w:rsidP="0017751C">
      <w:pPr>
        <w:spacing w:after="160"/>
        <w:ind w:left="720"/>
        <w:contextualSpacing/>
        <w:rPr>
          <w:rFonts w:cs="Arial"/>
          <w:bCs/>
          <w:iCs/>
          <w:szCs w:val="24"/>
          <w:lang w:val="en-ZA"/>
        </w:rPr>
      </w:pPr>
      <w:r>
        <w:rPr>
          <w:rFonts w:cs="Arial"/>
          <w:bCs/>
          <w:iCs/>
          <w:szCs w:val="24"/>
          <w:lang w:val="en-ZA"/>
        </w:rPr>
        <w:t>[36] The fact that the non</w:t>
      </w:r>
      <w:r w:rsidR="00A17AB8">
        <w:rPr>
          <w:rFonts w:cs="Arial"/>
          <w:bCs/>
          <w:iCs/>
          <w:szCs w:val="24"/>
          <w:lang w:val="en-ZA"/>
        </w:rPr>
        <w:t>-</w:t>
      </w:r>
      <w:r>
        <w:rPr>
          <w:rFonts w:cs="Arial"/>
          <w:bCs/>
          <w:iCs/>
          <w:szCs w:val="24"/>
          <w:lang w:val="en-ZA"/>
        </w:rPr>
        <w:t xml:space="preserve">applicability of </w:t>
      </w:r>
      <w:r w:rsidR="00A17AB8">
        <w:rPr>
          <w:rFonts w:cs="Arial"/>
          <w:bCs/>
          <w:iCs/>
          <w:szCs w:val="24"/>
          <w:lang w:val="en-ZA"/>
        </w:rPr>
        <w:t>P</w:t>
      </w:r>
      <w:r>
        <w:rPr>
          <w:rFonts w:cs="Arial"/>
          <w:bCs/>
          <w:iCs/>
          <w:szCs w:val="24"/>
          <w:lang w:val="en-ZA"/>
        </w:rPr>
        <w:t xml:space="preserve">PR 17.6.3 in this instance obviated the need to grapple with these challenges, </w:t>
      </w:r>
      <w:r w:rsidR="00A17AB8">
        <w:rPr>
          <w:rFonts w:cs="Arial"/>
          <w:bCs/>
          <w:iCs/>
          <w:szCs w:val="24"/>
          <w:lang w:val="en-ZA"/>
        </w:rPr>
        <w:t>doe</w:t>
      </w:r>
      <w:r>
        <w:rPr>
          <w:rFonts w:cs="Arial"/>
          <w:bCs/>
          <w:iCs/>
          <w:szCs w:val="24"/>
          <w:lang w:val="en-ZA"/>
        </w:rPr>
        <w:t>s not detract from the broader objective of the application which was not confined only to the present parties.</w:t>
      </w:r>
    </w:p>
    <w:p w14:paraId="19255A40" w14:textId="77777777" w:rsidR="00F70360" w:rsidRDefault="00F70360" w:rsidP="0017751C">
      <w:pPr>
        <w:spacing w:after="160"/>
        <w:ind w:left="720"/>
        <w:contextualSpacing/>
        <w:rPr>
          <w:rFonts w:cs="Arial"/>
          <w:bCs/>
          <w:iCs/>
          <w:szCs w:val="24"/>
          <w:lang w:val="en-ZA"/>
        </w:rPr>
      </w:pPr>
    </w:p>
    <w:p w14:paraId="7F93F529" w14:textId="0C49D5FD" w:rsidR="00AD5FBA" w:rsidRDefault="00AD5FBA" w:rsidP="0017751C">
      <w:pPr>
        <w:spacing w:after="160"/>
        <w:ind w:left="720"/>
        <w:contextualSpacing/>
        <w:rPr>
          <w:rFonts w:cs="Arial"/>
          <w:bCs/>
          <w:iCs/>
          <w:szCs w:val="24"/>
          <w:lang w:val="en-ZA"/>
        </w:rPr>
      </w:pPr>
      <w:r>
        <w:rPr>
          <w:rFonts w:cs="Arial"/>
          <w:bCs/>
          <w:iCs/>
          <w:szCs w:val="24"/>
          <w:lang w:val="en-ZA"/>
        </w:rPr>
        <w:t xml:space="preserve">[37] In view of </w:t>
      </w:r>
      <w:r w:rsidR="00B519ED">
        <w:rPr>
          <w:rFonts w:cs="Arial"/>
          <w:bCs/>
          <w:iCs/>
          <w:szCs w:val="24"/>
          <w:lang w:val="en-ZA"/>
        </w:rPr>
        <w:t>its</w:t>
      </w:r>
      <w:r>
        <w:rPr>
          <w:rFonts w:cs="Arial"/>
          <w:bCs/>
          <w:iCs/>
          <w:szCs w:val="24"/>
          <w:lang w:val="en-ZA"/>
        </w:rPr>
        <w:t xml:space="preserve"> special circumstances, it is </w:t>
      </w:r>
      <w:r w:rsidR="00A17AB8">
        <w:rPr>
          <w:rFonts w:cs="Arial"/>
          <w:bCs/>
          <w:iCs/>
          <w:szCs w:val="24"/>
          <w:lang w:val="en-ZA"/>
        </w:rPr>
        <w:t>not a</w:t>
      </w:r>
      <w:r>
        <w:rPr>
          <w:rFonts w:cs="Arial"/>
          <w:bCs/>
          <w:iCs/>
          <w:szCs w:val="24"/>
          <w:lang w:val="en-ZA"/>
        </w:rPr>
        <w:t xml:space="preserve"> case where the normal rule with regard to the award of costs should apply. In exercising my discretion with regard to the award of costs, I take into account that the objective of the application </w:t>
      </w:r>
      <w:r w:rsidR="00A17AB8">
        <w:rPr>
          <w:rFonts w:cs="Arial"/>
          <w:bCs/>
          <w:iCs/>
          <w:szCs w:val="24"/>
          <w:lang w:val="en-ZA"/>
        </w:rPr>
        <w:t>had</w:t>
      </w:r>
      <w:r>
        <w:rPr>
          <w:rFonts w:cs="Arial"/>
          <w:bCs/>
          <w:iCs/>
          <w:szCs w:val="24"/>
          <w:lang w:val="en-ZA"/>
        </w:rPr>
        <w:t xml:space="preserve"> the potential to also benefit the respondent (let alone other policyholders) as well as other long-term insurer</w:t>
      </w:r>
      <w:r w:rsidR="00F16E90">
        <w:rPr>
          <w:rFonts w:cs="Arial"/>
          <w:bCs/>
          <w:iCs/>
          <w:szCs w:val="24"/>
          <w:lang w:val="en-ZA"/>
        </w:rPr>
        <w:t>s</w:t>
      </w:r>
      <w:r w:rsidR="00B519ED">
        <w:rPr>
          <w:rFonts w:cs="Arial"/>
          <w:bCs/>
          <w:iCs/>
          <w:szCs w:val="24"/>
          <w:lang w:val="en-ZA"/>
        </w:rPr>
        <w:t xml:space="preserve"> in providing guidance with regard to the ambit of the duty imposed by PPR17.6.3 on the insurer to provide reasons for repudiating a claim.</w:t>
      </w:r>
      <w:r w:rsidR="00A17AB8">
        <w:rPr>
          <w:rFonts w:cs="Arial"/>
          <w:bCs/>
          <w:iCs/>
          <w:szCs w:val="24"/>
          <w:lang w:val="en-ZA"/>
        </w:rPr>
        <w:t xml:space="preserve"> </w:t>
      </w:r>
      <w:r w:rsidR="00F16E90">
        <w:rPr>
          <w:rFonts w:cs="Arial"/>
          <w:bCs/>
          <w:iCs/>
          <w:szCs w:val="24"/>
          <w:lang w:val="en-ZA"/>
        </w:rPr>
        <w:t>I also take into account that t</w:t>
      </w:r>
      <w:r w:rsidR="00A17AB8">
        <w:rPr>
          <w:rFonts w:cs="Arial"/>
          <w:bCs/>
          <w:iCs/>
          <w:szCs w:val="24"/>
          <w:lang w:val="en-ZA"/>
        </w:rPr>
        <w:t>hese entities, like the respondent,</w:t>
      </w:r>
      <w:r>
        <w:rPr>
          <w:rFonts w:cs="Arial"/>
          <w:bCs/>
          <w:iCs/>
          <w:szCs w:val="24"/>
          <w:lang w:val="en-ZA"/>
        </w:rPr>
        <w:t xml:space="preserve"> are all endowed with substantial means compared to the applicant who is unemployed. As submitted in his Parthian shot by the appl</w:t>
      </w:r>
      <w:r w:rsidR="00A17AB8">
        <w:rPr>
          <w:rFonts w:cs="Arial"/>
          <w:bCs/>
          <w:iCs/>
          <w:szCs w:val="24"/>
          <w:lang w:val="en-ZA"/>
        </w:rPr>
        <w:t>ic</w:t>
      </w:r>
      <w:r>
        <w:rPr>
          <w:rFonts w:cs="Arial"/>
          <w:bCs/>
          <w:iCs/>
          <w:szCs w:val="24"/>
          <w:lang w:val="en-ZA"/>
        </w:rPr>
        <w:t xml:space="preserve">ant’s counsel, this is a </w:t>
      </w:r>
      <w:r w:rsidR="00A17AB8">
        <w:rPr>
          <w:rFonts w:cs="Arial"/>
          <w:bCs/>
          <w:iCs/>
          <w:szCs w:val="24"/>
          <w:lang w:val="en-ZA"/>
        </w:rPr>
        <w:t>quintessential</w:t>
      </w:r>
      <w:r>
        <w:rPr>
          <w:rFonts w:cs="Arial"/>
          <w:bCs/>
          <w:iCs/>
          <w:szCs w:val="24"/>
          <w:lang w:val="en-ZA"/>
        </w:rPr>
        <w:t xml:space="preserve"> </w:t>
      </w:r>
      <w:r>
        <w:rPr>
          <w:rFonts w:cs="Arial"/>
          <w:bCs/>
          <w:iCs/>
          <w:szCs w:val="24"/>
          <w:lang w:val="en-ZA"/>
        </w:rPr>
        <w:lastRenderedPageBreak/>
        <w:t>David and Goliath encounter.</w:t>
      </w:r>
      <w:r w:rsidR="00A17AB8">
        <w:rPr>
          <w:rFonts w:cs="Arial"/>
          <w:bCs/>
          <w:iCs/>
          <w:szCs w:val="24"/>
          <w:lang w:val="en-ZA"/>
        </w:rPr>
        <w:t xml:space="preserve"> These proceedings are analogous to litigation for the protection of fundamental rights against the State</w:t>
      </w:r>
      <w:r w:rsidR="00B519ED">
        <w:rPr>
          <w:rFonts w:cs="Arial"/>
          <w:bCs/>
          <w:iCs/>
          <w:szCs w:val="24"/>
          <w:lang w:val="en-ZA"/>
        </w:rPr>
        <w:t xml:space="preserve"> by individual litigants who lack comparable resources to those that are available to the opponent</w:t>
      </w:r>
      <w:r w:rsidR="00A17AB8">
        <w:rPr>
          <w:rFonts w:cs="Arial"/>
          <w:bCs/>
          <w:iCs/>
          <w:szCs w:val="24"/>
          <w:lang w:val="en-ZA"/>
        </w:rPr>
        <w:t>.</w:t>
      </w:r>
      <w:r w:rsidR="00B519ED">
        <w:rPr>
          <w:rFonts w:cs="Arial"/>
          <w:bCs/>
          <w:iCs/>
          <w:szCs w:val="24"/>
          <w:lang w:val="en-ZA"/>
        </w:rPr>
        <w:t xml:space="preserve"> Cases abound where the courts have been slow to make adverse costs orders against such parties. The same approach is indicated in this matter.</w:t>
      </w:r>
    </w:p>
    <w:p w14:paraId="07A30881" w14:textId="77777777" w:rsidR="00F70360" w:rsidRDefault="00F70360" w:rsidP="0017751C">
      <w:pPr>
        <w:spacing w:after="160"/>
        <w:ind w:left="720"/>
        <w:contextualSpacing/>
        <w:rPr>
          <w:rFonts w:cs="Arial"/>
          <w:bCs/>
          <w:iCs/>
          <w:szCs w:val="24"/>
          <w:lang w:val="en-ZA"/>
        </w:rPr>
      </w:pPr>
    </w:p>
    <w:p w14:paraId="3AD2736A" w14:textId="58DEA9BB" w:rsidR="00AD5FBA" w:rsidRDefault="00AD5FBA" w:rsidP="0017751C">
      <w:pPr>
        <w:spacing w:after="160"/>
        <w:ind w:left="720"/>
        <w:contextualSpacing/>
        <w:rPr>
          <w:rFonts w:cs="Arial"/>
          <w:bCs/>
          <w:iCs/>
          <w:szCs w:val="24"/>
          <w:lang w:val="en-ZA"/>
        </w:rPr>
      </w:pPr>
      <w:r>
        <w:rPr>
          <w:rFonts w:cs="Arial"/>
          <w:bCs/>
          <w:iCs/>
          <w:szCs w:val="24"/>
          <w:lang w:val="en-ZA"/>
        </w:rPr>
        <w:t xml:space="preserve">[38] </w:t>
      </w:r>
      <w:r w:rsidR="00A17AB8">
        <w:rPr>
          <w:rFonts w:cs="Arial"/>
          <w:bCs/>
          <w:iCs/>
          <w:szCs w:val="24"/>
          <w:lang w:val="en-ZA"/>
        </w:rPr>
        <w:t>I</w:t>
      </w:r>
      <w:r>
        <w:rPr>
          <w:rFonts w:cs="Arial"/>
          <w:bCs/>
          <w:iCs/>
          <w:szCs w:val="24"/>
          <w:lang w:val="en-ZA"/>
        </w:rPr>
        <w:t>n my view, it would not be just and equitable to m</w:t>
      </w:r>
      <w:r w:rsidR="00B519ED">
        <w:rPr>
          <w:rFonts w:cs="Arial"/>
          <w:bCs/>
          <w:iCs/>
          <w:szCs w:val="24"/>
          <w:lang w:val="en-ZA"/>
        </w:rPr>
        <w:t>ulct</w:t>
      </w:r>
      <w:r>
        <w:rPr>
          <w:rFonts w:cs="Arial"/>
          <w:bCs/>
          <w:iCs/>
          <w:szCs w:val="24"/>
          <w:lang w:val="en-ZA"/>
        </w:rPr>
        <w:t xml:space="preserve"> the applicant in costs in the present circumstances, notwithstanding the fact that the application falls to be dismissed.</w:t>
      </w:r>
      <w:r w:rsidR="00F16E90">
        <w:rPr>
          <w:rFonts w:cs="Arial"/>
          <w:bCs/>
          <w:iCs/>
          <w:szCs w:val="24"/>
          <w:lang w:val="en-ZA"/>
        </w:rPr>
        <w:t xml:space="preserve"> I accordingly exercise my discretion against making an adverse costs order against the applicant in the particular circumstances of this case.</w:t>
      </w:r>
    </w:p>
    <w:p w14:paraId="13B83D74" w14:textId="77777777" w:rsidR="00AD5FBA" w:rsidRDefault="00AD5FBA" w:rsidP="0017751C">
      <w:pPr>
        <w:spacing w:after="160"/>
        <w:ind w:left="720"/>
        <w:contextualSpacing/>
        <w:rPr>
          <w:rFonts w:cs="Arial"/>
          <w:bCs/>
          <w:iCs/>
          <w:szCs w:val="24"/>
          <w:lang w:val="en-ZA"/>
        </w:rPr>
      </w:pPr>
    </w:p>
    <w:p w14:paraId="224064B9" w14:textId="77777777" w:rsidR="00AD5FBA" w:rsidRDefault="00AD5FBA" w:rsidP="0017751C">
      <w:pPr>
        <w:spacing w:after="160"/>
        <w:ind w:left="720"/>
        <w:contextualSpacing/>
        <w:rPr>
          <w:rFonts w:cs="Arial"/>
          <w:bCs/>
          <w:szCs w:val="24"/>
          <w:lang w:val="en-ZA"/>
        </w:rPr>
      </w:pPr>
      <w:r>
        <w:rPr>
          <w:rFonts w:cs="Arial"/>
          <w:bCs/>
          <w:i/>
          <w:iCs/>
          <w:szCs w:val="24"/>
          <w:lang w:val="en-ZA"/>
        </w:rPr>
        <w:t>Conclusion</w:t>
      </w:r>
    </w:p>
    <w:p w14:paraId="082332FE" w14:textId="77777777" w:rsidR="00AD5FBA" w:rsidRDefault="00AD5FBA" w:rsidP="0017751C">
      <w:pPr>
        <w:spacing w:after="160"/>
        <w:ind w:left="720"/>
        <w:contextualSpacing/>
        <w:rPr>
          <w:rFonts w:cs="Arial"/>
          <w:bCs/>
          <w:szCs w:val="24"/>
          <w:lang w:val="en-ZA"/>
        </w:rPr>
      </w:pPr>
    </w:p>
    <w:p w14:paraId="4EAA58E2" w14:textId="77777777" w:rsidR="00AD5FBA" w:rsidRDefault="00AD5FBA" w:rsidP="0017751C">
      <w:pPr>
        <w:spacing w:after="160"/>
        <w:ind w:left="720"/>
        <w:contextualSpacing/>
        <w:rPr>
          <w:rFonts w:cs="Arial"/>
          <w:bCs/>
          <w:szCs w:val="24"/>
          <w:lang w:val="en-ZA"/>
        </w:rPr>
      </w:pPr>
      <w:r>
        <w:rPr>
          <w:rFonts w:cs="Arial"/>
          <w:bCs/>
          <w:szCs w:val="24"/>
          <w:lang w:val="en-ZA"/>
        </w:rPr>
        <w:t>[39] In the result I make the following order:</w:t>
      </w:r>
    </w:p>
    <w:p w14:paraId="512DCF2A" w14:textId="77777777" w:rsidR="00AD5FBA" w:rsidRDefault="00AD5FBA" w:rsidP="00AD5FBA">
      <w:pPr>
        <w:spacing w:after="160"/>
        <w:ind w:left="1080"/>
        <w:contextualSpacing/>
        <w:rPr>
          <w:rFonts w:cs="Arial"/>
          <w:bCs/>
          <w:iCs/>
          <w:szCs w:val="24"/>
          <w:lang w:val="en-ZA"/>
        </w:rPr>
      </w:pPr>
    </w:p>
    <w:p w14:paraId="78D6C0DC" w14:textId="2AC07B4C" w:rsidR="00AD5FBA" w:rsidRPr="00F70360" w:rsidRDefault="00AD5FBA" w:rsidP="00F70360">
      <w:pPr>
        <w:pStyle w:val="ListParagraph"/>
        <w:numPr>
          <w:ilvl w:val="0"/>
          <w:numId w:val="34"/>
        </w:numPr>
        <w:spacing w:after="160"/>
        <w:rPr>
          <w:rFonts w:cs="Arial"/>
          <w:bCs/>
          <w:iCs/>
          <w:szCs w:val="24"/>
          <w:lang w:val="en-ZA"/>
        </w:rPr>
      </w:pPr>
      <w:r w:rsidRPr="00F70360">
        <w:rPr>
          <w:rFonts w:cs="Arial"/>
          <w:bCs/>
          <w:iCs/>
          <w:szCs w:val="24"/>
          <w:lang w:val="en-ZA"/>
        </w:rPr>
        <w:t>the application is dismissed;</w:t>
      </w:r>
    </w:p>
    <w:p w14:paraId="5CDE0D3D" w14:textId="6148C532" w:rsidR="00634929" w:rsidRPr="00634929" w:rsidRDefault="00AD5FBA" w:rsidP="00AD5FBA">
      <w:pPr>
        <w:spacing w:after="160"/>
        <w:ind w:left="1080"/>
        <w:contextualSpacing/>
        <w:rPr>
          <w:rFonts w:cs="Arial"/>
          <w:bCs/>
          <w:iCs/>
          <w:szCs w:val="24"/>
          <w:lang w:val="en-ZA"/>
        </w:rPr>
      </w:pPr>
      <w:r>
        <w:rPr>
          <w:rFonts w:cs="Arial"/>
          <w:bCs/>
          <w:iCs/>
          <w:szCs w:val="24"/>
          <w:lang w:val="en-ZA"/>
        </w:rPr>
        <w:t>(b) there shall be no order as to costs.</w:t>
      </w:r>
      <w:r w:rsidR="00634929">
        <w:rPr>
          <w:rFonts w:cs="Arial"/>
          <w:bCs/>
          <w:iCs/>
          <w:szCs w:val="24"/>
          <w:lang w:val="en-ZA"/>
        </w:rPr>
        <w:t xml:space="preserve"> </w:t>
      </w:r>
    </w:p>
    <w:p w14:paraId="01B56727" w14:textId="77777777" w:rsidR="00D80AE1" w:rsidRDefault="00D80AE1" w:rsidP="004F4441">
      <w:pPr>
        <w:spacing w:after="160"/>
        <w:ind w:firstLine="0"/>
        <w:contextualSpacing/>
        <w:rPr>
          <w:rFonts w:cs="Arial"/>
          <w:szCs w:val="24"/>
          <w:lang w:val="en-ZA"/>
        </w:rPr>
      </w:pPr>
    </w:p>
    <w:p w14:paraId="2742EDF4" w14:textId="77777777" w:rsidR="00D80AE1" w:rsidRDefault="00D80AE1" w:rsidP="00D80AE1">
      <w:pPr>
        <w:spacing w:after="160"/>
        <w:ind w:left="0" w:firstLine="0"/>
        <w:contextualSpacing/>
        <w:rPr>
          <w:rFonts w:cs="Arial"/>
          <w:szCs w:val="24"/>
          <w:lang w:val="en-ZA"/>
        </w:rPr>
      </w:pPr>
    </w:p>
    <w:p w14:paraId="4DAF789E" w14:textId="77777777" w:rsidR="00D80AE1" w:rsidRPr="0034599E" w:rsidRDefault="00D80AE1" w:rsidP="00D80AE1">
      <w:pPr>
        <w:spacing w:line="480" w:lineRule="auto"/>
        <w:rPr>
          <w:rFonts w:cs="Arial"/>
          <w:b/>
          <w:szCs w:val="24"/>
        </w:rPr>
      </w:pPr>
      <w:r w:rsidRPr="0034599E">
        <w:rPr>
          <w:rFonts w:cs="Arial"/>
          <w:b/>
          <w:szCs w:val="24"/>
        </w:rPr>
        <w:t>______________________</w:t>
      </w:r>
    </w:p>
    <w:p w14:paraId="5FB3211C" w14:textId="77777777" w:rsidR="00D80AE1" w:rsidRPr="0034599E" w:rsidRDefault="00D80AE1" w:rsidP="00D80AE1">
      <w:pPr>
        <w:spacing w:line="480" w:lineRule="auto"/>
        <w:rPr>
          <w:rFonts w:cs="Arial"/>
          <w:b/>
          <w:szCs w:val="24"/>
        </w:rPr>
      </w:pPr>
      <w:r>
        <w:rPr>
          <w:rFonts w:cs="Arial"/>
          <w:b/>
          <w:szCs w:val="24"/>
        </w:rPr>
        <w:t>D.O. POTGIETER</w:t>
      </w:r>
    </w:p>
    <w:p w14:paraId="760A1599" w14:textId="77777777" w:rsidR="00D80AE1" w:rsidRPr="0034599E" w:rsidRDefault="00D80AE1" w:rsidP="00D80AE1">
      <w:pPr>
        <w:spacing w:line="480" w:lineRule="auto"/>
        <w:rPr>
          <w:rFonts w:cs="Arial"/>
          <w:b/>
          <w:szCs w:val="24"/>
        </w:rPr>
      </w:pPr>
      <w:r w:rsidRPr="0034599E">
        <w:rPr>
          <w:rFonts w:cs="Arial"/>
          <w:b/>
          <w:szCs w:val="24"/>
        </w:rPr>
        <w:t>JUDGE OF THE HIGH COURT</w:t>
      </w:r>
    </w:p>
    <w:p w14:paraId="7BEB7408" w14:textId="77777777" w:rsidR="00D80AE1" w:rsidRPr="00D80AE1" w:rsidRDefault="00D80AE1" w:rsidP="00D80AE1">
      <w:pPr>
        <w:spacing w:after="160"/>
        <w:ind w:left="0" w:firstLine="0"/>
        <w:contextualSpacing/>
        <w:rPr>
          <w:rFonts w:cs="Arial"/>
          <w:szCs w:val="24"/>
          <w:lang w:val="en-ZA"/>
        </w:rPr>
      </w:pPr>
    </w:p>
    <w:p w14:paraId="12CF5503" w14:textId="768DFA48" w:rsidR="0034599E" w:rsidRDefault="0034599E" w:rsidP="00D80AE1">
      <w:pPr>
        <w:rPr>
          <w:rFonts w:cs="Arial"/>
          <w:szCs w:val="24"/>
        </w:rPr>
      </w:pPr>
    </w:p>
    <w:p w14:paraId="3FC7A653" w14:textId="719188D3" w:rsidR="00F70360" w:rsidRDefault="00F70360" w:rsidP="00D80AE1">
      <w:pPr>
        <w:rPr>
          <w:rFonts w:cs="Arial"/>
          <w:szCs w:val="24"/>
        </w:rPr>
      </w:pPr>
    </w:p>
    <w:p w14:paraId="773AFE62" w14:textId="3D4A359C" w:rsidR="00F70360" w:rsidRDefault="00F70360" w:rsidP="00D80AE1">
      <w:pPr>
        <w:rPr>
          <w:rFonts w:cs="Arial"/>
          <w:szCs w:val="24"/>
        </w:rPr>
      </w:pPr>
    </w:p>
    <w:p w14:paraId="62F7694D" w14:textId="77777777" w:rsidR="00F70360" w:rsidRDefault="00F70360" w:rsidP="00D80AE1">
      <w:pPr>
        <w:rPr>
          <w:rFonts w:cs="Arial"/>
          <w:szCs w:val="24"/>
        </w:rPr>
      </w:pPr>
    </w:p>
    <w:p w14:paraId="36FD228A" w14:textId="77777777" w:rsidR="00D80AE1" w:rsidRDefault="00D80AE1" w:rsidP="00D80AE1">
      <w:pPr>
        <w:rPr>
          <w:rFonts w:cs="Arial"/>
          <w:szCs w:val="24"/>
        </w:rPr>
      </w:pPr>
    </w:p>
    <w:p w14:paraId="2822E8CB" w14:textId="77777777" w:rsidR="00D80AE1" w:rsidRDefault="00D80AE1" w:rsidP="00D80AE1">
      <w:pPr>
        <w:rPr>
          <w:rFonts w:cs="Arial"/>
          <w:szCs w:val="24"/>
        </w:rPr>
      </w:pPr>
    </w:p>
    <w:p w14:paraId="5E49735C" w14:textId="77777777" w:rsidR="00D80AE1" w:rsidRPr="0034599E" w:rsidRDefault="00D80AE1" w:rsidP="00D80AE1">
      <w:pPr>
        <w:rPr>
          <w:rFonts w:cs="Arial"/>
          <w:szCs w:val="24"/>
        </w:rPr>
      </w:pPr>
    </w:p>
    <w:p w14:paraId="42DB726E" w14:textId="60ECD7D4" w:rsidR="00D04FE6" w:rsidRPr="00D04FE6" w:rsidRDefault="00D04FE6" w:rsidP="00D80AE1">
      <w:pPr>
        <w:ind w:left="0" w:firstLine="0"/>
        <w:rPr>
          <w:rFonts w:cs="Arial"/>
          <w:b/>
          <w:bCs/>
          <w:szCs w:val="24"/>
          <w:lang w:val="en-ZA"/>
        </w:rPr>
      </w:pPr>
      <w:r w:rsidRPr="00D04FE6">
        <w:rPr>
          <w:rFonts w:cs="Arial"/>
          <w:b/>
          <w:bCs/>
          <w:szCs w:val="24"/>
          <w:lang w:val="en-ZA"/>
        </w:rPr>
        <w:t>APPEARANCE</w:t>
      </w:r>
    </w:p>
    <w:p w14:paraId="77C1AFE9" w14:textId="77777777" w:rsidR="00D04FE6" w:rsidRPr="00D04FE6" w:rsidRDefault="00D04FE6" w:rsidP="00D80AE1">
      <w:pPr>
        <w:ind w:left="0" w:firstLine="0"/>
        <w:rPr>
          <w:rFonts w:cs="Arial"/>
          <w:b/>
          <w:bCs/>
          <w:szCs w:val="24"/>
          <w:lang w:val="en-ZA"/>
        </w:rPr>
      </w:pPr>
    </w:p>
    <w:p w14:paraId="5C86888F" w14:textId="45B6EBB8" w:rsidR="00D04FE6" w:rsidRDefault="00D04FE6" w:rsidP="00D80AE1">
      <w:pPr>
        <w:ind w:left="3600" w:hanging="3600"/>
        <w:rPr>
          <w:rFonts w:cs="Arial"/>
          <w:bCs/>
          <w:szCs w:val="24"/>
          <w:lang w:val="en-ZA"/>
        </w:rPr>
      </w:pPr>
      <w:r w:rsidRPr="00D04FE6">
        <w:rPr>
          <w:rFonts w:cs="Arial"/>
          <w:bCs/>
          <w:szCs w:val="24"/>
          <w:lang w:val="en-ZA"/>
        </w:rPr>
        <w:t xml:space="preserve">Counsel for the </w:t>
      </w:r>
      <w:r w:rsidR="00D80AE1">
        <w:rPr>
          <w:rFonts w:cs="Arial"/>
          <w:bCs/>
          <w:szCs w:val="24"/>
          <w:lang w:val="en-ZA"/>
        </w:rPr>
        <w:t>p</w:t>
      </w:r>
      <w:r w:rsidR="0034599E">
        <w:rPr>
          <w:rFonts w:cs="Arial"/>
          <w:bCs/>
          <w:szCs w:val="24"/>
          <w:lang w:val="en-ZA"/>
        </w:rPr>
        <w:t>laintiff</w:t>
      </w:r>
      <w:r w:rsidRPr="00D04FE6">
        <w:rPr>
          <w:rFonts w:cs="Arial"/>
          <w:bCs/>
          <w:szCs w:val="24"/>
          <w:lang w:val="en-ZA"/>
        </w:rPr>
        <w:t>:</w:t>
      </w:r>
      <w:r w:rsidRPr="00D04FE6">
        <w:rPr>
          <w:rFonts w:cs="Arial"/>
          <w:bCs/>
          <w:szCs w:val="24"/>
          <w:lang w:val="en-ZA"/>
        </w:rPr>
        <w:tab/>
        <w:t xml:space="preserve">Adv </w:t>
      </w:r>
      <w:r w:rsidR="0071362B">
        <w:rPr>
          <w:rFonts w:cs="Arial"/>
          <w:bCs/>
          <w:szCs w:val="24"/>
          <w:lang w:val="en-ZA"/>
        </w:rPr>
        <w:t>R</w:t>
      </w:r>
      <w:r w:rsidR="0034599E">
        <w:rPr>
          <w:rFonts w:cs="Arial"/>
          <w:bCs/>
          <w:szCs w:val="24"/>
          <w:lang w:val="en-ZA"/>
        </w:rPr>
        <w:t xml:space="preserve"> </w:t>
      </w:r>
      <w:r w:rsidR="0071362B">
        <w:rPr>
          <w:rFonts w:cs="Arial"/>
          <w:bCs/>
          <w:szCs w:val="24"/>
          <w:lang w:val="en-ZA"/>
        </w:rPr>
        <w:t>d</w:t>
      </w:r>
      <w:r w:rsidR="0034599E">
        <w:rPr>
          <w:rFonts w:cs="Arial"/>
          <w:bCs/>
          <w:szCs w:val="24"/>
          <w:lang w:val="en-ZA"/>
        </w:rPr>
        <w:t xml:space="preserve">e </w:t>
      </w:r>
      <w:r w:rsidR="0071362B">
        <w:rPr>
          <w:rFonts w:cs="Arial"/>
          <w:bCs/>
          <w:szCs w:val="24"/>
          <w:lang w:val="en-ZA"/>
        </w:rPr>
        <w:t>Lange</w:t>
      </w:r>
      <w:r w:rsidRPr="00D04FE6">
        <w:rPr>
          <w:rFonts w:cs="Arial"/>
          <w:bCs/>
          <w:szCs w:val="24"/>
          <w:lang w:val="en-ZA"/>
        </w:rPr>
        <w:t xml:space="preserve">, instructed by </w:t>
      </w:r>
      <w:r w:rsidR="0071362B">
        <w:rPr>
          <w:rFonts w:cs="Arial"/>
          <w:bCs/>
          <w:szCs w:val="24"/>
          <w:lang w:val="en-ZA"/>
        </w:rPr>
        <w:t>Molenaar</w:t>
      </w:r>
      <w:r w:rsidR="0034599E">
        <w:rPr>
          <w:rFonts w:cs="Arial"/>
          <w:bCs/>
          <w:szCs w:val="24"/>
          <w:lang w:val="en-ZA"/>
        </w:rPr>
        <w:t xml:space="preserve"> &amp; </w:t>
      </w:r>
      <w:r w:rsidR="0071362B">
        <w:rPr>
          <w:rFonts w:cs="Arial"/>
          <w:bCs/>
          <w:szCs w:val="24"/>
          <w:lang w:val="en-ZA"/>
        </w:rPr>
        <w:t>Griffiths</w:t>
      </w:r>
      <w:r w:rsidR="0034599E">
        <w:rPr>
          <w:rFonts w:cs="Arial"/>
          <w:bCs/>
          <w:szCs w:val="24"/>
          <w:lang w:val="en-ZA"/>
        </w:rPr>
        <w:t>,</w:t>
      </w:r>
      <w:r w:rsidR="0071362B">
        <w:rPr>
          <w:rFonts w:cs="Arial"/>
          <w:bCs/>
          <w:szCs w:val="24"/>
          <w:lang w:val="en-ZA"/>
        </w:rPr>
        <w:t xml:space="preserve"> 28-5th</w:t>
      </w:r>
      <w:r w:rsidR="0034599E">
        <w:rPr>
          <w:rFonts w:cs="Arial"/>
          <w:bCs/>
          <w:szCs w:val="24"/>
          <w:lang w:val="en-ZA"/>
        </w:rPr>
        <w:t xml:space="preserve"> </w:t>
      </w:r>
      <w:r w:rsidR="0071362B">
        <w:rPr>
          <w:rFonts w:cs="Arial"/>
          <w:bCs/>
          <w:szCs w:val="24"/>
          <w:lang w:val="en-ZA"/>
        </w:rPr>
        <w:t>Avenue</w:t>
      </w:r>
      <w:r w:rsidR="0034599E">
        <w:rPr>
          <w:rFonts w:cs="Arial"/>
          <w:bCs/>
          <w:szCs w:val="24"/>
          <w:lang w:val="en-ZA"/>
        </w:rPr>
        <w:t xml:space="preserve">, </w:t>
      </w:r>
      <w:r w:rsidR="0071362B">
        <w:rPr>
          <w:rFonts w:cs="Arial"/>
          <w:bCs/>
          <w:szCs w:val="24"/>
          <w:lang w:val="en-ZA"/>
        </w:rPr>
        <w:t>Newton Park</w:t>
      </w:r>
      <w:r w:rsidR="0034599E">
        <w:rPr>
          <w:rFonts w:cs="Arial"/>
          <w:bCs/>
          <w:szCs w:val="24"/>
          <w:lang w:val="en-ZA"/>
        </w:rPr>
        <w:t>, Gqeberha</w:t>
      </w:r>
    </w:p>
    <w:p w14:paraId="3031CD29" w14:textId="77777777" w:rsidR="0034599E" w:rsidRPr="00D04FE6" w:rsidRDefault="0034599E" w:rsidP="00D80AE1">
      <w:pPr>
        <w:ind w:left="3600" w:hanging="3600"/>
        <w:rPr>
          <w:rFonts w:cs="Arial"/>
          <w:bCs/>
          <w:szCs w:val="24"/>
          <w:lang w:val="en-ZA"/>
        </w:rPr>
      </w:pPr>
    </w:p>
    <w:p w14:paraId="0198775D" w14:textId="77777777" w:rsidR="00D04FE6" w:rsidRPr="00D04FE6" w:rsidRDefault="00D04FE6" w:rsidP="00D80AE1">
      <w:pPr>
        <w:ind w:left="3600" w:hanging="3600"/>
        <w:rPr>
          <w:rFonts w:cs="Arial"/>
          <w:bCs/>
          <w:szCs w:val="24"/>
          <w:lang w:val="en-ZA"/>
        </w:rPr>
      </w:pPr>
    </w:p>
    <w:p w14:paraId="5127D99D" w14:textId="1A3BE34A" w:rsidR="00D04FE6" w:rsidRPr="00D04FE6" w:rsidRDefault="00D04FE6" w:rsidP="00D80AE1">
      <w:pPr>
        <w:ind w:left="3600" w:hanging="3600"/>
        <w:rPr>
          <w:rFonts w:cs="Arial"/>
          <w:bCs/>
          <w:szCs w:val="24"/>
          <w:lang w:val="en-ZA"/>
        </w:rPr>
      </w:pPr>
      <w:r w:rsidRPr="00D04FE6">
        <w:rPr>
          <w:rFonts w:cs="Arial"/>
          <w:bCs/>
          <w:szCs w:val="24"/>
          <w:lang w:val="en-ZA"/>
        </w:rPr>
        <w:t xml:space="preserve">For the </w:t>
      </w:r>
      <w:r w:rsidR="00C05378">
        <w:rPr>
          <w:rFonts w:cs="Arial"/>
          <w:bCs/>
          <w:szCs w:val="24"/>
          <w:lang w:val="en-ZA"/>
        </w:rPr>
        <w:t>d</w:t>
      </w:r>
      <w:r w:rsidR="0034599E">
        <w:rPr>
          <w:rFonts w:cs="Arial"/>
          <w:bCs/>
          <w:szCs w:val="24"/>
          <w:lang w:val="en-ZA"/>
        </w:rPr>
        <w:t>efendants</w:t>
      </w:r>
      <w:r w:rsidRPr="00D04FE6">
        <w:rPr>
          <w:rFonts w:cs="Arial"/>
          <w:bCs/>
          <w:szCs w:val="24"/>
          <w:lang w:val="en-ZA"/>
        </w:rPr>
        <w:t>:</w:t>
      </w:r>
      <w:r w:rsidRPr="00D04FE6">
        <w:rPr>
          <w:rFonts w:cs="Arial"/>
          <w:bCs/>
          <w:szCs w:val="24"/>
          <w:lang w:val="en-ZA"/>
        </w:rPr>
        <w:tab/>
        <w:t xml:space="preserve">Adv </w:t>
      </w:r>
      <w:r w:rsidR="0071362B">
        <w:rPr>
          <w:rFonts w:cs="Arial"/>
          <w:bCs/>
          <w:szCs w:val="24"/>
          <w:lang w:val="en-ZA"/>
        </w:rPr>
        <w:t>R Ismail</w:t>
      </w:r>
      <w:r w:rsidRPr="00D04FE6">
        <w:rPr>
          <w:rFonts w:cs="Arial"/>
          <w:bCs/>
          <w:szCs w:val="24"/>
          <w:lang w:val="en-ZA"/>
        </w:rPr>
        <w:t xml:space="preserve">, instructed by </w:t>
      </w:r>
      <w:r w:rsidR="0071362B">
        <w:rPr>
          <w:rFonts w:cs="Arial"/>
          <w:bCs/>
          <w:szCs w:val="24"/>
          <w:lang w:val="en-ZA"/>
        </w:rPr>
        <w:t>Rushmere Noach</w:t>
      </w:r>
      <w:r w:rsidR="0034599E">
        <w:rPr>
          <w:rFonts w:cs="Arial"/>
          <w:bCs/>
          <w:szCs w:val="24"/>
          <w:lang w:val="en-ZA"/>
        </w:rPr>
        <w:t xml:space="preserve">, </w:t>
      </w:r>
      <w:r w:rsidR="0071362B">
        <w:rPr>
          <w:rFonts w:cs="Arial"/>
          <w:bCs/>
          <w:szCs w:val="24"/>
          <w:lang w:val="en-ZA"/>
        </w:rPr>
        <w:t>Conyngham</w:t>
      </w:r>
      <w:r w:rsidR="0034599E">
        <w:rPr>
          <w:rFonts w:cs="Arial"/>
          <w:bCs/>
          <w:szCs w:val="24"/>
          <w:lang w:val="en-ZA"/>
        </w:rPr>
        <w:t xml:space="preserve"> Road, </w:t>
      </w:r>
      <w:r w:rsidR="0071362B">
        <w:rPr>
          <w:rFonts w:cs="Arial"/>
          <w:bCs/>
          <w:szCs w:val="24"/>
          <w:lang w:val="en-ZA"/>
        </w:rPr>
        <w:t>Greenacres</w:t>
      </w:r>
      <w:r w:rsidR="0034599E">
        <w:rPr>
          <w:rFonts w:cs="Arial"/>
          <w:bCs/>
          <w:szCs w:val="24"/>
          <w:lang w:val="en-ZA"/>
        </w:rPr>
        <w:t>, Gqeberha</w:t>
      </w:r>
    </w:p>
    <w:p w14:paraId="00D44A09" w14:textId="77777777" w:rsidR="00D04FE6" w:rsidRPr="00D04FE6" w:rsidRDefault="00D04FE6" w:rsidP="00D80AE1">
      <w:pPr>
        <w:ind w:left="3600" w:hanging="3600"/>
        <w:rPr>
          <w:rFonts w:cs="Arial"/>
          <w:bCs/>
          <w:szCs w:val="24"/>
          <w:lang w:val="en-ZA"/>
        </w:rPr>
      </w:pPr>
    </w:p>
    <w:p w14:paraId="6B28ECB8" w14:textId="77777777" w:rsidR="00D04FE6" w:rsidRPr="00D04FE6" w:rsidRDefault="00D04FE6" w:rsidP="00D80AE1">
      <w:pPr>
        <w:ind w:left="3600" w:hanging="3600"/>
        <w:rPr>
          <w:rFonts w:cs="Arial"/>
          <w:bCs/>
          <w:szCs w:val="24"/>
          <w:lang w:val="en-ZA"/>
        </w:rPr>
      </w:pPr>
    </w:p>
    <w:p w14:paraId="1C0E4A8E" w14:textId="77C5517C" w:rsidR="00D04FE6" w:rsidRPr="00D04FE6" w:rsidRDefault="00D04FE6" w:rsidP="00D80AE1">
      <w:pPr>
        <w:ind w:left="3600" w:hanging="3600"/>
        <w:rPr>
          <w:rFonts w:cs="Arial"/>
          <w:bCs/>
          <w:szCs w:val="24"/>
          <w:lang w:val="en-ZA"/>
        </w:rPr>
      </w:pPr>
      <w:r w:rsidRPr="00D04FE6">
        <w:rPr>
          <w:rFonts w:cs="Arial"/>
          <w:bCs/>
          <w:szCs w:val="24"/>
          <w:lang w:val="en-ZA"/>
        </w:rPr>
        <w:t>Date of hearing:</w:t>
      </w:r>
      <w:r w:rsidRPr="00D04FE6">
        <w:rPr>
          <w:rFonts w:cs="Arial"/>
          <w:bCs/>
          <w:szCs w:val="24"/>
          <w:lang w:val="en-ZA"/>
        </w:rPr>
        <w:tab/>
      </w:r>
      <w:r w:rsidR="00F70360">
        <w:rPr>
          <w:rFonts w:cs="Arial"/>
          <w:bCs/>
          <w:szCs w:val="24"/>
          <w:lang w:val="en-ZA"/>
        </w:rPr>
        <w:t>0</w:t>
      </w:r>
      <w:r w:rsidR="0071362B">
        <w:rPr>
          <w:rFonts w:cs="Arial"/>
          <w:bCs/>
          <w:szCs w:val="24"/>
          <w:lang w:val="en-ZA"/>
        </w:rPr>
        <w:t>1 September</w:t>
      </w:r>
      <w:r w:rsidR="0034599E">
        <w:rPr>
          <w:rFonts w:cs="Arial"/>
          <w:bCs/>
          <w:szCs w:val="24"/>
          <w:lang w:val="en-ZA"/>
        </w:rPr>
        <w:t xml:space="preserve"> 2022</w:t>
      </w:r>
    </w:p>
    <w:p w14:paraId="6B4EE467" w14:textId="77777777" w:rsidR="00D04FE6" w:rsidRPr="00D04FE6" w:rsidRDefault="00D04FE6" w:rsidP="00D80AE1">
      <w:pPr>
        <w:ind w:left="3600" w:hanging="3600"/>
        <w:rPr>
          <w:rFonts w:cs="Arial"/>
          <w:bCs/>
          <w:szCs w:val="24"/>
          <w:lang w:val="en-ZA"/>
        </w:rPr>
      </w:pPr>
    </w:p>
    <w:p w14:paraId="4C9D33CF" w14:textId="084130B0" w:rsidR="00062FA9" w:rsidRPr="00D04FE6" w:rsidRDefault="00F70360" w:rsidP="00D80AE1">
      <w:pPr>
        <w:ind w:left="3600" w:hanging="3600"/>
        <w:rPr>
          <w:rFonts w:cs="Arial"/>
          <w:b/>
          <w:sz w:val="28"/>
          <w:szCs w:val="28"/>
        </w:rPr>
      </w:pPr>
      <w:r>
        <w:rPr>
          <w:rFonts w:cs="Arial"/>
          <w:bCs/>
          <w:szCs w:val="24"/>
          <w:lang w:val="en-ZA"/>
        </w:rPr>
        <w:t>Date of delivery of judgment:</w:t>
      </w:r>
      <w:r>
        <w:rPr>
          <w:rFonts w:cs="Arial"/>
          <w:bCs/>
          <w:szCs w:val="24"/>
          <w:lang w:val="en-ZA"/>
        </w:rPr>
        <w:tab/>
        <w:t xml:space="preserve">31 </w:t>
      </w:r>
      <w:r w:rsidR="0071362B">
        <w:rPr>
          <w:rFonts w:cs="Arial"/>
          <w:bCs/>
          <w:szCs w:val="24"/>
          <w:lang w:val="en-ZA"/>
        </w:rPr>
        <w:t>October</w:t>
      </w:r>
      <w:r w:rsidR="00D04FE6" w:rsidRPr="00D04FE6">
        <w:rPr>
          <w:rFonts w:cs="Arial"/>
          <w:bCs/>
          <w:szCs w:val="24"/>
          <w:lang w:val="en-ZA"/>
        </w:rPr>
        <w:t xml:space="preserve"> 2022</w:t>
      </w:r>
    </w:p>
    <w:sectPr w:rsidR="00062FA9" w:rsidRPr="00D04FE6"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67E8" w14:textId="77777777" w:rsidR="006551D1" w:rsidRDefault="006551D1" w:rsidP="00665272">
      <w:pPr>
        <w:spacing w:line="240" w:lineRule="auto"/>
      </w:pPr>
      <w:r>
        <w:separator/>
      </w:r>
    </w:p>
  </w:endnote>
  <w:endnote w:type="continuationSeparator" w:id="0">
    <w:p w14:paraId="16FDA30D" w14:textId="77777777" w:rsidR="006551D1" w:rsidRDefault="006551D1"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8DE3" w14:textId="77777777" w:rsidR="006551D1" w:rsidRDefault="006551D1" w:rsidP="00665272">
      <w:pPr>
        <w:spacing w:line="240" w:lineRule="auto"/>
      </w:pPr>
      <w:r>
        <w:separator/>
      </w:r>
    </w:p>
  </w:footnote>
  <w:footnote w:type="continuationSeparator" w:id="0">
    <w:p w14:paraId="126728F8" w14:textId="77777777" w:rsidR="006551D1" w:rsidRDefault="006551D1" w:rsidP="00665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7964"/>
      <w:docPartObj>
        <w:docPartGallery w:val="Page Numbers (Top of Page)"/>
        <w:docPartUnique/>
      </w:docPartObj>
    </w:sdtPr>
    <w:sdtEndPr>
      <w:rPr>
        <w:noProof/>
      </w:rPr>
    </w:sdtEndPr>
    <w:sdtContent>
      <w:p w14:paraId="70F91670" w14:textId="0AC4B07C" w:rsidR="009421B1" w:rsidRDefault="009421B1">
        <w:pPr>
          <w:pStyle w:val="Header"/>
          <w:jc w:val="right"/>
        </w:pPr>
        <w:r>
          <w:fldChar w:fldCharType="begin"/>
        </w:r>
        <w:r>
          <w:instrText xml:space="preserve"> PAGE   \* MERGEFORMAT </w:instrText>
        </w:r>
        <w:r>
          <w:fldChar w:fldCharType="separate"/>
        </w:r>
        <w:r w:rsidR="004E313A">
          <w:rPr>
            <w:noProof/>
          </w:rPr>
          <w:t>4</w:t>
        </w:r>
        <w:r>
          <w:rPr>
            <w:noProof/>
          </w:rPr>
          <w:fldChar w:fldCharType="end"/>
        </w:r>
      </w:p>
    </w:sdtContent>
  </w:sdt>
  <w:p w14:paraId="1EDEBB5A" w14:textId="77777777" w:rsidR="009421B1" w:rsidRDefault="009421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15:restartNumberingAfterBreak="0">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467D61"/>
    <w:multiLevelType w:val="hybridMultilevel"/>
    <w:tmpl w:val="60A02ED8"/>
    <w:lvl w:ilvl="0" w:tplc="9D46F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19" w15:restartNumberingAfterBreak="0">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16"/>
  </w:num>
  <w:num w:numId="3">
    <w:abstractNumId w:val="0"/>
  </w:num>
  <w:num w:numId="4">
    <w:abstractNumId w:val="3"/>
  </w:num>
  <w:num w:numId="5">
    <w:abstractNumId w:val="1"/>
  </w:num>
  <w:num w:numId="6">
    <w:abstractNumId w:val="17"/>
  </w:num>
  <w:num w:numId="7">
    <w:abstractNumId w:val="8"/>
  </w:num>
  <w:num w:numId="8">
    <w:abstractNumId w:val="11"/>
  </w:num>
  <w:num w:numId="9">
    <w:abstractNumId w:val="25"/>
  </w:num>
  <w:num w:numId="10">
    <w:abstractNumId w:val="5"/>
  </w:num>
  <w:num w:numId="11">
    <w:abstractNumId w:val="12"/>
  </w:num>
  <w:num w:numId="12">
    <w:abstractNumId w:val="32"/>
  </w:num>
  <w:num w:numId="13">
    <w:abstractNumId w:val="2"/>
  </w:num>
  <w:num w:numId="14">
    <w:abstractNumId w:val="6"/>
  </w:num>
  <w:num w:numId="15">
    <w:abstractNumId w:val="4"/>
  </w:num>
  <w:num w:numId="16">
    <w:abstractNumId w:val="28"/>
  </w:num>
  <w:num w:numId="17">
    <w:abstractNumId w:val="21"/>
  </w:num>
  <w:num w:numId="18">
    <w:abstractNumId w:val="14"/>
  </w:num>
  <w:num w:numId="19">
    <w:abstractNumId w:val="9"/>
  </w:num>
  <w:num w:numId="20">
    <w:abstractNumId w:val="24"/>
  </w:num>
  <w:num w:numId="21">
    <w:abstractNumId w:val="26"/>
  </w:num>
  <w:num w:numId="22">
    <w:abstractNumId w:val="27"/>
  </w:num>
  <w:num w:numId="23">
    <w:abstractNumId w:val="33"/>
  </w:num>
  <w:num w:numId="24">
    <w:abstractNumId w:val="20"/>
  </w:num>
  <w:num w:numId="25">
    <w:abstractNumId w:val="22"/>
  </w:num>
  <w:num w:numId="26">
    <w:abstractNumId w:val="15"/>
  </w:num>
  <w:num w:numId="27">
    <w:abstractNumId w:val="7"/>
  </w:num>
  <w:num w:numId="28">
    <w:abstractNumId w:val="18"/>
  </w:num>
  <w:num w:numId="29">
    <w:abstractNumId w:val="10"/>
  </w:num>
  <w:num w:numId="30">
    <w:abstractNumId w:val="31"/>
  </w:num>
  <w:num w:numId="31">
    <w:abstractNumId w:val="23"/>
  </w:num>
  <w:num w:numId="32">
    <w:abstractNumId w:val="19"/>
  </w:num>
  <w:num w:numId="33">
    <w:abstractNumId w:val="2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A01551-4060-4B6E-B118-D0644A9ACB72}"/>
    <w:docVar w:name="dgnword-eventsink" w:val="412968312"/>
  </w:docVars>
  <w:rsids>
    <w:rsidRoot w:val="0008561F"/>
    <w:rsid w:val="000101A2"/>
    <w:rsid w:val="00010A78"/>
    <w:rsid w:val="000275E2"/>
    <w:rsid w:val="000345BA"/>
    <w:rsid w:val="00037B06"/>
    <w:rsid w:val="0004351F"/>
    <w:rsid w:val="00044B22"/>
    <w:rsid w:val="000542E5"/>
    <w:rsid w:val="0006014A"/>
    <w:rsid w:val="00062FA9"/>
    <w:rsid w:val="00065A6D"/>
    <w:rsid w:val="00071510"/>
    <w:rsid w:val="00073BD1"/>
    <w:rsid w:val="000824EB"/>
    <w:rsid w:val="0008481A"/>
    <w:rsid w:val="00084A1A"/>
    <w:rsid w:val="0008561F"/>
    <w:rsid w:val="00085D74"/>
    <w:rsid w:val="000A7481"/>
    <w:rsid w:val="000B02B0"/>
    <w:rsid w:val="000C270F"/>
    <w:rsid w:val="000C5C07"/>
    <w:rsid w:val="000D025A"/>
    <w:rsid w:val="000D681E"/>
    <w:rsid w:val="000F1E32"/>
    <w:rsid w:val="000F5A69"/>
    <w:rsid w:val="00101724"/>
    <w:rsid w:val="001079BC"/>
    <w:rsid w:val="00113662"/>
    <w:rsid w:val="00117F75"/>
    <w:rsid w:val="001336A0"/>
    <w:rsid w:val="001359AD"/>
    <w:rsid w:val="00145EB2"/>
    <w:rsid w:val="00156DCD"/>
    <w:rsid w:val="001726EB"/>
    <w:rsid w:val="00172ABC"/>
    <w:rsid w:val="00174D41"/>
    <w:rsid w:val="001757C0"/>
    <w:rsid w:val="00175DA0"/>
    <w:rsid w:val="0017630B"/>
    <w:rsid w:val="00176802"/>
    <w:rsid w:val="0017751C"/>
    <w:rsid w:val="001875D6"/>
    <w:rsid w:val="00191F1E"/>
    <w:rsid w:val="001943D6"/>
    <w:rsid w:val="00197E13"/>
    <w:rsid w:val="001A61A9"/>
    <w:rsid w:val="001C1D38"/>
    <w:rsid w:val="001C3FEF"/>
    <w:rsid w:val="001C4759"/>
    <w:rsid w:val="001E768C"/>
    <w:rsid w:val="001F175E"/>
    <w:rsid w:val="001F2499"/>
    <w:rsid w:val="001F3966"/>
    <w:rsid w:val="001F3C76"/>
    <w:rsid w:val="00203255"/>
    <w:rsid w:val="00217A3D"/>
    <w:rsid w:val="00220D31"/>
    <w:rsid w:val="0022290F"/>
    <w:rsid w:val="0022489D"/>
    <w:rsid w:val="002251C1"/>
    <w:rsid w:val="002256BC"/>
    <w:rsid w:val="00231A43"/>
    <w:rsid w:val="00232753"/>
    <w:rsid w:val="00236766"/>
    <w:rsid w:val="0024065D"/>
    <w:rsid w:val="00245A93"/>
    <w:rsid w:val="00250CED"/>
    <w:rsid w:val="00256096"/>
    <w:rsid w:val="00272FA0"/>
    <w:rsid w:val="00274411"/>
    <w:rsid w:val="00275AFA"/>
    <w:rsid w:val="00285717"/>
    <w:rsid w:val="002858E5"/>
    <w:rsid w:val="00287A0E"/>
    <w:rsid w:val="002A04A4"/>
    <w:rsid w:val="002A3220"/>
    <w:rsid w:val="002A5AD4"/>
    <w:rsid w:val="002A7217"/>
    <w:rsid w:val="002B5BE3"/>
    <w:rsid w:val="002B736F"/>
    <w:rsid w:val="002D4671"/>
    <w:rsid w:val="002F14AE"/>
    <w:rsid w:val="002F48C3"/>
    <w:rsid w:val="0030270B"/>
    <w:rsid w:val="00311DC0"/>
    <w:rsid w:val="00311FC0"/>
    <w:rsid w:val="00313D62"/>
    <w:rsid w:val="00321F0A"/>
    <w:rsid w:val="00325B09"/>
    <w:rsid w:val="00326ACC"/>
    <w:rsid w:val="003326AF"/>
    <w:rsid w:val="00336E00"/>
    <w:rsid w:val="00337C08"/>
    <w:rsid w:val="0034599E"/>
    <w:rsid w:val="00362AEC"/>
    <w:rsid w:val="00366D9C"/>
    <w:rsid w:val="00375290"/>
    <w:rsid w:val="00376075"/>
    <w:rsid w:val="00376F7C"/>
    <w:rsid w:val="00377BD5"/>
    <w:rsid w:val="00382333"/>
    <w:rsid w:val="00383012"/>
    <w:rsid w:val="00385DCE"/>
    <w:rsid w:val="0039436F"/>
    <w:rsid w:val="003A1F11"/>
    <w:rsid w:val="003A3B37"/>
    <w:rsid w:val="003A3C34"/>
    <w:rsid w:val="003A7623"/>
    <w:rsid w:val="003B3E15"/>
    <w:rsid w:val="003C44A8"/>
    <w:rsid w:val="003C5B44"/>
    <w:rsid w:val="003D51E3"/>
    <w:rsid w:val="003D53C3"/>
    <w:rsid w:val="003E2DBC"/>
    <w:rsid w:val="003E658F"/>
    <w:rsid w:val="003F4A18"/>
    <w:rsid w:val="004007D1"/>
    <w:rsid w:val="004023A7"/>
    <w:rsid w:val="004030F5"/>
    <w:rsid w:val="00411863"/>
    <w:rsid w:val="00412B1A"/>
    <w:rsid w:val="00415A74"/>
    <w:rsid w:val="004245B7"/>
    <w:rsid w:val="00433D96"/>
    <w:rsid w:val="004346D1"/>
    <w:rsid w:val="004400C0"/>
    <w:rsid w:val="00442F7A"/>
    <w:rsid w:val="00443342"/>
    <w:rsid w:val="004443D4"/>
    <w:rsid w:val="0044562C"/>
    <w:rsid w:val="004537D0"/>
    <w:rsid w:val="00457538"/>
    <w:rsid w:val="004647D4"/>
    <w:rsid w:val="004663F2"/>
    <w:rsid w:val="004724D8"/>
    <w:rsid w:val="00483D58"/>
    <w:rsid w:val="00496AF3"/>
    <w:rsid w:val="004A1B2B"/>
    <w:rsid w:val="004A7BCC"/>
    <w:rsid w:val="004A7E4B"/>
    <w:rsid w:val="004B2A93"/>
    <w:rsid w:val="004B7236"/>
    <w:rsid w:val="004C1109"/>
    <w:rsid w:val="004C4E8B"/>
    <w:rsid w:val="004D109A"/>
    <w:rsid w:val="004D4D92"/>
    <w:rsid w:val="004E313A"/>
    <w:rsid w:val="004E3275"/>
    <w:rsid w:val="004E57DF"/>
    <w:rsid w:val="004F219A"/>
    <w:rsid w:val="004F224F"/>
    <w:rsid w:val="004F4441"/>
    <w:rsid w:val="004F7374"/>
    <w:rsid w:val="005060DA"/>
    <w:rsid w:val="005074FC"/>
    <w:rsid w:val="00507F8B"/>
    <w:rsid w:val="00510A6F"/>
    <w:rsid w:val="005201DA"/>
    <w:rsid w:val="005262F9"/>
    <w:rsid w:val="005410EC"/>
    <w:rsid w:val="00546AB6"/>
    <w:rsid w:val="00560785"/>
    <w:rsid w:val="005621B4"/>
    <w:rsid w:val="00565A8F"/>
    <w:rsid w:val="005744EC"/>
    <w:rsid w:val="005830EF"/>
    <w:rsid w:val="0058592D"/>
    <w:rsid w:val="0058714C"/>
    <w:rsid w:val="005873AE"/>
    <w:rsid w:val="00592140"/>
    <w:rsid w:val="00595395"/>
    <w:rsid w:val="005A68D8"/>
    <w:rsid w:val="005B232E"/>
    <w:rsid w:val="005B5EDA"/>
    <w:rsid w:val="005C20A4"/>
    <w:rsid w:val="005E02EB"/>
    <w:rsid w:val="005E41C2"/>
    <w:rsid w:val="005E58DA"/>
    <w:rsid w:val="005F1BD7"/>
    <w:rsid w:val="005F4510"/>
    <w:rsid w:val="00601F12"/>
    <w:rsid w:val="00606049"/>
    <w:rsid w:val="00610C12"/>
    <w:rsid w:val="00613ADB"/>
    <w:rsid w:val="006155C0"/>
    <w:rsid w:val="006260DE"/>
    <w:rsid w:val="00634443"/>
    <w:rsid w:val="006344A9"/>
    <w:rsid w:val="00634929"/>
    <w:rsid w:val="00636E53"/>
    <w:rsid w:val="00640E2D"/>
    <w:rsid w:val="00640F11"/>
    <w:rsid w:val="00643F35"/>
    <w:rsid w:val="0065230D"/>
    <w:rsid w:val="00653CCD"/>
    <w:rsid w:val="006551D1"/>
    <w:rsid w:val="00664ACE"/>
    <w:rsid w:val="00665272"/>
    <w:rsid w:val="00666BBD"/>
    <w:rsid w:val="006679A8"/>
    <w:rsid w:val="00673491"/>
    <w:rsid w:val="006748BA"/>
    <w:rsid w:val="00684071"/>
    <w:rsid w:val="00686210"/>
    <w:rsid w:val="00697F6F"/>
    <w:rsid w:val="006A1733"/>
    <w:rsid w:val="006A3090"/>
    <w:rsid w:val="006A41CA"/>
    <w:rsid w:val="006A67E8"/>
    <w:rsid w:val="006B4AE3"/>
    <w:rsid w:val="006C42DE"/>
    <w:rsid w:val="006D21AD"/>
    <w:rsid w:val="006D4DFA"/>
    <w:rsid w:val="006E0BFA"/>
    <w:rsid w:val="006E325F"/>
    <w:rsid w:val="006E6C8C"/>
    <w:rsid w:val="006F07E1"/>
    <w:rsid w:val="006F2029"/>
    <w:rsid w:val="006F62E2"/>
    <w:rsid w:val="006F681A"/>
    <w:rsid w:val="007053CA"/>
    <w:rsid w:val="0070711C"/>
    <w:rsid w:val="007079BA"/>
    <w:rsid w:val="0071362B"/>
    <w:rsid w:val="00714D3C"/>
    <w:rsid w:val="00715783"/>
    <w:rsid w:val="00725698"/>
    <w:rsid w:val="00727BEB"/>
    <w:rsid w:val="007326B6"/>
    <w:rsid w:val="00735C38"/>
    <w:rsid w:val="00740476"/>
    <w:rsid w:val="00747007"/>
    <w:rsid w:val="007509D8"/>
    <w:rsid w:val="00755AAE"/>
    <w:rsid w:val="00756314"/>
    <w:rsid w:val="007614E9"/>
    <w:rsid w:val="00763703"/>
    <w:rsid w:val="00770D9D"/>
    <w:rsid w:val="00772A85"/>
    <w:rsid w:val="00773D06"/>
    <w:rsid w:val="007745FC"/>
    <w:rsid w:val="00780B9F"/>
    <w:rsid w:val="007913F2"/>
    <w:rsid w:val="0079211B"/>
    <w:rsid w:val="0079574B"/>
    <w:rsid w:val="007A54DC"/>
    <w:rsid w:val="007B714D"/>
    <w:rsid w:val="007C5AFE"/>
    <w:rsid w:val="007D0F8A"/>
    <w:rsid w:val="007D7BA2"/>
    <w:rsid w:val="007D7C46"/>
    <w:rsid w:val="007E0946"/>
    <w:rsid w:val="007E77EC"/>
    <w:rsid w:val="007F066A"/>
    <w:rsid w:val="007F610D"/>
    <w:rsid w:val="008012A9"/>
    <w:rsid w:val="00802433"/>
    <w:rsid w:val="0080300B"/>
    <w:rsid w:val="00811ECA"/>
    <w:rsid w:val="008213E2"/>
    <w:rsid w:val="00822754"/>
    <w:rsid w:val="00824AB8"/>
    <w:rsid w:val="008317EE"/>
    <w:rsid w:val="008415B4"/>
    <w:rsid w:val="008529AD"/>
    <w:rsid w:val="00867800"/>
    <w:rsid w:val="00871F72"/>
    <w:rsid w:val="0087228E"/>
    <w:rsid w:val="008727B6"/>
    <w:rsid w:val="008741BF"/>
    <w:rsid w:val="00877C7C"/>
    <w:rsid w:val="008830EA"/>
    <w:rsid w:val="00897FEC"/>
    <w:rsid w:val="008A1B5D"/>
    <w:rsid w:val="008B0CA9"/>
    <w:rsid w:val="008C3276"/>
    <w:rsid w:val="008E0EFA"/>
    <w:rsid w:val="008E5574"/>
    <w:rsid w:val="008F05EE"/>
    <w:rsid w:val="00902944"/>
    <w:rsid w:val="009031BB"/>
    <w:rsid w:val="00903D7F"/>
    <w:rsid w:val="00905944"/>
    <w:rsid w:val="009154F3"/>
    <w:rsid w:val="009162DA"/>
    <w:rsid w:val="00930915"/>
    <w:rsid w:val="00941044"/>
    <w:rsid w:val="009421B1"/>
    <w:rsid w:val="00944CC9"/>
    <w:rsid w:val="009519D1"/>
    <w:rsid w:val="00951D35"/>
    <w:rsid w:val="009524DB"/>
    <w:rsid w:val="00957CA6"/>
    <w:rsid w:val="00961CAA"/>
    <w:rsid w:val="009638EE"/>
    <w:rsid w:val="0097110E"/>
    <w:rsid w:val="00986320"/>
    <w:rsid w:val="0099480D"/>
    <w:rsid w:val="00994D70"/>
    <w:rsid w:val="009962D7"/>
    <w:rsid w:val="009A7118"/>
    <w:rsid w:val="009B067E"/>
    <w:rsid w:val="009B069E"/>
    <w:rsid w:val="009B0E15"/>
    <w:rsid w:val="009C071C"/>
    <w:rsid w:val="009C5BAB"/>
    <w:rsid w:val="009C7FE4"/>
    <w:rsid w:val="009D1B27"/>
    <w:rsid w:val="009D6D68"/>
    <w:rsid w:val="009E642B"/>
    <w:rsid w:val="00A017DF"/>
    <w:rsid w:val="00A0331E"/>
    <w:rsid w:val="00A05877"/>
    <w:rsid w:val="00A142CC"/>
    <w:rsid w:val="00A17AB8"/>
    <w:rsid w:val="00A218D2"/>
    <w:rsid w:val="00A2444B"/>
    <w:rsid w:val="00A26639"/>
    <w:rsid w:val="00A27357"/>
    <w:rsid w:val="00A332DA"/>
    <w:rsid w:val="00A42281"/>
    <w:rsid w:val="00A4483A"/>
    <w:rsid w:val="00A52C1B"/>
    <w:rsid w:val="00A55496"/>
    <w:rsid w:val="00A6262D"/>
    <w:rsid w:val="00A63D9E"/>
    <w:rsid w:val="00A661A3"/>
    <w:rsid w:val="00A70405"/>
    <w:rsid w:val="00A70798"/>
    <w:rsid w:val="00A73734"/>
    <w:rsid w:val="00A73EC9"/>
    <w:rsid w:val="00A7640E"/>
    <w:rsid w:val="00A76F4D"/>
    <w:rsid w:val="00A8704A"/>
    <w:rsid w:val="00AA3A53"/>
    <w:rsid w:val="00AD5FBA"/>
    <w:rsid w:val="00AD7ECA"/>
    <w:rsid w:val="00AE0F13"/>
    <w:rsid w:val="00AF2C96"/>
    <w:rsid w:val="00AF44FB"/>
    <w:rsid w:val="00B17412"/>
    <w:rsid w:val="00B2312E"/>
    <w:rsid w:val="00B33588"/>
    <w:rsid w:val="00B40A46"/>
    <w:rsid w:val="00B41FF3"/>
    <w:rsid w:val="00B467C5"/>
    <w:rsid w:val="00B5047A"/>
    <w:rsid w:val="00B519ED"/>
    <w:rsid w:val="00B62A5B"/>
    <w:rsid w:val="00B651D0"/>
    <w:rsid w:val="00B707C9"/>
    <w:rsid w:val="00B737B2"/>
    <w:rsid w:val="00B753C9"/>
    <w:rsid w:val="00B95C90"/>
    <w:rsid w:val="00BA5968"/>
    <w:rsid w:val="00BB0894"/>
    <w:rsid w:val="00BB3E19"/>
    <w:rsid w:val="00BC2A2C"/>
    <w:rsid w:val="00BC591C"/>
    <w:rsid w:val="00BC7ECB"/>
    <w:rsid w:val="00BE1AFD"/>
    <w:rsid w:val="00BE3824"/>
    <w:rsid w:val="00BF3B78"/>
    <w:rsid w:val="00C03ADE"/>
    <w:rsid w:val="00C051D5"/>
    <w:rsid w:val="00C05378"/>
    <w:rsid w:val="00C05B6B"/>
    <w:rsid w:val="00C05ED0"/>
    <w:rsid w:val="00C1524A"/>
    <w:rsid w:val="00C17547"/>
    <w:rsid w:val="00C2308D"/>
    <w:rsid w:val="00C24E43"/>
    <w:rsid w:val="00C278E0"/>
    <w:rsid w:val="00C30A65"/>
    <w:rsid w:val="00C31FF4"/>
    <w:rsid w:val="00C3781B"/>
    <w:rsid w:val="00C443CD"/>
    <w:rsid w:val="00C46246"/>
    <w:rsid w:val="00C46655"/>
    <w:rsid w:val="00C55D29"/>
    <w:rsid w:val="00C644CB"/>
    <w:rsid w:val="00C70840"/>
    <w:rsid w:val="00C715B7"/>
    <w:rsid w:val="00C7608B"/>
    <w:rsid w:val="00C819A6"/>
    <w:rsid w:val="00C81E01"/>
    <w:rsid w:val="00C91EC2"/>
    <w:rsid w:val="00C977A7"/>
    <w:rsid w:val="00CA23A4"/>
    <w:rsid w:val="00CA3A6B"/>
    <w:rsid w:val="00CA43CC"/>
    <w:rsid w:val="00CB035D"/>
    <w:rsid w:val="00CB13CE"/>
    <w:rsid w:val="00CB17A1"/>
    <w:rsid w:val="00CB217D"/>
    <w:rsid w:val="00CB2D1D"/>
    <w:rsid w:val="00CB6B3B"/>
    <w:rsid w:val="00CC4543"/>
    <w:rsid w:val="00CD0F4B"/>
    <w:rsid w:val="00CD3DA9"/>
    <w:rsid w:val="00CE0033"/>
    <w:rsid w:val="00CE0D22"/>
    <w:rsid w:val="00CE28C8"/>
    <w:rsid w:val="00CE40E8"/>
    <w:rsid w:val="00CE5269"/>
    <w:rsid w:val="00CE57B2"/>
    <w:rsid w:val="00CF2722"/>
    <w:rsid w:val="00CF2850"/>
    <w:rsid w:val="00CF2DD4"/>
    <w:rsid w:val="00D00BE5"/>
    <w:rsid w:val="00D03342"/>
    <w:rsid w:val="00D04FE6"/>
    <w:rsid w:val="00D0639F"/>
    <w:rsid w:val="00D15B5C"/>
    <w:rsid w:val="00D2014B"/>
    <w:rsid w:val="00D2101A"/>
    <w:rsid w:val="00D35634"/>
    <w:rsid w:val="00D41FF0"/>
    <w:rsid w:val="00D453CA"/>
    <w:rsid w:val="00D53BB2"/>
    <w:rsid w:val="00D56E06"/>
    <w:rsid w:val="00D57306"/>
    <w:rsid w:val="00D65E04"/>
    <w:rsid w:val="00D67E9A"/>
    <w:rsid w:val="00D773F9"/>
    <w:rsid w:val="00D80AE1"/>
    <w:rsid w:val="00D8438C"/>
    <w:rsid w:val="00D87401"/>
    <w:rsid w:val="00DA005F"/>
    <w:rsid w:val="00DA2ADC"/>
    <w:rsid w:val="00DA408D"/>
    <w:rsid w:val="00DC5170"/>
    <w:rsid w:val="00DC6C31"/>
    <w:rsid w:val="00DE05D4"/>
    <w:rsid w:val="00DE65F8"/>
    <w:rsid w:val="00DE6D93"/>
    <w:rsid w:val="00DE7A38"/>
    <w:rsid w:val="00DF5352"/>
    <w:rsid w:val="00E015B5"/>
    <w:rsid w:val="00E0384C"/>
    <w:rsid w:val="00E052C3"/>
    <w:rsid w:val="00E104D2"/>
    <w:rsid w:val="00E11D57"/>
    <w:rsid w:val="00E136C0"/>
    <w:rsid w:val="00E1622A"/>
    <w:rsid w:val="00E20BE5"/>
    <w:rsid w:val="00E22F2E"/>
    <w:rsid w:val="00E2373A"/>
    <w:rsid w:val="00E31430"/>
    <w:rsid w:val="00E45082"/>
    <w:rsid w:val="00E51A81"/>
    <w:rsid w:val="00E55742"/>
    <w:rsid w:val="00E6646D"/>
    <w:rsid w:val="00E679C6"/>
    <w:rsid w:val="00E70F18"/>
    <w:rsid w:val="00E73658"/>
    <w:rsid w:val="00E73726"/>
    <w:rsid w:val="00E74FB5"/>
    <w:rsid w:val="00E9078F"/>
    <w:rsid w:val="00EA0D3B"/>
    <w:rsid w:val="00EA4CDB"/>
    <w:rsid w:val="00EA6706"/>
    <w:rsid w:val="00EB17B6"/>
    <w:rsid w:val="00EB3949"/>
    <w:rsid w:val="00EB4C32"/>
    <w:rsid w:val="00EB6B5A"/>
    <w:rsid w:val="00ED1259"/>
    <w:rsid w:val="00EE6120"/>
    <w:rsid w:val="00EF0216"/>
    <w:rsid w:val="00F0049D"/>
    <w:rsid w:val="00F0183A"/>
    <w:rsid w:val="00F05DDA"/>
    <w:rsid w:val="00F1439B"/>
    <w:rsid w:val="00F15205"/>
    <w:rsid w:val="00F16E90"/>
    <w:rsid w:val="00F17E23"/>
    <w:rsid w:val="00F21872"/>
    <w:rsid w:val="00F2443D"/>
    <w:rsid w:val="00F26EF9"/>
    <w:rsid w:val="00F562CB"/>
    <w:rsid w:val="00F57DBF"/>
    <w:rsid w:val="00F57F69"/>
    <w:rsid w:val="00F62BBF"/>
    <w:rsid w:val="00F66F2C"/>
    <w:rsid w:val="00F70360"/>
    <w:rsid w:val="00F709C1"/>
    <w:rsid w:val="00F83391"/>
    <w:rsid w:val="00F940F5"/>
    <w:rsid w:val="00F947CB"/>
    <w:rsid w:val="00FA54CB"/>
    <w:rsid w:val="00FB269B"/>
    <w:rsid w:val="00FB3FBA"/>
    <w:rsid w:val="00FB63E1"/>
    <w:rsid w:val="00FC73D4"/>
    <w:rsid w:val="00FD02B1"/>
    <w:rsid w:val="00FD05FD"/>
    <w:rsid w:val="00FD0C14"/>
    <w:rsid w:val="00FD4047"/>
    <w:rsid w:val="00FE3A2C"/>
    <w:rsid w:val="00FE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2C38"/>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8C37-DE30-4A05-9816-428CEDCD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Nomakorinte Ntliziywana</cp:lastModifiedBy>
  <cp:revision>2</cp:revision>
  <cp:lastPrinted>2022-07-15T12:44:00Z</cp:lastPrinted>
  <dcterms:created xsi:type="dcterms:W3CDTF">2022-11-07T07:12:00Z</dcterms:created>
  <dcterms:modified xsi:type="dcterms:W3CDTF">2022-11-07T07:12:00Z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1897595526</vt:i4>
  </property>
</Properties>
</file>