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6E" w:rsidRPr="00F9666E" w:rsidRDefault="00F9666E" w:rsidP="00F9666E">
      <w:pPr>
        <w:rPr>
          <w:color w:val="FF0000"/>
          <w:u w:val="single"/>
        </w:rPr>
      </w:pPr>
      <w:r>
        <w:rPr>
          <w:rFonts w:ascii="Arial" w:hAnsi="Arial" w:cs="Arial"/>
          <w:color w:val="FF0000"/>
        </w:rPr>
        <w:t>Editorial note: Certain information has been redacted from this judgment in compliance with the law.</w:t>
      </w:r>
    </w:p>
    <w:p w:rsidR="00112C31" w:rsidRDefault="00112C31" w:rsidP="00112C31">
      <w:pPr>
        <w:jc w:val="center"/>
        <w:rPr>
          <w:rFonts w:ascii="Arial" w:hAnsi="Arial" w:cs="Arial"/>
          <w:b/>
          <w:sz w:val="24"/>
          <w:szCs w:val="24"/>
          <w:lang w:val="en-GB"/>
        </w:rPr>
      </w:pPr>
      <w:r>
        <w:rPr>
          <w:noProof/>
          <w:lang w:eastAsia="en-ZA"/>
        </w:rPr>
        <w:drawing>
          <wp:inline distT="0" distB="0" distL="0" distR="0">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rsidR="00112C31" w:rsidRDefault="00112C31" w:rsidP="00112C31">
      <w:pPr>
        <w:jc w:val="center"/>
        <w:rPr>
          <w:rFonts w:ascii="Arial" w:hAnsi="Arial" w:cs="Arial"/>
          <w:b/>
          <w:sz w:val="24"/>
          <w:szCs w:val="24"/>
          <w:lang w:val="en-GB"/>
        </w:rPr>
      </w:pPr>
      <w:r>
        <w:rPr>
          <w:rFonts w:ascii="Arial" w:hAnsi="Arial" w:cs="Arial"/>
          <w:b/>
          <w:sz w:val="24"/>
          <w:szCs w:val="24"/>
          <w:lang w:val="en-GB"/>
        </w:rPr>
        <w:t>IN THE HIGH COURT OF SOUTH AFRICA</w:t>
      </w:r>
    </w:p>
    <w:p w:rsidR="00112C31" w:rsidRDefault="00112C31" w:rsidP="00112C31">
      <w:pPr>
        <w:jc w:val="center"/>
        <w:rPr>
          <w:rFonts w:ascii="Arial" w:hAnsi="Arial" w:cs="Arial"/>
          <w:b/>
          <w:sz w:val="24"/>
          <w:szCs w:val="24"/>
          <w:lang w:val="en-GB"/>
        </w:rPr>
      </w:pPr>
      <w:r>
        <w:rPr>
          <w:rFonts w:ascii="Arial" w:hAnsi="Arial" w:cs="Arial"/>
          <w:b/>
          <w:sz w:val="24"/>
          <w:szCs w:val="24"/>
          <w:lang w:val="en-GB"/>
        </w:rPr>
        <w:t>[EASTERN CAPE DIVISION: GQEBERHA]</w:t>
      </w:r>
    </w:p>
    <w:p w:rsidR="00112C31" w:rsidRDefault="00112C31" w:rsidP="00112C31">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1986/2021</w:t>
      </w:r>
    </w:p>
    <w:p w:rsidR="00112C31" w:rsidRDefault="00112C31" w:rsidP="00112C31">
      <w:pPr>
        <w:rPr>
          <w:rFonts w:ascii="Arial" w:hAnsi="Arial" w:cs="Arial"/>
          <w:sz w:val="24"/>
          <w:szCs w:val="24"/>
          <w:lang w:val="en-GB"/>
        </w:rPr>
      </w:pPr>
      <w:r>
        <w:rPr>
          <w:rFonts w:ascii="Arial" w:hAnsi="Arial" w:cs="Arial"/>
          <w:sz w:val="24"/>
          <w:szCs w:val="24"/>
          <w:lang w:val="en-GB"/>
        </w:rPr>
        <w:t>In the matter between:</w:t>
      </w:r>
    </w:p>
    <w:p w:rsidR="00112C31" w:rsidRDefault="00112C31" w:rsidP="00112C31">
      <w:pPr>
        <w:rPr>
          <w:rFonts w:ascii="Arial" w:hAnsi="Arial" w:cs="Arial"/>
          <w:b/>
          <w:sz w:val="24"/>
          <w:szCs w:val="24"/>
          <w:lang w:val="en-GB"/>
        </w:rPr>
      </w:pPr>
    </w:p>
    <w:p w:rsidR="00112C31" w:rsidRDefault="00112C31" w:rsidP="00112C31">
      <w:pPr>
        <w:rPr>
          <w:rFonts w:ascii="Arial" w:hAnsi="Arial" w:cs="Arial"/>
          <w:b/>
          <w:sz w:val="24"/>
          <w:szCs w:val="24"/>
          <w:lang w:val="en-GB"/>
        </w:rPr>
      </w:pPr>
      <w:proofErr w:type="gramStart"/>
      <w:r>
        <w:rPr>
          <w:rFonts w:ascii="Arial" w:hAnsi="Arial" w:cs="Arial"/>
          <w:b/>
          <w:sz w:val="24"/>
          <w:szCs w:val="24"/>
          <w:lang w:val="en-GB"/>
        </w:rPr>
        <w:t>U</w:t>
      </w:r>
      <w:r w:rsidR="0008638D">
        <w:rPr>
          <w:rFonts w:ascii="Arial" w:hAnsi="Arial" w:cs="Arial"/>
          <w:b/>
          <w:sz w:val="24"/>
          <w:szCs w:val="24"/>
          <w:lang w:val="en-GB"/>
        </w:rPr>
        <w:t>[</w:t>
      </w:r>
      <w:proofErr w:type="gramEnd"/>
      <w:r w:rsidR="0008638D">
        <w:rPr>
          <w:rFonts w:ascii="Arial" w:hAnsi="Arial" w:cs="Arial"/>
          <w:b/>
          <w:sz w:val="24"/>
          <w:szCs w:val="24"/>
          <w:lang w:val="en-GB"/>
        </w:rPr>
        <w:t>…]</w:t>
      </w:r>
      <w:r>
        <w:rPr>
          <w:rFonts w:ascii="Arial" w:hAnsi="Arial" w:cs="Arial"/>
          <w:b/>
          <w:sz w:val="24"/>
          <w:szCs w:val="24"/>
          <w:lang w:val="en-GB"/>
        </w:rPr>
        <w:t xml:space="preserve"> J</w:t>
      </w:r>
      <w:r w:rsidR="0008638D">
        <w:rPr>
          <w:rFonts w:ascii="Arial" w:hAnsi="Arial" w:cs="Arial"/>
          <w:b/>
          <w:sz w:val="24"/>
          <w:szCs w:val="24"/>
          <w:lang w:val="en-GB"/>
        </w:rPr>
        <w:t>[…]</w:t>
      </w:r>
      <w:r w:rsidR="0008638D">
        <w:rPr>
          <w:rFonts w:ascii="Arial" w:hAnsi="Arial" w:cs="Arial"/>
          <w:b/>
          <w:sz w:val="24"/>
          <w:szCs w:val="24"/>
          <w:lang w:val="en-GB"/>
        </w:rPr>
        <w:tab/>
      </w:r>
      <w:r w:rsidR="0008638D">
        <w:rPr>
          <w:rFonts w:ascii="Arial" w:hAnsi="Arial" w:cs="Arial"/>
          <w:b/>
          <w:sz w:val="24"/>
          <w:szCs w:val="24"/>
          <w:lang w:val="en-GB"/>
        </w:rPr>
        <w:tab/>
      </w:r>
      <w:r w:rsidR="0008638D">
        <w:rPr>
          <w:rFonts w:ascii="Arial" w:hAnsi="Arial" w:cs="Arial"/>
          <w:b/>
          <w:sz w:val="24"/>
          <w:szCs w:val="24"/>
          <w:lang w:val="en-GB"/>
        </w:rPr>
        <w:tab/>
      </w:r>
      <w:r w:rsidR="0008638D">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w:t>
      </w:r>
      <w:r w:rsidRPr="00112C31">
        <w:rPr>
          <w:rFonts w:ascii="Arial" w:hAnsi="Arial" w:cs="Arial"/>
          <w:b/>
          <w:sz w:val="24"/>
          <w:szCs w:val="24"/>
          <w:vertAlign w:val="superscript"/>
          <w:lang w:val="en-GB"/>
        </w:rPr>
        <w:t>st</w:t>
      </w:r>
      <w:r>
        <w:rPr>
          <w:rFonts w:ascii="Arial" w:hAnsi="Arial" w:cs="Arial"/>
          <w:b/>
          <w:sz w:val="24"/>
          <w:szCs w:val="24"/>
          <w:lang w:val="en-GB"/>
        </w:rPr>
        <w:t xml:space="preserve"> Applicant</w:t>
      </w:r>
    </w:p>
    <w:p w:rsidR="00112C31" w:rsidRDefault="002B7E67" w:rsidP="00112C31">
      <w:pPr>
        <w:rPr>
          <w:rFonts w:ascii="Arial" w:hAnsi="Arial" w:cs="Arial"/>
          <w:b/>
          <w:sz w:val="24"/>
          <w:szCs w:val="24"/>
          <w:lang w:val="en-GB"/>
        </w:rPr>
      </w:pPr>
      <w:r>
        <w:rPr>
          <w:rFonts w:ascii="Arial" w:hAnsi="Arial" w:cs="Arial"/>
          <w:b/>
          <w:sz w:val="24"/>
          <w:szCs w:val="24"/>
          <w:lang w:val="en-GB"/>
        </w:rPr>
        <w:t>V</w:t>
      </w:r>
      <w:r w:rsidR="0008638D">
        <w:rPr>
          <w:rFonts w:ascii="Arial" w:hAnsi="Arial" w:cs="Arial"/>
          <w:b/>
          <w:sz w:val="24"/>
          <w:szCs w:val="24"/>
          <w:lang w:val="en-GB"/>
        </w:rPr>
        <w:t>[…]</w:t>
      </w:r>
      <w:r>
        <w:rPr>
          <w:rFonts w:ascii="Arial" w:hAnsi="Arial" w:cs="Arial"/>
          <w:b/>
          <w:sz w:val="24"/>
          <w:szCs w:val="24"/>
          <w:lang w:val="en-GB"/>
        </w:rPr>
        <w:t xml:space="preserve"> G</w:t>
      </w:r>
      <w:r w:rsidR="0008638D">
        <w:rPr>
          <w:rFonts w:ascii="Arial" w:hAnsi="Arial" w:cs="Arial"/>
          <w:b/>
          <w:sz w:val="24"/>
          <w:szCs w:val="24"/>
          <w:lang w:val="en-GB"/>
        </w:rPr>
        <w:t>[…]</w:t>
      </w:r>
      <w:r w:rsidR="0008638D">
        <w:rPr>
          <w:rFonts w:ascii="Arial" w:hAnsi="Arial" w:cs="Arial"/>
          <w:b/>
          <w:sz w:val="24"/>
          <w:szCs w:val="24"/>
          <w:lang w:val="en-GB"/>
        </w:rPr>
        <w:tab/>
      </w:r>
      <w:r w:rsidR="0008638D">
        <w:rPr>
          <w:rFonts w:ascii="Arial" w:hAnsi="Arial" w:cs="Arial"/>
          <w:b/>
          <w:sz w:val="24"/>
          <w:szCs w:val="24"/>
          <w:lang w:val="en-GB"/>
        </w:rPr>
        <w:tab/>
      </w:r>
      <w:r w:rsidR="0008638D">
        <w:rPr>
          <w:rFonts w:ascii="Arial" w:hAnsi="Arial" w:cs="Arial"/>
          <w:b/>
          <w:sz w:val="24"/>
          <w:szCs w:val="24"/>
          <w:lang w:val="en-GB"/>
        </w:rPr>
        <w:tab/>
      </w:r>
      <w:bookmarkStart w:id="0" w:name="_GoBack"/>
      <w:bookmarkEnd w:id="0"/>
      <w:r w:rsidR="00112C31">
        <w:rPr>
          <w:rFonts w:ascii="Arial" w:hAnsi="Arial" w:cs="Arial"/>
          <w:b/>
          <w:sz w:val="24"/>
          <w:szCs w:val="24"/>
          <w:lang w:val="en-GB"/>
        </w:rPr>
        <w:tab/>
      </w:r>
      <w:r w:rsidR="00112C31">
        <w:rPr>
          <w:rFonts w:ascii="Arial" w:hAnsi="Arial" w:cs="Arial"/>
          <w:b/>
          <w:sz w:val="24"/>
          <w:szCs w:val="24"/>
          <w:lang w:val="en-GB"/>
        </w:rPr>
        <w:tab/>
      </w:r>
      <w:r w:rsidR="00112C31">
        <w:rPr>
          <w:rFonts w:ascii="Arial" w:hAnsi="Arial" w:cs="Arial"/>
          <w:b/>
          <w:sz w:val="24"/>
          <w:szCs w:val="24"/>
          <w:lang w:val="en-GB"/>
        </w:rPr>
        <w:tab/>
      </w:r>
      <w:r w:rsidR="00112C31">
        <w:rPr>
          <w:rFonts w:ascii="Arial" w:hAnsi="Arial" w:cs="Arial"/>
          <w:b/>
          <w:sz w:val="24"/>
          <w:szCs w:val="24"/>
          <w:lang w:val="en-GB"/>
        </w:rPr>
        <w:tab/>
      </w:r>
      <w:r w:rsidR="00112C31">
        <w:rPr>
          <w:rFonts w:ascii="Arial" w:hAnsi="Arial" w:cs="Arial"/>
          <w:b/>
          <w:sz w:val="24"/>
          <w:szCs w:val="24"/>
          <w:lang w:val="en-GB"/>
        </w:rPr>
        <w:tab/>
      </w:r>
      <w:r>
        <w:rPr>
          <w:rFonts w:ascii="Arial" w:hAnsi="Arial" w:cs="Arial"/>
          <w:b/>
          <w:sz w:val="24"/>
          <w:szCs w:val="24"/>
          <w:lang w:val="en-GB"/>
        </w:rPr>
        <w:tab/>
      </w:r>
      <w:r w:rsidR="00112C31">
        <w:rPr>
          <w:rFonts w:ascii="Arial" w:hAnsi="Arial" w:cs="Arial"/>
          <w:b/>
          <w:sz w:val="24"/>
          <w:szCs w:val="24"/>
          <w:lang w:val="en-GB"/>
        </w:rPr>
        <w:t>2</w:t>
      </w:r>
      <w:r w:rsidR="00112C31" w:rsidRPr="00112C31">
        <w:rPr>
          <w:rFonts w:ascii="Arial" w:hAnsi="Arial" w:cs="Arial"/>
          <w:b/>
          <w:sz w:val="24"/>
          <w:szCs w:val="24"/>
          <w:vertAlign w:val="superscript"/>
          <w:lang w:val="en-GB"/>
        </w:rPr>
        <w:t>nd</w:t>
      </w:r>
      <w:r w:rsidR="00112C31">
        <w:rPr>
          <w:rFonts w:ascii="Arial" w:hAnsi="Arial" w:cs="Arial"/>
          <w:b/>
          <w:sz w:val="24"/>
          <w:szCs w:val="24"/>
          <w:lang w:val="en-GB"/>
        </w:rPr>
        <w:t xml:space="preserve"> Applicant</w:t>
      </w:r>
    </w:p>
    <w:p w:rsidR="00112C31" w:rsidRDefault="00112C31" w:rsidP="00112C31">
      <w:pPr>
        <w:rPr>
          <w:rFonts w:ascii="Arial" w:hAnsi="Arial" w:cs="Arial"/>
          <w:b/>
          <w:sz w:val="24"/>
          <w:szCs w:val="24"/>
          <w:lang w:val="en-GB"/>
        </w:rPr>
      </w:pPr>
    </w:p>
    <w:p w:rsidR="00112C31" w:rsidRDefault="00112C31" w:rsidP="00112C31">
      <w:pPr>
        <w:rPr>
          <w:rFonts w:ascii="Arial" w:hAnsi="Arial" w:cs="Arial"/>
          <w:b/>
          <w:sz w:val="24"/>
          <w:szCs w:val="24"/>
          <w:lang w:val="en-GB"/>
        </w:rPr>
      </w:pPr>
      <w:r>
        <w:rPr>
          <w:rFonts w:ascii="Arial" w:hAnsi="Arial" w:cs="Arial"/>
          <w:b/>
          <w:sz w:val="24"/>
          <w:szCs w:val="24"/>
          <w:lang w:val="en-GB"/>
        </w:rPr>
        <w:t>and</w:t>
      </w:r>
    </w:p>
    <w:p w:rsidR="00112C31" w:rsidRDefault="00112C31" w:rsidP="00112C31">
      <w:pPr>
        <w:rPr>
          <w:rFonts w:ascii="Arial" w:hAnsi="Arial" w:cs="Arial"/>
          <w:b/>
          <w:sz w:val="24"/>
          <w:szCs w:val="24"/>
          <w:lang w:val="en-GB"/>
        </w:rPr>
      </w:pPr>
    </w:p>
    <w:p w:rsidR="00112C31" w:rsidRDefault="00112C31" w:rsidP="00112C31">
      <w:pPr>
        <w:spacing w:line="240" w:lineRule="auto"/>
        <w:rPr>
          <w:rFonts w:ascii="Arial" w:hAnsi="Arial" w:cs="Arial"/>
          <w:b/>
          <w:sz w:val="24"/>
          <w:szCs w:val="24"/>
          <w:lang w:val="en-GB"/>
        </w:rPr>
      </w:pPr>
      <w:r>
        <w:rPr>
          <w:rFonts w:ascii="Arial" w:hAnsi="Arial" w:cs="Arial"/>
          <w:b/>
          <w:sz w:val="24"/>
          <w:szCs w:val="24"/>
          <w:lang w:val="en-GB"/>
        </w:rPr>
        <w:t xml:space="preserve">MINISTER OF HOME AFFAIRS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w:t>
      </w:r>
      <w:r w:rsidRPr="00112C31">
        <w:rPr>
          <w:rFonts w:ascii="Arial" w:hAnsi="Arial" w:cs="Arial"/>
          <w:b/>
          <w:sz w:val="24"/>
          <w:szCs w:val="24"/>
          <w:vertAlign w:val="superscript"/>
          <w:lang w:val="en-GB"/>
        </w:rPr>
        <w:t>st</w:t>
      </w:r>
      <w:r>
        <w:rPr>
          <w:rFonts w:ascii="Arial" w:hAnsi="Arial" w:cs="Arial"/>
          <w:b/>
          <w:sz w:val="24"/>
          <w:szCs w:val="24"/>
          <w:lang w:val="en-GB"/>
        </w:rPr>
        <w:t xml:space="preserve"> Respondent</w:t>
      </w:r>
    </w:p>
    <w:p w:rsidR="00112C31" w:rsidRDefault="00112C31" w:rsidP="00112C31">
      <w:pPr>
        <w:spacing w:line="240" w:lineRule="auto"/>
        <w:rPr>
          <w:rFonts w:ascii="Arial" w:hAnsi="Arial" w:cs="Arial"/>
          <w:b/>
          <w:sz w:val="24"/>
          <w:szCs w:val="24"/>
          <w:lang w:val="en-GB"/>
        </w:rPr>
      </w:pPr>
      <w:r>
        <w:rPr>
          <w:rFonts w:ascii="Arial" w:hAnsi="Arial" w:cs="Arial"/>
          <w:b/>
          <w:sz w:val="24"/>
          <w:szCs w:val="24"/>
          <w:lang w:val="en-GB"/>
        </w:rPr>
        <w:t>MS MBEBE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112C31">
        <w:rPr>
          <w:rFonts w:ascii="Arial" w:hAnsi="Arial" w:cs="Arial"/>
          <w:b/>
          <w:sz w:val="24"/>
          <w:szCs w:val="24"/>
          <w:vertAlign w:val="superscript"/>
          <w:lang w:val="en-GB"/>
        </w:rPr>
        <w:t>nd</w:t>
      </w:r>
      <w:r>
        <w:rPr>
          <w:rFonts w:ascii="Arial" w:hAnsi="Arial" w:cs="Arial"/>
          <w:b/>
          <w:sz w:val="24"/>
          <w:szCs w:val="24"/>
          <w:lang w:val="en-GB"/>
        </w:rPr>
        <w:t xml:space="preserve"> Respondent</w:t>
      </w:r>
    </w:p>
    <w:p w:rsidR="00112C31" w:rsidRDefault="00112C31" w:rsidP="00112C31">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112C31" w:rsidRDefault="00112C31" w:rsidP="00112C31">
      <w:pPr>
        <w:spacing w:line="240" w:lineRule="auto"/>
        <w:jc w:val="center"/>
        <w:rPr>
          <w:rFonts w:ascii="Arial" w:hAnsi="Arial" w:cs="Arial"/>
          <w:b/>
          <w:sz w:val="24"/>
          <w:szCs w:val="24"/>
          <w:lang w:val="en-GB"/>
        </w:rPr>
      </w:pPr>
      <w:r>
        <w:rPr>
          <w:rFonts w:ascii="Arial" w:hAnsi="Arial" w:cs="Arial"/>
          <w:b/>
          <w:sz w:val="24"/>
          <w:szCs w:val="24"/>
          <w:lang w:val="en-GB"/>
        </w:rPr>
        <w:t>JUDGMENT</w:t>
      </w:r>
    </w:p>
    <w:p w:rsidR="00112C31" w:rsidRDefault="00112C31" w:rsidP="00112C31">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112C31" w:rsidRDefault="00112C31" w:rsidP="00112C31">
      <w:pPr>
        <w:spacing w:line="480" w:lineRule="auto"/>
        <w:jc w:val="both"/>
        <w:rPr>
          <w:rFonts w:ascii="Arial" w:hAnsi="Arial" w:cs="Arial"/>
          <w:b/>
          <w:sz w:val="24"/>
          <w:szCs w:val="24"/>
          <w:lang w:val="en-GB"/>
        </w:rPr>
      </w:pPr>
      <w:r>
        <w:rPr>
          <w:rFonts w:ascii="Arial" w:hAnsi="Arial" w:cs="Arial"/>
          <w:b/>
          <w:sz w:val="24"/>
          <w:szCs w:val="24"/>
          <w:lang w:val="en-GB"/>
        </w:rPr>
        <w:t>JOLWANA J:</w:t>
      </w:r>
    </w:p>
    <w:p w:rsidR="00141822" w:rsidRPr="00141822" w:rsidRDefault="00141822" w:rsidP="00112C31">
      <w:pPr>
        <w:spacing w:line="480" w:lineRule="auto"/>
        <w:jc w:val="both"/>
        <w:rPr>
          <w:rFonts w:ascii="Arial" w:hAnsi="Arial" w:cs="Arial"/>
          <w:i/>
          <w:sz w:val="24"/>
          <w:szCs w:val="24"/>
          <w:lang w:val="en-GB"/>
        </w:rPr>
      </w:pPr>
      <w:r>
        <w:rPr>
          <w:rFonts w:ascii="Arial" w:hAnsi="Arial" w:cs="Arial"/>
          <w:i/>
          <w:sz w:val="24"/>
          <w:szCs w:val="24"/>
          <w:lang w:val="en-GB"/>
        </w:rPr>
        <w:t>Introduction.</w:t>
      </w:r>
    </w:p>
    <w:p w:rsidR="00141822" w:rsidRDefault="00D40DD0" w:rsidP="00112C31">
      <w:pPr>
        <w:spacing w:line="480" w:lineRule="auto"/>
        <w:jc w:val="both"/>
        <w:rPr>
          <w:rFonts w:ascii="Arial" w:hAnsi="Arial" w:cs="Arial"/>
          <w:sz w:val="24"/>
          <w:szCs w:val="24"/>
          <w:lang w:val="en-GB"/>
        </w:rPr>
      </w:pPr>
      <w:r>
        <w:rPr>
          <w:rFonts w:ascii="Arial" w:hAnsi="Arial" w:cs="Arial"/>
          <w:sz w:val="24"/>
          <w:szCs w:val="24"/>
          <w:lang w:val="en-GB"/>
        </w:rPr>
        <w:t>[1] This matter concerns</w:t>
      </w:r>
      <w:r w:rsidR="00112C31">
        <w:rPr>
          <w:rFonts w:ascii="Arial" w:hAnsi="Arial" w:cs="Arial"/>
          <w:sz w:val="24"/>
          <w:szCs w:val="24"/>
          <w:lang w:val="en-GB"/>
        </w:rPr>
        <w:t xml:space="preserve"> the amendment of an abridged birth certificate of a minor child </w:t>
      </w:r>
      <w:r w:rsidR="008330B0">
        <w:rPr>
          <w:rFonts w:ascii="Arial" w:hAnsi="Arial" w:cs="Arial"/>
          <w:sz w:val="24"/>
          <w:szCs w:val="24"/>
          <w:lang w:val="en-GB"/>
        </w:rPr>
        <w:t xml:space="preserve">(the child) </w:t>
      </w:r>
      <w:r w:rsidR="00112C31">
        <w:rPr>
          <w:rFonts w:ascii="Arial" w:hAnsi="Arial" w:cs="Arial"/>
          <w:sz w:val="24"/>
          <w:szCs w:val="24"/>
          <w:lang w:val="en-GB"/>
        </w:rPr>
        <w:t xml:space="preserve">to include the details of the child’s biological father.  </w:t>
      </w:r>
      <w:r w:rsidR="00141822">
        <w:rPr>
          <w:rFonts w:ascii="Arial" w:hAnsi="Arial" w:cs="Arial"/>
          <w:sz w:val="24"/>
          <w:szCs w:val="24"/>
          <w:lang w:val="en-GB"/>
        </w:rPr>
        <w:t xml:space="preserve">Put differently, it is about the amendment of the birth registration records of the child at the Department of Home </w:t>
      </w:r>
      <w:proofErr w:type="spellStart"/>
      <w:r w:rsidR="00141822">
        <w:rPr>
          <w:rFonts w:ascii="Arial" w:hAnsi="Arial" w:cs="Arial"/>
          <w:sz w:val="24"/>
          <w:szCs w:val="24"/>
          <w:lang w:val="en-GB"/>
        </w:rPr>
        <w:t>Affaris</w:t>
      </w:r>
      <w:proofErr w:type="spellEnd"/>
      <w:r w:rsidR="00141822">
        <w:rPr>
          <w:rFonts w:ascii="Arial" w:hAnsi="Arial" w:cs="Arial"/>
          <w:sz w:val="24"/>
          <w:szCs w:val="24"/>
          <w:lang w:val="en-GB"/>
        </w:rPr>
        <w:t xml:space="preserve"> to reflect the second applicant as the father of the child.  </w:t>
      </w:r>
      <w:r w:rsidR="008330B0">
        <w:rPr>
          <w:rFonts w:ascii="Arial" w:hAnsi="Arial" w:cs="Arial"/>
          <w:sz w:val="24"/>
          <w:szCs w:val="24"/>
          <w:lang w:val="en-GB"/>
        </w:rPr>
        <w:t>B</w:t>
      </w:r>
      <w:r w:rsidR="00D62B33">
        <w:rPr>
          <w:rFonts w:ascii="Arial" w:hAnsi="Arial" w:cs="Arial"/>
          <w:sz w:val="24"/>
          <w:szCs w:val="24"/>
          <w:lang w:val="en-GB"/>
        </w:rPr>
        <w:t>oth applicants are the</w:t>
      </w:r>
      <w:r w:rsidR="00E0433C">
        <w:rPr>
          <w:rFonts w:ascii="Arial" w:hAnsi="Arial" w:cs="Arial"/>
          <w:sz w:val="24"/>
          <w:szCs w:val="24"/>
          <w:lang w:val="en-GB"/>
        </w:rPr>
        <w:t xml:space="preserve"> </w:t>
      </w:r>
      <w:r w:rsidR="00D62B33">
        <w:rPr>
          <w:rFonts w:ascii="Arial" w:hAnsi="Arial" w:cs="Arial"/>
          <w:sz w:val="24"/>
          <w:szCs w:val="24"/>
          <w:lang w:val="en-GB"/>
        </w:rPr>
        <w:t>biological parents of the child who</w:t>
      </w:r>
      <w:r w:rsidR="00162ABC">
        <w:rPr>
          <w:rFonts w:ascii="Arial" w:hAnsi="Arial" w:cs="Arial"/>
          <w:sz w:val="24"/>
          <w:szCs w:val="24"/>
          <w:lang w:val="en-GB"/>
        </w:rPr>
        <w:t>, for all intents and purposes,</w:t>
      </w:r>
      <w:r w:rsidR="00D62B33">
        <w:rPr>
          <w:rFonts w:ascii="Arial" w:hAnsi="Arial" w:cs="Arial"/>
          <w:sz w:val="24"/>
          <w:szCs w:val="24"/>
          <w:lang w:val="en-GB"/>
        </w:rPr>
        <w:t xml:space="preserve"> live together </w:t>
      </w:r>
      <w:r w:rsidR="002B7E67">
        <w:rPr>
          <w:rFonts w:ascii="Arial" w:hAnsi="Arial" w:cs="Arial"/>
          <w:sz w:val="24"/>
          <w:szCs w:val="24"/>
          <w:lang w:val="en-GB"/>
        </w:rPr>
        <w:t xml:space="preserve">basically </w:t>
      </w:r>
      <w:r w:rsidR="00D62B33">
        <w:rPr>
          <w:rFonts w:ascii="Arial" w:hAnsi="Arial" w:cs="Arial"/>
          <w:sz w:val="24"/>
          <w:szCs w:val="24"/>
          <w:lang w:val="en-GB"/>
        </w:rPr>
        <w:t>as husband and wife</w:t>
      </w:r>
      <w:r w:rsidR="00B73AEF">
        <w:rPr>
          <w:rFonts w:ascii="Arial" w:hAnsi="Arial" w:cs="Arial"/>
          <w:sz w:val="24"/>
          <w:szCs w:val="24"/>
          <w:lang w:val="en-GB"/>
        </w:rPr>
        <w:t xml:space="preserve"> even though they are not married</w:t>
      </w:r>
      <w:r w:rsidR="00D62B33">
        <w:rPr>
          <w:rFonts w:ascii="Arial" w:hAnsi="Arial" w:cs="Arial"/>
          <w:sz w:val="24"/>
          <w:szCs w:val="24"/>
          <w:lang w:val="en-GB"/>
        </w:rPr>
        <w:t xml:space="preserve">.  The first </w:t>
      </w:r>
      <w:r w:rsidR="00D62B33">
        <w:rPr>
          <w:rFonts w:ascii="Arial" w:hAnsi="Arial" w:cs="Arial"/>
          <w:sz w:val="24"/>
          <w:szCs w:val="24"/>
          <w:lang w:val="en-GB"/>
        </w:rPr>
        <w:lastRenderedPageBreak/>
        <w:t>applicant</w:t>
      </w:r>
      <w:r w:rsidR="00AC6F61">
        <w:rPr>
          <w:rFonts w:ascii="Arial" w:hAnsi="Arial" w:cs="Arial"/>
          <w:sz w:val="24"/>
          <w:szCs w:val="24"/>
          <w:lang w:val="en-GB"/>
        </w:rPr>
        <w:t>, the mother of the child</w:t>
      </w:r>
      <w:r w:rsidR="00D62B33">
        <w:rPr>
          <w:rFonts w:ascii="Arial" w:hAnsi="Arial" w:cs="Arial"/>
          <w:sz w:val="24"/>
          <w:szCs w:val="24"/>
          <w:lang w:val="en-GB"/>
        </w:rPr>
        <w:t xml:space="preserve"> is a South African citizen.  </w:t>
      </w:r>
      <w:r w:rsidR="00AC6F61">
        <w:rPr>
          <w:rFonts w:ascii="Arial" w:hAnsi="Arial" w:cs="Arial"/>
          <w:sz w:val="24"/>
          <w:szCs w:val="24"/>
          <w:lang w:val="en-GB"/>
        </w:rPr>
        <w:t xml:space="preserve">The second applicant, the father of the child is a citizen of Bulgaria who came to South Africa on a VISA.  However, that VISA expired and that made his presence in South Africa illegal.  </w:t>
      </w:r>
      <w:r w:rsidR="008330B0">
        <w:rPr>
          <w:rFonts w:ascii="Arial" w:hAnsi="Arial" w:cs="Arial"/>
          <w:sz w:val="24"/>
          <w:szCs w:val="24"/>
          <w:lang w:val="en-GB"/>
        </w:rPr>
        <w:t>The first respondent i</w:t>
      </w:r>
      <w:r w:rsidR="00AC6F61">
        <w:rPr>
          <w:rFonts w:ascii="Arial" w:hAnsi="Arial" w:cs="Arial"/>
          <w:sz w:val="24"/>
          <w:szCs w:val="24"/>
          <w:lang w:val="en-GB"/>
        </w:rPr>
        <w:t xml:space="preserve">s cited </w:t>
      </w:r>
      <w:proofErr w:type="spellStart"/>
      <w:r w:rsidR="008330B0" w:rsidRPr="008330B0">
        <w:rPr>
          <w:rFonts w:ascii="Arial" w:hAnsi="Arial" w:cs="Arial"/>
          <w:i/>
          <w:sz w:val="24"/>
          <w:szCs w:val="24"/>
          <w:lang w:val="en-GB"/>
        </w:rPr>
        <w:t>nomino</w:t>
      </w:r>
      <w:proofErr w:type="spellEnd"/>
      <w:r w:rsidR="008330B0">
        <w:rPr>
          <w:rFonts w:ascii="Arial" w:hAnsi="Arial" w:cs="Arial"/>
          <w:sz w:val="24"/>
          <w:szCs w:val="24"/>
          <w:lang w:val="en-GB"/>
        </w:rPr>
        <w:t xml:space="preserve"> </w:t>
      </w:r>
      <w:r w:rsidR="008330B0" w:rsidRPr="00AC6F61">
        <w:rPr>
          <w:rFonts w:ascii="Arial" w:hAnsi="Arial" w:cs="Arial"/>
          <w:i/>
          <w:sz w:val="24"/>
          <w:szCs w:val="24"/>
          <w:lang w:val="en-GB"/>
        </w:rPr>
        <w:t>officio</w:t>
      </w:r>
      <w:r w:rsidR="008330B0">
        <w:rPr>
          <w:rFonts w:ascii="Arial" w:hAnsi="Arial" w:cs="Arial"/>
          <w:sz w:val="24"/>
          <w:szCs w:val="24"/>
          <w:lang w:val="en-GB"/>
        </w:rPr>
        <w:t xml:space="preserve"> as the Minister responsible for the Department of Home </w:t>
      </w:r>
      <w:r w:rsidR="002B7E67">
        <w:rPr>
          <w:rFonts w:ascii="Arial" w:hAnsi="Arial" w:cs="Arial"/>
          <w:sz w:val="24"/>
          <w:szCs w:val="24"/>
          <w:lang w:val="en-GB"/>
        </w:rPr>
        <w:t>A</w:t>
      </w:r>
      <w:r w:rsidR="008330B0">
        <w:rPr>
          <w:rFonts w:ascii="Arial" w:hAnsi="Arial" w:cs="Arial"/>
          <w:sz w:val="24"/>
          <w:szCs w:val="24"/>
          <w:lang w:val="en-GB"/>
        </w:rPr>
        <w:t xml:space="preserve">ffairs.  The second respondent is also cited </w:t>
      </w:r>
      <w:proofErr w:type="spellStart"/>
      <w:r w:rsidR="008330B0" w:rsidRPr="008330B0">
        <w:rPr>
          <w:rFonts w:ascii="Arial" w:hAnsi="Arial" w:cs="Arial"/>
          <w:i/>
          <w:sz w:val="24"/>
          <w:szCs w:val="24"/>
          <w:lang w:val="en-GB"/>
        </w:rPr>
        <w:t>nomino</w:t>
      </w:r>
      <w:proofErr w:type="spellEnd"/>
      <w:r w:rsidR="008330B0">
        <w:rPr>
          <w:rFonts w:ascii="Arial" w:hAnsi="Arial" w:cs="Arial"/>
          <w:sz w:val="24"/>
          <w:szCs w:val="24"/>
          <w:lang w:val="en-GB"/>
        </w:rPr>
        <w:t xml:space="preserve"> </w:t>
      </w:r>
      <w:r w:rsidR="008330B0" w:rsidRPr="00AC6F61">
        <w:rPr>
          <w:rFonts w:ascii="Arial" w:hAnsi="Arial" w:cs="Arial"/>
          <w:i/>
          <w:sz w:val="24"/>
          <w:szCs w:val="24"/>
          <w:lang w:val="en-GB"/>
        </w:rPr>
        <w:t>offic</w:t>
      </w:r>
      <w:r w:rsidR="00AC6F61" w:rsidRPr="00AC6F61">
        <w:rPr>
          <w:rFonts w:ascii="Arial" w:hAnsi="Arial" w:cs="Arial"/>
          <w:i/>
          <w:sz w:val="24"/>
          <w:szCs w:val="24"/>
          <w:lang w:val="en-GB"/>
        </w:rPr>
        <w:t>io</w:t>
      </w:r>
      <w:r w:rsidR="008330B0">
        <w:rPr>
          <w:rFonts w:ascii="Arial" w:hAnsi="Arial" w:cs="Arial"/>
          <w:sz w:val="24"/>
          <w:szCs w:val="24"/>
          <w:lang w:val="en-GB"/>
        </w:rPr>
        <w:t xml:space="preserve"> as the head of </w:t>
      </w:r>
      <w:r w:rsidR="00141822">
        <w:rPr>
          <w:rFonts w:ascii="Arial" w:hAnsi="Arial" w:cs="Arial"/>
          <w:sz w:val="24"/>
          <w:szCs w:val="24"/>
          <w:lang w:val="en-GB"/>
        </w:rPr>
        <w:t xml:space="preserve">the </w:t>
      </w:r>
      <w:r w:rsidR="008330B0">
        <w:rPr>
          <w:rFonts w:ascii="Arial" w:hAnsi="Arial" w:cs="Arial"/>
          <w:sz w:val="24"/>
          <w:szCs w:val="24"/>
          <w:lang w:val="en-GB"/>
        </w:rPr>
        <w:t xml:space="preserve">office </w:t>
      </w:r>
      <w:r w:rsidR="00AC6F61">
        <w:rPr>
          <w:rFonts w:ascii="Arial" w:hAnsi="Arial" w:cs="Arial"/>
          <w:sz w:val="24"/>
          <w:szCs w:val="24"/>
          <w:lang w:val="en-GB"/>
        </w:rPr>
        <w:t xml:space="preserve">of </w:t>
      </w:r>
      <w:r w:rsidR="002B7E67">
        <w:rPr>
          <w:rFonts w:ascii="Arial" w:hAnsi="Arial" w:cs="Arial"/>
          <w:sz w:val="24"/>
          <w:szCs w:val="24"/>
          <w:lang w:val="en-GB"/>
        </w:rPr>
        <w:t xml:space="preserve">the </w:t>
      </w:r>
      <w:r w:rsidR="00AC6F61">
        <w:rPr>
          <w:rFonts w:ascii="Arial" w:hAnsi="Arial" w:cs="Arial"/>
          <w:sz w:val="24"/>
          <w:szCs w:val="24"/>
          <w:lang w:val="en-GB"/>
        </w:rPr>
        <w:t>local Department of Home A</w:t>
      </w:r>
      <w:r w:rsidR="008330B0">
        <w:rPr>
          <w:rFonts w:ascii="Arial" w:hAnsi="Arial" w:cs="Arial"/>
          <w:sz w:val="24"/>
          <w:szCs w:val="24"/>
          <w:lang w:val="en-GB"/>
        </w:rPr>
        <w:t xml:space="preserve">ffairs in </w:t>
      </w:r>
      <w:proofErr w:type="spellStart"/>
      <w:r w:rsidR="008330B0">
        <w:rPr>
          <w:rFonts w:ascii="Arial" w:hAnsi="Arial" w:cs="Arial"/>
          <w:sz w:val="24"/>
          <w:szCs w:val="24"/>
          <w:lang w:val="en-GB"/>
        </w:rPr>
        <w:t>Gqeberha</w:t>
      </w:r>
      <w:proofErr w:type="spellEnd"/>
      <w:r w:rsidR="002B7E67">
        <w:rPr>
          <w:rFonts w:ascii="Arial" w:hAnsi="Arial" w:cs="Arial"/>
          <w:sz w:val="24"/>
          <w:szCs w:val="24"/>
          <w:lang w:val="en-GB"/>
        </w:rPr>
        <w:t xml:space="preserve"> in which this matter was attended to by various officials.  For convenience, at various times in this judgment reference to the respondents shall also mean the officials who attended to the applicants</w:t>
      </w:r>
      <w:r w:rsidR="00162ABC">
        <w:rPr>
          <w:rFonts w:ascii="Arial" w:hAnsi="Arial" w:cs="Arial"/>
          <w:sz w:val="24"/>
          <w:szCs w:val="24"/>
          <w:lang w:val="en-GB"/>
        </w:rPr>
        <w:t>, depending on the context</w:t>
      </w:r>
      <w:r w:rsidR="008330B0">
        <w:rPr>
          <w:rFonts w:ascii="Arial" w:hAnsi="Arial" w:cs="Arial"/>
          <w:sz w:val="24"/>
          <w:szCs w:val="24"/>
          <w:lang w:val="en-GB"/>
        </w:rPr>
        <w:t xml:space="preserve">.  </w:t>
      </w:r>
    </w:p>
    <w:p w:rsidR="00423544" w:rsidRDefault="00141822" w:rsidP="00112C31">
      <w:pPr>
        <w:spacing w:line="480" w:lineRule="auto"/>
        <w:jc w:val="both"/>
        <w:rPr>
          <w:rFonts w:ascii="Arial" w:hAnsi="Arial" w:cs="Arial"/>
          <w:sz w:val="24"/>
          <w:szCs w:val="24"/>
          <w:lang w:val="en-GB"/>
        </w:rPr>
      </w:pPr>
      <w:r>
        <w:rPr>
          <w:rFonts w:ascii="Arial" w:hAnsi="Arial" w:cs="Arial"/>
          <w:i/>
          <w:sz w:val="24"/>
          <w:szCs w:val="24"/>
          <w:lang w:val="en-GB"/>
        </w:rPr>
        <w:t>The facts.</w:t>
      </w:r>
      <w:r w:rsidR="00D62B33">
        <w:rPr>
          <w:rFonts w:ascii="Arial" w:hAnsi="Arial" w:cs="Arial"/>
          <w:sz w:val="24"/>
          <w:szCs w:val="24"/>
          <w:lang w:val="en-GB"/>
        </w:rPr>
        <w:t xml:space="preserve">  </w:t>
      </w:r>
    </w:p>
    <w:p w:rsidR="00BF72C7" w:rsidRDefault="00423544" w:rsidP="00112C31">
      <w:pPr>
        <w:spacing w:line="480" w:lineRule="auto"/>
        <w:jc w:val="both"/>
        <w:rPr>
          <w:rFonts w:ascii="Arial" w:hAnsi="Arial" w:cs="Arial"/>
          <w:sz w:val="24"/>
          <w:szCs w:val="24"/>
          <w:lang w:val="en-GB"/>
        </w:rPr>
      </w:pPr>
      <w:r>
        <w:rPr>
          <w:rFonts w:ascii="Arial" w:hAnsi="Arial" w:cs="Arial"/>
          <w:sz w:val="24"/>
          <w:szCs w:val="24"/>
          <w:lang w:val="en-GB"/>
        </w:rPr>
        <w:t xml:space="preserve">[2] </w:t>
      </w:r>
      <w:r w:rsidR="00B73AEF">
        <w:rPr>
          <w:rFonts w:ascii="Arial" w:hAnsi="Arial" w:cs="Arial"/>
          <w:sz w:val="24"/>
          <w:szCs w:val="24"/>
          <w:lang w:val="en-GB"/>
        </w:rPr>
        <w:t>At some point</w:t>
      </w:r>
      <w:r w:rsidR="0028429F">
        <w:rPr>
          <w:rFonts w:ascii="Arial" w:hAnsi="Arial" w:cs="Arial"/>
          <w:sz w:val="24"/>
          <w:szCs w:val="24"/>
          <w:lang w:val="en-GB"/>
        </w:rPr>
        <w:t xml:space="preserve"> after the birth of the child t</w:t>
      </w:r>
      <w:r w:rsidR="00D62B33">
        <w:rPr>
          <w:rFonts w:ascii="Arial" w:hAnsi="Arial" w:cs="Arial"/>
          <w:sz w:val="24"/>
          <w:szCs w:val="24"/>
          <w:lang w:val="en-GB"/>
        </w:rPr>
        <w:t>he applicant</w:t>
      </w:r>
      <w:r w:rsidR="00D40DD0">
        <w:rPr>
          <w:rFonts w:ascii="Arial" w:hAnsi="Arial" w:cs="Arial"/>
          <w:sz w:val="24"/>
          <w:szCs w:val="24"/>
          <w:lang w:val="en-GB"/>
        </w:rPr>
        <w:t>s</w:t>
      </w:r>
      <w:r w:rsidR="00D62B33">
        <w:rPr>
          <w:rFonts w:ascii="Arial" w:hAnsi="Arial" w:cs="Arial"/>
          <w:sz w:val="24"/>
          <w:szCs w:val="24"/>
          <w:lang w:val="en-GB"/>
        </w:rPr>
        <w:t xml:space="preserve"> attempted to register </w:t>
      </w:r>
      <w:r w:rsidR="00E0433C">
        <w:rPr>
          <w:rFonts w:ascii="Arial" w:hAnsi="Arial" w:cs="Arial"/>
          <w:sz w:val="24"/>
          <w:szCs w:val="24"/>
          <w:lang w:val="en-GB"/>
        </w:rPr>
        <w:t>the second applicant as the fath</w:t>
      </w:r>
      <w:r w:rsidR="00D62B33">
        <w:rPr>
          <w:rFonts w:ascii="Arial" w:hAnsi="Arial" w:cs="Arial"/>
          <w:sz w:val="24"/>
          <w:szCs w:val="24"/>
          <w:lang w:val="en-GB"/>
        </w:rPr>
        <w:t>er of the child</w:t>
      </w:r>
      <w:r>
        <w:rPr>
          <w:rFonts w:ascii="Arial" w:hAnsi="Arial" w:cs="Arial"/>
          <w:sz w:val="24"/>
          <w:szCs w:val="24"/>
          <w:lang w:val="en-GB"/>
        </w:rPr>
        <w:t xml:space="preserve"> at the Department of Home Affairs</w:t>
      </w:r>
      <w:r w:rsidR="00D62B33">
        <w:rPr>
          <w:rFonts w:ascii="Arial" w:hAnsi="Arial" w:cs="Arial"/>
          <w:sz w:val="24"/>
          <w:szCs w:val="24"/>
          <w:lang w:val="en-GB"/>
        </w:rPr>
        <w:t>.  However</w:t>
      </w:r>
      <w:r w:rsidR="00E0433C">
        <w:rPr>
          <w:rFonts w:ascii="Arial" w:hAnsi="Arial" w:cs="Arial"/>
          <w:sz w:val="24"/>
          <w:szCs w:val="24"/>
          <w:lang w:val="en-GB"/>
        </w:rPr>
        <w:t>, the respondents refused to mak</w:t>
      </w:r>
      <w:r w:rsidR="00D62B33">
        <w:rPr>
          <w:rFonts w:ascii="Arial" w:hAnsi="Arial" w:cs="Arial"/>
          <w:sz w:val="24"/>
          <w:szCs w:val="24"/>
          <w:lang w:val="en-GB"/>
        </w:rPr>
        <w:t xml:space="preserve">e the </w:t>
      </w:r>
      <w:r w:rsidR="00E0433C">
        <w:rPr>
          <w:rFonts w:ascii="Arial" w:hAnsi="Arial" w:cs="Arial"/>
          <w:sz w:val="24"/>
          <w:szCs w:val="24"/>
          <w:lang w:val="en-GB"/>
        </w:rPr>
        <w:t xml:space="preserve">necessary </w:t>
      </w:r>
      <w:r w:rsidR="00D40DD0">
        <w:rPr>
          <w:rFonts w:ascii="Arial" w:hAnsi="Arial" w:cs="Arial"/>
          <w:sz w:val="24"/>
          <w:szCs w:val="24"/>
          <w:lang w:val="en-GB"/>
        </w:rPr>
        <w:t>entries in the</w:t>
      </w:r>
      <w:r w:rsidR="00D62B33">
        <w:rPr>
          <w:rFonts w:ascii="Arial" w:hAnsi="Arial" w:cs="Arial"/>
          <w:sz w:val="24"/>
          <w:szCs w:val="24"/>
          <w:lang w:val="en-GB"/>
        </w:rPr>
        <w:t xml:space="preserve"> records</w:t>
      </w:r>
      <w:r w:rsidR="00D40DD0">
        <w:rPr>
          <w:rFonts w:ascii="Arial" w:hAnsi="Arial" w:cs="Arial"/>
          <w:sz w:val="24"/>
          <w:szCs w:val="24"/>
          <w:lang w:val="en-GB"/>
        </w:rPr>
        <w:t xml:space="preserve"> of the Department of Home Affairs</w:t>
      </w:r>
      <w:r w:rsidR="00D62B33">
        <w:rPr>
          <w:rFonts w:ascii="Arial" w:hAnsi="Arial" w:cs="Arial"/>
          <w:sz w:val="24"/>
          <w:szCs w:val="24"/>
          <w:lang w:val="en-GB"/>
        </w:rPr>
        <w:t xml:space="preserve"> </w:t>
      </w:r>
      <w:r w:rsidR="00E0433C">
        <w:rPr>
          <w:rFonts w:ascii="Arial" w:hAnsi="Arial" w:cs="Arial"/>
          <w:sz w:val="24"/>
          <w:szCs w:val="24"/>
          <w:lang w:val="en-GB"/>
        </w:rPr>
        <w:t xml:space="preserve">to reflect the fact </w:t>
      </w:r>
      <w:r w:rsidR="00BF72C7">
        <w:rPr>
          <w:rFonts w:ascii="Arial" w:hAnsi="Arial" w:cs="Arial"/>
          <w:sz w:val="24"/>
          <w:szCs w:val="24"/>
          <w:lang w:val="en-GB"/>
        </w:rPr>
        <w:t xml:space="preserve">that the second applicant is the biological father of the child </w:t>
      </w:r>
      <w:r w:rsidR="00D40DD0">
        <w:rPr>
          <w:rFonts w:ascii="Arial" w:hAnsi="Arial" w:cs="Arial"/>
          <w:sz w:val="24"/>
          <w:szCs w:val="24"/>
          <w:lang w:val="en-GB"/>
        </w:rPr>
        <w:t>and to issue to them an unabridged birth</w:t>
      </w:r>
      <w:r w:rsidR="00BF72C7">
        <w:rPr>
          <w:rFonts w:ascii="Arial" w:hAnsi="Arial" w:cs="Arial"/>
          <w:sz w:val="24"/>
          <w:szCs w:val="24"/>
          <w:lang w:val="en-GB"/>
        </w:rPr>
        <w:t xml:space="preserve"> certificate of the child.  The reason </w:t>
      </w:r>
      <w:r w:rsidR="00AC6F61">
        <w:rPr>
          <w:rFonts w:ascii="Arial" w:hAnsi="Arial" w:cs="Arial"/>
          <w:sz w:val="24"/>
          <w:szCs w:val="24"/>
          <w:lang w:val="en-GB"/>
        </w:rPr>
        <w:t>given for such</w:t>
      </w:r>
      <w:r w:rsidR="00E0433C">
        <w:rPr>
          <w:rFonts w:ascii="Arial" w:hAnsi="Arial" w:cs="Arial"/>
          <w:sz w:val="24"/>
          <w:szCs w:val="24"/>
          <w:lang w:val="en-GB"/>
        </w:rPr>
        <w:t xml:space="preserve"> refusal was that the second applicant was no longer</w:t>
      </w:r>
      <w:r w:rsidR="00BF72C7">
        <w:rPr>
          <w:rFonts w:ascii="Arial" w:hAnsi="Arial" w:cs="Arial"/>
          <w:sz w:val="24"/>
          <w:szCs w:val="24"/>
          <w:lang w:val="en-GB"/>
        </w:rPr>
        <w:t xml:space="preserve"> legally in the country.  Furthermore</w:t>
      </w:r>
      <w:r w:rsidR="00FF266B">
        <w:rPr>
          <w:rFonts w:ascii="Arial" w:hAnsi="Arial" w:cs="Arial"/>
          <w:sz w:val="24"/>
          <w:szCs w:val="24"/>
          <w:lang w:val="en-GB"/>
        </w:rPr>
        <w:t>,</w:t>
      </w:r>
      <w:r w:rsidR="00BF72C7">
        <w:rPr>
          <w:rFonts w:ascii="Arial" w:hAnsi="Arial" w:cs="Arial"/>
          <w:sz w:val="24"/>
          <w:szCs w:val="24"/>
          <w:lang w:val="en-GB"/>
        </w:rPr>
        <w:t xml:space="preserve"> as he was not a South African </w:t>
      </w:r>
      <w:r w:rsidR="00E0433C">
        <w:rPr>
          <w:rFonts w:ascii="Arial" w:hAnsi="Arial" w:cs="Arial"/>
          <w:sz w:val="24"/>
          <w:szCs w:val="24"/>
          <w:lang w:val="en-GB"/>
        </w:rPr>
        <w:t xml:space="preserve">citizen, </w:t>
      </w:r>
      <w:r w:rsidR="00BF72C7">
        <w:rPr>
          <w:rFonts w:ascii="Arial" w:hAnsi="Arial" w:cs="Arial"/>
          <w:sz w:val="24"/>
          <w:szCs w:val="24"/>
          <w:lang w:val="en-GB"/>
        </w:rPr>
        <w:t xml:space="preserve">the results of a paternity test were required to prove that he is </w:t>
      </w:r>
      <w:r w:rsidR="00D40DD0">
        <w:rPr>
          <w:rFonts w:ascii="Arial" w:hAnsi="Arial" w:cs="Arial"/>
          <w:sz w:val="24"/>
          <w:szCs w:val="24"/>
          <w:lang w:val="en-GB"/>
        </w:rPr>
        <w:t xml:space="preserve">in fact </w:t>
      </w:r>
      <w:r w:rsidR="00BF72C7">
        <w:rPr>
          <w:rFonts w:ascii="Arial" w:hAnsi="Arial" w:cs="Arial"/>
          <w:sz w:val="24"/>
          <w:szCs w:val="24"/>
          <w:lang w:val="en-GB"/>
        </w:rPr>
        <w:t xml:space="preserve">the biological father </w:t>
      </w:r>
      <w:r w:rsidR="00E0433C">
        <w:rPr>
          <w:rFonts w:ascii="Arial" w:hAnsi="Arial" w:cs="Arial"/>
          <w:sz w:val="24"/>
          <w:szCs w:val="24"/>
          <w:lang w:val="en-GB"/>
        </w:rPr>
        <w:t xml:space="preserve">of </w:t>
      </w:r>
      <w:r w:rsidR="00BF72C7">
        <w:rPr>
          <w:rFonts w:ascii="Arial" w:hAnsi="Arial" w:cs="Arial"/>
          <w:sz w:val="24"/>
          <w:szCs w:val="24"/>
          <w:lang w:val="en-GB"/>
        </w:rPr>
        <w:t xml:space="preserve">the minor child.  </w:t>
      </w:r>
      <w:r w:rsidR="0028429F">
        <w:rPr>
          <w:rFonts w:ascii="Arial" w:hAnsi="Arial" w:cs="Arial"/>
          <w:sz w:val="24"/>
          <w:szCs w:val="24"/>
          <w:lang w:val="en-GB"/>
        </w:rPr>
        <w:t xml:space="preserve">The applicants further allege that </w:t>
      </w:r>
      <w:r w:rsidR="00B73AEF">
        <w:rPr>
          <w:rFonts w:ascii="Arial" w:hAnsi="Arial" w:cs="Arial"/>
          <w:sz w:val="24"/>
          <w:szCs w:val="24"/>
          <w:lang w:val="en-GB"/>
        </w:rPr>
        <w:t xml:space="preserve">they were told that </w:t>
      </w:r>
      <w:r w:rsidR="0028429F">
        <w:rPr>
          <w:rFonts w:ascii="Arial" w:hAnsi="Arial" w:cs="Arial"/>
          <w:sz w:val="24"/>
          <w:szCs w:val="24"/>
          <w:lang w:val="en-GB"/>
        </w:rPr>
        <w:t>a court order declaring the second applicant as the father of the child would be required in addition to the proof of paternity</w:t>
      </w:r>
      <w:r w:rsidR="000A2122">
        <w:rPr>
          <w:rFonts w:ascii="Arial" w:hAnsi="Arial" w:cs="Arial"/>
          <w:sz w:val="24"/>
          <w:szCs w:val="24"/>
          <w:lang w:val="en-GB"/>
        </w:rPr>
        <w:t>,</w:t>
      </w:r>
      <w:r w:rsidR="0028429F">
        <w:rPr>
          <w:rFonts w:ascii="Arial" w:hAnsi="Arial" w:cs="Arial"/>
          <w:sz w:val="24"/>
          <w:szCs w:val="24"/>
          <w:lang w:val="en-GB"/>
        </w:rPr>
        <w:t xml:space="preserve"> which also made these proceeding</w:t>
      </w:r>
      <w:r w:rsidR="00413E45">
        <w:rPr>
          <w:rFonts w:ascii="Arial" w:hAnsi="Arial" w:cs="Arial"/>
          <w:sz w:val="24"/>
          <w:szCs w:val="24"/>
          <w:lang w:val="en-GB"/>
        </w:rPr>
        <w:t>s</w:t>
      </w:r>
      <w:r w:rsidR="0028429F">
        <w:rPr>
          <w:rFonts w:ascii="Arial" w:hAnsi="Arial" w:cs="Arial"/>
          <w:sz w:val="24"/>
          <w:szCs w:val="24"/>
          <w:lang w:val="en-GB"/>
        </w:rPr>
        <w:t xml:space="preserve"> necessary.  </w:t>
      </w:r>
      <w:r w:rsidR="00E0433C">
        <w:rPr>
          <w:rFonts w:ascii="Arial" w:hAnsi="Arial" w:cs="Arial"/>
          <w:sz w:val="24"/>
          <w:szCs w:val="24"/>
          <w:lang w:val="en-GB"/>
        </w:rPr>
        <w:t>S</w:t>
      </w:r>
      <w:r w:rsidR="00BF72C7">
        <w:rPr>
          <w:rFonts w:ascii="Arial" w:hAnsi="Arial" w:cs="Arial"/>
          <w:sz w:val="24"/>
          <w:szCs w:val="24"/>
          <w:lang w:val="en-GB"/>
        </w:rPr>
        <w:t xml:space="preserve">ection 11 </w:t>
      </w:r>
      <w:r>
        <w:rPr>
          <w:rFonts w:ascii="Arial" w:hAnsi="Arial" w:cs="Arial"/>
          <w:sz w:val="24"/>
          <w:szCs w:val="24"/>
          <w:lang w:val="en-GB"/>
        </w:rPr>
        <w:t>of the Birth</w:t>
      </w:r>
      <w:r w:rsidR="00AC6F61">
        <w:rPr>
          <w:rFonts w:ascii="Arial" w:hAnsi="Arial" w:cs="Arial"/>
          <w:sz w:val="24"/>
          <w:szCs w:val="24"/>
          <w:lang w:val="en-GB"/>
        </w:rPr>
        <w:t>s</w:t>
      </w:r>
      <w:r>
        <w:rPr>
          <w:rFonts w:ascii="Arial" w:hAnsi="Arial" w:cs="Arial"/>
          <w:sz w:val="24"/>
          <w:szCs w:val="24"/>
          <w:lang w:val="en-GB"/>
        </w:rPr>
        <w:t xml:space="preserve"> and Deaths Registration Act 51 of 1992 </w:t>
      </w:r>
      <w:r w:rsidR="0028429F">
        <w:rPr>
          <w:rFonts w:ascii="Arial" w:hAnsi="Arial" w:cs="Arial"/>
          <w:sz w:val="24"/>
          <w:szCs w:val="24"/>
          <w:lang w:val="en-GB"/>
        </w:rPr>
        <w:t xml:space="preserve">as amended </w:t>
      </w:r>
      <w:r>
        <w:rPr>
          <w:rFonts w:ascii="Arial" w:hAnsi="Arial" w:cs="Arial"/>
          <w:sz w:val="24"/>
          <w:szCs w:val="24"/>
          <w:lang w:val="en-GB"/>
        </w:rPr>
        <w:t>(the Registration Act)</w:t>
      </w:r>
      <w:r w:rsidR="00176AC1">
        <w:rPr>
          <w:rStyle w:val="FootnoteReference"/>
          <w:rFonts w:ascii="Arial" w:hAnsi="Arial" w:cs="Arial"/>
          <w:sz w:val="24"/>
          <w:szCs w:val="24"/>
          <w:lang w:val="en-GB"/>
        </w:rPr>
        <w:footnoteReference w:id="1"/>
      </w:r>
      <w:r>
        <w:rPr>
          <w:rFonts w:ascii="Arial" w:hAnsi="Arial" w:cs="Arial"/>
          <w:sz w:val="24"/>
          <w:szCs w:val="24"/>
          <w:lang w:val="en-GB"/>
        </w:rPr>
        <w:t xml:space="preserve"> </w:t>
      </w:r>
      <w:r w:rsidR="00BF72C7">
        <w:rPr>
          <w:rFonts w:ascii="Arial" w:hAnsi="Arial" w:cs="Arial"/>
          <w:sz w:val="24"/>
          <w:szCs w:val="24"/>
          <w:lang w:val="en-GB"/>
        </w:rPr>
        <w:t xml:space="preserve">provides for </w:t>
      </w:r>
      <w:r w:rsidR="00BF72C7">
        <w:rPr>
          <w:rFonts w:ascii="Arial" w:hAnsi="Arial" w:cs="Arial"/>
          <w:sz w:val="24"/>
          <w:szCs w:val="24"/>
          <w:lang w:val="en-GB"/>
        </w:rPr>
        <w:lastRenderedPageBreak/>
        <w:t xml:space="preserve">the amendment of </w:t>
      </w:r>
      <w:r w:rsidR="000A2122">
        <w:rPr>
          <w:rFonts w:ascii="Arial" w:hAnsi="Arial" w:cs="Arial"/>
          <w:sz w:val="24"/>
          <w:szCs w:val="24"/>
          <w:lang w:val="en-GB"/>
        </w:rPr>
        <w:t xml:space="preserve">the </w:t>
      </w:r>
      <w:r w:rsidR="00BF72C7">
        <w:rPr>
          <w:rFonts w:ascii="Arial" w:hAnsi="Arial" w:cs="Arial"/>
          <w:sz w:val="24"/>
          <w:szCs w:val="24"/>
          <w:lang w:val="en-GB"/>
        </w:rPr>
        <w:t xml:space="preserve">birth registration </w:t>
      </w:r>
      <w:r w:rsidR="00E0433C">
        <w:rPr>
          <w:rFonts w:ascii="Arial" w:hAnsi="Arial" w:cs="Arial"/>
          <w:sz w:val="24"/>
          <w:szCs w:val="24"/>
          <w:lang w:val="en-GB"/>
        </w:rPr>
        <w:t xml:space="preserve">details </w:t>
      </w:r>
      <w:r w:rsidR="00BF72C7">
        <w:rPr>
          <w:rFonts w:ascii="Arial" w:hAnsi="Arial" w:cs="Arial"/>
          <w:sz w:val="24"/>
          <w:szCs w:val="24"/>
          <w:lang w:val="en-GB"/>
        </w:rPr>
        <w:t xml:space="preserve">of a child in circumstances where a father wishes to acknowledge himself as the father of a child born out of wedlock subject to the submission of conclusive proof of paternity.  </w:t>
      </w:r>
    </w:p>
    <w:p w:rsidR="006A00F1" w:rsidRDefault="002C3C02" w:rsidP="00112C31">
      <w:pPr>
        <w:spacing w:line="480" w:lineRule="auto"/>
        <w:jc w:val="both"/>
        <w:rPr>
          <w:rFonts w:ascii="Arial" w:hAnsi="Arial" w:cs="Arial"/>
          <w:sz w:val="24"/>
          <w:szCs w:val="24"/>
          <w:lang w:val="en-GB"/>
        </w:rPr>
      </w:pPr>
      <w:r>
        <w:rPr>
          <w:rFonts w:ascii="Arial" w:hAnsi="Arial" w:cs="Arial"/>
          <w:sz w:val="24"/>
          <w:szCs w:val="24"/>
          <w:lang w:val="en-GB"/>
        </w:rPr>
        <w:t>[</w:t>
      </w:r>
      <w:r w:rsidR="00CF1344">
        <w:rPr>
          <w:rFonts w:ascii="Arial" w:hAnsi="Arial" w:cs="Arial"/>
          <w:sz w:val="24"/>
          <w:szCs w:val="24"/>
          <w:lang w:val="en-GB"/>
        </w:rPr>
        <w:t>3</w:t>
      </w:r>
      <w:r>
        <w:rPr>
          <w:rFonts w:ascii="Arial" w:hAnsi="Arial" w:cs="Arial"/>
          <w:sz w:val="24"/>
          <w:szCs w:val="24"/>
          <w:lang w:val="en-GB"/>
        </w:rPr>
        <w:t xml:space="preserve">] </w:t>
      </w:r>
      <w:r w:rsidR="00B73AEF">
        <w:rPr>
          <w:rFonts w:ascii="Arial" w:hAnsi="Arial" w:cs="Arial"/>
          <w:sz w:val="24"/>
          <w:szCs w:val="24"/>
          <w:lang w:val="en-GB"/>
        </w:rPr>
        <w:t>The applicants launched these proceedings apparently following the guidance of the respondents.  The respondents</w:t>
      </w:r>
      <w:r>
        <w:rPr>
          <w:rFonts w:ascii="Arial" w:hAnsi="Arial" w:cs="Arial"/>
          <w:sz w:val="24"/>
          <w:szCs w:val="24"/>
          <w:lang w:val="en-GB"/>
        </w:rPr>
        <w:t xml:space="preserve"> oppos</w:t>
      </w:r>
      <w:r w:rsidR="00B73AEF">
        <w:rPr>
          <w:rFonts w:ascii="Arial" w:hAnsi="Arial" w:cs="Arial"/>
          <w:sz w:val="24"/>
          <w:szCs w:val="24"/>
          <w:lang w:val="en-GB"/>
        </w:rPr>
        <w:t>ed</w:t>
      </w:r>
      <w:r>
        <w:rPr>
          <w:rFonts w:ascii="Arial" w:hAnsi="Arial" w:cs="Arial"/>
          <w:sz w:val="24"/>
          <w:szCs w:val="24"/>
          <w:lang w:val="en-GB"/>
        </w:rPr>
        <w:t xml:space="preserve"> the </w:t>
      </w:r>
      <w:r w:rsidR="00B73AEF">
        <w:rPr>
          <w:rFonts w:ascii="Arial" w:hAnsi="Arial" w:cs="Arial"/>
          <w:sz w:val="24"/>
          <w:szCs w:val="24"/>
          <w:lang w:val="en-GB"/>
        </w:rPr>
        <w:t>application</w:t>
      </w:r>
      <w:r w:rsidR="002825AA">
        <w:rPr>
          <w:rFonts w:ascii="Arial" w:hAnsi="Arial" w:cs="Arial"/>
          <w:sz w:val="24"/>
          <w:szCs w:val="24"/>
          <w:lang w:val="en-GB"/>
        </w:rPr>
        <w:t xml:space="preserve"> on the basis of the second applicant’s illegal presence in the </w:t>
      </w:r>
      <w:r w:rsidR="003266E3">
        <w:rPr>
          <w:rFonts w:ascii="Arial" w:hAnsi="Arial" w:cs="Arial"/>
          <w:sz w:val="24"/>
          <w:szCs w:val="24"/>
          <w:lang w:val="en-GB"/>
        </w:rPr>
        <w:t>country</w:t>
      </w:r>
      <w:r w:rsidR="00162ABC">
        <w:rPr>
          <w:rFonts w:ascii="Arial" w:hAnsi="Arial" w:cs="Arial"/>
          <w:sz w:val="24"/>
          <w:szCs w:val="24"/>
          <w:lang w:val="en-GB"/>
        </w:rPr>
        <w:t>.  However,</w:t>
      </w:r>
      <w:r w:rsidR="003266E3">
        <w:rPr>
          <w:rFonts w:ascii="Arial" w:hAnsi="Arial" w:cs="Arial"/>
          <w:sz w:val="24"/>
          <w:szCs w:val="24"/>
          <w:lang w:val="en-GB"/>
        </w:rPr>
        <w:t xml:space="preserve"> </w:t>
      </w:r>
      <w:r w:rsidR="00162ABC">
        <w:rPr>
          <w:rFonts w:ascii="Arial" w:hAnsi="Arial" w:cs="Arial"/>
          <w:sz w:val="24"/>
          <w:szCs w:val="24"/>
          <w:lang w:val="en-GB"/>
        </w:rPr>
        <w:t xml:space="preserve">at the eleventh hour, the respondents filed their main heads of argument and attached thereto a draft order containing some indication on the basis of which they wanted the matter settled.  On the day of the hearing the respondents made a 180 degree </w:t>
      </w:r>
      <w:r w:rsidR="00AC6F61">
        <w:rPr>
          <w:rFonts w:ascii="Arial" w:hAnsi="Arial" w:cs="Arial"/>
          <w:sz w:val="24"/>
          <w:szCs w:val="24"/>
          <w:lang w:val="en-GB"/>
        </w:rPr>
        <w:t>turn</w:t>
      </w:r>
      <w:r w:rsidR="003266E3">
        <w:rPr>
          <w:rFonts w:ascii="Arial" w:hAnsi="Arial" w:cs="Arial"/>
          <w:sz w:val="24"/>
          <w:szCs w:val="24"/>
          <w:lang w:val="en-GB"/>
        </w:rPr>
        <w:t xml:space="preserve"> conced</w:t>
      </w:r>
      <w:r w:rsidR="00AC6F61">
        <w:rPr>
          <w:rFonts w:ascii="Arial" w:hAnsi="Arial" w:cs="Arial"/>
          <w:sz w:val="24"/>
          <w:szCs w:val="24"/>
          <w:lang w:val="en-GB"/>
        </w:rPr>
        <w:t>ing</w:t>
      </w:r>
      <w:r w:rsidR="003266E3">
        <w:rPr>
          <w:rFonts w:ascii="Arial" w:hAnsi="Arial" w:cs="Arial"/>
          <w:sz w:val="24"/>
          <w:szCs w:val="24"/>
          <w:lang w:val="en-GB"/>
        </w:rPr>
        <w:t xml:space="preserve"> essentially all the relief sought</w:t>
      </w:r>
      <w:r w:rsidR="00D40DD0">
        <w:rPr>
          <w:rFonts w:ascii="Arial" w:hAnsi="Arial" w:cs="Arial"/>
          <w:sz w:val="24"/>
          <w:szCs w:val="24"/>
          <w:lang w:val="en-GB"/>
        </w:rPr>
        <w:t xml:space="preserve"> by the applicants</w:t>
      </w:r>
      <w:r w:rsidR="003266E3">
        <w:rPr>
          <w:rFonts w:ascii="Arial" w:hAnsi="Arial" w:cs="Arial"/>
          <w:sz w:val="24"/>
          <w:szCs w:val="24"/>
          <w:lang w:val="en-GB"/>
        </w:rPr>
        <w:t xml:space="preserve">.  </w:t>
      </w:r>
      <w:r w:rsidR="00AC6F61">
        <w:rPr>
          <w:rFonts w:ascii="Arial" w:hAnsi="Arial" w:cs="Arial"/>
          <w:sz w:val="24"/>
          <w:szCs w:val="24"/>
          <w:lang w:val="en-GB"/>
        </w:rPr>
        <w:t>This</w:t>
      </w:r>
      <w:r w:rsidR="003266E3">
        <w:rPr>
          <w:rFonts w:ascii="Arial" w:hAnsi="Arial" w:cs="Arial"/>
          <w:sz w:val="24"/>
          <w:szCs w:val="24"/>
          <w:lang w:val="en-GB"/>
        </w:rPr>
        <w:t xml:space="preserve"> concession was made not even at the door step of the court but right inside the court during the hearing of </w:t>
      </w:r>
      <w:r w:rsidR="00AC6F61">
        <w:rPr>
          <w:rFonts w:ascii="Arial" w:hAnsi="Arial" w:cs="Arial"/>
          <w:sz w:val="24"/>
          <w:szCs w:val="24"/>
          <w:lang w:val="en-GB"/>
        </w:rPr>
        <w:t>the matter</w:t>
      </w:r>
      <w:r w:rsidR="00E0433C">
        <w:rPr>
          <w:rFonts w:ascii="Arial" w:hAnsi="Arial" w:cs="Arial"/>
          <w:sz w:val="24"/>
          <w:szCs w:val="24"/>
          <w:lang w:val="en-GB"/>
        </w:rPr>
        <w:t>.</w:t>
      </w:r>
      <w:r w:rsidR="00C440F7">
        <w:rPr>
          <w:rFonts w:ascii="Arial" w:hAnsi="Arial" w:cs="Arial"/>
          <w:sz w:val="24"/>
          <w:szCs w:val="24"/>
          <w:lang w:val="en-GB"/>
        </w:rPr>
        <w:t xml:space="preserve"> </w:t>
      </w:r>
      <w:r w:rsidR="006A00F1">
        <w:rPr>
          <w:rFonts w:ascii="Arial" w:hAnsi="Arial" w:cs="Arial"/>
          <w:sz w:val="24"/>
          <w:szCs w:val="24"/>
          <w:lang w:val="en-GB"/>
        </w:rPr>
        <w:t>D</w:t>
      </w:r>
      <w:r w:rsidR="003266E3">
        <w:rPr>
          <w:rFonts w:ascii="Arial" w:hAnsi="Arial" w:cs="Arial"/>
          <w:sz w:val="24"/>
          <w:szCs w:val="24"/>
          <w:lang w:val="en-GB"/>
        </w:rPr>
        <w:t>espite th</w:t>
      </w:r>
      <w:r w:rsidR="006A00F1">
        <w:rPr>
          <w:rFonts w:ascii="Arial" w:hAnsi="Arial" w:cs="Arial"/>
          <w:sz w:val="24"/>
          <w:szCs w:val="24"/>
          <w:lang w:val="en-GB"/>
        </w:rPr>
        <w:t>at</w:t>
      </w:r>
      <w:r w:rsidR="003266E3">
        <w:rPr>
          <w:rFonts w:ascii="Arial" w:hAnsi="Arial" w:cs="Arial"/>
          <w:sz w:val="24"/>
          <w:szCs w:val="24"/>
          <w:lang w:val="en-GB"/>
        </w:rPr>
        <w:t xml:space="preserve"> full concessi</w:t>
      </w:r>
      <w:r w:rsidR="00423544">
        <w:rPr>
          <w:rFonts w:ascii="Arial" w:hAnsi="Arial" w:cs="Arial"/>
          <w:sz w:val="24"/>
          <w:szCs w:val="24"/>
          <w:lang w:val="en-GB"/>
        </w:rPr>
        <w:t>on on the main relief</w:t>
      </w:r>
      <w:r w:rsidR="00B73AEF">
        <w:rPr>
          <w:rFonts w:ascii="Arial" w:hAnsi="Arial" w:cs="Arial"/>
          <w:sz w:val="24"/>
          <w:szCs w:val="24"/>
          <w:lang w:val="en-GB"/>
        </w:rPr>
        <w:t>,</w:t>
      </w:r>
      <w:r w:rsidR="00423544">
        <w:rPr>
          <w:rFonts w:ascii="Arial" w:hAnsi="Arial" w:cs="Arial"/>
          <w:sz w:val="24"/>
          <w:szCs w:val="24"/>
          <w:lang w:val="en-GB"/>
        </w:rPr>
        <w:t xml:space="preserve"> applicant</w:t>
      </w:r>
      <w:r w:rsidR="003266E3">
        <w:rPr>
          <w:rFonts w:ascii="Arial" w:hAnsi="Arial" w:cs="Arial"/>
          <w:sz w:val="24"/>
          <w:szCs w:val="24"/>
          <w:lang w:val="en-GB"/>
        </w:rPr>
        <w:t>s</w:t>
      </w:r>
      <w:r w:rsidR="00AC6F61">
        <w:rPr>
          <w:rFonts w:ascii="Arial" w:hAnsi="Arial" w:cs="Arial"/>
          <w:sz w:val="24"/>
          <w:szCs w:val="24"/>
          <w:lang w:val="en-GB"/>
        </w:rPr>
        <w:t>’</w:t>
      </w:r>
      <w:r w:rsidR="003266E3">
        <w:rPr>
          <w:rFonts w:ascii="Arial" w:hAnsi="Arial" w:cs="Arial"/>
          <w:sz w:val="24"/>
          <w:szCs w:val="24"/>
          <w:lang w:val="en-GB"/>
        </w:rPr>
        <w:t xml:space="preserve"> counsel </w:t>
      </w:r>
      <w:r w:rsidR="00C440F7">
        <w:rPr>
          <w:rFonts w:ascii="Arial" w:hAnsi="Arial" w:cs="Arial"/>
          <w:sz w:val="24"/>
          <w:szCs w:val="24"/>
          <w:lang w:val="en-GB"/>
        </w:rPr>
        <w:t xml:space="preserve">persisted with </w:t>
      </w:r>
      <w:r w:rsidR="006A00F1">
        <w:rPr>
          <w:rFonts w:ascii="Arial" w:hAnsi="Arial" w:cs="Arial"/>
          <w:sz w:val="24"/>
          <w:szCs w:val="24"/>
          <w:lang w:val="en-GB"/>
        </w:rPr>
        <w:t>a</w:t>
      </w:r>
      <w:r w:rsidR="00C440F7">
        <w:rPr>
          <w:rFonts w:ascii="Arial" w:hAnsi="Arial" w:cs="Arial"/>
          <w:sz w:val="24"/>
          <w:szCs w:val="24"/>
          <w:lang w:val="en-GB"/>
        </w:rPr>
        <w:t xml:space="preserve"> constitutional challenge </w:t>
      </w:r>
      <w:r w:rsidR="00141822">
        <w:rPr>
          <w:rFonts w:ascii="Arial" w:hAnsi="Arial" w:cs="Arial"/>
          <w:sz w:val="24"/>
          <w:szCs w:val="24"/>
          <w:lang w:val="en-GB"/>
        </w:rPr>
        <w:t xml:space="preserve">on Regulation 12(2)(c) </w:t>
      </w:r>
      <w:r w:rsidR="00AC6F61">
        <w:rPr>
          <w:rFonts w:ascii="Arial" w:hAnsi="Arial" w:cs="Arial"/>
          <w:sz w:val="24"/>
          <w:szCs w:val="24"/>
          <w:lang w:val="en-GB"/>
        </w:rPr>
        <w:t>raised pertinently in the papers</w:t>
      </w:r>
      <w:r w:rsidR="00B73AEF">
        <w:rPr>
          <w:rFonts w:ascii="Arial" w:hAnsi="Arial" w:cs="Arial"/>
          <w:sz w:val="24"/>
          <w:szCs w:val="24"/>
          <w:lang w:val="en-GB"/>
        </w:rPr>
        <w:t>.  I deal with the</w:t>
      </w:r>
      <w:r w:rsidR="00AC6F61">
        <w:rPr>
          <w:rFonts w:ascii="Arial" w:hAnsi="Arial" w:cs="Arial"/>
          <w:sz w:val="24"/>
          <w:szCs w:val="24"/>
          <w:lang w:val="en-GB"/>
        </w:rPr>
        <w:t xml:space="preserve"> </w:t>
      </w:r>
      <w:r w:rsidR="00D40DD0">
        <w:rPr>
          <w:rFonts w:ascii="Arial" w:hAnsi="Arial" w:cs="Arial"/>
          <w:sz w:val="24"/>
          <w:szCs w:val="24"/>
          <w:lang w:val="en-GB"/>
        </w:rPr>
        <w:t xml:space="preserve">details of </w:t>
      </w:r>
      <w:r w:rsidR="00B73AEF">
        <w:rPr>
          <w:rFonts w:ascii="Arial" w:hAnsi="Arial" w:cs="Arial"/>
          <w:sz w:val="24"/>
          <w:szCs w:val="24"/>
          <w:lang w:val="en-GB"/>
        </w:rPr>
        <w:t>the constitutional challenge and its gravamen later in this judgment</w:t>
      </w:r>
      <w:r w:rsidR="003266E3">
        <w:rPr>
          <w:rFonts w:ascii="Arial" w:hAnsi="Arial" w:cs="Arial"/>
          <w:sz w:val="24"/>
          <w:szCs w:val="24"/>
          <w:lang w:val="en-GB"/>
        </w:rPr>
        <w:t xml:space="preserve">.  </w:t>
      </w:r>
    </w:p>
    <w:p w:rsidR="006A00F1" w:rsidRDefault="006A00F1" w:rsidP="00112C31">
      <w:pPr>
        <w:spacing w:line="480" w:lineRule="auto"/>
        <w:jc w:val="both"/>
        <w:rPr>
          <w:rFonts w:ascii="Arial" w:hAnsi="Arial" w:cs="Arial"/>
          <w:sz w:val="24"/>
          <w:szCs w:val="24"/>
          <w:lang w:val="en-GB"/>
        </w:rPr>
      </w:pPr>
    </w:p>
    <w:p w:rsidR="00141822" w:rsidRPr="00141822" w:rsidRDefault="00141822" w:rsidP="00112C31">
      <w:pPr>
        <w:spacing w:line="480" w:lineRule="auto"/>
        <w:jc w:val="both"/>
        <w:rPr>
          <w:rFonts w:ascii="Arial" w:hAnsi="Arial" w:cs="Arial"/>
          <w:i/>
          <w:sz w:val="24"/>
          <w:szCs w:val="24"/>
          <w:lang w:val="en-GB"/>
        </w:rPr>
      </w:pPr>
      <w:r>
        <w:rPr>
          <w:rFonts w:ascii="Arial" w:hAnsi="Arial" w:cs="Arial"/>
          <w:i/>
          <w:sz w:val="24"/>
          <w:szCs w:val="24"/>
          <w:lang w:val="en-GB"/>
        </w:rPr>
        <w:lastRenderedPageBreak/>
        <w:t>The issues.</w:t>
      </w:r>
    </w:p>
    <w:p w:rsidR="0045589B" w:rsidRDefault="0045589B" w:rsidP="00112C31">
      <w:pPr>
        <w:spacing w:line="480" w:lineRule="auto"/>
        <w:jc w:val="both"/>
        <w:rPr>
          <w:rFonts w:ascii="Arial" w:hAnsi="Arial" w:cs="Arial"/>
          <w:sz w:val="24"/>
          <w:szCs w:val="24"/>
          <w:lang w:val="en-GB"/>
        </w:rPr>
      </w:pPr>
      <w:r>
        <w:rPr>
          <w:rFonts w:ascii="Arial" w:hAnsi="Arial" w:cs="Arial"/>
          <w:sz w:val="24"/>
          <w:szCs w:val="24"/>
          <w:lang w:val="en-GB"/>
        </w:rPr>
        <w:t>[</w:t>
      </w:r>
      <w:r w:rsidR="00CF1344">
        <w:rPr>
          <w:rFonts w:ascii="Arial" w:hAnsi="Arial" w:cs="Arial"/>
          <w:sz w:val="24"/>
          <w:szCs w:val="24"/>
          <w:lang w:val="en-GB"/>
        </w:rPr>
        <w:t>4</w:t>
      </w:r>
      <w:r>
        <w:rPr>
          <w:rFonts w:ascii="Arial" w:hAnsi="Arial" w:cs="Arial"/>
          <w:sz w:val="24"/>
          <w:szCs w:val="24"/>
          <w:lang w:val="en-GB"/>
        </w:rPr>
        <w:t xml:space="preserve">] It was </w:t>
      </w:r>
      <w:r w:rsidR="006A00F1">
        <w:rPr>
          <w:rFonts w:ascii="Arial" w:hAnsi="Arial" w:cs="Arial"/>
          <w:sz w:val="24"/>
          <w:szCs w:val="24"/>
          <w:lang w:val="en-GB"/>
        </w:rPr>
        <w:t>submitted</w:t>
      </w:r>
      <w:r>
        <w:rPr>
          <w:rFonts w:ascii="Arial" w:hAnsi="Arial" w:cs="Arial"/>
          <w:sz w:val="24"/>
          <w:szCs w:val="24"/>
          <w:lang w:val="en-GB"/>
        </w:rPr>
        <w:t xml:space="preserve"> on behalf of the applicants that even though the matter has largely been settled, albeit, belatedly, it was </w:t>
      </w:r>
      <w:r w:rsidR="006A00F1">
        <w:rPr>
          <w:rFonts w:ascii="Arial" w:hAnsi="Arial" w:cs="Arial"/>
          <w:sz w:val="24"/>
          <w:szCs w:val="24"/>
          <w:lang w:val="en-GB"/>
        </w:rPr>
        <w:t xml:space="preserve">not just </w:t>
      </w:r>
      <w:r>
        <w:rPr>
          <w:rFonts w:ascii="Arial" w:hAnsi="Arial" w:cs="Arial"/>
          <w:sz w:val="24"/>
          <w:szCs w:val="24"/>
          <w:lang w:val="en-GB"/>
        </w:rPr>
        <w:t xml:space="preserve">necessary for the constitutional issue </w:t>
      </w:r>
      <w:r w:rsidR="0028429F">
        <w:rPr>
          <w:rFonts w:ascii="Arial" w:hAnsi="Arial" w:cs="Arial"/>
          <w:sz w:val="24"/>
          <w:szCs w:val="24"/>
          <w:lang w:val="en-GB"/>
        </w:rPr>
        <w:t xml:space="preserve">pertinently </w:t>
      </w:r>
      <w:r>
        <w:rPr>
          <w:rFonts w:ascii="Arial" w:hAnsi="Arial" w:cs="Arial"/>
          <w:sz w:val="24"/>
          <w:szCs w:val="24"/>
          <w:lang w:val="en-GB"/>
        </w:rPr>
        <w:t xml:space="preserve">raised by the applicants </w:t>
      </w:r>
      <w:r w:rsidR="000A2122">
        <w:rPr>
          <w:rFonts w:ascii="Arial" w:hAnsi="Arial" w:cs="Arial"/>
          <w:sz w:val="24"/>
          <w:szCs w:val="24"/>
          <w:lang w:val="en-GB"/>
        </w:rPr>
        <w:t xml:space="preserve">in the papers </w:t>
      </w:r>
      <w:r>
        <w:rPr>
          <w:rFonts w:ascii="Arial" w:hAnsi="Arial" w:cs="Arial"/>
          <w:sz w:val="24"/>
          <w:szCs w:val="24"/>
          <w:lang w:val="en-GB"/>
        </w:rPr>
        <w:t>to be determined</w:t>
      </w:r>
      <w:r w:rsidR="006A00F1">
        <w:rPr>
          <w:rFonts w:ascii="Arial" w:hAnsi="Arial" w:cs="Arial"/>
          <w:sz w:val="24"/>
          <w:szCs w:val="24"/>
          <w:lang w:val="en-GB"/>
        </w:rPr>
        <w:t xml:space="preserve"> but also very important as it was a matter of </w:t>
      </w:r>
      <w:r w:rsidR="00213615">
        <w:rPr>
          <w:rFonts w:ascii="Arial" w:hAnsi="Arial" w:cs="Arial"/>
          <w:sz w:val="24"/>
          <w:szCs w:val="24"/>
          <w:lang w:val="en-GB"/>
        </w:rPr>
        <w:t xml:space="preserve">some </w:t>
      </w:r>
      <w:r w:rsidR="006A00F1">
        <w:rPr>
          <w:rFonts w:ascii="Arial" w:hAnsi="Arial" w:cs="Arial"/>
          <w:sz w:val="24"/>
          <w:szCs w:val="24"/>
          <w:lang w:val="en-GB"/>
        </w:rPr>
        <w:t>significant general public interest</w:t>
      </w:r>
      <w:r>
        <w:rPr>
          <w:rFonts w:ascii="Arial" w:hAnsi="Arial" w:cs="Arial"/>
          <w:sz w:val="24"/>
          <w:szCs w:val="24"/>
          <w:lang w:val="en-GB"/>
        </w:rPr>
        <w:t xml:space="preserve">. I </w:t>
      </w:r>
      <w:r w:rsidR="005A4E3C">
        <w:rPr>
          <w:rFonts w:ascii="Arial" w:hAnsi="Arial" w:cs="Arial"/>
          <w:sz w:val="24"/>
          <w:szCs w:val="24"/>
          <w:lang w:val="en-GB"/>
        </w:rPr>
        <w:t xml:space="preserve">then </w:t>
      </w:r>
      <w:r>
        <w:rPr>
          <w:rFonts w:ascii="Arial" w:hAnsi="Arial" w:cs="Arial"/>
          <w:sz w:val="24"/>
          <w:szCs w:val="24"/>
          <w:lang w:val="en-GB"/>
        </w:rPr>
        <w:t xml:space="preserve">directed that supplementary heads should be filed dealing specifically with the </w:t>
      </w:r>
      <w:r w:rsidR="00213615">
        <w:rPr>
          <w:rFonts w:ascii="Arial" w:hAnsi="Arial" w:cs="Arial"/>
          <w:sz w:val="24"/>
          <w:szCs w:val="24"/>
          <w:lang w:val="en-GB"/>
        </w:rPr>
        <w:t>issues pertaining to the constitutional challenge</w:t>
      </w:r>
      <w:r>
        <w:rPr>
          <w:rFonts w:ascii="Arial" w:hAnsi="Arial" w:cs="Arial"/>
          <w:sz w:val="24"/>
          <w:szCs w:val="24"/>
          <w:lang w:val="en-GB"/>
        </w:rPr>
        <w:t>. These are whether this Court should still pronounce on the constit</w:t>
      </w:r>
      <w:r w:rsidR="00141822">
        <w:rPr>
          <w:rFonts w:ascii="Arial" w:hAnsi="Arial" w:cs="Arial"/>
          <w:sz w:val="24"/>
          <w:szCs w:val="24"/>
          <w:lang w:val="en-GB"/>
        </w:rPr>
        <w:t>utionality of Regulation 12(2)</w:t>
      </w:r>
      <w:r>
        <w:rPr>
          <w:rFonts w:ascii="Arial" w:hAnsi="Arial" w:cs="Arial"/>
          <w:sz w:val="24"/>
          <w:szCs w:val="24"/>
          <w:lang w:val="en-GB"/>
        </w:rPr>
        <w:t xml:space="preserve">(c) of the Registration Act despite the respondents having conceded the main </w:t>
      </w:r>
      <w:r w:rsidR="00213615">
        <w:rPr>
          <w:rFonts w:ascii="Arial" w:hAnsi="Arial" w:cs="Arial"/>
          <w:sz w:val="24"/>
          <w:szCs w:val="24"/>
          <w:lang w:val="en-GB"/>
        </w:rPr>
        <w:t>relief</w:t>
      </w:r>
      <w:r>
        <w:rPr>
          <w:rFonts w:ascii="Arial" w:hAnsi="Arial" w:cs="Arial"/>
          <w:sz w:val="24"/>
          <w:szCs w:val="24"/>
          <w:lang w:val="en-GB"/>
        </w:rPr>
        <w:t xml:space="preserve"> sought by the applicants. </w:t>
      </w:r>
      <w:r w:rsidR="0011782C">
        <w:rPr>
          <w:rFonts w:ascii="Arial" w:hAnsi="Arial" w:cs="Arial"/>
          <w:sz w:val="24"/>
          <w:szCs w:val="24"/>
          <w:lang w:val="en-GB"/>
        </w:rPr>
        <w:t xml:space="preserve">If the answer is in the affirmative, the merits of the constitutional challenge will have to be </w:t>
      </w:r>
      <w:r w:rsidR="006A00F1">
        <w:rPr>
          <w:rFonts w:ascii="Arial" w:hAnsi="Arial" w:cs="Arial"/>
          <w:sz w:val="24"/>
          <w:szCs w:val="24"/>
          <w:lang w:val="en-GB"/>
        </w:rPr>
        <w:t>determined</w:t>
      </w:r>
      <w:r w:rsidR="0011782C">
        <w:rPr>
          <w:rFonts w:ascii="Arial" w:hAnsi="Arial" w:cs="Arial"/>
          <w:sz w:val="24"/>
          <w:szCs w:val="24"/>
          <w:lang w:val="en-GB"/>
        </w:rPr>
        <w:t>.  If not</w:t>
      </w:r>
      <w:r w:rsidR="006A00F1">
        <w:rPr>
          <w:rFonts w:ascii="Arial" w:hAnsi="Arial" w:cs="Arial"/>
          <w:sz w:val="24"/>
          <w:szCs w:val="24"/>
          <w:lang w:val="en-GB"/>
        </w:rPr>
        <w:t>,</w:t>
      </w:r>
      <w:r w:rsidR="0011782C">
        <w:rPr>
          <w:rFonts w:ascii="Arial" w:hAnsi="Arial" w:cs="Arial"/>
          <w:sz w:val="24"/>
          <w:szCs w:val="24"/>
          <w:lang w:val="en-GB"/>
        </w:rPr>
        <w:t xml:space="preserve"> that will be the end </w:t>
      </w:r>
      <w:r w:rsidR="001413F5">
        <w:rPr>
          <w:rFonts w:ascii="Arial" w:hAnsi="Arial" w:cs="Arial"/>
          <w:sz w:val="24"/>
          <w:szCs w:val="24"/>
          <w:lang w:val="en-GB"/>
        </w:rPr>
        <w:t xml:space="preserve">of </w:t>
      </w:r>
      <w:r w:rsidR="006A00F1">
        <w:rPr>
          <w:rFonts w:ascii="Arial" w:hAnsi="Arial" w:cs="Arial"/>
          <w:sz w:val="24"/>
          <w:szCs w:val="24"/>
          <w:lang w:val="en-GB"/>
        </w:rPr>
        <w:t>that issue</w:t>
      </w:r>
      <w:r w:rsidR="0011782C">
        <w:rPr>
          <w:rFonts w:ascii="Arial" w:hAnsi="Arial" w:cs="Arial"/>
          <w:sz w:val="24"/>
          <w:szCs w:val="24"/>
          <w:lang w:val="en-GB"/>
        </w:rPr>
        <w:t xml:space="preserve">.  </w:t>
      </w:r>
      <w:r>
        <w:rPr>
          <w:rFonts w:ascii="Arial" w:hAnsi="Arial" w:cs="Arial"/>
          <w:sz w:val="24"/>
          <w:szCs w:val="24"/>
          <w:lang w:val="en-GB"/>
        </w:rPr>
        <w:t>The second issue was whether the court should exercise its discretion and award costs against the respondents on a punitive scale.</w:t>
      </w:r>
    </w:p>
    <w:p w:rsidR="00141822" w:rsidRPr="00141822" w:rsidRDefault="00141822" w:rsidP="00112C31">
      <w:pPr>
        <w:spacing w:line="480" w:lineRule="auto"/>
        <w:jc w:val="both"/>
        <w:rPr>
          <w:rFonts w:ascii="Arial" w:hAnsi="Arial" w:cs="Arial"/>
          <w:i/>
          <w:sz w:val="24"/>
          <w:szCs w:val="24"/>
          <w:lang w:val="en-GB"/>
        </w:rPr>
      </w:pPr>
      <w:r>
        <w:rPr>
          <w:rFonts w:ascii="Arial" w:hAnsi="Arial" w:cs="Arial"/>
          <w:i/>
          <w:sz w:val="24"/>
          <w:szCs w:val="24"/>
          <w:lang w:val="en-GB"/>
        </w:rPr>
        <w:t xml:space="preserve">The </w:t>
      </w:r>
      <w:r w:rsidR="0028429F">
        <w:rPr>
          <w:rFonts w:ascii="Arial" w:hAnsi="Arial" w:cs="Arial"/>
          <w:i/>
          <w:sz w:val="24"/>
          <w:szCs w:val="24"/>
          <w:lang w:val="en-GB"/>
        </w:rPr>
        <w:t>parties’</w:t>
      </w:r>
      <w:r>
        <w:rPr>
          <w:rFonts w:ascii="Arial" w:hAnsi="Arial" w:cs="Arial"/>
          <w:i/>
          <w:sz w:val="24"/>
          <w:szCs w:val="24"/>
          <w:lang w:val="en-GB"/>
        </w:rPr>
        <w:t xml:space="preserve"> contentions.</w:t>
      </w:r>
    </w:p>
    <w:p w:rsidR="003B44A9" w:rsidRDefault="003B44A9" w:rsidP="00112C31">
      <w:pPr>
        <w:spacing w:line="480" w:lineRule="auto"/>
        <w:jc w:val="both"/>
        <w:rPr>
          <w:rFonts w:ascii="Arial" w:hAnsi="Arial" w:cs="Arial"/>
          <w:sz w:val="24"/>
          <w:szCs w:val="24"/>
          <w:lang w:val="en-GB"/>
        </w:rPr>
      </w:pPr>
      <w:r>
        <w:rPr>
          <w:rFonts w:ascii="Arial" w:hAnsi="Arial" w:cs="Arial"/>
          <w:sz w:val="24"/>
          <w:szCs w:val="24"/>
          <w:lang w:val="en-GB"/>
        </w:rPr>
        <w:t>[</w:t>
      </w:r>
      <w:r w:rsidR="00515EAA">
        <w:rPr>
          <w:rFonts w:ascii="Arial" w:hAnsi="Arial" w:cs="Arial"/>
          <w:sz w:val="24"/>
          <w:szCs w:val="24"/>
          <w:lang w:val="en-GB"/>
        </w:rPr>
        <w:t>5</w:t>
      </w:r>
      <w:r>
        <w:rPr>
          <w:rFonts w:ascii="Arial" w:hAnsi="Arial" w:cs="Arial"/>
          <w:sz w:val="24"/>
          <w:szCs w:val="24"/>
          <w:lang w:val="en-GB"/>
        </w:rPr>
        <w:t xml:space="preserve">] </w:t>
      </w:r>
      <w:r w:rsidR="00141822">
        <w:rPr>
          <w:rFonts w:ascii="Arial" w:hAnsi="Arial" w:cs="Arial"/>
          <w:sz w:val="24"/>
          <w:szCs w:val="24"/>
          <w:lang w:val="en-GB"/>
        </w:rPr>
        <w:t xml:space="preserve">The </w:t>
      </w:r>
      <w:r w:rsidR="00213615">
        <w:rPr>
          <w:rFonts w:ascii="Arial" w:hAnsi="Arial" w:cs="Arial"/>
          <w:sz w:val="24"/>
          <w:szCs w:val="24"/>
          <w:lang w:val="en-GB"/>
        </w:rPr>
        <w:t>central theme of the respondents’ argument is that</w:t>
      </w:r>
      <w:r w:rsidR="00141822">
        <w:rPr>
          <w:rFonts w:ascii="Arial" w:hAnsi="Arial" w:cs="Arial"/>
          <w:sz w:val="24"/>
          <w:szCs w:val="24"/>
          <w:lang w:val="en-GB"/>
        </w:rPr>
        <w:t xml:space="preserve"> th</w:t>
      </w:r>
      <w:r w:rsidR="0011782C">
        <w:rPr>
          <w:rFonts w:ascii="Arial" w:hAnsi="Arial" w:cs="Arial"/>
          <w:sz w:val="24"/>
          <w:szCs w:val="24"/>
          <w:lang w:val="en-GB"/>
        </w:rPr>
        <w:t>eir</w:t>
      </w:r>
      <w:r w:rsidR="00141822">
        <w:rPr>
          <w:rFonts w:ascii="Arial" w:hAnsi="Arial" w:cs="Arial"/>
          <w:sz w:val="24"/>
          <w:szCs w:val="24"/>
          <w:lang w:val="en-GB"/>
        </w:rPr>
        <w:t xml:space="preserve"> concession </w:t>
      </w:r>
      <w:r w:rsidR="0011782C">
        <w:rPr>
          <w:rFonts w:ascii="Arial" w:hAnsi="Arial" w:cs="Arial"/>
          <w:sz w:val="24"/>
          <w:szCs w:val="24"/>
          <w:lang w:val="en-GB"/>
        </w:rPr>
        <w:t xml:space="preserve">on the main relief </w:t>
      </w:r>
      <w:r w:rsidR="00141822">
        <w:rPr>
          <w:rFonts w:ascii="Arial" w:hAnsi="Arial" w:cs="Arial"/>
          <w:sz w:val="24"/>
          <w:szCs w:val="24"/>
          <w:lang w:val="en-GB"/>
        </w:rPr>
        <w:t xml:space="preserve">brought to an end the legal basis for this Court to consider the papers and pronounce or even comment on the constitutionality of Regulation 12(2)(c).  </w:t>
      </w:r>
      <w:r>
        <w:rPr>
          <w:rFonts w:ascii="Arial" w:hAnsi="Arial" w:cs="Arial"/>
          <w:sz w:val="24"/>
          <w:szCs w:val="24"/>
          <w:lang w:val="en-GB"/>
        </w:rPr>
        <w:t>A pronouncement on the constitutionality of any legislation including regulations i</w:t>
      </w:r>
      <w:r w:rsidR="00A12EC8">
        <w:rPr>
          <w:rFonts w:ascii="Arial" w:hAnsi="Arial" w:cs="Arial"/>
          <w:sz w:val="24"/>
          <w:szCs w:val="24"/>
          <w:lang w:val="en-GB"/>
        </w:rPr>
        <w:t>s a very serious matter.  It may have</w:t>
      </w:r>
      <w:r>
        <w:rPr>
          <w:rFonts w:ascii="Arial" w:hAnsi="Arial" w:cs="Arial"/>
          <w:sz w:val="24"/>
          <w:szCs w:val="24"/>
          <w:lang w:val="en-GB"/>
        </w:rPr>
        <w:t xml:space="preserve"> serious implications for the separation of powers doctrine</w:t>
      </w:r>
      <w:r w:rsidR="006A00F1">
        <w:rPr>
          <w:rFonts w:ascii="Arial" w:hAnsi="Arial" w:cs="Arial"/>
          <w:sz w:val="24"/>
          <w:szCs w:val="24"/>
          <w:lang w:val="en-GB"/>
        </w:rPr>
        <w:t xml:space="preserve"> because of the implicated issues of ripeness and mootness</w:t>
      </w:r>
      <w:r>
        <w:rPr>
          <w:rFonts w:ascii="Arial" w:hAnsi="Arial" w:cs="Arial"/>
          <w:sz w:val="24"/>
          <w:szCs w:val="24"/>
          <w:lang w:val="en-GB"/>
        </w:rPr>
        <w:t>.  Therefore</w:t>
      </w:r>
      <w:r w:rsidR="00FF266B">
        <w:rPr>
          <w:rFonts w:ascii="Arial" w:hAnsi="Arial" w:cs="Arial"/>
          <w:sz w:val="24"/>
          <w:szCs w:val="24"/>
          <w:lang w:val="en-GB"/>
        </w:rPr>
        <w:t>,</w:t>
      </w:r>
      <w:r>
        <w:rPr>
          <w:rFonts w:ascii="Arial" w:hAnsi="Arial" w:cs="Arial"/>
          <w:sz w:val="24"/>
          <w:szCs w:val="24"/>
          <w:lang w:val="en-GB"/>
        </w:rPr>
        <w:t xml:space="preserve"> once the jurisdictional factors for such a pronouncement are </w:t>
      </w:r>
      <w:r w:rsidR="003007ED">
        <w:rPr>
          <w:rFonts w:ascii="Arial" w:hAnsi="Arial" w:cs="Arial"/>
          <w:sz w:val="24"/>
          <w:szCs w:val="24"/>
          <w:lang w:val="en-GB"/>
        </w:rPr>
        <w:t xml:space="preserve">no longer in existence, with the matter having </w:t>
      </w:r>
      <w:r w:rsidR="00C440F7">
        <w:rPr>
          <w:rFonts w:ascii="Arial" w:hAnsi="Arial" w:cs="Arial"/>
          <w:sz w:val="24"/>
          <w:szCs w:val="24"/>
          <w:lang w:val="en-GB"/>
        </w:rPr>
        <w:t>been</w:t>
      </w:r>
      <w:r w:rsidR="0045589B">
        <w:rPr>
          <w:rFonts w:ascii="Arial" w:hAnsi="Arial" w:cs="Arial"/>
          <w:sz w:val="24"/>
          <w:szCs w:val="24"/>
          <w:lang w:val="en-GB"/>
        </w:rPr>
        <w:t xml:space="preserve"> fully</w:t>
      </w:r>
      <w:r w:rsidR="00C440F7">
        <w:rPr>
          <w:rFonts w:ascii="Arial" w:hAnsi="Arial" w:cs="Arial"/>
          <w:sz w:val="24"/>
          <w:szCs w:val="24"/>
          <w:lang w:val="en-GB"/>
        </w:rPr>
        <w:t xml:space="preserve"> disposed of </w:t>
      </w:r>
      <w:r w:rsidR="003007ED">
        <w:rPr>
          <w:rFonts w:ascii="Arial" w:hAnsi="Arial" w:cs="Arial"/>
          <w:sz w:val="24"/>
          <w:szCs w:val="24"/>
          <w:lang w:val="en-GB"/>
        </w:rPr>
        <w:t>in the sense that a full concession was made</w:t>
      </w:r>
      <w:r w:rsidR="00F1449F">
        <w:rPr>
          <w:rFonts w:ascii="Arial" w:hAnsi="Arial" w:cs="Arial"/>
          <w:sz w:val="24"/>
          <w:szCs w:val="24"/>
          <w:lang w:val="en-GB"/>
        </w:rPr>
        <w:t xml:space="preserve"> on the relief sought</w:t>
      </w:r>
      <w:r w:rsidR="003007ED">
        <w:rPr>
          <w:rFonts w:ascii="Arial" w:hAnsi="Arial" w:cs="Arial"/>
          <w:sz w:val="24"/>
          <w:szCs w:val="24"/>
          <w:lang w:val="en-GB"/>
        </w:rPr>
        <w:t>,</w:t>
      </w:r>
      <w:r w:rsidR="00A12EC8">
        <w:rPr>
          <w:rFonts w:ascii="Arial" w:hAnsi="Arial" w:cs="Arial"/>
          <w:sz w:val="24"/>
          <w:szCs w:val="24"/>
          <w:lang w:val="en-GB"/>
        </w:rPr>
        <w:t xml:space="preserve"> so contend</w:t>
      </w:r>
      <w:r w:rsidR="005757B9">
        <w:rPr>
          <w:rFonts w:ascii="Arial" w:hAnsi="Arial" w:cs="Arial"/>
          <w:sz w:val="24"/>
          <w:szCs w:val="24"/>
          <w:lang w:val="en-GB"/>
        </w:rPr>
        <w:t>ed</w:t>
      </w:r>
      <w:r w:rsidR="00A12EC8">
        <w:rPr>
          <w:rFonts w:ascii="Arial" w:hAnsi="Arial" w:cs="Arial"/>
          <w:sz w:val="24"/>
          <w:szCs w:val="24"/>
          <w:lang w:val="en-GB"/>
        </w:rPr>
        <w:t xml:space="preserve"> the respondents,</w:t>
      </w:r>
      <w:r w:rsidR="00C440F7">
        <w:rPr>
          <w:rFonts w:ascii="Arial" w:hAnsi="Arial" w:cs="Arial"/>
          <w:sz w:val="24"/>
          <w:szCs w:val="24"/>
          <w:lang w:val="en-GB"/>
        </w:rPr>
        <w:t xml:space="preserve"> it would</w:t>
      </w:r>
      <w:r w:rsidR="003007ED">
        <w:rPr>
          <w:rFonts w:ascii="Arial" w:hAnsi="Arial" w:cs="Arial"/>
          <w:sz w:val="24"/>
          <w:szCs w:val="24"/>
          <w:lang w:val="en-GB"/>
        </w:rPr>
        <w:t xml:space="preserve"> offend the doctrin</w:t>
      </w:r>
      <w:r w:rsidR="00C440F7">
        <w:rPr>
          <w:rFonts w:ascii="Arial" w:hAnsi="Arial" w:cs="Arial"/>
          <w:sz w:val="24"/>
          <w:szCs w:val="24"/>
          <w:lang w:val="en-GB"/>
        </w:rPr>
        <w:t xml:space="preserve">e of </w:t>
      </w:r>
      <w:r w:rsidR="00C440F7">
        <w:rPr>
          <w:rFonts w:ascii="Arial" w:hAnsi="Arial" w:cs="Arial"/>
          <w:sz w:val="24"/>
          <w:szCs w:val="24"/>
          <w:lang w:val="en-GB"/>
        </w:rPr>
        <w:lastRenderedPageBreak/>
        <w:t>separation of powers</w:t>
      </w:r>
      <w:r w:rsidR="00A12EC8">
        <w:rPr>
          <w:rFonts w:ascii="Arial" w:hAnsi="Arial" w:cs="Arial"/>
          <w:sz w:val="24"/>
          <w:szCs w:val="24"/>
          <w:lang w:val="en-GB"/>
        </w:rPr>
        <w:t xml:space="preserve"> for the </w:t>
      </w:r>
      <w:r w:rsidR="003A64D3">
        <w:rPr>
          <w:rFonts w:ascii="Arial" w:hAnsi="Arial" w:cs="Arial"/>
          <w:sz w:val="24"/>
          <w:szCs w:val="24"/>
          <w:lang w:val="en-GB"/>
        </w:rPr>
        <w:t>court to</w:t>
      </w:r>
      <w:r w:rsidR="00C440F7">
        <w:rPr>
          <w:rFonts w:ascii="Arial" w:hAnsi="Arial" w:cs="Arial"/>
          <w:sz w:val="24"/>
          <w:szCs w:val="24"/>
          <w:lang w:val="en-GB"/>
        </w:rPr>
        <w:t xml:space="preserve"> mak</w:t>
      </w:r>
      <w:r w:rsidR="003007ED">
        <w:rPr>
          <w:rFonts w:ascii="Arial" w:hAnsi="Arial" w:cs="Arial"/>
          <w:sz w:val="24"/>
          <w:szCs w:val="24"/>
          <w:lang w:val="en-GB"/>
        </w:rPr>
        <w:t xml:space="preserve">e a pronouncement </w:t>
      </w:r>
      <w:r w:rsidR="00A12EC8">
        <w:rPr>
          <w:rFonts w:ascii="Arial" w:hAnsi="Arial" w:cs="Arial"/>
          <w:sz w:val="24"/>
          <w:szCs w:val="24"/>
          <w:lang w:val="en-GB"/>
        </w:rPr>
        <w:t xml:space="preserve">on the constitutional issue raised </w:t>
      </w:r>
      <w:r w:rsidR="003007ED">
        <w:rPr>
          <w:rFonts w:ascii="Arial" w:hAnsi="Arial" w:cs="Arial"/>
          <w:sz w:val="24"/>
          <w:szCs w:val="24"/>
          <w:lang w:val="en-GB"/>
        </w:rPr>
        <w:t xml:space="preserve">in </w:t>
      </w:r>
      <w:r w:rsidR="00C440F7">
        <w:rPr>
          <w:rFonts w:ascii="Arial" w:hAnsi="Arial" w:cs="Arial"/>
          <w:sz w:val="24"/>
          <w:szCs w:val="24"/>
          <w:lang w:val="en-GB"/>
        </w:rPr>
        <w:t xml:space="preserve">the </w:t>
      </w:r>
      <w:r w:rsidR="003007ED">
        <w:rPr>
          <w:rFonts w:ascii="Arial" w:hAnsi="Arial" w:cs="Arial"/>
          <w:sz w:val="24"/>
          <w:szCs w:val="24"/>
          <w:lang w:val="en-GB"/>
        </w:rPr>
        <w:t>circumstances</w:t>
      </w:r>
      <w:r w:rsidR="00C440F7">
        <w:rPr>
          <w:rFonts w:ascii="Arial" w:hAnsi="Arial" w:cs="Arial"/>
          <w:sz w:val="24"/>
          <w:szCs w:val="24"/>
          <w:lang w:val="en-GB"/>
        </w:rPr>
        <w:t xml:space="preserve">. </w:t>
      </w:r>
    </w:p>
    <w:p w:rsidR="00DE02CD" w:rsidRDefault="00DE02CD" w:rsidP="00112C31">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6</w:t>
      </w:r>
      <w:r>
        <w:rPr>
          <w:rFonts w:ascii="Arial" w:hAnsi="Arial" w:cs="Arial"/>
          <w:sz w:val="24"/>
          <w:szCs w:val="24"/>
          <w:lang w:val="en-GB"/>
        </w:rPr>
        <w:t xml:space="preserve">] </w:t>
      </w:r>
      <w:r w:rsidR="0011782C">
        <w:rPr>
          <w:rFonts w:ascii="Arial" w:hAnsi="Arial" w:cs="Arial"/>
          <w:sz w:val="24"/>
          <w:szCs w:val="24"/>
          <w:lang w:val="en-GB"/>
        </w:rPr>
        <w:t xml:space="preserve">There have </w:t>
      </w:r>
      <w:r w:rsidR="006A00F1">
        <w:rPr>
          <w:rFonts w:ascii="Arial" w:hAnsi="Arial" w:cs="Arial"/>
          <w:sz w:val="24"/>
          <w:szCs w:val="24"/>
          <w:lang w:val="en-GB"/>
        </w:rPr>
        <w:t xml:space="preserve">indeed </w:t>
      </w:r>
      <w:r w:rsidR="0011782C">
        <w:rPr>
          <w:rFonts w:ascii="Arial" w:hAnsi="Arial" w:cs="Arial"/>
          <w:sz w:val="24"/>
          <w:szCs w:val="24"/>
          <w:lang w:val="en-GB"/>
        </w:rPr>
        <w:t xml:space="preserve">been </w:t>
      </w:r>
      <w:r w:rsidR="00F82646">
        <w:rPr>
          <w:rFonts w:ascii="Arial" w:hAnsi="Arial" w:cs="Arial"/>
          <w:sz w:val="24"/>
          <w:szCs w:val="24"/>
          <w:lang w:val="en-GB"/>
        </w:rPr>
        <w:t>a number of</w:t>
      </w:r>
      <w:r w:rsidR="0011782C">
        <w:rPr>
          <w:rFonts w:ascii="Arial" w:hAnsi="Arial" w:cs="Arial"/>
          <w:sz w:val="24"/>
          <w:szCs w:val="24"/>
          <w:lang w:val="en-GB"/>
        </w:rPr>
        <w:t xml:space="preserve"> judicial pronouncements on the implicated principles</w:t>
      </w:r>
      <w:r w:rsidR="000F509A">
        <w:rPr>
          <w:rFonts w:ascii="Arial" w:hAnsi="Arial" w:cs="Arial"/>
          <w:sz w:val="24"/>
          <w:szCs w:val="24"/>
          <w:lang w:val="en-GB"/>
        </w:rPr>
        <w:t xml:space="preserve"> all the way t</w:t>
      </w:r>
      <w:r w:rsidR="00C440F7">
        <w:rPr>
          <w:rFonts w:ascii="Arial" w:hAnsi="Arial" w:cs="Arial"/>
          <w:sz w:val="24"/>
          <w:szCs w:val="24"/>
          <w:lang w:val="en-GB"/>
        </w:rPr>
        <w:t>o the Constitutional Court</w:t>
      </w:r>
      <w:r w:rsidR="005757B9">
        <w:rPr>
          <w:rFonts w:ascii="Arial" w:hAnsi="Arial" w:cs="Arial"/>
          <w:sz w:val="24"/>
          <w:szCs w:val="24"/>
          <w:lang w:val="en-GB"/>
        </w:rPr>
        <w:t xml:space="preserve"> </w:t>
      </w:r>
      <w:r w:rsidR="0011782C">
        <w:rPr>
          <w:rFonts w:ascii="Arial" w:hAnsi="Arial" w:cs="Arial"/>
          <w:sz w:val="24"/>
          <w:szCs w:val="24"/>
          <w:lang w:val="en-GB"/>
        </w:rPr>
        <w:t xml:space="preserve">over the course of time even though on </w:t>
      </w:r>
      <w:r w:rsidR="006A00F1">
        <w:rPr>
          <w:rFonts w:ascii="Arial" w:hAnsi="Arial" w:cs="Arial"/>
          <w:sz w:val="24"/>
          <w:szCs w:val="24"/>
          <w:lang w:val="en-GB"/>
        </w:rPr>
        <w:t>varying</w:t>
      </w:r>
      <w:r w:rsidR="0011782C">
        <w:rPr>
          <w:rFonts w:ascii="Arial" w:hAnsi="Arial" w:cs="Arial"/>
          <w:sz w:val="24"/>
          <w:szCs w:val="24"/>
          <w:lang w:val="en-GB"/>
        </w:rPr>
        <w:t xml:space="preserve"> factual circumstances</w:t>
      </w:r>
      <w:r w:rsidR="00C440F7">
        <w:rPr>
          <w:rFonts w:ascii="Arial" w:hAnsi="Arial" w:cs="Arial"/>
          <w:sz w:val="24"/>
          <w:szCs w:val="24"/>
          <w:lang w:val="en-GB"/>
        </w:rPr>
        <w:t xml:space="preserve">.  </w:t>
      </w:r>
      <w:r w:rsidR="0045589B">
        <w:rPr>
          <w:rFonts w:ascii="Arial" w:hAnsi="Arial" w:cs="Arial"/>
          <w:sz w:val="24"/>
          <w:szCs w:val="24"/>
          <w:lang w:val="en-GB"/>
        </w:rPr>
        <w:t>For example, i</w:t>
      </w:r>
      <w:r w:rsidR="00C440F7">
        <w:rPr>
          <w:rFonts w:ascii="Arial" w:hAnsi="Arial" w:cs="Arial"/>
          <w:sz w:val="24"/>
          <w:szCs w:val="24"/>
          <w:lang w:val="en-GB"/>
        </w:rPr>
        <w:t>n</w:t>
      </w:r>
      <w:r w:rsidR="00C440F7">
        <w:rPr>
          <w:rFonts w:ascii="Arial" w:hAnsi="Arial" w:cs="Arial"/>
          <w:i/>
          <w:sz w:val="24"/>
          <w:szCs w:val="24"/>
          <w:lang w:val="en-GB"/>
        </w:rPr>
        <w:t xml:space="preserve"> Aurecon </w:t>
      </w:r>
      <w:r w:rsidR="00C440F7">
        <w:rPr>
          <w:rStyle w:val="FootnoteReference"/>
          <w:rFonts w:ascii="Arial" w:hAnsi="Arial" w:cs="Arial"/>
          <w:i/>
          <w:sz w:val="24"/>
          <w:szCs w:val="24"/>
          <w:lang w:val="en-GB"/>
        </w:rPr>
        <w:footnoteReference w:id="2"/>
      </w:r>
      <w:r w:rsidR="000F509A">
        <w:rPr>
          <w:rFonts w:ascii="Arial" w:hAnsi="Arial" w:cs="Arial"/>
          <w:sz w:val="24"/>
          <w:szCs w:val="24"/>
          <w:lang w:val="en-GB"/>
        </w:rPr>
        <w:t xml:space="preserve"> the court said:</w:t>
      </w:r>
    </w:p>
    <w:p w:rsidR="00576925" w:rsidRPr="005757B9" w:rsidRDefault="000F509A" w:rsidP="00B92798">
      <w:pPr>
        <w:spacing w:line="360" w:lineRule="auto"/>
        <w:ind w:left="720"/>
        <w:jc w:val="both"/>
        <w:rPr>
          <w:rFonts w:ascii="Arial" w:hAnsi="Arial" w:cs="Arial"/>
          <w:lang w:val="en-GB"/>
        </w:rPr>
      </w:pPr>
      <w:r w:rsidRPr="005757B9">
        <w:rPr>
          <w:rFonts w:ascii="Arial" w:hAnsi="Arial" w:cs="Arial"/>
          <w:lang w:val="en-GB"/>
        </w:rPr>
        <w:t xml:space="preserve">“Given that this matter is disposed of on the basis that the </w:t>
      </w:r>
      <w:r w:rsidR="005757B9">
        <w:rPr>
          <w:rFonts w:ascii="Arial" w:hAnsi="Arial" w:cs="Arial"/>
          <w:lang w:val="en-GB"/>
        </w:rPr>
        <w:t>C</w:t>
      </w:r>
      <w:r w:rsidRPr="005757B9">
        <w:rPr>
          <w:rFonts w:ascii="Arial" w:hAnsi="Arial" w:cs="Arial"/>
          <w:lang w:val="en-GB"/>
        </w:rPr>
        <w:t xml:space="preserve">ity was out of time and failed to make out a proper case for condonation in terms of </w:t>
      </w:r>
      <w:r w:rsidR="00F1449F">
        <w:rPr>
          <w:rFonts w:ascii="Arial" w:hAnsi="Arial" w:cs="Arial"/>
          <w:lang w:val="en-GB"/>
        </w:rPr>
        <w:t>s</w:t>
      </w:r>
      <w:r w:rsidR="00F82646">
        <w:rPr>
          <w:rFonts w:ascii="Arial" w:hAnsi="Arial" w:cs="Arial"/>
          <w:lang w:val="en-GB"/>
        </w:rPr>
        <w:t xml:space="preserve"> </w:t>
      </w:r>
      <w:r w:rsidRPr="005757B9">
        <w:rPr>
          <w:rFonts w:ascii="Arial" w:hAnsi="Arial" w:cs="Arial"/>
          <w:lang w:val="en-GB"/>
        </w:rPr>
        <w:t>9 of PAJA, it is not necessary to venture into the arguable poin</w:t>
      </w:r>
      <w:r w:rsidR="00DC0D76" w:rsidRPr="005757B9">
        <w:rPr>
          <w:rFonts w:ascii="Arial" w:hAnsi="Arial" w:cs="Arial"/>
          <w:lang w:val="en-GB"/>
        </w:rPr>
        <w:t>t of law raised, namely the prio</w:t>
      </w:r>
      <w:r w:rsidRPr="005757B9">
        <w:rPr>
          <w:rFonts w:ascii="Arial" w:hAnsi="Arial" w:cs="Arial"/>
          <w:lang w:val="en-GB"/>
        </w:rPr>
        <w:t>r invol</w:t>
      </w:r>
      <w:r w:rsidR="00B92798" w:rsidRPr="005757B9">
        <w:rPr>
          <w:rFonts w:ascii="Arial" w:hAnsi="Arial" w:cs="Arial"/>
          <w:lang w:val="en-GB"/>
        </w:rPr>
        <w:t>vement of a prospective tenderer</w:t>
      </w:r>
      <w:r w:rsidRPr="005757B9">
        <w:rPr>
          <w:rFonts w:ascii="Arial" w:hAnsi="Arial" w:cs="Arial"/>
          <w:lang w:val="en-GB"/>
        </w:rPr>
        <w:t xml:space="preserve">.  Although the applicant </w:t>
      </w:r>
      <w:r w:rsidR="005757B9">
        <w:rPr>
          <w:rFonts w:ascii="Arial" w:hAnsi="Arial" w:cs="Arial"/>
          <w:lang w:val="en-GB"/>
        </w:rPr>
        <w:t xml:space="preserve">and </w:t>
      </w:r>
      <w:r w:rsidR="00576925" w:rsidRPr="005757B9">
        <w:rPr>
          <w:rFonts w:ascii="Arial" w:hAnsi="Arial" w:cs="Arial"/>
          <w:lang w:val="en-GB"/>
        </w:rPr>
        <w:t xml:space="preserve">CESA implored this </w:t>
      </w:r>
      <w:r w:rsidR="005757B9">
        <w:rPr>
          <w:rFonts w:ascii="Arial" w:hAnsi="Arial" w:cs="Arial"/>
          <w:lang w:val="en-GB"/>
        </w:rPr>
        <w:t>c</w:t>
      </w:r>
      <w:r w:rsidR="00576925" w:rsidRPr="005757B9">
        <w:rPr>
          <w:rFonts w:ascii="Arial" w:hAnsi="Arial" w:cs="Arial"/>
          <w:lang w:val="en-GB"/>
        </w:rPr>
        <w:t>ourt to pron</w:t>
      </w:r>
      <w:r w:rsidR="00F1449F">
        <w:rPr>
          <w:rFonts w:ascii="Arial" w:hAnsi="Arial" w:cs="Arial"/>
          <w:lang w:val="en-GB"/>
        </w:rPr>
        <w:t>ounce on the proper meaning of ‘</w:t>
      </w:r>
      <w:r w:rsidR="00576925" w:rsidRPr="005757B9">
        <w:rPr>
          <w:rFonts w:ascii="Arial" w:hAnsi="Arial" w:cs="Arial"/>
          <w:lang w:val="en-GB"/>
        </w:rPr>
        <w:t>involved with</w:t>
      </w:r>
      <w:r w:rsidR="00F1449F">
        <w:rPr>
          <w:rFonts w:ascii="Arial" w:hAnsi="Arial" w:cs="Arial"/>
          <w:lang w:val="en-GB"/>
        </w:rPr>
        <w:t>’</w:t>
      </w:r>
      <w:r w:rsidR="005757B9">
        <w:rPr>
          <w:rFonts w:ascii="Arial" w:hAnsi="Arial" w:cs="Arial"/>
          <w:lang w:val="en-GB"/>
        </w:rPr>
        <w:t xml:space="preserve"> as contained in 27</w:t>
      </w:r>
      <w:r w:rsidR="00576925" w:rsidRPr="005757B9">
        <w:rPr>
          <w:rFonts w:ascii="Arial" w:hAnsi="Arial" w:cs="Arial"/>
          <w:lang w:val="en-GB"/>
        </w:rPr>
        <w:t xml:space="preserve">(4) of the SCM Regulations and clause 95 of the SCMP, the general principle as set out by this </w:t>
      </w:r>
      <w:r w:rsidR="005757B9">
        <w:rPr>
          <w:rFonts w:ascii="Arial" w:hAnsi="Arial" w:cs="Arial"/>
          <w:lang w:val="en-GB"/>
        </w:rPr>
        <w:t>c</w:t>
      </w:r>
      <w:r w:rsidR="00576925" w:rsidRPr="005757B9">
        <w:rPr>
          <w:rFonts w:ascii="Arial" w:hAnsi="Arial" w:cs="Arial"/>
          <w:lang w:val="en-GB"/>
        </w:rPr>
        <w:t xml:space="preserve">ourt in </w:t>
      </w:r>
      <w:r w:rsidR="00576925" w:rsidRPr="005757B9">
        <w:rPr>
          <w:rFonts w:ascii="Arial" w:hAnsi="Arial" w:cs="Arial"/>
          <w:i/>
          <w:lang w:val="en-GB"/>
        </w:rPr>
        <w:t xml:space="preserve">National </w:t>
      </w:r>
      <w:r w:rsidR="0087031C" w:rsidRPr="005757B9">
        <w:rPr>
          <w:rFonts w:ascii="Arial" w:hAnsi="Arial" w:cs="Arial"/>
          <w:i/>
          <w:lang w:val="en-GB"/>
        </w:rPr>
        <w:t>Co</w:t>
      </w:r>
      <w:r w:rsidR="00B92798" w:rsidRPr="005757B9">
        <w:rPr>
          <w:rFonts w:ascii="Arial" w:hAnsi="Arial" w:cs="Arial"/>
          <w:i/>
          <w:lang w:val="en-GB"/>
        </w:rPr>
        <w:t>al</w:t>
      </w:r>
      <w:r w:rsidR="0087031C" w:rsidRPr="005757B9">
        <w:rPr>
          <w:rFonts w:ascii="Arial" w:hAnsi="Arial" w:cs="Arial"/>
          <w:i/>
          <w:lang w:val="en-GB"/>
        </w:rPr>
        <w:t>ition</w:t>
      </w:r>
      <w:r w:rsidR="00576925" w:rsidRPr="005757B9">
        <w:rPr>
          <w:rFonts w:ascii="Arial" w:hAnsi="Arial" w:cs="Arial"/>
          <w:lang w:val="en-GB"/>
        </w:rPr>
        <w:t xml:space="preserve"> is that this </w:t>
      </w:r>
      <w:r w:rsidR="005757B9">
        <w:rPr>
          <w:rFonts w:ascii="Arial" w:hAnsi="Arial" w:cs="Arial"/>
          <w:lang w:val="en-GB"/>
        </w:rPr>
        <w:t>c</w:t>
      </w:r>
      <w:r w:rsidR="00576925" w:rsidRPr="005757B9">
        <w:rPr>
          <w:rFonts w:ascii="Arial" w:hAnsi="Arial" w:cs="Arial"/>
          <w:lang w:val="en-GB"/>
        </w:rPr>
        <w:t>ourt does not p</w:t>
      </w:r>
      <w:r w:rsidR="00B92798" w:rsidRPr="005757B9">
        <w:rPr>
          <w:rFonts w:ascii="Arial" w:hAnsi="Arial" w:cs="Arial"/>
          <w:lang w:val="en-GB"/>
        </w:rPr>
        <w:t>ronounce on issues which are moo</w:t>
      </w:r>
      <w:r w:rsidR="00576925" w:rsidRPr="005757B9">
        <w:rPr>
          <w:rFonts w:ascii="Arial" w:hAnsi="Arial" w:cs="Arial"/>
          <w:lang w:val="en-GB"/>
        </w:rPr>
        <w:t>t (which essentially would equate to providing an a</w:t>
      </w:r>
      <w:r w:rsidR="0087031C" w:rsidRPr="005757B9">
        <w:rPr>
          <w:rFonts w:ascii="Arial" w:hAnsi="Arial" w:cs="Arial"/>
          <w:lang w:val="en-GB"/>
        </w:rPr>
        <w:t xml:space="preserve">dvisory opinion).” </w:t>
      </w:r>
    </w:p>
    <w:p w:rsidR="00923C4F" w:rsidRDefault="00D2471F" w:rsidP="00927E79">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7</w:t>
      </w:r>
      <w:r w:rsidR="00652771">
        <w:rPr>
          <w:rFonts w:ascii="Arial" w:hAnsi="Arial" w:cs="Arial"/>
          <w:sz w:val="24"/>
          <w:szCs w:val="24"/>
          <w:lang w:val="en-GB"/>
        </w:rPr>
        <w:t>] In their supplementary heads of argument the r</w:t>
      </w:r>
      <w:r w:rsidR="00BD0232">
        <w:rPr>
          <w:rFonts w:ascii="Arial" w:hAnsi="Arial" w:cs="Arial"/>
          <w:sz w:val="24"/>
          <w:szCs w:val="24"/>
          <w:lang w:val="en-GB"/>
        </w:rPr>
        <w:t>espondents</w:t>
      </w:r>
      <w:r w:rsidR="00652771">
        <w:rPr>
          <w:rFonts w:ascii="Arial" w:hAnsi="Arial" w:cs="Arial"/>
          <w:sz w:val="24"/>
          <w:szCs w:val="24"/>
          <w:lang w:val="en-GB"/>
        </w:rPr>
        <w:t xml:space="preserve"> contend that the court should </w:t>
      </w:r>
      <w:r w:rsidR="00CE698A">
        <w:rPr>
          <w:rFonts w:ascii="Arial" w:hAnsi="Arial" w:cs="Arial"/>
          <w:sz w:val="24"/>
          <w:szCs w:val="24"/>
          <w:lang w:val="en-GB"/>
        </w:rPr>
        <w:t>es</w:t>
      </w:r>
      <w:r w:rsidR="005E3F65">
        <w:rPr>
          <w:rFonts w:ascii="Arial" w:hAnsi="Arial" w:cs="Arial"/>
          <w:sz w:val="24"/>
          <w:szCs w:val="24"/>
          <w:lang w:val="en-GB"/>
        </w:rPr>
        <w:t>chew</w:t>
      </w:r>
      <w:r w:rsidR="00652771">
        <w:rPr>
          <w:rFonts w:ascii="Arial" w:hAnsi="Arial" w:cs="Arial"/>
          <w:sz w:val="24"/>
          <w:szCs w:val="24"/>
          <w:lang w:val="en-GB"/>
        </w:rPr>
        <w:t xml:space="preserve"> making any determination on the constitutional challenge of the Regulation. The respondents </w:t>
      </w:r>
      <w:r w:rsidR="00557699">
        <w:rPr>
          <w:rFonts w:ascii="Arial" w:hAnsi="Arial" w:cs="Arial"/>
          <w:sz w:val="24"/>
          <w:szCs w:val="24"/>
          <w:lang w:val="en-GB"/>
        </w:rPr>
        <w:t>made two submissions</w:t>
      </w:r>
      <w:r w:rsidR="00575306">
        <w:rPr>
          <w:rFonts w:ascii="Arial" w:hAnsi="Arial" w:cs="Arial"/>
          <w:sz w:val="24"/>
          <w:szCs w:val="24"/>
          <w:lang w:val="en-GB"/>
        </w:rPr>
        <w:t xml:space="preserve"> in the main</w:t>
      </w:r>
      <w:r w:rsidR="00652771">
        <w:rPr>
          <w:rFonts w:ascii="Arial" w:hAnsi="Arial" w:cs="Arial"/>
          <w:sz w:val="24"/>
          <w:szCs w:val="24"/>
          <w:lang w:val="en-GB"/>
        </w:rPr>
        <w:t xml:space="preserve">. The first </w:t>
      </w:r>
      <w:r w:rsidR="005E3F65">
        <w:rPr>
          <w:rFonts w:ascii="Arial" w:hAnsi="Arial" w:cs="Arial"/>
          <w:sz w:val="24"/>
          <w:szCs w:val="24"/>
          <w:lang w:val="en-GB"/>
        </w:rPr>
        <w:t>o</w:t>
      </w:r>
      <w:r w:rsidR="00652771">
        <w:rPr>
          <w:rFonts w:ascii="Arial" w:hAnsi="Arial" w:cs="Arial"/>
          <w:sz w:val="24"/>
          <w:szCs w:val="24"/>
          <w:lang w:val="en-GB"/>
        </w:rPr>
        <w:t>ne is that of mootness and the second one is the issue of ripeness. The applicants have</w:t>
      </w:r>
      <w:r w:rsidR="00413E45">
        <w:rPr>
          <w:rFonts w:ascii="Arial" w:hAnsi="Arial" w:cs="Arial"/>
          <w:sz w:val="24"/>
          <w:szCs w:val="24"/>
          <w:lang w:val="en-GB"/>
        </w:rPr>
        <w:t>,</w:t>
      </w:r>
      <w:r w:rsidR="00652771">
        <w:rPr>
          <w:rFonts w:ascii="Arial" w:hAnsi="Arial" w:cs="Arial"/>
          <w:sz w:val="24"/>
          <w:szCs w:val="24"/>
          <w:lang w:val="en-GB"/>
        </w:rPr>
        <w:t xml:space="preserve"> in their heads of argument</w:t>
      </w:r>
      <w:r w:rsidR="00413E45">
        <w:rPr>
          <w:rFonts w:ascii="Arial" w:hAnsi="Arial" w:cs="Arial"/>
          <w:sz w:val="24"/>
          <w:szCs w:val="24"/>
          <w:lang w:val="en-GB"/>
        </w:rPr>
        <w:t>,</w:t>
      </w:r>
      <w:r w:rsidR="00652771">
        <w:rPr>
          <w:rFonts w:ascii="Arial" w:hAnsi="Arial" w:cs="Arial"/>
          <w:sz w:val="24"/>
          <w:szCs w:val="24"/>
          <w:lang w:val="en-GB"/>
        </w:rPr>
        <w:t xml:space="preserve"> dealt with these issues under the rubric of </w:t>
      </w:r>
      <w:proofErr w:type="spellStart"/>
      <w:r w:rsidR="00D47D62">
        <w:rPr>
          <w:rFonts w:ascii="Arial" w:hAnsi="Arial" w:cs="Arial"/>
          <w:sz w:val="24"/>
          <w:szCs w:val="24"/>
          <w:lang w:val="en-GB"/>
        </w:rPr>
        <w:t>justi</w:t>
      </w:r>
      <w:r w:rsidR="00413E45">
        <w:rPr>
          <w:rFonts w:ascii="Arial" w:hAnsi="Arial" w:cs="Arial"/>
          <w:sz w:val="24"/>
          <w:szCs w:val="24"/>
          <w:lang w:val="en-GB"/>
        </w:rPr>
        <w:t>c</w:t>
      </w:r>
      <w:r w:rsidR="00D47D62">
        <w:rPr>
          <w:rFonts w:ascii="Arial" w:hAnsi="Arial" w:cs="Arial"/>
          <w:sz w:val="24"/>
          <w:szCs w:val="24"/>
          <w:lang w:val="en-GB"/>
        </w:rPr>
        <w:t>iability</w:t>
      </w:r>
      <w:proofErr w:type="spellEnd"/>
      <w:r w:rsidR="00D47D62">
        <w:rPr>
          <w:rFonts w:ascii="Arial" w:hAnsi="Arial" w:cs="Arial"/>
          <w:sz w:val="24"/>
          <w:szCs w:val="24"/>
          <w:lang w:val="en-GB"/>
        </w:rPr>
        <w:t>.</w:t>
      </w:r>
      <w:r w:rsidR="00652771">
        <w:rPr>
          <w:rFonts w:ascii="Arial" w:hAnsi="Arial" w:cs="Arial"/>
          <w:sz w:val="24"/>
          <w:szCs w:val="24"/>
          <w:lang w:val="en-GB"/>
        </w:rPr>
        <w:t xml:space="preserve"> </w:t>
      </w:r>
      <w:r w:rsidR="00413E45">
        <w:rPr>
          <w:rFonts w:ascii="Arial" w:hAnsi="Arial" w:cs="Arial"/>
          <w:sz w:val="24"/>
          <w:szCs w:val="24"/>
          <w:lang w:val="en-GB"/>
        </w:rPr>
        <w:t xml:space="preserve">  </w:t>
      </w:r>
      <w:proofErr w:type="spellStart"/>
      <w:r w:rsidR="00413E45">
        <w:rPr>
          <w:rFonts w:ascii="Arial" w:hAnsi="Arial" w:cs="Arial"/>
          <w:sz w:val="24"/>
          <w:szCs w:val="24"/>
          <w:lang w:val="en-GB"/>
        </w:rPr>
        <w:t>Justic</w:t>
      </w:r>
      <w:r w:rsidR="00D47D62">
        <w:rPr>
          <w:rFonts w:ascii="Arial" w:hAnsi="Arial" w:cs="Arial"/>
          <w:sz w:val="24"/>
          <w:szCs w:val="24"/>
          <w:lang w:val="en-GB"/>
        </w:rPr>
        <w:t>iability</w:t>
      </w:r>
      <w:proofErr w:type="spellEnd"/>
      <w:r w:rsidR="00D47D62">
        <w:rPr>
          <w:rFonts w:ascii="Arial" w:hAnsi="Arial" w:cs="Arial"/>
          <w:sz w:val="24"/>
          <w:szCs w:val="24"/>
          <w:lang w:val="en-GB"/>
        </w:rPr>
        <w:t xml:space="preserve"> in this sense </w:t>
      </w:r>
      <w:r w:rsidR="00652771">
        <w:rPr>
          <w:rFonts w:ascii="Arial" w:hAnsi="Arial" w:cs="Arial"/>
          <w:sz w:val="24"/>
          <w:szCs w:val="24"/>
          <w:lang w:val="en-GB"/>
        </w:rPr>
        <w:t>is</w:t>
      </w:r>
      <w:r w:rsidR="00923C4F">
        <w:rPr>
          <w:rFonts w:ascii="Arial" w:hAnsi="Arial" w:cs="Arial"/>
          <w:sz w:val="24"/>
          <w:szCs w:val="24"/>
          <w:lang w:val="en-GB"/>
        </w:rPr>
        <w:t>,</w:t>
      </w:r>
      <w:r w:rsidR="00652771">
        <w:rPr>
          <w:rFonts w:ascii="Arial" w:hAnsi="Arial" w:cs="Arial"/>
          <w:sz w:val="24"/>
          <w:szCs w:val="24"/>
          <w:lang w:val="en-GB"/>
        </w:rPr>
        <w:t xml:space="preserve"> by</w:t>
      </w:r>
      <w:r w:rsidR="00923C4F">
        <w:rPr>
          <w:rFonts w:ascii="Arial" w:hAnsi="Arial" w:cs="Arial"/>
          <w:sz w:val="24"/>
          <w:szCs w:val="24"/>
          <w:lang w:val="en-GB"/>
        </w:rPr>
        <w:t xml:space="preserve"> and large,</w:t>
      </w:r>
      <w:r w:rsidR="00575306">
        <w:rPr>
          <w:rFonts w:ascii="Arial" w:hAnsi="Arial" w:cs="Arial"/>
          <w:sz w:val="24"/>
          <w:szCs w:val="24"/>
          <w:lang w:val="en-GB"/>
        </w:rPr>
        <w:t xml:space="preserve"> part of</w:t>
      </w:r>
      <w:r w:rsidR="00923C4F">
        <w:rPr>
          <w:rFonts w:ascii="Arial" w:hAnsi="Arial" w:cs="Arial"/>
          <w:sz w:val="24"/>
          <w:szCs w:val="24"/>
          <w:lang w:val="en-GB"/>
        </w:rPr>
        <w:t xml:space="preserve"> the court’s application and observance of the doctrine of separation of powers</w:t>
      </w:r>
      <w:r w:rsidR="00BD0232">
        <w:rPr>
          <w:rFonts w:ascii="Arial" w:hAnsi="Arial" w:cs="Arial"/>
          <w:sz w:val="24"/>
          <w:szCs w:val="24"/>
          <w:lang w:val="en-GB"/>
        </w:rPr>
        <w:t xml:space="preserve"> </w:t>
      </w:r>
      <w:r w:rsidR="00D47D62">
        <w:rPr>
          <w:rFonts w:ascii="Arial" w:hAnsi="Arial" w:cs="Arial"/>
          <w:sz w:val="24"/>
          <w:szCs w:val="24"/>
          <w:lang w:val="en-GB"/>
        </w:rPr>
        <w:t>raised by the respondents</w:t>
      </w:r>
      <w:r w:rsidR="00923C4F">
        <w:rPr>
          <w:rFonts w:ascii="Arial" w:hAnsi="Arial" w:cs="Arial"/>
          <w:sz w:val="24"/>
          <w:szCs w:val="24"/>
          <w:lang w:val="en-GB"/>
        </w:rPr>
        <w:t>.</w:t>
      </w:r>
    </w:p>
    <w:p w:rsidR="005E3F65" w:rsidRDefault="00D2471F" w:rsidP="00927E79">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8</w:t>
      </w:r>
      <w:r w:rsidR="00F014F1">
        <w:rPr>
          <w:rFonts w:ascii="Arial" w:hAnsi="Arial" w:cs="Arial"/>
          <w:sz w:val="24"/>
          <w:szCs w:val="24"/>
          <w:lang w:val="en-GB"/>
        </w:rPr>
        <w:t>]</w:t>
      </w:r>
      <w:r w:rsidR="00923C4F">
        <w:rPr>
          <w:rFonts w:ascii="Arial" w:hAnsi="Arial" w:cs="Arial"/>
          <w:sz w:val="24"/>
          <w:szCs w:val="24"/>
          <w:lang w:val="en-GB"/>
        </w:rPr>
        <w:t xml:space="preserve"> Not so long ago the Constitutional Court explained </w:t>
      </w:r>
      <w:r w:rsidR="006A00F1">
        <w:rPr>
          <w:rFonts w:ascii="Arial" w:hAnsi="Arial" w:cs="Arial"/>
          <w:sz w:val="24"/>
          <w:szCs w:val="24"/>
          <w:lang w:val="en-GB"/>
        </w:rPr>
        <w:t xml:space="preserve">the approach to </w:t>
      </w:r>
      <w:r w:rsidR="00923C4F">
        <w:rPr>
          <w:rFonts w:ascii="Arial" w:hAnsi="Arial" w:cs="Arial"/>
          <w:sz w:val="24"/>
          <w:szCs w:val="24"/>
          <w:lang w:val="en-GB"/>
        </w:rPr>
        <w:t xml:space="preserve">these interlocking principles and </w:t>
      </w:r>
      <w:r w:rsidR="006A00F1">
        <w:rPr>
          <w:rFonts w:ascii="Arial" w:hAnsi="Arial" w:cs="Arial"/>
          <w:sz w:val="24"/>
          <w:szCs w:val="24"/>
          <w:lang w:val="en-GB"/>
        </w:rPr>
        <w:t>emphasiz</w:t>
      </w:r>
      <w:r w:rsidR="00D47D62">
        <w:rPr>
          <w:rFonts w:ascii="Arial" w:hAnsi="Arial" w:cs="Arial"/>
          <w:sz w:val="24"/>
          <w:szCs w:val="24"/>
          <w:lang w:val="en-GB"/>
        </w:rPr>
        <w:t>ed</w:t>
      </w:r>
      <w:r w:rsidR="00BD0232">
        <w:rPr>
          <w:rFonts w:ascii="Arial" w:hAnsi="Arial" w:cs="Arial"/>
          <w:sz w:val="24"/>
          <w:szCs w:val="24"/>
          <w:lang w:val="en-GB"/>
        </w:rPr>
        <w:t xml:space="preserve"> the courts’</w:t>
      </w:r>
      <w:r w:rsidR="00645E93">
        <w:rPr>
          <w:rFonts w:ascii="Arial" w:hAnsi="Arial" w:cs="Arial"/>
          <w:sz w:val="24"/>
          <w:szCs w:val="24"/>
          <w:lang w:val="en-GB"/>
        </w:rPr>
        <w:t xml:space="preserve"> </w:t>
      </w:r>
      <w:r w:rsidR="00923C4F">
        <w:rPr>
          <w:rFonts w:ascii="Arial" w:hAnsi="Arial" w:cs="Arial"/>
          <w:sz w:val="24"/>
          <w:szCs w:val="24"/>
          <w:lang w:val="en-GB"/>
        </w:rPr>
        <w:t>obligation to exercise</w:t>
      </w:r>
      <w:r w:rsidR="005E3F65">
        <w:rPr>
          <w:rFonts w:ascii="Arial" w:hAnsi="Arial" w:cs="Arial"/>
          <w:sz w:val="24"/>
          <w:szCs w:val="24"/>
          <w:lang w:val="en-GB"/>
        </w:rPr>
        <w:t xml:space="preserve"> restraint where necessary without shirking their respons</w:t>
      </w:r>
      <w:r w:rsidR="00370E2E">
        <w:rPr>
          <w:rFonts w:ascii="Arial" w:hAnsi="Arial" w:cs="Arial"/>
          <w:sz w:val="24"/>
          <w:szCs w:val="24"/>
          <w:lang w:val="en-GB"/>
        </w:rPr>
        <w:t>ibility to intervene in deserv</w:t>
      </w:r>
      <w:r w:rsidR="005E3F65">
        <w:rPr>
          <w:rFonts w:ascii="Arial" w:hAnsi="Arial" w:cs="Arial"/>
          <w:sz w:val="24"/>
          <w:szCs w:val="24"/>
          <w:lang w:val="en-GB"/>
        </w:rPr>
        <w:t>ing cases</w:t>
      </w:r>
      <w:r w:rsidR="00645E93">
        <w:rPr>
          <w:rFonts w:ascii="Arial" w:hAnsi="Arial" w:cs="Arial"/>
          <w:sz w:val="24"/>
          <w:szCs w:val="24"/>
          <w:lang w:val="en-GB"/>
        </w:rPr>
        <w:t>. In</w:t>
      </w:r>
      <w:r w:rsidR="005E3F65">
        <w:rPr>
          <w:rFonts w:ascii="Arial" w:hAnsi="Arial" w:cs="Arial"/>
          <w:sz w:val="24"/>
          <w:szCs w:val="24"/>
          <w:lang w:val="en-GB"/>
        </w:rPr>
        <w:t xml:space="preserve"> </w:t>
      </w:r>
      <w:proofErr w:type="spellStart"/>
      <w:r w:rsidR="005E3F65" w:rsidRPr="002459BD">
        <w:rPr>
          <w:rFonts w:ascii="Arial" w:hAnsi="Arial" w:cs="Arial"/>
          <w:i/>
          <w:sz w:val="24"/>
          <w:szCs w:val="24"/>
          <w:lang w:val="en-GB"/>
        </w:rPr>
        <w:t>Mwelase</w:t>
      </w:r>
      <w:proofErr w:type="spellEnd"/>
      <w:r w:rsidR="001F2622">
        <w:rPr>
          <w:rStyle w:val="FootnoteReference"/>
          <w:rFonts w:ascii="Arial" w:hAnsi="Arial" w:cs="Arial"/>
          <w:i/>
          <w:sz w:val="24"/>
          <w:szCs w:val="24"/>
          <w:lang w:val="en-GB"/>
        </w:rPr>
        <w:footnoteReference w:id="3"/>
      </w:r>
      <w:r w:rsidR="00645E93">
        <w:rPr>
          <w:rFonts w:ascii="Arial" w:hAnsi="Arial" w:cs="Arial"/>
          <w:i/>
          <w:sz w:val="24"/>
          <w:szCs w:val="24"/>
          <w:lang w:val="en-GB"/>
        </w:rPr>
        <w:t>,</w:t>
      </w:r>
      <w:r w:rsidR="005E3F65">
        <w:rPr>
          <w:rFonts w:ascii="Arial" w:hAnsi="Arial" w:cs="Arial"/>
          <w:sz w:val="24"/>
          <w:szCs w:val="24"/>
          <w:lang w:val="en-GB"/>
        </w:rPr>
        <w:t xml:space="preserve"> </w:t>
      </w:r>
      <w:r w:rsidR="00F014F1">
        <w:rPr>
          <w:rFonts w:ascii="Arial" w:hAnsi="Arial" w:cs="Arial"/>
          <w:sz w:val="24"/>
          <w:szCs w:val="24"/>
          <w:lang w:val="en-GB"/>
        </w:rPr>
        <w:t xml:space="preserve">in the words of Cameron J, </w:t>
      </w:r>
      <w:r w:rsidR="005E3F65">
        <w:rPr>
          <w:rFonts w:ascii="Arial" w:hAnsi="Arial" w:cs="Arial"/>
          <w:sz w:val="24"/>
          <w:szCs w:val="24"/>
          <w:lang w:val="en-GB"/>
        </w:rPr>
        <w:t xml:space="preserve">in the context of a </w:t>
      </w:r>
      <w:r w:rsidR="00F014F1">
        <w:rPr>
          <w:rFonts w:ascii="Arial" w:hAnsi="Arial" w:cs="Arial"/>
          <w:sz w:val="24"/>
          <w:szCs w:val="24"/>
          <w:lang w:val="en-GB"/>
        </w:rPr>
        <w:t>consideration of</w:t>
      </w:r>
      <w:r w:rsidR="00645E93">
        <w:rPr>
          <w:rFonts w:ascii="Arial" w:hAnsi="Arial" w:cs="Arial"/>
          <w:sz w:val="24"/>
          <w:szCs w:val="24"/>
          <w:lang w:val="en-GB"/>
        </w:rPr>
        <w:t xml:space="preserve"> </w:t>
      </w:r>
      <w:r w:rsidR="00F014F1">
        <w:rPr>
          <w:rFonts w:ascii="Arial" w:hAnsi="Arial" w:cs="Arial"/>
          <w:sz w:val="24"/>
          <w:szCs w:val="24"/>
          <w:lang w:val="en-GB"/>
        </w:rPr>
        <w:t>t</w:t>
      </w:r>
      <w:r w:rsidR="00645E93">
        <w:rPr>
          <w:rFonts w:ascii="Arial" w:hAnsi="Arial" w:cs="Arial"/>
          <w:sz w:val="24"/>
          <w:szCs w:val="24"/>
          <w:lang w:val="en-GB"/>
        </w:rPr>
        <w:t xml:space="preserve">he </w:t>
      </w:r>
      <w:r w:rsidR="005E3F65">
        <w:rPr>
          <w:rFonts w:ascii="Arial" w:hAnsi="Arial" w:cs="Arial"/>
          <w:sz w:val="24"/>
          <w:szCs w:val="24"/>
          <w:lang w:val="en-GB"/>
        </w:rPr>
        <w:t xml:space="preserve">need </w:t>
      </w:r>
      <w:r w:rsidR="005E3F65">
        <w:rPr>
          <w:rFonts w:ascii="Arial" w:hAnsi="Arial" w:cs="Arial"/>
          <w:sz w:val="24"/>
          <w:szCs w:val="24"/>
          <w:lang w:val="en-GB"/>
        </w:rPr>
        <w:lastRenderedPageBreak/>
        <w:t xml:space="preserve">for the judicial </w:t>
      </w:r>
      <w:r w:rsidR="00370E2E">
        <w:rPr>
          <w:rFonts w:ascii="Arial" w:hAnsi="Arial" w:cs="Arial"/>
          <w:sz w:val="24"/>
          <w:szCs w:val="24"/>
          <w:lang w:val="en-GB"/>
        </w:rPr>
        <w:t xml:space="preserve">arm of </w:t>
      </w:r>
      <w:r w:rsidR="00F014F1">
        <w:rPr>
          <w:rFonts w:ascii="Arial" w:hAnsi="Arial" w:cs="Arial"/>
          <w:sz w:val="24"/>
          <w:szCs w:val="24"/>
          <w:lang w:val="en-GB"/>
        </w:rPr>
        <w:t xml:space="preserve">the state </w:t>
      </w:r>
      <w:r w:rsidR="005E3F65">
        <w:rPr>
          <w:rFonts w:ascii="Arial" w:hAnsi="Arial" w:cs="Arial"/>
          <w:sz w:val="24"/>
          <w:szCs w:val="24"/>
          <w:lang w:val="en-GB"/>
        </w:rPr>
        <w:t>to provide an effective relief</w:t>
      </w:r>
      <w:r w:rsidR="001C728B">
        <w:rPr>
          <w:rFonts w:ascii="Arial" w:hAnsi="Arial" w:cs="Arial"/>
          <w:sz w:val="24"/>
          <w:szCs w:val="24"/>
          <w:lang w:val="en-GB"/>
        </w:rPr>
        <w:t>,</w:t>
      </w:r>
      <w:r w:rsidR="005E3F65">
        <w:rPr>
          <w:rFonts w:ascii="Arial" w:hAnsi="Arial" w:cs="Arial"/>
          <w:sz w:val="24"/>
          <w:szCs w:val="24"/>
          <w:lang w:val="en-GB"/>
        </w:rPr>
        <w:t xml:space="preserve">  </w:t>
      </w:r>
      <w:r w:rsidR="00645E93">
        <w:rPr>
          <w:rFonts w:ascii="Arial" w:hAnsi="Arial" w:cs="Arial"/>
          <w:sz w:val="24"/>
          <w:szCs w:val="24"/>
          <w:lang w:val="en-GB"/>
        </w:rPr>
        <w:t>the court expressed itself as follows:</w:t>
      </w:r>
    </w:p>
    <w:p w:rsidR="002459BD" w:rsidRPr="00EB1D80" w:rsidRDefault="005E3F65" w:rsidP="00EB1D80">
      <w:pPr>
        <w:spacing w:line="360" w:lineRule="auto"/>
        <w:ind w:left="720" w:hanging="142"/>
        <w:jc w:val="both"/>
        <w:rPr>
          <w:rFonts w:ascii="Arial" w:hAnsi="Arial" w:cs="Arial"/>
          <w:lang w:val="en-GB"/>
        </w:rPr>
      </w:pPr>
      <w:r w:rsidRPr="00EB1D80">
        <w:rPr>
          <w:rFonts w:ascii="Arial" w:hAnsi="Arial" w:cs="Arial"/>
          <w:lang w:val="en-GB"/>
        </w:rPr>
        <w:t xml:space="preserve"> </w:t>
      </w:r>
      <w:r w:rsidR="00710DBE" w:rsidRPr="00EB1D80">
        <w:rPr>
          <w:rFonts w:ascii="Arial" w:hAnsi="Arial" w:cs="Arial"/>
          <w:lang w:val="en-GB"/>
        </w:rPr>
        <w:t>“</w:t>
      </w:r>
      <w:r w:rsidRPr="00EB1D80">
        <w:rPr>
          <w:rFonts w:ascii="Arial" w:hAnsi="Arial" w:cs="Arial"/>
          <w:lang w:val="en-GB"/>
        </w:rPr>
        <w:t xml:space="preserve">In cases that </w:t>
      </w:r>
      <w:r w:rsidR="002459BD" w:rsidRPr="00EB1D80">
        <w:rPr>
          <w:rFonts w:ascii="Arial" w:hAnsi="Arial" w:cs="Arial"/>
          <w:lang w:val="en-GB"/>
        </w:rPr>
        <w:t>cry</w:t>
      </w:r>
      <w:r w:rsidRPr="00EB1D80">
        <w:rPr>
          <w:rFonts w:ascii="Arial" w:hAnsi="Arial" w:cs="Arial"/>
          <w:lang w:val="en-GB"/>
        </w:rPr>
        <w:t xml:space="preserve"> out for effective relief, tagging a function </w:t>
      </w:r>
      <w:r w:rsidR="002459BD" w:rsidRPr="00EB1D80">
        <w:rPr>
          <w:rFonts w:ascii="Arial" w:hAnsi="Arial" w:cs="Arial"/>
          <w:lang w:val="en-GB"/>
        </w:rPr>
        <w:t xml:space="preserve">as administrative or executive, </w:t>
      </w:r>
      <w:r w:rsidRPr="00EB1D80">
        <w:rPr>
          <w:rFonts w:ascii="Arial" w:hAnsi="Arial" w:cs="Arial"/>
          <w:lang w:val="en-GB"/>
        </w:rPr>
        <w:t xml:space="preserve">in contradistinction to judicial, </w:t>
      </w:r>
      <w:r w:rsidR="00710DBE" w:rsidRPr="00EB1D80">
        <w:rPr>
          <w:rFonts w:ascii="Arial" w:hAnsi="Arial" w:cs="Arial"/>
          <w:lang w:val="en-GB"/>
        </w:rPr>
        <w:t>though always important, need not always be decisive. For it is</w:t>
      </w:r>
      <w:r w:rsidR="002459BD" w:rsidRPr="00EB1D80">
        <w:rPr>
          <w:rFonts w:ascii="Arial" w:hAnsi="Arial" w:cs="Arial"/>
          <w:lang w:val="en-GB"/>
        </w:rPr>
        <w:t xml:space="preserve"> crises</w:t>
      </w:r>
      <w:r w:rsidR="00710DBE" w:rsidRPr="00EB1D80">
        <w:rPr>
          <w:rFonts w:ascii="Arial" w:hAnsi="Arial" w:cs="Arial"/>
          <w:lang w:val="en-GB"/>
        </w:rPr>
        <w:t xml:space="preserve"> in governmental delivery, and not any judicial wish to exercise power, that has required the courts to explore the limits of separation of</w:t>
      </w:r>
      <w:r w:rsidR="002459BD" w:rsidRPr="00EB1D80">
        <w:rPr>
          <w:rFonts w:ascii="Arial" w:hAnsi="Arial" w:cs="Arial"/>
          <w:lang w:val="en-GB"/>
        </w:rPr>
        <w:t xml:space="preserve"> powers jurisprudence.</w:t>
      </w:r>
      <w:r w:rsidR="00031E9E" w:rsidRPr="00EB1D80">
        <w:rPr>
          <w:rFonts w:ascii="Arial" w:hAnsi="Arial" w:cs="Arial"/>
          <w:lang w:val="en-GB"/>
        </w:rPr>
        <w:t xml:space="preserve"> When egregious</w:t>
      </w:r>
      <w:r w:rsidR="00710DBE" w:rsidRPr="00EB1D80">
        <w:rPr>
          <w:rFonts w:ascii="Arial" w:hAnsi="Arial" w:cs="Arial"/>
          <w:lang w:val="en-GB"/>
        </w:rPr>
        <w:t xml:space="preserve"> infringements have occurred</w:t>
      </w:r>
      <w:r w:rsidR="002459BD" w:rsidRPr="00EB1D80">
        <w:rPr>
          <w:rFonts w:ascii="Arial" w:hAnsi="Arial" w:cs="Arial"/>
          <w:lang w:val="en-GB"/>
        </w:rPr>
        <w:t>,</w:t>
      </w:r>
      <w:r w:rsidR="00710DBE" w:rsidRPr="00EB1D80">
        <w:rPr>
          <w:rFonts w:ascii="Arial" w:hAnsi="Arial" w:cs="Arial"/>
          <w:lang w:val="en-GB"/>
        </w:rPr>
        <w:t xml:space="preserve"> </w:t>
      </w:r>
      <w:r w:rsidR="002459BD" w:rsidRPr="00EB1D80">
        <w:rPr>
          <w:rFonts w:ascii="Arial" w:hAnsi="Arial" w:cs="Arial"/>
          <w:lang w:val="en-GB"/>
        </w:rPr>
        <w:t xml:space="preserve">the courts have had little choice in their duty to provide effective relief. That was so in </w:t>
      </w:r>
      <w:r w:rsidR="002459BD" w:rsidRPr="00012CD5">
        <w:rPr>
          <w:rFonts w:ascii="Arial" w:hAnsi="Arial" w:cs="Arial"/>
          <w:i/>
          <w:lang w:val="en-GB"/>
        </w:rPr>
        <w:t xml:space="preserve">Black </w:t>
      </w:r>
      <w:r w:rsidR="00031E9E" w:rsidRPr="00012CD5">
        <w:rPr>
          <w:rFonts w:ascii="Arial" w:hAnsi="Arial" w:cs="Arial"/>
          <w:i/>
          <w:lang w:val="en-GB"/>
        </w:rPr>
        <w:t>Sash 1</w:t>
      </w:r>
      <w:r w:rsidR="002459BD" w:rsidRPr="00EB1D80">
        <w:rPr>
          <w:rFonts w:ascii="Arial" w:hAnsi="Arial" w:cs="Arial"/>
          <w:lang w:val="en-GB"/>
        </w:rPr>
        <w:t>, and it is the case here. In both</w:t>
      </w:r>
      <w:r w:rsidR="00EB1D80">
        <w:rPr>
          <w:rFonts w:ascii="Arial" w:hAnsi="Arial" w:cs="Arial"/>
          <w:lang w:val="en-GB"/>
        </w:rPr>
        <w:t>,</w:t>
      </w:r>
      <w:r w:rsidR="002459BD" w:rsidRPr="00EB1D80">
        <w:rPr>
          <w:rFonts w:ascii="Arial" w:hAnsi="Arial" w:cs="Arial"/>
          <w:lang w:val="en-GB"/>
        </w:rPr>
        <w:t xml:space="preserve"> the most vulnerable and most marginalised have suffered from the inefficiency of governmental delivery.”</w:t>
      </w:r>
    </w:p>
    <w:p w:rsidR="00A71B18" w:rsidRDefault="00D2471F" w:rsidP="00927E79">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9</w:t>
      </w:r>
      <w:r w:rsidR="00711B6B">
        <w:rPr>
          <w:rFonts w:ascii="Arial" w:hAnsi="Arial" w:cs="Arial"/>
          <w:sz w:val="24"/>
          <w:szCs w:val="24"/>
          <w:lang w:val="en-GB"/>
        </w:rPr>
        <w:t>] The respondents</w:t>
      </w:r>
      <w:r w:rsidR="002459BD">
        <w:rPr>
          <w:rFonts w:ascii="Arial" w:hAnsi="Arial" w:cs="Arial"/>
          <w:sz w:val="24"/>
          <w:szCs w:val="24"/>
          <w:lang w:val="en-GB"/>
        </w:rPr>
        <w:t>’</w:t>
      </w:r>
      <w:r w:rsidR="00711B6B">
        <w:rPr>
          <w:rFonts w:ascii="Arial" w:hAnsi="Arial" w:cs="Arial"/>
          <w:sz w:val="24"/>
          <w:szCs w:val="24"/>
          <w:lang w:val="en-GB"/>
        </w:rPr>
        <w:t xml:space="preserve"> contention on Regulation 12 (2) (c)</w:t>
      </w:r>
      <w:r w:rsidR="007E595C">
        <w:rPr>
          <w:rFonts w:ascii="Arial" w:hAnsi="Arial" w:cs="Arial"/>
          <w:sz w:val="24"/>
          <w:szCs w:val="24"/>
          <w:lang w:val="en-GB"/>
        </w:rPr>
        <w:t>, as I understand it,</w:t>
      </w:r>
      <w:r w:rsidR="00711B6B">
        <w:rPr>
          <w:rFonts w:ascii="Arial" w:hAnsi="Arial" w:cs="Arial"/>
          <w:sz w:val="24"/>
          <w:szCs w:val="24"/>
          <w:lang w:val="en-GB"/>
        </w:rPr>
        <w:t xml:space="preserve"> is</w:t>
      </w:r>
      <w:r w:rsidR="00645E93">
        <w:rPr>
          <w:rFonts w:ascii="Arial" w:hAnsi="Arial" w:cs="Arial"/>
          <w:sz w:val="24"/>
          <w:szCs w:val="24"/>
          <w:lang w:val="en-GB"/>
        </w:rPr>
        <w:t xml:space="preserve"> simply this. B</w:t>
      </w:r>
      <w:r w:rsidR="00711B6B">
        <w:rPr>
          <w:rFonts w:ascii="Arial" w:hAnsi="Arial" w:cs="Arial"/>
          <w:sz w:val="24"/>
          <w:szCs w:val="24"/>
          <w:lang w:val="en-GB"/>
        </w:rPr>
        <w:t xml:space="preserve">ecause </w:t>
      </w:r>
      <w:r w:rsidR="005A3B93">
        <w:rPr>
          <w:rFonts w:ascii="Arial" w:hAnsi="Arial" w:cs="Arial"/>
          <w:sz w:val="24"/>
          <w:szCs w:val="24"/>
          <w:lang w:val="en-GB"/>
        </w:rPr>
        <w:t>during th</w:t>
      </w:r>
      <w:r w:rsidR="00645E93">
        <w:rPr>
          <w:rFonts w:ascii="Arial" w:hAnsi="Arial" w:cs="Arial"/>
          <w:sz w:val="24"/>
          <w:szCs w:val="24"/>
          <w:lang w:val="en-GB"/>
        </w:rPr>
        <w:t>e hearing of this application they</w:t>
      </w:r>
      <w:r w:rsidR="005A3B93">
        <w:rPr>
          <w:rFonts w:ascii="Arial" w:hAnsi="Arial" w:cs="Arial"/>
          <w:sz w:val="24"/>
          <w:szCs w:val="24"/>
          <w:lang w:val="en-GB"/>
        </w:rPr>
        <w:t xml:space="preserve"> conceded that the </w:t>
      </w:r>
      <w:r w:rsidR="00012CD5">
        <w:rPr>
          <w:rFonts w:ascii="Arial" w:hAnsi="Arial" w:cs="Arial"/>
          <w:sz w:val="24"/>
          <w:szCs w:val="24"/>
          <w:lang w:val="en-GB"/>
        </w:rPr>
        <w:t>R</w:t>
      </w:r>
      <w:r w:rsidR="005A3B93">
        <w:rPr>
          <w:rFonts w:ascii="Arial" w:hAnsi="Arial" w:cs="Arial"/>
          <w:sz w:val="24"/>
          <w:szCs w:val="24"/>
          <w:lang w:val="en-GB"/>
        </w:rPr>
        <w:t>egulation was inapplicable</w:t>
      </w:r>
      <w:r w:rsidR="00645E93">
        <w:rPr>
          <w:rFonts w:ascii="Arial" w:hAnsi="Arial" w:cs="Arial"/>
          <w:sz w:val="24"/>
          <w:szCs w:val="24"/>
          <w:lang w:val="en-GB"/>
        </w:rPr>
        <w:t>,</w:t>
      </w:r>
      <w:r w:rsidR="005A3B93">
        <w:rPr>
          <w:rFonts w:ascii="Arial" w:hAnsi="Arial" w:cs="Arial"/>
          <w:sz w:val="24"/>
          <w:szCs w:val="24"/>
          <w:lang w:val="en-GB"/>
        </w:rPr>
        <w:t xml:space="preserve"> the</w:t>
      </w:r>
      <w:r w:rsidR="00645E93">
        <w:rPr>
          <w:rFonts w:ascii="Arial" w:hAnsi="Arial" w:cs="Arial"/>
          <w:sz w:val="24"/>
          <w:szCs w:val="24"/>
          <w:lang w:val="en-GB"/>
        </w:rPr>
        <w:t xml:space="preserve"> issue of the constitutional challenge</w:t>
      </w:r>
      <w:r w:rsidR="005A3B93">
        <w:rPr>
          <w:rFonts w:ascii="Arial" w:hAnsi="Arial" w:cs="Arial"/>
          <w:sz w:val="24"/>
          <w:szCs w:val="24"/>
          <w:lang w:val="en-GB"/>
        </w:rPr>
        <w:t xml:space="preserve"> was therefore not ripe for adjudication</w:t>
      </w:r>
      <w:r w:rsidR="00645E93">
        <w:rPr>
          <w:rFonts w:ascii="Arial" w:hAnsi="Arial" w:cs="Arial"/>
          <w:sz w:val="24"/>
          <w:szCs w:val="24"/>
          <w:lang w:val="en-GB"/>
        </w:rPr>
        <w:t>. T</w:t>
      </w:r>
      <w:r w:rsidR="005A3B93">
        <w:rPr>
          <w:rFonts w:ascii="Arial" w:hAnsi="Arial" w:cs="Arial"/>
          <w:sz w:val="24"/>
          <w:szCs w:val="24"/>
          <w:lang w:val="en-GB"/>
        </w:rPr>
        <w:t>he respondents do not explain and have not filed any affidavit to explain their earlier stance</w:t>
      </w:r>
      <w:r w:rsidR="00D47D62">
        <w:rPr>
          <w:rFonts w:ascii="Arial" w:hAnsi="Arial" w:cs="Arial"/>
          <w:sz w:val="24"/>
          <w:szCs w:val="24"/>
          <w:lang w:val="en-GB"/>
        </w:rPr>
        <w:t>:</w:t>
      </w:r>
      <w:r w:rsidR="005A3B93">
        <w:rPr>
          <w:rFonts w:ascii="Arial" w:hAnsi="Arial" w:cs="Arial"/>
          <w:sz w:val="24"/>
          <w:szCs w:val="24"/>
          <w:lang w:val="en-GB"/>
        </w:rPr>
        <w:t xml:space="preserve"> before the application was launched</w:t>
      </w:r>
      <w:r w:rsidR="00D47D62">
        <w:rPr>
          <w:rFonts w:ascii="Arial" w:hAnsi="Arial" w:cs="Arial"/>
          <w:sz w:val="24"/>
          <w:szCs w:val="24"/>
          <w:lang w:val="en-GB"/>
        </w:rPr>
        <w:t>;</w:t>
      </w:r>
      <w:r w:rsidR="005A3B93">
        <w:rPr>
          <w:rFonts w:ascii="Arial" w:hAnsi="Arial" w:cs="Arial"/>
          <w:sz w:val="24"/>
          <w:szCs w:val="24"/>
          <w:lang w:val="en-GB"/>
        </w:rPr>
        <w:t xml:space="preserve"> after the papers were filed</w:t>
      </w:r>
      <w:r w:rsidR="007E595C">
        <w:rPr>
          <w:rFonts w:ascii="Arial" w:hAnsi="Arial" w:cs="Arial"/>
          <w:sz w:val="24"/>
          <w:szCs w:val="24"/>
          <w:lang w:val="en-GB"/>
        </w:rPr>
        <w:t xml:space="preserve"> and when</w:t>
      </w:r>
      <w:r w:rsidR="00645E93">
        <w:rPr>
          <w:rFonts w:ascii="Arial" w:hAnsi="Arial" w:cs="Arial"/>
          <w:sz w:val="24"/>
          <w:szCs w:val="24"/>
          <w:lang w:val="en-GB"/>
        </w:rPr>
        <w:t xml:space="preserve"> they filed a rather </w:t>
      </w:r>
      <w:r w:rsidR="005A3B93">
        <w:rPr>
          <w:rFonts w:ascii="Arial" w:hAnsi="Arial" w:cs="Arial"/>
          <w:sz w:val="24"/>
          <w:szCs w:val="24"/>
          <w:lang w:val="en-GB"/>
        </w:rPr>
        <w:t>comprehensive answering affidavit</w:t>
      </w:r>
      <w:r w:rsidR="00CD594A">
        <w:rPr>
          <w:rFonts w:ascii="Arial" w:hAnsi="Arial" w:cs="Arial"/>
          <w:sz w:val="24"/>
          <w:szCs w:val="24"/>
          <w:lang w:val="en-GB"/>
        </w:rPr>
        <w:t xml:space="preserve"> insis</w:t>
      </w:r>
      <w:r w:rsidR="00A146EB">
        <w:rPr>
          <w:rFonts w:ascii="Arial" w:hAnsi="Arial" w:cs="Arial"/>
          <w:sz w:val="24"/>
          <w:szCs w:val="24"/>
          <w:lang w:val="en-GB"/>
        </w:rPr>
        <w:t>ting that the Regulation made it</w:t>
      </w:r>
      <w:r w:rsidR="00CD594A">
        <w:rPr>
          <w:rFonts w:ascii="Arial" w:hAnsi="Arial" w:cs="Arial"/>
          <w:sz w:val="24"/>
          <w:szCs w:val="24"/>
          <w:lang w:val="en-GB"/>
        </w:rPr>
        <w:t xml:space="preserve"> impossible </w:t>
      </w:r>
      <w:r w:rsidR="00A146EB">
        <w:rPr>
          <w:rFonts w:ascii="Arial" w:hAnsi="Arial" w:cs="Arial"/>
          <w:sz w:val="24"/>
          <w:szCs w:val="24"/>
          <w:lang w:val="en-GB"/>
        </w:rPr>
        <w:t xml:space="preserve">for them </w:t>
      </w:r>
      <w:r w:rsidR="00CD594A">
        <w:rPr>
          <w:rFonts w:ascii="Arial" w:hAnsi="Arial" w:cs="Arial"/>
          <w:sz w:val="24"/>
          <w:szCs w:val="24"/>
          <w:lang w:val="en-GB"/>
        </w:rPr>
        <w:t>to enter the details of the father in the registration records of the child</w:t>
      </w:r>
      <w:r w:rsidR="00645E93">
        <w:rPr>
          <w:rFonts w:ascii="Arial" w:hAnsi="Arial" w:cs="Arial"/>
          <w:sz w:val="24"/>
          <w:szCs w:val="24"/>
          <w:lang w:val="en-GB"/>
        </w:rPr>
        <w:t xml:space="preserve">. </w:t>
      </w:r>
      <w:r w:rsidR="006A00F1">
        <w:rPr>
          <w:rFonts w:ascii="Arial" w:hAnsi="Arial" w:cs="Arial"/>
          <w:sz w:val="24"/>
          <w:szCs w:val="24"/>
          <w:lang w:val="en-GB"/>
        </w:rPr>
        <w:t>They just</w:t>
      </w:r>
      <w:r w:rsidR="00D47D62">
        <w:rPr>
          <w:rFonts w:ascii="Arial" w:hAnsi="Arial" w:cs="Arial"/>
          <w:sz w:val="24"/>
          <w:szCs w:val="24"/>
          <w:lang w:val="en-GB"/>
        </w:rPr>
        <w:t>,</w:t>
      </w:r>
      <w:r w:rsidR="006A00F1">
        <w:rPr>
          <w:rFonts w:ascii="Arial" w:hAnsi="Arial" w:cs="Arial"/>
          <w:sz w:val="24"/>
          <w:szCs w:val="24"/>
          <w:lang w:val="en-GB"/>
        </w:rPr>
        <w:t xml:space="preserve"> </w:t>
      </w:r>
      <w:r w:rsidR="00D47D62">
        <w:rPr>
          <w:rFonts w:ascii="Arial" w:hAnsi="Arial" w:cs="Arial"/>
          <w:sz w:val="24"/>
          <w:szCs w:val="24"/>
          <w:lang w:val="en-GB"/>
        </w:rPr>
        <w:t>literally out of the blue,</w:t>
      </w:r>
      <w:r w:rsidR="006A00F1">
        <w:rPr>
          <w:rFonts w:ascii="Arial" w:hAnsi="Arial" w:cs="Arial"/>
          <w:sz w:val="24"/>
          <w:szCs w:val="24"/>
          <w:lang w:val="en-GB"/>
        </w:rPr>
        <w:t xml:space="preserve"> attached to their very late heads of argument, a draft order containing what appeared to be a half-hearted caving in</w:t>
      </w:r>
      <w:r w:rsidR="00D47D62">
        <w:rPr>
          <w:rFonts w:ascii="Arial" w:hAnsi="Arial" w:cs="Arial"/>
          <w:sz w:val="24"/>
          <w:szCs w:val="24"/>
          <w:lang w:val="en-GB"/>
        </w:rPr>
        <w:t>,</w:t>
      </w:r>
      <w:r w:rsidR="00413E45">
        <w:rPr>
          <w:rFonts w:ascii="Arial" w:hAnsi="Arial" w:cs="Arial"/>
          <w:sz w:val="24"/>
          <w:szCs w:val="24"/>
          <w:lang w:val="en-GB"/>
        </w:rPr>
        <w:t xml:space="preserve"> only to make a full </w:t>
      </w:r>
      <w:r w:rsidR="006A00F1">
        <w:rPr>
          <w:rFonts w:ascii="Arial" w:hAnsi="Arial" w:cs="Arial"/>
          <w:sz w:val="24"/>
          <w:szCs w:val="24"/>
          <w:lang w:val="en-GB"/>
        </w:rPr>
        <w:t xml:space="preserve">concession on the main relief during the hearing.  </w:t>
      </w:r>
      <w:r w:rsidR="00645E93">
        <w:rPr>
          <w:rFonts w:ascii="Arial" w:hAnsi="Arial" w:cs="Arial"/>
          <w:sz w:val="24"/>
          <w:szCs w:val="24"/>
          <w:lang w:val="en-GB"/>
        </w:rPr>
        <w:t>They had</w:t>
      </w:r>
      <w:r w:rsidR="00A71B18">
        <w:rPr>
          <w:rFonts w:ascii="Arial" w:hAnsi="Arial" w:cs="Arial"/>
          <w:sz w:val="24"/>
          <w:szCs w:val="24"/>
          <w:lang w:val="en-GB"/>
        </w:rPr>
        <w:t>,</w:t>
      </w:r>
      <w:r w:rsidR="00645E93">
        <w:rPr>
          <w:rFonts w:ascii="Arial" w:hAnsi="Arial" w:cs="Arial"/>
          <w:sz w:val="24"/>
          <w:szCs w:val="24"/>
          <w:lang w:val="en-GB"/>
        </w:rPr>
        <w:t xml:space="preserve"> throughout</w:t>
      </w:r>
      <w:r w:rsidR="00A71B18">
        <w:rPr>
          <w:rFonts w:ascii="Arial" w:hAnsi="Arial" w:cs="Arial"/>
          <w:sz w:val="24"/>
          <w:szCs w:val="24"/>
          <w:lang w:val="en-GB"/>
        </w:rPr>
        <w:t>,</w:t>
      </w:r>
      <w:r w:rsidR="00645E93">
        <w:rPr>
          <w:rFonts w:ascii="Arial" w:hAnsi="Arial" w:cs="Arial"/>
          <w:sz w:val="24"/>
          <w:szCs w:val="24"/>
          <w:lang w:val="en-GB"/>
        </w:rPr>
        <w:t xml:space="preserve"> been</w:t>
      </w:r>
      <w:r w:rsidR="005A3B93">
        <w:rPr>
          <w:rFonts w:ascii="Arial" w:hAnsi="Arial" w:cs="Arial"/>
          <w:sz w:val="24"/>
          <w:szCs w:val="24"/>
          <w:lang w:val="en-GB"/>
        </w:rPr>
        <w:t xml:space="preserve"> contending</w:t>
      </w:r>
      <w:r w:rsidR="00AB73CD">
        <w:rPr>
          <w:rFonts w:ascii="Arial" w:hAnsi="Arial" w:cs="Arial"/>
          <w:sz w:val="24"/>
          <w:szCs w:val="24"/>
          <w:lang w:val="en-GB"/>
        </w:rPr>
        <w:t xml:space="preserve"> vociferously</w:t>
      </w:r>
      <w:r w:rsidR="005A3B93">
        <w:rPr>
          <w:rFonts w:ascii="Arial" w:hAnsi="Arial" w:cs="Arial"/>
          <w:sz w:val="24"/>
          <w:szCs w:val="24"/>
          <w:lang w:val="en-GB"/>
        </w:rPr>
        <w:t xml:space="preserve"> that this </w:t>
      </w:r>
      <w:r w:rsidR="00012CD5">
        <w:rPr>
          <w:rFonts w:ascii="Arial" w:hAnsi="Arial" w:cs="Arial"/>
          <w:sz w:val="24"/>
          <w:szCs w:val="24"/>
          <w:lang w:val="en-GB"/>
        </w:rPr>
        <w:t>R</w:t>
      </w:r>
      <w:r w:rsidR="005A3B93">
        <w:rPr>
          <w:rFonts w:ascii="Arial" w:hAnsi="Arial" w:cs="Arial"/>
          <w:sz w:val="24"/>
          <w:szCs w:val="24"/>
          <w:lang w:val="en-GB"/>
        </w:rPr>
        <w:t xml:space="preserve">egulation prevented them from </w:t>
      </w:r>
      <w:r w:rsidR="006D544C">
        <w:rPr>
          <w:rFonts w:ascii="Arial" w:hAnsi="Arial" w:cs="Arial"/>
          <w:sz w:val="24"/>
          <w:szCs w:val="24"/>
          <w:lang w:val="en-GB"/>
        </w:rPr>
        <w:t>registering the second applicant</w:t>
      </w:r>
      <w:r w:rsidR="005A3B93">
        <w:rPr>
          <w:rFonts w:ascii="Arial" w:hAnsi="Arial" w:cs="Arial"/>
          <w:sz w:val="24"/>
          <w:szCs w:val="24"/>
          <w:lang w:val="en-GB"/>
        </w:rPr>
        <w:t xml:space="preserve"> a</w:t>
      </w:r>
      <w:r w:rsidR="006D544C">
        <w:rPr>
          <w:rFonts w:ascii="Arial" w:hAnsi="Arial" w:cs="Arial"/>
          <w:sz w:val="24"/>
          <w:szCs w:val="24"/>
          <w:lang w:val="en-GB"/>
        </w:rPr>
        <w:t>s the fath</w:t>
      </w:r>
      <w:r w:rsidR="007E595C">
        <w:rPr>
          <w:rFonts w:ascii="Arial" w:hAnsi="Arial" w:cs="Arial"/>
          <w:sz w:val="24"/>
          <w:szCs w:val="24"/>
          <w:lang w:val="en-GB"/>
        </w:rPr>
        <w:t>er of the minor child</w:t>
      </w:r>
      <w:r w:rsidR="00012CD5">
        <w:rPr>
          <w:rFonts w:ascii="Arial" w:hAnsi="Arial" w:cs="Arial"/>
          <w:sz w:val="24"/>
          <w:szCs w:val="24"/>
          <w:lang w:val="en-GB"/>
        </w:rPr>
        <w:t xml:space="preserve"> on the basis of his illegal status in the country</w:t>
      </w:r>
      <w:r w:rsidR="007E595C">
        <w:rPr>
          <w:rFonts w:ascii="Arial" w:hAnsi="Arial" w:cs="Arial"/>
          <w:sz w:val="24"/>
          <w:szCs w:val="24"/>
          <w:lang w:val="en-GB"/>
        </w:rPr>
        <w:t xml:space="preserve">. </w:t>
      </w:r>
    </w:p>
    <w:p w:rsidR="00D147C6" w:rsidRDefault="00A71B18" w:rsidP="00927E79">
      <w:pPr>
        <w:spacing w:line="480" w:lineRule="auto"/>
        <w:jc w:val="both"/>
        <w:rPr>
          <w:rFonts w:ascii="Arial" w:hAnsi="Arial" w:cs="Arial"/>
          <w:sz w:val="24"/>
          <w:szCs w:val="24"/>
          <w:lang w:val="en-GB"/>
        </w:rPr>
      </w:pPr>
      <w:r>
        <w:rPr>
          <w:rFonts w:ascii="Arial" w:hAnsi="Arial" w:cs="Arial"/>
          <w:sz w:val="24"/>
          <w:szCs w:val="24"/>
          <w:lang w:val="en-GB"/>
        </w:rPr>
        <w:t xml:space="preserve">[10] </w:t>
      </w:r>
      <w:r w:rsidR="005A3B93">
        <w:rPr>
          <w:rFonts w:ascii="Arial" w:hAnsi="Arial" w:cs="Arial"/>
          <w:sz w:val="24"/>
          <w:szCs w:val="24"/>
          <w:lang w:val="en-GB"/>
        </w:rPr>
        <w:t>One would have thought that</w:t>
      </w:r>
      <w:r w:rsidR="00AB73CD">
        <w:rPr>
          <w:rFonts w:ascii="Arial" w:hAnsi="Arial" w:cs="Arial"/>
          <w:sz w:val="24"/>
          <w:szCs w:val="24"/>
          <w:lang w:val="en-GB"/>
        </w:rPr>
        <w:t xml:space="preserve"> </w:t>
      </w:r>
      <w:r w:rsidR="00EB1D80">
        <w:rPr>
          <w:rFonts w:ascii="Arial" w:hAnsi="Arial" w:cs="Arial"/>
          <w:sz w:val="24"/>
          <w:szCs w:val="24"/>
          <w:lang w:val="en-GB"/>
        </w:rPr>
        <w:t>this sudden</w:t>
      </w:r>
      <w:r w:rsidR="005A3B93">
        <w:rPr>
          <w:rFonts w:ascii="Arial" w:hAnsi="Arial" w:cs="Arial"/>
          <w:sz w:val="24"/>
          <w:szCs w:val="24"/>
          <w:lang w:val="en-GB"/>
        </w:rPr>
        <w:t xml:space="preserve"> change of </w:t>
      </w:r>
      <w:r w:rsidR="001C728B">
        <w:rPr>
          <w:rFonts w:ascii="Arial" w:hAnsi="Arial" w:cs="Arial"/>
          <w:sz w:val="24"/>
          <w:szCs w:val="24"/>
          <w:lang w:val="en-GB"/>
        </w:rPr>
        <w:t>tack</w:t>
      </w:r>
      <w:r w:rsidR="005A3B93">
        <w:rPr>
          <w:rFonts w:ascii="Arial" w:hAnsi="Arial" w:cs="Arial"/>
          <w:sz w:val="24"/>
          <w:szCs w:val="24"/>
          <w:lang w:val="en-GB"/>
        </w:rPr>
        <w:t xml:space="preserve"> </w:t>
      </w:r>
      <w:r w:rsidR="00A146EB">
        <w:rPr>
          <w:rFonts w:ascii="Arial" w:hAnsi="Arial" w:cs="Arial"/>
          <w:sz w:val="24"/>
          <w:szCs w:val="24"/>
          <w:lang w:val="en-GB"/>
        </w:rPr>
        <w:t xml:space="preserve">and their preparedness to now enter the child’s father’s details </w:t>
      </w:r>
      <w:r w:rsidR="005A3B93">
        <w:rPr>
          <w:rFonts w:ascii="Arial" w:hAnsi="Arial" w:cs="Arial"/>
          <w:sz w:val="24"/>
          <w:szCs w:val="24"/>
          <w:lang w:val="en-GB"/>
        </w:rPr>
        <w:t>called for an explanation</w:t>
      </w:r>
      <w:r w:rsidR="001C728B">
        <w:rPr>
          <w:rFonts w:ascii="Arial" w:hAnsi="Arial" w:cs="Arial"/>
          <w:sz w:val="24"/>
          <w:szCs w:val="24"/>
          <w:lang w:val="en-GB"/>
        </w:rPr>
        <w:t>.  This is</w:t>
      </w:r>
      <w:r w:rsidR="007E595C">
        <w:rPr>
          <w:rFonts w:ascii="Arial" w:hAnsi="Arial" w:cs="Arial"/>
          <w:sz w:val="24"/>
          <w:szCs w:val="24"/>
          <w:lang w:val="en-GB"/>
        </w:rPr>
        <w:t xml:space="preserve"> especially </w:t>
      </w:r>
      <w:r w:rsidR="001C728B">
        <w:rPr>
          <w:rFonts w:ascii="Arial" w:hAnsi="Arial" w:cs="Arial"/>
          <w:sz w:val="24"/>
          <w:szCs w:val="24"/>
          <w:lang w:val="en-GB"/>
        </w:rPr>
        <w:t xml:space="preserve">the case </w:t>
      </w:r>
      <w:r w:rsidR="007E595C">
        <w:rPr>
          <w:rFonts w:ascii="Arial" w:hAnsi="Arial" w:cs="Arial"/>
          <w:sz w:val="24"/>
          <w:szCs w:val="24"/>
          <w:lang w:val="en-GB"/>
        </w:rPr>
        <w:t>because it goes against everything the</w:t>
      </w:r>
      <w:r w:rsidR="000B1333">
        <w:rPr>
          <w:rFonts w:ascii="Arial" w:hAnsi="Arial" w:cs="Arial"/>
          <w:sz w:val="24"/>
          <w:szCs w:val="24"/>
          <w:lang w:val="en-GB"/>
        </w:rPr>
        <w:t xml:space="preserve"> respondent</w:t>
      </w:r>
      <w:r>
        <w:rPr>
          <w:rFonts w:ascii="Arial" w:hAnsi="Arial" w:cs="Arial"/>
          <w:sz w:val="24"/>
          <w:szCs w:val="24"/>
          <w:lang w:val="en-GB"/>
        </w:rPr>
        <w:t>s</w:t>
      </w:r>
      <w:r w:rsidR="000B1333">
        <w:rPr>
          <w:rFonts w:ascii="Arial" w:hAnsi="Arial" w:cs="Arial"/>
          <w:sz w:val="24"/>
          <w:szCs w:val="24"/>
          <w:lang w:val="en-GB"/>
        </w:rPr>
        <w:t>,</w:t>
      </w:r>
      <w:r w:rsidR="007E595C">
        <w:rPr>
          <w:rFonts w:ascii="Arial" w:hAnsi="Arial" w:cs="Arial"/>
          <w:sz w:val="24"/>
          <w:szCs w:val="24"/>
          <w:lang w:val="en-GB"/>
        </w:rPr>
        <w:t xml:space="preserve"> under oath in their answering affidavit</w:t>
      </w:r>
      <w:r w:rsidR="00413E45">
        <w:rPr>
          <w:rFonts w:ascii="Arial" w:hAnsi="Arial" w:cs="Arial"/>
          <w:sz w:val="24"/>
          <w:szCs w:val="24"/>
          <w:lang w:val="en-GB"/>
        </w:rPr>
        <w:t>,</w:t>
      </w:r>
      <w:r w:rsidR="00D47D62">
        <w:rPr>
          <w:rFonts w:ascii="Arial" w:hAnsi="Arial" w:cs="Arial"/>
          <w:sz w:val="24"/>
          <w:szCs w:val="24"/>
          <w:lang w:val="en-GB"/>
        </w:rPr>
        <w:t xml:space="preserve"> said to this Court</w:t>
      </w:r>
      <w:r>
        <w:rPr>
          <w:rFonts w:ascii="Arial" w:hAnsi="Arial" w:cs="Arial"/>
          <w:sz w:val="24"/>
          <w:szCs w:val="24"/>
          <w:lang w:val="en-GB"/>
        </w:rPr>
        <w:t xml:space="preserve">. </w:t>
      </w:r>
      <w:r w:rsidR="005A3B93">
        <w:rPr>
          <w:rFonts w:ascii="Arial" w:hAnsi="Arial" w:cs="Arial"/>
          <w:sz w:val="24"/>
          <w:szCs w:val="24"/>
          <w:lang w:val="en-GB"/>
        </w:rPr>
        <w:t>With that explanation not having been given</w:t>
      </w:r>
      <w:r>
        <w:rPr>
          <w:rFonts w:ascii="Arial" w:hAnsi="Arial" w:cs="Arial"/>
          <w:sz w:val="24"/>
          <w:szCs w:val="24"/>
          <w:lang w:val="en-GB"/>
        </w:rPr>
        <w:t>,</w:t>
      </w:r>
      <w:r w:rsidR="005A3B93">
        <w:rPr>
          <w:rFonts w:ascii="Arial" w:hAnsi="Arial" w:cs="Arial"/>
          <w:sz w:val="24"/>
          <w:szCs w:val="24"/>
          <w:lang w:val="en-GB"/>
        </w:rPr>
        <w:t xml:space="preserve"> it </w:t>
      </w:r>
      <w:r w:rsidR="005A3B93">
        <w:rPr>
          <w:rFonts w:ascii="Arial" w:hAnsi="Arial" w:cs="Arial"/>
          <w:sz w:val="24"/>
          <w:szCs w:val="24"/>
          <w:lang w:val="en-GB"/>
        </w:rPr>
        <w:lastRenderedPageBreak/>
        <w:t xml:space="preserve">is impossible </w:t>
      </w:r>
      <w:r w:rsidR="000B1333">
        <w:rPr>
          <w:rFonts w:ascii="Arial" w:hAnsi="Arial" w:cs="Arial"/>
          <w:sz w:val="24"/>
          <w:szCs w:val="24"/>
          <w:lang w:val="en-GB"/>
        </w:rPr>
        <w:t xml:space="preserve">to appreciate what informed </w:t>
      </w:r>
      <w:r>
        <w:rPr>
          <w:rFonts w:ascii="Arial" w:hAnsi="Arial" w:cs="Arial"/>
          <w:sz w:val="24"/>
          <w:szCs w:val="24"/>
          <w:lang w:val="en-GB"/>
        </w:rPr>
        <w:t>this sudden change</w:t>
      </w:r>
      <w:r w:rsidR="000B1333">
        <w:rPr>
          <w:rFonts w:ascii="Arial" w:hAnsi="Arial" w:cs="Arial"/>
          <w:sz w:val="24"/>
          <w:szCs w:val="24"/>
          <w:lang w:val="en-GB"/>
        </w:rPr>
        <w:t xml:space="preserve"> and it makes it </w:t>
      </w:r>
      <w:r w:rsidR="00D47D62">
        <w:rPr>
          <w:rFonts w:ascii="Arial" w:hAnsi="Arial" w:cs="Arial"/>
          <w:sz w:val="24"/>
          <w:szCs w:val="24"/>
          <w:lang w:val="en-GB"/>
        </w:rPr>
        <w:t xml:space="preserve">even </w:t>
      </w:r>
      <w:r w:rsidR="000B1333">
        <w:rPr>
          <w:rFonts w:ascii="Arial" w:hAnsi="Arial" w:cs="Arial"/>
          <w:sz w:val="24"/>
          <w:szCs w:val="24"/>
          <w:lang w:val="en-GB"/>
        </w:rPr>
        <w:t xml:space="preserve">difficult </w:t>
      </w:r>
      <w:r w:rsidR="005A3B93">
        <w:rPr>
          <w:rFonts w:ascii="Arial" w:hAnsi="Arial" w:cs="Arial"/>
          <w:sz w:val="24"/>
          <w:szCs w:val="24"/>
          <w:lang w:val="en-GB"/>
        </w:rPr>
        <w:t xml:space="preserve">to </w:t>
      </w:r>
      <w:r w:rsidR="00A146EB">
        <w:rPr>
          <w:rFonts w:ascii="Arial" w:hAnsi="Arial" w:cs="Arial"/>
          <w:sz w:val="24"/>
          <w:szCs w:val="24"/>
          <w:lang w:val="en-GB"/>
        </w:rPr>
        <w:t>resist</w:t>
      </w:r>
      <w:r w:rsidR="00EB1D80">
        <w:rPr>
          <w:rFonts w:ascii="Arial" w:hAnsi="Arial" w:cs="Arial"/>
          <w:sz w:val="24"/>
          <w:szCs w:val="24"/>
          <w:lang w:val="en-GB"/>
        </w:rPr>
        <w:t xml:space="preserve"> the</w:t>
      </w:r>
      <w:r w:rsidR="00D147C6">
        <w:rPr>
          <w:rFonts w:ascii="Arial" w:hAnsi="Arial" w:cs="Arial"/>
          <w:sz w:val="24"/>
          <w:szCs w:val="24"/>
          <w:lang w:val="en-GB"/>
        </w:rPr>
        <w:t xml:space="preserve"> </w:t>
      </w:r>
      <w:r w:rsidR="00D47D62">
        <w:rPr>
          <w:rFonts w:ascii="Arial" w:hAnsi="Arial" w:cs="Arial"/>
          <w:sz w:val="24"/>
          <w:szCs w:val="24"/>
          <w:lang w:val="en-GB"/>
        </w:rPr>
        <w:t>temptation to conclude</w:t>
      </w:r>
      <w:r w:rsidR="00D147C6">
        <w:rPr>
          <w:rFonts w:ascii="Arial" w:hAnsi="Arial" w:cs="Arial"/>
          <w:sz w:val="24"/>
          <w:szCs w:val="24"/>
          <w:lang w:val="en-GB"/>
        </w:rPr>
        <w:t xml:space="preserve"> that the </w:t>
      </w:r>
      <w:r w:rsidR="00EB1D80">
        <w:rPr>
          <w:rFonts w:ascii="Arial" w:hAnsi="Arial" w:cs="Arial"/>
          <w:sz w:val="24"/>
          <w:szCs w:val="24"/>
          <w:lang w:val="en-GB"/>
        </w:rPr>
        <w:t xml:space="preserve">sudden </w:t>
      </w:r>
      <w:r w:rsidR="00D147C6">
        <w:rPr>
          <w:rFonts w:ascii="Arial" w:hAnsi="Arial" w:cs="Arial"/>
          <w:sz w:val="24"/>
          <w:szCs w:val="24"/>
          <w:lang w:val="en-GB"/>
        </w:rPr>
        <w:t>change of mind was in bad faith, designed to</w:t>
      </w:r>
      <w:r w:rsidR="007E595C">
        <w:rPr>
          <w:rFonts w:ascii="Arial" w:hAnsi="Arial" w:cs="Arial"/>
          <w:sz w:val="24"/>
          <w:szCs w:val="24"/>
          <w:lang w:val="en-GB"/>
        </w:rPr>
        <w:t xml:space="preserve"> </w:t>
      </w:r>
      <w:r w:rsidR="000B1333">
        <w:rPr>
          <w:rFonts w:ascii="Arial" w:hAnsi="Arial" w:cs="Arial"/>
          <w:sz w:val="24"/>
          <w:szCs w:val="24"/>
          <w:lang w:val="en-GB"/>
        </w:rPr>
        <w:t>cripple</w:t>
      </w:r>
      <w:r w:rsidR="007E595C">
        <w:rPr>
          <w:rFonts w:ascii="Arial" w:hAnsi="Arial" w:cs="Arial"/>
          <w:sz w:val="24"/>
          <w:szCs w:val="24"/>
          <w:lang w:val="en-GB"/>
        </w:rPr>
        <w:t xml:space="preserve"> and disable the court from enquiring</w:t>
      </w:r>
      <w:r w:rsidR="00D147C6">
        <w:rPr>
          <w:rFonts w:ascii="Arial" w:hAnsi="Arial" w:cs="Arial"/>
          <w:sz w:val="24"/>
          <w:szCs w:val="24"/>
          <w:lang w:val="en-GB"/>
        </w:rPr>
        <w:t xml:space="preserve"> into the constitutionality of the </w:t>
      </w:r>
      <w:r w:rsidR="00012CD5">
        <w:rPr>
          <w:rFonts w:ascii="Arial" w:hAnsi="Arial" w:cs="Arial"/>
          <w:sz w:val="24"/>
          <w:szCs w:val="24"/>
          <w:lang w:val="en-GB"/>
        </w:rPr>
        <w:t>R</w:t>
      </w:r>
      <w:r w:rsidR="00D147C6">
        <w:rPr>
          <w:rFonts w:ascii="Arial" w:hAnsi="Arial" w:cs="Arial"/>
          <w:sz w:val="24"/>
          <w:szCs w:val="24"/>
          <w:lang w:val="en-GB"/>
        </w:rPr>
        <w:t>egulation</w:t>
      </w:r>
      <w:r w:rsidR="000B1333">
        <w:rPr>
          <w:rFonts w:ascii="Arial" w:hAnsi="Arial" w:cs="Arial"/>
          <w:sz w:val="24"/>
          <w:szCs w:val="24"/>
          <w:lang w:val="en-GB"/>
        </w:rPr>
        <w:t>.  This</w:t>
      </w:r>
      <w:r>
        <w:rPr>
          <w:rFonts w:ascii="Arial" w:hAnsi="Arial" w:cs="Arial"/>
          <w:sz w:val="24"/>
          <w:szCs w:val="24"/>
          <w:lang w:val="en-GB"/>
        </w:rPr>
        <w:t>,</w:t>
      </w:r>
      <w:r w:rsidR="000B1333">
        <w:rPr>
          <w:rFonts w:ascii="Arial" w:hAnsi="Arial" w:cs="Arial"/>
          <w:sz w:val="24"/>
          <w:szCs w:val="24"/>
          <w:lang w:val="en-GB"/>
        </w:rPr>
        <w:t xml:space="preserve"> in circumstances in which</w:t>
      </w:r>
      <w:r w:rsidR="00AC36FF">
        <w:rPr>
          <w:rFonts w:ascii="Arial" w:hAnsi="Arial" w:cs="Arial"/>
          <w:sz w:val="24"/>
          <w:szCs w:val="24"/>
          <w:lang w:val="en-GB"/>
        </w:rPr>
        <w:t xml:space="preserve"> </w:t>
      </w:r>
      <w:r w:rsidR="00D47D62">
        <w:rPr>
          <w:rFonts w:ascii="Arial" w:hAnsi="Arial" w:cs="Arial"/>
          <w:sz w:val="24"/>
          <w:szCs w:val="24"/>
          <w:lang w:val="en-GB"/>
        </w:rPr>
        <w:t>as the</w:t>
      </w:r>
      <w:r w:rsidR="00AC36FF">
        <w:rPr>
          <w:rFonts w:ascii="Arial" w:hAnsi="Arial" w:cs="Arial"/>
          <w:sz w:val="24"/>
          <w:szCs w:val="24"/>
          <w:lang w:val="en-GB"/>
        </w:rPr>
        <w:t xml:space="preserve"> applicants </w:t>
      </w:r>
      <w:r w:rsidR="00CD594A">
        <w:rPr>
          <w:rFonts w:ascii="Arial" w:hAnsi="Arial" w:cs="Arial"/>
          <w:sz w:val="24"/>
          <w:szCs w:val="24"/>
          <w:lang w:val="en-GB"/>
        </w:rPr>
        <w:t>submitted,</w:t>
      </w:r>
      <w:r w:rsidR="00AC36FF">
        <w:rPr>
          <w:rFonts w:ascii="Arial" w:hAnsi="Arial" w:cs="Arial"/>
          <w:sz w:val="24"/>
          <w:szCs w:val="24"/>
          <w:lang w:val="en-GB"/>
        </w:rPr>
        <w:t xml:space="preserve"> </w:t>
      </w:r>
      <w:r>
        <w:rPr>
          <w:rFonts w:ascii="Arial" w:hAnsi="Arial" w:cs="Arial"/>
          <w:sz w:val="24"/>
          <w:szCs w:val="24"/>
          <w:lang w:val="en-GB"/>
        </w:rPr>
        <w:t>the insistence on compl</w:t>
      </w:r>
      <w:r w:rsidR="00D47D62">
        <w:rPr>
          <w:rFonts w:ascii="Arial" w:hAnsi="Arial" w:cs="Arial"/>
          <w:sz w:val="24"/>
          <w:szCs w:val="24"/>
          <w:lang w:val="en-GB"/>
        </w:rPr>
        <w:t>iance</w:t>
      </w:r>
      <w:r>
        <w:rPr>
          <w:rFonts w:ascii="Arial" w:hAnsi="Arial" w:cs="Arial"/>
          <w:sz w:val="24"/>
          <w:szCs w:val="24"/>
          <w:lang w:val="en-GB"/>
        </w:rPr>
        <w:t xml:space="preserve"> with the Regulation </w:t>
      </w:r>
      <w:r w:rsidR="00AC36FF">
        <w:rPr>
          <w:rFonts w:ascii="Arial" w:hAnsi="Arial" w:cs="Arial"/>
          <w:sz w:val="24"/>
          <w:szCs w:val="24"/>
          <w:lang w:val="en-GB"/>
        </w:rPr>
        <w:t>caused considerable distress to them and which</w:t>
      </w:r>
      <w:r w:rsidR="00D47D62">
        <w:rPr>
          <w:rFonts w:ascii="Arial" w:hAnsi="Arial" w:cs="Arial"/>
          <w:sz w:val="24"/>
          <w:szCs w:val="24"/>
          <w:lang w:val="en-GB"/>
        </w:rPr>
        <w:t>,</w:t>
      </w:r>
      <w:r w:rsidR="00AC36FF">
        <w:rPr>
          <w:rFonts w:ascii="Arial" w:hAnsi="Arial" w:cs="Arial"/>
          <w:sz w:val="24"/>
          <w:szCs w:val="24"/>
          <w:lang w:val="en-GB"/>
        </w:rPr>
        <w:t xml:space="preserve"> it was argued, continue</w:t>
      </w:r>
      <w:r w:rsidR="00EB1D80">
        <w:rPr>
          <w:rFonts w:ascii="Arial" w:hAnsi="Arial" w:cs="Arial"/>
          <w:sz w:val="24"/>
          <w:szCs w:val="24"/>
          <w:lang w:val="en-GB"/>
        </w:rPr>
        <w:t>s to</w:t>
      </w:r>
      <w:r w:rsidR="00AC36FF">
        <w:rPr>
          <w:rFonts w:ascii="Arial" w:hAnsi="Arial" w:cs="Arial"/>
          <w:sz w:val="24"/>
          <w:szCs w:val="24"/>
          <w:lang w:val="en-GB"/>
        </w:rPr>
        <w:t xml:space="preserve"> </w:t>
      </w:r>
      <w:r w:rsidR="007E595C">
        <w:rPr>
          <w:rFonts w:ascii="Arial" w:hAnsi="Arial" w:cs="Arial"/>
          <w:sz w:val="24"/>
          <w:szCs w:val="24"/>
          <w:lang w:val="en-GB"/>
        </w:rPr>
        <w:t>bedevil</w:t>
      </w:r>
      <w:r w:rsidR="00AC36FF">
        <w:rPr>
          <w:rFonts w:ascii="Arial" w:hAnsi="Arial" w:cs="Arial"/>
          <w:sz w:val="24"/>
          <w:szCs w:val="24"/>
          <w:lang w:val="en-GB"/>
        </w:rPr>
        <w:t xml:space="preserve"> those </w:t>
      </w:r>
      <w:r w:rsidR="00A146EB">
        <w:rPr>
          <w:rFonts w:ascii="Arial" w:hAnsi="Arial" w:cs="Arial"/>
          <w:sz w:val="24"/>
          <w:szCs w:val="24"/>
          <w:lang w:val="en-GB"/>
        </w:rPr>
        <w:t>children born in</w:t>
      </w:r>
      <w:r w:rsidR="00AC36FF">
        <w:rPr>
          <w:rFonts w:ascii="Arial" w:hAnsi="Arial" w:cs="Arial"/>
          <w:sz w:val="24"/>
          <w:szCs w:val="24"/>
          <w:lang w:val="en-GB"/>
        </w:rPr>
        <w:t xml:space="preserve"> similar circumstances as the </w:t>
      </w:r>
      <w:r w:rsidR="00A146EB">
        <w:rPr>
          <w:rFonts w:ascii="Arial" w:hAnsi="Arial" w:cs="Arial"/>
          <w:sz w:val="24"/>
          <w:szCs w:val="24"/>
          <w:lang w:val="en-GB"/>
        </w:rPr>
        <w:t>child in this matter</w:t>
      </w:r>
      <w:r w:rsidR="00D147C6">
        <w:rPr>
          <w:rFonts w:ascii="Arial" w:hAnsi="Arial" w:cs="Arial"/>
          <w:sz w:val="24"/>
          <w:szCs w:val="24"/>
          <w:lang w:val="en-GB"/>
        </w:rPr>
        <w:t>.</w:t>
      </w:r>
    </w:p>
    <w:p w:rsidR="007E595C" w:rsidRDefault="00D2471F" w:rsidP="00927E79">
      <w:pPr>
        <w:spacing w:line="480" w:lineRule="auto"/>
        <w:jc w:val="both"/>
        <w:rPr>
          <w:rFonts w:ascii="Arial" w:hAnsi="Arial" w:cs="Arial"/>
          <w:sz w:val="24"/>
          <w:szCs w:val="24"/>
          <w:lang w:val="en-GB"/>
        </w:rPr>
      </w:pPr>
      <w:r>
        <w:rPr>
          <w:rFonts w:ascii="Arial" w:hAnsi="Arial" w:cs="Arial"/>
          <w:sz w:val="24"/>
          <w:szCs w:val="24"/>
          <w:lang w:val="en-GB"/>
        </w:rPr>
        <w:t>[1</w:t>
      </w:r>
      <w:r w:rsidR="00C45732">
        <w:rPr>
          <w:rFonts w:ascii="Arial" w:hAnsi="Arial" w:cs="Arial"/>
          <w:sz w:val="24"/>
          <w:szCs w:val="24"/>
          <w:lang w:val="en-GB"/>
        </w:rPr>
        <w:t>1</w:t>
      </w:r>
      <w:r w:rsidR="007E595C">
        <w:rPr>
          <w:rFonts w:ascii="Arial" w:hAnsi="Arial" w:cs="Arial"/>
          <w:sz w:val="24"/>
          <w:szCs w:val="24"/>
          <w:lang w:val="en-GB"/>
        </w:rPr>
        <w:t xml:space="preserve">] </w:t>
      </w:r>
      <w:r w:rsidR="00F3777E">
        <w:rPr>
          <w:rFonts w:ascii="Arial" w:hAnsi="Arial" w:cs="Arial"/>
          <w:sz w:val="24"/>
          <w:szCs w:val="24"/>
          <w:lang w:val="en-GB"/>
        </w:rPr>
        <w:t xml:space="preserve">The respondents </w:t>
      </w:r>
      <w:r w:rsidR="006E026F">
        <w:rPr>
          <w:rFonts w:ascii="Arial" w:hAnsi="Arial" w:cs="Arial"/>
          <w:sz w:val="24"/>
          <w:szCs w:val="24"/>
          <w:lang w:val="en-GB"/>
        </w:rPr>
        <w:t>cannot</w:t>
      </w:r>
      <w:r w:rsidR="00F3777E">
        <w:rPr>
          <w:rFonts w:ascii="Arial" w:hAnsi="Arial" w:cs="Arial"/>
          <w:sz w:val="24"/>
          <w:szCs w:val="24"/>
          <w:lang w:val="en-GB"/>
        </w:rPr>
        <w:t xml:space="preserve"> plead ignorance about which Regulation or </w:t>
      </w:r>
      <w:proofErr w:type="spellStart"/>
      <w:r w:rsidR="00F3777E">
        <w:rPr>
          <w:rFonts w:ascii="Arial" w:hAnsi="Arial" w:cs="Arial"/>
          <w:sz w:val="24"/>
          <w:szCs w:val="24"/>
          <w:lang w:val="en-GB"/>
        </w:rPr>
        <w:t>subregulation</w:t>
      </w:r>
      <w:proofErr w:type="spellEnd"/>
      <w:r w:rsidR="00F3777E">
        <w:rPr>
          <w:rFonts w:ascii="Arial" w:hAnsi="Arial" w:cs="Arial"/>
          <w:sz w:val="24"/>
          <w:szCs w:val="24"/>
          <w:lang w:val="en-GB"/>
        </w:rPr>
        <w:t xml:space="preserve"> is applicable</w:t>
      </w:r>
      <w:r w:rsidR="00D47D62">
        <w:rPr>
          <w:rFonts w:ascii="Arial" w:hAnsi="Arial" w:cs="Arial"/>
          <w:sz w:val="24"/>
          <w:szCs w:val="24"/>
          <w:lang w:val="en-GB"/>
        </w:rPr>
        <w:t xml:space="preserve"> and</w:t>
      </w:r>
      <w:r w:rsidR="00F3777E">
        <w:rPr>
          <w:rFonts w:ascii="Arial" w:hAnsi="Arial" w:cs="Arial"/>
          <w:sz w:val="24"/>
          <w:szCs w:val="24"/>
          <w:lang w:val="en-GB"/>
        </w:rPr>
        <w:t xml:space="preserve"> in which circumstances.   The Regulations are theirs and theirs alone and </w:t>
      </w:r>
      <w:r w:rsidR="00A146EB">
        <w:rPr>
          <w:rFonts w:ascii="Arial" w:hAnsi="Arial" w:cs="Arial"/>
          <w:sz w:val="24"/>
          <w:szCs w:val="24"/>
          <w:lang w:val="en-GB"/>
        </w:rPr>
        <w:t>the first respondent</w:t>
      </w:r>
      <w:r w:rsidR="006E026F">
        <w:rPr>
          <w:rFonts w:ascii="Arial" w:hAnsi="Arial" w:cs="Arial"/>
          <w:sz w:val="24"/>
          <w:szCs w:val="24"/>
          <w:lang w:val="en-GB"/>
        </w:rPr>
        <w:t>’s predecessor</w:t>
      </w:r>
      <w:r w:rsidR="00A146EB">
        <w:rPr>
          <w:rFonts w:ascii="Arial" w:hAnsi="Arial" w:cs="Arial"/>
          <w:sz w:val="24"/>
          <w:szCs w:val="24"/>
          <w:lang w:val="en-GB"/>
        </w:rPr>
        <w:t xml:space="preserve"> </w:t>
      </w:r>
      <w:r w:rsidR="00F3777E">
        <w:rPr>
          <w:rFonts w:ascii="Arial" w:hAnsi="Arial" w:cs="Arial"/>
          <w:sz w:val="24"/>
          <w:szCs w:val="24"/>
          <w:lang w:val="en-GB"/>
        </w:rPr>
        <w:t xml:space="preserve">must be presumed to </w:t>
      </w:r>
      <w:r w:rsidR="00B2763E">
        <w:rPr>
          <w:rFonts w:ascii="Arial" w:hAnsi="Arial" w:cs="Arial"/>
          <w:sz w:val="24"/>
          <w:szCs w:val="24"/>
          <w:lang w:val="en-GB"/>
        </w:rPr>
        <w:t xml:space="preserve">have </w:t>
      </w:r>
      <w:r w:rsidR="00F3777E">
        <w:rPr>
          <w:rFonts w:ascii="Arial" w:hAnsi="Arial" w:cs="Arial"/>
          <w:sz w:val="24"/>
          <w:szCs w:val="24"/>
          <w:lang w:val="en-GB"/>
        </w:rPr>
        <w:t>know</w:t>
      </w:r>
      <w:r w:rsidR="00B2763E">
        <w:rPr>
          <w:rFonts w:ascii="Arial" w:hAnsi="Arial" w:cs="Arial"/>
          <w:sz w:val="24"/>
          <w:szCs w:val="24"/>
          <w:lang w:val="en-GB"/>
        </w:rPr>
        <w:t>n</w:t>
      </w:r>
      <w:r w:rsidR="00F3777E">
        <w:rPr>
          <w:rFonts w:ascii="Arial" w:hAnsi="Arial" w:cs="Arial"/>
          <w:sz w:val="24"/>
          <w:szCs w:val="24"/>
          <w:lang w:val="en-GB"/>
        </w:rPr>
        <w:t xml:space="preserve"> what </w:t>
      </w:r>
      <w:r w:rsidR="00A146EB">
        <w:rPr>
          <w:rFonts w:ascii="Arial" w:hAnsi="Arial" w:cs="Arial"/>
          <w:sz w:val="24"/>
          <w:szCs w:val="24"/>
          <w:lang w:val="en-GB"/>
        </w:rPr>
        <w:t>he intended when he</w:t>
      </w:r>
      <w:r w:rsidR="00F3777E">
        <w:rPr>
          <w:rFonts w:ascii="Arial" w:hAnsi="Arial" w:cs="Arial"/>
          <w:sz w:val="24"/>
          <w:szCs w:val="24"/>
          <w:lang w:val="en-GB"/>
        </w:rPr>
        <w:t xml:space="preserve"> issued them</w:t>
      </w:r>
      <w:r w:rsidR="006E026F">
        <w:rPr>
          <w:rFonts w:ascii="Arial" w:hAnsi="Arial" w:cs="Arial"/>
          <w:sz w:val="24"/>
          <w:szCs w:val="24"/>
          <w:lang w:val="en-GB"/>
        </w:rPr>
        <w:t xml:space="preserve"> and the first respondent, likewise when he enforce</w:t>
      </w:r>
      <w:r w:rsidR="00B2763E">
        <w:rPr>
          <w:rFonts w:ascii="Arial" w:hAnsi="Arial" w:cs="Arial"/>
          <w:sz w:val="24"/>
          <w:szCs w:val="24"/>
          <w:lang w:val="en-GB"/>
        </w:rPr>
        <w:t>s</w:t>
      </w:r>
      <w:r w:rsidR="006E026F">
        <w:rPr>
          <w:rFonts w:ascii="Arial" w:hAnsi="Arial" w:cs="Arial"/>
          <w:sz w:val="24"/>
          <w:szCs w:val="24"/>
          <w:lang w:val="en-GB"/>
        </w:rPr>
        <w:t xml:space="preserve"> them</w:t>
      </w:r>
      <w:r w:rsidR="00F3777E">
        <w:rPr>
          <w:rFonts w:ascii="Arial" w:hAnsi="Arial" w:cs="Arial"/>
          <w:sz w:val="24"/>
          <w:szCs w:val="24"/>
          <w:lang w:val="en-GB"/>
        </w:rPr>
        <w:t xml:space="preserve">.  </w:t>
      </w:r>
      <w:r w:rsidR="007E595C">
        <w:rPr>
          <w:rFonts w:ascii="Arial" w:hAnsi="Arial" w:cs="Arial"/>
          <w:sz w:val="24"/>
          <w:szCs w:val="24"/>
          <w:lang w:val="en-GB"/>
        </w:rPr>
        <w:t xml:space="preserve">I find the sentiments expressed by Cameron J in </w:t>
      </w:r>
      <w:r w:rsidR="007E595C" w:rsidRPr="009720D4">
        <w:rPr>
          <w:rFonts w:ascii="Arial" w:hAnsi="Arial" w:cs="Arial"/>
          <w:i/>
          <w:sz w:val="24"/>
          <w:szCs w:val="24"/>
          <w:lang w:val="en-GB"/>
        </w:rPr>
        <w:t>Kirkland</w:t>
      </w:r>
      <w:r w:rsidR="007E595C">
        <w:rPr>
          <w:rStyle w:val="FootnoteReference"/>
          <w:rFonts w:ascii="Arial" w:hAnsi="Arial" w:cs="Arial"/>
          <w:sz w:val="24"/>
          <w:szCs w:val="24"/>
          <w:lang w:val="en-GB"/>
        </w:rPr>
        <w:footnoteReference w:id="4"/>
      </w:r>
      <w:r w:rsidR="00EE02B0">
        <w:rPr>
          <w:rFonts w:ascii="Arial" w:hAnsi="Arial" w:cs="Arial"/>
          <w:sz w:val="24"/>
          <w:szCs w:val="24"/>
          <w:lang w:val="en-GB"/>
        </w:rPr>
        <w:t xml:space="preserve"> </w:t>
      </w:r>
      <w:r w:rsidR="00D47D62">
        <w:rPr>
          <w:rFonts w:ascii="Arial" w:hAnsi="Arial" w:cs="Arial"/>
          <w:sz w:val="24"/>
          <w:szCs w:val="24"/>
          <w:lang w:val="en-GB"/>
        </w:rPr>
        <w:t xml:space="preserve">in the context of a PAJA review </w:t>
      </w:r>
      <w:r w:rsidR="00EE02B0">
        <w:rPr>
          <w:rFonts w:ascii="Arial" w:hAnsi="Arial" w:cs="Arial"/>
          <w:sz w:val="24"/>
          <w:szCs w:val="24"/>
          <w:lang w:val="en-GB"/>
        </w:rPr>
        <w:t>apposite. He expressed himself as follows:</w:t>
      </w:r>
    </w:p>
    <w:p w:rsidR="00EE02B0" w:rsidRPr="009720D4" w:rsidRDefault="00EE02B0" w:rsidP="009720D4">
      <w:pPr>
        <w:spacing w:line="360" w:lineRule="auto"/>
        <w:ind w:left="720"/>
        <w:jc w:val="both"/>
        <w:rPr>
          <w:rFonts w:ascii="Arial" w:hAnsi="Arial" w:cs="Arial"/>
          <w:lang w:val="en-GB"/>
        </w:rPr>
      </w:pPr>
      <w:r w:rsidRPr="009720D4">
        <w:rPr>
          <w:rFonts w:ascii="Arial" w:hAnsi="Arial" w:cs="Arial"/>
          <w:lang w:val="en-GB"/>
        </w:rPr>
        <w:t xml:space="preserve">“…PAJA requires that the government respondents should have applied to set aside the approval, by way of formal counter-application. They must do the same even if PAJA does not apply. To demand this of government is not to stymie it by forcing upon it a senseless formality. It is to insist on due process, from which there is no reason to exempt government. On the contrary, there is a higher duty on the state to respect the law, to fulfil </w:t>
      </w:r>
      <w:r w:rsidR="00EE0EB0" w:rsidRPr="009720D4">
        <w:rPr>
          <w:rFonts w:ascii="Arial" w:hAnsi="Arial" w:cs="Arial"/>
          <w:lang w:val="en-GB"/>
        </w:rPr>
        <w:t xml:space="preserve">procedural requirements and to thread respectfully </w:t>
      </w:r>
      <w:r w:rsidR="007E5F6F" w:rsidRPr="009720D4">
        <w:rPr>
          <w:rFonts w:ascii="Arial" w:hAnsi="Arial" w:cs="Arial"/>
          <w:lang w:val="en-GB"/>
        </w:rPr>
        <w:t>when dealing with rights. Government is not an indigent or bewildered litigant, adrift on a sea of litigious uncertainty; to whom courts must extend a procedure-circumven</w:t>
      </w:r>
      <w:r w:rsidR="009720D4">
        <w:rPr>
          <w:rFonts w:ascii="Arial" w:hAnsi="Arial" w:cs="Arial"/>
          <w:lang w:val="en-GB"/>
        </w:rPr>
        <w:t>ting</w:t>
      </w:r>
      <w:r w:rsidR="007E5F6F" w:rsidRPr="009720D4">
        <w:rPr>
          <w:rFonts w:ascii="Arial" w:hAnsi="Arial" w:cs="Arial"/>
          <w:lang w:val="en-GB"/>
        </w:rPr>
        <w:t xml:space="preserve"> lifeline. It is the Constitution’s primary agent. It must do right, and it must do it properly.”</w:t>
      </w:r>
      <w:r w:rsidRPr="009720D4">
        <w:rPr>
          <w:rFonts w:ascii="Arial" w:hAnsi="Arial" w:cs="Arial"/>
          <w:lang w:val="en-GB"/>
        </w:rPr>
        <w:t xml:space="preserve"> </w:t>
      </w:r>
    </w:p>
    <w:p w:rsidR="006C10C0" w:rsidRDefault="00D2471F" w:rsidP="00927E79">
      <w:pPr>
        <w:spacing w:line="480" w:lineRule="auto"/>
        <w:jc w:val="both"/>
        <w:rPr>
          <w:rFonts w:ascii="Arial" w:hAnsi="Arial" w:cs="Arial"/>
          <w:sz w:val="24"/>
          <w:szCs w:val="24"/>
          <w:lang w:val="en-GB"/>
        </w:rPr>
      </w:pPr>
      <w:r>
        <w:rPr>
          <w:rFonts w:ascii="Arial" w:hAnsi="Arial" w:cs="Arial"/>
          <w:sz w:val="24"/>
          <w:szCs w:val="24"/>
          <w:lang w:val="en-GB"/>
        </w:rPr>
        <w:t>[1</w:t>
      </w:r>
      <w:r w:rsidR="00C45732">
        <w:rPr>
          <w:rFonts w:ascii="Arial" w:hAnsi="Arial" w:cs="Arial"/>
          <w:sz w:val="24"/>
          <w:szCs w:val="24"/>
          <w:lang w:val="en-GB"/>
        </w:rPr>
        <w:t>2</w:t>
      </w:r>
      <w:r w:rsidR="00D147C6">
        <w:rPr>
          <w:rFonts w:ascii="Arial" w:hAnsi="Arial" w:cs="Arial"/>
          <w:sz w:val="24"/>
          <w:szCs w:val="24"/>
          <w:lang w:val="en-GB"/>
        </w:rPr>
        <w:t xml:space="preserve">] The constitutional rights of minor children are specifically provided for in </w:t>
      </w:r>
      <w:r w:rsidR="007E595C">
        <w:rPr>
          <w:rFonts w:ascii="Arial" w:hAnsi="Arial" w:cs="Arial"/>
          <w:sz w:val="24"/>
          <w:szCs w:val="24"/>
          <w:lang w:val="en-GB"/>
        </w:rPr>
        <w:t xml:space="preserve">the </w:t>
      </w:r>
      <w:r w:rsidR="00D147C6">
        <w:rPr>
          <w:rFonts w:ascii="Arial" w:hAnsi="Arial" w:cs="Arial"/>
          <w:sz w:val="24"/>
          <w:szCs w:val="24"/>
          <w:lang w:val="en-GB"/>
        </w:rPr>
        <w:t xml:space="preserve">Children’s </w:t>
      </w:r>
      <w:r w:rsidR="007E595C">
        <w:rPr>
          <w:rFonts w:ascii="Arial" w:hAnsi="Arial" w:cs="Arial"/>
          <w:sz w:val="24"/>
          <w:szCs w:val="24"/>
          <w:lang w:val="en-GB"/>
        </w:rPr>
        <w:t>Act 38 of 2005. Most relevant</w:t>
      </w:r>
      <w:r w:rsidR="00D147C6">
        <w:rPr>
          <w:rFonts w:ascii="Arial" w:hAnsi="Arial" w:cs="Arial"/>
          <w:sz w:val="24"/>
          <w:szCs w:val="24"/>
          <w:lang w:val="en-GB"/>
        </w:rPr>
        <w:t xml:space="preserve"> for the purposes of this </w:t>
      </w:r>
      <w:r w:rsidR="00EA07C5">
        <w:rPr>
          <w:rFonts w:ascii="Arial" w:hAnsi="Arial" w:cs="Arial"/>
          <w:sz w:val="24"/>
          <w:szCs w:val="24"/>
          <w:lang w:val="en-GB"/>
        </w:rPr>
        <w:t>discussion</w:t>
      </w:r>
      <w:r w:rsidR="00D147C6">
        <w:rPr>
          <w:rFonts w:ascii="Arial" w:hAnsi="Arial" w:cs="Arial"/>
          <w:sz w:val="24"/>
          <w:szCs w:val="24"/>
          <w:lang w:val="en-GB"/>
        </w:rPr>
        <w:t xml:space="preserve"> </w:t>
      </w:r>
      <w:r w:rsidR="007E595C">
        <w:rPr>
          <w:rFonts w:ascii="Arial" w:hAnsi="Arial" w:cs="Arial"/>
          <w:sz w:val="24"/>
          <w:szCs w:val="24"/>
          <w:lang w:val="en-GB"/>
        </w:rPr>
        <w:t xml:space="preserve">is </w:t>
      </w:r>
      <w:r w:rsidR="00AC36FF">
        <w:rPr>
          <w:rFonts w:ascii="Arial" w:hAnsi="Arial" w:cs="Arial"/>
          <w:sz w:val="24"/>
          <w:szCs w:val="24"/>
          <w:lang w:val="en-GB"/>
        </w:rPr>
        <w:t>section 6 (2) thereof</w:t>
      </w:r>
      <w:r w:rsidR="006C10C0">
        <w:rPr>
          <w:rFonts w:ascii="Arial" w:hAnsi="Arial" w:cs="Arial"/>
          <w:sz w:val="24"/>
          <w:szCs w:val="24"/>
          <w:lang w:val="en-GB"/>
        </w:rPr>
        <w:t xml:space="preserve"> </w:t>
      </w:r>
      <w:r w:rsidR="007E595C">
        <w:rPr>
          <w:rFonts w:ascii="Arial" w:hAnsi="Arial" w:cs="Arial"/>
          <w:sz w:val="24"/>
          <w:szCs w:val="24"/>
          <w:lang w:val="en-GB"/>
        </w:rPr>
        <w:t xml:space="preserve">which </w:t>
      </w:r>
      <w:r w:rsidR="006C10C0">
        <w:rPr>
          <w:rFonts w:ascii="Arial" w:hAnsi="Arial" w:cs="Arial"/>
          <w:sz w:val="24"/>
          <w:szCs w:val="24"/>
          <w:lang w:val="en-GB"/>
        </w:rPr>
        <w:t>provides</w:t>
      </w:r>
      <w:r w:rsidR="007E595C">
        <w:rPr>
          <w:rFonts w:ascii="Arial" w:hAnsi="Arial" w:cs="Arial"/>
          <w:sz w:val="24"/>
          <w:szCs w:val="24"/>
          <w:lang w:val="en-GB"/>
        </w:rPr>
        <w:t xml:space="preserve"> as follows</w:t>
      </w:r>
      <w:r w:rsidR="006C10C0">
        <w:rPr>
          <w:rFonts w:ascii="Arial" w:hAnsi="Arial" w:cs="Arial"/>
          <w:sz w:val="24"/>
          <w:szCs w:val="24"/>
          <w:lang w:val="en-GB"/>
        </w:rPr>
        <w:t>:</w:t>
      </w:r>
    </w:p>
    <w:p w:rsidR="006C10C0" w:rsidRPr="009E074B" w:rsidRDefault="006C10C0" w:rsidP="009E074B">
      <w:pPr>
        <w:spacing w:line="360" w:lineRule="auto"/>
        <w:ind w:left="540"/>
        <w:jc w:val="both"/>
        <w:rPr>
          <w:rFonts w:ascii="Arial" w:hAnsi="Arial" w:cs="Arial"/>
          <w:lang w:val="en-GB"/>
        </w:rPr>
      </w:pPr>
      <w:r w:rsidRPr="009E074B">
        <w:rPr>
          <w:rFonts w:ascii="Arial" w:hAnsi="Arial" w:cs="Arial"/>
          <w:lang w:val="en-GB"/>
        </w:rPr>
        <w:lastRenderedPageBreak/>
        <w:t xml:space="preserve">“(2) All proceedings, actions or decisions in a matter concerning a child must: </w:t>
      </w:r>
    </w:p>
    <w:p w:rsidR="006C10C0" w:rsidRPr="008369A4" w:rsidRDefault="008369A4" w:rsidP="008369A4">
      <w:pPr>
        <w:spacing w:line="360" w:lineRule="auto"/>
        <w:ind w:left="1440" w:hanging="360"/>
        <w:jc w:val="both"/>
        <w:rPr>
          <w:rFonts w:ascii="Arial" w:hAnsi="Arial" w:cs="Arial"/>
          <w:lang w:val="en-GB"/>
        </w:rPr>
      </w:pPr>
      <w:r w:rsidRPr="009E074B">
        <w:rPr>
          <w:rFonts w:ascii="Arial" w:hAnsi="Arial" w:cs="Arial"/>
          <w:lang w:val="en-GB"/>
        </w:rPr>
        <w:t>(a)</w:t>
      </w:r>
      <w:r w:rsidRPr="009E074B">
        <w:rPr>
          <w:rFonts w:ascii="Arial" w:hAnsi="Arial" w:cs="Arial"/>
          <w:lang w:val="en-GB"/>
        </w:rPr>
        <w:tab/>
      </w:r>
      <w:r w:rsidR="006C10C0" w:rsidRPr="008369A4">
        <w:rPr>
          <w:rFonts w:ascii="Arial" w:hAnsi="Arial" w:cs="Arial"/>
          <w:lang w:val="en-GB"/>
        </w:rPr>
        <w:t>Respect, protect, promote and fulfil the child’s rights set out in the Bill of Rights, the best interests of the child standard set out in the Bill of Rights, the best interests of the child standard set out in section 7 and the rights and principles set out in this Act, subject to any lawful limitation;</w:t>
      </w:r>
    </w:p>
    <w:p w:rsidR="006C10C0" w:rsidRPr="008369A4" w:rsidRDefault="008369A4" w:rsidP="008369A4">
      <w:pPr>
        <w:spacing w:line="360" w:lineRule="auto"/>
        <w:ind w:left="1440" w:hanging="360"/>
        <w:jc w:val="both"/>
        <w:rPr>
          <w:rFonts w:ascii="Arial" w:hAnsi="Arial" w:cs="Arial"/>
          <w:lang w:val="en-GB"/>
        </w:rPr>
      </w:pPr>
      <w:r w:rsidRPr="009E074B">
        <w:rPr>
          <w:rFonts w:ascii="Arial" w:hAnsi="Arial" w:cs="Arial"/>
          <w:lang w:val="en-GB"/>
        </w:rPr>
        <w:t>(b)</w:t>
      </w:r>
      <w:r w:rsidRPr="009E074B">
        <w:rPr>
          <w:rFonts w:ascii="Arial" w:hAnsi="Arial" w:cs="Arial"/>
          <w:lang w:val="en-GB"/>
        </w:rPr>
        <w:tab/>
      </w:r>
      <w:r w:rsidR="006C10C0" w:rsidRPr="008369A4">
        <w:rPr>
          <w:rFonts w:ascii="Arial" w:hAnsi="Arial" w:cs="Arial"/>
          <w:lang w:val="en-GB"/>
        </w:rPr>
        <w:t>Respect the child’s inherent dignity;</w:t>
      </w:r>
    </w:p>
    <w:p w:rsidR="006C10C0" w:rsidRPr="008369A4" w:rsidRDefault="008369A4" w:rsidP="008369A4">
      <w:pPr>
        <w:spacing w:line="360" w:lineRule="auto"/>
        <w:ind w:left="1440" w:hanging="360"/>
        <w:jc w:val="both"/>
        <w:rPr>
          <w:rFonts w:ascii="Arial" w:hAnsi="Arial" w:cs="Arial"/>
          <w:lang w:val="en-GB"/>
        </w:rPr>
      </w:pPr>
      <w:r w:rsidRPr="009E074B">
        <w:rPr>
          <w:rFonts w:ascii="Arial" w:hAnsi="Arial" w:cs="Arial"/>
          <w:lang w:val="en-GB"/>
        </w:rPr>
        <w:t>(c)</w:t>
      </w:r>
      <w:r w:rsidRPr="009E074B">
        <w:rPr>
          <w:rFonts w:ascii="Arial" w:hAnsi="Arial" w:cs="Arial"/>
          <w:lang w:val="en-GB"/>
        </w:rPr>
        <w:tab/>
      </w:r>
      <w:r w:rsidR="006C10C0" w:rsidRPr="008369A4">
        <w:rPr>
          <w:rFonts w:ascii="Arial" w:hAnsi="Arial" w:cs="Arial"/>
          <w:lang w:val="en-GB"/>
        </w:rPr>
        <w:t>Treat the child fairly and equitably;</w:t>
      </w:r>
    </w:p>
    <w:p w:rsidR="00AB73CD" w:rsidRPr="008369A4" w:rsidRDefault="008369A4" w:rsidP="008369A4">
      <w:pPr>
        <w:spacing w:line="360" w:lineRule="auto"/>
        <w:ind w:left="1440" w:hanging="360"/>
        <w:jc w:val="both"/>
        <w:rPr>
          <w:rFonts w:ascii="Arial" w:hAnsi="Arial" w:cs="Arial"/>
          <w:lang w:val="en-GB"/>
        </w:rPr>
      </w:pPr>
      <w:r w:rsidRPr="009E074B">
        <w:rPr>
          <w:rFonts w:ascii="Arial" w:hAnsi="Arial" w:cs="Arial"/>
          <w:lang w:val="en-GB"/>
        </w:rPr>
        <w:t>(d)</w:t>
      </w:r>
      <w:r w:rsidRPr="009E074B">
        <w:rPr>
          <w:rFonts w:ascii="Arial" w:hAnsi="Arial" w:cs="Arial"/>
          <w:lang w:val="en-GB"/>
        </w:rPr>
        <w:tab/>
      </w:r>
      <w:r w:rsidR="006C10C0" w:rsidRPr="008369A4">
        <w:rPr>
          <w:rFonts w:ascii="Arial" w:hAnsi="Arial" w:cs="Arial"/>
          <w:lang w:val="en-GB"/>
        </w:rPr>
        <w:t xml:space="preserve">Protect the child from unfair discrimination on any ground </w:t>
      </w:r>
      <w:r w:rsidR="00AB73CD" w:rsidRPr="008369A4">
        <w:rPr>
          <w:rFonts w:ascii="Arial" w:hAnsi="Arial" w:cs="Arial"/>
          <w:lang w:val="en-GB"/>
        </w:rPr>
        <w:t>including the ground of health status or disability of the child or a family member of the child.”</w:t>
      </w:r>
    </w:p>
    <w:p w:rsidR="00366991" w:rsidRDefault="00EC0B01" w:rsidP="00AB73CD">
      <w:pPr>
        <w:spacing w:line="480" w:lineRule="auto"/>
        <w:jc w:val="both"/>
        <w:rPr>
          <w:rFonts w:ascii="Arial" w:hAnsi="Arial" w:cs="Arial"/>
          <w:sz w:val="24"/>
          <w:szCs w:val="24"/>
          <w:lang w:val="en-GB"/>
        </w:rPr>
      </w:pPr>
      <w:r>
        <w:rPr>
          <w:rFonts w:ascii="Arial" w:hAnsi="Arial" w:cs="Arial"/>
          <w:sz w:val="24"/>
          <w:szCs w:val="24"/>
          <w:lang w:val="en-GB"/>
        </w:rPr>
        <w:t>[1</w:t>
      </w:r>
      <w:r w:rsidR="00C45732">
        <w:rPr>
          <w:rFonts w:ascii="Arial" w:hAnsi="Arial" w:cs="Arial"/>
          <w:sz w:val="24"/>
          <w:szCs w:val="24"/>
          <w:lang w:val="en-GB"/>
        </w:rPr>
        <w:t>3</w:t>
      </w:r>
      <w:r>
        <w:rPr>
          <w:rFonts w:ascii="Arial" w:hAnsi="Arial" w:cs="Arial"/>
          <w:sz w:val="24"/>
          <w:szCs w:val="24"/>
          <w:lang w:val="en-GB"/>
        </w:rPr>
        <w:t xml:space="preserve">] </w:t>
      </w:r>
      <w:r w:rsidR="00EA07C5">
        <w:rPr>
          <w:rFonts w:ascii="Arial" w:hAnsi="Arial" w:cs="Arial"/>
          <w:sz w:val="24"/>
          <w:szCs w:val="24"/>
          <w:lang w:val="en-GB"/>
        </w:rPr>
        <w:t>Axiomatically</w:t>
      </w:r>
      <w:r>
        <w:rPr>
          <w:rFonts w:ascii="Arial" w:hAnsi="Arial" w:cs="Arial"/>
          <w:sz w:val="24"/>
          <w:szCs w:val="24"/>
          <w:lang w:val="en-GB"/>
        </w:rPr>
        <w:t>, some of</w:t>
      </w:r>
      <w:r w:rsidR="00AC36FF">
        <w:rPr>
          <w:rFonts w:ascii="Arial" w:hAnsi="Arial" w:cs="Arial"/>
          <w:sz w:val="24"/>
          <w:szCs w:val="24"/>
          <w:lang w:val="en-GB"/>
        </w:rPr>
        <w:t xml:space="preserve"> the rights </w:t>
      </w:r>
      <w:r>
        <w:rPr>
          <w:rFonts w:ascii="Arial" w:hAnsi="Arial" w:cs="Arial"/>
          <w:sz w:val="24"/>
          <w:szCs w:val="24"/>
          <w:lang w:val="en-GB"/>
        </w:rPr>
        <w:t>enacted in some detail</w:t>
      </w:r>
      <w:r w:rsidR="00AC36FF">
        <w:rPr>
          <w:rFonts w:ascii="Arial" w:hAnsi="Arial" w:cs="Arial"/>
          <w:sz w:val="24"/>
          <w:szCs w:val="24"/>
          <w:lang w:val="en-GB"/>
        </w:rPr>
        <w:t xml:space="preserve"> in the C</w:t>
      </w:r>
      <w:r w:rsidR="00AB73CD">
        <w:rPr>
          <w:rFonts w:ascii="Arial" w:hAnsi="Arial" w:cs="Arial"/>
          <w:sz w:val="24"/>
          <w:szCs w:val="24"/>
          <w:lang w:val="en-GB"/>
        </w:rPr>
        <w:t>h</w:t>
      </w:r>
      <w:r w:rsidR="00AC36FF">
        <w:rPr>
          <w:rFonts w:ascii="Arial" w:hAnsi="Arial" w:cs="Arial"/>
          <w:sz w:val="24"/>
          <w:szCs w:val="24"/>
          <w:lang w:val="en-GB"/>
        </w:rPr>
        <w:t xml:space="preserve">ildren’s Act have been </w:t>
      </w:r>
      <w:r w:rsidR="00E06AED">
        <w:rPr>
          <w:rFonts w:ascii="Arial" w:hAnsi="Arial" w:cs="Arial"/>
          <w:sz w:val="24"/>
          <w:szCs w:val="24"/>
          <w:lang w:val="en-GB"/>
        </w:rPr>
        <w:t>taken</w:t>
      </w:r>
      <w:r w:rsidR="00AB73CD">
        <w:rPr>
          <w:rFonts w:ascii="Arial" w:hAnsi="Arial" w:cs="Arial"/>
          <w:sz w:val="24"/>
          <w:szCs w:val="24"/>
          <w:lang w:val="en-GB"/>
        </w:rPr>
        <w:t xml:space="preserve"> directly from the Con</w:t>
      </w:r>
      <w:r w:rsidR="00AC36FF">
        <w:rPr>
          <w:rFonts w:ascii="Arial" w:hAnsi="Arial" w:cs="Arial"/>
          <w:sz w:val="24"/>
          <w:szCs w:val="24"/>
          <w:lang w:val="en-GB"/>
        </w:rPr>
        <w:t>stitution</w:t>
      </w:r>
      <w:r w:rsidR="00EA07C5">
        <w:rPr>
          <w:rFonts w:ascii="Arial" w:hAnsi="Arial" w:cs="Arial"/>
          <w:sz w:val="24"/>
          <w:szCs w:val="24"/>
          <w:lang w:val="en-GB"/>
        </w:rPr>
        <w:t xml:space="preserve">. </w:t>
      </w:r>
      <w:r w:rsidR="00AC36FF">
        <w:rPr>
          <w:rFonts w:ascii="Arial" w:hAnsi="Arial" w:cs="Arial"/>
          <w:sz w:val="24"/>
          <w:szCs w:val="24"/>
          <w:lang w:val="en-GB"/>
        </w:rPr>
        <w:t xml:space="preserve"> </w:t>
      </w:r>
      <w:r w:rsidR="00EA07C5">
        <w:rPr>
          <w:rFonts w:ascii="Arial" w:hAnsi="Arial" w:cs="Arial"/>
          <w:sz w:val="24"/>
          <w:szCs w:val="24"/>
          <w:lang w:val="en-GB"/>
        </w:rPr>
        <w:t>T</w:t>
      </w:r>
      <w:r w:rsidR="00AC36FF">
        <w:rPr>
          <w:rFonts w:ascii="Arial" w:hAnsi="Arial" w:cs="Arial"/>
          <w:sz w:val="24"/>
          <w:szCs w:val="24"/>
          <w:lang w:val="en-GB"/>
        </w:rPr>
        <w:t>he Legislature</w:t>
      </w:r>
      <w:r w:rsidR="009720D4">
        <w:rPr>
          <w:rFonts w:ascii="Arial" w:hAnsi="Arial" w:cs="Arial"/>
          <w:sz w:val="24"/>
          <w:szCs w:val="24"/>
          <w:lang w:val="en-GB"/>
        </w:rPr>
        <w:t>,</w:t>
      </w:r>
      <w:r w:rsidR="00AC36FF">
        <w:rPr>
          <w:rFonts w:ascii="Arial" w:hAnsi="Arial" w:cs="Arial"/>
          <w:sz w:val="24"/>
          <w:szCs w:val="24"/>
          <w:lang w:val="en-GB"/>
        </w:rPr>
        <w:t xml:space="preserve"> in</w:t>
      </w:r>
      <w:r w:rsidR="00AB73CD">
        <w:rPr>
          <w:rFonts w:ascii="Arial" w:hAnsi="Arial" w:cs="Arial"/>
          <w:sz w:val="24"/>
          <w:szCs w:val="24"/>
          <w:lang w:val="en-GB"/>
        </w:rPr>
        <w:t xml:space="preserve"> passing the Children’s Act </w:t>
      </w:r>
      <w:r w:rsidR="00FE097D">
        <w:rPr>
          <w:rFonts w:ascii="Arial" w:hAnsi="Arial" w:cs="Arial"/>
          <w:sz w:val="24"/>
          <w:szCs w:val="24"/>
          <w:lang w:val="en-GB"/>
        </w:rPr>
        <w:t xml:space="preserve">with such a huge amount of detail </w:t>
      </w:r>
      <w:r w:rsidR="00AC36FF">
        <w:rPr>
          <w:rFonts w:ascii="Arial" w:hAnsi="Arial" w:cs="Arial"/>
          <w:sz w:val="24"/>
          <w:szCs w:val="24"/>
          <w:lang w:val="en-GB"/>
        </w:rPr>
        <w:t xml:space="preserve">and attention </w:t>
      </w:r>
      <w:r w:rsidR="00FE097D">
        <w:rPr>
          <w:rFonts w:ascii="Arial" w:hAnsi="Arial" w:cs="Arial"/>
          <w:sz w:val="24"/>
          <w:szCs w:val="24"/>
          <w:lang w:val="en-GB"/>
        </w:rPr>
        <w:t>concerning the rights of minor children</w:t>
      </w:r>
      <w:r>
        <w:rPr>
          <w:rFonts w:ascii="Arial" w:hAnsi="Arial" w:cs="Arial"/>
          <w:sz w:val="24"/>
          <w:szCs w:val="24"/>
          <w:lang w:val="en-GB"/>
        </w:rPr>
        <w:t>,</w:t>
      </w:r>
      <w:r w:rsidR="00FE097D">
        <w:rPr>
          <w:rFonts w:ascii="Arial" w:hAnsi="Arial" w:cs="Arial"/>
          <w:sz w:val="24"/>
          <w:szCs w:val="24"/>
          <w:lang w:val="en-GB"/>
        </w:rPr>
        <w:t xml:space="preserve"> sought to leave n</w:t>
      </w:r>
      <w:r w:rsidR="00AC36FF">
        <w:rPr>
          <w:rFonts w:ascii="Arial" w:hAnsi="Arial" w:cs="Arial"/>
          <w:sz w:val="24"/>
          <w:szCs w:val="24"/>
          <w:lang w:val="en-GB"/>
        </w:rPr>
        <w:t>othing to chanc</w:t>
      </w:r>
      <w:r w:rsidR="00FE097D">
        <w:rPr>
          <w:rFonts w:ascii="Arial" w:hAnsi="Arial" w:cs="Arial"/>
          <w:sz w:val="24"/>
          <w:szCs w:val="24"/>
          <w:lang w:val="en-GB"/>
        </w:rPr>
        <w:t>e</w:t>
      </w:r>
      <w:r w:rsidR="00EA07C5">
        <w:rPr>
          <w:rFonts w:ascii="Arial" w:hAnsi="Arial" w:cs="Arial"/>
          <w:sz w:val="24"/>
          <w:szCs w:val="24"/>
          <w:lang w:val="en-GB"/>
        </w:rPr>
        <w:t xml:space="preserve"> in ensuring that children’s rights are always</w:t>
      </w:r>
      <w:r>
        <w:rPr>
          <w:rFonts w:ascii="Arial" w:hAnsi="Arial" w:cs="Arial"/>
          <w:sz w:val="24"/>
          <w:szCs w:val="24"/>
          <w:lang w:val="en-GB"/>
        </w:rPr>
        <w:t xml:space="preserve"> resp</w:t>
      </w:r>
      <w:r w:rsidR="00E06AED">
        <w:rPr>
          <w:rFonts w:ascii="Arial" w:hAnsi="Arial" w:cs="Arial"/>
          <w:sz w:val="24"/>
          <w:szCs w:val="24"/>
          <w:lang w:val="en-GB"/>
        </w:rPr>
        <w:t>e</w:t>
      </w:r>
      <w:r>
        <w:rPr>
          <w:rFonts w:ascii="Arial" w:hAnsi="Arial" w:cs="Arial"/>
          <w:sz w:val="24"/>
          <w:szCs w:val="24"/>
          <w:lang w:val="en-GB"/>
        </w:rPr>
        <w:t>cted</w:t>
      </w:r>
      <w:r w:rsidR="00B2763E">
        <w:rPr>
          <w:rFonts w:ascii="Arial" w:hAnsi="Arial" w:cs="Arial"/>
          <w:sz w:val="24"/>
          <w:szCs w:val="24"/>
          <w:lang w:val="en-GB"/>
        </w:rPr>
        <w:t>,</w:t>
      </w:r>
      <w:r w:rsidR="00EA07C5">
        <w:rPr>
          <w:rFonts w:ascii="Arial" w:hAnsi="Arial" w:cs="Arial"/>
          <w:sz w:val="24"/>
          <w:szCs w:val="24"/>
          <w:lang w:val="en-GB"/>
        </w:rPr>
        <w:t xml:space="preserve"> protected, promoted and fulfilled</w:t>
      </w:r>
      <w:r w:rsidR="00FE097D">
        <w:rPr>
          <w:rFonts w:ascii="Arial" w:hAnsi="Arial" w:cs="Arial"/>
          <w:sz w:val="24"/>
          <w:szCs w:val="24"/>
          <w:lang w:val="en-GB"/>
        </w:rPr>
        <w:t>.</w:t>
      </w:r>
      <w:r w:rsidR="009720D4">
        <w:rPr>
          <w:rFonts w:ascii="Arial" w:hAnsi="Arial" w:cs="Arial"/>
          <w:sz w:val="24"/>
          <w:szCs w:val="24"/>
          <w:lang w:val="en-GB"/>
        </w:rPr>
        <w:t xml:space="preserve">  This it did by passing a comprehensive </w:t>
      </w:r>
      <w:r w:rsidR="00500539">
        <w:rPr>
          <w:rFonts w:ascii="Arial" w:hAnsi="Arial" w:cs="Arial"/>
          <w:sz w:val="24"/>
          <w:szCs w:val="24"/>
          <w:lang w:val="en-GB"/>
        </w:rPr>
        <w:t xml:space="preserve">piece of </w:t>
      </w:r>
      <w:r w:rsidR="009720D4">
        <w:rPr>
          <w:rFonts w:ascii="Arial" w:hAnsi="Arial" w:cs="Arial"/>
          <w:sz w:val="24"/>
          <w:szCs w:val="24"/>
          <w:lang w:val="en-GB"/>
        </w:rPr>
        <w:t xml:space="preserve">legislation dedicated to </w:t>
      </w:r>
      <w:r w:rsidR="00500539">
        <w:rPr>
          <w:rFonts w:ascii="Arial" w:hAnsi="Arial" w:cs="Arial"/>
          <w:sz w:val="24"/>
          <w:szCs w:val="24"/>
          <w:lang w:val="en-GB"/>
        </w:rPr>
        <w:t>e</w:t>
      </w:r>
      <w:r w:rsidR="009720D4">
        <w:rPr>
          <w:rFonts w:ascii="Arial" w:hAnsi="Arial" w:cs="Arial"/>
          <w:sz w:val="24"/>
          <w:szCs w:val="24"/>
          <w:lang w:val="en-GB"/>
        </w:rPr>
        <w:t>ns</w:t>
      </w:r>
      <w:r w:rsidR="00500539">
        <w:rPr>
          <w:rFonts w:ascii="Arial" w:hAnsi="Arial" w:cs="Arial"/>
          <w:sz w:val="24"/>
          <w:szCs w:val="24"/>
          <w:lang w:val="en-GB"/>
        </w:rPr>
        <w:t>u</w:t>
      </w:r>
      <w:r w:rsidR="009720D4">
        <w:rPr>
          <w:rFonts w:ascii="Arial" w:hAnsi="Arial" w:cs="Arial"/>
          <w:sz w:val="24"/>
          <w:szCs w:val="24"/>
          <w:lang w:val="en-GB"/>
        </w:rPr>
        <w:t xml:space="preserve">ring that the interests of </w:t>
      </w:r>
      <w:r w:rsidR="00E06AED">
        <w:rPr>
          <w:rFonts w:ascii="Arial" w:hAnsi="Arial" w:cs="Arial"/>
          <w:sz w:val="24"/>
          <w:szCs w:val="24"/>
          <w:lang w:val="en-GB"/>
        </w:rPr>
        <w:t>a</w:t>
      </w:r>
      <w:r w:rsidR="009720D4">
        <w:rPr>
          <w:rFonts w:ascii="Arial" w:hAnsi="Arial" w:cs="Arial"/>
          <w:sz w:val="24"/>
          <w:szCs w:val="24"/>
          <w:lang w:val="en-GB"/>
        </w:rPr>
        <w:t xml:space="preserve"> minor child will, without exception, be </w:t>
      </w:r>
      <w:r w:rsidR="00EA07C5">
        <w:rPr>
          <w:rFonts w:ascii="Arial" w:hAnsi="Arial" w:cs="Arial"/>
          <w:sz w:val="24"/>
          <w:szCs w:val="24"/>
          <w:lang w:val="en-GB"/>
        </w:rPr>
        <w:t xml:space="preserve">always </w:t>
      </w:r>
      <w:r w:rsidR="009720D4">
        <w:rPr>
          <w:rFonts w:ascii="Arial" w:hAnsi="Arial" w:cs="Arial"/>
          <w:sz w:val="24"/>
          <w:szCs w:val="24"/>
          <w:lang w:val="en-GB"/>
        </w:rPr>
        <w:t>considered as paramount in any situation where a child is affected</w:t>
      </w:r>
      <w:r w:rsidR="00500539">
        <w:rPr>
          <w:rFonts w:ascii="Arial" w:hAnsi="Arial" w:cs="Arial"/>
          <w:sz w:val="24"/>
          <w:szCs w:val="24"/>
          <w:lang w:val="en-GB"/>
        </w:rPr>
        <w:t xml:space="preserve"> </w:t>
      </w:r>
      <w:r w:rsidR="0056412A">
        <w:rPr>
          <w:rFonts w:ascii="Arial" w:hAnsi="Arial" w:cs="Arial"/>
          <w:sz w:val="24"/>
          <w:szCs w:val="24"/>
          <w:lang w:val="en-GB"/>
        </w:rPr>
        <w:t>or is concerned</w:t>
      </w:r>
      <w:r w:rsidR="009720D4">
        <w:rPr>
          <w:rFonts w:ascii="Arial" w:hAnsi="Arial" w:cs="Arial"/>
          <w:sz w:val="24"/>
          <w:szCs w:val="24"/>
          <w:lang w:val="en-GB"/>
        </w:rPr>
        <w:t>.</w:t>
      </w:r>
    </w:p>
    <w:p w:rsidR="0025679E" w:rsidRDefault="00D2471F" w:rsidP="00AB73CD">
      <w:pPr>
        <w:spacing w:line="480" w:lineRule="auto"/>
        <w:jc w:val="both"/>
        <w:rPr>
          <w:rFonts w:ascii="Arial" w:hAnsi="Arial" w:cs="Arial"/>
          <w:sz w:val="24"/>
          <w:szCs w:val="24"/>
          <w:lang w:val="en-GB"/>
        </w:rPr>
      </w:pPr>
      <w:r>
        <w:rPr>
          <w:rFonts w:ascii="Arial" w:hAnsi="Arial" w:cs="Arial"/>
          <w:sz w:val="24"/>
          <w:szCs w:val="24"/>
          <w:lang w:val="en-GB"/>
        </w:rPr>
        <w:t>[1</w:t>
      </w:r>
      <w:r w:rsidR="00C45732">
        <w:rPr>
          <w:rFonts w:ascii="Arial" w:hAnsi="Arial" w:cs="Arial"/>
          <w:sz w:val="24"/>
          <w:szCs w:val="24"/>
          <w:lang w:val="en-GB"/>
        </w:rPr>
        <w:t>4</w:t>
      </w:r>
      <w:r w:rsidR="00366991">
        <w:rPr>
          <w:rFonts w:ascii="Arial" w:hAnsi="Arial" w:cs="Arial"/>
          <w:sz w:val="24"/>
          <w:szCs w:val="24"/>
          <w:lang w:val="en-GB"/>
        </w:rPr>
        <w:t>] To the extent that the respondents contend</w:t>
      </w:r>
      <w:r w:rsidR="00AC36FF">
        <w:rPr>
          <w:rFonts w:ascii="Arial" w:hAnsi="Arial" w:cs="Arial"/>
          <w:sz w:val="24"/>
          <w:szCs w:val="24"/>
          <w:lang w:val="en-GB"/>
        </w:rPr>
        <w:t>,</w:t>
      </w:r>
      <w:r w:rsidR="00366991">
        <w:rPr>
          <w:rFonts w:ascii="Arial" w:hAnsi="Arial" w:cs="Arial"/>
          <w:sz w:val="24"/>
          <w:szCs w:val="24"/>
          <w:lang w:val="en-GB"/>
        </w:rPr>
        <w:t xml:space="preserve"> as they do in their supplementary heads of argument</w:t>
      </w:r>
      <w:r w:rsidR="00AC36FF">
        <w:rPr>
          <w:rFonts w:ascii="Arial" w:hAnsi="Arial" w:cs="Arial"/>
          <w:sz w:val="24"/>
          <w:szCs w:val="24"/>
          <w:lang w:val="en-GB"/>
        </w:rPr>
        <w:t>,</w:t>
      </w:r>
      <w:r w:rsidR="00366991">
        <w:rPr>
          <w:rFonts w:ascii="Arial" w:hAnsi="Arial" w:cs="Arial"/>
          <w:sz w:val="24"/>
          <w:szCs w:val="24"/>
          <w:lang w:val="en-GB"/>
        </w:rPr>
        <w:t xml:space="preserve"> that they </w:t>
      </w:r>
      <w:r w:rsidR="00E06AED">
        <w:rPr>
          <w:rFonts w:ascii="Arial" w:hAnsi="Arial" w:cs="Arial"/>
          <w:sz w:val="24"/>
          <w:szCs w:val="24"/>
          <w:lang w:val="en-GB"/>
        </w:rPr>
        <w:t>have</w:t>
      </w:r>
      <w:r w:rsidR="00EA07C5">
        <w:rPr>
          <w:rFonts w:ascii="Arial" w:hAnsi="Arial" w:cs="Arial"/>
          <w:sz w:val="24"/>
          <w:szCs w:val="24"/>
          <w:lang w:val="en-GB"/>
        </w:rPr>
        <w:t xml:space="preserve"> agree</w:t>
      </w:r>
      <w:r w:rsidR="00E06AED">
        <w:rPr>
          <w:rFonts w:ascii="Arial" w:hAnsi="Arial" w:cs="Arial"/>
          <w:sz w:val="24"/>
          <w:szCs w:val="24"/>
          <w:lang w:val="en-GB"/>
        </w:rPr>
        <w:t>d</w:t>
      </w:r>
      <w:r w:rsidR="00366991">
        <w:rPr>
          <w:rFonts w:ascii="Arial" w:hAnsi="Arial" w:cs="Arial"/>
          <w:sz w:val="24"/>
          <w:szCs w:val="24"/>
          <w:lang w:val="en-GB"/>
        </w:rPr>
        <w:t xml:space="preserve"> that the child concerned could have the details </w:t>
      </w:r>
      <w:r w:rsidR="00AC36FF">
        <w:rPr>
          <w:rFonts w:ascii="Arial" w:hAnsi="Arial" w:cs="Arial"/>
          <w:sz w:val="24"/>
          <w:szCs w:val="24"/>
          <w:lang w:val="en-GB"/>
        </w:rPr>
        <w:t>of his</w:t>
      </w:r>
      <w:r w:rsidR="00366991">
        <w:rPr>
          <w:rFonts w:ascii="Arial" w:hAnsi="Arial" w:cs="Arial"/>
          <w:sz w:val="24"/>
          <w:szCs w:val="24"/>
          <w:lang w:val="en-GB"/>
        </w:rPr>
        <w:t xml:space="preserve"> father entered into the records of the </w:t>
      </w:r>
      <w:proofErr w:type="gramStart"/>
      <w:r w:rsidR="00366991">
        <w:rPr>
          <w:rFonts w:ascii="Arial" w:hAnsi="Arial" w:cs="Arial"/>
          <w:sz w:val="24"/>
          <w:szCs w:val="24"/>
          <w:lang w:val="en-GB"/>
        </w:rPr>
        <w:t>department</w:t>
      </w:r>
      <w:r w:rsidR="00EA07C5">
        <w:rPr>
          <w:rFonts w:ascii="Arial" w:hAnsi="Arial" w:cs="Arial"/>
          <w:sz w:val="24"/>
          <w:szCs w:val="24"/>
          <w:lang w:val="en-GB"/>
        </w:rPr>
        <w:t xml:space="preserve">  ̶</w:t>
      </w:r>
      <w:proofErr w:type="gramEnd"/>
      <w:r w:rsidR="00366991">
        <w:rPr>
          <w:rFonts w:ascii="Arial" w:hAnsi="Arial" w:cs="Arial"/>
          <w:sz w:val="24"/>
          <w:szCs w:val="24"/>
          <w:lang w:val="en-GB"/>
        </w:rPr>
        <w:t xml:space="preserve"> </w:t>
      </w:r>
      <w:r w:rsidR="00EA07C5">
        <w:rPr>
          <w:rFonts w:ascii="Arial" w:hAnsi="Arial" w:cs="Arial"/>
          <w:sz w:val="24"/>
          <w:szCs w:val="24"/>
          <w:lang w:val="en-GB"/>
        </w:rPr>
        <w:t xml:space="preserve"> </w:t>
      </w:r>
      <w:r w:rsidR="00366991">
        <w:rPr>
          <w:rFonts w:ascii="Arial" w:hAnsi="Arial" w:cs="Arial"/>
          <w:sz w:val="24"/>
          <w:szCs w:val="24"/>
          <w:lang w:val="en-GB"/>
        </w:rPr>
        <w:t xml:space="preserve">despite the fact that </w:t>
      </w:r>
      <w:r w:rsidR="00500539">
        <w:rPr>
          <w:rFonts w:ascii="Arial" w:hAnsi="Arial" w:cs="Arial"/>
          <w:sz w:val="24"/>
          <w:szCs w:val="24"/>
          <w:lang w:val="en-GB"/>
        </w:rPr>
        <w:t>his father is</w:t>
      </w:r>
      <w:r w:rsidR="00366991">
        <w:rPr>
          <w:rFonts w:ascii="Arial" w:hAnsi="Arial" w:cs="Arial"/>
          <w:sz w:val="24"/>
          <w:szCs w:val="24"/>
          <w:lang w:val="en-GB"/>
        </w:rPr>
        <w:t xml:space="preserve"> illegally in the country, the issue of the constitutionality of the </w:t>
      </w:r>
      <w:r w:rsidR="00500539">
        <w:rPr>
          <w:rFonts w:ascii="Arial" w:hAnsi="Arial" w:cs="Arial"/>
          <w:sz w:val="24"/>
          <w:szCs w:val="24"/>
          <w:lang w:val="en-GB"/>
        </w:rPr>
        <w:t>R</w:t>
      </w:r>
      <w:r w:rsidR="00366991">
        <w:rPr>
          <w:rFonts w:ascii="Arial" w:hAnsi="Arial" w:cs="Arial"/>
          <w:sz w:val="24"/>
          <w:szCs w:val="24"/>
          <w:lang w:val="en-GB"/>
        </w:rPr>
        <w:t xml:space="preserve">egulation is not ripe for adjudication and is in fact moot, I disagree. I disagree for a number of reasons. </w:t>
      </w:r>
      <w:r w:rsidR="00CE698A">
        <w:rPr>
          <w:rFonts w:ascii="Arial" w:hAnsi="Arial" w:cs="Arial"/>
          <w:sz w:val="24"/>
          <w:szCs w:val="24"/>
          <w:lang w:val="en-GB"/>
        </w:rPr>
        <w:t>First, t</w:t>
      </w:r>
      <w:r w:rsidR="00366991">
        <w:rPr>
          <w:rFonts w:ascii="Arial" w:hAnsi="Arial" w:cs="Arial"/>
          <w:sz w:val="24"/>
          <w:szCs w:val="24"/>
          <w:lang w:val="en-GB"/>
        </w:rPr>
        <w:t>he issue became ripe when the respondents joined issue contending very strongly that this child could not have the details of h</w:t>
      </w:r>
      <w:r w:rsidR="008A20DA">
        <w:rPr>
          <w:rFonts w:ascii="Arial" w:hAnsi="Arial" w:cs="Arial"/>
          <w:sz w:val="24"/>
          <w:szCs w:val="24"/>
          <w:lang w:val="en-GB"/>
        </w:rPr>
        <w:t>is</w:t>
      </w:r>
      <w:r w:rsidR="00366991">
        <w:rPr>
          <w:rFonts w:ascii="Arial" w:hAnsi="Arial" w:cs="Arial"/>
          <w:sz w:val="24"/>
          <w:szCs w:val="24"/>
          <w:lang w:val="en-GB"/>
        </w:rPr>
        <w:t xml:space="preserve"> father entered in h</w:t>
      </w:r>
      <w:r w:rsidR="008A20DA">
        <w:rPr>
          <w:rFonts w:ascii="Arial" w:hAnsi="Arial" w:cs="Arial"/>
          <w:sz w:val="24"/>
          <w:szCs w:val="24"/>
          <w:lang w:val="en-GB"/>
        </w:rPr>
        <w:t>is</w:t>
      </w:r>
      <w:r w:rsidR="00366991">
        <w:rPr>
          <w:rFonts w:ascii="Arial" w:hAnsi="Arial" w:cs="Arial"/>
          <w:sz w:val="24"/>
          <w:szCs w:val="24"/>
          <w:lang w:val="en-GB"/>
        </w:rPr>
        <w:t xml:space="preserve"> birth certificate only because h</w:t>
      </w:r>
      <w:r w:rsidR="008A20DA">
        <w:rPr>
          <w:rFonts w:ascii="Arial" w:hAnsi="Arial" w:cs="Arial"/>
          <w:sz w:val="24"/>
          <w:szCs w:val="24"/>
          <w:lang w:val="en-GB"/>
        </w:rPr>
        <w:t>is</w:t>
      </w:r>
      <w:r w:rsidR="00366991">
        <w:rPr>
          <w:rFonts w:ascii="Arial" w:hAnsi="Arial" w:cs="Arial"/>
          <w:sz w:val="24"/>
          <w:szCs w:val="24"/>
          <w:lang w:val="en-GB"/>
        </w:rPr>
        <w:t xml:space="preserve"> father was il</w:t>
      </w:r>
      <w:r w:rsidR="007E5F6F">
        <w:rPr>
          <w:rFonts w:ascii="Arial" w:hAnsi="Arial" w:cs="Arial"/>
          <w:sz w:val="24"/>
          <w:szCs w:val="24"/>
          <w:lang w:val="en-GB"/>
        </w:rPr>
        <w:t xml:space="preserve">legally in the </w:t>
      </w:r>
      <w:r w:rsidR="00500539">
        <w:rPr>
          <w:rFonts w:ascii="Arial" w:hAnsi="Arial" w:cs="Arial"/>
          <w:sz w:val="24"/>
          <w:szCs w:val="24"/>
          <w:lang w:val="en-GB"/>
        </w:rPr>
        <w:t>c</w:t>
      </w:r>
      <w:r w:rsidR="007E5F6F">
        <w:rPr>
          <w:rFonts w:ascii="Arial" w:hAnsi="Arial" w:cs="Arial"/>
          <w:sz w:val="24"/>
          <w:szCs w:val="24"/>
          <w:lang w:val="en-GB"/>
        </w:rPr>
        <w:t>ountry</w:t>
      </w:r>
      <w:r w:rsidR="00EA07C5">
        <w:rPr>
          <w:rFonts w:ascii="Arial" w:hAnsi="Arial" w:cs="Arial"/>
          <w:sz w:val="24"/>
          <w:szCs w:val="24"/>
          <w:lang w:val="en-GB"/>
        </w:rPr>
        <w:t xml:space="preserve">. </w:t>
      </w:r>
      <w:r w:rsidR="007E5F6F">
        <w:rPr>
          <w:rFonts w:ascii="Arial" w:hAnsi="Arial" w:cs="Arial"/>
          <w:sz w:val="24"/>
          <w:szCs w:val="24"/>
          <w:lang w:val="en-GB"/>
        </w:rPr>
        <w:t xml:space="preserve"> </w:t>
      </w:r>
      <w:r w:rsidR="00EA07C5">
        <w:rPr>
          <w:rFonts w:ascii="Arial" w:hAnsi="Arial" w:cs="Arial"/>
          <w:sz w:val="24"/>
          <w:szCs w:val="24"/>
          <w:lang w:val="en-GB"/>
        </w:rPr>
        <w:t>A</w:t>
      </w:r>
      <w:r w:rsidR="007E5F6F">
        <w:rPr>
          <w:rFonts w:ascii="Arial" w:hAnsi="Arial" w:cs="Arial"/>
          <w:sz w:val="24"/>
          <w:szCs w:val="24"/>
          <w:lang w:val="en-GB"/>
        </w:rPr>
        <w:t>nd R</w:t>
      </w:r>
      <w:r w:rsidR="00366991">
        <w:rPr>
          <w:rFonts w:ascii="Arial" w:hAnsi="Arial" w:cs="Arial"/>
          <w:sz w:val="24"/>
          <w:szCs w:val="24"/>
          <w:lang w:val="en-GB"/>
        </w:rPr>
        <w:t>egulation</w:t>
      </w:r>
      <w:r w:rsidR="008A20DA">
        <w:rPr>
          <w:rFonts w:ascii="Arial" w:hAnsi="Arial" w:cs="Arial"/>
          <w:sz w:val="24"/>
          <w:szCs w:val="24"/>
          <w:lang w:val="en-GB"/>
        </w:rPr>
        <w:t xml:space="preserve"> 12(2)</w:t>
      </w:r>
      <w:r w:rsidR="007E5F6F">
        <w:rPr>
          <w:rFonts w:ascii="Arial" w:hAnsi="Arial" w:cs="Arial"/>
          <w:sz w:val="24"/>
          <w:szCs w:val="24"/>
          <w:lang w:val="en-GB"/>
        </w:rPr>
        <w:t>(c)</w:t>
      </w:r>
      <w:r w:rsidR="00366991">
        <w:rPr>
          <w:rFonts w:ascii="Arial" w:hAnsi="Arial" w:cs="Arial"/>
          <w:sz w:val="24"/>
          <w:szCs w:val="24"/>
          <w:lang w:val="en-GB"/>
        </w:rPr>
        <w:t xml:space="preserve"> did not allow them to enter </w:t>
      </w:r>
      <w:r w:rsidR="005C63B5">
        <w:rPr>
          <w:rFonts w:ascii="Arial" w:hAnsi="Arial" w:cs="Arial"/>
          <w:sz w:val="24"/>
          <w:szCs w:val="24"/>
          <w:lang w:val="en-GB"/>
        </w:rPr>
        <w:t>in</w:t>
      </w:r>
      <w:r w:rsidR="00EC0B01">
        <w:rPr>
          <w:rFonts w:ascii="Arial" w:hAnsi="Arial" w:cs="Arial"/>
          <w:sz w:val="24"/>
          <w:szCs w:val="24"/>
          <w:lang w:val="en-GB"/>
        </w:rPr>
        <w:t>to</w:t>
      </w:r>
      <w:r w:rsidR="005C63B5">
        <w:rPr>
          <w:rFonts w:ascii="Arial" w:hAnsi="Arial" w:cs="Arial"/>
          <w:sz w:val="24"/>
          <w:szCs w:val="24"/>
          <w:lang w:val="en-GB"/>
        </w:rPr>
        <w:t xml:space="preserve"> </w:t>
      </w:r>
      <w:r w:rsidR="008A20DA">
        <w:rPr>
          <w:rFonts w:ascii="Arial" w:hAnsi="Arial" w:cs="Arial"/>
          <w:sz w:val="24"/>
          <w:szCs w:val="24"/>
          <w:lang w:val="en-GB"/>
        </w:rPr>
        <w:t>the registration details of the child, his father</w:t>
      </w:r>
      <w:r w:rsidR="00EC0B01">
        <w:rPr>
          <w:rFonts w:ascii="Arial" w:hAnsi="Arial" w:cs="Arial"/>
          <w:sz w:val="24"/>
          <w:szCs w:val="24"/>
          <w:lang w:val="en-GB"/>
        </w:rPr>
        <w:t>’s details</w:t>
      </w:r>
      <w:r w:rsidR="0025679E">
        <w:rPr>
          <w:rFonts w:ascii="Arial" w:hAnsi="Arial" w:cs="Arial"/>
          <w:sz w:val="24"/>
          <w:szCs w:val="24"/>
          <w:lang w:val="en-GB"/>
        </w:rPr>
        <w:t>.</w:t>
      </w:r>
      <w:r w:rsidR="008F4FB4">
        <w:rPr>
          <w:rFonts w:ascii="Arial" w:hAnsi="Arial" w:cs="Arial"/>
          <w:sz w:val="24"/>
          <w:szCs w:val="24"/>
          <w:lang w:val="en-GB"/>
        </w:rPr>
        <w:t xml:space="preserve"> </w:t>
      </w:r>
      <w:r w:rsidR="008F4FB4">
        <w:rPr>
          <w:rFonts w:ascii="Arial" w:hAnsi="Arial" w:cs="Arial"/>
          <w:sz w:val="24"/>
          <w:szCs w:val="24"/>
          <w:lang w:val="en-GB"/>
        </w:rPr>
        <w:lastRenderedPageBreak/>
        <w:t>On these facts nothing has changed.</w:t>
      </w:r>
      <w:r w:rsidR="00500539">
        <w:rPr>
          <w:rFonts w:ascii="Arial" w:hAnsi="Arial" w:cs="Arial"/>
          <w:sz w:val="24"/>
          <w:szCs w:val="24"/>
          <w:lang w:val="en-GB"/>
        </w:rPr>
        <w:t xml:space="preserve">  The illegal status of the child’s father has not changed, the very issue at the core of their refusal to amend the birth registration details of the child.</w:t>
      </w:r>
    </w:p>
    <w:p w:rsidR="0058569B" w:rsidRDefault="00D2471F" w:rsidP="00AB73CD">
      <w:pPr>
        <w:spacing w:line="480" w:lineRule="auto"/>
        <w:jc w:val="both"/>
        <w:rPr>
          <w:rFonts w:ascii="Arial" w:hAnsi="Arial" w:cs="Arial"/>
          <w:sz w:val="24"/>
          <w:szCs w:val="24"/>
          <w:lang w:val="en-GB"/>
        </w:rPr>
      </w:pPr>
      <w:r>
        <w:rPr>
          <w:rFonts w:ascii="Arial" w:hAnsi="Arial" w:cs="Arial"/>
          <w:sz w:val="24"/>
          <w:szCs w:val="24"/>
          <w:lang w:val="en-GB"/>
        </w:rPr>
        <w:t>[1</w:t>
      </w:r>
      <w:r w:rsidR="00C45732">
        <w:rPr>
          <w:rFonts w:ascii="Arial" w:hAnsi="Arial" w:cs="Arial"/>
          <w:sz w:val="24"/>
          <w:szCs w:val="24"/>
          <w:lang w:val="en-GB"/>
        </w:rPr>
        <w:t>5</w:t>
      </w:r>
      <w:r w:rsidR="0025679E">
        <w:rPr>
          <w:rFonts w:ascii="Arial" w:hAnsi="Arial" w:cs="Arial"/>
          <w:sz w:val="24"/>
          <w:szCs w:val="24"/>
          <w:lang w:val="en-GB"/>
        </w:rPr>
        <w:t xml:space="preserve">] </w:t>
      </w:r>
      <w:r w:rsidR="00EA07C5">
        <w:rPr>
          <w:rFonts w:ascii="Arial" w:hAnsi="Arial" w:cs="Arial"/>
          <w:sz w:val="24"/>
          <w:szCs w:val="24"/>
          <w:lang w:val="en-GB"/>
        </w:rPr>
        <w:t>Second</w:t>
      </w:r>
      <w:r w:rsidR="00EC0B01">
        <w:rPr>
          <w:rFonts w:ascii="Arial" w:hAnsi="Arial" w:cs="Arial"/>
          <w:sz w:val="24"/>
          <w:szCs w:val="24"/>
          <w:lang w:val="en-GB"/>
        </w:rPr>
        <w:t>,</w:t>
      </w:r>
      <w:r w:rsidR="00EA07C5">
        <w:rPr>
          <w:rFonts w:ascii="Arial" w:hAnsi="Arial" w:cs="Arial"/>
          <w:sz w:val="24"/>
          <w:szCs w:val="24"/>
          <w:lang w:val="en-GB"/>
        </w:rPr>
        <w:t xml:space="preserve"> t</w:t>
      </w:r>
      <w:r w:rsidR="0025679E">
        <w:rPr>
          <w:rFonts w:ascii="Arial" w:hAnsi="Arial" w:cs="Arial"/>
          <w:sz w:val="24"/>
          <w:szCs w:val="24"/>
          <w:lang w:val="en-GB"/>
        </w:rPr>
        <w:t xml:space="preserve">he respondents not </w:t>
      </w:r>
      <w:r w:rsidR="008F4FB4">
        <w:rPr>
          <w:rFonts w:ascii="Arial" w:hAnsi="Arial" w:cs="Arial"/>
          <w:sz w:val="24"/>
          <w:szCs w:val="24"/>
          <w:lang w:val="en-GB"/>
        </w:rPr>
        <w:t xml:space="preserve">only </w:t>
      </w:r>
      <w:r w:rsidR="0025679E">
        <w:rPr>
          <w:rFonts w:ascii="Arial" w:hAnsi="Arial" w:cs="Arial"/>
          <w:sz w:val="24"/>
          <w:szCs w:val="24"/>
          <w:lang w:val="en-GB"/>
        </w:rPr>
        <w:t>maintained this stance on numerous occasions that the app</w:t>
      </w:r>
      <w:r w:rsidR="007E5F6F">
        <w:rPr>
          <w:rFonts w:ascii="Arial" w:hAnsi="Arial" w:cs="Arial"/>
          <w:sz w:val="24"/>
          <w:szCs w:val="24"/>
          <w:lang w:val="en-GB"/>
        </w:rPr>
        <w:t>licants visited their</w:t>
      </w:r>
      <w:r w:rsidR="0025679E">
        <w:rPr>
          <w:rFonts w:ascii="Arial" w:hAnsi="Arial" w:cs="Arial"/>
          <w:sz w:val="24"/>
          <w:szCs w:val="24"/>
          <w:lang w:val="en-GB"/>
        </w:rPr>
        <w:t xml:space="preserve"> offices but also filed a notice to oppose the application when the applicants </w:t>
      </w:r>
      <w:r w:rsidR="00EC0B01">
        <w:rPr>
          <w:rFonts w:ascii="Arial" w:hAnsi="Arial" w:cs="Arial"/>
          <w:sz w:val="24"/>
          <w:szCs w:val="24"/>
          <w:lang w:val="en-GB"/>
        </w:rPr>
        <w:t>instituted these proceedings</w:t>
      </w:r>
      <w:r w:rsidR="0025679E">
        <w:rPr>
          <w:rFonts w:ascii="Arial" w:hAnsi="Arial" w:cs="Arial"/>
          <w:sz w:val="24"/>
          <w:szCs w:val="24"/>
          <w:lang w:val="en-GB"/>
        </w:rPr>
        <w:t xml:space="preserve">. The respondents further filed a comprehensive answering affidavit contending that </w:t>
      </w:r>
      <w:r w:rsidR="005C63B5">
        <w:rPr>
          <w:rFonts w:ascii="Arial" w:hAnsi="Arial" w:cs="Arial"/>
          <w:sz w:val="24"/>
          <w:szCs w:val="24"/>
          <w:lang w:val="en-GB"/>
        </w:rPr>
        <w:t>Regulation 12(2)(c) was applicable and prevented them from making the necessary amendments</w:t>
      </w:r>
      <w:r w:rsidR="0025679E">
        <w:rPr>
          <w:rFonts w:ascii="Arial" w:hAnsi="Arial" w:cs="Arial"/>
          <w:sz w:val="24"/>
          <w:szCs w:val="24"/>
          <w:lang w:val="en-GB"/>
        </w:rPr>
        <w:t>. Even in the main heads of argument the respondents never concede</w:t>
      </w:r>
      <w:r w:rsidR="007E5F6F">
        <w:rPr>
          <w:rFonts w:ascii="Arial" w:hAnsi="Arial" w:cs="Arial"/>
          <w:sz w:val="24"/>
          <w:szCs w:val="24"/>
          <w:lang w:val="en-GB"/>
        </w:rPr>
        <w:t>d that</w:t>
      </w:r>
      <w:r w:rsidR="008F4FB4">
        <w:rPr>
          <w:rFonts w:ascii="Arial" w:hAnsi="Arial" w:cs="Arial"/>
          <w:sz w:val="24"/>
          <w:szCs w:val="24"/>
          <w:lang w:val="en-GB"/>
        </w:rPr>
        <w:t xml:space="preserve"> R</w:t>
      </w:r>
      <w:r w:rsidR="008A20DA">
        <w:rPr>
          <w:rFonts w:ascii="Arial" w:hAnsi="Arial" w:cs="Arial"/>
          <w:sz w:val="24"/>
          <w:szCs w:val="24"/>
          <w:lang w:val="en-GB"/>
        </w:rPr>
        <w:t>egulation 12</w:t>
      </w:r>
      <w:r w:rsidR="0025679E">
        <w:rPr>
          <w:rFonts w:ascii="Arial" w:hAnsi="Arial" w:cs="Arial"/>
          <w:sz w:val="24"/>
          <w:szCs w:val="24"/>
          <w:lang w:val="en-GB"/>
        </w:rPr>
        <w:t xml:space="preserve">(2)(c) was in fact unconstitutional. They </w:t>
      </w:r>
      <w:r w:rsidR="007E5F6F">
        <w:rPr>
          <w:rFonts w:ascii="Arial" w:hAnsi="Arial" w:cs="Arial"/>
          <w:sz w:val="24"/>
          <w:szCs w:val="24"/>
          <w:lang w:val="en-GB"/>
        </w:rPr>
        <w:t>merely conceded that the applicable</w:t>
      </w:r>
      <w:r w:rsidR="0025679E">
        <w:rPr>
          <w:rFonts w:ascii="Arial" w:hAnsi="Arial" w:cs="Arial"/>
          <w:sz w:val="24"/>
          <w:szCs w:val="24"/>
          <w:lang w:val="en-GB"/>
        </w:rPr>
        <w:t xml:space="preserve"> </w:t>
      </w:r>
      <w:r w:rsidR="0056412A">
        <w:rPr>
          <w:rFonts w:ascii="Arial" w:hAnsi="Arial" w:cs="Arial"/>
          <w:sz w:val="24"/>
          <w:szCs w:val="24"/>
          <w:lang w:val="en-GB"/>
        </w:rPr>
        <w:t>R</w:t>
      </w:r>
      <w:r w:rsidR="0025679E">
        <w:rPr>
          <w:rFonts w:ascii="Arial" w:hAnsi="Arial" w:cs="Arial"/>
          <w:sz w:val="24"/>
          <w:szCs w:val="24"/>
          <w:lang w:val="en-GB"/>
        </w:rPr>
        <w:t xml:space="preserve">egulation was Regulation 14 and not Regulation 12. </w:t>
      </w:r>
      <w:r w:rsidR="008F4FB4">
        <w:rPr>
          <w:rFonts w:ascii="Arial" w:hAnsi="Arial" w:cs="Arial"/>
          <w:sz w:val="24"/>
          <w:szCs w:val="24"/>
          <w:lang w:val="en-GB"/>
        </w:rPr>
        <w:t>It is not without significance that it is the respondents thems</w:t>
      </w:r>
      <w:r w:rsidR="008A20DA">
        <w:rPr>
          <w:rFonts w:ascii="Arial" w:hAnsi="Arial" w:cs="Arial"/>
          <w:sz w:val="24"/>
          <w:szCs w:val="24"/>
          <w:lang w:val="en-GB"/>
        </w:rPr>
        <w:t>elves that raised Regulation 12(2)</w:t>
      </w:r>
      <w:r w:rsidR="008F4FB4">
        <w:rPr>
          <w:rFonts w:ascii="Arial" w:hAnsi="Arial" w:cs="Arial"/>
          <w:sz w:val="24"/>
          <w:szCs w:val="24"/>
          <w:lang w:val="en-GB"/>
        </w:rPr>
        <w:t>(c)</w:t>
      </w:r>
      <w:r w:rsidR="009932CD">
        <w:rPr>
          <w:rFonts w:ascii="Arial" w:hAnsi="Arial" w:cs="Arial"/>
          <w:sz w:val="24"/>
          <w:szCs w:val="24"/>
          <w:lang w:val="en-GB"/>
        </w:rPr>
        <w:t xml:space="preserve"> as the reason for their refusal to come to the assistance of the minor child</w:t>
      </w:r>
      <w:r w:rsidR="00B10D5C">
        <w:rPr>
          <w:rFonts w:ascii="Arial" w:hAnsi="Arial" w:cs="Arial"/>
          <w:sz w:val="24"/>
          <w:szCs w:val="24"/>
          <w:lang w:val="en-GB"/>
        </w:rPr>
        <w:t>, not the applicants</w:t>
      </w:r>
      <w:r w:rsidR="009932CD">
        <w:rPr>
          <w:rFonts w:ascii="Arial" w:hAnsi="Arial" w:cs="Arial"/>
          <w:sz w:val="24"/>
          <w:szCs w:val="24"/>
          <w:lang w:val="en-GB"/>
        </w:rPr>
        <w:t xml:space="preserve">. </w:t>
      </w:r>
      <w:r w:rsidR="0025679E">
        <w:rPr>
          <w:rFonts w:ascii="Arial" w:hAnsi="Arial" w:cs="Arial"/>
          <w:sz w:val="24"/>
          <w:szCs w:val="24"/>
          <w:lang w:val="en-GB"/>
        </w:rPr>
        <w:t xml:space="preserve">Therefore, the question of the </w:t>
      </w:r>
      <w:r w:rsidR="00E36B6C">
        <w:rPr>
          <w:rFonts w:ascii="Arial" w:hAnsi="Arial" w:cs="Arial"/>
          <w:sz w:val="24"/>
          <w:szCs w:val="24"/>
          <w:lang w:val="en-GB"/>
        </w:rPr>
        <w:t>constitutionality</w:t>
      </w:r>
      <w:r w:rsidR="0025679E">
        <w:rPr>
          <w:rFonts w:ascii="Arial" w:hAnsi="Arial" w:cs="Arial"/>
          <w:sz w:val="24"/>
          <w:szCs w:val="24"/>
          <w:lang w:val="en-GB"/>
        </w:rPr>
        <w:t xml:space="preserve"> of Regulation 12 was not conceded and even in the supplementary heads of argument no such concession has been made. I</w:t>
      </w:r>
      <w:r w:rsidR="009932CD">
        <w:rPr>
          <w:rFonts w:ascii="Arial" w:hAnsi="Arial" w:cs="Arial"/>
          <w:sz w:val="24"/>
          <w:szCs w:val="24"/>
          <w:lang w:val="en-GB"/>
        </w:rPr>
        <w:t xml:space="preserve"> therefore do not see how this C</w:t>
      </w:r>
      <w:r w:rsidR="0025679E">
        <w:rPr>
          <w:rFonts w:ascii="Arial" w:hAnsi="Arial" w:cs="Arial"/>
          <w:sz w:val="24"/>
          <w:szCs w:val="24"/>
          <w:lang w:val="en-GB"/>
        </w:rPr>
        <w:t>ourt entertaining the matter of the constit</w:t>
      </w:r>
      <w:r w:rsidR="008A20DA">
        <w:rPr>
          <w:rFonts w:ascii="Arial" w:hAnsi="Arial" w:cs="Arial"/>
          <w:sz w:val="24"/>
          <w:szCs w:val="24"/>
          <w:lang w:val="en-GB"/>
        </w:rPr>
        <w:t>utionality of Regulation 12(2)</w:t>
      </w:r>
      <w:r w:rsidR="0025679E">
        <w:rPr>
          <w:rFonts w:ascii="Arial" w:hAnsi="Arial" w:cs="Arial"/>
          <w:sz w:val="24"/>
          <w:szCs w:val="24"/>
          <w:lang w:val="en-GB"/>
        </w:rPr>
        <w:t>(</w:t>
      </w:r>
      <w:r w:rsidR="0058569B">
        <w:rPr>
          <w:rFonts w:ascii="Arial" w:hAnsi="Arial" w:cs="Arial"/>
          <w:sz w:val="24"/>
          <w:szCs w:val="24"/>
          <w:lang w:val="en-GB"/>
        </w:rPr>
        <w:t>c) can be said to be</w:t>
      </w:r>
      <w:r w:rsidR="00CE698A">
        <w:rPr>
          <w:rFonts w:ascii="Arial" w:hAnsi="Arial" w:cs="Arial"/>
          <w:sz w:val="24"/>
          <w:szCs w:val="24"/>
          <w:lang w:val="en-GB"/>
        </w:rPr>
        <w:t xml:space="preserve"> not ripe</w:t>
      </w:r>
      <w:r w:rsidR="007E5F6F">
        <w:rPr>
          <w:rFonts w:ascii="Arial" w:hAnsi="Arial" w:cs="Arial"/>
          <w:sz w:val="24"/>
          <w:szCs w:val="24"/>
          <w:lang w:val="en-GB"/>
        </w:rPr>
        <w:t xml:space="preserve"> or </w:t>
      </w:r>
      <w:r w:rsidR="00B10D5C">
        <w:rPr>
          <w:rFonts w:ascii="Arial" w:hAnsi="Arial" w:cs="Arial"/>
          <w:sz w:val="24"/>
          <w:szCs w:val="24"/>
          <w:lang w:val="en-GB"/>
        </w:rPr>
        <w:t xml:space="preserve">to be </w:t>
      </w:r>
      <w:r w:rsidR="007E5F6F">
        <w:rPr>
          <w:rFonts w:ascii="Arial" w:hAnsi="Arial" w:cs="Arial"/>
          <w:sz w:val="24"/>
          <w:szCs w:val="24"/>
          <w:lang w:val="en-GB"/>
        </w:rPr>
        <w:t>moot</w:t>
      </w:r>
      <w:r w:rsidR="00CE698A">
        <w:rPr>
          <w:rFonts w:ascii="Arial" w:hAnsi="Arial" w:cs="Arial"/>
          <w:sz w:val="24"/>
          <w:szCs w:val="24"/>
          <w:lang w:val="en-GB"/>
        </w:rPr>
        <w:t>.</w:t>
      </w:r>
      <w:r w:rsidR="0058569B">
        <w:rPr>
          <w:rFonts w:ascii="Arial" w:hAnsi="Arial" w:cs="Arial"/>
          <w:sz w:val="24"/>
          <w:szCs w:val="24"/>
          <w:lang w:val="en-GB"/>
        </w:rPr>
        <w:t xml:space="preserve"> </w:t>
      </w:r>
    </w:p>
    <w:p w:rsidR="000964BA" w:rsidRDefault="00D2471F" w:rsidP="00AB73CD">
      <w:pPr>
        <w:spacing w:line="480" w:lineRule="auto"/>
        <w:jc w:val="both"/>
        <w:rPr>
          <w:rFonts w:ascii="Arial" w:hAnsi="Arial" w:cs="Arial"/>
          <w:sz w:val="24"/>
          <w:szCs w:val="24"/>
          <w:lang w:val="en-GB"/>
        </w:rPr>
      </w:pPr>
      <w:r>
        <w:rPr>
          <w:rFonts w:ascii="Arial" w:hAnsi="Arial" w:cs="Arial"/>
          <w:sz w:val="24"/>
          <w:szCs w:val="24"/>
          <w:lang w:val="en-GB"/>
        </w:rPr>
        <w:t>[1</w:t>
      </w:r>
      <w:r w:rsidR="00C45732">
        <w:rPr>
          <w:rFonts w:ascii="Arial" w:hAnsi="Arial" w:cs="Arial"/>
          <w:sz w:val="24"/>
          <w:szCs w:val="24"/>
          <w:lang w:val="en-GB"/>
        </w:rPr>
        <w:t>6</w:t>
      </w:r>
      <w:r w:rsidR="0058569B">
        <w:rPr>
          <w:rFonts w:ascii="Arial" w:hAnsi="Arial" w:cs="Arial"/>
          <w:sz w:val="24"/>
          <w:szCs w:val="24"/>
          <w:lang w:val="en-GB"/>
        </w:rPr>
        <w:t xml:space="preserve">] The argument seems to be that because the respondents have </w:t>
      </w:r>
      <w:r w:rsidR="008A20DA">
        <w:rPr>
          <w:rFonts w:ascii="Arial" w:hAnsi="Arial" w:cs="Arial"/>
          <w:sz w:val="24"/>
          <w:szCs w:val="24"/>
          <w:lang w:val="en-GB"/>
        </w:rPr>
        <w:t>changed their minds about</w:t>
      </w:r>
      <w:r w:rsidR="0058569B">
        <w:rPr>
          <w:rFonts w:ascii="Arial" w:hAnsi="Arial" w:cs="Arial"/>
          <w:sz w:val="24"/>
          <w:szCs w:val="24"/>
          <w:lang w:val="en-GB"/>
        </w:rPr>
        <w:t xml:space="preserve"> the </w:t>
      </w:r>
      <w:r w:rsidR="00243082">
        <w:rPr>
          <w:rFonts w:ascii="Arial" w:hAnsi="Arial" w:cs="Arial"/>
          <w:sz w:val="24"/>
          <w:szCs w:val="24"/>
          <w:lang w:val="en-GB"/>
        </w:rPr>
        <w:t>applica</w:t>
      </w:r>
      <w:r w:rsidR="0056412A">
        <w:rPr>
          <w:rFonts w:ascii="Arial" w:hAnsi="Arial" w:cs="Arial"/>
          <w:sz w:val="24"/>
          <w:szCs w:val="24"/>
          <w:lang w:val="en-GB"/>
        </w:rPr>
        <w:t>bili</w:t>
      </w:r>
      <w:r w:rsidR="00243082">
        <w:rPr>
          <w:rFonts w:ascii="Arial" w:hAnsi="Arial" w:cs="Arial"/>
          <w:sz w:val="24"/>
          <w:szCs w:val="24"/>
          <w:lang w:val="en-GB"/>
        </w:rPr>
        <w:t>t</w:t>
      </w:r>
      <w:r w:rsidR="0056412A">
        <w:rPr>
          <w:rFonts w:ascii="Arial" w:hAnsi="Arial" w:cs="Arial"/>
          <w:sz w:val="24"/>
          <w:szCs w:val="24"/>
          <w:lang w:val="en-GB"/>
        </w:rPr>
        <w:t>y</w:t>
      </w:r>
      <w:r w:rsidR="0058569B">
        <w:rPr>
          <w:rFonts w:ascii="Arial" w:hAnsi="Arial" w:cs="Arial"/>
          <w:sz w:val="24"/>
          <w:szCs w:val="24"/>
          <w:lang w:val="en-GB"/>
        </w:rPr>
        <w:t xml:space="preserve"> </w:t>
      </w:r>
      <w:r w:rsidR="008A20DA">
        <w:rPr>
          <w:rFonts w:ascii="Arial" w:hAnsi="Arial" w:cs="Arial"/>
          <w:sz w:val="24"/>
          <w:szCs w:val="24"/>
          <w:lang w:val="en-GB"/>
        </w:rPr>
        <w:t xml:space="preserve">of Regulation 12(2)(c) </w:t>
      </w:r>
      <w:r w:rsidR="005C63B5">
        <w:rPr>
          <w:rFonts w:ascii="Arial" w:hAnsi="Arial" w:cs="Arial"/>
          <w:sz w:val="24"/>
          <w:szCs w:val="24"/>
          <w:lang w:val="en-GB"/>
        </w:rPr>
        <w:t>which</w:t>
      </w:r>
      <w:r w:rsidR="00EC0B01">
        <w:rPr>
          <w:rFonts w:ascii="Arial" w:hAnsi="Arial" w:cs="Arial"/>
          <w:sz w:val="24"/>
          <w:szCs w:val="24"/>
          <w:lang w:val="en-GB"/>
        </w:rPr>
        <w:t>,</w:t>
      </w:r>
      <w:r w:rsidR="005C63B5">
        <w:rPr>
          <w:rFonts w:ascii="Arial" w:hAnsi="Arial" w:cs="Arial"/>
          <w:sz w:val="24"/>
          <w:szCs w:val="24"/>
          <w:lang w:val="en-GB"/>
        </w:rPr>
        <w:t xml:space="preserve"> ironically</w:t>
      </w:r>
      <w:r w:rsidR="00EC0B01">
        <w:rPr>
          <w:rFonts w:ascii="Arial" w:hAnsi="Arial" w:cs="Arial"/>
          <w:sz w:val="24"/>
          <w:szCs w:val="24"/>
          <w:lang w:val="en-GB"/>
        </w:rPr>
        <w:t>,</w:t>
      </w:r>
      <w:r w:rsidR="005C63B5">
        <w:rPr>
          <w:rFonts w:ascii="Arial" w:hAnsi="Arial" w:cs="Arial"/>
          <w:sz w:val="24"/>
          <w:szCs w:val="24"/>
          <w:lang w:val="en-GB"/>
        </w:rPr>
        <w:t xml:space="preserve"> was </w:t>
      </w:r>
      <w:r w:rsidR="0058569B">
        <w:rPr>
          <w:rFonts w:ascii="Arial" w:hAnsi="Arial" w:cs="Arial"/>
          <w:sz w:val="24"/>
          <w:szCs w:val="24"/>
          <w:lang w:val="en-GB"/>
        </w:rPr>
        <w:t>raised by them</w:t>
      </w:r>
      <w:r w:rsidR="008A20DA">
        <w:rPr>
          <w:rFonts w:ascii="Arial" w:hAnsi="Arial" w:cs="Arial"/>
          <w:sz w:val="24"/>
          <w:szCs w:val="24"/>
          <w:lang w:val="en-GB"/>
        </w:rPr>
        <w:t>, the issue is not ripe</w:t>
      </w:r>
      <w:r w:rsidR="00C24061">
        <w:rPr>
          <w:rFonts w:ascii="Arial" w:hAnsi="Arial" w:cs="Arial"/>
          <w:sz w:val="24"/>
          <w:szCs w:val="24"/>
          <w:lang w:val="en-GB"/>
        </w:rPr>
        <w:t>. T</w:t>
      </w:r>
      <w:r w:rsidR="0058569B">
        <w:rPr>
          <w:rFonts w:ascii="Arial" w:hAnsi="Arial" w:cs="Arial"/>
          <w:sz w:val="24"/>
          <w:szCs w:val="24"/>
          <w:lang w:val="en-GB"/>
        </w:rPr>
        <w:t>herefore</w:t>
      </w:r>
      <w:r w:rsidR="00C24061">
        <w:rPr>
          <w:rFonts w:ascii="Arial" w:hAnsi="Arial" w:cs="Arial"/>
          <w:sz w:val="24"/>
          <w:szCs w:val="24"/>
          <w:lang w:val="en-GB"/>
        </w:rPr>
        <w:t>, so goes the argument</w:t>
      </w:r>
      <w:r w:rsidR="00EC0B01">
        <w:rPr>
          <w:rFonts w:ascii="Arial" w:hAnsi="Arial" w:cs="Arial"/>
          <w:sz w:val="24"/>
          <w:szCs w:val="24"/>
          <w:lang w:val="en-GB"/>
        </w:rPr>
        <w:t>,</w:t>
      </w:r>
      <w:r w:rsidR="005C63B5">
        <w:rPr>
          <w:rFonts w:ascii="Arial" w:hAnsi="Arial" w:cs="Arial"/>
          <w:sz w:val="24"/>
          <w:szCs w:val="24"/>
          <w:lang w:val="en-GB"/>
        </w:rPr>
        <w:t xml:space="preserve"> as I understand it</w:t>
      </w:r>
      <w:r w:rsidR="00C24061">
        <w:rPr>
          <w:rFonts w:ascii="Arial" w:hAnsi="Arial" w:cs="Arial"/>
          <w:sz w:val="24"/>
          <w:szCs w:val="24"/>
          <w:lang w:val="en-GB"/>
        </w:rPr>
        <w:t xml:space="preserve">, </w:t>
      </w:r>
      <w:r w:rsidR="002F6975">
        <w:rPr>
          <w:rFonts w:ascii="Arial" w:hAnsi="Arial" w:cs="Arial"/>
          <w:sz w:val="24"/>
          <w:szCs w:val="24"/>
          <w:lang w:val="en-GB"/>
        </w:rPr>
        <w:t xml:space="preserve">as </w:t>
      </w:r>
      <w:r w:rsidR="00C24061">
        <w:rPr>
          <w:rFonts w:ascii="Arial" w:hAnsi="Arial" w:cs="Arial"/>
          <w:sz w:val="24"/>
          <w:szCs w:val="24"/>
          <w:lang w:val="en-GB"/>
        </w:rPr>
        <w:t xml:space="preserve">they </w:t>
      </w:r>
      <w:r w:rsidR="0058569B">
        <w:rPr>
          <w:rFonts w:ascii="Arial" w:hAnsi="Arial" w:cs="Arial"/>
          <w:sz w:val="24"/>
          <w:szCs w:val="24"/>
          <w:lang w:val="en-GB"/>
        </w:rPr>
        <w:t>have given the applicants</w:t>
      </w:r>
      <w:r w:rsidR="000964BA">
        <w:rPr>
          <w:rFonts w:ascii="Arial" w:hAnsi="Arial" w:cs="Arial"/>
          <w:sz w:val="24"/>
          <w:szCs w:val="24"/>
          <w:lang w:val="en-GB"/>
        </w:rPr>
        <w:t xml:space="preserve"> the relief they sought all along</w:t>
      </w:r>
      <w:r w:rsidR="00C24061">
        <w:rPr>
          <w:rFonts w:ascii="Arial" w:hAnsi="Arial" w:cs="Arial"/>
          <w:sz w:val="24"/>
          <w:szCs w:val="24"/>
          <w:lang w:val="en-GB"/>
        </w:rPr>
        <w:t>,</w:t>
      </w:r>
      <w:r w:rsidR="007E5F6F">
        <w:rPr>
          <w:rFonts w:ascii="Arial" w:hAnsi="Arial" w:cs="Arial"/>
          <w:sz w:val="24"/>
          <w:szCs w:val="24"/>
          <w:lang w:val="en-GB"/>
        </w:rPr>
        <w:t xml:space="preserve"> the matt</w:t>
      </w:r>
      <w:r w:rsidR="00D634F9">
        <w:rPr>
          <w:rFonts w:ascii="Arial" w:hAnsi="Arial" w:cs="Arial"/>
          <w:sz w:val="24"/>
          <w:szCs w:val="24"/>
          <w:lang w:val="en-GB"/>
        </w:rPr>
        <w:t xml:space="preserve">er </w:t>
      </w:r>
      <w:r w:rsidR="00C24061">
        <w:rPr>
          <w:rFonts w:ascii="Arial" w:hAnsi="Arial" w:cs="Arial"/>
          <w:sz w:val="24"/>
          <w:szCs w:val="24"/>
          <w:lang w:val="en-GB"/>
        </w:rPr>
        <w:t>should die</w:t>
      </w:r>
      <w:r w:rsidR="00D634F9">
        <w:rPr>
          <w:rFonts w:ascii="Arial" w:hAnsi="Arial" w:cs="Arial"/>
          <w:sz w:val="24"/>
          <w:szCs w:val="24"/>
          <w:lang w:val="en-GB"/>
        </w:rPr>
        <w:t xml:space="preserve"> a natural death</w:t>
      </w:r>
      <w:r w:rsidR="00E36B6C">
        <w:rPr>
          <w:rFonts w:ascii="Arial" w:hAnsi="Arial" w:cs="Arial"/>
          <w:sz w:val="24"/>
          <w:szCs w:val="24"/>
          <w:lang w:val="en-GB"/>
        </w:rPr>
        <w:t xml:space="preserve"> and the court should not </w:t>
      </w:r>
      <w:r w:rsidR="00EC0B01">
        <w:rPr>
          <w:rFonts w:ascii="Arial" w:hAnsi="Arial" w:cs="Arial"/>
          <w:sz w:val="24"/>
          <w:szCs w:val="24"/>
          <w:lang w:val="en-GB"/>
        </w:rPr>
        <w:t>pronounce on</w:t>
      </w:r>
      <w:r w:rsidR="00E36B6C">
        <w:rPr>
          <w:rFonts w:ascii="Arial" w:hAnsi="Arial" w:cs="Arial"/>
          <w:sz w:val="24"/>
          <w:szCs w:val="24"/>
          <w:lang w:val="en-GB"/>
        </w:rPr>
        <w:t xml:space="preserve"> the issue</w:t>
      </w:r>
      <w:r w:rsidR="00D634F9">
        <w:rPr>
          <w:rFonts w:ascii="Arial" w:hAnsi="Arial" w:cs="Arial"/>
          <w:sz w:val="24"/>
          <w:szCs w:val="24"/>
          <w:lang w:val="en-GB"/>
        </w:rPr>
        <w:t>. That</w:t>
      </w:r>
      <w:r w:rsidR="00EC0B01">
        <w:rPr>
          <w:rFonts w:ascii="Arial" w:hAnsi="Arial" w:cs="Arial"/>
          <w:sz w:val="24"/>
          <w:szCs w:val="24"/>
          <w:lang w:val="en-GB"/>
        </w:rPr>
        <w:t>,</w:t>
      </w:r>
      <w:r w:rsidR="00D634F9">
        <w:rPr>
          <w:rFonts w:ascii="Arial" w:hAnsi="Arial" w:cs="Arial"/>
          <w:sz w:val="24"/>
          <w:szCs w:val="24"/>
          <w:lang w:val="en-GB"/>
        </w:rPr>
        <w:t xml:space="preserve"> in my view</w:t>
      </w:r>
      <w:r w:rsidR="00EC0B01">
        <w:rPr>
          <w:rFonts w:ascii="Arial" w:hAnsi="Arial" w:cs="Arial"/>
          <w:sz w:val="24"/>
          <w:szCs w:val="24"/>
          <w:lang w:val="en-GB"/>
        </w:rPr>
        <w:t>,</w:t>
      </w:r>
      <w:r w:rsidR="00D634F9">
        <w:rPr>
          <w:rFonts w:ascii="Arial" w:hAnsi="Arial" w:cs="Arial"/>
          <w:sz w:val="24"/>
          <w:szCs w:val="24"/>
          <w:lang w:val="en-GB"/>
        </w:rPr>
        <w:t xml:space="preserve"> cannot be so. It cannot be so </w:t>
      </w:r>
      <w:r w:rsidR="00500539">
        <w:rPr>
          <w:rFonts w:ascii="Arial" w:hAnsi="Arial" w:cs="Arial"/>
          <w:sz w:val="24"/>
          <w:szCs w:val="24"/>
          <w:lang w:val="en-GB"/>
        </w:rPr>
        <w:t>amongst many other reasons</w:t>
      </w:r>
      <w:r w:rsidR="00EC0B01">
        <w:rPr>
          <w:rFonts w:ascii="Arial" w:hAnsi="Arial" w:cs="Arial"/>
          <w:sz w:val="24"/>
          <w:szCs w:val="24"/>
          <w:lang w:val="en-GB"/>
        </w:rPr>
        <w:t xml:space="preserve"> also</w:t>
      </w:r>
      <w:r w:rsidR="00BC329F">
        <w:rPr>
          <w:rFonts w:ascii="Arial" w:hAnsi="Arial" w:cs="Arial"/>
          <w:sz w:val="24"/>
          <w:szCs w:val="24"/>
          <w:lang w:val="en-GB"/>
        </w:rPr>
        <w:t xml:space="preserve"> </w:t>
      </w:r>
      <w:r w:rsidR="00D634F9">
        <w:rPr>
          <w:rFonts w:ascii="Arial" w:hAnsi="Arial" w:cs="Arial"/>
          <w:sz w:val="24"/>
          <w:szCs w:val="24"/>
          <w:lang w:val="en-GB"/>
        </w:rPr>
        <w:t xml:space="preserve">because </w:t>
      </w:r>
      <w:r w:rsidR="00EC0B01">
        <w:rPr>
          <w:rFonts w:ascii="Arial" w:hAnsi="Arial" w:cs="Arial"/>
          <w:sz w:val="24"/>
          <w:szCs w:val="24"/>
          <w:lang w:val="en-GB"/>
        </w:rPr>
        <w:t xml:space="preserve">as </w:t>
      </w:r>
      <w:r w:rsidR="00D634F9">
        <w:rPr>
          <w:rFonts w:ascii="Arial" w:hAnsi="Arial" w:cs="Arial"/>
          <w:sz w:val="24"/>
          <w:szCs w:val="24"/>
          <w:lang w:val="en-GB"/>
        </w:rPr>
        <w:t xml:space="preserve">can be gleaned from the respondents’ </w:t>
      </w:r>
      <w:r w:rsidR="005C63B5">
        <w:rPr>
          <w:rFonts w:ascii="Arial" w:hAnsi="Arial" w:cs="Arial"/>
          <w:sz w:val="24"/>
          <w:szCs w:val="24"/>
          <w:lang w:val="en-GB"/>
        </w:rPr>
        <w:t>answering affidavit</w:t>
      </w:r>
      <w:r w:rsidR="00EC0B01">
        <w:rPr>
          <w:rFonts w:ascii="Arial" w:hAnsi="Arial" w:cs="Arial"/>
          <w:sz w:val="24"/>
          <w:szCs w:val="24"/>
          <w:lang w:val="en-GB"/>
        </w:rPr>
        <w:t>,</w:t>
      </w:r>
      <w:r w:rsidR="00D634F9">
        <w:rPr>
          <w:rFonts w:ascii="Arial" w:hAnsi="Arial" w:cs="Arial"/>
          <w:sz w:val="24"/>
          <w:szCs w:val="24"/>
          <w:lang w:val="en-GB"/>
        </w:rPr>
        <w:t xml:space="preserve"> every day in all </w:t>
      </w:r>
      <w:r w:rsidR="00D02D79">
        <w:rPr>
          <w:rFonts w:ascii="Arial" w:hAnsi="Arial" w:cs="Arial"/>
          <w:sz w:val="24"/>
          <w:szCs w:val="24"/>
          <w:lang w:val="en-GB"/>
        </w:rPr>
        <w:t>the Department of Home Affairs</w:t>
      </w:r>
      <w:r w:rsidR="00D634F9">
        <w:rPr>
          <w:rFonts w:ascii="Arial" w:hAnsi="Arial" w:cs="Arial"/>
          <w:sz w:val="24"/>
          <w:szCs w:val="24"/>
          <w:lang w:val="en-GB"/>
        </w:rPr>
        <w:t xml:space="preserve"> offices throughout the country</w:t>
      </w:r>
      <w:r w:rsidR="00EC0B01">
        <w:rPr>
          <w:rFonts w:ascii="Arial" w:hAnsi="Arial" w:cs="Arial"/>
          <w:sz w:val="24"/>
          <w:szCs w:val="24"/>
          <w:lang w:val="en-GB"/>
        </w:rPr>
        <w:t>,</w:t>
      </w:r>
      <w:r w:rsidR="00D634F9">
        <w:rPr>
          <w:rFonts w:ascii="Arial" w:hAnsi="Arial" w:cs="Arial"/>
          <w:sz w:val="24"/>
          <w:szCs w:val="24"/>
          <w:lang w:val="en-GB"/>
        </w:rPr>
        <w:t xml:space="preserve"> those seeking the </w:t>
      </w:r>
      <w:r w:rsidR="00D02D79">
        <w:rPr>
          <w:rFonts w:ascii="Arial" w:hAnsi="Arial" w:cs="Arial"/>
          <w:sz w:val="24"/>
          <w:szCs w:val="24"/>
          <w:lang w:val="en-GB"/>
        </w:rPr>
        <w:t>registration</w:t>
      </w:r>
      <w:r w:rsidR="00D634F9">
        <w:rPr>
          <w:rFonts w:ascii="Arial" w:hAnsi="Arial" w:cs="Arial"/>
          <w:sz w:val="24"/>
          <w:szCs w:val="24"/>
          <w:lang w:val="en-GB"/>
        </w:rPr>
        <w:t xml:space="preserve"> of their </w:t>
      </w:r>
      <w:r w:rsidR="00D634F9">
        <w:rPr>
          <w:rFonts w:ascii="Arial" w:hAnsi="Arial" w:cs="Arial"/>
          <w:sz w:val="24"/>
          <w:szCs w:val="24"/>
          <w:lang w:val="en-GB"/>
        </w:rPr>
        <w:lastRenderedPageBreak/>
        <w:t>details in the birth records of their children are turned away if the</w:t>
      </w:r>
      <w:r w:rsidR="005C63B5">
        <w:rPr>
          <w:rFonts w:ascii="Arial" w:hAnsi="Arial" w:cs="Arial"/>
          <w:sz w:val="24"/>
          <w:szCs w:val="24"/>
          <w:lang w:val="en-GB"/>
        </w:rPr>
        <w:t>y are</w:t>
      </w:r>
      <w:r w:rsidR="00BC329F">
        <w:rPr>
          <w:rFonts w:ascii="Arial" w:hAnsi="Arial" w:cs="Arial"/>
          <w:sz w:val="24"/>
          <w:szCs w:val="24"/>
          <w:lang w:val="en-GB"/>
        </w:rPr>
        <w:t xml:space="preserve"> fathers</w:t>
      </w:r>
      <w:r w:rsidR="00D634F9">
        <w:rPr>
          <w:rFonts w:ascii="Arial" w:hAnsi="Arial" w:cs="Arial"/>
          <w:sz w:val="24"/>
          <w:szCs w:val="24"/>
          <w:lang w:val="en-GB"/>
        </w:rPr>
        <w:t xml:space="preserve"> </w:t>
      </w:r>
      <w:r w:rsidR="005C63B5">
        <w:rPr>
          <w:rFonts w:ascii="Arial" w:hAnsi="Arial" w:cs="Arial"/>
          <w:sz w:val="24"/>
          <w:szCs w:val="24"/>
          <w:lang w:val="en-GB"/>
        </w:rPr>
        <w:t xml:space="preserve">who </w:t>
      </w:r>
      <w:r w:rsidR="00D634F9">
        <w:rPr>
          <w:rFonts w:ascii="Arial" w:hAnsi="Arial" w:cs="Arial"/>
          <w:sz w:val="24"/>
          <w:szCs w:val="24"/>
          <w:lang w:val="en-GB"/>
        </w:rPr>
        <w:t xml:space="preserve">happen to be </w:t>
      </w:r>
      <w:r w:rsidR="00C24061">
        <w:rPr>
          <w:rFonts w:ascii="Arial" w:hAnsi="Arial" w:cs="Arial"/>
          <w:sz w:val="24"/>
          <w:szCs w:val="24"/>
          <w:lang w:val="en-GB"/>
        </w:rPr>
        <w:t xml:space="preserve">illegal </w:t>
      </w:r>
      <w:r w:rsidR="00D634F9">
        <w:rPr>
          <w:rFonts w:ascii="Arial" w:hAnsi="Arial" w:cs="Arial"/>
          <w:sz w:val="24"/>
          <w:szCs w:val="24"/>
          <w:lang w:val="en-GB"/>
        </w:rPr>
        <w:t xml:space="preserve">foreigners. The question that must follow logically </w:t>
      </w:r>
      <w:r w:rsidR="000964BA">
        <w:rPr>
          <w:rFonts w:ascii="Arial" w:hAnsi="Arial" w:cs="Arial"/>
          <w:sz w:val="24"/>
          <w:szCs w:val="24"/>
          <w:lang w:val="en-GB"/>
        </w:rPr>
        <w:t xml:space="preserve">is whether the </w:t>
      </w:r>
      <w:r w:rsidR="00843A07">
        <w:rPr>
          <w:rFonts w:ascii="Arial" w:hAnsi="Arial" w:cs="Arial"/>
          <w:sz w:val="24"/>
          <w:szCs w:val="24"/>
          <w:lang w:val="en-GB"/>
        </w:rPr>
        <w:t xml:space="preserve">respondents’ </w:t>
      </w:r>
      <w:r w:rsidR="000964BA">
        <w:rPr>
          <w:rFonts w:ascii="Arial" w:hAnsi="Arial" w:cs="Arial"/>
          <w:sz w:val="24"/>
          <w:szCs w:val="24"/>
          <w:lang w:val="en-GB"/>
        </w:rPr>
        <w:t xml:space="preserve">contention </w:t>
      </w:r>
      <w:r w:rsidR="003563B4">
        <w:rPr>
          <w:rFonts w:ascii="Arial" w:hAnsi="Arial" w:cs="Arial"/>
          <w:sz w:val="24"/>
          <w:szCs w:val="24"/>
          <w:lang w:val="en-GB"/>
        </w:rPr>
        <w:t>on</w:t>
      </w:r>
      <w:r w:rsidR="000964BA">
        <w:rPr>
          <w:rFonts w:ascii="Arial" w:hAnsi="Arial" w:cs="Arial"/>
          <w:sz w:val="24"/>
          <w:szCs w:val="24"/>
          <w:lang w:val="en-GB"/>
        </w:rPr>
        <w:t xml:space="preserve"> ripeness </w:t>
      </w:r>
      <w:r w:rsidR="00D02D79">
        <w:rPr>
          <w:rFonts w:ascii="Arial" w:hAnsi="Arial" w:cs="Arial"/>
          <w:sz w:val="24"/>
          <w:szCs w:val="24"/>
          <w:lang w:val="en-GB"/>
        </w:rPr>
        <w:t>or</w:t>
      </w:r>
      <w:r w:rsidR="000964BA">
        <w:rPr>
          <w:rFonts w:ascii="Arial" w:hAnsi="Arial" w:cs="Arial"/>
          <w:sz w:val="24"/>
          <w:szCs w:val="24"/>
          <w:lang w:val="en-GB"/>
        </w:rPr>
        <w:t xml:space="preserve"> mootness in this matter</w:t>
      </w:r>
      <w:r w:rsidR="00C24061">
        <w:rPr>
          <w:rFonts w:ascii="Arial" w:hAnsi="Arial" w:cs="Arial"/>
          <w:sz w:val="24"/>
          <w:szCs w:val="24"/>
          <w:lang w:val="en-GB"/>
        </w:rPr>
        <w:t xml:space="preserve"> is </w:t>
      </w:r>
      <w:r w:rsidR="005C63B5">
        <w:rPr>
          <w:rFonts w:ascii="Arial" w:hAnsi="Arial" w:cs="Arial"/>
          <w:sz w:val="24"/>
          <w:szCs w:val="24"/>
          <w:lang w:val="en-GB"/>
        </w:rPr>
        <w:t>sustainable</w:t>
      </w:r>
      <w:r w:rsidR="00C24061">
        <w:rPr>
          <w:rFonts w:ascii="Arial" w:hAnsi="Arial" w:cs="Arial"/>
          <w:sz w:val="24"/>
          <w:szCs w:val="24"/>
          <w:lang w:val="en-GB"/>
        </w:rPr>
        <w:t xml:space="preserve">. I </w:t>
      </w:r>
      <w:r w:rsidR="00E36B6C">
        <w:rPr>
          <w:rFonts w:ascii="Arial" w:hAnsi="Arial" w:cs="Arial"/>
          <w:sz w:val="24"/>
          <w:szCs w:val="24"/>
          <w:lang w:val="en-GB"/>
        </w:rPr>
        <w:t>fail to</w:t>
      </w:r>
      <w:r w:rsidR="00C24061">
        <w:rPr>
          <w:rFonts w:ascii="Arial" w:hAnsi="Arial" w:cs="Arial"/>
          <w:sz w:val="24"/>
          <w:szCs w:val="24"/>
          <w:lang w:val="en-GB"/>
        </w:rPr>
        <w:t xml:space="preserve"> see how </w:t>
      </w:r>
      <w:r w:rsidR="007E5F6F">
        <w:rPr>
          <w:rFonts w:ascii="Arial" w:hAnsi="Arial" w:cs="Arial"/>
          <w:sz w:val="24"/>
          <w:szCs w:val="24"/>
          <w:lang w:val="en-GB"/>
        </w:rPr>
        <w:t>the constitutional challenge</w:t>
      </w:r>
      <w:r w:rsidR="000964BA">
        <w:rPr>
          <w:rFonts w:ascii="Arial" w:hAnsi="Arial" w:cs="Arial"/>
          <w:sz w:val="24"/>
          <w:szCs w:val="24"/>
          <w:lang w:val="en-GB"/>
        </w:rPr>
        <w:t xml:space="preserve"> can be said to be moot or not ripe</w:t>
      </w:r>
      <w:r w:rsidR="00EC0B01">
        <w:rPr>
          <w:rFonts w:ascii="Arial" w:hAnsi="Arial" w:cs="Arial"/>
          <w:sz w:val="24"/>
          <w:szCs w:val="24"/>
          <w:lang w:val="en-GB"/>
        </w:rPr>
        <w:t>,</w:t>
      </w:r>
      <w:r w:rsidR="000964BA">
        <w:rPr>
          <w:rFonts w:ascii="Arial" w:hAnsi="Arial" w:cs="Arial"/>
          <w:sz w:val="24"/>
          <w:szCs w:val="24"/>
          <w:lang w:val="en-GB"/>
        </w:rPr>
        <w:t xml:space="preserve"> </w:t>
      </w:r>
      <w:r w:rsidR="00BC329F">
        <w:rPr>
          <w:rFonts w:ascii="Arial" w:hAnsi="Arial" w:cs="Arial"/>
          <w:sz w:val="24"/>
          <w:szCs w:val="24"/>
          <w:lang w:val="en-GB"/>
        </w:rPr>
        <w:t>absent a concession on the unconstitutional</w:t>
      </w:r>
      <w:r w:rsidR="00B2763E">
        <w:rPr>
          <w:rFonts w:ascii="Arial" w:hAnsi="Arial" w:cs="Arial"/>
          <w:sz w:val="24"/>
          <w:szCs w:val="24"/>
          <w:lang w:val="en-GB"/>
        </w:rPr>
        <w:t>it</w:t>
      </w:r>
      <w:r w:rsidR="00BC329F">
        <w:rPr>
          <w:rFonts w:ascii="Arial" w:hAnsi="Arial" w:cs="Arial"/>
          <w:sz w:val="24"/>
          <w:szCs w:val="24"/>
          <w:lang w:val="en-GB"/>
        </w:rPr>
        <w:t>y of the Regulation and an</w:t>
      </w:r>
      <w:r w:rsidR="000964BA">
        <w:rPr>
          <w:rFonts w:ascii="Arial" w:hAnsi="Arial" w:cs="Arial"/>
          <w:sz w:val="24"/>
          <w:szCs w:val="24"/>
          <w:lang w:val="en-GB"/>
        </w:rPr>
        <w:t xml:space="preserve"> intention by the respondents to immediately suspend the </w:t>
      </w:r>
      <w:r w:rsidR="005C63B5">
        <w:rPr>
          <w:rFonts w:ascii="Arial" w:hAnsi="Arial" w:cs="Arial"/>
          <w:sz w:val="24"/>
          <w:szCs w:val="24"/>
          <w:lang w:val="en-GB"/>
        </w:rPr>
        <w:t>R</w:t>
      </w:r>
      <w:r w:rsidR="000964BA">
        <w:rPr>
          <w:rFonts w:ascii="Arial" w:hAnsi="Arial" w:cs="Arial"/>
          <w:sz w:val="24"/>
          <w:szCs w:val="24"/>
          <w:lang w:val="en-GB"/>
        </w:rPr>
        <w:t>egulation until it is otherwise amended.</w:t>
      </w:r>
      <w:r w:rsidR="007F0ADC">
        <w:rPr>
          <w:rFonts w:ascii="Arial" w:hAnsi="Arial" w:cs="Arial"/>
          <w:sz w:val="24"/>
          <w:szCs w:val="24"/>
          <w:lang w:val="en-GB"/>
        </w:rPr>
        <w:t xml:space="preserve"> There is not even an explanation for their change of heart. Rights of citizens cannot, in my view, be subject to the whims </w:t>
      </w:r>
      <w:r w:rsidR="00BC329F">
        <w:rPr>
          <w:rFonts w:ascii="Arial" w:hAnsi="Arial" w:cs="Arial"/>
          <w:sz w:val="24"/>
          <w:szCs w:val="24"/>
          <w:lang w:val="en-GB"/>
        </w:rPr>
        <w:t xml:space="preserve">or attitudes </w:t>
      </w:r>
      <w:r w:rsidR="007F0ADC">
        <w:rPr>
          <w:rFonts w:ascii="Arial" w:hAnsi="Arial" w:cs="Arial"/>
          <w:sz w:val="24"/>
          <w:szCs w:val="24"/>
          <w:lang w:val="en-GB"/>
        </w:rPr>
        <w:t xml:space="preserve">of the </w:t>
      </w:r>
      <w:r w:rsidR="00D02D79">
        <w:rPr>
          <w:rFonts w:ascii="Arial" w:hAnsi="Arial" w:cs="Arial"/>
          <w:sz w:val="24"/>
          <w:szCs w:val="24"/>
          <w:lang w:val="en-GB"/>
        </w:rPr>
        <w:t>attending officials in government offices</w:t>
      </w:r>
      <w:r w:rsidR="007F0ADC">
        <w:rPr>
          <w:rFonts w:ascii="Arial" w:hAnsi="Arial" w:cs="Arial"/>
          <w:sz w:val="24"/>
          <w:szCs w:val="24"/>
          <w:lang w:val="en-GB"/>
        </w:rPr>
        <w:t>.</w:t>
      </w:r>
      <w:r w:rsidR="00BC329F">
        <w:rPr>
          <w:rFonts w:ascii="Arial" w:hAnsi="Arial" w:cs="Arial"/>
          <w:sz w:val="24"/>
          <w:szCs w:val="24"/>
          <w:lang w:val="en-GB"/>
        </w:rPr>
        <w:t xml:space="preserve">  </w:t>
      </w:r>
      <w:r w:rsidR="00E36B6C">
        <w:rPr>
          <w:rFonts w:ascii="Arial" w:hAnsi="Arial" w:cs="Arial"/>
          <w:sz w:val="24"/>
          <w:szCs w:val="24"/>
          <w:lang w:val="en-GB"/>
        </w:rPr>
        <w:t>It cannot be gainsaid</w:t>
      </w:r>
      <w:r w:rsidR="00BC329F">
        <w:rPr>
          <w:rFonts w:ascii="Arial" w:hAnsi="Arial" w:cs="Arial"/>
          <w:sz w:val="24"/>
          <w:szCs w:val="24"/>
          <w:lang w:val="en-GB"/>
        </w:rPr>
        <w:t xml:space="preserve"> that courts must act when rights of citizens, especially the rights of children are allegedly being </w:t>
      </w:r>
      <w:r w:rsidR="00D219EB">
        <w:rPr>
          <w:rFonts w:ascii="Arial" w:hAnsi="Arial" w:cs="Arial"/>
          <w:sz w:val="24"/>
          <w:szCs w:val="24"/>
          <w:lang w:val="en-GB"/>
        </w:rPr>
        <w:t xml:space="preserve">undermined </w:t>
      </w:r>
      <w:r w:rsidR="00BC329F">
        <w:rPr>
          <w:rFonts w:ascii="Arial" w:hAnsi="Arial" w:cs="Arial"/>
          <w:sz w:val="24"/>
          <w:szCs w:val="24"/>
          <w:lang w:val="en-GB"/>
        </w:rPr>
        <w:t>or somehow trampled upon.</w:t>
      </w:r>
    </w:p>
    <w:p w:rsidR="002F49C4" w:rsidRDefault="00C24061" w:rsidP="00AB73CD">
      <w:pPr>
        <w:spacing w:line="480" w:lineRule="auto"/>
        <w:jc w:val="both"/>
        <w:rPr>
          <w:rFonts w:ascii="Arial" w:hAnsi="Arial" w:cs="Arial"/>
          <w:sz w:val="24"/>
          <w:szCs w:val="24"/>
          <w:lang w:val="en-GB"/>
        </w:rPr>
      </w:pPr>
      <w:r>
        <w:rPr>
          <w:rFonts w:ascii="Arial" w:hAnsi="Arial" w:cs="Arial"/>
          <w:sz w:val="24"/>
          <w:szCs w:val="24"/>
          <w:lang w:val="en-GB"/>
        </w:rPr>
        <w:t>[</w:t>
      </w:r>
      <w:r w:rsidR="00D2471F">
        <w:rPr>
          <w:rFonts w:ascii="Arial" w:hAnsi="Arial" w:cs="Arial"/>
          <w:sz w:val="24"/>
          <w:szCs w:val="24"/>
          <w:lang w:val="en-GB"/>
        </w:rPr>
        <w:t>1</w:t>
      </w:r>
      <w:r w:rsidR="00C45732">
        <w:rPr>
          <w:rFonts w:ascii="Arial" w:hAnsi="Arial" w:cs="Arial"/>
          <w:sz w:val="24"/>
          <w:szCs w:val="24"/>
          <w:lang w:val="en-GB"/>
        </w:rPr>
        <w:t>7</w:t>
      </w:r>
      <w:r>
        <w:rPr>
          <w:rFonts w:ascii="Arial" w:hAnsi="Arial" w:cs="Arial"/>
          <w:sz w:val="24"/>
          <w:szCs w:val="24"/>
          <w:lang w:val="en-GB"/>
        </w:rPr>
        <w:t>] I</w:t>
      </w:r>
      <w:r w:rsidR="000964BA">
        <w:rPr>
          <w:rFonts w:ascii="Arial" w:hAnsi="Arial" w:cs="Arial"/>
          <w:sz w:val="24"/>
          <w:szCs w:val="24"/>
          <w:lang w:val="en-GB"/>
        </w:rPr>
        <w:t xml:space="preserve">t is </w:t>
      </w:r>
      <w:r>
        <w:rPr>
          <w:rFonts w:ascii="Arial" w:hAnsi="Arial" w:cs="Arial"/>
          <w:sz w:val="24"/>
          <w:szCs w:val="24"/>
          <w:lang w:val="en-GB"/>
        </w:rPr>
        <w:t xml:space="preserve">indeed </w:t>
      </w:r>
      <w:r w:rsidR="000964BA">
        <w:rPr>
          <w:rFonts w:ascii="Arial" w:hAnsi="Arial" w:cs="Arial"/>
          <w:sz w:val="24"/>
          <w:szCs w:val="24"/>
          <w:lang w:val="en-GB"/>
        </w:rPr>
        <w:t>so that the child concerned in these proceedings should, by now, have the detail</w:t>
      </w:r>
      <w:r w:rsidR="007F0ADC">
        <w:rPr>
          <w:rFonts w:ascii="Arial" w:hAnsi="Arial" w:cs="Arial"/>
          <w:sz w:val="24"/>
          <w:szCs w:val="24"/>
          <w:lang w:val="en-GB"/>
        </w:rPr>
        <w:t>s of h</w:t>
      </w:r>
      <w:r w:rsidR="00D02D79">
        <w:rPr>
          <w:rFonts w:ascii="Arial" w:hAnsi="Arial" w:cs="Arial"/>
          <w:sz w:val="24"/>
          <w:szCs w:val="24"/>
          <w:lang w:val="en-GB"/>
        </w:rPr>
        <w:t>is</w:t>
      </w:r>
      <w:r w:rsidR="007F0ADC">
        <w:rPr>
          <w:rFonts w:ascii="Arial" w:hAnsi="Arial" w:cs="Arial"/>
          <w:sz w:val="24"/>
          <w:szCs w:val="24"/>
          <w:lang w:val="en-GB"/>
        </w:rPr>
        <w:t xml:space="preserve"> father entered into his</w:t>
      </w:r>
      <w:r w:rsidR="000964BA">
        <w:rPr>
          <w:rFonts w:ascii="Arial" w:hAnsi="Arial" w:cs="Arial"/>
          <w:sz w:val="24"/>
          <w:szCs w:val="24"/>
          <w:lang w:val="en-GB"/>
        </w:rPr>
        <w:t xml:space="preserve"> birth records because of the </w:t>
      </w:r>
      <w:r>
        <w:rPr>
          <w:rFonts w:ascii="Arial" w:hAnsi="Arial" w:cs="Arial"/>
          <w:sz w:val="24"/>
          <w:szCs w:val="24"/>
          <w:lang w:val="en-GB"/>
        </w:rPr>
        <w:t xml:space="preserve">respondents’ </w:t>
      </w:r>
      <w:r w:rsidR="007F0ADC">
        <w:rPr>
          <w:rFonts w:ascii="Arial" w:hAnsi="Arial" w:cs="Arial"/>
          <w:sz w:val="24"/>
          <w:szCs w:val="24"/>
          <w:lang w:val="en-GB"/>
        </w:rPr>
        <w:t xml:space="preserve">concession </w:t>
      </w:r>
      <w:r w:rsidR="000964BA">
        <w:rPr>
          <w:rFonts w:ascii="Arial" w:hAnsi="Arial" w:cs="Arial"/>
          <w:sz w:val="24"/>
          <w:szCs w:val="24"/>
          <w:lang w:val="en-GB"/>
        </w:rPr>
        <w:t xml:space="preserve">and the court order </w:t>
      </w:r>
      <w:r>
        <w:rPr>
          <w:rFonts w:ascii="Arial" w:hAnsi="Arial" w:cs="Arial"/>
          <w:sz w:val="24"/>
          <w:szCs w:val="24"/>
          <w:lang w:val="en-GB"/>
        </w:rPr>
        <w:t xml:space="preserve">that was consequently issued in that regard. </w:t>
      </w:r>
      <w:r w:rsidR="005C63B5">
        <w:rPr>
          <w:rFonts w:ascii="Arial" w:hAnsi="Arial" w:cs="Arial"/>
          <w:sz w:val="24"/>
          <w:szCs w:val="24"/>
          <w:lang w:val="en-GB"/>
        </w:rPr>
        <w:t xml:space="preserve">That is, assuming that the respondents have timeously complied with the </w:t>
      </w:r>
      <w:r w:rsidR="00E36B6C">
        <w:rPr>
          <w:rFonts w:ascii="Arial" w:hAnsi="Arial" w:cs="Arial"/>
          <w:sz w:val="24"/>
          <w:szCs w:val="24"/>
          <w:lang w:val="en-GB"/>
        </w:rPr>
        <w:t xml:space="preserve">said </w:t>
      </w:r>
      <w:r w:rsidR="005C63B5">
        <w:rPr>
          <w:rFonts w:ascii="Arial" w:hAnsi="Arial" w:cs="Arial"/>
          <w:sz w:val="24"/>
          <w:szCs w:val="24"/>
          <w:lang w:val="en-GB"/>
        </w:rPr>
        <w:t xml:space="preserve">court order.  </w:t>
      </w:r>
      <w:r>
        <w:rPr>
          <w:rFonts w:ascii="Arial" w:hAnsi="Arial" w:cs="Arial"/>
          <w:sz w:val="24"/>
          <w:szCs w:val="24"/>
          <w:lang w:val="en-GB"/>
        </w:rPr>
        <w:t xml:space="preserve">However, the </w:t>
      </w:r>
      <w:r w:rsidR="00A46039">
        <w:rPr>
          <w:rFonts w:ascii="Arial" w:hAnsi="Arial" w:cs="Arial"/>
          <w:sz w:val="24"/>
          <w:szCs w:val="24"/>
          <w:lang w:val="en-GB"/>
        </w:rPr>
        <w:t xml:space="preserve">court cannot ignore the fact that </w:t>
      </w:r>
      <w:r w:rsidR="000964BA">
        <w:rPr>
          <w:rFonts w:ascii="Arial" w:hAnsi="Arial" w:cs="Arial"/>
          <w:sz w:val="24"/>
          <w:szCs w:val="24"/>
          <w:lang w:val="en-GB"/>
        </w:rPr>
        <w:t xml:space="preserve">there may </w:t>
      </w:r>
      <w:r w:rsidR="004B629E">
        <w:rPr>
          <w:rFonts w:ascii="Arial" w:hAnsi="Arial" w:cs="Arial"/>
          <w:sz w:val="24"/>
          <w:szCs w:val="24"/>
          <w:lang w:val="en-GB"/>
        </w:rPr>
        <w:t>be literally</w:t>
      </w:r>
      <w:r w:rsidR="000964BA">
        <w:rPr>
          <w:rFonts w:ascii="Arial" w:hAnsi="Arial" w:cs="Arial"/>
          <w:sz w:val="24"/>
          <w:szCs w:val="24"/>
          <w:lang w:val="en-GB"/>
        </w:rPr>
        <w:t xml:space="preserve"> thousands of other children who are treated no differently from this child </w:t>
      </w:r>
      <w:r w:rsidR="004B629E">
        <w:rPr>
          <w:rFonts w:ascii="Arial" w:hAnsi="Arial" w:cs="Arial"/>
          <w:sz w:val="24"/>
          <w:szCs w:val="24"/>
          <w:lang w:val="en-GB"/>
        </w:rPr>
        <w:t>at the respondents’ offices</w:t>
      </w:r>
      <w:r w:rsidR="000964BA">
        <w:rPr>
          <w:rFonts w:ascii="Arial" w:hAnsi="Arial" w:cs="Arial"/>
          <w:sz w:val="24"/>
          <w:szCs w:val="24"/>
          <w:lang w:val="en-GB"/>
        </w:rPr>
        <w:t xml:space="preserve"> country</w:t>
      </w:r>
      <w:r w:rsidR="004B629E">
        <w:rPr>
          <w:rFonts w:ascii="Arial" w:hAnsi="Arial" w:cs="Arial"/>
          <w:sz w:val="24"/>
          <w:szCs w:val="24"/>
          <w:lang w:val="en-GB"/>
        </w:rPr>
        <w:t xml:space="preserve"> wide</w:t>
      </w:r>
      <w:r w:rsidR="00B2763E">
        <w:rPr>
          <w:rFonts w:ascii="Arial" w:hAnsi="Arial" w:cs="Arial"/>
          <w:sz w:val="24"/>
          <w:szCs w:val="24"/>
          <w:lang w:val="en-GB"/>
        </w:rPr>
        <w:t xml:space="preserve"> even as we speak</w:t>
      </w:r>
      <w:r w:rsidR="000964BA">
        <w:rPr>
          <w:rFonts w:ascii="Arial" w:hAnsi="Arial" w:cs="Arial"/>
          <w:sz w:val="24"/>
          <w:szCs w:val="24"/>
          <w:lang w:val="en-GB"/>
        </w:rPr>
        <w:t xml:space="preserve">. Should this </w:t>
      </w:r>
      <w:r w:rsidR="00D02D79">
        <w:rPr>
          <w:rFonts w:ascii="Arial" w:hAnsi="Arial" w:cs="Arial"/>
          <w:sz w:val="24"/>
          <w:szCs w:val="24"/>
          <w:lang w:val="en-GB"/>
        </w:rPr>
        <w:t>C</w:t>
      </w:r>
      <w:r w:rsidR="000964BA">
        <w:rPr>
          <w:rFonts w:ascii="Arial" w:hAnsi="Arial" w:cs="Arial"/>
          <w:sz w:val="24"/>
          <w:szCs w:val="24"/>
          <w:lang w:val="en-GB"/>
        </w:rPr>
        <w:t xml:space="preserve">ourt in such circumstances not </w:t>
      </w:r>
      <w:r w:rsidR="002F49C4">
        <w:rPr>
          <w:rFonts w:ascii="Arial" w:hAnsi="Arial" w:cs="Arial"/>
          <w:sz w:val="24"/>
          <w:szCs w:val="24"/>
          <w:lang w:val="en-GB"/>
        </w:rPr>
        <w:t>investigate and pronounce on the const</w:t>
      </w:r>
      <w:r w:rsidR="007F0ADC">
        <w:rPr>
          <w:rFonts w:ascii="Arial" w:hAnsi="Arial" w:cs="Arial"/>
          <w:sz w:val="24"/>
          <w:szCs w:val="24"/>
          <w:lang w:val="en-GB"/>
        </w:rPr>
        <w:t>itutionality of the R</w:t>
      </w:r>
      <w:r w:rsidR="004B629E">
        <w:rPr>
          <w:rFonts w:ascii="Arial" w:hAnsi="Arial" w:cs="Arial"/>
          <w:sz w:val="24"/>
          <w:szCs w:val="24"/>
          <w:lang w:val="en-GB"/>
        </w:rPr>
        <w:t>egulation</w:t>
      </w:r>
      <w:r w:rsidR="00BC329F">
        <w:rPr>
          <w:rFonts w:ascii="Arial" w:hAnsi="Arial" w:cs="Arial"/>
          <w:sz w:val="24"/>
          <w:szCs w:val="24"/>
          <w:lang w:val="en-GB"/>
        </w:rPr>
        <w:t xml:space="preserve"> which is at the core of how this child</w:t>
      </w:r>
      <w:r w:rsidR="00EC0B01">
        <w:rPr>
          <w:rFonts w:ascii="Arial" w:hAnsi="Arial" w:cs="Arial"/>
          <w:sz w:val="24"/>
          <w:szCs w:val="24"/>
          <w:lang w:val="en-GB"/>
        </w:rPr>
        <w:t>’</w:t>
      </w:r>
      <w:r w:rsidR="00D15ECF">
        <w:rPr>
          <w:rFonts w:ascii="Arial" w:hAnsi="Arial" w:cs="Arial"/>
          <w:sz w:val="24"/>
          <w:szCs w:val="24"/>
          <w:lang w:val="en-GB"/>
        </w:rPr>
        <w:t xml:space="preserve">s rights </w:t>
      </w:r>
      <w:r w:rsidR="005C63B5">
        <w:rPr>
          <w:rFonts w:ascii="Arial" w:hAnsi="Arial" w:cs="Arial"/>
          <w:sz w:val="24"/>
          <w:szCs w:val="24"/>
          <w:lang w:val="en-GB"/>
        </w:rPr>
        <w:t xml:space="preserve">to dignity </w:t>
      </w:r>
      <w:r w:rsidR="00D15ECF">
        <w:rPr>
          <w:rFonts w:ascii="Arial" w:hAnsi="Arial" w:cs="Arial"/>
          <w:sz w:val="24"/>
          <w:szCs w:val="24"/>
          <w:lang w:val="en-GB"/>
        </w:rPr>
        <w:t xml:space="preserve">were </w:t>
      </w:r>
      <w:r w:rsidR="00B2763E">
        <w:rPr>
          <w:rFonts w:ascii="Arial" w:hAnsi="Arial" w:cs="Arial"/>
          <w:sz w:val="24"/>
          <w:szCs w:val="24"/>
          <w:lang w:val="en-GB"/>
        </w:rPr>
        <w:t xml:space="preserve">allegedly </w:t>
      </w:r>
      <w:r w:rsidR="00D15ECF">
        <w:rPr>
          <w:rFonts w:ascii="Arial" w:hAnsi="Arial" w:cs="Arial"/>
          <w:sz w:val="24"/>
          <w:szCs w:val="24"/>
          <w:lang w:val="en-GB"/>
        </w:rPr>
        <w:t>trampled upon</w:t>
      </w:r>
      <w:r w:rsidR="004B629E">
        <w:rPr>
          <w:rFonts w:ascii="Arial" w:hAnsi="Arial" w:cs="Arial"/>
          <w:sz w:val="24"/>
          <w:szCs w:val="24"/>
          <w:lang w:val="en-GB"/>
        </w:rPr>
        <w:t>?</w:t>
      </w:r>
      <w:r w:rsidR="002F49C4">
        <w:rPr>
          <w:rFonts w:ascii="Arial" w:hAnsi="Arial" w:cs="Arial"/>
          <w:sz w:val="24"/>
          <w:szCs w:val="24"/>
          <w:lang w:val="en-GB"/>
        </w:rPr>
        <w:t xml:space="preserve"> I do not think so. I am fortified in this approach by the</w:t>
      </w:r>
      <w:r w:rsidR="00CE698A">
        <w:rPr>
          <w:rFonts w:ascii="Arial" w:hAnsi="Arial" w:cs="Arial"/>
          <w:sz w:val="24"/>
          <w:szCs w:val="24"/>
          <w:lang w:val="en-GB"/>
        </w:rPr>
        <w:t xml:space="preserve"> sentiments expressed</w:t>
      </w:r>
      <w:r w:rsidR="002F49C4">
        <w:rPr>
          <w:rFonts w:ascii="Arial" w:hAnsi="Arial" w:cs="Arial"/>
          <w:sz w:val="24"/>
          <w:szCs w:val="24"/>
          <w:lang w:val="en-GB"/>
        </w:rPr>
        <w:t xml:space="preserve"> by </w:t>
      </w:r>
      <w:proofErr w:type="spellStart"/>
      <w:r w:rsidR="002F49C4" w:rsidRPr="004B629E">
        <w:rPr>
          <w:rFonts w:ascii="Arial" w:hAnsi="Arial" w:cs="Arial"/>
          <w:sz w:val="24"/>
          <w:szCs w:val="24"/>
          <w:lang w:val="en-GB"/>
        </w:rPr>
        <w:t>Yacoob</w:t>
      </w:r>
      <w:proofErr w:type="spellEnd"/>
      <w:r w:rsidR="002F49C4" w:rsidRPr="004B629E">
        <w:rPr>
          <w:rFonts w:ascii="Arial" w:hAnsi="Arial" w:cs="Arial"/>
          <w:sz w:val="24"/>
          <w:szCs w:val="24"/>
          <w:lang w:val="en-GB"/>
        </w:rPr>
        <w:t xml:space="preserve"> J in</w:t>
      </w:r>
      <w:r w:rsidR="002F49C4" w:rsidRPr="00CE698A">
        <w:rPr>
          <w:rFonts w:ascii="Arial" w:hAnsi="Arial" w:cs="Arial"/>
          <w:i/>
          <w:sz w:val="24"/>
          <w:szCs w:val="24"/>
          <w:lang w:val="en-GB"/>
        </w:rPr>
        <w:t xml:space="preserve"> Lawyers for Human Rights</w:t>
      </w:r>
      <w:r w:rsidR="001F2622">
        <w:rPr>
          <w:rStyle w:val="FootnoteReference"/>
          <w:rFonts w:ascii="Arial" w:hAnsi="Arial" w:cs="Arial"/>
          <w:i/>
          <w:sz w:val="24"/>
          <w:szCs w:val="24"/>
          <w:lang w:val="en-GB"/>
        </w:rPr>
        <w:footnoteReference w:id="5"/>
      </w:r>
      <w:r w:rsidR="002F49C4" w:rsidRPr="00CE698A">
        <w:rPr>
          <w:rFonts w:ascii="Arial" w:hAnsi="Arial" w:cs="Arial"/>
          <w:i/>
          <w:sz w:val="24"/>
          <w:szCs w:val="24"/>
          <w:lang w:val="en-GB"/>
        </w:rPr>
        <w:t xml:space="preserve"> </w:t>
      </w:r>
      <w:r w:rsidR="002F49C4">
        <w:rPr>
          <w:rFonts w:ascii="Arial" w:hAnsi="Arial" w:cs="Arial"/>
          <w:sz w:val="24"/>
          <w:szCs w:val="24"/>
          <w:lang w:val="en-GB"/>
        </w:rPr>
        <w:t xml:space="preserve">in </w:t>
      </w:r>
      <w:r w:rsidR="005C63B5">
        <w:rPr>
          <w:rFonts w:ascii="Arial" w:hAnsi="Arial" w:cs="Arial"/>
          <w:sz w:val="24"/>
          <w:szCs w:val="24"/>
          <w:lang w:val="en-GB"/>
        </w:rPr>
        <w:t>which, writing for the majority,</w:t>
      </w:r>
      <w:r w:rsidR="002F49C4">
        <w:rPr>
          <w:rFonts w:ascii="Arial" w:hAnsi="Arial" w:cs="Arial"/>
          <w:sz w:val="24"/>
          <w:szCs w:val="24"/>
          <w:lang w:val="en-GB"/>
        </w:rPr>
        <w:t xml:space="preserve"> he said:</w:t>
      </w:r>
    </w:p>
    <w:p w:rsidR="00226985" w:rsidRPr="00D02D79" w:rsidRDefault="002F49C4" w:rsidP="00D02D79">
      <w:pPr>
        <w:spacing w:line="360" w:lineRule="auto"/>
        <w:ind w:left="720"/>
        <w:jc w:val="both"/>
        <w:rPr>
          <w:rFonts w:ascii="Arial" w:hAnsi="Arial" w:cs="Arial"/>
          <w:lang w:val="en-GB"/>
        </w:rPr>
      </w:pPr>
      <w:r w:rsidRPr="00D02D79">
        <w:rPr>
          <w:rFonts w:ascii="Arial" w:hAnsi="Arial" w:cs="Arial"/>
          <w:lang w:val="en-GB"/>
        </w:rPr>
        <w:t xml:space="preserve">“The issue is always whether a </w:t>
      </w:r>
      <w:r w:rsidR="00CE698A" w:rsidRPr="00D02D79">
        <w:rPr>
          <w:rFonts w:ascii="Arial" w:hAnsi="Arial" w:cs="Arial"/>
          <w:lang w:val="en-GB"/>
        </w:rPr>
        <w:t>person or organi</w:t>
      </w:r>
      <w:r w:rsidRPr="00D02D79">
        <w:rPr>
          <w:rFonts w:ascii="Arial" w:hAnsi="Arial" w:cs="Arial"/>
          <w:lang w:val="en-GB"/>
        </w:rPr>
        <w:t xml:space="preserve">sation </w:t>
      </w:r>
      <w:r w:rsidR="004B629E" w:rsidRPr="00D02D79">
        <w:rPr>
          <w:rFonts w:ascii="Arial" w:hAnsi="Arial" w:cs="Arial"/>
          <w:lang w:val="en-GB"/>
        </w:rPr>
        <w:t xml:space="preserve">acts </w:t>
      </w:r>
      <w:r w:rsidRPr="00D02D79">
        <w:rPr>
          <w:rFonts w:ascii="Arial" w:hAnsi="Arial" w:cs="Arial"/>
          <w:lang w:val="en-GB"/>
        </w:rPr>
        <w:t xml:space="preserve">genuinely in the public interests. A distinction must, however, be made between the subjective </w:t>
      </w:r>
      <w:r w:rsidR="004B629E" w:rsidRPr="00D02D79">
        <w:rPr>
          <w:rFonts w:ascii="Arial" w:hAnsi="Arial" w:cs="Arial"/>
          <w:lang w:val="en-GB"/>
        </w:rPr>
        <w:t xml:space="preserve">position of the person or organisation </w:t>
      </w:r>
      <w:r w:rsidRPr="00D02D79">
        <w:rPr>
          <w:rFonts w:ascii="Arial" w:hAnsi="Arial" w:cs="Arial"/>
          <w:lang w:val="en-GB"/>
        </w:rPr>
        <w:t xml:space="preserve">claiming to act in the public interest on the one hand, and whether it is, objectively speaking, in the public interest for the particular proceedings </w:t>
      </w:r>
      <w:r w:rsidR="00690E7C" w:rsidRPr="00D02D79">
        <w:rPr>
          <w:rFonts w:ascii="Arial" w:hAnsi="Arial" w:cs="Arial"/>
          <w:lang w:val="en-GB"/>
        </w:rPr>
        <w:lastRenderedPageBreak/>
        <w:t>to be brought. It is ordinarily not in the public interest for proceedings to be brought in the abstract. But this is not an invariable principle. There may be circumstances in which it will be in the public interest to bring proceedings even if there is</w:t>
      </w:r>
      <w:r w:rsidR="008D2F46" w:rsidRPr="00D02D79">
        <w:rPr>
          <w:rFonts w:ascii="Arial" w:hAnsi="Arial" w:cs="Arial"/>
          <w:lang w:val="en-GB"/>
        </w:rPr>
        <w:t xml:space="preserve"> no live case. The factors set out by </w:t>
      </w:r>
      <w:proofErr w:type="spellStart"/>
      <w:r w:rsidR="00E96F9D" w:rsidRPr="00D02D79">
        <w:rPr>
          <w:rFonts w:ascii="Arial" w:hAnsi="Arial" w:cs="Arial"/>
          <w:lang w:val="en-GB"/>
        </w:rPr>
        <w:t>O’Reg</w:t>
      </w:r>
      <w:r w:rsidR="008D2F46" w:rsidRPr="00D02D79">
        <w:rPr>
          <w:rFonts w:ascii="Arial" w:hAnsi="Arial" w:cs="Arial"/>
          <w:lang w:val="en-GB"/>
        </w:rPr>
        <w:t>an</w:t>
      </w:r>
      <w:proofErr w:type="spellEnd"/>
      <w:r w:rsidR="008D2F46" w:rsidRPr="00D02D79">
        <w:rPr>
          <w:rFonts w:ascii="Arial" w:hAnsi="Arial" w:cs="Arial"/>
          <w:lang w:val="en-GB"/>
        </w:rPr>
        <w:t xml:space="preserve"> J</w:t>
      </w:r>
      <w:r w:rsidR="00CE698A" w:rsidRPr="00D02D79">
        <w:rPr>
          <w:rFonts w:ascii="Arial" w:hAnsi="Arial" w:cs="Arial"/>
          <w:lang w:val="en-GB"/>
        </w:rPr>
        <w:t xml:space="preserve"> </w:t>
      </w:r>
      <w:r w:rsidR="007F0ADC" w:rsidRPr="00D02D79">
        <w:rPr>
          <w:rFonts w:ascii="Arial" w:hAnsi="Arial" w:cs="Arial"/>
          <w:lang w:val="en-GB"/>
        </w:rPr>
        <w:t xml:space="preserve">do </w:t>
      </w:r>
      <w:r w:rsidR="00CE698A" w:rsidRPr="00D02D79">
        <w:rPr>
          <w:rFonts w:ascii="Arial" w:hAnsi="Arial" w:cs="Arial"/>
          <w:lang w:val="en-GB"/>
        </w:rPr>
        <w:t>help</w:t>
      </w:r>
      <w:r w:rsidR="008D2F46" w:rsidRPr="00D02D79">
        <w:rPr>
          <w:rFonts w:ascii="Arial" w:hAnsi="Arial" w:cs="Arial"/>
          <w:lang w:val="en-GB"/>
        </w:rPr>
        <w:t xml:space="preserve"> to determine this question. The list of relevant factors is not closed. I would add that the degree of vulnerability</w:t>
      </w:r>
      <w:r w:rsidR="00226985" w:rsidRPr="00D02D79">
        <w:rPr>
          <w:rFonts w:ascii="Arial" w:hAnsi="Arial" w:cs="Arial"/>
          <w:lang w:val="en-GB"/>
        </w:rPr>
        <w:t xml:space="preserve"> of the people affected, the nature of the rights said to be infringed, as well as the consequence of the infringement of the rights are also important considerations in the analysis.”</w:t>
      </w:r>
    </w:p>
    <w:p w:rsidR="00EC0B01" w:rsidRDefault="00EC0B01" w:rsidP="00EC0B01">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1</w:t>
      </w:r>
      <w:r w:rsidR="00C45732">
        <w:rPr>
          <w:rFonts w:ascii="Arial" w:hAnsi="Arial" w:cs="Arial"/>
          <w:sz w:val="24"/>
          <w:szCs w:val="24"/>
          <w:lang w:val="en-GB"/>
        </w:rPr>
        <w:t>8</w:t>
      </w:r>
      <w:r>
        <w:rPr>
          <w:rFonts w:ascii="Arial" w:hAnsi="Arial" w:cs="Arial"/>
          <w:sz w:val="24"/>
          <w:szCs w:val="24"/>
          <w:lang w:val="en-GB"/>
        </w:rPr>
        <w:t>] The respondents made a half-hearted concession at the time their main heads of argument were filed, which was very late and not in</w:t>
      </w:r>
      <w:r w:rsidR="00E1792B">
        <w:rPr>
          <w:rFonts w:ascii="Arial" w:hAnsi="Arial" w:cs="Arial"/>
          <w:sz w:val="24"/>
          <w:szCs w:val="24"/>
          <w:lang w:val="en-GB"/>
        </w:rPr>
        <w:t xml:space="preserve"> </w:t>
      </w:r>
      <w:r>
        <w:rPr>
          <w:rFonts w:ascii="Arial" w:hAnsi="Arial" w:cs="Arial"/>
          <w:sz w:val="24"/>
          <w:szCs w:val="24"/>
          <w:lang w:val="en-GB"/>
        </w:rPr>
        <w:t xml:space="preserve">compliance with the rules.  They even attached to their heads of argument a draft order in terms of which they wanted the matter disposed </w:t>
      </w:r>
      <w:proofErr w:type="spellStart"/>
      <w:r>
        <w:rPr>
          <w:rFonts w:ascii="Arial" w:hAnsi="Arial" w:cs="Arial"/>
          <w:sz w:val="24"/>
          <w:szCs w:val="24"/>
          <w:lang w:val="en-GB"/>
        </w:rPr>
        <w:t>of</w:t>
      </w:r>
      <w:r w:rsidR="00BA009A">
        <w:rPr>
          <w:rFonts w:ascii="Arial" w:hAnsi="Arial" w:cs="Arial"/>
          <w:sz w:val="24"/>
          <w:szCs w:val="24"/>
          <w:lang w:val="en-GB"/>
        </w:rPr>
        <w:t>f</w:t>
      </w:r>
      <w:proofErr w:type="spellEnd"/>
      <w:r w:rsidR="00BA009A">
        <w:rPr>
          <w:rFonts w:ascii="Arial" w:hAnsi="Arial" w:cs="Arial"/>
          <w:sz w:val="24"/>
          <w:szCs w:val="24"/>
          <w:lang w:val="en-GB"/>
        </w:rPr>
        <w:t xml:space="preserve"> on the basis</w:t>
      </w:r>
      <w:r>
        <w:rPr>
          <w:rFonts w:ascii="Arial" w:hAnsi="Arial" w:cs="Arial"/>
          <w:sz w:val="24"/>
          <w:szCs w:val="24"/>
          <w:lang w:val="en-GB"/>
        </w:rPr>
        <w:t xml:space="preserve"> that this Regulation was not applicable in this matter.  However, the fact of the matter is that even before the proceedings were instituted, it was the position of the respondents that this Regulation was in fact applicable. Even after the application was launched, the respondents decided to oppose the application insisting that the Regulation was applicable and ought to be complied with. They went on to file a comprehensive answering affidavit in which they contended very strongly that it was applicable and must be complied with. Therefore, these proceedings became necessary also because of the respondents’ stance about which they were clearly prepared to file an answering affidavit </w:t>
      </w:r>
      <w:r w:rsidR="009B3F49">
        <w:rPr>
          <w:rFonts w:ascii="Arial" w:hAnsi="Arial" w:cs="Arial"/>
          <w:sz w:val="24"/>
          <w:szCs w:val="24"/>
          <w:lang w:val="en-GB"/>
        </w:rPr>
        <w:t xml:space="preserve">explaining </w:t>
      </w:r>
      <w:r w:rsidR="00B2763E">
        <w:rPr>
          <w:rFonts w:ascii="Arial" w:hAnsi="Arial" w:cs="Arial"/>
          <w:sz w:val="24"/>
          <w:szCs w:val="24"/>
          <w:lang w:val="en-GB"/>
        </w:rPr>
        <w:t>themselves</w:t>
      </w:r>
      <w:r>
        <w:rPr>
          <w:rFonts w:ascii="Arial" w:hAnsi="Arial" w:cs="Arial"/>
          <w:sz w:val="24"/>
          <w:szCs w:val="24"/>
          <w:lang w:val="en-GB"/>
        </w:rPr>
        <w:t xml:space="preserve">. The application became fully opposed and was set down in the opposed motion court for no reason other than the respondents’ insistence that the applicants must comply with Regulation 12(2)(c) by submitting the documents provided for therein. </w:t>
      </w:r>
    </w:p>
    <w:p w:rsidR="00EC0B01" w:rsidRDefault="00EC0B01" w:rsidP="00EC0B01">
      <w:pPr>
        <w:spacing w:line="480" w:lineRule="auto"/>
        <w:jc w:val="both"/>
        <w:rPr>
          <w:rFonts w:ascii="Arial" w:hAnsi="Arial" w:cs="Arial"/>
          <w:sz w:val="24"/>
          <w:szCs w:val="24"/>
          <w:lang w:val="en-GB"/>
        </w:rPr>
      </w:pPr>
      <w:r>
        <w:rPr>
          <w:rFonts w:ascii="Arial" w:hAnsi="Arial" w:cs="Arial"/>
          <w:sz w:val="24"/>
          <w:szCs w:val="24"/>
          <w:lang w:val="en-GB"/>
        </w:rPr>
        <w:t>[</w:t>
      </w:r>
      <w:r w:rsidR="00C45732">
        <w:rPr>
          <w:rFonts w:ascii="Arial" w:hAnsi="Arial" w:cs="Arial"/>
          <w:sz w:val="24"/>
          <w:szCs w:val="24"/>
          <w:lang w:val="en-GB"/>
        </w:rPr>
        <w:t>19</w:t>
      </w:r>
      <w:r>
        <w:rPr>
          <w:rFonts w:ascii="Arial" w:hAnsi="Arial" w:cs="Arial"/>
          <w:sz w:val="24"/>
          <w:szCs w:val="24"/>
          <w:lang w:val="en-GB"/>
        </w:rPr>
        <w:t xml:space="preserve">] I emphasize this issue also to make the point that the Department of Home Affairs must be assumed to have consistent rules and policies throughout the country and deal with people in similar circumstances as the applicants consistent with this stance nationwide. That said, it must be therefore that the enquiry into the constitutionality of this Regulation is a matter of public importance and affects not just the applicants and </w:t>
      </w:r>
      <w:r>
        <w:rPr>
          <w:rFonts w:ascii="Arial" w:hAnsi="Arial" w:cs="Arial"/>
          <w:sz w:val="24"/>
          <w:szCs w:val="24"/>
          <w:lang w:val="en-GB"/>
        </w:rPr>
        <w:lastRenderedPageBreak/>
        <w:t>their child.  There</w:t>
      </w:r>
      <w:r w:rsidR="00BA009A">
        <w:rPr>
          <w:rFonts w:ascii="Arial" w:hAnsi="Arial" w:cs="Arial"/>
          <w:sz w:val="24"/>
          <w:szCs w:val="24"/>
          <w:lang w:val="en-GB"/>
        </w:rPr>
        <w:t>fore,</w:t>
      </w:r>
      <w:r>
        <w:rPr>
          <w:rFonts w:ascii="Arial" w:hAnsi="Arial" w:cs="Arial"/>
          <w:sz w:val="24"/>
          <w:szCs w:val="24"/>
          <w:lang w:val="en-GB"/>
        </w:rPr>
        <w:t xml:space="preserve"> the issue of mootness raised by the respondents is difficult to understand. This is especially so in this matter in which the issue has been comprehensively canvassed in the papers and the heads of argument.  After all, the first respondent is the National Minister of the Department of Home Affairs and his vacillation on such an important issue affecting the rights of minor children is a huge cause for concern.  Besides the issue of the rights of the affected minor children, even the parents of the children must be attended to both professionally and competently by government officials and mixed signals are totally unhelpful</w:t>
      </w:r>
      <w:r w:rsidR="009B3F49">
        <w:rPr>
          <w:rFonts w:ascii="Arial" w:hAnsi="Arial" w:cs="Arial"/>
          <w:sz w:val="24"/>
          <w:szCs w:val="24"/>
          <w:lang w:val="en-GB"/>
        </w:rPr>
        <w:t xml:space="preserve"> and utterly confusing</w:t>
      </w:r>
      <w:r>
        <w:rPr>
          <w:rFonts w:ascii="Arial" w:hAnsi="Arial" w:cs="Arial"/>
          <w:sz w:val="24"/>
          <w:szCs w:val="24"/>
          <w:lang w:val="en-GB"/>
        </w:rPr>
        <w:t>.  Their own rights to dignity and to an efficient public service are implicated and are not without significance.</w:t>
      </w:r>
    </w:p>
    <w:p w:rsidR="00EC0B01" w:rsidRDefault="00EC0B01" w:rsidP="00EC0B01">
      <w:pPr>
        <w:spacing w:line="480" w:lineRule="auto"/>
        <w:jc w:val="both"/>
        <w:rPr>
          <w:rFonts w:ascii="Arial" w:hAnsi="Arial" w:cs="Arial"/>
          <w:sz w:val="24"/>
          <w:szCs w:val="24"/>
          <w:lang w:val="en-GB"/>
        </w:rPr>
      </w:pPr>
      <w:r>
        <w:rPr>
          <w:rFonts w:ascii="Arial" w:hAnsi="Arial" w:cs="Arial"/>
          <w:sz w:val="24"/>
          <w:szCs w:val="24"/>
          <w:lang w:val="en-GB"/>
        </w:rPr>
        <w:t>[2</w:t>
      </w:r>
      <w:r w:rsidR="00C45732">
        <w:rPr>
          <w:rFonts w:ascii="Arial" w:hAnsi="Arial" w:cs="Arial"/>
          <w:sz w:val="24"/>
          <w:szCs w:val="24"/>
          <w:lang w:val="en-GB"/>
        </w:rPr>
        <w:t>0</w:t>
      </w:r>
      <w:r>
        <w:rPr>
          <w:rFonts w:ascii="Arial" w:hAnsi="Arial" w:cs="Arial"/>
          <w:sz w:val="24"/>
          <w:szCs w:val="24"/>
          <w:lang w:val="en-GB"/>
        </w:rPr>
        <w:t xml:space="preserve">] When courts do become aware of possible unconstitutional conduct that undermines constitutional rights, it must follow that they are required to act and deal with any unconstitutionality decisively where the issues have been fully canvassed in the papers. This is more so in a country like ours in which the majority of the people are both poor and uneducated which indeed is a double whammy for such people, so to speak. If courts do not act on </w:t>
      </w:r>
      <w:r w:rsidR="00307B8A">
        <w:rPr>
          <w:rFonts w:ascii="Arial" w:hAnsi="Arial" w:cs="Arial"/>
          <w:sz w:val="24"/>
          <w:szCs w:val="24"/>
          <w:lang w:val="en-GB"/>
        </w:rPr>
        <w:t xml:space="preserve">allegations of </w:t>
      </w:r>
      <w:r>
        <w:rPr>
          <w:rFonts w:ascii="Arial" w:hAnsi="Arial" w:cs="Arial"/>
          <w:sz w:val="24"/>
          <w:szCs w:val="24"/>
          <w:lang w:val="en-GB"/>
        </w:rPr>
        <w:t>unconstitutional conduct that is properly brought to their attention</w:t>
      </w:r>
      <w:r w:rsidR="00307B8A">
        <w:rPr>
          <w:rFonts w:ascii="Arial" w:hAnsi="Arial" w:cs="Arial"/>
          <w:sz w:val="24"/>
          <w:szCs w:val="24"/>
          <w:lang w:val="en-GB"/>
        </w:rPr>
        <w:t>,</w:t>
      </w:r>
      <w:r>
        <w:rPr>
          <w:rFonts w:ascii="Arial" w:hAnsi="Arial" w:cs="Arial"/>
          <w:sz w:val="24"/>
          <w:szCs w:val="24"/>
          <w:lang w:val="en-GB"/>
        </w:rPr>
        <w:t xml:space="preserve"> they risk being spectators even in cases of wanton abuse and negation of constitutional rights. In doing so they would be shirking their constitutional obligations on the basis of some ill-conceived and lofty technical argument on mootness or ripeness, a luxury that courts cannot afford. The consequences of this may very well be that the Constitution itself and indeed the rights contained therein </w:t>
      </w:r>
      <w:r w:rsidR="008F7E52">
        <w:rPr>
          <w:rFonts w:ascii="Arial" w:hAnsi="Arial" w:cs="Arial"/>
          <w:sz w:val="24"/>
          <w:szCs w:val="24"/>
          <w:lang w:val="en-GB"/>
        </w:rPr>
        <w:t>could</w:t>
      </w:r>
      <w:r>
        <w:rPr>
          <w:rFonts w:ascii="Arial" w:hAnsi="Arial" w:cs="Arial"/>
          <w:sz w:val="24"/>
          <w:szCs w:val="24"/>
          <w:lang w:val="en-GB"/>
        </w:rPr>
        <w:t xml:space="preserve"> become illusory and meaningless for those entitled to constitutional protection. I am of the firm view that for the courts to look away when they become aware of constitutional violations, taking comfort in some vague technical argument on mootness is not in keeping with the courts’ duty as the </w:t>
      </w:r>
      <w:r w:rsidR="00B2763E">
        <w:rPr>
          <w:rFonts w:ascii="Arial" w:hAnsi="Arial" w:cs="Arial"/>
          <w:sz w:val="24"/>
          <w:szCs w:val="24"/>
          <w:lang w:val="en-GB"/>
        </w:rPr>
        <w:t xml:space="preserve">ultimate arbiters </w:t>
      </w:r>
      <w:r w:rsidR="00B2763E">
        <w:rPr>
          <w:rFonts w:ascii="Arial" w:hAnsi="Arial" w:cs="Arial"/>
          <w:sz w:val="24"/>
          <w:szCs w:val="24"/>
          <w:lang w:val="en-GB"/>
        </w:rPr>
        <w:lastRenderedPageBreak/>
        <w:t>on</w:t>
      </w:r>
      <w:r>
        <w:rPr>
          <w:rFonts w:ascii="Arial" w:hAnsi="Arial" w:cs="Arial"/>
          <w:sz w:val="24"/>
          <w:szCs w:val="24"/>
          <w:lang w:val="en-GB"/>
        </w:rPr>
        <w:t xml:space="preserve"> constitutional rights.  After all, courts are the last bastion of protection for ordinary people when their rights are b</w:t>
      </w:r>
      <w:r w:rsidR="00B2763E">
        <w:rPr>
          <w:rFonts w:ascii="Arial" w:hAnsi="Arial" w:cs="Arial"/>
          <w:sz w:val="24"/>
          <w:szCs w:val="24"/>
          <w:lang w:val="en-GB"/>
        </w:rPr>
        <w:t>eing rendered nugatory, even if</w:t>
      </w:r>
      <w:r>
        <w:rPr>
          <w:rFonts w:ascii="Arial" w:hAnsi="Arial" w:cs="Arial"/>
          <w:sz w:val="24"/>
          <w:szCs w:val="24"/>
          <w:lang w:val="en-GB"/>
        </w:rPr>
        <w:t xml:space="preserve"> unwittingly by government</w:t>
      </w:r>
      <w:r w:rsidR="008F7E52">
        <w:rPr>
          <w:rFonts w:ascii="Arial" w:hAnsi="Arial" w:cs="Arial"/>
          <w:sz w:val="24"/>
          <w:szCs w:val="24"/>
          <w:lang w:val="en-GB"/>
        </w:rPr>
        <w:t xml:space="preserve"> officials</w:t>
      </w:r>
      <w:r>
        <w:rPr>
          <w:rFonts w:ascii="Arial" w:hAnsi="Arial" w:cs="Arial"/>
          <w:sz w:val="24"/>
          <w:szCs w:val="24"/>
          <w:lang w:val="en-GB"/>
        </w:rPr>
        <w:t>.</w:t>
      </w:r>
    </w:p>
    <w:p w:rsidR="00EC0B01" w:rsidRDefault="00EC0B01" w:rsidP="00EC0B01">
      <w:pPr>
        <w:spacing w:line="480" w:lineRule="auto"/>
        <w:jc w:val="both"/>
        <w:rPr>
          <w:rFonts w:ascii="Arial" w:hAnsi="Arial" w:cs="Arial"/>
          <w:sz w:val="24"/>
          <w:szCs w:val="24"/>
          <w:lang w:val="en-GB"/>
        </w:rPr>
      </w:pPr>
      <w:r>
        <w:rPr>
          <w:rFonts w:ascii="Arial" w:hAnsi="Arial" w:cs="Arial"/>
          <w:sz w:val="24"/>
          <w:szCs w:val="24"/>
          <w:lang w:val="en-GB"/>
        </w:rPr>
        <w:t>[2</w:t>
      </w:r>
      <w:r w:rsidR="00C45732">
        <w:rPr>
          <w:rFonts w:ascii="Arial" w:hAnsi="Arial" w:cs="Arial"/>
          <w:sz w:val="24"/>
          <w:szCs w:val="24"/>
          <w:lang w:val="en-GB"/>
        </w:rPr>
        <w:t>1</w:t>
      </w:r>
      <w:r>
        <w:rPr>
          <w:rFonts w:ascii="Arial" w:hAnsi="Arial" w:cs="Arial"/>
          <w:sz w:val="24"/>
          <w:szCs w:val="24"/>
          <w:lang w:val="en-GB"/>
        </w:rPr>
        <w:t xml:space="preserve">] I do not understand our law to be that even when a matter may truly be said to be moot, that is always a bar to judicial scrutiny and indeed pronouncement.  In </w:t>
      </w:r>
      <w:proofErr w:type="spellStart"/>
      <w:r w:rsidRPr="001E1E85">
        <w:rPr>
          <w:rFonts w:ascii="Arial" w:hAnsi="Arial" w:cs="Arial"/>
          <w:i/>
          <w:sz w:val="24"/>
          <w:szCs w:val="24"/>
          <w:lang w:val="en-GB"/>
        </w:rPr>
        <w:t>Mukhandiva</w:t>
      </w:r>
      <w:proofErr w:type="spellEnd"/>
      <w:r w:rsidRPr="001E1E85">
        <w:rPr>
          <w:rStyle w:val="FootnoteReference"/>
          <w:rFonts w:ascii="Arial" w:hAnsi="Arial" w:cs="Arial"/>
          <w:i/>
          <w:sz w:val="24"/>
          <w:szCs w:val="24"/>
          <w:lang w:val="en-GB"/>
        </w:rPr>
        <w:footnoteReference w:id="6"/>
      </w:r>
      <w:r>
        <w:rPr>
          <w:rFonts w:ascii="Arial" w:hAnsi="Arial" w:cs="Arial"/>
          <w:i/>
          <w:sz w:val="24"/>
          <w:szCs w:val="24"/>
          <w:lang w:val="en-GB"/>
        </w:rPr>
        <w:t>,</w:t>
      </w:r>
      <w:r>
        <w:rPr>
          <w:rFonts w:ascii="Arial" w:hAnsi="Arial" w:cs="Arial"/>
          <w:sz w:val="24"/>
          <w:szCs w:val="24"/>
          <w:lang w:val="en-GB"/>
        </w:rPr>
        <w:t xml:space="preserve"> writing a unanimous judgment of the Constitutional Court, </w:t>
      </w:r>
      <w:proofErr w:type="spellStart"/>
      <w:r w:rsidRPr="00940786">
        <w:rPr>
          <w:rFonts w:ascii="Arial" w:hAnsi="Arial" w:cs="Arial"/>
          <w:sz w:val="24"/>
          <w:szCs w:val="24"/>
          <w:lang w:val="en-GB"/>
        </w:rPr>
        <w:t>Moseneke</w:t>
      </w:r>
      <w:proofErr w:type="spellEnd"/>
      <w:r w:rsidRPr="00940786">
        <w:rPr>
          <w:rFonts w:ascii="Arial" w:hAnsi="Arial" w:cs="Arial"/>
          <w:sz w:val="24"/>
          <w:szCs w:val="24"/>
          <w:lang w:val="en-GB"/>
        </w:rPr>
        <w:t xml:space="preserve"> DCJ</w:t>
      </w:r>
      <w:r>
        <w:rPr>
          <w:rFonts w:ascii="Arial" w:hAnsi="Arial" w:cs="Arial"/>
          <w:sz w:val="24"/>
          <w:szCs w:val="24"/>
          <w:lang w:val="en-GB"/>
        </w:rPr>
        <w:t xml:space="preserve"> aptly expressed some of the considerations applicable to the issues of mootness in the following terms:</w:t>
      </w:r>
    </w:p>
    <w:p w:rsidR="00EC0B01" w:rsidRPr="00065A48" w:rsidRDefault="00EC0B01" w:rsidP="00EC0B01">
      <w:pPr>
        <w:spacing w:line="360" w:lineRule="auto"/>
        <w:ind w:left="709" w:hanging="131"/>
        <w:jc w:val="both"/>
        <w:rPr>
          <w:rFonts w:ascii="Arial" w:hAnsi="Arial" w:cs="Arial"/>
          <w:lang w:val="en-GB"/>
        </w:rPr>
      </w:pPr>
      <w:r w:rsidRPr="00065A48">
        <w:rPr>
          <w:rFonts w:ascii="Arial" w:hAnsi="Arial" w:cs="Arial"/>
          <w:lang w:val="en-GB"/>
        </w:rPr>
        <w:t xml:space="preserve">“The fact that a matter may be moot in relation to the parties before the court is not an absolute bar to the court considering it. The court retains discretion, and in exercising that discretion it must act according to what is required by the interests of justice. And what is required for the exercise of this discretion is that any order made by the court has practical effect either on the parties or others. Other relevant factors that could be considered include: the nature and extent of the practical effect the order may have; the importance of the issue; and the fullness of the argument advanced. Another compelling factor could be the public importance of an otherwise moot issue.”  </w:t>
      </w:r>
    </w:p>
    <w:p w:rsidR="005D5B91" w:rsidRDefault="00D2471F" w:rsidP="00D15ECF">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2</w:t>
      </w:r>
      <w:r w:rsidR="003349F2">
        <w:rPr>
          <w:rFonts w:ascii="Arial" w:hAnsi="Arial" w:cs="Arial"/>
          <w:sz w:val="24"/>
          <w:szCs w:val="24"/>
          <w:lang w:val="en-GB"/>
        </w:rPr>
        <w:t>2</w:t>
      </w:r>
      <w:r w:rsidR="007F0ADC">
        <w:rPr>
          <w:rFonts w:ascii="Arial" w:hAnsi="Arial" w:cs="Arial"/>
          <w:sz w:val="24"/>
          <w:szCs w:val="24"/>
          <w:lang w:val="en-GB"/>
        </w:rPr>
        <w:t xml:space="preserve">] </w:t>
      </w:r>
      <w:r w:rsidR="00D02D79">
        <w:rPr>
          <w:rFonts w:ascii="Arial" w:hAnsi="Arial" w:cs="Arial"/>
          <w:sz w:val="24"/>
          <w:szCs w:val="24"/>
          <w:lang w:val="en-GB"/>
        </w:rPr>
        <w:t>I</w:t>
      </w:r>
      <w:r w:rsidR="007F0ADC">
        <w:rPr>
          <w:rFonts w:ascii="Arial" w:hAnsi="Arial" w:cs="Arial"/>
          <w:sz w:val="24"/>
          <w:szCs w:val="24"/>
          <w:lang w:val="en-GB"/>
        </w:rPr>
        <w:t xml:space="preserve">t is </w:t>
      </w:r>
      <w:r w:rsidR="00D02D79">
        <w:rPr>
          <w:rFonts w:ascii="Arial" w:hAnsi="Arial" w:cs="Arial"/>
          <w:sz w:val="24"/>
          <w:szCs w:val="24"/>
          <w:lang w:val="en-GB"/>
        </w:rPr>
        <w:t xml:space="preserve">indeed </w:t>
      </w:r>
      <w:r w:rsidR="007F0ADC">
        <w:rPr>
          <w:rFonts w:ascii="Arial" w:hAnsi="Arial" w:cs="Arial"/>
          <w:sz w:val="24"/>
          <w:szCs w:val="24"/>
          <w:lang w:val="en-GB"/>
        </w:rPr>
        <w:t>so that</w:t>
      </w:r>
      <w:r w:rsidR="00187760">
        <w:rPr>
          <w:rFonts w:ascii="Arial" w:hAnsi="Arial" w:cs="Arial"/>
          <w:sz w:val="24"/>
          <w:szCs w:val="24"/>
          <w:lang w:val="en-GB"/>
        </w:rPr>
        <w:t xml:space="preserve"> this case was brought to protect the i</w:t>
      </w:r>
      <w:r w:rsidR="007F0ADC">
        <w:rPr>
          <w:rFonts w:ascii="Arial" w:hAnsi="Arial" w:cs="Arial"/>
          <w:sz w:val="24"/>
          <w:szCs w:val="24"/>
          <w:lang w:val="en-GB"/>
        </w:rPr>
        <w:t>nterests of the child concerned.</w:t>
      </w:r>
      <w:r w:rsidR="00187760">
        <w:rPr>
          <w:rFonts w:ascii="Arial" w:hAnsi="Arial" w:cs="Arial"/>
          <w:sz w:val="24"/>
          <w:szCs w:val="24"/>
          <w:lang w:val="en-GB"/>
        </w:rPr>
        <w:t xml:space="preserve"> </w:t>
      </w:r>
      <w:r w:rsidR="007F0ADC">
        <w:rPr>
          <w:rFonts w:ascii="Arial" w:hAnsi="Arial" w:cs="Arial"/>
          <w:sz w:val="24"/>
          <w:szCs w:val="24"/>
          <w:lang w:val="en-GB"/>
        </w:rPr>
        <w:t>H</w:t>
      </w:r>
      <w:r w:rsidR="00A74C37">
        <w:rPr>
          <w:rFonts w:ascii="Arial" w:hAnsi="Arial" w:cs="Arial"/>
          <w:sz w:val="24"/>
          <w:szCs w:val="24"/>
          <w:lang w:val="en-GB"/>
        </w:rPr>
        <w:t xml:space="preserve">owever, </w:t>
      </w:r>
      <w:r w:rsidR="00187760">
        <w:rPr>
          <w:rFonts w:ascii="Arial" w:hAnsi="Arial" w:cs="Arial"/>
          <w:sz w:val="24"/>
          <w:szCs w:val="24"/>
          <w:lang w:val="en-GB"/>
        </w:rPr>
        <w:t>its determ</w:t>
      </w:r>
      <w:r w:rsidR="00A74C37">
        <w:rPr>
          <w:rFonts w:ascii="Arial" w:hAnsi="Arial" w:cs="Arial"/>
          <w:sz w:val="24"/>
          <w:szCs w:val="24"/>
          <w:lang w:val="en-GB"/>
        </w:rPr>
        <w:t xml:space="preserve">ination would </w:t>
      </w:r>
      <w:r w:rsidR="007F0ADC">
        <w:rPr>
          <w:rFonts w:ascii="Arial" w:hAnsi="Arial" w:cs="Arial"/>
          <w:sz w:val="24"/>
          <w:szCs w:val="24"/>
          <w:lang w:val="en-GB"/>
        </w:rPr>
        <w:t xml:space="preserve">have a </w:t>
      </w:r>
      <w:r w:rsidR="00D02D79">
        <w:rPr>
          <w:rFonts w:ascii="Arial" w:hAnsi="Arial" w:cs="Arial"/>
          <w:sz w:val="24"/>
          <w:szCs w:val="24"/>
          <w:lang w:val="en-GB"/>
        </w:rPr>
        <w:t>wider</w:t>
      </w:r>
      <w:r w:rsidR="007F0ADC">
        <w:rPr>
          <w:rFonts w:ascii="Arial" w:hAnsi="Arial" w:cs="Arial"/>
          <w:sz w:val="24"/>
          <w:szCs w:val="24"/>
          <w:lang w:val="en-GB"/>
        </w:rPr>
        <w:t xml:space="preserve"> effect and </w:t>
      </w:r>
      <w:r w:rsidR="00D15ECF">
        <w:rPr>
          <w:rFonts w:ascii="Arial" w:hAnsi="Arial" w:cs="Arial"/>
          <w:sz w:val="24"/>
          <w:szCs w:val="24"/>
          <w:lang w:val="en-GB"/>
        </w:rPr>
        <w:t xml:space="preserve">will </w:t>
      </w:r>
      <w:r w:rsidR="00A74C37">
        <w:rPr>
          <w:rFonts w:ascii="Arial" w:hAnsi="Arial" w:cs="Arial"/>
          <w:sz w:val="24"/>
          <w:szCs w:val="24"/>
          <w:lang w:val="en-GB"/>
        </w:rPr>
        <w:t>affect many other children in his</w:t>
      </w:r>
      <w:r w:rsidR="00187760">
        <w:rPr>
          <w:rFonts w:ascii="Arial" w:hAnsi="Arial" w:cs="Arial"/>
          <w:sz w:val="24"/>
          <w:szCs w:val="24"/>
          <w:lang w:val="en-GB"/>
        </w:rPr>
        <w:t xml:space="preserve"> or similar circumstances. </w:t>
      </w:r>
      <w:r w:rsidR="00E36B6C">
        <w:rPr>
          <w:rFonts w:ascii="Arial" w:hAnsi="Arial" w:cs="Arial"/>
          <w:sz w:val="24"/>
          <w:szCs w:val="24"/>
          <w:lang w:val="en-GB"/>
        </w:rPr>
        <w:t xml:space="preserve">It will also bring clarity and </w:t>
      </w:r>
      <w:r w:rsidR="00B2763E">
        <w:rPr>
          <w:rFonts w:ascii="Arial" w:hAnsi="Arial" w:cs="Arial"/>
          <w:sz w:val="24"/>
          <w:szCs w:val="24"/>
          <w:lang w:val="en-GB"/>
        </w:rPr>
        <w:t>certaint</w:t>
      </w:r>
      <w:r w:rsidR="00243E92">
        <w:rPr>
          <w:rFonts w:ascii="Arial" w:hAnsi="Arial" w:cs="Arial"/>
          <w:sz w:val="24"/>
          <w:szCs w:val="24"/>
          <w:lang w:val="en-GB"/>
        </w:rPr>
        <w:t>y</w:t>
      </w:r>
      <w:r w:rsidR="00E36B6C">
        <w:rPr>
          <w:rFonts w:ascii="Arial" w:hAnsi="Arial" w:cs="Arial"/>
          <w:sz w:val="24"/>
          <w:szCs w:val="24"/>
          <w:lang w:val="en-GB"/>
        </w:rPr>
        <w:t xml:space="preserve"> to the respondents themselves on </w:t>
      </w:r>
      <w:r w:rsidR="008F7E52">
        <w:rPr>
          <w:rFonts w:ascii="Arial" w:hAnsi="Arial" w:cs="Arial"/>
          <w:sz w:val="24"/>
          <w:szCs w:val="24"/>
          <w:lang w:val="en-GB"/>
        </w:rPr>
        <w:t>how they should deal with children born of fathers who may be illegal foreigners</w:t>
      </w:r>
      <w:r w:rsidR="00E36B6C">
        <w:rPr>
          <w:rFonts w:ascii="Arial" w:hAnsi="Arial" w:cs="Arial"/>
          <w:sz w:val="24"/>
          <w:szCs w:val="24"/>
          <w:lang w:val="en-GB"/>
        </w:rPr>
        <w:t xml:space="preserve">.  </w:t>
      </w:r>
      <w:r w:rsidR="00CE698A">
        <w:rPr>
          <w:rFonts w:ascii="Arial" w:hAnsi="Arial" w:cs="Arial"/>
          <w:sz w:val="24"/>
          <w:szCs w:val="24"/>
          <w:lang w:val="en-GB"/>
        </w:rPr>
        <w:t>A</w:t>
      </w:r>
      <w:r w:rsidR="00187760">
        <w:rPr>
          <w:rFonts w:ascii="Arial" w:hAnsi="Arial" w:cs="Arial"/>
          <w:sz w:val="24"/>
          <w:szCs w:val="24"/>
          <w:lang w:val="en-GB"/>
        </w:rPr>
        <w:t>ne</w:t>
      </w:r>
      <w:r w:rsidR="00CE698A">
        <w:rPr>
          <w:rFonts w:ascii="Arial" w:hAnsi="Arial" w:cs="Arial"/>
          <w:sz w:val="24"/>
          <w:szCs w:val="24"/>
          <w:lang w:val="en-GB"/>
        </w:rPr>
        <w:t>cdotal</w:t>
      </w:r>
      <w:r w:rsidR="00187760">
        <w:rPr>
          <w:rFonts w:ascii="Arial" w:hAnsi="Arial" w:cs="Arial"/>
          <w:sz w:val="24"/>
          <w:szCs w:val="24"/>
          <w:lang w:val="en-GB"/>
        </w:rPr>
        <w:t xml:space="preserve"> evidence suggests that there </w:t>
      </w:r>
      <w:r w:rsidR="00D219EB">
        <w:rPr>
          <w:rFonts w:ascii="Arial" w:hAnsi="Arial" w:cs="Arial"/>
          <w:sz w:val="24"/>
          <w:szCs w:val="24"/>
          <w:lang w:val="en-GB"/>
        </w:rPr>
        <w:t>may be</w:t>
      </w:r>
      <w:r w:rsidR="00187760">
        <w:rPr>
          <w:rFonts w:ascii="Arial" w:hAnsi="Arial" w:cs="Arial"/>
          <w:sz w:val="24"/>
          <w:szCs w:val="24"/>
          <w:lang w:val="en-GB"/>
        </w:rPr>
        <w:t xml:space="preserve"> millions of illegal foreigners in this country. Surely once they are in the country and intermingle as they </w:t>
      </w:r>
      <w:r w:rsidR="00E36B6C">
        <w:rPr>
          <w:rFonts w:ascii="Arial" w:hAnsi="Arial" w:cs="Arial"/>
          <w:sz w:val="24"/>
          <w:szCs w:val="24"/>
          <w:lang w:val="en-GB"/>
        </w:rPr>
        <w:t xml:space="preserve">surely </w:t>
      </w:r>
      <w:r w:rsidR="00187760">
        <w:rPr>
          <w:rFonts w:ascii="Arial" w:hAnsi="Arial" w:cs="Arial"/>
          <w:sz w:val="24"/>
          <w:szCs w:val="24"/>
          <w:lang w:val="en-GB"/>
        </w:rPr>
        <w:t xml:space="preserve">do with local citizens, </w:t>
      </w:r>
      <w:r w:rsidR="00E36B6C">
        <w:rPr>
          <w:rFonts w:ascii="Arial" w:hAnsi="Arial" w:cs="Arial"/>
          <w:sz w:val="24"/>
          <w:szCs w:val="24"/>
          <w:lang w:val="en-GB"/>
        </w:rPr>
        <w:t xml:space="preserve">naturally </w:t>
      </w:r>
      <w:r w:rsidR="00187760">
        <w:rPr>
          <w:rFonts w:ascii="Arial" w:hAnsi="Arial" w:cs="Arial"/>
          <w:sz w:val="24"/>
          <w:szCs w:val="24"/>
          <w:lang w:val="en-GB"/>
        </w:rPr>
        <w:t>m</w:t>
      </w:r>
      <w:r w:rsidR="00A74C37">
        <w:rPr>
          <w:rFonts w:ascii="Arial" w:hAnsi="Arial" w:cs="Arial"/>
          <w:sz w:val="24"/>
          <w:szCs w:val="24"/>
          <w:lang w:val="en-GB"/>
        </w:rPr>
        <w:t xml:space="preserve">illions of children are </w:t>
      </w:r>
      <w:r w:rsidR="005C63B5">
        <w:rPr>
          <w:rFonts w:ascii="Arial" w:hAnsi="Arial" w:cs="Arial"/>
          <w:sz w:val="24"/>
          <w:szCs w:val="24"/>
          <w:lang w:val="en-GB"/>
        </w:rPr>
        <w:t xml:space="preserve">possibly </w:t>
      </w:r>
      <w:r w:rsidR="00A74C37">
        <w:rPr>
          <w:rFonts w:ascii="Arial" w:hAnsi="Arial" w:cs="Arial"/>
          <w:sz w:val="24"/>
          <w:szCs w:val="24"/>
          <w:lang w:val="en-GB"/>
        </w:rPr>
        <w:t>born</w:t>
      </w:r>
      <w:r w:rsidR="00187760">
        <w:rPr>
          <w:rFonts w:ascii="Arial" w:hAnsi="Arial" w:cs="Arial"/>
          <w:sz w:val="24"/>
          <w:szCs w:val="24"/>
          <w:lang w:val="en-GB"/>
        </w:rPr>
        <w:t xml:space="preserve"> </w:t>
      </w:r>
      <w:r w:rsidR="00D02D79">
        <w:rPr>
          <w:rFonts w:ascii="Arial" w:hAnsi="Arial" w:cs="Arial"/>
          <w:sz w:val="24"/>
          <w:szCs w:val="24"/>
          <w:lang w:val="en-GB"/>
        </w:rPr>
        <w:t>yearly around the country</w:t>
      </w:r>
      <w:r w:rsidR="00187760">
        <w:rPr>
          <w:rFonts w:ascii="Arial" w:hAnsi="Arial" w:cs="Arial"/>
          <w:sz w:val="24"/>
          <w:szCs w:val="24"/>
          <w:lang w:val="en-GB"/>
        </w:rPr>
        <w:t>. The rights concerned are those of the minor children. Neither the Constitution nor the Children</w:t>
      </w:r>
      <w:r w:rsidR="005D5B91">
        <w:rPr>
          <w:rFonts w:ascii="Arial" w:hAnsi="Arial" w:cs="Arial"/>
          <w:sz w:val="24"/>
          <w:szCs w:val="24"/>
          <w:lang w:val="en-GB"/>
        </w:rPr>
        <w:t xml:space="preserve">’s Act distinguish between children </w:t>
      </w:r>
      <w:r w:rsidR="00A74C37">
        <w:rPr>
          <w:rFonts w:ascii="Arial" w:hAnsi="Arial" w:cs="Arial"/>
          <w:sz w:val="24"/>
          <w:szCs w:val="24"/>
          <w:lang w:val="en-GB"/>
        </w:rPr>
        <w:t xml:space="preserve">on the </w:t>
      </w:r>
      <w:r w:rsidR="00A74C37">
        <w:rPr>
          <w:rFonts w:ascii="Arial" w:hAnsi="Arial" w:cs="Arial"/>
          <w:sz w:val="24"/>
          <w:szCs w:val="24"/>
          <w:lang w:val="en-GB"/>
        </w:rPr>
        <w:lastRenderedPageBreak/>
        <w:t>basis of citizenship of their parents as far as</w:t>
      </w:r>
      <w:r w:rsidR="007F0ADC">
        <w:rPr>
          <w:rFonts w:ascii="Arial" w:hAnsi="Arial" w:cs="Arial"/>
          <w:sz w:val="24"/>
          <w:szCs w:val="24"/>
          <w:lang w:val="en-GB"/>
        </w:rPr>
        <w:t xml:space="preserve"> I am aware</w:t>
      </w:r>
      <w:r w:rsidR="00A74C37">
        <w:rPr>
          <w:rFonts w:ascii="Arial" w:hAnsi="Arial" w:cs="Arial"/>
          <w:sz w:val="24"/>
          <w:szCs w:val="24"/>
          <w:lang w:val="en-GB"/>
        </w:rPr>
        <w:t xml:space="preserve"> </w:t>
      </w:r>
      <w:r w:rsidR="005D5B91">
        <w:rPr>
          <w:rFonts w:ascii="Arial" w:hAnsi="Arial" w:cs="Arial"/>
          <w:sz w:val="24"/>
          <w:szCs w:val="24"/>
          <w:lang w:val="en-GB"/>
        </w:rPr>
        <w:t xml:space="preserve">when </w:t>
      </w:r>
      <w:r w:rsidR="00D15ECF">
        <w:rPr>
          <w:rFonts w:ascii="Arial" w:hAnsi="Arial" w:cs="Arial"/>
          <w:sz w:val="24"/>
          <w:szCs w:val="24"/>
          <w:lang w:val="en-GB"/>
        </w:rPr>
        <w:t>they provide</w:t>
      </w:r>
      <w:r w:rsidR="005D5B91">
        <w:rPr>
          <w:rFonts w:ascii="Arial" w:hAnsi="Arial" w:cs="Arial"/>
          <w:sz w:val="24"/>
          <w:szCs w:val="24"/>
          <w:lang w:val="en-GB"/>
        </w:rPr>
        <w:t xml:space="preserve"> for the protection of the rights</w:t>
      </w:r>
      <w:r w:rsidR="00D02D79">
        <w:rPr>
          <w:rFonts w:ascii="Arial" w:hAnsi="Arial" w:cs="Arial"/>
          <w:sz w:val="24"/>
          <w:szCs w:val="24"/>
          <w:lang w:val="en-GB"/>
        </w:rPr>
        <w:t xml:space="preserve"> of children</w:t>
      </w:r>
      <w:r w:rsidR="005D5B91">
        <w:rPr>
          <w:rFonts w:ascii="Arial" w:hAnsi="Arial" w:cs="Arial"/>
          <w:sz w:val="24"/>
          <w:szCs w:val="24"/>
          <w:lang w:val="en-GB"/>
        </w:rPr>
        <w:t>.</w:t>
      </w:r>
      <w:r w:rsidR="00D15ECF">
        <w:rPr>
          <w:rFonts w:ascii="Arial" w:hAnsi="Arial" w:cs="Arial"/>
          <w:sz w:val="24"/>
          <w:szCs w:val="24"/>
          <w:lang w:val="en-GB"/>
        </w:rPr>
        <w:t xml:space="preserve">  I, therefore, am of the view that this matter is justiciable, it being neither moot nor not ripe in these circumstances</w:t>
      </w:r>
      <w:r w:rsidR="00E36B6C">
        <w:rPr>
          <w:rFonts w:ascii="Arial" w:hAnsi="Arial" w:cs="Arial"/>
          <w:sz w:val="24"/>
          <w:szCs w:val="24"/>
          <w:lang w:val="en-GB"/>
        </w:rPr>
        <w:t xml:space="preserve">.  </w:t>
      </w:r>
      <w:r w:rsidR="008F7E52">
        <w:rPr>
          <w:rFonts w:ascii="Arial" w:hAnsi="Arial" w:cs="Arial"/>
          <w:sz w:val="24"/>
          <w:szCs w:val="24"/>
          <w:lang w:val="en-GB"/>
        </w:rPr>
        <w:t>Its</w:t>
      </w:r>
      <w:r w:rsidR="00E36B6C">
        <w:rPr>
          <w:rFonts w:ascii="Arial" w:hAnsi="Arial" w:cs="Arial"/>
          <w:sz w:val="24"/>
          <w:szCs w:val="24"/>
          <w:lang w:val="en-GB"/>
        </w:rPr>
        <w:t xml:space="preserve"> determination will not</w:t>
      </w:r>
      <w:r w:rsidR="00D15ECF">
        <w:rPr>
          <w:rFonts w:ascii="Arial" w:hAnsi="Arial" w:cs="Arial"/>
          <w:sz w:val="24"/>
          <w:szCs w:val="24"/>
          <w:lang w:val="en-GB"/>
        </w:rPr>
        <w:t xml:space="preserve"> offend any of the principles of the separation of powers and judicial restraint as adequately explained in numerous cases by the Constitutional Court.</w:t>
      </w:r>
    </w:p>
    <w:p w:rsidR="00D219EB" w:rsidRPr="00D219EB" w:rsidRDefault="00D219EB" w:rsidP="00D15ECF">
      <w:pPr>
        <w:spacing w:line="480" w:lineRule="auto"/>
        <w:jc w:val="both"/>
        <w:rPr>
          <w:rFonts w:ascii="Arial" w:hAnsi="Arial" w:cs="Arial"/>
          <w:i/>
          <w:sz w:val="24"/>
          <w:szCs w:val="24"/>
          <w:lang w:val="en-GB"/>
        </w:rPr>
      </w:pPr>
      <w:r>
        <w:rPr>
          <w:rFonts w:ascii="Arial" w:hAnsi="Arial" w:cs="Arial"/>
          <w:i/>
          <w:sz w:val="24"/>
          <w:szCs w:val="24"/>
          <w:lang w:val="en-GB"/>
        </w:rPr>
        <w:t>Is Regulation 12(2)(c) constitutional?</w:t>
      </w:r>
    </w:p>
    <w:p w:rsidR="00187760" w:rsidRDefault="00D2471F" w:rsidP="00AB73CD">
      <w:pPr>
        <w:spacing w:line="480" w:lineRule="auto"/>
        <w:jc w:val="both"/>
        <w:rPr>
          <w:rFonts w:ascii="Arial" w:hAnsi="Arial" w:cs="Arial"/>
          <w:sz w:val="24"/>
          <w:szCs w:val="24"/>
          <w:lang w:val="en-GB"/>
        </w:rPr>
      </w:pPr>
      <w:r>
        <w:rPr>
          <w:rFonts w:ascii="Arial" w:hAnsi="Arial" w:cs="Arial"/>
          <w:sz w:val="24"/>
          <w:szCs w:val="24"/>
          <w:lang w:val="en-GB"/>
        </w:rPr>
        <w:t>[</w:t>
      </w:r>
      <w:r w:rsidR="00D76A97">
        <w:rPr>
          <w:rFonts w:ascii="Arial" w:hAnsi="Arial" w:cs="Arial"/>
          <w:sz w:val="24"/>
          <w:szCs w:val="24"/>
          <w:lang w:val="en-GB"/>
        </w:rPr>
        <w:t>2</w:t>
      </w:r>
      <w:r w:rsidR="003349F2">
        <w:rPr>
          <w:rFonts w:ascii="Arial" w:hAnsi="Arial" w:cs="Arial"/>
          <w:sz w:val="24"/>
          <w:szCs w:val="24"/>
          <w:lang w:val="en-GB"/>
        </w:rPr>
        <w:t>3</w:t>
      </w:r>
      <w:r w:rsidR="005D5B91">
        <w:rPr>
          <w:rFonts w:ascii="Arial" w:hAnsi="Arial" w:cs="Arial"/>
          <w:sz w:val="24"/>
          <w:szCs w:val="24"/>
          <w:lang w:val="en-GB"/>
        </w:rPr>
        <w:t xml:space="preserve">] </w:t>
      </w:r>
      <w:r w:rsidR="004D3FF0">
        <w:rPr>
          <w:rFonts w:ascii="Arial" w:hAnsi="Arial" w:cs="Arial"/>
          <w:sz w:val="24"/>
          <w:szCs w:val="24"/>
          <w:lang w:val="en-GB"/>
        </w:rPr>
        <w:t>Th</w:t>
      </w:r>
      <w:r w:rsidR="007532D1">
        <w:rPr>
          <w:rFonts w:ascii="Arial" w:hAnsi="Arial" w:cs="Arial"/>
          <w:sz w:val="24"/>
          <w:szCs w:val="24"/>
          <w:lang w:val="en-GB"/>
        </w:rPr>
        <w:t>e above</w:t>
      </w:r>
      <w:r w:rsidR="004D3FF0">
        <w:rPr>
          <w:rFonts w:ascii="Arial" w:hAnsi="Arial" w:cs="Arial"/>
          <w:sz w:val="24"/>
          <w:szCs w:val="24"/>
          <w:lang w:val="en-GB"/>
        </w:rPr>
        <w:t xml:space="preserve"> </w:t>
      </w:r>
      <w:r w:rsidR="000D2431">
        <w:rPr>
          <w:rFonts w:ascii="Arial" w:hAnsi="Arial" w:cs="Arial"/>
          <w:sz w:val="24"/>
          <w:szCs w:val="24"/>
          <w:lang w:val="en-GB"/>
        </w:rPr>
        <w:t xml:space="preserve">conclusion </w:t>
      </w:r>
      <w:r w:rsidR="004D3FF0">
        <w:rPr>
          <w:rFonts w:ascii="Arial" w:hAnsi="Arial" w:cs="Arial"/>
          <w:sz w:val="24"/>
          <w:szCs w:val="24"/>
          <w:lang w:val="en-GB"/>
        </w:rPr>
        <w:t xml:space="preserve">brings me to the actual determination of the constitutionality of Regulation </w:t>
      </w:r>
      <w:r w:rsidR="000D2431">
        <w:rPr>
          <w:rFonts w:ascii="Arial" w:hAnsi="Arial" w:cs="Arial"/>
          <w:sz w:val="24"/>
          <w:szCs w:val="24"/>
          <w:lang w:val="en-GB"/>
        </w:rPr>
        <w:t>12(2)</w:t>
      </w:r>
      <w:r w:rsidR="004D3FF0">
        <w:rPr>
          <w:rFonts w:ascii="Arial" w:hAnsi="Arial" w:cs="Arial"/>
          <w:sz w:val="24"/>
          <w:szCs w:val="24"/>
          <w:lang w:val="en-GB"/>
        </w:rPr>
        <w:t>(c).</w:t>
      </w:r>
      <w:r w:rsidR="005D5B91">
        <w:rPr>
          <w:rFonts w:ascii="Arial" w:hAnsi="Arial" w:cs="Arial"/>
          <w:sz w:val="24"/>
          <w:szCs w:val="24"/>
          <w:lang w:val="en-GB"/>
        </w:rPr>
        <w:t xml:space="preserve"> </w:t>
      </w:r>
      <w:r w:rsidR="00E93527">
        <w:rPr>
          <w:rFonts w:ascii="Arial" w:hAnsi="Arial" w:cs="Arial"/>
          <w:sz w:val="24"/>
          <w:szCs w:val="24"/>
          <w:lang w:val="en-GB"/>
        </w:rPr>
        <w:t>Regulat</w:t>
      </w:r>
      <w:r w:rsidR="002D7579">
        <w:rPr>
          <w:rFonts w:ascii="Arial" w:hAnsi="Arial" w:cs="Arial"/>
          <w:sz w:val="24"/>
          <w:szCs w:val="24"/>
          <w:lang w:val="en-GB"/>
        </w:rPr>
        <w:t>ion 12</w:t>
      </w:r>
      <w:r w:rsidR="00EC0B01">
        <w:rPr>
          <w:rFonts w:ascii="Arial" w:hAnsi="Arial" w:cs="Arial"/>
          <w:sz w:val="24"/>
          <w:szCs w:val="24"/>
          <w:lang w:val="en-GB"/>
        </w:rPr>
        <w:t>(2)(</w:t>
      </w:r>
      <w:r w:rsidR="008F7E52">
        <w:rPr>
          <w:rFonts w:ascii="Arial" w:hAnsi="Arial" w:cs="Arial"/>
          <w:sz w:val="24"/>
          <w:szCs w:val="24"/>
          <w:lang w:val="en-GB"/>
        </w:rPr>
        <w:t>c</w:t>
      </w:r>
      <w:r w:rsidR="00EC0B01">
        <w:rPr>
          <w:rFonts w:ascii="Arial" w:hAnsi="Arial" w:cs="Arial"/>
          <w:sz w:val="24"/>
          <w:szCs w:val="24"/>
          <w:lang w:val="en-GB"/>
        </w:rPr>
        <w:t>)</w:t>
      </w:r>
      <w:r w:rsidR="002D7579">
        <w:rPr>
          <w:rFonts w:ascii="Arial" w:hAnsi="Arial" w:cs="Arial"/>
          <w:sz w:val="24"/>
          <w:szCs w:val="24"/>
          <w:lang w:val="en-GB"/>
        </w:rPr>
        <w:t xml:space="preserve"> has been a majo</w:t>
      </w:r>
      <w:r w:rsidR="00E93527">
        <w:rPr>
          <w:rFonts w:ascii="Arial" w:hAnsi="Arial" w:cs="Arial"/>
          <w:sz w:val="24"/>
          <w:szCs w:val="24"/>
          <w:lang w:val="en-GB"/>
        </w:rPr>
        <w:t xml:space="preserve">r bone of contention in this matter from the onset </w:t>
      </w:r>
      <w:r w:rsidR="00D15ECF">
        <w:rPr>
          <w:rFonts w:ascii="Arial" w:hAnsi="Arial" w:cs="Arial"/>
          <w:sz w:val="24"/>
          <w:szCs w:val="24"/>
          <w:lang w:val="en-GB"/>
        </w:rPr>
        <w:t>and the parties remain poles apart on its constitutionality.  It reads thus</w:t>
      </w:r>
      <w:r w:rsidR="00E93527">
        <w:rPr>
          <w:rFonts w:ascii="Arial" w:hAnsi="Arial" w:cs="Arial"/>
          <w:sz w:val="24"/>
          <w:szCs w:val="24"/>
          <w:lang w:val="en-GB"/>
        </w:rPr>
        <w:t>:</w:t>
      </w:r>
    </w:p>
    <w:p w:rsidR="00E93527" w:rsidRPr="000D2431" w:rsidRDefault="007722BF" w:rsidP="00BA009A">
      <w:pPr>
        <w:spacing w:line="360" w:lineRule="auto"/>
        <w:ind w:left="720" w:hanging="425"/>
        <w:jc w:val="both"/>
        <w:rPr>
          <w:rFonts w:ascii="Arial" w:hAnsi="Arial" w:cs="Arial"/>
          <w:lang w:val="en-GB"/>
        </w:rPr>
      </w:pPr>
      <w:r w:rsidRPr="000D2431">
        <w:rPr>
          <w:rFonts w:ascii="Arial" w:hAnsi="Arial" w:cs="Arial"/>
          <w:lang w:val="en-GB"/>
        </w:rPr>
        <w:t>“</w:t>
      </w:r>
      <w:r w:rsidR="002D7579" w:rsidRPr="000D2431">
        <w:rPr>
          <w:rFonts w:ascii="Arial" w:hAnsi="Arial" w:cs="Arial"/>
          <w:lang w:val="en-GB"/>
        </w:rPr>
        <w:t xml:space="preserve">12 </w:t>
      </w:r>
      <w:r w:rsidR="00D15ECF">
        <w:rPr>
          <w:rFonts w:ascii="Arial" w:hAnsi="Arial" w:cs="Arial"/>
          <w:lang w:val="en-GB"/>
        </w:rPr>
        <w:tab/>
      </w:r>
      <w:r w:rsidR="002D7579" w:rsidRPr="000D2431">
        <w:rPr>
          <w:rFonts w:ascii="Arial" w:hAnsi="Arial" w:cs="Arial"/>
          <w:lang w:val="en-GB"/>
        </w:rPr>
        <w:t>(1) A</w:t>
      </w:r>
      <w:r w:rsidR="00E93527" w:rsidRPr="000D2431">
        <w:rPr>
          <w:rFonts w:ascii="Arial" w:hAnsi="Arial" w:cs="Arial"/>
          <w:lang w:val="en-GB"/>
        </w:rPr>
        <w:t xml:space="preserve"> notice of a birth of a child born out of wedlock s</w:t>
      </w:r>
      <w:r w:rsidR="000D2431" w:rsidRPr="000D2431">
        <w:rPr>
          <w:rFonts w:ascii="Arial" w:hAnsi="Arial" w:cs="Arial"/>
          <w:lang w:val="en-GB"/>
        </w:rPr>
        <w:t xml:space="preserve">hall be made by the mother of </w:t>
      </w:r>
      <w:r w:rsidR="00E93527" w:rsidRPr="000D2431">
        <w:rPr>
          <w:rFonts w:ascii="Arial" w:hAnsi="Arial" w:cs="Arial"/>
          <w:lang w:val="en-GB"/>
        </w:rPr>
        <w:t xml:space="preserve">the </w:t>
      </w:r>
      <w:r w:rsidR="00D15ECF">
        <w:rPr>
          <w:rFonts w:ascii="Arial" w:hAnsi="Arial" w:cs="Arial"/>
          <w:lang w:val="en-GB"/>
        </w:rPr>
        <w:t xml:space="preserve">                    </w:t>
      </w:r>
      <w:r w:rsidR="00E93527" w:rsidRPr="000D2431">
        <w:rPr>
          <w:rFonts w:ascii="Arial" w:hAnsi="Arial" w:cs="Arial"/>
          <w:lang w:val="en-GB"/>
        </w:rPr>
        <w:t>child on form DHA-</w:t>
      </w:r>
      <w:r w:rsidR="002D7579" w:rsidRPr="000D2431">
        <w:rPr>
          <w:rFonts w:ascii="Arial" w:hAnsi="Arial" w:cs="Arial"/>
          <w:lang w:val="en-GB"/>
        </w:rPr>
        <w:t>24 illustrated in Annexure 1A or F</w:t>
      </w:r>
      <w:r w:rsidR="00E93527" w:rsidRPr="000D2431">
        <w:rPr>
          <w:rFonts w:ascii="Arial" w:hAnsi="Arial" w:cs="Arial"/>
          <w:lang w:val="en-GB"/>
        </w:rPr>
        <w:t xml:space="preserve">orm DHA-24/LRB illustrated in </w:t>
      </w:r>
      <w:r w:rsidR="00D15ECF">
        <w:rPr>
          <w:rFonts w:ascii="Arial" w:hAnsi="Arial" w:cs="Arial"/>
          <w:lang w:val="en-GB"/>
        </w:rPr>
        <w:t xml:space="preserve">   </w:t>
      </w:r>
      <w:r w:rsidR="00E93527" w:rsidRPr="000D2431">
        <w:rPr>
          <w:rFonts w:ascii="Arial" w:hAnsi="Arial" w:cs="Arial"/>
          <w:lang w:val="en-GB"/>
        </w:rPr>
        <w:t>Annexure 1A, whichever is applicable</w:t>
      </w:r>
      <w:r w:rsidR="00EC0B01">
        <w:rPr>
          <w:rStyle w:val="FootnoteReference"/>
          <w:rFonts w:ascii="Arial" w:hAnsi="Arial" w:cs="Arial"/>
          <w:lang w:val="en-GB"/>
        </w:rPr>
        <w:footnoteReference w:id="7"/>
      </w:r>
      <w:r w:rsidR="00E93527" w:rsidRPr="000D2431">
        <w:rPr>
          <w:rFonts w:ascii="Arial" w:hAnsi="Arial" w:cs="Arial"/>
          <w:lang w:val="en-GB"/>
        </w:rPr>
        <w:t>.</w:t>
      </w:r>
    </w:p>
    <w:p w:rsidR="00E93527" w:rsidRPr="000D2431" w:rsidRDefault="00E93527" w:rsidP="000D2431">
      <w:pPr>
        <w:spacing w:line="360" w:lineRule="auto"/>
        <w:ind w:left="993" w:hanging="283"/>
        <w:jc w:val="both"/>
        <w:rPr>
          <w:rFonts w:ascii="Arial" w:hAnsi="Arial" w:cs="Arial"/>
          <w:lang w:val="en-GB"/>
        </w:rPr>
      </w:pPr>
      <w:r w:rsidRPr="000D2431">
        <w:rPr>
          <w:rFonts w:ascii="Arial" w:hAnsi="Arial" w:cs="Arial"/>
          <w:lang w:val="en-GB"/>
        </w:rPr>
        <w:t>(2) The person who acknowledges that he is the father of the child born out of wedlock must:</w:t>
      </w:r>
    </w:p>
    <w:p w:rsidR="00E93527" w:rsidRPr="000D2431" w:rsidRDefault="00E93527" w:rsidP="00D15ECF">
      <w:pPr>
        <w:spacing w:line="360" w:lineRule="auto"/>
        <w:ind w:left="993" w:hanging="283"/>
        <w:jc w:val="both"/>
        <w:rPr>
          <w:rFonts w:ascii="Arial" w:hAnsi="Arial" w:cs="Arial"/>
          <w:lang w:val="en-GB"/>
        </w:rPr>
      </w:pPr>
      <w:r w:rsidRPr="000D2431">
        <w:rPr>
          <w:rFonts w:ascii="Arial" w:hAnsi="Arial" w:cs="Arial"/>
          <w:lang w:val="en-GB"/>
        </w:rPr>
        <w:t>(a) ent</w:t>
      </w:r>
      <w:r w:rsidR="002D7579" w:rsidRPr="000D2431">
        <w:rPr>
          <w:rFonts w:ascii="Arial" w:hAnsi="Arial" w:cs="Arial"/>
          <w:lang w:val="en-GB"/>
        </w:rPr>
        <w:t>er his particulars and sign on Part D of F</w:t>
      </w:r>
      <w:r w:rsidRPr="000D2431">
        <w:rPr>
          <w:rFonts w:ascii="Arial" w:hAnsi="Arial" w:cs="Arial"/>
          <w:lang w:val="en-GB"/>
        </w:rPr>
        <w:t>orm DHA-24 il</w:t>
      </w:r>
      <w:r w:rsidR="002D7579" w:rsidRPr="000D2431">
        <w:rPr>
          <w:rFonts w:ascii="Arial" w:hAnsi="Arial" w:cs="Arial"/>
          <w:lang w:val="en-GB"/>
        </w:rPr>
        <w:t>lustrated in Annexure 1A or on Part D of F</w:t>
      </w:r>
      <w:r w:rsidRPr="000D2431">
        <w:rPr>
          <w:rFonts w:ascii="Arial" w:hAnsi="Arial" w:cs="Arial"/>
          <w:lang w:val="en-GB"/>
        </w:rPr>
        <w:t>orm DHA-2</w:t>
      </w:r>
      <w:r w:rsidR="002D7579" w:rsidRPr="000D2431">
        <w:rPr>
          <w:rFonts w:ascii="Arial" w:hAnsi="Arial" w:cs="Arial"/>
          <w:lang w:val="en-GB"/>
        </w:rPr>
        <w:t>4/LRB illustrated in Annexure 1B</w:t>
      </w:r>
      <w:r w:rsidRPr="000D2431">
        <w:rPr>
          <w:rFonts w:ascii="Arial" w:hAnsi="Arial" w:cs="Arial"/>
          <w:lang w:val="en-GB"/>
        </w:rPr>
        <w:t xml:space="preserve">, as the case may be, at the offices of the Department and in the presence of an official of the Department </w:t>
      </w:r>
      <w:r w:rsidR="007722BF" w:rsidRPr="000D2431">
        <w:rPr>
          <w:rFonts w:ascii="Arial" w:hAnsi="Arial" w:cs="Arial"/>
          <w:lang w:val="en-GB"/>
        </w:rPr>
        <w:t>as contemplated in section 10 (1) (b) of the Act,</w:t>
      </w:r>
      <w:r w:rsidR="002D7579" w:rsidRPr="000D2431">
        <w:rPr>
          <w:rStyle w:val="FootnoteReference"/>
          <w:rFonts w:ascii="Arial" w:hAnsi="Arial" w:cs="Arial"/>
          <w:lang w:val="en-GB"/>
        </w:rPr>
        <w:footnoteReference w:id="8"/>
      </w:r>
    </w:p>
    <w:p w:rsidR="007722BF" w:rsidRPr="000D2431" w:rsidRDefault="002D7579" w:rsidP="00D15ECF">
      <w:pPr>
        <w:spacing w:line="360" w:lineRule="auto"/>
        <w:ind w:left="284" w:firstLine="426"/>
        <w:jc w:val="both"/>
        <w:rPr>
          <w:rFonts w:ascii="Arial" w:hAnsi="Arial" w:cs="Arial"/>
          <w:lang w:val="en-GB"/>
        </w:rPr>
      </w:pPr>
      <w:r w:rsidRPr="000D2431">
        <w:rPr>
          <w:rFonts w:ascii="Arial" w:hAnsi="Arial" w:cs="Arial"/>
          <w:lang w:val="en-GB"/>
        </w:rPr>
        <w:t>(b) submit an affidavit on F</w:t>
      </w:r>
      <w:r w:rsidR="007722BF" w:rsidRPr="000D2431">
        <w:rPr>
          <w:rFonts w:ascii="Arial" w:hAnsi="Arial" w:cs="Arial"/>
          <w:lang w:val="en-GB"/>
        </w:rPr>
        <w:t>orm DHA-288/C illustrated in Annexure 2D in which he:</w:t>
      </w:r>
    </w:p>
    <w:p w:rsidR="007722BF" w:rsidRPr="000D2431" w:rsidRDefault="007722BF" w:rsidP="00D15ECF">
      <w:pPr>
        <w:spacing w:line="360" w:lineRule="auto"/>
        <w:ind w:left="1004" w:firstLine="436"/>
        <w:jc w:val="both"/>
        <w:rPr>
          <w:rFonts w:ascii="Arial" w:hAnsi="Arial" w:cs="Arial"/>
          <w:lang w:val="en-GB"/>
        </w:rPr>
      </w:pPr>
      <w:r w:rsidRPr="000D2431">
        <w:rPr>
          <w:rFonts w:ascii="Arial" w:hAnsi="Arial" w:cs="Arial"/>
          <w:lang w:val="en-GB"/>
        </w:rPr>
        <w:t>(</w:t>
      </w:r>
      <w:proofErr w:type="spellStart"/>
      <w:r w:rsidRPr="000D2431">
        <w:rPr>
          <w:rFonts w:ascii="Arial" w:hAnsi="Arial" w:cs="Arial"/>
          <w:lang w:val="en-GB"/>
        </w:rPr>
        <w:t>i</w:t>
      </w:r>
      <w:proofErr w:type="spellEnd"/>
      <w:r w:rsidRPr="000D2431">
        <w:rPr>
          <w:rFonts w:ascii="Arial" w:hAnsi="Arial" w:cs="Arial"/>
          <w:lang w:val="en-GB"/>
        </w:rPr>
        <w:t>) states his relationship to the mother; and</w:t>
      </w:r>
    </w:p>
    <w:p w:rsidR="007722BF" w:rsidRPr="000D2431" w:rsidRDefault="007722BF" w:rsidP="00D15ECF">
      <w:pPr>
        <w:spacing w:line="360" w:lineRule="auto"/>
        <w:ind w:left="1004" w:firstLine="414"/>
        <w:jc w:val="both"/>
        <w:rPr>
          <w:rFonts w:ascii="Arial" w:hAnsi="Arial" w:cs="Arial"/>
          <w:lang w:val="en-GB"/>
        </w:rPr>
      </w:pPr>
      <w:r w:rsidRPr="000D2431">
        <w:rPr>
          <w:rFonts w:ascii="Arial" w:hAnsi="Arial" w:cs="Arial"/>
          <w:lang w:val="en-GB"/>
        </w:rPr>
        <w:t>(ii) acknowledges paternity of the child; and</w:t>
      </w:r>
    </w:p>
    <w:p w:rsidR="007722BF" w:rsidRPr="000D2431" w:rsidRDefault="007722BF" w:rsidP="007532D1">
      <w:pPr>
        <w:spacing w:line="360" w:lineRule="auto"/>
        <w:ind w:left="993" w:hanging="273"/>
        <w:jc w:val="both"/>
        <w:rPr>
          <w:rFonts w:ascii="Arial" w:hAnsi="Arial" w:cs="Arial"/>
          <w:sz w:val="24"/>
          <w:szCs w:val="24"/>
          <w:lang w:val="en-GB"/>
        </w:rPr>
      </w:pPr>
      <w:r w:rsidRPr="000D2431">
        <w:rPr>
          <w:rFonts w:ascii="Arial" w:hAnsi="Arial" w:cs="Arial"/>
          <w:lang w:val="en-GB"/>
        </w:rPr>
        <w:t>(c) have his fingerprints verified online against the</w:t>
      </w:r>
      <w:r w:rsidR="007532D1">
        <w:rPr>
          <w:rFonts w:ascii="Arial" w:hAnsi="Arial" w:cs="Arial"/>
          <w:lang w:val="en-GB"/>
        </w:rPr>
        <w:t xml:space="preserve"> national population register: </w:t>
      </w:r>
      <w:r w:rsidR="002D7579" w:rsidRPr="000D2431">
        <w:rPr>
          <w:rFonts w:ascii="Arial" w:hAnsi="Arial" w:cs="Arial"/>
          <w:lang w:val="en-GB"/>
        </w:rPr>
        <w:t>P</w:t>
      </w:r>
      <w:r w:rsidRPr="000D2431">
        <w:rPr>
          <w:rFonts w:ascii="Arial" w:hAnsi="Arial" w:cs="Arial"/>
          <w:lang w:val="en-GB"/>
        </w:rPr>
        <w:t xml:space="preserve">rovided that in the event of the father being a non-South African citizen, he must </w:t>
      </w:r>
      <w:r w:rsidRPr="000D2431">
        <w:rPr>
          <w:rFonts w:ascii="Arial" w:hAnsi="Arial" w:cs="Arial"/>
          <w:lang w:val="en-GB"/>
        </w:rPr>
        <w:lastRenderedPageBreak/>
        <w:t>submit a certified copy of hi</w:t>
      </w:r>
      <w:r w:rsidR="002D7579" w:rsidRPr="000D2431">
        <w:rPr>
          <w:rFonts w:ascii="Arial" w:hAnsi="Arial" w:cs="Arial"/>
          <w:lang w:val="en-GB"/>
        </w:rPr>
        <w:t>s</w:t>
      </w:r>
      <w:r w:rsidRPr="000D2431">
        <w:rPr>
          <w:rFonts w:ascii="Arial" w:hAnsi="Arial" w:cs="Arial"/>
          <w:lang w:val="en-GB"/>
        </w:rPr>
        <w:t xml:space="preserve"> valid passport and visa or permit, permanent resident</w:t>
      </w:r>
      <w:r w:rsidR="002D7579" w:rsidRPr="000D2431">
        <w:rPr>
          <w:rFonts w:ascii="Arial" w:hAnsi="Arial" w:cs="Arial"/>
          <w:lang w:val="en-GB"/>
        </w:rPr>
        <w:t>’</w:t>
      </w:r>
      <w:r w:rsidR="00DB4FDA" w:rsidRPr="000D2431">
        <w:rPr>
          <w:rFonts w:ascii="Arial" w:hAnsi="Arial" w:cs="Arial"/>
          <w:lang w:val="en-GB"/>
        </w:rPr>
        <w:t>s</w:t>
      </w:r>
      <w:r w:rsidRPr="000D2431">
        <w:rPr>
          <w:rFonts w:ascii="Arial" w:hAnsi="Arial" w:cs="Arial"/>
          <w:lang w:val="en-GB"/>
        </w:rPr>
        <w:t>, identity document or refugee identity document.”</w:t>
      </w:r>
    </w:p>
    <w:p w:rsidR="00B2763E" w:rsidRDefault="00D2471F" w:rsidP="00AB73CD">
      <w:pPr>
        <w:spacing w:line="480" w:lineRule="auto"/>
        <w:jc w:val="both"/>
        <w:rPr>
          <w:rFonts w:ascii="Arial" w:hAnsi="Arial" w:cs="Arial"/>
          <w:sz w:val="24"/>
          <w:szCs w:val="24"/>
          <w:lang w:val="en-GB"/>
        </w:rPr>
      </w:pPr>
      <w:r>
        <w:rPr>
          <w:rFonts w:ascii="Arial" w:hAnsi="Arial" w:cs="Arial"/>
          <w:sz w:val="24"/>
          <w:szCs w:val="24"/>
          <w:lang w:val="en-GB"/>
        </w:rPr>
        <w:t>[2</w:t>
      </w:r>
      <w:r w:rsidR="003349F2">
        <w:rPr>
          <w:rFonts w:ascii="Arial" w:hAnsi="Arial" w:cs="Arial"/>
          <w:sz w:val="24"/>
          <w:szCs w:val="24"/>
          <w:lang w:val="en-GB"/>
        </w:rPr>
        <w:t>4</w:t>
      </w:r>
      <w:r w:rsidR="00BE1FF9">
        <w:rPr>
          <w:rFonts w:ascii="Arial" w:hAnsi="Arial" w:cs="Arial"/>
          <w:sz w:val="24"/>
          <w:szCs w:val="24"/>
          <w:lang w:val="en-GB"/>
        </w:rPr>
        <w:t>] The applica</w:t>
      </w:r>
      <w:r w:rsidR="003C3A17">
        <w:rPr>
          <w:rFonts w:ascii="Arial" w:hAnsi="Arial" w:cs="Arial"/>
          <w:sz w:val="24"/>
          <w:szCs w:val="24"/>
          <w:lang w:val="en-GB"/>
        </w:rPr>
        <w:t>nts contend that the effect of R</w:t>
      </w:r>
      <w:r w:rsidR="002E4EC3">
        <w:rPr>
          <w:rFonts w:ascii="Arial" w:hAnsi="Arial" w:cs="Arial"/>
          <w:sz w:val="24"/>
          <w:szCs w:val="24"/>
          <w:lang w:val="en-GB"/>
        </w:rPr>
        <w:t>egulation 12(2)</w:t>
      </w:r>
      <w:r w:rsidR="00BE1FF9">
        <w:rPr>
          <w:rFonts w:ascii="Arial" w:hAnsi="Arial" w:cs="Arial"/>
          <w:sz w:val="24"/>
          <w:szCs w:val="24"/>
          <w:lang w:val="en-GB"/>
        </w:rPr>
        <w:t>(c) is</w:t>
      </w:r>
      <w:r w:rsidR="003C3A17">
        <w:rPr>
          <w:rFonts w:ascii="Arial" w:hAnsi="Arial" w:cs="Arial"/>
          <w:sz w:val="24"/>
          <w:szCs w:val="24"/>
          <w:lang w:val="en-GB"/>
        </w:rPr>
        <w:t xml:space="preserve"> that</w:t>
      </w:r>
      <w:r w:rsidR="00BE1FF9">
        <w:rPr>
          <w:rFonts w:ascii="Arial" w:hAnsi="Arial" w:cs="Arial"/>
          <w:sz w:val="24"/>
          <w:szCs w:val="24"/>
          <w:lang w:val="en-GB"/>
        </w:rPr>
        <w:t xml:space="preserve"> a father </w:t>
      </w:r>
      <w:r w:rsidR="00BC4FF9">
        <w:rPr>
          <w:rFonts w:ascii="Arial" w:hAnsi="Arial" w:cs="Arial"/>
          <w:sz w:val="24"/>
          <w:szCs w:val="24"/>
          <w:lang w:val="en-GB"/>
        </w:rPr>
        <w:t>who is a foreigner</w:t>
      </w:r>
      <w:r w:rsidR="001F44E2">
        <w:rPr>
          <w:rFonts w:ascii="Arial" w:hAnsi="Arial" w:cs="Arial"/>
          <w:sz w:val="24"/>
          <w:szCs w:val="24"/>
          <w:lang w:val="en-GB"/>
        </w:rPr>
        <w:t xml:space="preserve"> may not be identified as the father of the child </w:t>
      </w:r>
      <w:r w:rsidR="006B08DD">
        <w:rPr>
          <w:rFonts w:ascii="Arial" w:hAnsi="Arial" w:cs="Arial"/>
          <w:sz w:val="24"/>
          <w:szCs w:val="24"/>
          <w:lang w:val="en-GB"/>
        </w:rPr>
        <w:t xml:space="preserve">born outside of the bonds of marriage </w:t>
      </w:r>
      <w:r w:rsidR="001F44E2">
        <w:rPr>
          <w:rFonts w:ascii="Arial" w:hAnsi="Arial" w:cs="Arial"/>
          <w:sz w:val="24"/>
          <w:szCs w:val="24"/>
          <w:lang w:val="en-GB"/>
        </w:rPr>
        <w:t xml:space="preserve">on the child’s birth certificate, unless that </w:t>
      </w:r>
      <w:r w:rsidR="006B08DD">
        <w:rPr>
          <w:rFonts w:ascii="Arial" w:hAnsi="Arial" w:cs="Arial"/>
          <w:sz w:val="24"/>
          <w:szCs w:val="24"/>
          <w:lang w:val="en-GB"/>
        </w:rPr>
        <w:t>father</w:t>
      </w:r>
      <w:r w:rsidR="001F44E2">
        <w:rPr>
          <w:rFonts w:ascii="Arial" w:hAnsi="Arial" w:cs="Arial"/>
          <w:sz w:val="24"/>
          <w:szCs w:val="24"/>
          <w:lang w:val="en-GB"/>
        </w:rPr>
        <w:t xml:space="preserve"> is legally in South Africa</w:t>
      </w:r>
      <w:r w:rsidR="006840F0">
        <w:rPr>
          <w:rFonts w:ascii="Arial" w:hAnsi="Arial" w:cs="Arial"/>
          <w:sz w:val="24"/>
          <w:szCs w:val="24"/>
          <w:lang w:val="en-GB"/>
        </w:rPr>
        <w:t xml:space="preserve">. In this case the child concerned is a South African citizen. The </w:t>
      </w:r>
      <w:r w:rsidR="006B08DD">
        <w:rPr>
          <w:rFonts w:ascii="Arial" w:hAnsi="Arial" w:cs="Arial"/>
          <w:sz w:val="24"/>
          <w:szCs w:val="24"/>
          <w:lang w:val="en-GB"/>
        </w:rPr>
        <w:t xml:space="preserve">applicants’ </w:t>
      </w:r>
      <w:r w:rsidR="006840F0">
        <w:rPr>
          <w:rFonts w:ascii="Arial" w:hAnsi="Arial" w:cs="Arial"/>
          <w:sz w:val="24"/>
          <w:szCs w:val="24"/>
          <w:lang w:val="en-GB"/>
        </w:rPr>
        <w:t>contention is that the child is being discriminated against and deserves protection from</w:t>
      </w:r>
      <w:r w:rsidR="003C3A17">
        <w:rPr>
          <w:rFonts w:ascii="Arial" w:hAnsi="Arial" w:cs="Arial"/>
          <w:sz w:val="24"/>
          <w:szCs w:val="24"/>
          <w:lang w:val="en-GB"/>
        </w:rPr>
        <w:t xml:space="preserve"> this C</w:t>
      </w:r>
      <w:r w:rsidR="006840F0">
        <w:rPr>
          <w:rFonts w:ascii="Arial" w:hAnsi="Arial" w:cs="Arial"/>
          <w:sz w:val="24"/>
          <w:szCs w:val="24"/>
          <w:lang w:val="en-GB"/>
        </w:rPr>
        <w:t xml:space="preserve">ourt which is the upper guardian of all </w:t>
      </w:r>
      <w:r w:rsidR="002E4EC3">
        <w:rPr>
          <w:rFonts w:ascii="Arial" w:hAnsi="Arial" w:cs="Arial"/>
          <w:sz w:val="24"/>
          <w:szCs w:val="24"/>
          <w:lang w:val="en-GB"/>
        </w:rPr>
        <w:t>minor children</w:t>
      </w:r>
      <w:r w:rsidR="006840F0">
        <w:rPr>
          <w:rFonts w:ascii="Arial" w:hAnsi="Arial" w:cs="Arial"/>
          <w:sz w:val="24"/>
          <w:szCs w:val="24"/>
          <w:lang w:val="en-GB"/>
        </w:rPr>
        <w:t xml:space="preserve">. There is </w:t>
      </w:r>
      <w:r w:rsidR="003C3A17">
        <w:rPr>
          <w:rFonts w:ascii="Arial" w:hAnsi="Arial" w:cs="Arial"/>
          <w:sz w:val="24"/>
          <w:szCs w:val="24"/>
          <w:lang w:val="en-GB"/>
        </w:rPr>
        <w:t xml:space="preserve">a </w:t>
      </w:r>
      <w:r w:rsidR="006840F0">
        <w:rPr>
          <w:rFonts w:ascii="Arial" w:hAnsi="Arial" w:cs="Arial"/>
          <w:sz w:val="24"/>
          <w:szCs w:val="24"/>
          <w:lang w:val="en-GB"/>
        </w:rPr>
        <w:t xml:space="preserve">wide range of </w:t>
      </w:r>
      <w:r w:rsidR="00065A48">
        <w:rPr>
          <w:rFonts w:ascii="Arial" w:hAnsi="Arial" w:cs="Arial"/>
          <w:sz w:val="24"/>
          <w:szCs w:val="24"/>
          <w:lang w:val="en-GB"/>
        </w:rPr>
        <w:t>such</w:t>
      </w:r>
      <w:r w:rsidR="006840F0">
        <w:rPr>
          <w:rFonts w:ascii="Arial" w:hAnsi="Arial" w:cs="Arial"/>
          <w:sz w:val="24"/>
          <w:szCs w:val="24"/>
          <w:lang w:val="en-GB"/>
        </w:rPr>
        <w:t xml:space="preserve"> children who may be in difficult circumstances, not of their own making. The applicants’ heads of argument </w:t>
      </w:r>
      <w:r w:rsidR="003C3A17">
        <w:rPr>
          <w:rFonts w:ascii="Arial" w:hAnsi="Arial" w:cs="Arial"/>
          <w:sz w:val="24"/>
          <w:szCs w:val="24"/>
          <w:lang w:val="en-GB"/>
        </w:rPr>
        <w:t xml:space="preserve">mention </w:t>
      </w:r>
      <w:r w:rsidR="006840F0">
        <w:rPr>
          <w:rFonts w:ascii="Arial" w:hAnsi="Arial" w:cs="Arial"/>
          <w:sz w:val="24"/>
          <w:szCs w:val="24"/>
          <w:lang w:val="en-GB"/>
        </w:rPr>
        <w:t>as example</w:t>
      </w:r>
      <w:r w:rsidR="003C3A17">
        <w:rPr>
          <w:rFonts w:ascii="Arial" w:hAnsi="Arial" w:cs="Arial"/>
          <w:sz w:val="24"/>
          <w:szCs w:val="24"/>
          <w:lang w:val="en-GB"/>
        </w:rPr>
        <w:t>s</w:t>
      </w:r>
      <w:r w:rsidR="006840F0">
        <w:rPr>
          <w:rFonts w:ascii="Arial" w:hAnsi="Arial" w:cs="Arial"/>
          <w:sz w:val="24"/>
          <w:szCs w:val="24"/>
          <w:lang w:val="en-GB"/>
        </w:rPr>
        <w:t>, children whose fathers may not be in</w:t>
      </w:r>
      <w:r w:rsidR="00071D46">
        <w:rPr>
          <w:rFonts w:ascii="Arial" w:hAnsi="Arial" w:cs="Arial"/>
          <w:sz w:val="24"/>
          <w:szCs w:val="24"/>
          <w:lang w:val="en-GB"/>
        </w:rPr>
        <w:t xml:space="preserve"> </w:t>
      </w:r>
      <w:r w:rsidR="006840F0">
        <w:rPr>
          <w:rFonts w:ascii="Arial" w:hAnsi="Arial" w:cs="Arial"/>
          <w:sz w:val="24"/>
          <w:szCs w:val="24"/>
          <w:lang w:val="en-GB"/>
        </w:rPr>
        <w:t>South Africa at the time of their birth</w:t>
      </w:r>
      <w:r w:rsidR="00071D46">
        <w:rPr>
          <w:rFonts w:ascii="Arial" w:hAnsi="Arial" w:cs="Arial"/>
          <w:sz w:val="24"/>
          <w:szCs w:val="24"/>
          <w:lang w:val="en-GB"/>
        </w:rPr>
        <w:t xml:space="preserve"> or may not be willing to home to this country</w:t>
      </w:r>
      <w:r w:rsidR="006840F0">
        <w:rPr>
          <w:rFonts w:ascii="Arial" w:hAnsi="Arial" w:cs="Arial"/>
          <w:sz w:val="24"/>
          <w:szCs w:val="24"/>
          <w:lang w:val="en-GB"/>
        </w:rPr>
        <w:t xml:space="preserve">, fathers who may be illegal foreigners as well as those who may be undocumented foreign nationals. At the centre of the discrimination is in the first place, the fact that the child is born </w:t>
      </w:r>
      <w:r w:rsidR="00D91623">
        <w:rPr>
          <w:rFonts w:ascii="Arial" w:hAnsi="Arial" w:cs="Arial"/>
          <w:sz w:val="24"/>
          <w:szCs w:val="24"/>
          <w:lang w:val="en-GB"/>
        </w:rPr>
        <w:t xml:space="preserve">of </w:t>
      </w:r>
      <w:r w:rsidR="006840F0">
        <w:rPr>
          <w:rFonts w:ascii="Arial" w:hAnsi="Arial" w:cs="Arial"/>
          <w:sz w:val="24"/>
          <w:szCs w:val="24"/>
          <w:lang w:val="en-GB"/>
        </w:rPr>
        <w:t xml:space="preserve">unmarried </w:t>
      </w:r>
      <w:r w:rsidR="00D91623">
        <w:rPr>
          <w:rFonts w:ascii="Arial" w:hAnsi="Arial" w:cs="Arial"/>
          <w:sz w:val="24"/>
          <w:szCs w:val="24"/>
          <w:lang w:val="en-GB"/>
        </w:rPr>
        <w:t xml:space="preserve">parents and </w:t>
      </w:r>
      <w:r w:rsidR="00412A48">
        <w:rPr>
          <w:rFonts w:ascii="Arial" w:hAnsi="Arial" w:cs="Arial"/>
          <w:sz w:val="24"/>
          <w:szCs w:val="24"/>
          <w:lang w:val="en-GB"/>
        </w:rPr>
        <w:t xml:space="preserve">the </w:t>
      </w:r>
      <w:r w:rsidR="002E4EC3">
        <w:rPr>
          <w:rFonts w:ascii="Arial" w:hAnsi="Arial" w:cs="Arial"/>
          <w:sz w:val="24"/>
          <w:szCs w:val="24"/>
          <w:lang w:val="en-GB"/>
        </w:rPr>
        <w:t xml:space="preserve">obvious </w:t>
      </w:r>
      <w:r w:rsidR="00412A48">
        <w:rPr>
          <w:rFonts w:ascii="Arial" w:hAnsi="Arial" w:cs="Arial"/>
          <w:sz w:val="24"/>
          <w:szCs w:val="24"/>
          <w:lang w:val="en-GB"/>
        </w:rPr>
        <w:t xml:space="preserve">difficulties associated with that and </w:t>
      </w:r>
      <w:r w:rsidR="00D91623">
        <w:rPr>
          <w:rFonts w:ascii="Arial" w:hAnsi="Arial" w:cs="Arial"/>
          <w:sz w:val="24"/>
          <w:szCs w:val="24"/>
          <w:lang w:val="en-GB"/>
        </w:rPr>
        <w:t xml:space="preserve">secondly the father </w:t>
      </w:r>
      <w:r w:rsidR="00065A48">
        <w:rPr>
          <w:rFonts w:ascii="Arial" w:hAnsi="Arial" w:cs="Arial"/>
          <w:sz w:val="24"/>
          <w:szCs w:val="24"/>
          <w:lang w:val="en-GB"/>
        </w:rPr>
        <w:t>being</w:t>
      </w:r>
      <w:r w:rsidR="00D91623">
        <w:rPr>
          <w:rFonts w:ascii="Arial" w:hAnsi="Arial" w:cs="Arial"/>
          <w:sz w:val="24"/>
          <w:szCs w:val="24"/>
          <w:lang w:val="en-GB"/>
        </w:rPr>
        <w:t xml:space="preserve"> </w:t>
      </w:r>
      <w:r w:rsidR="00071D46">
        <w:rPr>
          <w:rFonts w:ascii="Arial" w:hAnsi="Arial" w:cs="Arial"/>
          <w:sz w:val="24"/>
          <w:szCs w:val="24"/>
          <w:lang w:val="en-GB"/>
        </w:rPr>
        <w:t>a foreigner or worse an</w:t>
      </w:r>
      <w:r w:rsidR="00D91623">
        <w:rPr>
          <w:rFonts w:ascii="Arial" w:hAnsi="Arial" w:cs="Arial"/>
          <w:sz w:val="24"/>
          <w:szCs w:val="24"/>
          <w:lang w:val="en-GB"/>
        </w:rPr>
        <w:t xml:space="preserve"> illegal foreigner. For these reasons the child is prejudiced and discriminate</w:t>
      </w:r>
      <w:r w:rsidR="00412A48">
        <w:rPr>
          <w:rFonts w:ascii="Arial" w:hAnsi="Arial" w:cs="Arial"/>
          <w:sz w:val="24"/>
          <w:szCs w:val="24"/>
          <w:lang w:val="en-GB"/>
        </w:rPr>
        <w:t xml:space="preserve">d against, irrationally </w:t>
      </w:r>
      <w:r w:rsidR="00F27431">
        <w:rPr>
          <w:rFonts w:ascii="Arial" w:hAnsi="Arial" w:cs="Arial"/>
          <w:sz w:val="24"/>
          <w:szCs w:val="24"/>
          <w:lang w:val="en-GB"/>
        </w:rPr>
        <w:t>on the basis of</w:t>
      </w:r>
      <w:r w:rsidR="00412A48">
        <w:rPr>
          <w:rFonts w:ascii="Arial" w:hAnsi="Arial" w:cs="Arial"/>
          <w:sz w:val="24"/>
          <w:szCs w:val="24"/>
          <w:lang w:val="en-GB"/>
        </w:rPr>
        <w:t xml:space="preserve"> R</w:t>
      </w:r>
      <w:r w:rsidR="00D91623">
        <w:rPr>
          <w:rFonts w:ascii="Arial" w:hAnsi="Arial" w:cs="Arial"/>
          <w:sz w:val="24"/>
          <w:szCs w:val="24"/>
          <w:lang w:val="en-GB"/>
        </w:rPr>
        <w:t xml:space="preserve">egulation </w:t>
      </w:r>
      <w:r w:rsidR="00F27431">
        <w:rPr>
          <w:rFonts w:ascii="Arial" w:hAnsi="Arial" w:cs="Arial"/>
          <w:sz w:val="24"/>
          <w:szCs w:val="24"/>
          <w:lang w:val="en-GB"/>
        </w:rPr>
        <w:t xml:space="preserve">12(2)(c) </w:t>
      </w:r>
      <w:r w:rsidR="00D91623">
        <w:rPr>
          <w:rFonts w:ascii="Arial" w:hAnsi="Arial" w:cs="Arial"/>
          <w:sz w:val="24"/>
          <w:szCs w:val="24"/>
          <w:lang w:val="en-GB"/>
        </w:rPr>
        <w:t xml:space="preserve">because of the circumstances of </w:t>
      </w:r>
      <w:r w:rsidR="00412A48">
        <w:rPr>
          <w:rFonts w:ascii="Arial" w:hAnsi="Arial" w:cs="Arial"/>
          <w:sz w:val="24"/>
          <w:szCs w:val="24"/>
          <w:lang w:val="en-GB"/>
        </w:rPr>
        <w:t xml:space="preserve">her or </w:t>
      </w:r>
      <w:r w:rsidR="00D91623">
        <w:rPr>
          <w:rFonts w:ascii="Arial" w:hAnsi="Arial" w:cs="Arial"/>
          <w:sz w:val="24"/>
          <w:szCs w:val="24"/>
          <w:lang w:val="en-GB"/>
        </w:rPr>
        <w:t>his birth.</w:t>
      </w:r>
      <w:r w:rsidR="006B08DD">
        <w:rPr>
          <w:rFonts w:ascii="Arial" w:hAnsi="Arial" w:cs="Arial"/>
          <w:sz w:val="24"/>
          <w:szCs w:val="24"/>
          <w:lang w:val="en-GB"/>
        </w:rPr>
        <w:t xml:space="preserve">  </w:t>
      </w:r>
    </w:p>
    <w:p w:rsidR="00D91623" w:rsidRDefault="00B2763E" w:rsidP="00AB73CD">
      <w:pPr>
        <w:spacing w:line="480" w:lineRule="auto"/>
        <w:jc w:val="both"/>
        <w:rPr>
          <w:rFonts w:ascii="Arial" w:hAnsi="Arial" w:cs="Arial"/>
          <w:sz w:val="24"/>
          <w:szCs w:val="24"/>
          <w:lang w:val="en-GB"/>
        </w:rPr>
      </w:pPr>
      <w:r>
        <w:rPr>
          <w:rFonts w:ascii="Arial" w:hAnsi="Arial" w:cs="Arial"/>
          <w:sz w:val="24"/>
          <w:szCs w:val="24"/>
          <w:lang w:val="en-GB"/>
        </w:rPr>
        <w:t xml:space="preserve">[25] </w:t>
      </w:r>
      <w:r w:rsidR="006B08DD">
        <w:rPr>
          <w:rFonts w:ascii="Arial" w:hAnsi="Arial" w:cs="Arial"/>
          <w:sz w:val="24"/>
          <w:szCs w:val="24"/>
          <w:lang w:val="en-GB"/>
        </w:rPr>
        <w:t>There cannot be any cogent justification for such discrimination and none was advanced.</w:t>
      </w:r>
      <w:r w:rsidR="00BA009A">
        <w:rPr>
          <w:rFonts w:ascii="Arial" w:hAnsi="Arial" w:cs="Arial"/>
          <w:sz w:val="24"/>
          <w:szCs w:val="24"/>
          <w:lang w:val="en-GB"/>
        </w:rPr>
        <w:t xml:space="preserve">  This is hardly surprising.  If there was a proper basis for the discrimination on the basis of the illegality of this child’s father’s presence in this country, it escapes </w:t>
      </w:r>
      <w:r w:rsidR="00F27431">
        <w:rPr>
          <w:rFonts w:ascii="Arial" w:hAnsi="Arial" w:cs="Arial"/>
          <w:sz w:val="24"/>
          <w:szCs w:val="24"/>
          <w:lang w:val="en-GB"/>
        </w:rPr>
        <w:t>m</w:t>
      </w:r>
      <w:r w:rsidR="00BA009A">
        <w:rPr>
          <w:rFonts w:ascii="Arial" w:hAnsi="Arial" w:cs="Arial"/>
          <w:sz w:val="24"/>
          <w:szCs w:val="24"/>
          <w:lang w:val="en-GB"/>
        </w:rPr>
        <w:t xml:space="preserve">e why the respondents have agreed to the amendment of the child’s registration records.  After all, the father is still illegally </w:t>
      </w:r>
      <w:r w:rsidR="00F27431">
        <w:rPr>
          <w:rFonts w:ascii="Arial" w:hAnsi="Arial" w:cs="Arial"/>
          <w:sz w:val="24"/>
          <w:szCs w:val="24"/>
          <w:lang w:val="en-GB"/>
        </w:rPr>
        <w:t>in the country.  It baffles me how the respondents, especially the Minister, can consent to this child’s father’s details being entered into the birth registration records of this child and still argue that Regulation</w:t>
      </w:r>
      <w:r w:rsidR="00FF7AA4">
        <w:rPr>
          <w:rFonts w:ascii="Arial" w:hAnsi="Arial" w:cs="Arial"/>
          <w:sz w:val="24"/>
          <w:szCs w:val="24"/>
          <w:lang w:val="en-GB"/>
        </w:rPr>
        <w:t xml:space="preserve"> 12(2)(c)</w:t>
      </w:r>
      <w:r>
        <w:rPr>
          <w:rFonts w:ascii="Arial" w:hAnsi="Arial" w:cs="Arial"/>
          <w:sz w:val="24"/>
          <w:szCs w:val="24"/>
          <w:lang w:val="en-GB"/>
        </w:rPr>
        <w:t xml:space="preserve"> is valid and should remain exta</w:t>
      </w:r>
      <w:r w:rsidR="00FF7AA4">
        <w:rPr>
          <w:rFonts w:ascii="Arial" w:hAnsi="Arial" w:cs="Arial"/>
          <w:sz w:val="24"/>
          <w:szCs w:val="24"/>
          <w:lang w:val="en-GB"/>
        </w:rPr>
        <w:t xml:space="preserve">nt.  This would have the inevitable </w:t>
      </w:r>
      <w:r w:rsidR="00FF7AA4">
        <w:rPr>
          <w:rFonts w:ascii="Arial" w:hAnsi="Arial" w:cs="Arial"/>
          <w:sz w:val="24"/>
          <w:szCs w:val="24"/>
          <w:lang w:val="en-GB"/>
        </w:rPr>
        <w:lastRenderedPageBreak/>
        <w:t>consequence of its continued enforcement by hapless officials of the Department, a situation of total chaos, confusion and inconsistent application of the Regulation.  This surely should not be countenanced</w:t>
      </w:r>
      <w:r w:rsidR="00BA009A">
        <w:rPr>
          <w:rFonts w:ascii="Arial" w:hAnsi="Arial" w:cs="Arial"/>
          <w:sz w:val="24"/>
          <w:szCs w:val="24"/>
          <w:lang w:val="en-GB"/>
        </w:rPr>
        <w:t>.</w:t>
      </w:r>
    </w:p>
    <w:p w:rsidR="00D91623" w:rsidRDefault="00D2471F" w:rsidP="00AB73CD">
      <w:pPr>
        <w:spacing w:line="480" w:lineRule="auto"/>
        <w:jc w:val="both"/>
        <w:rPr>
          <w:rFonts w:ascii="Arial" w:hAnsi="Arial" w:cs="Arial"/>
          <w:sz w:val="24"/>
          <w:szCs w:val="24"/>
          <w:lang w:val="en-GB"/>
        </w:rPr>
      </w:pPr>
      <w:r>
        <w:rPr>
          <w:rFonts w:ascii="Arial" w:hAnsi="Arial" w:cs="Arial"/>
          <w:sz w:val="24"/>
          <w:szCs w:val="24"/>
          <w:lang w:val="en-GB"/>
        </w:rPr>
        <w:t>[2</w:t>
      </w:r>
      <w:r w:rsidR="00B50759">
        <w:rPr>
          <w:rFonts w:ascii="Arial" w:hAnsi="Arial" w:cs="Arial"/>
          <w:sz w:val="24"/>
          <w:szCs w:val="24"/>
          <w:lang w:val="en-GB"/>
        </w:rPr>
        <w:t>6</w:t>
      </w:r>
      <w:r w:rsidR="00412A48">
        <w:rPr>
          <w:rFonts w:ascii="Arial" w:hAnsi="Arial" w:cs="Arial"/>
          <w:sz w:val="24"/>
          <w:szCs w:val="24"/>
          <w:lang w:val="en-GB"/>
        </w:rPr>
        <w:t>] This R</w:t>
      </w:r>
      <w:r w:rsidR="00D91623">
        <w:rPr>
          <w:rFonts w:ascii="Arial" w:hAnsi="Arial" w:cs="Arial"/>
          <w:sz w:val="24"/>
          <w:szCs w:val="24"/>
          <w:lang w:val="en-GB"/>
        </w:rPr>
        <w:t>egulation indeed is clearly unconstitutional and irrational</w:t>
      </w:r>
      <w:r w:rsidR="00940786">
        <w:rPr>
          <w:rFonts w:ascii="Arial" w:hAnsi="Arial" w:cs="Arial"/>
          <w:sz w:val="24"/>
          <w:szCs w:val="24"/>
          <w:lang w:val="en-GB"/>
        </w:rPr>
        <w:t xml:space="preserve"> in my view</w:t>
      </w:r>
      <w:r w:rsidR="00D91623">
        <w:rPr>
          <w:rFonts w:ascii="Arial" w:hAnsi="Arial" w:cs="Arial"/>
          <w:sz w:val="24"/>
          <w:szCs w:val="24"/>
          <w:lang w:val="en-GB"/>
        </w:rPr>
        <w:t xml:space="preserve">. For instance, the second applicant got into this country on a </w:t>
      </w:r>
      <w:r w:rsidR="00194858">
        <w:rPr>
          <w:rFonts w:ascii="Arial" w:hAnsi="Arial" w:cs="Arial"/>
          <w:sz w:val="24"/>
          <w:szCs w:val="24"/>
          <w:lang w:val="en-GB"/>
        </w:rPr>
        <w:t>valid VISA</w:t>
      </w:r>
      <w:r w:rsidR="00D91623">
        <w:rPr>
          <w:rFonts w:ascii="Arial" w:hAnsi="Arial" w:cs="Arial"/>
          <w:sz w:val="24"/>
          <w:szCs w:val="24"/>
          <w:lang w:val="en-GB"/>
        </w:rPr>
        <w:t xml:space="preserve"> which </w:t>
      </w:r>
      <w:r w:rsidR="00412A48">
        <w:rPr>
          <w:rFonts w:ascii="Arial" w:hAnsi="Arial" w:cs="Arial"/>
          <w:sz w:val="24"/>
          <w:szCs w:val="24"/>
          <w:lang w:val="en-GB"/>
        </w:rPr>
        <w:t xml:space="preserve">later </w:t>
      </w:r>
      <w:r w:rsidR="00D91623">
        <w:rPr>
          <w:rFonts w:ascii="Arial" w:hAnsi="Arial" w:cs="Arial"/>
          <w:sz w:val="24"/>
          <w:szCs w:val="24"/>
          <w:lang w:val="en-GB"/>
        </w:rPr>
        <w:t>expired.</w:t>
      </w:r>
      <w:r w:rsidR="00412A48">
        <w:rPr>
          <w:rFonts w:ascii="Arial" w:hAnsi="Arial" w:cs="Arial"/>
          <w:sz w:val="24"/>
          <w:szCs w:val="24"/>
          <w:lang w:val="en-GB"/>
        </w:rPr>
        <w:t xml:space="preserve"> On the respondents’ submissions, the event of the expiry of a </w:t>
      </w:r>
      <w:r w:rsidR="00194858">
        <w:rPr>
          <w:rFonts w:ascii="Arial" w:hAnsi="Arial" w:cs="Arial"/>
          <w:sz w:val="24"/>
          <w:szCs w:val="24"/>
          <w:lang w:val="en-GB"/>
        </w:rPr>
        <w:t>VISA</w:t>
      </w:r>
      <w:r w:rsidR="00412A48">
        <w:rPr>
          <w:rFonts w:ascii="Arial" w:hAnsi="Arial" w:cs="Arial"/>
          <w:sz w:val="24"/>
          <w:szCs w:val="24"/>
          <w:lang w:val="en-GB"/>
        </w:rPr>
        <w:t xml:space="preserve"> must determin</w:t>
      </w:r>
      <w:r w:rsidR="00940786">
        <w:rPr>
          <w:rFonts w:ascii="Arial" w:hAnsi="Arial" w:cs="Arial"/>
          <w:sz w:val="24"/>
          <w:szCs w:val="24"/>
          <w:lang w:val="en-GB"/>
        </w:rPr>
        <w:t>e if the child who is born</w:t>
      </w:r>
      <w:r w:rsidR="00412A48">
        <w:rPr>
          <w:rFonts w:ascii="Arial" w:hAnsi="Arial" w:cs="Arial"/>
          <w:sz w:val="24"/>
          <w:szCs w:val="24"/>
          <w:lang w:val="en-GB"/>
        </w:rPr>
        <w:t xml:space="preserve"> </w:t>
      </w:r>
      <w:r w:rsidR="006B08DD">
        <w:rPr>
          <w:rFonts w:ascii="Arial" w:hAnsi="Arial" w:cs="Arial"/>
          <w:sz w:val="24"/>
          <w:szCs w:val="24"/>
          <w:lang w:val="en-GB"/>
        </w:rPr>
        <w:t>should</w:t>
      </w:r>
      <w:r w:rsidR="00412A48">
        <w:rPr>
          <w:rFonts w:ascii="Arial" w:hAnsi="Arial" w:cs="Arial"/>
          <w:sz w:val="24"/>
          <w:szCs w:val="24"/>
          <w:lang w:val="en-GB"/>
        </w:rPr>
        <w:t xml:space="preserve"> be allowed to have a birth certificate with full details of </w:t>
      </w:r>
      <w:r w:rsidR="006B08DD">
        <w:rPr>
          <w:rFonts w:ascii="Arial" w:hAnsi="Arial" w:cs="Arial"/>
          <w:sz w:val="24"/>
          <w:szCs w:val="24"/>
          <w:lang w:val="en-GB"/>
        </w:rPr>
        <w:t>his or her</w:t>
      </w:r>
      <w:r w:rsidR="00412A48">
        <w:rPr>
          <w:rFonts w:ascii="Arial" w:hAnsi="Arial" w:cs="Arial"/>
          <w:sz w:val="24"/>
          <w:szCs w:val="24"/>
          <w:lang w:val="en-GB"/>
        </w:rPr>
        <w:t xml:space="preserve"> father. This </w:t>
      </w:r>
      <w:r w:rsidR="00194858">
        <w:rPr>
          <w:rFonts w:ascii="Arial" w:hAnsi="Arial" w:cs="Arial"/>
          <w:sz w:val="24"/>
          <w:szCs w:val="24"/>
          <w:lang w:val="en-GB"/>
        </w:rPr>
        <w:t>defies all sense of logic</w:t>
      </w:r>
      <w:r w:rsidR="00412A48">
        <w:rPr>
          <w:rFonts w:ascii="Arial" w:hAnsi="Arial" w:cs="Arial"/>
          <w:sz w:val="24"/>
          <w:szCs w:val="24"/>
          <w:lang w:val="en-GB"/>
        </w:rPr>
        <w:t xml:space="preserve">. In </w:t>
      </w:r>
      <w:r w:rsidR="007C41E8">
        <w:rPr>
          <w:rFonts w:ascii="Arial" w:hAnsi="Arial" w:cs="Arial"/>
          <w:sz w:val="24"/>
          <w:szCs w:val="24"/>
          <w:lang w:val="en-GB"/>
        </w:rPr>
        <w:t xml:space="preserve">this case the father was not able to renew his </w:t>
      </w:r>
      <w:r w:rsidR="00194858">
        <w:rPr>
          <w:rFonts w:ascii="Arial" w:hAnsi="Arial" w:cs="Arial"/>
          <w:sz w:val="24"/>
          <w:szCs w:val="24"/>
          <w:lang w:val="en-GB"/>
        </w:rPr>
        <w:t xml:space="preserve">VISA </w:t>
      </w:r>
      <w:r w:rsidR="00D271AA">
        <w:rPr>
          <w:rFonts w:ascii="Arial" w:hAnsi="Arial" w:cs="Arial"/>
          <w:sz w:val="24"/>
          <w:szCs w:val="24"/>
          <w:lang w:val="en-GB"/>
        </w:rPr>
        <w:t>for reasons that obviously had nothing to do with the child.  A</w:t>
      </w:r>
      <w:r w:rsidR="00D91623">
        <w:rPr>
          <w:rFonts w:ascii="Arial" w:hAnsi="Arial" w:cs="Arial"/>
          <w:sz w:val="24"/>
          <w:szCs w:val="24"/>
          <w:lang w:val="en-GB"/>
        </w:rPr>
        <w:t>s a result</w:t>
      </w:r>
      <w:r w:rsidR="00D271AA">
        <w:rPr>
          <w:rFonts w:ascii="Arial" w:hAnsi="Arial" w:cs="Arial"/>
          <w:sz w:val="24"/>
          <w:szCs w:val="24"/>
          <w:lang w:val="en-GB"/>
        </w:rPr>
        <w:t>,</w:t>
      </w:r>
      <w:r w:rsidR="00D91623">
        <w:rPr>
          <w:rFonts w:ascii="Arial" w:hAnsi="Arial" w:cs="Arial"/>
          <w:sz w:val="24"/>
          <w:szCs w:val="24"/>
          <w:lang w:val="en-GB"/>
        </w:rPr>
        <w:t xml:space="preserve"> his continued stay in this country became illegal. None of that has anything to do with the child and his right to have the identity of his father officially recognised</w:t>
      </w:r>
      <w:r w:rsidR="006B08DD">
        <w:rPr>
          <w:rFonts w:ascii="Arial" w:hAnsi="Arial" w:cs="Arial"/>
          <w:sz w:val="24"/>
          <w:szCs w:val="24"/>
          <w:lang w:val="en-GB"/>
        </w:rPr>
        <w:t>, not for the father but most importantly, for the child</w:t>
      </w:r>
      <w:r w:rsidR="00D91623">
        <w:rPr>
          <w:rFonts w:ascii="Arial" w:hAnsi="Arial" w:cs="Arial"/>
          <w:sz w:val="24"/>
          <w:szCs w:val="24"/>
          <w:lang w:val="en-GB"/>
        </w:rPr>
        <w:t>. The identity of his father is intertwined with his own identity</w:t>
      </w:r>
      <w:r w:rsidR="00D271AA">
        <w:rPr>
          <w:rFonts w:ascii="Arial" w:hAnsi="Arial" w:cs="Arial"/>
          <w:sz w:val="24"/>
          <w:szCs w:val="24"/>
          <w:lang w:val="en-GB"/>
        </w:rPr>
        <w:t xml:space="preserve"> both of which are interlinked with </w:t>
      </w:r>
      <w:r w:rsidR="00071D46">
        <w:rPr>
          <w:rFonts w:ascii="Arial" w:hAnsi="Arial" w:cs="Arial"/>
          <w:sz w:val="24"/>
          <w:szCs w:val="24"/>
          <w:lang w:val="en-GB"/>
        </w:rPr>
        <w:t xml:space="preserve">his </w:t>
      </w:r>
      <w:r w:rsidR="00D271AA">
        <w:rPr>
          <w:rFonts w:ascii="Arial" w:hAnsi="Arial" w:cs="Arial"/>
          <w:sz w:val="24"/>
          <w:szCs w:val="24"/>
          <w:lang w:val="en-GB"/>
        </w:rPr>
        <w:t xml:space="preserve">cultural identity. </w:t>
      </w:r>
      <w:r w:rsidR="00D91623">
        <w:rPr>
          <w:rFonts w:ascii="Arial" w:hAnsi="Arial" w:cs="Arial"/>
          <w:sz w:val="24"/>
          <w:szCs w:val="24"/>
          <w:lang w:val="en-GB"/>
        </w:rPr>
        <w:t xml:space="preserve"> </w:t>
      </w:r>
      <w:r w:rsidR="00D271AA">
        <w:rPr>
          <w:rFonts w:ascii="Arial" w:hAnsi="Arial" w:cs="Arial"/>
          <w:sz w:val="24"/>
          <w:szCs w:val="24"/>
          <w:lang w:val="en-GB"/>
        </w:rPr>
        <w:t>T</w:t>
      </w:r>
      <w:r w:rsidR="00D91623">
        <w:rPr>
          <w:rFonts w:ascii="Arial" w:hAnsi="Arial" w:cs="Arial"/>
          <w:sz w:val="24"/>
          <w:szCs w:val="24"/>
          <w:lang w:val="en-GB"/>
        </w:rPr>
        <w:t>herefore</w:t>
      </w:r>
      <w:r w:rsidR="00661576">
        <w:rPr>
          <w:rFonts w:ascii="Arial" w:hAnsi="Arial" w:cs="Arial"/>
          <w:sz w:val="24"/>
          <w:szCs w:val="24"/>
          <w:lang w:val="en-GB"/>
        </w:rPr>
        <w:t>,</w:t>
      </w:r>
      <w:r w:rsidR="00D91623">
        <w:rPr>
          <w:rFonts w:ascii="Arial" w:hAnsi="Arial" w:cs="Arial"/>
          <w:sz w:val="24"/>
          <w:szCs w:val="24"/>
          <w:lang w:val="en-GB"/>
        </w:rPr>
        <w:t xml:space="preserve"> </w:t>
      </w:r>
      <w:r w:rsidR="00D271AA">
        <w:rPr>
          <w:rFonts w:ascii="Arial" w:hAnsi="Arial" w:cs="Arial"/>
          <w:sz w:val="24"/>
          <w:szCs w:val="24"/>
          <w:lang w:val="en-GB"/>
        </w:rPr>
        <w:t>the right</w:t>
      </w:r>
      <w:r w:rsidR="00071D46">
        <w:rPr>
          <w:rFonts w:ascii="Arial" w:hAnsi="Arial" w:cs="Arial"/>
          <w:sz w:val="24"/>
          <w:szCs w:val="24"/>
          <w:lang w:val="en-GB"/>
        </w:rPr>
        <w:t>s</w:t>
      </w:r>
      <w:r w:rsidR="007C41E8">
        <w:rPr>
          <w:rFonts w:ascii="Arial" w:hAnsi="Arial" w:cs="Arial"/>
          <w:sz w:val="24"/>
          <w:szCs w:val="24"/>
          <w:lang w:val="en-GB"/>
        </w:rPr>
        <w:t xml:space="preserve"> </w:t>
      </w:r>
      <w:r w:rsidR="00D271AA">
        <w:rPr>
          <w:rFonts w:ascii="Arial" w:hAnsi="Arial" w:cs="Arial"/>
          <w:sz w:val="24"/>
          <w:szCs w:val="24"/>
          <w:lang w:val="en-GB"/>
        </w:rPr>
        <w:t>of the child to</w:t>
      </w:r>
      <w:r w:rsidR="00D91623">
        <w:rPr>
          <w:rFonts w:ascii="Arial" w:hAnsi="Arial" w:cs="Arial"/>
          <w:sz w:val="24"/>
          <w:szCs w:val="24"/>
          <w:lang w:val="en-GB"/>
        </w:rPr>
        <w:t xml:space="preserve"> </w:t>
      </w:r>
      <w:r w:rsidR="003A0CF0">
        <w:rPr>
          <w:rFonts w:ascii="Arial" w:hAnsi="Arial" w:cs="Arial"/>
          <w:sz w:val="24"/>
          <w:szCs w:val="24"/>
          <w:lang w:val="en-GB"/>
        </w:rPr>
        <w:t>dignity wa</w:t>
      </w:r>
      <w:r w:rsidR="00071D46">
        <w:rPr>
          <w:rFonts w:ascii="Arial" w:hAnsi="Arial" w:cs="Arial"/>
          <w:sz w:val="24"/>
          <w:szCs w:val="24"/>
          <w:lang w:val="en-GB"/>
        </w:rPr>
        <w:t xml:space="preserve">s </w:t>
      </w:r>
      <w:r w:rsidR="007C41E8">
        <w:rPr>
          <w:rFonts w:ascii="Arial" w:hAnsi="Arial" w:cs="Arial"/>
          <w:sz w:val="24"/>
          <w:szCs w:val="24"/>
          <w:lang w:val="en-GB"/>
        </w:rPr>
        <w:t xml:space="preserve">imperilled </w:t>
      </w:r>
      <w:r w:rsidR="00D91623">
        <w:rPr>
          <w:rFonts w:ascii="Arial" w:hAnsi="Arial" w:cs="Arial"/>
          <w:sz w:val="24"/>
          <w:szCs w:val="24"/>
          <w:lang w:val="en-GB"/>
        </w:rPr>
        <w:t xml:space="preserve">by the </w:t>
      </w:r>
      <w:r w:rsidR="00F55776">
        <w:rPr>
          <w:rFonts w:ascii="Arial" w:hAnsi="Arial" w:cs="Arial"/>
          <w:sz w:val="24"/>
          <w:szCs w:val="24"/>
          <w:lang w:val="en-GB"/>
        </w:rPr>
        <w:t>R</w:t>
      </w:r>
      <w:r w:rsidR="00D91623">
        <w:rPr>
          <w:rFonts w:ascii="Arial" w:hAnsi="Arial" w:cs="Arial"/>
          <w:sz w:val="24"/>
          <w:szCs w:val="24"/>
          <w:lang w:val="en-GB"/>
        </w:rPr>
        <w:t>egulation and its resolute enforcement by the respondents.</w:t>
      </w:r>
    </w:p>
    <w:p w:rsidR="00CE573F" w:rsidRDefault="00D2471F" w:rsidP="00AB73CD">
      <w:pPr>
        <w:spacing w:line="480" w:lineRule="auto"/>
        <w:jc w:val="both"/>
        <w:rPr>
          <w:rFonts w:ascii="Arial" w:hAnsi="Arial" w:cs="Arial"/>
          <w:sz w:val="24"/>
          <w:szCs w:val="24"/>
          <w:lang w:val="en-GB"/>
        </w:rPr>
      </w:pPr>
      <w:r>
        <w:rPr>
          <w:rFonts w:ascii="Arial" w:hAnsi="Arial" w:cs="Arial"/>
          <w:sz w:val="24"/>
          <w:szCs w:val="24"/>
          <w:lang w:val="en-GB"/>
        </w:rPr>
        <w:t>[2</w:t>
      </w:r>
      <w:r w:rsidR="00B50759">
        <w:rPr>
          <w:rFonts w:ascii="Arial" w:hAnsi="Arial" w:cs="Arial"/>
          <w:sz w:val="24"/>
          <w:szCs w:val="24"/>
          <w:lang w:val="en-GB"/>
        </w:rPr>
        <w:t>7</w:t>
      </w:r>
      <w:r w:rsidR="00D91623">
        <w:rPr>
          <w:rFonts w:ascii="Arial" w:hAnsi="Arial" w:cs="Arial"/>
          <w:sz w:val="24"/>
          <w:szCs w:val="24"/>
          <w:lang w:val="en-GB"/>
        </w:rPr>
        <w:t xml:space="preserve">] Some of the </w:t>
      </w:r>
      <w:r w:rsidR="00D271AA">
        <w:rPr>
          <w:rFonts w:ascii="Arial" w:hAnsi="Arial" w:cs="Arial"/>
          <w:sz w:val="24"/>
          <w:szCs w:val="24"/>
          <w:lang w:val="en-GB"/>
        </w:rPr>
        <w:t xml:space="preserve">more tangible </w:t>
      </w:r>
      <w:r w:rsidR="00D91623">
        <w:rPr>
          <w:rFonts w:ascii="Arial" w:hAnsi="Arial" w:cs="Arial"/>
          <w:sz w:val="24"/>
          <w:szCs w:val="24"/>
          <w:lang w:val="en-GB"/>
        </w:rPr>
        <w:t xml:space="preserve">effects of the </w:t>
      </w:r>
      <w:r w:rsidR="00C5250B">
        <w:rPr>
          <w:rFonts w:ascii="Arial" w:hAnsi="Arial" w:cs="Arial"/>
          <w:sz w:val="24"/>
          <w:szCs w:val="24"/>
          <w:lang w:val="en-GB"/>
        </w:rPr>
        <w:t>respondents’</w:t>
      </w:r>
      <w:r w:rsidR="00940786">
        <w:rPr>
          <w:rFonts w:ascii="Arial" w:hAnsi="Arial" w:cs="Arial"/>
          <w:sz w:val="24"/>
          <w:szCs w:val="24"/>
          <w:lang w:val="en-GB"/>
        </w:rPr>
        <w:t xml:space="preserve"> </w:t>
      </w:r>
      <w:r w:rsidR="00D271AA">
        <w:rPr>
          <w:rFonts w:ascii="Arial" w:hAnsi="Arial" w:cs="Arial"/>
          <w:sz w:val="24"/>
          <w:szCs w:val="24"/>
          <w:lang w:val="en-GB"/>
        </w:rPr>
        <w:t>refusal to amend the birth certificate</w:t>
      </w:r>
      <w:r w:rsidR="007C41E8">
        <w:rPr>
          <w:rFonts w:ascii="Arial" w:hAnsi="Arial" w:cs="Arial"/>
          <w:sz w:val="24"/>
          <w:szCs w:val="24"/>
          <w:lang w:val="en-GB"/>
        </w:rPr>
        <w:t xml:space="preserve"> in respect of this particular child</w:t>
      </w:r>
      <w:r w:rsidR="00940786">
        <w:rPr>
          <w:rFonts w:ascii="Arial" w:hAnsi="Arial" w:cs="Arial"/>
          <w:sz w:val="24"/>
          <w:szCs w:val="24"/>
          <w:lang w:val="en-GB"/>
        </w:rPr>
        <w:t>,</w:t>
      </w:r>
      <w:r w:rsidR="00D91623">
        <w:rPr>
          <w:rFonts w:ascii="Arial" w:hAnsi="Arial" w:cs="Arial"/>
          <w:sz w:val="24"/>
          <w:szCs w:val="24"/>
          <w:lang w:val="en-GB"/>
        </w:rPr>
        <w:t xml:space="preserve"> it was submitted, include the following</w:t>
      </w:r>
      <w:r w:rsidR="00C5250B">
        <w:rPr>
          <w:rFonts w:ascii="Arial" w:hAnsi="Arial" w:cs="Arial"/>
          <w:sz w:val="24"/>
          <w:szCs w:val="24"/>
          <w:lang w:val="en-GB"/>
        </w:rPr>
        <w:t>:</w:t>
      </w:r>
      <w:r w:rsidR="007C41E8">
        <w:rPr>
          <w:rFonts w:ascii="Arial" w:hAnsi="Arial" w:cs="Arial"/>
          <w:sz w:val="24"/>
          <w:szCs w:val="24"/>
          <w:lang w:val="en-GB"/>
        </w:rPr>
        <w:t xml:space="preserve"> </w:t>
      </w:r>
      <w:r w:rsidR="00C5250B">
        <w:rPr>
          <w:rFonts w:ascii="Arial" w:hAnsi="Arial" w:cs="Arial"/>
          <w:sz w:val="24"/>
          <w:szCs w:val="24"/>
          <w:lang w:val="en-GB"/>
        </w:rPr>
        <w:t xml:space="preserve">The father of the child is a Bulgarian citizen and therefore according to Bulgarian law, the child is entitled to Bulgarian citizenship. However, the Bulgarian </w:t>
      </w:r>
      <w:r w:rsidR="007C41E8">
        <w:rPr>
          <w:rFonts w:ascii="Arial" w:hAnsi="Arial" w:cs="Arial"/>
          <w:sz w:val="24"/>
          <w:szCs w:val="24"/>
          <w:lang w:val="en-GB"/>
        </w:rPr>
        <w:t xml:space="preserve">Embassy </w:t>
      </w:r>
      <w:r w:rsidR="00C5250B">
        <w:rPr>
          <w:rFonts w:ascii="Arial" w:hAnsi="Arial" w:cs="Arial"/>
          <w:sz w:val="24"/>
          <w:szCs w:val="24"/>
          <w:lang w:val="en-GB"/>
        </w:rPr>
        <w:t>will not process the registration of the child as a Bulgarian citizen without a full birth certificate re</w:t>
      </w:r>
      <w:r w:rsidR="007C41E8">
        <w:rPr>
          <w:rFonts w:ascii="Arial" w:hAnsi="Arial" w:cs="Arial"/>
          <w:sz w:val="24"/>
          <w:szCs w:val="24"/>
          <w:lang w:val="en-GB"/>
        </w:rPr>
        <w:t>flecting his father’s names in it.</w:t>
      </w:r>
      <w:r w:rsidR="00C5250B">
        <w:rPr>
          <w:rFonts w:ascii="Arial" w:hAnsi="Arial" w:cs="Arial"/>
          <w:sz w:val="24"/>
          <w:szCs w:val="24"/>
          <w:lang w:val="en-GB"/>
        </w:rPr>
        <w:t xml:space="preserve"> Bulgarian citizenship would entitle the child to </w:t>
      </w:r>
      <w:r w:rsidR="00F55776">
        <w:rPr>
          <w:rFonts w:ascii="Arial" w:hAnsi="Arial" w:cs="Arial"/>
          <w:sz w:val="24"/>
          <w:szCs w:val="24"/>
          <w:lang w:val="en-GB"/>
        </w:rPr>
        <w:t>VISA</w:t>
      </w:r>
      <w:r w:rsidR="00C5250B">
        <w:rPr>
          <w:rFonts w:ascii="Arial" w:hAnsi="Arial" w:cs="Arial"/>
          <w:sz w:val="24"/>
          <w:szCs w:val="24"/>
          <w:lang w:val="en-GB"/>
        </w:rPr>
        <w:t xml:space="preserve"> free travel to </w:t>
      </w:r>
      <w:r w:rsidR="001A0F73">
        <w:rPr>
          <w:rFonts w:ascii="Arial" w:hAnsi="Arial" w:cs="Arial"/>
          <w:sz w:val="24"/>
          <w:szCs w:val="24"/>
          <w:lang w:val="en-GB"/>
        </w:rPr>
        <w:t>European Union member states. That wo</w:t>
      </w:r>
      <w:r w:rsidR="003A0CF0">
        <w:rPr>
          <w:rFonts w:ascii="Arial" w:hAnsi="Arial" w:cs="Arial"/>
          <w:sz w:val="24"/>
          <w:szCs w:val="24"/>
          <w:lang w:val="en-GB"/>
        </w:rPr>
        <w:t xml:space="preserve">uld open other opportunities to the child </w:t>
      </w:r>
      <w:r w:rsidR="001A0F73">
        <w:rPr>
          <w:rFonts w:ascii="Arial" w:hAnsi="Arial" w:cs="Arial"/>
          <w:sz w:val="24"/>
          <w:szCs w:val="24"/>
          <w:lang w:val="en-GB"/>
        </w:rPr>
        <w:t>which all citizens of the European Union member states enjoy including educational opportunities, and fin</w:t>
      </w:r>
      <w:r w:rsidR="007C41E8">
        <w:rPr>
          <w:rFonts w:ascii="Arial" w:hAnsi="Arial" w:cs="Arial"/>
          <w:sz w:val="24"/>
          <w:szCs w:val="24"/>
          <w:lang w:val="en-GB"/>
        </w:rPr>
        <w:t>ancial assistance to which being a citizen</w:t>
      </w:r>
      <w:r w:rsidR="00940786">
        <w:rPr>
          <w:rFonts w:ascii="Arial" w:hAnsi="Arial" w:cs="Arial"/>
          <w:sz w:val="24"/>
          <w:szCs w:val="24"/>
          <w:lang w:val="en-GB"/>
        </w:rPr>
        <w:t xml:space="preserve"> </w:t>
      </w:r>
      <w:r w:rsidR="001A0F73">
        <w:rPr>
          <w:rFonts w:ascii="Arial" w:hAnsi="Arial" w:cs="Arial"/>
          <w:sz w:val="24"/>
          <w:szCs w:val="24"/>
          <w:lang w:val="en-GB"/>
        </w:rPr>
        <w:t>of</w:t>
      </w:r>
      <w:r w:rsidR="007C41E8">
        <w:rPr>
          <w:rFonts w:ascii="Arial" w:hAnsi="Arial" w:cs="Arial"/>
          <w:sz w:val="24"/>
          <w:szCs w:val="24"/>
          <w:lang w:val="en-GB"/>
        </w:rPr>
        <w:t xml:space="preserve"> a European Union me</w:t>
      </w:r>
      <w:r w:rsidR="00940786">
        <w:rPr>
          <w:rFonts w:ascii="Arial" w:hAnsi="Arial" w:cs="Arial"/>
          <w:sz w:val="24"/>
          <w:szCs w:val="24"/>
          <w:lang w:val="en-GB"/>
        </w:rPr>
        <w:t xml:space="preserve">mber state would </w:t>
      </w:r>
      <w:r w:rsidR="003A0CF0">
        <w:rPr>
          <w:rFonts w:ascii="Arial" w:hAnsi="Arial" w:cs="Arial"/>
          <w:sz w:val="24"/>
          <w:szCs w:val="24"/>
          <w:lang w:val="en-GB"/>
        </w:rPr>
        <w:t>entitle him</w:t>
      </w:r>
      <w:r w:rsidR="001A0F73">
        <w:rPr>
          <w:rFonts w:ascii="Arial" w:hAnsi="Arial" w:cs="Arial"/>
          <w:sz w:val="24"/>
          <w:szCs w:val="24"/>
          <w:lang w:val="en-GB"/>
        </w:rPr>
        <w:t xml:space="preserve">. </w:t>
      </w:r>
      <w:r w:rsidR="00317A61">
        <w:rPr>
          <w:rFonts w:ascii="Arial" w:hAnsi="Arial" w:cs="Arial"/>
          <w:sz w:val="24"/>
          <w:szCs w:val="24"/>
          <w:lang w:val="en-GB"/>
        </w:rPr>
        <w:t xml:space="preserve">No argument was advanced to </w:t>
      </w:r>
      <w:r w:rsidR="00317A61">
        <w:rPr>
          <w:rFonts w:ascii="Arial" w:hAnsi="Arial" w:cs="Arial"/>
          <w:sz w:val="24"/>
          <w:szCs w:val="24"/>
          <w:lang w:val="en-GB"/>
        </w:rPr>
        <w:lastRenderedPageBreak/>
        <w:t>gai</w:t>
      </w:r>
      <w:r w:rsidR="002E4EC3">
        <w:rPr>
          <w:rFonts w:ascii="Arial" w:hAnsi="Arial" w:cs="Arial"/>
          <w:sz w:val="24"/>
          <w:szCs w:val="24"/>
          <w:lang w:val="en-GB"/>
        </w:rPr>
        <w:t>n</w:t>
      </w:r>
      <w:r w:rsidR="00317A61">
        <w:rPr>
          <w:rFonts w:ascii="Arial" w:hAnsi="Arial" w:cs="Arial"/>
          <w:sz w:val="24"/>
          <w:szCs w:val="24"/>
          <w:lang w:val="en-GB"/>
        </w:rPr>
        <w:t xml:space="preserve">say these submissions </w:t>
      </w:r>
      <w:r w:rsidR="00CE573F">
        <w:rPr>
          <w:rFonts w:ascii="Arial" w:hAnsi="Arial" w:cs="Arial"/>
          <w:sz w:val="24"/>
          <w:szCs w:val="24"/>
          <w:lang w:val="en-GB"/>
        </w:rPr>
        <w:t>save for the dismissive submission</w:t>
      </w:r>
      <w:r w:rsidR="00317A61">
        <w:rPr>
          <w:rFonts w:ascii="Arial" w:hAnsi="Arial" w:cs="Arial"/>
          <w:sz w:val="24"/>
          <w:szCs w:val="24"/>
          <w:lang w:val="en-GB"/>
        </w:rPr>
        <w:t xml:space="preserve"> that they are irrelevant.  </w:t>
      </w:r>
      <w:r w:rsidR="001A0F73">
        <w:rPr>
          <w:rFonts w:ascii="Arial" w:hAnsi="Arial" w:cs="Arial"/>
          <w:sz w:val="24"/>
          <w:szCs w:val="24"/>
          <w:lang w:val="en-GB"/>
        </w:rPr>
        <w:t>These are in addition to all the other ri</w:t>
      </w:r>
      <w:r w:rsidR="007C41E8">
        <w:rPr>
          <w:rFonts w:ascii="Arial" w:hAnsi="Arial" w:cs="Arial"/>
          <w:sz w:val="24"/>
          <w:szCs w:val="24"/>
          <w:lang w:val="en-GB"/>
        </w:rPr>
        <w:t>ghts that are enshrined in our Constitution</w:t>
      </w:r>
      <w:r w:rsidR="001A0F73">
        <w:rPr>
          <w:rFonts w:ascii="Arial" w:hAnsi="Arial" w:cs="Arial"/>
          <w:sz w:val="24"/>
          <w:szCs w:val="24"/>
          <w:lang w:val="en-GB"/>
        </w:rPr>
        <w:t xml:space="preserve"> which find expression in</w:t>
      </w:r>
      <w:r w:rsidR="007C41E8">
        <w:rPr>
          <w:rFonts w:ascii="Arial" w:hAnsi="Arial" w:cs="Arial"/>
          <w:sz w:val="24"/>
          <w:szCs w:val="24"/>
          <w:lang w:val="en-GB"/>
        </w:rPr>
        <w:t xml:space="preserve"> quite some</w:t>
      </w:r>
      <w:r w:rsidR="001A0F73">
        <w:rPr>
          <w:rFonts w:ascii="Arial" w:hAnsi="Arial" w:cs="Arial"/>
          <w:sz w:val="24"/>
          <w:szCs w:val="24"/>
          <w:lang w:val="en-GB"/>
        </w:rPr>
        <w:t xml:space="preserve"> detail in the Children’s </w:t>
      </w:r>
      <w:r w:rsidR="007C41E8">
        <w:rPr>
          <w:rFonts w:ascii="Arial" w:hAnsi="Arial" w:cs="Arial"/>
          <w:sz w:val="24"/>
          <w:szCs w:val="24"/>
          <w:lang w:val="en-GB"/>
        </w:rPr>
        <w:t xml:space="preserve">Act. </w:t>
      </w:r>
    </w:p>
    <w:p w:rsidR="00DB0247" w:rsidRDefault="00CE573F" w:rsidP="00AB73CD">
      <w:pPr>
        <w:spacing w:line="480" w:lineRule="auto"/>
        <w:jc w:val="both"/>
        <w:rPr>
          <w:rFonts w:ascii="Arial" w:hAnsi="Arial" w:cs="Arial"/>
          <w:sz w:val="24"/>
          <w:szCs w:val="24"/>
          <w:lang w:val="en-GB"/>
        </w:rPr>
      </w:pPr>
      <w:r>
        <w:rPr>
          <w:rFonts w:ascii="Arial" w:hAnsi="Arial" w:cs="Arial"/>
          <w:sz w:val="24"/>
          <w:szCs w:val="24"/>
          <w:lang w:val="en-GB"/>
        </w:rPr>
        <w:t>[2</w:t>
      </w:r>
      <w:r w:rsidR="00B50759">
        <w:rPr>
          <w:rFonts w:ascii="Arial" w:hAnsi="Arial" w:cs="Arial"/>
          <w:sz w:val="24"/>
          <w:szCs w:val="24"/>
          <w:lang w:val="en-GB"/>
        </w:rPr>
        <w:t>8</w:t>
      </w:r>
      <w:r>
        <w:rPr>
          <w:rFonts w:ascii="Arial" w:hAnsi="Arial" w:cs="Arial"/>
          <w:sz w:val="24"/>
          <w:szCs w:val="24"/>
          <w:lang w:val="en-GB"/>
        </w:rPr>
        <w:t xml:space="preserve">] </w:t>
      </w:r>
      <w:r w:rsidR="007C41E8">
        <w:rPr>
          <w:rFonts w:ascii="Arial" w:hAnsi="Arial" w:cs="Arial"/>
          <w:sz w:val="24"/>
          <w:szCs w:val="24"/>
          <w:lang w:val="en-GB"/>
        </w:rPr>
        <w:t>The irrationality of this R</w:t>
      </w:r>
      <w:r w:rsidR="001A0F73">
        <w:rPr>
          <w:rFonts w:ascii="Arial" w:hAnsi="Arial" w:cs="Arial"/>
          <w:sz w:val="24"/>
          <w:szCs w:val="24"/>
          <w:lang w:val="en-GB"/>
        </w:rPr>
        <w:t xml:space="preserve">egulation becomes more </w:t>
      </w:r>
      <w:r w:rsidR="007C41E8">
        <w:rPr>
          <w:rFonts w:ascii="Arial" w:hAnsi="Arial" w:cs="Arial"/>
          <w:sz w:val="24"/>
          <w:szCs w:val="24"/>
          <w:lang w:val="en-GB"/>
        </w:rPr>
        <w:t xml:space="preserve">pronounced </w:t>
      </w:r>
      <w:r w:rsidR="001A0F73">
        <w:rPr>
          <w:rFonts w:ascii="Arial" w:hAnsi="Arial" w:cs="Arial"/>
          <w:sz w:val="24"/>
          <w:szCs w:val="24"/>
          <w:lang w:val="en-GB"/>
        </w:rPr>
        <w:t xml:space="preserve">if regard is </w:t>
      </w:r>
      <w:r w:rsidR="00940786">
        <w:rPr>
          <w:rFonts w:ascii="Arial" w:hAnsi="Arial" w:cs="Arial"/>
          <w:sz w:val="24"/>
          <w:szCs w:val="24"/>
          <w:lang w:val="en-GB"/>
        </w:rPr>
        <w:t>had</w:t>
      </w:r>
      <w:r w:rsidR="007C41E8">
        <w:rPr>
          <w:rFonts w:ascii="Arial" w:hAnsi="Arial" w:cs="Arial"/>
          <w:sz w:val="24"/>
          <w:szCs w:val="24"/>
          <w:lang w:val="en-GB"/>
        </w:rPr>
        <w:t xml:space="preserve"> </w:t>
      </w:r>
      <w:r w:rsidR="001A0F73">
        <w:rPr>
          <w:rFonts w:ascii="Arial" w:hAnsi="Arial" w:cs="Arial"/>
          <w:sz w:val="24"/>
          <w:szCs w:val="24"/>
          <w:lang w:val="en-GB"/>
        </w:rPr>
        <w:t xml:space="preserve">to the fact that </w:t>
      </w:r>
      <w:r w:rsidR="007C41E8">
        <w:rPr>
          <w:rFonts w:ascii="Arial" w:hAnsi="Arial" w:cs="Arial"/>
          <w:sz w:val="24"/>
          <w:szCs w:val="24"/>
          <w:lang w:val="en-GB"/>
        </w:rPr>
        <w:t>recognising</w:t>
      </w:r>
      <w:r w:rsidR="00317A61">
        <w:rPr>
          <w:rFonts w:ascii="Arial" w:hAnsi="Arial" w:cs="Arial"/>
          <w:sz w:val="24"/>
          <w:szCs w:val="24"/>
          <w:lang w:val="en-GB"/>
        </w:rPr>
        <w:t>,</w:t>
      </w:r>
      <w:r w:rsidR="001A0F73">
        <w:rPr>
          <w:rFonts w:ascii="Arial" w:hAnsi="Arial" w:cs="Arial"/>
          <w:sz w:val="24"/>
          <w:szCs w:val="24"/>
          <w:lang w:val="en-GB"/>
        </w:rPr>
        <w:t xml:space="preserve"> protecting</w:t>
      </w:r>
      <w:r w:rsidR="00254E25">
        <w:rPr>
          <w:rFonts w:ascii="Arial" w:hAnsi="Arial" w:cs="Arial"/>
          <w:sz w:val="24"/>
          <w:szCs w:val="24"/>
          <w:lang w:val="en-GB"/>
        </w:rPr>
        <w:t>,</w:t>
      </w:r>
      <w:r w:rsidR="001A0F73">
        <w:rPr>
          <w:rFonts w:ascii="Arial" w:hAnsi="Arial" w:cs="Arial"/>
          <w:sz w:val="24"/>
          <w:szCs w:val="24"/>
          <w:lang w:val="en-GB"/>
        </w:rPr>
        <w:t xml:space="preserve"> </w:t>
      </w:r>
      <w:r w:rsidR="000E53FA">
        <w:rPr>
          <w:rFonts w:ascii="Arial" w:hAnsi="Arial" w:cs="Arial"/>
          <w:sz w:val="24"/>
          <w:szCs w:val="24"/>
          <w:lang w:val="en-GB"/>
        </w:rPr>
        <w:t xml:space="preserve">respecting </w:t>
      </w:r>
      <w:r w:rsidR="00254E25">
        <w:rPr>
          <w:rFonts w:ascii="Arial" w:hAnsi="Arial" w:cs="Arial"/>
          <w:sz w:val="24"/>
          <w:szCs w:val="24"/>
          <w:lang w:val="en-GB"/>
        </w:rPr>
        <w:t xml:space="preserve">and fulfilling </w:t>
      </w:r>
      <w:r w:rsidR="001A0F73">
        <w:rPr>
          <w:rFonts w:ascii="Arial" w:hAnsi="Arial" w:cs="Arial"/>
          <w:sz w:val="24"/>
          <w:szCs w:val="24"/>
          <w:lang w:val="en-GB"/>
        </w:rPr>
        <w:t xml:space="preserve">the rights of the </w:t>
      </w:r>
      <w:r w:rsidR="007C41E8">
        <w:rPr>
          <w:rFonts w:ascii="Arial" w:hAnsi="Arial" w:cs="Arial"/>
          <w:sz w:val="24"/>
          <w:szCs w:val="24"/>
          <w:lang w:val="en-GB"/>
        </w:rPr>
        <w:t xml:space="preserve">affected </w:t>
      </w:r>
      <w:r w:rsidR="001A0F73">
        <w:rPr>
          <w:rFonts w:ascii="Arial" w:hAnsi="Arial" w:cs="Arial"/>
          <w:sz w:val="24"/>
          <w:szCs w:val="24"/>
          <w:lang w:val="en-GB"/>
        </w:rPr>
        <w:t>child</w:t>
      </w:r>
      <w:r w:rsidR="007C41E8">
        <w:rPr>
          <w:rFonts w:ascii="Arial" w:hAnsi="Arial" w:cs="Arial"/>
          <w:sz w:val="24"/>
          <w:szCs w:val="24"/>
          <w:lang w:val="en-GB"/>
        </w:rPr>
        <w:t>ren</w:t>
      </w:r>
      <w:r w:rsidR="001A0F73">
        <w:rPr>
          <w:rFonts w:ascii="Arial" w:hAnsi="Arial" w:cs="Arial"/>
          <w:sz w:val="24"/>
          <w:szCs w:val="24"/>
          <w:lang w:val="en-GB"/>
        </w:rPr>
        <w:t xml:space="preserve"> do</w:t>
      </w:r>
      <w:r w:rsidR="00940786">
        <w:rPr>
          <w:rFonts w:ascii="Arial" w:hAnsi="Arial" w:cs="Arial"/>
          <w:sz w:val="24"/>
          <w:szCs w:val="24"/>
          <w:lang w:val="en-GB"/>
        </w:rPr>
        <w:t>es not</w:t>
      </w:r>
      <w:r w:rsidR="001A0F73">
        <w:rPr>
          <w:rFonts w:ascii="Arial" w:hAnsi="Arial" w:cs="Arial"/>
          <w:sz w:val="24"/>
          <w:szCs w:val="24"/>
          <w:lang w:val="en-GB"/>
        </w:rPr>
        <w:t xml:space="preserve"> in </w:t>
      </w:r>
      <w:r w:rsidR="00970016">
        <w:rPr>
          <w:rFonts w:ascii="Arial" w:hAnsi="Arial" w:cs="Arial"/>
          <w:sz w:val="24"/>
          <w:szCs w:val="24"/>
          <w:lang w:val="en-GB"/>
        </w:rPr>
        <w:t>any way</w:t>
      </w:r>
      <w:r w:rsidR="001A0F73">
        <w:rPr>
          <w:rFonts w:ascii="Arial" w:hAnsi="Arial" w:cs="Arial"/>
          <w:sz w:val="24"/>
          <w:szCs w:val="24"/>
          <w:lang w:val="en-GB"/>
        </w:rPr>
        <w:t xml:space="preserve"> </w:t>
      </w:r>
      <w:r w:rsidR="000E53FA">
        <w:rPr>
          <w:rFonts w:ascii="Arial" w:hAnsi="Arial" w:cs="Arial"/>
          <w:sz w:val="24"/>
          <w:szCs w:val="24"/>
          <w:lang w:val="en-GB"/>
        </w:rPr>
        <w:t>curtail</w:t>
      </w:r>
      <w:r w:rsidR="001A0F73">
        <w:rPr>
          <w:rFonts w:ascii="Arial" w:hAnsi="Arial" w:cs="Arial"/>
          <w:sz w:val="24"/>
          <w:szCs w:val="24"/>
          <w:lang w:val="en-GB"/>
        </w:rPr>
        <w:t xml:space="preserve"> the respondents</w:t>
      </w:r>
      <w:r w:rsidR="000E53FA">
        <w:rPr>
          <w:rFonts w:ascii="Arial" w:hAnsi="Arial" w:cs="Arial"/>
          <w:sz w:val="24"/>
          <w:szCs w:val="24"/>
          <w:lang w:val="en-GB"/>
        </w:rPr>
        <w:t>’ ability</w:t>
      </w:r>
      <w:r w:rsidR="001A0F73">
        <w:rPr>
          <w:rFonts w:ascii="Arial" w:hAnsi="Arial" w:cs="Arial"/>
          <w:sz w:val="24"/>
          <w:szCs w:val="24"/>
          <w:lang w:val="en-GB"/>
        </w:rPr>
        <w:t xml:space="preserve"> </w:t>
      </w:r>
      <w:r w:rsidR="00254E25">
        <w:rPr>
          <w:rFonts w:ascii="Arial" w:hAnsi="Arial" w:cs="Arial"/>
          <w:sz w:val="24"/>
          <w:szCs w:val="24"/>
          <w:lang w:val="en-GB"/>
        </w:rPr>
        <w:t>to deal</w:t>
      </w:r>
      <w:r w:rsidR="001A0F73">
        <w:rPr>
          <w:rFonts w:ascii="Arial" w:hAnsi="Arial" w:cs="Arial"/>
          <w:sz w:val="24"/>
          <w:szCs w:val="24"/>
          <w:lang w:val="en-GB"/>
        </w:rPr>
        <w:t xml:space="preserve"> with the fact </w:t>
      </w:r>
      <w:r w:rsidR="003E1273">
        <w:rPr>
          <w:rFonts w:ascii="Arial" w:hAnsi="Arial" w:cs="Arial"/>
          <w:sz w:val="24"/>
          <w:szCs w:val="24"/>
          <w:lang w:val="en-GB"/>
        </w:rPr>
        <w:t>of the i</w:t>
      </w:r>
      <w:r w:rsidR="00940786">
        <w:rPr>
          <w:rFonts w:ascii="Arial" w:hAnsi="Arial" w:cs="Arial"/>
          <w:sz w:val="24"/>
          <w:szCs w:val="24"/>
          <w:lang w:val="en-GB"/>
        </w:rPr>
        <w:t xml:space="preserve">llegality of the presence of </w:t>
      </w:r>
      <w:r>
        <w:rPr>
          <w:rFonts w:ascii="Arial" w:hAnsi="Arial" w:cs="Arial"/>
          <w:sz w:val="24"/>
          <w:szCs w:val="24"/>
          <w:lang w:val="en-GB"/>
        </w:rPr>
        <w:t>their</w:t>
      </w:r>
      <w:r w:rsidR="00940786">
        <w:rPr>
          <w:rFonts w:ascii="Arial" w:hAnsi="Arial" w:cs="Arial"/>
          <w:sz w:val="24"/>
          <w:szCs w:val="24"/>
          <w:lang w:val="en-GB"/>
        </w:rPr>
        <w:t xml:space="preserve"> father</w:t>
      </w:r>
      <w:r>
        <w:rPr>
          <w:rFonts w:ascii="Arial" w:hAnsi="Arial" w:cs="Arial"/>
          <w:sz w:val="24"/>
          <w:szCs w:val="24"/>
          <w:lang w:val="en-GB"/>
        </w:rPr>
        <w:t>s</w:t>
      </w:r>
      <w:r w:rsidR="003E1273">
        <w:rPr>
          <w:rFonts w:ascii="Arial" w:hAnsi="Arial" w:cs="Arial"/>
          <w:sz w:val="24"/>
          <w:szCs w:val="24"/>
          <w:lang w:val="en-GB"/>
        </w:rPr>
        <w:t xml:space="preserve"> in this country</w:t>
      </w:r>
      <w:r w:rsidR="001A0F73">
        <w:rPr>
          <w:rFonts w:ascii="Arial" w:hAnsi="Arial" w:cs="Arial"/>
          <w:sz w:val="24"/>
          <w:szCs w:val="24"/>
          <w:lang w:val="en-GB"/>
        </w:rPr>
        <w:t xml:space="preserve">. </w:t>
      </w:r>
      <w:r w:rsidR="003A0CF0">
        <w:rPr>
          <w:rFonts w:ascii="Arial" w:hAnsi="Arial" w:cs="Arial"/>
          <w:sz w:val="24"/>
          <w:szCs w:val="24"/>
          <w:lang w:val="en-GB"/>
        </w:rPr>
        <w:t>F</w:t>
      </w:r>
      <w:r w:rsidR="00970016">
        <w:rPr>
          <w:rFonts w:ascii="Arial" w:hAnsi="Arial" w:cs="Arial"/>
          <w:sz w:val="24"/>
          <w:szCs w:val="24"/>
          <w:lang w:val="en-GB"/>
        </w:rPr>
        <w:t>or</w:t>
      </w:r>
      <w:r w:rsidR="00B85485">
        <w:rPr>
          <w:rFonts w:ascii="Arial" w:hAnsi="Arial" w:cs="Arial"/>
          <w:sz w:val="24"/>
          <w:szCs w:val="24"/>
          <w:lang w:val="en-GB"/>
        </w:rPr>
        <w:t xml:space="preserve"> </w:t>
      </w:r>
      <w:proofErr w:type="gramStart"/>
      <w:r w:rsidR="003A0CF0">
        <w:rPr>
          <w:rFonts w:ascii="Arial" w:hAnsi="Arial" w:cs="Arial"/>
          <w:sz w:val="24"/>
          <w:szCs w:val="24"/>
          <w:lang w:val="en-GB"/>
        </w:rPr>
        <w:t>instance</w:t>
      </w:r>
      <w:proofErr w:type="gramEnd"/>
      <w:r w:rsidR="003A0CF0">
        <w:rPr>
          <w:rFonts w:ascii="Arial" w:hAnsi="Arial" w:cs="Arial"/>
          <w:sz w:val="24"/>
          <w:szCs w:val="24"/>
          <w:lang w:val="en-GB"/>
        </w:rPr>
        <w:t xml:space="preserve"> t</w:t>
      </w:r>
      <w:r w:rsidR="001A0F73">
        <w:rPr>
          <w:rFonts w:ascii="Arial" w:hAnsi="Arial" w:cs="Arial"/>
          <w:sz w:val="24"/>
          <w:szCs w:val="24"/>
          <w:lang w:val="en-GB"/>
        </w:rPr>
        <w:t>he respon</w:t>
      </w:r>
      <w:r w:rsidR="005054C9">
        <w:rPr>
          <w:rFonts w:ascii="Arial" w:hAnsi="Arial" w:cs="Arial"/>
          <w:sz w:val="24"/>
          <w:szCs w:val="24"/>
          <w:lang w:val="en-GB"/>
        </w:rPr>
        <w:t>dents are entitled to deport the se</w:t>
      </w:r>
      <w:r w:rsidR="00940786">
        <w:rPr>
          <w:rFonts w:ascii="Arial" w:hAnsi="Arial" w:cs="Arial"/>
          <w:sz w:val="24"/>
          <w:szCs w:val="24"/>
          <w:lang w:val="en-GB"/>
        </w:rPr>
        <w:t>cond applicant in the normal cour</w:t>
      </w:r>
      <w:r w:rsidR="005054C9">
        <w:rPr>
          <w:rFonts w:ascii="Arial" w:hAnsi="Arial" w:cs="Arial"/>
          <w:sz w:val="24"/>
          <w:szCs w:val="24"/>
          <w:lang w:val="en-GB"/>
        </w:rPr>
        <w:t>se</w:t>
      </w:r>
      <w:r w:rsidR="001A0F73">
        <w:rPr>
          <w:rFonts w:ascii="Arial" w:hAnsi="Arial" w:cs="Arial"/>
          <w:sz w:val="24"/>
          <w:szCs w:val="24"/>
          <w:lang w:val="en-GB"/>
        </w:rPr>
        <w:t xml:space="preserve"> or deal with him </w:t>
      </w:r>
      <w:r w:rsidR="000E53FA">
        <w:rPr>
          <w:rFonts w:ascii="Arial" w:hAnsi="Arial" w:cs="Arial"/>
          <w:sz w:val="24"/>
          <w:szCs w:val="24"/>
          <w:lang w:val="en-GB"/>
        </w:rPr>
        <w:t>i</w:t>
      </w:r>
      <w:r w:rsidR="001A0F73">
        <w:rPr>
          <w:rFonts w:ascii="Arial" w:hAnsi="Arial" w:cs="Arial"/>
          <w:sz w:val="24"/>
          <w:szCs w:val="24"/>
          <w:lang w:val="en-GB"/>
        </w:rPr>
        <w:t xml:space="preserve">n </w:t>
      </w:r>
      <w:r w:rsidR="00970016">
        <w:rPr>
          <w:rFonts w:ascii="Arial" w:hAnsi="Arial" w:cs="Arial"/>
          <w:sz w:val="24"/>
          <w:szCs w:val="24"/>
          <w:lang w:val="en-GB"/>
        </w:rPr>
        <w:t>any way</w:t>
      </w:r>
      <w:r w:rsidR="001A0F73">
        <w:rPr>
          <w:rFonts w:ascii="Arial" w:hAnsi="Arial" w:cs="Arial"/>
          <w:sz w:val="24"/>
          <w:szCs w:val="24"/>
          <w:lang w:val="en-GB"/>
        </w:rPr>
        <w:t xml:space="preserve"> they decide within the framework of the law</w:t>
      </w:r>
      <w:r>
        <w:rPr>
          <w:rFonts w:ascii="Arial" w:hAnsi="Arial" w:cs="Arial"/>
          <w:sz w:val="24"/>
          <w:szCs w:val="24"/>
          <w:lang w:val="en-GB"/>
        </w:rPr>
        <w:t xml:space="preserve"> as they should with any </w:t>
      </w:r>
      <w:r w:rsidR="00B85485">
        <w:rPr>
          <w:rFonts w:ascii="Arial" w:hAnsi="Arial" w:cs="Arial"/>
          <w:sz w:val="24"/>
          <w:szCs w:val="24"/>
          <w:lang w:val="en-GB"/>
        </w:rPr>
        <w:t xml:space="preserve">other </w:t>
      </w:r>
      <w:r>
        <w:rPr>
          <w:rFonts w:ascii="Arial" w:hAnsi="Arial" w:cs="Arial"/>
          <w:sz w:val="24"/>
          <w:szCs w:val="24"/>
          <w:lang w:val="en-GB"/>
        </w:rPr>
        <w:t>illegal foreigner</w:t>
      </w:r>
      <w:r w:rsidR="001A0F73">
        <w:rPr>
          <w:rFonts w:ascii="Arial" w:hAnsi="Arial" w:cs="Arial"/>
          <w:sz w:val="24"/>
          <w:szCs w:val="24"/>
          <w:lang w:val="en-GB"/>
        </w:rPr>
        <w:t xml:space="preserve">. Therefore, the </w:t>
      </w:r>
      <w:r w:rsidR="002E4EC3">
        <w:rPr>
          <w:rFonts w:ascii="Arial" w:hAnsi="Arial" w:cs="Arial"/>
          <w:sz w:val="24"/>
          <w:szCs w:val="24"/>
          <w:lang w:val="en-GB"/>
        </w:rPr>
        <w:t>entry</w:t>
      </w:r>
      <w:r w:rsidR="001A0F73">
        <w:rPr>
          <w:rFonts w:ascii="Arial" w:hAnsi="Arial" w:cs="Arial"/>
          <w:sz w:val="24"/>
          <w:szCs w:val="24"/>
          <w:lang w:val="en-GB"/>
        </w:rPr>
        <w:t xml:space="preserve"> of </w:t>
      </w:r>
      <w:r w:rsidR="003A0CF0">
        <w:rPr>
          <w:rFonts w:ascii="Arial" w:hAnsi="Arial" w:cs="Arial"/>
          <w:sz w:val="24"/>
          <w:szCs w:val="24"/>
          <w:lang w:val="en-GB"/>
        </w:rPr>
        <w:t>his</w:t>
      </w:r>
      <w:r w:rsidR="001A0F73">
        <w:rPr>
          <w:rFonts w:ascii="Arial" w:hAnsi="Arial" w:cs="Arial"/>
          <w:sz w:val="24"/>
          <w:szCs w:val="24"/>
          <w:lang w:val="en-GB"/>
        </w:rPr>
        <w:t xml:space="preserve"> details in the child’s birth certificate does not limit any of that. In </w:t>
      </w:r>
      <w:r w:rsidR="00DB0247">
        <w:rPr>
          <w:rFonts w:ascii="Arial" w:hAnsi="Arial" w:cs="Arial"/>
          <w:sz w:val="24"/>
          <w:szCs w:val="24"/>
          <w:lang w:val="en-GB"/>
        </w:rPr>
        <w:t>fact,</w:t>
      </w:r>
      <w:r w:rsidR="001A0F73">
        <w:rPr>
          <w:rFonts w:ascii="Arial" w:hAnsi="Arial" w:cs="Arial"/>
          <w:sz w:val="24"/>
          <w:szCs w:val="24"/>
          <w:lang w:val="en-GB"/>
        </w:rPr>
        <w:t xml:space="preserve"> it only prejudices the child </w:t>
      </w:r>
      <w:r w:rsidR="00DB0247">
        <w:rPr>
          <w:rFonts w:ascii="Arial" w:hAnsi="Arial" w:cs="Arial"/>
          <w:sz w:val="24"/>
          <w:szCs w:val="24"/>
          <w:lang w:val="en-GB"/>
        </w:rPr>
        <w:t xml:space="preserve">and </w:t>
      </w:r>
      <w:r w:rsidR="005054C9">
        <w:rPr>
          <w:rFonts w:ascii="Arial" w:hAnsi="Arial" w:cs="Arial"/>
          <w:sz w:val="24"/>
          <w:szCs w:val="24"/>
          <w:lang w:val="en-GB"/>
        </w:rPr>
        <w:t xml:space="preserve">does so </w:t>
      </w:r>
      <w:r w:rsidR="00DB0247">
        <w:rPr>
          <w:rFonts w:ascii="Arial" w:hAnsi="Arial" w:cs="Arial"/>
          <w:sz w:val="24"/>
          <w:szCs w:val="24"/>
          <w:lang w:val="en-GB"/>
        </w:rPr>
        <w:t>unjustifiably</w:t>
      </w:r>
      <w:r w:rsidR="00317A61">
        <w:rPr>
          <w:rFonts w:ascii="Arial" w:hAnsi="Arial" w:cs="Arial"/>
          <w:sz w:val="24"/>
          <w:szCs w:val="24"/>
          <w:lang w:val="en-GB"/>
        </w:rPr>
        <w:t xml:space="preserve"> and irrationally, </w:t>
      </w:r>
      <w:r w:rsidR="002E4EC3">
        <w:rPr>
          <w:rFonts w:ascii="Arial" w:hAnsi="Arial" w:cs="Arial"/>
          <w:sz w:val="24"/>
          <w:szCs w:val="24"/>
          <w:lang w:val="en-GB"/>
        </w:rPr>
        <w:t>without</w:t>
      </w:r>
      <w:r w:rsidR="00317A61">
        <w:rPr>
          <w:rFonts w:ascii="Arial" w:hAnsi="Arial" w:cs="Arial"/>
          <w:sz w:val="24"/>
          <w:szCs w:val="24"/>
          <w:lang w:val="en-GB"/>
        </w:rPr>
        <w:t xml:space="preserve"> serving any useful purpose</w:t>
      </w:r>
      <w:r w:rsidR="00DB0247">
        <w:rPr>
          <w:rFonts w:ascii="Arial" w:hAnsi="Arial" w:cs="Arial"/>
          <w:sz w:val="24"/>
          <w:szCs w:val="24"/>
          <w:lang w:val="en-GB"/>
        </w:rPr>
        <w:t xml:space="preserve">. </w:t>
      </w:r>
    </w:p>
    <w:p w:rsidR="00DB0247" w:rsidRDefault="00F4237D" w:rsidP="00AB73CD">
      <w:pPr>
        <w:spacing w:line="480" w:lineRule="auto"/>
        <w:jc w:val="both"/>
        <w:rPr>
          <w:rFonts w:ascii="Arial" w:hAnsi="Arial" w:cs="Arial"/>
          <w:sz w:val="24"/>
          <w:szCs w:val="24"/>
          <w:lang w:val="en-GB"/>
        </w:rPr>
      </w:pPr>
      <w:r>
        <w:rPr>
          <w:rFonts w:ascii="Arial" w:hAnsi="Arial" w:cs="Arial"/>
          <w:sz w:val="24"/>
          <w:szCs w:val="24"/>
          <w:lang w:val="en-GB"/>
        </w:rPr>
        <w:t>[2</w:t>
      </w:r>
      <w:r w:rsidR="00B50759">
        <w:rPr>
          <w:rFonts w:ascii="Arial" w:hAnsi="Arial" w:cs="Arial"/>
          <w:sz w:val="24"/>
          <w:szCs w:val="24"/>
          <w:lang w:val="en-GB"/>
        </w:rPr>
        <w:t>9</w:t>
      </w:r>
      <w:r w:rsidR="00DB0247">
        <w:rPr>
          <w:rFonts w:ascii="Arial" w:hAnsi="Arial" w:cs="Arial"/>
          <w:sz w:val="24"/>
          <w:szCs w:val="24"/>
          <w:lang w:val="en-GB"/>
        </w:rPr>
        <w:t>] In circumst</w:t>
      </w:r>
      <w:r w:rsidR="005054C9">
        <w:rPr>
          <w:rFonts w:ascii="Arial" w:hAnsi="Arial" w:cs="Arial"/>
          <w:sz w:val="24"/>
          <w:szCs w:val="24"/>
          <w:lang w:val="en-GB"/>
        </w:rPr>
        <w:t>ances such as these, the courts’</w:t>
      </w:r>
      <w:r w:rsidR="00DB0247">
        <w:rPr>
          <w:rFonts w:ascii="Arial" w:hAnsi="Arial" w:cs="Arial"/>
          <w:sz w:val="24"/>
          <w:szCs w:val="24"/>
          <w:lang w:val="en-GB"/>
        </w:rPr>
        <w:t xml:space="preserve"> intervention is required and not intervening, not only for this child but also for the many others who may be in </w:t>
      </w:r>
      <w:r w:rsidR="005054C9">
        <w:rPr>
          <w:rFonts w:ascii="Arial" w:hAnsi="Arial" w:cs="Arial"/>
          <w:sz w:val="24"/>
          <w:szCs w:val="24"/>
          <w:lang w:val="en-GB"/>
        </w:rPr>
        <w:t xml:space="preserve">the </w:t>
      </w:r>
      <w:r w:rsidR="00DB0247">
        <w:rPr>
          <w:rFonts w:ascii="Arial" w:hAnsi="Arial" w:cs="Arial"/>
          <w:sz w:val="24"/>
          <w:szCs w:val="24"/>
          <w:lang w:val="en-GB"/>
        </w:rPr>
        <w:t xml:space="preserve">same or similar circumstances would </w:t>
      </w:r>
      <w:r w:rsidR="005054C9">
        <w:rPr>
          <w:rFonts w:ascii="Arial" w:hAnsi="Arial" w:cs="Arial"/>
          <w:sz w:val="24"/>
          <w:szCs w:val="24"/>
          <w:lang w:val="en-GB"/>
        </w:rPr>
        <w:t>amount to</w:t>
      </w:r>
      <w:r w:rsidR="00DB0247">
        <w:rPr>
          <w:rFonts w:ascii="Arial" w:hAnsi="Arial" w:cs="Arial"/>
          <w:sz w:val="24"/>
          <w:szCs w:val="24"/>
          <w:lang w:val="en-GB"/>
        </w:rPr>
        <w:t xml:space="preserve"> </w:t>
      </w:r>
      <w:r w:rsidR="000E53FA">
        <w:rPr>
          <w:rFonts w:ascii="Arial" w:hAnsi="Arial" w:cs="Arial"/>
          <w:sz w:val="24"/>
          <w:szCs w:val="24"/>
          <w:lang w:val="en-GB"/>
        </w:rPr>
        <w:t>the</w:t>
      </w:r>
      <w:r w:rsidR="00DB0247">
        <w:rPr>
          <w:rFonts w:ascii="Arial" w:hAnsi="Arial" w:cs="Arial"/>
          <w:sz w:val="24"/>
          <w:szCs w:val="24"/>
          <w:lang w:val="en-GB"/>
        </w:rPr>
        <w:t xml:space="preserve"> betrayal of the children’s rights which are constitutionally guaranteed</w:t>
      </w:r>
      <w:r w:rsidR="00E77203">
        <w:rPr>
          <w:rFonts w:ascii="Arial" w:hAnsi="Arial" w:cs="Arial"/>
          <w:sz w:val="24"/>
          <w:szCs w:val="24"/>
          <w:lang w:val="en-GB"/>
        </w:rPr>
        <w:t xml:space="preserve">. </w:t>
      </w:r>
      <w:r w:rsidR="00DB0247">
        <w:rPr>
          <w:rFonts w:ascii="Arial" w:hAnsi="Arial" w:cs="Arial"/>
          <w:sz w:val="24"/>
          <w:szCs w:val="24"/>
          <w:lang w:val="en-GB"/>
        </w:rPr>
        <w:t xml:space="preserve"> </w:t>
      </w:r>
      <w:r w:rsidR="00E77203">
        <w:rPr>
          <w:rFonts w:ascii="Arial" w:hAnsi="Arial" w:cs="Arial"/>
          <w:sz w:val="24"/>
          <w:szCs w:val="24"/>
          <w:lang w:val="en-GB"/>
        </w:rPr>
        <w:t>T</w:t>
      </w:r>
      <w:r w:rsidR="00DB0247">
        <w:rPr>
          <w:rFonts w:ascii="Arial" w:hAnsi="Arial" w:cs="Arial"/>
          <w:sz w:val="24"/>
          <w:szCs w:val="24"/>
          <w:lang w:val="en-GB"/>
        </w:rPr>
        <w:t xml:space="preserve">his </w:t>
      </w:r>
      <w:r w:rsidR="004430C6">
        <w:rPr>
          <w:rFonts w:ascii="Arial" w:hAnsi="Arial" w:cs="Arial"/>
          <w:sz w:val="24"/>
          <w:szCs w:val="24"/>
          <w:lang w:val="en-GB"/>
        </w:rPr>
        <w:t>C</w:t>
      </w:r>
      <w:r w:rsidR="00DB0247">
        <w:rPr>
          <w:rFonts w:ascii="Arial" w:hAnsi="Arial" w:cs="Arial"/>
          <w:sz w:val="24"/>
          <w:szCs w:val="24"/>
          <w:lang w:val="en-GB"/>
        </w:rPr>
        <w:t>ourt must do what it</w:t>
      </w:r>
      <w:r w:rsidR="006A7E62">
        <w:rPr>
          <w:rFonts w:ascii="Arial" w:hAnsi="Arial" w:cs="Arial"/>
          <w:sz w:val="24"/>
          <w:szCs w:val="24"/>
          <w:lang w:val="en-GB"/>
        </w:rPr>
        <w:t xml:space="preserve"> </w:t>
      </w:r>
      <w:r w:rsidR="008013BB">
        <w:rPr>
          <w:rFonts w:ascii="Arial" w:hAnsi="Arial" w:cs="Arial"/>
          <w:sz w:val="24"/>
          <w:szCs w:val="24"/>
          <w:lang w:val="en-GB"/>
        </w:rPr>
        <w:t xml:space="preserve">is </w:t>
      </w:r>
      <w:r w:rsidR="00985F6A">
        <w:rPr>
          <w:rFonts w:ascii="Arial" w:hAnsi="Arial" w:cs="Arial"/>
          <w:sz w:val="24"/>
          <w:szCs w:val="24"/>
          <w:lang w:val="en-GB"/>
        </w:rPr>
        <w:t>enjoined</w:t>
      </w:r>
      <w:r w:rsidR="008013BB">
        <w:rPr>
          <w:rFonts w:ascii="Arial" w:hAnsi="Arial" w:cs="Arial"/>
          <w:sz w:val="24"/>
          <w:szCs w:val="24"/>
          <w:lang w:val="en-GB"/>
        </w:rPr>
        <w:t xml:space="preserve"> to do</w:t>
      </w:r>
      <w:r w:rsidR="006A7E62">
        <w:rPr>
          <w:rFonts w:ascii="Arial" w:hAnsi="Arial" w:cs="Arial"/>
          <w:sz w:val="24"/>
          <w:szCs w:val="24"/>
          <w:lang w:val="en-GB"/>
        </w:rPr>
        <w:t xml:space="preserve"> to prevent the de</w:t>
      </w:r>
      <w:r w:rsidR="002E4EC3">
        <w:rPr>
          <w:rFonts w:ascii="Arial" w:hAnsi="Arial" w:cs="Arial"/>
          <w:sz w:val="24"/>
          <w:szCs w:val="24"/>
          <w:lang w:val="en-GB"/>
        </w:rPr>
        <w:t>r</w:t>
      </w:r>
      <w:r w:rsidR="004430C6">
        <w:rPr>
          <w:rFonts w:ascii="Arial" w:hAnsi="Arial" w:cs="Arial"/>
          <w:sz w:val="24"/>
          <w:szCs w:val="24"/>
          <w:lang w:val="en-GB"/>
        </w:rPr>
        <w:t>og</w:t>
      </w:r>
      <w:r w:rsidR="006A7E62">
        <w:rPr>
          <w:rFonts w:ascii="Arial" w:hAnsi="Arial" w:cs="Arial"/>
          <w:sz w:val="24"/>
          <w:szCs w:val="24"/>
          <w:lang w:val="en-GB"/>
        </w:rPr>
        <w:t>ation of the affect</w:t>
      </w:r>
      <w:r w:rsidR="00DB0247">
        <w:rPr>
          <w:rFonts w:ascii="Arial" w:hAnsi="Arial" w:cs="Arial"/>
          <w:sz w:val="24"/>
          <w:szCs w:val="24"/>
          <w:lang w:val="en-GB"/>
        </w:rPr>
        <w:t>ed children’s rights</w:t>
      </w:r>
      <w:r w:rsidR="00E77203">
        <w:rPr>
          <w:rFonts w:ascii="Arial" w:hAnsi="Arial" w:cs="Arial"/>
          <w:sz w:val="24"/>
          <w:szCs w:val="24"/>
          <w:lang w:val="en-GB"/>
        </w:rPr>
        <w:t xml:space="preserve"> and in doing so, </w:t>
      </w:r>
      <w:r w:rsidR="008013BB">
        <w:rPr>
          <w:rFonts w:ascii="Arial" w:hAnsi="Arial" w:cs="Arial"/>
          <w:sz w:val="24"/>
          <w:szCs w:val="24"/>
          <w:lang w:val="en-GB"/>
        </w:rPr>
        <w:t xml:space="preserve">it must </w:t>
      </w:r>
      <w:r w:rsidR="00E77203">
        <w:rPr>
          <w:rFonts w:ascii="Arial" w:hAnsi="Arial" w:cs="Arial"/>
          <w:sz w:val="24"/>
          <w:szCs w:val="24"/>
          <w:lang w:val="en-GB"/>
        </w:rPr>
        <w:t>ensure that children’s rights are always protected and treated as paramount</w:t>
      </w:r>
      <w:r w:rsidR="00DB0247">
        <w:rPr>
          <w:rFonts w:ascii="Arial" w:hAnsi="Arial" w:cs="Arial"/>
          <w:sz w:val="24"/>
          <w:szCs w:val="24"/>
          <w:lang w:val="en-GB"/>
        </w:rPr>
        <w:t xml:space="preserve">. In </w:t>
      </w:r>
      <w:r w:rsidR="00DB0247" w:rsidRPr="00DB0247">
        <w:rPr>
          <w:rFonts w:ascii="Arial" w:hAnsi="Arial" w:cs="Arial"/>
          <w:i/>
          <w:sz w:val="24"/>
          <w:szCs w:val="24"/>
          <w:lang w:val="en-GB"/>
        </w:rPr>
        <w:t>De Lille</w:t>
      </w:r>
      <w:r w:rsidR="00DB0247" w:rsidRPr="00DB0247">
        <w:rPr>
          <w:rStyle w:val="FootnoteReference"/>
          <w:rFonts w:ascii="Arial" w:hAnsi="Arial" w:cs="Arial"/>
          <w:i/>
          <w:sz w:val="24"/>
          <w:szCs w:val="24"/>
          <w:lang w:val="en-GB"/>
        </w:rPr>
        <w:footnoteReference w:id="9"/>
      </w:r>
      <w:r w:rsidR="00DB0247">
        <w:rPr>
          <w:rFonts w:ascii="Arial" w:hAnsi="Arial" w:cs="Arial"/>
          <w:sz w:val="24"/>
          <w:szCs w:val="24"/>
          <w:lang w:val="en-GB"/>
        </w:rPr>
        <w:t xml:space="preserve"> the court </w:t>
      </w:r>
      <w:r w:rsidR="004430C6">
        <w:rPr>
          <w:rFonts w:ascii="Arial" w:hAnsi="Arial" w:cs="Arial"/>
          <w:sz w:val="24"/>
          <w:szCs w:val="24"/>
          <w:lang w:val="en-GB"/>
        </w:rPr>
        <w:t>expressed the following apt sentiments</w:t>
      </w:r>
      <w:r w:rsidR="00E77203">
        <w:rPr>
          <w:rFonts w:ascii="Arial" w:hAnsi="Arial" w:cs="Arial"/>
          <w:sz w:val="24"/>
          <w:szCs w:val="24"/>
          <w:lang w:val="en-GB"/>
        </w:rPr>
        <w:t xml:space="preserve"> when it comes to the courts’ constitutional obligation to intervene where rights of people are adversely affected</w:t>
      </w:r>
      <w:r w:rsidR="00DB0247">
        <w:rPr>
          <w:rFonts w:ascii="Arial" w:hAnsi="Arial" w:cs="Arial"/>
          <w:sz w:val="24"/>
          <w:szCs w:val="24"/>
          <w:lang w:val="en-GB"/>
        </w:rPr>
        <w:t>:</w:t>
      </w:r>
    </w:p>
    <w:p w:rsidR="00BE4872" w:rsidRPr="00C37B54" w:rsidRDefault="00DB0247" w:rsidP="000E53FA">
      <w:pPr>
        <w:spacing w:line="360" w:lineRule="auto"/>
        <w:ind w:left="720"/>
        <w:jc w:val="both"/>
        <w:rPr>
          <w:rFonts w:ascii="Arial" w:hAnsi="Arial" w:cs="Arial"/>
          <w:lang w:val="en-GB"/>
        </w:rPr>
      </w:pPr>
      <w:r w:rsidRPr="00C37B54">
        <w:rPr>
          <w:rFonts w:ascii="Arial" w:hAnsi="Arial" w:cs="Arial"/>
          <w:lang w:val="en-GB"/>
        </w:rPr>
        <w:t xml:space="preserve">“This enquiry must </w:t>
      </w:r>
      <w:r w:rsidR="00307133" w:rsidRPr="00C37B54">
        <w:rPr>
          <w:rFonts w:ascii="Arial" w:hAnsi="Arial" w:cs="Arial"/>
          <w:lang w:val="en-GB"/>
        </w:rPr>
        <w:t xml:space="preserve">crucially rest </w:t>
      </w:r>
      <w:r w:rsidRPr="00C37B54">
        <w:rPr>
          <w:rFonts w:ascii="Arial" w:hAnsi="Arial" w:cs="Arial"/>
          <w:lang w:val="en-GB"/>
        </w:rPr>
        <w:t>on the Constitution of the Republic o</w:t>
      </w:r>
      <w:r w:rsidR="00307133" w:rsidRPr="00C37B54">
        <w:rPr>
          <w:rFonts w:ascii="Arial" w:hAnsi="Arial" w:cs="Arial"/>
          <w:lang w:val="en-GB"/>
        </w:rPr>
        <w:t>f South Africa. It is Supreme-not</w:t>
      </w:r>
      <w:r w:rsidRPr="00C37B54">
        <w:rPr>
          <w:rFonts w:ascii="Arial" w:hAnsi="Arial" w:cs="Arial"/>
          <w:lang w:val="en-GB"/>
        </w:rPr>
        <w:t xml:space="preserve"> Parliament. It is the ultimate source of all lawful authority in the country. No Parliament, however </w:t>
      </w:r>
      <w:r w:rsidR="00307133" w:rsidRPr="00C37B54">
        <w:rPr>
          <w:rFonts w:ascii="Arial" w:hAnsi="Arial" w:cs="Arial"/>
          <w:lang w:val="en-GB"/>
        </w:rPr>
        <w:t>bona fide or eminent</w:t>
      </w:r>
      <w:r w:rsidR="00BE4872" w:rsidRPr="00C37B54">
        <w:rPr>
          <w:rFonts w:ascii="Arial" w:hAnsi="Arial" w:cs="Arial"/>
          <w:lang w:val="en-GB"/>
        </w:rPr>
        <w:t xml:space="preserve"> its membership, no President</w:t>
      </w:r>
      <w:r w:rsidR="00940786" w:rsidRPr="00C37B54">
        <w:rPr>
          <w:rFonts w:ascii="Arial" w:hAnsi="Arial" w:cs="Arial"/>
          <w:lang w:val="en-GB"/>
        </w:rPr>
        <w:t>, however formidable be</w:t>
      </w:r>
      <w:r w:rsidR="00BE4872" w:rsidRPr="00C37B54">
        <w:rPr>
          <w:rFonts w:ascii="Arial" w:hAnsi="Arial" w:cs="Arial"/>
          <w:lang w:val="en-GB"/>
        </w:rPr>
        <w:t xml:space="preserve"> his reputation or scholarship and no official</w:t>
      </w:r>
      <w:r w:rsidR="00307133" w:rsidRPr="00C37B54">
        <w:rPr>
          <w:rFonts w:ascii="Arial" w:hAnsi="Arial" w:cs="Arial"/>
          <w:lang w:val="en-GB"/>
        </w:rPr>
        <w:t>, however efficient or well mean</w:t>
      </w:r>
      <w:r w:rsidR="00BE4872" w:rsidRPr="00C37B54">
        <w:rPr>
          <w:rFonts w:ascii="Arial" w:hAnsi="Arial" w:cs="Arial"/>
          <w:lang w:val="en-GB"/>
        </w:rPr>
        <w:t xml:space="preserve">ing, can make any law or perform any act which is not </w:t>
      </w:r>
      <w:r w:rsidR="00307133" w:rsidRPr="00C37B54">
        <w:rPr>
          <w:rFonts w:ascii="Arial" w:hAnsi="Arial" w:cs="Arial"/>
          <w:lang w:val="en-GB"/>
        </w:rPr>
        <w:t xml:space="preserve">sanctioned </w:t>
      </w:r>
      <w:r w:rsidR="00BE4872" w:rsidRPr="00C37B54">
        <w:rPr>
          <w:rFonts w:ascii="Arial" w:hAnsi="Arial" w:cs="Arial"/>
          <w:lang w:val="en-GB"/>
        </w:rPr>
        <w:t xml:space="preserve">by the </w:t>
      </w:r>
      <w:r w:rsidR="00BE4872" w:rsidRPr="00C37B54">
        <w:rPr>
          <w:rFonts w:ascii="Arial" w:hAnsi="Arial" w:cs="Arial"/>
          <w:lang w:val="en-GB"/>
        </w:rPr>
        <w:lastRenderedPageBreak/>
        <w:t>Constitution. Section 2 of the Constitution expressly provides that law or conduct inconsistent with the Constitution is invalid and the obligations imposed by it must be fulfilled. It follows that any citizen adversely affected by any decree, order or action of any official or body, which is not properly authorised by the Constitution is entitled to the protection of the courts. No Parliament, no official and no institution is immune from judicial scrutiny in such circumstances.”</w:t>
      </w:r>
    </w:p>
    <w:p w:rsidR="002E4EC3" w:rsidRPr="002E4EC3" w:rsidRDefault="002E4EC3" w:rsidP="00AB73CD">
      <w:pPr>
        <w:spacing w:line="480" w:lineRule="auto"/>
        <w:jc w:val="both"/>
        <w:rPr>
          <w:rFonts w:ascii="Arial" w:hAnsi="Arial" w:cs="Arial"/>
          <w:i/>
          <w:sz w:val="24"/>
          <w:szCs w:val="24"/>
          <w:lang w:val="en-GB"/>
        </w:rPr>
      </w:pPr>
      <w:r>
        <w:rPr>
          <w:rFonts w:ascii="Arial" w:hAnsi="Arial" w:cs="Arial"/>
          <w:i/>
          <w:sz w:val="24"/>
          <w:szCs w:val="24"/>
          <w:lang w:val="en-GB"/>
        </w:rPr>
        <w:t>Some of the international instruments on children’s rights.</w:t>
      </w:r>
    </w:p>
    <w:p w:rsidR="00C37B54" w:rsidRDefault="00D2471F" w:rsidP="00AB73CD">
      <w:pPr>
        <w:spacing w:line="480" w:lineRule="auto"/>
        <w:jc w:val="both"/>
        <w:rPr>
          <w:rFonts w:ascii="Arial" w:hAnsi="Arial" w:cs="Arial"/>
          <w:sz w:val="24"/>
          <w:szCs w:val="24"/>
          <w:lang w:val="en-GB"/>
        </w:rPr>
      </w:pPr>
      <w:r>
        <w:rPr>
          <w:rFonts w:ascii="Arial" w:hAnsi="Arial" w:cs="Arial"/>
          <w:sz w:val="24"/>
          <w:szCs w:val="24"/>
          <w:lang w:val="en-GB"/>
        </w:rPr>
        <w:t>[</w:t>
      </w:r>
      <w:r w:rsidR="00B50759">
        <w:rPr>
          <w:rFonts w:ascii="Arial" w:hAnsi="Arial" w:cs="Arial"/>
          <w:sz w:val="24"/>
          <w:szCs w:val="24"/>
          <w:lang w:val="en-GB"/>
        </w:rPr>
        <w:t>30</w:t>
      </w:r>
      <w:r w:rsidR="00D76A97">
        <w:rPr>
          <w:rFonts w:ascii="Arial" w:hAnsi="Arial" w:cs="Arial"/>
          <w:sz w:val="24"/>
          <w:szCs w:val="24"/>
          <w:lang w:val="en-GB"/>
        </w:rPr>
        <w:t>]</w:t>
      </w:r>
      <w:r w:rsidR="00BE4872">
        <w:rPr>
          <w:rFonts w:ascii="Arial" w:hAnsi="Arial" w:cs="Arial"/>
          <w:sz w:val="24"/>
          <w:szCs w:val="24"/>
          <w:lang w:val="en-GB"/>
        </w:rPr>
        <w:t xml:space="preserve"> I also find it strange that it was the first respondent</w:t>
      </w:r>
      <w:r w:rsidR="00940786">
        <w:rPr>
          <w:rFonts w:ascii="Arial" w:hAnsi="Arial" w:cs="Arial"/>
          <w:sz w:val="24"/>
          <w:szCs w:val="24"/>
          <w:lang w:val="en-GB"/>
        </w:rPr>
        <w:t>, the M</w:t>
      </w:r>
      <w:r w:rsidR="00307133">
        <w:rPr>
          <w:rFonts w:ascii="Arial" w:hAnsi="Arial" w:cs="Arial"/>
          <w:sz w:val="24"/>
          <w:szCs w:val="24"/>
          <w:lang w:val="en-GB"/>
        </w:rPr>
        <w:t>inister who decid</w:t>
      </w:r>
      <w:r w:rsidR="0077178F">
        <w:rPr>
          <w:rFonts w:ascii="Arial" w:hAnsi="Arial" w:cs="Arial"/>
          <w:sz w:val="24"/>
          <w:szCs w:val="24"/>
          <w:lang w:val="en-GB"/>
        </w:rPr>
        <w:t>ed to pass a far reach</w:t>
      </w:r>
      <w:r w:rsidR="00307133">
        <w:rPr>
          <w:rFonts w:ascii="Arial" w:hAnsi="Arial" w:cs="Arial"/>
          <w:sz w:val="24"/>
          <w:szCs w:val="24"/>
          <w:lang w:val="en-GB"/>
        </w:rPr>
        <w:t xml:space="preserve">ing </w:t>
      </w:r>
      <w:r w:rsidR="00F35BAE">
        <w:rPr>
          <w:rFonts w:ascii="Arial" w:hAnsi="Arial" w:cs="Arial"/>
          <w:sz w:val="24"/>
          <w:szCs w:val="24"/>
          <w:lang w:val="en-GB"/>
        </w:rPr>
        <w:t>R</w:t>
      </w:r>
      <w:r w:rsidR="00307133">
        <w:rPr>
          <w:rFonts w:ascii="Arial" w:hAnsi="Arial" w:cs="Arial"/>
          <w:sz w:val="24"/>
          <w:szCs w:val="24"/>
          <w:lang w:val="en-GB"/>
        </w:rPr>
        <w:t>egulation such as this. A R</w:t>
      </w:r>
      <w:r w:rsidR="0077178F">
        <w:rPr>
          <w:rFonts w:ascii="Arial" w:hAnsi="Arial" w:cs="Arial"/>
          <w:sz w:val="24"/>
          <w:szCs w:val="24"/>
          <w:lang w:val="en-GB"/>
        </w:rPr>
        <w:t>egulation that unlawfully interferes with the constitutional rights of the children</w:t>
      </w:r>
      <w:r w:rsidR="007E3396">
        <w:rPr>
          <w:rFonts w:ascii="Arial" w:hAnsi="Arial" w:cs="Arial"/>
          <w:sz w:val="24"/>
          <w:szCs w:val="24"/>
          <w:lang w:val="en-GB"/>
        </w:rPr>
        <w:t xml:space="preserve"> without any parliamentary consideration </w:t>
      </w:r>
      <w:r w:rsidR="002E4EC3">
        <w:rPr>
          <w:rFonts w:ascii="Arial" w:hAnsi="Arial" w:cs="Arial"/>
          <w:sz w:val="24"/>
          <w:szCs w:val="24"/>
          <w:lang w:val="en-GB"/>
        </w:rPr>
        <w:t xml:space="preserve">and the </w:t>
      </w:r>
      <w:r w:rsidR="00F54E8F">
        <w:rPr>
          <w:rFonts w:ascii="Arial" w:hAnsi="Arial" w:cs="Arial"/>
          <w:sz w:val="24"/>
          <w:szCs w:val="24"/>
          <w:lang w:val="en-GB"/>
        </w:rPr>
        <w:t xml:space="preserve">parliamentary debate as well as the </w:t>
      </w:r>
      <w:r w:rsidR="002E4EC3">
        <w:rPr>
          <w:rFonts w:ascii="Arial" w:hAnsi="Arial" w:cs="Arial"/>
          <w:sz w:val="24"/>
          <w:szCs w:val="24"/>
          <w:lang w:val="en-GB"/>
        </w:rPr>
        <w:t xml:space="preserve">public participation processes </w:t>
      </w:r>
      <w:r w:rsidR="00F54E8F">
        <w:rPr>
          <w:rFonts w:ascii="Arial" w:hAnsi="Arial" w:cs="Arial"/>
          <w:sz w:val="24"/>
          <w:szCs w:val="24"/>
          <w:lang w:val="en-GB"/>
        </w:rPr>
        <w:t>applicable to the consideration of</w:t>
      </w:r>
      <w:r w:rsidR="002E4EC3">
        <w:rPr>
          <w:rFonts w:ascii="Arial" w:hAnsi="Arial" w:cs="Arial"/>
          <w:sz w:val="24"/>
          <w:szCs w:val="24"/>
          <w:lang w:val="en-GB"/>
        </w:rPr>
        <w:t xml:space="preserve"> parliament</w:t>
      </w:r>
      <w:r w:rsidR="00E77203">
        <w:rPr>
          <w:rFonts w:ascii="Arial" w:hAnsi="Arial" w:cs="Arial"/>
          <w:sz w:val="24"/>
          <w:szCs w:val="24"/>
          <w:lang w:val="en-GB"/>
        </w:rPr>
        <w:t>ary</w:t>
      </w:r>
      <w:r w:rsidR="002E4EC3">
        <w:rPr>
          <w:rFonts w:ascii="Arial" w:hAnsi="Arial" w:cs="Arial"/>
          <w:sz w:val="24"/>
          <w:szCs w:val="24"/>
          <w:lang w:val="en-GB"/>
        </w:rPr>
        <w:t xml:space="preserve"> legislation.  O</w:t>
      </w:r>
      <w:r w:rsidR="00577820">
        <w:rPr>
          <w:rFonts w:ascii="Arial" w:hAnsi="Arial" w:cs="Arial"/>
          <w:sz w:val="24"/>
          <w:szCs w:val="24"/>
          <w:lang w:val="en-GB"/>
        </w:rPr>
        <w:t xml:space="preserve">ne would have expected </w:t>
      </w:r>
      <w:r w:rsidR="00E77203">
        <w:rPr>
          <w:rFonts w:ascii="Arial" w:hAnsi="Arial" w:cs="Arial"/>
          <w:sz w:val="24"/>
          <w:szCs w:val="24"/>
          <w:lang w:val="en-GB"/>
        </w:rPr>
        <w:t xml:space="preserve">it to be </w:t>
      </w:r>
      <w:r w:rsidR="00577820">
        <w:rPr>
          <w:rFonts w:ascii="Arial" w:hAnsi="Arial" w:cs="Arial"/>
          <w:sz w:val="24"/>
          <w:szCs w:val="24"/>
          <w:lang w:val="en-GB"/>
        </w:rPr>
        <w:t>Parliament t</w:t>
      </w:r>
      <w:r w:rsidR="00E77203">
        <w:rPr>
          <w:rFonts w:ascii="Arial" w:hAnsi="Arial" w:cs="Arial"/>
          <w:sz w:val="24"/>
          <w:szCs w:val="24"/>
          <w:lang w:val="en-GB"/>
        </w:rPr>
        <w:t>hat</w:t>
      </w:r>
      <w:r w:rsidR="00577820">
        <w:rPr>
          <w:rFonts w:ascii="Arial" w:hAnsi="Arial" w:cs="Arial"/>
          <w:sz w:val="24"/>
          <w:szCs w:val="24"/>
          <w:lang w:val="en-GB"/>
        </w:rPr>
        <w:t xml:space="preserve"> deal</w:t>
      </w:r>
      <w:r w:rsidR="00E77203">
        <w:rPr>
          <w:rFonts w:ascii="Arial" w:hAnsi="Arial" w:cs="Arial"/>
          <w:sz w:val="24"/>
          <w:szCs w:val="24"/>
          <w:lang w:val="en-GB"/>
        </w:rPr>
        <w:t>s</w:t>
      </w:r>
      <w:r w:rsidR="00577820">
        <w:rPr>
          <w:rFonts w:ascii="Arial" w:hAnsi="Arial" w:cs="Arial"/>
          <w:sz w:val="24"/>
          <w:szCs w:val="24"/>
          <w:lang w:val="en-GB"/>
        </w:rPr>
        <w:t xml:space="preserve"> with the issue of children born in </w:t>
      </w:r>
      <w:r w:rsidR="007E3396">
        <w:rPr>
          <w:rFonts w:ascii="Arial" w:hAnsi="Arial" w:cs="Arial"/>
          <w:sz w:val="24"/>
          <w:szCs w:val="24"/>
          <w:lang w:val="en-GB"/>
        </w:rPr>
        <w:t xml:space="preserve">these </w:t>
      </w:r>
      <w:r w:rsidR="00577820">
        <w:rPr>
          <w:rFonts w:ascii="Arial" w:hAnsi="Arial" w:cs="Arial"/>
          <w:sz w:val="24"/>
          <w:szCs w:val="24"/>
          <w:lang w:val="en-GB"/>
        </w:rPr>
        <w:t xml:space="preserve">circumstances. </w:t>
      </w:r>
      <w:r w:rsidR="00F54E8F">
        <w:rPr>
          <w:rFonts w:ascii="Arial" w:hAnsi="Arial" w:cs="Arial"/>
          <w:sz w:val="24"/>
          <w:szCs w:val="24"/>
          <w:lang w:val="en-GB"/>
        </w:rPr>
        <w:t>T</w:t>
      </w:r>
      <w:r w:rsidR="001F605D">
        <w:rPr>
          <w:rFonts w:ascii="Arial" w:hAnsi="Arial" w:cs="Arial"/>
          <w:sz w:val="24"/>
          <w:szCs w:val="24"/>
          <w:lang w:val="en-GB"/>
        </w:rPr>
        <w:t xml:space="preserve">here </w:t>
      </w:r>
      <w:r w:rsidR="007E3396">
        <w:rPr>
          <w:rFonts w:ascii="Arial" w:hAnsi="Arial" w:cs="Arial"/>
          <w:sz w:val="24"/>
          <w:szCs w:val="24"/>
          <w:lang w:val="en-GB"/>
        </w:rPr>
        <w:t>are some international instruments</w:t>
      </w:r>
      <w:r w:rsidR="001F605D">
        <w:rPr>
          <w:rFonts w:ascii="Arial" w:hAnsi="Arial" w:cs="Arial"/>
          <w:sz w:val="24"/>
          <w:szCs w:val="24"/>
          <w:lang w:val="en-GB"/>
        </w:rPr>
        <w:t xml:space="preserve"> </w:t>
      </w:r>
      <w:r w:rsidR="00BF342F">
        <w:rPr>
          <w:rFonts w:ascii="Arial" w:hAnsi="Arial" w:cs="Arial"/>
          <w:sz w:val="24"/>
          <w:szCs w:val="24"/>
          <w:lang w:val="en-GB"/>
        </w:rPr>
        <w:t xml:space="preserve">dealing with </w:t>
      </w:r>
      <w:r w:rsidR="00F360A0">
        <w:rPr>
          <w:rFonts w:ascii="Arial" w:hAnsi="Arial" w:cs="Arial"/>
          <w:sz w:val="24"/>
          <w:szCs w:val="24"/>
          <w:lang w:val="en-GB"/>
        </w:rPr>
        <w:t xml:space="preserve">the </w:t>
      </w:r>
      <w:r w:rsidR="00BF342F">
        <w:rPr>
          <w:rFonts w:ascii="Arial" w:hAnsi="Arial" w:cs="Arial"/>
          <w:sz w:val="24"/>
          <w:szCs w:val="24"/>
          <w:lang w:val="en-GB"/>
        </w:rPr>
        <w:t xml:space="preserve">rights of children </w:t>
      </w:r>
      <w:r w:rsidR="001F605D">
        <w:rPr>
          <w:rFonts w:ascii="Arial" w:hAnsi="Arial" w:cs="Arial"/>
          <w:sz w:val="24"/>
          <w:szCs w:val="24"/>
          <w:lang w:val="en-GB"/>
        </w:rPr>
        <w:t>whi</w:t>
      </w:r>
      <w:r w:rsidR="007E3396">
        <w:rPr>
          <w:rFonts w:ascii="Arial" w:hAnsi="Arial" w:cs="Arial"/>
          <w:sz w:val="24"/>
          <w:szCs w:val="24"/>
          <w:lang w:val="en-GB"/>
        </w:rPr>
        <w:t>ch cannot be ignored by our country</w:t>
      </w:r>
      <w:r w:rsidR="001F605D">
        <w:rPr>
          <w:rFonts w:ascii="Arial" w:hAnsi="Arial" w:cs="Arial"/>
          <w:sz w:val="24"/>
          <w:szCs w:val="24"/>
          <w:lang w:val="en-GB"/>
        </w:rPr>
        <w:t xml:space="preserve"> in any domestic </w:t>
      </w:r>
      <w:r w:rsidR="007E3396">
        <w:rPr>
          <w:rFonts w:ascii="Arial" w:hAnsi="Arial" w:cs="Arial"/>
          <w:sz w:val="24"/>
          <w:szCs w:val="24"/>
          <w:lang w:val="en-GB"/>
        </w:rPr>
        <w:t xml:space="preserve">instruments that are passed. These include Article 3 (1) of the United Nations Convention on the Rights of the Child. It reads: </w:t>
      </w:r>
    </w:p>
    <w:p w:rsidR="007722BF" w:rsidRPr="00C37B54" w:rsidRDefault="007E3396" w:rsidP="00C37B54">
      <w:pPr>
        <w:spacing w:line="360" w:lineRule="auto"/>
        <w:ind w:left="720"/>
        <w:jc w:val="both"/>
        <w:rPr>
          <w:rFonts w:ascii="Arial" w:hAnsi="Arial" w:cs="Arial"/>
          <w:lang w:val="en-GB"/>
        </w:rPr>
      </w:pPr>
      <w:r w:rsidRPr="00C37B54">
        <w:rPr>
          <w:rFonts w:ascii="Arial" w:hAnsi="Arial" w:cs="Arial"/>
          <w:lang w:val="en-GB"/>
        </w:rPr>
        <w:t>“In all actions concerning children</w:t>
      </w:r>
      <w:r w:rsidR="00BF342F" w:rsidRPr="00C37B54">
        <w:rPr>
          <w:rFonts w:ascii="Arial" w:hAnsi="Arial" w:cs="Arial"/>
          <w:lang w:val="en-GB"/>
        </w:rPr>
        <w:t>,</w:t>
      </w:r>
      <w:r w:rsidRPr="00C37B54">
        <w:rPr>
          <w:rFonts w:ascii="Arial" w:hAnsi="Arial" w:cs="Arial"/>
          <w:lang w:val="en-GB"/>
        </w:rPr>
        <w:t xml:space="preserve"> whether undertake</w:t>
      </w:r>
      <w:r w:rsidR="00F35BAE" w:rsidRPr="00C37B54">
        <w:rPr>
          <w:rFonts w:ascii="Arial" w:hAnsi="Arial" w:cs="Arial"/>
          <w:lang w:val="en-GB"/>
        </w:rPr>
        <w:t>n</w:t>
      </w:r>
      <w:r w:rsidRPr="00C37B54">
        <w:rPr>
          <w:rFonts w:ascii="Arial" w:hAnsi="Arial" w:cs="Arial"/>
          <w:lang w:val="en-GB"/>
        </w:rPr>
        <w:t xml:space="preserve"> by public or private social welfare institutions, courts </w:t>
      </w:r>
      <w:r w:rsidR="00BF342F" w:rsidRPr="00C37B54">
        <w:rPr>
          <w:rFonts w:ascii="Arial" w:hAnsi="Arial" w:cs="Arial"/>
          <w:lang w:val="en-GB"/>
        </w:rPr>
        <w:t>of law, administrative authorities or legislative bodies, the be</w:t>
      </w:r>
      <w:r w:rsidRPr="00C37B54">
        <w:rPr>
          <w:rFonts w:ascii="Arial" w:hAnsi="Arial" w:cs="Arial"/>
          <w:lang w:val="en-GB"/>
        </w:rPr>
        <w:t>st interest</w:t>
      </w:r>
      <w:r w:rsidR="00BF342F" w:rsidRPr="00C37B54">
        <w:rPr>
          <w:rFonts w:ascii="Arial" w:hAnsi="Arial" w:cs="Arial"/>
          <w:lang w:val="en-GB"/>
        </w:rPr>
        <w:t>s</w:t>
      </w:r>
      <w:r w:rsidRPr="00C37B54">
        <w:rPr>
          <w:rFonts w:ascii="Arial" w:hAnsi="Arial" w:cs="Arial"/>
          <w:lang w:val="en-GB"/>
        </w:rPr>
        <w:t xml:space="preserve"> of the child shall be a primary consideration.”</w:t>
      </w:r>
      <w:r w:rsidR="006840F0" w:rsidRPr="00C37B54">
        <w:rPr>
          <w:rFonts w:ascii="Arial" w:hAnsi="Arial" w:cs="Arial"/>
          <w:lang w:val="en-GB"/>
        </w:rPr>
        <w:t xml:space="preserve"> </w:t>
      </w:r>
      <w:r w:rsidR="0020750F" w:rsidRPr="00C37B54">
        <w:rPr>
          <w:rFonts w:ascii="Arial" w:hAnsi="Arial" w:cs="Arial"/>
          <w:lang w:val="en-GB"/>
        </w:rPr>
        <w:t xml:space="preserve"> </w:t>
      </w:r>
      <w:r w:rsidR="002A5364" w:rsidRPr="00C37B54">
        <w:rPr>
          <w:rFonts w:ascii="Arial" w:hAnsi="Arial" w:cs="Arial"/>
          <w:lang w:val="en-GB"/>
        </w:rPr>
        <w:t xml:space="preserve">  </w:t>
      </w:r>
      <w:r w:rsidR="007722BF" w:rsidRPr="00C37B54">
        <w:rPr>
          <w:rFonts w:ascii="Arial" w:hAnsi="Arial" w:cs="Arial"/>
          <w:lang w:val="en-GB"/>
        </w:rPr>
        <w:t xml:space="preserve"> </w:t>
      </w:r>
    </w:p>
    <w:p w:rsidR="000F383F" w:rsidRDefault="00D2471F" w:rsidP="00AB73CD">
      <w:pPr>
        <w:spacing w:line="480" w:lineRule="auto"/>
        <w:jc w:val="both"/>
        <w:rPr>
          <w:rFonts w:ascii="Arial" w:hAnsi="Arial" w:cs="Arial"/>
          <w:sz w:val="24"/>
          <w:szCs w:val="24"/>
          <w:lang w:val="en-GB"/>
        </w:rPr>
      </w:pPr>
      <w:r>
        <w:rPr>
          <w:rFonts w:ascii="Arial" w:hAnsi="Arial" w:cs="Arial"/>
          <w:sz w:val="24"/>
          <w:szCs w:val="24"/>
          <w:lang w:val="en-GB"/>
        </w:rPr>
        <w:t>[</w:t>
      </w:r>
      <w:r w:rsidR="000A175D">
        <w:rPr>
          <w:rFonts w:ascii="Arial" w:hAnsi="Arial" w:cs="Arial"/>
          <w:sz w:val="24"/>
          <w:szCs w:val="24"/>
          <w:lang w:val="en-GB"/>
        </w:rPr>
        <w:t>3</w:t>
      </w:r>
      <w:r w:rsidR="00B50759">
        <w:rPr>
          <w:rFonts w:ascii="Arial" w:hAnsi="Arial" w:cs="Arial"/>
          <w:sz w:val="24"/>
          <w:szCs w:val="24"/>
          <w:lang w:val="en-GB"/>
        </w:rPr>
        <w:t>1</w:t>
      </w:r>
      <w:r w:rsidR="007E3396">
        <w:rPr>
          <w:rFonts w:ascii="Arial" w:hAnsi="Arial" w:cs="Arial"/>
          <w:sz w:val="24"/>
          <w:szCs w:val="24"/>
          <w:lang w:val="en-GB"/>
        </w:rPr>
        <w:t xml:space="preserve">] The United Nations Committee on the Rights of </w:t>
      </w:r>
      <w:r w:rsidR="00BF342F">
        <w:rPr>
          <w:rFonts w:ascii="Arial" w:hAnsi="Arial" w:cs="Arial"/>
          <w:sz w:val="24"/>
          <w:szCs w:val="24"/>
          <w:lang w:val="en-GB"/>
        </w:rPr>
        <w:t>the Child issued General Comment</w:t>
      </w:r>
      <w:r w:rsidR="007E3396">
        <w:rPr>
          <w:rFonts w:ascii="Arial" w:hAnsi="Arial" w:cs="Arial"/>
          <w:sz w:val="24"/>
          <w:szCs w:val="24"/>
          <w:lang w:val="en-GB"/>
        </w:rPr>
        <w:t xml:space="preserve"> no 14 of 2013</w:t>
      </w:r>
      <w:r w:rsidR="00BF342F">
        <w:rPr>
          <w:rFonts w:ascii="Arial" w:hAnsi="Arial" w:cs="Arial"/>
          <w:sz w:val="24"/>
          <w:szCs w:val="24"/>
          <w:lang w:val="en-GB"/>
        </w:rPr>
        <w:t xml:space="preserve"> </w:t>
      </w:r>
      <w:r w:rsidR="007E3396">
        <w:rPr>
          <w:rFonts w:ascii="Arial" w:hAnsi="Arial" w:cs="Arial"/>
          <w:sz w:val="24"/>
          <w:szCs w:val="24"/>
          <w:lang w:val="en-GB"/>
        </w:rPr>
        <w:t>in which it defined the content of t</w:t>
      </w:r>
      <w:r w:rsidR="00287AFE">
        <w:rPr>
          <w:rFonts w:ascii="Arial" w:hAnsi="Arial" w:cs="Arial"/>
          <w:sz w:val="24"/>
          <w:szCs w:val="24"/>
          <w:lang w:val="en-GB"/>
        </w:rPr>
        <w:t>he rights contained in the Arti</w:t>
      </w:r>
      <w:r w:rsidR="007E3396">
        <w:rPr>
          <w:rFonts w:ascii="Arial" w:hAnsi="Arial" w:cs="Arial"/>
          <w:sz w:val="24"/>
          <w:szCs w:val="24"/>
          <w:lang w:val="en-GB"/>
        </w:rPr>
        <w:t>cle</w:t>
      </w:r>
      <w:r w:rsidR="007B5A40">
        <w:rPr>
          <w:rFonts w:ascii="Arial" w:hAnsi="Arial" w:cs="Arial"/>
          <w:sz w:val="24"/>
          <w:szCs w:val="24"/>
          <w:lang w:val="en-GB"/>
        </w:rPr>
        <w:t xml:space="preserve"> </w:t>
      </w:r>
      <w:r w:rsidR="007E3396">
        <w:rPr>
          <w:rFonts w:ascii="Arial" w:hAnsi="Arial" w:cs="Arial"/>
          <w:sz w:val="24"/>
          <w:szCs w:val="24"/>
          <w:lang w:val="en-GB"/>
        </w:rPr>
        <w:t xml:space="preserve">3 (1) as follows: </w:t>
      </w:r>
    </w:p>
    <w:p w:rsidR="00DE2AF9" w:rsidRPr="000F383F" w:rsidRDefault="007E3396" w:rsidP="000F383F">
      <w:pPr>
        <w:spacing w:line="360" w:lineRule="auto"/>
        <w:ind w:left="720"/>
        <w:jc w:val="both"/>
        <w:rPr>
          <w:rFonts w:ascii="Arial" w:hAnsi="Arial" w:cs="Arial"/>
          <w:lang w:val="en-GB"/>
        </w:rPr>
      </w:pPr>
      <w:r w:rsidRPr="000F383F">
        <w:rPr>
          <w:rFonts w:ascii="Arial" w:hAnsi="Arial" w:cs="Arial"/>
          <w:lang w:val="en-GB"/>
        </w:rPr>
        <w:t xml:space="preserve">“The rights of the child to have his or her </w:t>
      </w:r>
      <w:r w:rsidR="00BF342F" w:rsidRPr="000F383F">
        <w:rPr>
          <w:rFonts w:ascii="Arial" w:hAnsi="Arial" w:cs="Arial"/>
          <w:lang w:val="en-GB"/>
        </w:rPr>
        <w:t xml:space="preserve">best interests </w:t>
      </w:r>
      <w:r w:rsidR="00DE2AF9" w:rsidRPr="000F383F">
        <w:rPr>
          <w:rFonts w:ascii="Arial" w:hAnsi="Arial" w:cs="Arial"/>
          <w:lang w:val="en-GB"/>
        </w:rPr>
        <w:t>assessed and take</w:t>
      </w:r>
      <w:r w:rsidR="007B5A40" w:rsidRPr="000F383F">
        <w:rPr>
          <w:rFonts w:ascii="Arial" w:hAnsi="Arial" w:cs="Arial"/>
          <w:lang w:val="en-GB"/>
        </w:rPr>
        <w:t>n</w:t>
      </w:r>
      <w:r w:rsidR="00DE2AF9" w:rsidRPr="000F383F">
        <w:rPr>
          <w:rFonts w:ascii="Arial" w:hAnsi="Arial" w:cs="Arial"/>
          <w:lang w:val="en-GB"/>
        </w:rPr>
        <w:t xml:space="preserve"> as a primary consideration when different interests are being considered in order to reach a decision on the issue at stake, and the guarantee that this right will be implemented whenever a decision is to be made concerning a child, a group of identified or unidentified children or children in general.”</w:t>
      </w:r>
    </w:p>
    <w:p w:rsidR="00BE66C7" w:rsidRDefault="00D2471F" w:rsidP="00E77203">
      <w:pPr>
        <w:spacing w:before="240" w:line="480" w:lineRule="auto"/>
        <w:jc w:val="both"/>
        <w:rPr>
          <w:rFonts w:ascii="Arial" w:hAnsi="Arial" w:cs="Arial"/>
          <w:sz w:val="24"/>
          <w:szCs w:val="24"/>
          <w:lang w:val="en-GB"/>
        </w:rPr>
      </w:pPr>
      <w:r>
        <w:rPr>
          <w:rFonts w:ascii="Arial" w:hAnsi="Arial" w:cs="Arial"/>
          <w:sz w:val="24"/>
          <w:szCs w:val="24"/>
          <w:lang w:val="en-GB"/>
        </w:rPr>
        <w:lastRenderedPageBreak/>
        <w:t>[</w:t>
      </w:r>
      <w:r w:rsidR="00E32DDF">
        <w:rPr>
          <w:rFonts w:ascii="Arial" w:hAnsi="Arial" w:cs="Arial"/>
          <w:sz w:val="24"/>
          <w:szCs w:val="24"/>
          <w:lang w:val="en-GB"/>
        </w:rPr>
        <w:t>3</w:t>
      </w:r>
      <w:r w:rsidR="00B50759">
        <w:rPr>
          <w:rFonts w:ascii="Arial" w:hAnsi="Arial" w:cs="Arial"/>
          <w:sz w:val="24"/>
          <w:szCs w:val="24"/>
          <w:lang w:val="en-GB"/>
        </w:rPr>
        <w:t>2</w:t>
      </w:r>
      <w:r w:rsidR="00DE2AF9">
        <w:rPr>
          <w:rFonts w:ascii="Arial" w:hAnsi="Arial" w:cs="Arial"/>
          <w:sz w:val="24"/>
          <w:szCs w:val="24"/>
          <w:lang w:val="en-GB"/>
        </w:rPr>
        <w:t>] Even coming closer to home</w:t>
      </w:r>
      <w:r w:rsidR="00F54E8F">
        <w:rPr>
          <w:rFonts w:ascii="Arial" w:hAnsi="Arial" w:cs="Arial"/>
          <w:sz w:val="24"/>
          <w:szCs w:val="24"/>
          <w:lang w:val="en-GB"/>
        </w:rPr>
        <w:t>,</w:t>
      </w:r>
      <w:r w:rsidR="00DE2AF9">
        <w:rPr>
          <w:rFonts w:ascii="Arial" w:hAnsi="Arial" w:cs="Arial"/>
          <w:sz w:val="24"/>
          <w:szCs w:val="24"/>
          <w:lang w:val="en-GB"/>
        </w:rPr>
        <w:t xml:space="preserve"> I find it telling that sec</w:t>
      </w:r>
      <w:r w:rsidR="00B85485">
        <w:rPr>
          <w:rFonts w:ascii="Arial" w:hAnsi="Arial" w:cs="Arial"/>
          <w:sz w:val="24"/>
          <w:szCs w:val="24"/>
          <w:lang w:val="en-GB"/>
        </w:rPr>
        <w:t>tion 11 of the Registration Act</w:t>
      </w:r>
      <w:r w:rsidR="00DE2AF9">
        <w:rPr>
          <w:rFonts w:ascii="Arial" w:hAnsi="Arial" w:cs="Arial"/>
          <w:sz w:val="24"/>
          <w:szCs w:val="24"/>
          <w:lang w:val="en-GB"/>
        </w:rPr>
        <w:t xml:space="preserve"> does not discriminate </w:t>
      </w:r>
      <w:r w:rsidR="00BF342F">
        <w:rPr>
          <w:rFonts w:ascii="Arial" w:hAnsi="Arial" w:cs="Arial"/>
          <w:sz w:val="24"/>
          <w:szCs w:val="24"/>
          <w:lang w:val="en-GB"/>
        </w:rPr>
        <w:t xml:space="preserve">between </w:t>
      </w:r>
      <w:r w:rsidR="00DE2AF9">
        <w:rPr>
          <w:rFonts w:ascii="Arial" w:hAnsi="Arial" w:cs="Arial"/>
          <w:sz w:val="24"/>
          <w:szCs w:val="24"/>
          <w:lang w:val="en-GB"/>
        </w:rPr>
        <w:t>child</w:t>
      </w:r>
      <w:r w:rsidR="00BF342F">
        <w:rPr>
          <w:rFonts w:ascii="Arial" w:hAnsi="Arial" w:cs="Arial"/>
          <w:sz w:val="24"/>
          <w:szCs w:val="24"/>
          <w:lang w:val="en-GB"/>
        </w:rPr>
        <w:t>ren born of parents who are</w:t>
      </w:r>
      <w:r w:rsidR="00DE2AF9">
        <w:rPr>
          <w:rFonts w:ascii="Arial" w:hAnsi="Arial" w:cs="Arial"/>
          <w:sz w:val="24"/>
          <w:szCs w:val="24"/>
          <w:lang w:val="en-GB"/>
        </w:rPr>
        <w:t xml:space="preserve"> </w:t>
      </w:r>
      <w:r w:rsidR="00A60C07">
        <w:rPr>
          <w:rFonts w:ascii="Arial" w:hAnsi="Arial" w:cs="Arial"/>
          <w:sz w:val="24"/>
          <w:szCs w:val="24"/>
          <w:lang w:val="en-GB"/>
        </w:rPr>
        <w:t>foreign</w:t>
      </w:r>
      <w:r w:rsidR="00BF342F">
        <w:rPr>
          <w:rFonts w:ascii="Arial" w:hAnsi="Arial" w:cs="Arial"/>
          <w:sz w:val="24"/>
          <w:szCs w:val="24"/>
          <w:lang w:val="en-GB"/>
        </w:rPr>
        <w:t>ers</w:t>
      </w:r>
      <w:r w:rsidR="00A60C07">
        <w:rPr>
          <w:rFonts w:ascii="Arial" w:hAnsi="Arial" w:cs="Arial"/>
          <w:sz w:val="24"/>
          <w:szCs w:val="24"/>
          <w:lang w:val="en-GB"/>
        </w:rPr>
        <w:t xml:space="preserve"> </w:t>
      </w:r>
      <w:r w:rsidR="00F360A0">
        <w:rPr>
          <w:rFonts w:ascii="Arial" w:hAnsi="Arial" w:cs="Arial"/>
          <w:sz w:val="24"/>
          <w:szCs w:val="24"/>
          <w:lang w:val="en-GB"/>
        </w:rPr>
        <w:t xml:space="preserve">some of whom may be illegal foreigners </w:t>
      </w:r>
      <w:r w:rsidR="00A60C07">
        <w:rPr>
          <w:rFonts w:ascii="Arial" w:hAnsi="Arial" w:cs="Arial"/>
          <w:sz w:val="24"/>
          <w:szCs w:val="24"/>
          <w:lang w:val="en-GB"/>
        </w:rPr>
        <w:t xml:space="preserve">where such parents are not married. In the </w:t>
      </w:r>
      <w:r w:rsidR="00E77203">
        <w:rPr>
          <w:rFonts w:ascii="Arial" w:hAnsi="Arial" w:cs="Arial"/>
          <w:sz w:val="24"/>
          <w:szCs w:val="24"/>
          <w:lang w:val="en-GB"/>
        </w:rPr>
        <w:t xml:space="preserve">Registration </w:t>
      </w:r>
      <w:r w:rsidR="00A60C07">
        <w:rPr>
          <w:rFonts w:ascii="Arial" w:hAnsi="Arial" w:cs="Arial"/>
          <w:sz w:val="24"/>
          <w:szCs w:val="24"/>
          <w:lang w:val="en-GB"/>
        </w:rPr>
        <w:t xml:space="preserve">Act all </w:t>
      </w:r>
      <w:r w:rsidR="00B85485">
        <w:rPr>
          <w:rFonts w:ascii="Arial" w:hAnsi="Arial" w:cs="Arial"/>
          <w:sz w:val="24"/>
          <w:szCs w:val="24"/>
          <w:lang w:val="en-GB"/>
        </w:rPr>
        <w:t xml:space="preserve">children born of </w:t>
      </w:r>
      <w:r w:rsidR="00A60C07">
        <w:rPr>
          <w:rFonts w:ascii="Arial" w:hAnsi="Arial" w:cs="Arial"/>
          <w:sz w:val="24"/>
          <w:szCs w:val="24"/>
          <w:lang w:val="en-GB"/>
        </w:rPr>
        <w:t>unmarried parents are treated similarly</w:t>
      </w:r>
      <w:r w:rsidR="00E77203">
        <w:rPr>
          <w:rFonts w:ascii="Arial" w:hAnsi="Arial" w:cs="Arial"/>
          <w:sz w:val="24"/>
          <w:szCs w:val="24"/>
          <w:lang w:val="en-GB"/>
        </w:rPr>
        <w:t xml:space="preserve"> with no provision dedicated to children who may be born of illegal foreigners</w:t>
      </w:r>
      <w:r w:rsidR="00A60C07">
        <w:rPr>
          <w:rFonts w:ascii="Arial" w:hAnsi="Arial" w:cs="Arial"/>
          <w:sz w:val="24"/>
          <w:szCs w:val="24"/>
          <w:lang w:val="en-GB"/>
        </w:rPr>
        <w:t>.</w:t>
      </w:r>
      <w:r w:rsidR="00E77203">
        <w:rPr>
          <w:rFonts w:ascii="Arial" w:hAnsi="Arial" w:cs="Arial"/>
          <w:sz w:val="24"/>
          <w:szCs w:val="24"/>
          <w:lang w:val="en-GB"/>
        </w:rPr>
        <w:t xml:space="preserve"> </w:t>
      </w:r>
      <w:r w:rsidR="00F54E8F">
        <w:rPr>
          <w:rFonts w:ascii="Arial" w:hAnsi="Arial" w:cs="Arial"/>
          <w:sz w:val="24"/>
          <w:szCs w:val="24"/>
          <w:lang w:val="en-GB"/>
        </w:rPr>
        <w:t xml:space="preserve"> Section 11</w:t>
      </w:r>
      <w:r w:rsidR="00A60C07">
        <w:rPr>
          <w:rFonts w:ascii="Arial" w:hAnsi="Arial" w:cs="Arial"/>
          <w:sz w:val="24"/>
          <w:szCs w:val="24"/>
          <w:lang w:val="en-GB"/>
        </w:rPr>
        <w:t xml:space="preserve">(4) is </w:t>
      </w:r>
      <w:r w:rsidR="00F54E8F">
        <w:rPr>
          <w:rFonts w:ascii="Arial" w:hAnsi="Arial" w:cs="Arial"/>
          <w:sz w:val="24"/>
          <w:szCs w:val="24"/>
          <w:lang w:val="en-GB"/>
        </w:rPr>
        <w:t>very clear</w:t>
      </w:r>
      <w:r w:rsidR="00BE66C7">
        <w:rPr>
          <w:rFonts w:ascii="Arial" w:hAnsi="Arial" w:cs="Arial"/>
          <w:sz w:val="24"/>
          <w:szCs w:val="24"/>
          <w:lang w:val="en-GB"/>
        </w:rPr>
        <w:t xml:space="preserve"> and is worth repeating</w:t>
      </w:r>
      <w:r w:rsidR="00BF342F">
        <w:rPr>
          <w:rFonts w:ascii="Arial" w:hAnsi="Arial" w:cs="Arial"/>
          <w:sz w:val="24"/>
          <w:szCs w:val="24"/>
          <w:lang w:val="en-GB"/>
        </w:rPr>
        <w:t xml:space="preserve">. It reads: </w:t>
      </w:r>
    </w:p>
    <w:p w:rsidR="00D84BD5" w:rsidRDefault="00BF342F" w:rsidP="00BE66C7">
      <w:pPr>
        <w:spacing w:before="240" w:line="360" w:lineRule="auto"/>
        <w:ind w:left="1134" w:hanging="414"/>
        <w:jc w:val="both"/>
        <w:rPr>
          <w:rFonts w:ascii="Arial" w:hAnsi="Arial" w:cs="Arial"/>
          <w:sz w:val="24"/>
          <w:szCs w:val="24"/>
          <w:lang w:val="en-GB"/>
        </w:rPr>
      </w:pPr>
      <w:r w:rsidRPr="00BE66C7">
        <w:rPr>
          <w:rFonts w:ascii="Arial" w:hAnsi="Arial" w:cs="Arial"/>
          <w:lang w:val="en-GB"/>
        </w:rPr>
        <w:t xml:space="preserve">“(4) </w:t>
      </w:r>
      <w:r w:rsidR="00BE66C7" w:rsidRPr="00BE66C7">
        <w:rPr>
          <w:rFonts w:ascii="Arial" w:hAnsi="Arial" w:cs="Arial"/>
          <w:lang w:val="en-GB"/>
        </w:rPr>
        <w:t>a person</w:t>
      </w:r>
      <w:r w:rsidRPr="00BE66C7">
        <w:rPr>
          <w:rFonts w:ascii="Arial" w:hAnsi="Arial" w:cs="Arial"/>
          <w:lang w:val="en-GB"/>
        </w:rPr>
        <w:t xml:space="preserve"> who wi</w:t>
      </w:r>
      <w:r w:rsidR="00A60C07" w:rsidRPr="00BE66C7">
        <w:rPr>
          <w:rFonts w:ascii="Arial" w:hAnsi="Arial" w:cs="Arial"/>
          <w:lang w:val="en-GB"/>
        </w:rPr>
        <w:t>s</w:t>
      </w:r>
      <w:r w:rsidRPr="00BE66C7">
        <w:rPr>
          <w:rFonts w:ascii="Arial" w:hAnsi="Arial" w:cs="Arial"/>
          <w:lang w:val="en-GB"/>
        </w:rPr>
        <w:t>hes</w:t>
      </w:r>
      <w:r w:rsidR="00A60C07" w:rsidRPr="00BE66C7">
        <w:rPr>
          <w:rFonts w:ascii="Arial" w:hAnsi="Arial" w:cs="Arial"/>
          <w:lang w:val="en-GB"/>
        </w:rPr>
        <w:t xml:space="preserve"> to acknowledge himself to be the father of a child born out of wedlock may, in the prescribed manner, with the consent of the mother of the child, apply to the Director-G</w:t>
      </w:r>
      <w:r w:rsidR="00D84BD5" w:rsidRPr="00BE66C7">
        <w:rPr>
          <w:rFonts w:ascii="Arial" w:hAnsi="Arial" w:cs="Arial"/>
          <w:lang w:val="en-GB"/>
        </w:rPr>
        <w:t>eneral, who shall amend the registration of t</w:t>
      </w:r>
      <w:r w:rsidRPr="00BE66C7">
        <w:rPr>
          <w:rFonts w:ascii="Arial" w:hAnsi="Arial" w:cs="Arial"/>
          <w:lang w:val="en-GB"/>
        </w:rPr>
        <w:t>he birth of such a child by reco</w:t>
      </w:r>
      <w:r w:rsidR="00D84BD5" w:rsidRPr="00BE66C7">
        <w:rPr>
          <w:rFonts w:ascii="Arial" w:hAnsi="Arial" w:cs="Arial"/>
          <w:lang w:val="en-GB"/>
        </w:rPr>
        <w:t>rding such acknowledgement and by entering the prescribed particulars of such person in the registration of the birth of such child.”</w:t>
      </w:r>
    </w:p>
    <w:p w:rsidR="00D84BD5" w:rsidRDefault="00D2471F" w:rsidP="00A60C07">
      <w:pPr>
        <w:spacing w:before="240" w:line="480" w:lineRule="auto"/>
        <w:jc w:val="both"/>
        <w:rPr>
          <w:rFonts w:ascii="Arial" w:hAnsi="Arial" w:cs="Arial"/>
          <w:sz w:val="24"/>
          <w:szCs w:val="24"/>
          <w:lang w:val="en-GB"/>
        </w:rPr>
      </w:pPr>
      <w:r>
        <w:rPr>
          <w:rFonts w:ascii="Arial" w:hAnsi="Arial" w:cs="Arial"/>
          <w:sz w:val="24"/>
          <w:szCs w:val="24"/>
          <w:lang w:val="en-GB"/>
        </w:rPr>
        <w:t>[3</w:t>
      </w:r>
      <w:r w:rsidR="00B50759">
        <w:rPr>
          <w:rFonts w:ascii="Arial" w:hAnsi="Arial" w:cs="Arial"/>
          <w:sz w:val="24"/>
          <w:szCs w:val="24"/>
          <w:lang w:val="en-GB"/>
        </w:rPr>
        <w:t>3</w:t>
      </w:r>
      <w:r w:rsidR="00D84BD5">
        <w:rPr>
          <w:rFonts w:ascii="Arial" w:hAnsi="Arial" w:cs="Arial"/>
          <w:sz w:val="24"/>
          <w:szCs w:val="24"/>
          <w:lang w:val="en-GB"/>
        </w:rPr>
        <w:t xml:space="preserve">] This provision makes no distinction between local and foreign </w:t>
      </w:r>
      <w:r w:rsidR="00932AA9">
        <w:rPr>
          <w:rFonts w:ascii="Arial" w:hAnsi="Arial" w:cs="Arial"/>
          <w:sz w:val="24"/>
          <w:szCs w:val="24"/>
          <w:lang w:val="en-GB"/>
        </w:rPr>
        <w:t>fathers</w:t>
      </w:r>
      <w:r w:rsidR="00F360A0">
        <w:rPr>
          <w:rFonts w:ascii="Arial" w:hAnsi="Arial" w:cs="Arial"/>
          <w:sz w:val="24"/>
          <w:szCs w:val="24"/>
          <w:lang w:val="en-GB"/>
        </w:rPr>
        <w:t xml:space="preserve"> or those that are legally in the country and those that are not.</w:t>
      </w:r>
      <w:r w:rsidR="00E77203">
        <w:rPr>
          <w:rFonts w:ascii="Arial" w:hAnsi="Arial" w:cs="Arial"/>
          <w:sz w:val="24"/>
          <w:szCs w:val="24"/>
          <w:lang w:val="en-GB"/>
        </w:rPr>
        <w:t xml:space="preserve">  The legislature, in its wisdom, uses the words “any person”.</w:t>
      </w:r>
      <w:r w:rsidR="00F360A0">
        <w:rPr>
          <w:rFonts w:ascii="Arial" w:hAnsi="Arial" w:cs="Arial"/>
          <w:sz w:val="24"/>
          <w:szCs w:val="24"/>
          <w:lang w:val="en-GB"/>
        </w:rPr>
        <w:t xml:space="preserve">  This must be because the focus is </w:t>
      </w:r>
      <w:r w:rsidR="00F54E8F">
        <w:rPr>
          <w:rFonts w:ascii="Arial" w:hAnsi="Arial" w:cs="Arial"/>
          <w:sz w:val="24"/>
          <w:szCs w:val="24"/>
          <w:lang w:val="en-GB"/>
        </w:rPr>
        <w:t xml:space="preserve">more </w:t>
      </w:r>
      <w:r w:rsidR="00F360A0">
        <w:rPr>
          <w:rFonts w:ascii="Arial" w:hAnsi="Arial" w:cs="Arial"/>
          <w:sz w:val="24"/>
          <w:szCs w:val="24"/>
          <w:lang w:val="en-GB"/>
        </w:rPr>
        <w:t>on the interests of the children and less about who the father is</w:t>
      </w:r>
      <w:r w:rsidR="00E77203">
        <w:rPr>
          <w:rFonts w:ascii="Arial" w:hAnsi="Arial" w:cs="Arial"/>
          <w:sz w:val="24"/>
          <w:szCs w:val="24"/>
          <w:lang w:val="en-GB"/>
        </w:rPr>
        <w:t xml:space="preserve"> or what his circumstances are</w:t>
      </w:r>
      <w:r w:rsidR="00D84BD5">
        <w:rPr>
          <w:rFonts w:ascii="Arial" w:hAnsi="Arial" w:cs="Arial"/>
          <w:sz w:val="24"/>
          <w:szCs w:val="24"/>
          <w:lang w:val="en-GB"/>
        </w:rPr>
        <w:t>. It merely provides similarly for all children born of unmarried parents. It surely cannot be that a discriminatory provision can lawfully be made in a Regulation in circumsta</w:t>
      </w:r>
      <w:r w:rsidR="00932AA9">
        <w:rPr>
          <w:rFonts w:ascii="Arial" w:hAnsi="Arial" w:cs="Arial"/>
          <w:sz w:val="24"/>
          <w:szCs w:val="24"/>
          <w:lang w:val="en-GB"/>
        </w:rPr>
        <w:t>nces where the Legislatur</w:t>
      </w:r>
      <w:r w:rsidR="0067478A">
        <w:rPr>
          <w:rFonts w:ascii="Arial" w:hAnsi="Arial" w:cs="Arial"/>
          <w:sz w:val="24"/>
          <w:szCs w:val="24"/>
          <w:lang w:val="en-GB"/>
        </w:rPr>
        <w:t>e elected not to discriminate</w:t>
      </w:r>
      <w:r w:rsidR="00D84BD5">
        <w:rPr>
          <w:rFonts w:ascii="Arial" w:hAnsi="Arial" w:cs="Arial"/>
          <w:sz w:val="24"/>
          <w:szCs w:val="24"/>
          <w:lang w:val="en-GB"/>
        </w:rPr>
        <w:t xml:space="preserve"> between children </w:t>
      </w:r>
      <w:r w:rsidR="006368D9">
        <w:rPr>
          <w:rFonts w:ascii="Arial" w:hAnsi="Arial" w:cs="Arial"/>
          <w:sz w:val="24"/>
          <w:szCs w:val="24"/>
          <w:lang w:val="en-GB"/>
        </w:rPr>
        <w:t>and elected to treat them the same as children</w:t>
      </w:r>
      <w:r w:rsidR="00D84BD5">
        <w:rPr>
          <w:rFonts w:ascii="Arial" w:hAnsi="Arial" w:cs="Arial"/>
          <w:sz w:val="24"/>
          <w:szCs w:val="24"/>
          <w:lang w:val="en-GB"/>
        </w:rPr>
        <w:t>.</w:t>
      </w:r>
    </w:p>
    <w:p w:rsidR="00F360A0" w:rsidRPr="00F360A0" w:rsidRDefault="00F360A0" w:rsidP="00A60C07">
      <w:pPr>
        <w:spacing w:before="240" w:line="480" w:lineRule="auto"/>
        <w:jc w:val="both"/>
        <w:rPr>
          <w:rFonts w:ascii="Arial" w:hAnsi="Arial" w:cs="Arial"/>
          <w:i/>
          <w:sz w:val="24"/>
          <w:szCs w:val="24"/>
          <w:lang w:val="en-GB"/>
        </w:rPr>
      </w:pPr>
      <w:r>
        <w:rPr>
          <w:rFonts w:ascii="Arial" w:hAnsi="Arial" w:cs="Arial"/>
          <w:i/>
          <w:sz w:val="24"/>
          <w:szCs w:val="24"/>
          <w:lang w:val="en-GB"/>
        </w:rPr>
        <w:t>Conclusion.</w:t>
      </w:r>
    </w:p>
    <w:p w:rsidR="00F211A9" w:rsidRDefault="00D2471F" w:rsidP="0045589B">
      <w:pPr>
        <w:spacing w:before="240" w:line="480" w:lineRule="auto"/>
        <w:jc w:val="both"/>
        <w:rPr>
          <w:rFonts w:ascii="Arial" w:hAnsi="Arial" w:cs="Arial"/>
          <w:sz w:val="24"/>
          <w:szCs w:val="24"/>
          <w:lang w:val="en-GB"/>
        </w:rPr>
      </w:pPr>
      <w:r>
        <w:rPr>
          <w:rFonts w:ascii="Arial" w:hAnsi="Arial" w:cs="Arial"/>
          <w:sz w:val="24"/>
          <w:szCs w:val="24"/>
          <w:lang w:val="en-GB"/>
        </w:rPr>
        <w:t>[3</w:t>
      </w:r>
      <w:r w:rsidR="00B50759">
        <w:rPr>
          <w:rFonts w:ascii="Arial" w:hAnsi="Arial" w:cs="Arial"/>
          <w:sz w:val="24"/>
          <w:szCs w:val="24"/>
          <w:lang w:val="en-GB"/>
        </w:rPr>
        <w:t>4</w:t>
      </w:r>
      <w:r w:rsidR="00D84BD5">
        <w:rPr>
          <w:rFonts w:ascii="Arial" w:hAnsi="Arial" w:cs="Arial"/>
          <w:sz w:val="24"/>
          <w:szCs w:val="24"/>
          <w:lang w:val="en-GB"/>
        </w:rPr>
        <w:t xml:space="preserve">] </w:t>
      </w:r>
      <w:r w:rsidR="00932AA9">
        <w:rPr>
          <w:rFonts w:ascii="Arial" w:hAnsi="Arial" w:cs="Arial"/>
          <w:sz w:val="24"/>
          <w:szCs w:val="24"/>
          <w:lang w:val="en-GB"/>
        </w:rPr>
        <w:t xml:space="preserve">I </w:t>
      </w:r>
      <w:r w:rsidR="008013BB">
        <w:rPr>
          <w:rFonts w:ascii="Arial" w:hAnsi="Arial" w:cs="Arial"/>
          <w:sz w:val="24"/>
          <w:szCs w:val="24"/>
          <w:lang w:val="en-GB"/>
        </w:rPr>
        <w:t xml:space="preserve">have </w:t>
      </w:r>
      <w:r w:rsidR="00932AA9">
        <w:rPr>
          <w:rFonts w:ascii="Arial" w:hAnsi="Arial" w:cs="Arial"/>
          <w:sz w:val="24"/>
          <w:szCs w:val="24"/>
          <w:lang w:val="en-GB"/>
        </w:rPr>
        <w:t xml:space="preserve">therefore </w:t>
      </w:r>
      <w:r w:rsidR="008013BB">
        <w:rPr>
          <w:rFonts w:ascii="Arial" w:hAnsi="Arial" w:cs="Arial"/>
          <w:sz w:val="24"/>
          <w:szCs w:val="24"/>
          <w:lang w:val="en-GB"/>
        </w:rPr>
        <w:t>come to the ineluctable conclusion</w:t>
      </w:r>
      <w:r w:rsidR="00D84BD5">
        <w:rPr>
          <w:rFonts w:ascii="Arial" w:hAnsi="Arial" w:cs="Arial"/>
          <w:sz w:val="24"/>
          <w:szCs w:val="24"/>
          <w:lang w:val="en-GB"/>
        </w:rPr>
        <w:t xml:space="preserve"> that the applicant</w:t>
      </w:r>
      <w:r w:rsidR="002B1A09">
        <w:rPr>
          <w:rFonts w:ascii="Arial" w:hAnsi="Arial" w:cs="Arial"/>
          <w:sz w:val="24"/>
          <w:szCs w:val="24"/>
          <w:lang w:val="en-GB"/>
        </w:rPr>
        <w:t>s</w:t>
      </w:r>
      <w:r w:rsidR="00D84BD5">
        <w:rPr>
          <w:rFonts w:ascii="Arial" w:hAnsi="Arial" w:cs="Arial"/>
          <w:sz w:val="24"/>
          <w:szCs w:val="24"/>
          <w:lang w:val="en-GB"/>
        </w:rPr>
        <w:t xml:space="preserve"> must succeed in their application</w:t>
      </w:r>
      <w:r w:rsidR="0067478A">
        <w:rPr>
          <w:rFonts w:ascii="Arial" w:hAnsi="Arial" w:cs="Arial"/>
          <w:sz w:val="24"/>
          <w:szCs w:val="24"/>
          <w:lang w:val="en-GB"/>
        </w:rPr>
        <w:t xml:space="preserve"> on the constitutional challenge of Regulation 12(2)(c)</w:t>
      </w:r>
      <w:r w:rsidR="00D84BD5">
        <w:rPr>
          <w:rFonts w:ascii="Arial" w:hAnsi="Arial" w:cs="Arial"/>
          <w:sz w:val="24"/>
          <w:szCs w:val="24"/>
          <w:lang w:val="en-GB"/>
        </w:rPr>
        <w:t xml:space="preserve">. </w:t>
      </w:r>
      <w:r w:rsidR="00BA009A">
        <w:rPr>
          <w:rFonts w:ascii="Arial" w:hAnsi="Arial" w:cs="Arial"/>
          <w:sz w:val="24"/>
          <w:szCs w:val="24"/>
          <w:lang w:val="en-GB"/>
        </w:rPr>
        <w:t>It</w:t>
      </w:r>
      <w:r w:rsidR="002B1A09">
        <w:rPr>
          <w:rFonts w:ascii="Arial" w:hAnsi="Arial" w:cs="Arial"/>
          <w:sz w:val="24"/>
          <w:szCs w:val="24"/>
          <w:lang w:val="en-GB"/>
        </w:rPr>
        <w:t xml:space="preserve"> follows that Regulation 12</w:t>
      </w:r>
      <w:r w:rsidR="00D84BD5">
        <w:rPr>
          <w:rFonts w:ascii="Arial" w:hAnsi="Arial" w:cs="Arial"/>
          <w:sz w:val="24"/>
          <w:szCs w:val="24"/>
          <w:lang w:val="en-GB"/>
        </w:rPr>
        <w:t xml:space="preserve">(2)(c) </w:t>
      </w:r>
      <w:r w:rsidR="002B1A09">
        <w:rPr>
          <w:rFonts w:ascii="Arial" w:hAnsi="Arial" w:cs="Arial"/>
          <w:sz w:val="24"/>
          <w:szCs w:val="24"/>
          <w:lang w:val="en-GB"/>
        </w:rPr>
        <w:t xml:space="preserve">must </w:t>
      </w:r>
      <w:r w:rsidR="00D84BD5">
        <w:rPr>
          <w:rFonts w:ascii="Arial" w:hAnsi="Arial" w:cs="Arial"/>
          <w:sz w:val="24"/>
          <w:szCs w:val="24"/>
          <w:lang w:val="en-GB"/>
        </w:rPr>
        <w:t xml:space="preserve">be </w:t>
      </w:r>
      <w:r w:rsidR="002B1A09">
        <w:rPr>
          <w:rFonts w:ascii="Arial" w:hAnsi="Arial" w:cs="Arial"/>
          <w:sz w:val="24"/>
          <w:szCs w:val="24"/>
          <w:lang w:val="en-GB"/>
        </w:rPr>
        <w:t xml:space="preserve">declared </w:t>
      </w:r>
      <w:r w:rsidR="00D84BD5">
        <w:rPr>
          <w:rFonts w:ascii="Arial" w:hAnsi="Arial" w:cs="Arial"/>
          <w:sz w:val="24"/>
          <w:szCs w:val="24"/>
          <w:lang w:val="en-GB"/>
        </w:rPr>
        <w:t>unconstitutional to the extent that it imposes discriminatory conditions in the</w:t>
      </w:r>
      <w:r w:rsidR="003A64D3">
        <w:rPr>
          <w:rFonts w:ascii="Arial" w:hAnsi="Arial" w:cs="Arial"/>
          <w:sz w:val="24"/>
          <w:szCs w:val="24"/>
          <w:lang w:val="en-GB"/>
        </w:rPr>
        <w:t xml:space="preserve"> </w:t>
      </w:r>
      <w:proofErr w:type="spellStart"/>
      <w:r w:rsidR="003A64D3">
        <w:rPr>
          <w:rFonts w:ascii="Arial" w:hAnsi="Arial" w:cs="Arial"/>
          <w:sz w:val="24"/>
          <w:szCs w:val="24"/>
          <w:lang w:val="en-GB"/>
        </w:rPr>
        <w:t>recordal</w:t>
      </w:r>
      <w:proofErr w:type="spellEnd"/>
      <w:r w:rsidR="00D84BD5">
        <w:rPr>
          <w:rFonts w:ascii="Arial" w:hAnsi="Arial" w:cs="Arial"/>
          <w:sz w:val="24"/>
          <w:szCs w:val="24"/>
          <w:lang w:val="en-GB"/>
        </w:rPr>
        <w:t xml:space="preserve"> of </w:t>
      </w:r>
      <w:r w:rsidR="002B1A09">
        <w:rPr>
          <w:rFonts w:ascii="Arial" w:hAnsi="Arial" w:cs="Arial"/>
          <w:sz w:val="24"/>
          <w:szCs w:val="24"/>
          <w:lang w:val="en-GB"/>
        </w:rPr>
        <w:t>fathers</w:t>
      </w:r>
      <w:r w:rsidR="00D84BD5">
        <w:rPr>
          <w:rFonts w:ascii="Arial" w:hAnsi="Arial" w:cs="Arial"/>
          <w:sz w:val="24"/>
          <w:szCs w:val="24"/>
          <w:lang w:val="en-GB"/>
        </w:rPr>
        <w:t xml:space="preserve"> who </w:t>
      </w:r>
      <w:r w:rsidR="00260B92">
        <w:rPr>
          <w:rFonts w:ascii="Arial" w:hAnsi="Arial" w:cs="Arial"/>
          <w:sz w:val="24"/>
          <w:szCs w:val="24"/>
          <w:lang w:val="en-GB"/>
        </w:rPr>
        <w:t xml:space="preserve">are unmarried and </w:t>
      </w:r>
      <w:r w:rsidR="00260B92">
        <w:rPr>
          <w:rFonts w:ascii="Arial" w:hAnsi="Arial" w:cs="Arial"/>
          <w:sz w:val="24"/>
          <w:szCs w:val="24"/>
          <w:lang w:val="en-GB"/>
        </w:rPr>
        <w:lastRenderedPageBreak/>
        <w:t>who may be</w:t>
      </w:r>
      <w:r w:rsidR="00D84BD5">
        <w:rPr>
          <w:rFonts w:ascii="Arial" w:hAnsi="Arial" w:cs="Arial"/>
          <w:sz w:val="24"/>
          <w:szCs w:val="24"/>
          <w:lang w:val="en-GB"/>
        </w:rPr>
        <w:t xml:space="preserve"> illegal foreigners in the children’s registration of birth</w:t>
      </w:r>
      <w:r w:rsidR="003A64D3">
        <w:rPr>
          <w:rFonts w:ascii="Arial" w:hAnsi="Arial" w:cs="Arial"/>
          <w:sz w:val="24"/>
          <w:szCs w:val="24"/>
          <w:lang w:val="en-GB"/>
        </w:rPr>
        <w:t>s</w:t>
      </w:r>
      <w:r w:rsidR="00260B92">
        <w:rPr>
          <w:rFonts w:ascii="Arial" w:hAnsi="Arial" w:cs="Arial"/>
          <w:sz w:val="24"/>
          <w:szCs w:val="24"/>
          <w:lang w:val="en-GB"/>
        </w:rPr>
        <w:t xml:space="preserve"> or who may not be present in this country</w:t>
      </w:r>
      <w:r w:rsidR="00EB0659">
        <w:rPr>
          <w:rFonts w:ascii="Arial" w:hAnsi="Arial" w:cs="Arial"/>
          <w:sz w:val="24"/>
          <w:szCs w:val="24"/>
          <w:lang w:val="en-GB"/>
        </w:rPr>
        <w:t xml:space="preserve"> or even be willing to come to this country</w:t>
      </w:r>
      <w:r w:rsidR="003A64D3">
        <w:rPr>
          <w:rFonts w:ascii="Arial" w:hAnsi="Arial" w:cs="Arial"/>
          <w:sz w:val="24"/>
          <w:szCs w:val="24"/>
          <w:lang w:val="en-GB"/>
        </w:rPr>
        <w:t>.</w:t>
      </w:r>
      <w:r w:rsidR="00D84BD5">
        <w:rPr>
          <w:rFonts w:ascii="Arial" w:hAnsi="Arial" w:cs="Arial"/>
          <w:sz w:val="24"/>
          <w:szCs w:val="24"/>
          <w:lang w:val="en-GB"/>
        </w:rPr>
        <w:t xml:space="preserve"> </w:t>
      </w:r>
      <w:r w:rsidR="007E3396">
        <w:rPr>
          <w:rFonts w:ascii="Arial" w:hAnsi="Arial" w:cs="Arial"/>
          <w:sz w:val="24"/>
          <w:szCs w:val="24"/>
          <w:lang w:val="en-GB"/>
        </w:rPr>
        <w:t xml:space="preserve"> </w:t>
      </w:r>
    </w:p>
    <w:p w:rsidR="00F360A0" w:rsidRPr="00F360A0" w:rsidRDefault="00F360A0" w:rsidP="0045589B">
      <w:pPr>
        <w:spacing w:before="240" w:line="480" w:lineRule="auto"/>
        <w:jc w:val="both"/>
        <w:rPr>
          <w:rFonts w:ascii="Arial" w:hAnsi="Arial" w:cs="Arial"/>
          <w:i/>
          <w:sz w:val="24"/>
          <w:szCs w:val="24"/>
          <w:lang w:val="en-GB"/>
        </w:rPr>
      </w:pPr>
      <w:r>
        <w:rPr>
          <w:rFonts w:ascii="Arial" w:hAnsi="Arial" w:cs="Arial"/>
          <w:i/>
          <w:sz w:val="24"/>
          <w:szCs w:val="24"/>
          <w:lang w:val="en-GB"/>
        </w:rPr>
        <w:t>The issue of costs.</w:t>
      </w:r>
    </w:p>
    <w:p w:rsidR="003A64D3" w:rsidRDefault="00D2471F" w:rsidP="003A64D3">
      <w:pPr>
        <w:spacing w:line="480" w:lineRule="auto"/>
        <w:jc w:val="both"/>
        <w:rPr>
          <w:rFonts w:ascii="Arial" w:hAnsi="Arial" w:cs="Arial"/>
          <w:sz w:val="24"/>
          <w:szCs w:val="24"/>
          <w:lang w:val="en-GB"/>
        </w:rPr>
      </w:pPr>
      <w:r>
        <w:rPr>
          <w:rFonts w:ascii="Arial" w:hAnsi="Arial" w:cs="Arial"/>
          <w:sz w:val="24"/>
          <w:szCs w:val="24"/>
          <w:lang w:val="en-GB"/>
        </w:rPr>
        <w:t>[3</w:t>
      </w:r>
      <w:r w:rsidR="00B50759">
        <w:rPr>
          <w:rFonts w:ascii="Arial" w:hAnsi="Arial" w:cs="Arial"/>
          <w:sz w:val="24"/>
          <w:szCs w:val="24"/>
          <w:lang w:val="en-GB"/>
        </w:rPr>
        <w:t>5</w:t>
      </w:r>
      <w:r w:rsidR="003A64D3">
        <w:rPr>
          <w:rFonts w:ascii="Arial" w:hAnsi="Arial" w:cs="Arial"/>
          <w:sz w:val="24"/>
          <w:szCs w:val="24"/>
          <w:lang w:val="en-GB"/>
        </w:rPr>
        <w:t xml:space="preserve">] The last issue that I must deal with is the issue of the scale of costs </w:t>
      </w:r>
      <w:r w:rsidR="004A17AA">
        <w:rPr>
          <w:rFonts w:ascii="Arial" w:hAnsi="Arial" w:cs="Arial"/>
          <w:sz w:val="24"/>
          <w:szCs w:val="24"/>
          <w:lang w:val="en-GB"/>
        </w:rPr>
        <w:t xml:space="preserve">that </w:t>
      </w:r>
      <w:r w:rsidR="003A64D3">
        <w:rPr>
          <w:rFonts w:ascii="Arial" w:hAnsi="Arial" w:cs="Arial"/>
          <w:sz w:val="24"/>
          <w:szCs w:val="24"/>
          <w:lang w:val="en-GB"/>
        </w:rPr>
        <w:t>must be awarded to the applicants</w:t>
      </w:r>
      <w:r w:rsidR="004430C6">
        <w:rPr>
          <w:rFonts w:ascii="Arial" w:hAnsi="Arial" w:cs="Arial"/>
          <w:sz w:val="24"/>
          <w:szCs w:val="24"/>
          <w:lang w:val="en-GB"/>
        </w:rPr>
        <w:t xml:space="preserve"> with the respondents having conceded costs on a party and party scale</w:t>
      </w:r>
      <w:r w:rsidR="003A64D3">
        <w:rPr>
          <w:rFonts w:ascii="Arial" w:hAnsi="Arial" w:cs="Arial"/>
          <w:sz w:val="24"/>
          <w:szCs w:val="24"/>
          <w:lang w:val="en-GB"/>
        </w:rPr>
        <w:t xml:space="preserve">.  This is where </w:t>
      </w:r>
      <w:r w:rsidR="00F360A0">
        <w:rPr>
          <w:rFonts w:ascii="Arial" w:hAnsi="Arial" w:cs="Arial"/>
          <w:sz w:val="24"/>
          <w:szCs w:val="24"/>
          <w:lang w:val="en-GB"/>
        </w:rPr>
        <w:t xml:space="preserve">some of </w:t>
      </w:r>
      <w:r w:rsidR="003A64D3">
        <w:rPr>
          <w:rFonts w:ascii="Arial" w:hAnsi="Arial" w:cs="Arial"/>
          <w:sz w:val="24"/>
          <w:szCs w:val="24"/>
          <w:lang w:val="en-GB"/>
        </w:rPr>
        <w:t>the history of this matter becomes even more relevant</w:t>
      </w:r>
      <w:r w:rsidR="00DB398E">
        <w:rPr>
          <w:rFonts w:ascii="Arial" w:hAnsi="Arial" w:cs="Arial"/>
          <w:sz w:val="24"/>
          <w:szCs w:val="24"/>
          <w:lang w:val="en-GB"/>
        </w:rPr>
        <w:t xml:space="preserve"> and at the risk of being repetitio</w:t>
      </w:r>
      <w:r w:rsidR="00751183">
        <w:rPr>
          <w:rFonts w:ascii="Arial" w:hAnsi="Arial" w:cs="Arial"/>
          <w:sz w:val="24"/>
          <w:szCs w:val="24"/>
          <w:lang w:val="en-GB"/>
        </w:rPr>
        <w:t>u</w:t>
      </w:r>
      <w:r w:rsidR="00DB398E">
        <w:rPr>
          <w:rFonts w:ascii="Arial" w:hAnsi="Arial" w:cs="Arial"/>
          <w:sz w:val="24"/>
          <w:szCs w:val="24"/>
          <w:lang w:val="en-GB"/>
        </w:rPr>
        <w:t xml:space="preserve">s, it is worth </w:t>
      </w:r>
      <w:r w:rsidR="00BA009A">
        <w:rPr>
          <w:rFonts w:ascii="Arial" w:hAnsi="Arial" w:cs="Arial"/>
          <w:sz w:val="24"/>
          <w:szCs w:val="24"/>
          <w:lang w:val="en-GB"/>
        </w:rPr>
        <w:t>re-</w:t>
      </w:r>
      <w:r w:rsidR="00751183">
        <w:rPr>
          <w:rFonts w:ascii="Arial" w:hAnsi="Arial" w:cs="Arial"/>
          <w:sz w:val="24"/>
          <w:szCs w:val="24"/>
          <w:lang w:val="en-GB"/>
        </w:rPr>
        <w:t>encapsulating</w:t>
      </w:r>
      <w:r w:rsidR="003A64D3">
        <w:rPr>
          <w:rFonts w:ascii="Arial" w:hAnsi="Arial" w:cs="Arial"/>
          <w:sz w:val="24"/>
          <w:szCs w:val="24"/>
          <w:lang w:val="en-GB"/>
        </w:rPr>
        <w:t xml:space="preserve">.  As pointed out </w:t>
      </w:r>
      <w:r w:rsidR="004A17AA">
        <w:rPr>
          <w:rFonts w:ascii="Arial" w:hAnsi="Arial" w:cs="Arial"/>
          <w:sz w:val="24"/>
          <w:szCs w:val="24"/>
          <w:lang w:val="en-GB"/>
        </w:rPr>
        <w:t>earlier</w:t>
      </w:r>
      <w:r w:rsidR="003A64D3">
        <w:rPr>
          <w:rFonts w:ascii="Arial" w:hAnsi="Arial" w:cs="Arial"/>
          <w:sz w:val="24"/>
          <w:szCs w:val="24"/>
          <w:lang w:val="en-GB"/>
        </w:rPr>
        <w:t xml:space="preserve"> the respondents started by delaying in filing a </w:t>
      </w:r>
      <w:r w:rsidR="00F54E8F">
        <w:rPr>
          <w:rFonts w:ascii="Arial" w:hAnsi="Arial" w:cs="Arial"/>
          <w:sz w:val="24"/>
          <w:szCs w:val="24"/>
          <w:lang w:val="en-GB"/>
        </w:rPr>
        <w:t xml:space="preserve">simple </w:t>
      </w:r>
      <w:r w:rsidR="003A64D3">
        <w:rPr>
          <w:rFonts w:ascii="Arial" w:hAnsi="Arial" w:cs="Arial"/>
          <w:sz w:val="24"/>
          <w:szCs w:val="24"/>
          <w:lang w:val="en-GB"/>
        </w:rPr>
        <w:t>notice to oppose</w:t>
      </w:r>
      <w:r w:rsidR="004A17AA">
        <w:rPr>
          <w:rFonts w:ascii="Arial" w:hAnsi="Arial" w:cs="Arial"/>
          <w:sz w:val="24"/>
          <w:szCs w:val="24"/>
          <w:lang w:val="en-GB"/>
        </w:rPr>
        <w:t>.  They</w:t>
      </w:r>
      <w:r w:rsidR="003A64D3">
        <w:rPr>
          <w:rFonts w:ascii="Arial" w:hAnsi="Arial" w:cs="Arial"/>
          <w:sz w:val="24"/>
          <w:szCs w:val="24"/>
          <w:lang w:val="en-GB"/>
        </w:rPr>
        <w:t xml:space="preserve"> only did so once the matter was enrolled in the unopposed motion court </w:t>
      </w:r>
      <w:r w:rsidR="00DB398E">
        <w:rPr>
          <w:rFonts w:ascii="Arial" w:hAnsi="Arial" w:cs="Arial"/>
          <w:sz w:val="24"/>
          <w:szCs w:val="24"/>
          <w:lang w:val="en-GB"/>
        </w:rPr>
        <w:t xml:space="preserve">roll </w:t>
      </w:r>
      <w:r w:rsidR="003A64D3">
        <w:rPr>
          <w:rFonts w:ascii="Arial" w:hAnsi="Arial" w:cs="Arial"/>
          <w:sz w:val="24"/>
          <w:szCs w:val="24"/>
          <w:lang w:val="en-GB"/>
        </w:rPr>
        <w:t>more than a month later thus necessitating the matter being removed from the roll.  It has not been explained in the answering affidavit why the respondents delayed in filing their notice to oppose</w:t>
      </w:r>
      <w:r w:rsidR="00DB398E">
        <w:rPr>
          <w:rFonts w:ascii="Arial" w:hAnsi="Arial" w:cs="Arial"/>
          <w:sz w:val="24"/>
          <w:szCs w:val="24"/>
          <w:lang w:val="en-GB"/>
        </w:rPr>
        <w:t xml:space="preserve"> within the time frames provided for in the rules</w:t>
      </w:r>
      <w:r w:rsidR="003A64D3">
        <w:rPr>
          <w:rFonts w:ascii="Arial" w:hAnsi="Arial" w:cs="Arial"/>
          <w:sz w:val="24"/>
          <w:szCs w:val="24"/>
          <w:lang w:val="en-GB"/>
        </w:rPr>
        <w:t>.  The answering affidavit itself was filed more than two months after the issuing and service of the papers.  This was also more than a month after the filing of the notice to oppose the application. None of this is explained in the answering.</w:t>
      </w:r>
      <w:r w:rsidR="00DB398E">
        <w:rPr>
          <w:rFonts w:ascii="Arial" w:hAnsi="Arial" w:cs="Arial"/>
          <w:sz w:val="24"/>
          <w:szCs w:val="24"/>
          <w:lang w:val="en-GB"/>
        </w:rPr>
        <w:t xml:space="preserve">  One would have thought that non-compliance with the rules called for an explanation and a condonation application, that being a trite rule of practice.</w:t>
      </w:r>
    </w:p>
    <w:p w:rsidR="003A64D3" w:rsidRDefault="00D2471F" w:rsidP="003A64D3">
      <w:pPr>
        <w:spacing w:line="480" w:lineRule="auto"/>
        <w:jc w:val="both"/>
        <w:rPr>
          <w:rFonts w:ascii="Arial" w:hAnsi="Arial" w:cs="Arial"/>
          <w:sz w:val="24"/>
          <w:szCs w:val="24"/>
          <w:lang w:val="en-GB"/>
        </w:rPr>
      </w:pPr>
      <w:r>
        <w:rPr>
          <w:rFonts w:ascii="Arial" w:hAnsi="Arial" w:cs="Arial"/>
          <w:sz w:val="24"/>
          <w:szCs w:val="24"/>
          <w:lang w:val="en-GB"/>
        </w:rPr>
        <w:t>[3</w:t>
      </w:r>
      <w:r w:rsidR="00B50759">
        <w:rPr>
          <w:rFonts w:ascii="Arial" w:hAnsi="Arial" w:cs="Arial"/>
          <w:sz w:val="24"/>
          <w:szCs w:val="24"/>
          <w:lang w:val="en-GB"/>
        </w:rPr>
        <w:t>6</w:t>
      </w:r>
      <w:r w:rsidR="003A64D3">
        <w:rPr>
          <w:rFonts w:ascii="Arial" w:hAnsi="Arial" w:cs="Arial"/>
          <w:sz w:val="24"/>
          <w:szCs w:val="24"/>
          <w:lang w:val="en-GB"/>
        </w:rPr>
        <w:t xml:space="preserve">] The filing of the answering affidavit happened long after the respondents had already been furnished with the proof of paternity </w:t>
      </w:r>
      <w:r w:rsidR="004A17AA">
        <w:rPr>
          <w:rFonts w:ascii="Arial" w:hAnsi="Arial" w:cs="Arial"/>
          <w:sz w:val="24"/>
          <w:szCs w:val="24"/>
          <w:lang w:val="en-GB"/>
        </w:rPr>
        <w:t xml:space="preserve">of the child </w:t>
      </w:r>
      <w:r w:rsidR="003A64D3">
        <w:rPr>
          <w:rFonts w:ascii="Arial" w:hAnsi="Arial" w:cs="Arial"/>
          <w:sz w:val="24"/>
          <w:szCs w:val="24"/>
          <w:lang w:val="en-GB"/>
        </w:rPr>
        <w:t xml:space="preserve">with the respondents still steadfastly refusing to register the details of the second applicant as the father of the child in their official records.  </w:t>
      </w:r>
      <w:r w:rsidR="004430C6">
        <w:rPr>
          <w:rFonts w:ascii="Arial" w:hAnsi="Arial" w:cs="Arial"/>
          <w:sz w:val="24"/>
          <w:szCs w:val="24"/>
          <w:lang w:val="en-GB"/>
        </w:rPr>
        <w:t xml:space="preserve">This, despite the </w:t>
      </w:r>
      <w:r w:rsidR="00C84F02">
        <w:rPr>
          <w:rFonts w:ascii="Arial" w:hAnsi="Arial" w:cs="Arial"/>
          <w:sz w:val="24"/>
          <w:szCs w:val="24"/>
          <w:lang w:val="en-GB"/>
        </w:rPr>
        <w:t>paternity</w:t>
      </w:r>
      <w:r w:rsidR="004430C6">
        <w:rPr>
          <w:rFonts w:ascii="Arial" w:hAnsi="Arial" w:cs="Arial"/>
          <w:sz w:val="24"/>
          <w:szCs w:val="24"/>
          <w:lang w:val="en-GB"/>
        </w:rPr>
        <w:t xml:space="preserve"> of the child being no longer in issue or uncertain.  </w:t>
      </w:r>
      <w:r w:rsidR="003A64D3">
        <w:rPr>
          <w:rFonts w:ascii="Arial" w:hAnsi="Arial" w:cs="Arial"/>
          <w:sz w:val="24"/>
          <w:szCs w:val="24"/>
          <w:lang w:val="en-GB"/>
        </w:rPr>
        <w:t>There were several visits in August 2021 by the applicants to the Department of Home Affairs in all of which they were turned away unassisted.  It would appear that behind the</w:t>
      </w:r>
      <w:r w:rsidR="00F360A0">
        <w:rPr>
          <w:rFonts w:ascii="Arial" w:hAnsi="Arial" w:cs="Arial"/>
          <w:sz w:val="24"/>
          <w:szCs w:val="24"/>
          <w:lang w:val="en-GB"/>
        </w:rPr>
        <w:t xml:space="preserve"> respondents’</w:t>
      </w:r>
      <w:r w:rsidR="003A64D3">
        <w:rPr>
          <w:rFonts w:ascii="Arial" w:hAnsi="Arial" w:cs="Arial"/>
          <w:sz w:val="24"/>
          <w:szCs w:val="24"/>
          <w:lang w:val="en-GB"/>
        </w:rPr>
        <w:t xml:space="preserve"> refusal was the</w:t>
      </w:r>
      <w:r w:rsidR="00D8637C">
        <w:rPr>
          <w:rFonts w:ascii="Arial" w:hAnsi="Arial" w:cs="Arial"/>
          <w:sz w:val="24"/>
          <w:szCs w:val="24"/>
          <w:lang w:val="en-GB"/>
        </w:rPr>
        <w:t>ir</w:t>
      </w:r>
      <w:r w:rsidR="003A64D3">
        <w:rPr>
          <w:rFonts w:ascii="Arial" w:hAnsi="Arial" w:cs="Arial"/>
          <w:sz w:val="24"/>
          <w:szCs w:val="24"/>
          <w:lang w:val="en-GB"/>
        </w:rPr>
        <w:t xml:space="preserve"> determination to insist on a co</w:t>
      </w:r>
      <w:r w:rsidR="00D8637C">
        <w:rPr>
          <w:rFonts w:ascii="Arial" w:hAnsi="Arial" w:cs="Arial"/>
          <w:sz w:val="24"/>
          <w:szCs w:val="24"/>
          <w:lang w:val="en-GB"/>
        </w:rPr>
        <w:t xml:space="preserve">urt </w:t>
      </w:r>
      <w:r w:rsidR="00D8637C">
        <w:rPr>
          <w:rFonts w:ascii="Arial" w:hAnsi="Arial" w:cs="Arial"/>
          <w:sz w:val="24"/>
          <w:szCs w:val="24"/>
          <w:lang w:val="en-GB"/>
        </w:rPr>
        <w:lastRenderedPageBreak/>
        <w:t>order whose obtaining in th</w:t>
      </w:r>
      <w:r w:rsidR="003A64D3">
        <w:rPr>
          <w:rFonts w:ascii="Arial" w:hAnsi="Arial" w:cs="Arial"/>
          <w:sz w:val="24"/>
          <w:szCs w:val="24"/>
          <w:lang w:val="en-GB"/>
        </w:rPr>
        <w:t>i</w:t>
      </w:r>
      <w:r w:rsidR="00D8637C">
        <w:rPr>
          <w:rFonts w:ascii="Arial" w:hAnsi="Arial" w:cs="Arial"/>
          <w:sz w:val="24"/>
          <w:szCs w:val="24"/>
          <w:lang w:val="en-GB"/>
        </w:rPr>
        <w:t>s</w:t>
      </w:r>
      <w:r w:rsidR="003A64D3">
        <w:rPr>
          <w:rFonts w:ascii="Arial" w:hAnsi="Arial" w:cs="Arial"/>
          <w:sz w:val="24"/>
          <w:szCs w:val="24"/>
          <w:lang w:val="en-GB"/>
        </w:rPr>
        <w:t xml:space="preserve"> application they </w:t>
      </w:r>
      <w:r w:rsidR="00BA009A">
        <w:rPr>
          <w:rFonts w:ascii="Arial" w:hAnsi="Arial" w:cs="Arial"/>
          <w:sz w:val="24"/>
          <w:szCs w:val="24"/>
          <w:lang w:val="en-GB"/>
        </w:rPr>
        <w:t xml:space="preserve">eventually </w:t>
      </w:r>
      <w:r w:rsidR="003A64D3">
        <w:rPr>
          <w:rFonts w:ascii="Arial" w:hAnsi="Arial" w:cs="Arial"/>
          <w:sz w:val="24"/>
          <w:szCs w:val="24"/>
          <w:lang w:val="en-GB"/>
        </w:rPr>
        <w:t xml:space="preserve">opposed.  It is not clear why there was even this misguided insistence on a court order in circumstances in which the respondents knew that they were against it being obtained.  This </w:t>
      </w:r>
      <w:r w:rsidR="00F54E8F">
        <w:rPr>
          <w:rFonts w:ascii="Arial" w:hAnsi="Arial" w:cs="Arial"/>
          <w:sz w:val="24"/>
          <w:szCs w:val="24"/>
          <w:lang w:val="en-GB"/>
        </w:rPr>
        <w:t>wa</w:t>
      </w:r>
      <w:r w:rsidR="003A64D3">
        <w:rPr>
          <w:rFonts w:ascii="Arial" w:hAnsi="Arial" w:cs="Arial"/>
          <w:sz w:val="24"/>
          <w:szCs w:val="24"/>
          <w:lang w:val="en-GB"/>
        </w:rPr>
        <w:t xml:space="preserve">s </w:t>
      </w:r>
      <w:r w:rsidR="001457C3">
        <w:rPr>
          <w:rFonts w:ascii="Arial" w:hAnsi="Arial" w:cs="Arial"/>
          <w:sz w:val="24"/>
          <w:szCs w:val="24"/>
          <w:lang w:val="en-GB"/>
        </w:rPr>
        <w:t xml:space="preserve">clearly </w:t>
      </w:r>
      <w:r w:rsidR="00F54E8F">
        <w:rPr>
          <w:rFonts w:ascii="Arial" w:hAnsi="Arial" w:cs="Arial"/>
          <w:sz w:val="24"/>
          <w:szCs w:val="24"/>
          <w:lang w:val="en-GB"/>
        </w:rPr>
        <w:t xml:space="preserve">a misapplication of </w:t>
      </w:r>
      <w:r w:rsidR="00F73FC3">
        <w:rPr>
          <w:rFonts w:ascii="Arial" w:hAnsi="Arial" w:cs="Arial"/>
          <w:sz w:val="24"/>
          <w:szCs w:val="24"/>
          <w:lang w:val="en-GB"/>
        </w:rPr>
        <w:t>section</w:t>
      </w:r>
      <w:r w:rsidR="001457C3">
        <w:rPr>
          <w:rFonts w:ascii="Arial" w:hAnsi="Arial" w:cs="Arial"/>
          <w:sz w:val="24"/>
          <w:szCs w:val="24"/>
          <w:lang w:val="en-GB"/>
        </w:rPr>
        <w:t xml:space="preserve"> 1</w:t>
      </w:r>
      <w:r w:rsidR="00E930C3">
        <w:rPr>
          <w:rFonts w:ascii="Arial" w:hAnsi="Arial" w:cs="Arial"/>
          <w:sz w:val="24"/>
          <w:szCs w:val="24"/>
          <w:lang w:val="en-GB"/>
        </w:rPr>
        <w:t>1</w:t>
      </w:r>
      <w:r w:rsidR="001457C3">
        <w:rPr>
          <w:rFonts w:ascii="Arial" w:hAnsi="Arial" w:cs="Arial"/>
          <w:sz w:val="24"/>
          <w:szCs w:val="24"/>
          <w:lang w:val="en-GB"/>
        </w:rPr>
        <w:t>(5)</w:t>
      </w:r>
      <w:r w:rsidR="003A64D3">
        <w:rPr>
          <w:rFonts w:ascii="Arial" w:hAnsi="Arial" w:cs="Arial"/>
          <w:sz w:val="24"/>
          <w:szCs w:val="24"/>
          <w:lang w:val="en-GB"/>
        </w:rPr>
        <w:t xml:space="preserve"> </w:t>
      </w:r>
      <w:r w:rsidR="00F54E8F">
        <w:rPr>
          <w:rFonts w:ascii="Arial" w:hAnsi="Arial" w:cs="Arial"/>
          <w:sz w:val="24"/>
          <w:szCs w:val="24"/>
          <w:lang w:val="en-GB"/>
        </w:rPr>
        <w:t>which makes reference</w:t>
      </w:r>
      <w:r w:rsidR="003A64D3">
        <w:rPr>
          <w:rFonts w:ascii="Arial" w:hAnsi="Arial" w:cs="Arial"/>
          <w:sz w:val="24"/>
          <w:szCs w:val="24"/>
          <w:lang w:val="en-GB"/>
        </w:rPr>
        <w:t xml:space="preserve"> to a court order</w:t>
      </w:r>
      <w:r w:rsidR="001457C3">
        <w:rPr>
          <w:rFonts w:ascii="Arial" w:hAnsi="Arial" w:cs="Arial"/>
          <w:sz w:val="24"/>
          <w:szCs w:val="24"/>
          <w:lang w:val="en-GB"/>
        </w:rPr>
        <w:t>.  This</w:t>
      </w:r>
      <w:r w:rsidR="00500DFF">
        <w:rPr>
          <w:rFonts w:ascii="Arial" w:hAnsi="Arial" w:cs="Arial"/>
          <w:sz w:val="24"/>
          <w:szCs w:val="24"/>
          <w:lang w:val="en-GB"/>
        </w:rPr>
        <w:t xml:space="preserve">, however, </w:t>
      </w:r>
      <w:r w:rsidR="001457C3">
        <w:rPr>
          <w:rFonts w:ascii="Arial" w:hAnsi="Arial" w:cs="Arial"/>
          <w:sz w:val="24"/>
          <w:szCs w:val="24"/>
          <w:lang w:val="en-GB"/>
        </w:rPr>
        <w:t xml:space="preserve">is </w:t>
      </w:r>
      <w:r w:rsidR="003A64D3">
        <w:rPr>
          <w:rFonts w:ascii="Arial" w:hAnsi="Arial" w:cs="Arial"/>
          <w:sz w:val="24"/>
          <w:szCs w:val="24"/>
          <w:lang w:val="en-GB"/>
        </w:rPr>
        <w:t>only in circumstances where the mother of the child did not consent to the details of the father being entered.  In this case the insistence on a court order being required is confusing, after proof of paternity having been furnished to them</w:t>
      </w:r>
      <w:r w:rsidR="00F360A0">
        <w:rPr>
          <w:rFonts w:ascii="Arial" w:hAnsi="Arial" w:cs="Arial"/>
          <w:sz w:val="24"/>
          <w:szCs w:val="24"/>
          <w:lang w:val="en-GB"/>
        </w:rPr>
        <w:t xml:space="preserve"> and the mother consenting</w:t>
      </w:r>
      <w:r w:rsidR="003A64D3">
        <w:rPr>
          <w:rFonts w:ascii="Arial" w:hAnsi="Arial" w:cs="Arial"/>
          <w:sz w:val="24"/>
          <w:szCs w:val="24"/>
          <w:lang w:val="en-GB"/>
        </w:rPr>
        <w:t>, they had no other reason for their refusal to make the entries.  If they did have a legally justifiable reason for the refusal</w:t>
      </w:r>
      <w:r w:rsidR="00F360A0">
        <w:rPr>
          <w:rFonts w:ascii="Arial" w:hAnsi="Arial" w:cs="Arial"/>
          <w:sz w:val="24"/>
          <w:szCs w:val="24"/>
          <w:lang w:val="en-GB"/>
        </w:rPr>
        <w:t>,</w:t>
      </w:r>
      <w:r w:rsidR="003A64D3">
        <w:rPr>
          <w:rFonts w:ascii="Arial" w:hAnsi="Arial" w:cs="Arial"/>
          <w:sz w:val="24"/>
          <w:szCs w:val="24"/>
          <w:lang w:val="en-GB"/>
        </w:rPr>
        <w:t xml:space="preserve"> they would not have conceded to the granting of the relief as they did on the eleventh hour</w:t>
      </w:r>
      <w:r w:rsidR="00F360A0">
        <w:rPr>
          <w:rFonts w:ascii="Arial" w:hAnsi="Arial" w:cs="Arial"/>
          <w:sz w:val="24"/>
          <w:szCs w:val="24"/>
          <w:lang w:val="en-GB"/>
        </w:rPr>
        <w:t>.  This is</w:t>
      </w:r>
      <w:r w:rsidR="003A64D3">
        <w:rPr>
          <w:rFonts w:ascii="Arial" w:hAnsi="Arial" w:cs="Arial"/>
          <w:sz w:val="24"/>
          <w:szCs w:val="24"/>
          <w:lang w:val="en-GB"/>
        </w:rPr>
        <w:t xml:space="preserve"> especially </w:t>
      </w:r>
      <w:r w:rsidR="00D9039D">
        <w:rPr>
          <w:rFonts w:ascii="Arial" w:hAnsi="Arial" w:cs="Arial"/>
          <w:sz w:val="24"/>
          <w:szCs w:val="24"/>
          <w:lang w:val="en-GB"/>
        </w:rPr>
        <w:t xml:space="preserve">so </w:t>
      </w:r>
      <w:r w:rsidR="003A64D3">
        <w:rPr>
          <w:rFonts w:ascii="Arial" w:hAnsi="Arial" w:cs="Arial"/>
          <w:sz w:val="24"/>
          <w:szCs w:val="24"/>
          <w:lang w:val="en-GB"/>
        </w:rPr>
        <w:t xml:space="preserve">if they believed that the illegal presence of the second applicant in the country constituted a </w:t>
      </w:r>
      <w:r w:rsidR="00A82E2F">
        <w:rPr>
          <w:rFonts w:ascii="Arial" w:hAnsi="Arial" w:cs="Arial"/>
          <w:sz w:val="24"/>
          <w:szCs w:val="24"/>
          <w:lang w:val="en-GB"/>
        </w:rPr>
        <w:t>bar to</w:t>
      </w:r>
      <w:r w:rsidR="003A64D3">
        <w:rPr>
          <w:rFonts w:ascii="Arial" w:hAnsi="Arial" w:cs="Arial"/>
          <w:sz w:val="24"/>
          <w:szCs w:val="24"/>
          <w:lang w:val="en-GB"/>
        </w:rPr>
        <w:t xml:space="preserve"> the </w:t>
      </w:r>
      <w:r w:rsidR="00B85485">
        <w:rPr>
          <w:rFonts w:ascii="Arial" w:hAnsi="Arial" w:cs="Arial"/>
          <w:sz w:val="24"/>
          <w:szCs w:val="24"/>
          <w:lang w:val="en-GB"/>
        </w:rPr>
        <w:t>entering of the details</w:t>
      </w:r>
      <w:r w:rsidR="003A64D3">
        <w:rPr>
          <w:rFonts w:ascii="Arial" w:hAnsi="Arial" w:cs="Arial"/>
          <w:sz w:val="24"/>
          <w:szCs w:val="24"/>
          <w:lang w:val="en-GB"/>
        </w:rPr>
        <w:t xml:space="preserve"> of the second applicant as the father of the minor child </w:t>
      </w:r>
      <w:r w:rsidR="00A82E2F">
        <w:rPr>
          <w:rFonts w:ascii="Arial" w:hAnsi="Arial" w:cs="Arial"/>
          <w:sz w:val="24"/>
          <w:szCs w:val="24"/>
          <w:lang w:val="en-GB"/>
        </w:rPr>
        <w:t>being made in their records</w:t>
      </w:r>
      <w:r w:rsidR="003A64D3">
        <w:rPr>
          <w:rFonts w:ascii="Arial" w:hAnsi="Arial" w:cs="Arial"/>
          <w:sz w:val="24"/>
          <w:szCs w:val="24"/>
          <w:lang w:val="en-GB"/>
        </w:rPr>
        <w:t xml:space="preserve">. </w:t>
      </w:r>
    </w:p>
    <w:p w:rsidR="00500DFF" w:rsidRDefault="00D2471F" w:rsidP="003A64D3">
      <w:pPr>
        <w:spacing w:line="480" w:lineRule="auto"/>
        <w:jc w:val="both"/>
        <w:rPr>
          <w:rFonts w:ascii="Arial" w:hAnsi="Arial" w:cs="Arial"/>
          <w:sz w:val="24"/>
          <w:szCs w:val="24"/>
          <w:lang w:val="en-GB"/>
        </w:rPr>
      </w:pPr>
      <w:r>
        <w:rPr>
          <w:rFonts w:ascii="Arial" w:hAnsi="Arial" w:cs="Arial"/>
          <w:sz w:val="24"/>
          <w:szCs w:val="24"/>
          <w:lang w:val="en-GB"/>
        </w:rPr>
        <w:t>[3</w:t>
      </w:r>
      <w:r w:rsidR="00B50759">
        <w:rPr>
          <w:rFonts w:ascii="Arial" w:hAnsi="Arial" w:cs="Arial"/>
          <w:sz w:val="24"/>
          <w:szCs w:val="24"/>
          <w:lang w:val="en-GB"/>
        </w:rPr>
        <w:t>7</w:t>
      </w:r>
      <w:r w:rsidR="003A64D3">
        <w:rPr>
          <w:rFonts w:ascii="Arial" w:hAnsi="Arial" w:cs="Arial"/>
          <w:sz w:val="24"/>
          <w:szCs w:val="24"/>
          <w:lang w:val="en-GB"/>
        </w:rPr>
        <w:t xml:space="preserve">] </w:t>
      </w:r>
      <w:r w:rsidR="00B85485">
        <w:rPr>
          <w:rFonts w:ascii="Arial" w:hAnsi="Arial" w:cs="Arial"/>
          <w:sz w:val="24"/>
          <w:szCs w:val="24"/>
          <w:lang w:val="en-GB"/>
        </w:rPr>
        <w:t>It must be emphasized that t</w:t>
      </w:r>
      <w:r w:rsidR="003A64D3">
        <w:rPr>
          <w:rFonts w:ascii="Arial" w:hAnsi="Arial" w:cs="Arial"/>
          <w:sz w:val="24"/>
          <w:szCs w:val="24"/>
          <w:lang w:val="en-GB"/>
        </w:rPr>
        <w:t>he first respondent is responsible for the Births and Deaths Registration Act and the Regulations.  The respondents should, therefore, know what they themselves require and should be able to give proper guidance to the people that need it for a seamless issuing of documents</w:t>
      </w:r>
      <w:r w:rsidR="00A82E2F">
        <w:rPr>
          <w:rFonts w:ascii="Arial" w:hAnsi="Arial" w:cs="Arial"/>
          <w:sz w:val="24"/>
          <w:szCs w:val="24"/>
          <w:lang w:val="en-GB"/>
        </w:rPr>
        <w:t xml:space="preserve"> in deserving cases</w:t>
      </w:r>
      <w:r w:rsidR="003A64D3">
        <w:rPr>
          <w:rFonts w:ascii="Arial" w:hAnsi="Arial" w:cs="Arial"/>
          <w:sz w:val="24"/>
          <w:szCs w:val="24"/>
          <w:lang w:val="en-GB"/>
        </w:rPr>
        <w:t xml:space="preserve">.  </w:t>
      </w:r>
      <w:r w:rsidR="00500DFF">
        <w:rPr>
          <w:rFonts w:ascii="Arial" w:hAnsi="Arial" w:cs="Arial"/>
          <w:sz w:val="24"/>
          <w:szCs w:val="24"/>
          <w:lang w:val="en-GB"/>
        </w:rPr>
        <w:t xml:space="preserve">This would alleviate to some extent, the notoriously long queues that the Department of Home Affairs is known for.  </w:t>
      </w:r>
      <w:r w:rsidR="003A64D3">
        <w:rPr>
          <w:rFonts w:ascii="Arial" w:hAnsi="Arial" w:cs="Arial"/>
          <w:sz w:val="24"/>
          <w:szCs w:val="24"/>
          <w:lang w:val="en-GB"/>
        </w:rPr>
        <w:t xml:space="preserve">For them to force people such as the applicants to approach court only to then admit that they were wrong from the onset in refusing to enter the second applicant as the child’s father </w:t>
      </w:r>
      <w:r w:rsidR="00A82E2F">
        <w:rPr>
          <w:rFonts w:ascii="Arial" w:hAnsi="Arial" w:cs="Arial"/>
          <w:sz w:val="24"/>
          <w:szCs w:val="24"/>
          <w:lang w:val="en-GB"/>
        </w:rPr>
        <w:t>is troubling.  The concession made in court during the hearing on</w:t>
      </w:r>
      <w:r w:rsidR="003A64D3">
        <w:rPr>
          <w:rFonts w:ascii="Arial" w:hAnsi="Arial" w:cs="Arial"/>
          <w:sz w:val="24"/>
          <w:szCs w:val="24"/>
          <w:lang w:val="en-GB"/>
        </w:rPr>
        <w:t xml:space="preserve"> what they should have always known all along is </w:t>
      </w:r>
      <w:r w:rsidR="00D9039D">
        <w:rPr>
          <w:rFonts w:ascii="Arial" w:hAnsi="Arial" w:cs="Arial"/>
          <w:sz w:val="24"/>
          <w:szCs w:val="24"/>
          <w:lang w:val="en-GB"/>
        </w:rPr>
        <w:t xml:space="preserve">also </w:t>
      </w:r>
      <w:r w:rsidR="003A64D3">
        <w:rPr>
          <w:rFonts w:ascii="Arial" w:hAnsi="Arial" w:cs="Arial"/>
          <w:sz w:val="24"/>
          <w:szCs w:val="24"/>
          <w:lang w:val="en-GB"/>
        </w:rPr>
        <w:t>something that deserves an appropriate opprobrium from th</w:t>
      </w:r>
      <w:r w:rsidR="00A82E2F">
        <w:rPr>
          <w:rFonts w:ascii="Arial" w:hAnsi="Arial" w:cs="Arial"/>
          <w:sz w:val="24"/>
          <w:szCs w:val="24"/>
          <w:lang w:val="en-GB"/>
        </w:rPr>
        <w:t>is</w:t>
      </w:r>
      <w:r w:rsidR="003A64D3">
        <w:rPr>
          <w:rFonts w:ascii="Arial" w:hAnsi="Arial" w:cs="Arial"/>
          <w:sz w:val="24"/>
          <w:szCs w:val="24"/>
          <w:lang w:val="en-GB"/>
        </w:rPr>
        <w:t xml:space="preserve"> </w:t>
      </w:r>
      <w:r w:rsidR="00A82E2F">
        <w:rPr>
          <w:rFonts w:ascii="Arial" w:hAnsi="Arial" w:cs="Arial"/>
          <w:sz w:val="24"/>
          <w:szCs w:val="24"/>
          <w:lang w:val="en-GB"/>
        </w:rPr>
        <w:t>C</w:t>
      </w:r>
      <w:r w:rsidR="003A64D3">
        <w:rPr>
          <w:rFonts w:ascii="Arial" w:hAnsi="Arial" w:cs="Arial"/>
          <w:sz w:val="24"/>
          <w:szCs w:val="24"/>
          <w:lang w:val="en-GB"/>
        </w:rPr>
        <w:t xml:space="preserve">ourt by way of </w:t>
      </w:r>
      <w:r w:rsidR="00500DFF">
        <w:rPr>
          <w:rFonts w:ascii="Arial" w:hAnsi="Arial" w:cs="Arial"/>
          <w:sz w:val="24"/>
          <w:szCs w:val="24"/>
          <w:lang w:val="en-GB"/>
        </w:rPr>
        <w:t>an appropriate</w:t>
      </w:r>
      <w:r w:rsidR="003A64D3">
        <w:rPr>
          <w:rFonts w:ascii="Arial" w:hAnsi="Arial" w:cs="Arial"/>
          <w:sz w:val="24"/>
          <w:szCs w:val="24"/>
          <w:lang w:val="en-GB"/>
        </w:rPr>
        <w:t xml:space="preserve"> costs order</w:t>
      </w:r>
      <w:r w:rsidR="001457C3">
        <w:rPr>
          <w:rFonts w:ascii="Arial" w:hAnsi="Arial" w:cs="Arial"/>
          <w:sz w:val="24"/>
          <w:szCs w:val="24"/>
          <w:lang w:val="en-GB"/>
        </w:rPr>
        <w:t>.</w:t>
      </w:r>
    </w:p>
    <w:p w:rsidR="00B50759" w:rsidRDefault="00B50759" w:rsidP="003A64D3">
      <w:pPr>
        <w:spacing w:line="480" w:lineRule="auto"/>
        <w:jc w:val="both"/>
        <w:rPr>
          <w:rFonts w:ascii="Arial" w:hAnsi="Arial" w:cs="Arial"/>
          <w:i/>
          <w:sz w:val="24"/>
          <w:szCs w:val="24"/>
          <w:lang w:val="en-GB"/>
        </w:rPr>
      </w:pPr>
    </w:p>
    <w:p w:rsidR="00500DFF" w:rsidRPr="00500DFF" w:rsidRDefault="00500DFF" w:rsidP="003A64D3">
      <w:pPr>
        <w:spacing w:line="480" w:lineRule="auto"/>
        <w:jc w:val="both"/>
        <w:rPr>
          <w:rFonts w:ascii="Arial" w:hAnsi="Arial" w:cs="Arial"/>
          <w:i/>
          <w:sz w:val="24"/>
          <w:szCs w:val="24"/>
          <w:lang w:val="en-GB"/>
        </w:rPr>
      </w:pPr>
      <w:r>
        <w:rPr>
          <w:rFonts w:ascii="Arial" w:hAnsi="Arial" w:cs="Arial"/>
          <w:i/>
          <w:sz w:val="24"/>
          <w:szCs w:val="24"/>
          <w:lang w:val="en-GB"/>
        </w:rPr>
        <w:lastRenderedPageBreak/>
        <w:t>The results.</w:t>
      </w:r>
    </w:p>
    <w:p w:rsidR="001457C3" w:rsidRDefault="001457C3" w:rsidP="003A64D3">
      <w:pPr>
        <w:spacing w:line="480" w:lineRule="auto"/>
        <w:jc w:val="both"/>
        <w:rPr>
          <w:rFonts w:ascii="Arial" w:hAnsi="Arial" w:cs="Arial"/>
          <w:sz w:val="24"/>
          <w:szCs w:val="24"/>
          <w:lang w:val="en-GB"/>
        </w:rPr>
      </w:pPr>
      <w:r>
        <w:rPr>
          <w:rFonts w:ascii="Arial" w:hAnsi="Arial" w:cs="Arial"/>
          <w:sz w:val="24"/>
          <w:szCs w:val="24"/>
          <w:lang w:val="en-GB"/>
        </w:rPr>
        <w:t>[3</w:t>
      </w:r>
      <w:r w:rsidR="00B50759">
        <w:rPr>
          <w:rFonts w:ascii="Arial" w:hAnsi="Arial" w:cs="Arial"/>
          <w:sz w:val="24"/>
          <w:szCs w:val="24"/>
          <w:lang w:val="en-GB"/>
        </w:rPr>
        <w:t>8</w:t>
      </w:r>
      <w:r>
        <w:rPr>
          <w:rFonts w:ascii="Arial" w:hAnsi="Arial" w:cs="Arial"/>
          <w:sz w:val="24"/>
          <w:szCs w:val="24"/>
          <w:lang w:val="en-GB"/>
        </w:rPr>
        <w:t>] In the result the following order shall issue:</w:t>
      </w:r>
    </w:p>
    <w:p w:rsidR="001457C3" w:rsidRDefault="001457C3" w:rsidP="00A46C6A">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1. </w:t>
      </w:r>
      <w:r w:rsidR="00A46C6A">
        <w:rPr>
          <w:rFonts w:ascii="Arial" w:hAnsi="Arial" w:cs="Arial"/>
          <w:sz w:val="24"/>
          <w:szCs w:val="24"/>
          <w:lang w:val="en-GB"/>
        </w:rPr>
        <w:t>It is declared that Regulation 12(2)(c) of the Births and Deaths Registrations Act, 2014 is unconstitutional and therefore invalid in so far as the child’s unmarried father may not be in South Africa or may not be in South Africa legally.</w:t>
      </w:r>
    </w:p>
    <w:p w:rsidR="00652771" w:rsidRPr="00AB73CD" w:rsidRDefault="001457C3" w:rsidP="00A46C6A">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2. </w:t>
      </w:r>
      <w:r w:rsidR="00A46C6A">
        <w:rPr>
          <w:rFonts w:ascii="Arial" w:hAnsi="Arial" w:cs="Arial"/>
          <w:sz w:val="24"/>
          <w:szCs w:val="24"/>
          <w:lang w:val="en-GB"/>
        </w:rPr>
        <w:t>The respondents are ordered to pay costs of this application on a scale as between attorney and client</w:t>
      </w:r>
      <w:r w:rsidR="00500DFF">
        <w:rPr>
          <w:rFonts w:ascii="Arial" w:hAnsi="Arial" w:cs="Arial"/>
          <w:sz w:val="24"/>
          <w:szCs w:val="24"/>
          <w:lang w:val="en-GB"/>
        </w:rPr>
        <w:t xml:space="preserve"> including the costs occasioned by the employment of two counsel</w:t>
      </w:r>
      <w:r w:rsidR="00A46C6A">
        <w:rPr>
          <w:rFonts w:ascii="Arial" w:hAnsi="Arial" w:cs="Arial"/>
          <w:sz w:val="24"/>
          <w:szCs w:val="24"/>
          <w:lang w:val="en-GB"/>
        </w:rPr>
        <w:t>.</w:t>
      </w:r>
      <w:r w:rsidR="00652771" w:rsidRPr="00AB73CD">
        <w:rPr>
          <w:rFonts w:ascii="Arial" w:hAnsi="Arial" w:cs="Arial"/>
          <w:sz w:val="24"/>
          <w:szCs w:val="24"/>
          <w:lang w:val="en-GB"/>
        </w:rPr>
        <w:t xml:space="preserve"> </w:t>
      </w:r>
    </w:p>
    <w:p w:rsidR="00927E79" w:rsidRDefault="00927E79" w:rsidP="00927E79">
      <w:pPr>
        <w:spacing w:line="480" w:lineRule="auto"/>
        <w:jc w:val="both"/>
        <w:rPr>
          <w:rFonts w:ascii="Arial" w:hAnsi="Arial" w:cs="Arial"/>
          <w:sz w:val="24"/>
          <w:szCs w:val="24"/>
          <w:lang w:val="en-GB"/>
        </w:rPr>
      </w:pPr>
    </w:p>
    <w:p w:rsidR="00927E79" w:rsidRDefault="00927E79" w:rsidP="00927E79">
      <w:pPr>
        <w:spacing w:line="480" w:lineRule="auto"/>
        <w:jc w:val="both"/>
        <w:rPr>
          <w:rFonts w:ascii="Arial" w:hAnsi="Arial" w:cs="Arial"/>
          <w:b/>
          <w:sz w:val="24"/>
          <w:szCs w:val="24"/>
          <w:lang w:val="en-GB"/>
        </w:rPr>
      </w:pPr>
      <w:r>
        <w:rPr>
          <w:rFonts w:ascii="Arial" w:hAnsi="Arial" w:cs="Arial"/>
          <w:b/>
          <w:sz w:val="24"/>
          <w:szCs w:val="24"/>
          <w:lang w:val="en-GB"/>
        </w:rPr>
        <w:t>________________________</w:t>
      </w:r>
    </w:p>
    <w:p w:rsidR="00927E79" w:rsidRDefault="00927E79" w:rsidP="00927E79">
      <w:pPr>
        <w:spacing w:line="480" w:lineRule="auto"/>
        <w:jc w:val="both"/>
        <w:rPr>
          <w:rFonts w:ascii="Arial" w:hAnsi="Arial" w:cs="Arial"/>
          <w:b/>
          <w:sz w:val="24"/>
          <w:szCs w:val="24"/>
          <w:lang w:val="en-GB"/>
        </w:rPr>
      </w:pPr>
      <w:r>
        <w:rPr>
          <w:rFonts w:ascii="Arial" w:hAnsi="Arial" w:cs="Arial"/>
          <w:b/>
          <w:sz w:val="24"/>
          <w:szCs w:val="24"/>
          <w:lang w:val="en-GB"/>
        </w:rPr>
        <w:t xml:space="preserve">M.S. JOLWANA </w:t>
      </w:r>
    </w:p>
    <w:p w:rsidR="00927E79" w:rsidRDefault="00927E79" w:rsidP="00927E79">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rsid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Appearances:</w:t>
      </w:r>
    </w:p>
    <w:p w:rsid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Counsel for the Applicants</w:t>
      </w:r>
      <w:r>
        <w:rPr>
          <w:rFonts w:ascii="Arial" w:hAnsi="Arial" w:cs="Arial"/>
          <w:sz w:val="24"/>
          <w:szCs w:val="24"/>
          <w:lang w:val="en-GB"/>
        </w:rPr>
        <w:tab/>
        <w:t>: E. CROUSE SC WITH A.N. MASIZA</w:t>
      </w:r>
    </w:p>
    <w:p w:rsid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 xml:space="preserve">Instructed by </w:t>
      </w:r>
      <w:r>
        <w:rPr>
          <w:rFonts w:ascii="Arial" w:hAnsi="Arial" w:cs="Arial"/>
          <w:sz w:val="24"/>
          <w:szCs w:val="24"/>
          <w:lang w:val="en-GB"/>
        </w:rPr>
        <w:tab/>
      </w:r>
      <w:r>
        <w:rPr>
          <w:rFonts w:ascii="Arial" w:hAnsi="Arial" w:cs="Arial"/>
          <w:sz w:val="24"/>
          <w:szCs w:val="24"/>
          <w:lang w:val="en-GB"/>
        </w:rPr>
        <w:tab/>
        <w:t>: ANNALI ERASMUS INC.</w:t>
      </w:r>
    </w:p>
    <w:p w:rsidR="001320ED" w:rsidRDefault="00F54E8F" w:rsidP="00F54E8F">
      <w:pPr>
        <w:spacing w:line="480" w:lineRule="auto"/>
        <w:ind w:left="2160" w:firstLine="720"/>
        <w:jc w:val="both"/>
        <w:rPr>
          <w:rFonts w:ascii="Arial" w:hAnsi="Arial" w:cs="Arial"/>
          <w:sz w:val="24"/>
          <w:szCs w:val="24"/>
          <w:lang w:val="en-GB"/>
        </w:rPr>
      </w:pPr>
      <w:r>
        <w:rPr>
          <w:rFonts w:ascii="Arial" w:hAnsi="Arial" w:cs="Arial"/>
          <w:sz w:val="24"/>
          <w:szCs w:val="24"/>
          <w:lang w:val="en-GB"/>
        </w:rPr>
        <w:t xml:space="preserve">  </w:t>
      </w:r>
      <w:r w:rsidR="001320ED">
        <w:rPr>
          <w:rFonts w:ascii="Arial" w:hAnsi="Arial" w:cs="Arial"/>
          <w:sz w:val="24"/>
          <w:szCs w:val="24"/>
          <w:lang w:val="en-GB"/>
        </w:rPr>
        <w:t>GQEBERHA</w:t>
      </w:r>
    </w:p>
    <w:p w:rsid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Counsel for the Respondent: S. J. CUBUNGU</w:t>
      </w:r>
    </w:p>
    <w:p w:rsid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STATE ATTORNEY</w:t>
      </w:r>
    </w:p>
    <w:p w:rsidR="001320ED" w:rsidRDefault="00F54E8F" w:rsidP="00F54E8F">
      <w:pPr>
        <w:spacing w:line="480" w:lineRule="auto"/>
        <w:ind w:left="2880"/>
        <w:jc w:val="both"/>
        <w:rPr>
          <w:rFonts w:ascii="Arial" w:hAnsi="Arial" w:cs="Arial"/>
          <w:sz w:val="24"/>
          <w:szCs w:val="24"/>
          <w:lang w:val="en-GB"/>
        </w:rPr>
      </w:pPr>
      <w:r>
        <w:rPr>
          <w:rFonts w:ascii="Arial" w:hAnsi="Arial" w:cs="Arial"/>
          <w:sz w:val="24"/>
          <w:szCs w:val="24"/>
          <w:lang w:val="en-GB"/>
        </w:rPr>
        <w:t xml:space="preserve">  </w:t>
      </w:r>
      <w:r w:rsidR="001320ED">
        <w:rPr>
          <w:rFonts w:ascii="Arial" w:hAnsi="Arial" w:cs="Arial"/>
          <w:sz w:val="24"/>
          <w:szCs w:val="24"/>
          <w:lang w:val="en-GB"/>
        </w:rPr>
        <w:t>GQEBERHA</w:t>
      </w:r>
    </w:p>
    <w:p w:rsid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Date heard</w:t>
      </w:r>
      <w:r>
        <w:rPr>
          <w:rFonts w:ascii="Arial" w:hAnsi="Arial" w:cs="Arial"/>
          <w:sz w:val="24"/>
          <w:szCs w:val="24"/>
          <w:lang w:val="en-GB"/>
        </w:rPr>
        <w:tab/>
      </w:r>
      <w:r>
        <w:rPr>
          <w:rFonts w:ascii="Arial" w:hAnsi="Arial" w:cs="Arial"/>
          <w:sz w:val="24"/>
          <w:szCs w:val="24"/>
          <w:lang w:val="en-GB"/>
        </w:rPr>
        <w:tab/>
        <w:t>: 20 October 2022</w:t>
      </w:r>
    </w:p>
    <w:p w:rsidR="001320ED" w:rsidRPr="001320ED" w:rsidRDefault="001320ED" w:rsidP="00927E79">
      <w:pPr>
        <w:spacing w:line="480" w:lineRule="auto"/>
        <w:jc w:val="both"/>
        <w:rPr>
          <w:rFonts w:ascii="Arial" w:hAnsi="Arial" w:cs="Arial"/>
          <w:sz w:val="24"/>
          <w:szCs w:val="24"/>
          <w:lang w:val="en-GB"/>
        </w:rPr>
      </w:pPr>
      <w:r>
        <w:rPr>
          <w:rFonts w:ascii="Arial" w:hAnsi="Arial" w:cs="Arial"/>
          <w:sz w:val="24"/>
          <w:szCs w:val="24"/>
          <w:lang w:val="en-GB"/>
        </w:rPr>
        <w:t>Delivered on</w:t>
      </w:r>
      <w:r>
        <w:rPr>
          <w:rFonts w:ascii="Arial" w:hAnsi="Arial" w:cs="Arial"/>
          <w:sz w:val="24"/>
          <w:szCs w:val="24"/>
          <w:lang w:val="en-GB"/>
        </w:rPr>
        <w:tab/>
      </w:r>
      <w:r>
        <w:rPr>
          <w:rFonts w:ascii="Arial" w:hAnsi="Arial" w:cs="Arial"/>
          <w:sz w:val="24"/>
          <w:szCs w:val="24"/>
          <w:lang w:val="en-GB"/>
        </w:rPr>
        <w:tab/>
        <w:t>: 10 January 2023</w:t>
      </w:r>
    </w:p>
    <w:sectPr w:rsidR="001320ED" w:rsidRPr="001320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A1" w:rsidRDefault="00E075A1" w:rsidP="00927E79">
      <w:pPr>
        <w:spacing w:after="0" w:line="240" w:lineRule="auto"/>
      </w:pPr>
      <w:r>
        <w:separator/>
      </w:r>
    </w:p>
  </w:endnote>
  <w:endnote w:type="continuationSeparator" w:id="0">
    <w:p w:rsidR="00E075A1" w:rsidRDefault="00E075A1" w:rsidP="0092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68172"/>
      <w:docPartObj>
        <w:docPartGallery w:val="Page Numbers (Bottom of Page)"/>
        <w:docPartUnique/>
      </w:docPartObj>
    </w:sdtPr>
    <w:sdtEndPr>
      <w:rPr>
        <w:noProof/>
      </w:rPr>
    </w:sdtEndPr>
    <w:sdtContent>
      <w:p w:rsidR="00927E79" w:rsidRDefault="00927E79">
        <w:pPr>
          <w:pStyle w:val="Footer"/>
          <w:jc w:val="right"/>
        </w:pPr>
        <w:r>
          <w:fldChar w:fldCharType="begin"/>
        </w:r>
        <w:r>
          <w:instrText xml:space="preserve"> PAGE   \* MERGEFORMAT </w:instrText>
        </w:r>
        <w:r>
          <w:fldChar w:fldCharType="separate"/>
        </w:r>
        <w:r w:rsidR="0008638D">
          <w:rPr>
            <w:noProof/>
          </w:rPr>
          <w:t>1</w:t>
        </w:r>
        <w:r>
          <w:rPr>
            <w:noProof/>
          </w:rPr>
          <w:fldChar w:fldCharType="end"/>
        </w:r>
      </w:p>
    </w:sdtContent>
  </w:sdt>
  <w:p w:rsidR="00927E79" w:rsidRDefault="00927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A1" w:rsidRDefault="00E075A1" w:rsidP="00927E79">
      <w:pPr>
        <w:spacing w:after="0" w:line="240" w:lineRule="auto"/>
      </w:pPr>
      <w:r>
        <w:separator/>
      </w:r>
    </w:p>
  </w:footnote>
  <w:footnote w:type="continuationSeparator" w:id="0">
    <w:p w:rsidR="00E075A1" w:rsidRDefault="00E075A1" w:rsidP="00927E79">
      <w:pPr>
        <w:spacing w:after="0" w:line="240" w:lineRule="auto"/>
      </w:pPr>
      <w:r>
        <w:continuationSeparator/>
      </w:r>
    </w:p>
  </w:footnote>
  <w:footnote w:id="1">
    <w:p w:rsidR="00176AC1" w:rsidRDefault="00176AC1">
      <w:pPr>
        <w:pStyle w:val="FootnoteText"/>
        <w:rPr>
          <w:lang w:val="en-GB"/>
        </w:rPr>
      </w:pPr>
      <w:r>
        <w:rPr>
          <w:rStyle w:val="FootnoteReference"/>
        </w:rPr>
        <w:footnoteRef/>
      </w:r>
      <w:r>
        <w:t xml:space="preserve"> </w:t>
      </w:r>
      <w:r>
        <w:rPr>
          <w:lang w:val="en-GB"/>
        </w:rPr>
        <w:t>Section 11 reads:</w:t>
      </w:r>
    </w:p>
    <w:p w:rsidR="00176AC1" w:rsidRDefault="00176AC1" w:rsidP="001D7F6B">
      <w:pPr>
        <w:pStyle w:val="FootnoteText"/>
        <w:ind w:left="284" w:hanging="284"/>
        <w:jc w:val="both"/>
        <w:rPr>
          <w:lang w:val="en-GB"/>
        </w:rPr>
      </w:pPr>
      <w:r>
        <w:rPr>
          <w:lang w:val="en-GB"/>
        </w:rPr>
        <w:t>“(1) Any parent of a child born out of wedlock whose parents married each other after the registration of his or her birth may, if such child is a minor, or such child himself or herself may, if he or she is of age, apply in the prescribed manner to the Director</w:t>
      </w:r>
      <w:r w:rsidR="00AC6F61">
        <w:rPr>
          <w:lang w:val="en-GB"/>
        </w:rPr>
        <w:t>-</w:t>
      </w:r>
      <w:r>
        <w:rPr>
          <w:lang w:val="en-GB"/>
        </w:rPr>
        <w:t>General to amend the registration of his or her birth as if his or her parents were married to each other</w:t>
      </w:r>
      <w:r w:rsidR="00167820">
        <w:rPr>
          <w:lang w:val="en-GB"/>
        </w:rPr>
        <w:t xml:space="preserve"> at the time of his or her birth, and thereupon the Director</w:t>
      </w:r>
      <w:r w:rsidR="00AC6F61">
        <w:rPr>
          <w:lang w:val="en-GB"/>
        </w:rPr>
        <w:t>-</w:t>
      </w:r>
      <w:r w:rsidR="00167820">
        <w:rPr>
          <w:lang w:val="en-GB"/>
        </w:rPr>
        <w:t>General shall, if satisfied that the applicant is competent to make the application, that the alleged parents of the child are in fact his or her parents and that they legally married each other, a</w:t>
      </w:r>
      <w:r w:rsidR="00AC6F61">
        <w:rPr>
          <w:lang w:val="en-GB"/>
        </w:rPr>
        <w:t>m</w:t>
      </w:r>
      <w:r w:rsidR="00167820">
        <w:rPr>
          <w:lang w:val="en-GB"/>
        </w:rPr>
        <w:t>e</w:t>
      </w:r>
      <w:r w:rsidR="00AC6F61">
        <w:rPr>
          <w:lang w:val="en-GB"/>
        </w:rPr>
        <w:t>n</w:t>
      </w:r>
      <w:r w:rsidR="00167820">
        <w:rPr>
          <w:lang w:val="en-GB"/>
        </w:rPr>
        <w:t>d the registration of birth in the prescribed manner as if such child’s parents were legally married to each other at the time of his or her birth.</w:t>
      </w:r>
    </w:p>
    <w:p w:rsidR="001E3271" w:rsidRDefault="001E3271" w:rsidP="001D7F6B">
      <w:pPr>
        <w:pStyle w:val="FootnoteText"/>
        <w:ind w:left="284" w:hanging="284"/>
        <w:jc w:val="both"/>
        <w:rPr>
          <w:lang w:val="en-GB"/>
        </w:rPr>
      </w:pPr>
      <w:r>
        <w:rPr>
          <w:lang w:val="en-GB"/>
        </w:rPr>
        <w:t>(2) If the parents of a child born out of wedlock marry each other before notice of his or her birth is given, notice of such bill shall be given and the birth registered as if the parents were married to each other at the time of his or her birth.</w:t>
      </w:r>
    </w:p>
    <w:p w:rsidR="001E3271" w:rsidRDefault="001E3271" w:rsidP="001D7F6B">
      <w:pPr>
        <w:pStyle w:val="FootnoteText"/>
        <w:jc w:val="both"/>
        <w:rPr>
          <w:lang w:val="en-GB"/>
        </w:rPr>
      </w:pPr>
      <w:r>
        <w:rPr>
          <w:lang w:val="en-GB"/>
        </w:rPr>
        <w:t xml:space="preserve">(3) … </w:t>
      </w:r>
    </w:p>
    <w:p w:rsidR="001E3271" w:rsidRDefault="001E3271" w:rsidP="001D7F6B">
      <w:pPr>
        <w:pStyle w:val="FootnoteText"/>
        <w:ind w:left="284" w:hanging="284"/>
        <w:jc w:val="both"/>
        <w:rPr>
          <w:lang w:val="en-GB"/>
        </w:rPr>
      </w:pPr>
      <w:r>
        <w:rPr>
          <w:lang w:val="en-GB"/>
        </w:rPr>
        <w:t xml:space="preserve">(4) A person who wishes to acknowledge himself to be the father of a child born out of wedlock, may, in the prescribed manner, with the consent of the mother of the child apply to the </w:t>
      </w:r>
      <w:r w:rsidR="00ED58A5">
        <w:rPr>
          <w:lang w:val="en-GB"/>
        </w:rPr>
        <w:t>child, apply to the Director</w:t>
      </w:r>
      <w:r w:rsidR="00AC6F61">
        <w:rPr>
          <w:lang w:val="en-GB"/>
        </w:rPr>
        <w:t>-</w:t>
      </w:r>
      <w:r w:rsidR="00ED58A5">
        <w:rPr>
          <w:lang w:val="en-GB"/>
        </w:rPr>
        <w:t xml:space="preserve"> General, who shall amend the registration of the birth of such child by recording such acknowledge</w:t>
      </w:r>
      <w:r w:rsidR="00AC6F61">
        <w:rPr>
          <w:lang w:val="en-GB"/>
        </w:rPr>
        <w:t>ment</w:t>
      </w:r>
      <w:r w:rsidR="00ED58A5">
        <w:rPr>
          <w:lang w:val="en-GB"/>
        </w:rPr>
        <w:t xml:space="preserve"> and by entering the prescribed particulars of such person in the registration of the birth of such child.</w:t>
      </w:r>
    </w:p>
    <w:p w:rsidR="00ED58A5" w:rsidRDefault="00ED58A5" w:rsidP="001D7F6B">
      <w:pPr>
        <w:pStyle w:val="FootnoteText"/>
        <w:ind w:left="426" w:hanging="426"/>
        <w:jc w:val="both"/>
        <w:rPr>
          <w:lang w:val="en-GB"/>
        </w:rPr>
      </w:pPr>
      <w:r>
        <w:rPr>
          <w:lang w:val="en-GB"/>
        </w:rPr>
        <w:t>(4A) An amendment of the particulars of a person who has acknowledge</w:t>
      </w:r>
      <w:r w:rsidR="00AC6F61">
        <w:rPr>
          <w:lang w:val="en-GB"/>
        </w:rPr>
        <w:t>d</w:t>
      </w:r>
      <w:r>
        <w:rPr>
          <w:lang w:val="en-GB"/>
        </w:rPr>
        <w:t xml:space="preserve"> himself as a father of a child as contemplated in subsection (4) and section 10(1)(b) of the Act shall be supported by the prescribed conclusive proof </w:t>
      </w:r>
      <w:r w:rsidR="00141822">
        <w:rPr>
          <w:lang w:val="en-GB"/>
        </w:rPr>
        <w:t xml:space="preserve">of </w:t>
      </w:r>
      <w:r>
        <w:rPr>
          <w:lang w:val="en-GB"/>
        </w:rPr>
        <w:t>that person being the father of the child.</w:t>
      </w:r>
    </w:p>
    <w:p w:rsidR="00ED58A5" w:rsidRDefault="00ED58A5" w:rsidP="001D7F6B">
      <w:pPr>
        <w:pStyle w:val="FootnoteText"/>
        <w:ind w:left="284" w:hanging="284"/>
        <w:jc w:val="both"/>
        <w:rPr>
          <w:lang w:val="en-GB"/>
        </w:rPr>
      </w:pPr>
      <w:r>
        <w:rPr>
          <w:lang w:val="en-GB"/>
        </w:rPr>
        <w:t xml:space="preserve">(5) Where the mother of a child has not given her consent to the amendment of the registration of the birth of her child in terms of subsection (4) the father of such a child shall apply to the High </w:t>
      </w:r>
      <w:r w:rsidR="00AC6F61">
        <w:rPr>
          <w:lang w:val="en-GB"/>
        </w:rPr>
        <w:t>C</w:t>
      </w:r>
      <w:r>
        <w:rPr>
          <w:lang w:val="en-GB"/>
        </w:rPr>
        <w:t>ourt of competent jurisdiction for a declaratory order which confirms his or her paternity of the child and dispenses with the requirement of consent of the mother contemplated in subsection (4).</w:t>
      </w:r>
    </w:p>
    <w:p w:rsidR="00ED58A5" w:rsidRPr="00176AC1" w:rsidRDefault="00ED58A5" w:rsidP="001D7F6B">
      <w:pPr>
        <w:pStyle w:val="FootnoteText"/>
        <w:ind w:left="284" w:hanging="284"/>
        <w:jc w:val="both"/>
        <w:rPr>
          <w:lang w:val="en-GB"/>
        </w:rPr>
      </w:pPr>
      <w:r>
        <w:rPr>
          <w:lang w:val="en-GB"/>
        </w:rPr>
        <w:t>(6) When the court considers the application contemplated in subsection (5) the</w:t>
      </w:r>
      <w:r w:rsidR="001D7F6B">
        <w:rPr>
          <w:lang w:val="en-GB"/>
        </w:rPr>
        <w:t xml:space="preserve"> provisions of section 26 (b) of the </w:t>
      </w:r>
      <w:r w:rsidR="00AC6F61">
        <w:rPr>
          <w:lang w:val="en-GB"/>
        </w:rPr>
        <w:t>C</w:t>
      </w:r>
      <w:r w:rsidR="001D7F6B">
        <w:rPr>
          <w:lang w:val="en-GB"/>
        </w:rPr>
        <w:t>hildren’s Act shall apply.</w:t>
      </w:r>
    </w:p>
  </w:footnote>
  <w:footnote w:id="2">
    <w:p w:rsidR="00C440F7" w:rsidRPr="00C440F7" w:rsidRDefault="00C440F7">
      <w:pPr>
        <w:pStyle w:val="FootnoteText"/>
        <w:rPr>
          <w:lang w:val="en-GB"/>
        </w:rPr>
      </w:pPr>
      <w:r>
        <w:rPr>
          <w:rStyle w:val="FootnoteReference"/>
        </w:rPr>
        <w:footnoteRef/>
      </w:r>
      <w:r>
        <w:t xml:space="preserve"> </w:t>
      </w:r>
      <w:r w:rsidR="00DC0D76">
        <w:rPr>
          <w:lang w:val="en-GB"/>
        </w:rPr>
        <w:t>City of Cape Town v Aurecon SA (PTY) Ltd 2017 (4) SA 223 (CC)</w:t>
      </w:r>
      <w:r w:rsidR="00F014F1">
        <w:rPr>
          <w:lang w:val="en-GB"/>
        </w:rPr>
        <w:t xml:space="preserve"> at 214</w:t>
      </w:r>
      <w:r w:rsidR="00DC0D76">
        <w:rPr>
          <w:lang w:val="en-GB"/>
        </w:rPr>
        <w:t xml:space="preserve"> </w:t>
      </w:r>
      <w:proofErr w:type="gramStart"/>
      <w:r w:rsidR="00DC0D76">
        <w:rPr>
          <w:lang w:val="en-GB"/>
        </w:rPr>
        <w:t>para</w:t>
      </w:r>
      <w:proofErr w:type="gramEnd"/>
      <w:r w:rsidR="00DC0D76">
        <w:rPr>
          <w:lang w:val="en-GB"/>
        </w:rPr>
        <w:t xml:space="preserve"> 54</w:t>
      </w:r>
      <w:r w:rsidR="00F014F1">
        <w:rPr>
          <w:lang w:val="en-GB"/>
        </w:rPr>
        <w:t>.</w:t>
      </w:r>
    </w:p>
  </w:footnote>
  <w:footnote w:id="3">
    <w:p w:rsidR="001F2622" w:rsidRPr="001F2622" w:rsidRDefault="001F2622">
      <w:pPr>
        <w:pStyle w:val="FootnoteText"/>
        <w:rPr>
          <w:lang w:val="en-GB"/>
        </w:rPr>
      </w:pPr>
      <w:r>
        <w:rPr>
          <w:rStyle w:val="FootnoteReference"/>
        </w:rPr>
        <w:footnoteRef/>
      </w:r>
      <w:r>
        <w:t xml:space="preserve"> </w:t>
      </w:r>
      <w:proofErr w:type="spellStart"/>
      <w:r w:rsidR="006D544C">
        <w:rPr>
          <w:lang w:val="en-GB"/>
        </w:rPr>
        <w:t>Mwelase</w:t>
      </w:r>
      <w:proofErr w:type="spellEnd"/>
      <w:r w:rsidR="006D544C">
        <w:rPr>
          <w:lang w:val="en-GB"/>
        </w:rPr>
        <w:t xml:space="preserve"> and Others </w:t>
      </w:r>
      <w:proofErr w:type="gramStart"/>
      <w:r w:rsidR="006D544C">
        <w:rPr>
          <w:lang w:val="en-GB"/>
        </w:rPr>
        <w:t>v</w:t>
      </w:r>
      <w:proofErr w:type="gramEnd"/>
      <w:r w:rsidR="00BD0232">
        <w:rPr>
          <w:lang w:val="en-GB"/>
        </w:rPr>
        <w:t xml:space="preserve"> Director</w:t>
      </w:r>
      <w:r w:rsidR="00012CD5">
        <w:rPr>
          <w:lang w:val="en-GB"/>
        </w:rPr>
        <w:t>-</w:t>
      </w:r>
      <w:r w:rsidR="00BD0232">
        <w:rPr>
          <w:lang w:val="en-GB"/>
        </w:rPr>
        <w:t>General:</w:t>
      </w:r>
      <w:r>
        <w:rPr>
          <w:lang w:val="en-GB"/>
        </w:rPr>
        <w:t xml:space="preserve"> Department of Rural Development and Land Reform and Another 2019 (6) SA 597 (CC) at 622 para 48</w:t>
      </w:r>
      <w:r w:rsidR="00F014F1">
        <w:rPr>
          <w:lang w:val="en-GB"/>
        </w:rPr>
        <w:t>.</w:t>
      </w:r>
    </w:p>
  </w:footnote>
  <w:footnote w:id="4">
    <w:p w:rsidR="007E595C" w:rsidRPr="007E595C" w:rsidRDefault="007E595C">
      <w:pPr>
        <w:pStyle w:val="FootnoteText"/>
        <w:rPr>
          <w:lang w:val="en-GB"/>
        </w:rPr>
      </w:pPr>
      <w:r>
        <w:rPr>
          <w:rStyle w:val="FootnoteReference"/>
        </w:rPr>
        <w:footnoteRef/>
      </w:r>
      <w:r>
        <w:t xml:space="preserve"> </w:t>
      </w:r>
      <w:r>
        <w:rPr>
          <w:lang w:val="en-GB"/>
        </w:rPr>
        <w:t>MEC for Health, Province of the Eastern Cape NO and Another v Kirkland Investments</w:t>
      </w:r>
      <w:r w:rsidR="00EE02B0">
        <w:rPr>
          <w:lang w:val="en-GB"/>
        </w:rPr>
        <w:t xml:space="preserve"> (Pty) LTD</w:t>
      </w:r>
      <w:r>
        <w:rPr>
          <w:lang w:val="en-GB"/>
        </w:rPr>
        <w:t xml:space="preserve"> </w:t>
      </w:r>
      <w:r w:rsidR="006D497F">
        <w:rPr>
          <w:lang w:val="en-GB"/>
        </w:rPr>
        <w:t xml:space="preserve">2014 (5) BCLR 547 (CC); </w:t>
      </w:r>
      <w:r w:rsidR="00EE02B0">
        <w:rPr>
          <w:lang w:val="en-GB"/>
        </w:rPr>
        <w:t>2014 (3) SA 481 (CC) para 82</w:t>
      </w:r>
    </w:p>
  </w:footnote>
  <w:footnote w:id="5">
    <w:p w:rsidR="001F2622" w:rsidRPr="001F2622" w:rsidRDefault="001F2622">
      <w:pPr>
        <w:pStyle w:val="FootnoteText"/>
        <w:rPr>
          <w:lang w:val="en-GB"/>
        </w:rPr>
      </w:pPr>
      <w:r>
        <w:rPr>
          <w:rStyle w:val="FootnoteReference"/>
        </w:rPr>
        <w:footnoteRef/>
      </w:r>
      <w:r>
        <w:t xml:space="preserve"> </w:t>
      </w:r>
      <w:r w:rsidR="004B629E">
        <w:rPr>
          <w:lang w:val="en-GB"/>
        </w:rPr>
        <w:t xml:space="preserve">Lawyers for Human Rights </w:t>
      </w:r>
      <w:proofErr w:type="gramStart"/>
      <w:r w:rsidR="004B629E">
        <w:rPr>
          <w:lang w:val="en-GB"/>
        </w:rPr>
        <w:t>v</w:t>
      </w:r>
      <w:proofErr w:type="gramEnd"/>
      <w:r>
        <w:rPr>
          <w:lang w:val="en-GB"/>
        </w:rPr>
        <w:t xml:space="preserve"> </w:t>
      </w:r>
      <w:r w:rsidR="004B629E">
        <w:rPr>
          <w:lang w:val="en-GB"/>
        </w:rPr>
        <w:t>Minister of Home Affairs 2004 (4</w:t>
      </w:r>
      <w:r>
        <w:rPr>
          <w:lang w:val="en-GB"/>
        </w:rPr>
        <w:t>) SA 125 (CC) at 136 para 18.</w:t>
      </w:r>
    </w:p>
  </w:footnote>
  <w:footnote w:id="6">
    <w:p w:rsidR="00EC0B01" w:rsidRPr="001E1E85" w:rsidRDefault="00EC0B01" w:rsidP="00EC0B01">
      <w:pPr>
        <w:pStyle w:val="FootnoteText"/>
        <w:rPr>
          <w:lang w:val="en-GB"/>
        </w:rPr>
      </w:pPr>
      <w:r>
        <w:rPr>
          <w:rStyle w:val="FootnoteReference"/>
        </w:rPr>
        <w:footnoteRef/>
      </w:r>
      <w:r>
        <w:t xml:space="preserve"> </w:t>
      </w:r>
      <w:r>
        <w:rPr>
          <w:lang w:val="en-GB"/>
        </w:rPr>
        <w:t xml:space="preserve">Director-General: Department of Home Affairs and Another v </w:t>
      </w:r>
      <w:proofErr w:type="spellStart"/>
      <w:r>
        <w:rPr>
          <w:lang w:val="en-GB"/>
        </w:rPr>
        <w:t>Mukhandiva</w:t>
      </w:r>
      <w:proofErr w:type="spellEnd"/>
      <w:r>
        <w:rPr>
          <w:lang w:val="en-GB"/>
        </w:rPr>
        <w:t xml:space="preserve"> 2014 (3) BCLR 306 (CC) para 40.</w:t>
      </w:r>
    </w:p>
  </w:footnote>
  <w:footnote w:id="7">
    <w:p w:rsidR="00EC0B01" w:rsidRPr="00EC0B01" w:rsidRDefault="00EC0B01">
      <w:pPr>
        <w:pStyle w:val="FootnoteText"/>
        <w:rPr>
          <w:lang w:val="en-GB"/>
        </w:rPr>
      </w:pPr>
      <w:r>
        <w:rPr>
          <w:rStyle w:val="FootnoteReference"/>
        </w:rPr>
        <w:footnoteRef/>
      </w:r>
      <w:r>
        <w:t xml:space="preserve"> </w:t>
      </w:r>
      <w:r>
        <w:rPr>
          <w:lang w:val="en-GB"/>
        </w:rPr>
        <w:t xml:space="preserve">Regulation 12(1) was declared </w:t>
      </w:r>
      <w:r w:rsidR="008F7E52">
        <w:rPr>
          <w:lang w:val="en-GB"/>
        </w:rPr>
        <w:t>u</w:t>
      </w:r>
      <w:r w:rsidR="00BA009A">
        <w:rPr>
          <w:lang w:val="en-GB"/>
        </w:rPr>
        <w:t>nconstitutional</w:t>
      </w:r>
      <w:r>
        <w:rPr>
          <w:lang w:val="en-GB"/>
        </w:rPr>
        <w:t xml:space="preserve"> in </w:t>
      </w:r>
      <w:proofErr w:type="spellStart"/>
      <w:r>
        <w:rPr>
          <w:lang w:val="en-GB"/>
        </w:rPr>
        <w:t>Naki</w:t>
      </w:r>
      <w:proofErr w:type="spellEnd"/>
      <w:r>
        <w:rPr>
          <w:lang w:val="en-GB"/>
        </w:rPr>
        <w:t xml:space="preserve"> v Director-General of Home Affairs and Another [2018] </w:t>
      </w:r>
      <w:r w:rsidR="00BA009A">
        <w:rPr>
          <w:lang w:val="en-GB"/>
        </w:rPr>
        <w:t>3 All SA 802 (ECG).  It is reflected herein for completeness and eas</w:t>
      </w:r>
      <w:r w:rsidR="00B2763E">
        <w:rPr>
          <w:lang w:val="en-GB"/>
        </w:rPr>
        <w:t>e</w:t>
      </w:r>
      <w:r w:rsidR="00BA009A">
        <w:rPr>
          <w:lang w:val="en-GB"/>
        </w:rPr>
        <w:t xml:space="preserve"> of reading</w:t>
      </w:r>
      <w:r w:rsidR="008F7E52">
        <w:rPr>
          <w:lang w:val="en-GB"/>
        </w:rPr>
        <w:t>.</w:t>
      </w:r>
    </w:p>
  </w:footnote>
  <w:footnote w:id="8">
    <w:p w:rsidR="002D7579" w:rsidRPr="002D7579" w:rsidRDefault="002D7579">
      <w:pPr>
        <w:pStyle w:val="FootnoteText"/>
        <w:rPr>
          <w:lang w:val="en-GB"/>
        </w:rPr>
      </w:pPr>
      <w:r>
        <w:rPr>
          <w:rStyle w:val="FootnoteReference"/>
        </w:rPr>
        <w:footnoteRef/>
      </w:r>
      <w:r>
        <w:t xml:space="preserve"> </w:t>
      </w:r>
      <w:r>
        <w:rPr>
          <w:lang w:val="en-GB"/>
        </w:rPr>
        <w:t xml:space="preserve">Section 10 has since been declared unconstitutional by the Constitutional Court in </w:t>
      </w:r>
      <w:r w:rsidR="00A93A58">
        <w:rPr>
          <w:lang w:val="en-GB"/>
        </w:rPr>
        <w:t xml:space="preserve">Centre for Child Law </w:t>
      </w:r>
      <w:proofErr w:type="gramStart"/>
      <w:r w:rsidR="00A93A58">
        <w:rPr>
          <w:lang w:val="en-GB"/>
        </w:rPr>
        <w:t>v</w:t>
      </w:r>
      <w:proofErr w:type="gramEnd"/>
      <w:r w:rsidR="00A93A58">
        <w:rPr>
          <w:lang w:val="en-GB"/>
        </w:rPr>
        <w:t xml:space="preserve"> Director-</w:t>
      </w:r>
      <w:r>
        <w:rPr>
          <w:lang w:val="en-GB"/>
        </w:rPr>
        <w:t xml:space="preserve">General: </w:t>
      </w:r>
      <w:r w:rsidR="00DB4FDA">
        <w:rPr>
          <w:lang w:val="en-GB"/>
        </w:rPr>
        <w:t>Department of Home Affairs and O</w:t>
      </w:r>
      <w:r>
        <w:rPr>
          <w:lang w:val="en-GB"/>
        </w:rPr>
        <w:t>thers 2022 (2) SA 131 (CC)</w:t>
      </w:r>
      <w:r w:rsidR="009D5D84">
        <w:rPr>
          <w:lang w:val="en-GB"/>
        </w:rPr>
        <w:t>.</w:t>
      </w:r>
    </w:p>
  </w:footnote>
  <w:footnote w:id="9">
    <w:p w:rsidR="00DB0247" w:rsidRPr="00DB0247" w:rsidRDefault="00DB0247">
      <w:pPr>
        <w:pStyle w:val="FootnoteText"/>
        <w:rPr>
          <w:lang w:val="en-GB"/>
        </w:rPr>
      </w:pPr>
      <w:r>
        <w:rPr>
          <w:rStyle w:val="FootnoteReference"/>
        </w:rPr>
        <w:footnoteRef/>
      </w:r>
      <w:r>
        <w:t xml:space="preserve"> </w:t>
      </w:r>
      <w:r>
        <w:rPr>
          <w:lang w:val="en-GB"/>
        </w:rPr>
        <w:t xml:space="preserve">Speaker of the National Assembly </w:t>
      </w:r>
      <w:proofErr w:type="gramStart"/>
      <w:r>
        <w:rPr>
          <w:lang w:val="en-GB"/>
        </w:rPr>
        <w:t>v</w:t>
      </w:r>
      <w:proofErr w:type="gramEnd"/>
      <w:r>
        <w:rPr>
          <w:lang w:val="en-GB"/>
        </w:rPr>
        <w:t xml:space="preserve"> De Lille [1999] All SA 241 (A) at para 14</w:t>
      </w:r>
      <w:r w:rsidR="007B5A40">
        <w:rPr>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226C1"/>
    <w:multiLevelType w:val="hybridMultilevel"/>
    <w:tmpl w:val="A628C55A"/>
    <w:lvl w:ilvl="0" w:tplc="8EDC364E">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1"/>
    <w:rsid w:val="00001E84"/>
    <w:rsid w:val="00012CD5"/>
    <w:rsid w:val="00013BD7"/>
    <w:rsid w:val="00031E9E"/>
    <w:rsid w:val="00065A48"/>
    <w:rsid w:val="00071D46"/>
    <w:rsid w:val="0007562D"/>
    <w:rsid w:val="0008638D"/>
    <w:rsid w:val="000964BA"/>
    <w:rsid w:val="000A175D"/>
    <w:rsid w:val="000A2122"/>
    <w:rsid w:val="000B1333"/>
    <w:rsid w:val="000D2431"/>
    <w:rsid w:val="000E53FA"/>
    <w:rsid w:val="000F383F"/>
    <w:rsid w:val="000F437E"/>
    <w:rsid w:val="000F509A"/>
    <w:rsid w:val="00112C31"/>
    <w:rsid w:val="0011782C"/>
    <w:rsid w:val="001320ED"/>
    <w:rsid w:val="001413F5"/>
    <w:rsid w:val="00141822"/>
    <w:rsid w:val="001457C3"/>
    <w:rsid w:val="00162ABC"/>
    <w:rsid w:val="00167820"/>
    <w:rsid w:val="00176AC1"/>
    <w:rsid w:val="00187760"/>
    <w:rsid w:val="00194858"/>
    <w:rsid w:val="001A0F73"/>
    <w:rsid w:val="001A5387"/>
    <w:rsid w:val="001C728B"/>
    <w:rsid w:val="001D7F6B"/>
    <w:rsid w:val="001E017E"/>
    <w:rsid w:val="001E1E85"/>
    <w:rsid w:val="001E28EF"/>
    <w:rsid w:val="001E3271"/>
    <w:rsid w:val="001F2622"/>
    <w:rsid w:val="001F44E2"/>
    <w:rsid w:val="001F605D"/>
    <w:rsid w:val="0020750F"/>
    <w:rsid w:val="00213615"/>
    <w:rsid w:val="00226985"/>
    <w:rsid w:val="00237247"/>
    <w:rsid w:val="00243082"/>
    <w:rsid w:val="00243E92"/>
    <w:rsid w:val="002459BD"/>
    <w:rsid w:val="00254E25"/>
    <w:rsid w:val="0025679E"/>
    <w:rsid w:val="00260B92"/>
    <w:rsid w:val="002825AA"/>
    <w:rsid w:val="0028429F"/>
    <w:rsid w:val="00287AFE"/>
    <w:rsid w:val="002A5364"/>
    <w:rsid w:val="002B1A09"/>
    <w:rsid w:val="002B7E67"/>
    <w:rsid w:val="002C3C02"/>
    <w:rsid w:val="002D7579"/>
    <w:rsid w:val="002E2B42"/>
    <w:rsid w:val="002E4EC3"/>
    <w:rsid w:val="002F49C4"/>
    <w:rsid w:val="002F6975"/>
    <w:rsid w:val="003007ED"/>
    <w:rsid w:val="00307133"/>
    <w:rsid w:val="00307B8A"/>
    <w:rsid w:val="00317A61"/>
    <w:rsid w:val="003266E3"/>
    <w:rsid w:val="003349F2"/>
    <w:rsid w:val="0034788A"/>
    <w:rsid w:val="00354F30"/>
    <w:rsid w:val="003563B4"/>
    <w:rsid w:val="00356A0C"/>
    <w:rsid w:val="00366991"/>
    <w:rsid w:val="00370E2E"/>
    <w:rsid w:val="0038232A"/>
    <w:rsid w:val="0039063A"/>
    <w:rsid w:val="003A0CF0"/>
    <w:rsid w:val="003A43CB"/>
    <w:rsid w:val="003A64D3"/>
    <w:rsid w:val="003B44A9"/>
    <w:rsid w:val="003C3A17"/>
    <w:rsid w:val="003E1273"/>
    <w:rsid w:val="003F2452"/>
    <w:rsid w:val="00412A48"/>
    <w:rsid w:val="00413E45"/>
    <w:rsid w:val="00423544"/>
    <w:rsid w:val="004370C5"/>
    <w:rsid w:val="004430C6"/>
    <w:rsid w:val="0045589B"/>
    <w:rsid w:val="004750CB"/>
    <w:rsid w:val="004A17AA"/>
    <w:rsid w:val="004B629E"/>
    <w:rsid w:val="004D3FF0"/>
    <w:rsid w:val="004E6899"/>
    <w:rsid w:val="00500539"/>
    <w:rsid w:val="00500DFF"/>
    <w:rsid w:val="005054C9"/>
    <w:rsid w:val="00511647"/>
    <w:rsid w:val="00515EAA"/>
    <w:rsid w:val="00557699"/>
    <w:rsid w:val="0056412A"/>
    <w:rsid w:val="00575306"/>
    <w:rsid w:val="005757B9"/>
    <w:rsid w:val="00576925"/>
    <w:rsid w:val="00577820"/>
    <w:rsid w:val="0058569B"/>
    <w:rsid w:val="005A3B93"/>
    <w:rsid w:val="005A4E3C"/>
    <w:rsid w:val="005B1B85"/>
    <w:rsid w:val="005C63B5"/>
    <w:rsid w:val="005D45EB"/>
    <w:rsid w:val="005D5B91"/>
    <w:rsid w:val="005E3F65"/>
    <w:rsid w:val="00603855"/>
    <w:rsid w:val="006368D9"/>
    <w:rsid w:val="00645E93"/>
    <w:rsid w:val="00652771"/>
    <w:rsid w:val="00657ACC"/>
    <w:rsid w:val="00661576"/>
    <w:rsid w:val="0067478A"/>
    <w:rsid w:val="006749CD"/>
    <w:rsid w:val="006840F0"/>
    <w:rsid w:val="006860C5"/>
    <w:rsid w:val="00690E7C"/>
    <w:rsid w:val="00695A7E"/>
    <w:rsid w:val="006A00F1"/>
    <w:rsid w:val="006A7E62"/>
    <w:rsid w:val="006B08DD"/>
    <w:rsid w:val="006B0AFE"/>
    <w:rsid w:val="006B453D"/>
    <w:rsid w:val="006C10C0"/>
    <w:rsid w:val="006D257B"/>
    <w:rsid w:val="006D497F"/>
    <w:rsid w:val="006D544C"/>
    <w:rsid w:val="006E026F"/>
    <w:rsid w:val="006E2707"/>
    <w:rsid w:val="00710DBE"/>
    <w:rsid w:val="00711B6B"/>
    <w:rsid w:val="0074342F"/>
    <w:rsid w:val="00751183"/>
    <w:rsid w:val="007532D1"/>
    <w:rsid w:val="0077178F"/>
    <w:rsid w:val="007722BF"/>
    <w:rsid w:val="00792D8D"/>
    <w:rsid w:val="007B5A40"/>
    <w:rsid w:val="007C41E8"/>
    <w:rsid w:val="007E3396"/>
    <w:rsid w:val="007E595C"/>
    <w:rsid w:val="007E5F6F"/>
    <w:rsid w:val="007F0ADC"/>
    <w:rsid w:val="008013BB"/>
    <w:rsid w:val="008330B0"/>
    <w:rsid w:val="008369A4"/>
    <w:rsid w:val="00840CFD"/>
    <w:rsid w:val="00843A07"/>
    <w:rsid w:val="0087031C"/>
    <w:rsid w:val="008759C2"/>
    <w:rsid w:val="008A20DA"/>
    <w:rsid w:val="008D2F46"/>
    <w:rsid w:val="008F4FB4"/>
    <w:rsid w:val="008F7E52"/>
    <w:rsid w:val="009079FF"/>
    <w:rsid w:val="00923C4F"/>
    <w:rsid w:val="00927E79"/>
    <w:rsid w:val="00932AA9"/>
    <w:rsid w:val="0093401B"/>
    <w:rsid w:val="00940786"/>
    <w:rsid w:val="00962E06"/>
    <w:rsid w:val="00970016"/>
    <w:rsid w:val="009720D4"/>
    <w:rsid w:val="00985F6A"/>
    <w:rsid w:val="0099087C"/>
    <w:rsid w:val="009932CD"/>
    <w:rsid w:val="009B3F49"/>
    <w:rsid w:val="009D5D84"/>
    <w:rsid w:val="009E074B"/>
    <w:rsid w:val="00A00276"/>
    <w:rsid w:val="00A12EC8"/>
    <w:rsid w:val="00A146EB"/>
    <w:rsid w:val="00A179E0"/>
    <w:rsid w:val="00A46039"/>
    <w:rsid w:val="00A46C6A"/>
    <w:rsid w:val="00A60C07"/>
    <w:rsid w:val="00A71B18"/>
    <w:rsid w:val="00A74C37"/>
    <w:rsid w:val="00A8230E"/>
    <w:rsid w:val="00A82E2F"/>
    <w:rsid w:val="00A93A58"/>
    <w:rsid w:val="00AB73CD"/>
    <w:rsid w:val="00AC36FF"/>
    <w:rsid w:val="00AC6F61"/>
    <w:rsid w:val="00B01761"/>
    <w:rsid w:val="00B10B86"/>
    <w:rsid w:val="00B10D5C"/>
    <w:rsid w:val="00B12F4D"/>
    <w:rsid w:val="00B2763E"/>
    <w:rsid w:val="00B50759"/>
    <w:rsid w:val="00B6515D"/>
    <w:rsid w:val="00B73AEF"/>
    <w:rsid w:val="00B74FDD"/>
    <w:rsid w:val="00B7548E"/>
    <w:rsid w:val="00B85485"/>
    <w:rsid w:val="00B92798"/>
    <w:rsid w:val="00BA009A"/>
    <w:rsid w:val="00BA28F4"/>
    <w:rsid w:val="00BC329F"/>
    <w:rsid w:val="00BC4FF9"/>
    <w:rsid w:val="00BC78DD"/>
    <w:rsid w:val="00BD0232"/>
    <w:rsid w:val="00BE1FF9"/>
    <w:rsid w:val="00BE4872"/>
    <w:rsid w:val="00BE66C7"/>
    <w:rsid w:val="00BF342F"/>
    <w:rsid w:val="00BF72C7"/>
    <w:rsid w:val="00C24061"/>
    <w:rsid w:val="00C249C4"/>
    <w:rsid w:val="00C26E67"/>
    <w:rsid w:val="00C37B54"/>
    <w:rsid w:val="00C440F7"/>
    <w:rsid w:val="00C442CC"/>
    <w:rsid w:val="00C44A04"/>
    <w:rsid w:val="00C45732"/>
    <w:rsid w:val="00C5250B"/>
    <w:rsid w:val="00C619F8"/>
    <w:rsid w:val="00C84F02"/>
    <w:rsid w:val="00CD032B"/>
    <w:rsid w:val="00CD37CF"/>
    <w:rsid w:val="00CD594A"/>
    <w:rsid w:val="00CE573F"/>
    <w:rsid w:val="00CE698A"/>
    <w:rsid w:val="00CF1344"/>
    <w:rsid w:val="00D013D4"/>
    <w:rsid w:val="00D02D79"/>
    <w:rsid w:val="00D147C6"/>
    <w:rsid w:val="00D15ECF"/>
    <w:rsid w:val="00D219EB"/>
    <w:rsid w:val="00D2471F"/>
    <w:rsid w:val="00D271AA"/>
    <w:rsid w:val="00D31DAE"/>
    <w:rsid w:val="00D40DD0"/>
    <w:rsid w:val="00D4317E"/>
    <w:rsid w:val="00D47D62"/>
    <w:rsid w:val="00D62B33"/>
    <w:rsid w:val="00D634F9"/>
    <w:rsid w:val="00D71E67"/>
    <w:rsid w:val="00D76A97"/>
    <w:rsid w:val="00D84BD5"/>
    <w:rsid w:val="00D8637C"/>
    <w:rsid w:val="00D877E9"/>
    <w:rsid w:val="00D9039D"/>
    <w:rsid w:val="00D91623"/>
    <w:rsid w:val="00D91DD5"/>
    <w:rsid w:val="00DB0247"/>
    <w:rsid w:val="00DB398E"/>
    <w:rsid w:val="00DB4FDA"/>
    <w:rsid w:val="00DC0D76"/>
    <w:rsid w:val="00DD2382"/>
    <w:rsid w:val="00DE02CD"/>
    <w:rsid w:val="00DE2AF9"/>
    <w:rsid w:val="00E0433C"/>
    <w:rsid w:val="00E06AED"/>
    <w:rsid w:val="00E075A1"/>
    <w:rsid w:val="00E1792B"/>
    <w:rsid w:val="00E32DDF"/>
    <w:rsid w:val="00E36B6C"/>
    <w:rsid w:val="00E42579"/>
    <w:rsid w:val="00E539F1"/>
    <w:rsid w:val="00E77203"/>
    <w:rsid w:val="00E8435A"/>
    <w:rsid w:val="00E930C3"/>
    <w:rsid w:val="00E93527"/>
    <w:rsid w:val="00E96F9D"/>
    <w:rsid w:val="00EA07C5"/>
    <w:rsid w:val="00EB0659"/>
    <w:rsid w:val="00EB1D80"/>
    <w:rsid w:val="00EC0B01"/>
    <w:rsid w:val="00ED58A5"/>
    <w:rsid w:val="00EE02B0"/>
    <w:rsid w:val="00EE0EB0"/>
    <w:rsid w:val="00EE7C57"/>
    <w:rsid w:val="00EF7D9E"/>
    <w:rsid w:val="00F002D0"/>
    <w:rsid w:val="00F014F1"/>
    <w:rsid w:val="00F1449F"/>
    <w:rsid w:val="00F211A9"/>
    <w:rsid w:val="00F27431"/>
    <w:rsid w:val="00F35BAE"/>
    <w:rsid w:val="00F360A0"/>
    <w:rsid w:val="00F375AA"/>
    <w:rsid w:val="00F3777E"/>
    <w:rsid w:val="00F4237D"/>
    <w:rsid w:val="00F54E8F"/>
    <w:rsid w:val="00F55776"/>
    <w:rsid w:val="00F73FC3"/>
    <w:rsid w:val="00F82646"/>
    <w:rsid w:val="00F860F3"/>
    <w:rsid w:val="00F90476"/>
    <w:rsid w:val="00F92225"/>
    <w:rsid w:val="00F9666E"/>
    <w:rsid w:val="00FB3E54"/>
    <w:rsid w:val="00FE097D"/>
    <w:rsid w:val="00FF0AFD"/>
    <w:rsid w:val="00FF266B"/>
    <w:rsid w:val="00FF7A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7576"/>
  <w15:chartTrackingRefBased/>
  <w15:docId w15:val="{5A2070E6-0CA0-4B62-90FC-AC6BAFD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E79"/>
  </w:style>
  <w:style w:type="paragraph" w:styleId="Footer">
    <w:name w:val="footer"/>
    <w:basedOn w:val="Normal"/>
    <w:link w:val="FooterChar"/>
    <w:uiPriority w:val="99"/>
    <w:unhideWhenUsed/>
    <w:rsid w:val="00927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E79"/>
  </w:style>
  <w:style w:type="paragraph" w:styleId="ListParagraph">
    <w:name w:val="List Paragraph"/>
    <w:basedOn w:val="Normal"/>
    <w:uiPriority w:val="34"/>
    <w:qFormat/>
    <w:rsid w:val="006C10C0"/>
    <w:pPr>
      <w:ind w:left="720"/>
      <w:contextualSpacing/>
    </w:pPr>
  </w:style>
  <w:style w:type="paragraph" w:styleId="FootnoteText">
    <w:name w:val="footnote text"/>
    <w:basedOn w:val="Normal"/>
    <w:link w:val="FootnoteTextChar"/>
    <w:uiPriority w:val="99"/>
    <w:semiHidden/>
    <w:unhideWhenUsed/>
    <w:rsid w:val="001F2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622"/>
    <w:rPr>
      <w:sz w:val="20"/>
      <w:szCs w:val="20"/>
    </w:rPr>
  </w:style>
  <w:style w:type="character" w:styleId="FootnoteReference">
    <w:name w:val="footnote reference"/>
    <w:basedOn w:val="DefaultParagraphFont"/>
    <w:uiPriority w:val="99"/>
    <w:semiHidden/>
    <w:unhideWhenUsed/>
    <w:rsid w:val="001F2622"/>
    <w:rPr>
      <w:vertAlign w:val="superscript"/>
    </w:rPr>
  </w:style>
  <w:style w:type="paragraph" w:styleId="BalloonText">
    <w:name w:val="Balloon Text"/>
    <w:basedOn w:val="Normal"/>
    <w:link w:val="BalloonTextChar"/>
    <w:uiPriority w:val="99"/>
    <w:semiHidden/>
    <w:unhideWhenUsed/>
    <w:rsid w:val="00D87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018">
      <w:bodyDiv w:val="1"/>
      <w:marLeft w:val="0"/>
      <w:marRight w:val="0"/>
      <w:marTop w:val="0"/>
      <w:marBottom w:val="0"/>
      <w:divBdr>
        <w:top w:val="none" w:sz="0" w:space="0" w:color="auto"/>
        <w:left w:val="none" w:sz="0" w:space="0" w:color="auto"/>
        <w:bottom w:val="none" w:sz="0" w:space="0" w:color="auto"/>
        <w:right w:val="none" w:sz="0" w:space="0" w:color="auto"/>
      </w:divBdr>
    </w:div>
    <w:div w:id="9141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5A07-E294-4BCA-8960-AB64D75F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6136</Words>
  <Characters>34979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Mary Bruce</cp:lastModifiedBy>
  <cp:revision>5</cp:revision>
  <cp:lastPrinted>2023-01-09T14:37:00Z</cp:lastPrinted>
  <dcterms:created xsi:type="dcterms:W3CDTF">2023-01-11T10:22:00Z</dcterms:created>
  <dcterms:modified xsi:type="dcterms:W3CDTF">2024-01-17T09:26:00Z</dcterms:modified>
</cp:coreProperties>
</file>