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8B" w:rsidRDefault="00BC478B" w:rsidP="00BC478B">
      <w:pPr>
        <w:spacing w:after="0" w:line="480" w:lineRule="auto"/>
        <w:jc w:val="center"/>
        <w:rPr>
          <w:rFonts w:ascii="Arial" w:hAnsi="Arial" w:cs="Arial"/>
          <w:b/>
          <w:sz w:val="24"/>
          <w:szCs w:val="24"/>
          <w:lang w:val="en-US"/>
        </w:rPr>
      </w:pPr>
      <w:bookmarkStart w:id="0" w:name="_GoBack"/>
      <w:bookmarkEnd w:id="0"/>
      <w:r>
        <w:rPr>
          <w:rFonts w:ascii="Arial" w:hAnsi="Arial" w:cs="Arial"/>
          <w:noProof/>
          <w:sz w:val="24"/>
          <w:szCs w:val="24"/>
          <w:lang w:val="en-US"/>
        </w:rPr>
        <w:drawing>
          <wp:inline distT="0" distB="0" distL="0" distR="0" wp14:anchorId="3AAD63C3" wp14:editId="28D8F1B4">
            <wp:extent cx="1400175" cy="1333500"/>
            <wp:effectExtent l="0" t="0" r="9525"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p w:rsidR="00BC478B" w:rsidRDefault="00BC478B" w:rsidP="00BC478B">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rsidR="00BC478B" w:rsidRDefault="00BC478B" w:rsidP="00BC478B">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MAKHANDA)</w:t>
      </w:r>
    </w:p>
    <w:p w:rsidR="00BC478B" w:rsidRDefault="00BC478B" w:rsidP="00BC478B">
      <w:pPr>
        <w:spacing w:after="0" w:line="480" w:lineRule="auto"/>
        <w:jc w:val="right"/>
        <w:rPr>
          <w:rFonts w:ascii="Arial" w:hAnsi="Arial" w:cs="Arial"/>
          <w:b/>
          <w:sz w:val="24"/>
          <w:szCs w:val="24"/>
          <w:lang w:val="en-US"/>
        </w:rPr>
      </w:pPr>
    </w:p>
    <w:p w:rsidR="00BC478B" w:rsidRDefault="00BC478B" w:rsidP="00BC478B">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2160/2022</w:t>
      </w:r>
    </w:p>
    <w:p w:rsidR="00BC478B" w:rsidRDefault="00BC478B" w:rsidP="00BC478B">
      <w:pPr>
        <w:spacing w:after="0" w:line="480" w:lineRule="auto"/>
        <w:jc w:val="right"/>
        <w:rPr>
          <w:rFonts w:ascii="Arial" w:hAnsi="Arial" w:cs="Arial"/>
          <w:b/>
          <w:sz w:val="24"/>
          <w:szCs w:val="24"/>
          <w:lang w:val="en-US"/>
        </w:rPr>
      </w:pPr>
      <w:r>
        <w:rPr>
          <w:rFonts w:ascii="Arial" w:hAnsi="Arial" w:cs="Arial"/>
          <w:b/>
          <w:sz w:val="24"/>
          <w:szCs w:val="24"/>
          <w:lang w:val="en-US"/>
        </w:rPr>
        <w:t xml:space="preserve">                                                   Matter heard on:  02 February 2023</w:t>
      </w:r>
    </w:p>
    <w:p w:rsidR="00BC478B" w:rsidRDefault="00BC478B" w:rsidP="00BC478B">
      <w:pPr>
        <w:spacing w:after="0" w:line="480" w:lineRule="auto"/>
        <w:jc w:val="right"/>
        <w:rPr>
          <w:rFonts w:ascii="Arial" w:hAnsi="Arial" w:cs="Arial"/>
          <w:b/>
          <w:sz w:val="24"/>
          <w:szCs w:val="24"/>
          <w:lang w:val="en-US"/>
        </w:rPr>
      </w:pPr>
      <w:r>
        <w:rPr>
          <w:rFonts w:ascii="Arial" w:hAnsi="Arial" w:cs="Arial"/>
          <w:b/>
          <w:sz w:val="24"/>
          <w:szCs w:val="24"/>
          <w:lang w:val="en-US"/>
        </w:rPr>
        <w:t xml:space="preserve">                                                         Judgement delivered on:  </w:t>
      </w:r>
      <w:r w:rsidR="006D2FB1">
        <w:rPr>
          <w:rFonts w:ascii="Arial" w:hAnsi="Arial" w:cs="Arial"/>
          <w:b/>
          <w:sz w:val="24"/>
          <w:szCs w:val="24"/>
          <w:lang w:val="en-US"/>
        </w:rPr>
        <w:t>14</w:t>
      </w:r>
      <w:r>
        <w:rPr>
          <w:rFonts w:ascii="Arial" w:hAnsi="Arial" w:cs="Arial"/>
          <w:b/>
          <w:sz w:val="24"/>
          <w:szCs w:val="24"/>
          <w:lang w:val="en-US"/>
        </w:rPr>
        <w:t xml:space="preserve"> February 2023</w:t>
      </w:r>
    </w:p>
    <w:p w:rsidR="00BC478B" w:rsidRDefault="00BC478B" w:rsidP="00BC478B">
      <w:pPr>
        <w:spacing w:after="0" w:line="480" w:lineRule="auto"/>
        <w:jc w:val="both"/>
        <w:rPr>
          <w:rFonts w:ascii="Arial" w:hAnsi="Arial" w:cs="Arial"/>
          <w:bCs/>
          <w:sz w:val="24"/>
          <w:szCs w:val="24"/>
          <w:lang w:val="en-US"/>
        </w:rPr>
      </w:pPr>
    </w:p>
    <w:p w:rsidR="00BC478B" w:rsidRDefault="00BC478B" w:rsidP="00BC478B">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rsidR="00BC478B" w:rsidRDefault="00BC478B" w:rsidP="00BC478B">
      <w:pPr>
        <w:spacing w:after="0" w:line="480" w:lineRule="auto"/>
        <w:jc w:val="both"/>
        <w:rPr>
          <w:rFonts w:ascii="Arial" w:hAnsi="Arial" w:cs="Arial"/>
          <w:b/>
          <w:sz w:val="24"/>
          <w:szCs w:val="24"/>
          <w:lang w:val="en-US"/>
        </w:rPr>
      </w:pPr>
    </w:p>
    <w:p w:rsidR="00BC478B" w:rsidRDefault="00BC478B" w:rsidP="00BC478B">
      <w:pPr>
        <w:spacing w:after="0" w:line="480" w:lineRule="auto"/>
        <w:jc w:val="both"/>
        <w:rPr>
          <w:rFonts w:ascii="Arial" w:hAnsi="Arial" w:cs="Arial"/>
          <w:b/>
          <w:sz w:val="24"/>
          <w:szCs w:val="24"/>
          <w:lang w:val="en-US"/>
        </w:rPr>
      </w:pPr>
      <w:r>
        <w:rPr>
          <w:rFonts w:ascii="Arial" w:hAnsi="Arial" w:cs="Arial"/>
          <w:b/>
          <w:sz w:val="24"/>
          <w:szCs w:val="24"/>
          <w:lang w:val="en-US"/>
        </w:rPr>
        <w:t>THE MINISTER OF POLICE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w:t>
      </w:r>
    </w:p>
    <w:p w:rsidR="00BC478B" w:rsidRDefault="00BC478B" w:rsidP="00BC478B">
      <w:pPr>
        <w:spacing w:after="0" w:line="480" w:lineRule="auto"/>
        <w:jc w:val="both"/>
        <w:rPr>
          <w:rFonts w:ascii="Arial" w:hAnsi="Arial" w:cs="Arial"/>
          <w:bCs/>
          <w:sz w:val="24"/>
          <w:szCs w:val="24"/>
          <w:lang w:val="en-US"/>
        </w:rPr>
      </w:pPr>
      <w:r>
        <w:rPr>
          <w:rFonts w:ascii="Arial" w:hAnsi="Arial" w:cs="Arial"/>
          <w:bCs/>
          <w:sz w:val="24"/>
          <w:szCs w:val="24"/>
          <w:lang w:val="en-US"/>
        </w:rPr>
        <w:t>and</w:t>
      </w:r>
    </w:p>
    <w:p w:rsidR="00BC478B" w:rsidRDefault="00B4314C" w:rsidP="00BC478B">
      <w:pPr>
        <w:spacing w:after="0" w:line="480" w:lineRule="auto"/>
        <w:jc w:val="both"/>
        <w:rPr>
          <w:rFonts w:ascii="Arial" w:hAnsi="Arial" w:cs="Arial"/>
          <w:b/>
          <w:sz w:val="24"/>
          <w:szCs w:val="24"/>
          <w:lang w:val="en-US"/>
        </w:rPr>
      </w:pPr>
      <w:r>
        <w:rPr>
          <w:rFonts w:ascii="Arial" w:hAnsi="Arial" w:cs="Arial"/>
          <w:b/>
          <w:sz w:val="24"/>
          <w:szCs w:val="24"/>
          <w:lang w:val="en-US"/>
        </w:rPr>
        <w:t>ANELE MAGWEBU</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9D531A">
        <w:rPr>
          <w:rFonts w:ascii="Arial" w:hAnsi="Arial" w:cs="Arial"/>
          <w:b/>
          <w:sz w:val="24"/>
          <w:szCs w:val="24"/>
          <w:lang w:val="en-US"/>
        </w:rPr>
        <w:t xml:space="preserve"> </w:t>
      </w:r>
      <w:r>
        <w:rPr>
          <w:rFonts w:ascii="Arial" w:hAnsi="Arial" w:cs="Arial"/>
          <w:b/>
          <w:sz w:val="24"/>
          <w:szCs w:val="24"/>
          <w:lang w:val="en-US"/>
        </w:rPr>
        <w:t xml:space="preserve"> First</w:t>
      </w:r>
      <w:r w:rsidR="00BC478B">
        <w:rPr>
          <w:rFonts w:ascii="Arial" w:hAnsi="Arial" w:cs="Arial"/>
          <w:b/>
          <w:sz w:val="24"/>
          <w:szCs w:val="24"/>
          <w:lang w:val="en-US"/>
        </w:rPr>
        <w:t xml:space="preserve"> Respondent</w:t>
      </w:r>
    </w:p>
    <w:p w:rsidR="00BC478B" w:rsidRDefault="00B4314C" w:rsidP="00BC478B">
      <w:pPr>
        <w:spacing w:after="0" w:line="480" w:lineRule="auto"/>
        <w:jc w:val="both"/>
        <w:rPr>
          <w:rFonts w:ascii="Arial" w:hAnsi="Arial" w:cs="Arial"/>
          <w:b/>
          <w:sz w:val="24"/>
          <w:szCs w:val="24"/>
          <w:lang w:val="en-US"/>
        </w:rPr>
      </w:pPr>
      <w:r>
        <w:rPr>
          <w:rFonts w:ascii="Arial" w:hAnsi="Arial" w:cs="Arial"/>
          <w:b/>
          <w:sz w:val="24"/>
          <w:szCs w:val="24"/>
          <w:lang w:val="en-US"/>
        </w:rPr>
        <w:t>Z.S. PONOANE &amp; CO.</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9D531A">
        <w:rPr>
          <w:rFonts w:ascii="Arial" w:hAnsi="Arial" w:cs="Arial"/>
          <w:b/>
          <w:sz w:val="24"/>
          <w:szCs w:val="24"/>
          <w:lang w:val="en-US"/>
        </w:rPr>
        <w:t xml:space="preserve"> </w:t>
      </w:r>
      <w:r>
        <w:rPr>
          <w:rFonts w:ascii="Arial" w:hAnsi="Arial" w:cs="Arial"/>
          <w:b/>
          <w:sz w:val="24"/>
          <w:szCs w:val="24"/>
          <w:lang w:val="en-US"/>
        </w:rPr>
        <w:t>Second</w:t>
      </w:r>
      <w:r w:rsidR="00BC478B">
        <w:rPr>
          <w:rFonts w:ascii="Arial" w:hAnsi="Arial" w:cs="Arial"/>
          <w:b/>
          <w:sz w:val="24"/>
          <w:szCs w:val="24"/>
          <w:lang w:val="en-US"/>
        </w:rPr>
        <w:t xml:space="preserve"> Respondent</w:t>
      </w:r>
    </w:p>
    <w:p w:rsidR="00BC478B" w:rsidRDefault="00BC478B" w:rsidP="00BC478B">
      <w:pPr>
        <w:spacing w:after="0" w:line="480" w:lineRule="auto"/>
        <w:jc w:val="both"/>
        <w:rPr>
          <w:rFonts w:ascii="Arial" w:hAnsi="Arial" w:cs="Arial"/>
          <w:b/>
          <w:sz w:val="24"/>
          <w:szCs w:val="24"/>
          <w:lang w:val="en-US"/>
        </w:rPr>
      </w:pPr>
      <w:r>
        <w:rPr>
          <w:rFonts w:ascii="Arial" w:hAnsi="Arial" w:cs="Arial"/>
          <w:b/>
          <w:sz w:val="24"/>
          <w:szCs w:val="24"/>
          <w:lang w:val="en-US"/>
        </w:rPr>
        <w:t>THE SHERIFF OF</w:t>
      </w:r>
      <w:r w:rsidR="00B4314C">
        <w:rPr>
          <w:rFonts w:ascii="Arial" w:hAnsi="Arial" w:cs="Arial"/>
          <w:b/>
          <w:sz w:val="24"/>
          <w:szCs w:val="24"/>
          <w:lang w:val="en-US"/>
        </w:rPr>
        <w:t xml:space="preserve"> THE COURT, QUEENSTOWN</w:t>
      </w:r>
      <w:r w:rsidR="00B4314C">
        <w:rPr>
          <w:rFonts w:ascii="Arial" w:hAnsi="Arial" w:cs="Arial"/>
          <w:b/>
          <w:sz w:val="24"/>
          <w:szCs w:val="24"/>
          <w:lang w:val="en-US"/>
        </w:rPr>
        <w:tab/>
      </w:r>
      <w:r w:rsidR="00B4314C">
        <w:rPr>
          <w:rFonts w:ascii="Arial" w:hAnsi="Arial" w:cs="Arial"/>
          <w:b/>
          <w:sz w:val="24"/>
          <w:szCs w:val="24"/>
          <w:lang w:val="en-US"/>
        </w:rPr>
        <w:tab/>
        <w:t xml:space="preserve">      </w:t>
      </w:r>
      <w:r w:rsidR="009D531A">
        <w:rPr>
          <w:rFonts w:ascii="Arial" w:hAnsi="Arial" w:cs="Arial"/>
          <w:b/>
          <w:sz w:val="24"/>
          <w:szCs w:val="24"/>
          <w:lang w:val="en-US"/>
        </w:rPr>
        <w:t xml:space="preserve"> </w:t>
      </w:r>
      <w:r w:rsidR="00B4314C">
        <w:rPr>
          <w:rFonts w:ascii="Arial" w:hAnsi="Arial" w:cs="Arial"/>
          <w:b/>
          <w:sz w:val="24"/>
          <w:szCs w:val="24"/>
          <w:lang w:val="en-US"/>
        </w:rPr>
        <w:t>Third</w:t>
      </w:r>
      <w:r>
        <w:rPr>
          <w:rFonts w:ascii="Arial" w:hAnsi="Arial" w:cs="Arial"/>
          <w:b/>
          <w:sz w:val="24"/>
          <w:szCs w:val="24"/>
          <w:lang w:val="en-US"/>
        </w:rPr>
        <w:t xml:space="preserve"> Respondent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7B5AEB" w:rsidRPr="005C76EF" w:rsidTr="0035547A">
        <w:trPr>
          <w:trHeight w:val="2117"/>
        </w:trPr>
        <w:tc>
          <w:tcPr>
            <w:tcW w:w="4948" w:type="dxa"/>
          </w:tcPr>
          <w:p w:rsidR="007B5AEB" w:rsidRPr="005C76EF" w:rsidRDefault="007B5AEB" w:rsidP="007B5AEB">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rsidR="007B5AEB" w:rsidRPr="005C76EF" w:rsidRDefault="007B5AEB" w:rsidP="007B5AEB">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OF INTEREST TO OTHER JUDGES: NO</w:t>
            </w:r>
          </w:p>
          <w:p w:rsidR="007B5AEB" w:rsidRPr="005C76EF" w:rsidRDefault="007B5AEB" w:rsidP="007B5AEB">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rsidR="007B5AEB" w:rsidRPr="005C76EF" w:rsidRDefault="007B5AEB" w:rsidP="0035547A">
            <w:pPr>
              <w:spacing w:line="360" w:lineRule="auto"/>
              <w:ind w:left="447"/>
              <w:contextualSpacing/>
              <w:jc w:val="both"/>
              <w:rPr>
                <w:rFonts w:ascii="Arial" w:hAnsi="Arial" w:cs="Arial"/>
                <w:b/>
                <w:sz w:val="18"/>
                <w:szCs w:val="18"/>
                <w:lang w:val="en-US"/>
              </w:rPr>
            </w:pPr>
          </w:p>
          <w:p w:rsidR="007B5AEB" w:rsidRPr="005C76EF" w:rsidRDefault="007B5AEB" w:rsidP="0035547A">
            <w:pPr>
              <w:spacing w:line="360" w:lineRule="auto"/>
              <w:jc w:val="both"/>
              <w:rPr>
                <w:rFonts w:ascii="Arial" w:hAnsi="Arial" w:cs="Arial"/>
                <w:b/>
                <w:sz w:val="18"/>
                <w:szCs w:val="18"/>
                <w:lang w:val="en-US"/>
              </w:rPr>
            </w:pPr>
            <w:r w:rsidRPr="005C76EF">
              <w:rPr>
                <w:rFonts w:ascii="Arial" w:hAnsi="Arial" w:cs="Arial"/>
                <w:b/>
                <w:sz w:val="18"/>
                <w:szCs w:val="18"/>
                <w:lang w:val="en-US"/>
              </w:rPr>
              <w:t>…………………………               ………………………..</w:t>
            </w:r>
          </w:p>
          <w:p w:rsidR="007B5AEB" w:rsidRPr="005C76EF" w:rsidRDefault="007B5AEB" w:rsidP="0035547A">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rsidR="007B5AEB" w:rsidRPr="005C76EF" w:rsidRDefault="007B5AEB" w:rsidP="007B5AEB">
      <w:pPr>
        <w:spacing w:line="360" w:lineRule="auto"/>
        <w:jc w:val="both"/>
        <w:rPr>
          <w:rFonts w:ascii="Arial" w:hAnsi="Arial" w:cs="Arial"/>
          <w:b/>
          <w:lang w:val="en-US"/>
        </w:rPr>
      </w:pPr>
    </w:p>
    <w:p w:rsidR="007B5AEB" w:rsidRDefault="007B5AEB" w:rsidP="00BC478B">
      <w:pPr>
        <w:spacing w:after="0" w:line="480" w:lineRule="auto"/>
        <w:jc w:val="both"/>
        <w:rPr>
          <w:rFonts w:ascii="Arial" w:hAnsi="Arial" w:cs="Arial"/>
          <w:b/>
          <w:sz w:val="24"/>
          <w:szCs w:val="24"/>
          <w:lang w:val="en-US"/>
        </w:rPr>
      </w:pPr>
    </w:p>
    <w:p w:rsidR="007B5AEB" w:rsidRDefault="007B5AEB" w:rsidP="00BC478B">
      <w:pPr>
        <w:spacing w:after="0" w:line="480" w:lineRule="auto"/>
        <w:jc w:val="both"/>
        <w:rPr>
          <w:rFonts w:ascii="Arial" w:hAnsi="Arial" w:cs="Arial"/>
          <w:b/>
          <w:sz w:val="24"/>
          <w:szCs w:val="24"/>
          <w:lang w:val="en-US"/>
        </w:rPr>
      </w:pPr>
    </w:p>
    <w:p w:rsidR="007B5AEB" w:rsidRDefault="007B5AEB" w:rsidP="00BC478B">
      <w:pPr>
        <w:spacing w:after="0" w:line="480" w:lineRule="auto"/>
        <w:jc w:val="both"/>
        <w:rPr>
          <w:rFonts w:ascii="Arial" w:hAnsi="Arial" w:cs="Arial"/>
          <w:b/>
          <w:sz w:val="24"/>
          <w:szCs w:val="24"/>
          <w:lang w:val="en-US"/>
        </w:rPr>
      </w:pPr>
    </w:p>
    <w:p w:rsidR="00BC478B" w:rsidRDefault="00BC478B" w:rsidP="00BC478B">
      <w:pPr>
        <w:pBdr>
          <w:bottom w:val="single" w:sz="12" w:space="1" w:color="auto"/>
        </w:pBdr>
        <w:spacing w:after="0" w:line="240" w:lineRule="auto"/>
        <w:jc w:val="center"/>
        <w:rPr>
          <w:rFonts w:ascii="Arial" w:hAnsi="Arial" w:cs="Arial"/>
          <w:b/>
          <w:lang w:val="en-US"/>
        </w:rPr>
      </w:pPr>
    </w:p>
    <w:p w:rsidR="00BC478B" w:rsidRDefault="00BC478B" w:rsidP="00BC478B">
      <w:pPr>
        <w:spacing w:after="0" w:line="240" w:lineRule="auto"/>
        <w:jc w:val="center"/>
        <w:rPr>
          <w:rFonts w:ascii="Arial" w:hAnsi="Arial" w:cs="Arial"/>
          <w:b/>
          <w:lang w:val="en-US"/>
        </w:rPr>
      </w:pPr>
    </w:p>
    <w:p w:rsidR="00BC478B" w:rsidRDefault="00BC478B" w:rsidP="00BC478B">
      <w:pPr>
        <w:pBdr>
          <w:bottom w:val="single" w:sz="12" w:space="1" w:color="auto"/>
        </w:pBdr>
        <w:spacing w:after="0" w:line="240" w:lineRule="auto"/>
        <w:jc w:val="center"/>
        <w:rPr>
          <w:rFonts w:ascii="Arial" w:hAnsi="Arial" w:cs="Arial"/>
          <w:b/>
          <w:sz w:val="24"/>
          <w:szCs w:val="24"/>
          <w:lang w:val="en-US"/>
        </w:rPr>
      </w:pPr>
      <w:r>
        <w:rPr>
          <w:rFonts w:ascii="Arial" w:hAnsi="Arial" w:cs="Arial"/>
          <w:b/>
          <w:sz w:val="24"/>
          <w:szCs w:val="24"/>
          <w:lang w:val="en-US"/>
        </w:rPr>
        <w:t>JUDGMENT</w:t>
      </w:r>
    </w:p>
    <w:p w:rsidR="00BC478B" w:rsidRDefault="00BC478B" w:rsidP="00BC478B">
      <w:pPr>
        <w:pBdr>
          <w:bottom w:val="single" w:sz="12" w:space="1" w:color="auto"/>
        </w:pBdr>
        <w:spacing w:after="0" w:line="240" w:lineRule="auto"/>
        <w:jc w:val="center"/>
        <w:rPr>
          <w:rFonts w:ascii="Arial" w:hAnsi="Arial" w:cs="Arial"/>
          <w:b/>
          <w:sz w:val="24"/>
          <w:szCs w:val="24"/>
          <w:lang w:val="en-US"/>
        </w:rPr>
      </w:pPr>
    </w:p>
    <w:p w:rsidR="00BC478B" w:rsidRDefault="00BC478B" w:rsidP="00BC478B">
      <w:pPr>
        <w:spacing w:after="0" w:line="480" w:lineRule="auto"/>
        <w:jc w:val="both"/>
        <w:rPr>
          <w:rFonts w:ascii="Arial" w:hAnsi="Arial" w:cs="Arial"/>
          <w:b/>
          <w:sz w:val="24"/>
          <w:szCs w:val="24"/>
        </w:rPr>
      </w:pPr>
      <w:r>
        <w:rPr>
          <w:rFonts w:ascii="Arial" w:hAnsi="Arial" w:cs="Arial"/>
          <w:b/>
          <w:sz w:val="24"/>
          <w:szCs w:val="24"/>
        </w:rPr>
        <w:t>SMITH J:</w:t>
      </w:r>
    </w:p>
    <w:p w:rsidR="003B4492" w:rsidRDefault="00BC478B" w:rsidP="00792126">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A879E6" w:rsidRPr="00A879E6">
        <w:rPr>
          <w:rFonts w:ascii="Arial" w:hAnsi="Arial" w:cs="Arial"/>
          <w:sz w:val="24"/>
          <w:szCs w:val="24"/>
        </w:rPr>
        <w:t xml:space="preserve">The applicant, </w:t>
      </w:r>
      <w:r w:rsidR="006B4E23">
        <w:rPr>
          <w:rFonts w:ascii="Arial" w:hAnsi="Arial" w:cs="Arial"/>
          <w:sz w:val="24"/>
          <w:szCs w:val="24"/>
        </w:rPr>
        <w:t xml:space="preserve">namely </w:t>
      </w:r>
      <w:r w:rsidR="00A879E6" w:rsidRPr="00A879E6">
        <w:rPr>
          <w:rFonts w:ascii="Arial" w:hAnsi="Arial" w:cs="Arial"/>
          <w:sz w:val="24"/>
          <w:szCs w:val="24"/>
        </w:rPr>
        <w:t>the Minister of Police, brought proceedings for an order, inter alia, declaring unlawful and setting aside a warrant of e</w:t>
      </w:r>
      <w:r w:rsidR="00C47C4D">
        <w:rPr>
          <w:rFonts w:ascii="Arial" w:hAnsi="Arial" w:cs="Arial"/>
          <w:sz w:val="24"/>
          <w:szCs w:val="24"/>
        </w:rPr>
        <w:t>xecution issued by the first defendant</w:t>
      </w:r>
      <w:r w:rsidR="00A879E6" w:rsidRPr="00A879E6">
        <w:rPr>
          <w:rFonts w:ascii="Arial" w:hAnsi="Arial" w:cs="Arial"/>
          <w:sz w:val="24"/>
          <w:szCs w:val="24"/>
        </w:rPr>
        <w:t xml:space="preserve"> on 23 November 2021</w:t>
      </w:r>
      <w:r w:rsidR="00290C97">
        <w:rPr>
          <w:rFonts w:ascii="Arial" w:hAnsi="Arial" w:cs="Arial"/>
          <w:sz w:val="24"/>
          <w:szCs w:val="24"/>
        </w:rPr>
        <w:t>,</w:t>
      </w:r>
      <w:r w:rsidR="00C152F2">
        <w:rPr>
          <w:rFonts w:ascii="Arial" w:hAnsi="Arial" w:cs="Arial"/>
          <w:sz w:val="24"/>
          <w:szCs w:val="24"/>
        </w:rPr>
        <w:t xml:space="preserve"> as well as</w:t>
      </w:r>
      <w:r w:rsidR="006B4E23">
        <w:rPr>
          <w:rFonts w:ascii="Arial" w:hAnsi="Arial" w:cs="Arial"/>
          <w:sz w:val="24"/>
          <w:szCs w:val="24"/>
        </w:rPr>
        <w:t xml:space="preserve"> </w:t>
      </w:r>
      <w:r w:rsidR="00A879E6" w:rsidRPr="00A879E6">
        <w:rPr>
          <w:rFonts w:ascii="Arial" w:hAnsi="Arial" w:cs="Arial"/>
          <w:sz w:val="24"/>
          <w:szCs w:val="24"/>
        </w:rPr>
        <w:t xml:space="preserve">the attachment </w:t>
      </w:r>
      <w:r w:rsidR="00A879E6">
        <w:rPr>
          <w:rFonts w:ascii="Arial" w:hAnsi="Arial" w:cs="Arial"/>
          <w:sz w:val="24"/>
          <w:szCs w:val="24"/>
        </w:rPr>
        <w:t xml:space="preserve">of property </w:t>
      </w:r>
      <w:r w:rsidR="007C1FA9">
        <w:rPr>
          <w:rFonts w:ascii="Arial" w:hAnsi="Arial" w:cs="Arial"/>
          <w:sz w:val="24"/>
          <w:szCs w:val="24"/>
        </w:rPr>
        <w:t>and</w:t>
      </w:r>
      <w:r w:rsidR="00A879E6" w:rsidRPr="00A879E6">
        <w:rPr>
          <w:rFonts w:ascii="Arial" w:hAnsi="Arial" w:cs="Arial"/>
          <w:sz w:val="24"/>
          <w:szCs w:val="24"/>
        </w:rPr>
        <w:t xml:space="preserve"> sale in execution </w:t>
      </w:r>
      <w:r w:rsidR="00A879E6">
        <w:rPr>
          <w:rFonts w:ascii="Arial" w:hAnsi="Arial" w:cs="Arial"/>
          <w:sz w:val="24"/>
          <w:szCs w:val="24"/>
        </w:rPr>
        <w:t xml:space="preserve">held </w:t>
      </w:r>
      <w:r w:rsidR="00A879E6" w:rsidRPr="00A879E6">
        <w:rPr>
          <w:rFonts w:ascii="Arial" w:hAnsi="Arial" w:cs="Arial"/>
          <w:sz w:val="24"/>
          <w:szCs w:val="24"/>
        </w:rPr>
        <w:t>pursuant thereto.</w:t>
      </w:r>
    </w:p>
    <w:p w:rsidR="004362CA" w:rsidRDefault="004362CA" w:rsidP="00792126">
      <w:pPr>
        <w:spacing w:after="0" w:line="360" w:lineRule="auto"/>
        <w:jc w:val="both"/>
        <w:rPr>
          <w:rFonts w:ascii="Arial" w:hAnsi="Arial" w:cs="Arial"/>
          <w:sz w:val="24"/>
          <w:szCs w:val="24"/>
        </w:rPr>
      </w:pPr>
    </w:p>
    <w:p w:rsidR="000F01FD" w:rsidRDefault="00BC478B" w:rsidP="0079212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24C7F">
        <w:rPr>
          <w:rFonts w:ascii="Arial" w:hAnsi="Arial" w:cs="Arial"/>
          <w:sz w:val="24"/>
          <w:szCs w:val="24"/>
        </w:rPr>
        <w:t xml:space="preserve">The first respondent is the judgment creditor and had issued the </w:t>
      </w:r>
      <w:r w:rsidR="00CC32A1">
        <w:rPr>
          <w:rFonts w:ascii="Arial" w:hAnsi="Arial" w:cs="Arial"/>
          <w:sz w:val="24"/>
          <w:szCs w:val="24"/>
        </w:rPr>
        <w:t xml:space="preserve">impugned </w:t>
      </w:r>
      <w:r w:rsidR="00E24C7F">
        <w:rPr>
          <w:rFonts w:ascii="Arial" w:hAnsi="Arial" w:cs="Arial"/>
          <w:sz w:val="24"/>
          <w:szCs w:val="24"/>
        </w:rPr>
        <w:t xml:space="preserve">warrant in pursuance of an </w:t>
      </w:r>
      <w:r w:rsidR="00174B16" w:rsidRPr="00912230">
        <w:rPr>
          <w:rFonts w:ascii="Arial" w:hAnsi="Arial" w:cs="Arial"/>
          <w:i/>
          <w:sz w:val="24"/>
          <w:szCs w:val="24"/>
        </w:rPr>
        <w:t>allocatu</w:t>
      </w:r>
      <w:r w:rsidR="00E24C7F" w:rsidRPr="00912230">
        <w:rPr>
          <w:rFonts w:ascii="Arial" w:hAnsi="Arial" w:cs="Arial"/>
          <w:i/>
          <w:sz w:val="24"/>
          <w:szCs w:val="24"/>
        </w:rPr>
        <w:t>r</w:t>
      </w:r>
      <w:r w:rsidR="00E24C7F">
        <w:rPr>
          <w:rFonts w:ascii="Arial" w:hAnsi="Arial" w:cs="Arial"/>
          <w:sz w:val="24"/>
          <w:szCs w:val="24"/>
        </w:rPr>
        <w:t xml:space="preserve"> in respect of taxed costs. The second respondent is the attorneys firm who represented the first respondent and had </w:t>
      </w:r>
      <w:r w:rsidR="002B33E3">
        <w:rPr>
          <w:rFonts w:ascii="Arial" w:hAnsi="Arial" w:cs="Arial"/>
          <w:sz w:val="24"/>
          <w:szCs w:val="24"/>
        </w:rPr>
        <w:t>issued</w:t>
      </w:r>
      <w:r w:rsidR="00E24C7F">
        <w:rPr>
          <w:rFonts w:ascii="Arial" w:hAnsi="Arial" w:cs="Arial"/>
          <w:sz w:val="24"/>
          <w:szCs w:val="24"/>
        </w:rPr>
        <w:t xml:space="preserve"> the impugned warrant. The third respondent is the </w:t>
      </w:r>
      <w:r w:rsidR="002B33E3">
        <w:rPr>
          <w:rFonts w:ascii="Arial" w:hAnsi="Arial" w:cs="Arial"/>
          <w:sz w:val="24"/>
          <w:szCs w:val="24"/>
        </w:rPr>
        <w:t>Sheriff</w:t>
      </w:r>
      <w:r w:rsidR="000F01FD">
        <w:rPr>
          <w:rFonts w:ascii="Arial" w:hAnsi="Arial" w:cs="Arial"/>
          <w:sz w:val="24"/>
          <w:szCs w:val="24"/>
        </w:rPr>
        <w:t xml:space="preserve"> of the Court for the Komani district.</w:t>
      </w:r>
    </w:p>
    <w:p w:rsidR="00BC478B" w:rsidRDefault="00BC478B" w:rsidP="00792126">
      <w:pPr>
        <w:spacing w:after="0" w:line="360" w:lineRule="auto"/>
        <w:jc w:val="both"/>
        <w:rPr>
          <w:rFonts w:ascii="Arial" w:hAnsi="Arial" w:cs="Arial"/>
          <w:sz w:val="24"/>
          <w:szCs w:val="24"/>
        </w:rPr>
      </w:pPr>
    </w:p>
    <w:p w:rsidR="00E24C7F" w:rsidRDefault="00BC478B" w:rsidP="0079212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B33E3">
        <w:rPr>
          <w:rFonts w:ascii="Arial" w:hAnsi="Arial" w:cs="Arial"/>
          <w:sz w:val="24"/>
          <w:szCs w:val="24"/>
        </w:rPr>
        <w:t>The warrant of execution was issued in the following circumstances. The first respondent instituted civil action against the applicant in the Whittlesea Magistrate Court during 20</w:t>
      </w:r>
      <w:r w:rsidR="00701125">
        <w:rPr>
          <w:rFonts w:ascii="Arial" w:hAnsi="Arial" w:cs="Arial"/>
          <w:sz w:val="24"/>
          <w:szCs w:val="24"/>
        </w:rPr>
        <w:t>12. He eventually obtained judg</w:t>
      </w:r>
      <w:r w:rsidR="002B33E3">
        <w:rPr>
          <w:rFonts w:ascii="Arial" w:hAnsi="Arial" w:cs="Arial"/>
          <w:sz w:val="24"/>
          <w:szCs w:val="24"/>
        </w:rPr>
        <w:t>ment in the sum of R75</w:t>
      </w:r>
      <w:r w:rsidR="00701125">
        <w:rPr>
          <w:rFonts w:ascii="Arial" w:hAnsi="Arial" w:cs="Arial"/>
          <w:sz w:val="24"/>
          <w:szCs w:val="24"/>
        </w:rPr>
        <w:t> </w:t>
      </w:r>
      <w:r w:rsidR="002B33E3">
        <w:rPr>
          <w:rFonts w:ascii="Arial" w:hAnsi="Arial" w:cs="Arial"/>
          <w:sz w:val="24"/>
          <w:szCs w:val="24"/>
        </w:rPr>
        <w:t>000</w:t>
      </w:r>
      <w:r w:rsidR="00701125">
        <w:rPr>
          <w:rFonts w:ascii="Arial" w:hAnsi="Arial" w:cs="Arial"/>
          <w:sz w:val="24"/>
          <w:szCs w:val="24"/>
        </w:rPr>
        <w:t>,</w:t>
      </w:r>
      <w:r w:rsidR="002B33E3">
        <w:rPr>
          <w:rFonts w:ascii="Arial" w:hAnsi="Arial" w:cs="Arial"/>
          <w:sz w:val="24"/>
          <w:szCs w:val="24"/>
        </w:rPr>
        <w:t xml:space="preserve"> with costs.</w:t>
      </w:r>
      <w:r w:rsidR="000F01FD">
        <w:rPr>
          <w:rFonts w:ascii="Arial" w:hAnsi="Arial" w:cs="Arial"/>
          <w:sz w:val="24"/>
          <w:szCs w:val="24"/>
        </w:rPr>
        <w:t xml:space="preserve"> </w:t>
      </w:r>
      <w:r w:rsidR="002B33E3">
        <w:rPr>
          <w:rFonts w:ascii="Arial" w:hAnsi="Arial" w:cs="Arial"/>
          <w:sz w:val="24"/>
          <w:szCs w:val="24"/>
        </w:rPr>
        <w:t xml:space="preserve">His costs were subsequently taxed in the sum of R138 184.76. Aggrieved by the Taxing Master’s decision to allow certain items despite his objection, the applicant took the latter’s decision on review. </w:t>
      </w:r>
      <w:r w:rsidR="00B401B8">
        <w:rPr>
          <w:rFonts w:ascii="Arial" w:hAnsi="Arial" w:cs="Arial"/>
          <w:sz w:val="24"/>
          <w:szCs w:val="24"/>
        </w:rPr>
        <w:t xml:space="preserve">The review was, however, resolved in favour of the first respondent and the </w:t>
      </w:r>
      <w:r w:rsidR="00D006DE">
        <w:rPr>
          <w:rFonts w:ascii="Arial" w:hAnsi="Arial" w:cs="Arial"/>
          <w:sz w:val="24"/>
          <w:szCs w:val="24"/>
        </w:rPr>
        <w:t xml:space="preserve">Taxing Master’s </w:t>
      </w:r>
      <w:r w:rsidR="00D006DE" w:rsidRPr="008F731C">
        <w:rPr>
          <w:rFonts w:ascii="Arial" w:hAnsi="Arial" w:cs="Arial"/>
          <w:i/>
          <w:sz w:val="24"/>
          <w:szCs w:val="24"/>
        </w:rPr>
        <w:t>allocatu</w:t>
      </w:r>
      <w:r w:rsidR="00B401B8" w:rsidRPr="008F731C">
        <w:rPr>
          <w:rFonts w:ascii="Arial" w:hAnsi="Arial" w:cs="Arial"/>
          <w:i/>
          <w:sz w:val="24"/>
          <w:szCs w:val="24"/>
        </w:rPr>
        <w:t>r</w:t>
      </w:r>
      <w:r w:rsidR="00B401B8">
        <w:rPr>
          <w:rFonts w:ascii="Arial" w:hAnsi="Arial" w:cs="Arial"/>
          <w:sz w:val="24"/>
          <w:szCs w:val="24"/>
        </w:rPr>
        <w:t xml:space="preserve"> was increased. </w:t>
      </w:r>
      <w:r w:rsidR="00C90A6D">
        <w:rPr>
          <w:rFonts w:ascii="Arial" w:hAnsi="Arial" w:cs="Arial"/>
          <w:sz w:val="24"/>
          <w:szCs w:val="24"/>
        </w:rPr>
        <w:t xml:space="preserve">The applicant thereafter purported to lodge another review application, challenging the same items on the </w:t>
      </w:r>
      <w:r w:rsidR="001158E2">
        <w:rPr>
          <w:rFonts w:ascii="Arial" w:hAnsi="Arial" w:cs="Arial"/>
          <w:sz w:val="24"/>
          <w:szCs w:val="24"/>
        </w:rPr>
        <w:t xml:space="preserve">basis of the </w:t>
      </w:r>
      <w:r w:rsidR="00C90A6D">
        <w:rPr>
          <w:rFonts w:ascii="Arial" w:hAnsi="Arial" w:cs="Arial"/>
          <w:sz w:val="24"/>
          <w:szCs w:val="24"/>
        </w:rPr>
        <w:t xml:space="preserve">same factual averments. He was of course not entitled to so since the matter was </w:t>
      </w:r>
      <w:r w:rsidR="00C90A6D" w:rsidRPr="0022310E">
        <w:rPr>
          <w:rFonts w:ascii="Arial" w:hAnsi="Arial" w:cs="Arial"/>
          <w:i/>
          <w:sz w:val="24"/>
          <w:szCs w:val="24"/>
        </w:rPr>
        <w:t>res judicata</w:t>
      </w:r>
      <w:r w:rsidR="00C90A6D">
        <w:rPr>
          <w:rFonts w:ascii="Arial" w:hAnsi="Arial" w:cs="Arial"/>
          <w:sz w:val="24"/>
          <w:szCs w:val="24"/>
        </w:rPr>
        <w:t xml:space="preserve"> and his remedy was to appeal the Taxing Master’s </w:t>
      </w:r>
      <w:r w:rsidR="00471FC8">
        <w:rPr>
          <w:rFonts w:ascii="Arial" w:hAnsi="Arial" w:cs="Arial"/>
          <w:sz w:val="24"/>
          <w:szCs w:val="24"/>
        </w:rPr>
        <w:t xml:space="preserve">decision if he remained aggrieved. </w:t>
      </w:r>
      <w:r w:rsidR="006B4FE3">
        <w:rPr>
          <w:rFonts w:ascii="Arial" w:hAnsi="Arial" w:cs="Arial"/>
          <w:sz w:val="24"/>
          <w:szCs w:val="24"/>
        </w:rPr>
        <w:t xml:space="preserve">In argument before me, his legal representatives have correctly conceded that the </w:t>
      </w:r>
      <w:r w:rsidR="00E603B9">
        <w:rPr>
          <w:rFonts w:ascii="Arial" w:hAnsi="Arial" w:cs="Arial"/>
          <w:sz w:val="24"/>
          <w:szCs w:val="24"/>
        </w:rPr>
        <w:t>lodging</w:t>
      </w:r>
      <w:r w:rsidR="006B4FE3">
        <w:rPr>
          <w:rFonts w:ascii="Arial" w:hAnsi="Arial" w:cs="Arial"/>
          <w:sz w:val="24"/>
          <w:szCs w:val="24"/>
        </w:rPr>
        <w:t xml:space="preserve"> of the second review application </w:t>
      </w:r>
      <w:r w:rsidR="00066D48">
        <w:rPr>
          <w:rFonts w:ascii="Arial" w:hAnsi="Arial" w:cs="Arial"/>
          <w:sz w:val="24"/>
          <w:szCs w:val="24"/>
        </w:rPr>
        <w:t xml:space="preserve">was irregular, </w:t>
      </w:r>
      <w:r w:rsidR="006B4FE3">
        <w:rPr>
          <w:rFonts w:ascii="Arial" w:hAnsi="Arial" w:cs="Arial"/>
          <w:sz w:val="24"/>
          <w:szCs w:val="24"/>
        </w:rPr>
        <w:t>has no legal consequences</w:t>
      </w:r>
      <w:r w:rsidR="00612CB6">
        <w:rPr>
          <w:rFonts w:ascii="Arial" w:hAnsi="Arial" w:cs="Arial"/>
          <w:sz w:val="24"/>
          <w:szCs w:val="24"/>
        </w:rPr>
        <w:t>,</w:t>
      </w:r>
      <w:r w:rsidR="006B4FE3">
        <w:rPr>
          <w:rFonts w:ascii="Arial" w:hAnsi="Arial" w:cs="Arial"/>
          <w:sz w:val="24"/>
          <w:szCs w:val="24"/>
        </w:rPr>
        <w:t xml:space="preserve"> and the first respondent was consequently entitled to execute on the judgment debt.</w:t>
      </w:r>
    </w:p>
    <w:p w:rsidR="00792126" w:rsidRDefault="00792126" w:rsidP="00792126">
      <w:pPr>
        <w:spacing w:after="0" w:line="360" w:lineRule="auto"/>
        <w:jc w:val="both"/>
        <w:rPr>
          <w:rFonts w:ascii="Arial" w:hAnsi="Arial" w:cs="Arial"/>
          <w:sz w:val="24"/>
          <w:szCs w:val="24"/>
        </w:rPr>
      </w:pPr>
    </w:p>
    <w:p w:rsidR="00253DCF" w:rsidRDefault="00BC478B" w:rsidP="0079212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53DCF">
        <w:rPr>
          <w:rFonts w:ascii="Arial" w:hAnsi="Arial" w:cs="Arial"/>
          <w:sz w:val="24"/>
          <w:szCs w:val="24"/>
        </w:rPr>
        <w:t>The first respondent’</w:t>
      </w:r>
      <w:r w:rsidR="0067460C">
        <w:rPr>
          <w:rFonts w:ascii="Arial" w:hAnsi="Arial" w:cs="Arial"/>
          <w:sz w:val="24"/>
          <w:szCs w:val="24"/>
        </w:rPr>
        <w:t>s</w:t>
      </w:r>
      <w:r w:rsidR="00253DCF">
        <w:rPr>
          <w:rFonts w:ascii="Arial" w:hAnsi="Arial" w:cs="Arial"/>
          <w:sz w:val="24"/>
          <w:szCs w:val="24"/>
        </w:rPr>
        <w:t xml:space="preserve"> attempt to execute on the first warrant </w:t>
      </w:r>
      <w:r w:rsidR="003375C1">
        <w:rPr>
          <w:rFonts w:ascii="Arial" w:hAnsi="Arial" w:cs="Arial"/>
          <w:sz w:val="24"/>
          <w:szCs w:val="24"/>
        </w:rPr>
        <w:t xml:space="preserve">of execution </w:t>
      </w:r>
      <w:r w:rsidR="00253DCF">
        <w:rPr>
          <w:rFonts w:ascii="Arial" w:hAnsi="Arial" w:cs="Arial"/>
          <w:sz w:val="24"/>
          <w:szCs w:val="24"/>
        </w:rPr>
        <w:t>was thwarted by the applicant when the latter successfull</w:t>
      </w:r>
      <w:r w:rsidR="006C2DB0">
        <w:rPr>
          <w:rFonts w:ascii="Arial" w:hAnsi="Arial" w:cs="Arial"/>
          <w:sz w:val="24"/>
          <w:szCs w:val="24"/>
        </w:rPr>
        <w:t>y challenged the validity of that</w:t>
      </w:r>
      <w:r w:rsidR="00253DCF">
        <w:rPr>
          <w:rFonts w:ascii="Arial" w:hAnsi="Arial" w:cs="Arial"/>
          <w:sz w:val="24"/>
          <w:szCs w:val="24"/>
        </w:rPr>
        <w:t xml:space="preserve"> warrant and the resultant attachment and sale of property on the basis that the first respondent had failed to comply with the relevant </w:t>
      </w:r>
      <w:r w:rsidR="0020797F">
        <w:rPr>
          <w:rFonts w:ascii="Arial" w:hAnsi="Arial" w:cs="Arial"/>
          <w:sz w:val="24"/>
          <w:szCs w:val="24"/>
        </w:rPr>
        <w:t>provisions of the State Liability Act, 20 of 1957 (the Act)</w:t>
      </w:r>
      <w:r w:rsidR="003B464A">
        <w:rPr>
          <w:rFonts w:ascii="Arial" w:hAnsi="Arial" w:cs="Arial"/>
          <w:sz w:val="24"/>
          <w:szCs w:val="24"/>
        </w:rPr>
        <w:t>.</w:t>
      </w:r>
      <w:r w:rsidR="00195F9B">
        <w:rPr>
          <w:rFonts w:ascii="Arial" w:hAnsi="Arial" w:cs="Arial"/>
          <w:sz w:val="24"/>
          <w:szCs w:val="24"/>
        </w:rPr>
        <w:t xml:space="preserve"> </w:t>
      </w:r>
      <w:r w:rsidR="00433871">
        <w:rPr>
          <w:rFonts w:ascii="Arial" w:hAnsi="Arial" w:cs="Arial"/>
          <w:sz w:val="24"/>
          <w:szCs w:val="24"/>
        </w:rPr>
        <w:t xml:space="preserve">As a consequence of that order, the applicant has abandoned the relief in respect of the attachment of </w:t>
      </w:r>
      <w:r w:rsidR="00886DE8">
        <w:rPr>
          <w:rFonts w:ascii="Arial" w:hAnsi="Arial" w:cs="Arial"/>
          <w:sz w:val="24"/>
          <w:szCs w:val="24"/>
        </w:rPr>
        <w:t xml:space="preserve">state </w:t>
      </w:r>
      <w:r w:rsidR="00433871">
        <w:rPr>
          <w:rFonts w:ascii="Arial" w:hAnsi="Arial" w:cs="Arial"/>
          <w:sz w:val="24"/>
          <w:szCs w:val="24"/>
        </w:rPr>
        <w:t xml:space="preserve">vehicles and the sale in execution. It now only seeks an order that the warrant </w:t>
      </w:r>
      <w:r w:rsidR="006D2B3F">
        <w:rPr>
          <w:rFonts w:ascii="Arial" w:hAnsi="Arial" w:cs="Arial"/>
          <w:sz w:val="24"/>
          <w:szCs w:val="24"/>
        </w:rPr>
        <w:t>re-</w:t>
      </w:r>
      <w:r w:rsidR="00433871">
        <w:rPr>
          <w:rFonts w:ascii="Arial" w:hAnsi="Arial" w:cs="Arial"/>
          <w:sz w:val="24"/>
          <w:szCs w:val="24"/>
        </w:rPr>
        <w:t xml:space="preserve">issued </w:t>
      </w:r>
      <w:r w:rsidR="00BC60B4">
        <w:rPr>
          <w:rFonts w:ascii="Arial" w:hAnsi="Arial" w:cs="Arial"/>
          <w:sz w:val="24"/>
          <w:szCs w:val="24"/>
        </w:rPr>
        <w:t>on 23 November 2021</w:t>
      </w:r>
      <w:r w:rsidR="006B5E7B">
        <w:rPr>
          <w:rFonts w:ascii="Arial" w:hAnsi="Arial" w:cs="Arial"/>
          <w:sz w:val="24"/>
          <w:szCs w:val="24"/>
        </w:rPr>
        <w:t xml:space="preserve"> </w:t>
      </w:r>
      <w:r w:rsidR="00433871">
        <w:rPr>
          <w:rFonts w:ascii="Arial" w:hAnsi="Arial" w:cs="Arial"/>
          <w:sz w:val="24"/>
          <w:szCs w:val="24"/>
        </w:rPr>
        <w:t>be s</w:t>
      </w:r>
      <w:r w:rsidR="000A1262">
        <w:rPr>
          <w:rFonts w:ascii="Arial" w:hAnsi="Arial" w:cs="Arial"/>
          <w:sz w:val="24"/>
          <w:szCs w:val="24"/>
        </w:rPr>
        <w:t xml:space="preserve">et aside and the respondents </w:t>
      </w:r>
      <w:r w:rsidR="00433871">
        <w:rPr>
          <w:rFonts w:ascii="Arial" w:hAnsi="Arial" w:cs="Arial"/>
          <w:sz w:val="24"/>
          <w:szCs w:val="24"/>
        </w:rPr>
        <w:t>pay costs on a punitive scale.</w:t>
      </w:r>
    </w:p>
    <w:p w:rsidR="00F139D3" w:rsidRDefault="00BC478B" w:rsidP="00792126">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F139D3">
        <w:rPr>
          <w:rFonts w:ascii="Arial" w:hAnsi="Arial" w:cs="Arial"/>
          <w:sz w:val="24"/>
          <w:szCs w:val="24"/>
        </w:rPr>
        <w:t xml:space="preserve">The fact that the validity of the re-issued warrant of execution is the only </w:t>
      </w:r>
      <w:r w:rsidR="003A5D54">
        <w:rPr>
          <w:rFonts w:ascii="Arial" w:hAnsi="Arial" w:cs="Arial"/>
          <w:sz w:val="24"/>
          <w:szCs w:val="24"/>
        </w:rPr>
        <w:t>issue that remains for decision</w:t>
      </w:r>
      <w:r w:rsidR="004D4FF6">
        <w:rPr>
          <w:rFonts w:ascii="Arial" w:hAnsi="Arial" w:cs="Arial"/>
          <w:sz w:val="24"/>
          <w:szCs w:val="24"/>
        </w:rPr>
        <w:t>,</w:t>
      </w:r>
      <w:r w:rsidR="00F139D3">
        <w:rPr>
          <w:rFonts w:ascii="Arial" w:hAnsi="Arial" w:cs="Arial"/>
          <w:sz w:val="24"/>
          <w:szCs w:val="24"/>
        </w:rPr>
        <w:t xml:space="preserve"> has implications for the applicant</w:t>
      </w:r>
      <w:r w:rsidR="0040266D">
        <w:rPr>
          <w:rFonts w:ascii="Arial" w:hAnsi="Arial" w:cs="Arial"/>
          <w:sz w:val="24"/>
          <w:szCs w:val="24"/>
        </w:rPr>
        <w:t>’</w:t>
      </w:r>
      <w:r w:rsidR="00F139D3">
        <w:rPr>
          <w:rFonts w:ascii="Arial" w:hAnsi="Arial" w:cs="Arial"/>
          <w:sz w:val="24"/>
          <w:szCs w:val="24"/>
        </w:rPr>
        <w:t>s case against the third respondent</w:t>
      </w:r>
      <w:r w:rsidR="003A5D54">
        <w:rPr>
          <w:rFonts w:ascii="Arial" w:hAnsi="Arial" w:cs="Arial"/>
          <w:sz w:val="24"/>
          <w:szCs w:val="24"/>
        </w:rPr>
        <w:t>. Ms</w:t>
      </w:r>
      <w:r w:rsidR="0040266D">
        <w:rPr>
          <w:rFonts w:ascii="Arial" w:hAnsi="Arial" w:cs="Arial"/>
          <w:sz w:val="24"/>
          <w:szCs w:val="24"/>
        </w:rPr>
        <w:t xml:space="preserve"> </w:t>
      </w:r>
      <w:r w:rsidR="0040266D" w:rsidRPr="001E517D">
        <w:rPr>
          <w:rFonts w:ascii="Arial" w:hAnsi="Arial" w:cs="Arial"/>
          <w:i/>
          <w:sz w:val="24"/>
          <w:szCs w:val="24"/>
        </w:rPr>
        <w:t>Sephton</w:t>
      </w:r>
      <w:r w:rsidR="0040266D">
        <w:rPr>
          <w:rFonts w:ascii="Arial" w:hAnsi="Arial" w:cs="Arial"/>
          <w:sz w:val="24"/>
          <w:szCs w:val="24"/>
        </w:rPr>
        <w:t>, who appeared on his behalf</w:t>
      </w:r>
      <w:r w:rsidR="003A5D54">
        <w:rPr>
          <w:rFonts w:ascii="Arial" w:hAnsi="Arial" w:cs="Arial"/>
          <w:sz w:val="24"/>
          <w:szCs w:val="24"/>
        </w:rPr>
        <w:t>,</w:t>
      </w:r>
      <w:r w:rsidR="0040266D">
        <w:rPr>
          <w:rFonts w:ascii="Arial" w:hAnsi="Arial" w:cs="Arial"/>
          <w:sz w:val="24"/>
          <w:szCs w:val="24"/>
        </w:rPr>
        <w:t xml:space="preserve"> has correctly submitted that the former has no interest whatsoever in the </w:t>
      </w:r>
      <w:r w:rsidR="00A27D6D">
        <w:rPr>
          <w:rFonts w:ascii="Arial" w:hAnsi="Arial" w:cs="Arial"/>
          <w:sz w:val="24"/>
          <w:szCs w:val="24"/>
        </w:rPr>
        <w:t xml:space="preserve">resolution </w:t>
      </w:r>
      <w:r w:rsidR="0040266D">
        <w:rPr>
          <w:rFonts w:ascii="Arial" w:hAnsi="Arial" w:cs="Arial"/>
          <w:sz w:val="24"/>
          <w:szCs w:val="24"/>
        </w:rPr>
        <w:t xml:space="preserve">of </w:t>
      </w:r>
      <w:r w:rsidR="004D4FF6">
        <w:rPr>
          <w:rFonts w:ascii="Arial" w:hAnsi="Arial" w:cs="Arial"/>
          <w:sz w:val="24"/>
          <w:szCs w:val="24"/>
        </w:rPr>
        <w:t xml:space="preserve">that </w:t>
      </w:r>
      <w:r w:rsidR="0040266D">
        <w:rPr>
          <w:rFonts w:ascii="Arial" w:hAnsi="Arial" w:cs="Arial"/>
          <w:sz w:val="24"/>
          <w:szCs w:val="24"/>
        </w:rPr>
        <w:t>issue</w:t>
      </w:r>
      <w:r w:rsidR="00A27D6D">
        <w:rPr>
          <w:rFonts w:ascii="Arial" w:hAnsi="Arial" w:cs="Arial"/>
          <w:sz w:val="24"/>
          <w:szCs w:val="24"/>
        </w:rPr>
        <w:t>,</w:t>
      </w:r>
      <w:r w:rsidR="0040266D">
        <w:rPr>
          <w:rFonts w:ascii="Arial" w:hAnsi="Arial" w:cs="Arial"/>
          <w:sz w:val="24"/>
          <w:szCs w:val="24"/>
        </w:rPr>
        <w:t xml:space="preserve"> neither can </w:t>
      </w:r>
      <w:r w:rsidR="00A27D6D">
        <w:rPr>
          <w:rFonts w:ascii="Arial" w:hAnsi="Arial" w:cs="Arial"/>
          <w:sz w:val="24"/>
          <w:szCs w:val="24"/>
        </w:rPr>
        <w:t xml:space="preserve">he </w:t>
      </w:r>
      <w:r w:rsidR="00AE3E44">
        <w:rPr>
          <w:rFonts w:ascii="Arial" w:hAnsi="Arial" w:cs="Arial"/>
          <w:sz w:val="24"/>
          <w:szCs w:val="24"/>
        </w:rPr>
        <w:t>add anything that will contribute</w:t>
      </w:r>
      <w:r w:rsidR="00E4269A">
        <w:rPr>
          <w:rFonts w:ascii="Arial" w:hAnsi="Arial" w:cs="Arial"/>
          <w:sz w:val="24"/>
          <w:szCs w:val="24"/>
        </w:rPr>
        <w:t xml:space="preserve"> to the debate</w:t>
      </w:r>
      <w:r w:rsidR="005B0641">
        <w:rPr>
          <w:rFonts w:ascii="Arial" w:hAnsi="Arial" w:cs="Arial"/>
          <w:sz w:val="24"/>
          <w:szCs w:val="24"/>
        </w:rPr>
        <w:t xml:space="preserve"> regarding</w:t>
      </w:r>
      <w:r w:rsidR="00F621B3">
        <w:rPr>
          <w:rFonts w:ascii="Arial" w:hAnsi="Arial" w:cs="Arial"/>
          <w:sz w:val="24"/>
          <w:szCs w:val="24"/>
        </w:rPr>
        <w:t xml:space="preserve"> validity</w:t>
      </w:r>
      <w:r w:rsidR="005B0641">
        <w:rPr>
          <w:rFonts w:ascii="Arial" w:hAnsi="Arial" w:cs="Arial"/>
          <w:sz w:val="24"/>
          <w:szCs w:val="24"/>
        </w:rPr>
        <w:t xml:space="preserve"> of the warrant</w:t>
      </w:r>
      <w:r w:rsidR="00AE3E44">
        <w:rPr>
          <w:rFonts w:ascii="Arial" w:hAnsi="Arial" w:cs="Arial"/>
          <w:sz w:val="24"/>
          <w:szCs w:val="24"/>
        </w:rPr>
        <w:t xml:space="preserve">. </w:t>
      </w:r>
      <w:r w:rsidR="00BC4E79">
        <w:rPr>
          <w:rFonts w:ascii="Arial" w:hAnsi="Arial" w:cs="Arial"/>
          <w:sz w:val="24"/>
          <w:szCs w:val="24"/>
        </w:rPr>
        <w:t>T</w:t>
      </w:r>
      <w:r w:rsidR="00AE3E44">
        <w:rPr>
          <w:rFonts w:ascii="Arial" w:hAnsi="Arial" w:cs="Arial"/>
          <w:sz w:val="24"/>
          <w:szCs w:val="24"/>
        </w:rPr>
        <w:t>he application against the third respondent consequently f</w:t>
      </w:r>
      <w:r w:rsidR="00BC4E79">
        <w:rPr>
          <w:rFonts w:ascii="Arial" w:hAnsi="Arial" w:cs="Arial"/>
          <w:sz w:val="24"/>
          <w:szCs w:val="24"/>
        </w:rPr>
        <w:t>alls to be dismissed with costs</w:t>
      </w:r>
      <w:r w:rsidR="00244541">
        <w:rPr>
          <w:rFonts w:ascii="Arial" w:hAnsi="Arial" w:cs="Arial"/>
          <w:sz w:val="24"/>
          <w:szCs w:val="24"/>
        </w:rPr>
        <w:t>.</w:t>
      </w:r>
    </w:p>
    <w:p w:rsidR="00792126" w:rsidRDefault="00792126" w:rsidP="00792126">
      <w:pPr>
        <w:spacing w:after="0" w:line="360" w:lineRule="auto"/>
        <w:jc w:val="both"/>
        <w:rPr>
          <w:rFonts w:ascii="Arial" w:hAnsi="Arial" w:cs="Arial"/>
          <w:sz w:val="24"/>
          <w:szCs w:val="24"/>
        </w:rPr>
      </w:pPr>
    </w:p>
    <w:p w:rsidR="001629B7" w:rsidRDefault="00BC478B" w:rsidP="00792126">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629B7">
        <w:rPr>
          <w:rFonts w:ascii="Arial" w:hAnsi="Arial" w:cs="Arial"/>
          <w:sz w:val="24"/>
          <w:szCs w:val="24"/>
        </w:rPr>
        <w:t>The applicant contends that the re-issued warrant of execution falls to be set aside on the grounds that the first respondent has failed to comply with the provisions of the Act and it was issued under the wrong case number.</w:t>
      </w:r>
    </w:p>
    <w:p w:rsidR="00792126" w:rsidRDefault="00792126" w:rsidP="00792126">
      <w:pPr>
        <w:spacing w:after="0" w:line="360" w:lineRule="auto"/>
        <w:jc w:val="both"/>
        <w:rPr>
          <w:rFonts w:ascii="Arial" w:hAnsi="Arial" w:cs="Arial"/>
          <w:sz w:val="24"/>
          <w:szCs w:val="24"/>
        </w:rPr>
      </w:pPr>
    </w:p>
    <w:p w:rsidR="006C71EE" w:rsidRDefault="00BC478B" w:rsidP="0079212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C71EE">
        <w:rPr>
          <w:rFonts w:ascii="Arial" w:hAnsi="Arial" w:cs="Arial"/>
          <w:sz w:val="24"/>
          <w:szCs w:val="24"/>
        </w:rPr>
        <w:t>In terms of section 3</w:t>
      </w:r>
      <w:r w:rsidR="000B02B1">
        <w:rPr>
          <w:rFonts w:ascii="Arial" w:hAnsi="Arial" w:cs="Arial"/>
          <w:sz w:val="24"/>
          <w:szCs w:val="24"/>
        </w:rPr>
        <w:t xml:space="preserve"> </w:t>
      </w:r>
      <w:r w:rsidR="006C71EE">
        <w:rPr>
          <w:rFonts w:ascii="Arial" w:hAnsi="Arial" w:cs="Arial"/>
          <w:sz w:val="24"/>
          <w:szCs w:val="24"/>
        </w:rPr>
        <w:t xml:space="preserve">(3) of the Act, a final court order against the department for the payment of money, must be satisfied within 30 days of the date of an order or the time period agreed upon by the judgment creditor and the accounting officer of the </w:t>
      </w:r>
      <w:r w:rsidR="00D435DF">
        <w:rPr>
          <w:rFonts w:ascii="Arial" w:hAnsi="Arial" w:cs="Arial"/>
          <w:sz w:val="24"/>
          <w:szCs w:val="24"/>
        </w:rPr>
        <w:t xml:space="preserve">relevant </w:t>
      </w:r>
      <w:r w:rsidR="006C71EE">
        <w:rPr>
          <w:rFonts w:ascii="Arial" w:hAnsi="Arial" w:cs="Arial"/>
          <w:sz w:val="24"/>
          <w:szCs w:val="24"/>
        </w:rPr>
        <w:t xml:space="preserve">department. </w:t>
      </w:r>
      <w:r w:rsidR="00FF5598">
        <w:rPr>
          <w:rFonts w:ascii="Arial" w:hAnsi="Arial" w:cs="Arial"/>
          <w:sz w:val="24"/>
          <w:szCs w:val="24"/>
        </w:rPr>
        <w:t>And i</w:t>
      </w:r>
      <w:r w:rsidR="000B02B1">
        <w:rPr>
          <w:rFonts w:ascii="Arial" w:hAnsi="Arial" w:cs="Arial"/>
          <w:sz w:val="24"/>
          <w:szCs w:val="24"/>
        </w:rPr>
        <w:t>n terms of section 3 (4), i</w:t>
      </w:r>
      <w:r w:rsidR="006C71EE">
        <w:rPr>
          <w:rFonts w:ascii="Arial" w:hAnsi="Arial" w:cs="Arial"/>
          <w:sz w:val="24"/>
          <w:szCs w:val="24"/>
        </w:rPr>
        <w:t xml:space="preserve">f the relevant department does not pay within either of the aforementioned time periods, the judgment creditor may serve the court order in terms of the applicable court rules on the accounting officer, the state attorney or </w:t>
      </w:r>
      <w:r w:rsidR="00813058">
        <w:rPr>
          <w:rFonts w:ascii="Arial" w:hAnsi="Arial" w:cs="Arial"/>
          <w:sz w:val="24"/>
          <w:szCs w:val="24"/>
        </w:rPr>
        <w:t>another attorney acting on behalf of the department</w:t>
      </w:r>
      <w:r w:rsidR="000A1415">
        <w:rPr>
          <w:rFonts w:ascii="Arial" w:hAnsi="Arial" w:cs="Arial"/>
          <w:sz w:val="24"/>
          <w:szCs w:val="24"/>
        </w:rPr>
        <w:t>,</w:t>
      </w:r>
      <w:r w:rsidR="00813058">
        <w:rPr>
          <w:rFonts w:ascii="Arial" w:hAnsi="Arial" w:cs="Arial"/>
          <w:sz w:val="24"/>
          <w:szCs w:val="24"/>
        </w:rPr>
        <w:t xml:space="preserve"> and the relevant treasury.</w:t>
      </w:r>
      <w:r w:rsidR="00245CB9">
        <w:rPr>
          <w:rFonts w:ascii="Arial" w:hAnsi="Arial" w:cs="Arial"/>
          <w:sz w:val="24"/>
          <w:szCs w:val="24"/>
        </w:rPr>
        <w:t xml:space="preserve"> </w:t>
      </w:r>
    </w:p>
    <w:p w:rsidR="00792126" w:rsidRDefault="00792126" w:rsidP="00792126">
      <w:pPr>
        <w:spacing w:after="0" w:line="360" w:lineRule="auto"/>
        <w:jc w:val="both"/>
        <w:rPr>
          <w:rFonts w:ascii="Arial" w:hAnsi="Arial" w:cs="Arial"/>
          <w:sz w:val="24"/>
          <w:szCs w:val="24"/>
        </w:rPr>
      </w:pPr>
    </w:p>
    <w:p w:rsidR="00245CB9" w:rsidRDefault="00BC478B" w:rsidP="0079212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45CB9">
        <w:rPr>
          <w:rFonts w:ascii="Arial" w:hAnsi="Arial" w:cs="Arial"/>
          <w:sz w:val="24"/>
          <w:szCs w:val="24"/>
        </w:rPr>
        <w:t>The relevant treasury must the</w:t>
      </w:r>
      <w:r w:rsidR="000A1415">
        <w:rPr>
          <w:rFonts w:ascii="Arial" w:hAnsi="Arial" w:cs="Arial"/>
          <w:sz w:val="24"/>
          <w:szCs w:val="24"/>
        </w:rPr>
        <w:t>n</w:t>
      </w:r>
      <w:r w:rsidR="00245CB9">
        <w:rPr>
          <w:rFonts w:ascii="Arial" w:hAnsi="Arial" w:cs="Arial"/>
          <w:sz w:val="24"/>
          <w:szCs w:val="24"/>
        </w:rPr>
        <w:t xml:space="preserve"> ensure that the judgment debt is settled within 14 days of the service on it of the court order or make acceptable arrangements for payment with the judgment creditor</w:t>
      </w:r>
      <w:r w:rsidR="007676F1">
        <w:rPr>
          <w:rFonts w:ascii="Arial" w:hAnsi="Arial" w:cs="Arial"/>
          <w:sz w:val="24"/>
          <w:szCs w:val="24"/>
        </w:rPr>
        <w:t xml:space="preserve">, </w:t>
      </w:r>
      <w:r w:rsidR="000A1415">
        <w:rPr>
          <w:rFonts w:ascii="Arial" w:hAnsi="Arial" w:cs="Arial"/>
          <w:sz w:val="24"/>
          <w:szCs w:val="24"/>
        </w:rPr>
        <w:t xml:space="preserve">in terms of </w:t>
      </w:r>
      <w:r w:rsidR="00245CB9">
        <w:rPr>
          <w:rFonts w:ascii="Arial" w:hAnsi="Arial" w:cs="Arial"/>
          <w:sz w:val="24"/>
          <w:szCs w:val="24"/>
        </w:rPr>
        <w:t>section 3</w:t>
      </w:r>
      <w:r w:rsidR="000A1415">
        <w:rPr>
          <w:rFonts w:ascii="Arial" w:hAnsi="Arial" w:cs="Arial"/>
          <w:sz w:val="24"/>
          <w:szCs w:val="24"/>
        </w:rPr>
        <w:t xml:space="preserve"> </w:t>
      </w:r>
      <w:r w:rsidR="00245CB9">
        <w:rPr>
          <w:rFonts w:ascii="Arial" w:hAnsi="Arial" w:cs="Arial"/>
          <w:sz w:val="24"/>
          <w:szCs w:val="24"/>
        </w:rPr>
        <w:t xml:space="preserve">(5) of the Act. It is only if the </w:t>
      </w:r>
      <w:r w:rsidR="00864FE3">
        <w:rPr>
          <w:rFonts w:ascii="Arial" w:hAnsi="Arial" w:cs="Arial"/>
          <w:sz w:val="24"/>
          <w:szCs w:val="24"/>
        </w:rPr>
        <w:t xml:space="preserve">relevant </w:t>
      </w:r>
      <w:r w:rsidR="00245CB9">
        <w:rPr>
          <w:rFonts w:ascii="Arial" w:hAnsi="Arial" w:cs="Arial"/>
          <w:sz w:val="24"/>
          <w:szCs w:val="24"/>
        </w:rPr>
        <w:t>treasury fails to comply with its obligations in terms of the aforementioned section</w:t>
      </w:r>
      <w:r w:rsidR="0013334D">
        <w:rPr>
          <w:rFonts w:ascii="Arial" w:hAnsi="Arial" w:cs="Arial"/>
          <w:sz w:val="24"/>
          <w:szCs w:val="24"/>
        </w:rPr>
        <w:t>s</w:t>
      </w:r>
      <w:r w:rsidR="00245CB9">
        <w:rPr>
          <w:rFonts w:ascii="Arial" w:hAnsi="Arial" w:cs="Arial"/>
          <w:sz w:val="24"/>
          <w:szCs w:val="24"/>
        </w:rPr>
        <w:t xml:space="preserve"> that the judgment creditor is entitled to issue a warrant of execution</w:t>
      </w:r>
      <w:r w:rsidR="00A72AD3">
        <w:rPr>
          <w:rFonts w:ascii="Arial" w:hAnsi="Arial" w:cs="Arial"/>
          <w:sz w:val="24"/>
          <w:szCs w:val="24"/>
        </w:rPr>
        <w:t xml:space="preserve"> in terms of subsection 3 (6) of the Act</w:t>
      </w:r>
      <w:r w:rsidR="00245CB9">
        <w:rPr>
          <w:rFonts w:ascii="Arial" w:hAnsi="Arial" w:cs="Arial"/>
          <w:sz w:val="24"/>
          <w:szCs w:val="24"/>
        </w:rPr>
        <w:t>.</w:t>
      </w:r>
    </w:p>
    <w:p w:rsidR="00792126" w:rsidRDefault="00792126" w:rsidP="00792126">
      <w:pPr>
        <w:spacing w:after="0" w:line="360" w:lineRule="auto"/>
        <w:jc w:val="both"/>
        <w:rPr>
          <w:rFonts w:ascii="Arial" w:hAnsi="Arial" w:cs="Arial"/>
          <w:sz w:val="24"/>
          <w:szCs w:val="24"/>
        </w:rPr>
      </w:pPr>
    </w:p>
    <w:p w:rsidR="00723FB2" w:rsidRDefault="00BC478B" w:rsidP="00792126">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23FB2">
        <w:rPr>
          <w:rFonts w:ascii="Arial" w:hAnsi="Arial" w:cs="Arial"/>
          <w:sz w:val="24"/>
          <w:szCs w:val="24"/>
        </w:rPr>
        <w:t xml:space="preserve">The obligations of the Sheriff and </w:t>
      </w:r>
      <w:r w:rsidR="001F3EE6">
        <w:rPr>
          <w:rFonts w:ascii="Arial" w:hAnsi="Arial" w:cs="Arial"/>
          <w:sz w:val="24"/>
          <w:szCs w:val="24"/>
        </w:rPr>
        <w:t xml:space="preserve">the </w:t>
      </w:r>
      <w:r w:rsidR="00723FB2">
        <w:rPr>
          <w:rFonts w:ascii="Arial" w:hAnsi="Arial" w:cs="Arial"/>
          <w:sz w:val="24"/>
          <w:szCs w:val="24"/>
        </w:rPr>
        <w:t>judgment creditor when execu</w:t>
      </w:r>
      <w:r w:rsidR="0013334D">
        <w:rPr>
          <w:rFonts w:ascii="Arial" w:hAnsi="Arial" w:cs="Arial"/>
          <w:sz w:val="24"/>
          <w:szCs w:val="24"/>
        </w:rPr>
        <w:t>ting a</w:t>
      </w:r>
      <w:r w:rsidR="00723FB2">
        <w:rPr>
          <w:rFonts w:ascii="Arial" w:hAnsi="Arial" w:cs="Arial"/>
          <w:sz w:val="24"/>
          <w:szCs w:val="24"/>
        </w:rPr>
        <w:t xml:space="preserve"> warrant are set out in section 3 (7) of the Act.</w:t>
      </w:r>
      <w:r w:rsidR="00A40702">
        <w:rPr>
          <w:rFonts w:ascii="Arial" w:hAnsi="Arial" w:cs="Arial"/>
          <w:sz w:val="24"/>
          <w:szCs w:val="24"/>
        </w:rPr>
        <w:t xml:space="preserve"> Because I am only concerned here with the validity of the impugned warrant of execution, I am not required to pronounce on the extent to which there has been compliance with that section.</w:t>
      </w:r>
    </w:p>
    <w:p w:rsidR="00792126" w:rsidRDefault="00792126" w:rsidP="00792126">
      <w:pPr>
        <w:spacing w:after="0" w:line="360" w:lineRule="auto"/>
        <w:jc w:val="both"/>
        <w:rPr>
          <w:rFonts w:ascii="Arial" w:hAnsi="Arial" w:cs="Arial"/>
          <w:sz w:val="24"/>
          <w:szCs w:val="24"/>
        </w:rPr>
      </w:pPr>
    </w:p>
    <w:p w:rsidR="00470F2E" w:rsidRDefault="00BC478B" w:rsidP="00792126">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65F0F">
        <w:rPr>
          <w:rFonts w:ascii="Arial" w:hAnsi="Arial" w:cs="Arial"/>
          <w:sz w:val="24"/>
          <w:szCs w:val="24"/>
        </w:rPr>
        <w:t xml:space="preserve">Mr </w:t>
      </w:r>
      <w:r w:rsidR="00165F0F" w:rsidRPr="00232FE5">
        <w:rPr>
          <w:rFonts w:ascii="Arial" w:hAnsi="Arial" w:cs="Arial"/>
          <w:i/>
          <w:sz w:val="24"/>
          <w:szCs w:val="24"/>
        </w:rPr>
        <w:t>Madokwe</w:t>
      </w:r>
      <w:r w:rsidR="00EE5983">
        <w:rPr>
          <w:rFonts w:ascii="Arial" w:hAnsi="Arial" w:cs="Arial"/>
          <w:sz w:val="24"/>
          <w:szCs w:val="24"/>
        </w:rPr>
        <w:t xml:space="preserve">, who </w:t>
      </w:r>
      <w:r w:rsidR="00572BC0">
        <w:rPr>
          <w:rFonts w:ascii="Arial" w:hAnsi="Arial" w:cs="Arial"/>
          <w:sz w:val="24"/>
          <w:szCs w:val="24"/>
        </w:rPr>
        <w:t xml:space="preserve">together with Ms </w:t>
      </w:r>
      <w:r w:rsidR="00572BC0" w:rsidRPr="00572BC0">
        <w:rPr>
          <w:rFonts w:ascii="Arial" w:hAnsi="Arial" w:cs="Arial"/>
          <w:i/>
          <w:sz w:val="24"/>
          <w:szCs w:val="24"/>
        </w:rPr>
        <w:t>Ntikinca</w:t>
      </w:r>
      <w:r w:rsidR="00572BC0">
        <w:rPr>
          <w:rFonts w:ascii="Arial" w:hAnsi="Arial" w:cs="Arial"/>
          <w:sz w:val="24"/>
          <w:szCs w:val="24"/>
        </w:rPr>
        <w:t xml:space="preserve"> </w:t>
      </w:r>
      <w:r w:rsidR="00EE5983">
        <w:rPr>
          <w:rFonts w:ascii="Arial" w:hAnsi="Arial" w:cs="Arial"/>
          <w:sz w:val="24"/>
          <w:szCs w:val="24"/>
        </w:rPr>
        <w:t>appeared for the applicant,</w:t>
      </w:r>
      <w:r w:rsidR="00165F0F">
        <w:rPr>
          <w:rFonts w:ascii="Arial" w:hAnsi="Arial" w:cs="Arial"/>
          <w:sz w:val="24"/>
          <w:szCs w:val="24"/>
        </w:rPr>
        <w:t xml:space="preserve"> was constrained to </w:t>
      </w:r>
      <w:r w:rsidR="00FF6F27">
        <w:rPr>
          <w:rFonts w:ascii="Arial" w:hAnsi="Arial" w:cs="Arial"/>
          <w:sz w:val="24"/>
          <w:szCs w:val="24"/>
        </w:rPr>
        <w:t>concede that the first respondent</w:t>
      </w:r>
      <w:r w:rsidR="00165F0F">
        <w:rPr>
          <w:rFonts w:ascii="Arial" w:hAnsi="Arial" w:cs="Arial"/>
          <w:sz w:val="24"/>
          <w:szCs w:val="24"/>
        </w:rPr>
        <w:t xml:space="preserve"> has complied with section 3 (4) of the </w:t>
      </w:r>
      <w:r w:rsidR="00165F0F">
        <w:rPr>
          <w:rFonts w:ascii="Arial" w:hAnsi="Arial" w:cs="Arial"/>
          <w:sz w:val="24"/>
          <w:szCs w:val="24"/>
        </w:rPr>
        <w:lastRenderedPageBreak/>
        <w:t xml:space="preserve">Act. It is also common cause that the treasury did not settle the debt within the time period allowed in terms of </w:t>
      </w:r>
      <w:r w:rsidR="00A85167">
        <w:rPr>
          <w:rFonts w:ascii="Arial" w:hAnsi="Arial" w:cs="Arial"/>
          <w:sz w:val="24"/>
          <w:szCs w:val="24"/>
        </w:rPr>
        <w:t>sub</w:t>
      </w:r>
      <w:r w:rsidR="00165F0F">
        <w:rPr>
          <w:rFonts w:ascii="Arial" w:hAnsi="Arial" w:cs="Arial"/>
          <w:sz w:val="24"/>
          <w:szCs w:val="24"/>
        </w:rPr>
        <w:t>section</w:t>
      </w:r>
      <w:r w:rsidR="00AE4FEF">
        <w:rPr>
          <w:rFonts w:ascii="Arial" w:hAnsi="Arial" w:cs="Arial"/>
          <w:sz w:val="24"/>
          <w:szCs w:val="24"/>
        </w:rPr>
        <w:t>s</w:t>
      </w:r>
      <w:r w:rsidR="00165F0F">
        <w:rPr>
          <w:rFonts w:ascii="Arial" w:hAnsi="Arial" w:cs="Arial"/>
          <w:sz w:val="24"/>
          <w:szCs w:val="24"/>
        </w:rPr>
        <w:t xml:space="preserve"> 3 (5) </w:t>
      </w:r>
      <w:r w:rsidR="00A85167">
        <w:rPr>
          <w:rFonts w:ascii="Arial" w:hAnsi="Arial" w:cs="Arial"/>
          <w:sz w:val="24"/>
          <w:szCs w:val="24"/>
        </w:rPr>
        <w:t xml:space="preserve">and (6) </w:t>
      </w:r>
      <w:r w:rsidR="00165F0F">
        <w:rPr>
          <w:rFonts w:ascii="Arial" w:hAnsi="Arial" w:cs="Arial"/>
          <w:sz w:val="24"/>
          <w:szCs w:val="24"/>
        </w:rPr>
        <w:t>of the Act, entitling the first respondent to re-issue the warrant.</w:t>
      </w:r>
    </w:p>
    <w:p w:rsidR="00792126" w:rsidRDefault="00792126" w:rsidP="00792126">
      <w:pPr>
        <w:spacing w:after="0" w:line="360" w:lineRule="auto"/>
        <w:jc w:val="both"/>
        <w:rPr>
          <w:rFonts w:ascii="Arial" w:hAnsi="Arial" w:cs="Arial"/>
          <w:sz w:val="24"/>
          <w:szCs w:val="24"/>
        </w:rPr>
      </w:pPr>
    </w:p>
    <w:p w:rsidR="00813058" w:rsidRDefault="00BC478B" w:rsidP="00792126">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A73D6">
        <w:rPr>
          <w:rFonts w:ascii="Arial" w:hAnsi="Arial" w:cs="Arial"/>
          <w:sz w:val="24"/>
          <w:szCs w:val="24"/>
        </w:rPr>
        <w:t>What then remains is the contention that the warrant is invalid because it was issued under the wrong case number. In this regard it is common cause that the re-issued warrant of execution initially bore the incorrect case number i.e. 55/2012, instead of 35/2012. It was</w:t>
      </w:r>
      <w:r w:rsidR="001A7786">
        <w:rPr>
          <w:rFonts w:ascii="Arial" w:hAnsi="Arial" w:cs="Arial"/>
          <w:sz w:val="24"/>
          <w:szCs w:val="24"/>
        </w:rPr>
        <w:t>, however,</w:t>
      </w:r>
      <w:r w:rsidR="005A73D6">
        <w:rPr>
          <w:rFonts w:ascii="Arial" w:hAnsi="Arial" w:cs="Arial"/>
          <w:sz w:val="24"/>
          <w:szCs w:val="24"/>
        </w:rPr>
        <w:t xml:space="preserve"> subsequently amended to reflect the correct case number. The applicant contends that this mistake vitiated the warrant because no valid judgment or court </w:t>
      </w:r>
      <w:r w:rsidR="009A0B8D">
        <w:rPr>
          <w:rFonts w:ascii="Arial" w:hAnsi="Arial" w:cs="Arial"/>
          <w:sz w:val="24"/>
          <w:szCs w:val="24"/>
        </w:rPr>
        <w:t xml:space="preserve">order </w:t>
      </w:r>
      <w:r w:rsidR="005A73D6">
        <w:rPr>
          <w:rFonts w:ascii="Arial" w:hAnsi="Arial" w:cs="Arial"/>
          <w:sz w:val="24"/>
          <w:szCs w:val="24"/>
        </w:rPr>
        <w:t xml:space="preserve">existed under that </w:t>
      </w:r>
      <w:r w:rsidR="00AC344D">
        <w:rPr>
          <w:rFonts w:ascii="Arial" w:hAnsi="Arial" w:cs="Arial"/>
          <w:sz w:val="24"/>
          <w:szCs w:val="24"/>
        </w:rPr>
        <w:t>case number.</w:t>
      </w:r>
    </w:p>
    <w:p w:rsidR="00792126" w:rsidRDefault="00792126" w:rsidP="00792126">
      <w:pPr>
        <w:spacing w:after="0" w:line="360" w:lineRule="auto"/>
        <w:jc w:val="both"/>
        <w:rPr>
          <w:rFonts w:ascii="Arial" w:hAnsi="Arial" w:cs="Arial"/>
          <w:sz w:val="24"/>
          <w:szCs w:val="24"/>
        </w:rPr>
      </w:pPr>
    </w:p>
    <w:p w:rsidR="00AE3E44" w:rsidRDefault="00BC478B" w:rsidP="0079212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A1AAB">
        <w:rPr>
          <w:rFonts w:ascii="Arial" w:hAnsi="Arial" w:cs="Arial"/>
          <w:sz w:val="24"/>
          <w:szCs w:val="24"/>
        </w:rPr>
        <w:t>The discretion to suspend the operation of writs vested in courts in terms of Uniform Court Rule 4</w:t>
      </w:r>
      <w:r w:rsidR="001E7B42">
        <w:rPr>
          <w:rFonts w:ascii="Arial" w:hAnsi="Arial" w:cs="Arial"/>
          <w:sz w:val="24"/>
          <w:szCs w:val="24"/>
        </w:rPr>
        <w:t xml:space="preserve">5A has always been exercised only if </w:t>
      </w:r>
      <w:r w:rsidR="000A1AAB">
        <w:rPr>
          <w:rFonts w:ascii="Arial" w:hAnsi="Arial" w:cs="Arial"/>
          <w:sz w:val="24"/>
          <w:szCs w:val="24"/>
        </w:rPr>
        <w:t xml:space="preserve">there is a material error in the writ, by way of example: where it has not been issued in accordance with the judgment, the </w:t>
      </w:r>
      <w:r w:rsidR="004D7915">
        <w:rPr>
          <w:rFonts w:ascii="Arial" w:hAnsi="Arial" w:cs="Arial"/>
          <w:sz w:val="24"/>
          <w:szCs w:val="24"/>
        </w:rPr>
        <w:t xml:space="preserve">incorrect </w:t>
      </w:r>
      <w:r w:rsidR="000A1AAB">
        <w:rPr>
          <w:rFonts w:ascii="Arial" w:hAnsi="Arial" w:cs="Arial"/>
          <w:sz w:val="24"/>
          <w:szCs w:val="24"/>
        </w:rPr>
        <w:t>persons have been cited, or the judgment debt had been extinguished</w:t>
      </w:r>
      <w:r w:rsidR="000C5F2C">
        <w:rPr>
          <w:rFonts w:ascii="Arial" w:hAnsi="Arial" w:cs="Arial"/>
          <w:sz w:val="24"/>
          <w:szCs w:val="24"/>
        </w:rPr>
        <w:t>. (</w:t>
      </w:r>
      <w:r w:rsidR="000C5F2C" w:rsidRPr="00071D30">
        <w:rPr>
          <w:rFonts w:ascii="Arial" w:hAnsi="Arial" w:cs="Arial"/>
          <w:i/>
          <w:sz w:val="24"/>
          <w:szCs w:val="24"/>
        </w:rPr>
        <w:t>Erasmus: Superior Courts Practice, Second Edition</w:t>
      </w:r>
      <w:r w:rsidR="000C5F2C">
        <w:rPr>
          <w:rFonts w:ascii="Arial" w:hAnsi="Arial" w:cs="Arial"/>
          <w:sz w:val="24"/>
          <w:szCs w:val="24"/>
        </w:rPr>
        <w:t>, D1 -604)</w:t>
      </w:r>
      <w:r w:rsidR="000A1AAB">
        <w:rPr>
          <w:rFonts w:ascii="Arial" w:hAnsi="Arial" w:cs="Arial"/>
          <w:sz w:val="24"/>
          <w:szCs w:val="24"/>
        </w:rPr>
        <w:t xml:space="preserve"> </w:t>
      </w:r>
    </w:p>
    <w:p w:rsidR="00792126" w:rsidRDefault="00792126" w:rsidP="00792126">
      <w:pPr>
        <w:spacing w:after="0" w:line="360" w:lineRule="auto"/>
        <w:jc w:val="both"/>
        <w:rPr>
          <w:rFonts w:ascii="Arial" w:hAnsi="Arial" w:cs="Arial"/>
          <w:sz w:val="24"/>
          <w:szCs w:val="24"/>
        </w:rPr>
      </w:pPr>
    </w:p>
    <w:p w:rsidR="00BB363B" w:rsidRDefault="00BC478B" w:rsidP="00792126">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B363B">
        <w:rPr>
          <w:rFonts w:ascii="Arial" w:hAnsi="Arial" w:cs="Arial"/>
          <w:sz w:val="24"/>
          <w:szCs w:val="24"/>
        </w:rPr>
        <w:t>To my mind the overly technical argument advanced by the applicant is not sustainable. It is common cause that the warrant reflected the correct details of the parties, the correct citation of the court in which proceedings had taken place, and the correct name</w:t>
      </w:r>
      <w:r w:rsidR="002156B5">
        <w:rPr>
          <w:rFonts w:ascii="Arial" w:hAnsi="Arial" w:cs="Arial"/>
          <w:sz w:val="24"/>
          <w:szCs w:val="24"/>
        </w:rPr>
        <w:t>s</w:t>
      </w:r>
      <w:r w:rsidR="00BB363B">
        <w:rPr>
          <w:rFonts w:ascii="Arial" w:hAnsi="Arial" w:cs="Arial"/>
          <w:sz w:val="24"/>
          <w:szCs w:val="24"/>
        </w:rPr>
        <w:t xml:space="preserve"> and reference number</w:t>
      </w:r>
      <w:r w:rsidR="002156B5">
        <w:rPr>
          <w:rFonts w:ascii="Arial" w:hAnsi="Arial" w:cs="Arial"/>
          <w:sz w:val="24"/>
          <w:szCs w:val="24"/>
        </w:rPr>
        <w:t>s</w:t>
      </w:r>
      <w:r w:rsidR="00BB363B">
        <w:rPr>
          <w:rFonts w:ascii="Arial" w:hAnsi="Arial" w:cs="Arial"/>
          <w:sz w:val="24"/>
          <w:szCs w:val="24"/>
        </w:rPr>
        <w:t xml:space="preserve"> of the parties’ respective attorneys. The reflection of the incorrect case number was accordingly an inconsequential and bona fide mistake.</w:t>
      </w:r>
    </w:p>
    <w:p w:rsidR="00792126" w:rsidRDefault="00792126" w:rsidP="00792126">
      <w:pPr>
        <w:spacing w:after="0" w:line="360" w:lineRule="auto"/>
        <w:jc w:val="both"/>
        <w:rPr>
          <w:rFonts w:ascii="Arial" w:hAnsi="Arial" w:cs="Arial"/>
          <w:sz w:val="24"/>
          <w:szCs w:val="24"/>
        </w:rPr>
      </w:pPr>
    </w:p>
    <w:p w:rsidR="002C247F" w:rsidRDefault="00BC478B" w:rsidP="00792126">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C247F">
        <w:rPr>
          <w:rFonts w:ascii="Arial" w:hAnsi="Arial" w:cs="Arial"/>
          <w:sz w:val="24"/>
          <w:szCs w:val="24"/>
        </w:rPr>
        <w:t xml:space="preserve">Mr </w:t>
      </w:r>
      <w:r w:rsidR="002C247F" w:rsidRPr="005D19E3">
        <w:rPr>
          <w:rFonts w:ascii="Arial" w:hAnsi="Arial" w:cs="Arial"/>
          <w:i/>
          <w:sz w:val="24"/>
          <w:szCs w:val="24"/>
        </w:rPr>
        <w:t>Cole</w:t>
      </w:r>
      <w:r w:rsidR="000D1DBA">
        <w:rPr>
          <w:rFonts w:ascii="Arial" w:hAnsi="Arial" w:cs="Arial"/>
          <w:sz w:val="24"/>
          <w:szCs w:val="24"/>
        </w:rPr>
        <w:t xml:space="preserve"> SC</w:t>
      </w:r>
      <w:r w:rsidR="002C247F">
        <w:rPr>
          <w:rFonts w:ascii="Arial" w:hAnsi="Arial" w:cs="Arial"/>
          <w:sz w:val="24"/>
          <w:szCs w:val="24"/>
        </w:rPr>
        <w:t>, who appeared for the first re</w:t>
      </w:r>
      <w:r w:rsidR="008604CA">
        <w:rPr>
          <w:rFonts w:ascii="Arial" w:hAnsi="Arial" w:cs="Arial"/>
          <w:sz w:val="24"/>
          <w:szCs w:val="24"/>
        </w:rPr>
        <w:t>spondent, has pointed to several</w:t>
      </w:r>
      <w:r w:rsidR="002C247F">
        <w:rPr>
          <w:rFonts w:ascii="Arial" w:hAnsi="Arial" w:cs="Arial"/>
          <w:sz w:val="24"/>
          <w:szCs w:val="24"/>
        </w:rPr>
        <w:t xml:space="preserve"> emails </w:t>
      </w:r>
      <w:r w:rsidR="009A3026">
        <w:rPr>
          <w:rFonts w:ascii="Arial" w:hAnsi="Arial" w:cs="Arial"/>
          <w:sz w:val="24"/>
          <w:szCs w:val="24"/>
        </w:rPr>
        <w:t xml:space="preserve">in </w:t>
      </w:r>
      <w:r w:rsidR="002C247F">
        <w:rPr>
          <w:rFonts w:ascii="Arial" w:hAnsi="Arial" w:cs="Arial"/>
          <w:sz w:val="24"/>
          <w:szCs w:val="24"/>
        </w:rPr>
        <w:t xml:space="preserve">which the applicant’s attorneys </w:t>
      </w:r>
      <w:r w:rsidR="009A3026">
        <w:rPr>
          <w:rFonts w:ascii="Arial" w:hAnsi="Arial" w:cs="Arial"/>
          <w:sz w:val="24"/>
          <w:szCs w:val="24"/>
        </w:rPr>
        <w:t xml:space="preserve">cite the </w:t>
      </w:r>
      <w:r w:rsidR="002C247F">
        <w:rPr>
          <w:rFonts w:ascii="Arial" w:hAnsi="Arial" w:cs="Arial"/>
          <w:sz w:val="24"/>
          <w:szCs w:val="24"/>
        </w:rPr>
        <w:t>names of the parties without any reference to the case number. He submitted that it is therefore manifest that the applicant was under no illusion</w:t>
      </w:r>
      <w:r w:rsidR="001302C3">
        <w:rPr>
          <w:rFonts w:ascii="Arial" w:hAnsi="Arial" w:cs="Arial"/>
          <w:sz w:val="24"/>
          <w:szCs w:val="24"/>
        </w:rPr>
        <w:t>s</w:t>
      </w:r>
      <w:r w:rsidR="002C247F">
        <w:rPr>
          <w:rFonts w:ascii="Arial" w:hAnsi="Arial" w:cs="Arial"/>
          <w:sz w:val="24"/>
          <w:szCs w:val="24"/>
        </w:rPr>
        <w:t xml:space="preserve"> as to which matter the warrant of execution related to and could consequently not have suffered any conceivable prejudice.</w:t>
      </w:r>
    </w:p>
    <w:p w:rsidR="00792126" w:rsidRDefault="00792126" w:rsidP="00792126">
      <w:pPr>
        <w:spacing w:after="0" w:line="360" w:lineRule="auto"/>
        <w:jc w:val="both"/>
        <w:rPr>
          <w:rFonts w:ascii="Arial" w:hAnsi="Arial" w:cs="Arial"/>
          <w:sz w:val="24"/>
          <w:szCs w:val="24"/>
        </w:rPr>
      </w:pPr>
    </w:p>
    <w:p w:rsidR="002C247F" w:rsidRDefault="00BC478B" w:rsidP="0079212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7714F">
        <w:rPr>
          <w:rFonts w:ascii="Arial" w:hAnsi="Arial" w:cs="Arial"/>
          <w:sz w:val="24"/>
          <w:szCs w:val="24"/>
        </w:rPr>
        <w:t xml:space="preserve">I am </w:t>
      </w:r>
      <w:r w:rsidR="00C63BA9">
        <w:rPr>
          <w:rFonts w:ascii="Arial" w:hAnsi="Arial" w:cs="Arial"/>
          <w:sz w:val="24"/>
          <w:szCs w:val="24"/>
        </w:rPr>
        <w:t>therefore</w:t>
      </w:r>
      <w:r w:rsidR="00B10F3C">
        <w:rPr>
          <w:rFonts w:ascii="Arial" w:hAnsi="Arial" w:cs="Arial"/>
          <w:sz w:val="24"/>
          <w:szCs w:val="24"/>
        </w:rPr>
        <w:t xml:space="preserve"> </w:t>
      </w:r>
      <w:r w:rsidR="0057714F">
        <w:rPr>
          <w:rFonts w:ascii="Arial" w:hAnsi="Arial" w:cs="Arial"/>
          <w:sz w:val="24"/>
          <w:szCs w:val="24"/>
        </w:rPr>
        <w:t>satisfied that the impugned warrant of execution</w:t>
      </w:r>
      <w:r w:rsidR="00F00A69">
        <w:rPr>
          <w:rFonts w:ascii="Arial" w:hAnsi="Arial" w:cs="Arial"/>
          <w:sz w:val="24"/>
          <w:szCs w:val="24"/>
        </w:rPr>
        <w:t xml:space="preserve"> had been</w:t>
      </w:r>
      <w:r w:rsidR="004F2BFF">
        <w:rPr>
          <w:rFonts w:ascii="Arial" w:hAnsi="Arial" w:cs="Arial"/>
          <w:sz w:val="24"/>
          <w:szCs w:val="24"/>
        </w:rPr>
        <w:t xml:space="preserve"> pr</w:t>
      </w:r>
      <w:r w:rsidR="00B10F3C">
        <w:rPr>
          <w:rFonts w:ascii="Arial" w:hAnsi="Arial" w:cs="Arial"/>
          <w:sz w:val="24"/>
          <w:szCs w:val="24"/>
        </w:rPr>
        <w:t>operly issued in</w:t>
      </w:r>
      <w:r w:rsidR="004F2BFF">
        <w:rPr>
          <w:rFonts w:ascii="Arial" w:hAnsi="Arial" w:cs="Arial"/>
          <w:sz w:val="24"/>
          <w:szCs w:val="24"/>
        </w:rPr>
        <w:t xml:space="preserve"> compliance with subsections 3 (4), (5) and (6) of the Act.</w:t>
      </w:r>
      <w:r w:rsidR="0057714F">
        <w:rPr>
          <w:rFonts w:ascii="Arial" w:hAnsi="Arial" w:cs="Arial"/>
          <w:sz w:val="24"/>
          <w:szCs w:val="24"/>
        </w:rPr>
        <w:t xml:space="preserve"> The fact that the warrant initially bore the incorrect case number was a bone fide error, as a consequence of which the applicant did not suffer any prejudice whatsoever. And to </w:t>
      </w:r>
      <w:r w:rsidR="0057714F">
        <w:rPr>
          <w:rFonts w:ascii="Arial" w:hAnsi="Arial" w:cs="Arial"/>
          <w:sz w:val="24"/>
          <w:szCs w:val="24"/>
        </w:rPr>
        <w:lastRenderedPageBreak/>
        <w:t xml:space="preserve">my mind, that error was not sufficiently material to vitiate the warrant. </w:t>
      </w:r>
      <w:r w:rsidR="00B927C6">
        <w:rPr>
          <w:rFonts w:ascii="Arial" w:hAnsi="Arial" w:cs="Arial"/>
          <w:sz w:val="24"/>
          <w:szCs w:val="24"/>
        </w:rPr>
        <w:t>The application must therefore fail.</w:t>
      </w:r>
    </w:p>
    <w:p w:rsidR="00792126" w:rsidRDefault="00792126" w:rsidP="00792126">
      <w:pPr>
        <w:spacing w:after="0" w:line="360" w:lineRule="auto"/>
        <w:jc w:val="both"/>
        <w:rPr>
          <w:rFonts w:ascii="Arial" w:hAnsi="Arial" w:cs="Arial"/>
          <w:sz w:val="24"/>
          <w:szCs w:val="24"/>
        </w:rPr>
      </w:pPr>
    </w:p>
    <w:p w:rsidR="00792126" w:rsidRDefault="00792126" w:rsidP="00792126">
      <w:pPr>
        <w:spacing w:after="0" w:line="360" w:lineRule="auto"/>
        <w:jc w:val="both"/>
        <w:rPr>
          <w:rFonts w:ascii="Arial" w:hAnsi="Arial" w:cs="Arial"/>
          <w:sz w:val="24"/>
          <w:szCs w:val="24"/>
        </w:rPr>
      </w:pPr>
    </w:p>
    <w:p w:rsidR="00B927C6" w:rsidRDefault="00BC478B" w:rsidP="00792126">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A6C02">
        <w:rPr>
          <w:rFonts w:ascii="Arial" w:hAnsi="Arial" w:cs="Arial"/>
          <w:sz w:val="24"/>
          <w:szCs w:val="24"/>
        </w:rPr>
        <w:t>In the result the following order issues:</w:t>
      </w:r>
    </w:p>
    <w:p w:rsidR="00B84A74" w:rsidRPr="00B84A74" w:rsidRDefault="00EA6C02" w:rsidP="00B84A74">
      <w:pPr>
        <w:pStyle w:val="ListParagraph"/>
        <w:numPr>
          <w:ilvl w:val="0"/>
          <w:numId w:val="3"/>
        </w:numPr>
        <w:spacing w:after="0" w:line="360" w:lineRule="auto"/>
        <w:jc w:val="both"/>
        <w:rPr>
          <w:rFonts w:ascii="Arial" w:hAnsi="Arial" w:cs="Arial"/>
          <w:sz w:val="24"/>
          <w:szCs w:val="24"/>
        </w:rPr>
      </w:pPr>
      <w:r w:rsidRPr="00B84A74">
        <w:rPr>
          <w:rFonts w:ascii="Arial" w:hAnsi="Arial" w:cs="Arial"/>
          <w:sz w:val="24"/>
          <w:szCs w:val="24"/>
        </w:rPr>
        <w:t>The app</w:t>
      </w:r>
      <w:r w:rsidR="005C388C" w:rsidRPr="00B84A74">
        <w:rPr>
          <w:rFonts w:ascii="Arial" w:hAnsi="Arial" w:cs="Arial"/>
          <w:sz w:val="24"/>
          <w:szCs w:val="24"/>
        </w:rPr>
        <w:t>lication is dismissed</w:t>
      </w:r>
      <w:r w:rsidR="00B84A74" w:rsidRPr="00B84A74">
        <w:rPr>
          <w:rFonts w:ascii="Arial" w:hAnsi="Arial" w:cs="Arial"/>
          <w:sz w:val="24"/>
          <w:szCs w:val="24"/>
        </w:rPr>
        <w:t>.</w:t>
      </w:r>
    </w:p>
    <w:p w:rsidR="00EA6C02" w:rsidRPr="00B84A74" w:rsidRDefault="00B84A74" w:rsidP="00B84A74">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w:t>
      </w:r>
      <w:r w:rsidR="005C388C" w:rsidRPr="00B84A74">
        <w:rPr>
          <w:rFonts w:ascii="Arial" w:hAnsi="Arial" w:cs="Arial"/>
          <w:sz w:val="24"/>
          <w:szCs w:val="24"/>
        </w:rPr>
        <w:t>he applicant is ordered to pay the costs of the first, second and third respon</w:t>
      </w:r>
      <w:r w:rsidR="00027255" w:rsidRPr="00B84A74">
        <w:rPr>
          <w:rFonts w:ascii="Arial" w:hAnsi="Arial" w:cs="Arial"/>
          <w:sz w:val="24"/>
          <w:szCs w:val="24"/>
        </w:rPr>
        <w:t>dents on the party and party</w:t>
      </w:r>
      <w:r w:rsidR="005C388C" w:rsidRPr="00B84A74">
        <w:rPr>
          <w:rFonts w:ascii="Arial" w:hAnsi="Arial" w:cs="Arial"/>
          <w:sz w:val="24"/>
          <w:szCs w:val="24"/>
        </w:rPr>
        <w:t xml:space="preserve"> scale</w:t>
      </w:r>
      <w:r w:rsidR="00EA6C02" w:rsidRPr="00B84A74">
        <w:rPr>
          <w:rFonts w:ascii="Arial" w:hAnsi="Arial" w:cs="Arial"/>
          <w:sz w:val="24"/>
          <w:szCs w:val="24"/>
        </w:rPr>
        <w:t>.</w:t>
      </w:r>
    </w:p>
    <w:p w:rsidR="00B10F3C" w:rsidRDefault="00B10F3C" w:rsidP="00792126">
      <w:pPr>
        <w:spacing w:after="0" w:line="360" w:lineRule="auto"/>
        <w:jc w:val="both"/>
        <w:rPr>
          <w:rFonts w:ascii="Arial" w:hAnsi="Arial" w:cs="Arial"/>
          <w:sz w:val="24"/>
          <w:szCs w:val="24"/>
        </w:rPr>
      </w:pPr>
    </w:p>
    <w:p w:rsidR="00BC478B" w:rsidRDefault="00BC478B" w:rsidP="00792126">
      <w:pPr>
        <w:spacing w:after="0" w:line="360" w:lineRule="auto"/>
        <w:jc w:val="both"/>
        <w:rPr>
          <w:rFonts w:ascii="Arial" w:hAnsi="Arial" w:cs="Arial"/>
          <w:sz w:val="24"/>
          <w:szCs w:val="24"/>
        </w:rPr>
      </w:pPr>
    </w:p>
    <w:p w:rsidR="00792126" w:rsidRDefault="00792126" w:rsidP="00BC478B">
      <w:pPr>
        <w:spacing w:line="360" w:lineRule="auto"/>
        <w:jc w:val="both"/>
        <w:rPr>
          <w:rFonts w:ascii="Arial" w:hAnsi="Arial" w:cs="Arial"/>
          <w:sz w:val="24"/>
          <w:szCs w:val="24"/>
        </w:rPr>
      </w:pPr>
    </w:p>
    <w:p w:rsidR="004362CA" w:rsidRDefault="004362CA" w:rsidP="00BC478B">
      <w:pPr>
        <w:spacing w:line="360" w:lineRule="auto"/>
        <w:jc w:val="both"/>
        <w:rPr>
          <w:rFonts w:ascii="Arial" w:hAnsi="Arial" w:cs="Arial"/>
          <w:sz w:val="24"/>
          <w:szCs w:val="24"/>
        </w:rPr>
      </w:pPr>
    </w:p>
    <w:p w:rsidR="00BC478B" w:rsidRDefault="00BC478B" w:rsidP="00BC478B">
      <w:pPr>
        <w:spacing w:after="0" w:line="360" w:lineRule="auto"/>
        <w:jc w:val="both"/>
        <w:rPr>
          <w:rFonts w:ascii="Arial" w:hAnsi="Arial" w:cs="Arial"/>
          <w:b/>
          <w:sz w:val="24"/>
          <w:szCs w:val="24"/>
        </w:rPr>
      </w:pPr>
      <w:r>
        <w:rPr>
          <w:rFonts w:ascii="Arial" w:hAnsi="Arial" w:cs="Arial"/>
          <w:b/>
          <w:sz w:val="24"/>
          <w:szCs w:val="24"/>
        </w:rPr>
        <w:t>________________________</w:t>
      </w:r>
    </w:p>
    <w:p w:rsidR="00BC478B" w:rsidRDefault="00BC478B" w:rsidP="00BC478B">
      <w:pPr>
        <w:spacing w:after="0" w:line="360" w:lineRule="auto"/>
        <w:jc w:val="both"/>
        <w:rPr>
          <w:rFonts w:ascii="Arial" w:hAnsi="Arial" w:cs="Arial"/>
          <w:b/>
          <w:sz w:val="24"/>
          <w:szCs w:val="24"/>
        </w:rPr>
      </w:pPr>
      <w:r>
        <w:rPr>
          <w:rFonts w:ascii="Arial" w:hAnsi="Arial" w:cs="Arial"/>
          <w:b/>
          <w:sz w:val="24"/>
          <w:szCs w:val="24"/>
        </w:rPr>
        <w:t>JE SMITH</w:t>
      </w:r>
    </w:p>
    <w:p w:rsidR="00BC478B" w:rsidRDefault="00BC478B" w:rsidP="00BC478B">
      <w:pPr>
        <w:spacing w:after="0" w:line="360" w:lineRule="auto"/>
        <w:jc w:val="both"/>
        <w:rPr>
          <w:rFonts w:ascii="Arial" w:hAnsi="Arial" w:cs="Arial"/>
          <w:b/>
          <w:sz w:val="24"/>
          <w:szCs w:val="24"/>
        </w:rPr>
      </w:pPr>
      <w:r>
        <w:rPr>
          <w:rFonts w:ascii="Arial" w:hAnsi="Arial" w:cs="Arial"/>
          <w:b/>
          <w:sz w:val="24"/>
          <w:szCs w:val="24"/>
        </w:rPr>
        <w:t>JUDGE OF THE HIGH COURT</w:t>
      </w:r>
    </w:p>
    <w:p w:rsidR="00BC478B" w:rsidRDefault="00BC478B" w:rsidP="00BC478B">
      <w:pPr>
        <w:spacing w:after="0" w:line="360" w:lineRule="auto"/>
        <w:jc w:val="both"/>
        <w:rPr>
          <w:rFonts w:ascii="Arial" w:hAnsi="Arial" w:cs="Arial"/>
          <w:b/>
          <w:sz w:val="24"/>
          <w:szCs w:val="24"/>
        </w:rPr>
      </w:pPr>
    </w:p>
    <w:p w:rsidR="004362CA" w:rsidRDefault="004362CA" w:rsidP="00BC478B">
      <w:pPr>
        <w:spacing w:after="0" w:line="360" w:lineRule="auto"/>
        <w:jc w:val="both"/>
        <w:rPr>
          <w:rFonts w:ascii="Arial" w:hAnsi="Arial" w:cs="Arial"/>
          <w:b/>
          <w:sz w:val="24"/>
          <w:szCs w:val="24"/>
        </w:rPr>
      </w:pPr>
    </w:p>
    <w:p w:rsidR="00BC478B" w:rsidRDefault="00BC478B" w:rsidP="00BC478B">
      <w:pPr>
        <w:spacing w:after="0" w:line="360" w:lineRule="auto"/>
        <w:jc w:val="both"/>
        <w:rPr>
          <w:rFonts w:ascii="Arial" w:hAnsi="Arial" w:cs="Arial"/>
          <w:b/>
          <w:sz w:val="24"/>
          <w:szCs w:val="24"/>
        </w:rPr>
      </w:pPr>
      <w:r>
        <w:rPr>
          <w:rFonts w:ascii="Arial" w:hAnsi="Arial" w:cs="Arial"/>
          <w:b/>
          <w:sz w:val="24"/>
          <w:szCs w:val="24"/>
        </w:rPr>
        <w:t>Appearances:</w:t>
      </w:r>
    </w:p>
    <w:p w:rsidR="00BC478B" w:rsidRDefault="00BC478B" w:rsidP="00BC478B">
      <w:pPr>
        <w:spacing w:after="0" w:line="360" w:lineRule="auto"/>
        <w:jc w:val="both"/>
        <w:rPr>
          <w:rFonts w:ascii="Arial" w:hAnsi="Arial" w:cs="Arial"/>
          <w:b/>
          <w:sz w:val="24"/>
          <w:szCs w:val="24"/>
        </w:rPr>
      </w:pPr>
    </w:p>
    <w:p w:rsidR="00BC478B" w:rsidRDefault="00792126" w:rsidP="00BC478B">
      <w:pPr>
        <w:spacing w:after="0" w:line="360" w:lineRule="auto"/>
        <w:jc w:val="both"/>
        <w:rPr>
          <w:rFonts w:ascii="Arial" w:hAnsi="Arial" w:cs="Arial"/>
          <w:sz w:val="24"/>
          <w:szCs w:val="24"/>
        </w:rPr>
      </w:pPr>
      <w:r>
        <w:rPr>
          <w:rFonts w:ascii="Arial" w:hAnsi="Arial" w:cs="Arial"/>
          <w:sz w:val="24"/>
          <w:szCs w:val="24"/>
        </w:rPr>
        <w:t>Counsel for the Applicant</w:t>
      </w:r>
      <w:r w:rsidR="00BC478B">
        <w:rPr>
          <w:rFonts w:ascii="Arial" w:hAnsi="Arial" w:cs="Arial"/>
          <w:sz w:val="24"/>
          <w:szCs w:val="24"/>
        </w:rPr>
        <w:tab/>
      </w:r>
      <w:r w:rsidR="00BC478B">
        <w:rPr>
          <w:rFonts w:ascii="Arial" w:hAnsi="Arial" w:cs="Arial"/>
          <w:sz w:val="24"/>
          <w:szCs w:val="24"/>
        </w:rPr>
        <w:tab/>
      </w:r>
      <w:r>
        <w:rPr>
          <w:rFonts w:ascii="Arial" w:hAnsi="Arial" w:cs="Arial"/>
          <w:sz w:val="24"/>
          <w:szCs w:val="24"/>
        </w:rPr>
        <w:tab/>
      </w:r>
      <w:r w:rsidR="00BC478B">
        <w:rPr>
          <w:rFonts w:ascii="Arial" w:hAnsi="Arial" w:cs="Arial"/>
          <w:sz w:val="24"/>
          <w:szCs w:val="24"/>
        </w:rPr>
        <w:t xml:space="preserve">:  </w:t>
      </w:r>
      <w:r w:rsidR="00BC478B">
        <w:rPr>
          <w:rFonts w:ascii="Arial" w:hAnsi="Arial" w:cs="Arial"/>
          <w:sz w:val="24"/>
          <w:szCs w:val="24"/>
        </w:rPr>
        <w:tab/>
        <w:t xml:space="preserve">Adv. </w:t>
      </w:r>
      <w:r>
        <w:rPr>
          <w:rFonts w:ascii="Arial" w:hAnsi="Arial" w:cs="Arial"/>
          <w:sz w:val="24"/>
          <w:szCs w:val="24"/>
        </w:rPr>
        <w:t>V. Madokwe</w:t>
      </w:r>
      <w:r w:rsidR="00BC478B">
        <w:rPr>
          <w:rFonts w:ascii="Arial" w:hAnsi="Arial" w:cs="Arial"/>
          <w:sz w:val="24"/>
          <w:szCs w:val="24"/>
        </w:rPr>
        <w:t xml:space="preserve">  </w:t>
      </w:r>
    </w:p>
    <w:p w:rsidR="00BC478B" w:rsidRDefault="00BC478B" w:rsidP="00792126">
      <w:pPr>
        <w:spacing w:after="0" w:line="360" w:lineRule="auto"/>
        <w:ind w:left="3600" w:firstLine="72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Adv. </w:t>
      </w:r>
      <w:r w:rsidR="00792126">
        <w:rPr>
          <w:rFonts w:ascii="Arial" w:hAnsi="Arial" w:cs="Arial"/>
          <w:sz w:val="24"/>
          <w:szCs w:val="24"/>
        </w:rPr>
        <w:t>L. Ntikinca</w:t>
      </w:r>
    </w:p>
    <w:p w:rsidR="00BC478B" w:rsidRDefault="00BC478B" w:rsidP="00BC47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2126">
        <w:rPr>
          <w:rFonts w:ascii="Arial" w:hAnsi="Arial" w:cs="Arial"/>
          <w:sz w:val="24"/>
          <w:szCs w:val="24"/>
        </w:rPr>
        <w:tab/>
      </w:r>
      <w:r>
        <w:rPr>
          <w:rFonts w:ascii="Arial" w:hAnsi="Arial" w:cs="Arial"/>
          <w:sz w:val="24"/>
          <w:szCs w:val="24"/>
        </w:rPr>
        <w:t>:</w:t>
      </w:r>
      <w:r>
        <w:rPr>
          <w:rFonts w:ascii="Arial" w:hAnsi="Arial" w:cs="Arial"/>
          <w:sz w:val="24"/>
          <w:szCs w:val="24"/>
        </w:rPr>
        <w:tab/>
      </w:r>
      <w:r w:rsidR="00792126">
        <w:rPr>
          <w:rFonts w:ascii="Arial" w:hAnsi="Arial" w:cs="Arial"/>
          <w:sz w:val="24"/>
          <w:szCs w:val="24"/>
        </w:rPr>
        <w:t>N N Dullabh &amp; Co</w:t>
      </w:r>
      <w:r>
        <w:rPr>
          <w:rFonts w:ascii="Arial" w:hAnsi="Arial" w:cs="Arial"/>
          <w:sz w:val="24"/>
          <w:szCs w:val="24"/>
        </w:rPr>
        <w:t>.</w:t>
      </w:r>
    </w:p>
    <w:p w:rsidR="00BC478B"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 xml:space="preserve">5 Bertram </w:t>
      </w:r>
      <w:r w:rsidR="00BC478B">
        <w:rPr>
          <w:rFonts w:ascii="Arial" w:hAnsi="Arial" w:cs="Arial"/>
          <w:sz w:val="24"/>
          <w:szCs w:val="24"/>
        </w:rPr>
        <w:t>Street</w:t>
      </w:r>
    </w:p>
    <w:p w:rsidR="00BC478B" w:rsidRDefault="00BC478B" w:rsidP="00792126">
      <w:pPr>
        <w:spacing w:after="0" w:line="360" w:lineRule="auto"/>
        <w:ind w:left="4320" w:firstLine="720"/>
        <w:jc w:val="both"/>
        <w:rPr>
          <w:rFonts w:ascii="Arial" w:hAnsi="Arial" w:cs="Arial"/>
          <w:sz w:val="24"/>
          <w:szCs w:val="24"/>
        </w:rPr>
      </w:pPr>
      <w:r>
        <w:rPr>
          <w:rFonts w:ascii="Arial" w:hAnsi="Arial" w:cs="Arial"/>
          <w:sz w:val="24"/>
          <w:szCs w:val="24"/>
        </w:rPr>
        <w:t>MAKHANDA</w:t>
      </w:r>
    </w:p>
    <w:p w:rsidR="00792126"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(Ref.: Mr Wolmarans)</w:t>
      </w:r>
    </w:p>
    <w:p w:rsidR="00BC478B" w:rsidRDefault="00BC478B" w:rsidP="00BC47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362CA" w:rsidRDefault="004362CA" w:rsidP="00BC478B">
      <w:pPr>
        <w:spacing w:after="0" w:line="360" w:lineRule="auto"/>
        <w:jc w:val="both"/>
        <w:rPr>
          <w:rFonts w:ascii="Arial" w:hAnsi="Arial" w:cs="Arial"/>
          <w:sz w:val="24"/>
          <w:szCs w:val="24"/>
        </w:rPr>
      </w:pPr>
    </w:p>
    <w:p w:rsidR="00BC478B" w:rsidRDefault="00BC478B" w:rsidP="00BC478B">
      <w:pPr>
        <w:spacing w:after="0" w:line="360" w:lineRule="auto"/>
        <w:jc w:val="both"/>
        <w:rPr>
          <w:rFonts w:ascii="Arial" w:hAnsi="Arial" w:cs="Arial"/>
          <w:sz w:val="24"/>
          <w:szCs w:val="24"/>
        </w:rPr>
      </w:pPr>
      <w:r>
        <w:rPr>
          <w:rFonts w:ascii="Arial" w:hAnsi="Arial" w:cs="Arial"/>
          <w:sz w:val="24"/>
          <w:szCs w:val="24"/>
        </w:rPr>
        <w:t xml:space="preserve">Counsel for the </w:t>
      </w:r>
      <w:r w:rsidR="00792126">
        <w:rPr>
          <w:rFonts w:ascii="Arial" w:hAnsi="Arial" w:cs="Arial"/>
          <w:sz w:val="24"/>
          <w:szCs w:val="24"/>
        </w:rPr>
        <w:t>1</w:t>
      </w:r>
      <w:r w:rsidR="00792126" w:rsidRPr="00792126">
        <w:rPr>
          <w:rFonts w:ascii="Arial" w:hAnsi="Arial" w:cs="Arial"/>
          <w:sz w:val="24"/>
          <w:szCs w:val="24"/>
          <w:vertAlign w:val="superscript"/>
        </w:rPr>
        <w:t>st</w:t>
      </w:r>
      <w:r w:rsidR="00792126">
        <w:rPr>
          <w:rFonts w:ascii="Arial" w:hAnsi="Arial" w:cs="Arial"/>
          <w:sz w:val="24"/>
          <w:szCs w:val="24"/>
        </w:rPr>
        <w:t xml:space="preserve"> &amp; 2</w:t>
      </w:r>
      <w:r w:rsidR="00792126" w:rsidRPr="00792126">
        <w:rPr>
          <w:rFonts w:ascii="Arial" w:hAnsi="Arial" w:cs="Arial"/>
          <w:sz w:val="24"/>
          <w:szCs w:val="24"/>
          <w:vertAlign w:val="superscript"/>
        </w:rPr>
        <w:t>nd</w:t>
      </w:r>
      <w:r w:rsidR="00792126">
        <w:rPr>
          <w:rFonts w:ascii="Arial" w:hAnsi="Arial" w:cs="Arial"/>
          <w:sz w:val="24"/>
          <w:szCs w:val="24"/>
        </w:rPr>
        <w:t xml:space="preserve"> </w:t>
      </w:r>
      <w:r>
        <w:rPr>
          <w:rFonts w:ascii="Arial" w:hAnsi="Arial" w:cs="Arial"/>
          <w:sz w:val="24"/>
          <w:szCs w:val="24"/>
        </w:rPr>
        <w:t>Respondents</w:t>
      </w:r>
      <w:r>
        <w:rPr>
          <w:rFonts w:ascii="Arial" w:hAnsi="Arial" w:cs="Arial"/>
          <w:sz w:val="24"/>
          <w:szCs w:val="24"/>
        </w:rPr>
        <w:tab/>
        <w:t xml:space="preserve">: </w:t>
      </w:r>
      <w:r>
        <w:rPr>
          <w:rFonts w:ascii="Arial" w:hAnsi="Arial" w:cs="Arial"/>
          <w:sz w:val="24"/>
          <w:szCs w:val="24"/>
        </w:rPr>
        <w:tab/>
        <w:t xml:space="preserve">Adv. </w:t>
      </w:r>
      <w:r w:rsidR="00792126">
        <w:rPr>
          <w:rFonts w:ascii="Arial" w:hAnsi="Arial" w:cs="Arial"/>
          <w:sz w:val="24"/>
          <w:szCs w:val="24"/>
        </w:rPr>
        <w:t>S.H. Cole SC</w:t>
      </w:r>
    </w:p>
    <w:p w:rsidR="00BC478B" w:rsidRDefault="00BC478B" w:rsidP="00BC47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2126">
        <w:rPr>
          <w:rFonts w:ascii="Arial" w:hAnsi="Arial" w:cs="Arial"/>
          <w:sz w:val="24"/>
          <w:szCs w:val="24"/>
        </w:rPr>
        <w:tab/>
      </w:r>
      <w:r>
        <w:rPr>
          <w:rFonts w:ascii="Arial" w:hAnsi="Arial" w:cs="Arial"/>
          <w:sz w:val="24"/>
          <w:szCs w:val="24"/>
        </w:rPr>
        <w:t>:</w:t>
      </w:r>
      <w:r>
        <w:rPr>
          <w:rFonts w:ascii="Arial" w:hAnsi="Arial" w:cs="Arial"/>
          <w:sz w:val="24"/>
          <w:szCs w:val="24"/>
        </w:rPr>
        <w:tab/>
      </w:r>
      <w:r w:rsidR="00792126">
        <w:rPr>
          <w:rFonts w:ascii="Arial" w:hAnsi="Arial" w:cs="Arial"/>
          <w:sz w:val="24"/>
          <w:szCs w:val="24"/>
        </w:rPr>
        <w:t>Mili Attorneys</w:t>
      </w:r>
    </w:p>
    <w:p w:rsidR="00BC478B"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100 High</w:t>
      </w:r>
      <w:r w:rsidR="00BC478B">
        <w:rPr>
          <w:rFonts w:ascii="Arial" w:hAnsi="Arial" w:cs="Arial"/>
          <w:sz w:val="24"/>
          <w:szCs w:val="24"/>
        </w:rPr>
        <w:t xml:space="preserve"> Street</w:t>
      </w:r>
    </w:p>
    <w:p w:rsidR="00BC478B" w:rsidRDefault="00BC478B" w:rsidP="00792126">
      <w:pPr>
        <w:spacing w:after="0" w:line="360" w:lineRule="auto"/>
        <w:ind w:left="4320" w:firstLine="720"/>
        <w:jc w:val="both"/>
        <w:rPr>
          <w:rFonts w:ascii="Arial" w:hAnsi="Arial" w:cs="Arial"/>
          <w:sz w:val="24"/>
          <w:szCs w:val="24"/>
        </w:rPr>
      </w:pPr>
      <w:r>
        <w:rPr>
          <w:rFonts w:ascii="Arial" w:hAnsi="Arial" w:cs="Arial"/>
          <w:sz w:val="24"/>
          <w:szCs w:val="24"/>
        </w:rPr>
        <w:t>MAKHANDA</w:t>
      </w:r>
    </w:p>
    <w:p w:rsidR="00792126"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(Ref.: Mr Mili)</w:t>
      </w:r>
    </w:p>
    <w:p w:rsidR="004362CA" w:rsidRDefault="004362CA" w:rsidP="00792126">
      <w:pPr>
        <w:spacing w:after="0" w:line="360" w:lineRule="auto"/>
        <w:jc w:val="both"/>
        <w:rPr>
          <w:rFonts w:ascii="Arial" w:hAnsi="Arial" w:cs="Arial"/>
          <w:sz w:val="24"/>
          <w:szCs w:val="24"/>
        </w:rPr>
      </w:pPr>
    </w:p>
    <w:p w:rsidR="004362CA" w:rsidRDefault="004362CA" w:rsidP="00792126">
      <w:pPr>
        <w:spacing w:after="0" w:line="360" w:lineRule="auto"/>
        <w:jc w:val="both"/>
        <w:rPr>
          <w:rFonts w:ascii="Arial" w:hAnsi="Arial" w:cs="Arial"/>
          <w:sz w:val="24"/>
          <w:szCs w:val="24"/>
        </w:rPr>
      </w:pPr>
    </w:p>
    <w:p w:rsidR="00792126" w:rsidRDefault="00792126" w:rsidP="00792126">
      <w:pPr>
        <w:spacing w:after="0" w:line="360" w:lineRule="auto"/>
        <w:jc w:val="both"/>
        <w:rPr>
          <w:rFonts w:ascii="Arial" w:hAnsi="Arial" w:cs="Arial"/>
          <w:sz w:val="24"/>
          <w:szCs w:val="24"/>
        </w:rPr>
      </w:pPr>
      <w:r>
        <w:rPr>
          <w:rFonts w:ascii="Arial" w:hAnsi="Arial" w:cs="Arial"/>
          <w:sz w:val="24"/>
          <w:szCs w:val="24"/>
        </w:rPr>
        <w:t>Counsel for the 3</w:t>
      </w:r>
      <w:r w:rsidRPr="00792126">
        <w:rPr>
          <w:rFonts w:ascii="Arial" w:hAnsi="Arial" w:cs="Arial"/>
          <w:sz w:val="24"/>
          <w:szCs w:val="24"/>
          <w:vertAlign w:val="superscript"/>
        </w:rPr>
        <w:t>rd</w:t>
      </w:r>
      <w:r>
        <w:rPr>
          <w:rFonts w:ascii="Arial" w:hAnsi="Arial" w:cs="Arial"/>
          <w:sz w:val="24"/>
          <w:szCs w:val="24"/>
        </w:rPr>
        <w:t xml:space="preserve"> Respondents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Adv. S. Sephton</w:t>
      </w:r>
    </w:p>
    <w:p w:rsidR="00792126" w:rsidRDefault="00792126" w:rsidP="0079212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Neville Borman &amp; Botha</w:t>
      </w:r>
    </w:p>
    <w:p w:rsidR="00792126"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22 Hill Street</w:t>
      </w:r>
    </w:p>
    <w:p w:rsidR="00792126" w:rsidRDefault="00792126" w:rsidP="00792126">
      <w:pPr>
        <w:spacing w:after="0" w:line="360" w:lineRule="auto"/>
        <w:ind w:left="4320" w:firstLine="720"/>
        <w:jc w:val="both"/>
        <w:rPr>
          <w:rFonts w:ascii="Arial" w:hAnsi="Arial" w:cs="Arial"/>
          <w:sz w:val="24"/>
          <w:szCs w:val="24"/>
        </w:rPr>
      </w:pPr>
      <w:r>
        <w:rPr>
          <w:rFonts w:ascii="Arial" w:hAnsi="Arial" w:cs="Arial"/>
          <w:sz w:val="24"/>
          <w:szCs w:val="24"/>
        </w:rPr>
        <w:t>MAKHANDA</w:t>
      </w:r>
    </w:p>
    <w:p w:rsidR="00A879E6" w:rsidRDefault="00792126" w:rsidP="00792126">
      <w:pPr>
        <w:spacing w:after="0" w:line="360" w:lineRule="auto"/>
        <w:ind w:left="4320" w:firstLine="720"/>
        <w:jc w:val="both"/>
      </w:pPr>
      <w:r>
        <w:rPr>
          <w:rFonts w:ascii="Arial" w:hAnsi="Arial" w:cs="Arial"/>
          <w:sz w:val="24"/>
          <w:szCs w:val="24"/>
        </w:rPr>
        <w:t>(Ref.: Justin/Riette)</w:t>
      </w:r>
    </w:p>
    <w:sectPr w:rsidR="00A879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7C" w:rsidRDefault="00BE587C" w:rsidP="00792126">
      <w:pPr>
        <w:spacing w:after="0" w:line="240" w:lineRule="auto"/>
      </w:pPr>
      <w:r>
        <w:separator/>
      </w:r>
    </w:p>
  </w:endnote>
  <w:endnote w:type="continuationSeparator" w:id="0">
    <w:p w:rsidR="00BE587C" w:rsidRDefault="00BE587C" w:rsidP="0079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23758"/>
      <w:docPartObj>
        <w:docPartGallery w:val="Page Numbers (Bottom of Page)"/>
        <w:docPartUnique/>
      </w:docPartObj>
    </w:sdtPr>
    <w:sdtEndPr>
      <w:rPr>
        <w:noProof/>
      </w:rPr>
    </w:sdtEndPr>
    <w:sdtContent>
      <w:p w:rsidR="00792126" w:rsidRDefault="00792126">
        <w:pPr>
          <w:pStyle w:val="Footer"/>
          <w:jc w:val="center"/>
        </w:pPr>
        <w:r>
          <w:fldChar w:fldCharType="begin"/>
        </w:r>
        <w:r>
          <w:instrText xml:space="preserve"> PAGE   \* MERGEFORMAT </w:instrText>
        </w:r>
        <w:r>
          <w:fldChar w:fldCharType="separate"/>
        </w:r>
        <w:r w:rsidR="00764E7A">
          <w:rPr>
            <w:noProof/>
          </w:rPr>
          <w:t>2</w:t>
        </w:r>
        <w:r>
          <w:rPr>
            <w:noProof/>
          </w:rPr>
          <w:fldChar w:fldCharType="end"/>
        </w:r>
      </w:p>
    </w:sdtContent>
  </w:sdt>
  <w:p w:rsidR="00792126" w:rsidRDefault="00792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7C" w:rsidRDefault="00BE587C" w:rsidP="00792126">
      <w:pPr>
        <w:spacing w:after="0" w:line="240" w:lineRule="auto"/>
      </w:pPr>
      <w:r>
        <w:separator/>
      </w:r>
    </w:p>
  </w:footnote>
  <w:footnote w:type="continuationSeparator" w:id="0">
    <w:p w:rsidR="00BE587C" w:rsidRDefault="00BE587C" w:rsidP="0079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176D"/>
    <w:multiLevelType w:val="hybridMultilevel"/>
    <w:tmpl w:val="C910121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E6"/>
    <w:rsid w:val="00027255"/>
    <w:rsid w:val="00066D48"/>
    <w:rsid w:val="00071D30"/>
    <w:rsid w:val="00072696"/>
    <w:rsid w:val="000A1262"/>
    <w:rsid w:val="000A1415"/>
    <w:rsid w:val="000A1AAB"/>
    <w:rsid w:val="000B02B1"/>
    <w:rsid w:val="000B504E"/>
    <w:rsid w:val="000C5F2C"/>
    <w:rsid w:val="000D0533"/>
    <w:rsid w:val="000D1DBA"/>
    <w:rsid w:val="000D32D7"/>
    <w:rsid w:val="000F01FD"/>
    <w:rsid w:val="000F608F"/>
    <w:rsid w:val="001158E2"/>
    <w:rsid w:val="001302C3"/>
    <w:rsid w:val="0013334D"/>
    <w:rsid w:val="0013343F"/>
    <w:rsid w:val="001629B7"/>
    <w:rsid w:val="00162CB4"/>
    <w:rsid w:val="00165F0F"/>
    <w:rsid w:val="00174B16"/>
    <w:rsid w:val="00195F9B"/>
    <w:rsid w:val="00197932"/>
    <w:rsid w:val="001A7786"/>
    <w:rsid w:val="001E517D"/>
    <w:rsid w:val="001E7B42"/>
    <w:rsid w:val="001F3EE6"/>
    <w:rsid w:val="002016D2"/>
    <w:rsid w:val="00204F69"/>
    <w:rsid w:val="0020797F"/>
    <w:rsid w:val="002156B5"/>
    <w:rsid w:val="0022310E"/>
    <w:rsid w:val="00232FE5"/>
    <w:rsid w:val="002411A4"/>
    <w:rsid w:val="00244541"/>
    <w:rsid w:val="00245CB9"/>
    <w:rsid w:val="00253DCF"/>
    <w:rsid w:val="00290C97"/>
    <w:rsid w:val="002B33E3"/>
    <w:rsid w:val="002C247F"/>
    <w:rsid w:val="002D4934"/>
    <w:rsid w:val="002E6CD9"/>
    <w:rsid w:val="002F5EE1"/>
    <w:rsid w:val="003375C1"/>
    <w:rsid w:val="00393B86"/>
    <w:rsid w:val="003A5D54"/>
    <w:rsid w:val="003B4492"/>
    <w:rsid w:val="003B464A"/>
    <w:rsid w:val="0040266D"/>
    <w:rsid w:val="00433871"/>
    <w:rsid w:val="004362CA"/>
    <w:rsid w:val="00463B55"/>
    <w:rsid w:val="00470F2E"/>
    <w:rsid w:val="00471FC8"/>
    <w:rsid w:val="00484BB1"/>
    <w:rsid w:val="00487B95"/>
    <w:rsid w:val="004D4FF6"/>
    <w:rsid w:val="004D7915"/>
    <w:rsid w:val="004F0D67"/>
    <w:rsid w:val="004F2BFF"/>
    <w:rsid w:val="00572BC0"/>
    <w:rsid w:val="0057714F"/>
    <w:rsid w:val="005A73D6"/>
    <w:rsid w:val="005B0641"/>
    <w:rsid w:val="005C388C"/>
    <w:rsid w:val="005D19E3"/>
    <w:rsid w:val="00612CB6"/>
    <w:rsid w:val="0062084A"/>
    <w:rsid w:val="006403BC"/>
    <w:rsid w:val="00665AA7"/>
    <w:rsid w:val="0067460C"/>
    <w:rsid w:val="006B4E23"/>
    <w:rsid w:val="006B4FE3"/>
    <w:rsid w:val="006B5E7B"/>
    <w:rsid w:val="006C2DB0"/>
    <w:rsid w:val="006C71EE"/>
    <w:rsid w:val="006D2B3F"/>
    <w:rsid w:val="006D2FB1"/>
    <w:rsid w:val="00701125"/>
    <w:rsid w:val="00723FB2"/>
    <w:rsid w:val="007264D3"/>
    <w:rsid w:val="00764E7A"/>
    <w:rsid w:val="007676F1"/>
    <w:rsid w:val="007702D1"/>
    <w:rsid w:val="00781D8B"/>
    <w:rsid w:val="00792126"/>
    <w:rsid w:val="007B5AEB"/>
    <w:rsid w:val="007C1FA9"/>
    <w:rsid w:val="007D4B3C"/>
    <w:rsid w:val="007D73F2"/>
    <w:rsid w:val="00813058"/>
    <w:rsid w:val="008604CA"/>
    <w:rsid w:val="00864FE3"/>
    <w:rsid w:val="0088481C"/>
    <w:rsid w:val="00886DE8"/>
    <w:rsid w:val="008F731C"/>
    <w:rsid w:val="00912230"/>
    <w:rsid w:val="00943E99"/>
    <w:rsid w:val="009A0B8D"/>
    <w:rsid w:val="009A3026"/>
    <w:rsid w:val="009D531A"/>
    <w:rsid w:val="00A27D6D"/>
    <w:rsid w:val="00A40702"/>
    <w:rsid w:val="00A72AD3"/>
    <w:rsid w:val="00A85167"/>
    <w:rsid w:val="00A879E6"/>
    <w:rsid w:val="00AC344D"/>
    <w:rsid w:val="00AE3E44"/>
    <w:rsid w:val="00AE4FEF"/>
    <w:rsid w:val="00B10F3C"/>
    <w:rsid w:val="00B126EE"/>
    <w:rsid w:val="00B401B8"/>
    <w:rsid w:val="00B4314C"/>
    <w:rsid w:val="00B84A74"/>
    <w:rsid w:val="00B927C6"/>
    <w:rsid w:val="00B931EA"/>
    <w:rsid w:val="00BB363B"/>
    <w:rsid w:val="00BC478B"/>
    <w:rsid w:val="00BC4E79"/>
    <w:rsid w:val="00BC60B4"/>
    <w:rsid w:val="00BE587C"/>
    <w:rsid w:val="00BF4953"/>
    <w:rsid w:val="00C152F2"/>
    <w:rsid w:val="00C451DF"/>
    <w:rsid w:val="00C47C4D"/>
    <w:rsid w:val="00C63BA9"/>
    <w:rsid w:val="00C81E71"/>
    <w:rsid w:val="00C90A6D"/>
    <w:rsid w:val="00C913FF"/>
    <w:rsid w:val="00C97D57"/>
    <w:rsid w:val="00CC32A1"/>
    <w:rsid w:val="00CF2522"/>
    <w:rsid w:val="00D006DE"/>
    <w:rsid w:val="00D13286"/>
    <w:rsid w:val="00D14CFC"/>
    <w:rsid w:val="00D435DF"/>
    <w:rsid w:val="00D835CA"/>
    <w:rsid w:val="00E22F6C"/>
    <w:rsid w:val="00E24C7F"/>
    <w:rsid w:val="00E4269A"/>
    <w:rsid w:val="00E56629"/>
    <w:rsid w:val="00E57D71"/>
    <w:rsid w:val="00E603B9"/>
    <w:rsid w:val="00EA6C02"/>
    <w:rsid w:val="00EE5983"/>
    <w:rsid w:val="00F00A69"/>
    <w:rsid w:val="00F139D3"/>
    <w:rsid w:val="00F621B3"/>
    <w:rsid w:val="00F81915"/>
    <w:rsid w:val="00F838B5"/>
    <w:rsid w:val="00FC598D"/>
    <w:rsid w:val="00FF5598"/>
    <w:rsid w:val="00FF6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CFCC0-0CBB-4D50-ABE4-C911119F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26"/>
  </w:style>
  <w:style w:type="paragraph" w:styleId="Footer">
    <w:name w:val="footer"/>
    <w:basedOn w:val="Normal"/>
    <w:link w:val="FooterChar"/>
    <w:uiPriority w:val="99"/>
    <w:unhideWhenUsed/>
    <w:rsid w:val="00792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26"/>
  </w:style>
  <w:style w:type="paragraph" w:styleId="BalloonText">
    <w:name w:val="Balloon Text"/>
    <w:basedOn w:val="Normal"/>
    <w:link w:val="BalloonTextChar"/>
    <w:uiPriority w:val="99"/>
    <w:semiHidden/>
    <w:unhideWhenUsed/>
    <w:rsid w:val="00792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126"/>
    <w:rPr>
      <w:rFonts w:ascii="Segoe UI" w:hAnsi="Segoe UI" w:cs="Segoe UI"/>
      <w:sz w:val="18"/>
      <w:szCs w:val="18"/>
    </w:rPr>
  </w:style>
  <w:style w:type="paragraph" w:styleId="ListParagraph">
    <w:name w:val="List Paragraph"/>
    <w:basedOn w:val="Normal"/>
    <w:uiPriority w:val="34"/>
    <w:qFormat/>
    <w:rsid w:val="00B8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51B2-5862-4682-8360-0A66FEE1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Mokone</cp:lastModifiedBy>
  <cp:revision>2</cp:revision>
  <cp:lastPrinted>2023-02-09T07:44:00Z</cp:lastPrinted>
  <dcterms:created xsi:type="dcterms:W3CDTF">2023-03-17T08:50:00Z</dcterms:created>
  <dcterms:modified xsi:type="dcterms:W3CDTF">2023-03-17T08:50:00Z</dcterms:modified>
</cp:coreProperties>
</file>